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FD" w:rsidRPr="001864F4" w:rsidRDefault="001E6A84" w:rsidP="00773CFD">
      <w:pPr>
        <w:widowControl w:val="0"/>
        <w:spacing w:line="360" w:lineRule="auto"/>
        <w:jc w:val="center"/>
        <w:rPr>
          <w:rFonts w:asciiTheme="minorEastAsia" w:eastAsiaTheme="minorEastAsia" w:hAnsiTheme="minorEastAsia" w:cs="宋体"/>
          <w:b/>
          <w:bCs/>
          <w:color w:val="000000"/>
          <w:sz w:val="36"/>
          <w:szCs w:val="36"/>
          <w:lang w:eastAsia="zh-CN"/>
        </w:rPr>
      </w:pPr>
      <w:bookmarkStart w:id="0" w:name="_GoBack"/>
      <w:bookmarkEnd w:id="0"/>
      <w:r w:rsidRPr="001864F4">
        <w:rPr>
          <w:rFonts w:asciiTheme="minorEastAsia" w:eastAsiaTheme="minorEastAsia" w:hAnsiTheme="minorEastAsia" w:cs="宋体" w:hint="eastAsia"/>
          <w:b/>
          <w:bCs/>
          <w:color w:val="000000"/>
          <w:sz w:val="36"/>
          <w:szCs w:val="36"/>
          <w:lang w:eastAsia="zh-CN"/>
        </w:rPr>
        <w:t>博时中证银行指数分级证券投资基金办理定期份额折算业务期间银行A类份额停复牌的公告</w:t>
      </w:r>
    </w:p>
    <w:p w:rsidR="006A35A5" w:rsidRPr="001864F4" w:rsidRDefault="006A35A5" w:rsidP="006A35A5">
      <w:pPr>
        <w:widowControl w:val="0"/>
        <w:ind w:firstLineChars="200" w:firstLine="560"/>
        <w:jc w:val="both"/>
        <w:rPr>
          <w:rFonts w:asciiTheme="minorEastAsia" w:eastAsiaTheme="minorEastAsia" w:hAnsiTheme="minorEastAsia"/>
          <w:kern w:val="2"/>
          <w:szCs w:val="28"/>
          <w:lang w:eastAsia="zh-CN"/>
        </w:rPr>
      </w:pPr>
    </w:p>
    <w:p w:rsidR="006A35A5" w:rsidRPr="001864F4" w:rsidRDefault="00C40A37" w:rsidP="006A35A5">
      <w:pPr>
        <w:widowControl w:val="0"/>
        <w:ind w:firstLineChars="200" w:firstLine="560"/>
        <w:jc w:val="both"/>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t>因</w:t>
      </w:r>
      <w:r w:rsidR="006A35A5" w:rsidRPr="001864F4">
        <w:rPr>
          <w:rFonts w:asciiTheme="minorEastAsia" w:eastAsiaTheme="minorEastAsia" w:hAnsiTheme="minorEastAsia" w:hint="eastAsia"/>
          <w:kern w:val="2"/>
          <w:szCs w:val="28"/>
          <w:lang w:eastAsia="zh-CN"/>
        </w:rPr>
        <w:t>博时中</w:t>
      </w:r>
      <w:proofErr w:type="gramStart"/>
      <w:r w:rsidR="006A35A5" w:rsidRPr="001864F4">
        <w:rPr>
          <w:rFonts w:asciiTheme="minorEastAsia" w:eastAsiaTheme="minorEastAsia" w:hAnsiTheme="minorEastAsia" w:hint="eastAsia"/>
          <w:kern w:val="2"/>
          <w:szCs w:val="28"/>
          <w:lang w:eastAsia="zh-CN"/>
        </w:rPr>
        <w:t>证银行</w:t>
      </w:r>
      <w:proofErr w:type="gramEnd"/>
      <w:r w:rsidR="006A35A5" w:rsidRPr="001864F4">
        <w:rPr>
          <w:rFonts w:asciiTheme="minorEastAsia" w:eastAsiaTheme="minorEastAsia" w:hAnsiTheme="minorEastAsia" w:hint="eastAsia"/>
          <w:kern w:val="2"/>
          <w:szCs w:val="28"/>
          <w:lang w:eastAsia="zh-CN"/>
        </w:rPr>
        <w:t>指数分级证券投资基金（以下简称“本基金”）</w:t>
      </w:r>
      <w:r w:rsidRPr="001864F4">
        <w:rPr>
          <w:rFonts w:asciiTheme="minorEastAsia" w:eastAsiaTheme="minorEastAsia" w:hAnsiTheme="minorEastAsia" w:hint="eastAsia"/>
          <w:kern w:val="2"/>
          <w:szCs w:val="28"/>
          <w:lang w:eastAsia="zh-CN"/>
        </w:rPr>
        <w:t>以</w:t>
      </w:r>
      <w:r w:rsidR="001864F4" w:rsidRPr="001864F4">
        <w:rPr>
          <w:rFonts w:asciiTheme="minorEastAsia" w:eastAsiaTheme="minorEastAsia" w:hAnsiTheme="minorEastAsia"/>
          <w:kern w:val="2"/>
          <w:szCs w:val="28"/>
          <w:lang w:eastAsia="zh-CN"/>
        </w:rPr>
        <w:t>2019年12月2日</w:t>
      </w:r>
      <w:r w:rsidRPr="001864F4">
        <w:rPr>
          <w:rFonts w:asciiTheme="minorEastAsia" w:eastAsiaTheme="minorEastAsia" w:hAnsiTheme="minorEastAsia" w:hint="eastAsia"/>
          <w:kern w:val="2"/>
          <w:szCs w:val="28"/>
          <w:lang w:eastAsia="zh-CN"/>
        </w:rPr>
        <w:t>为基准日对在该日交易结束后登记在册的博时中</w:t>
      </w:r>
      <w:proofErr w:type="gramStart"/>
      <w:r w:rsidRPr="001864F4">
        <w:rPr>
          <w:rFonts w:asciiTheme="minorEastAsia" w:eastAsiaTheme="minorEastAsia" w:hAnsiTheme="minorEastAsia" w:hint="eastAsia"/>
          <w:kern w:val="2"/>
          <w:szCs w:val="28"/>
          <w:lang w:eastAsia="zh-CN"/>
        </w:rPr>
        <w:t>证银行</w:t>
      </w:r>
      <w:proofErr w:type="gramEnd"/>
      <w:r w:rsidRPr="001864F4">
        <w:rPr>
          <w:rFonts w:asciiTheme="minorEastAsia" w:eastAsiaTheme="minorEastAsia" w:hAnsiTheme="minorEastAsia" w:hint="eastAsia"/>
          <w:kern w:val="2"/>
          <w:szCs w:val="28"/>
          <w:lang w:eastAsia="zh-CN"/>
        </w:rPr>
        <w:t>指数分级证券投资基金之基础份额（证券简称：博时银行，证券代码：160517）、</w:t>
      </w:r>
      <w:r w:rsidR="006A35A5" w:rsidRPr="001864F4">
        <w:rPr>
          <w:rFonts w:asciiTheme="minorEastAsia" w:eastAsiaTheme="minorEastAsia" w:hAnsiTheme="minorEastAsia" w:hint="eastAsia"/>
          <w:kern w:val="2"/>
          <w:szCs w:val="28"/>
          <w:lang w:eastAsia="zh-CN"/>
        </w:rPr>
        <w:t>博时中</w:t>
      </w:r>
      <w:proofErr w:type="gramStart"/>
      <w:r w:rsidR="006A35A5" w:rsidRPr="001864F4">
        <w:rPr>
          <w:rFonts w:asciiTheme="minorEastAsia" w:eastAsiaTheme="minorEastAsia" w:hAnsiTheme="minorEastAsia" w:hint="eastAsia"/>
          <w:kern w:val="2"/>
          <w:szCs w:val="28"/>
          <w:lang w:eastAsia="zh-CN"/>
        </w:rPr>
        <w:t>证银行</w:t>
      </w:r>
      <w:proofErr w:type="gramEnd"/>
      <w:r w:rsidR="006A35A5" w:rsidRPr="001864F4">
        <w:rPr>
          <w:rFonts w:asciiTheme="minorEastAsia" w:eastAsiaTheme="minorEastAsia" w:hAnsiTheme="minorEastAsia" w:hint="eastAsia"/>
          <w:kern w:val="2"/>
          <w:szCs w:val="28"/>
          <w:lang w:eastAsia="zh-CN"/>
        </w:rPr>
        <w:t>指数分级证券投资基金之</w:t>
      </w:r>
      <w:r w:rsidR="006A35A5" w:rsidRPr="001864F4">
        <w:rPr>
          <w:rFonts w:asciiTheme="minorEastAsia" w:eastAsiaTheme="minorEastAsia" w:hAnsiTheme="minorEastAsia"/>
          <w:kern w:val="2"/>
          <w:szCs w:val="28"/>
          <w:lang w:eastAsia="zh-CN"/>
        </w:rPr>
        <w:t>A</w:t>
      </w:r>
      <w:r w:rsidR="006A35A5" w:rsidRPr="001864F4">
        <w:rPr>
          <w:rFonts w:asciiTheme="minorEastAsia" w:eastAsiaTheme="minorEastAsia" w:hAnsiTheme="minorEastAsia" w:hint="eastAsia"/>
          <w:kern w:val="2"/>
          <w:szCs w:val="28"/>
          <w:lang w:eastAsia="zh-CN"/>
        </w:rPr>
        <w:t>份额（证券简称：银行A类，证券代码：150267）</w:t>
      </w:r>
      <w:r w:rsidRPr="001864F4">
        <w:rPr>
          <w:rFonts w:asciiTheme="minorEastAsia" w:eastAsiaTheme="minorEastAsia" w:hAnsiTheme="minorEastAsia" w:hint="eastAsia"/>
          <w:kern w:val="2"/>
          <w:szCs w:val="28"/>
          <w:lang w:eastAsia="zh-CN"/>
        </w:rPr>
        <w:t>办理定期份额折算业务，为保证业务顺利进行，银行A类份额</w:t>
      </w:r>
      <w:r w:rsidR="006A35A5" w:rsidRPr="001864F4">
        <w:rPr>
          <w:rFonts w:asciiTheme="minorEastAsia" w:eastAsiaTheme="minorEastAsia" w:hAnsiTheme="minorEastAsia" w:hint="eastAsia"/>
          <w:kern w:val="2"/>
          <w:szCs w:val="28"/>
          <w:lang w:eastAsia="zh-CN"/>
        </w:rPr>
        <w:t>将于</w:t>
      </w:r>
      <w:r w:rsidR="001864F4" w:rsidRPr="001864F4">
        <w:rPr>
          <w:rFonts w:asciiTheme="minorEastAsia" w:eastAsiaTheme="minorEastAsia" w:hAnsiTheme="minorEastAsia"/>
          <w:kern w:val="2"/>
          <w:szCs w:val="28"/>
          <w:lang w:eastAsia="zh-CN"/>
        </w:rPr>
        <w:t>2019年12月3日</w:t>
      </w:r>
      <w:r w:rsidR="006A35A5" w:rsidRPr="001864F4">
        <w:rPr>
          <w:rFonts w:asciiTheme="minorEastAsia" w:eastAsiaTheme="minorEastAsia" w:hAnsiTheme="minorEastAsia" w:hint="eastAsia"/>
          <w:kern w:val="2"/>
          <w:szCs w:val="28"/>
          <w:lang w:eastAsia="zh-CN"/>
        </w:rPr>
        <w:t>暂停交易，并将于</w:t>
      </w:r>
      <w:r w:rsidR="001864F4" w:rsidRPr="001864F4">
        <w:rPr>
          <w:rFonts w:asciiTheme="minorEastAsia" w:eastAsiaTheme="minorEastAsia" w:hAnsiTheme="minorEastAsia"/>
          <w:kern w:val="2"/>
          <w:szCs w:val="28"/>
          <w:lang w:eastAsia="zh-CN"/>
        </w:rPr>
        <w:t>2019年12月4日</w:t>
      </w:r>
      <w:r w:rsidR="006A35A5" w:rsidRPr="001864F4">
        <w:rPr>
          <w:rFonts w:asciiTheme="minorEastAsia" w:eastAsiaTheme="minorEastAsia" w:hAnsiTheme="minorEastAsia" w:hint="eastAsia"/>
          <w:kern w:val="2"/>
          <w:szCs w:val="28"/>
          <w:lang w:eastAsia="zh-CN"/>
        </w:rPr>
        <w:t>恢复交易。</w:t>
      </w:r>
    </w:p>
    <w:p w:rsidR="006A35A5" w:rsidRPr="001864F4" w:rsidRDefault="006A35A5" w:rsidP="006A35A5">
      <w:pPr>
        <w:widowControl w:val="0"/>
        <w:ind w:firstLineChars="200" w:firstLine="560"/>
        <w:jc w:val="both"/>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t>根据《深圳证券交易所证券投资基金交易和申购赎回实施细则》，</w:t>
      </w:r>
      <w:r w:rsidR="009355DF" w:rsidRPr="001864F4">
        <w:rPr>
          <w:rFonts w:asciiTheme="minorEastAsia" w:eastAsiaTheme="minorEastAsia" w:hAnsiTheme="minorEastAsia"/>
          <w:kern w:val="2"/>
          <w:szCs w:val="28"/>
          <w:lang w:eastAsia="zh-CN"/>
        </w:rPr>
        <w:t xml:space="preserve"> </w:t>
      </w:r>
      <w:r w:rsidR="001864F4" w:rsidRPr="001864F4">
        <w:rPr>
          <w:rFonts w:asciiTheme="minorEastAsia" w:eastAsiaTheme="minorEastAsia" w:hAnsiTheme="minorEastAsia"/>
          <w:kern w:val="2"/>
          <w:szCs w:val="28"/>
          <w:lang w:eastAsia="zh-CN"/>
        </w:rPr>
        <w:t>2019年12月4日</w:t>
      </w:r>
      <w:r w:rsidR="00A66888" w:rsidRPr="001864F4">
        <w:rPr>
          <w:rFonts w:asciiTheme="minorEastAsia" w:eastAsiaTheme="minorEastAsia" w:hAnsiTheme="minorEastAsia" w:hint="eastAsia"/>
          <w:kern w:val="2"/>
          <w:szCs w:val="28"/>
          <w:lang w:eastAsia="zh-CN"/>
        </w:rPr>
        <w:t>银行A类</w:t>
      </w:r>
      <w:r w:rsidRPr="001864F4">
        <w:rPr>
          <w:rFonts w:asciiTheme="minorEastAsia" w:eastAsiaTheme="minorEastAsia" w:hAnsiTheme="minorEastAsia" w:hint="eastAsia"/>
          <w:kern w:val="2"/>
          <w:szCs w:val="28"/>
          <w:lang w:eastAsia="zh-CN"/>
        </w:rPr>
        <w:t>即时行情显示的前收盘价将调整为</w:t>
      </w:r>
      <w:r w:rsidR="001864F4" w:rsidRPr="001864F4">
        <w:rPr>
          <w:rFonts w:asciiTheme="minorEastAsia" w:eastAsiaTheme="minorEastAsia" w:hAnsiTheme="minorEastAsia"/>
          <w:kern w:val="2"/>
          <w:szCs w:val="28"/>
          <w:lang w:eastAsia="zh-CN"/>
        </w:rPr>
        <w:t>2019年12月3日</w:t>
      </w:r>
      <w:r w:rsidRPr="001864F4">
        <w:rPr>
          <w:rFonts w:asciiTheme="minorEastAsia" w:eastAsiaTheme="minorEastAsia" w:hAnsiTheme="minorEastAsia" w:hint="eastAsia"/>
          <w:kern w:val="2"/>
          <w:szCs w:val="28"/>
          <w:lang w:eastAsia="zh-CN"/>
        </w:rPr>
        <w:t>银行A类的份额净值（四舍五入至</w:t>
      </w:r>
      <w:r w:rsidRPr="001864F4">
        <w:rPr>
          <w:rFonts w:asciiTheme="minorEastAsia" w:eastAsiaTheme="minorEastAsia" w:hAnsiTheme="minorEastAsia"/>
          <w:kern w:val="2"/>
          <w:szCs w:val="28"/>
          <w:lang w:eastAsia="zh-CN"/>
        </w:rPr>
        <w:t>0.001</w:t>
      </w:r>
      <w:r w:rsidRPr="001864F4">
        <w:rPr>
          <w:rFonts w:asciiTheme="minorEastAsia" w:eastAsiaTheme="minorEastAsia" w:hAnsiTheme="minorEastAsia" w:hint="eastAsia"/>
          <w:kern w:val="2"/>
          <w:szCs w:val="28"/>
          <w:lang w:eastAsia="zh-CN"/>
        </w:rPr>
        <w:t>元）。由于银行A类份额折算前可能存在折溢价交易情形，</w:t>
      </w:r>
      <w:r w:rsidR="001864F4" w:rsidRPr="001864F4">
        <w:rPr>
          <w:rFonts w:asciiTheme="minorEastAsia" w:eastAsiaTheme="minorEastAsia" w:hAnsiTheme="minorEastAsia"/>
          <w:kern w:val="2"/>
          <w:szCs w:val="28"/>
          <w:lang w:eastAsia="zh-CN"/>
        </w:rPr>
        <w:t>2019年12月4日</w:t>
      </w:r>
      <w:r w:rsidRPr="001864F4">
        <w:rPr>
          <w:rFonts w:asciiTheme="minorEastAsia" w:eastAsiaTheme="minorEastAsia" w:hAnsiTheme="minorEastAsia" w:hint="eastAsia"/>
          <w:kern w:val="2"/>
          <w:szCs w:val="28"/>
          <w:lang w:eastAsia="zh-CN"/>
        </w:rPr>
        <w:t>的前收盘价为</w:t>
      </w:r>
      <w:r w:rsidR="001864F4" w:rsidRPr="001864F4">
        <w:rPr>
          <w:rFonts w:asciiTheme="minorEastAsia" w:eastAsiaTheme="minorEastAsia" w:hAnsiTheme="minorEastAsia"/>
          <w:kern w:val="2"/>
          <w:szCs w:val="28"/>
          <w:lang w:eastAsia="zh-CN"/>
        </w:rPr>
        <w:t>2019年12月3日</w:t>
      </w:r>
      <w:r w:rsidRPr="001864F4">
        <w:rPr>
          <w:rFonts w:asciiTheme="minorEastAsia" w:eastAsiaTheme="minorEastAsia" w:hAnsiTheme="minorEastAsia" w:hint="eastAsia"/>
          <w:kern w:val="2"/>
          <w:szCs w:val="28"/>
          <w:lang w:eastAsia="zh-CN"/>
        </w:rPr>
        <w:t>的基金份额净值，折算前的收盘价扣除约定收益后与</w:t>
      </w:r>
      <w:r w:rsidR="001864F4" w:rsidRPr="001864F4">
        <w:rPr>
          <w:rFonts w:asciiTheme="minorEastAsia" w:eastAsiaTheme="minorEastAsia" w:hAnsiTheme="minorEastAsia"/>
          <w:kern w:val="2"/>
          <w:szCs w:val="28"/>
          <w:lang w:eastAsia="zh-CN"/>
        </w:rPr>
        <w:t>2019年12月4日</w:t>
      </w:r>
      <w:r w:rsidRPr="001864F4">
        <w:rPr>
          <w:rFonts w:asciiTheme="minorEastAsia" w:eastAsiaTheme="minorEastAsia" w:hAnsiTheme="minorEastAsia" w:hint="eastAsia"/>
          <w:kern w:val="2"/>
          <w:szCs w:val="28"/>
          <w:lang w:eastAsia="zh-CN"/>
        </w:rPr>
        <w:t>的前收盘价可能有差异，可能出现交易价格波动的情形</w:t>
      </w:r>
      <w:r w:rsidRPr="001864F4">
        <w:rPr>
          <w:rFonts w:asciiTheme="minorEastAsia" w:eastAsiaTheme="minorEastAsia" w:hAnsiTheme="minorEastAsia"/>
          <w:kern w:val="2"/>
          <w:szCs w:val="28"/>
          <w:lang w:eastAsia="zh-CN"/>
        </w:rPr>
        <w:t>,</w:t>
      </w:r>
      <w:r w:rsidRPr="001864F4">
        <w:rPr>
          <w:rFonts w:asciiTheme="minorEastAsia" w:eastAsiaTheme="minorEastAsia" w:hAnsiTheme="minorEastAsia" w:hint="eastAsia"/>
          <w:kern w:val="2"/>
          <w:szCs w:val="28"/>
          <w:lang w:eastAsia="zh-CN"/>
        </w:rPr>
        <w:t>敬请投资者注意投资风险。</w:t>
      </w:r>
    </w:p>
    <w:p w:rsidR="00773CFD" w:rsidRPr="001864F4" w:rsidRDefault="006A35A5" w:rsidP="006A35A5">
      <w:pPr>
        <w:widowControl w:val="0"/>
        <w:ind w:firstLineChars="200" w:firstLine="560"/>
        <w:jc w:val="both"/>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t>风险提示：本公司承诺以诚实信用、勤勉尽责的原则管理和运用基金财产，但不保证基金一定盈利，也不保证最低收益。投资者投资于本公司基金时应认真阅读相关基金基金合同、招募说明书等文件，并根据自身风险承受能力选择适合自己的基金产品进行投资。敬请投资者注意投资风险。请投资者关注风险，谨慎投资。</w:t>
      </w:r>
    </w:p>
    <w:p w:rsidR="00773CFD" w:rsidRPr="001864F4" w:rsidRDefault="00773CFD" w:rsidP="00773CFD">
      <w:pPr>
        <w:widowControl w:val="0"/>
        <w:spacing w:line="360" w:lineRule="auto"/>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lastRenderedPageBreak/>
        <w:t xml:space="preserve">                                        </w:t>
      </w:r>
    </w:p>
    <w:p w:rsidR="003A3C04" w:rsidRPr="001864F4" w:rsidRDefault="00773CFD" w:rsidP="00C06369">
      <w:pPr>
        <w:widowControl w:val="0"/>
        <w:tabs>
          <w:tab w:val="left" w:pos="8222"/>
        </w:tabs>
        <w:spacing w:line="360" w:lineRule="auto"/>
        <w:ind w:right="-58" w:firstLineChars="1750" w:firstLine="4900"/>
        <w:jc w:val="right"/>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t>博时基金管理有限公司</w:t>
      </w:r>
    </w:p>
    <w:p w:rsidR="00DA0EDA" w:rsidRPr="00773CFD" w:rsidRDefault="001864F4" w:rsidP="00C06369">
      <w:pPr>
        <w:widowControl w:val="0"/>
        <w:tabs>
          <w:tab w:val="left" w:pos="8222"/>
        </w:tabs>
        <w:spacing w:line="360" w:lineRule="auto"/>
        <w:ind w:right="-58" w:firstLineChars="1850" w:firstLine="5180"/>
        <w:jc w:val="right"/>
        <w:rPr>
          <w:rFonts w:asciiTheme="minorEastAsia" w:eastAsiaTheme="minorEastAsia" w:hAnsiTheme="minorEastAsia"/>
          <w:kern w:val="2"/>
          <w:szCs w:val="28"/>
          <w:lang w:eastAsia="zh-CN"/>
        </w:rPr>
      </w:pPr>
      <w:r w:rsidRPr="001864F4">
        <w:rPr>
          <w:rFonts w:asciiTheme="minorEastAsia" w:eastAsiaTheme="minorEastAsia" w:hAnsiTheme="minorEastAsia" w:hint="eastAsia"/>
          <w:kern w:val="2"/>
          <w:szCs w:val="28"/>
          <w:lang w:eastAsia="zh-CN"/>
        </w:rPr>
        <w:t>2019年12月3日</w:t>
      </w:r>
    </w:p>
    <w:sectPr w:rsidR="00DA0EDA" w:rsidRPr="00773C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22" w:rsidRDefault="00AB0122" w:rsidP="00773CFD">
      <w:r>
        <w:separator/>
      </w:r>
    </w:p>
  </w:endnote>
  <w:endnote w:type="continuationSeparator" w:id="0">
    <w:p w:rsidR="00AB0122" w:rsidRDefault="00AB0122" w:rsidP="0077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22" w:rsidRDefault="00AB0122" w:rsidP="00773CFD">
      <w:r>
        <w:separator/>
      </w:r>
    </w:p>
  </w:footnote>
  <w:footnote w:type="continuationSeparator" w:id="0">
    <w:p w:rsidR="00AB0122" w:rsidRDefault="00AB0122" w:rsidP="0077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14"/>
    <w:rsid w:val="00040161"/>
    <w:rsid w:val="000B5414"/>
    <w:rsid w:val="00162BBC"/>
    <w:rsid w:val="001864F4"/>
    <w:rsid w:val="00193182"/>
    <w:rsid w:val="00196E76"/>
    <w:rsid w:val="001B600C"/>
    <w:rsid w:val="001D7935"/>
    <w:rsid w:val="001E6A84"/>
    <w:rsid w:val="002422BC"/>
    <w:rsid w:val="00271C41"/>
    <w:rsid w:val="00333DE2"/>
    <w:rsid w:val="00350423"/>
    <w:rsid w:val="0039230A"/>
    <w:rsid w:val="003A3C04"/>
    <w:rsid w:val="003D4C32"/>
    <w:rsid w:val="00424C53"/>
    <w:rsid w:val="004A73DE"/>
    <w:rsid w:val="004C5499"/>
    <w:rsid w:val="004E1ABC"/>
    <w:rsid w:val="00522C68"/>
    <w:rsid w:val="00530A59"/>
    <w:rsid w:val="00550C7F"/>
    <w:rsid w:val="005747F6"/>
    <w:rsid w:val="00695638"/>
    <w:rsid w:val="006A35A5"/>
    <w:rsid w:val="00773CFD"/>
    <w:rsid w:val="00775671"/>
    <w:rsid w:val="00832205"/>
    <w:rsid w:val="00891BA7"/>
    <w:rsid w:val="008E2BE6"/>
    <w:rsid w:val="00933D9A"/>
    <w:rsid w:val="009355DF"/>
    <w:rsid w:val="009B07CD"/>
    <w:rsid w:val="00A001B1"/>
    <w:rsid w:val="00A66888"/>
    <w:rsid w:val="00AA335D"/>
    <w:rsid w:val="00AB0122"/>
    <w:rsid w:val="00C06369"/>
    <w:rsid w:val="00C40A37"/>
    <w:rsid w:val="00C74147"/>
    <w:rsid w:val="00CB0312"/>
    <w:rsid w:val="00CD665A"/>
    <w:rsid w:val="00DA0EDA"/>
    <w:rsid w:val="00E63427"/>
    <w:rsid w:val="00F6105E"/>
    <w:rsid w:val="00F92790"/>
    <w:rsid w:val="00F979F5"/>
    <w:rsid w:val="00FB2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FD"/>
    <w:rPr>
      <w:rFonts w:ascii="Times New Roman" w:eastAsia="楷体_GB2312" w:hAnsi="Times New Roman" w:cs="Times New Roman"/>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CF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773CFD"/>
    <w:rPr>
      <w:sz w:val="18"/>
      <w:szCs w:val="18"/>
    </w:rPr>
  </w:style>
  <w:style w:type="paragraph" w:styleId="a4">
    <w:name w:val="footer"/>
    <w:basedOn w:val="a"/>
    <w:link w:val="Char0"/>
    <w:uiPriority w:val="99"/>
    <w:unhideWhenUsed/>
    <w:rsid w:val="00773CF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773CFD"/>
    <w:rPr>
      <w:sz w:val="18"/>
      <w:szCs w:val="18"/>
    </w:rPr>
  </w:style>
  <w:style w:type="character" w:styleId="a5">
    <w:name w:val="annotation reference"/>
    <w:basedOn w:val="a0"/>
    <w:uiPriority w:val="99"/>
    <w:semiHidden/>
    <w:unhideWhenUsed/>
    <w:rsid w:val="00E63427"/>
    <w:rPr>
      <w:sz w:val="21"/>
      <w:szCs w:val="21"/>
    </w:rPr>
  </w:style>
  <w:style w:type="paragraph" w:styleId="a6">
    <w:name w:val="annotation text"/>
    <w:basedOn w:val="a"/>
    <w:link w:val="Char1"/>
    <w:uiPriority w:val="99"/>
    <w:semiHidden/>
    <w:unhideWhenUsed/>
    <w:rsid w:val="00E63427"/>
  </w:style>
  <w:style w:type="character" w:customStyle="1" w:styleId="Char1">
    <w:name w:val="批注文字 Char"/>
    <w:basedOn w:val="a0"/>
    <w:link w:val="a6"/>
    <w:uiPriority w:val="99"/>
    <w:semiHidden/>
    <w:rsid w:val="00E63427"/>
    <w:rPr>
      <w:rFonts w:ascii="Times New Roman" w:eastAsia="楷体_GB2312" w:hAnsi="Times New Roman" w:cs="Times New Roman"/>
      <w:kern w:val="0"/>
      <w:sz w:val="28"/>
      <w:szCs w:val="20"/>
      <w:lang w:eastAsia="en-US"/>
    </w:rPr>
  </w:style>
  <w:style w:type="paragraph" w:styleId="a7">
    <w:name w:val="annotation subject"/>
    <w:basedOn w:val="a6"/>
    <w:next w:val="a6"/>
    <w:link w:val="Char2"/>
    <w:uiPriority w:val="99"/>
    <w:semiHidden/>
    <w:unhideWhenUsed/>
    <w:rsid w:val="00E63427"/>
    <w:rPr>
      <w:b/>
      <w:bCs/>
    </w:rPr>
  </w:style>
  <w:style w:type="character" w:customStyle="1" w:styleId="Char2">
    <w:name w:val="批注主题 Char"/>
    <w:basedOn w:val="Char1"/>
    <w:link w:val="a7"/>
    <w:uiPriority w:val="99"/>
    <w:semiHidden/>
    <w:rsid w:val="00E63427"/>
    <w:rPr>
      <w:rFonts w:ascii="Times New Roman" w:eastAsia="楷体_GB2312" w:hAnsi="Times New Roman" w:cs="Times New Roman"/>
      <w:b/>
      <w:bCs/>
      <w:kern w:val="0"/>
      <w:sz w:val="28"/>
      <w:szCs w:val="20"/>
      <w:lang w:eastAsia="en-US"/>
    </w:rPr>
  </w:style>
  <w:style w:type="paragraph" w:styleId="a8">
    <w:name w:val="Balloon Text"/>
    <w:basedOn w:val="a"/>
    <w:link w:val="Char3"/>
    <w:uiPriority w:val="99"/>
    <w:semiHidden/>
    <w:unhideWhenUsed/>
    <w:rsid w:val="00E63427"/>
    <w:rPr>
      <w:sz w:val="18"/>
      <w:szCs w:val="18"/>
    </w:rPr>
  </w:style>
  <w:style w:type="character" w:customStyle="1" w:styleId="Char3">
    <w:name w:val="批注框文本 Char"/>
    <w:basedOn w:val="a0"/>
    <w:link w:val="a8"/>
    <w:uiPriority w:val="99"/>
    <w:semiHidden/>
    <w:rsid w:val="00E63427"/>
    <w:rPr>
      <w:rFonts w:ascii="Times New Roman" w:eastAsia="楷体_GB2312"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FD"/>
    <w:rPr>
      <w:rFonts w:ascii="Times New Roman" w:eastAsia="楷体_GB2312" w:hAnsi="Times New Roman" w:cs="Times New Roman"/>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CF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773CFD"/>
    <w:rPr>
      <w:sz w:val="18"/>
      <w:szCs w:val="18"/>
    </w:rPr>
  </w:style>
  <w:style w:type="paragraph" w:styleId="a4">
    <w:name w:val="footer"/>
    <w:basedOn w:val="a"/>
    <w:link w:val="Char0"/>
    <w:uiPriority w:val="99"/>
    <w:unhideWhenUsed/>
    <w:rsid w:val="00773CFD"/>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773CFD"/>
    <w:rPr>
      <w:sz w:val="18"/>
      <w:szCs w:val="18"/>
    </w:rPr>
  </w:style>
  <w:style w:type="character" w:styleId="a5">
    <w:name w:val="annotation reference"/>
    <w:basedOn w:val="a0"/>
    <w:uiPriority w:val="99"/>
    <w:semiHidden/>
    <w:unhideWhenUsed/>
    <w:rsid w:val="00E63427"/>
    <w:rPr>
      <w:sz w:val="21"/>
      <w:szCs w:val="21"/>
    </w:rPr>
  </w:style>
  <w:style w:type="paragraph" w:styleId="a6">
    <w:name w:val="annotation text"/>
    <w:basedOn w:val="a"/>
    <w:link w:val="Char1"/>
    <w:uiPriority w:val="99"/>
    <w:semiHidden/>
    <w:unhideWhenUsed/>
    <w:rsid w:val="00E63427"/>
  </w:style>
  <w:style w:type="character" w:customStyle="1" w:styleId="Char1">
    <w:name w:val="批注文字 Char"/>
    <w:basedOn w:val="a0"/>
    <w:link w:val="a6"/>
    <w:uiPriority w:val="99"/>
    <w:semiHidden/>
    <w:rsid w:val="00E63427"/>
    <w:rPr>
      <w:rFonts w:ascii="Times New Roman" w:eastAsia="楷体_GB2312" w:hAnsi="Times New Roman" w:cs="Times New Roman"/>
      <w:kern w:val="0"/>
      <w:sz w:val="28"/>
      <w:szCs w:val="20"/>
      <w:lang w:eastAsia="en-US"/>
    </w:rPr>
  </w:style>
  <w:style w:type="paragraph" w:styleId="a7">
    <w:name w:val="annotation subject"/>
    <w:basedOn w:val="a6"/>
    <w:next w:val="a6"/>
    <w:link w:val="Char2"/>
    <w:uiPriority w:val="99"/>
    <w:semiHidden/>
    <w:unhideWhenUsed/>
    <w:rsid w:val="00E63427"/>
    <w:rPr>
      <w:b/>
      <w:bCs/>
    </w:rPr>
  </w:style>
  <w:style w:type="character" w:customStyle="1" w:styleId="Char2">
    <w:name w:val="批注主题 Char"/>
    <w:basedOn w:val="Char1"/>
    <w:link w:val="a7"/>
    <w:uiPriority w:val="99"/>
    <w:semiHidden/>
    <w:rsid w:val="00E63427"/>
    <w:rPr>
      <w:rFonts w:ascii="Times New Roman" w:eastAsia="楷体_GB2312" w:hAnsi="Times New Roman" w:cs="Times New Roman"/>
      <w:b/>
      <w:bCs/>
      <w:kern w:val="0"/>
      <w:sz w:val="28"/>
      <w:szCs w:val="20"/>
      <w:lang w:eastAsia="en-US"/>
    </w:rPr>
  </w:style>
  <w:style w:type="paragraph" w:styleId="a8">
    <w:name w:val="Balloon Text"/>
    <w:basedOn w:val="a"/>
    <w:link w:val="Char3"/>
    <w:uiPriority w:val="99"/>
    <w:semiHidden/>
    <w:unhideWhenUsed/>
    <w:rsid w:val="00E63427"/>
    <w:rPr>
      <w:sz w:val="18"/>
      <w:szCs w:val="18"/>
    </w:rPr>
  </w:style>
  <w:style w:type="character" w:customStyle="1" w:styleId="Char3">
    <w:name w:val="批注框文本 Char"/>
    <w:basedOn w:val="a0"/>
    <w:link w:val="a8"/>
    <w:uiPriority w:val="99"/>
    <w:semiHidden/>
    <w:rsid w:val="00E63427"/>
    <w:rPr>
      <w:rFonts w:ascii="Times New Roman" w:eastAsia="楷体_GB2312"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王郧</dc:creator>
  <cp:lastModifiedBy>周哲雯</cp:lastModifiedBy>
  <cp:revision>2</cp:revision>
  <dcterms:created xsi:type="dcterms:W3CDTF">2019-12-03T00:40:00Z</dcterms:created>
  <dcterms:modified xsi:type="dcterms:W3CDTF">2019-12-03T00:40:00Z</dcterms:modified>
</cp:coreProperties>
</file>