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DB" w:rsidRPr="008D6773" w:rsidRDefault="008472DB" w:rsidP="008472DB">
      <w:pPr>
        <w:widowControl/>
        <w:jc w:val="center"/>
        <w:rPr>
          <w:rFonts w:asciiTheme="minorEastAsia" w:eastAsiaTheme="minorEastAsia" w:hAnsiTheme="minorEastAsia" w:cs="宋体"/>
          <w:b/>
          <w:kern w:val="0"/>
          <w:sz w:val="30"/>
          <w:szCs w:val="30"/>
        </w:rPr>
      </w:pPr>
      <w:r w:rsidRPr="008D6773">
        <w:rPr>
          <w:rFonts w:asciiTheme="minorEastAsia" w:eastAsiaTheme="minorEastAsia" w:hAnsiTheme="minorEastAsia" w:cs="宋体" w:hint="eastAsia"/>
          <w:b/>
          <w:kern w:val="0"/>
          <w:sz w:val="30"/>
          <w:szCs w:val="30"/>
        </w:rPr>
        <w:t>关于博时恒生沪深港通大湾区综合交易型开放式指数证券投资基金</w:t>
      </w:r>
      <w:r w:rsidR="00B00006">
        <w:rPr>
          <w:rFonts w:asciiTheme="minorEastAsia" w:eastAsiaTheme="minorEastAsia" w:hAnsiTheme="minorEastAsia" w:cs="宋体" w:hint="eastAsia"/>
          <w:b/>
          <w:kern w:val="0"/>
          <w:sz w:val="30"/>
          <w:szCs w:val="30"/>
        </w:rPr>
        <w:t>暂停申购、赎回</w:t>
      </w:r>
      <w:r w:rsidRPr="008D6773">
        <w:rPr>
          <w:rFonts w:asciiTheme="minorEastAsia" w:eastAsiaTheme="minorEastAsia" w:hAnsiTheme="minorEastAsia" w:cs="宋体" w:hint="eastAsia"/>
          <w:b/>
          <w:kern w:val="0"/>
          <w:sz w:val="30"/>
          <w:szCs w:val="30"/>
        </w:rPr>
        <w:t>业务的公告</w:t>
      </w:r>
    </w:p>
    <w:p w:rsidR="00D327FA" w:rsidRPr="000D472C" w:rsidRDefault="008472DB" w:rsidP="008472DB">
      <w:pPr>
        <w:spacing w:line="560" w:lineRule="exact"/>
        <w:jc w:val="center"/>
        <w:rPr>
          <w:rFonts w:asciiTheme="minorEastAsia" w:eastAsiaTheme="minorEastAsia" w:hAnsiTheme="minorEastAsia" w:cs="宋体"/>
          <w:bCs/>
          <w:sz w:val="24"/>
          <w:szCs w:val="24"/>
        </w:rPr>
      </w:pPr>
      <w:r w:rsidRPr="000D472C">
        <w:rPr>
          <w:rFonts w:asciiTheme="minorEastAsia" w:eastAsiaTheme="minorEastAsia" w:hAnsiTheme="minorEastAsia"/>
          <w:color w:val="000000"/>
          <w:sz w:val="24"/>
          <w:szCs w:val="24"/>
        </w:rPr>
        <w:t>公告送出日期：</w:t>
      </w:r>
      <w:r w:rsidRPr="000D472C">
        <w:rPr>
          <w:rFonts w:asciiTheme="minorEastAsia" w:eastAsiaTheme="minorEastAsia" w:hAnsiTheme="minorEastAsia" w:cs="宋体"/>
          <w:bCs/>
          <w:sz w:val="24"/>
          <w:szCs w:val="24"/>
        </w:rPr>
        <w:t>2021年</w:t>
      </w:r>
      <w:r w:rsidR="006E1F66">
        <w:rPr>
          <w:rFonts w:asciiTheme="minorEastAsia" w:eastAsiaTheme="minorEastAsia" w:hAnsiTheme="minorEastAsia" w:cs="宋体"/>
          <w:bCs/>
          <w:sz w:val="24"/>
          <w:szCs w:val="24"/>
        </w:rPr>
        <w:t>9</w:t>
      </w:r>
      <w:r w:rsidRPr="000D472C">
        <w:rPr>
          <w:rFonts w:asciiTheme="minorEastAsia" w:eastAsiaTheme="minorEastAsia" w:hAnsiTheme="minorEastAsia" w:cs="宋体"/>
          <w:bCs/>
          <w:sz w:val="24"/>
          <w:szCs w:val="24"/>
        </w:rPr>
        <w:t>月</w:t>
      </w:r>
      <w:r w:rsidR="006E1F66">
        <w:rPr>
          <w:rFonts w:asciiTheme="minorEastAsia" w:eastAsiaTheme="minorEastAsia" w:hAnsiTheme="minorEastAsia" w:cs="宋体"/>
          <w:bCs/>
          <w:sz w:val="24"/>
          <w:szCs w:val="24"/>
        </w:rPr>
        <w:t>15</w:t>
      </w:r>
      <w:r w:rsidRPr="000D472C">
        <w:rPr>
          <w:rFonts w:asciiTheme="minorEastAsia" w:eastAsiaTheme="minorEastAsia" w:hAnsiTheme="minorEastAsia" w:cs="宋体"/>
          <w:bCs/>
          <w:sz w:val="24"/>
          <w:szCs w:val="24"/>
        </w:rPr>
        <w:t>日</w:t>
      </w:r>
    </w:p>
    <w:p w:rsidR="00E830A4" w:rsidRPr="00510E58" w:rsidRDefault="00E830A4" w:rsidP="008472DB">
      <w:pPr>
        <w:spacing w:line="560" w:lineRule="exact"/>
        <w:jc w:val="center"/>
        <w:rPr>
          <w:rFonts w:asciiTheme="minorEastAsia" w:eastAsiaTheme="minorEastAsia" w:hAnsiTheme="minorEastAsia"/>
          <w:color w:val="000000"/>
          <w:sz w:val="24"/>
          <w:szCs w:val="24"/>
        </w:rPr>
      </w:pPr>
    </w:p>
    <w:p w:rsidR="00D327FA" w:rsidRPr="000D472C"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0D472C">
        <w:rPr>
          <w:rFonts w:asciiTheme="minorEastAsia" w:eastAsiaTheme="minorEastAsia" w:hAnsiTheme="minorEastAsia"/>
          <w:bCs w:val="0"/>
          <w:color w:val="000000"/>
          <w:sz w:val="24"/>
          <w:szCs w:val="24"/>
        </w:rPr>
        <w:t>1 公告基本信息</w:t>
      </w:r>
      <w:bookmarkEnd w:id="0"/>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894"/>
        <w:gridCol w:w="4113"/>
      </w:tblGrid>
      <w:tr w:rsidR="00D327FA" w:rsidRPr="000D472C" w:rsidTr="0015775B">
        <w:trPr>
          <w:jc w:val="center"/>
        </w:trPr>
        <w:tc>
          <w:tcPr>
            <w:tcW w:w="3053" w:type="dxa"/>
          </w:tcPr>
          <w:p w:rsidR="00D327FA" w:rsidRPr="000D472C" w:rsidRDefault="00D327FA" w:rsidP="00E93AFC">
            <w:pPr>
              <w:spacing w:line="560" w:lineRule="exact"/>
              <w:rPr>
                <w:rFonts w:asciiTheme="minorEastAsia" w:eastAsiaTheme="minorEastAsia" w:hAnsiTheme="minorEastAsia"/>
                <w:color w:val="000000"/>
                <w:sz w:val="24"/>
                <w:szCs w:val="24"/>
                <w:highlight w:val="cyan"/>
              </w:rPr>
            </w:pPr>
            <w:r w:rsidRPr="000D472C">
              <w:rPr>
                <w:rFonts w:asciiTheme="minorEastAsia" w:eastAsiaTheme="minorEastAsia" w:hAnsiTheme="minorEastAsia"/>
                <w:color w:val="000000"/>
                <w:sz w:val="24"/>
                <w:szCs w:val="24"/>
              </w:rPr>
              <w:t>基金名称</w:t>
            </w:r>
          </w:p>
        </w:tc>
        <w:tc>
          <w:tcPr>
            <w:tcW w:w="7007" w:type="dxa"/>
            <w:gridSpan w:val="2"/>
            <w:vAlign w:val="center"/>
          </w:tcPr>
          <w:p w:rsidR="00D327FA" w:rsidRPr="000D472C" w:rsidRDefault="008472DB" w:rsidP="00327DA7">
            <w:pPr>
              <w:spacing w:line="560" w:lineRule="exact"/>
              <w:rPr>
                <w:rFonts w:asciiTheme="minorEastAsia" w:eastAsiaTheme="minorEastAsia" w:hAnsiTheme="minorEastAsia"/>
                <w:sz w:val="24"/>
                <w:szCs w:val="24"/>
              </w:rPr>
            </w:pPr>
            <w:r w:rsidRPr="000D472C">
              <w:rPr>
                <w:rFonts w:asciiTheme="minorEastAsia" w:eastAsiaTheme="minorEastAsia" w:hAnsiTheme="minorEastAsia"/>
                <w:sz w:val="24"/>
                <w:szCs w:val="24"/>
              </w:rPr>
              <w:t>博时恒生沪深港通大湾区综合交易型开放式指数证券投资基金</w:t>
            </w:r>
          </w:p>
        </w:tc>
      </w:tr>
      <w:tr w:rsidR="00D327FA" w:rsidRPr="000D472C" w:rsidTr="0015775B">
        <w:trPr>
          <w:jc w:val="center"/>
        </w:trPr>
        <w:tc>
          <w:tcPr>
            <w:tcW w:w="3053" w:type="dxa"/>
          </w:tcPr>
          <w:p w:rsidR="00D327FA" w:rsidRPr="000D472C" w:rsidRDefault="00D327FA" w:rsidP="00E93AFC">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color w:val="000000"/>
                <w:sz w:val="24"/>
                <w:szCs w:val="24"/>
              </w:rPr>
              <w:t>基金简称</w:t>
            </w:r>
          </w:p>
        </w:tc>
        <w:tc>
          <w:tcPr>
            <w:tcW w:w="7007" w:type="dxa"/>
            <w:gridSpan w:val="2"/>
            <w:vAlign w:val="center"/>
          </w:tcPr>
          <w:p w:rsidR="00D327FA" w:rsidRPr="000D472C" w:rsidRDefault="008472DB" w:rsidP="00327DA7">
            <w:pPr>
              <w:spacing w:line="560" w:lineRule="exact"/>
              <w:rPr>
                <w:rFonts w:asciiTheme="minorEastAsia" w:eastAsiaTheme="minorEastAsia" w:hAnsiTheme="minorEastAsia"/>
                <w:sz w:val="24"/>
                <w:szCs w:val="24"/>
              </w:rPr>
            </w:pPr>
            <w:r w:rsidRPr="000D472C">
              <w:rPr>
                <w:rFonts w:asciiTheme="minorEastAsia" w:eastAsiaTheme="minorEastAsia" w:hAnsiTheme="minorEastAsia"/>
                <w:sz w:val="24"/>
                <w:szCs w:val="24"/>
              </w:rPr>
              <w:t>博时大湾区ETF</w:t>
            </w:r>
          </w:p>
        </w:tc>
      </w:tr>
      <w:tr w:rsidR="00D327FA" w:rsidRPr="000D472C" w:rsidTr="0015775B">
        <w:trPr>
          <w:jc w:val="center"/>
        </w:trPr>
        <w:tc>
          <w:tcPr>
            <w:tcW w:w="3053" w:type="dxa"/>
          </w:tcPr>
          <w:p w:rsidR="00D327FA" w:rsidRPr="000D472C" w:rsidRDefault="00D327FA" w:rsidP="00E93AFC">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color w:val="000000"/>
                <w:sz w:val="24"/>
                <w:szCs w:val="24"/>
              </w:rPr>
              <w:t>基金主代码</w:t>
            </w:r>
          </w:p>
        </w:tc>
        <w:tc>
          <w:tcPr>
            <w:tcW w:w="7007" w:type="dxa"/>
            <w:gridSpan w:val="2"/>
            <w:vAlign w:val="center"/>
          </w:tcPr>
          <w:p w:rsidR="00D327FA" w:rsidRPr="000D472C" w:rsidRDefault="008472DB" w:rsidP="00327DA7">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sz w:val="24"/>
                <w:szCs w:val="24"/>
              </w:rPr>
              <w:t>159809</w:t>
            </w:r>
          </w:p>
        </w:tc>
      </w:tr>
      <w:tr w:rsidR="008472DB" w:rsidRPr="000D472C" w:rsidTr="0015775B">
        <w:trPr>
          <w:jc w:val="center"/>
        </w:trPr>
        <w:tc>
          <w:tcPr>
            <w:tcW w:w="3053" w:type="dxa"/>
          </w:tcPr>
          <w:p w:rsidR="008472DB" w:rsidRPr="000D472C" w:rsidRDefault="008472DB" w:rsidP="00E93AFC">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color w:val="000000"/>
                <w:sz w:val="24"/>
                <w:szCs w:val="24"/>
              </w:rPr>
              <w:t>基金管理人名称</w:t>
            </w:r>
          </w:p>
        </w:tc>
        <w:tc>
          <w:tcPr>
            <w:tcW w:w="7007" w:type="dxa"/>
            <w:gridSpan w:val="2"/>
            <w:vAlign w:val="center"/>
          </w:tcPr>
          <w:p w:rsidR="008472DB" w:rsidRPr="000D472C" w:rsidRDefault="008472DB" w:rsidP="00327DA7">
            <w:pPr>
              <w:rPr>
                <w:rFonts w:asciiTheme="minorEastAsia" w:eastAsiaTheme="minorEastAsia" w:hAnsiTheme="minorEastAsia"/>
                <w:sz w:val="24"/>
                <w:szCs w:val="24"/>
              </w:rPr>
            </w:pPr>
            <w:r w:rsidRPr="000D472C">
              <w:rPr>
                <w:rFonts w:asciiTheme="minorEastAsia" w:eastAsiaTheme="minorEastAsia" w:hAnsiTheme="minorEastAsia"/>
                <w:sz w:val="24"/>
                <w:szCs w:val="24"/>
              </w:rPr>
              <w:t>博时基金管理有限公司</w:t>
            </w:r>
          </w:p>
        </w:tc>
      </w:tr>
      <w:tr w:rsidR="008472DB" w:rsidRPr="000D472C" w:rsidTr="0015775B">
        <w:trPr>
          <w:jc w:val="center"/>
        </w:trPr>
        <w:tc>
          <w:tcPr>
            <w:tcW w:w="3053" w:type="dxa"/>
          </w:tcPr>
          <w:p w:rsidR="008472DB" w:rsidRPr="000D472C" w:rsidRDefault="008472DB" w:rsidP="00E93AFC">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color w:val="000000"/>
                <w:sz w:val="24"/>
                <w:szCs w:val="24"/>
              </w:rPr>
              <w:t>公告依据</w:t>
            </w:r>
          </w:p>
        </w:tc>
        <w:tc>
          <w:tcPr>
            <w:tcW w:w="7007" w:type="dxa"/>
            <w:gridSpan w:val="2"/>
            <w:vAlign w:val="center"/>
          </w:tcPr>
          <w:p w:rsidR="008472DB" w:rsidRPr="000D472C" w:rsidRDefault="008472DB" w:rsidP="002B769A">
            <w:pPr>
              <w:spacing w:line="360" w:lineRule="auto"/>
              <w:rPr>
                <w:rFonts w:asciiTheme="minorEastAsia" w:eastAsiaTheme="minorEastAsia" w:hAnsiTheme="minorEastAsia"/>
                <w:sz w:val="24"/>
                <w:szCs w:val="24"/>
              </w:rPr>
            </w:pPr>
            <w:r w:rsidRPr="000D472C">
              <w:rPr>
                <w:rFonts w:asciiTheme="minorEastAsia" w:eastAsiaTheme="minorEastAsia" w:hAnsiTheme="minorEastAsia"/>
                <w:sz w:val="24"/>
                <w:szCs w:val="24"/>
              </w:rPr>
              <w:t>《博时恒生沪深港通大湾区综合交易型开放式指数证券投资基金基金合同》、《博时恒生沪深港通大湾区综合交易型开放式指数证券投资基金招募说明书》等</w:t>
            </w:r>
          </w:p>
        </w:tc>
      </w:tr>
      <w:tr w:rsidR="00D84195" w:rsidRPr="000D472C" w:rsidTr="0015775B">
        <w:trPr>
          <w:jc w:val="center"/>
        </w:trPr>
        <w:tc>
          <w:tcPr>
            <w:tcW w:w="3053" w:type="dxa"/>
            <w:vMerge w:val="restart"/>
            <w:vAlign w:val="center"/>
          </w:tcPr>
          <w:p w:rsidR="00D84195" w:rsidRPr="000D472C" w:rsidRDefault="00D84195" w:rsidP="00D84195">
            <w:pPr>
              <w:spacing w:line="560" w:lineRule="exact"/>
              <w:rPr>
                <w:rFonts w:asciiTheme="minorEastAsia" w:eastAsiaTheme="minorEastAsia" w:hAnsiTheme="minorEastAsia"/>
                <w:color w:val="000000"/>
                <w:sz w:val="24"/>
                <w:szCs w:val="24"/>
              </w:rPr>
            </w:pPr>
            <w:r w:rsidRPr="000D472C">
              <w:rPr>
                <w:rFonts w:asciiTheme="minorEastAsia" w:eastAsiaTheme="minorEastAsia" w:hAnsiTheme="minorEastAsia"/>
                <w:color w:val="000000"/>
                <w:sz w:val="24"/>
                <w:szCs w:val="24"/>
              </w:rPr>
              <w:t>暂停相关业务的起始日</w:t>
            </w:r>
            <w:r>
              <w:rPr>
                <w:rFonts w:asciiTheme="minorEastAsia" w:eastAsiaTheme="minorEastAsia" w:hAnsiTheme="minorEastAsia" w:hint="eastAsia"/>
                <w:color w:val="000000"/>
                <w:sz w:val="24"/>
                <w:szCs w:val="24"/>
              </w:rPr>
              <w:t>及</w:t>
            </w:r>
            <w:r w:rsidRPr="000D472C">
              <w:rPr>
                <w:rFonts w:asciiTheme="minorEastAsia" w:eastAsiaTheme="minorEastAsia" w:hAnsiTheme="minorEastAsia"/>
                <w:color w:val="000000"/>
                <w:sz w:val="24"/>
                <w:szCs w:val="24"/>
              </w:rPr>
              <w:t>原因说明</w:t>
            </w:r>
          </w:p>
        </w:tc>
        <w:tc>
          <w:tcPr>
            <w:tcW w:w="2894" w:type="dxa"/>
          </w:tcPr>
          <w:p w:rsidR="00D84195" w:rsidRPr="000D472C" w:rsidRDefault="00D84195" w:rsidP="00D84195">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color w:val="000000"/>
                <w:sz w:val="24"/>
                <w:szCs w:val="24"/>
              </w:rPr>
              <w:t>暂停申购起始日</w:t>
            </w:r>
          </w:p>
        </w:tc>
        <w:tc>
          <w:tcPr>
            <w:tcW w:w="4113" w:type="dxa"/>
            <w:vAlign w:val="center"/>
          </w:tcPr>
          <w:p w:rsidR="00D84195" w:rsidRPr="000D472C" w:rsidRDefault="009E0409" w:rsidP="006E1F66">
            <w:pPr>
              <w:rPr>
                <w:rFonts w:asciiTheme="minorEastAsia" w:eastAsiaTheme="minorEastAsia" w:hAnsiTheme="minorEastAsia"/>
                <w:sz w:val="24"/>
                <w:szCs w:val="24"/>
              </w:rPr>
            </w:pPr>
            <w:r w:rsidRPr="009E0409">
              <w:rPr>
                <w:rFonts w:asciiTheme="minorEastAsia" w:eastAsiaTheme="minorEastAsia" w:hAnsiTheme="minorEastAsia" w:hint="eastAsia"/>
                <w:sz w:val="24"/>
                <w:szCs w:val="24"/>
              </w:rPr>
              <w:t>2021年</w:t>
            </w:r>
            <w:r w:rsidR="006E1F66">
              <w:rPr>
                <w:rFonts w:asciiTheme="minorEastAsia" w:eastAsiaTheme="minorEastAsia" w:hAnsiTheme="minorEastAsia"/>
                <w:sz w:val="24"/>
                <w:szCs w:val="24"/>
              </w:rPr>
              <w:t>9</w:t>
            </w:r>
            <w:r w:rsidRPr="009E0409">
              <w:rPr>
                <w:rFonts w:asciiTheme="minorEastAsia" w:eastAsiaTheme="minorEastAsia" w:hAnsiTheme="minorEastAsia" w:hint="eastAsia"/>
                <w:sz w:val="24"/>
                <w:szCs w:val="24"/>
              </w:rPr>
              <w:t>月</w:t>
            </w:r>
            <w:r w:rsidR="006E1F66">
              <w:rPr>
                <w:rFonts w:asciiTheme="minorEastAsia" w:eastAsiaTheme="minorEastAsia" w:hAnsiTheme="minorEastAsia"/>
                <w:sz w:val="24"/>
                <w:szCs w:val="24"/>
              </w:rPr>
              <w:t>16</w:t>
            </w:r>
            <w:r w:rsidRPr="009E0409">
              <w:rPr>
                <w:rFonts w:asciiTheme="minorEastAsia" w:eastAsiaTheme="minorEastAsia" w:hAnsiTheme="minorEastAsia" w:hint="eastAsia"/>
                <w:sz w:val="24"/>
                <w:szCs w:val="24"/>
              </w:rPr>
              <w:t>日</w:t>
            </w:r>
          </w:p>
        </w:tc>
      </w:tr>
      <w:tr w:rsidR="006E1F66" w:rsidRPr="000D472C" w:rsidTr="0015775B">
        <w:trPr>
          <w:jc w:val="center"/>
        </w:trPr>
        <w:tc>
          <w:tcPr>
            <w:tcW w:w="3053" w:type="dxa"/>
            <w:vMerge/>
          </w:tcPr>
          <w:p w:rsidR="006E1F66" w:rsidRPr="000D472C" w:rsidRDefault="006E1F66" w:rsidP="006E1F66">
            <w:pPr>
              <w:spacing w:line="560" w:lineRule="exact"/>
              <w:rPr>
                <w:rFonts w:asciiTheme="minorEastAsia" w:eastAsiaTheme="minorEastAsia" w:hAnsiTheme="minorEastAsia"/>
                <w:color w:val="000000"/>
                <w:sz w:val="24"/>
                <w:szCs w:val="24"/>
              </w:rPr>
            </w:pPr>
          </w:p>
        </w:tc>
        <w:tc>
          <w:tcPr>
            <w:tcW w:w="2894" w:type="dxa"/>
          </w:tcPr>
          <w:p w:rsidR="006E1F66" w:rsidRPr="000D472C" w:rsidRDefault="006E1F66" w:rsidP="006E1F66">
            <w:pPr>
              <w:spacing w:line="560" w:lineRule="exact"/>
              <w:rPr>
                <w:rFonts w:asciiTheme="minorEastAsia" w:eastAsiaTheme="minorEastAsia" w:hAnsiTheme="minorEastAsia"/>
                <w:color w:val="000000"/>
                <w:kern w:val="0"/>
                <w:sz w:val="24"/>
                <w:szCs w:val="24"/>
              </w:rPr>
            </w:pPr>
            <w:r w:rsidRPr="000D472C">
              <w:rPr>
                <w:rFonts w:asciiTheme="minorEastAsia" w:eastAsiaTheme="minorEastAsia" w:hAnsiTheme="minorEastAsia"/>
                <w:color w:val="000000"/>
                <w:sz w:val="24"/>
                <w:szCs w:val="24"/>
              </w:rPr>
              <w:t>暂停赎回起始日</w:t>
            </w:r>
          </w:p>
        </w:tc>
        <w:tc>
          <w:tcPr>
            <w:tcW w:w="4113" w:type="dxa"/>
            <w:vAlign w:val="center"/>
          </w:tcPr>
          <w:p w:rsidR="006E1F66" w:rsidRPr="000D472C" w:rsidRDefault="006E1F66" w:rsidP="006E1F66">
            <w:pPr>
              <w:rPr>
                <w:rFonts w:asciiTheme="minorEastAsia" w:eastAsiaTheme="minorEastAsia" w:hAnsiTheme="minorEastAsia"/>
                <w:sz w:val="24"/>
                <w:szCs w:val="24"/>
              </w:rPr>
            </w:pPr>
            <w:r w:rsidRPr="009E0409">
              <w:rPr>
                <w:rFonts w:asciiTheme="minorEastAsia" w:eastAsiaTheme="minorEastAsia" w:hAnsiTheme="minorEastAsia" w:hint="eastAsia"/>
                <w:sz w:val="24"/>
                <w:szCs w:val="24"/>
              </w:rPr>
              <w:t>2021年</w:t>
            </w:r>
            <w:r>
              <w:rPr>
                <w:rFonts w:asciiTheme="minorEastAsia" w:eastAsiaTheme="minorEastAsia" w:hAnsiTheme="minorEastAsia"/>
                <w:sz w:val="24"/>
                <w:szCs w:val="24"/>
              </w:rPr>
              <w:t>9</w:t>
            </w:r>
            <w:r w:rsidRPr="009E0409">
              <w:rPr>
                <w:rFonts w:asciiTheme="minorEastAsia" w:eastAsiaTheme="minorEastAsia" w:hAnsiTheme="minorEastAsia" w:hint="eastAsia"/>
                <w:sz w:val="24"/>
                <w:szCs w:val="24"/>
              </w:rPr>
              <w:t>月</w:t>
            </w:r>
            <w:r>
              <w:rPr>
                <w:rFonts w:asciiTheme="minorEastAsia" w:eastAsiaTheme="minorEastAsia" w:hAnsiTheme="minorEastAsia"/>
                <w:sz w:val="24"/>
                <w:szCs w:val="24"/>
              </w:rPr>
              <w:t>16</w:t>
            </w:r>
            <w:r w:rsidRPr="009E0409">
              <w:rPr>
                <w:rFonts w:asciiTheme="minorEastAsia" w:eastAsiaTheme="minorEastAsia" w:hAnsiTheme="minorEastAsia" w:hint="eastAsia"/>
                <w:sz w:val="24"/>
                <w:szCs w:val="24"/>
              </w:rPr>
              <w:t>日</w:t>
            </w:r>
          </w:p>
        </w:tc>
      </w:tr>
      <w:tr w:rsidR="00D84195" w:rsidRPr="000D472C" w:rsidTr="0015775B">
        <w:trPr>
          <w:jc w:val="center"/>
        </w:trPr>
        <w:tc>
          <w:tcPr>
            <w:tcW w:w="3053" w:type="dxa"/>
            <w:vMerge/>
            <w:vAlign w:val="center"/>
          </w:tcPr>
          <w:p w:rsidR="00D84195" w:rsidRPr="000D472C" w:rsidRDefault="00D84195" w:rsidP="00D84195">
            <w:pPr>
              <w:spacing w:line="560" w:lineRule="exact"/>
              <w:rPr>
                <w:rFonts w:asciiTheme="minorEastAsia" w:eastAsiaTheme="minorEastAsia" w:hAnsiTheme="minorEastAsia"/>
                <w:color w:val="000000"/>
                <w:sz w:val="24"/>
                <w:szCs w:val="24"/>
              </w:rPr>
            </w:pPr>
          </w:p>
        </w:tc>
        <w:tc>
          <w:tcPr>
            <w:tcW w:w="2894" w:type="dxa"/>
          </w:tcPr>
          <w:p w:rsidR="00D84195" w:rsidRPr="000D472C" w:rsidRDefault="00D84195" w:rsidP="00D84195">
            <w:pPr>
              <w:spacing w:line="560" w:lineRule="exact"/>
              <w:rPr>
                <w:rFonts w:asciiTheme="minorEastAsia" w:eastAsiaTheme="minorEastAsia" w:hAnsiTheme="minorEastAsia"/>
                <w:color w:val="000000"/>
                <w:kern w:val="0"/>
                <w:sz w:val="24"/>
                <w:szCs w:val="24"/>
              </w:rPr>
            </w:pPr>
            <w:r w:rsidRPr="00F73CCA">
              <w:rPr>
                <w:rFonts w:asciiTheme="minorEastAsia" w:eastAsiaTheme="minorEastAsia" w:hAnsiTheme="minorEastAsia" w:hint="eastAsia"/>
                <w:color w:val="000000"/>
                <w:sz w:val="24"/>
                <w:szCs w:val="24"/>
              </w:rPr>
              <w:t>暂停申购、赎回的原因说明</w:t>
            </w:r>
          </w:p>
        </w:tc>
        <w:tc>
          <w:tcPr>
            <w:tcW w:w="4113" w:type="dxa"/>
          </w:tcPr>
          <w:p w:rsidR="00D84195" w:rsidRPr="000D472C" w:rsidRDefault="00D84195" w:rsidP="006A118B">
            <w:pPr>
              <w:spacing w:line="560" w:lineRule="exact"/>
              <w:rPr>
                <w:rFonts w:asciiTheme="minorEastAsia" w:eastAsiaTheme="minorEastAsia" w:hAnsiTheme="minorEastAsia"/>
                <w:sz w:val="24"/>
                <w:szCs w:val="24"/>
              </w:rPr>
            </w:pPr>
            <w:r w:rsidRPr="000D472C">
              <w:rPr>
                <w:rFonts w:asciiTheme="minorEastAsia" w:eastAsiaTheme="minorEastAsia" w:hAnsiTheme="minorEastAsia"/>
                <w:sz w:val="24"/>
                <w:szCs w:val="24"/>
              </w:rPr>
              <w:t>根据沪深交易所《关于2020年底及2021年深港通下的港股通交易日安排的通知》、《关于2020年岁末及2021年沪港通下港股通交易日安排的通知》等的安排，为了保障基金平稳运作，维护基金份额持有人利益。</w:t>
            </w:r>
          </w:p>
        </w:tc>
      </w:tr>
    </w:tbl>
    <w:p w:rsidR="00086BC2" w:rsidRDefault="006A118B" w:rsidP="00D327FA">
      <w:pPr>
        <w:pStyle w:val="2"/>
        <w:spacing w:line="560" w:lineRule="exact"/>
        <w:rPr>
          <w:rFonts w:asciiTheme="minorEastAsia" w:eastAsiaTheme="minorEastAsia" w:hAnsiTheme="minorEastAsia"/>
          <w:b w:val="0"/>
          <w:bCs w:val="0"/>
          <w:color w:val="000000"/>
          <w:sz w:val="24"/>
          <w:szCs w:val="24"/>
        </w:rPr>
      </w:pPr>
      <w:bookmarkStart w:id="1" w:name="_Toc275961406"/>
      <w:r w:rsidRPr="006A118B">
        <w:rPr>
          <w:rFonts w:asciiTheme="minorEastAsia" w:eastAsiaTheme="minorEastAsia" w:hAnsiTheme="minorEastAsia" w:hint="eastAsia"/>
          <w:b w:val="0"/>
          <w:bCs w:val="0"/>
          <w:color w:val="000000"/>
          <w:sz w:val="24"/>
          <w:szCs w:val="24"/>
        </w:rPr>
        <w:lastRenderedPageBreak/>
        <w:t>注</w:t>
      </w:r>
      <w:r w:rsidRPr="006A118B">
        <w:rPr>
          <w:rFonts w:asciiTheme="minorEastAsia" w:eastAsiaTheme="minorEastAsia" w:hAnsiTheme="minorEastAsia"/>
          <w:b w:val="0"/>
          <w:bCs w:val="0"/>
          <w:color w:val="000000"/>
          <w:sz w:val="24"/>
          <w:szCs w:val="24"/>
        </w:rPr>
        <w:t>：</w:t>
      </w:r>
      <w:bookmarkStart w:id="2" w:name="_GoBack"/>
      <w:bookmarkEnd w:id="2"/>
      <w:r w:rsidRPr="006A118B">
        <w:rPr>
          <w:rFonts w:asciiTheme="minorEastAsia" w:eastAsiaTheme="minorEastAsia" w:hAnsiTheme="minorEastAsia" w:hint="eastAsia"/>
          <w:b w:val="0"/>
          <w:bCs w:val="0"/>
          <w:color w:val="000000"/>
          <w:sz w:val="24"/>
          <w:szCs w:val="24"/>
        </w:rPr>
        <w:t>2021年</w:t>
      </w:r>
      <w:r w:rsidR="006E1F66">
        <w:rPr>
          <w:rFonts w:asciiTheme="minorEastAsia" w:eastAsiaTheme="minorEastAsia" w:hAnsiTheme="minorEastAsia"/>
          <w:b w:val="0"/>
          <w:bCs w:val="0"/>
          <w:color w:val="000000"/>
          <w:sz w:val="24"/>
          <w:szCs w:val="24"/>
        </w:rPr>
        <w:t>9</w:t>
      </w:r>
      <w:r w:rsidR="00447360">
        <w:rPr>
          <w:rFonts w:asciiTheme="minorEastAsia" w:eastAsiaTheme="minorEastAsia" w:hAnsiTheme="minorEastAsia" w:hint="eastAsia"/>
          <w:b w:val="0"/>
          <w:bCs w:val="0"/>
          <w:color w:val="000000"/>
          <w:sz w:val="24"/>
          <w:szCs w:val="24"/>
        </w:rPr>
        <w:t>月</w:t>
      </w:r>
      <w:r w:rsidR="006E1F66">
        <w:rPr>
          <w:rFonts w:asciiTheme="minorEastAsia" w:eastAsiaTheme="minorEastAsia" w:hAnsiTheme="minorEastAsia"/>
          <w:b w:val="0"/>
          <w:bCs w:val="0"/>
          <w:color w:val="000000"/>
          <w:sz w:val="24"/>
          <w:szCs w:val="24"/>
        </w:rPr>
        <w:t>16</w:t>
      </w:r>
      <w:r w:rsidR="00447360">
        <w:rPr>
          <w:rFonts w:asciiTheme="minorEastAsia" w:eastAsiaTheme="minorEastAsia" w:hAnsiTheme="minorEastAsia" w:hint="eastAsia"/>
          <w:b w:val="0"/>
          <w:bCs w:val="0"/>
          <w:color w:val="000000"/>
          <w:sz w:val="24"/>
          <w:szCs w:val="24"/>
        </w:rPr>
        <w:t>日</w:t>
      </w:r>
      <w:r w:rsidR="006E1F66">
        <w:rPr>
          <w:rFonts w:asciiTheme="minorEastAsia" w:eastAsiaTheme="minorEastAsia" w:hAnsiTheme="minorEastAsia" w:hint="eastAsia"/>
          <w:b w:val="0"/>
          <w:bCs w:val="0"/>
          <w:color w:val="000000"/>
          <w:sz w:val="24"/>
          <w:szCs w:val="24"/>
        </w:rPr>
        <w:t>至9月17日</w:t>
      </w:r>
      <w:r w:rsidR="006E1F66">
        <w:rPr>
          <w:rFonts w:asciiTheme="minorEastAsia" w:eastAsiaTheme="minorEastAsia" w:hAnsiTheme="minorEastAsia"/>
          <w:b w:val="0"/>
          <w:bCs w:val="0"/>
          <w:color w:val="000000"/>
          <w:sz w:val="24"/>
          <w:szCs w:val="24"/>
        </w:rPr>
        <w:t>为</w:t>
      </w:r>
      <w:r w:rsidR="006E1F66">
        <w:rPr>
          <w:rFonts w:asciiTheme="minorEastAsia" w:eastAsiaTheme="minorEastAsia" w:hAnsiTheme="minorEastAsia" w:hint="eastAsia"/>
          <w:b w:val="0"/>
          <w:bCs w:val="0"/>
          <w:color w:val="000000"/>
          <w:sz w:val="24"/>
          <w:szCs w:val="24"/>
        </w:rPr>
        <w:t>非</w:t>
      </w:r>
      <w:r w:rsidR="006E1F66">
        <w:rPr>
          <w:rFonts w:asciiTheme="minorEastAsia" w:eastAsiaTheme="minorEastAsia" w:hAnsiTheme="minorEastAsia"/>
          <w:b w:val="0"/>
          <w:bCs w:val="0"/>
          <w:color w:val="000000"/>
          <w:sz w:val="24"/>
          <w:szCs w:val="24"/>
        </w:rPr>
        <w:t>港股通交易日，</w:t>
      </w:r>
      <w:r w:rsidR="00822DF6">
        <w:rPr>
          <w:rFonts w:asciiTheme="minorEastAsia" w:eastAsiaTheme="minorEastAsia" w:hAnsiTheme="minorEastAsia" w:hint="eastAsia"/>
          <w:b w:val="0"/>
          <w:bCs w:val="0"/>
          <w:color w:val="000000"/>
          <w:sz w:val="24"/>
          <w:szCs w:val="24"/>
        </w:rPr>
        <w:t>2021年</w:t>
      </w:r>
      <w:r w:rsidR="006E1F66">
        <w:rPr>
          <w:rFonts w:asciiTheme="minorEastAsia" w:eastAsiaTheme="minorEastAsia" w:hAnsiTheme="minorEastAsia" w:hint="eastAsia"/>
          <w:b w:val="0"/>
          <w:bCs w:val="0"/>
          <w:color w:val="000000"/>
          <w:sz w:val="24"/>
          <w:szCs w:val="24"/>
        </w:rPr>
        <w:t>9月</w:t>
      </w:r>
      <w:r w:rsidR="00C622C0">
        <w:rPr>
          <w:rFonts w:asciiTheme="minorEastAsia" w:eastAsiaTheme="minorEastAsia" w:hAnsiTheme="minorEastAsia"/>
          <w:b w:val="0"/>
          <w:bCs w:val="0"/>
          <w:color w:val="000000"/>
          <w:sz w:val="24"/>
          <w:szCs w:val="24"/>
        </w:rPr>
        <w:t>19</w:t>
      </w:r>
      <w:r w:rsidR="006E1F66">
        <w:rPr>
          <w:rFonts w:asciiTheme="minorEastAsia" w:eastAsiaTheme="minorEastAsia" w:hAnsiTheme="minorEastAsia" w:hint="eastAsia"/>
          <w:b w:val="0"/>
          <w:bCs w:val="0"/>
          <w:color w:val="000000"/>
          <w:sz w:val="24"/>
          <w:szCs w:val="24"/>
        </w:rPr>
        <w:t>日</w:t>
      </w:r>
      <w:r w:rsidR="006E1F66">
        <w:rPr>
          <w:rFonts w:asciiTheme="minorEastAsia" w:eastAsiaTheme="minorEastAsia" w:hAnsiTheme="minorEastAsia"/>
          <w:b w:val="0"/>
          <w:bCs w:val="0"/>
          <w:color w:val="000000"/>
          <w:sz w:val="24"/>
          <w:szCs w:val="24"/>
        </w:rPr>
        <w:t>至</w:t>
      </w:r>
      <w:r w:rsidR="00822DF6">
        <w:rPr>
          <w:rFonts w:asciiTheme="minorEastAsia" w:eastAsiaTheme="minorEastAsia" w:hAnsiTheme="minorEastAsia" w:hint="eastAsia"/>
          <w:b w:val="0"/>
          <w:bCs w:val="0"/>
          <w:color w:val="000000"/>
          <w:sz w:val="24"/>
          <w:szCs w:val="24"/>
        </w:rPr>
        <w:t>2021年</w:t>
      </w:r>
      <w:r w:rsidR="006E1F66">
        <w:rPr>
          <w:rFonts w:asciiTheme="minorEastAsia" w:eastAsiaTheme="minorEastAsia" w:hAnsiTheme="minorEastAsia" w:hint="eastAsia"/>
          <w:b w:val="0"/>
          <w:bCs w:val="0"/>
          <w:color w:val="000000"/>
          <w:sz w:val="24"/>
          <w:szCs w:val="24"/>
        </w:rPr>
        <w:t>9月2</w:t>
      </w:r>
      <w:r w:rsidR="006E1F66">
        <w:rPr>
          <w:rFonts w:asciiTheme="minorEastAsia" w:eastAsiaTheme="minorEastAsia" w:hAnsiTheme="minorEastAsia"/>
          <w:b w:val="0"/>
          <w:bCs w:val="0"/>
          <w:color w:val="000000"/>
          <w:sz w:val="24"/>
          <w:szCs w:val="24"/>
        </w:rPr>
        <w:t>1</w:t>
      </w:r>
      <w:r w:rsidR="006E1F66">
        <w:rPr>
          <w:rFonts w:asciiTheme="minorEastAsia" w:eastAsiaTheme="minorEastAsia" w:hAnsiTheme="minorEastAsia" w:hint="eastAsia"/>
          <w:b w:val="0"/>
          <w:bCs w:val="0"/>
          <w:color w:val="000000"/>
          <w:sz w:val="24"/>
          <w:szCs w:val="24"/>
        </w:rPr>
        <w:t>日</w:t>
      </w:r>
      <w:r w:rsidR="006E1F66">
        <w:rPr>
          <w:rFonts w:asciiTheme="minorEastAsia" w:eastAsiaTheme="minorEastAsia" w:hAnsiTheme="minorEastAsia"/>
          <w:b w:val="0"/>
          <w:bCs w:val="0"/>
          <w:color w:val="000000"/>
          <w:sz w:val="24"/>
          <w:szCs w:val="24"/>
        </w:rPr>
        <w:t>为中秋节假期，</w:t>
      </w:r>
      <w:r w:rsidR="00822DF6">
        <w:rPr>
          <w:rFonts w:asciiTheme="minorEastAsia" w:eastAsiaTheme="minorEastAsia" w:hAnsiTheme="minorEastAsia" w:hint="eastAsia"/>
          <w:b w:val="0"/>
          <w:bCs w:val="0"/>
          <w:color w:val="000000"/>
          <w:sz w:val="24"/>
          <w:szCs w:val="24"/>
        </w:rPr>
        <w:t>2021年</w:t>
      </w:r>
      <w:r w:rsidR="006E1F66">
        <w:rPr>
          <w:rFonts w:asciiTheme="minorEastAsia" w:eastAsiaTheme="minorEastAsia" w:hAnsiTheme="minorEastAsia" w:hint="eastAsia"/>
          <w:b w:val="0"/>
          <w:bCs w:val="0"/>
          <w:color w:val="000000"/>
          <w:sz w:val="24"/>
          <w:szCs w:val="24"/>
        </w:rPr>
        <w:t>9月22日</w:t>
      </w:r>
      <w:r w:rsidR="006E1F66">
        <w:rPr>
          <w:rFonts w:asciiTheme="minorEastAsia" w:eastAsiaTheme="minorEastAsia" w:hAnsiTheme="minorEastAsia"/>
          <w:b w:val="0"/>
          <w:bCs w:val="0"/>
          <w:color w:val="000000"/>
          <w:sz w:val="24"/>
          <w:szCs w:val="24"/>
        </w:rPr>
        <w:t>为中秋节翌日。</w:t>
      </w:r>
    </w:p>
    <w:p w:rsidR="00D327FA" w:rsidRPr="000D472C" w:rsidRDefault="00D327FA" w:rsidP="00D327FA">
      <w:pPr>
        <w:pStyle w:val="2"/>
        <w:spacing w:line="560" w:lineRule="exact"/>
        <w:rPr>
          <w:rFonts w:asciiTheme="minorEastAsia" w:eastAsiaTheme="minorEastAsia" w:hAnsiTheme="minorEastAsia"/>
          <w:bCs w:val="0"/>
          <w:color w:val="000000"/>
          <w:sz w:val="24"/>
          <w:szCs w:val="24"/>
        </w:rPr>
      </w:pPr>
      <w:r w:rsidRPr="000D472C">
        <w:rPr>
          <w:rFonts w:asciiTheme="minorEastAsia" w:eastAsiaTheme="minorEastAsia" w:hAnsiTheme="minorEastAsia"/>
          <w:bCs w:val="0"/>
          <w:color w:val="000000"/>
          <w:sz w:val="24"/>
          <w:szCs w:val="24"/>
        </w:rPr>
        <w:t>2其他需要提示的事项</w:t>
      </w:r>
      <w:bookmarkEnd w:id="1"/>
    </w:p>
    <w:p w:rsidR="005D54D9" w:rsidRDefault="008E2833" w:rsidP="002B73E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sidR="003E3E5D" w:rsidRPr="003E3E5D">
        <w:rPr>
          <w:rFonts w:asciiTheme="minorEastAsia" w:eastAsiaTheme="minorEastAsia" w:hAnsiTheme="minorEastAsia" w:hint="eastAsia"/>
          <w:sz w:val="24"/>
          <w:szCs w:val="24"/>
        </w:rPr>
        <w:t>因2021年</w:t>
      </w:r>
      <w:r w:rsidR="003E3E5D">
        <w:rPr>
          <w:rFonts w:asciiTheme="minorEastAsia" w:eastAsiaTheme="minorEastAsia" w:hAnsiTheme="minorEastAsia"/>
          <w:sz w:val="24"/>
          <w:szCs w:val="24"/>
        </w:rPr>
        <w:t>9</w:t>
      </w:r>
      <w:r w:rsidR="003E3E5D" w:rsidRPr="003E3E5D">
        <w:rPr>
          <w:rFonts w:asciiTheme="minorEastAsia" w:eastAsiaTheme="minorEastAsia" w:hAnsiTheme="minorEastAsia" w:hint="eastAsia"/>
          <w:sz w:val="24"/>
          <w:szCs w:val="24"/>
        </w:rPr>
        <w:t>月</w:t>
      </w:r>
      <w:r w:rsidR="003E3E5D">
        <w:rPr>
          <w:rFonts w:asciiTheme="minorEastAsia" w:eastAsiaTheme="minorEastAsia" w:hAnsiTheme="minorEastAsia"/>
          <w:sz w:val="24"/>
          <w:szCs w:val="24"/>
        </w:rPr>
        <w:t>16</w:t>
      </w:r>
      <w:r w:rsidR="003E3E5D" w:rsidRPr="003E3E5D">
        <w:rPr>
          <w:rFonts w:asciiTheme="minorEastAsia" w:eastAsiaTheme="minorEastAsia" w:hAnsiTheme="minorEastAsia" w:hint="eastAsia"/>
          <w:sz w:val="24"/>
          <w:szCs w:val="24"/>
        </w:rPr>
        <w:t>日、2021年</w:t>
      </w:r>
      <w:r w:rsidR="003E3E5D">
        <w:rPr>
          <w:rFonts w:asciiTheme="minorEastAsia" w:eastAsiaTheme="minorEastAsia" w:hAnsiTheme="minorEastAsia"/>
          <w:sz w:val="24"/>
          <w:szCs w:val="24"/>
        </w:rPr>
        <w:t>9</w:t>
      </w:r>
      <w:r w:rsidR="003E3E5D" w:rsidRPr="003E3E5D">
        <w:rPr>
          <w:rFonts w:asciiTheme="minorEastAsia" w:eastAsiaTheme="minorEastAsia" w:hAnsiTheme="minorEastAsia" w:hint="eastAsia"/>
          <w:sz w:val="24"/>
          <w:szCs w:val="24"/>
        </w:rPr>
        <w:t>月</w:t>
      </w:r>
      <w:r w:rsidR="003E3E5D">
        <w:rPr>
          <w:rFonts w:asciiTheme="minorEastAsia" w:eastAsiaTheme="minorEastAsia" w:hAnsiTheme="minorEastAsia" w:hint="eastAsia"/>
          <w:sz w:val="24"/>
          <w:szCs w:val="24"/>
        </w:rPr>
        <w:t>17</w:t>
      </w:r>
      <w:r w:rsidR="003E3E5D" w:rsidRPr="003E3E5D">
        <w:rPr>
          <w:rFonts w:asciiTheme="minorEastAsia" w:eastAsiaTheme="minorEastAsia" w:hAnsiTheme="minorEastAsia" w:hint="eastAsia"/>
          <w:sz w:val="24"/>
          <w:szCs w:val="24"/>
        </w:rPr>
        <w:t>日为非港股通交易日</w:t>
      </w:r>
      <w:r w:rsidR="00C909BF">
        <w:rPr>
          <w:rFonts w:asciiTheme="minorEastAsia" w:eastAsiaTheme="minorEastAsia" w:hAnsiTheme="minorEastAsia" w:hint="eastAsia"/>
          <w:sz w:val="24"/>
          <w:szCs w:val="24"/>
        </w:rPr>
        <w:t>，2021年9月22日</w:t>
      </w:r>
      <w:r w:rsidR="00C909BF">
        <w:rPr>
          <w:rFonts w:asciiTheme="minorEastAsia" w:eastAsiaTheme="minorEastAsia" w:hAnsiTheme="minorEastAsia"/>
          <w:sz w:val="24"/>
          <w:szCs w:val="24"/>
        </w:rPr>
        <w:t>为中秋节翌日</w:t>
      </w:r>
      <w:r w:rsidR="003E3E5D" w:rsidRPr="003E3E5D">
        <w:rPr>
          <w:rFonts w:asciiTheme="minorEastAsia" w:eastAsiaTheme="minorEastAsia" w:hAnsiTheme="minorEastAsia" w:hint="eastAsia"/>
          <w:sz w:val="24"/>
          <w:szCs w:val="24"/>
        </w:rPr>
        <w:t>，根据沪深交易所《关于2020年底及2021年深港通下的港股通交易日安排的通知》、《关于2020年岁末及2021年沪港通下港股通交易日安排的通知》的相关规定，本基金管理人决定于2021年</w:t>
      </w:r>
      <w:r w:rsidR="003E3E5D">
        <w:rPr>
          <w:rFonts w:asciiTheme="minorEastAsia" w:eastAsiaTheme="minorEastAsia" w:hAnsiTheme="minorEastAsia"/>
          <w:sz w:val="24"/>
          <w:szCs w:val="24"/>
        </w:rPr>
        <w:t>9</w:t>
      </w:r>
      <w:r w:rsidR="003E3E5D" w:rsidRPr="003E3E5D">
        <w:rPr>
          <w:rFonts w:asciiTheme="minorEastAsia" w:eastAsiaTheme="minorEastAsia" w:hAnsiTheme="minorEastAsia" w:hint="eastAsia"/>
          <w:sz w:val="24"/>
          <w:szCs w:val="24"/>
        </w:rPr>
        <w:t>月</w:t>
      </w:r>
      <w:r w:rsidR="003E3E5D">
        <w:rPr>
          <w:rFonts w:asciiTheme="minorEastAsia" w:eastAsiaTheme="minorEastAsia" w:hAnsiTheme="minorEastAsia"/>
          <w:sz w:val="24"/>
          <w:szCs w:val="24"/>
        </w:rPr>
        <w:t>16</w:t>
      </w:r>
      <w:r w:rsidR="003E3E5D" w:rsidRPr="003E3E5D">
        <w:rPr>
          <w:rFonts w:asciiTheme="minorEastAsia" w:eastAsiaTheme="minorEastAsia" w:hAnsiTheme="minorEastAsia" w:hint="eastAsia"/>
          <w:sz w:val="24"/>
          <w:szCs w:val="24"/>
        </w:rPr>
        <w:t>日暂停本基金的申购、赎回业务，并自2021年</w:t>
      </w:r>
      <w:r w:rsidR="003E3E5D">
        <w:rPr>
          <w:rFonts w:asciiTheme="minorEastAsia" w:eastAsiaTheme="minorEastAsia" w:hAnsiTheme="minorEastAsia"/>
          <w:sz w:val="24"/>
          <w:szCs w:val="24"/>
        </w:rPr>
        <w:t>9</w:t>
      </w:r>
      <w:r w:rsidR="003E3E5D" w:rsidRPr="003E3E5D">
        <w:rPr>
          <w:rFonts w:asciiTheme="minorEastAsia" w:eastAsiaTheme="minorEastAsia" w:hAnsiTheme="minorEastAsia" w:hint="eastAsia"/>
          <w:sz w:val="24"/>
          <w:szCs w:val="24"/>
        </w:rPr>
        <w:t>月</w:t>
      </w:r>
      <w:r w:rsidR="003E3E5D">
        <w:rPr>
          <w:rFonts w:asciiTheme="minorEastAsia" w:eastAsiaTheme="minorEastAsia" w:hAnsiTheme="minorEastAsia"/>
          <w:sz w:val="24"/>
          <w:szCs w:val="24"/>
        </w:rPr>
        <w:t>23</w:t>
      </w:r>
      <w:r w:rsidR="003E3E5D" w:rsidRPr="003E3E5D">
        <w:rPr>
          <w:rFonts w:asciiTheme="minorEastAsia" w:eastAsiaTheme="minorEastAsia" w:hAnsiTheme="minorEastAsia" w:hint="eastAsia"/>
          <w:sz w:val="24"/>
          <w:szCs w:val="24"/>
        </w:rPr>
        <w:t>日起恢复本基金的上述业务，届时不再另行公告。投资者在2021年9月16日、2021年9月</w:t>
      </w:r>
      <w:r w:rsidR="003E3E5D">
        <w:rPr>
          <w:rFonts w:asciiTheme="minorEastAsia" w:eastAsiaTheme="minorEastAsia" w:hAnsiTheme="minorEastAsia"/>
          <w:sz w:val="24"/>
          <w:szCs w:val="24"/>
        </w:rPr>
        <w:t>17</w:t>
      </w:r>
      <w:r w:rsidR="003E3E5D" w:rsidRPr="003E3E5D">
        <w:rPr>
          <w:rFonts w:asciiTheme="minorEastAsia" w:eastAsiaTheme="minorEastAsia" w:hAnsiTheme="minorEastAsia" w:hint="eastAsia"/>
          <w:sz w:val="24"/>
          <w:szCs w:val="24"/>
        </w:rPr>
        <w:t>日</w:t>
      </w:r>
      <w:r w:rsidR="00C909BF">
        <w:rPr>
          <w:rFonts w:asciiTheme="minorEastAsia" w:eastAsiaTheme="minorEastAsia" w:hAnsiTheme="minorEastAsia" w:hint="eastAsia"/>
          <w:sz w:val="24"/>
          <w:szCs w:val="24"/>
        </w:rPr>
        <w:t>、2021年9月22日</w:t>
      </w:r>
      <w:r w:rsidR="003E3E5D">
        <w:rPr>
          <w:rFonts w:asciiTheme="minorEastAsia" w:eastAsiaTheme="minorEastAsia" w:hAnsiTheme="minorEastAsia" w:hint="eastAsia"/>
          <w:sz w:val="24"/>
          <w:szCs w:val="24"/>
        </w:rPr>
        <w:t>仍可进行本基金的二级市场交易</w:t>
      </w:r>
      <w:r>
        <w:rPr>
          <w:rFonts w:asciiTheme="minorEastAsia" w:eastAsiaTheme="minorEastAsia" w:hAnsiTheme="minorEastAsia"/>
          <w:sz w:val="24"/>
          <w:szCs w:val="24"/>
        </w:rPr>
        <w:t>。</w:t>
      </w:r>
    </w:p>
    <w:p w:rsidR="005D54D9" w:rsidRDefault="008E283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sidR="002B73E2">
        <w:rPr>
          <w:rFonts w:asciiTheme="minorEastAsia" w:eastAsiaTheme="minorEastAsia" w:hAnsiTheme="minorEastAsia"/>
          <w:sz w:val="24"/>
          <w:szCs w:val="24"/>
        </w:rPr>
        <w:t>2</w:t>
      </w:r>
      <w:r>
        <w:rPr>
          <w:rFonts w:asciiTheme="minorEastAsia" w:eastAsiaTheme="minorEastAsia" w:hAnsiTheme="minorEastAsia"/>
          <w:sz w:val="24"/>
          <w:szCs w:val="24"/>
        </w:rPr>
        <w:t>）若港股通交易日安排、深圳证券交易所、香港联合交易所有限公司状况等发生变化，或根据法律法规、基金合同等规定需要调整上述事项的，或中国证监会、证券交易所发布新一年度节假日放假和休市安排影响本基金申赎等业务办理的，本公司将及时公告相关业务安排。为避免因非港股通交易日原因带来的不便，敬请投资者提前进行相关业务安排。</w:t>
      </w:r>
    </w:p>
    <w:p w:rsidR="0021068D" w:rsidRDefault="008E2833" w:rsidP="0021068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sidR="00DA1BE9">
        <w:rPr>
          <w:rFonts w:asciiTheme="minorEastAsia" w:eastAsiaTheme="minorEastAsia" w:hAnsiTheme="minorEastAsia"/>
          <w:sz w:val="24"/>
          <w:szCs w:val="24"/>
        </w:rPr>
        <w:t>3</w:t>
      </w:r>
      <w:r>
        <w:rPr>
          <w:rFonts w:asciiTheme="minorEastAsia" w:eastAsiaTheme="minorEastAsia" w:hAnsiTheme="minorEastAsia"/>
          <w:sz w:val="24"/>
          <w:szCs w:val="24"/>
        </w:rPr>
        <w:t>）如有疑问，请拨打博时一线通：95105568（免长途话费）或登录本公司网站www.bosera.com</w:t>
      </w:r>
      <w:r w:rsidR="0021068D">
        <w:rPr>
          <w:rFonts w:asciiTheme="minorEastAsia" w:eastAsiaTheme="minorEastAsia" w:hAnsiTheme="minorEastAsia"/>
          <w:sz w:val="24"/>
          <w:szCs w:val="24"/>
        </w:rPr>
        <w:t>获取相关信息</w:t>
      </w:r>
      <w:r w:rsidR="0021068D">
        <w:rPr>
          <w:rFonts w:asciiTheme="minorEastAsia" w:eastAsiaTheme="minorEastAsia" w:hAnsiTheme="minorEastAsia" w:hint="eastAsia"/>
          <w:sz w:val="24"/>
          <w:szCs w:val="24"/>
        </w:rPr>
        <w:t>。</w:t>
      </w:r>
    </w:p>
    <w:p w:rsidR="00845ADA" w:rsidRDefault="00845ADA" w:rsidP="0021068D">
      <w:pPr>
        <w:spacing w:line="360" w:lineRule="auto"/>
        <w:ind w:firstLineChars="200" w:firstLine="480"/>
        <w:rPr>
          <w:rFonts w:asciiTheme="minorEastAsia" w:eastAsiaTheme="minorEastAsia" w:hAnsiTheme="minorEastAsia"/>
          <w:sz w:val="24"/>
          <w:szCs w:val="24"/>
        </w:rPr>
      </w:pPr>
    </w:p>
    <w:p w:rsidR="00845ADA" w:rsidRPr="00845ADA" w:rsidRDefault="00845ADA" w:rsidP="0021068D">
      <w:pPr>
        <w:spacing w:line="360" w:lineRule="auto"/>
        <w:ind w:firstLineChars="200" w:firstLine="480"/>
        <w:rPr>
          <w:rFonts w:asciiTheme="minorEastAsia" w:eastAsiaTheme="minorEastAsia" w:hAnsiTheme="minorEastAsia"/>
          <w:sz w:val="24"/>
          <w:szCs w:val="24"/>
        </w:rPr>
      </w:pPr>
    </w:p>
    <w:p w:rsidR="00845ADA" w:rsidRDefault="00845ADA" w:rsidP="00845AD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w:t>
      </w:r>
      <w:r>
        <w:rPr>
          <w:rFonts w:asciiTheme="minorEastAsia" w:eastAsiaTheme="minorEastAsia" w:hAnsiTheme="minorEastAsia"/>
          <w:sz w:val="24"/>
          <w:szCs w:val="24"/>
        </w:rPr>
        <w:t>公告。</w:t>
      </w:r>
    </w:p>
    <w:p w:rsidR="00CF1B9F" w:rsidRDefault="00CF1B9F" w:rsidP="0021068D">
      <w:pPr>
        <w:spacing w:line="360" w:lineRule="auto"/>
        <w:ind w:firstLineChars="200" w:firstLine="480"/>
        <w:rPr>
          <w:rFonts w:asciiTheme="minorEastAsia" w:eastAsiaTheme="minorEastAsia" w:hAnsiTheme="minorEastAsia"/>
          <w:sz w:val="24"/>
          <w:szCs w:val="24"/>
        </w:rPr>
      </w:pPr>
    </w:p>
    <w:p w:rsidR="005D54D9" w:rsidRDefault="005D54D9">
      <w:pPr>
        <w:spacing w:line="360" w:lineRule="auto"/>
        <w:ind w:firstLineChars="200" w:firstLine="480"/>
        <w:rPr>
          <w:rFonts w:asciiTheme="minorEastAsia" w:eastAsiaTheme="minorEastAsia" w:hAnsiTheme="minorEastAsia"/>
          <w:sz w:val="24"/>
          <w:szCs w:val="24"/>
        </w:rPr>
      </w:pPr>
    </w:p>
    <w:p w:rsidR="00CF1B9F" w:rsidRDefault="00CF1B9F">
      <w:pPr>
        <w:spacing w:line="360" w:lineRule="auto"/>
        <w:ind w:firstLineChars="200" w:firstLine="480"/>
        <w:rPr>
          <w:rFonts w:asciiTheme="minorEastAsia" w:eastAsiaTheme="minorEastAsia" w:hAnsiTheme="minorEastAsia"/>
          <w:sz w:val="24"/>
          <w:szCs w:val="24"/>
        </w:rPr>
      </w:pPr>
    </w:p>
    <w:p w:rsidR="005D54D9" w:rsidRDefault="005D54D9">
      <w:pPr>
        <w:spacing w:line="360" w:lineRule="auto"/>
        <w:ind w:firstLineChars="200" w:firstLine="480"/>
        <w:rPr>
          <w:rFonts w:asciiTheme="minorEastAsia" w:eastAsiaTheme="minorEastAsia" w:hAnsiTheme="minorEastAsia"/>
          <w:sz w:val="24"/>
          <w:szCs w:val="24"/>
        </w:rPr>
      </w:pPr>
    </w:p>
    <w:p w:rsidR="005D54D9" w:rsidRDefault="008E2833" w:rsidP="002B769A">
      <w:pPr>
        <w:spacing w:line="360" w:lineRule="auto"/>
        <w:ind w:firstLineChars="950" w:firstLine="2280"/>
        <w:jc w:val="right"/>
        <w:rPr>
          <w:rFonts w:asciiTheme="minorEastAsia" w:eastAsiaTheme="minorEastAsia" w:hAnsiTheme="minorEastAsia"/>
          <w:sz w:val="24"/>
          <w:szCs w:val="24"/>
        </w:rPr>
      </w:pPr>
      <w:r>
        <w:rPr>
          <w:rFonts w:asciiTheme="minorEastAsia" w:eastAsiaTheme="minorEastAsia" w:hAnsiTheme="minorEastAsia"/>
          <w:sz w:val="24"/>
          <w:szCs w:val="24"/>
        </w:rPr>
        <w:t>博时基金管理有限公司</w:t>
      </w:r>
    </w:p>
    <w:p w:rsidR="00D327FA" w:rsidRPr="000D472C" w:rsidRDefault="00770DB7" w:rsidP="002B769A">
      <w:pPr>
        <w:spacing w:line="360" w:lineRule="auto"/>
        <w:ind w:firstLineChars="200" w:firstLine="480"/>
        <w:jc w:val="right"/>
        <w:rPr>
          <w:rFonts w:asciiTheme="minorEastAsia" w:eastAsiaTheme="minorEastAsia" w:hAnsiTheme="minorEastAsia"/>
          <w:sz w:val="24"/>
          <w:szCs w:val="24"/>
        </w:rPr>
      </w:pPr>
      <w:r w:rsidRPr="000D472C">
        <w:rPr>
          <w:rFonts w:asciiTheme="minorEastAsia" w:eastAsiaTheme="minorEastAsia" w:hAnsiTheme="minorEastAsia"/>
          <w:sz w:val="24"/>
          <w:szCs w:val="24"/>
        </w:rPr>
        <w:t>2021年</w:t>
      </w:r>
      <w:r w:rsidR="006E1F66">
        <w:rPr>
          <w:rFonts w:asciiTheme="minorEastAsia" w:eastAsiaTheme="minorEastAsia" w:hAnsiTheme="minorEastAsia"/>
          <w:sz w:val="24"/>
          <w:szCs w:val="24"/>
        </w:rPr>
        <w:t>9</w:t>
      </w:r>
      <w:r w:rsidRPr="000D472C">
        <w:rPr>
          <w:rFonts w:asciiTheme="minorEastAsia" w:eastAsiaTheme="minorEastAsia" w:hAnsiTheme="minorEastAsia"/>
          <w:sz w:val="24"/>
          <w:szCs w:val="24"/>
        </w:rPr>
        <w:t>月</w:t>
      </w:r>
      <w:r w:rsidR="006E1F66">
        <w:rPr>
          <w:rFonts w:asciiTheme="minorEastAsia" w:eastAsiaTheme="minorEastAsia" w:hAnsiTheme="minorEastAsia"/>
          <w:sz w:val="24"/>
          <w:szCs w:val="24"/>
        </w:rPr>
        <w:t>15</w:t>
      </w:r>
      <w:r w:rsidRPr="000D472C">
        <w:rPr>
          <w:rFonts w:asciiTheme="minorEastAsia" w:eastAsiaTheme="minorEastAsia" w:hAnsiTheme="minorEastAsia"/>
          <w:sz w:val="24"/>
          <w:szCs w:val="24"/>
        </w:rPr>
        <w:t>日</w:t>
      </w:r>
    </w:p>
    <w:p w:rsidR="00364C2A" w:rsidRPr="000D472C" w:rsidRDefault="00E42EB9">
      <w:pPr>
        <w:rPr>
          <w:rFonts w:asciiTheme="minorEastAsia" w:eastAsiaTheme="minorEastAsia" w:hAnsiTheme="minorEastAsia"/>
          <w:sz w:val="24"/>
          <w:szCs w:val="24"/>
        </w:rPr>
      </w:pPr>
    </w:p>
    <w:sectPr w:rsidR="00364C2A" w:rsidRPr="000D472C"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B9" w:rsidRDefault="00E42EB9" w:rsidP="00D327FA">
      <w:r>
        <w:separator/>
      </w:r>
    </w:p>
  </w:endnote>
  <w:endnote w:type="continuationSeparator" w:id="0">
    <w:p w:rsidR="00E42EB9" w:rsidRDefault="00E42EB9"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B9" w:rsidRDefault="00E42EB9" w:rsidP="00D327FA">
      <w:r>
        <w:separator/>
      </w:r>
    </w:p>
  </w:footnote>
  <w:footnote w:type="continuationSeparator" w:id="0">
    <w:p w:rsidR="00E42EB9" w:rsidRDefault="00E42EB9"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41353"/>
    <w:rsid w:val="0006590C"/>
    <w:rsid w:val="00086BC2"/>
    <w:rsid w:val="000B7A77"/>
    <w:rsid w:val="000D472C"/>
    <w:rsid w:val="000E4CBF"/>
    <w:rsid w:val="000E77B5"/>
    <w:rsid w:val="000F55E1"/>
    <w:rsid w:val="00125367"/>
    <w:rsid w:val="0013025A"/>
    <w:rsid w:val="0015775B"/>
    <w:rsid w:val="00180DA3"/>
    <w:rsid w:val="001911CF"/>
    <w:rsid w:val="001A0D79"/>
    <w:rsid w:val="001B4F9F"/>
    <w:rsid w:val="001B5835"/>
    <w:rsid w:val="001D3B58"/>
    <w:rsid w:val="001F39EF"/>
    <w:rsid w:val="0021068D"/>
    <w:rsid w:val="00245724"/>
    <w:rsid w:val="00260D21"/>
    <w:rsid w:val="002638B1"/>
    <w:rsid w:val="00285347"/>
    <w:rsid w:val="002935EF"/>
    <w:rsid w:val="00296186"/>
    <w:rsid w:val="00297148"/>
    <w:rsid w:val="002A6277"/>
    <w:rsid w:val="002B73E2"/>
    <w:rsid w:val="002B769A"/>
    <w:rsid w:val="002F7241"/>
    <w:rsid w:val="00327DA7"/>
    <w:rsid w:val="0033476C"/>
    <w:rsid w:val="0036784E"/>
    <w:rsid w:val="003B45FE"/>
    <w:rsid w:val="003D0DCF"/>
    <w:rsid w:val="003D3818"/>
    <w:rsid w:val="003E3E5D"/>
    <w:rsid w:val="004068A9"/>
    <w:rsid w:val="00447360"/>
    <w:rsid w:val="004966BA"/>
    <w:rsid w:val="004B1D96"/>
    <w:rsid w:val="004D6346"/>
    <w:rsid w:val="004F0521"/>
    <w:rsid w:val="004F4A42"/>
    <w:rsid w:val="004F51E8"/>
    <w:rsid w:val="004F636B"/>
    <w:rsid w:val="005100D2"/>
    <w:rsid w:val="00510E58"/>
    <w:rsid w:val="00535534"/>
    <w:rsid w:val="00536E8E"/>
    <w:rsid w:val="0055497B"/>
    <w:rsid w:val="005D54D9"/>
    <w:rsid w:val="005F2DBE"/>
    <w:rsid w:val="00603A93"/>
    <w:rsid w:val="00633C51"/>
    <w:rsid w:val="00646522"/>
    <w:rsid w:val="00655CFB"/>
    <w:rsid w:val="00663031"/>
    <w:rsid w:val="006A0A5E"/>
    <w:rsid w:val="006A118B"/>
    <w:rsid w:val="006A4A1A"/>
    <w:rsid w:val="006C640E"/>
    <w:rsid w:val="006E1F66"/>
    <w:rsid w:val="007022C3"/>
    <w:rsid w:val="00712285"/>
    <w:rsid w:val="0073121C"/>
    <w:rsid w:val="0073228C"/>
    <w:rsid w:val="00753E39"/>
    <w:rsid w:val="00762FED"/>
    <w:rsid w:val="00770DB7"/>
    <w:rsid w:val="00794E5A"/>
    <w:rsid w:val="007B0250"/>
    <w:rsid w:val="007B1D31"/>
    <w:rsid w:val="007F3CE6"/>
    <w:rsid w:val="008175D6"/>
    <w:rsid w:val="00822DF6"/>
    <w:rsid w:val="008406A5"/>
    <w:rsid w:val="00845ADA"/>
    <w:rsid w:val="008472DB"/>
    <w:rsid w:val="008712F5"/>
    <w:rsid w:val="008D6773"/>
    <w:rsid w:val="008E2833"/>
    <w:rsid w:val="008E6F7C"/>
    <w:rsid w:val="00956B0F"/>
    <w:rsid w:val="00975164"/>
    <w:rsid w:val="009C5858"/>
    <w:rsid w:val="009E0409"/>
    <w:rsid w:val="00A2638C"/>
    <w:rsid w:val="00A27580"/>
    <w:rsid w:val="00A428CE"/>
    <w:rsid w:val="00A52D37"/>
    <w:rsid w:val="00A5414E"/>
    <w:rsid w:val="00AD7BDD"/>
    <w:rsid w:val="00AF024E"/>
    <w:rsid w:val="00B00006"/>
    <w:rsid w:val="00B101F7"/>
    <w:rsid w:val="00B419DA"/>
    <w:rsid w:val="00B872E5"/>
    <w:rsid w:val="00BB5AE4"/>
    <w:rsid w:val="00BD545A"/>
    <w:rsid w:val="00BD601B"/>
    <w:rsid w:val="00BE41B5"/>
    <w:rsid w:val="00C622C0"/>
    <w:rsid w:val="00C70EDA"/>
    <w:rsid w:val="00C909BF"/>
    <w:rsid w:val="00CF1B9F"/>
    <w:rsid w:val="00D114B7"/>
    <w:rsid w:val="00D1480F"/>
    <w:rsid w:val="00D327FA"/>
    <w:rsid w:val="00D84195"/>
    <w:rsid w:val="00DA1BE9"/>
    <w:rsid w:val="00DA70AC"/>
    <w:rsid w:val="00DD22A8"/>
    <w:rsid w:val="00E42EB9"/>
    <w:rsid w:val="00E830A4"/>
    <w:rsid w:val="00ED408B"/>
    <w:rsid w:val="00EE1823"/>
    <w:rsid w:val="00F039B7"/>
    <w:rsid w:val="00F15B17"/>
    <w:rsid w:val="00F6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8BC4"/>
  <w15:docId w15:val="{76BFC2D4-83CF-461C-9F2B-FE9FEBD5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147</Words>
  <Characters>841</Characters>
  <Application>Microsoft Office Word</Application>
  <DocSecurity>0</DocSecurity>
  <Lines>7</Lines>
  <Paragraphs>1</Paragraphs>
  <ScaleCrop>false</ScaleCrop>
  <Company>微软中国</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孙慧敏</cp:lastModifiedBy>
  <cp:revision>41</cp:revision>
  <dcterms:created xsi:type="dcterms:W3CDTF">2021-02-08T00:50:00Z</dcterms:created>
  <dcterms:modified xsi:type="dcterms:W3CDTF">2021-09-14T06:59:00Z</dcterms:modified>
</cp:coreProperties>
</file>