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4F931" w14:textId="77777777" w:rsidR="00E37EF0" w:rsidRDefault="00752A9C" w:rsidP="00752A9C">
      <w:pPr>
        <w:widowControl/>
        <w:jc w:val="center"/>
        <w:rPr>
          <w:rFonts w:asciiTheme="minorEastAsia" w:eastAsiaTheme="minorEastAsia" w:hAnsiTheme="minorEastAsia" w:cs="宋体"/>
          <w:b/>
          <w:kern w:val="0"/>
          <w:sz w:val="30"/>
          <w:szCs w:val="30"/>
        </w:rPr>
      </w:pPr>
      <w:r w:rsidRPr="007A7F97">
        <w:rPr>
          <w:rFonts w:asciiTheme="minorEastAsia" w:eastAsiaTheme="minorEastAsia" w:hAnsiTheme="minorEastAsia" w:cs="宋体" w:hint="eastAsia"/>
          <w:b/>
          <w:kern w:val="0"/>
          <w:sz w:val="30"/>
          <w:szCs w:val="30"/>
        </w:rPr>
        <w:t>博时安弘一年定期开放债券型发起式证券投资基金</w:t>
      </w:r>
    </w:p>
    <w:p w14:paraId="16389004" w14:textId="77777777" w:rsidR="00752A9C" w:rsidRPr="007A7F97" w:rsidRDefault="00752A9C" w:rsidP="00752A9C">
      <w:pPr>
        <w:widowControl/>
        <w:jc w:val="center"/>
        <w:rPr>
          <w:rFonts w:asciiTheme="minorEastAsia" w:eastAsiaTheme="minorEastAsia" w:hAnsiTheme="minorEastAsia" w:cs="宋体"/>
          <w:b/>
          <w:kern w:val="0"/>
          <w:sz w:val="30"/>
          <w:szCs w:val="30"/>
        </w:rPr>
      </w:pPr>
      <w:r w:rsidRPr="007A7F97">
        <w:rPr>
          <w:rFonts w:asciiTheme="minorEastAsia" w:eastAsiaTheme="minorEastAsia" w:hAnsiTheme="minorEastAsia" w:cs="宋体" w:hint="eastAsia"/>
          <w:b/>
          <w:kern w:val="0"/>
          <w:sz w:val="30"/>
          <w:szCs w:val="30"/>
        </w:rPr>
        <w:t>开放</w:t>
      </w:r>
      <w:r w:rsidR="00E37EF0">
        <w:rPr>
          <w:rFonts w:asciiTheme="minorEastAsia" w:eastAsiaTheme="minorEastAsia" w:hAnsiTheme="minorEastAsia" w:cs="宋体" w:hint="eastAsia"/>
          <w:b/>
          <w:kern w:val="0"/>
          <w:sz w:val="30"/>
          <w:szCs w:val="30"/>
        </w:rPr>
        <w:t>日常</w:t>
      </w:r>
      <w:r w:rsidRPr="007A7F97">
        <w:rPr>
          <w:rFonts w:asciiTheme="minorEastAsia" w:eastAsiaTheme="minorEastAsia" w:hAnsiTheme="minorEastAsia" w:cs="宋体" w:hint="eastAsia"/>
          <w:b/>
          <w:kern w:val="0"/>
          <w:sz w:val="30"/>
          <w:szCs w:val="30"/>
        </w:rPr>
        <w:t>申购、赎回业务的公告</w:t>
      </w:r>
    </w:p>
    <w:p w14:paraId="12F99A4F" w14:textId="6F930B35" w:rsidR="00752A9C" w:rsidRPr="00000864" w:rsidRDefault="00752A9C" w:rsidP="00752A9C">
      <w:pPr>
        <w:spacing w:line="560" w:lineRule="exact"/>
        <w:jc w:val="center"/>
        <w:rPr>
          <w:rFonts w:asciiTheme="minorEastAsia" w:eastAsiaTheme="minorEastAsia" w:hAnsiTheme="minorEastAsia" w:cs="宋体"/>
          <w:bCs/>
          <w:sz w:val="24"/>
          <w:szCs w:val="24"/>
        </w:rPr>
      </w:pPr>
      <w:r w:rsidRPr="00000864">
        <w:rPr>
          <w:rFonts w:asciiTheme="minorEastAsia" w:eastAsiaTheme="minorEastAsia" w:hAnsiTheme="minorEastAsia"/>
          <w:color w:val="000000"/>
          <w:sz w:val="24"/>
          <w:szCs w:val="24"/>
        </w:rPr>
        <w:t>公告送出日期：</w:t>
      </w:r>
      <w:r w:rsidR="002C0B19">
        <w:rPr>
          <w:rFonts w:asciiTheme="minorEastAsia" w:eastAsiaTheme="minorEastAsia" w:hAnsiTheme="minorEastAsia" w:cs="宋体"/>
          <w:bCs/>
          <w:sz w:val="24"/>
          <w:szCs w:val="24"/>
        </w:rPr>
        <w:t>2021年11月25日</w:t>
      </w:r>
    </w:p>
    <w:p w14:paraId="0CA18CAA" w14:textId="77777777" w:rsidR="003C037B" w:rsidRPr="00E37EF0" w:rsidRDefault="003C037B" w:rsidP="00752A9C">
      <w:pPr>
        <w:spacing w:line="560" w:lineRule="exact"/>
        <w:jc w:val="center"/>
        <w:rPr>
          <w:rFonts w:asciiTheme="minorEastAsia" w:eastAsiaTheme="minorEastAsia" w:hAnsiTheme="minorEastAsia"/>
          <w:color w:val="000000"/>
          <w:sz w:val="24"/>
          <w:szCs w:val="24"/>
        </w:rPr>
      </w:pPr>
    </w:p>
    <w:p w14:paraId="2C9DFF92" w14:textId="77777777"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0" w:name="_Toc275961395"/>
      <w:r w:rsidRPr="00000864">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3213"/>
      </w:tblGrid>
      <w:tr w:rsidR="00752A9C" w:rsidRPr="00000864" w14:paraId="6F79DF9D" w14:textId="77777777" w:rsidTr="00BE7E89">
        <w:trPr>
          <w:jc w:val="center"/>
        </w:trPr>
        <w:tc>
          <w:tcPr>
            <w:tcW w:w="3213" w:type="dxa"/>
          </w:tcPr>
          <w:p w14:paraId="44624527" w14:textId="77777777" w:rsidR="00752A9C" w:rsidRPr="00000864" w:rsidRDefault="00752A9C" w:rsidP="00E93AFC">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基金名称</w:t>
            </w:r>
          </w:p>
        </w:tc>
        <w:tc>
          <w:tcPr>
            <w:tcW w:w="6426" w:type="dxa"/>
            <w:gridSpan w:val="2"/>
            <w:vAlign w:val="center"/>
          </w:tcPr>
          <w:p w14:paraId="0903BD17" w14:textId="77777777" w:rsidR="00752A9C" w:rsidRPr="00000864" w:rsidRDefault="00752A9C"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博时安弘一年定期开放债券型</w:t>
            </w:r>
            <w:r w:rsidR="003E6D3A">
              <w:rPr>
                <w:rFonts w:asciiTheme="minorEastAsia" w:eastAsiaTheme="minorEastAsia" w:hAnsiTheme="minorEastAsia" w:hint="eastAsia"/>
                <w:sz w:val="24"/>
                <w:szCs w:val="24"/>
              </w:rPr>
              <w:t>发起式</w:t>
            </w:r>
            <w:r w:rsidRPr="00000864">
              <w:rPr>
                <w:rFonts w:asciiTheme="minorEastAsia" w:eastAsiaTheme="minorEastAsia" w:hAnsiTheme="minorEastAsia"/>
                <w:sz w:val="24"/>
                <w:szCs w:val="24"/>
              </w:rPr>
              <w:t>证券投资基金</w:t>
            </w:r>
          </w:p>
        </w:tc>
      </w:tr>
      <w:tr w:rsidR="00752A9C" w:rsidRPr="00000864" w14:paraId="057F9AED" w14:textId="77777777" w:rsidTr="00BE7E89">
        <w:trPr>
          <w:jc w:val="center"/>
        </w:trPr>
        <w:tc>
          <w:tcPr>
            <w:tcW w:w="3213" w:type="dxa"/>
          </w:tcPr>
          <w:p w14:paraId="31847615" w14:textId="77777777" w:rsidR="00752A9C" w:rsidRPr="00000864" w:rsidRDefault="00752A9C" w:rsidP="00E93AFC">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基金简称</w:t>
            </w:r>
          </w:p>
        </w:tc>
        <w:tc>
          <w:tcPr>
            <w:tcW w:w="6426" w:type="dxa"/>
            <w:gridSpan w:val="2"/>
            <w:vAlign w:val="center"/>
          </w:tcPr>
          <w:p w14:paraId="41B2DAC5" w14:textId="77777777" w:rsidR="00752A9C" w:rsidRPr="00000864" w:rsidRDefault="00752A9C"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博时安弘一年定开债</w:t>
            </w:r>
            <w:r w:rsidR="003E6D3A">
              <w:rPr>
                <w:rFonts w:asciiTheme="minorEastAsia" w:eastAsiaTheme="minorEastAsia" w:hAnsiTheme="minorEastAsia" w:hint="eastAsia"/>
                <w:sz w:val="24"/>
                <w:szCs w:val="24"/>
              </w:rPr>
              <w:t>发起式</w:t>
            </w:r>
          </w:p>
        </w:tc>
      </w:tr>
      <w:tr w:rsidR="00DA79B5" w:rsidRPr="00000864" w14:paraId="76D81C61" w14:textId="77777777" w:rsidTr="00BE7E89">
        <w:trPr>
          <w:jc w:val="center"/>
        </w:trPr>
        <w:tc>
          <w:tcPr>
            <w:tcW w:w="3213" w:type="dxa"/>
            <w:vAlign w:val="center"/>
          </w:tcPr>
          <w:p w14:paraId="0B672408" w14:textId="77777777" w:rsidR="00DA79B5" w:rsidRPr="00000864" w:rsidRDefault="00DA79B5" w:rsidP="00FB02B7">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基金主代码</w:t>
            </w:r>
          </w:p>
        </w:tc>
        <w:tc>
          <w:tcPr>
            <w:tcW w:w="6426" w:type="dxa"/>
            <w:gridSpan w:val="2"/>
            <w:vAlign w:val="center"/>
          </w:tcPr>
          <w:p w14:paraId="0EDE07A6" w14:textId="77777777" w:rsidR="00DA79B5" w:rsidRPr="00000864" w:rsidRDefault="00DA79B5" w:rsidP="0082483B">
            <w:pPr>
              <w:spacing w:line="560" w:lineRule="exact"/>
              <w:rPr>
                <w:rFonts w:asciiTheme="minorEastAsia" w:eastAsiaTheme="minorEastAsia" w:hAnsiTheme="minorEastAsia"/>
                <w:sz w:val="24"/>
                <w:szCs w:val="24"/>
              </w:rPr>
            </w:pPr>
            <w:r w:rsidRPr="00000864">
              <w:rPr>
                <w:rFonts w:asciiTheme="minorEastAsia" w:eastAsiaTheme="minorEastAsia" w:hAnsiTheme="minorEastAsia"/>
                <w:sz w:val="24"/>
                <w:szCs w:val="24"/>
              </w:rPr>
              <w:t>003682</w:t>
            </w:r>
          </w:p>
        </w:tc>
      </w:tr>
      <w:tr w:rsidR="00DA79B5" w:rsidRPr="00000864" w14:paraId="55C5CEC2" w14:textId="77777777" w:rsidTr="00BE7E89">
        <w:trPr>
          <w:jc w:val="center"/>
        </w:trPr>
        <w:tc>
          <w:tcPr>
            <w:tcW w:w="3213" w:type="dxa"/>
          </w:tcPr>
          <w:p w14:paraId="5BC5B477" w14:textId="77777777" w:rsidR="00DA79B5" w:rsidRPr="00000864" w:rsidRDefault="00DA79B5" w:rsidP="00E93AFC">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基金运作方式</w:t>
            </w:r>
          </w:p>
        </w:tc>
        <w:tc>
          <w:tcPr>
            <w:tcW w:w="6426" w:type="dxa"/>
            <w:gridSpan w:val="2"/>
            <w:vAlign w:val="center"/>
          </w:tcPr>
          <w:p w14:paraId="4AA9238E" w14:textId="77777777"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契约型开放式</w:t>
            </w:r>
          </w:p>
        </w:tc>
      </w:tr>
      <w:tr w:rsidR="00DA79B5" w:rsidRPr="00000864" w14:paraId="68823392" w14:textId="77777777" w:rsidTr="00BE7E89">
        <w:trPr>
          <w:jc w:val="center"/>
        </w:trPr>
        <w:tc>
          <w:tcPr>
            <w:tcW w:w="3213" w:type="dxa"/>
          </w:tcPr>
          <w:p w14:paraId="2099CFF4" w14:textId="77777777" w:rsidR="00DA79B5" w:rsidRPr="00000864" w:rsidRDefault="00DA79B5" w:rsidP="00E93AFC">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基金合同生效日</w:t>
            </w:r>
          </w:p>
        </w:tc>
        <w:tc>
          <w:tcPr>
            <w:tcW w:w="6426" w:type="dxa"/>
            <w:gridSpan w:val="2"/>
            <w:vAlign w:val="center"/>
          </w:tcPr>
          <w:p w14:paraId="47CB978F" w14:textId="77777777" w:rsidR="00DA79B5" w:rsidRPr="00000864" w:rsidRDefault="00730DEB"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2016年11月15日</w:t>
            </w:r>
          </w:p>
        </w:tc>
      </w:tr>
      <w:tr w:rsidR="00DA79B5" w:rsidRPr="00000864" w14:paraId="1329E6F8" w14:textId="77777777" w:rsidTr="00BE7E89">
        <w:trPr>
          <w:jc w:val="center"/>
        </w:trPr>
        <w:tc>
          <w:tcPr>
            <w:tcW w:w="3213" w:type="dxa"/>
          </w:tcPr>
          <w:p w14:paraId="66015415" w14:textId="77777777" w:rsidR="00DA79B5" w:rsidRPr="00000864" w:rsidRDefault="00DA79B5" w:rsidP="00E93AFC">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基金管理人名称</w:t>
            </w:r>
          </w:p>
        </w:tc>
        <w:tc>
          <w:tcPr>
            <w:tcW w:w="6426" w:type="dxa"/>
            <w:gridSpan w:val="2"/>
            <w:vAlign w:val="center"/>
          </w:tcPr>
          <w:p w14:paraId="5C03A6FC" w14:textId="77777777"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博时基金管理有限公司</w:t>
            </w:r>
          </w:p>
        </w:tc>
      </w:tr>
      <w:tr w:rsidR="00DA79B5" w:rsidRPr="00000864" w14:paraId="59E6B092" w14:textId="77777777" w:rsidTr="00BE7E89">
        <w:trPr>
          <w:jc w:val="center"/>
        </w:trPr>
        <w:tc>
          <w:tcPr>
            <w:tcW w:w="3213" w:type="dxa"/>
          </w:tcPr>
          <w:p w14:paraId="498E6E44" w14:textId="77777777" w:rsidR="00DA79B5" w:rsidRPr="00000864" w:rsidRDefault="00DA79B5" w:rsidP="00E93AFC">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基金托管人名称</w:t>
            </w:r>
          </w:p>
        </w:tc>
        <w:tc>
          <w:tcPr>
            <w:tcW w:w="6426" w:type="dxa"/>
            <w:gridSpan w:val="2"/>
            <w:vAlign w:val="center"/>
          </w:tcPr>
          <w:p w14:paraId="78290D0D" w14:textId="77777777"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招商银行股份有限公司</w:t>
            </w:r>
          </w:p>
        </w:tc>
      </w:tr>
      <w:tr w:rsidR="00DA79B5" w:rsidRPr="00000864" w14:paraId="591895B1" w14:textId="77777777" w:rsidTr="00BE7E89">
        <w:trPr>
          <w:jc w:val="center"/>
        </w:trPr>
        <w:tc>
          <w:tcPr>
            <w:tcW w:w="3213" w:type="dxa"/>
          </w:tcPr>
          <w:p w14:paraId="0210ACD5" w14:textId="77777777" w:rsidR="00DA79B5" w:rsidRPr="00000864" w:rsidRDefault="00DA79B5" w:rsidP="00E93AFC">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基金注册登记机构名称</w:t>
            </w:r>
          </w:p>
        </w:tc>
        <w:tc>
          <w:tcPr>
            <w:tcW w:w="6426" w:type="dxa"/>
            <w:gridSpan w:val="2"/>
            <w:vAlign w:val="center"/>
          </w:tcPr>
          <w:p w14:paraId="54C3080C" w14:textId="77777777"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博时基金管理有限公司</w:t>
            </w:r>
          </w:p>
        </w:tc>
      </w:tr>
      <w:tr w:rsidR="00DA79B5" w:rsidRPr="00000864" w14:paraId="63092B4E" w14:textId="77777777" w:rsidTr="00BE7E89">
        <w:trPr>
          <w:jc w:val="center"/>
        </w:trPr>
        <w:tc>
          <w:tcPr>
            <w:tcW w:w="3213" w:type="dxa"/>
          </w:tcPr>
          <w:p w14:paraId="1F339646" w14:textId="77777777" w:rsidR="00DA79B5" w:rsidRPr="00000864" w:rsidRDefault="00DA79B5" w:rsidP="00E93AFC">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公告依据</w:t>
            </w:r>
          </w:p>
        </w:tc>
        <w:tc>
          <w:tcPr>
            <w:tcW w:w="6426" w:type="dxa"/>
            <w:gridSpan w:val="2"/>
            <w:vAlign w:val="center"/>
          </w:tcPr>
          <w:p w14:paraId="1918AF48" w14:textId="77777777" w:rsidR="00DA79B5" w:rsidRPr="00000864" w:rsidRDefault="00DA79B5" w:rsidP="0082483B">
            <w:pPr>
              <w:spacing w:line="560" w:lineRule="exact"/>
              <w:rPr>
                <w:rFonts w:asciiTheme="minorEastAsia" w:eastAsiaTheme="minorEastAsia" w:hAnsiTheme="minorEastAsia"/>
                <w:sz w:val="24"/>
                <w:szCs w:val="24"/>
              </w:rPr>
            </w:pPr>
            <w:r w:rsidRPr="00000864">
              <w:rPr>
                <w:rFonts w:asciiTheme="minorEastAsia" w:eastAsiaTheme="minorEastAsia" w:hAnsiTheme="minorEastAsia"/>
                <w:sz w:val="24"/>
                <w:szCs w:val="24"/>
              </w:rPr>
              <w:t>《中华人民共和国证券投资基金法》、《公开募集证券投资基金运作管理办法》等法律法规以及《博时安弘一年定期开放债券型发起式证券投资基金基金合同》及《博时安弘一年定期开放债券型发起式证券投资基金招募说明书》</w:t>
            </w:r>
          </w:p>
        </w:tc>
      </w:tr>
      <w:tr w:rsidR="00DA79B5" w:rsidRPr="00000864" w14:paraId="3DFEA706" w14:textId="77777777" w:rsidTr="00BE7E89">
        <w:trPr>
          <w:jc w:val="center"/>
        </w:trPr>
        <w:tc>
          <w:tcPr>
            <w:tcW w:w="3213" w:type="dxa"/>
          </w:tcPr>
          <w:p w14:paraId="71CF3A7B" w14:textId="77777777" w:rsidR="00DA79B5" w:rsidRPr="00000864" w:rsidRDefault="00DA79B5" w:rsidP="00E93AFC">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申购起始日</w:t>
            </w:r>
          </w:p>
        </w:tc>
        <w:tc>
          <w:tcPr>
            <w:tcW w:w="6426" w:type="dxa"/>
            <w:gridSpan w:val="2"/>
            <w:vAlign w:val="center"/>
          </w:tcPr>
          <w:p w14:paraId="36037725" w14:textId="5EEDC28A" w:rsidR="00DA79B5" w:rsidRPr="00000864" w:rsidRDefault="002C0B19" w:rsidP="00BE7E89">
            <w:pPr>
              <w:rPr>
                <w:rFonts w:asciiTheme="minorEastAsia" w:eastAsiaTheme="minorEastAsia" w:hAnsiTheme="minorEastAsia"/>
                <w:sz w:val="24"/>
                <w:szCs w:val="24"/>
              </w:rPr>
            </w:pPr>
            <w:r>
              <w:rPr>
                <w:rFonts w:asciiTheme="minorEastAsia" w:eastAsiaTheme="minorEastAsia" w:hAnsiTheme="minorEastAsia"/>
                <w:sz w:val="24"/>
                <w:szCs w:val="24"/>
              </w:rPr>
              <w:t>2021年11月26日</w:t>
            </w:r>
          </w:p>
        </w:tc>
      </w:tr>
      <w:tr w:rsidR="00BE7E89" w:rsidRPr="00000864" w14:paraId="1D8ACF55" w14:textId="77777777" w:rsidTr="00BE7E89">
        <w:trPr>
          <w:jc w:val="center"/>
        </w:trPr>
        <w:tc>
          <w:tcPr>
            <w:tcW w:w="3213" w:type="dxa"/>
          </w:tcPr>
          <w:p w14:paraId="6D5A7030" w14:textId="77777777" w:rsidR="00BE7E89" w:rsidRPr="00000864" w:rsidRDefault="00BE7E89" w:rsidP="00BE7E89">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赎回起始日</w:t>
            </w:r>
          </w:p>
        </w:tc>
        <w:tc>
          <w:tcPr>
            <w:tcW w:w="6426" w:type="dxa"/>
            <w:gridSpan w:val="2"/>
            <w:vAlign w:val="center"/>
          </w:tcPr>
          <w:p w14:paraId="418EC791" w14:textId="09DBE41F" w:rsidR="00BE7E89" w:rsidRPr="00000864" w:rsidRDefault="002C0B19" w:rsidP="00BE7E89">
            <w:pPr>
              <w:rPr>
                <w:rFonts w:asciiTheme="minorEastAsia" w:eastAsiaTheme="minorEastAsia" w:hAnsiTheme="minorEastAsia"/>
                <w:sz w:val="24"/>
                <w:szCs w:val="24"/>
              </w:rPr>
            </w:pPr>
            <w:r>
              <w:rPr>
                <w:rFonts w:asciiTheme="minorEastAsia" w:eastAsiaTheme="minorEastAsia" w:hAnsiTheme="minorEastAsia"/>
                <w:sz w:val="24"/>
                <w:szCs w:val="24"/>
              </w:rPr>
              <w:t>2021年11月26日</w:t>
            </w:r>
          </w:p>
        </w:tc>
      </w:tr>
      <w:tr w:rsidR="003C5EB7" w:rsidRPr="00000864" w14:paraId="19700DA2" w14:textId="77777777" w:rsidTr="00BE7E89">
        <w:trPr>
          <w:jc w:val="center"/>
        </w:trPr>
        <w:tc>
          <w:tcPr>
            <w:tcW w:w="3213" w:type="dxa"/>
          </w:tcPr>
          <w:p w14:paraId="7140B88F" w14:textId="77777777" w:rsidR="003C5EB7" w:rsidRPr="00000864" w:rsidRDefault="00DB7A59" w:rsidP="003C5EB7">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下属</w:t>
            </w:r>
            <w:r w:rsidR="003C5EB7" w:rsidRPr="00000864">
              <w:rPr>
                <w:rFonts w:asciiTheme="minorEastAsia" w:eastAsiaTheme="minorEastAsia" w:hAnsiTheme="minorEastAsia"/>
                <w:color w:val="000000"/>
                <w:sz w:val="24"/>
                <w:szCs w:val="24"/>
              </w:rPr>
              <w:t>基金</w:t>
            </w:r>
            <w:r>
              <w:rPr>
                <w:rFonts w:asciiTheme="minorEastAsia" w:eastAsiaTheme="minorEastAsia" w:hAnsiTheme="minorEastAsia" w:hint="eastAsia"/>
                <w:color w:val="000000"/>
                <w:sz w:val="24"/>
                <w:szCs w:val="24"/>
              </w:rPr>
              <w:t>份额</w:t>
            </w:r>
            <w:r w:rsidR="003C5EB7" w:rsidRPr="00000864">
              <w:rPr>
                <w:rFonts w:asciiTheme="minorEastAsia" w:eastAsiaTheme="minorEastAsia" w:hAnsiTheme="minorEastAsia"/>
                <w:color w:val="000000"/>
                <w:sz w:val="24"/>
                <w:szCs w:val="24"/>
              </w:rPr>
              <w:t>的基金简称</w:t>
            </w:r>
          </w:p>
        </w:tc>
        <w:tc>
          <w:tcPr>
            <w:tcW w:w="3213" w:type="dxa"/>
            <w:vAlign w:val="center"/>
          </w:tcPr>
          <w:p w14:paraId="5AF52721" w14:textId="77777777" w:rsidR="003C5EB7" w:rsidRPr="00000864" w:rsidRDefault="003C5EB7"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博时安弘一年定开债</w:t>
            </w:r>
            <w:r w:rsidR="003E6D3A">
              <w:rPr>
                <w:rFonts w:asciiTheme="minorEastAsia" w:eastAsiaTheme="minorEastAsia" w:hAnsiTheme="minorEastAsia" w:hint="eastAsia"/>
                <w:sz w:val="24"/>
                <w:szCs w:val="24"/>
              </w:rPr>
              <w:t>发起式</w:t>
            </w:r>
            <w:r w:rsidRPr="00000864">
              <w:rPr>
                <w:rFonts w:asciiTheme="minorEastAsia" w:eastAsiaTheme="minorEastAsia" w:hAnsiTheme="minorEastAsia"/>
                <w:sz w:val="24"/>
                <w:szCs w:val="24"/>
              </w:rPr>
              <w:t>A</w:t>
            </w:r>
          </w:p>
        </w:tc>
        <w:tc>
          <w:tcPr>
            <w:tcW w:w="3213" w:type="dxa"/>
            <w:vAlign w:val="center"/>
          </w:tcPr>
          <w:p w14:paraId="09EB0D76" w14:textId="77777777" w:rsidR="003C5EB7" w:rsidRPr="00000864" w:rsidRDefault="003C5EB7"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博时安弘一年定开债</w:t>
            </w:r>
            <w:r w:rsidR="003E6D3A">
              <w:rPr>
                <w:rFonts w:asciiTheme="minorEastAsia" w:eastAsiaTheme="minorEastAsia" w:hAnsiTheme="minorEastAsia" w:hint="eastAsia"/>
                <w:sz w:val="24"/>
                <w:szCs w:val="24"/>
              </w:rPr>
              <w:t>发起式</w:t>
            </w:r>
            <w:r w:rsidRPr="00000864">
              <w:rPr>
                <w:rFonts w:asciiTheme="minorEastAsia" w:eastAsiaTheme="minorEastAsia" w:hAnsiTheme="minorEastAsia"/>
                <w:sz w:val="24"/>
                <w:szCs w:val="24"/>
              </w:rPr>
              <w:t>C</w:t>
            </w:r>
          </w:p>
        </w:tc>
      </w:tr>
      <w:tr w:rsidR="003C5EB7" w:rsidRPr="00000864" w14:paraId="19E6D4C2" w14:textId="77777777" w:rsidTr="00BE7E89">
        <w:trPr>
          <w:jc w:val="center"/>
        </w:trPr>
        <w:tc>
          <w:tcPr>
            <w:tcW w:w="3213" w:type="dxa"/>
            <w:vAlign w:val="center"/>
          </w:tcPr>
          <w:p w14:paraId="7AC7C84E" w14:textId="77777777" w:rsidR="003C5EB7" w:rsidRPr="00000864" w:rsidRDefault="00DB7A59" w:rsidP="00E93AFC">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下属</w:t>
            </w:r>
            <w:r w:rsidR="003C5EB7" w:rsidRPr="00000864">
              <w:rPr>
                <w:rFonts w:asciiTheme="minorEastAsia" w:eastAsiaTheme="minorEastAsia" w:hAnsiTheme="minorEastAsia"/>
                <w:color w:val="000000"/>
                <w:sz w:val="24"/>
                <w:szCs w:val="24"/>
              </w:rPr>
              <w:t>基金</w:t>
            </w:r>
            <w:r>
              <w:rPr>
                <w:rFonts w:asciiTheme="minorEastAsia" w:eastAsiaTheme="minorEastAsia" w:hAnsiTheme="minorEastAsia" w:hint="eastAsia"/>
                <w:color w:val="000000"/>
                <w:sz w:val="24"/>
                <w:szCs w:val="24"/>
              </w:rPr>
              <w:t>份额</w:t>
            </w:r>
            <w:r w:rsidR="003C5EB7" w:rsidRPr="00000864">
              <w:rPr>
                <w:rFonts w:asciiTheme="minorEastAsia" w:eastAsiaTheme="minorEastAsia" w:hAnsiTheme="minorEastAsia"/>
                <w:color w:val="000000"/>
                <w:sz w:val="24"/>
                <w:szCs w:val="24"/>
              </w:rPr>
              <w:t>的交易代码</w:t>
            </w:r>
          </w:p>
        </w:tc>
        <w:tc>
          <w:tcPr>
            <w:tcW w:w="3213" w:type="dxa"/>
            <w:vAlign w:val="center"/>
          </w:tcPr>
          <w:p w14:paraId="5D5C4AFA" w14:textId="77777777" w:rsidR="003C5EB7" w:rsidRPr="00000864" w:rsidRDefault="003C5EB7" w:rsidP="0082483B">
            <w:pPr>
              <w:spacing w:line="530" w:lineRule="exact"/>
              <w:rPr>
                <w:rFonts w:asciiTheme="minorEastAsia" w:eastAsiaTheme="minorEastAsia" w:hAnsiTheme="minorEastAsia"/>
                <w:color w:val="000000"/>
                <w:kern w:val="0"/>
                <w:sz w:val="24"/>
                <w:szCs w:val="24"/>
              </w:rPr>
            </w:pPr>
            <w:r w:rsidRPr="00000864">
              <w:rPr>
                <w:rFonts w:asciiTheme="minorEastAsia" w:eastAsiaTheme="minorEastAsia" w:hAnsiTheme="minorEastAsia"/>
                <w:sz w:val="24"/>
                <w:szCs w:val="24"/>
              </w:rPr>
              <w:t>003682</w:t>
            </w:r>
          </w:p>
        </w:tc>
        <w:tc>
          <w:tcPr>
            <w:tcW w:w="3213" w:type="dxa"/>
            <w:vAlign w:val="center"/>
          </w:tcPr>
          <w:p w14:paraId="38B52F5D" w14:textId="77777777" w:rsidR="003C5EB7" w:rsidRPr="00000864" w:rsidRDefault="003C5EB7" w:rsidP="0082483B">
            <w:pPr>
              <w:spacing w:line="530" w:lineRule="exact"/>
              <w:rPr>
                <w:rFonts w:asciiTheme="minorEastAsia" w:eastAsiaTheme="minorEastAsia" w:hAnsiTheme="minorEastAsia"/>
                <w:color w:val="000000"/>
                <w:kern w:val="0"/>
                <w:sz w:val="24"/>
                <w:szCs w:val="24"/>
              </w:rPr>
            </w:pPr>
            <w:r w:rsidRPr="00000864">
              <w:rPr>
                <w:rFonts w:asciiTheme="minorEastAsia" w:eastAsiaTheme="minorEastAsia" w:hAnsiTheme="minorEastAsia"/>
                <w:sz w:val="24"/>
                <w:szCs w:val="24"/>
              </w:rPr>
              <w:t>003683</w:t>
            </w:r>
          </w:p>
        </w:tc>
      </w:tr>
      <w:tr w:rsidR="003C5EB7" w:rsidRPr="00000864" w14:paraId="549A7794" w14:textId="77777777" w:rsidTr="00BE7E89">
        <w:trPr>
          <w:jc w:val="center"/>
        </w:trPr>
        <w:tc>
          <w:tcPr>
            <w:tcW w:w="3213" w:type="dxa"/>
          </w:tcPr>
          <w:p w14:paraId="477CE560" w14:textId="77777777" w:rsidR="003C5EB7" w:rsidRPr="00000864" w:rsidRDefault="00DB7A59" w:rsidP="00F67E50">
            <w:pPr>
              <w:tabs>
                <w:tab w:val="left" w:pos="1315"/>
              </w:tabs>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该类基金份额</w:t>
            </w:r>
            <w:r w:rsidR="003C5EB7" w:rsidRPr="00000864">
              <w:rPr>
                <w:rFonts w:asciiTheme="minorEastAsia" w:eastAsiaTheme="minorEastAsia" w:hAnsiTheme="minorEastAsia"/>
                <w:color w:val="000000"/>
                <w:sz w:val="24"/>
                <w:szCs w:val="24"/>
              </w:rPr>
              <w:t>是否开放申购、赎回</w:t>
            </w:r>
          </w:p>
        </w:tc>
        <w:tc>
          <w:tcPr>
            <w:tcW w:w="3213" w:type="dxa"/>
            <w:vAlign w:val="center"/>
          </w:tcPr>
          <w:p w14:paraId="1D7877FB" w14:textId="77777777" w:rsidR="003C5EB7" w:rsidRPr="00000864" w:rsidRDefault="003C5EB7" w:rsidP="0082483B">
            <w:pPr>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是</w:t>
            </w:r>
          </w:p>
        </w:tc>
        <w:tc>
          <w:tcPr>
            <w:tcW w:w="3213" w:type="dxa"/>
            <w:vAlign w:val="center"/>
          </w:tcPr>
          <w:p w14:paraId="319FA570" w14:textId="77777777" w:rsidR="003C5EB7" w:rsidRPr="00000864" w:rsidRDefault="003C5EB7" w:rsidP="0082483B">
            <w:pPr>
              <w:spacing w:line="560" w:lineRule="exact"/>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是</w:t>
            </w:r>
          </w:p>
        </w:tc>
      </w:tr>
    </w:tbl>
    <w:p w14:paraId="44EA43F4" w14:textId="77777777" w:rsidR="0016252A" w:rsidRDefault="00DE779B">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lastRenderedPageBreak/>
        <w:t>注：（1）根据博时基金管理有限公司（以下简称“本公司”）于2019年10月15日发布的《博时基金管理有限公司关于博时安弘一年定期开放债券型证券投资基金基金份额持有人大会表决结果暨决议生效的公告》，自2019年11月12日起，原博时安弘一年定期开放债券型证券投资基金的A类基金份额（基金代码：003682）转型为博时安弘一年定期开放债券型发起式证券投资基金A类基金份额，原博时安弘一年定期开放债券型证券投资基金的C类基金份额（基金代码：003683）转型为博时安弘一年定期开放债券型发起式证券投资基金C类基金份额，转型后基金代码不变；自该日起《博时安弘一年定期开放债券型证券投资基金基金合同》失效，《博时安弘一年定期开放债券型发起式证券投资基金基金合同》（以下简称“《基金合同》”）生效；</w:t>
      </w:r>
    </w:p>
    <w:p w14:paraId="6A3DC3A6" w14:textId="59E88FF6" w:rsidR="00752A9C" w:rsidRPr="00000864" w:rsidRDefault="00C80C60" w:rsidP="00252259">
      <w:pPr>
        <w:spacing w:line="360" w:lineRule="auto"/>
        <w:rPr>
          <w:rFonts w:asciiTheme="minorEastAsia" w:eastAsiaTheme="minorEastAsia" w:hAnsiTheme="minorEastAsia"/>
          <w:color w:val="000000"/>
          <w:sz w:val="24"/>
          <w:szCs w:val="24"/>
        </w:rPr>
      </w:pPr>
      <w:r w:rsidRPr="00C80C60">
        <w:rPr>
          <w:rFonts w:asciiTheme="minorEastAsia" w:eastAsiaTheme="minorEastAsia" w:hAnsiTheme="minorEastAsia" w:hint="eastAsia"/>
          <w:color w:val="000000"/>
          <w:kern w:val="0"/>
          <w:sz w:val="24"/>
          <w:szCs w:val="24"/>
        </w:rPr>
        <w:t>（2）投资者应及时通过本基金销售网点、致电博时一线通95105568（免长途话费）或登录本公司网站www.bosera.com查询其申购、赎回、转换、定期定额投资业务申请的确认情况；根据本基金法律文件相关规定，本基金单一投资者持有的份额或构成一致行动人的多个投资者持有的基金份额可达到或者超过50%，本基金不向个人投资者公开销售，个人投资者申购或有确认失败的风险，敬请投资者关注。</w:t>
      </w:r>
    </w:p>
    <w:p w14:paraId="5E87B99A" w14:textId="77777777"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1" w:name="_Toc275961396"/>
      <w:r w:rsidRPr="00000864">
        <w:rPr>
          <w:rFonts w:asciiTheme="minorEastAsia" w:eastAsiaTheme="minorEastAsia" w:hAnsiTheme="minorEastAsia"/>
          <w:bCs w:val="0"/>
          <w:color w:val="000000"/>
          <w:sz w:val="24"/>
          <w:szCs w:val="24"/>
        </w:rPr>
        <w:t>2 日常申购、赎回业务的办理时间</w:t>
      </w:r>
      <w:bookmarkEnd w:id="1"/>
    </w:p>
    <w:p w14:paraId="17E84448"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（1）申购、赎回开始日及业务办理时间</w:t>
      </w:r>
    </w:p>
    <w:p w14:paraId="449030E2"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除法律法规或《基金合同》另有约定外，本基金自基金合同生效日起（含该日）或每个封闭期结束之后第一个工作日起（含该日）进入开放期。本基金每个开放期的期限原则上为五至二十个工作日，开放期以及开放期办理申购与赎回业务的具体事宜见《招募说明书》及基金管理人届时发布的相关公告，在开放期内，基金管理人有权延长开放期时间并公告，但开放期最长不可超过20个工作日。</w:t>
      </w:r>
    </w:p>
    <w:p w14:paraId="6AB026D0"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本基金单一投资者持有的份额或构成一致行动人的多个投资者持有的基金份额可达到或者超过50%，本基金不向个人投资者公开销售。</w:t>
      </w:r>
    </w:p>
    <w:p w14:paraId="02CDFC2B"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w:t>
      </w:r>
      <w:r>
        <w:rPr>
          <w:rFonts w:asciiTheme="minorEastAsia" w:eastAsiaTheme="minorEastAsia" w:hAnsiTheme="minorEastAsia" w:hint="eastAsia"/>
          <w:color w:val="000000"/>
          <w:sz w:val="24"/>
          <w:szCs w:val="24"/>
        </w:rPr>
        <w:lastRenderedPageBreak/>
        <w:t>继续计算该开放期时间。</w:t>
      </w:r>
    </w:p>
    <w:p w14:paraId="334FA1BD" w14:textId="65EC66D9" w:rsidR="0016252A" w:rsidRDefault="00DE779B">
      <w:pPr>
        <w:spacing w:line="360" w:lineRule="auto"/>
        <w:ind w:firstLineChars="200" w:firstLine="480"/>
        <w:rPr>
          <w:rFonts w:asciiTheme="minorEastAsia" w:eastAsiaTheme="minorEastAsia" w:hAnsiTheme="minorEastAsia"/>
          <w:color w:val="000000"/>
          <w:sz w:val="24"/>
          <w:szCs w:val="24"/>
        </w:rPr>
      </w:pPr>
      <w:r w:rsidRPr="00EE7B62">
        <w:rPr>
          <w:rFonts w:asciiTheme="minorEastAsia" w:eastAsiaTheme="minorEastAsia" w:hAnsiTheme="minorEastAsia" w:hint="eastAsia"/>
          <w:color w:val="000000"/>
          <w:sz w:val="24"/>
          <w:szCs w:val="24"/>
        </w:rPr>
        <w:t>本基金</w:t>
      </w:r>
      <w:r w:rsidR="00F35068" w:rsidRPr="00EE7B62">
        <w:rPr>
          <w:rFonts w:asciiTheme="minorEastAsia" w:eastAsiaTheme="minorEastAsia" w:hAnsiTheme="minorEastAsia" w:hint="eastAsia"/>
          <w:color w:val="000000"/>
          <w:sz w:val="24"/>
          <w:szCs w:val="24"/>
        </w:rPr>
        <w:t>本次</w:t>
      </w:r>
      <w:r w:rsidRPr="00EE7B62">
        <w:rPr>
          <w:rFonts w:asciiTheme="minorEastAsia" w:eastAsiaTheme="minorEastAsia" w:hAnsiTheme="minorEastAsia" w:hint="eastAsia"/>
          <w:color w:val="000000"/>
          <w:sz w:val="24"/>
          <w:szCs w:val="24"/>
        </w:rPr>
        <w:t>办理申购与赎回业务的开放期为</w:t>
      </w:r>
      <w:r w:rsidR="002C0B19">
        <w:rPr>
          <w:rFonts w:asciiTheme="minorEastAsia" w:eastAsiaTheme="minorEastAsia" w:hAnsiTheme="minorEastAsia"/>
          <w:color w:val="000000"/>
          <w:sz w:val="24"/>
          <w:szCs w:val="24"/>
        </w:rPr>
        <w:t>2021年11月26日</w:t>
      </w:r>
      <w:r w:rsidRPr="00EE7B62">
        <w:rPr>
          <w:rFonts w:asciiTheme="minorEastAsia" w:eastAsiaTheme="minorEastAsia" w:hAnsiTheme="minorEastAsia" w:hint="eastAsia"/>
          <w:color w:val="000000"/>
          <w:sz w:val="24"/>
          <w:szCs w:val="24"/>
        </w:rPr>
        <w:t>至</w:t>
      </w:r>
      <w:r w:rsidR="002C0B19">
        <w:rPr>
          <w:rFonts w:asciiTheme="minorEastAsia" w:eastAsiaTheme="minorEastAsia" w:hAnsiTheme="minorEastAsia"/>
          <w:color w:val="000000"/>
          <w:sz w:val="24"/>
          <w:szCs w:val="24"/>
        </w:rPr>
        <w:t>2021</w:t>
      </w:r>
      <w:r w:rsidRPr="00EE7B62">
        <w:rPr>
          <w:rFonts w:asciiTheme="minorEastAsia" w:eastAsiaTheme="minorEastAsia" w:hAnsiTheme="minorEastAsia" w:hint="eastAsia"/>
          <w:color w:val="000000"/>
          <w:sz w:val="24"/>
          <w:szCs w:val="24"/>
        </w:rPr>
        <w:t>年</w:t>
      </w:r>
      <w:r w:rsidR="002C0B19">
        <w:rPr>
          <w:rFonts w:asciiTheme="minorEastAsia" w:eastAsiaTheme="minorEastAsia" w:hAnsiTheme="minorEastAsia"/>
          <w:color w:val="000000"/>
          <w:sz w:val="24"/>
          <w:szCs w:val="24"/>
        </w:rPr>
        <w:t>12</w:t>
      </w:r>
      <w:r w:rsidRPr="00EE7B62">
        <w:rPr>
          <w:rFonts w:asciiTheme="minorEastAsia" w:eastAsiaTheme="minorEastAsia" w:hAnsiTheme="minorEastAsia" w:hint="eastAsia"/>
          <w:color w:val="000000"/>
          <w:sz w:val="24"/>
          <w:szCs w:val="24"/>
        </w:rPr>
        <w:t>月</w:t>
      </w:r>
      <w:r w:rsidR="002C0B19">
        <w:rPr>
          <w:rFonts w:asciiTheme="minorEastAsia" w:eastAsiaTheme="minorEastAsia" w:hAnsiTheme="minorEastAsia"/>
          <w:color w:val="000000"/>
          <w:sz w:val="24"/>
          <w:szCs w:val="24"/>
        </w:rPr>
        <w:t>2</w:t>
      </w:r>
      <w:r w:rsidRPr="00EE7B62">
        <w:rPr>
          <w:rFonts w:asciiTheme="minorEastAsia" w:eastAsiaTheme="minorEastAsia" w:hAnsiTheme="minorEastAsia" w:hint="eastAsia"/>
          <w:color w:val="000000"/>
          <w:sz w:val="24"/>
          <w:szCs w:val="24"/>
        </w:rPr>
        <w:t>日，共</w:t>
      </w:r>
      <w:r w:rsidR="00A17FAA" w:rsidRPr="00EE7B62">
        <w:rPr>
          <w:rFonts w:asciiTheme="minorEastAsia" w:eastAsiaTheme="minorEastAsia" w:hAnsiTheme="minorEastAsia"/>
          <w:color w:val="000000"/>
          <w:sz w:val="24"/>
          <w:szCs w:val="24"/>
        </w:rPr>
        <w:t>5</w:t>
      </w:r>
      <w:r w:rsidRPr="00EE7B62">
        <w:rPr>
          <w:rFonts w:asciiTheme="minorEastAsia" w:eastAsiaTheme="minorEastAsia" w:hAnsiTheme="minorEastAsia" w:hint="eastAsia"/>
          <w:color w:val="000000"/>
          <w:sz w:val="24"/>
          <w:szCs w:val="24"/>
        </w:rPr>
        <w:t>个工作日。</w:t>
      </w:r>
      <w:r>
        <w:rPr>
          <w:rFonts w:asciiTheme="minorEastAsia" w:eastAsiaTheme="minorEastAsia" w:hAnsiTheme="minorEastAsia" w:hint="eastAsia"/>
          <w:color w:val="000000"/>
          <w:sz w:val="24"/>
          <w:szCs w:val="24"/>
        </w:rPr>
        <w:t>在开放期内，基金管理人可根据基金合同的相关规定调整开放日期，具体请见届时发布的相关公告。本基金</w:t>
      </w:r>
      <w:r w:rsidR="00984A93">
        <w:rPr>
          <w:rFonts w:asciiTheme="minorEastAsia" w:eastAsiaTheme="minorEastAsia" w:hAnsiTheme="minorEastAsia" w:hint="eastAsia"/>
          <w:color w:val="000000"/>
          <w:sz w:val="24"/>
          <w:szCs w:val="24"/>
        </w:rPr>
        <w:t>下一个</w:t>
      </w:r>
      <w:r>
        <w:rPr>
          <w:rFonts w:asciiTheme="minorEastAsia" w:eastAsiaTheme="minorEastAsia" w:hAnsiTheme="minorEastAsia" w:hint="eastAsia"/>
          <w:color w:val="000000"/>
          <w:sz w:val="24"/>
          <w:szCs w:val="24"/>
        </w:rPr>
        <w:t>封闭期为本次开放期结束之日次日起（含该日）12个月的期间，封闭期内本基金不办理申购与赎回业务，也不上市交易。</w:t>
      </w:r>
    </w:p>
    <w:p w14:paraId="10FC9845"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（2）开放时间</w:t>
      </w:r>
    </w:p>
    <w:p w14:paraId="456A59EB"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开放期内，投资人在开放日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14:paraId="1C0877D2" w14:textId="3F73CA40" w:rsidR="00752A9C" w:rsidRPr="00000864" w:rsidRDefault="00AC6E8D"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hint="eastAsia"/>
          <w:color w:val="00000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F35068">
        <w:rPr>
          <w:rFonts w:asciiTheme="minorEastAsia" w:eastAsiaTheme="minorEastAsia" w:hAnsiTheme="minorEastAsia" w:hint="eastAsia"/>
          <w:color w:val="000000"/>
          <w:sz w:val="24"/>
          <w:szCs w:val="24"/>
        </w:rPr>
        <w:t>规定</w:t>
      </w:r>
      <w:r w:rsidRPr="00000864">
        <w:rPr>
          <w:rFonts w:asciiTheme="minorEastAsia" w:eastAsiaTheme="minorEastAsia" w:hAnsiTheme="minorEastAsia" w:hint="eastAsia"/>
          <w:color w:val="000000"/>
          <w:sz w:val="24"/>
          <w:szCs w:val="24"/>
        </w:rPr>
        <w:t>媒介上公告。</w:t>
      </w:r>
    </w:p>
    <w:p w14:paraId="0BE978E7" w14:textId="77777777"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2" w:name="_Toc275961397"/>
      <w:r w:rsidRPr="00000864">
        <w:rPr>
          <w:rFonts w:asciiTheme="minorEastAsia" w:eastAsiaTheme="minorEastAsia" w:hAnsiTheme="minorEastAsia"/>
          <w:bCs w:val="0"/>
          <w:color w:val="000000"/>
          <w:sz w:val="24"/>
          <w:szCs w:val="24"/>
        </w:rPr>
        <w:t>3 日常申购业务</w:t>
      </w:r>
      <w:bookmarkEnd w:id="2"/>
    </w:p>
    <w:p w14:paraId="16CFDF95" w14:textId="77777777" w:rsidR="00752A9C" w:rsidRPr="00000864" w:rsidRDefault="00752A9C"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b/>
          <w:color w:val="000000"/>
          <w:sz w:val="24"/>
          <w:szCs w:val="24"/>
        </w:rPr>
        <w:t>3.1 申购金额限制</w:t>
      </w:r>
    </w:p>
    <w:p w14:paraId="3FC10A4E" w14:textId="77777777" w:rsidR="00752A9C" w:rsidRPr="00000864" w:rsidRDefault="00AC6E8D"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hint="eastAsia"/>
          <w:color w:val="000000"/>
          <w:sz w:val="24"/>
          <w:szCs w:val="24"/>
        </w:rPr>
        <w:t>投资人首次购买本基金A类基金份额或C类基金份额的最低金额为1元</w:t>
      </w:r>
      <w:r w:rsidR="00F35068">
        <w:rPr>
          <w:rFonts w:asciiTheme="minorEastAsia" w:eastAsiaTheme="minorEastAsia" w:hAnsiTheme="minorEastAsia" w:hint="eastAsia"/>
          <w:color w:val="000000"/>
          <w:sz w:val="24"/>
          <w:szCs w:val="24"/>
        </w:rPr>
        <w:t>（含申购费）</w:t>
      </w:r>
      <w:r w:rsidRPr="00000864">
        <w:rPr>
          <w:rFonts w:asciiTheme="minorEastAsia" w:eastAsiaTheme="minorEastAsia" w:hAnsiTheme="minorEastAsia" w:hint="eastAsia"/>
          <w:color w:val="000000"/>
          <w:sz w:val="24"/>
          <w:szCs w:val="24"/>
        </w:rPr>
        <w:t>，追加购买最低金额为1元</w:t>
      </w:r>
      <w:r w:rsidR="00F35068">
        <w:rPr>
          <w:rFonts w:asciiTheme="minorEastAsia" w:eastAsiaTheme="minorEastAsia" w:hAnsiTheme="minorEastAsia" w:hint="eastAsia"/>
          <w:color w:val="000000"/>
          <w:sz w:val="24"/>
          <w:szCs w:val="24"/>
        </w:rPr>
        <w:t>（含申购费）</w:t>
      </w:r>
      <w:r w:rsidRPr="00000864">
        <w:rPr>
          <w:rFonts w:asciiTheme="minorEastAsia" w:eastAsiaTheme="minorEastAsia" w:hAnsiTheme="minorEastAsia" w:hint="eastAsia"/>
          <w:color w:val="000000"/>
          <w:sz w:val="24"/>
          <w:szCs w:val="24"/>
        </w:rPr>
        <w:t>；详情请见当地销售机构公告。</w:t>
      </w:r>
    </w:p>
    <w:p w14:paraId="20C5A803" w14:textId="77777777" w:rsidR="00752A9C" w:rsidRPr="00000864" w:rsidRDefault="008E273C"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申购费率</w:t>
      </w:r>
    </w:p>
    <w:p w14:paraId="59CB47E4" w14:textId="77777777" w:rsidR="00F35068" w:rsidRPr="00EE7B62" w:rsidRDefault="00DE779B" w:rsidP="00F35068">
      <w:pPr>
        <w:pStyle w:val="ac"/>
        <w:spacing w:before="0" w:beforeAutospacing="0" w:after="0" w:afterAutospacing="0" w:line="360" w:lineRule="auto"/>
        <w:ind w:firstLine="420"/>
        <w:rPr>
          <w:rFonts w:asciiTheme="minorEastAsia" w:eastAsiaTheme="minorEastAsia" w:hAnsiTheme="minorEastAsia" w:cs="Times New Roman"/>
          <w:color w:val="000000"/>
          <w:kern w:val="2"/>
        </w:rPr>
      </w:pPr>
      <w:r>
        <w:rPr>
          <w:rFonts w:asciiTheme="minorEastAsia" w:eastAsiaTheme="minorEastAsia" w:hAnsiTheme="minorEastAsia" w:hint="eastAsia"/>
          <w:color w:val="000000"/>
        </w:rPr>
        <w:t>本基金A类基金份额在申购时收取基金申购费用；C类基金份额不收取申购费用。本基金申购费用用于本基金的市场推广、销售、登记等募集期间发生的各项费用，不列入基金财产。</w:t>
      </w:r>
      <w:r w:rsidR="00F35068" w:rsidRPr="00EE7B62">
        <w:rPr>
          <w:rFonts w:asciiTheme="minorEastAsia" w:eastAsiaTheme="minorEastAsia" w:hAnsiTheme="minorEastAsia" w:cs="Times New Roman" w:hint="eastAsia"/>
          <w:color w:val="000000"/>
          <w:kern w:val="2"/>
        </w:rPr>
        <w:t>本基金在申购时收取申购费用，并对通过直销中心申购本基金的养老金客户与除此之外的其他投资者实施差别的申购费率。</w:t>
      </w:r>
      <w:r w:rsidR="00F35068" w:rsidRPr="00EE7B62">
        <w:rPr>
          <w:rFonts w:asciiTheme="minorEastAsia" w:eastAsiaTheme="minorEastAsia" w:hAnsiTheme="minorEastAsia" w:cs="Times New Roman"/>
          <w:color w:val="000000"/>
          <w:kern w:val="2"/>
        </w:rPr>
        <w:t xml:space="preserve"> </w:t>
      </w:r>
    </w:p>
    <w:p w14:paraId="6691D6A2" w14:textId="77777777" w:rsidR="00F35068" w:rsidRPr="00EE7B62" w:rsidRDefault="00F35068" w:rsidP="00F35068">
      <w:pPr>
        <w:pStyle w:val="ac"/>
        <w:spacing w:before="0" w:beforeAutospacing="0" w:after="0" w:afterAutospacing="0" w:line="360" w:lineRule="auto"/>
        <w:ind w:firstLine="420"/>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hint="eastAsia"/>
          <w:color w:val="000000"/>
          <w:kern w:val="2"/>
        </w:rPr>
        <w:t>（</w:t>
      </w:r>
      <w:r w:rsidRPr="00EE7B62">
        <w:rPr>
          <w:rFonts w:asciiTheme="minorEastAsia" w:eastAsiaTheme="minorEastAsia" w:hAnsiTheme="minorEastAsia" w:cs="Times New Roman"/>
          <w:color w:val="000000"/>
          <w:kern w:val="2"/>
        </w:rPr>
        <w:t xml:space="preserve">1）对于通过基金管理人的直销中心申购本基金的养老金客户，各类基金份额的申购费率如下表所示： </w:t>
      </w:r>
    </w:p>
    <w:tbl>
      <w:tblPr>
        <w:tblStyle w:val="ad"/>
        <w:tblW w:w="5000" w:type="pct"/>
        <w:jc w:val="center"/>
        <w:tblLook w:val="04A0" w:firstRow="1" w:lastRow="0" w:firstColumn="1" w:lastColumn="0" w:noHBand="0" w:noVBand="1"/>
      </w:tblPr>
      <w:tblGrid>
        <w:gridCol w:w="2516"/>
        <w:gridCol w:w="3003"/>
        <w:gridCol w:w="3003"/>
      </w:tblGrid>
      <w:tr w:rsidR="00F35068" w:rsidRPr="00F35068" w14:paraId="433AE39F" w14:textId="77777777" w:rsidTr="00227740">
        <w:trPr>
          <w:jc w:val="center"/>
        </w:trPr>
        <w:tc>
          <w:tcPr>
            <w:tcW w:w="1476" w:type="pct"/>
            <w:shd w:val="clear" w:color="auto" w:fill="auto"/>
            <w:hideMark/>
          </w:tcPr>
          <w:p w14:paraId="03E3F8C5" w14:textId="39328878"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hint="eastAsia"/>
                <w:color w:val="000000"/>
                <w:kern w:val="2"/>
              </w:rPr>
              <w:t>购买金额（</w:t>
            </w:r>
            <w:r w:rsidRPr="00EE7B62">
              <w:rPr>
                <w:rFonts w:asciiTheme="minorEastAsia" w:eastAsiaTheme="minorEastAsia" w:hAnsiTheme="minorEastAsia" w:cs="Times New Roman"/>
                <w:color w:val="000000"/>
                <w:kern w:val="2"/>
              </w:rPr>
              <w:t>M）</w:t>
            </w:r>
          </w:p>
        </w:tc>
        <w:tc>
          <w:tcPr>
            <w:tcW w:w="1762" w:type="pct"/>
            <w:shd w:val="clear" w:color="auto" w:fill="auto"/>
            <w:hideMark/>
          </w:tcPr>
          <w:p w14:paraId="5BCB50F7" w14:textId="62AA442D"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A类基金份额申购费率</w:t>
            </w:r>
          </w:p>
        </w:tc>
        <w:tc>
          <w:tcPr>
            <w:tcW w:w="1762" w:type="pct"/>
            <w:shd w:val="clear" w:color="auto" w:fill="auto"/>
            <w:hideMark/>
          </w:tcPr>
          <w:p w14:paraId="21EE04CD" w14:textId="79031EA9"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C类基金份额申购费率</w:t>
            </w:r>
          </w:p>
        </w:tc>
      </w:tr>
      <w:tr w:rsidR="00F35068" w:rsidRPr="00F35068" w14:paraId="1D108B63" w14:textId="77777777" w:rsidTr="00227740">
        <w:trPr>
          <w:jc w:val="center"/>
        </w:trPr>
        <w:tc>
          <w:tcPr>
            <w:tcW w:w="1476" w:type="pct"/>
            <w:shd w:val="clear" w:color="auto" w:fill="auto"/>
            <w:hideMark/>
          </w:tcPr>
          <w:p w14:paraId="453B189D" w14:textId="3906515C"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M＜100万</w:t>
            </w:r>
          </w:p>
        </w:tc>
        <w:tc>
          <w:tcPr>
            <w:tcW w:w="1762" w:type="pct"/>
            <w:shd w:val="clear" w:color="auto" w:fill="auto"/>
            <w:hideMark/>
          </w:tcPr>
          <w:p w14:paraId="072C0E50" w14:textId="426BF630"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0.06%</w:t>
            </w:r>
          </w:p>
        </w:tc>
        <w:tc>
          <w:tcPr>
            <w:tcW w:w="1762" w:type="pct"/>
            <w:vMerge w:val="restart"/>
            <w:shd w:val="clear" w:color="auto" w:fill="auto"/>
            <w:hideMark/>
          </w:tcPr>
          <w:p w14:paraId="402DCD48" w14:textId="77777777" w:rsidR="00F35068" w:rsidRPr="00EE7B62" w:rsidRDefault="00F35068" w:rsidP="002C0B19">
            <w:pPr>
              <w:pStyle w:val="ac"/>
              <w:jc w:val="center"/>
              <w:rPr>
                <w:rFonts w:asciiTheme="minorEastAsia" w:eastAsiaTheme="minorEastAsia" w:hAnsiTheme="minorEastAsia" w:cs="Times New Roman"/>
                <w:color w:val="000000"/>
                <w:kern w:val="2"/>
              </w:rPr>
            </w:pPr>
          </w:p>
          <w:p w14:paraId="3829222B" w14:textId="07BC24EC"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0.00%</w:t>
            </w:r>
          </w:p>
        </w:tc>
      </w:tr>
      <w:tr w:rsidR="00F35068" w:rsidRPr="00F35068" w14:paraId="049919A1" w14:textId="77777777" w:rsidTr="00227740">
        <w:trPr>
          <w:jc w:val="center"/>
        </w:trPr>
        <w:tc>
          <w:tcPr>
            <w:tcW w:w="1476" w:type="pct"/>
            <w:shd w:val="clear" w:color="auto" w:fill="auto"/>
            <w:hideMark/>
          </w:tcPr>
          <w:p w14:paraId="1EC01E8C" w14:textId="42D05904"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100万≤M＜300万</w:t>
            </w:r>
          </w:p>
        </w:tc>
        <w:tc>
          <w:tcPr>
            <w:tcW w:w="1762" w:type="pct"/>
            <w:shd w:val="clear" w:color="auto" w:fill="auto"/>
            <w:hideMark/>
          </w:tcPr>
          <w:p w14:paraId="4B60A292" w14:textId="4DF3D687"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0.03%</w:t>
            </w:r>
          </w:p>
        </w:tc>
        <w:tc>
          <w:tcPr>
            <w:tcW w:w="1762" w:type="pct"/>
            <w:vMerge/>
            <w:shd w:val="clear" w:color="auto" w:fill="auto"/>
            <w:hideMark/>
          </w:tcPr>
          <w:p w14:paraId="5549A057" w14:textId="77777777" w:rsidR="00F35068" w:rsidRPr="00EE7B62" w:rsidRDefault="00F35068" w:rsidP="00227740">
            <w:pPr>
              <w:rPr>
                <w:rFonts w:asciiTheme="minorEastAsia" w:eastAsiaTheme="minorEastAsia" w:hAnsiTheme="minorEastAsia"/>
                <w:color w:val="000000"/>
                <w:sz w:val="24"/>
                <w:szCs w:val="24"/>
              </w:rPr>
            </w:pPr>
          </w:p>
        </w:tc>
      </w:tr>
      <w:tr w:rsidR="00F35068" w:rsidRPr="00F35068" w14:paraId="72DC0D74" w14:textId="77777777" w:rsidTr="00227740">
        <w:trPr>
          <w:jc w:val="center"/>
        </w:trPr>
        <w:tc>
          <w:tcPr>
            <w:tcW w:w="1476" w:type="pct"/>
            <w:shd w:val="clear" w:color="auto" w:fill="auto"/>
            <w:hideMark/>
          </w:tcPr>
          <w:p w14:paraId="0078D7CF" w14:textId="1E79DE59"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300万≤M＜500万</w:t>
            </w:r>
          </w:p>
        </w:tc>
        <w:tc>
          <w:tcPr>
            <w:tcW w:w="1762" w:type="pct"/>
            <w:shd w:val="clear" w:color="auto" w:fill="auto"/>
            <w:hideMark/>
          </w:tcPr>
          <w:p w14:paraId="36FBDB05" w14:textId="4453C5FD"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0.008%</w:t>
            </w:r>
          </w:p>
        </w:tc>
        <w:tc>
          <w:tcPr>
            <w:tcW w:w="1762" w:type="pct"/>
            <w:vMerge/>
            <w:shd w:val="clear" w:color="auto" w:fill="auto"/>
            <w:hideMark/>
          </w:tcPr>
          <w:p w14:paraId="770E18D8" w14:textId="77777777" w:rsidR="00F35068" w:rsidRPr="00EE7B62" w:rsidRDefault="00F35068" w:rsidP="00227740">
            <w:pPr>
              <w:rPr>
                <w:rFonts w:asciiTheme="minorEastAsia" w:eastAsiaTheme="minorEastAsia" w:hAnsiTheme="minorEastAsia"/>
                <w:color w:val="000000"/>
                <w:sz w:val="24"/>
                <w:szCs w:val="24"/>
              </w:rPr>
            </w:pPr>
          </w:p>
        </w:tc>
      </w:tr>
      <w:tr w:rsidR="00F35068" w:rsidRPr="00F35068" w14:paraId="7DA3D47E" w14:textId="77777777" w:rsidTr="00227740">
        <w:trPr>
          <w:jc w:val="center"/>
        </w:trPr>
        <w:tc>
          <w:tcPr>
            <w:tcW w:w="1476" w:type="pct"/>
            <w:shd w:val="clear" w:color="auto" w:fill="auto"/>
            <w:hideMark/>
          </w:tcPr>
          <w:p w14:paraId="7EFD060F" w14:textId="5CDF4397"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lastRenderedPageBreak/>
              <w:t>M≥500万</w:t>
            </w:r>
          </w:p>
        </w:tc>
        <w:tc>
          <w:tcPr>
            <w:tcW w:w="1762" w:type="pct"/>
            <w:shd w:val="clear" w:color="auto" w:fill="auto"/>
            <w:hideMark/>
          </w:tcPr>
          <w:p w14:paraId="4BDE7572" w14:textId="7C30D909"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hint="eastAsia"/>
                <w:color w:val="000000"/>
                <w:kern w:val="2"/>
              </w:rPr>
              <w:t>每笔</w:t>
            </w:r>
            <w:r w:rsidRPr="00EE7B62">
              <w:rPr>
                <w:rFonts w:asciiTheme="minorEastAsia" w:eastAsiaTheme="minorEastAsia" w:hAnsiTheme="minorEastAsia" w:cs="Times New Roman"/>
                <w:color w:val="000000"/>
                <w:kern w:val="2"/>
              </w:rPr>
              <w:t>100元</w:t>
            </w:r>
          </w:p>
        </w:tc>
        <w:tc>
          <w:tcPr>
            <w:tcW w:w="1762" w:type="pct"/>
            <w:vMerge/>
            <w:shd w:val="clear" w:color="auto" w:fill="auto"/>
            <w:hideMark/>
          </w:tcPr>
          <w:p w14:paraId="304C63F7" w14:textId="77777777" w:rsidR="00F35068" w:rsidRPr="00EE7B62" w:rsidRDefault="00F35068" w:rsidP="00227740">
            <w:pPr>
              <w:rPr>
                <w:rFonts w:asciiTheme="minorEastAsia" w:eastAsiaTheme="minorEastAsia" w:hAnsiTheme="minorEastAsia"/>
                <w:color w:val="000000"/>
                <w:sz w:val="24"/>
                <w:szCs w:val="24"/>
              </w:rPr>
            </w:pPr>
          </w:p>
        </w:tc>
      </w:tr>
    </w:tbl>
    <w:p w14:paraId="111BD6D8" w14:textId="77777777" w:rsidR="00F35068" w:rsidRPr="00EE7B62" w:rsidRDefault="00F35068" w:rsidP="00EE7B62">
      <w:pPr>
        <w:pStyle w:val="ac"/>
        <w:spacing w:before="0" w:beforeAutospacing="0" w:after="0" w:afterAutospacing="0" w:line="360" w:lineRule="auto"/>
        <w:ind w:firstLineChars="200" w:firstLine="480"/>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hint="eastAsia"/>
          <w:color w:val="000000"/>
          <w:kern w:val="2"/>
        </w:rPr>
        <w:t>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w:t>
      </w:r>
      <w:r w:rsidRPr="00EE7B62">
        <w:rPr>
          <w:rFonts w:asciiTheme="minorEastAsia" w:eastAsiaTheme="minorEastAsia" w:hAnsiTheme="minorEastAsia" w:cs="Times New Roman"/>
          <w:color w:val="000000"/>
          <w:kern w:val="2"/>
        </w:rPr>
        <w:t xml:space="preserve"> </w:t>
      </w:r>
    </w:p>
    <w:p w14:paraId="740DD3B0" w14:textId="77777777" w:rsidR="00F35068" w:rsidRPr="00EE7B62" w:rsidRDefault="00F35068" w:rsidP="00F35068">
      <w:pPr>
        <w:pStyle w:val="ac"/>
        <w:spacing w:before="0" w:beforeAutospacing="0" w:after="0" w:afterAutospacing="0" w:line="360" w:lineRule="auto"/>
        <w:ind w:firstLine="420"/>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hint="eastAsia"/>
          <w:color w:val="000000"/>
          <w:kern w:val="2"/>
        </w:rPr>
        <w:t>（</w:t>
      </w:r>
      <w:r w:rsidRPr="00EE7B62">
        <w:rPr>
          <w:rFonts w:asciiTheme="minorEastAsia" w:eastAsiaTheme="minorEastAsia" w:hAnsiTheme="minorEastAsia" w:cs="Times New Roman"/>
          <w:color w:val="000000"/>
          <w:kern w:val="2"/>
        </w:rPr>
        <w:t xml:space="preserve">2）除上述养老金客户外，本基金的其他投资者，各类基金份额的申购费率如下表所示： </w:t>
      </w:r>
    </w:p>
    <w:tbl>
      <w:tblPr>
        <w:tblStyle w:val="ad"/>
        <w:tblW w:w="5000" w:type="pct"/>
        <w:jc w:val="center"/>
        <w:tblLook w:val="04A0" w:firstRow="1" w:lastRow="0" w:firstColumn="1" w:lastColumn="0" w:noHBand="0" w:noVBand="1"/>
      </w:tblPr>
      <w:tblGrid>
        <w:gridCol w:w="2884"/>
        <w:gridCol w:w="2819"/>
        <w:gridCol w:w="2819"/>
      </w:tblGrid>
      <w:tr w:rsidR="00F35068" w:rsidRPr="00F35068" w14:paraId="60EF81B7" w14:textId="77777777" w:rsidTr="00227740">
        <w:trPr>
          <w:jc w:val="center"/>
        </w:trPr>
        <w:tc>
          <w:tcPr>
            <w:tcW w:w="1692" w:type="pct"/>
            <w:shd w:val="clear" w:color="auto" w:fill="auto"/>
            <w:hideMark/>
          </w:tcPr>
          <w:p w14:paraId="517F021E" w14:textId="57E11806"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hint="eastAsia"/>
                <w:color w:val="000000"/>
                <w:kern w:val="2"/>
              </w:rPr>
              <w:t>购买金额（</w:t>
            </w:r>
            <w:r w:rsidRPr="00EE7B62">
              <w:rPr>
                <w:rFonts w:asciiTheme="minorEastAsia" w:eastAsiaTheme="minorEastAsia" w:hAnsiTheme="minorEastAsia" w:cs="Times New Roman"/>
                <w:color w:val="000000"/>
                <w:kern w:val="2"/>
              </w:rPr>
              <w:t>M）</w:t>
            </w:r>
          </w:p>
        </w:tc>
        <w:tc>
          <w:tcPr>
            <w:tcW w:w="1654" w:type="pct"/>
            <w:shd w:val="clear" w:color="auto" w:fill="auto"/>
            <w:hideMark/>
          </w:tcPr>
          <w:p w14:paraId="10812A6B" w14:textId="7163710C"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A类基金份额申购费率</w:t>
            </w:r>
          </w:p>
        </w:tc>
        <w:tc>
          <w:tcPr>
            <w:tcW w:w="1654" w:type="pct"/>
            <w:shd w:val="clear" w:color="auto" w:fill="auto"/>
            <w:hideMark/>
          </w:tcPr>
          <w:p w14:paraId="46450577" w14:textId="1666B5B8"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C类基金份额申购费率</w:t>
            </w:r>
          </w:p>
        </w:tc>
      </w:tr>
      <w:tr w:rsidR="00F35068" w:rsidRPr="00F35068" w14:paraId="54287D9C" w14:textId="77777777" w:rsidTr="00227740">
        <w:trPr>
          <w:jc w:val="center"/>
        </w:trPr>
        <w:tc>
          <w:tcPr>
            <w:tcW w:w="1692" w:type="pct"/>
            <w:shd w:val="clear" w:color="auto" w:fill="auto"/>
            <w:hideMark/>
          </w:tcPr>
          <w:p w14:paraId="5F50415D" w14:textId="0EF4D585"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M＜100万元</w:t>
            </w:r>
          </w:p>
        </w:tc>
        <w:tc>
          <w:tcPr>
            <w:tcW w:w="1654" w:type="pct"/>
            <w:shd w:val="clear" w:color="auto" w:fill="auto"/>
            <w:hideMark/>
          </w:tcPr>
          <w:p w14:paraId="24E87E9A" w14:textId="61B0020B"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0.60%</w:t>
            </w:r>
          </w:p>
        </w:tc>
        <w:tc>
          <w:tcPr>
            <w:tcW w:w="1654" w:type="pct"/>
            <w:vMerge w:val="restart"/>
            <w:shd w:val="clear" w:color="auto" w:fill="auto"/>
            <w:hideMark/>
          </w:tcPr>
          <w:p w14:paraId="064DB06B" w14:textId="77777777" w:rsidR="00F35068" w:rsidRPr="00EE7B62" w:rsidRDefault="00F35068" w:rsidP="002C0B19">
            <w:pPr>
              <w:pStyle w:val="ac"/>
              <w:jc w:val="center"/>
              <w:rPr>
                <w:rFonts w:asciiTheme="minorEastAsia" w:eastAsiaTheme="minorEastAsia" w:hAnsiTheme="minorEastAsia" w:cs="Times New Roman"/>
                <w:color w:val="000000"/>
                <w:kern w:val="2"/>
              </w:rPr>
            </w:pPr>
          </w:p>
          <w:p w14:paraId="6D759D82" w14:textId="7D562450"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0.00%</w:t>
            </w:r>
          </w:p>
        </w:tc>
      </w:tr>
      <w:tr w:rsidR="00F35068" w:rsidRPr="00F35068" w14:paraId="5C441FEC" w14:textId="77777777" w:rsidTr="00227740">
        <w:trPr>
          <w:jc w:val="center"/>
        </w:trPr>
        <w:tc>
          <w:tcPr>
            <w:tcW w:w="1692" w:type="pct"/>
            <w:shd w:val="clear" w:color="auto" w:fill="auto"/>
            <w:hideMark/>
          </w:tcPr>
          <w:p w14:paraId="3067AD67" w14:textId="384B38B6"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100万元≤M＜300万元</w:t>
            </w:r>
          </w:p>
        </w:tc>
        <w:tc>
          <w:tcPr>
            <w:tcW w:w="1654" w:type="pct"/>
            <w:shd w:val="clear" w:color="auto" w:fill="auto"/>
            <w:hideMark/>
          </w:tcPr>
          <w:p w14:paraId="14741932" w14:textId="38CB7A5B"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0.30%</w:t>
            </w:r>
          </w:p>
        </w:tc>
        <w:tc>
          <w:tcPr>
            <w:tcW w:w="1654" w:type="pct"/>
            <w:vMerge/>
            <w:shd w:val="clear" w:color="auto" w:fill="auto"/>
            <w:hideMark/>
          </w:tcPr>
          <w:p w14:paraId="44F73F4C" w14:textId="77777777" w:rsidR="00F35068" w:rsidRPr="00EE7B62" w:rsidRDefault="00F35068" w:rsidP="00227740">
            <w:pPr>
              <w:rPr>
                <w:rFonts w:asciiTheme="minorEastAsia" w:eastAsiaTheme="minorEastAsia" w:hAnsiTheme="minorEastAsia"/>
                <w:color w:val="000000"/>
                <w:sz w:val="24"/>
                <w:szCs w:val="24"/>
              </w:rPr>
            </w:pPr>
          </w:p>
        </w:tc>
      </w:tr>
      <w:tr w:rsidR="00F35068" w:rsidRPr="00F35068" w14:paraId="3E7B2E01" w14:textId="77777777" w:rsidTr="00227740">
        <w:trPr>
          <w:jc w:val="center"/>
        </w:trPr>
        <w:tc>
          <w:tcPr>
            <w:tcW w:w="1692" w:type="pct"/>
            <w:shd w:val="clear" w:color="auto" w:fill="auto"/>
            <w:hideMark/>
          </w:tcPr>
          <w:p w14:paraId="3C898E5B" w14:textId="7121BF89"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300万元≤M＜500万元</w:t>
            </w:r>
          </w:p>
        </w:tc>
        <w:tc>
          <w:tcPr>
            <w:tcW w:w="1654" w:type="pct"/>
            <w:shd w:val="clear" w:color="auto" w:fill="auto"/>
            <w:hideMark/>
          </w:tcPr>
          <w:p w14:paraId="042708F0" w14:textId="36BDD9BD"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0.08%</w:t>
            </w:r>
          </w:p>
        </w:tc>
        <w:tc>
          <w:tcPr>
            <w:tcW w:w="1654" w:type="pct"/>
            <w:vMerge/>
            <w:shd w:val="clear" w:color="auto" w:fill="auto"/>
            <w:hideMark/>
          </w:tcPr>
          <w:p w14:paraId="688E846D" w14:textId="77777777" w:rsidR="00F35068" w:rsidRPr="00EE7B62" w:rsidRDefault="00F35068" w:rsidP="00227740">
            <w:pPr>
              <w:rPr>
                <w:rFonts w:asciiTheme="minorEastAsia" w:eastAsiaTheme="minorEastAsia" w:hAnsiTheme="minorEastAsia"/>
                <w:color w:val="000000"/>
                <w:sz w:val="24"/>
                <w:szCs w:val="24"/>
              </w:rPr>
            </w:pPr>
          </w:p>
        </w:tc>
      </w:tr>
      <w:tr w:rsidR="00F35068" w:rsidRPr="00F35068" w14:paraId="7AB4EC29" w14:textId="77777777" w:rsidTr="00227740">
        <w:trPr>
          <w:jc w:val="center"/>
        </w:trPr>
        <w:tc>
          <w:tcPr>
            <w:tcW w:w="1692" w:type="pct"/>
            <w:shd w:val="clear" w:color="auto" w:fill="auto"/>
            <w:hideMark/>
          </w:tcPr>
          <w:p w14:paraId="16A09F21" w14:textId="2C5701F3"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M≥500万元</w:t>
            </w:r>
          </w:p>
        </w:tc>
        <w:tc>
          <w:tcPr>
            <w:tcW w:w="1654" w:type="pct"/>
            <w:shd w:val="clear" w:color="auto" w:fill="auto"/>
            <w:hideMark/>
          </w:tcPr>
          <w:p w14:paraId="2B056265" w14:textId="20F29C66" w:rsidR="00F35068" w:rsidRPr="00EE7B62" w:rsidRDefault="00F35068" w:rsidP="002C0B19">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1000元/笔</w:t>
            </w:r>
          </w:p>
        </w:tc>
        <w:tc>
          <w:tcPr>
            <w:tcW w:w="1654" w:type="pct"/>
            <w:vMerge/>
            <w:shd w:val="clear" w:color="auto" w:fill="auto"/>
            <w:hideMark/>
          </w:tcPr>
          <w:p w14:paraId="089C9962" w14:textId="77777777" w:rsidR="00F35068" w:rsidRPr="00EE7B62" w:rsidRDefault="00F35068" w:rsidP="00227740">
            <w:pPr>
              <w:rPr>
                <w:rFonts w:asciiTheme="minorEastAsia" w:eastAsiaTheme="minorEastAsia" w:hAnsiTheme="minorEastAsia"/>
                <w:color w:val="000000"/>
                <w:sz w:val="24"/>
                <w:szCs w:val="24"/>
              </w:rPr>
            </w:pPr>
          </w:p>
        </w:tc>
      </w:tr>
    </w:tbl>
    <w:p w14:paraId="2FF55869" w14:textId="77777777" w:rsidR="00752A9C" w:rsidRPr="00000864" w:rsidRDefault="000B693A"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 xml:space="preserve"> 其他与申购相关的事项</w:t>
      </w:r>
    </w:p>
    <w:p w14:paraId="724D93A3" w14:textId="572FFF10"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1）基金管理人可在法律法规允许的情况下，调整申购金额的数量限制，基金管理人必须在调整实施前依照《信息披露办法》的有关规定在</w:t>
      </w:r>
      <w:r w:rsidR="00F35068">
        <w:rPr>
          <w:rFonts w:asciiTheme="minorEastAsia" w:eastAsiaTheme="minorEastAsia" w:hAnsiTheme="minorEastAsia" w:hint="eastAsia"/>
          <w:color w:val="000000"/>
          <w:sz w:val="24"/>
          <w:szCs w:val="24"/>
        </w:rPr>
        <w:t>规定</w:t>
      </w:r>
      <w:r>
        <w:rPr>
          <w:rFonts w:asciiTheme="minorEastAsia" w:eastAsiaTheme="minorEastAsia" w:hAnsiTheme="minorEastAsia"/>
          <w:color w:val="000000"/>
          <w:sz w:val="24"/>
          <w:szCs w:val="24"/>
        </w:rPr>
        <w:t>媒介上进行公告并报中国证监会备案。</w:t>
      </w:r>
    </w:p>
    <w:p w14:paraId="2525D475" w14:textId="6758FB9A" w:rsidR="00752A9C" w:rsidRPr="00000864" w:rsidRDefault="00EE4694"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2）基金管理人可以在法律法规和基金合同规定范围内调整申购费率或收费方式。费率或收费方式如发生变更，基金管理人最迟应在新的费率或收费方式实施日前依照《信息披露办法》的有关规定在</w:t>
      </w:r>
      <w:r w:rsidR="00F35068">
        <w:rPr>
          <w:rFonts w:asciiTheme="minorEastAsia" w:eastAsiaTheme="minorEastAsia" w:hAnsiTheme="minorEastAsia" w:hint="eastAsia"/>
          <w:color w:val="000000"/>
          <w:sz w:val="24"/>
          <w:szCs w:val="24"/>
        </w:rPr>
        <w:t>规定</w:t>
      </w:r>
      <w:r w:rsidRPr="00000864">
        <w:rPr>
          <w:rFonts w:asciiTheme="minorEastAsia" w:eastAsiaTheme="minorEastAsia" w:hAnsiTheme="minorEastAsia"/>
          <w:color w:val="000000"/>
          <w:sz w:val="24"/>
          <w:szCs w:val="24"/>
        </w:rPr>
        <w:t>媒介上公告。</w:t>
      </w:r>
    </w:p>
    <w:p w14:paraId="37544E84" w14:textId="77777777" w:rsidR="00752A9C" w:rsidRPr="00000864" w:rsidRDefault="000B693A" w:rsidP="00752A9C">
      <w:pPr>
        <w:pStyle w:val="2"/>
        <w:spacing w:line="560" w:lineRule="exact"/>
        <w:rPr>
          <w:rFonts w:asciiTheme="minorEastAsia" w:eastAsiaTheme="minorEastAsia" w:hAnsiTheme="minorEastAsia"/>
          <w:bCs w:val="0"/>
          <w:color w:val="000000"/>
          <w:sz w:val="24"/>
          <w:szCs w:val="24"/>
        </w:rPr>
      </w:pPr>
      <w:bookmarkStart w:id="3" w:name="_Toc275961398"/>
      <w:r w:rsidRPr="00000864">
        <w:rPr>
          <w:rFonts w:asciiTheme="minorEastAsia" w:eastAsiaTheme="minorEastAsia" w:hAnsiTheme="minorEastAsia" w:hint="eastAsia"/>
          <w:bCs w:val="0"/>
          <w:color w:val="000000"/>
          <w:sz w:val="24"/>
          <w:szCs w:val="24"/>
        </w:rPr>
        <w:t>4</w:t>
      </w:r>
      <w:r w:rsidR="00752A9C" w:rsidRPr="00000864">
        <w:rPr>
          <w:rFonts w:asciiTheme="minorEastAsia" w:eastAsiaTheme="minorEastAsia" w:hAnsiTheme="minorEastAsia"/>
          <w:bCs w:val="0"/>
          <w:color w:val="000000"/>
          <w:sz w:val="24"/>
          <w:szCs w:val="24"/>
        </w:rPr>
        <w:t xml:space="preserve"> 日常赎回业务</w:t>
      </w:r>
      <w:bookmarkEnd w:id="3"/>
    </w:p>
    <w:p w14:paraId="3854F8C4" w14:textId="77777777" w:rsidR="00752A9C" w:rsidRPr="00000864" w:rsidRDefault="000B693A"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4</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赎回份额限制</w:t>
      </w:r>
    </w:p>
    <w:p w14:paraId="2ED856BD" w14:textId="77777777" w:rsidR="00752A9C" w:rsidRPr="00000864" w:rsidRDefault="00EE4694"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每个交易账户最低持有基金份额余额为1份，若某笔赎回导致单个交易账户的基金份额余额少于1份时，余额部分基金份额必须一同赎回。</w:t>
      </w:r>
    </w:p>
    <w:p w14:paraId="3C845AD7" w14:textId="77777777" w:rsidR="00752A9C" w:rsidRPr="00000864" w:rsidRDefault="000B693A"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4</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赎回费率</w:t>
      </w:r>
    </w:p>
    <w:p w14:paraId="3C9DBD34"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本基金的A 类基金份额和C类基金份额具体赎回费率如下表所示：</w:t>
      </w:r>
    </w:p>
    <w:tbl>
      <w:tblPr>
        <w:tblStyle w:val="ad"/>
        <w:tblW w:w="4000" w:type="pct"/>
        <w:jc w:val="center"/>
        <w:tblLook w:val="04A0" w:firstRow="1" w:lastRow="0" w:firstColumn="1" w:lastColumn="0" w:noHBand="0" w:noVBand="1"/>
      </w:tblPr>
      <w:tblGrid>
        <w:gridCol w:w="2640"/>
        <w:gridCol w:w="2089"/>
        <w:gridCol w:w="2089"/>
      </w:tblGrid>
      <w:tr w:rsidR="00F67E50" w:rsidRPr="00935998" w14:paraId="69ABEE0E" w14:textId="77777777" w:rsidTr="00F67E50">
        <w:trPr>
          <w:trHeight w:val="386"/>
          <w:jc w:val="center"/>
        </w:trPr>
        <w:tc>
          <w:tcPr>
            <w:tcW w:w="0" w:type="auto"/>
            <w:shd w:val="clear" w:color="auto" w:fill="auto"/>
            <w:vAlign w:val="center"/>
            <w:hideMark/>
          </w:tcPr>
          <w:p w14:paraId="0A70383B"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hint="eastAsia"/>
                <w:color w:val="000000"/>
                <w:kern w:val="2"/>
              </w:rPr>
              <w:t>持续持有期（</w:t>
            </w:r>
            <w:r w:rsidRPr="00EE7B62">
              <w:rPr>
                <w:rFonts w:asciiTheme="minorEastAsia" w:eastAsiaTheme="minorEastAsia" w:hAnsiTheme="minorEastAsia" w:cs="Times New Roman"/>
                <w:color w:val="000000"/>
                <w:kern w:val="2"/>
              </w:rPr>
              <w:t>Y）</w:t>
            </w:r>
          </w:p>
        </w:tc>
        <w:tc>
          <w:tcPr>
            <w:tcW w:w="0" w:type="auto"/>
            <w:shd w:val="clear" w:color="auto" w:fill="auto"/>
            <w:vAlign w:val="center"/>
            <w:hideMark/>
          </w:tcPr>
          <w:p w14:paraId="0E29D5BA"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A类基金份额</w:t>
            </w:r>
          </w:p>
        </w:tc>
        <w:tc>
          <w:tcPr>
            <w:tcW w:w="0" w:type="auto"/>
            <w:shd w:val="clear" w:color="auto" w:fill="auto"/>
            <w:vAlign w:val="center"/>
            <w:hideMark/>
          </w:tcPr>
          <w:p w14:paraId="75F8ED13"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C类基金份额</w:t>
            </w:r>
          </w:p>
        </w:tc>
      </w:tr>
      <w:tr w:rsidR="00F67E50" w:rsidRPr="00935998" w14:paraId="0A5CB605" w14:textId="77777777" w:rsidTr="00F67E50">
        <w:trPr>
          <w:trHeight w:val="421"/>
          <w:jc w:val="center"/>
        </w:trPr>
        <w:tc>
          <w:tcPr>
            <w:tcW w:w="0" w:type="auto"/>
            <w:shd w:val="clear" w:color="auto" w:fill="auto"/>
            <w:vAlign w:val="center"/>
            <w:hideMark/>
          </w:tcPr>
          <w:p w14:paraId="03D88E8B"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Y＜7天</w:t>
            </w:r>
          </w:p>
        </w:tc>
        <w:tc>
          <w:tcPr>
            <w:tcW w:w="0" w:type="auto"/>
            <w:shd w:val="clear" w:color="auto" w:fill="auto"/>
            <w:vAlign w:val="center"/>
            <w:hideMark/>
          </w:tcPr>
          <w:p w14:paraId="25E11CDA"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1.50%</w:t>
            </w:r>
          </w:p>
        </w:tc>
        <w:tc>
          <w:tcPr>
            <w:tcW w:w="0" w:type="auto"/>
            <w:shd w:val="clear" w:color="auto" w:fill="auto"/>
            <w:vAlign w:val="center"/>
            <w:hideMark/>
          </w:tcPr>
          <w:p w14:paraId="481C8D12"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1.50%</w:t>
            </w:r>
          </w:p>
        </w:tc>
      </w:tr>
      <w:tr w:rsidR="00F67E50" w:rsidRPr="00935998" w14:paraId="0F4F0340" w14:textId="77777777" w:rsidTr="00F67E50">
        <w:trPr>
          <w:trHeight w:val="413"/>
          <w:jc w:val="center"/>
        </w:trPr>
        <w:tc>
          <w:tcPr>
            <w:tcW w:w="0" w:type="auto"/>
            <w:shd w:val="clear" w:color="auto" w:fill="auto"/>
            <w:vAlign w:val="center"/>
            <w:hideMark/>
          </w:tcPr>
          <w:p w14:paraId="21BFA66D"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7天</w:t>
            </w:r>
            <w:r w:rsidR="00CD323E" w:rsidRPr="00EE7B62">
              <w:rPr>
                <w:rFonts w:asciiTheme="minorEastAsia" w:eastAsiaTheme="minorEastAsia" w:hAnsiTheme="minorEastAsia" w:cs="Times New Roman" w:hint="eastAsia"/>
                <w:color w:val="000000"/>
                <w:kern w:val="2"/>
              </w:rPr>
              <w:t>≤</w:t>
            </w:r>
            <w:r w:rsidRPr="00EE7B62">
              <w:rPr>
                <w:rFonts w:asciiTheme="minorEastAsia" w:eastAsiaTheme="minorEastAsia" w:hAnsiTheme="minorEastAsia" w:cs="Times New Roman"/>
                <w:color w:val="000000"/>
                <w:kern w:val="2"/>
              </w:rPr>
              <w:t>Y</w:t>
            </w:r>
            <w:r w:rsidR="00CD323E" w:rsidRPr="00EE7B62">
              <w:rPr>
                <w:rFonts w:asciiTheme="minorEastAsia" w:eastAsiaTheme="minorEastAsia" w:hAnsiTheme="minorEastAsia" w:cs="Times New Roman" w:hint="eastAsia"/>
                <w:color w:val="000000"/>
                <w:kern w:val="2"/>
              </w:rPr>
              <w:t>＜</w:t>
            </w:r>
            <w:r w:rsidRPr="00EE7B62">
              <w:rPr>
                <w:rFonts w:asciiTheme="minorEastAsia" w:eastAsiaTheme="minorEastAsia" w:hAnsiTheme="minorEastAsia" w:cs="Times New Roman"/>
                <w:color w:val="000000"/>
                <w:kern w:val="2"/>
              </w:rPr>
              <w:t>1年</w:t>
            </w:r>
          </w:p>
        </w:tc>
        <w:tc>
          <w:tcPr>
            <w:tcW w:w="0" w:type="auto"/>
            <w:shd w:val="clear" w:color="auto" w:fill="auto"/>
            <w:vAlign w:val="center"/>
            <w:hideMark/>
          </w:tcPr>
          <w:p w14:paraId="50605773"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0.10%</w:t>
            </w:r>
          </w:p>
        </w:tc>
        <w:tc>
          <w:tcPr>
            <w:tcW w:w="0" w:type="auto"/>
            <w:shd w:val="clear" w:color="auto" w:fill="auto"/>
            <w:vAlign w:val="center"/>
            <w:hideMark/>
          </w:tcPr>
          <w:p w14:paraId="1B07A4EE"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0.10%</w:t>
            </w:r>
          </w:p>
        </w:tc>
      </w:tr>
      <w:tr w:rsidR="00F67E50" w:rsidRPr="00935998" w14:paraId="1441B9E0" w14:textId="77777777" w:rsidTr="00F67E50">
        <w:trPr>
          <w:trHeight w:val="418"/>
          <w:jc w:val="center"/>
        </w:trPr>
        <w:tc>
          <w:tcPr>
            <w:tcW w:w="0" w:type="auto"/>
            <w:shd w:val="clear" w:color="auto" w:fill="auto"/>
            <w:vAlign w:val="center"/>
            <w:hideMark/>
          </w:tcPr>
          <w:p w14:paraId="653C57FC"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Y≥1年</w:t>
            </w:r>
          </w:p>
        </w:tc>
        <w:tc>
          <w:tcPr>
            <w:tcW w:w="0" w:type="auto"/>
            <w:shd w:val="clear" w:color="auto" w:fill="auto"/>
            <w:vAlign w:val="center"/>
            <w:hideMark/>
          </w:tcPr>
          <w:p w14:paraId="57083F0E"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w:t>
            </w:r>
          </w:p>
        </w:tc>
        <w:tc>
          <w:tcPr>
            <w:tcW w:w="0" w:type="auto"/>
            <w:shd w:val="clear" w:color="auto" w:fill="auto"/>
            <w:vAlign w:val="center"/>
            <w:hideMark/>
          </w:tcPr>
          <w:p w14:paraId="7267D420" w14:textId="77777777" w:rsidR="00F67E50" w:rsidRPr="00EE7B62" w:rsidRDefault="00F67E50" w:rsidP="00F67E50">
            <w:pPr>
              <w:pStyle w:val="ac"/>
              <w:jc w:val="center"/>
              <w:rPr>
                <w:rFonts w:asciiTheme="minorEastAsia" w:eastAsiaTheme="minorEastAsia" w:hAnsiTheme="minorEastAsia" w:cs="Times New Roman"/>
                <w:color w:val="000000"/>
                <w:kern w:val="2"/>
              </w:rPr>
            </w:pPr>
            <w:r w:rsidRPr="00EE7B62">
              <w:rPr>
                <w:rFonts w:asciiTheme="minorEastAsia" w:eastAsiaTheme="minorEastAsia" w:hAnsiTheme="minorEastAsia" w:cs="Times New Roman"/>
                <w:color w:val="000000"/>
                <w:kern w:val="2"/>
              </w:rPr>
              <w:t>0</w:t>
            </w:r>
          </w:p>
        </w:tc>
      </w:tr>
    </w:tbl>
    <w:p w14:paraId="38848FBB" w14:textId="77777777" w:rsidR="00752A9C" w:rsidRPr="00000864" w:rsidRDefault="000B693A"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lastRenderedPageBreak/>
        <w:t>注：1年=365日</w:t>
      </w:r>
    </w:p>
    <w:p w14:paraId="508ACC1A" w14:textId="77777777" w:rsidR="00984EC8" w:rsidRPr="00000864" w:rsidRDefault="00C67BA7" w:rsidP="00C67BA7">
      <w:pPr>
        <w:spacing w:line="360" w:lineRule="auto"/>
        <w:ind w:firstLineChars="200" w:firstLine="480"/>
        <w:rPr>
          <w:rFonts w:asciiTheme="minorEastAsia" w:eastAsiaTheme="minorEastAsia" w:hAnsiTheme="minorEastAsia"/>
          <w:color w:val="000000"/>
          <w:sz w:val="24"/>
          <w:szCs w:val="24"/>
        </w:rPr>
      </w:pPr>
      <w:r w:rsidRPr="00C67BA7">
        <w:rPr>
          <w:rFonts w:asciiTheme="minorEastAsia" w:eastAsiaTheme="minorEastAsia" w:hAnsiTheme="minorEastAsia" w:hint="eastAsia"/>
          <w:color w:val="000000"/>
          <w:sz w:val="24"/>
          <w:szCs w:val="24"/>
        </w:rPr>
        <w:t>赎回费用由赎回基金份额的基金份额持有人承担。本基金的赎回费用在投资者赎回本基金份额时收取，扣除用于市场推广、登记费和其他手续费后的余额归基金财产，向持续持有期限小于7日的投资者收取的赎回费全额计入基金资产，向持续持有期限大于等于7日但少于一年的投资者收取的赎回费归入基金财产的比例不得低于25%。</w:t>
      </w:r>
    </w:p>
    <w:p w14:paraId="77C4F31C" w14:textId="77777777" w:rsidR="00752A9C" w:rsidRPr="00000864" w:rsidRDefault="006279F3"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4</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 xml:space="preserve"> 其他与赎回相关的事项</w:t>
      </w:r>
    </w:p>
    <w:p w14:paraId="59AF6811" w14:textId="5BB92746"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1）基金管理人可在法律法规允许的情况下，调整赎回份额的数量限制，基金管理人必须在调整实施前依照《信息披露办法》的有关规定在</w:t>
      </w:r>
      <w:r w:rsidR="00E37EF0">
        <w:rPr>
          <w:rFonts w:asciiTheme="minorEastAsia" w:eastAsiaTheme="minorEastAsia" w:hAnsiTheme="minorEastAsia" w:hint="eastAsia"/>
          <w:color w:val="000000"/>
          <w:sz w:val="24"/>
          <w:szCs w:val="24"/>
        </w:rPr>
        <w:t>规定</w:t>
      </w:r>
      <w:r>
        <w:rPr>
          <w:rFonts w:asciiTheme="minorEastAsia" w:eastAsiaTheme="minorEastAsia" w:hAnsiTheme="minorEastAsia"/>
          <w:color w:val="000000"/>
          <w:sz w:val="24"/>
          <w:szCs w:val="24"/>
        </w:rPr>
        <w:t>媒介上进行公告并报中国证监会备案。</w:t>
      </w:r>
    </w:p>
    <w:p w14:paraId="3938276C" w14:textId="69248A95" w:rsidR="00752A9C" w:rsidRPr="00000864" w:rsidRDefault="006279F3"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2）基金管理人可以在法律法规和基金合同规定范围内调整赎回费率或收费方式。费率或收费方式如发生变更，基金管理人最迟应在新的费率或收费方式实施日前依照《信息披露办法》的有关规定在</w:t>
      </w:r>
      <w:r w:rsidR="00E37EF0">
        <w:rPr>
          <w:rFonts w:asciiTheme="minorEastAsia" w:eastAsiaTheme="minorEastAsia" w:hAnsiTheme="minorEastAsia" w:hint="eastAsia"/>
          <w:color w:val="000000"/>
          <w:sz w:val="24"/>
          <w:szCs w:val="24"/>
        </w:rPr>
        <w:t>规定</w:t>
      </w:r>
      <w:r w:rsidRPr="00000864">
        <w:rPr>
          <w:rFonts w:asciiTheme="minorEastAsia" w:eastAsiaTheme="minorEastAsia" w:hAnsiTheme="minorEastAsia"/>
          <w:color w:val="000000"/>
          <w:sz w:val="24"/>
          <w:szCs w:val="24"/>
        </w:rPr>
        <w:t>媒介上公告。</w:t>
      </w:r>
    </w:p>
    <w:p w14:paraId="3A4D2C82" w14:textId="77777777" w:rsidR="00752A9C" w:rsidRPr="00000864" w:rsidRDefault="001C0E2D" w:rsidP="00752A9C">
      <w:pPr>
        <w:pStyle w:val="2"/>
        <w:spacing w:line="560" w:lineRule="exact"/>
        <w:rPr>
          <w:rFonts w:asciiTheme="minorEastAsia" w:eastAsiaTheme="minorEastAsia" w:hAnsiTheme="minorEastAsia"/>
          <w:bCs w:val="0"/>
          <w:color w:val="000000"/>
          <w:sz w:val="24"/>
          <w:szCs w:val="24"/>
        </w:rPr>
      </w:pPr>
      <w:r>
        <w:rPr>
          <w:rFonts w:asciiTheme="minorEastAsia" w:eastAsiaTheme="minorEastAsia" w:hAnsiTheme="minorEastAsia" w:hint="eastAsia"/>
          <w:bCs w:val="0"/>
          <w:color w:val="000000"/>
          <w:sz w:val="24"/>
          <w:szCs w:val="24"/>
        </w:rPr>
        <w:t>5</w:t>
      </w:r>
      <w:r w:rsidR="00752A9C" w:rsidRPr="00000864">
        <w:rPr>
          <w:rFonts w:asciiTheme="minorEastAsia" w:eastAsiaTheme="minorEastAsia" w:hAnsiTheme="minorEastAsia"/>
          <w:bCs w:val="0"/>
          <w:color w:val="000000"/>
          <w:sz w:val="24"/>
          <w:szCs w:val="24"/>
        </w:rPr>
        <w:t xml:space="preserve"> 基金销售机构</w:t>
      </w:r>
    </w:p>
    <w:p w14:paraId="3DB13BA3" w14:textId="77777777" w:rsidR="00752A9C" w:rsidRPr="00000864" w:rsidRDefault="001C0E2D"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w:t>
      </w:r>
      <w:r w:rsidR="00752A9C" w:rsidRPr="00000864">
        <w:rPr>
          <w:rFonts w:asciiTheme="minorEastAsia" w:eastAsiaTheme="minorEastAsia" w:hAnsiTheme="minorEastAsia"/>
          <w:b/>
          <w:color w:val="000000"/>
          <w:sz w:val="24"/>
          <w:szCs w:val="24"/>
        </w:rPr>
        <w:t>.</w:t>
      </w:r>
      <w:r w:rsidR="00D76587"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场外销售机构</w:t>
      </w:r>
    </w:p>
    <w:p w14:paraId="5349AFD5" w14:textId="77777777" w:rsidR="00752A9C" w:rsidRPr="00000864" w:rsidRDefault="001C0E2D"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w:t>
      </w:r>
      <w:r w:rsidR="005E7139" w:rsidRPr="00000864">
        <w:rPr>
          <w:rFonts w:asciiTheme="minorEastAsia" w:eastAsiaTheme="minorEastAsia" w:hAnsiTheme="minorEastAsia"/>
          <w:b/>
          <w:color w:val="000000"/>
          <w:sz w:val="24"/>
          <w:szCs w:val="24"/>
        </w:rPr>
        <w:t>.</w:t>
      </w:r>
      <w:r w:rsidR="005E7139"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w:t>
      </w:r>
      <w:r w:rsidR="005E7139"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直销机构</w:t>
      </w:r>
    </w:p>
    <w:p w14:paraId="4CEB737E"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博时基金管理有限公司直销机构（含直销中心及直销网上交易）。</w:t>
      </w:r>
    </w:p>
    <w:p w14:paraId="7FBA7EF0" w14:textId="77777777" w:rsidR="00752A9C" w:rsidRPr="00000864" w:rsidRDefault="005E7139"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投资者如需办理直销网上交易，可登录本基金管理人网站www.bosera.com参阅《博时基金管理有限公司开放式基金业务规则》、《博时基金管理有限公司网上交易业务规则》办理相关开户、申购和赎回等业务。</w:t>
      </w:r>
    </w:p>
    <w:p w14:paraId="30A4B90C" w14:textId="3288166D" w:rsidR="00752A9C" w:rsidRDefault="001C0E2D" w:rsidP="00752A9C">
      <w:pPr>
        <w:spacing w:line="560" w:lineRule="exact"/>
        <w:rPr>
          <w:rFonts w:asciiTheme="minorEastAsia" w:eastAsiaTheme="minorEastAsia" w:hAnsiTheme="minorEastAsia"/>
          <w:b/>
          <w:color w:val="000000"/>
          <w:sz w:val="24"/>
          <w:szCs w:val="24"/>
        </w:rPr>
      </w:pPr>
      <w:r w:rsidRPr="00B32AF7">
        <w:rPr>
          <w:rFonts w:asciiTheme="minorEastAsia" w:eastAsiaTheme="minorEastAsia" w:hAnsiTheme="minorEastAsia"/>
          <w:b/>
          <w:color w:val="000000"/>
          <w:sz w:val="24"/>
          <w:szCs w:val="24"/>
        </w:rPr>
        <w:t>5</w:t>
      </w:r>
      <w:r w:rsidR="005E7139" w:rsidRPr="00B32AF7">
        <w:rPr>
          <w:rFonts w:asciiTheme="minorEastAsia" w:eastAsiaTheme="minorEastAsia" w:hAnsiTheme="minorEastAsia"/>
          <w:b/>
          <w:color w:val="000000"/>
          <w:sz w:val="24"/>
          <w:szCs w:val="24"/>
        </w:rPr>
        <w:t>.1.2</w:t>
      </w:r>
      <w:r w:rsidR="00752A9C" w:rsidRPr="00B32AF7">
        <w:rPr>
          <w:rFonts w:asciiTheme="minorEastAsia" w:eastAsiaTheme="minorEastAsia" w:hAnsiTheme="minorEastAsia"/>
          <w:b/>
          <w:color w:val="000000"/>
          <w:sz w:val="24"/>
          <w:szCs w:val="24"/>
        </w:rPr>
        <w:t xml:space="preserve"> 场外非直销机构</w:t>
      </w:r>
    </w:p>
    <w:tbl>
      <w:tblPr>
        <w:tblW w:w="5000" w:type="pct"/>
        <w:tblLook w:val="04A0" w:firstRow="1" w:lastRow="0" w:firstColumn="1" w:lastColumn="0" w:noHBand="0" w:noVBand="1"/>
      </w:tblPr>
      <w:tblGrid>
        <w:gridCol w:w="965"/>
        <w:gridCol w:w="4010"/>
        <w:gridCol w:w="1774"/>
        <w:gridCol w:w="1773"/>
      </w:tblGrid>
      <w:tr w:rsidR="00B32AF7" w:rsidRPr="00B32AF7" w14:paraId="7F0A8D56" w14:textId="77777777" w:rsidTr="00B32AF7">
        <w:trPr>
          <w:trHeight w:val="285"/>
        </w:trPr>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AE3373" w14:textId="77777777" w:rsidR="00B32AF7" w:rsidRPr="00B32AF7" w:rsidRDefault="00B32AF7" w:rsidP="00B32AF7">
            <w:pPr>
              <w:widowControl/>
              <w:jc w:val="center"/>
              <w:rPr>
                <w:rFonts w:ascii="宋体" w:eastAsia="宋体" w:hAnsi="宋体" w:cs="宋体"/>
                <w:b/>
                <w:bCs/>
                <w:color w:val="000000"/>
                <w:kern w:val="0"/>
                <w:sz w:val="20"/>
              </w:rPr>
            </w:pPr>
            <w:r w:rsidRPr="00B32AF7">
              <w:rPr>
                <w:rFonts w:ascii="宋体" w:eastAsia="宋体" w:hAnsi="宋体" w:cs="宋体" w:hint="eastAsia"/>
                <w:b/>
                <w:bCs/>
                <w:color w:val="000000"/>
                <w:kern w:val="0"/>
                <w:sz w:val="20"/>
              </w:rPr>
              <w:t>序号</w:t>
            </w:r>
          </w:p>
        </w:tc>
        <w:tc>
          <w:tcPr>
            <w:tcW w:w="2353" w:type="pct"/>
            <w:tcBorders>
              <w:top w:val="single" w:sz="4" w:space="0" w:color="auto"/>
              <w:left w:val="nil"/>
              <w:bottom w:val="single" w:sz="4" w:space="0" w:color="auto"/>
              <w:right w:val="single" w:sz="4" w:space="0" w:color="auto"/>
            </w:tcBorders>
            <w:shd w:val="clear" w:color="000000" w:fill="FFFFFF"/>
            <w:vAlign w:val="center"/>
            <w:hideMark/>
          </w:tcPr>
          <w:p w14:paraId="0CF8A383" w14:textId="77777777" w:rsidR="00B32AF7" w:rsidRPr="00B32AF7" w:rsidRDefault="00B32AF7" w:rsidP="00B32AF7">
            <w:pPr>
              <w:widowControl/>
              <w:jc w:val="center"/>
              <w:rPr>
                <w:rFonts w:ascii="宋体" w:eastAsia="宋体" w:hAnsi="宋体" w:cs="宋体" w:hint="eastAsia"/>
                <w:b/>
                <w:bCs/>
                <w:color w:val="000000"/>
                <w:kern w:val="0"/>
                <w:sz w:val="20"/>
              </w:rPr>
            </w:pPr>
            <w:r w:rsidRPr="00B32AF7">
              <w:rPr>
                <w:rFonts w:ascii="宋体" w:eastAsia="宋体" w:hAnsi="宋体" w:cs="宋体" w:hint="eastAsia"/>
                <w:b/>
                <w:bCs/>
                <w:color w:val="000000"/>
                <w:kern w:val="0"/>
                <w:sz w:val="20"/>
              </w:rPr>
              <w:t>销售机构</w:t>
            </w:r>
          </w:p>
        </w:tc>
        <w:tc>
          <w:tcPr>
            <w:tcW w:w="1041" w:type="pct"/>
            <w:tcBorders>
              <w:top w:val="single" w:sz="4" w:space="0" w:color="auto"/>
              <w:left w:val="nil"/>
              <w:bottom w:val="single" w:sz="4" w:space="0" w:color="auto"/>
              <w:right w:val="single" w:sz="4" w:space="0" w:color="auto"/>
            </w:tcBorders>
            <w:shd w:val="clear" w:color="000000" w:fill="FFFFFF"/>
            <w:vAlign w:val="center"/>
            <w:hideMark/>
          </w:tcPr>
          <w:p w14:paraId="39A59F2C" w14:textId="77777777" w:rsidR="00B32AF7" w:rsidRPr="00B32AF7" w:rsidRDefault="00B32AF7" w:rsidP="00B32AF7">
            <w:pPr>
              <w:widowControl/>
              <w:jc w:val="center"/>
              <w:rPr>
                <w:rFonts w:ascii="宋体" w:eastAsia="宋体" w:hAnsi="宋体" w:cs="宋体" w:hint="eastAsia"/>
                <w:b/>
                <w:bCs/>
                <w:color w:val="000000"/>
                <w:kern w:val="0"/>
                <w:sz w:val="20"/>
              </w:rPr>
            </w:pPr>
            <w:r w:rsidRPr="00B32AF7">
              <w:rPr>
                <w:rFonts w:ascii="宋体" w:eastAsia="宋体" w:hAnsi="宋体" w:cs="宋体" w:hint="eastAsia"/>
                <w:b/>
                <w:bCs/>
                <w:color w:val="000000"/>
                <w:kern w:val="0"/>
                <w:sz w:val="20"/>
              </w:rPr>
              <w:t>A类是否开通申赎</w:t>
            </w:r>
          </w:p>
        </w:tc>
        <w:tc>
          <w:tcPr>
            <w:tcW w:w="1041" w:type="pct"/>
            <w:tcBorders>
              <w:top w:val="single" w:sz="4" w:space="0" w:color="auto"/>
              <w:left w:val="nil"/>
              <w:bottom w:val="single" w:sz="4" w:space="0" w:color="auto"/>
              <w:right w:val="single" w:sz="4" w:space="0" w:color="auto"/>
            </w:tcBorders>
            <w:shd w:val="clear" w:color="000000" w:fill="FFFFFF"/>
            <w:vAlign w:val="center"/>
            <w:hideMark/>
          </w:tcPr>
          <w:p w14:paraId="21D838DF" w14:textId="77777777" w:rsidR="00B32AF7" w:rsidRPr="00B32AF7" w:rsidRDefault="00B32AF7" w:rsidP="00B32AF7">
            <w:pPr>
              <w:widowControl/>
              <w:jc w:val="center"/>
              <w:rPr>
                <w:rFonts w:ascii="宋体" w:eastAsia="宋体" w:hAnsi="宋体" w:cs="宋体" w:hint="eastAsia"/>
                <w:b/>
                <w:bCs/>
                <w:color w:val="000000"/>
                <w:kern w:val="0"/>
                <w:sz w:val="20"/>
              </w:rPr>
            </w:pPr>
            <w:r w:rsidRPr="00B32AF7">
              <w:rPr>
                <w:rFonts w:ascii="宋体" w:eastAsia="宋体" w:hAnsi="宋体" w:cs="宋体" w:hint="eastAsia"/>
                <w:b/>
                <w:bCs/>
                <w:color w:val="000000"/>
                <w:kern w:val="0"/>
                <w:sz w:val="20"/>
              </w:rPr>
              <w:t>C类是否开通申赎</w:t>
            </w:r>
          </w:p>
        </w:tc>
      </w:tr>
      <w:tr w:rsidR="00B32AF7" w:rsidRPr="00B32AF7" w14:paraId="34277978" w14:textId="77777777" w:rsidTr="00B32AF7">
        <w:trPr>
          <w:trHeight w:val="28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14:paraId="52DD23A3" w14:textId="77777777" w:rsidR="00B32AF7" w:rsidRPr="00B32AF7" w:rsidRDefault="00B32AF7" w:rsidP="00B32AF7">
            <w:pPr>
              <w:widowControl/>
              <w:jc w:val="center"/>
              <w:rPr>
                <w:rFonts w:ascii="宋体" w:eastAsia="宋体" w:hAnsi="宋体" w:cs="宋体" w:hint="eastAsia"/>
                <w:color w:val="000000"/>
                <w:kern w:val="0"/>
                <w:sz w:val="18"/>
                <w:szCs w:val="18"/>
              </w:rPr>
            </w:pPr>
            <w:r w:rsidRPr="00B32AF7">
              <w:rPr>
                <w:rFonts w:ascii="宋体" w:eastAsia="宋体" w:hAnsi="宋体" w:cs="宋体" w:hint="eastAsia"/>
                <w:color w:val="000000"/>
                <w:kern w:val="0"/>
                <w:sz w:val="18"/>
                <w:szCs w:val="18"/>
              </w:rPr>
              <w:t>1</w:t>
            </w:r>
          </w:p>
        </w:tc>
        <w:tc>
          <w:tcPr>
            <w:tcW w:w="2353" w:type="pct"/>
            <w:tcBorders>
              <w:top w:val="nil"/>
              <w:left w:val="nil"/>
              <w:bottom w:val="single" w:sz="4" w:space="0" w:color="auto"/>
              <w:right w:val="single" w:sz="4" w:space="0" w:color="auto"/>
            </w:tcBorders>
            <w:shd w:val="clear" w:color="000000" w:fill="FFFFFF"/>
            <w:vAlign w:val="center"/>
            <w:hideMark/>
          </w:tcPr>
          <w:p w14:paraId="08AD06C0" w14:textId="77777777" w:rsidR="00B32AF7" w:rsidRPr="00B32AF7" w:rsidRDefault="00B32AF7" w:rsidP="00B32AF7">
            <w:pPr>
              <w:widowControl/>
              <w:jc w:val="center"/>
              <w:rPr>
                <w:rFonts w:ascii="宋体" w:eastAsia="宋体" w:hAnsi="宋体" w:cs="宋体" w:hint="eastAsia"/>
                <w:color w:val="000000"/>
                <w:kern w:val="0"/>
                <w:sz w:val="20"/>
              </w:rPr>
            </w:pPr>
            <w:r w:rsidRPr="00B32AF7">
              <w:rPr>
                <w:rFonts w:ascii="宋体" w:eastAsia="宋体" w:hAnsi="宋体" w:cs="宋体" w:hint="eastAsia"/>
                <w:color w:val="000000"/>
                <w:kern w:val="0"/>
                <w:sz w:val="20"/>
              </w:rPr>
              <w:t>上海天天基金销售有限公司</w:t>
            </w:r>
          </w:p>
        </w:tc>
        <w:tc>
          <w:tcPr>
            <w:tcW w:w="1041" w:type="pct"/>
            <w:tcBorders>
              <w:top w:val="nil"/>
              <w:left w:val="nil"/>
              <w:bottom w:val="single" w:sz="4" w:space="0" w:color="auto"/>
              <w:right w:val="single" w:sz="4" w:space="0" w:color="auto"/>
            </w:tcBorders>
            <w:shd w:val="clear" w:color="auto" w:fill="auto"/>
            <w:vAlign w:val="center"/>
            <w:hideMark/>
          </w:tcPr>
          <w:p w14:paraId="70E8A1C1" w14:textId="77777777" w:rsidR="00B32AF7" w:rsidRPr="00B32AF7" w:rsidRDefault="00B32AF7" w:rsidP="00B32AF7">
            <w:pPr>
              <w:widowControl/>
              <w:jc w:val="center"/>
              <w:rPr>
                <w:rFonts w:ascii="宋体" w:eastAsia="宋体" w:hAnsi="宋体" w:cs="宋体" w:hint="eastAsia"/>
                <w:color w:val="000000"/>
                <w:kern w:val="0"/>
                <w:sz w:val="21"/>
                <w:szCs w:val="21"/>
              </w:rPr>
            </w:pPr>
            <w:r w:rsidRPr="00B32AF7">
              <w:rPr>
                <w:rFonts w:ascii="宋体" w:eastAsia="宋体" w:hAnsi="宋体" w:cs="宋体" w:hint="eastAsia"/>
                <w:color w:val="000000"/>
                <w:kern w:val="0"/>
                <w:sz w:val="21"/>
                <w:szCs w:val="21"/>
              </w:rPr>
              <w:t>是</w:t>
            </w:r>
          </w:p>
        </w:tc>
        <w:tc>
          <w:tcPr>
            <w:tcW w:w="1041" w:type="pct"/>
            <w:tcBorders>
              <w:top w:val="nil"/>
              <w:left w:val="nil"/>
              <w:bottom w:val="single" w:sz="4" w:space="0" w:color="auto"/>
              <w:right w:val="single" w:sz="4" w:space="0" w:color="auto"/>
            </w:tcBorders>
            <w:shd w:val="clear" w:color="auto" w:fill="auto"/>
            <w:vAlign w:val="center"/>
            <w:hideMark/>
          </w:tcPr>
          <w:p w14:paraId="2792572F" w14:textId="77777777" w:rsidR="00B32AF7" w:rsidRPr="00B32AF7" w:rsidRDefault="00B32AF7" w:rsidP="00B32AF7">
            <w:pPr>
              <w:widowControl/>
              <w:jc w:val="center"/>
              <w:rPr>
                <w:rFonts w:ascii="宋体" w:eastAsia="宋体" w:hAnsi="宋体" w:cs="宋体" w:hint="eastAsia"/>
                <w:color w:val="000000"/>
                <w:kern w:val="0"/>
                <w:sz w:val="21"/>
                <w:szCs w:val="21"/>
              </w:rPr>
            </w:pPr>
            <w:r w:rsidRPr="00B32AF7">
              <w:rPr>
                <w:rFonts w:ascii="宋体" w:eastAsia="宋体" w:hAnsi="宋体" w:cs="宋体" w:hint="eastAsia"/>
                <w:color w:val="000000"/>
                <w:kern w:val="0"/>
                <w:sz w:val="21"/>
                <w:szCs w:val="21"/>
              </w:rPr>
              <w:t>是</w:t>
            </w:r>
          </w:p>
        </w:tc>
      </w:tr>
      <w:tr w:rsidR="00B32AF7" w:rsidRPr="00B32AF7" w14:paraId="308EBEB0" w14:textId="77777777" w:rsidTr="00B32AF7">
        <w:trPr>
          <w:trHeight w:val="28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14:paraId="696BD0CD" w14:textId="77777777" w:rsidR="00B32AF7" w:rsidRPr="00B32AF7" w:rsidRDefault="00B32AF7" w:rsidP="00B32AF7">
            <w:pPr>
              <w:widowControl/>
              <w:jc w:val="center"/>
              <w:rPr>
                <w:rFonts w:ascii="宋体" w:eastAsia="宋体" w:hAnsi="宋体" w:cs="宋体" w:hint="eastAsia"/>
                <w:color w:val="000000"/>
                <w:kern w:val="0"/>
                <w:sz w:val="18"/>
                <w:szCs w:val="18"/>
              </w:rPr>
            </w:pPr>
            <w:r w:rsidRPr="00B32AF7">
              <w:rPr>
                <w:rFonts w:ascii="宋体" w:eastAsia="宋体" w:hAnsi="宋体" w:cs="宋体" w:hint="eastAsia"/>
                <w:color w:val="000000"/>
                <w:kern w:val="0"/>
                <w:sz w:val="18"/>
                <w:szCs w:val="18"/>
              </w:rPr>
              <w:t>2</w:t>
            </w:r>
          </w:p>
        </w:tc>
        <w:tc>
          <w:tcPr>
            <w:tcW w:w="2353" w:type="pct"/>
            <w:tcBorders>
              <w:top w:val="nil"/>
              <w:left w:val="nil"/>
              <w:bottom w:val="single" w:sz="4" w:space="0" w:color="auto"/>
              <w:right w:val="single" w:sz="4" w:space="0" w:color="auto"/>
            </w:tcBorders>
            <w:shd w:val="clear" w:color="000000" w:fill="FFFFFF"/>
            <w:vAlign w:val="center"/>
            <w:hideMark/>
          </w:tcPr>
          <w:p w14:paraId="68362B00" w14:textId="77777777" w:rsidR="00B32AF7" w:rsidRPr="00B32AF7" w:rsidRDefault="00B32AF7" w:rsidP="00B32AF7">
            <w:pPr>
              <w:widowControl/>
              <w:jc w:val="center"/>
              <w:rPr>
                <w:rFonts w:ascii="宋体" w:eastAsia="宋体" w:hAnsi="宋体" w:cs="宋体" w:hint="eastAsia"/>
                <w:color w:val="000000"/>
                <w:kern w:val="0"/>
                <w:sz w:val="20"/>
              </w:rPr>
            </w:pPr>
            <w:r w:rsidRPr="00B32AF7">
              <w:rPr>
                <w:rFonts w:ascii="宋体" w:eastAsia="宋体" w:hAnsi="宋体" w:cs="宋体" w:hint="eastAsia"/>
                <w:color w:val="000000"/>
                <w:kern w:val="0"/>
                <w:sz w:val="20"/>
              </w:rPr>
              <w:t>蚂蚁（杭州）基金销售有限公司</w:t>
            </w:r>
          </w:p>
        </w:tc>
        <w:tc>
          <w:tcPr>
            <w:tcW w:w="1041" w:type="pct"/>
            <w:tcBorders>
              <w:top w:val="nil"/>
              <w:left w:val="nil"/>
              <w:bottom w:val="single" w:sz="4" w:space="0" w:color="auto"/>
              <w:right w:val="single" w:sz="4" w:space="0" w:color="auto"/>
            </w:tcBorders>
            <w:shd w:val="clear" w:color="auto" w:fill="auto"/>
            <w:vAlign w:val="center"/>
            <w:hideMark/>
          </w:tcPr>
          <w:p w14:paraId="011C99BD" w14:textId="77777777" w:rsidR="00B32AF7" w:rsidRPr="00B32AF7" w:rsidRDefault="00B32AF7" w:rsidP="00B32AF7">
            <w:pPr>
              <w:widowControl/>
              <w:jc w:val="center"/>
              <w:rPr>
                <w:rFonts w:ascii="宋体" w:eastAsia="宋体" w:hAnsi="宋体" w:cs="宋体" w:hint="eastAsia"/>
                <w:color w:val="000000"/>
                <w:kern w:val="0"/>
                <w:sz w:val="21"/>
                <w:szCs w:val="21"/>
              </w:rPr>
            </w:pPr>
            <w:r w:rsidRPr="00B32AF7">
              <w:rPr>
                <w:rFonts w:ascii="宋体" w:eastAsia="宋体" w:hAnsi="宋体" w:cs="宋体" w:hint="eastAsia"/>
                <w:color w:val="000000"/>
                <w:kern w:val="0"/>
                <w:sz w:val="21"/>
                <w:szCs w:val="21"/>
              </w:rPr>
              <w:t>是</w:t>
            </w:r>
          </w:p>
        </w:tc>
        <w:tc>
          <w:tcPr>
            <w:tcW w:w="1041" w:type="pct"/>
            <w:tcBorders>
              <w:top w:val="nil"/>
              <w:left w:val="nil"/>
              <w:bottom w:val="single" w:sz="4" w:space="0" w:color="auto"/>
              <w:right w:val="single" w:sz="4" w:space="0" w:color="auto"/>
            </w:tcBorders>
            <w:shd w:val="clear" w:color="auto" w:fill="auto"/>
            <w:vAlign w:val="center"/>
            <w:hideMark/>
          </w:tcPr>
          <w:p w14:paraId="41428901" w14:textId="77777777" w:rsidR="00B32AF7" w:rsidRPr="00B32AF7" w:rsidRDefault="00B32AF7" w:rsidP="00B32AF7">
            <w:pPr>
              <w:widowControl/>
              <w:jc w:val="center"/>
              <w:rPr>
                <w:rFonts w:ascii="宋体" w:eastAsia="宋体" w:hAnsi="宋体" w:cs="宋体" w:hint="eastAsia"/>
                <w:color w:val="000000"/>
                <w:kern w:val="0"/>
                <w:sz w:val="21"/>
                <w:szCs w:val="21"/>
              </w:rPr>
            </w:pPr>
            <w:r w:rsidRPr="00B32AF7">
              <w:rPr>
                <w:rFonts w:ascii="宋体" w:eastAsia="宋体" w:hAnsi="宋体" w:cs="宋体" w:hint="eastAsia"/>
                <w:color w:val="000000"/>
                <w:kern w:val="0"/>
                <w:sz w:val="21"/>
                <w:szCs w:val="21"/>
              </w:rPr>
              <w:t>是</w:t>
            </w:r>
          </w:p>
        </w:tc>
      </w:tr>
      <w:tr w:rsidR="00B32AF7" w:rsidRPr="00B32AF7" w14:paraId="31591AA2" w14:textId="77777777" w:rsidTr="00B32AF7">
        <w:trPr>
          <w:trHeight w:val="28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14:paraId="6F362446" w14:textId="77777777" w:rsidR="00B32AF7" w:rsidRPr="00B32AF7" w:rsidRDefault="00B32AF7" w:rsidP="00B32AF7">
            <w:pPr>
              <w:widowControl/>
              <w:jc w:val="center"/>
              <w:rPr>
                <w:rFonts w:ascii="宋体" w:eastAsia="宋体" w:hAnsi="宋体" w:cs="宋体" w:hint="eastAsia"/>
                <w:color w:val="000000"/>
                <w:kern w:val="0"/>
                <w:sz w:val="18"/>
                <w:szCs w:val="18"/>
              </w:rPr>
            </w:pPr>
            <w:r w:rsidRPr="00B32AF7">
              <w:rPr>
                <w:rFonts w:ascii="宋体" w:eastAsia="宋体" w:hAnsi="宋体" w:cs="宋体" w:hint="eastAsia"/>
                <w:color w:val="000000"/>
                <w:kern w:val="0"/>
                <w:sz w:val="18"/>
                <w:szCs w:val="18"/>
              </w:rPr>
              <w:t>3</w:t>
            </w:r>
          </w:p>
        </w:tc>
        <w:tc>
          <w:tcPr>
            <w:tcW w:w="2353" w:type="pct"/>
            <w:tcBorders>
              <w:top w:val="nil"/>
              <w:left w:val="nil"/>
              <w:bottom w:val="single" w:sz="4" w:space="0" w:color="auto"/>
              <w:right w:val="single" w:sz="4" w:space="0" w:color="auto"/>
            </w:tcBorders>
            <w:shd w:val="clear" w:color="auto" w:fill="auto"/>
            <w:vAlign w:val="center"/>
            <w:hideMark/>
          </w:tcPr>
          <w:p w14:paraId="0B1A966E" w14:textId="77777777" w:rsidR="00B32AF7" w:rsidRPr="00B32AF7" w:rsidRDefault="00B32AF7" w:rsidP="00B32AF7">
            <w:pPr>
              <w:widowControl/>
              <w:jc w:val="center"/>
              <w:rPr>
                <w:rFonts w:ascii="宋体" w:eastAsia="宋体" w:hAnsi="宋体" w:cs="宋体" w:hint="eastAsia"/>
                <w:color w:val="000000"/>
                <w:kern w:val="0"/>
                <w:sz w:val="20"/>
              </w:rPr>
            </w:pPr>
            <w:r w:rsidRPr="00B32AF7">
              <w:rPr>
                <w:rFonts w:ascii="宋体" w:eastAsia="宋体" w:hAnsi="宋体" w:cs="宋体" w:hint="eastAsia"/>
                <w:color w:val="000000"/>
                <w:kern w:val="0"/>
                <w:sz w:val="20"/>
              </w:rPr>
              <w:t>浙江同花顺基金销售有限公司</w:t>
            </w:r>
          </w:p>
        </w:tc>
        <w:tc>
          <w:tcPr>
            <w:tcW w:w="1041" w:type="pct"/>
            <w:tcBorders>
              <w:top w:val="nil"/>
              <w:left w:val="nil"/>
              <w:bottom w:val="single" w:sz="4" w:space="0" w:color="auto"/>
              <w:right w:val="single" w:sz="4" w:space="0" w:color="auto"/>
            </w:tcBorders>
            <w:shd w:val="clear" w:color="auto" w:fill="auto"/>
            <w:vAlign w:val="center"/>
            <w:hideMark/>
          </w:tcPr>
          <w:p w14:paraId="1609BD53" w14:textId="77777777" w:rsidR="00B32AF7" w:rsidRPr="00B32AF7" w:rsidRDefault="00B32AF7" w:rsidP="00B32AF7">
            <w:pPr>
              <w:widowControl/>
              <w:jc w:val="center"/>
              <w:rPr>
                <w:rFonts w:ascii="宋体" w:eastAsia="宋体" w:hAnsi="宋体" w:cs="宋体" w:hint="eastAsia"/>
                <w:color w:val="000000"/>
                <w:kern w:val="0"/>
                <w:sz w:val="21"/>
                <w:szCs w:val="21"/>
              </w:rPr>
            </w:pPr>
            <w:r w:rsidRPr="00B32AF7">
              <w:rPr>
                <w:rFonts w:ascii="宋体" w:eastAsia="宋体" w:hAnsi="宋体" w:cs="宋体" w:hint="eastAsia"/>
                <w:color w:val="000000"/>
                <w:kern w:val="0"/>
                <w:sz w:val="21"/>
                <w:szCs w:val="21"/>
              </w:rPr>
              <w:t>是</w:t>
            </w:r>
          </w:p>
        </w:tc>
        <w:tc>
          <w:tcPr>
            <w:tcW w:w="1041" w:type="pct"/>
            <w:tcBorders>
              <w:top w:val="nil"/>
              <w:left w:val="nil"/>
              <w:bottom w:val="single" w:sz="4" w:space="0" w:color="auto"/>
              <w:right w:val="single" w:sz="4" w:space="0" w:color="auto"/>
            </w:tcBorders>
            <w:shd w:val="clear" w:color="auto" w:fill="auto"/>
            <w:vAlign w:val="center"/>
            <w:hideMark/>
          </w:tcPr>
          <w:p w14:paraId="0EB0D7F2" w14:textId="77777777" w:rsidR="00B32AF7" w:rsidRPr="00B32AF7" w:rsidRDefault="00B32AF7" w:rsidP="00B32AF7">
            <w:pPr>
              <w:widowControl/>
              <w:jc w:val="center"/>
              <w:rPr>
                <w:rFonts w:ascii="宋体" w:eastAsia="宋体" w:hAnsi="宋体" w:cs="宋体" w:hint="eastAsia"/>
                <w:color w:val="000000"/>
                <w:kern w:val="0"/>
                <w:sz w:val="21"/>
                <w:szCs w:val="21"/>
              </w:rPr>
            </w:pPr>
            <w:r w:rsidRPr="00B32AF7">
              <w:rPr>
                <w:rFonts w:ascii="宋体" w:eastAsia="宋体" w:hAnsi="宋体" w:cs="宋体" w:hint="eastAsia"/>
                <w:color w:val="000000"/>
                <w:kern w:val="0"/>
                <w:sz w:val="21"/>
                <w:szCs w:val="21"/>
              </w:rPr>
              <w:t>是</w:t>
            </w:r>
          </w:p>
        </w:tc>
      </w:tr>
      <w:tr w:rsidR="00B32AF7" w:rsidRPr="00B32AF7" w14:paraId="763C2B4A" w14:textId="77777777" w:rsidTr="00B32AF7">
        <w:trPr>
          <w:trHeight w:val="28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14:paraId="425F89C6" w14:textId="77777777" w:rsidR="00B32AF7" w:rsidRPr="00B32AF7" w:rsidRDefault="00B32AF7" w:rsidP="00B32AF7">
            <w:pPr>
              <w:widowControl/>
              <w:jc w:val="center"/>
              <w:rPr>
                <w:rFonts w:ascii="宋体" w:eastAsia="宋体" w:hAnsi="宋体" w:cs="宋体" w:hint="eastAsia"/>
                <w:color w:val="000000"/>
                <w:kern w:val="0"/>
                <w:sz w:val="18"/>
                <w:szCs w:val="18"/>
              </w:rPr>
            </w:pPr>
            <w:r w:rsidRPr="00B32AF7">
              <w:rPr>
                <w:rFonts w:ascii="宋体" w:eastAsia="宋体" w:hAnsi="宋体" w:cs="宋体" w:hint="eastAsia"/>
                <w:color w:val="000000"/>
                <w:kern w:val="0"/>
                <w:sz w:val="18"/>
                <w:szCs w:val="18"/>
              </w:rPr>
              <w:t>4</w:t>
            </w:r>
          </w:p>
        </w:tc>
        <w:tc>
          <w:tcPr>
            <w:tcW w:w="2353" w:type="pct"/>
            <w:tcBorders>
              <w:top w:val="nil"/>
              <w:left w:val="nil"/>
              <w:bottom w:val="single" w:sz="4" w:space="0" w:color="auto"/>
              <w:right w:val="single" w:sz="4" w:space="0" w:color="auto"/>
            </w:tcBorders>
            <w:shd w:val="clear" w:color="000000" w:fill="FFFFFF"/>
            <w:vAlign w:val="center"/>
            <w:hideMark/>
          </w:tcPr>
          <w:p w14:paraId="6635515C" w14:textId="77777777" w:rsidR="00B32AF7" w:rsidRPr="00B32AF7" w:rsidRDefault="00B32AF7" w:rsidP="00B32AF7">
            <w:pPr>
              <w:widowControl/>
              <w:jc w:val="center"/>
              <w:rPr>
                <w:rFonts w:ascii="宋体" w:eastAsia="宋体" w:hAnsi="宋体" w:cs="宋体" w:hint="eastAsia"/>
                <w:color w:val="000000"/>
                <w:kern w:val="0"/>
                <w:sz w:val="20"/>
              </w:rPr>
            </w:pPr>
            <w:r w:rsidRPr="00B32AF7">
              <w:rPr>
                <w:rFonts w:ascii="宋体" w:eastAsia="宋体" w:hAnsi="宋体" w:cs="宋体" w:hint="eastAsia"/>
                <w:color w:val="000000"/>
                <w:kern w:val="0"/>
                <w:sz w:val="20"/>
              </w:rPr>
              <w:t>北京雪球基金销售有限公司</w:t>
            </w:r>
          </w:p>
        </w:tc>
        <w:tc>
          <w:tcPr>
            <w:tcW w:w="1041" w:type="pct"/>
            <w:tcBorders>
              <w:top w:val="nil"/>
              <w:left w:val="nil"/>
              <w:bottom w:val="single" w:sz="4" w:space="0" w:color="auto"/>
              <w:right w:val="single" w:sz="4" w:space="0" w:color="auto"/>
            </w:tcBorders>
            <w:shd w:val="clear" w:color="auto" w:fill="auto"/>
            <w:vAlign w:val="center"/>
            <w:hideMark/>
          </w:tcPr>
          <w:p w14:paraId="267F2DDC" w14:textId="77777777" w:rsidR="00B32AF7" w:rsidRPr="00B32AF7" w:rsidRDefault="00B32AF7" w:rsidP="00B32AF7">
            <w:pPr>
              <w:widowControl/>
              <w:jc w:val="center"/>
              <w:rPr>
                <w:rFonts w:ascii="宋体" w:eastAsia="宋体" w:hAnsi="宋体" w:cs="宋体" w:hint="eastAsia"/>
                <w:color w:val="000000"/>
                <w:kern w:val="0"/>
                <w:sz w:val="21"/>
                <w:szCs w:val="21"/>
              </w:rPr>
            </w:pPr>
            <w:r w:rsidRPr="00B32AF7">
              <w:rPr>
                <w:rFonts w:ascii="宋体" w:eastAsia="宋体" w:hAnsi="宋体" w:cs="宋体" w:hint="eastAsia"/>
                <w:color w:val="000000"/>
                <w:kern w:val="0"/>
                <w:sz w:val="21"/>
                <w:szCs w:val="21"/>
              </w:rPr>
              <w:t>是</w:t>
            </w:r>
          </w:p>
        </w:tc>
        <w:tc>
          <w:tcPr>
            <w:tcW w:w="1041" w:type="pct"/>
            <w:tcBorders>
              <w:top w:val="nil"/>
              <w:left w:val="nil"/>
              <w:bottom w:val="single" w:sz="4" w:space="0" w:color="auto"/>
              <w:right w:val="single" w:sz="4" w:space="0" w:color="auto"/>
            </w:tcBorders>
            <w:shd w:val="clear" w:color="auto" w:fill="auto"/>
            <w:vAlign w:val="center"/>
            <w:hideMark/>
          </w:tcPr>
          <w:p w14:paraId="780F18ED" w14:textId="77777777" w:rsidR="00B32AF7" w:rsidRPr="00B32AF7" w:rsidRDefault="00B32AF7" w:rsidP="00B32AF7">
            <w:pPr>
              <w:widowControl/>
              <w:jc w:val="center"/>
              <w:rPr>
                <w:rFonts w:ascii="宋体" w:eastAsia="宋体" w:hAnsi="宋体" w:cs="宋体" w:hint="eastAsia"/>
                <w:color w:val="000000"/>
                <w:kern w:val="0"/>
                <w:sz w:val="21"/>
                <w:szCs w:val="21"/>
              </w:rPr>
            </w:pPr>
            <w:r w:rsidRPr="00B32AF7">
              <w:rPr>
                <w:rFonts w:ascii="宋体" w:eastAsia="宋体" w:hAnsi="宋体" w:cs="宋体" w:hint="eastAsia"/>
                <w:color w:val="000000"/>
                <w:kern w:val="0"/>
                <w:sz w:val="21"/>
                <w:szCs w:val="21"/>
              </w:rPr>
              <w:t>是</w:t>
            </w:r>
          </w:p>
        </w:tc>
      </w:tr>
    </w:tbl>
    <w:p w14:paraId="29D1245F" w14:textId="77777777" w:rsidR="003E5D2F" w:rsidRPr="00B32AF7" w:rsidRDefault="003E5D2F" w:rsidP="00752A9C">
      <w:pPr>
        <w:spacing w:line="560" w:lineRule="exact"/>
        <w:rPr>
          <w:rFonts w:asciiTheme="minorEastAsia" w:eastAsiaTheme="minorEastAsia" w:hAnsiTheme="minorEastAsia"/>
          <w:color w:val="000000"/>
          <w:sz w:val="24"/>
          <w:szCs w:val="24"/>
        </w:rPr>
      </w:pPr>
      <w:bookmarkStart w:id="4" w:name="_GoBack"/>
      <w:bookmarkEnd w:id="4"/>
    </w:p>
    <w:p w14:paraId="7618E314" w14:textId="77777777" w:rsidR="00752A9C" w:rsidRDefault="008753C0" w:rsidP="00752A9C">
      <w:pPr>
        <w:pStyle w:val="2"/>
        <w:spacing w:line="560" w:lineRule="exact"/>
        <w:rPr>
          <w:rFonts w:asciiTheme="minorEastAsia" w:eastAsiaTheme="minorEastAsia" w:hAnsiTheme="minorEastAsia"/>
          <w:bCs w:val="0"/>
          <w:color w:val="000000"/>
          <w:sz w:val="24"/>
          <w:szCs w:val="24"/>
        </w:rPr>
      </w:pPr>
      <w:bookmarkStart w:id="5" w:name="_Toc275961402"/>
      <w:r>
        <w:rPr>
          <w:rFonts w:asciiTheme="minorEastAsia" w:eastAsiaTheme="minorEastAsia" w:hAnsiTheme="minorEastAsia" w:hint="eastAsia"/>
          <w:bCs w:val="0"/>
          <w:color w:val="000000"/>
          <w:sz w:val="24"/>
          <w:szCs w:val="24"/>
        </w:rPr>
        <w:lastRenderedPageBreak/>
        <w:t>6</w:t>
      </w:r>
      <w:r w:rsidR="00752A9C" w:rsidRPr="00000864">
        <w:rPr>
          <w:rFonts w:asciiTheme="minorEastAsia" w:eastAsiaTheme="minorEastAsia" w:hAnsiTheme="minorEastAsia"/>
          <w:bCs w:val="0"/>
          <w:color w:val="000000"/>
          <w:sz w:val="24"/>
          <w:szCs w:val="24"/>
        </w:rPr>
        <w:t xml:space="preserve"> 基金份额净值公告/基金收益公告的披露安排</w:t>
      </w:r>
      <w:bookmarkEnd w:id="5"/>
    </w:p>
    <w:p w14:paraId="33CC744C" w14:textId="77777777" w:rsidR="001C0E2D" w:rsidRPr="001C0E2D" w:rsidRDefault="001C0E2D" w:rsidP="001C0E2D">
      <w:pPr>
        <w:spacing w:line="360" w:lineRule="auto"/>
        <w:ind w:firstLineChars="200" w:firstLine="480"/>
        <w:rPr>
          <w:rFonts w:asciiTheme="minorEastAsia" w:eastAsiaTheme="minorEastAsia" w:hAnsiTheme="minorEastAsia"/>
          <w:color w:val="000000"/>
          <w:sz w:val="24"/>
          <w:szCs w:val="24"/>
        </w:rPr>
      </w:pPr>
      <w:r w:rsidRPr="001C0E2D">
        <w:rPr>
          <w:rFonts w:asciiTheme="minorEastAsia" w:eastAsiaTheme="minorEastAsia" w:hAnsiTheme="minorEastAsia" w:hint="eastAsia"/>
          <w:color w:val="000000"/>
          <w:sz w:val="24"/>
          <w:szCs w:val="24"/>
        </w:rPr>
        <w:t>在基金封闭期内，基金管理人应当至少每周公告一次基金资产净值和各类基金份额净值。</w:t>
      </w:r>
    </w:p>
    <w:p w14:paraId="45964F2A" w14:textId="77777777" w:rsidR="001C0E2D" w:rsidRPr="001C0E2D" w:rsidRDefault="001C0E2D" w:rsidP="001C0E2D">
      <w:pPr>
        <w:spacing w:line="360" w:lineRule="auto"/>
        <w:ind w:firstLineChars="200" w:firstLine="480"/>
        <w:rPr>
          <w:rFonts w:asciiTheme="minorEastAsia" w:eastAsiaTheme="minorEastAsia" w:hAnsiTheme="minorEastAsia"/>
          <w:color w:val="000000"/>
          <w:sz w:val="24"/>
          <w:szCs w:val="24"/>
        </w:rPr>
      </w:pPr>
      <w:r w:rsidRPr="001C0E2D">
        <w:rPr>
          <w:rFonts w:asciiTheme="minorEastAsia" w:eastAsiaTheme="minorEastAsia" w:hAnsiTheme="minorEastAsia" w:hint="eastAsia"/>
          <w:color w:val="000000"/>
          <w:sz w:val="24"/>
          <w:szCs w:val="24"/>
        </w:rPr>
        <w:t>在基金开放期每个开放日的次日，基金管理人应通过网站、基金份额发售网点以及其他媒介，披露开放日的各类基金份额净值和各类基金份额累计净值。</w:t>
      </w:r>
    </w:p>
    <w:p w14:paraId="3267EA01" w14:textId="55FAF676" w:rsidR="001C0E2D" w:rsidRPr="001C0E2D" w:rsidRDefault="001C0E2D" w:rsidP="001C0E2D">
      <w:pPr>
        <w:spacing w:line="360" w:lineRule="auto"/>
        <w:ind w:firstLineChars="200" w:firstLine="480"/>
      </w:pPr>
      <w:r w:rsidRPr="001C0E2D">
        <w:rPr>
          <w:rFonts w:asciiTheme="minorEastAsia" w:eastAsiaTheme="minorEastAsia" w:hAnsiTheme="minorEastAsia" w:hint="eastAsia"/>
          <w:color w:val="000000"/>
          <w:sz w:val="24"/>
          <w:szCs w:val="24"/>
        </w:rPr>
        <w:t>基金管理人应当公告半年度和年度最后一个市场交易日基金资产净值和各类基金份额净值。基金管理人应当在前款规定的市场交易日的次日，将基金资产净值、各类基金份额净值和各类基金份额累计净值登载在</w:t>
      </w:r>
      <w:r w:rsidR="00E37EF0">
        <w:rPr>
          <w:rFonts w:asciiTheme="minorEastAsia" w:eastAsiaTheme="minorEastAsia" w:hAnsiTheme="minorEastAsia" w:hint="eastAsia"/>
          <w:color w:val="000000"/>
          <w:sz w:val="24"/>
          <w:szCs w:val="24"/>
        </w:rPr>
        <w:t>规定</w:t>
      </w:r>
      <w:r w:rsidRPr="001C0E2D">
        <w:rPr>
          <w:rFonts w:asciiTheme="minorEastAsia" w:eastAsiaTheme="minorEastAsia" w:hAnsiTheme="minorEastAsia" w:hint="eastAsia"/>
          <w:color w:val="000000"/>
          <w:sz w:val="24"/>
          <w:szCs w:val="24"/>
        </w:rPr>
        <w:t>媒介上。</w:t>
      </w:r>
    </w:p>
    <w:p w14:paraId="578909D8" w14:textId="77777777" w:rsidR="00752A9C" w:rsidRPr="00000864" w:rsidRDefault="008753C0" w:rsidP="00752A9C">
      <w:pPr>
        <w:pStyle w:val="2"/>
        <w:spacing w:line="560" w:lineRule="exact"/>
        <w:rPr>
          <w:rFonts w:asciiTheme="minorEastAsia" w:eastAsiaTheme="minorEastAsia" w:hAnsiTheme="minorEastAsia"/>
          <w:bCs w:val="0"/>
          <w:color w:val="000000"/>
          <w:sz w:val="24"/>
          <w:szCs w:val="24"/>
        </w:rPr>
      </w:pPr>
      <w:bookmarkStart w:id="6" w:name="_Toc275961403"/>
      <w:r>
        <w:rPr>
          <w:rFonts w:asciiTheme="minorEastAsia" w:eastAsiaTheme="minorEastAsia" w:hAnsiTheme="minorEastAsia" w:hint="eastAsia"/>
          <w:bCs w:val="0"/>
          <w:color w:val="000000"/>
          <w:sz w:val="24"/>
          <w:szCs w:val="24"/>
        </w:rPr>
        <w:t>7</w:t>
      </w:r>
      <w:r w:rsidR="00752A9C" w:rsidRPr="00000864">
        <w:rPr>
          <w:rFonts w:asciiTheme="minorEastAsia" w:eastAsiaTheme="minorEastAsia" w:hAnsiTheme="minorEastAsia"/>
          <w:bCs w:val="0"/>
          <w:color w:val="000000"/>
          <w:sz w:val="24"/>
          <w:szCs w:val="24"/>
        </w:rPr>
        <w:t xml:space="preserve"> 其他需要提示的事项</w:t>
      </w:r>
      <w:bookmarkEnd w:id="6"/>
    </w:p>
    <w:p w14:paraId="3F4B895F"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本公告仅对博时安弘一年定期开放债券型发起式证券投资基金本次办理申购、赎回业务等相关事项予以说明。投资者欲了解本基金的详细情况，可于本基金管理人网站或相关代销机构查阅本基金相关法律文件及资料。本公告的解释权归本公司所有。</w:t>
      </w:r>
    </w:p>
    <w:p w14:paraId="4FE1DC8D"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本基金《基金合同》生效日起（包括该日）或每个封闭期结束之后第一个工作日起进入开放期，开放期的期限为自封闭期结束之日后第一个工作日起（含该日）五至二十个工作日。开放期内，本基金采取开放运作模式，投资人可办理基金份额申购、赎回或其他业务。开放期未赎回的份额将自动转入下一个封闭期。</w:t>
      </w:r>
    </w:p>
    <w:p w14:paraId="26D6DB4D" w14:textId="00E920C8"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w:t>
      </w:r>
      <w:r w:rsidR="002C0B19">
        <w:rPr>
          <w:rFonts w:asciiTheme="minorEastAsia" w:eastAsiaTheme="minorEastAsia" w:hAnsiTheme="minorEastAsia"/>
          <w:color w:val="000000"/>
          <w:sz w:val="24"/>
          <w:szCs w:val="24"/>
        </w:rPr>
        <w:t>2021年11月26日</w:t>
      </w:r>
      <w:r>
        <w:rPr>
          <w:rFonts w:asciiTheme="minorEastAsia" w:eastAsiaTheme="minorEastAsia" w:hAnsiTheme="minorEastAsia"/>
          <w:color w:val="000000"/>
          <w:sz w:val="24"/>
          <w:szCs w:val="24"/>
        </w:rPr>
        <w:t>至</w:t>
      </w:r>
      <w:r w:rsidR="00E37EF0">
        <w:rPr>
          <w:rFonts w:asciiTheme="minorEastAsia" w:eastAsiaTheme="minorEastAsia" w:hAnsiTheme="minorEastAsia"/>
          <w:color w:val="000000"/>
          <w:sz w:val="24"/>
          <w:szCs w:val="24"/>
        </w:rPr>
        <w:t>202</w:t>
      </w:r>
      <w:r w:rsidR="002C0B19">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年</w:t>
      </w:r>
      <w:r w:rsidR="002C0B19">
        <w:rPr>
          <w:rFonts w:asciiTheme="minorEastAsia" w:eastAsiaTheme="minorEastAsia" w:hAnsiTheme="minorEastAsia"/>
          <w:color w:val="000000"/>
          <w:sz w:val="24"/>
          <w:szCs w:val="24"/>
        </w:rPr>
        <w:t>12</w:t>
      </w:r>
      <w:r>
        <w:rPr>
          <w:rFonts w:asciiTheme="minorEastAsia" w:eastAsiaTheme="minorEastAsia" w:hAnsiTheme="minorEastAsia"/>
          <w:color w:val="000000"/>
          <w:sz w:val="24"/>
          <w:szCs w:val="24"/>
        </w:rPr>
        <w:t>月</w:t>
      </w:r>
      <w:r w:rsidR="002C0B19">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日为本基金</w:t>
      </w:r>
      <w:r w:rsidR="00E37EF0">
        <w:rPr>
          <w:rFonts w:asciiTheme="minorEastAsia" w:eastAsiaTheme="minorEastAsia" w:hAnsiTheme="minorEastAsia" w:hint="eastAsia"/>
          <w:color w:val="000000"/>
          <w:sz w:val="24"/>
          <w:szCs w:val="24"/>
        </w:rPr>
        <w:t>本次</w:t>
      </w:r>
      <w:r>
        <w:rPr>
          <w:rFonts w:asciiTheme="minorEastAsia" w:eastAsiaTheme="minorEastAsia" w:hAnsiTheme="minorEastAsia"/>
          <w:color w:val="000000"/>
          <w:sz w:val="24"/>
          <w:szCs w:val="24"/>
        </w:rPr>
        <w:t>开放期，即在开放期内的每个工作日接受办理本基金份额的申购、赎回业务。在开放期内，基金管理人可根据基金合同的相关规定调整开放日期，具体请见届时发布的相关公告。开放期最后一个工作日15：00以后暂停接受办理本基金的申购、赎回业务直至下一个开放期。届时将不再另行公告。</w:t>
      </w:r>
    </w:p>
    <w:p w14:paraId="1BA7D6CB"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风险提示：本公司承诺诚实信用地管理和运用基金财产，但不保证基金一定盈利，也不保证最低收益。基金的过往业绩并不代表其未来表现。投资有风险，敬请投资人认真阅读基金的相关法律文件，并选择适合自身风险承受能力的投资品种进行投资。</w:t>
      </w:r>
    </w:p>
    <w:p w14:paraId="10E7D79B" w14:textId="77777777" w:rsidR="0016252A" w:rsidRDefault="00DE779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特此公告。</w:t>
      </w:r>
    </w:p>
    <w:p w14:paraId="29470F14" w14:textId="77777777" w:rsidR="0016252A" w:rsidRDefault="0016252A" w:rsidP="001C0E2D">
      <w:pPr>
        <w:spacing w:line="360" w:lineRule="auto"/>
        <w:rPr>
          <w:rFonts w:asciiTheme="minorEastAsia" w:eastAsiaTheme="minorEastAsia" w:hAnsiTheme="minorEastAsia"/>
          <w:color w:val="000000"/>
          <w:sz w:val="24"/>
          <w:szCs w:val="24"/>
        </w:rPr>
      </w:pPr>
    </w:p>
    <w:p w14:paraId="261A4DD4" w14:textId="77777777" w:rsidR="0016252A" w:rsidRDefault="00DE779B" w:rsidP="001C0E2D">
      <w:pPr>
        <w:spacing w:line="360" w:lineRule="auto"/>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博时基金管理有限公司</w:t>
      </w:r>
    </w:p>
    <w:p w14:paraId="5A289681" w14:textId="5AC513A7" w:rsidR="00752A9C" w:rsidRPr="00000864" w:rsidRDefault="002C0B19" w:rsidP="001C0E2D">
      <w:pPr>
        <w:spacing w:line="360" w:lineRule="auto"/>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2021年11月25日</w:t>
      </w:r>
    </w:p>
    <w:p w14:paraId="6222C08E" w14:textId="77777777" w:rsidR="00364C2A" w:rsidRPr="00000864" w:rsidRDefault="00A20231">
      <w:pPr>
        <w:rPr>
          <w:rFonts w:asciiTheme="minorEastAsia" w:eastAsiaTheme="minorEastAsia" w:hAnsiTheme="minorEastAsia"/>
          <w:sz w:val="24"/>
          <w:szCs w:val="24"/>
        </w:rPr>
      </w:pPr>
    </w:p>
    <w:sectPr w:rsidR="00364C2A" w:rsidRPr="00000864"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FFA8" w14:textId="77777777" w:rsidR="00A20231" w:rsidRDefault="00A20231" w:rsidP="00752A9C">
      <w:r>
        <w:separator/>
      </w:r>
    </w:p>
  </w:endnote>
  <w:endnote w:type="continuationSeparator" w:id="0">
    <w:p w14:paraId="0ED09ECA" w14:textId="77777777" w:rsidR="00A20231" w:rsidRDefault="00A20231" w:rsidP="0075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F48BC" w14:textId="77777777" w:rsidR="00A20231" w:rsidRDefault="00A20231" w:rsidP="00752A9C">
      <w:r>
        <w:separator/>
      </w:r>
    </w:p>
  </w:footnote>
  <w:footnote w:type="continuationSeparator" w:id="0">
    <w:p w14:paraId="6CFA1659" w14:textId="77777777" w:rsidR="00A20231" w:rsidRDefault="00A20231" w:rsidP="00752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A9C"/>
    <w:rsid w:val="00000864"/>
    <w:rsid w:val="00041353"/>
    <w:rsid w:val="00090186"/>
    <w:rsid w:val="0009315C"/>
    <w:rsid w:val="000B693A"/>
    <w:rsid w:val="000F7476"/>
    <w:rsid w:val="0015785C"/>
    <w:rsid w:val="0016252A"/>
    <w:rsid w:val="001828C5"/>
    <w:rsid w:val="001A4FEC"/>
    <w:rsid w:val="001C0E2D"/>
    <w:rsid w:val="00245867"/>
    <w:rsid w:val="00252259"/>
    <w:rsid w:val="00253BA0"/>
    <w:rsid w:val="00267A58"/>
    <w:rsid w:val="002A18A8"/>
    <w:rsid w:val="002B6AB6"/>
    <w:rsid w:val="002C0B19"/>
    <w:rsid w:val="002D4E4E"/>
    <w:rsid w:val="00324BE4"/>
    <w:rsid w:val="003902C4"/>
    <w:rsid w:val="003C037B"/>
    <w:rsid w:val="003C5EB7"/>
    <w:rsid w:val="003E5D2F"/>
    <w:rsid w:val="003E6D3A"/>
    <w:rsid w:val="00415A69"/>
    <w:rsid w:val="004966BA"/>
    <w:rsid w:val="00517CE9"/>
    <w:rsid w:val="0054597D"/>
    <w:rsid w:val="00554C43"/>
    <w:rsid w:val="00555151"/>
    <w:rsid w:val="005B4979"/>
    <w:rsid w:val="005B6B0B"/>
    <w:rsid w:val="005E7139"/>
    <w:rsid w:val="0060109D"/>
    <w:rsid w:val="006279F3"/>
    <w:rsid w:val="00632FAA"/>
    <w:rsid w:val="00671004"/>
    <w:rsid w:val="00684220"/>
    <w:rsid w:val="006B6F63"/>
    <w:rsid w:val="00730DEB"/>
    <w:rsid w:val="0074415C"/>
    <w:rsid w:val="00752A9C"/>
    <w:rsid w:val="007A7F97"/>
    <w:rsid w:val="007D0009"/>
    <w:rsid w:val="0082483B"/>
    <w:rsid w:val="0087180A"/>
    <w:rsid w:val="008753C0"/>
    <w:rsid w:val="00895CA3"/>
    <w:rsid w:val="008963AD"/>
    <w:rsid w:val="008A4ABD"/>
    <w:rsid w:val="008B6F7B"/>
    <w:rsid w:val="008E273C"/>
    <w:rsid w:val="0092302F"/>
    <w:rsid w:val="00956B0F"/>
    <w:rsid w:val="00984A93"/>
    <w:rsid w:val="00984EC8"/>
    <w:rsid w:val="009B5346"/>
    <w:rsid w:val="009D7194"/>
    <w:rsid w:val="00A177CD"/>
    <w:rsid w:val="00A17FAA"/>
    <w:rsid w:val="00A20231"/>
    <w:rsid w:val="00A62667"/>
    <w:rsid w:val="00AC6E8D"/>
    <w:rsid w:val="00AD315E"/>
    <w:rsid w:val="00AF3B26"/>
    <w:rsid w:val="00B32AF7"/>
    <w:rsid w:val="00B34084"/>
    <w:rsid w:val="00B61981"/>
    <w:rsid w:val="00B75AF6"/>
    <w:rsid w:val="00BE7E89"/>
    <w:rsid w:val="00C67BA7"/>
    <w:rsid w:val="00C80C60"/>
    <w:rsid w:val="00CD323E"/>
    <w:rsid w:val="00D33A12"/>
    <w:rsid w:val="00D64D23"/>
    <w:rsid w:val="00D76587"/>
    <w:rsid w:val="00DA79B5"/>
    <w:rsid w:val="00DB0936"/>
    <w:rsid w:val="00DB7A59"/>
    <w:rsid w:val="00DE779B"/>
    <w:rsid w:val="00E038BD"/>
    <w:rsid w:val="00E37EF0"/>
    <w:rsid w:val="00EB0C3F"/>
    <w:rsid w:val="00EE4694"/>
    <w:rsid w:val="00EE7B62"/>
    <w:rsid w:val="00F35068"/>
    <w:rsid w:val="00F677BD"/>
    <w:rsid w:val="00F67E50"/>
    <w:rsid w:val="00FC33AF"/>
    <w:rsid w:val="00FD27A3"/>
    <w:rsid w:val="00FE2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6C683"/>
  <w15:docId w15:val="{AAB311A4-3B39-4300-ADE4-FDB895CB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A9C"/>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752A9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752A9C"/>
    <w:rPr>
      <w:rFonts w:ascii="Arial" w:eastAsia="黑体" w:hAnsi="Arial" w:cs="Times New Roman"/>
      <w:b/>
      <w:bCs/>
      <w:sz w:val="32"/>
      <w:szCs w:val="32"/>
    </w:rPr>
  </w:style>
  <w:style w:type="character" w:styleId="a3">
    <w:name w:val="footnote reference"/>
    <w:basedOn w:val="a0"/>
    <w:rsid w:val="00752A9C"/>
    <w:rPr>
      <w:vertAlign w:val="superscript"/>
    </w:rPr>
  </w:style>
  <w:style w:type="paragraph" w:styleId="a4">
    <w:name w:val="footnote text"/>
    <w:basedOn w:val="a"/>
    <w:link w:val="a5"/>
    <w:rsid w:val="00752A9C"/>
    <w:pPr>
      <w:snapToGrid w:val="0"/>
      <w:jc w:val="left"/>
    </w:pPr>
    <w:rPr>
      <w:rFonts w:eastAsia="宋体"/>
      <w:sz w:val="18"/>
    </w:rPr>
  </w:style>
  <w:style w:type="character" w:customStyle="1" w:styleId="a5">
    <w:name w:val="脚注文本 字符"/>
    <w:basedOn w:val="a0"/>
    <w:link w:val="a4"/>
    <w:rsid w:val="00752A9C"/>
    <w:rPr>
      <w:rFonts w:ascii="Times New Roman" w:eastAsia="宋体" w:hAnsi="Times New Roman" w:cs="Times New Roman"/>
      <w:sz w:val="18"/>
      <w:szCs w:val="20"/>
    </w:rPr>
  </w:style>
  <w:style w:type="paragraph" w:styleId="a6">
    <w:name w:val="Balloon Text"/>
    <w:basedOn w:val="a"/>
    <w:link w:val="a7"/>
    <w:uiPriority w:val="99"/>
    <w:semiHidden/>
    <w:unhideWhenUsed/>
    <w:rsid w:val="0054597D"/>
    <w:rPr>
      <w:sz w:val="18"/>
      <w:szCs w:val="18"/>
    </w:rPr>
  </w:style>
  <w:style w:type="character" w:customStyle="1" w:styleId="a7">
    <w:name w:val="批注框文本 字符"/>
    <w:basedOn w:val="a0"/>
    <w:link w:val="a6"/>
    <w:uiPriority w:val="99"/>
    <w:semiHidden/>
    <w:rsid w:val="0054597D"/>
    <w:rPr>
      <w:rFonts w:ascii="Times New Roman" w:eastAsia="方正仿宋简体" w:hAnsi="Times New Roman" w:cs="Times New Roman"/>
      <w:sz w:val="18"/>
      <w:szCs w:val="18"/>
    </w:rPr>
  </w:style>
  <w:style w:type="paragraph" w:styleId="a8">
    <w:name w:val="header"/>
    <w:basedOn w:val="a"/>
    <w:link w:val="a9"/>
    <w:uiPriority w:val="99"/>
    <w:unhideWhenUsed/>
    <w:rsid w:val="00DA79B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A79B5"/>
    <w:rPr>
      <w:rFonts w:ascii="Times New Roman" w:eastAsia="方正仿宋简体" w:hAnsi="Times New Roman" w:cs="Times New Roman"/>
      <w:sz w:val="18"/>
      <w:szCs w:val="18"/>
    </w:rPr>
  </w:style>
  <w:style w:type="paragraph" w:styleId="aa">
    <w:name w:val="footer"/>
    <w:basedOn w:val="a"/>
    <w:link w:val="ab"/>
    <w:uiPriority w:val="99"/>
    <w:unhideWhenUsed/>
    <w:rsid w:val="00DA79B5"/>
    <w:pPr>
      <w:tabs>
        <w:tab w:val="center" w:pos="4153"/>
        <w:tab w:val="right" w:pos="8306"/>
      </w:tabs>
      <w:snapToGrid w:val="0"/>
      <w:jc w:val="left"/>
    </w:pPr>
    <w:rPr>
      <w:sz w:val="18"/>
      <w:szCs w:val="18"/>
    </w:rPr>
  </w:style>
  <w:style w:type="character" w:customStyle="1" w:styleId="ab">
    <w:name w:val="页脚 字符"/>
    <w:basedOn w:val="a0"/>
    <w:link w:val="aa"/>
    <w:uiPriority w:val="99"/>
    <w:rsid w:val="00DA79B5"/>
    <w:rPr>
      <w:rFonts w:ascii="Times New Roman" w:eastAsia="方正仿宋简体" w:hAnsi="Times New Roman" w:cs="Times New Roman"/>
      <w:sz w:val="18"/>
      <w:szCs w:val="18"/>
    </w:rPr>
  </w:style>
  <w:style w:type="paragraph" w:styleId="ac">
    <w:name w:val="Normal (Web)"/>
    <w:basedOn w:val="a"/>
    <w:uiPriority w:val="99"/>
    <w:unhideWhenUsed/>
    <w:rsid w:val="00F67E50"/>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1"/>
    <w:uiPriority w:val="59"/>
    <w:rsid w:val="00F67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37EF0"/>
    <w:rPr>
      <w:sz w:val="21"/>
      <w:szCs w:val="21"/>
    </w:rPr>
  </w:style>
  <w:style w:type="paragraph" w:styleId="af">
    <w:name w:val="annotation text"/>
    <w:basedOn w:val="a"/>
    <w:link w:val="af0"/>
    <w:uiPriority w:val="99"/>
    <w:semiHidden/>
    <w:unhideWhenUsed/>
    <w:rsid w:val="00E37EF0"/>
    <w:pPr>
      <w:jc w:val="left"/>
    </w:pPr>
  </w:style>
  <w:style w:type="character" w:customStyle="1" w:styleId="af0">
    <w:name w:val="批注文字 字符"/>
    <w:basedOn w:val="a0"/>
    <w:link w:val="af"/>
    <w:uiPriority w:val="99"/>
    <w:semiHidden/>
    <w:rsid w:val="00E37EF0"/>
    <w:rPr>
      <w:rFonts w:ascii="Times New Roman" w:eastAsia="方正仿宋简体" w:hAnsi="Times New Roman" w:cs="Times New Roman"/>
      <w:sz w:val="32"/>
      <w:szCs w:val="20"/>
    </w:rPr>
  </w:style>
  <w:style w:type="paragraph" w:styleId="af1">
    <w:name w:val="annotation subject"/>
    <w:basedOn w:val="af"/>
    <w:next w:val="af"/>
    <w:link w:val="af2"/>
    <w:uiPriority w:val="99"/>
    <w:semiHidden/>
    <w:unhideWhenUsed/>
    <w:rsid w:val="00E37EF0"/>
    <w:rPr>
      <w:b/>
      <w:bCs/>
    </w:rPr>
  </w:style>
  <w:style w:type="character" w:customStyle="1" w:styleId="af2">
    <w:name w:val="批注主题 字符"/>
    <w:basedOn w:val="af0"/>
    <w:link w:val="af1"/>
    <w:uiPriority w:val="99"/>
    <w:semiHidden/>
    <w:rsid w:val="00E37EF0"/>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6258">
      <w:bodyDiv w:val="1"/>
      <w:marLeft w:val="0"/>
      <w:marRight w:val="0"/>
      <w:marTop w:val="0"/>
      <w:marBottom w:val="0"/>
      <w:divBdr>
        <w:top w:val="none" w:sz="0" w:space="0" w:color="auto"/>
        <w:left w:val="none" w:sz="0" w:space="0" w:color="auto"/>
        <w:bottom w:val="none" w:sz="0" w:space="0" w:color="auto"/>
        <w:right w:val="none" w:sz="0" w:space="0" w:color="auto"/>
      </w:divBdr>
    </w:div>
    <w:div w:id="74480454">
      <w:bodyDiv w:val="1"/>
      <w:marLeft w:val="0"/>
      <w:marRight w:val="0"/>
      <w:marTop w:val="0"/>
      <w:marBottom w:val="0"/>
      <w:divBdr>
        <w:top w:val="none" w:sz="0" w:space="0" w:color="auto"/>
        <w:left w:val="none" w:sz="0" w:space="0" w:color="auto"/>
        <w:bottom w:val="none" w:sz="0" w:space="0" w:color="auto"/>
        <w:right w:val="none" w:sz="0" w:space="0" w:color="auto"/>
      </w:divBdr>
    </w:div>
    <w:div w:id="287396799">
      <w:bodyDiv w:val="1"/>
      <w:marLeft w:val="0"/>
      <w:marRight w:val="0"/>
      <w:marTop w:val="0"/>
      <w:marBottom w:val="0"/>
      <w:divBdr>
        <w:top w:val="none" w:sz="0" w:space="0" w:color="auto"/>
        <w:left w:val="none" w:sz="0" w:space="0" w:color="auto"/>
        <w:bottom w:val="none" w:sz="0" w:space="0" w:color="auto"/>
        <w:right w:val="none" w:sz="0" w:space="0" w:color="auto"/>
      </w:divBdr>
    </w:div>
    <w:div w:id="332032040">
      <w:bodyDiv w:val="1"/>
      <w:marLeft w:val="0"/>
      <w:marRight w:val="0"/>
      <w:marTop w:val="0"/>
      <w:marBottom w:val="0"/>
      <w:divBdr>
        <w:top w:val="none" w:sz="0" w:space="0" w:color="auto"/>
        <w:left w:val="none" w:sz="0" w:space="0" w:color="auto"/>
        <w:bottom w:val="none" w:sz="0" w:space="0" w:color="auto"/>
        <w:right w:val="none" w:sz="0" w:space="0" w:color="auto"/>
      </w:divBdr>
    </w:div>
    <w:div w:id="474687637">
      <w:bodyDiv w:val="1"/>
      <w:marLeft w:val="0"/>
      <w:marRight w:val="0"/>
      <w:marTop w:val="0"/>
      <w:marBottom w:val="0"/>
      <w:divBdr>
        <w:top w:val="none" w:sz="0" w:space="0" w:color="auto"/>
        <w:left w:val="none" w:sz="0" w:space="0" w:color="auto"/>
        <w:bottom w:val="none" w:sz="0" w:space="0" w:color="auto"/>
        <w:right w:val="none" w:sz="0" w:space="0" w:color="auto"/>
      </w:divBdr>
    </w:div>
    <w:div w:id="565184326">
      <w:bodyDiv w:val="1"/>
      <w:marLeft w:val="0"/>
      <w:marRight w:val="0"/>
      <w:marTop w:val="0"/>
      <w:marBottom w:val="0"/>
      <w:divBdr>
        <w:top w:val="none" w:sz="0" w:space="0" w:color="auto"/>
        <w:left w:val="none" w:sz="0" w:space="0" w:color="auto"/>
        <w:bottom w:val="none" w:sz="0" w:space="0" w:color="auto"/>
        <w:right w:val="none" w:sz="0" w:space="0" w:color="auto"/>
      </w:divBdr>
    </w:div>
    <w:div w:id="602953666">
      <w:bodyDiv w:val="1"/>
      <w:marLeft w:val="0"/>
      <w:marRight w:val="0"/>
      <w:marTop w:val="0"/>
      <w:marBottom w:val="0"/>
      <w:divBdr>
        <w:top w:val="none" w:sz="0" w:space="0" w:color="auto"/>
        <w:left w:val="none" w:sz="0" w:space="0" w:color="auto"/>
        <w:bottom w:val="none" w:sz="0" w:space="0" w:color="auto"/>
        <w:right w:val="none" w:sz="0" w:space="0" w:color="auto"/>
      </w:divBdr>
    </w:div>
    <w:div w:id="634457320">
      <w:bodyDiv w:val="1"/>
      <w:marLeft w:val="0"/>
      <w:marRight w:val="0"/>
      <w:marTop w:val="0"/>
      <w:marBottom w:val="0"/>
      <w:divBdr>
        <w:top w:val="none" w:sz="0" w:space="0" w:color="auto"/>
        <w:left w:val="none" w:sz="0" w:space="0" w:color="auto"/>
        <w:bottom w:val="none" w:sz="0" w:space="0" w:color="auto"/>
        <w:right w:val="none" w:sz="0" w:space="0" w:color="auto"/>
      </w:divBdr>
    </w:div>
    <w:div w:id="682633402">
      <w:bodyDiv w:val="1"/>
      <w:marLeft w:val="0"/>
      <w:marRight w:val="0"/>
      <w:marTop w:val="0"/>
      <w:marBottom w:val="0"/>
      <w:divBdr>
        <w:top w:val="none" w:sz="0" w:space="0" w:color="auto"/>
        <w:left w:val="none" w:sz="0" w:space="0" w:color="auto"/>
        <w:bottom w:val="none" w:sz="0" w:space="0" w:color="auto"/>
        <w:right w:val="none" w:sz="0" w:space="0" w:color="auto"/>
      </w:divBdr>
    </w:div>
    <w:div w:id="692653575">
      <w:bodyDiv w:val="1"/>
      <w:marLeft w:val="0"/>
      <w:marRight w:val="0"/>
      <w:marTop w:val="0"/>
      <w:marBottom w:val="0"/>
      <w:divBdr>
        <w:top w:val="none" w:sz="0" w:space="0" w:color="auto"/>
        <w:left w:val="none" w:sz="0" w:space="0" w:color="auto"/>
        <w:bottom w:val="none" w:sz="0" w:space="0" w:color="auto"/>
        <w:right w:val="none" w:sz="0" w:space="0" w:color="auto"/>
      </w:divBdr>
    </w:div>
    <w:div w:id="876552046">
      <w:bodyDiv w:val="1"/>
      <w:marLeft w:val="0"/>
      <w:marRight w:val="0"/>
      <w:marTop w:val="0"/>
      <w:marBottom w:val="0"/>
      <w:divBdr>
        <w:top w:val="none" w:sz="0" w:space="0" w:color="auto"/>
        <w:left w:val="none" w:sz="0" w:space="0" w:color="auto"/>
        <w:bottom w:val="none" w:sz="0" w:space="0" w:color="auto"/>
        <w:right w:val="none" w:sz="0" w:space="0" w:color="auto"/>
      </w:divBdr>
    </w:div>
    <w:div w:id="1024483661">
      <w:bodyDiv w:val="1"/>
      <w:marLeft w:val="0"/>
      <w:marRight w:val="0"/>
      <w:marTop w:val="0"/>
      <w:marBottom w:val="0"/>
      <w:divBdr>
        <w:top w:val="none" w:sz="0" w:space="0" w:color="auto"/>
        <w:left w:val="none" w:sz="0" w:space="0" w:color="auto"/>
        <w:bottom w:val="none" w:sz="0" w:space="0" w:color="auto"/>
        <w:right w:val="none" w:sz="0" w:space="0" w:color="auto"/>
      </w:divBdr>
    </w:div>
    <w:div w:id="1169566462">
      <w:bodyDiv w:val="1"/>
      <w:marLeft w:val="0"/>
      <w:marRight w:val="0"/>
      <w:marTop w:val="0"/>
      <w:marBottom w:val="0"/>
      <w:divBdr>
        <w:top w:val="none" w:sz="0" w:space="0" w:color="auto"/>
        <w:left w:val="none" w:sz="0" w:space="0" w:color="auto"/>
        <w:bottom w:val="none" w:sz="0" w:space="0" w:color="auto"/>
        <w:right w:val="none" w:sz="0" w:space="0" w:color="auto"/>
      </w:divBdr>
    </w:div>
    <w:div w:id="1365057549">
      <w:bodyDiv w:val="1"/>
      <w:marLeft w:val="0"/>
      <w:marRight w:val="0"/>
      <w:marTop w:val="0"/>
      <w:marBottom w:val="0"/>
      <w:divBdr>
        <w:top w:val="none" w:sz="0" w:space="0" w:color="auto"/>
        <w:left w:val="none" w:sz="0" w:space="0" w:color="auto"/>
        <w:bottom w:val="none" w:sz="0" w:space="0" w:color="auto"/>
        <w:right w:val="none" w:sz="0" w:space="0" w:color="auto"/>
      </w:divBdr>
    </w:div>
    <w:div w:id="1394960127">
      <w:bodyDiv w:val="1"/>
      <w:marLeft w:val="0"/>
      <w:marRight w:val="0"/>
      <w:marTop w:val="0"/>
      <w:marBottom w:val="0"/>
      <w:divBdr>
        <w:top w:val="none" w:sz="0" w:space="0" w:color="auto"/>
        <w:left w:val="none" w:sz="0" w:space="0" w:color="auto"/>
        <w:bottom w:val="none" w:sz="0" w:space="0" w:color="auto"/>
        <w:right w:val="none" w:sz="0" w:space="0" w:color="auto"/>
      </w:divBdr>
    </w:div>
    <w:div w:id="1401975438">
      <w:bodyDiv w:val="1"/>
      <w:marLeft w:val="0"/>
      <w:marRight w:val="0"/>
      <w:marTop w:val="0"/>
      <w:marBottom w:val="0"/>
      <w:divBdr>
        <w:top w:val="none" w:sz="0" w:space="0" w:color="auto"/>
        <w:left w:val="none" w:sz="0" w:space="0" w:color="auto"/>
        <w:bottom w:val="none" w:sz="0" w:space="0" w:color="auto"/>
        <w:right w:val="none" w:sz="0" w:space="0" w:color="auto"/>
      </w:divBdr>
    </w:div>
    <w:div w:id="1423337972">
      <w:bodyDiv w:val="1"/>
      <w:marLeft w:val="0"/>
      <w:marRight w:val="0"/>
      <w:marTop w:val="0"/>
      <w:marBottom w:val="0"/>
      <w:divBdr>
        <w:top w:val="none" w:sz="0" w:space="0" w:color="auto"/>
        <w:left w:val="none" w:sz="0" w:space="0" w:color="auto"/>
        <w:bottom w:val="none" w:sz="0" w:space="0" w:color="auto"/>
        <w:right w:val="none" w:sz="0" w:space="0" w:color="auto"/>
      </w:divBdr>
    </w:div>
    <w:div w:id="1462764261">
      <w:bodyDiv w:val="1"/>
      <w:marLeft w:val="0"/>
      <w:marRight w:val="0"/>
      <w:marTop w:val="0"/>
      <w:marBottom w:val="0"/>
      <w:divBdr>
        <w:top w:val="none" w:sz="0" w:space="0" w:color="auto"/>
        <w:left w:val="none" w:sz="0" w:space="0" w:color="auto"/>
        <w:bottom w:val="none" w:sz="0" w:space="0" w:color="auto"/>
        <w:right w:val="none" w:sz="0" w:space="0" w:color="auto"/>
      </w:divBdr>
    </w:div>
    <w:div w:id="1546135450">
      <w:bodyDiv w:val="1"/>
      <w:marLeft w:val="0"/>
      <w:marRight w:val="0"/>
      <w:marTop w:val="0"/>
      <w:marBottom w:val="0"/>
      <w:divBdr>
        <w:top w:val="none" w:sz="0" w:space="0" w:color="auto"/>
        <w:left w:val="none" w:sz="0" w:space="0" w:color="auto"/>
        <w:bottom w:val="none" w:sz="0" w:space="0" w:color="auto"/>
        <w:right w:val="none" w:sz="0" w:space="0" w:color="auto"/>
      </w:divBdr>
    </w:div>
    <w:div w:id="1624575001">
      <w:bodyDiv w:val="1"/>
      <w:marLeft w:val="0"/>
      <w:marRight w:val="0"/>
      <w:marTop w:val="0"/>
      <w:marBottom w:val="0"/>
      <w:divBdr>
        <w:top w:val="none" w:sz="0" w:space="0" w:color="auto"/>
        <w:left w:val="none" w:sz="0" w:space="0" w:color="auto"/>
        <w:bottom w:val="none" w:sz="0" w:space="0" w:color="auto"/>
        <w:right w:val="none" w:sz="0" w:space="0" w:color="auto"/>
      </w:divBdr>
    </w:div>
    <w:div w:id="1688021472">
      <w:bodyDiv w:val="1"/>
      <w:marLeft w:val="0"/>
      <w:marRight w:val="0"/>
      <w:marTop w:val="0"/>
      <w:marBottom w:val="0"/>
      <w:divBdr>
        <w:top w:val="none" w:sz="0" w:space="0" w:color="auto"/>
        <w:left w:val="none" w:sz="0" w:space="0" w:color="auto"/>
        <w:bottom w:val="none" w:sz="0" w:space="0" w:color="auto"/>
        <w:right w:val="none" w:sz="0" w:space="0" w:color="auto"/>
      </w:divBdr>
    </w:div>
    <w:div w:id="1717774729">
      <w:bodyDiv w:val="1"/>
      <w:marLeft w:val="0"/>
      <w:marRight w:val="0"/>
      <w:marTop w:val="0"/>
      <w:marBottom w:val="0"/>
      <w:divBdr>
        <w:top w:val="none" w:sz="0" w:space="0" w:color="auto"/>
        <w:left w:val="none" w:sz="0" w:space="0" w:color="auto"/>
        <w:bottom w:val="none" w:sz="0" w:space="0" w:color="auto"/>
        <w:right w:val="none" w:sz="0" w:space="0" w:color="auto"/>
      </w:divBdr>
    </w:div>
    <w:div w:id="1910769079">
      <w:bodyDiv w:val="1"/>
      <w:marLeft w:val="0"/>
      <w:marRight w:val="0"/>
      <w:marTop w:val="0"/>
      <w:marBottom w:val="0"/>
      <w:divBdr>
        <w:top w:val="none" w:sz="0" w:space="0" w:color="auto"/>
        <w:left w:val="none" w:sz="0" w:space="0" w:color="auto"/>
        <w:bottom w:val="none" w:sz="0" w:space="0" w:color="auto"/>
        <w:right w:val="none" w:sz="0" w:space="0" w:color="auto"/>
      </w:divBdr>
    </w:div>
    <w:div w:id="1968663933">
      <w:bodyDiv w:val="1"/>
      <w:marLeft w:val="0"/>
      <w:marRight w:val="0"/>
      <w:marTop w:val="0"/>
      <w:marBottom w:val="0"/>
      <w:divBdr>
        <w:top w:val="none" w:sz="0" w:space="0" w:color="auto"/>
        <w:left w:val="none" w:sz="0" w:space="0" w:color="auto"/>
        <w:bottom w:val="none" w:sz="0" w:space="0" w:color="auto"/>
        <w:right w:val="none" w:sz="0" w:space="0" w:color="auto"/>
      </w:divBdr>
    </w:div>
    <w:div w:id="1975596073">
      <w:bodyDiv w:val="1"/>
      <w:marLeft w:val="0"/>
      <w:marRight w:val="0"/>
      <w:marTop w:val="0"/>
      <w:marBottom w:val="0"/>
      <w:divBdr>
        <w:top w:val="none" w:sz="0" w:space="0" w:color="auto"/>
        <w:left w:val="none" w:sz="0" w:space="0" w:color="auto"/>
        <w:bottom w:val="none" w:sz="0" w:space="0" w:color="auto"/>
        <w:right w:val="none" w:sz="0" w:space="0" w:color="auto"/>
      </w:divBdr>
    </w:div>
    <w:div w:id="2001149909">
      <w:bodyDiv w:val="1"/>
      <w:marLeft w:val="0"/>
      <w:marRight w:val="0"/>
      <w:marTop w:val="0"/>
      <w:marBottom w:val="0"/>
      <w:divBdr>
        <w:top w:val="none" w:sz="0" w:space="0" w:color="auto"/>
        <w:left w:val="none" w:sz="0" w:space="0" w:color="auto"/>
        <w:bottom w:val="none" w:sz="0" w:space="0" w:color="auto"/>
        <w:right w:val="none" w:sz="0" w:space="0" w:color="auto"/>
      </w:divBdr>
    </w:div>
    <w:div w:id="2024014552">
      <w:bodyDiv w:val="1"/>
      <w:marLeft w:val="0"/>
      <w:marRight w:val="0"/>
      <w:marTop w:val="0"/>
      <w:marBottom w:val="0"/>
      <w:divBdr>
        <w:top w:val="none" w:sz="0" w:space="0" w:color="auto"/>
        <w:left w:val="none" w:sz="0" w:space="0" w:color="auto"/>
        <w:bottom w:val="none" w:sz="0" w:space="0" w:color="auto"/>
        <w:right w:val="none" w:sz="0" w:space="0" w:color="auto"/>
      </w:divBdr>
    </w:div>
    <w:div w:id="2097440260">
      <w:bodyDiv w:val="1"/>
      <w:marLeft w:val="0"/>
      <w:marRight w:val="0"/>
      <w:marTop w:val="0"/>
      <w:marBottom w:val="0"/>
      <w:divBdr>
        <w:top w:val="none" w:sz="0" w:space="0" w:color="auto"/>
        <w:left w:val="none" w:sz="0" w:space="0" w:color="auto"/>
        <w:bottom w:val="none" w:sz="0" w:space="0" w:color="auto"/>
        <w:right w:val="none" w:sz="0" w:space="0" w:color="auto"/>
      </w:divBdr>
    </w:div>
    <w:div w:id="2120946809">
      <w:bodyDiv w:val="1"/>
      <w:marLeft w:val="0"/>
      <w:marRight w:val="0"/>
      <w:marTop w:val="0"/>
      <w:marBottom w:val="0"/>
      <w:divBdr>
        <w:top w:val="none" w:sz="0" w:space="0" w:color="auto"/>
        <w:left w:val="none" w:sz="0" w:space="0" w:color="auto"/>
        <w:bottom w:val="none" w:sz="0" w:space="0" w:color="auto"/>
        <w:right w:val="none" w:sz="0" w:space="0" w:color="auto"/>
      </w:divBdr>
    </w:div>
    <w:div w:id="213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644</Words>
  <Characters>3673</Characters>
  <Application>Microsoft Office Word</Application>
  <DocSecurity>0</DocSecurity>
  <Lines>30</Lines>
  <Paragraphs>8</Paragraphs>
  <ScaleCrop>false</ScaleCrop>
  <Company>微软中国</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潘安妮</cp:lastModifiedBy>
  <cp:revision>38</cp:revision>
  <dcterms:created xsi:type="dcterms:W3CDTF">2013-07-29T06:06:00Z</dcterms:created>
  <dcterms:modified xsi:type="dcterms:W3CDTF">2021-11-23T08:31:00Z</dcterms:modified>
</cp:coreProperties>
</file>