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16392" w14:textId="77777777" w:rsidR="00217DCA" w:rsidRDefault="00442DD0">
      <w:pPr>
        <w:adjustRightInd w:val="0"/>
        <w:snapToGrid w:val="0"/>
        <w:spacing w:line="360" w:lineRule="auto"/>
        <w:jc w:val="center"/>
        <w:rPr>
          <w:rFonts w:asciiTheme="minorEastAsia" w:eastAsiaTheme="minorEastAsia" w:hAnsiTheme="minorEastAsia" w:cs="Arial"/>
          <w:b/>
          <w:color w:val="0D0D0D" w:themeColor="text1" w:themeTint="F2"/>
          <w:sz w:val="36"/>
          <w:szCs w:val="36"/>
        </w:rPr>
      </w:pPr>
      <w:bookmarkStart w:id="0" w:name="TITLE_8ad66bbe17e94d1c9f15e64eec6d06ab"/>
      <w:r>
        <w:rPr>
          <w:rFonts w:asciiTheme="minorEastAsia" w:eastAsiaTheme="minorEastAsia" w:hAnsiTheme="minorEastAsia"/>
        </w:rPr>
        <w:t xml:space="preserve"> </w:t>
      </w:r>
      <w:bookmarkStart w:id="1" w:name="CTS_1e4cda9ef7d04a03af2d4d340c1d96cc"/>
      <w:bookmarkStart w:id="2" w:name="CLAUSE_1e4cda9ef7d04a03af2d4d340c1d96cc"/>
      <w:bookmarkEnd w:id="0"/>
      <w:bookmarkEnd w:id="1"/>
    </w:p>
    <w:p w14:paraId="7CA5CBF3" w14:textId="77777777" w:rsidR="00217DCA" w:rsidRDefault="00217DCA">
      <w:pPr>
        <w:adjustRightInd w:val="0"/>
        <w:snapToGrid w:val="0"/>
        <w:spacing w:line="360" w:lineRule="auto"/>
        <w:jc w:val="center"/>
        <w:rPr>
          <w:rFonts w:asciiTheme="minorEastAsia" w:eastAsiaTheme="minorEastAsia" w:hAnsiTheme="minorEastAsia" w:cs="Arial"/>
          <w:b/>
          <w:color w:val="0D0D0D" w:themeColor="text1" w:themeTint="F2"/>
          <w:sz w:val="36"/>
          <w:szCs w:val="36"/>
        </w:rPr>
      </w:pPr>
    </w:p>
    <w:p w14:paraId="7F8E297A" w14:textId="0245952E" w:rsidR="00217DCA" w:rsidRPr="00B56A57" w:rsidRDefault="00442DD0">
      <w:pPr>
        <w:adjustRightInd w:val="0"/>
        <w:snapToGrid w:val="0"/>
        <w:spacing w:line="360" w:lineRule="auto"/>
        <w:jc w:val="center"/>
        <w:rPr>
          <w:rFonts w:asciiTheme="minorEastAsia" w:hAnsiTheme="minorEastAsia"/>
          <w:b/>
          <w:color w:val="0D0D0D" w:themeColor="text1" w:themeTint="F2"/>
          <w:sz w:val="36"/>
        </w:rPr>
      </w:pPr>
      <w:r w:rsidRPr="00B56A57">
        <w:rPr>
          <w:rFonts w:asciiTheme="minorEastAsia" w:eastAsiaTheme="minorEastAsia" w:hAnsiTheme="minorEastAsia" w:cs="Arial"/>
          <w:b/>
          <w:color w:val="0D0D0D" w:themeColor="text1" w:themeTint="F2"/>
          <w:sz w:val="36"/>
          <w:szCs w:val="36"/>
        </w:rPr>
        <w:t>博时中证港股通消费主题交易型开放式指数证券投资基金</w:t>
      </w:r>
      <w:r w:rsidRPr="00B56A57">
        <w:rPr>
          <w:rFonts w:asciiTheme="minorEastAsia" w:hAnsiTheme="minorEastAsia" w:hint="eastAsia"/>
          <w:b/>
          <w:color w:val="0D0D0D" w:themeColor="text1" w:themeTint="F2"/>
          <w:sz w:val="36"/>
        </w:rPr>
        <w:t>基金合同</w:t>
      </w:r>
    </w:p>
    <w:p w14:paraId="0BDA256F" w14:textId="77777777" w:rsidR="00217DCA" w:rsidRPr="00B56A57" w:rsidRDefault="00217DCA">
      <w:pPr>
        <w:adjustRightInd w:val="0"/>
        <w:snapToGrid w:val="0"/>
        <w:spacing w:line="360" w:lineRule="auto"/>
        <w:jc w:val="center"/>
        <w:rPr>
          <w:rFonts w:asciiTheme="minorEastAsia" w:hAnsiTheme="minorEastAsia"/>
          <w:b/>
          <w:color w:val="0D0D0D" w:themeColor="text1" w:themeTint="F2"/>
          <w:sz w:val="36"/>
        </w:rPr>
      </w:pPr>
    </w:p>
    <w:p w14:paraId="4ADACD65" w14:textId="77777777" w:rsidR="00217DCA" w:rsidRPr="00B56A57" w:rsidRDefault="00217DCA">
      <w:pPr>
        <w:adjustRightInd w:val="0"/>
        <w:snapToGrid w:val="0"/>
        <w:spacing w:line="360" w:lineRule="auto"/>
        <w:jc w:val="center"/>
        <w:rPr>
          <w:rFonts w:asciiTheme="minorEastAsia" w:hAnsiTheme="minorEastAsia"/>
          <w:b/>
          <w:color w:val="0D0D0D" w:themeColor="text1" w:themeTint="F2"/>
          <w:sz w:val="36"/>
        </w:rPr>
      </w:pPr>
    </w:p>
    <w:p w14:paraId="47066CC4" w14:textId="77777777" w:rsidR="00217DCA" w:rsidRPr="00B56A57" w:rsidRDefault="00217DCA">
      <w:pPr>
        <w:adjustRightInd w:val="0"/>
        <w:snapToGrid w:val="0"/>
        <w:spacing w:line="360" w:lineRule="auto"/>
        <w:jc w:val="center"/>
        <w:rPr>
          <w:rFonts w:asciiTheme="minorEastAsia" w:eastAsiaTheme="minorEastAsia" w:hAnsiTheme="minorEastAsia" w:cs="Arial"/>
          <w:b/>
          <w:color w:val="0D0D0D" w:themeColor="text1" w:themeTint="F2"/>
          <w:szCs w:val="21"/>
        </w:rPr>
      </w:pPr>
    </w:p>
    <w:p w14:paraId="5C876335" w14:textId="77777777" w:rsidR="00217DCA" w:rsidRPr="00B56A57" w:rsidRDefault="00217DCA">
      <w:pPr>
        <w:adjustRightInd w:val="0"/>
        <w:snapToGrid w:val="0"/>
        <w:spacing w:line="360" w:lineRule="auto"/>
        <w:jc w:val="center"/>
        <w:rPr>
          <w:rFonts w:asciiTheme="minorEastAsia" w:eastAsiaTheme="minorEastAsia" w:hAnsiTheme="minorEastAsia" w:cs="Arial"/>
          <w:b/>
          <w:color w:val="0D0D0D" w:themeColor="text1" w:themeTint="F2"/>
          <w:szCs w:val="21"/>
        </w:rPr>
      </w:pPr>
    </w:p>
    <w:p w14:paraId="50F5D772" w14:textId="77777777" w:rsidR="00217DCA" w:rsidRPr="00B56A57" w:rsidRDefault="00217DCA">
      <w:pPr>
        <w:adjustRightInd w:val="0"/>
        <w:snapToGrid w:val="0"/>
        <w:spacing w:line="360" w:lineRule="auto"/>
        <w:jc w:val="center"/>
        <w:rPr>
          <w:rFonts w:asciiTheme="minorEastAsia" w:eastAsiaTheme="minorEastAsia" w:hAnsiTheme="minorEastAsia" w:cs="Arial"/>
          <w:b/>
          <w:color w:val="0D0D0D" w:themeColor="text1" w:themeTint="F2"/>
          <w:szCs w:val="21"/>
        </w:rPr>
      </w:pPr>
    </w:p>
    <w:p w14:paraId="02571F89" w14:textId="77777777" w:rsidR="00217DCA" w:rsidRPr="00B56A57" w:rsidRDefault="00217DCA">
      <w:pPr>
        <w:adjustRightInd w:val="0"/>
        <w:snapToGrid w:val="0"/>
        <w:spacing w:line="360" w:lineRule="auto"/>
        <w:jc w:val="center"/>
        <w:rPr>
          <w:rFonts w:asciiTheme="minorEastAsia" w:eastAsiaTheme="minorEastAsia" w:hAnsiTheme="minorEastAsia" w:cs="Arial"/>
          <w:b/>
          <w:color w:val="0D0D0D" w:themeColor="text1" w:themeTint="F2"/>
          <w:szCs w:val="21"/>
        </w:rPr>
      </w:pPr>
    </w:p>
    <w:p w14:paraId="63618C8E" w14:textId="77777777" w:rsidR="00217DCA" w:rsidRPr="00B56A57" w:rsidRDefault="00217DCA">
      <w:pPr>
        <w:adjustRightInd w:val="0"/>
        <w:snapToGrid w:val="0"/>
        <w:spacing w:line="360" w:lineRule="auto"/>
        <w:jc w:val="center"/>
        <w:rPr>
          <w:rFonts w:asciiTheme="minorEastAsia" w:eastAsiaTheme="minorEastAsia" w:hAnsiTheme="minorEastAsia" w:cs="Arial"/>
          <w:b/>
          <w:color w:val="0D0D0D" w:themeColor="text1" w:themeTint="F2"/>
          <w:szCs w:val="21"/>
        </w:rPr>
      </w:pPr>
    </w:p>
    <w:p w14:paraId="305A0FDC" w14:textId="77777777" w:rsidR="00217DCA" w:rsidRPr="00B56A57" w:rsidRDefault="00217DCA">
      <w:pPr>
        <w:adjustRightInd w:val="0"/>
        <w:snapToGrid w:val="0"/>
        <w:spacing w:line="360" w:lineRule="auto"/>
        <w:jc w:val="center"/>
        <w:rPr>
          <w:rFonts w:asciiTheme="minorEastAsia" w:eastAsiaTheme="minorEastAsia" w:hAnsiTheme="minorEastAsia" w:cs="Arial"/>
          <w:b/>
          <w:color w:val="0D0D0D" w:themeColor="text1" w:themeTint="F2"/>
          <w:szCs w:val="21"/>
        </w:rPr>
      </w:pPr>
    </w:p>
    <w:p w14:paraId="0A1F4776" w14:textId="77777777" w:rsidR="00217DCA" w:rsidRPr="00B56A57" w:rsidRDefault="00217DCA">
      <w:pPr>
        <w:adjustRightInd w:val="0"/>
        <w:snapToGrid w:val="0"/>
        <w:spacing w:line="360" w:lineRule="auto"/>
        <w:jc w:val="center"/>
        <w:rPr>
          <w:rFonts w:asciiTheme="minorEastAsia" w:eastAsiaTheme="minorEastAsia" w:hAnsiTheme="minorEastAsia" w:cs="Arial"/>
          <w:b/>
          <w:color w:val="0D0D0D" w:themeColor="text1" w:themeTint="F2"/>
          <w:szCs w:val="21"/>
        </w:rPr>
      </w:pPr>
    </w:p>
    <w:p w14:paraId="6D0539DB" w14:textId="77777777" w:rsidR="00217DCA" w:rsidRPr="00B56A57" w:rsidRDefault="00217DCA">
      <w:pPr>
        <w:adjustRightInd w:val="0"/>
        <w:snapToGrid w:val="0"/>
        <w:spacing w:line="360" w:lineRule="auto"/>
        <w:jc w:val="center"/>
        <w:rPr>
          <w:rFonts w:asciiTheme="minorEastAsia" w:hAnsiTheme="minorEastAsia"/>
          <w:b/>
          <w:color w:val="0D0D0D" w:themeColor="text1" w:themeTint="F2"/>
        </w:rPr>
      </w:pPr>
    </w:p>
    <w:p w14:paraId="7C89650A" w14:textId="77777777" w:rsidR="00217DCA" w:rsidRPr="00B56A57" w:rsidRDefault="00217DCA">
      <w:pPr>
        <w:adjustRightInd w:val="0"/>
        <w:snapToGrid w:val="0"/>
        <w:spacing w:line="360" w:lineRule="auto"/>
        <w:jc w:val="center"/>
        <w:rPr>
          <w:rFonts w:asciiTheme="minorEastAsia" w:hAnsiTheme="minorEastAsia"/>
          <w:b/>
          <w:color w:val="0D0D0D" w:themeColor="text1" w:themeTint="F2"/>
        </w:rPr>
      </w:pPr>
    </w:p>
    <w:p w14:paraId="3DF632C9" w14:textId="77777777" w:rsidR="00217DCA" w:rsidRPr="00B56A57" w:rsidRDefault="00217DCA">
      <w:pPr>
        <w:adjustRightInd w:val="0"/>
        <w:snapToGrid w:val="0"/>
        <w:spacing w:line="360" w:lineRule="auto"/>
        <w:jc w:val="center"/>
        <w:rPr>
          <w:rFonts w:asciiTheme="minorEastAsia" w:hAnsiTheme="minorEastAsia"/>
          <w:b/>
          <w:color w:val="0D0D0D" w:themeColor="text1" w:themeTint="F2"/>
        </w:rPr>
      </w:pPr>
    </w:p>
    <w:p w14:paraId="29071021" w14:textId="77777777" w:rsidR="00217DCA" w:rsidRPr="00B56A57" w:rsidRDefault="00217DCA">
      <w:pPr>
        <w:adjustRightInd w:val="0"/>
        <w:snapToGrid w:val="0"/>
        <w:spacing w:line="360" w:lineRule="auto"/>
        <w:jc w:val="center"/>
        <w:rPr>
          <w:rFonts w:asciiTheme="minorEastAsia" w:hAnsiTheme="minorEastAsia"/>
          <w:b/>
          <w:color w:val="0D0D0D" w:themeColor="text1" w:themeTint="F2"/>
        </w:rPr>
      </w:pPr>
    </w:p>
    <w:p w14:paraId="0F0283EE" w14:textId="77777777" w:rsidR="00217DCA" w:rsidRPr="00B56A57" w:rsidRDefault="00217DCA">
      <w:pPr>
        <w:adjustRightInd w:val="0"/>
        <w:snapToGrid w:val="0"/>
        <w:spacing w:line="360" w:lineRule="auto"/>
        <w:jc w:val="center"/>
        <w:rPr>
          <w:rFonts w:asciiTheme="minorEastAsia" w:hAnsiTheme="minorEastAsia"/>
          <w:b/>
          <w:color w:val="0D0D0D" w:themeColor="text1" w:themeTint="F2"/>
        </w:rPr>
      </w:pPr>
    </w:p>
    <w:p w14:paraId="6E8BEEF1" w14:textId="77777777" w:rsidR="00217DCA" w:rsidRPr="00B56A57" w:rsidRDefault="00217DCA">
      <w:pPr>
        <w:adjustRightInd w:val="0"/>
        <w:snapToGrid w:val="0"/>
        <w:spacing w:line="360" w:lineRule="auto"/>
        <w:jc w:val="center"/>
        <w:rPr>
          <w:rFonts w:asciiTheme="minorEastAsia" w:hAnsiTheme="minorEastAsia"/>
          <w:b/>
          <w:color w:val="0D0D0D" w:themeColor="text1" w:themeTint="F2"/>
        </w:rPr>
      </w:pPr>
    </w:p>
    <w:p w14:paraId="095A7736" w14:textId="77777777" w:rsidR="00217DCA" w:rsidRPr="00B56A57" w:rsidRDefault="00442DD0">
      <w:pPr>
        <w:adjustRightInd w:val="0"/>
        <w:snapToGrid w:val="0"/>
        <w:spacing w:line="360" w:lineRule="auto"/>
        <w:jc w:val="center"/>
        <w:rPr>
          <w:rFonts w:asciiTheme="minorEastAsia" w:hAnsiTheme="minorEastAsia"/>
          <w:b/>
          <w:color w:val="0D0D0D" w:themeColor="text1" w:themeTint="F2"/>
          <w:sz w:val="30"/>
        </w:rPr>
      </w:pPr>
      <w:bookmarkStart w:id="3" w:name="_Toc123112263"/>
      <w:bookmarkStart w:id="4" w:name="_Toc139991726"/>
      <w:bookmarkStart w:id="5" w:name="_Toc139992301"/>
      <w:bookmarkStart w:id="6" w:name="_Toc123701383"/>
      <w:bookmarkStart w:id="7" w:name="_Toc123112224"/>
      <w:r w:rsidRPr="00B56A57">
        <w:rPr>
          <w:rFonts w:asciiTheme="minorEastAsia" w:hAnsiTheme="minorEastAsia" w:hint="eastAsia"/>
          <w:b/>
          <w:color w:val="0D0D0D" w:themeColor="text1" w:themeTint="F2"/>
          <w:sz w:val="30"/>
        </w:rPr>
        <w:t>基金管理人：</w:t>
      </w:r>
      <w:bookmarkEnd w:id="3"/>
      <w:bookmarkEnd w:id="4"/>
      <w:bookmarkEnd w:id="5"/>
      <w:bookmarkEnd w:id="6"/>
      <w:bookmarkEnd w:id="7"/>
      <w:r w:rsidRPr="00B56A57">
        <w:rPr>
          <w:rFonts w:asciiTheme="minorEastAsia" w:eastAsiaTheme="minorEastAsia" w:hAnsiTheme="minorEastAsia" w:cs="Arial"/>
          <w:b/>
          <w:bCs/>
          <w:color w:val="0D0D0D" w:themeColor="text1" w:themeTint="F2"/>
          <w:sz w:val="30"/>
          <w:szCs w:val="30"/>
        </w:rPr>
        <w:t>博时基金管理有限公司</w:t>
      </w:r>
    </w:p>
    <w:p w14:paraId="6E9BF635" w14:textId="77777777" w:rsidR="00217DCA" w:rsidRPr="00B56A57" w:rsidRDefault="00442DD0">
      <w:pPr>
        <w:adjustRightInd w:val="0"/>
        <w:snapToGrid w:val="0"/>
        <w:spacing w:line="360" w:lineRule="auto"/>
        <w:jc w:val="center"/>
        <w:rPr>
          <w:rFonts w:asciiTheme="minorEastAsia" w:hAnsiTheme="minorEastAsia"/>
          <w:b/>
          <w:color w:val="0D0D0D" w:themeColor="text1" w:themeTint="F2"/>
          <w:sz w:val="30"/>
        </w:rPr>
      </w:pPr>
      <w:bookmarkStart w:id="8" w:name="_Toc123112264"/>
      <w:bookmarkStart w:id="9" w:name="_Toc123701384"/>
      <w:bookmarkStart w:id="10" w:name="_Toc139992302"/>
      <w:bookmarkStart w:id="11" w:name="_Toc123112225"/>
      <w:bookmarkStart w:id="12" w:name="_Toc139991727"/>
      <w:r w:rsidRPr="00B56A57">
        <w:rPr>
          <w:rFonts w:asciiTheme="minorEastAsia" w:hAnsiTheme="minorEastAsia" w:hint="eastAsia"/>
          <w:b/>
          <w:color w:val="0D0D0D" w:themeColor="text1" w:themeTint="F2"/>
          <w:sz w:val="30"/>
        </w:rPr>
        <w:t>基金托管人：</w:t>
      </w:r>
      <w:bookmarkEnd w:id="8"/>
      <w:bookmarkEnd w:id="9"/>
      <w:bookmarkEnd w:id="10"/>
      <w:bookmarkEnd w:id="11"/>
      <w:bookmarkEnd w:id="12"/>
      <w:r w:rsidRPr="00B56A57">
        <w:rPr>
          <w:rFonts w:asciiTheme="minorEastAsia" w:eastAsiaTheme="minorEastAsia" w:hAnsiTheme="minorEastAsia" w:hint="eastAsia"/>
          <w:b/>
          <w:color w:val="0D0D0D" w:themeColor="text1" w:themeTint="F2"/>
          <w:sz w:val="30"/>
        </w:rPr>
        <w:t>平安银行股份有限公司</w:t>
      </w:r>
    </w:p>
    <w:p w14:paraId="704133CE" w14:textId="15FF3B2D" w:rsidR="00217DCA" w:rsidRPr="00B56A57" w:rsidRDefault="006C7341">
      <w:pPr>
        <w:spacing w:line="360" w:lineRule="auto"/>
        <w:jc w:val="center"/>
        <w:rPr>
          <w:rFonts w:asciiTheme="minorEastAsia" w:eastAsiaTheme="minorEastAsia" w:hAnsiTheme="minorEastAsia" w:cs="Arial"/>
          <w:b/>
          <w:bCs/>
          <w:color w:val="0D0D0D" w:themeColor="text1" w:themeTint="F2"/>
          <w:sz w:val="30"/>
          <w:szCs w:val="30"/>
        </w:rPr>
        <w:sectPr w:rsidR="00217DCA" w:rsidRPr="00B56A57">
          <w:headerReference w:type="default" r:id="rId11"/>
          <w:footerReference w:type="default" r:id="rId12"/>
          <w:footerReference w:type="first" r:id="rId13"/>
          <w:pgSz w:w="11906" w:h="16838"/>
          <w:pgMar w:top="1440" w:right="1800" w:bottom="1440" w:left="1800" w:header="851" w:footer="992" w:gutter="0"/>
          <w:cols w:space="425"/>
          <w:titlePg/>
          <w:docGrid w:type="lines" w:linePitch="312"/>
        </w:sectPr>
      </w:pPr>
      <w:bookmarkStart w:id="13" w:name="CLAUSE_11606cca7f0c4bf7a5f87c9437b80dfa"/>
      <w:bookmarkStart w:id="14" w:name="_Toc123701386"/>
      <w:bookmarkStart w:id="15" w:name="_Toc123112266"/>
      <w:bookmarkStart w:id="16" w:name="_Toc139991729"/>
      <w:bookmarkStart w:id="17" w:name="_Toc123112227"/>
      <w:bookmarkEnd w:id="2"/>
      <w:r w:rsidRPr="00B56A57">
        <w:rPr>
          <w:rFonts w:asciiTheme="minorEastAsia" w:eastAsiaTheme="minorEastAsia" w:hAnsiTheme="minorEastAsia"/>
        </w:rPr>
        <w:t xml:space="preserve"> </w:t>
      </w:r>
      <w:bookmarkStart w:id="18" w:name="CTS_11606cca7f0c4bf7a5f87c9437b80dfa"/>
      <w:bookmarkEnd w:id="18"/>
      <w:r w:rsidRPr="00B56A57">
        <w:rPr>
          <w:rFonts w:asciiTheme="minorEastAsia" w:eastAsiaTheme="minorEastAsia" w:hAnsiTheme="minorEastAsia" w:hint="eastAsia"/>
          <w:b/>
          <w:bCs/>
          <w:color w:val="0D0D0D" w:themeColor="text1" w:themeTint="F2"/>
          <w:sz w:val="30"/>
        </w:rPr>
        <w:t>二零二一年</w:t>
      </w:r>
      <w:r w:rsidR="00A85251">
        <w:rPr>
          <w:rFonts w:asciiTheme="minorEastAsia" w:eastAsiaTheme="minorEastAsia" w:hAnsiTheme="minorEastAsia" w:hint="eastAsia"/>
          <w:b/>
          <w:bCs/>
          <w:color w:val="0D0D0D" w:themeColor="text1" w:themeTint="F2"/>
          <w:sz w:val="30"/>
        </w:rPr>
        <w:t>十一</w:t>
      </w:r>
      <w:r w:rsidRPr="00B56A57">
        <w:rPr>
          <w:rFonts w:asciiTheme="minorEastAsia" w:eastAsiaTheme="minorEastAsia" w:hAnsiTheme="minorEastAsia" w:hint="eastAsia"/>
          <w:b/>
          <w:bCs/>
          <w:color w:val="0D0D0D" w:themeColor="text1" w:themeTint="F2"/>
          <w:sz w:val="30"/>
        </w:rPr>
        <w:t>月</w:t>
      </w:r>
    </w:p>
    <w:p w14:paraId="106D5D0D" w14:textId="03832232" w:rsidR="00E63DEE" w:rsidRDefault="006C7341">
      <w:pPr>
        <w:adjustRightInd w:val="0"/>
        <w:snapToGrid w:val="0"/>
        <w:spacing w:line="360" w:lineRule="auto"/>
        <w:jc w:val="center"/>
        <w:rPr>
          <w:rFonts w:asciiTheme="minorEastAsia" w:hAnsiTheme="minorEastAsia"/>
          <w:b/>
          <w:sz w:val="24"/>
        </w:rPr>
      </w:pPr>
      <w:bookmarkStart w:id="19" w:name="CLAUSE_7964f364388a444fbc5ed698e7f07ff5"/>
      <w:bookmarkEnd w:id="13"/>
      <w:r w:rsidRPr="00B56A57">
        <w:rPr>
          <w:rFonts w:asciiTheme="minorEastAsia" w:eastAsiaTheme="minorEastAsia" w:hAnsiTheme="minorEastAsia"/>
          <w:b/>
          <w:sz w:val="24"/>
          <w:szCs w:val="24"/>
        </w:rPr>
        <w:lastRenderedPageBreak/>
        <w:t xml:space="preserve"> </w:t>
      </w:r>
      <w:bookmarkStart w:id="20" w:name="CTS_7964f364388a444fbc5ed698e7f07ff5"/>
      <w:bookmarkEnd w:id="20"/>
      <w:r w:rsidRPr="00B56A57">
        <w:rPr>
          <w:rFonts w:asciiTheme="minorEastAsia" w:hAnsiTheme="minorEastAsia" w:hint="eastAsia"/>
          <w:b/>
          <w:sz w:val="24"/>
        </w:rPr>
        <w:t>目</w:t>
      </w:r>
      <w:r w:rsidRPr="00B56A57">
        <w:rPr>
          <w:rFonts w:asciiTheme="minorEastAsia" w:hAnsiTheme="minorEastAsia"/>
          <w:b/>
          <w:sz w:val="24"/>
        </w:rPr>
        <w:t xml:space="preserve">  </w:t>
      </w:r>
      <w:r w:rsidRPr="00B56A57">
        <w:rPr>
          <w:rFonts w:asciiTheme="minorEastAsia" w:hAnsiTheme="minorEastAsia" w:hint="eastAsia"/>
          <w:b/>
          <w:sz w:val="24"/>
        </w:rPr>
        <w:t>录</w:t>
      </w:r>
      <w:bookmarkEnd w:id="14"/>
      <w:bookmarkEnd w:id="15"/>
      <w:bookmarkEnd w:id="16"/>
      <w:bookmarkEnd w:id="17"/>
    </w:p>
    <w:p w14:paraId="19952204" w14:textId="05C3D1F7" w:rsidR="00E63DEE" w:rsidRPr="00553B76" w:rsidRDefault="00E63DEE" w:rsidP="00E63DEE">
      <w:pPr>
        <w:pStyle w:val="11"/>
        <w:tabs>
          <w:tab w:val="right" w:leader="dot" w:pos="8296"/>
        </w:tabs>
        <w:rPr>
          <w:rFonts w:asciiTheme="minorHAnsi" w:eastAsiaTheme="minorEastAsia" w:hAnsiTheme="minorHAnsi" w:cstheme="minorBidi"/>
        </w:rPr>
      </w:pPr>
      <w:r w:rsidRPr="00553B76">
        <w:rPr>
          <w:rFonts w:asciiTheme="minorEastAsia" w:eastAsiaTheme="minorEastAsia" w:hAnsiTheme="minorEastAsia"/>
          <w:color w:val="0D0D0D" w:themeColor="text1" w:themeTint="F2"/>
          <w:sz w:val="24"/>
        </w:rPr>
        <w:fldChar w:fldCharType="begin"/>
      </w:r>
      <w:r w:rsidRPr="00553B76">
        <w:rPr>
          <w:rFonts w:asciiTheme="minorEastAsia" w:eastAsiaTheme="minorEastAsia" w:hAnsiTheme="minorEastAsia"/>
          <w:color w:val="0D0D0D" w:themeColor="text1" w:themeTint="F2"/>
          <w:sz w:val="24"/>
        </w:rPr>
        <w:instrText xml:space="preserve"> TOC \o "1-</w:instrText>
      </w:r>
      <w:r w:rsidRPr="00553B76">
        <w:rPr>
          <w:rFonts w:asciiTheme="minorEastAsia" w:eastAsiaTheme="minorEastAsia" w:hAnsiTheme="minorEastAsia" w:cs="Arial"/>
          <w:color w:val="0D0D0D" w:themeColor="text1" w:themeTint="F2"/>
          <w:sz w:val="24"/>
          <w:szCs w:val="21"/>
        </w:rPr>
        <w:instrText>3</w:instrText>
      </w:r>
      <w:r w:rsidRPr="00553B76">
        <w:rPr>
          <w:rFonts w:asciiTheme="minorEastAsia" w:eastAsiaTheme="minorEastAsia" w:hAnsiTheme="minorEastAsia"/>
          <w:color w:val="0D0D0D" w:themeColor="text1" w:themeTint="F2"/>
          <w:sz w:val="24"/>
        </w:rPr>
        <w:instrText xml:space="preserve">" \h \z \u </w:instrText>
      </w:r>
      <w:r w:rsidRPr="00553B76">
        <w:rPr>
          <w:rFonts w:asciiTheme="minorEastAsia" w:eastAsiaTheme="minorEastAsia" w:hAnsiTheme="minorEastAsia"/>
          <w:color w:val="0D0D0D" w:themeColor="text1" w:themeTint="F2"/>
          <w:sz w:val="24"/>
        </w:rPr>
        <w:fldChar w:fldCharType="separate"/>
      </w:r>
      <w:hyperlink w:anchor="_Toc64923765" w:history="1">
        <w:r w:rsidRPr="00553B76">
          <w:rPr>
            <w:rStyle w:val="afb"/>
          </w:rPr>
          <w:t>第一部分</w:t>
        </w:r>
        <w:r w:rsidRPr="00553B76">
          <w:rPr>
            <w:rStyle w:val="afb"/>
          </w:rPr>
          <w:t xml:space="preserve"> </w:t>
        </w:r>
        <w:r w:rsidRPr="00553B76">
          <w:rPr>
            <w:rStyle w:val="afb"/>
          </w:rPr>
          <w:t>前言</w:t>
        </w:r>
        <w:r w:rsidRPr="00553B76">
          <w:tab/>
        </w:r>
        <w:r w:rsidRPr="00553B76">
          <w:rPr>
            <w:rFonts w:hint="eastAsia"/>
          </w:rPr>
          <w:t>1-</w:t>
        </w:r>
        <w:r w:rsidRPr="00553B76">
          <w:fldChar w:fldCharType="begin"/>
        </w:r>
        <w:r w:rsidRPr="00553B76">
          <w:instrText xml:space="preserve"> PAGEREF _Toc64923765 \h </w:instrText>
        </w:r>
        <w:r w:rsidRPr="00553B76">
          <w:fldChar w:fldCharType="separate"/>
        </w:r>
        <w:r w:rsidR="00245093">
          <w:rPr>
            <w:noProof/>
          </w:rPr>
          <w:t>1</w:t>
        </w:r>
        <w:r w:rsidRPr="00553B76">
          <w:fldChar w:fldCharType="end"/>
        </w:r>
      </w:hyperlink>
    </w:p>
    <w:p w14:paraId="0946A223" w14:textId="2549DA72" w:rsidR="00E63DEE" w:rsidRPr="00553B76" w:rsidRDefault="00EF49C4" w:rsidP="00E63DEE">
      <w:pPr>
        <w:pStyle w:val="11"/>
        <w:tabs>
          <w:tab w:val="right" w:leader="dot" w:pos="8296"/>
        </w:tabs>
        <w:rPr>
          <w:rFonts w:asciiTheme="minorHAnsi" w:eastAsiaTheme="minorEastAsia" w:hAnsiTheme="minorHAnsi" w:cstheme="minorBidi"/>
        </w:rPr>
      </w:pPr>
      <w:hyperlink w:anchor="_Toc64923766" w:history="1">
        <w:r w:rsidR="00E63DEE" w:rsidRPr="00553B76">
          <w:rPr>
            <w:rStyle w:val="afb"/>
          </w:rPr>
          <w:t>第二部分</w:t>
        </w:r>
        <w:r w:rsidR="00E63DEE" w:rsidRPr="00553B76">
          <w:rPr>
            <w:rStyle w:val="afb"/>
          </w:rPr>
          <w:t xml:space="preserve"> </w:t>
        </w:r>
        <w:r w:rsidR="00E63DEE" w:rsidRPr="00553B76">
          <w:rPr>
            <w:rStyle w:val="afb"/>
          </w:rPr>
          <w:t>释义</w:t>
        </w:r>
        <w:r w:rsidR="00E63DEE" w:rsidRPr="00553B76">
          <w:tab/>
        </w:r>
        <w:r w:rsidR="00E63DEE" w:rsidRPr="00553B76">
          <w:rPr>
            <w:rFonts w:hint="eastAsia"/>
          </w:rPr>
          <w:t>2-</w:t>
        </w:r>
        <w:r w:rsidR="00E63DEE" w:rsidRPr="00553B76">
          <w:fldChar w:fldCharType="begin"/>
        </w:r>
        <w:r w:rsidR="00E63DEE" w:rsidRPr="00553B76">
          <w:instrText xml:space="preserve"> PAGEREF _Toc64923766 \h </w:instrText>
        </w:r>
        <w:r w:rsidR="00E63DEE" w:rsidRPr="00553B76">
          <w:fldChar w:fldCharType="separate"/>
        </w:r>
        <w:r w:rsidR="00245093">
          <w:rPr>
            <w:noProof/>
          </w:rPr>
          <w:t>1</w:t>
        </w:r>
        <w:r w:rsidR="00E63DEE" w:rsidRPr="00553B76">
          <w:fldChar w:fldCharType="end"/>
        </w:r>
      </w:hyperlink>
    </w:p>
    <w:p w14:paraId="75C6D268" w14:textId="594D4D0F" w:rsidR="00E63DEE" w:rsidRPr="00553B76" w:rsidRDefault="00EF49C4" w:rsidP="00E63DEE">
      <w:pPr>
        <w:pStyle w:val="11"/>
        <w:tabs>
          <w:tab w:val="right" w:leader="dot" w:pos="8296"/>
        </w:tabs>
        <w:rPr>
          <w:rFonts w:asciiTheme="minorHAnsi" w:eastAsiaTheme="minorEastAsia" w:hAnsiTheme="minorHAnsi" w:cstheme="minorBidi"/>
        </w:rPr>
      </w:pPr>
      <w:hyperlink w:anchor="_Toc64923767" w:history="1">
        <w:r w:rsidR="00E63DEE" w:rsidRPr="00553B76">
          <w:rPr>
            <w:rStyle w:val="afb"/>
          </w:rPr>
          <w:t>第三部分</w:t>
        </w:r>
        <w:r w:rsidR="00E63DEE" w:rsidRPr="00553B76">
          <w:rPr>
            <w:rStyle w:val="afb"/>
          </w:rPr>
          <w:t xml:space="preserve"> </w:t>
        </w:r>
        <w:r w:rsidR="00E63DEE" w:rsidRPr="00553B76">
          <w:rPr>
            <w:rStyle w:val="afb"/>
          </w:rPr>
          <w:t>基金的基本情况</w:t>
        </w:r>
        <w:r w:rsidR="00E63DEE" w:rsidRPr="00553B76">
          <w:tab/>
        </w:r>
        <w:r w:rsidR="00E63DEE" w:rsidRPr="00553B76">
          <w:rPr>
            <w:rFonts w:hint="eastAsia"/>
          </w:rPr>
          <w:t>3-</w:t>
        </w:r>
        <w:r w:rsidR="00E63DEE" w:rsidRPr="00553B76">
          <w:fldChar w:fldCharType="begin"/>
        </w:r>
        <w:r w:rsidR="00E63DEE" w:rsidRPr="00553B76">
          <w:instrText xml:space="preserve"> PAGEREF _Toc64923767 \h </w:instrText>
        </w:r>
        <w:r w:rsidR="00E63DEE" w:rsidRPr="00553B76">
          <w:fldChar w:fldCharType="separate"/>
        </w:r>
        <w:r w:rsidR="00245093">
          <w:rPr>
            <w:noProof/>
          </w:rPr>
          <w:t>1</w:t>
        </w:r>
        <w:r w:rsidR="00E63DEE" w:rsidRPr="00553B76">
          <w:fldChar w:fldCharType="end"/>
        </w:r>
      </w:hyperlink>
    </w:p>
    <w:p w14:paraId="6782DABD" w14:textId="5377C8A7" w:rsidR="00E63DEE" w:rsidRPr="00553B76" w:rsidRDefault="00EF49C4" w:rsidP="00E63DEE">
      <w:pPr>
        <w:pStyle w:val="11"/>
        <w:tabs>
          <w:tab w:val="right" w:leader="dot" w:pos="8296"/>
        </w:tabs>
        <w:rPr>
          <w:rFonts w:asciiTheme="minorHAnsi" w:eastAsiaTheme="minorEastAsia" w:hAnsiTheme="minorHAnsi" w:cstheme="minorBidi"/>
        </w:rPr>
      </w:pPr>
      <w:hyperlink w:anchor="_Toc64923768" w:history="1">
        <w:r w:rsidR="00E63DEE" w:rsidRPr="00553B76">
          <w:rPr>
            <w:rStyle w:val="afb"/>
          </w:rPr>
          <w:t>第四部分</w:t>
        </w:r>
        <w:r w:rsidR="00E63DEE" w:rsidRPr="00553B76">
          <w:rPr>
            <w:rStyle w:val="afb"/>
          </w:rPr>
          <w:t xml:space="preserve"> </w:t>
        </w:r>
        <w:r w:rsidR="00E63DEE" w:rsidRPr="00553B76">
          <w:rPr>
            <w:rStyle w:val="afb"/>
          </w:rPr>
          <w:t>基金份额的发售</w:t>
        </w:r>
        <w:r w:rsidR="00E63DEE" w:rsidRPr="00553B76">
          <w:tab/>
        </w:r>
        <w:r w:rsidR="00E63DEE" w:rsidRPr="00553B76">
          <w:rPr>
            <w:rFonts w:hint="eastAsia"/>
          </w:rPr>
          <w:t>4-</w:t>
        </w:r>
        <w:r w:rsidR="00E63DEE" w:rsidRPr="00553B76">
          <w:fldChar w:fldCharType="begin"/>
        </w:r>
        <w:r w:rsidR="00E63DEE" w:rsidRPr="00553B76">
          <w:instrText xml:space="preserve"> PAGEREF _Toc64923768 \h </w:instrText>
        </w:r>
        <w:r w:rsidR="00E63DEE" w:rsidRPr="00553B76">
          <w:fldChar w:fldCharType="separate"/>
        </w:r>
        <w:r w:rsidR="00245093">
          <w:rPr>
            <w:noProof/>
          </w:rPr>
          <w:t>1</w:t>
        </w:r>
        <w:r w:rsidR="00E63DEE" w:rsidRPr="00553B76">
          <w:fldChar w:fldCharType="end"/>
        </w:r>
      </w:hyperlink>
    </w:p>
    <w:p w14:paraId="220E6159" w14:textId="47E4E8BE" w:rsidR="00E63DEE" w:rsidRPr="00553B76" w:rsidRDefault="00EF49C4" w:rsidP="00E63DEE">
      <w:pPr>
        <w:pStyle w:val="11"/>
        <w:tabs>
          <w:tab w:val="right" w:leader="dot" w:pos="8296"/>
        </w:tabs>
        <w:rPr>
          <w:rFonts w:asciiTheme="minorHAnsi" w:eastAsiaTheme="minorEastAsia" w:hAnsiTheme="minorHAnsi" w:cstheme="minorBidi"/>
        </w:rPr>
      </w:pPr>
      <w:hyperlink w:anchor="_Toc64923769" w:history="1">
        <w:r w:rsidR="00E63DEE" w:rsidRPr="00553B76">
          <w:rPr>
            <w:rStyle w:val="afb"/>
          </w:rPr>
          <w:t>第五部分</w:t>
        </w:r>
        <w:r w:rsidR="00E63DEE" w:rsidRPr="00553B76">
          <w:rPr>
            <w:rStyle w:val="afb"/>
          </w:rPr>
          <w:t xml:space="preserve"> </w:t>
        </w:r>
        <w:r w:rsidR="00E63DEE" w:rsidRPr="00553B76">
          <w:rPr>
            <w:rStyle w:val="afb"/>
          </w:rPr>
          <w:t>基金备案</w:t>
        </w:r>
        <w:r w:rsidR="00E63DEE" w:rsidRPr="00553B76">
          <w:tab/>
        </w:r>
        <w:r w:rsidR="00E63DEE" w:rsidRPr="00553B76">
          <w:rPr>
            <w:rFonts w:hint="eastAsia"/>
          </w:rPr>
          <w:t>5-</w:t>
        </w:r>
        <w:r w:rsidR="00E63DEE" w:rsidRPr="00553B76">
          <w:fldChar w:fldCharType="begin"/>
        </w:r>
        <w:r w:rsidR="00E63DEE" w:rsidRPr="00553B76">
          <w:instrText xml:space="preserve"> PAGEREF _Toc64923769 \h </w:instrText>
        </w:r>
        <w:r w:rsidR="00E63DEE" w:rsidRPr="00553B76">
          <w:fldChar w:fldCharType="separate"/>
        </w:r>
        <w:r w:rsidR="00245093">
          <w:rPr>
            <w:noProof/>
          </w:rPr>
          <w:t>1</w:t>
        </w:r>
        <w:r w:rsidR="00E63DEE" w:rsidRPr="00553B76">
          <w:fldChar w:fldCharType="end"/>
        </w:r>
      </w:hyperlink>
    </w:p>
    <w:p w14:paraId="1CB96143" w14:textId="24BDE934" w:rsidR="00E63DEE" w:rsidRPr="00553B76" w:rsidRDefault="00EF49C4" w:rsidP="00E63DEE">
      <w:pPr>
        <w:pStyle w:val="11"/>
        <w:tabs>
          <w:tab w:val="right" w:leader="dot" w:pos="8296"/>
        </w:tabs>
        <w:rPr>
          <w:rFonts w:asciiTheme="minorHAnsi" w:eastAsiaTheme="minorEastAsia" w:hAnsiTheme="minorHAnsi" w:cstheme="minorBidi"/>
        </w:rPr>
      </w:pPr>
      <w:hyperlink w:anchor="_Toc64923770" w:history="1">
        <w:r w:rsidR="00E63DEE" w:rsidRPr="00553B76">
          <w:rPr>
            <w:rStyle w:val="afb"/>
          </w:rPr>
          <w:t>第六部分</w:t>
        </w:r>
        <w:r w:rsidR="00E63DEE" w:rsidRPr="00553B76">
          <w:rPr>
            <w:rStyle w:val="afb"/>
          </w:rPr>
          <w:t xml:space="preserve"> </w:t>
        </w:r>
        <w:r w:rsidR="00E63DEE" w:rsidRPr="00553B76">
          <w:rPr>
            <w:rStyle w:val="afb"/>
          </w:rPr>
          <w:t>基金份额折算与变更登记</w:t>
        </w:r>
        <w:r w:rsidR="00E63DEE" w:rsidRPr="00553B76">
          <w:tab/>
        </w:r>
        <w:r w:rsidR="00E63DEE" w:rsidRPr="00553B76">
          <w:rPr>
            <w:rFonts w:hint="eastAsia"/>
          </w:rPr>
          <w:t>6-</w:t>
        </w:r>
        <w:r w:rsidR="00E63DEE" w:rsidRPr="00553B76">
          <w:fldChar w:fldCharType="begin"/>
        </w:r>
        <w:r w:rsidR="00E63DEE" w:rsidRPr="00553B76">
          <w:instrText xml:space="preserve"> PAGEREF _Toc64923770 \h </w:instrText>
        </w:r>
        <w:r w:rsidR="00E63DEE" w:rsidRPr="00553B76">
          <w:fldChar w:fldCharType="separate"/>
        </w:r>
        <w:r w:rsidR="00245093">
          <w:rPr>
            <w:noProof/>
          </w:rPr>
          <w:t>1</w:t>
        </w:r>
        <w:r w:rsidR="00E63DEE" w:rsidRPr="00553B76">
          <w:fldChar w:fldCharType="end"/>
        </w:r>
      </w:hyperlink>
    </w:p>
    <w:p w14:paraId="0ED4F739" w14:textId="61675E8F" w:rsidR="00E63DEE" w:rsidRPr="00553B76" w:rsidRDefault="00EF49C4" w:rsidP="00E63DEE">
      <w:pPr>
        <w:pStyle w:val="11"/>
        <w:tabs>
          <w:tab w:val="right" w:leader="dot" w:pos="8296"/>
        </w:tabs>
        <w:rPr>
          <w:rFonts w:asciiTheme="minorHAnsi" w:eastAsiaTheme="minorEastAsia" w:hAnsiTheme="minorHAnsi" w:cstheme="minorBidi"/>
        </w:rPr>
      </w:pPr>
      <w:hyperlink w:anchor="_Toc64923771" w:history="1">
        <w:r w:rsidR="00E63DEE" w:rsidRPr="00553B76">
          <w:rPr>
            <w:rStyle w:val="afb"/>
          </w:rPr>
          <w:t>第七部分</w:t>
        </w:r>
        <w:r w:rsidR="00E63DEE" w:rsidRPr="00553B76">
          <w:rPr>
            <w:rStyle w:val="afb"/>
          </w:rPr>
          <w:t xml:space="preserve"> </w:t>
        </w:r>
        <w:r w:rsidR="00E63DEE" w:rsidRPr="00553B76">
          <w:rPr>
            <w:rStyle w:val="afb"/>
          </w:rPr>
          <w:t>基金份额的上市交易</w:t>
        </w:r>
        <w:r w:rsidR="00E63DEE" w:rsidRPr="00553B76">
          <w:tab/>
        </w:r>
        <w:r w:rsidR="00E63DEE" w:rsidRPr="00553B76">
          <w:rPr>
            <w:rFonts w:hint="eastAsia"/>
          </w:rPr>
          <w:t>7-</w:t>
        </w:r>
        <w:r w:rsidR="00E63DEE" w:rsidRPr="00553B76">
          <w:fldChar w:fldCharType="begin"/>
        </w:r>
        <w:r w:rsidR="00E63DEE" w:rsidRPr="00553B76">
          <w:instrText xml:space="preserve"> PAGEREF _Toc64923771 \h </w:instrText>
        </w:r>
        <w:r w:rsidR="00E63DEE" w:rsidRPr="00553B76">
          <w:fldChar w:fldCharType="separate"/>
        </w:r>
        <w:r w:rsidR="00245093">
          <w:rPr>
            <w:noProof/>
          </w:rPr>
          <w:t>1</w:t>
        </w:r>
        <w:r w:rsidR="00E63DEE" w:rsidRPr="00553B76">
          <w:fldChar w:fldCharType="end"/>
        </w:r>
      </w:hyperlink>
    </w:p>
    <w:p w14:paraId="1B1CFBCF" w14:textId="7E29FCD7" w:rsidR="00E63DEE" w:rsidRPr="00553B76" w:rsidRDefault="00EF49C4" w:rsidP="00E63DEE">
      <w:pPr>
        <w:pStyle w:val="11"/>
        <w:tabs>
          <w:tab w:val="right" w:leader="dot" w:pos="8296"/>
        </w:tabs>
        <w:rPr>
          <w:rFonts w:asciiTheme="minorHAnsi" w:eastAsiaTheme="minorEastAsia" w:hAnsiTheme="minorHAnsi" w:cstheme="minorBidi"/>
        </w:rPr>
      </w:pPr>
      <w:hyperlink w:anchor="_Toc64923772" w:history="1">
        <w:r w:rsidR="00E63DEE" w:rsidRPr="00553B76">
          <w:rPr>
            <w:rStyle w:val="afb"/>
            <w:rFonts w:cs="Arial"/>
          </w:rPr>
          <w:t>第八部分</w:t>
        </w:r>
        <w:r w:rsidR="00E63DEE" w:rsidRPr="00553B76">
          <w:rPr>
            <w:rStyle w:val="afb"/>
          </w:rPr>
          <w:t xml:space="preserve"> </w:t>
        </w:r>
        <w:r w:rsidR="00E63DEE" w:rsidRPr="00553B76">
          <w:rPr>
            <w:rStyle w:val="afb"/>
          </w:rPr>
          <w:t>基金份额的申购与赎回</w:t>
        </w:r>
        <w:r w:rsidR="00E63DEE" w:rsidRPr="00553B76">
          <w:tab/>
        </w:r>
        <w:r w:rsidR="00E63DEE" w:rsidRPr="00553B76">
          <w:rPr>
            <w:rFonts w:hint="eastAsia"/>
          </w:rPr>
          <w:t>8-</w:t>
        </w:r>
        <w:r w:rsidR="00E63DEE" w:rsidRPr="00553B76">
          <w:fldChar w:fldCharType="begin"/>
        </w:r>
        <w:r w:rsidR="00E63DEE" w:rsidRPr="00553B76">
          <w:instrText xml:space="preserve"> PAGEREF _Toc64923772 \h </w:instrText>
        </w:r>
        <w:r w:rsidR="00E63DEE" w:rsidRPr="00553B76">
          <w:fldChar w:fldCharType="separate"/>
        </w:r>
        <w:r w:rsidR="00245093">
          <w:rPr>
            <w:noProof/>
          </w:rPr>
          <w:t>1</w:t>
        </w:r>
        <w:r w:rsidR="00E63DEE" w:rsidRPr="00553B76">
          <w:fldChar w:fldCharType="end"/>
        </w:r>
      </w:hyperlink>
    </w:p>
    <w:p w14:paraId="41F4ED38" w14:textId="3FAE40EB" w:rsidR="00E63DEE" w:rsidRPr="00553B76" w:rsidRDefault="00EF49C4" w:rsidP="00E63DEE">
      <w:pPr>
        <w:pStyle w:val="11"/>
        <w:tabs>
          <w:tab w:val="right" w:leader="dot" w:pos="8296"/>
        </w:tabs>
        <w:rPr>
          <w:rFonts w:asciiTheme="minorHAnsi" w:eastAsiaTheme="minorEastAsia" w:hAnsiTheme="minorHAnsi" w:cstheme="minorBidi"/>
        </w:rPr>
      </w:pPr>
      <w:hyperlink w:anchor="_Toc64923773" w:history="1">
        <w:r w:rsidR="00E63DEE" w:rsidRPr="00553B76">
          <w:rPr>
            <w:rStyle w:val="afb"/>
            <w:rFonts w:cs="Arial"/>
          </w:rPr>
          <w:t>第九</w:t>
        </w:r>
        <w:r w:rsidR="00E63DEE" w:rsidRPr="00553B76">
          <w:rPr>
            <w:rStyle w:val="afb"/>
          </w:rPr>
          <w:t>部分</w:t>
        </w:r>
        <w:r w:rsidR="00E63DEE" w:rsidRPr="00553B76">
          <w:rPr>
            <w:rStyle w:val="afb"/>
          </w:rPr>
          <w:t xml:space="preserve"> </w:t>
        </w:r>
        <w:r w:rsidR="00E63DEE" w:rsidRPr="00553B76">
          <w:rPr>
            <w:rStyle w:val="afb"/>
          </w:rPr>
          <w:t>基金合同当事人及权利义务</w:t>
        </w:r>
        <w:r w:rsidR="00E63DEE" w:rsidRPr="00553B76">
          <w:tab/>
        </w:r>
        <w:r w:rsidR="00E63DEE" w:rsidRPr="00553B76">
          <w:rPr>
            <w:rFonts w:hint="eastAsia"/>
          </w:rPr>
          <w:t>9-</w:t>
        </w:r>
        <w:r w:rsidR="00E63DEE" w:rsidRPr="00553B76">
          <w:fldChar w:fldCharType="begin"/>
        </w:r>
        <w:r w:rsidR="00E63DEE" w:rsidRPr="00553B76">
          <w:instrText xml:space="preserve"> PAGEREF _Toc64923773 \h </w:instrText>
        </w:r>
        <w:r w:rsidR="00E63DEE" w:rsidRPr="00553B76">
          <w:fldChar w:fldCharType="separate"/>
        </w:r>
        <w:r w:rsidR="00245093">
          <w:rPr>
            <w:noProof/>
          </w:rPr>
          <w:t>1</w:t>
        </w:r>
        <w:r w:rsidR="00E63DEE" w:rsidRPr="00553B76">
          <w:fldChar w:fldCharType="end"/>
        </w:r>
      </w:hyperlink>
    </w:p>
    <w:p w14:paraId="6C3D5FF2" w14:textId="000AD9DC" w:rsidR="00E63DEE" w:rsidRPr="00553B76" w:rsidRDefault="00EF49C4" w:rsidP="00E63DEE">
      <w:pPr>
        <w:pStyle w:val="11"/>
        <w:tabs>
          <w:tab w:val="right" w:leader="dot" w:pos="8296"/>
        </w:tabs>
        <w:rPr>
          <w:rFonts w:asciiTheme="minorHAnsi" w:eastAsiaTheme="minorEastAsia" w:hAnsiTheme="minorHAnsi" w:cstheme="minorBidi"/>
        </w:rPr>
      </w:pPr>
      <w:hyperlink w:anchor="_Toc64923774" w:history="1">
        <w:r w:rsidR="00E63DEE" w:rsidRPr="00553B76">
          <w:rPr>
            <w:rStyle w:val="afb"/>
            <w:rFonts w:cs="Arial"/>
          </w:rPr>
          <w:t>第十部分</w:t>
        </w:r>
        <w:r w:rsidR="00E63DEE" w:rsidRPr="00553B76">
          <w:rPr>
            <w:rStyle w:val="afb"/>
          </w:rPr>
          <w:t xml:space="preserve"> </w:t>
        </w:r>
        <w:r w:rsidR="00E63DEE" w:rsidRPr="00553B76">
          <w:rPr>
            <w:rStyle w:val="afb"/>
          </w:rPr>
          <w:t>基金份额持有人大会</w:t>
        </w:r>
        <w:r w:rsidR="00E63DEE" w:rsidRPr="00553B76">
          <w:tab/>
        </w:r>
        <w:r w:rsidR="00E63DEE" w:rsidRPr="00553B76">
          <w:rPr>
            <w:rFonts w:hint="eastAsia"/>
          </w:rPr>
          <w:t>10-</w:t>
        </w:r>
        <w:r w:rsidR="00E63DEE" w:rsidRPr="00553B76">
          <w:fldChar w:fldCharType="begin"/>
        </w:r>
        <w:r w:rsidR="00E63DEE" w:rsidRPr="00553B76">
          <w:instrText xml:space="preserve"> PAGEREF _Toc64923774 \h </w:instrText>
        </w:r>
        <w:r w:rsidR="00E63DEE" w:rsidRPr="00553B76">
          <w:fldChar w:fldCharType="separate"/>
        </w:r>
        <w:r w:rsidR="00245093">
          <w:rPr>
            <w:noProof/>
          </w:rPr>
          <w:t>1</w:t>
        </w:r>
        <w:r w:rsidR="00E63DEE" w:rsidRPr="00553B76">
          <w:fldChar w:fldCharType="end"/>
        </w:r>
      </w:hyperlink>
    </w:p>
    <w:p w14:paraId="0996C89E" w14:textId="3119D9E6" w:rsidR="00E63DEE" w:rsidRPr="00553B76" w:rsidRDefault="00EF49C4" w:rsidP="00E63DEE">
      <w:pPr>
        <w:pStyle w:val="11"/>
        <w:tabs>
          <w:tab w:val="right" w:leader="dot" w:pos="8296"/>
        </w:tabs>
        <w:rPr>
          <w:rFonts w:asciiTheme="minorHAnsi" w:eastAsiaTheme="minorEastAsia" w:hAnsiTheme="minorHAnsi" w:cstheme="minorBidi"/>
        </w:rPr>
      </w:pPr>
      <w:hyperlink w:anchor="_Toc64923775" w:history="1">
        <w:r w:rsidR="00E63DEE" w:rsidRPr="00553B76">
          <w:rPr>
            <w:rStyle w:val="afb"/>
            <w:rFonts w:cs="Arial"/>
          </w:rPr>
          <w:t>第十一部分</w:t>
        </w:r>
        <w:r w:rsidR="00E63DEE" w:rsidRPr="00553B76">
          <w:rPr>
            <w:rStyle w:val="afb"/>
          </w:rPr>
          <w:t xml:space="preserve"> </w:t>
        </w:r>
        <w:r w:rsidR="00E63DEE" w:rsidRPr="00553B76">
          <w:rPr>
            <w:rStyle w:val="afb"/>
          </w:rPr>
          <w:t>基金管理人、基金托管人的更换条件和程序</w:t>
        </w:r>
        <w:r w:rsidR="00E63DEE" w:rsidRPr="00553B76">
          <w:tab/>
        </w:r>
        <w:r w:rsidR="00E63DEE" w:rsidRPr="00553B76">
          <w:rPr>
            <w:rFonts w:hint="eastAsia"/>
          </w:rPr>
          <w:t>11-</w:t>
        </w:r>
        <w:r w:rsidR="00E63DEE" w:rsidRPr="00553B76">
          <w:fldChar w:fldCharType="begin"/>
        </w:r>
        <w:r w:rsidR="00E63DEE" w:rsidRPr="00553B76">
          <w:instrText xml:space="preserve"> PAGEREF _Toc64923775 \h </w:instrText>
        </w:r>
        <w:r w:rsidR="00E63DEE" w:rsidRPr="00553B76">
          <w:fldChar w:fldCharType="separate"/>
        </w:r>
        <w:r w:rsidR="00245093">
          <w:rPr>
            <w:noProof/>
          </w:rPr>
          <w:t>1</w:t>
        </w:r>
        <w:r w:rsidR="00E63DEE" w:rsidRPr="00553B76">
          <w:fldChar w:fldCharType="end"/>
        </w:r>
      </w:hyperlink>
    </w:p>
    <w:p w14:paraId="789B190E" w14:textId="06691531" w:rsidR="00E63DEE" w:rsidRPr="00553B76" w:rsidRDefault="00EF49C4" w:rsidP="00E63DEE">
      <w:pPr>
        <w:pStyle w:val="11"/>
        <w:tabs>
          <w:tab w:val="right" w:leader="dot" w:pos="8296"/>
        </w:tabs>
        <w:rPr>
          <w:rFonts w:asciiTheme="minorHAnsi" w:eastAsiaTheme="minorEastAsia" w:hAnsiTheme="minorHAnsi" w:cstheme="minorBidi"/>
        </w:rPr>
      </w:pPr>
      <w:hyperlink w:anchor="_Toc64923776" w:history="1">
        <w:r w:rsidR="00E63DEE" w:rsidRPr="00553B76">
          <w:rPr>
            <w:rStyle w:val="afb"/>
            <w:rFonts w:cs="Arial"/>
          </w:rPr>
          <w:t>第十二部分</w:t>
        </w:r>
        <w:r w:rsidR="00E63DEE" w:rsidRPr="00553B76">
          <w:rPr>
            <w:rStyle w:val="afb"/>
          </w:rPr>
          <w:t xml:space="preserve"> </w:t>
        </w:r>
        <w:r w:rsidR="00E63DEE" w:rsidRPr="00553B76">
          <w:rPr>
            <w:rStyle w:val="afb"/>
          </w:rPr>
          <w:t>基金的托管</w:t>
        </w:r>
        <w:r w:rsidR="00E63DEE" w:rsidRPr="00553B76">
          <w:tab/>
        </w:r>
        <w:r w:rsidR="00E63DEE" w:rsidRPr="00553B76">
          <w:rPr>
            <w:rFonts w:hint="eastAsia"/>
          </w:rPr>
          <w:t>12-</w:t>
        </w:r>
        <w:r w:rsidR="00E63DEE" w:rsidRPr="00553B76">
          <w:fldChar w:fldCharType="begin"/>
        </w:r>
        <w:r w:rsidR="00E63DEE" w:rsidRPr="00553B76">
          <w:instrText xml:space="preserve"> PAGEREF _Toc64923776 \h </w:instrText>
        </w:r>
        <w:r w:rsidR="00E63DEE" w:rsidRPr="00553B76">
          <w:fldChar w:fldCharType="separate"/>
        </w:r>
        <w:r w:rsidR="00245093">
          <w:rPr>
            <w:noProof/>
          </w:rPr>
          <w:t>1</w:t>
        </w:r>
        <w:r w:rsidR="00E63DEE" w:rsidRPr="00553B76">
          <w:fldChar w:fldCharType="end"/>
        </w:r>
      </w:hyperlink>
    </w:p>
    <w:p w14:paraId="711D2F1C" w14:textId="3431C3E3" w:rsidR="00E63DEE" w:rsidRPr="00553B76" w:rsidRDefault="00EF49C4" w:rsidP="00E63DEE">
      <w:pPr>
        <w:pStyle w:val="11"/>
        <w:tabs>
          <w:tab w:val="right" w:leader="dot" w:pos="8296"/>
        </w:tabs>
        <w:rPr>
          <w:rFonts w:asciiTheme="minorHAnsi" w:eastAsiaTheme="minorEastAsia" w:hAnsiTheme="minorHAnsi" w:cstheme="minorBidi"/>
        </w:rPr>
      </w:pPr>
      <w:hyperlink w:anchor="_Toc64923777" w:history="1">
        <w:r w:rsidR="00E63DEE" w:rsidRPr="00553B76">
          <w:rPr>
            <w:rStyle w:val="afb"/>
            <w:rFonts w:cs="Arial"/>
          </w:rPr>
          <w:t>第十三部分</w:t>
        </w:r>
        <w:r w:rsidR="00E63DEE" w:rsidRPr="00553B76">
          <w:rPr>
            <w:rStyle w:val="afb"/>
          </w:rPr>
          <w:t xml:space="preserve"> </w:t>
        </w:r>
        <w:r w:rsidR="00E63DEE" w:rsidRPr="00553B76">
          <w:rPr>
            <w:rStyle w:val="afb"/>
          </w:rPr>
          <w:t>基金份额的登记</w:t>
        </w:r>
        <w:r w:rsidR="00E63DEE" w:rsidRPr="00553B76">
          <w:tab/>
        </w:r>
        <w:r w:rsidR="00E63DEE" w:rsidRPr="00553B76">
          <w:rPr>
            <w:rFonts w:hint="eastAsia"/>
          </w:rPr>
          <w:t>13-</w:t>
        </w:r>
        <w:r w:rsidR="00E63DEE" w:rsidRPr="00553B76">
          <w:fldChar w:fldCharType="begin"/>
        </w:r>
        <w:r w:rsidR="00E63DEE" w:rsidRPr="00553B76">
          <w:instrText xml:space="preserve"> PAGEREF _Toc64923777 \h </w:instrText>
        </w:r>
        <w:r w:rsidR="00E63DEE" w:rsidRPr="00553B76">
          <w:fldChar w:fldCharType="separate"/>
        </w:r>
        <w:r w:rsidR="00245093">
          <w:rPr>
            <w:noProof/>
          </w:rPr>
          <w:t>1</w:t>
        </w:r>
        <w:r w:rsidR="00E63DEE" w:rsidRPr="00553B76">
          <w:fldChar w:fldCharType="end"/>
        </w:r>
      </w:hyperlink>
    </w:p>
    <w:p w14:paraId="07A53D49" w14:textId="236FF648" w:rsidR="00E63DEE" w:rsidRPr="00553B76" w:rsidRDefault="00EF49C4" w:rsidP="00E63DEE">
      <w:pPr>
        <w:pStyle w:val="11"/>
        <w:tabs>
          <w:tab w:val="right" w:leader="dot" w:pos="8296"/>
        </w:tabs>
        <w:rPr>
          <w:rFonts w:asciiTheme="minorHAnsi" w:eastAsiaTheme="minorEastAsia" w:hAnsiTheme="minorHAnsi" w:cstheme="minorBidi"/>
        </w:rPr>
      </w:pPr>
      <w:hyperlink w:anchor="_Toc64923778" w:history="1">
        <w:r w:rsidR="00E63DEE" w:rsidRPr="00553B76">
          <w:rPr>
            <w:rStyle w:val="afb"/>
            <w:rFonts w:cs="Arial"/>
          </w:rPr>
          <w:t>第十四</w:t>
        </w:r>
        <w:r w:rsidR="00E63DEE" w:rsidRPr="00553B76">
          <w:rPr>
            <w:rStyle w:val="afb"/>
          </w:rPr>
          <w:t>部分</w:t>
        </w:r>
        <w:r w:rsidR="00E63DEE" w:rsidRPr="00553B76">
          <w:rPr>
            <w:rStyle w:val="afb"/>
          </w:rPr>
          <w:t xml:space="preserve"> </w:t>
        </w:r>
        <w:r w:rsidR="00E63DEE" w:rsidRPr="00553B76">
          <w:rPr>
            <w:rStyle w:val="afb"/>
          </w:rPr>
          <w:t>基金的投资</w:t>
        </w:r>
        <w:r w:rsidR="00E63DEE" w:rsidRPr="00553B76">
          <w:tab/>
        </w:r>
        <w:r w:rsidR="00E63DEE" w:rsidRPr="00553B76">
          <w:rPr>
            <w:rFonts w:hint="eastAsia"/>
          </w:rPr>
          <w:t>14-</w:t>
        </w:r>
        <w:r w:rsidR="00E63DEE" w:rsidRPr="00553B76">
          <w:fldChar w:fldCharType="begin"/>
        </w:r>
        <w:r w:rsidR="00E63DEE" w:rsidRPr="00553B76">
          <w:instrText xml:space="preserve"> PAGEREF _Toc64923778 \h </w:instrText>
        </w:r>
        <w:r w:rsidR="00E63DEE" w:rsidRPr="00553B76">
          <w:fldChar w:fldCharType="separate"/>
        </w:r>
        <w:r w:rsidR="00245093">
          <w:rPr>
            <w:noProof/>
          </w:rPr>
          <w:t>1</w:t>
        </w:r>
        <w:r w:rsidR="00E63DEE" w:rsidRPr="00553B76">
          <w:fldChar w:fldCharType="end"/>
        </w:r>
      </w:hyperlink>
    </w:p>
    <w:p w14:paraId="692CD396" w14:textId="74BBE7C7" w:rsidR="00E63DEE" w:rsidRPr="00553B76" w:rsidRDefault="00EF49C4" w:rsidP="00E63DEE">
      <w:pPr>
        <w:pStyle w:val="11"/>
        <w:tabs>
          <w:tab w:val="right" w:leader="dot" w:pos="8296"/>
        </w:tabs>
        <w:rPr>
          <w:rFonts w:asciiTheme="minorHAnsi" w:eastAsiaTheme="minorEastAsia" w:hAnsiTheme="minorHAnsi" w:cstheme="minorBidi"/>
        </w:rPr>
      </w:pPr>
      <w:hyperlink w:anchor="_Toc64923779" w:history="1">
        <w:r w:rsidR="00E63DEE" w:rsidRPr="00553B76">
          <w:rPr>
            <w:rStyle w:val="afb"/>
            <w:rFonts w:cs="Arial"/>
          </w:rPr>
          <w:t>第十五部分</w:t>
        </w:r>
        <w:r w:rsidR="00E63DEE" w:rsidRPr="00553B76">
          <w:rPr>
            <w:rStyle w:val="afb"/>
          </w:rPr>
          <w:t xml:space="preserve"> </w:t>
        </w:r>
        <w:r w:rsidR="00E63DEE" w:rsidRPr="00553B76">
          <w:rPr>
            <w:rStyle w:val="afb"/>
          </w:rPr>
          <w:t>基金的财产</w:t>
        </w:r>
        <w:r w:rsidR="00E63DEE" w:rsidRPr="00553B76">
          <w:tab/>
        </w:r>
        <w:r w:rsidR="00E63DEE" w:rsidRPr="00553B76">
          <w:rPr>
            <w:rFonts w:hint="eastAsia"/>
          </w:rPr>
          <w:t>15-</w:t>
        </w:r>
        <w:r w:rsidR="00E63DEE" w:rsidRPr="00553B76">
          <w:fldChar w:fldCharType="begin"/>
        </w:r>
        <w:r w:rsidR="00E63DEE" w:rsidRPr="00553B76">
          <w:instrText xml:space="preserve"> PAGEREF _Toc64923779 \h </w:instrText>
        </w:r>
        <w:r w:rsidR="00E63DEE" w:rsidRPr="00553B76">
          <w:fldChar w:fldCharType="separate"/>
        </w:r>
        <w:r w:rsidR="00245093">
          <w:rPr>
            <w:noProof/>
          </w:rPr>
          <w:t>1</w:t>
        </w:r>
        <w:r w:rsidR="00E63DEE" w:rsidRPr="00553B76">
          <w:fldChar w:fldCharType="end"/>
        </w:r>
      </w:hyperlink>
    </w:p>
    <w:p w14:paraId="77BE18ED" w14:textId="10187570" w:rsidR="00E63DEE" w:rsidRPr="00553B76" w:rsidRDefault="00EF49C4" w:rsidP="00E63DEE">
      <w:pPr>
        <w:pStyle w:val="11"/>
        <w:tabs>
          <w:tab w:val="right" w:leader="dot" w:pos="8296"/>
        </w:tabs>
        <w:rPr>
          <w:rFonts w:asciiTheme="minorHAnsi" w:eastAsiaTheme="minorEastAsia" w:hAnsiTheme="minorHAnsi" w:cstheme="minorBidi"/>
        </w:rPr>
      </w:pPr>
      <w:hyperlink w:anchor="_Toc64923780" w:history="1">
        <w:r w:rsidR="00E63DEE" w:rsidRPr="00553B76">
          <w:rPr>
            <w:rStyle w:val="afb"/>
            <w:rFonts w:cs="Arial"/>
          </w:rPr>
          <w:t>第十六</w:t>
        </w:r>
        <w:r w:rsidR="00E63DEE" w:rsidRPr="00553B76">
          <w:rPr>
            <w:rStyle w:val="afb"/>
          </w:rPr>
          <w:t>部分</w:t>
        </w:r>
        <w:r w:rsidR="00E63DEE" w:rsidRPr="00553B76">
          <w:rPr>
            <w:rStyle w:val="afb"/>
          </w:rPr>
          <w:t xml:space="preserve"> </w:t>
        </w:r>
        <w:r w:rsidR="00E63DEE" w:rsidRPr="00553B76">
          <w:rPr>
            <w:rStyle w:val="afb"/>
          </w:rPr>
          <w:t>基金资产</w:t>
        </w:r>
        <w:r w:rsidR="00E63DEE" w:rsidRPr="00553B76">
          <w:rPr>
            <w:rStyle w:val="afb"/>
            <w:rFonts w:cs="Arial"/>
          </w:rPr>
          <w:t>的</w:t>
        </w:r>
        <w:r w:rsidR="00E63DEE" w:rsidRPr="00553B76">
          <w:rPr>
            <w:rStyle w:val="afb"/>
          </w:rPr>
          <w:t>估值</w:t>
        </w:r>
        <w:r w:rsidR="00E63DEE" w:rsidRPr="00553B76">
          <w:tab/>
        </w:r>
        <w:r w:rsidR="00E63DEE" w:rsidRPr="00553B76">
          <w:rPr>
            <w:rFonts w:hint="eastAsia"/>
          </w:rPr>
          <w:t>16-</w:t>
        </w:r>
        <w:r w:rsidR="00E63DEE" w:rsidRPr="00553B76">
          <w:fldChar w:fldCharType="begin"/>
        </w:r>
        <w:r w:rsidR="00E63DEE" w:rsidRPr="00553B76">
          <w:instrText xml:space="preserve"> PAGEREF _Toc64923780 \h </w:instrText>
        </w:r>
        <w:r w:rsidR="00E63DEE" w:rsidRPr="00553B76">
          <w:fldChar w:fldCharType="separate"/>
        </w:r>
        <w:r w:rsidR="00245093">
          <w:rPr>
            <w:noProof/>
          </w:rPr>
          <w:t>1</w:t>
        </w:r>
        <w:r w:rsidR="00E63DEE" w:rsidRPr="00553B76">
          <w:fldChar w:fldCharType="end"/>
        </w:r>
      </w:hyperlink>
    </w:p>
    <w:p w14:paraId="52CF2A77" w14:textId="51C3260F" w:rsidR="00E63DEE" w:rsidRPr="00553B76" w:rsidRDefault="00EF49C4" w:rsidP="00E63DEE">
      <w:pPr>
        <w:pStyle w:val="11"/>
        <w:tabs>
          <w:tab w:val="right" w:leader="dot" w:pos="8296"/>
        </w:tabs>
        <w:rPr>
          <w:rFonts w:asciiTheme="minorHAnsi" w:eastAsiaTheme="minorEastAsia" w:hAnsiTheme="minorHAnsi" w:cstheme="minorBidi"/>
        </w:rPr>
      </w:pPr>
      <w:hyperlink w:anchor="_Toc64923781" w:history="1">
        <w:r w:rsidR="00E63DEE" w:rsidRPr="00553B76">
          <w:rPr>
            <w:rStyle w:val="afb"/>
            <w:rFonts w:cs="Arial"/>
          </w:rPr>
          <w:t>第十七</w:t>
        </w:r>
        <w:r w:rsidR="00E63DEE" w:rsidRPr="00553B76">
          <w:rPr>
            <w:rStyle w:val="afb"/>
          </w:rPr>
          <w:t>部分</w:t>
        </w:r>
        <w:r w:rsidR="00E63DEE" w:rsidRPr="00553B76">
          <w:rPr>
            <w:rStyle w:val="afb"/>
          </w:rPr>
          <w:t xml:space="preserve"> </w:t>
        </w:r>
        <w:r w:rsidR="00E63DEE" w:rsidRPr="00553B76">
          <w:rPr>
            <w:rStyle w:val="afb"/>
          </w:rPr>
          <w:t>基金</w:t>
        </w:r>
        <w:r w:rsidR="00E63DEE" w:rsidRPr="00553B76">
          <w:rPr>
            <w:rStyle w:val="afb"/>
            <w:rFonts w:cs="Arial"/>
          </w:rPr>
          <w:t>的</w:t>
        </w:r>
        <w:r w:rsidR="00E63DEE" w:rsidRPr="00553B76">
          <w:rPr>
            <w:rStyle w:val="afb"/>
          </w:rPr>
          <w:t>费用与税收</w:t>
        </w:r>
        <w:r w:rsidR="00E63DEE" w:rsidRPr="00553B76">
          <w:tab/>
        </w:r>
        <w:r w:rsidR="00E63DEE" w:rsidRPr="00553B76">
          <w:rPr>
            <w:rFonts w:hint="eastAsia"/>
          </w:rPr>
          <w:t>17-</w:t>
        </w:r>
        <w:r w:rsidR="00E63DEE" w:rsidRPr="00553B76">
          <w:fldChar w:fldCharType="begin"/>
        </w:r>
        <w:r w:rsidR="00E63DEE" w:rsidRPr="00553B76">
          <w:instrText xml:space="preserve"> PAGEREF _Toc64923781 \h </w:instrText>
        </w:r>
        <w:r w:rsidR="00E63DEE" w:rsidRPr="00553B76">
          <w:fldChar w:fldCharType="separate"/>
        </w:r>
        <w:r w:rsidR="00245093">
          <w:rPr>
            <w:noProof/>
          </w:rPr>
          <w:t>1</w:t>
        </w:r>
        <w:r w:rsidR="00E63DEE" w:rsidRPr="00553B76">
          <w:fldChar w:fldCharType="end"/>
        </w:r>
      </w:hyperlink>
    </w:p>
    <w:p w14:paraId="709D067F" w14:textId="4D1DAD38" w:rsidR="00E63DEE" w:rsidRPr="00553B76" w:rsidRDefault="00EF49C4" w:rsidP="00E63DEE">
      <w:pPr>
        <w:pStyle w:val="11"/>
        <w:tabs>
          <w:tab w:val="right" w:leader="dot" w:pos="8296"/>
        </w:tabs>
        <w:rPr>
          <w:rFonts w:asciiTheme="minorHAnsi" w:eastAsiaTheme="minorEastAsia" w:hAnsiTheme="minorHAnsi" w:cstheme="minorBidi"/>
        </w:rPr>
      </w:pPr>
      <w:hyperlink w:anchor="_Toc64923782" w:history="1">
        <w:r w:rsidR="00E63DEE" w:rsidRPr="00553B76">
          <w:rPr>
            <w:rStyle w:val="afb"/>
            <w:rFonts w:cs="Arial"/>
          </w:rPr>
          <w:t>第十八部分</w:t>
        </w:r>
        <w:r w:rsidR="00E63DEE" w:rsidRPr="00553B76">
          <w:rPr>
            <w:rStyle w:val="afb"/>
          </w:rPr>
          <w:t xml:space="preserve"> </w:t>
        </w:r>
        <w:r w:rsidR="00E63DEE" w:rsidRPr="00553B76">
          <w:rPr>
            <w:rStyle w:val="afb"/>
          </w:rPr>
          <w:t>基金的收益与分配</w:t>
        </w:r>
        <w:r w:rsidR="00E63DEE" w:rsidRPr="00553B76">
          <w:tab/>
        </w:r>
        <w:r w:rsidR="00E63DEE" w:rsidRPr="00553B76">
          <w:rPr>
            <w:rFonts w:hint="eastAsia"/>
          </w:rPr>
          <w:t>18-</w:t>
        </w:r>
        <w:r w:rsidR="00E63DEE" w:rsidRPr="00553B76">
          <w:fldChar w:fldCharType="begin"/>
        </w:r>
        <w:r w:rsidR="00E63DEE" w:rsidRPr="00553B76">
          <w:instrText xml:space="preserve"> PAGEREF _Toc64923782 \h </w:instrText>
        </w:r>
        <w:r w:rsidR="00E63DEE" w:rsidRPr="00553B76">
          <w:fldChar w:fldCharType="separate"/>
        </w:r>
        <w:r w:rsidR="00245093">
          <w:rPr>
            <w:noProof/>
          </w:rPr>
          <w:t>1</w:t>
        </w:r>
        <w:r w:rsidR="00E63DEE" w:rsidRPr="00553B76">
          <w:fldChar w:fldCharType="end"/>
        </w:r>
      </w:hyperlink>
    </w:p>
    <w:p w14:paraId="530F2C39" w14:textId="1F6FE9FC" w:rsidR="00E63DEE" w:rsidRPr="00553B76" w:rsidRDefault="00EF49C4" w:rsidP="00E63DEE">
      <w:pPr>
        <w:pStyle w:val="11"/>
        <w:tabs>
          <w:tab w:val="right" w:leader="dot" w:pos="8296"/>
        </w:tabs>
        <w:rPr>
          <w:rFonts w:asciiTheme="minorHAnsi" w:eastAsiaTheme="minorEastAsia" w:hAnsiTheme="minorHAnsi" w:cstheme="minorBidi"/>
        </w:rPr>
      </w:pPr>
      <w:hyperlink w:anchor="_Toc64923783" w:history="1">
        <w:r w:rsidR="00E63DEE" w:rsidRPr="00553B76">
          <w:rPr>
            <w:rStyle w:val="afb"/>
            <w:rFonts w:cs="Arial"/>
          </w:rPr>
          <w:t>第十九</w:t>
        </w:r>
        <w:r w:rsidR="00E63DEE" w:rsidRPr="00553B76">
          <w:rPr>
            <w:rStyle w:val="afb"/>
          </w:rPr>
          <w:t>部分</w:t>
        </w:r>
        <w:r w:rsidR="00E63DEE" w:rsidRPr="00553B76">
          <w:rPr>
            <w:rStyle w:val="afb"/>
          </w:rPr>
          <w:t xml:space="preserve"> </w:t>
        </w:r>
        <w:r w:rsidR="00E63DEE" w:rsidRPr="00553B76">
          <w:rPr>
            <w:rStyle w:val="afb"/>
          </w:rPr>
          <w:t>基金的会计与审计</w:t>
        </w:r>
        <w:r w:rsidR="00E63DEE" w:rsidRPr="00553B76">
          <w:tab/>
        </w:r>
        <w:r w:rsidR="00E63DEE" w:rsidRPr="00553B76">
          <w:rPr>
            <w:rFonts w:hint="eastAsia"/>
          </w:rPr>
          <w:t>19-</w:t>
        </w:r>
        <w:r w:rsidR="00E63DEE" w:rsidRPr="00553B76">
          <w:fldChar w:fldCharType="begin"/>
        </w:r>
        <w:r w:rsidR="00E63DEE" w:rsidRPr="00553B76">
          <w:instrText xml:space="preserve"> PAGEREF _Toc64923783 \h </w:instrText>
        </w:r>
        <w:r w:rsidR="00E63DEE" w:rsidRPr="00553B76">
          <w:fldChar w:fldCharType="separate"/>
        </w:r>
        <w:r w:rsidR="00245093">
          <w:rPr>
            <w:noProof/>
          </w:rPr>
          <w:t>1</w:t>
        </w:r>
        <w:r w:rsidR="00E63DEE" w:rsidRPr="00553B76">
          <w:fldChar w:fldCharType="end"/>
        </w:r>
      </w:hyperlink>
    </w:p>
    <w:p w14:paraId="08206ABD" w14:textId="1FB63AEE" w:rsidR="00E63DEE" w:rsidRPr="00553B76" w:rsidRDefault="00EF49C4" w:rsidP="00E63DEE">
      <w:pPr>
        <w:pStyle w:val="11"/>
        <w:tabs>
          <w:tab w:val="right" w:leader="dot" w:pos="8296"/>
        </w:tabs>
        <w:rPr>
          <w:rFonts w:asciiTheme="minorHAnsi" w:eastAsiaTheme="minorEastAsia" w:hAnsiTheme="minorHAnsi" w:cstheme="minorBidi"/>
        </w:rPr>
      </w:pPr>
      <w:hyperlink w:anchor="_Toc64923784" w:history="1">
        <w:r w:rsidR="00E63DEE" w:rsidRPr="00553B76">
          <w:rPr>
            <w:rStyle w:val="afb"/>
            <w:rFonts w:cs="Arial"/>
          </w:rPr>
          <w:t>第二十部分</w:t>
        </w:r>
        <w:r w:rsidR="00E63DEE" w:rsidRPr="00553B76">
          <w:rPr>
            <w:rStyle w:val="afb"/>
          </w:rPr>
          <w:t xml:space="preserve"> </w:t>
        </w:r>
        <w:r w:rsidR="00E63DEE" w:rsidRPr="00553B76">
          <w:rPr>
            <w:rStyle w:val="afb"/>
          </w:rPr>
          <w:t>基金的信息披露</w:t>
        </w:r>
        <w:r w:rsidR="00E63DEE" w:rsidRPr="00553B76">
          <w:tab/>
        </w:r>
        <w:r w:rsidR="00E63DEE" w:rsidRPr="00553B76">
          <w:rPr>
            <w:rFonts w:hint="eastAsia"/>
          </w:rPr>
          <w:t>20-</w:t>
        </w:r>
        <w:r w:rsidR="00E63DEE" w:rsidRPr="00553B76">
          <w:fldChar w:fldCharType="begin"/>
        </w:r>
        <w:r w:rsidR="00E63DEE" w:rsidRPr="00553B76">
          <w:instrText xml:space="preserve"> PAGEREF _Toc64923784 \h </w:instrText>
        </w:r>
        <w:r w:rsidR="00E63DEE" w:rsidRPr="00553B76">
          <w:fldChar w:fldCharType="separate"/>
        </w:r>
        <w:r w:rsidR="00245093">
          <w:rPr>
            <w:noProof/>
          </w:rPr>
          <w:t>1</w:t>
        </w:r>
        <w:r w:rsidR="00E63DEE" w:rsidRPr="00553B76">
          <w:fldChar w:fldCharType="end"/>
        </w:r>
      </w:hyperlink>
    </w:p>
    <w:p w14:paraId="5EAB9AF1" w14:textId="61C615B5" w:rsidR="00E63DEE" w:rsidRPr="00553B76" w:rsidRDefault="00EF49C4" w:rsidP="00E63DEE">
      <w:pPr>
        <w:pStyle w:val="11"/>
        <w:tabs>
          <w:tab w:val="right" w:leader="dot" w:pos="8296"/>
        </w:tabs>
        <w:rPr>
          <w:rFonts w:asciiTheme="minorHAnsi" w:eastAsiaTheme="minorEastAsia" w:hAnsiTheme="minorHAnsi" w:cstheme="minorBidi"/>
        </w:rPr>
      </w:pPr>
      <w:hyperlink w:anchor="_Toc64923785" w:history="1">
        <w:r w:rsidR="00E63DEE" w:rsidRPr="00553B76">
          <w:rPr>
            <w:rStyle w:val="afb"/>
            <w:rFonts w:cs="Arial"/>
          </w:rPr>
          <w:t>第二十一</w:t>
        </w:r>
        <w:r w:rsidR="00E63DEE" w:rsidRPr="00553B76">
          <w:rPr>
            <w:rStyle w:val="afb"/>
          </w:rPr>
          <w:t>部分</w:t>
        </w:r>
        <w:r w:rsidR="00E63DEE" w:rsidRPr="00553B76">
          <w:rPr>
            <w:rStyle w:val="afb"/>
          </w:rPr>
          <w:t xml:space="preserve"> </w:t>
        </w:r>
        <w:r w:rsidR="00E63DEE" w:rsidRPr="00553B76">
          <w:rPr>
            <w:rStyle w:val="afb"/>
          </w:rPr>
          <w:t>基金合同的变更、终止与基金财产的清算</w:t>
        </w:r>
        <w:r w:rsidR="00E63DEE" w:rsidRPr="00553B76">
          <w:tab/>
        </w:r>
        <w:r w:rsidR="00E63DEE" w:rsidRPr="00553B76">
          <w:rPr>
            <w:rFonts w:hint="eastAsia"/>
          </w:rPr>
          <w:t>21-</w:t>
        </w:r>
        <w:r w:rsidR="00E63DEE" w:rsidRPr="00553B76">
          <w:fldChar w:fldCharType="begin"/>
        </w:r>
        <w:r w:rsidR="00E63DEE" w:rsidRPr="00553B76">
          <w:instrText xml:space="preserve"> PAGEREF _Toc64923785 \h </w:instrText>
        </w:r>
        <w:r w:rsidR="00E63DEE" w:rsidRPr="00553B76">
          <w:fldChar w:fldCharType="separate"/>
        </w:r>
        <w:r w:rsidR="00245093">
          <w:rPr>
            <w:noProof/>
          </w:rPr>
          <w:t>1</w:t>
        </w:r>
        <w:r w:rsidR="00E63DEE" w:rsidRPr="00553B76">
          <w:fldChar w:fldCharType="end"/>
        </w:r>
      </w:hyperlink>
    </w:p>
    <w:p w14:paraId="7863F7EC" w14:textId="165E571B" w:rsidR="00E63DEE" w:rsidRPr="00553B76" w:rsidRDefault="00EF49C4" w:rsidP="00E63DEE">
      <w:pPr>
        <w:pStyle w:val="11"/>
        <w:tabs>
          <w:tab w:val="right" w:leader="dot" w:pos="8296"/>
        </w:tabs>
        <w:rPr>
          <w:rFonts w:asciiTheme="minorHAnsi" w:eastAsiaTheme="minorEastAsia" w:hAnsiTheme="minorHAnsi" w:cstheme="minorBidi"/>
        </w:rPr>
      </w:pPr>
      <w:hyperlink w:anchor="_Toc64923786" w:history="1">
        <w:r w:rsidR="00E63DEE" w:rsidRPr="00553B76">
          <w:rPr>
            <w:rStyle w:val="afb"/>
            <w:rFonts w:cs="Arial"/>
          </w:rPr>
          <w:t>第二十二</w:t>
        </w:r>
        <w:r w:rsidR="00E63DEE" w:rsidRPr="00553B76">
          <w:rPr>
            <w:rStyle w:val="afb"/>
          </w:rPr>
          <w:t>部分</w:t>
        </w:r>
        <w:r w:rsidR="00E63DEE" w:rsidRPr="00553B76">
          <w:rPr>
            <w:rStyle w:val="afb"/>
          </w:rPr>
          <w:t xml:space="preserve"> </w:t>
        </w:r>
        <w:r w:rsidR="00E63DEE" w:rsidRPr="00553B76">
          <w:rPr>
            <w:rStyle w:val="afb"/>
          </w:rPr>
          <w:t>违约责任</w:t>
        </w:r>
        <w:r w:rsidR="00E63DEE" w:rsidRPr="00553B76">
          <w:tab/>
        </w:r>
        <w:r w:rsidR="00E63DEE" w:rsidRPr="00553B76">
          <w:rPr>
            <w:rFonts w:hint="eastAsia"/>
          </w:rPr>
          <w:t>22-</w:t>
        </w:r>
        <w:r w:rsidR="00E63DEE" w:rsidRPr="00553B76">
          <w:fldChar w:fldCharType="begin"/>
        </w:r>
        <w:r w:rsidR="00E63DEE" w:rsidRPr="00553B76">
          <w:instrText xml:space="preserve"> PAGEREF _Toc64923786 \h </w:instrText>
        </w:r>
        <w:r w:rsidR="00E63DEE" w:rsidRPr="00553B76">
          <w:fldChar w:fldCharType="separate"/>
        </w:r>
        <w:r w:rsidR="00245093">
          <w:rPr>
            <w:noProof/>
          </w:rPr>
          <w:t>1</w:t>
        </w:r>
        <w:r w:rsidR="00E63DEE" w:rsidRPr="00553B76">
          <w:fldChar w:fldCharType="end"/>
        </w:r>
      </w:hyperlink>
    </w:p>
    <w:p w14:paraId="2E2B19EA" w14:textId="0F01EF98" w:rsidR="00E63DEE" w:rsidRPr="00553B76" w:rsidRDefault="00EF49C4" w:rsidP="00E63DEE">
      <w:pPr>
        <w:pStyle w:val="11"/>
        <w:tabs>
          <w:tab w:val="right" w:leader="dot" w:pos="8296"/>
        </w:tabs>
        <w:rPr>
          <w:rFonts w:asciiTheme="minorHAnsi" w:eastAsiaTheme="minorEastAsia" w:hAnsiTheme="minorHAnsi" w:cstheme="minorBidi"/>
        </w:rPr>
      </w:pPr>
      <w:hyperlink w:anchor="_Toc64923787" w:history="1">
        <w:r w:rsidR="00E63DEE" w:rsidRPr="00553B76">
          <w:rPr>
            <w:rStyle w:val="afb"/>
            <w:rFonts w:cs="Arial"/>
          </w:rPr>
          <w:t>第二十三部分</w:t>
        </w:r>
        <w:r w:rsidR="00E63DEE" w:rsidRPr="00553B76">
          <w:rPr>
            <w:rStyle w:val="afb"/>
          </w:rPr>
          <w:t xml:space="preserve"> </w:t>
        </w:r>
        <w:r w:rsidR="00E63DEE" w:rsidRPr="00553B76">
          <w:rPr>
            <w:rStyle w:val="afb"/>
          </w:rPr>
          <w:t>争议的处理和适用的法律</w:t>
        </w:r>
        <w:r w:rsidR="00E63DEE" w:rsidRPr="00553B76">
          <w:tab/>
        </w:r>
        <w:r w:rsidR="00E63DEE" w:rsidRPr="00553B76">
          <w:rPr>
            <w:rFonts w:hint="eastAsia"/>
          </w:rPr>
          <w:t>23-</w:t>
        </w:r>
        <w:r w:rsidR="00E63DEE" w:rsidRPr="00553B76">
          <w:fldChar w:fldCharType="begin"/>
        </w:r>
        <w:r w:rsidR="00E63DEE" w:rsidRPr="00553B76">
          <w:instrText xml:space="preserve"> PAGEREF _Toc64923787 \h </w:instrText>
        </w:r>
        <w:r w:rsidR="00E63DEE" w:rsidRPr="00553B76">
          <w:fldChar w:fldCharType="separate"/>
        </w:r>
        <w:r w:rsidR="00245093">
          <w:rPr>
            <w:noProof/>
          </w:rPr>
          <w:t>1</w:t>
        </w:r>
        <w:r w:rsidR="00E63DEE" w:rsidRPr="00553B76">
          <w:fldChar w:fldCharType="end"/>
        </w:r>
      </w:hyperlink>
    </w:p>
    <w:p w14:paraId="468DDF2E" w14:textId="457FB069" w:rsidR="00E63DEE" w:rsidRPr="00553B76" w:rsidRDefault="00EF49C4" w:rsidP="00E63DEE">
      <w:pPr>
        <w:pStyle w:val="11"/>
        <w:tabs>
          <w:tab w:val="right" w:leader="dot" w:pos="8296"/>
        </w:tabs>
        <w:rPr>
          <w:rFonts w:asciiTheme="minorHAnsi" w:eastAsiaTheme="minorEastAsia" w:hAnsiTheme="minorHAnsi" w:cstheme="minorBidi"/>
        </w:rPr>
      </w:pPr>
      <w:hyperlink w:anchor="_Toc64923788" w:history="1">
        <w:r w:rsidR="00E63DEE" w:rsidRPr="00553B76">
          <w:rPr>
            <w:rStyle w:val="afb"/>
            <w:rFonts w:cs="Arial"/>
          </w:rPr>
          <w:t>第二十四</w:t>
        </w:r>
        <w:r w:rsidR="00E63DEE" w:rsidRPr="00553B76">
          <w:rPr>
            <w:rStyle w:val="afb"/>
          </w:rPr>
          <w:t>部分</w:t>
        </w:r>
        <w:r w:rsidR="00E63DEE" w:rsidRPr="00553B76">
          <w:rPr>
            <w:rStyle w:val="afb"/>
          </w:rPr>
          <w:t xml:space="preserve"> </w:t>
        </w:r>
        <w:r w:rsidR="00E63DEE" w:rsidRPr="00553B76">
          <w:rPr>
            <w:rStyle w:val="afb"/>
          </w:rPr>
          <w:t>基金合同的效力</w:t>
        </w:r>
        <w:r w:rsidR="00E63DEE" w:rsidRPr="00553B76">
          <w:tab/>
        </w:r>
        <w:r w:rsidR="00E63DEE" w:rsidRPr="00553B76">
          <w:rPr>
            <w:rFonts w:hint="eastAsia"/>
          </w:rPr>
          <w:t>24-</w:t>
        </w:r>
        <w:r w:rsidR="00E63DEE" w:rsidRPr="00553B76">
          <w:fldChar w:fldCharType="begin"/>
        </w:r>
        <w:r w:rsidR="00E63DEE" w:rsidRPr="00553B76">
          <w:instrText xml:space="preserve"> PAGEREF _Toc64923788 \h </w:instrText>
        </w:r>
        <w:r w:rsidR="00E63DEE" w:rsidRPr="00553B76">
          <w:fldChar w:fldCharType="separate"/>
        </w:r>
        <w:r w:rsidR="00245093">
          <w:rPr>
            <w:noProof/>
          </w:rPr>
          <w:t>1</w:t>
        </w:r>
        <w:r w:rsidR="00E63DEE" w:rsidRPr="00553B76">
          <w:fldChar w:fldCharType="end"/>
        </w:r>
      </w:hyperlink>
    </w:p>
    <w:p w14:paraId="4BB7B1E4" w14:textId="56E71D1C" w:rsidR="00E63DEE" w:rsidRPr="00553B76" w:rsidRDefault="00EF49C4" w:rsidP="00E63DEE">
      <w:pPr>
        <w:pStyle w:val="11"/>
        <w:tabs>
          <w:tab w:val="right" w:leader="dot" w:pos="8296"/>
        </w:tabs>
        <w:rPr>
          <w:rFonts w:asciiTheme="minorHAnsi" w:eastAsiaTheme="minorEastAsia" w:hAnsiTheme="minorHAnsi" w:cstheme="minorBidi"/>
        </w:rPr>
      </w:pPr>
      <w:hyperlink w:anchor="_Toc64923789" w:history="1">
        <w:r w:rsidR="00E63DEE" w:rsidRPr="00553B76">
          <w:rPr>
            <w:rStyle w:val="afb"/>
            <w:rFonts w:cs="Arial"/>
          </w:rPr>
          <w:t>第二十五部分</w:t>
        </w:r>
        <w:r w:rsidR="00E63DEE" w:rsidRPr="00553B76">
          <w:rPr>
            <w:rStyle w:val="afb"/>
            <w:rFonts w:cs="Arial"/>
          </w:rPr>
          <w:t xml:space="preserve"> </w:t>
        </w:r>
        <w:r w:rsidR="00E63DEE" w:rsidRPr="00553B76">
          <w:rPr>
            <w:rStyle w:val="afb"/>
          </w:rPr>
          <w:t>其他事项</w:t>
        </w:r>
        <w:r w:rsidR="00E63DEE" w:rsidRPr="00553B76">
          <w:tab/>
        </w:r>
        <w:r w:rsidR="00E63DEE" w:rsidRPr="00553B76">
          <w:rPr>
            <w:rFonts w:hint="eastAsia"/>
          </w:rPr>
          <w:t>25-</w:t>
        </w:r>
        <w:r w:rsidR="00E63DEE" w:rsidRPr="00553B76">
          <w:fldChar w:fldCharType="begin"/>
        </w:r>
        <w:r w:rsidR="00E63DEE" w:rsidRPr="00553B76">
          <w:instrText xml:space="preserve"> PAGEREF _Toc64923789 \h </w:instrText>
        </w:r>
        <w:r w:rsidR="00E63DEE" w:rsidRPr="00553B76">
          <w:fldChar w:fldCharType="separate"/>
        </w:r>
        <w:r w:rsidR="00245093">
          <w:rPr>
            <w:noProof/>
          </w:rPr>
          <w:t>1</w:t>
        </w:r>
        <w:r w:rsidR="00E63DEE" w:rsidRPr="00553B76">
          <w:fldChar w:fldCharType="end"/>
        </w:r>
      </w:hyperlink>
    </w:p>
    <w:p w14:paraId="61304AEC" w14:textId="76E845A1" w:rsidR="00E63DEE" w:rsidRPr="00553B76" w:rsidRDefault="00EF49C4" w:rsidP="00E63DEE">
      <w:pPr>
        <w:pStyle w:val="11"/>
        <w:tabs>
          <w:tab w:val="right" w:leader="dot" w:pos="8296"/>
        </w:tabs>
        <w:rPr>
          <w:rFonts w:asciiTheme="minorHAnsi" w:eastAsiaTheme="minorEastAsia" w:hAnsiTheme="minorHAnsi" w:cstheme="minorBidi"/>
        </w:rPr>
      </w:pPr>
      <w:hyperlink w:anchor="_Toc64923790" w:history="1">
        <w:r w:rsidR="00E63DEE" w:rsidRPr="00553B76">
          <w:rPr>
            <w:rStyle w:val="afb"/>
          </w:rPr>
          <w:t>第二十六部分</w:t>
        </w:r>
        <w:r w:rsidR="00E63DEE" w:rsidRPr="00553B76">
          <w:rPr>
            <w:rStyle w:val="afb"/>
          </w:rPr>
          <w:t xml:space="preserve"> </w:t>
        </w:r>
        <w:r w:rsidR="00E63DEE" w:rsidRPr="00553B76">
          <w:rPr>
            <w:rStyle w:val="afb"/>
          </w:rPr>
          <w:t>基金合同摘要</w:t>
        </w:r>
        <w:r w:rsidR="00E63DEE" w:rsidRPr="00553B76">
          <w:tab/>
        </w:r>
        <w:r w:rsidR="00E63DEE" w:rsidRPr="00553B76">
          <w:rPr>
            <w:rFonts w:hint="eastAsia"/>
          </w:rPr>
          <w:t>26-</w:t>
        </w:r>
        <w:r w:rsidR="00E63DEE" w:rsidRPr="00553B76">
          <w:fldChar w:fldCharType="begin"/>
        </w:r>
        <w:r w:rsidR="00E63DEE" w:rsidRPr="00553B76">
          <w:instrText xml:space="preserve"> PAGEREF _Toc64923790 \h </w:instrText>
        </w:r>
        <w:r w:rsidR="00E63DEE" w:rsidRPr="00553B76">
          <w:fldChar w:fldCharType="separate"/>
        </w:r>
        <w:r w:rsidR="00245093">
          <w:rPr>
            <w:noProof/>
          </w:rPr>
          <w:t>1</w:t>
        </w:r>
        <w:r w:rsidR="00E63DEE" w:rsidRPr="00553B76">
          <w:fldChar w:fldCharType="end"/>
        </w:r>
      </w:hyperlink>
    </w:p>
    <w:p w14:paraId="7069C2C5" w14:textId="77777777" w:rsidR="00E63DEE" w:rsidRDefault="00E63DEE" w:rsidP="00E63DEE">
      <w:pPr>
        <w:pStyle w:val="TOC"/>
        <w:sectPr w:rsidR="00E63DEE">
          <w:headerReference w:type="default" r:id="rId14"/>
          <w:footerReference w:type="default" r:id="rId15"/>
          <w:pgSz w:w="11906" w:h="16838"/>
          <w:pgMar w:top="1440" w:right="1800" w:bottom="1440" w:left="1800" w:header="851" w:footer="992" w:gutter="0"/>
          <w:pgNumType w:start="1"/>
          <w:cols w:space="425"/>
          <w:docGrid w:type="lines" w:linePitch="312"/>
        </w:sectPr>
      </w:pPr>
      <w:r w:rsidRPr="00553B76">
        <w:fldChar w:fldCharType="end"/>
      </w:r>
    </w:p>
    <w:p w14:paraId="4A2F77E2" w14:textId="77777777" w:rsidR="00217DCA" w:rsidRPr="00B56A57" w:rsidRDefault="006C7341" w:rsidP="00E54E36">
      <w:pPr>
        <w:pStyle w:val="1"/>
      </w:pPr>
      <w:bookmarkStart w:id="21" w:name="CTS_4f19456cd08f49bd8fd8446605e1288e"/>
      <w:bookmarkStart w:id="22" w:name="CTS_aab1dd75ce6642719ce7dff545bd31fc"/>
      <w:bookmarkStart w:id="23" w:name="_Toc4966"/>
      <w:bookmarkStart w:id="24" w:name="_Toc141703880"/>
      <w:bookmarkStart w:id="25" w:name="_Toc6306"/>
      <w:bookmarkStart w:id="26" w:name="_Toc4867"/>
      <w:bookmarkStart w:id="27" w:name="_Toc29629"/>
      <w:bookmarkStart w:id="28" w:name="_Toc8727"/>
      <w:bookmarkStart w:id="29" w:name="_Toc26897"/>
      <w:bookmarkStart w:id="30" w:name="_Toc15517"/>
      <w:bookmarkStart w:id="31" w:name="_Toc139991730"/>
      <w:bookmarkStart w:id="32" w:name="_Toc32639"/>
      <w:bookmarkStart w:id="33" w:name="_Toc30935"/>
      <w:bookmarkStart w:id="34" w:name="_Toc23386"/>
      <w:bookmarkStart w:id="35" w:name="_Toc11660"/>
      <w:bookmarkStart w:id="36" w:name="_Toc90742318"/>
      <w:bookmarkStart w:id="37" w:name="_Toc90742387"/>
      <w:bookmarkStart w:id="38" w:name="_Toc64923765"/>
      <w:bookmarkStart w:id="39" w:name="_Toc90742685"/>
      <w:bookmarkStart w:id="40" w:name="_Toc73975078"/>
      <w:bookmarkStart w:id="41" w:name="_Toc123112229"/>
      <w:bookmarkStart w:id="42" w:name="_Toc123701389"/>
      <w:bookmarkStart w:id="43" w:name="_Toc123112268"/>
      <w:bookmarkStart w:id="44" w:name="CLAUSE_aab1dd75ce6642719ce7dff545bd31fc"/>
      <w:bookmarkStart w:id="45" w:name="_Toc233456271"/>
      <w:bookmarkEnd w:id="19"/>
      <w:bookmarkEnd w:id="21"/>
      <w:bookmarkEnd w:id="22"/>
      <w:r w:rsidRPr="00B56A57">
        <w:rPr>
          <w:rFonts w:hint="eastAsia"/>
        </w:rPr>
        <w:lastRenderedPageBreak/>
        <w:t>第一部分</w:t>
      </w:r>
      <w:r w:rsidRPr="00B56A57">
        <w:t xml:space="preserve"> </w:t>
      </w:r>
      <w:r w:rsidRPr="00B56A57">
        <w:rPr>
          <w:rFonts w:hint="eastAsia"/>
        </w:rPr>
        <w:t>前言</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A16FB56" w14:textId="77777777" w:rsidR="00217DCA" w:rsidRPr="00B56A57" w:rsidRDefault="00217DCA">
      <w:pPr>
        <w:rPr>
          <w:rFonts w:asciiTheme="minorEastAsia" w:hAnsiTheme="minorEastAsia"/>
        </w:rPr>
      </w:pPr>
      <w:bookmarkStart w:id="46" w:name="_Toc139991731"/>
      <w:bookmarkStart w:id="47" w:name="_Toc258829399"/>
      <w:bookmarkEnd w:id="41"/>
      <w:bookmarkEnd w:id="42"/>
      <w:bookmarkEnd w:id="43"/>
    </w:p>
    <w:bookmarkEnd w:id="46"/>
    <w:p w14:paraId="7EB4CAB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一、订立本基金合同的目的、依据和原则</w:t>
      </w:r>
    </w:p>
    <w:p w14:paraId="78D28CD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1</w:t>
      </w:r>
      <w:r w:rsidRPr="00B56A57">
        <w:rPr>
          <w:rFonts w:asciiTheme="minorEastAsia" w:hAnsiTheme="minorEastAsia" w:hint="eastAsia"/>
          <w:color w:val="0D0D0D" w:themeColor="text1" w:themeTint="F2"/>
          <w:kern w:val="0"/>
        </w:rPr>
        <w:t>、订立本基金合同的目的是保护投资人合法权益，明确基金合同当事人的权利义务，规范基金运作。</w:t>
      </w:r>
    </w:p>
    <w:p w14:paraId="40725918" w14:textId="7F157730"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2</w:t>
      </w:r>
      <w:r w:rsidRPr="00B56A57">
        <w:rPr>
          <w:rFonts w:asciiTheme="minorEastAsia" w:hAnsiTheme="minorEastAsia" w:hint="eastAsia"/>
          <w:color w:val="0D0D0D" w:themeColor="text1" w:themeTint="F2"/>
          <w:kern w:val="0"/>
        </w:rPr>
        <w:t>、订立本基金合同的依据是《中华人民共和国民法典》</w:t>
      </w:r>
      <w:r w:rsidRPr="00B56A57">
        <w:rPr>
          <w:rFonts w:asciiTheme="minorEastAsia" w:hAnsiTheme="minorEastAsia"/>
          <w:color w:val="0D0D0D" w:themeColor="text1" w:themeTint="F2"/>
          <w:kern w:val="0"/>
        </w:rPr>
        <w:t>(</w:t>
      </w:r>
      <w:r w:rsidRPr="00B56A57">
        <w:rPr>
          <w:rFonts w:asciiTheme="minorEastAsia" w:hAnsiTheme="minorEastAsia" w:hint="eastAsia"/>
          <w:color w:val="0D0D0D" w:themeColor="text1" w:themeTint="F2"/>
          <w:kern w:val="0"/>
        </w:rPr>
        <w:t>以下简称</w:t>
      </w:r>
      <w:r w:rsidRPr="00B56A57">
        <w:rPr>
          <w:rFonts w:asciiTheme="minorEastAsia" w:hAnsiTheme="minorEastAsia"/>
          <w:color w:val="0D0D0D" w:themeColor="text1" w:themeTint="F2"/>
          <w:kern w:val="0"/>
        </w:rPr>
        <w:t>“</w:t>
      </w:r>
      <w:r w:rsidRPr="00B56A57">
        <w:rPr>
          <w:rFonts w:asciiTheme="minorEastAsia" w:hAnsiTheme="minorEastAsia" w:hint="eastAsia"/>
          <w:color w:val="0D0D0D" w:themeColor="text1" w:themeTint="F2"/>
          <w:kern w:val="0"/>
        </w:rPr>
        <w:t>《民法典》</w:t>
      </w:r>
      <w:r w:rsidRPr="00B56A57">
        <w:rPr>
          <w:rFonts w:asciiTheme="minorEastAsia" w:hAnsiTheme="minorEastAsia"/>
          <w:color w:val="0D0D0D" w:themeColor="text1" w:themeTint="F2"/>
          <w:kern w:val="0"/>
        </w:rPr>
        <w:t>”)</w:t>
      </w:r>
      <w:r w:rsidRPr="00B56A57">
        <w:rPr>
          <w:rFonts w:asciiTheme="minorEastAsia" w:hAnsiTheme="minorEastAsia" w:hint="eastAsia"/>
          <w:color w:val="0D0D0D" w:themeColor="text1" w:themeTint="F2"/>
          <w:kern w:val="0"/>
        </w:rPr>
        <w:t>、《中华人民共和国证券法》</w:t>
      </w:r>
      <w:r w:rsidRPr="00B56A57">
        <w:rPr>
          <w:rFonts w:asciiTheme="minorEastAsia" w:hAnsiTheme="minorEastAsia"/>
          <w:color w:val="0D0D0D" w:themeColor="text1" w:themeTint="F2"/>
          <w:kern w:val="0"/>
        </w:rPr>
        <w:t>(以下简称“《证券法》”)、《中华人民共和国证券投资基金法》(</w:t>
      </w:r>
      <w:r w:rsidRPr="00B56A57">
        <w:rPr>
          <w:rFonts w:asciiTheme="minorEastAsia" w:hAnsiTheme="minorEastAsia" w:hint="eastAsia"/>
          <w:color w:val="0D0D0D" w:themeColor="text1" w:themeTint="F2"/>
          <w:kern w:val="0"/>
        </w:rPr>
        <w:t>以下简称</w:t>
      </w:r>
      <w:r w:rsidRPr="00B56A57">
        <w:rPr>
          <w:rFonts w:asciiTheme="minorEastAsia" w:hAnsiTheme="minorEastAsia"/>
          <w:color w:val="0D0D0D" w:themeColor="text1" w:themeTint="F2"/>
          <w:kern w:val="0"/>
        </w:rPr>
        <w:t>“</w:t>
      </w:r>
      <w:r w:rsidRPr="00B56A57">
        <w:rPr>
          <w:rFonts w:asciiTheme="minorEastAsia" w:hAnsiTheme="minorEastAsia" w:hint="eastAsia"/>
          <w:color w:val="0D0D0D" w:themeColor="text1" w:themeTint="F2"/>
          <w:kern w:val="0"/>
        </w:rPr>
        <w:t>《基金法》</w:t>
      </w:r>
      <w:r w:rsidRPr="00B56A57">
        <w:rPr>
          <w:rFonts w:asciiTheme="minorEastAsia" w:hAnsiTheme="minorEastAsia"/>
          <w:color w:val="0D0D0D" w:themeColor="text1" w:themeTint="F2"/>
          <w:kern w:val="0"/>
        </w:rPr>
        <w:t>”)</w:t>
      </w:r>
      <w:r w:rsidRPr="00B56A57">
        <w:rPr>
          <w:rFonts w:asciiTheme="minorEastAsia" w:hAnsiTheme="minorEastAsia" w:hint="eastAsia"/>
          <w:color w:val="0D0D0D" w:themeColor="text1" w:themeTint="F2"/>
          <w:kern w:val="0"/>
        </w:rPr>
        <w:t>、《公开募集证券投资基金运作管理办法》</w:t>
      </w:r>
      <w:r w:rsidRPr="00B56A57">
        <w:rPr>
          <w:rFonts w:asciiTheme="minorEastAsia" w:hAnsiTheme="minorEastAsia"/>
          <w:color w:val="0D0D0D" w:themeColor="text1" w:themeTint="F2"/>
          <w:kern w:val="0"/>
        </w:rPr>
        <w:t>(以下简称“</w:t>
      </w:r>
      <w:r w:rsidRPr="00B56A57">
        <w:rPr>
          <w:rFonts w:asciiTheme="minorEastAsia" w:hAnsiTheme="minorEastAsia" w:hint="eastAsia"/>
          <w:color w:val="0D0D0D" w:themeColor="text1" w:themeTint="F2"/>
          <w:kern w:val="0"/>
        </w:rPr>
        <w:t>《运作办法》</w:t>
      </w:r>
      <w:r w:rsidRPr="00B56A57">
        <w:rPr>
          <w:rFonts w:asciiTheme="minorEastAsia" w:hAnsiTheme="minorEastAsia"/>
          <w:color w:val="0D0D0D" w:themeColor="text1" w:themeTint="F2"/>
          <w:kern w:val="0"/>
        </w:rPr>
        <w:t>”)</w:t>
      </w:r>
      <w:r w:rsidRPr="00B56A57">
        <w:rPr>
          <w:rFonts w:asciiTheme="minorEastAsia" w:hAnsiTheme="minorEastAsia" w:hint="eastAsia"/>
          <w:color w:val="0D0D0D" w:themeColor="text1" w:themeTint="F2"/>
          <w:kern w:val="0"/>
        </w:rPr>
        <w:t>、《公开募集证券投资基金销售机构监督管理办法》</w:t>
      </w:r>
      <w:r w:rsidRPr="00B56A57">
        <w:rPr>
          <w:rFonts w:asciiTheme="minorEastAsia" w:hAnsiTheme="minorEastAsia"/>
          <w:color w:val="0D0D0D" w:themeColor="text1" w:themeTint="F2"/>
          <w:kern w:val="0"/>
        </w:rPr>
        <w:t>(</w:t>
      </w:r>
      <w:r w:rsidRPr="00B56A57">
        <w:rPr>
          <w:rFonts w:asciiTheme="minorEastAsia" w:hAnsiTheme="minorEastAsia" w:hint="eastAsia"/>
          <w:color w:val="0D0D0D" w:themeColor="text1" w:themeTint="F2"/>
          <w:kern w:val="0"/>
        </w:rPr>
        <w:t>以下简称</w:t>
      </w:r>
      <w:r w:rsidRPr="00B56A57">
        <w:rPr>
          <w:rFonts w:asciiTheme="minorEastAsia" w:hAnsiTheme="minorEastAsia"/>
          <w:color w:val="0D0D0D" w:themeColor="text1" w:themeTint="F2"/>
          <w:kern w:val="0"/>
        </w:rPr>
        <w:t>“</w:t>
      </w:r>
      <w:r w:rsidRPr="00B56A57">
        <w:rPr>
          <w:rFonts w:asciiTheme="minorEastAsia" w:hAnsiTheme="minorEastAsia" w:hint="eastAsia"/>
          <w:color w:val="0D0D0D" w:themeColor="text1" w:themeTint="F2"/>
          <w:kern w:val="0"/>
        </w:rPr>
        <w:t>《销售办法》</w:t>
      </w:r>
      <w:r w:rsidRPr="00B56A57">
        <w:rPr>
          <w:rFonts w:asciiTheme="minorEastAsia" w:hAnsiTheme="minorEastAsia"/>
          <w:color w:val="0D0D0D" w:themeColor="text1" w:themeTint="F2"/>
          <w:kern w:val="0"/>
        </w:rPr>
        <w:t>”)</w:t>
      </w:r>
      <w:r w:rsidRPr="00B56A57">
        <w:rPr>
          <w:rFonts w:asciiTheme="minorEastAsia" w:hAnsiTheme="minorEastAsia" w:hint="eastAsia"/>
          <w:color w:val="0D0D0D" w:themeColor="text1" w:themeTint="F2"/>
          <w:kern w:val="0"/>
        </w:rPr>
        <w:t>、《公开募集证券投资基金信息披露管理办法》</w:t>
      </w:r>
      <w:r w:rsidRPr="00B56A57">
        <w:rPr>
          <w:rFonts w:asciiTheme="minorEastAsia" w:hAnsiTheme="minorEastAsia"/>
          <w:color w:val="0D0D0D" w:themeColor="text1" w:themeTint="F2"/>
          <w:kern w:val="0"/>
        </w:rPr>
        <w:t>(</w:t>
      </w:r>
      <w:r w:rsidRPr="00B56A57">
        <w:rPr>
          <w:rFonts w:asciiTheme="minorEastAsia" w:hAnsiTheme="minorEastAsia" w:hint="eastAsia"/>
          <w:color w:val="0D0D0D" w:themeColor="text1" w:themeTint="F2"/>
          <w:kern w:val="0"/>
        </w:rPr>
        <w:t>以下简称</w:t>
      </w:r>
      <w:r w:rsidRPr="00B56A57">
        <w:rPr>
          <w:rFonts w:asciiTheme="minorEastAsia" w:hAnsiTheme="minorEastAsia"/>
          <w:color w:val="0D0D0D" w:themeColor="text1" w:themeTint="F2"/>
          <w:kern w:val="0"/>
        </w:rPr>
        <w:t>“</w:t>
      </w:r>
      <w:r w:rsidRPr="00B56A57">
        <w:rPr>
          <w:rFonts w:asciiTheme="minorEastAsia" w:hAnsiTheme="minorEastAsia" w:hint="eastAsia"/>
          <w:color w:val="0D0D0D" w:themeColor="text1" w:themeTint="F2"/>
          <w:kern w:val="0"/>
        </w:rPr>
        <w:t>《信息披露办法》</w:t>
      </w:r>
      <w:r w:rsidRPr="00B56A57">
        <w:rPr>
          <w:rFonts w:asciiTheme="minorEastAsia" w:hAnsiTheme="minorEastAsia"/>
          <w:color w:val="0D0D0D" w:themeColor="text1" w:themeTint="F2"/>
          <w:kern w:val="0"/>
        </w:rPr>
        <w:t>”)</w:t>
      </w:r>
      <w:r w:rsidRPr="00B56A57">
        <w:rPr>
          <w:rFonts w:asciiTheme="minorEastAsia" w:hAnsiTheme="minorEastAsia" w:hint="eastAsia"/>
          <w:color w:val="0D0D0D" w:themeColor="text1" w:themeTint="F2"/>
          <w:kern w:val="0"/>
        </w:rPr>
        <w:t>、《公开募集开放式证券投资基金流动性风险管理规定》（以下简称“《流动性风险管理规定》”）</w:t>
      </w:r>
      <w:r w:rsidR="00FE241C" w:rsidRPr="00B56A57">
        <w:rPr>
          <w:rFonts w:asciiTheme="minorEastAsia" w:hAnsiTheme="minorEastAsia" w:hint="eastAsia"/>
          <w:color w:val="0D0D0D" w:themeColor="text1" w:themeTint="F2"/>
          <w:kern w:val="0"/>
        </w:rPr>
        <w:t>、《公开募集证券投资基金运作指引第</w:t>
      </w:r>
      <w:r w:rsidR="00FE241C" w:rsidRPr="00B56A57">
        <w:rPr>
          <w:rFonts w:asciiTheme="minorEastAsia" w:hAnsiTheme="minorEastAsia"/>
          <w:color w:val="0D0D0D" w:themeColor="text1" w:themeTint="F2"/>
          <w:kern w:val="0"/>
        </w:rPr>
        <w:t>3号——指数基金指引》（以下简称“《指数基金指引》”）</w:t>
      </w:r>
      <w:r w:rsidRPr="00B56A57">
        <w:rPr>
          <w:rFonts w:asciiTheme="minorEastAsia" w:hAnsiTheme="minorEastAsia" w:hint="eastAsia"/>
          <w:color w:val="0D0D0D" w:themeColor="text1" w:themeTint="F2"/>
          <w:kern w:val="0"/>
        </w:rPr>
        <w:t>和其他有关法律法规。</w:t>
      </w:r>
    </w:p>
    <w:p w14:paraId="7DD0B5B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3</w:t>
      </w:r>
      <w:r w:rsidRPr="00B56A57">
        <w:rPr>
          <w:rFonts w:asciiTheme="minorEastAsia" w:hAnsiTheme="minorEastAsia" w:hint="eastAsia"/>
          <w:color w:val="0D0D0D" w:themeColor="text1" w:themeTint="F2"/>
          <w:kern w:val="0"/>
        </w:rPr>
        <w:t>、订立本基金合同的原则是平等自愿、诚实信用、充分保护投资人合法权益。</w:t>
      </w:r>
    </w:p>
    <w:p w14:paraId="4AD8696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B505D2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513492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三、</w:t>
      </w:r>
      <w:r w:rsidRPr="00B56A57">
        <w:rPr>
          <w:rFonts w:asciiTheme="minorEastAsia" w:eastAsiaTheme="minorEastAsia" w:hAnsiTheme="minorEastAsia" w:cs="Arial" w:hint="eastAsia"/>
          <w:color w:val="0D0D0D" w:themeColor="text1" w:themeTint="F2"/>
          <w:kern w:val="0"/>
          <w:szCs w:val="21"/>
        </w:rPr>
        <w:t>博时中证港股通消费主题交易型开放式指数证券投资基金</w:t>
      </w:r>
      <w:r w:rsidRPr="00B56A57">
        <w:rPr>
          <w:rFonts w:asciiTheme="minorEastAsia" w:hAnsiTheme="minorEastAsia" w:hint="eastAsia"/>
          <w:color w:val="0D0D0D" w:themeColor="text1" w:themeTint="F2"/>
          <w:kern w:val="0"/>
        </w:rPr>
        <w:t>由基金管理人依照《基金法》、基金合同及其他有关规定募集，并经中国证券监督管理委员会</w:t>
      </w:r>
      <w:r w:rsidRPr="00B56A57">
        <w:rPr>
          <w:rFonts w:asciiTheme="minorEastAsia" w:hAnsiTheme="minorEastAsia"/>
          <w:color w:val="0D0D0D" w:themeColor="text1" w:themeTint="F2"/>
          <w:kern w:val="0"/>
        </w:rPr>
        <w:t>(</w:t>
      </w:r>
      <w:r w:rsidRPr="00B56A57">
        <w:rPr>
          <w:rFonts w:asciiTheme="minorEastAsia" w:hAnsiTheme="minorEastAsia" w:hint="eastAsia"/>
          <w:color w:val="0D0D0D" w:themeColor="text1" w:themeTint="F2"/>
          <w:kern w:val="0"/>
        </w:rPr>
        <w:t>以下简称</w:t>
      </w:r>
      <w:r w:rsidRPr="00B56A57">
        <w:rPr>
          <w:rFonts w:asciiTheme="minorEastAsia" w:hAnsiTheme="minorEastAsia"/>
          <w:color w:val="0D0D0D" w:themeColor="text1" w:themeTint="F2"/>
          <w:kern w:val="0"/>
        </w:rPr>
        <w:t>“</w:t>
      </w:r>
      <w:r w:rsidRPr="00B56A57">
        <w:rPr>
          <w:rFonts w:asciiTheme="minorEastAsia" w:hAnsiTheme="minorEastAsia" w:hint="eastAsia"/>
          <w:color w:val="0D0D0D" w:themeColor="text1" w:themeTint="F2"/>
          <w:kern w:val="0"/>
        </w:rPr>
        <w:t>中国证监会</w:t>
      </w:r>
      <w:r w:rsidRPr="00B56A57">
        <w:rPr>
          <w:rFonts w:asciiTheme="minorEastAsia" w:hAnsiTheme="minorEastAsia"/>
          <w:color w:val="0D0D0D" w:themeColor="text1" w:themeTint="F2"/>
          <w:kern w:val="0"/>
        </w:rPr>
        <w:t>”)</w:t>
      </w:r>
      <w:r w:rsidRPr="00B56A57">
        <w:rPr>
          <w:rFonts w:asciiTheme="minorEastAsia" w:hAnsiTheme="minorEastAsia" w:hint="eastAsia"/>
          <w:color w:val="0D0D0D" w:themeColor="text1" w:themeTint="F2"/>
          <w:kern w:val="0"/>
        </w:rPr>
        <w:t>注册。</w:t>
      </w:r>
    </w:p>
    <w:p w14:paraId="4FE989C6"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中国证监会对本基金募集的注册，并不表明其对本基金的投资价值</w:t>
      </w:r>
      <w:r w:rsidRPr="00B56A57">
        <w:rPr>
          <w:rFonts w:asciiTheme="minorEastAsia" w:eastAsiaTheme="minorEastAsia" w:hAnsiTheme="minorEastAsia" w:hint="eastAsia"/>
          <w:szCs w:val="21"/>
        </w:rPr>
        <w:t>、</w:t>
      </w:r>
      <w:r w:rsidRPr="00B56A57">
        <w:rPr>
          <w:rFonts w:asciiTheme="minorEastAsia" w:hAnsiTheme="minorEastAsia" w:hint="eastAsia"/>
        </w:rPr>
        <w:t>市场前景</w:t>
      </w:r>
      <w:r w:rsidRPr="00B56A57">
        <w:rPr>
          <w:rFonts w:asciiTheme="minorEastAsia" w:eastAsiaTheme="minorEastAsia" w:hAnsiTheme="minorEastAsia" w:hint="eastAsia"/>
        </w:rPr>
        <w:t>和收益</w:t>
      </w:r>
      <w:r w:rsidRPr="00B56A57">
        <w:rPr>
          <w:rFonts w:asciiTheme="minorEastAsia" w:hAnsiTheme="minorEastAsia" w:hint="eastAsia"/>
        </w:rPr>
        <w:t>做出实质性判断或保证，也不表明投资于本基金没有风险。</w:t>
      </w:r>
    </w:p>
    <w:p w14:paraId="4D57446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基金管理人依照恪尽职守、诚实信用、谨慎勤勉的原则管理和运用基金财产，但不保证投资于本基金一定盈利，也不保证最低收益。</w:t>
      </w:r>
    </w:p>
    <w:p w14:paraId="27E7E43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投资者应当认真阅读基金招募说明书、基金合同、</w:t>
      </w:r>
      <w:r w:rsidRPr="00B56A57">
        <w:rPr>
          <w:rFonts w:asciiTheme="minorEastAsia" w:hAnsiTheme="minorEastAsia"/>
          <w:color w:val="0D0D0D" w:themeColor="text1" w:themeTint="F2"/>
          <w:kern w:val="0"/>
        </w:rPr>
        <w:t>基金产品资料概要</w:t>
      </w:r>
      <w:r w:rsidRPr="00B56A57">
        <w:rPr>
          <w:rFonts w:asciiTheme="minorEastAsia" w:hAnsiTheme="minorEastAsia" w:hint="eastAsia"/>
          <w:color w:val="0D0D0D" w:themeColor="text1" w:themeTint="F2"/>
          <w:kern w:val="0"/>
        </w:rPr>
        <w:t>等信息披露文件，自主判断基金的投资价值，自主做出投资决策，自行承担投资风险。</w:t>
      </w:r>
    </w:p>
    <w:p w14:paraId="062B89D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s="Arial" w:hint="eastAsia"/>
          <w:color w:val="0D0D0D" w:themeColor="text1" w:themeTint="F2"/>
          <w:kern w:val="0"/>
          <w:szCs w:val="21"/>
        </w:rPr>
        <w:t>四、</w:t>
      </w:r>
      <w:r w:rsidRPr="00B56A57">
        <w:rPr>
          <w:rFonts w:asciiTheme="minorEastAsia" w:hAnsiTheme="minorEastAsia" w:hint="eastAsia"/>
          <w:color w:val="0D0D0D" w:themeColor="text1" w:themeTint="F2"/>
          <w:kern w:val="0"/>
        </w:rPr>
        <w:t>基金管理人、基金托管人在本基金合同之外披露涉及本基金的信息，其内容涉及界定基金合同当事人之间权利义务关系的，如与基金合同有冲突，以基金合同为准。</w:t>
      </w:r>
    </w:p>
    <w:p w14:paraId="4F53F836" w14:textId="77777777" w:rsidR="00217DCA" w:rsidRPr="00B56A57" w:rsidRDefault="006C7341">
      <w:pPr>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五、本基金按照中国法律法规成立并运作，若基金合同的内容与届时有效的法律法规的强制性规定不一致，应当以届时有效的法律法规的规定为准。</w:t>
      </w:r>
    </w:p>
    <w:p w14:paraId="63661A2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bookmarkStart w:id="48" w:name="_Toc22864"/>
      <w:bookmarkStart w:id="49" w:name="_Toc2465"/>
      <w:bookmarkStart w:id="50" w:name="_Toc819"/>
      <w:bookmarkStart w:id="51" w:name="_Toc31551"/>
      <w:bookmarkStart w:id="52" w:name="_Toc24860"/>
      <w:bookmarkStart w:id="53" w:name="_Toc3224"/>
      <w:bookmarkStart w:id="54" w:name="_Toc6617"/>
      <w:bookmarkStart w:id="55" w:name="_Toc15067"/>
      <w:bookmarkStart w:id="56" w:name="_Toc19592"/>
      <w:bookmarkStart w:id="57" w:name="_Toc13020"/>
      <w:bookmarkStart w:id="58" w:name="_Toc21301"/>
      <w:r w:rsidRPr="00B56A57">
        <w:rPr>
          <w:rFonts w:asciiTheme="minorEastAsia" w:eastAsiaTheme="minorEastAsia" w:hAnsiTheme="minorEastAsia" w:cs="Arial" w:hint="eastAsia"/>
          <w:color w:val="0D0D0D" w:themeColor="text1" w:themeTint="F2"/>
          <w:szCs w:val="21"/>
        </w:rPr>
        <w:lastRenderedPageBreak/>
        <w:t>六、本基金资产投资于港股通标的股票，会面临港股通机制下因投资环境、投资标的、市场制度以及交易规则等差异带来的特有风险，包括港股市场股价波动较大的风险（港股市场实行</w:t>
      </w:r>
      <w:r w:rsidRPr="00B56A57">
        <w:rPr>
          <w:rFonts w:asciiTheme="minorEastAsia" w:eastAsiaTheme="minorEastAsia" w:hAnsiTheme="minorEastAsia" w:cs="Arial"/>
          <w:color w:val="0D0D0D" w:themeColor="text1" w:themeTint="F2"/>
          <w:szCs w:val="21"/>
        </w:rPr>
        <w:t>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5F06A256"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r w:rsidRPr="00B56A57">
        <w:rPr>
          <w:rFonts w:asciiTheme="minorEastAsia" w:eastAsiaTheme="minorEastAsia" w:hAnsiTheme="minorEastAsia" w:cs="Arial" w:hint="eastAsia"/>
          <w:color w:val="0D0D0D" w:themeColor="text1" w:themeTint="F2"/>
          <w:szCs w:val="21"/>
        </w:rPr>
        <w:t>七、本基金基金资产若投资于股票期权，可能会面临价格波动风险、市场流动性风险、强制平仓风险、合约到期风险、行权失败风险、交易违约风险等。此外，行权失败和交收违约也是股票期权交易可能出现的风险，失去交易机会可能会对本基金的投资收益造成损失。</w:t>
      </w:r>
    </w:p>
    <w:p w14:paraId="1C8E985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s="Arial"/>
          <w:bCs/>
          <w:color w:val="0D0D0D" w:themeColor="text1" w:themeTint="F2"/>
          <w:szCs w:val="21"/>
        </w:rPr>
      </w:pPr>
      <w:bookmarkStart w:id="59" w:name="_Hlk55843966"/>
      <w:r w:rsidRPr="00B56A57">
        <w:rPr>
          <w:rFonts w:asciiTheme="minorEastAsia" w:eastAsiaTheme="minorEastAsia" w:hAnsiTheme="minorEastAsia" w:cs="Arial" w:hint="eastAsia"/>
          <w:bCs/>
          <w:color w:val="0D0D0D" w:themeColor="text1" w:themeTint="F2"/>
          <w:szCs w:val="21"/>
        </w:rPr>
        <w:t>八、本基金的投资范围包括存托凭证，本基金将面临存托凭证价格大幅波动甚至出现较大亏损的风险，以及与存托凭证发行机制相关的风险。</w:t>
      </w:r>
    </w:p>
    <w:bookmarkEnd w:id="59"/>
    <w:p w14:paraId="2577B01B"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r w:rsidRPr="00B56A57">
        <w:rPr>
          <w:rFonts w:asciiTheme="minorEastAsia" w:eastAsiaTheme="minorEastAsia" w:hAnsiTheme="minorEastAsia" w:cs="Arial" w:hint="eastAsia"/>
          <w:color w:val="0D0D0D" w:themeColor="text1" w:themeTint="F2"/>
          <w:szCs w:val="21"/>
        </w:rPr>
        <w:t>九、</w:t>
      </w:r>
      <w:r w:rsidRPr="00B56A57">
        <w:rPr>
          <w:rFonts w:asciiTheme="minorEastAsia" w:hAnsiTheme="minorEastAsia" w:hint="eastAsia"/>
          <w:color w:val="0D0D0D" w:themeColor="text1" w:themeTint="F2"/>
          <w:kern w:val="0"/>
        </w:rPr>
        <w:t>本基金为指数基金，投资者投资于本基金面临跟踪误差控制未达约定目标、指数编制机构停止服务、成份股停牌等潜在风险，具体风险详见本基金招募说明书。</w:t>
      </w:r>
    </w:p>
    <w:p w14:paraId="7BABB580" w14:textId="77777777" w:rsidR="00217DCA" w:rsidRPr="00B56A57" w:rsidRDefault="00217DCA">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p>
    <w:bookmarkEnd w:id="44"/>
    <w:p w14:paraId="055EEA76" w14:textId="77777777" w:rsidR="00217DCA" w:rsidRPr="00B56A57" w:rsidRDefault="00217DCA">
      <w:pPr>
        <w:adjustRightInd w:val="0"/>
        <w:snapToGrid w:val="0"/>
        <w:spacing w:line="360" w:lineRule="auto"/>
        <w:jc w:val="center"/>
        <w:rPr>
          <w:rFonts w:asciiTheme="minorEastAsia" w:eastAsiaTheme="minorEastAsia" w:hAnsiTheme="minorEastAsia" w:cs="Arial"/>
          <w:color w:val="0D0D0D" w:themeColor="text1" w:themeTint="F2"/>
          <w:szCs w:val="21"/>
        </w:rPr>
        <w:sectPr w:rsidR="00217DCA" w:rsidRPr="00B56A57">
          <w:footerReference w:type="default" r:id="rId16"/>
          <w:pgSz w:w="11906" w:h="16838"/>
          <w:pgMar w:top="1440" w:right="1800" w:bottom="1440" w:left="1800" w:header="851" w:footer="992" w:gutter="0"/>
          <w:pgNumType w:start="1"/>
          <w:cols w:space="425"/>
          <w:docGrid w:type="lines" w:linePitch="312"/>
        </w:sectPr>
      </w:pPr>
    </w:p>
    <w:p w14:paraId="25556731" w14:textId="77777777" w:rsidR="00217DCA" w:rsidRPr="00B56A57" w:rsidRDefault="006C7341">
      <w:pPr>
        <w:adjustRightInd w:val="0"/>
        <w:snapToGrid w:val="0"/>
        <w:spacing w:line="360" w:lineRule="auto"/>
        <w:jc w:val="center"/>
        <w:rPr>
          <w:rFonts w:asciiTheme="minorEastAsia" w:eastAsiaTheme="minorEastAsia" w:hAnsiTheme="minorEastAsia" w:cs="Arial"/>
          <w:color w:val="0D0D0D" w:themeColor="text1" w:themeTint="F2"/>
          <w:szCs w:val="21"/>
        </w:rPr>
      </w:pPr>
      <w:bookmarkStart w:id="60" w:name="CLAUSE_eee538634e0f48d7bfcd1e419f7e5629"/>
      <w:r w:rsidRPr="00B56A57">
        <w:rPr>
          <w:rFonts w:asciiTheme="minorEastAsia" w:eastAsiaTheme="minorEastAsia" w:hAnsiTheme="minorEastAsia"/>
        </w:rPr>
        <w:lastRenderedPageBreak/>
        <w:t xml:space="preserve"> </w:t>
      </w:r>
      <w:bookmarkStart w:id="61" w:name="CTS_eee538634e0f48d7bfcd1e419f7e5629"/>
      <w:bookmarkEnd w:id="61"/>
    </w:p>
    <w:p w14:paraId="586490BA" w14:textId="77777777" w:rsidR="00217DCA" w:rsidRPr="00B56A57" w:rsidRDefault="006C7341">
      <w:pPr>
        <w:pStyle w:val="1"/>
      </w:pPr>
      <w:bookmarkStart w:id="62" w:name="_Toc90742686"/>
      <w:bookmarkStart w:id="63" w:name="_Toc90742388"/>
      <w:bookmarkStart w:id="64" w:name="_Toc90742319"/>
      <w:r w:rsidRPr="00B56A57">
        <w:t xml:space="preserve"> </w:t>
      </w:r>
      <w:bookmarkStart w:id="65" w:name="_Toc64923766"/>
      <w:bookmarkStart w:id="66" w:name="_Toc73975079"/>
      <w:r w:rsidRPr="00B56A57">
        <w:rPr>
          <w:rFonts w:hint="eastAsia"/>
        </w:rPr>
        <w:t>第二部分</w:t>
      </w:r>
      <w:r w:rsidRPr="00B56A57">
        <w:t xml:space="preserve"> </w:t>
      </w:r>
      <w:r w:rsidRPr="00B56A57">
        <w:rPr>
          <w:rFonts w:hint="eastAsia"/>
        </w:rPr>
        <w:t>释义</w:t>
      </w:r>
      <w:bookmarkEnd w:id="45"/>
      <w:bookmarkEnd w:id="47"/>
      <w:bookmarkEnd w:id="48"/>
      <w:bookmarkEnd w:id="49"/>
      <w:bookmarkEnd w:id="50"/>
      <w:bookmarkEnd w:id="51"/>
      <w:bookmarkEnd w:id="52"/>
      <w:bookmarkEnd w:id="53"/>
      <w:bookmarkEnd w:id="54"/>
      <w:bookmarkEnd w:id="55"/>
      <w:bookmarkEnd w:id="56"/>
      <w:bookmarkEnd w:id="57"/>
      <w:bookmarkEnd w:id="58"/>
      <w:bookmarkEnd w:id="62"/>
      <w:bookmarkEnd w:id="63"/>
      <w:bookmarkEnd w:id="64"/>
      <w:bookmarkEnd w:id="65"/>
      <w:bookmarkEnd w:id="66"/>
    </w:p>
    <w:p w14:paraId="251105D1" w14:textId="77777777" w:rsidR="00217DCA" w:rsidRPr="00B56A57" w:rsidRDefault="00217DCA">
      <w:pPr>
        <w:autoSpaceDE w:val="0"/>
        <w:autoSpaceDN w:val="0"/>
        <w:adjustRightInd w:val="0"/>
        <w:spacing w:line="360" w:lineRule="auto"/>
        <w:ind w:firstLineChars="200" w:firstLine="420"/>
        <w:rPr>
          <w:rFonts w:asciiTheme="minorEastAsia" w:hAnsiTheme="minorEastAsia"/>
        </w:rPr>
      </w:pPr>
    </w:p>
    <w:p w14:paraId="1918D90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spacing w:val="8"/>
        </w:rPr>
      </w:pPr>
      <w:r w:rsidRPr="00B56A57">
        <w:rPr>
          <w:rFonts w:asciiTheme="minorEastAsia" w:hAnsiTheme="minorEastAsia" w:hint="eastAsia"/>
          <w:color w:val="0D0D0D" w:themeColor="text1" w:themeTint="F2"/>
        </w:rPr>
        <w:t>在本基金合同中，除非文意另有所指，下列词语或简称具有如下含义：</w:t>
      </w:r>
    </w:p>
    <w:p w14:paraId="694A9A90"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基金或本基金：指</w:t>
      </w:r>
      <w:r w:rsidRPr="00B56A57">
        <w:rPr>
          <w:rFonts w:asciiTheme="minorEastAsia" w:eastAsiaTheme="minorEastAsia" w:hAnsiTheme="minorEastAsia" w:cs="Arial" w:hint="eastAsia"/>
          <w:bCs/>
          <w:color w:val="0D0D0D" w:themeColor="text1" w:themeTint="F2"/>
          <w:szCs w:val="21"/>
        </w:rPr>
        <w:t>博时中证港股通消费主题交易型开放式指数证券投资基金</w:t>
      </w:r>
    </w:p>
    <w:p w14:paraId="6E1868EA"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基金管理人：指</w:t>
      </w:r>
      <w:r w:rsidRPr="00B56A57">
        <w:rPr>
          <w:rFonts w:asciiTheme="minorEastAsia" w:eastAsiaTheme="minorEastAsia" w:hAnsiTheme="minorEastAsia" w:cs="Arial" w:hint="eastAsia"/>
          <w:bCs/>
          <w:color w:val="0D0D0D" w:themeColor="text1" w:themeTint="F2"/>
          <w:szCs w:val="21"/>
        </w:rPr>
        <w:t>博时基金管理有限公司</w:t>
      </w:r>
    </w:p>
    <w:p w14:paraId="397DDAB6"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基金托管人：指</w:t>
      </w:r>
      <w:r w:rsidRPr="00B56A57">
        <w:rPr>
          <w:rFonts w:asciiTheme="minorEastAsia" w:eastAsiaTheme="minorEastAsia" w:hAnsiTheme="minorEastAsia" w:hint="eastAsia"/>
          <w:color w:val="0D0D0D" w:themeColor="text1" w:themeTint="F2"/>
        </w:rPr>
        <w:t>平安银行股份有限公司</w:t>
      </w:r>
    </w:p>
    <w:p w14:paraId="2C3C3BC7"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基金合同或本基金合同：指</w:t>
      </w:r>
      <w:r w:rsidRPr="00B56A57">
        <w:rPr>
          <w:rFonts w:asciiTheme="minorEastAsia" w:eastAsiaTheme="minorEastAsia" w:hAnsiTheme="minorEastAsia" w:cs="Arial" w:hint="eastAsia"/>
          <w:bCs/>
          <w:color w:val="0D0D0D" w:themeColor="text1" w:themeTint="F2"/>
          <w:szCs w:val="21"/>
        </w:rPr>
        <w:t>《博时中证港股通消费主题交易型开放式指数证券投资基金基金合同》</w:t>
      </w:r>
      <w:r w:rsidRPr="00B56A57">
        <w:rPr>
          <w:rFonts w:asciiTheme="minorEastAsia" w:hAnsiTheme="minorEastAsia" w:hint="eastAsia"/>
          <w:color w:val="0D0D0D" w:themeColor="text1" w:themeTint="F2"/>
        </w:rPr>
        <w:t>及对本基金合同的任何有效修订和补充</w:t>
      </w:r>
    </w:p>
    <w:p w14:paraId="1DCE1BF5"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托管协议：指基金管理人与基金托管人就本基金签订之</w:t>
      </w:r>
      <w:r w:rsidRPr="00B56A57">
        <w:rPr>
          <w:rFonts w:asciiTheme="minorEastAsia" w:eastAsiaTheme="minorEastAsia" w:hAnsiTheme="minorEastAsia" w:cs="Arial" w:hint="eastAsia"/>
          <w:bCs/>
          <w:color w:val="0D0D0D" w:themeColor="text1" w:themeTint="F2"/>
          <w:szCs w:val="21"/>
        </w:rPr>
        <w:t>《博时中证港股通消费主题交易型开放式指数证券投资基金托管协议》</w:t>
      </w:r>
      <w:r w:rsidRPr="00B56A57">
        <w:rPr>
          <w:rFonts w:asciiTheme="minorEastAsia" w:hAnsiTheme="minorEastAsia" w:hint="eastAsia"/>
          <w:color w:val="0D0D0D" w:themeColor="text1" w:themeTint="F2"/>
        </w:rPr>
        <w:t>及对该托管协议的任何有效修订和补充</w:t>
      </w:r>
    </w:p>
    <w:p w14:paraId="0713579B"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招募说明书：指</w:t>
      </w:r>
      <w:r w:rsidRPr="00B56A57">
        <w:rPr>
          <w:rFonts w:asciiTheme="minorEastAsia" w:eastAsiaTheme="minorEastAsia" w:hAnsiTheme="minorEastAsia" w:cs="Arial" w:hint="eastAsia"/>
          <w:bCs/>
          <w:color w:val="0D0D0D" w:themeColor="text1" w:themeTint="F2"/>
          <w:szCs w:val="21"/>
        </w:rPr>
        <w:t>《博时中证港股通消费主题交易型开放式指数证券投资基金招募说明书》</w:t>
      </w:r>
      <w:r w:rsidRPr="00B56A57">
        <w:rPr>
          <w:rFonts w:asciiTheme="minorEastAsia" w:hAnsiTheme="minorEastAsia" w:hint="eastAsia"/>
          <w:color w:val="0D0D0D" w:themeColor="text1" w:themeTint="F2"/>
        </w:rPr>
        <w:t>及其更新</w:t>
      </w:r>
    </w:p>
    <w:p w14:paraId="0C14815F"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基金产品资料概要：指《博时中证港股通消费主题交易型开放式指数证券投资基金基金产品资料概要》及其更新</w:t>
      </w:r>
    </w:p>
    <w:p w14:paraId="09B3C580"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基金份额发售公告：指</w:t>
      </w:r>
      <w:r w:rsidRPr="00B56A57">
        <w:rPr>
          <w:rFonts w:asciiTheme="minorEastAsia" w:eastAsiaTheme="minorEastAsia" w:hAnsiTheme="minorEastAsia" w:cs="Arial" w:hint="eastAsia"/>
          <w:bCs/>
          <w:color w:val="0D0D0D" w:themeColor="text1" w:themeTint="F2"/>
          <w:szCs w:val="21"/>
        </w:rPr>
        <w:t>《博时中证港股通消费主题交易型开放式指数证券投资基金基金份额发售公告》</w:t>
      </w:r>
    </w:p>
    <w:p w14:paraId="50AC6484"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上市交易公告书：指《博时中证港股通消费主题交易型开放式指数证券投资基金基金份额上市交易公告书》</w:t>
      </w:r>
    </w:p>
    <w:p w14:paraId="0098EB75"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法律法规：指中国现行有效并公布实施的法律、行政法规、规范性文件、司法解释、行政规章以及其他对基金合同当事人有约束力的决定、决议、通知等</w:t>
      </w:r>
    </w:p>
    <w:p w14:paraId="058D9045"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《基金法》：指</w:t>
      </w:r>
      <w:r w:rsidRPr="00B56A57">
        <w:rPr>
          <w:rFonts w:asciiTheme="minorEastAsia" w:hAnsiTheme="minorEastAsia"/>
          <w:color w:val="0D0D0D" w:themeColor="text1" w:themeTint="F2"/>
        </w:rPr>
        <w:t>2003</w:t>
      </w:r>
      <w:r w:rsidRPr="00B56A57">
        <w:rPr>
          <w:rFonts w:asciiTheme="minorEastAsia" w:hAnsiTheme="minorEastAsia" w:hint="eastAsia"/>
          <w:color w:val="0D0D0D" w:themeColor="text1" w:themeTint="F2"/>
        </w:rPr>
        <w:t>年</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月</w:t>
      </w:r>
      <w:r w:rsidRPr="00B56A57">
        <w:rPr>
          <w:rFonts w:asciiTheme="minorEastAsia" w:hAnsiTheme="minorEastAsia"/>
          <w:color w:val="0D0D0D" w:themeColor="text1" w:themeTint="F2"/>
        </w:rPr>
        <w:t>28</w:t>
      </w:r>
      <w:r w:rsidRPr="00B56A57">
        <w:rPr>
          <w:rFonts w:asciiTheme="minorEastAsia" w:hAnsiTheme="minorEastAsia" w:hint="eastAsia"/>
          <w:color w:val="0D0D0D" w:themeColor="text1" w:themeTint="F2"/>
        </w:rPr>
        <w:t>日经第十届全国人民代表大会常务委员会第五次会议通过，经</w:t>
      </w:r>
      <w:r w:rsidRPr="00B56A57">
        <w:rPr>
          <w:rFonts w:asciiTheme="minorEastAsia" w:hAnsiTheme="minorEastAsia"/>
          <w:color w:val="0D0D0D" w:themeColor="text1" w:themeTint="F2"/>
        </w:rPr>
        <w:t>2012</w:t>
      </w:r>
      <w:r w:rsidRPr="00B56A57">
        <w:rPr>
          <w:rFonts w:asciiTheme="minorEastAsia" w:hAnsiTheme="minorEastAsia" w:hint="eastAsia"/>
          <w:color w:val="0D0D0D" w:themeColor="text1" w:themeTint="F2"/>
        </w:rPr>
        <w:t>年</w:t>
      </w:r>
      <w:r w:rsidRPr="00B56A57">
        <w:rPr>
          <w:rFonts w:asciiTheme="minorEastAsia" w:hAnsiTheme="minorEastAsia"/>
          <w:color w:val="0D0D0D" w:themeColor="text1" w:themeTint="F2"/>
        </w:rPr>
        <w:t>12</w:t>
      </w:r>
      <w:r w:rsidRPr="00B56A57">
        <w:rPr>
          <w:rFonts w:asciiTheme="minorEastAsia" w:hAnsiTheme="minorEastAsia" w:hint="eastAsia"/>
          <w:color w:val="0D0D0D" w:themeColor="text1" w:themeTint="F2"/>
        </w:rPr>
        <w:t>月</w:t>
      </w:r>
      <w:r w:rsidRPr="00B56A57">
        <w:rPr>
          <w:rFonts w:asciiTheme="minorEastAsia" w:hAnsiTheme="minorEastAsia"/>
          <w:color w:val="0D0D0D" w:themeColor="text1" w:themeTint="F2"/>
        </w:rPr>
        <w:t>28</w:t>
      </w:r>
      <w:r w:rsidRPr="00B56A57">
        <w:rPr>
          <w:rFonts w:asciiTheme="minorEastAsia" w:hAnsiTheme="minorEastAsia" w:hint="eastAsia"/>
          <w:color w:val="0D0D0D" w:themeColor="text1" w:themeTint="F2"/>
        </w:rPr>
        <w:t>日第十一届全国人民代表大会常务委员会第三十次会议修订，自</w:t>
      </w:r>
      <w:r w:rsidRPr="00B56A57">
        <w:rPr>
          <w:rFonts w:asciiTheme="minorEastAsia" w:hAnsiTheme="minorEastAsia"/>
          <w:color w:val="0D0D0D" w:themeColor="text1" w:themeTint="F2"/>
        </w:rPr>
        <w:t>2013</w:t>
      </w:r>
      <w:r w:rsidRPr="00B56A57">
        <w:rPr>
          <w:rFonts w:asciiTheme="minorEastAsia" w:hAnsiTheme="minorEastAsia" w:hint="eastAsia"/>
          <w:color w:val="0D0D0D" w:themeColor="text1" w:themeTint="F2"/>
        </w:rPr>
        <w:t>年</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月</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日起实施，并经</w:t>
      </w:r>
      <w:r w:rsidRPr="00B56A57">
        <w:rPr>
          <w:rFonts w:asciiTheme="minorEastAsia" w:hAnsiTheme="minorEastAsia"/>
          <w:color w:val="0D0D0D" w:themeColor="text1" w:themeTint="F2"/>
        </w:rPr>
        <w:t>2015</w:t>
      </w:r>
      <w:r w:rsidRPr="00B56A57">
        <w:rPr>
          <w:rFonts w:asciiTheme="minorEastAsia" w:hAnsiTheme="minorEastAsia" w:hint="eastAsia"/>
          <w:color w:val="0D0D0D" w:themeColor="text1" w:themeTint="F2"/>
        </w:rPr>
        <w:t>年</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月</w:t>
      </w:r>
      <w:r w:rsidRPr="00B56A57">
        <w:rPr>
          <w:rFonts w:asciiTheme="minorEastAsia" w:hAnsiTheme="minorEastAsia"/>
          <w:color w:val="0D0D0D" w:themeColor="text1" w:themeTint="F2"/>
        </w:rPr>
        <w:t>24</w:t>
      </w:r>
      <w:r w:rsidRPr="00B56A57">
        <w:rPr>
          <w:rFonts w:asciiTheme="minorEastAsia" w:hAnsiTheme="minorEastAsia" w:hint="eastAsia"/>
          <w:color w:val="0D0D0D" w:themeColor="text1" w:themeTint="F2"/>
        </w:rPr>
        <w:t>日第十二届全国人民代表大会常务委员会第十四次会议《全国人民代表大会常务委员会关于修改</w:t>
      </w:r>
      <w:r w:rsidRPr="00B56A57">
        <w:rPr>
          <w:rFonts w:asciiTheme="minorEastAsia" w:hAnsiTheme="minorEastAsia"/>
          <w:color w:val="0D0D0D" w:themeColor="text1" w:themeTint="F2"/>
        </w:rPr>
        <w:t>&lt;</w:t>
      </w:r>
      <w:r w:rsidRPr="00B56A57">
        <w:rPr>
          <w:rFonts w:asciiTheme="minorEastAsia" w:hAnsiTheme="minorEastAsia" w:hint="eastAsia"/>
          <w:color w:val="0D0D0D" w:themeColor="text1" w:themeTint="F2"/>
        </w:rPr>
        <w:t>中华人民共和国港口法</w:t>
      </w:r>
      <w:r w:rsidRPr="00B56A57">
        <w:rPr>
          <w:rFonts w:asciiTheme="minorEastAsia" w:hAnsiTheme="minorEastAsia"/>
          <w:color w:val="0D0D0D" w:themeColor="text1" w:themeTint="F2"/>
        </w:rPr>
        <w:t>&gt;</w:t>
      </w:r>
      <w:r w:rsidRPr="00B56A57">
        <w:rPr>
          <w:rFonts w:asciiTheme="minorEastAsia" w:hAnsiTheme="minorEastAsia" w:hint="eastAsia"/>
          <w:color w:val="0D0D0D" w:themeColor="text1" w:themeTint="F2"/>
        </w:rPr>
        <w:t>等七部法律的决定》修正的《中华人民共和国证券投资基金法》及颁布机关对其不时做出的修订</w:t>
      </w:r>
    </w:p>
    <w:p w14:paraId="22E4535A"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《销售办法》：指中国证监会</w:t>
      </w:r>
      <w:r w:rsidRPr="00B56A57">
        <w:rPr>
          <w:rFonts w:asciiTheme="minorEastAsia" w:hAnsiTheme="minorEastAsia"/>
          <w:color w:val="0D0D0D" w:themeColor="text1" w:themeTint="F2"/>
        </w:rPr>
        <w:t>2020年8月28日颁布、同年10月1</w:t>
      </w:r>
      <w:r w:rsidRPr="00B56A57">
        <w:rPr>
          <w:rFonts w:asciiTheme="minorEastAsia" w:hAnsiTheme="minorEastAsia" w:hint="eastAsia"/>
          <w:color w:val="0D0D0D" w:themeColor="text1" w:themeTint="F2"/>
        </w:rPr>
        <w:t>日实施的《公开募集证券投资基金销售机构监督管理办法》及颁布机关对其不时做出的修订</w:t>
      </w:r>
    </w:p>
    <w:p w14:paraId="2C5E7015"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《信息披露办法》：指中国证监会</w:t>
      </w:r>
      <w:r w:rsidRPr="00B56A57">
        <w:rPr>
          <w:rFonts w:asciiTheme="minorEastAsia" w:hAnsiTheme="minorEastAsia"/>
          <w:color w:val="0D0D0D" w:themeColor="text1" w:themeTint="F2"/>
        </w:rPr>
        <w:t>2019年7月26日颁布、同年9</w:t>
      </w:r>
      <w:r w:rsidRPr="00B56A57">
        <w:rPr>
          <w:rFonts w:asciiTheme="minorEastAsia" w:hAnsiTheme="minorEastAsia" w:hint="eastAsia"/>
          <w:color w:val="0D0D0D" w:themeColor="text1" w:themeTint="F2"/>
        </w:rPr>
        <w:t>月</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日实施，并经</w:t>
      </w:r>
      <w:r w:rsidRPr="00B56A57">
        <w:rPr>
          <w:rFonts w:asciiTheme="minorEastAsia" w:hAnsiTheme="minorEastAsia"/>
          <w:color w:val="0D0D0D" w:themeColor="text1" w:themeTint="F2"/>
        </w:rPr>
        <w:t>2020年3月20日中国证监会《关于修改部分证券期货规章的决定》修正的《公开募集证券投资基金信息披露管理办法》及颁布机关对其不时做出的修订</w:t>
      </w:r>
    </w:p>
    <w:p w14:paraId="3DFE9BA6"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《运作办法》：指中国证监会</w:t>
      </w:r>
      <w:r w:rsidRPr="00B56A57">
        <w:rPr>
          <w:rFonts w:asciiTheme="minorEastAsia" w:hAnsiTheme="minorEastAsia"/>
          <w:color w:val="0D0D0D" w:themeColor="text1" w:themeTint="F2"/>
        </w:rPr>
        <w:t>2014</w:t>
      </w:r>
      <w:r w:rsidRPr="00B56A57">
        <w:rPr>
          <w:rFonts w:asciiTheme="minorEastAsia" w:hAnsiTheme="minorEastAsia" w:hint="eastAsia"/>
          <w:color w:val="0D0D0D" w:themeColor="text1" w:themeTint="F2"/>
        </w:rPr>
        <w:t>年</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月</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日颁布、同年</w:t>
      </w:r>
      <w:r w:rsidRPr="00B56A57">
        <w:rPr>
          <w:rFonts w:asciiTheme="minorEastAsia" w:hAnsiTheme="minorEastAsia"/>
          <w:color w:val="0D0D0D" w:themeColor="text1" w:themeTint="F2"/>
        </w:rPr>
        <w:t>8</w:t>
      </w:r>
      <w:r w:rsidRPr="00B56A57">
        <w:rPr>
          <w:rFonts w:asciiTheme="minorEastAsia" w:hAnsiTheme="minorEastAsia" w:hint="eastAsia"/>
          <w:color w:val="0D0D0D" w:themeColor="text1" w:themeTint="F2"/>
        </w:rPr>
        <w:t>月</w:t>
      </w:r>
      <w:r w:rsidRPr="00B56A57">
        <w:rPr>
          <w:rFonts w:asciiTheme="minorEastAsia" w:hAnsiTheme="minorEastAsia"/>
          <w:color w:val="0D0D0D" w:themeColor="text1" w:themeTint="F2"/>
        </w:rPr>
        <w:t>8</w:t>
      </w:r>
      <w:r w:rsidRPr="00B56A57">
        <w:rPr>
          <w:rFonts w:asciiTheme="minorEastAsia" w:hAnsiTheme="minorEastAsia" w:hint="eastAsia"/>
          <w:color w:val="0D0D0D" w:themeColor="text1" w:themeTint="F2"/>
        </w:rPr>
        <w:t>日实施的《公开募集证券投资基金运作管理办法》及颁布机关对其不时做出的修订</w:t>
      </w:r>
    </w:p>
    <w:p w14:paraId="6BA61278"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《流动性风险管理规定》：指中国证监会</w:t>
      </w:r>
      <w:r w:rsidRPr="00B56A57">
        <w:rPr>
          <w:rFonts w:asciiTheme="minorEastAsia" w:hAnsiTheme="minorEastAsia"/>
          <w:color w:val="0D0D0D" w:themeColor="text1" w:themeTint="F2"/>
        </w:rPr>
        <w:t>2017</w:t>
      </w:r>
      <w:r w:rsidRPr="00B56A57">
        <w:rPr>
          <w:rFonts w:asciiTheme="minorEastAsia" w:hAnsiTheme="minorEastAsia" w:hint="eastAsia"/>
          <w:color w:val="0D0D0D" w:themeColor="text1" w:themeTint="F2"/>
        </w:rPr>
        <w:t>年</w:t>
      </w:r>
      <w:r w:rsidRPr="00B56A57">
        <w:rPr>
          <w:rFonts w:asciiTheme="minorEastAsia" w:hAnsiTheme="minorEastAsia"/>
          <w:color w:val="0D0D0D" w:themeColor="text1" w:themeTint="F2"/>
        </w:rPr>
        <w:t>8</w:t>
      </w:r>
      <w:r w:rsidRPr="00B56A57">
        <w:rPr>
          <w:rFonts w:asciiTheme="minorEastAsia" w:hAnsiTheme="minorEastAsia" w:hint="eastAsia"/>
          <w:color w:val="0D0D0D" w:themeColor="text1" w:themeTint="F2"/>
        </w:rPr>
        <w:t>月</w:t>
      </w:r>
      <w:r w:rsidRPr="00B56A57">
        <w:rPr>
          <w:rFonts w:asciiTheme="minorEastAsia" w:hAnsiTheme="minorEastAsia"/>
          <w:color w:val="0D0D0D" w:themeColor="text1" w:themeTint="F2"/>
        </w:rPr>
        <w:t>31</w:t>
      </w:r>
      <w:r w:rsidRPr="00B56A57">
        <w:rPr>
          <w:rFonts w:asciiTheme="minorEastAsia" w:hAnsiTheme="minorEastAsia" w:hint="eastAsia"/>
          <w:color w:val="0D0D0D" w:themeColor="text1" w:themeTint="F2"/>
        </w:rPr>
        <w:t>日颁布、同年</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月</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日实施的</w:t>
      </w:r>
      <w:r w:rsidRPr="00B56A57">
        <w:rPr>
          <w:rFonts w:asciiTheme="minorEastAsia" w:hAnsiTheme="minorEastAsia" w:hint="eastAsia"/>
          <w:color w:val="0D0D0D" w:themeColor="text1" w:themeTint="F2"/>
        </w:rPr>
        <w:lastRenderedPageBreak/>
        <w:t>《公开募集开放式证券投资基金流动性风险管理规定》及颁布机关对其不时做出的修订</w:t>
      </w:r>
    </w:p>
    <w:p w14:paraId="1CCA1B61" w14:textId="1047C320" w:rsidR="00217DCA" w:rsidRPr="002F213A" w:rsidRDefault="006C7341" w:rsidP="002F213A">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《指数基金指引》：指中国证监会</w:t>
      </w:r>
      <w:r w:rsidRPr="00B56A57">
        <w:rPr>
          <w:rFonts w:asciiTheme="minorEastAsia" w:hAnsiTheme="minorEastAsia"/>
          <w:color w:val="0D0D0D" w:themeColor="text1" w:themeTint="F2"/>
        </w:rPr>
        <w:t>2021年颁布、同年2月1日实施的《公开募集证券投资基金运作指引第3号——指数基金指引》及颁布机关对其不时做出的修订</w:t>
      </w:r>
    </w:p>
    <w:p w14:paraId="10891DA0"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业务规则：指上海证券交易所、登记机构、基金管理人及销售机构的相关业务规则及其不时做出的修订</w:t>
      </w:r>
    </w:p>
    <w:p w14:paraId="77423E3E"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中国证监会：指中国证券监督管理委员会</w:t>
      </w:r>
    </w:p>
    <w:p w14:paraId="435AB66D"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bCs/>
          <w:color w:val="0D0D0D" w:themeColor="text1" w:themeTint="F2"/>
        </w:rPr>
        <w:t>银行业监督管理机构：指中国人民银行和/或中国银行</w:t>
      </w:r>
      <w:r w:rsidRPr="00B56A57">
        <w:rPr>
          <w:rFonts w:asciiTheme="minorEastAsia" w:hAnsiTheme="minorEastAsia" w:hint="eastAsia"/>
          <w:color w:val="0D0D0D" w:themeColor="text1" w:themeTint="F2"/>
        </w:rPr>
        <w:t>保险</w:t>
      </w:r>
      <w:r w:rsidRPr="00B56A57">
        <w:rPr>
          <w:rFonts w:asciiTheme="minorEastAsia" w:hAnsiTheme="minorEastAsia"/>
          <w:bCs/>
          <w:color w:val="0D0D0D" w:themeColor="text1" w:themeTint="F2"/>
        </w:rPr>
        <w:t>监督管理委员会</w:t>
      </w:r>
    </w:p>
    <w:p w14:paraId="0A154EA4"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基金合同当事人：指受基金合同约束，根据基金合同享有权利并承担义务的法律主体，包括基金管理人、基金托管人和基金份额持有人</w:t>
      </w:r>
    </w:p>
    <w:p w14:paraId="6E76914A"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个人投资者：指依据有关法律法规规定可投资于证券投资基金的自然人</w:t>
      </w:r>
    </w:p>
    <w:p w14:paraId="55B0A810"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机构投资者：指依法可以投资证券投资基金的、在中华人民共和国境内合法登记并存续或经有关政府部门批准设立并存续的企业法人、事业法人、社会团体或其他组织</w:t>
      </w:r>
    </w:p>
    <w:p w14:paraId="752C421B"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合格境外机构投资者：指符合《合格境外机构投资者和人民币合格境外机构投资者境内证券期货投资管理办法》及相关法律法规规定可以投资于在中国境内依法募集的证券投资基金的中国境外的机构投资者</w:t>
      </w:r>
    </w:p>
    <w:p w14:paraId="3DF0ECE9"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人民币合格境外机构投资者：指按照《合格境外机构投资者和人民币合格境外机构投资者境内证券期货投资管理办法》及相关法律法规规定，运用来自境外的人民币资金进行境内证券投资的境外法人</w:t>
      </w:r>
    </w:p>
    <w:p w14:paraId="5EBD7E16"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投资人、投资者：指个人投资者、机构投资者、合格境外机构投资者和人民币合格境外机构投资者以及法律法规或中国证监会允许购买证券投资基金的其他投资人的合称</w:t>
      </w:r>
    </w:p>
    <w:p w14:paraId="269AEADC"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基金份额持有人：指依基金合同和招募说明书合法取得基金份额的投资人</w:t>
      </w:r>
    </w:p>
    <w:p w14:paraId="2030BDBC"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发售代理机构</w:t>
      </w:r>
      <w:r w:rsidRPr="00B56A57">
        <w:rPr>
          <w:rFonts w:asciiTheme="minorEastAsia" w:hAnsiTheme="minorEastAsia" w:hint="eastAsia"/>
          <w:color w:val="0D0D0D" w:themeColor="text1" w:themeTint="F2"/>
        </w:rPr>
        <w:t>：指</w:t>
      </w:r>
      <w:r w:rsidRPr="00B56A57">
        <w:rPr>
          <w:rFonts w:asciiTheme="minorEastAsia" w:eastAsiaTheme="minorEastAsia" w:hAnsiTheme="minorEastAsia" w:cs="Arial" w:hint="eastAsia"/>
          <w:bCs/>
          <w:color w:val="0D0D0D" w:themeColor="text1" w:themeTint="F2"/>
          <w:szCs w:val="21"/>
        </w:rPr>
        <w:t>符合《销售办法》和中国证监会规定的其他条件，由</w:t>
      </w:r>
      <w:r w:rsidRPr="00B56A57">
        <w:rPr>
          <w:rFonts w:asciiTheme="minorEastAsia" w:hAnsiTheme="minorEastAsia" w:hint="eastAsia"/>
          <w:color w:val="0D0D0D" w:themeColor="text1" w:themeTint="F2"/>
        </w:rPr>
        <w:t>基金管理人</w:t>
      </w:r>
      <w:r w:rsidRPr="00B56A57">
        <w:rPr>
          <w:rFonts w:asciiTheme="minorEastAsia" w:eastAsiaTheme="minorEastAsia" w:hAnsiTheme="minorEastAsia" w:cs="Arial" w:hint="eastAsia"/>
          <w:bCs/>
          <w:color w:val="0D0D0D" w:themeColor="text1" w:themeTint="F2"/>
          <w:szCs w:val="21"/>
        </w:rPr>
        <w:t>指定的代理本基金发售业务的</w:t>
      </w:r>
      <w:r w:rsidRPr="00B56A57">
        <w:rPr>
          <w:rFonts w:asciiTheme="minorEastAsia" w:hAnsiTheme="minorEastAsia" w:hint="eastAsia"/>
          <w:color w:val="0D0D0D" w:themeColor="text1" w:themeTint="F2"/>
        </w:rPr>
        <w:t>机构</w:t>
      </w:r>
    </w:p>
    <w:p w14:paraId="08EB978A"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eastAsiaTheme="minorEastAsia" w:hAnsiTheme="minorEastAsia" w:cs="Arial" w:hint="eastAsia"/>
          <w:bCs/>
          <w:color w:val="0D0D0D" w:themeColor="text1" w:themeTint="F2"/>
          <w:szCs w:val="21"/>
        </w:rPr>
        <w:t>申购、赎回代理券商：指</w:t>
      </w:r>
      <w:r w:rsidRPr="00B56A57">
        <w:rPr>
          <w:rFonts w:asciiTheme="minorEastAsia" w:hAnsiTheme="minorEastAsia" w:hint="eastAsia"/>
          <w:color w:val="0D0D0D" w:themeColor="text1" w:themeTint="F2"/>
        </w:rPr>
        <w:t>基金</w:t>
      </w:r>
      <w:r w:rsidRPr="00B56A57">
        <w:rPr>
          <w:rFonts w:asciiTheme="minorEastAsia" w:eastAsiaTheme="minorEastAsia" w:hAnsiTheme="minorEastAsia" w:cs="Arial" w:hint="eastAsia"/>
          <w:bCs/>
          <w:color w:val="0D0D0D" w:themeColor="text1" w:themeTint="F2"/>
          <w:szCs w:val="21"/>
        </w:rPr>
        <w:t>管理人指定的，在</w:t>
      </w:r>
      <w:r w:rsidRPr="00B56A57">
        <w:rPr>
          <w:rFonts w:asciiTheme="minorEastAsia" w:hAnsiTheme="minorEastAsia" w:hint="eastAsia"/>
          <w:color w:val="0D0D0D" w:themeColor="text1" w:themeTint="F2"/>
        </w:rPr>
        <w:t>基金</w:t>
      </w:r>
      <w:r w:rsidRPr="00B56A57">
        <w:rPr>
          <w:rFonts w:asciiTheme="minorEastAsia" w:eastAsiaTheme="minorEastAsia" w:hAnsiTheme="minorEastAsia" w:cs="Arial" w:hint="eastAsia"/>
          <w:bCs/>
          <w:color w:val="0D0D0D" w:themeColor="text1" w:themeTint="F2"/>
          <w:szCs w:val="21"/>
        </w:rPr>
        <w:t>合同生效后代理</w:t>
      </w:r>
      <w:r w:rsidRPr="00B56A57">
        <w:rPr>
          <w:rFonts w:asciiTheme="minorEastAsia" w:hAnsiTheme="minorEastAsia" w:hint="eastAsia"/>
          <w:color w:val="0D0D0D" w:themeColor="text1" w:themeTint="F2"/>
        </w:rPr>
        <w:t>办理</w:t>
      </w:r>
      <w:r w:rsidRPr="00B56A57">
        <w:rPr>
          <w:rFonts w:asciiTheme="minorEastAsia" w:eastAsiaTheme="minorEastAsia" w:hAnsiTheme="minorEastAsia" w:cs="Arial" w:hint="eastAsia"/>
          <w:bCs/>
          <w:color w:val="0D0D0D" w:themeColor="text1" w:themeTint="F2"/>
          <w:szCs w:val="21"/>
        </w:rPr>
        <w:t>本</w:t>
      </w:r>
      <w:r w:rsidRPr="00B56A57">
        <w:rPr>
          <w:rFonts w:asciiTheme="minorEastAsia" w:hAnsiTheme="minorEastAsia" w:hint="eastAsia"/>
          <w:color w:val="0D0D0D" w:themeColor="text1" w:themeTint="F2"/>
        </w:rPr>
        <w:t>基金申购、赎回业务</w:t>
      </w:r>
      <w:r w:rsidRPr="00B56A57">
        <w:rPr>
          <w:rFonts w:asciiTheme="minorEastAsia" w:eastAsiaTheme="minorEastAsia" w:hAnsiTheme="minorEastAsia" w:cs="Arial" w:hint="eastAsia"/>
          <w:bCs/>
          <w:color w:val="0D0D0D" w:themeColor="text1" w:themeTint="F2"/>
          <w:szCs w:val="21"/>
        </w:rPr>
        <w:t>的证券公司，又称为代办证券公司</w:t>
      </w:r>
    </w:p>
    <w:p w14:paraId="51212C20"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直销</w:t>
      </w:r>
      <w:r w:rsidRPr="00B56A57">
        <w:rPr>
          <w:rFonts w:asciiTheme="minorEastAsia" w:hAnsiTheme="minorEastAsia" w:hint="eastAsia"/>
          <w:color w:val="0D0D0D" w:themeColor="text1" w:themeTint="F2"/>
        </w:rPr>
        <w:t>机构：指</w:t>
      </w:r>
      <w:r w:rsidRPr="00B56A57">
        <w:rPr>
          <w:rFonts w:asciiTheme="minorEastAsia" w:eastAsiaTheme="minorEastAsia" w:hAnsiTheme="minorEastAsia" w:cs="Arial" w:hint="eastAsia"/>
          <w:bCs/>
          <w:color w:val="0D0D0D" w:themeColor="text1" w:themeTint="F2"/>
          <w:szCs w:val="21"/>
        </w:rPr>
        <w:t>博时</w:t>
      </w:r>
      <w:r w:rsidRPr="00B56A57">
        <w:rPr>
          <w:rFonts w:asciiTheme="minorEastAsia" w:hAnsiTheme="minorEastAsia" w:hint="eastAsia"/>
          <w:color w:val="0D0D0D" w:themeColor="text1" w:themeTint="F2"/>
        </w:rPr>
        <w:t>基金</w:t>
      </w:r>
      <w:r w:rsidRPr="00B56A57">
        <w:rPr>
          <w:rFonts w:asciiTheme="minorEastAsia" w:eastAsiaTheme="minorEastAsia" w:hAnsiTheme="minorEastAsia" w:cs="Arial" w:hint="eastAsia"/>
          <w:bCs/>
          <w:color w:val="0D0D0D" w:themeColor="text1" w:themeTint="F2"/>
          <w:szCs w:val="21"/>
        </w:rPr>
        <w:t>管理有限公司</w:t>
      </w:r>
    </w:p>
    <w:p w14:paraId="00A69ACD"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eastAsiaTheme="minorEastAsia" w:hAnsiTheme="minorEastAsia" w:cs="Arial" w:hint="eastAsia"/>
          <w:bCs/>
          <w:color w:val="0D0D0D" w:themeColor="text1" w:themeTint="F2"/>
          <w:szCs w:val="21"/>
        </w:rPr>
        <w:t>代销机构：指</w:t>
      </w:r>
      <w:r w:rsidRPr="00B56A57">
        <w:rPr>
          <w:rFonts w:asciiTheme="minorEastAsia" w:hAnsiTheme="minorEastAsia" w:hint="eastAsia"/>
          <w:color w:val="0D0D0D" w:themeColor="text1" w:themeTint="F2"/>
        </w:rPr>
        <w:t>符合《销售办法》和中国证监会规定的其他条件，取得基金销售业务资格并与基金管理人签订了基金销售服务协议，办理基金销售业务的机构</w:t>
      </w:r>
      <w:r w:rsidRPr="00B56A57">
        <w:rPr>
          <w:rFonts w:asciiTheme="minorEastAsia" w:eastAsiaTheme="minorEastAsia" w:hAnsiTheme="minorEastAsia" w:cs="Arial" w:hint="eastAsia"/>
          <w:bCs/>
          <w:color w:val="0D0D0D" w:themeColor="text1" w:themeTint="F2"/>
          <w:szCs w:val="21"/>
        </w:rPr>
        <w:t>，包括发售代理机构和申购、赎回代理券商（代办证券公司）</w:t>
      </w:r>
    </w:p>
    <w:p w14:paraId="128D4F6A"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销售机构：指直销机构与代销机构</w:t>
      </w:r>
      <w:r w:rsidRPr="00B56A57">
        <w:rPr>
          <w:rFonts w:asciiTheme="minorEastAsia" w:eastAsiaTheme="minorEastAsia" w:hAnsiTheme="minorEastAsia" w:cs="Arial"/>
          <w:bCs/>
          <w:color w:val="0D0D0D" w:themeColor="text1" w:themeTint="F2"/>
          <w:szCs w:val="21"/>
        </w:rPr>
        <w:t xml:space="preserve"> </w:t>
      </w:r>
    </w:p>
    <w:p w14:paraId="522C5E0A"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hAnsiTheme="minorEastAsia" w:hint="eastAsia"/>
          <w:color w:val="0D0D0D" w:themeColor="text1" w:themeTint="F2"/>
        </w:rPr>
        <w:t>登记机构：指办理登记业务的机构。</w:t>
      </w:r>
      <w:r w:rsidRPr="00B56A57">
        <w:rPr>
          <w:rFonts w:asciiTheme="minorEastAsia" w:eastAsiaTheme="minorEastAsia" w:hAnsiTheme="minorEastAsia" w:cs="Arial" w:hint="eastAsia"/>
          <w:bCs/>
          <w:color w:val="0D0D0D" w:themeColor="text1" w:themeTint="F2"/>
          <w:szCs w:val="21"/>
        </w:rPr>
        <w:t>本基金的登记机构为中国证券登记结算有限责任公司</w:t>
      </w:r>
    </w:p>
    <w:p w14:paraId="0B208462"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登记业务：指基金登记、存管、过户、清算和结算业务，具体内容包括</w:t>
      </w:r>
      <w:r w:rsidRPr="00B56A57">
        <w:rPr>
          <w:rFonts w:asciiTheme="minorEastAsia" w:eastAsiaTheme="minorEastAsia" w:hAnsiTheme="minorEastAsia" w:cs="Arial" w:hint="eastAsia"/>
          <w:bCs/>
          <w:color w:val="0D0D0D" w:themeColor="text1" w:themeTint="F2"/>
          <w:szCs w:val="21"/>
        </w:rPr>
        <w:t>投资者</w:t>
      </w:r>
      <w:r w:rsidRPr="00B56A57">
        <w:rPr>
          <w:rFonts w:asciiTheme="minorEastAsia" w:hAnsiTheme="minorEastAsia" w:hint="eastAsia"/>
          <w:color w:val="0D0D0D" w:themeColor="text1" w:themeTint="F2"/>
        </w:rPr>
        <w:t>账户的建立和管理、基金份额登记、基金</w:t>
      </w:r>
      <w:r w:rsidRPr="00B56A57">
        <w:rPr>
          <w:rFonts w:asciiTheme="minorEastAsia" w:eastAsiaTheme="minorEastAsia" w:hAnsiTheme="minorEastAsia" w:cs="Arial" w:hint="eastAsia"/>
          <w:bCs/>
          <w:color w:val="0D0D0D" w:themeColor="text1" w:themeTint="F2"/>
          <w:szCs w:val="21"/>
        </w:rPr>
        <w:t>交易</w:t>
      </w:r>
      <w:r w:rsidRPr="00B56A57">
        <w:rPr>
          <w:rFonts w:asciiTheme="minorEastAsia" w:hAnsiTheme="minorEastAsia" w:hint="eastAsia"/>
          <w:color w:val="0D0D0D" w:themeColor="text1" w:themeTint="F2"/>
        </w:rPr>
        <w:t>的确认、清算和结算、代理发放红利、建立并保管基金</w:t>
      </w:r>
      <w:r w:rsidRPr="00B56A57">
        <w:rPr>
          <w:rFonts w:asciiTheme="minorEastAsia" w:hAnsiTheme="minorEastAsia" w:hint="eastAsia"/>
          <w:color w:val="0D0D0D" w:themeColor="text1" w:themeTint="F2"/>
        </w:rPr>
        <w:lastRenderedPageBreak/>
        <w:t>份额持有人名册等</w:t>
      </w:r>
    </w:p>
    <w:p w14:paraId="79835E31"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基金合同生效日：指基金募集达到法律法规规定及基金合同规定的条件，基金管理人向中国证监会办理基金备案手续完毕，并获得中国证监会书面确认的日期</w:t>
      </w:r>
    </w:p>
    <w:p w14:paraId="3FC17FA7"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基金合同终止日：指基金合同规定的基金合同终止事由出现后，基金财产清算完毕，清算结果报中国证监会备案并予以公告的日期</w:t>
      </w:r>
    </w:p>
    <w:p w14:paraId="7D4AFB43"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基金募集期：指自基金份额发售之日起至发售结束之日止的期间，最长不得超过</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个月</w:t>
      </w:r>
    </w:p>
    <w:p w14:paraId="40963220"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存续期：指基金合同生效至终止之间的不定期期限</w:t>
      </w:r>
    </w:p>
    <w:p w14:paraId="5D0DC7F8"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工作日：指上海证券交易所、深圳证券交易所的正常交易日</w:t>
      </w:r>
    </w:p>
    <w:p w14:paraId="74BD66D5"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color w:val="0D0D0D" w:themeColor="text1" w:themeTint="F2"/>
        </w:rPr>
        <w:t>T</w:t>
      </w:r>
      <w:r w:rsidRPr="00B56A57">
        <w:rPr>
          <w:rFonts w:asciiTheme="minorEastAsia" w:hAnsiTheme="minorEastAsia" w:hint="eastAsia"/>
          <w:color w:val="0D0D0D" w:themeColor="text1" w:themeTint="F2"/>
        </w:rPr>
        <w:t>日：指销售机构在规定时间受理投资人申购、赎回或其他业务申请的开放日</w:t>
      </w:r>
    </w:p>
    <w:p w14:paraId="211EEF3E"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color w:val="0D0D0D" w:themeColor="text1" w:themeTint="F2"/>
        </w:rPr>
        <w:t>T+n</w:t>
      </w:r>
      <w:r w:rsidRPr="00B56A57">
        <w:rPr>
          <w:rFonts w:asciiTheme="minorEastAsia" w:hAnsiTheme="minorEastAsia" w:hint="eastAsia"/>
          <w:color w:val="0D0D0D" w:themeColor="text1" w:themeTint="F2"/>
        </w:rPr>
        <w:t>日：指自</w:t>
      </w:r>
      <w:r w:rsidRPr="00B56A57">
        <w:rPr>
          <w:rFonts w:asciiTheme="minorEastAsia" w:hAnsiTheme="minorEastAsia"/>
          <w:color w:val="0D0D0D" w:themeColor="text1" w:themeTint="F2"/>
        </w:rPr>
        <w:t>T</w:t>
      </w:r>
      <w:r w:rsidRPr="00B56A57">
        <w:rPr>
          <w:rFonts w:asciiTheme="minorEastAsia" w:hAnsiTheme="minorEastAsia" w:hint="eastAsia"/>
          <w:color w:val="0D0D0D" w:themeColor="text1" w:themeTint="F2"/>
        </w:rPr>
        <w:t>日起第</w:t>
      </w:r>
      <w:r w:rsidRPr="00B56A57">
        <w:rPr>
          <w:rFonts w:asciiTheme="minorEastAsia" w:hAnsiTheme="minorEastAsia"/>
          <w:color w:val="0D0D0D" w:themeColor="text1" w:themeTint="F2"/>
        </w:rPr>
        <w:t>n</w:t>
      </w:r>
      <w:r w:rsidRPr="00B56A57">
        <w:rPr>
          <w:rFonts w:asciiTheme="minorEastAsia" w:hAnsiTheme="minorEastAsia" w:hint="eastAsia"/>
          <w:color w:val="0D0D0D" w:themeColor="text1" w:themeTint="F2"/>
        </w:rPr>
        <w:t>个工作日（不包含</w:t>
      </w:r>
      <w:r w:rsidRPr="00B56A57">
        <w:rPr>
          <w:rFonts w:asciiTheme="minorEastAsia" w:hAnsiTheme="minorEastAsia"/>
          <w:color w:val="0D0D0D" w:themeColor="text1" w:themeTint="F2"/>
        </w:rPr>
        <w:t>T</w:t>
      </w:r>
      <w:r w:rsidRPr="00B56A57">
        <w:rPr>
          <w:rFonts w:asciiTheme="minorEastAsia" w:hAnsiTheme="minorEastAsia" w:hint="eastAsia"/>
          <w:color w:val="0D0D0D" w:themeColor="text1" w:themeTint="F2"/>
        </w:rPr>
        <w:t>日）</w:t>
      </w:r>
    </w:p>
    <w:p w14:paraId="3ACCECB9"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开放日：指为投资人办理基金份额申购、赎回或其他业务的港股通、上海证券交易所同时正常开放交易的工作日</w:t>
      </w:r>
    </w:p>
    <w:p w14:paraId="62A24ED2"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开放时间：指开放日基金接受申购、赎回或其他交易的时间段</w:t>
      </w:r>
    </w:p>
    <w:p w14:paraId="07B6B16C"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认购：指在基金募集期内，投资人</w:t>
      </w:r>
      <w:r w:rsidRPr="00B56A57">
        <w:rPr>
          <w:rFonts w:asciiTheme="minorEastAsia" w:eastAsiaTheme="minorEastAsia" w:hAnsiTheme="minorEastAsia" w:cs="Arial" w:hint="eastAsia"/>
          <w:bCs/>
          <w:color w:val="0D0D0D" w:themeColor="text1" w:themeTint="F2"/>
          <w:szCs w:val="21"/>
        </w:rPr>
        <w:t>根据基金合同和招募说明书的规定</w:t>
      </w:r>
      <w:r w:rsidRPr="00B56A57">
        <w:rPr>
          <w:rFonts w:asciiTheme="minorEastAsia" w:hAnsiTheme="minorEastAsia" w:hint="eastAsia"/>
          <w:color w:val="0D0D0D" w:themeColor="text1" w:themeTint="F2"/>
        </w:rPr>
        <w:t>申请购买基金份额的行为</w:t>
      </w:r>
    </w:p>
    <w:p w14:paraId="06C13BA1"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申购：指基金合同生效后，投资人根据基金合同和招募说明书的规定</w:t>
      </w:r>
      <w:r w:rsidRPr="00B56A57">
        <w:rPr>
          <w:rFonts w:asciiTheme="minorEastAsia" w:hAnsiTheme="minorEastAsia" w:hint="eastAsia"/>
          <w:bCs/>
          <w:color w:val="0D0D0D" w:themeColor="text1" w:themeTint="F2"/>
        </w:rPr>
        <w:t>，以申购赎回清单规定的申购对价向基金管理人</w:t>
      </w:r>
      <w:r w:rsidRPr="00B56A57">
        <w:rPr>
          <w:rFonts w:asciiTheme="minorEastAsia" w:hAnsiTheme="minorEastAsia" w:hint="eastAsia"/>
          <w:color w:val="0D0D0D" w:themeColor="text1" w:themeTint="F2"/>
        </w:rPr>
        <w:t>申请购买基金份额的行为</w:t>
      </w:r>
    </w:p>
    <w:p w14:paraId="3E19363A"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赎回：指基金合同生效后，基金份额持有人按基金合同和招募说明书的规定，将基金份额兑换为申购赎回清单规定的赎回对价的行为</w:t>
      </w:r>
    </w:p>
    <w:p w14:paraId="68422563"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申购、赎回清单</w:t>
      </w:r>
      <w:r w:rsidRPr="00B56A57">
        <w:rPr>
          <w:rFonts w:asciiTheme="minorEastAsia" w:hAnsiTheme="minorEastAsia" w:hint="eastAsia"/>
          <w:color w:val="0D0D0D" w:themeColor="text1" w:themeTint="F2"/>
        </w:rPr>
        <w:t>：指</w:t>
      </w:r>
      <w:r w:rsidRPr="00B56A57">
        <w:rPr>
          <w:rFonts w:asciiTheme="minorEastAsia" w:eastAsiaTheme="minorEastAsia" w:hAnsiTheme="minorEastAsia" w:cs="Arial" w:hint="eastAsia"/>
          <w:bCs/>
          <w:color w:val="0D0D0D" w:themeColor="text1" w:themeTint="F2"/>
          <w:szCs w:val="21"/>
        </w:rPr>
        <w:t>由基金管理人编制的用以公告申购对价、赎回对价等信息的文件</w:t>
      </w:r>
      <w:r w:rsidRPr="00B56A57">
        <w:rPr>
          <w:rFonts w:asciiTheme="minorEastAsia" w:eastAsiaTheme="minorEastAsia" w:hAnsiTheme="minorEastAsia" w:cs="Arial"/>
          <w:bCs/>
          <w:color w:val="0D0D0D" w:themeColor="text1" w:themeTint="F2"/>
          <w:szCs w:val="21"/>
        </w:rPr>
        <w:t xml:space="preserve"> </w:t>
      </w:r>
    </w:p>
    <w:p w14:paraId="4CA12A65"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申购对价：指投资人申购</w:t>
      </w:r>
      <w:r w:rsidRPr="00B56A57">
        <w:rPr>
          <w:rFonts w:asciiTheme="minorEastAsia" w:hAnsiTheme="minorEastAsia" w:hint="eastAsia"/>
          <w:color w:val="0D0D0D" w:themeColor="text1" w:themeTint="F2"/>
        </w:rPr>
        <w:t>基金份额</w:t>
      </w:r>
      <w:r w:rsidRPr="00B56A57">
        <w:rPr>
          <w:rFonts w:asciiTheme="minorEastAsia" w:eastAsiaTheme="minorEastAsia" w:hAnsiTheme="minorEastAsia" w:cs="Arial" w:hint="eastAsia"/>
          <w:bCs/>
          <w:color w:val="0D0D0D" w:themeColor="text1" w:themeTint="F2"/>
          <w:szCs w:val="21"/>
        </w:rPr>
        <w:t>时，按</w:t>
      </w:r>
      <w:r w:rsidRPr="00B56A57">
        <w:rPr>
          <w:rFonts w:asciiTheme="minorEastAsia" w:hAnsiTheme="minorEastAsia" w:hint="eastAsia"/>
          <w:color w:val="0D0D0D" w:themeColor="text1" w:themeTint="F2"/>
        </w:rPr>
        <w:t>基金合同和</w:t>
      </w:r>
      <w:r w:rsidRPr="00B56A57">
        <w:rPr>
          <w:rFonts w:asciiTheme="minorEastAsia" w:eastAsiaTheme="minorEastAsia" w:hAnsiTheme="minorEastAsia" w:cs="Arial" w:hint="eastAsia"/>
          <w:bCs/>
          <w:color w:val="0D0D0D" w:themeColor="text1" w:themeTint="F2"/>
          <w:szCs w:val="21"/>
        </w:rPr>
        <w:t>招募说明书规定应交付的现金替代、现金差额及其他对价</w:t>
      </w:r>
    </w:p>
    <w:p w14:paraId="5DE43FF4"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赎回对价：指投资人赎回</w:t>
      </w:r>
      <w:r w:rsidRPr="00B56A57">
        <w:rPr>
          <w:rFonts w:asciiTheme="minorEastAsia" w:eastAsiaTheme="minorEastAsia" w:hAnsiTheme="minorEastAsia" w:hint="eastAsia"/>
          <w:color w:val="0D0D0D" w:themeColor="text1" w:themeTint="F2"/>
        </w:rPr>
        <w:t>基金份额</w:t>
      </w:r>
      <w:r w:rsidRPr="00B56A57">
        <w:rPr>
          <w:rFonts w:asciiTheme="minorEastAsia" w:eastAsiaTheme="minorEastAsia" w:hAnsiTheme="minorEastAsia" w:cs="Arial" w:hint="eastAsia"/>
          <w:bCs/>
          <w:color w:val="0D0D0D" w:themeColor="text1" w:themeTint="F2"/>
          <w:szCs w:val="21"/>
        </w:rPr>
        <w:t>时，</w:t>
      </w:r>
      <w:r w:rsidRPr="00B56A57">
        <w:rPr>
          <w:rFonts w:asciiTheme="minorEastAsia" w:hAnsiTheme="minorEastAsia" w:hint="eastAsia"/>
          <w:color w:val="0D0D0D" w:themeColor="text1" w:themeTint="F2"/>
        </w:rPr>
        <w:t>基金管理人</w:t>
      </w:r>
      <w:r w:rsidRPr="00B56A57">
        <w:rPr>
          <w:rFonts w:asciiTheme="minorEastAsia" w:eastAsiaTheme="minorEastAsia" w:hAnsiTheme="minorEastAsia" w:cs="Arial" w:hint="eastAsia"/>
          <w:bCs/>
          <w:color w:val="0D0D0D" w:themeColor="text1" w:themeTint="F2"/>
          <w:szCs w:val="21"/>
        </w:rPr>
        <w:t>按</w:t>
      </w:r>
      <w:r w:rsidRPr="00B56A57">
        <w:rPr>
          <w:rFonts w:asciiTheme="minorEastAsia" w:hAnsiTheme="minorEastAsia" w:hint="eastAsia"/>
          <w:color w:val="0D0D0D" w:themeColor="text1" w:themeTint="F2"/>
        </w:rPr>
        <w:t>基金</w:t>
      </w:r>
      <w:r w:rsidRPr="00B56A57">
        <w:rPr>
          <w:rFonts w:asciiTheme="minorEastAsia" w:eastAsiaTheme="minorEastAsia" w:hAnsiTheme="minorEastAsia" w:cs="Arial" w:hint="eastAsia"/>
          <w:bCs/>
          <w:color w:val="0D0D0D" w:themeColor="text1" w:themeTint="F2"/>
          <w:szCs w:val="21"/>
        </w:rPr>
        <w:t>合同和招募说明书规定应交付给赎回人的现金替代、现金差额及其他对价</w:t>
      </w:r>
    </w:p>
    <w:p w14:paraId="187656A0"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组合证券：指本基金标的指数所包含的全部或部分证券</w:t>
      </w:r>
    </w:p>
    <w:p w14:paraId="0EE5E995"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标的指数：指中证指数有限公司编制并发布的中证港股通消费主题指数及其未来可能发生的变更</w:t>
      </w:r>
    </w:p>
    <w:p w14:paraId="253EA81C"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完全复制法：指一种跟踪指数的方法。通过购买标的指数中的所有成份证券，并且按照每种成份证券在标的指数中的权重确定购买的比例以构建指数组合，达到复制指数的目的</w:t>
      </w:r>
    </w:p>
    <w:p w14:paraId="6FC40FBD"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现金替代：指申购、赎回过程中，投资人按基金合同和招募说明书的规定，用于替代组合证券中部分证券的一定数量的现金</w:t>
      </w:r>
    </w:p>
    <w:p w14:paraId="4F9CB022"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现金替代退补款：指投资人支付的现金替代与基金购入被替代成份证券的成本及相关费用的差额。若现金替代大于本基金购入被替代成份证券的成本及相关费用，则本基金需向投资人退还差额，若现金替代小于本基金购入被替代成份证券的成本及相关费用，则投资人需</w:t>
      </w:r>
      <w:r w:rsidRPr="00B56A57">
        <w:rPr>
          <w:rFonts w:asciiTheme="minorEastAsia" w:eastAsiaTheme="minorEastAsia" w:hAnsiTheme="minorEastAsia" w:cs="Arial" w:hint="eastAsia"/>
          <w:bCs/>
          <w:color w:val="0D0D0D" w:themeColor="text1" w:themeTint="F2"/>
          <w:szCs w:val="21"/>
        </w:rPr>
        <w:lastRenderedPageBreak/>
        <w:t>向本基金补缴差额</w:t>
      </w:r>
    </w:p>
    <w:p w14:paraId="491DE689"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现金差额：指最小申购、赎回单位的资产净值与按当日收盘价计算的最小申购、赎回单位中的组合证券市值和现金替代之差；投资人申购、赎回时应支付或应获得的现金差额根据最小申购、赎回单位对应的现金差额、申购或赎回</w:t>
      </w:r>
      <w:r w:rsidRPr="00B56A57">
        <w:rPr>
          <w:rFonts w:asciiTheme="minorEastAsia" w:eastAsiaTheme="minorEastAsia" w:hAnsiTheme="minorEastAsia" w:hint="eastAsia"/>
          <w:color w:val="0D0D0D" w:themeColor="text1" w:themeTint="F2"/>
        </w:rPr>
        <w:t>的基金份额</w:t>
      </w:r>
      <w:r w:rsidRPr="00B56A57">
        <w:rPr>
          <w:rFonts w:asciiTheme="minorEastAsia" w:eastAsiaTheme="minorEastAsia" w:hAnsiTheme="minorEastAsia" w:cs="Arial" w:hint="eastAsia"/>
          <w:bCs/>
          <w:color w:val="0D0D0D" w:themeColor="text1" w:themeTint="F2"/>
          <w:szCs w:val="21"/>
        </w:rPr>
        <w:t>数计算</w:t>
      </w:r>
    </w:p>
    <w:p w14:paraId="1B21FBF9"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最小申购、赎回单位：指本基金申购、赎回</w:t>
      </w:r>
      <w:r w:rsidRPr="00B56A57">
        <w:rPr>
          <w:rFonts w:asciiTheme="minorEastAsia" w:eastAsiaTheme="minorEastAsia" w:hAnsiTheme="minorEastAsia" w:hint="eastAsia"/>
          <w:color w:val="0D0D0D" w:themeColor="text1" w:themeTint="F2"/>
        </w:rPr>
        <w:t>份额</w:t>
      </w:r>
      <w:r w:rsidRPr="00B56A57">
        <w:rPr>
          <w:rFonts w:asciiTheme="minorEastAsia" w:eastAsiaTheme="minorEastAsia" w:hAnsiTheme="minorEastAsia" w:cs="Arial" w:hint="eastAsia"/>
          <w:bCs/>
          <w:color w:val="0D0D0D" w:themeColor="text1" w:themeTint="F2"/>
          <w:szCs w:val="21"/>
        </w:rPr>
        <w:t>的最低数量，投资人申购、赎回的</w:t>
      </w:r>
      <w:r w:rsidRPr="00B56A57">
        <w:rPr>
          <w:rFonts w:asciiTheme="minorEastAsia" w:eastAsiaTheme="minorEastAsia" w:hAnsiTheme="minorEastAsia" w:hint="eastAsia"/>
          <w:color w:val="0D0D0D" w:themeColor="text1" w:themeTint="F2"/>
        </w:rPr>
        <w:t>基金份额</w:t>
      </w:r>
      <w:r w:rsidRPr="00B56A57">
        <w:rPr>
          <w:rFonts w:asciiTheme="minorEastAsia" w:eastAsiaTheme="minorEastAsia" w:hAnsiTheme="minorEastAsia" w:cs="Arial" w:hint="eastAsia"/>
          <w:bCs/>
          <w:color w:val="0D0D0D" w:themeColor="text1" w:themeTint="F2"/>
          <w:szCs w:val="21"/>
        </w:rPr>
        <w:t>应</w:t>
      </w:r>
      <w:r w:rsidRPr="00B56A57">
        <w:rPr>
          <w:rFonts w:asciiTheme="minorEastAsia" w:hAnsiTheme="minorEastAsia" w:hint="eastAsia"/>
          <w:color w:val="0D0D0D" w:themeColor="text1" w:themeTint="F2"/>
        </w:rPr>
        <w:t>为</w:t>
      </w:r>
      <w:r w:rsidRPr="00B56A57">
        <w:rPr>
          <w:rFonts w:asciiTheme="minorEastAsia" w:eastAsiaTheme="minorEastAsia" w:hAnsiTheme="minorEastAsia" w:cs="Arial" w:hint="eastAsia"/>
          <w:bCs/>
          <w:color w:val="0D0D0D" w:themeColor="text1" w:themeTint="F2"/>
          <w:szCs w:val="21"/>
        </w:rPr>
        <w:t>最小申购、赎回单位的整数倍</w:t>
      </w:r>
    </w:p>
    <w:p w14:paraId="01CC5002"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基金份额参考净值：指基金管理人或基金管理人委托其他机构在交易时间内根据申购、赎回清单和组合证券内各只证券的实时成交数据及汇率数据计算并</w:t>
      </w:r>
      <w:bookmarkStart w:id="67" w:name="_Hlk3643393"/>
      <w:r w:rsidRPr="00B56A57">
        <w:rPr>
          <w:rFonts w:asciiTheme="minorEastAsia" w:eastAsiaTheme="minorEastAsia" w:hAnsiTheme="minorEastAsia" w:cs="Arial" w:hint="eastAsia"/>
          <w:bCs/>
          <w:color w:val="0D0D0D" w:themeColor="text1" w:themeTint="F2"/>
          <w:szCs w:val="21"/>
        </w:rPr>
        <w:t>由上海证券交易所在交易时间内</w:t>
      </w:r>
      <w:bookmarkEnd w:id="67"/>
      <w:r w:rsidRPr="00B56A57">
        <w:rPr>
          <w:rFonts w:asciiTheme="minorEastAsia" w:eastAsiaTheme="minorEastAsia" w:hAnsiTheme="minorEastAsia" w:cs="Arial" w:hint="eastAsia"/>
          <w:bCs/>
          <w:color w:val="0D0D0D" w:themeColor="text1" w:themeTint="F2"/>
          <w:szCs w:val="21"/>
        </w:rPr>
        <w:t>发布的基金份额参考净值，简称</w:t>
      </w:r>
      <w:r w:rsidRPr="00B56A57">
        <w:rPr>
          <w:rFonts w:asciiTheme="minorEastAsia" w:eastAsiaTheme="minorEastAsia" w:hAnsiTheme="minorEastAsia" w:cs="Arial"/>
          <w:bCs/>
          <w:color w:val="0D0D0D" w:themeColor="text1" w:themeTint="F2"/>
          <w:szCs w:val="21"/>
        </w:rPr>
        <w:t>IOPV</w:t>
      </w:r>
    </w:p>
    <w:p w14:paraId="16261A52"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eastAsiaTheme="minorEastAsia" w:hAnsiTheme="minorEastAsia" w:cs="Arial" w:hint="eastAsia"/>
          <w:bCs/>
          <w:color w:val="0D0D0D" w:themeColor="text1" w:themeTint="F2"/>
          <w:szCs w:val="21"/>
        </w:rPr>
        <w:t>预估现金部分：指为便于计算基金份额参考净值及申购赎回代理券商预先冻结申请申购、赎回的投资人的相应资金，由基金</w:t>
      </w:r>
      <w:r w:rsidRPr="00B56A57">
        <w:rPr>
          <w:rFonts w:asciiTheme="minorEastAsia" w:hAnsiTheme="minorEastAsia" w:hint="eastAsia"/>
          <w:color w:val="0D0D0D" w:themeColor="text1" w:themeTint="F2"/>
        </w:rPr>
        <w:t>管理</w:t>
      </w:r>
      <w:r w:rsidRPr="00B56A57">
        <w:rPr>
          <w:rFonts w:asciiTheme="minorEastAsia" w:eastAsiaTheme="minorEastAsia" w:hAnsiTheme="minorEastAsia" w:cs="Arial" w:hint="eastAsia"/>
          <w:bCs/>
          <w:color w:val="0D0D0D" w:themeColor="text1" w:themeTint="F2"/>
          <w:szCs w:val="21"/>
        </w:rPr>
        <w:t>人计算并公布</w:t>
      </w:r>
      <w:r w:rsidRPr="00B56A57">
        <w:rPr>
          <w:rFonts w:asciiTheme="minorEastAsia" w:hAnsiTheme="minorEastAsia" w:hint="eastAsia"/>
          <w:color w:val="0D0D0D" w:themeColor="text1" w:themeTint="F2"/>
        </w:rPr>
        <w:t>的</w:t>
      </w:r>
      <w:r w:rsidRPr="00B56A57">
        <w:rPr>
          <w:rFonts w:asciiTheme="minorEastAsia" w:eastAsiaTheme="minorEastAsia" w:hAnsiTheme="minorEastAsia" w:cs="Arial" w:hint="eastAsia"/>
          <w:bCs/>
          <w:color w:val="0D0D0D" w:themeColor="text1" w:themeTint="F2"/>
          <w:szCs w:val="21"/>
        </w:rPr>
        <w:t>现金数额</w:t>
      </w:r>
    </w:p>
    <w:p w14:paraId="4ECC7B1B"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元：指人民币元</w:t>
      </w:r>
    </w:p>
    <w:p w14:paraId="159B97F3"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基金收益：指基金投资所得红利、股息、债券利息、买卖证券价差、银行存款利息、已实现的其他合法收入及因运用基金财产带来的成本和费用的节约</w:t>
      </w:r>
    </w:p>
    <w:p w14:paraId="0D20F04A"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hint="eastAsia"/>
          <w:color w:val="0D0D0D" w:themeColor="text1" w:themeTint="F2"/>
        </w:rPr>
        <w:t>基金</w:t>
      </w:r>
      <w:r w:rsidRPr="00B56A57">
        <w:rPr>
          <w:rFonts w:asciiTheme="minorEastAsia" w:eastAsiaTheme="minorEastAsia" w:hAnsiTheme="minorEastAsia" w:cs="Arial" w:hint="eastAsia"/>
          <w:bCs/>
          <w:color w:val="0D0D0D" w:themeColor="text1" w:themeTint="F2"/>
          <w:szCs w:val="21"/>
        </w:rPr>
        <w:t>份额折算</w:t>
      </w:r>
      <w:r w:rsidRPr="00B56A57">
        <w:rPr>
          <w:rFonts w:asciiTheme="minorEastAsia" w:eastAsiaTheme="minorEastAsia" w:hAnsiTheme="minorEastAsia" w:hint="eastAsia"/>
          <w:color w:val="0D0D0D" w:themeColor="text1" w:themeTint="F2"/>
        </w:rPr>
        <w:t>：指基金</w:t>
      </w:r>
      <w:r w:rsidRPr="00B56A57">
        <w:rPr>
          <w:rFonts w:asciiTheme="minorEastAsia" w:eastAsiaTheme="minorEastAsia" w:hAnsiTheme="minorEastAsia" w:cs="Arial" w:hint="eastAsia"/>
          <w:bCs/>
          <w:color w:val="0D0D0D" w:themeColor="text1" w:themeTint="F2"/>
          <w:szCs w:val="21"/>
        </w:rPr>
        <w:t>管理人根据</w:t>
      </w:r>
      <w:r w:rsidRPr="00B56A57">
        <w:rPr>
          <w:rFonts w:asciiTheme="minorEastAsia" w:eastAsiaTheme="minorEastAsia" w:hAnsiTheme="minorEastAsia" w:hint="eastAsia"/>
          <w:color w:val="0D0D0D" w:themeColor="text1" w:themeTint="F2"/>
        </w:rPr>
        <w:t>基金</w:t>
      </w:r>
      <w:r w:rsidRPr="00B56A57">
        <w:rPr>
          <w:rFonts w:asciiTheme="minorEastAsia" w:eastAsiaTheme="minorEastAsia" w:hAnsiTheme="minorEastAsia" w:cs="Arial" w:hint="eastAsia"/>
          <w:bCs/>
          <w:color w:val="0D0D0D" w:themeColor="text1" w:themeTint="F2"/>
          <w:szCs w:val="21"/>
        </w:rPr>
        <w:t>合同规定将投资人的基金份额进行变更登记</w:t>
      </w:r>
      <w:r w:rsidRPr="00B56A57">
        <w:rPr>
          <w:rFonts w:asciiTheme="minorEastAsia" w:eastAsiaTheme="minorEastAsia" w:hAnsiTheme="minorEastAsia" w:hint="eastAsia"/>
          <w:color w:val="0D0D0D" w:themeColor="text1" w:themeTint="F2"/>
        </w:rPr>
        <w:t>的</w:t>
      </w:r>
      <w:r w:rsidRPr="00B56A57">
        <w:rPr>
          <w:rFonts w:asciiTheme="minorEastAsia" w:eastAsiaTheme="minorEastAsia" w:hAnsiTheme="minorEastAsia" w:cs="Arial" w:hint="eastAsia"/>
          <w:bCs/>
          <w:color w:val="0D0D0D" w:themeColor="text1" w:themeTint="F2"/>
          <w:szCs w:val="21"/>
        </w:rPr>
        <w:t>行为</w:t>
      </w:r>
    </w:p>
    <w:p w14:paraId="43AF0466"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olor w:val="0D0D0D" w:themeColor="text1" w:themeTint="F2"/>
        </w:rPr>
      </w:pPr>
      <w:r w:rsidRPr="00B56A57">
        <w:rPr>
          <w:rFonts w:asciiTheme="minorEastAsia" w:eastAsiaTheme="minorEastAsia" w:hAnsiTheme="minorEastAsia" w:cs="Arial" w:hint="eastAsia"/>
          <w:bCs/>
          <w:color w:val="0D0D0D" w:themeColor="text1" w:themeTint="F2"/>
          <w:szCs w:val="21"/>
        </w:rPr>
        <w:t>收益评价日：指基金管理人计算本基金份额净值增长率与标的指数同期增长率差额之日</w:t>
      </w:r>
    </w:p>
    <w:p w14:paraId="2C489BC4"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基金份额净值增长率：指收益评价日基金份额净值与基金上市前一日基金份额净值之比减去</w:t>
      </w:r>
      <w:r w:rsidRPr="00B56A57">
        <w:rPr>
          <w:rFonts w:asciiTheme="minorEastAsia" w:eastAsiaTheme="minorEastAsia" w:hAnsiTheme="minorEastAsia" w:cs="Arial"/>
          <w:bCs/>
          <w:color w:val="0D0D0D" w:themeColor="text1" w:themeTint="F2"/>
          <w:szCs w:val="21"/>
        </w:rPr>
        <w:t>1乘以100%（期间发生基金份额折算、拆分或合并，则以基金份额折算日、经拆分或合并调整后的基金份额折算日为初始日重新计算）</w:t>
      </w:r>
    </w:p>
    <w:p w14:paraId="788C7874"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标的指数同期增长率：指收益评价日标的指数收盘价与基金上市前一日标的指数收盘价之比减去</w:t>
      </w:r>
      <w:r w:rsidRPr="00B56A57">
        <w:rPr>
          <w:rFonts w:asciiTheme="minorEastAsia" w:eastAsiaTheme="minorEastAsia" w:hAnsiTheme="minorEastAsia" w:cs="Arial"/>
          <w:bCs/>
          <w:color w:val="0D0D0D" w:themeColor="text1" w:themeTint="F2"/>
          <w:szCs w:val="21"/>
        </w:rPr>
        <w:t>1</w:t>
      </w:r>
      <w:r w:rsidRPr="00B56A57">
        <w:rPr>
          <w:rFonts w:asciiTheme="minorEastAsia" w:eastAsiaTheme="minorEastAsia" w:hAnsiTheme="minorEastAsia" w:cs="Arial" w:hint="eastAsia"/>
          <w:bCs/>
          <w:color w:val="0D0D0D" w:themeColor="text1" w:themeTint="F2"/>
          <w:szCs w:val="21"/>
        </w:rPr>
        <w:t>乘以</w:t>
      </w:r>
      <w:r w:rsidRPr="00B56A57">
        <w:rPr>
          <w:rFonts w:asciiTheme="minorEastAsia" w:eastAsiaTheme="minorEastAsia" w:hAnsiTheme="minorEastAsia" w:cs="Arial"/>
          <w:bCs/>
          <w:color w:val="0D0D0D" w:themeColor="text1" w:themeTint="F2"/>
          <w:szCs w:val="21"/>
        </w:rPr>
        <w:t>100%</w:t>
      </w:r>
      <w:r w:rsidRPr="00B56A57">
        <w:rPr>
          <w:rFonts w:asciiTheme="minorEastAsia" w:eastAsiaTheme="minorEastAsia" w:hAnsiTheme="minorEastAsia" w:cs="Arial" w:hint="eastAsia"/>
          <w:bCs/>
          <w:color w:val="0D0D0D" w:themeColor="text1" w:themeTint="F2"/>
          <w:szCs w:val="21"/>
        </w:rPr>
        <w:t>（期间发生基金份额折算、拆分或合并，则以基金份额折算日、经拆分或合并调整后的基金份额折算日为初始日重新计算）</w:t>
      </w:r>
    </w:p>
    <w:p w14:paraId="3FF5FA91"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基金资产总值：指基金拥有的各类有价证券、银行存款本息、基金应收款项及其他资产的价值总和</w:t>
      </w:r>
    </w:p>
    <w:p w14:paraId="5A9A7367"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基金资产净值：指基金资产总值减去基金负债后的价值</w:t>
      </w:r>
    </w:p>
    <w:p w14:paraId="724A1161"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基金份额净值：指计算日基金资产净值除以计算日基金份额总数</w:t>
      </w:r>
    </w:p>
    <w:p w14:paraId="1E89A3B6"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基金资产估值：指计算评估基金资产和负债的价值，以确定基金资产净值和基金份额净值的过程</w:t>
      </w:r>
    </w:p>
    <w:p w14:paraId="215A3F22"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规定媒介：指符合中国证监会规定条件的用以进行信息披露的全国性报刊及《信息披露办法》规定的互联网网站（包括基金管理人网站、基金托管人网站、中国证监会基金电子披露网站）等媒介</w:t>
      </w:r>
    </w:p>
    <w:p w14:paraId="1E34AFCE"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bookmarkStart w:id="68" w:name="_Toc6149"/>
      <w:bookmarkStart w:id="69" w:name="_Toc5246"/>
      <w:bookmarkStart w:id="70" w:name="_Toc545"/>
      <w:bookmarkStart w:id="71" w:name="_Toc13288"/>
      <w:bookmarkStart w:id="72" w:name="_Toc733"/>
      <w:bookmarkStart w:id="73" w:name="_Toc22708"/>
      <w:bookmarkStart w:id="74" w:name="_Toc20318"/>
      <w:bookmarkStart w:id="75" w:name="_Toc24571"/>
      <w:bookmarkStart w:id="76" w:name="_Toc18631"/>
      <w:bookmarkStart w:id="77" w:name="_Toc6683"/>
      <w:bookmarkStart w:id="78" w:name="_Toc20627"/>
      <w:bookmarkStart w:id="79" w:name="_Toc233456272"/>
      <w:bookmarkStart w:id="80" w:name="_Toc258829400"/>
      <w:r w:rsidRPr="00B56A57">
        <w:rPr>
          <w:rFonts w:asciiTheme="minorEastAsia" w:eastAsiaTheme="minorEastAsia" w:hAnsiTheme="minorEastAsia" w:cs="Arial" w:hint="eastAsia"/>
          <w:bCs/>
          <w:color w:val="0D0D0D" w:themeColor="text1" w:themeTint="F2"/>
          <w:szCs w:val="21"/>
        </w:rPr>
        <w:t>交易型开放式指数证券投资基金</w:t>
      </w:r>
      <w:r w:rsidRPr="00B56A57">
        <w:rPr>
          <w:rFonts w:asciiTheme="minorEastAsia" w:hAnsiTheme="minorEastAsia" w:hint="eastAsia"/>
          <w:color w:val="0D0D0D" w:themeColor="text1" w:themeTint="F2"/>
        </w:rPr>
        <w:t>：指</w:t>
      </w:r>
      <w:r w:rsidRPr="00B56A57">
        <w:rPr>
          <w:rFonts w:asciiTheme="minorEastAsia" w:eastAsiaTheme="minorEastAsia" w:hAnsiTheme="minorEastAsia" w:cs="Arial" w:hint="eastAsia"/>
          <w:bCs/>
          <w:color w:val="0D0D0D" w:themeColor="text1" w:themeTint="F2"/>
          <w:szCs w:val="21"/>
        </w:rPr>
        <w:t>《上海证券交易所交易型开放式指数基金业务实施细则》定义</w:t>
      </w:r>
      <w:r w:rsidRPr="00B56A57">
        <w:rPr>
          <w:rFonts w:asciiTheme="minorEastAsia" w:hAnsiTheme="minorEastAsia" w:hint="eastAsia"/>
          <w:color w:val="0D0D0D" w:themeColor="text1" w:themeTint="F2"/>
        </w:rPr>
        <w:t>的</w:t>
      </w:r>
      <w:r w:rsidRPr="00B56A57">
        <w:rPr>
          <w:rFonts w:asciiTheme="minorEastAsia" w:eastAsiaTheme="minorEastAsia" w:hAnsiTheme="minorEastAsia" w:cs="Arial" w:hint="eastAsia"/>
          <w:bCs/>
          <w:color w:val="0D0D0D" w:themeColor="text1" w:themeTint="F2"/>
          <w:szCs w:val="21"/>
        </w:rPr>
        <w:t>“交易型开放式指数</w:t>
      </w:r>
      <w:r w:rsidRPr="00B56A57">
        <w:rPr>
          <w:rFonts w:asciiTheme="minorEastAsia" w:hAnsiTheme="minorEastAsia" w:hint="eastAsia"/>
          <w:color w:val="0D0D0D" w:themeColor="text1" w:themeTint="F2"/>
        </w:rPr>
        <w:t>基金</w:t>
      </w:r>
      <w:r w:rsidRPr="00B56A57">
        <w:rPr>
          <w:rFonts w:asciiTheme="minorEastAsia" w:eastAsiaTheme="minorEastAsia" w:hAnsiTheme="minorEastAsia" w:cs="Arial" w:hint="eastAsia"/>
          <w:bCs/>
          <w:color w:val="0D0D0D" w:themeColor="text1" w:themeTint="F2"/>
          <w:szCs w:val="21"/>
        </w:rPr>
        <w:t>”，简称“</w:t>
      </w:r>
      <w:r w:rsidRPr="00B56A57">
        <w:rPr>
          <w:rFonts w:asciiTheme="minorEastAsia" w:eastAsiaTheme="minorEastAsia" w:hAnsiTheme="minorEastAsia" w:cs="Arial"/>
          <w:bCs/>
          <w:color w:val="0D0D0D" w:themeColor="text1" w:themeTint="F2"/>
          <w:szCs w:val="21"/>
        </w:rPr>
        <w:t xml:space="preserve">ETF” </w:t>
      </w:r>
    </w:p>
    <w:p w14:paraId="66492B01"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lastRenderedPageBreak/>
        <w:t>联接</w:t>
      </w:r>
      <w:r w:rsidRPr="00B56A57">
        <w:rPr>
          <w:rFonts w:asciiTheme="minorEastAsia" w:hAnsiTheme="minorEastAsia" w:hint="eastAsia"/>
          <w:color w:val="0D0D0D" w:themeColor="text1" w:themeTint="F2"/>
        </w:rPr>
        <w:t>基金</w:t>
      </w:r>
      <w:r w:rsidRPr="00B56A57">
        <w:rPr>
          <w:rFonts w:asciiTheme="minorEastAsia" w:eastAsiaTheme="minorEastAsia" w:hAnsiTheme="minorEastAsia" w:cs="Arial" w:hint="eastAsia"/>
          <w:bCs/>
          <w:color w:val="0D0D0D" w:themeColor="text1" w:themeTint="F2"/>
          <w:szCs w:val="21"/>
        </w:rPr>
        <w:t>：指将绝大部分基金财产投资于博时中证港股通消费主题交易型开放式指数证券投资基金（目标</w:t>
      </w:r>
      <w:r w:rsidRPr="00B56A57">
        <w:rPr>
          <w:rFonts w:asciiTheme="minorEastAsia" w:eastAsiaTheme="minorEastAsia" w:hAnsiTheme="minorEastAsia" w:cs="Arial"/>
          <w:bCs/>
          <w:color w:val="0D0D0D" w:themeColor="text1" w:themeTint="F2"/>
          <w:szCs w:val="21"/>
        </w:rPr>
        <w:t>ETF</w:t>
      </w:r>
      <w:r w:rsidRPr="00B56A57">
        <w:rPr>
          <w:rFonts w:asciiTheme="minorEastAsia" w:eastAsiaTheme="minorEastAsia" w:hAnsiTheme="minorEastAsia" w:cs="Arial" w:hint="eastAsia"/>
          <w:bCs/>
          <w:color w:val="0D0D0D" w:themeColor="text1" w:themeTint="F2"/>
          <w:szCs w:val="21"/>
        </w:rPr>
        <w:t>），紧密跟踪标的指数表现，追求跟踪偏离度和跟踪误差最小化，获得与指数收益相似的回报，采用开放式运作方式的基金</w:t>
      </w:r>
    </w:p>
    <w:p w14:paraId="2003B5E8"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以下简称沪港通）和深港股票市场交易互联互通机制（以下简称深港通）</w:t>
      </w:r>
    </w:p>
    <w:p w14:paraId="49665860"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eastAsiaTheme="minorEastAsia" w:hAnsiTheme="minorEastAsia" w:cs="Arial" w:hint="eastAsia"/>
          <w:bCs/>
          <w:color w:val="0D0D0D" w:themeColor="text1" w:themeTint="F2"/>
          <w:szCs w:val="21"/>
        </w:rPr>
        <w:t>港股通：指内地投资者委托内地证券公司，经由上海证券交易所、深圳证券交易所或经中国证监会认可的机构设立的证券交易</w:t>
      </w:r>
      <w:r w:rsidRPr="00B56A57">
        <w:rPr>
          <w:rFonts w:asciiTheme="minorEastAsia" w:hAnsiTheme="minorEastAsia" w:hint="eastAsia"/>
          <w:color w:val="0D0D0D" w:themeColor="text1" w:themeTint="F2"/>
        </w:rPr>
        <w:t>服务</w:t>
      </w:r>
      <w:r w:rsidRPr="00B56A57">
        <w:rPr>
          <w:rFonts w:asciiTheme="minorEastAsia" w:eastAsiaTheme="minorEastAsia" w:hAnsiTheme="minorEastAsia" w:cs="Arial" w:hint="eastAsia"/>
          <w:bCs/>
          <w:color w:val="0D0D0D" w:themeColor="text1" w:themeTint="F2"/>
          <w:szCs w:val="21"/>
        </w:rPr>
        <w:t>公司，向香港联合交易所有限公司进行申报，买卖沪港通、深港通规定范围内的香港联合交易所上市的股票</w:t>
      </w:r>
    </w:p>
    <w:p w14:paraId="76594592"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流动性受限资产：指由于法律法规、监管、合同或操作障碍等原因无法以合理价格予以变现的资产，包括但不限于到期日在</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个交易日以上的逆回购与银行定期存款（含协议约定有条件提前支取的银行存款）、停牌股票、流通受限的新股及非公开发行股票、资产支持证券、因发行人债务违约无法进行转让或交易的债券等</w:t>
      </w:r>
    </w:p>
    <w:p w14:paraId="59CEE50E"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color w:val="0D0D0D" w:themeColor="text1" w:themeTint="F2"/>
        </w:rPr>
        <w:t>转融通证券出借</w:t>
      </w:r>
      <w:r w:rsidRPr="00B56A57">
        <w:rPr>
          <w:rFonts w:asciiTheme="minorEastAsia" w:hAnsiTheme="minorEastAsia" w:hint="eastAsia"/>
          <w:color w:val="0D0D0D" w:themeColor="text1" w:themeTint="F2"/>
        </w:rPr>
        <w:t>业务：指基金以一定的费率通过证券交易所综合业务平台向中国证券金融股份有限公司（以下简称证券金融公司）出借证券，证券金融公司到期归还所借证券及相应权益补偿并支付费用的业务</w:t>
      </w:r>
    </w:p>
    <w:p w14:paraId="71361D07"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特定机构投资者：指根据上海证券交易所颁布的《</w:t>
      </w:r>
      <w:r w:rsidRPr="00B56A57">
        <w:rPr>
          <w:rStyle w:val="bjh-p"/>
          <w:rFonts w:hint="eastAsia"/>
        </w:rPr>
        <w:t>特定机构投资者参与证券投资基金申购赎回业务指引</w:t>
      </w:r>
      <w:r w:rsidRPr="00B56A57">
        <w:rPr>
          <w:rFonts w:asciiTheme="minorEastAsia" w:eastAsiaTheme="minorEastAsia" w:hAnsiTheme="minorEastAsia" w:cs="Arial" w:hint="eastAsia"/>
          <w:bCs/>
          <w:color w:val="0D0D0D" w:themeColor="text1" w:themeTint="F2"/>
          <w:szCs w:val="21"/>
        </w:rPr>
        <w:t>》所定义机构投资者</w:t>
      </w:r>
    </w:p>
    <w:p w14:paraId="440498AB" w14:textId="77777777" w:rsidR="00217DCA" w:rsidRPr="00B56A57" w:rsidRDefault="006C7341">
      <w:pPr>
        <w:numPr>
          <w:ilvl w:val="0"/>
          <w:numId w:val="2"/>
        </w:numPr>
        <w:snapToGrid w:val="0"/>
        <w:spacing w:line="360" w:lineRule="auto"/>
        <w:ind w:left="0" w:firstLineChars="150" w:firstLine="315"/>
        <w:rPr>
          <w:rFonts w:asciiTheme="minorEastAsia" w:eastAsiaTheme="minorEastAsia" w:hAnsiTheme="minorEastAsia" w:cs="Arial"/>
          <w:bCs/>
          <w:color w:val="0D0D0D" w:themeColor="text1" w:themeTint="F2"/>
          <w:szCs w:val="21"/>
        </w:rPr>
      </w:pPr>
      <w:r w:rsidRPr="00B56A57">
        <w:rPr>
          <w:rFonts w:asciiTheme="minorEastAsia" w:eastAsiaTheme="minorEastAsia" w:hAnsiTheme="minorEastAsia" w:cs="Arial" w:hint="eastAsia"/>
          <w:bCs/>
          <w:color w:val="0D0D0D" w:themeColor="text1" w:themeTint="F2"/>
          <w:szCs w:val="21"/>
        </w:rPr>
        <w:t>中国：指中华人民共和国，就本基金合同而言，不包括香港特别行政区、澳门特别行政区和台湾地区</w:t>
      </w:r>
    </w:p>
    <w:p w14:paraId="7F61AD29" w14:textId="77777777" w:rsidR="00217DCA" w:rsidRPr="00B56A57" w:rsidRDefault="006C7341">
      <w:pPr>
        <w:numPr>
          <w:ilvl w:val="0"/>
          <w:numId w:val="2"/>
        </w:numPr>
        <w:snapToGrid w:val="0"/>
        <w:spacing w:line="360" w:lineRule="auto"/>
        <w:ind w:left="0" w:firstLineChars="150" w:firstLine="315"/>
        <w:rPr>
          <w:rFonts w:asciiTheme="minorEastAsia" w:hAnsiTheme="minorEastAsia"/>
          <w:color w:val="0D0D0D" w:themeColor="text1" w:themeTint="F2"/>
        </w:rPr>
      </w:pPr>
      <w:r w:rsidRPr="00B56A57">
        <w:rPr>
          <w:rFonts w:asciiTheme="minorEastAsia" w:hAnsiTheme="minorEastAsia" w:hint="eastAsia"/>
          <w:color w:val="0D0D0D" w:themeColor="text1" w:themeTint="F2"/>
        </w:rPr>
        <w:t>不可抗力：指本基金合同当事人不能预见、不能避免且不能克服的客观事件</w:t>
      </w:r>
    </w:p>
    <w:p w14:paraId="613D0450" w14:textId="77777777" w:rsidR="00217DCA" w:rsidRPr="00B56A57" w:rsidRDefault="00217DCA">
      <w:pPr>
        <w:pStyle w:val="afe"/>
        <w:tabs>
          <w:tab w:val="left" w:pos="851"/>
        </w:tabs>
        <w:adjustRightInd w:val="0"/>
        <w:snapToGrid w:val="0"/>
        <w:spacing w:line="360" w:lineRule="auto"/>
        <w:ind w:left="900" w:firstLineChars="0" w:firstLine="0"/>
        <w:rPr>
          <w:rFonts w:asciiTheme="minorEastAsia" w:eastAsiaTheme="minorEastAsia" w:hAnsiTheme="minorEastAsia" w:cs="Arial"/>
          <w:color w:val="0D0D0D" w:themeColor="text1" w:themeTint="F2"/>
          <w:szCs w:val="21"/>
        </w:rPr>
      </w:pPr>
    </w:p>
    <w:p w14:paraId="7CDB6C2B" w14:textId="77777777" w:rsidR="00217DCA" w:rsidRPr="00B56A57" w:rsidRDefault="00217DCA">
      <w:pPr>
        <w:pStyle w:val="1"/>
        <w:sectPr w:rsidR="00217DCA" w:rsidRPr="00B56A57">
          <w:footerReference w:type="default" r:id="rId17"/>
          <w:pgSz w:w="11906" w:h="16838"/>
          <w:pgMar w:top="1440" w:right="1800" w:bottom="1440" w:left="1800" w:header="851" w:footer="992" w:gutter="0"/>
          <w:pgNumType w:start="1"/>
          <w:cols w:space="425"/>
          <w:docGrid w:type="lines" w:linePitch="312"/>
        </w:sectPr>
      </w:pPr>
      <w:bookmarkStart w:id="81" w:name="_Toc90742389"/>
      <w:bookmarkStart w:id="82" w:name="_Toc90742687"/>
      <w:bookmarkStart w:id="83" w:name="_Toc90742320"/>
    </w:p>
    <w:p w14:paraId="08D1982C" w14:textId="77777777" w:rsidR="00217DCA" w:rsidRPr="00B56A57" w:rsidRDefault="006C7341">
      <w:pPr>
        <w:pStyle w:val="1"/>
      </w:pPr>
      <w:bookmarkStart w:id="84" w:name="CLAUSE_947a99ec03914ad29283f168953a9d59"/>
      <w:bookmarkEnd w:id="60"/>
      <w:r w:rsidRPr="00B56A57">
        <w:lastRenderedPageBreak/>
        <w:t xml:space="preserve"> </w:t>
      </w:r>
      <w:bookmarkStart w:id="85" w:name="CTS_947a99ec03914ad29283f168953a9d59"/>
      <w:bookmarkStart w:id="86" w:name="_Toc64923767"/>
      <w:bookmarkStart w:id="87" w:name="_Toc73975080"/>
      <w:bookmarkEnd w:id="85"/>
      <w:r w:rsidRPr="00B56A57">
        <w:rPr>
          <w:rFonts w:hint="eastAsia"/>
        </w:rPr>
        <w:t>第三部分</w:t>
      </w:r>
      <w:r w:rsidRPr="00B56A57">
        <w:t xml:space="preserve"> </w:t>
      </w:r>
      <w:r w:rsidRPr="00B56A57">
        <w:rPr>
          <w:rFonts w:hint="eastAsia"/>
        </w:rPr>
        <w:t>基金的基本情况</w:t>
      </w:r>
      <w:bookmarkStart w:id="88" w:name="_Toc79392573"/>
      <w:bookmarkEnd w:id="68"/>
      <w:bookmarkEnd w:id="69"/>
      <w:bookmarkEnd w:id="70"/>
      <w:bookmarkEnd w:id="71"/>
      <w:bookmarkEnd w:id="72"/>
      <w:bookmarkEnd w:id="73"/>
      <w:bookmarkEnd w:id="74"/>
      <w:bookmarkEnd w:id="75"/>
      <w:bookmarkEnd w:id="76"/>
      <w:bookmarkEnd w:id="77"/>
      <w:bookmarkEnd w:id="78"/>
      <w:bookmarkEnd w:id="81"/>
      <w:bookmarkEnd w:id="82"/>
      <w:bookmarkEnd w:id="83"/>
      <w:bookmarkEnd w:id="86"/>
      <w:bookmarkEnd w:id="87"/>
    </w:p>
    <w:p w14:paraId="6BC78ED9" w14:textId="77777777" w:rsidR="00217DCA" w:rsidRPr="00B56A57" w:rsidRDefault="00217DCA">
      <w:pPr>
        <w:spacing w:line="360" w:lineRule="auto"/>
        <w:ind w:firstLine="540"/>
        <w:rPr>
          <w:rFonts w:asciiTheme="minorEastAsia" w:hAnsiTheme="minorEastAsia"/>
          <w:sz w:val="24"/>
        </w:rPr>
      </w:pPr>
      <w:bookmarkStart w:id="89" w:name="_Hlt88031774"/>
      <w:bookmarkStart w:id="90" w:name="_Hlt88031741"/>
      <w:bookmarkEnd w:id="89"/>
    </w:p>
    <w:bookmarkEnd w:id="90"/>
    <w:p w14:paraId="61C003E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一、基金名称</w:t>
      </w:r>
      <w:bookmarkEnd w:id="88"/>
    </w:p>
    <w:p w14:paraId="1E61C20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s="Arial"/>
          <w:color w:val="0D0D0D" w:themeColor="text1" w:themeTint="F2"/>
          <w:szCs w:val="21"/>
        </w:rPr>
        <w:t>博时中证港股通消费主题交易型开放式指数证券投资基金</w:t>
      </w:r>
    </w:p>
    <w:p w14:paraId="275E5B78" w14:textId="77777777" w:rsidR="00217DCA" w:rsidRPr="00B56A57" w:rsidRDefault="00217DCA">
      <w:pPr>
        <w:spacing w:line="360" w:lineRule="auto"/>
        <w:ind w:firstLineChars="200" w:firstLine="480"/>
        <w:rPr>
          <w:rFonts w:asciiTheme="minorEastAsia" w:hAnsiTheme="minorEastAsia"/>
          <w:sz w:val="24"/>
        </w:rPr>
      </w:pPr>
      <w:bookmarkStart w:id="91" w:name="_Toc79392574"/>
    </w:p>
    <w:p w14:paraId="69E7CFE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二、基金的类别</w:t>
      </w:r>
      <w:bookmarkEnd w:id="91"/>
    </w:p>
    <w:p w14:paraId="7D1FAB6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股票型指数基金</w:t>
      </w:r>
    </w:p>
    <w:p w14:paraId="430084FC" w14:textId="77777777" w:rsidR="00217DCA" w:rsidRPr="00B56A57" w:rsidRDefault="00217DCA">
      <w:pPr>
        <w:spacing w:line="360" w:lineRule="auto"/>
        <w:ind w:leftChars="257" w:left="796" w:hanging="256"/>
        <w:rPr>
          <w:rFonts w:asciiTheme="minorEastAsia" w:hAnsiTheme="minorEastAsia"/>
          <w:sz w:val="24"/>
        </w:rPr>
      </w:pPr>
      <w:bookmarkStart w:id="92" w:name="_Toc79392575"/>
    </w:p>
    <w:p w14:paraId="05FA924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三、基金的运作方式</w:t>
      </w:r>
    </w:p>
    <w:p w14:paraId="78CAD31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s="Arial"/>
          <w:color w:val="0D0D0D" w:themeColor="text1" w:themeTint="F2"/>
          <w:szCs w:val="21"/>
        </w:rPr>
        <w:t>交易型</w:t>
      </w:r>
      <w:r w:rsidRPr="00B56A57">
        <w:rPr>
          <w:rFonts w:asciiTheme="minorEastAsia" w:hAnsiTheme="minorEastAsia" w:hint="eastAsia"/>
          <w:color w:val="0D0D0D" w:themeColor="text1" w:themeTint="F2"/>
        </w:rPr>
        <w:t>开放式</w:t>
      </w:r>
    </w:p>
    <w:p w14:paraId="1810C14C" w14:textId="77777777" w:rsidR="00217DCA" w:rsidRPr="00B56A57" w:rsidRDefault="00217DCA">
      <w:pPr>
        <w:spacing w:line="360" w:lineRule="auto"/>
        <w:ind w:leftChars="257" w:left="796" w:hanging="256"/>
        <w:rPr>
          <w:rFonts w:asciiTheme="minorEastAsia" w:hAnsiTheme="minorEastAsia"/>
          <w:sz w:val="24"/>
        </w:rPr>
      </w:pPr>
    </w:p>
    <w:p w14:paraId="55D42D0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四、基金的投资目标</w:t>
      </w:r>
      <w:bookmarkEnd w:id="92"/>
    </w:p>
    <w:p w14:paraId="47D0CDD2"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r w:rsidRPr="00B56A57">
        <w:rPr>
          <w:rFonts w:asciiTheme="minorEastAsia" w:eastAsiaTheme="minorEastAsia" w:hAnsiTheme="minorEastAsia" w:cs="Arial"/>
          <w:color w:val="0D0D0D" w:themeColor="text1" w:themeTint="F2"/>
          <w:szCs w:val="21"/>
        </w:rPr>
        <w:t>紧密跟踪标的指数，追求跟踪偏离度和跟踪误差的最小化</w:t>
      </w:r>
      <w:r w:rsidRPr="00B56A57">
        <w:rPr>
          <w:rFonts w:asciiTheme="minorEastAsia" w:eastAsiaTheme="minorEastAsia" w:hAnsiTheme="minorEastAsia" w:cs="Arial" w:hint="eastAsia"/>
          <w:color w:val="0D0D0D" w:themeColor="text1" w:themeTint="F2"/>
          <w:szCs w:val="21"/>
        </w:rPr>
        <w:t>。</w:t>
      </w:r>
    </w:p>
    <w:p w14:paraId="3074CE6D" w14:textId="77777777" w:rsidR="00217DCA" w:rsidRPr="00B56A57" w:rsidRDefault="00217DCA">
      <w:pPr>
        <w:adjustRightInd w:val="0"/>
        <w:snapToGrid w:val="0"/>
        <w:spacing w:line="360" w:lineRule="auto"/>
        <w:ind w:firstLineChars="200" w:firstLine="420"/>
        <w:rPr>
          <w:rFonts w:asciiTheme="minorEastAsia" w:hAnsiTheme="minorEastAsia"/>
          <w:color w:val="0D0D0D" w:themeColor="text1" w:themeTint="F2"/>
        </w:rPr>
      </w:pPr>
    </w:p>
    <w:p w14:paraId="0C1FFCF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bookmarkStart w:id="93" w:name="_Toc79392576"/>
      <w:r w:rsidRPr="00B56A57">
        <w:rPr>
          <w:rFonts w:asciiTheme="minorEastAsia" w:hAnsiTheme="minorEastAsia" w:hint="eastAsia"/>
          <w:color w:val="0D0D0D" w:themeColor="text1" w:themeTint="F2"/>
        </w:rPr>
        <w:t>五、基金</w:t>
      </w:r>
      <w:r w:rsidRPr="00B56A57">
        <w:rPr>
          <w:rFonts w:asciiTheme="minorEastAsia" w:eastAsiaTheme="minorEastAsia" w:hAnsiTheme="minorEastAsia" w:cs="Arial" w:hint="eastAsia"/>
          <w:color w:val="0D0D0D" w:themeColor="text1" w:themeTint="F2"/>
          <w:szCs w:val="21"/>
        </w:rPr>
        <w:t>标</w:t>
      </w:r>
      <w:r w:rsidRPr="00B56A57">
        <w:rPr>
          <w:rFonts w:asciiTheme="minorEastAsia" w:eastAsiaTheme="minorEastAsia" w:hAnsiTheme="minorEastAsia" w:hint="eastAsia"/>
          <w:color w:val="0D0D0D" w:themeColor="text1" w:themeTint="F2"/>
        </w:rPr>
        <w:t>的</w:t>
      </w:r>
      <w:r w:rsidRPr="00B56A57">
        <w:rPr>
          <w:rFonts w:asciiTheme="minorEastAsia" w:eastAsiaTheme="minorEastAsia" w:hAnsiTheme="minorEastAsia" w:cs="Arial" w:hint="eastAsia"/>
          <w:color w:val="0D0D0D" w:themeColor="text1" w:themeTint="F2"/>
          <w:szCs w:val="21"/>
        </w:rPr>
        <w:t>指数</w:t>
      </w:r>
    </w:p>
    <w:p w14:paraId="423899F9" w14:textId="77777777" w:rsidR="00217DCA" w:rsidRPr="00B56A57" w:rsidRDefault="006C7341">
      <w:pPr>
        <w:adjustRightInd w:val="0"/>
        <w:snapToGrid w:val="0"/>
        <w:spacing w:line="360" w:lineRule="auto"/>
        <w:ind w:firstLineChars="176" w:firstLine="370"/>
        <w:rPr>
          <w:rFonts w:asciiTheme="minorEastAsia" w:eastAsiaTheme="minorEastAsia" w:hAnsiTheme="minorEastAsia" w:cs="Arial"/>
          <w:color w:val="0D0D0D" w:themeColor="text1" w:themeTint="F2"/>
          <w:kern w:val="0"/>
          <w:szCs w:val="21"/>
        </w:rPr>
      </w:pPr>
      <w:r w:rsidRPr="00B56A57">
        <w:rPr>
          <w:rFonts w:asciiTheme="minorEastAsia" w:eastAsiaTheme="minorEastAsia" w:hAnsiTheme="minorEastAsia" w:cs="Arial" w:hint="eastAsia"/>
          <w:color w:val="0D0D0D" w:themeColor="text1" w:themeTint="F2"/>
          <w:kern w:val="0"/>
          <w:szCs w:val="21"/>
        </w:rPr>
        <w:t>中证港股通消费主题指数</w:t>
      </w:r>
    </w:p>
    <w:p w14:paraId="1077C42B" w14:textId="77777777" w:rsidR="00217DCA" w:rsidRPr="00B56A57" w:rsidRDefault="00217DCA">
      <w:pPr>
        <w:snapToGrid w:val="0"/>
        <w:spacing w:line="360" w:lineRule="auto"/>
        <w:ind w:firstLineChars="200" w:firstLine="420"/>
        <w:rPr>
          <w:rFonts w:asciiTheme="minorEastAsia" w:eastAsiaTheme="minorEastAsia" w:hAnsiTheme="minorEastAsia"/>
        </w:rPr>
      </w:pPr>
      <w:bookmarkStart w:id="94" w:name="_Toc79392577"/>
    </w:p>
    <w:p w14:paraId="5DAD6FE0"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eastAsiaTheme="minorEastAsia" w:hAnsiTheme="minorEastAsia" w:hint="eastAsia"/>
        </w:rPr>
        <w:t>六、基金</w:t>
      </w:r>
      <w:r w:rsidRPr="00B56A57">
        <w:rPr>
          <w:rFonts w:asciiTheme="minorEastAsia" w:hAnsiTheme="minorEastAsia" w:hint="eastAsia"/>
        </w:rPr>
        <w:t>的最低募集份额总额</w:t>
      </w:r>
      <w:bookmarkEnd w:id="93"/>
    </w:p>
    <w:p w14:paraId="61A9BE70"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本基金的最低募集份额总额为</w:t>
      </w:r>
      <w:r w:rsidRPr="00B56A57">
        <w:rPr>
          <w:rFonts w:asciiTheme="minorEastAsia" w:eastAsiaTheme="minorEastAsia" w:hAnsiTheme="minorEastAsia"/>
          <w:szCs w:val="21"/>
        </w:rPr>
        <w:t>2</w:t>
      </w:r>
      <w:r w:rsidRPr="00B56A57">
        <w:rPr>
          <w:rFonts w:asciiTheme="minorEastAsia" w:hAnsiTheme="minorEastAsia" w:hint="eastAsia"/>
        </w:rPr>
        <w:t>亿份。</w:t>
      </w:r>
    </w:p>
    <w:p w14:paraId="47FBB544" w14:textId="77777777" w:rsidR="00217DCA" w:rsidRPr="00B56A57" w:rsidRDefault="00217DCA">
      <w:pPr>
        <w:spacing w:line="360" w:lineRule="auto"/>
        <w:ind w:firstLineChars="200" w:firstLine="480"/>
        <w:rPr>
          <w:rFonts w:asciiTheme="minorEastAsia" w:hAnsiTheme="minorEastAsia"/>
          <w:sz w:val="24"/>
        </w:rPr>
      </w:pPr>
    </w:p>
    <w:p w14:paraId="1E65BEBB"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hAnsiTheme="minorEastAsia" w:hint="eastAsia"/>
        </w:rPr>
        <w:t>七、基金</w:t>
      </w:r>
      <w:r w:rsidRPr="00B56A57">
        <w:rPr>
          <w:rFonts w:asciiTheme="minorEastAsia" w:eastAsiaTheme="minorEastAsia" w:hAnsiTheme="minorEastAsia" w:hint="eastAsia"/>
        </w:rPr>
        <w:t>份额</w:t>
      </w:r>
      <w:r w:rsidRPr="00B56A57">
        <w:rPr>
          <w:rFonts w:asciiTheme="minorEastAsia" w:eastAsiaTheme="minorEastAsia" w:hAnsiTheme="minorEastAsia" w:hint="eastAsia"/>
          <w:szCs w:val="21"/>
        </w:rPr>
        <w:t>发售</w:t>
      </w:r>
      <w:r w:rsidRPr="00B56A57">
        <w:rPr>
          <w:rFonts w:asciiTheme="minorEastAsia" w:eastAsiaTheme="minorEastAsia" w:hAnsiTheme="minorEastAsia" w:hint="eastAsia"/>
        </w:rPr>
        <w:t>面值和认购费用</w:t>
      </w:r>
    </w:p>
    <w:p w14:paraId="4052DB48"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本基金基金份额发售面值为人民币</w:t>
      </w:r>
      <w:r w:rsidRPr="00B56A57">
        <w:rPr>
          <w:rFonts w:asciiTheme="minorEastAsia" w:eastAsiaTheme="minorEastAsia" w:hAnsiTheme="minorEastAsia"/>
          <w:szCs w:val="21"/>
        </w:rPr>
        <w:t>1.00</w:t>
      </w:r>
      <w:r w:rsidRPr="00B56A57">
        <w:rPr>
          <w:rFonts w:asciiTheme="minorEastAsia" w:eastAsiaTheme="minorEastAsia" w:hAnsiTheme="minorEastAsia" w:hint="eastAsia"/>
        </w:rPr>
        <w:t>元。</w:t>
      </w:r>
    </w:p>
    <w:p w14:paraId="45B340B5"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本基金具体认购费率按招募说明书的规定执行。</w:t>
      </w:r>
    </w:p>
    <w:p w14:paraId="08C63AA5" w14:textId="77777777" w:rsidR="00217DCA" w:rsidRPr="00B56A57" w:rsidRDefault="00217DCA">
      <w:pPr>
        <w:autoSpaceDE w:val="0"/>
        <w:autoSpaceDN w:val="0"/>
        <w:adjustRightInd w:val="0"/>
        <w:spacing w:line="360" w:lineRule="auto"/>
        <w:ind w:firstLineChars="200" w:firstLine="480"/>
        <w:jc w:val="left"/>
        <w:rPr>
          <w:rFonts w:asciiTheme="minorEastAsia" w:eastAsiaTheme="minorEastAsia" w:hAnsiTheme="minorEastAsia"/>
          <w:bCs/>
          <w:sz w:val="24"/>
        </w:rPr>
      </w:pPr>
    </w:p>
    <w:p w14:paraId="37C48C1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八</w:t>
      </w:r>
      <w:bookmarkStart w:id="95" w:name="_Toc79392578"/>
      <w:bookmarkEnd w:id="94"/>
      <w:r w:rsidRPr="00B56A57">
        <w:rPr>
          <w:rFonts w:asciiTheme="minorEastAsia" w:eastAsiaTheme="minorEastAsia" w:hAnsiTheme="minorEastAsia" w:hint="eastAsia"/>
          <w:color w:val="0D0D0D" w:themeColor="text1" w:themeTint="F2"/>
        </w:rPr>
        <w:t>、基金</w:t>
      </w:r>
      <w:r w:rsidRPr="00B56A57">
        <w:rPr>
          <w:rFonts w:asciiTheme="minorEastAsia" w:hAnsiTheme="minorEastAsia" w:hint="eastAsia"/>
          <w:color w:val="0D0D0D" w:themeColor="text1" w:themeTint="F2"/>
        </w:rPr>
        <w:t>存续期限</w:t>
      </w:r>
      <w:bookmarkEnd w:id="95"/>
    </w:p>
    <w:p w14:paraId="0A3EC7B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不定期</w:t>
      </w:r>
    </w:p>
    <w:p w14:paraId="257F7E69" w14:textId="77777777" w:rsidR="00217DCA" w:rsidRPr="00B56A57" w:rsidRDefault="00217DCA">
      <w:pPr>
        <w:spacing w:line="360" w:lineRule="auto"/>
        <w:ind w:left="199" w:firstLine="425"/>
        <w:rPr>
          <w:rFonts w:asciiTheme="minorEastAsia" w:hAnsiTheme="minorEastAsia"/>
          <w:sz w:val="24"/>
        </w:rPr>
      </w:pPr>
    </w:p>
    <w:p w14:paraId="272142F6"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r w:rsidRPr="00B56A57">
        <w:rPr>
          <w:rFonts w:asciiTheme="minorEastAsia" w:eastAsiaTheme="minorEastAsia" w:hAnsiTheme="minorEastAsia" w:cs="Arial" w:hint="eastAsia"/>
          <w:color w:val="0D0D0D" w:themeColor="text1" w:themeTint="F2"/>
          <w:szCs w:val="21"/>
        </w:rPr>
        <w:t>九、增设新的份额类别或发行联接基金等相关业务</w:t>
      </w:r>
    </w:p>
    <w:p w14:paraId="42128F6A" w14:textId="77777777" w:rsidR="00217DCA" w:rsidRPr="00B56A57" w:rsidRDefault="006C7341">
      <w:pPr>
        <w:spacing w:line="360" w:lineRule="auto"/>
        <w:ind w:firstLineChars="200" w:firstLine="420"/>
        <w:rPr>
          <w:rFonts w:asciiTheme="minorEastAsia" w:eastAsiaTheme="minorEastAsia" w:hAnsiTheme="minorEastAsia" w:cs="Arial"/>
          <w:color w:val="0D0D0D" w:themeColor="text1" w:themeTint="F2"/>
          <w:szCs w:val="21"/>
        </w:rPr>
      </w:pPr>
      <w:r w:rsidRPr="00B56A57">
        <w:rPr>
          <w:rFonts w:asciiTheme="minorEastAsia" w:eastAsiaTheme="minorEastAsia" w:hAnsiTheme="minorEastAsia" w:cs="Arial" w:hint="eastAsia"/>
          <w:color w:val="0D0D0D" w:themeColor="text1" w:themeTint="F2"/>
          <w:szCs w:val="21"/>
        </w:rPr>
        <w:t>在不违反法律法规及对基金份额持有人利益无实质性不利影响的前提下，基金管理人可根据基金发展需要，经与基金托管人协商一致并履行相关程序后，</w:t>
      </w:r>
      <w:r w:rsidRPr="00B56A57">
        <w:rPr>
          <w:rFonts w:ascii="宋体" w:hAnsi="宋体" w:cs="Arial" w:hint="eastAsia"/>
          <w:bCs/>
        </w:rPr>
        <w:t>为本基金增设新的份额类别</w:t>
      </w:r>
      <w:r w:rsidRPr="00B56A57">
        <w:rPr>
          <w:rFonts w:asciiTheme="minorEastAsia" w:eastAsiaTheme="minorEastAsia" w:hAnsiTheme="minorEastAsia" w:cs="Arial" w:hint="eastAsia"/>
          <w:color w:val="0D0D0D" w:themeColor="text1" w:themeTint="F2"/>
          <w:szCs w:val="21"/>
        </w:rPr>
        <w:t>或开通场外申购、赎回相关业务</w:t>
      </w:r>
      <w:r w:rsidRPr="00B56A57">
        <w:rPr>
          <w:rFonts w:ascii="宋体" w:hAnsi="宋体" w:cs="Arial" w:hint="eastAsia"/>
          <w:bCs/>
        </w:rPr>
        <w:t>并制定相应的业务规则，或</w:t>
      </w:r>
      <w:r w:rsidRPr="00B56A57">
        <w:rPr>
          <w:rFonts w:asciiTheme="minorEastAsia" w:eastAsiaTheme="minorEastAsia" w:hAnsiTheme="minorEastAsia" w:cs="Arial" w:hint="eastAsia"/>
          <w:color w:val="0D0D0D" w:themeColor="text1" w:themeTint="F2"/>
          <w:szCs w:val="21"/>
        </w:rPr>
        <w:t>募集并管理以本基金为目标</w:t>
      </w:r>
      <w:r w:rsidRPr="00B56A57">
        <w:rPr>
          <w:rFonts w:asciiTheme="minorEastAsia" w:eastAsiaTheme="minorEastAsia" w:hAnsiTheme="minorEastAsia" w:cs="Arial"/>
          <w:color w:val="0D0D0D" w:themeColor="text1" w:themeTint="F2"/>
          <w:szCs w:val="21"/>
        </w:rPr>
        <w:t xml:space="preserve">ETF </w:t>
      </w:r>
      <w:r w:rsidRPr="00B56A57">
        <w:rPr>
          <w:rFonts w:asciiTheme="minorEastAsia" w:eastAsiaTheme="minorEastAsia" w:hAnsiTheme="minorEastAsia" w:cs="Arial" w:hint="eastAsia"/>
          <w:color w:val="0D0D0D" w:themeColor="text1" w:themeTint="F2"/>
          <w:szCs w:val="21"/>
        </w:rPr>
        <w:t>的一只或多只联接基金，无须召开基金份额持有人大会审议。</w:t>
      </w:r>
    </w:p>
    <w:p w14:paraId="5D14AA40" w14:textId="77777777" w:rsidR="00217DCA" w:rsidRPr="00B56A57" w:rsidRDefault="00217DCA">
      <w:pPr>
        <w:pStyle w:val="1"/>
        <w:sectPr w:rsidR="00217DCA" w:rsidRPr="00B56A57">
          <w:footerReference w:type="default" r:id="rId18"/>
          <w:pgSz w:w="11906" w:h="16838"/>
          <w:pgMar w:top="1440" w:right="1800" w:bottom="1440" w:left="1800" w:header="851" w:footer="992" w:gutter="0"/>
          <w:pgNumType w:start="1"/>
          <w:cols w:space="425"/>
          <w:docGrid w:type="lines" w:linePitch="312"/>
        </w:sectPr>
      </w:pPr>
      <w:bookmarkStart w:id="96" w:name="_Toc90742322"/>
      <w:bookmarkStart w:id="97" w:name="_Toc90742391"/>
      <w:bookmarkStart w:id="98" w:name="_Toc90742689"/>
    </w:p>
    <w:p w14:paraId="7CD443CB" w14:textId="77777777" w:rsidR="00217DCA" w:rsidRPr="00B56A57" w:rsidRDefault="006C7341">
      <w:pPr>
        <w:pStyle w:val="1"/>
      </w:pPr>
      <w:bookmarkStart w:id="99" w:name="CTS_411678b0fc2f4e7e85ab796e80ab1926"/>
      <w:bookmarkStart w:id="100" w:name="_Toc3266"/>
      <w:bookmarkStart w:id="101" w:name="_Toc27226"/>
      <w:bookmarkStart w:id="102" w:name="_Toc16265"/>
      <w:bookmarkStart w:id="103" w:name="_Toc15203"/>
      <w:bookmarkStart w:id="104" w:name="_Toc90742688"/>
      <w:bookmarkStart w:id="105" w:name="_Toc27189"/>
      <w:bookmarkStart w:id="106" w:name="_Toc6714"/>
      <w:bookmarkStart w:id="107" w:name="_Toc90742321"/>
      <w:bookmarkStart w:id="108" w:name="_Toc24682"/>
      <w:bookmarkStart w:id="109" w:name="_Toc7151"/>
      <w:bookmarkStart w:id="110" w:name="_Toc29948"/>
      <w:bookmarkStart w:id="111" w:name="_Toc22074"/>
      <w:bookmarkStart w:id="112" w:name="_Toc29784"/>
      <w:bookmarkStart w:id="113" w:name="_Toc90742390"/>
      <w:bookmarkStart w:id="114" w:name="_Toc64923768"/>
      <w:bookmarkStart w:id="115" w:name="_Toc73975081"/>
      <w:bookmarkStart w:id="116" w:name="CLAUSE_411678b0fc2f4e7e85ab796e80ab1926"/>
      <w:bookmarkEnd w:id="84"/>
      <w:bookmarkEnd w:id="99"/>
      <w:r w:rsidRPr="00B56A57">
        <w:rPr>
          <w:rFonts w:hint="eastAsia"/>
        </w:rPr>
        <w:lastRenderedPageBreak/>
        <w:t>第四部分</w:t>
      </w:r>
      <w:r w:rsidRPr="00B56A57">
        <w:t xml:space="preserve"> </w:t>
      </w:r>
      <w:r w:rsidRPr="00B56A57">
        <w:rPr>
          <w:rFonts w:hint="eastAsia"/>
        </w:rPr>
        <w:t>基金</w:t>
      </w:r>
      <w:bookmarkEnd w:id="96"/>
      <w:bookmarkEnd w:id="97"/>
      <w:bookmarkEnd w:id="98"/>
      <w:r w:rsidRPr="00B56A57">
        <w:rPr>
          <w:rFonts w:hint="eastAsia"/>
        </w:rPr>
        <w:t>份额的发售</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7639CE2F" w14:textId="77777777" w:rsidR="00217DCA" w:rsidRPr="00B56A57" w:rsidRDefault="00217DCA">
      <w:pPr>
        <w:spacing w:line="360" w:lineRule="auto"/>
        <w:ind w:firstLineChars="200" w:firstLine="420"/>
        <w:rPr>
          <w:rFonts w:asciiTheme="minorEastAsia" w:hAnsiTheme="minorEastAsia"/>
          <w:kern w:val="44"/>
        </w:rPr>
      </w:pPr>
    </w:p>
    <w:p w14:paraId="22A7E2A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一、基金份额的发售时间、发售方式、发售对象</w:t>
      </w:r>
    </w:p>
    <w:p w14:paraId="1DADF03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1</w:t>
      </w:r>
      <w:r w:rsidRPr="00B56A57">
        <w:rPr>
          <w:rFonts w:asciiTheme="minorEastAsia" w:hAnsiTheme="minorEastAsia" w:hint="eastAsia"/>
          <w:color w:val="0D0D0D" w:themeColor="text1" w:themeTint="F2"/>
          <w:kern w:val="0"/>
        </w:rPr>
        <w:t>、发售时间</w:t>
      </w:r>
    </w:p>
    <w:p w14:paraId="34E52A8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自基金份额发售之日起最长不得超过</w:t>
      </w:r>
      <w:r w:rsidRPr="00B56A57">
        <w:rPr>
          <w:rFonts w:asciiTheme="minorEastAsia" w:hAnsiTheme="minorEastAsia"/>
          <w:color w:val="0D0D0D" w:themeColor="text1" w:themeTint="F2"/>
          <w:kern w:val="0"/>
        </w:rPr>
        <w:t>3</w:t>
      </w:r>
      <w:r w:rsidRPr="00B56A57">
        <w:rPr>
          <w:rFonts w:asciiTheme="minorEastAsia" w:hAnsiTheme="minorEastAsia" w:hint="eastAsia"/>
          <w:color w:val="0D0D0D" w:themeColor="text1" w:themeTint="F2"/>
          <w:kern w:val="0"/>
        </w:rPr>
        <w:t>个月，具体发售时间见基金份额发售公告。</w:t>
      </w:r>
    </w:p>
    <w:p w14:paraId="569D278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2</w:t>
      </w:r>
      <w:r w:rsidRPr="00B56A57">
        <w:rPr>
          <w:rFonts w:asciiTheme="minorEastAsia" w:hAnsiTheme="minorEastAsia" w:hint="eastAsia"/>
          <w:color w:val="0D0D0D" w:themeColor="text1" w:themeTint="F2"/>
          <w:kern w:val="0"/>
        </w:rPr>
        <w:t>、发售方式</w:t>
      </w:r>
    </w:p>
    <w:p w14:paraId="66023F81"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投资人可选择网上现金认购和网下现金认购两种方式认购本基金：</w:t>
      </w:r>
    </w:p>
    <w:p w14:paraId="7F4B336B"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网上现金认购是指投资人</w:t>
      </w:r>
      <w:r w:rsidRPr="00B56A57">
        <w:rPr>
          <w:rFonts w:asciiTheme="minorEastAsia" w:hAnsiTheme="minorEastAsia" w:hint="eastAsia"/>
          <w:color w:val="0D0D0D" w:themeColor="text1" w:themeTint="F2"/>
          <w:kern w:val="0"/>
        </w:rPr>
        <w:t>通过</w:t>
      </w:r>
      <w:r w:rsidRPr="00B56A57">
        <w:rPr>
          <w:rFonts w:asciiTheme="minorEastAsia" w:eastAsiaTheme="minorEastAsia" w:hAnsiTheme="minorEastAsia" w:hint="eastAsia"/>
          <w:color w:val="0D0D0D" w:themeColor="text1" w:themeTint="F2"/>
          <w:kern w:val="0"/>
        </w:rPr>
        <w:t>基金管理人指定</w:t>
      </w:r>
      <w:r w:rsidRPr="00B56A57">
        <w:rPr>
          <w:rFonts w:asciiTheme="minorEastAsia" w:hAnsiTheme="minorEastAsia" w:hint="eastAsia"/>
          <w:color w:val="0D0D0D" w:themeColor="text1" w:themeTint="F2"/>
          <w:kern w:val="0"/>
        </w:rPr>
        <w:t>的发售</w:t>
      </w:r>
      <w:r w:rsidRPr="00B56A57">
        <w:rPr>
          <w:rFonts w:asciiTheme="minorEastAsia" w:eastAsiaTheme="minorEastAsia" w:hAnsiTheme="minorEastAsia" w:hint="eastAsia"/>
          <w:color w:val="0D0D0D" w:themeColor="text1" w:themeTint="F2"/>
          <w:kern w:val="0"/>
        </w:rPr>
        <w:t>代理机构通过上海证券交易所网上系统以现金进行的认购；</w:t>
      </w:r>
    </w:p>
    <w:p w14:paraId="03007DDF"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网下现金认购是指投资人通过基金管理人及其指定的发售代理机构以现金进行的认购。</w:t>
      </w:r>
    </w:p>
    <w:p w14:paraId="44E97A00"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投资人应当在基金管理人及其指定发售代理机构办理基金发售业务的营业场所，或者按基金管理人或发售代理机构提供的方式办理基金份额的认购。基金管理人、发售代理机构办理基金发售业务的具体情况和联系方式，请参见基金份额发售公告</w:t>
      </w:r>
      <w:r w:rsidRPr="00B56A57">
        <w:rPr>
          <w:rFonts w:asciiTheme="minorEastAsia" w:hAnsiTheme="minorEastAsia" w:hint="eastAsia"/>
          <w:color w:val="0D0D0D" w:themeColor="text1" w:themeTint="F2"/>
          <w:kern w:val="0"/>
        </w:rPr>
        <w:t>以及基金管理人网站</w:t>
      </w:r>
      <w:r w:rsidRPr="00B56A57">
        <w:rPr>
          <w:rFonts w:asciiTheme="minorEastAsia" w:eastAsiaTheme="minorEastAsia" w:hAnsiTheme="minorEastAsia" w:hint="eastAsia"/>
          <w:color w:val="0D0D0D" w:themeColor="text1" w:themeTint="F2"/>
          <w:kern w:val="0"/>
        </w:rPr>
        <w:t>。</w:t>
      </w:r>
    </w:p>
    <w:p w14:paraId="4BFA2F5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基金管理人可依据实际情况增减、变更发售代理机构，发售代理机构</w:t>
      </w:r>
      <w:r w:rsidRPr="00B56A57">
        <w:rPr>
          <w:rFonts w:asciiTheme="minorEastAsia" w:hAnsiTheme="minorEastAsia" w:hint="eastAsia"/>
          <w:color w:val="0D0D0D" w:themeColor="text1" w:themeTint="F2"/>
          <w:kern w:val="0"/>
        </w:rPr>
        <w:t>的具体名单见基金份额发售公告以及基金管理人网站。</w:t>
      </w:r>
    </w:p>
    <w:p w14:paraId="57F7D9B3"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若证券交易所、中国证券登记结算有限责任公司对发售方式、发售场所有所调整的，本基金将进行相应调整。</w:t>
      </w:r>
    </w:p>
    <w:p w14:paraId="5A679CD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销售机构对认购申请的受理并不代表该申请一定成功，而仅代表销售机构确实接收到认购申请。认购的确认以登记机构的确认结果为准。对于认购申请及认购份额的确认情况，投资者应及时查询并妥善行使合法权利。</w:t>
      </w:r>
    </w:p>
    <w:p w14:paraId="53F8C4C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3</w:t>
      </w:r>
      <w:r w:rsidRPr="00B56A57">
        <w:rPr>
          <w:rFonts w:asciiTheme="minorEastAsia" w:hAnsiTheme="minorEastAsia" w:hint="eastAsia"/>
          <w:color w:val="0D0D0D" w:themeColor="text1" w:themeTint="F2"/>
          <w:kern w:val="0"/>
        </w:rPr>
        <w:t>、发售对象</w:t>
      </w:r>
    </w:p>
    <w:p w14:paraId="09A152D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符合法律法规规定的可投资于证券投资基金的个人投资者、机构投资者、合格境外机构投资者和人民币合格境外机构投资者以及法律法规或中国证监会允许购买证券投资基金的其他投资人。</w:t>
      </w:r>
    </w:p>
    <w:p w14:paraId="0CF2FDE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二、基金份额的认购</w:t>
      </w:r>
    </w:p>
    <w:p w14:paraId="610483C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1</w:t>
      </w:r>
      <w:r w:rsidRPr="00B56A57">
        <w:rPr>
          <w:rFonts w:asciiTheme="minorEastAsia" w:hAnsiTheme="minorEastAsia" w:hint="eastAsia"/>
          <w:color w:val="0D0D0D" w:themeColor="text1" w:themeTint="F2"/>
          <w:kern w:val="0"/>
        </w:rPr>
        <w:t>、认购费用</w:t>
      </w:r>
    </w:p>
    <w:p w14:paraId="05404DD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本基金的认购费率由基金管理人决定，并在招募说明书、基金产品资料概要</w:t>
      </w:r>
      <w:r w:rsidRPr="00B56A57">
        <w:rPr>
          <w:rFonts w:asciiTheme="minorEastAsia" w:eastAsiaTheme="minorEastAsia" w:hAnsiTheme="minorEastAsia" w:hint="eastAsia"/>
          <w:color w:val="0D0D0D" w:themeColor="text1" w:themeTint="F2"/>
          <w:kern w:val="0"/>
        </w:rPr>
        <w:t>和基金份额发售公告</w:t>
      </w:r>
      <w:r w:rsidRPr="00B56A57">
        <w:rPr>
          <w:rFonts w:asciiTheme="minorEastAsia" w:hAnsiTheme="minorEastAsia" w:hint="eastAsia"/>
          <w:color w:val="0D0D0D" w:themeColor="text1" w:themeTint="F2"/>
          <w:kern w:val="0"/>
        </w:rPr>
        <w:t>中列示。基金认购费用不列入基金财产。</w:t>
      </w:r>
    </w:p>
    <w:p w14:paraId="0EF74E8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2</w:t>
      </w:r>
      <w:r w:rsidRPr="00B56A57">
        <w:rPr>
          <w:rFonts w:asciiTheme="minorEastAsia" w:hAnsiTheme="minorEastAsia" w:hint="eastAsia"/>
          <w:color w:val="0D0D0D" w:themeColor="text1" w:themeTint="F2"/>
          <w:kern w:val="0"/>
        </w:rPr>
        <w:t>、募集期</w:t>
      </w:r>
      <w:r w:rsidRPr="00B56A57">
        <w:rPr>
          <w:rFonts w:asciiTheme="minorEastAsia" w:eastAsiaTheme="minorEastAsia" w:hAnsiTheme="minorEastAsia" w:hint="eastAsia"/>
          <w:color w:val="0D0D0D" w:themeColor="text1" w:themeTint="F2"/>
          <w:kern w:val="0"/>
        </w:rPr>
        <w:t>资金</w:t>
      </w:r>
      <w:r w:rsidRPr="00B56A57">
        <w:rPr>
          <w:rFonts w:asciiTheme="minorEastAsia" w:hAnsiTheme="minorEastAsia" w:hint="eastAsia"/>
          <w:color w:val="0D0D0D" w:themeColor="text1" w:themeTint="F2"/>
          <w:kern w:val="0"/>
        </w:rPr>
        <w:t>的处理方式</w:t>
      </w:r>
    </w:p>
    <w:p w14:paraId="408C82E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w:t>
      </w:r>
      <w:r w:rsidRPr="00B56A57">
        <w:rPr>
          <w:rFonts w:asciiTheme="minorEastAsia" w:hAnsiTheme="minorEastAsia" w:hint="eastAsia"/>
          <w:color w:val="0D0D0D" w:themeColor="text1" w:themeTint="F2"/>
          <w:kern w:val="0"/>
        </w:rPr>
        <w:t>募集期间</w:t>
      </w:r>
      <w:r w:rsidRPr="00B56A57">
        <w:rPr>
          <w:rFonts w:asciiTheme="minorEastAsia" w:eastAsiaTheme="minorEastAsia" w:hAnsiTheme="minorEastAsia" w:hint="eastAsia"/>
          <w:color w:val="0D0D0D" w:themeColor="text1" w:themeTint="F2"/>
          <w:kern w:val="0"/>
        </w:rPr>
        <w:t>募集的资金存入专门账户，在</w:t>
      </w:r>
      <w:r w:rsidRPr="00B56A57">
        <w:rPr>
          <w:rFonts w:asciiTheme="minorEastAsia" w:hAnsiTheme="minorEastAsia" w:hint="eastAsia"/>
          <w:color w:val="0D0D0D" w:themeColor="text1" w:themeTint="F2"/>
          <w:kern w:val="0"/>
        </w:rPr>
        <w:t>基金</w:t>
      </w:r>
      <w:r w:rsidRPr="00B56A57">
        <w:rPr>
          <w:rFonts w:asciiTheme="minorEastAsia" w:eastAsiaTheme="minorEastAsia" w:hAnsiTheme="minorEastAsia" w:hint="eastAsia"/>
          <w:color w:val="0D0D0D" w:themeColor="text1" w:themeTint="F2"/>
          <w:kern w:val="0"/>
        </w:rPr>
        <w:t>募集行为结束前，任何</w:t>
      </w:r>
      <w:r w:rsidRPr="00B56A57">
        <w:rPr>
          <w:rFonts w:asciiTheme="minorEastAsia" w:hAnsiTheme="minorEastAsia" w:hint="eastAsia"/>
          <w:color w:val="0D0D0D" w:themeColor="text1" w:themeTint="F2"/>
          <w:kern w:val="0"/>
        </w:rPr>
        <w:t>人</w:t>
      </w:r>
      <w:r w:rsidRPr="00B56A57">
        <w:rPr>
          <w:rFonts w:asciiTheme="minorEastAsia" w:eastAsiaTheme="minorEastAsia" w:hAnsiTheme="minorEastAsia" w:hint="eastAsia"/>
          <w:color w:val="0D0D0D" w:themeColor="text1" w:themeTint="F2"/>
          <w:kern w:val="0"/>
        </w:rPr>
        <w:t>不得动用。</w:t>
      </w:r>
    </w:p>
    <w:p w14:paraId="6987E842"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hAnsiTheme="minorEastAsia"/>
          <w:color w:val="0D0D0D" w:themeColor="text1" w:themeTint="F2"/>
          <w:kern w:val="0"/>
        </w:rPr>
        <w:t>3</w:t>
      </w:r>
      <w:r w:rsidRPr="00B56A57">
        <w:rPr>
          <w:rFonts w:asciiTheme="minorEastAsia" w:hAnsiTheme="minorEastAsia" w:hint="eastAsia"/>
          <w:color w:val="0D0D0D" w:themeColor="text1" w:themeTint="F2"/>
          <w:kern w:val="0"/>
        </w:rPr>
        <w:t>、</w:t>
      </w:r>
      <w:r w:rsidRPr="00B56A57">
        <w:rPr>
          <w:rFonts w:asciiTheme="minorEastAsia" w:eastAsiaTheme="minorEastAsia" w:hAnsiTheme="minorEastAsia" w:hint="eastAsia"/>
          <w:color w:val="0D0D0D" w:themeColor="text1" w:themeTint="F2"/>
          <w:kern w:val="0"/>
        </w:rPr>
        <w:t>募集资金利息的处理方式</w:t>
      </w:r>
    </w:p>
    <w:p w14:paraId="1DE61939" w14:textId="77777777" w:rsidR="00217DCA" w:rsidRPr="00B56A57" w:rsidRDefault="006C7341">
      <w:pPr>
        <w:adjustRightInd w:val="0"/>
        <w:snapToGrid w:val="0"/>
        <w:spacing w:line="360" w:lineRule="auto"/>
        <w:ind w:firstLineChars="200" w:firstLine="420"/>
        <w:rPr>
          <w:rFonts w:ascii="宋体" w:hAnsi="宋体"/>
          <w:color w:val="0D0D0D"/>
          <w:kern w:val="0"/>
        </w:rPr>
      </w:pPr>
      <w:r w:rsidRPr="00B56A57">
        <w:rPr>
          <w:rFonts w:ascii="宋体" w:hAnsi="宋体" w:hint="eastAsia"/>
          <w:color w:val="0D0D0D"/>
          <w:kern w:val="0"/>
        </w:rPr>
        <w:t>通过基金管理人进行网下现金认购的有效认购资金在募集期间产生的利息，将折算为基金份额归投资人所有，其中利息转份额以基金管理人的记录为准；网上现金认购和通过发售代理机构进行网下现金认购的有效认购资金在登记机构清算交收后至划入基金托管专户前</w:t>
      </w:r>
      <w:r w:rsidRPr="00B56A57">
        <w:rPr>
          <w:rFonts w:ascii="宋体" w:hAnsi="宋体" w:hint="eastAsia"/>
          <w:color w:val="0D0D0D"/>
          <w:kern w:val="0"/>
        </w:rPr>
        <w:lastRenderedPageBreak/>
        <w:t>产生的利息，计入基金财产，不折算为投资人基金份额。</w:t>
      </w:r>
    </w:p>
    <w:p w14:paraId="1F62731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4</w:t>
      </w:r>
      <w:r w:rsidRPr="00B56A57">
        <w:rPr>
          <w:rFonts w:asciiTheme="minorEastAsia" w:eastAsiaTheme="minorEastAsia" w:hAnsiTheme="minorEastAsia" w:hint="eastAsia"/>
          <w:color w:val="0D0D0D" w:themeColor="text1" w:themeTint="F2"/>
          <w:kern w:val="0"/>
        </w:rPr>
        <w:t>、</w:t>
      </w:r>
      <w:r w:rsidRPr="00B56A57">
        <w:rPr>
          <w:rFonts w:asciiTheme="minorEastAsia" w:hAnsiTheme="minorEastAsia" w:hint="eastAsia"/>
          <w:color w:val="0D0D0D" w:themeColor="text1" w:themeTint="F2"/>
          <w:kern w:val="0"/>
        </w:rPr>
        <w:t>基金认购份额的计算</w:t>
      </w:r>
    </w:p>
    <w:p w14:paraId="1EE68CA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基金认购份额具体的计算方法在招募说明书中列示。</w:t>
      </w:r>
    </w:p>
    <w:p w14:paraId="0DAEC534"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5</w:t>
      </w:r>
      <w:r w:rsidRPr="00B56A57">
        <w:rPr>
          <w:rFonts w:asciiTheme="minorEastAsia" w:eastAsiaTheme="minorEastAsia" w:hAnsiTheme="minorEastAsia" w:hint="eastAsia"/>
          <w:color w:val="0D0D0D" w:themeColor="text1" w:themeTint="F2"/>
          <w:kern w:val="0"/>
        </w:rPr>
        <w:t>、基金份额</w:t>
      </w:r>
      <w:r w:rsidRPr="00B56A57">
        <w:rPr>
          <w:rFonts w:asciiTheme="minorEastAsia" w:hAnsiTheme="minorEastAsia" w:hint="eastAsia"/>
          <w:color w:val="0D0D0D" w:themeColor="text1" w:themeTint="F2"/>
          <w:kern w:val="0"/>
        </w:rPr>
        <w:t>认购的</w:t>
      </w:r>
      <w:r w:rsidRPr="00B56A57">
        <w:rPr>
          <w:rFonts w:asciiTheme="minorEastAsia" w:eastAsiaTheme="minorEastAsia" w:hAnsiTheme="minorEastAsia" w:hint="eastAsia"/>
          <w:color w:val="0D0D0D" w:themeColor="text1" w:themeTint="F2"/>
          <w:kern w:val="0"/>
        </w:rPr>
        <w:t>限制</w:t>
      </w:r>
    </w:p>
    <w:p w14:paraId="04D009E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基金管理人可以对投资者的认购数额进行限制，具体限制和</w:t>
      </w:r>
      <w:r w:rsidRPr="00B56A57">
        <w:rPr>
          <w:rFonts w:asciiTheme="minorEastAsia" w:hAnsiTheme="minorEastAsia" w:hint="eastAsia"/>
          <w:color w:val="0D0D0D" w:themeColor="text1" w:themeTint="F2"/>
          <w:kern w:val="0"/>
        </w:rPr>
        <w:t>处理方式</w:t>
      </w:r>
      <w:r w:rsidRPr="00B56A57">
        <w:rPr>
          <w:rFonts w:asciiTheme="minorEastAsia" w:eastAsiaTheme="minorEastAsia" w:hAnsiTheme="minorEastAsia" w:hint="eastAsia"/>
          <w:color w:val="0D0D0D" w:themeColor="text1" w:themeTint="F2"/>
          <w:kern w:val="0"/>
        </w:rPr>
        <w:t>请参看招募说明书或相关公告。</w:t>
      </w:r>
    </w:p>
    <w:p w14:paraId="3C18844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三、基金认购的</w:t>
      </w:r>
      <w:r w:rsidRPr="00B56A57">
        <w:rPr>
          <w:rFonts w:asciiTheme="minorEastAsia" w:eastAsiaTheme="minorEastAsia" w:hAnsiTheme="minorEastAsia" w:hint="eastAsia"/>
          <w:color w:val="0D0D0D" w:themeColor="text1" w:themeTint="F2"/>
          <w:kern w:val="0"/>
        </w:rPr>
        <w:t>其他具体规定</w:t>
      </w:r>
    </w:p>
    <w:p w14:paraId="1396D1A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投资人认购</w:t>
      </w:r>
      <w:r w:rsidRPr="00B56A57">
        <w:rPr>
          <w:rFonts w:asciiTheme="minorEastAsia" w:eastAsiaTheme="minorEastAsia" w:hAnsiTheme="minorEastAsia" w:hint="eastAsia"/>
          <w:color w:val="0D0D0D" w:themeColor="text1" w:themeTint="F2"/>
          <w:kern w:val="0"/>
        </w:rPr>
        <w:t>原则、认购时间安排、投资人认购应提交</w:t>
      </w:r>
      <w:r w:rsidRPr="00B56A57">
        <w:rPr>
          <w:rFonts w:asciiTheme="minorEastAsia" w:hAnsiTheme="minorEastAsia" w:hint="eastAsia"/>
          <w:color w:val="0D0D0D" w:themeColor="text1" w:themeTint="F2"/>
          <w:kern w:val="0"/>
        </w:rPr>
        <w:t>的</w:t>
      </w:r>
      <w:r w:rsidRPr="00B56A57">
        <w:rPr>
          <w:rFonts w:asciiTheme="minorEastAsia" w:eastAsiaTheme="minorEastAsia" w:hAnsiTheme="minorEastAsia" w:hint="eastAsia"/>
          <w:color w:val="0D0D0D" w:themeColor="text1" w:themeTint="F2"/>
          <w:kern w:val="0"/>
        </w:rPr>
        <w:t>文件和办理的手续等事项，由</w:t>
      </w:r>
      <w:r w:rsidRPr="00B56A57">
        <w:rPr>
          <w:rFonts w:asciiTheme="minorEastAsia" w:hAnsiTheme="minorEastAsia" w:hint="eastAsia"/>
          <w:color w:val="0D0D0D" w:themeColor="text1" w:themeTint="F2"/>
          <w:kern w:val="0"/>
        </w:rPr>
        <w:t>基金管理人</w:t>
      </w:r>
      <w:r w:rsidRPr="00B56A57">
        <w:rPr>
          <w:rFonts w:asciiTheme="minorEastAsia" w:eastAsiaTheme="minorEastAsia" w:hAnsiTheme="minorEastAsia" w:hint="eastAsia"/>
          <w:color w:val="0D0D0D" w:themeColor="text1" w:themeTint="F2"/>
          <w:kern w:val="0"/>
        </w:rPr>
        <w:t>根据相关法律法规以及本</w:t>
      </w:r>
      <w:r w:rsidRPr="00B56A57">
        <w:rPr>
          <w:rFonts w:asciiTheme="minorEastAsia" w:hAnsiTheme="minorEastAsia" w:hint="eastAsia"/>
          <w:color w:val="0D0D0D" w:themeColor="text1" w:themeTint="F2"/>
          <w:kern w:val="0"/>
        </w:rPr>
        <w:t>基金</w:t>
      </w:r>
      <w:r w:rsidRPr="00B56A57">
        <w:rPr>
          <w:rFonts w:asciiTheme="minorEastAsia" w:eastAsiaTheme="minorEastAsia" w:hAnsiTheme="minorEastAsia" w:hint="eastAsia"/>
          <w:color w:val="0D0D0D" w:themeColor="text1" w:themeTint="F2"/>
          <w:kern w:val="0"/>
        </w:rPr>
        <w:t>合同的规定，在</w:t>
      </w:r>
      <w:r w:rsidRPr="00B56A57">
        <w:rPr>
          <w:rFonts w:asciiTheme="minorEastAsia" w:hAnsiTheme="minorEastAsia" w:hint="eastAsia"/>
          <w:color w:val="0D0D0D" w:themeColor="text1" w:themeTint="F2"/>
          <w:kern w:val="0"/>
        </w:rPr>
        <w:t>招募说明书</w:t>
      </w:r>
      <w:r w:rsidRPr="00B56A57">
        <w:rPr>
          <w:rFonts w:asciiTheme="minorEastAsia" w:eastAsiaTheme="minorEastAsia" w:hAnsiTheme="minorEastAsia" w:hint="eastAsia"/>
          <w:color w:val="0D0D0D" w:themeColor="text1" w:themeTint="F2"/>
          <w:kern w:val="0"/>
        </w:rPr>
        <w:t>或</w:t>
      </w:r>
      <w:r w:rsidRPr="00B56A57">
        <w:rPr>
          <w:rFonts w:asciiTheme="minorEastAsia" w:hAnsiTheme="minorEastAsia" w:hint="eastAsia"/>
          <w:color w:val="0D0D0D" w:themeColor="text1" w:themeTint="F2"/>
          <w:kern w:val="0"/>
        </w:rPr>
        <w:t>基金</w:t>
      </w:r>
      <w:r w:rsidRPr="00B56A57">
        <w:rPr>
          <w:rFonts w:asciiTheme="minorEastAsia" w:eastAsiaTheme="minorEastAsia" w:hAnsiTheme="minorEastAsia" w:hint="eastAsia"/>
          <w:color w:val="0D0D0D" w:themeColor="text1" w:themeTint="F2"/>
          <w:kern w:val="0"/>
        </w:rPr>
        <w:t>份额发售公告中确定并披露</w:t>
      </w:r>
      <w:r w:rsidRPr="00B56A57">
        <w:rPr>
          <w:rFonts w:asciiTheme="minorEastAsia" w:hAnsiTheme="minorEastAsia" w:hint="eastAsia"/>
          <w:color w:val="0D0D0D" w:themeColor="text1" w:themeTint="F2"/>
          <w:kern w:val="0"/>
        </w:rPr>
        <w:t>。</w:t>
      </w:r>
    </w:p>
    <w:p w14:paraId="1BF619A3" w14:textId="77777777" w:rsidR="00217DCA" w:rsidRPr="00B56A57" w:rsidRDefault="00217DCA">
      <w:pPr>
        <w:adjustRightInd w:val="0"/>
        <w:snapToGrid w:val="0"/>
        <w:spacing w:line="360" w:lineRule="auto"/>
        <w:ind w:firstLineChars="201" w:firstLine="422"/>
        <w:rPr>
          <w:rFonts w:asciiTheme="minorEastAsia" w:eastAsiaTheme="minorEastAsia" w:hAnsiTheme="minorEastAsia"/>
          <w:color w:val="0D0D0D" w:themeColor="text1" w:themeTint="F2"/>
          <w:kern w:val="0"/>
        </w:rPr>
      </w:pPr>
      <w:bookmarkStart w:id="117" w:name="_Hlt70495313"/>
      <w:bookmarkEnd w:id="117"/>
    </w:p>
    <w:bookmarkEnd w:id="116"/>
    <w:p w14:paraId="4B424281" w14:textId="77777777" w:rsidR="00217DCA" w:rsidRPr="00B56A57" w:rsidRDefault="00217DCA">
      <w:pPr>
        <w:pStyle w:val="1"/>
        <w:sectPr w:rsidR="00217DCA" w:rsidRPr="00B56A57">
          <w:footerReference w:type="default" r:id="rId19"/>
          <w:pgSz w:w="11906" w:h="16838"/>
          <w:pgMar w:top="1440" w:right="1800" w:bottom="1440" w:left="1800" w:header="851" w:footer="992" w:gutter="0"/>
          <w:pgNumType w:start="1"/>
          <w:cols w:space="425"/>
          <w:docGrid w:type="lines" w:linePitch="312"/>
        </w:sectPr>
      </w:pPr>
    </w:p>
    <w:p w14:paraId="47FE22DC" w14:textId="77777777" w:rsidR="00217DCA" w:rsidRPr="00B56A57" w:rsidRDefault="006C7341">
      <w:pPr>
        <w:pStyle w:val="1"/>
      </w:pPr>
      <w:bookmarkStart w:id="118" w:name="CTS_82005793dce748a79111178f94002b78"/>
      <w:bookmarkStart w:id="119" w:name="_Toc18526"/>
      <w:bookmarkStart w:id="120" w:name="_Toc4741"/>
      <w:bookmarkStart w:id="121" w:name="_Toc139991735"/>
      <w:bookmarkStart w:id="122" w:name="_Toc18797"/>
      <w:bookmarkStart w:id="123" w:name="_Toc21988"/>
      <w:bookmarkStart w:id="124" w:name="_Toc14893"/>
      <w:bookmarkStart w:id="125" w:name="_Toc17912"/>
      <w:bookmarkStart w:id="126" w:name="_Toc7848"/>
      <w:bookmarkStart w:id="127" w:name="_Toc26986"/>
      <w:bookmarkStart w:id="128" w:name="_Toc141703885"/>
      <w:bookmarkStart w:id="129" w:name="_Toc6559"/>
      <w:bookmarkStart w:id="130" w:name="_Toc18329"/>
      <w:bookmarkStart w:id="131" w:name="_Toc64923769"/>
      <w:bookmarkStart w:id="132" w:name="_Toc1823"/>
      <w:bookmarkStart w:id="133" w:name="_Toc73975082"/>
      <w:bookmarkStart w:id="134" w:name="CLAUSE_82005793dce748a79111178f94002b78"/>
      <w:bookmarkEnd w:id="118"/>
      <w:r w:rsidRPr="00B56A57">
        <w:rPr>
          <w:rFonts w:hint="eastAsia"/>
        </w:rPr>
        <w:lastRenderedPageBreak/>
        <w:t>第五部分</w:t>
      </w:r>
      <w:r w:rsidRPr="00B56A57">
        <w:t xml:space="preserve"> </w:t>
      </w:r>
      <w:r w:rsidRPr="00B56A57">
        <w:rPr>
          <w:rFonts w:hint="eastAsia"/>
        </w:rPr>
        <w:t>基金备案</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7B8C1D26" w14:textId="77777777" w:rsidR="00217DCA" w:rsidRPr="00B56A57" w:rsidRDefault="00217DCA">
      <w:pPr>
        <w:spacing w:line="360" w:lineRule="auto"/>
        <w:ind w:firstLine="540"/>
        <w:rPr>
          <w:rFonts w:asciiTheme="minorEastAsia" w:hAnsiTheme="minorEastAsia"/>
          <w:sz w:val="24"/>
        </w:rPr>
      </w:pPr>
    </w:p>
    <w:p w14:paraId="494722B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一、基金备案的条件</w:t>
      </w:r>
    </w:p>
    <w:p w14:paraId="490C376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本基金自基金份额发售之日起</w:t>
      </w:r>
      <w:r w:rsidRPr="00B56A57">
        <w:rPr>
          <w:rFonts w:asciiTheme="minorEastAsia" w:hAnsiTheme="minorEastAsia"/>
          <w:color w:val="0D0D0D" w:themeColor="text1" w:themeTint="F2"/>
          <w:kern w:val="0"/>
        </w:rPr>
        <w:t>3</w:t>
      </w:r>
      <w:r w:rsidRPr="00B56A57">
        <w:rPr>
          <w:rFonts w:asciiTheme="minorEastAsia" w:hAnsiTheme="minorEastAsia" w:hint="eastAsia"/>
          <w:color w:val="0D0D0D" w:themeColor="text1" w:themeTint="F2"/>
          <w:kern w:val="0"/>
        </w:rPr>
        <w:t>个月内，在基金募集份额总额不少于</w:t>
      </w:r>
      <w:r w:rsidRPr="00B56A57">
        <w:rPr>
          <w:rFonts w:asciiTheme="minorEastAsia" w:hAnsiTheme="minorEastAsia"/>
          <w:color w:val="0D0D0D" w:themeColor="text1" w:themeTint="F2"/>
          <w:kern w:val="0"/>
        </w:rPr>
        <w:t>2</w:t>
      </w:r>
      <w:r w:rsidRPr="00B56A57">
        <w:rPr>
          <w:rFonts w:asciiTheme="minorEastAsia" w:hAnsiTheme="minorEastAsia" w:hint="eastAsia"/>
          <w:color w:val="0D0D0D" w:themeColor="text1" w:themeTint="F2"/>
          <w:kern w:val="0"/>
        </w:rPr>
        <w:t>亿份，基金募集金额不少于</w:t>
      </w:r>
      <w:r w:rsidRPr="00B56A57">
        <w:rPr>
          <w:rFonts w:asciiTheme="minorEastAsia" w:hAnsiTheme="minorEastAsia"/>
          <w:color w:val="0D0D0D" w:themeColor="text1" w:themeTint="F2"/>
          <w:kern w:val="0"/>
        </w:rPr>
        <w:t>2</w:t>
      </w:r>
      <w:r w:rsidRPr="00B56A57">
        <w:rPr>
          <w:rFonts w:asciiTheme="minorEastAsia" w:eastAsiaTheme="minorEastAsia" w:hAnsiTheme="minorEastAsia"/>
          <w:color w:val="0D0D0D" w:themeColor="text1" w:themeTint="F2"/>
          <w:kern w:val="0"/>
        </w:rPr>
        <w:t xml:space="preserve"> </w:t>
      </w:r>
      <w:r w:rsidRPr="00B56A57">
        <w:rPr>
          <w:rFonts w:asciiTheme="minorEastAsia" w:hAnsiTheme="minorEastAsia" w:hint="eastAsia"/>
          <w:color w:val="0D0D0D" w:themeColor="text1" w:themeTint="F2"/>
          <w:kern w:val="0"/>
        </w:rPr>
        <w:t>亿元人民币且基金认购人数不少于</w:t>
      </w:r>
      <w:r w:rsidRPr="00B56A57">
        <w:rPr>
          <w:rFonts w:asciiTheme="minorEastAsia" w:hAnsiTheme="minorEastAsia"/>
          <w:color w:val="0D0D0D" w:themeColor="text1" w:themeTint="F2"/>
          <w:kern w:val="0"/>
        </w:rPr>
        <w:t>200</w:t>
      </w:r>
      <w:r w:rsidRPr="00B56A57">
        <w:rPr>
          <w:rFonts w:asciiTheme="minorEastAsia" w:hAnsiTheme="minorEastAsia" w:hint="eastAsia"/>
          <w:color w:val="0D0D0D" w:themeColor="text1" w:themeTint="F2"/>
          <w:kern w:val="0"/>
        </w:rPr>
        <w:t>人的条件下，基金募集期届满或基金管理人依据法律法规及招募说明书可以决定停止基金发售，并在</w:t>
      </w:r>
      <w:r w:rsidRPr="00B56A57">
        <w:rPr>
          <w:rFonts w:asciiTheme="minorEastAsia" w:hAnsiTheme="minorEastAsia"/>
          <w:color w:val="0D0D0D" w:themeColor="text1" w:themeTint="F2"/>
          <w:kern w:val="0"/>
        </w:rPr>
        <w:t>10</w:t>
      </w:r>
      <w:r w:rsidRPr="00B56A57">
        <w:rPr>
          <w:rFonts w:asciiTheme="minorEastAsia" w:hAnsiTheme="minorEastAsia" w:hint="eastAsia"/>
          <w:color w:val="0D0D0D" w:themeColor="text1" w:themeTint="F2"/>
          <w:kern w:val="0"/>
        </w:rPr>
        <w:t>日内聘请法定验资机构验资，自收到验资报告之日起</w:t>
      </w:r>
      <w:r w:rsidRPr="00B56A57">
        <w:rPr>
          <w:rFonts w:asciiTheme="minorEastAsia" w:hAnsiTheme="minorEastAsia"/>
          <w:color w:val="0D0D0D" w:themeColor="text1" w:themeTint="F2"/>
          <w:kern w:val="0"/>
        </w:rPr>
        <w:t>10</w:t>
      </w:r>
      <w:r w:rsidRPr="00B56A57">
        <w:rPr>
          <w:rFonts w:asciiTheme="minorEastAsia" w:eastAsiaTheme="minorEastAsia" w:hAnsiTheme="minorEastAsia"/>
          <w:color w:val="0D0D0D" w:themeColor="text1" w:themeTint="F2"/>
          <w:kern w:val="0"/>
        </w:rPr>
        <w:t xml:space="preserve"> </w:t>
      </w:r>
      <w:r w:rsidRPr="00B56A57">
        <w:rPr>
          <w:rFonts w:asciiTheme="minorEastAsia" w:hAnsiTheme="minorEastAsia" w:hint="eastAsia"/>
          <w:color w:val="0D0D0D" w:themeColor="text1" w:themeTint="F2"/>
          <w:kern w:val="0"/>
        </w:rPr>
        <w:t>日内，向中国证监会办理基金备案手续。</w:t>
      </w:r>
    </w:p>
    <w:p w14:paraId="74B536B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p>
    <w:p w14:paraId="6701DAD5"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hAnsiTheme="minorEastAsia" w:hint="eastAsia"/>
          <w:color w:val="0D0D0D" w:themeColor="text1" w:themeTint="F2"/>
          <w:kern w:val="0"/>
        </w:rPr>
        <w:t>基金管理人应将基金募集期间募集的资金存入专门账户，在基金募集行为结束前，任何人不得动用。</w:t>
      </w:r>
    </w:p>
    <w:p w14:paraId="4D35060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二、基金合同不能生效时募集资金的处理方式</w:t>
      </w:r>
    </w:p>
    <w:p w14:paraId="0636176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如果募集期限届满，未满足基金备案条件，基金管理人应当承担下列责任：</w:t>
      </w:r>
    </w:p>
    <w:p w14:paraId="642CE63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1</w:t>
      </w:r>
      <w:r w:rsidRPr="00B56A57">
        <w:rPr>
          <w:rFonts w:asciiTheme="minorEastAsia" w:hAnsiTheme="minorEastAsia" w:hint="eastAsia"/>
          <w:color w:val="0D0D0D" w:themeColor="text1" w:themeTint="F2"/>
          <w:kern w:val="0"/>
        </w:rPr>
        <w:t>、以其固有财产承担因募集行为而产生的债务和费用；</w:t>
      </w:r>
    </w:p>
    <w:p w14:paraId="2987D7D8" w14:textId="3B32AB5A"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2</w:t>
      </w:r>
      <w:r w:rsidRPr="00B56A57">
        <w:rPr>
          <w:rFonts w:asciiTheme="minorEastAsia" w:hAnsiTheme="minorEastAsia" w:hint="eastAsia"/>
          <w:color w:val="0D0D0D" w:themeColor="text1" w:themeTint="F2"/>
          <w:kern w:val="0"/>
        </w:rPr>
        <w:t>、在基金募集期限届满后</w:t>
      </w:r>
      <w:r w:rsidRPr="00B56A57">
        <w:rPr>
          <w:rFonts w:asciiTheme="minorEastAsia" w:hAnsiTheme="minorEastAsia"/>
          <w:color w:val="0D0D0D" w:themeColor="text1" w:themeTint="F2"/>
          <w:kern w:val="0"/>
        </w:rPr>
        <w:t>30</w:t>
      </w:r>
      <w:r w:rsidRPr="00B56A57">
        <w:rPr>
          <w:rFonts w:asciiTheme="minorEastAsia" w:hAnsiTheme="minorEastAsia" w:hint="eastAsia"/>
          <w:color w:val="0D0D0D" w:themeColor="text1" w:themeTint="F2"/>
          <w:kern w:val="0"/>
        </w:rPr>
        <w:t>日内返还投资者已交纳的款项，并加计银行同期</w:t>
      </w:r>
      <w:r w:rsidRPr="00B56A57">
        <w:rPr>
          <w:rFonts w:asciiTheme="minorEastAsia" w:eastAsiaTheme="minorEastAsia" w:hAnsiTheme="minorEastAsia" w:hint="eastAsia"/>
          <w:color w:val="0D0D0D" w:themeColor="text1" w:themeTint="F2"/>
          <w:kern w:val="0"/>
        </w:rPr>
        <w:t>活期存款</w:t>
      </w:r>
      <w:r w:rsidRPr="00B56A57">
        <w:rPr>
          <w:rFonts w:asciiTheme="minorEastAsia" w:hAnsiTheme="minorEastAsia" w:hint="eastAsia"/>
          <w:color w:val="0D0D0D" w:themeColor="text1" w:themeTint="F2"/>
          <w:kern w:val="0"/>
        </w:rPr>
        <w:t>利息</w:t>
      </w:r>
      <w:r w:rsidRPr="00B56A57">
        <w:rPr>
          <w:rFonts w:asciiTheme="minorEastAsia" w:eastAsiaTheme="minorEastAsia" w:hAnsiTheme="minorEastAsia" w:hint="eastAsia"/>
          <w:color w:val="0D0D0D" w:themeColor="text1" w:themeTint="F2"/>
          <w:kern w:val="0"/>
        </w:rPr>
        <w:t>；</w:t>
      </w:r>
    </w:p>
    <w:p w14:paraId="5B703E7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hAnsiTheme="minorEastAsia"/>
          <w:color w:val="0D0D0D" w:themeColor="text1" w:themeTint="F2"/>
          <w:kern w:val="0"/>
        </w:rPr>
        <w:t>3</w:t>
      </w:r>
      <w:r w:rsidRPr="00B56A57">
        <w:rPr>
          <w:rFonts w:asciiTheme="minorEastAsia" w:hAnsiTheme="minorEastAsia" w:hint="eastAsia"/>
          <w:color w:val="0D0D0D" w:themeColor="text1" w:themeTint="F2"/>
          <w:kern w:val="0"/>
        </w:rPr>
        <w:t>、如基金募集失败，基金管理人、基金托管人及销售机构不得请求报酬。</w:t>
      </w:r>
    </w:p>
    <w:p w14:paraId="7C19B35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基金管理人、基金托管人和销售机构为基金募集支付之一切费用应由各方各自承担。</w:t>
      </w:r>
    </w:p>
    <w:p w14:paraId="01014B4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三、基金存续期内的基金份额持有人数量和资产规模</w:t>
      </w:r>
    </w:p>
    <w:p w14:paraId="29B27BD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《基金合同》生效后，连续</w:t>
      </w:r>
      <w:r w:rsidRPr="00B56A57">
        <w:rPr>
          <w:rFonts w:asciiTheme="minorEastAsia" w:hAnsiTheme="minorEastAsia"/>
          <w:color w:val="0D0D0D" w:themeColor="text1" w:themeTint="F2"/>
          <w:kern w:val="0"/>
        </w:rPr>
        <w:t>20</w:t>
      </w:r>
      <w:r w:rsidRPr="00B56A57">
        <w:rPr>
          <w:rFonts w:asciiTheme="minorEastAsia" w:eastAsiaTheme="minorEastAsia" w:hAnsiTheme="minorEastAsia"/>
          <w:color w:val="0D0D0D" w:themeColor="text1" w:themeTint="F2"/>
          <w:kern w:val="0"/>
        </w:rPr>
        <w:t xml:space="preserve"> </w:t>
      </w:r>
      <w:r w:rsidRPr="00B56A57">
        <w:rPr>
          <w:rFonts w:asciiTheme="minorEastAsia" w:hAnsiTheme="minorEastAsia" w:hint="eastAsia"/>
          <w:color w:val="0D0D0D" w:themeColor="text1" w:themeTint="F2"/>
          <w:kern w:val="0"/>
        </w:rPr>
        <w:t>个工作日出现基金份额持有人数量不满</w:t>
      </w:r>
      <w:r w:rsidRPr="00B56A57">
        <w:rPr>
          <w:rFonts w:asciiTheme="minorEastAsia" w:hAnsiTheme="minorEastAsia"/>
          <w:color w:val="0D0D0D" w:themeColor="text1" w:themeTint="F2"/>
          <w:kern w:val="0"/>
        </w:rPr>
        <w:t>200</w:t>
      </w:r>
      <w:r w:rsidRPr="00B56A57">
        <w:rPr>
          <w:rFonts w:asciiTheme="minorEastAsia" w:hAnsiTheme="minorEastAsia" w:hint="eastAsia"/>
          <w:color w:val="0D0D0D" w:themeColor="text1" w:themeTint="F2"/>
          <w:kern w:val="0"/>
        </w:rPr>
        <w:t>人或者基金资产净值低于</w:t>
      </w:r>
      <w:r w:rsidRPr="00B56A57">
        <w:rPr>
          <w:rFonts w:asciiTheme="minorEastAsia" w:hAnsiTheme="minorEastAsia"/>
          <w:color w:val="0D0D0D" w:themeColor="text1" w:themeTint="F2"/>
          <w:kern w:val="0"/>
        </w:rPr>
        <w:t>5000</w:t>
      </w:r>
      <w:r w:rsidRPr="00B56A57">
        <w:rPr>
          <w:rFonts w:asciiTheme="minorEastAsia" w:eastAsiaTheme="minorEastAsia" w:hAnsiTheme="minorEastAsia"/>
          <w:color w:val="0D0D0D" w:themeColor="text1" w:themeTint="F2"/>
          <w:kern w:val="0"/>
        </w:rPr>
        <w:t xml:space="preserve"> </w:t>
      </w:r>
      <w:r w:rsidRPr="00B56A57">
        <w:rPr>
          <w:rFonts w:asciiTheme="minorEastAsia" w:hAnsiTheme="minorEastAsia" w:hint="eastAsia"/>
          <w:color w:val="0D0D0D" w:themeColor="text1" w:themeTint="F2"/>
          <w:kern w:val="0"/>
        </w:rPr>
        <w:t>万元情形的，基金管理人应当在定期报告中予以披露；连续</w:t>
      </w:r>
      <w:r w:rsidRPr="00B56A57">
        <w:rPr>
          <w:rFonts w:asciiTheme="minorEastAsia" w:hAnsiTheme="minorEastAsia"/>
          <w:color w:val="0D0D0D" w:themeColor="text1" w:themeTint="F2"/>
          <w:kern w:val="0"/>
        </w:rPr>
        <w:t>50个工作日出现前述情形的，基金合同终止，不需召开基金份额持有人大会。</w:t>
      </w:r>
    </w:p>
    <w:p w14:paraId="3F461A7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b/>
          <w:szCs w:val="21"/>
        </w:rPr>
        <w:sectPr w:rsidR="00217DCA" w:rsidRPr="00B56A57">
          <w:footerReference w:type="default" r:id="rId20"/>
          <w:pgSz w:w="11906" w:h="16838"/>
          <w:pgMar w:top="1440" w:right="1800" w:bottom="1440" w:left="1800" w:header="851" w:footer="992" w:gutter="0"/>
          <w:pgNumType w:start="1"/>
          <w:cols w:space="425"/>
          <w:docGrid w:type="lines" w:linePitch="312"/>
        </w:sectPr>
      </w:pPr>
      <w:r w:rsidRPr="00B56A57">
        <w:rPr>
          <w:rFonts w:asciiTheme="minorEastAsia" w:hAnsiTheme="minorEastAsia" w:hint="eastAsia"/>
          <w:color w:val="0D0D0D" w:themeColor="text1" w:themeTint="F2"/>
          <w:kern w:val="0"/>
        </w:rPr>
        <w:t>法律法规或中国证监会另有规定时，从其规定。</w:t>
      </w:r>
      <w:bookmarkEnd w:id="134"/>
    </w:p>
    <w:p w14:paraId="7F72E68A" w14:textId="77777777" w:rsidR="00217DCA" w:rsidRPr="00B56A57" w:rsidRDefault="006C7341">
      <w:pPr>
        <w:pStyle w:val="1"/>
      </w:pPr>
      <w:bookmarkStart w:id="135" w:name="CTS_f8a2c7ea9115405eb5690619f2e812cd"/>
      <w:bookmarkStart w:id="136" w:name="_Toc64923770"/>
      <w:bookmarkStart w:id="137" w:name="_Toc73975083"/>
      <w:bookmarkStart w:id="138" w:name="CLAUSE_f8a2c7ea9115405eb5690619f2e812cd"/>
      <w:bookmarkStart w:id="139" w:name="_Toc123102453"/>
      <w:bookmarkStart w:id="140" w:name="_Toc123051452"/>
      <w:bookmarkStart w:id="141" w:name="_Toc1427"/>
      <w:bookmarkStart w:id="142" w:name="_Toc4003"/>
      <w:bookmarkStart w:id="143" w:name="_Toc98560352"/>
      <w:bookmarkStart w:id="144" w:name="_Toc11081"/>
      <w:bookmarkStart w:id="145" w:name="_Toc1270"/>
      <w:bookmarkStart w:id="146" w:name="_Toc23822"/>
      <w:bookmarkStart w:id="147" w:name="_Toc610"/>
      <w:bookmarkStart w:id="148" w:name="_Toc20733"/>
      <w:bookmarkStart w:id="149" w:name="_Toc7920"/>
      <w:bookmarkStart w:id="150" w:name="_Toc139991736"/>
      <w:bookmarkStart w:id="151" w:name="_Toc123112234"/>
      <w:bookmarkStart w:id="152" w:name="_Toc141703886"/>
      <w:bookmarkStart w:id="153" w:name="_Toc79392606"/>
      <w:bookmarkStart w:id="154" w:name="_Toc17244"/>
      <w:bookmarkStart w:id="155" w:name="_Toc10463"/>
      <w:bookmarkStart w:id="156" w:name="_Toc48649707"/>
      <w:bookmarkStart w:id="157" w:name="_Toc23261"/>
      <w:bookmarkEnd w:id="135"/>
      <w:r w:rsidRPr="00B56A57">
        <w:rPr>
          <w:rFonts w:hint="eastAsia"/>
        </w:rPr>
        <w:lastRenderedPageBreak/>
        <w:t>第六部分</w:t>
      </w:r>
      <w:r w:rsidRPr="00B56A57">
        <w:t xml:space="preserve"> 基金份额折算与变更登记</w:t>
      </w:r>
      <w:bookmarkEnd w:id="136"/>
      <w:bookmarkEnd w:id="137"/>
    </w:p>
    <w:p w14:paraId="76033C68" w14:textId="77777777" w:rsidR="00217DCA" w:rsidRPr="00B56A57" w:rsidRDefault="00217DCA">
      <w:pPr>
        <w:adjustRightInd w:val="0"/>
        <w:snapToGrid w:val="0"/>
        <w:spacing w:line="360" w:lineRule="auto"/>
        <w:ind w:firstLineChars="201" w:firstLine="422"/>
        <w:rPr>
          <w:rFonts w:asciiTheme="minorEastAsia" w:eastAsiaTheme="minorEastAsia" w:hAnsiTheme="minorEastAsia" w:cs="Arial"/>
          <w:color w:val="0D0D0D" w:themeColor="text1" w:themeTint="F2"/>
          <w:kern w:val="0"/>
          <w:szCs w:val="21"/>
        </w:rPr>
      </w:pPr>
    </w:p>
    <w:p w14:paraId="753160C8"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基金合同生效后，本基金可以进行份额折算。</w:t>
      </w:r>
    </w:p>
    <w:p w14:paraId="025AD45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一、基金份额折算的时间</w:t>
      </w:r>
    </w:p>
    <w:p w14:paraId="7191C96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基金管理人应事先确定基金份额折算日，并依照《信息披露办法》的有关规定进行公告。</w:t>
      </w:r>
    </w:p>
    <w:p w14:paraId="00E94C0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二、基金份额折算的原则</w:t>
      </w:r>
    </w:p>
    <w:p w14:paraId="11170CB4"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基金份额折算由基金管理人向登记机构申请办理，并由登记机构进行基金份额的变更登记。基金份额折算的比例和具体安排见基金管理人届时发布的相关公告。</w:t>
      </w:r>
    </w:p>
    <w:p w14:paraId="3C4F0C8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因尾数处理而产生的损益不视为实质性影响）。基金份额折算后，基金份额持有人将按照折算后的基金份额享有权利并承担义务。</w:t>
      </w:r>
    </w:p>
    <w:p w14:paraId="3FA0E37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如果基金份额折算过程中发生不可抗力等特殊情形，基金管理人可延迟办理基金份额折算。</w:t>
      </w:r>
    </w:p>
    <w:p w14:paraId="1A43EA02"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三、基金份额折算的方法</w:t>
      </w:r>
    </w:p>
    <w:p w14:paraId="3A752006"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基金份额折算的具体方法在份额折算公告中列示。</w:t>
      </w:r>
    </w:p>
    <w:p w14:paraId="3A5A6317" w14:textId="77777777" w:rsidR="00217DCA" w:rsidRPr="00B56A57" w:rsidRDefault="00217DCA">
      <w:pPr>
        <w:pStyle w:val="23"/>
        <w:adjustRightInd w:val="0"/>
        <w:snapToGrid w:val="0"/>
        <w:rPr>
          <w:rFonts w:asciiTheme="minorEastAsia" w:eastAsiaTheme="minorEastAsia" w:hAnsiTheme="minorEastAsia" w:cs="Arial"/>
          <w:color w:val="0D0D0D" w:themeColor="text1" w:themeTint="F2"/>
          <w:szCs w:val="21"/>
        </w:rPr>
      </w:pPr>
    </w:p>
    <w:bookmarkEnd w:id="138"/>
    <w:p w14:paraId="38984C30" w14:textId="77777777" w:rsidR="00217DCA" w:rsidRPr="00B56A57" w:rsidRDefault="00217DCA">
      <w:pPr>
        <w:pStyle w:val="1"/>
        <w:sectPr w:rsidR="00217DCA" w:rsidRPr="00B56A57">
          <w:footerReference w:type="default" r:id="rId21"/>
          <w:pgSz w:w="11906" w:h="16838"/>
          <w:pgMar w:top="1440" w:right="1800" w:bottom="1440" w:left="1800" w:header="851" w:footer="992" w:gutter="0"/>
          <w:pgNumType w:start="1"/>
          <w:cols w:space="425"/>
          <w:docGrid w:type="lines" w:linePitch="312"/>
        </w:sectPr>
      </w:pPr>
    </w:p>
    <w:p w14:paraId="45AF9751" w14:textId="77777777" w:rsidR="00217DCA" w:rsidRPr="00B56A57" w:rsidRDefault="006C7341">
      <w:pPr>
        <w:pStyle w:val="1"/>
      </w:pPr>
      <w:bookmarkStart w:id="158" w:name="CTS_2602dfeb98664f4e9342b071e32d99ea"/>
      <w:bookmarkStart w:id="159" w:name="_Toc64923771"/>
      <w:bookmarkStart w:id="160" w:name="_Toc73975084"/>
      <w:bookmarkStart w:id="161" w:name="CLAUSE_2602dfeb98664f4e9342b071e32d99ea"/>
      <w:bookmarkEnd w:id="158"/>
      <w:r w:rsidRPr="00B56A57">
        <w:rPr>
          <w:rFonts w:hint="eastAsia"/>
        </w:rPr>
        <w:lastRenderedPageBreak/>
        <w:t>第七部分</w:t>
      </w:r>
      <w:r w:rsidRPr="00B56A57">
        <w:t xml:space="preserve"> 基金份额的</w:t>
      </w:r>
      <w:r w:rsidRPr="00B56A57">
        <w:rPr>
          <w:rFonts w:hint="eastAsia"/>
        </w:rPr>
        <w:t>上市</w:t>
      </w:r>
      <w:r w:rsidRPr="00B56A57">
        <w:t>交易</w:t>
      </w:r>
      <w:bookmarkEnd w:id="159"/>
      <w:bookmarkEnd w:id="160"/>
    </w:p>
    <w:p w14:paraId="7C4CDC02" w14:textId="77777777" w:rsidR="00217DCA" w:rsidRPr="00B56A57" w:rsidRDefault="00217DCA">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p>
    <w:p w14:paraId="2BA133E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一、基金上市</w:t>
      </w:r>
    </w:p>
    <w:p w14:paraId="62513CC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基金合同生效后，如基金具备如下条件，在符合上海证券交易所相关规定的条件下，本基金可申请在上海证券交易所上市交易。</w:t>
      </w:r>
    </w:p>
    <w:p w14:paraId="61963F11"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1、本基金场内资产净值不少于2亿元；</w:t>
      </w:r>
    </w:p>
    <w:p w14:paraId="5BFE4AA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2、本基金场内份额持有人不少于1000人；</w:t>
      </w:r>
    </w:p>
    <w:p w14:paraId="45832D48"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3、符合上海证券交易所规定的其他条件。</w:t>
      </w:r>
    </w:p>
    <w:p w14:paraId="546CEE9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基金上市前，基金管理人应与上海证券交易所签订上市协议书。基金获准在上海证券交易所上市的，基金管理人应按照相关规定发布基金上市交易公告书。</w:t>
      </w:r>
    </w:p>
    <w:p w14:paraId="720AAD23"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二、基金份额的上市交易</w:t>
      </w:r>
    </w:p>
    <w:p w14:paraId="1EA10915"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基金份额在上海证券交易所的上市交易应遵照《上海证券交易所交易规则》、《上海证券交易所证券投资基金上市规则》、《上海证券交易所交易型开放式指数基金业务实施细则》等有关规定。</w:t>
      </w:r>
    </w:p>
    <w:p w14:paraId="22E63DB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三、终止上市交易</w:t>
      </w:r>
    </w:p>
    <w:p w14:paraId="75DACCE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基金份额上市交易后，有下列情形的，上海证券交易所可终止基金的上市交易：</w:t>
      </w:r>
    </w:p>
    <w:p w14:paraId="65F3ACE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1、不再具备</w:t>
      </w:r>
      <w:r w:rsidRPr="00B56A57">
        <w:rPr>
          <w:rFonts w:asciiTheme="minorEastAsia" w:eastAsiaTheme="minorEastAsia" w:hAnsiTheme="minorEastAsia" w:hint="eastAsia"/>
          <w:color w:val="0D0D0D" w:themeColor="text1" w:themeTint="F2"/>
          <w:kern w:val="0"/>
        </w:rPr>
        <w:t>本</w:t>
      </w:r>
      <w:r w:rsidRPr="00B56A57">
        <w:rPr>
          <w:rFonts w:asciiTheme="minorEastAsia" w:eastAsiaTheme="minorEastAsia" w:hAnsiTheme="minorEastAsia"/>
          <w:color w:val="0D0D0D" w:themeColor="text1" w:themeTint="F2"/>
          <w:kern w:val="0"/>
        </w:rPr>
        <w:t>部分第一条规定的上市条件；</w:t>
      </w:r>
    </w:p>
    <w:p w14:paraId="503E1FC5"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2、基金合同终止；</w:t>
      </w:r>
    </w:p>
    <w:p w14:paraId="7A55A553"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3、基金份额持有人大会决定终止上市；</w:t>
      </w:r>
    </w:p>
    <w:p w14:paraId="42B45C6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4、基金合同约定的终止上市的其他情形；</w:t>
      </w:r>
    </w:p>
    <w:p w14:paraId="1C49FA58"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 xml:space="preserve">5、上海证券交易所认为应当终止上市的其他情形。 </w:t>
      </w:r>
    </w:p>
    <w:p w14:paraId="5D15BF6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基金管理人应当在收到上海证券交易所终止基金上市的决定之日起依照《信息披露办法》</w:t>
      </w:r>
      <w:r w:rsidRPr="00B56A57">
        <w:rPr>
          <w:rFonts w:asciiTheme="minorEastAsia" w:eastAsiaTheme="minorEastAsia" w:hAnsiTheme="minorEastAsia"/>
          <w:color w:val="0D0D0D" w:themeColor="text1" w:themeTint="F2"/>
          <w:kern w:val="0"/>
        </w:rPr>
        <w:t xml:space="preserve">发布基金终止上市公告。 </w:t>
      </w:r>
    </w:p>
    <w:p w14:paraId="265CF6E3"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若因上述</w:t>
      </w:r>
      <w:r w:rsidRPr="00B56A57">
        <w:rPr>
          <w:rFonts w:asciiTheme="minorEastAsia" w:eastAsiaTheme="minorEastAsia" w:hAnsiTheme="minorEastAsia"/>
          <w:color w:val="0D0D0D" w:themeColor="text1" w:themeTint="F2"/>
          <w:kern w:val="0"/>
        </w:rPr>
        <w:t>1、4、5项等原因使本基金不再具备上市条件而被上海证券交易所终止上市的，本基金将由交易型开放式基金变更为跟踪标的指数的非上市的开放式</w:t>
      </w:r>
      <w:r w:rsidRPr="00B56A57">
        <w:rPr>
          <w:rFonts w:asciiTheme="minorEastAsia" w:eastAsiaTheme="minorEastAsia" w:hAnsiTheme="minorEastAsia" w:hint="eastAsia"/>
          <w:color w:val="0D0D0D" w:themeColor="text1" w:themeTint="F2"/>
          <w:kern w:val="0"/>
        </w:rPr>
        <w:t>指数</w:t>
      </w:r>
      <w:r w:rsidRPr="00B56A57">
        <w:rPr>
          <w:rFonts w:asciiTheme="minorEastAsia" w:eastAsiaTheme="minorEastAsia" w:hAnsiTheme="minorEastAsia"/>
          <w:color w:val="0D0D0D" w:themeColor="text1" w:themeTint="F2"/>
          <w:kern w:val="0"/>
        </w:rPr>
        <w:t>基金，而无需召开基金份额持有人大会。若届时本基金管理人已有以该指数作为标的指数的指数基金，则本基金将本着维护投资者合法权益的原则，履行适当的程序后</w:t>
      </w:r>
      <w:r w:rsidRPr="00B56A57">
        <w:rPr>
          <w:rFonts w:asciiTheme="minorEastAsia" w:eastAsiaTheme="minorEastAsia" w:hAnsiTheme="minorEastAsia" w:hint="eastAsia"/>
          <w:color w:val="0D0D0D" w:themeColor="text1" w:themeTint="F2"/>
          <w:kern w:val="0"/>
        </w:rPr>
        <w:t>与该指数基金合并或</w:t>
      </w:r>
      <w:r w:rsidRPr="00B56A57">
        <w:rPr>
          <w:rFonts w:asciiTheme="minorEastAsia" w:eastAsiaTheme="minorEastAsia" w:hAnsiTheme="minorEastAsia"/>
          <w:color w:val="0D0D0D" w:themeColor="text1" w:themeTint="F2"/>
          <w:kern w:val="0"/>
        </w:rPr>
        <w:t>选取其他合适的指数作为标的指数。</w:t>
      </w:r>
    </w:p>
    <w:p w14:paraId="577830D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四、基金份额参考净值的计算与公告</w:t>
      </w:r>
    </w:p>
    <w:p w14:paraId="38F681C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管理人或基金管理人委托的机构在开市后根据基金管理人提供的申购赎回清单和组合证券内各只证券的实时成交数据及汇率数据计算并通过上海证券交易所发布的基金份额参考净值，供投资人交易、申购、赎回基金份额时参考。基金份额参考净值（</w:t>
      </w:r>
      <w:r w:rsidRPr="00B56A57">
        <w:rPr>
          <w:rFonts w:asciiTheme="minorEastAsia" w:eastAsiaTheme="minorEastAsia" w:hAnsiTheme="minorEastAsia"/>
          <w:color w:val="0D0D0D" w:themeColor="text1" w:themeTint="F2"/>
          <w:kern w:val="0"/>
        </w:rPr>
        <w:t>IOPV）的具体计算方法参见招募说明书。</w:t>
      </w:r>
    </w:p>
    <w:p w14:paraId="63DE32D8"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hint="eastAsia"/>
        </w:rPr>
        <w:t>上海证券交易所和基金管理人可以调整基金份额参考净值的计算方法</w:t>
      </w:r>
      <w:r w:rsidRPr="00B56A57">
        <w:rPr>
          <w:rFonts w:ascii="宋体" w:hAnsi="宋体" w:cs="Arial" w:hint="eastAsia"/>
          <w:kern w:val="0"/>
          <w:szCs w:val="21"/>
        </w:rPr>
        <w:t>及保留的小数点</w:t>
      </w:r>
      <w:r w:rsidRPr="00B56A57">
        <w:rPr>
          <w:rFonts w:ascii="宋体" w:hAnsi="宋体" w:cs="Arial" w:hint="eastAsia"/>
          <w:kern w:val="0"/>
          <w:szCs w:val="21"/>
        </w:rPr>
        <w:lastRenderedPageBreak/>
        <w:t>位数</w:t>
      </w:r>
      <w:r w:rsidRPr="00B56A57">
        <w:rPr>
          <w:rFonts w:hint="eastAsia"/>
        </w:rPr>
        <w:t>，并予以公告。</w:t>
      </w:r>
    </w:p>
    <w:p w14:paraId="5E516A1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五、若上海证券交易所、中国证券登记结算有限责任公司增加了基金上市交易的新功能，基金管理人可以在履行适当的程序后增加相应功能。</w:t>
      </w:r>
    </w:p>
    <w:p w14:paraId="746034EB" w14:textId="6790D922"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六、在对基金份额持有人利益无实质性不利影响的前提下，</w:t>
      </w:r>
      <w:r w:rsidR="00CE5F31" w:rsidRPr="00B56A57">
        <w:rPr>
          <w:rFonts w:asciiTheme="minorEastAsia" w:eastAsiaTheme="minorEastAsia" w:hAnsiTheme="minorEastAsia" w:hint="eastAsia"/>
          <w:color w:val="0D0D0D" w:themeColor="text1" w:themeTint="F2"/>
          <w:kern w:val="0"/>
        </w:rPr>
        <w:t>基金管理人在</w:t>
      </w:r>
      <w:r w:rsidR="009C644E" w:rsidRPr="00B56A57">
        <w:rPr>
          <w:rFonts w:asciiTheme="minorEastAsia" w:eastAsiaTheme="minorEastAsia" w:hAnsiTheme="minorEastAsia" w:hint="eastAsia"/>
          <w:color w:val="0D0D0D" w:themeColor="text1" w:themeTint="F2"/>
          <w:kern w:val="0"/>
        </w:rPr>
        <w:t>履行适当程序后</w:t>
      </w:r>
      <w:r w:rsidRPr="00B56A57">
        <w:rPr>
          <w:rFonts w:asciiTheme="minorEastAsia" w:eastAsiaTheme="minorEastAsia" w:hAnsiTheme="minorEastAsia" w:hint="eastAsia"/>
          <w:color w:val="0D0D0D" w:themeColor="text1" w:themeTint="F2"/>
          <w:kern w:val="0"/>
        </w:rPr>
        <w:t>，可申请在其他证券交易所同时挂牌交易。</w:t>
      </w:r>
    </w:p>
    <w:p w14:paraId="29DB1488"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七、相关法律法规、中国证监会、登记机构及上海证券交易所对基金上市交易的规则等相关规定内容进行调整的，本基金合同相应予以修改，并按照新规定执行，且此项修改无须召开基金份额持有人大会。</w:t>
      </w:r>
    </w:p>
    <w:bookmarkEnd w:id="161"/>
    <w:p w14:paraId="54AF744E" w14:textId="77777777" w:rsidR="00217DCA" w:rsidRPr="00B56A57" w:rsidRDefault="00217DCA">
      <w:pPr>
        <w:sectPr w:rsidR="00217DCA" w:rsidRPr="00B56A57">
          <w:footerReference w:type="default" r:id="rId22"/>
          <w:pgSz w:w="11906" w:h="16838"/>
          <w:pgMar w:top="1440" w:right="1800" w:bottom="1440" w:left="1800" w:header="851" w:footer="992" w:gutter="0"/>
          <w:pgNumType w:start="1"/>
          <w:cols w:space="425"/>
          <w:docGrid w:type="lines" w:linePitch="312"/>
        </w:sectPr>
      </w:pPr>
    </w:p>
    <w:p w14:paraId="6A0DB870" w14:textId="77777777" w:rsidR="00217DCA" w:rsidRPr="00B56A57" w:rsidRDefault="006C7341">
      <w:pPr>
        <w:pStyle w:val="1"/>
      </w:pPr>
      <w:bookmarkStart w:id="162" w:name="CTS_c783c198b8fc4169b5e9d8f09e6b46d3"/>
      <w:bookmarkStart w:id="163" w:name="_Toc64923772"/>
      <w:bookmarkStart w:id="164" w:name="_Toc73975085"/>
      <w:bookmarkStart w:id="165" w:name="CLAUSE_c783c198b8fc4169b5e9d8f09e6b46d3"/>
      <w:bookmarkEnd w:id="162"/>
      <w:r w:rsidRPr="00B56A57">
        <w:rPr>
          <w:rFonts w:cs="Arial" w:hint="eastAsia"/>
        </w:rPr>
        <w:lastRenderedPageBreak/>
        <w:t>第八部分</w:t>
      </w:r>
      <w:r w:rsidRPr="00B56A57">
        <w:t xml:space="preserve"> 基金份额的申购与赎回</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63"/>
      <w:bookmarkEnd w:id="164"/>
    </w:p>
    <w:p w14:paraId="2B69944E" w14:textId="77777777" w:rsidR="00217DCA" w:rsidRPr="00B56A57" w:rsidRDefault="00217DCA">
      <w:pPr>
        <w:adjustRightInd w:val="0"/>
        <w:snapToGrid w:val="0"/>
        <w:spacing w:line="360" w:lineRule="auto"/>
        <w:ind w:firstLineChars="200" w:firstLine="420"/>
        <w:rPr>
          <w:rFonts w:asciiTheme="minorEastAsia" w:hAnsiTheme="minorEastAsia"/>
          <w:color w:val="0D0D0D" w:themeColor="text1" w:themeTint="F2"/>
          <w:kern w:val="0"/>
        </w:rPr>
      </w:pPr>
    </w:p>
    <w:p w14:paraId="0C6B323B" w14:textId="77777777" w:rsidR="00217DCA" w:rsidRPr="00B56A57" w:rsidRDefault="006C7341">
      <w:pPr>
        <w:spacing w:line="360" w:lineRule="auto"/>
        <w:ind w:firstLineChars="200" w:firstLine="420"/>
        <w:rPr>
          <w:rFonts w:ascii="宋体" w:hAnsi="宋体"/>
        </w:rPr>
      </w:pPr>
      <w:r w:rsidRPr="00B56A57">
        <w:rPr>
          <w:rFonts w:ascii="宋体" w:hAnsi="宋体" w:hint="eastAsia"/>
        </w:rPr>
        <w:t>在目前结算规则下，本基金采用现金申购、赎回的方式运作。未来在条件允许的情况下，基金管理人可以在场内开通现金申购、赎回以外的方式办理申购、赎回业务，</w:t>
      </w:r>
      <w:r w:rsidRPr="00B56A57">
        <w:rPr>
          <w:rFonts w:asciiTheme="minorEastAsia" w:eastAsiaTheme="minorEastAsia" w:hAnsiTheme="minorEastAsia" w:cs="Arial" w:hint="eastAsia"/>
          <w:color w:val="0D0D0D" w:themeColor="text1" w:themeTint="F2"/>
          <w:szCs w:val="21"/>
        </w:rPr>
        <w:t>或开通场外申购、赎回相关业务，</w:t>
      </w:r>
      <w:r w:rsidRPr="00B56A57">
        <w:rPr>
          <w:rFonts w:ascii="宋体" w:hAnsi="宋体" w:cs="Arial" w:hint="eastAsia"/>
          <w:bCs/>
        </w:rPr>
        <w:t>相应</w:t>
      </w:r>
      <w:r w:rsidRPr="00B56A57">
        <w:rPr>
          <w:rFonts w:ascii="宋体" w:hAnsi="宋体" w:hint="eastAsia"/>
        </w:rPr>
        <w:t>的业务规则、申购赎回原则等相关事项届时将另行约定并公告。</w:t>
      </w:r>
    </w:p>
    <w:p w14:paraId="0772B64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一、申购和赎回场所</w:t>
      </w:r>
    </w:p>
    <w:p w14:paraId="56C6DDF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hAnsiTheme="minorEastAsia" w:hint="eastAsia"/>
          <w:color w:val="0D0D0D" w:themeColor="text1" w:themeTint="F2"/>
          <w:kern w:val="0"/>
        </w:rPr>
        <w:t>本基金</w:t>
      </w:r>
      <w:r w:rsidRPr="00B56A57">
        <w:rPr>
          <w:rFonts w:asciiTheme="minorEastAsia" w:eastAsiaTheme="minorEastAsia" w:hAnsiTheme="minorEastAsia" w:hint="eastAsia"/>
          <w:color w:val="0D0D0D" w:themeColor="text1" w:themeTint="F2"/>
          <w:kern w:val="0"/>
        </w:rPr>
        <w:t>投资人</w:t>
      </w:r>
      <w:r w:rsidRPr="00B56A57">
        <w:rPr>
          <w:rFonts w:asciiTheme="minorEastAsia" w:hAnsiTheme="minorEastAsia" w:hint="eastAsia"/>
          <w:color w:val="0D0D0D" w:themeColor="text1" w:themeTint="F2"/>
          <w:kern w:val="0"/>
        </w:rPr>
        <w:t>应当在</w:t>
      </w:r>
      <w:r w:rsidRPr="00B56A57">
        <w:rPr>
          <w:rFonts w:asciiTheme="minorEastAsia" w:eastAsiaTheme="minorEastAsia" w:hAnsiTheme="minorEastAsia" w:hint="eastAsia"/>
          <w:color w:val="0D0D0D" w:themeColor="text1" w:themeTint="F2"/>
          <w:kern w:val="0"/>
        </w:rPr>
        <w:t>申购赎回代理券商</w:t>
      </w:r>
      <w:r w:rsidRPr="00B56A57">
        <w:rPr>
          <w:rFonts w:asciiTheme="minorEastAsia" w:hAnsiTheme="minorEastAsia" w:hint="eastAsia"/>
          <w:color w:val="0D0D0D" w:themeColor="text1" w:themeTint="F2"/>
          <w:kern w:val="0"/>
        </w:rPr>
        <w:t>办理基金</w:t>
      </w:r>
      <w:r w:rsidRPr="00B56A57">
        <w:rPr>
          <w:rFonts w:asciiTheme="minorEastAsia" w:eastAsiaTheme="minorEastAsia" w:hAnsiTheme="minorEastAsia" w:hint="eastAsia"/>
          <w:color w:val="0D0D0D" w:themeColor="text1" w:themeTint="F2"/>
          <w:kern w:val="0"/>
        </w:rPr>
        <w:t>申购、赎回</w:t>
      </w:r>
      <w:r w:rsidRPr="00B56A57">
        <w:rPr>
          <w:rFonts w:asciiTheme="minorEastAsia" w:hAnsiTheme="minorEastAsia" w:hint="eastAsia"/>
          <w:color w:val="0D0D0D" w:themeColor="text1" w:themeTint="F2"/>
          <w:kern w:val="0"/>
        </w:rPr>
        <w:t>业务的营业场所或按</w:t>
      </w:r>
      <w:r w:rsidRPr="00B56A57">
        <w:rPr>
          <w:rFonts w:asciiTheme="minorEastAsia" w:eastAsiaTheme="minorEastAsia" w:hAnsiTheme="minorEastAsia" w:hint="eastAsia"/>
          <w:color w:val="0D0D0D" w:themeColor="text1" w:themeTint="F2"/>
          <w:kern w:val="0"/>
        </w:rPr>
        <w:t>申购赎回代理券商</w:t>
      </w:r>
      <w:r w:rsidRPr="00B56A57">
        <w:rPr>
          <w:rFonts w:asciiTheme="minorEastAsia" w:hAnsiTheme="minorEastAsia" w:hint="eastAsia"/>
          <w:color w:val="0D0D0D" w:themeColor="text1" w:themeTint="F2"/>
          <w:kern w:val="0"/>
        </w:rPr>
        <w:t>提供的其他方式办理</w:t>
      </w:r>
      <w:r w:rsidRPr="00B56A57">
        <w:rPr>
          <w:rFonts w:asciiTheme="minorEastAsia" w:eastAsiaTheme="minorEastAsia" w:hAnsiTheme="minorEastAsia" w:hint="eastAsia"/>
          <w:color w:val="0D0D0D" w:themeColor="text1" w:themeTint="F2"/>
          <w:kern w:val="0"/>
        </w:rPr>
        <w:t>本基金的申购和赎回。</w:t>
      </w:r>
    </w:p>
    <w:p w14:paraId="263F0ED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管理人在开始申购、赎回业务前公告申购赎回代理券商的名单，并可依据实际情况变更申购赎回代理券商，并在基金管理人网站公示。基金管理人在确定、变更申购赎回代理券商名单时，均应在公告之前报请上海证券交易所认可。</w:t>
      </w:r>
    </w:p>
    <w:p w14:paraId="5C296FCD" w14:textId="77777777" w:rsidR="00217DCA" w:rsidRPr="00B56A57" w:rsidRDefault="006C7341">
      <w:pPr>
        <w:tabs>
          <w:tab w:val="left" w:pos="3780"/>
        </w:tabs>
        <w:autoSpaceDE w:val="0"/>
        <w:autoSpaceDN w:val="0"/>
        <w:adjustRightInd w:val="0"/>
        <w:snapToGrid w:val="0"/>
        <w:spacing w:line="360" w:lineRule="auto"/>
        <w:ind w:firstLineChars="200" w:firstLine="420"/>
        <w:textAlignment w:val="bottom"/>
        <w:rPr>
          <w:rFonts w:ascii="宋体" w:hAnsi="宋体"/>
          <w:kern w:val="0"/>
        </w:rPr>
      </w:pPr>
      <w:r w:rsidRPr="00B56A57">
        <w:rPr>
          <w:rFonts w:ascii="宋体" w:hAnsi="宋体" w:cs="Arial" w:hint="eastAsia"/>
          <w:kern w:val="0"/>
          <w:szCs w:val="21"/>
        </w:rPr>
        <w:t>在法律法规、</w:t>
      </w:r>
      <w:r w:rsidRPr="00B56A57">
        <w:rPr>
          <w:rFonts w:ascii="宋体" w:hAnsi="宋体" w:hint="eastAsia"/>
          <w:kern w:val="0"/>
        </w:rPr>
        <w:t>基金</w:t>
      </w:r>
      <w:r w:rsidRPr="00B56A57">
        <w:rPr>
          <w:rFonts w:ascii="宋体" w:hAnsi="宋体" w:cs="Arial" w:hint="eastAsia"/>
          <w:kern w:val="0"/>
          <w:szCs w:val="21"/>
        </w:rPr>
        <w:t>合同及未来条件允许</w:t>
      </w:r>
      <w:r w:rsidRPr="00B56A57">
        <w:rPr>
          <w:rFonts w:ascii="宋体" w:hAnsi="宋体" w:hint="eastAsia"/>
          <w:kern w:val="0"/>
        </w:rPr>
        <w:t>的</w:t>
      </w:r>
      <w:r w:rsidRPr="00B56A57">
        <w:rPr>
          <w:rFonts w:ascii="宋体" w:hAnsi="宋体" w:cs="Arial" w:hint="eastAsia"/>
          <w:kern w:val="0"/>
          <w:szCs w:val="21"/>
        </w:rPr>
        <w:t>情况下，基金管理人直销机构可以开通申购赎回业务，具体业务的办理时间及办理方式基金管理人将另行公告</w:t>
      </w:r>
      <w:r w:rsidRPr="00B56A57">
        <w:rPr>
          <w:rFonts w:ascii="宋体" w:hAnsi="宋体" w:hint="eastAsia"/>
          <w:kern w:val="0"/>
        </w:rPr>
        <w:t>。</w:t>
      </w:r>
    </w:p>
    <w:p w14:paraId="3CB2E49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二、申购和赎回的开放日及时间</w:t>
      </w:r>
    </w:p>
    <w:p w14:paraId="35F7410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1</w:t>
      </w:r>
      <w:r w:rsidRPr="00B56A57">
        <w:rPr>
          <w:rFonts w:asciiTheme="minorEastAsia" w:hAnsiTheme="minorEastAsia" w:hint="eastAsia"/>
          <w:color w:val="0D0D0D" w:themeColor="text1" w:themeTint="F2"/>
          <w:kern w:val="0"/>
        </w:rPr>
        <w:t>、开放日及开放时间</w:t>
      </w:r>
    </w:p>
    <w:p w14:paraId="698685C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投资人在开放日办理基金份额的申购和赎回，具体办理时间为港股通、上海证券交易所同时正常开放交易的工作日，但基金管理人根据法律法规、中国证监会的要求或基金合同的规定公告暂停申购、赎回时除外。</w:t>
      </w:r>
    </w:p>
    <w:p w14:paraId="68C7142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基金合同生效后，若出现新的证券交易市场、证券交易所交易时间变更、港股通交易规则变更或其他特殊情况，基金管理人将视情况对前述开放日及开放时间进行相应的调整，但应在实施日前依照《信息披露办法》的有关规定在规定媒介上公告。</w:t>
      </w:r>
    </w:p>
    <w:p w14:paraId="385C4B5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2</w:t>
      </w:r>
      <w:r w:rsidRPr="00B56A57">
        <w:rPr>
          <w:rFonts w:asciiTheme="minorEastAsia" w:hAnsiTheme="minorEastAsia" w:hint="eastAsia"/>
          <w:color w:val="0D0D0D" w:themeColor="text1" w:themeTint="F2"/>
          <w:kern w:val="0"/>
        </w:rPr>
        <w:t>、申购、赎回开始日及业务办理时间</w:t>
      </w:r>
    </w:p>
    <w:p w14:paraId="47C2630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基金管理人自基金合同生效之日起不超过</w:t>
      </w:r>
      <w:r w:rsidRPr="00B56A57">
        <w:rPr>
          <w:rFonts w:asciiTheme="minorEastAsia" w:eastAsiaTheme="minorEastAsia" w:hAnsiTheme="minorEastAsia"/>
          <w:color w:val="0D0D0D" w:themeColor="text1" w:themeTint="F2"/>
          <w:kern w:val="0"/>
        </w:rPr>
        <w:t>3</w:t>
      </w:r>
      <w:r w:rsidRPr="00B56A57">
        <w:rPr>
          <w:rFonts w:asciiTheme="minorEastAsia" w:eastAsiaTheme="minorEastAsia" w:hAnsiTheme="minorEastAsia" w:hint="eastAsia"/>
          <w:color w:val="0D0D0D" w:themeColor="text1" w:themeTint="F2"/>
          <w:kern w:val="0"/>
        </w:rPr>
        <w:t>个月</w:t>
      </w:r>
      <w:r w:rsidRPr="00B56A57">
        <w:rPr>
          <w:rFonts w:asciiTheme="minorEastAsia" w:hAnsiTheme="minorEastAsia" w:hint="eastAsia"/>
          <w:color w:val="0D0D0D" w:themeColor="text1" w:themeTint="F2"/>
          <w:kern w:val="0"/>
        </w:rPr>
        <w:t>开始办理申购，具体业务办理时间在申购开始公告中规定。</w:t>
      </w:r>
    </w:p>
    <w:p w14:paraId="075CEB8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基金管理人自基金合同生效之日起不超过</w:t>
      </w:r>
      <w:r w:rsidRPr="00B56A57">
        <w:rPr>
          <w:rFonts w:asciiTheme="minorEastAsia" w:eastAsiaTheme="minorEastAsia" w:hAnsiTheme="minorEastAsia"/>
          <w:color w:val="0D0D0D" w:themeColor="text1" w:themeTint="F2"/>
          <w:kern w:val="0"/>
        </w:rPr>
        <w:t>3</w:t>
      </w:r>
      <w:r w:rsidRPr="00B56A57">
        <w:rPr>
          <w:rFonts w:asciiTheme="minorEastAsia" w:eastAsiaTheme="minorEastAsia" w:hAnsiTheme="minorEastAsia" w:hint="eastAsia"/>
          <w:color w:val="0D0D0D" w:themeColor="text1" w:themeTint="F2"/>
          <w:kern w:val="0"/>
        </w:rPr>
        <w:t>个月</w:t>
      </w:r>
      <w:r w:rsidRPr="00B56A57">
        <w:rPr>
          <w:rFonts w:asciiTheme="minorEastAsia" w:hAnsiTheme="minorEastAsia" w:hint="eastAsia"/>
          <w:color w:val="0D0D0D" w:themeColor="text1" w:themeTint="F2"/>
          <w:kern w:val="0"/>
        </w:rPr>
        <w:t>开始办理赎回，具体业务办理时间在赎回开始公告中规定。</w:t>
      </w:r>
    </w:p>
    <w:p w14:paraId="12C3EBB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本基金可在基金上市交易之前开始办理申购、赎回，但在基金申请上市期间，可暂停办理申购、赎回。</w:t>
      </w:r>
    </w:p>
    <w:p w14:paraId="013781C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在确定申购开始与赎回开始时间后，基金管理人应在申购、赎回开放日前依照《信息披露办法》的有关规定在规定媒介上公告申购与赎回的开始时间。</w:t>
      </w:r>
    </w:p>
    <w:p w14:paraId="4979CFF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三、申购与赎回的原则</w:t>
      </w:r>
    </w:p>
    <w:p w14:paraId="612CCE9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1</w:t>
      </w:r>
      <w:r w:rsidRPr="00B56A57">
        <w:rPr>
          <w:rFonts w:asciiTheme="minorEastAsia" w:hAnsiTheme="minorEastAsia" w:hint="eastAsia"/>
          <w:color w:val="0D0D0D" w:themeColor="text1" w:themeTint="F2"/>
          <w:kern w:val="0"/>
        </w:rPr>
        <w:t>、</w:t>
      </w:r>
      <w:r w:rsidRPr="00B56A57">
        <w:rPr>
          <w:rFonts w:asciiTheme="minorEastAsia" w:eastAsiaTheme="minorEastAsia" w:hAnsiTheme="minorEastAsia" w:hint="eastAsia"/>
          <w:color w:val="0D0D0D" w:themeColor="text1" w:themeTint="F2"/>
          <w:kern w:val="0"/>
        </w:rPr>
        <w:t>“份额</w:t>
      </w:r>
      <w:r w:rsidRPr="00B56A57">
        <w:rPr>
          <w:rFonts w:asciiTheme="minorEastAsia" w:hAnsiTheme="minorEastAsia" w:hint="eastAsia"/>
          <w:color w:val="0D0D0D" w:themeColor="text1" w:themeTint="F2"/>
          <w:kern w:val="0"/>
        </w:rPr>
        <w:t>申购、份额赎回”原则，即申购</w:t>
      </w:r>
      <w:r w:rsidRPr="00B56A57">
        <w:rPr>
          <w:rFonts w:asciiTheme="minorEastAsia" w:eastAsiaTheme="minorEastAsia" w:hAnsiTheme="minorEastAsia" w:hint="eastAsia"/>
          <w:color w:val="0D0D0D" w:themeColor="text1" w:themeTint="F2"/>
          <w:kern w:val="0"/>
        </w:rPr>
        <w:t>、</w:t>
      </w:r>
      <w:r w:rsidRPr="00B56A57">
        <w:rPr>
          <w:rFonts w:asciiTheme="minorEastAsia" w:hAnsiTheme="minorEastAsia" w:hint="eastAsia"/>
          <w:color w:val="0D0D0D" w:themeColor="text1" w:themeTint="F2"/>
          <w:kern w:val="0"/>
        </w:rPr>
        <w:t>赎回</w:t>
      </w:r>
      <w:r w:rsidRPr="00B56A57">
        <w:rPr>
          <w:rFonts w:asciiTheme="minorEastAsia" w:eastAsiaTheme="minorEastAsia" w:hAnsiTheme="minorEastAsia" w:hint="eastAsia"/>
          <w:color w:val="0D0D0D" w:themeColor="text1" w:themeTint="F2"/>
          <w:kern w:val="0"/>
        </w:rPr>
        <w:t>均</w:t>
      </w:r>
      <w:r w:rsidRPr="00B56A57">
        <w:rPr>
          <w:rFonts w:asciiTheme="minorEastAsia" w:hAnsiTheme="minorEastAsia" w:hint="eastAsia"/>
          <w:color w:val="0D0D0D" w:themeColor="text1" w:themeTint="F2"/>
          <w:kern w:val="0"/>
        </w:rPr>
        <w:t>以份额申请；</w:t>
      </w:r>
    </w:p>
    <w:p w14:paraId="0EFE463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2、本基金申购、赎回的币种为人民币；基金管理人可以在不违反法律法规规定的情况</w:t>
      </w:r>
      <w:r w:rsidRPr="00B56A57">
        <w:rPr>
          <w:rFonts w:asciiTheme="minorEastAsia" w:hAnsiTheme="minorEastAsia" w:hint="eastAsia"/>
          <w:color w:val="0D0D0D" w:themeColor="text1" w:themeTint="F2"/>
          <w:kern w:val="0"/>
        </w:rPr>
        <w:lastRenderedPageBreak/>
        <w:t>下，增加其他币种的申购、赎回，其他币种申购、赎回的具体规则届时将另行公告；</w:t>
      </w:r>
    </w:p>
    <w:p w14:paraId="4BD82071"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3、本基金</w:t>
      </w:r>
      <w:r w:rsidRPr="00B56A57">
        <w:rPr>
          <w:rFonts w:asciiTheme="minorEastAsia" w:hAnsiTheme="minorEastAsia" w:hint="eastAsia"/>
          <w:color w:val="0D0D0D" w:themeColor="text1" w:themeTint="F2"/>
          <w:kern w:val="0"/>
        </w:rPr>
        <w:t>的申购</w:t>
      </w:r>
      <w:r w:rsidRPr="00B56A57">
        <w:rPr>
          <w:rFonts w:asciiTheme="minorEastAsia" w:eastAsiaTheme="minorEastAsia" w:hAnsiTheme="minorEastAsia" w:hint="eastAsia"/>
          <w:color w:val="0D0D0D" w:themeColor="text1" w:themeTint="F2"/>
          <w:kern w:val="0"/>
        </w:rPr>
        <w:t>对价、</w:t>
      </w:r>
      <w:r w:rsidRPr="00B56A57">
        <w:rPr>
          <w:rFonts w:asciiTheme="minorEastAsia" w:hAnsiTheme="minorEastAsia" w:hint="eastAsia"/>
          <w:color w:val="0D0D0D" w:themeColor="text1" w:themeTint="F2"/>
          <w:kern w:val="0"/>
        </w:rPr>
        <w:t>赎回</w:t>
      </w:r>
      <w:r w:rsidRPr="00B56A57">
        <w:rPr>
          <w:rFonts w:asciiTheme="minorEastAsia" w:eastAsiaTheme="minorEastAsia" w:hAnsiTheme="minorEastAsia" w:hint="eastAsia"/>
          <w:color w:val="0D0D0D" w:themeColor="text1" w:themeTint="F2"/>
          <w:kern w:val="0"/>
        </w:rPr>
        <w:t>对价包括现金替代、现金差额及其他对价；</w:t>
      </w:r>
    </w:p>
    <w:p w14:paraId="3D6169F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4、申购、赎回</w:t>
      </w:r>
      <w:r w:rsidRPr="00B56A57">
        <w:rPr>
          <w:rFonts w:asciiTheme="minorEastAsia" w:hAnsiTheme="minorEastAsia" w:hint="eastAsia"/>
          <w:color w:val="0D0D0D" w:themeColor="text1" w:themeTint="F2"/>
          <w:kern w:val="0"/>
        </w:rPr>
        <w:t>申请</w:t>
      </w:r>
      <w:r w:rsidRPr="00B56A57">
        <w:rPr>
          <w:rFonts w:asciiTheme="minorEastAsia" w:eastAsiaTheme="minorEastAsia" w:hAnsiTheme="minorEastAsia"/>
          <w:color w:val="0D0D0D" w:themeColor="text1" w:themeTint="F2"/>
          <w:kern w:val="0"/>
        </w:rPr>
        <w:t>提交后不得</w:t>
      </w:r>
      <w:r w:rsidRPr="00B56A57">
        <w:rPr>
          <w:rFonts w:asciiTheme="minorEastAsia" w:hAnsiTheme="minorEastAsia" w:hint="eastAsia"/>
          <w:color w:val="0D0D0D" w:themeColor="text1" w:themeTint="F2"/>
          <w:kern w:val="0"/>
        </w:rPr>
        <w:t>撤销；</w:t>
      </w:r>
    </w:p>
    <w:p w14:paraId="5D2A02B0"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5、申购、赎回应遵守《业务规则》及其他相关规定</w:t>
      </w:r>
      <w:r w:rsidRPr="00B56A57">
        <w:rPr>
          <w:rFonts w:asciiTheme="minorEastAsia" w:eastAsiaTheme="minorEastAsia" w:hAnsiTheme="minorEastAsia" w:hint="eastAsia"/>
          <w:color w:val="0D0D0D" w:themeColor="text1" w:themeTint="F2"/>
          <w:kern w:val="0"/>
        </w:rPr>
        <w:t>；</w:t>
      </w:r>
    </w:p>
    <w:p w14:paraId="2FB6065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6、办理申购、赎回业务时，应当遵循基金份额持有人利益优先原则，确保投资者的合法权益不受损害并得到公平对待。</w:t>
      </w:r>
    </w:p>
    <w:p w14:paraId="751ECAE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基金管理人可在法律法规允许的情况下，对上述原则进行调整。基金管理人必须在新规则开始实施前依照《信息披露办法》的有关规定在规定媒介上公告。</w:t>
      </w:r>
    </w:p>
    <w:p w14:paraId="395A740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四、申购与赎回的程序</w:t>
      </w:r>
    </w:p>
    <w:p w14:paraId="5E2128D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1</w:t>
      </w:r>
      <w:r w:rsidRPr="00B56A57">
        <w:rPr>
          <w:rFonts w:asciiTheme="minorEastAsia" w:hAnsiTheme="minorEastAsia" w:hint="eastAsia"/>
          <w:color w:val="0D0D0D" w:themeColor="text1" w:themeTint="F2"/>
          <w:kern w:val="0"/>
        </w:rPr>
        <w:t>、申购和赎回的申请方式</w:t>
      </w:r>
    </w:p>
    <w:p w14:paraId="3928E88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投资人必须根据</w:t>
      </w:r>
      <w:r w:rsidRPr="00B56A57">
        <w:rPr>
          <w:rFonts w:asciiTheme="minorEastAsia" w:eastAsiaTheme="minorEastAsia" w:hAnsiTheme="minorEastAsia" w:hint="eastAsia"/>
          <w:color w:val="0D0D0D" w:themeColor="text1" w:themeTint="F2"/>
          <w:kern w:val="0"/>
        </w:rPr>
        <w:t>申购、赎回代理券商或基金管理人</w:t>
      </w:r>
      <w:r w:rsidRPr="00B56A57">
        <w:rPr>
          <w:rFonts w:asciiTheme="minorEastAsia" w:hAnsiTheme="minorEastAsia" w:hint="eastAsia"/>
          <w:color w:val="0D0D0D" w:themeColor="text1" w:themeTint="F2"/>
          <w:kern w:val="0"/>
        </w:rPr>
        <w:t>规定的程序，在开放日的具体业务办理时间内提出申购或赎回的申请。</w:t>
      </w:r>
    </w:p>
    <w:p w14:paraId="716E02E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投资人交付申购</w:t>
      </w:r>
      <w:r w:rsidRPr="00B56A57">
        <w:rPr>
          <w:rFonts w:asciiTheme="minorEastAsia" w:eastAsiaTheme="minorEastAsia" w:hAnsiTheme="minorEastAsia" w:hint="eastAsia"/>
          <w:color w:val="0D0D0D" w:themeColor="text1" w:themeTint="F2"/>
          <w:kern w:val="0"/>
        </w:rPr>
        <w:t>对价</w:t>
      </w:r>
      <w:r w:rsidRPr="00B56A57">
        <w:rPr>
          <w:rFonts w:asciiTheme="minorEastAsia" w:hAnsiTheme="minorEastAsia" w:hint="eastAsia"/>
          <w:color w:val="0D0D0D" w:themeColor="text1" w:themeTint="F2"/>
          <w:kern w:val="0"/>
        </w:rPr>
        <w:t>，申购成立；登记机构确认</w:t>
      </w:r>
      <w:r w:rsidRPr="00B56A57">
        <w:rPr>
          <w:rFonts w:asciiTheme="minorEastAsia" w:eastAsiaTheme="minorEastAsia" w:hAnsiTheme="minorEastAsia" w:hint="eastAsia"/>
          <w:color w:val="0D0D0D" w:themeColor="text1" w:themeTint="F2"/>
          <w:kern w:val="0"/>
        </w:rPr>
        <w:t>申请</w:t>
      </w:r>
      <w:r w:rsidRPr="00B56A57">
        <w:rPr>
          <w:rFonts w:asciiTheme="minorEastAsia" w:hAnsiTheme="minorEastAsia" w:hint="eastAsia"/>
          <w:color w:val="0D0D0D" w:themeColor="text1" w:themeTint="F2"/>
          <w:kern w:val="0"/>
        </w:rPr>
        <w:t>时，申购生效。</w:t>
      </w:r>
      <w:r w:rsidRPr="00B56A57">
        <w:rPr>
          <w:rFonts w:asciiTheme="minorEastAsia" w:eastAsiaTheme="minorEastAsia" w:hAnsiTheme="minorEastAsia" w:hint="eastAsia"/>
          <w:color w:val="0D0D0D" w:themeColor="text1" w:themeTint="F2"/>
          <w:kern w:val="0"/>
        </w:rPr>
        <w:t>投资人在提交</w:t>
      </w:r>
      <w:r w:rsidRPr="00B56A57">
        <w:rPr>
          <w:rFonts w:asciiTheme="minorEastAsia" w:hAnsiTheme="minorEastAsia" w:hint="eastAsia"/>
          <w:color w:val="0D0D0D" w:themeColor="text1" w:themeTint="F2"/>
          <w:kern w:val="0"/>
        </w:rPr>
        <w:t>赎回申请</w:t>
      </w:r>
      <w:r w:rsidRPr="00B56A57">
        <w:rPr>
          <w:rFonts w:asciiTheme="minorEastAsia" w:eastAsiaTheme="minorEastAsia" w:hAnsiTheme="minorEastAsia" w:hint="eastAsia"/>
          <w:color w:val="0D0D0D" w:themeColor="text1" w:themeTint="F2"/>
          <w:kern w:val="0"/>
        </w:rPr>
        <w:t>时有足够的基金份额余额和现金，则赎回申请</w:t>
      </w:r>
      <w:r w:rsidRPr="00B56A57">
        <w:rPr>
          <w:rFonts w:asciiTheme="minorEastAsia" w:hAnsiTheme="minorEastAsia" w:hint="eastAsia"/>
          <w:color w:val="0D0D0D" w:themeColor="text1" w:themeTint="F2"/>
          <w:kern w:val="0"/>
        </w:rPr>
        <w:t>成立</w:t>
      </w:r>
      <w:r w:rsidRPr="00B56A57">
        <w:rPr>
          <w:rFonts w:asciiTheme="minorEastAsia" w:eastAsiaTheme="minorEastAsia" w:hAnsiTheme="minorEastAsia" w:hint="eastAsia"/>
          <w:color w:val="0D0D0D" w:themeColor="text1" w:themeTint="F2"/>
          <w:kern w:val="0"/>
        </w:rPr>
        <w:t>，</w:t>
      </w:r>
      <w:r w:rsidRPr="00B56A57">
        <w:rPr>
          <w:rFonts w:asciiTheme="minorEastAsia" w:hAnsiTheme="minorEastAsia" w:hint="eastAsia"/>
          <w:color w:val="0D0D0D" w:themeColor="text1" w:themeTint="F2"/>
          <w:kern w:val="0"/>
        </w:rPr>
        <w:t>登记机构确认赎回时，赎回生效。</w:t>
      </w:r>
      <w:r w:rsidRPr="00B56A57">
        <w:rPr>
          <w:rFonts w:asciiTheme="minorEastAsia" w:eastAsiaTheme="minorEastAsia" w:hAnsiTheme="minorEastAsia" w:hint="eastAsia"/>
          <w:color w:val="0D0D0D" w:themeColor="text1" w:themeTint="F2"/>
          <w:kern w:val="0"/>
        </w:rPr>
        <w:t>投资人在提交申购申请时须按申购赎回清单的规定备足申购对价，投资人在提交赎回申请时须持有足够的基金份额余额和现金，否则所提交的申购、赎回申请不成立</w:t>
      </w:r>
      <w:r w:rsidRPr="00B56A57">
        <w:rPr>
          <w:rFonts w:asciiTheme="minorEastAsia" w:hAnsiTheme="minorEastAsia" w:hint="eastAsia"/>
          <w:color w:val="0D0D0D" w:themeColor="text1" w:themeTint="F2"/>
          <w:kern w:val="0"/>
        </w:rPr>
        <w:t>。</w:t>
      </w:r>
    </w:p>
    <w:p w14:paraId="2472FD30"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2</w:t>
      </w:r>
      <w:r w:rsidRPr="00B56A57">
        <w:rPr>
          <w:rFonts w:asciiTheme="minorEastAsia" w:eastAsiaTheme="minorEastAsia" w:hAnsiTheme="minorEastAsia" w:hint="eastAsia"/>
          <w:color w:val="0D0D0D" w:themeColor="text1" w:themeTint="F2"/>
          <w:kern w:val="0"/>
        </w:rPr>
        <w:t>、申购和赎回</w:t>
      </w:r>
      <w:r w:rsidRPr="00B56A57">
        <w:rPr>
          <w:rFonts w:asciiTheme="minorEastAsia" w:eastAsiaTheme="minorEastAsia" w:hAnsiTheme="minorEastAsia"/>
          <w:color w:val="0D0D0D" w:themeColor="text1" w:themeTint="F2"/>
          <w:kern w:val="0"/>
        </w:rPr>
        <w:t>申请</w:t>
      </w:r>
      <w:r w:rsidRPr="00B56A57">
        <w:rPr>
          <w:rFonts w:asciiTheme="minorEastAsia" w:eastAsiaTheme="minorEastAsia" w:hAnsiTheme="minorEastAsia" w:hint="eastAsia"/>
          <w:color w:val="0D0D0D" w:themeColor="text1" w:themeTint="F2"/>
          <w:kern w:val="0"/>
        </w:rPr>
        <w:t>的</w:t>
      </w:r>
      <w:r w:rsidRPr="00B56A57">
        <w:rPr>
          <w:rFonts w:asciiTheme="minorEastAsia" w:eastAsiaTheme="minorEastAsia" w:hAnsiTheme="minorEastAsia"/>
          <w:color w:val="0D0D0D" w:themeColor="text1" w:themeTint="F2"/>
          <w:kern w:val="0"/>
        </w:rPr>
        <w:t>确认</w:t>
      </w:r>
    </w:p>
    <w:p w14:paraId="6A67F22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投资人申购、赎回申请在受理当日进行确认。如投资人未能提供符合要求的申购对价，则申购申请不成立。如投资人持有的符合要求的基金份额不足或未能根据要求准备足额的现金，或本基金投资组合内不具备足额的符合要求的赎回对价或投资人提交的赎回申请超过基金管理人设定的当日净赎回份额上限、当日累计赎回份额上限、单个账户当日净赎回份额上限或单个账户当日累计赎回份额上限，则赎回申请不成立。</w:t>
      </w:r>
    </w:p>
    <w:p w14:paraId="30C29D16"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申购</w:t>
      </w:r>
      <w:r w:rsidRPr="00B56A57">
        <w:rPr>
          <w:rFonts w:asciiTheme="minorEastAsia" w:eastAsiaTheme="minorEastAsia" w:hAnsiTheme="minorEastAsia" w:hint="eastAsia"/>
          <w:color w:val="0D0D0D" w:themeColor="text1" w:themeTint="F2"/>
          <w:kern w:val="0"/>
        </w:rPr>
        <w:t>、</w:t>
      </w:r>
      <w:r w:rsidRPr="00B56A57">
        <w:rPr>
          <w:rFonts w:asciiTheme="minorEastAsia" w:eastAsiaTheme="minorEastAsia" w:hAnsiTheme="minorEastAsia"/>
          <w:color w:val="0D0D0D" w:themeColor="text1" w:themeTint="F2"/>
          <w:kern w:val="0"/>
        </w:rPr>
        <w:t>赎回代理</w:t>
      </w:r>
      <w:r w:rsidRPr="00B56A57">
        <w:rPr>
          <w:rFonts w:asciiTheme="minorEastAsia" w:eastAsiaTheme="minorEastAsia" w:hAnsiTheme="minorEastAsia" w:hint="eastAsia"/>
          <w:color w:val="0D0D0D" w:themeColor="text1" w:themeTint="F2"/>
          <w:kern w:val="0"/>
        </w:rPr>
        <w:t>券商对申购、赎回申请的受理并不代表该申请一定成功，而仅代表</w:t>
      </w:r>
      <w:r w:rsidRPr="00B56A57">
        <w:rPr>
          <w:rFonts w:asciiTheme="minorEastAsia" w:eastAsiaTheme="minorEastAsia" w:hAnsiTheme="minorEastAsia"/>
          <w:color w:val="0D0D0D" w:themeColor="text1" w:themeTint="F2"/>
          <w:kern w:val="0"/>
        </w:rPr>
        <w:t>申购</w:t>
      </w:r>
      <w:r w:rsidRPr="00B56A57">
        <w:rPr>
          <w:rFonts w:asciiTheme="minorEastAsia" w:eastAsiaTheme="minorEastAsia" w:hAnsiTheme="minorEastAsia" w:hint="eastAsia"/>
          <w:color w:val="0D0D0D" w:themeColor="text1" w:themeTint="F2"/>
          <w:kern w:val="0"/>
        </w:rPr>
        <w:t>、</w:t>
      </w:r>
      <w:r w:rsidRPr="00B56A57">
        <w:rPr>
          <w:rFonts w:asciiTheme="minorEastAsia" w:eastAsiaTheme="minorEastAsia" w:hAnsiTheme="minorEastAsia"/>
          <w:color w:val="0D0D0D" w:themeColor="text1" w:themeTint="F2"/>
          <w:kern w:val="0"/>
        </w:rPr>
        <w:t>赎回代理</w:t>
      </w:r>
      <w:r w:rsidRPr="00B56A57">
        <w:rPr>
          <w:rFonts w:asciiTheme="minorEastAsia" w:eastAsiaTheme="minorEastAsia" w:hAnsiTheme="minorEastAsia" w:hint="eastAsia"/>
          <w:color w:val="0D0D0D" w:themeColor="text1" w:themeTint="F2"/>
          <w:kern w:val="0"/>
        </w:rPr>
        <w:t>券商确实接收到该申请。申购、赎回的确认以登记机构的确认结果为准。对于申购、赎回申请的确认情况，投资人应及时查询并妥善行使合法权利。</w:t>
      </w:r>
    </w:p>
    <w:p w14:paraId="35112EAF"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本基金基金份额申购申请、赎回申请的确认根据登记机构的相关规定办理，具体见本基金招募说明书。</w:t>
      </w:r>
    </w:p>
    <w:p w14:paraId="6F38B34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3</w:t>
      </w:r>
      <w:r w:rsidRPr="00B56A57">
        <w:rPr>
          <w:rFonts w:asciiTheme="minorEastAsia" w:hAnsiTheme="minorEastAsia" w:hint="eastAsia"/>
          <w:color w:val="0D0D0D" w:themeColor="text1" w:themeTint="F2"/>
          <w:kern w:val="0"/>
        </w:rPr>
        <w:t>、申购和赎回的</w:t>
      </w:r>
      <w:r w:rsidRPr="00B56A57">
        <w:rPr>
          <w:rFonts w:asciiTheme="minorEastAsia" w:eastAsiaTheme="minorEastAsia" w:hAnsiTheme="minorEastAsia" w:hint="eastAsia"/>
          <w:color w:val="0D0D0D" w:themeColor="text1" w:themeTint="F2"/>
          <w:kern w:val="0"/>
        </w:rPr>
        <w:t>清算交收与登记</w:t>
      </w:r>
    </w:p>
    <w:p w14:paraId="6D43BF54"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本基金的申购和赎回的清算交收与登记规则详见招募说明书规定。</w:t>
      </w:r>
    </w:p>
    <w:p w14:paraId="5B0FED6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投资者应按照本基金合同的约定和申购、赎回代理券商的规定按时足额支付应付的现金差额和现金替代退补款。因投资者原因导致现金差额或现金替代退补款未能按时足额交收的，基金管理人有权为基金的利益向该投资者追偿，并要求其承担由此导致的其他基金份额持有人或基金资产的损失。</w:t>
      </w:r>
    </w:p>
    <w:p w14:paraId="0D146EC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基金管理人、登记机构可在法律法规允许的范围内，对清算交收和登记的办理时间、方</w:t>
      </w:r>
      <w:r w:rsidRPr="00B56A57">
        <w:rPr>
          <w:rFonts w:asciiTheme="minorEastAsia" w:eastAsiaTheme="minorEastAsia" w:hAnsiTheme="minorEastAsia" w:hint="eastAsia"/>
          <w:color w:val="0D0D0D" w:themeColor="text1" w:themeTint="F2"/>
          <w:kern w:val="0"/>
        </w:rPr>
        <w:lastRenderedPageBreak/>
        <w:t>式进行调整，并最迟于开始实施日前按照《信息披露办法》的有关规定在</w:t>
      </w:r>
      <w:r w:rsidRPr="00B56A57">
        <w:rPr>
          <w:rFonts w:asciiTheme="minorEastAsia" w:eastAsiaTheme="minorEastAsia" w:hAnsiTheme="minorEastAsia"/>
          <w:color w:val="0D0D0D" w:themeColor="text1" w:themeTint="F2"/>
          <w:kern w:val="0"/>
        </w:rPr>
        <w:t>中国证监会规定媒介公告。</w:t>
      </w:r>
    </w:p>
    <w:p w14:paraId="63EB8025"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4、本基金获批后，若上海证券交易所和中国证券登记结算有限责任公司针对交易型开放式证券投资基金推出新的清算交收与登记模式并引入新的申购、赎回方式，本基金管理人将根据新的业务规则新增或调整申购和赎回申请的确认方式，届时将发布公告予以披露，并对本基金的基金合同和招募说明书予以更新，无须召开持有人大会审议。</w:t>
      </w:r>
    </w:p>
    <w:p w14:paraId="5C9FE4D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五、申购和赎回的数量限制</w:t>
      </w:r>
    </w:p>
    <w:p w14:paraId="7D1A8D9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1</w:t>
      </w:r>
      <w:r w:rsidRPr="00B56A57">
        <w:rPr>
          <w:rFonts w:asciiTheme="minorEastAsia" w:hAnsiTheme="minorEastAsia" w:hint="eastAsia"/>
          <w:color w:val="0D0D0D" w:themeColor="text1" w:themeTint="F2"/>
          <w:kern w:val="0"/>
        </w:rPr>
        <w:t>、投资人申购</w:t>
      </w:r>
      <w:r w:rsidRPr="00B56A57">
        <w:rPr>
          <w:rFonts w:asciiTheme="minorEastAsia" w:eastAsiaTheme="minorEastAsia" w:hAnsiTheme="minorEastAsia" w:hint="eastAsia"/>
          <w:color w:val="0D0D0D" w:themeColor="text1" w:themeTint="F2"/>
          <w:kern w:val="0"/>
        </w:rPr>
        <w:t>、</w:t>
      </w:r>
      <w:r w:rsidRPr="00B56A57">
        <w:rPr>
          <w:rFonts w:asciiTheme="minorEastAsia" w:hAnsiTheme="minorEastAsia" w:hint="eastAsia"/>
          <w:color w:val="0D0D0D" w:themeColor="text1" w:themeTint="F2"/>
          <w:kern w:val="0"/>
        </w:rPr>
        <w:t>赎回的</w:t>
      </w:r>
      <w:r w:rsidRPr="00B56A57">
        <w:rPr>
          <w:rFonts w:asciiTheme="minorEastAsia" w:eastAsiaTheme="minorEastAsia" w:hAnsiTheme="minorEastAsia" w:hint="eastAsia"/>
          <w:color w:val="0D0D0D" w:themeColor="text1" w:themeTint="F2"/>
          <w:kern w:val="0"/>
        </w:rPr>
        <w:t>基金</w:t>
      </w:r>
      <w:r w:rsidRPr="00B56A57">
        <w:rPr>
          <w:rFonts w:asciiTheme="minorEastAsia" w:hAnsiTheme="minorEastAsia" w:hint="eastAsia"/>
          <w:color w:val="0D0D0D" w:themeColor="text1" w:themeTint="F2"/>
          <w:kern w:val="0"/>
        </w:rPr>
        <w:t>份额</w:t>
      </w:r>
      <w:r w:rsidRPr="00B56A57">
        <w:rPr>
          <w:rFonts w:asciiTheme="minorEastAsia" w:eastAsiaTheme="minorEastAsia" w:hAnsiTheme="minorEastAsia" w:hint="eastAsia"/>
          <w:color w:val="0D0D0D" w:themeColor="text1" w:themeTint="F2"/>
          <w:kern w:val="0"/>
        </w:rPr>
        <w:t>需为最小申购、赎回单位的整数倍。最小申购、赎回单位由基金管理人确定和调整，详见本基金</w:t>
      </w:r>
      <w:r w:rsidRPr="00B56A57">
        <w:rPr>
          <w:rFonts w:asciiTheme="minorEastAsia" w:hAnsiTheme="minorEastAsia" w:hint="eastAsia"/>
          <w:color w:val="0D0D0D" w:themeColor="text1" w:themeTint="F2"/>
          <w:kern w:val="0"/>
        </w:rPr>
        <w:t>招募说明书或相关公告。</w:t>
      </w:r>
    </w:p>
    <w:p w14:paraId="7EB73F0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2</w:t>
      </w:r>
      <w:r w:rsidRPr="00B56A57">
        <w:rPr>
          <w:rFonts w:asciiTheme="minorEastAsia" w:hAnsiTheme="minorEastAsia" w:hint="eastAsia"/>
          <w:color w:val="0D0D0D" w:themeColor="text1" w:themeTint="F2"/>
          <w:kern w:val="0"/>
        </w:rPr>
        <w:t>、基金管理人可以规定</w:t>
      </w:r>
      <w:r w:rsidRPr="00B56A57">
        <w:rPr>
          <w:rFonts w:asciiTheme="minorEastAsia" w:eastAsiaTheme="minorEastAsia" w:hAnsiTheme="minorEastAsia" w:hint="eastAsia"/>
          <w:color w:val="0D0D0D" w:themeColor="text1" w:themeTint="F2"/>
          <w:kern w:val="0"/>
        </w:rPr>
        <w:t>本</w:t>
      </w:r>
      <w:r w:rsidRPr="00B56A57">
        <w:rPr>
          <w:rFonts w:asciiTheme="minorEastAsia" w:hAnsiTheme="minorEastAsia" w:hint="eastAsia"/>
          <w:color w:val="0D0D0D" w:themeColor="text1" w:themeTint="F2"/>
          <w:kern w:val="0"/>
        </w:rPr>
        <w:t>基金</w:t>
      </w:r>
      <w:r w:rsidRPr="00B56A57">
        <w:rPr>
          <w:rFonts w:asciiTheme="minorEastAsia" w:eastAsiaTheme="minorEastAsia" w:hAnsiTheme="minorEastAsia" w:hint="eastAsia"/>
          <w:color w:val="0D0D0D" w:themeColor="text1" w:themeTint="F2"/>
          <w:kern w:val="0"/>
        </w:rPr>
        <w:t>当日申购</w:t>
      </w:r>
      <w:r w:rsidRPr="00B56A57">
        <w:rPr>
          <w:rFonts w:asciiTheme="minorEastAsia" w:hAnsiTheme="minorEastAsia" w:hint="eastAsia"/>
          <w:color w:val="0D0D0D" w:themeColor="text1" w:themeTint="F2"/>
          <w:kern w:val="0"/>
        </w:rPr>
        <w:t>份额</w:t>
      </w:r>
      <w:r w:rsidRPr="00B56A57">
        <w:rPr>
          <w:rFonts w:asciiTheme="minorEastAsia" w:eastAsiaTheme="minorEastAsia" w:hAnsiTheme="minorEastAsia" w:hint="eastAsia"/>
          <w:color w:val="0D0D0D" w:themeColor="text1" w:themeTint="F2"/>
          <w:kern w:val="0"/>
        </w:rPr>
        <w:t>及当日赎回份额上限</w:t>
      </w:r>
      <w:r w:rsidRPr="00B56A57">
        <w:rPr>
          <w:rFonts w:asciiTheme="minorEastAsia" w:hAnsiTheme="minorEastAsia" w:hint="eastAsia"/>
          <w:color w:val="0D0D0D" w:themeColor="text1" w:themeTint="F2"/>
          <w:kern w:val="0"/>
        </w:rPr>
        <w:t>，具体规定</w:t>
      </w:r>
      <w:r w:rsidRPr="00B56A57">
        <w:rPr>
          <w:rFonts w:asciiTheme="minorEastAsia" w:eastAsiaTheme="minorEastAsia" w:hAnsiTheme="minorEastAsia" w:hint="eastAsia"/>
          <w:color w:val="0D0D0D" w:themeColor="text1" w:themeTint="F2"/>
          <w:kern w:val="0"/>
        </w:rPr>
        <w:t>详见申购、赎回清单</w:t>
      </w:r>
      <w:r w:rsidRPr="00B56A57">
        <w:rPr>
          <w:rFonts w:asciiTheme="minorEastAsia" w:hAnsiTheme="minorEastAsia" w:hint="eastAsia"/>
          <w:color w:val="0D0D0D" w:themeColor="text1" w:themeTint="F2"/>
          <w:kern w:val="0"/>
        </w:rPr>
        <w:t>。</w:t>
      </w:r>
    </w:p>
    <w:p w14:paraId="56FB14D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hAnsiTheme="minorEastAsia"/>
          <w:color w:val="0D0D0D" w:themeColor="text1" w:themeTint="F2"/>
          <w:kern w:val="0"/>
        </w:rPr>
        <w:t>3、基金管理人可以规定</w:t>
      </w:r>
      <w:r w:rsidRPr="00B56A57">
        <w:rPr>
          <w:rFonts w:asciiTheme="minorEastAsia" w:eastAsiaTheme="minorEastAsia" w:hAnsiTheme="minorEastAsia"/>
          <w:color w:val="0D0D0D" w:themeColor="text1" w:themeTint="F2"/>
          <w:kern w:val="0"/>
        </w:rPr>
        <w:t>投资人每个交易账户的最低基金份额余额，具体规定请参见招募说明书或相关公告。</w:t>
      </w:r>
    </w:p>
    <w:p w14:paraId="795C4A3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4</w:t>
      </w:r>
      <w:r w:rsidRPr="00B56A57">
        <w:rPr>
          <w:rFonts w:asciiTheme="minorEastAsia" w:eastAsiaTheme="minorEastAsia" w:hAnsiTheme="minorEastAsia" w:hint="eastAsia"/>
          <w:color w:val="0D0D0D" w:themeColor="text1" w:themeTint="F2"/>
          <w:kern w:val="0"/>
        </w:rPr>
        <w:t>、基金管理人可以规定</w:t>
      </w:r>
      <w:r w:rsidRPr="00B56A57">
        <w:rPr>
          <w:rFonts w:asciiTheme="minorEastAsia" w:hAnsiTheme="minorEastAsia" w:hint="eastAsia"/>
          <w:color w:val="0D0D0D" w:themeColor="text1" w:themeTint="F2"/>
          <w:kern w:val="0"/>
        </w:rPr>
        <w:t>单个投资人累计持有的基金份额上限，具体规定请参见招募说明书或相关公告。</w:t>
      </w:r>
    </w:p>
    <w:p w14:paraId="6497D0F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5</w:t>
      </w:r>
      <w:r w:rsidRPr="00B56A57">
        <w:rPr>
          <w:rFonts w:asciiTheme="minorEastAsia" w:hAnsiTheme="minorEastAsia" w:hint="eastAsia"/>
          <w:color w:val="0D0D0D" w:themeColor="text1" w:themeTint="F2"/>
          <w:kern w:val="0"/>
        </w:rPr>
        <w:t>、当接受申购申请对存量基金份额持有人利益构成潜在重大不利影响时，基金管理人</w:t>
      </w:r>
      <w:r w:rsidRPr="00B56A57">
        <w:rPr>
          <w:rFonts w:asciiTheme="minorEastAsia" w:eastAsiaTheme="minorEastAsia" w:hAnsiTheme="minorEastAsia" w:hint="eastAsia"/>
          <w:color w:val="0D0D0D" w:themeColor="text1" w:themeTint="F2"/>
          <w:kern w:val="0"/>
        </w:rPr>
        <w:t>可以</w:t>
      </w:r>
      <w:r w:rsidRPr="00B56A57">
        <w:rPr>
          <w:rFonts w:asciiTheme="minorEastAsia" w:hAnsiTheme="minorEastAsia" w:hint="eastAsia"/>
          <w:color w:val="0D0D0D" w:themeColor="text1" w:themeTint="F2"/>
          <w:kern w:val="0"/>
        </w:rPr>
        <w:t>采取设定单一投资者申购</w:t>
      </w:r>
      <w:r w:rsidRPr="00B56A57">
        <w:rPr>
          <w:rFonts w:asciiTheme="minorEastAsia" w:eastAsiaTheme="minorEastAsia" w:hAnsiTheme="minorEastAsia" w:hint="eastAsia"/>
          <w:color w:val="0D0D0D" w:themeColor="text1" w:themeTint="F2"/>
          <w:kern w:val="0"/>
        </w:rPr>
        <w:t>份额</w:t>
      </w:r>
      <w:r w:rsidRPr="00B56A57">
        <w:rPr>
          <w:rFonts w:asciiTheme="minorEastAsia" w:hAnsiTheme="minorEastAsia" w:hint="eastAsia"/>
          <w:color w:val="0D0D0D" w:themeColor="text1" w:themeTint="F2"/>
          <w:kern w:val="0"/>
        </w:rPr>
        <w:t>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2F39259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基金管理人可</w:t>
      </w:r>
      <w:r w:rsidRPr="00B56A57">
        <w:rPr>
          <w:rFonts w:asciiTheme="minorEastAsia" w:eastAsiaTheme="minorEastAsia" w:hAnsiTheme="minorEastAsia" w:hint="eastAsia"/>
          <w:color w:val="0D0D0D" w:themeColor="text1" w:themeTint="F2"/>
          <w:kern w:val="0"/>
        </w:rPr>
        <w:t>根据市场情况，</w:t>
      </w:r>
      <w:r w:rsidRPr="00B56A57">
        <w:rPr>
          <w:rFonts w:asciiTheme="minorEastAsia" w:hAnsiTheme="minorEastAsia" w:hint="eastAsia"/>
          <w:color w:val="0D0D0D" w:themeColor="text1" w:themeTint="F2"/>
          <w:kern w:val="0"/>
        </w:rPr>
        <w:t>在法律法规允许的情况下，调整上述规定数量</w:t>
      </w:r>
      <w:r w:rsidRPr="00B56A57">
        <w:rPr>
          <w:rFonts w:asciiTheme="minorEastAsia" w:eastAsiaTheme="minorEastAsia" w:hAnsiTheme="minorEastAsia" w:hint="eastAsia"/>
          <w:color w:val="0D0D0D" w:themeColor="text1" w:themeTint="F2"/>
          <w:kern w:val="0"/>
        </w:rPr>
        <w:t>或比例等</w:t>
      </w:r>
      <w:r w:rsidRPr="00B56A57">
        <w:rPr>
          <w:rFonts w:asciiTheme="minorEastAsia" w:hAnsiTheme="minorEastAsia" w:hint="eastAsia"/>
          <w:color w:val="0D0D0D" w:themeColor="text1" w:themeTint="F2"/>
          <w:kern w:val="0"/>
        </w:rPr>
        <w:t>限制。基金管理人必须在调整</w:t>
      </w:r>
      <w:r w:rsidRPr="00B56A57">
        <w:rPr>
          <w:rFonts w:asciiTheme="minorEastAsia" w:eastAsiaTheme="minorEastAsia" w:hAnsiTheme="minorEastAsia" w:hint="eastAsia"/>
          <w:color w:val="0D0D0D" w:themeColor="text1" w:themeTint="F2"/>
          <w:kern w:val="0"/>
        </w:rPr>
        <w:t>实施</w:t>
      </w:r>
      <w:r w:rsidRPr="00B56A57">
        <w:rPr>
          <w:rFonts w:asciiTheme="minorEastAsia" w:hAnsiTheme="minorEastAsia" w:hint="eastAsia"/>
          <w:color w:val="0D0D0D" w:themeColor="text1" w:themeTint="F2"/>
          <w:kern w:val="0"/>
        </w:rPr>
        <w:t>前依照《信息披露办法》的有关规定在规定媒介上公告</w:t>
      </w:r>
      <w:r w:rsidRPr="00B56A57">
        <w:rPr>
          <w:rFonts w:asciiTheme="minorEastAsia" w:eastAsiaTheme="minorEastAsia" w:hAnsiTheme="minorEastAsia" w:hint="eastAsia"/>
          <w:color w:val="0D0D0D" w:themeColor="text1" w:themeTint="F2"/>
          <w:kern w:val="0"/>
        </w:rPr>
        <w:t>（其中上述第</w:t>
      </w:r>
      <w:r w:rsidRPr="00B56A57">
        <w:rPr>
          <w:rFonts w:asciiTheme="minorEastAsia" w:eastAsiaTheme="minorEastAsia" w:hAnsiTheme="minorEastAsia"/>
          <w:color w:val="0D0D0D" w:themeColor="text1" w:themeTint="F2"/>
          <w:kern w:val="0"/>
        </w:rPr>
        <w:t>2</w:t>
      </w:r>
      <w:r w:rsidRPr="00B56A57">
        <w:rPr>
          <w:rFonts w:asciiTheme="minorEastAsia" w:eastAsiaTheme="minorEastAsia" w:hAnsiTheme="minorEastAsia" w:hint="eastAsia"/>
          <w:color w:val="0D0D0D" w:themeColor="text1" w:themeTint="F2"/>
          <w:kern w:val="0"/>
        </w:rPr>
        <w:t>、</w:t>
      </w:r>
      <w:r w:rsidRPr="00B56A57">
        <w:rPr>
          <w:rFonts w:asciiTheme="minorEastAsia" w:eastAsiaTheme="minorEastAsia" w:hAnsiTheme="minorEastAsia"/>
          <w:color w:val="0D0D0D" w:themeColor="text1" w:themeTint="F2"/>
          <w:kern w:val="0"/>
        </w:rPr>
        <w:t>3、4</w:t>
      </w:r>
      <w:r w:rsidRPr="00B56A57">
        <w:rPr>
          <w:rFonts w:asciiTheme="minorEastAsia" w:eastAsiaTheme="minorEastAsia" w:hAnsiTheme="minorEastAsia" w:hint="eastAsia"/>
          <w:color w:val="0D0D0D" w:themeColor="text1" w:themeTint="F2"/>
          <w:kern w:val="0"/>
        </w:rPr>
        <w:t>条基金管理人可于前一交易日设定并在当日基金申购、赎回清单上公布，而不必在规定媒介上公告）</w:t>
      </w:r>
      <w:r w:rsidRPr="00B56A57">
        <w:rPr>
          <w:rFonts w:asciiTheme="minorEastAsia" w:hAnsiTheme="minorEastAsia" w:hint="eastAsia"/>
          <w:color w:val="0D0D0D" w:themeColor="text1" w:themeTint="F2"/>
          <w:kern w:val="0"/>
        </w:rPr>
        <w:t>。</w:t>
      </w:r>
    </w:p>
    <w:p w14:paraId="3E640E1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六、申购和赎回的</w:t>
      </w:r>
      <w:r w:rsidRPr="00B56A57">
        <w:rPr>
          <w:rFonts w:asciiTheme="minorEastAsia" w:eastAsiaTheme="minorEastAsia" w:hAnsiTheme="minorEastAsia" w:hint="eastAsia"/>
          <w:color w:val="0D0D0D" w:themeColor="text1" w:themeTint="F2"/>
          <w:kern w:val="0"/>
        </w:rPr>
        <w:t>对价</w:t>
      </w:r>
      <w:r w:rsidRPr="00B56A57">
        <w:rPr>
          <w:rFonts w:asciiTheme="minorEastAsia" w:hAnsiTheme="minorEastAsia" w:hint="eastAsia"/>
          <w:color w:val="0D0D0D" w:themeColor="text1" w:themeTint="F2"/>
          <w:kern w:val="0"/>
        </w:rPr>
        <w:t>、费用</w:t>
      </w:r>
    </w:p>
    <w:p w14:paraId="1F7D41F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1</w:t>
      </w:r>
      <w:r w:rsidRPr="00B56A57">
        <w:rPr>
          <w:rFonts w:asciiTheme="minorEastAsia" w:hAnsiTheme="minorEastAsia" w:hint="eastAsia"/>
          <w:color w:val="0D0D0D" w:themeColor="text1" w:themeTint="F2"/>
          <w:kern w:val="0"/>
        </w:rPr>
        <w:t>、本基金份额净值的计算，保留到小数点后</w:t>
      </w:r>
      <w:r w:rsidRPr="00B56A57">
        <w:rPr>
          <w:rFonts w:asciiTheme="minorEastAsia" w:hAnsiTheme="minorEastAsia"/>
          <w:color w:val="0D0D0D" w:themeColor="text1" w:themeTint="F2"/>
          <w:kern w:val="0"/>
        </w:rPr>
        <w:t>4</w:t>
      </w:r>
      <w:r w:rsidRPr="00B56A57">
        <w:rPr>
          <w:rFonts w:asciiTheme="minorEastAsia" w:hAnsiTheme="minorEastAsia" w:hint="eastAsia"/>
          <w:color w:val="0D0D0D" w:themeColor="text1" w:themeTint="F2"/>
          <w:kern w:val="0"/>
        </w:rPr>
        <w:t>位，小数点后第</w:t>
      </w:r>
      <w:r w:rsidRPr="00B56A57">
        <w:rPr>
          <w:rFonts w:asciiTheme="minorEastAsia" w:hAnsiTheme="minorEastAsia"/>
          <w:color w:val="0D0D0D" w:themeColor="text1" w:themeTint="F2"/>
          <w:kern w:val="0"/>
        </w:rPr>
        <w:t>5</w:t>
      </w:r>
      <w:r w:rsidRPr="00B56A57">
        <w:rPr>
          <w:rFonts w:asciiTheme="minorEastAsia" w:hAnsiTheme="minorEastAsia" w:hint="eastAsia"/>
          <w:color w:val="0D0D0D" w:themeColor="text1" w:themeTint="F2"/>
          <w:kern w:val="0"/>
        </w:rPr>
        <w:t>位四舍五入，由此产生的收益或损失由基金财产承担。</w:t>
      </w:r>
      <w:r w:rsidRPr="00B56A57">
        <w:rPr>
          <w:rFonts w:asciiTheme="minorEastAsia" w:hAnsiTheme="minorEastAsia"/>
          <w:color w:val="0D0D0D" w:themeColor="text1" w:themeTint="F2"/>
          <w:kern w:val="0"/>
        </w:rPr>
        <w:t>T</w:t>
      </w:r>
      <w:r w:rsidRPr="00B56A57">
        <w:rPr>
          <w:rFonts w:asciiTheme="minorEastAsia" w:hAnsiTheme="minorEastAsia" w:hint="eastAsia"/>
          <w:color w:val="0D0D0D" w:themeColor="text1" w:themeTint="F2"/>
          <w:kern w:val="0"/>
        </w:rPr>
        <w:t>日的基金份额净值在当天收市后计算，并</w:t>
      </w:r>
      <w:r w:rsidRPr="00B56A57">
        <w:rPr>
          <w:rFonts w:asciiTheme="minorEastAsia" w:eastAsiaTheme="minorEastAsia" w:hAnsiTheme="minorEastAsia" w:hint="eastAsia"/>
          <w:color w:val="0D0D0D" w:themeColor="text1" w:themeTint="F2"/>
          <w:kern w:val="0"/>
        </w:rPr>
        <w:t>按照基金合同的约定</w:t>
      </w:r>
      <w:r w:rsidRPr="00B56A57">
        <w:rPr>
          <w:rFonts w:asciiTheme="minorEastAsia" w:hAnsiTheme="minorEastAsia" w:hint="eastAsia"/>
          <w:color w:val="0D0D0D" w:themeColor="text1" w:themeTint="F2"/>
          <w:kern w:val="0"/>
        </w:rPr>
        <w:t>公告。遇特殊情况，经履行适当程序，可以适当延迟计算或公告。</w:t>
      </w:r>
    </w:p>
    <w:p w14:paraId="2358E173"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hAnsiTheme="minorEastAsia"/>
          <w:color w:val="0D0D0D" w:themeColor="text1" w:themeTint="F2"/>
          <w:kern w:val="0"/>
        </w:rPr>
        <w:t>2</w:t>
      </w:r>
      <w:r w:rsidRPr="00B56A57">
        <w:rPr>
          <w:rFonts w:asciiTheme="minorEastAsia" w:hAnsiTheme="minorEastAsia" w:hint="eastAsia"/>
          <w:color w:val="0D0D0D" w:themeColor="text1" w:themeTint="F2"/>
          <w:kern w:val="0"/>
        </w:rPr>
        <w:t>、申购</w:t>
      </w:r>
      <w:r w:rsidRPr="00B56A57">
        <w:rPr>
          <w:rFonts w:asciiTheme="minorEastAsia" w:eastAsiaTheme="minorEastAsia" w:hAnsiTheme="minorEastAsia" w:hint="eastAsia"/>
          <w:color w:val="0D0D0D" w:themeColor="text1" w:themeTint="F2"/>
          <w:kern w:val="0"/>
        </w:rPr>
        <w:t>对价、赎回对价根据申购、赎回清单和投资者申购、赎回</w:t>
      </w:r>
      <w:r w:rsidRPr="00B56A57">
        <w:rPr>
          <w:rFonts w:asciiTheme="minorEastAsia" w:hAnsiTheme="minorEastAsia" w:hint="eastAsia"/>
          <w:color w:val="0D0D0D" w:themeColor="text1" w:themeTint="F2"/>
          <w:kern w:val="0"/>
        </w:rPr>
        <w:t>的基金</w:t>
      </w:r>
      <w:r w:rsidRPr="00B56A57">
        <w:rPr>
          <w:rFonts w:asciiTheme="minorEastAsia" w:eastAsiaTheme="minorEastAsia" w:hAnsiTheme="minorEastAsia" w:hint="eastAsia"/>
          <w:color w:val="0D0D0D" w:themeColor="text1" w:themeTint="F2"/>
          <w:kern w:val="0"/>
        </w:rPr>
        <w:t>份额数额确定。申购对价是指投资人申购基金</w:t>
      </w:r>
      <w:r w:rsidRPr="00B56A57">
        <w:rPr>
          <w:rFonts w:asciiTheme="minorEastAsia" w:hAnsiTheme="minorEastAsia" w:hint="eastAsia"/>
          <w:color w:val="0D0D0D" w:themeColor="text1" w:themeTint="F2"/>
          <w:kern w:val="0"/>
        </w:rPr>
        <w:t>份额</w:t>
      </w:r>
      <w:r w:rsidRPr="00B56A57">
        <w:rPr>
          <w:rFonts w:asciiTheme="minorEastAsia" w:eastAsiaTheme="minorEastAsia" w:hAnsiTheme="minorEastAsia" w:hint="eastAsia"/>
          <w:color w:val="0D0D0D" w:themeColor="text1" w:themeTint="F2"/>
          <w:kern w:val="0"/>
        </w:rPr>
        <w:t>时应交付的现金替代、现金差额及其他对价。赎回对价是指投资人赎回基金份额时，基金管理人应交付给投资人</w:t>
      </w:r>
      <w:r w:rsidRPr="00B56A57">
        <w:rPr>
          <w:rFonts w:asciiTheme="minorEastAsia" w:hAnsiTheme="minorEastAsia" w:hint="eastAsia"/>
          <w:color w:val="0D0D0D" w:themeColor="text1" w:themeTint="F2"/>
          <w:kern w:val="0"/>
        </w:rPr>
        <w:t>的</w:t>
      </w:r>
      <w:r w:rsidRPr="00B56A57">
        <w:rPr>
          <w:rFonts w:asciiTheme="minorEastAsia" w:eastAsiaTheme="minorEastAsia" w:hAnsiTheme="minorEastAsia" w:hint="eastAsia"/>
          <w:color w:val="0D0D0D" w:themeColor="text1" w:themeTint="F2"/>
          <w:kern w:val="0"/>
        </w:rPr>
        <w:t>现金替代、现金差额及其他对价。</w:t>
      </w:r>
    </w:p>
    <w:p w14:paraId="23CDB326"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3</w:t>
      </w:r>
      <w:r w:rsidRPr="00B56A57">
        <w:rPr>
          <w:rFonts w:asciiTheme="minorEastAsia" w:eastAsiaTheme="minorEastAsia" w:hAnsiTheme="minorEastAsia" w:hint="eastAsia"/>
          <w:color w:val="0D0D0D" w:themeColor="text1" w:themeTint="F2"/>
          <w:kern w:val="0"/>
        </w:rPr>
        <w:t>、申购、赎回清单由基金管理人编制。</w:t>
      </w:r>
      <w:r w:rsidRPr="00B56A57">
        <w:rPr>
          <w:rFonts w:asciiTheme="minorEastAsia" w:eastAsiaTheme="minorEastAsia" w:hAnsiTheme="minorEastAsia"/>
          <w:color w:val="0D0D0D" w:themeColor="text1" w:themeTint="F2"/>
          <w:kern w:val="0"/>
        </w:rPr>
        <w:t>T日的申购、赎回清单在当日</w:t>
      </w:r>
      <w:r w:rsidRPr="00B56A57">
        <w:rPr>
          <w:rFonts w:asciiTheme="minorEastAsia" w:eastAsiaTheme="minorEastAsia" w:hAnsiTheme="minorEastAsia" w:hint="eastAsia"/>
          <w:color w:val="0D0D0D" w:themeColor="text1" w:themeTint="F2"/>
          <w:kern w:val="0"/>
        </w:rPr>
        <w:t>上海证券交易所开市前公告。如遇特殊情况，可以适当延迟计算或公告。申购赎回清单的内容与格式</w:t>
      </w:r>
      <w:r w:rsidRPr="00B56A57">
        <w:rPr>
          <w:rFonts w:asciiTheme="minorEastAsia" w:hAnsiTheme="minorEastAsia" w:hint="eastAsia"/>
          <w:color w:val="0D0D0D" w:themeColor="text1" w:themeTint="F2"/>
          <w:kern w:val="0"/>
        </w:rPr>
        <w:t>详见《招募说明书》。</w:t>
      </w:r>
    </w:p>
    <w:p w14:paraId="255E7F6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4、投资者在申购或赎回本基金时，申购赎回代理</w:t>
      </w:r>
      <w:r w:rsidRPr="00B56A57">
        <w:rPr>
          <w:rFonts w:asciiTheme="minorEastAsia" w:eastAsiaTheme="minorEastAsia" w:hAnsiTheme="minorEastAsia" w:hint="eastAsia"/>
          <w:color w:val="0D0D0D" w:themeColor="text1" w:themeTint="F2"/>
          <w:kern w:val="0"/>
        </w:rPr>
        <w:t>券商</w:t>
      </w:r>
      <w:r w:rsidRPr="00B56A57">
        <w:rPr>
          <w:rFonts w:asciiTheme="minorEastAsia" w:eastAsiaTheme="minorEastAsia" w:hAnsiTheme="minorEastAsia"/>
          <w:color w:val="0D0D0D" w:themeColor="text1" w:themeTint="F2"/>
          <w:kern w:val="0"/>
        </w:rPr>
        <w:t>可按照一定标准收取佣金，其中</w:t>
      </w:r>
      <w:r w:rsidRPr="00B56A57">
        <w:rPr>
          <w:rFonts w:asciiTheme="minorEastAsia" w:eastAsiaTheme="minorEastAsia" w:hAnsiTheme="minorEastAsia"/>
          <w:color w:val="0D0D0D" w:themeColor="text1" w:themeTint="F2"/>
          <w:kern w:val="0"/>
        </w:rPr>
        <w:lastRenderedPageBreak/>
        <w:t>包含证券交易所、登记机构等收取的相关费用，具体规定详见</w:t>
      </w:r>
      <w:r w:rsidRPr="00B56A57">
        <w:rPr>
          <w:rFonts w:asciiTheme="minorEastAsia" w:hAnsiTheme="minorEastAsia" w:hint="eastAsia"/>
          <w:color w:val="0D0D0D" w:themeColor="text1" w:themeTint="F2"/>
          <w:kern w:val="0"/>
        </w:rPr>
        <w:t>招募说明书。</w:t>
      </w:r>
    </w:p>
    <w:p w14:paraId="3549D6D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5、基金管理人可以在</w:t>
      </w:r>
      <w:r w:rsidRPr="00B56A57">
        <w:rPr>
          <w:rFonts w:asciiTheme="minorEastAsia" w:hAnsiTheme="minorEastAsia" w:hint="eastAsia"/>
          <w:color w:val="0D0D0D" w:themeColor="text1" w:themeTint="F2"/>
          <w:kern w:val="0"/>
        </w:rPr>
        <w:t>不</w:t>
      </w:r>
      <w:r w:rsidRPr="00B56A57">
        <w:rPr>
          <w:rFonts w:asciiTheme="minorEastAsia" w:eastAsiaTheme="minorEastAsia" w:hAnsiTheme="minorEastAsia"/>
          <w:color w:val="0D0D0D" w:themeColor="text1" w:themeTint="F2"/>
          <w:kern w:val="0"/>
        </w:rPr>
        <w:t>违反</w:t>
      </w:r>
      <w:r w:rsidRPr="00B56A57">
        <w:rPr>
          <w:rFonts w:asciiTheme="minorEastAsia" w:hAnsiTheme="minorEastAsia" w:hint="eastAsia"/>
          <w:color w:val="0D0D0D" w:themeColor="text1" w:themeTint="F2"/>
          <w:kern w:val="0"/>
        </w:rPr>
        <w:t>相关法律法规</w:t>
      </w:r>
      <w:r w:rsidRPr="00B56A57">
        <w:rPr>
          <w:rFonts w:asciiTheme="minorEastAsia" w:eastAsiaTheme="minorEastAsia" w:hAnsiTheme="minorEastAsia"/>
          <w:color w:val="0D0D0D" w:themeColor="text1" w:themeTint="F2"/>
          <w:kern w:val="0"/>
        </w:rPr>
        <w:t>的情况下对基金份额净值、申购</w:t>
      </w:r>
      <w:r w:rsidRPr="00B56A57">
        <w:rPr>
          <w:rFonts w:asciiTheme="minorEastAsia" w:hAnsiTheme="minorEastAsia" w:hint="eastAsia"/>
          <w:color w:val="0D0D0D" w:themeColor="text1" w:themeTint="F2"/>
          <w:kern w:val="0"/>
        </w:rPr>
        <w:t>赎回</w:t>
      </w:r>
      <w:r w:rsidRPr="00B56A57">
        <w:rPr>
          <w:rFonts w:asciiTheme="minorEastAsia" w:eastAsiaTheme="minorEastAsia" w:hAnsiTheme="minorEastAsia"/>
          <w:color w:val="0D0D0D" w:themeColor="text1" w:themeTint="F2"/>
          <w:kern w:val="0"/>
        </w:rPr>
        <w:t>清单计算</w:t>
      </w:r>
      <w:r w:rsidRPr="00B56A57">
        <w:rPr>
          <w:rFonts w:asciiTheme="minorEastAsia" w:hAnsiTheme="minorEastAsia" w:hint="eastAsia"/>
          <w:color w:val="0D0D0D" w:themeColor="text1" w:themeTint="F2"/>
          <w:kern w:val="0"/>
        </w:rPr>
        <w:t>和</w:t>
      </w:r>
      <w:r w:rsidRPr="00B56A57">
        <w:rPr>
          <w:rFonts w:asciiTheme="minorEastAsia" w:eastAsiaTheme="minorEastAsia" w:hAnsiTheme="minorEastAsia"/>
          <w:color w:val="0D0D0D" w:themeColor="text1" w:themeTint="F2"/>
          <w:kern w:val="0"/>
        </w:rPr>
        <w:t>公告时间进行</w:t>
      </w:r>
      <w:r w:rsidRPr="00B56A57">
        <w:rPr>
          <w:rFonts w:asciiTheme="minorEastAsia" w:hAnsiTheme="minorEastAsia" w:hint="eastAsia"/>
          <w:color w:val="0D0D0D" w:themeColor="text1" w:themeTint="F2"/>
          <w:kern w:val="0"/>
        </w:rPr>
        <w:t>调整</w:t>
      </w:r>
      <w:r w:rsidRPr="00B56A57">
        <w:rPr>
          <w:rFonts w:asciiTheme="minorEastAsia" w:eastAsiaTheme="minorEastAsia" w:hAnsiTheme="minorEastAsia"/>
          <w:color w:val="0D0D0D" w:themeColor="text1" w:themeTint="F2"/>
          <w:kern w:val="0"/>
        </w:rPr>
        <w:t>并提前</w:t>
      </w:r>
      <w:r w:rsidRPr="00B56A57">
        <w:rPr>
          <w:rFonts w:asciiTheme="minorEastAsia" w:hAnsiTheme="minorEastAsia" w:hint="eastAsia"/>
          <w:color w:val="0D0D0D" w:themeColor="text1" w:themeTint="F2"/>
          <w:kern w:val="0"/>
        </w:rPr>
        <w:t>公告。</w:t>
      </w:r>
    </w:p>
    <w:p w14:paraId="6CC4338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七、拒绝或暂停申购的情形</w:t>
      </w:r>
      <w:r w:rsidRPr="00B56A57">
        <w:rPr>
          <w:rFonts w:asciiTheme="minorEastAsia" w:eastAsiaTheme="minorEastAsia" w:hAnsiTheme="minorEastAsia" w:hint="eastAsia"/>
          <w:color w:val="0D0D0D" w:themeColor="text1" w:themeTint="F2"/>
          <w:kern w:val="0"/>
        </w:rPr>
        <w:t>及处理方式</w:t>
      </w:r>
    </w:p>
    <w:p w14:paraId="3DF97CB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发生下列情况时，基金管理人可拒绝或暂停接受投资人的申购申请：</w:t>
      </w:r>
    </w:p>
    <w:p w14:paraId="273234A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bookmarkStart w:id="166" w:name="_Hlt70481650"/>
      <w:bookmarkEnd w:id="166"/>
      <w:r w:rsidRPr="00B56A57">
        <w:rPr>
          <w:rFonts w:asciiTheme="minorEastAsia" w:hAnsiTheme="minorEastAsia"/>
          <w:color w:val="0D0D0D" w:themeColor="text1" w:themeTint="F2"/>
          <w:kern w:val="0"/>
        </w:rPr>
        <w:t>1</w:t>
      </w:r>
      <w:r w:rsidRPr="00B56A57">
        <w:rPr>
          <w:rFonts w:asciiTheme="minorEastAsia" w:hAnsiTheme="minorEastAsia" w:hint="eastAsia"/>
          <w:color w:val="0D0D0D" w:themeColor="text1" w:themeTint="F2"/>
          <w:kern w:val="0"/>
        </w:rPr>
        <w:t>、因不可抗力导致</w:t>
      </w:r>
      <w:r w:rsidRPr="00B56A57">
        <w:rPr>
          <w:rFonts w:asciiTheme="minorEastAsia" w:eastAsiaTheme="minorEastAsia" w:hAnsiTheme="minorEastAsia" w:hint="eastAsia"/>
          <w:color w:val="0D0D0D" w:themeColor="text1" w:themeTint="F2"/>
          <w:kern w:val="0"/>
        </w:rPr>
        <w:t>基金无法正常运作或</w:t>
      </w:r>
      <w:r w:rsidRPr="00B56A57">
        <w:rPr>
          <w:rFonts w:asciiTheme="minorEastAsia" w:hAnsiTheme="minorEastAsia" w:hint="eastAsia"/>
          <w:color w:val="0D0D0D" w:themeColor="text1" w:themeTint="F2"/>
          <w:kern w:val="0"/>
        </w:rPr>
        <w:t>基金</w:t>
      </w:r>
      <w:r w:rsidRPr="00B56A57">
        <w:rPr>
          <w:rFonts w:asciiTheme="minorEastAsia" w:eastAsiaTheme="minorEastAsia" w:hAnsiTheme="minorEastAsia" w:hint="eastAsia"/>
          <w:color w:val="0D0D0D" w:themeColor="text1" w:themeTint="F2"/>
          <w:kern w:val="0"/>
        </w:rPr>
        <w:t>管理人无法受理或办理基金份额持有人的申购申请；</w:t>
      </w:r>
    </w:p>
    <w:p w14:paraId="4C1A98A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2、证券/</w:t>
      </w:r>
      <w:r w:rsidRPr="00B56A57">
        <w:rPr>
          <w:rFonts w:asciiTheme="minorEastAsia" w:eastAsiaTheme="minorEastAsia" w:hAnsiTheme="minorEastAsia" w:hint="eastAsia"/>
          <w:color w:val="0D0D0D" w:themeColor="text1" w:themeTint="F2"/>
          <w:kern w:val="0"/>
        </w:rPr>
        <w:t>期货交易所或外汇市场交易时间非正常停市，导致基金管理人无法计算当日基金资产净值或无法进行证券交易；</w:t>
      </w:r>
    </w:p>
    <w:p w14:paraId="335FEC8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3</w:t>
      </w:r>
      <w:r w:rsidRPr="00B56A57">
        <w:rPr>
          <w:rFonts w:asciiTheme="minorEastAsia" w:hAnsiTheme="minorEastAsia" w:hint="eastAsia"/>
          <w:color w:val="0D0D0D" w:themeColor="text1" w:themeTint="F2"/>
          <w:kern w:val="0"/>
        </w:rPr>
        <w:t>、发生基金合同规定的暂停基金资产估值情况时</w:t>
      </w:r>
      <w:r w:rsidRPr="00B56A57">
        <w:rPr>
          <w:rFonts w:asciiTheme="minorEastAsia" w:eastAsiaTheme="minorEastAsia" w:hAnsiTheme="minorEastAsia"/>
          <w:color w:val="0D0D0D" w:themeColor="text1" w:themeTint="F2"/>
          <w:kern w:val="0"/>
        </w:rPr>
        <w:t>；</w:t>
      </w:r>
    </w:p>
    <w:p w14:paraId="0202D6E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4、</w:t>
      </w:r>
      <w:r w:rsidRPr="00B56A57">
        <w:rPr>
          <w:rFonts w:asciiTheme="minorEastAsia" w:hAnsiTheme="minorEastAsia" w:hint="eastAsia"/>
          <w:color w:val="0D0D0D" w:themeColor="text1" w:themeTint="F2"/>
          <w:kern w:val="0"/>
        </w:rPr>
        <w:t>基金管理人</w:t>
      </w:r>
      <w:r w:rsidRPr="00B56A57">
        <w:rPr>
          <w:rFonts w:asciiTheme="minorEastAsia" w:eastAsiaTheme="minorEastAsia" w:hAnsiTheme="minorEastAsia" w:hint="eastAsia"/>
          <w:color w:val="0D0D0D" w:themeColor="text1" w:themeTint="F2"/>
          <w:kern w:val="0"/>
        </w:rPr>
        <w:t>开市前因异常情况</w:t>
      </w:r>
      <w:r w:rsidRPr="00B56A57">
        <w:rPr>
          <w:rFonts w:asciiTheme="minorEastAsia" w:hAnsiTheme="minorEastAsia" w:hint="eastAsia"/>
          <w:color w:val="0D0D0D" w:themeColor="text1" w:themeTint="F2"/>
          <w:kern w:val="0"/>
        </w:rPr>
        <w:t>无法</w:t>
      </w:r>
      <w:r w:rsidRPr="00B56A57">
        <w:rPr>
          <w:rFonts w:asciiTheme="minorEastAsia" w:eastAsiaTheme="minorEastAsia" w:hAnsiTheme="minorEastAsia" w:hint="eastAsia"/>
          <w:color w:val="0D0D0D" w:themeColor="text1" w:themeTint="F2"/>
          <w:kern w:val="0"/>
        </w:rPr>
        <w:t>公布申购、赎回清单、</w:t>
      </w:r>
      <w:r w:rsidRPr="00B56A57">
        <w:rPr>
          <w:rFonts w:asciiTheme="minorEastAsia" w:hAnsiTheme="minorEastAsia" w:hint="eastAsia"/>
          <w:color w:val="0D0D0D" w:themeColor="text1" w:themeTint="F2"/>
          <w:kern w:val="0"/>
        </w:rPr>
        <w:t>基金</w:t>
      </w:r>
      <w:r w:rsidRPr="00B56A57">
        <w:rPr>
          <w:rFonts w:asciiTheme="minorEastAsia" w:eastAsiaTheme="minorEastAsia" w:hAnsiTheme="minorEastAsia" w:hint="eastAsia"/>
          <w:color w:val="0D0D0D" w:themeColor="text1" w:themeTint="F2"/>
          <w:kern w:val="0"/>
        </w:rPr>
        <w:t>份额</w:t>
      </w:r>
      <w:r w:rsidRPr="00B56A57">
        <w:rPr>
          <w:rFonts w:asciiTheme="minorEastAsia" w:hAnsiTheme="minorEastAsia" w:hint="eastAsia"/>
          <w:color w:val="0D0D0D" w:themeColor="text1" w:themeTint="F2"/>
          <w:kern w:val="0"/>
        </w:rPr>
        <w:t>净值</w:t>
      </w:r>
      <w:r w:rsidRPr="00B56A57">
        <w:rPr>
          <w:rFonts w:asciiTheme="minorEastAsia" w:eastAsiaTheme="minorEastAsia" w:hAnsiTheme="minorEastAsia" w:hint="eastAsia"/>
          <w:color w:val="0D0D0D" w:themeColor="text1" w:themeTint="F2"/>
          <w:kern w:val="0"/>
        </w:rPr>
        <w:t>或者</w:t>
      </w:r>
      <w:r w:rsidRPr="00B56A57">
        <w:rPr>
          <w:rFonts w:asciiTheme="minorEastAsia" w:eastAsiaTheme="minorEastAsia" w:hAnsiTheme="minorEastAsia"/>
          <w:color w:val="0D0D0D" w:themeColor="text1" w:themeTint="F2"/>
          <w:kern w:val="0"/>
        </w:rPr>
        <w:t>IOPV计算错误、申购</w:t>
      </w:r>
      <w:r w:rsidRPr="00B56A57">
        <w:rPr>
          <w:rFonts w:asciiTheme="minorEastAsia" w:eastAsiaTheme="minorEastAsia" w:hAnsiTheme="minorEastAsia" w:hint="eastAsia"/>
          <w:color w:val="0D0D0D" w:themeColor="text1" w:themeTint="F2"/>
          <w:kern w:val="0"/>
        </w:rPr>
        <w:t>、</w:t>
      </w:r>
      <w:r w:rsidRPr="00B56A57">
        <w:rPr>
          <w:rFonts w:asciiTheme="minorEastAsia" w:eastAsiaTheme="minorEastAsia" w:hAnsiTheme="minorEastAsia"/>
          <w:color w:val="0D0D0D" w:themeColor="text1" w:themeTint="F2"/>
          <w:kern w:val="0"/>
        </w:rPr>
        <w:t>赎回清单编制错误；</w:t>
      </w:r>
    </w:p>
    <w:p w14:paraId="41FB5B85"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5、港股通每日额度不足；</w:t>
      </w:r>
    </w:p>
    <w:p w14:paraId="62F2E3F8"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6、港股通的业务规则发生重大变化时；</w:t>
      </w:r>
    </w:p>
    <w:p w14:paraId="1B208C18"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7、在发生标的指数成份股上市公司重大行为、成份股市场价格异常波动等异常情形时；</w:t>
      </w:r>
    </w:p>
    <w:p w14:paraId="4AAB36E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8</w:t>
      </w:r>
      <w:r w:rsidRPr="00B56A57">
        <w:rPr>
          <w:rFonts w:asciiTheme="minorEastAsia" w:hAnsiTheme="minorEastAsia" w:hint="eastAsia"/>
          <w:color w:val="0D0D0D" w:themeColor="text1" w:themeTint="F2"/>
          <w:kern w:val="0"/>
        </w:rPr>
        <w:t>、接受某笔或某些申购申请可能会影响或损害现有基金份额持有人利益时</w:t>
      </w:r>
      <w:r w:rsidRPr="00B56A57">
        <w:rPr>
          <w:rFonts w:asciiTheme="minorEastAsia" w:eastAsiaTheme="minorEastAsia" w:hAnsiTheme="minorEastAsia" w:hint="eastAsia"/>
          <w:color w:val="0D0D0D" w:themeColor="text1" w:themeTint="F2"/>
          <w:kern w:val="0"/>
        </w:rPr>
        <w:t>；</w:t>
      </w:r>
    </w:p>
    <w:p w14:paraId="25653E7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9、相关证券/期货交易所、申购赎回代理券商、登记机构等因异常情况无法办理申购；或者</w:t>
      </w:r>
      <w:r w:rsidRPr="00B56A57">
        <w:rPr>
          <w:rFonts w:asciiTheme="minorEastAsia" w:eastAsiaTheme="minorEastAsia" w:hAnsiTheme="minorEastAsia" w:hint="eastAsia"/>
          <w:color w:val="0D0D0D" w:themeColor="text1" w:themeTint="F2"/>
          <w:kern w:val="0"/>
        </w:rPr>
        <w:t>指数编制单位、相关证券</w:t>
      </w:r>
      <w:r w:rsidRPr="00B56A57">
        <w:rPr>
          <w:rFonts w:asciiTheme="minorEastAsia" w:eastAsiaTheme="minorEastAsia" w:hAnsiTheme="minorEastAsia"/>
          <w:color w:val="0D0D0D" w:themeColor="text1" w:themeTint="F2"/>
          <w:kern w:val="0"/>
        </w:rPr>
        <w:t>/期货交易所等因异常情况使申购赎回清单无法编制或编制不当。上述异常情况指基金管理人无法预见并不可控制的情形，包括但不限于系统故障、网络故障、通讯故障、电力故障、数据错误等；</w:t>
      </w:r>
    </w:p>
    <w:p w14:paraId="381B18B4"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10、申请超过基金管理人设定的基金总规模、单日净申购比例上限、单一投资者单日或单笔申购</w:t>
      </w:r>
      <w:r w:rsidRPr="00B56A57">
        <w:rPr>
          <w:rFonts w:asciiTheme="minorEastAsia" w:eastAsiaTheme="minorEastAsia" w:hAnsiTheme="minorEastAsia" w:hint="eastAsia"/>
          <w:color w:val="0D0D0D" w:themeColor="text1" w:themeTint="F2"/>
          <w:kern w:val="0"/>
        </w:rPr>
        <w:t>份额</w:t>
      </w:r>
      <w:r w:rsidRPr="00B56A57">
        <w:rPr>
          <w:rFonts w:asciiTheme="minorEastAsia" w:eastAsiaTheme="minorEastAsia" w:hAnsiTheme="minorEastAsia"/>
          <w:color w:val="0D0D0D" w:themeColor="text1" w:themeTint="F2"/>
          <w:kern w:val="0"/>
        </w:rPr>
        <w:t>上限的；</w:t>
      </w:r>
    </w:p>
    <w:p w14:paraId="028F7C5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11</w:t>
      </w:r>
      <w:r w:rsidRPr="00B56A57">
        <w:rPr>
          <w:rFonts w:asciiTheme="minorEastAsia" w:hAnsiTheme="minorEastAsia" w:hint="eastAsia"/>
          <w:color w:val="0D0D0D" w:themeColor="text1" w:themeTint="F2"/>
          <w:kern w:val="0"/>
        </w:rPr>
        <w:t>、当前一估值日基金资产净值</w:t>
      </w:r>
      <w:r w:rsidRPr="00B56A57">
        <w:rPr>
          <w:rFonts w:asciiTheme="minorEastAsia" w:hAnsiTheme="minorEastAsia"/>
          <w:color w:val="0D0D0D" w:themeColor="text1" w:themeTint="F2"/>
          <w:kern w:val="0"/>
        </w:rPr>
        <w:t>50%以上的资产出现无可参考的活跃市场价格且采用估值技术仍导致公允价值存在重大不确定性时，经与基金托管人协商确认后，基金管理人应当暂停接受基金申购申请</w:t>
      </w:r>
      <w:r w:rsidRPr="00B56A57">
        <w:rPr>
          <w:rFonts w:asciiTheme="minorEastAsia" w:eastAsiaTheme="minorEastAsia" w:hAnsiTheme="minorEastAsia" w:hint="eastAsia"/>
          <w:color w:val="0D0D0D" w:themeColor="text1" w:themeTint="F2"/>
          <w:kern w:val="0"/>
        </w:rPr>
        <w:t>；</w:t>
      </w:r>
    </w:p>
    <w:p w14:paraId="55A121D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12、</w:t>
      </w:r>
      <w:r w:rsidRPr="00B56A57">
        <w:rPr>
          <w:rFonts w:asciiTheme="minorEastAsia" w:hAnsiTheme="minorEastAsia" w:hint="eastAsia"/>
          <w:color w:val="0D0D0D" w:themeColor="text1" w:themeTint="F2"/>
          <w:kern w:val="0"/>
        </w:rPr>
        <w:t>法律法规</w:t>
      </w:r>
      <w:r w:rsidRPr="00B56A57">
        <w:rPr>
          <w:rFonts w:asciiTheme="minorEastAsia" w:eastAsiaTheme="minorEastAsia" w:hAnsiTheme="minorEastAsia" w:hint="eastAsia"/>
          <w:color w:val="0D0D0D" w:themeColor="text1" w:themeTint="F2"/>
          <w:kern w:val="0"/>
        </w:rPr>
        <w:t>、上海证券交易所</w:t>
      </w:r>
      <w:r w:rsidRPr="00B56A57">
        <w:rPr>
          <w:rFonts w:asciiTheme="minorEastAsia" w:hAnsiTheme="minorEastAsia" w:hint="eastAsia"/>
          <w:color w:val="0D0D0D" w:themeColor="text1" w:themeTint="F2"/>
          <w:kern w:val="0"/>
        </w:rPr>
        <w:t>规定或中国证监会认定的其他情形。</w:t>
      </w:r>
    </w:p>
    <w:p w14:paraId="219C1CF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发生上述（第</w:t>
      </w:r>
      <w:r w:rsidRPr="00B56A57">
        <w:rPr>
          <w:rFonts w:asciiTheme="minorEastAsia" w:hAnsiTheme="minorEastAsia"/>
          <w:color w:val="0D0D0D" w:themeColor="text1" w:themeTint="F2"/>
          <w:kern w:val="0"/>
        </w:rPr>
        <w:t>8、10条除外）暂停申购情形之一且基金管理人决定暂停接受投资人申购申请时，基金管理人应当根据有关规定在规定媒介上刊登暂停申购公告。如果投资人的申购申请</w:t>
      </w:r>
      <w:r w:rsidRPr="00B56A57">
        <w:rPr>
          <w:rFonts w:asciiTheme="minorEastAsia" w:eastAsiaTheme="minorEastAsia" w:hAnsiTheme="minorEastAsia" w:hint="eastAsia"/>
          <w:color w:val="0D0D0D" w:themeColor="text1" w:themeTint="F2"/>
          <w:kern w:val="0"/>
        </w:rPr>
        <w:t>全部或部分</w:t>
      </w:r>
      <w:r w:rsidRPr="00B56A57">
        <w:rPr>
          <w:rFonts w:asciiTheme="minorEastAsia" w:hAnsiTheme="minorEastAsia" w:hint="eastAsia"/>
          <w:color w:val="0D0D0D" w:themeColor="text1" w:themeTint="F2"/>
          <w:kern w:val="0"/>
        </w:rPr>
        <w:t>被拒绝，被拒绝的申购</w:t>
      </w:r>
      <w:r w:rsidRPr="00B56A57">
        <w:rPr>
          <w:rFonts w:asciiTheme="minorEastAsia" w:eastAsiaTheme="minorEastAsia" w:hAnsiTheme="minorEastAsia" w:hint="eastAsia"/>
          <w:color w:val="0D0D0D" w:themeColor="text1" w:themeTint="F2"/>
          <w:kern w:val="0"/>
        </w:rPr>
        <w:t>对价</w:t>
      </w:r>
      <w:r w:rsidRPr="00B56A57">
        <w:rPr>
          <w:rFonts w:asciiTheme="minorEastAsia" w:hAnsiTheme="minorEastAsia" w:hint="eastAsia"/>
          <w:color w:val="0D0D0D" w:themeColor="text1" w:themeTint="F2"/>
          <w:kern w:val="0"/>
        </w:rPr>
        <w:t>将退还给投资人。在暂停申购的情况消除时，基金管理人应及时恢复申购业务的办理。</w:t>
      </w:r>
    </w:p>
    <w:p w14:paraId="7D0FCA6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在发生暂停申购或赎回的情形之一时，本基金的申购和赎回可能同时暂停。</w:t>
      </w:r>
    </w:p>
    <w:p w14:paraId="61D4C4B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八、暂停赎回或延缓支付赎回</w:t>
      </w:r>
      <w:r w:rsidRPr="00B56A57">
        <w:rPr>
          <w:rFonts w:asciiTheme="minorEastAsia" w:eastAsiaTheme="minorEastAsia" w:hAnsiTheme="minorEastAsia" w:hint="eastAsia"/>
          <w:color w:val="0D0D0D" w:themeColor="text1" w:themeTint="F2"/>
          <w:kern w:val="0"/>
        </w:rPr>
        <w:t>对价</w:t>
      </w:r>
      <w:r w:rsidRPr="00B56A57">
        <w:rPr>
          <w:rFonts w:asciiTheme="minorEastAsia" w:hAnsiTheme="minorEastAsia" w:hint="eastAsia"/>
          <w:color w:val="0D0D0D" w:themeColor="text1" w:themeTint="F2"/>
          <w:kern w:val="0"/>
        </w:rPr>
        <w:t>的情形</w:t>
      </w:r>
      <w:r w:rsidRPr="00B56A57">
        <w:rPr>
          <w:rFonts w:asciiTheme="minorEastAsia" w:eastAsiaTheme="minorEastAsia" w:hAnsiTheme="minorEastAsia" w:hint="eastAsia"/>
          <w:color w:val="0D0D0D" w:themeColor="text1" w:themeTint="F2"/>
          <w:kern w:val="0"/>
        </w:rPr>
        <w:t>及处理方式</w:t>
      </w:r>
    </w:p>
    <w:p w14:paraId="3A8C28C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发生下列情形时，基金管理人可暂停接受投资人的赎回申请或延缓支付赎回</w:t>
      </w:r>
      <w:r w:rsidRPr="00B56A57">
        <w:rPr>
          <w:rFonts w:asciiTheme="minorEastAsia" w:eastAsiaTheme="minorEastAsia" w:hAnsiTheme="minorEastAsia" w:hint="eastAsia"/>
          <w:color w:val="0D0D0D" w:themeColor="text1" w:themeTint="F2"/>
          <w:kern w:val="0"/>
        </w:rPr>
        <w:t>对价</w:t>
      </w:r>
      <w:r w:rsidRPr="00B56A57">
        <w:rPr>
          <w:rFonts w:asciiTheme="minorEastAsia" w:hAnsiTheme="minorEastAsia" w:hint="eastAsia"/>
          <w:color w:val="0D0D0D" w:themeColor="text1" w:themeTint="F2"/>
          <w:kern w:val="0"/>
        </w:rPr>
        <w:t>：</w:t>
      </w:r>
    </w:p>
    <w:p w14:paraId="2E04406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color w:val="0D0D0D" w:themeColor="text1" w:themeTint="F2"/>
          <w:kern w:val="0"/>
        </w:rPr>
        <w:t>1</w:t>
      </w:r>
      <w:r w:rsidRPr="00B56A57">
        <w:rPr>
          <w:rFonts w:asciiTheme="minorEastAsia" w:hAnsiTheme="minorEastAsia" w:hint="eastAsia"/>
          <w:color w:val="0D0D0D" w:themeColor="text1" w:themeTint="F2"/>
          <w:kern w:val="0"/>
        </w:rPr>
        <w:t>、因不可抗力导致基金管理人</w:t>
      </w:r>
      <w:r w:rsidRPr="00B56A57">
        <w:rPr>
          <w:rFonts w:asciiTheme="minorEastAsia" w:eastAsiaTheme="minorEastAsia" w:hAnsiTheme="minorEastAsia" w:hint="eastAsia"/>
          <w:color w:val="0D0D0D" w:themeColor="text1" w:themeTint="F2"/>
          <w:kern w:val="0"/>
        </w:rPr>
        <w:t>无法受理或办理基金份额持有人的赎回申请；</w:t>
      </w:r>
    </w:p>
    <w:p w14:paraId="742712B8"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lastRenderedPageBreak/>
        <w:t>2、证券/</w:t>
      </w:r>
      <w:r w:rsidRPr="00B56A57">
        <w:rPr>
          <w:rFonts w:asciiTheme="minorEastAsia" w:eastAsiaTheme="minorEastAsia" w:hAnsiTheme="minorEastAsia" w:hint="eastAsia"/>
          <w:color w:val="0D0D0D" w:themeColor="text1" w:themeTint="F2"/>
          <w:kern w:val="0"/>
        </w:rPr>
        <w:t>期货交易所或外汇市场交易时间非正常停市，导致基金管理人无法计算当日基金资产</w:t>
      </w:r>
      <w:bookmarkStart w:id="167" w:name="_Hlt152500890"/>
      <w:r w:rsidRPr="00B56A57">
        <w:rPr>
          <w:rFonts w:asciiTheme="minorEastAsia" w:eastAsiaTheme="minorEastAsia" w:hAnsiTheme="minorEastAsia" w:hint="eastAsia"/>
          <w:color w:val="0D0D0D" w:themeColor="text1" w:themeTint="F2"/>
          <w:kern w:val="0"/>
        </w:rPr>
        <w:t>净值或无法进行证券交易；</w:t>
      </w:r>
    </w:p>
    <w:p w14:paraId="1A06073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3</w:t>
      </w:r>
      <w:r w:rsidRPr="00B56A57">
        <w:rPr>
          <w:rFonts w:asciiTheme="minorEastAsia" w:hAnsiTheme="minorEastAsia" w:hint="eastAsia"/>
          <w:color w:val="0D0D0D" w:themeColor="text1" w:themeTint="F2"/>
          <w:kern w:val="0"/>
        </w:rPr>
        <w:t>、发生基金合同规定的暂停基金资产估值情况时</w:t>
      </w:r>
      <w:r w:rsidRPr="00B56A57">
        <w:rPr>
          <w:rFonts w:asciiTheme="minorEastAsia" w:eastAsiaTheme="minorEastAsia" w:hAnsiTheme="minorEastAsia"/>
          <w:color w:val="0D0D0D" w:themeColor="text1" w:themeTint="F2"/>
          <w:kern w:val="0"/>
        </w:rPr>
        <w:t>；</w:t>
      </w:r>
    </w:p>
    <w:p w14:paraId="7450ACA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4、</w:t>
      </w:r>
      <w:r w:rsidRPr="00B56A57">
        <w:rPr>
          <w:rFonts w:asciiTheme="minorEastAsia" w:hAnsiTheme="minorEastAsia" w:hint="eastAsia"/>
          <w:color w:val="0D0D0D" w:themeColor="text1" w:themeTint="F2"/>
          <w:kern w:val="0"/>
        </w:rPr>
        <w:t>基金管理人</w:t>
      </w:r>
      <w:r w:rsidRPr="00B56A57">
        <w:rPr>
          <w:rFonts w:asciiTheme="minorEastAsia" w:eastAsiaTheme="minorEastAsia" w:hAnsiTheme="minorEastAsia" w:hint="eastAsia"/>
          <w:color w:val="0D0D0D" w:themeColor="text1" w:themeTint="F2"/>
          <w:kern w:val="0"/>
        </w:rPr>
        <w:t>开市前因异常情况</w:t>
      </w:r>
      <w:r w:rsidRPr="00B56A57">
        <w:rPr>
          <w:rFonts w:asciiTheme="minorEastAsia" w:hAnsiTheme="minorEastAsia" w:hint="eastAsia"/>
          <w:color w:val="0D0D0D" w:themeColor="text1" w:themeTint="F2"/>
          <w:kern w:val="0"/>
        </w:rPr>
        <w:t>无法</w:t>
      </w:r>
      <w:r w:rsidRPr="00B56A57">
        <w:rPr>
          <w:rFonts w:asciiTheme="minorEastAsia" w:eastAsiaTheme="minorEastAsia" w:hAnsiTheme="minorEastAsia" w:hint="eastAsia"/>
          <w:color w:val="0D0D0D" w:themeColor="text1" w:themeTint="F2"/>
          <w:kern w:val="0"/>
        </w:rPr>
        <w:t>公布申购赎回清单、基金份额净值或者</w:t>
      </w:r>
      <w:r w:rsidRPr="00B56A57">
        <w:rPr>
          <w:rFonts w:asciiTheme="minorEastAsia" w:eastAsiaTheme="minorEastAsia" w:hAnsiTheme="minorEastAsia"/>
          <w:color w:val="0D0D0D" w:themeColor="text1" w:themeTint="F2"/>
          <w:kern w:val="0"/>
        </w:rPr>
        <w:t>IOPV</w:t>
      </w:r>
      <w:r w:rsidRPr="00B56A57">
        <w:rPr>
          <w:rFonts w:asciiTheme="minorEastAsia" w:hAnsiTheme="minorEastAsia" w:hint="eastAsia"/>
          <w:color w:val="0D0D0D" w:themeColor="text1" w:themeTint="F2"/>
          <w:kern w:val="0"/>
        </w:rPr>
        <w:t>计算</w:t>
      </w:r>
      <w:r w:rsidRPr="00B56A57">
        <w:rPr>
          <w:rFonts w:asciiTheme="minorEastAsia" w:eastAsiaTheme="minorEastAsia" w:hAnsiTheme="minorEastAsia"/>
          <w:color w:val="0D0D0D" w:themeColor="text1" w:themeTint="F2"/>
          <w:kern w:val="0"/>
        </w:rPr>
        <w:t>错误、申购赎回清单编制错误；</w:t>
      </w:r>
    </w:p>
    <w:p w14:paraId="55FCD91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5</w:t>
      </w:r>
      <w:r w:rsidRPr="00B56A57">
        <w:rPr>
          <w:rFonts w:asciiTheme="minorEastAsia" w:eastAsiaTheme="minorEastAsia" w:hAnsiTheme="minorEastAsia" w:hint="eastAsia"/>
          <w:color w:val="0D0D0D" w:themeColor="text1" w:themeTint="F2"/>
          <w:kern w:val="0"/>
        </w:rPr>
        <w:t>、相关证券</w:t>
      </w:r>
      <w:r w:rsidRPr="00B56A57">
        <w:rPr>
          <w:rFonts w:asciiTheme="minorEastAsia" w:eastAsiaTheme="minorEastAsia" w:hAnsiTheme="minorEastAsia"/>
          <w:color w:val="0D0D0D" w:themeColor="text1" w:themeTint="F2"/>
          <w:kern w:val="0"/>
        </w:rPr>
        <w:t>/期货交易所、申购赎回代理券商、登记机构等因异常情况无法办理赎回；或者指数编制单位、相关证券/期货交易所等因异常情况使申购赎回清单无法编制或编制不当。上述异常情况指基金管理人无法预见并不可控制的情形，包括但不限于系统故障、网络故障、通讯故障、电力故障、数据错误等；</w:t>
      </w:r>
    </w:p>
    <w:p w14:paraId="602201F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6、港股通的业务规则发生重大变化时；</w:t>
      </w:r>
    </w:p>
    <w:p w14:paraId="13B2C8D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7、在发生标的指数成份股上市公司重大行为、成份股市场价格异常波动等异常情形时；</w:t>
      </w:r>
    </w:p>
    <w:p w14:paraId="4CD06F1F"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8</w:t>
      </w:r>
      <w:r w:rsidRPr="00B56A57">
        <w:rPr>
          <w:rFonts w:asciiTheme="minorEastAsia" w:hAnsiTheme="minorEastAsia" w:hint="eastAsia"/>
          <w:color w:val="0D0D0D" w:themeColor="text1" w:themeTint="F2"/>
          <w:kern w:val="0"/>
        </w:rPr>
        <w:t>、发生继续接受赎回申请将损害现有基金份额持有人利益的情形</w:t>
      </w:r>
      <w:r w:rsidRPr="00B56A57">
        <w:rPr>
          <w:rFonts w:asciiTheme="minorEastAsia" w:eastAsiaTheme="minorEastAsia" w:hAnsiTheme="minorEastAsia" w:hint="eastAsia"/>
          <w:color w:val="0D0D0D" w:themeColor="text1" w:themeTint="F2"/>
          <w:kern w:val="0"/>
        </w:rPr>
        <w:t>；</w:t>
      </w:r>
    </w:p>
    <w:bookmarkEnd w:id="167"/>
    <w:p w14:paraId="7343D1E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9、本</w:t>
      </w:r>
      <w:r w:rsidRPr="00B56A57">
        <w:rPr>
          <w:rFonts w:asciiTheme="minorEastAsia" w:hAnsiTheme="minorEastAsia" w:hint="eastAsia"/>
          <w:color w:val="0D0D0D" w:themeColor="text1" w:themeTint="F2"/>
          <w:kern w:val="0"/>
        </w:rPr>
        <w:t>基金</w:t>
      </w:r>
      <w:r w:rsidRPr="00B56A57">
        <w:rPr>
          <w:rFonts w:asciiTheme="minorEastAsia" w:eastAsiaTheme="minorEastAsia" w:hAnsiTheme="minorEastAsia" w:hint="eastAsia"/>
          <w:color w:val="0D0D0D" w:themeColor="text1" w:themeTint="F2"/>
          <w:kern w:val="0"/>
        </w:rPr>
        <w:t>当日总赎回</w:t>
      </w:r>
      <w:r w:rsidRPr="00B56A57">
        <w:rPr>
          <w:rFonts w:asciiTheme="minorEastAsia" w:hAnsiTheme="minorEastAsia" w:hint="eastAsia"/>
          <w:color w:val="0D0D0D" w:themeColor="text1" w:themeTint="F2"/>
          <w:kern w:val="0"/>
        </w:rPr>
        <w:t>份额</w:t>
      </w:r>
      <w:r w:rsidRPr="00B56A57">
        <w:rPr>
          <w:rFonts w:asciiTheme="minorEastAsia" w:eastAsiaTheme="minorEastAsia" w:hAnsiTheme="minorEastAsia" w:hint="eastAsia"/>
          <w:color w:val="0D0D0D" w:themeColor="text1" w:themeTint="F2"/>
          <w:kern w:val="0"/>
        </w:rPr>
        <w:t>达到基金管理</w:t>
      </w:r>
      <w:r w:rsidRPr="00B56A57">
        <w:rPr>
          <w:rFonts w:asciiTheme="minorEastAsia" w:hAnsiTheme="minorEastAsia" w:hint="eastAsia"/>
          <w:color w:val="0D0D0D" w:themeColor="text1" w:themeTint="F2"/>
          <w:kern w:val="0"/>
        </w:rPr>
        <w:t>人</w:t>
      </w:r>
      <w:r w:rsidRPr="00B56A57">
        <w:rPr>
          <w:rFonts w:asciiTheme="minorEastAsia" w:eastAsiaTheme="minorEastAsia" w:hAnsiTheme="minorEastAsia" w:hint="eastAsia"/>
          <w:color w:val="0D0D0D" w:themeColor="text1" w:themeTint="F2"/>
          <w:kern w:val="0"/>
        </w:rPr>
        <w:t>所设定</w:t>
      </w:r>
      <w:r w:rsidRPr="00B56A57">
        <w:rPr>
          <w:rFonts w:asciiTheme="minorEastAsia" w:hAnsiTheme="minorEastAsia" w:hint="eastAsia"/>
          <w:color w:val="0D0D0D" w:themeColor="text1" w:themeTint="F2"/>
          <w:kern w:val="0"/>
        </w:rPr>
        <w:t>的</w:t>
      </w:r>
      <w:r w:rsidRPr="00B56A57">
        <w:rPr>
          <w:rFonts w:asciiTheme="minorEastAsia" w:eastAsiaTheme="minorEastAsia" w:hAnsiTheme="minorEastAsia" w:hint="eastAsia"/>
          <w:color w:val="0D0D0D" w:themeColor="text1" w:themeTint="F2"/>
          <w:kern w:val="0"/>
        </w:rPr>
        <w:t>上限；</w:t>
      </w:r>
    </w:p>
    <w:p w14:paraId="0BD7618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10</w:t>
      </w:r>
      <w:r w:rsidRPr="00B56A57">
        <w:rPr>
          <w:rFonts w:asciiTheme="minorEastAsia" w:hAnsiTheme="minorEastAsia" w:hint="eastAsia"/>
          <w:color w:val="0D0D0D" w:themeColor="text1" w:themeTint="F2"/>
          <w:kern w:val="0"/>
        </w:rPr>
        <w:t>、当前一估值日基金资产净值</w:t>
      </w:r>
      <w:r w:rsidRPr="00B56A57">
        <w:rPr>
          <w:rFonts w:asciiTheme="minorEastAsia" w:hAnsiTheme="minorEastAsia"/>
          <w:color w:val="0D0D0D" w:themeColor="text1" w:themeTint="F2"/>
          <w:kern w:val="0"/>
        </w:rPr>
        <w:t>50%以上的资产出现无可参考的活跃市场价格且采用估值技术仍导致公允价值存在重大不确定性时，经与基金托管人协商确认后，基金管理人应当延缓支付赎回</w:t>
      </w:r>
      <w:r w:rsidRPr="00B56A57">
        <w:rPr>
          <w:rFonts w:asciiTheme="minorEastAsia" w:eastAsiaTheme="minorEastAsia" w:hAnsiTheme="minorEastAsia" w:hint="eastAsia"/>
          <w:color w:val="0D0D0D" w:themeColor="text1" w:themeTint="F2"/>
          <w:kern w:val="0"/>
        </w:rPr>
        <w:t>对价</w:t>
      </w:r>
      <w:r w:rsidRPr="00B56A57">
        <w:rPr>
          <w:rFonts w:asciiTheme="minorEastAsia" w:hAnsiTheme="minorEastAsia" w:hint="eastAsia"/>
          <w:color w:val="0D0D0D" w:themeColor="text1" w:themeTint="F2"/>
          <w:kern w:val="0"/>
        </w:rPr>
        <w:t>或暂停接受基金赎回申请</w:t>
      </w:r>
      <w:r w:rsidRPr="00B56A57">
        <w:rPr>
          <w:rFonts w:asciiTheme="minorEastAsia" w:eastAsiaTheme="minorEastAsia" w:hAnsiTheme="minorEastAsia" w:hint="eastAsia"/>
          <w:color w:val="0D0D0D" w:themeColor="text1" w:themeTint="F2"/>
          <w:kern w:val="0"/>
        </w:rPr>
        <w:t>；</w:t>
      </w:r>
    </w:p>
    <w:p w14:paraId="60C477B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11</w:t>
      </w:r>
      <w:r w:rsidRPr="00B56A57">
        <w:rPr>
          <w:rFonts w:asciiTheme="minorEastAsia" w:hAnsiTheme="minorEastAsia" w:hint="eastAsia"/>
          <w:color w:val="0D0D0D" w:themeColor="text1" w:themeTint="F2"/>
          <w:kern w:val="0"/>
        </w:rPr>
        <w:t>、法律法规</w:t>
      </w:r>
      <w:r w:rsidRPr="00B56A57">
        <w:rPr>
          <w:rFonts w:asciiTheme="minorEastAsia" w:eastAsiaTheme="minorEastAsia" w:hAnsiTheme="minorEastAsia" w:hint="eastAsia"/>
          <w:color w:val="0D0D0D" w:themeColor="text1" w:themeTint="F2"/>
          <w:kern w:val="0"/>
        </w:rPr>
        <w:t>、上海证券交易所</w:t>
      </w:r>
      <w:r w:rsidRPr="00B56A57">
        <w:rPr>
          <w:rFonts w:asciiTheme="minorEastAsia" w:hAnsiTheme="minorEastAsia" w:hint="eastAsia"/>
          <w:color w:val="0D0D0D" w:themeColor="text1" w:themeTint="F2"/>
          <w:kern w:val="0"/>
        </w:rPr>
        <w:t>规定或中国证监会认定的其他情形。</w:t>
      </w:r>
    </w:p>
    <w:p w14:paraId="6C30955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发生上述情形之一且基金管理人决定暂停赎回或延缓支付赎回</w:t>
      </w:r>
      <w:r w:rsidRPr="00B56A57">
        <w:rPr>
          <w:rFonts w:asciiTheme="minorEastAsia" w:eastAsiaTheme="minorEastAsia" w:hAnsiTheme="minorEastAsia" w:hint="eastAsia"/>
          <w:color w:val="0D0D0D" w:themeColor="text1" w:themeTint="F2"/>
          <w:kern w:val="0"/>
        </w:rPr>
        <w:t>对价</w:t>
      </w:r>
      <w:r w:rsidRPr="00B56A57">
        <w:rPr>
          <w:rFonts w:asciiTheme="minorEastAsia" w:hAnsiTheme="minorEastAsia" w:hint="eastAsia"/>
          <w:color w:val="0D0D0D" w:themeColor="text1" w:themeTint="F2"/>
          <w:kern w:val="0"/>
        </w:rPr>
        <w:t>时，基金管理人</w:t>
      </w:r>
      <w:r w:rsidRPr="00B56A57">
        <w:rPr>
          <w:rFonts w:asciiTheme="minorEastAsia" w:eastAsiaTheme="minorEastAsia" w:hAnsiTheme="minorEastAsia" w:hint="eastAsia"/>
          <w:color w:val="0D0D0D" w:themeColor="text1" w:themeTint="F2"/>
          <w:kern w:val="0"/>
        </w:rPr>
        <w:t>应按规定报</w:t>
      </w:r>
      <w:r w:rsidRPr="00B56A57">
        <w:rPr>
          <w:rFonts w:asciiTheme="minorEastAsia" w:hAnsiTheme="minorEastAsia" w:hint="eastAsia"/>
          <w:color w:val="0D0D0D" w:themeColor="text1" w:themeTint="F2"/>
          <w:kern w:val="0"/>
        </w:rPr>
        <w:t>中国证监会备案</w:t>
      </w:r>
      <w:r w:rsidRPr="00B56A57">
        <w:rPr>
          <w:rFonts w:asciiTheme="minorEastAsia" w:eastAsiaTheme="minorEastAsia" w:hAnsiTheme="minorEastAsia" w:hint="eastAsia"/>
          <w:color w:val="0D0D0D" w:themeColor="text1" w:themeTint="F2"/>
          <w:kern w:val="0"/>
        </w:rPr>
        <w:t>。</w:t>
      </w:r>
      <w:r w:rsidRPr="00B56A57">
        <w:rPr>
          <w:rFonts w:asciiTheme="minorEastAsia" w:hAnsiTheme="minorEastAsia" w:hint="eastAsia"/>
          <w:color w:val="0D0D0D" w:themeColor="text1" w:themeTint="F2"/>
          <w:kern w:val="0"/>
        </w:rPr>
        <w:t>已</w:t>
      </w:r>
      <w:r w:rsidRPr="00B56A57">
        <w:rPr>
          <w:rFonts w:asciiTheme="minorEastAsia" w:eastAsiaTheme="minorEastAsia" w:hAnsiTheme="minorEastAsia" w:hint="eastAsia"/>
          <w:color w:val="0D0D0D" w:themeColor="text1" w:themeTint="F2"/>
          <w:kern w:val="0"/>
        </w:rPr>
        <w:t>接受</w:t>
      </w:r>
      <w:r w:rsidRPr="00B56A57">
        <w:rPr>
          <w:rFonts w:asciiTheme="minorEastAsia" w:hAnsiTheme="minorEastAsia" w:hint="eastAsia"/>
          <w:color w:val="0D0D0D" w:themeColor="text1" w:themeTint="F2"/>
          <w:kern w:val="0"/>
        </w:rPr>
        <w:t>的赎回申请，基金管理人应足额支付</w:t>
      </w:r>
      <w:r w:rsidRPr="00B56A57">
        <w:rPr>
          <w:rFonts w:asciiTheme="minorEastAsia" w:eastAsiaTheme="minorEastAsia" w:hAnsiTheme="minorEastAsia" w:hint="eastAsia"/>
          <w:color w:val="0D0D0D" w:themeColor="text1" w:themeTint="F2"/>
          <w:kern w:val="0"/>
        </w:rPr>
        <w:t>，</w:t>
      </w:r>
      <w:r w:rsidRPr="00B56A57">
        <w:rPr>
          <w:rFonts w:asciiTheme="minorEastAsia" w:hAnsiTheme="minorEastAsia" w:hint="eastAsia"/>
          <w:color w:val="0D0D0D" w:themeColor="text1" w:themeTint="F2"/>
          <w:kern w:val="0"/>
        </w:rPr>
        <w:t>基金份额持有人在申请赎回时可事先选择将当日可能未获受理部分予以撤销</w:t>
      </w:r>
      <w:r w:rsidRPr="00B56A57">
        <w:rPr>
          <w:rFonts w:asciiTheme="minorEastAsia" w:eastAsiaTheme="minorEastAsia" w:hAnsiTheme="minorEastAsia" w:hint="eastAsia"/>
          <w:color w:val="0D0D0D" w:themeColor="text1" w:themeTint="F2"/>
          <w:kern w:val="0"/>
        </w:rPr>
        <w:t>，如暂时不能足额支付，未支付部分可延期支付。</w:t>
      </w:r>
      <w:r w:rsidRPr="00B56A57">
        <w:rPr>
          <w:rFonts w:asciiTheme="minorEastAsia" w:hAnsiTheme="minorEastAsia" w:hint="eastAsia"/>
          <w:color w:val="0D0D0D" w:themeColor="text1" w:themeTint="F2"/>
          <w:kern w:val="0"/>
        </w:rPr>
        <w:t>在暂停赎回的情况消除时，基金管理人应及时恢复赎回业务的办理并公告。</w:t>
      </w:r>
    </w:p>
    <w:p w14:paraId="1EDF2FB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在发生暂停申购或赎回的情形之一时，本基金的申购和赎回可能同时暂停。</w:t>
      </w:r>
    </w:p>
    <w:p w14:paraId="733616A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九、</w:t>
      </w:r>
      <w:r w:rsidRPr="00B56A57">
        <w:rPr>
          <w:rFonts w:asciiTheme="minorEastAsia" w:eastAsiaTheme="minorEastAsia" w:hAnsiTheme="minorEastAsia" w:hint="eastAsia"/>
          <w:color w:val="0D0D0D" w:themeColor="text1" w:themeTint="F2"/>
          <w:kern w:val="0"/>
        </w:rPr>
        <w:t>基金份额折算</w:t>
      </w:r>
    </w:p>
    <w:p w14:paraId="7D0F238F"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为提高交易便利或根据需要（如变更标的指数），基金管理人可向登记机构申请办理基金份额折算与变更登记。基金份额折算后，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基金管理人应就其具体事宜进行必要公告，并提前通知基金托管人。</w:t>
      </w:r>
      <w:r w:rsidRPr="00B56A57">
        <w:rPr>
          <w:rFonts w:asciiTheme="minorEastAsia" w:eastAsiaTheme="minorEastAsia" w:hAnsiTheme="minorEastAsia"/>
          <w:color w:val="0D0D0D" w:themeColor="text1" w:themeTint="F2"/>
          <w:kern w:val="0"/>
        </w:rPr>
        <w:t xml:space="preserve"> </w:t>
      </w:r>
    </w:p>
    <w:p w14:paraId="48D41591"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十、基金份额拆分与合并</w:t>
      </w:r>
      <w:r w:rsidRPr="00B56A57">
        <w:rPr>
          <w:rFonts w:asciiTheme="minorEastAsia" w:eastAsiaTheme="minorEastAsia" w:hAnsiTheme="minorEastAsia"/>
          <w:color w:val="0D0D0D" w:themeColor="text1" w:themeTint="F2"/>
          <w:kern w:val="0"/>
        </w:rPr>
        <w:t xml:space="preserve"> </w:t>
      </w:r>
    </w:p>
    <w:p w14:paraId="0B4C35D1"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基金成立后，在法律法规规定的范围内，在基金管理人与基金托管人协商一致的情况下，本基金可实施基金份额拆分或合并。</w:t>
      </w:r>
      <w:r w:rsidRPr="00B56A57">
        <w:rPr>
          <w:rFonts w:asciiTheme="minorEastAsia" w:eastAsiaTheme="minorEastAsia" w:hAnsiTheme="minorEastAsia"/>
          <w:color w:val="0D0D0D" w:themeColor="text1" w:themeTint="F2"/>
          <w:kern w:val="0"/>
        </w:rPr>
        <w:t xml:space="preserve"> </w:t>
      </w:r>
    </w:p>
    <w:p w14:paraId="05B95A1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基金份额拆分或合并是在保持现有基金份额持有人资产总值不变的前提下，改变基金份额净值和持有基金份额的对应关系，是重新列示基金资产的一种方式。基金份额拆分或合并</w:t>
      </w:r>
      <w:r w:rsidRPr="00B56A57">
        <w:rPr>
          <w:rFonts w:asciiTheme="minorEastAsia" w:eastAsiaTheme="minorEastAsia" w:hAnsiTheme="minorEastAsia" w:hint="eastAsia"/>
          <w:color w:val="0D0D0D" w:themeColor="text1" w:themeTint="F2"/>
          <w:kern w:val="0"/>
        </w:rPr>
        <w:lastRenderedPageBreak/>
        <w:t>对基金份额持有人的权益无实质性影响。</w:t>
      </w:r>
    </w:p>
    <w:p w14:paraId="32C2AD1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十一、基金</w:t>
      </w:r>
      <w:r w:rsidRPr="00B56A57">
        <w:rPr>
          <w:rFonts w:asciiTheme="minorEastAsia" w:eastAsiaTheme="minorEastAsia" w:hAnsiTheme="minorEastAsia" w:hint="eastAsia"/>
          <w:color w:val="0D0D0D" w:themeColor="text1" w:themeTint="F2"/>
          <w:kern w:val="0"/>
        </w:rPr>
        <w:t>份额的转让</w:t>
      </w:r>
    </w:p>
    <w:p w14:paraId="7176A7F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在法律法规允许且条件具备的情况下，如对</w:t>
      </w:r>
      <w:r w:rsidRPr="00B56A57">
        <w:rPr>
          <w:rFonts w:asciiTheme="minorEastAsia" w:eastAsiaTheme="minorEastAsia" w:hAnsiTheme="minorEastAsia"/>
          <w:color w:val="0D0D0D" w:themeColor="text1" w:themeTint="F2"/>
          <w:kern w:val="0"/>
        </w:rPr>
        <w:t>基金份额持有人</w:t>
      </w:r>
      <w:r w:rsidRPr="00B56A57">
        <w:rPr>
          <w:rFonts w:asciiTheme="minorEastAsia" w:eastAsiaTheme="minorEastAsia" w:hAnsiTheme="minorEastAsia" w:hint="eastAsia"/>
          <w:color w:val="0D0D0D" w:themeColor="text1" w:themeTint="F2"/>
          <w:kern w:val="0"/>
        </w:rPr>
        <w:t>无实质性</w:t>
      </w:r>
      <w:r w:rsidRPr="00B56A57">
        <w:rPr>
          <w:rFonts w:asciiTheme="minorEastAsia" w:eastAsiaTheme="minorEastAsia" w:hAnsiTheme="minorEastAsia"/>
          <w:color w:val="0D0D0D" w:themeColor="text1" w:themeTint="F2"/>
          <w:kern w:val="0"/>
        </w:rPr>
        <w:t>不利影响</w:t>
      </w:r>
      <w:r w:rsidRPr="00B56A57">
        <w:rPr>
          <w:rFonts w:asciiTheme="minorEastAsia" w:eastAsiaTheme="minorEastAsia" w:hAnsiTheme="minorEastAsia" w:hint="eastAsia"/>
          <w:color w:val="0D0D0D" w:themeColor="text1" w:themeTint="F2"/>
          <w:kern w:val="0"/>
        </w:rPr>
        <w:t>，基金管理人经履行相关程序后可受理基金份额持有人通过中国证监会认可的证券交易所以外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01778F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十二、基金的非交易过户</w:t>
      </w:r>
      <w:r w:rsidRPr="00B56A57">
        <w:rPr>
          <w:rFonts w:asciiTheme="minorEastAsia" w:eastAsiaTheme="minorEastAsia" w:hAnsiTheme="minorEastAsia" w:hint="eastAsia"/>
          <w:color w:val="0D0D0D" w:themeColor="text1" w:themeTint="F2"/>
          <w:kern w:val="0"/>
        </w:rPr>
        <w:t>、冻结、解冻等其他业务</w:t>
      </w:r>
    </w:p>
    <w:p w14:paraId="4F877BE8"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基金的登记机构可依据其业务规则，受理基金的非交易过户、冻结与解冻等业务，并收取一定的手续费用。</w:t>
      </w:r>
    </w:p>
    <w:p w14:paraId="1BA962B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十三、</w:t>
      </w:r>
      <w:r w:rsidRPr="00B56A57">
        <w:rPr>
          <w:rFonts w:asciiTheme="minorEastAsia" w:eastAsiaTheme="minorEastAsia" w:hAnsiTheme="minorEastAsia" w:hint="eastAsia"/>
          <w:color w:val="0D0D0D" w:themeColor="text1" w:themeTint="F2"/>
          <w:kern w:val="0"/>
        </w:rPr>
        <w:t>联接</w:t>
      </w:r>
      <w:r w:rsidRPr="00B56A57">
        <w:rPr>
          <w:rFonts w:asciiTheme="minorEastAsia" w:hAnsiTheme="minorEastAsia" w:hint="eastAsia"/>
          <w:color w:val="0D0D0D" w:themeColor="text1" w:themeTint="F2"/>
          <w:kern w:val="0"/>
        </w:rPr>
        <w:t>基金的</w:t>
      </w:r>
      <w:r w:rsidRPr="00B56A57">
        <w:rPr>
          <w:rFonts w:asciiTheme="minorEastAsia" w:eastAsiaTheme="minorEastAsia" w:hAnsiTheme="minorEastAsia" w:hint="eastAsia"/>
          <w:color w:val="0D0D0D" w:themeColor="text1" w:themeTint="F2"/>
          <w:kern w:val="0"/>
        </w:rPr>
        <w:t>特殊申购</w:t>
      </w:r>
    </w:p>
    <w:p w14:paraId="4C3C4AB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若</w:t>
      </w:r>
      <w:r w:rsidRPr="00B56A57">
        <w:rPr>
          <w:rFonts w:asciiTheme="minorEastAsia" w:hAnsiTheme="minorEastAsia" w:hint="eastAsia"/>
          <w:color w:val="0D0D0D" w:themeColor="text1" w:themeTint="F2"/>
          <w:kern w:val="0"/>
        </w:rPr>
        <w:t>基金</w:t>
      </w:r>
      <w:r w:rsidRPr="00B56A57">
        <w:rPr>
          <w:rFonts w:asciiTheme="minorEastAsia" w:eastAsiaTheme="minorEastAsia" w:hAnsiTheme="minorEastAsia" w:hint="eastAsia"/>
          <w:color w:val="0D0D0D" w:themeColor="text1" w:themeTint="F2"/>
          <w:kern w:val="0"/>
        </w:rPr>
        <w:t>管理</w:t>
      </w:r>
      <w:r w:rsidRPr="00B56A57">
        <w:rPr>
          <w:rFonts w:asciiTheme="minorEastAsia" w:hAnsiTheme="minorEastAsia" w:hint="eastAsia"/>
          <w:color w:val="0D0D0D" w:themeColor="text1" w:themeTint="F2"/>
          <w:kern w:val="0"/>
        </w:rPr>
        <w:t>人</w:t>
      </w:r>
      <w:r w:rsidRPr="00B56A57">
        <w:rPr>
          <w:rFonts w:asciiTheme="minorEastAsia" w:eastAsiaTheme="minorEastAsia" w:hAnsiTheme="minorEastAsia" w:hint="eastAsia"/>
          <w:color w:val="0D0D0D" w:themeColor="text1" w:themeTint="F2"/>
          <w:kern w:val="0"/>
        </w:rPr>
        <w:t>推出以本</w:t>
      </w:r>
      <w:r w:rsidRPr="00B56A57">
        <w:rPr>
          <w:rFonts w:asciiTheme="minorEastAsia" w:hAnsiTheme="minorEastAsia" w:hint="eastAsia"/>
          <w:color w:val="0D0D0D" w:themeColor="text1" w:themeTint="F2"/>
          <w:kern w:val="0"/>
        </w:rPr>
        <w:t>基金</w:t>
      </w:r>
      <w:r w:rsidRPr="00B56A57">
        <w:rPr>
          <w:rFonts w:asciiTheme="minorEastAsia" w:eastAsiaTheme="minorEastAsia" w:hAnsiTheme="minorEastAsia" w:hint="eastAsia"/>
          <w:color w:val="0D0D0D" w:themeColor="text1" w:themeTint="F2"/>
          <w:kern w:val="0"/>
        </w:rPr>
        <w:t>为目标</w:t>
      </w:r>
      <w:r w:rsidRPr="00B56A57">
        <w:rPr>
          <w:rFonts w:asciiTheme="minorEastAsia" w:eastAsiaTheme="minorEastAsia" w:hAnsiTheme="minorEastAsia"/>
          <w:color w:val="0D0D0D" w:themeColor="text1" w:themeTint="F2"/>
          <w:kern w:val="0"/>
        </w:rPr>
        <w:t>ETF</w:t>
      </w:r>
      <w:r w:rsidRPr="00B56A57">
        <w:rPr>
          <w:rFonts w:asciiTheme="minorEastAsia" w:hAnsiTheme="minorEastAsia" w:hint="eastAsia"/>
          <w:color w:val="0D0D0D" w:themeColor="text1" w:themeTint="F2"/>
          <w:kern w:val="0"/>
        </w:rPr>
        <w:t>的</w:t>
      </w:r>
      <w:r w:rsidRPr="00B56A57">
        <w:rPr>
          <w:rFonts w:asciiTheme="minorEastAsia" w:eastAsiaTheme="minorEastAsia" w:hAnsiTheme="minorEastAsia" w:hint="eastAsia"/>
          <w:color w:val="0D0D0D" w:themeColor="text1" w:themeTint="F2"/>
          <w:kern w:val="0"/>
        </w:rPr>
        <w:t>联接</w:t>
      </w:r>
      <w:r w:rsidRPr="00B56A57">
        <w:rPr>
          <w:rFonts w:asciiTheme="minorEastAsia" w:hAnsiTheme="minorEastAsia" w:hint="eastAsia"/>
          <w:color w:val="0D0D0D" w:themeColor="text1" w:themeTint="F2"/>
          <w:kern w:val="0"/>
        </w:rPr>
        <w:t>基金</w:t>
      </w:r>
      <w:r w:rsidRPr="00B56A57">
        <w:rPr>
          <w:rFonts w:asciiTheme="minorEastAsia" w:eastAsiaTheme="minorEastAsia" w:hAnsiTheme="minorEastAsia" w:hint="eastAsia"/>
          <w:color w:val="0D0D0D" w:themeColor="text1" w:themeTint="F2"/>
          <w:kern w:val="0"/>
        </w:rPr>
        <w:t>，本基金可根据实际情况需要向本基金</w:t>
      </w:r>
      <w:r w:rsidRPr="00B56A57">
        <w:rPr>
          <w:rFonts w:asciiTheme="minorEastAsia" w:hAnsiTheme="minorEastAsia" w:hint="eastAsia"/>
          <w:color w:val="0D0D0D" w:themeColor="text1" w:themeTint="F2"/>
          <w:kern w:val="0"/>
        </w:rPr>
        <w:t>的</w:t>
      </w:r>
      <w:r w:rsidRPr="00B56A57">
        <w:rPr>
          <w:rFonts w:asciiTheme="minorEastAsia" w:eastAsiaTheme="minorEastAsia" w:hAnsiTheme="minorEastAsia" w:hint="eastAsia"/>
          <w:color w:val="0D0D0D" w:themeColor="text1" w:themeTint="F2"/>
          <w:kern w:val="0"/>
        </w:rPr>
        <w:t>联接基金开通特殊申购，不</w:t>
      </w:r>
      <w:r w:rsidRPr="00B56A57">
        <w:rPr>
          <w:rFonts w:asciiTheme="minorEastAsia" w:hAnsiTheme="minorEastAsia" w:hint="eastAsia"/>
          <w:color w:val="0D0D0D" w:themeColor="text1" w:themeTint="F2"/>
          <w:kern w:val="0"/>
        </w:rPr>
        <w:t>收取</w:t>
      </w:r>
      <w:r w:rsidRPr="00B56A57">
        <w:rPr>
          <w:rFonts w:asciiTheme="minorEastAsia" w:eastAsiaTheme="minorEastAsia" w:hAnsiTheme="minorEastAsia" w:hint="eastAsia"/>
          <w:color w:val="0D0D0D" w:themeColor="text1" w:themeTint="F2"/>
          <w:kern w:val="0"/>
        </w:rPr>
        <w:t>申购费用。具体见招募说明书</w:t>
      </w:r>
      <w:r w:rsidRPr="00B56A57">
        <w:rPr>
          <w:rFonts w:asciiTheme="minorEastAsia" w:hAnsiTheme="minorEastAsia" w:hint="eastAsia"/>
          <w:color w:val="0D0D0D" w:themeColor="text1" w:themeTint="F2"/>
          <w:kern w:val="0"/>
        </w:rPr>
        <w:t>。</w:t>
      </w:r>
    </w:p>
    <w:p w14:paraId="400A1DB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hAnsiTheme="minorEastAsia" w:hint="eastAsia"/>
          <w:color w:val="0D0D0D" w:themeColor="text1" w:themeTint="F2"/>
          <w:kern w:val="0"/>
        </w:rPr>
        <w:t>十四、</w:t>
      </w:r>
      <w:r w:rsidRPr="00B56A57">
        <w:rPr>
          <w:rFonts w:asciiTheme="minorEastAsia" w:eastAsiaTheme="minorEastAsia" w:hAnsiTheme="minorEastAsia" w:hint="eastAsia"/>
          <w:color w:val="0D0D0D" w:themeColor="text1" w:themeTint="F2"/>
          <w:kern w:val="0"/>
        </w:rPr>
        <w:t>其他</w:t>
      </w:r>
    </w:p>
    <w:p w14:paraId="5F232F9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bookmarkStart w:id="168" w:name="_Toc123112235"/>
      <w:bookmarkStart w:id="169" w:name="_Toc16859"/>
      <w:bookmarkStart w:id="170" w:name="_Toc26207"/>
      <w:bookmarkStart w:id="171" w:name="_Toc14835"/>
      <w:bookmarkStart w:id="172" w:name="_Toc3601"/>
      <w:bookmarkStart w:id="173" w:name="_Toc6405"/>
      <w:bookmarkStart w:id="174" w:name="_Toc123051453"/>
      <w:bookmarkStart w:id="175" w:name="_Toc98560353"/>
      <w:bookmarkStart w:id="176" w:name="_Toc31235"/>
      <w:bookmarkStart w:id="177" w:name="_Toc29251"/>
      <w:bookmarkStart w:id="178" w:name="_Toc31653"/>
      <w:bookmarkStart w:id="179" w:name="_Toc123102454"/>
      <w:bookmarkStart w:id="180" w:name="_Toc12245"/>
      <w:bookmarkStart w:id="181" w:name="_Toc31644"/>
      <w:bookmarkStart w:id="182" w:name="_Toc141703887"/>
      <w:bookmarkStart w:id="183" w:name="_Toc139991737"/>
      <w:bookmarkStart w:id="184" w:name="_Toc15143"/>
      <w:r w:rsidRPr="00B56A57">
        <w:rPr>
          <w:rFonts w:asciiTheme="minorEastAsia" w:eastAsiaTheme="minorEastAsia" w:hAnsiTheme="minorEastAsia"/>
          <w:color w:val="0D0D0D" w:themeColor="text1" w:themeTint="F2"/>
          <w:kern w:val="0"/>
        </w:rPr>
        <w:t>1、在不违反法律法规且对基金份额持有人利益无实质性不利影响</w:t>
      </w:r>
      <w:r w:rsidRPr="00B56A57">
        <w:rPr>
          <w:rFonts w:asciiTheme="minorEastAsia" w:eastAsiaTheme="minorEastAsia" w:hAnsiTheme="minorEastAsia" w:hint="eastAsia"/>
          <w:color w:val="0D0D0D" w:themeColor="text1" w:themeTint="F2"/>
          <w:kern w:val="0"/>
        </w:rPr>
        <w:t>的情况下，经履行相关程序后，</w:t>
      </w:r>
      <w:r w:rsidRPr="00B56A57">
        <w:rPr>
          <w:rFonts w:asciiTheme="minorEastAsia" w:hAnsiTheme="minorEastAsia" w:hint="eastAsia"/>
          <w:color w:val="0D0D0D" w:themeColor="text1" w:themeTint="F2"/>
          <w:kern w:val="0"/>
        </w:rPr>
        <w:t>基金管理人</w:t>
      </w:r>
      <w:r w:rsidRPr="00B56A57">
        <w:rPr>
          <w:rFonts w:asciiTheme="minorEastAsia" w:eastAsiaTheme="minorEastAsia" w:hAnsiTheme="minorEastAsia" w:hint="eastAsia"/>
          <w:color w:val="0D0D0D" w:themeColor="text1" w:themeTint="F2"/>
          <w:kern w:val="0"/>
        </w:rPr>
        <w:t>可开放集合申购（或集中申购，具体表述以监管最终业务规则为准）。</w:t>
      </w:r>
      <w:r w:rsidRPr="00B56A57">
        <w:rPr>
          <w:rFonts w:asciiTheme="minorEastAsia" w:hAnsiTheme="minorEastAsia" w:hint="eastAsia"/>
          <w:color w:val="0D0D0D" w:themeColor="text1" w:themeTint="F2"/>
          <w:kern w:val="0"/>
        </w:rPr>
        <w:t>基金管理人</w:t>
      </w:r>
      <w:r w:rsidRPr="00B56A57">
        <w:rPr>
          <w:rFonts w:asciiTheme="minorEastAsia" w:eastAsiaTheme="minorEastAsia" w:hAnsiTheme="minorEastAsia" w:hint="eastAsia"/>
          <w:color w:val="0D0D0D" w:themeColor="text1" w:themeTint="F2"/>
          <w:kern w:val="0"/>
        </w:rPr>
        <w:t>有权制定集合申购业务的相关规则。</w:t>
      </w:r>
    </w:p>
    <w:p w14:paraId="63E6084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kern w:val="0"/>
        </w:rPr>
      </w:pPr>
      <w:r w:rsidRPr="00B56A57">
        <w:rPr>
          <w:rFonts w:asciiTheme="minorEastAsia" w:eastAsiaTheme="minorEastAsia" w:hAnsiTheme="minorEastAsia" w:hint="eastAsia"/>
          <w:color w:val="0D0D0D" w:themeColor="text1" w:themeTint="F2"/>
          <w:kern w:val="0"/>
        </w:rPr>
        <w:t>在条件允许</w:t>
      </w:r>
      <w:r w:rsidRPr="00B56A57">
        <w:rPr>
          <w:rFonts w:asciiTheme="minorEastAsia" w:hAnsiTheme="minorEastAsia" w:hint="eastAsia"/>
          <w:color w:val="0D0D0D" w:themeColor="text1" w:themeTint="F2"/>
          <w:kern w:val="0"/>
        </w:rPr>
        <w:t>时</w:t>
      </w:r>
      <w:r w:rsidRPr="00B56A57">
        <w:rPr>
          <w:rFonts w:asciiTheme="minorEastAsia" w:eastAsiaTheme="minorEastAsia" w:hAnsiTheme="minorEastAsia" w:hint="eastAsia"/>
          <w:color w:val="0D0D0D" w:themeColor="text1" w:themeTint="F2"/>
          <w:kern w:val="0"/>
        </w:rPr>
        <w:t>，</w:t>
      </w:r>
      <w:r w:rsidRPr="00B56A57">
        <w:rPr>
          <w:rFonts w:asciiTheme="minorEastAsia" w:hAnsiTheme="minorEastAsia" w:hint="eastAsia"/>
          <w:color w:val="0D0D0D" w:themeColor="text1" w:themeTint="F2"/>
          <w:kern w:val="0"/>
        </w:rPr>
        <w:t>基金管理人</w:t>
      </w:r>
      <w:r w:rsidRPr="00B56A57">
        <w:rPr>
          <w:rFonts w:asciiTheme="minorEastAsia" w:eastAsiaTheme="minorEastAsia" w:hAnsiTheme="minorEastAsia" w:hint="eastAsia"/>
          <w:color w:val="0D0D0D" w:themeColor="text1" w:themeTint="F2"/>
          <w:kern w:val="0"/>
        </w:rPr>
        <w:t>也可采取其他合理的申购方式，并于新的申购方式开始执行前予以</w:t>
      </w:r>
      <w:r w:rsidRPr="00B56A57">
        <w:rPr>
          <w:rFonts w:asciiTheme="minorEastAsia" w:hAnsiTheme="minorEastAsia" w:hint="eastAsia"/>
          <w:color w:val="0D0D0D" w:themeColor="text1" w:themeTint="F2"/>
          <w:kern w:val="0"/>
        </w:rPr>
        <w:t>公告。</w:t>
      </w:r>
    </w:p>
    <w:p w14:paraId="0AD863C3"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2、基金管理人指定</w:t>
      </w:r>
      <w:r w:rsidRPr="00B56A57">
        <w:rPr>
          <w:rFonts w:asciiTheme="minorEastAsia" w:eastAsiaTheme="minorEastAsia" w:hAnsiTheme="minorEastAsia" w:hint="eastAsia"/>
          <w:color w:val="0D0D0D" w:themeColor="text1" w:themeTint="F2"/>
          <w:kern w:val="0"/>
        </w:rPr>
        <w:t>的代理机构可依据法律法规和本基金合同的规定开展其他服务，双方需签订书面委托代理协议，并报中国证监会备案。</w:t>
      </w:r>
    </w:p>
    <w:p w14:paraId="2A77ECC2"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B56A57">
        <w:rPr>
          <w:rFonts w:asciiTheme="minorEastAsia" w:eastAsiaTheme="minorEastAsia" w:hAnsiTheme="minorEastAsia"/>
          <w:color w:val="0D0D0D" w:themeColor="text1" w:themeTint="F2"/>
          <w:kern w:val="0"/>
        </w:rPr>
        <w:t>3、对于符合《</w:t>
      </w:r>
      <w:r w:rsidRPr="00B56A57">
        <w:rPr>
          <w:rFonts w:asciiTheme="minorEastAsia" w:eastAsiaTheme="minorEastAsia" w:hAnsiTheme="minorEastAsia" w:hint="eastAsia"/>
          <w:color w:val="0D0D0D" w:themeColor="text1" w:themeTint="F2"/>
          <w:kern w:val="0"/>
        </w:rPr>
        <w:t>特定机构投资者参与证券投资基金申购赎回业务指引</w:t>
      </w:r>
      <w:r w:rsidRPr="00B56A57">
        <w:rPr>
          <w:rFonts w:asciiTheme="minorEastAsia" w:eastAsiaTheme="minorEastAsia" w:hAnsiTheme="minorEastAsia"/>
          <w:color w:val="0D0D0D" w:themeColor="text1" w:themeTint="F2"/>
          <w:kern w:val="0"/>
        </w:rPr>
        <w:t>》要求的特定机构投资者，基金管理人可在不违反法律法规且对基金份额持有人利益无实质性不利影响的情况下，安排专门的申购方式，并于新的申购方式开始执行前另行公告。</w:t>
      </w:r>
    </w:p>
    <w:p w14:paraId="55C29BCD" w14:textId="77777777" w:rsidR="00217DCA" w:rsidRPr="00B56A57" w:rsidRDefault="00217DCA">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p>
    <w:bookmarkEnd w:id="165"/>
    <w:p w14:paraId="25DFF2B2" w14:textId="77777777" w:rsidR="00217DCA" w:rsidRPr="00B56A57" w:rsidRDefault="00217DCA">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sectPr w:rsidR="00217DCA" w:rsidRPr="00B56A57">
          <w:footerReference w:type="default" r:id="rId23"/>
          <w:pgSz w:w="11906" w:h="16838"/>
          <w:pgMar w:top="1440" w:right="1800" w:bottom="1440" w:left="1800" w:header="851" w:footer="992" w:gutter="0"/>
          <w:pgNumType w:start="1"/>
          <w:cols w:space="425"/>
          <w:docGrid w:type="lines" w:linePitch="312"/>
        </w:sectPr>
      </w:pPr>
    </w:p>
    <w:p w14:paraId="1B6E6DBC" w14:textId="77777777" w:rsidR="00217DCA" w:rsidRPr="00B56A57" w:rsidRDefault="006C7341">
      <w:pPr>
        <w:pStyle w:val="1"/>
      </w:pPr>
      <w:bookmarkStart w:id="185" w:name="CLAUSE_093627b63be94cfa9c14ce403e9127ec"/>
      <w:r w:rsidRPr="00B56A57">
        <w:lastRenderedPageBreak/>
        <w:t xml:space="preserve"> </w:t>
      </w:r>
      <w:bookmarkStart w:id="186" w:name="CTS_093627b63be94cfa9c14ce403e9127ec"/>
      <w:bookmarkStart w:id="187" w:name="_Toc64923773"/>
      <w:bookmarkStart w:id="188" w:name="_Toc73975086"/>
      <w:bookmarkEnd w:id="186"/>
      <w:r w:rsidRPr="00B56A57">
        <w:rPr>
          <w:rFonts w:cs="Arial" w:hint="eastAsia"/>
        </w:rPr>
        <w:t>第九</w:t>
      </w:r>
      <w:r w:rsidRPr="00B56A57">
        <w:rPr>
          <w:rFonts w:hint="eastAsia"/>
        </w:rPr>
        <w:t>部分</w:t>
      </w:r>
      <w:r w:rsidRPr="00B56A57">
        <w:t xml:space="preserve"> </w:t>
      </w:r>
      <w:r w:rsidRPr="00B56A57">
        <w:rPr>
          <w:rFonts w:hint="eastAsia"/>
        </w:rPr>
        <w:t>基金合同当事人及权利义务</w:t>
      </w:r>
      <w:bookmarkStart w:id="189" w:name="_Hlt55355235"/>
      <w:bookmarkStart w:id="190" w:name="_Toc523711668"/>
      <w:bookmarkStart w:id="191" w:name="_Toc15118234"/>
      <w:bookmarkStart w:id="192" w:name="_Toc79392580"/>
      <w:bookmarkStart w:id="193" w:name="_Toc5753023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7"/>
      <w:bookmarkEnd w:id="188"/>
      <w:bookmarkEnd w:id="189"/>
    </w:p>
    <w:p w14:paraId="76747B51" w14:textId="77777777" w:rsidR="00217DCA" w:rsidRPr="00B56A57" w:rsidRDefault="00217DCA">
      <w:pPr>
        <w:spacing w:line="360" w:lineRule="auto"/>
        <w:ind w:firstLineChars="200" w:firstLine="420"/>
        <w:rPr>
          <w:rFonts w:asciiTheme="minorEastAsia" w:hAnsiTheme="minorEastAsia"/>
          <w:color w:val="0D0D0D" w:themeColor="text1" w:themeTint="F2"/>
        </w:rPr>
      </w:pPr>
    </w:p>
    <w:p w14:paraId="6DABD13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一、基金</w:t>
      </w:r>
      <w:bookmarkEnd w:id="190"/>
      <w:r w:rsidRPr="00B56A57">
        <w:rPr>
          <w:rFonts w:asciiTheme="minorEastAsia" w:hAnsiTheme="minorEastAsia" w:hint="eastAsia"/>
          <w:color w:val="0D0D0D" w:themeColor="text1" w:themeTint="F2"/>
        </w:rPr>
        <w:t>管理人</w:t>
      </w:r>
      <w:bookmarkEnd w:id="191"/>
      <w:bookmarkEnd w:id="192"/>
      <w:bookmarkEnd w:id="193"/>
    </w:p>
    <w:p w14:paraId="73859E9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194" w:name="_Toc15118235"/>
      <w:r w:rsidRPr="00B56A57">
        <w:rPr>
          <w:rFonts w:asciiTheme="minorEastAsia" w:hAnsiTheme="minorEastAsia" w:hint="eastAsia"/>
          <w:color w:val="0D0D0D" w:themeColor="text1" w:themeTint="F2"/>
        </w:rPr>
        <w:t>（一）</w:t>
      </w:r>
      <w:r w:rsidRPr="00B56A57">
        <w:rPr>
          <w:rFonts w:asciiTheme="minorEastAsia" w:hAnsiTheme="minorEastAsia"/>
          <w:color w:val="0D0D0D" w:themeColor="text1" w:themeTint="F2"/>
        </w:rPr>
        <w:tab/>
      </w:r>
      <w:r w:rsidRPr="00B56A57">
        <w:rPr>
          <w:rFonts w:asciiTheme="minorEastAsia" w:hAnsiTheme="minorEastAsia" w:hint="eastAsia"/>
          <w:color w:val="0D0D0D" w:themeColor="text1" w:themeTint="F2"/>
        </w:rPr>
        <w:t>基金管理人简况</w:t>
      </w:r>
      <w:bookmarkEnd w:id="194"/>
    </w:p>
    <w:p w14:paraId="6822EE6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195" w:name="_Toc15118236"/>
      <w:bookmarkStart w:id="196" w:name="_Toc15118237"/>
      <w:r w:rsidRPr="00B56A57">
        <w:rPr>
          <w:rFonts w:asciiTheme="minorEastAsia" w:hAnsiTheme="minorEastAsia" w:hint="eastAsia"/>
          <w:color w:val="0D0D0D" w:themeColor="text1" w:themeTint="F2"/>
        </w:rPr>
        <w:t>名称：</w:t>
      </w:r>
      <w:r w:rsidRPr="00B56A57">
        <w:rPr>
          <w:rFonts w:asciiTheme="minorEastAsia" w:eastAsiaTheme="minorEastAsia" w:hAnsiTheme="minorEastAsia" w:cs="Arial" w:hint="eastAsia"/>
          <w:color w:val="0D0D0D" w:themeColor="text1" w:themeTint="F2"/>
          <w:szCs w:val="21"/>
        </w:rPr>
        <w:t>博时基金管理有限公司</w:t>
      </w:r>
    </w:p>
    <w:p w14:paraId="1F220CD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r w:rsidRPr="00B56A57">
        <w:rPr>
          <w:rFonts w:asciiTheme="minorEastAsia" w:eastAsiaTheme="minorEastAsia" w:hAnsiTheme="minorEastAsia" w:cs="Arial" w:hint="eastAsia"/>
          <w:color w:val="0D0D0D" w:themeColor="text1" w:themeTint="F2"/>
          <w:szCs w:val="21"/>
        </w:rPr>
        <w:t>住所：深圳市福田区莲花街道福新社区益田路</w:t>
      </w:r>
      <w:r w:rsidRPr="00B56A57">
        <w:rPr>
          <w:rFonts w:asciiTheme="minorEastAsia" w:eastAsiaTheme="minorEastAsia" w:hAnsiTheme="minorEastAsia" w:cs="Arial"/>
          <w:color w:val="0D0D0D" w:themeColor="text1" w:themeTint="F2"/>
          <w:szCs w:val="21"/>
        </w:rPr>
        <w:t>5999号基金大厦21层</w:t>
      </w:r>
    </w:p>
    <w:p w14:paraId="785358E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法定代表人：</w:t>
      </w:r>
      <w:r w:rsidRPr="00B56A57">
        <w:rPr>
          <w:rFonts w:ascii="宋体" w:hAnsi="宋体" w:hint="eastAsia"/>
          <w:kern w:val="0"/>
          <w:szCs w:val="21"/>
        </w:rPr>
        <w:t>江向阳</w:t>
      </w:r>
    </w:p>
    <w:p w14:paraId="3085F2E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设立日期：</w:t>
      </w:r>
      <w:r w:rsidRPr="00B56A57">
        <w:rPr>
          <w:rFonts w:asciiTheme="minorEastAsia" w:hAnsiTheme="minorEastAsia"/>
          <w:color w:val="0D0D0D" w:themeColor="text1" w:themeTint="F2"/>
        </w:rPr>
        <w:t xml:space="preserve"> </w:t>
      </w:r>
      <w:r w:rsidRPr="00B56A57">
        <w:rPr>
          <w:rFonts w:asciiTheme="minorEastAsia" w:eastAsiaTheme="minorEastAsia" w:hAnsiTheme="minorEastAsia" w:cs="Arial"/>
          <w:color w:val="0D0D0D" w:themeColor="text1" w:themeTint="F2"/>
          <w:szCs w:val="21"/>
        </w:rPr>
        <w:t>1998年7月13日</w:t>
      </w:r>
    </w:p>
    <w:p w14:paraId="1DC54EA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批准设立机关及批准设立文号：</w:t>
      </w:r>
      <w:r w:rsidRPr="00B56A57">
        <w:rPr>
          <w:rFonts w:asciiTheme="minorEastAsia" w:eastAsiaTheme="minorEastAsia" w:hAnsiTheme="minorEastAsia" w:cs="Arial" w:hint="eastAsia"/>
          <w:color w:val="0D0D0D" w:themeColor="text1" w:themeTint="F2"/>
          <w:szCs w:val="21"/>
        </w:rPr>
        <w:t>中国证监会证监基字【</w:t>
      </w:r>
      <w:r w:rsidRPr="00B56A57">
        <w:rPr>
          <w:rFonts w:asciiTheme="minorEastAsia" w:eastAsiaTheme="minorEastAsia" w:hAnsiTheme="minorEastAsia" w:cs="Arial"/>
          <w:color w:val="0D0D0D" w:themeColor="text1" w:themeTint="F2"/>
          <w:szCs w:val="21"/>
        </w:rPr>
        <w:t>1998】26号</w:t>
      </w:r>
    </w:p>
    <w:p w14:paraId="3568483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组织形式：</w:t>
      </w:r>
      <w:r w:rsidRPr="00B56A57">
        <w:rPr>
          <w:rFonts w:asciiTheme="minorEastAsia" w:eastAsiaTheme="minorEastAsia" w:hAnsiTheme="minorEastAsia" w:cs="Arial" w:hint="eastAsia"/>
          <w:color w:val="0D0D0D" w:themeColor="text1" w:themeTint="F2"/>
          <w:szCs w:val="21"/>
        </w:rPr>
        <w:t>有限责任公司</w:t>
      </w:r>
    </w:p>
    <w:p w14:paraId="7CA7727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注册资本：</w:t>
      </w:r>
      <w:r w:rsidRPr="00B56A57">
        <w:rPr>
          <w:rFonts w:asciiTheme="minorEastAsia" w:hAnsiTheme="minorEastAsia"/>
          <w:color w:val="0D0D0D" w:themeColor="text1" w:themeTint="F2"/>
        </w:rPr>
        <w:t xml:space="preserve"> </w:t>
      </w:r>
      <w:r w:rsidRPr="00B56A57">
        <w:rPr>
          <w:rFonts w:asciiTheme="minorEastAsia" w:eastAsiaTheme="minorEastAsia" w:hAnsiTheme="minorEastAsia" w:cs="Arial"/>
          <w:color w:val="0D0D0D" w:themeColor="text1" w:themeTint="F2"/>
          <w:szCs w:val="21"/>
        </w:rPr>
        <w:t>2.5亿元人民币</w:t>
      </w:r>
    </w:p>
    <w:p w14:paraId="3EDF558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存续期限：</w:t>
      </w:r>
      <w:r w:rsidRPr="00B56A57">
        <w:rPr>
          <w:rFonts w:asciiTheme="minorEastAsia" w:hAnsiTheme="minorEastAsia"/>
          <w:color w:val="0D0D0D" w:themeColor="text1" w:themeTint="F2"/>
        </w:rPr>
        <w:t xml:space="preserve"> </w:t>
      </w:r>
      <w:r w:rsidRPr="00B56A57">
        <w:rPr>
          <w:rFonts w:asciiTheme="minorEastAsia" w:eastAsiaTheme="minorEastAsia" w:hAnsiTheme="minorEastAsia" w:cs="Arial" w:hint="eastAsia"/>
          <w:color w:val="0D0D0D" w:themeColor="text1" w:themeTint="F2"/>
          <w:szCs w:val="21"/>
        </w:rPr>
        <w:t>持续经营</w:t>
      </w:r>
    </w:p>
    <w:p w14:paraId="18E150F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联系电话：</w:t>
      </w:r>
      <w:r w:rsidRPr="00B56A57">
        <w:rPr>
          <w:rFonts w:asciiTheme="minorEastAsia" w:eastAsiaTheme="minorEastAsia" w:hAnsiTheme="minorEastAsia" w:cs="Arial"/>
          <w:color w:val="0D0D0D" w:themeColor="text1" w:themeTint="F2"/>
          <w:szCs w:val="21"/>
        </w:rPr>
        <w:t>0755-83169999</w:t>
      </w:r>
    </w:p>
    <w:bookmarkEnd w:id="195"/>
    <w:p w14:paraId="16ED138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（二）</w:t>
      </w:r>
      <w:r w:rsidRPr="00B56A57">
        <w:rPr>
          <w:rFonts w:asciiTheme="minorEastAsia" w:hAnsiTheme="minorEastAsia"/>
          <w:color w:val="0D0D0D" w:themeColor="text1" w:themeTint="F2"/>
        </w:rPr>
        <w:tab/>
      </w:r>
      <w:r w:rsidRPr="00B56A57">
        <w:rPr>
          <w:rFonts w:asciiTheme="minorEastAsia" w:hAnsiTheme="minorEastAsia" w:hint="eastAsia"/>
          <w:color w:val="0D0D0D" w:themeColor="text1" w:themeTint="F2"/>
        </w:rPr>
        <w:t>基金管理人的权利与义务</w:t>
      </w:r>
      <w:bookmarkEnd w:id="196"/>
    </w:p>
    <w:p w14:paraId="2012705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、根据《基金法》、《运作办法》及其他有关规定，基金管理人的权利包括但不限于：</w:t>
      </w:r>
    </w:p>
    <w:p w14:paraId="7E6D8F9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）依法募集资金；</w:t>
      </w:r>
    </w:p>
    <w:p w14:paraId="4C29FAE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）自《基金合同》生效之日起，根据法律法规和《基金合同》独立运用并管理基金财产；</w:t>
      </w:r>
    </w:p>
    <w:p w14:paraId="018B5D8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）依照《基金合同》收取基金管理费以及法律法规规定或中国证监会批准的其他费用；</w:t>
      </w:r>
    </w:p>
    <w:p w14:paraId="5A90470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）销售基金份额；</w:t>
      </w:r>
    </w:p>
    <w:p w14:paraId="6C00E35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w:t>
      </w:r>
      <w:bookmarkStart w:id="197" w:name="_Hlt88896155"/>
      <w:r w:rsidRPr="00B56A57">
        <w:rPr>
          <w:rFonts w:asciiTheme="minorEastAsia" w:hAnsiTheme="minorEastAsia" w:hint="eastAsia"/>
          <w:color w:val="0D0D0D" w:themeColor="text1" w:themeTint="F2"/>
        </w:rPr>
        <w:t>按照规定召集</w:t>
      </w:r>
      <w:bookmarkEnd w:id="197"/>
      <w:r w:rsidRPr="00B56A57">
        <w:rPr>
          <w:rFonts w:asciiTheme="minorEastAsia" w:hAnsiTheme="minorEastAsia" w:hint="eastAsia"/>
          <w:color w:val="0D0D0D" w:themeColor="text1" w:themeTint="F2"/>
        </w:rPr>
        <w:t>基金份额持有人大会；</w:t>
      </w:r>
    </w:p>
    <w:p w14:paraId="791DFD6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）依据《基金合同》及有关法律规定监督基金托管人，如认为基金托管人违反了《基金合同》及国家有关法律规定，应呈报中国证监会和其他监管部门，并采取必要措施保护基金投资者的利益；</w:t>
      </w:r>
    </w:p>
    <w:p w14:paraId="0E8E79C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）在基金托管人更换时，提名新的基金托管人；</w:t>
      </w:r>
    </w:p>
    <w:p w14:paraId="0AE2DE2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8</w:t>
      </w:r>
      <w:r w:rsidRPr="00B56A57">
        <w:rPr>
          <w:rFonts w:asciiTheme="minorEastAsia" w:hAnsiTheme="minorEastAsia" w:hint="eastAsia"/>
          <w:color w:val="0D0D0D" w:themeColor="text1" w:themeTint="F2"/>
        </w:rPr>
        <w:t>）选择、更换基金销售机构，对基金销售机构的相关行为进行监督和处理；</w:t>
      </w:r>
      <w:r w:rsidRPr="00B56A57">
        <w:rPr>
          <w:rFonts w:asciiTheme="minorEastAsia" w:hAnsiTheme="minorEastAsia"/>
          <w:color w:val="0D0D0D" w:themeColor="text1" w:themeTint="F2"/>
        </w:rPr>
        <w:t xml:space="preserve"> </w:t>
      </w:r>
    </w:p>
    <w:p w14:paraId="3C703DC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9</w:t>
      </w:r>
      <w:r w:rsidRPr="00B56A57">
        <w:rPr>
          <w:rFonts w:asciiTheme="minorEastAsia" w:hAnsiTheme="minorEastAsia" w:hint="eastAsia"/>
          <w:color w:val="0D0D0D" w:themeColor="text1" w:themeTint="F2"/>
        </w:rPr>
        <w:t>）担任或委托其他符合条件的机构担任基金登记机构办理基金登记业务并获得《基金合同》规定的费用；</w:t>
      </w:r>
      <w:r w:rsidRPr="00B56A57">
        <w:rPr>
          <w:rFonts w:asciiTheme="minorEastAsia" w:hAnsiTheme="minorEastAsia"/>
          <w:color w:val="0D0D0D" w:themeColor="text1" w:themeTint="F2"/>
        </w:rPr>
        <w:t xml:space="preserve"> </w:t>
      </w:r>
    </w:p>
    <w:p w14:paraId="38FDDD9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）依据《基金合同》及有关法律规定决定基金收益的分配方案；</w:t>
      </w:r>
      <w:r w:rsidRPr="00B56A57">
        <w:rPr>
          <w:rFonts w:asciiTheme="minorEastAsia" w:hAnsiTheme="minorEastAsia"/>
          <w:color w:val="0D0D0D" w:themeColor="text1" w:themeTint="F2"/>
        </w:rPr>
        <w:tab/>
      </w:r>
    </w:p>
    <w:p w14:paraId="7E29F65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11</w:t>
      </w:r>
      <w:r w:rsidRPr="00B56A57">
        <w:rPr>
          <w:rFonts w:asciiTheme="minorEastAsia" w:hAnsiTheme="minorEastAsia" w:hint="eastAsia"/>
          <w:color w:val="0D0D0D" w:themeColor="text1" w:themeTint="F2"/>
        </w:rPr>
        <w:t>）在《基金合同》约定的范围内，拒绝或暂停受理申购与赎回申请；</w:t>
      </w:r>
      <w:r w:rsidRPr="00B56A57">
        <w:rPr>
          <w:rFonts w:asciiTheme="minorEastAsia" w:hAnsiTheme="minorEastAsia"/>
          <w:color w:val="0D0D0D" w:themeColor="text1" w:themeTint="F2"/>
        </w:rPr>
        <w:t xml:space="preserve"> </w:t>
      </w:r>
    </w:p>
    <w:p w14:paraId="2ADB57D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12</w:t>
      </w:r>
      <w:r w:rsidRPr="00B56A57">
        <w:rPr>
          <w:rFonts w:asciiTheme="minorEastAsia" w:hAnsiTheme="minorEastAsia" w:hint="eastAsia"/>
          <w:color w:val="0D0D0D" w:themeColor="text1" w:themeTint="F2"/>
        </w:rPr>
        <w:t>）依照法律法规为基金的利益对被投资公司行使股东权利，为基金的利益行使因基金财产投资于证券所产生的权利；</w:t>
      </w:r>
    </w:p>
    <w:p w14:paraId="3BC4D766" w14:textId="3AE6E9A9"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13</w:t>
      </w:r>
      <w:r w:rsidRPr="00B56A57">
        <w:rPr>
          <w:rFonts w:asciiTheme="minorEastAsia" w:hAnsiTheme="minorEastAsia" w:hint="eastAsia"/>
          <w:color w:val="0D0D0D" w:themeColor="text1" w:themeTint="F2"/>
        </w:rPr>
        <w:t>）在法律法规允许的前提下，为基金的利益依法为基金进行融资</w:t>
      </w:r>
      <w:r w:rsidRPr="00B56A57">
        <w:rPr>
          <w:rFonts w:asciiTheme="minorEastAsia" w:eastAsiaTheme="minorEastAsia" w:hAnsiTheme="minorEastAsia" w:hint="eastAsia"/>
          <w:color w:val="0D0D0D" w:themeColor="text1" w:themeTint="F2"/>
        </w:rPr>
        <w:t>和转融通证券出借</w:t>
      </w:r>
      <w:r w:rsidRPr="00B56A57">
        <w:rPr>
          <w:rFonts w:asciiTheme="minorEastAsia" w:eastAsiaTheme="minorEastAsia" w:hAnsiTheme="minorEastAsia" w:hint="eastAsia"/>
          <w:color w:val="0D0D0D" w:themeColor="text1" w:themeTint="F2"/>
        </w:rPr>
        <w:lastRenderedPageBreak/>
        <w:t>业务；</w:t>
      </w:r>
    </w:p>
    <w:p w14:paraId="0988422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14</w:t>
      </w:r>
      <w:r w:rsidRPr="00B56A57">
        <w:rPr>
          <w:rFonts w:asciiTheme="minorEastAsia" w:hAnsiTheme="minorEastAsia" w:hint="eastAsia"/>
          <w:color w:val="0D0D0D" w:themeColor="text1" w:themeTint="F2"/>
        </w:rPr>
        <w:t>）以基金管理人的名义，代表基金份额持有人的利益行使诉讼权利或者实施其他法律行为；</w:t>
      </w:r>
      <w:r w:rsidRPr="00B56A57">
        <w:rPr>
          <w:rFonts w:asciiTheme="minorEastAsia" w:hAnsiTheme="minorEastAsia"/>
          <w:color w:val="0D0D0D" w:themeColor="text1" w:themeTint="F2"/>
        </w:rPr>
        <w:tab/>
      </w:r>
    </w:p>
    <w:p w14:paraId="4B5F247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15</w:t>
      </w:r>
      <w:r w:rsidRPr="00B56A57">
        <w:rPr>
          <w:rFonts w:asciiTheme="minorEastAsia" w:hAnsiTheme="minorEastAsia" w:hint="eastAsia"/>
          <w:color w:val="0D0D0D" w:themeColor="text1" w:themeTint="F2"/>
        </w:rPr>
        <w:t>）选择、更换律师事务所、会计师事务所、</w:t>
      </w:r>
      <w:r w:rsidRPr="00B56A57">
        <w:rPr>
          <w:rFonts w:asciiTheme="minorEastAsia" w:eastAsiaTheme="minorEastAsia" w:hAnsiTheme="minorEastAsia" w:hint="eastAsia"/>
          <w:color w:val="0D0D0D" w:themeColor="text1" w:themeTint="F2"/>
        </w:rPr>
        <w:t>证券、期货经纪商</w:t>
      </w:r>
      <w:r w:rsidRPr="00B56A57">
        <w:rPr>
          <w:rFonts w:asciiTheme="minorEastAsia" w:hAnsiTheme="minorEastAsia" w:hint="eastAsia"/>
          <w:color w:val="0D0D0D" w:themeColor="text1" w:themeTint="F2"/>
        </w:rPr>
        <w:t>或其他为基金提供服务的外部机构；</w:t>
      </w:r>
      <w:r w:rsidRPr="00B56A57">
        <w:rPr>
          <w:rFonts w:asciiTheme="minorEastAsia" w:hAnsiTheme="minorEastAsia"/>
          <w:color w:val="0D0D0D" w:themeColor="text1" w:themeTint="F2"/>
        </w:rPr>
        <w:tab/>
      </w:r>
    </w:p>
    <w:p w14:paraId="1C07CA7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16</w:t>
      </w:r>
      <w:r w:rsidRPr="00B56A57">
        <w:rPr>
          <w:rFonts w:asciiTheme="minorEastAsia" w:hAnsiTheme="minorEastAsia" w:hint="eastAsia"/>
          <w:color w:val="0D0D0D" w:themeColor="text1" w:themeTint="F2"/>
        </w:rPr>
        <w:t>）在符合有关法律、法规</w:t>
      </w:r>
      <w:r w:rsidRPr="00B56A57">
        <w:rPr>
          <w:rFonts w:asciiTheme="minorEastAsia" w:eastAsiaTheme="minorEastAsia" w:hAnsiTheme="minorEastAsia" w:hint="eastAsia"/>
          <w:color w:val="0D0D0D" w:themeColor="text1" w:themeTint="F2"/>
        </w:rPr>
        <w:t>、相关证券交易所及登记机构相关业务规则的规定及基金合同</w:t>
      </w:r>
      <w:r w:rsidRPr="00B56A57">
        <w:rPr>
          <w:rFonts w:asciiTheme="minorEastAsia" w:hAnsiTheme="minorEastAsia" w:hint="eastAsia"/>
          <w:color w:val="0D0D0D" w:themeColor="text1" w:themeTint="F2"/>
        </w:rPr>
        <w:t>的前提下，制订和调整有关基金认购、申购、赎回、转换</w:t>
      </w:r>
      <w:r w:rsidRPr="00B56A57">
        <w:rPr>
          <w:rFonts w:asciiTheme="minorEastAsia" w:eastAsiaTheme="minorEastAsia" w:hAnsiTheme="minorEastAsia" w:cs="Arial" w:hint="eastAsia"/>
          <w:color w:val="0D0D0D" w:themeColor="text1" w:themeTint="F2"/>
          <w:szCs w:val="21"/>
        </w:rPr>
        <w:t>等</w:t>
      </w:r>
      <w:r w:rsidRPr="00B56A57">
        <w:rPr>
          <w:rFonts w:asciiTheme="minorEastAsia" w:hAnsiTheme="minorEastAsia" w:hint="eastAsia"/>
          <w:color w:val="0D0D0D" w:themeColor="text1" w:themeTint="F2"/>
        </w:rPr>
        <w:t>业务规则；</w:t>
      </w:r>
    </w:p>
    <w:p w14:paraId="71EE34A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17）</w:t>
      </w:r>
      <w:r w:rsidRPr="00B56A57">
        <w:rPr>
          <w:rFonts w:asciiTheme="minorEastAsia" w:hAnsiTheme="minorEastAsia" w:hint="eastAsia"/>
          <w:color w:val="0D0D0D" w:themeColor="text1" w:themeTint="F2"/>
        </w:rPr>
        <w:t>法律法规及中国证监会规定的和《基金合同》约定的其他权利。</w:t>
      </w:r>
    </w:p>
    <w:p w14:paraId="5A65EDB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、根据《基金法》、《运作办法》及其他有关规定，基金管理人的义务包括但不限于：</w:t>
      </w:r>
    </w:p>
    <w:p w14:paraId="135C53A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198" w:name="_Toc523711669"/>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）依法募集资金，办理或者委托经中国证监会认定的其他机构代为办理基金份额的发售、申购、赎回和登记事宜；</w:t>
      </w:r>
    </w:p>
    <w:p w14:paraId="5802EC6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）办理基金备案手续；</w:t>
      </w:r>
    </w:p>
    <w:p w14:paraId="03346CD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）自《基金合同》生效之日起</w:t>
      </w:r>
      <w:r w:rsidRPr="00B56A57">
        <w:rPr>
          <w:rFonts w:asciiTheme="minorEastAsia" w:eastAsiaTheme="minorEastAsia" w:hAnsiTheme="minorEastAsia" w:cs="Arial" w:hint="eastAsia"/>
          <w:color w:val="0D0D0D" w:themeColor="text1" w:themeTint="F2"/>
          <w:szCs w:val="21"/>
        </w:rPr>
        <w:t>，</w:t>
      </w:r>
      <w:r w:rsidRPr="00B56A57">
        <w:rPr>
          <w:rFonts w:asciiTheme="minorEastAsia" w:hAnsiTheme="minorEastAsia" w:hint="eastAsia"/>
          <w:color w:val="0D0D0D" w:themeColor="text1" w:themeTint="F2"/>
        </w:rPr>
        <w:t>以诚实信用、谨慎勤勉的原则管理和运用基金财产；</w:t>
      </w:r>
    </w:p>
    <w:p w14:paraId="0D3F13E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）配备足够的具有专业资格的人员进行基金投资分析、决策，以专业化的经营方式管理和运作基金财产；</w:t>
      </w:r>
    </w:p>
    <w:p w14:paraId="47EC0C9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）建立健全内部风险控制、监察与稽核、财务管理及人事管理等制度，保证所管理的基金财产和基金管理人的财产相互独立</w:t>
      </w:r>
      <w:r w:rsidRPr="00B56A57">
        <w:rPr>
          <w:rFonts w:asciiTheme="minorEastAsia" w:eastAsiaTheme="minorEastAsia" w:hAnsiTheme="minorEastAsia" w:cs="Arial" w:hint="eastAsia"/>
          <w:color w:val="0D0D0D" w:themeColor="text1" w:themeTint="F2"/>
          <w:szCs w:val="21"/>
        </w:rPr>
        <w:t>，</w:t>
      </w:r>
      <w:r w:rsidRPr="00B56A57">
        <w:rPr>
          <w:rFonts w:asciiTheme="minorEastAsia" w:hAnsiTheme="minorEastAsia" w:hint="eastAsia"/>
          <w:color w:val="0D0D0D" w:themeColor="text1" w:themeTint="F2"/>
        </w:rPr>
        <w:t>对所管理的不同基金分别管理，分别记账，进行证券投资；</w:t>
      </w:r>
    </w:p>
    <w:p w14:paraId="45ABF51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）除依据《基金法》、《基金合同》及其他有关规定外</w:t>
      </w:r>
      <w:r w:rsidRPr="00B56A57">
        <w:rPr>
          <w:rFonts w:asciiTheme="minorEastAsia" w:eastAsiaTheme="minorEastAsia" w:hAnsiTheme="minorEastAsia" w:cs="Arial" w:hint="eastAsia"/>
          <w:color w:val="0D0D0D" w:themeColor="text1" w:themeTint="F2"/>
          <w:szCs w:val="21"/>
        </w:rPr>
        <w:t>，</w:t>
      </w:r>
      <w:r w:rsidRPr="00B56A57">
        <w:rPr>
          <w:rFonts w:asciiTheme="minorEastAsia" w:hAnsiTheme="minorEastAsia" w:hint="eastAsia"/>
          <w:color w:val="0D0D0D" w:themeColor="text1" w:themeTint="F2"/>
        </w:rPr>
        <w:t>不得利用基金财产为自己及任何第三人谋取利益，不得委托第三人运作基金财产；</w:t>
      </w:r>
      <w:bookmarkStart w:id="199" w:name="_Hlt88897298"/>
      <w:bookmarkEnd w:id="199"/>
    </w:p>
    <w:p w14:paraId="70E6EBD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）依法接受基金托管人的监督；</w:t>
      </w:r>
    </w:p>
    <w:p w14:paraId="65F1970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8</w:t>
      </w:r>
      <w:r w:rsidRPr="00B56A57">
        <w:rPr>
          <w:rFonts w:asciiTheme="minorEastAsia" w:hAnsiTheme="minorEastAsia" w:hint="eastAsia"/>
          <w:color w:val="0D0D0D" w:themeColor="text1" w:themeTint="F2"/>
        </w:rPr>
        <w:t>）采取适当合理的措施使计算基金份额认购</w:t>
      </w:r>
      <w:r w:rsidRPr="00B56A57">
        <w:rPr>
          <w:rFonts w:asciiTheme="minorEastAsia" w:eastAsiaTheme="minorEastAsia" w:hAnsiTheme="minorEastAsia" w:hint="eastAsia"/>
          <w:color w:val="0D0D0D" w:themeColor="text1" w:themeTint="F2"/>
        </w:rPr>
        <w:t>价格</w:t>
      </w:r>
      <w:r w:rsidRPr="00B56A57">
        <w:rPr>
          <w:rFonts w:asciiTheme="minorEastAsia" w:hAnsiTheme="minorEastAsia" w:hint="eastAsia"/>
          <w:color w:val="0D0D0D" w:themeColor="text1" w:themeTint="F2"/>
        </w:rPr>
        <w:t>、申购</w:t>
      </w:r>
      <w:r w:rsidRPr="00B56A57">
        <w:rPr>
          <w:rFonts w:asciiTheme="minorEastAsia" w:eastAsiaTheme="minorEastAsia" w:hAnsiTheme="minorEastAsia" w:hint="eastAsia"/>
          <w:color w:val="0D0D0D" w:themeColor="text1" w:themeTint="F2"/>
        </w:rPr>
        <w:t>对价</w:t>
      </w:r>
      <w:r w:rsidRPr="00B56A57">
        <w:rPr>
          <w:rFonts w:asciiTheme="minorEastAsia" w:hAnsiTheme="minorEastAsia" w:hint="eastAsia"/>
          <w:color w:val="0D0D0D" w:themeColor="text1" w:themeTint="F2"/>
        </w:rPr>
        <w:t>、赎回</w:t>
      </w:r>
      <w:r w:rsidRPr="00B56A57">
        <w:rPr>
          <w:rFonts w:asciiTheme="minorEastAsia" w:eastAsiaTheme="minorEastAsia" w:hAnsiTheme="minorEastAsia" w:hint="eastAsia"/>
          <w:color w:val="0D0D0D" w:themeColor="text1" w:themeTint="F2"/>
        </w:rPr>
        <w:t>对价</w:t>
      </w:r>
      <w:r w:rsidRPr="00B56A57">
        <w:rPr>
          <w:rFonts w:asciiTheme="minorEastAsia" w:hAnsiTheme="minorEastAsia" w:hint="eastAsia"/>
          <w:color w:val="0D0D0D" w:themeColor="text1" w:themeTint="F2"/>
        </w:rPr>
        <w:t>的方法符合《基金合同》等法律文件的规定，按有关规定计算并公告基金净值信息，确定基金份额申购、赎回</w:t>
      </w:r>
      <w:r w:rsidRPr="00B56A57">
        <w:rPr>
          <w:rFonts w:asciiTheme="minorEastAsia" w:eastAsiaTheme="minorEastAsia" w:hAnsiTheme="minorEastAsia" w:hint="eastAsia"/>
          <w:color w:val="0D0D0D" w:themeColor="text1" w:themeTint="F2"/>
        </w:rPr>
        <w:t>对价，编制申购赎回清单</w:t>
      </w:r>
      <w:r w:rsidRPr="00B56A57">
        <w:rPr>
          <w:rFonts w:asciiTheme="minorEastAsia" w:hAnsiTheme="minorEastAsia" w:hint="eastAsia"/>
          <w:color w:val="0D0D0D" w:themeColor="text1" w:themeTint="F2"/>
        </w:rPr>
        <w:t>；</w:t>
      </w:r>
    </w:p>
    <w:p w14:paraId="003CBDB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9</w:t>
      </w:r>
      <w:r w:rsidRPr="00B56A57">
        <w:rPr>
          <w:rFonts w:asciiTheme="minorEastAsia" w:hAnsiTheme="minorEastAsia" w:hint="eastAsia"/>
          <w:color w:val="0D0D0D" w:themeColor="text1" w:themeTint="F2"/>
        </w:rPr>
        <w:t>）进行基金会计核算并编制基金财务会计报告；</w:t>
      </w:r>
    </w:p>
    <w:p w14:paraId="3547EAB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）编制季度报告、中期报告和年度报告；</w:t>
      </w:r>
    </w:p>
    <w:p w14:paraId="2303DC9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11</w:t>
      </w:r>
      <w:r w:rsidRPr="00B56A57">
        <w:rPr>
          <w:rFonts w:asciiTheme="minorEastAsia" w:hAnsiTheme="minorEastAsia" w:hint="eastAsia"/>
          <w:color w:val="0D0D0D" w:themeColor="text1" w:themeTint="F2"/>
        </w:rPr>
        <w:t>）严格按照《基金法》、《基金合同》及其他有关规定，履行信息披露及报告义务；</w:t>
      </w:r>
    </w:p>
    <w:p w14:paraId="6631CBD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12</w:t>
      </w:r>
      <w:r w:rsidRPr="00B56A57">
        <w:rPr>
          <w:rFonts w:asciiTheme="minorEastAsia" w:hAnsiTheme="minorEastAsia" w:hint="eastAsia"/>
          <w:color w:val="0D0D0D" w:themeColor="text1" w:themeTint="F2"/>
        </w:rPr>
        <w:t>）保守基金商业秘密，不泄露基金投资计划、投资意向等。除《基金法》、《基金合同》及其他有关规定另有规定外，在基金信息公开披露前应予保密，不向他人泄露，向审计、法律等外部专业顾问提供的情况除外；</w:t>
      </w:r>
    </w:p>
    <w:p w14:paraId="1F64F7A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13</w:t>
      </w:r>
      <w:r w:rsidRPr="00B56A57">
        <w:rPr>
          <w:rFonts w:asciiTheme="minorEastAsia" w:hAnsiTheme="minorEastAsia" w:hint="eastAsia"/>
          <w:color w:val="0D0D0D" w:themeColor="text1" w:themeTint="F2"/>
        </w:rPr>
        <w:t>）按《基金合同》的约定确定基金收益分配方案，及时向基金份额持有人分配基金收益；</w:t>
      </w:r>
    </w:p>
    <w:p w14:paraId="7F7D9CA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14</w:t>
      </w:r>
      <w:r w:rsidRPr="00B56A57">
        <w:rPr>
          <w:rFonts w:asciiTheme="minorEastAsia" w:hAnsiTheme="minorEastAsia" w:hint="eastAsia"/>
          <w:color w:val="0D0D0D" w:themeColor="text1" w:themeTint="F2"/>
        </w:rPr>
        <w:t>）按规定受理申购与赎回申请，及时、足额支付赎回</w:t>
      </w:r>
      <w:r w:rsidRPr="00B56A57">
        <w:rPr>
          <w:rFonts w:asciiTheme="minorEastAsia" w:eastAsiaTheme="minorEastAsia" w:hAnsiTheme="minorEastAsia" w:cs="Arial" w:hint="eastAsia"/>
          <w:color w:val="0D0D0D" w:themeColor="text1" w:themeTint="F2"/>
          <w:szCs w:val="21"/>
        </w:rPr>
        <w:t>对价</w:t>
      </w:r>
      <w:r w:rsidRPr="00B56A57">
        <w:rPr>
          <w:rFonts w:asciiTheme="minorEastAsia" w:hAnsiTheme="minorEastAsia" w:hint="eastAsia"/>
          <w:color w:val="0D0D0D" w:themeColor="text1" w:themeTint="F2"/>
        </w:rPr>
        <w:t>；</w:t>
      </w:r>
    </w:p>
    <w:p w14:paraId="10EEB9F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15</w:t>
      </w:r>
      <w:r w:rsidRPr="00B56A57">
        <w:rPr>
          <w:rFonts w:asciiTheme="minorEastAsia" w:hAnsiTheme="minorEastAsia" w:hint="eastAsia"/>
          <w:color w:val="0D0D0D" w:themeColor="text1" w:themeTint="F2"/>
        </w:rPr>
        <w:t>）依据《基金法》、《基金合同》及其他有关规定召集基金份额持有人大会或配合基</w:t>
      </w:r>
      <w:r w:rsidRPr="00B56A57">
        <w:rPr>
          <w:rFonts w:asciiTheme="minorEastAsia" w:hAnsiTheme="minorEastAsia" w:hint="eastAsia"/>
          <w:color w:val="0D0D0D" w:themeColor="text1" w:themeTint="F2"/>
        </w:rPr>
        <w:lastRenderedPageBreak/>
        <w:t>金托管人、基金份额持有人依法召集基金份额持有人大会；</w:t>
      </w:r>
    </w:p>
    <w:p w14:paraId="3160D46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16</w:t>
      </w:r>
      <w:r w:rsidRPr="00B56A57">
        <w:rPr>
          <w:rFonts w:asciiTheme="minorEastAsia" w:hAnsiTheme="minorEastAsia" w:hint="eastAsia"/>
          <w:color w:val="0D0D0D" w:themeColor="text1" w:themeTint="F2"/>
        </w:rPr>
        <w:t>）按规定保存基金财产管理业务活动的会计账册、报表、记录和其他相关资料，保存期限不低于法律法规规定的最低期限；</w:t>
      </w:r>
    </w:p>
    <w:p w14:paraId="6AC0680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17</w:t>
      </w:r>
      <w:r w:rsidRPr="00B56A57">
        <w:rPr>
          <w:rFonts w:asciiTheme="minorEastAsia" w:hAnsiTheme="minorEastAsia" w:hint="eastAsia"/>
          <w:color w:val="0D0D0D" w:themeColor="text1" w:themeTint="F2"/>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2649A4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18</w:t>
      </w:r>
      <w:r w:rsidRPr="00B56A57">
        <w:rPr>
          <w:rFonts w:asciiTheme="minorEastAsia" w:hAnsiTheme="minorEastAsia" w:hint="eastAsia"/>
          <w:color w:val="0D0D0D" w:themeColor="text1" w:themeTint="F2"/>
        </w:rPr>
        <w:t>）组织并参加基金财产清算小组</w:t>
      </w:r>
      <w:r w:rsidRPr="00B56A57">
        <w:rPr>
          <w:rFonts w:asciiTheme="minorEastAsia" w:eastAsiaTheme="minorEastAsia" w:hAnsiTheme="minorEastAsia" w:cs="Arial" w:hint="eastAsia"/>
          <w:color w:val="0D0D0D" w:themeColor="text1" w:themeTint="F2"/>
          <w:szCs w:val="21"/>
        </w:rPr>
        <w:t>，</w:t>
      </w:r>
      <w:r w:rsidRPr="00B56A57">
        <w:rPr>
          <w:rFonts w:asciiTheme="minorEastAsia" w:hAnsiTheme="minorEastAsia" w:hint="eastAsia"/>
          <w:color w:val="0D0D0D" w:themeColor="text1" w:themeTint="F2"/>
        </w:rPr>
        <w:t>参与基金财产的保管、清理、估价、变现和分配；</w:t>
      </w:r>
    </w:p>
    <w:p w14:paraId="187EA02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19</w:t>
      </w:r>
      <w:r w:rsidRPr="00B56A57">
        <w:rPr>
          <w:rFonts w:asciiTheme="minorEastAsia" w:hAnsiTheme="minorEastAsia" w:hint="eastAsia"/>
          <w:color w:val="0D0D0D" w:themeColor="text1" w:themeTint="F2"/>
        </w:rPr>
        <w:t>）面临解散、依法被撤销或者被依法宣告破产时，及时报告中国证监会并通知基金托管人；</w:t>
      </w:r>
    </w:p>
    <w:p w14:paraId="4CD2F1C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20</w:t>
      </w:r>
      <w:r w:rsidRPr="00B56A57">
        <w:rPr>
          <w:rFonts w:asciiTheme="minorEastAsia" w:hAnsiTheme="minorEastAsia" w:hint="eastAsia"/>
          <w:color w:val="0D0D0D" w:themeColor="text1" w:themeTint="F2"/>
        </w:rPr>
        <w:t>）因违反《基金合同》导致基金财产的损失或损害基金份额持有人合法权益时，应当承担赔偿责任，其赔偿责任不因其退任而免除；</w:t>
      </w:r>
    </w:p>
    <w:p w14:paraId="5392319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21</w:t>
      </w:r>
      <w:r w:rsidRPr="00B56A57">
        <w:rPr>
          <w:rFonts w:asciiTheme="minorEastAsia" w:hAnsiTheme="minorEastAsia" w:hint="eastAsia"/>
          <w:color w:val="0D0D0D" w:themeColor="text1" w:themeTint="F2"/>
        </w:rPr>
        <w:t>）监督基金托管人按法律法规和《基金合同》规定履行自己的义务，基金托管人违反《基金合同》造成基金财产损失时，基金管理人应为基金份额持有人利益向基金托管人追偿；</w:t>
      </w:r>
    </w:p>
    <w:p w14:paraId="2A844C1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22</w:t>
      </w:r>
      <w:r w:rsidRPr="00B56A57">
        <w:rPr>
          <w:rFonts w:asciiTheme="minorEastAsia" w:hAnsiTheme="minorEastAsia" w:hint="eastAsia"/>
          <w:color w:val="0D0D0D" w:themeColor="text1" w:themeTint="F2"/>
        </w:rPr>
        <w:t>）当基金管理人将其义务委托第三方处理时，应当对第三方处理有关基金事务的行为承担责任；</w:t>
      </w:r>
    </w:p>
    <w:p w14:paraId="3067BB9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23</w:t>
      </w:r>
      <w:r w:rsidRPr="00B56A57">
        <w:rPr>
          <w:rFonts w:asciiTheme="minorEastAsia" w:hAnsiTheme="minorEastAsia" w:hint="eastAsia"/>
          <w:color w:val="0D0D0D" w:themeColor="text1" w:themeTint="F2"/>
        </w:rPr>
        <w:t>）以基金管理人名义，代表基金份额持有人利益行使诉讼权利或实施其他法律行为；</w:t>
      </w:r>
    </w:p>
    <w:p w14:paraId="169544CA"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24）基金管理人在募集期间未能达到基金</w:t>
      </w:r>
      <w:bookmarkStart w:id="200" w:name="_Hlt88823209"/>
      <w:bookmarkEnd w:id="200"/>
      <w:r w:rsidRPr="00B56A57">
        <w:rPr>
          <w:rFonts w:asciiTheme="minorEastAsia" w:hAnsiTheme="minorEastAsia" w:hint="eastAsia"/>
        </w:rPr>
        <w:t>的备案条件，《基金合同》不能生效，基金管理人承担全部募集费用，将已募集资金并加计银行同期</w:t>
      </w:r>
      <w:r w:rsidRPr="00B56A57">
        <w:rPr>
          <w:rFonts w:asciiTheme="minorEastAsia" w:eastAsiaTheme="minorEastAsia" w:hAnsiTheme="minorEastAsia" w:hint="eastAsia"/>
          <w:szCs w:val="21"/>
        </w:rPr>
        <w:t>活期存款</w:t>
      </w:r>
      <w:r w:rsidRPr="00B56A57">
        <w:rPr>
          <w:rFonts w:asciiTheme="minorEastAsia" w:hAnsiTheme="minorEastAsia" w:hint="eastAsia"/>
        </w:rPr>
        <w:t>利息在基金募集期结束后</w:t>
      </w:r>
      <w:r w:rsidRPr="00B56A57">
        <w:rPr>
          <w:rFonts w:asciiTheme="minorEastAsia" w:hAnsiTheme="minorEastAsia"/>
        </w:rPr>
        <w:t>30</w:t>
      </w:r>
      <w:r w:rsidRPr="00B56A57">
        <w:rPr>
          <w:rFonts w:asciiTheme="minorEastAsia" w:hAnsiTheme="minorEastAsia" w:hint="eastAsia"/>
        </w:rPr>
        <w:t>日内退还基金认购人；</w:t>
      </w:r>
    </w:p>
    <w:p w14:paraId="777CA92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25</w:t>
      </w:r>
      <w:r w:rsidRPr="00B56A57">
        <w:rPr>
          <w:rFonts w:asciiTheme="minorEastAsia" w:hAnsiTheme="minorEastAsia" w:hint="eastAsia"/>
          <w:color w:val="0D0D0D" w:themeColor="text1" w:themeTint="F2"/>
        </w:rPr>
        <w:t>）执行生效的基金份额持有人大会的决议；</w:t>
      </w:r>
    </w:p>
    <w:p w14:paraId="04736BE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26</w:t>
      </w:r>
      <w:r w:rsidRPr="00B56A57">
        <w:rPr>
          <w:rFonts w:asciiTheme="minorEastAsia" w:hAnsiTheme="minorEastAsia" w:hint="eastAsia"/>
          <w:color w:val="0D0D0D" w:themeColor="text1" w:themeTint="F2"/>
        </w:rPr>
        <w:t>）建立并保存基金份额持有人名册；</w:t>
      </w:r>
    </w:p>
    <w:p w14:paraId="5B006D0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27</w:t>
      </w:r>
      <w:r w:rsidRPr="00B56A57">
        <w:rPr>
          <w:rFonts w:asciiTheme="minorEastAsia" w:hAnsiTheme="minorEastAsia" w:hint="eastAsia"/>
          <w:color w:val="0D0D0D" w:themeColor="text1" w:themeTint="F2"/>
        </w:rPr>
        <w:t>）法律法规及中国证监会规定的和《基金合同》约定的其他义务。</w:t>
      </w:r>
    </w:p>
    <w:p w14:paraId="3A6401D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01" w:name="_Toc15118238"/>
      <w:bookmarkStart w:id="202" w:name="_Toc57530240"/>
      <w:bookmarkStart w:id="203" w:name="_Toc79392581"/>
      <w:r w:rsidRPr="00B56A57">
        <w:rPr>
          <w:rFonts w:asciiTheme="minorEastAsia" w:hAnsiTheme="minorEastAsia" w:hint="eastAsia"/>
          <w:color w:val="0D0D0D" w:themeColor="text1" w:themeTint="F2"/>
        </w:rPr>
        <w:t>二、基金托管人</w:t>
      </w:r>
      <w:bookmarkEnd w:id="198"/>
      <w:bookmarkEnd w:id="201"/>
      <w:bookmarkEnd w:id="202"/>
      <w:bookmarkEnd w:id="203"/>
    </w:p>
    <w:p w14:paraId="29A7231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04" w:name="_Toc15118239"/>
      <w:r w:rsidRPr="00B56A57">
        <w:rPr>
          <w:rFonts w:asciiTheme="minorEastAsia" w:hAnsiTheme="minorEastAsia" w:hint="eastAsia"/>
          <w:color w:val="0D0D0D" w:themeColor="text1" w:themeTint="F2"/>
        </w:rPr>
        <w:t>（一）</w:t>
      </w:r>
      <w:r w:rsidRPr="00B56A57">
        <w:rPr>
          <w:rFonts w:asciiTheme="minorEastAsia" w:hAnsiTheme="minorEastAsia"/>
          <w:color w:val="0D0D0D" w:themeColor="text1" w:themeTint="F2"/>
        </w:rPr>
        <w:tab/>
      </w:r>
      <w:r w:rsidRPr="00B56A57">
        <w:rPr>
          <w:rFonts w:asciiTheme="minorEastAsia" w:hAnsiTheme="minorEastAsia" w:hint="eastAsia"/>
          <w:color w:val="0D0D0D" w:themeColor="text1" w:themeTint="F2"/>
        </w:rPr>
        <w:t>基金托管人简况</w:t>
      </w:r>
      <w:bookmarkEnd w:id="204"/>
    </w:p>
    <w:p w14:paraId="0BFB0E7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05" w:name="_Toc15118240"/>
      <w:r w:rsidRPr="00B56A57">
        <w:rPr>
          <w:rFonts w:asciiTheme="minorEastAsia" w:hAnsiTheme="minorEastAsia" w:hint="eastAsia"/>
          <w:color w:val="0D0D0D" w:themeColor="text1" w:themeTint="F2"/>
        </w:rPr>
        <w:t>名称：平安银行股份有限公司</w:t>
      </w:r>
    </w:p>
    <w:p w14:paraId="3966B98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住所：深圳市罗湖区深南东路</w:t>
      </w:r>
      <w:r w:rsidRPr="00B56A57">
        <w:rPr>
          <w:rFonts w:asciiTheme="minorEastAsia" w:hAnsiTheme="minorEastAsia"/>
          <w:color w:val="0D0D0D" w:themeColor="text1" w:themeTint="F2"/>
        </w:rPr>
        <w:t>5047号</w:t>
      </w:r>
    </w:p>
    <w:p w14:paraId="34E8692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法定代表人：谢永林</w:t>
      </w:r>
      <w:r w:rsidRPr="00B56A57">
        <w:rPr>
          <w:rFonts w:asciiTheme="minorEastAsia" w:hAnsiTheme="minorEastAsia"/>
          <w:color w:val="0D0D0D" w:themeColor="text1" w:themeTint="F2"/>
        </w:rPr>
        <w:t xml:space="preserve"> </w:t>
      </w:r>
    </w:p>
    <w:p w14:paraId="5315DED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成立时间：</w:t>
      </w:r>
      <w:r w:rsidRPr="00B56A57">
        <w:rPr>
          <w:rFonts w:asciiTheme="minorEastAsia" w:hAnsiTheme="minorEastAsia"/>
          <w:bCs/>
          <w:color w:val="0D0D0D" w:themeColor="text1" w:themeTint="F2"/>
        </w:rPr>
        <w:t>1987年12月22日</w:t>
      </w:r>
    </w:p>
    <w:p w14:paraId="0912E5B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组织形式：股份有限公司</w:t>
      </w:r>
    </w:p>
    <w:p w14:paraId="3503E19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注册资本：</w:t>
      </w:r>
      <w:r w:rsidRPr="00B56A57">
        <w:rPr>
          <w:rFonts w:asciiTheme="minorEastAsia" w:hAnsiTheme="minorEastAsia"/>
          <w:color w:val="0D0D0D" w:themeColor="text1" w:themeTint="F2"/>
        </w:rPr>
        <w:t>19,405,918,198元</w:t>
      </w:r>
      <w:r w:rsidRPr="00B56A57">
        <w:rPr>
          <w:rFonts w:asciiTheme="minorEastAsia" w:hAnsiTheme="minorEastAsia" w:hint="eastAsia"/>
          <w:color w:val="0D0D0D" w:themeColor="text1" w:themeTint="F2"/>
        </w:rPr>
        <w:t>人民币</w:t>
      </w:r>
    </w:p>
    <w:p w14:paraId="70F15F1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存续期限：持续经营</w:t>
      </w:r>
    </w:p>
    <w:p w14:paraId="76D94F3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基金托管资格批准机关及批准文号：中国证监会证监许可</w:t>
      </w:r>
      <w:r w:rsidRPr="00B56A57">
        <w:rPr>
          <w:rFonts w:asciiTheme="minorEastAsia" w:hAnsiTheme="minorEastAsia"/>
          <w:color w:val="0D0D0D" w:themeColor="text1" w:themeTint="F2"/>
        </w:rPr>
        <w:t>[2008]1037号</w:t>
      </w:r>
    </w:p>
    <w:p w14:paraId="09C0DFC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（二）</w:t>
      </w:r>
      <w:r w:rsidRPr="00B56A57">
        <w:rPr>
          <w:rFonts w:asciiTheme="minorEastAsia" w:hAnsiTheme="minorEastAsia"/>
          <w:color w:val="0D0D0D" w:themeColor="text1" w:themeTint="F2"/>
        </w:rPr>
        <w:tab/>
      </w:r>
      <w:r w:rsidRPr="00B56A57">
        <w:rPr>
          <w:rFonts w:asciiTheme="minorEastAsia" w:hAnsiTheme="minorEastAsia" w:hint="eastAsia"/>
          <w:color w:val="0D0D0D" w:themeColor="text1" w:themeTint="F2"/>
        </w:rPr>
        <w:t>基金托管人的权利与义务</w:t>
      </w:r>
      <w:bookmarkEnd w:id="205"/>
    </w:p>
    <w:p w14:paraId="475687D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lastRenderedPageBreak/>
        <w:t>1</w:t>
      </w:r>
      <w:r w:rsidRPr="00B56A57">
        <w:rPr>
          <w:rFonts w:asciiTheme="minorEastAsia" w:hAnsiTheme="minorEastAsia" w:hint="eastAsia"/>
          <w:color w:val="0D0D0D" w:themeColor="text1" w:themeTint="F2"/>
        </w:rPr>
        <w:t>、根据《基金法》、《运作办法》及其他有关规定，基金托管人的权利包括但不限于：</w:t>
      </w:r>
    </w:p>
    <w:p w14:paraId="5DA5870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）自《基金合同》生效之日起，依法律法规和《基金合同》的规定安全保管基金财产；</w:t>
      </w:r>
    </w:p>
    <w:p w14:paraId="3239645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）依《基金合同》约定获得基金托管费以及法律法规规定或监管部门批准的其他费用；</w:t>
      </w:r>
    </w:p>
    <w:p w14:paraId="5ECC41A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CFFF69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）根据相关市场规则，为基金开设</w:t>
      </w:r>
      <w:r w:rsidRPr="00B56A57">
        <w:rPr>
          <w:rFonts w:asciiTheme="minorEastAsia" w:eastAsiaTheme="minorEastAsia" w:hAnsiTheme="minorEastAsia" w:cs="Arial" w:hint="eastAsia"/>
          <w:color w:val="0D0D0D" w:themeColor="text1" w:themeTint="F2"/>
          <w:szCs w:val="21"/>
        </w:rPr>
        <w:t>资金账户、</w:t>
      </w:r>
      <w:r w:rsidRPr="00B56A57">
        <w:rPr>
          <w:rFonts w:asciiTheme="minorEastAsia" w:hAnsiTheme="minorEastAsia" w:hint="eastAsia"/>
          <w:color w:val="0D0D0D" w:themeColor="text1" w:themeTint="F2"/>
        </w:rPr>
        <w:t>证券账户等投资所需账户</w:t>
      </w:r>
      <w:r w:rsidRPr="00B56A57">
        <w:rPr>
          <w:rFonts w:asciiTheme="minorEastAsia" w:eastAsiaTheme="minorEastAsia" w:hAnsiTheme="minorEastAsia" w:cs="Arial" w:hint="eastAsia"/>
          <w:color w:val="0D0D0D" w:themeColor="text1" w:themeTint="F2"/>
          <w:szCs w:val="21"/>
        </w:rPr>
        <w:t>，</w:t>
      </w:r>
      <w:r w:rsidRPr="00B56A57">
        <w:rPr>
          <w:rFonts w:asciiTheme="minorEastAsia" w:hAnsiTheme="minorEastAsia" w:hint="eastAsia"/>
          <w:color w:val="0D0D0D" w:themeColor="text1" w:themeTint="F2"/>
        </w:rPr>
        <w:t>为基金办理证券交易资金清算</w:t>
      </w:r>
      <w:r w:rsidRPr="00B56A57">
        <w:rPr>
          <w:rFonts w:asciiTheme="minorEastAsia" w:eastAsiaTheme="minorEastAsia" w:hAnsiTheme="minorEastAsia" w:cs="Arial" w:hint="eastAsia"/>
          <w:color w:val="0D0D0D" w:themeColor="text1" w:themeTint="F2"/>
          <w:szCs w:val="21"/>
        </w:rPr>
        <w:t>；</w:t>
      </w:r>
    </w:p>
    <w:p w14:paraId="62A3E4E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）提议召开或召集基金份额持有人大会；</w:t>
      </w:r>
    </w:p>
    <w:p w14:paraId="4491814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）在基金管理人更换时，提名新的基金管理人；</w:t>
      </w:r>
    </w:p>
    <w:p w14:paraId="1D1886D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）法律法规及中国证监会规定的和《基金合同》约定的其他权利。</w:t>
      </w:r>
    </w:p>
    <w:p w14:paraId="50F8982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、根据《基金法》、《运作办法》及其他有关规定，基金托管人的义务包括但不限于：</w:t>
      </w:r>
    </w:p>
    <w:p w14:paraId="6BF0F72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）以诚实信用、勤勉尽责的原则持有并安全保管基金财产；</w:t>
      </w:r>
    </w:p>
    <w:p w14:paraId="1646E38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）设立专门的基金托管部门，具有符合要求的营业场所，配备足够的、合格的熟悉基金托管业务的专职人员，负责基金财产托管事宜；</w:t>
      </w:r>
    </w:p>
    <w:p w14:paraId="38942AE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73DDC5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）除依据《基金法》、《基金合同》及其他有关规定外，不得利用基金财产为自己及任何第三人谋取利益，不得委托第三人托管基金财产；</w:t>
      </w:r>
    </w:p>
    <w:p w14:paraId="0B3AF74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）保管由基金管理人代表基金签订的与基金有关的重大合同及有关凭证；</w:t>
      </w:r>
    </w:p>
    <w:p w14:paraId="702E554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）按规定开设基金财产的资金账户和证券账户等投资所需账户</w:t>
      </w:r>
      <w:r w:rsidRPr="00B56A57">
        <w:rPr>
          <w:rFonts w:asciiTheme="minorEastAsia" w:eastAsiaTheme="minorEastAsia" w:hAnsiTheme="minorEastAsia" w:cs="Arial" w:hint="eastAsia"/>
          <w:color w:val="0D0D0D" w:themeColor="text1" w:themeTint="F2"/>
          <w:szCs w:val="21"/>
        </w:rPr>
        <w:t>，</w:t>
      </w:r>
      <w:r w:rsidRPr="00B56A57">
        <w:rPr>
          <w:rFonts w:asciiTheme="minorEastAsia" w:hAnsiTheme="minorEastAsia" w:hint="eastAsia"/>
          <w:color w:val="0D0D0D" w:themeColor="text1" w:themeTint="F2"/>
        </w:rPr>
        <w:t>按照《基金合同》的约定，根据基金管理人的投资指令，及时办理清算、交割事宜；</w:t>
      </w:r>
    </w:p>
    <w:p w14:paraId="3C8AA53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）保守基金商业秘密，除《基金法》、《基金合同》及其他有关规定另有规定外，在基金信息公开披露前予以保密，不得向他人泄露，向审计、法律等外部专业顾问提供的情况除外；</w:t>
      </w:r>
    </w:p>
    <w:p w14:paraId="2DF104C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8</w:t>
      </w:r>
      <w:r w:rsidRPr="00B56A57">
        <w:rPr>
          <w:rFonts w:asciiTheme="minorEastAsia" w:hAnsiTheme="minorEastAsia" w:hint="eastAsia"/>
          <w:color w:val="0D0D0D" w:themeColor="text1" w:themeTint="F2"/>
        </w:rPr>
        <w:t>）复核、审查基金管理人计算的基金资产净值、基金份额净值、基金份额申购、赎回</w:t>
      </w:r>
      <w:r w:rsidRPr="00B56A57">
        <w:rPr>
          <w:rFonts w:asciiTheme="minorEastAsia" w:eastAsiaTheme="minorEastAsia" w:hAnsiTheme="minorEastAsia" w:cs="Arial" w:hint="eastAsia"/>
          <w:color w:val="0D0D0D" w:themeColor="text1" w:themeTint="F2"/>
          <w:szCs w:val="21"/>
        </w:rPr>
        <w:t>对价</w:t>
      </w:r>
      <w:r w:rsidRPr="00B56A57">
        <w:rPr>
          <w:rFonts w:asciiTheme="minorEastAsia" w:hAnsiTheme="minorEastAsia" w:hint="eastAsia"/>
          <w:color w:val="0D0D0D" w:themeColor="text1" w:themeTint="F2"/>
        </w:rPr>
        <w:t>；</w:t>
      </w:r>
    </w:p>
    <w:p w14:paraId="1250F8F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9</w:t>
      </w:r>
      <w:r w:rsidRPr="00B56A57">
        <w:rPr>
          <w:rFonts w:asciiTheme="minorEastAsia" w:hAnsiTheme="minorEastAsia" w:hint="eastAsia"/>
          <w:color w:val="0D0D0D" w:themeColor="text1" w:themeTint="F2"/>
        </w:rPr>
        <w:t>）办理与基金托管业务活动有关的信息披露事项；</w:t>
      </w:r>
    </w:p>
    <w:p w14:paraId="476B2DA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）对基金财务会计报告、季度报告、中期报告和年度报告出具意见，说明基金管理人在各重要方面的运作是否严格按照《基金合同》的规定进行；如果基金管理人有未执行《基</w:t>
      </w:r>
      <w:r w:rsidRPr="00B56A57">
        <w:rPr>
          <w:rFonts w:asciiTheme="minorEastAsia" w:hAnsiTheme="minorEastAsia" w:hint="eastAsia"/>
          <w:color w:val="0D0D0D" w:themeColor="text1" w:themeTint="F2"/>
        </w:rPr>
        <w:lastRenderedPageBreak/>
        <w:t>金合同》规定的行为，还应当说明基金托管人是否采取了适当的措施；</w:t>
      </w:r>
    </w:p>
    <w:p w14:paraId="75C38CC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11</w:t>
      </w:r>
      <w:r w:rsidRPr="00B56A57">
        <w:rPr>
          <w:rFonts w:asciiTheme="minorEastAsia" w:hAnsiTheme="minorEastAsia" w:hint="eastAsia"/>
          <w:color w:val="0D0D0D" w:themeColor="text1" w:themeTint="F2"/>
        </w:rPr>
        <w:t>）保存基金托管业务活动的记录、账册、报表和其他相关资料</w:t>
      </w:r>
      <w:r w:rsidRPr="00B56A57">
        <w:rPr>
          <w:rFonts w:asciiTheme="minorEastAsia" w:hAnsiTheme="minorEastAsia"/>
          <w:color w:val="0D0D0D" w:themeColor="text1" w:themeTint="F2"/>
        </w:rPr>
        <w:t>20年以上，法律法规或监管规则另有规定的从其规定；</w:t>
      </w:r>
    </w:p>
    <w:p w14:paraId="69FB923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12</w:t>
      </w:r>
      <w:r w:rsidRPr="00B56A57">
        <w:rPr>
          <w:rFonts w:asciiTheme="minorEastAsia" w:hAnsiTheme="minorEastAsia" w:hint="eastAsia"/>
          <w:color w:val="0D0D0D" w:themeColor="text1" w:themeTint="F2"/>
        </w:rPr>
        <w:t>）从基金管理人或其委托的登记机构处接收并保存基金份额持有人名册；</w:t>
      </w:r>
    </w:p>
    <w:p w14:paraId="73253A8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13</w:t>
      </w:r>
      <w:r w:rsidRPr="00B56A57">
        <w:rPr>
          <w:rFonts w:asciiTheme="minorEastAsia" w:hAnsiTheme="minorEastAsia" w:hint="eastAsia"/>
          <w:color w:val="0D0D0D" w:themeColor="text1" w:themeTint="F2"/>
        </w:rPr>
        <w:t>）按规定制作相关账册并与基金管理人核对；</w:t>
      </w:r>
    </w:p>
    <w:p w14:paraId="7643DC4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14</w:t>
      </w:r>
      <w:r w:rsidRPr="00B56A57">
        <w:rPr>
          <w:rFonts w:asciiTheme="minorEastAsia" w:hAnsiTheme="minorEastAsia" w:hint="eastAsia"/>
          <w:color w:val="0D0D0D" w:themeColor="text1" w:themeTint="F2"/>
        </w:rPr>
        <w:t>）依据基金管理人的指令或有关规定向基金份额持有人支付基金收益和赎回</w:t>
      </w:r>
      <w:r w:rsidRPr="00B56A57">
        <w:rPr>
          <w:rFonts w:asciiTheme="minorEastAsia" w:eastAsiaTheme="minorEastAsia" w:hAnsiTheme="minorEastAsia" w:cs="Arial" w:hint="eastAsia"/>
          <w:color w:val="0D0D0D" w:themeColor="text1" w:themeTint="F2"/>
          <w:szCs w:val="21"/>
        </w:rPr>
        <w:t>对价的现金部分</w:t>
      </w:r>
      <w:r w:rsidRPr="00B56A57">
        <w:rPr>
          <w:rFonts w:asciiTheme="minorEastAsia" w:hAnsiTheme="minorEastAsia" w:hint="eastAsia"/>
          <w:color w:val="0D0D0D" w:themeColor="text1" w:themeTint="F2"/>
        </w:rPr>
        <w:t>；</w:t>
      </w:r>
    </w:p>
    <w:p w14:paraId="2466A4A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15</w:t>
      </w:r>
      <w:r w:rsidRPr="00B56A57">
        <w:rPr>
          <w:rFonts w:asciiTheme="minorEastAsia" w:hAnsiTheme="minorEastAsia" w:hint="eastAsia"/>
          <w:color w:val="0D0D0D" w:themeColor="text1" w:themeTint="F2"/>
        </w:rPr>
        <w:t>）依据《基金法》、《基金合同》及其他有关规定，召集基金份额持有人大会或配合基金</w:t>
      </w:r>
      <w:r w:rsidRPr="00B56A57">
        <w:rPr>
          <w:rFonts w:asciiTheme="minorEastAsia" w:eastAsiaTheme="minorEastAsia" w:hAnsiTheme="minorEastAsia" w:cs="Arial" w:hint="eastAsia"/>
          <w:color w:val="0D0D0D" w:themeColor="text1" w:themeTint="F2"/>
          <w:szCs w:val="21"/>
        </w:rPr>
        <w:t>管理人、</w:t>
      </w:r>
      <w:r w:rsidRPr="00B56A57">
        <w:rPr>
          <w:rFonts w:asciiTheme="minorEastAsia" w:eastAsiaTheme="minorEastAsia" w:hAnsiTheme="minorEastAsia" w:hint="eastAsia"/>
          <w:color w:val="0D0D0D" w:themeColor="text1" w:themeTint="F2"/>
        </w:rPr>
        <w:t>基金</w:t>
      </w:r>
      <w:r w:rsidRPr="00B56A57">
        <w:rPr>
          <w:rFonts w:asciiTheme="minorEastAsia" w:hAnsiTheme="minorEastAsia" w:hint="eastAsia"/>
          <w:color w:val="0D0D0D" w:themeColor="text1" w:themeTint="F2"/>
        </w:rPr>
        <w:t>份额持有人依法召集基金份额持有人大会；</w:t>
      </w:r>
    </w:p>
    <w:p w14:paraId="10C857B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16</w:t>
      </w:r>
      <w:r w:rsidRPr="00B56A57">
        <w:rPr>
          <w:rFonts w:asciiTheme="minorEastAsia" w:hAnsiTheme="minorEastAsia" w:hint="eastAsia"/>
          <w:color w:val="0D0D0D" w:themeColor="text1" w:themeTint="F2"/>
        </w:rPr>
        <w:t>）按照法律法规和《基金合同》和托管协议的规定监督基金管理人的投资运作；</w:t>
      </w:r>
    </w:p>
    <w:p w14:paraId="70D8E8C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17</w:t>
      </w:r>
      <w:r w:rsidRPr="00B56A57">
        <w:rPr>
          <w:rFonts w:asciiTheme="minorEastAsia" w:hAnsiTheme="minorEastAsia" w:hint="eastAsia"/>
          <w:color w:val="0D0D0D" w:themeColor="text1" w:themeTint="F2"/>
        </w:rPr>
        <w:t>）参加基金财产清算小组，参与基金财产的保管、清理、估价、变现和分配；</w:t>
      </w:r>
    </w:p>
    <w:p w14:paraId="4C67256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18</w:t>
      </w:r>
      <w:r w:rsidRPr="00B56A57">
        <w:rPr>
          <w:rFonts w:asciiTheme="minorEastAsia" w:hAnsiTheme="minorEastAsia" w:hint="eastAsia"/>
          <w:color w:val="0D0D0D" w:themeColor="text1" w:themeTint="F2"/>
        </w:rPr>
        <w:t>）面临解散、依法被撤销或者被依法宣告破产时，及时报告中国证监会和银行业监督管理机构，并通知基金管理人；</w:t>
      </w:r>
    </w:p>
    <w:p w14:paraId="2C13F90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19</w:t>
      </w:r>
      <w:r w:rsidRPr="00B56A57">
        <w:rPr>
          <w:rFonts w:asciiTheme="minorEastAsia" w:hAnsiTheme="minorEastAsia" w:hint="eastAsia"/>
          <w:color w:val="0D0D0D" w:themeColor="text1" w:themeTint="F2"/>
        </w:rPr>
        <w:t>）因违反《基金合同》导致基金财产损失时，应承担赔偿责任，其赔偿责任不因其退任而免除；</w:t>
      </w:r>
    </w:p>
    <w:p w14:paraId="1544618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20</w:t>
      </w:r>
      <w:r w:rsidRPr="00B56A57">
        <w:rPr>
          <w:rFonts w:asciiTheme="minorEastAsia" w:hAnsiTheme="minorEastAsia" w:hint="eastAsia"/>
          <w:color w:val="0D0D0D" w:themeColor="text1" w:themeTint="F2"/>
        </w:rPr>
        <w:t>）按规定监督基金管理人按法律法规和《基金合同》规定履行自己的义务，基金管理人因违反《基金合同》造成基金财产损失时，应为基金份额持有人利益向基金管理人追偿</w:t>
      </w:r>
      <w:bookmarkStart w:id="206" w:name="_Hlt88825668"/>
      <w:bookmarkEnd w:id="206"/>
      <w:r w:rsidRPr="00B56A57">
        <w:rPr>
          <w:rFonts w:asciiTheme="minorEastAsia" w:hAnsiTheme="minorEastAsia" w:hint="eastAsia"/>
          <w:color w:val="0D0D0D" w:themeColor="text1" w:themeTint="F2"/>
        </w:rPr>
        <w:t>；</w:t>
      </w:r>
    </w:p>
    <w:p w14:paraId="7B5D1F9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21</w:t>
      </w:r>
      <w:r w:rsidRPr="00B56A57">
        <w:rPr>
          <w:rFonts w:asciiTheme="minorEastAsia" w:hAnsiTheme="minorEastAsia" w:hint="eastAsia"/>
          <w:color w:val="0D0D0D" w:themeColor="text1" w:themeTint="F2"/>
        </w:rPr>
        <w:t>）执行生效的基金份额持有人大会的</w:t>
      </w:r>
      <w:r w:rsidRPr="00B56A57">
        <w:rPr>
          <w:rFonts w:asciiTheme="minorEastAsia" w:eastAsiaTheme="minorEastAsia" w:hAnsiTheme="minorEastAsia" w:cs="Arial" w:hint="eastAsia"/>
          <w:color w:val="0D0D0D" w:themeColor="text1" w:themeTint="F2"/>
          <w:szCs w:val="21"/>
        </w:rPr>
        <w:t>决议</w:t>
      </w:r>
      <w:r w:rsidRPr="00B56A57">
        <w:rPr>
          <w:rFonts w:asciiTheme="minorEastAsia" w:hAnsiTheme="minorEastAsia" w:hint="eastAsia"/>
          <w:color w:val="0D0D0D" w:themeColor="text1" w:themeTint="F2"/>
        </w:rPr>
        <w:t>；</w:t>
      </w:r>
    </w:p>
    <w:p w14:paraId="3E912D7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22</w:t>
      </w:r>
      <w:r w:rsidRPr="00B56A57">
        <w:rPr>
          <w:rFonts w:asciiTheme="minorEastAsia" w:hAnsiTheme="minorEastAsia" w:hint="eastAsia"/>
          <w:color w:val="0D0D0D" w:themeColor="text1" w:themeTint="F2"/>
        </w:rPr>
        <w:t>）</w:t>
      </w:r>
      <w:bookmarkStart w:id="207" w:name="_Toc523711670"/>
      <w:r w:rsidRPr="00B56A57">
        <w:rPr>
          <w:rFonts w:asciiTheme="minorEastAsia" w:hAnsiTheme="minorEastAsia" w:hint="eastAsia"/>
          <w:color w:val="0D0D0D" w:themeColor="text1" w:themeTint="F2"/>
        </w:rPr>
        <w:t>法律法规及中国证监会规定的和《基金合同》约定的其他义务。</w:t>
      </w:r>
    </w:p>
    <w:p w14:paraId="6289C07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08" w:name="_Toc79392582"/>
      <w:bookmarkEnd w:id="207"/>
      <w:r w:rsidRPr="00B56A57">
        <w:rPr>
          <w:rFonts w:asciiTheme="minorEastAsia" w:hAnsiTheme="minorEastAsia" w:hint="eastAsia"/>
          <w:color w:val="0D0D0D" w:themeColor="text1" w:themeTint="F2"/>
        </w:rPr>
        <w:t>三、基金份额持有人</w:t>
      </w:r>
      <w:bookmarkEnd w:id="208"/>
    </w:p>
    <w:p w14:paraId="59A867D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基金投资者持有本基金</w:t>
      </w:r>
      <w:bookmarkStart w:id="209" w:name="_Hlt88899909"/>
      <w:bookmarkEnd w:id="209"/>
      <w:r w:rsidRPr="00B56A57">
        <w:rPr>
          <w:rFonts w:asciiTheme="minorEastAsia" w:hAnsiTheme="minorEastAsia" w:hint="eastAsia"/>
          <w:color w:val="0D0D0D" w:themeColor="text1" w:themeTint="F2"/>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CA4BD8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每份基金份额具有同等的合法权益。</w:t>
      </w:r>
    </w:p>
    <w:p w14:paraId="4707F21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、根据《基金法》、《运作办法》及其他有关规定，基金份额持有人的权利包括但不限于：</w:t>
      </w:r>
    </w:p>
    <w:p w14:paraId="16DFDEA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）分享基金财产收益；</w:t>
      </w:r>
    </w:p>
    <w:p w14:paraId="256CCB1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）参与分配清算后的剩余基金财产；</w:t>
      </w:r>
      <w:bookmarkStart w:id="210" w:name="_Hlt88825574"/>
      <w:bookmarkEnd w:id="210"/>
    </w:p>
    <w:p w14:paraId="59B8DE5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）依法转让或者申请赎回其持有的基金份额；</w:t>
      </w:r>
    </w:p>
    <w:p w14:paraId="2436A26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）按照规定要求召开基金份额持有人大会或者召集基金份额持有人大会；</w:t>
      </w:r>
    </w:p>
    <w:p w14:paraId="5F00E10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）出席或者委派代表出席基金份额持有人大会，对基金份额持有人大会审议事项行使表决权；</w:t>
      </w:r>
    </w:p>
    <w:p w14:paraId="3FC55EF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）查阅或者复制公开披露的基金信息资料；</w:t>
      </w:r>
    </w:p>
    <w:p w14:paraId="11D94E5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lastRenderedPageBreak/>
        <w:t>（</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）监督基金管理人的投资运作；</w:t>
      </w:r>
    </w:p>
    <w:p w14:paraId="589F88A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8</w:t>
      </w:r>
      <w:r w:rsidRPr="00B56A57">
        <w:rPr>
          <w:rFonts w:asciiTheme="minorEastAsia" w:hAnsiTheme="minorEastAsia" w:hint="eastAsia"/>
          <w:color w:val="0D0D0D" w:themeColor="text1" w:themeTint="F2"/>
        </w:rPr>
        <w:t>）对基金管理人、基金托管人、基金服务机构损害其合法权益的行为依法提起诉讼或仲裁；</w:t>
      </w:r>
    </w:p>
    <w:p w14:paraId="7B49F36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9</w:t>
      </w:r>
      <w:r w:rsidRPr="00B56A57">
        <w:rPr>
          <w:rFonts w:asciiTheme="minorEastAsia" w:hAnsiTheme="minorEastAsia" w:hint="eastAsia"/>
          <w:color w:val="0D0D0D" w:themeColor="text1" w:themeTint="F2"/>
        </w:rPr>
        <w:t>）法律法规及中国证监会规定的和《基金合同》约定的其他权利。</w:t>
      </w:r>
    </w:p>
    <w:p w14:paraId="5F0B07D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、根据《基金法》、《运作办法》及其他有关规定，基金份额持有人的义务包括但不限于：</w:t>
      </w:r>
    </w:p>
    <w:p w14:paraId="4537914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）认真阅读并遵守《基金合同》</w:t>
      </w: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s="Arial" w:hint="eastAsia"/>
          <w:color w:val="0D0D0D" w:themeColor="text1" w:themeTint="F2"/>
          <w:szCs w:val="21"/>
        </w:rPr>
        <w:t>招募说明书等信息披露文件</w:t>
      </w:r>
      <w:r w:rsidRPr="00B56A57">
        <w:rPr>
          <w:rFonts w:asciiTheme="minorEastAsia" w:hAnsiTheme="minorEastAsia" w:hint="eastAsia"/>
          <w:color w:val="0D0D0D" w:themeColor="text1" w:themeTint="F2"/>
        </w:rPr>
        <w:t>；</w:t>
      </w:r>
    </w:p>
    <w:p w14:paraId="7FCE0F8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）了解所投资基金产品，了解自身风险承受能力，自主判断基金的投资价值，自主做出投资决策，自行承担投资风险；</w:t>
      </w:r>
    </w:p>
    <w:p w14:paraId="1F36EF6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）关注基金信息披露，及时行使权利和履行义务；</w:t>
      </w:r>
    </w:p>
    <w:p w14:paraId="198C481F" w14:textId="77777777" w:rsidR="00217DCA" w:rsidRPr="00B56A57" w:rsidRDefault="006C7341">
      <w:pPr>
        <w:adjustRightInd w:val="0"/>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4）交纳基金认购</w:t>
      </w:r>
      <w:r w:rsidRPr="00B56A57">
        <w:rPr>
          <w:rFonts w:asciiTheme="minorEastAsia" w:eastAsiaTheme="minorEastAsia" w:hAnsiTheme="minorEastAsia" w:hint="eastAsia"/>
        </w:rPr>
        <w:t>款项</w:t>
      </w:r>
      <w:r w:rsidRPr="00B56A57">
        <w:rPr>
          <w:rFonts w:asciiTheme="minorEastAsia" w:hAnsiTheme="minorEastAsia" w:hint="eastAsia"/>
        </w:rPr>
        <w:t>、申购</w:t>
      </w:r>
      <w:r w:rsidRPr="00B56A57">
        <w:rPr>
          <w:rFonts w:asciiTheme="minorEastAsia" w:eastAsiaTheme="minorEastAsia" w:hAnsiTheme="minorEastAsia" w:hint="eastAsia"/>
        </w:rPr>
        <w:t>对价</w:t>
      </w:r>
      <w:r w:rsidRPr="00B56A57">
        <w:rPr>
          <w:rFonts w:asciiTheme="minorEastAsia" w:hAnsiTheme="minorEastAsia" w:hint="eastAsia"/>
        </w:rPr>
        <w:t>及法律法规和《基金合同》所规定的费用；</w:t>
      </w:r>
    </w:p>
    <w:p w14:paraId="35B79C1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）在其持有的基金份额范围内，承担基金亏损或者《基金合同》终止的有限责任；</w:t>
      </w:r>
    </w:p>
    <w:p w14:paraId="5FEBD52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）不从事任何有损基金及其他《基金合同》当事人合法权益的活动；</w:t>
      </w:r>
    </w:p>
    <w:p w14:paraId="755C245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）执行生效的基金份额持有人大会的</w:t>
      </w:r>
      <w:r w:rsidRPr="00B56A57">
        <w:rPr>
          <w:rFonts w:asciiTheme="minorEastAsia" w:eastAsiaTheme="minorEastAsia" w:hAnsiTheme="minorEastAsia" w:cs="Arial" w:hint="eastAsia"/>
          <w:color w:val="0D0D0D" w:themeColor="text1" w:themeTint="F2"/>
          <w:szCs w:val="21"/>
        </w:rPr>
        <w:t>决议</w:t>
      </w:r>
      <w:r w:rsidRPr="00B56A57">
        <w:rPr>
          <w:rFonts w:asciiTheme="minorEastAsia" w:hAnsiTheme="minorEastAsia" w:hint="eastAsia"/>
          <w:color w:val="0D0D0D" w:themeColor="text1" w:themeTint="F2"/>
        </w:rPr>
        <w:t>；</w:t>
      </w:r>
    </w:p>
    <w:p w14:paraId="6AEBC14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8</w:t>
      </w:r>
      <w:r w:rsidRPr="00B56A57">
        <w:rPr>
          <w:rFonts w:asciiTheme="minorEastAsia" w:hAnsiTheme="minorEastAsia" w:hint="eastAsia"/>
          <w:color w:val="0D0D0D" w:themeColor="text1" w:themeTint="F2"/>
        </w:rPr>
        <w:t>）返还在基金交易过程中因任何原因获得的不当得利；</w:t>
      </w:r>
    </w:p>
    <w:p w14:paraId="716385C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9</w:t>
      </w:r>
      <w:r w:rsidRPr="00B56A57">
        <w:rPr>
          <w:rFonts w:asciiTheme="minorEastAsia" w:hAnsiTheme="minorEastAsia" w:hint="eastAsia"/>
          <w:color w:val="0D0D0D" w:themeColor="text1" w:themeTint="F2"/>
        </w:rPr>
        <w:t>）法律法规及中国证监会规定的和《基金合同》约定的其他义务。</w:t>
      </w:r>
    </w:p>
    <w:p w14:paraId="120F34C7" w14:textId="77777777" w:rsidR="00217DCA" w:rsidRPr="00B56A57" w:rsidRDefault="00217DCA">
      <w:pPr>
        <w:adjustRightInd w:val="0"/>
        <w:snapToGrid w:val="0"/>
        <w:spacing w:line="360" w:lineRule="auto"/>
        <w:rPr>
          <w:rFonts w:asciiTheme="minorEastAsia" w:eastAsiaTheme="minorEastAsia" w:hAnsiTheme="minorEastAsia" w:cs="Arial"/>
          <w:color w:val="0D0D0D" w:themeColor="text1" w:themeTint="F2"/>
          <w:szCs w:val="21"/>
        </w:rPr>
      </w:pPr>
      <w:bookmarkStart w:id="211" w:name="_Toc141703888"/>
      <w:bookmarkStart w:id="212" w:name="_Toc10650"/>
      <w:bookmarkStart w:id="213" w:name="_Toc3771"/>
      <w:bookmarkStart w:id="214" w:name="_Toc11030"/>
      <w:bookmarkStart w:id="215" w:name="_Toc123112236"/>
      <w:bookmarkStart w:id="216" w:name="_Toc98560354"/>
      <w:bookmarkStart w:id="217" w:name="_Toc20768"/>
      <w:bookmarkStart w:id="218" w:name="_Toc123102455"/>
      <w:bookmarkStart w:id="219" w:name="_Toc123051454"/>
      <w:bookmarkStart w:id="220" w:name="_Toc7058"/>
      <w:bookmarkStart w:id="221" w:name="_Toc3321"/>
      <w:bookmarkStart w:id="222" w:name="_Toc139991738"/>
      <w:bookmarkStart w:id="223" w:name="_Toc79392583"/>
      <w:bookmarkStart w:id="224" w:name="_Toc25783"/>
      <w:bookmarkStart w:id="225" w:name="_Toc18567"/>
      <w:bookmarkStart w:id="226" w:name="_Toc9706"/>
      <w:bookmarkStart w:id="227" w:name="_Toc4559"/>
      <w:bookmarkStart w:id="228" w:name="_Toc6447"/>
    </w:p>
    <w:p w14:paraId="6C686CEA" w14:textId="77777777" w:rsidR="00217DCA" w:rsidRPr="00B56A57" w:rsidRDefault="00217DCA">
      <w:pPr>
        <w:pStyle w:val="1"/>
        <w:sectPr w:rsidR="00217DCA" w:rsidRPr="00B56A57">
          <w:footerReference w:type="default" r:id="rId24"/>
          <w:pgSz w:w="11906" w:h="16838"/>
          <w:pgMar w:top="1440" w:right="1800" w:bottom="1440" w:left="1800" w:header="851" w:footer="992" w:gutter="0"/>
          <w:pgNumType w:start="1"/>
          <w:cols w:space="425"/>
          <w:docGrid w:type="lines" w:linePitch="312"/>
        </w:sectPr>
      </w:pPr>
      <w:bookmarkStart w:id="229" w:name="_Hlt130956763"/>
      <w:bookmarkStart w:id="230" w:name="_Toc90742394"/>
      <w:bookmarkStart w:id="231" w:name="_Toc90742325"/>
      <w:bookmarkStart w:id="232" w:name="_Toc90742692"/>
    </w:p>
    <w:p w14:paraId="7D2736CE" w14:textId="77777777" w:rsidR="00217DCA" w:rsidRPr="00B56A57" w:rsidRDefault="006C7341">
      <w:pPr>
        <w:pStyle w:val="1"/>
      </w:pPr>
      <w:bookmarkStart w:id="233" w:name="CLAUSE_396dce3acb8e42dbb1f5b80666a7a5a0"/>
      <w:bookmarkEnd w:id="185"/>
      <w:bookmarkEnd w:id="229"/>
      <w:r w:rsidRPr="00B56A57">
        <w:lastRenderedPageBreak/>
        <w:t xml:space="preserve"> </w:t>
      </w:r>
      <w:bookmarkStart w:id="234" w:name="CTS_396dce3acb8e42dbb1f5b80666a7a5a0"/>
      <w:bookmarkStart w:id="235" w:name="_Toc64923774"/>
      <w:bookmarkStart w:id="236" w:name="_Toc73975087"/>
      <w:bookmarkEnd w:id="234"/>
      <w:r w:rsidRPr="00B56A57">
        <w:rPr>
          <w:rFonts w:cs="Arial" w:hint="eastAsia"/>
        </w:rPr>
        <w:t>第十部分</w:t>
      </w:r>
      <w:r w:rsidRPr="00B56A57">
        <w:t xml:space="preserve"> 基金份额持有人大会</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30"/>
      <w:bookmarkEnd w:id="231"/>
      <w:bookmarkEnd w:id="232"/>
      <w:bookmarkEnd w:id="235"/>
      <w:bookmarkEnd w:id="236"/>
    </w:p>
    <w:p w14:paraId="646E68F5" w14:textId="77777777" w:rsidR="00217DCA" w:rsidRPr="00B56A57" w:rsidRDefault="00217DCA">
      <w:pPr>
        <w:tabs>
          <w:tab w:val="left" w:pos="1080"/>
        </w:tabs>
        <w:adjustRightInd w:val="0"/>
        <w:snapToGrid w:val="0"/>
        <w:spacing w:line="360" w:lineRule="auto"/>
        <w:ind w:leftChars="199" w:left="993" w:hangingChars="274" w:hanging="575"/>
        <w:rPr>
          <w:rFonts w:asciiTheme="minorEastAsia" w:hAnsiTheme="minorEastAsia"/>
          <w:color w:val="0D0D0D" w:themeColor="text1" w:themeTint="F2"/>
        </w:rPr>
      </w:pPr>
    </w:p>
    <w:p w14:paraId="7ABD5D0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基金份额持有人大会由基金份额持有人组成，基金份额持有人的合法授权代表有权代表基金份额持有人出席会议并表决。基金份额持有人持有的每一基金份额拥有平等的投票权。</w:t>
      </w:r>
    </w:p>
    <w:p w14:paraId="4DA720E6"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bookmarkStart w:id="237" w:name="_Toc15641220"/>
      <w:bookmarkStart w:id="238" w:name="_Toc57530243"/>
      <w:bookmarkStart w:id="239" w:name="_Toc79392584"/>
      <w:r w:rsidRPr="00B56A57">
        <w:rPr>
          <w:rFonts w:asciiTheme="minorEastAsia" w:eastAsiaTheme="minorEastAsia" w:hAnsiTheme="minorEastAsia" w:hint="eastAsia"/>
          <w:color w:val="0D0D0D" w:themeColor="text1" w:themeTint="F2"/>
        </w:rPr>
        <w:t>若以本基金为目标</w:t>
      </w:r>
      <w:r w:rsidRPr="00B56A57">
        <w:rPr>
          <w:rFonts w:asciiTheme="minorEastAsia" w:eastAsiaTheme="minorEastAsia" w:hAnsiTheme="minorEastAsia"/>
          <w:color w:val="0D0D0D" w:themeColor="text1" w:themeTint="F2"/>
        </w:rPr>
        <w:t>ETF</w:t>
      </w:r>
      <w:r w:rsidRPr="00B56A57">
        <w:rPr>
          <w:rFonts w:asciiTheme="minorEastAsia" w:eastAsiaTheme="minorEastAsia" w:hAnsiTheme="minorEastAsia" w:hint="eastAsia"/>
          <w:color w:val="0D0D0D" w:themeColor="text1" w:themeTint="F2"/>
        </w:rPr>
        <w:t>，且基金管理人和基金托管人与本基金基金管理人和基金托管人一致的联接基金的基金合同生效，鉴于本基金和联接基金的相关性，联接基金的基金份额持有人可以凭所持有的联接基金的基金份额直接出席本基金的基金份额持有人大会或者委派代表出席本基金的基金份额持有人大会并参与表决。在计算参会份额和票数时，联接基金基金份额持有人持有的享有表决权的参会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1FA5F07F"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3C0802E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1A64AF7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本基金份额持有人大会不设日常机构。</w:t>
      </w:r>
    </w:p>
    <w:p w14:paraId="23AD182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一、召开事由</w:t>
      </w:r>
      <w:bookmarkEnd w:id="237"/>
      <w:bookmarkEnd w:id="238"/>
      <w:bookmarkEnd w:id="239"/>
    </w:p>
    <w:p w14:paraId="4283ECB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w:t>
      </w:r>
      <w:r w:rsidRPr="00B56A57">
        <w:rPr>
          <w:rFonts w:asciiTheme="minorEastAsia" w:eastAsiaTheme="minorEastAsia" w:hAnsiTheme="minorEastAsia" w:hint="eastAsia"/>
          <w:color w:val="0D0D0D" w:themeColor="text1" w:themeTint="F2"/>
        </w:rPr>
        <w:t>除法律法规、中国证监会和基金合同另有规定外，</w:t>
      </w:r>
      <w:r w:rsidRPr="00B56A57">
        <w:rPr>
          <w:rFonts w:asciiTheme="minorEastAsia" w:hAnsiTheme="minorEastAsia" w:hint="eastAsia"/>
          <w:color w:val="0D0D0D" w:themeColor="text1" w:themeTint="F2"/>
        </w:rPr>
        <w:t>当出现或需要决定下列事由之一的，应当召开基金份额持有人大会：</w:t>
      </w:r>
    </w:p>
    <w:p w14:paraId="5A1D78A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）终止《基金合同》；</w:t>
      </w:r>
    </w:p>
    <w:p w14:paraId="37A9A94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）更换基金管理人；</w:t>
      </w:r>
    </w:p>
    <w:p w14:paraId="02CF0A9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）更换基金托管人；</w:t>
      </w:r>
    </w:p>
    <w:p w14:paraId="5BD7075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）转换基金运作方式；</w:t>
      </w:r>
    </w:p>
    <w:p w14:paraId="6342954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w:t>
      </w:r>
      <w:r w:rsidRPr="00B56A57">
        <w:rPr>
          <w:rFonts w:asciiTheme="minorEastAsia" w:eastAsiaTheme="minorEastAsia" w:hAnsiTheme="minorEastAsia" w:hint="eastAsia"/>
          <w:color w:val="0D0D0D" w:themeColor="text1" w:themeTint="F2"/>
        </w:rPr>
        <w:t>调整</w:t>
      </w:r>
      <w:r w:rsidRPr="00B56A57">
        <w:rPr>
          <w:rFonts w:asciiTheme="minorEastAsia" w:hAnsiTheme="minorEastAsia" w:hint="eastAsia"/>
          <w:color w:val="0D0D0D" w:themeColor="text1" w:themeTint="F2"/>
        </w:rPr>
        <w:t>基金管理人、基金托管人的报酬标准；</w:t>
      </w:r>
    </w:p>
    <w:p w14:paraId="0C66173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）变更基金类别；</w:t>
      </w:r>
    </w:p>
    <w:p w14:paraId="43948E7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）本基金与其他基金的合并；</w:t>
      </w:r>
    </w:p>
    <w:p w14:paraId="35293E2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8</w:t>
      </w:r>
      <w:r w:rsidRPr="00B56A57">
        <w:rPr>
          <w:rFonts w:asciiTheme="minorEastAsia" w:hAnsiTheme="minorEastAsia" w:hint="eastAsia"/>
          <w:color w:val="0D0D0D" w:themeColor="text1" w:themeTint="F2"/>
        </w:rPr>
        <w:t>）变更基金投资目标、范围或策略；</w:t>
      </w:r>
    </w:p>
    <w:p w14:paraId="0A41FB0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9</w:t>
      </w:r>
      <w:r w:rsidRPr="00B56A57">
        <w:rPr>
          <w:rFonts w:asciiTheme="minorEastAsia" w:hAnsiTheme="minorEastAsia" w:hint="eastAsia"/>
          <w:color w:val="0D0D0D" w:themeColor="text1" w:themeTint="F2"/>
        </w:rPr>
        <w:t>）变更基金份额持有人大会程序；</w:t>
      </w:r>
    </w:p>
    <w:p w14:paraId="20479FA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）基金管理人或基金托管人要求召开基金份额持有人大会；</w:t>
      </w:r>
    </w:p>
    <w:p w14:paraId="76C54D7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lastRenderedPageBreak/>
        <w:t>（</w:t>
      </w:r>
      <w:r w:rsidRPr="00B56A57">
        <w:rPr>
          <w:rFonts w:asciiTheme="minorEastAsia" w:hAnsiTheme="minorEastAsia"/>
          <w:color w:val="0D0D0D" w:themeColor="text1" w:themeTint="F2"/>
        </w:rPr>
        <w:t>11</w:t>
      </w:r>
      <w:r w:rsidRPr="00B56A57">
        <w:rPr>
          <w:rFonts w:asciiTheme="minorEastAsia" w:hAnsiTheme="minorEastAsia" w:hint="eastAsia"/>
          <w:color w:val="0D0D0D" w:themeColor="text1" w:themeTint="F2"/>
        </w:rPr>
        <w:t>）单独或合计持有本基金总份额</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以上（含</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）基金份额的基金份额持有人（以基金管理人收到提议当日的基金份额计算，下同）就同一事项书面要求召开基金份额持有人大会；</w:t>
      </w:r>
    </w:p>
    <w:p w14:paraId="0A38DE9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12</w:t>
      </w:r>
      <w:r w:rsidRPr="00B56A57">
        <w:rPr>
          <w:rFonts w:asciiTheme="minorEastAsia" w:hAnsiTheme="minorEastAsia" w:hint="eastAsia"/>
          <w:color w:val="0D0D0D" w:themeColor="text1" w:themeTint="F2"/>
        </w:rPr>
        <w:t>）对基金</w:t>
      </w:r>
      <w:r w:rsidRPr="00B56A57">
        <w:rPr>
          <w:rFonts w:asciiTheme="minorEastAsia" w:eastAsiaTheme="minorEastAsia" w:hAnsiTheme="minorEastAsia" w:hint="eastAsia"/>
          <w:color w:val="0D0D0D" w:themeColor="text1" w:themeTint="F2"/>
        </w:rPr>
        <w:t>合同</w:t>
      </w:r>
      <w:r w:rsidRPr="00B56A57">
        <w:rPr>
          <w:rFonts w:asciiTheme="minorEastAsia" w:hAnsiTheme="minorEastAsia" w:hint="eastAsia"/>
          <w:color w:val="0D0D0D" w:themeColor="text1" w:themeTint="F2"/>
        </w:rPr>
        <w:t>当事人权利和义务产生重大影响的其他事项；</w:t>
      </w:r>
    </w:p>
    <w:p w14:paraId="42C0081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13）终止基金上市，但因基金不再具备上市条件而被上海证券交易所终止上市的除外；</w:t>
      </w:r>
    </w:p>
    <w:p w14:paraId="5C0448C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14</w:t>
      </w:r>
      <w:r w:rsidRPr="00B56A57">
        <w:rPr>
          <w:rFonts w:asciiTheme="minorEastAsia" w:hAnsiTheme="minorEastAsia" w:hint="eastAsia"/>
          <w:color w:val="0D0D0D" w:themeColor="text1" w:themeTint="F2"/>
        </w:rPr>
        <w:t>）法律法规、《基金合同》或中国证监会规定的其他应当召开基金份额持有人大会的事项。</w:t>
      </w:r>
    </w:p>
    <w:p w14:paraId="2B67F67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、在法律法规规定和《基金合同》约定的范围内且对基金份额持有人利益无实质性不利影响的前提下，以下情况可由基金管理人和基金托管人协商后修改，不需召开基金份额持有人大会：</w:t>
      </w:r>
      <w:r w:rsidRPr="00B56A57">
        <w:rPr>
          <w:rFonts w:asciiTheme="minorEastAsia" w:eastAsiaTheme="minorEastAsia" w:hAnsiTheme="minorEastAsia"/>
          <w:color w:val="0D0D0D" w:themeColor="text1" w:themeTint="F2"/>
        </w:rPr>
        <w:t xml:space="preserve"> </w:t>
      </w:r>
    </w:p>
    <w:p w14:paraId="4E682C9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）法律法规要求增加的基金费用的收取；</w:t>
      </w:r>
    </w:p>
    <w:p w14:paraId="0D82ACF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eastAsiaTheme="minorEastAsia" w:hAnsiTheme="minorEastAsia" w:hint="eastAsia"/>
          <w:color w:val="0D0D0D" w:themeColor="text1" w:themeTint="F2"/>
        </w:rPr>
        <w:t>调整本基金的申购费率、调低赎回费率或变更收费方式或调整基金份额类别设置、对基金份额分类办法及规则进行调整；</w:t>
      </w:r>
    </w:p>
    <w:p w14:paraId="6933387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3）</w:t>
      </w:r>
      <w:r w:rsidRPr="00B56A57">
        <w:rPr>
          <w:rFonts w:asciiTheme="minorEastAsia" w:hAnsiTheme="minorEastAsia" w:hint="eastAsia"/>
          <w:color w:val="0D0D0D" w:themeColor="text1" w:themeTint="F2"/>
        </w:rPr>
        <w:t>因相应的法律法规</w:t>
      </w:r>
      <w:r w:rsidRPr="00B56A57">
        <w:rPr>
          <w:rFonts w:asciiTheme="minorEastAsia" w:eastAsiaTheme="minorEastAsia" w:hAnsiTheme="minorEastAsia" w:hint="eastAsia"/>
          <w:color w:val="0D0D0D" w:themeColor="text1" w:themeTint="F2"/>
        </w:rPr>
        <w:t>、上海证券交易所或者登记机构的相关业务规则</w:t>
      </w:r>
      <w:r w:rsidRPr="00B56A57">
        <w:rPr>
          <w:rFonts w:asciiTheme="minorEastAsia" w:hAnsiTheme="minorEastAsia" w:hint="eastAsia"/>
          <w:color w:val="0D0D0D" w:themeColor="text1" w:themeTint="F2"/>
        </w:rPr>
        <w:t>发生变动而应当对《基金合同》进行修改；</w:t>
      </w:r>
    </w:p>
    <w:p w14:paraId="6D0AA6F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4</w:t>
      </w:r>
      <w:r w:rsidRPr="00B56A57">
        <w:rPr>
          <w:rFonts w:asciiTheme="minorEastAsia" w:hAnsiTheme="minorEastAsia" w:hint="eastAsia"/>
          <w:color w:val="0D0D0D" w:themeColor="text1" w:themeTint="F2"/>
        </w:rPr>
        <w:t>）对《基金合同》的修改对基金份额持有人利益无实质性不利影响或修改不涉及《基金合同》当事人权利义务关系发生</w:t>
      </w:r>
      <w:r w:rsidRPr="00B56A57">
        <w:rPr>
          <w:rFonts w:asciiTheme="minorEastAsia" w:eastAsiaTheme="minorEastAsia" w:hAnsiTheme="minorEastAsia" w:hint="eastAsia"/>
          <w:color w:val="0D0D0D" w:themeColor="text1" w:themeTint="F2"/>
        </w:rPr>
        <w:t>重大</w:t>
      </w:r>
      <w:r w:rsidRPr="00B56A57">
        <w:rPr>
          <w:rFonts w:asciiTheme="minorEastAsia" w:hAnsiTheme="minorEastAsia" w:hint="eastAsia"/>
          <w:color w:val="0D0D0D" w:themeColor="text1" w:themeTint="F2"/>
        </w:rPr>
        <w:t>变化；</w:t>
      </w:r>
    </w:p>
    <w:p w14:paraId="4CB43B3B"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5）基金管理人、相关证券交易所和登记机构等在法律法规、基金合同规定的范围内且对基金份额持有人利益无实质性不利影响的前提下调整有关基金申购、赎回、交易、转托管、非交易过户</w:t>
      </w:r>
      <w:r w:rsidRPr="00B56A57">
        <w:rPr>
          <w:rFonts w:asciiTheme="minorEastAsia" w:eastAsiaTheme="minorEastAsia" w:hAnsiTheme="minorEastAsia" w:hint="eastAsia"/>
          <w:color w:val="0D0D0D" w:themeColor="text1" w:themeTint="F2"/>
        </w:rPr>
        <w:t>等业务的规则（包括但不限于申购赎回清单的调整、开放时间的调整等）；</w:t>
      </w:r>
    </w:p>
    <w:p w14:paraId="395116AF"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6）基金推出新业务或服务；</w:t>
      </w:r>
    </w:p>
    <w:p w14:paraId="76DFFFA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7）在不违反法律法规的情况下，本基金的联接基金采取其他方式参与本基金的申购赎回；</w:t>
      </w:r>
    </w:p>
    <w:p w14:paraId="0A5F9FD5"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8）调整基金的申购赎回方式及申购对价、赎回对价组成；调整申购赎回清单的内容，调整申购赎回清单计算和公告时间或频率；</w:t>
      </w:r>
    </w:p>
    <w:p w14:paraId="1183731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9）进行基金份额的拆分与合并；</w:t>
      </w:r>
    </w:p>
    <w:p w14:paraId="7AE3027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10</w:t>
      </w:r>
      <w:r w:rsidRPr="00B56A57">
        <w:rPr>
          <w:rFonts w:asciiTheme="minorEastAsia" w:hAnsiTheme="minorEastAsia" w:hint="eastAsia"/>
          <w:color w:val="0D0D0D" w:themeColor="text1" w:themeTint="F2"/>
        </w:rPr>
        <w:t>）按照法律法规和《基金合同》规定不需召开基金份额持有人大会的其他情形。</w:t>
      </w:r>
    </w:p>
    <w:p w14:paraId="71E333A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40" w:name="_Toc15641221"/>
      <w:bookmarkStart w:id="241" w:name="_Toc79392585"/>
      <w:bookmarkStart w:id="242" w:name="_Toc57530244"/>
      <w:r w:rsidRPr="00B56A57">
        <w:rPr>
          <w:rFonts w:asciiTheme="minorEastAsia" w:hAnsiTheme="minorEastAsia" w:hint="eastAsia"/>
          <w:color w:val="0D0D0D" w:themeColor="text1" w:themeTint="F2"/>
        </w:rPr>
        <w:t>二、会议召集人及召集方式</w:t>
      </w:r>
      <w:bookmarkEnd w:id="240"/>
      <w:bookmarkEnd w:id="241"/>
      <w:bookmarkEnd w:id="242"/>
    </w:p>
    <w:p w14:paraId="34424B9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43" w:name="_Toc15641222"/>
      <w:bookmarkStart w:id="244" w:name="_Toc57530245"/>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、除法律法规规定或《基金合同》另有约定外，基金份额持有人大会由基金管理人召集</w:t>
      </w:r>
      <w:r w:rsidRPr="00B56A57">
        <w:rPr>
          <w:rFonts w:asciiTheme="minorEastAsia" w:eastAsiaTheme="minorEastAsia" w:hAnsiTheme="minorEastAsia" w:hint="eastAsia"/>
          <w:color w:val="0D0D0D" w:themeColor="text1" w:themeTint="F2"/>
        </w:rPr>
        <w:t>。</w:t>
      </w:r>
    </w:p>
    <w:p w14:paraId="6E5AAE4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、基金管理人未按规定召集或不能</w:t>
      </w:r>
      <w:r w:rsidRPr="00B56A57">
        <w:rPr>
          <w:rFonts w:asciiTheme="minorEastAsia" w:eastAsiaTheme="minorEastAsia" w:hAnsiTheme="minorEastAsia" w:hint="eastAsia"/>
          <w:color w:val="0D0D0D" w:themeColor="text1" w:themeTint="F2"/>
        </w:rPr>
        <w:t>召集</w:t>
      </w:r>
      <w:r w:rsidRPr="00B56A57">
        <w:rPr>
          <w:rFonts w:asciiTheme="minorEastAsia" w:hAnsiTheme="minorEastAsia" w:hint="eastAsia"/>
          <w:color w:val="0D0D0D" w:themeColor="text1" w:themeTint="F2"/>
        </w:rPr>
        <w:t>时，由基金托管人召集</w:t>
      </w:r>
      <w:r w:rsidRPr="00B56A57">
        <w:rPr>
          <w:rFonts w:asciiTheme="minorEastAsia" w:eastAsiaTheme="minorEastAsia" w:hAnsiTheme="minorEastAsia" w:hint="eastAsia"/>
          <w:color w:val="0D0D0D" w:themeColor="text1" w:themeTint="F2"/>
        </w:rPr>
        <w:t>。</w:t>
      </w:r>
    </w:p>
    <w:p w14:paraId="27DDC6F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、基金托管人认为有必要召开基金份额持有人大会的，应当向基金管理人提出书面提议。基金管理人应当自收到书面提议之日起</w:t>
      </w:r>
      <w:r w:rsidRPr="00B56A57">
        <w:rPr>
          <w:rFonts w:asciiTheme="minorEastAsia" w:hAnsiTheme="minorEastAsia"/>
          <w:color w:val="0D0D0D" w:themeColor="text1" w:themeTint="F2"/>
        </w:rPr>
        <w:t xml:space="preserve"> 10日内决定是否召集，并书面告知基金托管人。基金管理人决定召集的，应当自出具书面决定之日起60日内召开；基金管理人决定不召集，</w:t>
      </w:r>
      <w:r w:rsidRPr="00B56A57">
        <w:rPr>
          <w:rFonts w:asciiTheme="minorEastAsia" w:hAnsiTheme="minorEastAsia" w:hint="eastAsia"/>
          <w:color w:val="0D0D0D" w:themeColor="text1" w:themeTint="F2"/>
        </w:rPr>
        <w:lastRenderedPageBreak/>
        <w:t>基金托管人仍认为有必要召开的，应当由基金托管人自行召集，并自出具书面决定之日起</w:t>
      </w:r>
      <w:r w:rsidRPr="00B56A57">
        <w:rPr>
          <w:rFonts w:asciiTheme="minorEastAsia" w:hAnsiTheme="minorEastAsia"/>
          <w:color w:val="0D0D0D" w:themeColor="text1" w:themeTint="F2"/>
        </w:rPr>
        <w:t>60日内召开并告知基金管理人，基金管理人应当配合。</w:t>
      </w:r>
    </w:p>
    <w:p w14:paraId="0227E46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、代表基金份额</w:t>
      </w:r>
      <w:r w:rsidRPr="00B56A57">
        <w:rPr>
          <w:rFonts w:asciiTheme="minorEastAsia" w:hAnsiTheme="minorEastAsia"/>
          <w:color w:val="0D0D0D" w:themeColor="text1" w:themeTint="F2"/>
        </w:rPr>
        <w:t>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w:t>
      </w:r>
      <w:r w:rsidRPr="00B56A57">
        <w:rPr>
          <w:rFonts w:asciiTheme="minorEastAsia" w:hAnsiTheme="minorEastAsia" w:hint="eastAsia"/>
          <w:color w:val="0D0D0D" w:themeColor="text1" w:themeTint="F2"/>
        </w:rPr>
        <w:t>日内召开并告知基金管理人，基金管理人应当配合。</w:t>
      </w:r>
    </w:p>
    <w:p w14:paraId="4F720CF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、代表基金份额</w:t>
      </w:r>
      <w:r w:rsidRPr="00B56A57">
        <w:rPr>
          <w:rFonts w:asciiTheme="minorEastAsia" w:hAnsiTheme="minorEastAsia"/>
          <w:color w:val="0D0D0D" w:themeColor="text1" w:themeTint="F2"/>
        </w:rPr>
        <w:t>10%以上（含10%）的基金份额持有人就同一事项要求召开基金份额持有人大会，而基金管理人、基金托管人都不召集的，单独或合计代表基金份额10%以上（含10%）的基金份额持有人有权自行召集，并至少提前30</w:t>
      </w:r>
      <w:r w:rsidRPr="00B56A57">
        <w:rPr>
          <w:rFonts w:asciiTheme="minorEastAsia" w:hAnsiTheme="minorEastAsia" w:hint="eastAsia"/>
          <w:color w:val="0D0D0D" w:themeColor="text1" w:themeTint="F2"/>
        </w:rPr>
        <w:t>日报中国证监会备案。基金份额持有人依法自行召集基金份额持有人大会的，基金管理人、基金托管人应当配合，不得阻碍、干扰。</w:t>
      </w:r>
    </w:p>
    <w:p w14:paraId="65697AB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、基金份额持有人会议的召集人负责选择确定开会时间、地点、方式和权益登记日。</w:t>
      </w:r>
    </w:p>
    <w:p w14:paraId="1A95946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45" w:name="_Toc79392586"/>
      <w:r w:rsidRPr="00B56A57">
        <w:rPr>
          <w:rFonts w:asciiTheme="minorEastAsia" w:hAnsiTheme="minorEastAsia" w:hint="eastAsia"/>
          <w:color w:val="0D0D0D" w:themeColor="text1" w:themeTint="F2"/>
        </w:rPr>
        <w:t>三、召开基金份额持有人大会的通知时间、通知内容、通知方式</w:t>
      </w:r>
      <w:bookmarkEnd w:id="243"/>
      <w:bookmarkEnd w:id="244"/>
      <w:bookmarkEnd w:id="245"/>
    </w:p>
    <w:p w14:paraId="776BDA2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、召开基金份额持有人大会，召集人应于会议召开前</w:t>
      </w:r>
      <w:r w:rsidRPr="00B56A57">
        <w:rPr>
          <w:rFonts w:asciiTheme="minorEastAsia" w:hAnsiTheme="minorEastAsia"/>
          <w:color w:val="0D0D0D" w:themeColor="text1" w:themeTint="F2"/>
        </w:rPr>
        <w:t>30日，在规定媒介公告。基金份额持有人大会通知应至少载明以下内容：</w:t>
      </w:r>
    </w:p>
    <w:p w14:paraId="7F9E2CF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）会议召开的时间、地点和会议形式；</w:t>
      </w:r>
    </w:p>
    <w:p w14:paraId="722EFAB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）会议拟审议的事项、议事程序和表决方式；</w:t>
      </w:r>
    </w:p>
    <w:p w14:paraId="0F55C86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）有权出席基金份额持有人大会的基金份额持有人的权益登记日；</w:t>
      </w:r>
    </w:p>
    <w:p w14:paraId="68F5E39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）授权委托证明的内容要求（包括但不限于代理人身份，代理权限和代理有效期限等）、送达时间和地点</w:t>
      </w:r>
      <w:r w:rsidRPr="00B56A57">
        <w:rPr>
          <w:rFonts w:asciiTheme="minorEastAsia" w:eastAsiaTheme="minorEastAsia" w:hAnsiTheme="minorEastAsia" w:hint="eastAsia"/>
          <w:color w:val="0D0D0D" w:themeColor="text1" w:themeTint="F2"/>
        </w:rPr>
        <w:t>；</w:t>
      </w:r>
    </w:p>
    <w:p w14:paraId="3C2A1A3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）会务常设联系人姓名及联系电话；</w:t>
      </w:r>
    </w:p>
    <w:p w14:paraId="363B6B9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）出席会议者必须准备的文件和必须履行的手续；</w:t>
      </w:r>
    </w:p>
    <w:p w14:paraId="209B7CF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）召集人需要通知的其他事项。</w:t>
      </w:r>
    </w:p>
    <w:p w14:paraId="0816B66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A61362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w:t>
      </w:r>
      <w:r w:rsidRPr="00B56A57">
        <w:rPr>
          <w:rFonts w:asciiTheme="minorEastAsia" w:hAnsiTheme="minorEastAsia" w:hint="eastAsia"/>
          <w:color w:val="0D0D0D" w:themeColor="text1" w:themeTint="F2"/>
        </w:rPr>
        <w:lastRenderedPageBreak/>
        <w:t>计票进行监督的，不影响表决意见的计票效力。</w:t>
      </w:r>
    </w:p>
    <w:p w14:paraId="2E669B9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46" w:name="_Toc79392587"/>
      <w:bookmarkStart w:id="247" w:name="_Toc57530246"/>
      <w:bookmarkStart w:id="248" w:name="_Toc15641223"/>
      <w:r w:rsidRPr="00B56A57">
        <w:rPr>
          <w:rFonts w:asciiTheme="minorEastAsia" w:hAnsiTheme="minorEastAsia" w:hint="eastAsia"/>
          <w:color w:val="0D0D0D" w:themeColor="text1" w:themeTint="F2"/>
        </w:rPr>
        <w:t>四、基金份额持有人出席会议的方式</w:t>
      </w:r>
      <w:bookmarkEnd w:id="246"/>
      <w:bookmarkEnd w:id="247"/>
      <w:bookmarkEnd w:id="248"/>
    </w:p>
    <w:p w14:paraId="316B65D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基金份额持有人大会可通过现场开会方式、通讯开会方式或法律法规、监管机构允许的其他方式召开，会议的召开方式由会议召集人确定。</w:t>
      </w:r>
    </w:p>
    <w:p w14:paraId="002DCFB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886F36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C339DC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）经核对，汇总到会者出示的在权益登记日持有基金份额的凭证显示，有效的基金份额不少于本基金在权益登记日基金总份额的二分之一（含二分之一）。</w:t>
      </w:r>
    </w:p>
    <w:p w14:paraId="1339369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若到会者在权益登记日代表的有效的基金份额少于本基金在权益登记日基金总份额的二分之一，召集人可以在原公告的基金份额持有人大会召开时间的</w:t>
      </w:r>
      <w:r w:rsidRPr="00B56A57">
        <w:rPr>
          <w:rFonts w:asciiTheme="minorEastAsia" w:hAnsiTheme="minorEastAsia"/>
          <w:color w:val="0D0D0D" w:themeColor="text1" w:themeTint="F2"/>
        </w:rPr>
        <w:t>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14F0CBA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通讯开会。通讯开会系指基金份额持有人将其对表决事项的投票以书面形式或持有人大会公告载明的其他方式在表决截止日以前送达至召集人指定的地址。通讯开会应以书面方式或持有人大会公告载明的其他方式进行表决。</w:t>
      </w:r>
    </w:p>
    <w:p w14:paraId="74C0818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在同时符合以下条件时，通讯开会的方式视为有效：</w:t>
      </w:r>
    </w:p>
    <w:p w14:paraId="18351D8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）会议召集人按《基金合同》约定公布会议通知后，在</w:t>
      </w:r>
      <w:r w:rsidRPr="00B56A57">
        <w:rPr>
          <w:rFonts w:asciiTheme="minorEastAsia" w:eastAsiaTheme="minorEastAsia" w:hAnsiTheme="minorEastAsia"/>
          <w:color w:val="0D0D0D" w:themeColor="text1" w:themeTint="F2"/>
        </w:rPr>
        <w:t xml:space="preserve"> </w:t>
      </w:r>
      <w:r w:rsidRPr="00B56A57">
        <w:rPr>
          <w:rFonts w:asciiTheme="minorEastAsia" w:hAnsiTheme="minorEastAsia"/>
          <w:color w:val="0D0D0D" w:themeColor="text1" w:themeTint="F2"/>
        </w:rPr>
        <w:t>2个工作日内连续公布相关提示性公告；</w:t>
      </w:r>
    </w:p>
    <w:p w14:paraId="48BAEB5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5E3F30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）本人直接出具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意见或授权他人代表出具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意见的，基金份额持有人所持有的基金份额不小于在权益登记日基金总份额的二分之一（含二分之一）；</w:t>
      </w:r>
    </w:p>
    <w:p w14:paraId="54F0104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若本人直接出具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意见或授权他人代表出具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意见基金份额持有人所持有的基金份额小于在权益登记日基金总份额的二分之一，召集人可以在原公告的基金份额持有人大会召开时间的</w:t>
      </w:r>
      <w:r w:rsidRPr="00B56A57">
        <w:rPr>
          <w:rFonts w:asciiTheme="minorEastAsia" w:hAnsiTheme="minorEastAsia"/>
          <w:color w:val="0D0D0D" w:themeColor="text1" w:themeTint="F2"/>
        </w:rPr>
        <w:t>3个月以后、6个月以内，就原定审议事项重新召集基金份额持有人大会。重新召集的基金份额持有人大会应当有代表三分之一以上（含三分之一）基金份额的持有人直接</w:t>
      </w:r>
      <w:r w:rsidRPr="00B56A57">
        <w:rPr>
          <w:rFonts w:asciiTheme="minorEastAsia" w:hAnsiTheme="minorEastAsia" w:hint="eastAsia"/>
          <w:color w:val="0D0D0D" w:themeColor="text1" w:themeTint="F2"/>
        </w:rPr>
        <w:lastRenderedPageBreak/>
        <w:t>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意见或授权他人代表出具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w:t>
      </w:r>
    </w:p>
    <w:p w14:paraId="18ACD2A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）上述第（</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）项中直接出具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意见的基金份额持有人或受托代表他人出具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意见的代理人，同时提交的持有基金份额的凭证、受托出具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意见的代理人出具的委托人持有基金份额的凭证及委托人的代理投票授权委托证明符合法律法规、《基金合同》和会议通知的规定，并与基金登记机构记录相符</w:t>
      </w:r>
      <w:r w:rsidRPr="00B56A57">
        <w:rPr>
          <w:rFonts w:asciiTheme="minorEastAsia" w:eastAsiaTheme="minorEastAsia" w:hAnsiTheme="minorEastAsia" w:hint="eastAsia"/>
          <w:color w:val="0D0D0D" w:themeColor="text1" w:themeTint="F2"/>
        </w:rPr>
        <w:t>。</w:t>
      </w:r>
    </w:p>
    <w:p w14:paraId="391B05BF"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 xml:space="preserve"> 3、在法律法规或监管机构允许的情况下，经会议通知载明，本基金亦可采用网络、电话等其他非现场方式或者以非现场方式与现场方式结合的方式召开基金份额持有人大会，基金份额持有人可以采用书面、网络、电话、短信或其他方式进行表决，或者采用网络、电话或其他方式授权他人代为出席会议并表决，会议程序比照现场开会和通讯方式开会的程序进行。</w:t>
      </w:r>
    </w:p>
    <w:p w14:paraId="5CB8547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49" w:name="_Toc79392588"/>
      <w:bookmarkStart w:id="250" w:name="_Toc57530247"/>
      <w:bookmarkStart w:id="251" w:name="_Toc15641224"/>
      <w:r w:rsidRPr="00B56A57">
        <w:rPr>
          <w:rFonts w:asciiTheme="minorEastAsia" w:hAnsiTheme="minorEastAsia" w:hint="eastAsia"/>
          <w:color w:val="0D0D0D" w:themeColor="text1" w:themeTint="F2"/>
        </w:rPr>
        <w:t>五、议事内容与程序</w:t>
      </w:r>
      <w:bookmarkEnd w:id="249"/>
      <w:bookmarkEnd w:id="250"/>
      <w:bookmarkEnd w:id="251"/>
    </w:p>
    <w:p w14:paraId="268E330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、议事内容及提案权</w:t>
      </w:r>
    </w:p>
    <w:p w14:paraId="3848516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968EA8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基金份额持有人大会的召集人发出召集会议的通知后，对原有提案的修改应当在基金份额持有人大会召开前及时公告。</w:t>
      </w:r>
    </w:p>
    <w:p w14:paraId="58F97F9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基金份额持有人大会不得对未事先公告的议事内容进行表决。</w:t>
      </w:r>
    </w:p>
    <w:p w14:paraId="76A112E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、议事程序</w:t>
      </w:r>
    </w:p>
    <w:p w14:paraId="1C5E3D1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）现场开会</w:t>
      </w:r>
    </w:p>
    <w:p w14:paraId="6659B4C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56A57">
        <w:rPr>
          <w:rFonts w:asciiTheme="minorEastAsia" w:eastAsiaTheme="minorEastAsia" w:hAnsiTheme="minorEastAsia" w:hint="eastAsia"/>
          <w:color w:val="0D0D0D" w:themeColor="text1" w:themeTint="F2"/>
        </w:rPr>
        <w:t>二分之一</w:t>
      </w:r>
      <w:r w:rsidRPr="00B56A57">
        <w:rPr>
          <w:rFonts w:asciiTheme="minorEastAsia" w:hAnsiTheme="minorEastAsia" w:hint="eastAsia"/>
          <w:color w:val="0D0D0D" w:themeColor="text1" w:themeTint="F2"/>
        </w:rPr>
        <w:t>以上（含</w:t>
      </w:r>
      <w:r w:rsidRPr="00B56A57">
        <w:rPr>
          <w:rFonts w:asciiTheme="minorEastAsia" w:eastAsiaTheme="minorEastAsia" w:hAnsiTheme="minorEastAsia" w:hint="eastAsia"/>
          <w:color w:val="0D0D0D" w:themeColor="text1" w:themeTint="F2"/>
        </w:rPr>
        <w:t>二分之一</w:t>
      </w:r>
      <w:r w:rsidRPr="00B56A57">
        <w:rPr>
          <w:rFonts w:asciiTheme="minorEastAsia" w:hAnsiTheme="minorEastAsia" w:hint="eastAsia"/>
          <w:color w:val="0D0D0D" w:themeColor="text1" w:themeTint="F2"/>
        </w:rPr>
        <w:t>）选举产生一名基金份额持有人作为该次基金份额持有人大会的主持人。基金管理人和基金托管人拒不出席或主持基金份额持有人大会，不影响基金份额持有人大会作出的决议的效力。</w:t>
      </w:r>
    </w:p>
    <w:p w14:paraId="1A791CF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会议召集人应当制作出席会议人员的签名册。签名册载明参加会议人员姓名（或单位名称）、身份证明文件号码、持有或代表有表决权的基金份额、委托人姓名（或单位名称）和联系方式等事项。</w:t>
      </w:r>
    </w:p>
    <w:p w14:paraId="335843E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）通讯开会</w:t>
      </w:r>
    </w:p>
    <w:p w14:paraId="5C320CD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在通讯开会的情况下，首先由召集人提前</w:t>
      </w:r>
      <w:r w:rsidRPr="00B56A57">
        <w:rPr>
          <w:rFonts w:asciiTheme="minorEastAsia" w:hAnsiTheme="minorEastAsia"/>
          <w:color w:val="0D0D0D" w:themeColor="text1" w:themeTint="F2"/>
        </w:rPr>
        <w:t>30日公布提案，在所通知的表决截止日期后2个工作日内在公证机关监督下由召集人统计全部有效表决，在公证机关监督下形成决议。</w:t>
      </w:r>
    </w:p>
    <w:p w14:paraId="0724AEF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52" w:name="_Toc79392589"/>
      <w:bookmarkStart w:id="253" w:name="_Toc57530248"/>
      <w:bookmarkStart w:id="254" w:name="_Toc15641225"/>
      <w:r w:rsidRPr="00B56A57">
        <w:rPr>
          <w:rFonts w:asciiTheme="minorEastAsia" w:hAnsiTheme="minorEastAsia" w:hint="eastAsia"/>
          <w:color w:val="0D0D0D" w:themeColor="text1" w:themeTint="F2"/>
        </w:rPr>
        <w:t>六、表决</w:t>
      </w:r>
      <w:bookmarkEnd w:id="252"/>
      <w:bookmarkEnd w:id="253"/>
      <w:bookmarkEnd w:id="254"/>
    </w:p>
    <w:p w14:paraId="2558048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lastRenderedPageBreak/>
        <w:t>基金份额持有人所持每份基金份额有一票表决权。</w:t>
      </w:r>
    </w:p>
    <w:p w14:paraId="3CB38D7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基金份额持有人大会决议分为一般决议和特别决议：</w:t>
      </w:r>
    </w:p>
    <w:p w14:paraId="4F4795F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、一般决议，一般决议须经参加大会的基金份额持有人或其代理人所持表决权的二分之一以上（含二分之一）通过方为有效；除下列第</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项所规定的须以特别决议通过事项以外的其他事项均以一般决议的方式通过。</w:t>
      </w:r>
    </w:p>
    <w:p w14:paraId="0851800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特别决议，特别决议应当经参加大会的基金份额持有人或其代理人所持表决权的三分之二以上（含三分之二）通过方可做出。除法律法规、监管机构或基金合同另有约定外，转换基金运作方式、更换基金管理人或者基金托管人、终止《基金合同》、本基金与其他基金合并以特别决议通过方为有效。</w:t>
      </w:r>
    </w:p>
    <w:p w14:paraId="39AA193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基金份额持有人大会采取记名方式进行投票表决。</w:t>
      </w:r>
    </w:p>
    <w:p w14:paraId="4D96FA9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意见的基金份额持有人所代表的基金份额总数。</w:t>
      </w:r>
    </w:p>
    <w:p w14:paraId="3417A2D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基金份额持有人大会的各项提案或同一项提案内并列的各项议题应当分开审议、逐项表决。</w:t>
      </w:r>
    </w:p>
    <w:p w14:paraId="09CE9F8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55" w:name="_Toc15641226"/>
      <w:bookmarkStart w:id="256" w:name="_Toc57530249"/>
      <w:bookmarkStart w:id="257" w:name="_Toc79392590"/>
      <w:r w:rsidRPr="00B56A57">
        <w:rPr>
          <w:rFonts w:asciiTheme="minorEastAsia" w:hAnsiTheme="minorEastAsia" w:hint="eastAsia"/>
          <w:color w:val="0D0D0D" w:themeColor="text1" w:themeTint="F2"/>
        </w:rPr>
        <w:t>七、计票</w:t>
      </w:r>
      <w:bookmarkEnd w:id="255"/>
      <w:bookmarkEnd w:id="256"/>
      <w:bookmarkEnd w:id="257"/>
    </w:p>
    <w:p w14:paraId="56CA787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、现场开会</w:t>
      </w:r>
    </w:p>
    <w:p w14:paraId="307D8F6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BF3588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）监票人应当在基金份额持有人表决后立即进行清点并由大会主持人当场公布计票结果。</w:t>
      </w:r>
    </w:p>
    <w:p w14:paraId="219730E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03B877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）计票过程应由公证机关予以公证</w:t>
      </w:r>
      <w:r w:rsidRPr="00B56A57">
        <w:rPr>
          <w:rFonts w:asciiTheme="minorEastAsia" w:eastAsiaTheme="minorEastAsia" w:hAnsiTheme="minorEastAsia" w:hint="eastAsia"/>
          <w:color w:val="0D0D0D" w:themeColor="text1" w:themeTint="F2"/>
        </w:rPr>
        <w:t>，</w:t>
      </w:r>
      <w:r w:rsidRPr="00B56A57">
        <w:rPr>
          <w:rFonts w:asciiTheme="minorEastAsia" w:hAnsiTheme="minorEastAsia" w:hint="eastAsia"/>
          <w:color w:val="0D0D0D" w:themeColor="text1" w:themeTint="F2"/>
        </w:rPr>
        <w:t>基金管理人或基金托管人拒不出席大会的，不影响计票的效力。</w:t>
      </w:r>
    </w:p>
    <w:p w14:paraId="46C9155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、通讯开会</w:t>
      </w:r>
    </w:p>
    <w:p w14:paraId="2B4438B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在通讯开会的情况下，计票方式为：由大会召集人授权的两名监督员在基金托管人授权代表（若由基金托管人召集，则为基金管理人授权代表）的监督下进行计票，并由公证机关</w:t>
      </w:r>
      <w:r w:rsidRPr="00B56A57">
        <w:rPr>
          <w:rFonts w:asciiTheme="minorEastAsia" w:hAnsiTheme="minorEastAsia" w:hint="eastAsia"/>
          <w:color w:val="0D0D0D" w:themeColor="text1" w:themeTint="F2"/>
        </w:rPr>
        <w:lastRenderedPageBreak/>
        <w:t>对其计票过程予以公证</w:t>
      </w:r>
      <w:bookmarkStart w:id="258" w:name="_Toc79392591"/>
      <w:bookmarkStart w:id="259" w:name="_Toc57530250"/>
      <w:bookmarkStart w:id="260" w:name="_Toc15641227"/>
      <w:r w:rsidRPr="00B56A57">
        <w:rPr>
          <w:rFonts w:asciiTheme="minorEastAsia" w:hAnsiTheme="minorEastAsia" w:hint="eastAsia"/>
          <w:color w:val="0D0D0D" w:themeColor="text1" w:themeTint="F2"/>
        </w:rPr>
        <w:t>。基金管理人或基金托管人拒派代表对表决意见的计票进行监督的，不影响计票和表决结果。</w:t>
      </w:r>
    </w:p>
    <w:p w14:paraId="733FBDD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八、生效与公告</w:t>
      </w:r>
      <w:bookmarkEnd w:id="258"/>
      <w:bookmarkEnd w:id="259"/>
      <w:bookmarkEnd w:id="260"/>
    </w:p>
    <w:p w14:paraId="6F6284E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基金份额持有人大会的决议，召集人应当自通过之日起</w:t>
      </w:r>
      <w:r w:rsidRPr="00B56A57">
        <w:rPr>
          <w:rFonts w:asciiTheme="minorEastAsia" w:hAnsiTheme="minorEastAsia"/>
          <w:color w:val="0D0D0D" w:themeColor="text1" w:themeTint="F2"/>
        </w:rPr>
        <w:t>5日内报中国证监会备案。</w:t>
      </w:r>
    </w:p>
    <w:p w14:paraId="319224F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基金份额持有人大会的决议自表决通过之日起生效。</w:t>
      </w:r>
    </w:p>
    <w:p w14:paraId="4EA1838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基金份额持有人大会决议自生效之日起依照《信息披露办法》在规定媒介上公告。</w:t>
      </w:r>
      <w:bookmarkStart w:id="261" w:name="_Hlt88820702"/>
      <w:bookmarkEnd w:id="261"/>
      <w:r w:rsidRPr="00B56A57">
        <w:rPr>
          <w:rFonts w:asciiTheme="minorEastAsia" w:eastAsiaTheme="minorEastAsia" w:hAnsiTheme="minorEastAsia" w:hint="eastAsia"/>
          <w:color w:val="0D0D0D" w:themeColor="text1" w:themeTint="F2"/>
        </w:rPr>
        <w:t>如果采用通讯方式进行表决，在公告基金份额持有人大会决议时，必须将公证书全文、公证机构、公证员姓名等一同公告。</w:t>
      </w:r>
    </w:p>
    <w:p w14:paraId="253FC3C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基金管理人、基金托管人和基金份额持有人应当执行生效的基金份额持有人大会的决议。生效的基金份额持有人大会决议对全体基金份额持有人、基金管理人、基金托管人均有约束力。</w:t>
      </w:r>
    </w:p>
    <w:p w14:paraId="1A46C585"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bookmarkStart w:id="262" w:name="_Toc725"/>
      <w:bookmarkStart w:id="263" w:name="_Toc123051455"/>
      <w:bookmarkStart w:id="264" w:name="_Toc21735"/>
      <w:bookmarkStart w:id="265" w:name="_Toc139991739"/>
      <w:bookmarkStart w:id="266" w:name="_Toc141703889"/>
      <w:bookmarkStart w:id="267" w:name="_Toc18769"/>
      <w:bookmarkStart w:id="268" w:name="_Toc98560355"/>
      <w:bookmarkStart w:id="269" w:name="_Toc3572"/>
      <w:bookmarkStart w:id="270" w:name="_Toc123112237"/>
      <w:bookmarkStart w:id="271" w:name="_Toc3963"/>
      <w:bookmarkStart w:id="272" w:name="_Toc18206"/>
      <w:bookmarkStart w:id="273" w:name="_Toc31821"/>
      <w:bookmarkStart w:id="274" w:name="_Toc3080"/>
      <w:bookmarkStart w:id="275" w:name="_Toc10398"/>
      <w:bookmarkStart w:id="276" w:name="_Toc123102456"/>
      <w:bookmarkStart w:id="277" w:name="_Toc16164"/>
      <w:bookmarkStart w:id="278" w:name="_Toc1745"/>
      <w:r w:rsidRPr="00B56A57">
        <w:rPr>
          <w:rFonts w:asciiTheme="minorEastAsia" w:eastAsiaTheme="minorEastAsia" w:hAnsiTheme="minorEastAsia" w:hint="eastAsia"/>
          <w:color w:val="0D0D0D" w:themeColor="text1" w:themeTint="F2"/>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履行适当程序后，可直接对本部分内容进行修改和调整，无需召开基金份额持有人大会审议。</w:t>
      </w:r>
    </w:p>
    <w:p w14:paraId="28144E71" w14:textId="77777777" w:rsidR="00217DCA" w:rsidRPr="00B56A57" w:rsidRDefault="00217DCA">
      <w:pPr>
        <w:adjustRightInd w:val="0"/>
        <w:snapToGrid w:val="0"/>
        <w:spacing w:line="360" w:lineRule="auto"/>
        <w:rPr>
          <w:rFonts w:asciiTheme="minorEastAsia" w:eastAsiaTheme="minorEastAsia" w:hAnsiTheme="minorEastAsia" w:cs="Arial"/>
          <w:color w:val="0D0D0D" w:themeColor="text1" w:themeTint="F2"/>
          <w:szCs w:val="21"/>
        </w:rPr>
      </w:pPr>
      <w:bookmarkStart w:id="279" w:name="_Hlt70479195"/>
      <w:bookmarkEnd w:id="279"/>
    </w:p>
    <w:p w14:paraId="2E1217B3" w14:textId="77777777" w:rsidR="00217DCA" w:rsidRPr="00B56A57" w:rsidRDefault="00217DCA">
      <w:pPr>
        <w:pStyle w:val="1"/>
        <w:sectPr w:rsidR="00217DCA" w:rsidRPr="00B56A57">
          <w:footerReference w:type="default" r:id="rId25"/>
          <w:pgSz w:w="11906" w:h="16838"/>
          <w:pgMar w:top="1440" w:right="1800" w:bottom="1440" w:left="1800" w:header="851" w:footer="992" w:gutter="0"/>
          <w:pgNumType w:start="1"/>
          <w:cols w:space="425"/>
          <w:docGrid w:type="lines" w:linePitch="312"/>
        </w:sectPr>
      </w:pPr>
      <w:bookmarkStart w:id="280" w:name="_Toc90742326"/>
      <w:bookmarkStart w:id="281" w:name="_Toc90742693"/>
      <w:bookmarkStart w:id="282" w:name="_Toc90742395"/>
    </w:p>
    <w:p w14:paraId="0723EEEB" w14:textId="77777777" w:rsidR="00217DCA" w:rsidRPr="00B56A57" w:rsidRDefault="006C7341">
      <w:pPr>
        <w:pStyle w:val="1"/>
      </w:pPr>
      <w:bookmarkStart w:id="283" w:name="CLAUSE_823dc9468bc849cbaecf69069b7a07df"/>
      <w:bookmarkEnd w:id="233"/>
      <w:r w:rsidRPr="00B56A57">
        <w:lastRenderedPageBreak/>
        <w:t xml:space="preserve"> </w:t>
      </w:r>
      <w:bookmarkStart w:id="284" w:name="CTS_823dc9468bc849cbaecf69069b7a07df"/>
      <w:bookmarkStart w:id="285" w:name="_Toc64923775"/>
      <w:bookmarkStart w:id="286" w:name="_Toc73975088"/>
      <w:bookmarkEnd w:id="284"/>
      <w:r w:rsidRPr="00B56A57">
        <w:rPr>
          <w:rFonts w:cs="Arial" w:hint="eastAsia"/>
        </w:rPr>
        <w:t>第十一部分</w:t>
      </w:r>
      <w:r w:rsidRPr="00B56A57">
        <w:t xml:space="preserve"> 基金管理人、基金托管人的更换条件和程序</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80"/>
      <w:bookmarkEnd w:id="281"/>
      <w:bookmarkEnd w:id="282"/>
      <w:bookmarkEnd w:id="285"/>
      <w:bookmarkEnd w:id="286"/>
    </w:p>
    <w:p w14:paraId="08916C64" w14:textId="77777777" w:rsidR="00217DCA" w:rsidRPr="00B56A57" w:rsidRDefault="00217DCA">
      <w:pPr>
        <w:autoSpaceDE w:val="0"/>
        <w:autoSpaceDN w:val="0"/>
        <w:spacing w:line="360" w:lineRule="auto"/>
        <w:textAlignment w:val="bottom"/>
        <w:rPr>
          <w:rFonts w:asciiTheme="minorEastAsia" w:hAnsiTheme="minorEastAsia"/>
          <w:sz w:val="24"/>
        </w:rPr>
      </w:pPr>
      <w:bookmarkStart w:id="287" w:name="_Toc79392593"/>
      <w:bookmarkStart w:id="288" w:name="_Toc15118245"/>
      <w:bookmarkStart w:id="289" w:name="_Toc57530252"/>
    </w:p>
    <w:p w14:paraId="4DF7E29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一、基金管理人和基金托管人职责终止的情形</w:t>
      </w:r>
      <w:bookmarkEnd w:id="287"/>
      <w:bookmarkEnd w:id="288"/>
      <w:bookmarkEnd w:id="289"/>
    </w:p>
    <w:p w14:paraId="39BC7F6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90" w:name="_Toc22005971"/>
      <w:r w:rsidRPr="00B56A57">
        <w:rPr>
          <w:rFonts w:asciiTheme="minorEastAsia" w:hAnsiTheme="minorEastAsia" w:hint="eastAsia"/>
          <w:color w:val="0D0D0D" w:themeColor="text1" w:themeTint="F2"/>
        </w:rPr>
        <w:t>（一）</w:t>
      </w:r>
      <w:r w:rsidRPr="00B56A57">
        <w:rPr>
          <w:rFonts w:asciiTheme="minorEastAsia" w:hAnsiTheme="minorEastAsia"/>
          <w:color w:val="0D0D0D" w:themeColor="text1" w:themeTint="F2"/>
        </w:rPr>
        <w:tab/>
      </w:r>
      <w:r w:rsidRPr="00B56A57">
        <w:rPr>
          <w:rFonts w:asciiTheme="minorEastAsia" w:hAnsiTheme="minorEastAsia" w:hint="eastAsia"/>
          <w:color w:val="0D0D0D" w:themeColor="text1" w:themeTint="F2"/>
        </w:rPr>
        <w:t>基金管理人职责终止的情形</w:t>
      </w:r>
      <w:bookmarkEnd w:id="290"/>
    </w:p>
    <w:p w14:paraId="0F70E71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有下列情形之一的，基金管理人职责终止：</w:t>
      </w:r>
    </w:p>
    <w:p w14:paraId="795D3DA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、被依法取消基金管理资格；</w:t>
      </w:r>
    </w:p>
    <w:p w14:paraId="0914397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、被基金份额持有人大会解任；</w:t>
      </w:r>
    </w:p>
    <w:p w14:paraId="67EE653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、依法解散、被依法撤销或被依法宣告破产；</w:t>
      </w:r>
    </w:p>
    <w:p w14:paraId="3FAE1C5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、法律法规及中国证监会规定的和《基金合同》约定的其他情形。</w:t>
      </w:r>
    </w:p>
    <w:p w14:paraId="158301C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91" w:name="_Toc22005972"/>
      <w:r w:rsidRPr="00B56A57">
        <w:rPr>
          <w:rFonts w:asciiTheme="minorEastAsia" w:hAnsiTheme="minorEastAsia" w:hint="eastAsia"/>
          <w:color w:val="0D0D0D" w:themeColor="text1" w:themeTint="F2"/>
        </w:rPr>
        <w:t>（二）</w:t>
      </w:r>
      <w:r w:rsidRPr="00B56A57">
        <w:rPr>
          <w:rFonts w:asciiTheme="minorEastAsia" w:hAnsiTheme="minorEastAsia"/>
          <w:color w:val="0D0D0D" w:themeColor="text1" w:themeTint="F2"/>
        </w:rPr>
        <w:tab/>
      </w:r>
      <w:r w:rsidRPr="00B56A57">
        <w:rPr>
          <w:rFonts w:asciiTheme="minorEastAsia" w:hAnsiTheme="minorEastAsia" w:hint="eastAsia"/>
          <w:color w:val="0D0D0D" w:themeColor="text1" w:themeTint="F2"/>
        </w:rPr>
        <w:t>基金托管人职责终止的情形</w:t>
      </w:r>
      <w:bookmarkEnd w:id="291"/>
    </w:p>
    <w:p w14:paraId="5DE777D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有下列情形之一的，基金托管人职责终止：</w:t>
      </w:r>
    </w:p>
    <w:p w14:paraId="13ED89C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、被依法取消基金托管资格；</w:t>
      </w:r>
    </w:p>
    <w:p w14:paraId="1ACBC89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、被基金份额持有人大会解任；</w:t>
      </w:r>
    </w:p>
    <w:p w14:paraId="16DA801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、依法解散、被依法撤销或被依法宣告破产；</w:t>
      </w:r>
    </w:p>
    <w:p w14:paraId="577130F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、法律法规及中国证监会规定的和《基金合同》约定的其他情形。</w:t>
      </w:r>
    </w:p>
    <w:p w14:paraId="2C709DE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92" w:name="_Toc15118246"/>
      <w:bookmarkStart w:id="293" w:name="_Toc57530253"/>
      <w:bookmarkStart w:id="294" w:name="_Toc79392594"/>
      <w:r w:rsidRPr="00B56A57">
        <w:rPr>
          <w:rFonts w:asciiTheme="minorEastAsia" w:hAnsiTheme="minorEastAsia" w:hint="eastAsia"/>
          <w:color w:val="0D0D0D" w:themeColor="text1" w:themeTint="F2"/>
        </w:rPr>
        <w:t>二、基金管理人和基金托管人的更换程序</w:t>
      </w:r>
      <w:bookmarkEnd w:id="292"/>
      <w:bookmarkEnd w:id="293"/>
      <w:bookmarkEnd w:id="294"/>
    </w:p>
    <w:p w14:paraId="7766211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95" w:name="_Toc22005974"/>
      <w:r w:rsidRPr="00B56A57">
        <w:rPr>
          <w:rFonts w:asciiTheme="minorEastAsia" w:hAnsiTheme="minorEastAsia" w:hint="eastAsia"/>
          <w:color w:val="0D0D0D" w:themeColor="text1" w:themeTint="F2"/>
        </w:rPr>
        <w:t>（一）</w:t>
      </w:r>
      <w:r w:rsidRPr="00B56A57">
        <w:rPr>
          <w:rFonts w:asciiTheme="minorEastAsia" w:hAnsiTheme="minorEastAsia"/>
          <w:color w:val="0D0D0D" w:themeColor="text1" w:themeTint="F2"/>
        </w:rPr>
        <w:tab/>
      </w:r>
      <w:r w:rsidRPr="00B56A57">
        <w:rPr>
          <w:rFonts w:asciiTheme="minorEastAsia" w:hAnsiTheme="minorEastAsia" w:hint="eastAsia"/>
          <w:color w:val="0D0D0D" w:themeColor="text1" w:themeTint="F2"/>
        </w:rPr>
        <w:t>基金管理人的更换程序</w:t>
      </w:r>
      <w:bookmarkEnd w:id="295"/>
    </w:p>
    <w:p w14:paraId="240FA94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、提名：新任基金管理人由基金托管人或由单独或合计持有</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以上（含</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）基金份额的基金份额持有人提名；</w:t>
      </w:r>
    </w:p>
    <w:p w14:paraId="07DEA8E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、决议：基金份额持有人大会在基金管理人职责终止后</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个月内对被提名的基金管理人形成决议，该决议需经参加大会的基金份额持有人所持表决权的三分之二以上（含三分之二）表决通过，决议自表决通过之日起生效；</w:t>
      </w:r>
    </w:p>
    <w:p w14:paraId="04021C5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、临时基金管理人：新任基金管理人产生之前，由中国证监会指定临时基金管理人；</w:t>
      </w:r>
    </w:p>
    <w:p w14:paraId="600592C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、备案：基金份额持有人大会更换基金管理人的决议须报中国证监会备案；</w:t>
      </w:r>
    </w:p>
    <w:p w14:paraId="50DC314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、公告：基金管理人更换后，由基金托管人在更换基金管理人的基金份额持有人大会决议生效后</w:t>
      </w:r>
      <w:r w:rsidRPr="00B56A57">
        <w:rPr>
          <w:rFonts w:asciiTheme="minorEastAsia" w:eastAsiaTheme="minorEastAsia" w:hAnsiTheme="minorEastAsia" w:hint="eastAsia"/>
          <w:color w:val="0D0D0D" w:themeColor="text1" w:themeTint="F2"/>
        </w:rPr>
        <w:t>依照《信息披露办法》</w:t>
      </w:r>
      <w:r w:rsidRPr="00B56A57">
        <w:rPr>
          <w:rFonts w:asciiTheme="minorEastAsia" w:hAnsiTheme="minorEastAsia" w:hint="eastAsia"/>
          <w:color w:val="0D0D0D" w:themeColor="text1" w:themeTint="F2"/>
        </w:rPr>
        <w:t>在规定媒介公告</w:t>
      </w:r>
      <w:r w:rsidRPr="00B56A57">
        <w:rPr>
          <w:rFonts w:asciiTheme="minorEastAsia" w:eastAsiaTheme="minorEastAsia" w:hAnsiTheme="minorEastAsia" w:hint="eastAsia"/>
          <w:color w:val="0D0D0D" w:themeColor="text1" w:themeTint="F2"/>
        </w:rPr>
        <w:t>；</w:t>
      </w:r>
    </w:p>
    <w:p w14:paraId="2A5B8D5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交接：基金管理人职责终止的，基金管理人应妥善保管基金管理业务资料，及时向临时基金管理人或新任基金管理人办理基金管理业务的移交手续，临时基金管理人或新任基金管理人应及时接收。新任基金管理人</w:t>
      </w:r>
      <w:r w:rsidRPr="00B56A57">
        <w:rPr>
          <w:rFonts w:asciiTheme="minorEastAsia" w:eastAsiaTheme="minorEastAsia" w:hAnsiTheme="minorEastAsia" w:hint="eastAsia"/>
          <w:color w:val="0D0D0D" w:themeColor="text1" w:themeTint="F2"/>
        </w:rPr>
        <w:t>或临时基金管理人</w:t>
      </w:r>
      <w:r w:rsidRPr="00B56A57">
        <w:rPr>
          <w:rFonts w:asciiTheme="minorEastAsia" w:hAnsiTheme="minorEastAsia" w:hint="eastAsia"/>
          <w:color w:val="0D0D0D" w:themeColor="text1" w:themeTint="F2"/>
        </w:rPr>
        <w:t>应与基金托管人核对基金资产总值</w:t>
      </w:r>
      <w:r w:rsidRPr="00B56A57">
        <w:rPr>
          <w:rFonts w:asciiTheme="minorEastAsia" w:eastAsiaTheme="minorEastAsia" w:hAnsiTheme="minorEastAsia" w:hint="eastAsia"/>
          <w:color w:val="0D0D0D" w:themeColor="text1" w:themeTint="F2"/>
        </w:rPr>
        <w:t>和净值</w:t>
      </w:r>
      <w:r w:rsidRPr="00B56A57">
        <w:rPr>
          <w:rFonts w:asciiTheme="minorEastAsia" w:hAnsiTheme="minorEastAsia" w:hint="eastAsia"/>
          <w:color w:val="0D0D0D" w:themeColor="text1" w:themeTint="F2"/>
        </w:rPr>
        <w:t>；</w:t>
      </w:r>
    </w:p>
    <w:p w14:paraId="1549476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、审计：基金管理人职责终止的，应当按照法律法规规定聘请会计师事务所对基金财产进行审计，并将审计结果予以公告，同时报中国证监会备案</w:t>
      </w:r>
      <w:r w:rsidRPr="00B56A57">
        <w:rPr>
          <w:rFonts w:asciiTheme="minorEastAsia" w:eastAsiaTheme="minorEastAsia" w:hAnsiTheme="minorEastAsia" w:hint="eastAsia"/>
          <w:color w:val="0D0D0D" w:themeColor="text1" w:themeTint="F2"/>
        </w:rPr>
        <w:t>，审计费用从基金财产中列支</w:t>
      </w:r>
      <w:r w:rsidRPr="00B56A57">
        <w:rPr>
          <w:rFonts w:asciiTheme="minorEastAsia" w:hAnsiTheme="minorEastAsia" w:hint="eastAsia"/>
          <w:color w:val="0D0D0D" w:themeColor="text1" w:themeTint="F2"/>
        </w:rPr>
        <w:t>；</w:t>
      </w:r>
    </w:p>
    <w:p w14:paraId="3745E2C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8</w:t>
      </w:r>
      <w:r w:rsidRPr="00B56A57">
        <w:rPr>
          <w:rFonts w:asciiTheme="minorEastAsia" w:hAnsiTheme="minorEastAsia" w:hint="eastAsia"/>
          <w:color w:val="0D0D0D" w:themeColor="text1" w:themeTint="F2"/>
        </w:rPr>
        <w:t>、基金名称变更：基金管理人更换后，如果原任或新任基金管理人要求，应按其要求替换或删除基金名称中与原基金管理人有关的名称字样。</w:t>
      </w:r>
    </w:p>
    <w:p w14:paraId="0F19153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96" w:name="_Toc22005975"/>
      <w:r w:rsidRPr="00B56A57">
        <w:rPr>
          <w:rFonts w:asciiTheme="minorEastAsia" w:hAnsiTheme="minorEastAsia" w:hint="eastAsia"/>
          <w:color w:val="0D0D0D" w:themeColor="text1" w:themeTint="F2"/>
        </w:rPr>
        <w:lastRenderedPageBreak/>
        <w:t>（二）</w:t>
      </w:r>
      <w:r w:rsidRPr="00B56A57">
        <w:rPr>
          <w:rFonts w:asciiTheme="minorEastAsia" w:hAnsiTheme="minorEastAsia"/>
          <w:color w:val="0D0D0D" w:themeColor="text1" w:themeTint="F2"/>
        </w:rPr>
        <w:tab/>
      </w:r>
      <w:r w:rsidRPr="00B56A57">
        <w:rPr>
          <w:rFonts w:asciiTheme="minorEastAsia" w:hAnsiTheme="minorEastAsia" w:hint="eastAsia"/>
          <w:color w:val="0D0D0D" w:themeColor="text1" w:themeTint="F2"/>
        </w:rPr>
        <w:t>基金托管人的更换程序</w:t>
      </w:r>
      <w:bookmarkEnd w:id="296"/>
    </w:p>
    <w:p w14:paraId="5050295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、提名：新任基金托管人由基金管理人或由单独或合计持有</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以上（含</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）基金份额的基金份额持有人提名；</w:t>
      </w:r>
    </w:p>
    <w:p w14:paraId="2E4F9FB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、决议：基金份额持有人大会在基金托管人职责终止后</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个月内对被提名的基金托管人形成决议，该决议需经参加大会的基金份额持有人所持表决权的三分之二以上（含三分之二）表决通过，决议自表决通过之日起生效；</w:t>
      </w:r>
    </w:p>
    <w:p w14:paraId="3FAEFB8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、临时基金托管人：新任基金托管人产生之前，由中国证监会指定临时基金托管人；</w:t>
      </w:r>
    </w:p>
    <w:p w14:paraId="36F4784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、备案：基金份额持有人大会更换基金托管人的决议须报中国证监会备案；</w:t>
      </w:r>
    </w:p>
    <w:p w14:paraId="5BB64C6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、公告：基金托管人更换后，由基金管理人在更换基金托管人的基金份额持有人大会决议生效后</w:t>
      </w:r>
      <w:r w:rsidRPr="00B56A57">
        <w:rPr>
          <w:rFonts w:asciiTheme="minorEastAsia" w:eastAsiaTheme="minorEastAsia" w:hAnsiTheme="minorEastAsia" w:hint="eastAsia"/>
          <w:color w:val="0D0D0D" w:themeColor="text1" w:themeTint="F2"/>
        </w:rPr>
        <w:t>依照《信息披露办法》</w:t>
      </w:r>
      <w:r w:rsidRPr="00B56A57">
        <w:rPr>
          <w:rFonts w:asciiTheme="minorEastAsia" w:hAnsiTheme="minorEastAsia" w:hint="eastAsia"/>
          <w:color w:val="0D0D0D" w:themeColor="text1" w:themeTint="F2"/>
        </w:rPr>
        <w:t>在规定媒介公告</w:t>
      </w:r>
      <w:r w:rsidRPr="00B56A57">
        <w:rPr>
          <w:rFonts w:asciiTheme="minorEastAsia" w:eastAsiaTheme="minorEastAsia" w:hAnsiTheme="minorEastAsia" w:hint="eastAsia"/>
          <w:color w:val="0D0D0D" w:themeColor="text1" w:themeTint="F2"/>
        </w:rPr>
        <w:t>；</w:t>
      </w:r>
    </w:p>
    <w:p w14:paraId="7B9CD4E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、交接：基金托管人职责终止的，应当妥善保管基金财产和基金托管业务资料，及时办理基金财产和基金托管业务的移交手续，新任基金托管人或者临时基金托管人应当及时接收。新任基金托管人</w:t>
      </w:r>
      <w:r w:rsidRPr="00B56A57">
        <w:rPr>
          <w:rFonts w:asciiTheme="minorEastAsia" w:eastAsiaTheme="minorEastAsia" w:hAnsiTheme="minorEastAsia" w:hint="eastAsia"/>
          <w:color w:val="0D0D0D" w:themeColor="text1" w:themeTint="F2"/>
        </w:rPr>
        <w:t>或者临时基金托管人</w:t>
      </w:r>
      <w:r w:rsidRPr="00B56A57">
        <w:rPr>
          <w:rFonts w:asciiTheme="minorEastAsia" w:hAnsiTheme="minorEastAsia" w:hint="eastAsia"/>
          <w:color w:val="0D0D0D" w:themeColor="text1" w:themeTint="F2"/>
        </w:rPr>
        <w:t>与基金管理人核对基金资产总值</w:t>
      </w:r>
      <w:r w:rsidRPr="00B56A57">
        <w:rPr>
          <w:rFonts w:asciiTheme="minorEastAsia" w:eastAsiaTheme="minorEastAsia" w:hAnsiTheme="minorEastAsia" w:hint="eastAsia"/>
          <w:color w:val="0D0D0D" w:themeColor="text1" w:themeTint="F2"/>
        </w:rPr>
        <w:t>和净值</w:t>
      </w: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 xml:space="preserve"> </w:t>
      </w:r>
    </w:p>
    <w:p w14:paraId="4AA01CB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、审计：基金托管人职责终止的，应当按照法律法规规定聘请会计师事务所对基金财产进行审计，并将审计结果予以公告，同时报中国证监会备案</w:t>
      </w:r>
      <w:r w:rsidRPr="00B56A57">
        <w:rPr>
          <w:rFonts w:asciiTheme="minorEastAsia" w:eastAsiaTheme="minorEastAsia" w:hAnsiTheme="minorEastAsia" w:hint="eastAsia"/>
          <w:color w:val="0D0D0D" w:themeColor="text1" w:themeTint="F2"/>
        </w:rPr>
        <w:t>，审计费用从基金财产中列支</w:t>
      </w:r>
      <w:r w:rsidRPr="00B56A57">
        <w:rPr>
          <w:rFonts w:asciiTheme="minorEastAsia" w:hAnsiTheme="minorEastAsia" w:hint="eastAsia"/>
          <w:color w:val="0D0D0D" w:themeColor="text1" w:themeTint="F2"/>
        </w:rPr>
        <w:t>。</w:t>
      </w:r>
    </w:p>
    <w:p w14:paraId="7B7BB73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bookmarkStart w:id="297" w:name="_Toc1357"/>
      <w:r w:rsidRPr="00B56A57">
        <w:rPr>
          <w:rFonts w:asciiTheme="minorEastAsia" w:hAnsiTheme="minorEastAsia" w:hint="eastAsia"/>
          <w:color w:val="0D0D0D" w:themeColor="text1" w:themeTint="F2"/>
        </w:rPr>
        <w:t>（三）基金管理人与基金托管人同时更换的条件和程序。</w:t>
      </w:r>
      <w:bookmarkEnd w:id="297"/>
    </w:p>
    <w:p w14:paraId="543054B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、提名：如果基金管理人和基金托管人同时更换，由单独或合计持有基金总份额</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以上（含</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）的基金份额持有人提名新的基金管理人和基金托管人；</w:t>
      </w:r>
    </w:p>
    <w:p w14:paraId="5D2E5F5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、基金管理人和基金托管人的更换分别按上述程序进行；</w:t>
      </w:r>
    </w:p>
    <w:p w14:paraId="570BB62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、公告：新任基金管理人和新任基金托管人应在更换基金管理人和基金托管人的基金份额持有人大会决议生效后</w:t>
      </w:r>
      <w:r w:rsidRPr="00B56A57">
        <w:rPr>
          <w:rFonts w:asciiTheme="minorEastAsia" w:eastAsiaTheme="minorEastAsia" w:hAnsiTheme="minorEastAsia" w:hint="eastAsia"/>
          <w:color w:val="0D0D0D" w:themeColor="text1" w:themeTint="F2"/>
        </w:rPr>
        <w:t>依照《信息披露办法》</w:t>
      </w:r>
      <w:r w:rsidRPr="00B56A57">
        <w:rPr>
          <w:rFonts w:asciiTheme="minorEastAsia" w:hAnsiTheme="minorEastAsia" w:hint="eastAsia"/>
          <w:color w:val="0D0D0D" w:themeColor="text1" w:themeTint="F2"/>
        </w:rPr>
        <w:t>在规定媒介上联合公告。</w:t>
      </w:r>
    </w:p>
    <w:p w14:paraId="77574563"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四）新基金管理人或临时基金管理人接收基金管理业务或新基金托管人或临时基金托管人接收基金财产和基金托管业务前，原基金管理人或原基金托管人应依据法律法规和基金合同的规定继续履行相关职责，并保证不做出对基金份额持有人的利益造成损害的行为。原基金管理人或原基金托管人在继续履行相关职责期间，仍有权按照本基金合同的规定收取基金管理费或基金托管费。</w:t>
      </w:r>
    </w:p>
    <w:p w14:paraId="6A0DDDA6"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30FD1EB8" w14:textId="77777777" w:rsidR="00217DCA" w:rsidRPr="00B56A57" w:rsidRDefault="00217DCA">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bookmarkStart w:id="298" w:name="_Toc32092"/>
      <w:bookmarkStart w:id="299" w:name="_Toc17920"/>
      <w:bookmarkStart w:id="300" w:name="_Toc20976"/>
      <w:bookmarkStart w:id="301" w:name="_Toc123051456"/>
      <w:bookmarkStart w:id="302" w:name="_Toc123102457"/>
      <w:bookmarkStart w:id="303" w:name="_Toc29408"/>
      <w:bookmarkStart w:id="304" w:name="_Toc739"/>
      <w:bookmarkStart w:id="305" w:name="_Toc17198"/>
      <w:bookmarkStart w:id="306" w:name="_Toc48649708"/>
      <w:bookmarkStart w:id="307" w:name="_Toc123112238"/>
      <w:bookmarkStart w:id="308" w:name="_Toc21237"/>
      <w:bookmarkStart w:id="309" w:name="_Toc3329"/>
      <w:bookmarkStart w:id="310" w:name="_Toc98560356"/>
      <w:bookmarkStart w:id="311" w:name="_Toc141703890"/>
      <w:bookmarkStart w:id="312" w:name="_Toc5170"/>
      <w:bookmarkStart w:id="313" w:name="_Toc139991740"/>
      <w:bookmarkStart w:id="314" w:name="_Toc32584"/>
      <w:bookmarkStart w:id="315" w:name="_Toc79392622"/>
      <w:bookmarkStart w:id="316" w:name="_Toc8791"/>
    </w:p>
    <w:p w14:paraId="79904485" w14:textId="77777777" w:rsidR="00217DCA" w:rsidRPr="00B56A57" w:rsidRDefault="00217DCA">
      <w:pPr>
        <w:pStyle w:val="1"/>
        <w:sectPr w:rsidR="00217DCA" w:rsidRPr="00B56A57">
          <w:footerReference w:type="default" r:id="rId26"/>
          <w:pgSz w:w="11906" w:h="16838"/>
          <w:pgMar w:top="1440" w:right="1800" w:bottom="1440" w:left="1800" w:header="851" w:footer="992" w:gutter="0"/>
          <w:pgNumType w:start="1"/>
          <w:cols w:space="425"/>
          <w:docGrid w:type="lines" w:linePitch="312"/>
        </w:sectPr>
      </w:pPr>
      <w:bookmarkStart w:id="317" w:name="_Toc90742327"/>
      <w:bookmarkStart w:id="318" w:name="_Toc90742396"/>
      <w:bookmarkStart w:id="319" w:name="_Toc90742694"/>
    </w:p>
    <w:p w14:paraId="2EA18DB1" w14:textId="77777777" w:rsidR="00217DCA" w:rsidRPr="00B56A57" w:rsidRDefault="006C7341">
      <w:pPr>
        <w:pStyle w:val="1"/>
      </w:pPr>
      <w:bookmarkStart w:id="320" w:name="CLAUSE_cf06234a2fbe4900a7a3eadf36be3887"/>
      <w:bookmarkEnd w:id="283"/>
      <w:r w:rsidRPr="00B56A57">
        <w:lastRenderedPageBreak/>
        <w:t xml:space="preserve"> </w:t>
      </w:r>
      <w:bookmarkStart w:id="321" w:name="CTS_cf06234a2fbe4900a7a3eadf36be3887"/>
      <w:bookmarkStart w:id="322" w:name="_Toc64923776"/>
      <w:bookmarkStart w:id="323" w:name="_Toc73975089"/>
      <w:bookmarkEnd w:id="321"/>
      <w:r w:rsidRPr="00B56A57">
        <w:rPr>
          <w:rFonts w:cs="Arial" w:hint="eastAsia"/>
        </w:rPr>
        <w:t>第十二部分</w:t>
      </w:r>
      <w:r w:rsidRPr="00B56A57">
        <w:t xml:space="preserve"> 基金的托管</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2"/>
      <w:bookmarkEnd w:id="323"/>
    </w:p>
    <w:p w14:paraId="06C57E05" w14:textId="77777777" w:rsidR="00217DCA" w:rsidRPr="00B56A57" w:rsidRDefault="00217DCA">
      <w:pPr>
        <w:autoSpaceDE w:val="0"/>
        <w:autoSpaceDN w:val="0"/>
        <w:spacing w:line="360" w:lineRule="auto"/>
        <w:textAlignment w:val="bottom"/>
        <w:rPr>
          <w:rFonts w:asciiTheme="minorEastAsia" w:hAnsiTheme="minorEastAsia"/>
          <w:color w:val="0D0D0D" w:themeColor="text1" w:themeTint="F2"/>
        </w:rPr>
      </w:pPr>
    </w:p>
    <w:p w14:paraId="61803A9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基金托管人和基金管理人按照《基金法》、《基金合同》及其他有关规定订立托管协议。</w:t>
      </w:r>
    </w:p>
    <w:p w14:paraId="0F53A1B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66FEFE8" w14:textId="77777777" w:rsidR="00217DCA" w:rsidRPr="00B56A57" w:rsidRDefault="00217DCA">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bookmarkStart w:id="324" w:name="_Toc79392624"/>
      <w:bookmarkStart w:id="325" w:name="_Toc14725"/>
      <w:bookmarkStart w:id="326" w:name="_Toc26152"/>
      <w:bookmarkStart w:id="327" w:name="_Toc98560357"/>
      <w:bookmarkStart w:id="328" w:name="_Toc16789"/>
      <w:bookmarkStart w:id="329" w:name="_Toc26383"/>
      <w:bookmarkStart w:id="330" w:name="_Toc123102458"/>
      <w:bookmarkStart w:id="331" w:name="_Toc2255"/>
      <w:bookmarkStart w:id="332" w:name="_Toc21886"/>
      <w:bookmarkStart w:id="333" w:name="_Toc22674"/>
      <w:bookmarkStart w:id="334" w:name="_Toc26084"/>
      <w:bookmarkStart w:id="335" w:name="_Toc48649710"/>
      <w:bookmarkStart w:id="336" w:name="_Toc139991741"/>
      <w:bookmarkStart w:id="337" w:name="_Toc123051457"/>
      <w:bookmarkStart w:id="338" w:name="_Toc141703891"/>
      <w:bookmarkStart w:id="339" w:name="_Toc3244"/>
      <w:bookmarkStart w:id="340" w:name="_Toc123112239"/>
      <w:bookmarkStart w:id="341" w:name="_Toc19520"/>
      <w:bookmarkStart w:id="342" w:name="_Toc31469"/>
    </w:p>
    <w:bookmarkEnd w:id="320"/>
    <w:p w14:paraId="5F534583" w14:textId="77777777" w:rsidR="00217DCA" w:rsidRPr="00B56A57" w:rsidRDefault="00217DCA">
      <w:pPr>
        <w:pStyle w:val="1"/>
        <w:sectPr w:rsidR="00217DCA" w:rsidRPr="00B56A57">
          <w:footerReference w:type="default" r:id="rId27"/>
          <w:pgSz w:w="11906" w:h="16838"/>
          <w:pgMar w:top="1440" w:right="1800" w:bottom="1440" w:left="1800" w:header="851" w:footer="992" w:gutter="0"/>
          <w:pgNumType w:start="1"/>
          <w:cols w:space="425"/>
          <w:docGrid w:type="lines" w:linePitch="312"/>
        </w:sectPr>
      </w:pPr>
    </w:p>
    <w:p w14:paraId="189E8F34" w14:textId="77777777" w:rsidR="00217DCA" w:rsidRPr="00B56A57" w:rsidRDefault="006C7341">
      <w:pPr>
        <w:pStyle w:val="1"/>
      </w:pPr>
      <w:bookmarkStart w:id="343" w:name="CLAUSE_bfa81950e3c644629507a2e36591d953"/>
      <w:r w:rsidRPr="00B56A57">
        <w:lastRenderedPageBreak/>
        <w:t xml:space="preserve"> </w:t>
      </w:r>
      <w:bookmarkStart w:id="344" w:name="CTS_bfa81950e3c644629507a2e36591d953"/>
      <w:bookmarkStart w:id="345" w:name="_Toc64923777"/>
      <w:bookmarkStart w:id="346" w:name="_Toc73975090"/>
      <w:bookmarkEnd w:id="344"/>
      <w:r w:rsidRPr="00B56A57">
        <w:rPr>
          <w:rFonts w:cs="Arial" w:hint="eastAsia"/>
        </w:rPr>
        <w:t>第十三部分</w:t>
      </w:r>
      <w:r w:rsidRPr="00B56A57">
        <w:t xml:space="preserve"> 基金份额的登记</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5"/>
      <w:bookmarkEnd w:id="346"/>
    </w:p>
    <w:p w14:paraId="15E884DA" w14:textId="77777777" w:rsidR="00217DCA" w:rsidRPr="00B56A57" w:rsidRDefault="00217DCA">
      <w:pPr>
        <w:autoSpaceDE w:val="0"/>
        <w:autoSpaceDN w:val="0"/>
        <w:spacing w:line="360" w:lineRule="auto"/>
        <w:textAlignment w:val="bottom"/>
        <w:rPr>
          <w:rFonts w:asciiTheme="minorEastAsia" w:hAnsiTheme="minorEastAsia"/>
          <w:sz w:val="24"/>
        </w:rPr>
      </w:pPr>
    </w:p>
    <w:p w14:paraId="143D533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一、基金份额</w:t>
      </w:r>
      <w:r w:rsidRPr="00B56A57">
        <w:rPr>
          <w:rFonts w:asciiTheme="minorEastAsia" w:eastAsiaTheme="minorEastAsia" w:hAnsiTheme="minorEastAsia" w:hint="eastAsia"/>
          <w:color w:val="0D0D0D" w:themeColor="text1" w:themeTint="F2"/>
        </w:rPr>
        <w:t>的</w:t>
      </w:r>
      <w:r w:rsidRPr="00B56A57">
        <w:rPr>
          <w:rFonts w:asciiTheme="minorEastAsia" w:hAnsiTheme="minorEastAsia" w:hint="eastAsia"/>
          <w:color w:val="0D0D0D" w:themeColor="text1" w:themeTint="F2"/>
        </w:rPr>
        <w:t>登记业务</w:t>
      </w:r>
    </w:p>
    <w:p w14:paraId="0FAD814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本基金的登记业务指本基金登记、存管、过户、清算和结算业务，具体内容包括投资人</w:t>
      </w:r>
      <w:r w:rsidRPr="00B56A57">
        <w:rPr>
          <w:rFonts w:asciiTheme="minorEastAsia" w:eastAsiaTheme="minorEastAsia" w:hAnsiTheme="minorEastAsia" w:hint="eastAsia"/>
          <w:color w:val="0D0D0D" w:themeColor="text1" w:themeTint="F2"/>
        </w:rPr>
        <w:t>相关</w:t>
      </w:r>
      <w:r w:rsidRPr="00B56A57">
        <w:rPr>
          <w:rFonts w:asciiTheme="minorEastAsia" w:hAnsiTheme="minorEastAsia" w:hint="eastAsia"/>
          <w:color w:val="0D0D0D" w:themeColor="text1" w:themeTint="F2"/>
        </w:rPr>
        <w:t>账户的建立和管理、基金份额登记、基金销售业务的确认、清算和结算、代理发放红利、建立并保管基金份额持有人名册和办理非交易过户等。</w:t>
      </w:r>
    </w:p>
    <w:p w14:paraId="0E44572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二、基金登记业务办理机构</w:t>
      </w:r>
    </w:p>
    <w:p w14:paraId="6ED06A6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本基金的登记业务由基金管理人或基金管理人委托的其他符合条件的机构办理</w:t>
      </w:r>
      <w:r w:rsidRPr="00B56A57">
        <w:rPr>
          <w:rFonts w:asciiTheme="minorEastAsia" w:eastAsiaTheme="minorEastAsia" w:hAnsiTheme="minorEastAsia" w:hint="eastAsia"/>
          <w:color w:val="0D0D0D" w:themeColor="text1" w:themeTint="F2"/>
        </w:rPr>
        <w:t>，但基金管理人依法应当承担的责任不因委托而免除。</w:t>
      </w:r>
      <w:r w:rsidRPr="00B56A57">
        <w:rPr>
          <w:rFonts w:asciiTheme="minorEastAsia" w:hAnsiTheme="minorEastAsia" w:hint="eastAsia"/>
          <w:color w:val="0D0D0D" w:themeColor="text1" w:themeTint="F2"/>
        </w:rPr>
        <w:t>基金管理人委托其他机构办理本基金登记业务的，应与</w:t>
      </w:r>
      <w:r w:rsidRPr="00B56A57">
        <w:rPr>
          <w:rFonts w:asciiTheme="minorEastAsia" w:eastAsiaTheme="minorEastAsia" w:hAnsiTheme="minorEastAsia" w:hint="eastAsia"/>
          <w:color w:val="0D0D0D" w:themeColor="text1" w:themeTint="F2"/>
        </w:rPr>
        <w:t>有关机构</w:t>
      </w:r>
      <w:r w:rsidRPr="00B56A57">
        <w:rPr>
          <w:rFonts w:asciiTheme="minorEastAsia" w:hAnsiTheme="minorEastAsia" w:hint="eastAsia"/>
          <w:color w:val="0D0D0D" w:themeColor="text1" w:themeTint="F2"/>
        </w:rPr>
        <w:t>签订委托代理协议，以明确基金管理人和代理机构在登记</w:t>
      </w:r>
      <w:r w:rsidRPr="00B56A57">
        <w:rPr>
          <w:rFonts w:asciiTheme="minorEastAsia" w:eastAsiaTheme="minorEastAsia" w:hAnsiTheme="minorEastAsia" w:hint="eastAsia"/>
          <w:color w:val="0D0D0D" w:themeColor="text1" w:themeTint="F2"/>
        </w:rPr>
        <w:t>业务</w:t>
      </w:r>
      <w:r w:rsidRPr="00B56A57">
        <w:rPr>
          <w:rFonts w:asciiTheme="minorEastAsia" w:hAnsiTheme="minorEastAsia" w:hint="eastAsia"/>
          <w:color w:val="0D0D0D" w:themeColor="text1" w:themeTint="F2"/>
        </w:rPr>
        <w:t>中的权利和义务，保护基金份额持有人的合法权益</w:t>
      </w:r>
      <w:r w:rsidRPr="00B56A57">
        <w:rPr>
          <w:rFonts w:asciiTheme="minorEastAsia" w:eastAsiaTheme="minorEastAsia" w:hAnsiTheme="minorEastAsia" w:hint="eastAsia"/>
          <w:color w:val="0D0D0D" w:themeColor="text1" w:themeTint="F2"/>
        </w:rPr>
        <w:t>。本基金的登记业务由中国证券登记结算有限责任公司负责办理</w:t>
      </w:r>
      <w:r w:rsidRPr="00B56A57">
        <w:rPr>
          <w:rFonts w:asciiTheme="minorEastAsia" w:hAnsiTheme="minorEastAsia" w:hint="eastAsia"/>
          <w:color w:val="0D0D0D" w:themeColor="text1" w:themeTint="F2"/>
        </w:rPr>
        <w:t>。</w:t>
      </w:r>
    </w:p>
    <w:p w14:paraId="4C8DE4B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三、基金登记机构的权利</w:t>
      </w:r>
      <w:bookmarkStart w:id="347" w:name="_Hlt88820748"/>
      <w:bookmarkEnd w:id="347"/>
    </w:p>
    <w:p w14:paraId="7A8BA2B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基金登记机构享有以下权利：</w:t>
      </w:r>
    </w:p>
    <w:p w14:paraId="59EEDBD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、取得登记费；</w:t>
      </w:r>
    </w:p>
    <w:p w14:paraId="3B7597E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、建立和管理投资者</w:t>
      </w:r>
      <w:r w:rsidRPr="00B56A57">
        <w:rPr>
          <w:rFonts w:asciiTheme="minorEastAsia" w:eastAsiaTheme="minorEastAsia" w:hAnsiTheme="minorEastAsia" w:hint="eastAsia"/>
          <w:color w:val="0D0D0D" w:themeColor="text1" w:themeTint="F2"/>
        </w:rPr>
        <w:t>相关</w:t>
      </w:r>
      <w:r w:rsidRPr="00B56A57">
        <w:rPr>
          <w:rFonts w:asciiTheme="minorEastAsia" w:hAnsiTheme="minorEastAsia" w:hint="eastAsia"/>
          <w:color w:val="0D0D0D" w:themeColor="text1" w:themeTint="F2"/>
        </w:rPr>
        <w:t>账户；</w:t>
      </w:r>
    </w:p>
    <w:p w14:paraId="29518B5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、保管基金份额持有人开户资料、交易资料、基金份额持有人名册等；</w:t>
      </w:r>
    </w:p>
    <w:p w14:paraId="385AEC8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、在法律法规允许的范围内，对登记业务的办理时间进行调整，并依照有关规定于开始实施前在规定媒介上公告；</w:t>
      </w:r>
    </w:p>
    <w:p w14:paraId="13300CA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、法律法规及中国证监会规定的和《基金合同》约定的其他权利。</w:t>
      </w:r>
    </w:p>
    <w:p w14:paraId="3561F27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四、基金登记机构的义务</w:t>
      </w:r>
    </w:p>
    <w:p w14:paraId="09A018A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基金登记机构承担以下义务：</w:t>
      </w:r>
    </w:p>
    <w:p w14:paraId="5DDF5CF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、配备足够的专业人员办理本基金份额的登记业务；</w:t>
      </w:r>
    </w:p>
    <w:p w14:paraId="5CFE71C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、严格按照法律法规和《基金合同》规定的条件办理本基金份额的登记业务；</w:t>
      </w:r>
    </w:p>
    <w:p w14:paraId="2860D24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、妥善保存登记数据，并将基金份额持有人名称、身份信息及基金份额明细等数据备份至中国证监会认定的机构。其保存期限自</w:t>
      </w:r>
      <w:r w:rsidRPr="00B56A57">
        <w:rPr>
          <w:rFonts w:asciiTheme="minorEastAsia" w:eastAsiaTheme="minorEastAsia" w:hAnsiTheme="minorEastAsia" w:hint="eastAsia"/>
          <w:color w:val="0D0D0D" w:themeColor="text1" w:themeTint="F2"/>
        </w:rPr>
        <w:t>相关</w:t>
      </w:r>
      <w:r w:rsidRPr="00B56A57">
        <w:rPr>
          <w:rFonts w:asciiTheme="minorEastAsia" w:hAnsiTheme="minorEastAsia" w:hint="eastAsia"/>
          <w:color w:val="0D0D0D" w:themeColor="text1" w:themeTint="F2"/>
        </w:rPr>
        <w:t>账户销户之日起不得少于</w:t>
      </w:r>
      <w:r w:rsidRPr="00B56A57">
        <w:rPr>
          <w:rFonts w:asciiTheme="minorEastAsia" w:hAnsiTheme="minorEastAsia"/>
          <w:color w:val="0D0D0D" w:themeColor="text1" w:themeTint="F2"/>
        </w:rPr>
        <w:t>20年；</w:t>
      </w:r>
    </w:p>
    <w:p w14:paraId="256F39C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、对基金份额持有人的</w:t>
      </w:r>
      <w:r w:rsidRPr="00B56A57">
        <w:rPr>
          <w:rFonts w:asciiTheme="minorEastAsia" w:eastAsiaTheme="minorEastAsia" w:hAnsiTheme="minorEastAsia" w:hint="eastAsia"/>
          <w:color w:val="0D0D0D" w:themeColor="text1" w:themeTint="F2"/>
        </w:rPr>
        <w:t>相关</w:t>
      </w:r>
      <w:r w:rsidRPr="00B56A57">
        <w:rPr>
          <w:rFonts w:asciiTheme="minorEastAsia" w:hAnsiTheme="minorEastAsia" w:hint="eastAsia"/>
          <w:color w:val="0D0D0D" w:themeColor="text1" w:themeTint="F2"/>
        </w:rPr>
        <w:t>账户信息负有保密义务，因违反该保密义务对投资者或基金带来的损失，须承担相应的赔偿责任，但司法强制检查情形及法律法规及中国证监会规定的和《基金合同》约定的其他情形除外；</w:t>
      </w:r>
    </w:p>
    <w:p w14:paraId="3708F85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、按《基金合同》及招募说明书规定为投资者办理非交易过户业务、提供其他必要的服务；</w:t>
      </w:r>
    </w:p>
    <w:p w14:paraId="6E2BE20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、接受基金管理人的监督；</w:t>
      </w:r>
    </w:p>
    <w:p w14:paraId="248BA1E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、法律法规及中国证监会规定的和《基金合同》约定的其他义务。</w:t>
      </w:r>
    </w:p>
    <w:p w14:paraId="1BCFEA86" w14:textId="77777777" w:rsidR="00217DCA" w:rsidRPr="00B56A57" w:rsidRDefault="00217DCA">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bookmarkStart w:id="348" w:name="_Toc13343"/>
      <w:bookmarkStart w:id="349" w:name="_Toc3872"/>
      <w:bookmarkStart w:id="350" w:name="_Toc11351"/>
      <w:bookmarkStart w:id="351" w:name="_Toc5477"/>
      <w:bookmarkStart w:id="352" w:name="_Toc11395"/>
      <w:bookmarkStart w:id="353" w:name="_Toc16437"/>
      <w:bookmarkStart w:id="354" w:name="_Toc578"/>
      <w:bookmarkStart w:id="355" w:name="_Toc21917"/>
      <w:bookmarkStart w:id="356" w:name="_Toc22538"/>
      <w:bookmarkStart w:id="357" w:name="_Toc2981"/>
      <w:bookmarkStart w:id="358" w:name="_Toc801"/>
    </w:p>
    <w:p w14:paraId="1264DFF6" w14:textId="77777777" w:rsidR="00217DCA" w:rsidRPr="00B56A57" w:rsidRDefault="00217DCA">
      <w:pPr>
        <w:pStyle w:val="1"/>
        <w:sectPr w:rsidR="00217DCA" w:rsidRPr="00B56A57">
          <w:footerReference w:type="default" r:id="rId28"/>
          <w:pgSz w:w="11906" w:h="16838"/>
          <w:pgMar w:top="1440" w:right="1800" w:bottom="1440" w:left="1800" w:header="851" w:footer="992" w:gutter="0"/>
          <w:pgNumType w:start="1"/>
          <w:cols w:space="425"/>
          <w:docGrid w:type="lines" w:linePitch="312"/>
        </w:sectPr>
      </w:pPr>
      <w:bookmarkStart w:id="359" w:name="_Toc90742398"/>
      <w:bookmarkStart w:id="360" w:name="_Toc90742696"/>
      <w:bookmarkStart w:id="361" w:name="_Toc90742329"/>
    </w:p>
    <w:p w14:paraId="42F0AC92" w14:textId="77777777" w:rsidR="00217DCA" w:rsidRPr="00B56A57" w:rsidRDefault="006C7341">
      <w:pPr>
        <w:pStyle w:val="1"/>
      </w:pPr>
      <w:bookmarkStart w:id="362" w:name="CLAUSE_f31ad7d3cb5c4cbe853348e241930cf5"/>
      <w:bookmarkEnd w:id="343"/>
      <w:r w:rsidRPr="00B56A57">
        <w:lastRenderedPageBreak/>
        <w:t xml:space="preserve"> </w:t>
      </w:r>
      <w:bookmarkStart w:id="363" w:name="CTS_f31ad7d3cb5c4cbe853348e241930cf5"/>
      <w:bookmarkStart w:id="364" w:name="_Toc64923778"/>
      <w:bookmarkStart w:id="365" w:name="_Toc73975091"/>
      <w:bookmarkEnd w:id="363"/>
      <w:r w:rsidRPr="00B56A57">
        <w:rPr>
          <w:rFonts w:cs="Arial" w:hint="eastAsia"/>
        </w:rPr>
        <w:t>第十四</w:t>
      </w:r>
      <w:r w:rsidRPr="00B56A57">
        <w:rPr>
          <w:rFonts w:hint="eastAsia"/>
        </w:rPr>
        <w:t>部分</w:t>
      </w:r>
      <w:r w:rsidRPr="00B56A57">
        <w:t xml:space="preserve"> </w:t>
      </w:r>
      <w:r w:rsidRPr="00B56A57">
        <w:rPr>
          <w:rFonts w:hint="eastAsia"/>
        </w:rPr>
        <w:t>基金的投资</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4"/>
      <w:bookmarkEnd w:id="365"/>
    </w:p>
    <w:p w14:paraId="26192C77" w14:textId="77777777" w:rsidR="00217DCA" w:rsidRPr="00B56A57" w:rsidRDefault="00217DCA">
      <w:pPr>
        <w:spacing w:line="360" w:lineRule="auto"/>
        <w:ind w:firstLineChars="200" w:firstLine="480"/>
        <w:rPr>
          <w:rFonts w:asciiTheme="minorEastAsia" w:hAnsiTheme="minorEastAsia"/>
          <w:sz w:val="24"/>
        </w:rPr>
      </w:pPr>
    </w:p>
    <w:p w14:paraId="2ECB996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一、投资目标</w:t>
      </w:r>
    </w:p>
    <w:p w14:paraId="53C841BB"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紧密跟踪标的指数，追求跟踪偏离度和跟踪误差的最小化。</w:t>
      </w:r>
    </w:p>
    <w:p w14:paraId="448E89C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二、投资范围</w:t>
      </w:r>
    </w:p>
    <w:p w14:paraId="2B49B31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本基金主要投资于标的指数成份股和备选成份股（含存托凭证）。</w:t>
      </w:r>
    </w:p>
    <w:p w14:paraId="4568AB4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为更好地实现基金的投资目标，本基金可少量投资于依法发行上市的其他港股通标的股票等非成份股（含存托凭证）、债券（包括国债、金融债、地方政府债、政府支持机构债券、企业债、公司债、可转换债券（含分离交易可转债的纯债部分）、可交换债券、央行票据、短期融资券、超短期融资券、中期票据等）、国债期货、股指期货、股票期权、货币市场工具（包括银行存款、同业存单等）、债券回购、资产支持证券以及法律法规或中国证监会允许基金投资的其他金融工具（但须符合中国证监会的相关规定）。</w:t>
      </w:r>
    </w:p>
    <w:p w14:paraId="5B80DEBF" w14:textId="479EB8FC"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本基金将根据法律法规的规定参与融资及转融通证券出借业务。</w:t>
      </w:r>
    </w:p>
    <w:p w14:paraId="79EE388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本基金投资于标的指数成份股和备选成份股（含存托凭证）的资产比例不低于基金资产净值的</w:t>
      </w:r>
      <w:r w:rsidRPr="00B56A57">
        <w:rPr>
          <w:rFonts w:asciiTheme="minorEastAsia" w:hAnsiTheme="minorEastAsia"/>
          <w:color w:val="0D0D0D" w:themeColor="text1" w:themeTint="F2"/>
        </w:rPr>
        <w:t>90%；本基金每个交易日日终在扣除股指期货、股票期权和国债期货合约需缴纳的交易保证金后，应当保持不低于交易保证金一倍的现金，其中现金不包括结算备付金、存出保证金、应收申购款等；股指期货、股票期权、国债期货及其他金融工具的投资比例依照法律法规或监管机构的规定执行。</w:t>
      </w:r>
    </w:p>
    <w:p w14:paraId="42FC5A0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lang w:val="zh-CN"/>
        </w:rPr>
      </w:pPr>
      <w:bookmarkStart w:id="366" w:name="_Hlk33696331"/>
      <w:r w:rsidRPr="00B56A57">
        <w:rPr>
          <w:rFonts w:asciiTheme="minorEastAsia" w:hAnsiTheme="minorEastAsia" w:hint="eastAsia"/>
          <w:color w:val="0D0D0D" w:themeColor="text1" w:themeTint="F2"/>
        </w:rPr>
        <w:t>若法律法规的相关规定发生变更或监管机构允许，本基金管理人在履行适当程序后，可对上述资产配置比例进行调整。</w:t>
      </w:r>
    </w:p>
    <w:bookmarkEnd w:id="366"/>
    <w:p w14:paraId="6616B27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三、投资策略</w:t>
      </w:r>
    </w:p>
    <w:p w14:paraId="0FC90C45"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1、组合复制策略</w:t>
      </w:r>
    </w:p>
    <w:p w14:paraId="2EE87DC5"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基金主要采用完全复制法进行投资，即按照成份股在标的指数中的基准权重来构建指数化投资组合，并根据标的指数成份股及其权重的变化进行相应调整。但因特殊情况（比如流动性不足等）导致本基金无法有效复制和跟踪标的指数时，基金管理人可使用其他合理方法进行适当的替代。特殊情况包括但不限于以下情形：（</w:t>
      </w:r>
      <w:r w:rsidRPr="00B56A57">
        <w:rPr>
          <w:rFonts w:asciiTheme="minorEastAsia" w:eastAsiaTheme="minorEastAsia" w:hAnsiTheme="minorEastAsia"/>
          <w:color w:val="0D0D0D" w:themeColor="text1" w:themeTint="F2"/>
        </w:rPr>
        <w:t>1）法律法规的限制；（2）标的指数成份股流动性严重不足；（3）标的指数的成份股长期停牌；（4）其它合理原因导致本基金管理人对标的指数的跟踪构成严重制约等。</w:t>
      </w:r>
    </w:p>
    <w:p w14:paraId="282DCC14"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在正常情况下，本基金力争控制投资组合的净值增长率与业绩比较基准之间的预期日均跟踪偏离度的绝对值小于</w:t>
      </w:r>
      <w:r w:rsidRPr="00B56A57">
        <w:rPr>
          <w:rFonts w:asciiTheme="minorEastAsia" w:eastAsiaTheme="minorEastAsia" w:hAnsiTheme="minorEastAsia"/>
          <w:color w:val="0D0D0D" w:themeColor="text1" w:themeTint="F2"/>
        </w:rPr>
        <w:t>0.35%，预期年化跟踪误差不超过4%。如因标的指数编制规则调整等其他原因，导致基金日均跟踪偏离度和跟踪误差变大，基金管理人应采取合理措施，避免</w:t>
      </w:r>
      <w:r w:rsidRPr="00B56A57">
        <w:rPr>
          <w:rFonts w:asciiTheme="minorEastAsia" w:eastAsiaTheme="minorEastAsia" w:hAnsiTheme="minorEastAsia" w:hint="eastAsia"/>
          <w:color w:val="0D0D0D" w:themeColor="text1" w:themeTint="F2"/>
        </w:rPr>
        <w:t>日均跟踪偏离度和跟踪误差的进一步扩大。</w:t>
      </w:r>
    </w:p>
    <w:p w14:paraId="7FFAE91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当指数编制方法变更、成份股发生变更、成份股权重由于自由流通量调整而发生变化、成份股派发现金股息、配股及增发、股票长期停牌、市场流动性不足等情况发生时，基金管</w:t>
      </w:r>
      <w:r w:rsidRPr="00B56A57">
        <w:rPr>
          <w:rFonts w:asciiTheme="minorEastAsia" w:eastAsiaTheme="minorEastAsia" w:hAnsiTheme="minorEastAsia" w:hint="eastAsia"/>
          <w:color w:val="0D0D0D" w:themeColor="text1" w:themeTint="F2"/>
        </w:rPr>
        <w:lastRenderedPageBreak/>
        <w:t>理人将对投资组合进行优化，尽量降低跟踪误差。</w:t>
      </w:r>
    </w:p>
    <w:p w14:paraId="57CDF32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按规定在规定媒介公告，并阐明变更复制方法的原因。</w:t>
      </w:r>
    </w:p>
    <w:p w14:paraId="12F6BFB8"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2、债券（含可转换债券、可交换债券）投资策略</w:t>
      </w:r>
    </w:p>
    <w:p w14:paraId="1F25BC6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本基金债券投资组合将着重考虑基金的流动性管理及策略性投资的需要，选取到期日在一年以内的政府债券进行配置。债券投资的目的是保证基金资产流动性，有效利用基金资产，提高基金资产的投资收益。</w:t>
      </w:r>
    </w:p>
    <w:p w14:paraId="05BA7F7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在分析宏观经济运行特征并对各类市场大势做出判断的前提下，本基金着重对可转换债券所对应的基础股票进行分析和研究，从行业选择和个券选择两方面进行全方位的评估，对盈利能力或成长性较好的行业和上市公司的可转换债券进行重点关注，并结合基金管理人可转债评级系统对可转换债券投资价值进行有效的评估，选择投资价值较高的个券进行投资。</w:t>
      </w:r>
    </w:p>
    <w:p w14:paraId="5EB98260"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可交换债券在换股期间用于交换的股票是发行人持有的其他上市公司</w:t>
      </w:r>
      <w:r w:rsidRPr="00B56A57">
        <w:rPr>
          <w:rFonts w:asciiTheme="minorEastAsia" w:eastAsiaTheme="minorEastAsia" w:hAnsiTheme="minorEastAsia"/>
          <w:color w:val="0D0D0D" w:themeColor="text1" w:themeTint="F2"/>
        </w:rPr>
        <w:t>(以下简称“目标公司”)的股票。可交换债券同样兼具股票和债券的特性。其中,债券特性与可转换债券相同,指持有至到期获取的票面利息和票面价值。股票特性则指目标公司的成长能力、盈利能力及目标公司股票价格的成长性等。本基金将通过对可交换债券的纯债价值和目标公司的股票价值进行研究分析,综合开展投资决策。</w:t>
      </w:r>
    </w:p>
    <w:p w14:paraId="0DCB7DE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3、资产支持证券的投资策略</w:t>
      </w:r>
    </w:p>
    <w:p w14:paraId="52AA0FB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基金投资资产支持证券将综合运用战略资产配置和战术资产配置进行资产支持证券投资组合管理，并根据信用风险、利率风险和流动性风险变化积极调整投资策略，严格遵守法律法规和基金合同，在力争本金安全和基金资产流动性基础上获得长期稳定收益。</w:t>
      </w:r>
    </w:p>
    <w:p w14:paraId="612A930F"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4、非成份股的股票投资策略</w:t>
      </w:r>
    </w:p>
    <w:p w14:paraId="395898A4"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在特殊情况下，本基金将少量投资于非成份股的港股通标的股票等其他股票。</w:t>
      </w:r>
    </w:p>
    <w:p w14:paraId="16E49E8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5、存托凭证投资策略</w:t>
      </w:r>
    </w:p>
    <w:p w14:paraId="5BA25771"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本基金将根据本基金的投资目标和股票投资策略，基于对基础证券投资价值的深入研究判断，进行存托凭证的投资。</w:t>
      </w:r>
    </w:p>
    <w:p w14:paraId="7E015EF1"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6、衍生品投资策略</w:t>
      </w:r>
    </w:p>
    <w:p w14:paraId="15A43C0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w:t>
      </w:r>
      <w:r w:rsidRPr="00B56A57">
        <w:rPr>
          <w:rFonts w:asciiTheme="minorEastAsia" w:eastAsiaTheme="minorEastAsia" w:hAnsiTheme="minorEastAsia" w:hint="eastAsia"/>
          <w:color w:val="0D0D0D" w:themeColor="text1" w:themeTint="F2"/>
        </w:rPr>
        <w:t>国债期货投资策略</w:t>
      </w:r>
    </w:p>
    <w:p w14:paraId="58A0021B"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本基金将根据风险管理的原则，以套期保值为目的，在风险可控的前提下，本着谨慎原则，参与国债期货的投资，改善组合的风险收益特性。</w:t>
      </w:r>
    </w:p>
    <w:p w14:paraId="0D7DA1A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bookmarkStart w:id="367" w:name="_Hlk33696528"/>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2）股指期货投资策略</w:t>
      </w:r>
    </w:p>
    <w:bookmarkEnd w:id="367"/>
    <w:p w14:paraId="27B0117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本基金投资股指期货将根据风险管理的原则，以套期保值为目的，力争利用股指期货的杠杆作用，降低股票仓位频繁调整的交易成本和跟踪误差，达到有效跟踪标的指数的目的。</w:t>
      </w:r>
    </w:p>
    <w:p w14:paraId="289B9F42"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lastRenderedPageBreak/>
        <w:t>（</w:t>
      </w:r>
      <w:r w:rsidRPr="00B56A57">
        <w:rPr>
          <w:rFonts w:asciiTheme="minorEastAsia" w:eastAsiaTheme="minorEastAsia" w:hAnsiTheme="minorEastAsia"/>
          <w:color w:val="0D0D0D" w:themeColor="text1" w:themeTint="F2"/>
        </w:rPr>
        <w:t>3）股票期权投资策略</w:t>
      </w:r>
    </w:p>
    <w:p w14:paraId="75397F50"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本基金将按照风险管理的原则，以套期保值为主要目的参与股票期权交易。本基金将结合投资目标、比例限制、风险收益特征以及法律法规的相关限定和要求，确定参与股票期权交易的投资时机和投资比例。</w:t>
      </w:r>
    </w:p>
    <w:p w14:paraId="39D6262F"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本基金投资股票期权，基金管理人将根据审慎原则，建立股票期权交易决策部门或小组，授权特定的管理人员负责股票期权的投资审批事项，以防范股票期权投资的风险。</w:t>
      </w:r>
    </w:p>
    <w:p w14:paraId="6783B84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7、融资及转融通证券出借策略</w:t>
      </w:r>
    </w:p>
    <w:p w14:paraId="4342835E" w14:textId="2F2B650E"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基金将在充分考虑风险和收益特征的基础上，审慎参与融资及转融通证券出借业务。本基金将基于对市场行情和组合风险收益的分析，确定投资时机、标的证券以及投资比例。本基金将根据市场情况、投资者类型和结构、本基金的历史申赎情况、出借证券流动性情况等因素，合理确定出借证券的范围、品类、期限和比例。若相关融资及转融通证券出借业务法律法规发生变化，本基金将从其最新规定，以符合上述法律法规和监管要求的变化。</w:t>
      </w:r>
    </w:p>
    <w:p w14:paraId="4B7B40E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未来，随着投资工具的发展和丰富，本基金可在不改变投资目标的前提下，相应调整和更新相关投资策略，并在招募说明书更新中公告。</w:t>
      </w:r>
    </w:p>
    <w:p w14:paraId="5275AC3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四、投资</w:t>
      </w:r>
      <w:r w:rsidRPr="00B56A57">
        <w:rPr>
          <w:rFonts w:asciiTheme="minorEastAsia" w:eastAsiaTheme="minorEastAsia" w:hAnsiTheme="minorEastAsia"/>
          <w:color w:val="0D0D0D" w:themeColor="text1" w:themeTint="F2"/>
        </w:rPr>
        <w:t>组合管理</w:t>
      </w:r>
    </w:p>
    <w:p w14:paraId="075CB31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1、组合限制</w:t>
      </w:r>
    </w:p>
    <w:p w14:paraId="0A4E5B0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基金的投资组合应遵循以下限制：</w:t>
      </w:r>
    </w:p>
    <w:p w14:paraId="7B07232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1）本基金投资</w:t>
      </w:r>
      <w:r w:rsidRPr="00B56A57">
        <w:rPr>
          <w:rFonts w:asciiTheme="minorEastAsia" w:eastAsiaTheme="minorEastAsia" w:hAnsiTheme="minorEastAsia" w:hint="eastAsia"/>
          <w:color w:val="0D0D0D" w:themeColor="text1" w:themeTint="F2"/>
        </w:rPr>
        <w:t>于标的指数成份股和备选成份股（含存托凭证）的资产</w:t>
      </w:r>
      <w:r w:rsidRPr="00B56A57">
        <w:rPr>
          <w:rFonts w:asciiTheme="minorEastAsia" w:hAnsiTheme="minorEastAsia" w:hint="eastAsia"/>
          <w:color w:val="0D0D0D" w:themeColor="text1" w:themeTint="F2"/>
        </w:rPr>
        <w:t>比例不低于基金资产净值</w:t>
      </w:r>
      <w:r w:rsidRPr="00B56A57">
        <w:rPr>
          <w:rFonts w:asciiTheme="minorEastAsia" w:eastAsiaTheme="minorEastAsia" w:hAnsiTheme="minorEastAsia" w:hint="eastAsia"/>
          <w:color w:val="0D0D0D" w:themeColor="text1" w:themeTint="F2"/>
        </w:rPr>
        <w:t>的</w:t>
      </w:r>
      <w:r w:rsidRPr="00B56A57">
        <w:rPr>
          <w:rFonts w:asciiTheme="minorEastAsia" w:eastAsiaTheme="minorEastAsia" w:hAnsiTheme="minorEastAsia"/>
          <w:color w:val="0D0D0D" w:themeColor="text1" w:themeTint="F2"/>
        </w:rPr>
        <w:t>90%；</w:t>
      </w:r>
    </w:p>
    <w:p w14:paraId="5BDCD341"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2</w:t>
      </w:r>
      <w:r w:rsidRPr="00B56A57">
        <w:rPr>
          <w:rFonts w:asciiTheme="minorEastAsia" w:eastAsiaTheme="minorEastAsia" w:hAnsiTheme="minorEastAsia" w:hint="eastAsia"/>
          <w:color w:val="0D0D0D" w:themeColor="text1" w:themeTint="F2"/>
        </w:rPr>
        <w:t>）本基金每个交易日日终在扣除国债期货、股指期货和股票期权合约需缴纳的交易保证金后，应当保持不低于交易保证金一倍的现金，其中现金不包括结算备付金、存出保证金和应收申购款等；</w:t>
      </w:r>
    </w:p>
    <w:p w14:paraId="41A14C1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3）本基金参与股指期货交易依据下列标准建构组合：</w:t>
      </w:r>
    </w:p>
    <w:p w14:paraId="63F0E246"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在任何交易日日终，持有的买入股指期货合约价值，不得超过基金资产净值的</w:t>
      </w:r>
      <w:r w:rsidRPr="00B56A57">
        <w:rPr>
          <w:rFonts w:asciiTheme="minorEastAsia" w:eastAsiaTheme="minorEastAsia" w:hAnsiTheme="minorEastAsia"/>
          <w:color w:val="0D0D0D" w:themeColor="text1" w:themeTint="F2"/>
        </w:rPr>
        <w:t>10%；在</w:t>
      </w:r>
      <w:r w:rsidRPr="00B56A57">
        <w:rPr>
          <w:rFonts w:asciiTheme="minorEastAsia" w:eastAsiaTheme="minorEastAsia" w:hAnsiTheme="minorEastAsia" w:hint="eastAsia"/>
          <w:color w:val="0D0D0D" w:themeColor="text1" w:themeTint="F2"/>
        </w:rPr>
        <w:t>任何交易日日终，持有的卖出股指期货合约价值不得超过基金持有的股票总市值的</w:t>
      </w:r>
      <w:r w:rsidRPr="00B56A57">
        <w:rPr>
          <w:rFonts w:asciiTheme="minorEastAsia" w:eastAsiaTheme="minorEastAsia" w:hAnsiTheme="minorEastAsia"/>
          <w:color w:val="0D0D0D" w:themeColor="text1" w:themeTint="F2"/>
        </w:rPr>
        <w:t>20%；在任何交易日内交易（不包括平仓）的股指期货合约的成交金额不得超过上一交易日基金资产净值的20%；本基金所持有的股票市值和买入、卖出股指期货合约价值，合计（轧差计算）应当符合基金合同关于股票投资比例有关约定；</w:t>
      </w:r>
    </w:p>
    <w:p w14:paraId="2B25820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4</w:t>
      </w:r>
      <w:r w:rsidRPr="00B56A57">
        <w:rPr>
          <w:rFonts w:asciiTheme="minorEastAsia" w:eastAsiaTheme="minorEastAsia" w:hAnsiTheme="minorEastAsia" w:hint="eastAsia"/>
          <w:color w:val="0D0D0D" w:themeColor="text1" w:themeTint="F2"/>
        </w:rPr>
        <w:t>）本基金参与国债期货交易依据下列标准建构组合：</w:t>
      </w:r>
    </w:p>
    <w:p w14:paraId="58FB18C5"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在任何交易日日终，持有的买入国债期货合约价值，不得超过基金资产净值的</w:t>
      </w:r>
      <w:r w:rsidRPr="00B56A57">
        <w:rPr>
          <w:rFonts w:asciiTheme="minorEastAsia" w:eastAsiaTheme="minorEastAsia" w:hAnsiTheme="minorEastAsia"/>
          <w:color w:val="0D0D0D" w:themeColor="text1" w:themeTint="F2"/>
        </w:rPr>
        <w:t>15%；在任何交易日日终，持有的卖出国债期货合约价值不得超过基金持有的债券总市值的30%；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14:paraId="33F2148F"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lastRenderedPageBreak/>
        <w:t>（</w:t>
      </w:r>
      <w:r w:rsidRPr="00B56A57">
        <w:rPr>
          <w:rFonts w:asciiTheme="minorEastAsia" w:eastAsiaTheme="minorEastAsia" w:hAnsiTheme="minorEastAsia"/>
          <w:color w:val="0D0D0D" w:themeColor="text1" w:themeTint="F2"/>
        </w:rPr>
        <w:t>5</w:t>
      </w:r>
      <w:r w:rsidRPr="00B56A57">
        <w:rPr>
          <w:rFonts w:asciiTheme="minorEastAsia" w:eastAsiaTheme="minorEastAsia" w:hAnsiTheme="minorEastAsia" w:hint="eastAsia"/>
          <w:color w:val="0D0D0D" w:themeColor="text1" w:themeTint="F2"/>
        </w:rPr>
        <w:t>）在任何交易日日终，持有的买入国债期货和股指期货合约价值与有价证券市值之和，不得超过基金资产净值的</w:t>
      </w:r>
      <w:r w:rsidRPr="00B56A57">
        <w:rPr>
          <w:rFonts w:asciiTheme="minorEastAsia" w:eastAsiaTheme="minorEastAsia" w:hAnsiTheme="minorEastAsia"/>
          <w:color w:val="0D0D0D" w:themeColor="text1" w:themeTint="F2"/>
        </w:rPr>
        <w:t>100%，其中，有价证券指股票、债券（不含到期日在一年以内的政府债券）、资产支持证券、买入返售金融资产（不含质押式回购）等；</w:t>
      </w:r>
    </w:p>
    <w:p w14:paraId="690B875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6）本基金持有的全部资产支持证券，其市值不得超过基金资产净值的20％；</w:t>
      </w:r>
    </w:p>
    <w:p w14:paraId="7A54FDA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7</w:t>
      </w:r>
      <w:r w:rsidRPr="00B56A57">
        <w:rPr>
          <w:rFonts w:asciiTheme="minorEastAsia" w:hAnsiTheme="minorEastAsia" w:hint="eastAsia"/>
          <w:color w:val="0D0D0D" w:themeColor="text1" w:themeTint="F2"/>
        </w:rPr>
        <w:t>）本基金投资于同一原始权益人的各类资产支持证券的比例，不得超过基金资产净值的</w:t>
      </w:r>
      <w:r w:rsidRPr="00B56A57">
        <w:rPr>
          <w:rFonts w:asciiTheme="minorEastAsia" w:hAnsiTheme="minorEastAsia"/>
          <w:color w:val="0D0D0D" w:themeColor="text1" w:themeTint="F2"/>
        </w:rPr>
        <w:t>10％；</w:t>
      </w:r>
    </w:p>
    <w:p w14:paraId="299508E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8</w:t>
      </w:r>
      <w:r w:rsidRPr="00B56A57">
        <w:rPr>
          <w:rFonts w:asciiTheme="minorEastAsia" w:hAnsiTheme="minorEastAsia" w:hint="eastAsia"/>
          <w:color w:val="0D0D0D" w:themeColor="text1" w:themeTint="F2"/>
        </w:rPr>
        <w:t>）本基金持有的同一</w:t>
      </w:r>
      <w:r w:rsidRPr="00B56A57">
        <w:rPr>
          <w:rFonts w:asciiTheme="minorEastAsia" w:hAnsiTheme="minorEastAsia"/>
          <w:color w:val="0D0D0D" w:themeColor="text1" w:themeTint="F2"/>
        </w:rPr>
        <w:t>(指同一信用级别)资产支持证券的比例，不得超过该资产支持证券规模的10％；</w:t>
      </w:r>
    </w:p>
    <w:p w14:paraId="55844AB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9</w:t>
      </w:r>
      <w:r w:rsidRPr="00B56A57">
        <w:rPr>
          <w:rFonts w:asciiTheme="minorEastAsia" w:hAnsiTheme="minorEastAsia" w:hint="eastAsia"/>
          <w:color w:val="0D0D0D" w:themeColor="text1" w:themeTint="F2"/>
        </w:rPr>
        <w:t>）本基金管理人管理的全部基金投资于同一原始权益人的各类资产支持证券，不得超过其各类资产支持证券合计规模的</w:t>
      </w:r>
      <w:r w:rsidRPr="00B56A57">
        <w:rPr>
          <w:rFonts w:asciiTheme="minorEastAsia" w:hAnsiTheme="minorEastAsia"/>
          <w:color w:val="0D0D0D" w:themeColor="text1" w:themeTint="F2"/>
        </w:rPr>
        <w:t>10％；</w:t>
      </w:r>
    </w:p>
    <w:p w14:paraId="4F33D19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10</w:t>
      </w:r>
      <w:r w:rsidRPr="00B56A57">
        <w:rPr>
          <w:rFonts w:asciiTheme="minorEastAsia" w:hAnsiTheme="minorEastAsia" w:hint="eastAsia"/>
          <w:color w:val="0D0D0D" w:themeColor="text1" w:themeTint="F2"/>
        </w:rPr>
        <w:t>）本基金应投资于信用级别评级为</w:t>
      </w:r>
      <w:r w:rsidRPr="00B56A57">
        <w:rPr>
          <w:rFonts w:asciiTheme="minorEastAsia" w:hAnsiTheme="minorEastAsia"/>
          <w:color w:val="0D0D0D" w:themeColor="text1" w:themeTint="F2"/>
        </w:rPr>
        <w:t>BBB以上(含BBB)的资产支持证券。基金持有资产支持证券期间，如果其信用等级下降、不再符合投资标准，应在评级报告发布之日起3个月内予以全部卖出；</w:t>
      </w:r>
    </w:p>
    <w:p w14:paraId="11FC1F5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11</w:t>
      </w:r>
      <w:r w:rsidRPr="00B56A57">
        <w:rPr>
          <w:rFonts w:asciiTheme="minorEastAsia" w:hAnsiTheme="minorEastAsia" w:hint="eastAsia"/>
          <w:color w:val="0D0D0D" w:themeColor="text1" w:themeTint="F2"/>
        </w:rPr>
        <w:t>）基金财产参与股票发行申购，本基金所申报的金额不超过本基金的总资产，本基金所申报的股票数量不超过拟发行股票公司本次发行股票的总量；</w:t>
      </w:r>
    </w:p>
    <w:p w14:paraId="104A264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12</w:t>
      </w:r>
      <w:r w:rsidRPr="00B56A57">
        <w:rPr>
          <w:rFonts w:asciiTheme="minorEastAsia" w:hAnsiTheme="minorEastAsia" w:hint="eastAsia"/>
          <w:color w:val="0D0D0D" w:themeColor="text1" w:themeTint="F2"/>
        </w:rPr>
        <w:t>）本基金进入全国银行间同业市场进行债券回购的资金余额不得超过基金资产净值的</w:t>
      </w:r>
      <w:r w:rsidRPr="00B56A57">
        <w:rPr>
          <w:rFonts w:asciiTheme="minorEastAsia" w:hAnsiTheme="minorEastAsia"/>
          <w:color w:val="0D0D0D" w:themeColor="text1" w:themeTint="F2"/>
        </w:rPr>
        <w:t>40%</w:t>
      </w:r>
      <w:r w:rsidRPr="00B56A57">
        <w:rPr>
          <w:rFonts w:asciiTheme="minorEastAsia" w:eastAsiaTheme="minorEastAsia" w:hAnsiTheme="minorEastAsia" w:hint="eastAsia"/>
          <w:color w:val="0D0D0D" w:themeColor="text1" w:themeTint="F2"/>
        </w:rPr>
        <w:t>；在</w:t>
      </w:r>
      <w:r w:rsidRPr="00B56A57">
        <w:rPr>
          <w:rFonts w:asciiTheme="minorEastAsia" w:hAnsiTheme="minorEastAsia" w:hint="eastAsia"/>
          <w:color w:val="0D0D0D" w:themeColor="text1" w:themeTint="F2"/>
        </w:rPr>
        <w:t>全国银行间同业市场</w:t>
      </w:r>
      <w:r w:rsidRPr="00B56A57">
        <w:rPr>
          <w:rFonts w:asciiTheme="minorEastAsia" w:eastAsiaTheme="minorEastAsia" w:hAnsiTheme="minorEastAsia" w:hint="eastAsia"/>
          <w:color w:val="0D0D0D" w:themeColor="text1" w:themeTint="F2"/>
        </w:rPr>
        <w:t>中的</w:t>
      </w:r>
      <w:r w:rsidRPr="00B56A57">
        <w:rPr>
          <w:rFonts w:asciiTheme="minorEastAsia" w:hAnsiTheme="minorEastAsia" w:hint="eastAsia"/>
          <w:color w:val="0D0D0D" w:themeColor="text1" w:themeTint="F2"/>
        </w:rPr>
        <w:t>债券回购最长期限为</w:t>
      </w:r>
      <w:r w:rsidRPr="00B56A57">
        <w:rPr>
          <w:rFonts w:asciiTheme="minorEastAsia" w:hAnsiTheme="minorEastAsia"/>
          <w:color w:val="0D0D0D" w:themeColor="text1" w:themeTint="F2"/>
        </w:rPr>
        <w:t>1年，债券回购到期后</w:t>
      </w:r>
      <w:r w:rsidRPr="00B56A57">
        <w:rPr>
          <w:rFonts w:asciiTheme="minorEastAsia" w:eastAsiaTheme="minorEastAsia" w:hAnsiTheme="minorEastAsia" w:hint="eastAsia"/>
          <w:color w:val="0D0D0D" w:themeColor="text1" w:themeTint="F2"/>
        </w:rPr>
        <w:t>不</w:t>
      </w:r>
      <w:r w:rsidRPr="00B56A57">
        <w:rPr>
          <w:rFonts w:asciiTheme="minorEastAsia" w:hAnsiTheme="minorEastAsia" w:hint="eastAsia"/>
          <w:color w:val="0D0D0D" w:themeColor="text1" w:themeTint="F2"/>
        </w:rPr>
        <w:t>展期；</w:t>
      </w:r>
    </w:p>
    <w:p w14:paraId="07AACF41"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13）本基金资产总值不得超过基金资产净值的140%；</w:t>
      </w:r>
    </w:p>
    <w:p w14:paraId="3EDDAE34"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14）本基金参与融资的，在任何交易日日终，本基金持有的融资买入股票与其他有价证券市值之和，不得超过基金资产净值的95%；</w:t>
      </w:r>
    </w:p>
    <w:p w14:paraId="5970E691"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15）本基金参与转融通证券出借交易应当符合以下要求：</w:t>
      </w:r>
    </w:p>
    <w:p w14:paraId="5B4A352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1）出借证券资产不得超过基金资产净值的30%，出借期限在10个交易日以上的出借证券应纳入《流动性风险管理规定》所述流动性受限证券的范围；</w:t>
      </w:r>
    </w:p>
    <w:p w14:paraId="48E6B36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2）参与出借业务的单只证券不得超过基金持有该证券总量的30%；</w:t>
      </w:r>
    </w:p>
    <w:p w14:paraId="557E194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3）最近6个月内日均基金资产净值不得低于2亿元；</w:t>
      </w:r>
    </w:p>
    <w:p w14:paraId="619D0AA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4）证券出借的平均剩余期限不得超过30天，平均剩余期限按照市值加权平均计算；</w:t>
      </w:r>
    </w:p>
    <w:p w14:paraId="60AF135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因证券市场波动、上市公司合并、基金规模变动等基金管理人之外的因素致使基金投资不符合本条规定的，基金管理人不得新增出借业务；</w:t>
      </w:r>
    </w:p>
    <w:p w14:paraId="3785ECE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16）</w:t>
      </w:r>
      <w:r w:rsidRPr="00B56A57">
        <w:rPr>
          <w:rFonts w:asciiTheme="minorEastAsia" w:eastAsiaTheme="minorEastAsia" w:hAnsiTheme="minorEastAsia" w:hint="eastAsia"/>
          <w:color w:val="0D0D0D" w:themeColor="text1" w:themeTint="F2"/>
        </w:rPr>
        <w:t>基金因未平仓的股票期权合约支付和收取的权利金总额不得超过基金资产净值的</w:t>
      </w:r>
      <w:r w:rsidRPr="00B56A57">
        <w:rPr>
          <w:rFonts w:asciiTheme="minorEastAsia" w:eastAsiaTheme="minorEastAsia" w:hAnsiTheme="minorEastAsia"/>
          <w:color w:val="0D0D0D" w:themeColor="text1" w:themeTint="F2"/>
        </w:rPr>
        <w:t>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20%。其中，合约面值按照行权价乘以合约乘数计算；基金投资股票期权应符合基金合同约定的比例限制（如股票仓位、个股占比等）、投资目标和风险收益特征；</w:t>
      </w:r>
    </w:p>
    <w:p w14:paraId="1FEAF017" w14:textId="1B5E4E61"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lastRenderedPageBreak/>
        <w:t>（</w:t>
      </w:r>
      <w:r w:rsidR="00160A52" w:rsidRPr="00B56A57">
        <w:rPr>
          <w:rFonts w:asciiTheme="minorEastAsia" w:eastAsiaTheme="minorEastAsia" w:hAnsiTheme="minorEastAsia"/>
          <w:color w:val="0D0D0D" w:themeColor="text1" w:themeTint="F2"/>
        </w:rPr>
        <w:t>17</w:t>
      </w:r>
      <w:r w:rsidRPr="00B56A57">
        <w:rPr>
          <w:rFonts w:asciiTheme="minorEastAsia" w:eastAsiaTheme="minorEastAsia" w:hAnsiTheme="minorEastAsia" w:hint="eastAsia"/>
          <w:color w:val="0D0D0D" w:themeColor="text1" w:themeTint="F2"/>
        </w:rPr>
        <w:t>）</w:t>
      </w:r>
      <w:r w:rsidRPr="00B56A57">
        <w:rPr>
          <w:rFonts w:asciiTheme="minorEastAsia" w:hAnsiTheme="minorEastAsia" w:hint="eastAsia"/>
          <w:color w:val="0D0D0D" w:themeColor="text1" w:themeTint="F2"/>
        </w:rPr>
        <w:t>本基金主动投资于流动性受限资产的市值合计不得超过基金资产净值的</w:t>
      </w:r>
      <w:r w:rsidRPr="00B56A57">
        <w:rPr>
          <w:rFonts w:asciiTheme="minorEastAsia" w:hAnsiTheme="minorEastAsia"/>
          <w:color w:val="0D0D0D" w:themeColor="text1" w:themeTint="F2"/>
        </w:rPr>
        <w:t>15%；因证券市场波动、上市公司股票停牌、基金规模变动等基金管理人之外的因素致使基金不符合该比例限制的，基金管理人不得主动新增流动性受限资产的投资；</w:t>
      </w:r>
    </w:p>
    <w:p w14:paraId="13095D1A" w14:textId="0BF19E1B"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00160A52" w:rsidRPr="00B56A57">
        <w:rPr>
          <w:rFonts w:asciiTheme="minorEastAsia" w:eastAsiaTheme="minorEastAsia" w:hAnsiTheme="minorEastAsia"/>
          <w:color w:val="0D0D0D" w:themeColor="text1" w:themeTint="F2"/>
        </w:rPr>
        <w:t>18</w:t>
      </w:r>
      <w:r w:rsidRPr="00B56A57">
        <w:rPr>
          <w:rFonts w:asciiTheme="minorEastAsia" w:hAnsiTheme="minorEastAsia" w:hint="eastAsia"/>
          <w:color w:val="0D0D0D" w:themeColor="text1" w:themeTint="F2"/>
        </w:rPr>
        <w:t>）本基金与私募类证券资管产品及中国证监会认定的其他主体为交易对手开展逆回购交易的，可接受质押品的资质要求应当与本基金合同约定的投资范围保持一致；</w:t>
      </w:r>
    </w:p>
    <w:p w14:paraId="69457181" w14:textId="4F4B347F"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00160A52" w:rsidRPr="00B56A57">
        <w:rPr>
          <w:rFonts w:asciiTheme="minorEastAsia" w:eastAsiaTheme="minorEastAsia" w:hAnsiTheme="minorEastAsia"/>
          <w:color w:val="0D0D0D" w:themeColor="text1" w:themeTint="F2"/>
        </w:rPr>
        <w:t>19</w:t>
      </w:r>
      <w:r w:rsidRPr="00B56A57">
        <w:rPr>
          <w:rFonts w:asciiTheme="minorEastAsia" w:hAnsiTheme="minorEastAsia" w:hint="eastAsia"/>
          <w:color w:val="0D0D0D" w:themeColor="text1" w:themeTint="F2"/>
        </w:rPr>
        <w:t>）法律法规及中国证监会规定的和《基金合同》约定的其他投资限制。</w:t>
      </w:r>
    </w:p>
    <w:p w14:paraId="28205182" w14:textId="42A8AFFF"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除</w:t>
      </w:r>
      <w:r w:rsidRPr="00B56A57">
        <w:rPr>
          <w:rFonts w:asciiTheme="minorEastAsia" w:eastAsiaTheme="minorEastAsia" w:hAnsiTheme="minorEastAsia" w:hint="eastAsia"/>
          <w:color w:val="0D0D0D" w:themeColor="text1" w:themeTint="F2"/>
        </w:rPr>
        <w:t>第（</w:t>
      </w:r>
      <w:r w:rsidRPr="00B56A57">
        <w:rPr>
          <w:rFonts w:asciiTheme="minorEastAsia" w:eastAsiaTheme="minorEastAsia" w:hAnsiTheme="minorEastAsia"/>
          <w:color w:val="0D0D0D" w:themeColor="text1" w:themeTint="F2"/>
        </w:rPr>
        <w:t>2）、（10）、（15）、（</w:t>
      </w:r>
      <w:r w:rsidR="00160A52" w:rsidRPr="00B56A57">
        <w:rPr>
          <w:rFonts w:asciiTheme="minorEastAsia" w:eastAsiaTheme="minorEastAsia" w:hAnsiTheme="minorEastAsia"/>
          <w:color w:val="0D0D0D" w:themeColor="text1" w:themeTint="F2"/>
        </w:rPr>
        <w:t>17</w:t>
      </w:r>
      <w:r w:rsidRPr="00B56A57">
        <w:rPr>
          <w:rFonts w:asciiTheme="minorEastAsia" w:eastAsiaTheme="minorEastAsia" w:hAnsiTheme="minorEastAsia" w:hint="eastAsia"/>
          <w:color w:val="0D0D0D" w:themeColor="text1" w:themeTint="F2"/>
        </w:rPr>
        <w:t>）、（</w:t>
      </w:r>
      <w:r w:rsidR="00160A52" w:rsidRPr="00B56A57">
        <w:rPr>
          <w:rFonts w:asciiTheme="minorEastAsia" w:eastAsiaTheme="minorEastAsia" w:hAnsiTheme="minorEastAsia"/>
          <w:color w:val="0D0D0D" w:themeColor="text1" w:themeTint="F2"/>
        </w:rPr>
        <w:t>18</w:t>
      </w:r>
      <w:r w:rsidRPr="00B56A57">
        <w:rPr>
          <w:rFonts w:asciiTheme="minorEastAsia" w:eastAsiaTheme="minorEastAsia" w:hAnsiTheme="minorEastAsia" w:hint="eastAsia"/>
          <w:color w:val="0D0D0D" w:themeColor="text1" w:themeTint="F2"/>
        </w:rPr>
        <w:t>）条外</w:t>
      </w:r>
      <w:r w:rsidRPr="00B56A57">
        <w:rPr>
          <w:rFonts w:asciiTheme="minorEastAsia" w:hAnsiTheme="minorEastAsia" w:hint="eastAsia"/>
          <w:color w:val="0D0D0D" w:themeColor="text1" w:themeTint="F2"/>
        </w:rPr>
        <w:t>，因</w:t>
      </w:r>
      <w:r w:rsidRPr="00B56A57">
        <w:rPr>
          <w:rFonts w:asciiTheme="minorEastAsia" w:eastAsiaTheme="minorEastAsia" w:hAnsiTheme="minorEastAsia" w:hint="eastAsia"/>
          <w:color w:val="0D0D0D" w:themeColor="text1" w:themeTint="F2"/>
        </w:rPr>
        <w:t>证券</w:t>
      </w:r>
      <w:r w:rsidRPr="00B56A57">
        <w:rPr>
          <w:rFonts w:asciiTheme="minorEastAsia" w:eastAsiaTheme="minorEastAsia" w:hAnsiTheme="minorEastAsia"/>
          <w:color w:val="0D0D0D" w:themeColor="text1" w:themeTint="F2"/>
        </w:rPr>
        <w:t>/期货市场</w:t>
      </w:r>
      <w:r w:rsidRPr="00B56A57">
        <w:rPr>
          <w:rFonts w:asciiTheme="minorEastAsia" w:hAnsiTheme="minorEastAsia" w:hint="eastAsia"/>
          <w:color w:val="0D0D0D" w:themeColor="text1" w:themeTint="F2"/>
        </w:rPr>
        <w:t>波动、</w:t>
      </w:r>
      <w:r w:rsidRPr="00B56A57">
        <w:rPr>
          <w:rFonts w:asciiTheme="minorEastAsia" w:eastAsiaTheme="minorEastAsia" w:hAnsiTheme="minorEastAsia" w:hint="eastAsia"/>
          <w:color w:val="0D0D0D" w:themeColor="text1" w:themeTint="F2"/>
        </w:rPr>
        <w:t>证券发行人</w:t>
      </w:r>
      <w:r w:rsidRPr="00B56A57">
        <w:rPr>
          <w:rFonts w:asciiTheme="minorEastAsia" w:hAnsiTheme="minorEastAsia" w:hint="eastAsia"/>
          <w:color w:val="0D0D0D" w:themeColor="text1" w:themeTint="F2"/>
        </w:rPr>
        <w:t>合并、基金规模变动</w:t>
      </w:r>
      <w:r w:rsidRPr="00B56A57">
        <w:rPr>
          <w:rFonts w:asciiTheme="minorEastAsia" w:eastAsiaTheme="minorEastAsia" w:hAnsiTheme="minorEastAsia" w:hint="eastAsia"/>
          <w:color w:val="0D0D0D" w:themeColor="text1" w:themeTint="F2"/>
        </w:rPr>
        <w:t>、标的指数成份股调整、标的指数成份股流动性限制</w:t>
      </w:r>
      <w:r w:rsidRPr="00B56A57">
        <w:rPr>
          <w:rFonts w:asciiTheme="minorEastAsia" w:hAnsiTheme="minorEastAsia" w:hint="eastAsia"/>
          <w:color w:val="0D0D0D" w:themeColor="text1" w:themeTint="F2"/>
        </w:rPr>
        <w:t>等基金管理人之外的因素致使基金投资比例不符合上述规定投资比例的，基金管理人应当在</w:t>
      </w:r>
      <w:r w:rsidRPr="00B56A57">
        <w:rPr>
          <w:rFonts w:asciiTheme="minorEastAsia" w:hAnsiTheme="minorEastAsia"/>
          <w:color w:val="0D0D0D" w:themeColor="text1" w:themeTint="F2"/>
        </w:rPr>
        <w:t>10个交易日内进行调整，但中国证监会规定的特殊情形除外。</w:t>
      </w:r>
    </w:p>
    <w:p w14:paraId="7AE3B46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基金管理人应当自基金合同生效之日起</w:t>
      </w:r>
      <w:r w:rsidRPr="00B56A57">
        <w:rPr>
          <w:rFonts w:asciiTheme="minorEastAsia" w:eastAsiaTheme="minorEastAsia" w:hAnsiTheme="minorEastAsia"/>
          <w:color w:val="0D0D0D" w:themeColor="text1" w:themeTint="F2"/>
        </w:rPr>
        <w:t>6个月内使基金的投资组合比例符合基金合同的有关约定。在上述期间内，本基金的投资范围、投资策略应当符合基金合同的约定。</w:t>
      </w:r>
      <w:r w:rsidRPr="00B56A57">
        <w:rPr>
          <w:rFonts w:asciiTheme="minorEastAsia" w:hAnsiTheme="minorEastAsia" w:hint="eastAsia"/>
          <w:color w:val="0D0D0D" w:themeColor="text1" w:themeTint="F2"/>
        </w:rPr>
        <w:t>基金托管人对基金的投资的监督与检查自本基金合同生效之日起开始。</w:t>
      </w:r>
    </w:p>
    <w:p w14:paraId="0C8DAF6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法律法规或监管部门取消</w:t>
      </w:r>
      <w:r w:rsidRPr="00B56A57">
        <w:rPr>
          <w:rFonts w:asciiTheme="minorEastAsia" w:eastAsiaTheme="minorEastAsia" w:hAnsiTheme="minorEastAsia" w:hint="eastAsia"/>
          <w:color w:val="0D0D0D" w:themeColor="text1" w:themeTint="F2"/>
        </w:rPr>
        <w:t>或调整</w:t>
      </w:r>
      <w:r w:rsidRPr="00B56A57">
        <w:rPr>
          <w:rFonts w:asciiTheme="minorEastAsia" w:hAnsiTheme="minorEastAsia" w:hint="eastAsia"/>
          <w:color w:val="0D0D0D" w:themeColor="text1" w:themeTint="F2"/>
        </w:rPr>
        <w:t>上述限制，如适用于本基金，基金管理人在履行适当程序后，则本基金投资不再受相关限制</w:t>
      </w:r>
      <w:r w:rsidRPr="00B56A57">
        <w:rPr>
          <w:rFonts w:asciiTheme="minorEastAsia" w:eastAsiaTheme="minorEastAsia" w:hAnsiTheme="minorEastAsia" w:hint="eastAsia"/>
          <w:color w:val="0D0D0D" w:themeColor="text1" w:themeTint="F2"/>
        </w:rPr>
        <w:t>或按照调整后的规定执行</w:t>
      </w:r>
      <w:r w:rsidRPr="00B56A57">
        <w:rPr>
          <w:rFonts w:asciiTheme="minorEastAsia" w:hAnsiTheme="minorEastAsia" w:hint="eastAsia"/>
          <w:color w:val="0D0D0D" w:themeColor="text1" w:themeTint="F2"/>
        </w:rPr>
        <w:t>。</w:t>
      </w:r>
    </w:p>
    <w:p w14:paraId="328E311F"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2</w:t>
      </w:r>
      <w:r w:rsidRPr="00B56A57">
        <w:rPr>
          <w:rFonts w:asciiTheme="minorEastAsia" w:eastAsiaTheme="minorEastAsia" w:hAnsiTheme="minorEastAsia" w:hint="eastAsia"/>
          <w:color w:val="0D0D0D" w:themeColor="text1" w:themeTint="F2"/>
        </w:rPr>
        <w:t>、禁止行为</w:t>
      </w:r>
    </w:p>
    <w:p w14:paraId="13FF4908"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为维护基金份额持有人的合法权益，基金财产不得用于下列投资或者活动：</w:t>
      </w:r>
    </w:p>
    <w:p w14:paraId="43A1786B"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w:t>
      </w:r>
      <w:r w:rsidRPr="00B56A57">
        <w:rPr>
          <w:rFonts w:asciiTheme="minorEastAsia" w:eastAsiaTheme="minorEastAsia" w:hAnsiTheme="minorEastAsia" w:hint="eastAsia"/>
          <w:color w:val="0D0D0D" w:themeColor="text1" w:themeTint="F2"/>
        </w:rPr>
        <w:t>）承销证券；</w:t>
      </w:r>
    </w:p>
    <w:p w14:paraId="249589C6"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（2）</w:t>
      </w:r>
      <w:r w:rsidRPr="00B56A57">
        <w:rPr>
          <w:rFonts w:asciiTheme="minorEastAsia" w:eastAsiaTheme="minorEastAsia" w:hAnsiTheme="minorEastAsia" w:hint="eastAsia"/>
          <w:color w:val="0D0D0D" w:themeColor="text1" w:themeTint="F2"/>
        </w:rPr>
        <w:t>违反规定</w:t>
      </w:r>
      <w:r w:rsidRPr="00B56A57">
        <w:rPr>
          <w:rFonts w:asciiTheme="minorEastAsia" w:eastAsiaTheme="minorEastAsia" w:hAnsiTheme="minorEastAsia"/>
          <w:color w:val="0D0D0D" w:themeColor="text1" w:themeTint="F2"/>
        </w:rPr>
        <w:t>向他人贷款或者提供担保；</w:t>
      </w:r>
    </w:p>
    <w:p w14:paraId="17D32FC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（3）从事承担无限责任的投资；</w:t>
      </w:r>
    </w:p>
    <w:p w14:paraId="1BDD67C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（4）买卖其他基金份额，但是</w:t>
      </w:r>
      <w:r w:rsidRPr="00B56A57">
        <w:rPr>
          <w:rFonts w:asciiTheme="minorEastAsia" w:eastAsiaTheme="minorEastAsia" w:hAnsiTheme="minorEastAsia" w:hint="eastAsia"/>
          <w:color w:val="0D0D0D" w:themeColor="text1" w:themeTint="F2"/>
        </w:rPr>
        <w:t>中国证监会</w:t>
      </w:r>
      <w:r w:rsidRPr="00B56A57">
        <w:rPr>
          <w:rFonts w:asciiTheme="minorEastAsia" w:eastAsiaTheme="minorEastAsia" w:hAnsiTheme="minorEastAsia"/>
          <w:color w:val="0D0D0D" w:themeColor="text1" w:themeTint="F2"/>
        </w:rPr>
        <w:t>另有规定的除外；</w:t>
      </w:r>
    </w:p>
    <w:p w14:paraId="17E3C9E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（5）向</w:t>
      </w:r>
      <w:r w:rsidRPr="00B56A57">
        <w:rPr>
          <w:rFonts w:asciiTheme="minorEastAsia" w:eastAsiaTheme="minorEastAsia" w:hAnsiTheme="minorEastAsia" w:hint="eastAsia"/>
          <w:color w:val="0D0D0D" w:themeColor="text1" w:themeTint="F2"/>
        </w:rPr>
        <w:t>其基金管理人、基金托管人</w:t>
      </w:r>
      <w:r w:rsidRPr="00B56A57">
        <w:rPr>
          <w:rFonts w:asciiTheme="minorEastAsia" w:eastAsiaTheme="minorEastAsia" w:hAnsiTheme="minorEastAsia"/>
          <w:color w:val="0D0D0D" w:themeColor="text1" w:themeTint="F2"/>
        </w:rPr>
        <w:t>出资</w:t>
      </w:r>
      <w:r w:rsidRPr="00B56A57">
        <w:rPr>
          <w:rFonts w:asciiTheme="minorEastAsia" w:eastAsiaTheme="minorEastAsia" w:hAnsiTheme="minorEastAsia" w:hint="eastAsia"/>
          <w:color w:val="0D0D0D" w:themeColor="text1" w:themeTint="F2"/>
        </w:rPr>
        <w:t>；</w:t>
      </w:r>
    </w:p>
    <w:p w14:paraId="18C5D074"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6）从事内幕交易、操纵证券交易价格及其他不正当的证券交易活动；</w:t>
      </w:r>
    </w:p>
    <w:p w14:paraId="77DABFB0"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7）</w:t>
      </w:r>
      <w:r w:rsidRPr="00B56A57">
        <w:rPr>
          <w:rFonts w:asciiTheme="minorEastAsia" w:eastAsiaTheme="minorEastAsia" w:hAnsiTheme="minorEastAsia" w:hint="eastAsia"/>
          <w:color w:val="0D0D0D" w:themeColor="text1" w:themeTint="F2"/>
        </w:rPr>
        <w:t>法律、行政法规和中国证监会规定禁止的其他活动。</w:t>
      </w:r>
    </w:p>
    <w:p w14:paraId="1DF8C31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w:t>
      </w:r>
      <w:r w:rsidRPr="00B56A57">
        <w:rPr>
          <w:rFonts w:asciiTheme="minorEastAsia" w:hAnsiTheme="minorEastAsia" w:hint="eastAsia"/>
          <w:color w:val="0D0D0D" w:themeColor="text1" w:themeTint="F2"/>
        </w:rPr>
        <w:t>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B602E0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法律</w:t>
      </w:r>
      <w:r w:rsidRPr="00B56A57">
        <w:rPr>
          <w:rFonts w:asciiTheme="minorEastAsia" w:eastAsiaTheme="minorEastAsia" w:hAnsiTheme="minorEastAsia" w:hint="eastAsia"/>
          <w:color w:val="0D0D0D" w:themeColor="text1" w:themeTint="F2"/>
        </w:rPr>
        <w:t>、行政</w:t>
      </w:r>
      <w:r w:rsidRPr="00B56A57">
        <w:rPr>
          <w:rFonts w:asciiTheme="minorEastAsia" w:eastAsiaTheme="minorEastAsia" w:hAnsiTheme="minorEastAsia"/>
          <w:color w:val="0D0D0D" w:themeColor="text1" w:themeTint="F2"/>
        </w:rPr>
        <w:t>法规或监管部门取消</w:t>
      </w:r>
      <w:r w:rsidRPr="00B56A57">
        <w:rPr>
          <w:rFonts w:asciiTheme="minorEastAsia" w:eastAsiaTheme="minorEastAsia" w:hAnsiTheme="minorEastAsia" w:hint="eastAsia"/>
          <w:color w:val="0D0D0D" w:themeColor="text1" w:themeTint="F2"/>
        </w:rPr>
        <w:t>或</w:t>
      </w:r>
      <w:r w:rsidRPr="00B56A57">
        <w:rPr>
          <w:rFonts w:asciiTheme="minorEastAsia" w:eastAsiaTheme="minorEastAsia" w:hAnsiTheme="minorEastAsia"/>
          <w:color w:val="0D0D0D" w:themeColor="text1" w:themeTint="F2"/>
        </w:rPr>
        <w:t>调整上述限制，如适用于本基金，则本基金投资不再受相关限制</w:t>
      </w:r>
      <w:r w:rsidRPr="00B56A57">
        <w:rPr>
          <w:rFonts w:asciiTheme="minorEastAsia" w:eastAsiaTheme="minorEastAsia" w:hAnsiTheme="minorEastAsia" w:hint="eastAsia"/>
          <w:color w:val="0D0D0D" w:themeColor="text1" w:themeTint="F2"/>
        </w:rPr>
        <w:t>或按照调整后的规定执行</w:t>
      </w:r>
      <w:r w:rsidRPr="00B56A57">
        <w:rPr>
          <w:rFonts w:asciiTheme="minorEastAsia" w:eastAsiaTheme="minorEastAsia" w:hAnsiTheme="minorEastAsia"/>
          <w:color w:val="0D0D0D" w:themeColor="text1" w:themeTint="F2"/>
        </w:rPr>
        <w:t>。</w:t>
      </w:r>
    </w:p>
    <w:p w14:paraId="63D2ADF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五、</w:t>
      </w:r>
      <w:r w:rsidRPr="00B56A57">
        <w:rPr>
          <w:rFonts w:asciiTheme="minorEastAsia" w:eastAsiaTheme="minorEastAsia" w:hAnsiTheme="minorEastAsia" w:hint="eastAsia"/>
          <w:color w:val="0D0D0D" w:themeColor="text1" w:themeTint="F2"/>
        </w:rPr>
        <w:t>标的</w:t>
      </w:r>
      <w:r w:rsidRPr="00B56A57">
        <w:rPr>
          <w:rFonts w:asciiTheme="minorEastAsia" w:eastAsiaTheme="minorEastAsia" w:hAnsiTheme="minorEastAsia"/>
          <w:color w:val="0D0D0D" w:themeColor="text1" w:themeTint="F2"/>
        </w:rPr>
        <w:t>指数与</w:t>
      </w:r>
      <w:r w:rsidRPr="00B56A57">
        <w:rPr>
          <w:rFonts w:asciiTheme="minorEastAsia" w:hAnsiTheme="minorEastAsia" w:hint="eastAsia"/>
          <w:color w:val="0D0D0D" w:themeColor="text1" w:themeTint="F2"/>
        </w:rPr>
        <w:t>业绩比较基准</w:t>
      </w:r>
    </w:p>
    <w:p w14:paraId="2469AF0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lastRenderedPageBreak/>
        <w:t>本基金的标的指数为中证港股通消费主题指数。</w:t>
      </w:r>
    </w:p>
    <w:p w14:paraId="056CA3DF"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本基金的业绩比较基准为中证港股通消费主题指数（人民币）收益率。</w:t>
      </w:r>
    </w:p>
    <w:p w14:paraId="33D74CF2"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中证港股通消费主题指数由中证指数有限公司编制，选取港股通范围内流动性较好、市值较大的</w:t>
      </w:r>
      <w:r w:rsidRPr="00B56A57">
        <w:rPr>
          <w:rFonts w:asciiTheme="minorEastAsia" w:eastAsiaTheme="minorEastAsia" w:hAnsiTheme="minorEastAsia"/>
          <w:color w:val="0D0D0D" w:themeColor="text1" w:themeTint="F2"/>
        </w:rPr>
        <w:t>50只消费主题相关股票组成指数样本，采用自由流通市值加权，以反映港股通内消费类股票的整体表现。</w:t>
      </w:r>
    </w:p>
    <w:p w14:paraId="6B49D863" w14:textId="77777777" w:rsidR="00166C49" w:rsidRPr="00553B76" w:rsidRDefault="00166C49" w:rsidP="00166C49">
      <w:pPr>
        <w:adjustRightInd w:val="0"/>
        <w:snapToGrid w:val="0"/>
        <w:spacing w:line="360" w:lineRule="auto"/>
        <w:ind w:firstLineChars="200" w:firstLine="420"/>
        <w:rPr>
          <w:rFonts w:asciiTheme="minorEastAsia" w:eastAsiaTheme="minorEastAsia" w:hAnsiTheme="minorEastAsia"/>
          <w:color w:val="0D0D0D" w:themeColor="text1" w:themeTint="F2"/>
        </w:rPr>
      </w:pPr>
      <w:r w:rsidRPr="00553B76">
        <w:rPr>
          <w:rFonts w:asciiTheme="minorEastAsia" w:eastAsiaTheme="minorEastAsia" w:hAnsiTheme="minorEastAsia" w:hint="eastAsia"/>
          <w:color w:val="0D0D0D" w:themeColor="text1" w:themeTint="F2"/>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w:t>
      </w:r>
      <w:r w:rsidRPr="00761902">
        <w:rPr>
          <w:rFonts w:asciiTheme="minorEastAsia" w:eastAsiaTheme="minorEastAsia" w:hAnsiTheme="minorEastAsia" w:hint="eastAsia"/>
          <w:color w:val="0D0D0D" w:themeColor="text1" w:themeTint="F2"/>
        </w:rPr>
        <w:t>基金份额持有人大会未成功召开或就上述事项表决未通过的，本基金合同终止。</w:t>
      </w:r>
    </w:p>
    <w:p w14:paraId="21EBCD7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自指数编制机构停止标的指数的编制及发布至解决方案确定期间，基金管理人应按照指数编制机构提供的最近一个交易日的指数信息遵循基金份额持有人利益优先原则维持基金投资运作。</w:t>
      </w:r>
    </w:p>
    <w:p w14:paraId="6E36D7EC" w14:textId="66796BD4"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若标的指数变更对基金投资无实质性影响（包括但不限于编制机构名称变更、指数更名等），则无需召开基金份额持有人大会，基金管理人可在取得</w:t>
      </w:r>
      <w:r w:rsidRPr="00B56A57">
        <w:rPr>
          <w:rFonts w:asciiTheme="minorEastAsia" w:hAnsiTheme="minorEastAsia" w:hint="eastAsia"/>
          <w:color w:val="0D0D0D" w:themeColor="text1" w:themeTint="F2"/>
        </w:rPr>
        <w:t>基金托管人同意</w:t>
      </w:r>
      <w:r w:rsidRPr="00B56A57">
        <w:rPr>
          <w:rFonts w:asciiTheme="minorEastAsia" w:eastAsiaTheme="minorEastAsia" w:hAnsiTheme="minorEastAsia" w:hint="eastAsia"/>
          <w:color w:val="0D0D0D" w:themeColor="text1" w:themeTint="F2"/>
        </w:rPr>
        <w:t>后变更标的指数和业绩比较基准，报中国证监会备案并及时公告。</w:t>
      </w:r>
    </w:p>
    <w:p w14:paraId="49067CA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六、</w:t>
      </w:r>
      <w:r w:rsidRPr="00B56A57">
        <w:rPr>
          <w:rFonts w:asciiTheme="minorEastAsia" w:hAnsiTheme="minorEastAsia" w:hint="eastAsia"/>
          <w:color w:val="0D0D0D" w:themeColor="text1" w:themeTint="F2"/>
        </w:rPr>
        <w:t>风险收益特征</w:t>
      </w:r>
    </w:p>
    <w:p w14:paraId="18EA1A78"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bookmarkStart w:id="368" w:name="_Toc92662704"/>
      <w:bookmarkStart w:id="369" w:name="_Toc93226145"/>
      <w:bookmarkStart w:id="370" w:name="_Toc139991743"/>
      <w:bookmarkStart w:id="371" w:name="_Toc128310496"/>
      <w:bookmarkStart w:id="372" w:name="_Toc21642"/>
      <w:bookmarkStart w:id="373" w:name="_Toc141703893"/>
      <w:bookmarkStart w:id="374" w:name="_Toc31611"/>
      <w:bookmarkStart w:id="375" w:name="_Toc24474"/>
      <w:bookmarkStart w:id="376" w:name="_Toc3054"/>
      <w:bookmarkStart w:id="377" w:name="_Toc29561"/>
      <w:bookmarkStart w:id="378" w:name="_Toc18000"/>
      <w:bookmarkStart w:id="379" w:name="_Toc13819"/>
      <w:bookmarkStart w:id="380" w:name="_Toc32030"/>
      <w:bookmarkStart w:id="381" w:name="_Toc26114"/>
      <w:bookmarkStart w:id="382" w:name="_Toc20782"/>
      <w:bookmarkStart w:id="383" w:name="_Toc20102"/>
      <w:r w:rsidRPr="00B56A57">
        <w:rPr>
          <w:rFonts w:asciiTheme="minorEastAsia" w:eastAsiaTheme="minorEastAsia" w:hAnsiTheme="minorEastAsia"/>
          <w:color w:val="0D0D0D" w:themeColor="text1" w:themeTint="F2"/>
        </w:rPr>
        <w:t>本基金属于股票型基金，其预期收益及</w:t>
      </w:r>
      <w:r w:rsidRPr="00B56A57">
        <w:rPr>
          <w:rFonts w:asciiTheme="minorEastAsia" w:eastAsiaTheme="minorEastAsia" w:hAnsiTheme="minorEastAsia" w:hint="eastAsia"/>
          <w:color w:val="0D0D0D" w:themeColor="text1" w:themeTint="F2"/>
        </w:rPr>
        <w:t>预期</w:t>
      </w:r>
      <w:r w:rsidRPr="00B56A57">
        <w:rPr>
          <w:rFonts w:asciiTheme="minorEastAsia" w:eastAsiaTheme="minorEastAsia" w:hAnsiTheme="minorEastAsia"/>
          <w:color w:val="0D0D0D" w:themeColor="text1" w:themeTint="F2"/>
        </w:rPr>
        <w:t>风险水平高于混合</w:t>
      </w:r>
      <w:r w:rsidRPr="00B56A57">
        <w:rPr>
          <w:rFonts w:asciiTheme="minorEastAsia" w:eastAsiaTheme="minorEastAsia" w:hAnsiTheme="minorEastAsia" w:hint="eastAsia"/>
          <w:color w:val="0D0D0D" w:themeColor="text1" w:themeTint="F2"/>
        </w:rPr>
        <w:t>型</w:t>
      </w:r>
      <w:r w:rsidRPr="00B56A57">
        <w:rPr>
          <w:rFonts w:asciiTheme="minorEastAsia" w:eastAsiaTheme="minorEastAsia" w:hAnsiTheme="minorEastAsia"/>
          <w:color w:val="0D0D0D" w:themeColor="text1" w:themeTint="F2"/>
        </w:rPr>
        <w:t>基金、债券</w:t>
      </w:r>
      <w:r w:rsidRPr="00B56A57">
        <w:rPr>
          <w:rFonts w:asciiTheme="minorEastAsia" w:eastAsiaTheme="minorEastAsia" w:hAnsiTheme="minorEastAsia" w:hint="eastAsia"/>
          <w:color w:val="0D0D0D" w:themeColor="text1" w:themeTint="F2"/>
        </w:rPr>
        <w:t>型</w:t>
      </w:r>
      <w:r w:rsidRPr="00B56A57">
        <w:rPr>
          <w:rFonts w:asciiTheme="minorEastAsia" w:eastAsiaTheme="minorEastAsia" w:hAnsiTheme="minorEastAsia"/>
          <w:color w:val="0D0D0D" w:themeColor="text1" w:themeTint="F2"/>
        </w:rPr>
        <w:t>基金与货币市场基金。</w:t>
      </w:r>
    </w:p>
    <w:p w14:paraId="68063FB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本基金为被动式投资的股票型指数基金，跟踪中证港股通消费主题指数，其风险收益特征与标的指数所表征的市场组合的风险收益特征相似。</w:t>
      </w:r>
    </w:p>
    <w:p w14:paraId="52C72C5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七、</w:t>
      </w:r>
      <w:r w:rsidRPr="00B56A57">
        <w:rPr>
          <w:rFonts w:asciiTheme="minorEastAsia" w:hAnsiTheme="minorEastAsia" w:hint="eastAsia"/>
          <w:color w:val="0D0D0D" w:themeColor="text1" w:themeTint="F2"/>
        </w:rPr>
        <w:t>基金管理人代表基金行使股东或债权人权利的处理原则及方法</w:t>
      </w:r>
    </w:p>
    <w:p w14:paraId="3DFBFB4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 xml:space="preserve">1、基金管理人按照国家有关规定代表基金独立行使股东或债权人权利，保护基金份额持有人的利益； </w:t>
      </w:r>
    </w:p>
    <w:p w14:paraId="06E413E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 xml:space="preserve">2、不谋求对上市公司的控股； </w:t>
      </w:r>
    </w:p>
    <w:p w14:paraId="76DBA24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 xml:space="preserve">3、有利于基金财产的安全与增值； </w:t>
      </w:r>
    </w:p>
    <w:p w14:paraId="62EEAF6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4、不通过关联交易为自身、雇员、授权代理人或任何存在利害关系的第三人牟取任何不当利益。</w:t>
      </w:r>
    </w:p>
    <w:p w14:paraId="79CBE240" w14:textId="77777777" w:rsidR="00217DCA" w:rsidRPr="00B56A57" w:rsidRDefault="00217DCA">
      <w:pPr>
        <w:adjustRightInd w:val="0"/>
        <w:snapToGrid w:val="0"/>
        <w:spacing w:line="360" w:lineRule="auto"/>
        <w:ind w:firstLineChars="200" w:firstLine="420"/>
        <w:rPr>
          <w:rFonts w:asciiTheme="minorEastAsia" w:hAnsiTheme="minorEastAsia"/>
          <w:color w:val="0D0D0D" w:themeColor="text1" w:themeTint="F2"/>
        </w:rPr>
      </w:pPr>
      <w:bookmarkStart w:id="384" w:name="_Hlt70058259"/>
      <w:bookmarkEnd w:id="384"/>
    </w:p>
    <w:p w14:paraId="1DB3974E" w14:textId="77777777" w:rsidR="00217DCA" w:rsidRPr="00B56A57" w:rsidRDefault="00217DCA">
      <w:pPr>
        <w:pStyle w:val="1"/>
        <w:sectPr w:rsidR="00217DCA" w:rsidRPr="00B56A57">
          <w:footerReference w:type="default" r:id="rId29"/>
          <w:pgSz w:w="11906" w:h="16838"/>
          <w:pgMar w:top="1440" w:right="1800" w:bottom="1440" w:left="1800" w:header="851" w:footer="992" w:gutter="0"/>
          <w:pgNumType w:start="1"/>
          <w:cols w:space="425"/>
          <w:docGrid w:type="lines" w:linePitch="312"/>
        </w:sectPr>
      </w:pPr>
      <w:bookmarkStart w:id="385" w:name="_Toc90742399"/>
      <w:bookmarkStart w:id="386" w:name="_Toc90742697"/>
      <w:bookmarkStart w:id="387" w:name="_Toc90742330"/>
    </w:p>
    <w:p w14:paraId="0DC04E1A" w14:textId="77777777" w:rsidR="00217DCA" w:rsidRPr="00B56A57" w:rsidRDefault="006C7341">
      <w:pPr>
        <w:pStyle w:val="1"/>
      </w:pPr>
      <w:bookmarkStart w:id="388" w:name="CLAUSE_cdb3939cfcec4330a25cfcb4ecc653e8"/>
      <w:bookmarkEnd w:id="362"/>
      <w:r w:rsidRPr="00B56A57">
        <w:lastRenderedPageBreak/>
        <w:t xml:space="preserve"> </w:t>
      </w:r>
      <w:bookmarkStart w:id="389" w:name="CTS_cdb3939cfcec4330a25cfcb4ecc653e8"/>
      <w:bookmarkStart w:id="390" w:name="_Toc64923779"/>
      <w:bookmarkStart w:id="391" w:name="_Toc73975092"/>
      <w:bookmarkEnd w:id="389"/>
      <w:r w:rsidRPr="00B56A57">
        <w:rPr>
          <w:rFonts w:cs="Arial" w:hint="eastAsia"/>
        </w:rPr>
        <w:t>第十五部分</w:t>
      </w:r>
      <w:r w:rsidRPr="00B56A57">
        <w:t xml:space="preserve"> 基金</w:t>
      </w:r>
      <w:bookmarkEnd w:id="368"/>
      <w:bookmarkEnd w:id="369"/>
      <w:r w:rsidRPr="00B56A57">
        <w:rPr>
          <w:rFonts w:hint="eastAsia"/>
        </w:rPr>
        <w:t>的财产</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5"/>
      <w:bookmarkEnd w:id="386"/>
      <w:bookmarkEnd w:id="387"/>
      <w:bookmarkEnd w:id="390"/>
      <w:bookmarkEnd w:id="391"/>
    </w:p>
    <w:p w14:paraId="2580E8DB" w14:textId="77777777" w:rsidR="00217DCA" w:rsidRPr="00B56A57" w:rsidRDefault="00217DCA">
      <w:pPr>
        <w:spacing w:line="360" w:lineRule="auto"/>
        <w:ind w:firstLineChars="200" w:firstLine="480"/>
        <w:rPr>
          <w:rFonts w:asciiTheme="minorEastAsia" w:hAnsiTheme="minorEastAsia"/>
          <w:sz w:val="24"/>
        </w:rPr>
      </w:pPr>
    </w:p>
    <w:p w14:paraId="5D71CFE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一、基金资产总值</w:t>
      </w:r>
    </w:p>
    <w:p w14:paraId="7240DF0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基金资产总值是指</w:t>
      </w:r>
      <w:r w:rsidRPr="00B56A57">
        <w:rPr>
          <w:rFonts w:asciiTheme="minorEastAsia" w:eastAsiaTheme="minorEastAsia" w:hAnsiTheme="minorEastAsia" w:hint="eastAsia"/>
          <w:color w:val="0D0D0D" w:themeColor="text1" w:themeTint="F2"/>
        </w:rPr>
        <w:t>基金拥有</w:t>
      </w:r>
      <w:r w:rsidRPr="00B56A57">
        <w:rPr>
          <w:rFonts w:asciiTheme="minorEastAsia" w:hAnsiTheme="minorEastAsia" w:hint="eastAsia"/>
          <w:color w:val="0D0D0D" w:themeColor="text1" w:themeTint="F2"/>
        </w:rPr>
        <w:t>的各类</w:t>
      </w:r>
      <w:r w:rsidRPr="00B56A57">
        <w:rPr>
          <w:rFonts w:asciiTheme="minorEastAsia" w:eastAsiaTheme="minorEastAsia" w:hAnsiTheme="minorEastAsia" w:hint="eastAsia"/>
          <w:color w:val="0D0D0D" w:themeColor="text1" w:themeTint="F2"/>
        </w:rPr>
        <w:t>有价证券</w:t>
      </w:r>
      <w:r w:rsidRPr="00B56A57">
        <w:rPr>
          <w:rFonts w:asciiTheme="minorEastAsia" w:hAnsiTheme="minorEastAsia" w:hint="eastAsia"/>
          <w:color w:val="0D0D0D" w:themeColor="text1" w:themeTint="F2"/>
        </w:rPr>
        <w:t>、银行存款本息</w:t>
      </w:r>
      <w:r w:rsidRPr="00B56A57">
        <w:rPr>
          <w:rFonts w:asciiTheme="minorEastAsia" w:eastAsiaTheme="minorEastAsia" w:hAnsiTheme="minorEastAsia" w:hint="eastAsia"/>
          <w:color w:val="0D0D0D" w:themeColor="text1" w:themeTint="F2"/>
        </w:rPr>
        <w:t>、</w:t>
      </w:r>
      <w:r w:rsidRPr="00B56A57">
        <w:rPr>
          <w:rFonts w:asciiTheme="minorEastAsia" w:hAnsiTheme="minorEastAsia" w:hint="eastAsia"/>
          <w:color w:val="0D0D0D" w:themeColor="text1" w:themeTint="F2"/>
        </w:rPr>
        <w:t>基金应收款项</w:t>
      </w:r>
      <w:r w:rsidRPr="00B56A57">
        <w:rPr>
          <w:rFonts w:asciiTheme="minorEastAsia" w:eastAsiaTheme="minorEastAsia" w:hAnsiTheme="minorEastAsia" w:hint="eastAsia"/>
          <w:color w:val="0D0D0D" w:themeColor="text1" w:themeTint="F2"/>
        </w:rPr>
        <w:t>及其他资产</w:t>
      </w:r>
      <w:r w:rsidRPr="00B56A57">
        <w:rPr>
          <w:rFonts w:asciiTheme="minorEastAsia" w:hAnsiTheme="minorEastAsia" w:hint="eastAsia"/>
          <w:color w:val="0D0D0D" w:themeColor="text1" w:themeTint="F2"/>
        </w:rPr>
        <w:t>的价值总和。</w:t>
      </w:r>
    </w:p>
    <w:p w14:paraId="3DB8E5C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二、基金资产净值</w:t>
      </w:r>
    </w:p>
    <w:p w14:paraId="79542C8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基金资产净值是指基金资产总值减去基金负债后的价值。</w:t>
      </w:r>
    </w:p>
    <w:p w14:paraId="2D3E29F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三、基金财产的账户</w:t>
      </w:r>
    </w:p>
    <w:p w14:paraId="44DBBAD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92" w:name="_Hlt88841837"/>
      <w:bookmarkEnd w:id="392"/>
    </w:p>
    <w:p w14:paraId="3C9AF3F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四、基金财产的保管和处分</w:t>
      </w:r>
      <w:bookmarkStart w:id="393" w:name="_Hlt88900062"/>
      <w:bookmarkEnd w:id="393"/>
    </w:p>
    <w:p w14:paraId="1F8D1C6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3864EB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52869307" w14:textId="77777777" w:rsidR="00217DCA" w:rsidRPr="00B56A57" w:rsidRDefault="00217DCA">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bookmarkStart w:id="394" w:name="_Hlt70506067"/>
      <w:bookmarkStart w:id="395" w:name="_Hlt70482237"/>
      <w:bookmarkStart w:id="396" w:name="_Toc31917"/>
      <w:bookmarkStart w:id="397" w:name="_Toc2623"/>
      <w:bookmarkStart w:id="398" w:name="_Toc17782"/>
      <w:bookmarkStart w:id="399" w:name="_Toc27832"/>
      <w:bookmarkStart w:id="400" w:name="_Toc871"/>
      <w:bookmarkStart w:id="401" w:name="_Toc7802"/>
      <w:bookmarkStart w:id="402" w:name="_Toc19714"/>
      <w:bookmarkStart w:id="403" w:name="_Toc139991744"/>
      <w:bookmarkStart w:id="404" w:name="_Toc141703894"/>
      <w:bookmarkEnd w:id="394"/>
      <w:bookmarkEnd w:id="395"/>
    </w:p>
    <w:p w14:paraId="0FC35780" w14:textId="77777777" w:rsidR="00217DCA" w:rsidRPr="00B56A57" w:rsidRDefault="00217DCA">
      <w:pPr>
        <w:pStyle w:val="1"/>
        <w:sectPr w:rsidR="00217DCA" w:rsidRPr="00B56A57">
          <w:footerReference w:type="default" r:id="rId30"/>
          <w:pgSz w:w="11906" w:h="16838"/>
          <w:pgMar w:top="1440" w:right="1800" w:bottom="1440" w:left="1800" w:header="851" w:footer="992" w:gutter="0"/>
          <w:pgNumType w:start="1"/>
          <w:cols w:space="425"/>
          <w:docGrid w:type="lines" w:linePitch="312"/>
        </w:sectPr>
      </w:pPr>
      <w:bookmarkStart w:id="405" w:name="_Toc90742400"/>
      <w:bookmarkStart w:id="406" w:name="_Toc90742331"/>
      <w:bookmarkStart w:id="407" w:name="_Toc90742698"/>
    </w:p>
    <w:p w14:paraId="540088D0" w14:textId="77777777" w:rsidR="00217DCA" w:rsidRPr="00B56A57" w:rsidRDefault="006C7341">
      <w:pPr>
        <w:pStyle w:val="1"/>
      </w:pPr>
      <w:bookmarkStart w:id="408" w:name="CLAUSE_61fe40d983b44dbaab7c97b19094c415"/>
      <w:bookmarkEnd w:id="388"/>
      <w:r w:rsidRPr="00B56A57">
        <w:lastRenderedPageBreak/>
        <w:t xml:space="preserve"> </w:t>
      </w:r>
      <w:bookmarkStart w:id="409" w:name="CTS_61fe40d983b44dbaab7c97b19094c415"/>
      <w:bookmarkStart w:id="410" w:name="_Toc64923780"/>
      <w:bookmarkStart w:id="411" w:name="_Toc73975093"/>
      <w:bookmarkEnd w:id="409"/>
      <w:r w:rsidRPr="00B56A57">
        <w:rPr>
          <w:rFonts w:cs="Arial" w:hint="eastAsia"/>
        </w:rPr>
        <w:t>第十六</w:t>
      </w:r>
      <w:r w:rsidRPr="00B56A57">
        <w:rPr>
          <w:rFonts w:hint="eastAsia"/>
        </w:rPr>
        <w:t>部分</w:t>
      </w:r>
      <w:r w:rsidRPr="00B56A57">
        <w:t xml:space="preserve"> </w:t>
      </w:r>
      <w:r w:rsidRPr="00B56A57">
        <w:rPr>
          <w:rFonts w:hint="eastAsia"/>
        </w:rPr>
        <w:t>基金资产</w:t>
      </w:r>
      <w:r w:rsidRPr="00B56A57">
        <w:rPr>
          <w:rFonts w:cs="Arial"/>
        </w:rPr>
        <w:t>的</w:t>
      </w:r>
      <w:r w:rsidRPr="00B56A57">
        <w:rPr>
          <w:rFonts w:hint="eastAsia"/>
        </w:rPr>
        <w:t>估值</w:t>
      </w:r>
      <w:bookmarkEnd w:id="396"/>
      <w:bookmarkEnd w:id="397"/>
      <w:bookmarkEnd w:id="398"/>
      <w:bookmarkEnd w:id="399"/>
      <w:bookmarkEnd w:id="400"/>
      <w:bookmarkEnd w:id="401"/>
      <w:bookmarkEnd w:id="402"/>
      <w:bookmarkEnd w:id="405"/>
      <w:bookmarkEnd w:id="406"/>
      <w:bookmarkEnd w:id="407"/>
      <w:bookmarkEnd w:id="410"/>
      <w:bookmarkEnd w:id="411"/>
    </w:p>
    <w:p w14:paraId="338D800F" w14:textId="77777777" w:rsidR="00217DCA" w:rsidRPr="00B56A57" w:rsidRDefault="00217DCA">
      <w:pPr>
        <w:spacing w:line="360" w:lineRule="auto"/>
        <w:ind w:firstLineChars="200" w:firstLine="480"/>
        <w:rPr>
          <w:rFonts w:asciiTheme="minorEastAsia" w:hAnsiTheme="minorEastAsia"/>
          <w:sz w:val="24"/>
        </w:rPr>
      </w:pPr>
      <w:bookmarkStart w:id="412" w:name="_Toc141703895"/>
      <w:bookmarkStart w:id="413" w:name="_Toc139991745"/>
      <w:bookmarkStart w:id="414" w:name="_Toc32046"/>
      <w:bookmarkEnd w:id="403"/>
      <w:bookmarkEnd w:id="404"/>
    </w:p>
    <w:p w14:paraId="567699E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一、估值日</w:t>
      </w:r>
    </w:p>
    <w:p w14:paraId="1EFA7C8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本基金的估值日为本基金相关的证券交易场所的交易日以及国家法律法规规定需要对外披露基金净值的非交易日。</w:t>
      </w:r>
    </w:p>
    <w:p w14:paraId="0A87D91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二、估值对象</w:t>
      </w:r>
    </w:p>
    <w:p w14:paraId="18A08BA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基金所拥有的股票、债券</w:t>
      </w:r>
      <w:r w:rsidRPr="00B56A57">
        <w:rPr>
          <w:rFonts w:asciiTheme="minorEastAsia" w:eastAsiaTheme="minorEastAsia" w:hAnsiTheme="minorEastAsia" w:hint="eastAsia"/>
          <w:color w:val="0D0D0D" w:themeColor="text1" w:themeTint="F2"/>
        </w:rPr>
        <w:t>、国债期货合约、股指期货合约、股票期权合约、资产支持证券</w:t>
      </w:r>
      <w:r w:rsidRPr="00B56A57">
        <w:rPr>
          <w:rFonts w:asciiTheme="minorEastAsia" w:hAnsiTheme="minorEastAsia" w:hint="eastAsia"/>
          <w:color w:val="0D0D0D" w:themeColor="text1" w:themeTint="F2"/>
        </w:rPr>
        <w:t>和银行存款本息、应收款项、其它投资等资产及负债。</w:t>
      </w:r>
    </w:p>
    <w:p w14:paraId="621AF51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三、估值原则</w:t>
      </w:r>
    </w:p>
    <w:p w14:paraId="3F384DC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基金管理人在确定相关金融资产和金融负债的公允价值时，应符合《企业会计准则》、监管部门有关规定。</w:t>
      </w:r>
    </w:p>
    <w:p w14:paraId="6E0C21B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（一）</w:t>
      </w:r>
      <w:r w:rsidRPr="00B56A57">
        <w:rPr>
          <w:rFonts w:asciiTheme="minorEastAsia" w:hAnsiTheme="minorEastAsia" w:hint="eastAsia"/>
          <w:color w:val="0D0D0D" w:themeColor="text1" w:themeTint="F2"/>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275FDD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与上述投资品种</w:t>
      </w:r>
      <w:r w:rsidRPr="00B56A57">
        <w:rPr>
          <w:rFonts w:asciiTheme="minorEastAsia" w:eastAsiaTheme="minorEastAsia" w:hAnsiTheme="minorEastAsia" w:hint="eastAsia"/>
          <w:color w:val="0D0D0D" w:themeColor="text1" w:themeTint="F2"/>
        </w:rPr>
        <w:t>相同</w:t>
      </w:r>
      <w:r w:rsidRPr="00B56A57">
        <w:rPr>
          <w:rFonts w:asciiTheme="minorEastAsia" w:hAnsiTheme="minorEastAsia" w:hint="eastAsia"/>
          <w:color w:val="0D0D0D" w:themeColor="text1" w:themeTint="F2"/>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398CA5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（二）</w:t>
      </w:r>
      <w:r w:rsidRPr="00B56A57">
        <w:rPr>
          <w:rFonts w:asciiTheme="minorEastAsia" w:hAnsiTheme="minorEastAsia" w:hint="eastAsia"/>
          <w:color w:val="0D0D0D" w:themeColor="text1" w:themeTint="F2"/>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797819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四、估值方法</w:t>
      </w:r>
    </w:p>
    <w:p w14:paraId="0A54303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、证券交易所上市的有价证券的估值</w:t>
      </w:r>
    </w:p>
    <w:p w14:paraId="5ACB63A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）交易所上市的有价证券（包括股票等），以其估值日在证券交易所挂牌的市价（收盘价）</w:t>
      </w:r>
      <w:r w:rsidRPr="00B56A57">
        <w:rPr>
          <w:rFonts w:asciiTheme="minorEastAsia" w:eastAsiaTheme="minorEastAsia" w:hAnsiTheme="minorEastAsia" w:hint="eastAsia"/>
          <w:color w:val="0D0D0D" w:themeColor="text1" w:themeTint="F2"/>
        </w:rPr>
        <w:t>确定公允价值</w:t>
      </w:r>
      <w:r w:rsidRPr="00B56A57">
        <w:rPr>
          <w:rFonts w:asciiTheme="minorEastAsia" w:hAnsiTheme="minorEastAsia" w:hint="eastAsia"/>
          <w:color w:val="0D0D0D" w:themeColor="text1" w:themeTint="F2"/>
        </w:rPr>
        <w:t>；估值日无交易的，且最近交易日后未发生影响</w:t>
      </w:r>
      <w:r w:rsidRPr="00B56A57">
        <w:rPr>
          <w:rFonts w:asciiTheme="minorEastAsia" w:eastAsiaTheme="minorEastAsia" w:hAnsiTheme="minorEastAsia" w:hint="eastAsia"/>
          <w:color w:val="0D0D0D" w:themeColor="text1" w:themeTint="F2"/>
        </w:rPr>
        <w:t>公允价值计量</w:t>
      </w:r>
      <w:r w:rsidRPr="00B56A57">
        <w:rPr>
          <w:rFonts w:asciiTheme="minorEastAsia" w:hAnsiTheme="minorEastAsia" w:hint="eastAsia"/>
          <w:color w:val="0D0D0D" w:themeColor="text1" w:themeTint="F2"/>
        </w:rPr>
        <w:t>的重大事件的，以最近交易日的市价（收盘价）估值；如</w:t>
      </w:r>
      <w:r w:rsidRPr="00B56A57">
        <w:rPr>
          <w:rFonts w:asciiTheme="minorEastAsia" w:eastAsiaTheme="minorEastAsia" w:hAnsiTheme="minorEastAsia" w:hint="eastAsia"/>
          <w:color w:val="0D0D0D" w:themeColor="text1" w:themeTint="F2"/>
        </w:rPr>
        <w:t>有充足证据表明估值日或最近交易日的市价不能真实反映公允价值的，应对市价进行调整</w:t>
      </w:r>
      <w:r w:rsidRPr="00B56A57">
        <w:rPr>
          <w:rFonts w:asciiTheme="minorEastAsia" w:hAnsiTheme="minorEastAsia" w:hint="eastAsia"/>
          <w:color w:val="0D0D0D" w:themeColor="text1" w:themeTint="F2"/>
        </w:rPr>
        <w:t>，确定公允价格</w:t>
      </w:r>
      <w:r w:rsidRPr="00B56A57">
        <w:rPr>
          <w:rFonts w:asciiTheme="minorEastAsia" w:eastAsiaTheme="minorEastAsia" w:hAnsiTheme="minorEastAsia" w:hint="eastAsia"/>
          <w:color w:val="0D0D0D" w:themeColor="text1" w:themeTint="F2"/>
        </w:rPr>
        <w:t>；</w:t>
      </w:r>
    </w:p>
    <w:p w14:paraId="47BB198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2）交易所上市交易或挂牌转让的固定收益品种</w:t>
      </w:r>
      <w:r w:rsidRPr="00B56A57">
        <w:rPr>
          <w:rFonts w:asciiTheme="minorEastAsia" w:eastAsiaTheme="minorEastAsia" w:hAnsiTheme="minorEastAsia" w:hint="eastAsia"/>
          <w:color w:val="0D0D0D" w:themeColor="text1" w:themeTint="F2"/>
        </w:rPr>
        <w:t>（本基金合同另有规定的除外），</w:t>
      </w:r>
      <w:r w:rsidRPr="00B56A57">
        <w:rPr>
          <w:rFonts w:asciiTheme="minorEastAsia" w:hAnsiTheme="minorEastAsia" w:hint="eastAsia"/>
          <w:color w:val="0D0D0D" w:themeColor="text1" w:themeTint="F2"/>
        </w:rPr>
        <w:t>选取估值日第三方估值机构提供的相应品种</w:t>
      </w:r>
      <w:r w:rsidRPr="00B56A57">
        <w:rPr>
          <w:rFonts w:asciiTheme="minorEastAsia" w:eastAsiaTheme="minorEastAsia" w:hAnsiTheme="minorEastAsia" w:hint="eastAsia"/>
          <w:color w:val="0D0D0D" w:themeColor="text1" w:themeTint="F2"/>
        </w:rPr>
        <w:t>对应</w:t>
      </w:r>
      <w:r w:rsidRPr="00B56A57">
        <w:rPr>
          <w:rFonts w:asciiTheme="minorEastAsia" w:hAnsiTheme="minorEastAsia" w:hint="eastAsia"/>
          <w:color w:val="0D0D0D" w:themeColor="text1" w:themeTint="F2"/>
        </w:rPr>
        <w:t>的估值净价估值</w:t>
      </w:r>
      <w:r w:rsidRPr="00B56A57">
        <w:rPr>
          <w:rFonts w:asciiTheme="minorEastAsia" w:eastAsiaTheme="minorEastAsia" w:hAnsiTheme="minorEastAsia" w:hint="eastAsia"/>
          <w:color w:val="0D0D0D" w:themeColor="text1" w:themeTint="F2"/>
        </w:rPr>
        <w:t>，具体估值机构由基金管理人与基金托管人另行协商约定</w:t>
      </w:r>
      <w:r w:rsidRPr="00B56A57">
        <w:rPr>
          <w:rFonts w:asciiTheme="minorEastAsia" w:hAnsiTheme="minorEastAsia" w:hint="eastAsia"/>
          <w:color w:val="0D0D0D" w:themeColor="text1" w:themeTint="F2"/>
        </w:rPr>
        <w:t>；</w:t>
      </w:r>
    </w:p>
    <w:p w14:paraId="6FCED5F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）交易所上市交易的可转换债券按估值日收盘价减去债券收盘价中所含的债券应收</w:t>
      </w:r>
      <w:r w:rsidRPr="00B56A57">
        <w:rPr>
          <w:rFonts w:asciiTheme="minorEastAsia" w:hAnsiTheme="minorEastAsia" w:hint="eastAsia"/>
          <w:color w:val="0D0D0D" w:themeColor="text1" w:themeTint="F2"/>
        </w:rPr>
        <w:lastRenderedPageBreak/>
        <w:t>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CF3259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交易所上市实行全价交易的债券（可转债除外），选取第三方估值机构提供的估值全价减去估值全价中所含的债券（税后）应收利息得到的净价进行估值；</w:t>
      </w:r>
    </w:p>
    <w:p w14:paraId="46F703E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）交易所上市不存在活跃市场的有价证券，采用估值技术确定公允价值。交易所</w:t>
      </w:r>
      <w:r w:rsidRPr="00B56A57">
        <w:rPr>
          <w:rFonts w:asciiTheme="minorEastAsia" w:eastAsiaTheme="minorEastAsia" w:hAnsiTheme="minorEastAsia" w:hint="eastAsia"/>
          <w:color w:val="0D0D0D" w:themeColor="text1" w:themeTint="F2"/>
        </w:rPr>
        <w:t>上市</w:t>
      </w:r>
      <w:r w:rsidRPr="00B56A57">
        <w:rPr>
          <w:rFonts w:asciiTheme="minorEastAsia" w:hAnsiTheme="minorEastAsia" w:hint="eastAsia"/>
          <w:color w:val="0D0D0D" w:themeColor="text1" w:themeTint="F2"/>
        </w:rPr>
        <w:t>的资产支持证券，采用估值技术确定公允价值</w:t>
      </w:r>
      <w:r w:rsidRPr="00B56A57">
        <w:rPr>
          <w:rFonts w:asciiTheme="minorEastAsia" w:eastAsiaTheme="minorEastAsia" w:hAnsiTheme="minorEastAsia" w:hint="eastAsia"/>
          <w:color w:val="0D0D0D" w:themeColor="text1" w:themeTint="F2"/>
        </w:rPr>
        <w:t>，在估值技术难以可靠计量公允价值的情况下，按成本估值</w:t>
      </w:r>
      <w:r w:rsidRPr="00B56A57">
        <w:rPr>
          <w:rFonts w:asciiTheme="minorEastAsia" w:hAnsiTheme="minorEastAsia" w:hint="eastAsia"/>
          <w:color w:val="0D0D0D" w:themeColor="text1" w:themeTint="F2"/>
        </w:rPr>
        <w:t>。</w:t>
      </w:r>
    </w:p>
    <w:p w14:paraId="0D5E79B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2、处于未上市期间的有价证券应区分如下情况处理：</w:t>
      </w:r>
    </w:p>
    <w:p w14:paraId="7C70E49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1）送股、转增股、配股和公开增发的新股，按估值日在证券交易所挂牌的同一股票的估值方法估值；该日无交易的，以最近一日的市价（收盘价）估值；</w:t>
      </w:r>
    </w:p>
    <w:p w14:paraId="11FE065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）首次公开发行未上市的股票、债券，采用估值技术确定公允价值，在估值技术难以可靠计量公允价值的情况下，按成本估值</w:t>
      </w:r>
      <w:r w:rsidRPr="00B56A57">
        <w:rPr>
          <w:rFonts w:asciiTheme="minorEastAsia" w:eastAsiaTheme="minorEastAsia" w:hAnsiTheme="minorEastAsia" w:hint="eastAsia"/>
          <w:color w:val="0D0D0D" w:themeColor="text1" w:themeTint="F2"/>
        </w:rPr>
        <w:t>；</w:t>
      </w:r>
    </w:p>
    <w:p w14:paraId="59451157" w14:textId="0010A225"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w:t>
      </w:r>
      <w:r w:rsidRPr="00B56A57">
        <w:rPr>
          <w:rFonts w:asciiTheme="minorEastAsia" w:eastAsiaTheme="minorEastAsia" w:hAnsiTheme="minorEastAsia" w:hint="eastAsia"/>
          <w:color w:val="0D0D0D" w:themeColor="text1" w:themeTint="F2"/>
        </w:rPr>
        <w:t>流通受</w:t>
      </w:r>
      <w:r w:rsidRPr="00B56A57">
        <w:rPr>
          <w:rFonts w:asciiTheme="minorEastAsia" w:hAnsiTheme="minorEastAsia" w:hint="eastAsia"/>
          <w:color w:val="0D0D0D" w:themeColor="text1" w:themeTint="F2"/>
        </w:rPr>
        <w:t>限的股票，</w:t>
      </w:r>
      <w:r w:rsidRPr="00B56A57">
        <w:rPr>
          <w:rFonts w:asciiTheme="minorEastAsia" w:eastAsiaTheme="minorEastAsia" w:hAnsiTheme="minorEastAsia" w:hint="eastAsia"/>
          <w:color w:val="0D0D0D" w:themeColor="text1" w:themeTint="F2"/>
        </w:rPr>
        <w:t>指在发行时明确一定期限限售期的股票，包括但不限于</w:t>
      </w:r>
      <w:r w:rsidRPr="00B56A57">
        <w:rPr>
          <w:rFonts w:asciiTheme="minorEastAsia" w:hAnsiTheme="minorEastAsia" w:hint="eastAsia"/>
          <w:color w:val="0D0D0D" w:themeColor="text1" w:themeTint="F2"/>
        </w:rPr>
        <w:t>非公开发行股票、首次公开发行股票时公司股东公开发售股份、通过大宗交易取得的带限售期的股票等</w:t>
      </w:r>
      <w:r w:rsidRPr="00B56A57">
        <w:rPr>
          <w:rFonts w:asciiTheme="minorEastAsia" w:eastAsiaTheme="minorEastAsia" w:hAnsiTheme="minorEastAsia" w:hint="eastAsia"/>
          <w:color w:val="0D0D0D" w:themeColor="text1" w:themeTint="F2"/>
        </w:rPr>
        <w:t>（</w:t>
      </w:r>
      <w:r w:rsidRPr="00B56A57">
        <w:rPr>
          <w:rFonts w:asciiTheme="minorEastAsia" w:hAnsiTheme="minorEastAsia" w:hint="eastAsia"/>
          <w:color w:val="0D0D0D" w:themeColor="text1" w:themeTint="F2"/>
        </w:rPr>
        <w:t>不包括停牌、新发行未上市、回购交易中的质押券等流通受限股票</w:t>
      </w:r>
      <w:r w:rsidRPr="00B56A57">
        <w:rPr>
          <w:rFonts w:asciiTheme="minorEastAsia" w:eastAsiaTheme="minorEastAsia" w:hAnsiTheme="minorEastAsia" w:hint="eastAsia"/>
          <w:color w:val="0D0D0D" w:themeColor="text1" w:themeTint="F2"/>
        </w:rPr>
        <w:t>），</w:t>
      </w:r>
      <w:r w:rsidRPr="00B56A57">
        <w:rPr>
          <w:rFonts w:asciiTheme="minorEastAsia" w:hAnsiTheme="minorEastAsia" w:hint="eastAsia"/>
          <w:color w:val="0D0D0D" w:themeColor="text1" w:themeTint="F2"/>
        </w:rPr>
        <w:t>按监管机构或行业协会有关规定确定公允价值。</w:t>
      </w:r>
    </w:p>
    <w:p w14:paraId="49B70E1F"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3</w:t>
      </w:r>
      <w:r w:rsidRPr="00B56A57">
        <w:rPr>
          <w:rFonts w:asciiTheme="minorEastAsia" w:eastAsiaTheme="minorEastAsia" w:hAnsiTheme="minorEastAsia" w:hint="eastAsia"/>
          <w:color w:val="0D0D0D" w:themeColor="text1" w:themeTint="F2"/>
        </w:rPr>
        <w:t>、</w:t>
      </w:r>
      <w:r w:rsidRPr="00B56A57">
        <w:rPr>
          <w:rFonts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B56A57">
        <w:rPr>
          <w:rFonts w:asciiTheme="minorEastAsia" w:eastAsiaTheme="minorEastAsia" w:hAnsiTheme="minorEastAsia" w:hint="eastAsia"/>
          <w:color w:val="0D0D0D" w:themeColor="text1" w:themeTint="F2"/>
        </w:rPr>
        <w:t>。</w:t>
      </w:r>
    </w:p>
    <w:p w14:paraId="0EA59B1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4</w:t>
      </w:r>
      <w:r w:rsidRPr="00B56A57">
        <w:rPr>
          <w:rFonts w:asciiTheme="minorEastAsia" w:eastAsiaTheme="minorEastAsia" w:hAnsiTheme="minorEastAsia" w:hint="eastAsia"/>
          <w:color w:val="0D0D0D" w:themeColor="text1" w:themeTint="F2"/>
        </w:rPr>
        <w:t>、同一证券同时在两个或两个以上市场交易的，按证券所处的市场分别估值。</w:t>
      </w:r>
    </w:p>
    <w:p w14:paraId="023BCDC6"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5</w:t>
      </w:r>
      <w:r w:rsidRPr="00B56A57">
        <w:rPr>
          <w:rFonts w:asciiTheme="minorEastAsia" w:eastAsiaTheme="minorEastAsia" w:hAnsiTheme="minorEastAsia" w:hint="eastAsia"/>
          <w:color w:val="0D0D0D" w:themeColor="text1" w:themeTint="F2"/>
        </w:rPr>
        <w:t>、本基金投资国债期货、股指期货合约，一般以估值当日结算价确定公允价值，估值当日无结算价的，且最近交易日后未发生影响公允价值计量的重大事件的，采用最近交易日结算价估值。</w:t>
      </w:r>
    </w:p>
    <w:p w14:paraId="4B51E78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6、本基金投资股票期权，根据相关法律法规以及监管部门的规定估值。</w:t>
      </w:r>
    </w:p>
    <w:p w14:paraId="202C8555"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7、本基金参与融资或转融通证券出借业务的，将按照法律法规及行业协会的相关规定进行估值。</w:t>
      </w:r>
    </w:p>
    <w:p w14:paraId="6703E372"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8、汇率</w:t>
      </w:r>
    </w:p>
    <w:p w14:paraId="1B3976E4"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本基金外币资产价值计算中，涉及主要货币对人民币汇率的，应当以基金估值日中国人民银行或其授权机构公布的人民币汇率中间价</w:t>
      </w:r>
      <w:r w:rsidRPr="00B56A57">
        <w:rPr>
          <w:rFonts w:hint="eastAsia"/>
          <w:bCs/>
          <w:szCs w:val="21"/>
        </w:rPr>
        <w:t>或其他可以反映公允价值的汇率进行估值</w:t>
      </w:r>
      <w:r w:rsidRPr="00B56A57">
        <w:rPr>
          <w:rFonts w:asciiTheme="minorEastAsia" w:eastAsiaTheme="minorEastAsia" w:hAnsiTheme="minorEastAsia" w:hint="eastAsia"/>
          <w:color w:val="0D0D0D" w:themeColor="text1" w:themeTint="F2"/>
        </w:rPr>
        <w:t>。</w:t>
      </w:r>
    </w:p>
    <w:p w14:paraId="0692C094"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bCs/>
          <w:color w:val="0D0D0D" w:themeColor="text1" w:themeTint="F2"/>
        </w:rPr>
      </w:pPr>
      <w:r w:rsidRPr="00B56A57">
        <w:rPr>
          <w:rFonts w:asciiTheme="minorEastAsia" w:eastAsiaTheme="minorEastAsia" w:hAnsiTheme="minorEastAsia"/>
          <w:bCs/>
          <w:color w:val="0D0D0D" w:themeColor="text1" w:themeTint="F2"/>
        </w:rPr>
        <w:lastRenderedPageBreak/>
        <w:t>9、本基金投资存托凭证的估值核算，依照境内上市交易的股票执行。</w:t>
      </w:r>
    </w:p>
    <w:p w14:paraId="46F2A6A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10</w:t>
      </w:r>
      <w:r w:rsidRPr="00B56A57">
        <w:rPr>
          <w:rFonts w:asciiTheme="minorEastAsia" w:hAnsiTheme="minorEastAsia" w:hint="eastAsia"/>
          <w:color w:val="0D0D0D" w:themeColor="text1" w:themeTint="F2"/>
        </w:rPr>
        <w:t>、如有确凿证据表明按上述方法进行估值不能客观反映其公允价值的，基金管理人可根据具体情况与基金托管人商定后，按最能反映公允价值的</w:t>
      </w:r>
      <w:r w:rsidRPr="00B56A57">
        <w:rPr>
          <w:rFonts w:asciiTheme="minorEastAsia" w:eastAsiaTheme="minorEastAsia" w:hAnsiTheme="minorEastAsia" w:hint="eastAsia"/>
          <w:color w:val="0D0D0D" w:themeColor="text1" w:themeTint="F2"/>
        </w:rPr>
        <w:t>方法</w:t>
      </w:r>
      <w:r w:rsidRPr="00B56A57">
        <w:rPr>
          <w:rFonts w:asciiTheme="minorEastAsia" w:hAnsiTheme="minorEastAsia" w:hint="eastAsia"/>
          <w:color w:val="0D0D0D" w:themeColor="text1" w:themeTint="F2"/>
        </w:rPr>
        <w:t>估值。</w:t>
      </w:r>
    </w:p>
    <w:p w14:paraId="65EF8FE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11</w:t>
      </w:r>
      <w:r w:rsidRPr="00B56A57">
        <w:rPr>
          <w:rFonts w:asciiTheme="minorEastAsia" w:hAnsiTheme="minorEastAsia" w:hint="eastAsia"/>
          <w:color w:val="0D0D0D" w:themeColor="text1" w:themeTint="F2"/>
        </w:rPr>
        <w:t>、相关法律法规以及监管部门有强制规定的，从其规定。如有新增事项，按国家最新规定估值。</w:t>
      </w:r>
    </w:p>
    <w:p w14:paraId="326FB4A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如基金管理人或基金托管人发现基金估值违反基金合同订明的估值方法、程序及相关法律法规的规定或者未能充分维护基金份额持有人利益时，应立即通知对方，共同查明原因，双方协商解决。</w:t>
      </w:r>
    </w:p>
    <w:p w14:paraId="0273606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1F4676E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五、估值程序</w:t>
      </w:r>
    </w:p>
    <w:p w14:paraId="6D4B94A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、基金份额净值是按照每个工作日闭市后，基金资产净值除以当日基金份额的余额数量计算，精确到</w:t>
      </w:r>
      <w:r w:rsidRPr="00B56A57">
        <w:rPr>
          <w:rFonts w:asciiTheme="minorEastAsia" w:hAnsiTheme="minorEastAsia"/>
          <w:color w:val="0D0D0D" w:themeColor="text1" w:themeTint="F2"/>
        </w:rPr>
        <w:t>0.0001元，小数点后第5</w:t>
      </w:r>
      <w:r w:rsidRPr="00B56A57">
        <w:rPr>
          <w:rFonts w:asciiTheme="minorEastAsia" w:hAnsiTheme="minorEastAsia" w:hint="eastAsia"/>
          <w:color w:val="0D0D0D" w:themeColor="text1" w:themeTint="F2"/>
        </w:rPr>
        <w:t>位四舍五入，由此产生的误差计入基金财产。基金管理人可以设立大额赎回情形下的净值精度应急调整机制。国家另有规定的，从其规定。</w:t>
      </w:r>
    </w:p>
    <w:p w14:paraId="0793496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基金管理人于</w:t>
      </w:r>
      <w:r w:rsidRPr="00B56A57">
        <w:rPr>
          <w:rFonts w:asciiTheme="minorEastAsia" w:hAnsiTheme="minorEastAsia" w:hint="eastAsia"/>
          <w:color w:val="0D0D0D" w:themeColor="text1" w:themeTint="F2"/>
        </w:rPr>
        <w:t>每个工作日计算基金资产净值及基金份额净值，并按规定公告。</w:t>
      </w:r>
    </w:p>
    <w:p w14:paraId="3874A44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Pr="00B56A57">
        <w:rPr>
          <w:rFonts w:asciiTheme="minorEastAsia" w:eastAsiaTheme="minorEastAsia" w:hAnsiTheme="minorEastAsia" w:hint="eastAsia"/>
          <w:color w:val="0D0D0D" w:themeColor="text1" w:themeTint="F2"/>
        </w:rPr>
        <w:t>按约定</w:t>
      </w:r>
      <w:r w:rsidRPr="00B56A57">
        <w:rPr>
          <w:rFonts w:asciiTheme="minorEastAsia" w:hAnsiTheme="minorEastAsia" w:hint="eastAsia"/>
          <w:color w:val="0D0D0D" w:themeColor="text1" w:themeTint="F2"/>
        </w:rPr>
        <w:t>对外公布。</w:t>
      </w:r>
    </w:p>
    <w:p w14:paraId="6DCE1A4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六、估值错误的处理</w:t>
      </w:r>
    </w:p>
    <w:p w14:paraId="16D3906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基金管理人和基金托管人将采取必要、适当、合理的措施确保基金资产估值的准确性、及时性。当基金份额净值小数点后</w:t>
      </w:r>
      <w:r w:rsidRPr="00B56A57">
        <w:rPr>
          <w:rFonts w:asciiTheme="minorEastAsia" w:hAnsiTheme="minorEastAsia"/>
          <w:color w:val="0D0D0D" w:themeColor="text1" w:themeTint="F2"/>
        </w:rPr>
        <w:t>4位以内(</w:t>
      </w:r>
      <w:r w:rsidRPr="00B56A57">
        <w:rPr>
          <w:rFonts w:asciiTheme="minorEastAsia" w:hAnsiTheme="minorEastAsia" w:hint="eastAsia"/>
          <w:color w:val="0D0D0D" w:themeColor="text1" w:themeTint="F2"/>
        </w:rPr>
        <w:t>含第</w:t>
      </w:r>
      <w:r w:rsidRPr="00B56A57">
        <w:rPr>
          <w:rFonts w:asciiTheme="minorEastAsia" w:hAnsiTheme="minorEastAsia"/>
          <w:color w:val="0D0D0D" w:themeColor="text1" w:themeTint="F2"/>
        </w:rPr>
        <w:t>4位)</w:t>
      </w:r>
      <w:r w:rsidRPr="00B56A57">
        <w:rPr>
          <w:rFonts w:asciiTheme="minorEastAsia" w:hAnsiTheme="minorEastAsia" w:hint="eastAsia"/>
          <w:color w:val="0D0D0D" w:themeColor="text1" w:themeTint="F2"/>
        </w:rPr>
        <w:t>发生估值错误时，视为基金份额净值错误。</w:t>
      </w:r>
    </w:p>
    <w:p w14:paraId="4D58961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本基金合同的当事人应按照以下约定处理：</w:t>
      </w:r>
    </w:p>
    <w:p w14:paraId="5A81D64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、估值错误类型</w:t>
      </w:r>
    </w:p>
    <w:p w14:paraId="420736C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本基金运作过程中，如果由于基金管理人或基金托管人、或登记机构、或销售机构、或投资人自身的过错造成估值错误，导致其他当事人遭受损失的，过错的责任人应当对由于该估值错误遭受损失当事人</w:t>
      </w:r>
      <w:r w:rsidRPr="00B56A57">
        <w:rPr>
          <w:rFonts w:asciiTheme="minorEastAsia" w:hAnsiTheme="minorEastAsia"/>
          <w:color w:val="0D0D0D" w:themeColor="text1" w:themeTint="F2"/>
        </w:rPr>
        <w:t>(“</w:t>
      </w:r>
      <w:r w:rsidRPr="00B56A57">
        <w:rPr>
          <w:rFonts w:asciiTheme="minorEastAsia" w:hAnsiTheme="minorEastAsia" w:hint="eastAsia"/>
          <w:color w:val="0D0D0D" w:themeColor="text1" w:themeTint="F2"/>
        </w:rPr>
        <w:t>受损方</w:t>
      </w:r>
      <w:r w:rsidRPr="00B56A57">
        <w:rPr>
          <w:rFonts w:asciiTheme="minorEastAsia" w:hAnsiTheme="minorEastAsia"/>
          <w:color w:val="0D0D0D" w:themeColor="text1" w:themeTint="F2"/>
        </w:rPr>
        <w:t>”)</w:t>
      </w:r>
      <w:r w:rsidRPr="00B56A57">
        <w:rPr>
          <w:rFonts w:asciiTheme="minorEastAsia" w:hAnsiTheme="minorEastAsia" w:hint="eastAsia"/>
          <w:color w:val="0D0D0D" w:themeColor="text1" w:themeTint="F2"/>
        </w:rPr>
        <w:t>的直接损失按下述</w:t>
      </w:r>
      <w:r w:rsidRPr="00B56A57">
        <w:rPr>
          <w:rFonts w:asciiTheme="minorEastAsia" w:hAnsiTheme="minorEastAsia"/>
          <w:color w:val="0D0D0D" w:themeColor="text1" w:themeTint="F2"/>
        </w:rPr>
        <w:t>“</w:t>
      </w:r>
      <w:r w:rsidRPr="00B56A57">
        <w:rPr>
          <w:rFonts w:asciiTheme="minorEastAsia" w:hAnsiTheme="minorEastAsia" w:hint="eastAsia"/>
          <w:color w:val="0D0D0D" w:themeColor="text1" w:themeTint="F2"/>
        </w:rPr>
        <w:t>估值错误处理原则</w:t>
      </w:r>
      <w:r w:rsidRPr="00B56A57">
        <w:rPr>
          <w:rFonts w:asciiTheme="minorEastAsia" w:hAnsiTheme="minorEastAsia"/>
          <w:color w:val="0D0D0D" w:themeColor="text1" w:themeTint="F2"/>
        </w:rPr>
        <w:t>”</w:t>
      </w:r>
      <w:r w:rsidRPr="00B56A57">
        <w:rPr>
          <w:rFonts w:asciiTheme="minorEastAsia" w:hAnsiTheme="minorEastAsia" w:hint="eastAsia"/>
          <w:color w:val="0D0D0D" w:themeColor="text1" w:themeTint="F2"/>
        </w:rPr>
        <w:t>给予赔偿，承担赔偿责任。</w:t>
      </w:r>
    </w:p>
    <w:p w14:paraId="29CDD60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上述估值错误的主要类型包括但不限于：资料申报差错、数据传输差错、数据计算差错、系统故障差错、下达指令差错等。</w:t>
      </w:r>
    </w:p>
    <w:p w14:paraId="58987A9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、估值错误处理原则</w:t>
      </w:r>
    </w:p>
    <w:p w14:paraId="6CA31D6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）估值错误已发生，但尚未给当事人造成损失时，估值错误责任方应及时协调各方，</w:t>
      </w:r>
      <w:r w:rsidRPr="00B56A57">
        <w:rPr>
          <w:rFonts w:asciiTheme="minorEastAsia" w:hAnsiTheme="minorEastAsia" w:hint="eastAsia"/>
          <w:color w:val="0D0D0D" w:themeColor="text1" w:themeTint="F2"/>
        </w:rPr>
        <w:lastRenderedPageBreak/>
        <w:t>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8AD28D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）估值错误的责任方对有关当事人的直接损失负责，不对间接损失负责，并且仅对估值错误的有关直接当事人负责，不对第三方负责。</w:t>
      </w:r>
    </w:p>
    <w:p w14:paraId="3604307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B56A57">
        <w:rPr>
          <w:rFonts w:asciiTheme="minorEastAsia" w:hAnsiTheme="minorEastAsia"/>
          <w:color w:val="0D0D0D" w:themeColor="text1" w:themeTint="F2"/>
        </w:rPr>
        <w:t>(“</w:t>
      </w:r>
      <w:r w:rsidRPr="00B56A57">
        <w:rPr>
          <w:rFonts w:asciiTheme="minorEastAsia" w:hAnsiTheme="minorEastAsia" w:hint="eastAsia"/>
          <w:color w:val="0D0D0D" w:themeColor="text1" w:themeTint="F2"/>
        </w:rPr>
        <w:t>受损方</w:t>
      </w:r>
      <w:r w:rsidRPr="00B56A57">
        <w:rPr>
          <w:rFonts w:asciiTheme="minorEastAsia" w:hAnsiTheme="minorEastAsia"/>
          <w:color w:val="0D0D0D" w:themeColor="text1" w:themeTint="F2"/>
        </w:rPr>
        <w:t>”)</w:t>
      </w:r>
      <w:r w:rsidRPr="00B56A57">
        <w:rPr>
          <w:rFonts w:asciiTheme="minorEastAsia" w:hAnsiTheme="minorEastAsia" w:hint="eastAsia"/>
          <w:color w:val="0D0D0D" w:themeColor="text1" w:themeTint="F2"/>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9C360A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）估值错误调整采用尽量恢复至假设未发生估值错误的正确情形的方式。</w:t>
      </w:r>
    </w:p>
    <w:p w14:paraId="3760AFD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、估值错误处理程序</w:t>
      </w:r>
    </w:p>
    <w:p w14:paraId="13462FD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估值错误被发现后，有关的当事人应当及时进行处理，处理的程序如下：</w:t>
      </w:r>
    </w:p>
    <w:p w14:paraId="06A5D3B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）查明估值错误发生的原因，列明所有的当事人，并根据估值错误发生的原因确定估值错误的责任方；</w:t>
      </w:r>
    </w:p>
    <w:p w14:paraId="22B835C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）根据估值错误处理原则或当事人协商的方法对因估值错误造成的损失进行评估；</w:t>
      </w:r>
    </w:p>
    <w:p w14:paraId="0FF3D76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）根据估值错误处理原则或当事人协商的方法由估值错误的责任方进行更正和赔偿损失；</w:t>
      </w:r>
    </w:p>
    <w:p w14:paraId="189B688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）根据估值错误处理的方法，需要修改基金登记机构交易数据的，由基金登记机构进行更正，并就估值错误的更正向有关当事人进行确认。</w:t>
      </w:r>
    </w:p>
    <w:p w14:paraId="1D05E24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、基金份额净值估值错误处理的方法如下：</w:t>
      </w:r>
    </w:p>
    <w:p w14:paraId="05C6927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1）基金份额净值计算出现错误时，基金管理人应当立即予以纠正，通报基金托管人，并采取合理的措施防止损失进一步扩大。</w:t>
      </w:r>
    </w:p>
    <w:p w14:paraId="2DED9C7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2）错误偏差达到基金份额净值的0.25%时，基金管理人应当通报基金托管人并报中国证监会备案；错误偏差达到基金份额净值的0.5%时，基金管理人应当公告，并报中国证监会备案。</w:t>
      </w:r>
    </w:p>
    <w:p w14:paraId="0F97AA9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3）基金管理人和基金托管人由于各自技术系统设置而产生的净值计算尾差，以基金管理人计算结果为准。</w:t>
      </w:r>
    </w:p>
    <w:p w14:paraId="487923C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4）前述内容如法律法规或监管机关另有规定的，从其规定处理。如果行业另有通行做法，基金管理人、基金托管人应本着平等和保护基金份额持有人利益的原则进行协商。</w:t>
      </w:r>
    </w:p>
    <w:p w14:paraId="6A5E3B7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七、暂停估值的情形</w:t>
      </w:r>
    </w:p>
    <w:p w14:paraId="3C1D457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lastRenderedPageBreak/>
        <w:t>1</w:t>
      </w:r>
      <w:r w:rsidRPr="00B56A57">
        <w:rPr>
          <w:rFonts w:asciiTheme="minorEastAsia" w:hAnsiTheme="minorEastAsia" w:hint="eastAsia"/>
          <w:color w:val="0D0D0D" w:themeColor="text1" w:themeTint="F2"/>
        </w:rPr>
        <w:t>、基金投资所涉及的证券</w:t>
      </w:r>
      <w:r w:rsidRPr="00B56A57">
        <w:rPr>
          <w:rFonts w:asciiTheme="minorEastAsia" w:eastAsiaTheme="minorEastAsia" w:hAnsiTheme="minorEastAsia"/>
          <w:color w:val="0D0D0D" w:themeColor="text1" w:themeTint="F2"/>
        </w:rPr>
        <w:t>/期货</w:t>
      </w:r>
      <w:r w:rsidRPr="00B56A57">
        <w:rPr>
          <w:rFonts w:asciiTheme="minorEastAsia" w:hAnsiTheme="minorEastAsia" w:hint="eastAsia"/>
          <w:color w:val="0D0D0D" w:themeColor="text1" w:themeTint="F2"/>
        </w:rPr>
        <w:t>交易市场</w:t>
      </w:r>
      <w:r w:rsidRPr="00B56A57">
        <w:rPr>
          <w:rFonts w:asciiTheme="minorEastAsia" w:eastAsiaTheme="minorEastAsia" w:hAnsiTheme="minorEastAsia" w:hint="eastAsia"/>
          <w:color w:val="0D0D0D" w:themeColor="text1" w:themeTint="F2"/>
        </w:rPr>
        <w:t>或外汇市场</w:t>
      </w:r>
      <w:r w:rsidRPr="00B56A57">
        <w:rPr>
          <w:rFonts w:asciiTheme="minorEastAsia" w:hAnsiTheme="minorEastAsia" w:hint="eastAsia"/>
          <w:color w:val="0D0D0D" w:themeColor="text1" w:themeTint="F2"/>
        </w:rPr>
        <w:t>遇法定节假日或因其他原因暂停营业时；</w:t>
      </w:r>
    </w:p>
    <w:p w14:paraId="49FDAC6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、因不可抗力或其他情形致使基金管理人、基金托管人无法准确评估基金资产价值时；</w:t>
      </w:r>
    </w:p>
    <w:p w14:paraId="23CC000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、当前一估值日基金资产净值</w:t>
      </w:r>
      <w:r w:rsidRPr="00B56A57">
        <w:rPr>
          <w:rFonts w:asciiTheme="minorEastAsia" w:hAnsiTheme="minorEastAsia"/>
          <w:color w:val="0D0D0D" w:themeColor="text1" w:themeTint="F2"/>
        </w:rPr>
        <w:t>50%</w:t>
      </w:r>
      <w:r w:rsidRPr="00B56A57">
        <w:rPr>
          <w:rFonts w:asciiTheme="minorEastAsia" w:hAnsiTheme="minorEastAsia" w:hint="eastAsia"/>
          <w:color w:val="0D0D0D" w:themeColor="text1" w:themeTint="F2"/>
        </w:rPr>
        <w:t>以上的资产出现无可参考的活跃市场价格且采用估值技术仍导致公允价值存在重大不确定性时，经与基金托管人协商确认后，基金管理人应当暂停估值；</w:t>
      </w:r>
    </w:p>
    <w:p w14:paraId="6428E14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、中国证监会和基金合同认定的其它情形。</w:t>
      </w:r>
    </w:p>
    <w:p w14:paraId="0F5671F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八、基金净值的确认</w:t>
      </w:r>
    </w:p>
    <w:p w14:paraId="025F44D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基金资产净值和基金份额净值由基金管理人负责计算，基金托管人负责进行复核。基金管理人应于每个</w:t>
      </w:r>
      <w:r w:rsidRPr="00B56A57">
        <w:rPr>
          <w:rFonts w:asciiTheme="minorEastAsia" w:eastAsiaTheme="minorEastAsia" w:hAnsiTheme="minorEastAsia" w:hint="eastAsia"/>
          <w:color w:val="0D0D0D" w:themeColor="text1" w:themeTint="F2"/>
        </w:rPr>
        <w:t>工作日</w:t>
      </w:r>
      <w:r w:rsidRPr="00B56A57">
        <w:rPr>
          <w:rFonts w:asciiTheme="minorEastAsia" w:hAnsiTheme="minorEastAsia" w:hint="eastAsia"/>
          <w:color w:val="0D0D0D" w:themeColor="text1" w:themeTint="F2"/>
        </w:rPr>
        <w:t>交易结束后计算当日的基金资产净值和基金份额净值并发送给基金托管人。基金托管人对净值计算结果复核确认后发送给基金管理人，由基金管理人按规定对基金净值予以公布。</w:t>
      </w:r>
    </w:p>
    <w:p w14:paraId="1BE178E0"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bookmarkStart w:id="415" w:name="_Toc32227"/>
      <w:bookmarkStart w:id="416" w:name="_Toc32041"/>
      <w:bookmarkStart w:id="417" w:name="_Toc13987"/>
      <w:bookmarkStart w:id="418" w:name="_Toc19752"/>
      <w:bookmarkStart w:id="419" w:name="_Toc24601"/>
      <w:bookmarkStart w:id="420" w:name="_Toc19706"/>
      <w:bookmarkStart w:id="421" w:name="_Toc6493"/>
      <w:bookmarkStart w:id="422" w:name="_Toc12105"/>
      <w:bookmarkStart w:id="423" w:name="_Toc15779"/>
      <w:bookmarkStart w:id="424" w:name="_Toc3365"/>
      <w:r w:rsidRPr="00B56A57">
        <w:rPr>
          <w:rFonts w:asciiTheme="minorEastAsia" w:eastAsiaTheme="minorEastAsia" w:hAnsiTheme="minorEastAsia" w:hint="eastAsia"/>
          <w:color w:val="0D0D0D" w:themeColor="text1" w:themeTint="F2"/>
        </w:rPr>
        <w:t>九、特殊情况的处理</w:t>
      </w:r>
    </w:p>
    <w:p w14:paraId="33E6F1C2"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1、基金管理人或基金托管人按估值方法的第10项进行估值时，所造成的误差不作为基金资产估值错误处理。</w:t>
      </w:r>
    </w:p>
    <w:p w14:paraId="3DD57BC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2</w:t>
      </w:r>
      <w:r w:rsidRPr="00B56A57">
        <w:rPr>
          <w:rFonts w:asciiTheme="minorEastAsia" w:eastAsiaTheme="minorEastAsia" w:hAnsiTheme="minorEastAsia" w:hint="eastAsia"/>
          <w:color w:val="0D0D0D" w:themeColor="text1" w:themeTint="F2"/>
        </w:rPr>
        <w:t>、由于不可抗力原因，或证券</w:t>
      </w:r>
      <w:r w:rsidRPr="00B56A57">
        <w:rPr>
          <w:rFonts w:asciiTheme="minorEastAsia" w:eastAsiaTheme="minorEastAsia" w:hAnsiTheme="minorEastAsia"/>
          <w:color w:val="0D0D0D" w:themeColor="text1" w:themeTint="F2"/>
        </w:rPr>
        <w:t>/期货交易所</w:t>
      </w:r>
      <w:r w:rsidRPr="00B56A57">
        <w:rPr>
          <w:rFonts w:asciiTheme="minorEastAsia" w:eastAsiaTheme="minorEastAsia" w:hAnsiTheme="minorEastAsia" w:hint="eastAsia"/>
          <w:bCs/>
          <w:color w:val="0D0D0D" w:themeColor="text1" w:themeTint="F2"/>
        </w:rPr>
        <w:t>、证券经纪公司</w:t>
      </w:r>
      <w:r w:rsidRPr="00B56A57">
        <w:rPr>
          <w:rFonts w:asciiTheme="minorEastAsia" w:eastAsiaTheme="minorEastAsia" w:hAnsiTheme="minorEastAsia" w:hint="eastAsia"/>
          <w:color w:val="0D0D0D" w:themeColor="text1" w:themeTint="F2"/>
        </w:rPr>
        <w:t>或登记结算公司或标的指数供应商发送的数据错误、有关会计制度变化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41FAC5D4" w14:textId="77777777" w:rsidR="00217DCA" w:rsidRPr="00B56A57" w:rsidRDefault="00217DCA">
      <w:pPr>
        <w:adjustRightInd w:val="0"/>
        <w:snapToGrid w:val="0"/>
        <w:spacing w:line="360" w:lineRule="auto"/>
        <w:ind w:firstLineChars="200" w:firstLine="420"/>
        <w:rPr>
          <w:rFonts w:asciiTheme="minorEastAsia" w:eastAsiaTheme="minorEastAsia" w:hAnsiTheme="minorEastAsia"/>
          <w:color w:val="0D0D0D" w:themeColor="text1" w:themeTint="F2"/>
        </w:rPr>
      </w:pPr>
    </w:p>
    <w:p w14:paraId="4C8440DD" w14:textId="77777777" w:rsidR="00217DCA" w:rsidRPr="00B56A57" w:rsidRDefault="00217DCA">
      <w:pPr>
        <w:pStyle w:val="1"/>
        <w:sectPr w:rsidR="00217DCA" w:rsidRPr="00B56A57">
          <w:footerReference w:type="default" r:id="rId31"/>
          <w:pgSz w:w="11906" w:h="16838"/>
          <w:pgMar w:top="1440" w:right="1800" w:bottom="1440" w:left="1800" w:header="851" w:footer="992" w:gutter="0"/>
          <w:pgNumType w:start="1"/>
          <w:cols w:space="425"/>
          <w:docGrid w:type="lines" w:linePitch="312"/>
        </w:sectPr>
      </w:pPr>
      <w:bookmarkStart w:id="425" w:name="_Toc90742332"/>
      <w:bookmarkStart w:id="426" w:name="_Toc90742401"/>
      <w:bookmarkStart w:id="427" w:name="_Toc90742699"/>
    </w:p>
    <w:p w14:paraId="08B938E1" w14:textId="77777777" w:rsidR="00217DCA" w:rsidRPr="00B56A57" w:rsidRDefault="006C7341">
      <w:pPr>
        <w:pStyle w:val="1"/>
      </w:pPr>
      <w:bookmarkStart w:id="428" w:name="CLAUSE_5979ebcde86d427bbe68531bf1780126"/>
      <w:bookmarkEnd w:id="408"/>
      <w:r w:rsidRPr="00B56A57">
        <w:lastRenderedPageBreak/>
        <w:t xml:space="preserve"> </w:t>
      </w:r>
      <w:bookmarkStart w:id="429" w:name="CTS_5979ebcde86d427bbe68531bf1780126"/>
      <w:bookmarkStart w:id="430" w:name="_Toc64923781"/>
      <w:bookmarkStart w:id="431" w:name="_Toc73975094"/>
      <w:bookmarkEnd w:id="429"/>
      <w:r w:rsidRPr="00B56A57">
        <w:rPr>
          <w:rFonts w:cs="Arial" w:hint="eastAsia"/>
        </w:rPr>
        <w:t>第十七</w:t>
      </w:r>
      <w:r w:rsidRPr="00B56A57">
        <w:rPr>
          <w:rFonts w:hint="eastAsia"/>
        </w:rPr>
        <w:t>部分</w:t>
      </w:r>
      <w:r w:rsidRPr="00B56A57">
        <w:t xml:space="preserve"> </w:t>
      </w:r>
      <w:r w:rsidRPr="00B56A57">
        <w:rPr>
          <w:rFonts w:hint="eastAsia"/>
        </w:rPr>
        <w:t>基金</w:t>
      </w:r>
      <w:r w:rsidRPr="00B56A57">
        <w:rPr>
          <w:rFonts w:cs="Arial"/>
        </w:rPr>
        <w:t>的</w:t>
      </w:r>
      <w:r w:rsidRPr="00B56A57">
        <w:rPr>
          <w:rFonts w:hint="eastAsia"/>
        </w:rPr>
        <w:t>费用与税收</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30"/>
      <w:bookmarkEnd w:id="431"/>
    </w:p>
    <w:p w14:paraId="44C7B401" w14:textId="77777777" w:rsidR="00217DCA" w:rsidRPr="00B56A57" w:rsidRDefault="00217DCA">
      <w:pPr>
        <w:spacing w:line="360" w:lineRule="auto"/>
        <w:ind w:firstLineChars="200" w:firstLine="480"/>
        <w:rPr>
          <w:rFonts w:asciiTheme="minorEastAsia" w:hAnsiTheme="minorEastAsia"/>
          <w:sz w:val="24"/>
        </w:rPr>
      </w:pPr>
    </w:p>
    <w:p w14:paraId="3C5160E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一、基金费用的种类</w:t>
      </w:r>
    </w:p>
    <w:p w14:paraId="18FF764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、基金管理人的管理费；</w:t>
      </w:r>
    </w:p>
    <w:p w14:paraId="1B686A8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、基金托管人的托管费；</w:t>
      </w:r>
    </w:p>
    <w:p w14:paraId="0FCB07B3"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3、基金的证券、期货、股票期权交易费用；</w:t>
      </w:r>
    </w:p>
    <w:p w14:paraId="7AF304E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4</w:t>
      </w:r>
      <w:r w:rsidRPr="00B56A57">
        <w:rPr>
          <w:rFonts w:asciiTheme="minorEastAsia" w:hAnsiTheme="minorEastAsia" w:hint="eastAsia"/>
          <w:color w:val="0D0D0D" w:themeColor="text1" w:themeTint="F2"/>
        </w:rPr>
        <w:t>、《基金合同》生效后与基金相关的信息披露费用，但</w:t>
      </w:r>
      <w:bookmarkStart w:id="432" w:name="_Hlk33922596"/>
      <w:r w:rsidRPr="00B56A57">
        <w:rPr>
          <w:rFonts w:asciiTheme="minorEastAsia" w:hAnsiTheme="minorEastAsia" w:hint="eastAsia"/>
          <w:color w:val="0D0D0D" w:themeColor="text1" w:themeTint="F2"/>
        </w:rPr>
        <w:t>法律法规、中国证监会另有规定的除外；</w:t>
      </w:r>
    </w:p>
    <w:bookmarkEnd w:id="432"/>
    <w:p w14:paraId="5810694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5</w:t>
      </w:r>
      <w:r w:rsidRPr="00B56A57">
        <w:rPr>
          <w:rFonts w:asciiTheme="minorEastAsia" w:hAnsiTheme="minorEastAsia" w:hint="eastAsia"/>
          <w:color w:val="0D0D0D" w:themeColor="text1" w:themeTint="F2"/>
        </w:rPr>
        <w:t>、《基金合同》生效后与基金相关的会计师费、律师费</w:t>
      </w:r>
      <w:r w:rsidRPr="00B56A57">
        <w:rPr>
          <w:rFonts w:asciiTheme="minorEastAsia" w:eastAsiaTheme="minorEastAsia" w:hAnsiTheme="minorEastAsia" w:hint="eastAsia"/>
          <w:color w:val="0D0D0D" w:themeColor="text1" w:themeTint="F2"/>
        </w:rPr>
        <w:t>、公证费、仲裁费</w:t>
      </w:r>
      <w:r w:rsidRPr="00B56A57">
        <w:rPr>
          <w:rFonts w:asciiTheme="minorEastAsia" w:hAnsiTheme="minorEastAsia" w:hint="eastAsia"/>
          <w:color w:val="0D0D0D" w:themeColor="text1" w:themeTint="F2"/>
        </w:rPr>
        <w:t>和诉讼费；</w:t>
      </w:r>
    </w:p>
    <w:p w14:paraId="08A30AA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6</w:t>
      </w:r>
      <w:r w:rsidRPr="00B56A57">
        <w:rPr>
          <w:rFonts w:asciiTheme="minorEastAsia" w:hAnsiTheme="minorEastAsia" w:hint="eastAsia"/>
          <w:color w:val="0D0D0D" w:themeColor="text1" w:themeTint="F2"/>
        </w:rPr>
        <w:t>、基金份额持有人大会费用；</w:t>
      </w:r>
    </w:p>
    <w:p w14:paraId="71DD78C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7</w:t>
      </w:r>
      <w:r w:rsidRPr="00B56A57">
        <w:rPr>
          <w:rFonts w:asciiTheme="minorEastAsia" w:hAnsiTheme="minorEastAsia" w:hint="eastAsia"/>
          <w:color w:val="0D0D0D" w:themeColor="text1" w:themeTint="F2"/>
        </w:rPr>
        <w:t>、基金银行汇划费用</w:t>
      </w:r>
      <w:r w:rsidRPr="00B56A57">
        <w:rPr>
          <w:rFonts w:asciiTheme="minorEastAsia" w:eastAsiaTheme="minorEastAsia" w:hAnsiTheme="minorEastAsia" w:hint="eastAsia"/>
          <w:color w:val="0D0D0D" w:themeColor="text1" w:themeTint="F2"/>
        </w:rPr>
        <w:t>、账户开户及维护费用</w:t>
      </w:r>
      <w:r w:rsidRPr="00B56A57">
        <w:rPr>
          <w:rFonts w:asciiTheme="minorEastAsia" w:hAnsiTheme="minorEastAsia" w:hint="eastAsia"/>
          <w:color w:val="0D0D0D" w:themeColor="text1" w:themeTint="F2"/>
        </w:rPr>
        <w:t>；</w:t>
      </w:r>
    </w:p>
    <w:p w14:paraId="586FFDC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hAnsiTheme="minorEastAsia"/>
          <w:color w:val="0D0D0D" w:themeColor="text1" w:themeTint="F2"/>
        </w:rPr>
        <w:t>8</w:t>
      </w:r>
      <w:r w:rsidRPr="00B56A57">
        <w:rPr>
          <w:rFonts w:asciiTheme="minorEastAsia" w:eastAsiaTheme="minorEastAsia" w:hAnsiTheme="minorEastAsia" w:hint="eastAsia"/>
          <w:color w:val="0D0D0D" w:themeColor="text1" w:themeTint="F2"/>
        </w:rPr>
        <w:t>、基金上市费及年费、场内注册登记费用、</w:t>
      </w:r>
      <w:r w:rsidRPr="00B56A57">
        <w:rPr>
          <w:rFonts w:asciiTheme="minorEastAsia" w:eastAsiaTheme="minorEastAsia" w:hAnsiTheme="minorEastAsia"/>
          <w:color w:val="0D0D0D" w:themeColor="text1" w:themeTint="F2"/>
        </w:rPr>
        <w:t>IOPV计算与发布费用；</w:t>
      </w:r>
    </w:p>
    <w:p w14:paraId="5B689DA1"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9、收益分配中发生的费用（银行转账或其他手续费用除外）；</w:t>
      </w:r>
    </w:p>
    <w:p w14:paraId="57740281"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10、因投资港股通标的股票而产生的各项合理费用；</w:t>
      </w:r>
    </w:p>
    <w:p w14:paraId="1890E09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11、基金依照有关法律法规应当缴纳的，购买或处置证券有关的任何税收、征费、关税、印花税、预扣提税（以及与前述各项有关的任何利息及费用）（简称“税收”）及基金缴纳税收有关的手续费、汇款费、顾问费等；</w:t>
      </w:r>
    </w:p>
    <w:p w14:paraId="0905A10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12</w:t>
      </w:r>
      <w:r w:rsidRPr="00B56A57">
        <w:rPr>
          <w:rFonts w:asciiTheme="minorEastAsia" w:hAnsiTheme="minorEastAsia" w:hint="eastAsia"/>
          <w:color w:val="0D0D0D" w:themeColor="text1" w:themeTint="F2"/>
        </w:rPr>
        <w:t>、按照国家有关规定和《基金合同》约定，可以在基金财产中列支的其他费用。</w:t>
      </w:r>
    </w:p>
    <w:p w14:paraId="37FF7A0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二、基金费用计提方法、计提标准和支付方式</w:t>
      </w:r>
    </w:p>
    <w:p w14:paraId="5EF8913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、基金管理人的管理费</w:t>
      </w:r>
    </w:p>
    <w:p w14:paraId="00E7D9C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本基金的管理费按前一日基金资产净值的</w:t>
      </w:r>
      <w:r w:rsidRPr="00B56A57">
        <w:rPr>
          <w:rFonts w:asciiTheme="minorEastAsia" w:eastAsiaTheme="minorEastAsia" w:hAnsiTheme="minorEastAsia"/>
          <w:color w:val="0D0D0D" w:themeColor="text1" w:themeTint="F2"/>
        </w:rPr>
        <w:t>0.50</w:t>
      </w:r>
      <w:r w:rsidRPr="00B56A57">
        <w:rPr>
          <w:rFonts w:asciiTheme="minorEastAsia" w:hAnsiTheme="minorEastAsia"/>
          <w:color w:val="0D0D0D" w:themeColor="text1" w:themeTint="F2"/>
        </w:rPr>
        <w:t>%</w:t>
      </w:r>
      <w:r w:rsidRPr="00B56A57">
        <w:rPr>
          <w:rFonts w:asciiTheme="minorEastAsia" w:hAnsiTheme="minorEastAsia" w:hint="eastAsia"/>
          <w:color w:val="0D0D0D" w:themeColor="text1" w:themeTint="F2"/>
        </w:rPr>
        <w:t>年费率计提。管理费的计算方法如下：</w:t>
      </w:r>
    </w:p>
    <w:p w14:paraId="599B59C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H</w:t>
      </w: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E×</w:t>
      </w:r>
      <w:r w:rsidRPr="00B56A57">
        <w:rPr>
          <w:rFonts w:asciiTheme="minorEastAsia" w:eastAsiaTheme="minorEastAsia" w:hAnsiTheme="minorEastAsia"/>
          <w:color w:val="0D0D0D" w:themeColor="text1" w:themeTint="F2"/>
        </w:rPr>
        <w:t>0.50</w:t>
      </w:r>
      <w:r w:rsidRPr="00B56A57">
        <w:rPr>
          <w:rFonts w:asciiTheme="minorEastAsia" w:hAnsiTheme="minorEastAsia"/>
          <w:color w:val="0D0D0D" w:themeColor="text1" w:themeTint="F2"/>
        </w:rPr>
        <w:t>%÷当年天数</w:t>
      </w:r>
    </w:p>
    <w:p w14:paraId="37CEF12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H</w:t>
      </w:r>
      <w:r w:rsidRPr="00B56A57">
        <w:rPr>
          <w:rFonts w:asciiTheme="minorEastAsia" w:hAnsiTheme="minorEastAsia" w:hint="eastAsia"/>
          <w:color w:val="0D0D0D" w:themeColor="text1" w:themeTint="F2"/>
        </w:rPr>
        <w:t>为每日应计提的基金管理费</w:t>
      </w:r>
    </w:p>
    <w:p w14:paraId="1905E7F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E</w:t>
      </w:r>
      <w:r w:rsidRPr="00B56A57">
        <w:rPr>
          <w:rFonts w:asciiTheme="minorEastAsia" w:hAnsiTheme="minorEastAsia" w:hint="eastAsia"/>
          <w:color w:val="0D0D0D" w:themeColor="text1" w:themeTint="F2"/>
        </w:rPr>
        <w:t>为前一日的基金资产净值</w:t>
      </w:r>
    </w:p>
    <w:p w14:paraId="129FD7A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基金管理费每日计提，按月支付。基金管理人与基金托管人双方核对无误后，基金托管人按照与基金管理人协商一致的方式于次月前</w:t>
      </w:r>
      <w:r w:rsidRPr="00B56A57">
        <w:rPr>
          <w:rFonts w:asciiTheme="minorEastAsia" w:hAnsiTheme="minorEastAsia"/>
          <w:color w:val="0D0D0D" w:themeColor="text1" w:themeTint="F2"/>
        </w:rPr>
        <w:t>3个工作日内从基金财产中一次性支付给基金管理人。若遇法定节假日、公休假或不可抗力等，支付日期顺延。</w:t>
      </w:r>
    </w:p>
    <w:p w14:paraId="1921DA7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、基金托管人的托管费</w:t>
      </w:r>
    </w:p>
    <w:p w14:paraId="42C7FB0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本基金的托管费按前一日基金资产净值的</w:t>
      </w:r>
      <w:r w:rsidRPr="00B56A57">
        <w:rPr>
          <w:rFonts w:asciiTheme="minorEastAsia" w:eastAsiaTheme="minorEastAsia" w:hAnsiTheme="minorEastAsia"/>
          <w:color w:val="0D0D0D" w:themeColor="text1" w:themeTint="F2"/>
        </w:rPr>
        <w:t>0.10%</w:t>
      </w:r>
      <w:r w:rsidRPr="00B56A57">
        <w:rPr>
          <w:rFonts w:asciiTheme="minorEastAsia" w:hAnsiTheme="minorEastAsia" w:hint="eastAsia"/>
          <w:color w:val="0D0D0D" w:themeColor="text1" w:themeTint="F2"/>
        </w:rPr>
        <w:t>年费率计提。托管费的计算方法如下：</w:t>
      </w:r>
    </w:p>
    <w:p w14:paraId="0CF5FA9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H</w:t>
      </w: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E×</w:t>
      </w:r>
      <w:r w:rsidRPr="00B56A57">
        <w:rPr>
          <w:rFonts w:asciiTheme="minorEastAsia" w:eastAsiaTheme="minorEastAsia" w:hAnsiTheme="minorEastAsia"/>
          <w:color w:val="0D0D0D" w:themeColor="text1" w:themeTint="F2"/>
        </w:rPr>
        <w:t>0.10</w:t>
      </w:r>
      <w:r w:rsidRPr="00B56A57">
        <w:rPr>
          <w:rFonts w:asciiTheme="minorEastAsia" w:hAnsiTheme="minorEastAsia"/>
          <w:color w:val="0D0D0D" w:themeColor="text1" w:themeTint="F2"/>
        </w:rPr>
        <w:t>%÷当年天数</w:t>
      </w:r>
    </w:p>
    <w:p w14:paraId="539A109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H</w:t>
      </w:r>
      <w:r w:rsidRPr="00B56A57">
        <w:rPr>
          <w:rFonts w:asciiTheme="minorEastAsia" w:hAnsiTheme="minorEastAsia" w:hint="eastAsia"/>
          <w:color w:val="0D0D0D" w:themeColor="text1" w:themeTint="F2"/>
        </w:rPr>
        <w:t>为每日应计提的基金托管费</w:t>
      </w:r>
    </w:p>
    <w:p w14:paraId="587A9BF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E</w:t>
      </w:r>
      <w:r w:rsidRPr="00B56A57">
        <w:rPr>
          <w:rFonts w:asciiTheme="minorEastAsia" w:hAnsiTheme="minorEastAsia" w:hint="eastAsia"/>
          <w:color w:val="0D0D0D" w:themeColor="text1" w:themeTint="F2"/>
        </w:rPr>
        <w:t>为前一日的基金资产净值</w:t>
      </w:r>
    </w:p>
    <w:p w14:paraId="72BE0DE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基金托管费每日计提，按月支付。基金管理人与基金托管人双方核对无误后，基金托管人按照与基金管理人协商一致的方式于次月前</w:t>
      </w:r>
      <w:r w:rsidRPr="00B56A57">
        <w:rPr>
          <w:rFonts w:asciiTheme="minorEastAsia" w:hAnsiTheme="minorEastAsia"/>
          <w:color w:val="0D0D0D" w:themeColor="text1" w:themeTint="F2"/>
        </w:rPr>
        <w:t>3个工作日内从基金财产中一次性支取。若遇</w:t>
      </w:r>
      <w:r w:rsidRPr="00B56A57">
        <w:rPr>
          <w:rFonts w:asciiTheme="minorEastAsia" w:hAnsiTheme="minorEastAsia" w:hint="eastAsia"/>
          <w:color w:val="0D0D0D" w:themeColor="text1" w:themeTint="F2"/>
        </w:rPr>
        <w:lastRenderedPageBreak/>
        <w:t>法定节假日、公休假或不可抗力等，支付日期顺延。</w:t>
      </w:r>
    </w:p>
    <w:p w14:paraId="0029039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上述“一、基金费用的种类”中第</w:t>
      </w:r>
      <w:r w:rsidRPr="00B56A57">
        <w:rPr>
          <w:rFonts w:asciiTheme="minorEastAsia" w:eastAsiaTheme="minorEastAsia" w:hAnsiTheme="minorEastAsia"/>
          <w:color w:val="0D0D0D" w:themeColor="text1" w:themeTint="F2"/>
        </w:rPr>
        <w:t>3－12项费用，根据有关法规及相应协议规定，按费用实际支出金额列入当期费用，由基金托管人从基金财产中支付。</w:t>
      </w:r>
    </w:p>
    <w:p w14:paraId="407C284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三、不列入基金费用的项目</w:t>
      </w:r>
    </w:p>
    <w:p w14:paraId="7622E76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下列费用不列入基金费用：</w:t>
      </w:r>
    </w:p>
    <w:p w14:paraId="3413D24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1、基金管理人和基金托管人因未履行或未完全履行义务导致的费用支出或基金财产的损失；</w:t>
      </w:r>
    </w:p>
    <w:p w14:paraId="7775C2E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2、基金管理人和基金托管人处理与基金运作无关的事项发生的费用；</w:t>
      </w:r>
    </w:p>
    <w:p w14:paraId="7BC2259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3、《基金合同》生效前的相关费用；</w:t>
      </w:r>
    </w:p>
    <w:p w14:paraId="622871B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4、指数许可使用费</w:t>
      </w:r>
    </w:p>
    <w:p w14:paraId="449F2FF4" w14:textId="77777777" w:rsidR="00217DCA" w:rsidRPr="00B56A57" w:rsidRDefault="006C7341">
      <w:pPr>
        <w:adjustRightInd w:val="0"/>
        <w:snapToGrid w:val="0"/>
        <w:spacing w:line="360" w:lineRule="auto"/>
        <w:ind w:firstLineChars="200" w:firstLine="420"/>
        <w:rPr>
          <w:rFonts w:ascii="宋体" w:hAnsi="宋体" w:cs="Arial"/>
          <w:bCs/>
          <w:kern w:val="0"/>
          <w:szCs w:val="21"/>
        </w:rPr>
      </w:pPr>
      <w:r w:rsidRPr="00B56A57">
        <w:rPr>
          <w:rFonts w:asciiTheme="minorEastAsia" w:eastAsiaTheme="minorEastAsia" w:hAnsiTheme="minorEastAsia" w:hint="eastAsia"/>
          <w:color w:val="0D0D0D" w:themeColor="text1" w:themeTint="F2"/>
          <w:szCs w:val="21"/>
        </w:rPr>
        <w:t>本基金按照基金管理人与标的指数许可方所签订的指数使用许可协议中所规定的指数许可使用费计提方法支付指数许可使用费，</w:t>
      </w:r>
      <w:r w:rsidRPr="00B56A57">
        <w:rPr>
          <w:rFonts w:ascii="宋体" w:hAnsi="宋体" w:cs="Arial" w:hint="eastAsia"/>
          <w:bCs/>
          <w:kern w:val="0"/>
          <w:szCs w:val="21"/>
        </w:rPr>
        <w:t>该指数许可使用费由基金管理人承担，不得从基金财产中列支</w:t>
      </w:r>
      <w:r w:rsidRPr="00B56A57">
        <w:rPr>
          <w:rFonts w:asciiTheme="minorEastAsia" w:eastAsiaTheme="minorEastAsia" w:hAnsiTheme="minorEastAsia" w:hint="eastAsia"/>
          <w:color w:val="0D0D0D" w:themeColor="text1" w:themeTint="F2"/>
          <w:szCs w:val="21"/>
        </w:rPr>
        <w:t>。</w:t>
      </w:r>
    </w:p>
    <w:p w14:paraId="29FF7F8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szCs w:val="21"/>
        </w:rPr>
      </w:pPr>
      <w:r w:rsidRPr="00B56A57">
        <w:rPr>
          <w:rFonts w:asciiTheme="minorEastAsia" w:eastAsiaTheme="minorEastAsia" w:hAnsiTheme="minorEastAsia" w:hint="eastAsia"/>
          <w:color w:val="0D0D0D" w:themeColor="text1" w:themeTint="F2"/>
          <w:szCs w:val="21"/>
        </w:rPr>
        <w:t>如果指数许可使用费的计算方法、费率、支付方式和费用承担方等发生调整，本基金将采用调整后的方法或费率计算指数许可使用费；</w:t>
      </w:r>
    </w:p>
    <w:p w14:paraId="49CB45D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5、其他根据相关法律法规及中国证监会的有关规定不得列入基金费用的项目。</w:t>
      </w:r>
      <w:bookmarkStart w:id="433" w:name="_Hlt88827255"/>
      <w:bookmarkEnd w:id="433"/>
    </w:p>
    <w:p w14:paraId="16440C8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四、基金税收</w:t>
      </w:r>
    </w:p>
    <w:p w14:paraId="4BA03C7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D3CF414" w14:textId="77777777" w:rsidR="00217DCA" w:rsidRPr="00B56A57" w:rsidRDefault="00217DCA">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bookmarkStart w:id="434" w:name="_Hlt70496289"/>
      <w:bookmarkStart w:id="435" w:name="_Toc92662707"/>
      <w:bookmarkStart w:id="436" w:name="_Toc93226149"/>
      <w:bookmarkStart w:id="437" w:name="_Toc25883"/>
      <w:bookmarkStart w:id="438" w:name="_Toc20052"/>
      <w:bookmarkStart w:id="439" w:name="_Toc12761"/>
      <w:bookmarkStart w:id="440" w:name="_Toc1617"/>
      <w:bookmarkStart w:id="441" w:name="_Toc3656"/>
      <w:bookmarkStart w:id="442" w:name="_Toc15525"/>
      <w:bookmarkStart w:id="443" w:name="_Toc139991746"/>
      <w:bookmarkStart w:id="444" w:name="_Toc22552"/>
      <w:bookmarkStart w:id="445" w:name="_Toc178"/>
      <w:bookmarkStart w:id="446" w:name="_Toc15351"/>
      <w:bookmarkStart w:id="447" w:name="_Toc19558"/>
      <w:bookmarkStart w:id="448" w:name="_Toc21829"/>
      <w:bookmarkStart w:id="449" w:name="_Toc128310499"/>
      <w:bookmarkStart w:id="450" w:name="_Toc141703896"/>
      <w:bookmarkEnd w:id="434"/>
    </w:p>
    <w:bookmarkEnd w:id="428"/>
    <w:p w14:paraId="066C825A" w14:textId="77777777" w:rsidR="00217DCA" w:rsidRPr="00B56A57" w:rsidRDefault="00217DCA">
      <w:pPr>
        <w:pStyle w:val="1"/>
        <w:sectPr w:rsidR="00217DCA" w:rsidRPr="00B56A57">
          <w:footerReference w:type="default" r:id="rId32"/>
          <w:pgSz w:w="11906" w:h="16838"/>
          <w:pgMar w:top="1440" w:right="1800" w:bottom="1440" w:left="1800" w:header="851" w:footer="992" w:gutter="0"/>
          <w:pgNumType w:start="1"/>
          <w:cols w:space="425"/>
          <w:docGrid w:type="lines" w:linePitch="312"/>
        </w:sectPr>
      </w:pPr>
    </w:p>
    <w:p w14:paraId="0BD17D6E" w14:textId="77777777" w:rsidR="00217DCA" w:rsidRPr="00B56A57" w:rsidRDefault="006C7341">
      <w:pPr>
        <w:pStyle w:val="1"/>
      </w:pPr>
      <w:bookmarkStart w:id="451" w:name="CLAUSE_4050b55c792c4bc9a6ceb5286a9a5258"/>
      <w:r w:rsidRPr="00B56A57">
        <w:lastRenderedPageBreak/>
        <w:t xml:space="preserve"> </w:t>
      </w:r>
      <w:bookmarkStart w:id="452" w:name="CTS_4050b55c792c4bc9a6ceb5286a9a5258"/>
      <w:bookmarkStart w:id="453" w:name="_Toc64923782"/>
      <w:bookmarkStart w:id="454" w:name="_Toc73975095"/>
      <w:bookmarkEnd w:id="452"/>
      <w:r w:rsidRPr="00B56A57">
        <w:rPr>
          <w:rFonts w:cs="Arial" w:hint="eastAsia"/>
        </w:rPr>
        <w:t>第十八部分</w:t>
      </w:r>
      <w:r w:rsidRPr="00B56A57">
        <w:t xml:space="preserve"> 基金</w:t>
      </w:r>
      <w:bookmarkEnd w:id="435"/>
      <w:bookmarkEnd w:id="436"/>
      <w:r w:rsidRPr="00B56A57">
        <w:rPr>
          <w:rFonts w:hint="eastAsia"/>
        </w:rPr>
        <w:t>的收益与分配</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3"/>
      <w:bookmarkEnd w:id="454"/>
    </w:p>
    <w:p w14:paraId="7EC5AA6A" w14:textId="77777777" w:rsidR="00217DCA" w:rsidRPr="00B56A57" w:rsidRDefault="00217DCA">
      <w:pPr>
        <w:adjustRightInd w:val="0"/>
        <w:snapToGrid w:val="0"/>
        <w:spacing w:line="360" w:lineRule="auto"/>
        <w:ind w:firstLineChars="200" w:firstLine="420"/>
        <w:rPr>
          <w:rFonts w:asciiTheme="minorEastAsia" w:hAnsiTheme="minorEastAsia"/>
          <w:color w:val="0D0D0D" w:themeColor="text1" w:themeTint="F2"/>
        </w:rPr>
      </w:pPr>
    </w:p>
    <w:p w14:paraId="0027B35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一、基金收益分配原则</w:t>
      </w:r>
    </w:p>
    <w:p w14:paraId="0E1732B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w:t>
      </w:r>
      <w:r w:rsidRPr="00B56A57">
        <w:rPr>
          <w:rFonts w:asciiTheme="minorEastAsia" w:eastAsiaTheme="minorEastAsia" w:hAnsiTheme="minorEastAsia" w:hint="eastAsia"/>
          <w:color w:val="0D0D0D" w:themeColor="text1" w:themeTint="F2"/>
        </w:rPr>
        <w:t>每一</w:t>
      </w:r>
      <w:r w:rsidRPr="00B56A57">
        <w:rPr>
          <w:rFonts w:asciiTheme="minorEastAsia" w:hAnsiTheme="minorEastAsia" w:hint="eastAsia"/>
          <w:color w:val="0D0D0D" w:themeColor="text1" w:themeTint="F2"/>
        </w:rPr>
        <w:t>基金</w:t>
      </w:r>
      <w:r w:rsidRPr="00B56A57">
        <w:rPr>
          <w:rFonts w:asciiTheme="minorEastAsia" w:eastAsiaTheme="minorEastAsia" w:hAnsiTheme="minorEastAsia" w:hint="eastAsia"/>
          <w:color w:val="0D0D0D" w:themeColor="text1" w:themeTint="F2"/>
        </w:rPr>
        <w:t>份额享有同等分配权；</w:t>
      </w:r>
    </w:p>
    <w:p w14:paraId="2B01A632"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2、本基金基金份额</w:t>
      </w:r>
      <w:r w:rsidRPr="00B56A57">
        <w:rPr>
          <w:rFonts w:asciiTheme="minorEastAsia" w:hAnsiTheme="minorEastAsia" w:hint="eastAsia"/>
          <w:color w:val="0D0D0D" w:themeColor="text1" w:themeTint="F2"/>
        </w:rPr>
        <w:t>的收益分配</w:t>
      </w:r>
      <w:r w:rsidRPr="00B56A57">
        <w:rPr>
          <w:rFonts w:asciiTheme="minorEastAsia" w:eastAsiaTheme="minorEastAsia" w:hAnsiTheme="minorEastAsia" w:hint="eastAsia"/>
          <w:color w:val="0D0D0D" w:themeColor="text1" w:themeTint="F2"/>
        </w:rPr>
        <w:t>方式采用现金分红；</w:t>
      </w:r>
    </w:p>
    <w:p w14:paraId="79519CD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3</w:t>
      </w:r>
      <w:r w:rsidRPr="00B56A57">
        <w:rPr>
          <w:rFonts w:asciiTheme="minorEastAsia" w:eastAsiaTheme="minorEastAsia" w:hAnsiTheme="minorEastAsia" w:hint="eastAsia"/>
          <w:color w:val="0D0D0D" w:themeColor="text1" w:themeTint="F2"/>
        </w:rPr>
        <w:t>、当基金份额净值增长率超过标的指数同期增长率达到</w:t>
      </w:r>
      <w:r w:rsidRPr="00B56A57">
        <w:rPr>
          <w:rFonts w:asciiTheme="minorEastAsia" w:eastAsiaTheme="minorEastAsia" w:hAnsiTheme="minorEastAsia"/>
          <w:color w:val="0D0D0D" w:themeColor="text1" w:themeTint="F2"/>
        </w:rPr>
        <w:t>0.01%</w:t>
      </w:r>
      <w:r w:rsidRPr="00B56A57">
        <w:rPr>
          <w:rFonts w:asciiTheme="minorEastAsia" w:eastAsiaTheme="minorEastAsia" w:hAnsiTheme="minorEastAsia" w:hint="eastAsia"/>
          <w:color w:val="0D0D0D" w:themeColor="text1" w:themeTint="F2"/>
        </w:rPr>
        <w:t>以上时，可进行收益分配；</w:t>
      </w:r>
    </w:p>
    <w:p w14:paraId="4AFADDD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4、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14:paraId="151E479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5、</w:t>
      </w:r>
      <w:r w:rsidRPr="00B56A57">
        <w:rPr>
          <w:rFonts w:asciiTheme="minorEastAsia" w:hAnsiTheme="minorEastAsia" w:hint="eastAsia"/>
          <w:color w:val="0D0D0D" w:themeColor="text1" w:themeTint="F2"/>
        </w:rPr>
        <w:t>若《基金合同》生效不满</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个月可不进行收益分配；</w:t>
      </w:r>
    </w:p>
    <w:p w14:paraId="45AC6F2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6</w:t>
      </w:r>
      <w:r w:rsidRPr="00B56A57">
        <w:rPr>
          <w:rFonts w:asciiTheme="minorEastAsia" w:hAnsiTheme="minorEastAsia" w:hint="eastAsia"/>
          <w:color w:val="0D0D0D" w:themeColor="text1" w:themeTint="F2"/>
        </w:rPr>
        <w:t>、法律法规</w:t>
      </w:r>
      <w:r w:rsidRPr="00B56A57">
        <w:rPr>
          <w:rFonts w:asciiTheme="minorEastAsia" w:eastAsiaTheme="minorEastAsia" w:hAnsiTheme="minorEastAsia" w:hint="eastAsia"/>
          <w:color w:val="0D0D0D" w:themeColor="text1" w:themeTint="F2"/>
        </w:rPr>
        <w:t>、</w:t>
      </w:r>
      <w:r w:rsidRPr="00B56A57">
        <w:rPr>
          <w:rFonts w:asciiTheme="minorEastAsia" w:hAnsiTheme="minorEastAsia" w:hint="eastAsia"/>
          <w:color w:val="0D0D0D" w:themeColor="text1" w:themeTint="F2"/>
        </w:rPr>
        <w:t>监管机关</w:t>
      </w:r>
      <w:r w:rsidRPr="00B56A57">
        <w:rPr>
          <w:rFonts w:asciiTheme="minorEastAsia" w:eastAsiaTheme="minorEastAsia" w:hAnsiTheme="minorEastAsia" w:hint="eastAsia"/>
          <w:color w:val="0D0D0D" w:themeColor="text1" w:themeTint="F2"/>
        </w:rPr>
        <w:t>、证券交易所或基金登记机构</w:t>
      </w:r>
      <w:r w:rsidRPr="00B56A57">
        <w:rPr>
          <w:rFonts w:asciiTheme="minorEastAsia" w:hAnsiTheme="minorEastAsia" w:hint="eastAsia"/>
          <w:color w:val="0D0D0D" w:themeColor="text1" w:themeTint="F2"/>
        </w:rPr>
        <w:t>另有规定的，从其规定。</w:t>
      </w:r>
    </w:p>
    <w:p w14:paraId="0331E19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在不违反法律法规且对基金份额持有人利益无实质性不利影响的前提下，基金管理人可对基金收益分配的有关业务规则进行调整，并及时公告。</w:t>
      </w:r>
    </w:p>
    <w:p w14:paraId="2BA872A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二</w:t>
      </w:r>
      <w:r w:rsidRPr="00B56A57">
        <w:rPr>
          <w:rFonts w:asciiTheme="minorEastAsia" w:eastAsiaTheme="minorEastAsia" w:hAnsiTheme="minorEastAsia"/>
          <w:color w:val="0D0D0D" w:themeColor="text1" w:themeTint="F2"/>
        </w:rPr>
        <w:t>、基金收益分配比例及金额的确定原则</w:t>
      </w:r>
    </w:p>
    <w:p w14:paraId="7843B38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1、在收益评价日，基金管理人计算基金</w:t>
      </w:r>
      <w:r w:rsidRPr="00B56A57">
        <w:rPr>
          <w:rFonts w:asciiTheme="minorEastAsia" w:eastAsiaTheme="minorEastAsia" w:hAnsiTheme="minorEastAsia" w:hint="eastAsia"/>
          <w:color w:val="0D0D0D" w:themeColor="text1" w:themeTint="F2"/>
        </w:rPr>
        <w:t>份额净值增长率</w:t>
      </w:r>
      <w:r w:rsidRPr="00B56A57">
        <w:rPr>
          <w:rFonts w:asciiTheme="minorEastAsia" w:eastAsiaTheme="minorEastAsia" w:hAnsiTheme="minorEastAsia"/>
          <w:color w:val="0D0D0D" w:themeColor="text1" w:themeTint="F2"/>
        </w:rPr>
        <w:t>、标的指数同期</w:t>
      </w:r>
      <w:r w:rsidRPr="00B56A57">
        <w:rPr>
          <w:rFonts w:asciiTheme="minorEastAsia" w:eastAsiaTheme="minorEastAsia" w:hAnsiTheme="minorEastAsia" w:hint="eastAsia"/>
          <w:color w:val="0D0D0D" w:themeColor="text1" w:themeTint="F2"/>
        </w:rPr>
        <w:t>增长率</w:t>
      </w:r>
      <w:r w:rsidRPr="00B56A57">
        <w:rPr>
          <w:rFonts w:asciiTheme="minorEastAsia" w:eastAsiaTheme="minorEastAsia" w:hAnsiTheme="minorEastAsia"/>
          <w:color w:val="0D0D0D" w:themeColor="text1" w:themeTint="F2"/>
        </w:rPr>
        <w:t>。</w:t>
      </w:r>
    </w:p>
    <w:p w14:paraId="584C5096"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基金收益评价日本基金相对标的指数的超额收益率＝基金</w:t>
      </w:r>
      <w:r w:rsidRPr="00B56A57">
        <w:rPr>
          <w:rFonts w:asciiTheme="minorEastAsia" w:eastAsiaTheme="minorEastAsia" w:hAnsiTheme="minorEastAsia" w:hint="eastAsia"/>
          <w:color w:val="0D0D0D" w:themeColor="text1" w:themeTint="F2"/>
        </w:rPr>
        <w:t>份额净值增长率</w:t>
      </w:r>
      <w:r w:rsidRPr="00B56A57">
        <w:rPr>
          <w:rFonts w:asciiTheme="minorEastAsia" w:eastAsiaTheme="minorEastAsia" w:hAnsiTheme="minorEastAsia"/>
          <w:color w:val="0D0D0D" w:themeColor="text1" w:themeTint="F2"/>
        </w:rPr>
        <w:t>－标的指数同期</w:t>
      </w:r>
      <w:r w:rsidRPr="00B56A57">
        <w:rPr>
          <w:rFonts w:asciiTheme="minorEastAsia" w:eastAsiaTheme="minorEastAsia" w:hAnsiTheme="minorEastAsia" w:hint="eastAsia"/>
          <w:color w:val="0D0D0D" w:themeColor="text1" w:themeTint="F2"/>
        </w:rPr>
        <w:t>增长率</w:t>
      </w:r>
      <w:r w:rsidRPr="00B56A57">
        <w:rPr>
          <w:rFonts w:asciiTheme="minorEastAsia" w:eastAsiaTheme="minorEastAsia" w:hAnsiTheme="minorEastAsia"/>
          <w:color w:val="0D0D0D" w:themeColor="text1" w:themeTint="F2"/>
        </w:rPr>
        <w:t>。</w:t>
      </w:r>
    </w:p>
    <w:p w14:paraId="02BC6A08"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基金</w:t>
      </w:r>
      <w:r w:rsidRPr="00B56A57">
        <w:rPr>
          <w:rFonts w:asciiTheme="minorEastAsia" w:eastAsiaTheme="minorEastAsia" w:hAnsiTheme="minorEastAsia" w:hint="eastAsia"/>
          <w:color w:val="0D0D0D" w:themeColor="text1" w:themeTint="F2"/>
        </w:rPr>
        <w:t>份额净值增长率</w:t>
      </w:r>
      <w:r w:rsidRPr="00B56A57">
        <w:rPr>
          <w:rFonts w:asciiTheme="minorEastAsia" w:eastAsiaTheme="minorEastAsia" w:hAnsiTheme="minorEastAsia"/>
          <w:color w:val="0D0D0D" w:themeColor="text1" w:themeTint="F2"/>
        </w:rPr>
        <w:t>为收益评价日基金份额净值与基金上市前一日基金份额净值之比减去1乘以100%；标的指数同期</w:t>
      </w:r>
      <w:r w:rsidRPr="00B56A57">
        <w:rPr>
          <w:rFonts w:asciiTheme="minorEastAsia" w:eastAsiaTheme="minorEastAsia" w:hAnsiTheme="minorEastAsia" w:hint="eastAsia"/>
          <w:color w:val="0D0D0D" w:themeColor="text1" w:themeTint="F2"/>
        </w:rPr>
        <w:t>增长率</w:t>
      </w:r>
      <w:r w:rsidRPr="00B56A57">
        <w:rPr>
          <w:rFonts w:asciiTheme="minorEastAsia" w:eastAsiaTheme="minorEastAsia" w:hAnsiTheme="minorEastAsia"/>
          <w:color w:val="0D0D0D" w:themeColor="text1" w:themeTint="F2"/>
        </w:rPr>
        <w:t>为收益评价日标的指数收盘价与基金上市前一日标的指数收盘价之比减去1乘以100%。</w:t>
      </w:r>
    </w:p>
    <w:p w14:paraId="113C58B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期间如发生基金份额折算</w:t>
      </w:r>
      <w:r w:rsidRPr="00B56A57">
        <w:rPr>
          <w:rFonts w:asciiTheme="minorEastAsia" w:eastAsiaTheme="minorEastAsia" w:hAnsiTheme="minorEastAsia" w:hint="eastAsia"/>
          <w:color w:val="0D0D0D" w:themeColor="text1" w:themeTint="F2"/>
        </w:rPr>
        <w:t>、拆分或合并</w:t>
      </w:r>
      <w:r w:rsidRPr="00B56A57">
        <w:rPr>
          <w:rFonts w:asciiTheme="minorEastAsia" w:eastAsiaTheme="minorEastAsia" w:hAnsiTheme="minorEastAsia"/>
          <w:color w:val="0D0D0D" w:themeColor="text1" w:themeTint="F2"/>
        </w:rPr>
        <w:t>，则以基金份额折算日</w:t>
      </w:r>
      <w:r w:rsidRPr="00B56A57">
        <w:rPr>
          <w:rFonts w:asciiTheme="minorEastAsia" w:eastAsiaTheme="minorEastAsia" w:hAnsiTheme="minorEastAsia" w:hint="eastAsia"/>
          <w:color w:val="0D0D0D" w:themeColor="text1" w:themeTint="F2"/>
        </w:rPr>
        <w:t>、经拆分或合并调整后的基金份额折算日</w:t>
      </w:r>
      <w:r w:rsidRPr="00B56A57">
        <w:rPr>
          <w:rFonts w:asciiTheme="minorEastAsia" w:eastAsiaTheme="minorEastAsia" w:hAnsiTheme="minorEastAsia"/>
          <w:color w:val="0D0D0D" w:themeColor="text1" w:themeTint="F2"/>
        </w:rPr>
        <w:t>为初始日重新计算上述指标。</w:t>
      </w:r>
    </w:p>
    <w:p w14:paraId="5324844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收益评价日日期以本基金日后相关公告为准。</w:t>
      </w:r>
    </w:p>
    <w:p w14:paraId="3AF47FA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2、根据前述收益分配原则计算截至基金收益评价日本基金的份额可分配收益，并确定收益分配比例。</w:t>
      </w:r>
    </w:p>
    <w:p w14:paraId="50D2D36F"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3、根据前述可供分配利润及收益分配比例计算收益分配金额。</w:t>
      </w:r>
    </w:p>
    <w:p w14:paraId="43061D0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三</w:t>
      </w:r>
      <w:r w:rsidRPr="00B56A57">
        <w:rPr>
          <w:rFonts w:asciiTheme="minorEastAsia" w:hAnsiTheme="minorEastAsia" w:hint="eastAsia"/>
          <w:color w:val="0D0D0D" w:themeColor="text1" w:themeTint="F2"/>
        </w:rPr>
        <w:t>、收益分配方案</w:t>
      </w:r>
    </w:p>
    <w:p w14:paraId="5C941E8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基金收益分配方案中应载明基金收益分配对象、分配时间、分配数额及比例、分配方式等内容。</w:t>
      </w:r>
    </w:p>
    <w:p w14:paraId="39643FD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四</w:t>
      </w:r>
      <w:r w:rsidRPr="00B56A57">
        <w:rPr>
          <w:rFonts w:asciiTheme="minorEastAsia" w:hAnsiTheme="minorEastAsia" w:hint="eastAsia"/>
          <w:color w:val="0D0D0D" w:themeColor="text1" w:themeTint="F2"/>
        </w:rPr>
        <w:t>、收益分配方案的确定、公告与实施</w:t>
      </w:r>
    </w:p>
    <w:p w14:paraId="55F10AC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w:t>
      </w:r>
      <w:r w:rsidRPr="00B56A57">
        <w:rPr>
          <w:rFonts w:asciiTheme="minorEastAsia" w:hAnsiTheme="minorEastAsia" w:hint="eastAsia"/>
          <w:color w:val="0D0D0D" w:themeColor="text1" w:themeTint="F2"/>
        </w:rPr>
        <w:t>基金收益分配</w:t>
      </w:r>
      <w:r w:rsidRPr="00B56A57">
        <w:rPr>
          <w:rFonts w:asciiTheme="minorEastAsia" w:eastAsiaTheme="minorEastAsia" w:hAnsiTheme="minorEastAsia" w:hint="eastAsia"/>
          <w:color w:val="0D0D0D" w:themeColor="text1" w:themeTint="F2"/>
        </w:rPr>
        <w:t>方案由</w:t>
      </w:r>
      <w:r w:rsidRPr="00B56A57">
        <w:rPr>
          <w:rFonts w:asciiTheme="minorEastAsia" w:hAnsiTheme="minorEastAsia" w:hint="eastAsia"/>
          <w:color w:val="0D0D0D" w:themeColor="text1" w:themeTint="F2"/>
        </w:rPr>
        <w:t>基金</w:t>
      </w:r>
      <w:r w:rsidRPr="00B56A57">
        <w:rPr>
          <w:rFonts w:asciiTheme="minorEastAsia" w:eastAsiaTheme="minorEastAsia" w:hAnsiTheme="minorEastAsia" w:hint="eastAsia"/>
          <w:color w:val="0D0D0D" w:themeColor="text1" w:themeTint="F2"/>
        </w:rPr>
        <w:t>管理人拟定，并由</w:t>
      </w:r>
      <w:r w:rsidRPr="00B56A57">
        <w:rPr>
          <w:rFonts w:asciiTheme="minorEastAsia" w:hAnsiTheme="minorEastAsia" w:hint="eastAsia"/>
          <w:color w:val="0D0D0D" w:themeColor="text1" w:themeTint="F2"/>
        </w:rPr>
        <w:t>基金</w:t>
      </w:r>
      <w:r w:rsidRPr="00B56A57">
        <w:rPr>
          <w:rFonts w:asciiTheme="minorEastAsia" w:eastAsiaTheme="minorEastAsia" w:hAnsiTheme="minorEastAsia" w:hint="eastAsia"/>
          <w:color w:val="0D0D0D" w:themeColor="text1" w:themeTint="F2"/>
        </w:rPr>
        <w:t>托管人复核</w:t>
      </w:r>
      <w:r w:rsidRPr="00B56A57">
        <w:rPr>
          <w:rFonts w:asciiTheme="minorEastAsia" w:hAnsiTheme="minorEastAsia" w:hint="eastAsia"/>
          <w:color w:val="0D0D0D" w:themeColor="text1" w:themeTint="F2"/>
        </w:rPr>
        <w:t>，依照</w:t>
      </w:r>
      <w:r w:rsidRPr="00B56A57">
        <w:rPr>
          <w:rFonts w:asciiTheme="minorEastAsia" w:eastAsiaTheme="minorEastAsia" w:hAnsiTheme="minorEastAsia" w:hint="eastAsia"/>
          <w:color w:val="0D0D0D" w:themeColor="text1" w:themeTint="F2"/>
        </w:rPr>
        <w:t>《信息披露办法》在规定媒介公告</w:t>
      </w:r>
      <w:r w:rsidRPr="00B56A57">
        <w:rPr>
          <w:rFonts w:asciiTheme="minorEastAsia" w:hAnsiTheme="minorEastAsia" w:hint="eastAsia"/>
          <w:color w:val="0D0D0D" w:themeColor="text1" w:themeTint="F2"/>
        </w:rPr>
        <w:t>。</w:t>
      </w:r>
    </w:p>
    <w:p w14:paraId="1B37EDB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五、基金收益分配中发生的费用</w:t>
      </w:r>
    </w:p>
    <w:p w14:paraId="4BA7EC8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lastRenderedPageBreak/>
        <w:t>基金收益分配时所发生的银行转账或其他手续费用由投资者自行承担。</w:t>
      </w:r>
    </w:p>
    <w:p w14:paraId="042B0AB0" w14:textId="77777777" w:rsidR="00217DCA" w:rsidRPr="00B56A57" w:rsidRDefault="00217DCA">
      <w:pPr>
        <w:pStyle w:val="1"/>
        <w:sectPr w:rsidR="00217DCA" w:rsidRPr="00B56A57">
          <w:footerReference w:type="default" r:id="rId33"/>
          <w:pgSz w:w="11906" w:h="16838"/>
          <w:pgMar w:top="1440" w:right="1800" w:bottom="1440" w:left="1800" w:header="851" w:footer="992" w:gutter="0"/>
          <w:pgNumType w:start="1"/>
          <w:cols w:space="425"/>
          <w:docGrid w:type="lines" w:linePitch="312"/>
        </w:sectPr>
      </w:pPr>
      <w:bookmarkStart w:id="455" w:name="_Toc92662708"/>
      <w:bookmarkStart w:id="456" w:name="_Toc93226150"/>
      <w:bookmarkStart w:id="457" w:name="_Toc18747"/>
      <w:bookmarkStart w:id="458" w:name="_Toc29695"/>
      <w:bookmarkStart w:id="459" w:name="_Toc17499"/>
      <w:bookmarkStart w:id="460" w:name="_Toc90742334"/>
      <w:bookmarkStart w:id="461" w:name="_Toc13255"/>
      <w:bookmarkStart w:id="462" w:name="_Toc21206"/>
      <w:bookmarkStart w:id="463" w:name="_Toc31736"/>
      <w:bookmarkStart w:id="464" w:name="_Toc90742701"/>
      <w:bookmarkStart w:id="465" w:name="_Toc18007"/>
      <w:bookmarkStart w:id="466" w:name="_Toc141703897"/>
      <w:bookmarkStart w:id="467" w:name="_Toc139991747"/>
      <w:bookmarkStart w:id="468" w:name="_Toc90742403"/>
      <w:bookmarkStart w:id="469" w:name="_Toc28961"/>
      <w:bookmarkStart w:id="470" w:name="_Toc128310500"/>
      <w:bookmarkStart w:id="471" w:name="_Toc1043"/>
      <w:bookmarkStart w:id="472" w:name="_Toc23859"/>
      <w:bookmarkStart w:id="473" w:name="_Toc10894"/>
    </w:p>
    <w:p w14:paraId="0245A229" w14:textId="77777777" w:rsidR="00217DCA" w:rsidRPr="00B56A57" w:rsidRDefault="006C7341">
      <w:pPr>
        <w:pStyle w:val="1"/>
      </w:pPr>
      <w:bookmarkStart w:id="474" w:name="CLAUSE_71c58533a21145f98d9d1bd34ae2666a"/>
      <w:bookmarkEnd w:id="451"/>
      <w:r w:rsidRPr="00B56A57">
        <w:lastRenderedPageBreak/>
        <w:t xml:space="preserve"> </w:t>
      </w:r>
      <w:bookmarkStart w:id="475" w:name="CTS_71c58533a21145f98d9d1bd34ae2666a"/>
      <w:bookmarkStart w:id="476" w:name="_Toc64923783"/>
      <w:bookmarkStart w:id="477" w:name="_Toc73975096"/>
      <w:bookmarkEnd w:id="475"/>
      <w:r w:rsidRPr="00B56A57">
        <w:rPr>
          <w:rFonts w:cs="Arial" w:hint="eastAsia"/>
        </w:rPr>
        <w:t>第十九</w:t>
      </w:r>
      <w:r w:rsidRPr="00B56A57">
        <w:rPr>
          <w:rFonts w:hint="eastAsia"/>
        </w:rPr>
        <w:t>部分</w:t>
      </w:r>
      <w:r w:rsidRPr="00B56A57">
        <w:t xml:space="preserve"> </w:t>
      </w:r>
      <w:r w:rsidRPr="00B56A57">
        <w:rPr>
          <w:rFonts w:hint="eastAsia"/>
        </w:rPr>
        <w:t>基金</w:t>
      </w:r>
      <w:bookmarkEnd w:id="455"/>
      <w:bookmarkEnd w:id="456"/>
      <w:r w:rsidRPr="00B56A57">
        <w:rPr>
          <w:rFonts w:hint="eastAsia"/>
        </w:rPr>
        <w:t>的会计</w:t>
      </w:r>
      <w:r w:rsidRPr="00B56A57">
        <w:rPr>
          <w:rFonts w:hint="eastAsia"/>
          <w:sz w:val="30"/>
        </w:rPr>
        <w:t>与</w:t>
      </w:r>
      <w:r w:rsidRPr="00B56A57">
        <w:rPr>
          <w:rFonts w:hint="eastAsia"/>
        </w:rPr>
        <w:t>审计</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6"/>
      <w:bookmarkEnd w:id="477"/>
    </w:p>
    <w:p w14:paraId="446AB66B"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一、基金会计政策</w:t>
      </w:r>
    </w:p>
    <w:p w14:paraId="4CE4F134"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w:t>
      </w:r>
      <w:r w:rsidRPr="00B56A57">
        <w:rPr>
          <w:rFonts w:asciiTheme="minorEastAsia" w:hAnsiTheme="minorEastAsia" w:hint="eastAsia"/>
        </w:rPr>
        <w:t>、基金管理人为本基金的基金会计责任方；</w:t>
      </w:r>
    </w:p>
    <w:p w14:paraId="06062991"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2</w:t>
      </w:r>
      <w:r w:rsidRPr="00B56A57">
        <w:rPr>
          <w:rFonts w:asciiTheme="minorEastAsia" w:hAnsiTheme="minorEastAsia" w:hint="eastAsia"/>
        </w:rPr>
        <w:t>、基金的会计年度为公历年度的</w:t>
      </w:r>
      <w:r w:rsidRPr="00B56A57">
        <w:rPr>
          <w:rFonts w:asciiTheme="minorEastAsia" w:hAnsiTheme="minorEastAsia"/>
        </w:rPr>
        <w:t>1</w:t>
      </w:r>
      <w:r w:rsidRPr="00B56A57">
        <w:rPr>
          <w:rFonts w:asciiTheme="minorEastAsia" w:hAnsiTheme="minorEastAsia" w:hint="eastAsia"/>
        </w:rPr>
        <w:t>月</w:t>
      </w:r>
      <w:r w:rsidRPr="00B56A57">
        <w:rPr>
          <w:rFonts w:asciiTheme="minorEastAsia" w:hAnsiTheme="minorEastAsia"/>
        </w:rPr>
        <w:t>1</w:t>
      </w:r>
      <w:r w:rsidRPr="00B56A57">
        <w:rPr>
          <w:rFonts w:asciiTheme="minorEastAsia" w:hAnsiTheme="minorEastAsia" w:hint="eastAsia"/>
        </w:rPr>
        <w:t>日至</w:t>
      </w:r>
      <w:r w:rsidRPr="00B56A57">
        <w:rPr>
          <w:rFonts w:asciiTheme="minorEastAsia" w:hAnsiTheme="minorEastAsia"/>
        </w:rPr>
        <w:t>12</w:t>
      </w:r>
      <w:r w:rsidRPr="00B56A57">
        <w:rPr>
          <w:rFonts w:asciiTheme="minorEastAsia" w:hAnsiTheme="minorEastAsia" w:hint="eastAsia"/>
        </w:rPr>
        <w:t>月</w:t>
      </w:r>
      <w:r w:rsidRPr="00B56A57">
        <w:rPr>
          <w:rFonts w:asciiTheme="minorEastAsia" w:hAnsiTheme="minorEastAsia"/>
        </w:rPr>
        <w:t>31</w:t>
      </w:r>
      <w:r w:rsidRPr="00B56A57">
        <w:rPr>
          <w:rFonts w:asciiTheme="minorEastAsia" w:hAnsiTheme="minorEastAsia" w:hint="eastAsia"/>
        </w:rPr>
        <w:t>日；基金首次募集的会计年度按如下原则：如果《基金合同》生效少于</w:t>
      </w:r>
      <w:r w:rsidRPr="00B56A57">
        <w:rPr>
          <w:rFonts w:asciiTheme="minorEastAsia" w:hAnsiTheme="minorEastAsia"/>
        </w:rPr>
        <w:t>2个月，可以并入下一个会计年度</w:t>
      </w:r>
      <w:r w:rsidRPr="00B56A57">
        <w:rPr>
          <w:rFonts w:asciiTheme="minorEastAsia" w:eastAsiaTheme="minorEastAsia" w:hAnsiTheme="minorEastAsia" w:hint="eastAsia"/>
        </w:rPr>
        <w:t>披露</w:t>
      </w:r>
      <w:r w:rsidRPr="00B56A57">
        <w:rPr>
          <w:rFonts w:asciiTheme="minorEastAsia" w:hAnsiTheme="minorEastAsia" w:hint="eastAsia"/>
        </w:rPr>
        <w:t>；</w:t>
      </w:r>
    </w:p>
    <w:p w14:paraId="357552B4"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3</w:t>
      </w:r>
      <w:r w:rsidRPr="00B56A57">
        <w:rPr>
          <w:rFonts w:asciiTheme="minorEastAsia" w:hAnsiTheme="minorEastAsia" w:hint="eastAsia"/>
        </w:rPr>
        <w:t>、基金核算以人民币为记账本位币，以人民币元为记账单位；</w:t>
      </w:r>
    </w:p>
    <w:p w14:paraId="70F2919D"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4</w:t>
      </w:r>
      <w:r w:rsidRPr="00B56A57">
        <w:rPr>
          <w:rFonts w:asciiTheme="minorEastAsia" w:hAnsiTheme="minorEastAsia" w:hint="eastAsia"/>
        </w:rPr>
        <w:t>、会计制度执行国家有关会计制度；</w:t>
      </w:r>
    </w:p>
    <w:p w14:paraId="24C92627"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5</w:t>
      </w:r>
      <w:r w:rsidRPr="00B56A57">
        <w:rPr>
          <w:rFonts w:asciiTheme="minorEastAsia" w:hAnsiTheme="minorEastAsia" w:hint="eastAsia"/>
        </w:rPr>
        <w:t>、本基金独立建账、独立核算；</w:t>
      </w:r>
    </w:p>
    <w:p w14:paraId="53C97238"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6</w:t>
      </w:r>
      <w:r w:rsidRPr="00B56A57">
        <w:rPr>
          <w:rFonts w:asciiTheme="minorEastAsia" w:hAnsiTheme="minorEastAsia" w:hint="eastAsia"/>
        </w:rPr>
        <w:t>、基金管理人及基金托管人各自保留完整的会计账目、凭证并进行日常的会计核算，按照有关规定编制基金会计报表；</w:t>
      </w:r>
    </w:p>
    <w:p w14:paraId="722FB631"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7</w:t>
      </w:r>
      <w:r w:rsidRPr="00B56A57">
        <w:rPr>
          <w:rFonts w:asciiTheme="minorEastAsia" w:hAnsiTheme="minorEastAsia" w:hint="eastAsia"/>
        </w:rPr>
        <w:t>、基金托管人每月与基金管理人就基金的会计核算、报表编制等进行核对并以书面方式确认。</w:t>
      </w:r>
    </w:p>
    <w:p w14:paraId="2B6D6C90"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二、基金的年度审计</w:t>
      </w:r>
    </w:p>
    <w:p w14:paraId="1FEAA668"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w:t>
      </w:r>
      <w:r w:rsidRPr="00B56A57">
        <w:rPr>
          <w:rFonts w:asciiTheme="minorEastAsia" w:hAnsiTheme="minorEastAsia" w:hint="eastAsia"/>
        </w:rPr>
        <w:t>、基金管理人聘请与基金管理人、基金托管人相互独立且符合《证券法》规定的会计师事务所及其注册会计师对本基金的年度财务报表进行审计。</w:t>
      </w:r>
    </w:p>
    <w:p w14:paraId="07FEB24F"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2</w:t>
      </w:r>
      <w:r w:rsidRPr="00B56A57">
        <w:rPr>
          <w:rFonts w:asciiTheme="minorEastAsia" w:hAnsiTheme="minorEastAsia" w:hint="eastAsia"/>
        </w:rPr>
        <w:t>、会计师事务所更换经办注册会计师，应事先征得基金管理人同意。</w:t>
      </w:r>
    </w:p>
    <w:p w14:paraId="510B41F6"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3</w:t>
      </w:r>
      <w:r w:rsidRPr="00B56A57">
        <w:rPr>
          <w:rFonts w:asciiTheme="minorEastAsia" w:hAnsiTheme="minorEastAsia" w:hint="eastAsia"/>
        </w:rPr>
        <w:t>、基金管理人认为有充足理由更换会计师事务所，须通报基金托管人。更换会计师事务所需</w:t>
      </w:r>
      <w:r w:rsidRPr="00B56A57">
        <w:rPr>
          <w:rFonts w:asciiTheme="minorEastAsia" w:eastAsiaTheme="minorEastAsia" w:hAnsiTheme="minorEastAsia" w:hint="eastAsia"/>
        </w:rPr>
        <w:t>依照《信息披露办法》</w:t>
      </w:r>
      <w:r w:rsidRPr="00B56A57">
        <w:rPr>
          <w:rFonts w:asciiTheme="minorEastAsia" w:hAnsiTheme="minorEastAsia" w:hint="eastAsia"/>
        </w:rPr>
        <w:t>在规定媒介公告。</w:t>
      </w:r>
    </w:p>
    <w:p w14:paraId="37EE5C39" w14:textId="77777777" w:rsidR="00217DCA" w:rsidRPr="00B56A57" w:rsidRDefault="00217DCA">
      <w:pPr>
        <w:adjustRightInd w:val="0"/>
        <w:snapToGrid w:val="0"/>
        <w:spacing w:line="360" w:lineRule="auto"/>
        <w:rPr>
          <w:rFonts w:asciiTheme="minorEastAsia" w:eastAsiaTheme="minorEastAsia" w:hAnsiTheme="minorEastAsia" w:cs="Arial"/>
          <w:color w:val="0D0D0D" w:themeColor="text1" w:themeTint="F2"/>
          <w:szCs w:val="21"/>
        </w:rPr>
      </w:pPr>
      <w:bookmarkStart w:id="478" w:name="_Toc93226151"/>
      <w:bookmarkStart w:id="479" w:name="_Toc92662709"/>
      <w:bookmarkStart w:id="480" w:name="_Toc1421"/>
      <w:bookmarkStart w:id="481" w:name="_Toc11802"/>
      <w:bookmarkStart w:id="482" w:name="_Toc139991748"/>
      <w:bookmarkStart w:id="483" w:name="_Toc29289"/>
      <w:bookmarkStart w:id="484" w:name="_Toc3056"/>
      <w:bookmarkStart w:id="485" w:name="_Toc193"/>
      <w:bookmarkStart w:id="486" w:name="_Toc8512"/>
      <w:bookmarkStart w:id="487" w:name="_Toc1173"/>
      <w:bookmarkStart w:id="488" w:name="_Toc128310501"/>
      <w:bookmarkStart w:id="489" w:name="_Toc141703898"/>
      <w:bookmarkStart w:id="490" w:name="_Toc21351"/>
      <w:bookmarkStart w:id="491" w:name="_Toc11049"/>
      <w:bookmarkStart w:id="492" w:name="_Toc12028"/>
      <w:bookmarkStart w:id="493" w:name="_Toc31866"/>
    </w:p>
    <w:p w14:paraId="4E54D916" w14:textId="77777777" w:rsidR="00217DCA" w:rsidRPr="00B56A57" w:rsidRDefault="00217DCA">
      <w:pPr>
        <w:pStyle w:val="1"/>
        <w:sectPr w:rsidR="00217DCA" w:rsidRPr="00B56A57">
          <w:footerReference w:type="default" r:id="rId34"/>
          <w:pgSz w:w="11906" w:h="16838"/>
          <w:pgMar w:top="1440" w:right="1800" w:bottom="1440" w:left="1800" w:header="851" w:footer="992" w:gutter="0"/>
          <w:pgNumType w:start="1"/>
          <w:cols w:space="425"/>
          <w:docGrid w:type="lines" w:linePitch="312"/>
        </w:sectPr>
      </w:pPr>
      <w:bookmarkStart w:id="494" w:name="_Hlt4221115"/>
      <w:bookmarkStart w:id="495" w:name="_Toc90742702"/>
      <w:bookmarkStart w:id="496" w:name="_Toc90742335"/>
      <w:bookmarkStart w:id="497" w:name="_Toc90742404"/>
    </w:p>
    <w:p w14:paraId="28190DCA" w14:textId="77777777" w:rsidR="00217DCA" w:rsidRPr="00B56A57" w:rsidRDefault="006C7341">
      <w:pPr>
        <w:pStyle w:val="1"/>
      </w:pPr>
      <w:bookmarkStart w:id="498" w:name="CLAUSE_b4bd628fc54940d596ac1d00d338db3a"/>
      <w:bookmarkEnd w:id="474"/>
      <w:bookmarkEnd w:id="494"/>
      <w:r w:rsidRPr="00B56A57">
        <w:lastRenderedPageBreak/>
        <w:t xml:space="preserve"> </w:t>
      </w:r>
      <w:bookmarkStart w:id="499" w:name="CTS_b4bd628fc54940d596ac1d00d338db3a"/>
      <w:bookmarkStart w:id="500" w:name="_Toc64923784"/>
      <w:bookmarkStart w:id="501" w:name="_Toc73975097"/>
      <w:bookmarkEnd w:id="499"/>
      <w:r w:rsidRPr="00B56A57">
        <w:rPr>
          <w:rFonts w:cs="Arial" w:hint="eastAsia"/>
        </w:rPr>
        <w:t>第二十部分</w:t>
      </w:r>
      <w:r w:rsidRPr="00B56A57">
        <w:t xml:space="preserve"> 基金</w:t>
      </w:r>
      <w:bookmarkEnd w:id="478"/>
      <w:bookmarkEnd w:id="479"/>
      <w:r w:rsidRPr="00B56A57">
        <w:rPr>
          <w:rFonts w:hint="eastAsia"/>
        </w:rPr>
        <w:t>的信息披露</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5"/>
      <w:bookmarkEnd w:id="496"/>
      <w:bookmarkEnd w:id="497"/>
      <w:bookmarkEnd w:id="500"/>
      <w:bookmarkEnd w:id="501"/>
    </w:p>
    <w:p w14:paraId="6432CE54" w14:textId="77777777" w:rsidR="00217DCA" w:rsidRPr="00B56A57" w:rsidRDefault="00217DCA">
      <w:pPr>
        <w:spacing w:line="360" w:lineRule="auto"/>
        <w:ind w:firstLineChars="200" w:firstLine="480"/>
        <w:rPr>
          <w:rFonts w:asciiTheme="minorEastAsia" w:hAnsiTheme="minorEastAsia"/>
          <w:sz w:val="24"/>
        </w:rPr>
      </w:pPr>
    </w:p>
    <w:p w14:paraId="0C226574"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一、本基金的信息披露应符合《基金法》、《运作办法》、《信息披露办法》、《流动性风险管理规定》、《基金合同》及其他有关规定。</w:t>
      </w:r>
      <w:r w:rsidRPr="00B56A57">
        <w:rPr>
          <w:rFonts w:asciiTheme="minorEastAsia" w:eastAsiaTheme="minorEastAsia" w:hAnsiTheme="minorEastAsia" w:hint="eastAsia"/>
        </w:rPr>
        <w:t>相关法律法规关于信息披露的披露方式、登载媒介、报备方式等规定发生变化时，本基金从其最新规定。</w:t>
      </w:r>
    </w:p>
    <w:p w14:paraId="1E9ACD10"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二、信息披露义务人</w:t>
      </w:r>
    </w:p>
    <w:p w14:paraId="33B9A1F3"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本基金信息披露义务人包括基金管理人、基金托管人、召集基金份额持有人大会的基金份额持有人等法律、行政法规和中国证监会规定的自然人、法人和非法人组织。</w:t>
      </w:r>
    </w:p>
    <w:p w14:paraId="7386B786"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本基金信息披露义务人以保护基金份额持有人利益为根本出发点，按照法律法规和中国证监会的规定披露基金信息，并保证所披露信息的真实性、准确性、完整性、及时性、简明性和易得性。</w:t>
      </w:r>
    </w:p>
    <w:p w14:paraId="123B7E21"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0F626194"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三、本基金信息披露义务人承诺公开披露的基金信息，不得有下列行为：</w:t>
      </w:r>
    </w:p>
    <w:p w14:paraId="4C4616F9"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w:t>
      </w:r>
      <w:r w:rsidRPr="00B56A57">
        <w:rPr>
          <w:rFonts w:asciiTheme="minorEastAsia" w:hAnsiTheme="minorEastAsia" w:hint="eastAsia"/>
        </w:rPr>
        <w:t>、虚假记载、误导性陈述或者重大遗漏；</w:t>
      </w:r>
    </w:p>
    <w:p w14:paraId="37EC2EBE"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2</w:t>
      </w:r>
      <w:r w:rsidRPr="00B56A57">
        <w:rPr>
          <w:rFonts w:asciiTheme="minorEastAsia" w:hAnsiTheme="minorEastAsia" w:hint="eastAsia"/>
        </w:rPr>
        <w:t>、对证券投资业绩进行预测；</w:t>
      </w:r>
    </w:p>
    <w:p w14:paraId="7AC9F228"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3</w:t>
      </w:r>
      <w:r w:rsidRPr="00B56A57">
        <w:rPr>
          <w:rFonts w:asciiTheme="minorEastAsia" w:hAnsiTheme="minorEastAsia" w:hint="eastAsia"/>
        </w:rPr>
        <w:t>、违规承诺收益或者承担损失；</w:t>
      </w:r>
    </w:p>
    <w:p w14:paraId="305BDF25"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4</w:t>
      </w:r>
      <w:r w:rsidRPr="00B56A57">
        <w:rPr>
          <w:rFonts w:asciiTheme="minorEastAsia" w:hAnsiTheme="minorEastAsia" w:hint="eastAsia"/>
        </w:rPr>
        <w:t>、诋毁其他基金管理人、基金托管人或者基金销售机构；</w:t>
      </w:r>
    </w:p>
    <w:p w14:paraId="4F8C5699"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5</w:t>
      </w:r>
      <w:r w:rsidRPr="00B56A57">
        <w:rPr>
          <w:rFonts w:asciiTheme="minorEastAsia" w:hAnsiTheme="minorEastAsia" w:hint="eastAsia"/>
        </w:rPr>
        <w:t>、登载任何自然人、法人和非法人组织的祝贺性、恭维性或推荐性的文字；</w:t>
      </w:r>
    </w:p>
    <w:p w14:paraId="55E30259"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6</w:t>
      </w:r>
      <w:r w:rsidRPr="00B56A57">
        <w:rPr>
          <w:rFonts w:asciiTheme="minorEastAsia" w:hAnsiTheme="minorEastAsia" w:hint="eastAsia"/>
        </w:rPr>
        <w:t>、中国证监会禁止的其他行为。</w:t>
      </w:r>
    </w:p>
    <w:p w14:paraId="00DDF736"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四、本基金公开披露的信息应采用中文文本。如同时采用外文文本的，基金信息披露义务人应保证不同文本的内容一致。不同文本之间发生歧义的，以中文文本为准。</w:t>
      </w:r>
    </w:p>
    <w:p w14:paraId="5E619527"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本基金公开披露的信息采用阿拉伯数字；除特别说明外，货币单位为人民币元。</w:t>
      </w:r>
    </w:p>
    <w:p w14:paraId="60A3DE65"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五、公开披露的基金信息</w:t>
      </w:r>
    </w:p>
    <w:p w14:paraId="0997BD35"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公开披露的基金信息包括：</w:t>
      </w:r>
    </w:p>
    <w:p w14:paraId="1D425F0A"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（一）基金招募说明书、基金产品资料概要、</w:t>
      </w:r>
      <w:r w:rsidRPr="00B56A57">
        <w:rPr>
          <w:rFonts w:asciiTheme="minorEastAsia" w:eastAsiaTheme="minorEastAsia" w:hAnsiTheme="minorEastAsia" w:hint="eastAsia"/>
        </w:rPr>
        <w:t>基金</w:t>
      </w:r>
      <w:r w:rsidRPr="00B56A57">
        <w:rPr>
          <w:rFonts w:asciiTheme="minorEastAsia" w:eastAsiaTheme="minorEastAsia" w:hAnsiTheme="minorEastAsia"/>
        </w:rPr>
        <w:t>合同</w:t>
      </w:r>
      <w:r w:rsidRPr="00B56A57">
        <w:rPr>
          <w:rFonts w:asciiTheme="minorEastAsia" w:hAnsiTheme="minorEastAsia" w:hint="eastAsia"/>
        </w:rPr>
        <w:t>、基金托管协议</w:t>
      </w:r>
    </w:p>
    <w:p w14:paraId="1644D2BC"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w:t>
      </w:r>
      <w:r w:rsidRPr="00B56A57">
        <w:rPr>
          <w:rFonts w:asciiTheme="minorEastAsia" w:eastAsiaTheme="minorEastAsia" w:hAnsiTheme="minorEastAsia"/>
        </w:rPr>
        <w:t>基金合同</w:t>
      </w:r>
      <w:r w:rsidRPr="00B56A57">
        <w:rPr>
          <w:rFonts w:asciiTheme="minorEastAsia" w:hAnsiTheme="minorEastAsia" w:hint="eastAsia"/>
        </w:rPr>
        <w:t>是界定</w:t>
      </w:r>
      <w:r w:rsidRPr="00B56A57">
        <w:rPr>
          <w:rFonts w:asciiTheme="minorEastAsia" w:eastAsiaTheme="minorEastAsia" w:hAnsiTheme="minorEastAsia"/>
        </w:rPr>
        <w:t>基金合同</w:t>
      </w:r>
      <w:r w:rsidRPr="00B56A57">
        <w:rPr>
          <w:rFonts w:asciiTheme="minorEastAsia" w:hAnsiTheme="minorEastAsia" w:hint="eastAsia"/>
        </w:rPr>
        <w:t>当事人的各项权利、义务关系，明确基金份额持有人大会召开的规则及具体程序，说明基金产品的特性等涉及基金投资者重大利益的事项的法律文件。</w:t>
      </w:r>
    </w:p>
    <w:p w14:paraId="69553070"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w:t>
      </w:r>
      <w:r w:rsidRPr="00B56A57">
        <w:rPr>
          <w:rFonts w:asciiTheme="minorEastAsia" w:hAnsiTheme="minorEastAsia" w:hint="eastAsia"/>
        </w:rPr>
        <w:lastRenderedPageBreak/>
        <w:t>的，基金管理人至少每年更新一次。基金终止运作的，基金管理人不再更新基金招募说明书。</w:t>
      </w:r>
    </w:p>
    <w:p w14:paraId="04303718"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3、基金托管协议是界定基金托管人和基金管理人在基金财产保管及基金运作监督等活动中的权利、义务关系的法律文件。</w:t>
      </w:r>
    </w:p>
    <w:p w14:paraId="48BE579B"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49339E83"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基金募集申请经中国证监会注册后，基金管理人在基金份额发售的</w:t>
      </w:r>
      <w:r w:rsidRPr="00B56A57">
        <w:rPr>
          <w:rFonts w:asciiTheme="minorEastAsia" w:hAnsiTheme="minorEastAsia"/>
        </w:rPr>
        <w:t>3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5C54F32F"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（二）基金份额发售公告</w:t>
      </w:r>
    </w:p>
    <w:p w14:paraId="42024BFC"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基金管理人应当就基金份额发售的具体事宜编制基金份额发售公告。</w:t>
      </w:r>
    </w:p>
    <w:p w14:paraId="6D29CA53"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（三）《基金合同》生效公告</w:t>
      </w:r>
    </w:p>
    <w:p w14:paraId="7743D2CD"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基金管理人应当在收到中国证监会确认文件的次日在规定报刊和规定网站上登载《基金合同》生效公告。</w:t>
      </w:r>
    </w:p>
    <w:p w14:paraId="7FFAFE07"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四</w:t>
      </w:r>
      <w:r w:rsidRPr="00B56A57">
        <w:rPr>
          <w:rFonts w:asciiTheme="minorEastAsia" w:hAnsiTheme="minorEastAsia" w:hint="eastAsia"/>
        </w:rPr>
        <w:t>）基金份额</w:t>
      </w:r>
      <w:r w:rsidRPr="00B56A57">
        <w:rPr>
          <w:rFonts w:asciiTheme="minorEastAsia" w:eastAsiaTheme="minorEastAsia" w:hAnsiTheme="minorEastAsia"/>
        </w:rPr>
        <w:t>上市交易公告书</w:t>
      </w:r>
    </w:p>
    <w:p w14:paraId="5AF0409C"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rPr>
        <w:t>基金份额获准在证券交易所上市交易的，基金管理人应当在基金份额上市交易</w:t>
      </w:r>
      <w:r w:rsidRPr="00B56A57">
        <w:rPr>
          <w:rFonts w:asciiTheme="minorEastAsia" w:eastAsiaTheme="minorEastAsia" w:hAnsiTheme="minorEastAsia" w:hint="eastAsia"/>
        </w:rPr>
        <w:t>的</w:t>
      </w:r>
      <w:r w:rsidRPr="00B56A57">
        <w:rPr>
          <w:rFonts w:asciiTheme="minorEastAsia" w:eastAsiaTheme="minorEastAsia" w:hAnsiTheme="minorEastAsia"/>
        </w:rPr>
        <w:t>3个工作日前，将基金份额上市交易公告书登载在规定网站</w:t>
      </w:r>
      <w:r w:rsidRPr="00B56A57">
        <w:rPr>
          <w:rFonts w:asciiTheme="minorEastAsia" w:eastAsiaTheme="minorEastAsia" w:hAnsiTheme="minorEastAsia" w:hint="eastAsia"/>
        </w:rPr>
        <w:t>上，并将上市交易公告书提示性公告登载在规定报刊上</w:t>
      </w:r>
      <w:r w:rsidRPr="00B56A57">
        <w:rPr>
          <w:rFonts w:asciiTheme="minorEastAsia" w:eastAsiaTheme="minorEastAsia" w:hAnsiTheme="minorEastAsia"/>
        </w:rPr>
        <w:t>。</w:t>
      </w:r>
    </w:p>
    <w:p w14:paraId="4DEB9A6E"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w:t>
      </w:r>
      <w:r w:rsidRPr="00B56A57">
        <w:rPr>
          <w:rFonts w:asciiTheme="minorEastAsia" w:eastAsiaTheme="minorEastAsia" w:hAnsiTheme="minorEastAsia"/>
        </w:rPr>
        <w:t>五</w:t>
      </w:r>
      <w:r w:rsidRPr="00B56A57">
        <w:rPr>
          <w:rFonts w:asciiTheme="minorEastAsia" w:eastAsiaTheme="minorEastAsia" w:hAnsiTheme="minorEastAsia" w:hint="eastAsia"/>
        </w:rPr>
        <w:t>）基金份额折算日和折算结果公告</w:t>
      </w:r>
    </w:p>
    <w:p w14:paraId="62904E2B"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基金管理人确定基金份额折算日，并依照《信息披露办法》的有关规定将基金份额折算日公告登载于规定媒介上。</w:t>
      </w:r>
      <w:r w:rsidRPr="00B56A57">
        <w:rPr>
          <w:rFonts w:asciiTheme="minorEastAsia" w:eastAsiaTheme="minorEastAsia" w:hAnsiTheme="minorEastAsia"/>
        </w:rPr>
        <w:t xml:space="preserve"> </w:t>
      </w:r>
    </w:p>
    <w:p w14:paraId="5513AA27"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基金份额进行折算并由登记机构完成基金份额的变更登记后，基金管理人将基金份额折算结果公告登载于规定媒介上。</w:t>
      </w:r>
    </w:p>
    <w:p w14:paraId="6E736E89"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rPr>
        <w:t>（六）</w:t>
      </w:r>
      <w:r w:rsidRPr="00B56A57">
        <w:rPr>
          <w:rFonts w:asciiTheme="minorEastAsia" w:eastAsiaTheme="minorEastAsia" w:hAnsiTheme="minorEastAsia" w:hint="eastAsia"/>
        </w:rPr>
        <w:t>基金净值信息</w:t>
      </w:r>
    </w:p>
    <w:p w14:paraId="5D646BD6"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eastAsiaTheme="minorEastAsia" w:hAnsiTheme="minorEastAsia"/>
        </w:rPr>
        <w:t>基金合同</w:t>
      </w:r>
      <w:r w:rsidRPr="00B56A57">
        <w:rPr>
          <w:rFonts w:asciiTheme="minorEastAsia" w:hAnsiTheme="minorEastAsia" w:hint="eastAsia"/>
        </w:rPr>
        <w:t>生效后，在基金份额上市交易且开始办理基金份额申购或者赎回前，基金管理人应当至少每周在规定网站</w:t>
      </w:r>
      <w:r w:rsidRPr="00B56A57">
        <w:rPr>
          <w:rFonts w:asciiTheme="minorEastAsia" w:hAnsiTheme="minorEastAsia"/>
        </w:rPr>
        <w:t>披露</w:t>
      </w:r>
      <w:r w:rsidRPr="00B56A57">
        <w:rPr>
          <w:rFonts w:asciiTheme="minorEastAsia" w:hAnsiTheme="minorEastAsia" w:hint="eastAsia"/>
        </w:rPr>
        <w:t>一次基金份额净值和基金份额累计净值</w:t>
      </w:r>
      <w:r w:rsidRPr="00B56A57">
        <w:rPr>
          <w:rFonts w:asciiTheme="minorEastAsia" w:eastAsiaTheme="minorEastAsia" w:hAnsiTheme="minorEastAsia" w:hint="eastAsia"/>
        </w:rPr>
        <w:t>。</w:t>
      </w:r>
    </w:p>
    <w:p w14:paraId="7089EA7F"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在基金份额上市交易或开始办理基金份额申购或者赎回后，基金管理人应当在不晚于每个开放日的次日，通过规定网站、</w:t>
      </w:r>
      <w:r w:rsidRPr="00B56A57">
        <w:rPr>
          <w:rFonts w:asciiTheme="minorEastAsia" w:eastAsiaTheme="minorEastAsia" w:hAnsiTheme="minorEastAsia" w:hint="eastAsia"/>
        </w:rPr>
        <w:t>基金销售机构网站或者营业网点</w:t>
      </w:r>
      <w:r w:rsidRPr="00B56A57">
        <w:rPr>
          <w:rFonts w:asciiTheme="minorEastAsia" w:hAnsiTheme="minorEastAsia" w:hint="eastAsia"/>
        </w:rPr>
        <w:t>以及其他媒介，披露开放日的基金份额净值和基金份额累计净值</w:t>
      </w:r>
      <w:r w:rsidRPr="00B56A57">
        <w:rPr>
          <w:rFonts w:asciiTheme="minorEastAsia" w:eastAsiaTheme="minorEastAsia" w:hAnsiTheme="minorEastAsia" w:hint="eastAsia"/>
        </w:rPr>
        <w:t>。</w:t>
      </w:r>
    </w:p>
    <w:p w14:paraId="75F610B4"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基金管理人应当在不晚于半年度和年度最后一日的次日，在规定网站披露半年度和年度</w:t>
      </w:r>
      <w:r w:rsidRPr="00B56A57">
        <w:rPr>
          <w:rFonts w:asciiTheme="minorEastAsia" w:hAnsiTheme="minorEastAsia" w:hint="eastAsia"/>
        </w:rPr>
        <w:lastRenderedPageBreak/>
        <w:t>最后一日的基金份额净值和基金份额累计净值。</w:t>
      </w:r>
    </w:p>
    <w:p w14:paraId="7BEBD248"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eastAsiaTheme="minorEastAsia" w:hAnsiTheme="minorEastAsia"/>
        </w:rPr>
        <w:t>七</w:t>
      </w:r>
      <w:r w:rsidRPr="00B56A57">
        <w:rPr>
          <w:rFonts w:asciiTheme="minorEastAsia" w:hAnsiTheme="minorEastAsia" w:hint="eastAsia"/>
        </w:rPr>
        <w:t>）基金份额申购、赎回</w:t>
      </w:r>
      <w:r w:rsidRPr="00B56A57">
        <w:rPr>
          <w:rFonts w:asciiTheme="minorEastAsia" w:eastAsiaTheme="minorEastAsia" w:hAnsiTheme="minorEastAsia"/>
        </w:rPr>
        <w:t>清单</w:t>
      </w:r>
    </w:p>
    <w:p w14:paraId="20EF0EF7"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rPr>
        <w:t>在开始办理</w:t>
      </w:r>
      <w:r w:rsidRPr="00B56A57">
        <w:rPr>
          <w:rFonts w:asciiTheme="minorEastAsia" w:eastAsiaTheme="minorEastAsia" w:hAnsiTheme="minorEastAsia" w:hint="eastAsia"/>
        </w:rPr>
        <w:t>基金份额申购</w:t>
      </w:r>
      <w:r w:rsidRPr="00B56A57">
        <w:rPr>
          <w:rFonts w:asciiTheme="minorEastAsia" w:eastAsiaTheme="minorEastAsia" w:hAnsiTheme="minorEastAsia"/>
        </w:rPr>
        <w:t>或者</w:t>
      </w:r>
      <w:r w:rsidRPr="00B56A57">
        <w:rPr>
          <w:rFonts w:asciiTheme="minorEastAsia" w:eastAsiaTheme="minorEastAsia" w:hAnsiTheme="minorEastAsia" w:hint="eastAsia"/>
        </w:rPr>
        <w:t>赎回</w:t>
      </w:r>
      <w:r w:rsidRPr="00B56A57">
        <w:rPr>
          <w:rFonts w:asciiTheme="minorEastAsia" w:eastAsiaTheme="minorEastAsia" w:hAnsiTheme="minorEastAsia"/>
        </w:rPr>
        <w:t>之后，</w:t>
      </w:r>
      <w:r w:rsidRPr="00B56A57">
        <w:rPr>
          <w:rFonts w:asciiTheme="minorEastAsia" w:eastAsiaTheme="minorEastAsia" w:hAnsiTheme="minorEastAsia" w:hint="eastAsia"/>
        </w:rPr>
        <w:t>基金管理人应当在</w:t>
      </w:r>
      <w:r w:rsidRPr="00B56A57">
        <w:rPr>
          <w:rFonts w:asciiTheme="minorEastAsia" w:eastAsiaTheme="minorEastAsia" w:hAnsiTheme="minorEastAsia"/>
        </w:rPr>
        <w:t>每个开放日，通过</w:t>
      </w:r>
      <w:r w:rsidRPr="00B56A57">
        <w:rPr>
          <w:rFonts w:asciiTheme="minorEastAsia" w:eastAsiaTheme="minorEastAsia" w:hAnsiTheme="minorEastAsia" w:hint="eastAsia"/>
        </w:rPr>
        <w:t>规定网站</w:t>
      </w:r>
      <w:r w:rsidRPr="00B56A57">
        <w:rPr>
          <w:rFonts w:asciiTheme="minorEastAsia" w:eastAsiaTheme="minorEastAsia" w:hAnsiTheme="minorEastAsia"/>
        </w:rPr>
        <w:t>、</w:t>
      </w:r>
      <w:r w:rsidRPr="00B56A57">
        <w:rPr>
          <w:rFonts w:asciiTheme="minorEastAsia" w:eastAsiaTheme="minorEastAsia" w:hAnsiTheme="minorEastAsia" w:hint="eastAsia"/>
        </w:rPr>
        <w:t>申购赎回</w:t>
      </w:r>
      <w:r w:rsidRPr="00B56A57">
        <w:rPr>
          <w:rFonts w:asciiTheme="minorEastAsia" w:eastAsiaTheme="minorEastAsia" w:hAnsiTheme="minorEastAsia"/>
        </w:rPr>
        <w:t>代理券商以及其他媒介公告当日</w:t>
      </w:r>
      <w:r w:rsidRPr="00B56A57">
        <w:rPr>
          <w:rFonts w:asciiTheme="minorEastAsia" w:eastAsiaTheme="minorEastAsia" w:hAnsiTheme="minorEastAsia" w:hint="eastAsia"/>
        </w:rPr>
        <w:t>的申购、赎回</w:t>
      </w:r>
      <w:r w:rsidRPr="00B56A57">
        <w:rPr>
          <w:rFonts w:asciiTheme="minorEastAsia" w:eastAsiaTheme="minorEastAsia" w:hAnsiTheme="minorEastAsia"/>
        </w:rPr>
        <w:t>清单</w:t>
      </w:r>
      <w:r w:rsidRPr="00B56A57">
        <w:rPr>
          <w:rFonts w:asciiTheme="minorEastAsia" w:eastAsiaTheme="minorEastAsia" w:hAnsiTheme="minorEastAsia" w:hint="eastAsia"/>
        </w:rPr>
        <w:t>。</w:t>
      </w:r>
    </w:p>
    <w:p w14:paraId="0E1DE87C"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eastAsiaTheme="minorEastAsia" w:hAnsiTheme="minorEastAsia" w:hint="eastAsia"/>
        </w:rPr>
        <w:t>（八</w:t>
      </w:r>
      <w:r w:rsidRPr="00B56A57">
        <w:rPr>
          <w:rFonts w:asciiTheme="minorEastAsia" w:hAnsiTheme="minorEastAsia" w:hint="eastAsia"/>
        </w:rPr>
        <w:t>）基金定期报告，包括基金年度报告、基金中期报告和基金季度报告（含资产组合季度报告）</w:t>
      </w:r>
    </w:p>
    <w:p w14:paraId="2C6C8CDA"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管理人应当在每年结束之日起三个月内，编制完成基金年度报告，将年度报告登载于规定网站上，并将年度报告提示性公告登载在规定报刊上。基金年度报告中的财务会计报告应当经过符合《证券法》规定的会计师事务所审计。</w:t>
      </w:r>
    </w:p>
    <w:p w14:paraId="5B645CB0"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基金管理人应当在上半年结束之日起两个月内，编制完成基金中期报告，将中期报告登载在规定网站上，并将中期报告</w:t>
      </w:r>
      <w:r w:rsidRPr="00B56A57">
        <w:rPr>
          <w:rFonts w:asciiTheme="minorEastAsia" w:hAnsiTheme="minorEastAsia"/>
        </w:rPr>
        <w:t>提示性公告</w:t>
      </w:r>
      <w:r w:rsidRPr="00B56A57">
        <w:rPr>
          <w:rFonts w:asciiTheme="minorEastAsia" w:hAnsiTheme="minorEastAsia" w:hint="eastAsia"/>
        </w:rPr>
        <w:t>登载在规定报刊上。</w:t>
      </w:r>
    </w:p>
    <w:p w14:paraId="3444AF71"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基金管理人应当在季度结束之日起</w:t>
      </w:r>
      <w:r w:rsidRPr="00B56A57">
        <w:rPr>
          <w:rFonts w:asciiTheme="minorEastAsia" w:hAnsiTheme="minorEastAsia"/>
        </w:rPr>
        <w:t>15个工作日内，编制完成基金季度报告，将季度报告登载在规定网站上，并将季度报告提示性公告登载在规定报刊上。</w:t>
      </w:r>
    </w:p>
    <w:p w14:paraId="4A0B6448"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《基金合同》生效不足</w:t>
      </w:r>
      <w:r w:rsidRPr="00B56A57">
        <w:rPr>
          <w:rFonts w:asciiTheme="minorEastAsia" w:hAnsiTheme="minorEastAsia"/>
        </w:rPr>
        <w:t>2个月的，基金管理人可以不编制当期季度报告、中期报告或者年度报告。</w:t>
      </w:r>
    </w:p>
    <w:p w14:paraId="3212FD04"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如报告期内出现单一投资者持有基金份额达到或超过基金总份额</w:t>
      </w:r>
      <w:r w:rsidRPr="00B56A57">
        <w:rPr>
          <w:rFonts w:asciiTheme="minorEastAsia" w:hAnsiTheme="minorEastAsia"/>
        </w:rPr>
        <w:t>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D815AA5"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基金管理人应当在基金年度报告和中期报告中披露基金组合资产情况及其流动性风险分析等。</w:t>
      </w:r>
    </w:p>
    <w:p w14:paraId="067F3DC4"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eastAsiaTheme="minorEastAsia" w:hAnsiTheme="minorEastAsia" w:hint="eastAsia"/>
        </w:rPr>
        <w:t>九</w:t>
      </w:r>
      <w:r w:rsidRPr="00B56A57">
        <w:rPr>
          <w:rFonts w:asciiTheme="minorEastAsia" w:hAnsiTheme="minorEastAsia" w:hint="eastAsia"/>
        </w:rPr>
        <w:t>）临时报告</w:t>
      </w:r>
    </w:p>
    <w:p w14:paraId="5A71492A" w14:textId="77777777" w:rsidR="00217DCA" w:rsidRPr="00B56A57" w:rsidRDefault="006C7341">
      <w:pPr>
        <w:snapToGrid w:val="0"/>
        <w:spacing w:line="360" w:lineRule="auto"/>
        <w:ind w:firstLineChars="200" w:firstLine="420"/>
      </w:pPr>
      <w:r w:rsidRPr="00B56A57">
        <w:rPr>
          <w:rFonts w:asciiTheme="minorEastAsia" w:hAnsiTheme="minorEastAsia" w:hint="eastAsia"/>
        </w:rPr>
        <w:t>本基金发生重大事件，有关信息披露义务人应当</w:t>
      </w:r>
      <w:r w:rsidRPr="00B56A57">
        <w:rPr>
          <w:rFonts w:asciiTheme="minorEastAsia" w:eastAsiaTheme="minorEastAsia" w:hAnsiTheme="minorEastAsia" w:hint="eastAsia"/>
        </w:rPr>
        <w:t>依照《信息披露办法》</w:t>
      </w:r>
      <w:r w:rsidRPr="00B56A57">
        <w:rPr>
          <w:rFonts w:asciiTheme="minorEastAsia" w:hAnsiTheme="minorEastAsia" w:hint="eastAsia"/>
        </w:rPr>
        <w:t>编制临时报告书，并登载在规定报刊和规定网站上。</w:t>
      </w:r>
    </w:p>
    <w:p w14:paraId="4710BC9B"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前款所称重大事件，是指可能对基金份额持有人权益或者基金份额的价格产生重大影响的下列事件：</w:t>
      </w:r>
    </w:p>
    <w:p w14:paraId="682052CF"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w:t>
      </w:r>
      <w:r w:rsidRPr="00B56A57">
        <w:rPr>
          <w:rFonts w:asciiTheme="minorEastAsia" w:hAnsiTheme="minorEastAsia" w:hint="eastAsia"/>
        </w:rPr>
        <w:t>、基金份额持有人大会的召开及决定的事项；</w:t>
      </w:r>
    </w:p>
    <w:p w14:paraId="3B15BA7F"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2</w:t>
      </w:r>
      <w:r w:rsidRPr="00B56A57">
        <w:rPr>
          <w:rFonts w:asciiTheme="minorEastAsia" w:hAnsiTheme="minorEastAsia" w:hint="eastAsia"/>
        </w:rPr>
        <w:t>、</w:t>
      </w:r>
      <w:r w:rsidRPr="00B56A57">
        <w:rPr>
          <w:rFonts w:asciiTheme="minorEastAsia" w:eastAsiaTheme="minorEastAsia" w:hAnsiTheme="minorEastAsia"/>
        </w:rPr>
        <w:t>基金合同</w:t>
      </w:r>
      <w:r w:rsidRPr="00B56A57">
        <w:rPr>
          <w:rFonts w:asciiTheme="minorEastAsia" w:eastAsiaTheme="minorEastAsia" w:hAnsiTheme="minorEastAsia" w:hint="eastAsia"/>
        </w:rPr>
        <w:t>终止、基金清算</w:t>
      </w:r>
      <w:r w:rsidRPr="00B56A57">
        <w:rPr>
          <w:rFonts w:asciiTheme="minorEastAsia" w:hAnsiTheme="minorEastAsia" w:hint="eastAsia"/>
        </w:rPr>
        <w:t>；</w:t>
      </w:r>
    </w:p>
    <w:p w14:paraId="4BA0782C"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3</w:t>
      </w:r>
      <w:r w:rsidRPr="00B56A57">
        <w:rPr>
          <w:rFonts w:asciiTheme="minorEastAsia" w:hAnsiTheme="minorEastAsia" w:hint="eastAsia"/>
        </w:rPr>
        <w:t>、转换基金运作方式、基金合并；</w:t>
      </w:r>
    </w:p>
    <w:p w14:paraId="662F083F"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4</w:t>
      </w:r>
      <w:r w:rsidRPr="00B56A57">
        <w:rPr>
          <w:rFonts w:asciiTheme="minorEastAsia" w:hAnsiTheme="minorEastAsia" w:hint="eastAsia"/>
        </w:rPr>
        <w:t>、更换基金管理人、基金托管人、基金份额登记机构，基金改聘会计师事务所；</w:t>
      </w:r>
    </w:p>
    <w:p w14:paraId="355C580A"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5、基金管理人委托基金服务机构代为办理基金的份额登记、核算、估值等事项，基金托管人委托基金服务机构代为办理基金的核算、估值、复核等事项；</w:t>
      </w:r>
    </w:p>
    <w:p w14:paraId="32AA5AD7"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6</w:t>
      </w:r>
      <w:r w:rsidRPr="00B56A57">
        <w:rPr>
          <w:rFonts w:asciiTheme="minorEastAsia" w:hAnsiTheme="minorEastAsia" w:hint="eastAsia"/>
        </w:rPr>
        <w:t>、基金管理人、基金托管人的法定名称、住所发生变更；</w:t>
      </w:r>
    </w:p>
    <w:p w14:paraId="4C6BB076"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7</w:t>
      </w:r>
      <w:r w:rsidRPr="00B56A57">
        <w:rPr>
          <w:rFonts w:asciiTheme="minorEastAsia" w:hAnsiTheme="minorEastAsia" w:hint="eastAsia"/>
        </w:rPr>
        <w:t>、基金管理人变更持有百分之五以上股权的股东、基金管理人的实际控制人变更；</w:t>
      </w:r>
    </w:p>
    <w:p w14:paraId="5A5D8E36"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lastRenderedPageBreak/>
        <w:t>8</w:t>
      </w:r>
      <w:r w:rsidRPr="00B56A57">
        <w:rPr>
          <w:rFonts w:asciiTheme="minorEastAsia" w:hAnsiTheme="minorEastAsia" w:hint="eastAsia"/>
        </w:rPr>
        <w:t>、基金募集期延长或提前结束募集；</w:t>
      </w:r>
    </w:p>
    <w:p w14:paraId="5225844F"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9</w:t>
      </w:r>
      <w:r w:rsidRPr="00B56A57">
        <w:rPr>
          <w:rFonts w:asciiTheme="minorEastAsia" w:hAnsiTheme="minorEastAsia" w:hint="eastAsia"/>
        </w:rPr>
        <w:t>、基金管理人高级管理人员、基金经理和基金托管人专门基金托管部门负责人发生变动；</w:t>
      </w:r>
    </w:p>
    <w:p w14:paraId="0451AA9D"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10</w:t>
      </w:r>
      <w:r w:rsidRPr="00B56A57">
        <w:rPr>
          <w:rFonts w:asciiTheme="minorEastAsia" w:hAnsiTheme="minorEastAsia" w:hint="eastAsia"/>
        </w:rPr>
        <w:t>、基金管理人的董事在最近</w:t>
      </w:r>
      <w:r w:rsidRPr="00B56A57">
        <w:rPr>
          <w:rFonts w:asciiTheme="minorEastAsia" w:hAnsiTheme="minorEastAsia"/>
        </w:rPr>
        <w:t>12个月内变更超过</w:t>
      </w:r>
      <w:r w:rsidRPr="00B56A57">
        <w:rPr>
          <w:rFonts w:asciiTheme="minorEastAsia" w:eastAsiaTheme="minorEastAsia" w:hAnsiTheme="minorEastAsia"/>
        </w:rPr>
        <w:t>50%</w:t>
      </w:r>
      <w:r w:rsidRPr="00B56A57">
        <w:rPr>
          <w:rFonts w:asciiTheme="minorEastAsia" w:hAnsiTheme="minorEastAsia" w:hint="eastAsia"/>
        </w:rPr>
        <w:t>；</w:t>
      </w:r>
    </w:p>
    <w:p w14:paraId="4C0AE954"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11</w:t>
      </w:r>
      <w:r w:rsidRPr="00B56A57">
        <w:rPr>
          <w:rFonts w:asciiTheme="minorEastAsia" w:hAnsiTheme="minorEastAsia" w:hint="eastAsia"/>
        </w:rPr>
        <w:t>、基金管理人、基金托管人专门基金托管部门的主要业务人员在最近</w:t>
      </w:r>
      <w:r w:rsidRPr="00B56A57">
        <w:rPr>
          <w:rFonts w:asciiTheme="minorEastAsia" w:hAnsiTheme="minorEastAsia"/>
        </w:rPr>
        <w:t>12个月内变动超过</w:t>
      </w:r>
      <w:r w:rsidRPr="00B56A57">
        <w:rPr>
          <w:rFonts w:asciiTheme="minorEastAsia" w:eastAsiaTheme="minorEastAsia" w:hAnsiTheme="minorEastAsia"/>
        </w:rPr>
        <w:t>30%</w:t>
      </w:r>
      <w:r w:rsidRPr="00B56A57">
        <w:rPr>
          <w:rFonts w:asciiTheme="minorEastAsia" w:hAnsiTheme="minorEastAsia" w:hint="eastAsia"/>
        </w:rPr>
        <w:t>；</w:t>
      </w:r>
    </w:p>
    <w:p w14:paraId="59A6205E"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12</w:t>
      </w:r>
      <w:r w:rsidRPr="00B56A57">
        <w:rPr>
          <w:rFonts w:asciiTheme="minorEastAsia" w:hAnsiTheme="minorEastAsia" w:hint="eastAsia"/>
        </w:rPr>
        <w:t>、涉及基金管理</w:t>
      </w:r>
      <w:r w:rsidRPr="00B56A57">
        <w:rPr>
          <w:rFonts w:asciiTheme="minorEastAsia" w:eastAsiaTheme="minorEastAsia" w:hAnsiTheme="minorEastAsia" w:hint="eastAsia"/>
        </w:rPr>
        <w:t>业务</w:t>
      </w:r>
      <w:r w:rsidRPr="00B56A57">
        <w:rPr>
          <w:rFonts w:asciiTheme="minorEastAsia" w:hAnsiTheme="minorEastAsia" w:hint="eastAsia"/>
        </w:rPr>
        <w:t>、基金财产、基金托管业务的诉讼或仲裁；</w:t>
      </w:r>
    </w:p>
    <w:p w14:paraId="5534A2B8"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13</w:t>
      </w:r>
      <w:r w:rsidRPr="00B56A57">
        <w:rPr>
          <w:rFonts w:asciiTheme="minorEastAsia" w:hAnsiTheme="minorEastAsia" w:hint="eastAsia"/>
        </w:rPr>
        <w:t>、基金管理人或其高级管理人员、基金经理因基金管理业务相关行为受到重大行政处罚、刑事处罚，基金托管人或其专门基金托管部门负责人因基金托管业务相关行为受到重大行政处罚、刑事处罚；</w:t>
      </w:r>
    </w:p>
    <w:p w14:paraId="5F534E40"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14</w:t>
      </w:r>
      <w:r w:rsidRPr="00B56A57">
        <w:rPr>
          <w:rFonts w:asciiTheme="minorEastAsia" w:hAnsiTheme="minorEastAsia" w:hint="eastAsia"/>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19EDCC30"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15</w:t>
      </w:r>
      <w:r w:rsidRPr="00B56A57">
        <w:rPr>
          <w:rFonts w:asciiTheme="minorEastAsia" w:hAnsiTheme="minorEastAsia" w:hint="eastAsia"/>
        </w:rPr>
        <w:t>、基金收益分配事项；</w:t>
      </w:r>
    </w:p>
    <w:p w14:paraId="52BF063B"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16</w:t>
      </w:r>
      <w:r w:rsidRPr="00B56A57">
        <w:rPr>
          <w:rFonts w:asciiTheme="minorEastAsia" w:hAnsiTheme="minorEastAsia" w:hint="eastAsia"/>
        </w:rPr>
        <w:t>、管理费、托管费、申购费、赎回费等费用计提标准、计提方式和费率发生变更；</w:t>
      </w:r>
    </w:p>
    <w:p w14:paraId="055EF980"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17</w:t>
      </w:r>
      <w:r w:rsidRPr="00B56A57">
        <w:rPr>
          <w:rFonts w:asciiTheme="minorEastAsia" w:hAnsiTheme="minorEastAsia" w:hint="eastAsia"/>
        </w:rPr>
        <w:t>、基金份额净值计价错误达基金份额净值</w:t>
      </w:r>
      <w:r w:rsidRPr="00B56A57">
        <w:rPr>
          <w:rFonts w:asciiTheme="minorEastAsia" w:eastAsiaTheme="minorEastAsia" w:hAnsiTheme="minorEastAsia"/>
        </w:rPr>
        <w:t>0.5%</w:t>
      </w:r>
      <w:r w:rsidRPr="00B56A57">
        <w:rPr>
          <w:rFonts w:asciiTheme="minorEastAsia" w:hAnsiTheme="minorEastAsia" w:hint="eastAsia"/>
        </w:rPr>
        <w:t>；</w:t>
      </w:r>
    </w:p>
    <w:p w14:paraId="279664D7"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18</w:t>
      </w:r>
      <w:r w:rsidRPr="00B56A57">
        <w:rPr>
          <w:rFonts w:asciiTheme="minorEastAsia" w:hAnsiTheme="minorEastAsia" w:hint="eastAsia"/>
        </w:rPr>
        <w:t>、本基金开始办理申购、赎回；</w:t>
      </w:r>
    </w:p>
    <w:p w14:paraId="4FA74E91"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19</w:t>
      </w:r>
      <w:r w:rsidRPr="00B56A57">
        <w:rPr>
          <w:rFonts w:asciiTheme="minorEastAsia" w:hAnsiTheme="minorEastAsia" w:hint="eastAsia"/>
        </w:rPr>
        <w:t>、本基金</w:t>
      </w:r>
      <w:r w:rsidRPr="00B56A57">
        <w:rPr>
          <w:rFonts w:asciiTheme="minorEastAsia" w:eastAsiaTheme="minorEastAsia" w:hAnsiTheme="minorEastAsia" w:hint="eastAsia"/>
        </w:rPr>
        <w:t>暂停接受申购、</w:t>
      </w:r>
      <w:r w:rsidRPr="00B56A57">
        <w:rPr>
          <w:rFonts w:asciiTheme="minorEastAsia" w:hAnsiTheme="minorEastAsia" w:hint="eastAsia"/>
        </w:rPr>
        <w:t>赎回</w:t>
      </w:r>
      <w:r w:rsidRPr="00B56A57">
        <w:rPr>
          <w:rFonts w:asciiTheme="minorEastAsia" w:eastAsiaTheme="minorEastAsia" w:hAnsiTheme="minorEastAsia" w:hint="eastAsia"/>
        </w:rPr>
        <w:t>申请或重新接受申购、赎回申请</w:t>
      </w:r>
      <w:r w:rsidRPr="00B56A57">
        <w:rPr>
          <w:rFonts w:asciiTheme="minorEastAsia" w:hAnsiTheme="minorEastAsia" w:hint="eastAsia"/>
        </w:rPr>
        <w:t>；</w:t>
      </w:r>
    </w:p>
    <w:p w14:paraId="607DEEEF"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rPr>
        <w:t>20</w:t>
      </w:r>
      <w:r w:rsidRPr="00B56A57">
        <w:rPr>
          <w:rFonts w:asciiTheme="minorEastAsia" w:eastAsiaTheme="minorEastAsia" w:hAnsiTheme="minorEastAsia" w:hint="eastAsia"/>
        </w:rPr>
        <w:t>、本基金变更标的指数；</w:t>
      </w:r>
    </w:p>
    <w:p w14:paraId="5A4433FE"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hAnsiTheme="minorEastAsia"/>
        </w:rPr>
        <w:t>21</w:t>
      </w:r>
      <w:r w:rsidRPr="00B56A57">
        <w:rPr>
          <w:rFonts w:asciiTheme="minorEastAsia" w:hAnsiTheme="minorEastAsia" w:hint="eastAsia"/>
        </w:rPr>
        <w:t>、</w:t>
      </w:r>
      <w:r w:rsidRPr="00B56A57">
        <w:rPr>
          <w:rFonts w:asciiTheme="minorEastAsia" w:eastAsiaTheme="minorEastAsia" w:hAnsiTheme="minorEastAsia" w:hint="eastAsia"/>
        </w:rPr>
        <w:t>本基金停复牌、暂停上市、恢复上市或终止上市；</w:t>
      </w:r>
    </w:p>
    <w:p w14:paraId="058B8A11"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rPr>
        <w:t>22、调整最小申购赎回单位、申购赎回方式及申购对价、赎回对价组成；</w:t>
      </w:r>
    </w:p>
    <w:p w14:paraId="553C6C24"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eastAsiaTheme="minorEastAsia" w:hAnsiTheme="minorEastAsia"/>
        </w:rPr>
        <w:t>23</w:t>
      </w:r>
      <w:r w:rsidRPr="00B56A57">
        <w:rPr>
          <w:rFonts w:asciiTheme="minorEastAsia" w:eastAsiaTheme="minorEastAsia" w:hAnsiTheme="minorEastAsia" w:hint="eastAsia"/>
        </w:rPr>
        <w:t>、</w:t>
      </w:r>
      <w:r w:rsidRPr="00B56A57">
        <w:rPr>
          <w:rFonts w:asciiTheme="minorEastAsia" w:hAnsiTheme="minorEastAsia" w:hint="eastAsia"/>
        </w:rPr>
        <w:t>发生涉及</w:t>
      </w:r>
      <w:r w:rsidRPr="00B56A57">
        <w:rPr>
          <w:rFonts w:asciiTheme="minorEastAsia" w:eastAsiaTheme="minorEastAsia" w:hAnsiTheme="minorEastAsia" w:hint="eastAsia"/>
        </w:rPr>
        <w:t>本</w:t>
      </w:r>
      <w:r w:rsidRPr="00B56A57">
        <w:rPr>
          <w:rFonts w:asciiTheme="minorEastAsia" w:hAnsiTheme="minorEastAsia" w:hint="eastAsia"/>
        </w:rPr>
        <w:t>基金申购、赎回事项调整或潜在影响投资者赎回等重大事项时；</w:t>
      </w:r>
    </w:p>
    <w:p w14:paraId="0A0D833D"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24、连续30个工作日、40个工作日及45个工作日出现基金份额持有人数量不满二百人或者基金资产净值低于五千万元情形的；</w:t>
      </w:r>
    </w:p>
    <w:p w14:paraId="43706CB0"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25、基金信息披露义务人认为可能对基金份额持有人权益或者基金份额的价格产生重大影响的其他事项或</w:t>
      </w:r>
      <w:r w:rsidRPr="00B56A57">
        <w:rPr>
          <w:rFonts w:asciiTheme="minorEastAsia" w:eastAsiaTheme="minorEastAsia" w:hAnsiTheme="minorEastAsia" w:hint="eastAsia"/>
        </w:rPr>
        <w:t>中国证监会</w:t>
      </w:r>
      <w:r w:rsidRPr="00B56A57">
        <w:rPr>
          <w:rFonts w:asciiTheme="minorEastAsia" w:eastAsiaTheme="minorEastAsia" w:hAnsiTheme="minorEastAsia"/>
        </w:rPr>
        <w:t>或本基金合同</w:t>
      </w:r>
      <w:r w:rsidRPr="00B56A57">
        <w:rPr>
          <w:rFonts w:asciiTheme="minorEastAsia" w:eastAsiaTheme="minorEastAsia" w:hAnsiTheme="minorEastAsia" w:hint="eastAsia"/>
        </w:rPr>
        <w:t>规定的</w:t>
      </w:r>
      <w:r w:rsidRPr="00B56A57">
        <w:rPr>
          <w:rFonts w:asciiTheme="minorEastAsia" w:hAnsiTheme="minorEastAsia" w:hint="eastAsia"/>
        </w:rPr>
        <w:t>其他</w:t>
      </w:r>
      <w:r w:rsidRPr="00B56A57">
        <w:rPr>
          <w:rFonts w:asciiTheme="minorEastAsia" w:eastAsiaTheme="minorEastAsia" w:hAnsiTheme="minorEastAsia" w:hint="eastAsia"/>
        </w:rPr>
        <w:t>事项。</w:t>
      </w:r>
    </w:p>
    <w:p w14:paraId="4B067840"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eastAsiaTheme="minorEastAsia" w:hAnsiTheme="minorEastAsia" w:hint="eastAsia"/>
        </w:rPr>
        <w:t>（十</w:t>
      </w:r>
      <w:r w:rsidRPr="00B56A57">
        <w:rPr>
          <w:rFonts w:asciiTheme="minorEastAsia" w:hAnsiTheme="minorEastAsia" w:hint="eastAsia"/>
        </w:rPr>
        <w:t>）澄清公告</w:t>
      </w:r>
    </w:p>
    <w:p w14:paraId="524000B2"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在</w:t>
      </w:r>
      <w:r w:rsidRPr="00B56A57">
        <w:rPr>
          <w:rFonts w:asciiTheme="minorEastAsia" w:eastAsiaTheme="minorEastAsia" w:hAnsiTheme="minorEastAsia"/>
        </w:rPr>
        <w:t>本基金合同</w:t>
      </w:r>
      <w:r w:rsidRPr="00B56A57">
        <w:rPr>
          <w:rFonts w:asciiTheme="minorEastAsia" w:hAnsiTheme="minorEastAsia" w:hint="eastAsia"/>
        </w:rPr>
        <w:t>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基金上市交易的证券交易所。</w:t>
      </w:r>
    </w:p>
    <w:p w14:paraId="7C679782"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（十一）清算报告</w:t>
      </w:r>
    </w:p>
    <w:p w14:paraId="2D2C572E"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基金终止运作的，基金管理人应当依法组织基金财产清算小组对基金财产进行清算并作出清算报告。基金财产清算小组应当将清算报告登载在规定网站上，并将清算报告提示性公</w:t>
      </w:r>
      <w:r w:rsidRPr="00B56A57">
        <w:rPr>
          <w:rFonts w:asciiTheme="minorEastAsia" w:hAnsiTheme="minorEastAsia" w:hint="eastAsia"/>
        </w:rPr>
        <w:lastRenderedPageBreak/>
        <w:t>告登载在规定报刊上。</w:t>
      </w:r>
    </w:p>
    <w:p w14:paraId="19194A6B"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eastAsiaTheme="minorEastAsia" w:hAnsiTheme="minorEastAsia" w:hint="eastAsia"/>
        </w:rPr>
        <w:t>十二</w:t>
      </w:r>
      <w:r w:rsidRPr="00B56A57">
        <w:rPr>
          <w:rFonts w:asciiTheme="minorEastAsia" w:hAnsiTheme="minorEastAsia" w:hint="eastAsia"/>
        </w:rPr>
        <w:t>）基金份额持有人大会决议</w:t>
      </w:r>
    </w:p>
    <w:p w14:paraId="7A48A204"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基金份额持有人大会决定的事项，应当依法报中国证监会备案，并予以公告。</w:t>
      </w:r>
    </w:p>
    <w:p w14:paraId="4F7C67AB"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hAnsiTheme="minorEastAsia" w:hint="eastAsia"/>
        </w:rPr>
        <w:t>（</w:t>
      </w:r>
      <w:r w:rsidRPr="00B56A57">
        <w:rPr>
          <w:rFonts w:asciiTheme="minorEastAsia" w:eastAsiaTheme="minorEastAsia" w:hAnsiTheme="minorEastAsia" w:hint="eastAsia"/>
        </w:rPr>
        <w:t>十三）基金投资股指期货和国债期货的信息披露</w:t>
      </w:r>
    </w:p>
    <w:p w14:paraId="72A1DA78"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本基金投资股指期货或国债期货的，基金管理人应在季度报告、中期报告、年度报告等定期报告和招募说明书（更新）等文件中披露股指期货、国债期货交易情况，包括投资政策、持仓情况、损益情况、风险指标等，并充分揭示股指期货、国债期货交易对基金总体风险的影响以及是否符合既定的投资政策和投资目标等。</w:t>
      </w:r>
    </w:p>
    <w:p w14:paraId="46471525"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（十四）基金投资资产支持证券的信息披露</w:t>
      </w:r>
    </w:p>
    <w:p w14:paraId="3003077B"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本基金投资资产支持证券的，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B56A57">
        <w:rPr>
          <w:rFonts w:asciiTheme="minorEastAsia" w:eastAsiaTheme="minorEastAsia" w:hAnsiTheme="minorEastAsia"/>
        </w:rPr>
        <w:t>10名资产支持证券明细。</w:t>
      </w:r>
    </w:p>
    <w:p w14:paraId="7F42C7C1"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（十五）基金投资股票期权的信息披露</w:t>
      </w:r>
    </w:p>
    <w:p w14:paraId="3FF641A8"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本基金投资股票期权的，基金管理人应当在季度报告、中期报告、年度报告等定期报告和招募说明书（更新）等文件中披露股票期权交易情况，包括投资政策、持仓情况、损益情况、风险指标、估值方法等，并充分揭示股票期权交易对基金总体风险的影响以及是否符合既定的投资政策和投资目标等。</w:t>
      </w:r>
    </w:p>
    <w:p w14:paraId="65419E53"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（十六）基金参与融资和转融通证券出借业务的信息披露</w:t>
      </w:r>
    </w:p>
    <w:p w14:paraId="2163BD42"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本基金参与融资和转融通证券出借业务的，基金管理人应当在季度报告、中期报告、年度报告等定期报告和招募说明书（更新）等文件中披露参与融资和转融通证券出借业务的情况，包括投资策略、业务开展情况、损益情况、风险及其管理情况等，并就转融通证券出借业务在报告期内发生的重大关联交易事项做详细说明。</w:t>
      </w:r>
    </w:p>
    <w:p w14:paraId="1CBB8F74" w14:textId="668CC2A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w:t>
      </w:r>
      <w:r w:rsidR="00160A52" w:rsidRPr="00B56A57">
        <w:rPr>
          <w:rFonts w:asciiTheme="minorEastAsia" w:eastAsiaTheme="minorEastAsia" w:hAnsiTheme="minorEastAsia" w:hint="eastAsia"/>
        </w:rPr>
        <w:t>十七</w:t>
      </w:r>
      <w:r w:rsidRPr="00B56A57">
        <w:rPr>
          <w:rFonts w:asciiTheme="minorEastAsia" w:eastAsiaTheme="minorEastAsia" w:hAnsiTheme="minorEastAsia" w:hint="eastAsia"/>
        </w:rPr>
        <w:t>）基金投资港股通标的股票的信息披露</w:t>
      </w:r>
    </w:p>
    <w:p w14:paraId="627B1760"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基金管理人应当在基金季度报告、中期报告、年度报告等定期报告和招募说明书（更新）等文件中披露港股通标的股票的投资情况，包括报告期末本基金在香港地区证券市场的权益投资分布情况及按相关法律法规及中国证监会要求披露港股通标的股票的投资明细等内容。若中国证监会对公开募集证券投资基金通过内地与香港股票市场交易互联互通机制投资香港股票市场的信息披露另有规定的，从其规定。</w:t>
      </w:r>
    </w:p>
    <w:p w14:paraId="273CAD98" w14:textId="4114722F"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eastAsiaTheme="minorEastAsia" w:hAnsiTheme="minorEastAsia" w:hint="eastAsia"/>
        </w:rPr>
        <w:t>（十</w:t>
      </w:r>
      <w:r w:rsidR="00160A52" w:rsidRPr="00B56A57">
        <w:rPr>
          <w:rFonts w:asciiTheme="minorEastAsia" w:eastAsiaTheme="minorEastAsia" w:hAnsiTheme="minorEastAsia" w:hint="eastAsia"/>
        </w:rPr>
        <w:t>八</w:t>
      </w:r>
      <w:r w:rsidRPr="00B56A57">
        <w:rPr>
          <w:rFonts w:asciiTheme="minorEastAsia" w:hAnsiTheme="minorEastAsia" w:hint="eastAsia"/>
        </w:rPr>
        <w:t>）中国证监会规定的其他信息</w:t>
      </w:r>
    </w:p>
    <w:p w14:paraId="5DDC7363"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六、信息披露事务管理</w:t>
      </w:r>
    </w:p>
    <w:p w14:paraId="6D438EA1"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基金管理人、基金托管人应当建立健全信息披露管理制度，指定专门部门及高级管理人员负责管理信息披露事务。</w:t>
      </w:r>
    </w:p>
    <w:p w14:paraId="53C3A562"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lastRenderedPageBreak/>
        <w:t>基金信息披露义务人公开披露基金信息，应当符合中国证监会相关基金信息披露内容与格式准则等法规以及证券交易所的自律管理规则的规定。</w:t>
      </w:r>
    </w:p>
    <w:p w14:paraId="13AC73DA"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基金托管人应当按照相关法律法规、中国证监会的规定和</w:t>
      </w:r>
      <w:r w:rsidRPr="00B56A57">
        <w:rPr>
          <w:rFonts w:asciiTheme="minorEastAsia" w:eastAsiaTheme="minorEastAsia" w:hAnsiTheme="minorEastAsia" w:hint="eastAsia"/>
        </w:rPr>
        <w:t>基金合同</w:t>
      </w:r>
      <w:r w:rsidRPr="00B56A57">
        <w:rPr>
          <w:rFonts w:asciiTheme="minorEastAsia" w:hAnsiTheme="minorEastAsia" w:hint="eastAsia"/>
        </w:rPr>
        <w:t>的约定，对基金管理人编制的基金资产净值、基金份额净值、申购</w:t>
      </w:r>
      <w:r w:rsidRPr="00B56A57">
        <w:rPr>
          <w:rFonts w:asciiTheme="minorEastAsia" w:eastAsiaTheme="minorEastAsia" w:hAnsiTheme="minorEastAsia" w:hint="eastAsia"/>
        </w:rPr>
        <w:t>对价</w:t>
      </w:r>
      <w:r w:rsidRPr="00B56A57">
        <w:rPr>
          <w:rFonts w:asciiTheme="minorEastAsia" w:hAnsiTheme="minorEastAsia" w:hint="eastAsia"/>
        </w:rPr>
        <w:t>、赎回对价、基金定期报告、更新的招募说明书、基金产品资料概要、基金清算报告等相关基金信息进行复核、审查，并向基金管理人进行书面或电子确认。</w:t>
      </w:r>
    </w:p>
    <w:p w14:paraId="59E51E1A"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45C0B638"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0D1B55F8"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管理人、基金托管人除依法在规定媒介上披露信息外，还可以根据需要在其他公共媒介披露信息，但是其他公共媒介不得早于规定媒介和基金上市交易的证券交易所网站披露信息，并且在不同媒介上披露同一信息的内容应当一致。</w:t>
      </w:r>
    </w:p>
    <w:p w14:paraId="6CBDB37A"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为基金信息披露义务人公开披露的基金信息出具审计报告、法律意见书的专业机构，应当制作工作底稿，并将相关档案至少保存到《基金合同》终止后</w:t>
      </w:r>
      <w:r w:rsidRPr="00B56A57">
        <w:rPr>
          <w:rFonts w:asciiTheme="minorEastAsia" w:hAnsiTheme="minorEastAsia"/>
        </w:rPr>
        <w:t>10年。</w:t>
      </w:r>
    </w:p>
    <w:p w14:paraId="449B4BDA"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七、信息披露文件的存放与查阅</w:t>
      </w:r>
    </w:p>
    <w:p w14:paraId="14B9BFD7"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依法必须披露的信息发布后，基金管理人、基金托管人应当按照相关法律法规规定将信息置备于公司住所</w:t>
      </w:r>
      <w:bookmarkStart w:id="502" w:name="_Hlk19640716"/>
      <w:r w:rsidRPr="00B56A57">
        <w:rPr>
          <w:rFonts w:asciiTheme="minorEastAsia" w:hAnsiTheme="minorEastAsia" w:hint="eastAsia"/>
        </w:rPr>
        <w:t>、基金上市交易的证券交易所</w:t>
      </w:r>
      <w:bookmarkEnd w:id="502"/>
      <w:r w:rsidRPr="00B56A57">
        <w:rPr>
          <w:rFonts w:asciiTheme="minorEastAsia" w:hAnsiTheme="minorEastAsia" w:hint="eastAsia"/>
        </w:rPr>
        <w:t>，以供社会公众查阅、复制。</w:t>
      </w:r>
    </w:p>
    <w:p w14:paraId="3501662F"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八、暂停或延迟披露基金相关信息的情形</w:t>
      </w:r>
    </w:p>
    <w:p w14:paraId="11B9F311"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当出现下述情况时，基金管理人和基金托管人可暂停或延迟披露基金相关信息：</w:t>
      </w:r>
    </w:p>
    <w:p w14:paraId="25AE8C6C"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rPr>
        <w:t>1、因不可抗力致使基金管理人、基金托管人无法准确评估基金资产价值时；</w:t>
      </w:r>
    </w:p>
    <w:p w14:paraId="344DDC62"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rPr>
        <w:t>2、基金投资所涉及的证券、期货交易市场或外汇市场遇法定节假日或因其他原因暂停营业时；</w:t>
      </w:r>
    </w:p>
    <w:p w14:paraId="2A0C6A94"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rPr>
        <w:t>3、当前一估值日基金资产净值50%以上的资产出现无可参考的活跃市场价格且采用估值技术仍导致公允价值存在重大不确定性时，经与基金托管人协商一致确认后，应当暂停估值；</w:t>
      </w:r>
    </w:p>
    <w:p w14:paraId="3961747A" w14:textId="77777777" w:rsidR="00217DCA" w:rsidRPr="00B56A57" w:rsidRDefault="006C7341">
      <w:pPr>
        <w:snapToGrid w:val="0"/>
        <w:spacing w:line="360" w:lineRule="auto"/>
        <w:ind w:firstLineChars="200" w:firstLine="420"/>
        <w:rPr>
          <w:rFonts w:asciiTheme="minorEastAsia" w:eastAsiaTheme="minorEastAsia" w:hAnsiTheme="minorEastAsia" w:cs="Arial"/>
          <w:color w:val="0D0D0D" w:themeColor="text1" w:themeTint="F2"/>
          <w:szCs w:val="21"/>
        </w:rPr>
      </w:pPr>
      <w:r w:rsidRPr="00B56A57">
        <w:rPr>
          <w:rFonts w:asciiTheme="minorEastAsia" w:eastAsiaTheme="minorEastAsia" w:hAnsiTheme="minorEastAsia"/>
        </w:rPr>
        <w:t>4、法律法规、基金合同认定的或中国证监会规定的其他情形。</w:t>
      </w:r>
      <w:bookmarkStart w:id="503" w:name="_Toc123051465"/>
      <w:bookmarkStart w:id="504" w:name="_Toc8049"/>
      <w:bookmarkStart w:id="505" w:name="_Toc139991749"/>
      <w:bookmarkStart w:id="506" w:name="_Toc123112247"/>
      <w:bookmarkStart w:id="507" w:name="_Toc9005"/>
      <w:bookmarkStart w:id="508" w:name="_Toc11113"/>
      <w:bookmarkStart w:id="509" w:name="_Toc123102466"/>
      <w:bookmarkStart w:id="510" w:name="_Toc25647"/>
      <w:bookmarkStart w:id="511" w:name="_Toc22978"/>
      <w:bookmarkStart w:id="512" w:name="_Toc141703899"/>
      <w:bookmarkStart w:id="513" w:name="_Toc29891"/>
      <w:bookmarkStart w:id="514" w:name="_Toc27464"/>
      <w:bookmarkStart w:id="515" w:name="_Toc98560364"/>
      <w:bookmarkStart w:id="516" w:name="_Toc8059"/>
      <w:bookmarkStart w:id="517" w:name="_Toc10006"/>
      <w:bookmarkStart w:id="518" w:name="_Toc7170"/>
      <w:bookmarkStart w:id="519" w:name="_Toc6237"/>
    </w:p>
    <w:p w14:paraId="6ABE3573" w14:textId="77777777" w:rsidR="00217DCA" w:rsidRPr="00B56A57" w:rsidRDefault="00217DCA">
      <w:pPr>
        <w:pStyle w:val="1"/>
        <w:sectPr w:rsidR="00217DCA" w:rsidRPr="00B56A57">
          <w:footerReference w:type="default" r:id="rId35"/>
          <w:pgSz w:w="11906" w:h="16838"/>
          <w:pgMar w:top="1440" w:right="1800" w:bottom="1440" w:left="1800" w:header="851" w:footer="992" w:gutter="0"/>
          <w:pgNumType w:start="1"/>
          <w:cols w:space="425"/>
          <w:docGrid w:type="lines" w:linePitch="312"/>
        </w:sectPr>
      </w:pPr>
      <w:bookmarkStart w:id="520" w:name="_Toc90742336"/>
      <w:bookmarkStart w:id="521" w:name="_Toc90742703"/>
      <w:bookmarkStart w:id="522" w:name="_Toc90742405"/>
    </w:p>
    <w:p w14:paraId="1E156169" w14:textId="77777777" w:rsidR="00217DCA" w:rsidRPr="00B56A57" w:rsidRDefault="006C7341">
      <w:pPr>
        <w:pStyle w:val="1"/>
      </w:pPr>
      <w:bookmarkStart w:id="523" w:name="CLAUSE_d8d3aba4060d44e09bfc607b026e1c17"/>
      <w:bookmarkEnd w:id="498"/>
      <w:r w:rsidRPr="00B56A57">
        <w:lastRenderedPageBreak/>
        <w:t xml:space="preserve"> </w:t>
      </w:r>
      <w:bookmarkStart w:id="524" w:name="CTS_d8d3aba4060d44e09bfc607b026e1c17"/>
      <w:bookmarkStart w:id="525" w:name="_Hlt88828593"/>
      <w:bookmarkStart w:id="526" w:name="_Toc64923785"/>
      <w:bookmarkStart w:id="527" w:name="_Toc73975098"/>
      <w:bookmarkEnd w:id="524"/>
      <w:r w:rsidRPr="00B56A57">
        <w:rPr>
          <w:rFonts w:cs="Arial" w:hint="eastAsia"/>
        </w:rPr>
        <w:t>第二十一</w:t>
      </w:r>
      <w:r w:rsidRPr="00B56A57">
        <w:rPr>
          <w:rFonts w:hint="eastAsia"/>
        </w:rPr>
        <w:t>部分</w:t>
      </w:r>
      <w:r w:rsidRPr="00B56A57">
        <w:t xml:space="preserve"> </w:t>
      </w:r>
      <w:r w:rsidRPr="00B56A57">
        <w:rPr>
          <w:rFonts w:hint="eastAsia"/>
        </w:rPr>
        <w:t>基金合同</w:t>
      </w:r>
      <w:bookmarkEnd w:id="525"/>
      <w:r w:rsidRPr="00B56A57">
        <w:rPr>
          <w:rFonts w:hint="eastAsia"/>
        </w:rPr>
        <w:t>的变更、终止与基金财产的清算</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6"/>
      <w:bookmarkEnd w:id="527"/>
    </w:p>
    <w:p w14:paraId="3546AA73" w14:textId="77777777" w:rsidR="00217DCA" w:rsidRPr="00B56A57" w:rsidRDefault="00217DCA">
      <w:pPr>
        <w:spacing w:line="360" w:lineRule="auto"/>
        <w:ind w:firstLineChars="200" w:firstLine="480"/>
        <w:rPr>
          <w:rFonts w:asciiTheme="minorEastAsia" w:hAnsiTheme="minorEastAsia"/>
          <w:sz w:val="24"/>
        </w:rPr>
      </w:pPr>
      <w:bookmarkStart w:id="528" w:name="_Toc79392639"/>
    </w:p>
    <w:p w14:paraId="7305C52E"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一、《基金合同》的变更</w:t>
      </w:r>
      <w:bookmarkEnd w:id="528"/>
    </w:p>
    <w:p w14:paraId="3F6A79E3"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w:t>
      </w:r>
      <w:r w:rsidRPr="00B56A57">
        <w:rPr>
          <w:rFonts w:asciiTheme="minorEastAsia" w:hAnsiTheme="minorEastAsia" w:hint="eastAsia"/>
        </w:rPr>
        <w:t>、变更基金合同涉及法律法规规定或本</w:t>
      </w:r>
      <w:r w:rsidRPr="00B56A57">
        <w:rPr>
          <w:rFonts w:asciiTheme="minorEastAsia" w:eastAsiaTheme="minorEastAsia" w:hAnsiTheme="minorEastAsia" w:hint="eastAsia"/>
        </w:rPr>
        <w:t>基金</w:t>
      </w:r>
      <w:r w:rsidRPr="00B56A57">
        <w:rPr>
          <w:rFonts w:asciiTheme="minorEastAsia" w:hAnsiTheme="minorEastAsia" w:hint="eastAsia"/>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2D2BCD3"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2</w:t>
      </w:r>
      <w:r w:rsidRPr="00B56A57">
        <w:rPr>
          <w:rFonts w:asciiTheme="minorEastAsia" w:hAnsiTheme="minorEastAsia" w:hint="eastAsia"/>
        </w:rPr>
        <w:t>、关于《基金合同》变更的基金份额持有人大会决议自生效后方可执行，自决议生效后</w:t>
      </w:r>
      <w:r w:rsidRPr="00B56A57">
        <w:rPr>
          <w:rFonts w:asciiTheme="minorEastAsia" w:eastAsiaTheme="minorEastAsia" w:hAnsiTheme="minorEastAsia" w:hint="eastAsia"/>
        </w:rPr>
        <w:t>依照《信息披露办法》</w:t>
      </w:r>
      <w:r w:rsidRPr="00B56A57">
        <w:rPr>
          <w:rFonts w:asciiTheme="minorEastAsia" w:hAnsiTheme="minorEastAsia" w:hint="eastAsia"/>
        </w:rPr>
        <w:t>在规定媒介公告。</w:t>
      </w:r>
    </w:p>
    <w:p w14:paraId="19A2CFCF"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二、《基金合同》的终止事由</w:t>
      </w:r>
    </w:p>
    <w:p w14:paraId="160AF412"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有下列情形之一的，经履行相关程序后，《基金合同》应当终止：</w:t>
      </w:r>
    </w:p>
    <w:p w14:paraId="6F15D0CD" w14:textId="77777777" w:rsidR="00FC7942" w:rsidRPr="00FC7942" w:rsidRDefault="00FC7942" w:rsidP="00FC7942">
      <w:pPr>
        <w:snapToGrid w:val="0"/>
        <w:spacing w:line="360" w:lineRule="auto"/>
        <w:ind w:firstLineChars="200" w:firstLine="420"/>
        <w:rPr>
          <w:rFonts w:asciiTheme="minorEastAsia" w:hAnsiTheme="minorEastAsia"/>
        </w:rPr>
      </w:pPr>
      <w:r w:rsidRPr="00FC7942">
        <w:rPr>
          <w:rFonts w:asciiTheme="minorEastAsia" w:hAnsiTheme="minorEastAsia" w:hint="eastAsia"/>
        </w:rPr>
        <w:t>1、基金份额持有人大会决定终止的；</w:t>
      </w:r>
    </w:p>
    <w:p w14:paraId="32F84322" w14:textId="77777777" w:rsidR="00FC7942" w:rsidRPr="00FC7942" w:rsidRDefault="00FC7942" w:rsidP="00FC7942">
      <w:pPr>
        <w:snapToGrid w:val="0"/>
        <w:spacing w:line="360" w:lineRule="auto"/>
        <w:ind w:firstLineChars="200" w:firstLine="420"/>
        <w:rPr>
          <w:rFonts w:asciiTheme="minorEastAsia" w:hAnsiTheme="minorEastAsia"/>
        </w:rPr>
      </w:pPr>
      <w:r w:rsidRPr="00FC7942">
        <w:rPr>
          <w:rFonts w:asciiTheme="minorEastAsia" w:hAnsiTheme="minorEastAsia" w:hint="eastAsia"/>
        </w:rPr>
        <w:t>2、基金管理人、基金托管人职责终止，在6个月内没有新基金管理人、新基金托管人承接的；</w:t>
      </w:r>
    </w:p>
    <w:p w14:paraId="79343029" w14:textId="77777777" w:rsidR="00FC7942" w:rsidRPr="00FC7942" w:rsidRDefault="00FC7942" w:rsidP="00FC7942">
      <w:pPr>
        <w:snapToGrid w:val="0"/>
        <w:spacing w:line="360" w:lineRule="auto"/>
        <w:ind w:firstLineChars="200" w:firstLine="420"/>
        <w:rPr>
          <w:rFonts w:asciiTheme="minorEastAsia" w:hAnsiTheme="minorEastAsia"/>
        </w:rPr>
      </w:pPr>
      <w:r w:rsidRPr="00FC7942">
        <w:rPr>
          <w:rFonts w:asciiTheme="minorEastAsia" w:hAnsiTheme="minorEastAsia" w:hint="eastAsia"/>
        </w:rPr>
        <w:t>3、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622899AA" w14:textId="77777777" w:rsidR="00FC7942" w:rsidRPr="00FC7942" w:rsidRDefault="00FC7942" w:rsidP="00FC7942">
      <w:pPr>
        <w:snapToGrid w:val="0"/>
        <w:spacing w:line="360" w:lineRule="auto"/>
        <w:ind w:firstLineChars="200" w:firstLine="420"/>
        <w:rPr>
          <w:rFonts w:asciiTheme="minorEastAsia" w:hAnsiTheme="minorEastAsia"/>
        </w:rPr>
      </w:pPr>
      <w:r w:rsidRPr="00FC7942">
        <w:rPr>
          <w:rFonts w:asciiTheme="minorEastAsia" w:hAnsiTheme="minorEastAsia" w:hint="eastAsia"/>
        </w:rPr>
        <w:t>4、《基金合同》约定的其他情形；</w:t>
      </w:r>
    </w:p>
    <w:p w14:paraId="33887EA5" w14:textId="77777777" w:rsidR="00FC7942" w:rsidRDefault="00FC7942" w:rsidP="00FC7942">
      <w:pPr>
        <w:snapToGrid w:val="0"/>
        <w:spacing w:line="360" w:lineRule="auto"/>
        <w:ind w:firstLineChars="200" w:firstLine="420"/>
        <w:rPr>
          <w:rFonts w:asciiTheme="minorEastAsia" w:hAnsiTheme="minorEastAsia"/>
        </w:rPr>
      </w:pPr>
      <w:r w:rsidRPr="00FC7942">
        <w:rPr>
          <w:rFonts w:asciiTheme="minorEastAsia" w:hAnsiTheme="minorEastAsia" w:hint="eastAsia"/>
        </w:rPr>
        <w:t>5、相关法律法规和中国证监会规定的其他情况。</w:t>
      </w:r>
    </w:p>
    <w:p w14:paraId="5855AD97" w14:textId="2FED093F" w:rsidR="00217DCA" w:rsidRPr="00B56A57" w:rsidRDefault="006C7341" w:rsidP="00FC7942">
      <w:pPr>
        <w:snapToGrid w:val="0"/>
        <w:spacing w:line="360" w:lineRule="auto"/>
        <w:ind w:firstLineChars="200" w:firstLine="420"/>
        <w:rPr>
          <w:rFonts w:asciiTheme="minorEastAsia" w:hAnsiTheme="minorEastAsia"/>
        </w:rPr>
      </w:pPr>
      <w:r w:rsidRPr="00B56A57">
        <w:rPr>
          <w:rFonts w:asciiTheme="minorEastAsia" w:hAnsiTheme="minorEastAsia" w:hint="eastAsia"/>
        </w:rPr>
        <w:t>三、基金财产的清算</w:t>
      </w:r>
    </w:p>
    <w:p w14:paraId="69F14CB9"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w:t>
      </w:r>
      <w:r w:rsidRPr="00B56A57">
        <w:rPr>
          <w:rFonts w:asciiTheme="minorEastAsia" w:hAnsiTheme="minorEastAsia" w:hint="eastAsia"/>
        </w:rPr>
        <w:t>、基金财产清算小组：自出现《基金合同》终止事由之日起</w:t>
      </w:r>
      <w:r w:rsidRPr="00B56A57">
        <w:rPr>
          <w:rFonts w:asciiTheme="minorEastAsia" w:hAnsiTheme="minorEastAsia"/>
        </w:rPr>
        <w:t>30</w:t>
      </w:r>
      <w:r w:rsidRPr="00B56A57">
        <w:rPr>
          <w:rFonts w:asciiTheme="minorEastAsia" w:hAnsiTheme="minorEastAsia" w:hint="eastAsia"/>
        </w:rPr>
        <w:t>个工作日内成立清算小组，基金管理人组织基金财产清算小组并在中国证监会的监督下进行基金清算。</w:t>
      </w:r>
    </w:p>
    <w:p w14:paraId="6919515C"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2、在基金财产清算小组接管基金财产之前，基金管理人和基金托管人应按照《基金合同》和托管协议的规定继续履行保护基金财产安全的职责。</w:t>
      </w:r>
    </w:p>
    <w:p w14:paraId="0B5335CE"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3</w:t>
      </w:r>
      <w:r w:rsidRPr="00B56A57">
        <w:rPr>
          <w:rFonts w:asciiTheme="minorEastAsia" w:hAnsiTheme="minorEastAsia" w:hint="eastAsia"/>
        </w:rPr>
        <w:t>、基金财产清算小组组成：基金财产清算小组成员由基金管理人、基金托管人、符合《证券法》规定的注册会计师、律师以及中国证监会指定的人员组成。基金财产清算小组可以聘用必要的工作人员。</w:t>
      </w:r>
    </w:p>
    <w:p w14:paraId="1243CB39"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4</w:t>
      </w:r>
      <w:r w:rsidRPr="00B56A57">
        <w:rPr>
          <w:rFonts w:asciiTheme="minorEastAsia" w:hAnsiTheme="minorEastAsia" w:hint="eastAsia"/>
        </w:rPr>
        <w:t>、基金财产清算小组职责：基金财产清算小组负责基金财产的保管、清理、估价、变现和分配。基金财产清算小组可以依法进行必要的民事活动。</w:t>
      </w:r>
    </w:p>
    <w:p w14:paraId="4DD803B3"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5</w:t>
      </w:r>
      <w:r w:rsidRPr="00B56A57">
        <w:rPr>
          <w:rFonts w:asciiTheme="minorEastAsia" w:hAnsiTheme="minorEastAsia" w:hint="eastAsia"/>
        </w:rPr>
        <w:t>、基金财产清算程序：</w:t>
      </w:r>
    </w:p>
    <w:p w14:paraId="7312DA7E"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1</w:t>
      </w:r>
      <w:r w:rsidRPr="00B56A57">
        <w:rPr>
          <w:rFonts w:asciiTheme="minorEastAsia" w:hAnsiTheme="minorEastAsia" w:hint="eastAsia"/>
        </w:rPr>
        <w:t>）《基金合同》终止情形出现时，由基金财产清算小组统一接管基金；</w:t>
      </w:r>
    </w:p>
    <w:p w14:paraId="35550644"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2</w:t>
      </w:r>
      <w:r w:rsidRPr="00B56A57">
        <w:rPr>
          <w:rFonts w:asciiTheme="minorEastAsia" w:hAnsiTheme="minorEastAsia" w:hint="eastAsia"/>
        </w:rPr>
        <w:t>）对基金财产和债权债务进行清理和确认；</w:t>
      </w:r>
    </w:p>
    <w:p w14:paraId="19DE2729"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3</w:t>
      </w:r>
      <w:r w:rsidRPr="00B56A57">
        <w:rPr>
          <w:rFonts w:asciiTheme="minorEastAsia" w:hAnsiTheme="minorEastAsia" w:hint="eastAsia"/>
        </w:rPr>
        <w:t>）对基金财产进行估值和变现；</w:t>
      </w:r>
    </w:p>
    <w:p w14:paraId="7A911C2B"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4</w:t>
      </w:r>
      <w:r w:rsidRPr="00B56A57">
        <w:rPr>
          <w:rFonts w:asciiTheme="minorEastAsia" w:hAnsiTheme="minorEastAsia" w:hint="eastAsia"/>
        </w:rPr>
        <w:t>）制作清算报告；</w:t>
      </w:r>
    </w:p>
    <w:p w14:paraId="2BF29A61"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lastRenderedPageBreak/>
        <w:t>（</w:t>
      </w:r>
      <w:r w:rsidRPr="00B56A57">
        <w:rPr>
          <w:rFonts w:asciiTheme="minorEastAsia" w:hAnsiTheme="minorEastAsia"/>
        </w:rPr>
        <w:t>5</w:t>
      </w:r>
      <w:r w:rsidRPr="00B56A57">
        <w:rPr>
          <w:rFonts w:asciiTheme="minorEastAsia" w:hAnsiTheme="minorEastAsia" w:hint="eastAsia"/>
        </w:rPr>
        <w:t>）聘请会计师事务所对清算报告进行外部审计，聘请律师事务所对清算报告出具法律意见书；</w:t>
      </w:r>
    </w:p>
    <w:p w14:paraId="15193F5A"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6</w:t>
      </w:r>
      <w:r w:rsidRPr="00B56A57">
        <w:rPr>
          <w:rFonts w:asciiTheme="minorEastAsia" w:hAnsiTheme="minorEastAsia" w:hint="eastAsia"/>
        </w:rPr>
        <w:t>）将清算报告报中国证监会备案并公告；</w:t>
      </w:r>
    </w:p>
    <w:p w14:paraId="04A01772"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7</w:t>
      </w:r>
      <w:r w:rsidRPr="00B56A57">
        <w:rPr>
          <w:rFonts w:asciiTheme="minorEastAsia" w:hAnsiTheme="minorEastAsia" w:hint="eastAsia"/>
        </w:rPr>
        <w:t>）对基金剩余财产进行分配。</w:t>
      </w:r>
    </w:p>
    <w:p w14:paraId="0CB0294A"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6</w:t>
      </w:r>
      <w:r w:rsidRPr="00B56A57">
        <w:rPr>
          <w:rFonts w:asciiTheme="minorEastAsia" w:hAnsiTheme="minorEastAsia" w:hint="eastAsia"/>
        </w:rPr>
        <w:t>、基金财产清算的期限为</w:t>
      </w:r>
      <w:r w:rsidRPr="00B56A57">
        <w:rPr>
          <w:rFonts w:asciiTheme="minorEastAsia" w:hAnsiTheme="minorEastAsia"/>
        </w:rPr>
        <w:t>6个月，但因本基金所持证券的流动性受到限制而不能及时变现的，清算期限可相应顺延。</w:t>
      </w:r>
    </w:p>
    <w:p w14:paraId="5D2CAA30"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四、清算费用</w:t>
      </w:r>
    </w:p>
    <w:p w14:paraId="1589D705"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清算费用是指基金财产清算小组在进行基金清算过程中发生的所有合理费用，清算费用由基金财产清算小组优先从基金财产中支付。</w:t>
      </w:r>
    </w:p>
    <w:p w14:paraId="640A9DA7"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五、基金财产清算剩余资产的分配</w:t>
      </w:r>
    </w:p>
    <w:p w14:paraId="064EEA69"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依据基金财产清算的分配方案，将基金财产清算后的全部剩余资产扣除基金财产清算费用、交纳所欠税款并清偿基金债务后，按基金份额持有人持有的基金份额比例进行分配。</w:t>
      </w:r>
    </w:p>
    <w:p w14:paraId="1C837059"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六、基金财产清算的公告</w:t>
      </w:r>
    </w:p>
    <w:p w14:paraId="7979D4A1"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B56A57">
        <w:rPr>
          <w:rFonts w:asciiTheme="minorEastAsia" w:eastAsiaTheme="minorEastAsia" w:hAnsiTheme="minorEastAsia"/>
        </w:rPr>
        <w:t>5</w:t>
      </w:r>
      <w:r w:rsidRPr="00B56A57">
        <w:rPr>
          <w:rFonts w:asciiTheme="minorEastAsia" w:hAnsiTheme="minorEastAsia" w:hint="eastAsia"/>
        </w:rPr>
        <w:t>个工作日内由基金财产清算小组进行公告，基金财产清算小组应当将清算报告登载在规定网站上，并将清算报告提示性公告登载在规定报刊上。</w:t>
      </w:r>
    </w:p>
    <w:p w14:paraId="51DF1D92"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七、基金财产清算账册及文件的保存</w:t>
      </w:r>
    </w:p>
    <w:p w14:paraId="777E5841"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基金财产清算账册及有关文件由基金托管人保存</w:t>
      </w:r>
      <w:r w:rsidRPr="00B56A57">
        <w:rPr>
          <w:rFonts w:asciiTheme="minorEastAsia" w:hAnsiTheme="minorEastAsia"/>
        </w:rPr>
        <w:t>20年以上，法律法规或监管规则另有规定的从其规定。</w:t>
      </w:r>
    </w:p>
    <w:p w14:paraId="450CBD3C" w14:textId="77777777" w:rsidR="00217DCA" w:rsidRPr="00B56A57" w:rsidRDefault="00217DCA">
      <w:pPr>
        <w:adjustRightInd w:val="0"/>
        <w:snapToGrid w:val="0"/>
        <w:spacing w:line="360" w:lineRule="auto"/>
        <w:ind w:firstLine="420"/>
        <w:rPr>
          <w:rFonts w:asciiTheme="minorEastAsia" w:hAnsiTheme="minorEastAsia"/>
          <w:color w:val="0D0D0D" w:themeColor="text1" w:themeTint="F2"/>
        </w:rPr>
      </w:pPr>
      <w:bookmarkStart w:id="529" w:name="_Hlt130184353"/>
      <w:bookmarkEnd w:id="529"/>
    </w:p>
    <w:p w14:paraId="14C477F2" w14:textId="77777777" w:rsidR="00217DCA" w:rsidRPr="00B56A57" w:rsidRDefault="00217DCA">
      <w:pPr>
        <w:pStyle w:val="1"/>
        <w:sectPr w:rsidR="00217DCA" w:rsidRPr="00B56A57">
          <w:footerReference w:type="default" r:id="rId36"/>
          <w:pgSz w:w="11906" w:h="16838"/>
          <w:pgMar w:top="1440" w:right="1800" w:bottom="1440" w:left="1800" w:header="851" w:footer="992" w:gutter="0"/>
          <w:pgNumType w:start="1"/>
          <w:cols w:space="425"/>
          <w:docGrid w:type="lines" w:linePitch="312"/>
        </w:sectPr>
      </w:pPr>
      <w:bookmarkStart w:id="530" w:name="_Toc139991750"/>
      <w:bookmarkStart w:id="531" w:name="_Toc48649720"/>
      <w:bookmarkStart w:id="532" w:name="_Toc8710"/>
      <w:bookmarkStart w:id="533" w:name="_Toc141703901"/>
      <w:bookmarkStart w:id="534" w:name="_Toc28549"/>
      <w:bookmarkStart w:id="535" w:name="_Toc7367"/>
      <w:bookmarkStart w:id="536" w:name="_Toc30645"/>
      <w:bookmarkStart w:id="537" w:name="_Toc13398"/>
      <w:bookmarkStart w:id="538" w:name="_Toc27058"/>
      <w:bookmarkStart w:id="539" w:name="_Toc90742704"/>
      <w:bookmarkStart w:id="540" w:name="_Toc123112248"/>
      <w:bookmarkStart w:id="541" w:name="_Toc98560365"/>
      <w:bookmarkStart w:id="542" w:name="_Toc123051466"/>
      <w:bookmarkStart w:id="543" w:name="_Toc23022"/>
      <w:bookmarkStart w:id="544" w:name="_Toc12191"/>
      <w:bookmarkStart w:id="545" w:name="_Toc90742406"/>
      <w:bookmarkStart w:id="546" w:name="_Toc79392641"/>
      <w:bookmarkStart w:id="547" w:name="_Toc21240"/>
      <w:bookmarkStart w:id="548" w:name="_Toc123102467"/>
      <w:bookmarkStart w:id="549" w:name="_Toc9708"/>
      <w:bookmarkStart w:id="550" w:name="_Toc90742337"/>
      <w:bookmarkStart w:id="551" w:name="_Toc23166"/>
    </w:p>
    <w:p w14:paraId="503A4DE3" w14:textId="77777777" w:rsidR="00217DCA" w:rsidRPr="00B56A57" w:rsidRDefault="006C7341">
      <w:pPr>
        <w:pStyle w:val="1"/>
      </w:pPr>
      <w:bookmarkStart w:id="552" w:name="CLAUSE_b69c6869f1eb4e2db4b0286f2444be4e"/>
      <w:bookmarkEnd w:id="523"/>
      <w:r w:rsidRPr="00B56A57">
        <w:lastRenderedPageBreak/>
        <w:t xml:space="preserve"> </w:t>
      </w:r>
      <w:bookmarkStart w:id="553" w:name="CTS_b69c6869f1eb4e2db4b0286f2444be4e"/>
      <w:bookmarkStart w:id="554" w:name="_Toc64923786"/>
      <w:bookmarkStart w:id="555" w:name="_Toc73975099"/>
      <w:bookmarkEnd w:id="553"/>
      <w:r w:rsidRPr="00B56A57">
        <w:rPr>
          <w:rFonts w:cs="Arial" w:hint="eastAsia"/>
        </w:rPr>
        <w:t>第二十二</w:t>
      </w:r>
      <w:r w:rsidRPr="00B56A57">
        <w:rPr>
          <w:rFonts w:hint="eastAsia"/>
        </w:rPr>
        <w:t>部分</w:t>
      </w:r>
      <w:r w:rsidRPr="00B56A57">
        <w:t xml:space="preserve"> </w:t>
      </w:r>
      <w:r w:rsidRPr="00B56A57">
        <w:rPr>
          <w:rFonts w:hint="eastAsia"/>
        </w:rPr>
        <w:t>违约责任</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4"/>
      <w:bookmarkEnd w:id="555"/>
    </w:p>
    <w:p w14:paraId="67CAE889" w14:textId="77777777" w:rsidR="00217DCA" w:rsidRPr="00B56A57" w:rsidRDefault="00217DCA">
      <w:pPr>
        <w:spacing w:line="360" w:lineRule="auto"/>
        <w:ind w:firstLineChars="200" w:firstLine="480"/>
        <w:rPr>
          <w:rFonts w:asciiTheme="minorEastAsia" w:hAnsiTheme="minorEastAsia"/>
          <w:sz w:val="24"/>
        </w:rPr>
      </w:pPr>
    </w:p>
    <w:p w14:paraId="6E47BF43"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hAnsiTheme="minorEastAsia" w:hint="eastAsia"/>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B56A57">
        <w:rPr>
          <w:rFonts w:asciiTheme="minorEastAsia" w:eastAsiaTheme="minorEastAsia" w:hAnsiTheme="minorEastAsia" w:hint="eastAsia"/>
        </w:rPr>
        <w:t>但是发生下列情况的，当事人免责：</w:t>
      </w:r>
    </w:p>
    <w:p w14:paraId="518151F8"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rPr>
        <w:t>1</w:t>
      </w:r>
      <w:r w:rsidRPr="00B56A57">
        <w:rPr>
          <w:rFonts w:asciiTheme="minorEastAsia" w:eastAsiaTheme="minorEastAsia" w:hAnsiTheme="minorEastAsia" w:hint="eastAsia"/>
        </w:rPr>
        <w:t>、不可抗力；</w:t>
      </w:r>
    </w:p>
    <w:p w14:paraId="69326ED5"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rPr>
        <w:t>2</w:t>
      </w:r>
      <w:r w:rsidRPr="00B56A57">
        <w:rPr>
          <w:rFonts w:asciiTheme="minorEastAsia" w:eastAsiaTheme="minorEastAsia" w:hAnsiTheme="minorEastAsia" w:hint="eastAsia"/>
        </w:rPr>
        <w:t>、基金管理人</w:t>
      </w:r>
      <w:bookmarkStart w:id="556" w:name="_Hlk64639890"/>
      <w:r w:rsidRPr="00B56A57">
        <w:rPr>
          <w:rFonts w:asciiTheme="minorEastAsia" w:eastAsiaTheme="minorEastAsia" w:hAnsiTheme="minorEastAsia" w:hint="eastAsia"/>
        </w:rPr>
        <w:t>和</w:t>
      </w:r>
      <w:r w:rsidRPr="00B56A57">
        <w:rPr>
          <w:rFonts w:asciiTheme="minorEastAsia" w:eastAsiaTheme="minorEastAsia" w:hAnsiTheme="minorEastAsia"/>
        </w:rPr>
        <w:t>/</w:t>
      </w:r>
      <w:r w:rsidRPr="00B56A57">
        <w:rPr>
          <w:rFonts w:asciiTheme="minorEastAsia" w:eastAsiaTheme="minorEastAsia" w:hAnsiTheme="minorEastAsia" w:hint="eastAsia"/>
        </w:rPr>
        <w:t>或</w:t>
      </w:r>
      <w:bookmarkEnd w:id="556"/>
      <w:r w:rsidRPr="00B56A57">
        <w:rPr>
          <w:rFonts w:asciiTheme="minorEastAsia" w:eastAsiaTheme="minorEastAsia" w:hAnsiTheme="minorEastAsia" w:hint="eastAsia"/>
        </w:rPr>
        <w:t>基金托管人按照当时有效的法律法规或中国证监会的规定作为或不作为而造成的损失等；</w:t>
      </w:r>
    </w:p>
    <w:p w14:paraId="4ED2D61E"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rPr>
        <w:t>3</w:t>
      </w:r>
      <w:r w:rsidRPr="00B56A57">
        <w:rPr>
          <w:rFonts w:asciiTheme="minorEastAsia" w:eastAsiaTheme="minorEastAsia" w:hAnsiTheme="minorEastAsia" w:hint="eastAsia"/>
        </w:rPr>
        <w:t>、基金管理人由于按照基金合同规定行使或不行使其投资权而造成的损失等。</w:t>
      </w:r>
    </w:p>
    <w:p w14:paraId="096D1697"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B56A57">
        <w:rPr>
          <w:rFonts w:asciiTheme="minorEastAsia" w:hAnsiTheme="minorEastAsia"/>
        </w:rPr>
        <w:t xml:space="preserve"> </w:t>
      </w:r>
    </w:p>
    <w:p w14:paraId="39086297"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三、</w:t>
      </w:r>
      <w:bookmarkStart w:id="557" w:name="_Hlk64639934"/>
      <w:r w:rsidRPr="00B56A57">
        <w:rPr>
          <w:rFonts w:asciiTheme="minorEastAsia" w:hAnsiTheme="minorEastAsia" w:hint="eastAsia"/>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B56A57">
        <w:rPr>
          <w:rFonts w:asciiTheme="minorEastAsia" w:eastAsiaTheme="minorEastAsia" w:hAnsiTheme="minorEastAsia" w:hint="eastAsia"/>
        </w:rPr>
        <w:t>或减轻</w:t>
      </w:r>
      <w:r w:rsidRPr="00B56A57">
        <w:rPr>
          <w:rFonts w:asciiTheme="minorEastAsia" w:hAnsiTheme="minorEastAsia" w:hint="eastAsia"/>
        </w:rPr>
        <w:t>由此造成的影响。</w:t>
      </w:r>
      <w:bookmarkEnd w:id="557"/>
    </w:p>
    <w:p w14:paraId="11BB1C7D" w14:textId="77777777" w:rsidR="00217DCA" w:rsidRPr="00B56A57" w:rsidRDefault="00217DCA">
      <w:pPr>
        <w:spacing w:line="360" w:lineRule="auto"/>
        <w:ind w:firstLineChars="200" w:firstLine="480"/>
        <w:rPr>
          <w:rFonts w:asciiTheme="minorEastAsia" w:hAnsiTheme="minorEastAsia"/>
          <w:sz w:val="24"/>
        </w:rPr>
      </w:pPr>
      <w:bookmarkStart w:id="558" w:name="_Toc90742407"/>
      <w:bookmarkStart w:id="559" w:name="_Toc90742705"/>
      <w:bookmarkStart w:id="560" w:name="_Toc90742338"/>
      <w:bookmarkStart w:id="561" w:name="_Toc123112249"/>
      <w:bookmarkStart w:id="562" w:name="_Toc139991751"/>
      <w:bookmarkStart w:id="563" w:name="_Toc141703902"/>
      <w:bookmarkStart w:id="564" w:name="_Toc6110"/>
      <w:bookmarkStart w:id="565" w:name="_Toc21983"/>
      <w:bookmarkStart w:id="566" w:name="_Toc3319"/>
      <w:bookmarkStart w:id="567" w:name="_Toc8636"/>
      <w:bookmarkStart w:id="568" w:name="_Toc24923"/>
      <w:bookmarkStart w:id="569" w:name="_Toc30350"/>
      <w:bookmarkStart w:id="570" w:name="_Toc123051467"/>
      <w:bookmarkStart w:id="571" w:name="_Toc1790"/>
      <w:bookmarkStart w:id="572" w:name="_Toc23999"/>
      <w:bookmarkStart w:id="573" w:name="_Toc123102468"/>
      <w:bookmarkStart w:id="574" w:name="_Toc25651"/>
      <w:bookmarkStart w:id="575" w:name="_Toc6202"/>
      <w:bookmarkStart w:id="576" w:name="_Toc7288"/>
      <w:bookmarkStart w:id="577" w:name="_Toc98560366"/>
    </w:p>
    <w:bookmarkEnd w:id="552"/>
    <w:p w14:paraId="5240B4E3" w14:textId="77777777" w:rsidR="00217DCA" w:rsidRPr="00B56A57" w:rsidRDefault="00217DCA">
      <w:pPr>
        <w:pStyle w:val="1"/>
        <w:sectPr w:rsidR="00217DCA" w:rsidRPr="00B56A57">
          <w:footerReference w:type="default" r:id="rId37"/>
          <w:pgSz w:w="11906" w:h="16838"/>
          <w:pgMar w:top="1440" w:right="1800" w:bottom="1440" w:left="1800" w:header="851" w:footer="992" w:gutter="0"/>
          <w:pgNumType w:start="1"/>
          <w:cols w:space="425"/>
          <w:docGrid w:type="lines" w:linePitch="312"/>
        </w:sectPr>
      </w:pPr>
    </w:p>
    <w:p w14:paraId="17683B43" w14:textId="77777777" w:rsidR="00217DCA" w:rsidRPr="00B56A57" w:rsidRDefault="006C7341">
      <w:pPr>
        <w:pStyle w:val="1"/>
      </w:pPr>
      <w:bookmarkStart w:id="578" w:name="CLAUSE_ca48ed0358bf4882801c7e4af7e0c98a"/>
      <w:r w:rsidRPr="00B56A57">
        <w:lastRenderedPageBreak/>
        <w:t xml:space="preserve"> </w:t>
      </w:r>
      <w:bookmarkStart w:id="579" w:name="CTS_ca48ed0358bf4882801c7e4af7e0c98a"/>
      <w:bookmarkStart w:id="580" w:name="_Toc64923787"/>
      <w:bookmarkStart w:id="581" w:name="_Toc73975100"/>
      <w:bookmarkEnd w:id="579"/>
      <w:r w:rsidRPr="00B56A57">
        <w:rPr>
          <w:rFonts w:cs="Arial" w:hint="eastAsia"/>
        </w:rPr>
        <w:t>第二十三部分</w:t>
      </w:r>
      <w:r w:rsidRPr="00B56A57">
        <w:t xml:space="preserve"> 争议的处理</w:t>
      </w:r>
      <w:bookmarkEnd w:id="558"/>
      <w:bookmarkEnd w:id="559"/>
      <w:bookmarkEnd w:id="560"/>
      <w:r w:rsidRPr="00B56A57">
        <w:rPr>
          <w:rFonts w:hint="eastAsia"/>
        </w:rPr>
        <w:t>和适用的法律</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80"/>
      <w:bookmarkEnd w:id="581"/>
    </w:p>
    <w:p w14:paraId="14B6482B" w14:textId="77777777" w:rsidR="00217DCA" w:rsidRPr="00B56A57" w:rsidRDefault="00217DCA">
      <w:pPr>
        <w:spacing w:line="360" w:lineRule="auto"/>
        <w:ind w:firstLineChars="200" w:firstLine="480"/>
        <w:rPr>
          <w:rFonts w:asciiTheme="minorEastAsia" w:hAnsiTheme="minorEastAsia"/>
          <w:sz w:val="24"/>
        </w:rPr>
      </w:pPr>
    </w:p>
    <w:p w14:paraId="2FFB5065"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各方当事人同意，因《基金合同》而产生的或与《基金合同》有关的一切争议，如不愿或者不能通过协商、调解解决的，任何一方均有权将争议提交深圳国际仲裁院（深圳仲裁委员会），按照深圳国际仲裁院（深圳仲裁委员会）届时有效的仲裁规则进行仲裁。仲裁地点为深圳市。仲裁裁决是终局的，对各方当事人均有约束力</w:t>
      </w:r>
      <w:bookmarkStart w:id="582" w:name="_Hlk64639976"/>
      <w:r w:rsidRPr="00B56A57">
        <w:rPr>
          <w:rFonts w:asciiTheme="minorEastAsia" w:eastAsiaTheme="minorEastAsia" w:hAnsiTheme="minorEastAsia" w:hint="eastAsia"/>
        </w:rPr>
        <w:t>。除非仲裁裁决另有规定</w:t>
      </w:r>
      <w:bookmarkEnd w:id="582"/>
      <w:r w:rsidRPr="00B56A57">
        <w:rPr>
          <w:rFonts w:asciiTheme="minorEastAsia" w:eastAsiaTheme="minorEastAsia" w:hAnsiTheme="minorEastAsia" w:hint="eastAsia"/>
        </w:rPr>
        <w:t>，仲裁费用</w:t>
      </w:r>
      <w:bookmarkStart w:id="583" w:name="_Hlk64639986"/>
      <w:r w:rsidRPr="00B56A57">
        <w:rPr>
          <w:rFonts w:asciiTheme="minorEastAsia" w:eastAsiaTheme="minorEastAsia" w:hAnsiTheme="minorEastAsia" w:hint="eastAsia"/>
        </w:rPr>
        <w:t>、律师费用</w:t>
      </w:r>
      <w:bookmarkEnd w:id="583"/>
      <w:r w:rsidRPr="00B56A57">
        <w:rPr>
          <w:rFonts w:asciiTheme="minorEastAsia" w:eastAsiaTheme="minorEastAsia" w:hAnsiTheme="minorEastAsia" w:hint="eastAsia"/>
        </w:rPr>
        <w:t>由败诉方承担。</w:t>
      </w:r>
    </w:p>
    <w:p w14:paraId="57480410"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争议处理期间，基金管理人、基金托管人应恪守基金管理人和基金托管人的职责，各自继续忠实、勤勉、尽责地履行基金合同和基金托管协议规定的义务，维护基金份额持有人的合法权益。</w:t>
      </w:r>
    </w:p>
    <w:p w14:paraId="00D0BDB2" w14:textId="77777777" w:rsidR="00217DCA" w:rsidRPr="00B56A57" w:rsidRDefault="006C7341">
      <w:pPr>
        <w:adjustRightInd w:val="0"/>
        <w:snapToGrid w:val="0"/>
        <w:spacing w:line="360" w:lineRule="auto"/>
        <w:ind w:firstLine="420"/>
        <w:rPr>
          <w:rFonts w:asciiTheme="minorEastAsia" w:hAnsiTheme="minorEastAsia"/>
          <w:color w:val="0D0D0D" w:themeColor="text1" w:themeTint="F2"/>
        </w:rPr>
      </w:pPr>
      <w:r w:rsidRPr="00B56A57">
        <w:rPr>
          <w:rFonts w:asciiTheme="minorEastAsia" w:eastAsiaTheme="minorEastAsia" w:hAnsiTheme="minorEastAsia" w:hint="eastAsia"/>
        </w:rPr>
        <w:t>《基金合同》受中国法律（为本基金合同之目的，在此不包括香港、澳门特别行政区和台湾地区法律）管辖。</w:t>
      </w:r>
    </w:p>
    <w:p w14:paraId="630A0E02" w14:textId="77777777" w:rsidR="00217DCA" w:rsidRPr="00B56A57" w:rsidRDefault="00217DCA">
      <w:pPr>
        <w:pStyle w:val="1"/>
        <w:sectPr w:rsidR="00217DCA" w:rsidRPr="00B56A57">
          <w:footerReference w:type="default" r:id="rId38"/>
          <w:pgSz w:w="11906" w:h="16838"/>
          <w:pgMar w:top="1440" w:right="1800" w:bottom="1440" w:left="1800" w:header="851" w:footer="992" w:gutter="0"/>
          <w:pgNumType w:start="1"/>
          <w:cols w:space="425"/>
          <w:docGrid w:type="lines" w:linePitch="312"/>
        </w:sectPr>
      </w:pPr>
      <w:bookmarkStart w:id="584" w:name="_Toc23991"/>
      <w:bookmarkStart w:id="585" w:name="_Toc484"/>
      <w:bookmarkStart w:id="586" w:name="_Toc2532"/>
      <w:bookmarkStart w:id="587" w:name="_Toc141703903"/>
      <w:bookmarkStart w:id="588" w:name="_Toc8703"/>
      <w:bookmarkStart w:id="589" w:name="_Toc26461"/>
      <w:bookmarkStart w:id="590" w:name="_Toc8454"/>
      <w:bookmarkStart w:id="591" w:name="_Toc29505"/>
      <w:bookmarkStart w:id="592" w:name="_Toc123102469"/>
      <w:bookmarkStart w:id="593" w:name="_Toc123112250"/>
      <w:bookmarkStart w:id="594" w:name="_Toc139991752"/>
      <w:bookmarkStart w:id="595" w:name="_Toc31966"/>
      <w:bookmarkStart w:id="596" w:name="_Toc20350"/>
      <w:bookmarkStart w:id="597" w:name="_Toc11618"/>
      <w:bookmarkStart w:id="598" w:name="_Toc28690"/>
      <w:bookmarkStart w:id="599" w:name="_Toc123051468"/>
      <w:bookmarkEnd w:id="578"/>
    </w:p>
    <w:p w14:paraId="13C85359" w14:textId="77777777" w:rsidR="00217DCA" w:rsidRPr="00B56A57" w:rsidRDefault="006C7341">
      <w:pPr>
        <w:pStyle w:val="1"/>
      </w:pPr>
      <w:bookmarkStart w:id="600" w:name="CLAUSE_e0293bcfa4544bac8a39c99acec0c0b6"/>
      <w:r w:rsidRPr="00B56A57">
        <w:lastRenderedPageBreak/>
        <w:t xml:space="preserve"> </w:t>
      </w:r>
      <w:bookmarkStart w:id="601" w:name="CTS_e0293bcfa4544bac8a39c99acec0c0b6"/>
      <w:bookmarkStart w:id="602" w:name="_Toc64923788"/>
      <w:bookmarkStart w:id="603" w:name="_Toc73975101"/>
      <w:bookmarkEnd w:id="601"/>
      <w:r w:rsidRPr="00B56A57">
        <w:rPr>
          <w:rFonts w:cs="Arial" w:hint="eastAsia"/>
        </w:rPr>
        <w:t>第二十四</w:t>
      </w:r>
      <w:r w:rsidRPr="00B56A57">
        <w:rPr>
          <w:rFonts w:hint="eastAsia"/>
        </w:rPr>
        <w:t>部分</w:t>
      </w:r>
      <w:r w:rsidRPr="00B56A57">
        <w:t xml:space="preserve"> </w:t>
      </w:r>
      <w:r w:rsidRPr="00B56A57">
        <w:rPr>
          <w:rFonts w:hint="eastAsia"/>
        </w:rPr>
        <w:t>基金合同的效力</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2"/>
      <w:bookmarkEnd w:id="603"/>
    </w:p>
    <w:p w14:paraId="07323C80" w14:textId="77777777" w:rsidR="00217DCA" w:rsidRPr="00B56A57" w:rsidRDefault="00217DCA">
      <w:pPr>
        <w:snapToGrid w:val="0"/>
        <w:spacing w:line="360" w:lineRule="auto"/>
        <w:ind w:firstLineChars="200" w:firstLine="420"/>
        <w:rPr>
          <w:rFonts w:asciiTheme="minorEastAsia" w:hAnsiTheme="minorEastAsia"/>
        </w:rPr>
      </w:pPr>
    </w:p>
    <w:p w14:paraId="2D47B2B3"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eastAsiaTheme="minorEastAsia" w:hAnsiTheme="minorEastAsia"/>
        </w:rPr>
        <w:t>基金合同</w:t>
      </w:r>
      <w:r w:rsidRPr="00B56A57">
        <w:rPr>
          <w:rFonts w:asciiTheme="minorEastAsia" w:hAnsiTheme="minorEastAsia" w:hint="eastAsia"/>
        </w:rPr>
        <w:t>是约定基金合同当事人之间权利义务关系的法律文件。</w:t>
      </w:r>
    </w:p>
    <w:p w14:paraId="329F3959"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eastAsiaTheme="minorEastAsia" w:hAnsiTheme="minorEastAsia" w:hint="eastAsia"/>
        </w:rPr>
        <w:t>（一）</w:t>
      </w:r>
      <w:r w:rsidRPr="00B56A57">
        <w:rPr>
          <w:rFonts w:asciiTheme="minorEastAsia" w:hAnsiTheme="minorEastAsia" w:hint="eastAsia"/>
        </w:rPr>
        <w:t>《基金合同》经基金管理人、基金托管人双方盖章（公章或合同专用章）以及双方法定代表人或授权代表签字</w:t>
      </w:r>
      <w:bookmarkStart w:id="604" w:name="_Hlk64640016"/>
      <w:r w:rsidRPr="00B56A57">
        <w:rPr>
          <w:rFonts w:asciiTheme="minorEastAsia" w:hAnsiTheme="minorEastAsia" w:hint="eastAsia"/>
        </w:rPr>
        <w:t>或</w:t>
      </w:r>
      <w:bookmarkEnd w:id="604"/>
      <w:r w:rsidRPr="00B56A57">
        <w:rPr>
          <w:rFonts w:asciiTheme="minorEastAsia" w:hAnsiTheme="minorEastAsia" w:hint="eastAsia"/>
        </w:rPr>
        <w:t>盖</w:t>
      </w:r>
      <w:r w:rsidRPr="00B56A57">
        <w:rPr>
          <w:rFonts w:asciiTheme="minorEastAsia" w:eastAsiaTheme="minorEastAsia" w:hAnsiTheme="minorEastAsia" w:hint="eastAsia"/>
        </w:rPr>
        <w:t>章</w:t>
      </w:r>
      <w:r w:rsidRPr="00B56A57">
        <w:rPr>
          <w:rFonts w:asciiTheme="minorEastAsia" w:hAnsiTheme="minorEastAsia" w:hint="eastAsia"/>
        </w:rPr>
        <w:t>并在募集结束后经基金管理人向中国证监会办理基金备案手续，并经中国证监会书面确认后生效。</w:t>
      </w:r>
    </w:p>
    <w:p w14:paraId="2167C747"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eastAsiaTheme="minorEastAsia" w:hAnsiTheme="minorEastAsia" w:hint="eastAsia"/>
        </w:rPr>
        <w:t>（二）</w:t>
      </w:r>
      <w:r w:rsidRPr="00B56A57">
        <w:rPr>
          <w:rFonts w:asciiTheme="minorEastAsia" w:hAnsiTheme="minorEastAsia" w:hint="eastAsia"/>
        </w:rPr>
        <w:t>《基金合同》的有效期自其生效之日起至基金财产清算结果报中国证监会备案并公告之日止。</w:t>
      </w:r>
    </w:p>
    <w:p w14:paraId="2554AE42"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（三）</w:t>
      </w:r>
      <w:r w:rsidRPr="00B56A57">
        <w:rPr>
          <w:rFonts w:asciiTheme="minorEastAsia" w:eastAsiaTheme="minorEastAsia" w:hAnsiTheme="minorEastAsia"/>
        </w:rPr>
        <w:t>本基金合同</w:t>
      </w:r>
      <w:r w:rsidRPr="00B56A57">
        <w:rPr>
          <w:rFonts w:asciiTheme="minorEastAsia" w:eastAsiaTheme="minorEastAsia" w:hAnsiTheme="minorEastAsia" w:hint="eastAsia"/>
        </w:rPr>
        <w:t>自生效之日起对包括基金管理人、基金托管人和基金份额持有人在内的</w:t>
      </w:r>
      <w:r w:rsidRPr="00B56A57">
        <w:rPr>
          <w:rFonts w:asciiTheme="minorEastAsia" w:eastAsiaTheme="minorEastAsia" w:hAnsiTheme="minorEastAsia"/>
        </w:rPr>
        <w:t>基金合同</w:t>
      </w:r>
      <w:r w:rsidRPr="00B56A57">
        <w:rPr>
          <w:rFonts w:asciiTheme="minorEastAsia" w:eastAsiaTheme="minorEastAsia" w:hAnsiTheme="minorEastAsia" w:hint="eastAsia"/>
        </w:rPr>
        <w:t>各方当事人具有同等的法律约束力。</w:t>
      </w:r>
    </w:p>
    <w:p w14:paraId="3CADEE0C"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（四）《基金合同》正本一式三份，除上报有关监管机构一份外，基金管理人、基金托管人各持有一份，每份具有同等的法律效力。</w:t>
      </w:r>
    </w:p>
    <w:p w14:paraId="7792148D"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（五）</w:t>
      </w:r>
      <w:r w:rsidRPr="00B56A57">
        <w:rPr>
          <w:rFonts w:asciiTheme="minorEastAsia" w:eastAsiaTheme="minorEastAsia" w:hAnsiTheme="minorEastAsia"/>
        </w:rPr>
        <w:t>本基金合同</w:t>
      </w:r>
      <w:r w:rsidRPr="00B56A57">
        <w:rPr>
          <w:rFonts w:asciiTheme="minorEastAsia" w:eastAsiaTheme="minorEastAsia" w:hAnsiTheme="minorEastAsia" w:hint="eastAsia"/>
        </w:rPr>
        <w:t>可印制成册，供</w:t>
      </w:r>
      <w:r w:rsidRPr="00B56A57">
        <w:rPr>
          <w:rFonts w:asciiTheme="minorEastAsia" w:eastAsiaTheme="minorEastAsia" w:hAnsiTheme="minorEastAsia"/>
        </w:rPr>
        <w:t>投资人</w:t>
      </w:r>
      <w:r w:rsidRPr="00B56A57">
        <w:rPr>
          <w:rFonts w:asciiTheme="minorEastAsia" w:eastAsiaTheme="minorEastAsia" w:hAnsiTheme="minorEastAsia" w:hint="eastAsia"/>
        </w:rPr>
        <w:t>在基金管理人、基金托管人、</w:t>
      </w:r>
      <w:r w:rsidRPr="00B56A57">
        <w:rPr>
          <w:rFonts w:asciiTheme="minorEastAsia" w:eastAsiaTheme="minorEastAsia" w:hAnsiTheme="minorEastAsia"/>
        </w:rPr>
        <w:t>代销</w:t>
      </w:r>
      <w:r w:rsidRPr="00B56A57">
        <w:rPr>
          <w:rFonts w:asciiTheme="minorEastAsia" w:eastAsiaTheme="minorEastAsia" w:hAnsiTheme="minorEastAsia" w:hint="eastAsia"/>
        </w:rPr>
        <w:t>机构</w:t>
      </w:r>
      <w:r w:rsidRPr="00B56A57">
        <w:rPr>
          <w:rFonts w:asciiTheme="minorEastAsia" w:eastAsiaTheme="minorEastAsia" w:hAnsiTheme="minorEastAsia"/>
        </w:rPr>
        <w:t>和登记机构</w:t>
      </w:r>
      <w:r w:rsidRPr="00B56A57">
        <w:rPr>
          <w:rFonts w:asciiTheme="minorEastAsia" w:eastAsiaTheme="minorEastAsia" w:hAnsiTheme="minorEastAsia" w:hint="eastAsia"/>
        </w:rPr>
        <w:t>办公场所查阅。</w:t>
      </w:r>
    </w:p>
    <w:p w14:paraId="3A2B6F64" w14:textId="77777777" w:rsidR="00217DCA" w:rsidRPr="00B56A57" w:rsidRDefault="00217DCA">
      <w:pPr>
        <w:adjustRightInd w:val="0"/>
        <w:snapToGrid w:val="0"/>
        <w:spacing w:line="360" w:lineRule="auto"/>
        <w:rPr>
          <w:rFonts w:asciiTheme="minorEastAsia" w:eastAsiaTheme="minorEastAsia" w:hAnsiTheme="minorEastAsia" w:cs="Arial"/>
          <w:color w:val="0D0D0D" w:themeColor="text1" w:themeTint="F2"/>
          <w:szCs w:val="21"/>
        </w:rPr>
      </w:pPr>
    </w:p>
    <w:bookmarkEnd w:id="600"/>
    <w:p w14:paraId="2F5D2712" w14:textId="77777777" w:rsidR="00217DCA" w:rsidRPr="00B56A57" w:rsidRDefault="00217DCA">
      <w:pPr>
        <w:pStyle w:val="1"/>
        <w:sectPr w:rsidR="00217DCA" w:rsidRPr="00B56A57">
          <w:footerReference w:type="default" r:id="rId39"/>
          <w:pgSz w:w="11906" w:h="16838"/>
          <w:pgMar w:top="1440" w:right="1800" w:bottom="1440" w:left="1800" w:header="851" w:footer="992" w:gutter="0"/>
          <w:pgNumType w:start="1"/>
          <w:cols w:space="425"/>
          <w:docGrid w:type="lines" w:linePitch="312"/>
        </w:sectPr>
      </w:pPr>
    </w:p>
    <w:p w14:paraId="23B0ABEB" w14:textId="77777777" w:rsidR="00217DCA" w:rsidRPr="00B56A57" w:rsidRDefault="006C7341">
      <w:pPr>
        <w:pStyle w:val="1"/>
      </w:pPr>
      <w:bookmarkStart w:id="605" w:name="CLAUSE_0467a38cd9ce462381256d127af2578b"/>
      <w:r w:rsidRPr="00B56A57">
        <w:lastRenderedPageBreak/>
        <w:t xml:space="preserve"> </w:t>
      </w:r>
      <w:bookmarkStart w:id="606" w:name="CTS_0467a38cd9ce462381256d127af2578b"/>
      <w:bookmarkStart w:id="607" w:name="_Toc64923789"/>
      <w:bookmarkStart w:id="608" w:name="_Toc73975102"/>
      <w:bookmarkEnd w:id="606"/>
      <w:r w:rsidRPr="00B56A57">
        <w:rPr>
          <w:rFonts w:cs="Arial" w:hint="eastAsia"/>
        </w:rPr>
        <w:t>第二十五部分</w:t>
      </w:r>
      <w:r w:rsidRPr="00B56A57">
        <w:rPr>
          <w:rFonts w:cs="Arial"/>
        </w:rPr>
        <w:t xml:space="preserve"> </w:t>
      </w:r>
      <w:r w:rsidRPr="00B56A57">
        <w:t>其他事项</w:t>
      </w:r>
      <w:bookmarkEnd w:id="607"/>
      <w:bookmarkEnd w:id="608"/>
    </w:p>
    <w:p w14:paraId="4BC009B2" w14:textId="77777777" w:rsidR="00217DCA" w:rsidRPr="00B56A57" w:rsidRDefault="00217DCA">
      <w:pPr>
        <w:snapToGrid w:val="0"/>
        <w:spacing w:line="360" w:lineRule="auto"/>
        <w:ind w:firstLineChars="200" w:firstLine="420"/>
        <w:rPr>
          <w:rFonts w:asciiTheme="minorEastAsia" w:eastAsiaTheme="minorEastAsia" w:hAnsiTheme="minorEastAsia"/>
        </w:rPr>
      </w:pPr>
    </w:p>
    <w:p w14:paraId="2140DBC4"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rPr>
        <w:t>本基金合同如有未尽事宜，由本基金合同当事人各方按有关法律法规和规定协商解决。</w:t>
      </w:r>
    </w:p>
    <w:p w14:paraId="503BA979" w14:textId="77777777" w:rsidR="00217DCA" w:rsidRPr="00B56A57" w:rsidRDefault="00217DCA">
      <w:pPr>
        <w:widowControl/>
        <w:adjustRightInd w:val="0"/>
        <w:snapToGrid w:val="0"/>
        <w:spacing w:line="360" w:lineRule="auto"/>
        <w:ind w:firstLine="420"/>
        <w:jc w:val="left"/>
        <w:rPr>
          <w:rFonts w:asciiTheme="minorEastAsia" w:eastAsiaTheme="minorEastAsia" w:hAnsiTheme="minorEastAsia"/>
          <w:color w:val="0D0D0D" w:themeColor="text1" w:themeTint="F2"/>
        </w:rPr>
      </w:pPr>
      <w:bookmarkStart w:id="609" w:name="_Hlt70506133"/>
      <w:bookmarkEnd w:id="609"/>
    </w:p>
    <w:p w14:paraId="1BE1546F" w14:textId="77777777" w:rsidR="00217DCA" w:rsidRPr="00B56A57" w:rsidRDefault="00217DCA">
      <w:pPr>
        <w:pStyle w:val="1"/>
        <w:numPr>
          <w:ilvl w:val="0"/>
          <w:numId w:val="0"/>
        </w:numPr>
        <w:sectPr w:rsidR="00217DCA" w:rsidRPr="00B56A57">
          <w:footerReference w:type="default" r:id="rId40"/>
          <w:pgSz w:w="11906" w:h="16838"/>
          <w:pgMar w:top="1440" w:right="1800" w:bottom="1440" w:left="1800" w:header="851" w:footer="992" w:gutter="0"/>
          <w:pgNumType w:start="1"/>
          <w:cols w:space="425"/>
          <w:docGrid w:type="lines" w:linePitch="312"/>
        </w:sectPr>
      </w:pPr>
      <w:bookmarkStart w:id="610" w:name="_Toc9054"/>
      <w:bookmarkStart w:id="611" w:name="_Toc17263"/>
      <w:bookmarkStart w:id="612" w:name="_Toc1360"/>
      <w:bookmarkStart w:id="613" w:name="_Toc15045"/>
      <w:bookmarkStart w:id="614" w:name="_Toc5108"/>
      <w:bookmarkStart w:id="615" w:name="_Toc7437"/>
      <w:bookmarkStart w:id="616" w:name="_Toc141703905"/>
      <w:bookmarkStart w:id="617" w:name="_Toc15664"/>
      <w:bookmarkStart w:id="618" w:name="_Toc20098"/>
      <w:bookmarkStart w:id="619" w:name="_Toc32355"/>
      <w:bookmarkStart w:id="620" w:name="_Toc21122"/>
      <w:bookmarkStart w:id="621" w:name="_Toc12499"/>
    </w:p>
    <w:p w14:paraId="2E70F91F" w14:textId="77777777" w:rsidR="00217DCA" w:rsidRPr="00B56A57" w:rsidRDefault="006C7341">
      <w:pPr>
        <w:pStyle w:val="1"/>
      </w:pPr>
      <w:bookmarkStart w:id="622" w:name="CTS_29082ad408584f21b84b12a25e49a578"/>
      <w:bookmarkStart w:id="623" w:name="CTS_b2b4391577a34bfdb54a83ce825656c0"/>
      <w:bookmarkStart w:id="624" w:name="_Toc64923790"/>
      <w:bookmarkStart w:id="625" w:name="_Toc73975103"/>
      <w:bookmarkStart w:id="626" w:name="CLAUSE_29082ad408584f21b84b12a25e49a578"/>
      <w:bookmarkEnd w:id="79"/>
      <w:bookmarkEnd w:id="80"/>
      <w:bookmarkEnd w:id="60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B56A57">
        <w:rPr>
          <w:rFonts w:hint="eastAsia"/>
        </w:rPr>
        <w:lastRenderedPageBreak/>
        <w:t>第二十六部分</w:t>
      </w:r>
      <w:r w:rsidRPr="00B56A57">
        <w:t xml:space="preserve"> </w:t>
      </w:r>
      <w:r w:rsidRPr="00B56A57">
        <w:rPr>
          <w:rFonts w:hint="eastAsia"/>
        </w:rPr>
        <w:t>基金合同摘要</w:t>
      </w:r>
      <w:bookmarkEnd w:id="624"/>
      <w:bookmarkEnd w:id="625"/>
    </w:p>
    <w:p w14:paraId="3F11E916"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一、基金份额持有人、基金管理人和基金托管人的权利、义务</w:t>
      </w:r>
    </w:p>
    <w:p w14:paraId="2D27CE21"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（一）基金份额持有人的权利与义务</w:t>
      </w:r>
    </w:p>
    <w:p w14:paraId="6B1B995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CD7424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每份基金份额具有同等的合法权益。</w:t>
      </w:r>
    </w:p>
    <w:p w14:paraId="091762C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、根据《基金法》、《运作办法》及其他有关规定，基金份额持有人的权利包括但不限于：</w:t>
      </w:r>
    </w:p>
    <w:p w14:paraId="61347DB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）分享基金财产收益；</w:t>
      </w:r>
    </w:p>
    <w:p w14:paraId="35C711F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）参与分配清算后的剩余基金财产；</w:t>
      </w:r>
    </w:p>
    <w:p w14:paraId="31093E0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）依法转让或者申请赎回其持有的基金份额；</w:t>
      </w:r>
    </w:p>
    <w:p w14:paraId="4A9E1BD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）按照规定要求召开基金份额持有人大会或者召集基金份额持有人大会；</w:t>
      </w:r>
    </w:p>
    <w:p w14:paraId="2E9FCE6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）出席或者委派代表出席基金份额持有人大会，对基金份额持有人大会审议事项行使表决权；</w:t>
      </w:r>
    </w:p>
    <w:p w14:paraId="43BDBBC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）查阅或者复制公开披露的基金信息资料；</w:t>
      </w:r>
    </w:p>
    <w:p w14:paraId="60D8A46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）监督基金管理人的投资运作；</w:t>
      </w:r>
    </w:p>
    <w:p w14:paraId="722782E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8</w:t>
      </w:r>
      <w:r w:rsidRPr="00B56A57">
        <w:rPr>
          <w:rFonts w:asciiTheme="minorEastAsia" w:hAnsiTheme="minorEastAsia" w:hint="eastAsia"/>
          <w:color w:val="0D0D0D" w:themeColor="text1" w:themeTint="F2"/>
        </w:rPr>
        <w:t>）对基金管理人、基金托管人、基金服务机构损害其合法权益的行为依法提起诉讼或仲裁；</w:t>
      </w:r>
    </w:p>
    <w:p w14:paraId="70D55A9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9</w:t>
      </w:r>
      <w:r w:rsidRPr="00B56A57">
        <w:rPr>
          <w:rFonts w:asciiTheme="minorEastAsia" w:hAnsiTheme="minorEastAsia" w:hint="eastAsia"/>
          <w:color w:val="0D0D0D" w:themeColor="text1" w:themeTint="F2"/>
        </w:rPr>
        <w:t>）法律法规及中国证监会规定的和《基金合同》约定的其他权利。</w:t>
      </w:r>
    </w:p>
    <w:p w14:paraId="4402278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、根据《基金法》、《运作办法》及其他有关规定，基金份额持有人的义务包括但不限于：</w:t>
      </w:r>
    </w:p>
    <w:p w14:paraId="21B4496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）认真阅读并遵守《基金合同》</w:t>
      </w: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s="Arial" w:hint="eastAsia"/>
          <w:color w:val="0D0D0D" w:themeColor="text1" w:themeTint="F2"/>
          <w:szCs w:val="21"/>
        </w:rPr>
        <w:t>招募说明书等信息披露文件</w:t>
      </w:r>
      <w:r w:rsidRPr="00B56A57">
        <w:rPr>
          <w:rFonts w:asciiTheme="minorEastAsia" w:hAnsiTheme="minorEastAsia" w:hint="eastAsia"/>
          <w:color w:val="0D0D0D" w:themeColor="text1" w:themeTint="F2"/>
        </w:rPr>
        <w:t>；</w:t>
      </w:r>
    </w:p>
    <w:p w14:paraId="1C71C87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）了解所投资基金产品，了解自身风险承受能力，自主判断基金的投资价值，自主做出投资决策，自行承担投资风险；</w:t>
      </w:r>
    </w:p>
    <w:p w14:paraId="54237BD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）关注基金信息披露，及时行使权利和履行义务；</w:t>
      </w:r>
    </w:p>
    <w:p w14:paraId="7052599E" w14:textId="77777777" w:rsidR="00217DCA" w:rsidRPr="00B56A57" w:rsidRDefault="006C7341">
      <w:pPr>
        <w:adjustRightInd w:val="0"/>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4）交纳基金认购</w:t>
      </w:r>
      <w:r w:rsidRPr="00B56A57">
        <w:rPr>
          <w:rFonts w:asciiTheme="minorEastAsia" w:eastAsiaTheme="minorEastAsia" w:hAnsiTheme="minorEastAsia" w:hint="eastAsia"/>
        </w:rPr>
        <w:t>款项</w:t>
      </w:r>
      <w:r w:rsidRPr="00B56A57">
        <w:rPr>
          <w:rFonts w:asciiTheme="minorEastAsia" w:hAnsiTheme="minorEastAsia" w:hint="eastAsia"/>
        </w:rPr>
        <w:t>、申购</w:t>
      </w:r>
      <w:r w:rsidRPr="00B56A57">
        <w:rPr>
          <w:rFonts w:asciiTheme="minorEastAsia" w:eastAsiaTheme="minorEastAsia" w:hAnsiTheme="minorEastAsia" w:hint="eastAsia"/>
        </w:rPr>
        <w:t>对价</w:t>
      </w:r>
      <w:r w:rsidRPr="00B56A57">
        <w:rPr>
          <w:rFonts w:asciiTheme="minorEastAsia" w:hAnsiTheme="minorEastAsia" w:hint="eastAsia"/>
        </w:rPr>
        <w:t>及法律法规和《基金合同》所规定的费用；</w:t>
      </w:r>
    </w:p>
    <w:p w14:paraId="2244E7E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）在其持有的基金份额范围内，承担基金亏损或者《基金合同》终止的有限责任；</w:t>
      </w:r>
    </w:p>
    <w:p w14:paraId="48824DB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）不从事任何有损基金及其他《基金合同》当事人合法权益的活动；</w:t>
      </w:r>
    </w:p>
    <w:p w14:paraId="49ECE89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）执行生效的基金份额持有人大会的</w:t>
      </w:r>
      <w:r w:rsidRPr="00B56A57">
        <w:rPr>
          <w:rFonts w:asciiTheme="minorEastAsia" w:eastAsiaTheme="minorEastAsia" w:hAnsiTheme="minorEastAsia" w:cs="Arial" w:hint="eastAsia"/>
          <w:color w:val="0D0D0D" w:themeColor="text1" w:themeTint="F2"/>
          <w:szCs w:val="21"/>
        </w:rPr>
        <w:t>决议</w:t>
      </w:r>
      <w:r w:rsidRPr="00B56A57">
        <w:rPr>
          <w:rFonts w:asciiTheme="minorEastAsia" w:hAnsiTheme="minorEastAsia" w:hint="eastAsia"/>
          <w:color w:val="0D0D0D" w:themeColor="text1" w:themeTint="F2"/>
        </w:rPr>
        <w:t>；</w:t>
      </w:r>
    </w:p>
    <w:p w14:paraId="20A37A5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8</w:t>
      </w:r>
      <w:r w:rsidRPr="00B56A57">
        <w:rPr>
          <w:rFonts w:asciiTheme="minorEastAsia" w:hAnsiTheme="minorEastAsia" w:hint="eastAsia"/>
          <w:color w:val="0D0D0D" w:themeColor="text1" w:themeTint="F2"/>
        </w:rPr>
        <w:t>）返还在基金交易过程中因任何原因获得的不当得利；</w:t>
      </w:r>
    </w:p>
    <w:p w14:paraId="3A98354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9</w:t>
      </w:r>
      <w:r w:rsidRPr="00B56A57">
        <w:rPr>
          <w:rFonts w:asciiTheme="minorEastAsia" w:hAnsiTheme="minorEastAsia" w:hint="eastAsia"/>
          <w:color w:val="0D0D0D" w:themeColor="text1" w:themeTint="F2"/>
        </w:rPr>
        <w:t>）法律法规及中国证监会规定</w:t>
      </w:r>
      <w:bookmarkStart w:id="627" w:name="_GoBack"/>
      <w:bookmarkEnd w:id="627"/>
      <w:r w:rsidRPr="00B56A57">
        <w:rPr>
          <w:rFonts w:asciiTheme="minorEastAsia" w:hAnsiTheme="minorEastAsia" w:hint="eastAsia"/>
          <w:color w:val="0D0D0D" w:themeColor="text1" w:themeTint="F2"/>
        </w:rPr>
        <w:t>的和《基金合同》约定的其他义务。</w:t>
      </w:r>
    </w:p>
    <w:p w14:paraId="7C40423F"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lastRenderedPageBreak/>
        <w:t>（二）</w:t>
      </w:r>
      <w:r w:rsidRPr="00B56A57">
        <w:rPr>
          <w:rFonts w:asciiTheme="minorEastAsia" w:hAnsiTheme="minorEastAsia" w:hint="eastAsia"/>
        </w:rPr>
        <w:t>基金管理人</w:t>
      </w:r>
      <w:r w:rsidRPr="00B56A57">
        <w:rPr>
          <w:rFonts w:asciiTheme="minorEastAsia" w:eastAsiaTheme="minorEastAsia" w:hAnsiTheme="minorEastAsia" w:hint="eastAsia"/>
        </w:rPr>
        <w:t>的权利与义务</w:t>
      </w:r>
    </w:p>
    <w:p w14:paraId="483A753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、根据《基金法》、《运作办法》及其他有关规定，基金管理人的权利包括但不限于：</w:t>
      </w:r>
    </w:p>
    <w:p w14:paraId="05AF31B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）依法募集资金；</w:t>
      </w:r>
    </w:p>
    <w:p w14:paraId="2D1333E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）自《基金合同》生效之日起，根据法律法规和《基金合同》独立运用并管理基金财产；</w:t>
      </w:r>
    </w:p>
    <w:p w14:paraId="54BB6A3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）依照《基金合同》收取基金管理费以及法律法规规定或中国证监会批准的其他费用；</w:t>
      </w:r>
    </w:p>
    <w:p w14:paraId="34E630B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）销售基金份额；</w:t>
      </w:r>
    </w:p>
    <w:p w14:paraId="7DE6F46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）按照规定召集基金份额持有人大会；</w:t>
      </w:r>
    </w:p>
    <w:p w14:paraId="203B082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）依据《基金合同》及有关法律规定监督基金托管人，如认为基金托管人违反了《基金合同》及国家有关法律规定，应呈报中国证监会和其他监管部门，并采取必要措施保护基金投资者的利益；</w:t>
      </w:r>
    </w:p>
    <w:p w14:paraId="13B4C06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）在基金托管人更换时，提名新的基金托管人；</w:t>
      </w:r>
    </w:p>
    <w:p w14:paraId="1844CE3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8</w:t>
      </w:r>
      <w:r w:rsidRPr="00B56A57">
        <w:rPr>
          <w:rFonts w:asciiTheme="minorEastAsia" w:hAnsiTheme="minorEastAsia" w:hint="eastAsia"/>
          <w:color w:val="0D0D0D" w:themeColor="text1" w:themeTint="F2"/>
        </w:rPr>
        <w:t>）选择、更换基金销售机构，对基金销售机构的相关行为进行监督和处理；</w:t>
      </w:r>
      <w:r w:rsidRPr="00B56A57">
        <w:rPr>
          <w:rFonts w:asciiTheme="minorEastAsia" w:hAnsiTheme="minorEastAsia"/>
          <w:color w:val="0D0D0D" w:themeColor="text1" w:themeTint="F2"/>
        </w:rPr>
        <w:t xml:space="preserve"> </w:t>
      </w:r>
    </w:p>
    <w:p w14:paraId="22A6BA7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9</w:t>
      </w:r>
      <w:r w:rsidRPr="00B56A57">
        <w:rPr>
          <w:rFonts w:asciiTheme="minorEastAsia" w:hAnsiTheme="minorEastAsia" w:hint="eastAsia"/>
          <w:color w:val="0D0D0D" w:themeColor="text1" w:themeTint="F2"/>
        </w:rPr>
        <w:t>）担任或委托其他符合条件的机构担任基金登记机构办理基金登记业务并获得《基金合同》规定的费用；</w:t>
      </w:r>
      <w:r w:rsidRPr="00B56A57">
        <w:rPr>
          <w:rFonts w:asciiTheme="minorEastAsia" w:hAnsiTheme="minorEastAsia"/>
          <w:color w:val="0D0D0D" w:themeColor="text1" w:themeTint="F2"/>
        </w:rPr>
        <w:t xml:space="preserve"> </w:t>
      </w:r>
    </w:p>
    <w:p w14:paraId="714C357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）依据《基金合同》及有关法律规定决定基金收益的分配方案；</w:t>
      </w:r>
      <w:r w:rsidRPr="00B56A57">
        <w:rPr>
          <w:rFonts w:asciiTheme="minorEastAsia" w:hAnsiTheme="minorEastAsia"/>
          <w:color w:val="0D0D0D" w:themeColor="text1" w:themeTint="F2"/>
        </w:rPr>
        <w:tab/>
      </w:r>
    </w:p>
    <w:p w14:paraId="13AB954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11</w:t>
      </w:r>
      <w:r w:rsidRPr="00B56A57">
        <w:rPr>
          <w:rFonts w:asciiTheme="minorEastAsia" w:hAnsiTheme="minorEastAsia" w:hint="eastAsia"/>
          <w:color w:val="0D0D0D" w:themeColor="text1" w:themeTint="F2"/>
        </w:rPr>
        <w:t>）在《基金合同》约定的范围内，拒绝或暂停受理申购与赎回申请；</w:t>
      </w:r>
      <w:r w:rsidRPr="00B56A57">
        <w:rPr>
          <w:rFonts w:asciiTheme="minorEastAsia" w:hAnsiTheme="minorEastAsia"/>
          <w:color w:val="0D0D0D" w:themeColor="text1" w:themeTint="F2"/>
        </w:rPr>
        <w:t xml:space="preserve"> </w:t>
      </w:r>
    </w:p>
    <w:p w14:paraId="3889D10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12</w:t>
      </w:r>
      <w:r w:rsidRPr="00B56A57">
        <w:rPr>
          <w:rFonts w:asciiTheme="minorEastAsia" w:hAnsiTheme="minorEastAsia" w:hint="eastAsia"/>
          <w:color w:val="0D0D0D" w:themeColor="text1" w:themeTint="F2"/>
        </w:rPr>
        <w:t>）依照法律法规为基金的利益对被投资公司行使股东权利，为基金的利益行使因基金财产投资于证券所产生的权利；</w:t>
      </w:r>
    </w:p>
    <w:p w14:paraId="1A24E165" w14:textId="486D5608"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13</w:t>
      </w:r>
      <w:r w:rsidRPr="00B56A57">
        <w:rPr>
          <w:rFonts w:asciiTheme="minorEastAsia" w:hAnsiTheme="minorEastAsia" w:hint="eastAsia"/>
          <w:color w:val="0D0D0D" w:themeColor="text1" w:themeTint="F2"/>
        </w:rPr>
        <w:t>）在法律法规允许的前提下，为基金的利益依法为基金进行融资</w:t>
      </w:r>
      <w:r w:rsidRPr="00B56A57">
        <w:rPr>
          <w:rFonts w:asciiTheme="minorEastAsia" w:eastAsiaTheme="minorEastAsia" w:hAnsiTheme="minorEastAsia" w:hint="eastAsia"/>
          <w:color w:val="0D0D0D" w:themeColor="text1" w:themeTint="F2"/>
        </w:rPr>
        <w:t>和转融通证券出借业务；</w:t>
      </w:r>
    </w:p>
    <w:p w14:paraId="13E7B01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14</w:t>
      </w:r>
      <w:r w:rsidRPr="00B56A57">
        <w:rPr>
          <w:rFonts w:asciiTheme="minorEastAsia" w:hAnsiTheme="minorEastAsia" w:hint="eastAsia"/>
          <w:color w:val="0D0D0D" w:themeColor="text1" w:themeTint="F2"/>
        </w:rPr>
        <w:t>）以基金管理人的名义，代表基金份额持有人的利益行使诉讼权利或者实施其他法律行为；</w:t>
      </w:r>
      <w:r w:rsidRPr="00B56A57">
        <w:rPr>
          <w:rFonts w:asciiTheme="minorEastAsia" w:hAnsiTheme="minorEastAsia"/>
          <w:color w:val="0D0D0D" w:themeColor="text1" w:themeTint="F2"/>
        </w:rPr>
        <w:tab/>
      </w:r>
    </w:p>
    <w:p w14:paraId="3A5B386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15</w:t>
      </w:r>
      <w:r w:rsidRPr="00B56A57">
        <w:rPr>
          <w:rFonts w:asciiTheme="minorEastAsia" w:hAnsiTheme="minorEastAsia" w:hint="eastAsia"/>
          <w:color w:val="0D0D0D" w:themeColor="text1" w:themeTint="F2"/>
        </w:rPr>
        <w:t>）选择、更换律师事务所、会计师事务所、</w:t>
      </w:r>
      <w:r w:rsidRPr="00B56A57">
        <w:rPr>
          <w:rFonts w:asciiTheme="minorEastAsia" w:eastAsiaTheme="minorEastAsia" w:hAnsiTheme="minorEastAsia" w:hint="eastAsia"/>
          <w:color w:val="0D0D0D" w:themeColor="text1" w:themeTint="F2"/>
        </w:rPr>
        <w:t>证券、期货经纪商</w:t>
      </w:r>
      <w:r w:rsidRPr="00B56A57">
        <w:rPr>
          <w:rFonts w:asciiTheme="minorEastAsia" w:hAnsiTheme="minorEastAsia" w:hint="eastAsia"/>
          <w:color w:val="0D0D0D" w:themeColor="text1" w:themeTint="F2"/>
        </w:rPr>
        <w:t>或其他为基金提供服务的外部机构；</w:t>
      </w:r>
      <w:r w:rsidRPr="00B56A57">
        <w:rPr>
          <w:rFonts w:asciiTheme="minorEastAsia" w:hAnsiTheme="minorEastAsia"/>
          <w:color w:val="0D0D0D" w:themeColor="text1" w:themeTint="F2"/>
        </w:rPr>
        <w:tab/>
      </w:r>
    </w:p>
    <w:p w14:paraId="588E826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16</w:t>
      </w:r>
      <w:r w:rsidRPr="00B56A57">
        <w:rPr>
          <w:rFonts w:asciiTheme="minorEastAsia" w:hAnsiTheme="minorEastAsia" w:hint="eastAsia"/>
          <w:color w:val="0D0D0D" w:themeColor="text1" w:themeTint="F2"/>
        </w:rPr>
        <w:t>）在符合有关法律、法规</w:t>
      </w:r>
      <w:r w:rsidRPr="00B56A57">
        <w:rPr>
          <w:rFonts w:asciiTheme="minorEastAsia" w:eastAsiaTheme="minorEastAsia" w:hAnsiTheme="minorEastAsia" w:hint="eastAsia"/>
          <w:color w:val="0D0D0D" w:themeColor="text1" w:themeTint="F2"/>
        </w:rPr>
        <w:t>、相关证券交易所及登记机构相关业务规则的规定及基金合同</w:t>
      </w:r>
      <w:r w:rsidRPr="00B56A57">
        <w:rPr>
          <w:rFonts w:asciiTheme="minorEastAsia" w:hAnsiTheme="minorEastAsia" w:hint="eastAsia"/>
          <w:color w:val="0D0D0D" w:themeColor="text1" w:themeTint="F2"/>
        </w:rPr>
        <w:t>的前提下，制订和调整有关基金认购、申购、赎回、转换</w:t>
      </w:r>
      <w:r w:rsidRPr="00B56A57">
        <w:rPr>
          <w:rFonts w:asciiTheme="minorEastAsia" w:eastAsiaTheme="minorEastAsia" w:hAnsiTheme="minorEastAsia" w:cs="Arial" w:hint="eastAsia"/>
          <w:color w:val="0D0D0D" w:themeColor="text1" w:themeTint="F2"/>
          <w:szCs w:val="21"/>
        </w:rPr>
        <w:t>等</w:t>
      </w:r>
      <w:r w:rsidRPr="00B56A57">
        <w:rPr>
          <w:rFonts w:asciiTheme="minorEastAsia" w:hAnsiTheme="minorEastAsia" w:hint="eastAsia"/>
          <w:color w:val="0D0D0D" w:themeColor="text1" w:themeTint="F2"/>
        </w:rPr>
        <w:t>业务规则；</w:t>
      </w:r>
    </w:p>
    <w:p w14:paraId="6E2EA1B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17）</w:t>
      </w:r>
      <w:r w:rsidRPr="00B56A57">
        <w:rPr>
          <w:rFonts w:asciiTheme="minorEastAsia" w:hAnsiTheme="minorEastAsia" w:hint="eastAsia"/>
          <w:color w:val="0D0D0D" w:themeColor="text1" w:themeTint="F2"/>
        </w:rPr>
        <w:t>法律法规及中国证监会规定的和《基金合同》约定的其他权利。</w:t>
      </w:r>
    </w:p>
    <w:p w14:paraId="0DFE7E3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、根据《基金法》、《运作办法》及其他有关规定，基金管理人的义务包括但不限于：</w:t>
      </w:r>
    </w:p>
    <w:p w14:paraId="773DA9C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）依法募集资金，办理或者委托经中国证监会认定的其他机构代为办理基金份额的发售、申购、赎回和登记事宜；</w:t>
      </w:r>
    </w:p>
    <w:p w14:paraId="13A6F2F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）办理基金备案手续；</w:t>
      </w:r>
    </w:p>
    <w:p w14:paraId="06C2AB2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）自《基金合同》生效之日起</w:t>
      </w:r>
      <w:r w:rsidRPr="00B56A57">
        <w:rPr>
          <w:rFonts w:asciiTheme="minorEastAsia" w:eastAsiaTheme="minorEastAsia" w:hAnsiTheme="minorEastAsia" w:cs="Arial" w:hint="eastAsia"/>
          <w:color w:val="0D0D0D" w:themeColor="text1" w:themeTint="F2"/>
          <w:szCs w:val="21"/>
        </w:rPr>
        <w:t>，</w:t>
      </w:r>
      <w:r w:rsidRPr="00B56A57">
        <w:rPr>
          <w:rFonts w:asciiTheme="minorEastAsia" w:hAnsiTheme="minorEastAsia" w:hint="eastAsia"/>
          <w:color w:val="0D0D0D" w:themeColor="text1" w:themeTint="F2"/>
        </w:rPr>
        <w:t>以诚实信用、谨慎勤勉的原则管理和运用基金财产；</w:t>
      </w:r>
    </w:p>
    <w:p w14:paraId="752C68A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lastRenderedPageBreak/>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）配备足够的具有专业资格的人员进行基金投资分析、决策，以专业化的经营方式管理和运作基金财产；</w:t>
      </w:r>
    </w:p>
    <w:p w14:paraId="43B6DF8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）建立健全内部风险控制、监察与稽核、财务管理及人事管理等制度，保证所管理的基金财产和基金管理人的财产相互独立</w:t>
      </w:r>
      <w:r w:rsidRPr="00B56A57">
        <w:rPr>
          <w:rFonts w:asciiTheme="minorEastAsia" w:eastAsiaTheme="minorEastAsia" w:hAnsiTheme="minorEastAsia" w:cs="Arial" w:hint="eastAsia"/>
          <w:color w:val="0D0D0D" w:themeColor="text1" w:themeTint="F2"/>
          <w:szCs w:val="21"/>
        </w:rPr>
        <w:t>，</w:t>
      </w:r>
      <w:r w:rsidRPr="00B56A57">
        <w:rPr>
          <w:rFonts w:asciiTheme="minorEastAsia" w:hAnsiTheme="minorEastAsia" w:hint="eastAsia"/>
          <w:color w:val="0D0D0D" w:themeColor="text1" w:themeTint="F2"/>
        </w:rPr>
        <w:t>对所管理的不同基金分别管理，分别记账，进行证券投资；</w:t>
      </w:r>
    </w:p>
    <w:p w14:paraId="59AAEFD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）除依据《基金法》、《基金合同》及其他有关规定外</w:t>
      </w:r>
      <w:r w:rsidRPr="00B56A57">
        <w:rPr>
          <w:rFonts w:asciiTheme="minorEastAsia" w:eastAsiaTheme="minorEastAsia" w:hAnsiTheme="minorEastAsia" w:cs="Arial" w:hint="eastAsia"/>
          <w:color w:val="0D0D0D" w:themeColor="text1" w:themeTint="F2"/>
          <w:szCs w:val="21"/>
        </w:rPr>
        <w:t>，</w:t>
      </w:r>
      <w:r w:rsidRPr="00B56A57">
        <w:rPr>
          <w:rFonts w:asciiTheme="minorEastAsia" w:hAnsiTheme="minorEastAsia" w:hint="eastAsia"/>
          <w:color w:val="0D0D0D" w:themeColor="text1" w:themeTint="F2"/>
        </w:rPr>
        <w:t>不得利用基金财产为自己及任何第三人谋取利益，不得委托第三人运作基金财产；</w:t>
      </w:r>
    </w:p>
    <w:p w14:paraId="0DBF560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）依法接受基金托管人的监督；</w:t>
      </w:r>
    </w:p>
    <w:p w14:paraId="0055403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8</w:t>
      </w:r>
      <w:r w:rsidRPr="00B56A57">
        <w:rPr>
          <w:rFonts w:asciiTheme="minorEastAsia" w:hAnsiTheme="minorEastAsia" w:hint="eastAsia"/>
          <w:color w:val="0D0D0D" w:themeColor="text1" w:themeTint="F2"/>
        </w:rPr>
        <w:t>）采取适当合理的措施使计算基金份额认购</w:t>
      </w:r>
      <w:r w:rsidRPr="00B56A57">
        <w:rPr>
          <w:rFonts w:asciiTheme="minorEastAsia" w:eastAsiaTheme="minorEastAsia" w:hAnsiTheme="minorEastAsia" w:hint="eastAsia"/>
          <w:color w:val="0D0D0D" w:themeColor="text1" w:themeTint="F2"/>
        </w:rPr>
        <w:t>价格</w:t>
      </w:r>
      <w:r w:rsidRPr="00B56A57">
        <w:rPr>
          <w:rFonts w:asciiTheme="minorEastAsia" w:hAnsiTheme="minorEastAsia" w:hint="eastAsia"/>
          <w:color w:val="0D0D0D" w:themeColor="text1" w:themeTint="F2"/>
        </w:rPr>
        <w:t>、申购</w:t>
      </w:r>
      <w:r w:rsidRPr="00B56A57">
        <w:rPr>
          <w:rFonts w:asciiTheme="minorEastAsia" w:eastAsiaTheme="minorEastAsia" w:hAnsiTheme="minorEastAsia" w:hint="eastAsia"/>
          <w:color w:val="0D0D0D" w:themeColor="text1" w:themeTint="F2"/>
        </w:rPr>
        <w:t>对价</w:t>
      </w:r>
      <w:r w:rsidRPr="00B56A57">
        <w:rPr>
          <w:rFonts w:asciiTheme="minorEastAsia" w:hAnsiTheme="minorEastAsia" w:hint="eastAsia"/>
          <w:color w:val="0D0D0D" w:themeColor="text1" w:themeTint="F2"/>
        </w:rPr>
        <w:t>、赎回</w:t>
      </w:r>
      <w:r w:rsidRPr="00B56A57">
        <w:rPr>
          <w:rFonts w:asciiTheme="minorEastAsia" w:eastAsiaTheme="minorEastAsia" w:hAnsiTheme="minorEastAsia" w:hint="eastAsia"/>
          <w:color w:val="0D0D0D" w:themeColor="text1" w:themeTint="F2"/>
        </w:rPr>
        <w:t>对价</w:t>
      </w:r>
      <w:r w:rsidRPr="00B56A57">
        <w:rPr>
          <w:rFonts w:asciiTheme="minorEastAsia" w:hAnsiTheme="minorEastAsia" w:hint="eastAsia"/>
          <w:color w:val="0D0D0D" w:themeColor="text1" w:themeTint="F2"/>
        </w:rPr>
        <w:t>的方法符合《基金合同》等法律文件的规定，按有关规定计算并公告基金净值信息，确定基金份额申购、赎回</w:t>
      </w:r>
      <w:r w:rsidRPr="00B56A57">
        <w:rPr>
          <w:rFonts w:asciiTheme="minorEastAsia" w:eastAsiaTheme="minorEastAsia" w:hAnsiTheme="minorEastAsia" w:hint="eastAsia"/>
          <w:color w:val="0D0D0D" w:themeColor="text1" w:themeTint="F2"/>
        </w:rPr>
        <w:t>对价，编制申购赎回清单</w:t>
      </w:r>
      <w:r w:rsidRPr="00B56A57">
        <w:rPr>
          <w:rFonts w:asciiTheme="minorEastAsia" w:hAnsiTheme="minorEastAsia" w:hint="eastAsia"/>
          <w:color w:val="0D0D0D" w:themeColor="text1" w:themeTint="F2"/>
        </w:rPr>
        <w:t>；</w:t>
      </w:r>
    </w:p>
    <w:p w14:paraId="618D2B6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9</w:t>
      </w:r>
      <w:r w:rsidRPr="00B56A57">
        <w:rPr>
          <w:rFonts w:asciiTheme="minorEastAsia" w:hAnsiTheme="minorEastAsia" w:hint="eastAsia"/>
          <w:color w:val="0D0D0D" w:themeColor="text1" w:themeTint="F2"/>
        </w:rPr>
        <w:t>）进行基金会计核算并编制基金财务会计报告；</w:t>
      </w:r>
    </w:p>
    <w:p w14:paraId="7FC651A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）编制季度报告、中期报告和年度报告；</w:t>
      </w:r>
    </w:p>
    <w:p w14:paraId="76374FF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11</w:t>
      </w:r>
      <w:r w:rsidRPr="00B56A57">
        <w:rPr>
          <w:rFonts w:asciiTheme="minorEastAsia" w:hAnsiTheme="minorEastAsia" w:hint="eastAsia"/>
          <w:color w:val="0D0D0D" w:themeColor="text1" w:themeTint="F2"/>
        </w:rPr>
        <w:t>）严格按照《基金法》、《基金合同》及其他有关规定，履行信息披露及报告义务；</w:t>
      </w:r>
    </w:p>
    <w:p w14:paraId="430421A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12</w:t>
      </w:r>
      <w:r w:rsidRPr="00B56A57">
        <w:rPr>
          <w:rFonts w:asciiTheme="minorEastAsia" w:hAnsiTheme="minorEastAsia" w:hint="eastAsia"/>
          <w:color w:val="0D0D0D" w:themeColor="text1" w:themeTint="F2"/>
        </w:rPr>
        <w:t>）保守基金商业秘密，不泄露基金投资计划、投资意向等。除《基金法》、《基金合同》及其他有关规定另有规定外，在基金信息公开披露前应予保密，不向他人泄露，向审计、法律等外部专业顾问提供的情况除外；</w:t>
      </w:r>
    </w:p>
    <w:p w14:paraId="108B086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13</w:t>
      </w:r>
      <w:r w:rsidRPr="00B56A57">
        <w:rPr>
          <w:rFonts w:asciiTheme="minorEastAsia" w:hAnsiTheme="minorEastAsia" w:hint="eastAsia"/>
          <w:color w:val="0D0D0D" w:themeColor="text1" w:themeTint="F2"/>
        </w:rPr>
        <w:t>）按《基金合同》的约定确定基金收益分配方案，及时向基金份额持有人分配基金收益；</w:t>
      </w:r>
    </w:p>
    <w:p w14:paraId="40CE85B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14</w:t>
      </w:r>
      <w:r w:rsidRPr="00B56A57">
        <w:rPr>
          <w:rFonts w:asciiTheme="minorEastAsia" w:hAnsiTheme="minorEastAsia" w:hint="eastAsia"/>
          <w:color w:val="0D0D0D" w:themeColor="text1" w:themeTint="F2"/>
        </w:rPr>
        <w:t>）按规定受理申购与赎回申请，及时、足额支付赎回</w:t>
      </w:r>
      <w:r w:rsidRPr="00B56A57">
        <w:rPr>
          <w:rFonts w:asciiTheme="minorEastAsia" w:eastAsiaTheme="minorEastAsia" w:hAnsiTheme="minorEastAsia" w:cs="Arial" w:hint="eastAsia"/>
          <w:color w:val="0D0D0D" w:themeColor="text1" w:themeTint="F2"/>
          <w:szCs w:val="21"/>
        </w:rPr>
        <w:t>对价</w:t>
      </w:r>
      <w:r w:rsidRPr="00B56A57">
        <w:rPr>
          <w:rFonts w:asciiTheme="minorEastAsia" w:hAnsiTheme="minorEastAsia" w:hint="eastAsia"/>
          <w:color w:val="0D0D0D" w:themeColor="text1" w:themeTint="F2"/>
        </w:rPr>
        <w:t>；</w:t>
      </w:r>
    </w:p>
    <w:p w14:paraId="4DEC10E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15</w:t>
      </w:r>
      <w:r w:rsidRPr="00B56A57">
        <w:rPr>
          <w:rFonts w:asciiTheme="minorEastAsia" w:hAnsiTheme="minorEastAsia" w:hint="eastAsia"/>
          <w:color w:val="0D0D0D" w:themeColor="text1" w:themeTint="F2"/>
        </w:rPr>
        <w:t>）依据《基金法》、《基金合同》及其他有关规定召集基金份额持有人大会或配合基金托管人、基金份额持有人依法召集基金份额持有人大会；</w:t>
      </w:r>
    </w:p>
    <w:p w14:paraId="74511E7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16</w:t>
      </w:r>
      <w:r w:rsidRPr="00B56A57">
        <w:rPr>
          <w:rFonts w:asciiTheme="minorEastAsia" w:hAnsiTheme="minorEastAsia" w:hint="eastAsia"/>
          <w:color w:val="0D0D0D" w:themeColor="text1" w:themeTint="F2"/>
        </w:rPr>
        <w:t>）按规定保存基金财产管理业务活动的会计账册、报表、记录和其他相关资料，保存期限不低于法律法规规定的最低期限；</w:t>
      </w:r>
    </w:p>
    <w:p w14:paraId="670AD66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17</w:t>
      </w:r>
      <w:r w:rsidRPr="00B56A57">
        <w:rPr>
          <w:rFonts w:asciiTheme="minorEastAsia" w:hAnsiTheme="minorEastAsia" w:hint="eastAsia"/>
          <w:color w:val="0D0D0D" w:themeColor="text1" w:themeTint="F2"/>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5D0348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18</w:t>
      </w:r>
      <w:r w:rsidRPr="00B56A57">
        <w:rPr>
          <w:rFonts w:asciiTheme="minorEastAsia" w:hAnsiTheme="minorEastAsia" w:hint="eastAsia"/>
          <w:color w:val="0D0D0D" w:themeColor="text1" w:themeTint="F2"/>
        </w:rPr>
        <w:t>）组织并参加基金财产清算小组</w:t>
      </w:r>
      <w:r w:rsidRPr="00B56A57">
        <w:rPr>
          <w:rFonts w:asciiTheme="minorEastAsia" w:eastAsiaTheme="minorEastAsia" w:hAnsiTheme="minorEastAsia" w:cs="Arial" w:hint="eastAsia"/>
          <w:color w:val="0D0D0D" w:themeColor="text1" w:themeTint="F2"/>
          <w:szCs w:val="21"/>
        </w:rPr>
        <w:t>，</w:t>
      </w:r>
      <w:r w:rsidRPr="00B56A57">
        <w:rPr>
          <w:rFonts w:asciiTheme="minorEastAsia" w:hAnsiTheme="minorEastAsia" w:hint="eastAsia"/>
          <w:color w:val="0D0D0D" w:themeColor="text1" w:themeTint="F2"/>
        </w:rPr>
        <w:t>参与基金财产的保管、清理、估价、变现和分配；</w:t>
      </w:r>
    </w:p>
    <w:p w14:paraId="3F7B728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19</w:t>
      </w:r>
      <w:r w:rsidRPr="00B56A57">
        <w:rPr>
          <w:rFonts w:asciiTheme="minorEastAsia" w:hAnsiTheme="minorEastAsia" w:hint="eastAsia"/>
          <w:color w:val="0D0D0D" w:themeColor="text1" w:themeTint="F2"/>
        </w:rPr>
        <w:t>）面临解散、依法被撤销或者被依法宣告破产时，及时报告中国证监会并通知基金托管人；</w:t>
      </w:r>
    </w:p>
    <w:p w14:paraId="7DE5CFA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20</w:t>
      </w:r>
      <w:r w:rsidRPr="00B56A57">
        <w:rPr>
          <w:rFonts w:asciiTheme="minorEastAsia" w:hAnsiTheme="minorEastAsia" w:hint="eastAsia"/>
          <w:color w:val="0D0D0D" w:themeColor="text1" w:themeTint="F2"/>
        </w:rPr>
        <w:t>）因违反《基金合同》导致基金财产的损失或损害基金份额持有人合法权益时，应当承担赔偿责任，其赔偿责任不因其退任而免除；</w:t>
      </w:r>
    </w:p>
    <w:p w14:paraId="745C2A5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lastRenderedPageBreak/>
        <w:t>（</w:t>
      </w:r>
      <w:r w:rsidRPr="00B56A57">
        <w:rPr>
          <w:rFonts w:asciiTheme="minorEastAsia" w:hAnsiTheme="minorEastAsia"/>
          <w:color w:val="0D0D0D" w:themeColor="text1" w:themeTint="F2"/>
        </w:rPr>
        <w:t>21</w:t>
      </w:r>
      <w:r w:rsidRPr="00B56A57">
        <w:rPr>
          <w:rFonts w:asciiTheme="minorEastAsia" w:hAnsiTheme="minorEastAsia" w:hint="eastAsia"/>
          <w:color w:val="0D0D0D" w:themeColor="text1" w:themeTint="F2"/>
        </w:rPr>
        <w:t>）监督基金托管人按法律法规和《基金合同》规定履行自己的义务，基金托管人违反《基金合同》造成基金财产损失时，基金管理人应为基金份额持有人利益向基金托管人追偿；</w:t>
      </w:r>
    </w:p>
    <w:p w14:paraId="0ED1EC7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22</w:t>
      </w:r>
      <w:r w:rsidRPr="00B56A57">
        <w:rPr>
          <w:rFonts w:asciiTheme="minorEastAsia" w:hAnsiTheme="minorEastAsia" w:hint="eastAsia"/>
          <w:color w:val="0D0D0D" w:themeColor="text1" w:themeTint="F2"/>
        </w:rPr>
        <w:t>）当基金管理人将其义务委托第三方处理时，应当对第三方处理有关基金事务的行为承担责任；</w:t>
      </w:r>
    </w:p>
    <w:p w14:paraId="266900A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23</w:t>
      </w:r>
      <w:r w:rsidRPr="00B56A57">
        <w:rPr>
          <w:rFonts w:asciiTheme="minorEastAsia" w:hAnsiTheme="minorEastAsia" w:hint="eastAsia"/>
          <w:color w:val="0D0D0D" w:themeColor="text1" w:themeTint="F2"/>
        </w:rPr>
        <w:t>）以基金管理人名义，代表基金份额持有人利益行使诉讼权利或实施其他法律行为；</w:t>
      </w:r>
    </w:p>
    <w:p w14:paraId="254B9ADB"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24）基金管理人在募集期间未能达到基金的备案条件，《基金合同》不能生效，基金管理人承担全部募集费用，将已募集资金并加计银行同期</w:t>
      </w:r>
      <w:r w:rsidRPr="00B56A57">
        <w:rPr>
          <w:rFonts w:asciiTheme="minorEastAsia" w:eastAsiaTheme="minorEastAsia" w:hAnsiTheme="minorEastAsia" w:hint="eastAsia"/>
          <w:szCs w:val="21"/>
        </w:rPr>
        <w:t>活期存款</w:t>
      </w:r>
      <w:r w:rsidRPr="00B56A57">
        <w:rPr>
          <w:rFonts w:asciiTheme="minorEastAsia" w:hAnsiTheme="minorEastAsia" w:hint="eastAsia"/>
        </w:rPr>
        <w:t>利息在基金募集期结束后</w:t>
      </w:r>
      <w:r w:rsidRPr="00B56A57">
        <w:rPr>
          <w:rFonts w:asciiTheme="minorEastAsia" w:hAnsiTheme="minorEastAsia"/>
        </w:rPr>
        <w:t>30</w:t>
      </w:r>
      <w:r w:rsidRPr="00B56A57">
        <w:rPr>
          <w:rFonts w:asciiTheme="minorEastAsia" w:hAnsiTheme="minorEastAsia" w:hint="eastAsia"/>
        </w:rPr>
        <w:t>日内退还基金认购人；</w:t>
      </w:r>
    </w:p>
    <w:p w14:paraId="60808B4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25</w:t>
      </w:r>
      <w:r w:rsidRPr="00B56A57">
        <w:rPr>
          <w:rFonts w:asciiTheme="minorEastAsia" w:hAnsiTheme="minorEastAsia" w:hint="eastAsia"/>
          <w:color w:val="0D0D0D" w:themeColor="text1" w:themeTint="F2"/>
        </w:rPr>
        <w:t>）执行生效的基金份额持有人大会的决议；</w:t>
      </w:r>
    </w:p>
    <w:p w14:paraId="3E6B830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26</w:t>
      </w:r>
      <w:r w:rsidRPr="00B56A57">
        <w:rPr>
          <w:rFonts w:asciiTheme="minorEastAsia" w:hAnsiTheme="minorEastAsia" w:hint="eastAsia"/>
          <w:color w:val="0D0D0D" w:themeColor="text1" w:themeTint="F2"/>
        </w:rPr>
        <w:t>）建立并保存基金份额持有人名册；</w:t>
      </w:r>
    </w:p>
    <w:p w14:paraId="3D8E566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27</w:t>
      </w:r>
      <w:r w:rsidRPr="00B56A57">
        <w:rPr>
          <w:rFonts w:asciiTheme="minorEastAsia" w:hAnsiTheme="minorEastAsia" w:hint="eastAsia"/>
          <w:color w:val="0D0D0D" w:themeColor="text1" w:themeTint="F2"/>
        </w:rPr>
        <w:t>）法律法规及中国证监会规定的和《基金合同》约定的其他义务。</w:t>
      </w:r>
    </w:p>
    <w:p w14:paraId="18962D87"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rPr>
        <w:t>（</w:t>
      </w:r>
      <w:r w:rsidRPr="00B56A57">
        <w:rPr>
          <w:rFonts w:asciiTheme="minorEastAsia" w:eastAsiaTheme="minorEastAsia" w:hAnsiTheme="minorEastAsia" w:hint="eastAsia"/>
        </w:rPr>
        <w:t>三</w:t>
      </w:r>
      <w:r w:rsidRPr="00B56A57">
        <w:rPr>
          <w:rFonts w:asciiTheme="minorEastAsia" w:eastAsiaTheme="minorEastAsia" w:hAnsiTheme="minorEastAsia"/>
        </w:rPr>
        <w:t>）</w:t>
      </w:r>
      <w:r w:rsidRPr="00B56A57">
        <w:rPr>
          <w:rFonts w:asciiTheme="minorEastAsia" w:eastAsiaTheme="minorEastAsia" w:hAnsiTheme="minorEastAsia"/>
        </w:rPr>
        <w:tab/>
        <w:t>基金托管人的权利与义务</w:t>
      </w:r>
    </w:p>
    <w:p w14:paraId="545D41A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、根据《基金法》、《运作办法》及其他有关规定，基金托管人的权利包括但不限于：</w:t>
      </w:r>
    </w:p>
    <w:p w14:paraId="18AD551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）自《基金合同》生效之日起，依法律法规和《基金合同》的规定安全保管基金财产；</w:t>
      </w:r>
    </w:p>
    <w:p w14:paraId="4CA5A1D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）依《基金合同》约定获得基金托管费以及法律法规规定或监管部门批准的其他费用；</w:t>
      </w:r>
    </w:p>
    <w:p w14:paraId="093E196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E60968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）根据相关市场规则，为基金开设</w:t>
      </w:r>
      <w:r w:rsidRPr="00B56A57">
        <w:rPr>
          <w:rFonts w:asciiTheme="minorEastAsia" w:eastAsiaTheme="minorEastAsia" w:hAnsiTheme="minorEastAsia" w:cs="Arial" w:hint="eastAsia"/>
          <w:color w:val="0D0D0D" w:themeColor="text1" w:themeTint="F2"/>
          <w:szCs w:val="21"/>
        </w:rPr>
        <w:t>资金账户、</w:t>
      </w:r>
      <w:r w:rsidRPr="00B56A57">
        <w:rPr>
          <w:rFonts w:asciiTheme="minorEastAsia" w:hAnsiTheme="minorEastAsia" w:hint="eastAsia"/>
          <w:color w:val="0D0D0D" w:themeColor="text1" w:themeTint="F2"/>
        </w:rPr>
        <w:t>证券账户等投资所需账户</w:t>
      </w:r>
      <w:r w:rsidRPr="00B56A57">
        <w:rPr>
          <w:rFonts w:asciiTheme="minorEastAsia" w:eastAsiaTheme="minorEastAsia" w:hAnsiTheme="minorEastAsia" w:cs="Arial" w:hint="eastAsia"/>
          <w:color w:val="0D0D0D" w:themeColor="text1" w:themeTint="F2"/>
          <w:szCs w:val="21"/>
        </w:rPr>
        <w:t>，</w:t>
      </w:r>
      <w:r w:rsidRPr="00B56A57">
        <w:rPr>
          <w:rFonts w:asciiTheme="minorEastAsia" w:hAnsiTheme="minorEastAsia" w:hint="eastAsia"/>
          <w:color w:val="0D0D0D" w:themeColor="text1" w:themeTint="F2"/>
        </w:rPr>
        <w:t>为基金办理证券交易资金清算</w:t>
      </w:r>
      <w:r w:rsidRPr="00B56A57">
        <w:rPr>
          <w:rFonts w:asciiTheme="minorEastAsia" w:eastAsiaTheme="minorEastAsia" w:hAnsiTheme="minorEastAsia" w:cs="Arial" w:hint="eastAsia"/>
          <w:color w:val="0D0D0D" w:themeColor="text1" w:themeTint="F2"/>
          <w:szCs w:val="21"/>
        </w:rPr>
        <w:t>；</w:t>
      </w:r>
    </w:p>
    <w:p w14:paraId="4A7A746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）提议召开或召集基金份额持有人大会；</w:t>
      </w:r>
    </w:p>
    <w:p w14:paraId="56D1882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）在基金管理人更换时，提名新的基金管理人；</w:t>
      </w:r>
    </w:p>
    <w:p w14:paraId="3F62665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）法律法规及中国证监会规定的和《基金合同》约定的其他权利。</w:t>
      </w:r>
    </w:p>
    <w:p w14:paraId="3CFBF2D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、根据《基金法》、《运作办法》及其他有关规定，基金托管人的义务包括但不限于：</w:t>
      </w:r>
    </w:p>
    <w:p w14:paraId="289FEB8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）以诚实信用、勤勉尽责的原则持有并安全保管基金财产；</w:t>
      </w:r>
    </w:p>
    <w:p w14:paraId="1A1BC0E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）设立专门的基金托管部门，具有符合要求的营业场所，配备足够的、合格的熟悉基金托管业务的专职人员，负责基金财产托管事宜；</w:t>
      </w:r>
    </w:p>
    <w:p w14:paraId="35C471D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C4F9AE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）除依据《基金法》、《基金合同》及其他有关规定外，不得利用基金财产为自己及任何</w:t>
      </w:r>
      <w:r w:rsidRPr="00B56A57">
        <w:rPr>
          <w:rFonts w:asciiTheme="minorEastAsia" w:hAnsiTheme="minorEastAsia" w:hint="eastAsia"/>
          <w:color w:val="0D0D0D" w:themeColor="text1" w:themeTint="F2"/>
        </w:rPr>
        <w:lastRenderedPageBreak/>
        <w:t>第三人谋取利益，不得委托第三人托管基金财产；</w:t>
      </w:r>
    </w:p>
    <w:p w14:paraId="24F71F7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）保管由基金管理人代表基金签订的与基金有关的重大合同及有关凭证；</w:t>
      </w:r>
    </w:p>
    <w:p w14:paraId="377EAF8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）按规定开设基金财产的资金账户和证券账户等投资所需账户</w:t>
      </w:r>
      <w:r w:rsidRPr="00B56A57">
        <w:rPr>
          <w:rFonts w:asciiTheme="minorEastAsia" w:eastAsiaTheme="minorEastAsia" w:hAnsiTheme="minorEastAsia" w:cs="Arial" w:hint="eastAsia"/>
          <w:color w:val="0D0D0D" w:themeColor="text1" w:themeTint="F2"/>
          <w:szCs w:val="21"/>
        </w:rPr>
        <w:t>，</w:t>
      </w:r>
      <w:r w:rsidRPr="00B56A57">
        <w:rPr>
          <w:rFonts w:asciiTheme="minorEastAsia" w:hAnsiTheme="minorEastAsia" w:hint="eastAsia"/>
          <w:color w:val="0D0D0D" w:themeColor="text1" w:themeTint="F2"/>
        </w:rPr>
        <w:t>按照《基金合同》的约定，根据基金管理人的投资指令，及时办理清算、交割事宜；</w:t>
      </w:r>
    </w:p>
    <w:p w14:paraId="1220E10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）保守基金商业秘密，除《基金法》、《基金合同》及其他有关规定另有规定外，在基金信息公开披露前予以保密，不得向他人泄露，向审计、法律等外部专业顾问提供的情况除外；</w:t>
      </w:r>
    </w:p>
    <w:p w14:paraId="1266981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8</w:t>
      </w:r>
      <w:r w:rsidRPr="00B56A57">
        <w:rPr>
          <w:rFonts w:asciiTheme="minorEastAsia" w:hAnsiTheme="minorEastAsia" w:hint="eastAsia"/>
          <w:color w:val="0D0D0D" w:themeColor="text1" w:themeTint="F2"/>
        </w:rPr>
        <w:t>）复核、审查基金管理人计算的基金资产净值、基金份额净值、基金份额申购、赎回</w:t>
      </w:r>
      <w:r w:rsidRPr="00B56A57">
        <w:rPr>
          <w:rFonts w:asciiTheme="minorEastAsia" w:eastAsiaTheme="minorEastAsia" w:hAnsiTheme="minorEastAsia" w:cs="Arial" w:hint="eastAsia"/>
          <w:color w:val="0D0D0D" w:themeColor="text1" w:themeTint="F2"/>
          <w:szCs w:val="21"/>
        </w:rPr>
        <w:t>对价</w:t>
      </w:r>
      <w:r w:rsidRPr="00B56A57">
        <w:rPr>
          <w:rFonts w:asciiTheme="minorEastAsia" w:hAnsiTheme="minorEastAsia" w:hint="eastAsia"/>
          <w:color w:val="0D0D0D" w:themeColor="text1" w:themeTint="F2"/>
        </w:rPr>
        <w:t>；</w:t>
      </w:r>
    </w:p>
    <w:p w14:paraId="04E5D1E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9</w:t>
      </w:r>
      <w:r w:rsidRPr="00B56A57">
        <w:rPr>
          <w:rFonts w:asciiTheme="minorEastAsia" w:hAnsiTheme="minorEastAsia" w:hint="eastAsia"/>
          <w:color w:val="0D0D0D" w:themeColor="text1" w:themeTint="F2"/>
        </w:rPr>
        <w:t>）办理与基金托管业务活动有关的信息披露事项；</w:t>
      </w:r>
    </w:p>
    <w:p w14:paraId="7FB21DB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F2B32B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11</w:t>
      </w:r>
      <w:r w:rsidRPr="00B56A57">
        <w:rPr>
          <w:rFonts w:asciiTheme="minorEastAsia" w:hAnsiTheme="minorEastAsia" w:hint="eastAsia"/>
          <w:color w:val="0D0D0D" w:themeColor="text1" w:themeTint="F2"/>
        </w:rPr>
        <w:t>）保存基金托管业务活动的记录、账册、报表和其他相关资料</w:t>
      </w:r>
      <w:r w:rsidRPr="00B56A57">
        <w:rPr>
          <w:rFonts w:asciiTheme="minorEastAsia" w:hAnsiTheme="minorEastAsia"/>
          <w:color w:val="0D0D0D" w:themeColor="text1" w:themeTint="F2"/>
        </w:rPr>
        <w:t>20年以上，法律法规或监管规则另有规定的从其规定；</w:t>
      </w:r>
    </w:p>
    <w:p w14:paraId="6746C2F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12</w:t>
      </w:r>
      <w:r w:rsidRPr="00B56A57">
        <w:rPr>
          <w:rFonts w:asciiTheme="minorEastAsia" w:hAnsiTheme="minorEastAsia" w:hint="eastAsia"/>
          <w:color w:val="0D0D0D" w:themeColor="text1" w:themeTint="F2"/>
        </w:rPr>
        <w:t>）从基金管理人或其委托的登记机构处接收并保存基金份额持有人名册；</w:t>
      </w:r>
    </w:p>
    <w:p w14:paraId="20B382F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13</w:t>
      </w:r>
      <w:r w:rsidRPr="00B56A57">
        <w:rPr>
          <w:rFonts w:asciiTheme="minorEastAsia" w:hAnsiTheme="minorEastAsia" w:hint="eastAsia"/>
          <w:color w:val="0D0D0D" w:themeColor="text1" w:themeTint="F2"/>
        </w:rPr>
        <w:t>）按规定制作相关账册并与基金管理人核对；</w:t>
      </w:r>
    </w:p>
    <w:p w14:paraId="21B4C8E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14</w:t>
      </w:r>
      <w:r w:rsidRPr="00B56A57">
        <w:rPr>
          <w:rFonts w:asciiTheme="minorEastAsia" w:hAnsiTheme="minorEastAsia" w:hint="eastAsia"/>
          <w:color w:val="0D0D0D" w:themeColor="text1" w:themeTint="F2"/>
        </w:rPr>
        <w:t>）依据基金管理人的指令或有关规定向基金份额持有人支付基金收益和赎回</w:t>
      </w:r>
      <w:r w:rsidRPr="00B56A57">
        <w:rPr>
          <w:rFonts w:asciiTheme="minorEastAsia" w:eastAsiaTheme="minorEastAsia" w:hAnsiTheme="minorEastAsia" w:cs="Arial" w:hint="eastAsia"/>
          <w:color w:val="0D0D0D" w:themeColor="text1" w:themeTint="F2"/>
          <w:szCs w:val="21"/>
        </w:rPr>
        <w:t>对价的现金部分</w:t>
      </w:r>
      <w:r w:rsidRPr="00B56A57">
        <w:rPr>
          <w:rFonts w:asciiTheme="minorEastAsia" w:hAnsiTheme="minorEastAsia" w:hint="eastAsia"/>
          <w:color w:val="0D0D0D" w:themeColor="text1" w:themeTint="F2"/>
        </w:rPr>
        <w:t>；</w:t>
      </w:r>
    </w:p>
    <w:p w14:paraId="2F8CFB9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15</w:t>
      </w:r>
      <w:r w:rsidRPr="00B56A57">
        <w:rPr>
          <w:rFonts w:asciiTheme="minorEastAsia" w:hAnsiTheme="minorEastAsia" w:hint="eastAsia"/>
          <w:color w:val="0D0D0D" w:themeColor="text1" w:themeTint="F2"/>
        </w:rPr>
        <w:t>）依据《基金法》、《基金合同》及其他有关规定，召集基金份额持有人大会或配合基金</w:t>
      </w:r>
      <w:r w:rsidRPr="00B56A57">
        <w:rPr>
          <w:rFonts w:asciiTheme="minorEastAsia" w:eastAsiaTheme="minorEastAsia" w:hAnsiTheme="minorEastAsia" w:cs="Arial" w:hint="eastAsia"/>
          <w:color w:val="0D0D0D" w:themeColor="text1" w:themeTint="F2"/>
          <w:szCs w:val="21"/>
        </w:rPr>
        <w:t>管理人、</w:t>
      </w:r>
      <w:r w:rsidRPr="00B56A57">
        <w:rPr>
          <w:rFonts w:asciiTheme="minorEastAsia" w:eastAsiaTheme="minorEastAsia" w:hAnsiTheme="minorEastAsia" w:hint="eastAsia"/>
          <w:color w:val="0D0D0D" w:themeColor="text1" w:themeTint="F2"/>
        </w:rPr>
        <w:t>基金</w:t>
      </w:r>
      <w:r w:rsidRPr="00B56A57">
        <w:rPr>
          <w:rFonts w:asciiTheme="minorEastAsia" w:hAnsiTheme="minorEastAsia" w:hint="eastAsia"/>
          <w:color w:val="0D0D0D" w:themeColor="text1" w:themeTint="F2"/>
        </w:rPr>
        <w:t>份额持有人依法召集基金份额持有人大会；</w:t>
      </w:r>
    </w:p>
    <w:p w14:paraId="4E9CEBB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16</w:t>
      </w:r>
      <w:r w:rsidRPr="00B56A57">
        <w:rPr>
          <w:rFonts w:asciiTheme="minorEastAsia" w:hAnsiTheme="minorEastAsia" w:hint="eastAsia"/>
          <w:color w:val="0D0D0D" w:themeColor="text1" w:themeTint="F2"/>
        </w:rPr>
        <w:t>）按照法律法规和《基金合同》和托管协议的规定监督基金管理人的投资运作；</w:t>
      </w:r>
    </w:p>
    <w:p w14:paraId="750B516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17</w:t>
      </w:r>
      <w:r w:rsidRPr="00B56A57">
        <w:rPr>
          <w:rFonts w:asciiTheme="minorEastAsia" w:hAnsiTheme="minorEastAsia" w:hint="eastAsia"/>
          <w:color w:val="0D0D0D" w:themeColor="text1" w:themeTint="F2"/>
        </w:rPr>
        <w:t>）参加基金财产清算小组，参与基金财产的保管、清理、估价、变现和分配；</w:t>
      </w:r>
    </w:p>
    <w:p w14:paraId="4E3E9D4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18</w:t>
      </w:r>
      <w:r w:rsidRPr="00B56A57">
        <w:rPr>
          <w:rFonts w:asciiTheme="minorEastAsia" w:hAnsiTheme="minorEastAsia" w:hint="eastAsia"/>
          <w:color w:val="0D0D0D" w:themeColor="text1" w:themeTint="F2"/>
        </w:rPr>
        <w:t>）面临解散、依法被撤销或者被依法宣告破产时，及时报告中国证监会和银行业监督管理机构，并通知基金管理人；</w:t>
      </w:r>
    </w:p>
    <w:p w14:paraId="53259ED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19</w:t>
      </w:r>
      <w:r w:rsidRPr="00B56A57">
        <w:rPr>
          <w:rFonts w:asciiTheme="minorEastAsia" w:hAnsiTheme="minorEastAsia" w:hint="eastAsia"/>
          <w:color w:val="0D0D0D" w:themeColor="text1" w:themeTint="F2"/>
        </w:rPr>
        <w:t>）因违反《基金合同》导致基金财产损失时，应承担赔偿责任，其赔偿责任不因其退任而免除；</w:t>
      </w:r>
    </w:p>
    <w:p w14:paraId="654C62D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20</w:t>
      </w:r>
      <w:r w:rsidRPr="00B56A57">
        <w:rPr>
          <w:rFonts w:asciiTheme="minorEastAsia" w:hAnsiTheme="minorEastAsia" w:hint="eastAsia"/>
          <w:color w:val="0D0D0D" w:themeColor="text1" w:themeTint="F2"/>
        </w:rPr>
        <w:t>）按规定监督基金管理人按法律法规和《基金合同》规定履行自己的义务，基金管理人因违反《基金合同》造成基金财产损失时，应为基金份额持有人利益向基金管理人追偿；</w:t>
      </w:r>
    </w:p>
    <w:p w14:paraId="3E78DB2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21</w:t>
      </w:r>
      <w:r w:rsidRPr="00B56A57">
        <w:rPr>
          <w:rFonts w:asciiTheme="minorEastAsia" w:hAnsiTheme="minorEastAsia" w:hint="eastAsia"/>
          <w:color w:val="0D0D0D" w:themeColor="text1" w:themeTint="F2"/>
        </w:rPr>
        <w:t>）执行生效的基金份额持有人大会的</w:t>
      </w:r>
      <w:r w:rsidRPr="00B56A57">
        <w:rPr>
          <w:rFonts w:asciiTheme="minorEastAsia" w:eastAsiaTheme="minorEastAsia" w:hAnsiTheme="minorEastAsia" w:cs="Arial" w:hint="eastAsia"/>
          <w:color w:val="0D0D0D" w:themeColor="text1" w:themeTint="F2"/>
          <w:szCs w:val="21"/>
        </w:rPr>
        <w:t>决议</w:t>
      </w:r>
      <w:r w:rsidRPr="00B56A57">
        <w:rPr>
          <w:rFonts w:asciiTheme="minorEastAsia" w:hAnsiTheme="minorEastAsia" w:hint="eastAsia"/>
          <w:color w:val="0D0D0D" w:themeColor="text1" w:themeTint="F2"/>
        </w:rPr>
        <w:t>；</w:t>
      </w:r>
    </w:p>
    <w:p w14:paraId="3D7C231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22</w:t>
      </w:r>
      <w:r w:rsidRPr="00B56A57">
        <w:rPr>
          <w:rFonts w:asciiTheme="minorEastAsia" w:hAnsiTheme="minorEastAsia" w:hint="eastAsia"/>
          <w:color w:val="0D0D0D" w:themeColor="text1" w:themeTint="F2"/>
        </w:rPr>
        <w:t>）法律法规及中国证监会规定的和《基金合同》约定的其他义务。</w:t>
      </w:r>
    </w:p>
    <w:p w14:paraId="5E5BCEFF"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二、基金份额持有人大会召集、议事及表决的程序和规则</w:t>
      </w:r>
    </w:p>
    <w:p w14:paraId="0321071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基金份额持有人大会由基金份额持有人组成，基金份额持有人的合法授权代表有权代表基</w:t>
      </w:r>
      <w:r w:rsidRPr="00B56A57">
        <w:rPr>
          <w:rFonts w:asciiTheme="minorEastAsia" w:hAnsiTheme="minorEastAsia" w:hint="eastAsia"/>
          <w:color w:val="0D0D0D" w:themeColor="text1" w:themeTint="F2"/>
        </w:rPr>
        <w:lastRenderedPageBreak/>
        <w:t>金份额持有人出席会议并表决。基金份额持有人持有的每一基金份额拥有平等的投票权。</w:t>
      </w:r>
    </w:p>
    <w:p w14:paraId="25190FB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若以本基金为目标</w:t>
      </w:r>
      <w:r w:rsidRPr="00B56A57">
        <w:rPr>
          <w:rFonts w:asciiTheme="minorEastAsia" w:eastAsiaTheme="minorEastAsia" w:hAnsiTheme="minorEastAsia"/>
          <w:color w:val="0D0D0D" w:themeColor="text1" w:themeTint="F2"/>
        </w:rPr>
        <w:t>ETF</w:t>
      </w:r>
      <w:r w:rsidRPr="00B56A57">
        <w:rPr>
          <w:rFonts w:asciiTheme="minorEastAsia" w:eastAsiaTheme="minorEastAsia" w:hAnsiTheme="minorEastAsia" w:hint="eastAsia"/>
          <w:color w:val="0D0D0D" w:themeColor="text1" w:themeTint="F2"/>
        </w:rPr>
        <w:t>，且基金管理人和基金托管人与本基金基金管理人和基金托管人一致的联接基金的基金合同生效，鉴于本基金和联接基金的相关性，联接基金的基金份额持有人可以凭所持有的联接基金的基金份额直接出席本基金的基金份额持有人大会或者委派代表出席本基金的基金份额持有人大会并参与表决。在计算参会份额和票数时，联接基金基金份额持有人持有的享有表决权的参会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4D7D831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631B6B30"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2DEBFC1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本基金份额持有人大会不设日常机构。</w:t>
      </w:r>
    </w:p>
    <w:p w14:paraId="513398A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（一）召开事由</w:t>
      </w:r>
    </w:p>
    <w:p w14:paraId="43755B9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w:t>
      </w:r>
      <w:r w:rsidRPr="00B56A57">
        <w:rPr>
          <w:rFonts w:asciiTheme="minorEastAsia" w:eastAsiaTheme="minorEastAsia" w:hAnsiTheme="minorEastAsia" w:hint="eastAsia"/>
          <w:color w:val="0D0D0D" w:themeColor="text1" w:themeTint="F2"/>
        </w:rPr>
        <w:t>除法律法规、中国证监会和基金合同另有规定外，</w:t>
      </w:r>
      <w:r w:rsidRPr="00B56A57">
        <w:rPr>
          <w:rFonts w:asciiTheme="minorEastAsia" w:hAnsiTheme="minorEastAsia" w:hint="eastAsia"/>
          <w:color w:val="0D0D0D" w:themeColor="text1" w:themeTint="F2"/>
        </w:rPr>
        <w:t>当出现或需要决定下列事由之一的，应当召开基金份额持有人大会：</w:t>
      </w:r>
    </w:p>
    <w:p w14:paraId="0847D74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）终止《基金合同》；</w:t>
      </w:r>
    </w:p>
    <w:p w14:paraId="47195D7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）更换基金管理人；</w:t>
      </w:r>
    </w:p>
    <w:p w14:paraId="3324307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）更换基金托管人；</w:t>
      </w:r>
    </w:p>
    <w:p w14:paraId="0E643DF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）转换基金运作方式；</w:t>
      </w:r>
    </w:p>
    <w:p w14:paraId="36A911E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w:t>
      </w:r>
      <w:r w:rsidRPr="00B56A57">
        <w:rPr>
          <w:rFonts w:asciiTheme="minorEastAsia" w:eastAsiaTheme="minorEastAsia" w:hAnsiTheme="minorEastAsia" w:hint="eastAsia"/>
          <w:color w:val="0D0D0D" w:themeColor="text1" w:themeTint="F2"/>
        </w:rPr>
        <w:t>调整</w:t>
      </w:r>
      <w:r w:rsidRPr="00B56A57">
        <w:rPr>
          <w:rFonts w:asciiTheme="minorEastAsia" w:hAnsiTheme="minorEastAsia" w:hint="eastAsia"/>
          <w:color w:val="0D0D0D" w:themeColor="text1" w:themeTint="F2"/>
        </w:rPr>
        <w:t>基金管理人、基金托管人的报酬标准；</w:t>
      </w:r>
    </w:p>
    <w:p w14:paraId="0F21A6F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）变更基金类别；</w:t>
      </w:r>
    </w:p>
    <w:p w14:paraId="190EFA7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）本基金与其他基金的合并；</w:t>
      </w:r>
    </w:p>
    <w:p w14:paraId="6EAC866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8</w:t>
      </w:r>
      <w:r w:rsidRPr="00B56A57">
        <w:rPr>
          <w:rFonts w:asciiTheme="minorEastAsia" w:hAnsiTheme="minorEastAsia" w:hint="eastAsia"/>
          <w:color w:val="0D0D0D" w:themeColor="text1" w:themeTint="F2"/>
        </w:rPr>
        <w:t>）变更基金投资目标、范围或策略；</w:t>
      </w:r>
    </w:p>
    <w:p w14:paraId="6BAD9E1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9</w:t>
      </w:r>
      <w:r w:rsidRPr="00B56A57">
        <w:rPr>
          <w:rFonts w:asciiTheme="minorEastAsia" w:hAnsiTheme="minorEastAsia" w:hint="eastAsia"/>
          <w:color w:val="0D0D0D" w:themeColor="text1" w:themeTint="F2"/>
        </w:rPr>
        <w:t>）变更基金份额持有人大会程序；</w:t>
      </w:r>
    </w:p>
    <w:p w14:paraId="7E97F0C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）基金管理人或基金托管人要求召开基金份额持有人大会；</w:t>
      </w:r>
    </w:p>
    <w:p w14:paraId="25FD540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11</w:t>
      </w:r>
      <w:r w:rsidRPr="00B56A57">
        <w:rPr>
          <w:rFonts w:asciiTheme="minorEastAsia" w:hAnsiTheme="minorEastAsia" w:hint="eastAsia"/>
          <w:color w:val="0D0D0D" w:themeColor="text1" w:themeTint="F2"/>
        </w:rPr>
        <w:t>）单独或合计持有本基金总份额</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以上（含</w:t>
      </w:r>
      <w:r w:rsidRPr="00B56A57">
        <w:rPr>
          <w:rFonts w:asciiTheme="minorEastAsia" w:hAnsiTheme="minorEastAsia"/>
          <w:color w:val="0D0D0D" w:themeColor="text1" w:themeTint="F2"/>
        </w:rPr>
        <w:t>10%</w:t>
      </w:r>
      <w:r w:rsidRPr="00B56A57">
        <w:rPr>
          <w:rFonts w:asciiTheme="minorEastAsia" w:hAnsiTheme="minorEastAsia" w:hint="eastAsia"/>
          <w:color w:val="0D0D0D" w:themeColor="text1" w:themeTint="F2"/>
        </w:rPr>
        <w:t>）基金份额的基金份额持有人（以基金管理人收到提议当日的基金份额计算，下同）就同一事项书面要求召开基金份额持有人大会；</w:t>
      </w:r>
    </w:p>
    <w:p w14:paraId="028D072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lastRenderedPageBreak/>
        <w:t>（</w:t>
      </w:r>
      <w:r w:rsidRPr="00B56A57">
        <w:rPr>
          <w:rFonts w:asciiTheme="minorEastAsia" w:hAnsiTheme="minorEastAsia"/>
          <w:color w:val="0D0D0D" w:themeColor="text1" w:themeTint="F2"/>
        </w:rPr>
        <w:t>12</w:t>
      </w:r>
      <w:r w:rsidRPr="00B56A57">
        <w:rPr>
          <w:rFonts w:asciiTheme="minorEastAsia" w:hAnsiTheme="minorEastAsia" w:hint="eastAsia"/>
          <w:color w:val="0D0D0D" w:themeColor="text1" w:themeTint="F2"/>
        </w:rPr>
        <w:t>）对基金</w:t>
      </w:r>
      <w:r w:rsidRPr="00B56A57">
        <w:rPr>
          <w:rFonts w:asciiTheme="minorEastAsia" w:eastAsiaTheme="minorEastAsia" w:hAnsiTheme="minorEastAsia" w:hint="eastAsia"/>
          <w:color w:val="0D0D0D" w:themeColor="text1" w:themeTint="F2"/>
        </w:rPr>
        <w:t>合同</w:t>
      </w:r>
      <w:r w:rsidRPr="00B56A57">
        <w:rPr>
          <w:rFonts w:asciiTheme="minorEastAsia" w:hAnsiTheme="minorEastAsia" w:hint="eastAsia"/>
          <w:color w:val="0D0D0D" w:themeColor="text1" w:themeTint="F2"/>
        </w:rPr>
        <w:t>当事人权利和义务产生重大影响的其他事项；</w:t>
      </w:r>
    </w:p>
    <w:p w14:paraId="77592E7F"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13）终止基金上市，但因基金不再具备上市条件而被上海证券交易所终止上市的除外；</w:t>
      </w:r>
    </w:p>
    <w:p w14:paraId="3359C69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14</w:t>
      </w:r>
      <w:r w:rsidRPr="00B56A57">
        <w:rPr>
          <w:rFonts w:asciiTheme="minorEastAsia" w:hAnsiTheme="minorEastAsia" w:hint="eastAsia"/>
          <w:color w:val="0D0D0D" w:themeColor="text1" w:themeTint="F2"/>
        </w:rPr>
        <w:t>）法律法规、《基金合同》或中国证监会规定的其他应当召开基金份额持有人大会的事项。</w:t>
      </w:r>
    </w:p>
    <w:p w14:paraId="16242A0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、在法律法规规定和《基金合同》约定的范围内且对基金份额持有人利益无实质性不利影响的前提下，以下情况可由基金管理人和基金托管人协商后修改，不需召开基金份额持有人大会：</w:t>
      </w:r>
      <w:r w:rsidRPr="00B56A57">
        <w:rPr>
          <w:rFonts w:asciiTheme="minorEastAsia" w:eastAsiaTheme="minorEastAsia" w:hAnsiTheme="minorEastAsia"/>
          <w:color w:val="0D0D0D" w:themeColor="text1" w:themeTint="F2"/>
        </w:rPr>
        <w:t xml:space="preserve"> </w:t>
      </w:r>
    </w:p>
    <w:p w14:paraId="046E327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）法律法规要求增加的基金费用的收取；</w:t>
      </w:r>
    </w:p>
    <w:p w14:paraId="12925E0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eastAsiaTheme="minorEastAsia" w:hAnsiTheme="minorEastAsia" w:hint="eastAsia"/>
          <w:color w:val="0D0D0D" w:themeColor="text1" w:themeTint="F2"/>
        </w:rPr>
        <w:t>调整本基金的申购费率、调低赎回费率或变更收费方式或调整基金份额类别设置、对基金份额分类办法及规则进行调整；</w:t>
      </w:r>
    </w:p>
    <w:p w14:paraId="142E6D9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3）</w:t>
      </w:r>
      <w:r w:rsidRPr="00B56A57">
        <w:rPr>
          <w:rFonts w:asciiTheme="minorEastAsia" w:hAnsiTheme="minorEastAsia" w:hint="eastAsia"/>
          <w:color w:val="0D0D0D" w:themeColor="text1" w:themeTint="F2"/>
        </w:rPr>
        <w:t>因相应的法律法规</w:t>
      </w:r>
      <w:r w:rsidRPr="00B56A57">
        <w:rPr>
          <w:rFonts w:asciiTheme="minorEastAsia" w:eastAsiaTheme="minorEastAsia" w:hAnsiTheme="minorEastAsia" w:hint="eastAsia"/>
          <w:color w:val="0D0D0D" w:themeColor="text1" w:themeTint="F2"/>
        </w:rPr>
        <w:t>、上海证券交易所或者登记机构的相关业务规则</w:t>
      </w:r>
      <w:r w:rsidRPr="00B56A57">
        <w:rPr>
          <w:rFonts w:asciiTheme="minorEastAsia" w:hAnsiTheme="minorEastAsia" w:hint="eastAsia"/>
          <w:color w:val="0D0D0D" w:themeColor="text1" w:themeTint="F2"/>
        </w:rPr>
        <w:t>发生变动而应当对《基金合同》进行修改；</w:t>
      </w:r>
    </w:p>
    <w:p w14:paraId="542E158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4</w:t>
      </w:r>
      <w:r w:rsidRPr="00B56A57">
        <w:rPr>
          <w:rFonts w:asciiTheme="minorEastAsia" w:hAnsiTheme="minorEastAsia" w:hint="eastAsia"/>
          <w:color w:val="0D0D0D" w:themeColor="text1" w:themeTint="F2"/>
        </w:rPr>
        <w:t>）对《基金合同》的修改对基金份额持有人利益无实质性不利影响或修改不涉及《基金合同》当事人权利义务关系发生</w:t>
      </w:r>
      <w:r w:rsidRPr="00B56A57">
        <w:rPr>
          <w:rFonts w:asciiTheme="minorEastAsia" w:eastAsiaTheme="minorEastAsia" w:hAnsiTheme="minorEastAsia" w:hint="eastAsia"/>
          <w:color w:val="0D0D0D" w:themeColor="text1" w:themeTint="F2"/>
        </w:rPr>
        <w:t>重大</w:t>
      </w:r>
      <w:r w:rsidRPr="00B56A57">
        <w:rPr>
          <w:rFonts w:asciiTheme="minorEastAsia" w:hAnsiTheme="minorEastAsia" w:hint="eastAsia"/>
          <w:color w:val="0D0D0D" w:themeColor="text1" w:themeTint="F2"/>
        </w:rPr>
        <w:t>变化；</w:t>
      </w:r>
    </w:p>
    <w:p w14:paraId="06FD1C03"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5）基金管理人、相关证券交易所和登记机构等在法律法规、基金合同规定的范围内且对基金份额持有人利益无实质性不利影响的前提下调整有关基金申购、赎回、交易、转托管、非交易过户</w:t>
      </w:r>
      <w:r w:rsidRPr="00B56A57">
        <w:rPr>
          <w:rFonts w:asciiTheme="minorEastAsia" w:eastAsiaTheme="minorEastAsia" w:hAnsiTheme="minorEastAsia" w:hint="eastAsia"/>
          <w:color w:val="0D0D0D" w:themeColor="text1" w:themeTint="F2"/>
        </w:rPr>
        <w:t>等业务的规则（包括但不限于申购赎回清单的调整、开放时间的调整等）；</w:t>
      </w:r>
    </w:p>
    <w:p w14:paraId="37286081"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6）基金推出新业务或服务；</w:t>
      </w:r>
    </w:p>
    <w:p w14:paraId="230AFE4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7）在不违反法律法规的情况下，本基金的联接基金采取其他方式参与本基金的申购赎回；</w:t>
      </w:r>
    </w:p>
    <w:p w14:paraId="77CA5D62"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8）调整基金的申购赎回方式及申购对价、赎回对价组成；调整申购赎回清单的内容，调整申购赎回清单计算和公告时间或频率；</w:t>
      </w:r>
    </w:p>
    <w:p w14:paraId="296D6626"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9）进行基金份额的拆分与合并；</w:t>
      </w:r>
    </w:p>
    <w:p w14:paraId="64F488D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10</w:t>
      </w:r>
      <w:r w:rsidRPr="00B56A57">
        <w:rPr>
          <w:rFonts w:asciiTheme="minorEastAsia" w:hAnsiTheme="minorEastAsia" w:hint="eastAsia"/>
          <w:color w:val="0D0D0D" w:themeColor="text1" w:themeTint="F2"/>
        </w:rPr>
        <w:t>）按照法律法规和《基金合同》规定不需召开基金份额持有人大会的其他情形。</w:t>
      </w:r>
    </w:p>
    <w:p w14:paraId="14333D9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（二）会议召集人及召集方式</w:t>
      </w:r>
    </w:p>
    <w:p w14:paraId="0CCE58E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、除法律法规规定或《基金合同》另有约定外，基金份额持有人大会由基金管理人召集</w:t>
      </w:r>
      <w:r w:rsidRPr="00B56A57">
        <w:rPr>
          <w:rFonts w:asciiTheme="minorEastAsia" w:eastAsiaTheme="minorEastAsia" w:hAnsiTheme="minorEastAsia" w:hint="eastAsia"/>
          <w:color w:val="0D0D0D" w:themeColor="text1" w:themeTint="F2"/>
        </w:rPr>
        <w:t>。</w:t>
      </w:r>
    </w:p>
    <w:p w14:paraId="6335F66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、基金管理人未按规定召集或不能</w:t>
      </w:r>
      <w:r w:rsidRPr="00B56A57">
        <w:rPr>
          <w:rFonts w:asciiTheme="minorEastAsia" w:eastAsiaTheme="minorEastAsia" w:hAnsiTheme="minorEastAsia" w:hint="eastAsia"/>
          <w:color w:val="0D0D0D" w:themeColor="text1" w:themeTint="F2"/>
        </w:rPr>
        <w:t>召集</w:t>
      </w:r>
      <w:r w:rsidRPr="00B56A57">
        <w:rPr>
          <w:rFonts w:asciiTheme="minorEastAsia" w:hAnsiTheme="minorEastAsia" w:hint="eastAsia"/>
          <w:color w:val="0D0D0D" w:themeColor="text1" w:themeTint="F2"/>
        </w:rPr>
        <w:t>时，由基金托管人召集</w:t>
      </w:r>
      <w:r w:rsidRPr="00B56A57">
        <w:rPr>
          <w:rFonts w:asciiTheme="minorEastAsia" w:eastAsiaTheme="minorEastAsia" w:hAnsiTheme="minorEastAsia" w:hint="eastAsia"/>
          <w:color w:val="0D0D0D" w:themeColor="text1" w:themeTint="F2"/>
        </w:rPr>
        <w:t>。</w:t>
      </w:r>
    </w:p>
    <w:p w14:paraId="283AAEC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、基金托管人认为有必要召开基金份额持有人大会的，应当向基金管理人提出书面提议。基金管理人应当自收到书面提议之日起</w:t>
      </w:r>
      <w:r w:rsidRPr="00B56A57">
        <w:rPr>
          <w:rFonts w:asciiTheme="minorEastAsia" w:hAnsiTheme="minorEastAsia"/>
          <w:color w:val="0D0D0D" w:themeColor="text1" w:themeTint="F2"/>
        </w:rPr>
        <w:t xml:space="preserve"> 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6E4ED3B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、代表基金份额</w:t>
      </w:r>
      <w:r w:rsidRPr="00B56A57">
        <w:rPr>
          <w:rFonts w:asciiTheme="minorEastAsia" w:hAnsiTheme="minorEastAsia"/>
          <w:color w:val="0D0D0D" w:themeColor="text1" w:themeTint="F2"/>
        </w:rPr>
        <w:t>10%以上（含10%）的基金份额持有人就同一事项书面要求召开基金份额</w:t>
      </w:r>
      <w:r w:rsidRPr="00B56A57">
        <w:rPr>
          <w:rFonts w:asciiTheme="minorEastAsia" w:hAnsiTheme="minorEastAsia" w:hint="eastAsia"/>
          <w:color w:val="0D0D0D" w:themeColor="text1" w:themeTint="F2"/>
        </w:rPr>
        <w:lastRenderedPageBreak/>
        <w:t>持有人大会，应当向基金管理人提出书面提议。基金管理人应当自收到书面提议之日起</w:t>
      </w:r>
      <w:r w:rsidRPr="00B56A57">
        <w:rPr>
          <w:rFonts w:asciiTheme="minorEastAsia" w:hAnsiTheme="minorEastAsia"/>
          <w:color w:val="0D0D0D" w:themeColor="text1" w:themeTint="F2"/>
        </w:rPr>
        <w:t>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w:t>
      </w:r>
      <w:r w:rsidRPr="00B56A57">
        <w:rPr>
          <w:rFonts w:asciiTheme="minorEastAsia" w:hAnsiTheme="minorEastAsia" w:hint="eastAsia"/>
          <w:color w:val="0D0D0D" w:themeColor="text1" w:themeTint="F2"/>
        </w:rPr>
        <w:t>日内召开并告知基金管理人，基金管理人应当配合。</w:t>
      </w:r>
    </w:p>
    <w:p w14:paraId="611CF6C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、代表基金份额</w:t>
      </w:r>
      <w:r w:rsidRPr="00B56A57">
        <w:rPr>
          <w:rFonts w:asciiTheme="minorEastAsia" w:hAnsiTheme="minorEastAsia"/>
          <w:color w:val="0D0D0D" w:themeColor="text1" w:themeTint="F2"/>
        </w:rPr>
        <w:t>10%以上（含10%）的基金份额持有人就同一事项要求召开基金份额持有人大会，而基金管理人、基金托管人都不召集的，单独或合计代表基金份额10%以上（含10%）的基金份额持有人有权自行召集，并至少提前30</w:t>
      </w:r>
      <w:r w:rsidRPr="00B56A57">
        <w:rPr>
          <w:rFonts w:asciiTheme="minorEastAsia" w:hAnsiTheme="minorEastAsia" w:hint="eastAsia"/>
          <w:color w:val="0D0D0D" w:themeColor="text1" w:themeTint="F2"/>
        </w:rPr>
        <w:t>日报中国证监会备案。基金份额持有人依法自行召集基金份额持有人大会的，基金管理人、基金托管人应当配合，不得阻碍、干扰。</w:t>
      </w:r>
    </w:p>
    <w:p w14:paraId="2F33643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、基金份额持有人会议的召集人负责选择确定开会时间、地点、方式和权益登记日。</w:t>
      </w:r>
    </w:p>
    <w:p w14:paraId="61996A5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（三）召开基金份额持有人大会的通知时间、通知内容、通知方式</w:t>
      </w:r>
    </w:p>
    <w:p w14:paraId="5591D1A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、召开基金份额持有人大会，召集人应于会议召开前</w:t>
      </w:r>
      <w:r w:rsidRPr="00B56A57">
        <w:rPr>
          <w:rFonts w:asciiTheme="minorEastAsia" w:hAnsiTheme="minorEastAsia"/>
          <w:color w:val="0D0D0D" w:themeColor="text1" w:themeTint="F2"/>
        </w:rPr>
        <w:t>30日，在规定媒介公告。基金份额持有人大会通知应至少载明以下内容：</w:t>
      </w:r>
    </w:p>
    <w:p w14:paraId="56245D5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）会议召开的时间、地点和会议形式；</w:t>
      </w:r>
    </w:p>
    <w:p w14:paraId="4C1DA78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）会议拟审议的事项、议事程序和表决方式；</w:t>
      </w:r>
    </w:p>
    <w:p w14:paraId="28AFABA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）有权出席基金份额持有人大会的基金份额持有人的权益登记日；</w:t>
      </w:r>
    </w:p>
    <w:p w14:paraId="7657CF9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）授权委托证明的内容要求（包括但不限于代理人身份，代理权限和代理有效期限等）、送达时间和地点</w:t>
      </w:r>
      <w:r w:rsidRPr="00B56A57">
        <w:rPr>
          <w:rFonts w:asciiTheme="minorEastAsia" w:eastAsiaTheme="minorEastAsia" w:hAnsiTheme="minorEastAsia" w:hint="eastAsia"/>
          <w:color w:val="0D0D0D" w:themeColor="text1" w:themeTint="F2"/>
        </w:rPr>
        <w:t>；</w:t>
      </w:r>
    </w:p>
    <w:p w14:paraId="21C3FC7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5</w:t>
      </w:r>
      <w:r w:rsidRPr="00B56A57">
        <w:rPr>
          <w:rFonts w:asciiTheme="minorEastAsia" w:hAnsiTheme="minorEastAsia" w:hint="eastAsia"/>
          <w:color w:val="0D0D0D" w:themeColor="text1" w:themeTint="F2"/>
        </w:rPr>
        <w:t>）会务常设联系人姓名及联系电话；</w:t>
      </w:r>
    </w:p>
    <w:p w14:paraId="76B86F9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w:t>
      </w:r>
      <w:r w:rsidRPr="00B56A57">
        <w:rPr>
          <w:rFonts w:asciiTheme="minorEastAsia" w:hAnsiTheme="minorEastAsia" w:hint="eastAsia"/>
          <w:color w:val="0D0D0D" w:themeColor="text1" w:themeTint="F2"/>
        </w:rPr>
        <w:t>）出席会议者必须准备的文件和必须履行的手续；</w:t>
      </w:r>
    </w:p>
    <w:p w14:paraId="1C9CD27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7</w:t>
      </w:r>
      <w:r w:rsidRPr="00B56A57">
        <w:rPr>
          <w:rFonts w:asciiTheme="minorEastAsia" w:hAnsiTheme="minorEastAsia" w:hint="eastAsia"/>
          <w:color w:val="0D0D0D" w:themeColor="text1" w:themeTint="F2"/>
        </w:rPr>
        <w:t>）召集人需要通知的其他事项。</w:t>
      </w:r>
    </w:p>
    <w:p w14:paraId="4742C91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82A4BF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9B1ABF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（四）基金份额持有人出席会议的方式</w:t>
      </w:r>
    </w:p>
    <w:p w14:paraId="701FA72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lastRenderedPageBreak/>
        <w:t>基金份额持有人大会可通过现场开会方式、通讯开会方式或法律法规、监管机构允许的其他方式召开，会议的召开方式由会议召集人确定。</w:t>
      </w:r>
    </w:p>
    <w:p w14:paraId="095D783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1DA7E9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6387806"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）经核对，汇总到会者出示的在权益登记日持有基金份额的凭证显示，有效的基金份额不少于本基金在权益登记日基金总份额的二分之一（含二分之一）。</w:t>
      </w:r>
    </w:p>
    <w:p w14:paraId="0F6144F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若到会者在权益登记日代表的有效的基金份额少于本基金在权益登记日基金总份额的二分之一，召集人可以在原公告的基金份额持有人大会召开时间的</w:t>
      </w:r>
      <w:r w:rsidRPr="00B56A57">
        <w:rPr>
          <w:rFonts w:asciiTheme="minorEastAsia" w:hAnsiTheme="minorEastAsia"/>
          <w:color w:val="0D0D0D" w:themeColor="text1" w:themeTint="F2"/>
        </w:rPr>
        <w:t>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21A06A5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通讯开会。通讯开会系指基金份额持有人将其对表决事项的投票以书面形式或持有人大会公告载明的其他方式在表决截止日以前送达至召集人指定的地址。通讯开会应以书面方式或持有人大会公告载明的其他方式进行表决。</w:t>
      </w:r>
    </w:p>
    <w:p w14:paraId="221C499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在同时符合以下条件时，通讯开会的方式视为有效：</w:t>
      </w:r>
    </w:p>
    <w:p w14:paraId="323F483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）会议召集人按《基金合同》约定公布会议通知后，在</w:t>
      </w:r>
      <w:r w:rsidRPr="00B56A57">
        <w:rPr>
          <w:rFonts w:asciiTheme="minorEastAsia" w:eastAsiaTheme="minorEastAsia" w:hAnsiTheme="minorEastAsia"/>
          <w:color w:val="0D0D0D" w:themeColor="text1" w:themeTint="F2"/>
        </w:rPr>
        <w:t xml:space="preserve"> </w:t>
      </w:r>
      <w:r w:rsidRPr="00B56A57">
        <w:rPr>
          <w:rFonts w:asciiTheme="minorEastAsia" w:hAnsiTheme="minorEastAsia"/>
          <w:color w:val="0D0D0D" w:themeColor="text1" w:themeTint="F2"/>
        </w:rPr>
        <w:t>2个工作日内连续公布相关提示性公告；</w:t>
      </w:r>
    </w:p>
    <w:p w14:paraId="40C17E0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A0DBB65"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）本人直接出具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意见或授权他人代表出具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意见的，基金份额持有人所持有的基金份额不小于在权益登记日基金总份额的二分之一（含二分之一）；</w:t>
      </w:r>
    </w:p>
    <w:p w14:paraId="5BDB098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若本人直接出具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意见或授权他人代表出具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意见基金份额持有人所持有的基金份额小于在权益登记日基金总份额的二分之一，召集人可以在原公告的基金份额持有人大会召开时间的</w:t>
      </w:r>
      <w:r w:rsidRPr="00B56A57">
        <w:rPr>
          <w:rFonts w:asciiTheme="minorEastAsia" w:hAnsiTheme="minorEastAsia"/>
          <w:color w:val="0D0D0D" w:themeColor="text1" w:themeTint="F2"/>
        </w:rPr>
        <w:t>3个月以后、6个月以内，就原定审议事项重新召集基金份额持有人大会。重新召集的基金份额持有人大会应当有代表三分之一以上（含三分之一）基金份额的持有人直接出具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意见或授权他人代表出具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w:t>
      </w:r>
    </w:p>
    <w:p w14:paraId="7D085E5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lastRenderedPageBreak/>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）上述第（</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）项中直接出具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意见的基金份额持有人或受托代表他人出具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意见的代理人，同时提交的持有基金份额的凭证、受托出具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意见的代理人出具的委托人持有基金份额的凭证及委托人的代理投票授权委托证明符合法律法规、《基金合同》和会议通知的规定，并与基金登记机构记录相符</w:t>
      </w:r>
      <w:r w:rsidRPr="00B56A57">
        <w:rPr>
          <w:rFonts w:asciiTheme="minorEastAsia" w:eastAsiaTheme="minorEastAsia" w:hAnsiTheme="minorEastAsia" w:hint="eastAsia"/>
          <w:color w:val="0D0D0D" w:themeColor="text1" w:themeTint="F2"/>
        </w:rPr>
        <w:t>。</w:t>
      </w:r>
    </w:p>
    <w:p w14:paraId="451856E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 xml:space="preserve"> 3、在法律法规或监管机构允许的情况下，经会议通知载明，本基金亦可采用网络、电话等其他非现场方式或者以非现场方式与现场方式结合的方式召开基金份额持有人大会，基金份额持有人可以采用书面、网络、电话、短信或其他方式进行表决，或者采用网络、电话或其他方式授权他人代为出席会议并表决，会议程序比照现场开会和通讯方式开会的程序进行。</w:t>
      </w:r>
    </w:p>
    <w:p w14:paraId="51CB667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（五）议事内容与程序</w:t>
      </w:r>
    </w:p>
    <w:p w14:paraId="0325B43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、议事内容及提案权</w:t>
      </w:r>
    </w:p>
    <w:p w14:paraId="587ED66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4F3168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基金份额持有人大会的召集人发出召集会议的通知后，对原有提案的修改应当在基金份额持有人大会召开前及时公告。</w:t>
      </w:r>
    </w:p>
    <w:p w14:paraId="4CB3972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基金份额持有人大会不得对未事先公告的议事内容进行表决。</w:t>
      </w:r>
    </w:p>
    <w:p w14:paraId="20BB6F4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、议事程序</w:t>
      </w:r>
    </w:p>
    <w:p w14:paraId="51A950D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）现场开会</w:t>
      </w:r>
    </w:p>
    <w:p w14:paraId="678EEB3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56A57">
        <w:rPr>
          <w:rFonts w:asciiTheme="minorEastAsia" w:eastAsiaTheme="minorEastAsia" w:hAnsiTheme="minorEastAsia" w:hint="eastAsia"/>
          <w:color w:val="0D0D0D" w:themeColor="text1" w:themeTint="F2"/>
        </w:rPr>
        <w:t>二分之一</w:t>
      </w:r>
      <w:r w:rsidRPr="00B56A57">
        <w:rPr>
          <w:rFonts w:asciiTheme="minorEastAsia" w:hAnsiTheme="minorEastAsia" w:hint="eastAsia"/>
          <w:color w:val="0D0D0D" w:themeColor="text1" w:themeTint="F2"/>
        </w:rPr>
        <w:t>以上（含</w:t>
      </w:r>
      <w:r w:rsidRPr="00B56A57">
        <w:rPr>
          <w:rFonts w:asciiTheme="minorEastAsia" w:eastAsiaTheme="minorEastAsia" w:hAnsiTheme="minorEastAsia" w:hint="eastAsia"/>
          <w:color w:val="0D0D0D" w:themeColor="text1" w:themeTint="F2"/>
        </w:rPr>
        <w:t>二分之一</w:t>
      </w:r>
      <w:r w:rsidRPr="00B56A57">
        <w:rPr>
          <w:rFonts w:asciiTheme="minorEastAsia" w:hAnsiTheme="minorEastAsia" w:hint="eastAsia"/>
          <w:color w:val="0D0D0D" w:themeColor="text1" w:themeTint="F2"/>
        </w:rPr>
        <w:t>）选举产生一名基金份额持有人作为该次基金份额持有人大会的主持人。基金管理人和基金托管人拒不出席或主持基金份额持有人大会，不影响基金份额持有人大会作出的决议的效力。</w:t>
      </w:r>
    </w:p>
    <w:p w14:paraId="70E3B0F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会议召集人应当制作出席会议人员的签名册。签名册载明参加会议人员姓名（或单位名称）、身份证明文件号码、持有或代表有表决权的基金份额、委托人姓名（或单位名称）和联系方式等事项。</w:t>
      </w:r>
    </w:p>
    <w:p w14:paraId="6A09E9B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）通讯开会</w:t>
      </w:r>
    </w:p>
    <w:p w14:paraId="1957416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在通讯开会的情况下，首先由召集人提前</w:t>
      </w:r>
      <w:r w:rsidRPr="00B56A57">
        <w:rPr>
          <w:rFonts w:asciiTheme="minorEastAsia" w:hAnsiTheme="minorEastAsia"/>
          <w:color w:val="0D0D0D" w:themeColor="text1" w:themeTint="F2"/>
        </w:rPr>
        <w:t>30日公布提案，在所通知的表决截止日期后2个工作日内在公证机关监督下由召集人统计全部有效表决，在公证机关监督下形成决议。</w:t>
      </w:r>
    </w:p>
    <w:p w14:paraId="43741FC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（六）表决</w:t>
      </w:r>
    </w:p>
    <w:p w14:paraId="58F3BA3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lastRenderedPageBreak/>
        <w:t>基金份额持有人所持每份基金份额有一票表决权。</w:t>
      </w:r>
    </w:p>
    <w:p w14:paraId="193C585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基金份额持有人大会决议分为一般决议和特别决议：</w:t>
      </w:r>
    </w:p>
    <w:p w14:paraId="3B1561C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、一般决议，一般决议须经参加大会的基金份额持有人或其代理人所持表决权的二分之一以上（含二分之一）通过方为有效；除下列第</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项所规定的须以特别决议通过事项以外的其他事项均以一般决议的方式通过。</w:t>
      </w:r>
    </w:p>
    <w:p w14:paraId="3E54481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特别决议，特别决议应当经参加大会的基金份额持有人或其代理人所持表决权的三分之二以上（含三分之二）通过方可做出。除法律法规、监管机构或基金合同另有约定外，转换基金运作方式、更换基金管理人或者基金托管人、终止《基金合同》、本基金与其他基金合并以特别决议通过方为有效。</w:t>
      </w:r>
    </w:p>
    <w:p w14:paraId="425F44F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基金份额持有人大会采取记名方式进行投票表决。</w:t>
      </w:r>
    </w:p>
    <w:p w14:paraId="5BE4CB8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B56A57">
        <w:rPr>
          <w:rFonts w:asciiTheme="minorEastAsia" w:eastAsiaTheme="minorEastAsia" w:hAnsiTheme="minorEastAsia" w:hint="eastAsia"/>
          <w:color w:val="0D0D0D" w:themeColor="text1" w:themeTint="F2"/>
        </w:rPr>
        <w:t>表决</w:t>
      </w:r>
      <w:r w:rsidRPr="00B56A57">
        <w:rPr>
          <w:rFonts w:asciiTheme="minorEastAsia" w:hAnsiTheme="minorEastAsia" w:hint="eastAsia"/>
          <w:color w:val="0D0D0D" w:themeColor="text1" w:themeTint="F2"/>
        </w:rPr>
        <w:t>意见的基金份额持有人所代表的基金份额总数。</w:t>
      </w:r>
    </w:p>
    <w:p w14:paraId="7361158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基金份额持有人大会的各项提案或同一项提案内并列的各项议题应当分开审议、逐项表决。</w:t>
      </w:r>
    </w:p>
    <w:p w14:paraId="6E83657B"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（七）计票</w:t>
      </w:r>
    </w:p>
    <w:p w14:paraId="41D91BB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、现场开会</w:t>
      </w:r>
    </w:p>
    <w:p w14:paraId="4108207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FD1E31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）监票人应当在基金份额持有人表决后立即进行清点并由大会主持人当场公布计票结果。</w:t>
      </w:r>
    </w:p>
    <w:p w14:paraId="6202119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468DFA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）计票过程应由公证机关予以公证</w:t>
      </w:r>
      <w:r w:rsidRPr="00B56A57">
        <w:rPr>
          <w:rFonts w:asciiTheme="minorEastAsia" w:eastAsiaTheme="minorEastAsia" w:hAnsiTheme="minorEastAsia" w:hint="eastAsia"/>
          <w:color w:val="0D0D0D" w:themeColor="text1" w:themeTint="F2"/>
        </w:rPr>
        <w:t>，</w:t>
      </w:r>
      <w:r w:rsidRPr="00B56A57">
        <w:rPr>
          <w:rFonts w:asciiTheme="minorEastAsia" w:hAnsiTheme="minorEastAsia" w:hint="eastAsia"/>
          <w:color w:val="0D0D0D" w:themeColor="text1" w:themeTint="F2"/>
        </w:rPr>
        <w:t>基金管理人或基金托管人拒不出席大会的，不影响计票的效力。</w:t>
      </w:r>
    </w:p>
    <w:p w14:paraId="465842A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、通讯开会</w:t>
      </w:r>
    </w:p>
    <w:p w14:paraId="4301399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在通讯开会的情况下，计票方式为：由大会召集人授权的两名监督员在基金托管人授权代表（若由基金托管人召集，则为基金管理人授权代表）的监督下进行计票，并由公证机关对其</w:t>
      </w:r>
      <w:r w:rsidRPr="00B56A57">
        <w:rPr>
          <w:rFonts w:asciiTheme="minorEastAsia" w:hAnsiTheme="minorEastAsia" w:hint="eastAsia"/>
          <w:color w:val="0D0D0D" w:themeColor="text1" w:themeTint="F2"/>
        </w:rPr>
        <w:lastRenderedPageBreak/>
        <w:t>计票过程予以公证。基金管理人或基金托管人拒派代表对表决意见的计票进行监督的，不影响计票和表决结果。</w:t>
      </w:r>
    </w:p>
    <w:p w14:paraId="210A14B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（八）生效与公告</w:t>
      </w:r>
    </w:p>
    <w:p w14:paraId="1AC899C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基金份额持有人大会的决议，召集人应当自通过之日起</w:t>
      </w:r>
      <w:r w:rsidRPr="00B56A57">
        <w:rPr>
          <w:rFonts w:asciiTheme="minorEastAsia" w:hAnsiTheme="minorEastAsia"/>
          <w:color w:val="0D0D0D" w:themeColor="text1" w:themeTint="F2"/>
        </w:rPr>
        <w:t>5日内报中国证监会备案。</w:t>
      </w:r>
    </w:p>
    <w:p w14:paraId="1CC11C99"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基金份额持有人大会的决议自表决通过之日起生效。</w:t>
      </w:r>
    </w:p>
    <w:p w14:paraId="3772EC3B"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基金份额持有人大会决议自生效之日起依照《信息披露办法》在规定媒介上公告。如果采用通讯方式进行表决，在公告基金份额持有人大会决议时，必须将公证书全文、公证机构、公证员姓名等一同公告。</w:t>
      </w:r>
    </w:p>
    <w:p w14:paraId="4EDD5452"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基金管理人、基金托管人和基金份额持有人应当执行生效的基金份额持有人大会的决议。生效的基金份额持有人大会决议对全体基金份额持有人、基金管理人、基金托管人均有约束力。</w:t>
      </w:r>
    </w:p>
    <w:p w14:paraId="1BF8B32B"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履行适当程序后，可直接对本部分内容进行修改和调整，无需召开基金份额持有人大会审议。</w:t>
      </w:r>
    </w:p>
    <w:p w14:paraId="2EFE493F"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三、基金收益分配原则、执行方式</w:t>
      </w:r>
    </w:p>
    <w:p w14:paraId="6C4CBA7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（一）基金收益分配原则</w:t>
      </w:r>
    </w:p>
    <w:p w14:paraId="569988F8"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w:t>
      </w:r>
      <w:r w:rsidRPr="00B56A57">
        <w:rPr>
          <w:rFonts w:asciiTheme="minorEastAsia" w:eastAsiaTheme="minorEastAsia" w:hAnsiTheme="minorEastAsia" w:hint="eastAsia"/>
          <w:color w:val="0D0D0D" w:themeColor="text1" w:themeTint="F2"/>
        </w:rPr>
        <w:t>每一</w:t>
      </w:r>
      <w:r w:rsidRPr="00B56A57">
        <w:rPr>
          <w:rFonts w:asciiTheme="minorEastAsia" w:hAnsiTheme="minorEastAsia" w:hint="eastAsia"/>
          <w:color w:val="0D0D0D" w:themeColor="text1" w:themeTint="F2"/>
        </w:rPr>
        <w:t>基金</w:t>
      </w:r>
      <w:r w:rsidRPr="00B56A57">
        <w:rPr>
          <w:rFonts w:asciiTheme="minorEastAsia" w:eastAsiaTheme="minorEastAsia" w:hAnsiTheme="minorEastAsia" w:hint="eastAsia"/>
          <w:color w:val="0D0D0D" w:themeColor="text1" w:themeTint="F2"/>
        </w:rPr>
        <w:t>份额享有同等分配权；</w:t>
      </w:r>
    </w:p>
    <w:p w14:paraId="5B287F1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2、本基金基金份额</w:t>
      </w:r>
      <w:r w:rsidRPr="00B56A57">
        <w:rPr>
          <w:rFonts w:asciiTheme="minorEastAsia" w:hAnsiTheme="minorEastAsia" w:hint="eastAsia"/>
          <w:color w:val="0D0D0D" w:themeColor="text1" w:themeTint="F2"/>
        </w:rPr>
        <w:t>的收益分配</w:t>
      </w:r>
      <w:r w:rsidRPr="00B56A57">
        <w:rPr>
          <w:rFonts w:asciiTheme="minorEastAsia" w:eastAsiaTheme="minorEastAsia" w:hAnsiTheme="minorEastAsia" w:hint="eastAsia"/>
          <w:color w:val="0D0D0D" w:themeColor="text1" w:themeTint="F2"/>
        </w:rPr>
        <w:t>方式采用现金分红；</w:t>
      </w:r>
    </w:p>
    <w:p w14:paraId="3BA16064"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3</w:t>
      </w:r>
      <w:r w:rsidRPr="00B56A57">
        <w:rPr>
          <w:rFonts w:asciiTheme="minorEastAsia" w:eastAsiaTheme="minorEastAsia" w:hAnsiTheme="minorEastAsia" w:hint="eastAsia"/>
          <w:color w:val="0D0D0D" w:themeColor="text1" w:themeTint="F2"/>
        </w:rPr>
        <w:t>、当基金份额净值增长率超过标的指数同期增长率达到</w:t>
      </w:r>
      <w:r w:rsidRPr="00B56A57">
        <w:rPr>
          <w:rFonts w:asciiTheme="minorEastAsia" w:eastAsiaTheme="minorEastAsia" w:hAnsiTheme="minorEastAsia"/>
          <w:color w:val="0D0D0D" w:themeColor="text1" w:themeTint="F2"/>
        </w:rPr>
        <w:t>0.01%</w:t>
      </w:r>
      <w:r w:rsidRPr="00B56A57">
        <w:rPr>
          <w:rFonts w:asciiTheme="minorEastAsia" w:eastAsiaTheme="minorEastAsia" w:hAnsiTheme="minorEastAsia" w:hint="eastAsia"/>
          <w:color w:val="0D0D0D" w:themeColor="text1" w:themeTint="F2"/>
        </w:rPr>
        <w:t>以上时，可进行收益分配；</w:t>
      </w:r>
    </w:p>
    <w:p w14:paraId="38FBA28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4、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14:paraId="2897432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5、</w:t>
      </w:r>
      <w:r w:rsidRPr="00B56A57">
        <w:rPr>
          <w:rFonts w:asciiTheme="minorEastAsia" w:hAnsiTheme="minorEastAsia" w:hint="eastAsia"/>
          <w:color w:val="0D0D0D" w:themeColor="text1" w:themeTint="F2"/>
        </w:rPr>
        <w:t>若《基金合同》生效不满</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个月可不进行收益分配；</w:t>
      </w:r>
    </w:p>
    <w:p w14:paraId="4DF8F44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6</w:t>
      </w:r>
      <w:r w:rsidRPr="00B56A57">
        <w:rPr>
          <w:rFonts w:asciiTheme="minorEastAsia" w:hAnsiTheme="minorEastAsia" w:hint="eastAsia"/>
          <w:color w:val="0D0D0D" w:themeColor="text1" w:themeTint="F2"/>
        </w:rPr>
        <w:t>、法律法规</w:t>
      </w:r>
      <w:r w:rsidRPr="00B56A57">
        <w:rPr>
          <w:rFonts w:asciiTheme="minorEastAsia" w:eastAsiaTheme="minorEastAsia" w:hAnsiTheme="minorEastAsia" w:hint="eastAsia"/>
          <w:color w:val="0D0D0D" w:themeColor="text1" w:themeTint="F2"/>
        </w:rPr>
        <w:t>、</w:t>
      </w:r>
      <w:r w:rsidRPr="00B56A57">
        <w:rPr>
          <w:rFonts w:asciiTheme="minorEastAsia" w:hAnsiTheme="minorEastAsia" w:hint="eastAsia"/>
          <w:color w:val="0D0D0D" w:themeColor="text1" w:themeTint="F2"/>
        </w:rPr>
        <w:t>监管机关</w:t>
      </w:r>
      <w:r w:rsidRPr="00B56A57">
        <w:rPr>
          <w:rFonts w:asciiTheme="minorEastAsia" w:eastAsiaTheme="minorEastAsia" w:hAnsiTheme="minorEastAsia" w:hint="eastAsia"/>
          <w:color w:val="0D0D0D" w:themeColor="text1" w:themeTint="F2"/>
        </w:rPr>
        <w:t>、证券交易所或基金登记机构</w:t>
      </w:r>
      <w:r w:rsidRPr="00B56A57">
        <w:rPr>
          <w:rFonts w:asciiTheme="minorEastAsia" w:hAnsiTheme="minorEastAsia" w:hint="eastAsia"/>
          <w:color w:val="0D0D0D" w:themeColor="text1" w:themeTint="F2"/>
        </w:rPr>
        <w:t>另有规定的，从其规定。</w:t>
      </w:r>
    </w:p>
    <w:p w14:paraId="62C04D50"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在不违反法律法规且对基金份额持有人利益无实质性不利影响的前提下，基金管理人可对基金收益分配的有关业务规则进行调整，并及时公告。</w:t>
      </w:r>
    </w:p>
    <w:p w14:paraId="0662EA21"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（二）</w:t>
      </w:r>
      <w:r w:rsidRPr="00B56A57">
        <w:rPr>
          <w:rFonts w:asciiTheme="minorEastAsia" w:eastAsiaTheme="minorEastAsia" w:hAnsiTheme="minorEastAsia"/>
          <w:color w:val="0D0D0D" w:themeColor="text1" w:themeTint="F2"/>
        </w:rPr>
        <w:t>基金收益分配比例及金额的确定原则</w:t>
      </w:r>
    </w:p>
    <w:p w14:paraId="1BBCB554"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1、在收益评价日，基金管理人计算基金</w:t>
      </w:r>
      <w:r w:rsidRPr="00B56A57">
        <w:rPr>
          <w:rFonts w:asciiTheme="minorEastAsia" w:eastAsiaTheme="minorEastAsia" w:hAnsiTheme="minorEastAsia" w:hint="eastAsia"/>
          <w:color w:val="0D0D0D" w:themeColor="text1" w:themeTint="F2"/>
        </w:rPr>
        <w:t>份额净值增长率</w:t>
      </w:r>
      <w:r w:rsidRPr="00B56A57">
        <w:rPr>
          <w:rFonts w:asciiTheme="minorEastAsia" w:eastAsiaTheme="minorEastAsia" w:hAnsiTheme="minorEastAsia"/>
          <w:color w:val="0D0D0D" w:themeColor="text1" w:themeTint="F2"/>
        </w:rPr>
        <w:t>、标的指数同期</w:t>
      </w:r>
      <w:r w:rsidRPr="00B56A57">
        <w:rPr>
          <w:rFonts w:asciiTheme="minorEastAsia" w:eastAsiaTheme="minorEastAsia" w:hAnsiTheme="minorEastAsia" w:hint="eastAsia"/>
          <w:color w:val="0D0D0D" w:themeColor="text1" w:themeTint="F2"/>
        </w:rPr>
        <w:t>增长率</w:t>
      </w:r>
      <w:r w:rsidRPr="00B56A57">
        <w:rPr>
          <w:rFonts w:asciiTheme="minorEastAsia" w:eastAsiaTheme="minorEastAsia" w:hAnsiTheme="minorEastAsia"/>
          <w:color w:val="0D0D0D" w:themeColor="text1" w:themeTint="F2"/>
        </w:rPr>
        <w:t>。</w:t>
      </w:r>
    </w:p>
    <w:p w14:paraId="318519F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基金收益评价日本基金相对标的指数的超额收益率＝基金</w:t>
      </w:r>
      <w:r w:rsidRPr="00B56A57">
        <w:rPr>
          <w:rFonts w:asciiTheme="minorEastAsia" w:eastAsiaTheme="minorEastAsia" w:hAnsiTheme="minorEastAsia" w:hint="eastAsia"/>
          <w:color w:val="0D0D0D" w:themeColor="text1" w:themeTint="F2"/>
        </w:rPr>
        <w:t>份额净值增长率</w:t>
      </w:r>
      <w:r w:rsidRPr="00B56A57">
        <w:rPr>
          <w:rFonts w:asciiTheme="minorEastAsia" w:eastAsiaTheme="minorEastAsia" w:hAnsiTheme="minorEastAsia"/>
          <w:color w:val="0D0D0D" w:themeColor="text1" w:themeTint="F2"/>
        </w:rPr>
        <w:t>－标的指数同期</w:t>
      </w:r>
      <w:r w:rsidRPr="00B56A57">
        <w:rPr>
          <w:rFonts w:asciiTheme="minorEastAsia" w:eastAsiaTheme="minorEastAsia" w:hAnsiTheme="minorEastAsia" w:hint="eastAsia"/>
          <w:color w:val="0D0D0D" w:themeColor="text1" w:themeTint="F2"/>
        </w:rPr>
        <w:t>增长率</w:t>
      </w:r>
      <w:r w:rsidRPr="00B56A57">
        <w:rPr>
          <w:rFonts w:asciiTheme="minorEastAsia" w:eastAsiaTheme="minorEastAsia" w:hAnsiTheme="minorEastAsia"/>
          <w:color w:val="0D0D0D" w:themeColor="text1" w:themeTint="F2"/>
        </w:rPr>
        <w:t>。</w:t>
      </w:r>
    </w:p>
    <w:p w14:paraId="5A426A14"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基金</w:t>
      </w:r>
      <w:r w:rsidRPr="00B56A57">
        <w:rPr>
          <w:rFonts w:asciiTheme="minorEastAsia" w:eastAsiaTheme="minorEastAsia" w:hAnsiTheme="minorEastAsia" w:hint="eastAsia"/>
          <w:color w:val="0D0D0D" w:themeColor="text1" w:themeTint="F2"/>
        </w:rPr>
        <w:t>份额净值增长率</w:t>
      </w:r>
      <w:r w:rsidRPr="00B56A57">
        <w:rPr>
          <w:rFonts w:asciiTheme="minorEastAsia" w:eastAsiaTheme="minorEastAsia" w:hAnsiTheme="minorEastAsia"/>
          <w:color w:val="0D0D0D" w:themeColor="text1" w:themeTint="F2"/>
        </w:rPr>
        <w:t>为收益评价日基金份额净值与基金上市前一日基金份额净值之比减去1乘以100%；标的指数同期</w:t>
      </w:r>
      <w:r w:rsidRPr="00B56A57">
        <w:rPr>
          <w:rFonts w:asciiTheme="minorEastAsia" w:eastAsiaTheme="minorEastAsia" w:hAnsiTheme="minorEastAsia" w:hint="eastAsia"/>
          <w:color w:val="0D0D0D" w:themeColor="text1" w:themeTint="F2"/>
        </w:rPr>
        <w:t>增长率</w:t>
      </w:r>
      <w:r w:rsidRPr="00B56A57">
        <w:rPr>
          <w:rFonts w:asciiTheme="minorEastAsia" w:eastAsiaTheme="minorEastAsia" w:hAnsiTheme="minorEastAsia"/>
          <w:color w:val="0D0D0D" w:themeColor="text1" w:themeTint="F2"/>
        </w:rPr>
        <w:t>为收益评价日标的指数收盘价与基金上市前一日标的指数收</w:t>
      </w:r>
      <w:r w:rsidRPr="00B56A57">
        <w:rPr>
          <w:rFonts w:asciiTheme="minorEastAsia" w:eastAsiaTheme="minorEastAsia" w:hAnsiTheme="minorEastAsia"/>
          <w:color w:val="0D0D0D" w:themeColor="text1" w:themeTint="F2"/>
        </w:rPr>
        <w:lastRenderedPageBreak/>
        <w:t>盘价之比减去1乘以100%。</w:t>
      </w:r>
    </w:p>
    <w:p w14:paraId="40EC6E70"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期间如发生基金份额折算</w:t>
      </w:r>
      <w:r w:rsidRPr="00B56A57">
        <w:rPr>
          <w:rFonts w:asciiTheme="minorEastAsia" w:eastAsiaTheme="minorEastAsia" w:hAnsiTheme="minorEastAsia" w:hint="eastAsia"/>
          <w:color w:val="0D0D0D" w:themeColor="text1" w:themeTint="F2"/>
        </w:rPr>
        <w:t>、拆分或合并</w:t>
      </w:r>
      <w:r w:rsidRPr="00B56A57">
        <w:rPr>
          <w:rFonts w:asciiTheme="minorEastAsia" w:eastAsiaTheme="minorEastAsia" w:hAnsiTheme="minorEastAsia"/>
          <w:color w:val="0D0D0D" w:themeColor="text1" w:themeTint="F2"/>
        </w:rPr>
        <w:t>，则以基金份额折算日</w:t>
      </w:r>
      <w:r w:rsidRPr="00B56A57">
        <w:rPr>
          <w:rFonts w:asciiTheme="minorEastAsia" w:eastAsiaTheme="minorEastAsia" w:hAnsiTheme="minorEastAsia" w:hint="eastAsia"/>
          <w:color w:val="0D0D0D" w:themeColor="text1" w:themeTint="F2"/>
        </w:rPr>
        <w:t>、经拆分或合并调整后的基金份额折算日</w:t>
      </w:r>
      <w:r w:rsidRPr="00B56A57">
        <w:rPr>
          <w:rFonts w:asciiTheme="minorEastAsia" w:eastAsiaTheme="minorEastAsia" w:hAnsiTheme="minorEastAsia"/>
          <w:color w:val="0D0D0D" w:themeColor="text1" w:themeTint="F2"/>
        </w:rPr>
        <w:t>为初始日重新计算上述指标。</w:t>
      </w:r>
    </w:p>
    <w:p w14:paraId="49558B1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收益评价日日期以本基金日后相关公告为准。</w:t>
      </w:r>
    </w:p>
    <w:p w14:paraId="71C6BBD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2、根据前述收益分配原则计算截至基金收益评价日本基金的份额可分配收益，并确定收益分配比例。</w:t>
      </w:r>
    </w:p>
    <w:p w14:paraId="7021EF70"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3、根据前述可供分配利润及收益分配比例计算收益分配金额。</w:t>
      </w:r>
    </w:p>
    <w:p w14:paraId="60EB9A1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（三）</w:t>
      </w:r>
      <w:r w:rsidRPr="00B56A57">
        <w:rPr>
          <w:rFonts w:asciiTheme="minorEastAsia" w:hAnsiTheme="minorEastAsia" w:hint="eastAsia"/>
          <w:color w:val="0D0D0D" w:themeColor="text1" w:themeTint="F2"/>
        </w:rPr>
        <w:t>收益分配方案</w:t>
      </w:r>
    </w:p>
    <w:p w14:paraId="49834EA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基金收益分配方案中应载明基金收益分配对象、分配时间、分配数额及比例、分配方式等内容。</w:t>
      </w:r>
    </w:p>
    <w:p w14:paraId="4D6E396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（四）</w:t>
      </w:r>
      <w:r w:rsidRPr="00B56A57">
        <w:rPr>
          <w:rFonts w:asciiTheme="minorEastAsia" w:hAnsiTheme="minorEastAsia" w:hint="eastAsia"/>
          <w:color w:val="0D0D0D" w:themeColor="text1" w:themeTint="F2"/>
        </w:rPr>
        <w:t>收益分配方案的确定、公告与实施</w:t>
      </w:r>
    </w:p>
    <w:p w14:paraId="189C4C1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w:t>
      </w:r>
      <w:r w:rsidRPr="00B56A57">
        <w:rPr>
          <w:rFonts w:asciiTheme="minorEastAsia" w:hAnsiTheme="minorEastAsia" w:hint="eastAsia"/>
          <w:color w:val="0D0D0D" w:themeColor="text1" w:themeTint="F2"/>
        </w:rPr>
        <w:t>基金收益分配</w:t>
      </w:r>
      <w:r w:rsidRPr="00B56A57">
        <w:rPr>
          <w:rFonts w:asciiTheme="minorEastAsia" w:eastAsiaTheme="minorEastAsia" w:hAnsiTheme="minorEastAsia" w:hint="eastAsia"/>
          <w:color w:val="0D0D0D" w:themeColor="text1" w:themeTint="F2"/>
        </w:rPr>
        <w:t>方案由</w:t>
      </w:r>
      <w:r w:rsidRPr="00B56A57">
        <w:rPr>
          <w:rFonts w:asciiTheme="minorEastAsia" w:hAnsiTheme="minorEastAsia" w:hint="eastAsia"/>
          <w:color w:val="0D0D0D" w:themeColor="text1" w:themeTint="F2"/>
        </w:rPr>
        <w:t>基金</w:t>
      </w:r>
      <w:r w:rsidRPr="00B56A57">
        <w:rPr>
          <w:rFonts w:asciiTheme="minorEastAsia" w:eastAsiaTheme="minorEastAsia" w:hAnsiTheme="minorEastAsia" w:hint="eastAsia"/>
          <w:color w:val="0D0D0D" w:themeColor="text1" w:themeTint="F2"/>
        </w:rPr>
        <w:t>管理人拟定，并由</w:t>
      </w:r>
      <w:r w:rsidRPr="00B56A57">
        <w:rPr>
          <w:rFonts w:asciiTheme="minorEastAsia" w:hAnsiTheme="minorEastAsia" w:hint="eastAsia"/>
          <w:color w:val="0D0D0D" w:themeColor="text1" w:themeTint="F2"/>
        </w:rPr>
        <w:t>基金</w:t>
      </w:r>
      <w:r w:rsidRPr="00B56A57">
        <w:rPr>
          <w:rFonts w:asciiTheme="minorEastAsia" w:eastAsiaTheme="minorEastAsia" w:hAnsiTheme="minorEastAsia" w:hint="eastAsia"/>
          <w:color w:val="0D0D0D" w:themeColor="text1" w:themeTint="F2"/>
        </w:rPr>
        <w:t>托管人复核</w:t>
      </w:r>
      <w:r w:rsidRPr="00B56A57">
        <w:rPr>
          <w:rFonts w:asciiTheme="minorEastAsia" w:hAnsiTheme="minorEastAsia" w:hint="eastAsia"/>
          <w:color w:val="0D0D0D" w:themeColor="text1" w:themeTint="F2"/>
        </w:rPr>
        <w:t>，依照</w:t>
      </w:r>
      <w:r w:rsidRPr="00B56A57">
        <w:rPr>
          <w:rFonts w:asciiTheme="minorEastAsia" w:eastAsiaTheme="minorEastAsia" w:hAnsiTheme="minorEastAsia" w:hint="eastAsia"/>
          <w:color w:val="0D0D0D" w:themeColor="text1" w:themeTint="F2"/>
        </w:rPr>
        <w:t>《信息披露办法》在规定媒介公告</w:t>
      </w:r>
      <w:r w:rsidRPr="00B56A57">
        <w:rPr>
          <w:rFonts w:asciiTheme="minorEastAsia" w:hAnsiTheme="minorEastAsia" w:hint="eastAsia"/>
          <w:color w:val="0D0D0D" w:themeColor="text1" w:themeTint="F2"/>
        </w:rPr>
        <w:t>。</w:t>
      </w:r>
    </w:p>
    <w:p w14:paraId="3F1F6F3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（五）基金收益分配中发生的费用</w:t>
      </w:r>
    </w:p>
    <w:p w14:paraId="7D66C0B5" w14:textId="0E87A50A" w:rsidR="00217DCA" w:rsidRPr="009C220F" w:rsidRDefault="006C7341" w:rsidP="009C220F">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基金收益分配时所发生的银行转账或其他手续费用由投资者自行承担。</w:t>
      </w:r>
    </w:p>
    <w:p w14:paraId="69FBDD1B"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四、与基金财产管理、运作有关费用的提取、支付方式与比例</w:t>
      </w:r>
    </w:p>
    <w:p w14:paraId="7E5E50A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（一）基金费用的种类</w:t>
      </w:r>
    </w:p>
    <w:p w14:paraId="03496D4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、基金管理人的管理费；</w:t>
      </w:r>
    </w:p>
    <w:p w14:paraId="32F1859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、基金托管人的托管费；</w:t>
      </w:r>
    </w:p>
    <w:p w14:paraId="769E10E6"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3、基金的证券、期货、股票期权交易费用；</w:t>
      </w:r>
    </w:p>
    <w:p w14:paraId="28FB36C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4</w:t>
      </w:r>
      <w:r w:rsidRPr="00B56A57">
        <w:rPr>
          <w:rFonts w:asciiTheme="minorEastAsia" w:hAnsiTheme="minorEastAsia" w:hint="eastAsia"/>
          <w:color w:val="0D0D0D" w:themeColor="text1" w:themeTint="F2"/>
        </w:rPr>
        <w:t>、《基金合同》生效后与基金相关的信息披露费用，但法律法规、中国证监会另有规定的除外；</w:t>
      </w:r>
    </w:p>
    <w:p w14:paraId="48702C8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5</w:t>
      </w:r>
      <w:r w:rsidRPr="00B56A57">
        <w:rPr>
          <w:rFonts w:asciiTheme="minorEastAsia" w:hAnsiTheme="minorEastAsia" w:hint="eastAsia"/>
          <w:color w:val="0D0D0D" w:themeColor="text1" w:themeTint="F2"/>
        </w:rPr>
        <w:t>、《基金合同》生效后与基金相关的会计师费、律师费</w:t>
      </w:r>
      <w:r w:rsidRPr="00B56A57">
        <w:rPr>
          <w:rFonts w:asciiTheme="minorEastAsia" w:eastAsiaTheme="minorEastAsia" w:hAnsiTheme="minorEastAsia" w:hint="eastAsia"/>
          <w:color w:val="0D0D0D" w:themeColor="text1" w:themeTint="F2"/>
        </w:rPr>
        <w:t>、公证费、仲裁费</w:t>
      </w:r>
      <w:r w:rsidRPr="00B56A57">
        <w:rPr>
          <w:rFonts w:asciiTheme="minorEastAsia" w:hAnsiTheme="minorEastAsia" w:hint="eastAsia"/>
          <w:color w:val="0D0D0D" w:themeColor="text1" w:themeTint="F2"/>
        </w:rPr>
        <w:t>和诉讼费；</w:t>
      </w:r>
    </w:p>
    <w:p w14:paraId="1268390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6</w:t>
      </w:r>
      <w:r w:rsidRPr="00B56A57">
        <w:rPr>
          <w:rFonts w:asciiTheme="minorEastAsia" w:hAnsiTheme="minorEastAsia" w:hint="eastAsia"/>
          <w:color w:val="0D0D0D" w:themeColor="text1" w:themeTint="F2"/>
        </w:rPr>
        <w:t>、基金份额持有人大会费用；</w:t>
      </w:r>
    </w:p>
    <w:p w14:paraId="4360145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7</w:t>
      </w:r>
      <w:r w:rsidRPr="00B56A57">
        <w:rPr>
          <w:rFonts w:asciiTheme="minorEastAsia" w:hAnsiTheme="minorEastAsia" w:hint="eastAsia"/>
          <w:color w:val="0D0D0D" w:themeColor="text1" w:themeTint="F2"/>
        </w:rPr>
        <w:t>、基金银行汇划费用</w:t>
      </w:r>
      <w:r w:rsidRPr="00B56A57">
        <w:rPr>
          <w:rFonts w:asciiTheme="minorEastAsia" w:eastAsiaTheme="minorEastAsia" w:hAnsiTheme="minorEastAsia" w:hint="eastAsia"/>
          <w:color w:val="0D0D0D" w:themeColor="text1" w:themeTint="F2"/>
        </w:rPr>
        <w:t>、账户开户及维护费用</w:t>
      </w:r>
      <w:r w:rsidRPr="00B56A57">
        <w:rPr>
          <w:rFonts w:asciiTheme="minorEastAsia" w:hAnsiTheme="minorEastAsia" w:hint="eastAsia"/>
          <w:color w:val="0D0D0D" w:themeColor="text1" w:themeTint="F2"/>
        </w:rPr>
        <w:t>；</w:t>
      </w:r>
    </w:p>
    <w:p w14:paraId="57F9F951"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hAnsiTheme="minorEastAsia"/>
          <w:color w:val="0D0D0D" w:themeColor="text1" w:themeTint="F2"/>
        </w:rPr>
        <w:t>8</w:t>
      </w:r>
      <w:r w:rsidRPr="00B56A57">
        <w:rPr>
          <w:rFonts w:asciiTheme="minorEastAsia" w:eastAsiaTheme="minorEastAsia" w:hAnsiTheme="minorEastAsia" w:hint="eastAsia"/>
          <w:color w:val="0D0D0D" w:themeColor="text1" w:themeTint="F2"/>
        </w:rPr>
        <w:t>、基金上市费及年费、场内注册登记费用、</w:t>
      </w:r>
      <w:r w:rsidRPr="00B56A57">
        <w:rPr>
          <w:rFonts w:asciiTheme="minorEastAsia" w:eastAsiaTheme="minorEastAsia" w:hAnsiTheme="minorEastAsia"/>
          <w:color w:val="0D0D0D" w:themeColor="text1" w:themeTint="F2"/>
        </w:rPr>
        <w:t>IOPV计算与发布费用；</w:t>
      </w:r>
    </w:p>
    <w:p w14:paraId="2BDE87D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9、收益分配中发生的费用（银行转账或其他手续费用除外）；</w:t>
      </w:r>
    </w:p>
    <w:p w14:paraId="130E4722"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10、因投资港股通标的股票而产生的各项合理费用；</w:t>
      </w:r>
    </w:p>
    <w:p w14:paraId="25CB98C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11、基金依照有关法律法规应当缴纳的，购买或处置证券有关的任何税收、征费、关税、印花税、预扣提税（以及与前述各项有关的任何利息及费用）（简称“税收”）及基金缴纳税收有关的手续费、汇款费、顾问费等；</w:t>
      </w:r>
    </w:p>
    <w:p w14:paraId="0EB0D15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12</w:t>
      </w:r>
      <w:r w:rsidRPr="00B56A57">
        <w:rPr>
          <w:rFonts w:asciiTheme="minorEastAsia" w:hAnsiTheme="minorEastAsia" w:hint="eastAsia"/>
          <w:color w:val="0D0D0D" w:themeColor="text1" w:themeTint="F2"/>
        </w:rPr>
        <w:t>、按照国家有关规定和《基金合同》约定，可以在基金财产中列支的其他费用。</w:t>
      </w:r>
    </w:p>
    <w:p w14:paraId="305B3E7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lastRenderedPageBreak/>
        <w:t>（二）基金费用计提方法、计提标准和支付方式</w:t>
      </w:r>
    </w:p>
    <w:p w14:paraId="3778F30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、基金管理人的管理费</w:t>
      </w:r>
    </w:p>
    <w:p w14:paraId="360F9D5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本基金的管理费按前一日基金资产净值的</w:t>
      </w:r>
      <w:r w:rsidRPr="00B56A57">
        <w:rPr>
          <w:rFonts w:asciiTheme="minorEastAsia" w:eastAsiaTheme="minorEastAsia" w:hAnsiTheme="minorEastAsia"/>
          <w:color w:val="0D0D0D" w:themeColor="text1" w:themeTint="F2"/>
        </w:rPr>
        <w:t>0.50</w:t>
      </w:r>
      <w:r w:rsidRPr="00B56A57">
        <w:rPr>
          <w:rFonts w:asciiTheme="minorEastAsia" w:hAnsiTheme="minorEastAsia"/>
          <w:color w:val="0D0D0D" w:themeColor="text1" w:themeTint="F2"/>
        </w:rPr>
        <w:t>%</w:t>
      </w:r>
      <w:r w:rsidRPr="00B56A57">
        <w:rPr>
          <w:rFonts w:asciiTheme="minorEastAsia" w:hAnsiTheme="minorEastAsia" w:hint="eastAsia"/>
          <w:color w:val="0D0D0D" w:themeColor="text1" w:themeTint="F2"/>
        </w:rPr>
        <w:t>年费率计提。管理费的计算方法如下：</w:t>
      </w:r>
    </w:p>
    <w:p w14:paraId="101512D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H</w:t>
      </w: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E×</w:t>
      </w:r>
      <w:r w:rsidRPr="00B56A57">
        <w:rPr>
          <w:rFonts w:asciiTheme="minorEastAsia" w:eastAsiaTheme="minorEastAsia" w:hAnsiTheme="minorEastAsia"/>
          <w:color w:val="0D0D0D" w:themeColor="text1" w:themeTint="F2"/>
        </w:rPr>
        <w:t>0.50</w:t>
      </w:r>
      <w:r w:rsidRPr="00B56A57">
        <w:rPr>
          <w:rFonts w:asciiTheme="minorEastAsia" w:hAnsiTheme="minorEastAsia"/>
          <w:color w:val="0D0D0D" w:themeColor="text1" w:themeTint="F2"/>
        </w:rPr>
        <w:t>%÷当年天数</w:t>
      </w:r>
    </w:p>
    <w:p w14:paraId="138086F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H</w:t>
      </w:r>
      <w:r w:rsidRPr="00B56A57">
        <w:rPr>
          <w:rFonts w:asciiTheme="minorEastAsia" w:hAnsiTheme="minorEastAsia" w:hint="eastAsia"/>
          <w:color w:val="0D0D0D" w:themeColor="text1" w:themeTint="F2"/>
        </w:rPr>
        <w:t>为每日应计提的基金管理费</w:t>
      </w:r>
    </w:p>
    <w:p w14:paraId="44C688C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E</w:t>
      </w:r>
      <w:r w:rsidRPr="00B56A57">
        <w:rPr>
          <w:rFonts w:asciiTheme="minorEastAsia" w:hAnsiTheme="minorEastAsia" w:hint="eastAsia"/>
          <w:color w:val="0D0D0D" w:themeColor="text1" w:themeTint="F2"/>
        </w:rPr>
        <w:t>为前一日的基金资产净值</w:t>
      </w:r>
    </w:p>
    <w:p w14:paraId="0F7AD68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基金管理费每日计提，按月支付。基金管理人与基金托管人双方核对无误后，基金托管人按照与基金管理人协商一致的方式于次月前</w:t>
      </w:r>
      <w:r w:rsidRPr="00B56A57">
        <w:rPr>
          <w:rFonts w:asciiTheme="minorEastAsia" w:hAnsiTheme="minorEastAsia"/>
          <w:color w:val="0D0D0D" w:themeColor="text1" w:themeTint="F2"/>
        </w:rPr>
        <w:t>3个工作日内从基金财产中一次性支付给基金管理人。若遇法定节假日、公休假或不可抗力等，支付日期顺延。</w:t>
      </w:r>
    </w:p>
    <w:p w14:paraId="76839E8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、基金托管人的托管费</w:t>
      </w:r>
    </w:p>
    <w:p w14:paraId="32666DF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本基金的托管费按前一日基金资产净值的</w:t>
      </w:r>
      <w:r w:rsidRPr="00B56A57">
        <w:rPr>
          <w:rFonts w:asciiTheme="minorEastAsia" w:eastAsiaTheme="minorEastAsia" w:hAnsiTheme="minorEastAsia"/>
          <w:color w:val="0D0D0D" w:themeColor="text1" w:themeTint="F2"/>
        </w:rPr>
        <w:t>0.10%</w:t>
      </w:r>
      <w:r w:rsidRPr="00B56A57">
        <w:rPr>
          <w:rFonts w:asciiTheme="minorEastAsia" w:hAnsiTheme="minorEastAsia" w:hint="eastAsia"/>
          <w:color w:val="0D0D0D" w:themeColor="text1" w:themeTint="F2"/>
        </w:rPr>
        <w:t>年费率计提。托管费的计算方法如下：</w:t>
      </w:r>
    </w:p>
    <w:p w14:paraId="1E94DE5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H</w:t>
      </w: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E×</w:t>
      </w:r>
      <w:r w:rsidRPr="00B56A57">
        <w:rPr>
          <w:rFonts w:asciiTheme="minorEastAsia" w:eastAsiaTheme="minorEastAsia" w:hAnsiTheme="minorEastAsia"/>
          <w:color w:val="0D0D0D" w:themeColor="text1" w:themeTint="F2"/>
        </w:rPr>
        <w:t>0.10</w:t>
      </w:r>
      <w:r w:rsidRPr="00B56A57">
        <w:rPr>
          <w:rFonts w:asciiTheme="minorEastAsia" w:hAnsiTheme="minorEastAsia"/>
          <w:color w:val="0D0D0D" w:themeColor="text1" w:themeTint="F2"/>
        </w:rPr>
        <w:t>%÷当年天数</w:t>
      </w:r>
    </w:p>
    <w:p w14:paraId="5021978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H</w:t>
      </w:r>
      <w:r w:rsidRPr="00B56A57">
        <w:rPr>
          <w:rFonts w:asciiTheme="minorEastAsia" w:hAnsiTheme="minorEastAsia" w:hint="eastAsia"/>
          <w:color w:val="0D0D0D" w:themeColor="text1" w:themeTint="F2"/>
        </w:rPr>
        <w:t>为每日应计提的基金托管费</w:t>
      </w:r>
    </w:p>
    <w:p w14:paraId="33BDEDA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E</w:t>
      </w:r>
      <w:r w:rsidRPr="00B56A57">
        <w:rPr>
          <w:rFonts w:asciiTheme="minorEastAsia" w:hAnsiTheme="minorEastAsia" w:hint="eastAsia"/>
          <w:color w:val="0D0D0D" w:themeColor="text1" w:themeTint="F2"/>
        </w:rPr>
        <w:t>为前一日的基金资产净值</w:t>
      </w:r>
    </w:p>
    <w:p w14:paraId="1854006F"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基金托管费每日计提，按月支付。基金管理人与基金托管人双方核对无误后，基金托管人按照与基金管理人协商一致的方式于次月前</w:t>
      </w:r>
      <w:r w:rsidRPr="00B56A57">
        <w:rPr>
          <w:rFonts w:asciiTheme="minorEastAsia" w:hAnsiTheme="minorEastAsia"/>
          <w:color w:val="0D0D0D" w:themeColor="text1" w:themeTint="F2"/>
        </w:rPr>
        <w:t>3个工作日内从基金财产中一次性支取。若遇法定节假日、公休假或不可抗力等，支付日期顺延。</w:t>
      </w:r>
    </w:p>
    <w:p w14:paraId="69A15C1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上述“（一）基金费用的种类”中第</w:t>
      </w:r>
      <w:r w:rsidRPr="00B56A57">
        <w:rPr>
          <w:rFonts w:asciiTheme="minorEastAsia" w:eastAsiaTheme="minorEastAsia" w:hAnsiTheme="minorEastAsia"/>
          <w:color w:val="0D0D0D" w:themeColor="text1" w:themeTint="F2"/>
        </w:rPr>
        <w:t>3－12项费用，根据有关法规及相应协议规定，按费用实际支出金额列入当期费用，由基金托管人从基金财产中支付。</w:t>
      </w:r>
    </w:p>
    <w:p w14:paraId="6E56E04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（三）不列入基金费用的项目</w:t>
      </w:r>
    </w:p>
    <w:p w14:paraId="15E702A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下列费用不列入基金费用：</w:t>
      </w:r>
    </w:p>
    <w:p w14:paraId="5A5D61B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1、基金管理人和基金托管人因未履行或未完全履行义务导致的费用支出或基金财产的损失；</w:t>
      </w:r>
    </w:p>
    <w:p w14:paraId="4B7A60E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2、基金管理人和基金托管人处理与基金运作无关的事项发生的费用；</w:t>
      </w:r>
    </w:p>
    <w:p w14:paraId="30E54DD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3、《基金合同》生效前的相关费用；</w:t>
      </w:r>
    </w:p>
    <w:p w14:paraId="67E75671"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4、指数许可使用费</w:t>
      </w:r>
    </w:p>
    <w:p w14:paraId="30EC0F22" w14:textId="77777777" w:rsidR="00217DCA" w:rsidRPr="00B56A57" w:rsidRDefault="006C7341">
      <w:pPr>
        <w:adjustRightInd w:val="0"/>
        <w:snapToGrid w:val="0"/>
        <w:spacing w:line="360" w:lineRule="auto"/>
        <w:ind w:firstLineChars="200" w:firstLine="420"/>
        <w:rPr>
          <w:rFonts w:ascii="宋体" w:hAnsi="宋体" w:cs="Arial"/>
          <w:bCs/>
          <w:kern w:val="0"/>
          <w:szCs w:val="21"/>
        </w:rPr>
      </w:pPr>
      <w:r w:rsidRPr="00B56A57">
        <w:rPr>
          <w:rFonts w:asciiTheme="minorEastAsia" w:eastAsiaTheme="minorEastAsia" w:hAnsiTheme="minorEastAsia" w:hint="eastAsia"/>
          <w:color w:val="0D0D0D" w:themeColor="text1" w:themeTint="F2"/>
          <w:szCs w:val="21"/>
        </w:rPr>
        <w:t>本基金按照基金管理人与标的指数许可方所签订的指数使用许可协议中所规定的指数许可使用费计提方法支付指数许可使用费，</w:t>
      </w:r>
      <w:r w:rsidRPr="00B56A57">
        <w:rPr>
          <w:rFonts w:ascii="宋体" w:hAnsi="宋体" w:cs="Arial" w:hint="eastAsia"/>
          <w:bCs/>
          <w:kern w:val="0"/>
          <w:szCs w:val="21"/>
        </w:rPr>
        <w:t>该指数许可使用费由基金管理人承担，不得从基金财产中列支</w:t>
      </w:r>
      <w:r w:rsidRPr="00B56A57">
        <w:rPr>
          <w:rFonts w:asciiTheme="minorEastAsia" w:eastAsiaTheme="minorEastAsia" w:hAnsiTheme="minorEastAsia" w:hint="eastAsia"/>
          <w:color w:val="0D0D0D" w:themeColor="text1" w:themeTint="F2"/>
          <w:szCs w:val="21"/>
        </w:rPr>
        <w:t>。</w:t>
      </w:r>
    </w:p>
    <w:p w14:paraId="6B0D5C4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szCs w:val="21"/>
        </w:rPr>
      </w:pPr>
      <w:r w:rsidRPr="00B56A57">
        <w:rPr>
          <w:rFonts w:asciiTheme="minorEastAsia" w:eastAsiaTheme="minorEastAsia" w:hAnsiTheme="minorEastAsia" w:hint="eastAsia"/>
          <w:color w:val="0D0D0D" w:themeColor="text1" w:themeTint="F2"/>
          <w:szCs w:val="21"/>
        </w:rPr>
        <w:t>如果指数许可使用费的计算方法、费率、支付方式和费用承担方等发生调整，本基金将采用调整后的方法或费率计算指数许可使用费；</w:t>
      </w:r>
    </w:p>
    <w:p w14:paraId="7A99C9D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5、其他根据相关法律法规及中国证监会的有关规定不得列入基金费用的项目。</w:t>
      </w:r>
    </w:p>
    <w:p w14:paraId="78E1F46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（四）基金税收</w:t>
      </w:r>
    </w:p>
    <w:p w14:paraId="0F6B1560"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hAnsiTheme="minorEastAsia" w:hint="eastAsia"/>
          <w:color w:val="0D0D0D" w:themeColor="text1" w:themeTint="F2"/>
        </w:rPr>
        <w:lastRenderedPageBreak/>
        <w:t>本基金运作过程中涉及的各纳税主体，其纳税义务按国家税收法律、法规执行。基金财产投资的相关税收，由基金份额持有人承担，基金管理人或者其他扣缴义务人按照国家有关税收征收的规定代扣代缴。</w:t>
      </w:r>
    </w:p>
    <w:p w14:paraId="1A1FCFA1"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五、基金资产的投资范围和投资限制</w:t>
      </w:r>
    </w:p>
    <w:p w14:paraId="516D1F7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（一）投资范围</w:t>
      </w:r>
    </w:p>
    <w:p w14:paraId="625CF91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本基金主要投资于标的指数成份股和备选成份股（含存托凭证）。</w:t>
      </w:r>
    </w:p>
    <w:p w14:paraId="23CDA20E"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为更好地实现基金的投资目标，本基金可少量投资于依法发行上市的其他港股通标的股票等非成份股（含存托凭证）、债券（包括国债、金融债、地方政府债、政府支持机构债券、企业债、公司债、可转换债券（含分离交易可转债的纯债部分）、可交换债券、央行票据、短期融资券、超短期融资券、中期票据等）、国债期货、股指期货、股票期权、货币市场工具（包括银行存款、同业存单等）、债券回购、资产支持证券以及法律法规或中国证监会允许基金投资的其他金融工具（但须符合中国证监会的相关规定）。</w:t>
      </w:r>
    </w:p>
    <w:p w14:paraId="22CEC8BB" w14:textId="258A4C65"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本基金将根据法律法规的规定参与融资及转融通证券出借业务。</w:t>
      </w:r>
    </w:p>
    <w:p w14:paraId="71F7790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本基金投资于标的指数成份股和备选成份股（含存托凭证）的资产比例不低于基金资产净值的</w:t>
      </w:r>
      <w:r w:rsidRPr="00B56A57">
        <w:rPr>
          <w:rFonts w:asciiTheme="minorEastAsia" w:hAnsiTheme="minorEastAsia"/>
          <w:color w:val="0D0D0D" w:themeColor="text1" w:themeTint="F2"/>
        </w:rPr>
        <w:t>90%；本基金每个交易日日终在扣除股指期货、股票期权和国债期货合约需缴纳的交易保证金后，应当保持不低于交易保证金一倍的现金，其中现金不包括结算备付金、存出保证金、应收申购款等；股指期货、股票期权、国债期货及其他金融工具的投资比例依照法律法规或监管机构的规定执行。</w:t>
      </w:r>
    </w:p>
    <w:p w14:paraId="3DEA4214" w14:textId="77777777" w:rsidR="00217DCA" w:rsidRPr="00B56A57" w:rsidRDefault="006C7341">
      <w:pPr>
        <w:adjustRightInd w:val="0"/>
        <w:snapToGrid w:val="0"/>
        <w:spacing w:line="360" w:lineRule="auto"/>
        <w:rPr>
          <w:rFonts w:asciiTheme="minorEastAsia" w:eastAsiaTheme="minorEastAsia" w:hAnsiTheme="minorEastAsia"/>
          <w:color w:val="0D0D0D" w:themeColor="text1" w:themeTint="F2"/>
        </w:rPr>
      </w:pPr>
      <w:r w:rsidRPr="00B56A57">
        <w:rPr>
          <w:rFonts w:asciiTheme="minorEastAsia" w:hAnsiTheme="minorEastAsia" w:hint="eastAsia"/>
          <w:color w:val="0D0D0D" w:themeColor="text1" w:themeTint="F2"/>
        </w:rPr>
        <w:t>若法律法规的相关规定发生变更或监管机构允许，本基金管理人在履行适当程序后，可对上述资产配置比例进行调整。</w:t>
      </w:r>
    </w:p>
    <w:p w14:paraId="5EF5D8F3"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（二）投资限制</w:t>
      </w:r>
    </w:p>
    <w:p w14:paraId="1890BA65"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1、组合限制</w:t>
      </w:r>
    </w:p>
    <w:p w14:paraId="034B7F8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基金的投资组合应遵循以下限制：</w:t>
      </w:r>
    </w:p>
    <w:p w14:paraId="0268E2F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1）本基金投资</w:t>
      </w:r>
      <w:r w:rsidRPr="00B56A57">
        <w:rPr>
          <w:rFonts w:asciiTheme="minorEastAsia" w:eastAsiaTheme="minorEastAsia" w:hAnsiTheme="minorEastAsia" w:hint="eastAsia"/>
          <w:color w:val="0D0D0D" w:themeColor="text1" w:themeTint="F2"/>
        </w:rPr>
        <w:t>于标的指数成份股和备选成份股（含存托凭证）的资产</w:t>
      </w:r>
      <w:r w:rsidRPr="00B56A57">
        <w:rPr>
          <w:rFonts w:asciiTheme="minorEastAsia" w:hAnsiTheme="minorEastAsia" w:hint="eastAsia"/>
          <w:color w:val="0D0D0D" w:themeColor="text1" w:themeTint="F2"/>
        </w:rPr>
        <w:t>比例不低于基金资产净值</w:t>
      </w:r>
      <w:r w:rsidRPr="00B56A57">
        <w:rPr>
          <w:rFonts w:asciiTheme="minorEastAsia" w:eastAsiaTheme="minorEastAsia" w:hAnsiTheme="minorEastAsia" w:hint="eastAsia"/>
          <w:color w:val="0D0D0D" w:themeColor="text1" w:themeTint="F2"/>
        </w:rPr>
        <w:t>的</w:t>
      </w:r>
      <w:r w:rsidRPr="00B56A57">
        <w:rPr>
          <w:rFonts w:asciiTheme="minorEastAsia" w:eastAsiaTheme="minorEastAsia" w:hAnsiTheme="minorEastAsia"/>
          <w:color w:val="0D0D0D" w:themeColor="text1" w:themeTint="F2"/>
        </w:rPr>
        <w:t>90%；</w:t>
      </w:r>
    </w:p>
    <w:p w14:paraId="0CD7238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2</w:t>
      </w:r>
      <w:r w:rsidRPr="00B56A57">
        <w:rPr>
          <w:rFonts w:asciiTheme="minorEastAsia" w:eastAsiaTheme="minorEastAsia" w:hAnsiTheme="minorEastAsia" w:hint="eastAsia"/>
          <w:color w:val="0D0D0D" w:themeColor="text1" w:themeTint="F2"/>
        </w:rPr>
        <w:t>）本基金每个交易日日终在扣除国债期货、股指期货和股票期权合约需缴纳的交易保证金后，应当保持不低于交易保证金一倍的现金，其中现金不包括结算备付金、存出保证金和应收申购款等；</w:t>
      </w:r>
    </w:p>
    <w:p w14:paraId="347AB2B4"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3）本基金参与股指期货交易依据下列标准建构组合：</w:t>
      </w:r>
    </w:p>
    <w:p w14:paraId="62266C3D"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在任何交易日日终，持有的买入股指期货合约价值，不得超过基金资产净值的</w:t>
      </w:r>
      <w:r w:rsidRPr="00B56A57">
        <w:rPr>
          <w:rFonts w:asciiTheme="minorEastAsia" w:eastAsiaTheme="minorEastAsia" w:hAnsiTheme="minorEastAsia"/>
          <w:color w:val="0D0D0D" w:themeColor="text1" w:themeTint="F2"/>
        </w:rPr>
        <w:t>10%；在任何交易日日终，持有的卖出股指期货合约价值不得超过基金持有的股票总市值的20%；在任何交易日内交易（不包括平仓）的股指期货合约的成交金额不得超过上一交易日基金资产净值的</w:t>
      </w:r>
      <w:r w:rsidRPr="00B56A57">
        <w:rPr>
          <w:rFonts w:asciiTheme="minorEastAsia" w:eastAsiaTheme="minorEastAsia" w:hAnsiTheme="minorEastAsia"/>
          <w:color w:val="0D0D0D" w:themeColor="text1" w:themeTint="F2"/>
        </w:rPr>
        <w:lastRenderedPageBreak/>
        <w:t>20%；本基金所持有的股票市值和买入、卖出股指期货合约价值，合计（轧差计算）应当符合基金合同关于股票投资比例有关约定；</w:t>
      </w:r>
    </w:p>
    <w:p w14:paraId="7713476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4</w:t>
      </w:r>
      <w:r w:rsidRPr="00B56A57">
        <w:rPr>
          <w:rFonts w:asciiTheme="minorEastAsia" w:eastAsiaTheme="minorEastAsia" w:hAnsiTheme="minorEastAsia" w:hint="eastAsia"/>
          <w:color w:val="0D0D0D" w:themeColor="text1" w:themeTint="F2"/>
        </w:rPr>
        <w:t>）本基金参与国债期货交易依据下列标准建构组合：</w:t>
      </w:r>
    </w:p>
    <w:p w14:paraId="39A76C86"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在任何交易日日终，持有的买入国债期货合约价值，不得超过基金资产净值的</w:t>
      </w:r>
      <w:r w:rsidRPr="00B56A57">
        <w:rPr>
          <w:rFonts w:asciiTheme="minorEastAsia" w:eastAsiaTheme="minorEastAsia" w:hAnsiTheme="minorEastAsia"/>
          <w:color w:val="0D0D0D" w:themeColor="text1" w:themeTint="F2"/>
        </w:rPr>
        <w:t>15%；在任何交易日日终，持有的卖出国债期货合约价值不得超过基金持有的债券总市值的30%；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14:paraId="66FB2160"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5</w:t>
      </w:r>
      <w:r w:rsidRPr="00B56A57">
        <w:rPr>
          <w:rFonts w:asciiTheme="minorEastAsia" w:eastAsiaTheme="minorEastAsia" w:hAnsiTheme="minorEastAsia" w:hint="eastAsia"/>
          <w:color w:val="0D0D0D" w:themeColor="text1" w:themeTint="F2"/>
        </w:rPr>
        <w:t>）在任何交易日日终，持有的买入国债期货和股指期货合约价值与有价证券市值之和，不得超过基金资产净值的</w:t>
      </w:r>
      <w:r w:rsidRPr="00B56A57">
        <w:rPr>
          <w:rFonts w:asciiTheme="minorEastAsia" w:eastAsiaTheme="minorEastAsia" w:hAnsiTheme="minorEastAsia"/>
          <w:color w:val="0D0D0D" w:themeColor="text1" w:themeTint="F2"/>
        </w:rPr>
        <w:t>100%，其中，有价证券指股票、债券（不含到期日在一年以内的政府债券）、资产支持证券、买入返售金融资产（不含质押式回购）等；</w:t>
      </w:r>
    </w:p>
    <w:p w14:paraId="4B3C51C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6）本基金持有的全部资产支持证券，其市值不得超过基金资产净值的20％；</w:t>
      </w:r>
    </w:p>
    <w:p w14:paraId="6419A9A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7</w:t>
      </w:r>
      <w:r w:rsidRPr="00B56A57">
        <w:rPr>
          <w:rFonts w:asciiTheme="minorEastAsia" w:hAnsiTheme="minorEastAsia" w:hint="eastAsia"/>
          <w:color w:val="0D0D0D" w:themeColor="text1" w:themeTint="F2"/>
        </w:rPr>
        <w:t>）本基金投资于同一原始权益人的各类资产支持证券的比例，不得超过基金资产净值的</w:t>
      </w:r>
      <w:r w:rsidRPr="00B56A57">
        <w:rPr>
          <w:rFonts w:asciiTheme="minorEastAsia" w:hAnsiTheme="minorEastAsia"/>
          <w:color w:val="0D0D0D" w:themeColor="text1" w:themeTint="F2"/>
        </w:rPr>
        <w:t>10％；</w:t>
      </w:r>
    </w:p>
    <w:p w14:paraId="478DBF7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8</w:t>
      </w:r>
      <w:r w:rsidRPr="00B56A57">
        <w:rPr>
          <w:rFonts w:asciiTheme="minorEastAsia" w:hAnsiTheme="minorEastAsia" w:hint="eastAsia"/>
          <w:color w:val="0D0D0D" w:themeColor="text1" w:themeTint="F2"/>
        </w:rPr>
        <w:t>）本基金持有的同一</w:t>
      </w:r>
      <w:r w:rsidRPr="00B56A57">
        <w:rPr>
          <w:rFonts w:asciiTheme="minorEastAsia" w:hAnsiTheme="minorEastAsia"/>
          <w:color w:val="0D0D0D" w:themeColor="text1" w:themeTint="F2"/>
        </w:rPr>
        <w:t>(指同一信用级别)资产支持证券的比例，不得超过该资产支持证券规模的10％；</w:t>
      </w:r>
    </w:p>
    <w:p w14:paraId="23F6E54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9</w:t>
      </w:r>
      <w:r w:rsidRPr="00B56A57">
        <w:rPr>
          <w:rFonts w:asciiTheme="minorEastAsia" w:hAnsiTheme="minorEastAsia" w:hint="eastAsia"/>
          <w:color w:val="0D0D0D" w:themeColor="text1" w:themeTint="F2"/>
        </w:rPr>
        <w:t>）本基金管理人管理的全部基金投资于同一原始权益人的各类资产支持证券，不得超过其各类资产支持证券合计规模的</w:t>
      </w:r>
      <w:r w:rsidRPr="00B56A57">
        <w:rPr>
          <w:rFonts w:asciiTheme="minorEastAsia" w:hAnsiTheme="minorEastAsia"/>
          <w:color w:val="0D0D0D" w:themeColor="text1" w:themeTint="F2"/>
        </w:rPr>
        <w:t>10％；</w:t>
      </w:r>
    </w:p>
    <w:p w14:paraId="51C61B8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10</w:t>
      </w:r>
      <w:r w:rsidRPr="00B56A57">
        <w:rPr>
          <w:rFonts w:asciiTheme="minorEastAsia" w:hAnsiTheme="minorEastAsia" w:hint="eastAsia"/>
          <w:color w:val="0D0D0D" w:themeColor="text1" w:themeTint="F2"/>
        </w:rPr>
        <w:t>）本基金应投资于信用级别评级为</w:t>
      </w:r>
      <w:r w:rsidRPr="00B56A57">
        <w:rPr>
          <w:rFonts w:asciiTheme="minorEastAsia" w:hAnsiTheme="minorEastAsia"/>
          <w:color w:val="0D0D0D" w:themeColor="text1" w:themeTint="F2"/>
        </w:rPr>
        <w:t>BBB以上(含BBB)的资产支持证券。基金持有资产支持证券期间，如果其信用等级下降、不再符合投资标准，应在评级报告发布之日起3个月内予以全部卖出；</w:t>
      </w:r>
    </w:p>
    <w:p w14:paraId="381BAC6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11</w:t>
      </w:r>
      <w:r w:rsidRPr="00B56A57">
        <w:rPr>
          <w:rFonts w:asciiTheme="minorEastAsia" w:hAnsiTheme="minorEastAsia" w:hint="eastAsia"/>
          <w:color w:val="0D0D0D" w:themeColor="text1" w:themeTint="F2"/>
        </w:rPr>
        <w:t>）基金财产参与股票发行申购，本基金所申报的金额不超过本基金的总资产，本基金所申报的股票数量不超过拟发行股票公司本次发行股票的总量；</w:t>
      </w:r>
    </w:p>
    <w:p w14:paraId="18B14CB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12</w:t>
      </w:r>
      <w:r w:rsidRPr="00B56A57">
        <w:rPr>
          <w:rFonts w:asciiTheme="minorEastAsia" w:hAnsiTheme="minorEastAsia" w:hint="eastAsia"/>
          <w:color w:val="0D0D0D" w:themeColor="text1" w:themeTint="F2"/>
        </w:rPr>
        <w:t>）本基金进入全国银行间同业市场进行债券回购的资金余额不得超过基金资产净值的</w:t>
      </w:r>
      <w:r w:rsidRPr="00B56A57">
        <w:rPr>
          <w:rFonts w:asciiTheme="minorEastAsia" w:hAnsiTheme="minorEastAsia"/>
          <w:color w:val="0D0D0D" w:themeColor="text1" w:themeTint="F2"/>
        </w:rPr>
        <w:t>40%</w:t>
      </w:r>
      <w:r w:rsidRPr="00B56A57">
        <w:rPr>
          <w:rFonts w:asciiTheme="minorEastAsia" w:eastAsiaTheme="minorEastAsia" w:hAnsiTheme="minorEastAsia" w:hint="eastAsia"/>
          <w:color w:val="0D0D0D" w:themeColor="text1" w:themeTint="F2"/>
        </w:rPr>
        <w:t>；在</w:t>
      </w:r>
      <w:r w:rsidRPr="00B56A57">
        <w:rPr>
          <w:rFonts w:asciiTheme="minorEastAsia" w:hAnsiTheme="minorEastAsia" w:hint="eastAsia"/>
          <w:color w:val="0D0D0D" w:themeColor="text1" w:themeTint="F2"/>
        </w:rPr>
        <w:t>全国银行间同业市场</w:t>
      </w:r>
      <w:r w:rsidRPr="00B56A57">
        <w:rPr>
          <w:rFonts w:asciiTheme="minorEastAsia" w:eastAsiaTheme="minorEastAsia" w:hAnsiTheme="minorEastAsia" w:hint="eastAsia"/>
          <w:color w:val="0D0D0D" w:themeColor="text1" w:themeTint="F2"/>
        </w:rPr>
        <w:t>中的</w:t>
      </w:r>
      <w:r w:rsidRPr="00B56A57">
        <w:rPr>
          <w:rFonts w:asciiTheme="minorEastAsia" w:hAnsiTheme="minorEastAsia" w:hint="eastAsia"/>
          <w:color w:val="0D0D0D" w:themeColor="text1" w:themeTint="F2"/>
        </w:rPr>
        <w:t>债券回购最长期限为</w:t>
      </w:r>
      <w:r w:rsidRPr="00B56A57">
        <w:rPr>
          <w:rFonts w:asciiTheme="minorEastAsia" w:hAnsiTheme="minorEastAsia"/>
          <w:color w:val="0D0D0D" w:themeColor="text1" w:themeTint="F2"/>
        </w:rPr>
        <w:t>1年，债券回购到期后</w:t>
      </w:r>
      <w:r w:rsidRPr="00B56A57">
        <w:rPr>
          <w:rFonts w:asciiTheme="minorEastAsia" w:eastAsiaTheme="minorEastAsia" w:hAnsiTheme="minorEastAsia" w:hint="eastAsia"/>
          <w:color w:val="0D0D0D" w:themeColor="text1" w:themeTint="F2"/>
        </w:rPr>
        <w:t>不</w:t>
      </w:r>
      <w:r w:rsidRPr="00B56A57">
        <w:rPr>
          <w:rFonts w:asciiTheme="minorEastAsia" w:hAnsiTheme="minorEastAsia" w:hint="eastAsia"/>
          <w:color w:val="0D0D0D" w:themeColor="text1" w:themeTint="F2"/>
        </w:rPr>
        <w:t>展期；</w:t>
      </w:r>
    </w:p>
    <w:p w14:paraId="64D836BB"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13）本基金资产总值不得超过基金资产净值的140%；</w:t>
      </w:r>
    </w:p>
    <w:p w14:paraId="55B89D9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14）本基金参与融资的，在任何交易日日终，本基金持有的融资买入股票与其他有价证券市值之和，不得超过基金资产净值的95%；</w:t>
      </w:r>
    </w:p>
    <w:p w14:paraId="26838FA4"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15）本基金参与转融通证券出借交易应当符合以下要求：</w:t>
      </w:r>
    </w:p>
    <w:p w14:paraId="202A46D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1）出借证券资产不得超过基金资产净值的30%，出借期限在10个交易日以上的出借证券应纳入《流动性风险管理规定》所述流动性受限证券的范围；</w:t>
      </w:r>
    </w:p>
    <w:p w14:paraId="10ED86A5"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2）参与出借业务的单只证券不得超过基金持有该证券总量的30%；</w:t>
      </w:r>
    </w:p>
    <w:p w14:paraId="0353332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lastRenderedPageBreak/>
        <w:t>3）最近6个月内日均基金资产净值不得低于2亿元；</w:t>
      </w:r>
    </w:p>
    <w:p w14:paraId="29DEE08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4）证券出借的平均剩余期限不得超过30天，平均剩余期限按照市值加权平均计算；</w:t>
      </w:r>
    </w:p>
    <w:p w14:paraId="6659323A"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因证券市场波动、上市公司合并、基金规模变动等基金管理人之外的因素致使基金投资不符合本条规定的，基金管理人不得新增出借业务；</w:t>
      </w:r>
    </w:p>
    <w:p w14:paraId="06E8C3F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16）</w:t>
      </w:r>
      <w:r w:rsidRPr="00B56A57">
        <w:rPr>
          <w:rFonts w:asciiTheme="minorEastAsia" w:eastAsiaTheme="minorEastAsia" w:hAnsiTheme="minorEastAsia" w:hint="eastAsia"/>
          <w:color w:val="0D0D0D" w:themeColor="text1" w:themeTint="F2"/>
        </w:rPr>
        <w:t>基金因未平仓的股票期权合约支付和收取的权利金总额不得超过基金资产净值的</w:t>
      </w:r>
      <w:r w:rsidRPr="00B56A57">
        <w:rPr>
          <w:rFonts w:asciiTheme="minorEastAsia" w:eastAsiaTheme="minorEastAsia" w:hAnsiTheme="minorEastAsia"/>
          <w:color w:val="0D0D0D" w:themeColor="text1" w:themeTint="F2"/>
        </w:rPr>
        <w:t>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20%。其中，合约面值按照行权价乘以合约乘数计算；基金投资股票期权应符合基金合同约定的比例限制（如股票仓位、个股占比等）、投资目标和风险收益特征；</w:t>
      </w:r>
    </w:p>
    <w:p w14:paraId="2C3AC0D7" w14:textId="1B80AFC0"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00160A52" w:rsidRPr="00B56A57">
        <w:rPr>
          <w:rFonts w:asciiTheme="minorEastAsia" w:eastAsiaTheme="minorEastAsia" w:hAnsiTheme="minorEastAsia"/>
          <w:color w:val="0D0D0D" w:themeColor="text1" w:themeTint="F2"/>
        </w:rPr>
        <w:t>17</w:t>
      </w:r>
      <w:r w:rsidRPr="00B56A57">
        <w:rPr>
          <w:rFonts w:asciiTheme="minorEastAsia" w:eastAsiaTheme="minorEastAsia" w:hAnsiTheme="minorEastAsia" w:hint="eastAsia"/>
          <w:color w:val="0D0D0D" w:themeColor="text1" w:themeTint="F2"/>
        </w:rPr>
        <w:t>）</w:t>
      </w:r>
      <w:r w:rsidRPr="00B56A57">
        <w:rPr>
          <w:rFonts w:asciiTheme="minorEastAsia" w:hAnsiTheme="minorEastAsia" w:hint="eastAsia"/>
          <w:color w:val="0D0D0D" w:themeColor="text1" w:themeTint="F2"/>
        </w:rPr>
        <w:t>本基金主动投资于流动性受限资产的市值合计不得超过基金资产净值的</w:t>
      </w:r>
      <w:r w:rsidRPr="00B56A57">
        <w:rPr>
          <w:rFonts w:asciiTheme="minorEastAsia" w:hAnsiTheme="minorEastAsia"/>
          <w:color w:val="0D0D0D" w:themeColor="text1" w:themeTint="F2"/>
        </w:rPr>
        <w:t>15%；因证券市场波动、上市公司股票停牌、基金规模变动等基金管理人之外的因素致使基金不符合该比例限制的，基金管理人不得主动新增流动性受限资产的投资；</w:t>
      </w:r>
    </w:p>
    <w:p w14:paraId="6504C4E8" w14:textId="32E32BD9"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00160A52" w:rsidRPr="00B56A57">
        <w:rPr>
          <w:rFonts w:asciiTheme="minorEastAsia" w:eastAsiaTheme="minorEastAsia" w:hAnsiTheme="minorEastAsia"/>
          <w:color w:val="0D0D0D" w:themeColor="text1" w:themeTint="F2"/>
        </w:rPr>
        <w:t>18</w:t>
      </w:r>
      <w:r w:rsidRPr="00B56A57">
        <w:rPr>
          <w:rFonts w:asciiTheme="minorEastAsia" w:hAnsiTheme="minorEastAsia" w:hint="eastAsia"/>
          <w:color w:val="0D0D0D" w:themeColor="text1" w:themeTint="F2"/>
        </w:rPr>
        <w:t>）本基金与私募类证券资管产品及中国证监会认定的其他主体为交易对手开展逆回购交易的，可接受质押品的资质要求应当与本基金合同约定的投资范围保持一致；</w:t>
      </w:r>
    </w:p>
    <w:p w14:paraId="0302D918" w14:textId="5015E82A"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00160A52" w:rsidRPr="00B56A57">
        <w:rPr>
          <w:rFonts w:asciiTheme="minorEastAsia" w:eastAsiaTheme="minorEastAsia" w:hAnsiTheme="minorEastAsia"/>
          <w:color w:val="0D0D0D" w:themeColor="text1" w:themeTint="F2"/>
        </w:rPr>
        <w:t>19</w:t>
      </w:r>
      <w:r w:rsidRPr="00B56A57">
        <w:rPr>
          <w:rFonts w:asciiTheme="minorEastAsia" w:hAnsiTheme="minorEastAsia" w:hint="eastAsia"/>
          <w:color w:val="0D0D0D" w:themeColor="text1" w:themeTint="F2"/>
        </w:rPr>
        <w:t>）法律法规及中国证监会规定的和《基金合同》约定的其他投资限制。</w:t>
      </w:r>
    </w:p>
    <w:p w14:paraId="1F4F14E9" w14:textId="71C3FE4C"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除</w:t>
      </w:r>
      <w:r w:rsidRPr="00B56A57">
        <w:rPr>
          <w:rFonts w:asciiTheme="minorEastAsia" w:eastAsiaTheme="minorEastAsia" w:hAnsiTheme="minorEastAsia" w:hint="eastAsia"/>
          <w:color w:val="0D0D0D" w:themeColor="text1" w:themeTint="F2"/>
        </w:rPr>
        <w:t>第（</w:t>
      </w:r>
      <w:r w:rsidRPr="00B56A57">
        <w:rPr>
          <w:rFonts w:asciiTheme="minorEastAsia" w:eastAsiaTheme="minorEastAsia" w:hAnsiTheme="minorEastAsia"/>
          <w:color w:val="0D0D0D" w:themeColor="text1" w:themeTint="F2"/>
        </w:rPr>
        <w:t>2）、（10）、（15）、（</w:t>
      </w:r>
      <w:r w:rsidR="00160A52" w:rsidRPr="00B56A57">
        <w:rPr>
          <w:rFonts w:asciiTheme="minorEastAsia" w:eastAsiaTheme="minorEastAsia" w:hAnsiTheme="minorEastAsia"/>
          <w:color w:val="0D0D0D" w:themeColor="text1" w:themeTint="F2"/>
        </w:rPr>
        <w:t>17</w:t>
      </w:r>
      <w:r w:rsidRPr="00B56A57">
        <w:rPr>
          <w:rFonts w:asciiTheme="minorEastAsia" w:eastAsiaTheme="minorEastAsia" w:hAnsiTheme="minorEastAsia" w:hint="eastAsia"/>
          <w:color w:val="0D0D0D" w:themeColor="text1" w:themeTint="F2"/>
        </w:rPr>
        <w:t>）、（</w:t>
      </w:r>
      <w:r w:rsidR="00160A52" w:rsidRPr="00B56A57">
        <w:rPr>
          <w:rFonts w:asciiTheme="minorEastAsia" w:eastAsiaTheme="minorEastAsia" w:hAnsiTheme="minorEastAsia"/>
          <w:color w:val="0D0D0D" w:themeColor="text1" w:themeTint="F2"/>
        </w:rPr>
        <w:t>18</w:t>
      </w:r>
      <w:r w:rsidRPr="00B56A57">
        <w:rPr>
          <w:rFonts w:asciiTheme="minorEastAsia" w:eastAsiaTheme="minorEastAsia" w:hAnsiTheme="minorEastAsia" w:hint="eastAsia"/>
          <w:color w:val="0D0D0D" w:themeColor="text1" w:themeTint="F2"/>
        </w:rPr>
        <w:t>）条外</w:t>
      </w:r>
      <w:r w:rsidRPr="00B56A57">
        <w:rPr>
          <w:rFonts w:asciiTheme="minorEastAsia" w:hAnsiTheme="minorEastAsia" w:hint="eastAsia"/>
          <w:color w:val="0D0D0D" w:themeColor="text1" w:themeTint="F2"/>
        </w:rPr>
        <w:t>，因</w:t>
      </w:r>
      <w:r w:rsidRPr="00B56A57">
        <w:rPr>
          <w:rFonts w:asciiTheme="minorEastAsia" w:eastAsiaTheme="minorEastAsia" w:hAnsiTheme="minorEastAsia" w:hint="eastAsia"/>
          <w:color w:val="0D0D0D" w:themeColor="text1" w:themeTint="F2"/>
        </w:rPr>
        <w:t>证券</w:t>
      </w:r>
      <w:r w:rsidRPr="00B56A57">
        <w:rPr>
          <w:rFonts w:asciiTheme="minorEastAsia" w:eastAsiaTheme="minorEastAsia" w:hAnsiTheme="minorEastAsia"/>
          <w:color w:val="0D0D0D" w:themeColor="text1" w:themeTint="F2"/>
        </w:rPr>
        <w:t>/期货市场</w:t>
      </w:r>
      <w:r w:rsidRPr="00B56A57">
        <w:rPr>
          <w:rFonts w:asciiTheme="minorEastAsia" w:hAnsiTheme="minorEastAsia" w:hint="eastAsia"/>
          <w:color w:val="0D0D0D" w:themeColor="text1" w:themeTint="F2"/>
        </w:rPr>
        <w:t>波动、</w:t>
      </w:r>
      <w:r w:rsidRPr="00B56A57">
        <w:rPr>
          <w:rFonts w:asciiTheme="minorEastAsia" w:eastAsiaTheme="minorEastAsia" w:hAnsiTheme="minorEastAsia" w:hint="eastAsia"/>
          <w:color w:val="0D0D0D" w:themeColor="text1" w:themeTint="F2"/>
        </w:rPr>
        <w:t>证券发行人</w:t>
      </w:r>
      <w:r w:rsidRPr="00B56A57">
        <w:rPr>
          <w:rFonts w:asciiTheme="minorEastAsia" w:hAnsiTheme="minorEastAsia" w:hint="eastAsia"/>
          <w:color w:val="0D0D0D" w:themeColor="text1" w:themeTint="F2"/>
        </w:rPr>
        <w:t>合并、基金规模变动</w:t>
      </w:r>
      <w:r w:rsidRPr="00B56A57">
        <w:rPr>
          <w:rFonts w:asciiTheme="minorEastAsia" w:eastAsiaTheme="minorEastAsia" w:hAnsiTheme="minorEastAsia" w:hint="eastAsia"/>
          <w:color w:val="0D0D0D" w:themeColor="text1" w:themeTint="F2"/>
        </w:rPr>
        <w:t>、标的指数成份股调整、标的指数成份股流动性限制</w:t>
      </w:r>
      <w:r w:rsidRPr="00B56A57">
        <w:rPr>
          <w:rFonts w:asciiTheme="minorEastAsia" w:hAnsiTheme="minorEastAsia" w:hint="eastAsia"/>
          <w:color w:val="0D0D0D" w:themeColor="text1" w:themeTint="F2"/>
        </w:rPr>
        <w:t>等基金管理人之外的因素致使基金投资比例不符合上述规定投资比例的，基金管理人应当在</w:t>
      </w:r>
      <w:r w:rsidRPr="00B56A57">
        <w:rPr>
          <w:rFonts w:asciiTheme="minorEastAsia" w:hAnsiTheme="minorEastAsia"/>
          <w:color w:val="0D0D0D" w:themeColor="text1" w:themeTint="F2"/>
        </w:rPr>
        <w:t>10个交易日内进行调整，但中国证监会规定的特殊情形除外。</w:t>
      </w:r>
    </w:p>
    <w:p w14:paraId="37E1E20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基金管理人应当自基金合同生效之日起</w:t>
      </w:r>
      <w:r w:rsidRPr="00B56A57">
        <w:rPr>
          <w:rFonts w:asciiTheme="minorEastAsia" w:eastAsiaTheme="minorEastAsia" w:hAnsiTheme="minorEastAsia"/>
          <w:color w:val="0D0D0D" w:themeColor="text1" w:themeTint="F2"/>
        </w:rPr>
        <w:t>6个月内使基金的投资组合比例符合基金合同的有关约定。在上述期间内，本基金的投资范围、投资策略应当符合基金合同的约定。</w:t>
      </w:r>
      <w:r w:rsidRPr="00B56A57">
        <w:rPr>
          <w:rFonts w:asciiTheme="minorEastAsia" w:hAnsiTheme="minorEastAsia" w:hint="eastAsia"/>
          <w:color w:val="0D0D0D" w:themeColor="text1" w:themeTint="F2"/>
        </w:rPr>
        <w:t>基金托管人对基金的投资的监督与检查自本基金合同生效之日起开始。</w:t>
      </w:r>
    </w:p>
    <w:p w14:paraId="6FA9C810"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法律法规或监管部门取消</w:t>
      </w:r>
      <w:r w:rsidRPr="00B56A57">
        <w:rPr>
          <w:rFonts w:asciiTheme="minorEastAsia" w:eastAsiaTheme="minorEastAsia" w:hAnsiTheme="minorEastAsia" w:hint="eastAsia"/>
          <w:color w:val="0D0D0D" w:themeColor="text1" w:themeTint="F2"/>
        </w:rPr>
        <w:t>或调整</w:t>
      </w:r>
      <w:r w:rsidRPr="00B56A57">
        <w:rPr>
          <w:rFonts w:asciiTheme="minorEastAsia" w:hAnsiTheme="minorEastAsia" w:hint="eastAsia"/>
          <w:color w:val="0D0D0D" w:themeColor="text1" w:themeTint="F2"/>
        </w:rPr>
        <w:t>上述限制，如适用于本基金，基金管理人在履行适当程序后，则本基金投资不再受相关限制</w:t>
      </w:r>
      <w:r w:rsidRPr="00B56A57">
        <w:rPr>
          <w:rFonts w:asciiTheme="minorEastAsia" w:eastAsiaTheme="minorEastAsia" w:hAnsiTheme="minorEastAsia" w:hint="eastAsia"/>
          <w:color w:val="0D0D0D" w:themeColor="text1" w:themeTint="F2"/>
        </w:rPr>
        <w:t>或按照调整后的规定执行</w:t>
      </w:r>
      <w:r w:rsidRPr="00B56A57">
        <w:rPr>
          <w:rFonts w:asciiTheme="minorEastAsia" w:hAnsiTheme="minorEastAsia" w:hint="eastAsia"/>
          <w:color w:val="0D0D0D" w:themeColor="text1" w:themeTint="F2"/>
        </w:rPr>
        <w:t>。</w:t>
      </w:r>
    </w:p>
    <w:p w14:paraId="5F6D089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2</w:t>
      </w:r>
      <w:r w:rsidRPr="00B56A57">
        <w:rPr>
          <w:rFonts w:asciiTheme="minorEastAsia" w:eastAsiaTheme="minorEastAsia" w:hAnsiTheme="minorEastAsia" w:hint="eastAsia"/>
          <w:color w:val="0D0D0D" w:themeColor="text1" w:themeTint="F2"/>
        </w:rPr>
        <w:t>、禁止行为</w:t>
      </w:r>
    </w:p>
    <w:p w14:paraId="74F08A82"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为维护基金份额持有人的合法权益，基金财产不得用于下列投资或者活动：</w:t>
      </w:r>
    </w:p>
    <w:p w14:paraId="4AFE99C2"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1</w:t>
      </w:r>
      <w:r w:rsidRPr="00B56A57">
        <w:rPr>
          <w:rFonts w:asciiTheme="minorEastAsia" w:eastAsiaTheme="minorEastAsia" w:hAnsiTheme="minorEastAsia" w:hint="eastAsia"/>
          <w:color w:val="0D0D0D" w:themeColor="text1" w:themeTint="F2"/>
        </w:rPr>
        <w:t>）承销证券；</w:t>
      </w:r>
    </w:p>
    <w:p w14:paraId="245D7D1F"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（2）</w:t>
      </w:r>
      <w:r w:rsidRPr="00B56A57">
        <w:rPr>
          <w:rFonts w:asciiTheme="minorEastAsia" w:eastAsiaTheme="minorEastAsia" w:hAnsiTheme="minorEastAsia" w:hint="eastAsia"/>
          <w:color w:val="0D0D0D" w:themeColor="text1" w:themeTint="F2"/>
        </w:rPr>
        <w:t>违反规定</w:t>
      </w:r>
      <w:r w:rsidRPr="00B56A57">
        <w:rPr>
          <w:rFonts w:asciiTheme="minorEastAsia" w:eastAsiaTheme="minorEastAsia" w:hAnsiTheme="minorEastAsia"/>
          <w:color w:val="0D0D0D" w:themeColor="text1" w:themeTint="F2"/>
        </w:rPr>
        <w:t>向他人贷款或者提供担保；</w:t>
      </w:r>
    </w:p>
    <w:p w14:paraId="3195D957"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（3）从事承担无限责任的投资；</w:t>
      </w:r>
    </w:p>
    <w:p w14:paraId="5CBFB898"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（4）买卖其他基金份额，但是</w:t>
      </w:r>
      <w:r w:rsidRPr="00B56A57">
        <w:rPr>
          <w:rFonts w:asciiTheme="minorEastAsia" w:eastAsiaTheme="minorEastAsia" w:hAnsiTheme="minorEastAsia" w:hint="eastAsia"/>
          <w:color w:val="0D0D0D" w:themeColor="text1" w:themeTint="F2"/>
        </w:rPr>
        <w:t>中国证监会</w:t>
      </w:r>
      <w:r w:rsidRPr="00B56A57">
        <w:rPr>
          <w:rFonts w:asciiTheme="minorEastAsia" w:eastAsiaTheme="minorEastAsia" w:hAnsiTheme="minorEastAsia"/>
          <w:color w:val="0D0D0D" w:themeColor="text1" w:themeTint="F2"/>
        </w:rPr>
        <w:t>另有规定的除外；</w:t>
      </w:r>
    </w:p>
    <w:p w14:paraId="42197ED4"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（5）向</w:t>
      </w:r>
      <w:r w:rsidRPr="00B56A57">
        <w:rPr>
          <w:rFonts w:asciiTheme="minorEastAsia" w:eastAsiaTheme="minorEastAsia" w:hAnsiTheme="minorEastAsia" w:hint="eastAsia"/>
          <w:color w:val="0D0D0D" w:themeColor="text1" w:themeTint="F2"/>
        </w:rPr>
        <w:t>其基金管理人、基金托管人</w:t>
      </w:r>
      <w:r w:rsidRPr="00B56A57">
        <w:rPr>
          <w:rFonts w:asciiTheme="minorEastAsia" w:eastAsiaTheme="minorEastAsia" w:hAnsiTheme="minorEastAsia"/>
          <w:color w:val="0D0D0D" w:themeColor="text1" w:themeTint="F2"/>
        </w:rPr>
        <w:t>出资</w:t>
      </w:r>
      <w:r w:rsidRPr="00B56A57">
        <w:rPr>
          <w:rFonts w:asciiTheme="minorEastAsia" w:eastAsiaTheme="minorEastAsia" w:hAnsiTheme="minorEastAsia" w:hint="eastAsia"/>
          <w:color w:val="0D0D0D" w:themeColor="text1" w:themeTint="F2"/>
        </w:rPr>
        <w:t>；</w:t>
      </w:r>
    </w:p>
    <w:p w14:paraId="67235C2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lastRenderedPageBreak/>
        <w:t>（</w:t>
      </w:r>
      <w:r w:rsidRPr="00B56A57">
        <w:rPr>
          <w:rFonts w:asciiTheme="minorEastAsia" w:eastAsiaTheme="minorEastAsia" w:hAnsiTheme="minorEastAsia"/>
          <w:color w:val="0D0D0D" w:themeColor="text1" w:themeTint="F2"/>
        </w:rPr>
        <w:t>6）从事内幕交易、操纵证券交易价格及其他不正当的证券交易活动；</w:t>
      </w:r>
    </w:p>
    <w:p w14:paraId="5293863B"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w:t>
      </w:r>
      <w:r w:rsidRPr="00B56A57">
        <w:rPr>
          <w:rFonts w:asciiTheme="minorEastAsia" w:eastAsiaTheme="minorEastAsia" w:hAnsiTheme="minorEastAsia"/>
          <w:color w:val="0D0D0D" w:themeColor="text1" w:themeTint="F2"/>
        </w:rPr>
        <w:t>7）</w:t>
      </w:r>
      <w:r w:rsidRPr="00B56A57">
        <w:rPr>
          <w:rFonts w:asciiTheme="minorEastAsia" w:eastAsiaTheme="minorEastAsia" w:hAnsiTheme="minorEastAsia" w:hint="eastAsia"/>
          <w:color w:val="0D0D0D" w:themeColor="text1" w:themeTint="F2"/>
        </w:rPr>
        <w:t>法律、行政法规和中国证监会规定禁止的其他活动。</w:t>
      </w:r>
    </w:p>
    <w:p w14:paraId="0091708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w:t>
      </w:r>
      <w:r w:rsidRPr="00B56A57">
        <w:rPr>
          <w:rFonts w:asciiTheme="minorEastAsia" w:hAnsiTheme="minorEastAsia" w:hint="eastAsia"/>
          <w:color w:val="0D0D0D" w:themeColor="text1" w:themeTint="F2"/>
        </w:rPr>
        <w:t>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695F45B"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法律</w:t>
      </w:r>
      <w:r w:rsidRPr="00B56A57">
        <w:rPr>
          <w:rFonts w:asciiTheme="minorEastAsia" w:eastAsiaTheme="minorEastAsia" w:hAnsiTheme="minorEastAsia" w:hint="eastAsia"/>
          <w:color w:val="0D0D0D" w:themeColor="text1" w:themeTint="F2"/>
        </w:rPr>
        <w:t>、行政</w:t>
      </w:r>
      <w:r w:rsidRPr="00B56A57">
        <w:rPr>
          <w:rFonts w:asciiTheme="minorEastAsia" w:eastAsiaTheme="minorEastAsia" w:hAnsiTheme="minorEastAsia"/>
          <w:color w:val="0D0D0D" w:themeColor="text1" w:themeTint="F2"/>
        </w:rPr>
        <w:t>法规或监管部门取消</w:t>
      </w:r>
      <w:r w:rsidRPr="00B56A57">
        <w:rPr>
          <w:rFonts w:asciiTheme="minorEastAsia" w:eastAsiaTheme="minorEastAsia" w:hAnsiTheme="minorEastAsia" w:hint="eastAsia"/>
          <w:color w:val="0D0D0D" w:themeColor="text1" w:themeTint="F2"/>
        </w:rPr>
        <w:t>或</w:t>
      </w:r>
      <w:r w:rsidRPr="00B56A57">
        <w:rPr>
          <w:rFonts w:asciiTheme="minorEastAsia" w:eastAsiaTheme="minorEastAsia" w:hAnsiTheme="minorEastAsia"/>
          <w:color w:val="0D0D0D" w:themeColor="text1" w:themeTint="F2"/>
        </w:rPr>
        <w:t>调整上述限制，如适用于本基金，则本基金投资不再受相关限制</w:t>
      </w:r>
      <w:r w:rsidRPr="00B56A57">
        <w:rPr>
          <w:rFonts w:asciiTheme="minorEastAsia" w:eastAsiaTheme="minorEastAsia" w:hAnsiTheme="minorEastAsia" w:hint="eastAsia"/>
          <w:color w:val="0D0D0D" w:themeColor="text1" w:themeTint="F2"/>
        </w:rPr>
        <w:t>或按照调整后的规定执行</w:t>
      </w:r>
      <w:r w:rsidRPr="00B56A57">
        <w:rPr>
          <w:rFonts w:asciiTheme="minorEastAsia" w:eastAsiaTheme="minorEastAsia" w:hAnsiTheme="minorEastAsia"/>
          <w:color w:val="0D0D0D" w:themeColor="text1" w:themeTint="F2"/>
        </w:rPr>
        <w:t>。</w:t>
      </w:r>
    </w:p>
    <w:p w14:paraId="21CC2BB1"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六、基金资产净值的计算方法和公告方式</w:t>
      </w:r>
    </w:p>
    <w:p w14:paraId="30B4E212"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（一）基金资产净值的计算方式</w:t>
      </w:r>
    </w:p>
    <w:p w14:paraId="26518BEE"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hAnsiTheme="minorEastAsia" w:hint="eastAsia"/>
          <w:color w:val="0D0D0D" w:themeColor="text1" w:themeTint="F2"/>
        </w:rPr>
        <w:t>基金资产净值是指基金资产总值减去基金负债后的价值。</w:t>
      </w:r>
    </w:p>
    <w:p w14:paraId="2171F690"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rPr>
        <w:t>（</w:t>
      </w:r>
      <w:r w:rsidRPr="00B56A57">
        <w:rPr>
          <w:rFonts w:asciiTheme="minorEastAsia" w:eastAsiaTheme="minorEastAsia" w:hAnsiTheme="minorEastAsia" w:hint="eastAsia"/>
        </w:rPr>
        <w:t>二</w:t>
      </w:r>
      <w:r w:rsidRPr="00B56A57">
        <w:rPr>
          <w:rFonts w:asciiTheme="minorEastAsia" w:eastAsiaTheme="minorEastAsia" w:hAnsiTheme="minorEastAsia"/>
        </w:rPr>
        <w:t>）</w:t>
      </w:r>
      <w:r w:rsidRPr="00B56A57">
        <w:rPr>
          <w:rFonts w:asciiTheme="minorEastAsia" w:eastAsiaTheme="minorEastAsia" w:hAnsiTheme="minorEastAsia" w:hint="eastAsia"/>
        </w:rPr>
        <w:t>估值方法</w:t>
      </w:r>
    </w:p>
    <w:p w14:paraId="2C0CC8A2"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、证券交易所上市的有价证券的估值</w:t>
      </w:r>
    </w:p>
    <w:p w14:paraId="0179ABEC"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w:t>
      </w:r>
      <w:r w:rsidRPr="00B56A57">
        <w:rPr>
          <w:rFonts w:asciiTheme="minorEastAsia" w:hAnsiTheme="minorEastAsia" w:hint="eastAsia"/>
          <w:color w:val="0D0D0D" w:themeColor="text1" w:themeTint="F2"/>
        </w:rPr>
        <w:t>）交易所上市的有价证券（包括股票等），以其估值日在证券交易所挂牌的市价（收盘价）</w:t>
      </w:r>
      <w:r w:rsidRPr="00B56A57">
        <w:rPr>
          <w:rFonts w:asciiTheme="minorEastAsia" w:eastAsiaTheme="minorEastAsia" w:hAnsiTheme="minorEastAsia" w:hint="eastAsia"/>
          <w:color w:val="0D0D0D" w:themeColor="text1" w:themeTint="F2"/>
        </w:rPr>
        <w:t>确定公允价值</w:t>
      </w:r>
      <w:r w:rsidRPr="00B56A57">
        <w:rPr>
          <w:rFonts w:asciiTheme="minorEastAsia" w:hAnsiTheme="minorEastAsia" w:hint="eastAsia"/>
          <w:color w:val="0D0D0D" w:themeColor="text1" w:themeTint="F2"/>
        </w:rPr>
        <w:t>；估值日无交易的，且最近交易日后未发生影响</w:t>
      </w:r>
      <w:r w:rsidRPr="00B56A57">
        <w:rPr>
          <w:rFonts w:asciiTheme="minorEastAsia" w:eastAsiaTheme="minorEastAsia" w:hAnsiTheme="minorEastAsia" w:hint="eastAsia"/>
          <w:color w:val="0D0D0D" w:themeColor="text1" w:themeTint="F2"/>
        </w:rPr>
        <w:t>公允价值计量</w:t>
      </w:r>
      <w:r w:rsidRPr="00B56A57">
        <w:rPr>
          <w:rFonts w:asciiTheme="minorEastAsia" w:hAnsiTheme="minorEastAsia" w:hint="eastAsia"/>
          <w:color w:val="0D0D0D" w:themeColor="text1" w:themeTint="F2"/>
        </w:rPr>
        <w:t>的重大事件的，以最近交易日的市价（收盘价）估值；如</w:t>
      </w:r>
      <w:r w:rsidRPr="00B56A57">
        <w:rPr>
          <w:rFonts w:asciiTheme="minorEastAsia" w:eastAsiaTheme="minorEastAsia" w:hAnsiTheme="minorEastAsia" w:hint="eastAsia"/>
          <w:color w:val="0D0D0D" w:themeColor="text1" w:themeTint="F2"/>
        </w:rPr>
        <w:t>有充足证据表明估值日或最近交易日的市价不能真实反映公允价值的，应对市价进行调整</w:t>
      </w:r>
      <w:r w:rsidRPr="00B56A57">
        <w:rPr>
          <w:rFonts w:asciiTheme="minorEastAsia" w:hAnsiTheme="minorEastAsia" w:hint="eastAsia"/>
          <w:color w:val="0D0D0D" w:themeColor="text1" w:themeTint="F2"/>
        </w:rPr>
        <w:t>，确定公允价格</w:t>
      </w:r>
      <w:r w:rsidRPr="00B56A57">
        <w:rPr>
          <w:rFonts w:asciiTheme="minorEastAsia" w:eastAsiaTheme="minorEastAsia" w:hAnsiTheme="minorEastAsia" w:hint="eastAsia"/>
          <w:color w:val="0D0D0D" w:themeColor="text1" w:themeTint="F2"/>
        </w:rPr>
        <w:t>；</w:t>
      </w:r>
    </w:p>
    <w:p w14:paraId="33C531A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2）交易所上市交易或挂牌转让的固定收益品种</w:t>
      </w:r>
      <w:r w:rsidRPr="00B56A57">
        <w:rPr>
          <w:rFonts w:asciiTheme="minorEastAsia" w:eastAsiaTheme="minorEastAsia" w:hAnsiTheme="minorEastAsia" w:hint="eastAsia"/>
          <w:color w:val="0D0D0D" w:themeColor="text1" w:themeTint="F2"/>
        </w:rPr>
        <w:t>（本基金合同另有规定的除外），</w:t>
      </w:r>
      <w:r w:rsidRPr="00B56A57">
        <w:rPr>
          <w:rFonts w:asciiTheme="minorEastAsia" w:hAnsiTheme="minorEastAsia" w:hint="eastAsia"/>
          <w:color w:val="0D0D0D" w:themeColor="text1" w:themeTint="F2"/>
        </w:rPr>
        <w:t>选取估值日第三方估值机构提供的相应品种</w:t>
      </w:r>
      <w:r w:rsidRPr="00B56A57">
        <w:rPr>
          <w:rFonts w:asciiTheme="minorEastAsia" w:eastAsiaTheme="minorEastAsia" w:hAnsiTheme="minorEastAsia" w:hint="eastAsia"/>
          <w:color w:val="0D0D0D" w:themeColor="text1" w:themeTint="F2"/>
        </w:rPr>
        <w:t>对应</w:t>
      </w:r>
      <w:r w:rsidRPr="00B56A57">
        <w:rPr>
          <w:rFonts w:asciiTheme="minorEastAsia" w:hAnsiTheme="minorEastAsia" w:hint="eastAsia"/>
          <w:color w:val="0D0D0D" w:themeColor="text1" w:themeTint="F2"/>
        </w:rPr>
        <w:t>的估值净价估值</w:t>
      </w:r>
      <w:r w:rsidRPr="00B56A57">
        <w:rPr>
          <w:rFonts w:asciiTheme="minorEastAsia" w:eastAsiaTheme="minorEastAsia" w:hAnsiTheme="minorEastAsia" w:hint="eastAsia"/>
          <w:color w:val="0D0D0D" w:themeColor="text1" w:themeTint="F2"/>
        </w:rPr>
        <w:t>，具体估值机构由基金管理人与基金托管人另行协商约定</w:t>
      </w:r>
      <w:r w:rsidRPr="00B56A57">
        <w:rPr>
          <w:rFonts w:asciiTheme="minorEastAsia" w:hAnsiTheme="minorEastAsia" w:hint="eastAsia"/>
          <w:color w:val="0D0D0D" w:themeColor="text1" w:themeTint="F2"/>
        </w:rPr>
        <w:t>；</w:t>
      </w:r>
    </w:p>
    <w:p w14:paraId="2F0DF6D6"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45C32CB2"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交易所上市实行全价交易的债券（可转债除外），选取第三方估值机构提供的估值全价减去估值全价中所含的债券（税后）应收利息得到的净价进行估值；</w:t>
      </w:r>
    </w:p>
    <w:p w14:paraId="6B968CA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4</w:t>
      </w:r>
      <w:r w:rsidRPr="00B56A57">
        <w:rPr>
          <w:rFonts w:asciiTheme="minorEastAsia" w:hAnsiTheme="minorEastAsia" w:hint="eastAsia"/>
          <w:color w:val="0D0D0D" w:themeColor="text1" w:themeTint="F2"/>
        </w:rPr>
        <w:t>）交易所上市不存在活跃市场的有价证券，采用估值技术确定公允价值。交易所</w:t>
      </w:r>
      <w:r w:rsidRPr="00B56A57">
        <w:rPr>
          <w:rFonts w:asciiTheme="minorEastAsia" w:eastAsiaTheme="minorEastAsia" w:hAnsiTheme="minorEastAsia" w:hint="eastAsia"/>
          <w:color w:val="0D0D0D" w:themeColor="text1" w:themeTint="F2"/>
        </w:rPr>
        <w:t>上市</w:t>
      </w:r>
      <w:r w:rsidRPr="00B56A57">
        <w:rPr>
          <w:rFonts w:asciiTheme="minorEastAsia" w:hAnsiTheme="minorEastAsia" w:hint="eastAsia"/>
          <w:color w:val="0D0D0D" w:themeColor="text1" w:themeTint="F2"/>
        </w:rPr>
        <w:t>的资产支持证券，采用估值技术确定公允价值</w:t>
      </w:r>
      <w:r w:rsidRPr="00B56A57">
        <w:rPr>
          <w:rFonts w:asciiTheme="minorEastAsia" w:eastAsiaTheme="minorEastAsia" w:hAnsiTheme="minorEastAsia" w:hint="eastAsia"/>
          <w:color w:val="0D0D0D" w:themeColor="text1" w:themeTint="F2"/>
        </w:rPr>
        <w:t>，在估值技术难以可靠计量公允价值的情况下，按成本估值</w:t>
      </w:r>
      <w:r w:rsidRPr="00B56A57">
        <w:rPr>
          <w:rFonts w:asciiTheme="minorEastAsia" w:hAnsiTheme="minorEastAsia" w:hint="eastAsia"/>
          <w:color w:val="0D0D0D" w:themeColor="text1" w:themeTint="F2"/>
        </w:rPr>
        <w:t>。</w:t>
      </w:r>
    </w:p>
    <w:p w14:paraId="099EDF0D"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color w:val="0D0D0D" w:themeColor="text1" w:themeTint="F2"/>
        </w:rPr>
        <w:lastRenderedPageBreak/>
        <w:t>2、处于未上市期间的有价证券应区分如下情况处理：</w:t>
      </w:r>
    </w:p>
    <w:p w14:paraId="2EDFBD4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1）送股、转增股、配股和公开增发的新股，按估值日在证券交易所挂牌的同一股票的估值方法估值；该日无交易的，以最近一日的市价（收盘价）估值；</w:t>
      </w:r>
    </w:p>
    <w:p w14:paraId="586D388A"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2</w:t>
      </w:r>
      <w:r w:rsidRPr="00B56A57">
        <w:rPr>
          <w:rFonts w:asciiTheme="minorEastAsia" w:hAnsiTheme="minorEastAsia" w:hint="eastAsia"/>
          <w:color w:val="0D0D0D" w:themeColor="text1" w:themeTint="F2"/>
        </w:rPr>
        <w:t>）首次公开发行未上市的股票、债券，采用估值技术确定公允价值，在估值技术难以可靠计量公允价值的情况下，按成本估值</w:t>
      </w:r>
      <w:r w:rsidRPr="00B56A57">
        <w:rPr>
          <w:rFonts w:asciiTheme="minorEastAsia" w:eastAsiaTheme="minorEastAsia" w:hAnsiTheme="minorEastAsia" w:hint="eastAsia"/>
          <w:color w:val="0D0D0D" w:themeColor="text1" w:themeTint="F2"/>
        </w:rPr>
        <w:t>；</w:t>
      </w:r>
    </w:p>
    <w:p w14:paraId="711EE79D" w14:textId="5CEEEB63"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w:t>
      </w:r>
      <w:r w:rsidRPr="00B56A57">
        <w:rPr>
          <w:rFonts w:asciiTheme="minorEastAsia" w:hAnsiTheme="minorEastAsia"/>
          <w:color w:val="0D0D0D" w:themeColor="text1" w:themeTint="F2"/>
        </w:rPr>
        <w:t>3</w:t>
      </w:r>
      <w:r w:rsidRPr="00B56A57">
        <w:rPr>
          <w:rFonts w:asciiTheme="minorEastAsia" w:hAnsiTheme="minorEastAsia" w:hint="eastAsia"/>
          <w:color w:val="0D0D0D" w:themeColor="text1" w:themeTint="F2"/>
        </w:rPr>
        <w:t>）</w:t>
      </w:r>
      <w:r w:rsidRPr="00B56A57">
        <w:rPr>
          <w:rFonts w:asciiTheme="minorEastAsia" w:eastAsiaTheme="minorEastAsia" w:hAnsiTheme="minorEastAsia" w:hint="eastAsia"/>
          <w:color w:val="0D0D0D" w:themeColor="text1" w:themeTint="F2"/>
        </w:rPr>
        <w:t>流通受</w:t>
      </w:r>
      <w:r w:rsidRPr="00B56A57">
        <w:rPr>
          <w:rFonts w:asciiTheme="minorEastAsia" w:hAnsiTheme="minorEastAsia" w:hint="eastAsia"/>
          <w:color w:val="0D0D0D" w:themeColor="text1" w:themeTint="F2"/>
        </w:rPr>
        <w:t>限的股票，</w:t>
      </w:r>
      <w:r w:rsidRPr="00B56A57">
        <w:rPr>
          <w:rFonts w:asciiTheme="minorEastAsia" w:eastAsiaTheme="minorEastAsia" w:hAnsiTheme="minorEastAsia" w:hint="eastAsia"/>
          <w:color w:val="0D0D0D" w:themeColor="text1" w:themeTint="F2"/>
        </w:rPr>
        <w:t>指在发行时明确一定期限限售期的股票，包括但不限于</w:t>
      </w:r>
      <w:r w:rsidRPr="00B56A57">
        <w:rPr>
          <w:rFonts w:asciiTheme="minorEastAsia" w:hAnsiTheme="minorEastAsia" w:hint="eastAsia"/>
          <w:color w:val="0D0D0D" w:themeColor="text1" w:themeTint="F2"/>
        </w:rPr>
        <w:t>非公开发行股票、首次公开发行股票时公司股东公开发售股份、通过大宗交易取得的带限售期的股票等</w:t>
      </w:r>
      <w:r w:rsidRPr="00B56A57">
        <w:rPr>
          <w:rFonts w:asciiTheme="minorEastAsia" w:eastAsiaTheme="minorEastAsia" w:hAnsiTheme="minorEastAsia" w:hint="eastAsia"/>
          <w:color w:val="0D0D0D" w:themeColor="text1" w:themeTint="F2"/>
        </w:rPr>
        <w:t>（</w:t>
      </w:r>
      <w:r w:rsidRPr="00B56A57">
        <w:rPr>
          <w:rFonts w:asciiTheme="minorEastAsia" w:hAnsiTheme="minorEastAsia" w:hint="eastAsia"/>
          <w:color w:val="0D0D0D" w:themeColor="text1" w:themeTint="F2"/>
        </w:rPr>
        <w:t>不包括停牌、新发行未上市、回购交易中的质押券等流通受限股票</w:t>
      </w:r>
      <w:r w:rsidRPr="00B56A57">
        <w:rPr>
          <w:rFonts w:asciiTheme="minorEastAsia" w:eastAsiaTheme="minorEastAsia" w:hAnsiTheme="minorEastAsia" w:hint="eastAsia"/>
          <w:color w:val="0D0D0D" w:themeColor="text1" w:themeTint="F2"/>
        </w:rPr>
        <w:t>），</w:t>
      </w:r>
      <w:r w:rsidRPr="00B56A57">
        <w:rPr>
          <w:rFonts w:asciiTheme="minorEastAsia" w:hAnsiTheme="minorEastAsia" w:hint="eastAsia"/>
          <w:color w:val="0D0D0D" w:themeColor="text1" w:themeTint="F2"/>
        </w:rPr>
        <w:t>按监管机构或行业协会有关规定确定公允价值。</w:t>
      </w:r>
    </w:p>
    <w:p w14:paraId="49A857F0"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3</w:t>
      </w:r>
      <w:r w:rsidRPr="00B56A57">
        <w:rPr>
          <w:rFonts w:asciiTheme="minorEastAsia" w:eastAsiaTheme="minorEastAsia" w:hAnsiTheme="minorEastAsia" w:hint="eastAsia"/>
          <w:color w:val="0D0D0D" w:themeColor="text1" w:themeTint="F2"/>
        </w:rPr>
        <w:t>、</w:t>
      </w:r>
      <w:r w:rsidRPr="00B56A57">
        <w:rPr>
          <w:rFonts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B56A57">
        <w:rPr>
          <w:rFonts w:asciiTheme="minorEastAsia" w:eastAsiaTheme="minorEastAsia" w:hAnsiTheme="minorEastAsia" w:hint="eastAsia"/>
          <w:color w:val="0D0D0D" w:themeColor="text1" w:themeTint="F2"/>
        </w:rPr>
        <w:t>。</w:t>
      </w:r>
    </w:p>
    <w:p w14:paraId="5A426D39"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4</w:t>
      </w:r>
      <w:r w:rsidRPr="00B56A57">
        <w:rPr>
          <w:rFonts w:asciiTheme="minorEastAsia" w:eastAsiaTheme="minorEastAsia" w:hAnsiTheme="minorEastAsia" w:hint="eastAsia"/>
          <w:color w:val="0D0D0D" w:themeColor="text1" w:themeTint="F2"/>
        </w:rPr>
        <w:t>、同一证券同时在两个或两个以上市场交易的，按证券所处的市场分别估值。</w:t>
      </w:r>
    </w:p>
    <w:p w14:paraId="41651825"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5</w:t>
      </w:r>
      <w:r w:rsidRPr="00B56A57">
        <w:rPr>
          <w:rFonts w:asciiTheme="minorEastAsia" w:eastAsiaTheme="minorEastAsia" w:hAnsiTheme="minorEastAsia" w:hint="eastAsia"/>
          <w:color w:val="0D0D0D" w:themeColor="text1" w:themeTint="F2"/>
        </w:rPr>
        <w:t>、本基金投资国债期货、股指期货合约，一般以估值当日结算价确定公允价值，估值当日无结算价的，且最近交易日后未发生影响公允价值计量的重大事件的，采用最近交易日结算价估值。</w:t>
      </w:r>
    </w:p>
    <w:p w14:paraId="5E5C279E"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6、本基金投资股票期权，根据相关法律法规以及监管部门的规定估值。</w:t>
      </w:r>
    </w:p>
    <w:p w14:paraId="1068D2F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7、本基金参与融资或转融通证券出借业务的，将按照法律法规及行业协会的相关规定进行估值。</w:t>
      </w:r>
    </w:p>
    <w:p w14:paraId="2072C752"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color w:val="0D0D0D" w:themeColor="text1" w:themeTint="F2"/>
        </w:rPr>
        <w:t>8、汇率</w:t>
      </w:r>
    </w:p>
    <w:p w14:paraId="6E5549FC"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color w:val="0D0D0D" w:themeColor="text1" w:themeTint="F2"/>
        </w:rPr>
      </w:pPr>
      <w:r w:rsidRPr="00B56A57">
        <w:rPr>
          <w:rFonts w:asciiTheme="minorEastAsia" w:eastAsiaTheme="minorEastAsia" w:hAnsiTheme="minorEastAsia" w:hint="eastAsia"/>
          <w:color w:val="0D0D0D" w:themeColor="text1" w:themeTint="F2"/>
        </w:rPr>
        <w:t>本基金外币资产价值计算中，涉及主要货币对人民币汇率的，应当以基金估值日中国人民银行或其授权机构公布的人民币汇率中间价</w:t>
      </w:r>
      <w:r w:rsidRPr="00B56A57">
        <w:rPr>
          <w:rFonts w:hint="eastAsia"/>
          <w:bCs/>
          <w:szCs w:val="21"/>
        </w:rPr>
        <w:t>或其他可以反映公允价值的汇率进行估值</w:t>
      </w:r>
      <w:r w:rsidRPr="00B56A57">
        <w:rPr>
          <w:rFonts w:asciiTheme="minorEastAsia" w:eastAsiaTheme="minorEastAsia" w:hAnsiTheme="minorEastAsia" w:hint="eastAsia"/>
          <w:color w:val="0D0D0D" w:themeColor="text1" w:themeTint="F2"/>
        </w:rPr>
        <w:t>。</w:t>
      </w:r>
    </w:p>
    <w:p w14:paraId="59044766" w14:textId="77777777" w:rsidR="00217DCA" w:rsidRPr="00B56A57" w:rsidRDefault="006C7341">
      <w:pPr>
        <w:adjustRightInd w:val="0"/>
        <w:snapToGrid w:val="0"/>
        <w:spacing w:line="360" w:lineRule="auto"/>
        <w:ind w:firstLineChars="200" w:firstLine="420"/>
        <w:rPr>
          <w:rFonts w:asciiTheme="minorEastAsia" w:eastAsiaTheme="minorEastAsia" w:hAnsiTheme="minorEastAsia"/>
          <w:bCs/>
          <w:color w:val="0D0D0D" w:themeColor="text1" w:themeTint="F2"/>
        </w:rPr>
      </w:pPr>
      <w:r w:rsidRPr="00B56A57">
        <w:rPr>
          <w:rFonts w:asciiTheme="minorEastAsia" w:eastAsiaTheme="minorEastAsia" w:hAnsiTheme="minorEastAsia"/>
          <w:bCs/>
          <w:color w:val="0D0D0D" w:themeColor="text1" w:themeTint="F2"/>
        </w:rPr>
        <w:t>9、本基金投资存托凭证的估值核算，依照境内上市交易的股票执行。</w:t>
      </w:r>
    </w:p>
    <w:p w14:paraId="143401D4"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10</w:t>
      </w:r>
      <w:r w:rsidRPr="00B56A57">
        <w:rPr>
          <w:rFonts w:asciiTheme="minorEastAsia" w:hAnsiTheme="minorEastAsia" w:hint="eastAsia"/>
          <w:color w:val="0D0D0D" w:themeColor="text1" w:themeTint="F2"/>
        </w:rPr>
        <w:t>、如有确凿证据表明按上述方法进行估值不能客观反映其公允价值的，基金管理人可根据具体情况与基金托管人商定后，按最能反映公允价值的</w:t>
      </w:r>
      <w:r w:rsidRPr="00B56A57">
        <w:rPr>
          <w:rFonts w:asciiTheme="minorEastAsia" w:eastAsiaTheme="minorEastAsia" w:hAnsiTheme="minorEastAsia" w:hint="eastAsia"/>
          <w:color w:val="0D0D0D" w:themeColor="text1" w:themeTint="F2"/>
        </w:rPr>
        <w:t>方法</w:t>
      </w:r>
      <w:r w:rsidRPr="00B56A57">
        <w:rPr>
          <w:rFonts w:asciiTheme="minorEastAsia" w:hAnsiTheme="minorEastAsia" w:hint="eastAsia"/>
          <w:color w:val="0D0D0D" w:themeColor="text1" w:themeTint="F2"/>
        </w:rPr>
        <w:t>估值。</w:t>
      </w:r>
    </w:p>
    <w:p w14:paraId="2A36D977"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eastAsiaTheme="minorEastAsia" w:hAnsiTheme="minorEastAsia"/>
          <w:color w:val="0D0D0D" w:themeColor="text1" w:themeTint="F2"/>
        </w:rPr>
        <w:t>11</w:t>
      </w:r>
      <w:r w:rsidRPr="00B56A57">
        <w:rPr>
          <w:rFonts w:asciiTheme="minorEastAsia" w:hAnsiTheme="minorEastAsia" w:hint="eastAsia"/>
          <w:color w:val="0D0D0D" w:themeColor="text1" w:themeTint="F2"/>
        </w:rPr>
        <w:t>、相关法律法规以及监管部门有强制规定的，从其规定。如有新增事项，按国家最新规定估值。</w:t>
      </w:r>
    </w:p>
    <w:p w14:paraId="15416D98"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如基金管理人或基金托管人发现基金估值违反基金合同订明的估值方法、程序及相关法律法规的规定或者未能充分维护基金份额持有人利益时，应立即通知对方，共同查明原因，双方</w:t>
      </w:r>
      <w:r w:rsidRPr="00B56A57">
        <w:rPr>
          <w:rFonts w:asciiTheme="minorEastAsia" w:hAnsiTheme="minorEastAsia" w:hint="eastAsia"/>
          <w:color w:val="0D0D0D" w:themeColor="text1" w:themeTint="F2"/>
        </w:rPr>
        <w:lastRenderedPageBreak/>
        <w:t>协商解决。</w:t>
      </w:r>
    </w:p>
    <w:p w14:paraId="0A161F03" w14:textId="77777777" w:rsidR="00217DCA" w:rsidRPr="00B56A57" w:rsidRDefault="006C7341">
      <w:pPr>
        <w:adjustRightInd w:val="0"/>
        <w:snapToGrid w:val="0"/>
        <w:spacing w:line="360" w:lineRule="auto"/>
        <w:ind w:firstLineChars="200" w:firstLine="420"/>
        <w:rPr>
          <w:rFonts w:asciiTheme="minorEastAsia" w:hAnsiTheme="minorEastAsia"/>
          <w:color w:val="0D0D0D" w:themeColor="text1" w:themeTint="F2"/>
        </w:rPr>
      </w:pPr>
      <w:r w:rsidRPr="00B56A57">
        <w:rPr>
          <w:rFonts w:asciiTheme="minorEastAsia" w:hAnsiTheme="minorEastAsia" w:hint="eastAsia"/>
          <w:color w:val="0D0D0D" w:themeColor="text1" w:themeTint="F2"/>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0DB071D0"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（三）基金净值信息</w:t>
      </w:r>
    </w:p>
    <w:p w14:paraId="450AE31F"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eastAsiaTheme="minorEastAsia" w:hAnsiTheme="minorEastAsia"/>
        </w:rPr>
        <w:t>基金合同</w:t>
      </w:r>
      <w:r w:rsidRPr="00B56A57">
        <w:rPr>
          <w:rFonts w:asciiTheme="minorEastAsia" w:hAnsiTheme="minorEastAsia" w:hint="eastAsia"/>
        </w:rPr>
        <w:t>生效后，在基金份额上市交易且开始办理基金份额申购或者赎回前，基金管理人应当至少每周在规定网站</w:t>
      </w:r>
      <w:r w:rsidRPr="00B56A57">
        <w:rPr>
          <w:rFonts w:asciiTheme="minorEastAsia" w:hAnsiTheme="minorEastAsia"/>
        </w:rPr>
        <w:t>披露</w:t>
      </w:r>
      <w:r w:rsidRPr="00B56A57">
        <w:rPr>
          <w:rFonts w:asciiTheme="minorEastAsia" w:hAnsiTheme="minorEastAsia" w:hint="eastAsia"/>
        </w:rPr>
        <w:t>一次基金份额净值和基金份额累计净值</w:t>
      </w:r>
      <w:r w:rsidRPr="00B56A57">
        <w:rPr>
          <w:rFonts w:asciiTheme="minorEastAsia" w:eastAsiaTheme="minorEastAsia" w:hAnsiTheme="minorEastAsia" w:hint="eastAsia"/>
        </w:rPr>
        <w:t>。</w:t>
      </w:r>
    </w:p>
    <w:p w14:paraId="4DB7FCB2"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在基金份额上市交易或开始办理基金份额申购或者赎回后，基金管理人应当在不晚于每个开放日的次日，通过规定网站、</w:t>
      </w:r>
      <w:r w:rsidRPr="00B56A57">
        <w:rPr>
          <w:rFonts w:asciiTheme="minorEastAsia" w:eastAsiaTheme="minorEastAsia" w:hAnsiTheme="minorEastAsia" w:hint="eastAsia"/>
        </w:rPr>
        <w:t>基金销售机构网站或者营业网点</w:t>
      </w:r>
      <w:r w:rsidRPr="00B56A57">
        <w:rPr>
          <w:rFonts w:asciiTheme="minorEastAsia" w:hAnsiTheme="minorEastAsia" w:hint="eastAsia"/>
        </w:rPr>
        <w:t>以及其他媒介，披露开放日的基金份额净值和基金份额累计净值</w:t>
      </w:r>
      <w:r w:rsidRPr="00B56A57">
        <w:rPr>
          <w:rFonts w:asciiTheme="minorEastAsia" w:eastAsiaTheme="minorEastAsia" w:hAnsiTheme="minorEastAsia" w:hint="eastAsia"/>
        </w:rPr>
        <w:t>。</w:t>
      </w:r>
    </w:p>
    <w:p w14:paraId="266609BD"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基金管理人应当在不晚于半年度和年度最后一日的次日，在规定网站披露半年度和年度最后一日的基金份额净值和基金份额累计净值。</w:t>
      </w:r>
    </w:p>
    <w:p w14:paraId="33905FAB"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七、</w:t>
      </w:r>
      <w:r w:rsidRPr="00B56A57">
        <w:rPr>
          <w:rFonts w:asciiTheme="minorEastAsia" w:eastAsiaTheme="minorEastAsia" w:hAnsiTheme="minorEastAsia"/>
        </w:rPr>
        <w:t>基金合同的变更、终止与基金财产的清算</w:t>
      </w:r>
    </w:p>
    <w:p w14:paraId="44B2EBF4"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（一）《基金合同》的变更</w:t>
      </w:r>
    </w:p>
    <w:p w14:paraId="1F12B866"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w:t>
      </w:r>
      <w:r w:rsidRPr="00B56A57">
        <w:rPr>
          <w:rFonts w:asciiTheme="minorEastAsia" w:hAnsiTheme="minorEastAsia" w:hint="eastAsia"/>
        </w:rPr>
        <w:t>、变更基金合同涉及法律法规规定或本</w:t>
      </w:r>
      <w:r w:rsidRPr="00B56A57">
        <w:rPr>
          <w:rFonts w:asciiTheme="minorEastAsia" w:eastAsiaTheme="minorEastAsia" w:hAnsiTheme="minorEastAsia" w:hint="eastAsia"/>
        </w:rPr>
        <w:t>基金</w:t>
      </w:r>
      <w:r w:rsidRPr="00B56A57">
        <w:rPr>
          <w:rFonts w:asciiTheme="minorEastAsia" w:hAnsiTheme="minorEastAsia" w:hint="eastAsia"/>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C38E2D8"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2</w:t>
      </w:r>
      <w:r w:rsidRPr="00B56A57">
        <w:rPr>
          <w:rFonts w:asciiTheme="minorEastAsia" w:hAnsiTheme="minorEastAsia" w:hint="eastAsia"/>
        </w:rPr>
        <w:t>、关于《基金合同》变更的基金份额持有人大会决议自生效后方可执行，自决议生效后</w:t>
      </w:r>
      <w:r w:rsidRPr="00B56A57">
        <w:rPr>
          <w:rFonts w:asciiTheme="minorEastAsia" w:eastAsiaTheme="minorEastAsia" w:hAnsiTheme="minorEastAsia" w:hint="eastAsia"/>
        </w:rPr>
        <w:t>依照《信息披露办法》</w:t>
      </w:r>
      <w:r w:rsidRPr="00B56A57">
        <w:rPr>
          <w:rFonts w:asciiTheme="minorEastAsia" w:hAnsiTheme="minorEastAsia" w:hint="eastAsia"/>
        </w:rPr>
        <w:t>在规定媒介公告。</w:t>
      </w:r>
    </w:p>
    <w:p w14:paraId="1D633E61"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（二）《基金合同》的终止事由</w:t>
      </w:r>
    </w:p>
    <w:p w14:paraId="035CD4C7"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有下列情形之一的，经履行相关程序后，《基金合同》应当终止：</w:t>
      </w:r>
    </w:p>
    <w:p w14:paraId="1B5B78FD"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1</w:t>
      </w:r>
      <w:r w:rsidRPr="00B56A57">
        <w:rPr>
          <w:rFonts w:asciiTheme="minorEastAsia" w:hAnsiTheme="minorEastAsia" w:hint="eastAsia"/>
        </w:rPr>
        <w:t>、基金份额持有人大会决定终止的；</w:t>
      </w:r>
    </w:p>
    <w:p w14:paraId="1F3D3936"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2</w:t>
      </w:r>
      <w:r w:rsidRPr="00B56A57">
        <w:rPr>
          <w:rFonts w:asciiTheme="minorEastAsia" w:hAnsiTheme="minorEastAsia" w:hint="eastAsia"/>
        </w:rPr>
        <w:t>、基金管理人、基金托管人职责终止，在</w:t>
      </w:r>
      <w:r w:rsidRPr="00B56A57">
        <w:rPr>
          <w:rFonts w:asciiTheme="minorEastAsia" w:hAnsiTheme="minorEastAsia"/>
        </w:rPr>
        <w:t>6</w:t>
      </w:r>
      <w:r w:rsidRPr="00B56A57">
        <w:rPr>
          <w:rFonts w:asciiTheme="minorEastAsia" w:hAnsiTheme="minorEastAsia" w:hint="eastAsia"/>
        </w:rPr>
        <w:t>个月内没有新基金管理人、新基金托管人承接的；</w:t>
      </w:r>
    </w:p>
    <w:p w14:paraId="0AC8820B"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3、出现标的指数不符合要求（因成份股价格波动等指数编制方法变动之外的因素致使标的</w:t>
      </w:r>
      <w:r w:rsidRPr="00B56A57">
        <w:rPr>
          <w:rFonts w:asciiTheme="minorEastAsia" w:hAnsiTheme="minorEastAsia" w:hint="eastAsia"/>
        </w:rPr>
        <w:t>指数不符合要求的情形除外）、指数编制机构退出等情形，基金管理人召集基金份额持有人大会对解决方案进行表决，基金份额持有人大会未成功召开或就上述事项表决未通过的；</w:t>
      </w:r>
    </w:p>
    <w:p w14:paraId="4931A707"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4、《基金合同》约定的其他情形；</w:t>
      </w:r>
    </w:p>
    <w:p w14:paraId="10E198E1"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5、相关法律法规和中国证监会规定的其他情况。</w:t>
      </w:r>
    </w:p>
    <w:p w14:paraId="39B2A157"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（三）基金财产的清算</w:t>
      </w:r>
    </w:p>
    <w:p w14:paraId="14E469E3"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lastRenderedPageBreak/>
        <w:t>1</w:t>
      </w:r>
      <w:r w:rsidRPr="00B56A57">
        <w:rPr>
          <w:rFonts w:asciiTheme="minorEastAsia" w:hAnsiTheme="minorEastAsia" w:hint="eastAsia"/>
        </w:rPr>
        <w:t>、基金财产清算小组：自出现《基金合同》终止事由之日起</w:t>
      </w:r>
      <w:r w:rsidRPr="00B56A57">
        <w:rPr>
          <w:rFonts w:asciiTheme="minorEastAsia" w:hAnsiTheme="minorEastAsia"/>
        </w:rPr>
        <w:t>30</w:t>
      </w:r>
      <w:r w:rsidRPr="00B56A57">
        <w:rPr>
          <w:rFonts w:asciiTheme="minorEastAsia" w:hAnsiTheme="minorEastAsia" w:hint="eastAsia"/>
        </w:rPr>
        <w:t>个工作日内成立清算小组，基金管理人组织基金财产清算小组并在中国证监会的监督下进行基金清算。</w:t>
      </w:r>
    </w:p>
    <w:p w14:paraId="19BEF6CB"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2、在基金财产清算小组接管基金财产之前，基金管理人和基金托管人应按照《基金合同》和托管协议的规定继续履行保护基金财产安全的职责。</w:t>
      </w:r>
    </w:p>
    <w:p w14:paraId="4E0E8E9B"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3</w:t>
      </w:r>
      <w:r w:rsidRPr="00B56A57">
        <w:rPr>
          <w:rFonts w:asciiTheme="minorEastAsia" w:hAnsiTheme="minorEastAsia" w:hint="eastAsia"/>
        </w:rPr>
        <w:t>、基金财产清算小组组成：基金财产清算小组成员由基金管理人、基金托管人、符合《证券法》规定的注册会计师、律师以及中国证监会指定的人员组成。基金财产清算小组可以聘用必要的工作人员。</w:t>
      </w:r>
    </w:p>
    <w:p w14:paraId="1F81A761"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4</w:t>
      </w:r>
      <w:r w:rsidRPr="00B56A57">
        <w:rPr>
          <w:rFonts w:asciiTheme="minorEastAsia" w:hAnsiTheme="minorEastAsia" w:hint="eastAsia"/>
        </w:rPr>
        <w:t>、基金财产清算小组职责：基金财产清算小组负责基金财产的保管、清理、估价、变现和分配。基金财产清算小组可以依法进行必要的民事活动。</w:t>
      </w:r>
    </w:p>
    <w:p w14:paraId="4BFEEA43"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5</w:t>
      </w:r>
      <w:r w:rsidRPr="00B56A57">
        <w:rPr>
          <w:rFonts w:asciiTheme="minorEastAsia" w:hAnsiTheme="minorEastAsia" w:hint="eastAsia"/>
        </w:rPr>
        <w:t>、基金财产清算程序：</w:t>
      </w:r>
    </w:p>
    <w:p w14:paraId="0D6DE4C2"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1</w:t>
      </w:r>
      <w:r w:rsidRPr="00B56A57">
        <w:rPr>
          <w:rFonts w:asciiTheme="minorEastAsia" w:hAnsiTheme="minorEastAsia" w:hint="eastAsia"/>
        </w:rPr>
        <w:t>）《基金合同》终止情形出现时，由基金财产清算小组统一接管基金；</w:t>
      </w:r>
    </w:p>
    <w:p w14:paraId="4BEDA6D7"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2</w:t>
      </w:r>
      <w:r w:rsidRPr="00B56A57">
        <w:rPr>
          <w:rFonts w:asciiTheme="minorEastAsia" w:hAnsiTheme="minorEastAsia" w:hint="eastAsia"/>
        </w:rPr>
        <w:t>）对基金财产和债权债务进行清理和确认；</w:t>
      </w:r>
    </w:p>
    <w:p w14:paraId="77266111"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3</w:t>
      </w:r>
      <w:r w:rsidRPr="00B56A57">
        <w:rPr>
          <w:rFonts w:asciiTheme="minorEastAsia" w:hAnsiTheme="minorEastAsia" w:hint="eastAsia"/>
        </w:rPr>
        <w:t>）对基金财产进行估值和变现；</w:t>
      </w:r>
    </w:p>
    <w:p w14:paraId="1666B6A6"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4</w:t>
      </w:r>
      <w:r w:rsidRPr="00B56A57">
        <w:rPr>
          <w:rFonts w:asciiTheme="minorEastAsia" w:hAnsiTheme="minorEastAsia" w:hint="eastAsia"/>
        </w:rPr>
        <w:t>）制作清算报告；</w:t>
      </w:r>
    </w:p>
    <w:p w14:paraId="7D79C050"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5</w:t>
      </w:r>
      <w:r w:rsidRPr="00B56A57">
        <w:rPr>
          <w:rFonts w:asciiTheme="minorEastAsia" w:hAnsiTheme="minorEastAsia" w:hint="eastAsia"/>
        </w:rPr>
        <w:t>）聘请会计师事务所对清算报告进行外部审计，聘请律师事务所对清算报告出具法律意见书；</w:t>
      </w:r>
    </w:p>
    <w:p w14:paraId="42D3BE3D"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6</w:t>
      </w:r>
      <w:r w:rsidRPr="00B56A57">
        <w:rPr>
          <w:rFonts w:asciiTheme="minorEastAsia" w:hAnsiTheme="minorEastAsia" w:hint="eastAsia"/>
        </w:rPr>
        <w:t>）将清算报告报中国证监会备案并公告；</w:t>
      </w:r>
    </w:p>
    <w:p w14:paraId="503609B1"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w:t>
      </w:r>
      <w:r w:rsidRPr="00B56A57">
        <w:rPr>
          <w:rFonts w:asciiTheme="minorEastAsia" w:hAnsiTheme="minorEastAsia"/>
        </w:rPr>
        <w:t>7</w:t>
      </w:r>
      <w:r w:rsidRPr="00B56A57">
        <w:rPr>
          <w:rFonts w:asciiTheme="minorEastAsia" w:hAnsiTheme="minorEastAsia" w:hint="eastAsia"/>
        </w:rPr>
        <w:t>）对基金剩余财产进行分配。</w:t>
      </w:r>
    </w:p>
    <w:p w14:paraId="441EBBD8"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rPr>
        <w:t>6</w:t>
      </w:r>
      <w:r w:rsidRPr="00B56A57">
        <w:rPr>
          <w:rFonts w:asciiTheme="minorEastAsia" w:hAnsiTheme="minorEastAsia" w:hint="eastAsia"/>
        </w:rPr>
        <w:t>、基金财产清算的期限为</w:t>
      </w:r>
      <w:r w:rsidRPr="00B56A57">
        <w:rPr>
          <w:rFonts w:asciiTheme="minorEastAsia" w:hAnsiTheme="minorEastAsia"/>
        </w:rPr>
        <w:t>6个月，但因本基金所持证券的流动性受到限制而不能及时变现的，清算期限可相应顺延。</w:t>
      </w:r>
    </w:p>
    <w:p w14:paraId="6A192090"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（四）清算费用</w:t>
      </w:r>
    </w:p>
    <w:p w14:paraId="61031F02"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清算费用是指基金财产清算小组在进行基金清算过程中发生的所有合理费用，清算费用由基金财产清算小组优先从基金财产中支付。</w:t>
      </w:r>
    </w:p>
    <w:p w14:paraId="4FC982BE"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（五）基金财产清算剩余资产的分配</w:t>
      </w:r>
    </w:p>
    <w:p w14:paraId="00A985E6"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依据基金财产清算的分配方案，将基金财产清算后的全部剩余资产扣除基金财产清算费用、交纳所欠税款并清偿基金债务后，按基金份额持有人持有的基金份额比例进行分配。</w:t>
      </w:r>
    </w:p>
    <w:p w14:paraId="028277FD"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（六）基金财产清算的公告</w:t>
      </w:r>
    </w:p>
    <w:p w14:paraId="6241D790"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B56A57">
        <w:rPr>
          <w:rFonts w:asciiTheme="minorEastAsia" w:eastAsiaTheme="minorEastAsia" w:hAnsiTheme="minorEastAsia"/>
        </w:rPr>
        <w:t>5</w:t>
      </w:r>
      <w:r w:rsidRPr="00B56A57">
        <w:rPr>
          <w:rFonts w:asciiTheme="minorEastAsia" w:hAnsiTheme="minorEastAsia" w:hint="eastAsia"/>
        </w:rPr>
        <w:t>个工作日内由基金财产清算小组进行公告，基金财产清算小组应当将清算报告登载在规定网站上，并将清算报告提示性公告登载在规定报刊上。</w:t>
      </w:r>
    </w:p>
    <w:p w14:paraId="12F78C90"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t>（七）基金财产清算账册及文件的保存</w:t>
      </w:r>
    </w:p>
    <w:p w14:paraId="3DD821FE" w14:textId="77777777" w:rsidR="00217DCA" w:rsidRPr="00B56A57" w:rsidRDefault="006C7341">
      <w:pPr>
        <w:snapToGrid w:val="0"/>
        <w:spacing w:line="360" w:lineRule="auto"/>
        <w:ind w:firstLineChars="200" w:firstLine="420"/>
        <w:rPr>
          <w:rFonts w:asciiTheme="minorEastAsia" w:hAnsiTheme="minorEastAsia"/>
        </w:rPr>
      </w:pPr>
      <w:r w:rsidRPr="00B56A57">
        <w:rPr>
          <w:rFonts w:asciiTheme="minorEastAsia" w:hAnsiTheme="minorEastAsia" w:hint="eastAsia"/>
        </w:rPr>
        <w:lastRenderedPageBreak/>
        <w:t>基金财产清算账册及有关文件由基金托管人保存</w:t>
      </w:r>
      <w:r w:rsidRPr="00B56A57">
        <w:rPr>
          <w:rFonts w:asciiTheme="minorEastAsia" w:hAnsiTheme="minorEastAsia"/>
        </w:rPr>
        <w:t>20年以上，法律法规或监管规则另有规定的从其规定。</w:t>
      </w:r>
    </w:p>
    <w:p w14:paraId="279CD129"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八、争议的处理</w:t>
      </w:r>
    </w:p>
    <w:p w14:paraId="4610DB19"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各方当事人同意，因《基金合同》而产生的或与《基金合同》有关的一切争议，如不愿或者不能通过协商、调解解决的，任何一方均有权将争议提交深圳国际仲裁院（深圳仲裁委员会），按照深圳国际仲裁院（深圳仲裁委员会）届时有效的仲裁规则进行仲裁。仲裁地点为深圳市。仲裁裁决是终局的，对各方当事人均有约束力。除非仲裁裁决另有规定，仲裁费用、律师费用由败诉方承担。</w:t>
      </w:r>
    </w:p>
    <w:p w14:paraId="0FB239AF"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争议处理期间，基金管理人、基金托管人应恪守基金管理人和基金托管人的职责，各自继续忠实、勤勉、尽责地履行基金合同和基金托管协议规定的义务，维护基金份额持有人的合法权益。</w:t>
      </w:r>
    </w:p>
    <w:p w14:paraId="435B9BC2" w14:textId="77777777" w:rsidR="00217DCA" w:rsidRPr="00B56A57" w:rsidRDefault="006C7341">
      <w:pPr>
        <w:adjustRightInd w:val="0"/>
        <w:snapToGrid w:val="0"/>
        <w:spacing w:line="360" w:lineRule="auto"/>
        <w:ind w:firstLine="420"/>
        <w:rPr>
          <w:rFonts w:asciiTheme="minorEastAsia" w:hAnsiTheme="minorEastAsia"/>
          <w:color w:val="0D0D0D" w:themeColor="text1" w:themeTint="F2"/>
        </w:rPr>
      </w:pPr>
      <w:r w:rsidRPr="00B56A57">
        <w:rPr>
          <w:rFonts w:asciiTheme="minorEastAsia" w:eastAsiaTheme="minorEastAsia" w:hAnsiTheme="minorEastAsia" w:hint="eastAsia"/>
        </w:rPr>
        <w:t>《基金合同》受中国法律（为本基金合同之目的，在此不包括香港、澳门特别行政区和台湾地区法律）管辖。</w:t>
      </w:r>
    </w:p>
    <w:p w14:paraId="2C732942" w14:textId="77777777" w:rsidR="00217DCA" w:rsidRPr="00B56A57" w:rsidRDefault="006C7341">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九、基金合同存放地和投资者取得合同的方式</w:t>
      </w:r>
    </w:p>
    <w:p w14:paraId="18973D05" w14:textId="12D7F5CD" w:rsidR="006B0F25" w:rsidRDefault="006C7341" w:rsidP="00A672A7">
      <w:pPr>
        <w:snapToGrid w:val="0"/>
        <w:spacing w:line="360" w:lineRule="auto"/>
        <w:ind w:firstLineChars="200" w:firstLine="420"/>
        <w:rPr>
          <w:rFonts w:asciiTheme="minorEastAsia" w:eastAsiaTheme="minorEastAsia" w:hAnsiTheme="minorEastAsia"/>
        </w:rPr>
      </w:pPr>
      <w:r w:rsidRPr="00B56A57">
        <w:rPr>
          <w:rFonts w:asciiTheme="minorEastAsia" w:eastAsiaTheme="minorEastAsia" w:hAnsiTheme="minorEastAsia" w:hint="eastAsia"/>
        </w:rPr>
        <w:t>本基金合同可印制成册，供投资人在基金管理人、基金托管人、代销机构和登记机构办公场所查阅</w:t>
      </w:r>
      <w:bookmarkEnd w:id="626"/>
    </w:p>
    <w:p w14:paraId="01FD8621" w14:textId="231D2251" w:rsidR="000103BF" w:rsidRDefault="000103BF" w:rsidP="00A672A7">
      <w:pPr>
        <w:snapToGrid w:val="0"/>
        <w:spacing w:line="360" w:lineRule="auto"/>
        <w:ind w:firstLineChars="200" w:firstLine="420"/>
        <w:rPr>
          <w:rFonts w:asciiTheme="minorEastAsia" w:eastAsiaTheme="minorEastAsia" w:hAnsiTheme="minorEastAsia"/>
        </w:rPr>
      </w:pPr>
    </w:p>
    <w:p w14:paraId="2FBA316D" w14:textId="0D429C24" w:rsidR="000103BF" w:rsidRDefault="000103BF" w:rsidP="00A672A7">
      <w:pPr>
        <w:snapToGrid w:val="0"/>
        <w:spacing w:line="360" w:lineRule="auto"/>
        <w:ind w:firstLineChars="200" w:firstLine="420"/>
        <w:rPr>
          <w:rFonts w:asciiTheme="minorEastAsia" w:eastAsiaTheme="minorEastAsia" w:hAnsiTheme="minorEastAsia"/>
        </w:rPr>
      </w:pPr>
    </w:p>
    <w:p w14:paraId="2BD43405" w14:textId="4539B580" w:rsidR="00217DCA" w:rsidRPr="006B0F25" w:rsidRDefault="00217DCA" w:rsidP="000103BF">
      <w:pPr>
        <w:widowControl/>
        <w:spacing w:before="100" w:beforeAutospacing="1" w:after="100" w:afterAutospacing="1" w:line="400" w:lineRule="exact"/>
        <w:jc w:val="left"/>
        <w:rPr>
          <w:rFonts w:asciiTheme="minorEastAsia" w:hAnsiTheme="minorEastAsia" w:hint="eastAsia"/>
          <w:b/>
          <w:sz w:val="24"/>
        </w:rPr>
      </w:pPr>
    </w:p>
    <w:sectPr w:rsidR="00217DCA" w:rsidRPr="006B0F25">
      <w:footerReference w:type="default" r:id="rId4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F7557" w14:textId="77777777" w:rsidR="00EF49C4" w:rsidRDefault="00EF49C4">
      <w:r>
        <w:separator/>
      </w:r>
    </w:p>
  </w:endnote>
  <w:endnote w:type="continuationSeparator" w:id="0">
    <w:p w14:paraId="7E3F70E2" w14:textId="77777777" w:rsidR="00EF49C4" w:rsidRDefault="00EF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D86D" w14:textId="47427DA0" w:rsidR="002B7950" w:rsidRDefault="002B7950">
    <w:pPr>
      <w:pStyle w:val="ae"/>
      <w:framePr w:wrap="around" w:vAnchor="text" w:hAnchor="margin" w:xAlign="center" w:yAlign="top"/>
    </w:pPr>
    <w:r>
      <w:rPr>
        <w:rFonts w:hint="eastAsia"/>
      </w:rPr>
      <w:fldChar w:fldCharType="begin"/>
    </w:r>
    <w:r>
      <w:rPr>
        <w:rStyle w:val="af9"/>
        <w:rFonts w:hint="eastAsia"/>
      </w:rPr>
      <w:instrText xml:space="preserve"> PAGE  </w:instrText>
    </w:r>
    <w:r>
      <w:rPr>
        <w:rFonts w:hint="eastAsia"/>
      </w:rPr>
      <w:fldChar w:fldCharType="separate"/>
    </w:r>
    <w:r w:rsidR="00D476BB">
      <w:rPr>
        <w:rStyle w:val="af9"/>
        <w:noProof/>
      </w:rPr>
      <w:t>1</w:t>
    </w:r>
    <w:r>
      <w:rPr>
        <w:rFonts w:hint="eastAsia"/>
      </w:rPr>
      <w:fldChar w:fldCharType="end"/>
    </w:r>
  </w:p>
  <w:p w14:paraId="7BD9AD47" w14:textId="77777777" w:rsidR="002B7950" w:rsidRDefault="002B7950">
    <w:pPr>
      <w:pStyle w:val="ae"/>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67BB" w14:textId="0A934F13" w:rsidR="002B7950" w:rsidRDefault="002B7950">
    <w:pPr>
      <w:pStyle w:val="ae"/>
      <w:jc w:val="center"/>
      <w:rPr>
        <w:rFonts w:ascii="Arial" w:hAnsi="Arial" w:cs="Arial"/>
        <w:sz w:val="21"/>
        <w:szCs w:val="21"/>
      </w:rPr>
    </w:pPr>
    <w:r>
      <w:rPr>
        <w:rFonts w:ascii="Arial" w:hAnsi="Arial" w:cs="Arial" w:hint="eastAsia"/>
        <w:sz w:val="21"/>
        <w:szCs w:val="21"/>
      </w:rPr>
      <w:t>7-</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2</w:t>
    </w:r>
    <w:r>
      <w:rPr>
        <w:rFonts w:ascii="Arial" w:hAnsi="Arial" w:cs="Arial"/>
        <w:sz w:val="21"/>
        <w:szCs w:val="21"/>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29B1" w14:textId="14CD7BA5" w:rsidR="002B7950" w:rsidRDefault="002B7950">
    <w:pPr>
      <w:pStyle w:val="ae"/>
      <w:jc w:val="center"/>
      <w:rPr>
        <w:rFonts w:ascii="Arial" w:hAnsi="Arial" w:cs="Arial"/>
        <w:sz w:val="21"/>
        <w:szCs w:val="21"/>
      </w:rPr>
    </w:pPr>
    <w:r>
      <w:rPr>
        <w:rFonts w:ascii="Arial" w:hAnsi="Arial" w:cs="Arial" w:hint="eastAsia"/>
        <w:sz w:val="21"/>
        <w:szCs w:val="21"/>
      </w:rPr>
      <w:t>8-</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6</w:t>
    </w:r>
    <w:r>
      <w:rPr>
        <w:rFonts w:ascii="Arial" w:hAnsi="Arial" w:cs="Arial"/>
        <w:sz w:val="21"/>
        <w:szCs w:val="21"/>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F1A6" w14:textId="6D3C36B7" w:rsidR="002B7950" w:rsidRDefault="002B7950">
    <w:pPr>
      <w:pStyle w:val="ae"/>
      <w:jc w:val="center"/>
      <w:rPr>
        <w:rFonts w:ascii="Arial" w:hAnsi="Arial" w:cs="Arial"/>
        <w:sz w:val="21"/>
        <w:szCs w:val="21"/>
      </w:rPr>
    </w:pPr>
    <w:r>
      <w:rPr>
        <w:rFonts w:ascii="Arial" w:hAnsi="Arial" w:cs="Arial" w:hint="eastAsia"/>
        <w:sz w:val="21"/>
        <w:szCs w:val="21"/>
      </w:rPr>
      <w:t>9-</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6</w:t>
    </w:r>
    <w:r>
      <w:rPr>
        <w:rFonts w:ascii="Arial" w:hAnsi="Arial" w:cs="Arial"/>
        <w:sz w:val="21"/>
        <w:szCs w:val="21"/>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339B" w14:textId="006E599F" w:rsidR="002B7950" w:rsidRDefault="002B7950">
    <w:pPr>
      <w:pStyle w:val="ae"/>
      <w:jc w:val="center"/>
      <w:rPr>
        <w:rFonts w:ascii="Arial" w:hAnsi="Arial" w:cs="Arial"/>
        <w:sz w:val="21"/>
        <w:szCs w:val="21"/>
      </w:rPr>
    </w:pPr>
    <w:r>
      <w:rPr>
        <w:rFonts w:ascii="Arial" w:hAnsi="Arial" w:cs="Arial" w:hint="eastAsia"/>
        <w:sz w:val="21"/>
        <w:szCs w:val="21"/>
      </w:rPr>
      <w:t>10-</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7</w:t>
    </w:r>
    <w:r>
      <w:rPr>
        <w:rFonts w:ascii="Arial" w:hAnsi="Arial" w:cs="Arial"/>
        <w:sz w:val="21"/>
        <w:szCs w:val="21"/>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B9A5" w14:textId="0A883373" w:rsidR="002B7950" w:rsidRDefault="002B7950">
    <w:pPr>
      <w:pStyle w:val="ae"/>
      <w:jc w:val="center"/>
      <w:rPr>
        <w:rFonts w:ascii="Arial" w:hAnsi="Arial" w:cs="Arial"/>
        <w:sz w:val="21"/>
        <w:szCs w:val="21"/>
      </w:rPr>
    </w:pPr>
    <w:r>
      <w:rPr>
        <w:rFonts w:ascii="Arial" w:hAnsi="Arial" w:cs="Arial" w:hint="eastAsia"/>
        <w:sz w:val="21"/>
        <w:szCs w:val="21"/>
      </w:rPr>
      <w:t>11-</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2</w:t>
    </w:r>
    <w:r>
      <w:rPr>
        <w:rFonts w:ascii="Arial" w:hAnsi="Arial" w:cs="Arial"/>
        <w:sz w:val="21"/>
        <w:szCs w:val="21"/>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1A46" w14:textId="48A3BF37" w:rsidR="002B7950" w:rsidRDefault="002B7950">
    <w:pPr>
      <w:pStyle w:val="ae"/>
      <w:jc w:val="center"/>
      <w:rPr>
        <w:rFonts w:ascii="Arial" w:hAnsi="Arial" w:cs="Arial"/>
        <w:sz w:val="21"/>
        <w:szCs w:val="21"/>
      </w:rPr>
    </w:pPr>
    <w:r>
      <w:rPr>
        <w:rFonts w:ascii="Arial" w:hAnsi="Arial" w:cs="Arial" w:hint="eastAsia"/>
        <w:sz w:val="21"/>
        <w:szCs w:val="21"/>
      </w:rPr>
      <w:t>12-</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1</w:t>
    </w:r>
    <w:r>
      <w:rPr>
        <w:rFonts w:ascii="Arial" w:hAnsi="Arial" w:cs="Arial"/>
        <w:sz w:val="21"/>
        <w:szCs w:val="21"/>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AD38" w14:textId="03C629FB" w:rsidR="002B7950" w:rsidRDefault="002B7950">
    <w:pPr>
      <w:pStyle w:val="ae"/>
      <w:jc w:val="center"/>
      <w:rPr>
        <w:rFonts w:ascii="Arial" w:hAnsi="Arial" w:cs="Arial"/>
        <w:sz w:val="21"/>
        <w:szCs w:val="21"/>
      </w:rPr>
    </w:pPr>
    <w:r>
      <w:rPr>
        <w:rFonts w:ascii="Arial" w:hAnsi="Arial" w:cs="Arial" w:hint="eastAsia"/>
        <w:sz w:val="21"/>
        <w:szCs w:val="21"/>
      </w:rPr>
      <w:t>13-</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1</w:t>
    </w:r>
    <w:r>
      <w:rPr>
        <w:rFonts w:ascii="Arial" w:hAnsi="Arial" w:cs="Arial"/>
        <w:sz w:val="21"/>
        <w:szCs w:val="21"/>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52C2" w14:textId="155524EC" w:rsidR="002B7950" w:rsidRDefault="002B7950">
    <w:pPr>
      <w:pStyle w:val="ae"/>
      <w:jc w:val="center"/>
      <w:rPr>
        <w:rFonts w:ascii="Arial" w:hAnsi="Arial" w:cs="Arial"/>
        <w:sz w:val="21"/>
        <w:szCs w:val="21"/>
      </w:rPr>
    </w:pPr>
    <w:r>
      <w:rPr>
        <w:rFonts w:ascii="Arial" w:hAnsi="Arial" w:cs="Arial" w:hint="eastAsia"/>
        <w:sz w:val="21"/>
        <w:szCs w:val="21"/>
      </w:rPr>
      <w:t>14-</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6</w:t>
    </w:r>
    <w:r>
      <w:rPr>
        <w:rFonts w:ascii="Arial" w:hAnsi="Arial" w:cs="Arial"/>
        <w:sz w:val="21"/>
        <w:szCs w:val="21"/>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A0183" w14:textId="14422885" w:rsidR="002B7950" w:rsidRDefault="002B7950">
    <w:pPr>
      <w:pStyle w:val="ae"/>
      <w:jc w:val="center"/>
      <w:rPr>
        <w:rFonts w:ascii="Arial" w:hAnsi="Arial" w:cs="Arial"/>
        <w:sz w:val="21"/>
        <w:szCs w:val="21"/>
      </w:rPr>
    </w:pPr>
    <w:r>
      <w:rPr>
        <w:rFonts w:ascii="Arial" w:hAnsi="Arial" w:cs="Arial" w:hint="eastAsia"/>
        <w:sz w:val="21"/>
        <w:szCs w:val="21"/>
      </w:rPr>
      <w:t>15-</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1</w:t>
    </w:r>
    <w:r>
      <w:rPr>
        <w:rFonts w:ascii="Arial" w:hAnsi="Arial" w:cs="Arial"/>
        <w:sz w:val="21"/>
        <w:szCs w:val="21"/>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1AEC1" w14:textId="2BEE05AA" w:rsidR="002B7950" w:rsidRDefault="002B7950">
    <w:pPr>
      <w:pStyle w:val="ae"/>
      <w:jc w:val="center"/>
      <w:rPr>
        <w:rFonts w:ascii="Arial" w:hAnsi="Arial"/>
        <w:sz w:val="21"/>
      </w:rPr>
    </w:pPr>
    <w:r>
      <w:rPr>
        <w:rFonts w:ascii="Arial" w:hAnsi="Arial" w:cs="Arial" w:hint="eastAsia"/>
        <w:sz w:val="21"/>
        <w:szCs w:val="21"/>
      </w:rPr>
      <w:t>16-</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5</w:t>
    </w:r>
    <w:r>
      <w:rPr>
        <w:rFonts w:ascii="Arial" w:hAnsi="Arial"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AF748" w14:textId="77777777" w:rsidR="002B7950" w:rsidRDefault="002B7950">
    <w:pPr>
      <w:pStyle w:val="ae"/>
    </w:pPr>
  </w:p>
  <w:p w14:paraId="0ECD709B" w14:textId="77777777" w:rsidR="002B7950" w:rsidRDefault="002B7950">
    <w:pPr>
      <w:pStyle w:val="ae"/>
    </w:pPr>
  </w:p>
  <w:p w14:paraId="7A65B010" w14:textId="77777777" w:rsidR="002B7950" w:rsidRDefault="002B7950">
    <w:pPr>
      <w:pStyle w:val="ae"/>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C559" w14:textId="1ABE3338" w:rsidR="002B7950" w:rsidRDefault="002B7950">
    <w:pPr>
      <w:pStyle w:val="ae"/>
      <w:jc w:val="center"/>
      <w:rPr>
        <w:rFonts w:ascii="Arial" w:hAnsi="Arial" w:cs="Arial"/>
        <w:sz w:val="21"/>
        <w:szCs w:val="21"/>
      </w:rPr>
    </w:pPr>
    <w:r>
      <w:rPr>
        <w:rFonts w:ascii="Arial" w:hAnsi="Arial" w:cs="Arial" w:hint="eastAsia"/>
        <w:sz w:val="21"/>
        <w:szCs w:val="21"/>
      </w:rPr>
      <w:t>17-</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2</w:t>
    </w:r>
    <w:r>
      <w:rPr>
        <w:rFonts w:ascii="Arial" w:hAnsi="Arial" w:cs="Arial"/>
        <w:sz w:val="21"/>
        <w:szCs w:val="21"/>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687C" w14:textId="31BCA007" w:rsidR="002B7950" w:rsidRDefault="002B7950">
    <w:pPr>
      <w:pStyle w:val="ae"/>
      <w:jc w:val="center"/>
      <w:rPr>
        <w:rFonts w:ascii="Arial" w:hAnsi="Arial" w:cs="Arial"/>
        <w:sz w:val="21"/>
        <w:szCs w:val="21"/>
      </w:rPr>
    </w:pPr>
    <w:r>
      <w:rPr>
        <w:rFonts w:ascii="Arial" w:hAnsi="Arial" w:cs="Arial" w:hint="eastAsia"/>
        <w:sz w:val="21"/>
        <w:szCs w:val="21"/>
      </w:rPr>
      <w:t>18-</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2</w:t>
    </w:r>
    <w:r>
      <w:rPr>
        <w:rFonts w:ascii="Arial" w:hAnsi="Arial" w:cs="Arial"/>
        <w:sz w:val="21"/>
        <w:szCs w:val="21"/>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BEA40" w14:textId="29F0E40A" w:rsidR="002B7950" w:rsidRDefault="002B7950">
    <w:pPr>
      <w:pStyle w:val="ae"/>
      <w:jc w:val="center"/>
      <w:rPr>
        <w:rFonts w:ascii="Arial" w:hAnsi="Arial" w:cs="Arial"/>
        <w:sz w:val="21"/>
        <w:szCs w:val="21"/>
      </w:rPr>
    </w:pPr>
    <w:r>
      <w:rPr>
        <w:rFonts w:ascii="Arial" w:hAnsi="Arial" w:cs="Arial" w:hint="eastAsia"/>
        <w:sz w:val="21"/>
        <w:szCs w:val="21"/>
      </w:rPr>
      <w:t>19-</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1</w:t>
    </w:r>
    <w:r>
      <w:rPr>
        <w:rFonts w:ascii="Arial" w:hAnsi="Arial" w:cs="Arial"/>
        <w:sz w:val="21"/>
        <w:szCs w:val="21"/>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1383" w14:textId="33D02B54" w:rsidR="002B7950" w:rsidRDefault="002B7950">
    <w:pPr>
      <w:pStyle w:val="ae"/>
      <w:jc w:val="center"/>
      <w:rPr>
        <w:rFonts w:ascii="Arial" w:hAnsi="Arial" w:cs="Arial"/>
        <w:sz w:val="21"/>
        <w:szCs w:val="21"/>
      </w:rPr>
    </w:pPr>
    <w:r>
      <w:rPr>
        <w:rFonts w:ascii="Arial" w:hAnsi="Arial" w:cs="Arial" w:hint="eastAsia"/>
        <w:sz w:val="21"/>
        <w:szCs w:val="21"/>
      </w:rPr>
      <w:t>20-</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6</w:t>
    </w:r>
    <w:r>
      <w:rPr>
        <w:rFonts w:ascii="Arial" w:hAnsi="Arial" w:cs="Arial"/>
        <w:sz w:val="21"/>
        <w:szCs w:val="21"/>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9BF0" w14:textId="6A77302A" w:rsidR="002B7950" w:rsidRDefault="002B7950">
    <w:pPr>
      <w:pStyle w:val="ae"/>
      <w:jc w:val="center"/>
      <w:rPr>
        <w:rFonts w:ascii="Arial" w:hAnsi="Arial" w:cs="Arial"/>
        <w:sz w:val="21"/>
        <w:szCs w:val="21"/>
      </w:rPr>
    </w:pPr>
    <w:r>
      <w:rPr>
        <w:rFonts w:ascii="Arial" w:hAnsi="Arial" w:cs="Arial" w:hint="eastAsia"/>
        <w:sz w:val="21"/>
        <w:szCs w:val="21"/>
      </w:rPr>
      <w:t>21-</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2</w:t>
    </w:r>
    <w:r>
      <w:rPr>
        <w:rFonts w:ascii="Arial" w:hAnsi="Arial" w:cs="Arial"/>
        <w:sz w:val="21"/>
        <w:szCs w:val="21"/>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E7EA" w14:textId="306D7BE6" w:rsidR="002B7950" w:rsidRDefault="002B7950">
    <w:pPr>
      <w:pStyle w:val="ae"/>
      <w:jc w:val="center"/>
      <w:rPr>
        <w:rFonts w:ascii="Arial" w:hAnsi="Arial" w:cs="Arial"/>
        <w:sz w:val="21"/>
        <w:szCs w:val="21"/>
      </w:rPr>
    </w:pPr>
    <w:r>
      <w:rPr>
        <w:rFonts w:ascii="Arial" w:hAnsi="Arial" w:cs="Arial" w:hint="eastAsia"/>
        <w:sz w:val="21"/>
        <w:szCs w:val="21"/>
      </w:rPr>
      <w:t>22-</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1</w:t>
    </w:r>
    <w:r>
      <w:rPr>
        <w:rFonts w:ascii="Arial" w:hAnsi="Arial" w:cs="Arial"/>
        <w:sz w:val="21"/>
        <w:szCs w:val="21"/>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D487" w14:textId="1F257F3B" w:rsidR="002B7950" w:rsidRDefault="002B7950">
    <w:pPr>
      <w:pStyle w:val="ae"/>
      <w:jc w:val="center"/>
      <w:rPr>
        <w:rFonts w:ascii="Arial" w:hAnsi="Arial" w:cs="Arial"/>
        <w:sz w:val="21"/>
        <w:szCs w:val="21"/>
      </w:rPr>
    </w:pPr>
    <w:r>
      <w:rPr>
        <w:rFonts w:ascii="Arial" w:hAnsi="Arial" w:cs="Arial" w:hint="eastAsia"/>
        <w:sz w:val="21"/>
        <w:szCs w:val="21"/>
      </w:rPr>
      <w:t>23-</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1</w:t>
    </w:r>
    <w:r>
      <w:rPr>
        <w:rFonts w:ascii="Arial" w:hAnsi="Arial" w:cs="Arial"/>
        <w:sz w:val="21"/>
        <w:szCs w:val="21"/>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2580" w14:textId="08C99449" w:rsidR="002B7950" w:rsidRDefault="002B7950">
    <w:pPr>
      <w:pStyle w:val="ae"/>
      <w:jc w:val="center"/>
      <w:rPr>
        <w:rFonts w:ascii="Arial" w:hAnsi="Arial" w:cs="Arial"/>
        <w:sz w:val="21"/>
        <w:szCs w:val="21"/>
      </w:rPr>
    </w:pPr>
    <w:r>
      <w:rPr>
        <w:rFonts w:ascii="Arial" w:hAnsi="Arial" w:cs="Arial" w:hint="eastAsia"/>
        <w:sz w:val="21"/>
        <w:szCs w:val="21"/>
      </w:rPr>
      <w:t>24-</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1</w:t>
    </w:r>
    <w:r>
      <w:rPr>
        <w:rFonts w:ascii="Arial" w:hAnsi="Arial" w:cs="Arial"/>
        <w:sz w:val="21"/>
        <w:szCs w:val="21"/>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4DBF" w14:textId="1A47EA84" w:rsidR="002B7950" w:rsidRDefault="002B7950">
    <w:pPr>
      <w:pStyle w:val="ae"/>
      <w:jc w:val="center"/>
      <w:rPr>
        <w:rFonts w:ascii="Arial" w:hAnsi="Arial" w:cs="Arial"/>
        <w:sz w:val="21"/>
        <w:szCs w:val="21"/>
      </w:rPr>
    </w:pPr>
    <w:r>
      <w:rPr>
        <w:rFonts w:ascii="Arial" w:hAnsi="Arial" w:cs="Arial" w:hint="eastAsia"/>
        <w:sz w:val="21"/>
        <w:szCs w:val="21"/>
      </w:rPr>
      <w:t>25-</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1</w:t>
    </w:r>
    <w:r>
      <w:rPr>
        <w:rFonts w:ascii="Arial" w:hAnsi="Arial" w:cs="Arial"/>
        <w:sz w:val="21"/>
        <w:szCs w:val="21"/>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0E1F" w14:textId="6E6A16AC" w:rsidR="004531D9" w:rsidRDefault="004531D9">
    <w:pPr>
      <w:pStyle w:val="ae"/>
      <w:jc w:val="center"/>
    </w:pPr>
    <w:r>
      <w:t>26</w:t>
    </w:r>
    <w:r>
      <w:rPr>
        <w:rFonts w:hint="eastAsia"/>
      </w:rPr>
      <w:t>-</w:t>
    </w:r>
    <w:sdt>
      <w:sdtPr>
        <w:id w:val="775370392"/>
        <w:docPartObj>
          <w:docPartGallery w:val="Page Numbers (Bottom of Page)"/>
          <w:docPartUnique/>
        </w:docPartObj>
      </w:sdtPr>
      <w:sdtContent>
        <w:r>
          <w:fldChar w:fldCharType="begin"/>
        </w:r>
        <w:r>
          <w:instrText>PAGE   \* MERGEFORMAT</w:instrText>
        </w:r>
        <w:r>
          <w:fldChar w:fldCharType="separate"/>
        </w:r>
        <w:r w:rsidRPr="004531D9">
          <w:rPr>
            <w:noProof/>
            <w:lang w:val="zh-CN"/>
          </w:rPr>
          <w:t>22</w:t>
        </w:r>
        <w:r>
          <w:fldChar w:fldCharType="end"/>
        </w:r>
      </w:sdtContent>
    </w:sdt>
  </w:p>
  <w:p w14:paraId="6108C226" w14:textId="46F0E5AB" w:rsidR="006B0F25" w:rsidRDefault="006B0F25">
    <w:pPr>
      <w:pStyle w:val="ae"/>
      <w:jc w:val="center"/>
      <w:rPr>
        <w:rFonts w:ascii="Arial" w:hAnsi="Arial" w:cs="Arial"/>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8954D" w14:textId="283CADD2" w:rsidR="002B7950" w:rsidRDefault="002B7950">
    <w:pPr>
      <w:pStyle w:val="ae"/>
      <w:jc w:val="center"/>
      <w:rPr>
        <w:rFonts w:ascii="Arial" w:hAnsi="Arial" w:cs="Arial"/>
        <w:sz w:val="21"/>
        <w:szCs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8686" w14:textId="6B30C08C" w:rsidR="00B7490A" w:rsidRDefault="00B7490A">
    <w:pPr>
      <w:pStyle w:val="ae"/>
      <w:jc w:val="center"/>
      <w:rPr>
        <w:rFonts w:ascii="Arial" w:hAnsi="Arial" w:cs="Arial"/>
        <w:sz w:val="21"/>
        <w:szCs w:val="21"/>
      </w:rPr>
    </w:pPr>
    <w:r>
      <w:rPr>
        <w:rFonts w:ascii="Arial" w:hAnsi="Arial" w:cs="Arial" w:hint="eastAsia"/>
        <w:sz w:val="21"/>
        <w:szCs w:val="21"/>
      </w:rPr>
      <w:t>1-</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2</w:t>
    </w:r>
    <w:r>
      <w:rPr>
        <w:rFonts w:ascii="Arial" w:hAnsi="Arial" w:cs="Arial"/>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1ED1" w14:textId="6CE4F1CD" w:rsidR="002B7950" w:rsidRDefault="002B7950">
    <w:pPr>
      <w:pStyle w:val="ae"/>
      <w:jc w:val="center"/>
      <w:rPr>
        <w:rFonts w:ascii="Arial" w:hAnsi="Arial" w:cs="Arial"/>
        <w:sz w:val="21"/>
        <w:szCs w:val="21"/>
      </w:rPr>
    </w:pPr>
    <w:r>
      <w:rPr>
        <w:rFonts w:ascii="Arial" w:hAnsi="Arial" w:cs="Arial" w:hint="eastAsia"/>
        <w:sz w:val="21"/>
        <w:szCs w:val="21"/>
      </w:rPr>
      <w:t>2-</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5</w:t>
    </w:r>
    <w:r>
      <w:rPr>
        <w:rFonts w:ascii="Arial" w:hAnsi="Arial" w:cs="Arial"/>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4E3D" w14:textId="476684E0" w:rsidR="002B7950" w:rsidRDefault="002B7950">
    <w:pPr>
      <w:pStyle w:val="ae"/>
      <w:jc w:val="center"/>
      <w:rPr>
        <w:rFonts w:ascii="Arial" w:hAnsi="Arial" w:cs="Arial"/>
        <w:sz w:val="21"/>
        <w:szCs w:val="21"/>
      </w:rPr>
    </w:pPr>
    <w:r>
      <w:rPr>
        <w:rFonts w:ascii="Arial" w:hAnsi="Arial" w:cs="Arial" w:hint="eastAsia"/>
        <w:sz w:val="21"/>
        <w:szCs w:val="21"/>
      </w:rPr>
      <w:t>3-</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1</w:t>
    </w:r>
    <w:r>
      <w:rPr>
        <w:rFonts w:ascii="Arial" w:hAnsi="Arial" w:cs="Arial"/>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E88AC" w14:textId="7043AC14" w:rsidR="002B7950" w:rsidRDefault="002B7950">
    <w:pPr>
      <w:pStyle w:val="ae"/>
      <w:jc w:val="center"/>
      <w:rPr>
        <w:rFonts w:ascii="Arial" w:hAnsi="Arial" w:cs="Arial"/>
        <w:sz w:val="21"/>
        <w:szCs w:val="21"/>
      </w:rPr>
    </w:pPr>
    <w:r>
      <w:rPr>
        <w:rFonts w:ascii="Arial" w:hAnsi="Arial" w:cs="Arial" w:hint="eastAsia"/>
        <w:sz w:val="21"/>
        <w:szCs w:val="21"/>
      </w:rPr>
      <w:t>4-</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2</w:t>
    </w:r>
    <w:r>
      <w:rPr>
        <w:rFonts w:ascii="Arial" w:hAnsi="Arial" w:cs="Arial"/>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0256" w14:textId="3C31BB95" w:rsidR="002B7950" w:rsidRDefault="002B7950">
    <w:pPr>
      <w:pStyle w:val="ae"/>
      <w:jc w:val="center"/>
      <w:rPr>
        <w:rFonts w:ascii="Arial" w:hAnsi="Arial" w:cs="Arial"/>
        <w:sz w:val="21"/>
        <w:szCs w:val="21"/>
      </w:rPr>
    </w:pPr>
    <w:r>
      <w:rPr>
        <w:rFonts w:ascii="Arial" w:hAnsi="Arial" w:cs="Arial" w:hint="eastAsia"/>
        <w:sz w:val="21"/>
        <w:szCs w:val="21"/>
      </w:rPr>
      <w:t>5-</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1</w:t>
    </w:r>
    <w:r>
      <w:rPr>
        <w:rFonts w:ascii="Arial" w:hAnsi="Arial" w:cs="Arial"/>
        <w:sz w:val="21"/>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549C" w14:textId="302697BB" w:rsidR="002B7950" w:rsidRDefault="002B7950">
    <w:pPr>
      <w:pStyle w:val="ae"/>
      <w:jc w:val="center"/>
      <w:rPr>
        <w:rFonts w:ascii="Arial" w:hAnsi="Arial" w:cs="Arial"/>
        <w:sz w:val="21"/>
        <w:szCs w:val="21"/>
      </w:rPr>
    </w:pPr>
    <w:r>
      <w:rPr>
        <w:rFonts w:ascii="Arial" w:hAnsi="Arial" w:cs="Arial" w:hint="eastAsia"/>
        <w:sz w:val="21"/>
        <w:szCs w:val="21"/>
      </w:rPr>
      <w:t>6-</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4531D9" w:rsidRPr="004531D9">
      <w:rPr>
        <w:rFonts w:ascii="Arial" w:hAnsi="Arial" w:cs="Arial"/>
        <w:noProof/>
        <w:sz w:val="21"/>
        <w:szCs w:val="21"/>
        <w:lang w:val="zh-CN"/>
      </w:rPr>
      <w:t>1</w:t>
    </w:r>
    <w:r>
      <w:rPr>
        <w:rFonts w:ascii="Arial" w:hAnsi="Arial"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2C89A" w14:textId="77777777" w:rsidR="00EF49C4" w:rsidRDefault="00EF49C4">
      <w:r>
        <w:separator/>
      </w:r>
    </w:p>
  </w:footnote>
  <w:footnote w:type="continuationSeparator" w:id="0">
    <w:p w14:paraId="6B88CD3C" w14:textId="77777777" w:rsidR="00EF49C4" w:rsidRDefault="00EF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CD78" w14:textId="77777777" w:rsidR="002B7950" w:rsidRDefault="002B7950">
    <w:pPr>
      <w:pStyle w:val="ac"/>
      <w:pBdr>
        <w:bottom w:val="thickThinLargeGap" w:sz="24" w:space="10" w:color="auto"/>
      </w:pBdr>
      <w:tabs>
        <w:tab w:val="right" w:pos="8280"/>
      </w:tabs>
      <w:wordWrap w:val="0"/>
      <w:adjustRightInd w:val="0"/>
    </w:pPr>
    <w:r>
      <w:rPr>
        <w:rFonts w:hint="eastAsia"/>
        <w:color w:val="000000"/>
      </w:rPr>
      <w:t>博时沪深</w:t>
    </w:r>
    <w:r>
      <w:rPr>
        <w:rFonts w:hint="eastAsia"/>
        <w:color w:val="000000"/>
      </w:rPr>
      <w:t>300</w:t>
    </w:r>
    <w:r>
      <w:rPr>
        <w:rFonts w:hint="eastAsia"/>
        <w:color w:val="000000"/>
      </w:rPr>
      <w:t>交易型开放式指数</w:t>
    </w:r>
    <w:r>
      <w:rPr>
        <w:rFonts w:hint="eastAsia"/>
      </w:rPr>
      <w:t>证券投资基金</w:t>
    </w:r>
    <w:r>
      <w:rPr>
        <w:rFonts w:hint="eastAsia"/>
      </w:rPr>
      <w:t xml:space="preserve">                        </w:t>
    </w:r>
    <w:r>
      <w:rPr>
        <w:rFonts w:hint="eastAsia"/>
      </w:rPr>
      <w:t>转型申请材料－基金合同（草案）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189D" w14:textId="77777777" w:rsidR="002B7950" w:rsidRDefault="002B79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7617"/>
    <w:multiLevelType w:val="multilevel"/>
    <w:tmpl w:val="4DE87617"/>
    <w:lvl w:ilvl="0">
      <w:start w:val="1"/>
      <w:numFmt w:val="decimal"/>
      <w:lvlText w:val="%1."/>
      <w:lvlJc w:val="right"/>
      <w:pPr>
        <w:ind w:left="42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C185EF5"/>
    <w:multiLevelType w:val="multilevel"/>
    <w:tmpl w:val="5C185EF5"/>
    <w:lvl w:ilvl="0">
      <w:start w:val="1"/>
      <w:numFmt w:val="none"/>
      <w:pStyle w:val="1"/>
      <w:suff w:val="nothing"/>
      <w:lvlText w:val=""/>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1B"/>
    <w:rsid w:val="0000074F"/>
    <w:rsid w:val="00000D07"/>
    <w:rsid w:val="000017CC"/>
    <w:rsid w:val="000018CF"/>
    <w:rsid w:val="00002619"/>
    <w:rsid w:val="00002CD7"/>
    <w:rsid w:val="00002D2F"/>
    <w:rsid w:val="00002FA4"/>
    <w:rsid w:val="0000364E"/>
    <w:rsid w:val="00003942"/>
    <w:rsid w:val="000040A9"/>
    <w:rsid w:val="00004CAF"/>
    <w:rsid w:val="000051F6"/>
    <w:rsid w:val="00005361"/>
    <w:rsid w:val="00005841"/>
    <w:rsid w:val="00006370"/>
    <w:rsid w:val="000064F9"/>
    <w:rsid w:val="00006CAE"/>
    <w:rsid w:val="00006E14"/>
    <w:rsid w:val="00007263"/>
    <w:rsid w:val="0001033C"/>
    <w:rsid w:val="000103BF"/>
    <w:rsid w:val="00010D9A"/>
    <w:rsid w:val="00011073"/>
    <w:rsid w:val="00011225"/>
    <w:rsid w:val="0001149B"/>
    <w:rsid w:val="0001173B"/>
    <w:rsid w:val="000124F4"/>
    <w:rsid w:val="000126A6"/>
    <w:rsid w:val="0001282B"/>
    <w:rsid w:val="00013024"/>
    <w:rsid w:val="00013A08"/>
    <w:rsid w:val="00014187"/>
    <w:rsid w:val="000149F8"/>
    <w:rsid w:val="00014EC8"/>
    <w:rsid w:val="00015510"/>
    <w:rsid w:val="00016358"/>
    <w:rsid w:val="000168A2"/>
    <w:rsid w:val="00016BCC"/>
    <w:rsid w:val="00016D71"/>
    <w:rsid w:val="00017BD6"/>
    <w:rsid w:val="00017F55"/>
    <w:rsid w:val="00020A93"/>
    <w:rsid w:val="0002128C"/>
    <w:rsid w:val="000215A9"/>
    <w:rsid w:val="00022A4B"/>
    <w:rsid w:val="00022CCE"/>
    <w:rsid w:val="000232D0"/>
    <w:rsid w:val="00025008"/>
    <w:rsid w:val="00025616"/>
    <w:rsid w:val="000262BB"/>
    <w:rsid w:val="000265C9"/>
    <w:rsid w:val="000269C5"/>
    <w:rsid w:val="00026A03"/>
    <w:rsid w:val="00027584"/>
    <w:rsid w:val="000277E7"/>
    <w:rsid w:val="00030256"/>
    <w:rsid w:val="00030BA5"/>
    <w:rsid w:val="00030BE0"/>
    <w:rsid w:val="000312E6"/>
    <w:rsid w:val="000316FF"/>
    <w:rsid w:val="0003190A"/>
    <w:rsid w:val="0003272A"/>
    <w:rsid w:val="00032AF9"/>
    <w:rsid w:val="000331BE"/>
    <w:rsid w:val="0003399D"/>
    <w:rsid w:val="00033A06"/>
    <w:rsid w:val="00034466"/>
    <w:rsid w:val="00034844"/>
    <w:rsid w:val="000352F2"/>
    <w:rsid w:val="00035558"/>
    <w:rsid w:val="0003557B"/>
    <w:rsid w:val="000355B4"/>
    <w:rsid w:val="00035716"/>
    <w:rsid w:val="000361D8"/>
    <w:rsid w:val="00036546"/>
    <w:rsid w:val="00036896"/>
    <w:rsid w:val="00036C1B"/>
    <w:rsid w:val="00037133"/>
    <w:rsid w:val="00037441"/>
    <w:rsid w:val="0004029B"/>
    <w:rsid w:val="00040951"/>
    <w:rsid w:val="00040C8F"/>
    <w:rsid w:val="00040D6B"/>
    <w:rsid w:val="000410B8"/>
    <w:rsid w:val="0004130B"/>
    <w:rsid w:val="000421AE"/>
    <w:rsid w:val="000425F7"/>
    <w:rsid w:val="0004297D"/>
    <w:rsid w:val="00042A74"/>
    <w:rsid w:val="00042F63"/>
    <w:rsid w:val="00044D76"/>
    <w:rsid w:val="000450B1"/>
    <w:rsid w:val="00045E63"/>
    <w:rsid w:val="00045EE1"/>
    <w:rsid w:val="00046022"/>
    <w:rsid w:val="0004669B"/>
    <w:rsid w:val="00046C78"/>
    <w:rsid w:val="00046F39"/>
    <w:rsid w:val="00047DA5"/>
    <w:rsid w:val="00047E1E"/>
    <w:rsid w:val="00052590"/>
    <w:rsid w:val="00053211"/>
    <w:rsid w:val="000537EE"/>
    <w:rsid w:val="00053D56"/>
    <w:rsid w:val="00055577"/>
    <w:rsid w:val="00055730"/>
    <w:rsid w:val="000563C1"/>
    <w:rsid w:val="000566D2"/>
    <w:rsid w:val="000574CA"/>
    <w:rsid w:val="000574EE"/>
    <w:rsid w:val="0005768B"/>
    <w:rsid w:val="00057B25"/>
    <w:rsid w:val="00057C58"/>
    <w:rsid w:val="00060D09"/>
    <w:rsid w:val="00061543"/>
    <w:rsid w:val="0006160E"/>
    <w:rsid w:val="000628B4"/>
    <w:rsid w:val="00062CAC"/>
    <w:rsid w:val="00062F09"/>
    <w:rsid w:val="00062F8E"/>
    <w:rsid w:val="00063265"/>
    <w:rsid w:val="000634C8"/>
    <w:rsid w:val="000648E2"/>
    <w:rsid w:val="00065022"/>
    <w:rsid w:val="000650F3"/>
    <w:rsid w:val="00065188"/>
    <w:rsid w:val="0006533A"/>
    <w:rsid w:val="00065C8B"/>
    <w:rsid w:val="00066D12"/>
    <w:rsid w:val="00066DEC"/>
    <w:rsid w:val="00066FAA"/>
    <w:rsid w:val="0006765B"/>
    <w:rsid w:val="000700BF"/>
    <w:rsid w:val="00070AD3"/>
    <w:rsid w:val="00071679"/>
    <w:rsid w:val="000718EA"/>
    <w:rsid w:val="00072420"/>
    <w:rsid w:val="000726B0"/>
    <w:rsid w:val="000732EB"/>
    <w:rsid w:val="00073346"/>
    <w:rsid w:val="00073685"/>
    <w:rsid w:val="00074B72"/>
    <w:rsid w:val="00074E59"/>
    <w:rsid w:val="00074E87"/>
    <w:rsid w:val="00075A20"/>
    <w:rsid w:val="00075A91"/>
    <w:rsid w:val="00076AB6"/>
    <w:rsid w:val="00076B12"/>
    <w:rsid w:val="000800BF"/>
    <w:rsid w:val="000806AE"/>
    <w:rsid w:val="0008096A"/>
    <w:rsid w:val="00080DD2"/>
    <w:rsid w:val="00081189"/>
    <w:rsid w:val="000814B4"/>
    <w:rsid w:val="000816CA"/>
    <w:rsid w:val="000817AA"/>
    <w:rsid w:val="00081D87"/>
    <w:rsid w:val="0008261C"/>
    <w:rsid w:val="000826DD"/>
    <w:rsid w:val="00082D2C"/>
    <w:rsid w:val="00083665"/>
    <w:rsid w:val="0008450C"/>
    <w:rsid w:val="000850A6"/>
    <w:rsid w:val="00085586"/>
    <w:rsid w:val="000858CA"/>
    <w:rsid w:val="00086E92"/>
    <w:rsid w:val="000878BA"/>
    <w:rsid w:val="000902AC"/>
    <w:rsid w:val="00091204"/>
    <w:rsid w:val="00091C7C"/>
    <w:rsid w:val="0009281D"/>
    <w:rsid w:val="0009290E"/>
    <w:rsid w:val="00092C18"/>
    <w:rsid w:val="0009395E"/>
    <w:rsid w:val="00094524"/>
    <w:rsid w:val="0009474D"/>
    <w:rsid w:val="0009635F"/>
    <w:rsid w:val="00096418"/>
    <w:rsid w:val="00096F51"/>
    <w:rsid w:val="000A08CA"/>
    <w:rsid w:val="000A0CD5"/>
    <w:rsid w:val="000A1433"/>
    <w:rsid w:val="000A14A0"/>
    <w:rsid w:val="000A1544"/>
    <w:rsid w:val="000A1B88"/>
    <w:rsid w:val="000A2E42"/>
    <w:rsid w:val="000A30A2"/>
    <w:rsid w:val="000A3561"/>
    <w:rsid w:val="000A3DFC"/>
    <w:rsid w:val="000A410E"/>
    <w:rsid w:val="000A4B79"/>
    <w:rsid w:val="000A4F91"/>
    <w:rsid w:val="000A517A"/>
    <w:rsid w:val="000A559C"/>
    <w:rsid w:val="000A6702"/>
    <w:rsid w:val="000A7E68"/>
    <w:rsid w:val="000B03F1"/>
    <w:rsid w:val="000B0AB8"/>
    <w:rsid w:val="000B1096"/>
    <w:rsid w:val="000B10CC"/>
    <w:rsid w:val="000B1B08"/>
    <w:rsid w:val="000B2000"/>
    <w:rsid w:val="000B24FB"/>
    <w:rsid w:val="000B2960"/>
    <w:rsid w:val="000B2BF5"/>
    <w:rsid w:val="000B30A2"/>
    <w:rsid w:val="000B3678"/>
    <w:rsid w:val="000B3787"/>
    <w:rsid w:val="000B3A13"/>
    <w:rsid w:val="000B4296"/>
    <w:rsid w:val="000B43E5"/>
    <w:rsid w:val="000B69CD"/>
    <w:rsid w:val="000B77E3"/>
    <w:rsid w:val="000B7DD3"/>
    <w:rsid w:val="000C0E31"/>
    <w:rsid w:val="000C0EC6"/>
    <w:rsid w:val="000C1486"/>
    <w:rsid w:val="000C17AE"/>
    <w:rsid w:val="000C2FCF"/>
    <w:rsid w:val="000C42E2"/>
    <w:rsid w:val="000C4FEF"/>
    <w:rsid w:val="000C57C0"/>
    <w:rsid w:val="000C59DF"/>
    <w:rsid w:val="000C6C35"/>
    <w:rsid w:val="000C710C"/>
    <w:rsid w:val="000C7C08"/>
    <w:rsid w:val="000D0013"/>
    <w:rsid w:val="000D06FA"/>
    <w:rsid w:val="000D07CC"/>
    <w:rsid w:val="000D083C"/>
    <w:rsid w:val="000D0FCC"/>
    <w:rsid w:val="000D1813"/>
    <w:rsid w:val="000D1FD0"/>
    <w:rsid w:val="000D21D7"/>
    <w:rsid w:val="000D3257"/>
    <w:rsid w:val="000D32A0"/>
    <w:rsid w:val="000D32E5"/>
    <w:rsid w:val="000D385C"/>
    <w:rsid w:val="000D3DF3"/>
    <w:rsid w:val="000D4185"/>
    <w:rsid w:val="000D4397"/>
    <w:rsid w:val="000D4C8B"/>
    <w:rsid w:val="000D4E1C"/>
    <w:rsid w:val="000D54EF"/>
    <w:rsid w:val="000D68C5"/>
    <w:rsid w:val="000D6C31"/>
    <w:rsid w:val="000D6FD1"/>
    <w:rsid w:val="000D7D55"/>
    <w:rsid w:val="000E0C25"/>
    <w:rsid w:val="000E15B2"/>
    <w:rsid w:val="000E1C8D"/>
    <w:rsid w:val="000E2F6A"/>
    <w:rsid w:val="000E34A0"/>
    <w:rsid w:val="000E3BA6"/>
    <w:rsid w:val="000E4356"/>
    <w:rsid w:val="000E4865"/>
    <w:rsid w:val="000E542F"/>
    <w:rsid w:val="000E5685"/>
    <w:rsid w:val="000E66BD"/>
    <w:rsid w:val="000F0FE9"/>
    <w:rsid w:val="000F1042"/>
    <w:rsid w:val="000F1112"/>
    <w:rsid w:val="000F11AF"/>
    <w:rsid w:val="000F18AE"/>
    <w:rsid w:val="000F2691"/>
    <w:rsid w:val="000F28E8"/>
    <w:rsid w:val="000F2D09"/>
    <w:rsid w:val="000F367A"/>
    <w:rsid w:val="000F3D8C"/>
    <w:rsid w:val="000F4517"/>
    <w:rsid w:val="000F4A19"/>
    <w:rsid w:val="000F5969"/>
    <w:rsid w:val="000F5E15"/>
    <w:rsid w:val="000F6058"/>
    <w:rsid w:val="000F6E10"/>
    <w:rsid w:val="000F724C"/>
    <w:rsid w:val="001002A8"/>
    <w:rsid w:val="00100419"/>
    <w:rsid w:val="00100E91"/>
    <w:rsid w:val="0010259A"/>
    <w:rsid w:val="00102A8F"/>
    <w:rsid w:val="00102B4C"/>
    <w:rsid w:val="00102C1C"/>
    <w:rsid w:val="00102FAF"/>
    <w:rsid w:val="001031D0"/>
    <w:rsid w:val="00104936"/>
    <w:rsid w:val="00105128"/>
    <w:rsid w:val="0010516A"/>
    <w:rsid w:val="00105854"/>
    <w:rsid w:val="00105D9C"/>
    <w:rsid w:val="00105DFD"/>
    <w:rsid w:val="001065CF"/>
    <w:rsid w:val="00106AB2"/>
    <w:rsid w:val="00106D6C"/>
    <w:rsid w:val="001070A0"/>
    <w:rsid w:val="00107644"/>
    <w:rsid w:val="001079C5"/>
    <w:rsid w:val="00107D0B"/>
    <w:rsid w:val="00111164"/>
    <w:rsid w:val="0011163D"/>
    <w:rsid w:val="00111C79"/>
    <w:rsid w:val="00112A50"/>
    <w:rsid w:val="00114072"/>
    <w:rsid w:val="0011429E"/>
    <w:rsid w:val="001153F7"/>
    <w:rsid w:val="00115A48"/>
    <w:rsid w:val="00115E4F"/>
    <w:rsid w:val="00116C8A"/>
    <w:rsid w:val="0011725F"/>
    <w:rsid w:val="0012100E"/>
    <w:rsid w:val="00121073"/>
    <w:rsid w:val="00121256"/>
    <w:rsid w:val="00121E87"/>
    <w:rsid w:val="00122B0C"/>
    <w:rsid w:val="001236ED"/>
    <w:rsid w:val="00123CA1"/>
    <w:rsid w:val="00123E7C"/>
    <w:rsid w:val="0012429E"/>
    <w:rsid w:val="001258CC"/>
    <w:rsid w:val="00125CA4"/>
    <w:rsid w:val="00126EEE"/>
    <w:rsid w:val="0012778D"/>
    <w:rsid w:val="00127DF2"/>
    <w:rsid w:val="001300DC"/>
    <w:rsid w:val="001301C6"/>
    <w:rsid w:val="001306FB"/>
    <w:rsid w:val="00131285"/>
    <w:rsid w:val="001313F0"/>
    <w:rsid w:val="0013146D"/>
    <w:rsid w:val="00132F95"/>
    <w:rsid w:val="0013338E"/>
    <w:rsid w:val="001337CD"/>
    <w:rsid w:val="00133BF7"/>
    <w:rsid w:val="00133FE8"/>
    <w:rsid w:val="00134514"/>
    <w:rsid w:val="0013555F"/>
    <w:rsid w:val="001356D9"/>
    <w:rsid w:val="00135D36"/>
    <w:rsid w:val="00136044"/>
    <w:rsid w:val="0013612F"/>
    <w:rsid w:val="00136E08"/>
    <w:rsid w:val="00136EF6"/>
    <w:rsid w:val="0013716A"/>
    <w:rsid w:val="001373CA"/>
    <w:rsid w:val="001374E9"/>
    <w:rsid w:val="00137637"/>
    <w:rsid w:val="0013798B"/>
    <w:rsid w:val="00137F55"/>
    <w:rsid w:val="00140366"/>
    <w:rsid w:val="00140A56"/>
    <w:rsid w:val="00140AB4"/>
    <w:rsid w:val="00140FF7"/>
    <w:rsid w:val="0014270A"/>
    <w:rsid w:val="001427C2"/>
    <w:rsid w:val="00142991"/>
    <w:rsid w:val="00142DE8"/>
    <w:rsid w:val="00143A1B"/>
    <w:rsid w:val="00143B85"/>
    <w:rsid w:val="00143D88"/>
    <w:rsid w:val="001464B9"/>
    <w:rsid w:val="001467BD"/>
    <w:rsid w:val="00147929"/>
    <w:rsid w:val="00150AE2"/>
    <w:rsid w:val="00150B69"/>
    <w:rsid w:val="00150C89"/>
    <w:rsid w:val="00150F28"/>
    <w:rsid w:val="00151D42"/>
    <w:rsid w:val="00151D83"/>
    <w:rsid w:val="00152FA9"/>
    <w:rsid w:val="00153E71"/>
    <w:rsid w:val="00154E8B"/>
    <w:rsid w:val="0015585D"/>
    <w:rsid w:val="00155CD6"/>
    <w:rsid w:val="00156BD1"/>
    <w:rsid w:val="001572F6"/>
    <w:rsid w:val="00157BE1"/>
    <w:rsid w:val="00157C1E"/>
    <w:rsid w:val="00160052"/>
    <w:rsid w:val="00160965"/>
    <w:rsid w:val="00160A52"/>
    <w:rsid w:val="00160B40"/>
    <w:rsid w:val="00160C56"/>
    <w:rsid w:val="00160CA7"/>
    <w:rsid w:val="00161653"/>
    <w:rsid w:val="00161A11"/>
    <w:rsid w:val="00162565"/>
    <w:rsid w:val="0016386A"/>
    <w:rsid w:val="001638D1"/>
    <w:rsid w:val="00163DC5"/>
    <w:rsid w:val="00164699"/>
    <w:rsid w:val="00165CA8"/>
    <w:rsid w:val="00165FA4"/>
    <w:rsid w:val="0016667F"/>
    <w:rsid w:val="00166C49"/>
    <w:rsid w:val="001670F2"/>
    <w:rsid w:val="0016734B"/>
    <w:rsid w:val="001677A6"/>
    <w:rsid w:val="00167A04"/>
    <w:rsid w:val="001705FE"/>
    <w:rsid w:val="00170977"/>
    <w:rsid w:val="00171111"/>
    <w:rsid w:val="0017168B"/>
    <w:rsid w:val="0017267A"/>
    <w:rsid w:val="00173453"/>
    <w:rsid w:val="00174EF2"/>
    <w:rsid w:val="001765EA"/>
    <w:rsid w:val="00176699"/>
    <w:rsid w:val="00176772"/>
    <w:rsid w:val="0018025B"/>
    <w:rsid w:val="00180428"/>
    <w:rsid w:val="001811CE"/>
    <w:rsid w:val="00181E9B"/>
    <w:rsid w:val="001820B1"/>
    <w:rsid w:val="00182967"/>
    <w:rsid w:val="00183F92"/>
    <w:rsid w:val="0018416C"/>
    <w:rsid w:val="0018453E"/>
    <w:rsid w:val="001857CC"/>
    <w:rsid w:val="00185B48"/>
    <w:rsid w:val="0018669A"/>
    <w:rsid w:val="00187164"/>
    <w:rsid w:val="001872F2"/>
    <w:rsid w:val="0018731E"/>
    <w:rsid w:val="0018743C"/>
    <w:rsid w:val="00187C5B"/>
    <w:rsid w:val="001905BD"/>
    <w:rsid w:val="0019122C"/>
    <w:rsid w:val="00191308"/>
    <w:rsid w:val="00191564"/>
    <w:rsid w:val="0019301D"/>
    <w:rsid w:val="001934AE"/>
    <w:rsid w:val="00194919"/>
    <w:rsid w:val="001953BF"/>
    <w:rsid w:val="001957FB"/>
    <w:rsid w:val="00195CB4"/>
    <w:rsid w:val="0019693D"/>
    <w:rsid w:val="00196E13"/>
    <w:rsid w:val="00196E7C"/>
    <w:rsid w:val="0019711E"/>
    <w:rsid w:val="00197F8B"/>
    <w:rsid w:val="001A02D1"/>
    <w:rsid w:val="001A0309"/>
    <w:rsid w:val="001A0BE9"/>
    <w:rsid w:val="001A132F"/>
    <w:rsid w:val="001A16F7"/>
    <w:rsid w:val="001A234D"/>
    <w:rsid w:val="001A374A"/>
    <w:rsid w:val="001A4B7F"/>
    <w:rsid w:val="001A4CA6"/>
    <w:rsid w:val="001A59DA"/>
    <w:rsid w:val="001A5AA2"/>
    <w:rsid w:val="001A61A5"/>
    <w:rsid w:val="001A6263"/>
    <w:rsid w:val="001A6291"/>
    <w:rsid w:val="001A6B1F"/>
    <w:rsid w:val="001A7369"/>
    <w:rsid w:val="001A792A"/>
    <w:rsid w:val="001A7A0D"/>
    <w:rsid w:val="001A7E2E"/>
    <w:rsid w:val="001A7ED5"/>
    <w:rsid w:val="001B0631"/>
    <w:rsid w:val="001B0BED"/>
    <w:rsid w:val="001B0C94"/>
    <w:rsid w:val="001B0E70"/>
    <w:rsid w:val="001B140B"/>
    <w:rsid w:val="001B162E"/>
    <w:rsid w:val="001B1C68"/>
    <w:rsid w:val="001B2471"/>
    <w:rsid w:val="001B2C44"/>
    <w:rsid w:val="001B318B"/>
    <w:rsid w:val="001B33A7"/>
    <w:rsid w:val="001B3FFF"/>
    <w:rsid w:val="001B40AE"/>
    <w:rsid w:val="001B48E0"/>
    <w:rsid w:val="001B505D"/>
    <w:rsid w:val="001B54B1"/>
    <w:rsid w:val="001B6695"/>
    <w:rsid w:val="001B6D97"/>
    <w:rsid w:val="001B799C"/>
    <w:rsid w:val="001C0D00"/>
    <w:rsid w:val="001C1A84"/>
    <w:rsid w:val="001C2D36"/>
    <w:rsid w:val="001C2D47"/>
    <w:rsid w:val="001C2DFA"/>
    <w:rsid w:val="001C3467"/>
    <w:rsid w:val="001C3721"/>
    <w:rsid w:val="001C422D"/>
    <w:rsid w:val="001C4704"/>
    <w:rsid w:val="001C50CF"/>
    <w:rsid w:val="001C5E98"/>
    <w:rsid w:val="001C6897"/>
    <w:rsid w:val="001C6F35"/>
    <w:rsid w:val="001C6FA6"/>
    <w:rsid w:val="001C791E"/>
    <w:rsid w:val="001C7A72"/>
    <w:rsid w:val="001C7E0C"/>
    <w:rsid w:val="001D0D2E"/>
    <w:rsid w:val="001D0DC2"/>
    <w:rsid w:val="001D1705"/>
    <w:rsid w:val="001D18FD"/>
    <w:rsid w:val="001D1BC1"/>
    <w:rsid w:val="001D2DF5"/>
    <w:rsid w:val="001D3881"/>
    <w:rsid w:val="001D3FD5"/>
    <w:rsid w:val="001D43DE"/>
    <w:rsid w:val="001D4AEB"/>
    <w:rsid w:val="001D4C3E"/>
    <w:rsid w:val="001D4D37"/>
    <w:rsid w:val="001D4E74"/>
    <w:rsid w:val="001D5B1F"/>
    <w:rsid w:val="001D5D8F"/>
    <w:rsid w:val="001D5F1E"/>
    <w:rsid w:val="001D5F2A"/>
    <w:rsid w:val="001D6742"/>
    <w:rsid w:val="001D6C20"/>
    <w:rsid w:val="001D6D64"/>
    <w:rsid w:val="001D729C"/>
    <w:rsid w:val="001D75B5"/>
    <w:rsid w:val="001D77D3"/>
    <w:rsid w:val="001E07D9"/>
    <w:rsid w:val="001E0C8E"/>
    <w:rsid w:val="001E1473"/>
    <w:rsid w:val="001E18ED"/>
    <w:rsid w:val="001E1A16"/>
    <w:rsid w:val="001E2251"/>
    <w:rsid w:val="001E22AD"/>
    <w:rsid w:val="001E2373"/>
    <w:rsid w:val="001E238C"/>
    <w:rsid w:val="001E31B0"/>
    <w:rsid w:val="001E32E2"/>
    <w:rsid w:val="001E359F"/>
    <w:rsid w:val="001E3A90"/>
    <w:rsid w:val="001E4787"/>
    <w:rsid w:val="001E49A3"/>
    <w:rsid w:val="001E5008"/>
    <w:rsid w:val="001E5445"/>
    <w:rsid w:val="001E5C25"/>
    <w:rsid w:val="001E5EB7"/>
    <w:rsid w:val="001E65B2"/>
    <w:rsid w:val="001E669E"/>
    <w:rsid w:val="001E70B7"/>
    <w:rsid w:val="001E75D5"/>
    <w:rsid w:val="001F091B"/>
    <w:rsid w:val="001F19B2"/>
    <w:rsid w:val="001F34C1"/>
    <w:rsid w:val="001F387F"/>
    <w:rsid w:val="001F390E"/>
    <w:rsid w:val="001F3DC3"/>
    <w:rsid w:val="001F47A8"/>
    <w:rsid w:val="001F4C3D"/>
    <w:rsid w:val="001F5461"/>
    <w:rsid w:val="001F6138"/>
    <w:rsid w:val="001F652B"/>
    <w:rsid w:val="001F7211"/>
    <w:rsid w:val="001F721B"/>
    <w:rsid w:val="00203239"/>
    <w:rsid w:val="002033D2"/>
    <w:rsid w:val="00203DC7"/>
    <w:rsid w:val="00203EFD"/>
    <w:rsid w:val="00204064"/>
    <w:rsid w:val="002040B5"/>
    <w:rsid w:val="00204CE4"/>
    <w:rsid w:val="00204DC8"/>
    <w:rsid w:val="00205039"/>
    <w:rsid w:val="00205292"/>
    <w:rsid w:val="00205536"/>
    <w:rsid w:val="002062F6"/>
    <w:rsid w:val="00206D88"/>
    <w:rsid w:val="00207238"/>
    <w:rsid w:val="00207E4B"/>
    <w:rsid w:val="00210E5D"/>
    <w:rsid w:val="00210F70"/>
    <w:rsid w:val="0021142C"/>
    <w:rsid w:val="00211C35"/>
    <w:rsid w:val="00212352"/>
    <w:rsid w:val="0021276C"/>
    <w:rsid w:val="002129F9"/>
    <w:rsid w:val="00213532"/>
    <w:rsid w:val="00213E8E"/>
    <w:rsid w:val="0021441B"/>
    <w:rsid w:val="002144FE"/>
    <w:rsid w:val="00215056"/>
    <w:rsid w:val="0021542F"/>
    <w:rsid w:val="00215DB1"/>
    <w:rsid w:val="002161F4"/>
    <w:rsid w:val="00216A40"/>
    <w:rsid w:val="00216B65"/>
    <w:rsid w:val="00216E3F"/>
    <w:rsid w:val="00217A22"/>
    <w:rsid w:val="00217DCA"/>
    <w:rsid w:val="0022049F"/>
    <w:rsid w:val="00221B77"/>
    <w:rsid w:val="00221DFD"/>
    <w:rsid w:val="00221F7D"/>
    <w:rsid w:val="00221FB0"/>
    <w:rsid w:val="00222405"/>
    <w:rsid w:val="00223AD4"/>
    <w:rsid w:val="0022496E"/>
    <w:rsid w:val="00225B57"/>
    <w:rsid w:val="00225E5C"/>
    <w:rsid w:val="00227089"/>
    <w:rsid w:val="00227388"/>
    <w:rsid w:val="00227604"/>
    <w:rsid w:val="00230BF0"/>
    <w:rsid w:val="00230CE5"/>
    <w:rsid w:val="00231C21"/>
    <w:rsid w:val="002327FE"/>
    <w:rsid w:val="00233B0C"/>
    <w:rsid w:val="002343D5"/>
    <w:rsid w:val="002344A8"/>
    <w:rsid w:val="00234C1A"/>
    <w:rsid w:val="00234FBB"/>
    <w:rsid w:val="00235364"/>
    <w:rsid w:val="002354E7"/>
    <w:rsid w:val="00235C6B"/>
    <w:rsid w:val="00236173"/>
    <w:rsid w:val="002369CF"/>
    <w:rsid w:val="00236E37"/>
    <w:rsid w:val="002373DF"/>
    <w:rsid w:val="00237F64"/>
    <w:rsid w:val="00241243"/>
    <w:rsid w:val="00241743"/>
    <w:rsid w:val="00241D3C"/>
    <w:rsid w:val="0024205C"/>
    <w:rsid w:val="00242338"/>
    <w:rsid w:val="0024260C"/>
    <w:rsid w:val="0024395B"/>
    <w:rsid w:val="00244780"/>
    <w:rsid w:val="00244CB8"/>
    <w:rsid w:val="00245093"/>
    <w:rsid w:val="00245312"/>
    <w:rsid w:val="00245A45"/>
    <w:rsid w:val="002461C1"/>
    <w:rsid w:val="00246AE1"/>
    <w:rsid w:val="00247851"/>
    <w:rsid w:val="0025190E"/>
    <w:rsid w:val="00251924"/>
    <w:rsid w:val="00251C2A"/>
    <w:rsid w:val="00251D55"/>
    <w:rsid w:val="00251F7D"/>
    <w:rsid w:val="002523BD"/>
    <w:rsid w:val="00252472"/>
    <w:rsid w:val="002529C7"/>
    <w:rsid w:val="00252C36"/>
    <w:rsid w:val="00252FBC"/>
    <w:rsid w:val="00253474"/>
    <w:rsid w:val="0025520D"/>
    <w:rsid w:val="00255AE0"/>
    <w:rsid w:val="00255B31"/>
    <w:rsid w:val="00255CC8"/>
    <w:rsid w:val="0025609F"/>
    <w:rsid w:val="00257140"/>
    <w:rsid w:val="0025780E"/>
    <w:rsid w:val="002578E8"/>
    <w:rsid w:val="00257D2D"/>
    <w:rsid w:val="0026025E"/>
    <w:rsid w:val="0026099A"/>
    <w:rsid w:val="002613F6"/>
    <w:rsid w:val="0026193E"/>
    <w:rsid w:val="00261DCE"/>
    <w:rsid w:val="00262CA1"/>
    <w:rsid w:val="00262DEA"/>
    <w:rsid w:val="00262E5E"/>
    <w:rsid w:val="0026350F"/>
    <w:rsid w:val="00264BBE"/>
    <w:rsid w:val="0026516B"/>
    <w:rsid w:val="00265399"/>
    <w:rsid w:val="00265FF0"/>
    <w:rsid w:val="00266054"/>
    <w:rsid w:val="00266862"/>
    <w:rsid w:val="002677A9"/>
    <w:rsid w:val="00267C46"/>
    <w:rsid w:val="00270555"/>
    <w:rsid w:val="002708D2"/>
    <w:rsid w:val="00273839"/>
    <w:rsid w:val="00273897"/>
    <w:rsid w:val="00273949"/>
    <w:rsid w:val="002740EE"/>
    <w:rsid w:val="00274BC7"/>
    <w:rsid w:val="002752CD"/>
    <w:rsid w:val="00275B40"/>
    <w:rsid w:val="00275E08"/>
    <w:rsid w:val="00276222"/>
    <w:rsid w:val="002765B0"/>
    <w:rsid w:val="00276853"/>
    <w:rsid w:val="00277430"/>
    <w:rsid w:val="00277AF6"/>
    <w:rsid w:val="00277F20"/>
    <w:rsid w:val="00277F6A"/>
    <w:rsid w:val="00280336"/>
    <w:rsid w:val="002805B7"/>
    <w:rsid w:val="0028144A"/>
    <w:rsid w:val="00281B34"/>
    <w:rsid w:val="002823A9"/>
    <w:rsid w:val="00283CA1"/>
    <w:rsid w:val="00286063"/>
    <w:rsid w:val="0028615F"/>
    <w:rsid w:val="0028692B"/>
    <w:rsid w:val="00286D98"/>
    <w:rsid w:val="00287865"/>
    <w:rsid w:val="00290045"/>
    <w:rsid w:val="002908C7"/>
    <w:rsid w:val="00290AC0"/>
    <w:rsid w:val="00290E11"/>
    <w:rsid w:val="00291F83"/>
    <w:rsid w:val="00292061"/>
    <w:rsid w:val="00292A03"/>
    <w:rsid w:val="002931D6"/>
    <w:rsid w:val="0029370C"/>
    <w:rsid w:val="00293854"/>
    <w:rsid w:val="002939E0"/>
    <w:rsid w:val="00293BE2"/>
    <w:rsid w:val="00294A8C"/>
    <w:rsid w:val="00294C10"/>
    <w:rsid w:val="00294C1D"/>
    <w:rsid w:val="00295379"/>
    <w:rsid w:val="00295D1F"/>
    <w:rsid w:val="00295D46"/>
    <w:rsid w:val="002962A7"/>
    <w:rsid w:val="00296EE1"/>
    <w:rsid w:val="002A0730"/>
    <w:rsid w:val="002A0BFC"/>
    <w:rsid w:val="002A0DE7"/>
    <w:rsid w:val="002A1582"/>
    <w:rsid w:val="002A2E6E"/>
    <w:rsid w:val="002A33FC"/>
    <w:rsid w:val="002A3771"/>
    <w:rsid w:val="002A3A25"/>
    <w:rsid w:val="002A3F30"/>
    <w:rsid w:val="002A4ACA"/>
    <w:rsid w:val="002A56C8"/>
    <w:rsid w:val="002A5867"/>
    <w:rsid w:val="002A58AC"/>
    <w:rsid w:val="002A7514"/>
    <w:rsid w:val="002A775F"/>
    <w:rsid w:val="002A77A6"/>
    <w:rsid w:val="002A7D75"/>
    <w:rsid w:val="002B027E"/>
    <w:rsid w:val="002B0A70"/>
    <w:rsid w:val="002B175D"/>
    <w:rsid w:val="002B1B75"/>
    <w:rsid w:val="002B1C99"/>
    <w:rsid w:val="002B20A6"/>
    <w:rsid w:val="002B233E"/>
    <w:rsid w:val="002B2913"/>
    <w:rsid w:val="002B2981"/>
    <w:rsid w:val="002B348D"/>
    <w:rsid w:val="002B4361"/>
    <w:rsid w:val="002B4B03"/>
    <w:rsid w:val="002B4E7C"/>
    <w:rsid w:val="002B5A43"/>
    <w:rsid w:val="002B5F42"/>
    <w:rsid w:val="002B73E6"/>
    <w:rsid w:val="002B7950"/>
    <w:rsid w:val="002C017B"/>
    <w:rsid w:val="002C030E"/>
    <w:rsid w:val="002C0E8D"/>
    <w:rsid w:val="002C1295"/>
    <w:rsid w:val="002C232E"/>
    <w:rsid w:val="002C2564"/>
    <w:rsid w:val="002C2710"/>
    <w:rsid w:val="002C2DE7"/>
    <w:rsid w:val="002C3582"/>
    <w:rsid w:val="002C3808"/>
    <w:rsid w:val="002C3F84"/>
    <w:rsid w:val="002C577D"/>
    <w:rsid w:val="002C5E9B"/>
    <w:rsid w:val="002C6430"/>
    <w:rsid w:val="002C7992"/>
    <w:rsid w:val="002C7A9F"/>
    <w:rsid w:val="002D07F7"/>
    <w:rsid w:val="002D0D71"/>
    <w:rsid w:val="002D0D77"/>
    <w:rsid w:val="002D1078"/>
    <w:rsid w:val="002D111D"/>
    <w:rsid w:val="002D12B2"/>
    <w:rsid w:val="002D15D6"/>
    <w:rsid w:val="002D1D5D"/>
    <w:rsid w:val="002D1DEA"/>
    <w:rsid w:val="002D1EC1"/>
    <w:rsid w:val="002D30E8"/>
    <w:rsid w:val="002D458C"/>
    <w:rsid w:val="002D498D"/>
    <w:rsid w:val="002D78F0"/>
    <w:rsid w:val="002E0E1A"/>
    <w:rsid w:val="002E1F03"/>
    <w:rsid w:val="002E299A"/>
    <w:rsid w:val="002E2EF6"/>
    <w:rsid w:val="002E3966"/>
    <w:rsid w:val="002E4767"/>
    <w:rsid w:val="002E4E8A"/>
    <w:rsid w:val="002E5341"/>
    <w:rsid w:val="002E5BC6"/>
    <w:rsid w:val="002E694A"/>
    <w:rsid w:val="002E7AFD"/>
    <w:rsid w:val="002E7C02"/>
    <w:rsid w:val="002E7E0B"/>
    <w:rsid w:val="002F03E3"/>
    <w:rsid w:val="002F0761"/>
    <w:rsid w:val="002F0BFB"/>
    <w:rsid w:val="002F0FF7"/>
    <w:rsid w:val="002F14E6"/>
    <w:rsid w:val="002F158E"/>
    <w:rsid w:val="002F1A1B"/>
    <w:rsid w:val="002F213A"/>
    <w:rsid w:val="002F2854"/>
    <w:rsid w:val="002F2A66"/>
    <w:rsid w:val="002F39C4"/>
    <w:rsid w:val="002F4837"/>
    <w:rsid w:val="002F4843"/>
    <w:rsid w:val="002F69B9"/>
    <w:rsid w:val="002F6F69"/>
    <w:rsid w:val="002F7665"/>
    <w:rsid w:val="002F7F0E"/>
    <w:rsid w:val="00301638"/>
    <w:rsid w:val="00301B81"/>
    <w:rsid w:val="00301C59"/>
    <w:rsid w:val="0030251B"/>
    <w:rsid w:val="003027AF"/>
    <w:rsid w:val="00302F59"/>
    <w:rsid w:val="003030CA"/>
    <w:rsid w:val="00305BC3"/>
    <w:rsid w:val="00305C44"/>
    <w:rsid w:val="00305D14"/>
    <w:rsid w:val="00306453"/>
    <w:rsid w:val="00306BD3"/>
    <w:rsid w:val="00306DF6"/>
    <w:rsid w:val="0030710E"/>
    <w:rsid w:val="003072CD"/>
    <w:rsid w:val="003073F9"/>
    <w:rsid w:val="00307725"/>
    <w:rsid w:val="0030790D"/>
    <w:rsid w:val="003103A6"/>
    <w:rsid w:val="00310E4C"/>
    <w:rsid w:val="00311F32"/>
    <w:rsid w:val="0031219B"/>
    <w:rsid w:val="00312F55"/>
    <w:rsid w:val="0031304A"/>
    <w:rsid w:val="00313211"/>
    <w:rsid w:val="00313315"/>
    <w:rsid w:val="00313886"/>
    <w:rsid w:val="003141DE"/>
    <w:rsid w:val="00314271"/>
    <w:rsid w:val="003144B3"/>
    <w:rsid w:val="00314760"/>
    <w:rsid w:val="00314A36"/>
    <w:rsid w:val="00315C20"/>
    <w:rsid w:val="003161F5"/>
    <w:rsid w:val="0031692D"/>
    <w:rsid w:val="00316AEA"/>
    <w:rsid w:val="00316D0B"/>
    <w:rsid w:val="00316F3E"/>
    <w:rsid w:val="00317020"/>
    <w:rsid w:val="00317CDA"/>
    <w:rsid w:val="00320E81"/>
    <w:rsid w:val="00320FD8"/>
    <w:rsid w:val="003211AF"/>
    <w:rsid w:val="00321236"/>
    <w:rsid w:val="00321988"/>
    <w:rsid w:val="0032205A"/>
    <w:rsid w:val="00322476"/>
    <w:rsid w:val="00322A96"/>
    <w:rsid w:val="003231B1"/>
    <w:rsid w:val="00324A52"/>
    <w:rsid w:val="00324AE1"/>
    <w:rsid w:val="00324E5B"/>
    <w:rsid w:val="00327318"/>
    <w:rsid w:val="003274FF"/>
    <w:rsid w:val="0032756D"/>
    <w:rsid w:val="00327D71"/>
    <w:rsid w:val="0033131A"/>
    <w:rsid w:val="00331BA8"/>
    <w:rsid w:val="00331F85"/>
    <w:rsid w:val="00332AF2"/>
    <w:rsid w:val="00332C08"/>
    <w:rsid w:val="00333597"/>
    <w:rsid w:val="003337F5"/>
    <w:rsid w:val="003339F6"/>
    <w:rsid w:val="00334086"/>
    <w:rsid w:val="00335EA4"/>
    <w:rsid w:val="00335FBE"/>
    <w:rsid w:val="003364D8"/>
    <w:rsid w:val="0033655A"/>
    <w:rsid w:val="00337EE4"/>
    <w:rsid w:val="003402D9"/>
    <w:rsid w:val="00340B7B"/>
    <w:rsid w:val="0034118F"/>
    <w:rsid w:val="00341438"/>
    <w:rsid w:val="00342A89"/>
    <w:rsid w:val="00343754"/>
    <w:rsid w:val="00343CC7"/>
    <w:rsid w:val="00343DAF"/>
    <w:rsid w:val="00343E46"/>
    <w:rsid w:val="003441C8"/>
    <w:rsid w:val="003445D8"/>
    <w:rsid w:val="003457C9"/>
    <w:rsid w:val="00345AAB"/>
    <w:rsid w:val="00345C5E"/>
    <w:rsid w:val="00345E0D"/>
    <w:rsid w:val="00346365"/>
    <w:rsid w:val="0034639A"/>
    <w:rsid w:val="00346918"/>
    <w:rsid w:val="00346B3C"/>
    <w:rsid w:val="00346E8D"/>
    <w:rsid w:val="00346ED7"/>
    <w:rsid w:val="003470B7"/>
    <w:rsid w:val="003471E7"/>
    <w:rsid w:val="00347726"/>
    <w:rsid w:val="0035055F"/>
    <w:rsid w:val="00350640"/>
    <w:rsid w:val="00350B3C"/>
    <w:rsid w:val="00350FF3"/>
    <w:rsid w:val="0035153E"/>
    <w:rsid w:val="00351818"/>
    <w:rsid w:val="00351837"/>
    <w:rsid w:val="003518FD"/>
    <w:rsid w:val="00352393"/>
    <w:rsid w:val="00352CB5"/>
    <w:rsid w:val="00353330"/>
    <w:rsid w:val="00354030"/>
    <w:rsid w:val="00354FF0"/>
    <w:rsid w:val="00355300"/>
    <w:rsid w:val="0035556E"/>
    <w:rsid w:val="00355906"/>
    <w:rsid w:val="0035712D"/>
    <w:rsid w:val="0035746B"/>
    <w:rsid w:val="003575AE"/>
    <w:rsid w:val="00357EB1"/>
    <w:rsid w:val="003609A0"/>
    <w:rsid w:val="00360FE6"/>
    <w:rsid w:val="0036161E"/>
    <w:rsid w:val="00361B38"/>
    <w:rsid w:val="00361C01"/>
    <w:rsid w:val="0036263D"/>
    <w:rsid w:val="0036293E"/>
    <w:rsid w:val="0036301D"/>
    <w:rsid w:val="0036359C"/>
    <w:rsid w:val="00363C48"/>
    <w:rsid w:val="003648F3"/>
    <w:rsid w:val="003655A2"/>
    <w:rsid w:val="00366028"/>
    <w:rsid w:val="00366205"/>
    <w:rsid w:val="00366216"/>
    <w:rsid w:val="003663FB"/>
    <w:rsid w:val="003668CA"/>
    <w:rsid w:val="00366D78"/>
    <w:rsid w:val="0036707D"/>
    <w:rsid w:val="003676DB"/>
    <w:rsid w:val="00367B5A"/>
    <w:rsid w:val="003704EE"/>
    <w:rsid w:val="00370C8D"/>
    <w:rsid w:val="003712B8"/>
    <w:rsid w:val="003715DE"/>
    <w:rsid w:val="003717ED"/>
    <w:rsid w:val="00371851"/>
    <w:rsid w:val="00371A64"/>
    <w:rsid w:val="00372670"/>
    <w:rsid w:val="003728C0"/>
    <w:rsid w:val="00373624"/>
    <w:rsid w:val="00373776"/>
    <w:rsid w:val="003739D3"/>
    <w:rsid w:val="00373BEE"/>
    <w:rsid w:val="00373D90"/>
    <w:rsid w:val="0037440A"/>
    <w:rsid w:val="00374670"/>
    <w:rsid w:val="00375069"/>
    <w:rsid w:val="00377044"/>
    <w:rsid w:val="003772AB"/>
    <w:rsid w:val="00377899"/>
    <w:rsid w:val="00377A74"/>
    <w:rsid w:val="003801E4"/>
    <w:rsid w:val="003802B9"/>
    <w:rsid w:val="00380B4B"/>
    <w:rsid w:val="00380FB0"/>
    <w:rsid w:val="003811CB"/>
    <w:rsid w:val="0038138B"/>
    <w:rsid w:val="00381FA5"/>
    <w:rsid w:val="003837E0"/>
    <w:rsid w:val="00383A6A"/>
    <w:rsid w:val="00383D6F"/>
    <w:rsid w:val="003856F6"/>
    <w:rsid w:val="00385933"/>
    <w:rsid w:val="00386C78"/>
    <w:rsid w:val="003873F9"/>
    <w:rsid w:val="003874C6"/>
    <w:rsid w:val="003876FD"/>
    <w:rsid w:val="00387F16"/>
    <w:rsid w:val="003900FC"/>
    <w:rsid w:val="00390664"/>
    <w:rsid w:val="003907ED"/>
    <w:rsid w:val="003908C4"/>
    <w:rsid w:val="0039092F"/>
    <w:rsid w:val="00390933"/>
    <w:rsid w:val="00390CB7"/>
    <w:rsid w:val="00390F2F"/>
    <w:rsid w:val="003910DB"/>
    <w:rsid w:val="003918F4"/>
    <w:rsid w:val="00392693"/>
    <w:rsid w:val="00393167"/>
    <w:rsid w:val="00393AFE"/>
    <w:rsid w:val="0039458E"/>
    <w:rsid w:val="0039584D"/>
    <w:rsid w:val="00395A8A"/>
    <w:rsid w:val="00395F65"/>
    <w:rsid w:val="00396260"/>
    <w:rsid w:val="003977DA"/>
    <w:rsid w:val="003978A1"/>
    <w:rsid w:val="003978CA"/>
    <w:rsid w:val="00397C5A"/>
    <w:rsid w:val="003A0AEF"/>
    <w:rsid w:val="003A0E2E"/>
    <w:rsid w:val="003A1C06"/>
    <w:rsid w:val="003A2B34"/>
    <w:rsid w:val="003A2CF1"/>
    <w:rsid w:val="003A2D02"/>
    <w:rsid w:val="003A3349"/>
    <w:rsid w:val="003A3AB2"/>
    <w:rsid w:val="003A5756"/>
    <w:rsid w:val="003A6F4E"/>
    <w:rsid w:val="003A7330"/>
    <w:rsid w:val="003A768E"/>
    <w:rsid w:val="003B0580"/>
    <w:rsid w:val="003B09E2"/>
    <w:rsid w:val="003B0F1F"/>
    <w:rsid w:val="003B21DE"/>
    <w:rsid w:val="003B49B6"/>
    <w:rsid w:val="003B4C9D"/>
    <w:rsid w:val="003B4E2A"/>
    <w:rsid w:val="003B4E72"/>
    <w:rsid w:val="003B57CE"/>
    <w:rsid w:val="003B6145"/>
    <w:rsid w:val="003B6607"/>
    <w:rsid w:val="003B70D9"/>
    <w:rsid w:val="003B749F"/>
    <w:rsid w:val="003B75B6"/>
    <w:rsid w:val="003B77A0"/>
    <w:rsid w:val="003C00CB"/>
    <w:rsid w:val="003C0BCB"/>
    <w:rsid w:val="003C11FB"/>
    <w:rsid w:val="003C1E4F"/>
    <w:rsid w:val="003C20D8"/>
    <w:rsid w:val="003C2E49"/>
    <w:rsid w:val="003C336D"/>
    <w:rsid w:val="003C36FA"/>
    <w:rsid w:val="003C400D"/>
    <w:rsid w:val="003C4053"/>
    <w:rsid w:val="003C406F"/>
    <w:rsid w:val="003C410B"/>
    <w:rsid w:val="003C450C"/>
    <w:rsid w:val="003C46B8"/>
    <w:rsid w:val="003C48FB"/>
    <w:rsid w:val="003C4A44"/>
    <w:rsid w:val="003C5B4B"/>
    <w:rsid w:val="003C5CE4"/>
    <w:rsid w:val="003C7937"/>
    <w:rsid w:val="003C793F"/>
    <w:rsid w:val="003C7F8E"/>
    <w:rsid w:val="003D022E"/>
    <w:rsid w:val="003D03F1"/>
    <w:rsid w:val="003D057E"/>
    <w:rsid w:val="003D0644"/>
    <w:rsid w:val="003D06CE"/>
    <w:rsid w:val="003D1E73"/>
    <w:rsid w:val="003D3858"/>
    <w:rsid w:val="003D3894"/>
    <w:rsid w:val="003D3DA1"/>
    <w:rsid w:val="003D47BD"/>
    <w:rsid w:val="003D4815"/>
    <w:rsid w:val="003D49C6"/>
    <w:rsid w:val="003D4FCA"/>
    <w:rsid w:val="003D5366"/>
    <w:rsid w:val="003D54EA"/>
    <w:rsid w:val="003D585C"/>
    <w:rsid w:val="003D5E39"/>
    <w:rsid w:val="003D63DE"/>
    <w:rsid w:val="003D6A61"/>
    <w:rsid w:val="003D72E3"/>
    <w:rsid w:val="003D7389"/>
    <w:rsid w:val="003D78F5"/>
    <w:rsid w:val="003D7E65"/>
    <w:rsid w:val="003E013D"/>
    <w:rsid w:val="003E0704"/>
    <w:rsid w:val="003E0A15"/>
    <w:rsid w:val="003E1802"/>
    <w:rsid w:val="003E1DD9"/>
    <w:rsid w:val="003E23FE"/>
    <w:rsid w:val="003E24B2"/>
    <w:rsid w:val="003E35AE"/>
    <w:rsid w:val="003E3C3E"/>
    <w:rsid w:val="003E42A9"/>
    <w:rsid w:val="003E5E15"/>
    <w:rsid w:val="003E6F37"/>
    <w:rsid w:val="003E7221"/>
    <w:rsid w:val="003E77C8"/>
    <w:rsid w:val="003F0279"/>
    <w:rsid w:val="003F0ADB"/>
    <w:rsid w:val="003F1301"/>
    <w:rsid w:val="003F17E1"/>
    <w:rsid w:val="003F30ED"/>
    <w:rsid w:val="003F41D9"/>
    <w:rsid w:val="003F43B6"/>
    <w:rsid w:val="003F46C5"/>
    <w:rsid w:val="003F4AB4"/>
    <w:rsid w:val="003F505A"/>
    <w:rsid w:val="003F54A2"/>
    <w:rsid w:val="003F5572"/>
    <w:rsid w:val="003F5636"/>
    <w:rsid w:val="003F5B63"/>
    <w:rsid w:val="003F5ED5"/>
    <w:rsid w:val="003F62E7"/>
    <w:rsid w:val="003F6544"/>
    <w:rsid w:val="003F656E"/>
    <w:rsid w:val="003F67A2"/>
    <w:rsid w:val="003F6913"/>
    <w:rsid w:val="003F78DB"/>
    <w:rsid w:val="003F7ACA"/>
    <w:rsid w:val="003F7BDB"/>
    <w:rsid w:val="003F7CB0"/>
    <w:rsid w:val="003F7FA6"/>
    <w:rsid w:val="0040076B"/>
    <w:rsid w:val="00400D82"/>
    <w:rsid w:val="004021A0"/>
    <w:rsid w:val="00403944"/>
    <w:rsid w:val="0040466F"/>
    <w:rsid w:val="00404C77"/>
    <w:rsid w:val="00404D1D"/>
    <w:rsid w:val="00405100"/>
    <w:rsid w:val="004051C9"/>
    <w:rsid w:val="00405425"/>
    <w:rsid w:val="00405476"/>
    <w:rsid w:val="004061CC"/>
    <w:rsid w:val="0040638F"/>
    <w:rsid w:val="0040678A"/>
    <w:rsid w:val="00406F1C"/>
    <w:rsid w:val="00407B97"/>
    <w:rsid w:val="0041036C"/>
    <w:rsid w:val="0041045F"/>
    <w:rsid w:val="004107D2"/>
    <w:rsid w:val="004108B5"/>
    <w:rsid w:val="00411165"/>
    <w:rsid w:val="0041152F"/>
    <w:rsid w:val="0041288F"/>
    <w:rsid w:val="00413305"/>
    <w:rsid w:val="00413E83"/>
    <w:rsid w:val="00413E8A"/>
    <w:rsid w:val="00413F66"/>
    <w:rsid w:val="004143FF"/>
    <w:rsid w:val="00414F8C"/>
    <w:rsid w:val="004156A5"/>
    <w:rsid w:val="0041600B"/>
    <w:rsid w:val="0041618C"/>
    <w:rsid w:val="00416E07"/>
    <w:rsid w:val="0041729D"/>
    <w:rsid w:val="00417387"/>
    <w:rsid w:val="00417ADC"/>
    <w:rsid w:val="0042001E"/>
    <w:rsid w:val="004206D3"/>
    <w:rsid w:val="004206DF"/>
    <w:rsid w:val="00420908"/>
    <w:rsid w:val="00420DA4"/>
    <w:rsid w:val="00421E40"/>
    <w:rsid w:val="00421F50"/>
    <w:rsid w:val="00422098"/>
    <w:rsid w:val="00422681"/>
    <w:rsid w:val="00422771"/>
    <w:rsid w:val="00423026"/>
    <w:rsid w:val="004244D7"/>
    <w:rsid w:val="00424932"/>
    <w:rsid w:val="00424DB8"/>
    <w:rsid w:val="004254F1"/>
    <w:rsid w:val="00425859"/>
    <w:rsid w:val="00425FC4"/>
    <w:rsid w:val="0042644D"/>
    <w:rsid w:val="00426FDF"/>
    <w:rsid w:val="00427836"/>
    <w:rsid w:val="00427C81"/>
    <w:rsid w:val="00427FED"/>
    <w:rsid w:val="00430090"/>
    <w:rsid w:val="00430FAA"/>
    <w:rsid w:val="004310B9"/>
    <w:rsid w:val="00431436"/>
    <w:rsid w:val="00432711"/>
    <w:rsid w:val="00432BDD"/>
    <w:rsid w:val="004342A8"/>
    <w:rsid w:val="0043435C"/>
    <w:rsid w:val="00435104"/>
    <w:rsid w:val="004352AF"/>
    <w:rsid w:val="00435BC1"/>
    <w:rsid w:val="00436349"/>
    <w:rsid w:val="00436752"/>
    <w:rsid w:val="00436A4F"/>
    <w:rsid w:val="00437706"/>
    <w:rsid w:val="0043790D"/>
    <w:rsid w:val="00440C14"/>
    <w:rsid w:val="00440E7A"/>
    <w:rsid w:val="004415A0"/>
    <w:rsid w:val="00441DCB"/>
    <w:rsid w:val="00442DD0"/>
    <w:rsid w:val="00442EF8"/>
    <w:rsid w:val="00443556"/>
    <w:rsid w:val="00443584"/>
    <w:rsid w:val="00443711"/>
    <w:rsid w:val="00444236"/>
    <w:rsid w:val="00444491"/>
    <w:rsid w:val="00445044"/>
    <w:rsid w:val="00445437"/>
    <w:rsid w:val="00445739"/>
    <w:rsid w:val="00445DED"/>
    <w:rsid w:val="00445F32"/>
    <w:rsid w:val="00445F98"/>
    <w:rsid w:val="00446247"/>
    <w:rsid w:val="004476A0"/>
    <w:rsid w:val="00447A18"/>
    <w:rsid w:val="00447B98"/>
    <w:rsid w:val="004500C3"/>
    <w:rsid w:val="00450B8E"/>
    <w:rsid w:val="00451E47"/>
    <w:rsid w:val="004525C2"/>
    <w:rsid w:val="004531D9"/>
    <w:rsid w:val="00453749"/>
    <w:rsid w:val="004539C9"/>
    <w:rsid w:val="00453D27"/>
    <w:rsid w:val="0045424F"/>
    <w:rsid w:val="004545EA"/>
    <w:rsid w:val="004546F2"/>
    <w:rsid w:val="00455428"/>
    <w:rsid w:val="0045722F"/>
    <w:rsid w:val="0046004A"/>
    <w:rsid w:val="004604B2"/>
    <w:rsid w:val="0046050E"/>
    <w:rsid w:val="0046070D"/>
    <w:rsid w:val="004607C8"/>
    <w:rsid w:val="00460979"/>
    <w:rsid w:val="00460E0A"/>
    <w:rsid w:val="0046103C"/>
    <w:rsid w:val="0046128D"/>
    <w:rsid w:val="004612D3"/>
    <w:rsid w:val="0046170A"/>
    <w:rsid w:val="00461CBD"/>
    <w:rsid w:val="00462622"/>
    <w:rsid w:val="004626D1"/>
    <w:rsid w:val="00462A66"/>
    <w:rsid w:val="00462BA5"/>
    <w:rsid w:val="00462CC9"/>
    <w:rsid w:val="00462E0A"/>
    <w:rsid w:val="00462EB2"/>
    <w:rsid w:val="00463024"/>
    <w:rsid w:val="00463205"/>
    <w:rsid w:val="00464FF4"/>
    <w:rsid w:val="00465342"/>
    <w:rsid w:val="00465AA9"/>
    <w:rsid w:val="00465C61"/>
    <w:rsid w:val="00465F8C"/>
    <w:rsid w:val="0046628F"/>
    <w:rsid w:val="0046686C"/>
    <w:rsid w:val="00467063"/>
    <w:rsid w:val="00467739"/>
    <w:rsid w:val="0047136B"/>
    <w:rsid w:val="00472004"/>
    <w:rsid w:val="00472588"/>
    <w:rsid w:val="00472774"/>
    <w:rsid w:val="00472855"/>
    <w:rsid w:val="00472C82"/>
    <w:rsid w:val="00472E02"/>
    <w:rsid w:val="00473164"/>
    <w:rsid w:val="00473EFD"/>
    <w:rsid w:val="00474641"/>
    <w:rsid w:val="004749EE"/>
    <w:rsid w:val="00475A52"/>
    <w:rsid w:val="00475B8D"/>
    <w:rsid w:val="0047698D"/>
    <w:rsid w:val="004772E0"/>
    <w:rsid w:val="00477C52"/>
    <w:rsid w:val="004804C9"/>
    <w:rsid w:val="0048061D"/>
    <w:rsid w:val="00480DFF"/>
    <w:rsid w:val="00481396"/>
    <w:rsid w:val="00481D1A"/>
    <w:rsid w:val="004822D2"/>
    <w:rsid w:val="0048238E"/>
    <w:rsid w:val="00482A46"/>
    <w:rsid w:val="00482D86"/>
    <w:rsid w:val="0048446A"/>
    <w:rsid w:val="00484E21"/>
    <w:rsid w:val="004850CE"/>
    <w:rsid w:val="00485546"/>
    <w:rsid w:val="00485A32"/>
    <w:rsid w:val="00486A60"/>
    <w:rsid w:val="00486DEF"/>
    <w:rsid w:val="0048713F"/>
    <w:rsid w:val="004875C5"/>
    <w:rsid w:val="00487879"/>
    <w:rsid w:val="0049022A"/>
    <w:rsid w:val="0049152E"/>
    <w:rsid w:val="00491F25"/>
    <w:rsid w:val="00493399"/>
    <w:rsid w:val="00493469"/>
    <w:rsid w:val="00493903"/>
    <w:rsid w:val="00494B35"/>
    <w:rsid w:val="004956F5"/>
    <w:rsid w:val="0049570C"/>
    <w:rsid w:val="00495AF2"/>
    <w:rsid w:val="00495C25"/>
    <w:rsid w:val="00496C24"/>
    <w:rsid w:val="00497BAE"/>
    <w:rsid w:val="00497F3C"/>
    <w:rsid w:val="004A0047"/>
    <w:rsid w:val="004A0FB5"/>
    <w:rsid w:val="004A185A"/>
    <w:rsid w:val="004A219D"/>
    <w:rsid w:val="004A2664"/>
    <w:rsid w:val="004A317A"/>
    <w:rsid w:val="004A349F"/>
    <w:rsid w:val="004A4279"/>
    <w:rsid w:val="004A4785"/>
    <w:rsid w:val="004A4A86"/>
    <w:rsid w:val="004A4A8F"/>
    <w:rsid w:val="004A4D27"/>
    <w:rsid w:val="004A5E36"/>
    <w:rsid w:val="004A6950"/>
    <w:rsid w:val="004A6B5D"/>
    <w:rsid w:val="004A6BA7"/>
    <w:rsid w:val="004A762B"/>
    <w:rsid w:val="004A7CDD"/>
    <w:rsid w:val="004B0D8D"/>
    <w:rsid w:val="004B17BB"/>
    <w:rsid w:val="004B1A0E"/>
    <w:rsid w:val="004B1A33"/>
    <w:rsid w:val="004B2070"/>
    <w:rsid w:val="004B293E"/>
    <w:rsid w:val="004B2CE2"/>
    <w:rsid w:val="004B2E6A"/>
    <w:rsid w:val="004B335C"/>
    <w:rsid w:val="004B3DB3"/>
    <w:rsid w:val="004B3FB2"/>
    <w:rsid w:val="004B4066"/>
    <w:rsid w:val="004B4505"/>
    <w:rsid w:val="004B4804"/>
    <w:rsid w:val="004B4F6F"/>
    <w:rsid w:val="004B50FF"/>
    <w:rsid w:val="004B6CC5"/>
    <w:rsid w:val="004B7ED5"/>
    <w:rsid w:val="004B7FD0"/>
    <w:rsid w:val="004C075F"/>
    <w:rsid w:val="004C226C"/>
    <w:rsid w:val="004C2683"/>
    <w:rsid w:val="004C3784"/>
    <w:rsid w:val="004C3EB7"/>
    <w:rsid w:val="004C40D1"/>
    <w:rsid w:val="004C4D91"/>
    <w:rsid w:val="004C5243"/>
    <w:rsid w:val="004C576D"/>
    <w:rsid w:val="004C5913"/>
    <w:rsid w:val="004C594E"/>
    <w:rsid w:val="004C65CE"/>
    <w:rsid w:val="004C69B9"/>
    <w:rsid w:val="004C6B0F"/>
    <w:rsid w:val="004D07DE"/>
    <w:rsid w:val="004D0931"/>
    <w:rsid w:val="004D0BE7"/>
    <w:rsid w:val="004D1187"/>
    <w:rsid w:val="004D1489"/>
    <w:rsid w:val="004D1500"/>
    <w:rsid w:val="004D193D"/>
    <w:rsid w:val="004D1B93"/>
    <w:rsid w:val="004D22C5"/>
    <w:rsid w:val="004D25FA"/>
    <w:rsid w:val="004D26C1"/>
    <w:rsid w:val="004D3046"/>
    <w:rsid w:val="004D31A4"/>
    <w:rsid w:val="004D3216"/>
    <w:rsid w:val="004D3E40"/>
    <w:rsid w:val="004D4D5A"/>
    <w:rsid w:val="004D568A"/>
    <w:rsid w:val="004D58B6"/>
    <w:rsid w:val="004D6639"/>
    <w:rsid w:val="004D6655"/>
    <w:rsid w:val="004D66B5"/>
    <w:rsid w:val="004D68FC"/>
    <w:rsid w:val="004D6945"/>
    <w:rsid w:val="004D6C1B"/>
    <w:rsid w:val="004D6EFD"/>
    <w:rsid w:val="004D7261"/>
    <w:rsid w:val="004D777B"/>
    <w:rsid w:val="004D7A3D"/>
    <w:rsid w:val="004D7D38"/>
    <w:rsid w:val="004E04CB"/>
    <w:rsid w:val="004E132C"/>
    <w:rsid w:val="004E1614"/>
    <w:rsid w:val="004E2478"/>
    <w:rsid w:val="004E377B"/>
    <w:rsid w:val="004E40B7"/>
    <w:rsid w:val="004E438B"/>
    <w:rsid w:val="004E521A"/>
    <w:rsid w:val="004E55DF"/>
    <w:rsid w:val="004E58F5"/>
    <w:rsid w:val="004E5D6F"/>
    <w:rsid w:val="004E6428"/>
    <w:rsid w:val="004E6884"/>
    <w:rsid w:val="004E7B03"/>
    <w:rsid w:val="004E7BAA"/>
    <w:rsid w:val="004E7E7C"/>
    <w:rsid w:val="004F06C3"/>
    <w:rsid w:val="004F15E2"/>
    <w:rsid w:val="004F1B5E"/>
    <w:rsid w:val="004F26B2"/>
    <w:rsid w:val="004F27D6"/>
    <w:rsid w:val="004F3385"/>
    <w:rsid w:val="004F4089"/>
    <w:rsid w:val="004F4449"/>
    <w:rsid w:val="004F48AB"/>
    <w:rsid w:val="004F4D62"/>
    <w:rsid w:val="004F52FE"/>
    <w:rsid w:val="004F5E7A"/>
    <w:rsid w:val="004F68F8"/>
    <w:rsid w:val="004F6D39"/>
    <w:rsid w:val="004F7428"/>
    <w:rsid w:val="004F7A8B"/>
    <w:rsid w:val="005000A5"/>
    <w:rsid w:val="0050052F"/>
    <w:rsid w:val="005005CB"/>
    <w:rsid w:val="005015D8"/>
    <w:rsid w:val="00501631"/>
    <w:rsid w:val="00501E40"/>
    <w:rsid w:val="00501E97"/>
    <w:rsid w:val="0050358F"/>
    <w:rsid w:val="00506B77"/>
    <w:rsid w:val="00507D87"/>
    <w:rsid w:val="00510AE8"/>
    <w:rsid w:val="00511ED5"/>
    <w:rsid w:val="00512351"/>
    <w:rsid w:val="0051283A"/>
    <w:rsid w:val="00512D9E"/>
    <w:rsid w:val="00513545"/>
    <w:rsid w:val="0051459D"/>
    <w:rsid w:val="0051565E"/>
    <w:rsid w:val="00515988"/>
    <w:rsid w:val="0051714C"/>
    <w:rsid w:val="00520121"/>
    <w:rsid w:val="00520A80"/>
    <w:rsid w:val="00520EEF"/>
    <w:rsid w:val="005211CC"/>
    <w:rsid w:val="00521321"/>
    <w:rsid w:val="0052142C"/>
    <w:rsid w:val="005219E4"/>
    <w:rsid w:val="0052341F"/>
    <w:rsid w:val="0052478D"/>
    <w:rsid w:val="00524916"/>
    <w:rsid w:val="00524F82"/>
    <w:rsid w:val="00526A91"/>
    <w:rsid w:val="00526B15"/>
    <w:rsid w:val="00527391"/>
    <w:rsid w:val="005277E1"/>
    <w:rsid w:val="00527F4C"/>
    <w:rsid w:val="005302EC"/>
    <w:rsid w:val="0053074C"/>
    <w:rsid w:val="00530E80"/>
    <w:rsid w:val="005318C7"/>
    <w:rsid w:val="0053235A"/>
    <w:rsid w:val="00532986"/>
    <w:rsid w:val="00532F95"/>
    <w:rsid w:val="005332F2"/>
    <w:rsid w:val="00533772"/>
    <w:rsid w:val="00533F8F"/>
    <w:rsid w:val="00535988"/>
    <w:rsid w:val="00537C75"/>
    <w:rsid w:val="005404FD"/>
    <w:rsid w:val="0054064B"/>
    <w:rsid w:val="00540BAB"/>
    <w:rsid w:val="00540E61"/>
    <w:rsid w:val="00541D99"/>
    <w:rsid w:val="00542448"/>
    <w:rsid w:val="005426E8"/>
    <w:rsid w:val="00542CC9"/>
    <w:rsid w:val="00543039"/>
    <w:rsid w:val="00543580"/>
    <w:rsid w:val="005448F8"/>
    <w:rsid w:val="00545ACE"/>
    <w:rsid w:val="00545BEA"/>
    <w:rsid w:val="00546171"/>
    <w:rsid w:val="00546320"/>
    <w:rsid w:val="005463E0"/>
    <w:rsid w:val="00547101"/>
    <w:rsid w:val="005501A3"/>
    <w:rsid w:val="0055162F"/>
    <w:rsid w:val="005517C7"/>
    <w:rsid w:val="005518CA"/>
    <w:rsid w:val="00552D79"/>
    <w:rsid w:val="00552F7F"/>
    <w:rsid w:val="00553196"/>
    <w:rsid w:val="00553B76"/>
    <w:rsid w:val="00553E42"/>
    <w:rsid w:val="00553F12"/>
    <w:rsid w:val="005540C7"/>
    <w:rsid w:val="00554453"/>
    <w:rsid w:val="00554A98"/>
    <w:rsid w:val="00554F09"/>
    <w:rsid w:val="0055615B"/>
    <w:rsid w:val="005567EC"/>
    <w:rsid w:val="00556DE4"/>
    <w:rsid w:val="00557DD3"/>
    <w:rsid w:val="005611E2"/>
    <w:rsid w:val="00561E55"/>
    <w:rsid w:val="005624A9"/>
    <w:rsid w:val="0056261E"/>
    <w:rsid w:val="00563730"/>
    <w:rsid w:val="00563731"/>
    <w:rsid w:val="00563946"/>
    <w:rsid w:val="00564CE3"/>
    <w:rsid w:val="00564F5C"/>
    <w:rsid w:val="00565182"/>
    <w:rsid w:val="00565845"/>
    <w:rsid w:val="00566AFC"/>
    <w:rsid w:val="00567CF8"/>
    <w:rsid w:val="005716B3"/>
    <w:rsid w:val="00571719"/>
    <w:rsid w:val="00571CED"/>
    <w:rsid w:val="00571FBA"/>
    <w:rsid w:val="005728A3"/>
    <w:rsid w:val="005737E3"/>
    <w:rsid w:val="00573A7E"/>
    <w:rsid w:val="00574933"/>
    <w:rsid w:val="00574CD0"/>
    <w:rsid w:val="00575353"/>
    <w:rsid w:val="00575F89"/>
    <w:rsid w:val="005768BB"/>
    <w:rsid w:val="00577747"/>
    <w:rsid w:val="00577B5E"/>
    <w:rsid w:val="00577BF0"/>
    <w:rsid w:val="005800B6"/>
    <w:rsid w:val="005805CA"/>
    <w:rsid w:val="005808C3"/>
    <w:rsid w:val="00582E36"/>
    <w:rsid w:val="005831B5"/>
    <w:rsid w:val="00583481"/>
    <w:rsid w:val="005838EF"/>
    <w:rsid w:val="00583DE9"/>
    <w:rsid w:val="00583EE7"/>
    <w:rsid w:val="00584290"/>
    <w:rsid w:val="00584B2C"/>
    <w:rsid w:val="00584C45"/>
    <w:rsid w:val="00584D67"/>
    <w:rsid w:val="00585852"/>
    <w:rsid w:val="00586992"/>
    <w:rsid w:val="00586DA5"/>
    <w:rsid w:val="005878E1"/>
    <w:rsid w:val="005905F5"/>
    <w:rsid w:val="0059077B"/>
    <w:rsid w:val="00590970"/>
    <w:rsid w:val="005912D6"/>
    <w:rsid w:val="005924B7"/>
    <w:rsid w:val="005925A0"/>
    <w:rsid w:val="005927BF"/>
    <w:rsid w:val="00592C7E"/>
    <w:rsid w:val="0059319E"/>
    <w:rsid w:val="00594571"/>
    <w:rsid w:val="00594FBF"/>
    <w:rsid w:val="00595AA9"/>
    <w:rsid w:val="00595AE7"/>
    <w:rsid w:val="005963BA"/>
    <w:rsid w:val="00596F78"/>
    <w:rsid w:val="005974E4"/>
    <w:rsid w:val="005A00EC"/>
    <w:rsid w:val="005A0896"/>
    <w:rsid w:val="005A1D93"/>
    <w:rsid w:val="005A1F32"/>
    <w:rsid w:val="005A21A2"/>
    <w:rsid w:val="005A21BE"/>
    <w:rsid w:val="005A24A7"/>
    <w:rsid w:val="005A2CA8"/>
    <w:rsid w:val="005A2E7B"/>
    <w:rsid w:val="005A2FC7"/>
    <w:rsid w:val="005A3051"/>
    <w:rsid w:val="005A34CC"/>
    <w:rsid w:val="005A362C"/>
    <w:rsid w:val="005A3694"/>
    <w:rsid w:val="005A36AA"/>
    <w:rsid w:val="005A3762"/>
    <w:rsid w:val="005A3A56"/>
    <w:rsid w:val="005A41B3"/>
    <w:rsid w:val="005A4D31"/>
    <w:rsid w:val="005A60AC"/>
    <w:rsid w:val="005A64B8"/>
    <w:rsid w:val="005A6B08"/>
    <w:rsid w:val="005A70B4"/>
    <w:rsid w:val="005A7700"/>
    <w:rsid w:val="005B0050"/>
    <w:rsid w:val="005B1692"/>
    <w:rsid w:val="005B19A2"/>
    <w:rsid w:val="005B1D34"/>
    <w:rsid w:val="005B227B"/>
    <w:rsid w:val="005B2792"/>
    <w:rsid w:val="005B279B"/>
    <w:rsid w:val="005B2ECF"/>
    <w:rsid w:val="005B35EE"/>
    <w:rsid w:val="005B38B1"/>
    <w:rsid w:val="005B4687"/>
    <w:rsid w:val="005B4879"/>
    <w:rsid w:val="005B4EFA"/>
    <w:rsid w:val="005B608C"/>
    <w:rsid w:val="005B64A9"/>
    <w:rsid w:val="005B6757"/>
    <w:rsid w:val="005B71B1"/>
    <w:rsid w:val="005B7973"/>
    <w:rsid w:val="005C121D"/>
    <w:rsid w:val="005C1EF2"/>
    <w:rsid w:val="005C209B"/>
    <w:rsid w:val="005C2E1B"/>
    <w:rsid w:val="005C3E6E"/>
    <w:rsid w:val="005C46AB"/>
    <w:rsid w:val="005C46DA"/>
    <w:rsid w:val="005C5FE4"/>
    <w:rsid w:val="005C61A6"/>
    <w:rsid w:val="005C6D8A"/>
    <w:rsid w:val="005C73C6"/>
    <w:rsid w:val="005C7B15"/>
    <w:rsid w:val="005C7D67"/>
    <w:rsid w:val="005C7ED0"/>
    <w:rsid w:val="005D01A9"/>
    <w:rsid w:val="005D01AE"/>
    <w:rsid w:val="005D0F12"/>
    <w:rsid w:val="005D14BF"/>
    <w:rsid w:val="005D1CD4"/>
    <w:rsid w:val="005D2A46"/>
    <w:rsid w:val="005D2A4C"/>
    <w:rsid w:val="005D2C9A"/>
    <w:rsid w:val="005D2F35"/>
    <w:rsid w:val="005D34B0"/>
    <w:rsid w:val="005D3E2C"/>
    <w:rsid w:val="005D40FF"/>
    <w:rsid w:val="005D4FAA"/>
    <w:rsid w:val="005D5415"/>
    <w:rsid w:val="005D57C8"/>
    <w:rsid w:val="005D5933"/>
    <w:rsid w:val="005D5D71"/>
    <w:rsid w:val="005D6023"/>
    <w:rsid w:val="005D62A7"/>
    <w:rsid w:val="005D7004"/>
    <w:rsid w:val="005D7C28"/>
    <w:rsid w:val="005E0650"/>
    <w:rsid w:val="005E2042"/>
    <w:rsid w:val="005E2377"/>
    <w:rsid w:val="005E2395"/>
    <w:rsid w:val="005E25D5"/>
    <w:rsid w:val="005E267E"/>
    <w:rsid w:val="005E28AB"/>
    <w:rsid w:val="005E2D27"/>
    <w:rsid w:val="005E301A"/>
    <w:rsid w:val="005E3A0B"/>
    <w:rsid w:val="005E43DF"/>
    <w:rsid w:val="005E4C38"/>
    <w:rsid w:val="005E4EE0"/>
    <w:rsid w:val="005E4F2F"/>
    <w:rsid w:val="005E4F6B"/>
    <w:rsid w:val="005E4FA9"/>
    <w:rsid w:val="005E5150"/>
    <w:rsid w:val="005E5591"/>
    <w:rsid w:val="005E5BEB"/>
    <w:rsid w:val="005E60BA"/>
    <w:rsid w:val="005E7927"/>
    <w:rsid w:val="005E7933"/>
    <w:rsid w:val="005E7FCB"/>
    <w:rsid w:val="005F021D"/>
    <w:rsid w:val="005F06D2"/>
    <w:rsid w:val="005F0AD1"/>
    <w:rsid w:val="005F0E43"/>
    <w:rsid w:val="005F12FD"/>
    <w:rsid w:val="005F196D"/>
    <w:rsid w:val="005F218E"/>
    <w:rsid w:val="005F276E"/>
    <w:rsid w:val="005F2C38"/>
    <w:rsid w:val="005F2FA8"/>
    <w:rsid w:val="005F3A98"/>
    <w:rsid w:val="005F55A5"/>
    <w:rsid w:val="005F5611"/>
    <w:rsid w:val="005F5B5A"/>
    <w:rsid w:val="005F5C89"/>
    <w:rsid w:val="005F5E8F"/>
    <w:rsid w:val="005F663F"/>
    <w:rsid w:val="005F674A"/>
    <w:rsid w:val="005F7366"/>
    <w:rsid w:val="00601929"/>
    <w:rsid w:val="0060252D"/>
    <w:rsid w:val="00603004"/>
    <w:rsid w:val="00603221"/>
    <w:rsid w:val="006038D5"/>
    <w:rsid w:val="00603A49"/>
    <w:rsid w:val="00603CF6"/>
    <w:rsid w:val="00604401"/>
    <w:rsid w:val="006045F4"/>
    <w:rsid w:val="00604864"/>
    <w:rsid w:val="0060494B"/>
    <w:rsid w:val="00604DE0"/>
    <w:rsid w:val="00605394"/>
    <w:rsid w:val="00606D8C"/>
    <w:rsid w:val="00606F1F"/>
    <w:rsid w:val="006076FF"/>
    <w:rsid w:val="00607B30"/>
    <w:rsid w:val="006101D0"/>
    <w:rsid w:val="00610938"/>
    <w:rsid w:val="00610B7B"/>
    <w:rsid w:val="00610EAC"/>
    <w:rsid w:val="006110CC"/>
    <w:rsid w:val="006120CE"/>
    <w:rsid w:val="00612BC5"/>
    <w:rsid w:val="00612C14"/>
    <w:rsid w:val="00613295"/>
    <w:rsid w:val="00613296"/>
    <w:rsid w:val="00614298"/>
    <w:rsid w:val="00614698"/>
    <w:rsid w:val="006147E3"/>
    <w:rsid w:val="00615175"/>
    <w:rsid w:val="00615468"/>
    <w:rsid w:val="0061552E"/>
    <w:rsid w:val="006156D6"/>
    <w:rsid w:val="00615EEB"/>
    <w:rsid w:val="0061618A"/>
    <w:rsid w:val="006161F1"/>
    <w:rsid w:val="00616278"/>
    <w:rsid w:val="00616F0F"/>
    <w:rsid w:val="00622BBA"/>
    <w:rsid w:val="00623791"/>
    <w:rsid w:val="006237F9"/>
    <w:rsid w:val="00623892"/>
    <w:rsid w:val="00623A10"/>
    <w:rsid w:val="00624F60"/>
    <w:rsid w:val="0062531D"/>
    <w:rsid w:val="0062571D"/>
    <w:rsid w:val="00625B7D"/>
    <w:rsid w:val="00626869"/>
    <w:rsid w:val="00627147"/>
    <w:rsid w:val="00627278"/>
    <w:rsid w:val="006301F0"/>
    <w:rsid w:val="00630CFB"/>
    <w:rsid w:val="00631C8B"/>
    <w:rsid w:val="00633812"/>
    <w:rsid w:val="00634D13"/>
    <w:rsid w:val="00634F1B"/>
    <w:rsid w:val="00635051"/>
    <w:rsid w:val="00635174"/>
    <w:rsid w:val="006351E9"/>
    <w:rsid w:val="006353A0"/>
    <w:rsid w:val="00635A0F"/>
    <w:rsid w:val="00636854"/>
    <w:rsid w:val="00637413"/>
    <w:rsid w:val="006374E5"/>
    <w:rsid w:val="00637AE1"/>
    <w:rsid w:val="00641356"/>
    <w:rsid w:val="00641483"/>
    <w:rsid w:val="00641629"/>
    <w:rsid w:val="00642057"/>
    <w:rsid w:val="00642ABB"/>
    <w:rsid w:val="00643A22"/>
    <w:rsid w:val="0064468B"/>
    <w:rsid w:val="0064597D"/>
    <w:rsid w:val="00645E0E"/>
    <w:rsid w:val="00647A59"/>
    <w:rsid w:val="00647F24"/>
    <w:rsid w:val="006506FD"/>
    <w:rsid w:val="00650D8C"/>
    <w:rsid w:val="00650DC4"/>
    <w:rsid w:val="00650E74"/>
    <w:rsid w:val="006511D4"/>
    <w:rsid w:val="00651572"/>
    <w:rsid w:val="0065157A"/>
    <w:rsid w:val="00652015"/>
    <w:rsid w:val="006520F3"/>
    <w:rsid w:val="006533A4"/>
    <w:rsid w:val="00653D36"/>
    <w:rsid w:val="0065454B"/>
    <w:rsid w:val="00654FB6"/>
    <w:rsid w:val="00655F0C"/>
    <w:rsid w:val="006560A4"/>
    <w:rsid w:val="00656371"/>
    <w:rsid w:val="00656DC1"/>
    <w:rsid w:val="00657648"/>
    <w:rsid w:val="006607AB"/>
    <w:rsid w:val="0066161C"/>
    <w:rsid w:val="00661C14"/>
    <w:rsid w:val="006624BD"/>
    <w:rsid w:val="006635B9"/>
    <w:rsid w:val="0066475D"/>
    <w:rsid w:val="00664FBC"/>
    <w:rsid w:val="00665387"/>
    <w:rsid w:val="006661C1"/>
    <w:rsid w:val="00666A8E"/>
    <w:rsid w:val="00666D62"/>
    <w:rsid w:val="00667B33"/>
    <w:rsid w:val="00670313"/>
    <w:rsid w:val="00670348"/>
    <w:rsid w:val="006714AE"/>
    <w:rsid w:val="006721C1"/>
    <w:rsid w:val="006725C4"/>
    <w:rsid w:val="00672A80"/>
    <w:rsid w:val="00672FB2"/>
    <w:rsid w:val="006732C5"/>
    <w:rsid w:val="00673464"/>
    <w:rsid w:val="0067381B"/>
    <w:rsid w:val="006741EB"/>
    <w:rsid w:val="00674302"/>
    <w:rsid w:val="006745B3"/>
    <w:rsid w:val="006752F1"/>
    <w:rsid w:val="00675AA7"/>
    <w:rsid w:val="00675CB5"/>
    <w:rsid w:val="00676303"/>
    <w:rsid w:val="00676319"/>
    <w:rsid w:val="00676651"/>
    <w:rsid w:val="006767FC"/>
    <w:rsid w:val="0067699A"/>
    <w:rsid w:val="00676A0B"/>
    <w:rsid w:val="00676AE5"/>
    <w:rsid w:val="00676AEB"/>
    <w:rsid w:val="006774F2"/>
    <w:rsid w:val="00681500"/>
    <w:rsid w:val="0068194F"/>
    <w:rsid w:val="00681C8D"/>
    <w:rsid w:val="00681CD7"/>
    <w:rsid w:val="00682212"/>
    <w:rsid w:val="00682988"/>
    <w:rsid w:val="00682AF5"/>
    <w:rsid w:val="00682B57"/>
    <w:rsid w:val="00682C3E"/>
    <w:rsid w:val="00683232"/>
    <w:rsid w:val="006835F6"/>
    <w:rsid w:val="00683DA9"/>
    <w:rsid w:val="00684D22"/>
    <w:rsid w:val="00685183"/>
    <w:rsid w:val="00686031"/>
    <w:rsid w:val="0068638F"/>
    <w:rsid w:val="006865E8"/>
    <w:rsid w:val="006867AF"/>
    <w:rsid w:val="006869EF"/>
    <w:rsid w:val="00686F1B"/>
    <w:rsid w:val="00687A80"/>
    <w:rsid w:val="00687DEB"/>
    <w:rsid w:val="00690207"/>
    <w:rsid w:val="00690DD6"/>
    <w:rsid w:val="006910D7"/>
    <w:rsid w:val="006922C7"/>
    <w:rsid w:val="0069240A"/>
    <w:rsid w:val="00693111"/>
    <w:rsid w:val="006933C0"/>
    <w:rsid w:val="006938E1"/>
    <w:rsid w:val="00694B77"/>
    <w:rsid w:val="00694ECC"/>
    <w:rsid w:val="00695422"/>
    <w:rsid w:val="00695F31"/>
    <w:rsid w:val="0069678E"/>
    <w:rsid w:val="00696926"/>
    <w:rsid w:val="00696C61"/>
    <w:rsid w:val="006972AD"/>
    <w:rsid w:val="00697B51"/>
    <w:rsid w:val="00697DE5"/>
    <w:rsid w:val="00697E21"/>
    <w:rsid w:val="006A029F"/>
    <w:rsid w:val="006A02A8"/>
    <w:rsid w:val="006A044C"/>
    <w:rsid w:val="006A0527"/>
    <w:rsid w:val="006A0E9C"/>
    <w:rsid w:val="006A12BB"/>
    <w:rsid w:val="006A2D1A"/>
    <w:rsid w:val="006A2EA4"/>
    <w:rsid w:val="006A2EC8"/>
    <w:rsid w:val="006A3294"/>
    <w:rsid w:val="006A3E87"/>
    <w:rsid w:val="006A492D"/>
    <w:rsid w:val="006A5219"/>
    <w:rsid w:val="006A596A"/>
    <w:rsid w:val="006A619C"/>
    <w:rsid w:val="006A6B20"/>
    <w:rsid w:val="006A770D"/>
    <w:rsid w:val="006B0A0B"/>
    <w:rsid w:val="006B0F25"/>
    <w:rsid w:val="006B1033"/>
    <w:rsid w:val="006B1CD1"/>
    <w:rsid w:val="006B227F"/>
    <w:rsid w:val="006B22AC"/>
    <w:rsid w:val="006B2B7B"/>
    <w:rsid w:val="006B370E"/>
    <w:rsid w:val="006B3CFB"/>
    <w:rsid w:val="006B3FAB"/>
    <w:rsid w:val="006B4C76"/>
    <w:rsid w:val="006B4CB9"/>
    <w:rsid w:val="006B4E98"/>
    <w:rsid w:val="006B4FEE"/>
    <w:rsid w:val="006B5336"/>
    <w:rsid w:val="006B5340"/>
    <w:rsid w:val="006B53DD"/>
    <w:rsid w:val="006B54C7"/>
    <w:rsid w:val="006B55F7"/>
    <w:rsid w:val="006B5FAC"/>
    <w:rsid w:val="006B6CBA"/>
    <w:rsid w:val="006B7088"/>
    <w:rsid w:val="006C017F"/>
    <w:rsid w:val="006C0AFD"/>
    <w:rsid w:val="006C0CF2"/>
    <w:rsid w:val="006C0DB4"/>
    <w:rsid w:val="006C111A"/>
    <w:rsid w:val="006C1397"/>
    <w:rsid w:val="006C13C9"/>
    <w:rsid w:val="006C1526"/>
    <w:rsid w:val="006C1D32"/>
    <w:rsid w:val="006C2745"/>
    <w:rsid w:val="006C290B"/>
    <w:rsid w:val="006C2AF6"/>
    <w:rsid w:val="006C340B"/>
    <w:rsid w:val="006C3506"/>
    <w:rsid w:val="006C3B66"/>
    <w:rsid w:val="006C3F05"/>
    <w:rsid w:val="006C4442"/>
    <w:rsid w:val="006C463D"/>
    <w:rsid w:val="006C499D"/>
    <w:rsid w:val="006C4D39"/>
    <w:rsid w:val="006C5052"/>
    <w:rsid w:val="006C6022"/>
    <w:rsid w:val="006C6DD3"/>
    <w:rsid w:val="006C7174"/>
    <w:rsid w:val="006C7341"/>
    <w:rsid w:val="006C7C09"/>
    <w:rsid w:val="006D1B75"/>
    <w:rsid w:val="006D250B"/>
    <w:rsid w:val="006D2DDC"/>
    <w:rsid w:val="006D2E0A"/>
    <w:rsid w:val="006D3487"/>
    <w:rsid w:val="006D47A7"/>
    <w:rsid w:val="006D4878"/>
    <w:rsid w:val="006D4907"/>
    <w:rsid w:val="006D4E13"/>
    <w:rsid w:val="006D53A5"/>
    <w:rsid w:val="006D5AA7"/>
    <w:rsid w:val="006D6894"/>
    <w:rsid w:val="006D6992"/>
    <w:rsid w:val="006D6D8F"/>
    <w:rsid w:val="006D7188"/>
    <w:rsid w:val="006D7267"/>
    <w:rsid w:val="006D74EB"/>
    <w:rsid w:val="006D7F54"/>
    <w:rsid w:val="006E025D"/>
    <w:rsid w:val="006E032B"/>
    <w:rsid w:val="006E0CC7"/>
    <w:rsid w:val="006E16DE"/>
    <w:rsid w:val="006E1764"/>
    <w:rsid w:val="006E2219"/>
    <w:rsid w:val="006E2A15"/>
    <w:rsid w:val="006E2DD6"/>
    <w:rsid w:val="006E2F2A"/>
    <w:rsid w:val="006E33E0"/>
    <w:rsid w:val="006E39B8"/>
    <w:rsid w:val="006E3B85"/>
    <w:rsid w:val="006E44C3"/>
    <w:rsid w:val="006E4D53"/>
    <w:rsid w:val="006E5CBC"/>
    <w:rsid w:val="006E5FA8"/>
    <w:rsid w:val="006E64DB"/>
    <w:rsid w:val="006E6907"/>
    <w:rsid w:val="006E6D99"/>
    <w:rsid w:val="006E6D9B"/>
    <w:rsid w:val="006E6F71"/>
    <w:rsid w:val="006E72A7"/>
    <w:rsid w:val="006E73E4"/>
    <w:rsid w:val="006E7B52"/>
    <w:rsid w:val="006F028C"/>
    <w:rsid w:val="006F07A5"/>
    <w:rsid w:val="006F1309"/>
    <w:rsid w:val="006F147B"/>
    <w:rsid w:val="006F2111"/>
    <w:rsid w:val="006F2629"/>
    <w:rsid w:val="006F26CB"/>
    <w:rsid w:val="006F338B"/>
    <w:rsid w:val="006F4806"/>
    <w:rsid w:val="006F5224"/>
    <w:rsid w:val="006F5319"/>
    <w:rsid w:val="006F540F"/>
    <w:rsid w:val="006F5C51"/>
    <w:rsid w:val="006F63B2"/>
    <w:rsid w:val="006F7456"/>
    <w:rsid w:val="006F7539"/>
    <w:rsid w:val="006F796F"/>
    <w:rsid w:val="00700AED"/>
    <w:rsid w:val="00700F2F"/>
    <w:rsid w:val="0070176D"/>
    <w:rsid w:val="007017BD"/>
    <w:rsid w:val="007019E3"/>
    <w:rsid w:val="00701BE8"/>
    <w:rsid w:val="00702059"/>
    <w:rsid w:val="00702103"/>
    <w:rsid w:val="0070227F"/>
    <w:rsid w:val="00702A04"/>
    <w:rsid w:val="00702D52"/>
    <w:rsid w:val="00703B93"/>
    <w:rsid w:val="007045C4"/>
    <w:rsid w:val="00705017"/>
    <w:rsid w:val="0070593E"/>
    <w:rsid w:val="00706132"/>
    <w:rsid w:val="007061E1"/>
    <w:rsid w:val="00706411"/>
    <w:rsid w:val="00706BE6"/>
    <w:rsid w:val="00706E15"/>
    <w:rsid w:val="0070779F"/>
    <w:rsid w:val="00707940"/>
    <w:rsid w:val="00707D2B"/>
    <w:rsid w:val="00710350"/>
    <w:rsid w:val="007105A0"/>
    <w:rsid w:val="00710BC0"/>
    <w:rsid w:val="00711005"/>
    <w:rsid w:val="0071133F"/>
    <w:rsid w:val="007122FD"/>
    <w:rsid w:val="00712D1F"/>
    <w:rsid w:val="0071327A"/>
    <w:rsid w:val="00713D8D"/>
    <w:rsid w:val="00714266"/>
    <w:rsid w:val="0071426B"/>
    <w:rsid w:val="007149AF"/>
    <w:rsid w:val="00714DAB"/>
    <w:rsid w:val="007156BD"/>
    <w:rsid w:val="00716B43"/>
    <w:rsid w:val="00716C70"/>
    <w:rsid w:val="00717ACD"/>
    <w:rsid w:val="00720BB6"/>
    <w:rsid w:val="0072115E"/>
    <w:rsid w:val="007217D0"/>
    <w:rsid w:val="00722459"/>
    <w:rsid w:val="007229C9"/>
    <w:rsid w:val="00722B45"/>
    <w:rsid w:val="007231CA"/>
    <w:rsid w:val="007237A9"/>
    <w:rsid w:val="0072400D"/>
    <w:rsid w:val="007244E9"/>
    <w:rsid w:val="00724677"/>
    <w:rsid w:val="0072515F"/>
    <w:rsid w:val="00726011"/>
    <w:rsid w:val="00726609"/>
    <w:rsid w:val="00726F54"/>
    <w:rsid w:val="007270AD"/>
    <w:rsid w:val="007275F9"/>
    <w:rsid w:val="0072790D"/>
    <w:rsid w:val="00727AAE"/>
    <w:rsid w:val="00727F23"/>
    <w:rsid w:val="00730E33"/>
    <w:rsid w:val="007312C3"/>
    <w:rsid w:val="00731CE3"/>
    <w:rsid w:val="00732888"/>
    <w:rsid w:val="007329F2"/>
    <w:rsid w:val="00732BD0"/>
    <w:rsid w:val="00732DDD"/>
    <w:rsid w:val="00732E72"/>
    <w:rsid w:val="007338EE"/>
    <w:rsid w:val="0073537C"/>
    <w:rsid w:val="007362E9"/>
    <w:rsid w:val="007364F8"/>
    <w:rsid w:val="007371B2"/>
    <w:rsid w:val="00737A5F"/>
    <w:rsid w:val="00740114"/>
    <w:rsid w:val="00740EB4"/>
    <w:rsid w:val="0074112A"/>
    <w:rsid w:val="0074144A"/>
    <w:rsid w:val="007418AE"/>
    <w:rsid w:val="0074286B"/>
    <w:rsid w:val="0074296D"/>
    <w:rsid w:val="00742B1E"/>
    <w:rsid w:val="00743626"/>
    <w:rsid w:val="00743B9B"/>
    <w:rsid w:val="00743C57"/>
    <w:rsid w:val="0074480A"/>
    <w:rsid w:val="0074561D"/>
    <w:rsid w:val="0074581D"/>
    <w:rsid w:val="00745846"/>
    <w:rsid w:val="00745F21"/>
    <w:rsid w:val="007461A2"/>
    <w:rsid w:val="007465A8"/>
    <w:rsid w:val="00746ED0"/>
    <w:rsid w:val="00746F7F"/>
    <w:rsid w:val="00747656"/>
    <w:rsid w:val="00750CA3"/>
    <w:rsid w:val="00750DF5"/>
    <w:rsid w:val="00751A45"/>
    <w:rsid w:val="0075234D"/>
    <w:rsid w:val="00752A90"/>
    <w:rsid w:val="0075352B"/>
    <w:rsid w:val="00754A85"/>
    <w:rsid w:val="00755475"/>
    <w:rsid w:val="00755884"/>
    <w:rsid w:val="007568F8"/>
    <w:rsid w:val="00760346"/>
    <w:rsid w:val="007604D1"/>
    <w:rsid w:val="00760C9A"/>
    <w:rsid w:val="00760E99"/>
    <w:rsid w:val="00760EFC"/>
    <w:rsid w:val="00760F5A"/>
    <w:rsid w:val="00761BC3"/>
    <w:rsid w:val="00761DAA"/>
    <w:rsid w:val="00762BB3"/>
    <w:rsid w:val="00763896"/>
    <w:rsid w:val="007647A6"/>
    <w:rsid w:val="007647F4"/>
    <w:rsid w:val="00765812"/>
    <w:rsid w:val="00765D9D"/>
    <w:rsid w:val="007679B6"/>
    <w:rsid w:val="00767C22"/>
    <w:rsid w:val="007707D8"/>
    <w:rsid w:val="00770AC8"/>
    <w:rsid w:val="00770CFA"/>
    <w:rsid w:val="0077153E"/>
    <w:rsid w:val="00771E71"/>
    <w:rsid w:val="007730BC"/>
    <w:rsid w:val="00773D89"/>
    <w:rsid w:val="00773DE1"/>
    <w:rsid w:val="0077470A"/>
    <w:rsid w:val="00775544"/>
    <w:rsid w:val="007769A6"/>
    <w:rsid w:val="00776D60"/>
    <w:rsid w:val="007775A9"/>
    <w:rsid w:val="00780425"/>
    <w:rsid w:val="007805B4"/>
    <w:rsid w:val="00780B83"/>
    <w:rsid w:val="00781280"/>
    <w:rsid w:val="00781E9A"/>
    <w:rsid w:val="00782CB6"/>
    <w:rsid w:val="00783826"/>
    <w:rsid w:val="00783829"/>
    <w:rsid w:val="00783E77"/>
    <w:rsid w:val="00783E91"/>
    <w:rsid w:val="00784246"/>
    <w:rsid w:val="0078451D"/>
    <w:rsid w:val="007848A6"/>
    <w:rsid w:val="0078545E"/>
    <w:rsid w:val="007857FC"/>
    <w:rsid w:val="00785818"/>
    <w:rsid w:val="007873BA"/>
    <w:rsid w:val="00787D9A"/>
    <w:rsid w:val="0079003C"/>
    <w:rsid w:val="007916BD"/>
    <w:rsid w:val="00791D10"/>
    <w:rsid w:val="00792352"/>
    <w:rsid w:val="007926CB"/>
    <w:rsid w:val="00792AA4"/>
    <w:rsid w:val="00793DB6"/>
    <w:rsid w:val="00794517"/>
    <w:rsid w:val="00795B15"/>
    <w:rsid w:val="00795BC6"/>
    <w:rsid w:val="00796D26"/>
    <w:rsid w:val="00797F58"/>
    <w:rsid w:val="007A0783"/>
    <w:rsid w:val="007A0C47"/>
    <w:rsid w:val="007A1A14"/>
    <w:rsid w:val="007A2B9B"/>
    <w:rsid w:val="007A347A"/>
    <w:rsid w:val="007A432E"/>
    <w:rsid w:val="007A4743"/>
    <w:rsid w:val="007A4C0A"/>
    <w:rsid w:val="007A4E9C"/>
    <w:rsid w:val="007A538D"/>
    <w:rsid w:val="007A55E0"/>
    <w:rsid w:val="007A6231"/>
    <w:rsid w:val="007A6AB8"/>
    <w:rsid w:val="007A6F21"/>
    <w:rsid w:val="007A7958"/>
    <w:rsid w:val="007B0099"/>
    <w:rsid w:val="007B03E3"/>
    <w:rsid w:val="007B166C"/>
    <w:rsid w:val="007B1919"/>
    <w:rsid w:val="007B1AD2"/>
    <w:rsid w:val="007B21CC"/>
    <w:rsid w:val="007B283E"/>
    <w:rsid w:val="007B3824"/>
    <w:rsid w:val="007B3B66"/>
    <w:rsid w:val="007B3DF9"/>
    <w:rsid w:val="007B3EF2"/>
    <w:rsid w:val="007B5DC2"/>
    <w:rsid w:val="007B6563"/>
    <w:rsid w:val="007B6F74"/>
    <w:rsid w:val="007B77C0"/>
    <w:rsid w:val="007B7BB7"/>
    <w:rsid w:val="007C0105"/>
    <w:rsid w:val="007C07BF"/>
    <w:rsid w:val="007C125D"/>
    <w:rsid w:val="007C1313"/>
    <w:rsid w:val="007C17D9"/>
    <w:rsid w:val="007C1B9B"/>
    <w:rsid w:val="007C236E"/>
    <w:rsid w:val="007C2AFF"/>
    <w:rsid w:val="007C4DD3"/>
    <w:rsid w:val="007C5129"/>
    <w:rsid w:val="007C5AE9"/>
    <w:rsid w:val="007C6DD3"/>
    <w:rsid w:val="007C722F"/>
    <w:rsid w:val="007C781F"/>
    <w:rsid w:val="007C7991"/>
    <w:rsid w:val="007D0C99"/>
    <w:rsid w:val="007D1436"/>
    <w:rsid w:val="007D164B"/>
    <w:rsid w:val="007D1CFF"/>
    <w:rsid w:val="007D260C"/>
    <w:rsid w:val="007D2ECC"/>
    <w:rsid w:val="007D3392"/>
    <w:rsid w:val="007D369D"/>
    <w:rsid w:val="007D4250"/>
    <w:rsid w:val="007D5095"/>
    <w:rsid w:val="007D522B"/>
    <w:rsid w:val="007D59E4"/>
    <w:rsid w:val="007D797E"/>
    <w:rsid w:val="007D7DE1"/>
    <w:rsid w:val="007E09D7"/>
    <w:rsid w:val="007E220D"/>
    <w:rsid w:val="007E23D5"/>
    <w:rsid w:val="007E27EB"/>
    <w:rsid w:val="007E29C2"/>
    <w:rsid w:val="007E2CB3"/>
    <w:rsid w:val="007E3223"/>
    <w:rsid w:val="007E3467"/>
    <w:rsid w:val="007E359C"/>
    <w:rsid w:val="007E6FA9"/>
    <w:rsid w:val="007E705A"/>
    <w:rsid w:val="007E7832"/>
    <w:rsid w:val="007E7AA7"/>
    <w:rsid w:val="007F00EC"/>
    <w:rsid w:val="007F0150"/>
    <w:rsid w:val="007F01FF"/>
    <w:rsid w:val="007F05DF"/>
    <w:rsid w:val="007F2571"/>
    <w:rsid w:val="007F2BA8"/>
    <w:rsid w:val="007F30B5"/>
    <w:rsid w:val="007F319F"/>
    <w:rsid w:val="007F37B7"/>
    <w:rsid w:val="007F3C1C"/>
    <w:rsid w:val="007F3F99"/>
    <w:rsid w:val="007F413D"/>
    <w:rsid w:val="007F452C"/>
    <w:rsid w:val="007F46E6"/>
    <w:rsid w:val="007F5264"/>
    <w:rsid w:val="007F5275"/>
    <w:rsid w:val="007F5AF1"/>
    <w:rsid w:val="007F6044"/>
    <w:rsid w:val="007F6A8C"/>
    <w:rsid w:val="007F7042"/>
    <w:rsid w:val="007F7532"/>
    <w:rsid w:val="007F7BAE"/>
    <w:rsid w:val="00800234"/>
    <w:rsid w:val="00800282"/>
    <w:rsid w:val="008008F5"/>
    <w:rsid w:val="00800C59"/>
    <w:rsid w:val="00801192"/>
    <w:rsid w:val="00801493"/>
    <w:rsid w:val="00801891"/>
    <w:rsid w:val="00801DA5"/>
    <w:rsid w:val="008022FE"/>
    <w:rsid w:val="00802907"/>
    <w:rsid w:val="00802FD9"/>
    <w:rsid w:val="00803952"/>
    <w:rsid w:val="00803B55"/>
    <w:rsid w:val="00804148"/>
    <w:rsid w:val="00804223"/>
    <w:rsid w:val="0080529E"/>
    <w:rsid w:val="008055A3"/>
    <w:rsid w:val="008055DD"/>
    <w:rsid w:val="00805758"/>
    <w:rsid w:val="00805A0A"/>
    <w:rsid w:val="00805C77"/>
    <w:rsid w:val="008060F5"/>
    <w:rsid w:val="00806312"/>
    <w:rsid w:val="008063FC"/>
    <w:rsid w:val="0080672D"/>
    <w:rsid w:val="008067C2"/>
    <w:rsid w:val="0080718A"/>
    <w:rsid w:val="008076F5"/>
    <w:rsid w:val="00807C71"/>
    <w:rsid w:val="00807CDB"/>
    <w:rsid w:val="00810106"/>
    <w:rsid w:val="00811CFA"/>
    <w:rsid w:val="008125E6"/>
    <w:rsid w:val="00812788"/>
    <w:rsid w:val="00812A13"/>
    <w:rsid w:val="008139CF"/>
    <w:rsid w:val="00813D80"/>
    <w:rsid w:val="0081415E"/>
    <w:rsid w:val="008143D6"/>
    <w:rsid w:val="00814EFF"/>
    <w:rsid w:val="00815E54"/>
    <w:rsid w:val="00816030"/>
    <w:rsid w:val="008160F8"/>
    <w:rsid w:val="0081682D"/>
    <w:rsid w:val="008171DE"/>
    <w:rsid w:val="0081784F"/>
    <w:rsid w:val="00817A66"/>
    <w:rsid w:val="00817B2A"/>
    <w:rsid w:val="008202E2"/>
    <w:rsid w:val="00820E3E"/>
    <w:rsid w:val="008215AF"/>
    <w:rsid w:val="00821742"/>
    <w:rsid w:val="00821C1E"/>
    <w:rsid w:val="00822064"/>
    <w:rsid w:val="00822171"/>
    <w:rsid w:val="008222F9"/>
    <w:rsid w:val="00822799"/>
    <w:rsid w:val="00822984"/>
    <w:rsid w:val="00822AD9"/>
    <w:rsid w:val="00823CB7"/>
    <w:rsid w:val="008254CB"/>
    <w:rsid w:val="008254F6"/>
    <w:rsid w:val="00826E44"/>
    <w:rsid w:val="008276ED"/>
    <w:rsid w:val="00827976"/>
    <w:rsid w:val="00827B3D"/>
    <w:rsid w:val="0083034C"/>
    <w:rsid w:val="008304B6"/>
    <w:rsid w:val="00830893"/>
    <w:rsid w:val="00831413"/>
    <w:rsid w:val="008314C8"/>
    <w:rsid w:val="00831C11"/>
    <w:rsid w:val="00832967"/>
    <w:rsid w:val="00832D87"/>
    <w:rsid w:val="008330B4"/>
    <w:rsid w:val="008333BE"/>
    <w:rsid w:val="00833401"/>
    <w:rsid w:val="008336A0"/>
    <w:rsid w:val="00834165"/>
    <w:rsid w:val="00834509"/>
    <w:rsid w:val="0083463F"/>
    <w:rsid w:val="00835639"/>
    <w:rsid w:val="00835D15"/>
    <w:rsid w:val="00835E9C"/>
    <w:rsid w:val="008364C6"/>
    <w:rsid w:val="00836C56"/>
    <w:rsid w:val="008374FE"/>
    <w:rsid w:val="008401F2"/>
    <w:rsid w:val="00840404"/>
    <w:rsid w:val="00840A8C"/>
    <w:rsid w:val="008412FA"/>
    <w:rsid w:val="008419C1"/>
    <w:rsid w:val="00841F2F"/>
    <w:rsid w:val="00841F87"/>
    <w:rsid w:val="00842939"/>
    <w:rsid w:val="00842DAD"/>
    <w:rsid w:val="008434B8"/>
    <w:rsid w:val="00843AE3"/>
    <w:rsid w:val="00844BFF"/>
    <w:rsid w:val="00845B62"/>
    <w:rsid w:val="00845F17"/>
    <w:rsid w:val="0084679E"/>
    <w:rsid w:val="00847436"/>
    <w:rsid w:val="00847969"/>
    <w:rsid w:val="0085035D"/>
    <w:rsid w:val="00850610"/>
    <w:rsid w:val="00850D3D"/>
    <w:rsid w:val="00851393"/>
    <w:rsid w:val="008515C8"/>
    <w:rsid w:val="00851C24"/>
    <w:rsid w:val="008538A4"/>
    <w:rsid w:val="00853A86"/>
    <w:rsid w:val="00853D8E"/>
    <w:rsid w:val="00854539"/>
    <w:rsid w:val="0085508A"/>
    <w:rsid w:val="008554C5"/>
    <w:rsid w:val="00855724"/>
    <w:rsid w:val="008558DE"/>
    <w:rsid w:val="008558EB"/>
    <w:rsid w:val="00856437"/>
    <w:rsid w:val="00856491"/>
    <w:rsid w:val="00856CE5"/>
    <w:rsid w:val="0086012E"/>
    <w:rsid w:val="00861553"/>
    <w:rsid w:val="0086179C"/>
    <w:rsid w:val="00862399"/>
    <w:rsid w:val="008628B5"/>
    <w:rsid w:val="00863375"/>
    <w:rsid w:val="00863E65"/>
    <w:rsid w:val="0086426D"/>
    <w:rsid w:val="00864280"/>
    <w:rsid w:val="00865348"/>
    <w:rsid w:val="008654F2"/>
    <w:rsid w:val="00865700"/>
    <w:rsid w:val="00865762"/>
    <w:rsid w:val="00865D3D"/>
    <w:rsid w:val="008665FF"/>
    <w:rsid w:val="00866BFE"/>
    <w:rsid w:val="00871511"/>
    <w:rsid w:val="0087172E"/>
    <w:rsid w:val="00871771"/>
    <w:rsid w:val="008724DB"/>
    <w:rsid w:val="00872BD4"/>
    <w:rsid w:val="008730E4"/>
    <w:rsid w:val="008737C0"/>
    <w:rsid w:val="00873E4A"/>
    <w:rsid w:val="0087447D"/>
    <w:rsid w:val="008754F7"/>
    <w:rsid w:val="0087590B"/>
    <w:rsid w:val="00875EC7"/>
    <w:rsid w:val="008762AC"/>
    <w:rsid w:val="00876743"/>
    <w:rsid w:val="00876C26"/>
    <w:rsid w:val="00877A80"/>
    <w:rsid w:val="00877B13"/>
    <w:rsid w:val="00880018"/>
    <w:rsid w:val="008807AE"/>
    <w:rsid w:val="008814AA"/>
    <w:rsid w:val="00882B56"/>
    <w:rsid w:val="008832DB"/>
    <w:rsid w:val="00883398"/>
    <w:rsid w:val="00883FC0"/>
    <w:rsid w:val="00884003"/>
    <w:rsid w:val="00884405"/>
    <w:rsid w:val="00884BF1"/>
    <w:rsid w:val="00884E79"/>
    <w:rsid w:val="008856A5"/>
    <w:rsid w:val="008857EB"/>
    <w:rsid w:val="00885BB4"/>
    <w:rsid w:val="00885CA8"/>
    <w:rsid w:val="008875EB"/>
    <w:rsid w:val="0089029E"/>
    <w:rsid w:val="0089051F"/>
    <w:rsid w:val="00891666"/>
    <w:rsid w:val="00892E67"/>
    <w:rsid w:val="00893BCA"/>
    <w:rsid w:val="00893CB7"/>
    <w:rsid w:val="00894F4F"/>
    <w:rsid w:val="00895677"/>
    <w:rsid w:val="008957BF"/>
    <w:rsid w:val="00895A33"/>
    <w:rsid w:val="00896001"/>
    <w:rsid w:val="00896082"/>
    <w:rsid w:val="00896133"/>
    <w:rsid w:val="008963D9"/>
    <w:rsid w:val="008975DF"/>
    <w:rsid w:val="008978AE"/>
    <w:rsid w:val="00897AFA"/>
    <w:rsid w:val="00897DAA"/>
    <w:rsid w:val="00897F93"/>
    <w:rsid w:val="008A0437"/>
    <w:rsid w:val="008A0485"/>
    <w:rsid w:val="008A0F5A"/>
    <w:rsid w:val="008A1E0D"/>
    <w:rsid w:val="008A1FF2"/>
    <w:rsid w:val="008A226B"/>
    <w:rsid w:val="008A2630"/>
    <w:rsid w:val="008A2E47"/>
    <w:rsid w:val="008A32FD"/>
    <w:rsid w:val="008A4236"/>
    <w:rsid w:val="008A4315"/>
    <w:rsid w:val="008A4723"/>
    <w:rsid w:val="008A52EF"/>
    <w:rsid w:val="008A5900"/>
    <w:rsid w:val="008A5F7D"/>
    <w:rsid w:val="008A6518"/>
    <w:rsid w:val="008A68F5"/>
    <w:rsid w:val="008A6CF8"/>
    <w:rsid w:val="008A796A"/>
    <w:rsid w:val="008A7C79"/>
    <w:rsid w:val="008A7FB8"/>
    <w:rsid w:val="008B0B67"/>
    <w:rsid w:val="008B16B8"/>
    <w:rsid w:val="008B26CB"/>
    <w:rsid w:val="008B2981"/>
    <w:rsid w:val="008B2D8F"/>
    <w:rsid w:val="008B39FD"/>
    <w:rsid w:val="008B4019"/>
    <w:rsid w:val="008B4B7C"/>
    <w:rsid w:val="008B4F9F"/>
    <w:rsid w:val="008B579B"/>
    <w:rsid w:val="008B59B1"/>
    <w:rsid w:val="008B6E16"/>
    <w:rsid w:val="008B70AA"/>
    <w:rsid w:val="008C02DC"/>
    <w:rsid w:val="008C0E1B"/>
    <w:rsid w:val="008C0E26"/>
    <w:rsid w:val="008C0F66"/>
    <w:rsid w:val="008C0FCC"/>
    <w:rsid w:val="008C1094"/>
    <w:rsid w:val="008C1143"/>
    <w:rsid w:val="008C1814"/>
    <w:rsid w:val="008C1C0D"/>
    <w:rsid w:val="008C1E6E"/>
    <w:rsid w:val="008C237F"/>
    <w:rsid w:val="008C2B66"/>
    <w:rsid w:val="008C2CD8"/>
    <w:rsid w:val="008C3BA6"/>
    <w:rsid w:val="008C489A"/>
    <w:rsid w:val="008C48F5"/>
    <w:rsid w:val="008C4CE4"/>
    <w:rsid w:val="008C4EB8"/>
    <w:rsid w:val="008C58AA"/>
    <w:rsid w:val="008C5943"/>
    <w:rsid w:val="008C5986"/>
    <w:rsid w:val="008C5C1A"/>
    <w:rsid w:val="008C6B49"/>
    <w:rsid w:val="008C7228"/>
    <w:rsid w:val="008C7401"/>
    <w:rsid w:val="008C7DAF"/>
    <w:rsid w:val="008D0851"/>
    <w:rsid w:val="008D0A52"/>
    <w:rsid w:val="008D0C24"/>
    <w:rsid w:val="008D1726"/>
    <w:rsid w:val="008D1876"/>
    <w:rsid w:val="008D20D1"/>
    <w:rsid w:val="008D24CC"/>
    <w:rsid w:val="008D2A54"/>
    <w:rsid w:val="008D2D0C"/>
    <w:rsid w:val="008D3E22"/>
    <w:rsid w:val="008D4B32"/>
    <w:rsid w:val="008D4E0D"/>
    <w:rsid w:val="008D4F2D"/>
    <w:rsid w:val="008D5415"/>
    <w:rsid w:val="008D59EE"/>
    <w:rsid w:val="008D5E27"/>
    <w:rsid w:val="008D6091"/>
    <w:rsid w:val="008D672C"/>
    <w:rsid w:val="008D6AF4"/>
    <w:rsid w:val="008D6B55"/>
    <w:rsid w:val="008D7C7A"/>
    <w:rsid w:val="008E00CB"/>
    <w:rsid w:val="008E0173"/>
    <w:rsid w:val="008E01A1"/>
    <w:rsid w:val="008E03B0"/>
    <w:rsid w:val="008E0BF8"/>
    <w:rsid w:val="008E145F"/>
    <w:rsid w:val="008E20BD"/>
    <w:rsid w:val="008E25A1"/>
    <w:rsid w:val="008E304E"/>
    <w:rsid w:val="008E346B"/>
    <w:rsid w:val="008E38FE"/>
    <w:rsid w:val="008E3E37"/>
    <w:rsid w:val="008E43BC"/>
    <w:rsid w:val="008E4D48"/>
    <w:rsid w:val="008E50C6"/>
    <w:rsid w:val="008E572D"/>
    <w:rsid w:val="008E576A"/>
    <w:rsid w:val="008E5824"/>
    <w:rsid w:val="008E5CDA"/>
    <w:rsid w:val="008E616B"/>
    <w:rsid w:val="008E6388"/>
    <w:rsid w:val="008E643D"/>
    <w:rsid w:val="008E65DE"/>
    <w:rsid w:val="008E756E"/>
    <w:rsid w:val="008F1FBE"/>
    <w:rsid w:val="008F20F5"/>
    <w:rsid w:val="008F2CC5"/>
    <w:rsid w:val="008F2EB5"/>
    <w:rsid w:val="008F46A3"/>
    <w:rsid w:val="008F4EB5"/>
    <w:rsid w:val="008F4F88"/>
    <w:rsid w:val="008F59CD"/>
    <w:rsid w:val="008F5C18"/>
    <w:rsid w:val="008F603E"/>
    <w:rsid w:val="008F6396"/>
    <w:rsid w:val="008F64A5"/>
    <w:rsid w:val="008F6D64"/>
    <w:rsid w:val="008F6E62"/>
    <w:rsid w:val="008F7873"/>
    <w:rsid w:val="008F7B3D"/>
    <w:rsid w:val="008F7F19"/>
    <w:rsid w:val="0090022D"/>
    <w:rsid w:val="009007BF"/>
    <w:rsid w:val="00900C13"/>
    <w:rsid w:val="00902060"/>
    <w:rsid w:val="00903544"/>
    <w:rsid w:val="009036C4"/>
    <w:rsid w:val="0090494D"/>
    <w:rsid w:val="00904C33"/>
    <w:rsid w:val="00905880"/>
    <w:rsid w:val="00905E4F"/>
    <w:rsid w:val="00905EA5"/>
    <w:rsid w:val="00906281"/>
    <w:rsid w:val="0090662D"/>
    <w:rsid w:val="00906A7A"/>
    <w:rsid w:val="00906F0C"/>
    <w:rsid w:val="009078E3"/>
    <w:rsid w:val="00907DF8"/>
    <w:rsid w:val="0091105D"/>
    <w:rsid w:val="00911BE6"/>
    <w:rsid w:val="0091241B"/>
    <w:rsid w:val="009128CE"/>
    <w:rsid w:val="009133A4"/>
    <w:rsid w:val="0091397B"/>
    <w:rsid w:val="00914570"/>
    <w:rsid w:val="009149C7"/>
    <w:rsid w:val="00914AAE"/>
    <w:rsid w:val="00914F17"/>
    <w:rsid w:val="0091591A"/>
    <w:rsid w:val="00916CB6"/>
    <w:rsid w:val="00916DF1"/>
    <w:rsid w:val="00917135"/>
    <w:rsid w:val="00917952"/>
    <w:rsid w:val="009208DE"/>
    <w:rsid w:val="0092113D"/>
    <w:rsid w:val="009213BA"/>
    <w:rsid w:val="00921D26"/>
    <w:rsid w:val="0092218A"/>
    <w:rsid w:val="0092275A"/>
    <w:rsid w:val="00922D1F"/>
    <w:rsid w:val="00922F4E"/>
    <w:rsid w:val="0092323F"/>
    <w:rsid w:val="009233C5"/>
    <w:rsid w:val="00923CBA"/>
    <w:rsid w:val="009247BA"/>
    <w:rsid w:val="009249BF"/>
    <w:rsid w:val="00924D99"/>
    <w:rsid w:val="00925124"/>
    <w:rsid w:val="00925375"/>
    <w:rsid w:val="00925488"/>
    <w:rsid w:val="00926EE7"/>
    <w:rsid w:val="0093081E"/>
    <w:rsid w:val="00930EDB"/>
    <w:rsid w:val="00931414"/>
    <w:rsid w:val="00931435"/>
    <w:rsid w:val="00931709"/>
    <w:rsid w:val="00931866"/>
    <w:rsid w:val="00931BBA"/>
    <w:rsid w:val="009325FB"/>
    <w:rsid w:val="00933B94"/>
    <w:rsid w:val="00933D79"/>
    <w:rsid w:val="009361D0"/>
    <w:rsid w:val="00936F80"/>
    <w:rsid w:val="0093733C"/>
    <w:rsid w:val="00940109"/>
    <w:rsid w:val="0094088B"/>
    <w:rsid w:val="009409D2"/>
    <w:rsid w:val="00940F23"/>
    <w:rsid w:val="00941244"/>
    <w:rsid w:val="00941718"/>
    <w:rsid w:val="00941913"/>
    <w:rsid w:val="0094544E"/>
    <w:rsid w:val="00946A4B"/>
    <w:rsid w:val="009473FB"/>
    <w:rsid w:val="00947D0B"/>
    <w:rsid w:val="00951052"/>
    <w:rsid w:val="0095124E"/>
    <w:rsid w:val="00951C8F"/>
    <w:rsid w:val="00952476"/>
    <w:rsid w:val="009524F9"/>
    <w:rsid w:val="00952A31"/>
    <w:rsid w:val="00952F89"/>
    <w:rsid w:val="009533D9"/>
    <w:rsid w:val="009539D2"/>
    <w:rsid w:val="0095454F"/>
    <w:rsid w:val="00955698"/>
    <w:rsid w:val="00955AF0"/>
    <w:rsid w:val="009560BE"/>
    <w:rsid w:val="009562CC"/>
    <w:rsid w:val="0095669C"/>
    <w:rsid w:val="0095762F"/>
    <w:rsid w:val="00957D56"/>
    <w:rsid w:val="00957DEE"/>
    <w:rsid w:val="009601B1"/>
    <w:rsid w:val="009603BA"/>
    <w:rsid w:val="00961B0D"/>
    <w:rsid w:val="009626F9"/>
    <w:rsid w:val="0096331E"/>
    <w:rsid w:val="00963378"/>
    <w:rsid w:val="009639D1"/>
    <w:rsid w:val="00964A93"/>
    <w:rsid w:val="00964BA9"/>
    <w:rsid w:val="0096507C"/>
    <w:rsid w:val="009657B4"/>
    <w:rsid w:val="00966C41"/>
    <w:rsid w:val="00966CDE"/>
    <w:rsid w:val="00967086"/>
    <w:rsid w:val="009677CA"/>
    <w:rsid w:val="00970FCF"/>
    <w:rsid w:val="009710F2"/>
    <w:rsid w:val="0097199F"/>
    <w:rsid w:val="00971D44"/>
    <w:rsid w:val="0097225D"/>
    <w:rsid w:val="00972E62"/>
    <w:rsid w:val="0097368D"/>
    <w:rsid w:val="0097382A"/>
    <w:rsid w:val="00973A73"/>
    <w:rsid w:val="00974242"/>
    <w:rsid w:val="00974736"/>
    <w:rsid w:val="00975563"/>
    <w:rsid w:val="00975906"/>
    <w:rsid w:val="00975D44"/>
    <w:rsid w:val="00975E70"/>
    <w:rsid w:val="00976271"/>
    <w:rsid w:val="0097659B"/>
    <w:rsid w:val="00977299"/>
    <w:rsid w:val="0097780C"/>
    <w:rsid w:val="0097786D"/>
    <w:rsid w:val="00977A3D"/>
    <w:rsid w:val="009802DF"/>
    <w:rsid w:val="0098064E"/>
    <w:rsid w:val="00980CA3"/>
    <w:rsid w:val="00980E78"/>
    <w:rsid w:val="0098195B"/>
    <w:rsid w:val="00981F2E"/>
    <w:rsid w:val="009841D2"/>
    <w:rsid w:val="00985376"/>
    <w:rsid w:val="00985B7B"/>
    <w:rsid w:val="00985BCE"/>
    <w:rsid w:val="00985D7B"/>
    <w:rsid w:val="00986C4C"/>
    <w:rsid w:val="00986E84"/>
    <w:rsid w:val="009875E1"/>
    <w:rsid w:val="00987ABD"/>
    <w:rsid w:val="009906B5"/>
    <w:rsid w:val="00990EBC"/>
    <w:rsid w:val="00991BCA"/>
    <w:rsid w:val="00992339"/>
    <w:rsid w:val="00992F22"/>
    <w:rsid w:val="009935C4"/>
    <w:rsid w:val="009941E4"/>
    <w:rsid w:val="009947CD"/>
    <w:rsid w:val="00994D6C"/>
    <w:rsid w:val="00994DA6"/>
    <w:rsid w:val="00995089"/>
    <w:rsid w:val="00995C33"/>
    <w:rsid w:val="00996394"/>
    <w:rsid w:val="00996415"/>
    <w:rsid w:val="0099731A"/>
    <w:rsid w:val="00997E63"/>
    <w:rsid w:val="009A03DA"/>
    <w:rsid w:val="009A0715"/>
    <w:rsid w:val="009A099D"/>
    <w:rsid w:val="009A135B"/>
    <w:rsid w:val="009A1E0D"/>
    <w:rsid w:val="009A21F8"/>
    <w:rsid w:val="009A24AE"/>
    <w:rsid w:val="009A28A5"/>
    <w:rsid w:val="009A3010"/>
    <w:rsid w:val="009A3040"/>
    <w:rsid w:val="009A406B"/>
    <w:rsid w:val="009A4B91"/>
    <w:rsid w:val="009A505F"/>
    <w:rsid w:val="009A5135"/>
    <w:rsid w:val="009A5FFB"/>
    <w:rsid w:val="009A621B"/>
    <w:rsid w:val="009A66A5"/>
    <w:rsid w:val="009B0085"/>
    <w:rsid w:val="009B0333"/>
    <w:rsid w:val="009B0C01"/>
    <w:rsid w:val="009B0EFF"/>
    <w:rsid w:val="009B1295"/>
    <w:rsid w:val="009B23FF"/>
    <w:rsid w:val="009B472F"/>
    <w:rsid w:val="009B552B"/>
    <w:rsid w:val="009B57A1"/>
    <w:rsid w:val="009B5936"/>
    <w:rsid w:val="009B5977"/>
    <w:rsid w:val="009B6567"/>
    <w:rsid w:val="009B6723"/>
    <w:rsid w:val="009B6739"/>
    <w:rsid w:val="009B69A8"/>
    <w:rsid w:val="009B6AF8"/>
    <w:rsid w:val="009B7DB6"/>
    <w:rsid w:val="009C00FC"/>
    <w:rsid w:val="009C18D0"/>
    <w:rsid w:val="009C1A1A"/>
    <w:rsid w:val="009C1A36"/>
    <w:rsid w:val="009C2038"/>
    <w:rsid w:val="009C220F"/>
    <w:rsid w:val="009C3713"/>
    <w:rsid w:val="009C4878"/>
    <w:rsid w:val="009C58FA"/>
    <w:rsid w:val="009C592B"/>
    <w:rsid w:val="009C5AE1"/>
    <w:rsid w:val="009C644E"/>
    <w:rsid w:val="009D1122"/>
    <w:rsid w:val="009D1414"/>
    <w:rsid w:val="009D17CA"/>
    <w:rsid w:val="009D1852"/>
    <w:rsid w:val="009D2A84"/>
    <w:rsid w:val="009D34D7"/>
    <w:rsid w:val="009D3834"/>
    <w:rsid w:val="009D39E4"/>
    <w:rsid w:val="009D3BB9"/>
    <w:rsid w:val="009D44D7"/>
    <w:rsid w:val="009D4B7C"/>
    <w:rsid w:val="009D5D38"/>
    <w:rsid w:val="009D7B46"/>
    <w:rsid w:val="009E18EB"/>
    <w:rsid w:val="009E1EB4"/>
    <w:rsid w:val="009E30DF"/>
    <w:rsid w:val="009E4168"/>
    <w:rsid w:val="009E4338"/>
    <w:rsid w:val="009E453A"/>
    <w:rsid w:val="009E4646"/>
    <w:rsid w:val="009E5106"/>
    <w:rsid w:val="009E6906"/>
    <w:rsid w:val="009E6EFE"/>
    <w:rsid w:val="009E794E"/>
    <w:rsid w:val="009F0C5F"/>
    <w:rsid w:val="009F144F"/>
    <w:rsid w:val="009F1980"/>
    <w:rsid w:val="009F19D9"/>
    <w:rsid w:val="009F1D6D"/>
    <w:rsid w:val="009F1EDF"/>
    <w:rsid w:val="009F3284"/>
    <w:rsid w:val="009F351E"/>
    <w:rsid w:val="009F3EF3"/>
    <w:rsid w:val="009F490C"/>
    <w:rsid w:val="009F4CDB"/>
    <w:rsid w:val="009F522E"/>
    <w:rsid w:val="009F699A"/>
    <w:rsid w:val="009F6DAF"/>
    <w:rsid w:val="009F73AA"/>
    <w:rsid w:val="00A00683"/>
    <w:rsid w:val="00A00DBF"/>
    <w:rsid w:val="00A00E04"/>
    <w:rsid w:val="00A016C2"/>
    <w:rsid w:val="00A01D68"/>
    <w:rsid w:val="00A0200A"/>
    <w:rsid w:val="00A02271"/>
    <w:rsid w:val="00A039EB"/>
    <w:rsid w:val="00A047A4"/>
    <w:rsid w:val="00A04982"/>
    <w:rsid w:val="00A04B9F"/>
    <w:rsid w:val="00A0522A"/>
    <w:rsid w:val="00A069E2"/>
    <w:rsid w:val="00A06FD1"/>
    <w:rsid w:val="00A07D6D"/>
    <w:rsid w:val="00A10720"/>
    <w:rsid w:val="00A11701"/>
    <w:rsid w:val="00A11EEE"/>
    <w:rsid w:val="00A1298E"/>
    <w:rsid w:val="00A13EAB"/>
    <w:rsid w:val="00A14164"/>
    <w:rsid w:val="00A144F1"/>
    <w:rsid w:val="00A14EE8"/>
    <w:rsid w:val="00A15268"/>
    <w:rsid w:val="00A158EF"/>
    <w:rsid w:val="00A16E58"/>
    <w:rsid w:val="00A1713E"/>
    <w:rsid w:val="00A175F7"/>
    <w:rsid w:val="00A1786C"/>
    <w:rsid w:val="00A20396"/>
    <w:rsid w:val="00A203FE"/>
    <w:rsid w:val="00A20874"/>
    <w:rsid w:val="00A20C66"/>
    <w:rsid w:val="00A20EDF"/>
    <w:rsid w:val="00A219C2"/>
    <w:rsid w:val="00A22155"/>
    <w:rsid w:val="00A22210"/>
    <w:rsid w:val="00A2253F"/>
    <w:rsid w:val="00A22C07"/>
    <w:rsid w:val="00A2370E"/>
    <w:rsid w:val="00A248B4"/>
    <w:rsid w:val="00A249D3"/>
    <w:rsid w:val="00A2503E"/>
    <w:rsid w:val="00A260BB"/>
    <w:rsid w:val="00A27DAF"/>
    <w:rsid w:val="00A311B5"/>
    <w:rsid w:val="00A32AB1"/>
    <w:rsid w:val="00A32CE9"/>
    <w:rsid w:val="00A361B0"/>
    <w:rsid w:val="00A368DD"/>
    <w:rsid w:val="00A36BBA"/>
    <w:rsid w:val="00A36E6D"/>
    <w:rsid w:val="00A3720A"/>
    <w:rsid w:val="00A3727B"/>
    <w:rsid w:val="00A37320"/>
    <w:rsid w:val="00A37814"/>
    <w:rsid w:val="00A37D82"/>
    <w:rsid w:val="00A4033B"/>
    <w:rsid w:val="00A40E56"/>
    <w:rsid w:val="00A423E6"/>
    <w:rsid w:val="00A42467"/>
    <w:rsid w:val="00A42977"/>
    <w:rsid w:val="00A42DCF"/>
    <w:rsid w:val="00A42F33"/>
    <w:rsid w:val="00A4362D"/>
    <w:rsid w:val="00A43BB2"/>
    <w:rsid w:val="00A44548"/>
    <w:rsid w:val="00A44A32"/>
    <w:rsid w:val="00A45172"/>
    <w:rsid w:val="00A457B9"/>
    <w:rsid w:val="00A45960"/>
    <w:rsid w:val="00A45DCB"/>
    <w:rsid w:val="00A462A0"/>
    <w:rsid w:val="00A464BA"/>
    <w:rsid w:val="00A47E91"/>
    <w:rsid w:val="00A50057"/>
    <w:rsid w:val="00A5035B"/>
    <w:rsid w:val="00A50BB2"/>
    <w:rsid w:val="00A51E50"/>
    <w:rsid w:val="00A52822"/>
    <w:rsid w:val="00A52E1F"/>
    <w:rsid w:val="00A534B7"/>
    <w:rsid w:val="00A53B06"/>
    <w:rsid w:val="00A547DF"/>
    <w:rsid w:val="00A54923"/>
    <w:rsid w:val="00A549E4"/>
    <w:rsid w:val="00A54CC1"/>
    <w:rsid w:val="00A55116"/>
    <w:rsid w:val="00A5564D"/>
    <w:rsid w:val="00A564B3"/>
    <w:rsid w:val="00A56A50"/>
    <w:rsid w:val="00A56EAC"/>
    <w:rsid w:val="00A57026"/>
    <w:rsid w:val="00A57BB3"/>
    <w:rsid w:val="00A60E56"/>
    <w:rsid w:val="00A61619"/>
    <w:rsid w:val="00A61D46"/>
    <w:rsid w:val="00A61DA9"/>
    <w:rsid w:val="00A61E76"/>
    <w:rsid w:val="00A61EAC"/>
    <w:rsid w:val="00A6281E"/>
    <w:rsid w:val="00A63A24"/>
    <w:rsid w:val="00A63ACE"/>
    <w:rsid w:val="00A63C3D"/>
    <w:rsid w:val="00A64FC1"/>
    <w:rsid w:val="00A65506"/>
    <w:rsid w:val="00A655F3"/>
    <w:rsid w:val="00A6573D"/>
    <w:rsid w:val="00A65E58"/>
    <w:rsid w:val="00A664CD"/>
    <w:rsid w:val="00A668C2"/>
    <w:rsid w:val="00A6697F"/>
    <w:rsid w:val="00A672A7"/>
    <w:rsid w:val="00A67D80"/>
    <w:rsid w:val="00A7037B"/>
    <w:rsid w:val="00A707DE"/>
    <w:rsid w:val="00A708A1"/>
    <w:rsid w:val="00A7140D"/>
    <w:rsid w:val="00A71755"/>
    <w:rsid w:val="00A7221E"/>
    <w:rsid w:val="00A72558"/>
    <w:rsid w:val="00A72889"/>
    <w:rsid w:val="00A72E20"/>
    <w:rsid w:val="00A741AB"/>
    <w:rsid w:val="00A75519"/>
    <w:rsid w:val="00A75A85"/>
    <w:rsid w:val="00A76AA7"/>
    <w:rsid w:val="00A77036"/>
    <w:rsid w:val="00A772F4"/>
    <w:rsid w:val="00A8015A"/>
    <w:rsid w:val="00A805B0"/>
    <w:rsid w:val="00A807BB"/>
    <w:rsid w:val="00A80815"/>
    <w:rsid w:val="00A811A4"/>
    <w:rsid w:val="00A81E90"/>
    <w:rsid w:val="00A829D6"/>
    <w:rsid w:val="00A82D12"/>
    <w:rsid w:val="00A830C0"/>
    <w:rsid w:val="00A833DB"/>
    <w:rsid w:val="00A83F6F"/>
    <w:rsid w:val="00A84064"/>
    <w:rsid w:val="00A840FB"/>
    <w:rsid w:val="00A84552"/>
    <w:rsid w:val="00A84D98"/>
    <w:rsid w:val="00A85046"/>
    <w:rsid w:val="00A85251"/>
    <w:rsid w:val="00A857F8"/>
    <w:rsid w:val="00A86772"/>
    <w:rsid w:val="00A9021C"/>
    <w:rsid w:val="00A90D99"/>
    <w:rsid w:val="00A90E70"/>
    <w:rsid w:val="00A91233"/>
    <w:rsid w:val="00A912E7"/>
    <w:rsid w:val="00A92E44"/>
    <w:rsid w:val="00A92EC0"/>
    <w:rsid w:val="00A938D8"/>
    <w:rsid w:val="00A94B25"/>
    <w:rsid w:val="00A957C8"/>
    <w:rsid w:val="00A96BBD"/>
    <w:rsid w:val="00A97012"/>
    <w:rsid w:val="00A97835"/>
    <w:rsid w:val="00A97FBB"/>
    <w:rsid w:val="00AA011E"/>
    <w:rsid w:val="00AA1DEE"/>
    <w:rsid w:val="00AA20B1"/>
    <w:rsid w:val="00AA20BB"/>
    <w:rsid w:val="00AA2406"/>
    <w:rsid w:val="00AA2480"/>
    <w:rsid w:val="00AA319D"/>
    <w:rsid w:val="00AA3F98"/>
    <w:rsid w:val="00AA4983"/>
    <w:rsid w:val="00AA4B85"/>
    <w:rsid w:val="00AA5E09"/>
    <w:rsid w:val="00AA6555"/>
    <w:rsid w:val="00AA6CEF"/>
    <w:rsid w:val="00AA7CF2"/>
    <w:rsid w:val="00AA7DBC"/>
    <w:rsid w:val="00AB0CA3"/>
    <w:rsid w:val="00AB145F"/>
    <w:rsid w:val="00AB26FD"/>
    <w:rsid w:val="00AB2DAD"/>
    <w:rsid w:val="00AB31CA"/>
    <w:rsid w:val="00AB3223"/>
    <w:rsid w:val="00AB5E5B"/>
    <w:rsid w:val="00AB6E65"/>
    <w:rsid w:val="00AB76E6"/>
    <w:rsid w:val="00AC0853"/>
    <w:rsid w:val="00AC193F"/>
    <w:rsid w:val="00AC1994"/>
    <w:rsid w:val="00AC1BD7"/>
    <w:rsid w:val="00AC1E1D"/>
    <w:rsid w:val="00AC1E76"/>
    <w:rsid w:val="00AC2183"/>
    <w:rsid w:val="00AC23E5"/>
    <w:rsid w:val="00AC4B19"/>
    <w:rsid w:val="00AC6D31"/>
    <w:rsid w:val="00AC71F4"/>
    <w:rsid w:val="00AC782C"/>
    <w:rsid w:val="00AC7BAE"/>
    <w:rsid w:val="00AD0B42"/>
    <w:rsid w:val="00AD0C51"/>
    <w:rsid w:val="00AD1089"/>
    <w:rsid w:val="00AD10F1"/>
    <w:rsid w:val="00AD1100"/>
    <w:rsid w:val="00AD1875"/>
    <w:rsid w:val="00AD1C5D"/>
    <w:rsid w:val="00AD2C0F"/>
    <w:rsid w:val="00AD33C2"/>
    <w:rsid w:val="00AD3806"/>
    <w:rsid w:val="00AD452A"/>
    <w:rsid w:val="00AD6530"/>
    <w:rsid w:val="00AD7DD7"/>
    <w:rsid w:val="00AE0B2F"/>
    <w:rsid w:val="00AE1771"/>
    <w:rsid w:val="00AE17D5"/>
    <w:rsid w:val="00AE298E"/>
    <w:rsid w:val="00AE30C0"/>
    <w:rsid w:val="00AE3363"/>
    <w:rsid w:val="00AE3F96"/>
    <w:rsid w:val="00AE42CE"/>
    <w:rsid w:val="00AE46AF"/>
    <w:rsid w:val="00AE46E2"/>
    <w:rsid w:val="00AE4D80"/>
    <w:rsid w:val="00AE5900"/>
    <w:rsid w:val="00AE649B"/>
    <w:rsid w:val="00AE6BF1"/>
    <w:rsid w:val="00AE7112"/>
    <w:rsid w:val="00AE7303"/>
    <w:rsid w:val="00AE75AC"/>
    <w:rsid w:val="00AE768D"/>
    <w:rsid w:val="00AE7D29"/>
    <w:rsid w:val="00AE7DC7"/>
    <w:rsid w:val="00AF04CF"/>
    <w:rsid w:val="00AF081D"/>
    <w:rsid w:val="00AF0BFD"/>
    <w:rsid w:val="00AF0C61"/>
    <w:rsid w:val="00AF0DE3"/>
    <w:rsid w:val="00AF124A"/>
    <w:rsid w:val="00AF1554"/>
    <w:rsid w:val="00AF31DA"/>
    <w:rsid w:val="00AF324B"/>
    <w:rsid w:val="00AF347C"/>
    <w:rsid w:val="00AF381A"/>
    <w:rsid w:val="00AF4726"/>
    <w:rsid w:val="00AF57E6"/>
    <w:rsid w:val="00AF59B6"/>
    <w:rsid w:val="00AF5BC4"/>
    <w:rsid w:val="00AF6077"/>
    <w:rsid w:val="00AF6C33"/>
    <w:rsid w:val="00AF6F22"/>
    <w:rsid w:val="00AF75D1"/>
    <w:rsid w:val="00AF7B63"/>
    <w:rsid w:val="00AF7EDA"/>
    <w:rsid w:val="00B008DE"/>
    <w:rsid w:val="00B00B59"/>
    <w:rsid w:val="00B00F82"/>
    <w:rsid w:val="00B03126"/>
    <w:rsid w:val="00B03A0A"/>
    <w:rsid w:val="00B05929"/>
    <w:rsid w:val="00B05B38"/>
    <w:rsid w:val="00B06278"/>
    <w:rsid w:val="00B06A68"/>
    <w:rsid w:val="00B06D0A"/>
    <w:rsid w:val="00B06D21"/>
    <w:rsid w:val="00B06FB2"/>
    <w:rsid w:val="00B07381"/>
    <w:rsid w:val="00B078E7"/>
    <w:rsid w:val="00B10932"/>
    <w:rsid w:val="00B11BED"/>
    <w:rsid w:val="00B122C2"/>
    <w:rsid w:val="00B12307"/>
    <w:rsid w:val="00B1361A"/>
    <w:rsid w:val="00B13902"/>
    <w:rsid w:val="00B1416F"/>
    <w:rsid w:val="00B147CC"/>
    <w:rsid w:val="00B15096"/>
    <w:rsid w:val="00B150FB"/>
    <w:rsid w:val="00B15666"/>
    <w:rsid w:val="00B15F2F"/>
    <w:rsid w:val="00B163F6"/>
    <w:rsid w:val="00B167E0"/>
    <w:rsid w:val="00B16858"/>
    <w:rsid w:val="00B16ACD"/>
    <w:rsid w:val="00B17964"/>
    <w:rsid w:val="00B17DBF"/>
    <w:rsid w:val="00B20B40"/>
    <w:rsid w:val="00B20B41"/>
    <w:rsid w:val="00B210A0"/>
    <w:rsid w:val="00B21AD3"/>
    <w:rsid w:val="00B22533"/>
    <w:rsid w:val="00B229E3"/>
    <w:rsid w:val="00B22EB0"/>
    <w:rsid w:val="00B22FE6"/>
    <w:rsid w:val="00B24B73"/>
    <w:rsid w:val="00B24F9A"/>
    <w:rsid w:val="00B2525E"/>
    <w:rsid w:val="00B253D3"/>
    <w:rsid w:val="00B256AF"/>
    <w:rsid w:val="00B258CA"/>
    <w:rsid w:val="00B25B51"/>
    <w:rsid w:val="00B2648C"/>
    <w:rsid w:val="00B26BB3"/>
    <w:rsid w:val="00B26F9E"/>
    <w:rsid w:val="00B3043D"/>
    <w:rsid w:val="00B30607"/>
    <w:rsid w:val="00B30B23"/>
    <w:rsid w:val="00B30E6C"/>
    <w:rsid w:val="00B311DA"/>
    <w:rsid w:val="00B3168F"/>
    <w:rsid w:val="00B31FD7"/>
    <w:rsid w:val="00B32D9E"/>
    <w:rsid w:val="00B3307F"/>
    <w:rsid w:val="00B3314A"/>
    <w:rsid w:val="00B3518E"/>
    <w:rsid w:val="00B35B96"/>
    <w:rsid w:val="00B35BFB"/>
    <w:rsid w:val="00B35DC7"/>
    <w:rsid w:val="00B361EA"/>
    <w:rsid w:val="00B36566"/>
    <w:rsid w:val="00B366A3"/>
    <w:rsid w:val="00B36D43"/>
    <w:rsid w:val="00B37D20"/>
    <w:rsid w:val="00B37EBF"/>
    <w:rsid w:val="00B403A0"/>
    <w:rsid w:val="00B40738"/>
    <w:rsid w:val="00B40AD6"/>
    <w:rsid w:val="00B40FCA"/>
    <w:rsid w:val="00B411F0"/>
    <w:rsid w:val="00B41327"/>
    <w:rsid w:val="00B426E0"/>
    <w:rsid w:val="00B43200"/>
    <w:rsid w:val="00B44826"/>
    <w:rsid w:val="00B45328"/>
    <w:rsid w:val="00B4631B"/>
    <w:rsid w:val="00B4669F"/>
    <w:rsid w:val="00B47BF7"/>
    <w:rsid w:val="00B50B16"/>
    <w:rsid w:val="00B50DC5"/>
    <w:rsid w:val="00B51802"/>
    <w:rsid w:val="00B52399"/>
    <w:rsid w:val="00B5297D"/>
    <w:rsid w:val="00B52BD2"/>
    <w:rsid w:val="00B53195"/>
    <w:rsid w:val="00B533B1"/>
    <w:rsid w:val="00B535D4"/>
    <w:rsid w:val="00B53F1C"/>
    <w:rsid w:val="00B53FA8"/>
    <w:rsid w:val="00B55426"/>
    <w:rsid w:val="00B556EB"/>
    <w:rsid w:val="00B55982"/>
    <w:rsid w:val="00B55A93"/>
    <w:rsid w:val="00B56A2B"/>
    <w:rsid w:val="00B56A57"/>
    <w:rsid w:val="00B56C14"/>
    <w:rsid w:val="00B56C92"/>
    <w:rsid w:val="00B5791F"/>
    <w:rsid w:val="00B602B0"/>
    <w:rsid w:val="00B60636"/>
    <w:rsid w:val="00B606EB"/>
    <w:rsid w:val="00B61F75"/>
    <w:rsid w:val="00B62AD0"/>
    <w:rsid w:val="00B63704"/>
    <w:rsid w:val="00B63A31"/>
    <w:rsid w:val="00B643A4"/>
    <w:rsid w:val="00B64671"/>
    <w:rsid w:val="00B64C39"/>
    <w:rsid w:val="00B65229"/>
    <w:rsid w:val="00B65F29"/>
    <w:rsid w:val="00B65FE0"/>
    <w:rsid w:val="00B66098"/>
    <w:rsid w:val="00B6698C"/>
    <w:rsid w:val="00B66C30"/>
    <w:rsid w:val="00B701A4"/>
    <w:rsid w:val="00B70344"/>
    <w:rsid w:val="00B708DC"/>
    <w:rsid w:val="00B71563"/>
    <w:rsid w:val="00B71EBB"/>
    <w:rsid w:val="00B7239C"/>
    <w:rsid w:val="00B72806"/>
    <w:rsid w:val="00B729C9"/>
    <w:rsid w:val="00B7305D"/>
    <w:rsid w:val="00B735E5"/>
    <w:rsid w:val="00B739C3"/>
    <w:rsid w:val="00B73CD4"/>
    <w:rsid w:val="00B73FD7"/>
    <w:rsid w:val="00B73FDB"/>
    <w:rsid w:val="00B7457D"/>
    <w:rsid w:val="00B74811"/>
    <w:rsid w:val="00B7482A"/>
    <w:rsid w:val="00B7490A"/>
    <w:rsid w:val="00B74AA6"/>
    <w:rsid w:val="00B74C64"/>
    <w:rsid w:val="00B7564F"/>
    <w:rsid w:val="00B757E7"/>
    <w:rsid w:val="00B758A6"/>
    <w:rsid w:val="00B7595C"/>
    <w:rsid w:val="00B7646C"/>
    <w:rsid w:val="00B767C9"/>
    <w:rsid w:val="00B771BB"/>
    <w:rsid w:val="00B77EB0"/>
    <w:rsid w:val="00B80A10"/>
    <w:rsid w:val="00B81087"/>
    <w:rsid w:val="00B81A02"/>
    <w:rsid w:val="00B81A0F"/>
    <w:rsid w:val="00B83502"/>
    <w:rsid w:val="00B83C96"/>
    <w:rsid w:val="00B843F9"/>
    <w:rsid w:val="00B84642"/>
    <w:rsid w:val="00B84BB5"/>
    <w:rsid w:val="00B84DF3"/>
    <w:rsid w:val="00B84E72"/>
    <w:rsid w:val="00B856CA"/>
    <w:rsid w:val="00B85878"/>
    <w:rsid w:val="00B85D27"/>
    <w:rsid w:val="00B872FB"/>
    <w:rsid w:val="00B876EC"/>
    <w:rsid w:val="00B914BD"/>
    <w:rsid w:val="00B92D17"/>
    <w:rsid w:val="00B93A5B"/>
    <w:rsid w:val="00B9471A"/>
    <w:rsid w:val="00B94B06"/>
    <w:rsid w:val="00B94D74"/>
    <w:rsid w:val="00B94FCE"/>
    <w:rsid w:val="00B95620"/>
    <w:rsid w:val="00B96036"/>
    <w:rsid w:val="00B96071"/>
    <w:rsid w:val="00B96FB5"/>
    <w:rsid w:val="00B97E05"/>
    <w:rsid w:val="00BA0791"/>
    <w:rsid w:val="00BA16FD"/>
    <w:rsid w:val="00BA2D23"/>
    <w:rsid w:val="00BA30E2"/>
    <w:rsid w:val="00BA30F7"/>
    <w:rsid w:val="00BA3671"/>
    <w:rsid w:val="00BA3952"/>
    <w:rsid w:val="00BA4638"/>
    <w:rsid w:val="00BA4918"/>
    <w:rsid w:val="00BA4AB1"/>
    <w:rsid w:val="00BA4F93"/>
    <w:rsid w:val="00BA51AF"/>
    <w:rsid w:val="00BA5A69"/>
    <w:rsid w:val="00BA5A7D"/>
    <w:rsid w:val="00BA5E94"/>
    <w:rsid w:val="00BA5F37"/>
    <w:rsid w:val="00BA6147"/>
    <w:rsid w:val="00BA6A3F"/>
    <w:rsid w:val="00BA6AB0"/>
    <w:rsid w:val="00BA6DF5"/>
    <w:rsid w:val="00BA753B"/>
    <w:rsid w:val="00BA7702"/>
    <w:rsid w:val="00BA7BEE"/>
    <w:rsid w:val="00BB023D"/>
    <w:rsid w:val="00BB053E"/>
    <w:rsid w:val="00BB069E"/>
    <w:rsid w:val="00BB0BE4"/>
    <w:rsid w:val="00BB0CE4"/>
    <w:rsid w:val="00BB1501"/>
    <w:rsid w:val="00BB18AA"/>
    <w:rsid w:val="00BB2A85"/>
    <w:rsid w:val="00BB3390"/>
    <w:rsid w:val="00BB36B9"/>
    <w:rsid w:val="00BB38BC"/>
    <w:rsid w:val="00BB38DF"/>
    <w:rsid w:val="00BB40C2"/>
    <w:rsid w:val="00BB42FE"/>
    <w:rsid w:val="00BB449B"/>
    <w:rsid w:val="00BB462A"/>
    <w:rsid w:val="00BB51DF"/>
    <w:rsid w:val="00BB5E7F"/>
    <w:rsid w:val="00BB62DF"/>
    <w:rsid w:val="00BB71DE"/>
    <w:rsid w:val="00BB79C1"/>
    <w:rsid w:val="00BC0E71"/>
    <w:rsid w:val="00BC21FC"/>
    <w:rsid w:val="00BC32DD"/>
    <w:rsid w:val="00BC3F05"/>
    <w:rsid w:val="00BC457A"/>
    <w:rsid w:val="00BC4B9C"/>
    <w:rsid w:val="00BC4BE4"/>
    <w:rsid w:val="00BC4D27"/>
    <w:rsid w:val="00BC53F2"/>
    <w:rsid w:val="00BC556F"/>
    <w:rsid w:val="00BC5A33"/>
    <w:rsid w:val="00BC5E75"/>
    <w:rsid w:val="00BC5EC5"/>
    <w:rsid w:val="00BC5FB3"/>
    <w:rsid w:val="00BC6273"/>
    <w:rsid w:val="00BC6539"/>
    <w:rsid w:val="00BC6D0F"/>
    <w:rsid w:val="00BC7AD4"/>
    <w:rsid w:val="00BC7E1C"/>
    <w:rsid w:val="00BC7E84"/>
    <w:rsid w:val="00BC7F1C"/>
    <w:rsid w:val="00BD03F0"/>
    <w:rsid w:val="00BD07B0"/>
    <w:rsid w:val="00BD0AFA"/>
    <w:rsid w:val="00BD0B3F"/>
    <w:rsid w:val="00BD1012"/>
    <w:rsid w:val="00BD13D7"/>
    <w:rsid w:val="00BD1706"/>
    <w:rsid w:val="00BD1A19"/>
    <w:rsid w:val="00BD1FEB"/>
    <w:rsid w:val="00BD288C"/>
    <w:rsid w:val="00BD2E33"/>
    <w:rsid w:val="00BD427C"/>
    <w:rsid w:val="00BD48EE"/>
    <w:rsid w:val="00BD5009"/>
    <w:rsid w:val="00BD53DC"/>
    <w:rsid w:val="00BD5A5D"/>
    <w:rsid w:val="00BD5B9C"/>
    <w:rsid w:val="00BD64E9"/>
    <w:rsid w:val="00BD65EE"/>
    <w:rsid w:val="00BD66BC"/>
    <w:rsid w:val="00BD730B"/>
    <w:rsid w:val="00BE03D4"/>
    <w:rsid w:val="00BE044A"/>
    <w:rsid w:val="00BE07D4"/>
    <w:rsid w:val="00BE09DE"/>
    <w:rsid w:val="00BE0A61"/>
    <w:rsid w:val="00BE0BDE"/>
    <w:rsid w:val="00BE0D10"/>
    <w:rsid w:val="00BE0E1A"/>
    <w:rsid w:val="00BE1091"/>
    <w:rsid w:val="00BE19D9"/>
    <w:rsid w:val="00BE1BCE"/>
    <w:rsid w:val="00BE1E2F"/>
    <w:rsid w:val="00BE1EBF"/>
    <w:rsid w:val="00BE21CC"/>
    <w:rsid w:val="00BE2E1B"/>
    <w:rsid w:val="00BE32E5"/>
    <w:rsid w:val="00BE3A54"/>
    <w:rsid w:val="00BE4085"/>
    <w:rsid w:val="00BE4131"/>
    <w:rsid w:val="00BE44D7"/>
    <w:rsid w:val="00BE4AA5"/>
    <w:rsid w:val="00BE4FDE"/>
    <w:rsid w:val="00BE763A"/>
    <w:rsid w:val="00BE7F7A"/>
    <w:rsid w:val="00BF047E"/>
    <w:rsid w:val="00BF0D35"/>
    <w:rsid w:val="00BF1A55"/>
    <w:rsid w:val="00BF207E"/>
    <w:rsid w:val="00BF20E3"/>
    <w:rsid w:val="00BF2124"/>
    <w:rsid w:val="00BF2A19"/>
    <w:rsid w:val="00BF309D"/>
    <w:rsid w:val="00BF3178"/>
    <w:rsid w:val="00BF33AA"/>
    <w:rsid w:val="00BF37A9"/>
    <w:rsid w:val="00BF55CD"/>
    <w:rsid w:val="00BF573C"/>
    <w:rsid w:val="00BF6E27"/>
    <w:rsid w:val="00BF7662"/>
    <w:rsid w:val="00BF7960"/>
    <w:rsid w:val="00BF7F1C"/>
    <w:rsid w:val="00BF7FFB"/>
    <w:rsid w:val="00C00068"/>
    <w:rsid w:val="00C0030B"/>
    <w:rsid w:val="00C0047E"/>
    <w:rsid w:val="00C00690"/>
    <w:rsid w:val="00C00CE6"/>
    <w:rsid w:val="00C01542"/>
    <w:rsid w:val="00C01AA9"/>
    <w:rsid w:val="00C01E22"/>
    <w:rsid w:val="00C01F5D"/>
    <w:rsid w:val="00C021A5"/>
    <w:rsid w:val="00C02AEC"/>
    <w:rsid w:val="00C04247"/>
    <w:rsid w:val="00C043D1"/>
    <w:rsid w:val="00C045D4"/>
    <w:rsid w:val="00C05411"/>
    <w:rsid w:val="00C0600D"/>
    <w:rsid w:val="00C07F44"/>
    <w:rsid w:val="00C07FE8"/>
    <w:rsid w:val="00C102C0"/>
    <w:rsid w:val="00C10388"/>
    <w:rsid w:val="00C10BDD"/>
    <w:rsid w:val="00C10D2A"/>
    <w:rsid w:val="00C11739"/>
    <w:rsid w:val="00C121CA"/>
    <w:rsid w:val="00C1248B"/>
    <w:rsid w:val="00C12709"/>
    <w:rsid w:val="00C12C6D"/>
    <w:rsid w:val="00C13799"/>
    <w:rsid w:val="00C140BA"/>
    <w:rsid w:val="00C15A82"/>
    <w:rsid w:val="00C161BF"/>
    <w:rsid w:val="00C1693D"/>
    <w:rsid w:val="00C169EF"/>
    <w:rsid w:val="00C16F3B"/>
    <w:rsid w:val="00C17229"/>
    <w:rsid w:val="00C207EF"/>
    <w:rsid w:val="00C2151D"/>
    <w:rsid w:val="00C21E21"/>
    <w:rsid w:val="00C2359F"/>
    <w:rsid w:val="00C23F14"/>
    <w:rsid w:val="00C245CA"/>
    <w:rsid w:val="00C24F3C"/>
    <w:rsid w:val="00C25640"/>
    <w:rsid w:val="00C26080"/>
    <w:rsid w:val="00C271F9"/>
    <w:rsid w:val="00C30430"/>
    <w:rsid w:val="00C30C07"/>
    <w:rsid w:val="00C323E7"/>
    <w:rsid w:val="00C32418"/>
    <w:rsid w:val="00C324CC"/>
    <w:rsid w:val="00C325BD"/>
    <w:rsid w:val="00C326BD"/>
    <w:rsid w:val="00C33022"/>
    <w:rsid w:val="00C34FD9"/>
    <w:rsid w:val="00C355E6"/>
    <w:rsid w:val="00C3632C"/>
    <w:rsid w:val="00C36373"/>
    <w:rsid w:val="00C36400"/>
    <w:rsid w:val="00C3749D"/>
    <w:rsid w:val="00C3782B"/>
    <w:rsid w:val="00C3783B"/>
    <w:rsid w:val="00C37B99"/>
    <w:rsid w:val="00C37BA1"/>
    <w:rsid w:val="00C37FA2"/>
    <w:rsid w:val="00C37FFE"/>
    <w:rsid w:val="00C40256"/>
    <w:rsid w:val="00C40729"/>
    <w:rsid w:val="00C408DA"/>
    <w:rsid w:val="00C409C3"/>
    <w:rsid w:val="00C415C0"/>
    <w:rsid w:val="00C419AF"/>
    <w:rsid w:val="00C41C57"/>
    <w:rsid w:val="00C420B6"/>
    <w:rsid w:val="00C42898"/>
    <w:rsid w:val="00C42DBF"/>
    <w:rsid w:val="00C4408A"/>
    <w:rsid w:val="00C440D6"/>
    <w:rsid w:val="00C4460D"/>
    <w:rsid w:val="00C44A6A"/>
    <w:rsid w:val="00C44EFB"/>
    <w:rsid w:val="00C45447"/>
    <w:rsid w:val="00C456FA"/>
    <w:rsid w:val="00C45711"/>
    <w:rsid w:val="00C45BC7"/>
    <w:rsid w:val="00C45BD5"/>
    <w:rsid w:val="00C4643F"/>
    <w:rsid w:val="00C47159"/>
    <w:rsid w:val="00C47AB5"/>
    <w:rsid w:val="00C47D41"/>
    <w:rsid w:val="00C5081A"/>
    <w:rsid w:val="00C50C4F"/>
    <w:rsid w:val="00C50C8C"/>
    <w:rsid w:val="00C51BC6"/>
    <w:rsid w:val="00C52ACB"/>
    <w:rsid w:val="00C52DCA"/>
    <w:rsid w:val="00C53BEE"/>
    <w:rsid w:val="00C53E16"/>
    <w:rsid w:val="00C53F91"/>
    <w:rsid w:val="00C542B4"/>
    <w:rsid w:val="00C5439D"/>
    <w:rsid w:val="00C543FD"/>
    <w:rsid w:val="00C5458D"/>
    <w:rsid w:val="00C54D51"/>
    <w:rsid w:val="00C54F15"/>
    <w:rsid w:val="00C55129"/>
    <w:rsid w:val="00C553C5"/>
    <w:rsid w:val="00C553DE"/>
    <w:rsid w:val="00C554B0"/>
    <w:rsid w:val="00C55675"/>
    <w:rsid w:val="00C55A69"/>
    <w:rsid w:val="00C55A84"/>
    <w:rsid w:val="00C55A92"/>
    <w:rsid w:val="00C567B0"/>
    <w:rsid w:val="00C56B4D"/>
    <w:rsid w:val="00C56E32"/>
    <w:rsid w:val="00C57199"/>
    <w:rsid w:val="00C5779F"/>
    <w:rsid w:val="00C57FA6"/>
    <w:rsid w:val="00C60DF6"/>
    <w:rsid w:val="00C61C05"/>
    <w:rsid w:val="00C63610"/>
    <w:rsid w:val="00C636AC"/>
    <w:rsid w:val="00C63856"/>
    <w:rsid w:val="00C63E42"/>
    <w:rsid w:val="00C64432"/>
    <w:rsid w:val="00C6483C"/>
    <w:rsid w:val="00C649AD"/>
    <w:rsid w:val="00C64A6F"/>
    <w:rsid w:val="00C6531D"/>
    <w:rsid w:val="00C65373"/>
    <w:rsid w:val="00C6705E"/>
    <w:rsid w:val="00C7078D"/>
    <w:rsid w:val="00C70944"/>
    <w:rsid w:val="00C70ABD"/>
    <w:rsid w:val="00C70AFF"/>
    <w:rsid w:val="00C715F2"/>
    <w:rsid w:val="00C71E06"/>
    <w:rsid w:val="00C71E20"/>
    <w:rsid w:val="00C731BD"/>
    <w:rsid w:val="00C73D4A"/>
    <w:rsid w:val="00C74990"/>
    <w:rsid w:val="00C76102"/>
    <w:rsid w:val="00C76338"/>
    <w:rsid w:val="00C7655C"/>
    <w:rsid w:val="00C766CD"/>
    <w:rsid w:val="00C76717"/>
    <w:rsid w:val="00C76DF9"/>
    <w:rsid w:val="00C77479"/>
    <w:rsid w:val="00C77491"/>
    <w:rsid w:val="00C80056"/>
    <w:rsid w:val="00C802E9"/>
    <w:rsid w:val="00C809CC"/>
    <w:rsid w:val="00C81209"/>
    <w:rsid w:val="00C81C25"/>
    <w:rsid w:val="00C81D42"/>
    <w:rsid w:val="00C83BE5"/>
    <w:rsid w:val="00C83D04"/>
    <w:rsid w:val="00C841E5"/>
    <w:rsid w:val="00C84547"/>
    <w:rsid w:val="00C84675"/>
    <w:rsid w:val="00C856E0"/>
    <w:rsid w:val="00C85A68"/>
    <w:rsid w:val="00C85F1E"/>
    <w:rsid w:val="00C86B52"/>
    <w:rsid w:val="00C87446"/>
    <w:rsid w:val="00C87699"/>
    <w:rsid w:val="00C87BB5"/>
    <w:rsid w:val="00C87DBA"/>
    <w:rsid w:val="00C90754"/>
    <w:rsid w:val="00C9095D"/>
    <w:rsid w:val="00C90C5F"/>
    <w:rsid w:val="00C92070"/>
    <w:rsid w:val="00C92C2B"/>
    <w:rsid w:val="00C92D88"/>
    <w:rsid w:val="00C936A2"/>
    <w:rsid w:val="00C9400F"/>
    <w:rsid w:val="00C941C2"/>
    <w:rsid w:val="00C9430E"/>
    <w:rsid w:val="00C943FB"/>
    <w:rsid w:val="00C947AF"/>
    <w:rsid w:val="00C954C1"/>
    <w:rsid w:val="00C9584E"/>
    <w:rsid w:val="00C95CD2"/>
    <w:rsid w:val="00C95EE2"/>
    <w:rsid w:val="00C96A73"/>
    <w:rsid w:val="00C96C26"/>
    <w:rsid w:val="00C97728"/>
    <w:rsid w:val="00C97C8A"/>
    <w:rsid w:val="00CA0DFF"/>
    <w:rsid w:val="00CA1BC5"/>
    <w:rsid w:val="00CA1CD6"/>
    <w:rsid w:val="00CA1DCD"/>
    <w:rsid w:val="00CA1E0C"/>
    <w:rsid w:val="00CA320B"/>
    <w:rsid w:val="00CA3392"/>
    <w:rsid w:val="00CA349E"/>
    <w:rsid w:val="00CA35EE"/>
    <w:rsid w:val="00CA366C"/>
    <w:rsid w:val="00CA3994"/>
    <w:rsid w:val="00CA399E"/>
    <w:rsid w:val="00CA4635"/>
    <w:rsid w:val="00CA4C5F"/>
    <w:rsid w:val="00CA59DB"/>
    <w:rsid w:val="00CA664A"/>
    <w:rsid w:val="00CA6B28"/>
    <w:rsid w:val="00CA787C"/>
    <w:rsid w:val="00CB0EE1"/>
    <w:rsid w:val="00CB1555"/>
    <w:rsid w:val="00CB1F61"/>
    <w:rsid w:val="00CB21DE"/>
    <w:rsid w:val="00CB25F2"/>
    <w:rsid w:val="00CB4048"/>
    <w:rsid w:val="00CB4CF6"/>
    <w:rsid w:val="00CB4F54"/>
    <w:rsid w:val="00CB50D2"/>
    <w:rsid w:val="00CB53BA"/>
    <w:rsid w:val="00CB574A"/>
    <w:rsid w:val="00CB6704"/>
    <w:rsid w:val="00CB772F"/>
    <w:rsid w:val="00CB77A2"/>
    <w:rsid w:val="00CC0063"/>
    <w:rsid w:val="00CC013F"/>
    <w:rsid w:val="00CC04A5"/>
    <w:rsid w:val="00CC0590"/>
    <w:rsid w:val="00CC147B"/>
    <w:rsid w:val="00CC250A"/>
    <w:rsid w:val="00CC269D"/>
    <w:rsid w:val="00CC314E"/>
    <w:rsid w:val="00CC35A0"/>
    <w:rsid w:val="00CC3D16"/>
    <w:rsid w:val="00CC4177"/>
    <w:rsid w:val="00CC4814"/>
    <w:rsid w:val="00CC522F"/>
    <w:rsid w:val="00CC57A4"/>
    <w:rsid w:val="00CC59EE"/>
    <w:rsid w:val="00CC5A44"/>
    <w:rsid w:val="00CC5BB3"/>
    <w:rsid w:val="00CC5D19"/>
    <w:rsid w:val="00CC5D4B"/>
    <w:rsid w:val="00CC6256"/>
    <w:rsid w:val="00CC62F4"/>
    <w:rsid w:val="00CC6F11"/>
    <w:rsid w:val="00CD079C"/>
    <w:rsid w:val="00CD07BF"/>
    <w:rsid w:val="00CD11DA"/>
    <w:rsid w:val="00CD1ADC"/>
    <w:rsid w:val="00CD1C50"/>
    <w:rsid w:val="00CD21CD"/>
    <w:rsid w:val="00CD34C4"/>
    <w:rsid w:val="00CD35B4"/>
    <w:rsid w:val="00CD3840"/>
    <w:rsid w:val="00CD52B1"/>
    <w:rsid w:val="00CD5578"/>
    <w:rsid w:val="00CD5779"/>
    <w:rsid w:val="00CD7222"/>
    <w:rsid w:val="00CE0A7D"/>
    <w:rsid w:val="00CE1CD0"/>
    <w:rsid w:val="00CE28A7"/>
    <w:rsid w:val="00CE3816"/>
    <w:rsid w:val="00CE3C02"/>
    <w:rsid w:val="00CE44A4"/>
    <w:rsid w:val="00CE4646"/>
    <w:rsid w:val="00CE52CD"/>
    <w:rsid w:val="00CE5F31"/>
    <w:rsid w:val="00CE60D5"/>
    <w:rsid w:val="00CE66E6"/>
    <w:rsid w:val="00CE6701"/>
    <w:rsid w:val="00CE69A5"/>
    <w:rsid w:val="00CE75A1"/>
    <w:rsid w:val="00CE7B34"/>
    <w:rsid w:val="00CE7C96"/>
    <w:rsid w:val="00CE7D24"/>
    <w:rsid w:val="00CF048E"/>
    <w:rsid w:val="00CF0DD8"/>
    <w:rsid w:val="00CF0F4E"/>
    <w:rsid w:val="00CF1103"/>
    <w:rsid w:val="00CF1327"/>
    <w:rsid w:val="00CF2584"/>
    <w:rsid w:val="00CF2734"/>
    <w:rsid w:val="00CF33F5"/>
    <w:rsid w:val="00CF3777"/>
    <w:rsid w:val="00CF37B4"/>
    <w:rsid w:val="00CF399F"/>
    <w:rsid w:val="00CF4041"/>
    <w:rsid w:val="00CF4711"/>
    <w:rsid w:val="00CF5047"/>
    <w:rsid w:val="00CF51A1"/>
    <w:rsid w:val="00CF5492"/>
    <w:rsid w:val="00CF5AFB"/>
    <w:rsid w:val="00CF5F04"/>
    <w:rsid w:val="00CF5F89"/>
    <w:rsid w:val="00CF7C7B"/>
    <w:rsid w:val="00CF7D9E"/>
    <w:rsid w:val="00D001F7"/>
    <w:rsid w:val="00D00267"/>
    <w:rsid w:val="00D01493"/>
    <w:rsid w:val="00D01495"/>
    <w:rsid w:val="00D01CCF"/>
    <w:rsid w:val="00D023FF"/>
    <w:rsid w:val="00D03079"/>
    <w:rsid w:val="00D04481"/>
    <w:rsid w:val="00D050AD"/>
    <w:rsid w:val="00D074B6"/>
    <w:rsid w:val="00D07F68"/>
    <w:rsid w:val="00D10032"/>
    <w:rsid w:val="00D1047E"/>
    <w:rsid w:val="00D104E1"/>
    <w:rsid w:val="00D10B2D"/>
    <w:rsid w:val="00D1108B"/>
    <w:rsid w:val="00D110D6"/>
    <w:rsid w:val="00D13F0F"/>
    <w:rsid w:val="00D142AB"/>
    <w:rsid w:val="00D14CB9"/>
    <w:rsid w:val="00D14CF0"/>
    <w:rsid w:val="00D1551E"/>
    <w:rsid w:val="00D155FB"/>
    <w:rsid w:val="00D15FD5"/>
    <w:rsid w:val="00D1647A"/>
    <w:rsid w:val="00D16B2E"/>
    <w:rsid w:val="00D178A8"/>
    <w:rsid w:val="00D20717"/>
    <w:rsid w:val="00D21331"/>
    <w:rsid w:val="00D214E0"/>
    <w:rsid w:val="00D2231A"/>
    <w:rsid w:val="00D22681"/>
    <w:rsid w:val="00D22916"/>
    <w:rsid w:val="00D2426D"/>
    <w:rsid w:val="00D24B7C"/>
    <w:rsid w:val="00D2656F"/>
    <w:rsid w:val="00D26803"/>
    <w:rsid w:val="00D306DC"/>
    <w:rsid w:val="00D30B53"/>
    <w:rsid w:val="00D31875"/>
    <w:rsid w:val="00D32484"/>
    <w:rsid w:val="00D3265E"/>
    <w:rsid w:val="00D331AD"/>
    <w:rsid w:val="00D335D0"/>
    <w:rsid w:val="00D33F39"/>
    <w:rsid w:val="00D34336"/>
    <w:rsid w:val="00D346CA"/>
    <w:rsid w:val="00D3496B"/>
    <w:rsid w:val="00D34A91"/>
    <w:rsid w:val="00D359D9"/>
    <w:rsid w:val="00D361F4"/>
    <w:rsid w:val="00D36B42"/>
    <w:rsid w:val="00D36C16"/>
    <w:rsid w:val="00D3765D"/>
    <w:rsid w:val="00D404C3"/>
    <w:rsid w:val="00D43340"/>
    <w:rsid w:val="00D43A92"/>
    <w:rsid w:val="00D43DDC"/>
    <w:rsid w:val="00D43F02"/>
    <w:rsid w:val="00D4430A"/>
    <w:rsid w:val="00D44800"/>
    <w:rsid w:val="00D46000"/>
    <w:rsid w:val="00D46086"/>
    <w:rsid w:val="00D460DB"/>
    <w:rsid w:val="00D462A7"/>
    <w:rsid w:val="00D4634E"/>
    <w:rsid w:val="00D474FC"/>
    <w:rsid w:val="00D476BB"/>
    <w:rsid w:val="00D512BE"/>
    <w:rsid w:val="00D51D68"/>
    <w:rsid w:val="00D52C2C"/>
    <w:rsid w:val="00D531A3"/>
    <w:rsid w:val="00D5390F"/>
    <w:rsid w:val="00D546F1"/>
    <w:rsid w:val="00D56215"/>
    <w:rsid w:val="00D57228"/>
    <w:rsid w:val="00D5755A"/>
    <w:rsid w:val="00D57A7D"/>
    <w:rsid w:val="00D60275"/>
    <w:rsid w:val="00D60372"/>
    <w:rsid w:val="00D6090F"/>
    <w:rsid w:val="00D60CEE"/>
    <w:rsid w:val="00D60D2E"/>
    <w:rsid w:val="00D60D6E"/>
    <w:rsid w:val="00D62FC8"/>
    <w:rsid w:val="00D638F9"/>
    <w:rsid w:val="00D63D7E"/>
    <w:rsid w:val="00D63EB4"/>
    <w:rsid w:val="00D6400F"/>
    <w:rsid w:val="00D65A0F"/>
    <w:rsid w:val="00D6780D"/>
    <w:rsid w:val="00D67BA5"/>
    <w:rsid w:val="00D67BDC"/>
    <w:rsid w:val="00D703CA"/>
    <w:rsid w:val="00D70AC3"/>
    <w:rsid w:val="00D71132"/>
    <w:rsid w:val="00D711BF"/>
    <w:rsid w:val="00D7122D"/>
    <w:rsid w:val="00D73788"/>
    <w:rsid w:val="00D73AA4"/>
    <w:rsid w:val="00D74248"/>
    <w:rsid w:val="00D742BF"/>
    <w:rsid w:val="00D742FB"/>
    <w:rsid w:val="00D74B81"/>
    <w:rsid w:val="00D751A1"/>
    <w:rsid w:val="00D75BF0"/>
    <w:rsid w:val="00D75EB2"/>
    <w:rsid w:val="00D761D9"/>
    <w:rsid w:val="00D76252"/>
    <w:rsid w:val="00D767A0"/>
    <w:rsid w:val="00D769DA"/>
    <w:rsid w:val="00D77287"/>
    <w:rsid w:val="00D773CE"/>
    <w:rsid w:val="00D777A3"/>
    <w:rsid w:val="00D7793A"/>
    <w:rsid w:val="00D811F3"/>
    <w:rsid w:val="00D813F0"/>
    <w:rsid w:val="00D82D8D"/>
    <w:rsid w:val="00D83936"/>
    <w:rsid w:val="00D83C0C"/>
    <w:rsid w:val="00D84EB1"/>
    <w:rsid w:val="00D85022"/>
    <w:rsid w:val="00D8574F"/>
    <w:rsid w:val="00D86043"/>
    <w:rsid w:val="00D86D92"/>
    <w:rsid w:val="00D86E0F"/>
    <w:rsid w:val="00D87909"/>
    <w:rsid w:val="00D879F5"/>
    <w:rsid w:val="00D9051A"/>
    <w:rsid w:val="00D9076A"/>
    <w:rsid w:val="00D90CD1"/>
    <w:rsid w:val="00D910B7"/>
    <w:rsid w:val="00D910D2"/>
    <w:rsid w:val="00D9124D"/>
    <w:rsid w:val="00D91427"/>
    <w:rsid w:val="00D91EF1"/>
    <w:rsid w:val="00D920D1"/>
    <w:rsid w:val="00D935A9"/>
    <w:rsid w:val="00D938D6"/>
    <w:rsid w:val="00D944DC"/>
    <w:rsid w:val="00D947E5"/>
    <w:rsid w:val="00D953B2"/>
    <w:rsid w:val="00D954CD"/>
    <w:rsid w:val="00D957EC"/>
    <w:rsid w:val="00D95BC9"/>
    <w:rsid w:val="00D95FFB"/>
    <w:rsid w:val="00D9607C"/>
    <w:rsid w:val="00D9613B"/>
    <w:rsid w:val="00DA1B6F"/>
    <w:rsid w:val="00DA2F21"/>
    <w:rsid w:val="00DA4402"/>
    <w:rsid w:val="00DA48B4"/>
    <w:rsid w:val="00DA4A75"/>
    <w:rsid w:val="00DA570D"/>
    <w:rsid w:val="00DA6F0F"/>
    <w:rsid w:val="00DA731B"/>
    <w:rsid w:val="00DA7919"/>
    <w:rsid w:val="00DA7A41"/>
    <w:rsid w:val="00DB076A"/>
    <w:rsid w:val="00DB082D"/>
    <w:rsid w:val="00DB096D"/>
    <w:rsid w:val="00DB1180"/>
    <w:rsid w:val="00DB1DCA"/>
    <w:rsid w:val="00DB2E36"/>
    <w:rsid w:val="00DB31EE"/>
    <w:rsid w:val="00DB351B"/>
    <w:rsid w:val="00DB3974"/>
    <w:rsid w:val="00DB3D56"/>
    <w:rsid w:val="00DB3F1B"/>
    <w:rsid w:val="00DB4DE4"/>
    <w:rsid w:val="00DB521C"/>
    <w:rsid w:val="00DB54F3"/>
    <w:rsid w:val="00DB5ECA"/>
    <w:rsid w:val="00DB60DF"/>
    <w:rsid w:val="00DB6162"/>
    <w:rsid w:val="00DB68BF"/>
    <w:rsid w:val="00DB7369"/>
    <w:rsid w:val="00DB7513"/>
    <w:rsid w:val="00DC021C"/>
    <w:rsid w:val="00DC167D"/>
    <w:rsid w:val="00DC16D0"/>
    <w:rsid w:val="00DC1803"/>
    <w:rsid w:val="00DC4264"/>
    <w:rsid w:val="00DC42FE"/>
    <w:rsid w:val="00DC4997"/>
    <w:rsid w:val="00DC4D00"/>
    <w:rsid w:val="00DC5EE4"/>
    <w:rsid w:val="00DC6A63"/>
    <w:rsid w:val="00DC6F89"/>
    <w:rsid w:val="00DC7BA3"/>
    <w:rsid w:val="00DC7D00"/>
    <w:rsid w:val="00DD0977"/>
    <w:rsid w:val="00DD29A8"/>
    <w:rsid w:val="00DD450F"/>
    <w:rsid w:val="00DD47AD"/>
    <w:rsid w:val="00DD5410"/>
    <w:rsid w:val="00DD6395"/>
    <w:rsid w:val="00DD697C"/>
    <w:rsid w:val="00DD69B9"/>
    <w:rsid w:val="00DD703B"/>
    <w:rsid w:val="00DE042A"/>
    <w:rsid w:val="00DE163F"/>
    <w:rsid w:val="00DE251D"/>
    <w:rsid w:val="00DE2BE9"/>
    <w:rsid w:val="00DE2DD5"/>
    <w:rsid w:val="00DE37AD"/>
    <w:rsid w:val="00DE50C4"/>
    <w:rsid w:val="00DE5AFE"/>
    <w:rsid w:val="00DE5BEB"/>
    <w:rsid w:val="00DE5D69"/>
    <w:rsid w:val="00DE63D7"/>
    <w:rsid w:val="00DE71B1"/>
    <w:rsid w:val="00DE7213"/>
    <w:rsid w:val="00DE7231"/>
    <w:rsid w:val="00DE7E87"/>
    <w:rsid w:val="00DF08D9"/>
    <w:rsid w:val="00DF0B5E"/>
    <w:rsid w:val="00DF1AEC"/>
    <w:rsid w:val="00DF1E31"/>
    <w:rsid w:val="00DF1E4E"/>
    <w:rsid w:val="00DF2237"/>
    <w:rsid w:val="00DF2430"/>
    <w:rsid w:val="00DF2756"/>
    <w:rsid w:val="00DF350F"/>
    <w:rsid w:val="00DF3B60"/>
    <w:rsid w:val="00DF3D29"/>
    <w:rsid w:val="00DF472E"/>
    <w:rsid w:val="00DF4D9A"/>
    <w:rsid w:val="00DF540C"/>
    <w:rsid w:val="00DF554B"/>
    <w:rsid w:val="00DF55F4"/>
    <w:rsid w:val="00DF59E8"/>
    <w:rsid w:val="00DF5A00"/>
    <w:rsid w:val="00DF5A2A"/>
    <w:rsid w:val="00DF6091"/>
    <w:rsid w:val="00DF694F"/>
    <w:rsid w:val="00DF69F3"/>
    <w:rsid w:val="00DF6E3C"/>
    <w:rsid w:val="00DF7FCA"/>
    <w:rsid w:val="00E008B0"/>
    <w:rsid w:val="00E00D35"/>
    <w:rsid w:val="00E00EB8"/>
    <w:rsid w:val="00E00FAC"/>
    <w:rsid w:val="00E01933"/>
    <w:rsid w:val="00E01F43"/>
    <w:rsid w:val="00E02190"/>
    <w:rsid w:val="00E027DA"/>
    <w:rsid w:val="00E02B0D"/>
    <w:rsid w:val="00E031FD"/>
    <w:rsid w:val="00E03232"/>
    <w:rsid w:val="00E03519"/>
    <w:rsid w:val="00E0387A"/>
    <w:rsid w:val="00E03F8F"/>
    <w:rsid w:val="00E05592"/>
    <w:rsid w:val="00E05C8C"/>
    <w:rsid w:val="00E05F97"/>
    <w:rsid w:val="00E07201"/>
    <w:rsid w:val="00E07C27"/>
    <w:rsid w:val="00E11ACB"/>
    <w:rsid w:val="00E12792"/>
    <w:rsid w:val="00E13732"/>
    <w:rsid w:val="00E15509"/>
    <w:rsid w:val="00E158AE"/>
    <w:rsid w:val="00E15A27"/>
    <w:rsid w:val="00E16585"/>
    <w:rsid w:val="00E171EE"/>
    <w:rsid w:val="00E175AD"/>
    <w:rsid w:val="00E17609"/>
    <w:rsid w:val="00E176E6"/>
    <w:rsid w:val="00E17A55"/>
    <w:rsid w:val="00E202CE"/>
    <w:rsid w:val="00E2093D"/>
    <w:rsid w:val="00E20F95"/>
    <w:rsid w:val="00E2114E"/>
    <w:rsid w:val="00E21279"/>
    <w:rsid w:val="00E215E3"/>
    <w:rsid w:val="00E2176F"/>
    <w:rsid w:val="00E21A79"/>
    <w:rsid w:val="00E22666"/>
    <w:rsid w:val="00E22BB9"/>
    <w:rsid w:val="00E22C04"/>
    <w:rsid w:val="00E22DBF"/>
    <w:rsid w:val="00E235AB"/>
    <w:rsid w:val="00E23EBE"/>
    <w:rsid w:val="00E24FE1"/>
    <w:rsid w:val="00E256EC"/>
    <w:rsid w:val="00E25D48"/>
    <w:rsid w:val="00E25E57"/>
    <w:rsid w:val="00E26430"/>
    <w:rsid w:val="00E266F2"/>
    <w:rsid w:val="00E3004E"/>
    <w:rsid w:val="00E30E29"/>
    <w:rsid w:val="00E310A3"/>
    <w:rsid w:val="00E31123"/>
    <w:rsid w:val="00E31558"/>
    <w:rsid w:val="00E320DD"/>
    <w:rsid w:val="00E323E2"/>
    <w:rsid w:val="00E3270C"/>
    <w:rsid w:val="00E32BCB"/>
    <w:rsid w:val="00E32FDF"/>
    <w:rsid w:val="00E33382"/>
    <w:rsid w:val="00E333D2"/>
    <w:rsid w:val="00E33985"/>
    <w:rsid w:val="00E33A9D"/>
    <w:rsid w:val="00E33D4D"/>
    <w:rsid w:val="00E34292"/>
    <w:rsid w:val="00E34C5D"/>
    <w:rsid w:val="00E34D41"/>
    <w:rsid w:val="00E35625"/>
    <w:rsid w:val="00E360E3"/>
    <w:rsid w:val="00E36FE5"/>
    <w:rsid w:val="00E37312"/>
    <w:rsid w:val="00E37A5A"/>
    <w:rsid w:val="00E37F88"/>
    <w:rsid w:val="00E40474"/>
    <w:rsid w:val="00E40797"/>
    <w:rsid w:val="00E409F7"/>
    <w:rsid w:val="00E419DB"/>
    <w:rsid w:val="00E427A9"/>
    <w:rsid w:val="00E42E08"/>
    <w:rsid w:val="00E42FAF"/>
    <w:rsid w:val="00E440C1"/>
    <w:rsid w:val="00E4467F"/>
    <w:rsid w:val="00E45BB4"/>
    <w:rsid w:val="00E45EA8"/>
    <w:rsid w:val="00E46457"/>
    <w:rsid w:val="00E466D0"/>
    <w:rsid w:val="00E46770"/>
    <w:rsid w:val="00E46F56"/>
    <w:rsid w:val="00E46FA9"/>
    <w:rsid w:val="00E47702"/>
    <w:rsid w:val="00E4774D"/>
    <w:rsid w:val="00E501B5"/>
    <w:rsid w:val="00E5082C"/>
    <w:rsid w:val="00E50E57"/>
    <w:rsid w:val="00E511E8"/>
    <w:rsid w:val="00E521C8"/>
    <w:rsid w:val="00E53222"/>
    <w:rsid w:val="00E5372E"/>
    <w:rsid w:val="00E53856"/>
    <w:rsid w:val="00E53A47"/>
    <w:rsid w:val="00E543B2"/>
    <w:rsid w:val="00E546AE"/>
    <w:rsid w:val="00E547D2"/>
    <w:rsid w:val="00E55294"/>
    <w:rsid w:val="00E55376"/>
    <w:rsid w:val="00E558A5"/>
    <w:rsid w:val="00E56197"/>
    <w:rsid w:val="00E56C94"/>
    <w:rsid w:val="00E56DBE"/>
    <w:rsid w:val="00E57476"/>
    <w:rsid w:val="00E603CE"/>
    <w:rsid w:val="00E608F4"/>
    <w:rsid w:val="00E6284C"/>
    <w:rsid w:val="00E62B3E"/>
    <w:rsid w:val="00E62CE8"/>
    <w:rsid w:val="00E63213"/>
    <w:rsid w:val="00E63365"/>
    <w:rsid w:val="00E6345C"/>
    <w:rsid w:val="00E63DEE"/>
    <w:rsid w:val="00E63E4D"/>
    <w:rsid w:val="00E6524E"/>
    <w:rsid w:val="00E6580F"/>
    <w:rsid w:val="00E6595F"/>
    <w:rsid w:val="00E6615E"/>
    <w:rsid w:val="00E67D55"/>
    <w:rsid w:val="00E70411"/>
    <w:rsid w:val="00E7079E"/>
    <w:rsid w:val="00E708E0"/>
    <w:rsid w:val="00E70E8A"/>
    <w:rsid w:val="00E70EE9"/>
    <w:rsid w:val="00E72075"/>
    <w:rsid w:val="00E72A7D"/>
    <w:rsid w:val="00E73C25"/>
    <w:rsid w:val="00E74098"/>
    <w:rsid w:val="00E745BB"/>
    <w:rsid w:val="00E7467D"/>
    <w:rsid w:val="00E74FDB"/>
    <w:rsid w:val="00E75699"/>
    <w:rsid w:val="00E757EF"/>
    <w:rsid w:val="00E76BAA"/>
    <w:rsid w:val="00E776F2"/>
    <w:rsid w:val="00E77D1C"/>
    <w:rsid w:val="00E77D54"/>
    <w:rsid w:val="00E801BF"/>
    <w:rsid w:val="00E80AB9"/>
    <w:rsid w:val="00E81497"/>
    <w:rsid w:val="00E8164A"/>
    <w:rsid w:val="00E82916"/>
    <w:rsid w:val="00E82ED8"/>
    <w:rsid w:val="00E8416E"/>
    <w:rsid w:val="00E84A67"/>
    <w:rsid w:val="00E84FC5"/>
    <w:rsid w:val="00E85E19"/>
    <w:rsid w:val="00E8674B"/>
    <w:rsid w:val="00E86D64"/>
    <w:rsid w:val="00E877D4"/>
    <w:rsid w:val="00E87B23"/>
    <w:rsid w:val="00E9143B"/>
    <w:rsid w:val="00E9211F"/>
    <w:rsid w:val="00E9279F"/>
    <w:rsid w:val="00E93AD3"/>
    <w:rsid w:val="00E93AE9"/>
    <w:rsid w:val="00E93CCC"/>
    <w:rsid w:val="00E93F7C"/>
    <w:rsid w:val="00E94ADA"/>
    <w:rsid w:val="00E94B9F"/>
    <w:rsid w:val="00E95C07"/>
    <w:rsid w:val="00E961DE"/>
    <w:rsid w:val="00E965E1"/>
    <w:rsid w:val="00E965ED"/>
    <w:rsid w:val="00E9691E"/>
    <w:rsid w:val="00E976BD"/>
    <w:rsid w:val="00E977C3"/>
    <w:rsid w:val="00E97BF4"/>
    <w:rsid w:val="00E97E2A"/>
    <w:rsid w:val="00EA0062"/>
    <w:rsid w:val="00EA086C"/>
    <w:rsid w:val="00EA0926"/>
    <w:rsid w:val="00EA095D"/>
    <w:rsid w:val="00EA0C05"/>
    <w:rsid w:val="00EA0F38"/>
    <w:rsid w:val="00EA113D"/>
    <w:rsid w:val="00EA3450"/>
    <w:rsid w:val="00EA3952"/>
    <w:rsid w:val="00EA3990"/>
    <w:rsid w:val="00EA3A5D"/>
    <w:rsid w:val="00EA3E50"/>
    <w:rsid w:val="00EA573A"/>
    <w:rsid w:val="00EA5CCC"/>
    <w:rsid w:val="00EA7010"/>
    <w:rsid w:val="00EA71F6"/>
    <w:rsid w:val="00EA757A"/>
    <w:rsid w:val="00EA7BF9"/>
    <w:rsid w:val="00EB00FB"/>
    <w:rsid w:val="00EB0324"/>
    <w:rsid w:val="00EB1C63"/>
    <w:rsid w:val="00EB2195"/>
    <w:rsid w:val="00EB2824"/>
    <w:rsid w:val="00EB2BDC"/>
    <w:rsid w:val="00EB3E93"/>
    <w:rsid w:val="00EB3F53"/>
    <w:rsid w:val="00EB49C0"/>
    <w:rsid w:val="00EB4C0D"/>
    <w:rsid w:val="00EB56B3"/>
    <w:rsid w:val="00EB576F"/>
    <w:rsid w:val="00EB7ACF"/>
    <w:rsid w:val="00EC0E9E"/>
    <w:rsid w:val="00EC11DD"/>
    <w:rsid w:val="00EC1B89"/>
    <w:rsid w:val="00EC2291"/>
    <w:rsid w:val="00EC27E2"/>
    <w:rsid w:val="00EC37C8"/>
    <w:rsid w:val="00EC43E7"/>
    <w:rsid w:val="00EC4506"/>
    <w:rsid w:val="00EC5124"/>
    <w:rsid w:val="00EC52C7"/>
    <w:rsid w:val="00EC5680"/>
    <w:rsid w:val="00EC7A8E"/>
    <w:rsid w:val="00EC7BBD"/>
    <w:rsid w:val="00ED0614"/>
    <w:rsid w:val="00ED0962"/>
    <w:rsid w:val="00ED0A6E"/>
    <w:rsid w:val="00ED0C2F"/>
    <w:rsid w:val="00ED10D2"/>
    <w:rsid w:val="00ED133E"/>
    <w:rsid w:val="00ED2479"/>
    <w:rsid w:val="00ED2CC5"/>
    <w:rsid w:val="00ED3105"/>
    <w:rsid w:val="00ED31A6"/>
    <w:rsid w:val="00ED3B11"/>
    <w:rsid w:val="00ED3C54"/>
    <w:rsid w:val="00ED3E3C"/>
    <w:rsid w:val="00ED411E"/>
    <w:rsid w:val="00ED46B4"/>
    <w:rsid w:val="00ED47E8"/>
    <w:rsid w:val="00ED48D6"/>
    <w:rsid w:val="00ED4D4C"/>
    <w:rsid w:val="00ED5116"/>
    <w:rsid w:val="00ED5994"/>
    <w:rsid w:val="00ED5D45"/>
    <w:rsid w:val="00ED6996"/>
    <w:rsid w:val="00ED6B32"/>
    <w:rsid w:val="00ED6E70"/>
    <w:rsid w:val="00EE0669"/>
    <w:rsid w:val="00EE077A"/>
    <w:rsid w:val="00EE082E"/>
    <w:rsid w:val="00EE0D32"/>
    <w:rsid w:val="00EE0F49"/>
    <w:rsid w:val="00EE1589"/>
    <w:rsid w:val="00EE17BC"/>
    <w:rsid w:val="00EE1DAD"/>
    <w:rsid w:val="00EE1ECF"/>
    <w:rsid w:val="00EE30B9"/>
    <w:rsid w:val="00EE3449"/>
    <w:rsid w:val="00EE3883"/>
    <w:rsid w:val="00EE3CE4"/>
    <w:rsid w:val="00EE3D33"/>
    <w:rsid w:val="00EE547E"/>
    <w:rsid w:val="00EE5556"/>
    <w:rsid w:val="00EE57C9"/>
    <w:rsid w:val="00EE5991"/>
    <w:rsid w:val="00EE5993"/>
    <w:rsid w:val="00EE7847"/>
    <w:rsid w:val="00EF0094"/>
    <w:rsid w:val="00EF0C64"/>
    <w:rsid w:val="00EF0F14"/>
    <w:rsid w:val="00EF18F1"/>
    <w:rsid w:val="00EF2227"/>
    <w:rsid w:val="00EF294C"/>
    <w:rsid w:val="00EF30F0"/>
    <w:rsid w:val="00EF33B3"/>
    <w:rsid w:val="00EF3850"/>
    <w:rsid w:val="00EF4217"/>
    <w:rsid w:val="00EF434A"/>
    <w:rsid w:val="00EF49C4"/>
    <w:rsid w:val="00EF4EF6"/>
    <w:rsid w:val="00EF5DA8"/>
    <w:rsid w:val="00EF6778"/>
    <w:rsid w:val="00EF6902"/>
    <w:rsid w:val="00EF695E"/>
    <w:rsid w:val="00EF6CBB"/>
    <w:rsid w:val="00EF6F30"/>
    <w:rsid w:val="00F00E2E"/>
    <w:rsid w:val="00F01265"/>
    <w:rsid w:val="00F0134D"/>
    <w:rsid w:val="00F016BA"/>
    <w:rsid w:val="00F01753"/>
    <w:rsid w:val="00F027B6"/>
    <w:rsid w:val="00F033DB"/>
    <w:rsid w:val="00F035B8"/>
    <w:rsid w:val="00F038F3"/>
    <w:rsid w:val="00F04171"/>
    <w:rsid w:val="00F04C8C"/>
    <w:rsid w:val="00F04F3F"/>
    <w:rsid w:val="00F05A57"/>
    <w:rsid w:val="00F05D31"/>
    <w:rsid w:val="00F0722E"/>
    <w:rsid w:val="00F078B4"/>
    <w:rsid w:val="00F079AE"/>
    <w:rsid w:val="00F07AC5"/>
    <w:rsid w:val="00F07BF1"/>
    <w:rsid w:val="00F101F0"/>
    <w:rsid w:val="00F10818"/>
    <w:rsid w:val="00F10892"/>
    <w:rsid w:val="00F1096E"/>
    <w:rsid w:val="00F10E3F"/>
    <w:rsid w:val="00F11672"/>
    <w:rsid w:val="00F117A2"/>
    <w:rsid w:val="00F12248"/>
    <w:rsid w:val="00F1269F"/>
    <w:rsid w:val="00F12AB2"/>
    <w:rsid w:val="00F131B7"/>
    <w:rsid w:val="00F132D7"/>
    <w:rsid w:val="00F135E0"/>
    <w:rsid w:val="00F13610"/>
    <w:rsid w:val="00F152CB"/>
    <w:rsid w:val="00F156F6"/>
    <w:rsid w:val="00F1649D"/>
    <w:rsid w:val="00F17144"/>
    <w:rsid w:val="00F17920"/>
    <w:rsid w:val="00F17ED3"/>
    <w:rsid w:val="00F21863"/>
    <w:rsid w:val="00F2197E"/>
    <w:rsid w:val="00F224E2"/>
    <w:rsid w:val="00F237C2"/>
    <w:rsid w:val="00F23A15"/>
    <w:rsid w:val="00F23BB9"/>
    <w:rsid w:val="00F2418F"/>
    <w:rsid w:val="00F248D7"/>
    <w:rsid w:val="00F24B12"/>
    <w:rsid w:val="00F251F6"/>
    <w:rsid w:val="00F25316"/>
    <w:rsid w:val="00F2639F"/>
    <w:rsid w:val="00F26853"/>
    <w:rsid w:val="00F2688A"/>
    <w:rsid w:val="00F268CF"/>
    <w:rsid w:val="00F2786C"/>
    <w:rsid w:val="00F30164"/>
    <w:rsid w:val="00F30590"/>
    <w:rsid w:val="00F30878"/>
    <w:rsid w:val="00F30E79"/>
    <w:rsid w:val="00F31411"/>
    <w:rsid w:val="00F31CC2"/>
    <w:rsid w:val="00F328E1"/>
    <w:rsid w:val="00F32D05"/>
    <w:rsid w:val="00F32F98"/>
    <w:rsid w:val="00F33455"/>
    <w:rsid w:val="00F33672"/>
    <w:rsid w:val="00F338D2"/>
    <w:rsid w:val="00F33C4A"/>
    <w:rsid w:val="00F3431D"/>
    <w:rsid w:val="00F3485D"/>
    <w:rsid w:val="00F34BF2"/>
    <w:rsid w:val="00F34D1B"/>
    <w:rsid w:val="00F352F8"/>
    <w:rsid w:val="00F35B0E"/>
    <w:rsid w:val="00F35D8F"/>
    <w:rsid w:val="00F363C3"/>
    <w:rsid w:val="00F36FBA"/>
    <w:rsid w:val="00F37149"/>
    <w:rsid w:val="00F37C9B"/>
    <w:rsid w:val="00F4000F"/>
    <w:rsid w:val="00F407B3"/>
    <w:rsid w:val="00F4092F"/>
    <w:rsid w:val="00F40C12"/>
    <w:rsid w:val="00F40FD2"/>
    <w:rsid w:val="00F41480"/>
    <w:rsid w:val="00F4211E"/>
    <w:rsid w:val="00F425EA"/>
    <w:rsid w:val="00F42852"/>
    <w:rsid w:val="00F42AAD"/>
    <w:rsid w:val="00F42B32"/>
    <w:rsid w:val="00F430E3"/>
    <w:rsid w:val="00F449E6"/>
    <w:rsid w:val="00F44DCD"/>
    <w:rsid w:val="00F45BE8"/>
    <w:rsid w:val="00F45D73"/>
    <w:rsid w:val="00F46808"/>
    <w:rsid w:val="00F474D3"/>
    <w:rsid w:val="00F503EC"/>
    <w:rsid w:val="00F519A1"/>
    <w:rsid w:val="00F51BFF"/>
    <w:rsid w:val="00F52D8D"/>
    <w:rsid w:val="00F5304D"/>
    <w:rsid w:val="00F53056"/>
    <w:rsid w:val="00F53AB4"/>
    <w:rsid w:val="00F54195"/>
    <w:rsid w:val="00F54231"/>
    <w:rsid w:val="00F54B63"/>
    <w:rsid w:val="00F550D1"/>
    <w:rsid w:val="00F5534F"/>
    <w:rsid w:val="00F558C5"/>
    <w:rsid w:val="00F55EAA"/>
    <w:rsid w:val="00F56275"/>
    <w:rsid w:val="00F56766"/>
    <w:rsid w:val="00F573E2"/>
    <w:rsid w:val="00F60309"/>
    <w:rsid w:val="00F61E77"/>
    <w:rsid w:val="00F6234B"/>
    <w:rsid w:val="00F62581"/>
    <w:rsid w:val="00F62AFA"/>
    <w:rsid w:val="00F6327B"/>
    <w:rsid w:val="00F63615"/>
    <w:rsid w:val="00F63CE5"/>
    <w:rsid w:val="00F6416A"/>
    <w:rsid w:val="00F643C8"/>
    <w:rsid w:val="00F64489"/>
    <w:rsid w:val="00F64AF4"/>
    <w:rsid w:val="00F652D9"/>
    <w:rsid w:val="00F65909"/>
    <w:rsid w:val="00F6665A"/>
    <w:rsid w:val="00F66D40"/>
    <w:rsid w:val="00F67AA0"/>
    <w:rsid w:val="00F67EA4"/>
    <w:rsid w:val="00F71F52"/>
    <w:rsid w:val="00F7204D"/>
    <w:rsid w:val="00F72444"/>
    <w:rsid w:val="00F730C1"/>
    <w:rsid w:val="00F736EA"/>
    <w:rsid w:val="00F73CCF"/>
    <w:rsid w:val="00F744A2"/>
    <w:rsid w:val="00F74D65"/>
    <w:rsid w:val="00F74EC2"/>
    <w:rsid w:val="00F760CC"/>
    <w:rsid w:val="00F76AA4"/>
    <w:rsid w:val="00F76D8E"/>
    <w:rsid w:val="00F77009"/>
    <w:rsid w:val="00F77512"/>
    <w:rsid w:val="00F775C2"/>
    <w:rsid w:val="00F77851"/>
    <w:rsid w:val="00F779EF"/>
    <w:rsid w:val="00F8150A"/>
    <w:rsid w:val="00F81B54"/>
    <w:rsid w:val="00F81DDD"/>
    <w:rsid w:val="00F821CF"/>
    <w:rsid w:val="00F82368"/>
    <w:rsid w:val="00F83516"/>
    <w:rsid w:val="00F838A4"/>
    <w:rsid w:val="00F8437D"/>
    <w:rsid w:val="00F8476C"/>
    <w:rsid w:val="00F84AF3"/>
    <w:rsid w:val="00F8585E"/>
    <w:rsid w:val="00F85935"/>
    <w:rsid w:val="00F85DCB"/>
    <w:rsid w:val="00F85EE3"/>
    <w:rsid w:val="00F860F5"/>
    <w:rsid w:val="00F863F3"/>
    <w:rsid w:val="00F90271"/>
    <w:rsid w:val="00F908A1"/>
    <w:rsid w:val="00F911A5"/>
    <w:rsid w:val="00F9152E"/>
    <w:rsid w:val="00F92AFB"/>
    <w:rsid w:val="00F92BC5"/>
    <w:rsid w:val="00F93B04"/>
    <w:rsid w:val="00F93C36"/>
    <w:rsid w:val="00F94854"/>
    <w:rsid w:val="00F953CE"/>
    <w:rsid w:val="00F96CDC"/>
    <w:rsid w:val="00F974D7"/>
    <w:rsid w:val="00F978F0"/>
    <w:rsid w:val="00FA052D"/>
    <w:rsid w:val="00FA112D"/>
    <w:rsid w:val="00FA1135"/>
    <w:rsid w:val="00FA11FE"/>
    <w:rsid w:val="00FA1C03"/>
    <w:rsid w:val="00FA205C"/>
    <w:rsid w:val="00FA23BF"/>
    <w:rsid w:val="00FA240C"/>
    <w:rsid w:val="00FA2C59"/>
    <w:rsid w:val="00FA2CBC"/>
    <w:rsid w:val="00FA2DC4"/>
    <w:rsid w:val="00FA312B"/>
    <w:rsid w:val="00FA31D0"/>
    <w:rsid w:val="00FA4506"/>
    <w:rsid w:val="00FA488E"/>
    <w:rsid w:val="00FA522E"/>
    <w:rsid w:val="00FA5332"/>
    <w:rsid w:val="00FA5CEF"/>
    <w:rsid w:val="00FA64AF"/>
    <w:rsid w:val="00FA6C6A"/>
    <w:rsid w:val="00FA6D97"/>
    <w:rsid w:val="00FA7185"/>
    <w:rsid w:val="00FA767E"/>
    <w:rsid w:val="00FA7F33"/>
    <w:rsid w:val="00FB0097"/>
    <w:rsid w:val="00FB0CD6"/>
    <w:rsid w:val="00FB0DFA"/>
    <w:rsid w:val="00FB0F02"/>
    <w:rsid w:val="00FB276D"/>
    <w:rsid w:val="00FB32B6"/>
    <w:rsid w:val="00FB3C19"/>
    <w:rsid w:val="00FB5851"/>
    <w:rsid w:val="00FB6153"/>
    <w:rsid w:val="00FB6966"/>
    <w:rsid w:val="00FC091B"/>
    <w:rsid w:val="00FC0D1F"/>
    <w:rsid w:val="00FC1003"/>
    <w:rsid w:val="00FC1390"/>
    <w:rsid w:val="00FC1FA8"/>
    <w:rsid w:val="00FC2969"/>
    <w:rsid w:val="00FC2F34"/>
    <w:rsid w:val="00FC3168"/>
    <w:rsid w:val="00FC376A"/>
    <w:rsid w:val="00FC464F"/>
    <w:rsid w:val="00FC4C53"/>
    <w:rsid w:val="00FC50C7"/>
    <w:rsid w:val="00FC6043"/>
    <w:rsid w:val="00FC628C"/>
    <w:rsid w:val="00FC656A"/>
    <w:rsid w:val="00FC6E08"/>
    <w:rsid w:val="00FC7702"/>
    <w:rsid w:val="00FC781A"/>
    <w:rsid w:val="00FC7942"/>
    <w:rsid w:val="00FC7A4D"/>
    <w:rsid w:val="00FC7B3B"/>
    <w:rsid w:val="00FD01A1"/>
    <w:rsid w:val="00FD07BF"/>
    <w:rsid w:val="00FD0C0A"/>
    <w:rsid w:val="00FD1052"/>
    <w:rsid w:val="00FD10ED"/>
    <w:rsid w:val="00FD14E1"/>
    <w:rsid w:val="00FD28A3"/>
    <w:rsid w:val="00FD30A2"/>
    <w:rsid w:val="00FD30FB"/>
    <w:rsid w:val="00FD312D"/>
    <w:rsid w:val="00FD380C"/>
    <w:rsid w:val="00FD3A54"/>
    <w:rsid w:val="00FD3C25"/>
    <w:rsid w:val="00FD497B"/>
    <w:rsid w:val="00FD4C1C"/>
    <w:rsid w:val="00FD5348"/>
    <w:rsid w:val="00FD64AA"/>
    <w:rsid w:val="00FD7251"/>
    <w:rsid w:val="00FD760E"/>
    <w:rsid w:val="00FD7C6A"/>
    <w:rsid w:val="00FE0B08"/>
    <w:rsid w:val="00FE0D4E"/>
    <w:rsid w:val="00FE0E61"/>
    <w:rsid w:val="00FE1463"/>
    <w:rsid w:val="00FE1472"/>
    <w:rsid w:val="00FE241C"/>
    <w:rsid w:val="00FE289B"/>
    <w:rsid w:val="00FE363F"/>
    <w:rsid w:val="00FE366A"/>
    <w:rsid w:val="00FE3781"/>
    <w:rsid w:val="00FE3DBF"/>
    <w:rsid w:val="00FE429A"/>
    <w:rsid w:val="00FE5E15"/>
    <w:rsid w:val="00FE6018"/>
    <w:rsid w:val="00FE7649"/>
    <w:rsid w:val="00FE76FE"/>
    <w:rsid w:val="00FE7952"/>
    <w:rsid w:val="00FF02F0"/>
    <w:rsid w:val="00FF0A6D"/>
    <w:rsid w:val="00FF0F0C"/>
    <w:rsid w:val="00FF1870"/>
    <w:rsid w:val="00FF198E"/>
    <w:rsid w:val="00FF3ECB"/>
    <w:rsid w:val="00FF45BA"/>
    <w:rsid w:val="00FF4852"/>
    <w:rsid w:val="00FF4B4A"/>
    <w:rsid w:val="00FF4C46"/>
    <w:rsid w:val="00FF4CAE"/>
    <w:rsid w:val="00FF5162"/>
    <w:rsid w:val="00FF5CBB"/>
    <w:rsid w:val="00FF6D7C"/>
    <w:rsid w:val="00FF6E4D"/>
    <w:rsid w:val="00FF6F1A"/>
    <w:rsid w:val="00FF7C65"/>
    <w:rsid w:val="039376B2"/>
    <w:rsid w:val="0732588A"/>
    <w:rsid w:val="0ABD2E95"/>
    <w:rsid w:val="0E1C169C"/>
    <w:rsid w:val="257D357E"/>
    <w:rsid w:val="2D797025"/>
    <w:rsid w:val="2E035C61"/>
    <w:rsid w:val="33E616B7"/>
    <w:rsid w:val="382668E8"/>
    <w:rsid w:val="38740339"/>
    <w:rsid w:val="48E66D6A"/>
    <w:rsid w:val="4B630A7D"/>
    <w:rsid w:val="5C7D4D8C"/>
    <w:rsid w:val="68CD396B"/>
    <w:rsid w:val="6FA46633"/>
    <w:rsid w:val="761D0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D71F1"/>
  <w15:docId w15:val="{411025D3-8DFE-4F94-9C14-35AFDE7C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numPr>
        <w:numId w:val="1"/>
      </w:numPr>
      <w:adjustRightInd w:val="0"/>
      <w:snapToGrid w:val="0"/>
      <w:spacing w:line="360" w:lineRule="auto"/>
      <w:jc w:val="center"/>
      <w:outlineLvl w:val="0"/>
    </w:pPr>
    <w:rPr>
      <w:rFonts w:ascii="宋体" w:hAnsi="宋体"/>
      <w:b/>
      <w:kern w:val="44"/>
      <w:sz w:val="24"/>
      <w:szCs w:val="21"/>
    </w:rPr>
  </w:style>
  <w:style w:type="paragraph" w:styleId="2">
    <w:name w:val="heading 2"/>
    <w:basedOn w:val="a"/>
    <w:next w:val="a"/>
    <w:link w:val="20"/>
    <w:qFormat/>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
    <w:next w:val="a"/>
    <w:link w:val="30"/>
    <w:qFormat/>
    <w:pPr>
      <w:numPr>
        <w:ilvl w:val="2"/>
        <w:numId w:val="1"/>
      </w:numPr>
      <w:spacing w:before="120" w:after="120" w:line="360" w:lineRule="auto"/>
      <w:outlineLvl w:val="2"/>
    </w:pPr>
    <w:rPr>
      <w:rFonts w:ascii="宋体" w:hAnsi="Times New Roman"/>
      <w:b/>
      <w:szCs w:val="20"/>
    </w:rPr>
  </w:style>
  <w:style w:type="paragraph" w:styleId="4">
    <w:name w:val="heading 4"/>
    <w:basedOn w:val="a"/>
    <w:next w:val="a"/>
    <w:link w:val="40"/>
    <w:qFormat/>
    <w:pPr>
      <w:keepNext/>
      <w:keepLines/>
      <w:numPr>
        <w:ilvl w:val="3"/>
        <w:numId w:val="1"/>
      </w:numPr>
      <w:spacing w:line="360" w:lineRule="auto"/>
      <w:outlineLvl w:val="3"/>
    </w:pPr>
    <w:rPr>
      <w:rFonts w:ascii="Arial" w:hAnsi="Arial"/>
      <w:szCs w:val="20"/>
    </w:rPr>
  </w:style>
  <w:style w:type="paragraph" w:styleId="5">
    <w:name w:val="heading 5"/>
    <w:basedOn w:val="a"/>
    <w:next w:val="a"/>
    <w:link w:val="50"/>
    <w:qFormat/>
    <w:pPr>
      <w:keepNext/>
      <w:keepLines/>
      <w:numPr>
        <w:ilvl w:val="4"/>
        <w:numId w:val="1"/>
      </w:numPr>
      <w:adjustRightInd w:val="0"/>
      <w:snapToGrid w:val="0"/>
      <w:spacing w:line="360" w:lineRule="auto"/>
      <w:outlineLvl w:val="4"/>
    </w:pPr>
    <w:rPr>
      <w:rFonts w:ascii="Times New Roman" w:hAnsi="Times New Roman"/>
      <w:szCs w:val="20"/>
    </w:rPr>
  </w:style>
  <w:style w:type="paragraph" w:styleId="6">
    <w:name w:val="heading 6"/>
    <w:basedOn w:val="a"/>
    <w:next w:val="a"/>
    <w:link w:val="60"/>
    <w:qFormat/>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link w:val="70"/>
    <w:qFormat/>
    <w:pPr>
      <w:keepNext/>
      <w:keepLines/>
      <w:numPr>
        <w:ilvl w:val="6"/>
        <w:numId w:val="1"/>
      </w:numPr>
      <w:spacing w:before="240" w:after="64" w:line="320" w:lineRule="auto"/>
      <w:outlineLvl w:val="6"/>
    </w:pPr>
    <w:rPr>
      <w:rFonts w:ascii="Times New Roman" w:hAnsi="Times New Roman"/>
      <w:b/>
      <w:sz w:val="24"/>
      <w:szCs w:val="20"/>
    </w:rPr>
  </w:style>
  <w:style w:type="paragraph" w:styleId="8">
    <w:name w:val="heading 8"/>
    <w:basedOn w:val="a"/>
    <w:next w:val="a"/>
    <w:link w:val="80"/>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link w:val="90"/>
    <w:qFormat/>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hAnsi="Times New Roman"/>
      <w:szCs w:val="20"/>
    </w:rPr>
  </w:style>
  <w:style w:type="paragraph" w:styleId="a4">
    <w:name w:val="Document Map"/>
    <w:basedOn w:val="a"/>
    <w:link w:val="a5"/>
    <w:qFormat/>
    <w:pPr>
      <w:shd w:val="clear" w:color="auto" w:fill="000080"/>
    </w:pPr>
    <w:rPr>
      <w:rFonts w:ascii="Times New Roman" w:hAnsi="Times New Roman"/>
      <w:szCs w:val="20"/>
    </w:rPr>
  </w:style>
  <w:style w:type="paragraph" w:styleId="a6">
    <w:name w:val="annotation text"/>
    <w:basedOn w:val="a"/>
    <w:link w:val="a7"/>
    <w:unhideWhenUsed/>
    <w:qFormat/>
    <w:pPr>
      <w:jc w:val="left"/>
    </w:pPr>
  </w:style>
  <w:style w:type="paragraph" w:styleId="a8">
    <w:name w:val="Body Text"/>
    <w:basedOn w:val="a"/>
    <w:link w:val="a9"/>
    <w:qFormat/>
    <w:pPr>
      <w:autoSpaceDE w:val="0"/>
      <w:autoSpaceDN w:val="0"/>
      <w:adjustRightInd w:val="0"/>
      <w:spacing w:line="360" w:lineRule="auto"/>
      <w:jc w:val="left"/>
    </w:pPr>
  </w:style>
  <w:style w:type="paragraph" w:styleId="31">
    <w:name w:val="toc 3"/>
    <w:basedOn w:val="a"/>
    <w:next w:val="a"/>
    <w:qFormat/>
    <w:pPr>
      <w:ind w:leftChars="400" w:left="840"/>
    </w:pPr>
    <w:rPr>
      <w:rFonts w:ascii="Times New Roman" w:hAnsi="Times New Roman"/>
      <w:szCs w:val="20"/>
    </w:rPr>
  </w:style>
  <w:style w:type="paragraph" w:styleId="aa">
    <w:name w:val="Plain Text"/>
    <w:basedOn w:val="a"/>
    <w:link w:val="ab"/>
    <w:qFormat/>
    <w:pPr>
      <w:adjustRightInd w:val="0"/>
      <w:spacing w:line="312" w:lineRule="atLeast"/>
      <w:textAlignment w:val="baseline"/>
    </w:pPr>
    <w:rPr>
      <w:rFonts w:ascii="宋体" w:hAnsi="Courier New"/>
      <w:kern w:val="0"/>
      <w:szCs w:val="20"/>
    </w:rPr>
  </w:style>
  <w:style w:type="paragraph" w:styleId="21">
    <w:name w:val="Body Text Indent 2"/>
    <w:basedOn w:val="a"/>
    <w:link w:val="22"/>
    <w:qFormat/>
    <w:pPr>
      <w:spacing w:line="360" w:lineRule="auto"/>
      <w:ind w:firstLine="425"/>
    </w:pPr>
    <w:rPr>
      <w:rFonts w:ascii="仿宋_GB2312" w:eastAsia="仿宋_GB2312" w:hAnsi="Times New Roman"/>
      <w:sz w:val="28"/>
      <w:szCs w:val="20"/>
    </w:rPr>
  </w:style>
  <w:style w:type="paragraph" w:styleId="ac">
    <w:name w:val="Balloon Text"/>
    <w:basedOn w:val="a"/>
    <w:link w:val="ad"/>
    <w:unhideWhenUsed/>
    <w:qFormat/>
    <w:rPr>
      <w:sz w:val="18"/>
      <w:szCs w:val="18"/>
    </w:rPr>
  </w:style>
  <w:style w:type="paragraph" w:styleId="ae">
    <w:name w:val="footer"/>
    <w:basedOn w:val="a"/>
    <w:link w:val="af"/>
    <w:uiPriority w:val="99"/>
    <w:unhideWhenUsed/>
    <w:qFormat/>
    <w:pPr>
      <w:tabs>
        <w:tab w:val="center" w:pos="4153"/>
        <w:tab w:val="right" w:pos="8306"/>
      </w:tabs>
      <w:snapToGrid w:val="0"/>
      <w:jc w:val="left"/>
    </w:pPr>
    <w:rPr>
      <w:sz w:val="18"/>
      <w:szCs w:val="18"/>
    </w:rPr>
  </w:style>
  <w:style w:type="paragraph" w:styleId="af0">
    <w:name w:val="header"/>
    <w:basedOn w:val="a"/>
    <w:link w:val="af1"/>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af2">
    <w:name w:val="footnote text"/>
    <w:basedOn w:val="a"/>
    <w:link w:val="af3"/>
    <w:qFormat/>
    <w:pPr>
      <w:snapToGrid w:val="0"/>
      <w:jc w:val="left"/>
    </w:pPr>
    <w:rPr>
      <w:rFonts w:ascii="Times New Roman" w:hAnsi="Times New Roman"/>
      <w:sz w:val="18"/>
      <w:szCs w:val="20"/>
    </w:rPr>
  </w:style>
  <w:style w:type="paragraph" w:styleId="32">
    <w:name w:val="Body Text Indent 3"/>
    <w:basedOn w:val="a"/>
    <w:link w:val="33"/>
    <w:qFormat/>
    <w:pPr>
      <w:autoSpaceDE w:val="0"/>
      <w:autoSpaceDN w:val="0"/>
      <w:adjustRightInd w:val="0"/>
      <w:spacing w:line="360" w:lineRule="auto"/>
      <w:ind w:left="420" w:firstLine="435"/>
    </w:pPr>
    <w:rPr>
      <w:rFonts w:ascii="Times New Roman" w:hAnsi="Times New Roman"/>
      <w:color w:val="0000FF"/>
      <w:szCs w:val="20"/>
    </w:rPr>
  </w:style>
  <w:style w:type="paragraph" w:styleId="23">
    <w:name w:val="Body Text 2"/>
    <w:basedOn w:val="a"/>
    <w:link w:val="24"/>
    <w:qFormat/>
    <w:pPr>
      <w:spacing w:line="360" w:lineRule="auto"/>
    </w:pPr>
    <w:rPr>
      <w:rFonts w:ascii="仿宋_GB2312" w:eastAsia="仿宋_GB2312" w:hAnsi="Times New Roman"/>
      <w:color w:val="000000"/>
      <w:szCs w:val="24"/>
    </w:rPr>
  </w:style>
  <w:style w:type="paragraph" w:styleId="af4">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f5">
    <w:name w:val="Title"/>
    <w:basedOn w:val="a"/>
    <w:next w:val="a"/>
    <w:link w:val="af6"/>
    <w:qFormat/>
    <w:pPr>
      <w:spacing w:before="240" w:after="60"/>
      <w:jc w:val="center"/>
      <w:outlineLvl w:val="0"/>
    </w:pPr>
    <w:rPr>
      <w:rFonts w:ascii="Cambria" w:hAnsi="Cambria"/>
      <w:b/>
      <w:sz w:val="32"/>
      <w:szCs w:val="20"/>
    </w:rPr>
  </w:style>
  <w:style w:type="paragraph" w:styleId="af7">
    <w:name w:val="annotation subject"/>
    <w:basedOn w:val="a6"/>
    <w:next w:val="a6"/>
    <w:link w:val="af8"/>
    <w:unhideWhenUsed/>
    <w:qFormat/>
    <w:rPr>
      <w:b/>
      <w:bCs/>
    </w:rPr>
  </w:style>
  <w:style w:type="character" w:styleId="af9">
    <w:name w:val="page number"/>
    <w:basedOn w:val="a0"/>
    <w:qFormat/>
  </w:style>
  <w:style w:type="character" w:styleId="afa">
    <w:name w:val="FollowedHyperlink"/>
    <w:basedOn w:val="a0"/>
    <w:uiPriority w:val="99"/>
    <w:semiHidden/>
    <w:unhideWhenUsed/>
    <w:qFormat/>
    <w:rPr>
      <w:color w:val="800080" w:themeColor="followedHyperlink"/>
      <w:u w:val="single"/>
    </w:rPr>
  </w:style>
  <w:style w:type="character" w:styleId="afb">
    <w:name w:val="Hyperlink"/>
    <w:uiPriority w:val="99"/>
    <w:unhideWhenUsed/>
    <w:qFormat/>
    <w:rPr>
      <w:color w:val="0000FF"/>
      <w:u w:val="single"/>
    </w:rPr>
  </w:style>
  <w:style w:type="character" w:styleId="afc">
    <w:name w:val="annotation reference"/>
    <w:unhideWhenUsed/>
    <w:qFormat/>
    <w:rPr>
      <w:sz w:val="21"/>
      <w:szCs w:val="21"/>
    </w:rPr>
  </w:style>
  <w:style w:type="character" w:styleId="afd">
    <w:name w:val="footnote reference"/>
    <w:basedOn w:val="a0"/>
    <w:qFormat/>
    <w:rPr>
      <w:vertAlign w:val="superscript"/>
    </w:rPr>
  </w:style>
  <w:style w:type="character" w:customStyle="1" w:styleId="10">
    <w:name w:val="标题 1 字符"/>
    <w:link w:val="1"/>
    <w:qFormat/>
    <w:rPr>
      <w:rFonts w:ascii="宋体" w:hAnsi="宋体"/>
      <w:b/>
      <w:kern w:val="44"/>
      <w:sz w:val="24"/>
      <w:szCs w:val="21"/>
    </w:rPr>
  </w:style>
  <w:style w:type="character" w:customStyle="1" w:styleId="20">
    <w:name w:val="标题 2 字符"/>
    <w:link w:val="2"/>
    <w:qFormat/>
    <w:rPr>
      <w:rFonts w:ascii="Arial" w:hAnsi="Arial"/>
      <w:b/>
      <w:kern w:val="2"/>
      <w:sz w:val="24"/>
    </w:rPr>
  </w:style>
  <w:style w:type="character" w:customStyle="1" w:styleId="30">
    <w:name w:val="标题 3 字符"/>
    <w:link w:val="3"/>
    <w:qFormat/>
    <w:rPr>
      <w:rFonts w:ascii="宋体" w:hAnsi="Times New Roman"/>
      <w:b/>
      <w:kern w:val="2"/>
      <w:sz w:val="21"/>
    </w:rPr>
  </w:style>
  <w:style w:type="character" w:customStyle="1" w:styleId="40">
    <w:name w:val="标题 4 字符"/>
    <w:link w:val="4"/>
    <w:qFormat/>
    <w:rPr>
      <w:rFonts w:ascii="Arial" w:eastAsia="宋体" w:hAnsi="Arial" w:cs="Times New Roman"/>
      <w:szCs w:val="20"/>
    </w:rPr>
  </w:style>
  <w:style w:type="character" w:customStyle="1" w:styleId="50">
    <w:name w:val="标题 5 字符"/>
    <w:link w:val="5"/>
    <w:qFormat/>
    <w:rPr>
      <w:rFonts w:ascii="Times New Roman" w:eastAsia="宋体" w:hAnsi="Times New Roman" w:cs="Times New Roman"/>
      <w:szCs w:val="20"/>
    </w:rPr>
  </w:style>
  <w:style w:type="character" w:customStyle="1" w:styleId="60">
    <w:name w:val="标题 6 字符"/>
    <w:link w:val="6"/>
    <w:qFormat/>
    <w:rPr>
      <w:rFonts w:ascii="Arial" w:eastAsia="黑体" w:hAnsi="Arial" w:cs="Times New Roman"/>
      <w:b/>
      <w:sz w:val="24"/>
      <w:szCs w:val="20"/>
    </w:rPr>
  </w:style>
  <w:style w:type="character" w:customStyle="1" w:styleId="70">
    <w:name w:val="标题 7 字符"/>
    <w:link w:val="7"/>
    <w:qFormat/>
    <w:rPr>
      <w:rFonts w:ascii="Times New Roman" w:eastAsia="宋体" w:hAnsi="Times New Roman" w:cs="Times New Roman"/>
      <w:b/>
      <w:sz w:val="24"/>
      <w:szCs w:val="20"/>
    </w:rPr>
  </w:style>
  <w:style w:type="character" w:customStyle="1" w:styleId="80">
    <w:name w:val="标题 8 字符"/>
    <w:link w:val="8"/>
    <w:qFormat/>
    <w:rPr>
      <w:rFonts w:ascii="Arial" w:eastAsia="黑体" w:hAnsi="Arial" w:cs="Times New Roman"/>
      <w:sz w:val="24"/>
      <w:szCs w:val="20"/>
    </w:rPr>
  </w:style>
  <w:style w:type="character" w:customStyle="1" w:styleId="90">
    <w:name w:val="标题 9 字符"/>
    <w:link w:val="9"/>
    <w:qFormat/>
    <w:rPr>
      <w:rFonts w:ascii="Arial" w:eastAsia="黑体" w:hAnsi="Arial" w:cs="Times New Roman"/>
      <w:szCs w:val="20"/>
    </w:rPr>
  </w:style>
  <w:style w:type="paragraph" w:customStyle="1" w:styleId="CharCharChar">
    <w:name w:val="Char Char Char"/>
    <w:basedOn w:val="a"/>
    <w:qFormat/>
    <w:rPr>
      <w:rFonts w:ascii="Times New Roman" w:hAnsi="Times New Roman"/>
      <w:szCs w:val="24"/>
    </w:rPr>
  </w:style>
  <w:style w:type="character" w:customStyle="1" w:styleId="Char">
    <w:name w:val="页眉 Char"/>
    <w:qFormat/>
    <w:rPr>
      <w:kern w:val="2"/>
      <w:sz w:val="18"/>
      <w:szCs w:val="18"/>
    </w:rPr>
  </w:style>
  <w:style w:type="character" w:customStyle="1" w:styleId="af">
    <w:name w:val="页脚 字符"/>
    <w:link w:val="ae"/>
    <w:uiPriority w:val="99"/>
    <w:qFormat/>
    <w:rPr>
      <w:kern w:val="2"/>
      <w:sz w:val="18"/>
      <w:szCs w:val="18"/>
    </w:rPr>
  </w:style>
  <w:style w:type="paragraph" w:styleId="afe">
    <w:name w:val="List Paragraph"/>
    <w:basedOn w:val="a"/>
    <w:uiPriority w:val="34"/>
    <w:qFormat/>
    <w:pPr>
      <w:ind w:firstLineChars="200" w:firstLine="420"/>
    </w:pPr>
  </w:style>
  <w:style w:type="character" w:customStyle="1" w:styleId="a7">
    <w:name w:val="批注文字 字符"/>
    <w:link w:val="a6"/>
    <w:qFormat/>
    <w:rPr>
      <w:kern w:val="2"/>
      <w:sz w:val="21"/>
      <w:szCs w:val="22"/>
    </w:rPr>
  </w:style>
  <w:style w:type="character" w:customStyle="1" w:styleId="ad">
    <w:name w:val="批注框文本 字符"/>
    <w:basedOn w:val="a0"/>
    <w:link w:val="ac"/>
    <w:qFormat/>
    <w:rPr>
      <w:kern w:val="2"/>
      <w:sz w:val="18"/>
      <w:szCs w:val="18"/>
    </w:rPr>
  </w:style>
  <w:style w:type="character" w:customStyle="1" w:styleId="Char0">
    <w:name w:val="批注主题 Char"/>
    <w:qFormat/>
    <w:rPr>
      <w:b/>
      <w:bCs/>
      <w:kern w:val="2"/>
      <w:sz w:val="21"/>
      <w:szCs w:val="22"/>
    </w:rPr>
  </w:style>
  <w:style w:type="character" w:customStyle="1" w:styleId="Char1">
    <w:name w:val="批注框文本 Char"/>
    <w:qFormat/>
    <w:rPr>
      <w:kern w:val="2"/>
      <w:sz w:val="18"/>
      <w:szCs w:val="18"/>
    </w:rPr>
  </w:style>
  <w:style w:type="character" w:customStyle="1" w:styleId="24">
    <w:name w:val="正文文本 2 字符"/>
    <w:link w:val="23"/>
    <w:qFormat/>
    <w:rPr>
      <w:rFonts w:ascii="仿宋_GB2312" w:eastAsia="仿宋_GB2312" w:hAnsi="Times New Roman" w:cs="Times New Roman"/>
      <w:color w:val="000000"/>
      <w:szCs w:val="24"/>
    </w:rPr>
  </w:style>
  <w:style w:type="character" w:customStyle="1" w:styleId="2Char">
    <w:name w:val="正文文本缩进 2 Char"/>
    <w:qFormat/>
    <w:rPr>
      <w:kern w:val="2"/>
      <w:sz w:val="21"/>
      <w:szCs w:val="22"/>
    </w:rPr>
  </w:style>
  <w:style w:type="character" w:customStyle="1" w:styleId="3Char">
    <w:name w:val="正文文本缩进 3 Char"/>
    <w:qFormat/>
    <w:rPr>
      <w:kern w:val="2"/>
      <w:sz w:val="16"/>
      <w:szCs w:val="16"/>
    </w:rPr>
  </w:style>
  <w:style w:type="character" w:customStyle="1" w:styleId="read">
    <w:name w:val="read"/>
    <w:basedOn w:val="a0"/>
    <w:qFormat/>
  </w:style>
  <w:style w:type="character" w:customStyle="1" w:styleId="a9">
    <w:name w:val="正文文本 字符"/>
    <w:link w:val="a8"/>
    <w:qFormat/>
    <w:rPr>
      <w:kern w:val="2"/>
      <w:sz w:val="21"/>
      <w:szCs w:val="22"/>
    </w:rPr>
  </w:style>
  <w:style w:type="character" w:customStyle="1" w:styleId="unnamed11">
    <w:name w:val="unnamed11"/>
    <w:qFormat/>
    <w:rPr>
      <w:rFonts w:ascii="宋体" w:eastAsia="宋体" w:hAnsi="宋体" w:hint="eastAsia"/>
      <w:sz w:val="18"/>
      <w:szCs w:val="18"/>
    </w:rPr>
  </w:style>
  <w:style w:type="paragraph" w:customStyle="1" w:styleId="TOC1">
    <w:name w:val="TOC 标题1"/>
    <w:basedOn w:val="1"/>
    <w:next w:val="a"/>
    <w:uiPriority w:val="39"/>
    <w:qFormat/>
    <w:pPr>
      <w:widowControl/>
      <w:numPr>
        <w:numId w:val="0"/>
      </w:numPr>
      <w:spacing w:before="480" w:line="276" w:lineRule="auto"/>
      <w:jc w:val="left"/>
      <w:outlineLvl w:val="9"/>
    </w:pPr>
    <w:rPr>
      <w:rFonts w:ascii="Cambria" w:hAnsi="Cambria"/>
      <w:bCs/>
      <w:color w:val="365F91"/>
      <w:kern w:val="0"/>
      <w:szCs w:val="28"/>
    </w:rPr>
  </w:style>
  <w:style w:type="character" w:customStyle="1" w:styleId="Char2">
    <w:name w:val="文档结构图 Char"/>
    <w:qFormat/>
    <w:rPr>
      <w:rFonts w:ascii="宋体"/>
      <w:kern w:val="2"/>
      <w:sz w:val="18"/>
      <w:szCs w:val="18"/>
    </w:rPr>
  </w:style>
  <w:style w:type="paragraph" w:customStyle="1" w:styleId="CharCharChar2">
    <w:name w:val="Char Char Char2"/>
    <w:basedOn w:val="a"/>
    <w:qFormat/>
    <w:rPr>
      <w:rFonts w:ascii="Times New Roman" w:hAnsi="Times New Roman"/>
      <w:szCs w:val="24"/>
    </w:rPr>
  </w:style>
  <w:style w:type="character" w:customStyle="1" w:styleId="af6">
    <w:name w:val="标题 字符"/>
    <w:basedOn w:val="a0"/>
    <w:link w:val="af5"/>
    <w:qFormat/>
    <w:rPr>
      <w:rFonts w:ascii="Cambria" w:hAnsi="Cambria"/>
      <w:b/>
      <w:kern w:val="2"/>
      <w:sz w:val="32"/>
    </w:rPr>
  </w:style>
  <w:style w:type="character" w:customStyle="1" w:styleId="Char10">
    <w:name w:val="标题 Char1"/>
    <w:basedOn w:val="a0"/>
    <w:uiPriority w:val="10"/>
    <w:qFormat/>
    <w:rPr>
      <w:rFonts w:asciiTheme="majorHAnsi" w:hAnsiTheme="majorHAnsi" w:cstheme="majorBidi"/>
      <w:b/>
      <w:bCs/>
      <w:kern w:val="2"/>
      <w:sz w:val="32"/>
      <w:szCs w:val="32"/>
    </w:rPr>
  </w:style>
  <w:style w:type="paragraph" w:customStyle="1" w:styleId="Char3">
    <w:name w:val="Char"/>
    <w:basedOn w:val="a"/>
    <w:qFormat/>
    <w:rPr>
      <w:rFonts w:ascii="Times New Roman" w:hAnsi="Times New Roman"/>
      <w:szCs w:val="20"/>
    </w:rPr>
  </w:style>
  <w:style w:type="paragraph" w:customStyle="1" w:styleId="CharCharCharChar">
    <w:name w:val="Char Char Char Char"/>
    <w:basedOn w:val="a"/>
    <w:qFormat/>
    <w:pPr>
      <w:tabs>
        <w:tab w:val="left" w:pos="360"/>
      </w:tabs>
    </w:pPr>
    <w:rPr>
      <w:rFonts w:ascii="Times New Roman" w:hAnsi="Times New Roman"/>
      <w:szCs w:val="20"/>
    </w:rPr>
  </w:style>
  <w:style w:type="character" w:customStyle="1" w:styleId="af3">
    <w:name w:val="脚注文本 字符"/>
    <w:basedOn w:val="a0"/>
    <w:link w:val="af2"/>
    <w:qFormat/>
    <w:rPr>
      <w:rFonts w:ascii="Times New Roman" w:hAnsi="Times New Roman"/>
      <w:kern w:val="2"/>
      <w:sz w:val="18"/>
    </w:rPr>
  </w:style>
  <w:style w:type="paragraph" w:customStyle="1" w:styleId="Char20">
    <w:name w:val="Char2"/>
    <w:basedOn w:val="a"/>
    <w:qFormat/>
    <w:rPr>
      <w:rFonts w:ascii="Times New Roman" w:hAnsi="Times New Roman"/>
      <w:szCs w:val="20"/>
    </w:rPr>
  </w:style>
  <w:style w:type="paragraph" w:customStyle="1" w:styleId="msonormal1">
    <w:name w:val="msonormal1"/>
    <w:qFormat/>
    <w:pPr>
      <w:widowControl w:val="0"/>
      <w:jc w:val="both"/>
    </w:pPr>
    <w:rPr>
      <w:rFonts w:ascii="Times New Roman" w:hAnsi="Times New Roman"/>
      <w:kern w:val="2"/>
      <w:sz w:val="21"/>
    </w:rPr>
  </w:style>
  <w:style w:type="paragraph" w:customStyle="1" w:styleId="CharChar">
    <w:name w:val="Char Char"/>
    <w:basedOn w:val="a"/>
    <w:qFormat/>
    <w:rPr>
      <w:rFonts w:ascii="Times New Roman" w:hAnsi="Times New Roman"/>
      <w:szCs w:val="20"/>
    </w:rPr>
  </w:style>
  <w:style w:type="character" w:customStyle="1" w:styleId="ab">
    <w:name w:val="纯文本 字符"/>
    <w:basedOn w:val="a0"/>
    <w:link w:val="aa"/>
    <w:qFormat/>
    <w:rPr>
      <w:rFonts w:ascii="宋体" w:hAnsi="Courier New"/>
      <w:sz w:val="21"/>
    </w:rPr>
  </w:style>
  <w:style w:type="paragraph" w:customStyle="1" w:styleId="CharChar1">
    <w:name w:val="Char Char1"/>
    <w:basedOn w:val="a"/>
    <w:qFormat/>
    <w:rPr>
      <w:rFonts w:ascii="Times New Roman" w:hAnsi="Times New Roman"/>
      <w:szCs w:val="20"/>
    </w:rPr>
  </w:style>
  <w:style w:type="paragraph" w:customStyle="1" w:styleId="Default">
    <w:name w:val="Default"/>
    <w:qFormat/>
    <w:pPr>
      <w:widowControl w:val="0"/>
      <w:autoSpaceDE w:val="0"/>
      <w:autoSpaceDN w:val="0"/>
      <w:adjustRightInd w:val="0"/>
    </w:pPr>
    <w:rPr>
      <w:rFonts w:ascii="宋体" w:hAnsi="Times New Roman"/>
      <w:color w:val="000000"/>
      <w:sz w:val="24"/>
    </w:rPr>
  </w:style>
  <w:style w:type="paragraph" w:customStyle="1" w:styleId="InfoBlue">
    <w:name w:val="InfoBlue"/>
    <w:basedOn w:val="a"/>
    <w:qFormat/>
    <w:pPr>
      <w:tabs>
        <w:tab w:val="left" w:pos="420"/>
      </w:tabs>
      <w:spacing w:after="120" w:line="240" w:lineRule="atLeast"/>
      <w:ind w:left="420" w:hanging="420"/>
      <w:jc w:val="left"/>
    </w:pPr>
    <w:rPr>
      <w:rFonts w:ascii="宋体" w:hAnsi="宋体"/>
      <w:szCs w:val="20"/>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Char4">
    <w:name w:val="Char Char4"/>
    <w:basedOn w:val="a"/>
    <w:qFormat/>
    <w:rPr>
      <w:rFonts w:ascii="Times New Roman" w:hAnsi="Times New Roman"/>
      <w:szCs w:val="20"/>
    </w:rPr>
  </w:style>
  <w:style w:type="paragraph" w:customStyle="1" w:styleId="CharChar3">
    <w:name w:val="Char Char3"/>
    <w:basedOn w:val="a"/>
    <w:qFormat/>
    <w:rPr>
      <w:rFonts w:ascii="Times New Roman" w:hAnsi="Times New Roman"/>
      <w:szCs w:val="20"/>
    </w:rPr>
  </w:style>
  <w:style w:type="paragraph" w:customStyle="1" w:styleId="HD">
    <w:name w:val="HD正文"/>
    <w:basedOn w:val="a"/>
    <w:qFormat/>
    <w:pPr>
      <w:snapToGrid w:val="0"/>
      <w:spacing w:line="360" w:lineRule="auto"/>
      <w:ind w:firstLineChars="200" w:firstLine="420"/>
    </w:pPr>
    <w:rPr>
      <w:rFonts w:ascii="Times New Roman" w:hAnsi="Times New Roman"/>
      <w:szCs w:val="21"/>
    </w:rPr>
  </w:style>
  <w:style w:type="paragraph" w:customStyle="1" w:styleId="CharChar2">
    <w:name w:val="Char Char2"/>
    <w:basedOn w:val="a"/>
    <w:qFormat/>
    <w:rPr>
      <w:rFonts w:ascii="Times New Roman" w:hAnsi="Times New Roman"/>
      <w:szCs w:val="20"/>
    </w:rPr>
  </w:style>
  <w:style w:type="paragraph" w:customStyle="1" w:styleId="Char11">
    <w:name w:val="Char1"/>
    <w:basedOn w:val="a"/>
    <w:qFormat/>
    <w:rPr>
      <w:rFonts w:ascii="Times New Roman" w:hAnsi="Times New Roman"/>
      <w:szCs w:val="20"/>
    </w:rPr>
  </w:style>
  <w:style w:type="paragraph" w:customStyle="1" w:styleId="CharCharChar1">
    <w:name w:val="Char Char Char1"/>
    <w:basedOn w:val="a"/>
    <w:qFormat/>
    <w:rPr>
      <w:rFonts w:ascii="Times New Roman" w:hAnsi="Times New Roman"/>
      <w:szCs w:val="20"/>
    </w:rPr>
  </w:style>
  <w:style w:type="paragraph" w:customStyle="1" w:styleId="CharCharCharChar1">
    <w:name w:val="Char Char Char Char1"/>
    <w:basedOn w:val="a"/>
    <w:qFormat/>
    <w:pPr>
      <w:tabs>
        <w:tab w:val="left" w:pos="360"/>
      </w:tabs>
    </w:pPr>
    <w:rPr>
      <w:rFonts w:ascii="Times New Roman" w:hAnsi="Times New Roman"/>
      <w:szCs w:val="20"/>
    </w:rPr>
  </w:style>
  <w:style w:type="paragraph" w:customStyle="1" w:styleId="CharChar11">
    <w:name w:val="Char Char11"/>
    <w:basedOn w:val="a"/>
    <w:qFormat/>
    <w:rPr>
      <w:rFonts w:ascii="Times New Roman" w:hAnsi="Times New Roman"/>
      <w:szCs w:val="20"/>
    </w:rPr>
  </w:style>
  <w:style w:type="character" w:customStyle="1" w:styleId="grame">
    <w:name w:val="grame"/>
    <w:basedOn w:val="a0"/>
    <w:qFormat/>
  </w:style>
  <w:style w:type="character" w:customStyle="1" w:styleId="af1">
    <w:name w:val="页眉 字符"/>
    <w:basedOn w:val="a0"/>
    <w:link w:val="af0"/>
    <w:qFormat/>
    <w:rPr>
      <w:kern w:val="2"/>
      <w:sz w:val="18"/>
      <w:szCs w:val="18"/>
    </w:rPr>
  </w:style>
  <w:style w:type="character" w:customStyle="1" w:styleId="af8">
    <w:name w:val="批注主题 字符"/>
    <w:basedOn w:val="a7"/>
    <w:link w:val="af7"/>
    <w:qFormat/>
    <w:rPr>
      <w:b/>
      <w:bCs/>
      <w:kern w:val="2"/>
      <w:sz w:val="21"/>
      <w:szCs w:val="22"/>
    </w:rPr>
  </w:style>
  <w:style w:type="paragraph" w:customStyle="1" w:styleId="12">
    <w:name w:val="修订1"/>
    <w:hidden/>
    <w:uiPriority w:val="99"/>
    <w:semiHidden/>
    <w:qFormat/>
    <w:rPr>
      <w:kern w:val="2"/>
      <w:sz w:val="21"/>
      <w:szCs w:val="22"/>
    </w:rPr>
  </w:style>
  <w:style w:type="paragraph" w:customStyle="1" w:styleId="25">
    <w:name w:val="修订2"/>
    <w:hidden/>
    <w:uiPriority w:val="99"/>
    <w:semiHidden/>
    <w:qFormat/>
    <w:rPr>
      <w:kern w:val="2"/>
      <w:sz w:val="21"/>
      <w:szCs w:val="22"/>
    </w:rPr>
  </w:style>
  <w:style w:type="paragraph" w:customStyle="1" w:styleId="34">
    <w:name w:val="修订3"/>
    <w:hidden/>
    <w:uiPriority w:val="99"/>
    <w:semiHidden/>
    <w:qFormat/>
    <w:rPr>
      <w:kern w:val="2"/>
      <w:sz w:val="21"/>
      <w:szCs w:val="22"/>
    </w:rPr>
  </w:style>
  <w:style w:type="character" w:customStyle="1" w:styleId="Char12">
    <w:name w:val="正文文本 Char1"/>
    <w:basedOn w:val="a0"/>
    <w:semiHidden/>
    <w:qFormat/>
    <w:rPr>
      <w:kern w:val="2"/>
      <w:sz w:val="21"/>
      <w:szCs w:val="22"/>
    </w:rPr>
  </w:style>
  <w:style w:type="character" w:customStyle="1" w:styleId="a5">
    <w:name w:val="文档结构图 字符"/>
    <w:basedOn w:val="a0"/>
    <w:link w:val="a4"/>
    <w:qFormat/>
    <w:rPr>
      <w:rFonts w:ascii="Times New Roman" w:hAnsi="Times New Roman"/>
      <w:kern w:val="2"/>
      <w:sz w:val="21"/>
      <w:shd w:val="clear" w:color="auto" w:fill="000080"/>
    </w:rPr>
  </w:style>
  <w:style w:type="character" w:customStyle="1" w:styleId="22">
    <w:name w:val="正文文本缩进 2 字符"/>
    <w:basedOn w:val="a0"/>
    <w:link w:val="21"/>
    <w:qFormat/>
    <w:rPr>
      <w:rFonts w:ascii="仿宋_GB2312" w:eastAsia="仿宋_GB2312" w:hAnsi="Times New Roman"/>
      <w:kern w:val="2"/>
      <w:sz w:val="28"/>
    </w:rPr>
  </w:style>
  <w:style w:type="character" w:customStyle="1" w:styleId="33">
    <w:name w:val="正文文本缩进 3 字符"/>
    <w:basedOn w:val="a0"/>
    <w:link w:val="32"/>
    <w:rPr>
      <w:rFonts w:ascii="Times New Roman" w:hAnsi="Times New Roman"/>
      <w:color w:val="0000FF"/>
      <w:kern w:val="2"/>
      <w:sz w:val="21"/>
    </w:rPr>
  </w:style>
  <w:style w:type="paragraph" w:customStyle="1" w:styleId="CharChar12">
    <w:name w:val="Char Char12"/>
    <w:basedOn w:val="a"/>
    <w:qFormat/>
    <w:rPr>
      <w:rFonts w:ascii="Times New Roman" w:hAnsi="Times New Roman"/>
      <w:szCs w:val="20"/>
    </w:rPr>
  </w:style>
  <w:style w:type="paragraph" w:customStyle="1" w:styleId="Char30">
    <w:name w:val="Char3"/>
    <w:basedOn w:val="a"/>
    <w:qFormat/>
    <w:rPr>
      <w:rFonts w:ascii="Times New Roman" w:hAnsi="Times New Roman"/>
      <w:szCs w:val="20"/>
    </w:rPr>
  </w:style>
  <w:style w:type="paragraph" w:customStyle="1" w:styleId="aff">
    <w:name w:val="正文正文"/>
    <w:basedOn w:val="a"/>
    <w:qFormat/>
    <w:pPr>
      <w:spacing w:afterLines="25" w:after="78" w:line="360" w:lineRule="auto"/>
      <w:ind w:firstLineChars="200" w:firstLine="200"/>
    </w:pPr>
    <w:rPr>
      <w:rFonts w:ascii="Times New Roman" w:hAnsi="Times New Roman"/>
      <w:sz w:val="24"/>
      <w:szCs w:val="20"/>
    </w:rPr>
  </w:style>
  <w:style w:type="paragraph" w:customStyle="1" w:styleId="Listbullet">
    <w:name w:val="List_bullet"/>
    <w:basedOn w:val="a"/>
    <w:qFormat/>
    <w:pPr>
      <w:widowControl/>
      <w:tabs>
        <w:tab w:val="left" w:pos="360"/>
      </w:tabs>
      <w:jc w:val="left"/>
    </w:pPr>
    <w:rPr>
      <w:rFonts w:ascii="Times New Roman" w:hAnsi="Times New Roman"/>
      <w:kern w:val="0"/>
      <w:sz w:val="24"/>
      <w:szCs w:val="20"/>
    </w:rPr>
  </w:style>
  <w:style w:type="paragraph" w:customStyle="1" w:styleId="CharCharChar3">
    <w:name w:val="Char Char Char3"/>
    <w:basedOn w:val="a"/>
    <w:qFormat/>
    <w:rPr>
      <w:rFonts w:ascii="Times New Roman" w:hAnsi="Times New Roman"/>
      <w:szCs w:val="20"/>
    </w:rPr>
  </w:style>
  <w:style w:type="paragraph" w:customStyle="1" w:styleId="aff0">
    <w:name w:val="正文所"/>
    <w:basedOn w:val="a"/>
    <w:qFormat/>
    <w:pPr>
      <w:spacing w:line="360" w:lineRule="auto"/>
      <w:ind w:firstLineChars="200" w:firstLine="420"/>
    </w:pPr>
    <w:rPr>
      <w:rFonts w:ascii="宋体" w:hAnsi="Times New Roman"/>
      <w:szCs w:val="20"/>
    </w:rPr>
  </w:style>
  <w:style w:type="paragraph" w:customStyle="1" w:styleId="41">
    <w:name w:val="修订4"/>
    <w:hidden/>
    <w:uiPriority w:val="99"/>
    <w:semiHidden/>
    <w:qFormat/>
    <w:rPr>
      <w:kern w:val="2"/>
      <w:sz w:val="21"/>
      <w:szCs w:val="22"/>
    </w:rPr>
  </w:style>
  <w:style w:type="character" w:customStyle="1" w:styleId="title4">
    <w:name w:val="title4"/>
    <w:basedOn w:val="a0"/>
    <w:qFormat/>
  </w:style>
  <w:style w:type="character" w:customStyle="1" w:styleId="highlight1">
    <w:name w:val="highlight1"/>
    <w:basedOn w:val="a0"/>
    <w:qFormat/>
    <w:rPr>
      <w:color w:val="DD4B39"/>
    </w:rPr>
  </w:style>
  <w:style w:type="character" w:customStyle="1" w:styleId="bjh-p">
    <w:name w:val="bjh-p"/>
    <w:basedOn w:val="a0"/>
  </w:style>
  <w:style w:type="paragraph" w:styleId="TOC">
    <w:name w:val="TOC Heading"/>
    <w:basedOn w:val="1"/>
    <w:next w:val="a"/>
    <w:uiPriority w:val="39"/>
    <w:unhideWhenUsed/>
    <w:qFormat/>
    <w:rsid w:val="00E63DEE"/>
    <w:pPr>
      <w:widowControl/>
      <w:numPr>
        <w:numId w:val="0"/>
      </w:numPr>
      <w:adjustRightInd/>
      <w:snapToGrid/>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7.xml"/><Relationship Id="rId3" Type="http://schemas.openxmlformats.org/officeDocument/2006/relationships/customXml" Target="../customXml/item3.xml"/><Relationship Id="rId21" Type="http://schemas.openxmlformats.org/officeDocument/2006/relationships/footer" Target="footer9.xml"/><Relationship Id="rId34" Type="http://schemas.openxmlformats.org/officeDocument/2006/relationships/footer" Target="footer22.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41"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B8B6D-6EBF-41A9-A1FB-90D4248FD85C}">
  <ds:schemaRefs>
    <ds:schemaRef ds:uri="http://schemas.openxmlformats.org/officeDocument/2006/bibliography"/>
  </ds:schemaRefs>
</ds:datastoreItem>
</file>

<file path=customXml/itemProps3.xml><?xml version="1.0" encoding="utf-8"?>
<ds:datastoreItem xmlns:ds="http://schemas.openxmlformats.org/officeDocument/2006/customXml" ds:itemID="{5407B350-D81B-4EB7-A8B3-E1284B616FD2}">
  <ds:schemaRefs>
    <ds:schemaRef ds:uri="http://schemas.openxmlformats.org/officeDocument/2006/bibliography"/>
  </ds:schemaRefs>
</ds:datastoreItem>
</file>

<file path=customXml/itemProps4.xml><?xml version="1.0" encoding="utf-8"?>
<ds:datastoreItem xmlns:ds="http://schemas.openxmlformats.org/officeDocument/2006/customXml" ds:itemID="{693FC02B-414D-44A4-8429-3464B920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90</Pages>
  <Words>11251</Words>
  <Characters>64137</Characters>
  <Application>Microsoft Office Word</Application>
  <DocSecurity>0</DocSecurity>
  <Lines>534</Lines>
  <Paragraphs>150</Paragraphs>
  <ScaleCrop>false</ScaleCrop>
  <Company>Microsoft</Company>
  <LinksUpToDate>false</LinksUpToDate>
  <CharactersWithSpaces>75238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liush</dc:creator>
  <cp:lastModifiedBy>汤玲</cp:lastModifiedBy>
  <cp:revision>135</cp:revision>
  <cp:lastPrinted>2021-11-19T00:48:00Z</cp:lastPrinted>
  <dcterms:created xsi:type="dcterms:W3CDTF">2021-01-20T06:00:00Z</dcterms:created>
  <dcterms:modified xsi:type="dcterms:W3CDTF">2021-11-25T06:04:00Z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contractId">
    <vt:lpwstr>8ad66bbe17e94d1c9f15e64eec6d06ab</vt:lpwstr>
  </property>
  <property fmtid="{D5CDD505-2E9C-101B-9397-08002B2CF9AE}" pid="4" name="verificationId">
    <vt:lpwstr>a093d8d956223fbc</vt:lpwstr>
  </property>
</Properties>
</file>