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28"/>
        </w:rPr>
      </w:pPr>
      <w:r>
        <w:rPr>
          <w:rFonts w:hint="eastAsia" w:ascii="宋体" w:hAnsi="宋体" w:eastAsia="宋体"/>
          <w:b/>
          <w:sz w:val="28"/>
        </w:rPr>
        <w:t>博时富悦纯债债券型证券投资基金分红公告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2022年5月14日</w:t>
      </w:r>
    </w:p>
    <w:p>
      <w:pPr>
        <w:jc w:val="center"/>
        <w:rPr>
          <w:rFonts w:ascii="宋体" w:hAnsi="宋体" w:eastAsia="宋体"/>
          <w:b/>
          <w:sz w:val="24"/>
        </w:rPr>
      </w:pPr>
    </w:p>
    <w:p>
      <w:pPr>
        <w:pStyle w:val="2"/>
        <w:rPr>
          <w:rFonts w:ascii="宋体" w:hAnsi="宋体" w:eastAsia="宋体"/>
          <w:sz w:val="21"/>
        </w:rPr>
      </w:pPr>
      <w:r>
        <w:rPr>
          <w:rFonts w:ascii="宋体" w:hAnsi="宋体" w:eastAsia="宋体"/>
          <w:sz w:val="21"/>
        </w:rPr>
        <w:t>1 公告基本信息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基金名称</w:t>
            </w:r>
          </w:p>
        </w:tc>
        <w:tc>
          <w:tcPr>
            <w:tcW w:w="5682" w:type="dxa"/>
            <w:gridSpan w:val="2"/>
            <w:vAlign w:val="center"/>
          </w:tcPr>
          <w:p>
            <w:pPr>
              <w:rPr>
                <w:rFonts w:ascii="宋体" w:hAnsi="宋体" w:eastAsia="宋体"/>
                <w:sz w:val="21"/>
                <w:szCs w:val="21"/>
              </w:rPr>
            </w:pPr>
            <w:r>
              <w:rPr>
                <w:rFonts w:hint="eastAsia" w:ascii="宋体" w:hAnsi="宋体" w:eastAsia="宋体"/>
                <w:sz w:val="21"/>
                <w:szCs w:val="21"/>
              </w:rPr>
              <w:t>博时富悦纯债债券型证券投资基金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基金简称</w:t>
            </w:r>
          </w:p>
        </w:tc>
        <w:tc>
          <w:tcPr>
            <w:tcW w:w="5682" w:type="dxa"/>
            <w:gridSpan w:val="2"/>
            <w:vAlign w:val="center"/>
          </w:tcPr>
          <w:p>
            <w:pPr>
              <w:rPr>
                <w:rFonts w:ascii="宋体" w:hAnsi="宋体" w:eastAsia="宋体"/>
                <w:sz w:val="21"/>
                <w:szCs w:val="21"/>
              </w:rPr>
            </w:pPr>
            <w:r>
              <w:rPr>
                <w:rFonts w:hint="eastAsia" w:ascii="宋体" w:hAnsi="宋体" w:eastAsia="宋体"/>
                <w:sz w:val="21"/>
                <w:szCs w:val="21"/>
              </w:rPr>
              <w:t>博时富悦纯债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基金主代码</w:t>
            </w:r>
          </w:p>
        </w:tc>
        <w:tc>
          <w:tcPr>
            <w:tcW w:w="5682" w:type="dxa"/>
            <w:gridSpan w:val="2"/>
            <w:vAlign w:val="center"/>
          </w:tcPr>
          <w:p>
            <w:pPr>
              <w:rPr>
                <w:rFonts w:ascii="宋体" w:hAnsi="宋体" w:eastAsia="宋体"/>
                <w:sz w:val="21"/>
                <w:szCs w:val="21"/>
              </w:rPr>
            </w:pPr>
            <w:r>
              <w:rPr>
                <w:rFonts w:ascii="宋体" w:hAnsi="宋体" w:eastAsia="宋体"/>
                <w:sz w:val="21"/>
                <w:szCs w:val="21"/>
              </w:rPr>
              <w:t>007985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基金合同生效日</w:t>
            </w:r>
          </w:p>
        </w:tc>
        <w:tc>
          <w:tcPr>
            <w:tcW w:w="5682" w:type="dxa"/>
            <w:gridSpan w:val="2"/>
            <w:vAlign w:val="center"/>
          </w:tcPr>
          <w:p>
            <w:pPr>
              <w:rPr>
                <w:rFonts w:ascii="宋体" w:hAnsi="宋体" w:eastAsia="宋体"/>
                <w:sz w:val="21"/>
                <w:szCs w:val="21"/>
              </w:rPr>
            </w:pPr>
            <w:r>
              <w:rPr>
                <w:rFonts w:ascii="宋体" w:hAnsi="宋体" w:eastAsia="宋体"/>
                <w:sz w:val="21"/>
                <w:szCs w:val="21"/>
              </w:rPr>
              <w:t>2019年11月28日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基金管理人名称</w:t>
            </w:r>
          </w:p>
        </w:tc>
        <w:tc>
          <w:tcPr>
            <w:tcW w:w="5682" w:type="dxa"/>
            <w:gridSpan w:val="2"/>
            <w:vAlign w:val="center"/>
          </w:tcPr>
          <w:p>
            <w:pPr>
              <w:rPr>
                <w:rFonts w:ascii="宋体" w:hAnsi="宋体" w:eastAsia="宋体"/>
                <w:sz w:val="21"/>
                <w:szCs w:val="21"/>
              </w:rPr>
            </w:pPr>
            <w:r>
              <w:rPr>
                <w:rFonts w:hint="eastAsia" w:ascii="宋体" w:hAnsi="宋体" w:eastAsia="宋体"/>
                <w:sz w:val="21"/>
                <w:szCs w:val="21"/>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基金托管人名称</w:t>
            </w:r>
          </w:p>
        </w:tc>
        <w:tc>
          <w:tcPr>
            <w:tcW w:w="5682" w:type="dxa"/>
            <w:gridSpan w:val="2"/>
            <w:vAlign w:val="center"/>
          </w:tcPr>
          <w:p>
            <w:pPr>
              <w:rPr>
                <w:rFonts w:ascii="宋体" w:hAnsi="宋体" w:eastAsia="宋体"/>
                <w:sz w:val="21"/>
                <w:szCs w:val="21"/>
              </w:rPr>
            </w:pPr>
            <w:r>
              <w:rPr>
                <w:rFonts w:hint="eastAsia" w:ascii="宋体" w:hAnsi="宋体" w:eastAsia="宋体"/>
                <w:sz w:val="21"/>
                <w:szCs w:val="21"/>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公告依据</w:t>
            </w:r>
          </w:p>
        </w:tc>
        <w:tc>
          <w:tcPr>
            <w:tcW w:w="5682" w:type="dxa"/>
            <w:gridSpan w:val="2"/>
            <w:vAlign w:val="center"/>
          </w:tcPr>
          <w:p>
            <w:pPr>
              <w:rPr>
                <w:rFonts w:ascii="宋体" w:hAnsi="宋体" w:eastAsia="宋体"/>
                <w:sz w:val="21"/>
                <w:szCs w:val="21"/>
              </w:rPr>
            </w:pPr>
            <w:r>
              <w:rPr>
                <w:rFonts w:hint="eastAsia" w:ascii="宋体" w:hAnsi="宋体" w:eastAsia="宋体"/>
                <w:sz w:val="21"/>
                <w:szCs w:val="21"/>
              </w:rPr>
              <w:t>《中华人民共和国证券投资基金法》、《公开募集证券投资基金运作管理办法》、《博时富悦纯债债券型证券投资基金基金合同》、《博时富悦纯债债券型证券投资基金招募说明书》等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收益分配基准日</w:t>
            </w:r>
          </w:p>
        </w:tc>
        <w:tc>
          <w:tcPr>
            <w:tcW w:w="5682" w:type="dxa"/>
            <w:gridSpan w:val="2"/>
            <w:vAlign w:val="center"/>
          </w:tcPr>
          <w:p>
            <w:pPr>
              <w:rPr>
                <w:rFonts w:ascii="宋体" w:hAnsi="宋体" w:eastAsia="宋体"/>
                <w:sz w:val="21"/>
                <w:szCs w:val="21"/>
              </w:rPr>
            </w:pPr>
            <w:r>
              <w:rPr>
                <w:rFonts w:ascii="宋体" w:hAnsi="宋体" w:eastAsia="宋体"/>
                <w:sz w:val="21"/>
                <w:szCs w:val="21"/>
              </w:rPr>
              <w:t>2022年5月9日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宋体" w:hAnsi="宋体" w:eastAsia="宋体"/>
                <w:sz w:val="21"/>
                <w:szCs w:val="21"/>
              </w:rPr>
            </w:pPr>
            <w:r>
              <w:rPr>
                <w:rFonts w:hint="eastAsia" w:ascii="宋体" w:hAnsi="宋体" w:eastAsia="宋体"/>
                <w:sz w:val="21"/>
                <w:szCs w:val="21"/>
              </w:rPr>
              <w:t>截止收益分配基准日的相关指标</w:t>
            </w:r>
          </w:p>
        </w:tc>
        <w:tc>
          <w:tcPr>
            <w:tcW w:w="2841" w:type="dxa"/>
            <w:vAlign w:val="center"/>
          </w:tcPr>
          <w:p>
            <w:pPr>
              <w:rPr>
                <w:rFonts w:ascii="宋体" w:hAnsi="宋体" w:eastAsia="宋体"/>
                <w:sz w:val="21"/>
                <w:szCs w:val="21"/>
              </w:rPr>
            </w:pPr>
            <w:r>
              <w:rPr>
                <w:rFonts w:hint="eastAsia" w:ascii="宋体" w:hAnsi="宋体" w:eastAsia="宋体"/>
                <w:sz w:val="21"/>
                <w:szCs w:val="21"/>
              </w:rPr>
              <w:t>基准日基金份额净值（单位：元）</w:t>
            </w:r>
          </w:p>
        </w:tc>
        <w:tc>
          <w:tcPr>
            <w:tcW w:w="2841" w:type="dxa"/>
            <w:vAlign w:val="center"/>
          </w:tcPr>
          <w:p>
            <w:pPr>
              <w:rPr>
                <w:rFonts w:ascii="宋体" w:hAnsi="宋体" w:eastAsia="宋体"/>
                <w:sz w:val="21"/>
                <w:szCs w:val="21"/>
              </w:rPr>
            </w:pPr>
            <w:r>
              <w:rPr>
                <w:rFonts w:ascii="宋体" w:hAnsi="宋体" w:eastAsia="宋体"/>
                <w:sz w:val="21"/>
                <w:szCs w:val="21"/>
              </w:rPr>
              <w:t>1.1034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sz w:val="21"/>
                <w:szCs w:val="21"/>
              </w:rPr>
            </w:pPr>
          </w:p>
        </w:tc>
        <w:tc>
          <w:tcPr>
            <w:tcW w:w="2841" w:type="dxa"/>
            <w:vAlign w:val="center"/>
          </w:tcPr>
          <w:p>
            <w:pPr>
              <w:rPr>
                <w:rFonts w:ascii="宋体" w:hAnsi="宋体" w:eastAsia="宋体"/>
                <w:sz w:val="21"/>
                <w:szCs w:val="21"/>
              </w:rPr>
            </w:pPr>
            <w:r>
              <w:rPr>
                <w:rFonts w:hint="eastAsia" w:ascii="宋体" w:hAnsi="宋体" w:eastAsia="宋体"/>
                <w:sz w:val="21"/>
                <w:szCs w:val="21"/>
              </w:rPr>
              <w:t>基准日基金可供分配利润（单位：元）</w:t>
            </w:r>
          </w:p>
        </w:tc>
        <w:tc>
          <w:tcPr>
            <w:tcW w:w="2841" w:type="dxa"/>
            <w:vAlign w:val="center"/>
          </w:tcPr>
          <w:p>
            <w:pPr>
              <w:rPr>
                <w:rFonts w:ascii="宋体" w:hAnsi="宋体" w:eastAsia="宋体"/>
                <w:sz w:val="21"/>
                <w:szCs w:val="21"/>
              </w:rPr>
            </w:pPr>
            <w:r>
              <w:rPr>
                <w:rFonts w:ascii="宋体" w:hAnsi="宋体" w:eastAsia="宋体"/>
                <w:sz w:val="21"/>
                <w:szCs w:val="21"/>
              </w:rPr>
              <w:t>206,606,090.38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sz w:val="21"/>
                <w:szCs w:val="21"/>
              </w:rPr>
            </w:pPr>
          </w:p>
        </w:tc>
        <w:tc>
          <w:tcPr>
            <w:tcW w:w="2841" w:type="dxa"/>
            <w:vAlign w:val="center"/>
          </w:tcPr>
          <w:p>
            <w:pPr>
              <w:rPr>
                <w:rFonts w:ascii="宋体" w:hAnsi="宋体" w:eastAsia="宋体"/>
                <w:sz w:val="21"/>
                <w:szCs w:val="21"/>
              </w:rPr>
            </w:pPr>
            <w:r>
              <w:rPr>
                <w:rFonts w:hint="eastAsia" w:ascii="宋体" w:hAnsi="宋体" w:eastAsia="宋体"/>
                <w:sz w:val="21"/>
                <w:szCs w:val="21"/>
              </w:rPr>
              <w:t>截止基准日按照基金合同约定的分红比例计算的应分配金额（单位：元）</w:t>
            </w:r>
          </w:p>
        </w:tc>
        <w:tc>
          <w:tcPr>
            <w:tcW w:w="2841" w:type="dxa"/>
            <w:vAlign w:val="center"/>
          </w:tcPr>
          <w:p>
            <w:pP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本次分红方案（单位：元</w:t>
            </w:r>
            <w:r>
              <w:rPr>
                <w:rFonts w:ascii="宋体" w:hAnsi="宋体" w:eastAsia="宋体"/>
                <w:sz w:val="21"/>
                <w:szCs w:val="21"/>
              </w:rPr>
              <w:t>/10份基金份额）</w:t>
            </w:r>
          </w:p>
        </w:tc>
        <w:tc>
          <w:tcPr>
            <w:tcW w:w="5682" w:type="dxa"/>
            <w:gridSpan w:val="2"/>
            <w:vAlign w:val="center"/>
          </w:tcPr>
          <w:p>
            <w:pPr>
              <w:rPr>
                <w:rFonts w:ascii="宋体" w:hAnsi="宋体" w:eastAsia="宋体"/>
                <w:sz w:val="21"/>
                <w:szCs w:val="21"/>
              </w:rPr>
            </w:pPr>
            <w:r>
              <w:rPr>
                <w:rFonts w:ascii="宋体" w:hAnsi="宋体" w:eastAsia="宋体"/>
                <w:sz w:val="21"/>
                <w:szCs w:val="21"/>
              </w:rPr>
              <w:t>0.1660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有关年度分红次数的说明</w:t>
            </w:r>
          </w:p>
        </w:tc>
        <w:tc>
          <w:tcPr>
            <w:tcW w:w="5682" w:type="dxa"/>
            <w:gridSpan w:val="2"/>
            <w:vAlign w:val="center"/>
          </w:tcPr>
          <w:p>
            <w:pPr>
              <w:rPr>
                <w:rFonts w:ascii="宋体" w:hAnsi="宋体" w:eastAsia="宋体"/>
                <w:sz w:val="21"/>
                <w:szCs w:val="21"/>
              </w:rPr>
            </w:pPr>
            <w:r>
              <w:rPr>
                <w:rFonts w:hint="eastAsia" w:ascii="宋体" w:hAnsi="宋体" w:eastAsia="宋体"/>
                <w:sz w:val="21"/>
                <w:szCs w:val="21"/>
              </w:rPr>
              <w:t>本次分红为</w:t>
            </w:r>
            <w:r>
              <w:rPr>
                <w:rFonts w:ascii="宋体" w:hAnsi="宋体" w:eastAsia="宋体"/>
                <w:sz w:val="21"/>
                <w:szCs w:val="21"/>
              </w:rPr>
              <w:t>2022年度的第1次分红</w:t>
            </w:r>
          </w:p>
        </w:tc>
      </w:tr>
    </w:tbl>
    <w:p>
      <w:pPr>
        <w:rPr>
          <w:sz w:val="21"/>
          <w:szCs w:val="21"/>
        </w:rPr>
      </w:pPr>
    </w:p>
    <w:p>
      <w:pPr>
        <w:pStyle w:val="3"/>
        <w:spacing w:before="0" w:beforeAutospacing="0" w:after="0" w:afterAutospacing="0" w:line="360" w:lineRule="auto"/>
        <w:ind w:firstLine="420"/>
        <w:rPr>
          <w:rFonts w:hint="eastAsia"/>
          <w:sz w:val="21"/>
          <w:szCs w:val="21"/>
        </w:rPr>
      </w:pPr>
      <w:r>
        <w:rPr>
          <w:rFonts w:hint="eastAsia"/>
          <w:sz w:val="21"/>
          <w:szCs w:val="21"/>
        </w:rPr>
        <w:t>注： </w:t>
      </w:r>
      <w:bookmarkStart w:id="0" w:name="_GoBack"/>
      <w:r>
        <w:rPr>
          <w:rFonts w:hint="eastAsia"/>
          <w:sz w:val="21"/>
          <w:szCs w:val="21"/>
        </w:rPr>
        <w:t>本基金每10份基金份额发放红利0.1660元人民币 。</w:t>
      </w:r>
      <w:bookmarkEnd w:id="0"/>
      <w:r>
        <w:rPr>
          <w:rFonts w:hint="eastAsia"/>
          <w:sz w:val="21"/>
          <w:szCs w:val="21"/>
        </w:rPr>
        <w:t> </w:t>
      </w:r>
    </w:p>
    <w:p>
      <w:pPr>
        <w:pStyle w:val="2"/>
        <w:rPr>
          <w:rFonts w:ascii="宋体" w:hAnsi="宋体" w:eastAsia="宋体"/>
          <w:sz w:val="21"/>
          <w:szCs w:val="21"/>
        </w:rPr>
      </w:pPr>
      <w:r>
        <w:rPr>
          <w:rFonts w:ascii="宋体" w:hAnsi="宋体" w:eastAsia="宋体"/>
          <w:sz w:val="21"/>
          <w:szCs w:val="21"/>
        </w:rPr>
        <w:t>2 与分红相关的其他信息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权益登记日</w:t>
            </w:r>
          </w:p>
        </w:tc>
        <w:tc>
          <w:tcPr>
            <w:tcW w:w="5682" w:type="dxa"/>
            <w:vAlign w:val="center"/>
          </w:tcPr>
          <w:p>
            <w:pPr>
              <w:rPr>
                <w:rFonts w:ascii="宋体" w:hAnsi="宋体" w:eastAsia="宋体"/>
                <w:sz w:val="21"/>
                <w:szCs w:val="21"/>
              </w:rPr>
            </w:pPr>
            <w:r>
              <w:rPr>
                <w:rFonts w:ascii="宋体" w:hAnsi="宋体" w:eastAsia="宋体"/>
                <w:sz w:val="21"/>
                <w:szCs w:val="21"/>
              </w:rPr>
              <w:t>2022年5月17日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除息日</w:t>
            </w:r>
          </w:p>
        </w:tc>
        <w:tc>
          <w:tcPr>
            <w:tcW w:w="5682" w:type="dxa"/>
            <w:vAlign w:val="center"/>
          </w:tcPr>
          <w:p>
            <w:pPr>
              <w:rPr>
                <w:rFonts w:ascii="宋体" w:hAnsi="宋体" w:eastAsia="宋体"/>
                <w:sz w:val="21"/>
                <w:szCs w:val="21"/>
              </w:rPr>
            </w:pPr>
            <w:r>
              <w:rPr>
                <w:rFonts w:ascii="宋体" w:hAnsi="宋体" w:eastAsia="宋体"/>
                <w:sz w:val="21"/>
                <w:szCs w:val="21"/>
              </w:rPr>
              <w:t>2022年5月17日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现金红利发放日</w:t>
            </w:r>
          </w:p>
        </w:tc>
        <w:tc>
          <w:tcPr>
            <w:tcW w:w="5682" w:type="dxa"/>
            <w:vAlign w:val="center"/>
          </w:tcPr>
          <w:p>
            <w:pPr>
              <w:rPr>
                <w:rFonts w:ascii="宋体" w:hAnsi="宋体" w:eastAsia="宋体"/>
                <w:sz w:val="21"/>
                <w:szCs w:val="21"/>
              </w:rPr>
            </w:pPr>
            <w:r>
              <w:rPr>
                <w:rFonts w:ascii="宋体" w:hAnsi="宋体" w:eastAsia="宋体"/>
                <w:sz w:val="21"/>
                <w:szCs w:val="21"/>
              </w:rPr>
              <w:t>2022年5月19日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分红对象</w:t>
            </w:r>
          </w:p>
        </w:tc>
        <w:tc>
          <w:tcPr>
            <w:tcW w:w="5682" w:type="dxa"/>
            <w:vAlign w:val="center"/>
          </w:tcPr>
          <w:p>
            <w:pPr>
              <w:rPr>
                <w:rFonts w:ascii="宋体" w:hAnsi="宋体" w:eastAsia="宋体"/>
                <w:sz w:val="21"/>
                <w:szCs w:val="21"/>
              </w:rPr>
            </w:pPr>
            <w:r>
              <w:rPr>
                <w:rFonts w:hint="eastAsia" w:ascii="宋体" w:hAnsi="宋体" w:eastAsia="宋体"/>
                <w:sz w:val="21"/>
                <w:szCs w:val="21"/>
              </w:rPr>
              <w:t>权益登记日登记在册的本基金份额持有人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红利再投资相关事项的说明</w:t>
            </w:r>
          </w:p>
        </w:tc>
        <w:tc>
          <w:tcPr>
            <w:tcW w:w="5682" w:type="dxa"/>
            <w:vAlign w:val="center"/>
          </w:tcPr>
          <w:p>
            <w:pPr>
              <w:rPr>
                <w:rFonts w:ascii="宋体" w:hAnsi="宋体" w:eastAsia="宋体"/>
                <w:sz w:val="21"/>
                <w:szCs w:val="21"/>
              </w:rPr>
            </w:pPr>
            <w:r>
              <w:rPr>
                <w:rFonts w:hint="eastAsia" w:ascii="宋体" w:hAnsi="宋体" w:eastAsia="宋体"/>
                <w:sz w:val="21"/>
                <w:szCs w:val="21"/>
              </w:rPr>
              <w:t>选择红利再投资方式的投资者所转换的基金份额将以</w:t>
            </w:r>
            <w:r>
              <w:rPr>
                <w:rFonts w:ascii="宋体" w:hAnsi="宋体" w:eastAsia="宋体"/>
                <w:sz w:val="21"/>
                <w:szCs w:val="21"/>
              </w:rPr>
              <w:t>2022年5月17日的基金份额净值为计算基准确定再投资份额，红利再投资所转换的基金份额于2022年5月18日直接划入其基金账户，2022年5月19日起投资者可以查询、赎回。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税收相关事项的说明</w:t>
            </w:r>
          </w:p>
        </w:tc>
        <w:tc>
          <w:tcPr>
            <w:tcW w:w="5682" w:type="dxa"/>
            <w:vAlign w:val="center"/>
          </w:tcPr>
          <w:p>
            <w:pPr>
              <w:rPr>
                <w:rFonts w:ascii="宋体" w:hAnsi="宋体" w:eastAsia="宋体"/>
                <w:sz w:val="21"/>
                <w:szCs w:val="21"/>
              </w:rPr>
            </w:pPr>
            <w:r>
              <w:rPr>
                <w:rFonts w:hint="eastAsia" w:ascii="宋体" w:hAnsi="宋体" w:eastAsia="宋体"/>
                <w:sz w:val="21"/>
                <w:szCs w:val="21"/>
              </w:rPr>
              <w:t>根据财政部、国家税务总局的财税</w:t>
            </w:r>
            <w:r>
              <w:rPr>
                <w:rFonts w:ascii="宋体" w:hAnsi="宋体" w:eastAsia="宋体"/>
                <w:sz w:val="21"/>
                <w:szCs w:val="21"/>
              </w:rPr>
              <w:t>[2002]128号《财政部 国家税务总局关于开放式证券投资基金有关税收问题的通知》及财税[2008]1号《关于企业所得税若干优惠政策的通知》的规定，基金向投资者分配的基金利润，暂免征收所得税。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费用相关事项的说明</w:t>
            </w:r>
          </w:p>
        </w:tc>
        <w:tc>
          <w:tcPr>
            <w:tcW w:w="5682" w:type="dxa"/>
            <w:vAlign w:val="center"/>
          </w:tcPr>
          <w:p>
            <w:pPr>
              <w:rPr>
                <w:rFonts w:ascii="宋体" w:hAnsi="宋体" w:eastAsia="宋体"/>
                <w:sz w:val="21"/>
                <w:szCs w:val="21"/>
              </w:rPr>
            </w:pPr>
            <w:r>
              <w:rPr>
                <w:rFonts w:hint="eastAsia" w:ascii="宋体" w:hAnsi="宋体" w:eastAsia="宋体"/>
                <w:sz w:val="21"/>
                <w:szCs w:val="21"/>
              </w:rPr>
              <w:t>本基金本次分红免收分红手续费。选择红利再投资方式的投资者其红利所转换的基金份额免收申购费用。</w:t>
            </w:r>
          </w:p>
        </w:tc>
      </w:tr>
    </w:tbl>
    <w:p/>
    <w:p>
      <w:pPr>
        <w:pStyle w:val="2"/>
        <w:rPr>
          <w:rFonts w:hint="eastAsia" w:ascii="宋体" w:hAnsi="宋体" w:eastAsia="宋体"/>
          <w:sz w:val="21"/>
        </w:rPr>
      </w:pPr>
      <w:r>
        <w:rPr>
          <w:rFonts w:hint="eastAsia" w:ascii="宋体" w:hAnsi="宋体" w:eastAsia="宋体"/>
          <w:sz w:val="21"/>
        </w:rPr>
        <w:t>3 其他需要提示的事项</w:t>
      </w:r>
    </w:p>
    <w:p>
      <w:pPr>
        <w:pStyle w:val="3"/>
        <w:spacing w:before="0" w:beforeAutospacing="0" w:after="0" w:afterAutospacing="0" w:line="360" w:lineRule="auto"/>
        <w:ind w:firstLine="420"/>
        <w:rPr>
          <w:sz w:val="21"/>
          <w:szCs w:val="21"/>
        </w:rPr>
      </w:pPr>
      <w:r>
        <w:rPr>
          <w:rFonts w:hint="eastAsia"/>
          <w:sz w:val="21"/>
          <w:szCs w:val="21"/>
        </w:rPr>
        <w:t xml:space="preserve">（1）权益登记日申购或转换转入的基金份额不享有本次分红权益，赎回或转换转出的基金份额享有本次分红权益。 </w:t>
      </w:r>
    </w:p>
    <w:p>
      <w:pPr>
        <w:pStyle w:val="3"/>
        <w:spacing w:before="0" w:beforeAutospacing="0" w:after="0" w:afterAutospacing="0" w:line="360" w:lineRule="auto"/>
        <w:ind w:firstLine="420"/>
        <w:rPr>
          <w:rFonts w:hint="eastAsia"/>
          <w:sz w:val="21"/>
          <w:szCs w:val="21"/>
        </w:rPr>
      </w:pPr>
      <w:r>
        <w:rPr>
          <w:rFonts w:hint="eastAsia"/>
          <w:sz w:val="21"/>
          <w:szCs w:val="21"/>
        </w:rPr>
        <w:t xml:space="preserve">（2）对于未选择本基金具体分红方式的投资者，本基金默认的分红方式为现金红利方式。 </w:t>
      </w:r>
    </w:p>
    <w:p>
      <w:pPr>
        <w:pStyle w:val="3"/>
        <w:spacing w:before="0" w:beforeAutospacing="0" w:after="0" w:afterAutospacing="0" w:line="360" w:lineRule="auto"/>
        <w:ind w:firstLine="420"/>
        <w:rPr>
          <w:rFonts w:hint="eastAsia"/>
          <w:sz w:val="21"/>
          <w:szCs w:val="21"/>
        </w:rPr>
      </w:pPr>
      <w:r>
        <w:rPr>
          <w:rFonts w:hint="eastAsia"/>
          <w:sz w:val="21"/>
          <w:szCs w:val="21"/>
        </w:rPr>
        <w:t xml:space="preserve">（3）投资者可以在基金开放日的交易时间内到销售网点修改分红方式，本次分红确认的方式将按照投资者在权益登记日之前（不含2022年5月17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pPr>
        <w:pStyle w:val="3"/>
        <w:spacing w:before="0" w:beforeAutospacing="0" w:after="0" w:afterAutospacing="0" w:line="360" w:lineRule="auto"/>
        <w:ind w:firstLine="420"/>
        <w:rPr>
          <w:rFonts w:hint="eastAsia"/>
          <w:sz w:val="21"/>
          <w:szCs w:val="21"/>
        </w:rPr>
      </w:pPr>
      <w:r>
        <w:rPr>
          <w:rFonts w:hint="eastAsia"/>
          <w:sz w:val="21"/>
          <w:szCs w:val="21"/>
        </w:rPr>
        <w:t xml:space="preserve">（4）若投资者选择红利再投资方式并在2022年5月17日申请赎回基金份额的，其账户余额（包括红利再投资份额）低于10份时，本基金将自动计算其分红收益，并与赎回款一起以现金形式支付。 </w:t>
      </w:r>
    </w:p>
    <w:p>
      <w:pPr>
        <w:pStyle w:val="3"/>
        <w:spacing w:before="0" w:beforeAutospacing="0" w:after="0" w:afterAutospacing="0" w:line="360" w:lineRule="auto"/>
        <w:ind w:firstLine="420"/>
        <w:rPr>
          <w:rFonts w:hint="eastAsia"/>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pPr>
        <w:pStyle w:val="3"/>
        <w:spacing w:before="0" w:beforeAutospacing="0" w:after="0" w:afterAutospacing="0" w:line="360" w:lineRule="auto"/>
        <w:ind w:firstLine="420"/>
        <w:rPr>
          <w:rFonts w:hint="eastAsia"/>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pPr>
        <w:pStyle w:val="3"/>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3"/>
        <w:spacing w:before="0" w:beforeAutospacing="0" w:after="0" w:afterAutospacing="0" w:line="360" w:lineRule="auto"/>
        <w:ind w:firstLine="420"/>
        <w:jc w:val="right"/>
        <w:rPr>
          <w:sz w:val="21"/>
          <w:szCs w:val="21"/>
        </w:rPr>
      </w:pPr>
      <w:r>
        <w:rPr>
          <w:sz w:val="21"/>
          <w:szCs w:val="21"/>
        </w:rPr>
        <w:t>2022年5月14日</w:t>
      </w:r>
    </w:p>
    <w:p>
      <w:pPr>
        <w:pStyle w:val="3"/>
        <w:spacing w:before="0" w:beforeAutospacing="0" w:after="0" w:afterAutospacing="0" w:line="360" w:lineRule="auto"/>
        <w:ind w:firstLine="420"/>
        <w:jc w:val="righ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4D"/>
    <w:rsid w:val="00B9449C"/>
    <w:rsid w:val="00D36D4D"/>
    <w:rsid w:val="756E0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标题 3 Char"/>
    <w:basedOn w:val="6"/>
    <w:link w:val="2"/>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3</Pages>
  <Words>230</Words>
  <Characters>1313</Characters>
  <Lines>10</Lines>
  <Paragraphs>3</Paragraphs>
  <TotalTime>1</TotalTime>
  <ScaleCrop>false</ScaleCrop>
  <LinksUpToDate>false</LinksUpToDate>
  <CharactersWithSpaces>1540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2022-05-12T05:53:00Z</dcterms:created>
  <dc:creator>BSKMadminDev</dc:creator>
  <cp:lastModifiedBy>fuxj</cp:lastModifiedBy>
  <dcterms:modified xsi:type="dcterms:W3CDTF">2022-05-12T06:04:34Z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127BEE4AB0514E11929AF2B8D10A1CD7</vt:lpwstr>
  </property>
</Properties>
</file>