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cs="Arial"/>
          <w:szCs w:val="21"/>
        </w:rPr>
        <w:sectPr>
          <w:footerReference r:id="rId3" w:type="even"/>
          <w:type w:val="continuous"/>
          <w:pgSz w:w="11906" w:h="16838"/>
          <w:pgMar w:top="1418" w:right="1701" w:bottom="1418" w:left="1701" w:header="851" w:footer="992" w:gutter="0"/>
          <w:cols w:space="425" w:num="1"/>
          <w:docGrid w:type="lines" w:linePitch="312" w:charSpace="0"/>
        </w:sectPr>
      </w:pPr>
      <w:bookmarkStart w:id="0" w:name="TITLE_0b885b7c4a164e0db299042cec4001b3"/>
    </w:p>
    <w:bookmarkEnd w:id="0"/>
    <w:p>
      <w:pPr>
        <w:adjustRightInd w:val="0"/>
        <w:snapToGrid w:val="0"/>
        <w:spacing w:line="360" w:lineRule="auto"/>
        <w:jc w:val="center"/>
        <w:rPr>
          <w:rFonts w:cs="Arial"/>
          <w:szCs w:val="21"/>
        </w:rPr>
      </w:pPr>
      <w:bookmarkStart w:id="1" w:name="CTS_ea91b302e9a246b186f4ac88363a4576"/>
      <w:bookmarkEnd w:id="1"/>
      <w:bookmarkStart w:id="2" w:name="CLAUSE_ea91b302e9a246b186f4ac88363a4576"/>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ascii="黑体" w:hAnsi="黑体" w:eastAsia="黑体" w:cs="Arial"/>
          <w:b/>
          <w:sz w:val="44"/>
          <w:szCs w:val="21"/>
        </w:rPr>
      </w:pPr>
      <w:r>
        <w:rPr>
          <w:rFonts w:hint="eastAsia" w:ascii="黑体" w:hAnsi="黑体" w:eastAsia="黑体" w:cs="Arial"/>
          <w:b/>
          <w:sz w:val="44"/>
          <w:szCs w:val="21"/>
        </w:rPr>
        <w:t>博时均衡优选混合型证券投资基金</w:t>
      </w:r>
    </w:p>
    <w:p>
      <w:pPr>
        <w:adjustRightInd w:val="0"/>
        <w:snapToGrid w:val="0"/>
        <w:spacing w:line="360" w:lineRule="auto"/>
        <w:jc w:val="center"/>
        <w:rPr>
          <w:rFonts w:ascii="黑体" w:hAnsi="黑体" w:eastAsia="黑体" w:cs="Arial"/>
          <w:b/>
          <w:sz w:val="44"/>
          <w:szCs w:val="21"/>
        </w:rPr>
      </w:pPr>
      <w:r>
        <w:rPr>
          <w:rFonts w:hint="eastAsia" w:ascii="黑体" w:hAnsi="黑体" w:eastAsia="黑体" w:cs="Arial"/>
          <w:b/>
          <w:sz w:val="44"/>
          <w:szCs w:val="21"/>
        </w:rPr>
        <w:t>托管协议</w:t>
      </w:r>
    </w:p>
    <w:p>
      <w:pPr>
        <w:adjustRightInd w:val="0"/>
        <w:snapToGrid w:val="0"/>
        <w:spacing w:line="360" w:lineRule="auto"/>
        <w:jc w:val="center"/>
        <w:rPr>
          <w:rFonts w:ascii="黑体" w:hAnsi="黑体" w:eastAsia="黑体" w:cs="Arial"/>
          <w:b/>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ind w:firstLine="1680" w:firstLineChars="600"/>
        <w:rPr>
          <w:rFonts w:ascii="黑体" w:hAnsi="黑体" w:eastAsia="黑体" w:cs="Arial"/>
          <w:bCs/>
          <w:sz w:val="28"/>
          <w:szCs w:val="21"/>
        </w:rPr>
      </w:pPr>
      <w:r>
        <w:rPr>
          <w:rFonts w:hint="eastAsia" w:ascii="黑体" w:hAnsi="黑体" w:eastAsia="黑体" w:cs="Arial"/>
          <w:bCs/>
          <w:sz w:val="28"/>
          <w:szCs w:val="21"/>
        </w:rPr>
        <w:t>基金管理人：博时基金管理有限公司</w:t>
      </w:r>
    </w:p>
    <w:p>
      <w:pPr>
        <w:adjustRightInd w:val="0"/>
        <w:snapToGrid w:val="0"/>
        <w:spacing w:line="360" w:lineRule="auto"/>
        <w:ind w:firstLine="1680" w:firstLineChars="600"/>
        <w:rPr>
          <w:rFonts w:ascii="黑体" w:hAnsi="黑体" w:eastAsia="黑体" w:cs="Arial"/>
          <w:bCs/>
          <w:sz w:val="28"/>
          <w:szCs w:val="21"/>
        </w:rPr>
      </w:pPr>
      <w:r>
        <w:rPr>
          <w:rFonts w:hint="eastAsia" w:ascii="黑体" w:hAnsi="黑体" w:eastAsia="黑体" w:cs="Arial"/>
          <w:bCs/>
          <w:sz w:val="28"/>
          <w:szCs w:val="21"/>
        </w:rPr>
        <w:t>基金托管人：招商银行股份有限公司</w:t>
      </w:r>
    </w:p>
    <w:p>
      <w:pPr>
        <w:adjustRightInd w:val="0"/>
        <w:snapToGrid w:val="0"/>
        <w:spacing w:line="360" w:lineRule="auto"/>
        <w:jc w:val="center"/>
        <w:rPr>
          <w:rFonts w:cs="Arial"/>
          <w:szCs w:val="21"/>
        </w:rPr>
      </w:pPr>
    </w:p>
    <w:p>
      <w:pPr>
        <w:adjustRightInd w:val="0"/>
        <w:snapToGrid w:val="0"/>
        <w:spacing w:line="360" w:lineRule="auto"/>
        <w:jc w:val="center"/>
        <w:rPr>
          <w:rFonts w:cs="Arial"/>
          <w:szCs w:val="21"/>
        </w:rPr>
      </w:pPr>
    </w:p>
    <w:p>
      <w:pPr>
        <w:adjustRightInd w:val="0"/>
        <w:snapToGrid w:val="0"/>
        <w:spacing w:line="360" w:lineRule="auto"/>
        <w:ind w:firstLine="2263" w:firstLineChars="1078"/>
        <w:rPr>
          <w:rFonts w:ascii="黑体" w:hAnsi="黑体" w:eastAsia="黑体" w:cs="Arial"/>
          <w:bCs/>
          <w:szCs w:val="21"/>
        </w:rPr>
      </w:pPr>
    </w:p>
    <w:p>
      <w:pPr>
        <w:adjustRightInd w:val="0"/>
        <w:snapToGrid w:val="0"/>
        <w:spacing w:line="360" w:lineRule="auto"/>
        <w:ind w:firstLine="2264"/>
        <w:jc w:val="center"/>
        <w:rPr>
          <w:szCs w:val="21"/>
        </w:rPr>
      </w:pPr>
    </w:p>
    <w:p>
      <w:pPr>
        <w:adjustRightInd w:val="0"/>
        <w:snapToGrid w:val="0"/>
        <w:spacing w:line="360" w:lineRule="auto"/>
        <w:rPr>
          <w:rFonts w:cs="Arial"/>
          <w:bCs/>
          <w:szCs w:val="21"/>
        </w:rPr>
      </w:pPr>
    </w:p>
    <w:bookmarkEnd w:id="2"/>
    <w:p>
      <w:pPr>
        <w:adjustRightInd w:val="0"/>
        <w:snapToGrid w:val="0"/>
        <w:spacing w:line="360" w:lineRule="auto"/>
        <w:rPr>
          <w:rFonts w:cs="Arial"/>
          <w:bCs/>
          <w:szCs w:val="21"/>
        </w:rPr>
        <w:sectPr>
          <w:type w:val="continuous"/>
          <w:pgSz w:w="11906" w:h="16838"/>
          <w:pgMar w:top="1418" w:right="1701" w:bottom="1418" w:left="1701" w:header="851" w:footer="992" w:gutter="0"/>
          <w:cols w:space="425" w:num="1"/>
          <w:docGrid w:type="lines" w:linePitch="312" w:charSpace="0"/>
        </w:sectPr>
      </w:pPr>
    </w:p>
    <w:p>
      <w:pPr>
        <w:adjustRightInd w:val="0"/>
        <w:snapToGrid w:val="0"/>
        <w:spacing w:line="360" w:lineRule="auto"/>
        <w:rPr>
          <w:rFonts w:cs="Arial"/>
          <w:bCs/>
          <w:szCs w:val="21"/>
        </w:rPr>
      </w:pPr>
      <w:bookmarkStart w:id="3" w:name="CLAUSE_aed7b4ecf7de483498f8f26b9760cac0"/>
    </w:p>
    <w:p>
      <w:pPr>
        <w:spacing w:line="360" w:lineRule="auto"/>
        <w:jc w:val="center"/>
        <w:rPr>
          <w:rFonts w:ascii="宋体" w:hAnsi="宋体"/>
          <w:b/>
          <w:bCs/>
          <w:sz w:val="32"/>
          <w:szCs w:val="32"/>
        </w:rPr>
      </w:pPr>
      <w:r>
        <w:rPr>
          <w:rFonts w:hint="eastAsia" w:ascii="宋体" w:hAnsi="宋体"/>
          <w:b/>
          <w:bCs/>
          <w:sz w:val="32"/>
          <w:szCs w:val="32"/>
        </w:rPr>
        <w:t>目录</w:t>
      </w:r>
    </w:p>
    <w:p>
      <w:pPr>
        <w:pStyle w:val="21"/>
        <w:tabs>
          <w:tab w:val="right" w:leader="dot" w:pos="8494"/>
        </w:tabs>
        <w:spacing w:line="360" w:lineRule="auto"/>
        <w:rPr>
          <w:rFonts w:asciiTheme="minorHAnsi" w:hAnsiTheme="minorHAnsi" w:eastAsiaTheme="minorEastAsia" w:cstheme="minorBidi"/>
          <w:szCs w:val="22"/>
        </w:rPr>
      </w:pPr>
      <w:r>
        <w:rPr>
          <w:rFonts w:ascii="宋体" w:hAnsi="宋体"/>
          <w:szCs w:val="21"/>
        </w:rPr>
        <w:fldChar w:fldCharType="begin"/>
      </w:r>
      <w:r>
        <w:rPr>
          <w:rFonts w:ascii="宋体" w:hAnsi="宋体"/>
          <w:szCs w:val="21"/>
        </w:rPr>
        <w:instrText xml:space="preserve"> TOC \o "1-2" \h \z </w:instrText>
      </w:r>
      <w:r>
        <w:rPr>
          <w:rFonts w:ascii="宋体" w:hAnsi="宋体"/>
          <w:szCs w:val="21"/>
        </w:rPr>
        <w:fldChar w:fldCharType="separate"/>
      </w:r>
      <w:r>
        <w:fldChar w:fldCharType="begin"/>
      </w:r>
      <w:r>
        <w:instrText xml:space="preserve"> HYPERLINK \l "_Toc501274913" </w:instrText>
      </w:r>
      <w:r>
        <w:fldChar w:fldCharType="separate"/>
      </w:r>
      <w:r>
        <w:rPr>
          <w:rStyle w:val="31"/>
          <w:rFonts w:hint="eastAsia" w:ascii="宋体" w:hAnsi="宋体"/>
          <w:color w:val="auto"/>
        </w:rPr>
        <w:t>一、基金托管协议当事人</w:t>
      </w:r>
      <w:r>
        <w:tab/>
      </w:r>
      <w:r>
        <w:rPr>
          <w:rFonts w:hint="eastAsia"/>
        </w:rPr>
        <w:t>1-</w:t>
      </w:r>
      <w:r>
        <w:fldChar w:fldCharType="begin"/>
      </w:r>
      <w:r>
        <w:instrText xml:space="preserve"> PAGEREF _Toc501274913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"_Toc501274914" </w:instrText>
      </w:r>
      <w:r>
        <w:fldChar w:fldCharType="separate"/>
      </w:r>
      <w:r>
        <w:rPr>
          <w:rStyle w:val="31"/>
          <w:rFonts w:hint="eastAsia" w:ascii="宋体" w:hAnsi="宋体"/>
          <w:color w:val="auto"/>
        </w:rPr>
        <w:t>二、基金托管协议的依据、目的和原则</w:t>
      </w:r>
      <w:r>
        <w:tab/>
      </w:r>
      <w:r>
        <w:rPr>
          <w:rFonts w:hint="eastAsia"/>
        </w:rPr>
        <w:t>2-</w:t>
      </w:r>
      <w:r>
        <w:fldChar w:fldCharType="begin"/>
      </w:r>
      <w:r>
        <w:instrText xml:space="preserve"> PAGEREF _Toc501274914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"_Toc501274915" </w:instrText>
      </w:r>
      <w:r>
        <w:fldChar w:fldCharType="separate"/>
      </w:r>
      <w:r>
        <w:rPr>
          <w:rStyle w:val="31"/>
          <w:rFonts w:hint="eastAsia" w:ascii="宋体" w:hAnsi="宋体"/>
          <w:color w:val="auto"/>
        </w:rPr>
        <w:t>三、基金托管人对基金管理人的业务监督和核查</w:t>
      </w:r>
      <w:r>
        <w:tab/>
      </w:r>
      <w:r>
        <w:rPr>
          <w:rFonts w:hint="eastAsia"/>
        </w:rPr>
        <w:t>3-</w:t>
      </w:r>
      <w:r>
        <w:fldChar w:fldCharType="begin"/>
      </w:r>
      <w:r>
        <w:instrText xml:space="preserve"> PAGEREF _Toc501274915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"_Toc501274916" </w:instrText>
      </w:r>
      <w:r>
        <w:fldChar w:fldCharType="separate"/>
      </w:r>
      <w:r>
        <w:rPr>
          <w:rStyle w:val="31"/>
          <w:rFonts w:hint="eastAsia" w:ascii="宋体" w:hAnsi="宋体"/>
          <w:color w:val="auto"/>
        </w:rPr>
        <w:t>四、基金管理人对基金托管人的业务核查</w:t>
      </w:r>
      <w:r>
        <w:tab/>
      </w:r>
      <w:r>
        <w:rPr>
          <w:rFonts w:hint="eastAsia"/>
        </w:rPr>
        <w:t>4-</w:t>
      </w:r>
      <w:r>
        <w:fldChar w:fldCharType="begin"/>
      </w:r>
      <w:r>
        <w:instrText xml:space="preserve"> PAGEREF _Toc501274916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"_Toc501274917" </w:instrText>
      </w:r>
      <w:r>
        <w:fldChar w:fldCharType="separate"/>
      </w:r>
      <w:r>
        <w:rPr>
          <w:rStyle w:val="31"/>
          <w:rFonts w:hint="eastAsia" w:ascii="宋体" w:hAnsi="宋体"/>
          <w:color w:val="auto"/>
        </w:rPr>
        <w:t>五、基金财产的保管</w:t>
      </w:r>
      <w:r>
        <w:tab/>
      </w:r>
      <w:r>
        <w:rPr>
          <w:rFonts w:hint="eastAsia"/>
        </w:rPr>
        <w:t>5-</w:t>
      </w:r>
      <w:r>
        <w:fldChar w:fldCharType="begin"/>
      </w:r>
      <w:r>
        <w:instrText xml:space="preserve"> PAGEREF _Toc501274917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"_Toc501274918" </w:instrText>
      </w:r>
      <w:r>
        <w:fldChar w:fldCharType="separate"/>
      </w:r>
      <w:r>
        <w:rPr>
          <w:rStyle w:val="31"/>
          <w:rFonts w:hint="eastAsia" w:ascii="宋体" w:hAnsi="宋体"/>
          <w:color w:val="auto"/>
        </w:rPr>
        <w:t>六、指令的发送、确认及执行</w:t>
      </w:r>
      <w:r>
        <w:tab/>
      </w:r>
      <w:r>
        <w:rPr>
          <w:rFonts w:hint="eastAsia"/>
        </w:rPr>
        <w:t>6-</w:t>
      </w:r>
      <w:r>
        <w:fldChar w:fldCharType="begin"/>
      </w:r>
      <w:r>
        <w:instrText xml:space="preserve"> PAGEREF _Toc501274918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"_Toc501274919" </w:instrText>
      </w:r>
      <w:r>
        <w:fldChar w:fldCharType="separate"/>
      </w:r>
      <w:r>
        <w:rPr>
          <w:rStyle w:val="31"/>
          <w:rFonts w:hint="eastAsia" w:ascii="宋体" w:hAnsi="宋体"/>
          <w:color w:val="auto"/>
        </w:rPr>
        <w:t>七、交易及清算交收安排</w:t>
      </w:r>
      <w:r>
        <w:tab/>
      </w:r>
      <w:r>
        <w:rPr>
          <w:rFonts w:hint="eastAsia"/>
        </w:rPr>
        <w:t>7-</w:t>
      </w:r>
      <w:r>
        <w:fldChar w:fldCharType="begin"/>
      </w:r>
      <w:r>
        <w:instrText xml:space="preserve"> PAGEREF _Toc501274919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"_Toc501274920" </w:instrText>
      </w:r>
      <w:r>
        <w:fldChar w:fldCharType="separate"/>
      </w:r>
      <w:r>
        <w:rPr>
          <w:rStyle w:val="31"/>
          <w:rFonts w:hint="eastAsia" w:ascii="宋体" w:hAnsi="宋体"/>
          <w:color w:val="auto"/>
        </w:rPr>
        <w:t>八、基金资产净值计算、估值和会计核算</w:t>
      </w:r>
      <w:r>
        <w:tab/>
      </w:r>
      <w:r>
        <w:rPr>
          <w:rFonts w:hint="eastAsia"/>
        </w:rPr>
        <w:t>8-</w:t>
      </w:r>
      <w:r>
        <w:fldChar w:fldCharType="begin"/>
      </w:r>
      <w:r>
        <w:instrText xml:space="preserve"> PAGEREF _Toc501274920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"_Toc501274921" </w:instrText>
      </w:r>
      <w:r>
        <w:fldChar w:fldCharType="separate"/>
      </w:r>
      <w:r>
        <w:rPr>
          <w:rStyle w:val="31"/>
          <w:rFonts w:hint="eastAsia" w:ascii="宋体" w:hAnsi="宋体"/>
          <w:color w:val="auto"/>
        </w:rPr>
        <w:t>九、基金收益分配</w:t>
      </w:r>
      <w:r>
        <w:tab/>
      </w:r>
      <w:r>
        <w:rPr>
          <w:rFonts w:hint="eastAsia"/>
        </w:rPr>
        <w:t>9-</w:t>
      </w:r>
      <w:r>
        <w:fldChar w:fldCharType="begin"/>
      </w:r>
      <w:r>
        <w:instrText xml:space="preserve"> PAGEREF _Toc501274921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"_Toc501274922" </w:instrText>
      </w:r>
      <w:r>
        <w:fldChar w:fldCharType="separate"/>
      </w:r>
      <w:r>
        <w:rPr>
          <w:rStyle w:val="31"/>
          <w:rFonts w:hint="eastAsia" w:ascii="宋体" w:hAnsi="宋体"/>
          <w:color w:val="auto"/>
        </w:rPr>
        <w:t>十、基金信息披露</w:t>
      </w:r>
      <w:r>
        <w:tab/>
      </w:r>
      <w:r>
        <w:rPr>
          <w:rFonts w:hint="eastAsia"/>
        </w:rPr>
        <w:t>10-</w:t>
      </w:r>
      <w:r>
        <w:fldChar w:fldCharType="begin"/>
      </w:r>
      <w:r>
        <w:instrText xml:space="preserve"> PAGEREF _Toc501274922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"_Toc501274923" </w:instrText>
      </w:r>
      <w:r>
        <w:fldChar w:fldCharType="separate"/>
      </w:r>
      <w:r>
        <w:rPr>
          <w:rStyle w:val="31"/>
          <w:rFonts w:hint="eastAsia" w:ascii="宋体" w:hAnsi="宋体"/>
          <w:color w:val="auto"/>
        </w:rPr>
        <w:t>十一、基金费用</w:t>
      </w:r>
      <w:r>
        <w:tab/>
      </w:r>
      <w:r>
        <w:rPr>
          <w:rFonts w:hint="eastAsia"/>
        </w:rPr>
        <w:t>11-</w:t>
      </w:r>
      <w:r>
        <w:fldChar w:fldCharType="begin"/>
      </w:r>
      <w:r>
        <w:instrText xml:space="preserve"> PAGEREF _Toc501274923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"_Toc501274924" </w:instrText>
      </w:r>
      <w:r>
        <w:fldChar w:fldCharType="separate"/>
      </w:r>
      <w:r>
        <w:rPr>
          <w:rStyle w:val="31"/>
          <w:rFonts w:hint="eastAsia" w:ascii="宋体" w:hAnsi="宋体"/>
          <w:color w:val="auto"/>
        </w:rPr>
        <w:t>十二、基金份额持有人名册的保管</w:t>
      </w:r>
      <w:r>
        <w:tab/>
      </w:r>
      <w:r>
        <w:rPr>
          <w:rFonts w:hint="eastAsia"/>
        </w:rPr>
        <w:t>12-</w:t>
      </w:r>
      <w:r>
        <w:fldChar w:fldCharType="begin"/>
      </w:r>
      <w:r>
        <w:instrText xml:space="preserve"> PAGEREF _Toc501274924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"_Toc501274925" </w:instrText>
      </w:r>
      <w:r>
        <w:fldChar w:fldCharType="separate"/>
      </w:r>
      <w:r>
        <w:rPr>
          <w:rStyle w:val="31"/>
          <w:rFonts w:hint="eastAsia" w:ascii="宋体" w:hAnsi="宋体"/>
          <w:color w:val="auto"/>
        </w:rPr>
        <w:t>十三、基金有关文件档案的保存</w:t>
      </w:r>
      <w:r>
        <w:tab/>
      </w:r>
      <w:r>
        <w:rPr>
          <w:rFonts w:hint="eastAsia"/>
        </w:rPr>
        <w:t>13-</w:t>
      </w:r>
      <w:r>
        <w:fldChar w:fldCharType="begin"/>
      </w:r>
      <w:r>
        <w:instrText xml:space="preserve"> PAGEREF _Toc501274925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"_Toc501274926" </w:instrText>
      </w:r>
      <w:r>
        <w:fldChar w:fldCharType="separate"/>
      </w:r>
      <w:r>
        <w:rPr>
          <w:rStyle w:val="31"/>
          <w:rFonts w:hint="eastAsia" w:ascii="宋体" w:hAnsi="宋体"/>
          <w:color w:val="auto"/>
        </w:rPr>
        <w:t>十四、基金管理人和基金托管人的更换</w:t>
      </w:r>
      <w:r>
        <w:tab/>
      </w:r>
      <w:r>
        <w:rPr>
          <w:rFonts w:hint="eastAsia"/>
        </w:rPr>
        <w:t>14-</w:t>
      </w:r>
      <w:r>
        <w:fldChar w:fldCharType="begin"/>
      </w:r>
      <w:r>
        <w:instrText xml:space="preserve"> PAGEREF _Toc501274926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"_Toc501274927" </w:instrText>
      </w:r>
      <w:r>
        <w:fldChar w:fldCharType="separate"/>
      </w:r>
      <w:r>
        <w:rPr>
          <w:rStyle w:val="31"/>
          <w:rFonts w:hint="eastAsia" w:ascii="宋体" w:hAnsi="宋体"/>
          <w:color w:val="auto"/>
        </w:rPr>
        <w:t>十五、禁止行为</w:t>
      </w:r>
      <w:r>
        <w:tab/>
      </w:r>
      <w:r>
        <w:rPr>
          <w:rFonts w:hint="eastAsia"/>
        </w:rPr>
        <w:t>15-</w:t>
      </w:r>
      <w:r>
        <w:fldChar w:fldCharType="begin"/>
      </w:r>
      <w:r>
        <w:instrText xml:space="preserve"> PAGEREF _Toc501274927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"_Toc501274928" </w:instrText>
      </w:r>
      <w:r>
        <w:fldChar w:fldCharType="separate"/>
      </w:r>
      <w:r>
        <w:rPr>
          <w:rStyle w:val="31"/>
          <w:rFonts w:hint="eastAsia" w:ascii="宋体" w:hAnsi="宋体"/>
          <w:color w:val="auto"/>
        </w:rPr>
        <w:t>十六、托管协议的变更、终止与基金财产的清算</w:t>
      </w:r>
      <w:r>
        <w:tab/>
      </w:r>
      <w:r>
        <w:rPr>
          <w:rFonts w:hint="eastAsia"/>
        </w:rPr>
        <w:t>16-</w:t>
      </w:r>
      <w:r>
        <w:fldChar w:fldCharType="begin"/>
      </w:r>
      <w:r>
        <w:instrText xml:space="preserve"> PAGEREF _Toc501274928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"_Toc501274929" </w:instrText>
      </w:r>
      <w:r>
        <w:fldChar w:fldCharType="separate"/>
      </w:r>
      <w:r>
        <w:rPr>
          <w:rStyle w:val="31"/>
          <w:rFonts w:hint="eastAsia" w:ascii="宋体" w:hAnsi="宋体"/>
          <w:color w:val="auto"/>
        </w:rPr>
        <w:t>十七、违约责任</w:t>
      </w:r>
      <w:r>
        <w:tab/>
      </w:r>
      <w:r>
        <w:rPr>
          <w:rFonts w:hint="eastAsia"/>
        </w:rPr>
        <w:t>17-</w:t>
      </w:r>
      <w:r>
        <w:fldChar w:fldCharType="begin"/>
      </w:r>
      <w:r>
        <w:instrText xml:space="preserve"> PAGEREF _Toc501274929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"_Toc501274930" </w:instrText>
      </w:r>
      <w:r>
        <w:fldChar w:fldCharType="separate"/>
      </w:r>
      <w:r>
        <w:rPr>
          <w:rStyle w:val="31"/>
          <w:rFonts w:hint="eastAsia" w:ascii="宋体" w:hAnsi="宋体"/>
          <w:color w:val="auto"/>
        </w:rPr>
        <w:t>十八、争议解决方式</w:t>
      </w:r>
      <w:r>
        <w:tab/>
      </w:r>
      <w:r>
        <w:rPr>
          <w:rFonts w:hint="eastAsia"/>
        </w:rPr>
        <w:t>18-</w:t>
      </w:r>
      <w:r>
        <w:fldChar w:fldCharType="begin"/>
      </w:r>
      <w:r>
        <w:instrText xml:space="preserve"> PAGEREF _Toc501274930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"_Toc501274931" </w:instrText>
      </w:r>
      <w:r>
        <w:fldChar w:fldCharType="separate"/>
      </w:r>
      <w:r>
        <w:rPr>
          <w:rStyle w:val="31"/>
          <w:rFonts w:hint="eastAsia" w:ascii="宋体" w:hAnsi="宋体"/>
          <w:color w:val="auto"/>
        </w:rPr>
        <w:t>十九、托管协议的效力</w:t>
      </w:r>
      <w:r>
        <w:tab/>
      </w:r>
      <w:r>
        <w:rPr>
          <w:rFonts w:hint="eastAsia"/>
        </w:rPr>
        <w:t>19-</w:t>
      </w:r>
      <w:r>
        <w:fldChar w:fldCharType="begin"/>
      </w:r>
      <w:r>
        <w:instrText xml:space="preserve"> PAGEREF _Toc501274931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"_Toc501274932" </w:instrText>
      </w:r>
      <w:r>
        <w:fldChar w:fldCharType="separate"/>
      </w:r>
      <w:r>
        <w:rPr>
          <w:rStyle w:val="31"/>
          <w:rFonts w:hint="eastAsia" w:ascii="宋体" w:hAnsi="宋体"/>
          <w:color w:val="auto"/>
        </w:rPr>
        <w:t>二十、其他事项</w:t>
      </w:r>
      <w:r>
        <w:tab/>
      </w:r>
      <w:r>
        <w:rPr>
          <w:rFonts w:hint="eastAsia"/>
        </w:rPr>
        <w:t>20-</w:t>
      </w:r>
      <w:r>
        <w:fldChar w:fldCharType="begin"/>
      </w:r>
      <w:r>
        <w:instrText xml:space="preserve"> PAGEREF _Toc501274932 \h </w:instrText>
      </w:r>
      <w:r>
        <w:fldChar w:fldCharType="separate"/>
      </w:r>
      <w:r>
        <w:t>1</w:t>
      </w:r>
      <w:r>
        <w:fldChar w:fldCharType="end"/>
      </w:r>
      <w:r>
        <w:fldChar w:fldCharType="end"/>
      </w:r>
    </w:p>
    <w:p>
      <w:pPr>
        <w:pStyle w:val="21"/>
        <w:tabs>
          <w:tab w:val="right" w:leader="dot" w:pos="8494"/>
        </w:tabs>
        <w:spacing w:line="360" w:lineRule="auto"/>
        <w:rPr>
          <w:rFonts w:asciiTheme="minorHAnsi" w:hAnsiTheme="minorHAnsi" w:eastAsiaTheme="minorEastAsia" w:cstheme="minorBidi"/>
          <w:szCs w:val="22"/>
        </w:rPr>
      </w:pPr>
      <w:r>
        <w:fldChar w:fldCharType="begin"/>
      </w:r>
      <w:r>
        <w:instrText xml:space="preserve"> HYPERLINK \l "_Toc501274933" </w:instrText>
      </w:r>
      <w:r>
        <w:fldChar w:fldCharType="separate"/>
      </w:r>
      <w:r>
        <w:rPr>
          <w:rStyle w:val="31"/>
          <w:rFonts w:hint="eastAsia" w:ascii="宋体" w:hAnsi="宋体"/>
          <w:color w:val="auto"/>
        </w:rPr>
        <w:t>二十一、托管协议的签订</w:t>
      </w:r>
      <w:r>
        <w:tab/>
      </w:r>
      <w:r>
        <w:rPr>
          <w:rFonts w:hint="eastAsia"/>
        </w:rPr>
        <w:t>21-</w:t>
      </w:r>
      <w:r>
        <w:fldChar w:fldCharType="begin"/>
      </w:r>
      <w:r>
        <w:instrText xml:space="preserve"> PAGEREF _Toc501274933 \h </w:instrText>
      </w:r>
      <w:r>
        <w:fldChar w:fldCharType="separate"/>
      </w:r>
      <w:r>
        <w:t>1</w:t>
      </w:r>
      <w:r>
        <w:fldChar w:fldCharType="end"/>
      </w:r>
      <w:r>
        <w:fldChar w:fldCharType="end"/>
      </w:r>
    </w:p>
    <w:p>
      <w:pPr>
        <w:spacing w:line="360" w:lineRule="auto"/>
        <w:rPr>
          <w:rFonts w:ascii="宋体" w:hAnsi="宋体"/>
          <w:szCs w:val="21"/>
        </w:rPr>
      </w:pPr>
      <w:r>
        <w:rPr>
          <w:rFonts w:ascii="宋体" w:hAnsi="宋体"/>
          <w:szCs w:val="21"/>
        </w:rPr>
        <w:fldChar w:fldCharType="end"/>
      </w:r>
    </w:p>
    <w:bookmarkEnd w:id="3"/>
    <w:p>
      <w:pPr>
        <w:spacing w:line="360" w:lineRule="auto"/>
        <w:rPr>
          <w:rFonts w:ascii="宋体" w:hAnsi="宋体"/>
          <w:szCs w:val="21"/>
        </w:rPr>
        <w:sectPr>
          <w:headerReference r:id="rId4" w:type="default"/>
          <w:footerReference r:id="rId5" w:type="default"/>
          <w:pgSz w:w="11906" w:h="16838"/>
          <w:pgMar w:top="1418" w:right="1701" w:bottom="1418" w:left="1701" w:header="851" w:footer="992" w:gutter="0"/>
          <w:cols w:space="425" w:num="1"/>
          <w:docGrid w:type="lines" w:linePitch="312" w:charSpace="0"/>
        </w:sectPr>
      </w:pPr>
    </w:p>
    <w:p>
      <w:pPr>
        <w:spacing w:line="360" w:lineRule="auto"/>
        <w:rPr>
          <w:rFonts w:ascii="宋体" w:hAnsi="宋体"/>
          <w:szCs w:val="21"/>
        </w:rPr>
      </w:pPr>
      <w:bookmarkStart w:id="4" w:name="CLAUSE_92aea35d71684145a8daebe5bc6a7c69"/>
    </w:p>
    <w:p>
      <w:pPr>
        <w:widowControl/>
        <w:spacing w:line="360" w:lineRule="auto"/>
        <w:ind w:firstLine="420" w:firstLineChars="200"/>
        <w:rPr>
          <w:rFonts w:ascii="宋体" w:hAnsi="宋体" w:cs="Arial"/>
          <w:kern w:val="0"/>
          <w:szCs w:val="21"/>
        </w:rPr>
      </w:pPr>
      <w:r>
        <w:rPr>
          <w:rFonts w:hint="eastAsia" w:ascii="宋体" w:hAnsi="宋体" w:cs="Arial"/>
          <w:kern w:val="0"/>
          <w:szCs w:val="21"/>
        </w:rPr>
        <w:t>鉴于</w:t>
      </w:r>
      <w:r>
        <w:rPr>
          <w:rFonts w:hint="eastAsia" w:ascii="宋体" w:hAnsi="宋体" w:cs="Arial"/>
          <w:szCs w:val="21"/>
        </w:rPr>
        <w:t>博时基金管理有限公司</w:t>
      </w:r>
      <w:r>
        <w:rPr>
          <w:rFonts w:hint="eastAsia" w:ascii="宋体" w:hAnsi="宋体" w:cs="Arial"/>
          <w:kern w:val="0"/>
          <w:szCs w:val="21"/>
        </w:rPr>
        <w:t>系一家依照中国法律合法成立并有效存续的有限责任公司，按照相关法律法规的规定具备担任基金管理人的资格和能力，拟募集发行博时均衡优选混合型证券投资基金；</w:t>
      </w:r>
    </w:p>
    <w:p>
      <w:pPr>
        <w:widowControl/>
        <w:spacing w:line="360" w:lineRule="auto"/>
        <w:ind w:firstLine="420" w:firstLineChars="200"/>
        <w:rPr>
          <w:rFonts w:ascii="宋体" w:hAnsi="宋体" w:cs="Arial"/>
          <w:kern w:val="0"/>
          <w:szCs w:val="21"/>
        </w:rPr>
      </w:pPr>
      <w:r>
        <w:rPr>
          <w:rFonts w:hint="eastAsia" w:ascii="宋体" w:hAnsi="宋体" w:cs="Arial"/>
          <w:kern w:val="0"/>
          <w:szCs w:val="21"/>
        </w:rPr>
        <w:t>鉴于招商银行股份有限公司系一家依照中国法律合法成立并有效存续的银行，按照相关法律法规的规定具备担任基金托管人的资格和能力；</w:t>
      </w:r>
    </w:p>
    <w:p>
      <w:pPr>
        <w:widowControl/>
        <w:spacing w:line="360" w:lineRule="auto"/>
        <w:ind w:firstLine="420" w:firstLineChars="200"/>
        <w:rPr>
          <w:rFonts w:ascii="宋体" w:hAnsi="宋体" w:cs="Arial"/>
          <w:kern w:val="0"/>
          <w:szCs w:val="21"/>
        </w:rPr>
      </w:pPr>
      <w:r>
        <w:rPr>
          <w:rFonts w:hint="eastAsia" w:ascii="宋体" w:hAnsi="宋体" w:cs="Arial"/>
          <w:kern w:val="0"/>
          <w:szCs w:val="21"/>
        </w:rPr>
        <w:t>鉴于</w:t>
      </w:r>
      <w:r>
        <w:rPr>
          <w:rFonts w:hint="eastAsia" w:ascii="宋体" w:hAnsi="宋体" w:cs="Arial"/>
          <w:szCs w:val="21"/>
        </w:rPr>
        <w:t>博时基金管理有限公司</w:t>
      </w:r>
      <w:r>
        <w:rPr>
          <w:rFonts w:hint="eastAsia" w:ascii="宋体" w:hAnsi="宋体" w:cs="Arial"/>
          <w:kern w:val="0"/>
          <w:szCs w:val="21"/>
        </w:rPr>
        <w:t>拟担任博时均衡优选混合型证券投资基金的基金管理人，招商银行股份有限公司拟担任博时均衡优选混合型证券投资基金的基金托管人；</w:t>
      </w:r>
    </w:p>
    <w:p>
      <w:pPr>
        <w:widowControl/>
        <w:spacing w:line="360" w:lineRule="auto"/>
        <w:ind w:firstLine="420" w:firstLineChars="200"/>
        <w:rPr>
          <w:rFonts w:ascii="宋体" w:hAnsi="宋体" w:cs="Arial"/>
          <w:kern w:val="0"/>
          <w:szCs w:val="21"/>
        </w:rPr>
      </w:pPr>
      <w:r>
        <w:rPr>
          <w:rFonts w:hint="eastAsia" w:ascii="宋体" w:hAnsi="宋体" w:cs="Arial"/>
          <w:kern w:val="0"/>
          <w:szCs w:val="21"/>
        </w:rPr>
        <w:t>为明确博时均衡优选混合型证券投资基金的基金管理人和基金托管人之间的权利义务关系，特制订本托管协议；</w:t>
      </w:r>
    </w:p>
    <w:p>
      <w:pPr>
        <w:widowControl/>
        <w:spacing w:line="360" w:lineRule="auto"/>
        <w:ind w:firstLine="420" w:firstLineChars="200"/>
        <w:rPr>
          <w:rFonts w:ascii="宋体" w:hAnsi="宋体"/>
          <w:kern w:val="0"/>
        </w:rPr>
      </w:pPr>
      <w:r>
        <w:rPr>
          <w:rFonts w:hint="eastAsia" w:ascii="宋体" w:hAnsi="宋体"/>
          <w:kern w:val="0"/>
        </w:rPr>
        <w:t>除非另有约定，《</w:t>
      </w:r>
      <w:r>
        <w:rPr>
          <w:rFonts w:hint="eastAsia" w:ascii="宋体" w:hAnsi="宋体" w:cs="Arial"/>
          <w:kern w:val="0"/>
          <w:szCs w:val="21"/>
        </w:rPr>
        <w:t>博时均衡优选混合型证券投资基金基金合同》</w:t>
      </w:r>
      <w:r>
        <w:rPr>
          <w:rFonts w:hint="eastAsia" w:ascii="宋体" w:hAnsi="宋体"/>
          <w:kern w:val="0"/>
        </w:rPr>
        <w:t>(以下简称“基金合同”或“《基金合同》”)中定义的术语在用于本托管协议时应具有相同的含义，若有抵触应以基金合同为准。</w:t>
      </w:r>
    </w:p>
    <w:p>
      <w:pPr>
        <w:widowControl/>
        <w:spacing w:line="360" w:lineRule="auto"/>
        <w:ind w:firstLine="420" w:firstLineChars="200"/>
        <w:rPr>
          <w:rFonts w:ascii="宋体" w:hAnsi="宋体"/>
          <w:kern w:val="0"/>
        </w:rPr>
      </w:pPr>
      <w:r>
        <w:rPr>
          <w:rFonts w:hint="eastAsia" w:ascii="宋体" w:hAnsi="宋体"/>
          <w:kern w:val="0"/>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widowControl/>
        <w:spacing w:line="360" w:lineRule="auto"/>
        <w:ind w:firstLine="420" w:firstLineChars="200"/>
        <w:rPr>
          <w:rFonts w:ascii="宋体" w:hAnsi="宋体"/>
          <w:kern w:val="0"/>
        </w:rPr>
      </w:pPr>
      <w:r>
        <w:rPr>
          <w:rFonts w:hint="eastAsia" w:ascii="宋体" w:hAnsi="宋体"/>
          <w:kern w:val="0"/>
        </w:rPr>
        <w:t>侧袋机制实施期间，本基金的投资组合比例、投资策略、组合限制、业绩比较基准、风险收益特征等约定仅适用于主袋账户。</w:t>
      </w:r>
    </w:p>
    <w:p>
      <w:pPr>
        <w:widowControl/>
        <w:spacing w:line="360" w:lineRule="auto"/>
        <w:ind w:firstLine="420" w:firstLineChars="200"/>
        <w:rPr>
          <w:rFonts w:ascii="宋体" w:hAnsi="宋体"/>
          <w:kern w:val="0"/>
        </w:rPr>
      </w:pPr>
      <w:r>
        <w:rPr>
          <w:rFonts w:hint="eastAsia" w:ascii="宋体" w:hAnsi="宋体"/>
          <w:kern w:val="0"/>
        </w:rPr>
        <w:t>侧袋账户的实施条件、实施程序、运作安排（包括</w:t>
      </w:r>
      <w:r>
        <w:rPr>
          <w:rFonts w:ascii="宋体" w:hAnsi="宋体"/>
          <w:kern w:val="0"/>
        </w:rPr>
        <w:t>但不限于对基金赎回的影响、信息披露、费用列支等</w:t>
      </w:r>
      <w:r>
        <w:rPr>
          <w:rFonts w:hint="eastAsia" w:ascii="宋体" w:hAnsi="宋体"/>
          <w:kern w:val="0"/>
        </w:rPr>
        <w:t>）、投资安排、特定资产的处置变现和支付等对投资者权益有重大影响的事项详见基金</w:t>
      </w:r>
      <w:r>
        <w:rPr>
          <w:rFonts w:ascii="宋体" w:hAnsi="宋体"/>
          <w:kern w:val="0"/>
        </w:rPr>
        <w:t>合同和</w:t>
      </w:r>
      <w:r>
        <w:rPr>
          <w:rFonts w:hint="eastAsia" w:ascii="宋体" w:hAnsi="宋体"/>
          <w:kern w:val="0"/>
        </w:rPr>
        <w:t>招募说明书的规定。</w:t>
      </w:r>
    </w:p>
    <w:p>
      <w:pPr>
        <w:pStyle w:val="4"/>
        <w:ind w:firstLine="0" w:firstLineChars="0"/>
      </w:pPr>
    </w:p>
    <w:bookmarkEnd w:id="4"/>
    <w:p>
      <w:pPr>
        <w:pStyle w:val="4"/>
        <w:sectPr>
          <w:footerReference r:id="rId6" w:type="default"/>
          <w:pgSz w:w="11906" w:h="16838"/>
          <w:pgMar w:top="1418" w:right="1701" w:bottom="1418" w:left="1701" w:header="851" w:footer="992" w:gutter="0"/>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5" w:name="_Toc501274913"/>
      <w:bookmarkStart w:id="6" w:name="_Toc348082029"/>
      <w:bookmarkStart w:id="7" w:name="_Toc384992691"/>
      <w:bookmarkStart w:id="8" w:name="CLAUSE_2bc36efce57a4e6b8cf8b125afef7750"/>
      <w:r>
        <w:rPr>
          <w:rFonts w:hint="eastAsia" w:ascii="宋体" w:hAnsi="宋体" w:eastAsia="宋体"/>
          <w:sz w:val="21"/>
          <w:szCs w:val="21"/>
        </w:rPr>
        <w:t>一、基金托管协议当事人</w:t>
      </w:r>
      <w:bookmarkEnd w:id="5"/>
      <w:bookmarkEnd w:id="6"/>
      <w:bookmarkEnd w:id="7"/>
    </w:p>
    <w:p>
      <w:pPr>
        <w:spacing w:line="360" w:lineRule="auto"/>
        <w:ind w:firstLine="420" w:firstLineChars="200"/>
        <w:rPr>
          <w:rFonts w:ascii="宋体" w:hAnsi="宋体" w:cs="Arial"/>
          <w:szCs w:val="21"/>
        </w:rPr>
      </w:pPr>
      <w:r>
        <w:rPr>
          <w:rFonts w:hint="eastAsia" w:ascii="宋体" w:hAnsi="宋体" w:cs="Arial"/>
          <w:szCs w:val="21"/>
        </w:rPr>
        <w:t>（一）基金管理人（也可称资产管理人）</w:t>
      </w:r>
    </w:p>
    <w:p>
      <w:pPr>
        <w:spacing w:line="360" w:lineRule="auto"/>
        <w:ind w:firstLine="420" w:firstLineChars="200"/>
        <w:rPr>
          <w:rFonts w:ascii="宋体" w:hAnsi="宋体" w:cs="Arial"/>
          <w:szCs w:val="21"/>
        </w:rPr>
      </w:pPr>
      <w:r>
        <w:rPr>
          <w:rFonts w:hint="eastAsia" w:ascii="宋体" w:hAnsi="宋体" w:cs="Arial"/>
          <w:szCs w:val="21"/>
        </w:rPr>
        <w:t>名称：博时基金管理有限公司</w:t>
      </w:r>
    </w:p>
    <w:p>
      <w:pPr>
        <w:spacing w:line="360" w:lineRule="auto"/>
        <w:ind w:firstLine="420" w:firstLineChars="200"/>
        <w:rPr>
          <w:rFonts w:ascii="宋体" w:hAnsi="宋体" w:cs="Arial"/>
          <w:szCs w:val="21"/>
        </w:rPr>
      </w:pPr>
      <w:r>
        <w:rPr>
          <w:rFonts w:hint="eastAsia" w:ascii="宋体" w:hAnsi="宋体" w:cs="Arial"/>
          <w:szCs w:val="21"/>
        </w:rPr>
        <w:t>住所：深圳市福田区莲花街道福新社区益田路5999号基金大厦21层</w:t>
      </w:r>
    </w:p>
    <w:p>
      <w:pPr>
        <w:spacing w:line="360" w:lineRule="auto"/>
        <w:ind w:firstLine="420" w:firstLineChars="200"/>
        <w:rPr>
          <w:rFonts w:ascii="宋体" w:hAnsi="宋体" w:cs="Arial"/>
          <w:szCs w:val="21"/>
        </w:rPr>
      </w:pPr>
      <w:r>
        <w:rPr>
          <w:rFonts w:hint="eastAsia" w:ascii="宋体" w:hAnsi="宋体" w:cs="Arial"/>
          <w:szCs w:val="21"/>
        </w:rPr>
        <w:t>办公地址：广东省深圳市福田区益田路5999号基金大厦21层</w:t>
      </w:r>
    </w:p>
    <w:p>
      <w:pPr>
        <w:spacing w:line="360" w:lineRule="auto"/>
        <w:ind w:firstLine="420" w:firstLineChars="200"/>
        <w:rPr>
          <w:rFonts w:ascii="宋体" w:hAnsi="宋体" w:cs="Arial"/>
          <w:szCs w:val="21"/>
        </w:rPr>
      </w:pPr>
      <w:r>
        <w:rPr>
          <w:rFonts w:hint="eastAsia" w:ascii="宋体" w:hAnsi="宋体" w:cs="Arial"/>
          <w:szCs w:val="21"/>
        </w:rPr>
        <w:t>邮政编码：518040</w:t>
      </w:r>
    </w:p>
    <w:p>
      <w:pPr>
        <w:spacing w:line="360" w:lineRule="auto"/>
        <w:ind w:firstLine="420" w:firstLineChars="200"/>
        <w:rPr>
          <w:rFonts w:ascii="宋体" w:hAnsi="宋体" w:cs="Arial"/>
          <w:szCs w:val="21"/>
        </w:rPr>
      </w:pPr>
      <w:r>
        <w:rPr>
          <w:rFonts w:hint="eastAsia" w:ascii="宋体" w:hAnsi="宋体" w:cs="Arial"/>
          <w:szCs w:val="21"/>
        </w:rPr>
        <w:t>法定代表人：江向阳</w:t>
      </w:r>
    </w:p>
    <w:p>
      <w:pPr>
        <w:spacing w:line="360" w:lineRule="auto"/>
        <w:ind w:firstLine="420" w:firstLineChars="200"/>
        <w:rPr>
          <w:rFonts w:ascii="宋体" w:hAnsi="宋体" w:cs="Arial"/>
          <w:szCs w:val="21"/>
        </w:rPr>
      </w:pPr>
      <w:r>
        <w:rPr>
          <w:rFonts w:hint="eastAsia" w:ascii="宋体" w:hAnsi="宋体" w:cs="Arial"/>
          <w:szCs w:val="21"/>
        </w:rPr>
        <w:t>成立时间：1998年7月13日</w:t>
      </w:r>
    </w:p>
    <w:p>
      <w:pPr>
        <w:spacing w:line="360" w:lineRule="auto"/>
        <w:ind w:firstLine="420" w:firstLineChars="200"/>
        <w:rPr>
          <w:rFonts w:ascii="宋体" w:hAnsi="宋体" w:cs="Arial"/>
          <w:szCs w:val="21"/>
        </w:rPr>
      </w:pPr>
      <w:r>
        <w:rPr>
          <w:rFonts w:hint="eastAsia" w:ascii="宋体" w:hAnsi="宋体" w:cs="Arial"/>
          <w:szCs w:val="21"/>
        </w:rPr>
        <w:t>批准设立机关：中国证券监督管理委员会</w:t>
      </w:r>
    </w:p>
    <w:p>
      <w:pPr>
        <w:spacing w:line="360" w:lineRule="auto"/>
        <w:ind w:firstLine="420" w:firstLineChars="200"/>
        <w:rPr>
          <w:rFonts w:ascii="宋体" w:hAnsi="宋体" w:cs="Arial"/>
          <w:szCs w:val="21"/>
        </w:rPr>
      </w:pPr>
      <w:r>
        <w:rPr>
          <w:rFonts w:hint="eastAsia" w:ascii="宋体" w:hAnsi="宋体" w:cs="Arial"/>
          <w:szCs w:val="21"/>
        </w:rPr>
        <w:t>批准设立文号：中国证监会证监基字【1998】26号</w:t>
      </w:r>
    </w:p>
    <w:p>
      <w:pPr>
        <w:spacing w:line="360" w:lineRule="auto"/>
        <w:ind w:firstLine="420" w:firstLineChars="200"/>
        <w:rPr>
          <w:rFonts w:ascii="宋体" w:hAnsi="宋体" w:cs="Arial"/>
          <w:szCs w:val="21"/>
        </w:rPr>
      </w:pPr>
      <w:r>
        <w:rPr>
          <w:rFonts w:hint="eastAsia" w:ascii="宋体" w:hAnsi="宋体" w:cs="Arial"/>
          <w:szCs w:val="21"/>
        </w:rPr>
        <w:t>组织形式：有限责任公司</w:t>
      </w:r>
    </w:p>
    <w:p>
      <w:pPr>
        <w:spacing w:line="360" w:lineRule="auto"/>
        <w:ind w:firstLine="420" w:firstLineChars="200"/>
        <w:rPr>
          <w:rFonts w:ascii="宋体" w:hAnsi="宋体" w:cs="Arial"/>
          <w:szCs w:val="21"/>
        </w:rPr>
      </w:pPr>
      <w:r>
        <w:rPr>
          <w:rFonts w:hint="eastAsia" w:ascii="宋体" w:hAnsi="宋体" w:cs="Arial"/>
          <w:szCs w:val="21"/>
        </w:rPr>
        <w:t>注册资本：2.5亿元人民币</w:t>
      </w:r>
    </w:p>
    <w:p>
      <w:pPr>
        <w:spacing w:line="360" w:lineRule="auto"/>
        <w:ind w:firstLine="420" w:firstLineChars="200"/>
        <w:rPr>
          <w:rFonts w:ascii="宋体" w:hAnsi="宋体" w:cs="Arial"/>
          <w:szCs w:val="21"/>
        </w:rPr>
      </w:pPr>
      <w:r>
        <w:rPr>
          <w:rFonts w:hint="eastAsia" w:ascii="宋体" w:hAnsi="宋体" w:cs="Arial"/>
          <w:szCs w:val="21"/>
        </w:rPr>
        <w:t>存续期间：持续经营</w:t>
      </w:r>
    </w:p>
    <w:p>
      <w:pPr>
        <w:spacing w:line="360" w:lineRule="auto"/>
        <w:ind w:firstLine="420" w:firstLineChars="200"/>
        <w:rPr>
          <w:rFonts w:ascii="宋体" w:hAnsi="宋体" w:cs="Arial"/>
          <w:szCs w:val="21"/>
        </w:rPr>
      </w:pPr>
      <w:r>
        <w:rPr>
          <w:rFonts w:hint="eastAsia" w:ascii="宋体" w:hAnsi="宋体" w:cs="Arial"/>
          <w:szCs w:val="21"/>
        </w:rPr>
        <w:t>经营范围：基金募集；基金销售；资产管理以及中国证监会许可的其它业务。</w:t>
      </w:r>
    </w:p>
    <w:p>
      <w:pPr>
        <w:spacing w:line="360" w:lineRule="auto"/>
        <w:ind w:firstLine="420" w:firstLineChars="200"/>
        <w:rPr>
          <w:rFonts w:ascii="宋体" w:hAnsi="宋体" w:cs="Arial"/>
          <w:szCs w:val="21"/>
        </w:rPr>
      </w:pPr>
      <w:r>
        <w:rPr>
          <w:rFonts w:hint="eastAsia" w:ascii="宋体" w:hAnsi="宋体" w:cs="Arial"/>
          <w:szCs w:val="21"/>
        </w:rPr>
        <w:t>（二）基金托管人（也可称资产托管人）</w:t>
      </w:r>
    </w:p>
    <w:p>
      <w:pPr>
        <w:spacing w:line="360" w:lineRule="auto"/>
        <w:ind w:firstLine="420" w:firstLineChars="200"/>
        <w:rPr>
          <w:rFonts w:ascii="宋体" w:hAnsi="宋体" w:cs="Arial"/>
          <w:szCs w:val="21"/>
        </w:rPr>
      </w:pPr>
      <w:r>
        <w:rPr>
          <w:rFonts w:hint="eastAsia" w:ascii="宋体" w:hAnsi="宋体" w:cs="Arial"/>
          <w:szCs w:val="21"/>
        </w:rPr>
        <w:t>名称：招商银行股份有限公司(简称：招商银行)</w:t>
      </w:r>
    </w:p>
    <w:p>
      <w:pPr>
        <w:spacing w:line="360" w:lineRule="auto"/>
        <w:ind w:firstLine="420" w:firstLineChars="200"/>
        <w:rPr>
          <w:rFonts w:ascii="宋体" w:hAnsi="宋体" w:cs="Arial"/>
          <w:szCs w:val="21"/>
        </w:rPr>
      </w:pPr>
      <w:r>
        <w:rPr>
          <w:rFonts w:hint="eastAsia" w:ascii="宋体" w:hAnsi="宋体" w:cs="Arial"/>
          <w:szCs w:val="21"/>
        </w:rPr>
        <w:t>住所：深圳市深南大道7088号招商银行大厦</w:t>
      </w:r>
    </w:p>
    <w:p>
      <w:pPr>
        <w:spacing w:line="360" w:lineRule="auto"/>
        <w:ind w:firstLine="420" w:firstLineChars="200"/>
        <w:rPr>
          <w:rFonts w:ascii="宋体" w:hAnsi="宋体" w:cs="Arial"/>
          <w:szCs w:val="21"/>
        </w:rPr>
      </w:pPr>
      <w:r>
        <w:rPr>
          <w:rFonts w:hint="eastAsia" w:ascii="宋体" w:hAnsi="宋体" w:cs="Arial"/>
          <w:szCs w:val="21"/>
        </w:rPr>
        <w:t>办公地址：深圳市深南大道7088号招商银行大厦</w:t>
      </w:r>
    </w:p>
    <w:p>
      <w:pPr>
        <w:spacing w:line="360" w:lineRule="auto"/>
        <w:ind w:firstLine="420" w:firstLineChars="200"/>
        <w:rPr>
          <w:rFonts w:ascii="宋体" w:hAnsi="宋体" w:cs="Arial"/>
          <w:szCs w:val="21"/>
        </w:rPr>
      </w:pPr>
      <w:r>
        <w:rPr>
          <w:rFonts w:hint="eastAsia" w:ascii="宋体" w:hAnsi="宋体" w:cs="Arial"/>
          <w:szCs w:val="21"/>
        </w:rPr>
        <w:t>邮政编码：518040</w:t>
      </w:r>
    </w:p>
    <w:p>
      <w:pPr>
        <w:spacing w:line="360" w:lineRule="auto"/>
        <w:ind w:firstLine="420" w:firstLineChars="200"/>
        <w:rPr>
          <w:rFonts w:ascii="宋体" w:hAnsi="宋体" w:cs="Arial"/>
          <w:szCs w:val="21"/>
        </w:rPr>
      </w:pPr>
      <w:r>
        <w:rPr>
          <w:rFonts w:hint="eastAsia" w:ascii="宋体" w:hAnsi="宋体" w:cs="Arial"/>
          <w:szCs w:val="21"/>
        </w:rPr>
        <w:t>法定代表人：缪建民</w:t>
      </w:r>
    </w:p>
    <w:p>
      <w:pPr>
        <w:spacing w:line="360" w:lineRule="auto"/>
        <w:ind w:firstLine="420" w:firstLineChars="200"/>
        <w:rPr>
          <w:rFonts w:ascii="宋体" w:hAnsi="宋体" w:cs="Arial"/>
          <w:szCs w:val="21"/>
        </w:rPr>
      </w:pPr>
      <w:r>
        <w:rPr>
          <w:rFonts w:hint="eastAsia" w:ascii="宋体" w:hAnsi="宋体" w:cs="Arial"/>
          <w:szCs w:val="21"/>
        </w:rPr>
        <w:t>成立时间：1987年4月8日</w:t>
      </w:r>
    </w:p>
    <w:p>
      <w:pPr>
        <w:spacing w:line="360" w:lineRule="auto"/>
        <w:ind w:firstLine="420" w:firstLineChars="200"/>
        <w:rPr>
          <w:rFonts w:ascii="宋体" w:hAnsi="宋体" w:cs="Arial"/>
          <w:szCs w:val="21"/>
        </w:rPr>
      </w:pPr>
      <w:r>
        <w:rPr>
          <w:rFonts w:hint="eastAsia" w:ascii="宋体" w:hAnsi="宋体" w:cs="宋体"/>
          <w:color w:val="333333"/>
          <w:kern w:val="0"/>
          <w:szCs w:val="21"/>
        </w:rPr>
        <w:t>批准设立机关及批准设立文号：</w:t>
      </w:r>
      <w:r>
        <w:rPr>
          <w:rStyle w:val="32"/>
          <w:rFonts w:hint="eastAsia"/>
        </w:rPr>
        <w:t>中国人民银行银复字（1986）175号文、银复（1987）86号文</w:t>
      </w:r>
    </w:p>
    <w:p>
      <w:pPr>
        <w:spacing w:line="360" w:lineRule="auto"/>
        <w:ind w:firstLine="420" w:firstLineChars="200"/>
        <w:rPr>
          <w:rFonts w:ascii="宋体" w:hAnsi="宋体" w:cs="Arial"/>
          <w:szCs w:val="21"/>
        </w:rPr>
      </w:pPr>
      <w:r>
        <w:rPr>
          <w:rFonts w:hint="eastAsia" w:ascii="宋体" w:hAnsi="宋体" w:cs="Arial"/>
          <w:szCs w:val="21"/>
        </w:rPr>
        <w:t>基金托管业务批准文号：证监基金字[2002]83号</w:t>
      </w:r>
    </w:p>
    <w:p>
      <w:pPr>
        <w:spacing w:line="360" w:lineRule="auto"/>
        <w:ind w:firstLine="420" w:firstLineChars="200"/>
        <w:rPr>
          <w:rFonts w:ascii="宋体" w:hAnsi="宋体" w:cs="Arial"/>
          <w:szCs w:val="21"/>
        </w:rPr>
      </w:pPr>
      <w:r>
        <w:rPr>
          <w:rFonts w:hint="eastAsia" w:ascii="宋体" w:hAnsi="宋体" w:cs="Arial"/>
          <w:szCs w:val="21"/>
        </w:rPr>
        <w:t>组织形式：股份有限公司</w:t>
      </w:r>
    </w:p>
    <w:p>
      <w:pPr>
        <w:spacing w:line="360" w:lineRule="auto"/>
        <w:ind w:firstLine="420" w:firstLineChars="200"/>
        <w:rPr>
          <w:rFonts w:ascii="宋体" w:hAnsi="宋体" w:cs="Arial"/>
          <w:szCs w:val="21"/>
        </w:rPr>
      </w:pPr>
      <w:r>
        <w:rPr>
          <w:rFonts w:hint="eastAsia" w:ascii="宋体" w:hAnsi="宋体" w:cs="Arial"/>
          <w:szCs w:val="21"/>
        </w:rPr>
        <w:t>注册资本：人民币252.20亿元</w:t>
      </w:r>
    </w:p>
    <w:p>
      <w:pPr>
        <w:spacing w:line="360" w:lineRule="auto"/>
        <w:ind w:firstLine="420" w:firstLineChars="200"/>
        <w:rPr>
          <w:rFonts w:ascii="宋体" w:hAnsi="宋体"/>
          <w:szCs w:val="21"/>
        </w:rPr>
      </w:pPr>
      <w:r>
        <w:rPr>
          <w:rFonts w:hint="eastAsia" w:ascii="宋体" w:hAnsi="宋体" w:cs="Arial"/>
          <w:szCs w:val="21"/>
        </w:rPr>
        <w:t>存续期间：持续经营</w:t>
      </w:r>
    </w:p>
    <w:bookmarkEnd w:id="8"/>
    <w:p>
      <w:pPr>
        <w:spacing w:line="360" w:lineRule="auto"/>
        <w:ind w:firstLine="420" w:firstLineChars="200"/>
        <w:rPr>
          <w:rFonts w:ascii="宋体" w:hAnsi="宋体"/>
        </w:rPr>
        <w:sectPr>
          <w:footerReference r:id="rId7"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9" w:name="_Toc384992692"/>
      <w:bookmarkStart w:id="10" w:name="_Toc348082030"/>
      <w:bookmarkStart w:id="11" w:name="_Toc501274914"/>
      <w:bookmarkStart w:id="12" w:name="CLAUSE_1986f2ad4e844a81b578e498e7378ce0"/>
      <w:r>
        <w:rPr>
          <w:rFonts w:hint="eastAsia" w:ascii="宋体" w:hAnsi="宋体" w:eastAsia="宋体"/>
          <w:sz w:val="21"/>
          <w:szCs w:val="21"/>
        </w:rPr>
        <w:t>二、基金托管协议的依据、目的和原则</w:t>
      </w:r>
      <w:bookmarkEnd w:id="9"/>
      <w:bookmarkEnd w:id="10"/>
      <w:bookmarkEnd w:id="11"/>
    </w:p>
    <w:p>
      <w:pPr>
        <w:spacing w:line="360" w:lineRule="auto"/>
        <w:ind w:firstLine="420" w:firstLineChars="200"/>
        <w:rPr>
          <w:rFonts w:ascii="宋体" w:hAnsi="宋体"/>
          <w:szCs w:val="21"/>
        </w:rPr>
      </w:pPr>
      <w:r>
        <w:rPr>
          <w:rFonts w:hint="eastAsia" w:ascii="宋体" w:hAnsi="宋体" w:cs="Arial"/>
          <w:szCs w:val="21"/>
        </w:rPr>
        <w:t>（一）订立托管协议的依据</w:t>
      </w:r>
    </w:p>
    <w:p>
      <w:pPr>
        <w:spacing w:line="360" w:lineRule="auto"/>
        <w:ind w:firstLine="420" w:firstLineChars="200"/>
        <w:rPr>
          <w:rFonts w:ascii="宋体" w:hAnsi="宋体" w:cs="Arial"/>
          <w:szCs w:val="21"/>
        </w:rPr>
      </w:pPr>
      <w:r>
        <w:rPr>
          <w:rFonts w:hint="eastAsia" w:ascii="宋体" w:hAnsi="宋体" w:cs="Arial"/>
          <w:szCs w:val="21"/>
        </w:rPr>
        <w:t>本协议依据《中华人民共和国证券投资基金法》(以下简称“《基金法》”)、《公开募集证券投资基金运作管理办法》（以下简称“《运作办法》”）、《公开募集开放式证券投资基金流动性风险管理规定》</w:t>
      </w:r>
      <w:r>
        <w:rPr>
          <w:rFonts w:hint="eastAsia" w:cs="Arial"/>
          <w:szCs w:val="21"/>
        </w:rPr>
        <w:t>（以下</w:t>
      </w:r>
      <w:r>
        <w:rPr>
          <w:rFonts w:cs="Arial"/>
          <w:szCs w:val="21"/>
        </w:rPr>
        <w:t>简称“</w:t>
      </w:r>
      <w:r>
        <w:rPr>
          <w:rFonts w:hint="eastAsia" w:cs="Arial"/>
          <w:szCs w:val="21"/>
        </w:rPr>
        <w:t>《流动性</w:t>
      </w:r>
      <w:r>
        <w:rPr>
          <w:rFonts w:cs="Arial"/>
          <w:szCs w:val="21"/>
        </w:rPr>
        <w:t>风险管理规定</w:t>
      </w:r>
      <w:r>
        <w:rPr>
          <w:rFonts w:hint="eastAsia" w:cs="Arial"/>
          <w:szCs w:val="21"/>
        </w:rPr>
        <w:t>》</w:t>
      </w:r>
      <w:r>
        <w:rPr>
          <w:rFonts w:cs="Arial"/>
          <w:szCs w:val="21"/>
        </w:rPr>
        <w:t>”</w:t>
      </w:r>
      <w:r>
        <w:rPr>
          <w:rFonts w:hint="eastAsia" w:cs="Arial"/>
          <w:szCs w:val="21"/>
        </w:rPr>
        <w:t>）、</w:t>
      </w:r>
      <w:r>
        <w:rPr>
          <w:rFonts w:hint="eastAsia" w:ascii="宋体" w:hAnsi="宋体" w:cs="Arial"/>
          <w:szCs w:val="21"/>
        </w:rPr>
        <w:t>《公开募集证券投资基金信息披露管理办法》(以下简称“《信息披露办法》”)等有关法律法规、基金合同及其他有关规定制订。</w:t>
      </w:r>
    </w:p>
    <w:p>
      <w:pPr>
        <w:spacing w:line="360" w:lineRule="auto"/>
        <w:ind w:firstLine="420" w:firstLineChars="200"/>
        <w:rPr>
          <w:rFonts w:ascii="宋体" w:hAnsi="宋体" w:cs="Arial"/>
          <w:szCs w:val="21"/>
        </w:rPr>
      </w:pPr>
      <w:r>
        <w:rPr>
          <w:rFonts w:hint="eastAsia" w:ascii="宋体" w:hAnsi="宋体" w:cs="Arial"/>
          <w:szCs w:val="21"/>
        </w:rPr>
        <w:t>（二）订立托管协议的目的</w:t>
      </w:r>
    </w:p>
    <w:p>
      <w:pPr>
        <w:spacing w:line="360" w:lineRule="auto"/>
        <w:ind w:firstLine="420" w:firstLineChars="200"/>
        <w:rPr>
          <w:rFonts w:ascii="宋体" w:hAnsi="宋体"/>
          <w:szCs w:val="21"/>
        </w:rPr>
      </w:pPr>
      <w:r>
        <w:rPr>
          <w:rFonts w:hint="eastAsia" w:ascii="宋体" w:hAnsi="宋体" w:cs="Arial"/>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pPr>
        <w:spacing w:line="360" w:lineRule="auto"/>
        <w:ind w:firstLine="420" w:firstLineChars="200"/>
        <w:rPr>
          <w:rFonts w:ascii="宋体" w:hAnsi="宋体" w:cs="Arial"/>
          <w:szCs w:val="21"/>
        </w:rPr>
      </w:pPr>
      <w:r>
        <w:rPr>
          <w:rFonts w:hint="eastAsia" w:ascii="宋体" w:hAnsi="宋体" w:cs="Arial"/>
          <w:szCs w:val="21"/>
        </w:rPr>
        <w:t>（三）订立托管协议的原则</w:t>
      </w:r>
    </w:p>
    <w:p>
      <w:pPr>
        <w:spacing w:line="360" w:lineRule="auto"/>
        <w:ind w:firstLine="420" w:firstLineChars="200"/>
        <w:rPr>
          <w:rFonts w:ascii="宋体" w:hAnsi="宋体" w:cs="Arial"/>
          <w:szCs w:val="21"/>
        </w:rPr>
      </w:pPr>
      <w:r>
        <w:rPr>
          <w:rFonts w:hint="eastAsia" w:ascii="宋体" w:hAnsi="宋体" w:cs="Arial"/>
          <w:szCs w:val="21"/>
        </w:rPr>
        <w:t>基金管理人和基金托管人本着平等自愿、诚实信用、充分保护基金份额持有人合法权益的原则，经协商一致，签订本协议。</w:t>
      </w:r>
    </w:p>
    <w:p>
      <w:pPr>
        <w:spacing w:line="360" w:lineRule="auto"/>
        <w:rPr>
          <w:rFonts w:ascii="宋体" w:hAnsi="宋体"/>
          <w:szCs w:val="21"/>
        </w:rPr>
      </w:pPr>
    </w:p>
    <w:bookmarkEnd w:id="12"/>
    <w:p>
      <w:pPr>
        <w:spacing w:line="360" w:lineRule="auto"/>
        <w:ind w:firstLine="420" w:firstLineChars="200"/>
        <w:rPr>
          <w:rFonts w:ascii="宋体" w:hAnsi="宋体"/>
        </w:rPr>
        <w:sectPr>
          <w:headerReference r:id="rId8" w:type="default"/>
          <w:footerReference r:id="rId9"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13" w:name="_Toc501274915"/>
      <w:bookmarkStart w:id="14" w:name="_Toc348082031"/>
      <w:bookmarkStart w:id="15" w:name="_Toc384992693"/>
      <w:bookmarkStart w:id="16" w:name="CLAUSE_18bd8014994c465e9e240598d3cf0e3f"/>
      <w:r>
        <w:rPr>
          <w:rFonts w:hint="eastAsia" w:ascii="宋体" w:hAnsi="宋体" w:eastAsia="宋体"/>
          <w:sz w:val="21"/>
          <w:szCs w:val="21"/>
        </w:rPr>
        <w:t>三、基金托管人对基金管理人的业务监督和核查</w:t>
      </w:r>
      <w:bookmarkEnd w:id="13"/>
      <w:bookmarkEnd w:id="14"/>
      <w:bookmarkEnd w:id="15"/>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1.本基金的投资范围：</w:t>
      </w:r>
    </w:p>
    <w:p>
      <w:pPr>
        <w:adjustRightInd w:val="0"/>
        <w:snapToGrid w:val="0"/>
        <w:spacing w:line="360" w:lineRule="auto"/>
        <w:ind w:firstLine="420" w:firstLineChars="200"/>
        <w:rPr>
          <w:rFonts w:ascii="宋体" w:hAnsi="宋体" w:cs="Arial"/>
          <w:szCs w:val="21"/>
        </w:rPr>
      </w:pPr>
      <w:bookmarkStart w:id="17" w:name="_Hlk107324997"/>
      <w:bookmarkStart w:id="18" w:name="_Hlk111393737"/>
      <w:r>
        <w:rPr>
          <w:rFonts w:hint="eastAsia" w:ascii="宋体" w:hAnsi="宋体" w:cs="Arial"/>
          <w:szCs w:val="21"/>
        </w:rPr>
        <w:t>本基金的投资范围主要为具有良好流动性的金融工具，包括国内依法发行或上市的股票（含创业板及其他经中国证监会核准或注册上市的股票、存托凭证）、内地与香港股票市场交易互联互通机制下允许投资的香港联合交易所上市的股票（以下简称“港股通标的股票”）、债券（包括国债、金融债、地方政府债、政府支持机构债券、企业债、公司债、央行票据、中期票据、短期融资券、超短期融资券、可转换债券（含可分离交易可转换债券）、可交换债券、公开发行的次级债、证券公司短期公司债券等）、资产支持证券、货币市场工具、银行存款、同业存单、债券回购、股指期货、股票期权、国债期货、信用衍生品以及法律法规或中国证监会允许基金投资的其他金融工具（但须符合中国证监会的相关规定）。</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本基金可根据相关法律法规和基金合同的约定参与融资业务。</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如法律法规或中国证监会以后允许基金投资其他品种，本基金管理人在履行适当程序后，可以将其纳入本基金的投资范围。</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的投资组合比例为：本基金的股票资产（含存托凭证）投资比例为基金资产的60%-95%，港股通标的股票的投资比例为股票资产的0%-50%。本基金每个交易日日终在扣除股指期货、国债期货、股票期权合约需缴纳的交易保证金以后，现金或者到期日在一年以内的政府债券不低于基金资产净值的5%，其中现金不包括结算备付金、存出保证金、应收申购款等。</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若法律法规的相关规定发生变更或监管机构允许，本基金管理人在履行适当程序后，可对上述资产配置比例进行调整。</w:t>
      </w:r>
    </w:p>
    <w:bookmarkEnd w:id="17"/>
    <w:p>
      <w:pPr>
        <w:adjustRightInd w:val="0"/>
        <w:snapToGrid w:val="0"/>
        <w:spacing w:line="360" w:lineRule="auto"/>
        <w:ind w:firstLine="420" w:firstLineChars="200"/>
        <w:rPr>
          <w:rFonts w:ascii="宋体" w:hAnsi="宋体" w:cs="Arial"/>
          <w:szCs w:val="21"/>
        </w:rPr>
      </w:pPr>
      <w:r>
        <w:rPr>
          <w:rFonts w:hint="eastAsia" w:ascii="宋体" w:hAnsi="宋体" w:cs="Arial"/>
          <w:szCs w:val="21"/>
        </w:rPr>
        <w:t>2.本基金各类品种的投资比例、投资限制为：</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基金的投资组合应遵循以下限制：</w:t>
      </w:r>
    </w:p>
    <w:p>
      <w:pPr>
        <w:adjustRightInd w:val="0"/>
        <w:snapToGrid w:val="0"/>
        <w:spacing w:line="360" w:lineRule="auto"/>
        <w:ind w:firstLine="420" w:firstLineChars="200"/>
        <w:rPr>
          <w:rFonts w:ascii="宋体" w:hAnsi="宋体" w:cs="Arial"/>
          <w:szCs w:val="21"/>
        </w:rPr>
      </w:pPr>
      <w:bookmarkStart w:id="19" w:name="_Hlk107325007"/>
      <w:r>
        <w:rPr>
          <w:rFonts w:hint="eastAsia" w:ascii="宋体" w:hAnsi="宋体" w:cs="Arial"/>
          <w:szCs w:val="21"/>
        </w:rPr>
        <w:t>（1）本基金的股票资产（含存托凭证）投资比例为基金资产的60%-95%，港股通标的股票的投资比例为股票资产的0%-50%；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本基金每个交易日日终在扣除股指期货合约、国债期货合约、股票期权合约需缴纳的交易保证金后，应当保持不低于基金资产净值5%的现金或者到期日在一年以内的政府债券，其中，现金不包括结算备付金、存出保证金、应收申购款等；</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（3）本基金持有一家公司发行的证券，其市值（若同时持有一家公司发行的A股和H股，则为A股与H股合计市值）不超过基金资产净值的10％；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（4）本基金管理人管理的全部基金持有一家公司发行的证券，不超过该证券（若同时持有一家公司发行的A股和H股，则为A股与H股合计）的10％；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（5）本基金资产总值不得超过基金资产净值的140%；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（6）本基金投资于同一原始权益人的各类资产支持证券的比例，不得超过基金资产净值的10％；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（7）本基金持有的全部资产支持证券，其市值不得超过基金资产净值的20％；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（8）本基金持有的同一(指同一信用级别)资产支持证券的比例，不得超过该资产支持证券规模的10％；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（9）本基金管理人管理的全部基金投资于同一原始权益人的各类资产支持证券，不得超过其各类资产支持证券合计规模的10％；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（10）本基金应投资于信用级别评级为BBB以上(含BBB)的资产支持证券。基金持有资产支持证券期间，如果其信用等级下降、不再符合投资标准，应在评级报告发布之日起3个月内予以全部卖出；</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（11）基金财产参与股票发行申购，本基金所申报的金额不超过本基金的总资产，本基金所申报的股票数量不超过拟发行股票公司本次发行股票的总量；</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（12）本基金进入全国银行间同业市场进行债券回购的资金余额不得超过基金资产净值的40%；在全国银行间同业市场中的债券回购最长期限为1年，债券回购到期后不展期；</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（13）本基金参与股指期货、国债期货投资的，应遵循下列限制：</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1）本基金在任何交易日日终，持有的买入股指期货合约价值，不得超过基金资产净值的10%；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2）本基金在任何交易日日终，持有的买入国债期货合约价值，不得超过基金资产净值的15%；</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在任何交易日日终，本基金持有的买入股指期货和国债期货合约价值和有价证券市值之和，不得超过基金资产净值的95%；其中，有价证券指股票、债券（不含到期日在一年以内的政府债券）、资产支持证券、买入返售金融资产（不含质押式回购）等；</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4）本基金在任何交易日日终，持有的卖出股指期货合约价值不得超过基金持有的股票总市值的20%；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5）本基金在任何交易日日终，持有的卖出国债期货合约价值不得超过基金持有的债券总市值的30%；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6）本基金在任何交易日内交易（不包括平仓）的股指期货合约的成交金额不得超过上一交易日基金资产净值的20%；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7）本基金在任何交易日内交易（不包括平仓）的国债期货合约的成交金额不得超过上一交易日基金资产净值的30%；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8）本基金所持有的股票市值和买入、卖出股指期货合约价值，合计（轧差计算）应当符合基金合同关于股票投资比例的有关规定；</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9）本基金所持有的债券（不含到期日在一年以内的政府债券）市值和买入、卖出国债期货合约价值，合计（轧差计算）应当符合基金合同关于债券投资比例的有关约定；</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（14）本基金参与股票期权交易的，需遵守下列规定：</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1）因未平仓的股票期权合约支付和收取的权利金总额不得超过基金资产净值的10%；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2）开仓卖出认购股票期权的，应持有足额标的证券；开仓卖出认沽股票期权的，应持有合约行权所需的全额现金或交易所规则认可的可冲抵股票期权保证金的现金等价物；</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3）未平仓的股票期权合约面值不得超过基金资产净值的20%。其中，合约面值按照行权价乘以合约乘数计算；</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（15）本基金不持有具有信用保护卖方属性的信用衍生品，不持有合约类信用衍生品，本基金持有的信用衍生品名义本金不得超过本基金中所对应受保护债券面值的100%；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（16）本基金投资于同一信用保护卖方各类信用衍生品名义本金合计不得超过基金资产净值的10%；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17）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（18）本基金主动投资于流动性受限资产的市值合计不得超过该基金资产净值的15%；</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因证券市场波动、上市公司股票停牌、基金规模变动等基金管理人之外的因素致使基金不符合前款所规定比例限制的，基金管理人不得主动新增流动性受限资产的投资；</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（19）本基金与私募类证券资管产品及中国证监会认定的其他主体为交易对手开展逆回购交易的，可接受质押品的资质要求应当与基金合同约定的投资范围保持一致；</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（20）基金参与融资业务后，在任何交易日日终，本基金持有的融资买入股票与其他有价证券市值之和，不得超过基金资产净值的95%；</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（21）本基金投资存托凭证的比例限制依照境内上市交易的股票执行，与境内上市交易的股票合并计算；</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（22）法律法规及中国证监会规定的和基金合同约定的其他投资限制。</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因证券、期货市场波动、证券发行人合并、基金规模变动等基金管理人之外的因素致使基金投资比例不符合上述（15）、（16）项规定投资比例的，基金管理人应在3个月内进行调整。</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除第（2）、（10）、（15）、（16）、（18）、（19）条外，因证券、期货市场波动、证券发行人合并、基金规模变动等基金管理人之外的因素致使基金投资比例不符合上述规定投资比例的，基金管理人应当在10个交易日内进行调整，但法律法规或中国证监会规定的特殊情形除外。</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如果法律法规或监管部门对上述投资组合比例限制进行变更的，以变更后的规定为准。法律法规或监管部门取消上述限制，如适用于本基金，基金管理人在履行适当程序后，则本基金投资不再受相关限制，自动遵守届时有效的法律法规或监管规定。</w:t>
      </w:r>
    </w:p>
    <w:p>
      <w:pPr>
        <w:adjustRightInd w:val="0"/>
        <w:snapToGrid w:val="0"/>
        <w:spacing w:line="360" w:lineRule="auto"/>
        <w:ind w:firstLine="420" w:firstLineChars="200"/>
        <w:rPr>
          <w:rFonts w:ascii="宋体" w:hAnsi="宋体" w:cs="Arial"/>
          <w:szCs w:val="21"/>
        </w:rPr>
      </w:pPr>
      <w:r>
        <w:rPr>
          <w:rFonts w:ascii="宋体" w:hAnsi="宋体" w:cs="Arial"/>
          <w:szCs w:val="21"/>
        </w:rPr>
        <w:t>3</w:t>
      </w:r>
      <w:r>
        <w:rPr>
          <w:rFonts w:hint="eastAsia" w:ascii="宋体" w:hAnsi="宋体" w:cs="Arial"/>
          <w:szCs w:val="21"/>
        </w:rPr>
        <w:t>.本基金财产不得用于以下投资或者活动：</w:t>
      </w:r>
    </w:p>
    <w:p>
      <w:pPr>
        <w:adjustRightInd w:val="0"/>
        <w:snapToGrid w:val="0"/>
        <w:spacing w:line="360" w:lineRule="auto"/>
        <w:ind w:firstLine="420" w:firstLineChars="200"/>
        <w:rPr>
          <w:rFonts w:asciiTheme="minorEastAsia" w:hAnsiTheme="minorEastAsia" w:eastAsia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14:textFill>
            <w14:solidFill>
              <w14:schemeClr w14:val="tx1">
                <w14:lumMod w14:val="95000"/>
                <w14:lumOff w14:val="5000"/>
              </w14:schemeClr>
            </w14:solidFill>
          </w14:textFill>
        </w:rPr>
        <w:t>为维护基金份额持有人的合法权益，基金财产不得用于下列投资或者活动：</w:t>
      </w:r>
    </w:p>
    <w:p>
      <w:pPr>
        <w:adjustRightInd w:val="0"/>
        <w:snapToGrid w:val="0"/>
        <w:spacing w:line="360" w:lineRule="auto"/>
        <w:ind w:firstLine="420" w:firstLineChars="200"/>
        <w:rPr>
          <w:rFonts w:asciiTheme="minorEastAsia" w:hAnsiTheme="minorEastAsia" w:eastAsia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14:textFill>
            <w14:solidFill>
              <w14:schemeClr w14:val="tx1">
                <w14:lumMod w14:val="95000"/>
                <w14:lumOff w14:val="5000"/>
              </w14:schemeClr>
            </w14:solidFill>
          </w14:textFill>
        </w:rPr>
        <w:t>（1）承销证券；</w:t>
      </w:r>
    </w:p>
    <w:p>
      <w:pPr>
        <w:adjustRightInd w:val="0"/>
        <w:snapToGrid w:val="0"/>
        <w:spacing w:line="360" w:lineRule="auto"/>
        <w:ind w:firstLine="420" w:firstLineChars="200"/>
        <w:rPr>
          <w:rFonts w:asciiTheme="minorEastAsia" w:hAnsiTheme="minorEastAsia" w:eastAsia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14:textFill>
            <w14:solidFill>
              <w14:schemeClr w14:val="tx1">
                <w14:lumMod w14:val="95000"/>
                <w14:lumOff w14:val="5000"/>
              </w14:schemeClr>
            </w14:solidFill>
          </w14:textFill>
        </w:rPr>
        <w:t>（2）违反规定向他人贷款或者提供担保；</w:t>
      </w:r>
    </w:p>
    <w:p>
      <w:pPr>
        <w:adjustRightInd w:val="0"/>
        <w:snapToGrid w:val="0"/>
        <w:spacing w:line="360" w:lineRule="auto"/>
        <w:ind w:firstLine="420" w:firstLineChars="200"/>
        <w:rPr>
          <w:rFonts w:asciiTheme="minorEastAsia" w:hAnsiTheme="minorEastAsia" w:eastAsia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14:textFill>
            <w14:solidFill>
              <w14:schemeClr w14:val="tx1">
                <w14:lumMod w14:val="95000"/>
                <w14:lumOff w14:val="5000"/>
              </w14:schemeClr>
            </w14:solidFill>
          </w14:textFill>
        </w:rPr>
        <w:t>（3）从事承担无限责任的投资；</w:t>
      </w:r>
    </w:p>
    <w:p>
      <w:pPr>
        <w:adjustRightInd w:val="0"/>
        <w:snapToGrid w:val="0"/>
        <w:spacing w:line="360" w:lineRule="auto"/>
        <w:ind w:firstLine="420" w:firstLineChars="200"/>
        <w:rPr>
          <w:rFonts w:asciiTheme="minorEastAsia" w:hAnsiTheme="minorEastAsia" w:eastAsia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14:textFill>
            <w14:solidFill>
              <w14:schemeClr w14:val="tx1">
                <w14:lumMod w14:val="95000"/>
                <w14:lumOff w14:val="5000"/>
              </w14:schemeClr>
            </w14:solidFill>
          </w14:textFill>
        </w:rPr>
        <w:t>（4）买卖其他基金份额，但是中国证监会另有规定的除外；</w:t>
      </w:r>
    </w:p>
    <w:p>
      <w:pPr>
        <w:adjustRightInd w:val="0"/>
        <w:snapToGrid w:val="0"/>
        <w:spacing w:line="360" w:lineRule="auto"/>
        <w:ind w:firstLine="420" w:firstLineChars="200"/>
        <w:rPr>
          <w:rFonts w:asciiTheme="minorEastAsia" w:hAnsiTheme="minorEastAsia" w:eastAsia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14:textFill>
            <w14:solidFill>
              <w14:schemeClr w14:val="tx1">
                <w14:lumMod w14:val="95000"/>
                <w14:lumOff w14:val="5000"/>
              </w14:schemeClr>
            </w14:solidFill>
          </w14:textFill>
        </w:rPr>
        <w:t>（5）向其基金管理人、基金托管人出资；</w:t>
      </w:r>
    </w:p>
    <w:p>
      <w:pPr>
        <w:adjustRightInd w:val="0"/>
        <w:snapToGrid w:val="0"/>
        <w:spacing w:line="360" w:lineRule="auto"/>
        <w:ind w:firstLine="420" w:firstLineChars="200"/>
        <w:rPr>
          <w:rFonts w:asciiTheme="minorEastAsia" w:hAnsiTheme="minorEastAsia" w:eastAsia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14:textFill>
            <w14:solidFill>
              <w14:schemeClr w14:val="tx1">
                <w14:lumMod w14:val="95000"/>
                <w14:lumOff w14:val="5000"/>
              </w14:schemeClr>
            </w14:solidFill>
          </w14:textFill>
        </w:rPr>
        <w:t>（6）从事内幕交易、操纵证券交易价格及其他不正当的证券交易活动；</w:t>
      </w:r>
    </w:p>
    <w:p>
      <w:pPr>
        <w:adjustRightInd w:val="0"/>
        <w:snapToGrid w:val="0"/>
        <w:spacing w:line="360" w:lineRule="auto"/>
        <w:ind w:firstLine="420" w:firstLineChars="200"/>
        <w:rPr>
          <w:rFonts w:asciiTheme="minorEastAsia" w:hAnsiTheme="minorEastAsia" w:eastAsiaTheme="minorEastAsia"/>
          <w:color w:val="0D0D0D" w:themeColor="text1" w:themeTint="F2"/>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14:textFill>
            <w14:solidFill>
              <w14:schemeClr w14:val="tx1">
                <w14:lumMod w14:val="95000"/>
                <w14:lumOff w14:val="5000"/>
              </w14:schemeClr>
            </w14:solidFill>
          </w14:textFill>
        </w:rPr>
        <w:t>（7）法律、行政法规和中国证监会规定禁止的其他活动。</w:t>
      </w:r>
    </w:p>
    <w:p>
      <w:pPr>
        <w:adjustRightInd w:val="0"/>
        <w:snapToGrid w:val="0"/>
        <w:spacing w:line="360" w:lineRule="auto"/>
        <w:ind w:firstLine="420" w:firstLineChars="200"/>
        <w:rPr>
          <w:rFonts w:asciiTheme="minorEastAsia" w:hAnsiTheme="minorEastAsia" w:eastAsiaTheme="minorEastAsia"/>
          <w:color w:val="0D0D0D" w:themeColor="text1" w:themeTint="F2"/>
          <w14:textFill>
            <w14:solidFill>
              <w14:schemeClr w14:val="tx1">
                <w14:lumMod w14:val="95000"/>
                <w14:lumOff w14:val="5000"/>
              </w14:schemeClr>
            </w14:solidFill>
          </w14:textFill>
        </w:rPr>
      </w:pPr>
      <w:r>
        <w:rPr>
          <w:rFonts w:asciiTheme="minorEastAsia" w:hAnsiTheme="minorEastAsia" w:eastAsiaTheme="minorEastAsia"/>
          <w:color w:val="0D0D0D" w:themeColor="text1" w:themeTint="F2"/>
          <w14:textFill>
            <w14:solidFill>
              <w14:schemeClr w14:val="tx1">
                <w14:lumMod w14:val="95000"/>
                <w14:lumOff w14:val="5000"/>
              </w14:schemeClr>
            </w14:solidFill>
          </w14:textFill>
        </w:rPr>
        <w:t>4</w:t>
      </w:r>
      <w:r>
        <w:rPr>
          <w:rFonts w:hint="eastAsia" w:asciiTheme="minorEastAsia" w:hAnsiTheme="minorEastAsia" w:eastAsiaTheme="minorEastAsia"/>
          <w:color w:val="0D0D0D" w:themeColor="text1" w:themeTint="F2"/>
          <w14:textFill>
            <w14:solidFill>
              <w14:schemeClr w14:val="tx1">
                <w14:lumMod w14:val="95000"/>
                <w14:lumOff w14:val="5000"/>
              </w14:schemeClr>
            </w14:solidFill>
          </w14:textFill>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adjustRightInd w:val="0"/>
        <w:snapToGrid w:val="0"/>
        <w:spacing w:line="360" w:lineRule="auto"/>
        <w:ind w:firstLine="420" w:firstLineChars="200"/>
        <w:rPr>
          <w:rFonts w:ascii="宋体" w:hAnsi="宋体" w:cs="Arial"/>
          <w:szCs w:val="21"/>
        </w:rPr>
      </w:pPr>
      <w:r>
        <w:rPr>
          <w:rFonts w:hint="eastAsia" w:asciiTheme="minorEastAsia" w:hAnsiTheme="minorEastAsia" w:eastAsiaTheme="minorEastAsia"/>
          <w:color w:val="0D0D0D" w:themeColor="text1" w:themeTint="F2"/>
          <w14:textFill>
            <w14:solidFill>
              <w14:schemeClr w14:val="tx1">
                <w14:lumMod w14:val="95000"/>
                <w14:lumOff w14:val="5000"/>
              </w14:schemeClr>
            </w14:solidFill>
          </w14:textFill>
        </w:rPr>
        <w:t>法律、行政法规或监管部门取消或变更上述禁止性规定，如适用于本基金，基金管理人在履行适当程序后，则本基金投资不再受相关限制或以变更后的规定为准。</w:t>
      </w:r>
    </w:p>
    <w:bookmarkEnd w:id="18"/>
    <w:bookmarkEnd w:id="19"/>
    <w:p>
      <w:pPr>
        <w:adjustRightInd w:val="0"/>
        <w:snapToGrid w:val="0"/>
        <w:spacing w:line="360" w:lineRule="auto"/>
        <w:ind w:firstLine="420" w:firstLineChars="200"/>
        <w:rPr>
          <w:rFonts w:ascii="宋体" w:hAnsi="宋体" w:cs="Arial"/>
          <w:szCs w:val="21"/>
        </w:rPr>
      </w:pPr>
      <w:r>
        <w:rPr>
          <w:rFonts w:hint="eastAsia" w:ascii="宋体" w:hAnsi="宋体" w:cs="Arial"/>
          <w:szCs w:val="21"/>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本基金投资银行存款应符合如下规定：</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1.本</w:t>
      </w:r>
      <w:r>
        <w:rPr>
          <w:rFonts w:ascii="宋体" w:hAnsi="宋体" w:cs="Arial"/>
          <w:szCs w:val="21"/>
        </w:rPr>
        <w:t>基金投资于有固定期限银行存款的比例，不得超过基金资产净值的30%，但投资于有存款期限，根据协议可提前支取的银行存款不受上述比例限制</w:t>
      </w:r>
      <w:r>
        <w:rPr>
          <w:rFonts w:hint="eastAsia" w:ascii="宋体" w:hAnsi="宋体" w:cs="Arial"/>
          <w:szCs w:val="21"/>
        </w:rPr>
        <w:t>；本</w:t>
      </w:r>
      <w:r>
        <w:rPr>
          <w:rFonts w:ascii="宋体" w:hAnsi="宋体" w:cs="Arial"/>
          <w:szCs w:val="21"/>
        </w:rPr>
        <w:t>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有关法律法规或监管部门制定或修改新的定期存款投资政策，基金管理人履行适当程序后，可相应调整投资组合限制的规定。</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w:t>
      </w:r>
      <w:r>
        <w:rPr>
          <w:rFonts w:ascii="宋体" w:hAnsi="宋体" w:cs="Arial"/>
          <w:szCs w:val="21"/>
        </w:rPr>
        <w:t>.</w:t>
      </w:r>
      <w:r>
        <w:rPr>
          <w:rFonts w:hint="eastAsia" w:ascii="宋体" w:hAnsi="宋体" w:cs="Arial"/>
          <w:szCs w:val="21"/>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w:t>
      </w:r>
      <w:r>
        <w:rPr>
          <w:rFonts w:ascii="宋体" w:hAnsi="宋体" w:cs="Arial"/>
          <w:szCs w:val="21"/>
        </w:rPr>
        <w:t>1</w:t>
      </w:r>
      <w:r>
        <w:rPr>
          <w:rFonts w:hint="eastAsia" w:ascii="宋体" w:hAnsi="宋体" w:cs="Arial"/>
          <w:szCs w:val="21"/>
        </w:rPr>
        <w:t>）基金管理人负责控制信用风险。信用风险主要包括存款银行的信用等级、存款银行的支付能力等涉及到存款银行选择方面的风险。因选择存款银行不当造成基金财产损失的，由基金管理人承担责任。</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w:t>
      </w:r>
      <w:r>
        <w:rPr>
          <w:rFonts w:ascii="宋体" w:hAnsi="宋体" w:cs="Arial"/>
          <w:szCs w:val="21"/>
        </w:rPr>
        <w:t>2</w:t>
      </w:r>
      <w:r>
        <w:rPr>
          <w:rFonts w:hint="eastAsia" w:ascii="宋体" w:hAnsi="宋体" w:cs="Arial"/>
          <w:szCs w:val="21"/>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w:t>
      </w:r>
      <w:r>
        <w:rPr>
          <w:rFonts w:ascii="宋体" w:hAnsi="宋体" w:cs="Arial"/>
          <w:szCs w:val="21"/>
        </w:rPr>
        <w:t>3</w:t>
      </w:r>
      <w:r>
        <w:rPr>
          <w:rFonts w:hint="eastAsia" w:ascii="宋体" w:hAnsi="宋体" w:cs="Arial"/>
          <w:szCs w:val="21"/>
        </w:rPr>
        <w:t>）基金管理人须加强内部风险控制制度的建设。如因基金管理人员工职务行为导致基金财产受到损失的，需由基金管理人承担由此造成的损失。</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（4）基金管理人与基金托管人在开展基金存款业务时，应严格遵守《基金法》、《运作办法》等有关法律法规，以及国家有关账户管理、利率管理、支付结算等的各项规定。</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（三）基金投资银行存款协议的签订、账户开设与管理、投资指令与资金划付、账目核对、到期兑付、提前支取</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1.基金投资银行存款协议的签订</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（2）基金托管人依据相关法规对《总体合作协议》和《存款协议书》的内容进行复核，审查存款银行资格等。</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（3）基金管理人应在《存款协议书》中明确存款证实书或其他有效存款凭证的办理方式、邮寄地址、联系人和联系电话，以及存款证实书或其他有效凭证在邮寄过程中遗失后，存款余额的确认及兑付办法等。</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（4）由存款银行指定的存放存款的分支机构（以下简称“存款分支机构</w:t>
      </w:r>
      <w:r>
        <w:rPr>
          <w:rFonts w:ascii="宋体" w:hAnsi="宋体" w:cs="Arial"/>
          <w:szCs w:val="21"/>
        </w:rPr>
        <w:t>”</w:t>
      </w:r>
      <w:r>
        <w:rPr>
          <w:rFonts w:hint="eastAsia" w:ascii="宋体" w:hAnsi="宋体" w:cs="Arial"/>
          <w:szCs w:val="21"/>
        </w:rPr>
        <w:t>）寄送或上门交付存款证实书或其他有效存款凭证的，基金托管人可向存款分支机构的上级行发出存款余额询证函，存款分支机构及其上级行应予配合。</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（5）基金管理人应在《存款协议书》中规定，基金存放到期或提前兑付的资金应全部划转到指定的基金托管账户，并在《存款协议书》写明账户名称和账号，未划入指定账户的，由存款银行承担一切责任。</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6）基金管理人应在《存款协议书》中规定，在存期内，如本基金银行账户、预留印鉴发生变更，基金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（7）基金管理人应在《存款协议书》中规定，因定期存款产生的存单不得被质押或以任何方式被抵押，不得用于转让和背书。</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2.基金投资银行存款时的账户开设与管理</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（1）基金投资于银行存款时，基金管理人应当依据基金管理人与存款银行签订的《总体合作协议》、《存款协议书》等，以基金的名义在存款银行总行或授权分行指定的分支机构开立银行账户。</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（2）基金投资于银行存款时的预留印鉴由基金托管人保管和使用。</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3.存款凭证传递、账目核对及到期兑付</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（1）存款证实书等存款凭证传递</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（2）存款凭证的遗失补办</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存款凭证在邮寄过程中遗失的，由基金管理人向存款银行提出补办申请，基金管理人应督促存款银行尽快补办存款凭证，并按以上（1）的方式快递或上门交付至基金托管人，原存款凭证自动作废。</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（3）账目核对</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每个工作日，基金管理人应与基金托管人核对各项银行存款投资余额及应计利息。</w:t>
      </w:r>
    </w:p>
    <w:p>
      <w:pPr>
        <w:spacing w:line="480" w:lineRule="exact"/>
        <w:ind w:firstLine="420" w:firstLineChars="200"/>
        <w:rPr>
          <w:rFonts w:ascii="宋体" w:hAnsi="宋体" w:cs="Arial"/>
          <w:szCs w:val="21"/>
        </w:rPr>
      </w:pPr>
      <w:r>
        <w:rPr>
          <w:rFonts w:hint="eastAsia" w:ascii="宋体" w:hAnsi="宋体" w:cs="Arial"/>
          <w:szCs w:val="21"/>
        </w:rPr>
        <w:t>基金管理人应在《存款协议书》中规定，对于存期超过3个月的定期存款，基金托管人于每季度向存款银行发起查询查复，存款银行应按照人行查询查复的有关时限要求及时回复。基金管理人有责任督促存款银行及时回复查询查复。因存款银行未及时回复造成的资金被挪用、盗取的责任由存款银行承担。</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存款银行应配合基金托管人对存款凭证的询证，并在询证函上加盖存款银行公章寄送至基金托管人指定联系人。</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（4）到期兑付</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提前通知基金托管人通过快递将存款凭证原件寄给存款银行分支机构指定的会计主管。存款银行未收到存款凭证原件的，应向基金托管人电话询问。存款到期前基金管理人与存款银行确认存款凭证收到并于到期日兑付存款本息事宜。</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4.提前支取</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如果在存款期限内，由于基金规模发生缩减的原因或者出于流动性管理的需要等原因，基金管理人可以提前支取全部或部分资金。</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提前支取的具体事项按照基金管理人与存款银行签订的《存款协议书》执行。</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5.基金投资银行存款的监督</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基金托管人发现基金管理人在进行存款投资时有违反有关法律法规的规定及《基金合同》的约定的行为，应及时以书面形式通知基金管理人在</w:t>
      </w:r>
      <w:r>
        <w:rPr>
          <w:rFonts w:ascii="宋体" w:hAnsi="宋体" w:cs="Arial"/>
          <w:szCs w:val="21"/>
        </w:rPr>
        <w:t>10</w:t>
      </w:r>
      <w:r>
        <w:rPr>
          <w:rFonts w:hint="eastAsia" w:ascii="宋体" w:hAnsi="宋体" w:cs="Arial"/>
          <w:szCs w:val="21"/>
        </w:rPr>
        <w:t>个工作日内纠正。基金管理人对基金托管人通知的违规事项未能在</w:t>
      </w:r>
      <w:r>
        <w:rPr>
          <w:rFonts w:ascii="宋体" w:hAnsi="宋体" w:cs="Arial"/>
          <w:szCs w:val="21"/>
        </w:rPr>
        <w:t>10</w:t>
      </w:r>
      <w:r>
        <w:rPr>
          <w:rFonts w:hint="eastAsia" w:ascii="宋体" w:hAnsi="宋体" w:cs="Arial"/>
          <w:szCs w:val="21"/>
        </w:rPr>
        <w:t>个工作日内纠正的，基金托管人应报告中国证监会。基金托管人发现基金管理人有重大违规行为，应立即报告中国证监会，同时通知基金管理人在</w:t>
      </w:r>
      <w:r>
        <w:rPr>
          <w:rFonts w:ascii="宋体" w:hAnsi="宋体" w:cs="Arial"/>
          <w:szCs w:val="21"/>
        </w:rPr>
        <w:t>10</w:t>
      </w:r>
      <w:r>
        <w:rPr>
          <w:rFonts w:hint="eastAsia" w:ascii="宋体" w:hAnsi="宋体" w:cs="Arial"/>
          <w:szCs w:val="21"/>
        </w:rPr>
        <w:t>个工作日内纠正或拒绝结算，若因基金管理人拒不执行造成基金财产损失的，相关损失由基金管理人承担，基金托管人不承担任何责任。</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Pr>
          <w:rFonts w:ascii="宋体" w:hAnsi="宋体" w:cs="Arial"/>
          <w:szCs w:val="21"/>
        </w:rPr>
        <w:t>3个交易日内与基金托管人协商解决。</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（五）本基金投资流通受限证券，应遵守《</w:t>
      </w:r>
      <w:r>
        <w:rPr>
          <w:rFonts w:hint="eastAsia" w:ascii="宋体" w:hAnsi="宋体"/>
        </w:rPr>
        <w:t>关于基金投资非公开发行股票等流通受限证券有关问题的通知》</w:t>
      </w:r>
      <w:r>
        <w:rPr>
          <w:rFonts w:hint="eastAsia" w:ascii="宋体" w:hAnsi="宋体" w:cs="Arial"/>
          <w:szCs w:val="21"/>
        </w:rPr>
        <w:t>等有关监管规定。</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本基金不得投资未经中国证监会批准的非公开发行证券。</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本基金不得投资有锁定期但锁定期不明确的证券。</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对本基金投资流通受限证券的流动性风险负责，确保对相关风险采取积极有效的措施，在合理的时间内有效解决基金运作的流动性问题。如因市场发生剧烈变动等原因而导致基金现金周转困难时，基金管理人应保证提供足额现金确保基金的支付结算，并承担所有损失。对本基金因投资流通受限证券导致的流动性风险，基金托管人不承担任何责任。</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由于基金管理人未及时提供有关证券的具体的必要的信息，致使基金托管人无法审核认购指令而影响认购款项划拨的，基金托管人免于承担责任。</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5.</w:t>
      </w:r>
      <w:r>
        <w:rPr>
          <w:rFonts w:ascii="宋体" w:hAnsi="宋体" w:cs="Arial"/>
          <w:szCs w:val="21"/>
        </w:rPr>
        <w:t>基金管理</w:t>
      </w:r>
      <w:r>
        <w:rPr>
          <w:rFonts w:hint="eastAsia" w:ascii="宋体" w:hAnsi="宋体" w:cs="Arial"/>
          <w:szCs w:val="21"/>
        </w:rPr>
        <w:t>人</w:t>
      </w:r>
      <w:r>
        <w:rPr>
          <w:rFonts w:ascii="宋体" w:hAnsi="宋体" w:cs="Arial"/>
          <w:szCs w:val="21"/>
        </w:rPr>
        <w:t>应在基金投资非公开发行股票后两个交易日内</w:t>
      </w:r>
      <w:r>
        <w:rPr>
          <w:rFonts w:hint="eastAsia" w:ascii="宋体" w:hAnsi="宋体" w:cs="Arial"/>
          <w:szCs w:val="21"/>
        </w:rPr>
        <w:t>，</w:t>
      </w:r>
      <w:r>
        <w:rPr>
          <w:rFonts w:ascii="宋体" w:hAnsi="宋体" w:cs="Arial"/>
          <w:szCs w:val="21"/>
        </w:rPr>
        <w:t>在中国证监会</w:t>
      </w:r>
      <w:r>
        <w:rPr>
          <w:rFonts w:hint="eastAsia" w:ascii="宋体" w:hAnsi="宋体" w:cs="Arial"/>
          <w:szCs w:val="21"/>
        </w:rPr>
        <w:t>规定</w:t>
      </w:r>
      <w:r>
        <w:rPr>
          <w:rFonts w:ascii="宋体" w:hAnsi="宋体" w:cs="Arial"/>
          <w:szCs w:val="21"/>
        </w:rPr>
        <w:t>媒介披露所投资非公开发行股票的名称、数量、总成本、账面价值</w:t>
      </w:r>
      <w:r>
        <w:rPr>
          <w:rFonts w:hint="eastAsia" w:ascii="宋体" w:hAnsi="宋体" w:cs="Arial"/>
          <w:szCs w:val="21"/>
        </w:rPr>
        <w:t>，</w:t>
      </w:r>
      <w:r>
        <w:rPr>
          <w:rFonts w:ascii="宋体" w:hAnsi="宋体" w:cs="Arial"/>
          <w:szCs w:val="21"/>
        </w:rPr>
        <w:t>以及总成本和账面价值占基金资产净值的比例、锁定期等信息。</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（六）基金管理人应当对投资中期票据业务进行研究，认真评估中期票据投资业务的风险，本着审慎、勤勉尽责的原则进行中期票据的投资业务，并应符合法律法规及监管机构的相关规定。</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七）基金托管人根据有关法律法规的规定及《基金合同》的约定，对基金资产净值计算、各类基金份额净值计算、基金费用开支及收入确定、基金收益分配、相关信息披露、基金宣传推介材料中登载基金业绩表现数据等进行监督和核查。</w:t>
      </w:r>
    </w:p>
    <w:p>
      <w:pPr>
        <w:adjustRightInd w:val="0"/>
        <w:snapToGrid w:val="0"/>
        <w:spacing w:line="360" w:lineRule="auto"/>
        <w:ind w:firstLine="420" w:firstLineChars="200"/>
        <w:rPr>
          <w:rFonts w:ascii="宋体" w:hAnsi="宋体"/>
        </w:rPr>
      </w:pPr>
      <w:r>
        <w:rPr>
          <w:rFonts w:hint="eastAsia" w:ascii="宋体" w:hAnsi="宋体" w:cs="Arial"/>
          <w:szCs w:val="21"/>
        </w:rPr>
        <w:t>（八）</w:t>
      </w:r>
      <w:r>
        <w:rPr>
          <w:rFonts w:hint="eastAsia" w:ascii="宋体" w:hAnsi="宋体"/>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合理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九）基金管理人有义务配合和协助基金托管人依照法律法规、《基金合同》和本托管协议对基金业务执行核查。包括但不限于：对基金托管人发出的提示，基金管理人应在规定时间内答复并改正，或就基金托管人的合理疑义进行解释或举证；对基金托管人按照法律法规、基金合同和本托管协议的要求需向中国证监会报送基金监督报告的事项，基金管理人应积极配合提供相关数据资料和制度等。</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十）若基金托管人发现基金管理人依据交易程序已经生效的指令违反法律、行政法规和其他有关规定，或者违反基金合同约定的，应当立即通知基金管理人及时纠正，由此造成的损失由基金管理人承担，基金托管人在履行其通知义务后，予以免责。</w:t>
      </w:r>
    </w:p>
    <w:p>
      <w:pPr>
        <w:spacing w:line="360" w:lineRule="auto"/>
        <w:ind w:firstLine="420" w:firstLineChars="200"/>
        <w:rPr>
          <w:rFonts w:ascii="宋体" w:hAnsi="宋体" w:cs="Arial"/>
          <w:szCs w:val="21"/>
        </w:rPr>
      </w:pPr>
      <w:r>
        <w:rPr>
          <w:rFonts w:hint="eastAsia" w:ascii="宋体" w:hAnsi="宋体" w:cs="Arial"/>
          <w:szCs w:val="21"/>
        </w:rPr>
        <w:t>（十一）基金托管人发现基金管理人有重大违规行为，应及时报告中国证监会，同时通知基金管理人限期纠正。</w:t>
      </w:r>
    </w:p>
    <w:bookmarkEnd w:id="16"/>
    <w:p>
      <w:pPr>
        <w:adjustRightInd w:val="0"/>
        <w:snapToGrid w:val="0"/>
        <w:spacing w:line="360" w:lineRule="auto"/>
        <w:ind w:firstLine="420" w:firstLineChars="200"/>
        <w:rPr>
          <w:rFonts w:ascii="宋体" w:hAnsi="宋体"/>
        </w:rPr>
        <w:sectPr>
          <w:footerReference r:id="rId10"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20" w:name="_Toc110830492"/>
      <w:bookmarkStart w:id="21" w:name="_Toc110765660"/>
      <w:bookmarkStart w:id="22" w:name="_Toc86223242"/>
      <w:bookmarkStart w:id="23" w:name="_Toc120435783"/>
      <w:bookmarkStart w:id="24" w:name="_Toc384992694"/>
      <w:bookmarkStart w:id="25" w:name="_Toc110761796"/>
      <w:bookmarkStart w:id="26" w:name="_Toc118212950"/>
      <w:bookmarkStart w:id="27" w:name="_Toc86727355"/>
      <w:bookmarkStart w:id="28" w:name="_Toc119402710"/>
      <w:bookmarkStart w:id="29" w:name="_Toc501274916"/>
      <w:bookmarkStart w:id="30" w:name="_Toc348082032"/>
      <w:bookmarkStart w:id="31" w:name="_Toc86649722"/>
      <w:bookmarkStart w:id="32" w:name="_Toc86225291"/>
      <w:bookmarkStart w:id="33" w:name="_Toc108512358"/>
      <w:bookmarkStart w:id="34" w:name="_Toc86737929"/>
      <w:bookmarkStart w:id="35" w:name="_Toc118774803"/>
      <w:bookmarkStart w:id="36" w:name="_Toc118972648"/>
      <w:bookmarkStart w:id="37" w:name="_Toc89163368"/>
      <w:bookmarkStart w:id="38" w:name="_Toc86726439"/>
      <w:bookmarkStart w:id="39" w:name="CLAUSE_10e835cedca04ab1b812c90a81e97ce4"/>
      <w:r>
        <w:rPr>
          <w:rFonts w:hint="eastAsia" w:ascii="宋体" w:hAnsi="宋体" w:eastAsia="宋体"/>
          <w:sz w:val="21"/>
          <w:szCs w:val="21"/>
        </w:rPr>
        <w:t>四、基金管理人对基金托管人的业务核查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一）基金管理人对基金托管人履行托管职责情况进行核查，核查事项包括基金托管人安全保管基金财产、开设基金财产的资金账户、证券账户等投资所需账户、复核基金管理人计算的基金资产净值和各类基金份额净值、根据基金管理人指令办理清算交收、相关信息披露和监督基金投资运作等行为。</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（四）基金管理人发现基金托管人有重大违规行为，应及时报告中国证监会，同时通知基金托管人限期纠正，并将纠正结果报告中国证监会。</w:t>
      </w:r>
    </w:p>
    <w:p>
      <w:pPr>
        <w:spacing w:line="360" w:lineRule="auto"/>
        <w:rPr>
          <w:rFonts w:ascii="宋体" w:hAnsi="宋体"/>
          <w:szCs w:val="21"/>
        </w:rPr>
      </w:pPr>
    </w:p>
    <w:bookmarkEnd w:id="39"/>
    <w:p>
      <w:pPr>
        <w:adjustRightInd w:val="0"/>
        <w:snapToGrid w:val="0"/>
        <w:spacing w:line="360" w:lineRule="auto"/>
        <w:ind w:firstLine="420" w:firstLineChars="200"/>
        <w:rPr>
          <w:rFonts w:ascii="宋体" w:hAnsi="宋体"/>
        </w:rPr>
        <w:sectPr>
          <w:footerReference r:id="rId11"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40" w:name="_Toc110765661"/>
      <w:bookmarkStart w:id="41" w:name="_Toc86649723"/>
      <w:bookmarkStart w:id="42" w:name="_Toc120435784"/>
      <w:bookmarkStart w:id="43" w:name="_Toc84234435"/>
      <w:bookmarkStart w:id="44" w:name="_Toc86726440"/>
      <w:bookmarkStart w:id="45" w:name="_Toc348082033"/>
      <w:bookmarkStart w:id="46" w:name="_Toc384992695"/>
      <w:bookmarkStart w:id="47" w:name="_Toc108512359"/>
      <w:bookmarkStart w:id="48" w:name="_Toc86223243"/>
      <w:bookmarkStart w:id="49" w:name="_Toc84234388"/>
      <w:bookmarkStart w:id="50" w:name="_Toc86204789"/>
      <w:bookmarkStart w:id="51" w:name="_Toc110761797"/>
      <w:bookmarkStart w:id="52" w:name="_Toc118212951"/>
      <w:bookmarkStart w:id="53" w:name="_Toc86225292"/>
      <w:bookmarkStart w:id="54" w:name="_Toc86727356"/>
      <w:bookmarkStart w:id="55" w:name="_Toc86737930"/>
      <w:bookmarkStart w:id="56" w:name="_Toc110830493"/>
      <w:bookmarkStart w:id="57" w:name="_Toc84133786"/>
      <w:bookmarkStart w:id="58" w:name="_Toc118774804"/>
      <w:bookmarkStart w:id="59" w:name="_Toc119402711"/>
      <w:bookmarkStart w:id="60" w:name="_Toc118972649"/>
      <w:bookmarkStart w:id="61" w:name="_Toc501274917"/>
      <w:bookmarkStart w:id="62" w:name="_Toc89163369"/>
      <w:bookmarkStart w:id="63" w:name="CLAUSE_21cb0334852c43f4af700b1eceedf6cb"/>
      <w:r>
        <w:rPr>
          <w:rFonts w:hint="eastAsia" w:ascii="宋体" w:hAnsi="宋体" w:eastAsia="宋体"/>
          <w:sz w:val="21"/>
          <w:szCs w:val="21"/>
        </w:rPr>
        <w:t>五、基金财产的保管</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（一）基金财产保管的原则</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1.基金财产应独立于基金管理人、基金托管人的固有财产。</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2.基金托管人应安全保管基金财产。</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3.基金托管人按照规定开设资金账户、证券账户等投资所需的相关账户。</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4.基金托管人对所托管的不同基金财产分别设置账户，分账管理，独立核算，确保基金财产的完整与独立。</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基金托管人应给予必要的协助。</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7.基金</w:t>
      </w:r>
      <w:r>
        <w:rPr>
          <w:rFonts w:hint="eastAsia" w:ascii="宋体" w:hAnsi="宋体"/>
          <w:szCs w:val="21"/>
        </w:rPr>
        <w:t>托管人对因为</w:t>
      </w:r>
      <w:r>
        <w:rPr>
          <w:rFonts w:hint="eastAsia" w:ascii="宋体" w:hAnsi="宋体" w:cs="Arial"/>
          <w:szCs w:val="21"/>
        </w:rPr>
        <w:t>基金</w:t>
      </w:r>
      <w:r>
        <w:rPr>
          <w:rFonts w:hint="eastAsia" w:ascii="宋体" w:hAnsi="宋体"/>
          <w:szCs w:val="21"/>
        </w:rPr>
        <w:t>管理人投资产生的存放或存管在</w:t>
      </w:r>
      <w:r>
        <w:rPr>
          <w:rFonts w:hint="eastAsia" w:ascii="宋体" w:hAnsi="宋体" w:cs="Arial"/>
          <w:szCs w:val="21"/>
        </w:rPr>
        <w:t>基金</w:t>
      </w:r>
      <w:r>
        <w:rPr>
          <w:rFonts w:hint="eastAsia" w:ascii="宋体" w:hAnsi="宋体"/>
          <w:szCs w:val="21"/>
        </w:rPr>
        <w:t>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8.除依据法律法规和基金合同的规定外，基金托管人不得委托第三人托管基金财产。</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（二）基金募集期间及募集资金的验资</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1.基金募集期间募集的资金应开立“基金募集专户”。该账户由基金管理人开立并管理。</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符合《中华人民共和国证券法》规定的会计师事务所进行验资，出具验资报告。出具的验资报告由参加验资的2名或2名以上中国注册会计师签字方为有效。</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3.若基金募集期限届满，未能达到基金备案的条件，由基金管理人按规定办理退款事宜。</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（三）基金资金账户的开立和管理</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基金托管人以本基金的名义在其营业机构开立基金的资金账户（也可称为“托管账户”），保管基金的银行存款，并根据基金管理人的指令办理资金收付。托管账户名称应为“博时均衡优选混合型证券投资基金”，预留印鉴为基金托管人印章。</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2.基金资金账户的开立和使用，限于满足开展本基金业务的需要。基金托管人和基金管理人不得假借本基金的名义开立任何其他银行账户；亦不得使用基金的任何账户进行本基金业务以外的活动。</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3.基金资金账户的开立和管理应符合法律法规及银行业监督管理机构的有关规定。</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（四）基金证券账户和结算备付金账户的开立和管理</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1.基金托管人在中国证券登记结算有限责任公司上海分公司、深圳分公司为基金开立基金托管人与基金联名的证券账户。</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3.基金证券账户的开立和证券账户卡的保管由基金托管人负责，账户资产的管理和运用由基金管理人负责。</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（五）债券托管账户的开设和管理</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（六）其他账户的开立和管理</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1.基金管理人根据投资需要按照规定开立期货保证金账户及期货交易编码等，</w:t>
      </w:r>
      <w:r>
        <w:rPr>
          <w:rFonts w:hint="eastAsia" w:ascii="宋体" w:hAnsi="宋体"/>
          <w:szCs w:val="21"/>
        </w:rPr>
        <w:t>基金托管人按照规定开立期货结算账户等投资所需账户。</w:t>
      </w:r>
      <w:r>
        <w:rPr>
          <w:rFonts w:hint="eastAsia" w:ascii="宋体" w:hAnsi="宋体" w:cs="Arial"/>
          <w:szCs w:val="21"/>
        </w:rPr>
        <w:t>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基金托管人。</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基金托管人和基金管理人应当在开户过程中相互配合，并提供所需资料。基金管理人保证所提供的账户开户材料的真实性和有效性，且在相关资料变更后及时将变更的资料提供给基金托管人。</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2.因业务发展需要而开立的其他账户，可以根据法律法规和基金合同的规定，由基金管理人协助基金托管人按照有关法律法规和本协议的约定协商后开立。新账户按有关规定使用并管理。</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3.法律法规等有关规定对相关账户的开立和管理另有规定的，从其规定办理。</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（七）基金财产投资的有关有价凭证等的保管</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（八）与基金财产有关的重大合同的保管</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w:t>
      </w:r>
      <w:r>
        <w:rPr>
          <w:rFonts w:hint="eastAsia" w:ascii="宋体" w:hAnsi="宋体"/>
          <w:szCs w:val="21"/>
        </w:rPr>
        <w:t>因基金管理人发送的合同传真件与事后送达的合同原件不一致所造成的后果，由基金管理人负责。基金</w:t>
      </w:r>
      <w:r>
        <w:rPr>
          <w:rFonts w:ascii="宋体" w:hAnsi="宋体"/>
          <w:szCs w:val="21"/>
        </w:rPr>
        <w:t>托管人</w:t>
      </w:r>
      <w:r>
        <w:rPr>
          <w:rFonts w:hint="eastAsia" w:ascii="宋体" w:hAnsi="宋体" w:cs="Arial"/>
          <w:szCs w:val="21"/>
        </w:rPr>
        <w:t>重大合同的保管期限为基金合同终止后不少于20年，法律法规或监管规则另有规定的，从其规定。</w:t>
      </w:r>
    </w:p>
    <w:p>
      <w:pPr>
        <w:adjustRightInd w:val="0"/>
        <w:snapToGrid w:val="0"/>
        <w:spacing w:line="360" w:lineRule="auto"/>
        <w:ind w:firstLine="420" w:firstLineChars="200"/>
        <w:rPr>
          <w:rFonts w:ascii="宋体" w:hAnsi="宋体"/>
          <w:szCs w:val="21"/>
        </w:rPr>
      </w:pPr>
      <w:r>
        <w:rPr>
          <w:rFonts w:hint="eastAsia" w:ascii="宋体" w:hAnsi="宋体"/>
          <w:szCs w:val="21"/>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pPr>
        <w:spacing w:line="360" w:lineRule="auto"/>
        <w:ind w:firstLine="420"/>
        <w:rPr>
          <w:rFonts w:ascii="宋体" w:hAnsi="宋体"/>
          <w:szCs w:val="21"/>
        </w:rPr>
      </w:pPr>
    </w:p>
    <w:bookmarkEnd w:id="63"/>
    <w:p>
      <w:pPr>
        <w:adjustRightInd w:val="0"/>
        <w:snapToGrid w:val="0"/>
        <w:spacing w:line="360" w:lineRule="auto"/>
        <w:ind w:firstLine="420" w:firstLineChars="200"/>
        <w:rPr>
          <w:rFonts w:ascii="宋体" w:hAnsi="宋体"/>
        </w:rPr>
        <w:sectPr>
          <w:footerReference r:id="rId12"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64" w:name="_Toc120435785"/>
      <w:bookmarkStart w:id="65" w:name="_Toc118774805"/>
      <w:bookmarkStart w:id="66" w:name="_Toc86225293"/>
      <w:bookmarkStart w:id="67" w:name="_Toc86204790"/>
      <w:bookmarkStart w:id="68" w:name="_Toc119402712"/>
      <w:bookmarkStart w:id="69" w:name="_Toc501274918"/>
      <w:bookmarkStart w:id="70" w:name="_Toc110765662"/>
      <w:bookmarkStart w:id="71" w:name="_Toc89163370"/>
      <w:bookmarkStart w:id="72" w:name="_Toc84234389"/>
      <w:bookmarkStart w:id="73" w:name="_Toc84234436"/>
      <w:bookmarkStart w:id="74" w:name="_Toc110761798"/>
      <w:bookmarkStart w:id="75" w:name="_Toc384992696"/>
      <w:bookmarkStart w:id="76" w:name="_Toc86726441"/>
      <w:bookmarkStart w:id="77" w:name="_Toc110830494"/>
      <w:bookmarkStart w:id="78" w:name="_Toc84133787"/>
      <w:bookmarkStart w:id="79" w:name="_Toc348082034"/>
      <w:bookmarkStart w:id="80" w:name="_Toc86727357"/>
      <w:bookmarkStart w:id="81" w:name="_Toc118972650"/>
      <w:bookmarkStart w:id="82" w:name="_Toc86223244"/>
      <w:bookmarkStart w:id="83" w:name="_Toc118212952"/>
      <w:bookmarkStart w:id="84" w:name="_Toc108512360"/>
      <w:bookmarkStart w:id="85" w:name="_Toc86737931"/>
      <w:bookmarkStart w:id="86" w:name="_Toc86649724"/>
      <w:bookmarkStart w:id="87" w:name="CLAUSE_aaefd3380745464d8590c17204017e26"/>
      <w:r>
        <w:rPr>
          <w:rFonts w:hint="eastAsia" w:ascii="宋体" w:hAnsi="宋体" w:eastAsia="宋体"/>
          <w:sz w:val="21"/>
          <w:szCs w:val="21"/>
        </w:rPr>
        <w:t>六、指令的发送、确认及执行</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基金管理人在运用基金财产时向基金托管人发送资金划拨及其他款项付款指令，基金托管人执行基金管理人的指令、办理基金名下的资金往来等有关事项。</w:t>
      </w:r>
    </w:p>
    <w:p>
      <w:pPr>
        <w:adjustRightInd w:val="0"/>
        <w:snapToGrid w:val="0"/>
        <w:spacing w:line="360" w:lineRule="auto"/>
        <w:ind w:firstLine="426"/>
        <w:rPr>
          <w:rFonts w:ascii="宋体" w:hAnsi="宋体"/>
          <w:szCs w:val="21"/>
        </w:rPr>
      </w:pPr>
      <w:r>
        <w:rPr>
          <w:rFonts w:hint="eastAsia" w:ascii="宋体" w:hAnsi="宋体"/>
          <w:szCs w:val="21"/>
        </w:rPr>
        <w:t>基金管理人发送的指令包括电子指令和纸质指令。</w:t>
      </w:r>
    </w:p>
    <w:p>
      <w:pPr>
        <w:adjustRightInd w:val="0"/>
        <w:snapToGrid w:val="0"/>
        <w:spacing w:line="360" w:lineRule="auto"/>
        <w:ind w:firstLine="426"/>
        <w:rPr>
          <w:rFonts w:ascii="宋体" w:hAnsi="宋体"/>
          <w:szCs w:val="21"/>
        </w:rPr>
      </w:pPr>
      <w:r>
        <w:rPr>
          <w:rFonts w:hint="eastAsia" w:ascii="宋体" w:hAnsi="宋体"/>
          <w:szCs w:val="21"/>
        </w:rPr>
        <w:t>电子指令包括基金管理人发送的电子指令（采用电子报文传送的电子指令、招商银行托管+综合服务平台录入的电子指令）、自动产生的电子指令（网上托管银行托管人端根据基金管理人同意设定的业务规则自动产生的电子指令）。纸质指令包括基金管理人给基金托管人传真指令或原件指令。</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（一）基金管理人对发送指令人员的书面授权</w:t>
      </w:r>
    </w:p>
    <w:p>
      <w:pPr>
        <w:autoSpaceDE w:val="0"/>
        <w:autoSpaceDN w:val="0"/>
        <w:adjustRightInd w:val="0"/>
        <w:snapToGrid w:val="0"/>
        <w:spacing w:line="360" w:lineRule="auto"/>
        <w:ind w:firstLine="420" w:firstLineChars="200"/>
        <w:rPr>
          <w:rFonts w:ascii="宋体" w:hAnsi="宋体" w:cs="Arial"/>
          <w:szCs w:val="21"/>
        </w:rPr>
      </w:pPr>
      <w:r>
        <w:rPr>
          <w:rFonts w:hint="eastAsia" w:ascii="宋体" w:hAnsi="宋体"/>
          <w:szCs w:val="21"/>
        </w:rPr>
        <w:t>基金管理人</w:t>
      </w:r>
      <w:r>
        <w:rPr>
          <w:rFonts w:hint="eastAsia" w:ascii="宋体" w:hAnsi="宋体" w:cs="Arial"/>
          <w:szCs w:val="21"/>
        </w:rPr>
        <w:t>应</w:t>
      </w:r>
      <w:r>
        <w:rPr>
          <w:rFonts w:hint="eastAsia" w:ascii="宋体" w:hAnsi="宋体"/>
          <w:szCs w:val="21"/>
        </w:rPr>
        <w:t>事先向基金托管人</w:t>
      </w:r>
      <w:r>
        <w:rPr>
          <w:rFonts w:hint="eastAsia" w:ascii="宋体" w:hAnsi="宋体" w:cs="Arial"/>
          <w:szCs w:val="21"/>
        </w:rPr>
        <w:t>提供书面授权</w:t>
      </w:r>
      <w:r>
        <w:rPr>
          <w:rFonts w:hint="eastAsia" w:ascii="宋体" w:hAnsi="宋体"/>
          <w:szCs w:val="21"/>
        </w:rPr>
        <w:t>通知书（以下称“授权通知书”），指定指令的被授权人员及被授权印鉴，授权通知书的</w:t>
      </w:r>
      <w:r>
        <w:rPr>
          <w:rFonts w:hint="eastAsia" w:ascii="宋体" w:hAnsi="宋体" w:cs="Arial"/>
          <w:szCs w:val="21"/>
        </w:rPr>
        <w:t>内容包括被授权人</w:t>
      </w:r>
      <w:r>
        <w:rPr>
          <w:rFonts w:hint="eastAsia" w:ascii="宋体" w:hAnsi="宋体"/>
          <w:szCs w:val="21"/>
        </w:rPr>
        <w:t>的</w:t>
      </w:r>
      <w:r>
        <w:rPr>
          <w:rFonts w:hint="eastAsia" w:ascii="宋体" w:hAnsi="宋体" w:cs="Arial"/>
          <w:szCs w:val="21"/>
        </w:rPr>
        <w:t>名单、</w:t>
      </w:r>
      <w:r>
        <w:rPr>
          <w:rFonts w:hint="eastAsia" w:ascii="宋体" w:hAnsi="宋体"/>
          <w:szCs w:val="21"/>
        </w:rPr>
        <w:t>签字/印章样本、权限和</w:t>
      </w:r>
      <w:r>
        <w:rPr>
          <w:rFonts w:hint="eastAsia" w:ascii="宋体" w:hAnsi="宋体" w:cs="Arial"/>
          <w:szCs w:val="21"/>
        </w:rPr>
        <w:t>预留印鉴</w:t>
      </w:r>
      <w:r>
        <w:rPr>
          <w:rFonts w:hint="eastAsia" w:ascii="宋体" w:hAnsi="宋体"/>
          <w:szCs w:val="21"/>
        </w:rPr>
        <w:t>，以及授权的传真号码、邮箱、电话号码等。</w:t>
      </w:r>
      <w:r>
        <w:rPr>
          <w:rFonts w:hint="eastAsia" w:ascii="宋体" w:hAnsi="宋体" w:cs="Arial"/>
          <w:szCs w:val="21"/>
        </w:rPr>
        <w:t>授权</w:t>
      </w:r>
      <w:r>
        <w:rPr>
          <w:rFonts w:hint="eastAsia" w:ascii="宋体" w:hAnsi="宋体"/>
          <w:szCs w:val="21"/>
        </w:rPr>
        <w:t>通知书</w:t>
      </w:r>
      <w:r>
        <w:rPr>
          <w:rFonts w:hint="eastAsia" w:ascii="宋体" w:hAnsi="宋体" w:cs="Arial"/>
          <w:szCs w:val="21"/>
        </w:rPr>
        <w:t>应</w:t>
      </w:r>
      <w:r>
        <w:rPr>
          <w:rFonts w:hint="eastAsia" w:ascii="宋体" w:hAnsi="宋体"/>
          <w:szCs w:val="21"/>
        </w:rPr>
        <w:t>加盖基金管理人公司公章</w:t>
      </w:r>
      <w:r>
        <w:rPr>
          <w:rFonts w:ascii="宋体" w:hAnsi="宋体"/>
          <w:szCs w:val="21"/>
        </w:rPr>
        <w:t>和法定代表人</w:t>
      </w:r>
      <w:r>
        <w:rPr>
          <w:rFonts w:hint="eastAsia" w:ascii="宋体" w:hAnsi="宋体"/>
          <w:szCs w:val="21"/>
        </w:rPr>
        <w:t>（或授权人）签字</w:t>
      </w:r>
      <w:r>
        <w:rPr>
          <w:rFonts w:ascii="宋体" w:hAnsi="宋体"/>
          <w:szCs w:val="21"/>
        </w:rPr>
        <w:t>/签章</w:t>
      </w:r>
      <w:r>
        <w:rPr>
          <w:rFonts w:hint="eastAsia" w:ascii="宋体" w:hAnsi="宋体"/>
          <w:szCs w:val="21"/>
        </w:rPr>
        <w:t>，</w:t>
      </w:r>
      <w:r>
        <w:rPr>
          <w:rFonts w:ascii="宋体" w:hAnsi="宋体"/>
          <w:szCs w:val="21"/>
        </w:rPr>
        <w:t>若由授权代表签署</w:t>
      </w:r>
      <w:r>
        <w:rPr>
          <w:rFonts w:hint="eastAsia" w:ascii="宋体" w:hAnsi="宋体"/>
          <w:szCs w:val="21"/>
        </w:rPr>
        <w:t>，</w:t>
      </w:r>
      <w:r>
        <w:rPr>
          <w:rFonts w:ascii="宋体" w:hAnsi="宋体"/>
          <w:szCs w:val="21"/>
        </w:rPr>
        <w:t>还用附上法定代表</w:t>
      </w:r>
      <w:r>
        <w:rPr>
          <w:rFonts w:hint="eastAsia" w:ascii="宋体" w:hAnsi="宋体"/>
          <w:szCs w:val="21"/>
        </w:rPr>
        <w:t>人</w:t>
      </w:r>
      <w:r>
        <w:rPr>
          <w:rFonts w:ascii="宋体" w:hAnsi="宋体"/>
          <w:szCs w:val="21"/>
        </w:rPr>
        <w:t>的授权书</w:t>
      </w:r>
      <w:r>
        <w:rPr>
          <w:rFonts w:hint="eastAsia" w:ascii="宋体" w:hAnsi="宋体"/>
          <w:szCs w:val="21"/>
        </w:rPr>
        <w:t>，并写明生效时间，未写明生效时间的以本协议签署日期或授权通知书的落款日期为生效时间。基金管理人应使用传真或其他与基金托管人协商一致的方式向基金托管人发出授权通知书，同时电话通知基金托管人。授权通知书经基金管理人与基金托管人以电话方式或其他基金管理人和基金托管人认可的方式确认后，于授权通知书载明的生效时间生效或授权通知书的落款时间生效。基金管理人在此后三个工作日内将授权通知书的正本送交基金托管人。授权通知书正本内容与基金托管人收到的传真不一致的，以基金托管人收到的传真为准。</w:t>
      </w:r>
    </w:p>
    <w:p>
      <w:pPr>
        <w:tabs>
          <w:tab w:val="left" w:pos="1260"/>
        </w:tabs>
        <w:adjustRightInd w:val="0"/>
        <w:snapToGrid w:val="0"/>
        <w:spacing w:line="360" w:lineRule="auto"/>
        <w:ind w:firstLine="420" w:firstLineChars="200"/>
        <w:rPr>
          <w:rFonts w:ascii="宋体" w:hAnsi="宋体" w:cs="Arial"/>
          <w:szCs w:val="21"/>
        </w:rPr>
      </w:pPr>
      <w:r>
        <w:rPr>
          <w:rFonts w:hint="eastAsia" w:ascii="宋体" w:hAnsi="宋体"/>
          <w:szCs w:val="21"/>
        </w:rPr>
        <w:t>基金管理人</w:t>
      </w:r>
      <w:r>
        <w:rPr>
          <w:rFonts w:hint="eastAsia" w:ascii="宋体" w:hAnsi="宋体" w:cs="Arial"/>
          <w:szCs w:val="21"/>
        </w:rPr>
        <w:t>和</w:t>
      </w:r>
      <w:r>
        <w:rPr>
          <w:rFonts w:hint="eastAsia" w:ascii="宋体" w:hAnsi="宋体"/>
          <w:szCs w:val="21"/>
        </w:rPr>
        <w:t>基金托管人</w:t>
      </w:r>
      <w:r>
        <w:rPr>
          <w:rFonts w:hint="eastAsia" w:ascii="宋体" w:hAnsi="宋体" w:cs="Arial"/>
          <w:szCs w:val="21"/>
        </w:rPr>
        <w:t>对授权</w:t>
      </w:r>
      <w:r>
        <w:rPr>
          <w:rFonts w:hint="eastAsia" w:ascii="宋体" w:hAnsi="宋体"/>
          <w:szCs w:val="21"/>
        </w:rPr>
        <w:t>通知书</w:t>
      </w:r>
      <w:r>
        <w:rPr>
          <w:rFonts w:hint="eastAsia" w:ascii="宋体" w:hAnsi="宋体" w:cs="Arial"/>
          <w:szCs w:val="21"/>
        </w:rPr>
        <w:t>负有保密义务，其内容不得向</w:t>
      </w:r>
      <w:r>
        <w:rPr>
          <w:rFonts w:hint="eastAsia" w:ascii="宋体" w:hAnsi="宋体"/>
          <w:szCs w:val="21"/>
        </w:rPr>
        <w:t>授权人、</w:t>
      </w:r>
      <w:r>
        <w:rPr>
          <w:rFonts w:hint="eastAsia" w:ascii="宋体" w:hAnsi="宋体" w:cs="Arial"/>
          <w:szCs w:val="21"/>
        </w:rPr>
        <w:t>被授权人及相关操作人员以外的任何人</w:t>
      </w:r>
      <w:r>
        <w:rPr>
          <w:rFonts w:hint="eastAsia" w:ascii="宋体" w:hAnsi="宋体"/>
          <w:szCs w:val="21"/>
        </w:rPr>
        <w:t>泄露</w:t>
      </w:r>
      <w:r>
        <w:rPr>
          <w:rFonts w:hint="eastAsia" w:ascii="宋体" w:hAnsi="宋体" w:cs="Arial"/>
          <w:szCs w:val="21"/>
        </w:rPr>
        <w:t>，但法律法规规定或有权机关另有要求的除外。</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（二）指令的内容</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投资</w:t>
      </w:r>
      <w:r>
        <w:rPr>
          <w:rFonts w:hint="eastAsia" w:ascii="宋体" w:hAnsi="宋体"/>
          <w:szCs w:val="21"/>
        </w:rPr>
        <w:t>指令是在管理本基金时，基金管理人向基金托管人发出的交易成交单、交易指令及</w:t>
      </w:r>
      <w:r>
        <w:rPr>
          <w:rFonts w:hint="eastAsia" w:ascii="宋体" w:hAnsi="宋体" w:cs="Arial"/>
          <w:szCs w:val="21"/>
        </w:rPr>
        <w:t>资金划拨</w:t>
      </w:r>
      <w:r>
        <w:rPr>
          <w:rFonts w:hint="eastAsia" w:ascii="宋体" w:hAnsi="宋体"/>
          <w:szCs w:val="21"/>
        </w:rPr>
        <w:t>类指令（以下简称“指令”）。</w:t>
      </w:r>
      <w:r>
        <w:rPr>
          <w:rFonts w:hint="eastAsia" w:ascii="宋体" w:hAnsi="宋体" w:cs="Arial"/>
          <w:szCs w:val="21"/>
        </w:rPr>
        <w:t>指令</w:t>
      </w:r>
      <w:r>
        <w:rPr>
          <w:rFonts w:hint="eastAsia" w:ascii="宋体" w:hAnsi="宋体"/>
          <w:szCs w:val="21"/>
        </w:rPr>
        <w:t>应</w:t>
      </w:r>
      <w:r>
        <w:rPr>
          <w:rFonts w:hint="eastAsia" w:ascii="宋体" w:hAnsi="宋体" w:cs="Arial"/>
          <w:szCs w:val="21"/>
        </w:rPr>
        <w:t>加盖预留印鉴并由被授权人印章/签字。</w:t>
      </w:r>
      <w:r>
        <w:rPr>
          <w:rFonts w:hint="eastAsia" w:ascii="宋体" w:hAnsi="宋体"/>
          <w:szCs w:val="21"/>
        </w:rPr>
        <w:t>基金管理人发给基金托管人的资金划拨类指令应写明款项事由、时间、金额、出款和收款账户信息等。</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（三）指令的发送、确认及执行的时间和程序</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1.指令发送的方式</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基金管理人选择以下第</w:t>
      </w:r>
      <w:r>
        <w:rPr>
          <w:rFonts w:ascii="宋体" w:hAnsi="宋体" w:cs="Arial"/>
          <w:szCs w:val="21"/>
        </w:rPr>
        <w:t>（</w:t>
      </w:r>
      <w:r>
        <w:rPr>
          <w:rFonts w:hint="eastAsia" w:ascii="宋体" w:hAnsi="宋体" w:cs="Arial"/>
          <w:szCs w:val="21"/>
        </w:rPr>
        <w:t>2</w:t>
      </w:r>
      <w:r>
        <w:rPr>
          <w:rFonts w:ascii="宋体" w:hAnsi="宋体" w:cs="Arial"/>
          <w:szCs w:val="21"/>
        </w:rPr>
        <w:t>）（</w:t>
      </w:r>
      <w:r>
        <w:rPr>
          <w:rFonts w:hint="eastAsia" w:ascii="宋体" w:hAnsi="宋体" w:cs="Arial"/>
          <w:szCs w:val="21"/>
        </w:rPr>
        <w:t>3）种方式向</w:t>
      </w:r>
      <w:r>
        <w:rPr>
          <w:rFonts w:hint="eastAsia" w:ascii="宋体" w:hAnsi="宋体"/>
          <w:szCs w:val="21"/>
        </w:rPr>
        <w:t>基金</w:t>
      </w:r>
      <w:r>
        <w:rPr>
          <w:rFonts w:hint="eastAsia" w:ascii="宋体" w:hAnsi="宋体" w:cs="Arial"/>
          <w:szCs w:val="21"/>
        </w:rPr>
        <w:t>托管人发送指令：</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（1）基金管理人通过招商银行托管+综合服务平台录入方式，向基金托管人发送电子划款指令或投资指令。</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招商银行托管+综合服务平台是指基金托管人基于Internet网络，向基金管理人提供的客户服务软件，实现基金管理人与</w:t>
      </w:r>
      <w:r>
        <w:rPr>
          <w:rFonts w:hint="eastAsia" w:ascii="宋体" w:hAnsi="宋体"/>
          <w:szCs w:val="21"/>
        </w:rPr>
        <w:t>基金</w:t>
      </w:r>
      <w:r>
        <w:rPr>
          <w:rFonts w:hint="eastAsia" w:ascii="宋体" w:hAnsi="宋体" w:cs="Arial"/>
          <w:szCs w:val="21"/>
        </w:rPr>
        <w:t>托管人之间指令处理、数据传输、业务查询、资料传递和信息服务等直通式处理。</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基金管理人和基金托管人另行签订《招商银行“托管+”综合服务平台服务协议》，具体事宜以《招商银行“托管+”综合服务平台服务协议》的约定为准。</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（2）基金管理人通过深证通电子直连对接方式，向基金托管人发送电子划款指令或投资指令。</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基金管理人通过深证通电子直连对接方式发送电子指令的，基金管理人应至少在基金成立日前一日，通过预留邮箱或加盖预留印鉴的函件告知</w:t>
      </w:r>
      <w:r>
        <w:rPr>
          <w:rFonts w:hint="eastAsia" w:ascii="宋体" w:hAnsi="宋体"/>
          <w:szCs w:val="21"/>
        </w:rPr>
        <w:t>基金</w:t>
      </w:r>
      <w:r>
        <w:rPr>
          <w:rFonts w:hint="eastAsia" w:ascii="宋体" w:hAnsi="宋体" w:cs="Arial"/>
          <w:szCs w:val="21"/>
        </w:rPr>
        <w:t>托管人本基金的资产代码。</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对于基金管理人通过上述（1）、（2）方式发送的指令，基金管理人不得否认其效力。</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对于基金管理人通过上述（1）、（2）方式发送指令的，在应急情况下，基金管理人可以传真发送划款指令或者快递、现场交互原件指令。具体操作方式分别按照以下第（3）、（4）款指令发送方式执行。</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（3）基金管理人选择以传真方式发送指令</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对于基金管理人通过预留传真号码发出的指令，基金管理人不得否认其效力。</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特殊情况下，基金管理人无法使用预留传真号码发送指令时，可通过非预留传真号码应急发送传真指令，基金管理人须通过授权的电话号码通知基金托管人接收传真指令。如因基金管理人未通知基金托管人接收传真指令造成的损失，基金托管人不承担责任。上述特殊情况解决后，基金管理人应向基金托管人出具预留传真号码更新通知，并加盖基金管理人在授权通知书中的预留印鉴。</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（4）基金管理人快递寄送或现场交互指令原件的形式传递指令</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如需变更指令发送形式，基金管理人须提前向基金托管人提供变更指令发送形式的指令发送方式变更通知书。</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2.指令附件的发送方式</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向基金托管人发送指令的同时，通过招商银行托管+综合服务平台、预留传真号码或预留指令附件发送电子邮箱提供相关合同、交易凭证或其他证明材料。基金管理人对该等资料的真实性、有效性、完整性和合法合规性负责。</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对于通过招商银行托管+综合服务平台、预留传真号码或预留电子邮箱发出的指令附件，基金管理人不得否认其效力。</w:t>
      </w:r>
    </w:p>
    <w:p>
      <w:pPr>
        <w:spacing w:line="360" w:lineRule="auto"/>
        <w:ind w:firstLine="420" w:firstLineChars="200"/>
        <w:rPr>
          <w:rFonts w:ascii="宋体" w:hAnsi="宋体"/>
          <w:szCs w:val="21"/>
        </w:rPr>
      </w:pPr>
      <w:r>
        <w:rPr>
          <w:rFonts w:hint="eastAsia" w:ascii="宋体" w:hAnsi="宋体" w:cs="Arial"/>
          <w:szCs w:val="21"/>
        </w:rPr>
        <w:t>3.指令发送的时间</w:t>
      </w:r>
    </w:p>
    <w:p>
      <w:pPr>
        <w:adjustRightInd w:val="0"/>
        <w:snapToGrid w:val="0"/>
        <w:spacing w:line="360" w:lineRule="auto"/>
        <w:ind w:firstLine="420" w:firstLineChars="200"/>
        <w:rPr>
          <w:rFonts w:ascii="宋体" w:hAnsi="宋体"/>
          <w:szCs w:val="21"/>
        </w:rPr>
      </w:pPr>
      <w:r>
        <w:rPr>
          <w:rFonts w:hint="eastAsia" w:ascii="宋体" w:hAnsi="宋体"/>
          <w:szCs w:val="21"/>
        </w:rPr>
        <w:t>对于新股、新债申购等网下公开发行业务，基金管理人应于网下申购缴款日的10:00前将指令发送给基金托管人。</w:t>
      </w:r>
    </w:p>
    <w:p>
      <w:pPr>
        <w:spacing w:line="360" w:lineRule="auto"/>
        <w:ind w:firstLine="420" w:firstLineChars="200"/>
        <w:rPr>
          <w:rFonts w:ascii="宋体" w:hAnsi="宋体"/>
          <w:szCs w:val="21"/>
        </w:rPr>
      </w:pPr>
      <w:r>
        <w:rPr>
          <w:rFonts w:hint="eastAsia" w:ascii="宋体" w:hAnsi="宋体"/>
          <w:szCs w:val="21"/>
        </w:rPr>
        <w:t>对于期货出入金业务，基金管理人应于交易日期货出入金截止时间前2小时将期货出入金指令发送至基金托管人。正常情况下由</w:t>
      </w:r>
      <w:r>
        <w:rPr>
          <w:rFonts w:hint="eastAsia" w:ascii="宋体" w:hAnsi="宋体" w:cs="Arial"/>
          <w:szCs w:val="21"/>
        </w:rPr>
        <w:t>基金</w:t>
      </w:r>
      <w:r>
        <w:rPr>
          <w:rFonts w:hint="eastAsia" w:ascii="宋体" w:hAnsi="宋体"/>
          <w:szCs w:val="21"/>
        </w:rPr>
        <w:t>托管人依据</w:t>
      </w:r>
      <w:r>
        <w:rPr>
          <w:rFonts w:hint="eastAsia" w:ascii="宋体" w:hAnsi="宋体" w:cs="Arial"/>
          <w:szCs w:val="21"/>
        </w:rPr>
        <w:t>基金</w:t>
      </w:r>
      <w:r>
        <w:rPr>
          <w:rFonts w:hint="eastAsia" w:ascii="宋体" w:hAnsi="宋体"/>
          <w:szCs w:val="21"/>
        </w:rPr>
        <w:t>管理人发出的出入金指令，通过期货结算银行银期转账系统进行出入金操作。当结算银行银期转账系统出现故障等其他紧急情况时，</w:t>
      </w:r>
      <w:r>
        <w:rPr>
          <w:rFonts w:hint="eastAsia" w:ascii="宋体" w:hAnsi="宋体" w:cs="Arial"/>
          <w:szCs w:val="21"/>
        </w:rPr>
        <w:t>基金</w:t>
      </w:r>
      <w:r>
        <w:rPr>
          <w:rFonts w:hint="eastAsia" w:ascii="宋体" w:hAnsi="宋体"/>
          <w:szCs w:val="21"/>
        </w:rPr>
        <w:t>管理人可以使用非银期转账手工出入金。</w:t>
      </w:r>
    </w:p>
    <w:p>
      <w:pPr>
        <w:autoSpaceDE w:val="0"/>
        <w:autoSpaceDN w:val="0"/>
        <w:spacing w:line="360" w:lineRule="auto"/>
        <w:ind w:firstLine="420" w:firstLineChars="200"/>
        <w:rPr>
          <w:rFonts w:ascii="宋体" w:hAnsi="宋体"/>
          <w:szCs w:val="21"/>
        </w:rPr>
      </w:pPr>
      <w:r>
        <w:rPr>
          <w:rFonts w:hint="eastAsia" w:ascii="宋体" w:hAnsi="宋体"/>
          <w:szCs w:val="21"/>
        </w:rPr>
        <w:t>非银期转账手工出入金，入金由</w:t>
      </w:r>
      <w:r>
        <w:rPr>
          <w:rFonts w:hint="eastAsia" w:ascii="宋体" w:hAnsi="宋体" w:cs="Arial"/>
          <w:szCs w:val="21"/>
        </w:rPr>
        <w:t>基金</w:t>
      </w:r>
      <w:r>
        <w:rPr>
          <w:rFonts w:hint="eastAsia" w:ascii="宋体" w:hAnsi="宋体"/>
          <w:szCs w:val="21"/>
        </w:rPr>
        <w:t>托管人依据</w:t>
      </w:r>
      <w:r>
        <w:rPr>
          <w:rFonts w:hint="eastAsia" w:ascii="宋体" w:hAnsi="宋体" w:cs="Arial"/>
          <w:szCs w:val="21"/>
        </w:rPr>
        <w:t>基金</w:t>
      </w:r>
      <w:r>
        <w:rPr>
          <w:rFonts w:hint="eastAsia" w:ascii="宋体" w:hAnsi="宋体"/>
          <w:szCs w:val="21"/>
        </w:rPr>
        <w:t>管理人提供的划款指令通过结算银行的网银系统划往期货公司指定账户后，由</w:t>
      </w:r>
      <w:r>
        <w:rPr>
          <w:rFonts w:hint="eastAsia" w:ascii="宋体" w:hAnsi="宋体" w:cs="Arial"/>
          <w:szCs w:val="21"/>
        </w:rPr>
        <w:t>基金</w:t>
      </w:r>
      <w:r>
        <w:rPr>
          <w:rFonts w:hint="eastAsia" w:ascii="宋体" w:hAnsi="宋体"/>
          <w:szCs w:val="21"/>
        </w:rPr>
        <w:t>管理人通知期货公司进行入金操作，出金由基金管理人通知期货公司出金后，再发送指令给</w:t>
      </w:r>
      <w:r>
        <w:rPr>
          <w:rFonts w:hint="eastAsia" w:ascii="宋体" w:hAnsi="宋体" w:cs="Arial"/>
          <w:szCs w:val="21"/>
        </w:rPr>
        <w:t>基金</w:t>
      </w:r>
      <w:r>
        <w:rPr>
          <w:rFonts w:hint="eastAsia" w:ascii="宋体" w:hAnsi="宋体"/>
          <w:szCs w:val="21"/>
        </w:rPr>
        <w:t>托管人，由</w:t>
      </w:r>
      <w:r>
        <w:rPr>
          <w:rFonts w:hint="eastAsia" w:ascii="宋体" w:hAnsi="宋体" w:cs="Arial"/>
          <w:szCs w:val="21"/>
        </w:rPr>
        <w:t>基金</w:t>
      </w:r>
      <w:r>
        <w:rPr>
          <w:rFonts w:hint="eastAsia" w:ascii="宋体" w:hAnsi="宋体"/>
          <w:szCs w:val="21"/>
        </w:rPr>
        <w:t>托管人依据</w:t>
      </w:r>
      <w:r>
        <w:rPr>
          <w:rFonts w:hint="eastAsia" w:ascii="宋体" w:hAnsi="宋体" w:cs="Arial"/>
          <w:szCs w:val="21"/>
        </w:rPr>
        <w:t>基金</w:t>
      </w:r>
      <w:r>
        <w:rPr>
          <w:rFonts w:hint="eastAsia" w:ascii="宋体" w:hAnsi="宋体"/>
          <w:szCs w:val="21"/>
        </w:rPr>
        <w:t>管理人提供的划款指令通过结算银行的网银系统划往本</w:t>
      </w:r>
      <w:r>
        <w:rPr>
          <w:rFonts w:hint="eastAsia" w:ascii="宋体" w:hAnsi="宋体" w:cs="Arial"/>
          <w:szCs w:val="21"/>
        </w:rPr>
        <w:t>基金</w:t>
      </w:r>
      <w:r>
        <w:rPr>
          <w:rFonts w:hint="eastAsia" w:ascii="宋体" w:hAnsi="宋体"/>
          <w:szCs w:val="21"/>
        </w:rPr>
        <w:t>托管账户。</w:t>
      </w:r>
    </w:p>
    <w:p>
      <w:pPr>
        <w:spacing w:line="360" w:lineRule="auto"/>
        <w:ind w:firstLine="420" w:firstLineChars="200"/>
        <w:rPr>
          <w:rFonts w:ascii="宋体" w:hAnsi="宋体"/>
          <w:szCs w:val="21"/>
        </w:rPr>
      </w:pPr>
      <w:r>
        <w:rPr>
          <w:rFonts w:hint="eastAsia" w:ascii="宋体" w:hAnsi="宋体"/>
          <w:szCs w:val="21"/>
        </w:rPr>
        <w:t>执行完期货出金或入金的操作后，</w:t>
      </w:r>
      <w:r>
        <w:rPr>
          <w:rFonts w:hint="eastAsia" w:ascii="宋体" w:hAnsi="宋体" w:cs="Arial"/>
          <w:szCs w:val="21"/>
        </w:rPr>
        <w:t>基金</w:t>
      </w:r>
      <w:r>
        <w:rPr>
          <w:rFonts w:hint="eastAsia" w:ascii="宋体" w:hAnsi="宋体"/>
          <w:szCs w:val="21"/>
        </w:rPr>
        <w:t>管理人应通过其交易系统或终端系统查询出金划出情况和入金到账情况。</w:t>
      </w:r>
    </w:p>
    <w:p>
      <w:pPr>
        <w:adjustRightInd w:val="0"/>
        <w:snapToGrid w:val="0"/>
        <w:spacing w:line="360" w:lineRule="auto"/>
        <w:ind w:firstLine="420" w:firstLineChars="200"/>
        <w:rPr>
          <w:rFonts w:ascii="宋体" w:hAnsi="宋体"/>
          <w:szCs w:val="21"/>
        </w:rPr>
      </w:pPr>
      <w:r>
        <w:rPr>
          <w:rFonts w:hint="eastAsia" w:ascii="宋体" w:hAnsi="宋体"/>
          <w:szCs w:val="21"/>
        </w:rPr>
        <w:t>对于场内业务，首次进行场内交易前基金管理人应与基金托管人确认已完成交易单元和股东代码设置后方可进行。</w:t>
      </w:r>
    </w:p>
    <w:p>
      <w:pPr>
        <w:adjustRightInd w:val="0"/>
        <w:snapToGrid w:val="0"/>
        <w:spacing w:line="360" w:lineRule="auto"/>
        <w:ind w:firstLine="420" w:firstLineChars="200"/>
        <w:rPr>
          <w:rFonts w:ascii="宋体" w:hAnsi="宋体"/>
          <w:szCs w:val="21"/>
        </w:rPr>
      </w:pPr>
      <w:r>
        <w:rPr>
          <w:rFonts w:hint="eastAsia" w:ascii="宋体" w:hAnsi="宋体"/>
          <w:szCs w:val="21"/>
        </w:rPr>
        <w:t>对于银行间业务，基金管理人应于交易日15:00前将银行间成交单及相关划款指令发送至基金托管人。基金管理人应与基金托管人确认基金托管人已完成证书和权限设置后方可进行本基金的银行间交易。对于向基金托管人出具无需银行间成交单授权书的，基金管理人应在首笔银行间交易时通过预留电话通知基金托管人，如基金管理人未通知基金托管人，导致指令未执行或执行失败的，基金托管人不承担责任。</w:t>
      </w:r>
    </w:p>
    <w:p>
      <w:pPr>
        <w:adjustRightInd w:val="0"/>
        <w:snapToGrid w:val="0"/>
        <w:spacing w:line="360" w:lineRule="auto"/>
        <w:ind w:firstLine="420" w:firstLineChars="200"/>
        <w:rPr>
          <w:rFonts w:ascii="宋体" w:hAnsi="宋体"/>
          <w:szCs w:val="21"/>
        </w:rPr>
      </w:pPr>
      <w:r>
        <w:rPr>
          <w:rFonts w:hint="eastAsia" w:ascii="宋体" w:hAnsi="宋体"/>
          <w:szCs w:val="21"/>
        </w:rPr>
        <w:t>对于指定时间出款的交易指令，基金管理人应提前2小时将指令发送至基金托管人；对于基金管理人于15:00以后发送至基金托管人的指令，基金托管人不保证当日出款，如出款不成功，基金托管人不承担责任。</w:t>
      </w:r>
    </w:p>
    <w:p>
      <w:pPr>
        <w:adjustRightInd w:val="0"/>
        <w:snapToGrid w:val="0"/>
        <w:spacing w:line="360" w:lineRule="auto"/>
        <w:ind w:firstLine="420" w:firstLineChars="200"/>
        <w:rPr>
          <w:rFonts w:ascii="宋体" w:hAnsi="宋体"/>
          <w:szCs w:val="21"/>
        </w:rPr>
      </w:pPr>
      <w:r>
        <w:rPr>
          <w:rFonts w:ascii="宋体" w:hAnsi="宋体" w:cs="Arial"/>
          <w:szCs w:val="21"/>
        </w:rPr>
        <w:t>4</w:t>
      </w:r>
      <w:r>
        <w:rPr>
          <w:rFonts w:hint="eastAsia" w:ascii="宋体" w:hAnsi="宋体" w:cs="Arial"/>
          <w:szCs w:val="21"/>
        </w:rPr>
        <w:t>.指令的确认</w:t>
      </w:r>
    </w:p>
    <w:p>
      <w:pPr>
        <w:adjustRightInd w:val="0"/>
        <w:snapToGrid w:val="0"/>
        <w:spacing w:line="360" w:lineRule="auto"/>
        <w:ind w:firstLine="420" w:firstLineChars="200"/>
        <w:rPr>
          <w:rFonts w:ascii="宋体" w:hAnsi="宋体"/>
          <w:szCs w:val="21"/>
        </w:rPr>
      </w:pPr>
      <w:r>
        <w:rPr>
          <w:rFonts w:hint="eastAsia" w:ascii="宋体" w:hAnsi="宋体"/>
          <w:szCs w:val="21"/>
        </w:rPr>
        <w:t>基金管理人有义务在发送指令后与基金托管人进行电话确认，</w:t>
      </w:r>
      <w:r>
        <w:rPr>
          <w:rFonts w:hint="eastAsia" w:ascii="宋体" w:hAnsi="宋体" w:cs="Arial"/>
          <w:szCs w:val="21"/>
        </w:rPr>
        <w:t>如因</w:t>
      </w:r>
      <w:r>
        <w:rPr>
          <w:rFonts w:hint="eastAsia" w:ascii="宋体" w:hAnsi="宋体"/>
          <w:szCs w:val="21"/>
        </w:rPr>
        <w:t>基金</w:t>
      </w:r>
      <w:r>
        <w:rPr>
          <w:rFonts w:hint="eastAsia" w:ascii="宋体" w:hAnsi="宋体" w:cs="Arial"/>
          <w:szCs w:val="21"/>
        </w:rPr>
        <w:t>管理人未通知</w:t>
      </w:r>
      <w:r>
        <w:rPr>
          <w:rFonts w:hint="eastAsia" w:ascii="宋体" w:hAnsi="宋体"/>
          <w:szCs w:val="21"/>
        </w:rPr>
        <w:t>基金</w:t>
      </w:r>
      <w:r>
        <w:rPr>
          <w:rFonts w:hint="eastAsia" w:ascii="宋体" w:hAnsi="宋体" w:cs="Arial"/>
          <w:szCs w:val="21"/>
        </w:rPr>
        <w:t>托管人接收传真指令造成的损失，</w:t>
      </w:r>
      <w:r>
        <w:rPr>
          <w:rFonts w:hint="eastAsia" w:ascii="宋体" w:hAnsi="宋体"/>
          <w:szCs w:val="21"/>
        </w:rPr>
        <w:t>基金</w:t>
      </w:r>
      <w:r>
        <w:rPr>
          <w:rFonts w:hint="eastAsia" w:ascii="宋体" w:hAnsi="宋体" w:cs="Arial"/>
          <w:szCs w:val="21"/>
        </w:rPr>
        <w:t>托管人不承担责任</w:t>
      </w:r>
      <w:r>
        <w:rPr>
          <w:rFonts w:hint="eastAsia" w:ascii="宋体" w:hAnsi="宋体"/>
          <w:szCs w:val="21"/>
        </w:rPr>
        <w:t>。对于依照“授权通知”发出的指令，基金管理人不得否认其效力。</w:t>
      </w:r>
    </w:p>
    <w:p>
      <w:pPr>
        <w:adjustRightInd w:val="0"/>
        <w:snapToGrid w:val="0"/>
        <w:spacing w:line="360" w:lineRule="auto"/>
        <w:ind w:firstLine="420" w:firstLineChars="200"/>
        <w:rPr>
          <w:rFonts w:ascii="宋体" w:hAnsi="宋体"/>
          <w:szCs w:val="21"/>
        </w:rPr>
      </w:pPr>
      <w:r>
        <w:rPr>
          <w:rFonts w:ascii="宋体" w:hAnsi="宋体" w:cs="Arial"/>
          <w:szCs w:val="21"/>
        </w:rPr>
        <w:t>5</w:t>
      </w:r>
      <w:r>
        <w:rPr>
          <w:rFonts w:hint="eastAsia" w:ascii="宋体" w:hAnsi="宋体" w:cs="Arial"/>
          <w:szCs w:val="21"/>
        </w:rPr>
        <w:t>.</w:t>
      </w:r>
      <w:r>
        <w:rPr>
          <w:rFonts w:hint="eastAsia" w:ascii="宋体" w:hAnsi="宋体"/>
          <w:szCs w:val="21"/>
        </w:rPr>
        <w:t>指令的执行</w:t>
      </w:r>
    </w:p>
    <w:p>
      <w:pPr>
        <w:spacing w:line="360" w:lineRule="auto"/>
        <w:ind w:firstLine="420" w:firstLineChars="200"/>
        <w:rPr>
          <w:rFonts w:ascii="宋体" w:hAnsi="宋体"/>
          <w:szCs w:val="21"/>
        </w:rPr>
      </w:pPr>
      <w:r>
        <w:rPr>
          <w:rFonts w:hint="eastAsia" w:ascii="宋体" w:hAnsi="宋体"/>
          <w:szCs w:val="21"/>
        </w:rPr>
        <w:t>基金管理人在发送指令时，应确保出款账户有足够的资金余额、文件资料齐全，并为基金托管人留出执行指令所必需的时间，</w:t>
      </w:r>
      <w:r>
        <w:rPr>
          <w:rFonts w:ascii="宋体" w:hAnsi="宋体"/>
          <w:szCs w:val="21"/>
        </w:rPr>
        <w:t>因</w:t>
      </w:r>
      <w:r>
        <w:rPr>
          <w:rFonts w:hint="eastAsia" w:ascii="宋体" w:hAnsi="宋体"/>
          <w:szCs w:val="21"/>
        </w:rPr>
        <w:t>基金</w:t>
      </w:r>
      <w:r>
        <w:rPr>
          <w:rFonts w:ascii="宋体" w:hAnsi="宋体"/>
          <w:szCs w:val="21"/>
        </w:rPr>
        <w:t>管理人未给予</w:t>
      </w:r>
      <w:r>
        <w:rPr>
          <w:rFonts w:hint="eastAsia" w:ascii="宋体" w:hAnsi="宋体"/>
          <w:szCs w:val="21"/>
        </w:rPr>
        <w:t>合理</w:t>
      </w:r>
      <w:r>
        <w:rPr>
          <w:rFonts w:ascii="宋体" w:hAnsi="宋体"/>
          <w:szCs w:val="21"/>
        </w:rPr>
        <w:t>必</w:t>
      </w:r>
      <w:r>
        <w:rPr>
          <w:rFonts w:hint="eastAsia" w:ascii="宋体" w:hAnsi="宋体"/>
          <w:szCs w:val="21"/>
        </w:rPr>
        <w:t>需的</w:t>
      </w:r>
      <w:r>
        <w:rPr>
          <w:rFonts w:ascii="宋体" w:hAnsi="宋体"/>
          <w:szCs w:val="21"/>
        </w:rPr>
        <w:t>时间导致</w:t>
      </w:r>
      <w:r>
        <w:rPr>
          <w:rFonts w:hint="eastAsia" w:ascii="宋体" w:hAnsi="宋体"/>
          <w:szCs w:val="21"/>
        </w:rPr>
        <w:t>基金</w:t>
      </w:r>
      <w:r>
        <w:rPr>
          <w:rFonts w:ascii="宋体" w:hAnsi="宋体"/>
          <w:szCs w:val="21"/>
        </w:rPr>
        <w:t>托管人操作不成功的，</w:t>
      </w:r>
      <w:r>
        <w:rPr>
          <w:rFonts w:hint="eastAsia" w:ascii="宋体" w:hAnsi="宋体"/>
          <w:szCs w:val="21"/>
        </w:rPr>
        <w:t>基金</w:t>
      </w:r>
      <w:r>
        <w:rPr>
          <w:rFonts w:ascii="宋体" w:hAnsi="宋体"/>
          <w:szCs w:val="21"/>
        </w:rPr>
        <w:t>托管人不承担责任</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基金托管人确认收到基金管理人发送的指令后，应对指令进行形式审查，验证指令的要素（金额、收款账号、收款户名、用途）是否齐全，传真指令还应审核印鉴和印章/签字是否和预留印鉴和签章样本表面一致性相符，传真指令加盖的印鉴和预留印鉴形式上不存在重大差异即视为表面一致性审查通过，对于因传真或扫描引起的印章、签字等变形、扭曲，基金托管人不承担审查义务。基金托管人仅对基金管理人提交的指令按照本协议约定进行表面一致性审查，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由基金管理人承担责任。</w:t>
      </w:r>
    </w:p>
    <w:p>
      <w:pPr>
        <w:adjustRightInd w:val="0"/>
        <w:snapToGrid w:val="0"/>
        <w:spacing w:line="360" w:lineRule="auto"/>
        <w:ind w:firstLine="420" w:firstLineChars="200"/>
        <w:rPr>
          <w:rFonts w:ascii="宋体" w:hAnsi="宋体"/>
          <w:szCs w:val="21"/>
        </w:rPr>
      </w:pPr>
      <w:r>
        <w:rPr>
          <w:rFonts w:hint="eastAsia" w:ascii="宋体" w:hAnsi="宋体"/>
          <w:szCs w:val="21"/>
        </w:rPr>
        <w:t>基金托管人审核指令无误后应在规定期限内及时执行。</w:t>
      </w:r>
    </w:p>
    <w:p>
      <w:pPr>
        <w:adjustRightInd w:val="0"/>
        <w:snapToGrid w:val="0"/>
        <w:spacing w:line="360" w:lineRule="auto"/>
        <w:ind w:firstLine="420" w:firstLineChars="200"/>
        <w:rPr>
          <w:rFonts w:ascii="宋体" w:hAnsi="宋体"/>
          <w:szCs w:val="21"/>
        </w:rPr>
      </w:pPr>
      <w:r>
        <w:rPr>
          <w:rFonts w:hint="eastAsia" w:ascii="宋体" w:hAnsi="宋体"/>
          <w:szCs w:val="21"/>
        </w:rPr>
        <w:t>6.指令的撤销</w:t>
      </w:r>
    </w:p>
    <w:p>
      <w:pPr>
        <w:adjustRightInd w:val="0"/>
        <w:snapToGrid w:val="0"/>
        <w:spacing w:line="360" w:lineRule="auto"/>
        <w:ind w:firstLine="420" w:firstLineChars="200"/>
        <w:rPr>
          <w:rFonts w:ascii="宋体" w:hAnsi="宋体"/>
          <w:szCs w:val="21"/>
        </w:rPr>
      </w:pPr>
      <w:r>
        <w:rPr>
          <w:rFonts w:hint="eastAsia" w:ascii="宋体" w:hAnsi="宋体"/>
          <w:szCs w:val="21"/>
        </w:rPr>
        <w:t>在指令未执行的前提下，若基金管理人撤销指令，基金管理人应在原指令上注明“作废”、</w:t>
      </w:r>
      <w:r>
        <w:rPr>
          <w:rFonts w:ascii="宋体" w:hAnsi="宋体"/>
          <w:szCs w:val="21"/>
        </w:rPr>
        <w:t>“废”</w:t>
      </w:r>
      <w:r>
        <w:rPr>
          <w:rFonts w:hint="eastAsia" w:ascii="宋体" w:hAnsi="宋体"/>
          <w:szCs w:val="21"/>
        </w:rPr>
        <w:t>、</w:t>
      </w:r>
      <w:r>
        <w:rPr>
          <w:rFonts w:hint="eastAsia" w:ascii="宋体" w:hAnsi="宋体"/>
        </w:rPr>
        <w:t>“取消”</w:t>
      </w:r>
      <w:r>
        <w:rPr>
          <w:rFonts w:ascii="宋体" w:hAnsi="宋体"/>
          <w:szCs w:val="21"/>
        </w:rPr>
        <w:t>等字样</w:t>
      </w:r>
      <w:r>
        <w:rPr>
          <w:rFonts w:hint="eastAsia" w:ascii="宋体" w:hAnsi="宋体"/>
          <w:szCs w:val="21"/>
        </w:rPr>
        <w:t>并加盖预留印鉴及被授权人</w:t>
      </w:r>
      <w:r>
        <w:rPr>
          <w:rFonts w:hint="eastAsia" w:ascii="宋体" w:hAnsi="宋体"/>
        </w:rPr>
        <w:t>印章/签字</w:t>
      </w:r>
      <w:r>
        <w:rPr>
          <w:rFonts w:hint="eastAsia" w:ascii="宋体" w:hAnsi="宋体"/>
          <w:szCs w:val="21"/>
        </w:rPr>
        <w:t>后传真给基金托管人，并电话通知基金托管人</w:t>
      </w:r>
      <w:r>
        <w:rPr>
          <w:rFonts w:hint="eastAsia" w:ascii="宋体" w:hAnsi="宋体" w:cs="Arial"/>
          <w:szCs w:val="21"/>
        </w:rPr>
        <w:t>。若撤销电子指令，</w:t>
      </w:r>
      <w:r>
        <w:rPr>
          <w:rFonts w:hint="eastAsia" w:ascii="宋体" w:hAnsi="宋体"/>
          <w:szCs w:val="21"/>
        </w:rPr>
        <w:t>基金</w:t>
      </w:r>
      <w:r>
        <w:rPr>
          <w:rFonts w:hint="eastAsia" w:ascii="宋体" w:hAnsi="宋体" w:cs="Arial"/>
          <w:szCs w:val="21"/>
        </w:rPr>
        <w:t>管理人应通过相关系统撤销，系统功能不支持撤销的，应参照撤销传真指令方式撤销电子指令。</w:t>
      </w:r>
    </w:p>
    <w:p>
      <w:pPr>
        <w:pStyle w:val="9"/>
        <w:spacing w:line="360" w:lineRule="auto"/>
        <w:ind w:firstLine="420"/>
        <w:rPr>
          <w:rFonts w:ascii="宋体" w:hAnsi="宋体" w:eastAsia="宋体"/>
          <w:sz w:val="21"/>
          <w:szCs w:val="21"/>
        </w:rPr>
      </w:pPr>
      <w:r>
        <w:rPr>
          <w:rFonts w:hint="eastAsia" w:ascii="宋体" w:hAnsi="宋体" w:eastAsia="宋体"/>
          <w:sz w:val="21"/>
          <w:szCs w:val="21"/>
        </w:rPr>
        <w:t>（四）基金管理人发送错误指令的情形和处理程序</w:t>
      </w:r>
    </w:p>
    <w:p>
      <w:pPr>
        <w:adjustRightInd w:val="0"/>
        <w:snapToGrid w:val="0"/>
        <w:spacing w:line="360" w:lineRule="auto"/>
        <w:ind w:firstLine="420" w:firstLineChars="200"/>
        <w:rPr>
          <w:rFonts w:ascii="宋体" w:hAnsi="宋体"/>
          <w:szCs w:val="21"/>
        </w:rPr>
      </w:pPr>
      <w:r>
        <w:rPr>
          <w:rFonts w:hint="eastAsia" w:ascii="宋体" w:hAnsi="宋体" w:cs="Arial"/>
          <w:szCs w:val="21"/>
        </w:rPr>
        <w:t>1、基金管理人发送错误指令的情形包括指令发送人员无权或超越权限发送指令，指令不能辨识或要素不全导致无法执行等情形</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2、当基金托管人认为所接收指令为错误指令时，应及时与基金管理人进行电话确认，并暂停指令的执行，由基金管理人撤销指令或撤销后再重新发送指令。</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（五）基金托管人依照法律法规暂缓、拒绝执行指令的情形和处理程序</w:t>
      </w:r>
    </w:p>
    <w:p>
      <w:pPr>
        <w:adjustRightInd w:val="0"/>
        <w:snapToGrid w:val="0"/>
        <w:spacing w:line="360" w:lineRule="auto"/>
        <w:ind w:firstLine="420" w:firstLineChars="200"/>
        <w:rPr>
          <w:rFonts w:ascii="宋体" w:hAnsi="宋体"/>
          <w:szCs w:val="21"/>
        </w:rPr>
      </w:pPr>
      <w:r>
        <w:rPr>
          <w:rFonts w:hint="eastAsia" w:ascii="宋体" w:hAnsi="宋体"/>
          <w:szCs w:val="21"/>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法规规定期限</w:t>
      </w:r>
      <w:r>
        <w:rPr>
          <w:rFonts w:ascii="宋体" w:hAnsi="宋体"/>
          <w:szCs w:val="21"/>
        </w:rPr>
        <w:t>内</w:t>
      </w:r>
      <w:r>
        <w:rPr>
          <w:rFonts w:hint="eastAsia" w:ascii="宋体" w:hAnsi="宋体"/>
          <w:szCs w:val="21"/>
        </w:rPr>
        <w:t>及时</w:t>
      </w:r>
      <w:r>
        <w:rPr>
          <w:rFonts w:ascii="宋体" w:hAnsi="宋体"/>
          <w:szCs w:val="21"/>
        </w:rPr>
        <w:t>纠正</w:t>
      </w:r>
      <w:r>
        <w:rPr>
          <w:rFonts w:hint="eastAsia" w:ascii="宋体" w:hAnsi="宋体"/>
          <w:szCs w:val="21"/>
        </w:rPr>
        <w:t>。对于基金托管人事前难以监督的交易行为，基金托管人在事后履行了对基金管理人的通知义务后，即视为完全履行了其投资监督职责。对于基金管理人违反《基金法》、《运作办法》、《基金合同》、本协议或其他有关法律法规的规定造成基金财产损失的，由基金管理人承担全部责任，基金托管人免于承担责任。</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（六）基金托管人未按照基金管理人指令执行的处理方法</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对于基金管理人的有效指令和通知，除非违反法律法规、基金合同、托管协议或具有第（四）项所述错误，基金托管人不得无故拒绝或拖延执行。除因故意或重大过失致使本</w:t>
      </w:r>
      <w:r>
        <w:rPr>
          <w:rFonts w:hint="eastAsia" w:ascii="宋体" w:hAnsi="宋体"/>
          <w:szCs w:val="21"/>
        </w:rPr>
        <w:t>基金</w:t>
      </w:r>
      <w:r>
        <w:rPr>
          <w:rFonts w:hint="eastAsia" w:ascii="宋体" w:hAnsi="宋体" w:cs="Arial"/>
          <w:szCs w:val="21"/>
        </w:rPr>
        <w:t>、</w:t>
      </w:r>
      <w:r>
        <w:rPr>
          <w:rFonts w:hint="eastAsia" w:ascii="宋体" w:hAnsi="宋体"/>
          <w:szCs w:val="21"/>
        </w:rPr>
        <w:t>基金</w:t>
      </w:r>
      <w:r>
        <w:rPr>
          <w:rFonts w:hint="eastAsia" w:ascii="宋体" w:hAnsi="宋体" w:cs="Arial"/>
          <w:szCs w:val="21"/>
        </w:rPr>
        <w:t>管理人的利益受到损害而负赔偿责任外，</w:t>
      </w:r>
      <w:r>
        <w:rPr>
          <w:rFonts w:hint="eastAsia" w:ascii="宋体" w:hAnsi="宋体"/>
          <w:szCs w:val="21"/>
        </w:rPr>
        <w:t>基金</w:t>
      </w:r>
      <w:r>
        <w:rPr>
          <w:rFonts w:hint="eastAsia" w:ascii="宋体" w:hAnsi="宋体" w:cs="Arial"/>
          <w:szCs w:val="21"/>
        </w:rPr>
        <w:t>托管人对执行</w:t>
      </w:r>
      <w:r>
        <w:rPr>
          <w:rFonts w:hint="eastAsia" w:ascii="宋体" w:hAnsi="宋体"/>
          <w:szCs w:val="21"/>
        </w:rPr>
        <w:t>基金</w:t>
      </w:r>
      <w:r>
        <w:rPr>
          <w:rFonts w:hint="eastAsia" w:ascii="宋体" w:hAnsi="宋体" w:cs="Arial"/>
          <w:szCs w:val="21"/>
        </w:rPr>
        <w:t>管理人的合法指令对基金财产造成的损失不承担赔偿责任。</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（七）更换被授权人员的程序</w:t>
      </w:r>
    </w:p>
    <w:p>
      <w:pPr>
        <w:autoSpaceDE w:val="0"/>
        <w:autoSpaceDN w:val="0"/>
        <w:adjustRightInd w:val="0"/>
        <w:snapToGrid w:val="0"/>
        <w:spacing w:line="360" w:lineRule="auto"/>
        <w:ind w:firstLine="420" w:firstLineChars="200"/>
        <w:rPr>
          <w:rFonts w:ascii="宋体" w:hAnsi="宋体" w:cs="Arial"/>
          <w:szCs w:val="21"/>
        </w:rPr>
      </w:pPr>
      <w:r>
        <w:rPr>
          <w:rFonts w:hint="eastAsia" w:ascii="宋体" w:hAnsi="宋体"/>
          <w:szCs w:val="21"/>
        </w:rPr>
        <w:t>基金管理人撤换被授权人员、改变被授权人员的权限、变更或新增接收传真指令的号码、预留电话号码、预留邮箱，必须提前至少一个交易日，使用传真方式或其他基金管理人和基金托管人认可的方式重新向基金托管人发出加盖基金管理人公司公章的授权通知书，同时电话通知基金托管人。经基金管理人与基金托管人以电话方式或其他基金管理人和基金托管人认可的方式确认后，于授权通知书载明的生效时间生效，同时原授权通知书失效。基金管理人在此后三个工作日内将被授权人变更通知的正本送交基金托管人。授权通知书正本内容与基金托管人收到的传真不一致的，以基金托管人收到的传真为准。</w:t>
      </w:r>
      <w:r>
        <w:rPr>
          <w:rFonts w:hint="eastAsia" w:ascii="宋体" w:hAnsi="宋体" w:cs="Arial"/>
          <w:szCs w:val="21"/>
        </w:rPr>
        <w:t>基金托管人更换接收基金管理人指令的人员，应提前通知基金管理人。</w:t>
      </w:r>
    </w:p>
    <w:p>
      <w:pPr>
        <w:autoSpaceDE w:val="0"/>
        <w:autoSpaceDN w:val="0"/>
        <w:adjustRightInd w:val="0"/>
        <w:snapToGrid w:val="0"/>
        <w:spacing w:line="360" w:lineRule="auto"/>
        <w:ind w:firstLine="420" w:firstLineChars="200"/>
        <w:rPr>
          <w:rFonts w:ascii="宋体" w:hAnsi="宋体"/>
          <w:szCs w:val="21"/>
        </w:rPr>
      </w:pPr>
      <w:r>
        <w:rPr>
          <w:rFonts w:hint="eastAsia" w:ascii="宋体" w:hAnsi="宋体" w:cs="Arial"/>
          <w:szCs w:val="21"/>
        </w:rPr>
        <w:t>（八）指令的</w:t>
      </w:r>
      <w:r>
        <w:rPr>
          <w:rFonts w:hint="eastAsia" w:ascii="宋体" w:hAnsi="宋体"/>
          <w:szCs w:val="21"/>
        </w:rPr>
        <w:t>保管</w:t>
      </w:r>
    </w:p>
    <w:p>
      <w:p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指令若以传真形式发出，则正本由基金管理人保管，基金托管人保管指令传真件。当两者不一致时，以基金托管人收到的指令传真件为准。</w:t>
      </w:r>
    </w:p>
    <w:p>
      <w:pPr>
        <w:autoSpaceDE w:val="0"/>
        <w:autoSpaceDN w:val="0"/>
        <w:adjustRightInd w:val="0"/>
        <w:snapToGrid w:val="0"/>
        <w:spacing w:line="360" w:lineRule="auto"/>
        <w:ind w:firstLine="420" w:firstLineChars="200"/>
        <w:rPr>
          <w:rFonts w:ascii="宋体" w:hAnsi="宋体"/>
          <w:szCs w:val="21"/>
        </w:rPr>
      </w:pPr>
      <w:r>
        <w:rPr>
          <w:rFonts w:hint="eastAsia" w:ascii="宋体" w:hAnsi="宋体" w:cs="Arial"/>
          <w:szCs w:val="21"/>
        </w:rPr>
        <w:t>（九）</w:t>
      </w:r>
      <w:r>
        <w:rPr>
          <w:rFonts w:hint="eastAsia" w:ascii="宋体" w:hAnsi="宋体"/>
          <w:szCs w:val="21"/>
        </w:rPr>
        <w:t>相关责任</w:t>
      </w:r>
    </w:p>
    <w:p>
      <w:pPr>
        <w:autoSpaceDE w:val="0"/>
        <w:autoSpaceDN w:val="0"/>
        <w:adjustRightInd w:val="0"/>
        <w:snapToGrid w:val="0"/>
        <w:spacing w:line="360" w:lineRule="auto"/>
        <w:ind w:firstLine="420" w:firstLineChars="200"/>
        <w:rPr>
          <w:rFonts w:ascii="宋体" w:hAnsi="宋体"/>
          <w:szCs w:val="21"/>
        </w:rPr>
      </w:pPr>
      <w:r>
        <w:rPr>
          <w:rFonts w:hint="eastAsia" w:ascii="宋体" w:hAnsi="宋体" w:cs="Arial"/>
          <w:szCs w:val="21"/>
        </w:rPr>
        <w:t>对</w:t>
      </w:r>
      <w:r>
        <w:rPr>
          <w:rFonts w:hint="eastAsia" w:ascii="宋体" w:hAnsi="宋体"/>
          <w:szCs w:val="21"/>
        </w:rPr>
        <w:t>基金管理人在没有充足资金的情况下向基金托管人发出的指令致使资金未能及时清算所</w:t>
      </w:r>
      <w:r>
        <w:rPr>
          <w:rFonts w:hint="eastAsia" w:ascii="宋体" w:hAnsi="宋体" w:cs="Arial"/>
          <w:szCs w:val="21"/>
        </w:rPr>
        <w:t>造成的损失，</w:t>
      </w:r>
      <w:r>
        <w:rPr>
          <w:rFonts w:hint="eastAsia" w:ascii="宋体" w:hAnsi="宋体"/>
          <w:szCs w:val="21"/>
        </w:rPr>
        <w:t>由基金管理人</w:t>
      </w:r>
      <w:r>
        <w:rPr>
          <w:rFonts w:hint="eastAsia" w:ascii="宋体" w:hAnsi="宋体" w:cs="Arial"/>
          <w:szCs w:val="21"/>
        </w:rPr>
        <w:t>承担</w:t>
      </w:r>
      <w:r>
        <w:rPr>
          <w:rFonts w:hint="eastAsia" w:ascii="宋体" w:hAnsi="宋体"/>
          <w:szCs w:val="21"/>
        </w:rPr>
        <w:t>。因基金管理人原因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人原因造成未能及时或正确执行合法合规的指令而导致基金财产受损的，基金托管人应承担相应的责任，但如遇到不可抗力的情况除外。</w:t>
      </w:r>
    </w:p>
    <w:p>
      <w:pPr>
        <w:adjustRightInd w:val="0"/>
        <w:snapToGrid w:val="0"/>
        <w:spacing w:line="360" w:lineRule="auto"/>
        <w:ind w:firstLine="420" w:firstLineChars="200"/>
        <w:rPr>
          <w:rFonts w:ascii="宋体" w:hAnsi="宋体" w:cs="Arial"/>
          <w:szCs w:val="21"/>
        </w:rPr>
      </w:pPr>
      <w:r>
        <w:rPr>
          <w:rFonts w:hint="eastAsia" w:ascii="宋体" w:hAnsi="宋体"/>
          <w:szCs w:val="21"/>
        </w:rPr>
        <w:t>基金托管人根据本协议相关规定履行印鉴和签名的表面一致性形式审核职责，如果基金管理人的指令存在事实上未经授权、欺诈、伪造或未能及时提供授权通知书等情形，基金托管人不承担因执行有关指令或拒绝执行有关指令而给基金管理人或基金资产或任何第三方带来的损失，全部责任由基金管理人承担，但基金托管人未按本协议约定尽形式审核义务执行指令而造成损失的情形除外</w:t>
      </w:r>
      <w:r>
        <w:rPr>
          <w:rFonts w:hint="eastAsia" w:ascii="宋体" w:hAnsi="宋体" w:cs="Arial"/>
          <w:szCs w:val="21"/>
        </w:rPr>
        <w:t>。</w:t>
      </w:r>
    </w:p>
    <w:p>
      <w:pPr>
        <w:adjustRightInd w:val="0"/>
        <w:spacing w:line="360" w:lineRule="auto"/>
        <w:contextualSpacing/>
        <w:rPr>
          <w:rFonts w:ascii="宋体" w:hAnsi="宋体" w:cs="Arial"/>
          <w:szCs w:val="21"/>
        </w:rPr>
      </w:pPr>
    </w:p>
    <w:bookmarkEnd w:id="87"/>
    <w:p>
      <w:pPr>
        <w:adjustRightInd w:val="0"/>
        <w:snapToGrid w:val="0"/>
        <w:spacing w:line="360" w:lineRule="auto"/>
        <w:ind w:firstLine="420" w:firstLineChars="200"/>
        <w:rPr>
          <w:rFonts w:ascii="宋体" w:hAnsi="宋体"/>
        </w:rPr>
        <w:sectPr>
          <w:footerReference r:id="rId13"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88" w:name="_Toc86726442"/>
      <w:bookmarkStart w:id="89" w:name="_Toc501274919"/>
      <w:bookmarkStart w:id="90" w:name="_Toc86225294"/>
      <w:bookmarkStart w:id="91" w:name="_Toc86737932"/>
      <w:bookmarkStart w:id="92" w:name="_Toc84234390"/>
      <w:bookmarkStart w:id="93" w:name="_Toc110765663"/>
      <w:bookmarkStart w:id="94" w:name="_Toc86223245"/>
      <w:bookmarkStart w:id="95" w:name="_Toc348082035"/>
      <w:bookmarkStart w:id="96" w:name="_Toc86204791"/>
      <w:bookmarkStart w:id="97" w:name="_Toc119402713"/>
      <w:bookmarkStart w:id="98" w:name="_Toc384992697"/>
      <w:bookmarkStart w:id="99" w:name="_Toc89163371"/>
      <w:bookmarkStart w:id="100" w:name="_Toc118972651"/>
      <w:bookmarkStart w:id="101" w:name="_Toc110830495"/>
      <w:bookmarkStart w:id="102" w:name="_Toc84234437"/>
      <w:bookmarkStart w:id="103" w:name="_Toc118774806"/>
      <w:bookmarkStart w:id="104" w:name="_Toc120435786"/>
      <w:bookmarkStart w:id="105" w:name="_Toc86649725"/>
      <w:bookmarkStart w:id="106" w:name="_Toc86727358"/>
      <w:bookmarkStart w:id="107" w:name="_Toc108512361"/>
      <w:bookmarkStart w:id="108" w:name="_Toc118212953"/>
      <w:bookmarkStart w:id="109" w:name="_Toc110761799"/>
      <w:bookmarkStart w:id="110" w:name="_Toc84133788"/>
      <w:bookmarkStart w:id="111" w:name="CLAUSE_62cad44440fe47f78d3b107b14bfd20c"/>
      <w:r>
        <w:rPr>
          <w:rFonts w:hint="eastAsia" w:ascii="宋体" w:hAnsi="宋体" w:eastAsia="宋体"/>
          <w:sz w:val="21"/>
          <w:szCs w:val="21"/>
        </w:rPr>
        <w:t>七、交易及清算交收安排</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adjustRightInd w:val="0"/>
        <w:snapToGrid w:val="0"/>
        <w:spacing w:line="360" w:lineRule="auto"/>
        <w:ind w:firstLine="420" w:firstLineChars="200"/>
        <w:rPr>
          <w:rFonts w:ascii="宋体" w:hAnsi="宋体"/>
          <w:szCs w:val="21"/>
        </w:rPr>
      </w:pPr>
      <w:r>
        <w:rPr>
          <w:rFonts w:hint="eastAsia" w:ascii="宋体" w:hAnsi="宋体"/>
          <w:szCs w:val="21"/>
        </w:rPr>
        <w:t>（一）选择代理证券、期货买卖的证券、期货经营机构</w:t>
      </w:r>
    </w:p>
    <w:p>
      <w:pPr>
        <w:adjustRightInd w:val="0"/>
        <w:snapToGrid w:val="0"/>
        <w:spacing w:line="360" w:lineRule="auto"/>
        <w:ind w:firstLine="420" w:firstLineChars="200"/>
        <w:rPr>
          <w:rFonts w:ascii="宋体" w:hAnsi="宋体"/>
          <w:szCs w:val="21"/>
        </w:rPr>
      </w:pPr>
      <w:r>
        <w:rPr>
          <w:rFonts w:hint="eastAsia" w:ascii="宋体" w:hAnsi="宋体"/>
          <w:szCs w:val="21"/>
        </w:rPr>
        <w:t>1、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基金管理人应根据有关规定，在基金的中期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pPr>
        <w:adjustRightInd w:val="0"/>
        <w:snapToGrid w:val="0"/>
        <w:spacing w:line="360" w:lineRule="auto"/>
        <w:ind w:firstLine="420" w:firstLineChars="200"/>
        <w:rPr>
          <w:rFonts w:ascii="宋体" w:hAnsi="宋体"/>
          <w:szCs w:val="21"/>
        </w:rPr>
      </w:pPr>
      <w:r>
        <w:rPr>
          <w:rFonts w:hint="eastAsia" w:ascii="宋体" w:hAnsi="宋体"/>
          <w:szCs w:val="21"/>
        </w:rPr>
        <w:t>2、基金管理人负责选择代理本基金期货交易的期货经纪机构，并与其签订期货经纪合同，其他事宜根据法律法规、《基金合同》的相关规定执行，若无明确规定的，可参照有关证券买卖、证券经纪机构选择的规则执行。</w:t>
      </w:r>
    </w:p>
    <w:p>
      <w:pPr>
        <w:adjustRightInd w:val="0"/>
        <w:snapToGrid w:val="0"/>
        <w:spacing w:line="360" w:lineRule="auto"/>
        <w:ind w:firstLine="420" w:firstLineChars="200"/>
        <w:rPr>
          <w:rFonts w:ascii="宋体" w:hAnsi="宋体"/>
          <w:szCs w:val="21"/>
        </w:rPr>
      </w:pPr>
      <w:r>
        <w:rPr>
          <w:rFonts w:hint="eastAsia" w:ascii="宋体" w:hAnsi="宋体"/>
          <w:szCs w:val="21"/>
        </w:rPr>
        <w:t>（1）基金管理人所选择的期货公司负责办理委托资产的期货交易的清算交割。</w:t>
      </w:r>
    </w:p>
    <w:p>
      <w:pPr>
        <w:adjustRightInd w:val="0"/>
        <w:snapToGrid w:val="0"/>
        <w:spacing w:line="360" w:lineRule="auto"/>
        <w:ind w:firstLine="420" w:firstLineChars="200"/>
        <w:rPr>
          <w:rFonts w:ascii="宋体" w:hAnsi="宋体"/>
          <w:szCs w:val="21"/>
        </w:rPr>
      </w:pPr>
      <w:r>
        <w:rPr>
          <w:rFonts w:hint="eastAsia" w:ascii="宋体" w:hAnsi="宋体"/>
          <w:szCs w:val="21"/>
        </w:rPr>
        <w:t>（2）基金管理人应责成其选择的期货公司通过深证通向基金托管人及基金管理人发送以市场监控中心格式显示本基金成交结果的交易结算报告及参照市场监控中心格式制作的显示本基金期货保证金账户权益状况的交易结算报告。经基金托管人同意，可采用电子邮件的传送方式作为应急备份方式传输当日交易结算数据。</w:t>
      </w:r>
    </w:p>
    <w:p>
      <w:pPr>
        <w:adjustRightInd w:val="0"/>
        <w:snapToGrid w:val="0"/>
        <w:spacing w:line="360" w:lineRule="auto"/>
        <w:ind w:firstLine="420" w:firstLineChars="200"/>
        <w:rPr>
          <w:rFonts w:ascii="宋体" w:hAnsi="宋体"/>
          <w:szCs w:val="21"/>
        </w:rPr>
      </w:pPr>
      <w:r>
        <w:rPr>
          <w:rFonts w:hint="eastAsia" w:ascii="宋体" w:hAnsi="宋体"/>
          <w:szCs w:val="21"/>
        </w:rPr>
        <w:t>正常情况下当日交易结算报告的发送时间应在交易日当日的17：00之前。因交易所原因而造成数据延迟发送的，基金管理人应及时通知基金托管人，并在恢复后告知期货公司立即发送至基金托管人，并电话确认数据接收状况。若期货公司发送的期货数据有误，重新向基金管理人、基金托管人发送的，基金管理人应责成期货公司在发送新的期货数据后立即通知基金托管人，并电话确认数据接收状况。</w:t>
      </w:r>
    </w:p>
    <w:p>
      <w:pPr>
        <w:adjustRightInd w:val="0"/>
        <w:snapToGrid w:val="0"/>
        <w:spacing w:line="360" w:lineRule="auto"/>
        <w:ind w:firstLine="420" w:firstLineChars="200"/>
        <w:rPr>
          <w:rFonts w:ascii="宋体" w:hAnsi="宋体"/>
          <w:szCs w:val="21"/>
        </w:rPr>
      </w:pPr>
      <w:r>
        <w:rPr>
          <w:rFonts w:hint="eastAsia" w:ascii="宋体" w:hAnsi="宋体"/>
          <w:szCs w:val="21"/>
        </w:rPr>
        <w:t>（3）基金管理人应责成其选择的期货公司对发送的数据的准确性、完整性、真实性负责。</w:t>
      </w:r>
    </w:p>
    <w:p>
      <w:pPr>
        <w:adjustRightInd w:val="0"/>
        <w:snapToGrid w:val="0"/>
        <w:spacing w:line="360" w:lineRule="auto"/>
        <w:ind w:firstLine="420" w:firstLineChars="200"/>
        <w:rPr>
          <w:rFonts w:ascii="宋体" w:hAnsi="宋体"/>
          <w:szCs w:val="21"/>
        </w:rPr>
      </w:pPr>
      <w:r>
        <w:rPr>
          <w:rFonts w:hint="eastAsia" w:ascii="宋体" w:hAnsi="宋体"/>
          <w:szCs w:val="21"/>
        </w:rPr>
        <w:t>由于交易结算报告的记载事项出现与实际交易结果和权益不符造成本基金估值计算错误的，应由基金管理人负责向数据发送方追偿，基金托管人不承担责任。</w:t>
      </w:r>
    </w:p>
    <w:p>
      <w:pPr>
        <w:adjustRightInd w:val="0"/>
        <w:snapToGrid w:val="0"/>
        <w:spacing w:line="360" w:lineRule="auto"/>
        <w:ind w:firstLine="420" w:firstLineChars="200"/>
        <w:rPr>
          <w:rFonts w:ascii="宋体" w:hAnsi="宋体"/>
          <w:szCs w:val="21"/>
        </w:rPr>
      </w:pPr>
      <w:r>
        <w:rPr>
          <w:rFonts w:hint="eastAsia" w:ascii="宋体" w:hAnsi="宋体"/>
          <w:szCs w:val="21"/>
        </w:rPr>
        <w:t>（二）基金投资证券后的清算交收安排</w:t>
      </w:r>
    </w:p>
    <w:p>
      <w:pPr>
        <w:adjustRightInd w:val="0"/>
        <w:snapToGrid w:val="0"/>
        <w:spacing w:line="360" w:lineRule="auto"/>
        <w:ind w:firstLine="420" w:firstLineChars="200"/>
        <w:rPr>
          <w:rFonts w:ascii="宋体" w:hAnsi="宋体"/>
          <w:szCs w:val="21"/>
        </w:rPr>
      </w:pPr>
      <w:r>
        <w:rPr>
          <w:rFonts w:hint="eastAsia" w:ascii="宋体" w:hAnsi="宋体"/>
        </w:rPr>
        <w:t>基金管理人和基金托管人在基金财产场内清算交收及相关风险控制方面的职责按照附件《托管银行证券资金结算规定》的要求执行。</w:t>
      </w:r>
    </w:p>
    <w:p>
      <w:pPr>
        <w:adjustRightInd w:val="0"/>
        <w:snapToGrid w:val="0"/>
        <w:spacing w:line="360" w:lineRule="auto"/>
        <w:ind w:firstLine="420" w:firstLineChars="200"/>
        <w:rPr>
          <w:rFonts w:ascii="宋体" w:hAnsi="宋体"/>
          <w:szCs w:val="21"/>
        </w:rPr>
      </w:pPr>
      <w:r>
        <w:rPr>
          <w:rFonts w:hint="eastAsia" w:ascii="宋体" w:hAnsi="宋体"/>
          <w:szCs w:val="21"/>
        </w:rPr>
        <w:t>（三）基金申购、赎回和转换业务处理的基本规定</w:t>
      </w:r>
    </w:p>
    <w:p>
      <w:pPr>
        <w:adjustRightInd w:val="0"/>
        <w:snapToGrid w:val="0"/>
        <w:spacing w:line="360" w:lineRule="auto"/>
        <w:ind w:firstLine="420" w:firstLineChars="200"/>
        <w:rPr>
          <w:rFonts w:ascii="宋体" w:hAnsi="宋体"/>
          <w:szCs w:val="21"/>
        </w:rPr>
      </w:pPr>
      <w:r>
        <w:rPr>
          <w:rFonts w:hint="eastAsia" w:ascii="宋体" w:hAnsi="宋体"/>
          <w:szCs w:val="21"/>
        </w:rPr>
        <w:t>1.基金份额申购、赎回、转换的确认、清算由基金管理人或其委托的登记机构负责。</w:t>
      </w:r>
    </w:p>
    <w:p>
      <w:pPr>
        <w:adjustRightInd w:val="0"/>
        <w:snapToGrid w:val="0"/>
        <w:spacing w:line="360" w:lineRule="auto"/>
        <w:ind w:firstLine="420" w:firstLineChars="200"/>
        <w:rPr>
          <w:rFonts w:ascii="宋体" w:hAnsi="宋体"/>
          <w:szCs w:val="21"/>
        </w:rPr>
      </w:pPr>
      <w:r>
        <w:rPr>
          <w:rFonts w:hint="eastAsia" w:ascii="宋体" w:hAnsi="宋体"/>
          <w:szCs w:val="21"/>
        </w:rPr>
        <w:t>2.基金管理人应将每个开放日的申购、赎回、转换开放式基金的数据传送给基金托管人。基金管理人应对传递的申购、赎回、转换开放式基金的数据真实性和准确性负责。基金托管人应及时查收申购及转入资金的到账情况并根据基金管理人指令及时划付赎回及转出款项。</w:t>
      </w:r>
    </w:p>
    <w:p>
      <w:pPr>
        <w:adjustRightInd w:val="0"/>
        <w:snapToGrid w:val="0"/>
        <w:spacing w:line="360" w:lineRule="auto"/>
        <w:ind w:firstLine="420" w:firstLineChars="200"/>
        <w:rPr>
          <w:rFonts w:ascii="宋体" w:hAnsi="宋体"/>
          <w:szCs w:val="21"/>
        </w:rPr>
      </w:pPr>
      <w:r>
        <w:rPr>
          <w:rFonts w:hint="eastAsia" w:ascii="宋体" w:hAnsi="宋体"/>
          <w:szCs w:val="21"/>
        </w:rPr>
        <w:t>3.基金管理人应保证本基金（或本基金管理人委托）的登记机构每个工作日15:00前向基金托管人发送前一开放日上述有关数据，并保证相关数据的准确、完整。</w:t>
      </w:r>
    </w:p>
    <w:p>
      <w:pPr>
        <w:adjustRightInd w:val="0"/>
        <w:snapToGrid w:val="0"/>
        <w:spacing w:line="360" w:lineRule="auto"/>
        <w:ind w:firstLine="420" w:firstLineChars="200"/>
        <w:rPr>
          <w:rFonts w:ascii="宋体" w:hAnsi="宋体"/>
          <w:szCs w:val="21"/>
        </w:rPr>
      </w:pPr>
      <w:r>
        <w:rPr>
          <w:rFonts w:hint="eastAsia" w:ascii="宋体" w:hAnsi="宋体"/>
          <w:szCs w:val="21"/>
        </w:rPr>
        <w:t>4.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pPr>
        <w:adjustRightInd w:val="0"/>
        <w:snapToGrid w:val="0"/>
        <w:spacing w:line="360" w:lineRule="auto"/>
        <w:ind w:firstLine="420" w:firstLineChars="200"/>
        <w:rPr>
          <w:rFonts w:ascii="宋体" w:hAnsi="宋体"/>
          <w:szCs w:val="21"/>
        </w:rPr>
      </w:pPr>
      <w:r>
        <w:rPr>
          <w:rFonts w:hint="eastAsia" w:ascii="宋体" w:hAnsi="宋体"/>
          <w:szCs w:val="21"/>
        </w:rPr>
        <w:t>5.如基金管理人委托其他机构办理本基金的登记业务，应保证上述相关事宜按时进行。否则，由基金管理人承担相应的责任。</w:t>
      </w:r>
    </w:p>
    <w:p>
      <w:pPr>
        <w:adjustRightInd w:val="0"/>
        <w:snapToGrid w:val="0"/>
        <w:spacing w:line="360" w:lineRule="auto"/>
        <w:ind w:firstLine="420" w:firstLineChars="200"/>
        <w:rPr>
          <w:rFonts w:ascii="宋体" w:hAnsi="宋体"/>
          <w:szCs w:val="21"/>
        </w:rPr>
      </w:pPr>
      <w:r>
        <w:rPr>
          <w:rFonts w:hint="eastAsia" w:ascii="宋体" w:hAnsi="宋体"/>
          <w:szCs w:val="21"/>
        </w:rPr>
        <w:t>6.关于清算专用账户的设立和管理</w:t>
      </w:r>
    </w:p>
    <w:p>
      <w:pPr>
        <w:adjustRightInd w:val="0"/>
        <w:snapToGrid w:val="0"/>
        <w:spacing w:line="360" w:lineRule="auto"/>
        <w:ind w:firstLine="420" w:firstLineChars="200"/>
        <w:rPr>
          <w:rFonts w:ascii="宋体" w:hAnsi="宋体"/>
          <w:szCs w:val="21"/>
        </w:rPr>
      </w:pPr>
      <w:r>
        <w:rPr>
          <w:rFonts w:hint="eastAsia" w:ascii="宋体" w:hAnsi="宋体"/>
          <w:szCs w:val="21"/>
        </w:rPr>
        <w:t>为满足申购、赎回、转换及分红资金汇划的需要，由基金管理人开立资金清算的专用账户，该账户由登记机构管理。</w:t>
      </w:r>
    </w:p>
    <w:p>
      <w:pPr>
        <w:adjustRightInd w:val="0"/>
        <w:snapToGrid w:val="0"/>
        <w:spacing w:line="360" w:lineRule="auto"/>
        <w:ind w:firstLine="420" w:firstLineChars="200"/>
        <w:rPr>
          <w:rFonts w:ascii="宋体" w:hAnsi="宋体"/>
          <w:szCs w:val="21"/>
        </w:rPr>
      </w:pPr>
      <w:r>
        <w:rPr>
          <w:rFonts w:hint="eastAsia" w:ascii="宋体" w:hAnsi="宋体"/>
          <w:szCs w:val="21"/>
        </w:rPr>
        <w:t>7.对于基金申购、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基金托管人应提供必要的协助。</w:t>
      </w:r>
    </w:p>
    <w:p>
      <w:pPr>
        <w:adjustRightInd w:val="0"/>
        <w:snapToGrid w:val="0"/>
        <w:spacing w:line="360" w:lineRule="auto"/>
        <w:ind w:firstLine="420" w:firstLineChars="200"/>
        <w:rPr>
          <w:rFonts w:ascii="宋体" w:hAnsi="宋体"/>
          <w:szCs w:val="21"/>
        </w:rPr>
      </w:pPr>
      <w:r>
        <w:rPr>
          <w:rFonts w:hint="eastAsia" w:ascii="宋体" w:hAnsi="宋体"/>
          <w:szCs w:val="21"/>
        </w:rPr>
        <w:t>8.赎回、转换资金划拨规定</w:t>
      </w:r>
    </w:p>
    <w:p>
      <w:pPr>
        <w:adjustRightInd w:val="0"/>
        <w:snapToGrid w:val="0"/>
        <w:spacing w:line="360" w:lineRule="auto"/>
        <w:ind w:firstLine="420" w:firstLineChars="200"/>
        <w:rPr>
          <w:rFonts w:ascii="宋体" w:hAnsi="宋体"/>
          <w:szCs w:val="21"/>
        </w:rPr>
      </w:pPr>
      <w:r>
        <w:rPr>
          <w:rFonts w:hint="eastAsia" w:ascii="宋体" w:hAnsi="宋体"/>
          <w:szCs w:val="21"/>
        </w:rPr>
        <w:t>拨付赎回款、转换转出款时，如基金资金账户有足够的资金，基金托管人应按时拨付；因基金资金账户没有足够的资金，导致基金托管人不能按时拨付，基金托管人应及时通知基金管理人，基金托管人不承担责任；责任由基金管理人承担，基金托管人不承担垫款义务。</w:t>
      </w:r>
    </w:p>
    <w:p>
      <w:pPr>
        <w:adjustRightInd w:val="0"/>
        <w:snapToGrid w:val="0"/>
        <w:spacing w:line="360" w:lineRule="auto"/>
        <w:ind w:firstLine="420" w:firstLineChars="200"/>
        <w:rPr>
          <w:rFonts w:ascii="宋体" w:hAnsi="宋体"/>
          <w:szCs w:val="21"/>
        </w:rPr>
      </w:pPr>
      <w:r>
        <w:rPr>
          <w:rFonts w:hint="eastAsia" w:ascii="宋体" w:hAnsi="宋体"/>
          <w:szCs w:val="21"/>
        </w:rPr>
        <w:t>9.资金指令</w:t>
      </w:r>
    </w:p>
    <w:p>
      <w:pPr>
        <w:adjustRightInd w:val="0"/>
        <w:snapToGrid w:val="0"/>
        <w:spacing w:line="360" w:lineRule="auto"/>
        <w:ind w:firstLine="420" w:firstLineChars="200"/>
        <w:rPr>
          <w:rFonts w:ascii="宋体" w:hAnsi="宋体"/>
          <w:szCs w:val="21"/>
        </w:rPr>
      </w:pPr>
      <w:r>
        <w:rPr>
          <w:rFonts w:hint="eastAsia" w:ascii="宋体" w:hAnsi="宋体"/>
          <w:szCs w:val="21"/>
        </w:rPr>
        <w:t>除申购款项到达基金资金账户需双方按约定方式对账外，与投资有关的付款、赎回和分红资金划拨时，基金管理人需向基金托管人下达指令。</w:t>
      </w:r>
    </w:p>
    <w:p>
      <w:pPr>
        <w:adjustRightInd w:val="0"/>
        <w:snapToGrid w:val="0"/>
        <w:spacing w:line="360" w:lineRule="auto"/>
        <w:ind w:firstLine="420" w:firstLineChars="200"/>
        <w:rPr>
          <w:rFonts w:ascii="宋体" w:hAnsi="宋体"/>
          <w:szCs w:val="21"/>
        </w:rPr>
      </w:pPr>
      <w:r>
        <w:rPr>
          <w:rFonts w:hint="eastAsia" w:ascii="宋体" w:hAnsi="宋体"/>
          <w:szCs w:val="21"/>
        </w:rPr>
        <w:t>资金指令的格式、内容、发送、接收和确认方式等与投资指令相同。</w:t>
      </w:r>
    </w:p>
    <w:p>
      <w:pPr>
        <w:adjustRightInd w:val="0"/>
        <w:snapToGrid w:val="0"/>
        <w:spacing w:line="360" w:lineRule="auto"/>
        <w:ind w:firstLine="420" w:firstLineChars="200"/>
        <w:rPr>
          <w:rFonts w:ascii="宋体" w:hAnsi="宋体"/>
          <w:szCs w:val="21"/>
        </w:rPr>
      </w:pPr>
      <w:r>
        <w:rPr>
          <w:rFonts w:hint="eastAsia" w:ascii="宋体" w:hAnsi="宋体"/>
          <w:szCs w:val="21"/>
        </w:rPr>
        <w:t>（四）资金净额结算</w:t>
      </w:r>
    </w:p>
    <w:p>
      <w:pPr>
        <w:adjustRightInd w:val="0"/>
        <w:snapToGrid w:val="0"/>
        <w:spacing w:line="360" w:lineRule="auto"/>
        <w:ind w:firstLine="420" w:firstLineChars="200"/>
        <w:rPr>
          <w:rFonts w:ascii="宋体" w:hAnsi="宋体" w:cs="Arial"/>
          <w:szCs w:val="21"/>
        </w:rPr>
      </w:pPr>
      <w:r>
        <w:rPr>
          <w:rFonts w:hint="eastAsia" w:ascii="宋体" w:hAnsi="宋体"/>
          <w:szCs w:val="21"/>
        </w:rPr>
        <w:t>基金托管账户与“基金清算账户”间的资金结算遵循“全额清算、净额交收”的原则，每日按照托管账户应收资金（申购申请对应申购净额与基金转换转入申请对应净额之和）与应付资金（赎回申请对应赎回金额扣除归基金资产的费用与基金转换转出申请对应金额扣除归基金资产的费用之和）的差额来确定托管账户净应收额或净应付额，以此确定资金交收额。</w:t>
      </w:r>
      <w:r>
        <w:rPr>
          <w:rFonts w:hint="eastAsia" w:ascii="宋体" w:hAnsi="宋体" w:cs="Arial"/>
          <w:szCs w:val="21"/>
        </w:rPr>
        <w:t>当存在资金账户净应收额时，基金管理人应在交收日15:00时之前从基金清算账户划往基金资金账户，基金管理人通过基金托管人提供的方式查询结果；当存在资金账户净应付额时，基金托管人按照基金管理人的划款指令将托管账户净应付额在交收日及时划往基金清算账户，基金管理人通过基金托管人提供的方式查询结果。</w:t>
      </w:r>
    </w:p>
    <w:p>
      <w:pPr>
        <w:adjustRightInd w:val="0"/>
        <w:snapToGrid w:val="0"/>
        <w:spacing w:line="360" w:lineRule="auto"/>
        <w:ind w:firstLine="420" w:firstLineChars="200"/>
        <w:rPr>
          <w:rFonts w:ascii="宋体" w:hAnsi="宋体" w:cs="Arial"/>
          <w:i/>
          <w:szCs w:val="21"/>
        </w:rPr>
      </w:pPr>
      <w:r>
        <w:rPr>
          <w:rFonts w:hint="eastAsia" w:ascii="宋体" w:hAnsi="宋体" w:cs="Arial"/>
          <w:szCs w:val="21"/>
        </w:rPr>
        <w:t>当存在资金账户净应付额时，如基金银行账户有足够的资金，基金托管人应按时划付；因基金资金账户没有足够的资金，导致基金托管人不能按时划付，基金托管人应及时通知基金管理人，基金托管人不承担责任；如系基金管理人的原因造成，责任由基金管理人承担，基金托管人不承担垫款义务。</w:t>
      </w:r>
    </w:p>
    <w:p>
      <w:pPr>
        <w:adjustRightInd w:val="0"/>
        <w:snapToGrid w:val="0"/>
        <w:spacing w:line="360" w:lineRule="auto"/>
        <w:ind w:firstLine="420" w:firstLineChars="200"/>
        <w:rPr>
          <w:rFonts w:ascii="宋体" w:hAnsi="宋体"/>
          <w:szCs w:val="21"/>
        </w:rPr>
      </w:pPr>
      <w:r>
        <w:rPr>
          <w:rFonts w:hint="eastAsia" w:ascii="宋体" w:hAnsi="宋体"/>
          <w:szCs w:val="21"/>
        </w:rPr>
        <w:t>（</w:t>
      </w:r>
      <w:r>
        <w:rPr>
          <w:rFonts w:hint="eastAsia" w:ascii="宋体" w:hAnsi="宋体" w:cs="Arial"/>
          <w:szCs w:val="21"/>
        </w:rPr>
        <w:t>五</w:t>
      </w:r>
      <w:r>
        <w:rPr>
          <w:rFonts w:hint="eastAsia" w:ascii="宋体" w:hAnsi="宋体"/>
          <w:szCs w:val="21"/>
        </w:rPr>
        <w:t>）基金现金分红</w:t>
      </w:r>
    </w:p>
    <w:p>
      <w:pPr>
        <w:adjustRightInd w:val="0"/>
        <w:snapToGrid w:val="0"/>
        <w:spacing w:line="360" w:lineRule="auto"/>
        <w:ind w:firstLine="420" w:firstLineChars="200"/>
        <w:rPr>
          <w:rFonts w:ascii="宋体" w:hAnsi="宋体"/>
          <w:szCs w:val="21"/>
        </w:rPr>
      </w:pPr>
      <w:r>
        <w:rPr>
          <w:rFonts w:hint="eastAsia" w:ascii="宋体" w:hAnsi="宋体"/>
          <w:szCs w:val="21"/>
        </w:rPr>
        <w:t>1.基金管理人确定分红方案通知基金托管人，双方核定后依照《信息披露办法》的有关规定在中国证监会规定媒介上公告。</w:t>
      </w:r>
    </w:p>
    <w:p>
      <w:pPr>
        <w:adjustRightInd w:val="0"/>
        <w:snapToGrid w:val="0"/>
        <w:spacing w:line="360" w:lineRule="auto"/>
        <w:ind w:firstLine="420" w:firstLineChars="200"/>
        <w:rPr>
          <w:rFonts w:ascii="宋体" w:hAnsi="宋体"/>
          <w:szCs w:val="21"/>
        </w:rPr>
      </w:pPr>
      <w:r>
        <w:rPr>
          <w:rFonts w:hint="eastAsia" w:ascii="宋体" w:hAnsi="宋体"/>
          <w:szCs w:val="21"/>
        </w:rPr>
        <w:t>2.基金托管人和基金管理人对基金分红进行账务处理并核对后，基金管理人向基金托管人发送现金红利的划款指令，基金托管人应根据指令及时将分红款划往基金清算账户。</w:t>
      </w:r>
    </w:p>
    <w:p>
      <w:pPr>
        <w:adjustRightInd w:val="0"/>
        <w:snapToGrid w:val="0"/>
        <w:spacing w:line="360" w:lineRule="auto"/>
        <w:ind w:firstLine="420" w:firstLineChars="200"/>
        <w:rPr>
          <w:rFonts w:ascii="宋体" w:hAnsi="宋体" w:cs="Arial"/>
          <w:szCs w:val="21"/>
        </w:rPr>
      </w:pPr>
      <w:r>
        <w:rPr>
          <w:rFonts w:hint="eastAsia" w:ascii="宋体" w:hAnsi="宋体"/>
          <w:szCs w:val="21"/>
        </w:rPr>
        <w:t>3.基金管理人在下达指令时，应给基金托管人留出必需的划款时间。</w:t>
      </w:r>
    </w:p>
    <w:bookmarkEnd w:id="111"/>
    <w:p>
      <w:pPr>
        <w:adjustRightInd w:val="0"/>
        <w:snapToGrid w:val="0"/>
        <w:spacing w:line="360" w:lineRule="auto"/>
        <w:ind w:firstLine="420" w:firstLineChars="200"/>
        <w:rPr>
          <w:rFonts w:ascii="宋体" w:hAnsi="宋体"/>
        </w:rPr>
        <w:sectPr>
          <w:footerReference r:id="rId14"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112" w:name="CTS_b74f232bf4734a47a2571e2ac752383e"/>
      <w:bookmarkEnd w:id="112"/>
      <w:bookmarkStart w:id="113" w:name="_Toc384992698"/>
      <w:bookmarkStart w:id="114" w:name="_Toc501274920"/>
      <w:bookmarkStart w:id="115" w:name="_Toc348082036"/>
      <w:bookmarkStart w:id="116" w:name="CLAUSE_b74f232bf4734a47a2571e2ac752383e"/>
      <w:r>
        <w:rPr>
          <w:rFonts w:hint="eastAsia" w:ascii="宋体" w:hAnsi="宋体" w:eastAsia="宋体"/>
          <w:sz w:val="21"/>
          <w:szCs w:val="21"/>
        </w:rPr>
        <w:t>八、基金资产净值计算、估值和会计核算</w:t>
      </w:r>
      <w:bookmarkEnd w:id="113"/>
      <w:bookmarkEnd w:id="114"/>
      <w:bookmarkEnd w:id="115"/>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（一）基金资产净值的计算、复核与完成的时间及程序</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1.基金资产净值</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基金资产净值是指基金资产总值减去基金负债后的价值。</w:t>
      </w:r>
    </w:p>
    <w:p>
      <w:pPr>
        <w:adjustRightInd w:val="0"/>
        <w:snapToGrid w:val="0"/>
        <w:spacing w:line="360" w:lineRule="auto"/>
        <w:ind w:firstLine="420" w:firstLineChars="200"/>
        <w:rPr>
          <w:rFonts w:ascii="宋体" w:hAnsi="宋体" w:cs="Arial"/>
          <w:szCs w:val="21"/>
        </w:rPr>
      </w:pPr>
      <w:bookmarkStart w:id="117" w:name="_Hlk107326274"/>
      <w:r>
        <w:rPr>
          <w:rFonts w:hint="eastAsia" w:ascii="宋体" w:hAnsi="宋体" w:cs="Arial"/>
          <w:szCs w:val="21"/>
        </w:rPr>
        <w:t>各类基金份额净值是按照每个工作日闭市后，该类基金份额的基金资产净值除以当日该类基金份额的余额数量计算，均精确到0.0001元，小数点后第五位四舍五入</w:t>
      </w:r>
      <w:bookmarkStart w:id="118" w:name="_Hlk111393271"/>
      <w:r>
        <w:rPr>
          <w:rFonts w:hint="eastAsia" w:ascii="宋体" w:hAnsi="宋体" w:cs="Arial"/>
          <w:szCs w:val="21"/>
        </w:rPr>
        <w:t>，由此产生的收益或损失由基金财产承担</w:t>
      </w:r>
      <w:bookmarkEnd w:id="118"/>
      <w:r>
        <w:rPr>
          <w:rFonts w:hint="eastAsia" w:ascii="宋体" w:hAnsi="宋体" w:cs="Arial"/>
          <w:szCs w:val="21"/>
        </w:rPr>
        <w:t>。基金管理人可以设立大额赎回情形下的净值精度应急调整机制。国家另有规定的，从其规定。</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基金管理人于每个工作日计算基金资产净值及各类基金份额净值，经基金托管人复核，并按规定公告。</w:t>
      </w:r>
    </w:p>
    <w:bookmarkEnd w:id="117"/>
    <w:p>
      <w:pPr>
        <w:adjustRightInd w:val="0"/>
        <w:snapToGrid w:val="0"/>
        <w:spacing w:line="360" w:lineRule="auto"/>
        <w:ind w:firstLine="420" w:firstLineChars="200"/>
        <w:rPr>
          <w:rFonts w:ascii="宋体" w:hAnsi="宋体" w:cs="Arial"/>
          <w:szCs w:val="21"/>
        </w:rPr>
      </w:pPr>
      <w:r>
        <w:rPr>
          <w:rFonts w:hint="eastAsia" w:ascii="宋体" w:hAnsi="宋体" w:cs="Arial"/>
          <w:szCs w:val="21"/>
        </w:rPr>
        <w:t>2.复核程序</w:t>
      </w:r>
    </w:p>
    <w:p>
      <w:pPr>
        <w:adjustRightInd w:val="0"/>
        <w:snapToGrid w:val="0"/>
        <w:spacing w:line="360" w:lineRule="auto"/>
        <w:ind w:firstLine="420" w:firstLineChars="200"/>
        <w:rPr>
          <w:rFonts w:ascii="宋体" w:hAnsi="宋体" w:cs="Arial"/>
          <w:szCs w:val="21"/>
        </w:rPr>
      </w:pPr>
      <w:bookmarkStart w:id="119" w:name="_Hlk107326424"/>
      <w:r>
        <w:rPr>
          <w:rFonts w:hint="eastAsia" w:ascii="宋体" w:hAnsi="宋体" w:cs="Arial"/>
          <w:szCs w:val="21"/>
        </w:rPr>
        <w:t>基金管理人每个工作日对基金资产估值后，将各类基金份额净值结果发送基金托管人，经基金托管人复核无误后，由基金管理人按规定对外公布。</w:t>
      </w:r>
    </w:p>
    <w:bookmarkEnd w:id="119"/>
    <w:p>
      <w:pPr>
        <w:adjustRightInd w:val="0"/>
        <w:snapToGrid w:val="0"/>
        <w:spacing w:line="360" w:lineRule="auto"/>
        <w:ind w:firstLine="420" w:firstLineChars="200"/>
        <w:rPr>
          <w:rFonts w:ascii="宋体" w:hAnsi="宋体"/>
          <w:szCs w:val="21"/>
        </w:rPr>
      </w:pPr>
      <w:r>
        <w:rPr>
          <w:rFonts w:hint="eastAsia" w:ascii="宋体" w:hAnsi="宋体" w:cs="Arial"/>
          <w:szCs w:val="21"/>
        </w:rPr>
        <w:t>3.</w:t>
      </w:r>
      <w:bookmarkStart w:id="120" w:name="_Hlk107326491"/>
      <w:r>
        <w:rPr>
          <w:rFonts w:hint="eastAsia"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bookmarkEnd w:id="120"/>
      <w:r>
        <w:rPr>
          <w:rFonts w:hint="eastAsia" w:ascii="宋体" w:hAnsi="宋体"/>
          <w:szCs w:val="21"/>
        </w:rPr>
        <w:t>。</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（二）基金资产的估值</w:t>
      </w:r>
    </w:p>
    <w:p>
      <w:pPr>
        <w:adjustRightInd w:val="0"/>
        <w:snapToGrid w:val="0"/>
        <w:spacing w:line="360" w:lineRule="auto"/>
        <w:ind w:firstLine="420" w:firstLineChars="200"/>
        <w:rPr>
          <w:rStyle w:val="34"/>
          <w:rFonts w:ascii="宋体" w:hAnsi="宋体"/>
          <w:szCs w:val="21"/>
        </w:rPr>
      </w:pPr>
      <w:r>
        <w:rPr>
          <w:rFonts w:hint="eastAsia"/>
          <w:szCs w:val="21"/>
        </w:rPr>
        <w:t>基金管理人及基金托管人应当按照《基金合同》的约定进行估值。</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（三）基金份额净值错误的处理方式</w:t>
      </w:r>
    </w:p>
    <w:p>
      <w:pPr>
        <w:adjustRightInd w:val="0"/>
        <w:snapToGrid w:val="0"/>
        <w:spacing w:line="360" w:lineRule="auto"/>
        <w:ind w:firstLine="420" w:firstLineChars="200"/>
        <w:rPr>
          <w:rFonts w:ascii="宋体" w:hAnsi="宋体" w:cs="Arial"/>
          <w:szCs w:val="21"/>
        </w:rPr>
      </w:pPr>
      <w:r>
        <w:rPr>
          <w:rFonts w:hint="eastAsia"/>
          <w:szCs w:val="21"/>
        </w:rPr>
        <w:t>基金管理人及基金托管人应当按照《基金合同》的约定处理份额净值错误。</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（四）基金会计制度</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按国家有关部门规定的会计制度执行。</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（五）基金账册的建立</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（六）基金财务报表与报告的编制和复核</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1.财务报表的编制</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基金财务报表由基金管理人编制，基金托管人复核。</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2.报表复核</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基金托管人在收到基金管理人编制的基金财务报表后，进行独立的复核。核对不符时，应及时通知基金管理人共同查出原因，进行调整，直至双方数据完全一致。</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3.财务报表的编制与复核时间安排</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基金托管人应当在每月结束后5个工作日内完成月度报表的编制及复核；在每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符合《中华人民共和国证券法》规定的会计师事务所审计。基金合同生效不足两个月的，基金管理人可以不编制当期季度报告、中期报告或者年度报告。</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（七）在有需要时，基金管理人应每季度向基金托管人提供基金业绩比较基准的编制结果。</w:t>
      </w:r>
    </w:p>
    <w:bookmarkEnd w:id="116"/>
    <w:p>
      <w:pPr>
        <w:adjustRightInd w:val="0"/>
        <w:snapToGrid w:val="0"/>
        <w:spacing w:line="360" w:lineRule="auto"/>
        <w:ind w:firstLine="420" w:firstLineChars="200"/>
        <w:rPr>
          <w:rFonts w:ascii="宋体" w:hAnsi="宋体"/>
        </w:rPr>
        <w:sectPr>
          <w:footerReference r:id="rId15"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121" w:name="_Toc501274921"/>
      <w:bookmarkStart w:id="122" w:name="_Toc348082037"/>
      <w:bookmarkStart w:id="123" w:name="_Toc384992699"/>
      <w:bookmarkStart w:id="124" w:name="CLAUSE_c8db7745636a48168e3bd994d687c199"/>
      <w:r>
        <w:rPr>
          <w:rFonts w:hint="eastAsia" w:ascii="宋体" w:hAnsi="宋体" w:eastAsia="宋体"/>
          <w:sz w:val="21"/>
          <w:szCs w:val="21"/>
        </w:rPr>
        <w:t>九、基金收益分配</w:t>
      </w:r>
      <w:bookmarkEnd w:id="121"/>
      <w:bookmarkEnd w:id="122"/>
      <w:bookmarkEnd w:id="123"/>
    </w:p>
    <w:p>
      <w:pPr>
        <w:adjustRightInd w:val="0"/>
        <w:snapToGrid w:val="0"/>
        <w:spacing w:line="360" w:lineRule="auto"/>
        <w:ind w:firstLine="420" w:firstLineChars="200"/>
        <w:rPr>
          <w:rFonts w:ascii="宋体" w:hAnsi="宋体" w:cs="Arial"/>
          <w:szCs w:val="21"/>
        </w:rPr>
      </w:pPr>
      <w:r>
        <w:rPr>
          <w:rFonts w:hint="eastAsia"/>
          <w:szCs w:val="21"/>
        </w:rPr>
        <w:t>基金管理人与基金托管人按照《基金合同》的约定处理基金收益分配。</w:t>
      </w:r>
    </w:p>
    <w:p>
      <w:pPr>
        <w:adjustRightInd w:val="0"/>
        <w:snapToGrid w:val="0"/>
        <w:spacing w:line="360" w:lineRule="auto"/>
        <w:rPr>
          <w:rFonts w:ascii="宋体" w:hAnsi="宋体" w:cs="Arial"/>
          <w:szCs w:val="21"/>
        </w:rPr>
      </w:pPr>
    </w:p>
    <w:bookmarkEnd w:id="124"/>
    <w:p>
      <w:pPr>
        <w:adjustRightInd w:val="0"/>
        <w:snapToGrid w:val="0"/>
        <w:spacing w:line="360" w:lineRule="auto"/>
        <w:ind w:firstLine="420" w:firstLineChars="200"/>
        <w:sectPr>
          <w:footerReference r:id="rId16"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125" w:name="_Toc348082038"/>
      <w:bookmarkStart w:id="126" w:name="_Toc501274922"/>
      <w:bookmarkStart w:id="127" w:name="_Toc384992700"/>
      <w:bookmarkStart w:id="128" w:name="CLAUSE_d7378e04a4ec42e1981409bd53375282"/>
      <w:r>
        <w:rPr>
          <w:rFonts w:hint="eastAsia" w:ascii="宋体" w:hAnsi="宋体" w:eastAsia="宋体"/>
          <w:sz w:val="21"/>
          <w:szCs w:val="21"/>
        </w:rPr>
        <w:t>十、基金信息披露</w:t>
      </w:r>
      <w:bookmarkEnd w:id="125"/>
      <w:bookmarkEnd w:id="126"/>
      <w:bookmarkEnd w:id="127"/>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（一）保密义务</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1.非因基金管理人和基金托管人的原因导致保密信息被披露、泄露或公开；</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2.基金管理人和基金托管人为遵守和服从法院判决或裁定、仲裁裁决或中国证监会等监管机构的命令、决定所做出的信息披露或公开。</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（二）信息披露的内容</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的信息披露内容主要包括基金招募说明书、基金产品资料概要、基金合同、托管协议、基金份额发售公告、基金合同生效公告、基金净值信息、基金份额申购、赎回价格、基金定期报告（包括基金年度报告、基金中期报告和基金季度报告（含资产组合季度报告））、临时报告、澄清公告、基金份额持有人大会决议、清算报告、投资股指期货、国债期货、股票期权的信息披露、投资资产支持证券的信息披露、投资港股通标的股票的信息披露、投资非公开发行股票的信息披露、参与融资业务的信息披露、投资信用衍生品的信息披露、实施侧袋机制期间的信息披露及中国证监会规定的其他信息。基金年度报告中的财务会计报告需经符合《中华人民共和国证券法》规定的会计师事务所审计后，方可披露。</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（三）基金托管人和基金管理人在信息披露中的职责和信息披露程序</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1.职责</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基金管理人和基金托管人应积极配合、互相监督，保证其履行按照法定方式和时限披露的义务。</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基金管理人应当在中国证监会规定的时间内，将应予披露的基金信息通过中国证监会规定的媒介披露。根据法律法规应由基金托管人公开披露的信息，基金托管人在规定媒介公开披露。</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当出现下述情况时，基金管理人和基金托管人可暂停或延迟披露基金相关信息：</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(1)不可抗力；</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(2)发生基金合同约定的暂停估值的情形；</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(3)法律法规规定、中国证监会或基金合同认定的其他情形。</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2.程序</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按有关规定须经基金托管人复核的信息披露文件，由基金管理人起草、并经基金托管人复核后由基金管理人公告。发生基金合同中规定需要披露的事项时，按基金合同规定公布。</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3.信息文本的存放</w:t>
      </w:r>
    </w:p>
    <w:p>
      <w:pPr>
        <w:pStyle w:val="4"/>
        <w:adjustRightInd w:val="0"/>
        <w:snapToGrid w:val="0"/>
        <w:spacing w:line="360" w:lineRule="auto"/>
        <w:rPr>
          <w:rFonts w:ascii="宋体" w:hAnsi="宋体" w:cs="Arial"/>
          <w:szCs w:val="21"/>
        </w:rPr>
      </w:pPr>
      <w:bookmarkStart w:id="129" w:name="_Hlk107326712"/>
      <w:r>
        <w:rPr>
          <w:rFonts w:hint="eastAsia" w:ascii="宋体" w:hAnsi="宋体" w:cs="Arial"/>
          <w:szCs w:val="21"/>
        </w:rPr>
        <w:t>依法必须披露的信息发布后，基金管理人、基金托管人应当按照相关法律法规规定将信息置备于各自住所，以供社会公众查阅、复制</w:t>
      </w:r>
      <w:bookmarkEnd w:id="129"/>
      <w:r>
        <w:rPr>
          <w:rFonts w:hint="eastAsia" w:ascii="宋体" w:hAnsi="宋体" w:cs="Arial"/>
          <w:szCs w:val="21"/>
        </w:rPr>
        <w:t>。投资者在支付工本费后可在合理时间获得上述文件的复制件或复印件。基金管理人和基金托管人应保证文本的内容与所公告的内容完全一致。</w:t>
      </w:r>
    </w:p>
    <w:p>
      <w:pPr>
        <w:pStyle w:val="4"/>
        <w:spacing w:line="360" w:lineRule="auto"/>
        <w:ind w:firstLine="0" w:firstLineChars="0"/>
        <w:rPr>
          <w:rFonts w:ascii="宋体" w:hAnsi="宋体" w:cs="Arial"/>
          <w:szCs w:val="21"/>
        </w:rPr>
      </w:pPr>
    </w:p>
    <w:bookmarkEnd w:id="128"/>
    <w:p>
      <w:pPr>
        <w:pStyle w:val="4"/>
        <w:adjustRightInd w:val="0"/>
        <w:snapToGrid w:val="0"/>
        <w:spacing w:line="360" w:lineRule="auto"/>
        <w:rPr>
          <w:rFonts w:ascii="宋体" w:hAnsi="宋体"/>
        </w:rPr>
        <w:sectPr>
          <w:footerReference r:id="rId17"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130" w:name="_Toc501274923"/>
      <w:bookmarkStart w:id="131" w:name="_Toc348082039"/>
      <w:bookmarkStart w:id="132" w:name="_Toc384992701"/>
      <w:bookmarkStart w:id="133" w:name="CLAUSE_f52e3d404c1241a78d9cc692a158bbde"/>
      <w:r>
        <w:rPr>
          <w:rFonts w:hint="eastAsia" w:ascii="宋体" w:hAnsi="宋体" w:eastAsia="宋体"/>
          <w:sz w:val="21"/>
          <w:szCs w:val="21"/>
        </w:rPr>
        <w:t>十一、基金费用</w:t>
      </w:r>
      <w:bookmarkEnd w:id="130"/>
      <w:bookmarkEnd w:id="131"/>
      <w:bookmarkEnd w:id="132"/>
    </w:p>
    <w:p>
      <w:pPr>
        <w:adjustRightInd w:val="0"/>
        <w:snapToGrid w:val="0"/>
        <w:spacing w:line="360" w:lineRule="auto"/>
        <w:ind w:firstLine="420" w:firstLineChars="200"/>
        <w:rPr>
          <w:rFonts w:ascii="宋体" w:hAnsi="宋体" w:cs="Arial"/>
          <w:szCs w:val="21"/>
        </w:rPr>
      </w:pPr>
      <w:r>
        <w:rPr>
          <w:rFonts w:hint="eastAsia"/>
          <w:szCs w:val="21"/>
        </w:rPr>
        <w:t>基</w:t>
      </w:r>
      <w:r>
        <w:rPr>
          <w:rFonts w:hint="eastAsia" w:hAnsi="宋体"/>
          <w:szCs w:val="21"/>
        </w:rPr>
        <w:t>金费用按照《基金合同》的约定计提和支付</w:t>
      </w:r>
      <w:r>
        <w:rPr>
          <w:rFonts w:hint="eastAsia" w:ascii="宋体" w:hAnsi="宋体"/>
          <w:szCs w:val="21"/>
        </w:rPr>
        <w:t>。其中，基金托管费的计提方法、计提标准和支付方式如下：</w:t>
      </w:r>
    </w:p>
    <w:bookmarkEnd w:id="133"/>
    <w:p>
      <w:pPr>
        <w:adjustRightInd w:val="0"/>
        <w:snapToGrid w:val="0"/>
        <w:spacing w:line="360" w:lineRule="auto"/>
        <w:ind w:firstLine="420" w:firstLineChars="200"/>
        <w:rPr>
          <w:rFonts w:ascii="宋体" w:hAnsi="宋体"/>
        </w:rPr>
      </w:pPr>
      <w:bookmarkStart w:id="134" w:name="_Hlk107326752"/>
      <w:r>
        <w:rPr>
          <w:rFonts w:hint="eastAsia" w:ascii="宋体" w:hAnsi="宋体"/>
        </w:rPr>
        <w:t>本基金的托管费按前一日基金资产净值的0.2</w:t>
      </w:r>
      <w:r>
        <w:rPr>
          <w:rFonts w:ascii="宋体" w:hAnsi="宋体"/>
        </w:rPr>
        <w:t>5</w:t>
      </w:r>
      <w:r>
        <w:rPr>
          <w:rFonts w:hint="eastAsia" w:ascii="宋体" w:hAnsi="宋体"/>
        </w:rPr>
        <w:t>%年费率计提。托管费的计算方法如下：</w:t>
      </w:r>
    </w:p>
    <w:p>
      <w:pPr>
        <w:adjustRightInd w:val="0"/>
        <w:snapToGrid w:val="0"/>
        <w:spacing w:line="360" w:lineRule="auto"/>
        <w:ind w:firstLine="420" w:firstLineChars="200"/>
        <w:rPr>
          <w:rFonts w:ascii="宋体" w:hAnsi="宋体"/>
        </w:rPr>
      </w:pPr>
      <w:r>
        <w:rPr>
          <w:rFonts w:hint="eastAsia" w:ascii="宋体" w:hAnsi="宋体"/>
        </w:rPr>
        <w:t>H＝E×0.2</w:t>
      </w:r>
      <w:r>
        <w:rPr>
          <w:rFonts w:ascii="宋体" w:hAnsi="宋体"/>
        </w:rPr>
        <w:t>5</w:t>
      </w:r>
      <w:r>
        <w:rPr>
          <w:rFonts w:hint="eastAsia" w:ascii="宋体" w:hAnsi="宋体"/>
        </w:rPr>
        <w:t>%÷当年天数</w:t>
      </w:r>
    </w:p>
    <w:p>
      <w:pPr>
        <w:adjustRightInd w:val="0"/>
        <w:snapToGrid w:val="0"/>
        <w:spacing w:line="360" w:lineRule="auto"/>
        <w:ind w:firstLine="420" w:firstLineChars="200"/>
        <w:rPr>
          <w:rFonts w:ascii="宋体" w:hAnsi="宋体"/>
        </w:rPr>
      </w:pPr>
      <w:r>
        <w:rPr>
          <w:rFonts w:hint="eastAsia" w:ascii="宋体" w:hAnsi="宋体"/>
        </w:rPr>
        <w:t>H为每日应计提的基金托管费</w:t>
      </w:r>
    </w:p>
    <w:p>
      <w:pPr>
        <w:adjustRightInd w:val="0"/>
        <w:snapToGrid w:val="0"/>
        <w:spacing w:line="360" w:lineRule="auto"/>
        <w:ind w:firstLine="420" w:firstLineChars="200"/>
        <w:rPr>
          <w:rFonts w:ascii="宋体" w:hAnsi="宋体"/>
        </w:rPr>
      </w:pPr>
      <w:r>
        <w:rPr>
          <w:rFonts w:hint="eastAsia" w:ascii="宋体" w:hAnsi="宋体"/>
        </w:rPr>
        <w:t>E为前一日的基金资产净值</w:t>
      </w:r>
    </w:p>
    <w:bookmarkEnd w:id="134"/>
    <w:p>
      <w:pPr>
        <w:adjustRightInd w:val="0"/>
        <w:snapToGrid w:val="0"/>
        <w:spacing w:line="360" w:lineRule="auto"/>
        <w:ind w:firstLine="420" w:firstLineChars="200"/>
        <w:rPr>
          <w:rFonts w:ascii="宋体" w:hAnsi="宋体"/>
        </w:rPr>
        <w:sectPr>
          <w:footerReference r:id="rId18" w:type="default"/>
          <w:pgSz w:w="11906" w:h="16838"/>
          <w:pgMar w:top="1418" w:right="1701" w:bottom="1418" w:left="1701" w:header="851" w:footer="992" w:gutter="0"/>
          <w:pgNumType w:start="1"/>
          <w:cols w:space="425" w:num="1"/>
          <w:docGrid w:type="lines" w:linePitch="312" w:charSpace="0"/>
        </w:sectPr>
      </w:pPr>
      <w:bookmarkStart w:id="135" w:name="CTS_608c7338e08f4004a54213593452c4e8"/>
      <w:bookmarkEnd w:id="135"/>
      <w:bookmarkStart w:id="136" w:name="_Toc384992702"/>
      <w:bookmarkStart w:id="137" w:name="_Toc348082040"/>
      <w:bookmarkStart w:id="138" w:name="CLAUSE_608c7338e08f4004a54213593452c4e8"/>
      <w:r>
        <w:rPr>
          <w:rFonts w:hint="eastAsia" w:ascii="宋体" w:hAnsi="宋体"/>
        </w:rPr>
        <w:t>基金托管费每日计提，逐日累计至每月月末，按月支付，由基金管理人与基金托管人核对一致后，基金托管人按照与基金管理人协商一致的方式于次月前5个工作日内从基金财产中一次性支取。若遇法定节假日、公休假或不可抗力等，支付日期顺延。</w:t>
      </w:r>
    </w:p>
    <w:p>
      <w:pPr>
        <w:pStyle w:val="3"/>
        <w:spacing w:before="312" w:beforeLines="100" w:after="156" w:afterLines="50" w:line="360" w:lineRule="auto"/>
        <w:ind w:firstLine="527" w:firstLineChars="250"/>
        <w:jc w:val="center"/>
        <w:rPr>
          <w:rFonts w:ascii="宋体" w:hAnsi="宋体" w:eastAsia="宋体"/>
          <w:sz w:val="21"/>
          <w:szCs w:val="21"/>
        </w:rPr>
      </w:pPr>
      <w:bookmarkStart w:id="139" w:name="_Toc501274924"/>
      <w:r>
        <w:rPr>
          <w:rFonts w:hint="eastAsia" w:ascii="宋体" w:hAnsi="宋体" w:eastAsia="宋体"/>
          <w:sz w:val="21"/>
          <w:szCs w:val="21"/>
        </w:rPr>
        <w:t>十二、基金份额持有人名册的保管</w:t>
      </w:r>
      <w:bookmarkEnd w:id="136"/>
      <w:bookmarkEnd w:id="137"/>
      <w:bookmarkEnd w:id="139"/>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20年，法律法规或监管机构另有规定的除外。如不能妥善保管，则按相关法律法规承担责任。</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在基金托管人要求或编制中期报告和年报前，基金管理人应将有关资料送交基金托管人，不得无故拒绝或延误提供，并保证其的真实性、准确性和完整性。基金管理人和基金托管人不得将所保管的基金份额持有人名册用于基金托管业务以外的其他用途，并应遵守保密义务。</w:t>
      </w:r>
    </w:p>
    <w:bookmarkEnd w:id="138"/>
    <w:p>
      <w:pPr>
        <w:adjustRightInd w:val="0"/>
        <w:snapToGrid w:val="0"/>
        <w:spacing w:line="360" w:lineRule="auto"/>
        <w:ind w:firstLine="420" w:firstLineChars="200"/>
        <w:rPr>
          <w:rFonts w:ascii="宋体" w:hAnsi="宋体"/>
        </w:rPr>
        <w:sectPr>
          <w:footerReference r:id="rId19"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ind w:firstLine="480"/>
        <w:jc w:val="center"/>
        <w:rPr>
          <w:sz w:val="21"/>
          <w:szCs w:val="21"/>
        </w:rPr>
      </w:pPr>
      <w:bookmarkStart w:id="140" w:name="_Toc384992703"/>
      <w:bookmarkStart w:id="141" w:name="_Toc501274925"/>
      <w:bookmarkStart w:id="142" w:name="_Toc348082041"/>
      <w:bookmarkStart w:id="143" w:name="CLAUSE_f7fc4b82afa4449ca26cc11e7ca64945"/>
      <w:r>
        <w:rPr>
          <w:rFonts w:hint="eastAsia" w:ascii="宋体" w:hAnsi="宋体" w:eastAsia="宋体"/>
          <w:sz w:val="21"/>
          <w:szCs w:val="21"/>
        </w:rPr>
        <w:t>十三、基金有关文件档案的保存</w:t>
      </w:r>
      <w:bookmarkEnd w:id="140"/>
      <w:bookmarkEnd w:id="141"/>
      <w:bookmarkEnd w:id="142"/>
    </w:p>
    <w:p>
      <w:pPr>
        <w:adjustRightInd w:val="0"/>
        <w:snapToGrid w:val="0"/>
        <w:spacing w:line="360" w:lineRule="auto"/>
        <w:ind w:firstLine="420" w:firstLineChars="200"/>
        <w:outlineLvl w:val="2"/>
        <w:rPr>
          <w:rFonts w:ascii="宋体" w:hAnsi="宋体" w:cs="Arial"/>
          <w:szCs w:val="21"/>
        </w:rPr>
      </w:pPr>
      <w:r>
        <w:rPr>
          <w:rFonts w:hint="eastAsia" w:ascii="宋体" w:hAnsi="宋体" w:cs="Arial"/>
          <w:szCs w:val="21"/>
        </w:rPr>
        <w:t>（一）档案保存</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20年，法律法规或监管机构另有规定的除外。</w:t>
      </w:r>
    </w:p>
    <w:p>
      <w:pPr>
        <w:adjustRightInd w:val="0"/>
        <w:snapToGrid w:val="0"/>
        <w:spacing w:line="360" w:lineRule="auto"/>
        <w:ind w:firstLine="420" w:firstLineChars="200"/>
        <w:rPr>
          <w:rFonts w:ascii="宋体" w:hAnsi="宋体" w:cs="Arial"/>
          <w:szCs w:val="21"/>
        </w:rPr>
      </w:pPr>
    </w:p>
    <w:p>
      <w:pPr>
        <w:adjustRightInd w:val="0"/>
        <w:snapToGrid w:val="0"/>
        <w:spacing w:line="360" w:lineRule="auto"/>
        <w:ind w:firstLine="420" w:firstLineChars="200"/>
        <w:outlineLvl w:val="2"/>
        <w:rPr>
          <w:rFonts w:ascii="宋体" w:hAnsi="宋体" w:cs="Arial"/>
          <w:szCs w:val="21"/>
        </w:rPr>
      </w:pPr>
      <w:r>
        <w:rPr>
          <w:rFonts w:hint="eastAsia" w:ascii="宋体" w:hAnsi="宋体" w:cs="Arial"/>
          <w:szCs w:val="21"/>
        </w:rPr>
        <w:t>（二）合同档案的建立</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1.基金管理人签署重大合同文本后，应及时将合同文本正本送达基金托管人处。</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2.基金管理人应及时将与本基金账务处理、资金划拨等有关的合同、协议传真或通过双方认可的其他方式发送至基金托管人。</w:t>
      </w:r>
    </w:p>
    <w:p>
      <w:pPr>
        <w:adjustRightInd w:val="0"/>
        <w:snapToGrid w:val="0"/>
        <w:spacing w:line="360" w:lineRule="auto"/>
        <w:ind w:firstLine="420" w:firstLineChars="200"/>
        <w:outlineLvl w:val="2"/>
        <w:rPr>
          <w:rFonts w:ascii="宋体" w:hAnsi="宋体" w:cs="Arial"/>
          <w:szCs w:val="21"/>
        </w:rPr>
      </w:pPr>
      <w:r>
        <w:rPr>
          <w:rFonts w:hint="eastAsia" w:ascii="宋体" w:hAnsi="宋体" w:cs="Arial"/>
          <w:szCs w:val="21"/>
        </w:rPr>
        <w:t>（三）变更与协助</w:t>
      </w:r>
    </w:p>
    <w:p>
      <w:pPr>
        <w:adjustRightInd w:val="0"/>
        <w:snapToGrid w:val="0"/>
        <w:spacing w:line="360" w:lineRule="auto"/>
        <w:ind w:firstLine="420" w:firstLineChars="200"/>
        <w:rPr>
          <w:rFonts w:ascii="宋体" w:hAnsi="宋体"/>
          <w:b/>
          <w:bCs/>
          <w:szCs w:val="21"/>
        </w:rPr>
      </w:pPr>
      <w:r>
        <w:rPr>
          <w:rFonts w:hint="eastAsia" w:ascii="宋体" w:hAnsi="宋体" w:cs="Arial"/>
          <w:szCs w:val="21"/>
        </w:rPr>
        <w:t>若基金管理人/基金托管人发生变更，未变更的一方有义务协助变更后的接任人接收相应文件。</w:t>
      </w:r>
    </w:p>
    <w:p>
      <w:pPr>
        <w:adjustRightInd w:val="0"/>
        <w:snapToGrid w:val="0"/>
        <w:spacing w:line="360" w:lineRule="auto"/>
        <w:ind w:firstLine="420" w:firstLineChars="200"/>
        <w:outlineLvl w:val="2"/>
        <w:rPr>
          <w:rFonts w:ascii="宋体" w:hAnsi="宋体" w:cs="Arial"/>
          <w:szCs w:val="21"/>
        </w:rPr>
      </w:pPr>
      <w:r>
        <w:rPr>
          <w:rFonts w:hint="eastAsia" w:ascii="宋体" w:hAnsi="宋体" w:cs="Arial"/>
          <w:szCs w:val="21"/>
        </w:rPr>
        <w:t>（四）基金管理人和基金托管人应按各自职责完整保存原始凭证、记账凭证、基金账册、交易记录和重要合同等，承担保密义务按规定期限保存。基金托管人应保存至少二十年以上，法律法规或监管机构另有规定的除外。</w:t>
      </w:r>
    </w:p>
    <w:p>
      <w:pPr>
        <w:adjustRightInd w:val="0"/>
        <w:snapToGrid w:val="0"/>
        <w:spacing w:line="360" w:lineRule="auto"/>
        <w:rPr>
          <w:rFonts w:ascii="宋体" w:hAnsi="宋体"/>
          <w:szCs w:val="21"/>
        </w:rPr>
      </w:pPr>
    </w:p>
    <w:bookmarkEnd w:id="143"/>
    <w:p>
      <w:pPr>
        <w:adjustRightInd w:val="0"/>
        <w:snapToGrid w:val="0"/>
        <w:spacing w:line="360" w:lineRule="auto"/>
        <w:ind w:firstLine="420" w:firstLineChars="200"/>
        <w:outlineLvl w:val="2"/>
        <w:rPr>
          <w:rFonts w:ascii="宋体" w:hAnsi="宋体"/>
        </w:rPr>
        <w:sectPr>
          <w:footerReference r:id="rId20"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144" w:name="_Toc501274926"/>
      <w:bookmarkStart w:id="145" w:name="_Toc348082042"/>
      <w:bookmarkStart w:id="146" w:name="_Toc384992704"/>
      <w:bookmarkStart w:id="147" w:name="CLAUSE_25cb0ea76d804a1599ef088ef81b866c"/>
      <w:r>
        <w:rPr>
          <w:rFonts w:hint="eastAsia" w:ascii="宋体" w:hAnsi="宋体" w:eastAsia="宋体"/>
          <w:sz w:val="21"/>
          <w:szCs w:val="21"/>
        </w:rPr>
        <w:t>十四、基金管理人和基金托管人的更换</w:t>
      </w:r>
      <w:bookmarkEnd w:id="144"/>
      <w:bookmarkEnd w:id="145"/>
      <w:bookmarkEnd w:id="146"/>
    </w:p>
    <w:p>
      <w:pPr>
        <w:spacing w:line="360" w:lineRule="auto"/>
        <w:ind w:firstLine="420"/>
        <w:rPr>
          <w:rFonts w:ascii="宋体" w:hAnsi="宋体"/>
          <w:kern w:val="0"/>
          <w:szCs w:val="21"/>
        </w:rPr>
      </w:pPr>
      <w:r>
        <w:rPr>
          <w:rFonts w:hint="eastAsia" w:ascii="宋体" w:hAnsi="宋体"/>
          <w:szCs w:val="21"/>
        </w:rPr>
        <w:t>（一）</w:t>
      </w:r>
      <w:r>
        <w:rPr>
          <w:rFonts w:ascii="宋体" w:hAnsi="宋体"/>
          <w:kern w:val="0"/>
          <w:szCs w:val="21"/>
        </w:rPr>
        <w:t>基金管理人职责终止</w:t>
      </w:r>
      <w:r>
        <w:rPr>
          <w:rFonts w:hint="eastAsia" w:ascii="宋体" w:hAnsi="宋体"/>
          <w:kern w:val="0"/>
          <w:szCs w:val="21"/>
        </w:rPr>
        <w:t>后</w:t>
      </w:r>
      <w:r>
        <w:rPr>
          <w:rFonts w:ascii="宋体" w:hAnsi="宋体"/>
          <w:kern w:val="0"/>
          <w:szCs w:val="21"/>
        </w:rPr>
        <w:t>，</w:t>
      </w:r>
      <w:r>
        <w:rPr>
          <w:rFonts w:hint="eastAsia" w:ascii="宋体" w:hAnsi="宋体"/>
          <w:kern w:val="0"/>
          <w:szCs w:val="21"/>
        </w:rPr>
        <w:t>仍</w:t>
      </w:r>
      <w:r>
        <w:rPr>
          <w:rFonts w:ascii="宋体" w:hAnsi="宋体"/>
          <w:kern w:val="0"/>
          <w:szCs w:val="21"/>
        </w:rPr>
        <w:t>应妥善保管基金管理业务资料，</w:t>
      </w:r>
      <w:r>
        <w:rPr>
          <w:rFonts w:hint="eastAsia" w:ascii="宋体" w:hAnsi="宋体" w:cs="Arial"/>
          <w:szCs w:val="21"/>
        </w:rPr>
        <w:t>保证不做出对基金份额持有人的利益造成损害的行为，</w:t>
      </w:r>
      <w:r>
        <w:rPr>
          <w:rFonts w:hint="eastAsia" w:ascii="宋体" w:hAnsi="宋体"/>
          <w:kern w:val="0"/>
          <w:szCs w:val="21"/>
        </w:rPr>
        <w:t>并与新任基金管理人或临时基金管理人</w:t>
      </w:r>
      <w:r>
        <w:rPr>
          <w:rFonts w:ascii="宋体" w:hAnsi="宋体"/>
          <w:kern w:val="0"/>
          <w:szCs w:val="21"/>
        </w:rPr>
        <w:t>及时办理基金管理业务的移交手续。</w:t>
      </w:r>
      <w:r>
        <w:rPr>
          <w:rFonts w:hint="eastAsia" w:ascii="宋体" w:hAnsi="宋体"/>
          <w:kern w:val="0"/>
          <w:szCs w:val="21"/>
        </w:rPr>
        <w:t>基金托管人应给予积极配合，并与新任基金管理人或临时基金管理人核对基金资产总值和基金资产净值。</w:t>
      </w:r>
    </w:p>
    <w:p>
      <w:pPr>
        <w:spacing w:line="360" w:lineRule="auto"/>
        <w:ind w:firstLine="420"/>
        <w:rPr>
          <w:rFonts w:ascii="宋体" w:hAnsi="宋体"/>
          <w:kern w:val="0"/>
          <w:szCs w:val="21"/>
        </w:rPr>
      </w:pPr>
      <w:r>
        <w:rPr>
          <w:rFonts w:hint="eastAsia" w:ascii="宋体" w:hAnsi="宋体"/>
          <w:szCs w:val="21"/>
        </w:rPr>
        <w:t>（二）</w:t>
      </w:r>
      <w:r>
        <w:rPr>
          <w:rFonts w:ascii="宋体" w:hAnsi="宋体"/>
          <w:kern w:val="0"/>
          <w:szCs w:val="21"/>
        </w:rPr>
        <w:t>基金托管人职责终止</w:t>
      </w:r>
      <w:r>
        <w:rPr>
          <w:rFonts w:hint="eastAsia" w:ascii="宋体" w:hAnsi="宋体"/>
          <w:kern w:val="0"/>
          <w:szCs w:val="21"/>
        </w:rPr>
        <w:t>后</w:t>
      </w:r>
      <w:r>
        <w:rPr>
          <w:rFonts w:ascii="宋体" w:hAnsi="宋体"/>
          <w:kern w:val="0"/>
          <w:szCs w:val="21"/>
        </w:rPr>
        <w:t>，</w:t>
      </w:r>
      <w:r>
        <w:rPr>
          <w:rFonts w:hint="eastAsia" w:ascii="宋体" w:hAnsi="宋体"/>
          <w:kern w:val="0"/>
          <w:szCs w:val="21"/>
        </w:rPr>
        <w:t>仍</w:t>
      </w:r>
      <w:r>
        <w:rPr>
          <w:rFonts w:ascii="宋体" w:hAnsi="宋体"/>
          <w:kern w:val="0"/>
          <w:szCs w:val="21"/>
        </w:rPr>
        <w:t>应妥善保管基金财产和基金托管业务资料，</w:t>
      </w:r>
      <w:r>
        <w:rPr>
          <w:rFonts w:hint="eastAsia" w:ascii="宋体" w:hAnsi="宋体" w:cs="Arial"/>
          <w:szCs w:val="21"/>
        </w:rPr>
        <w:t>保证不做出对基金份额持有人的利益造成损害的行为，</w:t>
      </w:r>
      <w:r>
        <w:rPr>
          <w:rFonts w:hint="eastAsia" w:ascii="宋体" w:hAnsi="宋体"/>
          <w:kern w:val="0"/>
          <w:szCs w:val="21"/>
        </w:rPr>
        <w:t>并与新任基金托管人或临时基金托管人</w:t>
      </w:r>
      <w:r>
        <w:rPr>
          <w:rFonts w:ascii="宋体" w:hAnsi="宋体"/>
          <w:kern w:val="0"/>
          <w:szCs w:val="21"/>
        </w:rPr>
        <w:t>及时办理基金财产和基金托管业务的移交手续。</w:t>
      </w:r>
      <w:r>
        <w:rPr>
          <w:rFonts w:hint="eastAsia" w:ascii="宋体" w:hAnsi="宋体"/>
          <w:kern w:val="0"/>
          <w:szCs w:val="21"/>
        </w:rPr>
        <w:t>基金管理人应给予积极配合，并与新任基金托管人或临时基金托管人核对基金资产总值和基金资产净值。</w:t>
      </w:r>
    </w:p>
    <w:p>
      <w:pPr>
        <w:adjustRightInd w:val="0"/>
        <w:snapToGrid w:val="0"/>
        <w:spacing w:line="360" w:lineRule="auto"/>
        <w:ind w:firstLine="420"/>
        <w:outlineLvl w:val="2"/>
        <w:rPr>
          <w:rFonts w:ascii="宋体" w:hAnsi="宋体" w:cs="Arial"/>
          <w:szCs w:val="21"/>
        </w:rPr>
      </w:pPr>
      <w:r>
        <w:rPr>
          <w:rFonts w:hint="eastAsia" w:ascii="宋体" w:hAnsi="宋体"/>
          <w:kern w:val="0"/>
          <w:szCs w:val="21"/>
        </w:rPr>
        <w:t>（三）其他事宜见基金合同的相关约定。</w:t>
      </w:r>
    </w:p>
    <w:p>
      <w:pPr>
        <w:adjustRightInd w:val="0"/>
        <w:snapToGrid w:val="0"/>
        <w:spacing w:line="360" w:lineRule="auto"/>
        <w:rPr>
          <w:rFonts w:ascii="宋体" w:hAnsi="宋体" w:cs="Arial"/>
          <w:szCs w:val="21"/>
        </w:rPr>
      </w:pPr>
    </w:p>
    <w:bookmarkEnd w:id="147"/>
    <w:p>
      <w:pPr>
        <w:adjustRightInd w:val="0"/>
        <w:snapToGrid w:val="0"/>
        <w:spacing w:line="360" w:lineRule="auto"/>
        <w:ind w:firstLine="420"/>
        <w:outlineLvl w:val="2"/>
        <w:rPr>
          <w:rFonts w:ascii="宋体" w:hAnsi="宋体"/>
          <w:kern w:val="0"/>
        </w:rPr>
        <w:sectPr>
          <w:footerReference r:id="rId21"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148" w:name="_Toc501274927"/>
      <w:bookmarkStart w:id="149" w:name="_Toc384992705"/>
      <w:bookmarkStart w:id="150" w:name="_Toc348082043"/>
      <w:bookmarkStart w:id="151" w:name="CLAUSE_e9d10e6b7422433e941bffe3b6ba0b0b"/>
      <w:r>
        <w:rPr>
          <w:rFonts w:hint="eastAsia" w:ascii="宋体" w:hAnsi="宋体" w:eastAsia="宋体"/>
          <w:sz w:val="21"/>
          <w:szCs w:val="21"/>
        </w:rPr>
        <w:t>十五、禁止行为</w:t>
      </w:r>
      <w:bookmarkEnd w:id="148"/>
      <w:bookmarkEnd w:id="149"/>
      <w:bookmarkEnd w:id="150"/>
    </w:p>
    <w:p>
      <w:pPr>
        <w:adjustRightInd w:val="0"/>
        <w:snapToGrid w:val="0"/>
        <w:spacing w:line="360" w:lineRule="auto"/>
        <w:ind w:firstLine="420" w:firstLineChars="200"/>
        <w:rPr>
          <w:rFonts w:ascii="宋体" w:hAnsi="宋体" w:cs="Arial"/>
          <w:szCs w:val="21"/>
        </w:rPr>
      </w:pPr>
      <w:r>
        <w:rPr>
          <w:rFonts w:hint="eastAsia" w:ascii="宋体" w:hAnsi="宋体" w:cs="Arial"/>
          <w:szCs w:val="21"/>
        </w:rPr>
        <w:t>本协议当事人禁止从事的行为，包括但不限于：</w:t>
      </w:r>
    </w:p>
    <w:p>
      <w:pPr>
        <w:spacing w:line="360" w:lineRule="auto"/>
        <w:ind w:firstLine="420" w:firstLineChars="200"/>
        <w:rPr>
          <w:rFonts w:ascii="宋体" w:hAnsi="宋体"/>
          <w:szCs w:val="21"/>
        </w:rPr>
      </w:pPr>
      <w:r>
        <w:rPr>
          <w:rFonts w:hint="eastAsia" w:ascii="宋体" w:hAnsi="宋体"/>
          <w:szCs w:val="21"/>
        </w:rPr>
        <w:t>（一）基金管理人、基金托管人将其固有财产或者他人财产混同于基金财产从事证券投资。</w:t>
      </w:r>
    </w:p>
    <w:p>
      <w:pPr>
        <w:spacing w:line="360" w:lineRule="auto"/>
        <w:ind w:firstLine="420" w:firstLineChars="200"/>
        <w:rPr>
          <w:rFonts w:ascii="宋体" w:hAnsi="宋体"/>
          <w:szCs w:val="21"/>
        </w:rPr>
      </w:pPr>
      <w:r>
        <w:rPr>
          <w:rFonts w:hint="eastAsia" w:ascii="宋体" w:hAnsi="宋体"/>
          <w:szCs w:val="21"/>
        </w:rPr>
        <w:t>（二）基金管理人不公平地对待其管理的不同基金财产，基金托管人不公平地对待其托管的不同基金财产。</w:t>
      </w:r>
    </w:p>
    <w:p>
      <w:pPr>
        <w:spacing w:line="360" w:lineRule="auto"/>
        <w:ind w:firstLine="420" w:firstLineChars="200"/>
        <w:rPr>
          <w:rFonts w:ascii="宋体" w:hAnsi="宋体"/>
          <w:szCs w:val="21"/>
        </w:rPr>
      </w:pPr>
      <w:r>
        <w:rPr>
          <w:rFonts w:hint="eastAsia" w:ascii="宋体" w:hAnsi="宋体"/>
          <w:szCs w:val="21"/>
        </w:rPr>
        <w:t>（三）基金管理人、基金托管人利用基金财产或职务之便为基金份额持有人以外的第三人牟取利益。</w:t>
      </w:r>
    </w:p>
    <w:p>
      <w:pPr>
        <w:spacing w:line="360" w:lineRule="auto"/>
        <w:ind w:firstLine="420" w:firstLineChars="200"/>
        <w:rPr>
          <w:rFonts w:ascii="宋体" w:hAnsi="宋体"/>
          <w:szCs w:val="21"/>
        </w:rPr>
      </w:pPr>
      <w:r>
        <w:rPr>
          <w:rFonts w:hint="eastAsia" w:ascii="宋体" w:hAnsi="宋体"/>
          <w:szCs w:val="21"/>
        </w:rPr>
        <w:t>（四）基金管理人、基金托管人向基金份额持有人违规承诺收益或者承担损失。</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（五）基金管理人、基金托管人对他人泄漏基金运作和管理过程中任何尚未按法律法规规定的方式公开披露的信息。</w:t>
      </w:r>
    </w:p>
    <w:p>
      <w:pPr>
        <w:pStyle w:val="9"/>
        <w:spacing w:line="360" w:lineRule="auto"/>
        <w:ind w:firstLine="420"/>
        <w:rPr>
          <w:rFonts w:ascii="宋体" w:hAnsi="宋体" w:eastAsia="宋体" w:cs="Arial"/>
          <w:sz w:val="21"/>
          <w:szCs w:val="21"/>
        </w:rPr>
      </w:pPr>
      <w:r>
        <w:rPr>
          <w:rFonts w:hint="eastAsia" w:ascii="宋体" w:hAnsi="宋体" w:eastAsia="宋体" w:cs="Arial"/>
          <w:sz w:val="21"/>
          <w:szCs w:val="21"/>
        </w:rPr>
        <w:t>（六）基金管理人在没有充足资金的情况下向基金托管人发出投资指令和付款指令，或违规向基金托管人发出指令。</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（七）基金管理人、基金托管人在行政上、财务上不独立，其高级管理人员和其他从业人员相互兼职。</w:t>
      </w:r>
    </w:p>
    <w:p>
      <w:pPr>
        <w:spacing w:line="360" w:lineRule="auto"/>
        <w:ind w:firstLine="420" w:firstLineChars="200"/>
        <w:rPr>
          <w:rFonts w:ascii="宋体" w:hAnsi="宋体" w:cs="Arial"/>
          <w:szCs w:val="21"/>
        </w:rPr>
      </w:pPr>
      <w:r>
        <w:rPr>
          <w:rFonts w:hint="eastAsia" w:ascii="宋体" w:hAnsi="宋体" w:cs="Arial"/>
          <w:szCs w:val="21"/>
        </w:rPr>
        <w:t>（八）基金托管人私自动用或处分基金财产，根据基金管理人的合法指令、基金合同或托管协议的规定进行处分的除外。</w:t>
      </w:r>
    </w:p>
    <w:p>
      <w:pPr>
        <w:spacing w:line="360" w:lineRule="auto"/>
        <w:ind w:firstLine="420" w:firstLineChars="200"/>
        <w:rPr>
          <w:rFonts w:ascii="宋体" w:hAnsi="宋体"/>
          <w:szCs w:val="21"/>
        </w:rPr>
      </w:pPr>
      <w:r>
        <w:rPr>
          <w:rFonts w:hint="eastAsia" w:ascii="宋体" w:hAnsi="宋体" w:cs="Arial"/>
          <w:szCs w:val="21"/>
        </w:rPr>
        <w:t>（九）法律法规和基金合同禁止的其他行为，以及</w:t>
      </w:r>
      <w:r>
        <w:rPr>
          <w:rFonts w:hint="eastAsia" w:ascii="宋体" w:hAnsi="宋体"/>
          <w:szCs w:val="21"/>
        </w:rPr>
        <w:t>依照法律、行政法规有关规定，由</w:t>
      </w:r>
      <w:r>
        <w:rPr>
          <w:rFonts w:hint="eastAsia" w:ascii="宋体" w:hAnsi="宋体" w:cs="Arial"/>
          <w:szCs w:val="21"/>
        </w:rPr>
        <w:t>中国证监会</w:t>
      </w:r>
      <w:r>
        <w:rPr>
          <w:rFonts w:hint="eastAsia" w:ascii="宋体" w:hAnsi="宋体"/>
          <w:szCs w:val="21"/>
        </w:rPr>
        <w:t>规定禁止基金管理人、基金托管人从事的其他行为。</w:t>
      </w:r>
    </w:p>
    <w:bookmarkEnd w:id="151"/>
    <w:p>
      <w:pPr>
        <w:spacing w:line="360" w:lineRule="auto"/>
        <w:ind w:firstLine="420" w:firstLineChars="200"/>
        <w:rPr>
          <w:rFonts w:ascii="宋体" w:hAnsi="宋体"/>
        </w:rPr>
        <w:sectPr>
          <w:footerReference r:id="rId22"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152" w:name="_Toc384992706"/>
      <w:bookmarkStart w:id="153" w:name="_Toc348082044"/>
      <w:bookmarkStart w:id="154" w:name="_Toc501274928"/>
      <w:bookmarkStart w:id="155" w:name="CLAUSE_bcee9b9b888546b5bc1f8261460d73d2"/>
      <w:r>
        <w:rPr>
          <w:rFonts w:hint="eastAsia" w:ascii="宋体" w:hAnsi="宋体" w:eastAsia="宋体"/>
          <w:sz w:val="21"/>
          <w:szCs w:val="21"/>
        </w:rPr>
        <w:t>十六、托管协议的变更、终止与基金财产的清算</w:t>
      </w:r>
      <w:bookmarkEnd w:id="152"/>
      <w:bookmarkEnd w:id="153"/>
      <w:bookmarkEnd w:id="154"/>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（一）托管协议的变更程序</w:t>
      </w:r>
    </w:p>
    <w:p>
      <w:pPr>
        <w:adjustRightInd w:val="0"/>
        <w:snapToGrid w:val="0"/>
        <w:spacing w:line="360" w:lineRule="auto"/>
        <w:ind w:firstLine="420" w:firstLineChars="200"/>
        <w:rPr>
          <w:rFonts w:ascii="宋体" w:hAnsi="宋体"/>
          <w:szCs w:val="21"/>
        </w:rPr>
      </w:pPr>
      <w:r>
        <w:rPr>
          <w:rFonts w:hint="eastAsia" w:ascii="宋体" w:hAnsi="宋体" w:cs="Arial"/>
          <w:szCs w:val="21"/>
        </w:rPr>
        <w:t>本协议双方当事人经协商一致，可以对协议进行修改。修改后的新协议，其内容不得与基金合同的规定有任何冲突。基金托管协议的变更应报中国证监会备案。</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（二）基金托管协议终止的情形</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1、《基金合同》终止；</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2、基金托管人因解散、破产、撤销等事由，不能继续担任基金托管人的职务，而在6个月内无其他适当的托管机构承接其原有权利义务；</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3、基金管理人因解散、破产、撤销等事由，不能继续担任基金管理人的职务，而在6个月内无其他适当的基金管理公司承接其原有权利义务；</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4、发生法律法规、中国证监会或《基金合同》规定的其他终止事项。</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（三）基金财产的清算</w:t>
      </w:r>
    </w:p>
    <w:p>
      <w:pPr>
        <w:adjustRightInd w:val="0"/>
        <w:snapToGrid w:val="0"/>
        <w:spacing w:line="360" w:lineRule="auto"/>
        <w:ind w:firstLine="420" w:firstLineChars="200"/>
        <w:rPr>
          <w:rFonts w:ascii="宋体" w:hAnsi="宋体" w:cs="Arial"/>
          <w:szCs w:val="21"/>
        </w:rPr>
      </w:pPr>
      <w:r>
        <w:rPr>
          <w:rFonts w:hint="eastAsia"/>
          <w:szCs w:val="21"/>
        </w:rPr>
        <w:t>基金管理人与基金托管人按照《基金合同》的约定处理基金财产的清算。</w:t>
      </w:r>
    </w:p>
    <w:p>
      <w:pPr>
        <w:adjustRightInd w:val="0"/>
        <w:snapToGrid w:val="0"/>
        <w:spacing w:line="360" w:lineRule="auto"/>
        <w:rPr>
          <w:rFonts w:ascii="宋体" w:hAnsi="宋体" w:cs="Arial"/>
          <w:szCs w:val="21"/>
        </w:rPr>
      </w:pPr>
    </w:p>
    <w:bookmarkEnd w:id="155"/>
    <w:p>
      <w:pPr>
        <w:adjustRightInd w:val="0"/>
        <w:snapToGrid w:val="0"/>
        <w:spacing w:line="360" w:lineRule="auto"/>
        <w:ind w:firstLine="420" w:firstLineChars="200"/>
        <w:sectPr>
          <w:footerReference r:id="rId23"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156" w:name="_Toc384992707"/>
      <w:bookmarkStart w:id="157" w:name="_Toc348082045"/>
      <w:bookmarkStart w:id="158" w:name="_Toc501274929"/>
      <w:bookmarkStart w:id="159" w:name="CLAUSE_2ba833cdb8204150b29589e8e49e6d33"/>
      <w:r>
        <w:rPr>
          <w:rFonts w:hint="eastAsia" w:ascii="宋体" w:hAnsi="宋体" w:eastAsia="宋体"/>
          <w:sz w:val="21"/>
          <w:szCs w:val="21"/>
        </w:rPr>
        <w:t>十七、违约责任</w:t>
      </w:r>
      <w:bookmarkEnd w:id="156"/>
      <w:bookmarkEnd w:id="157"/>
      <w:bookmarkEnd w:id="158"/>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（一）</w:t>
      </w:r>
      <w:r>
        <w:rPr>
          <w:rFonts w:ascii="宋体" w:hAnsi="宋体" w:cs="Arial"/>
          <w:szCs w:val="21"/>
        </w:rPr>
        <w:t>基金管理人、基金托管人</w:t>
      </w:r>
      <w:r>
        <w:rPr>
          <w:rFonts w:hint="eastAsia" w:ascii="宋体" w:hAnsi="宋体" w:cs="Arial"/>
          <w:szCs w:val="21"/>
        </w:rPr>
        <w:t>不</w:t>
      </w:r>
      <w:r>
        <w:rPr>
          <w:rFonts w:ascii="宋体" w:hAnsi="宋体" w:cs="Arial"/>
          <w:szCs w:val="21"/>
        </w:rPr>
        <w:t>履行</w:t>
      </w:r>
      <w:r>
        <w:rPr>
          <w:rFonts w:hint="eastAsia" w:ascii="宋体" w:hAnsi="宋体" w:cs="Arial"/>
          <w:szCs w:val="21"/>
        </w:rPr>
        <w:t>本协议或履行本协议不符合约定的，应当承担违约责任。</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（二）</w:t>
      </w:r>
      <w:r>
        <w:rPr>
          <w:rFonts w:ascii="宋体" w:hAnsi="宋体" w:cs="Arial"/>
          <w:szCs w:val="21"/>
        </w:rPr>
        <w:t>基金管理人、基金托管人在履行各自职责的过程中，违反</w:t>
      </w:r>
      <w:r>
        <w:rPr>
          <w:rFonts w:hint="eastAsia" w:ascii="宋体" w:hAnsi="宋体" w:cs="Arial"/>
          <w:szCs w:val="21"/>
        </w:rPr>
        <w:t>《基金法》、《基金合同》和本托管协议</w:t>
      </w:r>
      <w:r>
        <w:rPr>
          <w:rFonts w:ascii="宋体" w:hAnsi="宋体" w:cs="Arial"/>
          <w:szCs w:val="21"/>
        </w:rPr>
        <w:t>约定，</w:t>
      </w:r>
      <w:bookmarkStart w:id="160" w:name="_Hlk107326818"/>
      <w:r>
        <w:rPr>
          <w:rFonts w:ascii="宋体" w:hAnsi="宋体" w:cs="Arial"/>
          <w:szCs w:val="21"/>
        </w:rPr>
        <w:t>给基金财产或者基金份额持有人造成损害的，应当分别对各自的行为依法承担赔偿责任；因共同行为给基金财产或者基金份额持有人造成损害的</w:t>
      </w:r>
      <w:bookmarkEnd w:id="160"/>
      <w:r>
        <w:rPr>
          <w:rFonts w:ascii="宋体" w:hAnsi="宋体" w:cs="Arial"/>
          <w:szCs w:val="21"/>
        </w:rPr>
        <w:t>，应当</w:t>
      </w:r>
      <w:r>
        <w:rPr>
          <w:rFonts w:hint="eastAsia" w:ascii="宋体" w:hAnsi="宋体" w:cs="Arial"/>
          <w:szCs w:val="21"/>
        </w:rPr>
        <w:t>根据各自的</w:t>
      </w:r>
      <w:r>
        <w:rPr>
          <w:rFonts w:hint="eastAsia" w:ascii="宋体" w:hAnsi="宋体" w:cs="Arial"/>
          <w:szCs w:val="21"/>
          <w:highlight w:val="none"/>
        </w:rPr>
        <w:t>过错程度</w:t>
      </w:r>
      <w:r>
        <w:rPr>
          <w:rFonts w:hint="eastAsia" w:ascii="宋体" w:hAnsi="宋体" w:cs="Arial"/>
          <w:szCs w:val="21"/>
        </w:rPr>
        <w:t>对由此造成的直接损失分别承担相应的</w:t>
      </w:r>
      <w:r>
        <w:rPr>
          <w:rFonts w:ascii="宋体" w:hAnsi="宋体" w:cs="Arial"/>
          <w:szCs w:val="21"/>
        </w:rPr>
        <w:t>责任。</w:t>
      </w:r>
    </w:p>
    <w:p>
      <w:pPr>
        <w:adjustRightInd w:val="0"/>
        <w:snapToGrid w:val="0"/>
        <w:spacing w:line="360" w:lineRule="auto"/>
        <w:ind w:firstLine="420" w:firstLineChars="200"/>
        <w:rPr>
          <w:rFonts w:ascii="宋体" w:hAnsi="宋体" w:cs="Arial"/>
          <w:szCs w:val="21"/>
        </w:rPr>
      </w:pP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（三）一方当事人违约，给另一方当事人或基金财产造成损失的，应就直接损失进行赔偿，另一方当事人有权利及义务代表基金向违约方追偿。但是如发生下列情况，当事人免责：</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1、基金管理人和/或基金托管人按照当时有效的法律法规或中国证监会等监管机构的规定作为或不作为而造成的损失等；</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2、基金管理人由于按照《基金合同》规定的投资原则而行使或不行使其投资权而造成的损失等；</w:t>
      </w:r>
    </w:p>
    <w:p>
      <w:pPr>
        <w:adjustRightInd w:val="0"/>
        <w:snapToGrid w:val="0"/>
        <w:spacing w:line="360" w:lineRule="auto"/>
        <w:ind w:firstLine="420" w:firstLineChars="200"/>
        <w:rPr>
          <w:rFonts w:hAnsi="宋体" w:cs="Arial"/>
          <w:szCs w:val="21"/>
        </w:rPr>
      </w:pPr>
      <w:r>
        <w:rPr>
          <w:rFonts w:hint="eastAsia" w:ascii="宋体" w:hAnsi="宋体" w:cs="Arial"/>
          <w:szCs w:val="21"/>
        </w:rPr>
        <w:t>3、</w:t>
      </w:r>
      <w:r>
        <w:rPr>
          <w:rFonts w:hint="eastAsia" w:hAnsi="宋体" w:cs="Arial"/>
          <w:szCs w:val="21"/>
        </w:rPr>
        <w:t>非因基金管理人、基金托管人的故意或重大过失造成的计算机系统故障、网络故障、通讯故障、电力故障、计算机病毒攻击及其它意外事故，所导致的损失等。</w:t>
      </w:r>
    </w:p>
    <w:p>
      <w:pPr>
        <w:adjustRightInd w:val="0"/>
        <w:snapToGrid w:val="0"/>
        <w:spacing w:line="360" w:lineRule="auto"/>
        <w:ind w:firstLine="420" w:firstLineChars="200"/>
        <w:rPr>
          <w:rFonts w:ascii="宋体" w:hAnsi="宋体" w:cs="Arial"/>
          <w:szCs w:val="21"/>
        </w:rPr>
      </w:pPr>
      <w:r>
        <w:rPr>
          <w:rFonts w:ascii="宋体" w:hAnsi="宋体" w:cs="Arial"/>
          <w:szCs w:val="21"/>
        </w:rPr>
        <w:t>4、</w:t>
      </w:r>
      <w:r>
        <w:rPr>
          <w:rFonts w:hint="eastAsia" w:ascii="宋体" w:hAnsi="宋体" w:cs="Arial"/>
          <w:szCs w:val="21"/>
        </w:rPr>
        <w:t>不可抗力。</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（四）一方当事人违约，</w:t>
      </w:r>
      <w:bookmarkStart w:id="161" w:name="_Hlk107326954"/>
      <w:r>
        <w:rPr>
          <w:rFonts w:hint="eastAsia" w:ascii="宋体" w:hAnsi="宋体" w:cs="Arial"/>
          <w:szCs w:val="21"/>
        </w:rPr>
        <w:t>非违约方当事人在职责范围内有义务及时采取必要的措施，尽力防止损失的扩大。没有采取适当措施致使损失进一步扩大的，不得就扩大的损失要求赔偿。非违约方因防止损失扩大而支出的合理费用由违约方承担</w:t>
      </w:r>
      <w:bookmarkEnd w:id="161"/>
      <w:r>
        <w:rPr>
          <w:rFonts w:hint="eastAsia" w:ascii="宋体" w:hAnsi="宋体" w:cs="Arial"/>
          <w:szCs w:val="21"/>
        </w:rPr>
        <w:t>。</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（六）</w:t>
      </w:r>
      <w:bookmarkStart w:id="162" w:name="_Hlk107326980"/>
      <w:r>
        <w:rPr>
          <w:rFonts w:hint="eastAsia" w:ascii="宋体" w:hAnsi="宋体" w:cs="Arial"/>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bookmarkEnd w:id="162"/>
      <w:r>
        <w:rPr>
          <w:rFonts w:hint="eastAsia" w:ascii="宋体" w:hAnsi="宋体" w:cs="Arial"/>
          <w:szCs w:val="21"/>
        </w:rPr>
        <w:t>。</w:t>
      </w:r>
    </w:p>
    <w:p>
      <w:pPr>
        <w:adjustRightInd w:val="0"/>
        <w:snapToGrid w:val="0"/>
        <w:spacing w:line="360" w:lineRule="auto"/>
        <w:ind w:firstLine="420" w:firstLineChars="200"/>
        <w:rPr>
          <w:rFonts w:ascii="宋体" w:hAnsi="宋体" w:cs="Arial"/>
          <w:szCs w:val="21"/>
        </w:rPr>
      </w:pPr>
    </w:p>
    <w:bookmarkEnd w:id="159"/>
    <w:p>
      <w:pPr>
        <w:adjustRightInd w:val="0"/>
        <w:snapToGrid w:val="0"/>
        <w:spacing w:line="360" w:lineRule="auto"/>
        <w:ind w:firstLine="420" w:firstLineChars="200"/>
        <w:rPr>
          <w:rFonts w:ascii="宋体" w:hAnsi="宋体" w:cs="Arial"/>
          <w:szCs w:val="21"/>
        </w:rPr>
        <w:sectPr>
          <w:footerReference r:id="rId24"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163" w:name="_Toc348082046"/>
      <w:bookmarkStart w:id="164" w:name="_Toc384992708"/>
      <w:bookmarkStart w:id="165" w:name="_Toc501274930"/>
      <w:bookmarkStart w:id="166" w:name="CLAUSE_ec33d38b909046268d01dbe8d5347fb8"/>
      <w:r>
        <w:rPr>
          <w:rFonts w:hint="eastAsia" w:ascii="宋体" w:hAnsi="宋体" w:eastAsia="宋体"/>
          <w:sz w:val="21"/>
          <w:szCs w:val="21"/>
        </w:rPr>
        <w:t>十八、争议解决方式</w:t>
      </w:r>
      <w:bookmarkEnd w:id="163"/>
      <w:bookmarkEnd w:id="164"/>
      <w:bookmarkEnd w:id="165"/>
    </w:p>
    <w:p>
      <w:pPr>
        <w:adjustRightInd w:val="0"/>
        <w:snapToGrid w:val="0"/>
        <w:spacing w:line="360" w:lineRule="auto"/>
        <w:ind w:firstLine="422" w:firstLineChars="200"/>
        <w:rPr>
          <w:rFonts w:ascii="宋体" w:hAnsi="宋体" w:cs="Arial"/>
          <w:b/>
          <w:bCs/>
          <w:i/>
          <w:iCs/>
          <w:szCs w:val="21"/>
        </w:rPr>
      </w:pPr>
      <w:r>
        <w:rPr>
          <w:rFonts w:ascii="宋体" w:hAnsi="宋体" w:cs="Arial"/>
          <w:b/>
          <w:bCs/>
          <w:i/>
          <w:iCs/>
          <w:szCs w:val="21"/>
        </w:rPr>
        <w:t>双</w:t>
      </w:r>
      <w:r>
        <w:rPr>
          <w:rFonts w:hint="eastAsia" w:ascii="宋体" w:hAnsi="宋体" w:cs="Arial"/>
          <w:b/>
          <w:bCs/>
          <w:i/>
          <w:iCs/>
          <w:szCs w:val="21"/>
        </w:rPr>
        <w:t>方当事人同意，因托管协议和《基金合同》而产生的或与本协议有关的一切争议，如不愿或者不能通过协商、调解解决的，任何一方均有权将争议提交深圳国际仲裁院（深圳仲裁委员会），按照深圳国际仲裁院（深圳仲裁委员会）届时有效的仲裁规则进行仲裁。仲裁地点为深圳市。仲裁裁决是终局的，对</w:t>
      </w:r>
      <w:r>
        <w:rPr>
          <w:rFonts w:ascii="宋体" w:hAnsi="宋体" w:cs="Arial"/>
          <w:b/>
          <w:bCs/>
          <w:i/>
          <w:iCs/>
          <w:szCs w:val="21"/>
        </w:rPr>
        <w:t>双</w:t>
      </w:r>
      <w:r>
        <w:rPr>
          <w:rFonts w:hint="eastAsia" w:ascii="宋体" w:hAnsi="宋体" w:cs="Arial"/>
          <w:b/>
          <w:bCs/>
          <w:i/>
          <w:iCs/>
          <w:szCs w:val="21"/>
        </w:rPr>
        <w:t>方当事人均有约束力。除非仲裁裁决另有规定，仲裁费用、律师费用由败诉方承担。</w:t>
      </w:r>
    </w:p>
    <w:p>
      <w:pPr>
        <w:adjustRightInd w:val="0"/>
        <w:snapToGrid w:val="0"/>
        <w:spacing w:line="360" w:lineRule="auto"/>
        <w:ind w:firstLine="422" w:firstLineChars="200"/>
        <w:rPr>
          <w:rFonts w:ascii="宋体" w:hAnsi="宋体" w:cs="Arial"/>
          <w:b/>
          <w:bCs/>
          <w:i/>
          <w:iCs/>
          <w:szCs w:val="21"/>
        </w:rPr>
      </w:pPr>
      <w:r>
        <w:rPr>
          <w:rFonts w:hint="eastAsia" w:ascii="宋体" w:hAnsi="宋体" w:cs="Arial"/>
          <w:b/>
          <w:bCs/>
          <w:i/>
          <w:iCs/>
          <w:szCs w:val="21"/>
        </w:rPr>
        <w:t>争议处理期间，基金管理人、基金托管人应恪守基金管理人和基金托管人的职责，各自继续忠实、勤勉、尽责地履行基金合同和基金托管协议规定的义务，维护基金份额持有人的合法权益。</w:t>
      </w:r>
    </w:p>
    <w:p>
      <w:pPr>
        <w:adjustRightInd w:val="0"/>
        <w:snapToGrid w:val="0"/>
        <w:spacing w:line="360" w:lineRule="auto"/>
        <w:ind w:firstLine="422" w:firstLineChars="200"/>
        <w:rPr>
          <w:rFonts w:ascii="宋体" w:hAnsi="宋体" w:cs="Arial"/>
          <w:b/>
          <w:bCs/>
          <w:i/>
          <w:iCs/>
          <w:szCs w:val="21"/>
        </w:rPr>
      </w:pPr>
      <w:r>
        <w:rPr>
          <w:rFonts w:ascii="宋体" w:hAnsi="宋体" w:cs="Arial"/>
          <w:b/>
          <w:bCs/>
          <w:i/>
          <w:iCs/>
          <w:szCs w:val="21"/>
        </w:rPr>
        <w:t>本协议</w:t>
      </w:r>
      <w:r>
        <w:rPr>
          <w:rFonts w:hint="eastAsia" w:ascii="宋体" w:hAnsi="宋体" w:cs="Arial"/>
          <w:b/>
          <w:bCs/>
          <w:i/>
          <w:iCs/>
          <w:szCs w:val="21"/>
        </w:rPr>
        <w:t>受中国法律（为本协议之目的，在此不包括香港、澳门特别行政区和台湾地区法律）管辖</w:t>
      </w:r>
      <w:bookmarkStart w:id="167" w:name="_Hlk111393451"/>
      <w:r>
        <w:rPr>
          <w:rFonts w:hint="eastAsia" w:ascii="宋体" w:hAnsi="宋体" w:cs="Arial"/>
          <w:b/>
          <w:bCs/>
          <w:i/>
          <w:iCs/>
          <w:szCs w:val="21"/>
        </w:rPr>
        <w:t>并从其解释</w:t>
      </w:r>
      <w:bookmarkEnd w:id="167"/>
      <w:r>
        <w:rPr>
          <w:rFonts w:hint="eastAsia" w:ascii="宋体" w:hAnsi="宋体" w:cs="Arial"/>
          <w:b/>
          <w:bCs/>
          <w:i/>
          <w:iCs/>
          <w:szCs w:val="21"/>
        </w:rPr>
        <w:t>。</w:t>
      </w:r>
    </w:p>
    <w:p>
      <w:pPr>
        <w:adjustRightInd w:val="0"/>
        <w:snapToGrid w:val="0"/>
        <w:spacing w:line="360" w:lineRule="auto"/>
        <w:rPr>
          <w:rFonts w:ascii="宋体" w:hAnsi="宋体" w:cs="Arial"/>
          <w:szCs w:val="21"/>
        </w:rPr>
      </w:pPr>
    </w:p>
    <w:bookmarkEnd w:id="166"/>
    <w:p>
      <w:pPr>
        <w:adjustRightInd w:val="0"/>
        <w:snapToGrid w:val="0"/>
        <w:spacing w:line="360" w:lineRule="auto"/>
        <w:ind w:firstLine="420" w:firstLineChars="200"/>
        <w:rPr>
          <w:rFonts w:ascii="宋体" w:hAnsi="宋体"/>
        </w:rPr>
        <w:sectPr>
          <w:footerReference r:id="rId25"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168" w:name="_Toc384992709"/>
      <w:bookmarkStart w:id="169" w:name="_Toc501274931"/>
      <w:bookmarkStart w:id="170" w:name="_Toc348082047"/>
      <w:bookmarkStart w:id="171" w:name="CLAUSE_bd61e1ad3d7442c2af11a1c29fb62d9d"/>
      <w:r>
        <w:rPr>
          <w:rFonts w:hint="eastAsia" w:ascii="宋体" w:hAnsi="宋体" w:eastAsia="宋体"/>
          <w:sz w:val="21"/>
          <w:szCs w:val="21"/>
        </w:rPr>
        <w:t>十九、托管协议的效力</w:t>
      </w:r>
      <w:bookmarkEnd w:id="168"/>
      <w:bookmarkEnd w:id="169"/>
      <w:bookmarkEnd w:id="170"/>
    </w:p>
    <w:p>
      <w:pPr>
        <w:adjustRightInd w:val="0"/>
        <w:snapToGrid w:val="0"/>
        <w:spacing w:line="360" w:lineRule="auto"/>
        <w:ind w:firstLine="420" w:firstLineChars="200"/>
        <w:rPr>
          <w:rFonts w:ascii="宋体" w:hAnsi="宋体" w:cs="Arial"/>
          <w:szCs w:val="21"/>
        </w:rPr>
      </w:pPr>
      <w:r>
        <w:rPr>
          <w:rFonts w:hint="eastAsia" w:ascii="宋体" w:hAnsi="宋体" w:cs="Arial"/>
          <w:szCs w:val="21"/>
        </w:rPr>
        <w:t>双方对托管协议的效力约定如下：</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（一）基金管理人在向中国证监会申请发售基金份额时提交的托管协议草案，应经托管协议当事人双方加盖公章（或合同专用</w:t>
      </w:r>
      <w:bookmarkStart w:id="182" w:name="_GoBack"/>
      <w:bookmarkEnd w:id="182"/>
      <w:r>
        <w:rPr>
          <w:rFonts w:hint="eastAsia" w:ascii="宋体" w:hAnsi="宋体" w:cs="Arial"/>
          <w:szCs w:val="21"/>
        </w:rPr>
        <w:t>章）以及双方法定代表人或授权代表</w:t>
      </w:r>
      <w:r>
        <w:rPr>
          <w:rFonts w:hint="eastAsia" w:asciiTheme="minorEastAsia" w:hAnsiTheme="minorEastAsia" w:eastAsiaTheme="minorEastAsia"/>
        </w:rPr>
        <w:t>签字（或盖章）</w:t>
      </w:r>
      <w:r>
        <w:rPr>
          <w:rFonts w:hint="eastAsia" w:ascii="宋体" w:hAnsi="宋体" w:cs="Arial"/>
          <w:szCs w:val="21"/>
        </w:rPr>
        <w:t>，协议当事人双方根据中国证监会的意见修改并正式签署托管协议。托管协议以中国证监会注册的文本为正式文本。</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（二）托管协议自基金合同成立之日起成立，自基金合同生效之日起生效。托管协议的有效期自其生效之日起至基金财产清算结果报中国证监会备案并公告之日止。</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（三）托管协议自生效之日起对托管协议当事人具有同等的法律约束力。</w:t>
      </w:r>
    </w:p>
    <w:p>
      <w:pPr>
        <w:adjustRightInd w:val="0"/>
        <w:snapToGrid w:val="0"/>
        <w:spacing w:line="360" w:lineRule="auto"/>
        <w:ind w:firstLine="420" w:firstLineChars="200"/>
        <w:rPr>
          <w:rFonts w:ascii="宋体" w:hAnsi="宋体"/>
          <w:szCs w:val="21"/>
        </w:rPr>
      </w:pPr>
      <w:r>
        <w:rPr>
          <w:rFonts w:hint="eastAsia" w:ascii="宋体" w:hAnsi="宋体" w:cs="Arial"/>
          <w:szCs w:val="21"/>
        </w:rPr>
        <w:t>（四）本协议一式</w:t>
      </w:r>
      <w:r>
        <w:rPr>
          <w:rFonts w:hint="eastAsia"/>
          <w:szCs w:val="21"/>
        </w:rPr>
        <w:t>三</w:t>
      </w:r>
      <w:r>
        <w:rPr>
          <w:rFonts w:hint="eastAsia" w:ascii="宋体" w:hAnsi="宋体" w:cs="Arial"/>
          <w:szCs w:val="21"/>
        </w:rPr>
        <w:t>份，协议双方各持一份，由基金管理人根据需要上报监管机构一份，每份具有同等法律效力。</w:t>
      </w:r>
    </w:p>
    <w:p>
      <w:pPr>
        <w:adjustRightInd w:val="0"/>
        <w:snapToGrid w:val="0"/>
        <w:spacing w:line="360" w:lineRule="auto"/>
        <w:rPr>
          <w:rFonts w:ascii="宋体" w:hAnsi="宋体" w:cs="Arial"/>
          <w:szCs w:val="21"/>
        </w:rPr>
      </w:pPr>
    </w:p>
    <w:bookmarkEnd w:id="171"/>
    <w:p>
      <w:pPr>
        <w:adjustRightInd w:val="0"/>
        <w:snapToGrid w:val="0"/>
        <w:spacing w:line="360" w:lineRule="auto"/>
        <w:ind w:firstLine="420" w:firstLineChars="200"/>
        <w:rPr>
          <w:rFonts w:ascii="宋体" w:hAnsi="宋体"/>
        </w:rPr>
        <w:sectPr>
          <w:footerReference r:id="rId26" w:type="default"/>
          <w:pgSz w:w="11906" w:h="16838"/>
          <w:pgMar w:top="1418" w:right="1701" w:bottom="1418" w:left="1701" w:header="851" w:footer="992" w:gutter="0"/>
          <w:pgNumType w:start="1"/>
          <w:cols w:space="425" w:num="1"/>
          <w:docGrid w:type="lines" w:linePitch="312" w:charSpace="0"/>
        </w:sectPr>
      </w:pPr>
    </w:p>
    <w:p>
      <w:pPr>
        <w:pStyle w:val="3"/>
        <w:spacing w:before="312" w:beforeLines="100" w:after="156" w:afterLines="50" w:line="360" w:lineRule="auto"/>
        <w:jc w:val="center"/>
        <w:rPr>
          <w:rFonts w:ascii="宋体" w:hAnsi="宋体" w:eastAsia="宋体"/>
          <w:sz w:val="21"/>
          <w:szCs w:val="21"/>
        </w:rPr>
      </w:pPr>
      <w:bookmarkStart w:id="172" w:name="_Toc348082048"/>
      <w:bookmarkStart w:id="173" w:name="_Toc384992710"/>
      <w:bookmarkStart w:id="174" w:name="_Toc501274932"/>
      <w:bookmarkStart w:id="175" w:name="CLAUSE_55e0544775f44d35936dd3d8360c537d"/>
      <w:r>
        <w:rPr>
          <w:rFonts w:hint="eastAsia" w:ascii="宋体" w:hAnsi="宋体" w:eastAsia="宋体"/>
          <w:sz w:val="21"/>
          <w:szCs w:val="21"/>
        </w:rPr>
        <w:t>二十、其他事项</w:t>
      </w:r>
      <w:bookmarkEnd w:id="172"/>
      <w:bookmarkEnd w:id="173"/>
      <w:bookmarkEnd w:id="174"/>
    </w:p>
    <w:p>
      <w:pPr>
        <w:adjustRightInd w:val="0"/>
        <w:snapToGrid w:val="0"/>
        <w:spacing w:line="360" w:lineRule="auto"/>
        <w:ind w:firstLine="420" w:firstLineChars="200"/>
        <w:rPr>
          <w:rFonts w:ascii="宋体" w:hAnsi="宋体" w:cs="Arial"/>
          <w:szCs w:val="21"/>
        </w:rPr>
      </w:pPr>
      <w:r>
        <w:rPr>
          <w:rFonts w:hint="eastAsia" w:ascii="宋体" w:hAnsi="宋体" w:cs="Arial"/>
          <w:szCs w:val="21"/>
        </w:rPr>
        <w:t>如发生有权司法机关依法冻结基金份额持有人的基金份额时，基金管理人应予以配合，承担司法协助义务。</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除本协议有明确定义外，本协议的用语定义适用基金合同的约定。本协议未尽事宜，当事人依据基金合同、有关法律法规等规定协商办理。</w:t>
      </w:r>
    </w:p>
    <w:p>
      <w:pPr>
        <w:adjustRightInd w:val="0"/>
        <w:snapToGrid w:val="0"/>
        <w:spacing w:line="360" w:lineRule="auto"/>
        <w:rPr>
          <w:rFonts w:ascii="宋体" w:hAnsi="宋体"/>
          <w:bCs/>
          <w:szCs w:val="21"/>
        </w:rPr>
      </w:pPr>
      <w:r>
        <w:rPr>
          <w:rFonts w:hint="eastAsia" w:ascii="宋体" w:hAnsi="宋体"/>
          <w:bCs/>
          <w:szCs w:val="21"/>
        </w:rPr>
        <w:t>本协议附件构成本协议不可分割的组成部分。</w:t>
      </w:r>
    </w:p>
    <w:bookmarkEnd w:id="175"/>
    <w:p>
      <w:pPr>
        <w:adjustRightInd w:val="0"/>
        <w:snapToGrid w:val="0"/>
        <w:spacing w:line="360" w:lineRule="auto"/>
        <w:rPr>
          <w:rFonts w:ascii="宋体" w:hAnsi="宋体"/>
        </w:rPr>
        <w:sectPr>
          <w:footerReference r:id="rId27" w:type="default"/>
          <w:pgSz w:w="11906" w:h="16838"/>
          <w:pgMar w:top="1418" w:right="1701" w:bottom="1418" w:left="1701" w:header="851" w:footer="992" w:gutter="0"/>
          <w:pgNumType w:start="1"/>
          <w:cols w:space="425" w:num="1"/>
          <w:docGrid w:type="lines" w:linePitch="312" w:charSpace="0"/>
        </w:sectPr>
      </w:pPr>
    </w:p>
    <w:p>
      <w:pPr>
        <w:pStyle w:val="3"/>
        <w:spacing w:before="240" w:beforeLines="100" w:after="120" w:afterLines="50" w:line="360" w:lineRule="auto"/>
        <w:jc w:val="center"/>
        <w:rPr>
          <w:rFonts w:ascii="宋体" w:hAnsi="宋体" w:eastAsia="宋体"/>
          <w:sz w:val="21"/>
          <w:szCs w:val="21"/>
        </w:rPr>
      </w:pPr>
      <w:bookmarkStart w:id="176" w:name="_Toc384992711"/>
      <w:bookmarkStart w:id="177" w:name="_Toc348082049"/>
      <w:bookmarkStart w:id="178" w:name="_Toc501274933"/>
      <w:bookmarkStart w:id="179" w:name="CLAUSE_e01de328f1cb48af8fe71faaa1b867d4"/>
      <w:r>
        <w:rPr>
          <w:rFonts w:hint="eastAsia" w:ascii="宋体" w:hAnsi="宋体" w:eastAsia="宋体"/>
          <w:sz w:val="21"/>
          <w:szCs w:val="21"/>
        </w:rPr>
        <w:t>二十一、托管协议的签订</w:t>
      </w:r>
      <w:bookmarkEnd w:id="176"/>
      <w:bookmarkEnd w:id="177"/>
      <w:bookmarkEnd w:id="178"/>
    </w:p>
    <w:p>
      <w:pPr>
        <w:adjustRightInd w:val="0"/>
        <w:snapToGrid w:val="0"/>
        <w:spacing w:line="360" w:lineRule="auto"/>
        <w:ind w:right="134" w:rightChars="64" w:firstLine="420" w:firstLineChars="200"/>
        <w:rPr>
          <w:rFonts w:ascii="宋体" w:hAnsi="宋体" w:cs="Arial"/>
          <w:szCs w:val="21"/>
        </w:rPr>
      </w:pPr>
      <w:r>
        <w:rPr>
          <w:rFonts w:hint="eastAsia" w:ascii="宋体" w:hAnsi="宋体" w:cs="Arial"/>
          <w:szCs w:val="21"/>
        </w:rPr>
        <w:t>本协议双方法定代表人或授权代表签章、签订地、签订日。</w:t>
      </w:r>
    </w:p>
    <w:bookmarkEnd w:id="179"/>
    <w:p>
      <w:pPr>
        <w:widowControl/>
        <w:jc w:val="left"/>
        <w:rPr>
          <w:rFonts w:ascii="宋体" w:hAnsi="宋体" w:cs="Arial"/>
          <w:szCs w:val="21"/>
        </w:rPr>
        <w:sectPr>
          <w:footerReference r:id="rId28" w:type="default"/>
          <w:pgSz w:w="12240" w:h="15840"/>
          <w:pgMar w:top="1440" w:right="1800" w:bottom="1440" w:left="1800" w:header="720" w:footer="720" w:gutter="0"/>
          <w:pgNumType w:start="1"/>
          <w:cols w:space="720" w:num="1"/>
        </w:sectPr>
      </w:pPr>
    </w:p>
    <w:p>
      <w:pPr>
        <w:widowControl/>
        <w:spacing w:before="100" w:beforeAutospacing="1" w:after="100" w:afterAutospacing="1" w:line="360" w:lineRule="auto"/>
        <w:ind w:firstLine="482"/>
        <w:jc w:val="left"/>
        <w:rPr>
          <w:rFonts w:ascii="宋体" w:hAnsi="宋体" w:cs="Arial"/>
          <w:szCs w:val="21"/>
        </w:rPr>
      </w:pPr>
      <w:bookmarkStart w:id="180" w:name="CTS_b968cbd4b7614f009b576812cde98ac9"/>
      <w:bookmarkEnd w:id="180"/>
      <w:bookmarkStart w:id="181" w:name="CLAUSE_b968cbd4b7614f009b576812cde98ac9"/>
      <w:r>
        <w:rPr>
          <w:rFonts w:hint="eastAsia" w:ascii="宋体" w:hAnsi="宋体" w:cs="Arial"/>
          <w:szCs w:val="21"/>
        </w:rPr>
        <w:t>附件：托管银行证券资金结算规定</w:t>
      </w:r>
    </w:p>
    <w:p>
      <w:pPr>
        <w:widowControl/>
        <w:spacing w:before="100" w:beforeAutospacing="1" w:after="100" w:afterAutospacing="1" w:line="360" w:lineRule="auto"/>
        <w:ind w:firstLine="482"/>
        <w:jc w:val="left"/>
        <w:rPr>
          <w:rFonts w:ascii="宋体" w:hAnsi="宋体" w:cs="Arial"/>
          <w:szCs w:val="21"/>
        </w:rPr>
      </w:pP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一条资产托管人系经中国银保监会、中国证监会及其他相关部门核准具备证券投资基金、保险资产、企业年金基金以及其他与结算公司结算业务相关的托管业务资格的商业银行；资产管理人系经中国证监会、中国银保监会批准设立的证券公司、基金管理公司、保险公司、保险资产管理公司等投资管理机构。。</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二条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第三条资产管理人和资产托管人同意遵守结算公司制定的业务规则。</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第四条多边净额结算方式下，证券和资金结算实行分级结算原则。资产托管人负责办理与结算公司之间证券和资金的一级清算交收；同时负责办理与资产管理人之间证券和资金的二级清算交收。</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第五条资产托管人依据交易清算日（T日）清算结果，按照结算业务规则，与结算公司完成最终不可撤销的证券与资金交收处理；同时在规定时限内，与资产管理人完成不可撤销的证券、资金交收处理。</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第六条资产管理人管理资产交收违约应遵循谁过错谁赔偿的原则。</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（一）因资产管理人头寸匡算错误等资产管理人原因导致的交收违约实际损失，由资产管理人承担。</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（二）因资产托管人操作失误等资产托管人原因导致的交收违约实际损失，由资产托管人承担。</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（三）由第三方过错导致的交收违约损失，按照最大程度保护资产管理人管理托管资产持有人合法权益的原则，由双方协商处理，并由双方共同承担向第三方追偿的责任。</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若资产管理人过错且利用自有资金或按照中国证监会规定使用风险准备金垫付资金交收透支，由此产生的收益归托管资产，由此产生的实际损失由资产管理人承担。</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七条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非交易涉及的资金和证券交收业务。</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八条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若资产管理人管理资产结算备付金账户日末余额低于其最低结算备付金限额的，资产管理人应于规定时间内补足款项。</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第九条资产托管人收到结算公司按照与结算银行商定利率计付的结算备付金（含最低备付金）、结算保证金等资金利息后，于收息当日向资产管理人管理资产支付。</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十条资产托管人于交易清算日（T日），根据结算公司按照证券交易成交结果计算的资金清算数据和证券清算数据以及非交易清算数据，分别用以计算资产管理人管理资产资金和证券的应收或应付净额，形成资产管理人当日交易清算结果。资产托管人应及时、高效、安全地完成托管资产的证券交易资金清算交收，对于结算公司已退还各托管资产的交收资金应及时计入各托管资产的银行账户。</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第十一条资产托管人完成托管资产清算后，对于交收日可能发生透支的情况，应及时与资产管理人沟通。</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资产托管人于交收日（T+1日）根据交易所或结算公司数据计算的资产管理人T日交易清算结果，完成资产管理人管理资产资金、证券的交收。</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十二条资产管理人对资产托管人提供的清算数据存有异议，应及时与资产托管人沟通，但资产管理人不得因此拒绝履行或延迟履行当日的交收义务。经双方核实，确属资产托管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第十三条　为确保资产托管人与结算公司的正常交收，不影响资产托管人所有托管资产的正常运作，正常情况下，交易日（T日）日终资产管理人应保证其管理的各托管资产资金账户有足够的资金可完成与结算公司于交收日（T+1日）的资金交收。</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十四条若资产管理人管理资产资金账户T日余额无法满足T+1日交收要求时，资产管理人应按照《托管协议》或操作备忘录中约定的时点补足金额，未有约定的，应于T+1日12：00前补足金额，确保资产托管人及时完成清算交收。对于创新产品，补足金额的时点可在托管协议或其他文件中约定。</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第十五条资产管理人未按本规定第十四条约定时限补足透支金额，其行为构成资产管理人资金交收违约，资产托管人依法按以下方式处理，且资产管理人应予以配合：</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一）资产管理人应在不晚于结算公司规定的时点前两个小时向资产托管人书面指定托管资产证券账户内相当于透支金额价值120%的证券（按照前一交易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二）资产管理人于T+2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（三）证券处置产生的资金，如相关交易尚未完成交收的，应首先用于完成交收，不足部分资产管理人及时补足。</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十六条资产管理人知晓并确认，资产管理人管理资产中用于融资回购的债券将作为资产托管人相关结算备付金账户偿还融资回购到期购回款的质押券，若资产管理人债券回购交收违约，结算公司依法对质押券进行处置，但须及时书面通知资产管理人。资产管理人应就债券回购交收违约后结算公司对质押券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第十七条　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第十八条因资产管理人原因发生资金交收违约时，资产托管人依法采取以下风险管理措施，但须提前书面通知资产管理人：</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（一）</w:t>
      </w:r>
      <w:r>
        <w:rPr>
          <w:rFonts w:hint="eastAsia" w:ascii="宋体" w:hAnsi="宋体" w:cs="Arial"/>
          <w:szCs w:val="21"/>
        </w:rPr>
        <w:tab/>
      </w:r>
      <w:r>
        <w:rPr>
          <w:rFonts w:hint="eastAsia" w:ascii="宋体" w:hAnsi="宋体" w:cs="Arial"/>
          <w:szCs w:val="21"/>
        </w:rPr>
        <w:t>按照结算公司标准计收违约资金的利息和违约金；</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（二）</w:t>
      </w:r>
      <w:r>
        <w:rPr>
          <w:rFonts w:hint="eastAsia" w:ascii="宋体" w:hAnsi="宋体" w:cs="Arial"/>
          <w:szCs w:val="21"/>
        </w:rPr>
        <w:tab/>
      </w:r>
      <w:r>
        <w:rPr>
          <w:rFonts w:hint="eastAsia" w:ascii="宋体" w:hAnsi="宋体" w:cs="Arial"/>
          <w:szCs w:val="21"/>
        </w:rPr>
        <w:t>按结算公司标准调高资产管理人管理资产的最低备付金或结算保证金比例；</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（三）</w:t>
      </w:r>
      <w:r>
        <w:rPr>
          <w:rFonts w:hint="eastAsia" w:ascii="宋体" w:hAnsi="宋体" w:cs="Arial"/>
          <w:szCs w:val="21"/>
        </w:rPr>
        <w:tab/>
      </w:r>
      <w:r>
        <w:rPr>
          <w:rFonts w:hint="eastAsia" w:ascii="宋体" w:hAnsi="宋体" w:cs="Arial"/>
          <w:szCs w:val="21"/>
        </w:rPr>
        <w:t>报告监管部门及结算公司；</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（四）</w:t>
      </w:r>
      <w:r>
        <w:rPr>
          <w:rFonts w:hint="eastAsia" w:ascii="宋体" w:hAnsi="宋体" w:cs="Arial"/>
          <w:szCs w:val="21"/>
        </w:rPr>
        <w:tab/>
      </w:r>
      <w:r>
        <w:rPr>
          <w:rFonts w:hint="eastAsia" w:ascii="宋体" w:hAnsi="宋体" w:cs="Arial"/>
          <w:szCs w:val="21"/>
        </w:rPr>
        <w:t>按照结算公司业务规则向结算公司申报暂停资产管理人的相关结算业务；</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（五）</w:t>
      </w:r>
      <w:r>
        <w:rPr>
          <w:rFonts w:hint="eastAsia" w:ascii="宋体" w:hAnsi="宋体" w:cs="Arial"/>
          <w:szCs w:val="21"/>
        </w:rPr>
        <w:tab/>
      </w:r>
      <w:r>
        <w:rPr>
          <w:rFonts w:hint="eastAsia" w:ascii="宋体" w:hAnsi="宋体" w:cs="Arial"/>
          <w:szCs w:val="21"/>
        </w:rPr>
        <w:t>根据监管部门或结算公司要求采取的其他措施。</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第十九条　如因资产管理人原因造成资产托管人对结算公司出现违约情形时，结算公司实施相关风险管理措施引发的后果由资产管理人自行承担，由此造成资产管理人管理资产及资产托管人实际损失，资产管理人应负责赔偿。</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如因资产托管人原因造成未及时将资产管理人应收资金支付给资产管理人或未及时委托证券登记结算机构将资产管理人应收证券划付到资产管理人证券账户的，资产托管人应当对资产管理人承担违约责任；如因资产托管人原因造成对结算公司交收违约的，相应后果由资产托管人承担。以上造成的托管资产及资产管理人的实际损失，资产托管人应负责赔偿。</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二十条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二十一条如果协议的一方或双方因不可抗力不能履行本规定时，可根据不可抗力的影响部分或全部免除责任。不可抗力是指资产托管人或资产管理人不能预见、不可避免、不能克服的客观情况。任何一方因不可抗力不能履行本规定时，应及时通知对方并在合理期限内提供受到不可抗力影响的证明，并采取适当措施防止损失的扩大。</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第二十二条本规定适用于现在及以后由资产管理人管理、资产托管人托管的所有业务品种。</w:t>
      </w:r>
    </w:p>
    <w:p>
      <w:pPr>
        <w:widowControl/>
        <w:spacing w:before="100" w:beforeAutospacing="1" w:after="100" w:afterAutospacing="1" w:line="360" w:lineRule="auto"/>
        <w:ind w:firstLine="482"/>
        <w:jc w:val="left"/>
        <w:rPr>
          <w:rFonts w:ascii="宋体" w:hAnsi="宋体" w:cs="Arial"/>
          <w:szCs w:val="21"/>
        </w:rPr>
      </w:pPr>
      <w:r>
        <w:rPr>
          <w:rFonts w:hint="eastAsia" w:ascii="宋体" w:hAnsi="宋体" w:cs="Arial"/>
          <w:szCs w:val="21"/>
        </w:rPr>
        <w:t>第二十三条本规定有效期间，若因法律法规、结算公司业务规则发生变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bookmarkEnd w:id="181"/>
      <w:r>
        <w:rPr>
          <w:rFonts w:hint="eastAsia" w:ascii="宋体" w:hAnsi="宋体" w:cs="Arial"/>
          <w:szCs w:val="21"/>
          <w:lang w:eastAsia="zh-CN"/>
        </w:rPr>
        <w:t>。</w:t>
      </w:r>
    </w:p>
    <w:sectPr>
      <w:footerReference r:id="rId29" w:type="default"/>
      <w:pgSz w:w="12240" w:h="15840"/>
      <w:pgMar w:top="1440" w:right="1800" w:bottom="1440" w:left="180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等线"/>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9"/>
      </w:rPr>
    </w:pPr>
    <w:r>
      <w:rPr>
        <w:rStyle w:val="29"/>
      </w:rPr>
      <w:fldChar w:fldCharType="begin"/>
    </w:r>
    <w:r>
      <w:rPr>
        <w:rStyle w:val="29"/>
      </w:rPr>
      <w:instrText xml:space="preserve">PAGE  </w:instrText>
    </w:r>
    <w:r>
      <w:rPr>
        <w:rStyle w:val="29"/>
      </w:rPr>
      <w:fldChar w:fldCharType="end"/>
    </w:r>
  </w:p>
  <w:p>
    <w:pPr>
      <w:pStyle w:val="1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4774214"/>
    </w:sdtPr>
    <w:sdtContent>
      <w:p>
        <w:pPr>
          <w:pStyle w:val="15"/>
          <w:jc w:val="center"/>
        </w:pPr>
        <w:r>
          <w:rPr>
            <w:rFonts w:hint="eastAsia"/>
          </w:rPr>
          <w:t>7-</w:t>
        </w:r>
        <w:r>
          <w:fldChar w:fldCharType="begin"/>
        </w:r>
        <w:r>
          <w:instrText xml:space="preserve">PAGE   \* MERGEFORMAT</w:instrText>
        </w:r>
        <w:r>
          <w:fldChar w:fldCharType="separate"/>
        </w:r>
        <w:r>
          <w:rPr>
            <w:lang w:val="zh-CN"/>
          </w:rPr>
          <w:t>3</w:t>
        </w:r>
        <w:r>
          <w:fldChar w:fldCharType="end"/>
        </w:r>
      </w:p>
    </w:sdtContent>
  </w:sdt>
  <w:p>
    <w:pPr>
      <w:pStyle w:val="1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2804143"/>
    </w:sdtPr>
    <w:sdtContent>
      <w:p>
        <w:pPr>
          <w:pStyle w:val="15"/>
          <w:jc w:val="center"/>
        </w:pPr>
        <w:r>
          <w:rPr>
            <w:rFonts w:hint="eastAsia"/>
          </w:rPr>
          <w:t>8-</w:t>
        </w:r>
        <w:r>
          <w:fldChar w:fldCharType="begin"/>
        </w:r>
        <w:r>
          <w:instrText xml:space="preserve">PAGE   \* MERGEFORMAT</w:instrText>
        </w:r>
        <w:r>
          <w:fldChar w:fldCharType="separate"/>
        </w:r>
        <w:r>
          <w:rPr>
            <w:lang w:val="zh-CN"/>
          </w:rPr>
          <w:t>2</w:t>
        </w:r>
        <w:r>
          <w:fldChar w:fldCharType="end"/>
        </w:r>
      </w:p>
    </w:sdtContent>
  </w:sdt>
  <w:p>
    <w:pPr>
      <w:pStyle w:val="1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850023"/>
    </w:sdtPr>
    <w:sdtContent>
      <w:p>
        <w:pPr>
          <w:pStyle w:val="15"/>
          <w:jc w:val="center"/>
        </w:pPr>
        <w:r>
          <w:rPr>
            <w:rFonts w:hint="eastAsia"/>
          </w:rPr>
          <w:t>9-</w:t>
        </w:r>
        <w:r>
          <w:fldChar w:fldCharType="begin"/>
        </w:r>
        <w:r>
          <w:instrText xml:space="preserve">PAGE   \* MERGEFORMAT</w:instrText>
        </w:r>
        <w:r>
          <w:fldChar w:fldCharType="separate"/>
        </w:r>
        <w:r>
          <w:rPr>
            <w:lang w:val="zh-CN"/>
          </w:rPr>
          <w:t>1</w:t>
        </w:r>
        <w:r>
          <w:fldChar w:fldCharType="end"/>
        </w:r>
      </w:p>
    </w:sdtContent>
  </w:sdt>
  <w:p>
    <w:pPr>
      <w:pStyle w:val="1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8543948"/>
    </w:sdtPr>
    <w:sdtContent>
      <w:p>
        <w:pPr>
          <w:pStyle w:val="15"/>
          <w:jc w:val="center"/>
        </w:pPr>
        <w:r>
          <w:rPr>
            <w:rFonts w:hint="eastAsia"/>
          </w:rPr>
          <w:t>10-</w:t>
        </w:r>
        <w:r>
          <w:fldChar w:fldCharType="begin"/>
        </w:r>
        <w:r>
          <w:instrText xml:space="preserve">PAGE   \* MERGEFORMAT</w:instrText>
        </w:r>
        <w:r>
          <w:fldChar w:fldCharType="separate"/>
        </w:r>
        <w:r>
          <w:rPr>
            <w:lang w:val="zh-CN"/>
          </w:rPr>
          <w:t>2</w:t>
        </w:r>
        <w:r>
          <w:fldChar w:fldCharType="end"/>
        </w:r>
      </w:p>
    </w:sdtContent>
  </w:sdt>
  <w:p>
    <w:pPr>
      <w:pStyle w:val="1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5875105"/>
    </w:sdtPr>
    <w:sdtContent>
      <w:p>
        <w:pPr>
          <w:pStyle w:val="15"/>
          <w:jc w:val="center"/>
        </w:pPr>
        <w:r>
          <w:rPr>
            <w:rFonts w:hint="eastAsia"/>
          </w:rPr>
          <w:t>1</w:t>
        </w:r>
        <w:r>
          <w:t>1</w:t>
        </w:r>
        <w:r>
          <w:rPr>
            <w:rFonts w:hint="eastAsia"/>
          </w:rPr>
          <w:t>-</w:t>
        </w:r>
        <w:r>
          <w:fldChar w:fldCharType="begin"/>
        </w:r>
        <w:r>
          <w:instrText xml:space="preserve">PAGE   \* MERGEFORMAT</w:instrText>
        </w:r>
        <w:r>
          <w:fldChar w:fldCharType="separate"/>
        </w:r>
        <w:r>
          <w:rPr>
            <w:lang w:val="zh-CN"/>
          </w:rPr>
          <w:t>1</w:t>
        </w:r>
        <w:r>
          <w:fldChar w:fldCharType="end"/>
        </w:r>
      </w:p>
    </w:sdtContent>
  </w:sdt>
  <w:p>
    <w:pPr>
      <w:pStyle w:val="1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9757331"/>
    </w:sdtPr>
    <w:sdtContent>
      <w:p>
        <w:pPr>
          <w:pStyle w:val="15"/>
          <w:jc w:val="center"/>
        </w:pPr>
        <w:r>
          <w:rPr>
            <w:rFonts w:hint="eastAsia"/>
          </w:rPr>
          <w:t>1</w:t>
        </w:r>
        <w:r>
          <w:t>2</w:t>
        </w:r>
        <w:r>
          <w:rPr>
            <w:rFonts w:hint="eastAsia"/>
          </w:rPr>
          <w:t>-</w:t>
        </w:r>
        <w:r>
          <w:fldChar w:fldCharType="begin"/>
        </w:r>
        <w:r>
          <w:instrText xml:space="preserve">PAGE   \* MERGEFORMAT</w:instrText>
        </w:r>
        <w:r>
          <w:fldChar w:fldCharType="separate"/>
        </w:r>
        <w:r>
          <w:rPr>
            <w:lang w:val="zh-CN"/>
          </w:rPr>
          <w:t>1</w:t>
        </w:r>
        <w:r>
          <w:fldChar w:fldCharType="end"/>
        </w:r>
      </w:p>
    </w:sdtContent>
  </w:sdt>
  <w:p>
    <w:pPr>
      <w:pStyle w:val="15"/>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7409470"/>
    </w:sdtPr>
    <w:sdtContent>
      <w:p>
        <w:pPr>
          <w:pStyle w:val="15"/>
          <w:jc w:val="center"/>
        </w:pPr>
        <w:r>
          <w:rPr>
            <w:rFonts w:hint="eastAsia"/>
          </w:rPr>
          <w:t>13-</w:t>
        </w:r>
        <w:r>
          <w:fldChar w:fldCharType="begin"/>
        </w:r>
        <w:r>
          <w:instrText xml:space="preserve">PAGE   \* MERGEFORMAT</w:instrText>
        </w:r>
        <w:r>
          <w:fldChar w:fldCharType="separate"/>
        </w:r>
        <w:r>
          <w:rPr>
            <w:lang w:val="zh-CN"/>
          </w:rPr>
          <w:t>1</w:t>
        </w:r>
        <w:r>
          <w:fldChar w:fldCharType="end"/>
        </w:r>
      </w:p>
    </w:sdtContent>
  </w:sdt>
  <w:p>
    <w:pPr>
      <w:pStyle w:val="1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6362021"/>
    </w:sdtPr>
    <w:sdtContent>
      <w:p>
        <w:pPr>
          <w:pStyle w:val="15"/>
          <w:jc w:val="center"/>
        </w:pPr>
        <w:r>
          <w:rPr>
            <w:rFonts w:hint="eastAsia"/>
          </w:rPr>
          <w:t>14-</w:t>
        </w:r>
        <w:r>
          <w:fldChar w:fldCharType="begin"/>
        </w:r>
        <w:r>
          <w:instrText xml:space="preserve">PAGE   \* MERGEFORMAT</w:instrText>
        </w:r>
        <w:r>
          <w:fldChar w:fldCharType="separate"/>
        </w:r>
        <w:r>
          <w:rPr>
            <w:lang w:val="zh-CN"/>
          </w:rPr>
          <w:t>1</w:t>
        </w:r>
        <w:r>
          <w:fldChar w:fldCharType="end"/>
        </w:r>
      </w:p>
    </w:sdtContent>
  </w:sdt>
  <w:p>
    <w:pPr>
      <w:pStyle w:val="1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8906789"/>
    </w:sdtPr>
    <w:sdtContent>
      <w:p>
        <w:pPr>
          <w:pStyle w:val="15"/>
          <w:jc w:val="center"/>
        </w:pPr>
        <w:r>
          <w:rPr>
            <w:rFonts w:hint="eastAsia"/>
          </w:rPr>
          <w:t>15-</w:t>
        </w:r>
        <w:r>
          <w:fldChar w:fldCharType="begin"/>
        </w:r>
        <w:r>
          <w:instrText xml:space="preserve">PAGE   \* MERGEFORMAT</w:instrText>
        </w:r>
        <w:r>
          <w:fldChar w:fldCharType="separate"/>
        </w:r>
        <w:r>
          <w:rPr>
            <w:lang w:val="zh-CN"/>
          </w:rPr>
          <w:t>1</w:t>
        </w:r>
        <w:r>
          <w:fldChar w:fldCharType="end"/>
        </w:r>
      </w:p>
    </w:sdtContent>
  </w:sdt>
  <w:p>
    <w:pPr>
      <w:pStyle w:val="1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5294308"/>
    </w:sdtPr>
    <w:sdtContent>
      <w:p>
        <w:pPr>
          <w:pStyle w:val="15"/>
          <w:jc w:val="center"/>
        </w:pPr>
        <w:r>
          <w:rPr>
            <w:rFonts w:hint="eastAsia"/>
          </w:rPr>
          <w:t>16-</w:t>
        </w:r>
        <w:r>
          <w:fldChar w:fldCharType="begin"/>
        </w:r>
        <w:r>
          <w:instrText xml:space="preserve">PAGE   \* MERGEFORMAT</w:instrText>
        </w:r>
        <w:r>
          <w:fldChar w:fldCharType="separate"/>
        </w:r>
        <w:r>
          <w:rPr>
            <w:lang w:val="zh-CN"/>
          </w:rPr>
          <w:t>1</w:t>
        </w:r>
        <w:r>
          <w:fldChar w:fldCharType="end"/>
        </w: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0097920"/>
    </w:sdtPr>
    <w:sdtContent>
      <w:p>
        <w:pPr>
          <w:pStyle w:val="15"/>
          <w:jc w:val="center"/>
        </w:pPr>
        <w:r>
          <w:rPr>
            <w:rFonts w:hint="eastAsia"/>
          </w:rPr>
          <w:t>17-</w:t>
        </w:r>
        <w:r>
          <w:fldChar w:fldCharType="begin"/>
        </w:r>
        <w:r>
          <w:instrText xml:space="preserve">PAGE   \* MERGEFORMAT</w:instrText>
        </w:r>
        <w:r>
          <w:fldChar w:fldCharType="separate"/>
        </w:r>
        <w:r>
          <w:rPr>
            <w:lang w:val="zh-CN"/>
          </w:rPr>
          <w:t>1</w:t>
        </w:r>
        <w:r>
          <w:fldChar w:fldCharType="end"/>
        </w:r>
      </w:p>
    </w:sdtContent>
  </w:sdt>
  <w:p>
    <w:pPr>
      <w:pStyle w:val="15"/>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5817132"/>
    </w:sdtPr>
    <w:sdtContent>
      <w:p>
        <w:pPr>
          <w:pStyle w:val="15"/>
          <w:jc w:val="center"/>
        </w:pPr>
        <w:r>
          <w:rPr>
            <w:rFonts w:hint="eastAsia"/>
          </w:rPr>
          <w:t>18-</w:t>
        </w:r>
        <w:r>
          <w:fldChar w:fldCharType="begin"/>
        </w:r>
        <w:r>
          <w:instrText xml:space="preserve">PAGE   \* MERGEFORMAT</w:instrText>
        </w:r>
        <w:r>
          <w:fldChar w:fldCharType="separate"/>
        </w:r>
        <w:r>
          <w:rPr>
            <w:lang w:val="zh-CN"/>
          </w:rPr>
          <w:t>1</w:t>
        </w:r>
        <w:r>
          <w:fldChar w:fldCharType="end"/>
        </w:r>
      </w:p>
    </w:sdtContent>
  </w:sdt>
  <w:p>
    <w:pPr>
      <w:pStyle w:val="15"/>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7924746"/>
    </w:sdtPr>
    <w:sdtContent>
      <w:p>
        <w:pPr>
          <w:pStyle w:val="15"/>
          <w:jc w:val="center"/>
        </w:pPr>
        <w:r>
          <w:rPr>
            <w:rFonts w:hint="eastAsia"/>
          </w:rPr>
          <w:t>19-</w:t>
        </w:r>
        <w:r>
          <w:fldChar w:fldCharType="begin"/>
        </w:r>
        <w:r>
          <w:instrText xml:space="preserve">PAGE   \* MERGEFORMAT</w:instrText>
        </w:r>
        <w:r>
          <w:fldChar w:fldCharType="separate"/>
        </w:r>
        <w:r>
          <w:rPr>
            <w:lang w:val="zh-CN"/>
          </w:rPr>
          <w:t>1</w:t>
        </w:r>
        <w:r>
          <w:fldChar w:fldCharType="end"/>
        </w:r>
      </w:p>
    </w:sdtContent>
  </w:sdt>
  <w:p>
    <w:pPr>
      <w:pStyle w:val="15"/>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3622073"/>
    </w:sdtPr>
    <w:sdtContent>
      <w:p>
        <w:pPr>
          <w:pStyle w:val="15"/>
          <w:jc w:val="center"/>
        </w:pPr>
        <w:r>
          <w:rPr>
            <w:rFonts w:hint="eastAsia"/>
          </w:rPr>
          <w:t>20-</w:t>
        </w:r>
        <w:r>
          <w:fldChar w:fldCharType="begin"/>
        </w:r>
        <w:r>
          <w:instrText xml:space="preserve">PAGE   \* MERGEFORMAT</w:instrText>
        </w:r>
        <w:r>
          <w:fldChar w:fldCharType="separate"/>
        </w:r>
        <w:r>
          <w:rPr>
            <w:lang w:val="zh-CN"/>
          </w:rPr>
          <w:t>1</w:t>
        </w:r>
        <w:r>
          <w:fldChar w:fldCharType="end"/>
        </w:r>
      </w:p>
    </w:sdtContent>
  </w:sdt>
  <w:p>
    <w:pPr>
      <w:pStyle w:val="15"/>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2134857"/>
    </w:sdtPr>
    <w:sdtContent>
      <w:p>
        <w:pPr>
          <w:pStyle w:val="15"/>
          <w:jc w:val="center"/>
        </w:pPr>
        <w:r>
          <w:rPr>
            <w:rFonts w:hint="eastAsia"/>
          </w:rPr>
          <w:t>21-</w:t>
        </w:r>
        <w:r>
          <w:fldChar w:fldCharType="begin"/>
        </w:r>
        <w:r>
          <w:instrText xml:space="preserve">PAGE   \* MERGEFORMAT</w:instrText>
        </w:r>
        <w:r>
          <w:fldChar w:fldCharType="separate"/>
        </w:r>
        <w:r>
          <w:rPr>
            <w:lang w:val="zh-CN"/>
          </w:rPr>
          <w:t>1</w:t>
        </w:r>
        <w:r>
          <w:fldChar w:fldCharType="end"/>
        </w:r>
      </w:p>
    </w:sdtContent>
  </w:sdt>
  <w:p>
    <w:pPr>
      <w:pStyle w:val="15"/>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320"/>
        <w:tab w:val="left" w:pos="597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rPr>
      <w:t>1</w: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rPr>
      <w:t>1-</w:t>
    </w:r>
    <w:sdt>
      <w:sdtPr>
        <w:id w:val="-1991237750"/>
      </w:sdtPr>
      <w:sdtContent>
        <w:r>
          <w:fldChar w:fldCharType="begin"/>
        </w:r>
        <w:r>
          <w:instrText xml:space="preserve">PAGE   \* MERGEFORMAT</w:instrText>
        </w:r>
        <w:r>
          <w:fldChar w:fldCharType="separate"/>
        </w:r>
        <w:r>
          <w:rPr>
            <w:lang w:val="zh-CN"/>
          </w:rPr>
          <w:t>1</w:t>
        </w:r>
        <w:r>
          <w:fldChar w:fldCharType="end"/>
        </w:r>
      </w:sdtContent>
    </w:sdt>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777487"/>
    </w:sdtPr>
    <w:sdtContent>
      <w:p>
        <w:pPr>
          <w:pStyle w:val="15"/>
          <w:jc w:val="center"/>
        </w:pPr>
        <w:r>
          <w:rPr>
            <w:rFonts w:hint="eastAsia"/>
          </w:rPr>
          <w:t>2-</w:t>
        </w:r>
        <w:r>
          <w:fldChar w:fldCharType="begin"/>
        </w:r>
        <w:r>
          <w:instrText xml:space="preserve">PAGE   \* MERGEFORMAT</w:instrText>
        </w:r>
        <w:r>
          <w:fldChar w:fldCharType="separate"/>
        </w:r>
        <w:r>
          <w:rPr>
            <w:lang w:val="zh-CN"/>
          </w:rPr>
          <w:t>1</w:t>
        </w:r>
        <w:r>
          <w:fldChar w:fldCharType="end"/>
        </w:r>
      </w:p>
    </w:sdtContent>
  </w:sdt>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rPr>
      <w:t>3-</w:t>
    </w:r>
    <w:sdt>
      <w:sdtPr>
        <w:id w:val="-46070876"/>
      </w:sdtPr>
      <w:sdtContent>
        <w:r>
          <w:fldChar w:fldCharType="begin"/>
        </w:r>
        <w:r>
          <w:instrText xml:space="preserve">PAGE   \* MERGEFORMAT</w:instrText>
        </w:r>
        <w:r>
          <w:fldChar w:fldCharType="separate"/>
        </w:r>
        <w:r>
          <w:rPr>
            <w:lang w:val="zh-CN"/>
          </w:rPr>
          <w:t>1</w:t>
        </w:r>
        <w:r>
          <w:fldChar w:fldCharType="end"/>
        </w:r>
      </w:sdtContent>
    </w:sdt>
  </w:p>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8237368"/>
    </w:sdtPr>
    <w:sdtContent>
      <w:p>
        <w:pPr>
          <w:pStyle w:val="15"/>
          <w:jc w:val="center"/>
        </w:pPr>
        <w:r>
          <w:rPr>
            <w:rFonts w:hint="eastAsia"/>
          </w:rPr>
          <w:t>4-</w:t>
        </w:r>
        <w:r>
          <w:fldChar w:fldCharType="begin"/>
        </w:r>
        <w:r>
          <w:instrText xml:space="preserve">PAGE   \* MERGEFORMAT</w:instrText>
        </w:r>
        <w:r>
          <w:fldChar w:fldCharType="separate"/>
        </w:r>
        <w:r>
          <w:rPr>
            <w:lang w:val="zh-CN"/>
          </w:rPr>
          <w:t>1</w:t>
        </w:r>
        <w:r>
          <w:fldChar w:fldCharType="end"/>
        </w:r>
      </w:p>
    </w:sdtContent>
  </w:sdt>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rPr>
      <w:t>5-</w:t>
    </w:r>
    <w:sdt>
      <w:sdtPr>
        <w:id w:val="1255007963"/>
      </w:sdtPr>
      <w:sdtContent>
        <w:r>
          <w:fldChar w:fldCharType="begin"/>
        </w:r>
        <w:r>
          <w:instrText xml:space="preserve">PAGE   \* MERGEFORMAT</w:instrText>
        </w:r>
        <w:r>
          <w:fldChar w:fldCharType="separate"/>
        </w:r>
        <w:r>
          <w:rPr>
            <w:lang w:val="zh-CN"/>
          </w:rPr>
          <w:t>3</w:t>
        </w:r>
        <w:r>
          <w:fldChar w:fldCharType="end"/>
        </w:r>
      </w:sdtContent>
    </w:sdt>
  </w:p>
  <w:p>
    <w:pPr>
      <w:pStyle w:val="15"/>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6120515"/>
    </w:sdtPr>
    <w:sdtContent>
      <w:p>
        <w:pPr>
          <w:pStyle w:val="15"/>
          <w:jc w:val="center"/>
        </w:pPr>
        <w:r>
          <w:rPr>
            <w:rFonts w:hint="eastAsia"/>
          </w:rPr>
          <w:t>6-</w:t>
        </w:r>
        <w:r>
          <w:fldChar w:fldCharType="begin"/>
        </w:r>
        <w:r>
          <w:instrText xml:space="preserve">PAGE   \* MERGEFORMAT</w:instrText>
        </w:r>
        <w:r>
          <w:fldChar w:fldCharType="separate"/>
        </w:r>
        <w:r>
          <w:rPr>
            <w:lang w:val="zh-CN"/>
          </w:rPr>
          <w:t>5</w:t>
        </w:r>
        <w:r>
          <w:fldChar w:fldCharType="end"/>
        </w:r>
      </w:p>
    </w:sdtContent>
  </w:sdt>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74"/>
    <w:rsid w:val="00000DD0"/>
    <w:rsid w:val="00001AB6"/>
    <w:rsid w:val="00001E42"/>
    <w:rsid w:val="00002977"/>
    <w:rsid w:val="00003CF3"/>
    <w:rsid w:val="00003DDD"/>
    <w:rsid w:val="00004215"/>
    <w:rsid w:val="000048E2"/>
    <w:rsid w:val="000062F2"/>
    <w:rsid w:val="00007C2F"/>
    <w:rsid w:val="00010125"/>
    <w:rsid w:val="0001044F"/>
    <w:rsid w:val="00011665"/>
    <w:rsid w:val="0001363C"/>
    <w:rsid w:val="00014D21"/>
    <w:rsid w:val="00016A01"/>
    <w:rsid w:val="00017201"/>
    <w:rsid w:val="000178C9"/>
    <w:rsid w:val="00017BED"/>
    <w:rsid w:val="00021C06"/>
    <w:rsid w:val="00022D6C"/>
    <w:rsid w:val="00022FC6"/>
    <w:rsid w:val="00023EE9"/>
    <w:rsid w:val="00024205"/>
    <w:rsid w:val="00027D10"/>
    <w:rsid w:val="00031A4E"/>
    <w:rsid w:val="00031D78"/>
    <w:rsid w:val="00031D96"/>
    <w:rsid w:val="00031DD2"/>
    <w:rsid w:val="000323F1"/>
    <w:rsid w:val="00035678"/>
    <w:rsid w:val="00041E30"/>
    <w:rsid w:val="00041EA9"/>
    <w:rsid w:val="00042898"/>
    <w:rsid w:val="00043A6C"/>
    <w:rsid w:val="000441B2"/>
    <w:rsid w:val="00044E1D"/>
    <w:rsid w:val="00045017"/>
    <w:rsid w:val="0004529F"/>
    <w:rsid w:val="00045690"/>
    <w:rsid w:val="00045B69"/>
    <w:rsid w:val="00045B80"/>
    <w:rsid w:val="00046DB8"/>
    <w:rsid w:val="00047948"/>
    <w:rsid w:val="00047EDD"/>
    <w:rsid w:val="00052827"/>
    <w:rsid w:val="00052BEE"/>
    <w:rsid w:val="00052D58"/>
    <w:rsid w:val="00053108"/>
    <w:rsid w:val="000539F0"/>
    <w:rsid w:val="00055D9B"/>
    <w:rsid w:val="00064E77"/>
    <w:rsid w:val="0006572D"/>
    <w:rsid w:val="0006616C"/>
    <w:rsid w:val="00066315"/>
    <w:rsid w:val="0006703B"/>
    <w:rsid w:val="0006718A"/>
    <w:rsid w:val="00067DA7"/>
    <w:rsid w:val="00070432"/>
    <w:rsid w:val="000714C0"/>
    <w:rsid w:val="00071723"/>
    <w:rsid w:val="00072176"/>
    <w:rsid w:val="0007281A"/>
    <w:rsid w:val="00072936"/>
    <w:rsid w:val="000746D9"/>
    <w:rsid w:val="00074758"/>
    <w:rsid w:val="00074F42"/>
    <w:rsid w:val="00075D6D"/>
    <w:rsid w:val="00076C89"/>
    <w:rsid w:val="0007714A"/>
    <w:rsid w:val="00080AFA"/>
    <w:rsid w:val="00080E58"/>
    <w:rsid w:val="0008111E"/>
    <w:rsid w:val="00082FA8"/>
    <w:rsid w:val="00085171"/>
    <w:rsid w:val="0009016D"/>
    <w:rsid w:val="00090707"/>
    <w:rsid w:val="00091E90"/>
    <w:rsid w:val="000928D3"/>
    <w:rsid w:val="0009373C"/>
    <w:rsid w:val="00095055"/>
    <w:rsid w:val="00097239"/>
    <w:rsid w:val="000A0CB6"/>
    <w:rsid w:val="000A11C4"/>
    <w:rsid w:val="000A1593"/>
    <w:rsid w:val="000A1777"/>
    <w:rsid w:val="000A20C8"/>
    <w:rsid w:val="000B11F7"/>
    <w:rsid w:val="000B3268"/>
    <w:rsid w:val="000B6297"/>
    <w:rsid w:val="000B6AA8"/>
    <w:rsid w:val="000C0960"/>
    <w:rsid w:val="000C100E"/>
    <w:rsid w:val="000C1D2F"/>
    <w:rsid w:val="000C1FA6"/>
    <w:rsid w:val="000C26FF"/>
    <w:rsid w:val="000C304F"/>
    <w:rsid w:val="000C5514"/>
    <w:rsid w:val="000C5A20"/>
    <w:rsid w:val="000C6767"/>
    <w:rsid w:val="000C68E7"/>
    <w:rsid w:val="000C6E67"/>
    <w:rsid w:val="000C6FAD"/>
    <w:rsid w:val="000D0C95"/>
    <w:rsid w:val="000D2150"/>
    <w:rsid w:val="000D38A7"/>
    <w:rsid w:val="000D7E47"/>
    <w:rsid w:val="000E12A3"/>
    <w:rsid w:val="000E35CB"/>
    <w:rsid w:val="000E419E"/>
    <w:rsid w:val="000E6573"/>
    <w:rsid w:val="000E688B"/>
    <w:rsid w:val="000E7374"/>
    <w:rsid w:val="000E7A28"/>
    <w:rsid w:val="000F25D1"/>
    <w:rsid w:val="000F2B08"/>
    <w:rsid w:val="000F3A96"/>
    <w:rsid w:val="000F5EC4"/>
    <w:rsid w:val="000F7645"/>
    <w:rsid w:val="001004B3"/>
    <w:rsid w:val="00100568"/>
    <w:rsid w:val="00101318"/>
    <w:rsid w:val="00101B58"/>
    <w:rsid w:val="00102071"/>
    <w:rsid w:val="0010485A"/>
    <w:rsid w:val="001051B2"/>
    <w:rsid w:val="00105310"/>
    <w:rsid w:val="00106025"/>
    <w:rsid w:val="0010712D"/>
    <w:rsid w:val="00110704"/>
    <w:rsid w:val="0011277A"/>
    <w:rsid w:val="00112BF9"/>
    <w:rsid w:val="00113B59"/>
    <w:rsid w:val="00115064"/>
    <w:rsid w:val="0011668D"/>
    <w:rsid w:val="00117512"/>
    <w:rsid w:val="0011783B"/>
    <w:rsid w:val="00120287"/>
    <w:rsid w:val="00120ABE"/>
    <w:rsid w:val="0012189A"/>
    <w:rsid w:val="00123986"/>
    <w:rsid w:val="00124047"/>
    <w:rsid w:val="00126670"/>
    <w:rsid w:val="00130A39"/>
    <w:rsid w:val="00131569"/>
    <w:rsid w:val="00132D3A"/>
    <w:rsid w:val="00133130"/>
    <w:rsid w:val="0013367F"/>
    <w:rsid w:val="0013384A"/>
    <w:rsid w:val="00134CB2"/>
    <w:rsid w:val="00135008"/>
    <w:rsid w:val="00135F72"/>
    <w:rsid w:val="00136679"/>
    <w:rsid w:val="00136E83"/>
    <w:rsid w:val="00140CFC"/>
    <w:rsid w:val="00140E02"/>
    <w:rsid w:val="00141752"/>
    <w:rsid w:val="00141D74"/>
    <w:rsid w:val="001451B1"/>
    <w:rsid w:val="00146246"/>
    <w:rsid w:val="00153191"/>
    <w:rsid w:val="00153CD2"/>
    <w:rsid w:val="001556EB"/>
    <w:rsid w:val="0015665A"/>
    <w:rsid w:val="00156A3F"/>
    <w:rsid w:val="00160684"/>
    <w:rsid w:val="00160700"/>
    <w:rsid w:val="00161DD2"/>
    <w:rsid w:val="00166957"/>
    <w:rsid w:val="00166DA1"/>
    <w:rsid w:val="00167026"/>
    <w:rsid w:val="00170A79"/>
    <w:rsid w:val="00172530"/>
    <w:rsid w:val="0017370E"/>
    <w:rsid w:val="00174565"/>
    <w:rsid w:val="001748DD"/>
    <w:rsid w:val="00175369"/>
    <w:rsid w:val="00176684"/>
    <w:rsid w:val="00180C04"/>
    <w:rsid w:val="00182D88"/>
    <w:rsid w:val="00185465"/>
    <w:rsid w:val="0018552E"/>
    <w:rsid w:val="00185825"/>
    <w:rsid w:val="00185AD1"/>
    <w:rsid w:val="0018653A"/>
    <w:rsid w:val="0018775D"/>
    <w:rsid w:val="00187C10"/>
    <w:rsid w:val="0019194A"/>
    <w:rsid w:val="00193FB5"/>
    <w:rsid w:val="001945D9"/>
    <w:rsid w:val="001961E4"/>
    <w:rsid w:val="00197C29"/>
    <w:rsid w:val="001A27BB"/>
    <w:rsid w:val="001A2E52"/>
    <w:rsid w:val="001A31BA"/>
    <w:rsid w:val="001A4014"/>
    <w:rsid w:val="001A4100"/>
    <w:rsid w:val="001B07DD"/>
    <w:rsid w:val="001B2DA5"/>
    <w:rsid w:val="001B3507"/>
    <w:rsid w:val="001B3B5D"/>
    <w:rsid w:val="001B4156"/>
    <w:rsid w:val="001C044F"/>
    <w:rsid w:val="001C0471"/>
    <w:rsid w:val="001C2010"/>
    <w:rsid w:val="001C2A8E"/>
    <w:rsid w:val="001C3C95"/>
    <w:rsid w:val="001C3ECD"/>
    <w:rsid w:val="001C5B7E"/>
    <w:rsid w:val="001C5C1B"/>
    <w:rsid w:val="001C7718"/>
    <w:rsid w:val="001D0D88"/>
    <w:rsid w:val="001D25D0"/>
    <w:rsid w:val="001D4655"/>
    <w:rsid w:val="001D46C2"/>
    <w:rsid w:val="001D5CCB"/>
    <w:rsid w:val="001D695B"/>
    <w:rsid w:val="001D747C"/>
    <w:rsid w:val="001E0686"/>
    <w:rsid w:val="001E5F15"/>
    <w:rsid w:val="001E73CE"/>
    <w:rsid w:val="001F0F63"/>
    <w:rsid w:val="001F2D81"/>
    <w:rsid w:val="001F31FB"/>
    <w:rsid w:val="001F4169"/>
    <w:rsid w:val="001F6F44"/>
    <w:rsid w:val="002009F5"/>
    <w:rsid w:val="00200A19"/>
    <w:rsid w:val="002019B6"/>
    <w:rsid w:val="00201FEC"/>
    <w:rsid w:val="00201FF9"/>
    <w:rsid w:val="00203D3E"/>
    <w:rsid w:val="00206847"/>
    <w:rsid w:val="002071A9"/>
    <w:rsid w:val="00214C3D"/>
    <w:rsid w:val="00215314"/>
    <w:rsid w:val="00216CAA"/>
    <w:rsid w:val="002174D9"/>
    <w:rsid w:val="00220875"/>
    <w:rsid w:val="00221332"/>
    <w:rsid w:val="002215D2"/>
    <w:rsid w:val="00222341"/>
    <w:rsid w:val="002306C9"/>
    <w:rsid w:val="00231B62"/>
    <w:rsid w:val="002321ED"/>
    <w:rsid w:val="00232CAA"/>
    <w:rsid w:val="002330CA"/>
    <w:rsid w:val="002332D3"/>
    <w:rsid w:val="002340B1"/>
    <w:rsid w:val="00234B72"/>
    <w:rsid w:val="002359CF"/>
    <w:rsid w:val="00235B81"/>
    <w:rsid w:val="00237AD7"/>
    <w:rsid w:val="0024032B"/>
    <w:rsid w:val="00240AE5"/>
    <w:rsid w:val="00242261"/>
    <w:rsid w:val="00242944"/>
    <w:rsid w:val="00242E69"/>
    <w:rsid w:val="00246B69"/>
    <w:rsid w:val="002471ED"/>
    <w:rsid w:val="00247986"/>
    <w:rsid w:val="00247FC1"/>
    <w:rsid w:val="00255EE7"/>
    <w:rsid w:val="0026065F"/>
    <w:rsid w:val="002631C1"/>
    <w:rsid w:val="00266019"/>
    <w:rsid w:val="00267009"/>
    <w:rsid w:val="00271A77"/>
    <w:rsid w:val="002759C1"/>
    <w:rsid w:val="00275EA7"/>
    <w:rsid w:val="00276CBA"/>
    <w:rsid w:val="00277C86"/>
    <w:rsid w:val="00283863"/>
    <w:rsid w:val="00285E1A"/>
    <w:rsid w:val="0028628C"/>
    <w:rsid w:val="0028655B"/>
    <w:rsid w:val="00287B07"/>
    <w:rsid w:val="00287DD6"/>
    <w:rsid w:val="00291A4E"/>
    <w:rsid w:val="00291ACE"/>
    <w:rsid w:val="00292A48"/>
    <w:rsid w:val="0029364D"/>
    <w:rsid w:val="00294CA3"/>
    <w:rsid w:val="0029563B"/>
    <w:rsid w:val="002961C9"/>
    <w:rsid w:val="0029639B"/>
    <w:rsid w:val="002A0B4E"/>
    <w:rsid w:val="002A1685"/>
    <w:rsid w:val="002A23EA"/>
    <w:rsid w:val="002A2BDE"/>
    <w:rsid w:val="002A4673"/>
    <w:rsid w:val="002A790E"/>
    <w:rsid w:val="002A7E73"/>
    <w:rsid w:val="002B0661"/>
    <w:rsid w:val="002B11CF"/>
    <w:rsid w:val="002B19DD"/>
    <w:rsid w:val="002B2AD4"/>
    <w:rsid w:val="002B4A5D"/>
    <w:rsid w:val="002B67C0"/>
    <w:rsid w:val="002B7266"/>
    <w:rsid w:val="002B7527"/>
    <w:rsid w:val="002C06EA"/>
    <w:rsid w:val="002C2058"/>
    <w:rsid w:val="002C2B27"/>
    <w:rsid w:val="002C470B"/>
    <w:rsid w:val="002C4D0A"/>
    <w:rsid w:val="002C6520"/>
    <w:rsid w:val="002C6DF2"/>
    <w:rsid w:val="002C7C3C"/>
    <w:rsid w:val="002D0091"/>
    <w:rsid w:val="002D155A"/>
    <w:rsid w:val="002D1D4F"/>
    <w:rsid w:val="002D43C8"/>
    <w:rsid w:val="002E05C3"/>
    <w:rsid w:val="002E0B38"/>
    <w:rsid w:val="002E3DED"/>
    <w:rsid w:val="002E46D7"/>
    <w:rsid w:val="002E54B5"/>
    <w:rsid w:val="002F1E2E"/>
    <w:rsid w:val="002F2074"/>
    <w:rsid w:val="002F211E"/>
    <w:rsid w:val="002F253D"/>
    <w:rsid w:val="002F2BC5"/>
    <w:rsid w:val="002F2EAD"/>
    <w:rsid w:val="002F3F6D"/>
    <w:rsid w:val="002F66B1"/>
    <w:rsid w:val="002F68F6"/>
    <w:rsid w:val="00301CBE"/>
    <w:rsid w:val="003026F5"/>
    <w:rsid w:val="00305466"/>
    <w:rsid w:val="00306429"/>
    <w:rsid w:val="003123ED"/>
    <w:rsid w:val="00312588"/>
    <w:rsid w:val="003137F2"/>
    <w:rsid w:val="00314370"/>
    <w:rsid w:val="0031445C"/>
    <w:rsid w:val="003154CF"/>
    <w:rsid w:val="00315DF1"/>
    <w:rsid w:val="00317638"/>
    <w:rsid w:val="0031797A"/>
    <w:rsid w:val="0032039E"/>
    <w:rsid w:val="00320987"/>
    <w:rsid w:val="00322A50"/>
    <w:rsid w:val="00323511"/>
    <w:rsid w:val="003246B3"/>
    <w:rsid w:val="0032522B"/>
    <w:rsid w:val="00330931"/>
    <w:rsid w:val="00331209"/>
    <w:rsid w:val="003336F7"/>
    <w:rsid w:val="00334F74"/>
    <w:rsid w:val="003369A7"/>
    <w:rsid w:val="00342DF8"/>
    <w:rsid w:val="003431C7"/>
    <w:rsid w:val="00345036"/>
    <w:rsid w:val="00345E14"/>
    <w:rsid w:val="00346F20"/>
    <w:rsid w:val="00351019"/>
    <w:rsid w:val="003532E6"/>
    <w:rsid w:val="00353894"/>
    <w:rsid w:val="00355528"/>
    <w:rsid w:val="00360142"/>
    <w:rsid w:val="00360FE3"/>
    <w:rsid w:val="00361791"/>
    <w:rsid w:val="003659AF"/>
    <w:rsid w:val="00365CCD"/>
    <w:rsid w:val="00371CDD"/>
    <w:rsid w:val="003726C2"/>
    <w:rsid w:val="003760B8"/>
    <w:rsid w:val="00376451"/>
    <w:rsid w:val="0037657D"/>
    <w:rsid w:val="003802E4"/>
    <w:rsid w:val="00380795"/>
    <w:rsid w:val="00383076"/>
    <w:rsid w:val="00385611"/>
    <w:rsid w:val="00385833"/>
    <w:rsid w:val="0039673F"/>
    <w:rsid w:val="003979A1"/>
    <w:rsid w:val="003A1410"/>
    <w:rsid w:val="003A30E5"/>
    <w:rsid w:val="003A4F07"/>
    <w:rsid w:val="003A6B7B"/>
    <w:rsid w:val="003A726C"/>
    <w:rsid w:val="003B0BF2"/>
    <w:rsid w:val="003B1FDF"/>
    <w:rsid w:val="003B4B05"/>
    <w:rsid w:val="003B5DEA"/>
    <w:rsid w:val="003B6B55"/>
    <w:rsid w:val="003C0916"/>
    <w:rsid w:val="003C104A"/>
    <w:rsid w:val="003C2982"/>
    <w:rsid w:val="003C29ED"/>
    <w:rsid w:val="003C5DC5"/>
    <w:rsid w:val="003C756C"/>
    <w:rsid w:val="003C7D39"/>
    <w:rsid w:val="003D04FF"/>
    <w:rsid w:val="003D3984"/>
    <w:rsid w:val="003D3A28"/>
    <w:rsid w:val="003D48F4"/>
    <w:rsid w:val="003D49AD"/>
    <w:rsid w:val="003D4BBC"/>
    <w:rsid w:val="003D5389"/>
    <w:rsid w:val="003D6556"/>
    <w:rsid w:val="003D794B"/>
    <w:rsid w:val="003D7BA3"/>
    <w:rsid w:val="003E0139"/>
    <w:rsid w:val="003E0AD5"/>
    <w:rsid w:val="003E16F3"/>
    <w:rsid w:val="003E2C01"/>
    <w:rsid w:val="003E46C5"/>
    <w:rsid w:val="003F25AE"/>
    <w:rsid w:val="003F5815"/>
    <w:rsid w:val="003F784C"/>
    <w:rsid w:val="00400160"/>
    <w:rsid w:val="0040055B"/>
    <w:rsid w:val="004008A7"/>
    <w:rsid w:val="00401C64"/>
    <w:rsid w:val="004038C3"/>
    <w:rsid w:val="00405228"/>
    <w:rsid w:val="00405405"/>
    <w:rsid w:val="00407803"/>
    <w:rsid w:val="0040782C"/>
    <w:rsid w:val="00407946"/>
    <w:rsid w:val="00411088"/>
    <w:rsid w:val="00411823"/>
    <w:rsid w:val="00412476"/>
    <w:rsid w:val="00412563"/>
    <w:rsid w:val="00412D2C"/>
    <w:rsid w:val="00413681"/>
    <w:rsid w:val="00414034"/>
    <w:rsid w:val="004142E4"/>
    <w:rsid w:val="0042267B"/>
    <w:rsid w:val="004237E9"/>
    <w:rsid w:val="00423845"/>
    <w:rsid w:val="004255F7"/>
    <w:rsid w:val="00425D01"/>
    <w:rsid w:val="004265DC"/>
    <w:rsid w:val="004275E3"/>
    <w:rsid w:val="00427FD7"/>
    <w:rsid w:val="004309F4"/>
    <w:rsid w:val="0043191B"/>
    <w:rsid w:val="00431AC3"/>
    <w:rsid w:val="00431F66"/>
    <w:rsid w:val="004324F7"/>
    <w:rsid w:val="00432DF1"/>
    <w:rsid w:val="004336A9"/>
    <w:rsid w:val="00434945"/>
    <w:rsid w:val="004359C6"/>
    <w:rsid w:val="004365D5"/>
    <w:rsid w:val="00436C58"/>
    <w:rsid w:val="00436E37"/>
    <w:rsid w:val="00437913"/>
    <w:rsid w:val="00440182"/>
    <w:rsid w:val="00440E3A"/>
    <w:rsid w:val="0044103D"/>
    <w:rsid w:val="00441241"/>
    <w:rsid w:val="00442664"/>
    <w:rsid w:val="00443C07"/>
    <w:rsid w:val="0044539E"/>
    <w:rsid w:val="004503A5"/>
    <w:rsid w:val="00450FE9"/>
    <w:rsid w:val="004535FF"/>
    <w:rsid w:val="00456F82"/>
    <w:rsid w:val="00461F61"/>
    <w:rsid w:val="00463889"/>
    <w:rsid w:val="00464303"/>
    <w:rsid w:val="00464C3A"/>
    <w:rsid w:val="00464E23"/>
    <w:rsid w:val="0046519A"/>
    <w:rsid w:val="00467DCB"/>
    <w:rsid w:val="00470498"/>
    <w:rsid w:val="00470E62"/>
    <w:rsid w:val="0047119A"/>
    <w:rsid w:val="00473B5C"/>
    <w:rsid w:val="00475541"/>
    <w:rsid w:val="00476249"/>
    <w:rsid w:val="0048026F"/>
    <w:rsid w:val="00480B4C"/>
    <w:rsid w:val="00480D4C"/>
    <w:rsid w:val="00481D5D"/>
    <w:rsid w:val="004857DE"/>
    <w:rsid w:val="00486012"/>
    <w:rsid w:val="0048671F"/>
    <w:rsid w:val="0048715E"/>
    <w:rsid w:val="0049245E"/>
    <w:rsid w:val="00492BCA"/>
    <w:rsid w:val="00493296"/>
    <w:rsid w:val="00493DC8"/>
    <w:rsid w:val="00494817"/>
    <w:rsid w:val="004A38A2"/>
    <w:rsid w:val="004A3C1C"/>
    <w:rsid w:val="004A4931"/>
    <w:rsid w:val="004A5C59"/>
    <w:rsid w:val="004B0ED0"/>
    <w:rsid w:val="004B144E"/>
    <w:rsid w:val="004B1F14"/>
    <w:rsid w:val="004B201E"/>
    <w:rsid w:val="004B2C2F"/>
    <w:rsid w:val="004B31DB"/>
    <w:rsid w:val="004B3B4A"/>
    <w:rsid w:val="004B47B2"/>
    <w:rsid w:val="004B53C1"/>
    <w:rsid w:val="004B5D9B"/>
    <w:rsid w:val="004B6573"/>
    <w:rsid w:val="004B7363"/>
    <w:rsid w:val="004B7C6E"/>
    <w:rsid w:val="004C007C"/>
    <w:rsid w:val="004C0CC1"/>
    <w:rsid w:val="004C2330"/>
    <w:rsid w:val="004C5085"/>
    <w:rsid w:val="004C627D"/>
    <w:rsid w:val="004C6676"/>
    <w:rsid w:val="004C707D"/>
    <w:rsid w:val="004D2553"/>
    <w:rsid w:val="004D2A62"/>
    <w:rsid w:val="004D2E26"/>
    <w:rsid w:val="004D2FCF"/>
    <w:rsid w:val="004D5ACC"/>
    <w:rsid w:val="004E0DF1"/>
    <w:rsid w:val="004E0F7D"/>
    <w:rsid w:val="004E1291"/>
    <w:rsid w:val="004E14CC"/>
    <w:rsid w:val="004E57B8"/>
    <w:rsid w:val="004E7184"/>
    <w:rsid w:val="004F42C1"/>
    <w:rsid w:val="004F55D4"/>
    <w:rsid w:val="004F6344"/>
    <w:rsid w:val="004F6906"/>
    <w:rsid w:val="00503D3F"/>
    <w:rsid w:val="00504AC5"/>
    <w:rsid w:val="00505AC7"/>
    <w:rsid w:val="00511C6C"/>
    <w:rsid w:val="005143A9"/>
    <w:rsid w:val="00515D94"/>
    <w:rsid w:val="00515E8F"/>
    <w:rsid w:val="00521B52"/>
    <w:rsid w:val="0052319D"/>
    <w:rsid w:val="00523605"/>
    <w:rsid w:val="005248B6"/>
    <w:rsid w:val="00526015"/>
    <w:rsid w:val="00526834"/>
    <w:rsid w:val="00527783"/>
    <w:rsid w:val="00527B02"/>
    <w:rsid w:val="00530519"/>
    <w:rsid w:val="0053109D"/>
    <w:rsid w:val="0053389B"/>
    <w:rsid w:val="005431AC"/>
    <w:rsid w:val="005451F9"/>
    <w:rsid w:val="00545614"/>
    <w:rsid w:val="005502D9"/>
    <w:rsid w:val="00550F23"/>
    <w:rsid w:val="005535A3"/>
    <w:rsid w:val="005564D4"/>
    <w:rsid w:val="00556EE6"/>
    <w:rsid w:val="00557920"/>
    <w:rsid w:val="005630A4"/>
    <w:rsid w:val="00564D50"/>
    <w:rsid w:val="00565F62"/>
    <w:rsid w:val="005660EE"/>
    <w:rsid w:val="0056678C"/>
    <w:rsid w:val="00570215"/>
    <w:rsid w:val="00570851"/>
    <w:rsid w:val="00571B4A"/>
    <w:rsid w:val="00573797"/>
    <w:rsid w:val="005752B1"/>
    <w:rsid w:val="00576298"/>
    <w:rsid w:val="00580351"/>
    <w:rsid w:val="00580A4E"/>
    <w:rsid w:val="0058105E"/>
    <w:rsid w:val="005822B8"/>
    <w:rsid w:val="00582659"/>
    <w:rsid w:val="00583F43"/>
    <w:rsid w:val="005849A4"/>
    <w:rsid w:val="00586675"/>
    <w:rsid w:val="00587647"/>
    <w:rsid w:val="0059173C"/>
    <w:rsid w:val="00591E65"/>
    <w:rsid w:val="00593932"/>
    <w:rsid w:val="00594A4C"/>
    <w:rsid w:val="0059618C"/>
    <w:rsid w:val="005A06D7"/>
    <w:rsid w:val="005A399F"/>
    <w:rsid w:val="005A41FF"/>
    <w:rsid w:val="005A7140"/>
    <w:rsid w:val="005A7B91"/>
    <w:rsid w:val="005B060E"/>
    <w:rsid w:val="005B1738"/>
    <w:rsid w:val="005B240C"/>
    <w:rsid w:val="005B4925"/>
    <w:rsid w:val="005B59D5"/>
    <w:rsid w:val="005B6483"/>
    <w:rsid w:val="005B66FD"/>
    <w:rsid w:val="005B685B"/>
    <w:rsid w:val="005B6A9D"/>
    <w:rsid w:val="005C0810"/>
    <w:rsid w:val="005C2546"/>
    <w:rsid w:val="005C4FF8"/>
    <w:rsid w:val="005C5964"/>
    <w:rsid w:val="005C5C13"/>
    <w:rsid w:val="005C7F22"/>
    <w:rsid w:val="005D3BFB"/>
    <w:rsid w:val="005D58AE"/>
    <w:rsid w:val="005D6727"/>
    <w:rsid w:val="005D682C"/>
    <w:rsid w:val="005D6E76"/>
    <w:rsid w:val="005D7F1C"/>
    <w:rsid w:val="005E452D"/>
    <w:rsid w:val="005E6C32"/>
    <w:rsid w:val="005E6E86"/>
    <w:rsid w:val="005E7283"/>
    <w:rsid w:val="005F074E"/>
    <w:rsid w:val="005F0EBB"/>
    <w:rsid w:val="005F20E0"/>
    <w:rsid w:val="005F288F"/>
    <w:rsid w:val="005F2B6C"/>
    <w:rsid w:val="005F2BCB"/>
    <w:rsid w:val="005F3385"/>
    <w:rsid w:val="005F3898"/>
    <w:rsid w:val="005F3B5B"/>
    <w:rsid w:val="005F3CC2"/>
    <w:rsid w:val="005F3E7C"/>
    <w:rsid w:val="005F4C2F"/>
    <w:rsid w:val="005F6F76"/>
    <w:rsid w:val="0060476E"/>
    <w:rsid w:val="006050E9"/>
    <w:rsid w:val="00607523"/>
    <w:rsid w:val="00607E88"/>
    <w:rsid w:val="006100CE"/>
    <w:rsid w:val="0061136C"/>
    <w:rsid w:val="006114C3"/>
    <w:rsid w:val="00611B88"/>
    <w:rsid w:val="00611F48"/>
    <w:rsid w:val="00613356"/>
    <w:rsid w:val="00613F8A"/>
    <w:rsid w:val="00613FA0"/>
    <w:rsid w:val="00615A06"/>
    <w:rsid w:val="00615E9A"/>
    <w:rsid w:val="00621321"/>
    <w:rsid w:val="006220AF"/>
    <w:rsid w:val="0062269D"/>
    <w:rsid w:val="006227F3"/>
    <w:rsid w:val="006237E6"/>
    <w:rsid w:val="006256CA"/>
    <w:rsid w:val="00635050"/>
    <w:rsid w:val="006355B4"/>
    <w:rsid w:val="006377C7"/>
    <w:rsid w:val="00640191"/>
    <w:rsid w:val="00640E51"/>
    <w:rsid w:val="00644B26"/>
    <w:rsid w:val="006475D5"/>
    <w:rsid w:val="006520C3"/>
    <w:rsid w:val="00652128"/>
    <w:rsid w:val="00652650"/>
    <w:rsid w:val="00652DBF"/>
    <w:rsid w:val="00653D6D"/>
    <w:rsid w:val="00654599"/>
    <w:rsid w:val="00660A76"/>
    <w:rsid w:val="00661B26"/>
    <w:rsid w:val="00663B13"/>
    <w:rsid w:val="00666BE6"/>
    <w:rsid w:val="0066704E"/>
    <w:rsid w:val="00667E4B"/>
    <w:rsid w:val="00670B94"/>
    <w:rsid w:val="006718D6"/>
    <w:rsid w:val="00672A62"/>
    <w:rsid w:val="00673714"/>
    <w:rsid w:val="0067725F"/>
    <w:rsid w:val="00677614"/>
    <w:rsid w:val="00680A6B"/>
    <w:rsid w:val="00681481"/>
    <w:rsid w:val="006831B1"/>
    <w:rsid w:val="006839F7"/>
    <w:rsid w:val="00683A15"/>
    <w:rsid w:val="006841EB"/>
    <w:rsid w:val="006846D2"/>
    <w:rsid w:val="00685EC8"/>
    <w:rsid w:val="00690E8E"/>
    <w:rsid w:val="00691621"/>
    <w:rsid w:val="00694C3B"/>
    <w:rsid w:val="006975FC"/>
    <w:rsid w:val="006A2CB1"/>
    <w:rsid w:val="006A3EAA"/>
    <w:rsid w:val="006A4448"/>
    <w:rsid w:val="006A5CCD"/>
    <w:rsid w:val="006B42CE"/>
    <w:rsid w:val="006B4B97"/>
    <w:rsid w:val="006B6146"/>
    <w:rsid w:val="006B61D0"/>
    <w:rsid w:val="006B6A5C"/>
    <w:rsid w:val="006B7B59"/>
    <w:rsid w:val="006C4C6B"/>
    <w:rsid w:val="006C4F3B"/>
    <w:rsid w:val="006C7BF9"/>
    <w:rsid w:val="006C7C04"/>
    <w:rsid w:val="006D2279"/>
    <w:rsid w:val="006D2C00"/>
    <w:rsid w:val="006D4499"/>
    <w:rsid w:val="006D50E5"/>
    <w:rsid w:val="006D5B2C"/>
    <w:rsid w:val="006D5FE6"/>
    <w:rsid w:val="006D62EB"/>
    <w:rsid w:val="006E22AF"/>
    <w:rsid w:val="006E3987"/>
    <w:rsid w:val="006E463B"/>
    <w:rsid w:val="006E4D9C"/>
    <w:rsid w:val="006E530E"/>
    <w:rsid w:val="006E56FE"/>
    <w:rsid w:val="006E5D04"/>
    <w:rsid w:val="006E5ECE"/>
    <w:rsid w:val="006E7E3E"/>
    <w:rsid w:val="006F1996"/>
    <w:rsid w:val="006F2C40"/>
    <w:rsid w:val="00701585"/>
    <w:rsid w:val="00702A88"/>
    <w:rsid w:val="00702E11"/>
    <w:rsid w:val="007030BF"/>
    <w:rsid w:val="00703FD5"/>
    <w:rsid w:val="0070491F"/>
    <w:rsid w:val="0070609D"/>
    <w:rsid w:val="00710642"/>
    <w:rsid w:val="00711472"/>
    <w:rsid w:val="007124DE"/>
    <w:rsid w:val="007124F5"/>
    <w:rsid w:val="00717934"/>
    <w:rsid w:val="007228E3"/>
    <w:rsid w:val="00722A46"/>
    <w:rsid w:val="007244D7"/>
    <w:rsid w:val="00731589"/>
    <w:rsid w:val="0073188F"/>
    <w:rsid w:val="007328E1"/>
    <w:rsid w:val="00732CE8"/>
    <w:rsid w:val="00734A9B"/>
    <w:rsid w:val="00735EE5"/>
    <w:rsid w:val="00736B58"/>
    <w:rsid w:val="0074155D"/>
    <w:rsid w:val="00741591"/>
    <w:rsid w:val="00746CAE"/>
    <w:rsid w:val="00752925"/>
    <w:rsid w:val="0075344A"/>
    <w:rsid w:val="00754807"/>
    <w:rsid w:val="0075647E"/>
    <w:rsid w:val="00756BF1"/>
    <w:rsid w:val="00756E58"/>
    <w:rsid w:val="00757919"/>
    <w:rsid w:val="00757EF2"/>
    <w:rsid w:val="007606A2"/>
    <w:rsid w:val="0076074D"/>
    <w:rsid w:val="00761873"/>
    <w:rsid w:val="00762A7F"/>
    <w:rsid w:val="00764009"/>
    <w:rsid w:val="00764187"/>
    <w:rsid w:val="0076471D"/>
    <w:rsid w:val="00764814"/>
    <w:rsid w:val="00765947"/>
    <w:rsid w:val="007662C0"/>
    <w:rsid w:val="00766662"/>
    <w:rsid w:val="00766773"/>
    <w:rsid w:val="00766CC7"/>
    <w:rsid w:val="00766F04"/>
    <w:rsid w:val="007710F7"/>
    <w:rsid w:val="0077494E"/>
    <w:rsid w:val="00774B6E"/>
    <w:rsid w:val="00774D42"/>
    <w:rsid w:val="00776D2A"/>
    <w:rsid w:val="007801DE"/>
    <w:rsid w:val="00780560"/>
    <w:rsid w:val="00781111"/>
    <w:rsid w:val="0078152B"/>
    <w:rsid w:val="0078195F"/>
    <w:rsid w:val="00785A06"/>
    <w:rsid w:val="00785D55"/>
    <w:rsid w:val="007861DB"/>
    <w:rsid w:val="0078628A"/>
    <w:rsid w:val="00787792"/>
    <w:rsid w:val="007911F6"/>
    <w:rsid w:val="00792AAD"/>
    <w:rsid w:val="0079368B"/>
    <w:rsid w:val="00793C1F"/>
    <w:rsid w:val="00793FA0"/>
    <w:rsid w:val="00796B3C"/>
    <w:rsid w:val="00796DD2"/>
    <w:rsid w:val="00797001"/>
    <w:rsid w:val="00797097"/>
    <w:rsid w:val="00797644"/>
    <w:rsid w:val="007A351B"/>
    <w:rsid w:val="007A3F9F"/>
    <w:rsid w:val="007A6E8B"/>
    <w:rsid w:val="007A7378"/>
    <w:rsid w:val="007A7A82"/>
    <w:rsid w:val="007B0E25"/>
    <w:rsid w:val="007B2DFC"/>
    <w:rsid w:val="007B2EB0"/>
    <w:rsid w:val="007B33FB"/>
    <w:rsid w:val="007B4881"/>
    <w:rsid w:val="007B50DA"/>
    <w:rsid w:val="007B65FA"/>
    <w:rsid w:val="007C0329"/>
    <w:rsid w:val="007C07F6"/>
    <w:rsid w:val="007C1033"/>
    <w:rsid w:val="007C2C50"/>
    <w:rsid w:val="007C5820"/>
    <w:rsid w:val="007C7465"/>
    <w:rsid w:val="007D1E49"/>
    <w:rsid w:val="007D2175"/>
    <w:rsid w:val="007D2FEC"/>
    <w:rsid w:val="007D42E7"/>
    <w:rsid w:val="007D5C10"/>
    <w:rsid w:val="007E16C8"/>
    <w:rsid w:val="007E1AC2"/>
    <w:rsid w:val="007E53FF"/>
    <w:rsid w:val="007E67D5"/>
    <w:rsid w:val="007E6F7F"/>
    <w:rsid w:val="007E7A88"/>
    <w:rsid w:val="007F0197"/>
    <w:rsid w:val="007F0C87"/>
    <w:rsid w:val="007F2301"/>
    <w:rsid w:val="007F64C0"/>
    <w:rsid w:val="0080033D"/>
    <w:rsid w:val="00800A9F"/>
    <w:rsid w:val="00801335"/>
    <w:rsid w:val="00805F2E"/>
    <w:rsid w:val="00806BB3"/>
    <w:rsid w:val="00806BE9"/>
    <w:rsid w:val="00807072"/>
    <w:rsid w:val="00807401"/>
    <w:rsid w:val="00810902"/>
    <w:rsid w:val="00811A25"/>
    <w:rsid w:val="00811F94"/>
    <w:rsid w:val="00812583"/>
    <w:rsid w:val="00813A33"/>
    <w:rsid w:val="008143CC"/>
    <w:rsid w:val="008143D1"/>
    <w:rsid w:val="00815297"/>
    <w:rsid w:val="008168E2"/>
    <w:rsid w:val="00816A29"/>
    <w:rsid w:val="00820A94"/>
    <w:rsid w:val="0082124A"/>
    <w:rsid w:val="00822546"/>
    <w:rsid w:val="008225B4"/>
    <w:rsid w:val="00822FD6"/>
    <w:rsid w:val="0082391A"/>
    <w:rsid w:val="0082507C"/>
    <w:rsid w:val="008268A7"/>
    <w:rsid w:val="00826953"/>
    <w:rsid w:val="008274A4"/>
    <w:rsid w:val="00830F1B"/>
    <w:rsid w:val="00832DBF"/>
    <w:rsid w:val="008334AE"/>
    <w:rsid w:val="00833560"/>
    <w:rsid w:val="00836508"/>
    <w:rsid w:val="00836E06"/>
    <w:rsid w:val="008422AB"/>
    <w:rsid w:val="00842A4E"/>
    <w:rsid w:val="0084364F"/>
    <w:rsid w:val="0084367A"/>
    <w:rsid w:val="00843C14"/>
    <w:rsid w:val="008460EA"/>
    <w:rsid w:val="00846296"/>
    <w:rsid w:val="008464FC"/>
    <w:rsid w:val="00847178"/>
    <w:rsid w:val="00852396"/>
    <w:rsid w:val="00854772"/>
    <w:rsid w:val="0085557E"/>
    <w:rsid w:val="008561FF"/>
    <w:rsid w:val="00856DAA"/>
    <w:rsid w:val="00860E5A"/>
    <w:rsid w:val="00861662"/>
    <w:rsid w:val="00867DE9"/>
    <w:rsid w:val="00870568"/>
    <w:rsid w:val="0087067E"/>
    <w:rsid w:val="00870727"/>
    <w:rsid w:val="00873D4F"/>
    <w:rsid w:val="0087426A"/>
    <w:rsid w:val="00876EFF"/>
    <w:rsid w:val="00880D4D"/>
    <w:rsid w:val="008839BE"/>
    <w:rsid w:val="008843E9"/>
    <w:rsid w:val="00884A40"/>
    <w:rsid w:val="0088517F"/>
    <w:rsid w:val="0088608E"/>
    <w:rsid w:val="008871FA"/>
    <w:rsid w:val="008948AC"/>
    <w:rsid w:val="00895370"/>
    <w:rsid w:val="00895C7C"/>
    <w:rsid w:val="00896CE8"/>
    <w:rsid w:val="008A046E"/>
    <w:rsid w:val="008A0A8D"/>
    <w:rsid w:val="008A0D1F"/>
    <w:rsid w:val="008A0EC8"/>
    <w:rsid w:val="008A2276"/>
    <w:rsid w:val="008A2DBE"/>
    <w:rsid w:val="008A381C"/>
    <w:rsid w:val="008A3BF5"/>
    <w:rsid w:val="008A475E"/>
    <w:rsid w:val="008A4AF8"/>
    <w:rsid w:val="008A4CEA"/>
    <w:rsid w:val="008A583E"/>
    <w:rsid w:val="008A5B6B"/>
    <w:rsid w:val="008A7E71"/>
    <w:rsid w:val="008B007A"/>
    <w:rsid w:val="008B35A5"/>
    <w:rsid w:val="008B3600"/>
    <w:rsid w:val="008B4216"/>
    <w:rsid w:val="008B7054"/>
    <w:rsid w:val="008C0FCB"/>
    <w:rsid w:val="008C115C"/>
    <w:rsid w:val="008C22AD"/>
    <w:rsid w:val="008C3C2B"/>
    <w:rsid w:val="008C447F"/>
    <w:rsid w:val="008C75C4"/>
    <w:rsid w:val="008D1B5E"/>
    <w:rsid w:val="008D2326"/>
    <w:rsid w:val="008D251D"/>
    <w:rsid w:val="008D3DBB"/>
    <w:rsid w:val="008D614B"/>
    <w:rsid w:val="008E30DD"/>
    <w:rsid w:val="008E4A4E"/>
    <w:rsid w:val="008E5102"/>
    <w:rsid w:val="008E6771"/>
    <w:rsid w:val="008E6C96"/>
    <w:rsid w:val="008F2631"/>
    <w:rsid w:val="008F2B93"/>
    <w:rsid w:val="008F7905"/>
    <w:rsid w:val="008F7D48"/>
    <w:rsid w:val="009001B1"/>
    <w:rsid w:val="00900BD8"/>
    <w:rsid w:val="00901F8F"/>
    <w:rsid w:val="009045B4"/>
    <w:rsid w:val="00906C29"/>
    <w:rsid w:val="00907862"/>
    <w:rsid w:val="0090792E"/>
    <w:rsid w:val="00910249"/>
    <w:rsid w:val="00912F9F"/>
    <w:rsid w:val="00913B30"/>
    <w:rsid w:val="00913B61"/>
    <w:rsid w:val="00914A35"/>
    <w:rsid w:val="0092043E"/>
    <w:rsid w:val="009207A4"/>
    <w:rsid w:val="00921C43"/>
    <w:rsid w:val="00921F94"/>
    <w:rsid w:val="00923238"/>
    <w:rsid w:val="00923A95"/>
    <w:rsid w:val="00925601"/>
    <w:rsid w:val="00925CD6"/>
    <w:rsid w:val="009261AE"/>
    <w:rsid w:val="00926997"/>
    <w:rsid w:val="00926B86"/>
    <w:rsid w:val="00927B10"/>
    <w:rsid w:val="00927F68"/>
    <w:rsid w:val="00934A33"/>
    <w:rsid w:val="00935656"/>
    <w:rsid w:val="009428D7"/>
    <w:rsid w:val="00944BA7"/>
    <w:rsid w:val="009454F9"/>
    <w:rsid w:val="0094778B"/>
    <w:rsid w:val="00950757"/>
    <w:rsid w:val="00950F26"/>
    <w:rsid w:val="00952965"/>
    <w:rsid w:val="00952B6F"/>
    <w:rsid w:val="009533F7"/>
    <w:rsid w:val="00953D84"/>
    <w:rsid w:val="00954499"/>
    <w:rsid w:val="0095488B"/>
    <w:rsid w:val="00954EED"/>
    <w:rsid w:val="009556C6"/>
    <w:rsid w:val="00955893"/>
    <w:rsid w:val="00957CFA"/>
    <w:rsid w:val="009615C7"/>
    <w:rsid w:val="00961AF3"/>
    <w:rsid w:val="00962DED"/>
    <w:rsid w:val="00966A97"/>
    <w:rsid w:val="00966E0D"/>
    <w:rsid w:val="00971C82"/>
    <w:rsid w:val="00971F2C"/>
    <w:rsid w:val="00972F55"/>
    <w:rsid w:val="0097369D"/>
    <w:rsid w:val="0097469A"/>
    <w:rsid w:val="00977F16"/>
    <w:rsid w:val="00980FD0"/>
    <w:rsid w:val="00981211"/>
    <w:rsid w:val="00982B83"/>
    <w:rsid w:val="00983463"/>
    <w:rsid w:val="0098566E"/>
    <w:rsid w:val="00985BCB"/>
    <w:rsid w:val="00986FAD"/>
    <w:rsid w:val="00987B0E"/>
    <w:rsid w:val="0099009F"/>
    <w:rsid w:val="0099216A"/>
    <w:rsid w:val="00996942"/>
    <w:rsid w:val="009969AC"/>
    <w:rsid w:val="009A3982"/>
    <w:rsid w:val="009A3A62"/>
    <w:rsid w:val="009A3ED6"/>
    <w:rsid w:val="009A4C7F"/>
    <w:rsid w:val="009A5421"/>
    <w:rsid w:val="009A5DAD"/>
    <w:rsid w:val="009B2078"/>
    <w:rsid w:val="009B26B2"/>
    <w:rsid w:val="009B3884"/>
    <w:rsid w:val="009B41D2"/>
    <w:rsid w:val="009B4212"/>
    <w:rsid w:val="009B533C"/>
    <w:rsid w:val="009B57E0"/>
    <w:rsid w:val="009B65CF"/>
    <w:rsid w:val="009C08FE"/>
    <w:rsid w:val="009C3F7E"/>
    <w:rsid w:val="009C4AAE"/>
    <w:rsid w:val="009C4DE8"/>
    <w:rsid w:val="009C6D89"/>
    <w:rsid w:val="009C7626"/>
    <w:rsid w:val="009D3E2B"/>
    <w:rsid w:val="009D44C9"/>
    <w:rsid w:val="009D47E5"/>
    <w:rsid w:val="009D62A6"/>
    <w:rsid w:val="009D69BE"/>
    <w:rsid w:val="009D78E5"/>
    <w:rsid w:val="009E0A84"/>
    <w:rsid w:val="009E2853"/>
    <w:rsid w:val="009E411C"/>
    <w:rsid w:val="009E59D7"/>
    <w:rsid w:val="009E5B23"/>
    <w:rsid w:val="009F0F8E"/>
    <w:rsid w:val="009F1F57"/>
    <w:rsid w:val="009F25A2"/>
    <w:rsid w:val="009F3FE1"/>
    <w:rsid w:val="009F4E87"/>
    <w:rsid w:val="009F53A5"/>
    <w:rsid w:val="009F5879"/>
    <w:rsid w:val="009F5B62"/>
    <w:rsid w:val="00A01902"/>
    <w:rsid w:val="00A01C18"/>
    <w:rsid w:val="00A0203F"/>
    <w:rsid w:val="00A038E1"/>
    <w:rsid w:val="00A04270"/>
    <w:rsid w:val="00A0506D"/>
    <w:rsid w:val="00A063D0"/>
    <w:rsid w:val="00A06494"/>
    <w:rsid w:val="00A06613"/>
    <w:rsid w:val="00A070BC"/>
    <w:rsid w:val="00A101E3"/>
    <w:rsid w:val="00A104DD"/>
    <w:rsid w:val="00A10943"/>
    <w:rsid w:val="00A13CA5"/>
    <w:rsid w:val="00A13F97"/>
    <w:rsid w:val="00A15F89"/>
    <w:rsid w:val="00A16593"/>
    <w:rsid w:val="00A17D78"/>
    <w:rsid w:val="00A21CE1"/>
    <w:rsid w:val="00A245E5"/>
    <w:rsid w:val="00A246A9"/>
    <w:rsid w:val="00A25267"/>
    <w:rsid w:val="00A2696F"/>
    <w:rsid w:val="00A26AB3"/>
    <w:rsid w:val="00A27125"/>
    <w:rsid w:val="00A27BEE"/>
    <w:rsid w:val="00A32231"/>
    <w:rsid w:val="00A3522A"/>
    <w:rsid w:val="00A352A1"/>
    <w:rsid w:val="00A3585A"/>
    <w:rsid w:val="00A36248"/>
    <w:rsid w:val="00A37382"/>
    <w:rsid w:val="00A41504"/>
    <w:rsid w:val="00A419E5"/>
    <w:rsid w:val="00A428A7"/>
    <w:rsid w:val="00A44EB7"/>
    <w:rsid w:val="00A46257"/>
    <w:rsid w:val="00A47A6A"/>
    <w:rsid w:val="00A50139"/>
    <w:rsid w:val="00A5644B"/>
    <w:rsid w:val="00A56B98"/>
    <w:rsid w:val="00A61CD6"/>
    <w:rsid w:val="00A6202F"/>
    <w:rsid w:val="00A620DD"/>
    <w:rsid w:val="00A64BBA"/>
    <w:rsid w:val="00A7031D"/>
    <w:rsid w:val="00A70440"/>
    <w:rsid w:val="00A723EA"/>
    <w:rsid w:val="00A73353"/>
    <w:rsid w:val="00A74F25"/>
    <w:rsid w:val="00A766C6"/>
    <w:rsid w:val="00A81138"/>
    <w:rsid w:val="00A83D75"/>
    <w:rsid w:val="00A842DE"/>
    <w:rsid w:val="00A84AB9"/>
    <w:rsid w:val="00A86DBF"/>
    <w:rsid w:val="00A90182"/>
    <w:rsid w:val="00A903EA"/>
    <w:rsid w:val="00A90C5B"/>
    <w:rsid w:val="00A92CAD"/>
    <w:rsid w:val="00A93209"/>
    <w:rsid w:val="00A93473"/>
    <w:rsid w:val="00A96A42"/>
    <w:rsid w:val="00AA01DB"/>
    <w:rsid w:val="00AA062D"/>
    <w:rsid w:val="00AA0844"/>
    <w:rsid w:val="00AA10D9"/>
    <w:rsid w:val="00AA3CE7"/>
    <w:rsid w:val="00AA44BE"/>
    <w:rsid w:val="00AA5E45"/>
    <w:rsid w:val="00AA6E10"/>
    <w:rsid w:val="00AA7E18"/>
    <w:rsid w:val="00AB01E0"/>
    <w:rsid w:val="00AB09A1"/>
    <w:rsid w:val="00AB0BCA"/>
    <w:rsid w:val="00AB1D9C"/>
    <w:rsid w:val="00AB3D14"/>
    <w:rsid w:val="00AB65AE"/>
    <w:rsid w:val="00AB7045"/>
    <w:rsid w:val="00AC2908"/>
    <w:rsid w:val="00AC4D03"/>
    <w:rsid w:val="00AC54D8"/>
    <w:rsid w:val="00AC5FEE"/>
    <w:rsid w:val="00AC7BE3"/>
    <w:rsid w:val="00AD065B"/>
    <w:rsid w:val="00AD1901"/>
    <w:rsid w:val="00AD397F"/>
    <w:rsid w:val="00AD519C"/>
    <w:rsid w:val="00AD57B5"/>
    <w:rsid w:val="00AD75A0"/>
    <w:rsid w:val="00AE0A46"/>
    <w:rsid w:val="00AE2549"/>
    <w:rsid w:val="00AE27C3"/>
    <w:rsid w:val="00AE2D7D"/>
    <w:rsid w:val="00AE4C6E"/>
    <w:rsid w:val="00AE7F08"/>
    <w:rsid w:val="00AF1E3A"/>
    <w:rsid w:val="00AF2353"/>
    <w:rsid w:val="00AF249F"/>
    <w:rsid w:val="00AF29BA"/>
    <w:rsid w:val="00AF29CE"/>
    <w:rsid w:val="00AF4B80"/>
    <w:rsid w:val="00AF6D3C"/>
    <w:rsid w:val="00B0090E"/>
    <w:rsid w:val="00B00B62"/>
    <w:rsid w:val="00B03923"/>
    <w:rsid w:val="00B05944"/>
    <w:rsid w:val="00B06D85"/>
    <w:rsid w:val="00B108D6"/>
    <w:rsid w:val="00B1098B"/>
    <w:rsid w:val="00B112C7"/>
    <w:rsid w:val="00B1198E"/>
    <w:rsid w:val="00B160F6"/>
    <w:rsid w:val="00B204A8"/>
    <w:rsid w:val="00B21114"/>
    <w:rsid w:val="00B21278"/>
    <w:rsid w:val="00B21652"/>
    <w:rsid w:val="00B220AC"/>
    <w:rsid w:val="00B2251C"/>
    <w:rsid w:val="00B23A73"/>
    <w:rsid w:val="00B23FF4"/>
    <w:rsid w:val="00B240D0"/>
    <w:rsid w:val="00B2590B"/>
    <w:rsid w:val="00B25AA6"/>
    <w:rsid w:val="00B30863"/>
    <w:rsid w:val="00B32C0D"/>
    <w:rsid w:val="00B350B0"/>
    <w:rsid w:val="00B3563B"/>
    <w:rsid w:val="00B361BB"/>
    <w:rsid w:val="00B36856"/>
    <w:rsid w:val="00B368D9"/>
    <w:rsid w:val="00B36AC0"/>
    <w:rsid w:val="00B37BD5"/>
    <w:rsid w:val="00B37C57"/>
    <w:rsid w:val="00B37D2D"/>
    <w:rsid w:val="00B4022D"/>
    <w:rsid w:val="00B440A2"/>
    <w:rsid w:val="00B44EEC"/>
    <w:rsid w:val="00B45256"/>
    <w:rsid w:val="00B5336D"/>
    <w:rsid w:val="00B542A0"/>
    <w:rsid w:val="00B544D6"/>
    <w:rsid w:val="00B61804"/>
    <w:rsid w:val="00B62E56"/>
    <w:rsid w:val="00B6306F"/>
    <w:rsid w:val="00B65DF5"/>
    <w:rsid w:val="00B703FF"/>
    <w:rsid w:val="00B7051B"/>
    <w:rsid w:val="00B71838"/>
    <w:rsid w:val="00B71C1F"/>
    <w:rsid w:val="00B74B7A"/>
    <w:rsid w:val="00B76A3B"/>
    <w:rsid w:val="00B80807"/>
    <w:rsid w:val="00B82876"/>
    <w:rsid w:val="00B839FC"/>
    <w:rsid w:val="00B859F1"/>
    <w:rsid w:val="00B85DA7"/>
    <w:rsid w:val="00B862CC"/>
    <w:rsid w:val="00B86630"/>
    <w:rsid w:val="00B873C3"/>
    <w:rsid w:val="00B90AE0"/>
    <w:rsid w:val="00B90D94"/>
    <w:rsid w:val="00B924D6"/>
    <w:rsid w:val="00B930F6"/>
    <w:rsid w:val="00B93FC3"/>
    <w:rsid w:val="00B9422A"/>
    <w:rsid w:val="00B9518F"/>
    <w:rsid w:val="00B95CFC"/>
    <w:rsid w:val="00B96881"/>
    <w:rsid w:val="00BA10C2"/>
    <w:rsid w:val="00BA6A0F"/>
    <w:rsid w:val="00BA6CF9"/>
    <w:rsid w:val="00BB0623"/>
    <w:rsid w:val="00BB126C"/>
    <w:rsid w:val="00BB204F"/>
    <w:rsid w:val="00BB2358"/>
    <w:rsid w:val="00BB2C1A"/>
    <w:rsid w:val="00BB7482"/>
    <w:rsid w:val="00BB7F82"/>
    <w:rsid w:val="00BC005C"/>
    <w:rsid w:val="00BC1462"/>
    <w:rsid w:val="00BC2AB2"/>
    <w:rsid w:val="00BC4B55"/>
    <w:rsid w:val="00BC4F68"/>
    <w:rsid w:val="00BC66EB"/>
    <w:rsid w:val="00BC67F7"/>
    <w:rsid w:val="00BC751E"/>
    <w:rsid w:val="00BD0295"/>
    <w:rsid w:val="00BD05AA"/>
    <w:rsid w:val="00BD13E7"/>
    <w:rsid w:val="00BD27C8"/>
    <w:rsid w:val="00BD2D7E"/>
    <w:rsid w:val="00BD310C"/>
    <w:rsid w:val="00BD3200"/>
    <w:rsid w:val="00BD3A23"/>
    <w:rsid w:val="00BD4BBE"/>
    <w:rsid w:val="00BD4FD3"/>
    <w:rsid w:val="00BE1FE7"/>
    <w:rsid w:val="00BE32ED"/>
    <w:rsid w:val="00BE3691"/>
    <w:rsid w:val="00BE4978"/>
    <w:rsid w:val="00BE4A3A"/>
    <w:rsid w:val="00BE64D6"/>
    <w:rsid w:val="00BE7B3E"/>
    <w:rsid w:val="00BF24DC"/>
    <w:rsid w:val="00BF2C5A"/>
    <w:rsid w:val="00BF3CF6"/>
    <w:rsid w:val="00BF41DA"/>
    <w:rsid w:val="00BF4A6A"/>
    <w:rsid w:val="00BF4FB5"/>
    <w:rsid w:val="00BF57F7"/>
    <w:rsid w:val="00BF5A45"/>
    <w:rsid w:val="00BF5C40"/>
    <w:rsid w:val="00BF6E03"/>
    <w:rsid w:val="00C00AA3"/>
    <w:rsid w:val="00C01E9C"/>
    <w:rsid w:val="00C021AD"/>
    <w:rsid w:val="00C024D8"/>
    <w:rsid w:val="00C052CC"/>
    <w:rsid w:val="00C06268"/>
    <w:rsid w:val="00C062C1"/>
    <w:rsid w:val="00C079FF"/>
    <w:rsid w:val="00C10685"/>
    <w:rsid w:val="00C10926"/>
    <w:rsid w:val="00C114A2"/>
    <w:rsid w:val="00C114A5"/>
    <w:rsid w:val="00C120AC"/>
    <w:rsid w:val="00C13D02"/>
    <w:rsid w:val="00C15231"/>
    <w:rsid w:val="00C242E8"/>
    <w:rsid w:val="00C25510"/>
    <w:rsid w:val="00C267AD"/>
    <w:rsid w:val="00C312FC"/>
    <w:rsid w:val="00C3240E"/>
    <w:rsid w:val="00C329D4"/>
    <w:rsid w:val="00C342C2"/>
    <w:rsid w:val="00C34FE9"/>
    <w:rsid w:val="00C35D67"/>
    <w:rsid w:val="00C37199"/>
    <w:rsid w:val="00C405A7"/>
    <w:rsid w:val="00C41223"/>
    <w:rsid w:val="00C44C70"/>
    <w:rsid w:val="00C451DC"/>
    <w:rsid w:val="00C46966"/>
    <w:rsid w:val="00C479DB"/>
    <w:rsid w:val="00C50D6C"/>
    <w:rsid w:val="00C51BF3"/>
    <w:rsid w:val="00C5361F"/>
    <w:rsid w:val="00C55A43"/>
    <w:rsid w:val="00C60E74"/>
    <w:rsid w:val="00C67727"/>
    <w:rsid w:val="00C73BD5"/>
    <w:rsid w:val="00C74FA0"/>
    <w:rsid w:val="00C7566F"/>
    <w:rsid w:val="00C766C6"/>
    <w:rsid w:val="00C77CA7"/>
    <w:rsid w:val="00C77D41"/>
    <w:rsid w:val="00C8101F"/>
    <w:rsid w:val="00C81E26"/>
    <w:rsid w:val="00C82637"/>
    <w:rsid w:val="00C82765"/>
    <w:rsid w:val="00C82C50"/>
    <w:rsid w:val="00C8304B"/>
    <w:rsid w:val="00C83466"/>
    <w:rsid w:val="00C8600E"/>
    <w:rsid w:val="00C861CA"/>
    <w:rsid w:val="00C8661B"/>
    <w:rsid w:val="00C8715E"/>
    <w:rsid w:val="00C873AD"/>
    <w:rsid w:val="00C875D1"/>
    <w:rsid w:val="00C87F3D"/>
    <w:rsid w:val="00C928F5"/>
    <w:rsid w:val="00C92F34"/>
    <w:rsid w:val="00C937F0"/>
    <w:rsid w:val="00C94905"/>
    <w:rsid w:val="00C94D32"/>
    <w:rsid w:val="00C95881"/>
    <w:rsid w:val="00CA13E6"/>
    <w:rsid w:val="00CA2396"/>
    <w:rsid w:val="00CA2560"/>
    <w:rsid w:val="00CA2DC0"/>
    <w:rsid w:val="00CA304B"/>
    <w:rsid w:val="00CA3C16"/>
    <w:rsid w:val="00CA5DF5"/>
    <w:rsid w:val="00CA6956"/>
    <w:rsid w:val="00CA69A6"/>
    <w:rsid w:val="00CB0FA5"/>
    <w:rsid w:val="00CB174C"/>
    <w:rsid w:val="00CB2D8D"/>
    <w:rsid w:val="00CB3C96"/>
    <w:rsid w:val="00CB40E0"/>
    <w:rsid w:val="00CB4550"/>
    <w:rsid w:val="00CB49EE"/>
    <w:rsid w:val="00CB5002"/>
    <w:rsid w:val="00CB5BC9"/>
    <w:rsid w:val="00CB6149"/>
    <w:rsid w:val="00CB6694"/>
    <w:rsid w:val="00CC13D2"/>
    <w:rsid w:val="00CC2A6E"/>
    <w:rsid w:val="00CC4287"/>
    <w:rsid w:val="00CC4451"/>
    <w:rsid w:val="00CC7F18"/>
    <w:rsid w:val="00CD012C"/>
    <w:rsid w:val="00CD15F0"/>
    <w:rsid w:val="00CD256B"/>
    <w:rsid w:val="00CD4109"/>
    <w:rsid w:val="00CD5FFC"/>
    <w:rsid w:val="00CD7649"/>
    <w:rsid w:val="00CE276D"/>
    <w:rsid w:val="00CE5226"/>
    <w:rsid w:val="00CE606A"/>
    <w:rsid w:val="00CE6AEF"/>
    <w:rsid w:val="00CE6D88"/>
    <w:rsid w:val="00CE7CC4"/>
    <w:rsid w:val="00CF070D"/>
    <w:rsid w:val="00CF2FDE"/>
    <w:rsid w:val="00CF5676"/>
    <w:rsid w:val="00CF5DDF"/>
    <w:rsid w:val="00CF6DD7"/>
    <w:rsid w:val="00CF78C5"/>
    <w:rsid w:val="00CF7C44"/>
    <w:rsid w:val="00D02E05"/>
    <w:rsid w:val="00D05D5E"/>
    <w:rsid w:val="00D076A4"/>
    <w:rsid w:val="00D118DA"/>
    <w:rsid w:val="00D1282F"/>
    <w:rsid w:val="00D13508"/>
    <w:rsid w:val="00D13AC5"/>
    <w:rsid w:val="00D15249"/>
    <w:rsid w:val="00D16D15"/>
    <w:rsid w:val="00D204A6"/>
    <w:rsid w:val="00D20847"/>
    <w:rsid w:val="00D219DF"/>
    <w:rsid w:val="00D21EC3"/>
    <w:rsid w:val="00D2395F"/>
    <w:rsid w:val="00D24A96"/>
    <w:rsid w:val="00D2621F"/>
    <w:rsid w:val="00D27602"/>
    <w:rsid w:val="00D31995"/>
    <w:rsid w:val="00D33828"/>
    <w:rsid w:val="00D34969"/>
    <w:rsid w:val="00D35453"/>
    <w:rsid w:val="00D438F7"/>
    <w:rsid w:val="00D46506"/>
    <w:rsid w:val="00D47B40"/>
    <w:rsid w:val="00D50201"/>
    <w:rsid w:val="00D50C14"/>
    <w:rsid w:val="00D51987"/>
    <w:rsid w:val="00D520A3"/>
    <w:rsid w:val="00D531CD"/>
    <w:rsid w:val="00D55C41"/>
    <w:rsid w:val="00D60EE4"/>
    <w:rsid w:val="00D63816"/>
    <w:rsid w:val="00D64D49"/>
    <w:rsid w:val="00D65CC8"/>
    <w:rsid w:val="00D664D8"/>
    <w:rsid w:val="00D674C9"/>
    <w:rsid w:val="00D7408D"/>
    <w:rsid w:val="00D748CF"/>
    <w:rsid w:val="00D74CE7"/>
    <w:rsid w:val="00D7640E"/>
    <w:rsid w:val="00D766FD"/>
    <w:rsid w:val="00D76F14"/>
    <w:rsid w:val="00D81BE8"/>
    <w:rsid w:val="00D871F7"/>
    <w:rsid w:val="00D879AD"/>
    <w:rsid w:val="00D925B6"/>
    <w:rsid w:val="00D92D9E"/>
    <w:rsid w:val="00D9389C"/>
    <w:rsid w:val="00D94926"/>
    <w:rsid w:val="00D94A1E"/>
    <w:rsid w:val="00D954A3"/>
    <w:rsid w:val="00D95676"/>
    <w:rsid w:val="00D95DCA"/>
    <w:rsid w:val="00D95EFC"/>
    <w:rsid w:val="00D96B80"/>
    <w:rsid w:val="00D972E7"/>
    <w:rsid w:val="00DA2A77"/>
    <w:rsid w:val="00DA31C9"/>
    <w:rsid w:val="00DA3242"/>
    <w:rsid w:val="00DA4514"/>
    <w:rsid w:val="00DA4D85"/>
    <w:rsid w:val="00DA5F3F"/>
    <w:rsid w:val="00DA614E"/>
    <w:rsid w:val="00DA6479"/>
    <w:rsid w:val="00DB0776"/>
    <w:rsid w:val="00DB2964"/>
    <w:rsid w:val="00DB3BE4"/>
    <w:rsid w:val="00DB4AE5"/>
    <w:rsid w:val="00DB7853"/>
    <w:rsid w:val="00DC0C3C"/>
    <w:rsid w:val="00DC18DD"/>
    <w:rsid w:val="00DC310A"/>
    <w:rsid w:val="00DC3796"/>
    <w:rsid w:val="00DC4A78"/>
    <w:rsid w:val="00DC5DEE"/>
    <w:rsid w:val="00DC6BFE"/>
    <w:rsid w:val="00DC6EC1"/>
    <w:rsid w:val="00DC7E74"/>
    <w:rsid w:val="00DD0660"/>
    <w:rsid w:val="00DD1943"/>
    <w:rsid w:val="00DD25A5"/>
    <w:rsid w:val="00DD2E01"/>
    <w:rsid w:val="00DD363B"/>
    <w:rsid w:val="00DD568D"/>
    <w:rsid w:val="00DD7AB0"/>
    <w:rsid w:val="00DE388B"/>
    <w:rsid w:val="00DE44DE"/>
    <w:rsid w:val="00DE4F7C"/>
    <w:rsid w:val="00DE65D0"/>
    <w:rsid w:val="00DE7E91"/>
    <w:rsid w:val="00DF2AB8"/>
    <w:rsid w:val="00DF2BF9"/>
    <w:rsid w:val="00DF3717"/>
    <w:rsid w:val="00DF446D"/>
    <w:rsid w:val="00DF48CE"/>
    <w:rsid w:val="00DF4957"/>
    <w:rsid w:val="00DF4BB4"/>
    <w:rsid w:val="00DF75D4"/>
    <w:rsid w:val="00E0442C"/>
    <w:rsid w:val="00E04C85"/>
    <w:rsid w:val="00E062AD"/>
    <w:rsid w:val="00E1062A"/>
    <w:rsid w:val="00E12552"/>
    <w:rsid w:val="00E12670"/>
    <w:rsid w:val="00E12CDB"/>
    <w:rsid w:val="00E13C85"/>
    <w:rsid w:val="00E140DB"/>
    <w:rsid w:val="00E145EA"/>
    <w:rsid w:val="00E15472"/>
    <w:rsid w:val="00E16F85"/>
    <w:rsid w:val="00E200E1"/>
    <w:rsid w:val="00E21218"/>
    <w:rsid w:val="00E24640"/>
    <w:rsid w:val="00E24732"/>
    <w:rsid w:val="00E2473B"/>
    <w:rsid w:val="00E24E36"/>
    <w:rsid w:val="00E25A21"/>
    <w:rsid w:val="00E26B2F"/>
    <w:rsid w:val="00E302B0"/>
    <w:rsid w:val="00E309FF"/>
    <w:rsid w:val="00E31932"/>
    <w:rsid w:val="00E31C1B"/>
    <w:rsid w:val="00E3280F"/>
    <w:rsid w:val="00E33ADC"/>
    <w:rsid w:val="00E34149"/>
    <w:rsid w:val="00E36939"/>
    <w:rsid w:val="00E401CD"/>
    <w:rsid w:val="00E42BB5"/>
    <w:rsid w:val="00E436EA"/>
    <w:rsid w:val="00E4548E"/>
    <w:rsid w:val="00E51C8F"/>
    <w:rsid w:val="00E54EC9"/>
    <w:rsid w:val="00E56AAD"/>
    <w:rsid w:val="00E56E2E"/>
    <w:rsid w:val="00E57951"/>
    <w:rsid w:val="00E60BC8"/>
    <w:rsid w:val="00E60FFD"/>
    <w:rsid w:val="00E627DB"/>
    <w:rsid w:val="00E64E60"/>
    <w:rsid w:val="00E669C2"/>
    <w:rsid w:val="00E678B6"/>
    <w:rsid w:val="00E749E5"/>
    <w:rsid w:val="00E75929"/>
    <w:rsid w:val="00E77DD3"/>
    <w:rsid w:val="00E8031B"/>
    <w:rsid w:val="00E80CAD"/>
    <w:rsid w:val="00E816E3"/>
    <w:rsid w:val="00E81A27"/>
    <w:rsid w:val="00E83689"/>
    <w:rsid w:val="00E83907"/>
    <w:rsid w:val="00E86C77"/>
    <w:rsid w:val="00E870E0"/>
    <w:rsid w:val="00E87187"/>
    <w:rsid w:val="00E8764F"/>
    <w:rsid w:val="00E90D07"/>
    <w:rsid w:val="00E9435F"/>
    <w:rsid w:val="00E954BF"/>
    <w:rsid w:val="00E957BA"/>
    <w:rsid w:val="00E96121"/>
    <w:rsid w:val="00E96555"/>
    <w:rsid w:val="00E96960"/>
    <w:rsid w:val="00EA0B55"/>
    <w:rsid w:val="00EA0C8B"/>
    <w:rsid w:val="00EA12B6"/>
    <w:rsid w:val="00EA1496"/>
    <w:rsid w:val="00EA29A3"/>
    <w:rsid w:val="00EA2B2B"/>
    <w:rsid w:val="00EA2B62"/>
    <w:rsid w:val="00EA2B8A"/>
    <w:rsid w:val="00EA2F2A"/>
    <w:rsid w:val="00EA566E"/>
    <w:rsid w:val="00EA5911"/>
    <w:rsid w:val="00EA74D6"/>
    <w:rsid w:val="00EA76F9"/>
    <w:rsid w:val="00EB106E"/>
    <w:rsid w:val="00EB1B58"/>
    <w:rsid w:val="00EB1C19"/>
    <w:rsid w:val="00EB25D4"/>
    <w:rsid w:val="00EB27B7"/>
    <w:rsid w:val="00EB2A4D"/>
    <w:rsid w:val="00EB2BFD"/>
    <w:rsid w:val="00EB3012"/>
    <w:rsid w:val="00EB3C3E"/>
    <w:rsid w:val="00EB46DD"/>
    <w:rsid w:val="00EB4A2A"/>
    <w:rsid w:val="00EB57DA"/>
    <w:rsid w:val="00EB5A16"/>
    <w:rsid w:val="00EB5DC2"/>
    <w:rsid w:val="00EC0F17"/>
    <w:rsid w:val="00EC38EC"/>
    <w:rsid w:val="00EC3A70"/>
    <w:rsid w:val="00EC41BB"/>
    <w:rsid w:val="00EC6E75"/>
    <w:rsid w:val="00ED0C05"/>
    <w:rsid w:val="00ED1B91"/>
    <w:rsid w:val="00ED1CBA"/>
    <w:rsid w:val="00ED20F2"/>
    <w:rsid w:val="00ED2A25"/>
    <w:rsid w:val="00ED33BF"/>
    <w:rsid w:val="00ED3B44"/>
    <w:rsid w:val="00ED4113"/>
    <w:rsid w:val="00ED4121"/>
    <w:rsid w:val="00ED705A"/>
    <w:rsid w:val="00ED7203"/>
    <w:rsid w:val="00EE0F73"/>
    <w:rsid w:val="00EE1299"/>
    <w:rsid w:val="00EE1700"/>
    <w:rsid w:val="00EE227F"/>
    <w:rsid w:val="00EE2F7F"/>
    <w:rsid w:val="00EE47E5"/>
    <w:rsid w:val="00EE61FE"/>
    <w:rsid w:val="00EE6DFC"/>
    <w:rsid w:val="00EF0A55"/>
    <w:rsid w:val="00EF2D7E"/>
    <w:rsid w:val="00EF303D"/>
    <w:rsid w:val="00EF3E4E"/>
    <w:rsid w:val="00EF475E"/>
    <w:rsid w:val="00F0433E"/>
    <w:rsid w:val="00F06A78"/>
    <w:rsid w:val="00F06FC0"/>
    <w:rsid w:val="00F11F1D"/>
    <w:rsid w:val="00F1286B"/>
    <w:rsid w:val="00F13285"/>
    <w:rsid w:val="00F13963"/>
    <w:rsid w:val="00F13999"/>
    <w:rsid w:val="00F13BAB"/>
    <w:rsid w:val="00F1403C"/>
    <w:rsid w:val="00F15A80"/>
    <w:rsid w:val="00F20ED4"/>
    <w:rsid w:val="00F2129A"/>
    <w:rsid w:val="00F22C9F"/>
    <w:rsid w:val="00F25338"/>
    <w:rsid w:val="00F272A1"/>
    <w:rsid w:val="00F27F44"/>
    <w:rsid w:val="00F30148"/>
    <w:rsid w:val="00F32EB2"/>
    <w:rsid w:val="00F33824"/>
    <w:rsid w:val="00F34C94"/>
    <w:rsid w:val="00F35823"/>
    <w:rsid w:val="00F415E7"/>
    <w:rsid w:val="00F43485"/>
    <w:rsid w:val="00F440CF"/>
    <w:rsid w:val="00F44562"/>
    <w:rsid w:val="00F4628E"/>
    <w:rsid w:val="00F47E8C"/>
    <w:rsid w:val="00F50E48"/>
    <w:rsid w:val="00F51544"/>
    <w:rsid w:val="00F524FE"/>
    <w:rsid w:val="00F5262B"/>
    <w:rsid w:val="00F528D3"/>
    <w:rsid w:val="00F52F1C"/>
    <w:rsid w:val="00F542D1"/>
    <w:rsid w:val="00F574DD"/>
    <w:rsid w:val="00F57D27"/>
    <w:rsid w:val="00F60907"/>
    <w:rsid w:val="00F633E9"/>
    <w:rsid w:val="00F63BAD"/>
    <w:rsid w:val="00F647BA"/>
    <w:rsid w:val="00F64C0B"/>
    <w:rsid w:val="00F65136"/>
    <w:rsid w:val="00F66D91"/>
    <w:rsid w:val="00F67A52"/>
    <w:rsid w:val="00F67D2B"/>
    <w:rsid w:val="00F708B2"/>
    <w:rsid w:val="00F7298E"/>
    <w:rsid w:val="00F74CBB"/>
    <w:rsid w:val="00F74D37"/>
    <w:rsid w:val="00F75C2F"/>
    <w:rsid w:val="00F77DF7"/>
    <w:rsid w:val="00F8222A"/>
    <w:rsid w:val="00F84435"/>
    <w:rsid w:val="00F848C5"/>
    <w:rsid w:val="00F84B55"/>
    <w:rsid w:val="00F85DBF"/>
    <w:rsid w:val="00F87B00"/>
    <w:rsid w:val="00F87F1A"/>
    <w:rsid w:val="00F90DB7"/>
    <w:rsid w:val="00F913BD"/>
    <w:rsid w:val="00F927EF"/>
    <w:rsid w:val="00F94F04"/>
    <w:rsid w:val="00F95278"/>
    <w:rsid w:val="00F9534F"/>
    <w:rsid w:val="00F95FF6"/>
    <w:rsid w:val="00FA0E11"/>
    <w:rsid w:val="00FA1331"/>
    <w:rsid w:val="00FA20C5"/>
    <w:rsid w:val="00FA4540"/>
    <w:rsid w:val="00FA4A8B"/>
    <w:rsid w:val="00FA5FF8"/>
    <w:rsid w:val="00FA6503"/>
    <w:rsid w:val="00FA7884"/>
    <w:rsid w:val="00FB0185"/>
    <w:rsid w:val="00FB2163"/>
    <w:rsid w:val="00FB24DA"/>
    <w:rsid w:val="00FB27EB"/>
    <w:rsid w:val="00FB60CC"/>
    <w:rsid w:val="00FB6B6E"/>
    <w:rsid w:val="00FB72B9"/>
    <w:rsid w:val="00FB7B1C"/>
    <w:rsid w:val="00FB7F4F"/>
    <w:rsid w:val="00FC0DF4"/>
    <w:rsid w:val="00FC1F16"/>
    <w:rsid w:val="00FC1F37"/>
    <w:rsid w:val="00FC34D3"/>
    <w:rsid w:val="00FC6337"/>
    <w:rsid w:val="00FD08AE"/>
    <w:rsid w:val="00FD2D65"/>
    <w:rsid w:val="00FD520D"/>
    <w:rsid w:val="00FD5FFF"/>
    <w:rsid w:val="00FD74C1"/>
    <w:rsid w:val="00FE13D9"/>
    <w:rsid w:val="00FE1AF1"/>
    <w:rsid w:val="00FE2BF6"/>
    <w:rsid w:val="00FE5F6E"/>
    <w:rsid w:val="00FE67A8"/>
    <w:rsid w:val="00FE792D"/>
    <w:rsid w:val="00FF37D3"/>
    <w:rsid w:val="00FF4EDE"/>
    <w:rsid w:val="02BB3DA4"/>
    <w:rsid w:val="07CA2C23"/>
    <w:rsid w:val="083E0C05"/>
    <w:rsid w:val="140D77F3"/>
    <w:rsid w:val="2D71724B"/>
    <w:rsid w:val="2FDF0910"/>
    <w:rsid w:val="3F5E11DE"/>
    <w:rsid w:val="402E10BB"/>
    <w:rsid w:val="4128082E"/>
    <w:rsid w:val="457E0C81"/>
    <w:rsid w:val="48D969AD"/>
    <w:rsid w:val="512B5A50"/>
    <w:rsid w:val="550F5CAE"/>
    <w:rsid w:val="59AB13F5"/>
    <w:rsid w:val="5CF65CAF"/>
    <w:rsid w:val="60745059"/>
    <w:rsid w:val="60A47BAC"/>
    <w:rsid w:val="66D8678F"/>
    <w:rsid w:val="75924CF1"/>
    <w:rsid w:val="784F1833"/>
    <w:rsid w:val="7B0D4F30"/>
    <w:rsid w:val="7B1B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99" w:semiHidden="0" w:name="Normal Indent"/>
    <w:lsdException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toc 7"/>
    <w:basedOn w:val="1"/>
    <w:next w:val="1"/>
    <w:semiHidden/>
    <w:qFormat/>
    <w:uiPriority w:val="0"/>
    <w:pPr>
      <w:ind w:left="2520" w:leftChars="1200"/>
    </w:pPr>
  </w:style>
  <w:style w:type="paragraph" w:styleId="6">
    <w:name w:val="Document Map"/>
    <w:basedOn w:val="1"/>
    <w:semiHidden/>
    <w:qFormat/>
    <w:uiPriority w:val="0"/>
    <w:pPr>
      <w:shd w:val="clear" w:color="auto" w:fill="000080"/>
    </w:pPr>
  </w:style>
  <w:style w:type="paragraph" w:styleId="7">
    <w:name w:val="annotation text"/>
    <w:basedOn w:val="1"/>
    <w:link w:val="40"/>
    <w:semiHidden/>
    <w:qFormat/>
    <w:uiPriority w:val="0"/>
    <w:pPr>
      <w:jc w:val="left"/>
    </w:pPr>
  </w:style>
  <w:style w:type="paragraph" w:styleId="8">
    <w:name w:val="Body Text"/>
    <w:basedOn w:val="1"/>
    <w:qFormat/>
    <w:uiPriority w:val="0"/>
    <w:pPr>
      <w:spacing w:line="360" w:lineRule="auto"/>
    </w:pPr>
    <w:rPr>
      <w:rFonts w:ascii="仿宋_GB2312" w:eastAsia="仿宋_GB2312"/>
      <w:color w:val="000000"/>
      <w:kern w:val="0"/>
      <w:sz w:val="24"/>
      <w:szCs w:val="28"/>
    </w:rPr>
  </w:style>
  <w:style w:type="paragraph" w:styleId="9">
    <w:name w:val="Body Text Indent"/>
    <w:basedOn w:val="1"/>
    <w:qFormat/>
    <w:uiPriority w:val="0"/>
    <w:pPr>
      <w:adjustRightInd w:val="0"/>
      <w:snapToGrid w:val="0"/>
      <w:spacing w:line="560" w:lineRule="exact"/>
      <w:ind w:firstLine="480" w:firstLineChars="200"/>
    </w:pPr>
    <w:rPr>
      <w:rFonts w:eastAsia="方正仿宋简体"/>
      <w:sz w:val="24"/>
      <w:szCs w:val="30"/>
    </w:rPr>
  </w:style>
  <w:style w:type="paragraph" w:styleId="10">
    <w:name w:val="toc 5"/>
    <w:basedOn w:val="1"/>
    <w:next w:val="1"/>
    <w:semiHidden/>
    <w:qFormat/>
    <w:uiPriority w:val="0"/>
    <w:pPr>
      <w:ind w:left="1680" w:leftChars="800"/>
    </w:pPr>
  </w:style>
  <w:style w:type="paragraph" w:styleId="11">
    <w:name w:val="toc 3"/>
    <w:basedOn w:val="1"/>
    <w:next w:val="1"/>
    <w:semiHidden/>
    <w:qFormat/>
    <w:uiPriority w:val="0"/>
    <w:pPr>
      <w:ind w:left="840" w:leftChars="400"/>
    </w:pPr>
  </w:style>
  <w:style w:type="paragraph" w:styleId="12">
    <w:name w:val="toc 8"/>
    <w:basedOn w:val="1"/>
    <w:next w:val="1"/>
    <w:semiHidden/>
    <w:qFormat/>
    <w:uiPriority w:val="0"/>
    <w:pPr>
      <w:ind w:left="2940" w:leftChars="1400"/>
    </w:pPr>
  </w:style>
  <w:style w:type="paragraph" w:styleId="13">
    <w:name w:val="Body Text Indent 2"/>
    <w:basedOn w:val="1"/>
    <w:qFormat/>
    <w:uiPriority w:val="0"/>
    <w:pPr>
      <w:spacing w:line="360" w:lineRule="auto"/>
      <w:ind w:firstLine="525"/>
    </w:pPr>
    <w:rPr>
      <w:rFonts w:ascii="宋体" w:hAnsi="宋体"/>
      <w:sz w:val="28"/>
      <w:szCs w:val="20"/>
    </w:rPr>
  </w:style>
  <w:style w:type="paragraph" w:styleId="14">
    <w:name w:val="Balloon Text"/>
    <w:basedOn w:val="1"/>
    <w:semiHidden/>
    <w:qFormat/>
    <w:uiPriority w:val="0"/>
    <w:rPr>
      <w:sz w:val="18"/>
      <w:szCs w:val="18"/>
    </w:rPr>
  </w:style>
  <w:style w:type="paragraph" w:styleId="15">
    <w:name w:val="footer"/>
    <w:basedOn w:val="1"/>
    <w:link w:val="43"/>
    <w:qFormat/>
    <w:uiPriority w:val="99"/>
    <w:pPr>
      <w:tabs>
        <w:tab w:val="center" w:pos="4153"/>
        <w:tab w:val="right" w:pos="8306"/>
      </w:tabs>
      <w:snapToGrid w:val="0"/>
      <w:jc w:val="left"/>
    </w:pPr>
    <w:rPr>
      <w:sz w:val="18"/>
      <w:szCs w:val="18"/>
    </w:rPr>
  </w:style>
  <w:style w:type="paragraph" w:styleId="16">
    <w:name w:val="header"/>
    <w:basedOn w:val="1"/>
    <w:link w:val="44"/>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toc 4"/>
    <w:basedOn w:val="1"/>
    <w:next w:val="1"/>
    <w:semiHidden/>
    <w:qFormat/>
    <w:uiPriority w:val="0"/>
    <w:pPr>
      <w:ind w:left="1260" w:leftChars="600"/>
    </w:pPr>
  </w:style>
  <w:style w:type="paragraph" w:styleId="19">
    <w:name w:val="toc 6"/>
    <w:basedOn w:val="1"/>
    <w:next w:val="1"/>
    <w:semiHidden/>
    <w:qFormat/>
    <w:uiPriority w:val="0"/>
    <w:pPr>
      <w:ind w:left="2100" w:leftChars="1000"/>
    </w:pPr>
  </w:style>
  <w:style w:type="paragraph" w:styleId="20">
    <w:name w:val="Body Text Indent 3"/>
    <w:basedOn w:val="1"/>
    <w:qFormat/>
    <w:uiPriority w:val="0"/>
    <w:pPr>
      <w:adjustRightInd w:val="0"/>
      <w:snapToGrid w:val="0"/>
      <w:ind w:firstLine="480" w:firstLineChars="200"/>
    </w:pPr>
    <w:rPr>
      <w:rFonts w:ascii="仿宋_GB2312" w:hAnsi="宋体" w:eastAsia="仿宋_GB2312" w:cs="Arial"/>
      <w:color w:val="000000"/>
      <w:sz w:val="24"/>
    </w:rPr>
  </w:style>
  <w:style w:type="paragraph" w:styleId="21">
    <w:name w:val="toc 2"/>
    <w:basedOn w:val="1"/>
    <w:next w:val="1"/>
    <w:qFormat/>
    <w:uiPriority w:val="39"/>
    <w:pPr>
      <w:ind w:left="420" w:leftChars="200"/>
    </w:pPr>
  </w:style>
  <w:style w:type="paragraph" w:styleId="22">
    <w:name w:val="toc 9"/>
    <w:basedOn w:val="1"/>
    <w:next w:val="1"/>
    <w:semiHidden/>
    <w:qFormat/>
    <w:uiPriority w:val="0"/>
    <w:pPr>
      <w:ind w:left="3360" w:leftChars="1600"/>
    </w:pPr>
  </w:style>
  <w:style w:type="paragraph" w:styleId="23">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styleId="24">
    <w:name w:val="Title"/>
    <w:basedOn w:val="1"/>
    <w:link w:val="42"/>
    <w:qFormat/>
    <w:uiPriority w:val="0"/>
    <w:pPr>
      <w:spacing w:before="240" w:after="60"/>
      <w:jc w:val="center"/>
      <w:outlineLvl w:val="0"/>
    </w:pPr>
    <w:rPr>
      <w:rFonts w:ascii="Arial" w:hAnsi="Arial"/>
      <w:b/>
      <w:bCs/>
      <w:sz w:val="32"/>
      <w:szCs w:val="32"/>
    </w:rPr>
  </w:style>
  <w:style w:type="paragraph" w:styleId="25">
    <w:name w:val="annotation subject"/>
    <w:basedOn w:val="7"/>
    <w:next w:val="7"/>
    <w:semiHidden/>
    <w:qFormat/>
    <w:uiPriority w:val="0"/>
    <w:rPr>
      <w:b/>
      <w:bCs/>
    </w:rPr>
  </w:style>
  <w:style w:type="character" w:styleId="28">
    <w:name w:val="Strong"/>
    <w:qFormat/>
    <w:uiPriority w:val="22"/>
    <w:rPr>
      <w:b/>
      <w:bCs/>
    </w:rPr>
  </w:style>
  <w:style w:type="character" w:styleId="29">
    <w:name w:val="page number"/>
    <w:basedOn w:val="27"/>
    <w:qFormat/>
    <w:uiPriority w:val="0"/>
  </w:style>
  <w:style w:type="character" w:styleId="30">
    <w:name w:val="FollowedHyperlink"/>
    <w:qFormat/>
    <w:uiPriority w:val="0"/>
    <w:rPr>
      <w:color w:val="800080"/>
      <w:u w:val="single"/>
    </w:rPr>
  </w:style>
  <w:style w:type="character" w:styleId="31">
    <w:name w:val="Hyperlink"/>
    <w:qFormat/>
    <w:uiPriority w:val="99"/>
    <w:rPr>
      <w:color w:val="0000FF"/>
      <w:u w:val="single"/>
    </w:rPr>
  </w:style>
  <w:style w:type="character" w:styleId="32">
    <w:name w:val="annotation reference"/>
    <w:semiHidden/>
    <w:qFormat/>
    <w:uiPriority w:val="99"/>
    <w:rPr>
      <w:sz w:val="21"/>
      <w:szCs w:val="21"/>
    </w:rPr>
  </w:style>
  <w:style w:type="paragraph" w:customStyle="1" w:styleId="33">
    <w:name w:val="wz1"/>
    <w:basedOn w:val="1"/>
    <w:qFormat/>
    <w:uiPriority w:val="0"/>
    <w:pPr>
      <w:widowControl/>
      <w:spacing w:before="100" w:beforeAutospacing="1" w:after="100" w:afterAutospacing="1" w:line="245" w:lineRule="atLeast"/>
      <w:jc w:val="left"/>
    </w:pPr>
    <w:rPr>
      <w:rFonts w:ascii="Arial Unicode MS" w:hAnsi="Arial Unicode MS" w:eastAsia="Arial Unicode MS" w:cs="Arial Unicode MS"/>
      <w:color w:val="CC0000"/>
      <w:kern w:val="0"/>
      <w:sz w:val="22"/>
      <w:szCs w:val="22"/>
    </w:rPr>
  </w:style>
  <w:style w:type="character" w:customStyle="1" w:styleId="34">
    <w:name w:val="read"/>
    <w:basedOn w:val="27"/>
    <w:qFormat/>
    <w:uiPriority w:val="0"/>
  </w:style>
  <w:style w:type="paragraph" w:customStyle="1" w:styleId="35">
    <w:name w:val="Char"/>
    <w:basedOn w:val="1"/>
    <w:qFormat/>
    <w:uiPriority w:val="0"/>
  </w:style>
  <w:style w:type="paragraph" w:customStyle="1" w:styleId="36">
    <w:name w:val="Char1"/>
    <w:basedOn w:val="1"/>
    <w:qFormat/>
    <w:uiPriority w:val="0"/>
    <w:pPr>
      <w:tabs>
        <w:tab w:val="left" w:pos="832"/>
      </w:tabs>
      <w:ind w:left="832" w:hanging="420"/>
      <w:jc w:val="center"/>
    </w:pPr>
    <w:rPr>
      <w:rFonts w:ascii="楷体_GB2312" w:eastAsia="楷体_GB2312"/>
      <w:b/>
      <w:color w:val="000080"/>
      <w:sz w:val="30"/>
      <w:szCs w:val="30"/>
    </w:rPr>
  </w:style>
  <w:style w:type="paragraph" w:customStyle="1" w:styleId="37">
    <w:name w:val="Char2"/>
    <w:basedOn w:val="1"/>
    <w:qFormat/>
    <w:uiPriority w:val="0"/>
  </w:style>
  <w:style w:type="paragraph" w:customStyle="1" w:styleId="38">
    <w:name w:val="Char Char Char Char Char Char Char"/>
    <w:basedOn w:val="1"/>
    <w:qFormat/>
    <w:uiPriority w:val="0"/>
  </w:style>
  <w:style w:type="paragraph" w:customStyle="1" w:styleId="3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0">
    <w:name w:val="批注文字 Char"/>
    <w:link w:val="7"/>
    <w:qFormat/>
    <w:uiPriority w:val="0"/>
    <w:rPr>
      <w:rFonts w:eastAsia="宋体"/>
      <w:kern w:val="2"/>
      <w:sz w:val="21"/>
      <w:szCs w:val="24"/>
      <w:lang w:val="en-US" w:eastAsia="zh-CN" w:bidi="ar-SA"/>
    </w:rPr>
  </w:style>
  <w:style w:type="paragraph" w:customStyle="1" w:styleId="4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2">
    <w:name w:val="标题 Char"/>
    <w:link w:val="24"/>
    <w:qFormat/>
    <w:uiPriority w:val="0"/>
    <w:rPr>
      <w:rFonts w:ascii="Arial" w:hAnsi="Arial" w:cs="Arial"/>
      <w:b/>
      <w:bCs/>
      <w:kern w:val="2"/>
      <w:sz w:val="32"/>
      <w:szCs w:val="32"/>
    </w:rPr>
  </w:style>
  <w:style w:type="character" w:customStyle="1" w:styleId="43">
    <w:name w:val="页脚 Char"/>
    <w:link w:val="15"/>
    <w:qFormat/>
    <w:uiPriority w:val="99"/>
    <w:rPr>
      <w:kern w:val="2"/>
      <w:sz w:val="18"/>
      <w:szCs w:val="18"/>
    </w:rPr>
  </w:style>
  <w:style w:type="character" w:customStyle="1" w:styleId="44">
    <w:name w:val="页眉 Char"/>
    <w:link w:val="16"/>
    <w:qFormat/>
    <w:uiPriority w:val="99"/>
    <w:rPr>
      <w:kern w:val="2"/>
      <w:sz w:val="18"/>
      <w:szCs w:val="18"/>
    </w:rPr>
  </w:style>
  <w:style w:type="character" w:customStyle="1" w:styleId="45">
    <w:name w:val="标题 1 Char"/>
    <w:link w:val="2"/>
    <w:qFormat/>
    <w:uiPriority w:val="0"/>
    <w:rPr>
      <w:b/>
      <w:bCs/>
      <w:kern w:val="44"/>
      <w:sz w:val="44"/>
      <w:szCs w:val="44"/>
    </w:rPr>
  </w:style>
  <w:style w:type="paragraph" w:customStyle="1" w:styleId="46">
    <w:name w:val="Char3"/>
    <w:basedOn w:val="1"/>
    <w:qFormat/>
    <w:uiPriority w:val="0"/>
  </w:style>
  <w:style w:type="paragraph" w:customStyle="1" w:styleId="47">
    <w:name w:val="Char11"/>
    <w:basedOn w:val="1"/>
    <w:qFormat/>
    <w:uiPriority w:val="0"/>
    <w:pPr>
      <w:tabs>
        <w:tab w:val="left" w:pos="832"/>
      </w:tabs>
      <w:ind w:left="832" w:hanging="420"/>
      <w:jc w:val="center"/>
    </w:pPr>
    <w:rPr>
      <w:rFonts w:ascii="楷体_GB2312" w:eastAsia="楷体_GB2312"/>
      <w:b/>
      <w:color w:val="000080"/>
      <w:sz w:val="30"/>
      <w:szCs w:val="30"/>
    </w:rPr>
  </w:style>
  <w:style w:type="paragraph" w:customStyle="1" w:styleId="48">
    <w:name w:val="Char Char Char Char Char Char Char1"/>
    <w:basedOn w:val="1"/>
    <w:qFormat/>
    <w:uiPriority w:val="0"/>
  </w:style>
  <w:style w:type="paragraph" w:customStyle="1" w:styleId="49">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50">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5" Type="http://schemas.openxmlformats.org/officeDocument/2006/relationships/fontTable" Target="fontTable.xml"/><Relationship Id="rId54" Type="http://schemas.openxmlformats.org/officeDocument/2006/relationships/customXml" Target="../customXml/item24.xml"/><Relationship Id="rId53" Type="http://schemas.openxmlformats.org/officeDocument/2006/relationships/customXml" Target="../customXml/item23.xml"/><Relationship Id="rId52" Type="http://schemas.openxmlformats.org/officeDocument/2006/relationships/customXml" Target="../customXml/item22.xml"/><Relationship Id="rId51" Type="http://schemas.openxmlformats.org/officeDocument/2006/relationships/customXml" Target="../customXml/item21.xml"/><Relationship Id="rId50" Type="http://schemas.openxmlformats.org/officeDocument/2006/relationships/customXml" Target="../customXml/item20.xml"/><Relationship Id="rId5" Type="http://schemas.openxmlformats.org/officeDocument/2006/relationships/footer" Target="footer2.xml"/><Relationship Id="rId49" Type="http://schemas.openxmlformats.org/officeDocument/2006/relationships/customXml" Target="../customXml/item19.xml"/><Relationship Id="rId48" Type="http://schemas.openxmlformats.org/officeDocument/2006/relationships/customXml" Target="../customXml/item18.xml"/><Relationship Id="rId47" Type="http://schemas.openxmlformats.org/officeDocument/2006/relationships/customXml" Target="../customXml/item17.xml"/><Relationship Id="rId46" Type="http://schemas.openxmlformats.org/officeDocument/2006/relationships/customXml" Target="../customXml/item16.xml"/><Relationship Id="rId45" Type="http://schemas.openxmlformats.org/officeDocument/2006/relationships/customXml" Target="../customXml/item15.xml"/><Relationship Id="rId44" Type="http://schemas.openxmlformats.org/officeDocument/2006/relationships/customXml" Target="../customXml/item14.xml"/><Relationship Id="rId43" Type="http://schemas.openxmlformats.org/officeDocument/2006/relationships/customXml" Target="../customXml/item13.xml"/><Relationship Id="rId42" Type="http://schemas.openxmlformats.org/officeDocument/2006/relationships/customXml" Target="../customXml/item12.xml"/><Relationship Id="rId41" Type="http://schemas.openxmlformats.org/officeDocument/2006/relationships/customXml" Target="../customXml/item11.xml"/><Relationship Id="rId40" Type="http://schemas.openxmlformats.org/officeDocument/2006/relationships/customXml" Target="../customXml/item10.xml"/><Relationship Id="rId4" Type="http://schemas.openxmlformats.org/officeDocument/2006/relationships/header" Target="header1.xml"/><Relationship Id="rId39" Type="http://schemas.openxmlformats.org/officeDocument/2006/relationships/customXml" Target="../customXml/item9.xml"/><Relationship Id="rId38" Type="http://schemas.openxmlformats.org/officeDocument/2006/relationships/customXml" Target="../customXml/item8.xml"/><Relationship Id="rId37" Type="http://schemas.openxmlformats.org/officeDocument/2006/relationships/customXml" Target="../customXml/item7.xml"/><Relationship Id="rId36" Type="http://schemas.openxmlformats.org/officeDocument/2006/relationships/customXml" Target="../customXml/item6.xml"/><Relationship Id="rId35" Type="http://schemas.openxmlformats.org/officeDocument/2006/relationships/customXml" Target="../customXml/item5.xml"/><Relationship Id="rId34" Type="http://schemas.openxmlformats.org/officeDocument/2006/relationships/customXml" Target="../customXml/item4.xml"/><Relationship Id="rId33" Type="http://schemas.openxmlformats.org/officeDocument/2006/relationships/customXml" Target="../customXml/item3.xml"/><Relationship Id="rId32" Type="http://schemas.openxmlformats.org/officeDocument/2006/relationships/customXml" Target="../customXml/item2.xml"/><Relationship Id="rId31" Type="http://schemas.openxmlformats.org/officeDocument/2006/relationships/customXml" Target="../customXml/item1.xml"/><Relationship Id="rId30"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DA08-EB1F-4624-A472-E01E53C6193A}">
  <ds:schemaRefs/>
</ds:datastoreItem>
</file>

<file path=customXml/itemProps10.xml><?xml version="1.0" encoding="utf-8"?>
<ds:datastoreItem xmlns:ds="http://schemas.openxmlformats.org/officeDocument/2006/customXml" ds:itemID="{58A19EE9-C87B-4EBF-BFC2-CF7BACA90772}">
  <ds:schemaRefs/>
</ds:datastoreItem>
</file>

<file path=customXml/itemProps11.xml><?xml version="1.0" encoding="utf-8"?>
<ds:datastoreItem xmlns:ds="http://schemas.openxmlformats.org/officeDocument/2006/customXml" ds:itemID="{1BCE9F4C-09F6-490D-BDA4-5E66BB617F8A}">
  <ds:schemaRefs/>
</ds:datastoreItem>
</file>

<file path=customXml/itemProps12.xml><?xml version="1.0" encoding="utf-8"?>
<ds:datastoreItem xmlns:ds="http://schemas.openxmlformats.org/officeDocument/2006/customXml" ds:itemID="{76D0B7D8-6C2F-45AD-9DEC-82B6B377EACA}">
  <ds:schemaRefs/>
</ds:datastoreItem>
</file>

<file path=customXml/itemProps13.xml><?xml version="1.0" encoding="utf-8"?>
<ds:datastoreItem xmlns:ds="http://schemas.openxmlformats.org/officeDocument/2006/customXml" ds:itemID="{5A7A5B0E-8CEF-411D-A448-ECBF9EBFAA3B}">
  <ds:schemaRefs/>
</ds:datastoreItem>
</file>

<file path=customXml/itemProps14.xml><?xml version="1.0" encoding="utf-8"?>
<ds:datastoreItem xmlns:ds="http://schemas.openxmlformats.org/officeDocument/2006/customXml" ds:itemID="{F6B1D57A-6E96-48CE-A637-C136C6D517B4}">
  <ds:schemaRefs/>
</ds:datastoreItem>
</file>

<file path=customXml/itemProps15.xml><?xml version="1.0" encoding="utf-8"?>
<ds:datastoreItem xmlns:ds="http://schemas.openxmlformats.org/officeDocument/2006/customXml" ds:itemID="{45EDDF8C-846C-4B09-AFB4-C6BE8B7885D2}">
  <ds:schemaRefs/>
</ds:datastoreItem>
</file>

<file path=customXml/itemProps16.xml><?xml version="1.0" encoding="utf-8"?>
<ds:datastoreItem xmlns:ds="http://schemas.openxmlformats.org/officeDocument/2006/customXml" ds:itemID="{4DF98D02-AFB3-4C0A-9E22-16743E2710DF}">
  <ds:schemaRefs/>
</ds:datastoreItem>
</file>

<file path=customXml/itemProps17.xml><?xml version="1.0" encoding="utf-8"?>
<ds:datastoreItem xmlns:ds="http://schemas.openxmlformats.org/officeDocument/2006/customXml" ds:itemID="{57495E69-A64F-4C69-B73C-BCF1E4AA2DBA}">
  <ds:schemaRefs/>
</ds:datastoreItem>
</file>

<file path=customXml/itemProps18.xml><?xml version="1.0" encoding="utf-8"?>
<ds:datastoreItem xmlns:ds="http://schemas.openxmlformats.org/officeDocument/2006/customXml" ds:itemID="{223F035D-E74F-4250-A7DA-F175E58EC437}">
  <ds:schemaRefs/>
</ds:datastoreItem>
</file>

<file path=customXml/itemProps19.xml><?xml version="1.0" encoding="utf-8"?>
<ds:datastoreItem xmlns:ds="http://schemas.openxmlformats.org/officeDocument/2006/customXml" ds:itemID="{72142FD1-3D3B-47FF-BA84-F2FD7D83A0DC}">
  <ds:schemaRefs/>
</ds:datastoreItem>
</file>

<file path=customXml/itemProps2.xml><?xml version="1.0" encoding="utf-8"?>
<ds:datastoreItem xmlns:ds="http://schemas.openxmlformats.org/officeDocument/2006/customXml" ds:itemID="{5A8438C7-BA5C-4F19-84A4-D619985CBA8C}">
  <ds:schemaRefs/>
</ds:datastoreItem>
</file>

<file path=customXml/itemProps20.xml><?xml version="1.0" encoding="utf-8"?>
<ds:datastoreItem xmlns:ds="http://schemas.openxmlformats.org/officeDocument/2006/customXml" ds:itemID="{B6388C70-70C4-4AB5-B5CB-A61675711A5E}">
  <ds:schemaRefs/>
</ds:datastoreItem>
</file>

<file path=customXml/itemProps21.xml><?xml version="1.0" encoding="utf-8"?>
<ds:datastoreItem xmlns:ds="http://schemas.openxmlformats.org/officeDocument/2006/customXml" ds:itemID="{7E6B6C22-037E-4040-8556-D083CE3098CA}">
  <ds:schemaRefs/>
</ds:datastoreItem>
</file>

<file path=customXml/itemProps22.xml><?xml version="1.0" encoding="utf-8"?>
<ds:datastoreItem xmlns:ds="http://schemas.openxmlformats.org/officeDocument/2006/customXml" ds:itemID="{46317831-F113-402B-AA0F-36CF5A614CC3}">
  <ds:schemaRefs/>
</ds:datastoreItem>
</file>

<file path=customXml/itemProps23.xml><?xml version="1.0" encoding="utf-8"?>
<ds:datastoreItem xmlns:ds="http://schemas.openxmlformats.org/officeDocument/2006/customXml" ds:itemID="{4EDBB021-EF24-402A-AE9C-B3C6506358EE}">
  <ds:schemaRefs/>
</ds:datastoreItem>
</file>

<file path=customXml/itemProps24.xml><?xml version="1.0" encoding="utf-8"?>
<ds:datastoreItem xmlns:ds="http://schemas.openxmlformats.org/officeDocument/2006/customXml" ds:itemID="{E781425C-5D52-4337-893E-8899D0D8D659}">
  <ds:schemaRefs/>
</ds:datastoreItem>
</file>

<file path=customXml/itemProps3.xml><?xml version="1.0" encoding="utf-8"?>
<ds:datastoreItem xmlns:ds="http://schemas.openxmlformats.org/officeDocument/2006/customXml" ds:itemID="{E4160981-6D73-48DB-98C9-3E286CD5AD5B}">
  <ds:schemaRefs/>
</ds:datastoreItem>
</file>

<file path=customXml/itemProps4.xml><?xml version="1.0" encoding="utf-8"?>
<ds:datastoreItem xmlns:ds="http://schemas.openxmlformats.org/officeDocument/2006/customXml" ds:itemID="{5CAAB7F5-0977-4517-8E7E-3E6D3C6ABA73}">
  <ds:schemaRefs/>
</ds:datastoreItem>
</file>

<file path=customXml/itemProps5.xml><?xml version="1.0" encoding="utf-8"?>
<ds:datastoreItem xmlns:ds="http://schemas.openxmlformats.org/officeDocument/2006/customXml" ds:itemID="{07B13AC4-F20C-4AE5-B349-A3649B4711E5}">
  <ds:schemaRefs/>
</ds:datastoreItem>
</file>

<file path=customXml/itemProps6.xml><?xml version="1.0" encoding="utf-8"?>
<ds:datastoreItem xmlns:ds="http://schemas.openxmlformats.org/officeDocument/2006/customXml" ds:itemID="{92872A99-0620-45E5-A23C-62A1EC2350D1}">
  <ds:schemaRefs/>
</ds:datastoreItem>
</file>

<file path=customXml/itemProps7.xml><?xml version="1.0" encoding="utf-8"?>
<ds:datastoreItem xmlns:ds="http://schemas.openxmlformats.org/officeDocument/2006/customXml" ds:itemID="{B74777D1-4B71-4586-95C8-5D73386AC1AD}">
  <ds:schemaRefs/>
</ds:datastoreItem>
</file>

<file path=customXml/itemProps8.xml><?xml version="1.0" encoding="utf-8"?>
<ds:datastoreItem xmlns:ds="http://schemas.openxmlformats.org/officeDocument/2006/customXml" ds:itemID="{4F185307-9122-497D-A791-BD07D1EFBFBA}">
  <ds:schemaRefs/>
</ds:datastoreItem>
</file>

<file path=customXml/itemProps9.xml><?xml version="1.0" encoding="utf-8"?>
<ds:datastoreItem xmlns:ds="http://schemas.openxmlformats.org/officeDocument/2006/customXml" ds:itemID="{590D549C-400D-4EF8-AAB7-638AFEBE00E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5137</Words>
  <Characters>29287</Characters>
  <Lines>244</Lines>
  <Paragraphs>68</Paragraphs>
  <TotalTime>3</TotalTime>
  <ScaleCrop>false</ScaleCrop>
  <LinksUpToDate>false</LinksUpToDate>
  <CharactersWithSpaces>34356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2020-07-17T06:15:00Z</dcterms:created>
  <dc:creator>资产托管部</dc:creator>
  <cp:lastModifiedBy>fuxj</cp:lastModifiedBy>
  <cp:lastPrinted>2020-10-16T05:10:00Z</cp:lastPrinted>
  <dcterms:modified xsi:type="dcterms:W3CDTF">2023-01-17T02:35:24Z</dcterms:modified>
  <dc:title>托管协议</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Id">
    <vt:lpwstr>0b885b7c4a164e0db299042cec4001b3</vt:lpwstr>
  </property>
  <property fmtid="{D5CDD505-2E9C-101B-9397-08002B2CF9AE}" pid="3" name="verificationId">
    <vt:lpwstr>b967b58c7e7efc48</vt:lpwstr>
  </property>
  <property fmtid="{D5CDD505-2E9C-101B-9397-08002B2CF9AE}" pid="4" name="KSOProductBuildVer">
    <vt:lpwstr>2052-11.8.2.10972</vt:lpwstr>
  </property>
  <property fmtid="{D5CDD505-2E9C-101B-9397-08002B2CF9AE}" pid="5" name="ICV">
    <vt:lpwstr>D5F17F4549FC48CFB948BDFA3542FE52</vt:lpwstr>
  </property>
</Properties>
</file>