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85BE2D">
      <w:pPr>
        <w:widowControl/>
        <w:jc w:val="left"/>
        <w:rPr>
          <w:rFonts w:ascii="宋体" w:hAnsi="宋体" w:eastAsia="宋体"/>
          <w:sz w:val="30"/>
        </w:rPr>
      </w:pPr>
    </w:p>
    <w:p w14:paraId="44572D2E">
      <w:pPr>
        <w:widowControl/>
        <w:jc w:val="left"/>
        <w:rPr>
          <w:rFonts w:ascii="宋体" w:hAnsi="宋体" w:eastAsia="宋体"/>
          <w:sz w:val="30"/>
        </w:rPr>
      </w:pPr>
    </w:p>
    <w:p w14:paraId="72B0F22F">
      <w:pPr>
        <w:widowControl/>
        <w:jc w:val="left"/>
        <w:rPr>
          <w:rFonts w:ascii="宋体" w:hAnsi="宋体" w:eastAsia="宋体"/>
          <w:sz w:val="30"/>
        </w:rPr>
      </w:pPr>
    </w:p>
    <w:p w14:paraId="42039720">
      <w:pPr>
        <w:widowControl/>
        <w:jc w:val="left"/>
        <w:rPr>
          <w:rFonts w:ascii="宋体" w:hAnsi="宋体" w:eastAsia="宋体"/>
          <w:sz w:val="30"/>
        </w:rPr>
      </w:pPr>
    </w:p>
    <w:p w14:paraId="19C91AF0">
      <w:pPr>
        <w:widowControl/>
        <w:spacing w:line="800" w:lineRule="exact"/>
        <w:jc w:val="center"/>
        <w:rPr>
          <w:rFonts w:ascii="宋体" w:hAnsi="宋体" w:eastAsia="宋体"/>
          <w:b/>
          <w:sz w:val="52"/>
        </w:rPr>
      </w:pPr>
      <w:r>
        <w:rPr>
          <w:rFonts w:hint="eastAsia" w:ascii="宋体" w:hAnsi="宋体" w:eastAsia="宋体"/>
          <w:b/>
          <w:sz w:val="52"/>
        </w:rPr>
        <w:t>博时民丰纯债债券型证券投资基金</w:t>
      </w:r>
    </w:p>
    <w:p w14:paraId="1B956462">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536CB8AC">
      <w:pPr>
        <w:widowControl/>
        <w:spacing w:line="800" w:lineRule="exact"/>
        <w:jc w:val="center"/>
        <w:rPr>
          <w:rFonts w:ascii="宋体" w:hAnsi="宋体" w:eastAsia="宋体"/>
          <w:b/>
          <w:sz w:val="52"/>
        </w:rPr>
      </w:pPr>
    </w:p>
    <w:p w14:paraId="04E9D9AB">
      <w:pPr>
        <w:widowControl/>
        <w:spacing w:line="800" w:lineRule="exact"/>
        <w:jc w:val="center"/>
        <w:rPr>
          <w:rFonts w:ascii="宋体" w:hAnsi="宋体" w:eastAsia="宋体"/>
          <w:b/>
          <w:sz w:val="52"/>
        </w:rPr>
      </w:pPr>
    </w:p>
    <w:p w14:paraId="30B3D4A1">
      <w:pPr>
        <w:widowControl/>
        <w:spacing w:line="800" w:lineRule="exact"/>
        <w:jc w:val="center"/>
        <w:rPr>
          <w:rFonts w:ascii="宋体" w:hAnsi="宋体" w:eastAsia="宋体"/>
          <w:b/>
          <w:sz w:val="52"/>
        </w:rPr>
      </w:pPr>
    </w:p>
    <w:p w14:paraId="3D7FB6FA">
      <w:pPr>
        <w:widowControl/>
        <w:spacing w:line="800" w:lineRule="exact"/>
        <w:jc w:val="center"/>
        <w:rPr>
          <w:rFonts w:ascii="宋体" w:hAnsi="宋体" w:eastAsia="宋体"/>
          <w:b/>
          <w:sz w:val="52"/>
        </w:rPr>
      </w:pPr>
    </w:p>
    <w:p w14:paraId="25A6A947">
      <w:pPr>
        <w:widowControl/>
        <w:spacing w:line="800" w:lineRule="exact"/>
        <w:jc w:val="center"/>
        <w:rPr>
          <w:rFonts w:ascii="宋体" w:hAnsi="宋体" w:eastAsia="宋体"/>
          <w:b/>
          <w:sz w:val="52"/>
        </w:rPr>
      </w:pPr>
    </w:p>
    <w:p w14:paraId="5E76AE4C">
      <w:pPr>
        <w:widowControl/>
        <w:spacing w:line="800" w:lineRule="exact"/>
        <w:jc w:val="center"/>
        <w:rPr>
          <w:rFonts w:ascii="宋体" w:hAnsi="宋体" w:eastAsia="宋体"/>
          <w:b/>
          <w:sz w:val="52"/>
        </w:rPr>
      </w:pPr>
    </w:p>
    <w:p w14:paraId="720C7C9D">
      <w:pPr>
        <w:widowControl/>
        <w:spacing w:line="800" w:lineRule="exact"/>
        <w:jc w:val="center"/>
        <w:rPr>
          <w:rFonts w:ascii="宋体" w:hAnsi="宋体" w:eastAsia="宋体"/>
          <w:b/>
          <w:sz w:val="52"/>
        </w:rPr>
      </w:pPr>
    </w:p>
    <w:p w14:paraId="04DAE452">
      <w:pPr>
        <w:widowControl/>
        <w:spacing w:line="800" w:lineRule="exact"/>
        <w:jc w:val="center"/>
        <w:rPr>
          <w:rFonts w:ascii="宋体" w:hAnsi="宋体" w:eastAsia="宋体"/>
          <w:b/>
          <w:sz w:val="52"/>
        </w:rPr>
      </w:pPr>
    </w:p>
    <w:p w14:paraId="795EE06A">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1247AE40">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中国民生银行股份有限公司</w:t>
      </w:r>
      <w:r>
        <w:rPr>
          <w:rFonts w:ascii="宋体" w:hAnsi="宋体" w:eastAsia="宋体"/>
          <w:b/>
          <w:sz w:val="30"/>
        </w:rPr>
        <w:br w:type="page"/>
      </w:r>
    </w:p>
    <w:p w14:paraId="625920D3">
      <w:pPr>
        <w:pStyle w:val="2"/>
        <w:jc w:val="center"/>
        <w:rPr>
          <w:rFonts w:ascii="宋体" w:hAnsi="宋体" w:eastAsia="宋体"/>
          <w:sz w:val="30"/>
        </w:rPr>
      </w:pPr>
      <w:bookmarkStart w:id="0" w:name="_Toc239192426"/>
      <w:r>
        <w:rPr>
          <w:rFonts w:hint="eastAsia" w:ascii="宋体" w:hAnsi="宋体" w:eastAsia="宋体"/>
          <w:sz w:val="30"/>
        </w:rPr>
        <w:t>【重要提示】</w:t>
      </w:r>
      <w:bookmarkEnd w:id="0"/>
    </w:p>
    <w:p w14:paraId="10CCB17F">
      <w:pPr>
        <w:pStyle w:val="8"/>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2016年10月12日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博时民丰纯债债券型证券投资基金</w:t>
      </w:r>
      <w:bookmarkEnd w:id="2"/>
      <w:r>
        <w:rPr>
          <w:rFonts w:hint="eastAsia"/>
          <w:sz w:val="21"/>
          <w:szCs w:val="21"/>
        </w:rPr>
        <w:t>注册的批复》（证监许可</w:t>
      </w:r>
      <w:bookmarkStart w:id="3" w:name="field_2343_lotnumber_1"/>
      <w:r>
        <w:rPr>
          <w:sz w:val="21"/>
          <w:szCs w:val="21"/>
        </w:rPr>
        <w:t>[2016] 2319</w:t>
      </w:r>
      <w:bookmarkEnd w:id="3"/>
      <w:r>
        <w:rPr>
          <w:rFonts w:hint="eastAsia"/>
          <w:sz w:val="21"/>
          <w:szCs w:val="21"/>
        </w:rPr>
        <w:t xml:space="preserve">号）进行募集。 </w:t>
      </w:r>
    </w:p>
    <w:p w14:paraId="26E410BF">
      <w:pPr>
        <w:pStyle w:val="8"/>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70C7EF30">
      <w:pPr>
        <w:pStyle w:val="8"/>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2DF1F7C8">
      <w:pPr>
        <w:pStyle w:val="8"/>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1CCA0735">
      <w:pPr>
        <w:pStyle w:val="8"/>
        <w:spacing w:before="0" w:beforeAutospacing="0" w:after="0" w:afterAutospacing="0" w:line="360" w:lineRule="auto"/>
        <w:ind w:firstLine="420"/>
        <w:rPr>
          <w:sz w:val="21"/>
          <w:szCs w:val="21"/>
        </w:rPr>
      </w:pPr>
      <w:r>
        <w:rPr>
          <w:rFonts w:hint="eastAsia"/>
          <w:sz w:val="21"/>
          <w:szCs w:val="21"/>
        </w:rPr>
        <w:t xml:space="preserve">5、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7C36F619">
      <w:pPr>
        <w:pStyle w:val="8"/>
        <w:spacing w:before="0" w:beforeAutospacing="0" w:after="0" w:afterAutospacing="0" w:line="360" w:lineRule="auto"/>
        <w:ind w:firstLine="420"/>
        <w:rPr>
          <w:sz w:val="21"/>
          <w:szCs w:val="21"/>
        </w:rPr>
      </w:pPr>
      <w:r>
        <w:rPr>
          <w:rFonts w:hint="eastAsia"/>
          <w:sz w:val="21"/>
          <w:szCs w:val="21"/>
        </w:rPr>
        <w:t xml:space="preserve">6、本基金为债券型基金，预期收益和预期风险高于货币市场基金，但低于混合型基金、股票型基金，属于中低风险/收益的产品。 </w:t>
      </w:r>
    </w:p>
    <w:p w14:paraId="09EECD45">
      <w:pPr>
        <w:pStyle w:val="8"/>
        <w:spacing w:before="0" w:beforeAutospacing="0" w:after="0" w:afterAutospacing="0" w:line="360" w:lineRule="auto"/>
        <w:ind w:firstLine="420"/>
        <w:rPr>
          <w:sz w:val="21"/>
          <w:szCs w:val="21"/>
        </w:rPr>
      </w:pPr>
      <w:r>
        <w:rPr>
          <w:rFonts w:hint="eastAsia"/>
          <w:sz w:val="21"/>
          <w:szCs w:val="21"/>
        </w:rPr>
        <w:t xml:space="preserve">7、本基金的投资范围为具有良好流动性的金融工具，包括国债、金融债、企业债、公司债、地方政府债、央行票据、中期票据、短期融资券、资产支持证券、次级债、可分离交易可转债的纯债部分、债券回购、银行存款等法律法规或中国证监会允许基金投资的其他金融工具（但须符合中国证监会的相关规定）。 </w:t>
      </w:r>
    </w:p>
    <w:p w14:paraId="0C449791">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本基金不投资于股票、权证等资产，也不投资于可转换债券（可分离交易可转债的纯债部分除外）、可交换债券。 </w:t>
      </w:r>
    </w:p>
    <w:p w14:paraId="472FC6CD">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05CD771C">
      <w:pPr>
        <w:pStyle w:val="8"/>
        <w:spacing w:before="0" w:beforeAutospacing="0" w:after="0" w:afterAutospacing="0" w:line="360" w:lineRule="auto"/>
        <w:ind w:firstLine="420"/>
        <w:rPr>
          <w:sz w:val="21"/>
          <w:szCs w:val="21"/>
        </w:rPr>
      </w:pPr>
      <w:r>
        <w:rPr>
          <w:rFonts w:hint="eastAsia"/>
          <w:sz w:val="21"/>
          <w:szCs w:val="21"/>
        </w:rPr>
        <w:t xml:space="preserve">8、基金的投资组合比例为：本基金对债券的投资比例不低于基金资产的80％；本基金持有现金或者到期日在一年以内的政府债券不低于基金资产净值的5%，其中，现金不包括结算备付金、存出保证金、应收申购款等。 </w:t>
      </w:r>
    </w:p>
    <w:p w14:paraId="0CD1F2AA">
      <w:pPr>
        <w:pStyle w:val="8"/>
        <w:spacing w:before="0" w:beforeAutospacing="0" w:after="0" w:afterAutospacing="0" w:line="360" w:lineRule="auto"/>
        <w:ind w:firstLine="420"/>
        <w:rPr>
          <w:sz w:val="21"/>
          <w:szCs w:val="21"/>
        </w:rPr>
      </w:pPr>
      <w:r>
        <w:rPr>
          <w:rFonts w:hint="eastAsia"/>
          <w:sz w:val="21"/>
          <w:szCs w:val="21"/>
        </w:rPr>
        <w:t xml:space="preserve">9、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14:paraId="04BCE63B">
      <w:pPr>
        <w:pStyle w:val="8"/>
        <w:spacing w:before="0" w:beforeAutospacing="0" w:after="0" w:afterAutospacing="0" w:line="360" w:lineRule="auto"/>
        <w:ind w:firstLine="420"/>
        <w:rPr>
          <w:sz w:val="21"/>
          <w:szCs w:val="21"/>
        </w:rPr>
      </w:pPr>
      <w:r>
        <w:rPr>
          <w:rFonts w:hint="eastAsia"/>
          <w:sz w:val="21"/>
          <w:szCs w:val="21"/>
        </w:rPr>
        <w:t xml:space="preserve">10、本基金初始募集面值为人民币1.00元。在市场波动因素影响下，本基金净值可能低于初始面值，本基金投资者有可能出现亏损。 </w:t>
      </w:r>
    </w:p>
    <w:p w14:paraId="02F11902">
      <w:pPr>
        <w:pStyle w:val="8"/>
        <w:spacing w:before="0" w:beforeAutospacing="0" w:after="0" w:afterAutospacing="0" w:line="360" w:lineRule="auto"/>
        <w:ind w:firstLine="420"/>
        <w:rPr>
          <w:sz w:val="21"/>
          <w:szCs w:val="21"/>
        </w:rPr>
      </w:pPr>
      <w:r>
        <w:rPr>
          <w:rFonts w:hint="eastAsia"/>
          <w:sz w:val="21"/>
          <w:szCs w:val="21"/>
        </w:rPr>
        <w:t xml:space="preserve">11、基金的过往业绩并不预示其未来表现，基金管理人管理的其他基金的业绩也不构成对本基金业绩表现的保证。 </w:t>
      </w:r>
    </w:p>
    <w:p w14:paraId="30EF7907">
      <w:pPr>
        <w:pStyle w:val="8"/>
        <w:spacing w:before="0" w:beforeAutospacing="0" w:after="0" w:afterAutospacing="0" w:line="360" w:lineRule="auto"/>
        <w:ind w:firstLine="420"/>
        <w:rPr>
          <w:sz w:val="21"/>
          <w:szCs w:val="21"/>
        </w:rPr>
      </w:pPr>
      <w:r>
        <w:rPr>
          <w:rFonts w:hint="eastAsia"/>
          <w:sz w:val="21"/>
          <w:szCs w:val="21"/>
        </w:rPr>
        <w:t xml:space="preserve">12、基金管理人依照恪尽职守、诚实信用、谨慎勤勉的原则管理和运用基金财产，但不保证基金一定盈利，也不保证最低收益。 </w:t>
      </w:r>
    </w:p>
    <w:p w14:paraId="3A7F1517">
      <w:pPr>
        <w:pStyle w:val="8"/>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4" w:name="field_2343_infoendday_1"/>
      <w:r>
        <w:rPr>
          <w:sz w:val="21"/>
          <w:szCs w:val="21"/>
        </w:rPr>
        <w:t>2026年</w:t>
      </w:r>
      <w:r>
        <w:rPr>
          <w:rFonts w:hint="eastAsia"/>
          <w:sz w:val="21"/>
          <w:szCs w:val="21"/>
          <w:lang w:val="en-US" w:eastAsia="zh-CN"/>
        </w:rPr>
        <w:t>10</w:t>
      </w:r>
      <w:r>
        <w:rPr>
          <w:sz w:val="21"/>
          <w:szCs w:val="21"/>
        </w:rPr>
        <w:t>月</w:t>
      </w:r>
      <w:r>
        <w:rPr>
          <w:rFonts w:hint="eastAsia"/>
          <w:sz w:val="21"/>
          <w:szCs w:val="21"/>
          <w:lang w:val="en-US" w:eastAsia="zh-CN"/>
        </w:rPr>
        <w:t>20</w:t>
      </w:r>
      <w:r>
        <w:rPr>
          <w:sz w:val="21"/>
          <w:szCs w:val="21"/>
        </w:rPr>
        <w:t>日</w:t>
      </w:r>
      <w:bookmarkEnd w:id="4"/>
      <w:r>
        <w:rPr>
          <w:rFonts w:hint="eastAsia"/>
          <w:sz w:val="21"/>
          <w:szCs w:val="21"/>
        </w:rPr>
        <w:t>，有关财务数据和净值表现截止日为</w:t>
      </w:r>
      <w:bookmarkStart w:id="5" w:name="field_2343_financeendday_1"/>
      <w:r>
        <w:rPr>
          <w:sz w:val="21"/>
          <w:szCs w:val="21"/>
        </w:rPr>
        <w:t>2026年6月30日</w:t>
      </w:r>
      <w:bookmarkEnd w:id="5"/>
      <w:r>
        <w:rPr>
          <w:rFonts w:hint="eastAsia"/>
          <w:sz w:val="21"/>
          <w:szCs w:val="21"/>
        </w:rPr>
        <w:t xml:space="preserve">（财务数据未经审计）。  </w:t>
      </w:r>
      <w:r>
        <w:rPr>
          <w:sz w:val="30"/>
        </w:rPr>
        <w:br w:type="page"/>
      </w:r>
    </w:p>
    <w:p w14:paraId="03F6BAEE">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508DE6BC">
      <w:pPr>
        <w:pStyle w:val="7"/>
        <w:tabs>
          <w:tab w:val="right" w:leader="dot" w:pos="8290"/>
        </w:tabs>
        <w:spacing w:line="360" w:lineRule="auto"/>
        <w:rPr>
          <w:rFonts w:ascii="宋体" w:hAnsi="宋体" w:eastAsia="宋体"/>
        </w:rPr>
      </w:pPr>
      <w:r>
        <w:fldChar w:fldCharType="begin"/>
      </w:r>
      <w:r>
        <w:instrText xml:space="preserve"> HYPERLINK \l "_Toc239192426"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_Toc239192426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13734CD3">
      <w:pPr>
        <w:pStyle w:val="7"/>
        <w:tabs>
          <w:tab w:val="right" w:leader="dot" w:pos="8290"/>
        </w:tabs>
        <w:spacing w:line="360" w:lineRule="auto"/>
        <w:rPr>
          <w:rFonts w:ascii="宋体" w:hAnsi="宋体" w:eastAsia="宋体"/>
        </w:rPr>
      </w:pPr>
      <w:r>
        <w:fldChar w:fldCharType="begin"/>
      </w:r>
      <w:r>
        <w:instrText xml:space="preserve"> HYPERLINK \l "_Toc239192427"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_Toc239192427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14:paraId="179C586C">
      <w:pPr>
        <w:pStyle w:val="7"/>
        <w:tabs>
          <w:tab w:val="right" w:leader="dot" w:pos="8290"/>
        </w:tabs>
        <w:spacing w:line="360" w:lineRule="auto"/>
        <w:rPr>
          <w:rFonts w:ascii="宋体" w:hAnsi="宋体" w:eastAsia="宋体"/>
        </w:rPr>
      </w:pPr>
      <w:r>
        <w:fldChar w:fldCharType="begin"/>
      </w:r>
      <w:r>
        <w:instrText xml:space="preserve"> HYPERLINK \l "_Toc239192428"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_Toc239192428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6B304E8E">
      <w:pPr>
        <w:pStyle w:val="7"/>
        <w:tabs>
          <w:tab w:val="right" w:leader="dot" w:pos="8290"/>
        </w:tabs>
        <w:spacing w:line="360" w:lineRule="auto"/>
        <w:rPr>
          <w:rFonts w:ascii="宋体" w:hAnsi="宋体" w:eastAsia="宋体"/>
        </w:rPr>
      </w:pPr>
      <w:r>
        <w:fldChar w:fldCharType="begin"/>
      </w:r>
      <w:r>
        <w:instrText xml:space="preserve"> HYPERLINK \l "_Toc239192429"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_Toc239192429 \h </w:instrText>
      </w:r>
      <w:r>
        <w:rPr>
          <w:rFonts w:ascii="宋体" w:hAnsi="宋体" w:eastAsia="宋体"/>
        </w:rPr>
        <w:fldChar w:fldCharType="separate"/>
      </w:r>
      <w:r>
        <w:rPr>
          <w:rFonts w:ascii="宋体" w:hAnsi="宋体" w:eastAsia="宋体"/>
        </w:rPr>
        <w:t>11</w:t>
      </w:r>
      <w:r>
        <w:rPr>
          <w:rFonts w:ascii="宋体" w:hAnsi="宋体" w:eastAsia="宋体"/>
        </w:rPr>
        <w:fldChar w:fldCharType="end"/>
      </w:r>
      <w:r>
        <w:rPr>
          <w:rFonts w:ascii="宋体" w:hAnsi="宋体" w:eastAsia="宋体"/>
        </w:rPr>
        <w:fldChar w:fldCharType="end"/>
      </w:r>
    </w:p>
    <w:p w14:paraId="7565C1FF">
      <w:pPr>
        <w:pStyle w:val="7"/>
        <w:tabs>
          <w:tab w:val="right" w:leader="dot" w:pos="8290"/>
        </w:tabs>
        <w:spacing w:line="360" w:lineRule="auto"/>
        <w:rPr>
          <w:rFonts w:ascii="宋体" w:hAnsi="宋体" w:eastAsia="宋体"/>
        </w:rPr>
      </w:pPr>
      <w:r>
        <w:fldChar w:fldCharType="begin"/>
      </w:r>
      <w:r>
        <w:instrText xml:space="preserve"> HYPERLINK \l "_Toc239192430"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_Toc239192430 \h </w:instrText>
      </w:r>
      <w:r>
        <w:rPr>
          <w:rFonts w:ascii="宋体" w:hAnsi="宋体" w:eastAsia="宋体"/>
        </w:rPr>
        <w:fldChar w:fldCharType="separate"/>
      </w:r>
      <w:r>
        <w:rPr>
          <w:rFonts w:ascii="宋体" w:hAnsi="宋体" w:eastAsia="宋体"/>
        </w:rPr>
        <w:t>20</w:t>
      </w:r>
      <w:r>
        <w:rPr>
          <w:rFonts w:ascii="宋体" w:hAnsi="宋体" w:eastAsia="宋体"/>
        </w:rPr>
        <w:fldChar w:fldCharType="end"/>
      </w:r>
      <w:r>
        <w:rPr>
          <w:rFonts w:ascii="宋体" w:hAnsi="宋体" w:eastAsia="宋体"/>
        </w:rPr>
        <w:fldChar w:fldCharType="end"/>
      </w:r>
    </w:p>
    <w:p w14:paraId="1CB5BA53">
      <w:pPr>
        <w:pStyle w:val="7"/>
        <w:tabs>
          <w:tab w:val="right" w:leader="dot" w:pos="8290"/>
        </w:tabs>
        <w:spacing w:line="360" w:lineRule="auto"/>
        <w:rPr>
          <w:rFonts w:ascii="宋体" w:hAnsi="宋体" w:eastAsia="宋体"/>
        </w:rPr>
      </w:pPr>
      <w:r>
        <w:fldChar w:fldCharType="begin"/>
      </w:r>
      <w:r>
        <w:instrText xml:space="preserve"> HYPERLINK \l "_Toc239192431"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_Toc239192431 \h </w:instrText>
      </w:r>
      <w:r>
        <w:rPr>
          <w:rFonts w:ascii="宋体" w:hAnsi="宋体" w:eastAsia="宋体"/>
        </w:rPr>
        <w:fldChar w:fldCharType="separate"/>
      </w:r>
      <w:r>
        <w:rPr>
          <w:rFonts w:ascii="宋体" w:hAnsi="宋体" w:eastAsia="宋体"/>
        </w:rPr>
        <w:t>25</w:t>
      </w:r>
      <w:r>
        <w:rPr>
          <w:rFonts w:ascii="宋体" w:hAnsi="宋体" w:eastAsia="宋体"/>
        </w:rPr>
        <w:fldChar w:fldCharType="end"/>
      </w:r>
      <w:r>
        <w:rPr>
          <w:rFonts w:ascii="宋体" w:hAnsi="宋体" w:eastAsia="宋体"/>
        </w:rPr>
        <w:fldChar w:fldCharType="end"/>
      </w:r>
    </w:p>
    <w:p w14:paraId="5BB01066">
      <w:pPr>
        <w:pStyle w:val="7"/>
        <w:tabs>
          <w:tab w:val="right" w:leader="dot" w:pos="8290"/>
        </w:tabs>
        <w:spacing w:line="360" w:lineRule="auto"/>
        <w:rPr>
          <w:rFonts w:ascii="宋体" w:hAnsi="宋体" w:eastAsia="宋体"/>
        </w:rPr>
      </w:pPr>
      <w:r>
        <w:fldChar w:fldCharType="begin"/>
      </w:r>
      <w:r>
        <w:instrText xml:space="preserve"> HYPERLINK \l "_Toc239192432"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_Toc239192432 \h </w:instrText>
      </w:r>
      <w:r>
        <w:rPr>
          <w:rFonts w:ascii="宋体" w:hAnsi="宋体" w:eastAsia="宋体"/>
        </w:rPr>
        <w:fldChar w:fldCharType="separate"/>
      </w:r>
      <w:r>
        <w:rPr>
          <w:rFonts w:ascii="宋体" w:hAnsi="宋体" w:eastAsia="宋体"/>
        </w:rPr>
        <w:t>31</w:t>
      </w:r>
      <w:r>
        <w:rPr>
          <w:rFonts w:ascii="宋体" w:hAnsi="宋体" w:eastAsia="宋体"/>
        </w:rPr>
        <w:fldChar w:fldCharType="end"/>
      </w:r>
      <w:r>
        <w:rPr>
          <w:rFonts w:ascii="宋体" w:hAnsi="宋体" w:eastAsia="宋体"/>
        </w:rPr>
        <w:fldChar w:fldCharType="end"/>
      </w:r>
    </w:p>
    <w:p w14:paraId="201D7AC5">
      <w:pPr>
        <w:pStyle w:val="7"/>
        <w:tabs>
          <w:tab w:val="right" w:leader="dot" w:pos="8290"/>
        </w:tabs>
        <w:spacing w:line="360" w:lineRule="auto"/>
        <w:rPr>
          <w:rFonts w:ascii="宋体" w:hAnsi="宋体" w:eastAsia="宋体"/>
        </w:rPr>
      </w:pPr>
      <w:r>
        <w:fldChar w:fldCharType="begin"/>
      </w:r>
      <w:r>
        <w:instrText xml:space="preserve"> HYPERLINK \l "_Toc239192433"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_Toc239192433 \h </w:instrText>
      </w:r>
      <w:r>
        <w:rPr>
          <w:rFonts w:ascii="宋体" w:hAnsi="宋体" w:eastAsia="宋体"/>
        </w:rPr>
        <w:fldChar w:fldCharType="separate"/>
      </w:r>
      <w:r>
        <w:rPr>
          <w:rFonts w:ascii="宋体" w:hAnsi="宋体" w:eastAsia="宋体"/>
        </w:rPr>
        <w:t>32</w:t>
      </w:r>
      <w:r>
        <w:rPr>
          <w:rFonts w:ascii="宋体" w:hAnsi="宋体" w:eastAsia="宋体"/>
        </w:rPr>
        <w:fldChar w:fldCharType="end"/>
      </w:r>
      <w:r>
        <w:rPr>
          <w:rFonts w:ascii="宋体" w:hAnsi="宋体" w:eastAsia="宋体"/>
        </w:rPr>
        <w:fldChar w:fldCharType="end"/>
      </w:r>
    </w:p>
    <w:p w14:paraId="36E68658">
      <w:pPr>
        <w:pStyle w:val="7"/>
        <w:tabs>
          <w:tab w:val="right" w:leader="dot" w:pos="8290"/>
        </w:tabs>
        <w:spacing w:line="360" w:lineRule="auto"/>
        <w:rPr>
          <w:rFonts w:ascii="宋体" w:hAnsi="宋体" w:eastAsia="宋体"/>
        </w:rPr>
      </w:pPr>
      <w:r>
        <w:fldChar w:fldCharType="begin"/>
      </w:r>
      <w:r>
        <w:instrText xml:space="preserve"> HYPERLINK \l "_Toc239192434"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_Toc239192434 \h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fldChar w:fldCharType="end"/>
      </w:r>
    </w:p>
    <w:p w14:paraId="5D3031B4">
      <w:pPr>
        <w:pStyle w:val="7"/>
        <w:tabs>
          <w:tab w:val="right" w:leader="dot" w:pos="8290"/>
        </w:tabs>
        <w:spacing w:line="360" w:lineRule="auto"/>
        <w:rPr>
          <w:rFonts w:ascii="宋体" w:hAnsi="宋体" w:eastAsia="宋体"/>
        </w:rPr>
      </w:pPr>
      <w:r>
        <w:fldChar w:fldCharType="begin"/>
      </w:r>
      <w:r>
        <w:instrText xml:space="preserve"> HYPERLINK \l "_Toc239192435"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_Toc239192435 \h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fldChar w:fldCharType="end"/>
      </w:r>
    </w:p>
    <w:p w14:paraId="7CE3F243">
      <w:pPr>
        <w:pStyle w:val="7"/>
        <w:tabs>
          <w:tab w:val="right" w:leader="dot" w:pos="8290"/>
        </w:tabs>
        <w:spacing w:line="360" w:lineRule="auto"/>
        <w:rPr>
          <w:rFonts w:ascii="宋体" w:hAnsi="宋体" w:eastAsia="宋体"/>
        </w:rPr>
      </w:pPr>
      <w:r>
        <w:fldChar w:fldCharType="begin"/>
      </w:r>
      <w:r>
        <w:instrText xml:space="preserve"> HYPERLINK \l "_Toc239192436"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_Toc239192436 \h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fldChar w:fldCharType="end"/>
      </w:r>
    </w:p>
    <w:p w14:paraId="18A8C0C3">
      <w:pPr>
        <w:pStyle w:val="7"/>
        <w:tabs>
          <w:tab w:val="right" w:leader="dot" w:pos="8290"/>
        </w:tabs>
        <w:spacing w:line="360" w:lineRule="auto"/>
        <w:rPr>
          <w:rFonts w:ascii="宋体" w:hAnsi="宋体" w:eastAsia="宋体"/>
        </w:rPr>
      </w:pPr>
      <w:r>
        <w:fldChar w:fldCharType="begin"/>
      </w:r>
      <w:r>
        <w:instrText xml:space="preserve"> HYPERLINK \l "_Toc239192437"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_Toc239192437 \h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fldChar w:fldCharType="end"/>
      </w:r>
    </w:p>
    <w:p w14:paraId="3E91FFF8">
      <w:pPr>
        <w:pStyle w:val="7"/>
        <w:tabs>
          <w:tab w:val="right" w:leader="dot" w:pos="8290"/>
        </w:tabs>
        <w:spacing w:line="360" w:lineRule="auto"/>
        <w:rPr>
          <w:rFonts w:ascii="宋体" w:hAnsi="宋体" w:eastAsia="宋体"/>
        </w:rPr>
      </w:pPr>
      <w:r>
        <w:fldChar w:fldCharType="begin"/>
      </w:r>
      <w:r>
        <w:instrText xml:space="preserve"> HYPERLINK \l "_Toc239192438"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_Toc239192438 \h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fldChar w:fldCharType="end"/>
      </w:r>
    </w:p>
    <w:p w14:paraId="2F2A551F">
      <w:pPr>
        <w:pStyle w:val="7"/>
        <w:tabs>
          <w:tab w:val="right" w:leader="dot" w:pos="8290"/>
        </w:tabs>
        <w:spacing w:line="360" w:lineRule="auto"/>
        <w:rPr>
          <w:rFonts w:ascii="宋体" w:hAnsi="宋体" w:eastAsia="宋体"/>
        </w:rPr>
      </w:pPr>
      <w:r>
        <w:fldChar w:fldCharType="begin"/>
      </w:r>
      <w:r>
        <w:instrText xml:space="preserve"> HYPERLINK \l "_Toc239192439"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_Toc239192439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14:paraId="658766F2">
      <w:pPr>
        <w:pStyle w:val="7"/>
        <w:tabs>
          <w:tab w:val="right" w:leader="dot" w:pos="8290"/>
        </w:tabs>
        <w:spacing w:line="360" w:lineRule="auto"/>
        <w:rPr>
          <w:rFonts w:ascii="宋体" w:hAnsi="宋体" w:eastAsia="宋体"/>
        </w:rPr>
      </w:pPr>
      <w:r>
        <w:fldChar w:fldCharType="begin"/>
      </w:r>
      <w:r>
        <w:instrText xml:space="preserve"> HYPERLINK \l "_Toc239192440"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_Toc239192440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14:paraId="78622F60">
      <w:pPr>
        <w:pStyle w:val="7"/>
        <w:tabs>
          <w:tab w:val="right" w:leader="dot" w:pos="8290"/>
        </w:tabs>
        <w:spacing w:line="360" w:lineRule="auto"/>
        <w:rPr>
          <w:rFonts w:ascii="宋体" w:hAnsi="宋体" w:eastAsia="宋体"/>
        </w:rPr>
      </w:pPr>
      <w:r>
        <w:fldChar w:fldCharType="begin"/>
      </w:r>
      <w:r>
        <w:instrText xml:space="preserve"> HYPERLINK \l "_Toc239192441"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_Toc239192441 \h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fldChar w:fldCharType="end"/>
      </w:r>
    </w:p>
    <w:p w14:paraId="0513DF05">
      <w:pPr>
        <w:pStyle w:val="7"/>
        <w:tabs>
          <w:tab w:val="right" w:leader="dot" w:pos="8290"/>
        </w:tabs>
        <w:spacing w:line="360" w:lineRule="auto"/>
        <w:rPr>
          <w:rFonts w:ascii="宋体" w:hAnsi="宋体" w:eastAsia="宋体"/>
        </w:rPr>
      </w:pPr>
      <w:r>
        <w:fldChar w:fldCharType="begin"/>
      </w:r>
      <w:r>
        <w:instrText xml:space="preserve"> HYPERLINK \l "_Toc239192442"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_Toc239192442 \h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fldChar w:fldCharType="end"/>
      </w:r>
    </w:p>
    <w:p w14:paraId="23D3274F">
      <w:pPr>
        <w:pStyle w:val="7"/>
        <w:tabs>
          <w:tab w:val="right" w:leader="dot" w:pos="8290"/>
        </w:tabs>
        <w:spacing w:line="360" w:lineRule="auto"/>
        <w:rPr>
          <w:rFonts w:ascii="宋体" w:hAnsi="宋体" w:eastAsia="宋体"/>
        </w:rPr>
      </w:pPr>
      <w:r>
        <w:fldChar w:fldCharType="begin"/>
      </w:r>
      <w:r>
        <w:instrText xml:space="preserve"> HYPERLINK \l "_Toc239192443"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_Toc239192443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14:paraId="455B4B2F">
      <w:pPr>
        <w:pStyle w:val="7"/>
        <w:tabs>
          <w:tab w:val="right" w:leader="dot" w:pos="8290"/>
        </w:tabs>
        <w:spacing w:line="360" w:lineRule="auto"/>
        <w:rPr>
          <w:rFonts w:ascii="宋体" w:hAnsi="宋体" w:eastAsia="宋体"/>
        </w:rPr>
      </w:pPr>
      <w:r>
        <w:fldChar w:fldCharType="begin"/>
      </w:r>
      <w:r>
        <w:instrText xml:space="preserve"> HYPERLINK \l "_Toc239192444"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_Toc239192444 \h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fldChar w:fldCharType="end"/>
      </w:r>
    </w:p>
    <w:p w14:paraId="6C20EABE">
      <w:pPr>
        <w:pStyle w:val="7"/>
        <w:tabs>
          <w:tab w:val="right" w:leader="dot" w:pos="8290"/>
        </w:tabs>
        <w:spacing w:line="360" w:lineRule="auto"/>
        <w:rPr>
          <w:rFonts w:ascii="宋体" w:hAnsi="宋体" w:eastAsia="宋体"/>
        </w:rPr>
      </w:pPr>
      <w:r>
        <w:fldChar w:fldCharType="begin"/>
      </w:r>
      <w:r>
        <w:instrText xml:space="preserve"> HYPERLINK \l "_Toc239192445"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_Toc239192445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14:paraId="23DD0013">
      <w:pPr>
        <w:pStyle w:val="7"/>
        <w:tabs>
          <w:tab w:val="right" w:leader="dot" w:pos="8290"/>
        </w:tabs>
        <w:spacing w:line="360" w:lineRule="auto"/>
        <w:rPr>
          <w:rFonts w:ascii="宋体" w:hAnsi="宋体" w:eastAsia="宋体"/>
        </w:rPr>
      </w:pPr>
      <w:r>
        <w:fldChar w:fldCharType="begin"/>
      </w:r>
      <w:r>
        <w:instrText xml:space="preserve"> HYPERLINK \l "_Toc239192446"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_Toc239192446 \h </w:instrText>
      </w:r>
      <w:r>
        <w:rPr>
          <w:rFonts w:ascii="宋体" w:hAnsi="宋体" w:eastAsia="宋体"/>
        </w:rPr>
        <w:fldChar w:fldCharType="separate"/>
      </w:r>
      <w:r>
        <w:rPr>
          <w:rFonts w:ascii="宋体" w:hAnsi="宋体" w:eastAsia="宋体"/>
        </w:rPr>
        <w:t>102</w:t>
      </w:r>
      <w:r>
        <w:rPr>
          <w:rFonts w:ascii="宋体" w:hAnsi="宋体" w:eastAsia="宋体"/>
        </w:rPr>
        <w:fldChar w:fldCharType="end"/>
      </w:r>
      <w:r>
        <w:rPr>
          <w:rFonts w:ascii="宋体" w:hAnsi="宋体" w:eastAsia="宋体"/>
        </w:rPr>
        <w:fldChar w:fldCharType="end"/>
      </w:r>
    </w:p>
    <w:p w14:paraId="22280452">
      <w:pPr>
        <w:pStyle w:val="7"/>
        <w:tabs>
          <w:tab w:val="right" w:leader="dot" w:pos="8290"/>
        </w:tabs>
        <w:spacing w:line="360" w:lineRule="auto"/>
        <w:rPr>
          <w:rFonts w:ascii="宋体" w:hAnsi="宋体" w:eastAsia="宋体"/>
        </w:rPr>
      </w:pPr>
      <w:r>
        <w:fldChar w:fldCharType="begin"/>
      </w:r>
      <w:r>
        <w:instrText xml:space="preserve"> HYPERLINK \l "_Toc239192447"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_Toc239192447 \h </w:instrText>
      </w:r>
      <w:r>
        <w:rPr>
          <w:rFonts w:ascii="宋体" w:hAnsi="宋体" w:eastAsia="宋体"/>
        </w:rPr>
        <w:fldChar w:fldCharType="separate"/>
      </w:r>
      <w:r>
        <w:rPr>
          <w:rFonts w:ascii="宋体" w:hAnsi="宋体" w:eastAsia="宋体"/>
        </w:rPr>
        <w:t>118</w:t>
      </w:r>
      <w:r>
        <w:rPr>
          <w:rFonts w:ascii="宋体" w:hAnsi="宋体" w:eastAsia="宋体"/>
        </w:rPr>
        <w:fldChar w:fldCharType="end"/>
      </w:r>
      <w:r>
        <w:rPr>
          <w:rFonts w:ascii="宋体" w:hAnsi="宋体" w:eastAsia="宋体"/>
        </w:rPr>
        <w:fldChar w:fldCharType="end"/>
      </w:r>
    </w:p>
    <w:p w14:paraId="27AB4E9E">
      <w:pPr>
        <w:pStyle w:val="7"/>
        <w:tabs>
          <w:tab w:val="right" w:leader="dot" w:pos="8290"/>
        </w:tabs>
        <w:spacing w:line="360" w:lineRule="auto"/>
        <w:rPr>
          <w:rFonts w:ascii="宋体" w:hAnsi="宋体" w:eastAsia="宋体"/>
        </w:rPr>
      </w:pPr>
      <w:r>
        <w:fldChar w:fldCharType="begin"/>
      </w:r>
      <w:r>
        <w:instrText xml:space="preserve"> HYPERLINK \l "_Toc239192448"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_Toc239192448 \h </w:instrText>
      </w:r>
      <w:r>
        <w:rPr>
          <w:rFonts w:ascii="宋体" w:hAnsi="宋体" w:eastAsia="宋体"/>
        </w:rPr>
        <w:fldChar w:fldCharType="separate"/>
      </w:r>
      <w:r>
        <w:rPr>
          <w:rFonts w:ascii="宋体" w:hAnsi="宋体" w:eastAsia="宋体"/>
        </w:rPr>
        <w:t>121</w:t>
      </w:r>
      <w:r>
        <w:rPr>
          <w:rFonts w:ascii="宋体" w:hAnsi="宋体" w:eastAsia="宋体"/>
        </w:rPr>
        <w:fldChar w:fldCharType="end"/>
      </w:r>
      <w:r>
        <w:rPr>
          <w:rFonts w:ascii="宋体" w:hAnsi="宋体" w:eastAsia="宋体"/>
        </w:rPr>
        <w:fldChar w:fldCharType="end"/>
      </w:r>
    </w:p>
    <w:p w14:paraId="532C68D5">
      <w:pPr>
        <w:pStyle w:val="7"/>
        <w:tabs>
          <w:tab w:val="right" w:leader="dot" w:pos="8290"/>
        </w:tabs>
        <w:spacing w:line="360" w:lineRule="auto"/>
        <w:rPr>
          <w:rFonts w:ascii="宋体" w:hAnsi="宋体" w:eastAsia="宋体"/>
        </w:rPr>
      </w:pPr>
      <w:r>
        <w:fldChar w:fldCharType="begin"/>
      </w:r>
      <w:r>
        <w:instrText xml:space="preserve"> HYPERLINK \l "_Toc239192449"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_Toc239192449 \h </w:instrText>
      </w:r>
      <w:r>
        <w:rPr>
          <w:rFonts w:ascii="宋体" w:hAnsi="宋体" w:eastAsia="宋体"/>
        </w:rPr>
        <w:fldChar w:fldCharType="separate"/>
      </w:r>
      <w:r>
        <w:rPr>
          <w:rFonts w:ascii="宋体" w:hAnsi="宋体" w:eastAsia="宋体"/>
        </w:rPr>
        <w:t>123</w:t>
      </w:r>
      <w:r>
        <w:rPr>
          <w:rFonts w:ascii="宋体" w:hAnsi="宋体" w:eastAsia="宋体"/>
        </w:rPr>
        <w:fldChar w:fldCharType="end"/>
      </w:r>
      <w:r>
        <w:rPr>
          <w:rFonts w:ascii="宋体" w:hAnsi="宋体" w:eastAsia="宋体"/>
        </w:rPr>
        <w:fldChar w:fldCharType="end"/>
      </w:r>
    </w:p>
    <w:p w14:paraId="6C566CF9">
      <w:pPr>
        <w:pStyle w:val="7"/>
        <w:tabs>
          <w:tab w:val="right" w:leader="dot" w:pos="8290"/>
        </w:tabs>
        <w:spacing w:line="360" w:lineRule="auto"/>
        <w:rPr>
          <w:rFonts w:ascii="宋体" w:hAnsi="宋体" w:eastAsia="宋体"/>
        </w:rPr>
      </w:pPr>
      <w:r>
        <w:fldChar w:fldCharType="begin"/>
      </w:r>
      <w:r>
        <w:instrText xml:space="preserve"> HYPERLINK \l "_Toc239192450" </w:instrText>
      </w:r>
      <w:r>
        <w:fldChar w:fldCharType="separate"/>
      </w:r>
      <w:r>
        <w:rPr>
          <w:rStyle w:val="13"/>
          <w:rFonts w:hint="eastAsia" w:ascii="宋体" w:hAnsi="宋体" w:eastAsia="宋体"/>
          <w:u w:val="none"/>
        </w:rPr>
        <w:t>第二十四部分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_Toc239192450 \h </w:instrText>
      </w:r>
      <w:r>
        <w:rPr>
          <w:rFonts w:ascii="宋体" w:hAnsi="宋体" w:eastAsia="宋体"/>
        </w:rPr>
        <w:fldChar w:fldCharType="separate"/>
      </w:r>
      <w:r>
        <w:rPr>
          <w:rFonts w:ascii="宋体" w:hAnsi="宋体" w:eastAsia="宋体"/>
        </w:rPr>
        <w:t>124</w:t>
      </w:r>
      <w:r>
        <w:rPr>
          <w:rFonts w:ascii="宋体" w:hAnsi="宋体" w:eastAsia="宋体"/>
        </w:rPr>
        <w:fldChar w:fldCharType="end"/>
      </w:r>
      <w:r>
        <w:rPr>
          <w:rFonts w:ascii="宋体" w:hAnsi="宋体" w:eastAsia="宋体"/>
        </w:rPr>
        <w:fldChar w:fldCharType="end"/>
      </w:r>
    </w:p>
    <w:p w14:paraId="0751F2C3">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01910EAA">
      <w:pPr>
        <w:pStyle w:val="2"/>
        <w:jc w:val="center"/>
        <w:rPr>
          <w:rFonts w:ascii="宋体" w:hAnsi="宋体" w:eastAsia="宋体"/>
          <w:sz w:val="30"/>
        </w:rPr>
      </w:pPr>
      <w:bookmarkStart w:id="6" w:name="chapter_level1_3_2344"/>
      <w:bookmarkStart w:id="7" w:name="_Toc239192427"/>
      <w:r>
        <w:rPr>
          <w:rFonts w:hint="eastAsia" w:ascii="宋体" w:hAnsi="宋体" w:eastAsia="宋体"/>
          <w:sz w:val="30"/>
        </w:rPr>
        <w:t>第一部分  绪言</w:t>
      </w:r>
      <w:bookmarkEnd w:id="6"/>
      <w:bookmarkEnd w:id="7"/>
    </w:p>
    <w:p w14:paraId="1A98CCCB">
      <w:pPr>
        <w:pStyle w:val="8"/>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博时民丰纯债债券型证券投资基金</w:t>
      </w:r>
      <w:bookmarkEnd w:id="9"/>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0" w:name="field_0_productfullname_3"/>
      <w:r>
        <w:rPr>
          <w:rFonts w:hint="eastAsia"/>
          <w:sz w:val="21"/>
          <w:szCs w:val="21"/>
        </w:rPr>
        <w:t>博时民丰纯债债券型证券投资基金</w:t>
      </w:r>
      <w:bookmarkEnd w:id="10"/>
      <w:r>
        <w:rPr>
          <w:rFonts w:hint="eastAsia"/>
          <w:sz w:val="21"/>
          <w:szCs w:val="21"/>
        </w:rPr>
        <w:t xml:space="preserve">基金合同》（以下简称“基金合同”）编写。  </w:t>
      </w:r>
    </w:p>
    <w:p w14:paraId="7964A847">
      <w:pPr>
        <w:pStyle w:val="8"/>
        <w:spacing w:before="0" w:beforeAutospacing="0" w:after="0" w:afterAutospacing="0" w:line="360" w:lineRule="auto"/>
        <w:ind w:firstLine="420"/>
        <w:rPr>
          <w:sz w:val="21"/>
          <w:szCs w:val="21"/>
        </w:rPr>
      </w:pPr>
      <w:r>
        <w:rPr>
          <w:rFonts w:hint="eastAsia"/>
          <w:sz w:val="21"/>
          <w:szCs w:val="21"/>
        </w:rPr>
        <w:t>本招募说明书阐述了</w:t>
      </w:r>
      <w:bookmarkStart w:id="11" w:name="field_0_productfullname_4"/>
      <w:r>
        <w:rPr>
          <w:rFonts w:hint="eastAsia"/>
          <w:sz w:val="21"/>
          <w:szCs w:val="21"/>
        </w:rPr>
        <w:t>博时民丰纯债债券型证券投资基金</w:t>
      </w:r>
      <w:bookmarkEnd w:id="11"/>
      <w:r>
        <w:rPr>
          <w:rFonts w:hint="eastAsia"/>
          <w:sz w:val="21"/>
          <w:szCs w:val="21"/>
        </w:rPr>
        <w:t xml:space="preserve">的投资目标、策略、风险、费率等与投资人投资决策有关的必要事项，投资人在作出投资决策前应仔细阅读本招募说明书。 </w:t>
      </w:r>
    </w:p>
    <w:p w14:paraId="316FDDB4">
      <w:pPr>
        <w:pStyle w:val="8"/>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46494F8E">
      <w:pPr>
        <w:pStyle w:val="8"/>
        <w:spacing w:before="0" w:beforeAutospacing="0" w:after="0" w:afterAutospacing="0" w:line="360" w:lineRule="auto"/>
        <w:ind w:firstLine="420"/>
        <w:rPr>
          <w:sz w:val="21"/>
          <w:szCs w:val="21"/>
        </w:rPr>
      </w:pPr>
      <w:bookmarkStart w:id="12" w:name="field_0_productfullname_5"/>
      <w:r>
        <w:rPr>
          <w:rFonts w:hint="eastAsia"/>
          <w:sz w:val="21"/>
          <w:szCs w:val="21"/>
        </w:rPr>
        <w:t>博时民丰纯债债券型证券投资基金</w:t>
      </w:r>
      <w:bookmarkEnd w:id="12"/>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0A081981">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3" w:name="chapter_level1_3_2344_section_1_end"/>
      <w:bookmarkEnd w:id="13"/>
      <w:r>
        <w:rPr>
          <w:rFonts w:hint="eastAsia"/>
          <w:sz w:val="21"/>
          <w:szCs w:val="21"/>
        </w:rPr>
        <w:t xml:space="preserve">了解基金份额持有人的权利和义务，应详细查阅基金合同。 </w:t>
      </w:r>
    </w:p>
    <w:p w14:paraId="2EF7B29F">
      <w:pPr>
        <w:widowControl/>
        <w:jc w:val="left"/>
        <w:rPr>
          <w:rFonts w:ascii="宋体" w:hAnsi="宋体" w:eastAsia="宋体"/>
        </w:rPr>
      </w:pPr>
      <w:r>
        <w:rPr>
          <w:rFonts w:ascii="宋体" w:hAnsi="宋体" w:eastAsia="宋体"/>
        </w:rPr>
        <w:br w:type="page"/>
      </w:r>
    </w:p>
    <w:p w14:paraId="46EA97D3">
      <w:pPr>
        <w:pStyle w:val="2"/>
        <w:jc w:val="center"/>
        <w:rPr>
          <w:rFonts w:ascii="宋体" w:hAnsi="宋体" w:eastAsia="宋体"/>
          <w:sz w:val="30"/>
        </w:rPr>
      </w:pPr>
      <w:bookmarkStart w:id="14" w:name="_Toc239192428"/>
      <w:bookmarkStart w:id="15" w:name="chapter_level1_4_49"/>
      <w:r>
        <w:rPr>
          <w:rFonts w:hint="eastAsia" w:ascii="宋体" w:hAnsi="宋体" w:eastAsia="宋体"/>
          <w:sz w:val="30"/>
        </w:rPr>
        <w:t>第二部分  释义</w:t>
      </w:r>
      <w:bookmarkEnd w:id="14"/>
      <w:bookmarkEnd w:id="15"/>
    </w:p>
    <w:p w14:paraId="417837BD">
      <w:pPr>
        <w:pStyle w:val="8"/>
        <w:spacing w:before="0" w:beforeAutospacing="0" w:after="0" w:afterAutospacing="0" w:line="360" w:lineRule="auto"/>
        <w:ind w:firstLine="420"/>
        <w:rPr>
          <w:sz w:val="21"/>
          <w:szCs w:val="21"/>
        </w:rPr>
      </w:pPr>
      <w:bookmarkStart w:id="16" w:name="chapter_level1_4_49_section_1"/>
      <w:bookmarkEnd w:id="16"/>
      <w:r>
        <w:rPr>
          <w:rFonts w:hint="eastAsia"/>
          <w:sz w:val="21"/>
          <w:szCs w:val="21"/>
        </w:rPr>
        <w:t xml:space="preserve">在本招募说明书中，除非文义另有所指，下列词语具有以下含义： </w:t>
      </w:r>
    </w:p>
    <w:p w14:paraId="43277932">
      <w:pPr>
        <w:pStyle w:val="8"/>
        <w:spacing w:before="0" w:beforeAutospacing="0" w:after="0" w:afterAutospacing="0" w:line="360" w:lineRule="auto"/>
        <w:ind w:firstLine="420"/>
        <w:rPr>
          <w:sz w:val="21"/>
          <w:szCs w:val="21"/>
        </w:rPr>
      </w:pPr>
      <w:r>
        <w:rPr>
          <w:rFonts w:hint="eastAsia"/>
          <w:sz w:val="21"/>
          <w:szCs w:val="21"/>
        </w:rPr>
        <w:t>1、基金或本基金：指</w:t>
      </w:r>
      <w:bookmarkStart w:id="17" w:name="field_0_productfullname_6"/>
      <w:r>
        <w:rPr>
          <w:rFonts w:hint="eastAsia"/>
          <w:sz w:val="21"/>
          <w:szCs w:val="21"/>
        </w:rPr>
        <w:t>博时民丰纯债债券型证券投资基金</w:t>
      </w:r>
      <w:bookmarkEnd w:id="17"/>
      <w:r>
        <w:rPr>
          <w:rFonts w:hint="eastAsia"/>
          <w:sz w:val="21"/>
          <w:szCs w:val="21"/>
        </w:rPr>
        <w:t xml:space="preserve">  </w:t>
      </w:r>
    </w:p>
    <w:p w14:paraId="2C732857">
      <w:pPr>
        <w:pStyle w:val="8"/>
        <w:spacing w:before="0" w:beforeAutospacing="0" w:after="0" w:afterAutospacing="0" w:line="360" w:lineRule="auto"/>
        <w:ind w:firstLine="420"/>
        <w:rPr>
          <w:sz w:val="21"/>
          <w:szCs w:val="21"/>
        </w:rPr>
      </w:pPr>
      <w:r>
        <w:rPr>
          <w:rFonts w:hint="eastAsia"/>
          <w:sz w:val="21"/>
          <w:szCs w:val="21"/>
        </w:rPr>
        <w:t>2、基金管理人：指</w:t>
      </w:r>
      <w:bookmarkStart w:id="18" w:name="field_0_managerorgfullname_1"/>
      <w:r>
        <w:rPr>
          <w:rFonts w:hint="eastAsia"/>
          <w:sz w:val="21"/>
          <w:szCs w:val="21"/>
        </w:rPr>
        <w:t>博时基金管理有限公司</w:t>
      </w:r>
      <w:bookmarkEnd w:id="18"/>
      <w:r>
        <w:rPr>
          <w:rFonts w:hint="eastAsia"/>
          <w:sz w:val="21"/>
          <w:szCs w:val="21"/>
        </w:rPr>
        <w:t xml:space="preserve">  </w:t>
      </w:r>
    </w:p>
    <w:p w14:paraId="2282BAAD">
      <w:pPr>
        <w:pStyle w:val="8"/>
        <w:spacing w:before="0" w:beforeAutospacing="0" w:after="0" w:afterAutospacing="0" w:line="360" w:lineRule="auto"/>
        <w:ind w:firstLine="420"/>
        <w:rPr>
          <w:sz w:val="21"/>
          <w:szCs w:val="21"/>
        </w:rPr>
      </w:pPr>
      <w:r>
        <w:rPr>
          <w:rFonts w:hint="eastAsia"/>
          <w:sz w:val="21"/>
          <w:szCs w:val="21"/>
        </w:rPr>
        <w:t>3、基金托管人：指</w:t>
      </w:r>
      <w:bookmarkStart w:id="19" w:name="field_0_trustorgfullname_1"/>
      <w:r>
        <w:rPr>
          <w:rFonts w:hint="eastAsia"/>
          <w:sz w:val="21"/>
          <w:szCs w:val="21"/>
        </w:rPr>
        <w:t>中国民生银行股份有限公司</w:t>
      </w:r>
      <w:bookmarkEnd w:id="19"/>
      <w:r>
        <w:rPr>
          <w:rFonts w:hint="eastAsia"/>
          <w:sz w:val="21"/>
          <w:szCs w:val="21"/>
        </w:rPr>
        <w:t xml:space="preserve">  </w:t>
      </w:r>
    </w:p>
    <w:p w14:paraId="34AEF940">
      <w:pPr>
        <w:pStyle w:val="8"/>
        <w:spacing w:before="0" w:beforeAutospacing="0" w:after="0" w:afterAutospacing="0" w:line="360" w:lineRule="auto"/>
        <w:ind w:firstLine="420"/>
        <w:rPr>
          <w:sz w:val="21"/>
          <w:szCs w:val="21"/>
        </w:rPr>
      </w:pPr>
      <w:r>
        <w:rPr>
          <w:rFonts w:hint="eastAsia"/>
          <w:sz w:val="21"/>
          <w:szCs w:val="21"/>
        </w:rPr>
        <w:t>4、基金合同：指《</w:t>
      </w:r>
      <w:bookmarkStart w:id="20" w:name="field_0_productfullname_7"/>
      <w:r>
        <w:rPr>
          <w:rFonts w:hint="eastAsia"/>
          <w:sz w:val="21"/>
          <w:szCs w:val="21"/>
        </w:rPr>
        <w:t>博时民丰纯债债券型证券投资基金</w:t>
      </w:r>
      <w:bookmarkEnd w:id="20"/>
      <w:r>
        <w:rPr>
          <w:rFonts w:hint="eastAsia"/>
          <w:sz w:val="21"/>
          <w:szCs w:val="21"/>
        </w:rPr>
        <w:t xml:space="preserve">基金合同》及对基金合同的任何有效修订和补充 </w:t>
      </w:r>
    </w:p>
    <w:p w14:paraId="54B894FC">
      <w:pPr>
        <w:pStyle w:val="8"/>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1" w:name="field_0_productfullname_8"/>
      <w:r>
        <w:rPr>
          <w:rFonts w:hint="eastAsia"/>
          <w:sz w:val="21"/>
          <w:szCs w:val="21"/>
        </w:rPr>
        <w:t>博时民丰纯债债券型证券投资基金</w:t>
      </w:r>
      <w:bookmarkEnd w:id="21"/>
      <w:r>
        <w:rPr>
          <w:rFonts w:hint="eastAsia"/>
          <w:sz w:val="21"/>
          <w:szCs w:val="21"/>
        </w:rPr>
        <w:t xml:space="preserve">托管协议》及对该托管协议的任何有效修订和补充 </w:t>
      </w:r>
    </w:p>
    <w:p w14:paraId="4AD18EA9">
      <w:pPr>
        <w:pStyle w:val="8"/>
        <w:spacing w:before="0" w:beforeAutospacing="0" w:after="0" w:afterAutospacing="0" w:line="360" w:lineRule="auto"/>
        <w:ind w:firstLine="420"/>
        <w:rPr>
          <w:sz w:val="21"/>
          <w:szCs w:val="21"/>
        </w:rPr>
      </w:pPr>
      <w:r>
        <w:rPr>
          <w:rFonts w:hint="eastAsia"/>
          <w:sz w:val="21"/>
          <w:szCs w:val="21"/>
        </w:rPr>
        <w:t>6、招募说明书：指《</w:t>
      </w:r>
      <w:bookmarkStart w:id="22" w:name="field_0_productfullname_9"/>
      <w:r>
        <w:rPr>
          <w:rFonts w:hint="eastAsia"/>
          <w:sz w:val="21"/>
          <w:szCs w:val="21"/>
        </w:rPr>
        <w:t>博时民丰纯债债券型证券投资基金</w:t>
      </w:r>
      <w:bookmarkEnd w:id="22"/>
      <w:r>
        <w:rPr>
          <w:rFonts w:hint="eastAsia"/>
          <w:sz w:val="21"/>
          <w:szCs w:val="21"/>
        </w:rPr>
        <w:t xml:space="preserve">招募说明书》及其更新 </w:t>
      </w:r>
    </w:p>
    <w:p w14:paraId="0C00575B">
      <w:pPr>
        <w:pStyle w:val="8"/>
        <w:spacing w:before="0" w:beforeAutospacing="0" w:after="0" w:afterAutospacing="0" w:line="360" w:lineRule="auto"/>
        <w:ind w:firstLine="420"/>
        <w:rPr>
          <w:sz w:val="21"/>
          <w:szCs w:val="21"/>
        </w:rPr>
      </w:pPr>
      <w:r>
        <w:rPr>
          <w:rFonts w:hint="eastAsia"/>
          <w:sz w:val="21"/>
          <w:szCs w:val="21"/>
        </w:rPr>
        <w:t>7、基金份额发售公告：指《</w:t>
      </w:r>
      <w:bookmarkStart w:id="23" w:name="field_0_productfullname_10"/>
      <w:r>
        <w:rPr>
          <w:rFonts w:hint="eastAsia"/>
          <w:sz w:val="21"/>
          <w:szCs w:val="21"/>
        </w:rPr>
        <w:t>博时民丰纯债债券型证券投资基金</w:t>
      </w:r>
      <w:bookmarkEnd w:id="23"/>
      <w:r>
        <w:rPr>
          <w:rFonts w:hint="eastAsia"/>
          <w:sz w:val="21"/>
          <w:szCs w:val="21"/>
        </w:rPr>
        <w:t xml:space="preserve">基金份额发售公告》 </w:t>
      </w:r>
    </w:p>
    <w:p w14:paraId="522395FB">
      <w:pPr>
        <w:pStyle w:val="8"/>
        <w:spacing w:before="0" w:beforeAutospacing="0" w:after="0" w:afterAutospacing="0" w:line="360" w:lineRule="auto"/>
        <w:ind w:firstLine="420"/>
        <w:rPr>
          <w:sz w:val="21"/>
          <w:szCs w:val="21"/>
        </w:rPr>
      </w:pPr>
      <w:r>
        <w:rPr>
          <w:rFonts w:hint="eastAsia"/>
          <w:sz w:val="21"/>
          <w:szCs w:val="21"/>
        </w:rPr>
        <w:t>8、基金产品资料概要：指《</w:t>
      </w:r>
      <w:bookmarkStart w:id="24" w:name="field_0_productfullname_11"/>
      <w:r>
        <w:rPr>
          <w:rFonts w:hint="eastAsia"/>
          <w:sz w:val="21"/>
          <w:szCs w:val="21"/>
        </w:rPr>
        <w:t>博时民丰纯债债券型证券投资基金</w:t>
      </w:r>
      <w:bookmarkEnd w:id="24"/>
      <w:r>
        <w:rPr>
          <w:rFonts w:hint="eastAsia"/>
          <w:sz w:val="21"/>
          <w:szCs w:val="21"/>
        </w:rPr>
        <w:t xml:space="preserve">基金产品资料概要》及其更新 </w:t>
      </w:r>
    </w:p>
    <w:p w14:paraId="5F66E5E1">
      <w:pPr>
        <w:pStyle w:val="8"/>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3DBBF452">
      <w:pPr>
        <w:pStyle w:val="8"/>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14:paraId="628246AF">
      <w:pPr>
        <w:pStyle w:val="8"/>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3517D02F">
      <w:pPr>
        <w:pStyle w:val="8"/>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14:paraId="4F87CA29">
      <w:pPr>
        <w:pStyle w:val="8"/>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258150EB">
      <w:pPr>
        <w:pStyle w:val="8"/>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1EF9809F">
      <w:pPr>
        <w:pStyle w:val="8"/>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14AEB8D5">
      <w:pPr>
        <w:pStyle w:val="8"/>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16、银行业监督管理机构：指中国人民银行和/或中国银行业监督管理委员会 </w:t>
      </w:r>
    </w:p>
    <w:p w14:paraId="7C83778A">
      <w:pPr>
        <w:pStyle w:val="8"/>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59DDEB79">
      <w:pPr>
        <w:pStyle w:val="8"/>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084190F4">
      <w:pPr>
        <w:pStyle w:val="8"/>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4C33F03B">
      <w:pPr>
        <w:pStyle w:val="8"/>
        <w:spacing w:before="0" w:beforeAutospacing="0" w:after="0" w:afterAutospacing="0" w:line="360" w:lineRule="auto"/>
        <w:ind w:firstLine="420"/>
        <w:rPr>
          <w:sz w:val="21"/>
          <w:szCs w:val="21"/>
        </w:rPr>
      </w:pPr>
      <w:r>
        <w:rPr>
          <w:rFonts w:hint="eastAsia"/>
          <w:sz w:val="21"/>
          <w:szCs w:val="21"/>
        </w:rPr>
        <w:t xml:space="preserve">20、合格境外机构投资者：指符合相关法律法规规定可以投资于在中国境内依法募集的证券投资基金的中国境外的机构投资者 </w:t>
      </w:r>
    </w:p>
    <w:p w14:paraId="042F07CF">
      <w:pPr>
        <w:pStyle w:val="8"/>
        <w:spacing w:before="0" w:beforeAutospacing="0" w:after="0" w:afterAutospacing="0" w:line="360" w:lineRule="auto"/>
        <w:ind w:firstLine="420"/>
        <w:rPr>
          <w:sz w:val="21"/>
          <w:szCs w:val="21"/>
        </w:rPr>
      </w:pPr>
      <w:r>
        <w:rPr>
          <w:rFonts w:hint="eastAsia"/>
          <w:sz w:val="21"/>
          <w:szCs w:val="21"/>
        </w:rPr>
        <w:t xml:space="preserve">21、投资人、投资者：指个人投资者、机构投资者、合格境外机构投资者以及法律法规或中国证监会允许购买证券投资基金的其他投资人的合称 </w:t>
      </w:r>
    </w:p>
    <w:p w14:paraId="72EB6C87">
      <w:pPr>
        <w:pStyle w:val="8"/>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14:paraId="23D0A999">
      <w:pPr>
        <w:pStyle w:val="8"/>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14:paraId="3743BCFA">
      <w:pPr>
        <w:pStyle w:val="8"/>
        <w:spacing w:before="0" w:beforeAutospacing="0" w:after="0" w:afterAutospacing="0" w:line="360" w:lineRule="auto"/>
        <w:ind w:firstLine="420"/>
        <w:rPr>
          <w:sz w:val="21"/>
          <w:szCs w:val="21"/>
        </w:rPr>
      </w:pPr>
      <w:r>
        <w:rPr>
          <w:rFonts w:hint="eastAsia"/>
          <w:sz w:val="21"/>
          <w:szCs w:val="21"/>
        </w:rPr>
        <w:t xml:space="preserve">24、销售机构：指直销机构和代销机构 </w:t>
      </w:r>
    </w:p>
    <w:p w14:paraId="091180AC">
      <w:pPr>
        <w:pStyle w:val="8"/>
        <w:spacing w:before="0" w:beforeAutospacing="0" w:after="0" w:afterAutospacing="0" w:line="360" w:lineRule="auto"/>
        <w:ind w:firstLine="420"/>
        <w:rPr>
          <w:sz w:val="21"/>
          <w:szCs w:val="21"/>
        </w:rPr>
      </w:pPr>
      <w:r>
        <w:rPr>
          <w:rFonts w:hint="eastAsia"/>
          <w:sz w:val="21"/>
          <w:szCs w:val="21"/>
        </w:rPr>
        <w:t>25、直销机构：指</w:t>
      </w:r>
      <w:bookmarkStart w:id="25" w:name="field_0_managerorgfullname_2"/>
      <w:r>
        <w:rPr>
          <w:rFonts w:hint="eastAsia"/>
          <w:sz w:val="21"/>
          <w:szCs w:val="21"/>
        </w:rPr>
        <w:t>博时基金管理有限公司</w:t>
      </w:r>
      <w:bookmarkEnd w:id="25"/>
      <w:r>
        <w:rPr>
          <w:rFonts w:hint="eastAsia"/>
          <w:sz w:val="21"/>
          <w:szCs w:val="21"/>
        </w:rPr>
        <w:t xml:space="preserve">  </w:t>
      </w:r>
    </w:p>
    <w:p w14:paraId="5DB6E0EF">
      <w:pPr>
        <w:pStyle w:val="8"/>
        <w:spacing w:before="0" w:beforeAutospacing="0" w:after="0" w:afterAutospacing="0" w:line="360" w:lineRule="auto"/>
        <w:ind w:firstLine="420"/>
        <w:rPr>
          <w:sz w:val="21"/>
          <w:szCs w:val="21"/>
        </w:rPr>
      </w:pPr>
      <w:r>
        <w:rPr>
          <w:rFonts w:hint="eastAsia"/>
          <w:sz w:val="21"/>
          <w:szCs w:val="21"/>
        </w:rPr>
        <w:t>26、代销机构：指符合《销售办法》和中国证监会规定的其他条件，取得基金销售业务</w:t>
      </w:r>
      <w:bookmarkStart w:id="26" w:name="chapter_level1_4_49_section_1_end"/>
      <w:bookmarkEnd w:id="26"/>
      <w:r>
        <w:rPr>
          <w:rFonts w:hint="eastAsia"/>
          <w:sz w:val="21"/>
          <w:szCs w:val="21"/>
        </w:rPr>
        <w:t xml:space="preserve">资格并与基金管理人签订了基金销售服务代理协议，代为办理基金销售业务的机构 </w:t>
      </w:r>
    </w:p>
    <w:p w14:paraId="66EDF12B">
      <w:pPr>
        <w:pStyle w:val="8"/>
        <w:spacing w:before="0" w:beforeAutospacing="0" w:after="0" w:afterAutospacing="0" w:line="360" w:lineRule="auto"/>
        <w:ind w:firstLine="420"/>
        <w:rPr>
          <w:sz w:val="21"/>
          <w:szCs w:val="21"/>
        </w:rPr>
      </w:pPr>
      <w:bookmarkStart w:id="27" w:name="chapter_level1_4_49_section_2"/>
      <w:bookmarkEnd w:id="27"/>
      <w:r>
        <w:rPr>
          <w:rFonts w:hint="eastAsia"/>
          <w:sz w:val="21"/>
          <w:szCs w:val="21"/>
        </w:rPr>
        <w:t xml:space="preserve">27、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62DCC4BA">
      <w:pPr>
        <w:pStyle w:val="8"/>
        <w:spacing w:before="0" w:beforeAutospacing="0" w:after="0" w:afterAutospacing="0" w:line="360" w:lineRule="auto"/>
        <w:ind w:firstLine="420"/>
        <w:rPr>
          <w:sz w:val="21"/>
          <w:szCs w:val="21"/>
        </w:rPr>
      </w:pPr>
      <w:r>
        <w:rPr>
          <w:rFonts w:hint="eastAsia"/>
          <w:sz w:val="21"/>
          <w:szCs w:val="21"/>
        </w:rPr>
        <w:t>28、登记机构：指办理登记业务的机构。基金的登记机构为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14:paraId="4CC16D18">
      <w:pPr>
        <w:pStyle w:val="8"/>
        <w:spacing w:before="0" w:beforeAutospacing="0" w:after="0" w:afterAutospacing="0" w:line="360" w:lineRule="auto"/>
        <w:ind w:firstLine="420"/>
        <w:rPr>
          <w:sz w:val="21"/>
          <w:szCs w:val="21"/>
        </w:rPr>
      </w:pPr>
      <w:r>
        <w:rPr>
          <w:rFonts w:hint="eastAsia"/>
          <w:sz w:val="21"/>
          <w:szCs w:val="21"/>
        </w:rPr>
        <w:t xml:space="preserve">29、基金账户：指登记机构为投资人开立的、记录其持有的、基金管理人所管理的基金份额余额及其变动情况的账户 </w:t>
      </w:r>
    </w:p>
    <w:p w14:paraId="270DD7DA">
      <w:pPr>
        <w:pStyle w:val="8"/>
        <w:spacing w:before="0" w:beforeAutospacing="0" w:after="0" w:afterAutospacing="0" w:line="360" w:lineRule="auto"/>
        <w:ind w:firstLine="420"/>
        <w:rPr>
          <w:sz w:val="21"/>
          <w:szCs w:val="21"/>
        </w:rPr>
      </w:pPr>
      <w:r>
        <w:rPr>
          <w:rFonts w:hint="eastAsia"/>
          <w:sz w:val="21"/>
          <w:szCs w:val="21"/>
        </w:rPr>
        <w:t xml:space="preserve">30、基金交易账户：指销售机构为投资人开立的、记录投资人通过该销售机构办理认购、申购、赎回、转换、转托管及定期定额投资等业务而引起的基金份额变动及结余情况的账户 </w:t>
      </w:r>
    </w:p>
    <w:p w14:paraId="433698C0">
      <w:pPr>
        <w:pStyle w:val="8"/>
        <w:spacing w:before="0" w:beforeAutospacing="0" w:after="0" w:afterAutospacing="0" w:line="360" w:lineRule="auto"/>
        <w:ind w:firstLine="420"/>
        <w:rPr>
          <w:sz w:val="21"/>
          <w:szCs w:val="21"/>
        </w:rPr>
      </w:pPr>
      <w:r>
        <w:rPr>
          <w:rFonts w:hint="eastAsia"/>
          <w:sz w:val="21"/>
          <w:szCs w:val="21"/>
        </w:rPr>
        <w:t xml:space="preserve">31、基金合同生效日：指基金募集达到法律法规规定及基金合同规定的条件，基金管理人向中国证监会办理基金备案手续完毕，并获得中国证监会书面确认的日期 </w:t>
      </w:r>
    </w:p>
    <w:p w14:paraId="7ECD7923">
      <w:pPr>
        <w:pStyle w:val="8"/>
        <w:spacing w:before="0" w:beforeAutospacing="0" w:after="0" w:afterAutospacing="0" w:line="360" w:lineRule="auto"/>
        <w:ind w:firstLine="420"/>
        <w:rPr>
          <w:sz w:val="21"/>
          <w:szCs w:val="21"/>
        </w:rPr>
      </w:pPr>
      <w:r>
        <w:rPr>
          <w:rFonts w:hint="eastAsia"/>
          <w:sz w:val="21"/>
          <w:szCs w:val="21"/>
        </w:rPr>
        <w:t xml:space="preserve">32、基金合同终止日：指基金合同规定的基金合同终止事由出现后，基金财产清算完毕，清算结果报中国证监会备案并予以公告的日期 </w:t>
      </w:r>
    </w:p>
    <w:p w14:paraId="5AFC4128">
      <w:pPr>
        <w:pStyle w:val="8"/>
        <w:spacing w:before="0" w:beforeAutospacing="0" w:after="0" w:afterAutospacing="0" w:line="360" w:lineRule="auto"/>
        <w:ind w:firstLine="420"/>
        <w:rPr>
          <w:sz w:val="21"/>
          <w:szCs w:val="21"/>
        </w:rPr>
      </w:pPr>
      <w:r>
        <w:rPr>
          <w:rFonts w:hint="eastAsia"/>
          <w:sz w:val="21"/>
          <w:szCs w:val="21"/>
        </w:rPr>
        <w:t xml:space="preserve">33、基金募集期：指自基金份额发售之日起至发售结束之日止的期间，最长不得超过3个月 </w:t>
      </w:r>
    </w:p>
    <w:p w14:paraId="74D27D53">
      <w:pPr>
        <w:pStyle w:val="8"/>
        <w:spacing w:before="0" w:beforeAutospacing="0" w:after="0" w:afterAutospacing="0" w:line="360" w:lineRule="auto"/>
        <w:ind w:firstLine="420"/>
        <w:rPr>
          <w:sz w:val="21"/>
          <w:szCs w:val="21"/>
        </w:rPr>
      </w:pPr>
      <w:r>
        <w:rPr>
          <w:rFonts w:hint="eastAsia"/>
          <w:sz w:val="21"/>
          <w:szCs w:val="21"/>
        </w:rPr>
        <w:t xml:space="preserve">34、存续期：指基金合同生效至终止之间的不定期期限 </w:t>
      </w:r>
    </w:p>
    <w:p w14:paraId="33E74266">
      <w:pPr>
        <w:pStyle w:val="8"/>
        <w:spacing w:before="0" w:beforeAutospacing="0" w:after="0" w:afterAutospacing="0" w:line="360" w:lineRule="auto"/>
        <w:ind w:firstLine="420"/>
        <w:rPr>
          <w:sz w:val="21"/>
          <w:szCs w:val="21"/>
        </w:rPr>
      </w:pPr>
      <w:r>
        <w:rPr>
          <w:rFonts w:hint="eastAsia"/>
          <w:sz w:val="21"/>
          <w:szCs w:val="21"/>
        </w:rPr>
        <w:t xml:space="preserve">35、工作日：指上海证券交易所、深圳证券交易所的正常交易日 </w:t>
      </w:r>
    </w:p>
    <w:p w14:paraId="1DCA4CFC">
      <w:pPr>
        <w:pStyle w:val="8"/>
        <w:spacing w:before="0" w:beforeAutospacing="0" w:after="0" w:afterAutospacing="0" w:line="360" w:lineRule="auto"/>
        <w:ind w:firstLine="420"/>
        <w:rPr>
          <w:sz w:val="21"/>
          <w:szCs w:val="21"/>
        </w:rPr>
      </w:pPr>
      <w:r>
        <w:rPr>
          <w:rFonts w:hint="eastAsia"/>
          <w:sz w:val="21"/>
          <w:szCs w:val="21"/>
        </w:rPr>
        <w:t xml:space="preserve">36、T日：指销售机构在规定时间受理投资人申购、赎回或其他业务申请的工作日 </w:t>
      </w:r>
    </w:p>
    <w:p w14:paraId="563D240E">
      <w:pPr>
        <w:pStyle w:val="8"/>
        <w:spacing w:before="0" w:beforeAutospacing="0" w:after="0" w:afterAutospacing="0" w:line="360" w:lineRule="auto"/>
        <w:ind w:firstLine="420"/>
        <w:rPr>
          <w:sz w:val="21"/>
          <w:szCs w:val="21"/>
        </w:rPr>
      </w:pPr>
      <w:r>
        <w:rPr>
          <w:rFonts w:hint="eastAsia"/>
          <w:sz w:val="21"/>
          <w:szCs w:val="21"/>
        </w:rPr>
        <w:t xml:space="preserve">37、T+n日：指自T日起第n个工作日(不包含T日) </w:t>
      </w:r>
    </w:p>
    <w:p w14:paraId="5D2FA5A4">
      <w:pPr>
        <w:pStyle w:val="8"/>
        <w:spacing w:before="0" w:beforeAutospacing="0" w:after="0" w:afterAutospacing="0" w:line="360" w:lineRule="auto"/>
        <w:ind w:firstLine="420"/>
        <w:rPr>
          <w:sz w:val="21"/>
          <w:szCs w:val="21"/>
        </w:rPr>
      </w:pPr>
      <w:r>
        <w:rPr>
          <w:rFonts w:hint="eastAsia"/>
          <w:sz w:val="21"/>
          <w:szCs w:val="21"/>
        </w:rPr>
        <w:t xml:space="preserve">38、开放日：指为投资人办理基金份额申购、赎回或其他业务的工作日 </w:t>
      </w:r>
    </w:p>
    <w:p w14:paraId="76460892">
      <w:pPr>
        <w:pStyle w:val="8"/>
        <w:spacing w:before="0" w:beforeAutospacing="0" w:after="0" w:afterAutospacing="0" w:line="360" w:lineRule="auto"/>
        <w:ind w:firstLine="420"/>
        <w:rPr>
          <w:sz w:val="21"/>
          <w:szCs w:val="21"/>
        </w:rPr>
      </w:pPr>
      <w:r>
        <w:rPr>
          <w:rFonts w:hint="eastAsia"/>
          <w:sz w:val="21"/>
          <w:szCs w:val="21"/>
        </w:rPr>
        <w:t xml:space="preserve">39、开放时间：指开放日基金接受申购、赎回或其他业务的时间段 </w:t>
      </w:r>
    </w:p>
    <w:p w14:paraId="2ED8F6D4">
      <w:pPr>
        <w:pStyle w:val="8"/>
        <w:spacing w:before="0" w:beforeAutospacing="0" w:after="0" w:afterAutospacing="0" w:line="360" w:lineRule="auto"/>
        <w:ind w:firstLine="420"/>
        <w:rPr>
          <w:sz w:val="21"/>
          <w:szCs w:val="21"/>
        </w:rPr>
      </w:pPr>
      <w:r>
        <w:rPr>
          <w:rFonts w:hint="eastAsia"/>
          <w:sz w:val="21"/>
          <w:szCs w:val="21"/>
        </w:rPr>
        <w:t>40、《业务规则》：指《</w:t>
      </w:r>
      <w:bookmarkStart w:id="30" w:name="field_0_managerorgfullname_5"/>
      <w:r>
        <w:rPr>
          <w:rFonts w:hint="eastAsia"/>
          <w:sz w:val="21"/>
          <w:szCs w:val="21"/>
        </w:rPr>
        <w:t>博时基金管理有限公司</w:t>
      </w:r>
      <w:bookmarkEnd w:id="30"/>
      <w:r>
        <w:rPr>
          <w:rFonts w:hint="eastAsia"/>
          <w:sz w:val="21"/>
          <w:szCs w:val="21"/>
        </w:rPr>
        <w:t xml:space="preserve">开放式基金业务规则》，是规范基金管理人所管理的开放式证券投资基金登记方面的业务规则，由基金管理人和投资人共同遵守 </w:t>
      </w:r>
    </w:p>
    <w:p w14:paraId="490DDC97">
      <w:pPr>
        <w:pStyle w:val="8"/>
        <w:spacing w:before="0" w:beforeAutospacing="0" w:after="0" w:afterAutospacing="0" w:line="360" w:lineRule="auto"/>
        <w:ind w:firstLine="420"/>
        <w:rPr>
          <w:sz w:val="21"/>
          <w:szCs w:val="21"/>
        </w:rPr>
      </w:pPr>
      <w:r>
        <w:rPr>
          <w:rFonts w:hint="eastAsia"/>
          <w:sz w:val="21"/>
          <w:szCs w:val="21"/>
        </w:rPr>
        <w:t xml:space="preserve">41、认购：指在基金募集期内，投资人根据基金合同和招募说明书的规定申请购买基金份额的行为 </w:t>
      </w:r>
    </w:p>
    <w:p w14:paraId="47CBAC5C">
      <w:pPr>
        <w:pStyle w:val="8"/>
        <w:spacing w:before="0" w:beforeAutospacing="0" w:after="0" w:afterAutospacing="0" w:line="360" w:lineRule="auto"/>
        <w:ind w:firstLine="420"/>
        <w:rPr>
          <w:sz w:val="21"/>
          <w:szCs w:val="21"/>
        </w:rPr>
      </w:pPr>
      <w:r>
        <w:rPr>
          <w:rFonts w:hint="eastAsia"/>
          <w:sz w:val="21"/>
          <w:szCs w:val="21"/>
        </w:rPr>
        <w:t xml:space="preserve">42、申购：指基金合同生效后，投资人根据基金合同和招募说明书的规定申请购买基金份额的行为 </w:t>
      </w:r>
    </w:p>
    <w:p w14:paraId="44656E12">
      <w:pPr>
        <w:pStyle w:val="8"/>
        <w:spacing w:before="0" w:beforeAutospacing="0" w:after="0" w:afterAutospacing="0" w:line="360" w:lineRule="auto"/>
        <w:ind w:firstLine="420"/>
        <w:rPr>
          <w:sz w:val="21"/>
          <w:szCs w:val="21"/>
        </w:rPr>
      </w:pPr>
      <w:r>
        <w:rPr>
          <w:rFonts w:hint="eastAsia"/>
          <w:sz w:val="21"/>
          <w:szCs w:val="21"/>
        </w:rPr>
        <w:t xml:space="preserve">43、赎回：指基金合同生效后，基金份额持有人按基金合同和招募说明书规定的条件要求将基金份额兑换为现金的行为 </w:t>
      </w:r>
    </w:p>
    <w:p w14:paraId="4A9373CA">
      <w:pPr>
        <w:pStyle w:val="8"/>
        <w:spacing w:before="0" w:beforeAutospacing="0" w:after="0" w:afterAutospacing="0" w:line="360" w:lineRule="auto"/>
        <w:ind w:firstLine="420"/>
        <w:rPr>
          <w:sz w:val="21"/>
          <w:szCs w:val="21"/>
        </w:rPr>
      </w:pPr>
      <w:r>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14:paraId="5333F0F0">
      <w:pPr>
        <w:pStyle w:val="8"/>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14:paraId="45C13332">
      <w:pPr>
        <w:pStyle w:val="8"/>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14:paraId="31FE3063">
      <w:pPr>
        <w:pStyle w:val="8"/>
        <w:spacing w:before="0" w:beforeAutospacing="0" w:after="0" w:afterAutospacing="0" w:line="360" w:lineRule="auto"/>
        <w:ind w:firstLine="420"/>
        <w:rPr>
          <w:sz w:val="21"/>
          <w:szCs w:val="21"/>
        </w:rPr>
      </w:pPr>
      <w:r>
        <w:rPr>
          <w:rFonts w:hint="eastAsia"/>
          <w:sz w:val="21"/>
          <w:szCs w:val="21"/>
        </w:rPr>
        <w:t xml:space="preserve">47、巨额赎回：指本基金单个开放日，基金净赎回申请(赎回申请份额总数加上基金转换中转出申请份额总数后扣除申购申请份额总数及基金转换中转入申请份额总数后的余额)超过上一开放日基金总份额的10% </w:t>
      </w:r>
    </w:p>
    <w:p w14:paraId="655FF5CF">
      <w:pPr>
        <w:pStyle w:val="8"/>
        <w:spacing w:before="0" w:beforeAutospacing="0" w:after="0" w:afterAutospacing="0" w:line="360" w:lineRule="auto"/>
        <w:ind w:firstLine="420"/>
        <w:rPr>
          <w:sz w:val="21"/>
          <w:szCs w:val="21"/>
        </w:rPr>
      </w:pPr>
      <w:r>
        <w:rPr>
          <w:rFonts w:hint="eastAsia"/>
          <w:sz w:val="21"/>
          <w:szCs w:val="21"/>
        </w:rPr>
        <w:t xml:space="preserve">48、元：指人民币元 </w:t>
      </w:r>
    </w:p>
    <w:p w14:paraId="4FEF9C03">
      <w:pPr>
        <w:pStyle w:val="8"/>
        <w:spacing w:before="0" w:beforeAutospacing="0" w:after="0" w:afterAutospacing="0" w:line="360" w:lineRule="auto"/>
        <w:ind w:firstLine="420"/>
        <w:rPr>
          <w:sz w:val="21"/>
          <w:szCs w:val="21"/>
        </w:rPr>
      </w:pPr>
      <w:r>
        <w:rPr>
          <w:rFonts w:hint="eastAsia"/>
          <w:sz w:val="21"/>
          <w:szCs w:val="21"/>
        </w:rPr>
        <w:t xml:space="preserve">49、基金收益：指基金投资所得债券利息、买卖证券价差、银行存款利息、已实现的其他合法收入及因运用基金财产带来的成本和费用的节约 </w:t>
      </w:r>
    </w:p>
    <w:p w14:paraId="67BAC50D">
      <w:pPr>
        <w:pStyle w:val="8"/>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50、基金资产总值：指基金拥有的各类有价证券、银行存款本息、基金应收款项及其他资产的价值总和 </w:t>
      </w:r>
    </w:p>
    <w:p w14:paraId="42B0C421">
      <w:pPr>
        <w:pStyle w:val="8"/>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14:paraId="3D7641F4">
      <w:pPr>
        <w:pStyle w:val="8"/>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52、基金份额净值：指计算日基金资产净值除以计算日基金份额总数 </w:t>
      </w:r>
    </w:p>
    <w:p w14:paraId="3B04E95A">
      <w:pPr>
        <w:pStyle w:val="8"/>
        <w:spacing w:before="0" w:beforeAutospacing="0" w:after="0" w:afterAutospacing="0" w:line="360" w:lineRule="auto"/>
        <w:ind w:firstLine="420"/>
        <w:rPr>
          <w:sz w:val="21"/>
          <w:szCs w:val="21"/>
        </w:rPr>
      </w:pPr>
      <w:r>
        <w:rPr>
          <w:rFonts w:hint="eastAsia"/>
          <w:sz w:val="21"/>
          <w:szCs w:val="21"/>
        </w:rPr>
        <w:t xml:space="preserve">53、基金资产估值：指计算评估基金资产和负债的价值，以确定基金资产净值和基金份额净值的过程 </w:t>
      </w:r>
    </w:p>
    <w:p w14:paraId="657D3258">
      <w:pPr>
        <w:pStyle w:val="8"/>
        <w:spacing w:before="0" w:beforeAutospacing="0" w:after="0" w:afterAutospacing="0" w:line="360" w:lineRule="auto"/>
        <w:ind w:firstLine="420"/>
        <w:rPr>
          <w:sz w:val="21"/>
          <w:szCs w:val="21"/>
        </w:rPr>
      </w:pPr>
      <w:r>
        <w:rPr>
          <w:rFonts w:hint="eastAsia"/>
          <w:sz w:val="21"/>
          <w:szCs w:val="21"/>
        </w:rPr>
        <w:t xml:space="preserve">54、指定媒介：指中国证监会指定的用以进行信息披露的全国性报刊及指定互联网网站（包括基金管理人网站、基金托管人网站、中国证监会基金电子披露网站）等媒介 </w:t>
      </w:r>
    </w:p>
    <w:p w14:paraId="4104768A">
      <w:pPr>
        <w:pStyle w:val="8"/>
        <w:spacing w:before="0" w:beforeAutospacing="0" w:after="0" w:afterAutospacing="0" w:line="360" w:lineRule="auto"/>
        <w:ind w:firstLine="420"/>
        <w:rPr>
          <w:sz w:val="21"/>
          <w:szCs w:val="21"/>
        </w:rPr>
      </w:pPr>
      <w:r>
        <w:rPr>
          <w:rFonts w:hint="eastAsia"/>
          <w:sz w:val="21"/>
          <w:szCs w:val="21"/>
        </w:rPr>
        <w:t xml:space="preserve">55、不可抗力：指基金合同当事人不能预见、不能避免且不能克服的客观事件 </w:t>
      </w:r>
    </w:p>
    <w:p w14:paraId="33492D2F">
      <w:pPr>
        <w:pStyle w:val="8"/>
        <w:spacing w:before="0" w:beforeAutospacing="0" w:after="0" w:afterAutospacing="0" w:line="360" w:lineRule="auto"/>
        <w:ind w:firstLine="420"/>
        <w:rPr>
          <w:sz w:val="21"/>
          <w:szCs w:val="21"/>
        </w:rPr>
      </w:pPr>
      <w:r>
        <w:rPr>
          <w:rFonts w:hint="eastAsia"/>
          <w:sz w:val="21"/>
          <w:szCs w:val="21"/>
        </w:rPr>
        <w:t xml:space="preserve">56、基金份额的类别：本基金根据认购/申购费用与销售服务费收取方式的不同，将基金份额分为不同的类别 </w:t>
      </w:r>
    </w:p>
    <w:p w14:paraId="47835AB9">
      <w:pPr>
        <w:pStyle w:val="8"/>
        <w:spacing w:before="0" w:beforeAutospacing="0" w:after="0" w:afterAutospacing="0" w:line="360" w:lineRule="auto"/>
        <w:ind w:firstLine="420"/>
        <w:rPr>
          <w:sz w:val="21"/>
          <w:szCs w:val="21"/>
        </w:rPr>
      </w:pPr>
      <w:r>
        <w:rPr>
          <w:rFonts w:hint="eastAsia"/>
          <w:sz w:val="21"/>
          <w:szCs w:val="21"/>
        </w:rPr>
        <w:t xml:space="preserve">57、A类基金份额：本基金在投资者认购/申购基金时收取认购费、申购费的，不收取销售服务费的，称为A类基金份额 </w:t>
      </w:r>
    </w:p>
    <w:p w14:paraId="1BEC8CD5">
      <w:pPr>
        <w:pStyle w:val="8"/>
        <w:spacing w:before="0" w:beforeAutospacing="0" w:after="0" w:afterAutospacing="0" w:line="360" w:lineRule="auto"/>
        <w:ind w:firstLine="420"/>
        <w:rPr>
          <w:sz w:val="21"/>
          <w:szCs w:val="21"/>
        </w:rPr>
      </w:pPr>
      <w:r>
        <w:rPr>
          <w:rFonts w:hint="eastAsia"/>
          <w:sz w:val="21"/>
          <w:szCs w:val="21"/>
        </w:rPr>
        <w:t xml:space="preserve">58、C类基金份额：本基金在投资者认购/申购基金时不收取认购费、申购费，而是从本类别基金资产中计提销售服务费的，称为C类基金份额 </w:t>
      </w:r>
    </w:p>
    <w:p w14:paraId="7508AE65">
      <w:pPr>
        <w:pStyle w:val="8"/>
        <w:spacing w:before="0" w:beforeAutospacing="0" w:after="0" w:afterAutospacing="0" w:line="360" w:lineRule="auto"/>
        <w:ind w:firstLine="420"/>
        <w:rPr>
          <w:sz w:val="21"/>
          <w:szCs w:val="21"/>
        </w:rPr>
      </w:pPr>
      <w:r>
        <w:rPr>
          <w:rFonts w:hint="eastAsia"/>
          <w:sz w:val="21"/>
          <w:szCs w:val="21"/>
        </w:rPr>
        <w:t xml:space="preserve">59、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14:paraId="13749735">
      <w:pPr>
        <w:pStyle w:val="8"/>
        <w:spacing w:before="0" w:beforeAutospacing="0" w:after="0" w:afterAutospacing="0" w:line="360" w:lineRule="auto"/>
        <w:ind w:firstLine="420"/>
        <w:rPr>
          <w:sz w:val="21"/>
          <w:szCs w:val="21"/>
        </w:rPr>
      </w:pPr>
      <w:r>
        <w:rPr>
          <w:rFonts w:hint="eastAsia"/>
          <w:sz w:val="21"/>
          <w:szCs w:val="21"/>
        </w:rPr>
        <w:t xml:space="preserve">60、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35979D73">
      <w:pPr>
        <w:pStyle w:val="8"/>
        <w:spacing w:before="0" w:beforeAutospacing="0" w:after="0" w:afterAutospacing="0" w:line="360" w:lineRule="auto"/>
        <w:ind w:firstLine="420"/>
        <w:rPr>
          <w:sz w:val="21"/>
          <w:szCs w:val="21"/>
        </w:rPr>
      </w:pPr>
      <w:r>
        <w:rPr>
          <w:rFonts w:hint="eastAsia"/>
          <w:sz w:val="21"/>
          <w:szCs w:val="21"/>
        </w:rPr>
        <w:t>61、特定资产：包括：（一）无可参考的活跃市场价格且采用估值技术仍导致公允价值存在重大不确定性的资产；（二）按摊余成本计量且计提资产减值准备仍导致资产价值存在</w:t>
      </w:r>
      <w:bookmarkStart w:id="31" w:name="chapter_level1_4_49_section_2_end"/>
      <w:bookmarkEnd w:id="31"/>
      <w:r>
        <w:rPr>
          <w:rFonts w:hint="eastAsia"/>
          <w:sz w:val="21"/>
          <w:szCs w:val="21"/>
        </w:rPr>
        <w:t xml:space="preserve">重大不确定性的资产；（三）其他资产价值存在重大不确定性的资产 </w:t>
      </w:r>
    </w:p>
    <w:p w14:paraId="552AEA34">
      <w:pPr>
        <w:widowControl/>
        <w:jc w:val="left"/>
        <w:rPr>
          <w:rFonts w:ascii="宋体" w:hAnsi="宋体" w:eastAsia="宋体"/>
        </w:rPr>
      </w:pPr>
      <w:r>
        <w:rPr>
          <w:rFonts w:ascii="宋体" w:hAnsi="宋体" w:eastAsia="宋体"/>
        </w:rPr>
        <w:br w:type="page"/>
      </w:r>
    </w:p>
    <w:p w14:paraId="732C7EA7">
      <w:pPr>
        <w:pStyle w:val="2"/>
        <w:jc w:val="center"/>
        <w:rPr>
          <w:rFonts w:ascii="宋体" w:hAnsi="宋体" w:eastAsia="宋体"/>
          <w:sz w:val="30"/>
        </w:rPr>
      </w:pPr>
      <w:bookmarkStart w:id="32" w:name="chapter_level1_5_53"/>
      <w:bookmarkStart w:id="33" w:name="_Toc239192429"/>
      <w:r>
        <w:rPr>
          <w:rFonts w:hint="eastAsia" w:ascii="宋体" w:hAnsi="宋体" w:eastAsia="宋体"/>
          <w:sz w:val="30"/>
        </w:rPr>
        <w:t>第三部分  基金管理人</w:t>
      </w:r>
      <w:bookmarkEnd w:id="32"/>
      <w:bookmarkEnd w:id="33"/>
    </w:p>
    <w:p w14:paraId="3BD7C30D">
      <w:pPr>
        <w:pStyle w:val="8"/>
        <w:spacing w:before="0" w:beforeAutospacing="0" w:after="0" w:afterAutospacing="0" w:line="360" w:lineRule="auto"/>
        <w:ind w:firstLine="420"/>
        <w:rPr>
          <w:sz w:val="21"/>
          <w:szCs w:val="21"/>
        </w:rPr>
      </w:pPr>
      <w:bookmarkStart w:id="34" w:name="chapter_level1_5_53_section_1"/>
      <w:bookmarkEnd w:id="34"/>
      <w:r>
        <w:rPr>
          <w:rStyle w:val="12"/>
          <w:rFonts w:hint="eastAsia"/>
          <w:sz w:val="21"/>
          <w:szCs w:val="21"/>
        </w:rPr>
        <w:t>一、基金管理人概况</w:t>
      </w:r>
    </w:p>
    <w:p w14:paraId="73A01B11">
      <w:pPr>
        <w:pStyle w:val="8"/>
        <w:spacing w:before="0" w:beforeAutospacing="0" w:after="0" w:afterAutospacing="0" w:line="360" w:lineRule="auto"/>
        <w:ind w:firstLine="420"/>
        <w:rPr>
          <w:sz w:val="21"/>
          <w:szCs w:val="21"/>
        </w:rPr>
      </w:pPr>
      <w:bookmarkStart w:id="35" w:name="field_0_managercompanyinfo_1_start"/>
      <w:bookmarkEnd w:id="35"/>
      <w:r>
        <w:rPr>
          <w:rFonts w:hint="eastAsia"/>
          <w:sz w:val="21"/>
          <w:szCs w:val="21"/>
        </w:rPr>
        <w:t xml:space="preserve">名称： 博时基金管理有限公司 </w:t>
      </w:r>
    </w:p>
    <w:p w14:paraId="108829A6">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1020981C">
      <w:pPr>
        <w:pStyle w:val="8"/>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67C46875">
      <w:pPr>
        <w:pStyle w:val="8"/>
        <w:spacing w:before="0" w:beforeAutospacing="0" w:after="0" w:afterAutospacing="0" w:line="360" w:lineRule="auto"/>
        <w:ind w:firstLine="420"/>
        <w:rPr>
          <w:sz w:val="21"/>
          <w:szCs w:val="21"/>
        </w:rPr>
      </w:pPr>
      <w:r>
        <w:rPr>
          <w:rFonts w:hint="eastAsia"/>
          <w:sz w:val="21"/>
          <w:szCs w:val="21"/>
        </w:rPr>
        <w:t xml:space="preserve">法定代表人：张东 </w:t>
      </w:r>
    </w:p>
    <w:p w14:paraId="42F12E52">
      <w:pPr>
        <w:pStyle w:val="8"/>
        <w:spacing w:before="0" w:beforeAutospacing="0" w:after="0" w:afterAutospacing="0" w:line="360" w:lineRule="auto"/>
        <w:ind w:firstLine="420"/>
        <w:rPr>
          <w:sz w:val="21"/>
          <w:szCs w:val="21"/>
        </w:rPr>
      </w:pPr>
      <w:r>
        <w:rPr>
          <w:rFonts w:hint="eastAsia"/>
          <w:sz w:val="21"/>
          <w:szCs w:val="21"/>
        </w:rPr>
        <w:t xml:space="preserve">成立时间： 1998年7月13日 </w:t>
      </w:r>
    </w:p>
    <w:p w14:paraId="006D4EC3">
      <w:pPr>
        <w:pStyle w:val="8"/>
        <w:spacing w:before="0" w:beforeAutospacing="0" w:after="0" w:afterAutospacing="0" w:line="360" w:lineRule="auto"/>
        <w:ind w:firstLine="420"/>
        <w:rPr>
          <w:sz w:val="21"/>
          <w:szCs w:val="21"/>
        </w:rPr>
      </w:pPr>
      <w:r>
        <w:rPr>
          <w:rFonts w:hint="eastAsia"/>
          <w:sz w:val="21"/>
          <w:szCs w:val="21"/>
        </w:rPr>
        <w:t xml:space="preserve">注册资本： 2.5亿元人民币 </w:t>
      </w:r>
    </w:p>
    <w:p w14:paraId="07EC4C78">
      <w:pPr>
        <w:pStyle w:val="8"/>
        <w:spacing w:before="0" w:beforeAutospacing="0" w:after="0" w:afterAutospacing="0" w:line="360" w:lineRule="auto"/>
        <w:ind w:firstLine="420"/>
        <w:rPr>
          <w:sz w:val="21"/>
          <w:szCs w:val="21"/>
        </w:rPr>
      </w:pPr>
      <w:r>
        <w:rPr>
          <w:rFonts w:hint="eastAsia"/>
          <w:sz w:val="21"/>
          <w:szCs w:val="21"/>
        </w:rPr>
        <w:t xml:space="preserve">存续期间： 持续经营 </w:t>
      </w:r>
    </w:p>
    <w:p w14:paraId="38F65D5F">
      <w:pPr>
        <w:pStyle w:val="8"/>
        <w:spacing w:before="0" w:beforeAutospacing="0" w:after="0" w:afterAutospacing="0" w:line="360" w:lineRule="auto"/>
        <w:ind w:firstLine="420"/>
        <w:rPr>
          <w:sz w:val="21"/>
          <w:szCs w:val="21"/>
        </w:rPr>
      </w:pPr>
      <w:r>
        <w:rPr>
          <w:rFonts w:hint="eastAsia"/>
          <w:sz w:val="21"/>
          <w:szCs w:val="21"/>
        </w:rPr>
        <w:t xml:space="preserve">联系人：   杜松岭 </w:t>
      </w:r>
    </w:p>
    <w:p w14:paraId="2C8003B5">
      <w:pPr>
        <w:pStyle w:val="8"/>
        <w:spacing w:before="0" w:beforeAutospacing="0" w:after="0" w:afterAutospacing="0" w:line="360" w:lineRule="auto"/>
        <w:ind w:firstLine="420"/>
        <w:rPr>
          <w:sz w:val="21"/>
          <w:szCs w:val="21"/>
        </w:rPr>
      </w:pPr>
      <w:r>
        <w:rPr>
          <w:rFonts w:hint="eastAsia"/>
          <w:sz w:val="21"/>
          <w:szCs w:val="21"/>
        </w:rPr>
        <w:t xml:space="preserve">联系电话： （0755）8316 9999 </w:t>
      </w:r>
    </w:p>
    <w:p w14:paraId="3224279C">
      <w:pPr>
        <w:pStyle w:val="8"/>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44648F69">
      <w:pPr>
        <w:pStyle w:val="8"/>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14:paraId="3540C948">
      <w:pPr>
        <w:pStyle w:val="8"/>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36" w:name="field_0_managercompanyinfo_1_end"/>
      <w:bookmarkEnd w:id="36"/>
      <w:r>
        <w:rPr>
          <w:rFonts w:hint="eastAsia"/>
          <w:sz w:val="21"/>
          <w:szCs w:val="21"/>
        </w:rPr>
        <w:t xml:space="preserve">  </w:t>
      </w:r>
    </w:p>
    <w:p w14:paraId="2F418048">
      <w:pPr>
        <w:pStyle w:val="8"/>
        <w:spacing w:before="0" w:beforeAutospacing="0" w:after="0" w:afterAutospacing="0" w:line="360" w:lineRule="auto"/>
        <w:ind w:firstLine="420"/>
        <w:rPr>
          <w:sz w:val="21"/>
          <w:szCs w:val="21"/>
        </w:rPr>
      </w:pPr>
      <w:r>
        <w:rPr>
          <w:rStyle w:val="12"/>
          <w:rFonts w:hint="eastAsia"/>
          <w:sz w:val="21"/>
          <w:szCs w:val="21"/>
        </w:rPr>
        <w:t>二、主要成员情况</w:t>
      </w:r>
    </w:p>
    <w:p w14:paraId="74999788">
      <w:pPr>
        <w:pStyle w:val="8"/>
        <w:spacing w:before="0" w:beforeAutospacing="0" w:after="0" w:afterAutospacing="0" w:line="360" w:lineRule="auto"/>
        <w:ind w:firstLine="420"/>
        <w:rPr>
          <w:sz w:val="21"/>
          <w:szCs w:val="21"/>
        </w:rPr>
      </w:pPr>
      <w:bookmarkStart w:id="37" w:name="field_0_managerpersoninfo_1_start"/>
      <w:bookmarkEnd w:id="37"/>
      <w:r>
        <w:rPr>
          <w:rFonts w:hint="eastAsia"/>
          <w:sz w:val="21"/>
          <w:szCs w:val="21"/>
        </w:rPr>
        <w:t xml:space="preserve">1、基金管理人董事会成员 </w:t>
      </w:r>
    </w:p>
    <w:p w14:paraId="1A55DC80">
      <w:pPr>
        <w:pStyle w:val="8"/>
        <w:spacing w:before="0" w:beforeAutospacing="0" w:after="0" w:afterAutospacing="0" w:line="360" w:lineRule="auto"/>
        <w:ind w:firstLine="420"/>
        <w:rPr>
          <w:sz w:val="21"/>
          <w:szCs w:val="21"/>
        </w:rPr>
      </w:pPr>
      <w:r>
        <w:rPr>
          <w:rFonts w:hint="eastAsia"/>
          <w:sz w:val="21"/>
          <w:szCs w:val="21"/>
        </w:rPr>
        <w:t xml:space="preserve">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 </w:t>
      </w:r>
    </w:p>
    <w:p w14:paraId="01788235">
      <w:pPr>
        <w:pStyle w:val="8"/>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14:paraId="188C32E6">
      <w:pPr>
        <w:pStyle w:val="8"/>
        <w:spacing w:before="0" w:beforeAutospacing="0" w:after="0" w:afterAutospacing="0" w:line="360" w:lineRule="auto"/>
        <w:ind w:firstLine="420"/>
        <w:rPr>
          <w:sz w:val="21"/>
          <w:szCs w:val="21"/>
        </w:rPr>
      </w:pPr>
      <w:r>
        <w:rPr>
          <w:rFonts w:hint="eastAsia"/>
          <w:sz w:val="21"/>
          <w:szCs w:val="21"/>
        </w:rPr>
        <w:t xml:space="preserve">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 </w:t>
      </w:r>
    </w:p>
    <w:p w14:paraId="3732B051">
      <w:pPr>
        <w:pStyle w:val="8"/>
        <w:spacing w:before="0" w:beforeAutospacing="0" w:after="0" w:afterAutospacing="0" w:line="360" w:lineRule="auto"/>
        <w:ind w:firstLine="420"/>
        <w:rPr>
          <w:sz w:val="21"/>
          <w:szCs w:val="21"/>
        </w:rPr>
      </w:pPr>
      <w:r>
        <w:rPr>
          <w:rFonts w:hint="eastAsia"/>
          <w:sz w:val="21"/>
          <w:szCs w:val="21"/>
        </w:rPr>
        <w:t xml:space="preserve">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 </w:t>
      </w:r>
    </w:p>
    <w:p w14:paraId="3382DD67">
      <w:pPr>
        <w:pStyle w:val="8"/>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14:paraId="05951410">
      <w:pPr>
        <w:pStyle w:val="8"/>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14:paraId="78EBC292">
      <w:pPr>
        <w:pStyle w:val="8"/>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14:paraId="0332D8E6">
      <w:pPr>
        <w:pStyle w:val="8"/>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14:paraId="5E8F6C87">
      <w:pPr>
        <w:pStyle w:val="8"/>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14:paraId="502CD664">
      <w:pPr>
        <w:pStyle w:val="8"/>
        <w:spacing w:before="0" w:beforeAutospacing="0" w:after="0" w:afterAutospacing="0" w:line="360" w:lineRule="auto"/>
        <w:ind w:firstLine="420"/>
        <w:rPr>
          <w:sz w:val="21"/>
          <w:szCs w:val="21"/>
        </w:rPr>
      </w:pPr>
      <w:r>
        <w:rPr>
          <w:rFonts w:hint="eastAsia"/>
          <w:sz w:val="21"/>
          <w:szCs w:val="21"/>
        </w:rPr>
        <w:t xml:space="preserve">方芳女士，上海财经大学国民经济学专业博士、加拿大不列颠哥伦比亚大学访问学者。1985年7月至今，就职于上海财经大学。历任上海财经大学公共经济与管理学院副院长、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 </w:t>
      </w:r>
    </w:p>
    <w:p w14:paraId="3FE3AC3F">
      <w:pPr>
        <w:pStyle w:val="8"/>
        <w:spacing w:before="0" w:beforeAutospacing="0" w:after="0" w:afterAutospacing="0" w:line="360" w:lineRule="auto"/>
        <w:ind w:firstLine="420"/>
        <w:rPr>
          <w:sz w:val="21"/>
          <w:szCs w:val="21"/>
        </w:rPr>
      </w:pPr>
      <w:r>
        <w:rPr>
          <w:rFonts w:hint="eastAsia"/>
          <w:sz w:val="21"/>
          <w:szCs w:val="21"/>
        </w:rPr>
        <w:t xml:space="preserve">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 </w:t>
      </w:r>
    </w:p>
    <w:p w14:paraId="172EC43D">
      <w:pPr>
        <w:pStyle w:val="8"/>
        <w:spacing w:before="0" w:beforeAutospacing="0" w:after="0" w:afterAutospacing="0" w:line="360" w:lineRule="auto"/>
        <w:ind w:firstLine="420"/>
        <w:rPr>
          <w:sz w:val="21"/>
          <w:szCs w:val="21"/>
        </w:rPr>
      </w:pPr>
      <w:r>
        <w:rPr>
          <w:rFonts w:hint="eastAsia"/>
          <w:sz w:val="21"/>
          <w:szCs w:val="21"/>
        </w:rPr>
        <w:t xml:space="preserve">2、高级管理人员 </w:t>
      </w:r>
    </w:p>
    <w:p w14:paraId="68C4C468">
      <w:pPr>
        <w:pStyle w:val="8"/>
        <w:spacing w:before="0" w:beforeAutospacing="0" w:after="0" w:afterAutospacing="0" w:line="360" w:lineRule="auto"/>
        <w:ind w:firstLine="420"/>
        <w:rPr>
          <w:sz w:val="21"/>
          <w:szCs w:val="21"/>
        </w:rPr>
      </w:pPr>
      <w:r>
        <w:rPr>
          <w:rFonts w:hint="eastAsia"/>
          <w:sz w:val="21"/>
          <w:szCs w:val="21"/>
        </w:rPr>
        <w:t xml:space="preserve">张东先生，简历同上。 </w:t>
      </w:r>
    </w:p>
    <w:p w14:paraId="63BEC9DC">
      <w:pPr>
        <w:pStyle w:val="8"/>
        <w:spacing w:before="0" w:beforeAutospacing="0" w:after="0" w:afterAutospacing="0" w:line="360" w:lineRule="auto"/>
        <w:ind w:firstLine="420"/>
        <w:rPr>
          <w:sz w:val="21"/>
          <w:szCs w:val="21"/>
        </w:rPr>
      </w:pPr>
      <w:r>
        <w:rPr>
          <w:rFonts w:hint="eastAsia"/>
          <w:sz w:val="21"/>
          <w:szCs w:val="21"/>
        </w:rPr>
        <w:t xml:space="preserve">陈宇先生，简历同上。 </w:t>
      </w:r>
    </w:p>
    <w:p w14:paraId="5D9D6B9D">
      <w:pPr>
        <w:pStyle w:val="8"/>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 </w:t>
      </w:r>
    </w:p>
    <w:p w14:paraId="6B932AC3">
      <w:pPr>
        <w:pStyle w:val="8"/>
        <w:spacing w:before="0" w:beforeAutospacing="0" w:after="0" w:afterAutospacing="0" w:line="360" w:lineRule="auto"/>
        <w:ind w:firstLine="420"/>
        <w:rPr>
          <w:rFonts w:hint="eastAsia"/>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38" w:name="chapter_level1_5_53_section_1_end"/>
      <w:bookmarkEnd w:id="38"/>
      <w:r>
        <w:rPr>
          <w:rFonts w:hint="eastAsia"/>
          <w:sz w:val="21"/>
          <w:szCs w:val="21"/>
        </w:rPr>
        <w:t>资产管理有限公司合规总监。2024年加入博时基金管理有限公司，现任公司督察长。</w:t>
      </w:r>
    </w:p>
    <w:p w14:paraId="3294DEB4">
      <w:pPr>
        <w:pStyle w:val="8"/>
        <w:spacing w:before="0" w:beforeAutospacing="0" w:after="0" w:afterAutospacing="0" w:line="360" w:lineRule="auto"/>
        <w:ind w:firstLine="420"/>
        <w:rPr>
          <w:rFonts w:hint="eastAsia"/>
          <w:sz w:val="21"/>
          <w:szCs w:val="21"/>
        </w:rPr>
      </w:pPr>
      <w:bookmarkStart w:id="39" w:name="chapter_level1_5_53_section_2"/>
      <w:bookmarkEnd w:id="39"/>
      <w:r>
        <w:rPr>
          <w:rFonts w:hint="eastAsia"/>
          <w:sz w:val="21"/>
          <w:szCs w:val="21"/>
        </w:rPr>
        <w:t>于善辉先生，硕士，副总经理。 2001年至2023年先后在天相投资顾问有限公司、民生加银基金管理有限公司工作。2023年加入博时基金管理有限公司，现任公司副总经理兼公司投资决策委员会专职委员、年金投资部总经理。</w:t>
      </w:r>
    </w:p>
    <w:p w14:paraId="66E92228">
      <w:pPr>
        <w:pStyle w:val="8"/>
        <w:spacing w:before="0" w:beforeAutospacing="0" w:after="0" w:afterAutospacing="0" w:line="360" w:lineRule="auto"/>
        <w:ind w:firstLine="420"/>
        <w:rPr>
          <w:sz w:val="21"/>
          <w:szCs w:val="21"/>
        </w:rPr>
      </w:pPr>
      <w:bookmarkStart w:id="237" w:name="_GoBack"/>
      <w:bookmarkEnd w:id="237"/>
      <w:r>
        <w:rPr>
          <w:rFonts w:hint="eastAsia"/>
          <w:sz w:val="21"/>
          <w:szCs w:val="21"/>
        </w:rPr>
        <w:t xml:space="preserve">3、本基金基金经理 </w:t>
      </w:r>
    </w:p>
    <w:p w14:paraId="28475163">
      <w:pPr>
        <w:pStyle w:val="8"/>
        <w:spacing w:before="0" w:beforeAutospacing="0" w:after="0" w:afterAutospacing="0" w:line="360" w:lineRule="auto"/>
        <w:ind w:firstLine="420"/>
        <w:rPr>
          <w:rFonts w:hint="eastAsia"/>
          <w:sz w:val="21"/>
          <w:szCs w:val="21"/>
        </w:rPr>
      </w:pPr>
      <w:bookmarkStart w:id="40" w:name="field_0_fundmanagerresume_1_start"/>
      <w:bookmarkEnd w:id="40"/>
      <w:r>
        <w:rPr>
          <w:rFonts w:hint="eastAsia"/>
          <w:sz w:val="21"/>
          <w:szCs w:val="21"/>
        </w:rPr>
        <w:t>李更先生，硕士。2014年至2015年在华泰资产管理有限公司任交易员。2015年加入博时基金管理有限公司。历任交易员、基金经理助理、博时富添纯债债券型证券投资基金(2022年3月30日-2023年9月26日)、博时现金宝货币市场基金(2022年3月30日-2023年9月26日)、博时富盈一年定期开放债券型发起式证券投资基金(2023年7月20日-2024年9月23日)、博时合鑫货币市场基金(2023年9月12日-2026年8月14日)的基金经理。现任博时季季乐三个月持有期债券型证券投资基金(2022年3月30日—至今)、博时合晶货币市场基金(2022年6月22日—至今)、博时兴盛货币市场基金(2022年6月22日—至今)、博时民丰纯债债券型证券投资基金(2023年5月31日—至今)、博时富耀纯债一年定期开放债券型发起式证券投资基金(2023年6月21日—至今)、博时外服货币市场基金(2023年9月12日—至今)的基金经理。</w:t>
      </w:r>
      <w:bookmarkStart w:id="41" w:name="field_0_fundmanagerresume_1_end"/>
      <w:bookmarkEnd w:id="41"/>
    </w:p>
    <w:p w14:paraId="6834B721">
      <w:pPr>
        <w:pStyle w:val="8"/>
        <w:spacing w:before="0" w:beforeAutospacing="0" w:after="0" w:afterAutospacing="0" w:line="360" w:lineRule="auto"/>
        <w:ind w:firstLine="420"/>
        <w:rPr>
          <w:sz w:val="21"/>
          <w:szCs w:val="21"/>
        </w:rPr>
      </w:pPr>
      <w:r>
        <w:rPr>
          <w:rFonts w:hint="eastAsia"/>
          <w:sz w:val="21"/>
          <w:szCs w:val="21"/>
        </w:rPr>
        <w:t>鲁邦旺先生，硕士。2008年至2016年在平安保险集团公司工作，历任资金经理、固定收益投资经理。2016年加入博时基金管理有限公司。历任博时裕丰纯债债券型证券投资基金(2016年12月15日-2017年10月17日)、博时裕和纯债债券型证券投资基金(2016年12月15日-2017年10月19日)、博时裕盈纯债债券型证券投资基金(2016年12月15日-2017年10月25日)、博时裕嘉纯债债券型证券投资基金(2016年12月15日-2017年11月15日)、博时裕坤纯债债券型证券投资基金(2016年12月15日-2018年2月7日)、博时裕晟纯债债券型证券投资基金(2016年12月15日-2018年8月10日)、博时安慧18个月定期开放债券型证券投资基金(2017年12月29日-2018年9月6日)、博时裕荣纯债债券型证券投资基金(2016年12月15日-2019年3月11日)、博时裕康纯债债券型证券投资基金(2016年12月15日-2019年3月11日)、博时裕恒纯债债券型证券投资基金(2016年12月15日-2019年3月11日)、博时裕达纯债债券型证券投资基金(2016年12月15日-2019年3月11日)、博时裕瑞纯债债券型证券投资基金(2016年12月15日-2019年3月11日)、博时裕泰纯债债券型证券投资基金(2016年12月15日-2019年3月11日)、博时裕丰纯债3个月定期开放债券型发起式证券投资基金(2017年10月18日-2019年3月11日)、博时裕盈纯债3个月定期开放债券型发起式证券投资基金(2017年10月26日-2019年3月11日)、博时裕嘉纯债3个月定期开放债券型发起式证券投资基金(2017年11月16日-2019年3月11日)、博时裕坤纯债3个月定期开放债券型发起式证券投资基金(2018年2月8日-2019年3月11日)、博时富业纯债3个月定期开放债券型发起式证券投资基金(2018年7月2日-2019年8月19日)、博时兴盛货币市场基金(2019年2月25日-2022年6月22日)、博时合晶货币市场基金(2019年2月25日-2022年6月22日)、博时岁岁增利一年定期开放债券型证券投资基金(2016年12月15日-2022年11月16日)、博时外服货币市场基金(2019年2月25日-2023年10月17日)、博时合鑫货币市场基金(2019年2月25日-2023年10月17日)、博时景发纯债债券型证券投资基金(2022年7月14日-2025年8月5日)、博时保证金实时交易型货币市场基金(2017年4月26日-2025年12月29日)、博时合鑫货币市场基金(2024年7月5日-2026年8月14日)、博时富业纯债3个月定期开放债券型发起式证券投资基金(2025年8月1日-2026年8月25日)的基金经理。现任博时天天增利货币市场基金(2017年4月26日—至今)、博时兴荣货币市场基金(2018年3月19日—至今)、博时合利货币市场基金(2019年2月25日—至今)、博时月月享30天持有期短债债券型发起式证券投资基金(2021年5月12日—至今)、博时岁岁增利一年持有期债券型证券投资基金(2022年11月17日—至今)、博时月月乐同业存单30天持有期混合型证券投资基金(2023年9月12日—至今)、博时双月乐60天持有期债券型证券投资基金(2023年11月14日—至今)、博时兴盛货币市场基金(2024年7月5日—至今)、博时中债7-10年政策性金融债指数证券投资基金(2025年7月29日—至今)</w:t>
      </w:r>
      <w:r>
        <w:rPr>
          <w:rFonts w:hint="eastAsia"/>
          <w:sz w:val="21"/>
          <w:szCs w:val="21"/>
          <w:lang w:eastAsia="zh-CN"/>
        </w:rPr>
        <w:t>、</w:t>
      </w:r>
      <w:r>
        <w:rPr>
          <w:rFonts w:hint="eastAsia" w:ascii="宋体" w:hAnsi="宋体" w:eastAsia="宋体" w:cs="宋体"/>
          <w:kern w:val="0"/>
          <w:sz w:val="21"/>
          <w:szCs w:val="21"/>
          <w:shd w:val="clear"/>
          <w:lang w:val="en-US" w:eastAsia="zh-CN"/>
        </w:rPr>
        <w:t>博时季季乐三个月持有期债券型证券投资基金</w:t>
      </w:r>
      <w:r>
        <w:rPr>
          <w:rFonts w:hint="eastAsia"/>
          <w:sz w:val="21"/>
          <w:szCs w:val="21"/>
        </w:rPr>
        <w:t>(202</w:t>
      </w:r>
      <w:r>
        <w:rPr>
          <w:rFonts w:hint="eastAsia"/>
          <w:sz w:val="21"/>
          <w:szCs w:val="21"/>
          <w:lang w:val="en-US" w:eastAsia="zh-CN"/>
        </w:rPr>
        <w:t>6</w:t>
      </w:r>
      <w:r>
        <w:rPr>
          <w:rFonts w:hint="eastAsia"/>
          <w:sz w:val="21"/>
          <w:szCs w:val="21"/>
        </w:rPr>
        <w:t>年</w:t>
      </w:r>
      <w:r>
        <w:rPr>
          <w:rFonts w:hint="eastAsia"/>
          <w:sz w:val="21"/>
          <w:szCs w:val="21"/>
          <w:lang w:val="en-US" w:eastAsia="zh-CN"/>
        </w:rPr>
        <w:t>10</w:t>
      </w:r>
      <w:r>
        <w:rPr>
          <w:rFonts w:hint="eastAsia"/>
          <w:sz w:val="21"/>
          <w:szCs w:val="21"/>
        </w:rPr>
        <w:t>月</w:t>
      </w:r>
      <w:r>
        <w:rPr>
          <w:rFonts w:hint="eastAsia"/>
          <w:sz w:val="21"/>
          <w:szCs w:val="21"/>
          <w:lang w:val="en-US" w:eastAsia="zh-CN"/>
        </w:rPr>
        <w:t>20</w:t>
      </w:r>
      <w:r>
        <w:rPr>
          <w:rFonts w:hint="eastAsia"/>
          <w:sz w:val="21"/>
          <w:szCs w:val="21"/>
        </w:rPr>
        <w:t>日—至今)</w:t>
      </w:r>
      <w:r>
        <w:rPr>
          <w:rFonts w:hint="eastAsia" w:ascii="宋体" w:hAnsi="宋体" w:eastAsia="宋体" w:cs="宋体"/>
          <w:kern w:val="0"/>
          <w:sz w:val="21"/>
          <w:szCs w:val="21"/>
          <w:shd w:val="clear"/>
          <w:lang w:val="en-US" w:eastAsia="zh-CN"/>
        </w:rPr>
        <w:t>、博时民丰纯债债券型证券投资基金</w:t>
      </w:r>
      <w:r>
        <w:rPr>
          <w:rFonts w:hint="eastAsia"/>
          <w:sz w:val="21"/>
          <w:szCs w:val="21"/>
        </w:rPr>
        <w:t>(202</w:t>
      </w:r>
      <w:r>
        <w:rPr>
          <w:rFonts w:hint="eastAsia"/>
          <w:sz w:val="21"/>
          <w:szCs w:val="21"/>
          <w:lang w:val="en-US" w:eastAsia="zh-CN"/>
        </w:rPr>
        <w:t>6</w:t>
      </w:r>
      <w:r>
        <w:rPr>
          <w:rFonts w:hint="eastAsia"/>
          <w:sz w:val="21"/>
          <w:szCs w:val="21"/>
        </w:rPr>
        <w:t>年</w:t>
      </w:r>
      <w:r>
        <w:rPr>
          <w:rFonts w:hint="eastAsia"/>
          <w:sz w:val="21"/>
          <w:szCs w:val="21"/>
          <w:lang w:val="en-US" w:eastAsia="zh-CN"/>
        </w:rPr>
        <w:t>10</w:t>
      </w:r>
      <w:r>
        <w:rPr>
          <w:rFonts w:hint="eastAsia"/>
          <w:sz w:val="21"/>
          <w:szCs w:val="21"/>
        </w:rPr>
        <w:t>月</w:t>
      </w:r>
      <w:r>
        <w:rPr>
          <w:rFonts w:hint="eastAsia"/>
          <w:sz w:val="21"/>
          <w:szCs w:val="21"/>
          <w:lang w:val="en-US" w:eastAsia="zh-CN"/>
        </w:rPr>
        <w:t>20</w:t>
      </w:r>
      <w:r>
        <w:rPr>
          <w:rFonts w:hint="eastAsia"/>
          <w:sz w:val="21"/>
          <w:szCs w:val="21"/>
        </w:rPr>
        <w:t xml:space="preserve">日—至今)的基金经理。  </w:t>
      </w:r>
    </w:p>
    <w:p w14:paraId="670C56C2">
      <w:pPr>
        <w:pStyle w:val="8"/>
        <w:spacing w:before="0" w:beforeAutospacing="0" w:after="0" w:afterAutospacing="0" w:line="360" w:lineRule="auto"/>
        <w:ind w:firstLine="420"/>
        <w:rPr>
          <w:sz w:val="21"/>
          <w:szCs w:val="21"/>
        </w:rPr>
      </w:pPr>
      <w:bookmarkStart w:id="42" w:name="field_0_fundmanagershis_1_start"/>
      <w:bookmarkEnd w:id="42"/>
      <w:r>
        <w:rPr>
          <w:rFonts w:hint="eastAsia"/>
          <w:sz w:val="21"/>
          <w:szCs w:val="21"/>
        </w:rPr>
        <w:t>本基金历任基金经理：王申（2016年11月30日-2017年12月29日）、黄海峰（2017年12月29日-2020年7月7日）、李秋实（2020年7月7日-2021</w:t>
      </w:r>
      <w:bookmarkStart w:id="43" w:name="chapter_level1_5_53_section_2_end"/>
      <w:bookmarkEnd w:id="43"/>
      <w:r>
        <w:rPr>
          <w:rFonts w:hint="eastAsia"/>
          <w:sz w:val="21"/>
          <w:szCs w:val="21"/>
        </w:rPr>
        <w:t>年10月27日）、于渤洋（2021年10月27日-2023年5月31日）。</w:t>
      </w:r>
      <w:bookmarkStart w:id="44" w:name="field_0_fundmanagershis_1_end"/>
      <w:bookmarkEnd w:id="44"/>
      <w:r>
        <w:rPr>
          <w:rFonts w:hint="eastAsia"/>
          <w:sz w:val="21"/>
          <w:szCs w:val="21"/>
        </w:rPr>
        <w:t xml:space="preserve">  </w:t>
      </w:r>
    </w:p>
    <w:p w14:paraId="596F1663">
      <w:pPr>
        <w:pStyle w:val="8"/>
        <w:spacing w:before="0" w:beforeAutospacing="0" w:after="0" w:afterAutospacing="0" w:line="360" w:lineRule="auto"/>
        <w:ind w:firstLine="420"/>
        <w:rPr>
          <w:sz w:val="21"/>
          <w:szCs w:val="21"/>
        </w:rPr>
      </w:pPr>
      <w:bookmarkStart w:id="45" w:name="field_0_managerpersoninfo2_1_start"/>
      <w:bookmarkEnd w:id="45"/>
      <w:bookmarkStart w:id="46" w:name="chapter_level1_5_53_section_3"/>
      <w:bookmarkEnd w:id="46"/>
      <w:r>
        <w:rPr>
          <w:rFonts w:hint="eastAsia"/>
          <w:sz w:val="21"/>
          <w:szCs w:val="21"/>
        </w:rPr>
        <w:t xml:space="preserve">4、投资决策委员会成员 </w:t>
      </w:r>
    </w:p>
    <w:p w14:paraId="3C58C8BB">
      <w:pPr>
        <w:pStyle w:val="8"/>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1D44F54A">
      <w:pPr>
        <w:pStyle w:val="8"/>
        <w:spacing w:before="0" w:beforeAutospacing="0" w:after="0" w:afterAutospacing="0" w:line="360" w:lineRule="auto"/>
        <w:ind w:firstLine="420"/>
        <w:rPr>
          <w:rFonts w:hint="eastAsia"/>
          <w:sz w:val="21"/>
          <w:szCs w:val="21"/>
        </w:rPr>
      </w:pPr>
      <w:r>
        <w:rPr>
          <w:rFonts w:hint="eastAsia"/>
          <w:sz w:val="21"/>
          <w:szCs w:val="21"/>
        </w:rPr>
        <w:t>公司副总经理兼公司投资决策委员会专职委员、年金投资部总经理于善辉先生。</w:t>
      </w:r>
    </w:p>
    <w:p w14:paraId="0A4CF8FE">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08D29434">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73F44628">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04978111">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52B2D141">
      <w:pPr>
        <w:pStyle w:val="8"/>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74E0C162">
      <w:pPr>
        <w:pStyle w:val="8"/>
        <w:spacing w:before="0" w:beforeAutospacing="0" w:after="0" w:afterAutospacing="0" w:line="360" w:lineRule="auto"/>
        <w:ind w:firstLine="420"/>
        <w:rPr>
          <w:sz w:val="21"/>
          <w:szCs w:val="21"/>
        </w:rPr>
      </w:pPr>
      <w:r>
        <w:rPr>
          <w:rFonts w:hint="eastAsia"/>
          <w:sz w:val="21"/>
          <w:szCs w:val="21"/>
        </w:rPr>
        <w:t xml:space="preserve">宏观策略部总经理助理（主持工作）兼首席策略分析师陈显顺先生。    </w:t>
      </w:r>
    </w:p>
    <w:p w14:paraId="0682C3BF">
      <w:pPr>
        <w:pStyle w:val="8"/>
        <w:spacing w:before="0" w:beforeAutospacing="0" w:after="0" w:afterAutospacing="0" w:line="360" w:lineRule="auto"/>
        <w:ind w:firstLine="420"/>
        <w:rPr>
          <w:sz w:val="21"/>
          <w:szCs w:val="21"/>
        </w:rPr>
      </w:pPr>
      <w:bookmarkStart w:id="47" w:name="chapter_level1_5_53_section_3_end"/>
      <w:bookmarkEnd w:id="47"/>
      <w:r>
        <w:rPr>
          <w:rFonts w:hint="eastAsia"/>
          <w:sz w:val="21"/>
          <w:szCs w:val="21"/>
        </w:rPr>
        <w:t xml:space="preserve">5、上述人员之间均不存在近亲属关系。  </w:t>
      </w:r>
      <w:bookmarkStart w:id="48" w:name="field_0_managerpersoninfo2_1_end"/>
      <w:bookmarkEnd w:id="48"/>
      <w:r>
        <w:rPr>
          <w:rFonts w:hint="eastAsia"/>
          <w:sz w:val="21"/>
          <w:szCs w:val="21"/>
        </w:rPr>
        <w:t xml:space="preserve">  </w:t>
      </w:r>
    </w:p>
    <w:p w14:paraId="54612C09">
      <w:pPr>
        <w:pStyle w:val="8"/>
        <w:spacing w:before="0" w:beforeAutospacing="0" w:after="0" w:afterAutospacing="0" w:line="360" w:lineRule="auto"/>
        <w:ind w:firstLine="420"/>
        <w:rPr>
          <w:sz w:val="21"/>
          <w:szCs w:val="21"/>
        </w:rPr>
      </w:pPr>
      <w:bookmarkStart w:id="49" w:name="chapter_level1_5_53_section_4"/>
      <w:bookmarkEnd w:id="49"/>
      <w:r>
        <w:rPr>
          <w:rStyle w:val="12"/>
          <w:rFonts w:hint="eastAsia"/>
          <w:sz w:val="21"/>
          <w:szCs w:val="21"/>
        </w:rPr>
        <w:t>三、基金管理人的职责</w:t>
      </w:r>
    </w:p>
    <w:p w14:paraId="1DD87323">
      <w:pPr>
        <w:pStyle w:val="8"/>
        <w:spacing w:before="0" w:beforeAutospacing="0" w:after="0" w:afterAutospacing="0" w:line="360" w:lineRule="auto"/>
        <w:ind w:firstLine="420"/>
        <w:rPr>
          <w:sz w:val="21"/>
          <w:szCs w:val="21"/>
        </w:rPr>
      </w:pPr>
      <w:r>
        <w:rPr>
          <w:rFonts w:hint="eastAsia"/>
          <w:sz w:val="21"/>
          <w:szCs w:val="21"/>
        </w:rPr>
        <w:t xml:space="preserve">1、依法募集基金，办理或者委托经中国证监会认定的其他机构代为办理基金份额的发售、申购、赎回和登记事宜； </w:t>
      </w:r>
    </w:p>
    <w:p w14:paraId="5204CDB9">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76242F30">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3CCE8109">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61A1BD67">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5933381F">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74A23674">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2BDD0D34">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4F4E9ADB">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61F3F6D2">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63D61668">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1A27DD1A">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1B47A612">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DC51D5E">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14、按规定受理申购与赎回申请，及时、足额支付赎回对价； </w:t>
      </w:r>
    </w:p>
    <w:p w14:paraId="1C085C23">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36EE9C3B">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4D099E90">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3C52093">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4C1942AB">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6E91E773">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27852B46">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2AE9A61A">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719CA710">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8EF5521">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1105AAB8">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35BDA9FF">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69197F9B">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33315E23">
      <w:pPr>
        <w:pStyle w:val="8"/>
        <w:spacing w:before="0" w:beforeAutospacing="0" w:after="0" w:afterAutospacing="0" w:line="360" w:lineRule="auto"/>
        <w:ind w:firstLine="420"/>
        <w:rPr>
          <w:sz w:val="21"/>
          <w:szCs w:val="21"/>
        </w:rPr>
      </w:pPr>
      <w:r>
        <w:rPr>
          <w:rStyle w:val="12"/>
          <w:rFonts w:hint="eastAsia"/>
          <w:sz w:val="21"/>
          <w:szCs w:val="21"/>
        </w:rPr>
        <w:t>四、基金管理人的承诺</w:t>
      </w:r>
    </w:p>
    <w:p w14:paraId="25233611">
      <w:pPr>
        <w:pStyle w:val="8"/>
        <w:spacing w:before="0" w:beforeAutospacing="0" w:after="0" w:afterAutospacing="0" w:line="360" w:lineRule="auto"/>
        <w:ind w:firstLine="420"/>
        <w:rPr>
          <w:sz w:val="21"/>
          <w:szCs w:val="21"/>
        </w:rPr>
      </w:pPr>
      <w:r>
        <w:rPr>
          <w:rFonts w:hint="eastAsia"/>
          <w:sz w:val="21"/>
          <w:szCs w:val="21"/>
        </w:rPr>
        <w:t xml:space="preserve">1、基金管理人承诺不从事违反《证券法》的行为，并承诺建立健全内部控制制度，采取有效措施，防止违反《证券法》行为的发生； </w:t>
      </w:r>
    </w:p>
    <w:p w14:paraId="61272CCB">
      <w:pPr>
        <w:pStyle w:val="8"/>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66E7E38F">
      <w:pPr>
        <w:pStyle w:val="8"/>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20CAB53C">
      <w:pPr>
        <w:pStyle w:val="8"/>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230F4B44">
      <w:pPr>
        <w:pStyle w:val="8"/>
        <w:spacing w:before="0" w:beforeAutospacing="0" w:after="0" w:afterAutospacing="0" w:line="360" w:lineRule="auto"/>
        <w:ind w:firstLine="420"/>
        <w:rPr>
          <w:sz w:val="21"/>
          <w:szCs w:val="21"/>
        </w:rPr>
      </w:pPr>
      <w:r>
        <w:rPr>
          <w:rFonts w:hint="eastAsia"/>
          <w:sz w:val="21"/>
          <w:szCs w:val="21"/>
        </w:rPr>
        <w:t xml:space="preserve">（3）利用基金财产为基金份额持有人以外的第三人牟取利益； </w:t>
      </w:r>
    </w:p>
    <w:p w14:paraId="54D18D6A">
      <w:pPr>
        <w:pStyle w:val="8"/>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44550B10">
      <w:pPr>
        <w:pStyle w:val="8"/>
        <w:spacing w:before="0" w:beforeAutospacing="0" w:after="0" w:afterAutospacing="0" w:line="360" w:lineRule="auto"/>
        <w:ind w:firstLine="420"/>
        <w:rPr>
          <w:sz w:val="21"/>
          <w:szCs w:val="21"/>
        </w:rPr>
      </w:pPr>
      <w:r>
        <w:rPr>
          <w:rFonts w:hint="eastAsia"/>
          <w:sz w:val="21"/>
          <w:szCs w:val="21"/>
        </w:rPr>
        <w:t xml:space="preserve">（5）依照法律、行政法规有关规定，由中国证监会规定禁止的其他行为。 </w:t>
      </w:r>
    </w:p>
    <w:p w14:paraId="14627252">
      <w:pPr>
        <w:pStyle w:val="8"/>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4CB59ACC">
      <w:pPr>
        <w:pStyle w:val="8"/>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3DE75BAD">
      <w:pPr>
        <w:pStyle w:val="8"/>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346596BF">
      <w:pPr>
        <w:pStyle w:val="8"/>
        <w:spacing w:before="0" w:beforeAutospacing="0" w:after="0" w:afterAutospacing="0" w:line="360" w:lineRule="auto"/>
        <w:ind w:firstLine="420"/>
        <w:rPr>
          <w:sz w:val="21"/>
          <w:szCs w:val="21"/>
        </w:rPr>
      </w:pPr>
      <w:r>
        <w:rPr>
          <w:rStyle w:val="12"/>
          <w:rFonts w:hint="eastAsia"/>
          <w:sz w:val="21"/>
          <w:szCs w:val="21"/>
        </w:rPr>
        <w:t>五、基金经理承诺</w:t>
      </w:r>
    </w:p>
    <w:p w14:paraId="09AF9FDC">
      <w:pPr>
        <w:pStyle w:val="8"/>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10DA0D2C">
      <w:pPr>
        <w:pStyle w:val="8"/>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2、不利用职务之便为自己、受雇人或任何第三者谋取利益； </w:t>
      </w:r>
    </w:p>
    <w:p w14:paraId="1ACEDD05">
      <w:pPr>
        <w:pStyle w:val="8"/>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 </w:t>
      </w:r>
    </w:p>
    <w:p w14:paraId="648E108D">
      <w:pPr>
        <w:pStyle w:val="8"/>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47C421A0">
      <w:pPr>
        <w:pStyle w:val="8"/>
        <w:spacing w:before="0" w:beforeAutospacing="0" w:after="0" w:afterAutospacing="0" w:line="360" w:lineRule="auto"/>
        <w:ind w:firstLine="420"/>
        <w:rPr>
          <w:sz w:val="21"/>
          <w:szCs w:val="21"/>
        </w:rPr>
      </w:pPr>
      <w:r>
        <w:rPr>
          <w:rStyle w:val="12"/>
          <w:rFonts w:hint="eastAsia"/>
          <w:sz w:val="21"/>
          <w:szCs w:val="21"/>
        </w:rPr>
        <w:t>六、基金管理人的内部控制制度</w:t>
      </w:r>
    </w:p>
    <w:p w14:paraId="71ADB9E8">
      <w:pPr>
        <w:pStyle w:val="8"/>
        <w:spacing w:before="0" w:beforeAutospacing="0" w:after="0" w:afterAutospacing="0" w:line="360" w:lineRule="auto"/>
        <w:ind w:firstLine="420"/>
        <w:rPr>
          <w:sz w:val="21"/>
          <w:szCs w:val="21"/>
        </w:rPr>
      </w:pPr>
      <w:r>
        <w:rPr>
          <w:rFonts w:hint="eastAsia"/>
          <w:sz w:val="21"/>
          <w:szCs w:val="21"/>
        </w:rPr>
        <w:t xml:space="preserve">1、风险管理的原则 </w:t>
      </w:r>
    </w:p>
    <w:p w14:paraId="4ADCE4A7">
      <w:pPr>
        <w:pStyle w:val="8"/>
        <w:spacing w:before="0" w:beforeAutospacing="0" w:after="0" w:afterAutospacing="0" w:line="360" w:lineRule="auto"/>
        <w:ind w:firstLine="420"/>
        <w:rPr>
          <w:sz w:val="21"/>
          <w:szCs w:val="21"/>
        </w:rPr>
      </w:pPr>
      <w:r>
        <w:rPr>
          <w:rFonts w:hint="eastAsia"/>
          <w:sz w:val="21"/>
          <w:szCs w:val="21"/>
        </w:rPr>
        <w:t xml:space="preserve">（1）全面性原则 </w:t>
      </w:r>
    </w:p>
    <w:p w14:paraId="085BD142">
      <w:pPr>
        <w:pStyle w:val="8"/>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66EBDEBD">
      <w:pPr>
        <w:pStyle w:val="8"/>
        <w:spacing w:before="0" w:beforeAutospacing="0" w:after="0" w:afterAutospacing="0" w:line="360" w:lineRule="auto"/>
        <w:ind w:firstLine="420"/>
        <w:rPr>
          <w:sz w:val="21"/>
          <w:szCs w:val="21"/>
        </w:rPr>
      </w:pPr>
      <w:r>
        <w:rPr>
          <w:rFonts w:hint="eastAsia"/>
          <w:sz w:val="21"/>
          <w:szCs w:val="21"/>
        </w:rPr>
        <w:t xml:space="preserve">（2）独立性原则 </w:t>
      </w:r>
    </w:p>
    <w:p w14:paraId="5F4A638C">
      <w:pPr>
        <w:pStyle w:val="8"/>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公司设立独立的法律合规部，法律合规部保持高度的独立性和权威性，负责对公司各部门风险控制工作进行检查。 </w:t>
      </w:r>
    </w:p>
    <w:p w14:paraId="1DFBA548">
      <w:pPr>
        <w:pStyle w:val="8"/>
        <w:spacing w:before="0" w:beforeAutospacing="0" w:after="0" w:afterAutospacing="0" w:line="360" w:lineRule="auto"/>
        <w:ind w:firstLine="420"/>
        <w:rPr>
          <w:sz w:val="21"/>
          <w:szCs w:val="21"/>
        </w:rPr>
      </w:pPr>
      <w:r>
        <w:rPr>
          <w:rFonts w:hint="eastAsia"/>
          <w:sz w:val="21"/>
          <w:szCs w:val="21"/>
        </w:rPr>
        <w:t xml:space="preserve">（3）相互制约原则 </w:t>
      </w:r>
    </w:p>
    <w:p w14:paraId="50720822">
      <w:pPr>
        <w:pStyle w:val="8"/>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13FD971B">
      <w:pPr>
        <w:pStyle w:val="8"/>
        <w:spacing w:before="0" w:beforeAutospacing="0" w:after="0" w:afterAutospacing="0" w:line="360" w:lineRule="auto"/>
        <w:ind w:firstLine="420"/>
        <w:rPr>
          <w:sz w:val="21"/>
          <w:szCs w:val="21"/>
        </w:rPr>
      </w:pPr>
      <w:r>
        <w:rPr>
          <w:rFonts w:hint="eastAsia"/>
          <w:sz w:val="21"/>
          <w:szCs w:val="21"/>
        </w:rPr>
        <w:t xml:space="preserve">（4）定性和定量相结合原则 </w:t>
      </w:r>
    </w:p>
    <w:p w14:paraId="4C40C010">
      <w:pPr>
        <w:pStyle w:val="8"/>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20F977F5">
      <w:pPr>
        <w:pStyle w:val="8"/>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1C041D7F">
      <w:pPr>
        <w:pStyle w:val="8"/>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56052D70">
      <w:pPr>
        <w:pStyle w:val="8"/>
        <w:spacing w:before="0" w:beforeAutospacing="0" w:after="0" w:afterAutospacing="0" w:line="360" w:lineRule="auto"/>
        <w:ind w:firstLine="420"/>
        <w:rPr>
          <w:sz w:val="21"/>
          <w:szCs w:val="21"/>
        </w:rPr>
      </w:pPr>
      <w:r>
        <w:rPr>
          <w:rFonts w:hint="eastAsia"/>
          <w:sz w:val="21"/>
          <w:szCs w:val="21"/>
        </w:rPr>
        <w:t xml:space="preserve">（1）董事会 </w:t>
      </w:r>
    </w:p>
    <w:p w14:paraId="4589CB78">
      <w:pPr>
        <w:pStyle w:val="8"/>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59D4880B">
      <w:pPr>
        <w:pStyle w:val="8"/>
        <w:spacing w:before="0" w:beforeAutospacing="0" w:after="0" w:afterAutospacing="0" w:line="360" w:lineRule="auto"/>
        <w:ind w:firstLine="420"/>
        <w:rPr>
          <w:sz w:val="21"/>
          <w:szCs w:val="21"/>
        </w:rPr>
      </w:pPr>
      <w:r>
        <w:rPr>
          <w:rFonts w:hint="eastAsia"/>
          <w:sz w:val="21"/>
          <w:szCs w:val="21"/>
        </w:rPr>
        <w:t xml:space="preserve">（2）风险管理委员会 </w:t>
      </w:r>
    </w:p>
    <w:p w14:paraId="47879A61">
      <w:pPr>
        <w:pStyle w:val="8"/>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299CFDF2">
      <w:pPr>
        <w:pStyle w:val="8"/>
        <w:spacing w:before="0" w:beforeAutospacing="0" w:after="0" w:afterAutospacing="0" w:line="360" w:lineRule="auto"/>
        <w:ind w:firstLine="420"/>
        <w:rPr>
          <w:sz w:val="21"/>
          <w:szCs w:val="21"/>
        </w:rPr>
      </w:pPr>
      <w:r>
        <w:rPr>
          <w:rFonts w:hint="eastAsia"/>
          <w:sz w:val="21"/>
          <w:szCs w:val="21"/>
        </w:rPr>
        <w:t xml:space="preserve">（3）督察长 </w:t>
      </w:r>
    </w:p>
    <w:p w14:paraId="31ECED93">
      <w:pPr>
        <w:pStyle w:val="8"/>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78686265">
      <w:pPr>
        <w:pStyle w:val="8"/>
        <w:spacing w:before="0" w:beforeAutospacing="0" w:after="0" w:afterAutospacing="0" w:line="360" w:lineRule="auto"/>
        <w:ind w:firstLine="420"/>
        <w:rPr>
          <w:sz w:val="21"/>
          <w:szCs w:val="21"/>
        </w:rPr>
      </w:pPr>
      <w:r>
        <w:rPr>
          <w:rFonts w:hint="eastAsia"/>
          <w:sz w:val="21"/>
          <w:szCs w:val="21"/>
        </w:rPr>
        <w:t xml:space="preserve">（4）法律合规部 </w:t>
      </w:r>
    </w:p>
    <w:p w14:paraId="3529CA45">
      <w:pPr>
        <w:pStyle w:val="8"/>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041484FB">
      <w:pPr>
        <w:pStyle w:val="8"/>
        <w:spacing w:before="0" w:beforeAutospacing="0" w:after="0" w:afterAutospacing="0" w:line="360" w:lineRule="auto"/>
        <w:ind w:firstLine="420"/>
        <w:rPr>
          <w:sz w:val="21"/>
          <w:szCs w:val="21"/>
        </w:rPr>
      </w:pPr>
      <w:r>
        <w:rPr>
          <w:rFonts w:hint="eastAsia"/>
          <w:sz w:val="21"/>
          <w:szCs w:val="21"/>
        </w:rPr>
        <w:t xml:space="preserve">（5）风险管理部 </w:t>
      </w:r>
    </w:p>
    <w:p w14:paraId="1BD11156">
      <w:pPr>
        <w:pStyle w:val="8"/>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6B9189D0">
      <w:pPr>
        <w:pStyle w:val="8"/>
        <w:spacing w:before="0" w:beforeAutospacing="0" w:after="0" w:afterAutospacing="0" w:line="360" w:lineRule="auto"/>
        <w:ind w:firstLine="420"/>
        <w:rPr>
          <w:sz w:val="21"/>
          <w:szCs w:val="21"/>
        </w:rPr>
      </w:pPr>
      <w:r>
        <w:rPr>
          <w:rFonts w:hint="eastAsia"/>
          <w:sz w:val="21"/>
          <w:szCs w:val="21"/>
        </w:rPr>
        <w:t xml:space="preserve">（6）业务部门 </w:t>
      </w:r>
    </w:p>
    <w:p w14:paraId="63D2CDF6">
      <w:pPr>
        <w:pStyle w:val="8"/>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08BBEAA2">
      <w:pPr>
        <w:pStyle w:val="8"/>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2897A857">
      <w:pPr>
        <w:pStyle w:val="8"/>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1FA81D6B">
      <w:pPr>
        <w:pStyle w:val="8"/>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021EC656">
      <w:pPr>
        <w:pStyle w:val="8"/>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5A719B4C">
      <w:pPr>
        <w:pStyle w:val="8"/>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34AFBBA9">
      <w:pPr>
        <w:pStyle w:val="8"/>
        <w:spacing w:before="0" w:beforeAutospacing="0" w:after="0" w:afterAutospacing="0" w:line="360" w:lineRule="auto"/>
        <w:ind w:firstLine="420"/>
        <w:rPr>
          <w:sz w:val="21"/>
          <w:szCs w:val="21"/>
        </w:rPr>
      </w:pPr>
      <w:r>
        <w:rPr>
          <w:rFonts w:hint="eastAsia"/>
          <w:sz w:val="21"/>
          <w:szCs w:val="21"/>
        </w:rPr>
        <w:t xml:space="preserve">（3）建立、健全岗位责任制 </w:t>
      </w:r>
    </w:p>
    <w:p w14:paraId="24A44B67">
      <w:pPr>
        <w:pStyle w:val="8"/>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02E6EA99">
      <w:pPr>
        <w:pStyle w:val="8"/>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3E8D1A01">
      <w:pPr>
        <w:pStyle w:val="8"/>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0E776C07">
      <w:pPr>
        <w:pStyle w:val="8"/>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148E5F9A">
      <w:pPr>
        <w:pStyle w:val="8"/>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1D2663F8">
      <w:pPr>
        <w:pStyle w:val="8"/>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38235949">
      <w:pPr>
        <w:pStyle w:val="8"/>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28EF7B8D">
      <w:pPr>
        <w:pStyle w:val="8"/>
        <w:spacing w:before="0" w:beforeAutospacing="0" w:after="0" w:afterAutospacing="0" w:line="360" w:lineRule="auto"/>
        <w:ind w:firstLine="420"/>
        <w:rPr>
          <w:sz w:val="21"/>
          <w:szCs w:val="21"/>
        </w:rPr>
      </w:pPr>
      <w:r>
        <w:rPr>
          <w:rFonts w:hint="eastAsia"/>
          <w:sz w:val="21"/>
          <w:szCs w:val="21"/>
        </w:rPr>
        <w:t xml:space="preserve">（7）提供足够的培训 </w:t>
      </w:r>
    </w:p>
    <w:p w14:paraId="28C20B0C">
      <w:pPr>
        <w:pStyle w:val="8"/>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50" w:name="chapter_level1_5_53_section_4_end"/>
      <w:bookmarkEnd w:id="50"/>
      <w:r>
        <w:rPr>
          <w:rFonts w:hint="eastAsia"/>
          <w:sz w:val="21"/>
          <w:szCs w:val="21"/>
        </w:rPr>
        <w:t xml:space="preserve">控制风险。 </w:t>
      </w:r>
    </w:p>
    <w:p w14:paraId="668FB757">
      <w:pPr>
        <w:widowControl/>
        <w:jc w:val="left"/>
        <w:rPr>
          <w:rFonts w:ascii="宋体" w:hAnsi="宋体" w:eastAsia="宋体"/>
        </w:rPr>
      </w:pPr>
      <w:r>
        <w:rPr>
          <w:rFonts w:ascii="宋体" w:hAnsi="宋体" w:eastAsia="宋体"/>
        </w:rPr>
        <w:br w:type="page"/>
      </w:r>
    </w:p>
    <w:p w14:paraId="0F087709">
      <w:pPr>
        <w:pStyle w:val="2"/>
        <w:jc w:val="center"/>
        <w:rPr>
          <w:rFonts w:ascii="宋体" w:hAnsi="宋体" w:eastAsia="宋体"/>
          <w:sz w:val="30"/>
        </w:rPr>
      </w:pPr>
      <w:bookmarkStart w:id="51" w:name="chapter_level1_6_55"/>
      <w:bookmarkStart w:id="52" w:name="_Toc239192430"/>
      <w:r>
        <w:rPr>
          <w:rFonts w:hint="eastAsia" w:ascii="宋体" w:hAnsi="宋体" w:eastAsia="宋体"/>
          <w:sz w:val="30"/>
        </w:rPr>
        <w:t>第四部分  基金托管人</w:t>
      </w:r>
      <w:bookmarkEnd w:id="51"/>
      <w:bookmarkEnd w:id="52"/>
    </w:p>
    <w:p w14:paraId="36E2EC3E">
      <w:pPr>
        <w:pStyle w:val="8"/>
        <w:spacing w:before="0" w:beforeAutospacing="0" w:after="0" w:afterAutospacing="0" w:line="360" w:lineRule="auto"/>
        <w:ind w:firstLine="420"/>
        <w:rPr>
          <w:sz w:val="21"/>
          <w:szCs w:val="21"/>
        </w:rPr>
      </w:pPr>
      <w:bookmarkStart w:id="53" w:name="chapter_level1_6_55_section_1"/>
      <w:bookmarkEnd w:id="53"/>
      <w:bookmarkStart w:id="54" w:name="field_0_trustcompanyinfo_1_start"/>
      <w:bookmarkEnd w:id="54"/>
      <w:r>
        <w:rPr>
          <w:rFonts w:hint="eastAsia"/>
          <w:sz w:val="21"/>
          <w:szCs w:val="21"/>
        </w:rPr>
        <w:t xml:space="preserve">(一)基金托管人概况 </w:t>
      </w:r>
    </w:p>
    <w:p w14:paraId="0FED4D78">
      <w:pPr>
        <w:pStyle w:val="8"/>
        <w:spacing w:before="0" w:beforeAutospacing="0" w:after="0" w:afterAutospacing="0" w:line="360" w:lineRule="auto"/>
        <w:ind w:firstLine="420"/>
        <w:rPr>
          <w:sz w:val="21"/>
          <w:szCs w:val="21"/>
        </w:rPr>
      </w:pPr>
      <w:r>
        <w:rPr>
          <w:rFonts w:hint="eastAsia"/>
          <w:sz w:val="21"/>
          <w:szCs w:val="21"/>
        </w:rPr>
        <w:t xml:space="preserve">1. 基本情况 </w:t>
      </w:r>
    </w:p>
    <w:p w14:paraId="7FCCA4FF">
      <w:pPr>
        <w:pStyle w:val="8"/>
        <w:spacing w:before="0" w:beforeAutospacing="0" w:after="0" w:afterAutospacing="0" w:line="360" w:lineRule="auto"/>
        <w:ind w:firstLine="420"/>
        <w:rPr>
          <w:sz w:val="21"/>
          <w:szCs w:val="21"/>
        </w:rPr>
      </w:pPr>
      <w:r>
        <w:rPr>
          <w:rFonts w:hint="eastAsia"/>
          <w:sz w:val="21"/>
          <w:szCs w:val="21"/>
        </w:rPr>
        <w:t xml:space="preserve">名称：中国民生银行股份有限公司（以下简称“中国民生银行”） </w:t>
      </w:r>
    </w:p>
    <w:p w14:paraId="7831F095">
      <w:pPr>
        <w:pStyle w:val="8"/>
        <w:spacing w:before="0" w:beforeAutospacing="0" w:after="0" w:afterAutospacing="0" w:line="360" w:lineRule="auto"/>
        <w:ind w:firstLine="420"/>
        <w:rPr>
          <w:sz w:val="21"/>
          <w:szCs w:val="21"/>
        </w:rPr>
      </w:pPr>
      <w:r>
        <w:rPr>
          <w:rFonts w:hint="eastAsia"/>
          <w:sz w:val="21"/>
          <w:szCs w:val="21"/>
        </w:rPr>
        <w:t xml:space="preserve">住所：北京市西城区复兴门内大街2号 </w:t>
      </w:r>
    </w:p>
    <w:p w14:paraId="4D07C182">
      <w:pPr>
        <w:pStyle w:val="8"/>
        <w:spacing w:before="0" w:beforeAutospacing="0" w:after="0" w:afterAutospacing="0" w:line="360" w:lineRule="auto"/>
        <w:ind w:firstLine="420"/>
        <w:rPr>
          <w:sz w:val="21"/>
          <w:szCs w:val="21"/>
        </w:rPr>
      </w:pPr>
      <w:r>
        <w:rPr>
          <w:rFonts w:hint="eastAsia"/>
          <w:sz w:val="21"/>
          <w:szCs w:val="21"/>
        </w:rPr>
        <w:t xml:space="preserve">办公地址：北京市西城区复兴门内大街2号 </w:t>
      </w:r>
    </w:p>
    <w:p w14:paraId="7FE44E6A">
      <w:pPr>
        <w:pStyle w:val="8"/>
        <w:spacing w:before="0" w:beforeAutospacing="0" w:after="0" w:afterAutospacing="0" w:line="360" w:lineRule="auto"/>
        <w:ind w:firstLine="420"/>
        <w:rPr>
          <w:sz w:val="21"/>
          <w:szCs w:val="21"/>
        </w:rPr>
      </w:pPr>
      <w:r>
        <w:rPr>
          <w:rFonts w:hint="eastAsia"/>
          <w:sz w:val="21"/>
          <w:szCs w:val="21"/>
        </w:rPr>
        <w:t xml:space="preserve">法定代表人：高迎欣 </w:t>
      </w:r>
    </w:p>
    <w:p w14:paraId="16D9423E">
      <w:pPr>
        <w:pStyle w:val="8"/>
        <w:spacing w:before="0" w:beforeAutospacing="0" w:after="0" w:afterAutospacing="0" w:line="360" w:lineRule="auto"/>
        <w:ind w:firstLine="420"/>
        <w:rPr>
          <w:sz w:val="21"/>
          <w:szCs w:val="21"/>
        </w:rPr>
      </w:pPr>
      <w:r>
        <w:rPr>
          <w:rFonts w:hint="eastAsia"/>
          <w:sz w:val="21"/>
          <w:szCs w:val="21"/>
        </w:rPr>
        <w:t xml:space="preserve">成立日期：1996年2月7日 </w:t>
      </w:r>
    </w:p>
    <w:p w14:paraId="29648160">
      <w:pPr>
        <w:pStyle w:val="8"/>
        <w:spacing w:before="0" w:beforeAutospacing="0" w:after="0" w:afterAutospacing="0" w:line="360" w:lineRule="auto"/>
        <w:ind w:firstLine="420"/>
        <w:rPr>
          <w:sz w:val="21"/>
          <w:szCs w:val="21"/>
        </w:rPr>
      </w:pPr>
      <w:r>
        <w:rPr>
          <w:rFonts w:hint="eastAsia"/>
          <w:sz w:val="21"/>
          <w:szCs w:val="21"/>
        </w:rPr>
        <w:t xml:space="preserve">基金托管业务批准文号：证监基金字［2004］101号 </w:t>
      </w:r>
    </w:p>
    <w:p w14:paraId="7F795B73">
      <w:pPr>
        <w:pStyle w:val="8"/>
        <w:spacing w:before="0" w:beforeAutospacing="0" w:after="0" w:afterAutospacing="0" w:line="360" w:lineRule="auto"/>
        <w:ind w:firstLine="420"/>
        <w:rPr>
          <w:sz w:val="21"/>
          <w:szCs w:val="21"/>
        </w:rPr>
      </w:pPr>
      <w:r>
        <w:rPr>
          <w:rFonts w:hint="eastAsia"/>
          <w:sz w:val="21"/>
          <w:szCs w:val="21"/>
        </w:rPr>
        <w:t xml:space="preserve">组织形式：其他股份有限公司（上市） </w:t>
      </w:r>
    </w:p>
    <w:p w14:paraId="6CA58414">
      <w:pPr>
        <w:pStyle w:val="8"/>
        <w:spacing w:before="0" w:beforeAutospacing="0" w:after="0" w:afterAutospacing="0" w:line="360" w:lineRule="auto"/>
        <w:ind w:firstLine="420"/>
        <w:rPr>
          <w:sz w:val="21"/>
          <w:szCs w:val="21"/>
        </w:rPr>
      </w:pPr>
      <w:r>
        <w:rPr>
          <w:rFonts w:hint="eastAsia"/>
          <w:sz w:val="21"/>
          <w:szCs w:val="21"/>
        </w:rPr>
        <w:t xml:space="preserve">注册资本：43,782,418,502元人民币 </w:t>
      </w:r>
    </w:p>
    <w:p w14:paraId="0C2F6033">
      <w:pPr>
        <w:pStyle w:val="8"/>
        <w:spacing w:before="0" w:beforeAutospacing="0" w:after="0" w:afterAutospacing="0" w:line="360" w:lineRule="auto"/>
        <w:ind w:firstLine="420"/>
        <w:rPr>
          <w:sz w:val="21"/>
          <w:szCs w:val="21"/>
        </w:rPr>
      </w:pPr>
      <w:r>
        <w:rPr>
          <w:rFonts w:hint="eastAsia"/>
          <w:sz w:val="21"/>
          <w:szCs w:val="21"/>
        </w:rPr>
        <w:t xml:space="preserve">电话：010-58560666  </w:t>
      </w:r>
    </w:p>
    <w:p w14:paraId="3184CB63">
      <w:pPr>
        <w:pStyle w:val="8"/>
        <w:spacing w:before="0" w:beforeAutospacing="0" w:after="0" w:afterAutospacing="0" w:line="360" w:lineRule="auto"/>
        <w:ind w:firstLine="420"/>
        <w:rPr>
          <w:sz w:val="21"/>
          <w:szCs w:val="21"/>
        </w:rPr>
      </w:pPr>
      <w:r>
        <w:rPr>
          <w:rFonts w:hint="eastAsia"/>
          <w:sz w:val="21"/>
          <w:szCs w:val="21"/>
        </w:rPr>
        <w:t xml:space="preserve">联系人：罗菲菲 </w:t>
      </w:r>
    </w:p>
    <w:p w14:paraId="588A3EE1">
      <w:pPr>
        <w:pStyle w:val="8"/>
        <w:spacing w:before="0" w:beforeAutospacing="0" w:after="0" w:afterAutospacing="0" w:line="360" w:lineRule="auto"/>
        <w:ind w:firstLine="420"/>
        <w:rPr>
          <w:sz w:val="21"/>
          <w:szCs w:val="21"/>
        </w:rPr>
      </w:pPr>
      <w:r>
        <w:rPr>
          <w:rFonts w:hint="eastAsia"/>
          <w:sz w:val="21"/>
          <w:szCs w:val="21"/>
        </w:rPr>
        <w:t xml:space="preserve">中国民生银行成立于1996年，是中国第一家主要由民营企业发起设立的全国性股份制商业银行，也是严格按照中国《公司法》和《商业银行法》设立的一家现代金融企业。 </w:t>
      </w:r>
    </w:p>
    <w:p w14:paraId="5ACFD942">
      <w:pPr>
        <w:pStyle w:val="8"/>
        <w:spacing w:before="0" w:beforeAutospacing="0" w:after="0" w:afterAutospacing="0" w:line="360" w:lineRule="auto"/>
        <w:ind w:firstLine="420"/>
        <w:rPr>
          <w:sz w:val="21"/>
          <w:szCs w:val="21"/>
        </w:rPr>
      </w:pPr>
      <w:r>
        <w:rPr>
          <w:rFonts w:hint="eastAsia"/>
          <w:sz w:val="21"/>
          <w:szCs w:val="21"/>
        </w:rPr>
        <w:t xml:space="preserve">2000年12月19日，中国民生银行A 股股票（代码：600016）在上海证券交易所挂牌上市。2005年10月26日，中国民生银行完成股权分置改革，成为国内首家实施股权分置改革的商业银行。2009年11月26日，中国民生银行H股股票（代码：01988）在香港证券交易所挂牌上市。成立30年以来，中国民生银行始终秉承“服务大众，情系民生”的企业使命，聚焦“民营企业的银行、敏捷开放的银行、用心服务的银行”战略定位，坚持走市场化、差异化经营之路，努力建设一家特色鲜明、持续创新、价值成长、稳健经营的一流商业银行，致力于成就“长青银行，百年民生”的宏伟愿景。 </w:t>
      </w:r>
    </w:p>
    <w:p w14:paraId="4D428843">
      <w:pPr>
        <w:pStyle w:val="8"/>
        <w:spacing w:before="0" w:beforeAutospacing="0" w:after="0" w:afterAutospacing="0" w:line="360" w:lineRule="auto"/>
        <w:ind w:firstLine="420"/>
        <w:rPr>
          <w:sz w:val="21"/>
          <w:szCs w:val="21"/>
        </w:rPr>
      </w:pPr>
      <w:r>
        <w:rPr>
          <w:rFonts w:hint="eastAsia"/>
          <w:sz w:val="21"/>
          <w:szCs w:val="21"/>
        </w:rPr>
        <w:t xml:space="preserve">2、主要人员情况 </w:t>
      </w:r>
    </w:p>
    <w:p w14:paraId="0DEC0C9F">
      <w:pPr>
        <w:pStyle w:val="8"/>
        <w:spacing w:before="0" w:beforeAutospacing="0" w:after="0" w:afterAutospacing="0" w:line="360" w:lineRule="auto"/>
        <w:ind w:firstLine="420"/>
        <w:rPr>
          <w:sz w:val="21"/>
          <w:szCs w:val="21"/>
        </w:rPr>
      </w:pPr>
      <w:r>
        <w:rPr>
          <w:rFonts w:hint="eastAsia"/>
          <w:sz w:val="21"/>
          <w:szCs w:val="21"/>
        </w:rPr>
        <w:t xml:space="preserve">崔岩女士，中国民生银行资产托管部负责人，博士研究生，具有基金托管人高级管理人员任职资格，从事过全球托管业务、托管业务运作、银行信息管理等工作，具有多年金融从业经历，具备扎实的总部管理经历。曾任中国工商银行总行资产托管部营销专家。 </w:t>
      </w:r>
    </w:p>
    <w:p w14:paraId="3800B7CF">
      <w:pPr>
        <w:pStyle w:val="8"/>
        <w:spacing w:before="0" w:beforeAutospacing="0" w:after="0" w:afterAutospacing="0" w:line="360" w:lineRule="auto"/>
        <w:ind w:firstLine="420"/>
        <w:rPr>
          <w:sz w:val="21"/>
          <w:szCs w:val="21"/>
        </w:rPr>
      </w:pPr>
      <w:r>
        <w:rPr>
          <w:rFonts w:hint="eastAsia"/>
          <w:sz w:val="21"/>
          <w:szCs w:val="21"/>
        </w:rPr>
        <w:t xml:space="preserve">3、基金托管业务经营情况 </w:t>
      </w:r>
    </w:p>
    <w:p w14:paraId="72BB1946">
      <w:pPr>
        <w:pStyle w:val="8"/>
        <w:spacing w:before="0" w:beforeAutospacing="0" w:after="0" w:afterAutospacing="0" w:line="360" w:lineRule="auto"/>
        <w:ind w:firstLine="420"/>
        <w:rPr>
          <w:sz w:val="21"/>
          <w:szCs w:val="21"/>
        </w:rPr>
      </w:pPr>
      <w:r>
        <w:rPr>
          <w:rFonts w:hint="eastAsia"/>
          <w:sz w:val="21"/>
          <w:szCs w:val="21"/>
        </w:rPr>
        <w:t xml:space="preserve">中国民生银行股份有限公司于2004年7月9日获得基金托管资格，成为《中华人民共和国证券投资基金法》颁布后首家获批从事基金托管业务的银行。为了更好地发挥后发优势，大力发展托管业务，中国民生银行股份有限公司资产托管部从成立伊始就本着充分保护基金持有人的利益、为客户提供高品质托管服务的原则，高起点地建立系统、完善制度、组织人员。资产托管部目前共有员工106人，平均年龄38岁，100%员工拥有大学本科以上学历，67%以上员工具有硕士以上学位。 </w:t>
      </w:r>
    </w:p>
    <w:p w14:paraId="15D462BE">
      <w:pPr>
        <w:pStyle w:val="8"/>
        <w:spacing w:before="0" w:beforeAutospacing="0" w:after="0" w:afterAutospacing="0" w:line="360" w:lineRule="auto"/>
        <w:ind w:firstLine="420"/>
        <w:rPr>
          <w:sz w:val="21"/>
          <w:szCs w:val="21"/>
        </w:rPr>
      </w:pPr>
      <w:r>
        <w:rPr>
          <w:rFonts w:hint="eastAsia"/>
          <w:sz w:val="21"/>
          <w:szCs w:val="21"/>
        </w:rPr>
        <w:t xml:space="preserve">中国民生银行坚持以客户需求为导向，秉承“诚信、严谨、高效、务实”的经营理念，依托丰富的资产托管经验、专业的托管业务服务和先进的托管业务平台，为境内外客户提供安全、准确、及时、高效的专业托管服务。中国民生银行资产托管部于2018年2月6日发布了“爱托管”品牌，近百余家资管机构及合作客户的代表受邀参加了启动仪式。资产托管部始终坚持以客户为中心，致力于为客户提供全面的综合金融服务。对内大力整合行内资源，对外广泛搭建客户服务平台，向各类托管客户提供专业化、增值化的托管综合金融服务，得到各界的充分认可，也在市场上树立了良好品牌形象，成为市场上一家有特色的托管银行。自2021年以来，中国民生银行荣获人力资源社会保障部颁发的“2020 年度企业年金和养老金产品信息报告工作优秀管理机构”奖，连续三年蝉联中央国债登记结算有限责任公司“年度优秀资产托管机构”奖项，获评《金融理财》颁发的“第十三届金貔貅奖2022年度金牌资产托管银行”。2023年至今，本行荣获《金融时报》“年度最佳资产托管银行”，《证券时报》“2023年度杰出资产托管银行天玑奖”、“2024年度杰出资产托管银行天玑奖”，《新浪财经》“养老金融服务创新银行”奖，《每日经济新闻报》“2024年度卓越资产托管银行奖”《经济观察报》“2025年度卓越养老金托管银行”、《中国经营报》“2025卓越竞争力资产托管银行”、《金融时报》2025年度入选金融高水平开发案例等奖项。 </w:t>
      </w:r>
    </w:p>
    <w:p w14:paraId="79090C1A">
      <w:pPr>
        <w:pStyle w:val="8"/>
        <w:spacing w:before="0" w:beforeAutospacing="0" w:after="0" w:afterAutospacing="0" w:line="360" w:lineRule="auto"/>
        <w:ind w:firstLine="420"/>
        <w:rPr>
          <w:sz w:val="21"/>
          <w:szCs w:val="21"/>
        </w:rPr>
      </w:pPr>
      <w:r>
        <w:rPr>
          <w:rFonts w:hint="eastAsia"/>
          <w:sz w:val="21"/>
          <w:szCs w:val="21"/>
        </w:rPr>
        <w:t>截至2026年6月30日，中国民生银行托管建信稳定得利债券型证券投资基金、中银新趋势灵活配置混合型证券投资基金等共336只证券投资基金，基金托管规模14,871.43亿</w:t>
      </w:r>
      <w:bookmarkStart w:id="55" w:name="chapter_level1_6_55_section_1_end"/>
      <w:bookmarkEnd w:id="55"/>
      <w:r>
        <w:rPr>
          <w:rFonts w:hint="eastAsia"/>
          <w:sz w:val="21"/>
          <w:szCs w:val="21"/>
        </w:rPr>
        <w:t xml:space="preserve">元。 </w:t>
      </w:r>
      <w:bookmarkStart w:id="56" w:name="field_0_trustcompanyinfo_1_end"/>
      <w:bookmarkEnd w:id="56"/>
      <w:r>
        <w:rPr>
          <w:rFonts w:hint="eastAsia"/>
          <w:sz w:val="21"/>
          <w:szCs w:val="21"/>
        </w:rPr>
        <w:t xml:space="preserve">  </w:t>
      </w:r>
    </w:p>
    <w:p w14:paraId="4E39468E">
      <w:pPr>
        <w:pStyle w:val="8"/>
        <w:spacing w:before="0" w:beforeAutospacing="0" w:after="0" w:afterAutospacing="0" w:line="360" w:lineRule="auto"/>
        <w:ind w:firstLine="420"/>
        <w:rPr>
          <w:sz w:val="21"/>
          <w:szCs w:val="21"/>
        </w:rPr>
      </w:pPr>
      <w:bookmarkStart w:id="57" w:name="chapter_level1_6_55_section_2"/>
      <w:bookmarkEnd w:id="57"/>
      <w:bookmarkStart w:id="58" w:name="field_0_trustcontrollawinfo_1_start"/>
      <w:bookmarkEnd w:id="58"/>
      <w:r>
        <w:rPr>
          <w:rFonts w:hint="eastAsia"/>
          <w:sz w:val="21"/>
          <w:szCs w:val="21"/>
        </w:rPr>
        <w:t xml:space="preserve">(二)基金托管人的内部控制制度 </w:t>
      </w:r>
    </w:p>
    <w:p w14:paraId="441A69E1">
      <w:pPr>
        <w:pStyle w:val="8"/>
        <w:spacing w:before="0" w:beforeAutospacing="0" w:after="0" w:afterAutospacing="0" w:line="360" w:lineRule="auto"/>
        <w:ind w:firstLine="420"/>
        <w:rPr>
          <w:sz w:val="21"/>
          <w:szCs w:val="21"/>
        </w:rPr>
      </w:pPr>
      <w:r>
        <w:rPr>
          <w:rFonts w:hint="eastAsia"/>
          <w:sz w:val="21"/>
          <w:szCs w:val="21"/>
        </w:rPr>
        <w:t xml:space="preserve">1.内部风险控制目标 </w:t>
      </w:r>
    </w:p>
    <w:p w14:paraId="1865CEA4">
      <w:pPr>
        <w:pStyle w:val="8"/>
        <w:spacing w:before="0" w:beforeAutospacing="0" w:after="0" w:afterAutospacing="0" w:line="360" w:lineRule="auto"/>
        <w:ind w:firstLine="420"/>
        <w:rPr>
          <w:sz w:val="21"/>
          <w:szCs w:val="21"/>
        </w:rPr>
      </w:pPr>
      <w:r>
        <w:rPr>
          <w:rFonts w:hint="eastAsia"/>
          <w:sz w:val="21"/>
          <w:szCs w:val="21"/>
        </w:rPr>
        <w:t xml:space="preserve">(1)建立完整、严密、高效的风险控制体系，形成科学的决策机制、执行机制和监督机制，防范和化解经营风险，保障资产托管业务的稳健运行和托管财产的安全完整。 </w:t>
      </w:r>
    </w:p>
    <w:p w14:paraId="0695D6BB">
      <w:pPr>
        <w:pStyle w:val="8"/>
        <w:spacing w:before="0" w:beforeAutospacing="0" w:after="0" w:afterAutospacing="0" w:line="360" w:lineRule="auto"/>
        <w:ind w:firstLine="420"/>
        <w:rPr>
          <w:sz w:val="21"/>
          <w:szCs w:val="21"/>
        </w:rPr>
      </w:pPr>
      <w:r>
        <w:rPr>
          <w:rFonts w:hint="eastAsia"/>
          <w:sz w:val="21"/>
          <w:szCs w:val="21"/>
        </w:rPr>
        <w:t xml:space="preserve">(2)大力培育合规文化，自觉形成守法经营、规范运作的经营思想和经营理念，严格控制合规风险，保证资产托管业务符合国家有关法律法规和行业监管规则。 </w:t>
      </w:r>
    </w:p>
    <w:p w14:paraId="7F1F0106">
      <w:pPr>
        <w:pStyle w:val="8"/>
        <w:spacing w:before="0" w:beforeAutospacing="0" w:after="0" w:afterAutospacing="0" w:line="360" w:lineRule="auto"/>
        <w:ind w:firstLine="420"/>
        <w:rPr>
          <w:sz w:val="21"/>
          <w:szCs w:val="21"/>
        </w:rPr>
      </w:pPr>
      <w:r>
        <w:rPr>
          <w:rFonts w:hint="eastAsia"/>
          <w:sz w:val="21"/>
          <w:szCs w:val="21"/>
        </w:rPr>
        <w:t xml:space="preserve">(3)以相互制衡健全有效的风控组织结构为保障，以完善健全的制度为基础，以落实到位的过程控制为着眼点，以先进的信息技术手段为依托，建立全面、系统、动态、主动、有利于差错防弊、堵塞漏洞、消除隐患、保证业务稳健运行的风险控制制度，确保托管业务信息真实、准确、完整、及时。 </w:t>
      </w:r>
    </w:p>
    <w:p w14:paraId="7E826662">
      <w:pPr>
        <w:pStyle w:val="8"/>
        <w:spacing w:before="0" w:beforeAutospacing="0" w:after="0" w:afterAutospacing="0" w:line="360" w:lineRule="auto"/>
        <w:ind w:firstLine="420"/>
        <w:rPr>
          <w:sz w:val="21"/>
          <w:szCs w:val="21"/>
        </w:rPr>
      </w:pPr>
      <w:r>
        <w:rPr>
          <w:rFonts w:hint="eastAsia"/>
          <w:sz w:val="21"/>
          <w:szCs w:val="21"/>
        </w:rPr>
        <w:t xml:space="preserve">2.内部风险控制组织结构 </w:t>
      </w:r>
    </w:p>
    <w:p w14:paraId="141CEF83">
      <w:pPr>
        <w:pStyle w:val="8"/>
        <w:spacing w:before="0" w:beforeAutospacing="0" w:after="0" w:afterAutospacing="0" w:line="360" w:lineRule="auto"/>
        <w:ind w:firstLine="420"/>
        <w:rPr>
          <w:sz w:val="21"/>
          <w:szCs w:val="21"/>
        </w:rPr>
      </w:pPr>
      <w:r>
        <w:rPr>
          <w:rFonts w:hint="eastAsia"/>
          <w:sz w:val="21"/>
          <w:szCs w:val="21"/>
        </w:rPr>
        <w:t xml:space="preserve">总行高级管理层负责部署全行的风险管理工作。总行风险管理委员会是总行高级管理层下设的风险管理专业委员会，对高级管理层负责，支持高级管理层履行职责。资产托管业务风险控制工作在总行风险管理委员会的统一部署和指导下开展。 </w:t>
      </w:r>
    </w:p>
    <w:p w14:paraId="43FC7601">
      <w:pPr>
        <w:pStyle w:val="8"/>
        <w:spacing w:before="0" w:beforeAutospacing="0" w:after="0" w:afterAutospacing="0" w:line="360" w:lineRule="auto"/>
        <w:ind w:firstLine="420"/>
        <w:rPr>
          <w:sz w:val="21"/>
          <w:szCs w:val="21"/>
        </w:rPr>
      </w:pPr>
      <w:r>
        <w:rPr>
          <w:rFonts w:hint="eastAsia"/>
          <w:sz w:val="21"/>
          <w:szCs w:val="21"/>
        </w:rPr>
        <w:t xml:space="preserve">总行各部门紧密配合，共同把控资产托管业务运行中的风险，具体职责与分工如下：总行风险管理部作为总行风险管理委员会秘书机构，是全行风险管理的统筹部门，对资产托管部的风险控制工作进行指导；总行法律合规部负责资产托管业务项下的相关合同、协议等法律性文件的审定，对业务开展进行合规检查并督导问题整改落实；总行审计部对全行托管业务进行内部审计，包括定期内部审计、现场和非现场检查等；总行办公室与资产托管部共同制定声誉风险应急预案。 </w:t>
      </w:r>
    </w:p>
    <w:p w14:paraId="0EAAD941">
      <w:pPr>
        <w:pStyle w:val="8"/>
        <w:spacing w:before="0" w:beforeAutospacing="0" w:after="0" w:afterAutospacing="0" w:line="360" w:lineRule="auto"/>
        <w:ind w:firstLine="420"/>
        <w:rPr>
          <w:sz w:val="21"/>
          <w:szCs w:val="21"/>
        </w:rPr>
      </w:pPr>
      <w:r>
        <w:rPr>
          <w:rFonts w:hint="eastAsia"/>
          <w:sz w:val="21"/>
          <w:szCs w:val="21"/>
        </w:rPr>
        <w:t xml:space="preserve">3.内部风险控制原则 </w:t>
      </w:r>
    </w:p>
    <w:p w14:paraId="6C897816">
      <w:pPr>
        <w:pStyle w:val="8"/>
        <w:spacing w:before="0" w:beforeAutospacing="0" w:after="0" w:afterAutospacing="0" w:line="360" w:lineRule="auto"/>
        <w:ind w:firstLine="420"/>
        <w:rPr>
          <w:sz w:val="21"/>
          <w:szCs w:val="21"/>
        </w:rPr>
      </w:pPr>
      <w:r>
        <w:rPr>
          <w:rFonts w:hint="eastAsia"/>
          <w:sz w:val="21"/>
          <w:szCs w:val="21"/>
        </w:rPr>
        <w:t xml:space="preserve">(1)合法合规原则。风险控制应符合和体现国家法律、法规、规章和各项政策。 </w:t>
      </w:r>
    </w:p>
    <w:p w14:paraId="239D0BBC">
      <w:pPr>
        <w:pStyle w:val="8"/>
        <w:spacing w:before="0" w:beforeAutospacing="0" w:after="0" w:afterAutospacing="0" w:line="360" w:lineRule="auto"/>
        <w:ind w:firstLine="420"/>
        <w:rPr>
          <w:sz w:val="21"/>
          <w:szCs w:val="21"/>
        </w:rPr>
      </w:pPr>
      <w:r>
        <w:rPr>
          <w:rFonts w:hint="eastAsia"/>
          <w:sz w:val="21"/>
          <w:szCs w:val="21"/>
        </w:rPr>
        <w:t xml:space="preserve">(2)全面性原则。风险控制覆盖托管部的各个业务中心、各个岗位和各级人员，并涵盖资产托管业务各环节。 </w:t>
      </w:r>
    </w:p>
    <w:p w14:paraId="257BA310">
      <w:pPr>
        <w:pStyle w:val="8"/>
        <w:spacing w:before="0" w:beforeAutospacing="0" w:after="0" w:afterAutospacing="0" w:line="360" w:lineRule="auto"/>
        <w:ind w:firstLine="420"/>
        <w:rPr>
          <w:sz w:val="21"/>
          <w:szCs w:val="21"/>
        </w:rPr>
      </w:pPr>
      <w:r>
        <w:rPr>
          <w:rFonts w:hint="eastAsia"/>
          <w:sz w:val="21"/>
          <w:szCs w:val="21"/>
        </w:rPr>
        <w:t xml:space="preserve">(3)有效性原则。资产托管业务从业人员应全力维护内部控制制度的有效执行，任何人都没有超越制度约束的权力。 </w:t>
      </w:r>
    </w:p>
    <w:p w14:paraId="0F6242D0">
      <w:pPr>
        <w:pStyle w:val="8"/>
        <w:spacing w:before="0" w:beforeAutospacing="0" w:after="0" w:afterAutospacing="0" w:line="360" w:lineRule="auto"/>
        <w:ind w:firstLine="420"/>
        <w:rPr>
          <w:sz w:val="21"/>
          <w:szCs w:val="21"/>
        </w:rPr>
      </w:pPr>
      <w:r>
        <w:rPr>
          <w:rFonts w:hint="eastAsia"/>
          <w:sz w:val="21"/>
          <w:szCs w:val="21"/>
        </w:rPr>
        <w:t xml:space="preserve">(4)预防性原则。必须树立“预防为主”的管理理念，控制资产托管业务中风险发生的源头，防患于未然，尽量避免业务操作中各种问题的产生。 </w:t>
      </w:r>
    </w:p>
    <w:p w14:paraId="6CAE5FC4">
      <w:pPr>
        <w:pStyle w:val="8"/>
        <w:spacing w:before="0" w:beforeAutospacing="0" w:after="0" w:afterAutospacing="0" w:line="360" w:lineRule="auto"/>
        <w:ind w:firstLine="420"/>
        <w:rPr>
          <w:sz w:val="21"/>
          <w:szCs w:val="21"/>
        </w:rPr>
      </w:pPr>
      <w:r>
        <w:rPr>
          <w:rFonts w:hint="eastAsia"/>
          <w:sz w:val="21"/>
          <w:szCs w:val="21"/>
        </w:rPr>
        <w:t xml:space="preserve">(5)及时性原则。资产托管业务风险控制制度的制定应当具有前瞻性，并且随着托管部经营战略、经营方针、经营理念等内部环境的变化和国家法律法规、政策制度等外部环境的改变进行及时的修改或完善。发现问题，要及时处理，堵塞漏洞。 </w:t>
      </w:r>
    </w:p>
    <w:p w14:paraId="43B39CC3">
      <w:pPr>
        <w:pStyle w:val="8"/>
        <w:spacing w:before="0" w:beforeAutospacing="0" w:after="0" w:afterAutospacing="0" w:line="360" w:lineRule="auto"/>
        <w:ind w:firstLine="420"/>
        <w:rPr>
          <w:sz w:val="21"/>
          <w:szCs w:val="21"/>
        </w:rPr>
      </w:pPr>
      <w:r>
        <w:rPr>
          <w:rFonts w:hint="eastAsia"/>
          <w:sz w:val="21"/>
          <w:szCs w:val="21"/>
        </w:rPr>
        <w:t xml:space="preserve">(6)独立性原则。各业务中心、各岗位职能上保持相对独立性。风险合规管理中心是资产托管部下设的执行机构，不受其他业务中心和个人干涉。业务操作人员和检查人员严格分开，以保证风险控制机构的工作不受干扰。 </w:t>
      </w:r>
    </w:p>
    <w:p w14:paraId="6AEBF0F2">
      <w:pPr>
        <w:pStyle w:val="8"/>
        <w:spacing w:before="0" w:beforeAutospacing="0" w:after="0" w:afterAutospacing="0" w:line="360" w:lineRule="auto"/>
        <w:ind w:firstLine="420"/>
        <w:rPr>
          <w:sz w:val="21"/>
          <w:szCs w:val="21"/>
        </w:rPr>
      </w:pPr>
      <w:r>
        <w:rPr>
          <w:rFonts w:hint="eastAsia"/>
          <w:sz w:val="21"/>
          <w:szCs w:val="21"/>
        </w:rPr>
        <w:t xml:space="preserve">(7)相互制约原则。各业务中心、各岗位权责明确，相互牵制，通过切实可行的相互制衡措施来消除风险控制的盲点。 </w:t>
      </w:r>
    </w:p>
    <w:p w14:paraId="31E2EEC4">
      <w:pPr>
        <w:pStyle w:val="8"/>
        <w:spacing w:before="0" w:beforeAutospacing="0" w:after="0" w:afterAutospacing="0" w:line="360" w:lineRule="auto"/>
        <w:ind w:firstLine="420"/>
        <w:rPr>
          <w:sz w:val="21"/>
          <w:szCs w:val="21"/>
        </w:rPr>
      </w:pPr>
      <w:r>
        <w:rPr>
          <w:rFonts w:hint="eastAsia"/>
          <w:sz w:val="21"/>
          <w:szCs w:val="21"/>
        </w:rPr>
        <w:t xml:space="preserve">(8)防火墙原则。托管银行自身财务与托管资产财务严格分开；托管业务日常操作部门与行政、研发和营销等部门隔离。 </w:t>
      </w:r>
    </w:p>
    <w:p w14:paraId="0535F26D">
      <w:pPr>
        <w:pStyle w:val="8"/>
        <w:spacing w:before="0" w:beforeAutospacing="0" w:after="0" w:afterAutospacing="0" w:line="360" w:lineRule="auto"/>
        <w:ind w:firstLine="420"/>
        <w:rPr>
          <w:sz w:val="21"/>
          <w:szCs w:val="21"/>
        </w:rPr>
      </w:pPr>
      <w:r>
        <w:rPr>
          <w:rFonts w:hint="eastAsia"/>
          <w:sz w:val="21"/>
          <w:szCs w:val="21"/>
        </w:rPr>
        <w:t xml:space="preserve">4.内部风险控制制度和措施 </w:t>
      </w:r>
    </w:p>
    <w:p w14:paraId="7F149A01">
      <w:pPr>
        <w:pStyle w:val="8"/>
        <w:spacing w:before="0" w:beforeAutospacing="0" w:after="0" w:afterAutospacing="0" w:line="360" w:lineRule="auto"/>
        <w:ind w:firstLine="420"/>
        <w:rPr>
          <w:sz w:val="21"/>
          <w:szCs w:val="21"/>
        </w:rPr>
      </w:pPr>
      <w:r>
        <w:rPr>
          <w:rFonts w:hint="eastAsia"/>
          <w:sz w:val="21"/>
          <w:szCs w:val="21"/>
        </w:rPr>
        <w:t xml:space="preserve">(1)制度建设：建立了明确的岗位职责、科学的业务流程、详细的操作手册、严格的人员行为规范等一系列规章制度。 </w:t>
      </w:r>
    </w:p>
    <w:p w14:paraId="13CF9802">
      <w:pPr>
        <w:pStyle w:val="8"/>
        <w:spacing w:before="0" w:beforeAutospacing="0" w:after="0" w:afterAutospacing="0" w:line="360" w:lineRule="auto"/>
        <w:ind w:firstLine="420"/>
        <w:rPr>
          <w:sz w:val="21"/>
          <w:szCs w:val="21"/>
        </w:rPr>
      </w:pPr>
      <w:r>
        <w:rPr>
          <w:rFonts w:hint="eastAsia"/>
          <w:sz w:val="21"/>
          <w:szCs w:val="21"/>
        </w:rPr>
        <w:t xml:space="preserve">(2)建立健全的组织管理结构：前后台分离，不同部门、岗位相互牵制。 </w:t>
      </w:r>
    </w:p>
    <w:p w14:paraId="6C594F66">
      <w:pPr>
        <w:pStyle w:val="8"/>
        <w:spacing w:before="0" w:beforeAutospacing="0" w:after="0" w:afterAutospacing="0" w:line="360" w:lineRule="auto"/>
        <w:ind w:firstLine="420"/>
        <w:rPr>
          <w:sz w:val="21"/>
          <w:szCs w:val="21"/>
        </w:rPr>
      </w:pPr>
      <w:r>
        <w:rPr>
          <w:rFonts w:hint="eastAsia"/>
          <w:sz w:val="21"/>
          <w:szCs w:val="21"/>
        </w:rPr>
        <w:t xml:space="preserve">(3)风险识别与评估：定期组织进行风险识别、评估，制定并实施风险控制措施。 </w:t>
      </w:r>
    </w:p>
    <w:p w14:paraId="620AC471">
      <w:pPr>
        <w:pStyle w:val="8"/>
        <w:spacing w:before="0" w:beforeAutospacing="0" w:after="0" w:afterAutospacing="0" w:line="360" w:lineRule="auto"/>
        <w:ind w:firstLine="420"/>
        <w:rPr>
          <w:sz w:val="21"/>
          <w:szCs w:val="21"/>
        </w:rPr>
      </w:pPr>
      <w:r>
        <w:rPr>
          <w:rFonts w:hint="eastAsia"/>
          <w:sz w:val="21"/>
          <w:szCs w:val="21"/>
        </w:rPr>
        <w:t xml:space="preserve">(4)相对独立的业务操作空间：业务操作区相对独立，实施门禁管理和音像监控。 </w:t>
      </w:r>
    </w:p>
    <w:p w14:paraId="6B733496">
      <w:pPr>
        <w:pStyle w:val="8"/>
        <w:spacing w:before="0" w:beforeAutospacing="0" w:after="0" w:afterAutospacing="0" w:line="360" w:lineRule="auto"/>
        <w:ind w:firstLine="420"/>
        <w:rPr>
          <w:sz w:val="21"/>
          <w:szCs w:val="21"/>
        </w:rPr>
      </w:pPr>
      <w:r>
        <w:rPr>
          <w:rFonts w:hint="eastAsia"/>
          <w:sz w:val="21"/>
          <w:szCs w:val="21"/>
        </w:rPr>
        <w:t xml:space="preserve">(5)人员管理：进行定期的业务与职业道德培训，使员工树立风险防范与控制理念，并签订承诺书。 </w:t>
      </w:r>
    </w:p>
    <w:p w14:paraId="1C0F62E1">
      <w:pPr>
        <w:pStyle w:val="8"/>
        <w:spacing w:before="0" w:beforeAutospacing="0" w:after="0" w:afterAutospacing="0" w:line="360" w:lineRule="auto"/>
        <w:ind w:firstLine="420"/>
        <w:rPr>
          <w:sz w:val="21"/>
          <w:szCs w:val="21"/>
        </w:rPr>
      </w:pPr>
      <w:r>
        <w:rPr>
          <w:rFonts w:hint="eastAsia"/>
          <w:sz w:val="21"/>
          <w:szCs w:val="21"/>
        </w:rPr>
        <w:t xml:space="preserve">(6)应急预案：制定完备的应急预案，并组织员工定期演练；建立异地灾备中心，保证业务不中断。 </w:t>
      </w:r>
    </w:p>
    <w:p w14:paraId="1FD30861">
      <w:pPr>
        <w:pStyle w:val="8"/>
        <w:spacing w:before="0" w:beforeAutospacing="0" w:after="0" w:afterAutospacing="0" w:line="360" w:lineRule="auto"/>
        <w:ind w:firstLine="420"/>
        <w:rPr>
          <w:sz w:val="21"/>
          <w:szCs w:val="21"/>
        </w:rPr>
      </w:pPr>
      <w:r>
        <w:rPr>
          <w:rFonts w:hint="eastAsia"/>
          <w:sz w:val="21"/>
          <w:szCs w:val="21"/>
        </w:rPr>
        <w:t xml:space="preserve">5.资产托管部内部风险控制 </w:t>
      </w:r>
    </w:p>
    <w:p w14:paraId="1C40457C">
      <w:pPr>
        <w:pStyle w:val="8"/>
        <w:spacing w:before="0" w:beforeAutospacing="0" w:after="0" w:afterAutospacing="0" w:line="360" w:lineRule="auto"/>
        <w:ind w:firstLine="420"/>
        <w:rPr>
          <w:sz w:val="21"/>
          <w:szCs w:val="21"/>
        </w:rPr>
      </w:pPr>
      <w:r>
        <w:rPr>
          <w:rFonts w:hint="eastAsia"/>
          <w:sz w:val="21"/>
          <w:szCs w:val="21"/>
        </w:rPr>
        <w:t xml:space="preserve">中国民生银行股份有限公司从控制环境、风险评估、控制活动、信息沟通、监控等五个方面构建了托管业务风险控制体系。 </w:t>
      </w:r>
    </w:p>
    <w:p w14:paraId="70B68623">
      <w:pPr>
        <w:pStyle w:val="8"/>
        <w:spacing w:before="0" w:beforeAutospacing="0" w:after="0" w:afterAutospacing="0" w:line="360" w:lineRule="auto"/>
        <w:ind w:firstLine="420"/>
        <w:rPr>
          <w:sz w:val="21"/>
          <w:szCs w:val="21"/>
        </w:rPr>
      </w:pPr>
      <w:r>
        <w:rPr>
          <w:rFonts w:hint="eastAsia"/>
          <w:sz w:val="21"/>
          <w:szCs w:val="21"/>
        </w:rPr>
        <w:t xml:space="preserve">(1)坚持风险管理与业务发展同等重要的理念。中国民生银行股份有限公司资产托管部从成立之日起就特别强调规范运作，一直将建立一个系统、高效的风险防范和控制体系作为工作重点。随着市场环境的变化和托管业务的快速发展，新问题新情况不断出现，我们始终将风险管理放在与业务发展同等重要的位置，视风险防范和控制为托管业务生存和发展的生命线。 </w:t>
      </w:r>
    </w:p>
    <w:p w14:paraId="7D8BD1B1">
      <w:pPr>
        <w:pStyle w:val="8"/>
        <w:spacing w:before="0" w:beforeAutospacing="0" w:after="0" w:afterAutospacing="0" w:line="360" w:lineRule="auto"/>
        <w:ind w:firstLine="420"/>
        <w:rPr>
          <w:sz w:val="21"/>
          <w:szCs w:val="21"/>
        </w:rPr>
      </w:pPr>
      <w:r>
        <w:rPr>
          <w:rFonts w:hint="eastAsia"/>
          <w:sz w:val="21"/>
          <w:szCs w:val="21"/>
        </w:rPr>
        <w:t xml:space="preserve">(2)实施全员风险管理。将风险控制责任落实到具体业务中心和业务岗位，每位员工对自己岗位职责范围内的风险负责。 </w:t>
      </w:r>
    </w:p>
    <w:p w14:paraId="1EF7D3F0">
      <w:pPr>
        <w:pStyle w:val="8"/>
        <w:spacing w:before="0" w:beforeAutospacing="0" w:after="0" w:afterAutospacing="0" w:line="360" w:lineRule="auto"/>
        <w:ind w:firstLine="420"/>
        <w:rPr>
          <w:sz w:val="21"/>
          <w:szCs w:val="21"/>
        </w:rPr>
      </w:pPr>
      <w:r>
        <w:rPr>
          <w:rFonts w:hint="eastAsia"/>
          <w:sz w:val="21"/>
          <w:szCs w:val="21"/>
        </w:rPr>
        <w:t xml:space="preserve">(3)建立分工明确、相互牵制的风险控制组织结构。我们通过建立纵向双人制，横向多中心制的内部组织结构，形成不同中心、不同岗位相互制衡的组织结构。 </w:t>
      </w:r>
    </w:p>
    <w:p w14:paraId="0C1D05FE">
      <w:pPr>
        <w:pStyle w:val="8"/>
        <w:spacing w:before="0" w:beforeAutospacing="0" w:after="0" w:afterAutospacing="0" w:line="360" w:lineRule="auto"/>
        <w:ind w:firstLine="420"/>
        <w:rPr>
          <w:sz w:val="21"/>
          <w:szCs w:val="21"/>
        </w:rPr>
      </w:pPr>
      <w:r>
        <w:rPr>
          <w:rFonts w:hint="eastAsia"/>
          <w:sz w:val="21"/>
          <w:szCs w:val="21"/>
        </w:rPr>
        <w:t xml:space="preserve">(4)以制度建设作为风险管理的核心。我们十分重视内部控制制度的建设，已经建立了一整套内部风险控制制度，包括业务管理办法、内部控制制度、员工行为规范、岗位职责及涵括所有后台运作环节的操作手册。以上制度随着外部环境和业务的发展还会不断增加和完善。 </w:t>
      </w:r>
    </w:p>
    <w:p w14:paraId="6807AAC8">
      <w:pPr>
        <w:pStyle w:val="8"/>
        <w:spacing w:before="0" w:beforeAutospacing="0" w:after="0" w:afterAutospacing="0" w:line="360" w:lineRule="auto"/>
        <w:ind w:firstLine="420"/>
        <w:rPr>
          <w:sz w:val="21"/>
          <w:szCs w:val="21"/>
        </w:rPr>
      </w:pPr>
      <w:r>
        <w:rPr>
          <w:rFonts w:hint="eastAsia"/>
          <w:sz w:val="21"/>
          <w:szCs w:val="21"/>
        </w:rPr>
        <w:t xml:space="preserve">(5)制度的执行和监督是风险控制的关键。制度落实检查是风险控制管理的有力保证。资产托管部内部设置风险合规管理中心，依照有关法律规章，定期对业务的运行进行检查。总行审计部不定期对托管业务进行审计。 </w:t>
      </w:r>
    </w:p>
    <w:p w14:paraId="73EFA64A">
      <w:pPr>
        <w:pStyle w:val="8"/>
        <w:spacing w:before="0" w:beforeAutospacing="0" w:after="0" w:afterAutospacing="0" w:line="360" w:lineRule="auto"/>
        <w:ind w:firstLine="420"/>
        <w:rPr>
          <w:sz w:val="21"/>
          <w:szCs w:val="21"/>
        </w:rPr>
      </w:pPr>
      <w:r>
        <w:rPr>
          <w:rFonts w:hint="eastAsia"/>
          <w:sz w:val="21"/>
          <w:szCs w:val="21"/>
        </w:rPr>
        <w:t xml:space="preserve">(6)将先进的技术手段运用于风险控制中。托管业务系统需求不仅从业务方面而且从风险控制方面都要经过多方论证，托管业务技术系统具有较强的自动风险控制功能。 </w:t>
      </w:r>
    </w:p>
    <w:p w14:paraId="5B302936">
      <w:pPr>
        <w:pStyle w:val="8"/>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078A96A2">
      <w:pPr>
        <w:pStyle w:val="8"/>
        <w:spacing w:before="0" w:beforeAutospacing="0" w:after="0" w:afterAutospacing="0" w:line="360" w:lineRule="auto"/>
        <w:ind w:firstLine="420"/>
        <w:rPr>
          <w:sz w:val="21"/>
          <w:szCs w:val="21"/>
        </w:rPr>
      </w:pPr>
      <w:r>
        <w:rPr>
          <w:rFonts w:hint="eastAsia"/>
          <w:sz w:val="21"/>
          <w:szCs w:val="21"/>
        </w:rPr>
        <w:t xml:space="preserve">根据《中华人民共和国证券投资基金法》《公开募集证券投资基金运作管理办法》《公开募集证券投资基金信息披露管理办法》等有关法律法规的规定及基金合同、基金托管协议的约定，基金托管人对基金的投资范围、基金投资比例、基金资产的核算、基金资产净值的计算、基金份额净值的计算、基金管理人报酬的计提和支付、基金托管人报酬的计提和支付、基金申购资金的到账和赎回资金的划付、基金收益分配等进行监督和核查。 </w:t>
      </w:r>
    </w:p>
    <w:p w14:paraId="50F138FF">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违反《中华人民共和国证券投资基金法》等有关法律法规规定及基金合同、基金托管协议约定的行为，应及时以书面形式通知基金管理人限期纠正，基金管理人收到通知后应及时核对确认，并以书面形式对基金托管人发出回函。在限期内，基金托管人有权随时对通知事项进行复查，督促基金管理人改正。基金管理人对基金托管人通知的违规事项未能在限期内纠正的，基金托管人应报告中国证监会。 </w:t>
      </w:r>
    </w:p>
    <w:p w14:paraId="73CEED57">
      <w:pPr>
        <w:pStyle w:val="8"/>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w:t>
      </w:r>
      <w:bookmarkStart w:id="59" w:name="chapter_level1_6_55_section_2_end"/>
      <w:bookmarkEnd w:id="59"/>
      <w:r>
        <w:rPr>
          <w:rFonts w:hint="eastAsia"/>
          <w:sz w:val="21"/>
          <w:szCs w:val="21"/>
        </w:rPr>
        <w:t xml:space="preserve">理人限期纠正。 </w:t>
      </w:r>
      <w:bookmarkStart w:id="60" w:name="field_0_trustcontrollawinfo_1_end"/>
      <w:bookmarkEnd w:id="60"/>
      <w:r>
        <w:rPr>
          <w:rFonts w:hint="eastAsia"/>
          <w:sz w:val="21"/>
          <w:szCs w:val="21"/>
        </w:rPr>
        <w:t xml:space="preserve">  </w:t>
      </w:r>
    </w:p>
    <w:p w14:paraId="5B2DE15A">
      <w:pPr>
        <w:widowControl/>
        <w:jc w:val="left"/>
        <w:rPr>
          <w:rFonts w:ascii="宋体" w:hAnsi="宋体" w:eastAsia="宋体"/>
        </w:rPr>
      </w:pPr>
      <w:r>
        <w:rPr>
          <w:rFonts w:ascii="宋体" w:hAnsi="宋体" w:eastAsia="宋体"/>
        </w:rPr>
        <w:br w:type="page"/>
      </w:r>
    </w:p>
    <w:p w14:paraId="6B00BEE1">
      <w:pPr>
        <w:pStyle w:val="2"/>
        <w:jc w:val="center"/>
        <w:rPr>
          <w:rFonts w:ascii="宋体" w:hAnsi="宋体" w:eastAsia="宋体"/>
          <w:sz w:val="30"/>
        </w:rPr>
      </w:pPr>
      <w:bookmarkStart w:id="61" w:name="_Toc239192431"/>
      <w:bookmarkStart w:id="62" w:name="chapter_level1_7_56"/>
      <w:r>
        <w:rPr>
          <w:rFonts w:hint="eastAsia" w:ascii="宋体" w:hAnsi="宋体" w:eastAsia="宋体"/>
          <w:sz w:val="30"/>
        </w:rPr>
        <w:t>第五部分  相关服务机构</w:t>
      </w:r>
      <w:bookmarkEnd w:id="61"/>
      <w:bookmarkEnd w:id="62"/>
    </w:p>
    <w:p w14:paraId="0190F8DA">
      <w:pPr>
        <w:pStyle w:val="8"/>
        <w:spacing w:before="0" w:beforeAutospacing="0" w:after="0" w:afterAutospacing="0" w:line="360" w:lineRule="auto"/>
        <w:ind w:firstLine="420"/>
        <w:rPr>
          <w:sz w:val="21"/>
          <w:szCs w:val="21"/>
        </w:rPr>
      </w:pPr>
      <w:bookmarkStart w:id="63" w:name="chapter_level1_7_56_section_1"/>
      <w:bookmarkEnd w:id="63"/>
      <w:r>
        <w:rPr>
          <w:rFonts w:hint="eastAsia"/>
          <w:b/>
          <w:bCs/>
          <w:sz w:val="21"/>
          <w:szCs w:val="21"/>
        </w:rPr>
        <w:t>一、基金份额销售机构</w:t>
      </w:r>
    </w:p>
    <w:p w14:paraId="29FD10A8">
      <w:pPr>
        <w:pStyle w:val="8"/>
        <w:spacing w:before="0" w:beforeAutospacing="0" w:after="0" w:afterAutospacing="0" w:line="360" w:lineRule="auto"/>
        <w:ind w:firstLine="420"/>
        <w:rPr>
          <w:sz w:val="21"/>
          <w:szCs w:val="21"/>
        </w:rPr>
      </w:pPr>
      <w:r>
        <w:rPr>
          <w:rFonts w:hint="eastAsia"/>
          <w:sz w:val="21"/>
          <w:szCs w:val="21"/>
        </w:rPr>
        <w:t xml:space="preserve">1、直销机构 </w:t>
      </w:r>
    </w:p>
    <w:p w14:paraId="68118070">
      <w:pPr>
        <w:pStyle w:val="8"/>
        <w:spacing w:before="0" w:beforeAutospacing="0" w:after="0" w:afterAutospacing="0" w:line="360" w:lineRule="auto"/>
        <w:ind w:firstLine="420"/>
        <w:rPr>
          <w:sz w:val="21"/>
          <w:szCs w:val="21"/>
        </w:rPr>
      </w:pPr>
      <w:bookmarkStart w:id="64" w:name="field_0_marketcompanyinfo_1_start"/>
      <w:bookmarkEnd w:id="64"/>
      <w:r>
        <w:rPr>
          <w:rFonts w:hint="eastAsia"/>
          <w:sz w:val="21"/>
          <w:szCs w:val="21"/>
        </w:rPr>
        <w:t xml:space="preserve">名称：博时基金管理有限公司北京直销中心 </w:t>
      </w:r>
    </w:p>
    <w:p w14:paraId="47DF3819">
      <w:pPr>
        <w:pStyle w:val="8"/>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4E048593">
      <w:pPr>
        <w:pStyle w:val="8"/>
        <w:spacing w:before="0" w:beforeAutospacing="0" w:after="0" w:afterAutospacing="0" w:line="360" w:lineRule="auto"/>
        <w:ind w:firstLine="420"/>
        <w:rPr>
          <w:sz w:val="21"/>
          <w:szCs w:val="21"/>
        </w:rPr>
      </w:pPr>
      <w:r>
        <w:rPr>
          <w:rFonts w:hint="eastAsia"/>
          <w:sz w:val="21"/>
          <w:szCs w:val="21"/>
        </w:rPr>
        <w:t xml:space="preserve">电话：010-65187055 </w:t>
      </w:r>
    </w:p>
    <w:p w14:paraId="69BFCACE">
      <w:pPr>
        <w:pStyle w:val="8"/>
        <w:spacing w:before="0" w:beforeAutospacing="0" w:after="0" w:afterAutospacing="0" w:line="360" w:lineRule="auto"/>
        <w:ind w:firstLine="420"/>
        <w:rPr>
          <w:sz w:val="21"/>
          <w:szCs w:val="21"/>
        </w:rPr>
      </w:pPr>
      <w:r>
        <w:rPr>
          <w:rFonts w:hint="eastAsia"/>
          <w:sz w:val="21"/>
          <w:szCs w:val="21"/>
        </w:rPr>
        <w:t xml:space="preserve">传真：010-65187032 </w:t>
      </w:r>
    </w:p>
    <w:p w14:paraId="10EA113D">
      <w:pPr>
        <w:pStyle w:val="8"/>
        <w:spacing w:before="0" w:beforeAutospacing="0" w:after="0" w:afterAutospacing="0" w:line="360" w:lineRule="auto"/>
        <w:ind w:firstLine="420"/>
        <w:rPr>
          <w:sz w:val="21"/>
          <w:szCs w:val="21"/>
        </w:rPr>
      </w:pPr>
      <w:r>
        <w:rPr>
          <w:rFonts w:hint="eastAsia"/>
          <w:sz w:val="21"/>
          <w:szCs w:val="21"/>
        </w:rPr>
        <w:t xml:space="preserve">联系人：韩明亮 </w:t>
      </w:r>
    </w:p>
    <w:p w14:paraId="50EAD03A">
      <w:pPr>
        <w:pStyle w:val="8"/>
        <w:spacing w:before="0" w:beforeAutospacing="0" w:after="0" w:afterAutospacing="0" w:line="360" w:lineRule="auto"/>
        <w:ind w:firstLine="420"/>
        <w:rPr>
          <w:sz w:val="21"/>
          <w:szCs w:val="21"/>
        </w:rPr>
      </w:pPr>
      <w:bookmarkStart w:id="65" w:name="chapter_level1_7_56_section_1_end"/>
      <w:bookmarkEnd w:id="65"/>
      <w:r>
        <w:rPr>
          <w:rFonts w:hint="eastAsia"/>
          <w:sz w:val="21"/>
          <w:szCs w:val="21"/>
        </w:rPr>
        <w:t xml:space="preserve">博时一线通：95105568（免长途话费） </w:t>
      </w:r>
      <w:bookmarkStart w:id="66" w:name="field_0_marketcompanyinfo_1_end"/>
      <w:bookmarkEnd w:id="66"/>
      <w:r>
        <w:rPr>
          <w:rFonts w:hint="eastAsia"/>
          <w:sz w:val="21"/>
          <w:szCs w:val="21"/>
        </w:rPr>
        <w:t xml:space="preserve">  </w:t>
      </w:r>
    </w:p>
    <w:p w14:paraId="333C8708">
      <w:pPr>
        <w:pStyle w:val="8"/>
        <w:spacing w:before="0" w:beforeAutospacing="0" w:after="0" w:afterAutospacing="0" w:line="360" w:lineRule="auto"/>
        <w:ind w:firstLine="420"/>
        <w:rPr>
          <w:sz w:val="21"/>
          <w:szCs w:val="21"/>
        </w:rPr>
      </w:pPr>
      <w:bookmarkStart w:id="67" w:name="chapter_level1_7_56_section_2"/>
      <w:bookmarkEnd w:id="67"/>
      <w:r>
        <w:rPr>
          <w:rFonts w:hint="eastAsia"/>
          <w:sz w:val="21"/>
          <w:szCs w:val="21"/>
        </w:rPr>
        <w:t xml:space="preserve">2、代销机构 </w:t>
      </w:r>
    </w:p>
    <w:p w14:paraId="278DE7B9">
      <w:pPr>
        <w:pStyle w:val="8"/>
        <w:spacing w:before="0" w:beforeAutospacing="0" w:after="0" w:afterAutospacing="0" w:line="360" w:lineRule="auto"/>
        <w:ind w:firstLine="420"/>
        <w:rPr>
          <w:sz w:val="21"/>
          <w:szCs w:val="21"/>
        </w:rPr>
      </w:pPr>
      <w:bookmarkStart w:id="68" w:name="field_0_allproxysaletables_1_start"/>
      <w:bookmarkEnd w:id="68"/>
      <w:r>
        <w:rPr>
          <w:rFonts w:hint="eastAsia"/>
          <w:b/>
          <w:bCs/>
          <w:sz w:val="21"/>
          <w:szCs w:val="21"/>
        </w:rPr>
        <w:t>(1)招商银行股份有限公司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D620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7A314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4EC3DC8">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5318A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174D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4272F07">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700AA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B753F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C0CCA2E">
            <w:pPr>
              <w:rPr>
                <w:rFonts w:ascii="宋体" w:hAnsi="宋体" w:eastAsia="宋体" w:cs="宋体"/>
                <w:sz w:val="24"/>
                <w:szCs w:val="24"/>
              </w:rPr>
            </w:pPr>
            <w:r>
              <w:rPr>
                <w:rFonts w:hint="eastAsia" w:ascii="宋体" w:hAnsi="宋体" w:eastAsia="宋体"/>
              </w:rPr>
              <w:t xml:space="preserve">缪建民 </w:t>
            </w:r>
          </w:p>
        </w:tc>
      </w:tr>
      <w:tr w14:paraId="6685F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1AA8C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F7F4CC7">
            <w:pPr>
              <w:rPr>
                <w:rFonts w:ascii="宋体" w:hAnsi="宋体" w:eastAsia="宋体" w:cs="宋体"/>
                <w:sz w:val="24"/>
                <w:szCs w:val="24"/>
              </w:rPr>
            </w:pPr>
            <w:r>
              <w:rPr>
                <w:rFonts w:hint="eastAsia" w:ascii="宋体" w:hAnsi="宋体" w:eastAsia="宋体"/>
              </w:rPr>
              <w:t xml:space="preserve">季平伟 </w:t>
            </w:r>
          </w:p>
        </w:tc>
      </w:tr>
      <w:tr w14:paraId="48EAB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0BD5B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FF0824F">
            <w:pPr>
              <w:rPr>
                <w:rFonts w:ascii="宋体" w:hAnsi="宋体" w:eastAsia="宋体" w:cs="宋体"/>
                <w:sz w:val="24"/>
                <w:szCs w:val="24"/>
              </w:rPr>
            </w:pPr>
            <w:r>
              <w:rPr>
                <w:rFonts w:hint="eastAsia" w:ascii="宋体" w:hAnsi="宋体" w:eastAsia="宋体"/>
              </w:rPr>
              <w:t xml:space="preserve">0755－83198888 </w:t>
            </w:r>
          </w:p>
        </w:tc>
      </w:tr>
      <w:tr w14:paraId="4AA75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A0BF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79C6DBC">
            <w:pPr>
              <w:rPr>
                <w:rFonts w:ascii="宋体" w:hAnsi="宋体" w:eastAsia="宋体" w:cs="宋体"/>
                <w:sz w:val="24"/>
                <w:szCs w:val="24"/>
              </w:rPr>
            </w:pPr>
            <w:r>
              <w:rPr>
                <w:rFonts w:hint="eastAsia" w:ascii="宋体" w:hAnsi="宋体" w:eastAsia="宋体"/>
              </w:rPr>
              <w:t xml:space="preserve">0755－83195049 </w:t>
            </w:r>
          </w:p>
        </w:tc>
      </w:tr>
      <w:tr w14:paraId="6C0B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2C8B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C0290FA">
            <w:pPr>
              <w:rPr>
                <w:rFonts w:ascii="宋体" w:hAnsi="宋体" w:eastAsia="宋体" w:cs="宋体"/>
                <w:sz w:val="24"/>
                <w:szCs w:val="24"/>
              </w:rPr>
            </w:pPr>
            <w:r>
              <w:rPr>
                <w:rFonts w:hint="eastAsia" w:ascii="宋体" w:hAnsi="宋体" w:eastAsia="宋体"/>
              </w:rPr>
              <w:t xml:space="preserve">95555 </w:t>
            </w:r>
          </w:p>
        </w:tc>
      </w:tr>
      <w:tr w14:paraId="2A643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061D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596F7D">
            <w:pPr>
              <w:rPr>
                <w:rFonts w:ascii="宋体" w:hAnsi="宋体" w:eastAsia="宋体" w:cs="宋体"/>
                <w:sz w:val="24"/>
                <w:szCs w:val="24"/>
              </w:rPr>
            </w:pPr>
            <w:r>
              <w:rPr>
                <w:rFonts w:hint="eastAsia" w:ascii="宋体" w:hAnsi="宋体" w:eastAsia="宋体"/>
              </w:rPr>
              <w:t xml:space="preserve">http://www.cmbchina.com/ </w:t>
            </w:r>
          </w:p>
        </w:tc>
      </w:tr>
    </w:tbl>
    <w:p w14:paraId="179AE18D">
      <w:pPr>
        <w:pStyle w:val="8"/>
        <w:spacing w:before="0" w:beforeAutospacing="0" w:after="0" w:afterAutospacing="0" w:line="360" w:lineRule="auto"/>
        <w:ind w:firstLine="420"/>
        <w:rPr>
          <w:sz w:val="21"/>
          <w:szCs w:val="21"/>
        </w:rPr>
      </w:pPr>
      <w:r>
        <w:rPr>
          <w:rFonts w:hint="eastAsia"/>
          <w:b/>
          <w:bCs/>
          <w:sz w:val="21"/>
          <w:szCs w:val="21"/>
        </w:rPr>
        <w:t>(2)和讯信息科技有限公司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C450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85A7F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6E2008B">
            <w:pPr>
              <w:rPr>
                <w:rFonts w:ascii="宋体" w:hAnsi="宋体" w:eastAsia="宋体" w:cs="宋体"/>
                <w:sz w:val="24"/>
                <w:szCs w:val="24"/>
              </w:rPr>
            </w:pPr>
            <w:r>
              <w:rPr>
                <w:rFonts w:hint="eastAsia" w:ascii="宋体" w:hAnsi="宋体" w:eastAsia="宋体"/>
              </w:rPr>
              <w:t xml:space="preserve">北京市朝阳区朝外大街22号泛利大厦10层 </w:t>
            </w:r>
          </w:p>
        </w:tc>
      </w:tr>
      <w:tr w14:paraId="3BA1A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4A01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B60B98E">
            <w:pPr>
              <w:rPr>
                <w:rFonts w:ascii="宋体" w:hAnsi="宋体" w:eastAsia="宋体" w:cs="宋体"/>
                <w:sz w:val="24"/>
                <w:szCs w:val="24"/>
              </w:rPr>
            </w:pPr>
            <w:r>
              <w:rPr>
                <w:rFonts w:hint="eastAsia" w:ascii="宋体" w:hAnsi="宋体" w:eastAsia="宋体"/>
              </w:rPr>
              <w:t xml:space="preserve">北京市朝阳区朝外大街22号泛利大厦10层 </w:t>
            </w:r>
          </w:p>
        </w:tc>
      </w:tr>
      <w:tr w14:paraId="78A85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44FAF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40C1AA5">
            <w:pPr>
              <w:rPr>
                <w:rFonts w:ascii="宋体" w:hAnsi="宋体" w:eastAsia="宋体" w:cs="宋体"/>
                <w:sz w:val="24"/>
                <w:szCs w:val="24"/>
              </w:rPr>
            </w:pPr>
            <w:r>
              <w:rPr>
                <w:rFonts w:hint="eastAsia" w:ascii="宋体" w:hAnsi="宋体" w:eastAsia="宋体"/>
              </w:rPr>
              <w:t xml:space="preserve">王莉 </w:t>
            </w:r>
          </w:p>
        </w:tc>
      </w:tr>
      <w:tr w14:paraId="242D9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CF56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0DBDEEA">
            <w:pPr>
              <w:rPr>
                <w:rFonts w:ascii="宋体" w:hAnsi="宋体" w:eastAsia="宋体" w:cs="宋体"/>
                <w:sz w:val="24"/>
                <w:szCs w:val="24"/>
              </w:rPr>
            </w:pPr>
            <w:r>
              <w:rPr>
                <w:rFonts w:hint="eastAsia" w:ascii="宋体" w:hAnsi="宋体" w:eastAsia="宋体"/>
              </w:rPr>
              <w:t xml:space="preserve">张紫薇 </w:t>
            </w:r>
          </w:p>
        </w:tc>
      </w:tr>
      <w:tr w14:paraId="0C75D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0B8C5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093967E">
            <w:pPr>
              <w:rPr>
                <w:rFonts w:ascii="宋体" w:hAnsi="宋体" w:eastAsia="宋体" w:cs="宋体"/>
                <w:sz w:val="24"/>
                <w:szCs w:val="24"/>
              </w:rPr>
            </w:pPr>
            <w:r>
              <w:rPr>
                <w:rFonts w:hint="eastAsia" w:ascii="宋体" w:hAnsi="宋体" w:eastAsia="宋体"/>
              </w:rPr>
              <w:t xml:space="preserve">0755-82721122-8625 </w:t>
            </w:r>
          </w:p>
        </w:tc>
      </w:tr>
      <w:tr w14:paraId="7D751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10E48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C7EBB4C">
            <w:pPr>
              <w:rPr>
                <w:rFonts w:ascii="宋体" w:hAnsi="宋体" w:eastAsia="宋体" w:cs="宋体"/>
                <w:sz w:val="24"/>
                <w:szCs w:val="24"/>
              </w:rPr>
            </w:pPr>
            <w:r>
              <w:rPr>
                <w:rFonts w:hint="eastAsia" w:ascii="宋体" w:hAnsi="宋体" w:eastAsia="宋体"/>
              </w:rPr>
              <w:t xml:space="preserve">0755-82029055 </w:t>
            </w:r>
          </w:p>
        </w:tc>
      </w:tr>
      <w:tr w14:paraId="43762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728D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2B28A0F">
            <w:pPr>
              <w:rPr>
                <w:rFonts w:ascii="宋体" w:hAnsi="宋体" w:eastAsia="宋体" w:cs="宋体"/>
                <w:sz w:val="24"/>
                <w:szCs w:val="24"/>
              </w:rPr>
            </w:pPr>
            <w:r>
              <w:rPr>
                <w:rFonts w:hint="eastAsia" w:ascii="宋体" w:hAnsi="宋体" w:eastAsia="宋体"/>
              </w:rPr>
              <w:t xml:space="preserve">400-920-0022 </w:t>
            </w:r>
          </w:p>
        </w:tc>
      </w:tr>
      <w:tr w14:paraId="4C2B5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7E7F4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FD6C682">
            <w:pPr>
              <w:rPr>
                <w:rFonts w:ascii="宋体" w:hAnsi="宋体" w:eastAsia="宋体" w:cs="宋体"/>
                <w:sz w:val="24"/>
                <w:szCs w:val="24"/>
              </w:rPr>
            </w:pPr>
            <w:r>
              <w:rPr>
                <w:rFonts w:hint="eastAsia" w:ascii="宋体" w:hAnsi="宋体" w:eastAsia="宋体"/>
              </w:rPr>
              <w:t xml:space="preserve">http://Licaike.hexun.com </w:t>
            </w:r>
          </w:p>
        </w:tc>
      </w:tr>
    </w:tbl>
    <w:p w14:paraId="75FE798C">
      <w:pPr>
        <w:pStyle w:val="8"/>
        <w:spacing w:before="0" w:beforeAutospacing="0" w:after="0" w:afterAutospacing="0" w:line="360" w:lineRule="auto"/>
        <w:ind w:firstLine="420"/>
        <w:rPr>
          <w:sz w:val="21"/>
          <w:szCs w:val="21"/>
        </w:rPr>
      </w:pPr>
      <w:r>
        <w:rPr>
          <w:rFonts w:hint="eastAsia"/>
          <w:b/>
          <w:bCs/>
          <w:sz w:val="21"/>
          <w:szCs w:val="21"/>
        </w:rPr>
        <w:t>(3)贵州省贵文文化基金销售有限公司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3A3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7F258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E3B7314">
            <w:pPr>
              <w:rPr>
                <w:rFonts w:ascii="宋体" w:hAnsi="宋体" w:eastAsia="宋体" w:cs="宋体"/>
                <w:sz w:val="24"/>
                <w:szCs w:val="24"/>
              </w:rPr>
            </w:pPr>
            <w:r>
              <w:rPr>
                <w:rFonts w:hint="eastAsia" w:ascii="宋体" w:hAnsi="宋体" w:eastAsia="宋体"/>
              </w:rPr>
              <w:t xml:space="preserve">贵州省贵阳市南明区龙洞堡电子商务港太升国际A栋2单元5层17号 </w:t>
            </w:r>
          </w:p>
        </w:tc>
      </w:tr>
      <w:tr w14:paraId="3049D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0FE9F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49A75EB">
            <w:pPr>
              <w:rPr>
                <w:rFonts w:ascii="宋体" w:hAnsi="宋体" w:eastAsia="宋体" w:cs="宋体"/>
                <w:sz w:val="24"/>
                <w:szCs w:val="24"/>
              </w:rPr>
            </w:pPr>
            <w:r>
              <w:rPr>
                <w:rFonts w:hint="eastAsia" w:ascii="宋体" w:hAnsi="宋体" w:eastAsia="宋体"/>
              </w:rPr>
              <w:t xml:space="preserve">贵州省贵阳市龙洞堡兴业西路CCDI版权云工作基地 二楼 </w:t>
            </w:r>
          </w:p>
        </w:tc>
      </w:tr>
      <w:tr w14:paraId="7D2F2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98465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9A8EA52">
            <w:pPr>
              <w:rPr>
                <w:rFonts w:ascii="宋体" w:hAnsi="宋体" w:eastAsia="宋体" w:cs="宋体"/>
                <w:sz w:val="24"/>
                <w:szCs w:val="24"/>
              </w:rPr>
            </w:pPr>
            <w:r>
              <w:rPr>
                <w:rFonts w:hint="eastAsia" w:ascii="宋体" w:hAnsi="宋体" w:eastAsia="宋体"/>
              </w:rPr>
              <w:t xml:space="preserve">陈成 </w:t>
            </w:r>
          </w:p>
        </w:tc>
      </w:tr>
      <w:tr w14:paraId="7E17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C8A11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E000C9E">
            <w:pPr>
              <w:rPr>
                <w:rFonts w:ascii="宋体" w:hAnsi="宋体" w:eastAsia="宋体" w:cs="宋体"/>
                <w:sz w:val="24"/>
                <w:szCs w:val="24"/>
              </w:rPr>
            </w:pPr>
            <w:r>
              <w:rPr>
                <w:rFonts w:hint="eastAsia" w:ascii="宋体" w:hAnsi="宋体" w:eastAsia="宋体"/>
              </w:rPr>
              <w:t xml:space="preserve">李辰 </w:t>
            </w:r>
          </w:p>
        </w:tc>
      </w:tr>
      <w:tr w14:paraId="434AE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D1C8C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CFDEB4E">
            <w:pPr>
              <w:rPr>
                <w:rFonts w:ascii="宋体" w:hAnsi="宋体" w:eastAsia="宋体" w:cs="宋体"/>
                <w:sz w:val="24"/>
                <w:szCs w:val="24"/>
              </w:rPr>
            </w:pPr>
            <w:r>
              <w:rPr>
                <w:rFonts w:hint="eastAsia" w:ascii="宋体" w:hAnsi="宋体" w:eastAsia="宋体"/>
              </w:rPr>
              <w:t xml:space="preserve">17601206766 </w:t>
            </w:r>
          </w:p>
        </w:tc>
      </w:tr>
      <w:tr w14:paraId="2DED6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2670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A3EBD1C">
            <w:pPr>
              <w:rPr>
                <w:rFonts w:ascii="宋体" w:hAnsi="宋体" w:eastAsia="宋体" w:cs="宋体"/>
                <w:sz w:val="24"/>
                <w:szCs w:val="24"/>
              </w:rPr>
            </w:pPr>
            <w:r>
              <w:rPr>
                <w:rFonts w:hint="eastAsia" w:ascii="宋体" w:hAnsi="宋体" w:eastAsia="宋体"/>
              </w:rPr>
              <w:t xml:space="preserve">0851-85407888 </w:t>
            </w:r>
          </w:p>
        </w:tc>
      </w:tr>
      <w:tr w14:paraId="075F2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5B66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628BCB">
            <w:pPr>
              <w:rPr>
                <w:rFonts w:ascii="宋体" w:hAnsi="宋体" w:eastAsia="宋体" w:cs="宋体"/>
                <w:sz w:val="24"/>
                <w:szCs w:val="24"/>
              </w:rPr>
            </w:pPr>
            <w:r>
              <w:rPr>
                <w:rFonts w:hint="eastAsia" w:ascii="宋体" w:hAnsi="宋体" w:eastAsia="宋体"/>
              </w:rPr>
              <w:t xml:space="preserve">https://www.gwcaifu.com/ </w:t>
            </w:r>
          </w:p>
        </w:tc>
      </w:tr>
    </w:tbl>
    <w:p w14:paraId="5D8098F8">
      <w:pPr>
        <w:pStyle w:val="8"/>
        <w:spacing w:before="0" w:beforeAutospacing="0" w:after="0" w:afterAutospacing="0" w:line="360" w:lineRule="auto"/>
        <w:ind w:firstLine="420"/>
        <w:rPr>
          <w:sz w:val="21"/>
          <w:szCs w:val="21"/>
        </w:rPr>
      </w:pPr>
      <w:r>
        <w:rPr>
          <w:rFonts w:hint="eastAsia"/>
          <w:b/>
          <w:bCs/>
          <w:sz w:val="21"/>
          <w:szCs w:val="21"/>
        </w:rPr>
        <w:t>(4)博时财富基金销售有限公司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60C49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C066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B69D9ED">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1534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5168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E90B517">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2D562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CF6E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3FA23B">
            <w:pPr>
              <w:rPr>
                <w:rFonts w:ascii="宋体" w:hAnsi="宋体" w:eastAsia="宋体" w:cs="宋体"/>
                <w:sz w:val="24"/>
                <w:szCs w:val="24"/>
              </w:rPr>
            </w:pPr>
            <w:r>
              <w:rPr>
                <w:rFonts w:hint="eastAsia" w:ascii="宋体" w:hAnsi="宋体" w:eastAsia="宋体"/>
              </w:rPr>
              <w:t xml:space="preserve">杜松岭 </w:t>
            </w:r>
          </w:p>
        </w:tc>
      </w:tr>
      <w:tr w14:paraId="63D01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C5AA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89E66F7">
            <w:pPr>
              <w:rPr>
                <w:rFonts w:ascii="宋体" w:hAnsi="宋体" w:eastAsia="宋体" w:cs="宋体"/>
                <w:sz w:val="24"/>
                <w:szCs w:val="24"/>
              </w:rPr>
            </w:pPr>
            <w:r>
              <w:rPr>
                <w:rFonts w:hint="eastAsia" w:ascii="宋体" w:hAnsi="宋体" w:eastAsia="宋体"/>
              </w:rPr>
              <w:t xml:space="preserve">崔丹 </w:t>
            </w:r>
          </w:p>
        </w:tc>
      </w:tr>
      <w:tr w14:paraId="2E663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C7085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A08C916">
            <w:pPr>
              <w:rPr>
                <w:rFonts w:ascii="宋体" w:hAnsi="宋体" w:eastAsia="宋体" w:cs="宋体"/>
                <w:sz w:val="24"/>
                <w:szCs w:val="24"/>
              </w:rPr>
            </w:pPr>
            <w:r>
              <w:rPr>
                <w:rFonts w:hint="eastAsia" w:ascii="宋体" w:hAnsi="宋体" w:eastAsia="宋体"/>
              </w:rPr>
              <w:t xml:space="preserve">0755-83169999 </w:t>
            </w:r>
          </w:p>
        </w:tc>
      </w:tr>
      <w:tr w14:paraId="16407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6E7E9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EFE9355">
            <w:pPr>
              <w:rPr>
                <w:rFonts w:ascii="宋体" w:hAnsi="宋体" w:eastAsia="宋体" w:cs="宋体"/>
                <w:sz w:val="24"/>
                <w:szCs w:val="24"/>
              </w:rPr>
            </w:pPr>
            <w:r>
              <w:rPr>
                <w:rFonts w:hint="eastAsia" w:ascii="宋体" w:hAnsi="宋体" w:eastAsia="宋体"/>
              </w:rPr>
              <w:t xml:space="preserve">0755-83195220 </w:t>
            </w:r>
          </w:p>
        </w:tc>
      </w:tr>
      <w:tr w14:paraId="6815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F8500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7CBDE9F">
            <w:pPr>
              <w:rPr>
                <w:rFonts w:ascii="宋体" w:hAnsi="宋体" w:eastAsia="宋体" w:cs="宋体"/>
                <w:sz w:val="24"/>
                <w:szCs w:val="24"/>
              </w:rPr>
            </w:pPr>
            <w:r>
              <w:rPr>
                <w:rFonts w:hint="eastAsia" w:ascii="宋体" w:hAnsi="宋体" w:eastAsia="宋体"/>
              </w:rPr>
              <w:t xml:space="preserve">400-610-5568 </w:t>
            </w:r>
          </w:p>
        </w:tc>
      </w:tr>
      <w:tr w14:paraId="786D9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AAB9E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5C517B6">
            <w:pPr>
              <w:rPr>
                <w:rFonts w:ascii="宋体" w:hAnsi="宋体" w:eastAsia="宋体" w:cs="宋体"/>
                <w:sz w:val="24"/>
                <w:szCs w:val="24"/>
              </w:rPr>
            </w:pPr>
            <w:r>
              <w:rPr>
                <w:rFonts w:hint="eastAsia" w:ascii="宋体" w:hAnsi="宋体" w:eastAsia="宋体"/>
              </w:rPr>
              <w:t xml:space="preserve">www.boserawealth.com </w:t>
            </w:r>
          </w:p>
        </w:tc>
      </w:tr>
    </w:tbl>
    <w:p w14:paraId="43EB0ABD">
      <w:pPr>
        <w:pStyle w:val="8"/>
        <w:spacing w:before="0" w:beforeAutospacing="0" w:after="0" w:afterAutospacing="0" w:line="360" w:lineRule="auto"/>
        <w:ind w:firstLine="420"/>
        <w:rPr>
          <w:sz w:val="21"/>
          <w:szCs w:val="21"/>
        </w:rPr>
      </w:pPr>
      <w:r>
        <w:rPr>
          <w:rFonts w:hint="eastAsia"/>
          <w:b/>
          <w:bCs/>
          <w:sz w:val="21"/>
          <w:szCs w:val="21"/>
        </w:rPr>
        <w:t>(5)深圳众禄基金销售股份有限公司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E60E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B341E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E565645">
            <w:pPr>
              <w:rPr>
                <w:rFonts w:ascii="宋体" w:hAnsi="宋体" w:eastAsia="宋体" w:cs="宋体"/>
                <w:sz w:val="24"/>
                <w:szCs w:val="24"/>
              </w:rPr>
            </w:pPr>
            <w:r>
              <w:rPr>
                <w:rFonts w:hint="eastAsia" w:ascii="宋体" w:hAnsi="宋体" w:eastAsia="宋体"/>
              </w:rPr>
              <w:t xml:space="preserve">深圳市罗湖区梨园路物资控股置地大厦8楼 </w:t>
            </w:r>
          </w:p>
        </w:tc>
      </w:tr>
      <w:tr w14:paraId="53D0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D35B1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2224BB">
            <w:pPr>
              <w:rPr>
                <w:rFonts w:ascii="宋体" w:hAnsi="宋体" w:eastAsia="宋体" w:cs="宋体"/>
                <w:sz w:val="24"/>
                <w:szCs w:val="24"/>
              </w:rPr>
            </w:pPr>
            <w:r>
              <w:rPr>
                <w:rFonts w:hint="eastAsia" w:ascii="宋体" w:hAnsi="宋体" w:eastAsia="宋体"/>
              </w:rPr>
              <w:t xml:space="preserve">深圳市罗湖区梨园路物资控股置地大厦8楼 </w:t>
            </w:r>
          </w:p>
        </w:tc>
      </w:tr>
      <w:tr w14:paraId="3B0C4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A1B2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58989BC">
            <w:pPr>
              <w:rPr>
                <w:rFonts w:ascii="宋体" w:hAnsi="宋体" w:eastAsia="宋体" w:cs="宋体"/>
                <w:sz w:val="24"/>
                <w:szCs w:val="24"/>
              </w:rPr>
            </w:pPr>
            <w:r>
              <w:rPr>
                <w:rFonts w:hint="eastAsia" w:ascii="宋体" w:hAnsi="宋体" w:eastAsia="宋体"/>
              </w:rPr>
              <w:t xml:space="preserve">薛峰 </w:t>
            </w:r>
          </w:p>
        </w:tc>
      </w:tr>
      <w:tr w14:paraId="366B2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F632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0D7D516">
            <w:pPr>
              <w:rPr>
                <w:rFonts w:ascii="宋体" w:hAnsi="宋体" w:eastAsia="宋体" w:cs="宋体"/>
                <w:sz w:val="24"/>
                <w:szCs w:val="24"/>
              </w:rPr>
            </w:pPr>
            <w:r>
              <w:rPr>
                <w:rFonts w:hint="eastAsia" w:ascii="宋体" w:hAnsi="宋体" w:eastAsia="宋体"/>
              </w:rPr>
              <w:t xml:space="preserve">童彩平 </w:t>
            </w:r>
          </w:p>
        </w:tc>
      </w:tr>
      <w:tr w14:paraId="7056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1FB1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604C5B9">
            <w:pPr>
              <w:rPr>
                <w:rFonts w:ascii="宋体" w:hAnsi="宋体" w:eastAsia="宋体" w:cs="宋体"/>
                <w:sz w:val="24"/>
                <w:szCs w:val="24"/>
              </w:rPr>
            </w:pPr>
            <w:r>
              <w:rPr>
                <w:rFonts w:hint="eastAsia" w:ascii="宋体" w:hAnsi="宋体" w:eastAsia="宋体"/>
              </w:rPr>
              <w:t xml:space="preserve">0755-33227950 </w:t>
            </w:r>
          </w:p>
        </w:tc>
      </w:tr>
      <w:tr w14:paraId="046D4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C4EE7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6C54787">
            <w:pPr>
              <w:rPr>
                <w:rFonts w:ascii="宋体" w:hAnsi="宋体" w:eastAsia="宋体" w:cs="宋体"/>
                <w:sz w:val="24"/>
                <w:szCs w:val="24"/>
              </w:rPr>
            </w:pPr>
            <w:r>
              <w:rPr>
                <w:rFonts w:hint="eastAsia" w:ascii="宋体" w:hAnsi="宋体" w:eastAsia="宋体"/>
              </w:rPr>
              <w:t xml:space="preserve">0755-33227951 </w:t>
            </w:r>
          </w:p>
        </w:tc>
      </w:tr>
      <w:tr w14:paraId="2424A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BD07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6482B80">
            <w:pPr>
              <w:rPr>
                <w:rFonts w:ascii="宋体" w:hAnsi="宋体" w:eastAsia="宋体" w:cs="宋体"/>
                <w:sz w:val="24"/>
                <w:szCs w:val="24"/>
              </w:rPr>
            </w:pPr>
            <w:r>
              <w:rPr>
                <w:rFonts w:hint="eastAsia" w:ascii="宋体" w:hAnsi="宋体" w:eastAsia="宋体"/>
              </w:rPr>
              <w:t xml:space="preserve">400-678-8887 </w:t>
            </w:r>
          </w:p>
        </w:tc>
      </w:tr>
      <w:tr w14:paraId="517B3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8810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35084F9">
            <w:pPr>
              <w:rPr>
                <w:rFonts w:ascii="宋体" w:hAnsi="宋体" w:eastAsia="宋体" w:cs="宋体"/>
                <w:sz w:val="24"/>
                <w:szCs w:val="24"/>
              </w:rPr>
            </w:pPr>
            <w:r>
              <w:rPr>
                <w:rFonts w:hint="eastAsia" w:ascii="宋体" w:hAnsi="宋体" w:eastAsia="宋体"/>
              </w:rPr>
              <w:t xml:space="preserve">https://www.zlfund.cn/ </w:t>
            </w:r>
          </w:p>
        </w:tc>
      </w:tr>
    </w:tbl>
    <w:p w14:paraId="24CCE572">
      <w:pPr>
        <w:pStyle w:val="8"/>
        <w:spacing w:before="0" w:beforeAutospacing="0" w:after="0" w:afterAutospacing="0" w:line="360" w:lineRule="auto"/>
        <w:ind w:firstLine="420"/>
        <w:rPr>
          <w:sz w:val="21"/>
          <w:szCs w:val="21"/>
        </w:rPr>
      </w:pPr>
      <w:r>
        <w:rPr>
          <w:rFonts w:hint="eastAsia"/>
          <w:b/>
          <w:bCs/>
          <w:sz w:val="21"/>
          <w:szCs w:val="21"/>
        </w:rPr>
        <w:t>(6)上海天天基金销售有限公司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11418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9AE5A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4E30D37">
            <w:pPr>
              <w:rPr>
                <w:rFonts w:ascii="宋体" w:hAnsi="宋体" w:eastAsia="宋体" w:cs="宋体"/>
                <w:sz w:val="24"/>
                <w:szCs w:val="24"/>
              </w:rPr>
            </w:pPr>
            <w:r>
              <w:rPr>
                <w:rFonts w:hint="eastAsia" w:ascii="宋体" w:hAnsi="宋体" w:eastAsia="宋体"/>
              </w:rPr>
              <w:t xml:space="preserve">上海市徐汇区龙田路190号2号楼2层 </w:t>
            </w:r>
          </w:p>
        </w:tc>
      </w:tr>
      <w:tr w14:paraId="38DD8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95A2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790D06F">
            <w:pPr>
              <w:rPr>
                <w:rFonts w:ascii="宋体" w:hAnsi="宋体" w:eastAsia="宋体" w:cs="宋体"/>
                <w:sz w:val="24"/>
                <w:szCs w:val="24"/>
              </w:rPr>
            </w:pPr>
            <w:r>
              <w:rPr>
                <w:rFonts w:hint="eastAsia" w:ascii="宋体" w:hAnsi="宋体" w:eastAsia="宋体"/>
              </w:rPr>
              <w:t xml:space="preserve">上海市徐汇区龙田路195号3C座9楼 </w:t>
            </w:r>
          </w:p>
        </w:tc>
      </w:tr>
      <w:tr w14:paraId="7766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2A184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4D5BC73">
            <w:pPr>
              <w:rPr>
                <w:rFonts w:ascii="宋体" w:hAnsi="宋体" w:eastAsia="宋体" w:cs="宋体"/>
                <w:sz w:val="24"/>
                <w:szCs w:val="24"/>
              </w:rPr>
            </w:pPr>
            <w:r>
              <w:rPr>
                <w:rFonts w:hint="eastAsia" w:ascii="宋体" w:hAnsi="宋体" w:eastAsia="宋体"/>
              </w:rPr>
              <w:t xml:space="preserve">其实 </w:t>
            </w:r>
          </w:p>
        </w:tc>
      </w:tr>
      <w:tr w14:paraId="66581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F770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A56323A">
            <w:pPr>
              <w:rPr>
                <w:rFonts w:ascii="宋体" w:hAnsi="宋体" w:eastAsia="宋体" w:cs="宋体"/>
                <w:sz w:val="24"/>
                <w:szCs w:val="24"/>
              </w:rPr>
            </w:pPr>
            <w:r>
              <w:rPr>
                <w:rFonts w:hint="eastAsia" w:ascii="宋体" w:hAnsi="宋体" w:eastAsia="宋体"/>
              </w:rPr>
              <w:t xml:space="preserve">潘世友 </w:t>
            </w:r>
          </w:p>
        </w:tc>
      </w:tr>
      <w:tr w14:paraId="23D0D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81896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F2CF043">
            <w:pPr>
              <w:rPr>
                <w:rFonts w:ascii="宋体" w:hAnsi="宋体" w:eastAsia="宋体" w:cs="宋体"/>
                <w:sz w:val="24"/>
                <w:szCs w:val="24"/>
              </w:rPr>
            </w:pPr>
            <w:r>
              <w:rPr>
                <w:rFonts w:hint="eastAsia" w:ascii="宋体" w:hAnsi="宋体" w:eastAsia="宋体"/>
              </w:rPr>
              <w:t xml:space="preserve">021-54509998 </w:t>
            </w:r>
          </w:p>
        </w:tc>
      </w:tr>
      <w:tr w14:paraId="01A4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7D3D5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8DCE7CE">
            <w:pPr>
              <w:rPr>
                <w:rFonts w:ascii="宋体" w:hAnsi="宋体" w:eastAsia="宋体" w:cs="宋体"/>
                <w:sz w:val="24"/>
                <w:szCs w:val="24"/>
              </w:rPr>
            </w:pPr>
            <w:r>
              <w:rPr>
                <w:rFonts w:hint="eastAsia" w:ascii="宋体" w:hAnsi="宋体" w:eastAsia="宋体"/>
              </w:rPr>
              <w:t xml:space="preserve">021-64385308 </w:t>
            </w:r>
          </w:p>
        </w:tc>
      </w:tr>
      <w:tr w14:paraId="2F32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A97A8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65F64E">
            <w:pPr>
              <w:rPr>
                <w:rFonts w:ascii="宋体" w:hAnsi="宋体" w:eastAsia="宋体" w:cs="宋体"/>
                <w:sz w:val="24"/>
                <w:szCs w:val="24"/>
              </w:rPr>
            </w:pPr>
            <w:r>
              <w:rPr>
                <w:rFonts w:hint="eastAsia" w:ascii="宋体" w:hAnsi="宋体" w:eastAsia="宋体"/>
              </w:rPr>
              <w:t xml:space="preserve">400-181-8188 </w:t>
            </w:r>
          </w:p>
        </w:tc>
      </w:tr>
      <w:tr w14:paraId="662AA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9F13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6ED28D8">
            <w:pPr>
              <w:rPr>
                <w:rFonts w:ascii="宋体" w:hAnsi="宋体" w:eastAsia="宋体" w:cs="宋体"/>
                <w:sz w:val="24"/>
                <w:szCs w:val="24"/>
              </w:rPr>
            </w:pPr>
            <w:r>
              <w:rPr>
                <w:rFonts w:hint="eastAsia" w:ascii="宋体" w:hAnsi="宋体" w:eastAsia="宋体"/>
              </w:rPr>
              <w:t xml:space="preserve">http://www.1234567.com.cn </w:t>
            </w:r>
          </w:p>
        </w:tc>
      </w:tr>
    </w:tbl>
    <w:p w14:paraId="5442D517">
      <w:pPr>
        <w:pStyle w:val="8"/>
        <w:spacing w:before="0" w:beforeAutospacing="0" w:after="0" w:afterAutospacing="0" w:line="360" w:lineRule="auto"/>
        <w:ind w:firstLine="420"/>
        <w:rPr>
          <w:sz w:val="21"/>
          <w:szCs w:val="21"/>
        </w:rPr>
      </w:pPr>
      <w:r>
        <w:rPr>
          <w:rFonts w:hint="eastAsia"/>
          <w:b/>
          <w:bCs/>
          <w:sz w:val="21"/>
          <w:szCs w:val="21"/>
        </w:rPr>
        <w:t>(7)上海好买基金销售有限公司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52100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42CEF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F05C3E3">
            <w:pPr>
              <w:rPr>
                <w:rFonts w:ascii="宋体" w:hAnsi="宋体" w:eastAsia="宋体" w:cs="宋体"/>
                <w:sz w:val="24"/>
                <w:szCs w:val="24"/>
              </w:rPr>
            </w:pPr>
            <w:r>
              <w:rPr>
                <w:rFonts w:hint="eastAsia" w:ascii="宋体" w:hAnsi="宋体" w:eastAsia="宋体"/>
              </w:rPr>
              <w:t xml:space="preserve">上海市虹口区场中路685弄37号4号楼449室 </w:t>
            </w:r>
          </w:p>
        </w:tc>
      </w:tr>
      <w:tr w14:paraId="20B44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7EBF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DF99CBF">
            <w:pPr>
              <w:rPr>
                <w:rFonts w:ascii="宋体" w:hAnsi="宋体" w:eastAsia="宋体" w:cs="宋体"/>
                <w:sz w:val="24"/>
                <w:szCs w:val="24"/>
              </w:rPr>
            </w:pPr>
            <w:r>
              <w:rPr>
                <w:rFonts w:hint="eastAsia" w:ascii="宋体" w:hAnsi="宋体" w:eastAsia="宋体"/>
              </w:rPr>
              <w:t xml:space="preserve">上海市浦东新区浦东南路1118号鄂尔多斯国际大厦903～906室 </w:t>
            </w:r>
          </w:p>
        </w:tc>
      </w:tr>
      <w:tr w14:paraId="4EB9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F08C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63B7884">
            <w:pPr>
              <w:rPr>
                <w:rFonts w:ascii="宋体" w:hAnsi="宋体" w:eastAsia="宋体" w:cs="宋体"/>
                <w:sz w:val="24"/>
                <w:szCs w:val="24"/>
              </w:rPr>
            </w:pPr>
            <w:r>
              <w:rPr>
                <w:rFonts w:hint="eastAsia" w:ascii="宋体" w:hAnsi="宋体" w:eastAsia="宋体"/>
              </w:rPr>
              <w:t xml:space="preserve">杨文斌 </w:t>
            </w:r>
          </w:p>
        </w:tc>
      </w:tr>
      <w:tr w14:paraId="2D5F6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C7F8B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A104CEF">
            <w:pPr>
              <w:rPr>
                <w:rFonts w:ascii="宋体" w:hAnsi="宋体" w:eastAsia="宋体" w:cs="宋体"/>
                <w:sz w:val="24"/>
                <w:szCs w:val="24"/>
              </w:rPr>
            </w:pPr>
            <w:r>
              <w:rPr>
                <w:rFonts w:hint="eastAsia" w:ascii="宋体" w:hAnsi="宋体" w:eastAsia="宋体"/>
              </w:rPr>
              <w:t xml:space="preserve">张茹 </w:t>
            </w:r>
          </w:p>
        </w:tc>
      </w:tr>
      <w:tr w14:paraId="22949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2F7E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0A57073">
            <w:pPr>
              <w:rPr>
                <w:rFonts w:ascii="宋体" w:hAnsi="宋体" w:eastAsia="宋体" w:cs="宋体"/>
                <w:sz w:val="24"/>
                <w:szCs w:val="24"/>
              </w:rPr>
            </w:pPr>
            <w:r>
              <w:rPr>
                <w:rFonts w:hint="eastAsia" w:ascii="宋体" w:hAnsi="宋体" w:eastAsia="宋体"/>
              </w:rPr>
              <w:t xml:space="preserve">021-20613610 </w:t>
            </w:r>
          </w:p>
        </w:tc>
      </w:tr>
      <w:tr w14:paraId="1DA3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1DFD5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E14F17D">
            <w:pPr>
              <w:rPr>
                <w:rFonts w:ascii="宋体" w:hAnsi="宋体" w:eastAsia="宋体" w:cs="宋体"/>
                <w:sz w:val="24"/>
                <w:szCs w:val="24"/>
              </w:rPr>
            </w:pPr>
            <w:r>
              <w:rPr>
                <w:rFonts w:hint="eastAsia" w:ascii="宋体" w:hAnsi="宋体" w:eastAsia="宋体"/>
              </w:rPr>
              <w:t xml:space="preserve">400-700-9665 </w:t>
            </w:r>
          </w:p>
        </w:tc>
      </w:tr>
      <w:tr w14:paraId="42B54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DF5F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C232036">
            <w:pPr>
              <w:rPr>
                <w:rFonts w:ascii="宋体" w:hAnsi="宋体" w:eastAsia="宋体" w:cs="宋体"/>
                <w:sz w:val="24"/>
                <w:szCs w:val="24"/>
              </w:rPr>
            </w:pPr>
            <w:r>
              <w:rPr>
                <w:rFonts w:hint="eastAsia" w:ascii="宋体" w:hAnsi="宋体" w:eastAsia="宋体"/>
              </w:rPr>
              <w:t xml:space="preserve">http://www.howbuy.com </w:t>
            </w:r>
          </w:p>
        </w:tc>
      </w:tr>
    </w:tbl>
    <w:p w14:paraId="4D2B835B">
      <w:pPr>
        <w:pStyle w:val="8"/>
        <w:spacing w:before="0" w:beforeAutospacing="0" w:after="0" w:afterAutospacing="0" w:line="360" w:lineRule="auto"/>
        <w:ind w:firstLine="420"/>
        <w:rPr>
          <w:sz w:val="21"/>
          <w:szCs w:val="21"/>
        </w:rPr>
      </w:pPr>
      <w:r>
        <w:rPr>
          <w:rFonts w:hint="eastAsia"/>
          <w:b/>
          <w:bCs/>
          <w:sz w:val="21"/>
          <w:szCs w:val="21"/>
        </w:rPr>
        <w:t>(8)蚂蚁（杭州）基金销售有限公司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F968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CE230B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250B796">
            <w:pPr>
              <w:rPr>
                <w:rFonts w:ascii="宋体" w:hAnsi="宋体" w:eastAsia="宋体" w:cs="宋体"/>
                <w:sz w:val="24"/>
                <w:szCs w:val="24"/>
              </w:rPr>
            </w:pPr>
            <w:r>
              <w:rPr>
                <w:rFonts w:hint="eastAsia" w:ascii="宋体" w:hAnsi="宋体" w:eastAsia="宋体"/>
              </w:rPr>
              <w:t xml:space="preserve">浙江省杭州市余杭区五常街道文一西路969号3幢5层599室 </w:t>
            </w:r>
          </w:p>
        </w:tc>
      </w:tr>
      <w:tr w14:paraId="45401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52A6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5D3CA10">
            <w:pPr>
              <w:rPr>
                <w:rFonts w:ascii="宋体" w:hAnsi="宋体" w:eastAsia="宋体" w:cs="宋体"/>
                <w:sz w:val="24"/>
                <w:szCs w:val="24"/>
              </w:rPr>
            </w:pPr>
            <w:r>
              <w:rPr>
                <w:rFonts w:hint="eastAsia" w:ascii="宋体" w:hAnsi="宋体" w:eastAsia="宋体"/>
              </w:rPr>
              <w:t xml:space="preserve">浙江省杭州市西湖区西溪路556号 </w:t>
            </w:r>
          </w:p>
        </w:tc>
      </w:tr>
      <w:tr w14:paraId="669F5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F9DE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544EEAF">
            <w:pPr>
              <w:rPr>
                <w:rFonts w:ascii="宋体" w:hAnsi="宋体" w:eastAsia="宋体" w:cs="宋体"/>
                <w:sz w:val="24"/>
                <w:szCs w:val="24"/>
              </w:rPr>
            </w:pPr>
            <w:r>
              <w:rPr>
                <w:rFonts w:hint="eastAsia" w:ascii="宋体" w:hAnsi="宋体" w:eastAsia="宋体"/>
              </w:rPr>
              <w:t xml:space="preserve">王珺 </w:t>
            </w:r>
          </w:p>
        </w:tc>
      </w:tr>
      <w:tr w14:paraId="4BB25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332C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742CFA2">
            <w:pPr>
              <w:rPr>
                <w:rFonts w:ascii="宋体" w:hAnsi="宋体" w:eastAsia="宋体" w:cs="宋体"/>
                <w:sz w:val="24"/>
                <w:szCs w:val="24"/>
              </w:rPr>
            </w:pPr>
            <w:r>
              <w:rPr>
                <w:rFonts w:hint="eastAsia" w:ascii="宋体" w:hAnsi="宋体" w:eastAsia="宋体"/>
              </w:rPr>
              <w:t xml:space="preserve">韩爱彬 </w:t>
            </w:r>
          </w:p>
        </w:tc>
      </w:tr>
      <w:tr w14:paraId="28A83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74C94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0FC6DA5">
            <w:pPr>
              <w:rPr>
                <w:rFonts w:ascii="宋体" w:hAnsi="宋体" w:eastAsia="宋体" w:cs="宋体"/>
                <w:sz w:val="24"/>
                <w:szCs w:val="24"/>
              </w:rPr>
            </w:pPr>
            <w:r>
              <w:rPr>
                <w:rFonts w:hint="eastAsia" w:ascii="宋体" w:hAnsi="宋体" w:eastAsia="宋体"/>
              </w:rPr>
              <w:t xml:space="preserve">021-60897840 </w:t>
            </w:r>
          </w:p>
        </w:tc>
      </w:tr>
      <w:tr w14:paraId="7599C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553F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2510E2B">
            <w:pPr>
              <w:rPr>
                <w:rFonts w:ascii="宋体" w:hAnsi="宋体" w:eastAsia="宋体" w:cs="宋体"/>
                <w:sz w:val="24"/>
                <w:szCs w:val="24"/>
              </w:rPr>
            </w:pPr>
            <w:r>
              <w:rPr>
                <w:rFonts w:hint="eastAsia" w:ascii="宋体" w:hAnsi="宋体" w:eastAsia="宋体"/>
              </w:rPr>
              <w:t xml:space="preserve">0571-26697013 </w:t>
            </w:r>
          </w:p>
        </w:tc>
      </w:tr>
      <w:tr w14:paraId="4CAE1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1DAD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CAA9C2">
            <w:pPr>
              <w:rPr>
                <w:rFonts w:ascii="宋体" w:hAnsi="宋体" w:eastAsia="宋体" w:cs="宋体"/>
                <w:sz w:val="24"/>
                <w:szCs w:val="24"/>
              </w:rPr>
            </w:pPr>
            <w:r>
              <w:rPr>
                <w:rFonts w:hint="eastAsia" w:ascii="宋体" w:hAnsi="宋体" w:eastAsia="宋体"/>
              </w:rPr>
              <w:t xml:space="preserve">95188-8 </w:t>
            </w:r>
          </w:p>
        </w:tc>
      </w:tr>
      <w:tr w14:paraId="4B0C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717A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C417B06">
            <w:pPr>
              <w:rPr>
                <w:rFonts w:ascii="宋体" w:hAnsi="宋体" w:eastAsia="宋体" w:cs="宋体"/>
                <w:sz w:val="24"/>
                <w:szCs w:val="24"/>
              </w:rPr>
            </w:pPr>
            <w:r>
              <w:rPr>
                <w:rFonts w:hint="eastAsia" w:ascii="宋体" w:hAnsi="宋体" w:eastAsia="宋体"/>
              </w:rPr>
              <w:t xml:space="preserve">http://www.fund123.cn </w:t>
            </w:r>
          </w:p>
        </w:tc>
      </w:tr>
    </w:tbl>
    <w:p w14:paraId="4ECC6192">
      <w:pPr>
        <w:pStyle w:val="8"/>
        <w:spacing w:before="0" w:beforeAutospacing="0" w:after="0" w:afterAutospacing="0" w:line="360" w:lineRule="auto"/>
        <w:ind w:firstLine="420"/>
        <w:rPr>
          <w:sz w:val="21"/>
          <w:szCs w:val="21"/>
        </w:rPr>
      </w:pPr>
      <w:r>
        <w:rPr>
          <w:rFonts w:hint="eastAsia"/>
          <w:b/>
          <w:bCs/>
          <w:sz w:val="21"/>
          <w:szCs w:val="21"/>
        </w:rPr>
        <w:t>(9)浙江同花顺基金销售有限公司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CDD7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A9F5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EB3AF5B">
            <w:pPr>
              <w:rPr>
                <w:rFonts w:ascii="宋体" w:hAnsi="宋体" w:eastAsia="宋体" w:cs="宋体"/>
                <w:sz w:val="24"/>
                <w:szCs w:val="24"/>
              </w:rPr>
            </w:pPr>
            <w:r>
              <w:rPr>
                <w:rFonts w:hint="eastAsia" w:ascii="宋体" w:hAnsi="宋体" w:eastAsia="宋体"/>
              </w:rPr>
              <w:t xml:space="preserve">杭州市西湖区文二西路1号元茂大厦903室 </w:t>
            </w:r>
          </w:p>
        </w:tc>
      </w:tr>
      <w:tr w14:paraId="10895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86963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139E33A">
            <w:pPr>
              <w:rPr>
                <w:rFonts w:ascii="宋体" w:hAnsi="宋体" w:eastAsia="宋体" w:cs="宋体"/>
                <w:sz w:val="24"/>
                <w:szCs w:val="24"/>
              </w:rPr>
            </w:pPr>
            <w:r>
              <w:rPr>
                <w:rFonts w:hint="eastAsia" w:ascii="宋体" w:hAnsi="宋体" w:eastAsia="宋体"/>
              </w:rPr>
              <w:t xml:space="preserve">浙江省杭州市余杭区五常街道同顺街18号同花顺大楼 </w:t>
            </w:r>
          </w:p>
        </w:tc>
      </w:tr>
      <w:tr w14:paraId="7B335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831D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E534F2">
            <w:pPr>
              <w:rPr>
                <w:rFonts w:ascii="宋体" w:hAnsi="宋体" w:eastAsia="宋体" w:cs="宋体"/>
                <w:sz w:val="24"/>
                <w:szCs w:val="24"/>
              </w:rPr>
            </w:pPr>
            <w:r>
              <w:rPr>
                <w:rFonts w:hint="eastAsia" w:ascii="宋体" w:hAnsi="宋体" w:eastAsia="宋体"/>
              </w:rPr>
              <w:t xml:space="preserve">凌顺平 </w:t>
            </w:r>
          </w:p>
        </w:tc>
      </w:tr>
      <w:tr w14:paraId="78C1D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69285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2FF2B9A">
            <w:pPr>
              <w:rPr>
                <w:rFonts w:ascii="宋体" w:hAnsi="宋体" w:eastAsia="宋体" w:cs="宋体"/>
                <w:sz w:val="24"/>
                <w:szCs w:val="24"/>
              </w:rPr>
            </w:pPr>
            <w:r>
              <w:rPr>
                <w:rFonts w:hint="eastAsia" w:ascii="宋体" w:hAnsi="宋体" w:eastAsia="宋体"/>
              </w:rPr>
              <w:t xml:space="preserve">吴杰 </w:t>
            </w:r>
          </w:p>
        </w:tc>
      </w:tr>
      <w:tr w14:paraId="77127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C7B47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C88281C">
            <w:pPr>
              <w:rPr>
                <w:rFonts w:ascii="宋体" w:hAnsi="宋体" w:eastAsia="宋体" w:cs="宋体"/>
                <w:sz w:val="24"/>
                <w:szCs w:val="24"/>
              </w:rPr>
            </w:pPr>
            <w:r>
              <w:rPr>
                <w:rFonts w:hint="eastAsia" w:ascii="宋体" w:hAnsi="宋体" w:eastAsia="宋体"/>
              </w:rPr>
              <w:t xml:space="preserve">0571-88911818 </w:t>
            </w:r>
          </w:p>
        </w:tc>
      </w:tr>
      <w:tr w14:paraId="7F72E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F57FB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E902631">
            <w:pPr>
              <w:rPr>
                <w:rFonts w:ascii="宋体" w:hAnsi="宋体" w:eastAsia="宋体" w:cs="宋体"/>
                <w:sz w:val="24"/>
                <w:szCs w:val="24"/>
              </w:rPr>
            </w:pPr>
            <w:r>
              <w:rPr>
                <w:rFonts w:hint="eastAsia" w:ascii="宋体" w:hAnsi="宋体" w:eastAsia="宋体"/>
              </w:rPr>
              <w:t xml:space="preserve">0571-86800423 </w:t>
            </w:r>
          </w:p>
        </w:tc>
      </w:tr>
      <w:tr w14:paraId="7490C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61D05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92B9DFC">
            <w:pPr>
              <w:rPr>
                <w:rFonts w:ascii="宋体" w:hAnsi="宋体" w:eastAsia="宋体" w:cs="宋体"/>
                <w:sz w:val="24"/>
                <w:szCs w:val="24"/>
              </w:rPr>
            </w:pPr>
            <w:r>
              <w:rPr>
                <w:rFonts w:hint="eastAsia" w:ascii="宋体" w:hAnsi="宋体" w:eastAsia="宋体"/>
              </w:rPr>
              <w:t xml:space="preserve">952555 </w:t>
            </w:r>
          </w:p>
        </w:tc>
      </w:tr>
      <w:tr w14:paraId="67E4E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269B6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2B85FFE">
            <w:pPr>
              <w:rPr>
                <w:rFonts w:ascii="宋体" w:hAnsi="宋体" w:eastAsia="宋体" w:cs="宋体"/>
                <w:sz w:val="24"/>
                <w:szCs w:val="24"/>
              </w:rPr>
            </w:pPr>
            <w:r>
              <w:rPr>
                <w:rFonts w:hint="eastAsia" w:ascii="宋体" w:hAnsi="宋体" w:eastAsia="宋体"/>
              </w:rPr>
              <w:t xml:space="preserve">www.5ifund.com </w:t>
            </w:r>
          </w:p>
        </w:tc>
      </w:tr>
    </w:tbl>
    <w:p w14:paraId="4DBCDCA0">
      <w:pPr>
        <w:pStyle w:val="8"/>
        <w:spacing w:before="0" w:beforeAutospacing="0" w:after="0" w:afterAutospacing="0" w:line="360" w:lineRule="auto"/>
        <w:ind w:firstLine="420"/>
        <w:rPr>
          <w:sz w:val="21"/>
          <w:szCs w:val="21"/>
        </w:rPr>
      </w:pPr>
      <w:r>
        <w:rPr>
          <w:rFonts w:hint="eastAsia"/>
          <w:b/>
          <w:bCs/>
          <w:sz w:val="21"/>
          <w:szCs w:val="21"/>
        </w:rPr>
        <w:t>(10)华源证券股份有限公司（鑫理财）</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C723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82BFE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A963D24">
            <w:pPr>
              <w:rPr>
                <w:rFonts w:ascii="宋体" w:hAnsi="宋体" w:eastAsia="宋体" w:cs="宋体"/>
                <w:sz w:val="24"/>
                <w:szCs w:val="24"/>
              </w:rPr>
            </w:pPr>
            <w:r>
              <w:rPr>
                <w:rFonts w:hint="eastAsia" w:ascii="宋体" w:hAnsi="宋体" w:eastAsia="宋体"/>
              </w:rPr>
              <w:t xml:space="preserve">青海省西宁市南川工业园区创业路108号 </w:t>
            </w:r>
          </w:p>
        </w:tc>
      </w:tr>
      <w:tr w14:paraId="2FDC8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233D4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FA41DC3">
            <w:pPr>
              <w:rPr>
                <w:rFonts w:ascii="宋体" w:hAnsi="宋体" w:eastAsia="宋体" w:cs="宋体"/>
                <w:sz w:val="24"/>
                <w:szCs w:val="24"/>
              </w:rPr>
            </w:pPr>
            <w:r>
              <w:rPr>
                <w:rFonts w:hint="eastAsia" w:ascii="宋体" w:hAnsi="宋体" w:eastAsia="宋体"/>
              </w:rPr>
              <w:t xml:space="preserve">湖北省武汉市江汉区万松街道青年路278号中海中心32F-34F  </w:t>
            </w:r>
          </w:p>
        </w:tc>
      </w:tr>
      <w:tr w14:paraId="499FB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A1223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6A7CAE9">
            <w:pPr>
              <w:rPr>
                <w:rFonts w:ascii="宋体" w:hAnsi="宋体" w:eastAsia="宋体" w:cs="宋体"/>
                <w:sz w:val="24"/>
                <w:szCs w:val="24"/>
              </w:rPr>
            </w:pPr>
            <w:r>
              <w:rPr>
                <w:rFonts w:hint="eastAsia" w:ascii="宋体" w:hAnsi="宋体" w:eastAsia="宋体"/>
              </w:rPr>
              <w:t xml:space="preserve">邓晖 </w:t>
            </w:r>
          </w:p>
        </w:tc>
      </w:tr>
      <w:tr w14:paraId="293D1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64EA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76CA9C8">
            <w:pPr>
              <w:rPr>
                <w:rFonts w:ascii="宋体" w:hAnsi="宋体" w:eastAsia="宋体" w:cs="宋体"/>
                <w:sz w:val="24"/>
                <w:szCs w:val="24"/>
              </w:rPr>
            </w:pPr>
            <w:r>
              <w:rPr>
                <w:rFonts w:hint="eastAsia" w:ascii="宋体" w:hAnsi="宋体" w:eastAsia="宋体"/>
              </w:rPr>
              <w:t xml:space="preserve">丛瑞丰 </w:t>
            </w:r>
          </w:p>
        </w:tc>
      </w:tr>
      <w:tr w14:paraId="31619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5874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107843E">
            <w:pPr>
              <w:rPr>
                <w:rFonts w:ascii="宋体" w:hAnsi="宋体" w:eastAsia="宋体" w:cs="宋体"/>
                <w:sz w:val="24"/>
                <w:szCs w:val="24"/>
              </w:rPr>
            </w:pPr>
            <w:r>
              <w:rPr>
                <w:rFonts w:hint="eastAsia" w:ascii="宋体" w:hAnsi="宋体" w:eastAsia="宋体"/>
              </w:rPr>
              <w:t xml:space="preserve">15069421014 </w:t>
            </w:r>
          </w:p>
        </w:tc>
      </w:tr>
      <w:tr w14:paraId="7F319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0B97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5AB4867">
            <w:pPr>
              <w:rPr>
                <w:rFonts w:ascii="宋体" w:hAnsi="宋体" w:eastAsia="宋体" w:cs="宋体"/>
                <w:sz w:val="24"/>
                <w:szCs w:val="24"/>
              </w:rPr>
            </w:pPr>
            <w:r>
              <w:rPr>
                <w:rFonts w:hint="eastAsia" w:ascii="宋体" w:hAnsi="宋体" w:eastAsia="宋体"/>
              </w:rPr>
              <w:t xml:space="preserve">- </w:t>
            </w:r>
          </w:p>
        </w:tc>
      </w:tr>
      <w:tr w14:paraId="13C69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3BE7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8040327">
            <w:pPr>
              <w:rPr>
                <w:rFonts w:ascii="宋体" w:hAnsi="宋体" w:eastAsia="宋体" w:cs="宋体"/>
                <w:sz w:val="24"/>
                <w:szCs w:val="24"/>
              </w:rPr>
            </w:pPr>
            <w:r>
              <w:rPr>
                <w:rFonts w:hint="eastAsia" w:ascii="宋体" w:hAnsi="宋体" w:eastAsia="宋体"/>
              </w:rPr>
              <w:t xml:space="preserve">95305 </w:t>
            </w:r>
          </w:p>
        </w:tc>
      </w:tr>
      <w:tr w14:paraId="349DF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8C6BD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BA37C1">
            <w:pPr>
              <w:rPr>
                <w:rFonts w:ascii="宋体" w:hAnsi="宋体" w:eastAsia="宋体" w:cs="宋体"/>
                <w:sz w:val="24"/>
                <w:szCs w:val="24"/>
              </w:rPr>
            </w:pPr>
            <w:r>
              <w:rPr>
                <w:rFonts w:hint="eastAsia" w:ascii="宋体" w:hAnsi="宋体" w:eastAsia="宋体"/>
              </w:rPr>
              <w:t xml:space="preserve">www.huayuanstock.com </w:t>
            </w:r>
          </w:p>
        </w:tc>
      </w:tr>
    </w:tbl>
    <w:p w14:paraId="7C36F768">
      <w:pPr>
        <w:pStyle w:val="8"/>
        <w:spacing w:before="0" w:beforeAutospacing="0" w:after="0" w:afterAutospacing="0" w:line="360" w:lineRule="auto"/>
        <w:ind w:firstLine="420"/>
        <w:rPr>
          <w:sz w:val="21"/>
          <w:szCs w:val="21"/>
        </w:rPr>
      </w:pPr>
      <w:r>
        <w:rPr>
          <w:rFonts w:hint="eastAsia"/>
          <w:b/>
          <w:bCs/>
          <w:sz w:val="21"/>
          <w:szCs w:val="21"/>
        </w:rPr>
        <w:t>(11)北京汇成基金销售有限公司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6B91F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82DA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8DA3436">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7B239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59CBB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99ED95">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3A391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2325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2C7F076">
            <w:pPr>
              <w:rPr>
                <w:rFonts w:ascii="宋体" w:hAnsi="宋体" w:eastAsia="宋体" w:cs="宋体"/>
                <w:sz w:val="24"/>
                <w:szCs w:val="24"/>
              </w:rPr>
            </w:pPr>
            <w:r>
              <w:rPr>
                <w:rFonts w:hint="eastAsia" w:ascii="宋体" w:hAnsi="宋体" w:eastAsia="宋体"/>
              </w:rPr>
              <w:t xml:space="preserve">王伟刚 </w:t>
            </w:r>
          </w:p>
        </w:tc>
      </w:tr>
      <w:tr w14:paraId="7C622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CFD3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4C4A290">
            <w:pPr>
              <w:rPr>
                <w:rFonts w:ascii="宋体" w:hAnsi="宋体" w:eastAsia="宋体" w:cs="宋体"/>
                <w:sz w:val="24"/>
                <w:szCs w:val="24"/>
              </w:rPr>
            </w:pPr>
            <w:r>
              <w:rPr>
                <w:rFonts w:hint="eastAsia" w:ascii="宋体" w:hAnsi="宋体" w:eastAsia="宋体"/>
              </w:rPr>
              <w:t xml:space="preserve">丁向坤 </w:t>
            </w:r>
          </w:p>
        </w:tc>
      </w:tr>
      <w:tr w14:paraId="4B556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1504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CB112DF">
            <w:pPr>
              <w:rPr>
                <w:rFonts w:ascii="宋体" w:hAnsi="宋体" w:eastAsia="宋体" w:cs="宋体"/>
                <w:sz w:val="24"/>
                <w:szCs w:val="24"/>
              </w:rPr>
            </w:pPr>
            <w:r>
              <w:rPr>
                <w:rFonts w:hint="eastAsia" w:ascii="宋体" w:hAnsi="宋体" w:eastAsia="宋体"/>
              </w:rPr>
              <w:t xml:space="preserve">010-56282140 </w:t>
            </w:r>
          </w:p>
        </w:tc>
      </w:tr>
      <w:tr w14:paraId="2E5B2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7FBE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57BD77C">
            <w:pPr>
              <w:rPr>
                <w:rFonts w:ascii="宋体" w:hAnsi="宋体" w:eastAsia="宋体" w:cs="宋体"/>
                <w:sz w:val="24"/>
                <w:szCs w:val="24"/>
              </w:rPr>
            </w:pPr>
            <w:r>
              <w:rPr>
                <w:rFonts w:hint="eastAsia" w:ascii="宋体" w:hAnsi="宋体" w:eastAsia="宋体"/>
              </w:rPr>
              <w:t xml:space="preserve">010-62680827 </w:t>
            </w:r>
          </w:p>
        </w:tc>
      </w:tr>
      <w:tr w14:paraId="32D1A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FB3E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9AEC5A">
            <w:pPr>
              <w:rPr>
                <w:rFonts w:ascii="宋体" w:hAnsi="宋体" w:eastAsia="宋体" w:cs="宋体"/>
                <w:sz w:val="24"/>
                <w:szCs w:val="24"/>
              </w:rPr>
            </w:pPr>
            <w:r>
              <w:rPr>
                <w:rFonts w:hint="eastAsia" w:ascii="宋体" w:hAnsi="宋体" w:eastAsia="宋体"/>
              </w:rPr>
              <w:t xml:space="preserve">010-63158805 </w:t>
            </w:r>
          </w:p>
        </w:tc>
      </w:tr>
      <w:tr w14:paraId="7E5E1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D381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FFFF903">
            <w:pPr>
              <w:rPr>
                <w:rFonts w:ascii="宋体" w:hAnsi="宋体" w:eastAsia="宋体" w:cs="宋体"/>
                <w:sz w:val="24"/>
                <w:szCs w:val="24"/>
              </w:rPr>
            </w:pPr>
            <w:r>
              <w:rPr>
                <w:rFonts w:hint="eastAsia" w:ascii="宋体" w:hAnsi="宋体" w:eastAsia="宋体"/>
              </w:rPr>
              <w:t xml:space="preserve">www.hcfunds.com </w:t>
            </w:r>
          </w:p>
        </w:tc>
      </w:tr>
    </w:tbl>
    <w:p w14:paraId="6A38262D">
      <w:pPr>
        <w:pStyle w:val="8"/>
        <w:spacing w:before="0" w:beforeAutospacing="0" w:after="0" w:afterAutospacing="0" w:line="360" w:lineRule="auto"/>
        <w:ind w:firstLine="420"/>
        <w:rPr>
          <w:sz w:val="21"/>
          <w:szCs w:val="21"/>
        </w:rPr>
      </w:pPr>
      <w:r>
        <w:rPr>
          <w:rFonts w:hint="eastAsia"/>
          <w:b/>
          <w:bCs/>
          <w:sz w:val="21"/>
          <w:szCs w:val="21"/>
        </w:rPr>
        <w:t>(12)北京钱景基金销售有限公司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25706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563B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E270158">
            <w:pPr>
              <w:rPr>
                <w:rFonts w:ascii="宋体" w:hAnsi="宋体" w:eastAsia="宋体" w:cs="宋体"/>
                <w:sz w:val="24"/>
                <w:szCs w:val="24"/>
              </w:rPr>
            </w:pPr>
            <w:r>
              <w:rPr>
                <w:rFonts w:hint="eastAsia" w:ascii="宋体" w:hAnsi="宋体" w:eastAsia="宋体"/>
              </w:rPr>
              <w:t xml:space="preserve">北京市海淀区丹棱街6号1幢9层1008-1012 </w:t>
            </w:r>
          </w:p>
        </w:tc>
      </w:tr>
      <w:tr w14:paraId="7BCE8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98B3B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6F2C99C">
            <w:pPr>
              <w:rPr>
                <w:rFonts w:ascii="宋体" w:hAnsi="宋体" w:eastAsia="宋体" w:cs="宋体"/>
                <w:sz w:val="24"/>
                <w:szCs w:val="24"/>
              </w:rPr>
            </w:pPr>
            <w:r>
              <w:rPr>
                <w:rFonts w:hint="eastAsia" w:ascii="宋体" w:hAnsi="宋体" w:eastAsia="宋体"/>
              </w:rPr>
              <w:t xml:space="preserve">北京市海淀区丹棱街6号1幢9层1008-1012 </w:t>
            </w:r>
          </w:p>
        </w:tc>
      </w:tr>
      <w:tr w14:paraId="5CFC2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8518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9FAC044">
            <w:pPr>
              <w:rPr>
                <w:rFonts w:ascii="宋体" w:hAnsi="宋体" w:eastAsia="宋体" w:cs="宋体"/>
                <w:sz w:val="24"/>
                <w:szCs w:val="24"/>
              </w:rPr>
            </w:pPr>
            <w:r>
              <w:rPr>
                <w:rFonts w:hint="eastAsia" w:ascii="宋体" w:hAnsi="宋体" w:eastAsia="宋体"/>
              </w:rPr>
              <w:t xml:space="preserve">赵荣春 </w:t>
            </w:r>
          </w:p>
        </w:tc>
      </w:tr>
      <w:tr w14:paraId="62965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E8473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034F8E4">
            <w:pPr>
              <w:rPr>
                <w:rFonts w:ascii="宋体" w:hAnsi="宋体" w:eastAsia="宋体" w:cs="宋体"/>
                <w:sz w:val="24"/>
                <w:szCs w:val="24"/>
              </w:rPr>
            </w:pPr>
            <w:r>
              <w:rPr>
                <w:rFonts w:hint="eastAsia" w:ascii="宋体" w:hAnsi="宋体" w:eastAsia="宋体"/>
              </w:rPr>
              <w:t xml:space="preserve">魏争 </w:t>
            </w:r>
          </w:p>
        </w:tc>
      </w:tr>
      <w:tr w14:paraId="5FA4E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1696F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A75A250">
            <w:pPr>
              <w:rPr>
                <w:rFonts w:ascii="宋体" w:hAnsi="宋体" w:eastAsia="宋体" w:cs="宋体"/>
                <w:sz w:val="24"/>
                <w:szCs w:val="24"/>
              </w:rPr>
            </w:pPr>
            <w:r>
              <w:rPr>
                <w:rFonts w:hint="eastAsia" w:ascii="宋体" w:hAnsi="宋体" w:eastAsia="宋体"/>
              </w:rPr>
              <w:t xml:space="preserve">010-57418829 </w:t>
            </w:r>
          </w:p>
        </w:tc>
      </w:tr>
      <w:tr w14:paraId="06FE2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DCFB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56FA261">
            <w:pPr>
              <w:rPr>
                <w:rFonts w:ascii="宋体" w:hAnsi="宋体" w:eastAsia="宋体" w:cs="宋体"/>
                <w:sz w:val="24"/>
                <w:szCs w:val="24"/>
              </w:rPr>
            </w:pPr>
            <w:r>
              <w:rPr>
                <w:rFonts w:hint="eastAsia" w:ascii="宋体" w:hAnsi="宋体" w:eastAsia="宋体"/>
              </w:rPr>
              <w:t xml:space="preserve">010-57569671 </w:t>
            </w:r>
          </w:p>
        </w:tc>
      </w:tr>
      <w:tr w14:paraId="1D256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0C95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B2A9E91">
            <w:pPr>
              <w:rPr>
                <w:rFonts w:ascii="宋体" w:hAnsi="宋体" w:eastAsia="宋体" w:cs="宋体"/>
                <w:sz w:val="24"/>
                <w:szCs w:val="24"/>
              </w:rPr>
            </w:pPr>
            <w:r>
              <w:rPr>
                <w:rFonts w:hint="eastAsia" w:ascii="宋体" w:hAnsi="宋体" w:eastAsia="宋体"/>
              </w:rPr>
              <w:t xml:space="preserve">400-893-6885 </w:t>
            </w:r>
          </w:p>
        </w:tc>
      </w:tr>
      <w:tr w14:paraId="37F57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DBF10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D914F1">
            <w:pPr>
              <w:rPr>
                <w:rFonts w:ascii="宋体" w:hAnsi="宋体" w:eastAsia="宋体" w:cs="宋体"/>
                <w:sz w:val="24"/>
                <w:szCs w:val="24"/>
              </w:rPr>
            </w:pPr>
            <w:r>
              <w:rPr>
                <w:rFonts w:hint="eastAsia" w:ascii="宋体" w:hAnsi="宋体" w:eastAsia="宋体"/>
              </w:rPr>
              <w:t xml:space="preserve">www.qianjing.com </w:t>
            </w:r>
          </w:p>
        </w:tc>
      </w:tr>
    </w:tbl>
    <w:p w14:paraId="64344F8B">
      <w:pPr>
        <w:pStyle w:val="8"/>
        <w:spacing w:before="0" w:beforeAutospacing="0" w:after="0" w:afterAutospacing="0" w:line="360" w:lineRule="auto"/>
        <w:ind w:firstLine="420"/>
        <w:rPr>
          <w:sz w:val="21"/>
          <w:szCs w:val="21"/>
        </w:rPr>
      </w:pPr>
      <w:r>
        <w:rPr>
          <w:rFonts w:hint="eastAsia"/>
          <w:b/>
          <w:bCs/>
          <w:sz w:val="21"/>
          <w:szCs w:val="21"/>
        </w:rPr>
        <w:t>(13)上海基煜基金销售有限公司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D4E8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90B1DB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C8CEAFE">
            <w:pPr>
              <w:rPr>
                <w:rFonts w:ascii="宋体" w:hAnsi="宋体" w:eastAsia="宋体" w:cs="宋体"/>
                <w:sz w:val="24"/>
                <w:szCs w:val="24"/>
              </w:rPr>
            </w:pPr>
            <w:r>
              <w:rPr>
                <w:rFonts w:hint="eastAsia" w:ascii="宋体" w:hAnsi="宋体" w:eastAsia="宋体"/>
              </w:rPr>
              <w:t xml:space="preserve">上海市黄浦区广东路500号30层3001单元 </w:t>
            </w:r>
          </w:p>
        </w:tc>
      </w:tr>
      <w:tr w14:paraId="2108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E4F2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06F29B">
            <w:pPr>
              <w:rPr>
                <w:rFonts w:ascii="宋体" w:hAnsi="宋体" w:eastAsia="宋体" w:cs="宋体"/>
                <w:sz w:val="24"/>
                <w:szCs w:val="24"/>
              </w:rPr>
            </w:pPr>
            <w:r>
              <w:rPr>
                <w:rFonts w:hint="eastAsia" w:ascii="宋体" w:hAnsi="宋体" w:eastAsia="宋体"/>
              </w:rPr>
              <w:t xml:space="preserve">上海市浦东新区银城中路488号太平金融大厦1503室 </w:t>
            </w:r>
          </w:p>
        </w:tc>
      </w:tr>
      <w:tr w14:paraId="49C0E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322DC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0867B9D">
            <w:pPr>
              <w:rPr>
                <w:rFonts w:ascii="宋体" w:hAnsi="宋体" w:eastAsia="宋体" w:cs="宋体"/>
                <w:sz w:val="24"/>
                <w:szCs w:val="24"/>
              </w:rPr>
            </w:pPr>
            <w:r>
              <w:rPr>
                <w:rFonts w:hint="eastAsia" w:ascii="宋体" w:hAnsi="宋体" w:eastAsia="宋体"/>
              </w:rPr>
              <w:t xml:space="preserve">王翔  </w:t>
            </w:r>
          </w:p>
        </w:tc>
      </w:tr>
      <w:tr w14:paraId="526C3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BC93D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0D1BB33">
            <w:pPr>
              <w:rPr>
                <w:rFonts w:ascii="宋体" w:hAnsi="宋体" w:eastAsia="宋体" w:cs="宋体"/>
                <w:sz w:val="24"/>
                <w:szCs w:val="24"/>
              </w:rPr>
            </w:pPr>
            <w:r>
              <w:rPr>
                <w:rFonts w:hint="eastAsia" w:ascii="宋体" w:hAnsi="宋体" w:eastAsia="宋体"/>
              </w:rPr>
              <w:t xml:space="preserve">蓝杰 </w:t>
            </w:r>
          </w:p>
        </w:tc>
      </w:tr>
      <w:tr w14:paraId="7A213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D8A4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9227949">
            <w:pPr>
              <w:rPr>
                <w:rFonts w:ascii="宋体" w:hAnsi="宋体" w:eastAsia="宋体" w:cs="宋体"/>
                <w:sz w:val="24"/>
                <w:szCs w:val="24"/>
              </w:rPr>
            </w:pPr>
            <w:r>
              <w:rPr>
                <w:rFonts w:hint="eastAsia" w:ascii="宋体" w:hAnsi="宋体" w:eastAsia="宋体"/>
              </w:rPr>
              <w:t xml:space="preserve">021-65370077 </w:t>
            </w:r>
          </w:p>
        </w:tc>
      </w:tr>
      <w:tr w14:paraId="0551A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288E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129B33F">
            <w:pPr>
              <w:rPr>
                <w:rFonts w:ascii="宋体" w:hAnsi="宋体" w:eastAsia="宋体" w:cs="宋体"/>
                <w:sz w:val="24"/>
                <w:szCs w:val="24"/>
              </w:rPr>
            </w:pPr>
            <w:r>
              <w:rPr>
                <w:rFonts w:hint="eastAsia" w:ascii="宋体" w:hAnsi="宋体" w:eastAsia="宋体"/>
              </w:rPr>
              <w:t xml:space="preserve">021-55085991 </w:t>
            </w:r>
          </w:p>
        </w:tc>
      </w:tr>
      <w:tr w14:paraId="0FBAF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3A0E7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E008BB3">
            <w:pPr>
              <w:rPr>
                <w:rFonts w:ascii="宋体" w:hAnsi="宋体" w:eastAsia="宋体" w:cs="宋体"/>
                <w:sz w:val="24"/>
                <w:szCs w:val="24"/>
              </w:rPr>
            </w:pPr>
            <w:r>
              <w:rPr>
                <w:rFonts w:hint="eastAsia" w:ascii="宋体" w:hAnsi="宋体" w:eastAsia="宋体"/>
              </w:rPr>
              <w:t xml:space="preserve">400-820-5369 </w:t>
            </w:r>
          </w:p>
        </w:tc>
      </w:tr>
      <w:tr w14:paraId="52ED4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CCD5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918EFCE">
            <w:pPr>
              <w:rPr>
                <w:rFonts w:ascii="宋体" w:hAnsi="宋体" w:eastAsia="宋体" w:cs="宋体"/>
                <w:sz w:val="24"/>
                <w:szCs w:val="24"/>
              </w:rPr>
            </w:pPr>
            <w:r>
              <w:rPr>
                <w:rFonts w:hint="eastAsia" w:ascii="宋体" w:hAnsi="宋体" w:eastAsia="宋体"/>
              </w:rPr>
              <w:t xml:space="preserve">www.jiyufund.com.cn </w:t>
            </w:r>
          </w:p>
        </w:tc>
      </w:tr>
    </w:tbl>
    <w:p w14:paraId="261A9C8E">
      <w:pPr>
        <w:pStyle w:val="8"/>
        <w:spacing w:before="0" w:beforeAutospacing="0" w:after="0" w:afterAutospacing="0" w:line="360" w:lineRule="auto"/>
        <w:ind w:firstLine="420"/>
        <w:rPr>
          <w:sz w:val="21"/>
          <w:szCs w:val="21"/>
        </w:rPr>
      </w:pPr>
      <w:r>
        <w:rPr>
          <w:rFonts w:hint="eastAsia"/>
          <w:b/>
          <w:bCs/>
          <w:sz w:val="21"/>
          <w:szCs w:val="21"/>
        </w:rPr>
        <w:t>(14)深圳富济基金销售有限公司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76A1F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F96188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CC4EB25">
            <w:pPr>
              <w:rPr>
                <w:rFonts w:ascii="宋体" w:hAnsi="宋体" w:eastAsia="宋体" w:cs="宋体"/>
                <w:sz w:val="24"/>
                <w:szCs w:val="24"/>
              </w:rPr>
            </w:pPr>
            <w:r>
              <w:rPr>
                <w:rFonts w:hint="eastAsia" w:ascii="宋体" w:hAnsi="宋体" w:eastAsia="宋体"/>
              </w:rPr>
              <w:t xml:space="preserve">深圳市福田区福田街道岗厦社区金田路3088号中洲大厦3203A单元 </w:t>
            </w:r>
          </w:p>
        </w:tc>
      </w:tr>
      <w:tr w14:paraId="08CC7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91AB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147ABD">
            <w:pPr>
              <w:rPr>
                <w:rFonts w:ascii="宋体" w:hAnsi="宋体" w:eastAsia="宋体" w:cs="宋体"/>
                <w:sz w:val="24"/>
                <w:szCs w:val="24"/>
              </w:rPr>
            </w:pPr>
            <w:r>
              <w:rPr>
                <w:rFonts w:hint="eastAsia" w:ascii="宋体" w:hAnsi="宋体" w:eastAsia="宋体"/>
              </w:rPr>
              <w:t xml:space="preserve">深圳市福田区福田街道岗厦社区金田路3088号中洲大厦3203A单元 </w:t>
            </w:r>
          </w:p>
        </w:tc>
      </w:tr>
      <w:tr w14:paraId="29F0C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8FF8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8B5AD9">
            <w:pPr>
              <w:rPr>
                <w:rFonts w:ascii="宋体" w:hAnsi="宋体" w:eastAsia="宋体" w:cs="宋体"/>
                <w:sz w:val="24"/>
                <w:szCs w:val="24"/>
              </w:rPr>
            </w:pPr>
            <w:r>
              <w:rPr>
                <w:rFonts w:hint="eastAsia" w:ascii="宋体" w:hAnsi="宋体" w:eastAsia="宋体"/>
              </w:rPr>
              <w:t xml:space="preserve">祝中村 </w:t>
            </w:r>
          </w:p>
        </w:tc>
      </w:tr>
      <w:tr w14:paraId="39936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CB28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36A9C72">
            <w:pPr>
              <w:rPr>
                <w:rFonts w:ascii="宋体" w:hAnsi="宋体" w:eastAsia="宋体" w:cs="宋体"/>
                <w:sz w:val="24"/>
                <w:szCs w:val="24"/>
              </w:rPr>
            </w:pPr>
            <w:r>
              <w:rPr>
                <w:rFonts w:hint="eastAsia" w:ascii="宋体" w:hAnsi="宋体" w:eastAsia="宋体"/>
              </w:rPr>
              <w:t xml:space="preserve">曾瑶敏 </w:t>
            </w:r>
          </w:p>
        </w:tc>
      </w:tr>
      <w:tr w14:paraId="60AE2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1566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E1860FF">
            <w:pPr>
              <w:rPr>
                <w:rFonts w:ascii="宋体" w:hAnsi="宋体" w:eastAsia="宋体" w:cs="宋体"/>
                <w:sz w:val="24"/>
                <w:szCs w:val="24"/>
              </w:rPr>
            </w:pPr>
            <w:r>
              <w:rPr>
                <w:rFonts w:hint="eastAsia" w:ascii="宋体" w:hAnsi="宋体" w:eastAsia="宋体"/>
              </w:rPr>
              <w:t xml:space="preserve">0755-83999907 </w:t>
            </w:r>
          </w:p>
        </w:tc>
      </w:tr>
      <w:tr w14:paraId="0474E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9B980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64C5815">
            <w:pPr>
              <w:rPr>
                <w:rFonts w:ascii="宋体" w:hAnsi="宋体" w:eastAsia="宋体" w:cs="宋体"/>
                <w:sz w:val="24"/>
                <w:szCs w:val="24"/>
              </w:rPr>
            </w:pPr>
            <w:r>
              <w:rPr>
                <w:rFonts w:hint="eastAsia" w:ascii="宋体" w:hAnsi="宋体" w:eastAsia="宋体"/>
              </w:rPr>
              <w:t xml:space="preserve">0755-83999926 </w:t>
            </w:r>
          </w:p>
        </w:tc>
      </w:tr>
      <w:tr w14:paraId="186B1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A8E1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266AC5F">
            <w:pPr>
              <w:rPr>
                <w:rFonts w:ascii="宋体" w:hAnsi="宋体" w:eastAsia="宋体" w:cs="宋体"/>
                <w:sz w:val="24"/>
                <w:szCs w:val="24"/>
              </w:rPr>
            </w:pPr>
            <w:r>
              <w:rPr>
                <w:rFonts w:hint="eastAsia" w:ascii="宋体" w:hAnsi="宋体" w:eastAsia="宋体"/>
              </w:rPr>
              <w:t xml:space="preserve">0755-83999907 </w:t>
            </w:r>
          </w:p>
        </w:tc>
      </w:tr>
      <w:tr w14:paraId="0DD5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B5F0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B1A1D61">
            <w:pPr>
              <w:rPr>
                <w:rFonts w:ascii="宋体" w:hAnsi="宋体" w:eastAsia="宋体" w:cs="宋体"/>
                <w:sz w:val="24"/>
                <w:szCs w:val="24"/>
              </w:rPr>
            </w:pPr>
            <w:r>
              <w:rPr>
                <w:rFonts w:hint="eastAsia" w:ascii="宋体" w:hAnsi="宋体" w:eastAsia="宋体"/>
              </w:rPr>
              <w:t xml:space="preserve">www.fujifund.cn </w:t>
            </w:r>
          </w:p>
        </w:tc>
      </w:tr>
    </w:tbl>
    <w:p w14:paraId="56515387">
      <w:pPr>
        <w:pStyle w:val="8"/>
        <w:spacing w:before="0" w:beforeAutospacing="0" w:after="0" w:afterAutospacing="0" w:line="360" w:lineRule="auto"/>
        <w:ind w:firstLine="420"/>
        <w:rPr>
          <w:sz w:val="21"/>
          <w:szCs w:val="21"/>
        </w:rPr>
      </w:pPr>
      <w:r>
        <w:rPr>
          <w:rFonts w:hint="eastAsia"/>
          <w:b/>
          <w:bCs/>
          <w:sz w:val="21"/>
          <w:szCs w:val="21"/>
        </w:rPr>
        <w:t>(15)上海陆金所基金销售有限公司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5A2B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AE95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28A2401">
            <w:pPr>
              <w:rPr>
                <w:rFonts w:ascii="宋体" w:hAnsi="宋体" w:eastAsia="宋体" w:cs="宋体"/>
                <w:sz w:val="24"/>
                <w:szCs w:val="24"/>
              </w:rPr>
            </w:pPr>
            <w:r>
              <w:rPr>
                <w:rFonts w:hint="eastAsia" w:ascii="宋体" w:hAnsi="宋体" w:eastAsia="宋体"/>
              </w:rPr>
              <w:t xml:space="preserve">上海市浦东新区陆家嘴环路1333号14楼09单元 </w:t>
            </w:r>
          </w:p>
        </w:tc>
      </w:tr>
      <w:tr w14:paraId="4C8E9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58E81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968760E">
            <w:pPr>
              <w:rPr>
                <w:rFonts w:ascii="宋体" w:hAnsi="宋体" w:eastAsia="宋体" w:cs="宋体"/>
                <w:sz w:val="24"/>
                <w:szCs w:val="24"/>
              </w:rPr>
            </w:pPr>
            <w:r>
              <w:rPr>
                <w:rFonts w:hint="eastAsia" w:ascii="宋体" w:hAnsi="宋体" w:eastAsia="宋体"/>
              </w:rPr>
              <w:t xml:space="preserve">上海市浦东新区陆家嘴环路1333号14楼 </w:t>
            </w:r>
          </w:p>
        </w:tc>
      </w:tr>
      <w:tr w14:paraId="3AA1C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72138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8544102">
            <w:pPr>
              <w:rPr>
                <w:rFonts w:ascii="宋体" w:hAnsi="宋体" w:eastAsia="宋体" w:cs="宋体"/>
                <w:sz w:val="24"/>
                <w:szCs w:val="24"/>
              </w:rPr>
            </w:pPr>
            <w:r>
              <w:rPr>
                <w:rFonts w:hint="eastAsia" w:ascii="宋体" w:hAnsi="宋体" w:eastAsia="宋体"/>
              </w:rPr>
              <w:t xml:space="preserve">郭坚 </w:t>
            </w:r>
          </w:p>
        </w:tc>
      </w:tr>
      <w:tr w14:paraId="0955E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2C373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B47635A">
            <w:pPr>
              <w:rPr>
                <w:rFonts w:ascii="宋体" w:hAnsi="宋体" w:eastAsia="宋体" w:cs="宋体"/>
                <w:sz w:val="24"/>
                <w:szCs w:val="24"/>
              </w:rPr>
            </w:pPr>
            <w:r>
              <w:rPr>
                <w:rFonts w:hint="eastAsia" w:ascii="宋体" w:hAnsi="宋体" w:eastAsia="宋体"/>
              </w:rPr>
              <w:t xml:space="preserve">宁博宇 </w:t>
            </w:r>
          </w:p>
        </w:tc>
      </w:tr>
      <w:tr w14:paraId="4D422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125B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74C28E1">
            <w:pPr>
              <w:rPr>
                <w:rFonts w:ascii="宋体" w:hAnsi="宋体" w:eastAsia="宋体" w:cs="宋体"/>
                <w:sz w:val="24"/>
                <w:szCs w:val="24"/>
              </w:rPr>
            </w:pPr>
            <w:r>
              <w:rPr>
                <w:rFonts w:hint="eastAsia" w:ascii="宋体" w:hAnsi="宋体" w:eastAsia="宋体"/>
              </w:rPr>
              <w:t xml:space="preserve">021-20665952 </w:t>
            </w:r>
          </w:p>
        </w:tc>
      </w:tr>
      <w:tr w14:paraId="5353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2AF9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9F59CCF">
            <w:pPr>
              <w:rPr>
                <w:rFonts w:ascii="宋体" w:hAnsi="宋体" w:eastAsia="宋体" w:cs="宋体"/>
                <w:sz w:val="24"/>
                <w:szCs w:val="24"/>
              </w:rPr>
            </w:pPr>
            <w:r>
              <w:rPr>
                <w:rFonts w:hint="eastAsia" w:ascii="宋体" w:hAnsi="宋体" w:eastAsia="宋体"/>
              </w:rPr>
              <w:t xml:space="preserve">021-22066653 </w:t>
            </w:r>
          </w:p>
        </w:tc>
      </w:tr>
      <w:tr w14:paraId="74D4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BE759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B62B95D">
            <w:pPr>
              <w:rPr>
                <w:rFonts w:ascii="宋体" w:hAnsi="宋体" w:eastAsia="宋体" w:cs="宋体"/>
                <w:sz w:val="24"/>
                <w:szCs w:val="24"/>
              </w:rPr>
            </w:pPr>
            <w:r>
              <w:rPr>
                <w:rFonts w:hint="eastAsia" w:ascii="宋体" w:hAnsi="宋体" w:eastAsia="宋体"/>
              </w:rPr>
              <w:t xml:space="preserve">400-821-9031 </w:t>
            </w:r>
          </w:p>
        </w:tc>
      </w:tr>
      <w:tr w14:paraId="71568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E6ED6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E36490E">
            <w:pPr>
              <w:rPr>
                <w:rFonts w:ascii="宋体" w:hAnsi="宋体" w:eastAsia="宋体" w:cs="宋体"/>
                <w:sz w:val="24"/>
                <w:szCs w:val="24"/>
              </w:rPr>
            </w:pPr>
            <w:r>
              <w:rPr>
                <w:rFonts w:hint="eastAsia" w:ascii="宋体" w:hAnsi="宋体" w:eastAsia="宋体"/>
              </w:rPr>
              <w:t xml:space="preserve">www.lufunds.com </w:t>
            </w:r>
          </w:p>
        </w:tc>
      </w:tr>
    </w:tbl>
    <w:p w14:paraId="38F8C9A1">
      <w:pPr>
        <w:pStyle w:val="8"/>
        <w:spacing w:before="0" w:beforeAutospacing="0" w:after="0" w:afterAutospacing="0" w:line="360" w:lineRule="auto"/>
        <w:ind w:firstLine="420"/>
        <w:rPr>
          <w:sz w:val="21"/>
          <w:szCs w:val="21"/>
        </w:rPr>
      </w:pPr>
      <w:r>
        <w:rPr>
          <w:rFonts w:hint="eastAsia"/>
          <w:b/>
          <w:bCs/>
          <w:sz w:val="21"/>
          <w:szCs w:val="21"/>
        </w:rPr>
        <w:t>(16)珠海盈米基金销售有限公司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7C659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4363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CCF99B9">
            <w:pPr>
              <w:rPr>
                <w:rFonts w:ascii="宋体" w:hAnsi="宋体" w:eastAsia="宋体" w:cs="宋体"/>
                <w:sz w:val="24"/>
                <w:szCs w:val="24"/>
              </w:rPr>
            </w:pPr>
            <w:r>
              <w:rPr>
                <w:rFonts w:hint="eastAsia" w:ascii="宋体" w:hAnsi="宋体" w:eastAsia="宋体"/>
              </w:rPr>
              <w:t xml:space="preserve">珠海市横琴新区宝华路6号105室-3491 </w:t>
            </w:r>
          </w:p>
        </w:tc>
      </w:tr>
      <w:tr w14:paraId="05F09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6CC2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FE92F06">
            <w:pPr>
              <w:rPr>
                <w:rFonts w:ascii="宋体" w:hAnsi="宋体" w:eastAsia="宋体" w:cs="宋体"/>
                <w:sz w:val="24"/>
                <w:szCs w:val="24"/>
              </w:rPr>
            </w:pPr>
            <w:r>
              <w:rPr>
                <w:rFonts w:hint="eastAsia" w:ascii="宋体" w:hAnsi="宋体" w:eastAsia="宋体"/>
              </w:rPr>
              <w:t xml:space="preserve">广州市海珠区琶洲大道东1号保利国际广场南塔12楼B1201-1203 </w:t>
            </w:r>
          </w:p>
        </w:tc>
      </w:tr>
      <w:tr w14:paraId="69C28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2B3C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973D688">
            <w:pPr>
              <w:rPr>
                <w:rFonts w:ascii="宋体" w:hAnsi="宋体" w:eastAsia="宋体" w:cs="宋体"/>
                <w:sz w:val="24"/>
                <w:szCs w:val="24"/>
              </w:rPr>
            </w:pPr>
            <w:r>
              <w:rPr>
                <w:rFonts w:hint="eastAsia" w:ascii="宋体" w:hAnsi="宋体" w:eastAsia="宋体"/>
              </w:rPr>
              <w:t xml:space="preserve">肖雯 </w:t>
            </w:r>
          </w:p>
        </w:tc>
      </w:tr>
      <w:tr w14:paraId="77E4A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D33A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1E3156D">
            <w:pPr>
              <w:rPr>
                <w:rFonts w:ascii="宋体" w:hAnsi="宋体" w:eastAsia="宋体" w:cs="宋体"/>
                <w:sz w:val="24"/>
                <w:szCs w:val="24"/>
              </w:rPr>
            </w:pPr>
            <w:r>
              <w:rPr>
                <w:rFonts w:hint="eastAsia" w:ascii="宋体" w:hAnsi="宋体" w:eastAsia="宋体"/>
              </w:rPr>
              <w:t xml:space="preserve">吴煜浩 </w:t>
            </w:r>
          </w:p>
        </w:tc>
      </w:tr>
      <w:tr w14:paraId="27B4D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B9BCB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B9E0DA3">
            <w:pPr>
              <w:rPr>
                <w:rFonts w:ascii="宋体" w:hAnsi="宋体" w:eastAsia="宋体" w:cs="宋体"/>
                <w:sz w:val="24"/>
                <w:szCs w:val="24"/>
              </w:rPr>
            </w:pPr>
            <w:r>
              <w:rPr>
                <w:rFonts w:hint="eastAsia" w:ascii="宋体" w:hAnsi="宋体" w:eastAsia="宋体"/>
              </w:rPr>
              <w:t xml:space="preserve">020-89629099 </w:t>
            </w:r>
          </w:p>
        </w:tc>
      </w:tr>
      <w:tr w14:paraId="41855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CEA63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7E780C2">
            <w:pPr>
              <w:rPr>
                <w:rFonts w:ascii="宋体" w:hAnsi="宋体" w:eastAsia="宋体" w:cs="宋体"/>
                <w:sz w:val="24"/>
                <w:szCs w:val="24"/>
              </w:rPr>
            </w:pPr>
            <w:r>
              <w:rPr>
                <w:rFonts w:hint="eastAsia" w:ascii="宋体" w:hAnsi="宋体" w:eastAsia="宋体"/>
              </w:rPr>
              <w:t xml:space="preserve">020-89629011 </w:t>
            </w:r>
          </w:p>
        </w:tc>
      </w:tr>
      <w:tr w14:paraId="2B747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CBD1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4F6756A">
            <w:pPr>
              <w:rPr>
                <w:rFonts w:ascii="宋体" w:hAnsi="宋体" w:eastAsia="宋体" w:cs="宋体"/>
                <w:sz w:val="24"/>
                <w:szCs w:val="24"/>
              </w:rPr>
            </w:pPr>
            <w:r>
              <w:rPr>
                <w:rFonts w:hint="eastAsia" w:ascii="宋体" w:hAnsi="宋体" w:eastAsia="宋体"/>
              </w:rPr>
              <w:t xml:space="preserve">020-89629066 </w:t>
            </w:r>
          </w:p>
        </w:tc>
      </w:tr>
      <w:tr w14:paraId="692B2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009D0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7B9A07">
            <w:pPr>
              <w:rPr>
                <w:rFonts w:ascii="宋体" w:hAnsi="宋体" w:eastAsia="宋体" w:cs="宋体"/>
                <w:sz w:val="24"/>
                <w:szCs w:val="24"/>
              </w:rPr>
            </w:pPr>
            <w:r>
              <w:rPr>
                <w:rFonts w:hint="eastAsia" w:ascii="宋体" w:hAnsi="宋体" w:eastAsia="宋体"/>
              </w:rPr>
              <w:t xml:space="preserve">www.yingmi.cn </w:t>
            </w:r>
          </w:p>
        </w:tc>
      </w:tr>
    </w:tbl>
    <w:p w14:paraId="582A287E">
      <w:pPr>
        <w:pStyle w:val="8"/>
        <w:spacing w:before="0" w:beforeAutospacing="0" w:after="0" w:afterAutospacing="0" w:line="360" w:lineRule="auto"/>
        <w:ind w:firstLine="420"/>
        <w:rPr>
          <w:sz w:val="21"/>
          <w:szCs w:val="21"/>
        </w:rPr>
      </w:pPr>
      <w:r>
        <w:rPr>
          <w:rFonts w:hint="eastAsia"/>
          <w:b/>
          <w:bCs/>
          <w:sz w:val="21"/>
          <w:szCs w:val="21"/>
        </w:rPr>
        <w:t>(17)京东肯特瑞基金销售有限公司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9B45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A4545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FA3DCFD">
            <w:pPr>
              <w:rPr>
                <w:rFonts w:ascii="宋体" w:hAnsi="宋体" w:eastAsia="宋体" w:cs="宋体"/>
                <w:sz w:val="24"/>
                <w:szCs w:val="24"/>
              </w:rPr>
            </w:pPr>
            <w:r>
              <w:rPr>
                <w:rFonts w:hint="eastAsia" w:ascii="宋体" w:hAnsi="宋体" w:eastAsia="宋体"/>
              </w:rPr>
              <w:t xml:space="preserve">北京市海淀区海淀东三街2号4层401-15 </w:t>
            </w:r>
          </w:p>
        </w:tc>
      </w:tr>
      <w:tr w14:paraId="0DA97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C4D3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C256220">
            <w:pPr>
              <w:rPr>
                <w:rFonts w:ascii="宋体" w:hAnsi="宋体" w:eastAsia="宋体" w:cs="宋体"/>
                <w:sz w:val="24"/>
                <w:szCs w:val="24"/>
              </w:rPr>
            </w:pPr>
            <w:r>
              <w:rPr>
                <w:rFonts w:hint="eastAsia" w:ascii="宋体" w:hAnsi="宋体" w:eastAsia="宋体"/>
              </w:rPr>
              <w:t xml:space="preserve">北京市经济开发区科创十一街18号院京东总部A座4层A428室 </w:t>
            </w:r>
          </w:p>
        </w:tc>
      </w:tr>
      <w:tr w14:paraId="67927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9DCB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5AF59FB">
            <w:pPr>
              <w:rPr>
                <w:rFonts w:ascii="宋体" w:hAnsi="宋体" w:eastAsia="宋体" w:cs="宋体"/>
                <w:sz w:val="24"/>
                <w:szCs w:val="24"/>
              </w:rPr>
            </w:pPr>
            <w:r>
              <w:rPr>
                <w:rFonts w:hint="eastAsia" w:ascii="宋体" w:hAnsi="宋体" w:eastAsia="宋体"/>
                <w:lang w:val="en-US" w:eastAsia="zh-CN"/>
              </w:rPr>
              <w:t>王珊珊</w:t>
            </w:r>
            <w:r>
              <w:rPr>
                <w:rFonts w:hint="eastAsia" w:ascii="宋体" w:hAnsi="宋体" w:eastAsia="宋体"/>
              </w:rPr>
              <w:t xml:space="preserve"> </w:t>
            </w:r>
          </w:p>
        </w:tc>
      </w:tr>
      <w:tr w14:paraId="2C264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46331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20233FD">
            <w:pPr>
              <w:rPr>
                <w:rFonts w:hint="eastAsia" w:ascii="宋体" w:hAnsi="宋体" w:eastAsia="宋体" w:cs="宋体"/>
                <w:sz w:val="24"/>
                <w:szCs w:val="24"/>
                <w:lang w:val="en-US" w:eastAsia="zh-CN"/>
              </w:rPr>
            </w:pPr>
            <w:r>
              <w:rPr>
                <w:rFonts w:hint="eastAsia" w:ascii="宋体" w:hAnsi="宋体" w:eastAsia="宋体"/>
                <w:lang w:val="en-US" w:eastAsia="zh-CN"/>
              </w:rPr>
              <w:t>文雯</w:t>
            </w:r>
          </w:p>
        </w:tc>
      </w:tr>
      <w:tr w14:paraId="0D828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00" w:type="dxa"/>
            <w:shd w:val="clear" w:color="auto" w:fill="auto"/>
          </w:tcPr>
          <w:p w14:paraId="1C6CA3A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510C6D6">
            <w:pPr>
              <w:rPr>
                <w:rFonts w:ascii="宋体" w:hAnsi="宋体" w:eastAsia="宋体" w:cs="宋体"/>
                <w:sz w:val="24"/>
                <w:szCs w:val="24"/>
              </w:rPr>
            </w:pPr>
            <w:r>
              <w:rPr>
                <w:rFonts w:hint="eastAsia" w:ascii="宋体" w:hAnsi="宋体" w:eastAsia="宋体"/>
              </w:rPr>
              <w:t xml:space="preserve">400-098-8511 </w:t>
            </w:r>
          </w:p>
        </w:tc>
      </w:tr>
      <w:tr w14:paraId="3019E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5D2D6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0D7A917">
            <w:pPr>
              <w:rPr>
                <w:rFonts w:ascii="宋体" w:hAnsi="宋体" w:eastAsia="宋体" w:cs="宋体"/>
                <w:sz w:val="24"/>
                <w:szCs w:val="24"/>
              </w:rPr>
            </w:pPr>
            <w:r>
              <w:rPr>
                <w:rFonts w:hint="eastAsia" w:ascii="宋体" w:hAnsi="宋体" w:eastAsia="宋体"/>
              </w:rPr>
              <w:t xml:space="preserve">010-89188000 </w:t>
            </w:r>
          </w:p>
        </w:tc>
      </w:tr>
      <w:tr w14:paraId="7AAB8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830F7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CED7A52">
            <w:pPr>
              <w:rPr>
                <w:rFonts w:ascii="宋体" w:hAnsi="宋体" w:eastAsia="宋体" w:cs="宋体"/>
                <w:sz w:val="24"/>
                <w:szCs w:val="24"/>
              </w:rPr>
            </w:pPr>
            <w:r>
              <w:rPr>
                <w:rFonts w:hint="eastAsia" w:ascii="宋体" w:hAnsi="宋体" w:eastAsia="宋体"/>
              </w:rPr>
              <w:t xml:space="preserve">400-088-8816 </w:t>
            </w:r>
          </w:p>
        </w:tc>
      </w:tr>
      <w:tr w14:paraId="34BF7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6D6E4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E3A78B">
            <w:pPr>
              <w:rPr>
                <w:rFonts w:ascii="宋体" w:hAnsi="宋体" w:eastAsia="宋体" w:cs="宋体"/>
                <w:sz w:val="24"/>
                <w:szCs w:val="24"/>
              </w:rPr>
            </w:pPr>
            <w:r>
              <w:rPr>
                <w:rFonts w:hint="eastAsia" w:ascii="宋体" w:hAnsi="宋体" w:eastAsia="宋体"/>
              </w:rPr>
              <w:t xml:space="preserve">http://jr.jd.com/ </w:t>
            </w:r>
          </w:p>
        </w:tc>
      </w:tr>
    </w:tbl>
    <w:p w14:paraId="5EA06BC5">
      <w:pPr>
        <w:pStyle w:val="8"/>
        <w:spacing w:before="0" w:beforeAutospacing="0" w:after="0" w:afterAutospacing="0" w:line="360" w:lineRule="auto"/>
        <w:ind w:firstLine="420"/>
        <w:rPr>
          <w:sz w:val="21"/>
          <w:szCs w:val="21"/>
        </w:rPr>
      </w:pPr>
      <w:r>
        <w:rPr>
          <w:rFonts w:hint="eastAsia"/>
          <w:b/>
          <w:bCs/>
          <w:sz w:val="21"/>
          <w:szCs w:val="21"/>
        </w:rPr>
        <w:t>(18)深圳市金斧子基金销售有限公司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0BEC4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73B52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7FD69A0">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00D15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3366E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8F1AC99">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4D123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5F710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EA1BE03">
            <w:pPr>
              <w:rPr>
                <w:rFonts w:ascii="宋体" w:hAnsi="宋体" w:eastAsia="宋体" w:cs="宋体"/>
                <w:sz w:val="24"/>
                <w:szCs w:val="24"/>
              </w:rPr>
            </w:pPr>
            <w:r>
              <w:rPr>
                <w:rFonts w:hint="eastAsia" w:ascii="宋体" w:hAnsi="宋体" w:eastAsia="宋体"/>
              </w:rPr>
              <w:t xml:space="preserve">赖任军 </w:t>
            </w:r>
          </w:p>
        </w:tc>
      </w:tr>
      <w:tr w14:paraId="2C858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D6D6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0DD7935">
            <w:pPr>
              <w:rPr>
                <w:rFonts w:ascii="宋体" w:hAnsi="宋体" w:eastAsia="宋体" w:cs="宋体"/>
                <w:sz w:val="24"/>
                <w:szCs w:val="24"/>
              </w:rPr>
            </w:pPr>
            <w:r>
              <w:rPr>
                <w:rFonts w:hint="eastAsia" w:ascii="宋体" w:hAnsi="宋体" w:eastAsia="宋体"/>
              </w:rPr>
              <w:t xml:space="preserve">刘昕霞 </w:t>
            </w:r>
          </w:p>
        </w:tc>
      </w:tr>
      <w:tr w14:paraId="328B8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3561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07BBD06">
            <w:pPr>
              <w:rPr>
                <w:rFonts w:ascii="宋体" w:hAnsi="宋体" w:eastAsia="宋体" w:cs="宋体"/>
                <w:sz w:val="24"/>
                <w:szCs w:val="24"/>
              </w:rPr>
            </w:pPr>
            <w:r>
              <w:rPr>
                <w:rFonts w:hint="eastAsia" w:ascii="宋体" w:hAnsi="宋体" w:eastAsia="宋体"/>
              </w:rPr>
              <w:t xml:space="preserve">0755-29330513 </w:t>
            </w:r>
          </w:p>
        </w:tc>
      </w:tr>
      <w:tr w14:paraId="4D6E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CB7C5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6694421">
            <w:pPr>
              <w:rPr>
                <w:rFonts w:ascii="宋体" w:hAnsi="宋体" w:eastAsia="宋体" w:cs="宋体"/>
                <w:sz w:val="24"/>
                <w:szCs w:val="24"/>
              </w:rPr>
            </w:pPr>
            <w:r>
              <w:rPr>
                <w:rFonts w:hint="eastAsia" w:ascii="宋体" w:hAnsi="宋体" w:eastAsia="宋体"/>
              </w:rPr>
              <w:t xml:space="preserve">0755-26920530 </w:t>
            </w:r>
          </w:p>
        </w:tc>
      </w:tr>
      <w:tr w14:paraId="75CC6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A283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9F89569">
            <w:pPr>
              <w:rPr>
                <w:rFonts w:ascii="宋体" w:hAnsi="宋体" w:eastAsia="宋体" w:cs="宋体"/>
                <w:sz w:val="24"/>
                <w:szCs w:val="24"/>
              </w:rPr>
            </w:pPr>
            <w:r>
              <w:rPr>
                <w:rFonts w:hint="eastAsia" w:ascii="宋体" w:hAnsi="宋体" w:eastAsia="宋体"/>
              </w:rPr>
              <w:t xml:space="preserve">400-822-4888 </w:t>
            </w:r>
          </w:p>
        </w:tc>
      </w:tr>
      <w:tr w14:paraId="34F2E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6EE0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AB26F30">
            <w:pPr>
              <w:rPr>
                <w:rFonts w:ascii="宋体" w:hAnsi="宋体" w:eastAsia="宋体" w:cs="宋体"/>
                <w:sz w:val="24"/>
                <w:szCs w:val="24"/>
              </w:rPr>
            </w:pPr>
            <w:r>
              <w:rPr>
                <w:rFonts w:hint="eastAsia" w:ascii="宋体" w:hAnsi="宋体" w:eastAsia="宋体"/>
              </w:rPr>
              <w:t xml:space="preserve">www.jfzinv.com </w:t>
            </w:r>
          </w:p>
        </w:tc>
      </w:tr>
    </w:tbl>
    <w:p w14:paraId="2FB67620">
      <w:pPr>
        <w:pStyle w:val="8"/>
        <w:spacing w:before="0" w:beforeAutospacing="0" w:after="0" w:afterAutospacing="0" w:line="360" w:lineRule="auto"/>
        <w:ind w:firstLine="420"/>
        <w:rPr>
          <w:sz w:val="21"/>
          <w:szCs w:val="21"/>
        </w:rPr>
      </w:pPr>
      <w:r>
        <w:rPr>
          <w:rFonts w:hint="eastAsia"/>
          <w:b/>
          <w:bCs/>
          <w:sz w:val="21"/>
          <w:szCs w:val="21"/>
        </w:rPr>
        <w:t>(19)北京雪球基金销售有限公司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1752A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C0A0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60F616E">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50E96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5B97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A7DA8AF">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2FAB5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3FB3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826241">
            <w:pPr>
              <w:rPr>
                <w:rFonts w:ascii="宋体" w:hAnsi="宋体" w:eastAsia="宋体" w:cs="宋体"/>
                <w:sz w:val="24"/>
                <w:szCs w:val="24"/>
              </w:rPr>
            </w:pPr>
            <w:r>
              <w:rPr>
                <w:rFonts w:hint="eastAsia" w:ascii="宋体" w:hAnsi="宋体" w:eastAsia="宋体"/>
              </w:rPr>
              <w:t xml:space="preserve">李楠 </w:t>
            </w:r>
          </w:p>
        </w:tc>
      </w:tr>
      <w:tr w14:paraId="4439F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E48F5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05260A7">
            <w:pPr>
              <w:rPr>
                <w:rFonts w:ascii="宋体" w:hAnsi="宋体" w:eastAsia="宋体" w:cs="宋体"/>
                <w:sz w:val="24"/>
                <w:szCs w:val="24"/>
              </w:rPr>
            </w:pPr>
            <w:r>
              <w:rPr>
                <w:rFonts w:hint="eastAsia" w:ascii="宋体" w:hAnsi="宋体" w:eastAsia="宋体"/>
              </w:rPr>
              <w:t xml:space="preserve">戚晓强 </w:t>
            </w:r>
          </w:p>
        </w:tc>
      </w:tr>
      <w:tr w14:paraId="5A800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9445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75F2747">
            <w:pPr>
              <w:rPr>
                <w:rFonts w:ascii="宋体" w:hAnsi="宋体" w:eastAsia="宋体" w:cs="宋体"/>
                <w:sz w:val="24"/>
                <w:szCs w:val="24"/>
              </w:rPr>
            </w:pPr>
            <w:r>
              <w:rPr>
                <w:rFonts w:hint="eastAsia" w:ascii="宋体" w:hAnsi="宋体" w:eastAsia="宋体"/>
              </w:rPr>
              <w:t xml:space="preserve">15810005516 </w:t>
            </w:r>
          </w:p>
        </w:tc>
      </w:tr>
      <w:tr w14:paraId="59686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C72AE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1702B65">
            <w:pPr>
              <w:rPr>
                <w:rFonts w:ascii="宋体" w:hAnsi="宋体" w:eastAsia="宋体" w:cs="宋体"/>
                <w:sz w:val="24"/>
                <w:szCs w:val="24"/>
              </w:rPr>
            </w:pPr>
            <w:r>
              <w:rPr>
                <w:rFonts w:hint="eastAsia" w:ascii="宋体" w:hAnsi="宋体" w:eastAsia="宋体"/>
              </w:rPr>
              <w:t xml:space="preserve">010-85659484 </w:t>
            </w:r>
          </w:p>
        </w:tc>
      </w:tr>
      <w:tr w14:paraId="797F0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C63C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1951BFE">
            <w:pPr>
              <w:rPr>
                <w:rFonts w:ascii="宋体" w:hAnsi="宋体" w:eastAsia="宋体" w:cs="宋体"/>
                <w:sz w:val="24"/>
                <w:szCs w:val="24"/>
              </w:rPr>
            </w:pPr>
            <w:r>
              <w:rPr>
                <w:rFonts w:hint="eastAsia" w:ascii="宋体" w:hAnsi="宋体" w:eastAsia="宋体"/>
              </w:rPr>
              <w:t xml:space="preserve">400-061-8518 </w:t>
            </w:r>
          </w:p>
        </w:tc>
      </w:tr>
      <w:tr w14:paraId="2D80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3A8E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8B01DE">
            <w:pPr>
              <w:rPr>
                <w:rFonts w:ascii="宋体" w:hAnsi="宋体" w:eastAsia="宋体" w:cs="宋体"/>
                <w:sz w:val="24"/>
                <w:szCs w:val="24"/>
              </w:rPr>
            </w:pPr>
            <w:r>
              <w:rPr>
                <w:rFonts w:hint="eastAsia" w:ascii="宋体" w:hAnsi="宋体" w:eastAsia="宋体"/>
              </w:rPr>
              <w:t xml:space="preserve">danjuanapp.com </w:t>
            </w:r>
          </w:p>
        </w:tc>
      </w:tr>
    </w:tbl>
    <w:p w14:paraId="3EDA6DCE">
      <w:pPr>
        <w:rPr>
          <w:rFonts w:ascii="宋体" w:hAnsi="宋体" w:eastAsia="宋体"/>
          <w:sz w:val="24"/>
          <w:szCs w:val="24"/>
        </w:rPr>
      </w:pPr>
      <w:bookmarkStart w:id="69" w:name="chapter_level1_7_56_section_2_end"/>
      <w:bookmarkEnd w:id="69"/>
      <w:bookmarkStart w:id="70" w:name="field_0_allproxysaletables_1_end"/>
      <w:bookmarkEnd w:id="70"/>
    </w:p>
    <w:p w14:paraId="3A37C887">
      <w:pPr>
        <w:pStyle w:val="8"/>
        <w:spacing w:before="0" w:beforeAutospacing="0" w:after="0" w:afterAutospacing="0" w:line="360" w:lineRule="auto"/>
        <w:ind w:firstLine="420"/>
        <w:rPr>
          <w:sz w:val="21"/>
          <w:szCs w:val="21"/>
        </w:rPr>
      </w:pPr>
      <w:bookmarkStart w:id="71" w:name="chapter_level1_7_56_section_3"/>
      <w:bookmarkEnd w:id="71"/>
      <w:r>
        <w:rPr>
          <w:rStyle w:val="12"/>
          <w:rFonts w:hint="eastAsia"/>
          <w:sz w:val="21"/>
          <w:szCs w:val="21"/>
        </w:rPr>
        <w:t>二、登记机构</w:t>
      </w:r>
    </w:p>
    <w:p w14:paraId="7C0288B5">
      <w:pPr>
        <w:pStyle w:val="8"/>
        <w:spacing w:before="0" w:beforeAutospacing="0" w:after="0" w:afterAutospacing="0" w:line="360" w:lineRule="auto"/>
        <w:ind w:firstLine="420"/>
        <w:rPr>
          <w:sz w:val="21"/>
          <w:szCs w:val="21"/>
        </w:rPr>
      </w:pPr>
      <w:bookmarkStart w:id="72" w:name="field_0_registercompanyinfo_1_start"/>
      <w:bookmarkEnd w:id="72"/>
      <w:r>
        <w:rPr>
          <w:rFonts w:hint="eastAsia"/>
          <w:sz w:val="21"/>
          <w:szCs w:val="21"/>
        </w:rPr>
        <w:t xml:space="preserve">名称：博时基金管理有限公司 </w:t>
      </w:r>
    </w:p>
    <w:p w14:paraId="2E60B16F">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1F0362E">
      <w:pPr>
        <w:pStyle w:val="8"/>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0A1DF129">
      <w:pPr>
        <w:pStyle w:val="8"/>
        <w:spacing w:before="0" w:beforeAutospacing="0" w:after="0" w:afterAutospacing="0" w:line="360" w:lineRule="auto"/>
        <w:ind w:firstLine="420"/>
        <w:rPr>
          <w:sz w:val="21"/>
          <w:szCs w:val="21"/>
        </w:rPr>
      </w:pPr>
      <w:r>
        <w:rPr>
          <w:rFonts w:hint="eastAsia"/>
          <w:sz w:val="21"/>
          <w:szCs w:val="21"/>
        </w:rPr>
        <w:t xml:space="preserve">法定代表人：张东 </w:t>
      </w:r>
    </w:p>
    <w:p w14:paraId="18EA6990">
      <w:pPr>
        <w:pStyle w:val="8"/>
        <w:spacing w:before="0" w:beforeAutospacing="0" w:after="0" w:afterAutospacing="0" w:line="360" w:lineRule="auto"/>
        <w:ind w:firstLine="420"/>
        <w:rPr>
          <w:sz w:val="21"/>
          <w:szCs w:val="21"/>
        </w:rPr>
      </w:pPr>
      <w:r>
        <w:rPr>
          <w:rFonts w:hint="eastAsia"/>
          <w:sz w:val="21"/>
          <w:szCs w:val="21"/>
        </w:rPr>
        <w:t xml:space="preserve">电话： 010-65171166 </w:t>
      </w:r>
    </w:p>
    <w:p w14:paraId="7ECD7FE7">
      <w:pPr>
        <w:pStyle w:val="8"/>
        <w:spacing w:before="0" w:beforeAutospacing="0" w:after="0" w:afterAutospacing="0" w:line="360" w:lineRule="auto"/>
        <w:ind w:firstLine="420"/>
        <w:rPr>
          <w:sz w:val="21"/>
          <w:szCs w:val="21"/>
        </w:rPr>
      </w:pPr>
      <w:r>
        <w:rPr>
          <w:rFonts w:hint="eastAsia"/>
          <w:sz w:val="21"/>
          <w:szCs w:val="21"/>
        </w:rPr>
        <w:t xml:space="preserve">传真： 010-65187068 </w:t>
      </w:r>
    </w:p>
    <w:p w14:paraId="3817BBE1">
      <w:pPr>
        <w:pStyle w:val="8"/>
        <w:spacing w:before="0" w:beforeAutospacing="0" w:after="0" w:afterAutospacing="0" w:line="360" w:lineRule="auto"/>
        <w:ind w:firstLine="420"/>
        <w:rPr>
          <w:sz w:val="21"/>
          <w:szCs w:val="21"/>
        </w:rPr>
      </w:pPr>
      <w:r>
        <w:rPr>
          <w:rFonts w:hint="eastAsia"/>
          <w:sz w:val="21"/>
          <w:szCs w:val="21"/>
        </w:rPr>
        <w:t xml:space="preserve">联系人：佀方方 </w:t>
      </w:r>
      <w:bookmarkStart w:id="73" w:name="field_0_registercompanyinfo_1_end"/>
      <w:bookmarkEnd w:id="73"/>
      <w:r>
        <w:rPr>
          <w:rFonts w:hint="eastAsia"/>
          <w:sz w:val="21"/>
          <w:szCs w:val="21"/>
        </w:rPr>
        <w:t xml:space="preserve">  </w:t>
      </w:r>
    </w:p>
    <w:p w14:paraId="187D3E98">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14:paraId="44518E00">
      <w:pPr>
        <w:pStyle w:val="8"/>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264AE978">
      <w:pPr>
        <w:pStyle w:val="8"/>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65852561">
      <w:pPr>
        <w:pStyle w:val="8"/>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41BE8A78">
      <w:pPr>
        <w:pStyle w:val="8"/>
        <w:spacing w:before="0" w:beforeAutospacing="0" w:after="0" w:afterAutospacing="0" w:line="360" w:lineRule="auto"/>
        <w:ind w:firstLine="420"/>
        <w:rPr>
          <w:sz w:val="21"/>
          <w:szCs w:val="21"/>
        </w:rPr>
      </w:pPr>
      <w:r>
        <w:rPr>
          <w:rFonts w:hint="eastAsia"/>
          <w:sz w:val="21"/>
          <w:szCs w:val="21"/>
        </w:rPr>
        <w:t xml:space="preserve">负责人：廖海 </w:t>
      </w:r>
    </w:p>
    <w:p w14:paraId="48B85DD7">
      <w:pPr>
        <w:pStyle w:val="8"/>
        <w:spacing w:before="0" w:beforeAutospacing="0" w:after="0" w:afterAutospacing="0" w:line="360" w:lineRule="auto"/>
        <w:ind w:firstLine="420"/>
        <w:rPr>
          <w:sz w:val="21"/>
          <w:szCs w:val="21"/>
        </w:rPr>
      </w:pPr>
      <w:r>
        <w:rPr>
          <w:rFonts w:hint="eastAsia"/>
          <w:sz w:val="21"/>
          <w:szCs w:val="21"/>
        </w:rPr>
        <w:t xml:space="preserve">电话：021- 51150298 </w:t>
      </w:r>
    </w:p>
    <w:p w14:paraId="1B567B6F">
      <w:pPr>
        <w:pStyle w:val="8"/>
        <w:spacing w:before="0" w:beforeAutospacing="0" w:after="0" w:afterAutospacing="0" w:line="360" w:lineRule="auto"/>
        <w:ind w:firstLine="420"/>
        <w:rPr>
          <w:sz w:val="21"/>
          <w:szCs w:val="21"/>
        </w:rPr>
      </w:pPr>
      <w:r>
        <w:rPr>
          <w:rFonts w:hint="eastAsia"/>
          <w:sz w:val="21"/>
          <w:szCs w:val="21"/>
        </w:rPr>
        <w:t xml:space="preserve">传真：021- 51150398 </w:t>
      </w:r>
    </w:p>
    <w:p w14:paraId="4C95C0B2">
      <w:pPr>
        <w:pStyle w:val="8"/>
        <w:spacing w:before="0" w:beforeAutospacing="0" w:after="0" w:afterAutospacing="0" w:line="360" w:lineRule="auto"/>
        <w:ind w:firstLine="420"/>
        <w:rPr>
          <w:sz w:val="21"/>
          <w:szCs w:val="21"/>
        </w:rPr>
      </w:pPr>
      <w:r>
        <w:rPr>
          <w:rFonts w:hint="eastAsia"/>
          <w:sz w:val="21"/>
          <w:szCs w:val="21"/>
        </w:rPr>
        <w:t xml:space="preserve">联系人：刘佳 </w:t>
      </w:r>
    </w:p>
    <w:p w14:paraId="756E1C5C">
      <w:pPr>
        <w:pStyle w:val="8"/>
        <w:spacing w:before="0" w:beforeAutospacing="0" w:after="0" w:afterAutospacing="0" w:line="360" w:lineRule="auto"/>
        <w:ind w:firstLine="420"/>
        <w:rPr>
          <w:sz w:val="21"/>
          <w:szCs w:val="21"/>
        </w:rPr>
      </w:pPr>
      <w:r>
        <w:rPr>
          <w:rFonts w:hint="eastAsia"/>
          <w:sz w:val="21"/>
          <w:szCs w:val="21"/>
        </w:rPr>
        <w:t xml:space="preserve">经办律师：廖海、刘佳 </w:t>
      </w:r>
    </w:p>
    <w:p w14:paraId="3E25A0C5">
      <w:pPr>
        <w:pStyle w:val="8"/>
        <w:spacing w:before="0" w:beforeAutospacing="0" w:after="0" w:afterAutospacing="0" w:line="360" w:lineRule="auto"/>
        <w:ind w:firstLine="420"/>
        <w:rPr>
          <w:sz w:val="21"/>
          <w:szCs w:val="21"/>
        </w:rPr>
      </w:pPr>
      <w:r>
        <w:rPr>
          <w:rStyle w:val="12"/>
          <w:rFonts w:hint="eastAsia"/>
          <w:sz w:val="21"/>
          <w:szCs w:val="21"/>
        </w:rPr>
        <w:t>四、审计基金财产的会计师事务所</w:t>
      </w:r>
    </w:p>
    <w:p w14:paraId="2570BB51">
      <w:pPr>
        <w:pStyle w:val="8"/>
        <w:spacing w:before="0" w:beforeAutospacing="0" w:after="0" w:afterAutospacing="0" w:line="360" w:lineRule="auto"/>
        <w:ind w:firstLine="420"/>
        <w:rPr>
          <w:sz w:val="21"/>
          <w:szCs w:val="21"/>
        </w:rPr>
      </w:pPr>
      <w:bookmarkStart w:id="74" w:name="field_0_accountingcompanyinfo_1_start"/>
      <w:bookmarkEnd w:id="74"/>
      <w:r>
        <w:rPr>
          <w:rFonts w:hint="eastAsia"/>
          <w:sz w:val="21"/>
          <w:szCs w:val="21"/>
        </w:rPr>
        <w:t xml:space="preserve">名称：容诚会计师事务所（特殊普通合伙） </w:t>
      </w:r>
    </w:p>
    <w:p w14:paraId="534967C1">
      <w:pPr>
        <w:pStyle w:val="8"/>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51226875">
      <w:pPr>
        <w:pStyle w:val="8"/>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3C278B86">
      <w:pPr>
        <w:pStyle w:val="8"/>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2F6E2BCA">
      <w:pPr>
        <w:pStyle w:val="8"/>
        <w:spacing w:before="0" w:beforeAutospacing="0" w:after="0" w:afterAutospacing="0" w:line="360" w:lineRule="auto"/>
        <w:ind w:firstLine="420"/>
        <w:rPr>
          <w:sz w:val="21"/>
          <w:szCs w:val="21"/>
        </w:rPr>
      </w:pPr>
      <w:r>
        <w:rPr>
          <w:rFonts w:hint="eastAsia"/>
          <w:sz w:val="21"/>
          <w:szCs w:val="21"/>
        </w:rPr>
        <w:t xml:space="preserve">联系电话：010-66001391 </w:t>
      </w:r>
    </w:p>
    <w:p w14:paraId="74D2D147">
      <w:pPr>
        <w:pStyle w:val="8"/>
        <w:spacing w:before="0" w:beforeAutospacing="0" w:after="0" w:afterAutospacing="0" w:line="360" w:lineRule="auto"/>
        <w:ind w:firstLine="420"/>
        <w:rPr>
          <w:sz w:val="21"/>
          <w:szCs w:val="21"/>
        </w:rPr>
      </w:pPr>
      <w:r>
        <w:rPr>
          <w:rFonts w:hint="eastAsia"/>
          <w:sz w:val="21"/>
          <w:szCs w:val="21"/>
        </w:rPr>
        <w:t xml:space="preserve">传真：010-66001392 </w:t>
      </w:r>
    </w:p>
    <w:p w14:paraId="2A39E7DF">
      <w:pPr>
        <w:pStyle w:val="8"/>
        <w:spacing w:before="0" w:beforeAutospacing="0" w:after="0" w:afterAutospacing="0" w:line="360" w:lineRule="auto"/>
        <w:ind w:firstLine="420"/>
        <w:rPr>
          <w:sz w:val="21"/>
          <w:szCs w:val="21"/>
        </w:rPr>
      </w:pPr>
      <w:r>
        <w:rPr>
          <w:rFonts w:hint="eastAsia"/>
          <w:sz w:val="21"/>
          <w:szCs w:val="21"/>
        </w:rPr>
        <w:t xml:space="preserve">联系人：吴琳杰 </w:t>
      </w:r>
    </w:p>
    <w:p w14:paraId="555F3AA2">
      <w:pPr>
        <w:pStyle w:val="8"/>
        <w:spacing w:before="0" w:beforeAutospacing="0" w:after="0" w:afterAutospacing="0" w:line="360" w:lineRule="auto"/>
        <w:ind w:firstLine="420"/>
        <w:rPr>
          <w:sz w:val="21"/>
          <w:szCs w:val="21"/>
        </w:rPr>
      </w:pPr>
      <w:bookmarkStart w:id="75" w:name="chapter_level1_7_56_section_3_end"/>
      <w:bookmarkEnd w:id="75"/>
      <w:r>
        <w:rPr>
          <w:rFonts w:hint="eastAsia"/>
          <w:sz w:val="21"/>
          <w:szCs w:val="21"/>
        </w:rPr>
        <w:t xml:space="preserve">经办注册会计师：薛竞 吴琳杰 </w:t>
      </w:r>
      <w:bookmarkStart w:id="76" w:name="field_0_accountingcompanyinfo_1_end"/>
      <w:bookmarkEnd w:id="76"/>
      <w:r>
        <w:rPr>
          <w:rFonts w:hint="eastAsia"/>
          <w:sz w:val="21"/>
          <w:szCs w:val="21"/>
        </w:rPr>
        <w:t xml:space="preserve">  </w:t>
      </w:r>
    </w:p>
    <w:p w14:paraId="3073AD29">
      <w:pPr>
        <w:widowControl/>
        <w:jc w:val="left"/>
        <w:rPr>
          <w:rFonts w:ascii="宋体" w:hAnsi="宋体" w:eastAsia="宋体"/>
        </w:rPr>
      </w:pPr>
      <w:r>
        <w:rPr>
          <w:rFonts w:ascii="宋体" w:hAnsi="宋体" w:eastAsia="宋体"/>
        </w:rPr>
        <w:br w:type="page"/>
      </w:r>
    </w:p>
    <w:p w14:paraId="24A4AE35">
      <w:pPr>
        <w:pStyle w:val="2"/>
        <w:jc w:val="center"/>
        <w:rPr>
          <w:rFonts w:ascii="宋体" w:hAnsi="宋体" w:eastAsia="宋体"/>
          <w:sz w:val="30"/>
        </w:rPr>
      </w:pPr>
      <w:bookmarkStart w:id="77" w:name="chapter_level1_9_58"/>
      <w:bookmarkStart w:id="78" w:name="_Toc239192432"/>
      <w:r>
        <w:rPr>
          <w:rFonts w:hint="eastAsia" w:ascii="宋体" w:hAnsi="宋体" w:eastAsia="宋体"/>
          <w:sz w:val="30"/>
        </w:rPr>
        <w:t>第六部分 基金的募集与基金合同的生效</w:t>
      </w:r>
      <w:bookmarkEnd w:id="77"/>
      <w:bookmarkEnd w:id="78"/>
    </w:p>
    <w:p w14:paraId="42FE73A2">
      <w:pPr>
        <w:pStyle w:val="8"/>
        <w:spacing w:before="0" w:beforeAutospacing="0" w:after="0" w:afterAutospacing="0" w:line="360" w:lineRule="auto"/>
        <w:ind w:firstLine="420"/>
        <w:rPr>
          <w:sz w:val="21"/>
          <w:szCs w:val="21"/>
        </w:rPr>
      </w:pPr>
      <w:bookmarkStart w:id="79" w:name="chapter_level1_9_58_section_1"/>
      <w:bookmarkEnd w:id="79"/>
      <w:r>
        <w:rPr>
          <w:rStyle w:val="12"/>
          <w:rFonts w:hint="eastAsia"/>
          <w:sz w:val="21"/>
          <w:szCs w:val="21"/>
        </w:rPr>
        <w:t>一、基金的募集</w:t>
      </w:r>
    </w:p>
    <w:p w14:paraId="1CCB7CE3">
      <w:pPr>
        <w:pStyle w:val="8"/>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w:t>
      </w:r>
      <w:bookmarkStart w:id="80" w:name="field_2343_approveddate_2"/>
      <w:r>
        <w:rPr>
          <w:sz w:val="21"/>
          <w:szCs w:val="21"/>
        </w:rPr>
        <w:t>2016年10月12日</w:t>
      </w:r>
      <w:bookmarkEnd w:id="80"/>
      <w:r>
        <w:rPr>
          <w:rFonts w:hint="eastAsia"/>
          <w:sz w:val="21"/>
          <w:szCs w:val="21"/>
        </w:rPr>
        <w:t>获中国证监会《关于准予</w:t>
      </w:r>
      <w:bookmarkStart w:id="81" w:name="field_0_productfullname_12"/>
      <w:r>
        <w:rPr>
          <w:rFonts w:hint="eastAsia"/>
          <w:sz w:val="21"/>
          <w:szCs w:val="21"/>
        </w:rPr>
        <w:t>博时民丰纯债债券型证券投资基金</w:t>
      </w:r>
      <w:bookmarkEnd w:id="81"/>
      <w:r>
        <w:rPr>
          <w:rFonts w:hint="eastAsia"/>
          <w:sz w:val="21"/>
          <w:szCs w:val="21"/>
        </w:rPr>
        <w:t>注册的批复》（证监许可</w:t>
      </w:r>
      <w:bookmarkStart w:id="82" w:name="field_2343_lotnumber_2"/>
      <w:r>
        <w:rPr>
          <w:sz w:val="21"/>
          <w:szCs w:val="21"/>
        </w:rPr>
        <w:t>[2016] 2319</w:t>
      </w:r>
      <w:bookmarkEnd w:id="82"/>
      <w:r>
        <w:rPr>
          <w:rFonts w:hint="eastAsia"/>
          <w:sz w:val="21"/>
          <w:szCs w:val="21"/>
        </w:rPr>
        <w:t xml:space="preserve">号）注册。 </w:t>
      </w:r>
    </w:p>
    <w:p w14:paraId="6494C6D2">
      <w:pPr>
        <w:pStyle w:val="8"/>
        <w:spacing w:before="0" w:beforeAutospacing="0" w:after="0" w:afterAutospacing="0" w:line="360" w:lineRule="auto"/>
        <w:ind w:firstLine="420"/>
        <w:rPr>
          <w:sz w:val="21"/>
          <w:szCs w:val="21"/>
        </w:rPr>
      </w:pPr>
      <w:r>
        <w:rPr>
          <w:rFonts w:hint="eastAsia"/>
          <w:sz w:val="21"/>
          <w:szCs w:val="21"/>
        </w:rPr>
        <w:t>本基金募集期自</w:t>
      </w:r>
      <w:bookmarkStart w:id="83" w:name="field_58_raisebegindate_1"/>
      <w:r>
        <w:rPr>
          <w:sz w:val="21"/>
          <w:szCs w:val="21"/>
        </w:rPr>
        <w:t>2016年11月28日</w:t>
      </w:r>
      <w:bookmarkEnd w:id="83"/>
      <w:r>
        <w:rPr>
          <w:rFonts w:hint="eastAsia"/>
          <w:sz w:val="21"/>
          <w:szCs w:val="21"/>
        </w:rPr>
        <w:t>至</w:t>
      </w:r>
      <w:bookmarkStart w:id="84" w:name="field_58_raiseenddate_1"/>
      <w:r>
        <w:rPr>
          <w:sz w:val="21"/>
          <w:szCs w:val="21"/>
        </w:rPr>
        <w:t>2016年11月28日</w:t>
      </w:r>
      <w:bookmarkEnd w:id="84"/>
      <w:r>
        <w:rPr>
          <w:rFonts w:hint="eastAsia"/>
          <w:sz w:val="21"/>
          <w:szCs w:val="21"/>
        </w:rPr>
        <w:t>止，基金份额共募集</w:t>
      </w:r>
      <w:bookmarkStart w:id="85" w:name="field_58_raisetotal_1"/>
      <w:r>
        <w:rPr>
          <w:sz w:val="21"/>
          <w:szCs w:val="21"/>
        </w:rPr>
        <w:t>200,114,389.12</w:t>
      </w:r>
      <w:bookmarkEnd w:id="85"/>
      <w:r>
        <w:rPr>
          <w:rFonts w:hint="eastAsia"/>
          <w:sz w:val="21"/>
          <w:szCs w:val="21"/>
        </w:rPr>
        <w:t>份（含利息结转的份额），募集有效认购总户数为</w:t>
      </w:r>
      <w:bookmarkStart w:id="86" w:name="field_58_effectivetotal_1"/>
      <w:r>
        <w:rPr>
          <w:sz w:val="21"/>
          <w:szCs w:val="21"/>
        </w:rPr>
        <w:t>771</w:t>
      </w:r>
      <w:bookmarkEnd w:id="86"/>
      <w:r>
        <w:rPr>
          <w:rFonts w:hint="eastAsia"/>
          <w:sz w:val="21"/>
          <w:szCs w:val="21"/>
        </w:rPr>
        <w:t xml:space="preserve">户。 </w:t>
      </w:r>
    </w:p>
    <w:p w14:paraId="0A676452">
      <w:pPr>
        <w:pStyle w:val="8"/>
        <w:spacing w:before="0" w:beforeAutospacing="0" w:after="0" w:afterAutospacing="0" w:line="360" w:lineRule="auto"/>
        <w:ind w:firstLine="420"/>
        <w:rPr>
          <w:sz w:val="21"/>
          <w:szCs w:val="21"/>
        </w:rPr>
      </w:pPr>
      <w:r>
        <w:rPr>
          <w:rFonts w:hint="eastAsia"/>
          <w:sz w:val="21"/>
          <w:szCs w:val="21"/>
        </w:rPr>
        <w:t>本基金的类别为</w:t>
      </w:r>
      <w:bookmarkStart w:id="87" w:name="field_0_fundclass_1"/>
      <w:r>
        <w:rPr>
          <w:rFonts w:hint="eastAsia"/>
          <w:sz w:val="21"/>
          <w:szCs w:val="21"/>
        </w:rPr>
        <w:t>债券型</w:t>
      </w:r>
      <w:bookmarkEnd w:id="87"/>
      <w:r>
        <w:rPr>
          <w:rFonts w:hint="eastAsia"/>
          <w:sz w:val="21"/>
          <w:szCs w:val="21"/>
        </w:rPr>
        <w:t>，存续期限为</w:t>
      </w:r>
      <w:bookmarkStart w:id="88" w:name="field_58_duration_1"/>
      <w:r>
        <w:rPr>
          <w:rFonts w:hint="eastAsia"/>
          <w:sz w:val="21"/>
          <w:szCs w:val="21"/>
        </w:rPr>
        <w:t>不定期</w:t>
      </w:r>
      <w:bookmarkEnd w:id="88"/>
      <w:r>
        <w:rPr>
          <w:rFonts w:hint="eastAsia"/>
          <w:sz w:val="21"/>
          <w:szCs w:val="21"/>
        </w:rPr>
        <w:t>，运作方式为</w:t>
      </w:r>
      <w:bookmarkStart w:id="89" w:name="field_58_operation_1"/>
      <w:r>
        <w:rPr>
          <w:rFonts w:hint="eastAsia"/>
          <w:sz w:val="21"/>
          <w:szCs w:val="21"/>
        </w:rPr>
        <w:t>契约型开放式</w:t>
      </w:r>
      <w:bookmarkEnd w:id="89"/>
      <w:r>
        <w:rPr>
          <w:rFonts w:hint="eastAsia"/>
          <w:sz w:val="21"/>
          <w:szCs w:val="21"/>
        </w:rPr>
        <w:t xml:space="preserve">。 </w:t>
      </w:r>
    </w:p>
    <w:p w14:paraId="4554CDE6">
      <w:pPr>
        <w:pStyle w:val="8"/>
        <w:spacing w:before="0" w:beforeAutospacing="0" w:after="0" w:afterAutospacing="0" w:line="360" w:lineRule="auto"/>
        <w:ind w:firstLine="420"/>
        <w:rPr>
          <w:sz w:val="21"/>
          <w:szCs w:val="21"/>
        </w:rPr>
      </w:pPr>
      <w:r>
        <w:rPr>
          <w:rStyle w:val="12"/>
          <w:rFonts w:hint="eastAsia"/>
          <w:sz w:val="21"/>
          <w:szCs w:val="21"/>
        </w:rPr>
        <w:t>二、基金合同的生效</w:t>
      </w:r>
    </w:p>
    <w:p w14:paraId="75EC20D8">
      <w:pPr>
        <w:pStyle w:val="8"/>
        <w:spacing w:before="0" w:beforeAutospacing="0" w:after="0" w:afterAutospacing="0" w:line="360" w:lineRule="auto"/>
        <w:ind w:firstLine="420"/>
        <w:rPr>
          <w:sz w:val="21"/>
          <w:szCs w:val="21"/>
        </w:rPr>
      </w:pPr>
      <w:bookmarkStart w:id="90" w:name="chapter_level1_9_58_section_1_end"/>
      <w:bookmarkEnd w:id="90"/>
      <w:r>
        <w:rPr>
          <w:rFonts w:hint="eastAsia"/>
          <w:sz w:val="21"/>
          <w:szCs w:val="21"/>
        </w:rPr>
        <w:t>本基金的基金合同已于</w:t>
      </w:r>
      <w:bookmarkStart w:id="91" w:name="field_0_foundday_1"/>
      <w:r>
        <w:rPr>
          <w:sz w:val="21"/>
          <w:szCs w:val="21"/>
        </w:rPr>
        <w:t>2016年11月30日</w:t>
      </w:r>
      <w:bookmarkEnd w:id="91"/>
      <w:r>
        <w:rPr>
          <w:rFonts w:hint="eastAsia"/>
          <w:sz w:val="21"/>
          <w:szCs w:val="21"/>
        </w:rPr>
        <w:t xml:space="preserve">正式生效。 </w:t>
      </w:r>
    </w:p>
    <w:p w14:paraId="31E614E5">
      <w:pPr>
        <w:pStyle w:val="8"/>
        <w:spacing w:before="0" w:beforeAutospacing="0" w:after="0" w:afterAutospacing="0" w:line="360" w:lineRule="auto"/>
        <w:ind w:firstLine="420"/>
        <w:rPr>
          <w:sz w:val="21"/>
          <w:szCs w:val="21"/>
        </w:rPr>
      </w:pPr>
      <w:bookmarkStart w:id="92" w:name="chapter_level1_9_58_section_2"/>
      <w:bookmarkEnd w:id="92"/>
      <w:r>
        <w:rPr>
          <w:rStyle w:val="12"/>
          <w:rFonts w:hint="eastAsia"/>
          <w:sz w:val="21"/>
          <w:szCs w:val="21"/>
        </w:rPr>
        <w:t>三、基金存续期内的基金份额持有人数量和资产规模</w:t>
      </w:r>
    </w:p>
    <w:p w14:paraId="4226EC30">
      <w:pPr>
        <w:pStyle w:val="8"/>
        <w:spacing w:before="0" w:beforeAutospacing="0" w:after="0" w:afterAutospacing="0" w:line="360" w:lineRule="auto"/>
        <w:ind w:firstLine="420"/>
        <w:rPr>
          <w:sz w:val="21"/>
          <w:szCs w:val="21"/>
        </w:rPr>
      </w:pPr>
      <w:r>
        <w:rPr>
          <w:rFonts w:hint="eastAsia"/>
          <w:sz w:val="21"/>
          <w:szCs w:val="21"/>
        </w:rPr>
        <w:t>基金合同生效后，连续二十个工作日出现基金份额持有人数量不满</w:t>
      </w:r>
      <w:bookmarkStart w:id="93" w:name="field_58_minsubnumber_1"/>
      <w:r>
        <w:rPr>
          <w:rFonts w:hint="eastAsia"/>
          <w:sz w:val="21"/>
          <w:szCs w:val="21"/>
        </w:rPr>
        <w:t>二百</w:t>
      </w:r>
      <w:bookmarkEnd w:id="93"/>
      <w:r>
        <w:rPr>
          <w:rFonts w:hint="eastAsia"/>
          <w:sz w:val="21"/>
          <w:szCs w:val="21"/>
        </w:rPr>
        <w:t xml:space="preserve">人或者基金资产净值低于五千万元情形的，基金管理人应当在定期报告中予以披露；连续六十个工作日出现前述情形的，本基金将根据《基金合同》中“基金合同的变更、终止与基金财产的清算”章节的约定进行基金财产清算并终止，且无需召开基金份额持有人大会，同时基金管理人应履行相关的监管报告和信息披露程序。 </w:t>
      </w:r>
    </w:p>
    <w:p w14:paraId="1DF206D9">
      <w:pPr>
        <w:pStyle w:val="8"/>
        <w:spacing w:before="0" w:beforeAutospacing="0" w:after="0" w:afterAutospacing="0" w:line="360" w:lineRule="auto"/>
        <w:ind w:firstLine="420"/>
        <w:rPr>
          <w:sz w:val="21"/>
          <w:szCs w:val="21"/>
        </w:rPr>
      </w:pPr>
      <w:bookmarkStart w:id="94" w:name="chapter_level1_9_58_section_2_end"/>
      <w:bookmarkEnd w:id="94"/>
      <w:r>
        <w:rPr>
          <w:rFonts w:hint="eastAsia"/>
          <w:sz w:val="21"/>
          <w:szCs w:val="21"/>
        </w:rPr>
        <w:t xml:space="preserve">法律法规或监管机构另有规定时，从其规定。 </w:t>
      </w:r>
    </w:p>
    <w:p w14:paraId="3D53A62F">
      <w:pPr>
        <w:widowControl/>
        <w:jc w:val="left"/>
        <w:rPr>
          <w:rFonts w:ascii="宋体" w:hAnsi="宋体" w:eastAsia="宋体"/>
        </w:rPr>
      </w:pPr>
      <w:r>
        <w:rPr>
          <w:rFonts w:ascii="宋体" w:hAnsi="宋体" w:eastAsia="宋体"/>
        </w:rPr>
        <w:br w:type="page"/>
      </w:r>
    </w:p>
    <w:p w14:paraId="641D6CA5">
      <w:pPr>
        <w:pStyle w:val="2"/>
        <w:jc w:val="center"/>
        <w:rPr>
          <w:rFonts w:ascii="宋体" w:hAnsi="宋体" w:eastAsia="宋体"/>
          <w:sz w:val="30"/>
        </w:rPr>
      </w:pPr>
      <w:bookmarkStart w:id="95" w:name="_Toc239192433"/>
      <w:bookmarkStart w:id="96" w:name="chapter_level1_10_59"/>
      <w:r>
        <w:rPr>
          <w:rFonts w:hint="eastAsia" w:ascii="宋体" w:hAnsi="宋体" w:eastAsia="宋体"/>
          <w:sz w:val="30"/>
        </w:rPr>
        <w:t>第七部分  基金份额的申购与赎回</w:t>
      </w:r>
      <w:bookmarkEnd w:id="95"/>
      <w:bookmarkEnd w:id="96"/>
    </w:p>
    <w:p w14:paraId="2743419C">
      <w:pPr>
        <w:pStyle w:val="8"/>
        <w:spacing w:before="0" w:beforeAutospacing="0" w:after="0" w:afterAutospacing="0" w:line="360" w:lineRule="auto"/>
        <w:ind w:firstLine="420"/>
        <w:rPr>
          <w:sz w:val="21"/>
          <w:szCs w:val="21"/>
        </w:rPr>
      </w:pPr>
      <w:bookmarkStart w:id="97" w:name="chapter_level1_10_59_section_1"/>
      <w:bookmarkEnd w:id="97"/>
      <w:r>
        <w:rPr>
          <w:rStyle w:val="12"/>
          <w:rFonts w:hint="eastAsia"/>
          <w:sz w:val="21"/>
          <w:szCs w:val="21"/>
        </w:rPr>
        <w:t>一、申购与赎回的场所</w:t>
      </w:r>
    </w:p>
    <w:p w14:paraId="56B87657">
      <w:pPr>
        <w:pStyle w:val="8"/>
        <w:spacing w:before="0" w:beforeAutospacing="0" w:after="0" w:afterAutospacing="0" w:line="360" w:lineRule="auto"/>
        <w:ind w:firstLine="420"/>
        <w:rPr>
          <w:sz w:val="21"/>
          <w:szCs w:val="21"/>
        </w:rPr>
      </w:pPr>
      <w:r>
        <w:rPr>
          <w:rFonts w:hint="eastAsia"/>
          <w:sz w:val="21"/>
          <w:szCs w:val="21"/>
        </w:rPr>
        <w:t xml:space="preserve">本基金的申购与赎回将通过销售机构进行。本基金的销售机构包括基金管理人和基金管理人委托的其他销售机构。 </w:t>
      </w:r>
    </w:p>
    <w:p w14:paraId="12A55575">
      <w:pPr>
        <w:pStyle w:val="8"/>
        <w:spacing w:before="0" w:beforeAutospacing="0" w:after="0" w:afterAutospacing="0" w:line="360" w:lineRule="auto"/>
        <w:ind w:firstLine="420"/>
        <w:rPr>
          <w:sz w:val="21"/>
          <w:szCs w:val="21"/>
        </w:rPr>
      </w:pPr>
      <w:r>
        <w:rPr>
          <w:rFonts w:hint="eastAsia"/>
          <w:sz w:val="21"/>
          <w:szCs w:val="21"/>
        </w:rPr>
        <w:t>基金管理人可根据情况变更或增减销售机构，并在基金管理人网站公示。基金投资者应当在销售机构办理基金销售业务的营业场所或按销售机构提供的其他方式办理基金份额的</w:t>
      </w:r>
      <w:bookmarkStart w:id="98" w:name="chapter_level1_10_59_section_1_end"/>
      <w:bookmarkEnd w:id="98"/>
      <w:r>
        <w:rPr>
          <w:rFonts w:hint="eastAsia"/>
          <w:sz w:val="21"/>
          <w:szCs w:val="21"/>
        </w:rPr>
        <w:t xml:space="preserve">申购与赎回。 </w:t>
      </w:r>
    </w:p>
    <w:p w14:paraId="48EBDF86">
      <w:pPr>
        <w:pStyle w:val="8"/>
        <w:spacing w:before="0" w:beforeAutospacing="0" w:after="0" w:afterAutospacing="0" w:line="360" w:lineRule="auto"/>
        <w:ind w:firstLine="420"/>
        <w:rPr>
          <w:sz w:val="21"/>
          <w:szCs w:val="21"/>
        </w:rPr>
      </w:pPr>
      <w:bookmarkStart w:id="99" w:name="chapter_level1_10_59_section_2"/>
      <w:bookmarkEnd w:id="99"/>
      <w:r>
        <w:rPr>
          <w:rStyle w:val="12"/>
          <w:rFonts w:hint="eastAsia"/>
          <w:sz w:val="21"/>
          <w:szCs w:val="21"/>
        </w:rPr>
        <w:t>二、申购与赎回办理的开放日及时间</w:t>
      </w:r>
    </w:p>
    <w:p w14:paraId="6199DE27">
      <w:pPr>
        <w:pStyle w:val="8"/>
        <w:spacing w:before="0" w:beforeAutospacing="0" w:after="0" w:afterAutospacing="0" w:line="360" w:lineRule="auto"/>
        <w:ind w:firstLine="420"/>
        <w:rPr>
          <w:sz w:val="21"/>
          <w:szCs w:val="21"/>
        </w:rPr>
      </w:pPr>
      <w:r>
        <w:rPr>
          <w:rFonts w:hint="eastAsia"/>
          <w:sz w:val="21"/>
          <w:szCs w:val="21"/>
        </w:rPr>
        <w:t xml:space="preserve">1、开放日及开放时间 </w:t>
      </w:r>
    </w:p>
    <w:p w14:paraId="66A70BA1">
      <w:pPr>
        <w:pStyle w:val="8"/>
        <w:spacing w:before="0" w:beforeAutospacing="0" w:after="0" w:afterAutospacing="0" w:line="360" w:lineRule="auto"/>
        <w:ind w:firstLine="420"/>
        <w:rPr>
          <w:sz w:val="21"/>
          <w:szCs w:val="21"/>
        </w:rPr>
      </w:pPr>
      <w:r>
        <w:rPr>
          <w:rFonts w:hint="eastAsia"/>
          <w:sz w:val="21"/>
          <w:szCs w:val="21"/>
        </w:rPr>
        <w:t xml:space="preserve">本基金已于2016年12月13日开通日常申购、赎回业务。 </w:t>
      </w:r>
    </w:p>
    <w:p w14:paraId="6F5F5D7E">
      <w:pPr>
        <w:pStyle w:val="8"/>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基金管理人不得在基金合同约定之外的日期或者时间办理基金份额的申购、赎回或者转换。投资人在基金合同约定之外的日期和时间提出申购、赎回、转换申请且登记机构确认接</w:t>
      </w:r>
      <w:bookmarkStart w:id="100" w:name="chapter_level1_10_59_section_2_end"/>
      <w:bookmarkEnd w:id="100"/>
      <w:r>
        <w:rPr>
          <w:rFonts w:hint="eastAsia"/>
          <w:sz w:val="21"/>
          <w:szCs w:val="21"/>
        </w:rPr>
        <w:t xml:space="preserve">受的，其基金份额申购、赎回价格为下一开放日基金份额申购、赎回的价格。 </w:t>
      </w:r>
    </w:p>
    <w:p w14:paraId="10C0B353">
      <w:pPr>
        <w:pStyle w:val="8"/>
        <w:spacing w:before="0" w:beforeAutospacing="0" w:after="0" w:afterAutospacing="0" w:line="360" w:lineRule="auto"/>
        <w:ind w:firstLine="420"/>
        <w:rPr>
          <w:sz w:val="21"/>
          <w:szCs w:val="21"/>
        </w:rPr>
      </w:pPr>
      <w:bookmarkStart w:id="101" w:name="chapter_level1_10_59_section_3"/>
      <w:bookmarkEnd w:id="101"/>
      <w:r>
        <w:rPr>
          <w:rStyle w:val="12"/>
          <w:rFonts w:hint="eastAsia"/>
          <w:sz w:val="21"/>
          <w:szCs w:val="21"/>
        </w:rPr>
        <w:t>三、申购与赎回的原则</w:t>
      </w:r>
    </w:p>
    <w:p w14:paraId="52D6E4AD">
      <w:pPr>
        <w:pStyle w:val="8"/>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14:paraId="516806EC">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03CF40F3">
      <w:pPr>
        <w:pStyle w:val="8"/>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7C388D3A">
      <w:pPr>
        <w:pStyle w:val="8"/>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60AF7389">
      <w:pPr>
        <w:pStyle w:val="8"/>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 </w:t>
      </w:r>
    </w:p>
    <w:p w14:paraId="27494D08">
      <w:pPr>
        <w:pStyle w:val="8"/>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14:paraId="44DE2BA7">
      <w:pPr>
        <w:pStyle w:val="8"/>
        <w:spacing w:before="0" w:beforeAutospacing="0" w:after="0" w:afterAutospacing="0" w:line="360" w:lineRule="auto"/>
        <w:ind w:firstLine="420"/>
        <w:rPr>
          <w:sz w:val="21"/>
          <w:szCs w:val="21"/>
        </w:rPr>
      </w:pPr>
      <w:r>
        <w:rPr>
          <w:rStyle w:val="12"/>
          <w:rFonts w:hint="eastAsia"/>
          <w:sz w:val="21"/>
          <w:szCs w:val="21"/>
        </w:rPr>
        <w:t>四、申购与赎回的数额限制</w:t>
      </w:r>
    </w:p>
    <w:p w14:paraId="79F658EE">
      <w:pPr>
        <w:pStyle w:val="8"/>
        <w:spacing w:before="0" w:beforeAutospacing="0" w:after="0" w:afterAutospacing="0" w:line="360" w:lineRule="auto"/>
        <w:ind w:firstLine="420"/>
        <w:rPr>
          <w:sz w:val="21"/>
          <w:szCs w:val="21"/>
        </w:rPr>
      </w:pPr>
      <w:r>
        <w:rPr>
          <w:rFonts w:hint="eastAsia"/>
          <w:sz w:val="21"/>
          <w:szCs w:val="21"/>
        </w:rPr>
        <w:t xml:space="preserve">1、投资人首次购买本基金A类基金份额或C类基金份额的最低金额为10.00元，追加购买最低金额为10.00元；详情请见当地销售机构公告； </w:t>
      </w:r>
    </w:p>
    <w:p w14:paraId="28F47330">
      <w:pPr>
        <w:pStyle w:val="8"/>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102" w:name="field_0_minholdshare_1"/>
      <w:r>
        <w:rPr>
          <w:sz w:val="21"/>
          <w:szCs w:val="21"/>
        </w:rPr>
        <w:t>10.00</w:t>
      </w:r>
      <w:bookmarkEnd w:id="102"/>
      <w:r>
        <w:rPr>
          <w:rFonts w:hint="eastAsia"/>
          <w:sz w:val="21"/>
          <w:szCs w:val="21"/>
        </w:rPr>
        <w:t>份，若某笔赎回导致单个交易账户的基金份额余额少于</w:t>
      </w:r>
      <w:bookmarkStart w:id="103" w:name="field_0_minholdshare_2"/>
      <w:r>
        <w:rPr>
          <w:sz w:val="21"/>
          <w:szCs w:val="21"/>
        </w:rPr>
        <w:t>10.00</w:t>
      </w:r>
      <w:bookmarkEnd w:id="103"/>
      <w:r>
        <w:rPr>
          <w:rFonts w:hint="eastAsia"/>
          <w:sz w:val="21"/>
          <w:szCs w:val="21"/>
        </w:rPr>
        <w:t xml:space="preserve">份时，余额部分基金份额必须一同赎回； </w:t>
      </w:r>
    </w:p>
    <w:p w14:paraId="667BAAC1">
      <w:pPr>
        <w:pStyle w:val="8"/>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更新的招募说明书或相关公告，但需符合法律法规、监管机构的规定或基金合同的约定； </w:t>
      </w:r>
    </w:p>
    <w:p w14:paraId="3615760A">
      <w:pPr>
        <w:pStyle w:val="8"/>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 </w:t>
      </w:r>
    </w:p>
    <w:p w14:paraId="5510058D">
      <w:pPr>
        <w:pStyle w:val="8"/>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5、基金管理人可在法律法规允许的情况下，调整上述规定申购金额和赎回份额的数量限制。基金管理人必须在调整实施前依照《信息披露办法》的有关规定在指定媒介上进行公告。 </w:t>
      </w:r>
    </w:p>
    <w:p w14:paraId="23321DD9">
      <w:pPr>
        <w:pStyle w:val="8"/>
        <w:spacing w:before="0" w:beforeAutospacing="0" w:after="0" w:afterAutospacing="0" w:line="360" w:lineRule="auto"/>
        <w:ind w:firstLine="420"/>
        <w:rPr>
          <w:sz w:val="21"/>
          <w:szCs w:val="21"/>
        </w:rPr>
      </w:pPr>
      <w:r>
        <w:rPr>
          <w:rStyle w:val="12"/>
          <w:rFonts w:hint="eastAsia"/>
          <w:sz w:val="21"/>
          <w:szCs w:val="21"/>
        </w:rPr>
        <w:t>五、申购与赎回的程序</w:t>
      </w:r>
    </w:p>
    <w:p w14:paraId="000519AC">
      <w:pPr>
        <w:pStyle w:val="8"/>
        <w:spacing w:before="0" w:beforeAutospacing="0" w:after="0" w:afterAutospacing="0" w:line="360" w:lineRule="auto"/>
        <w:ind w:firstLine="420"/>
        <w:rPr>
          <w:sz w:val="21"/>
          <w:szCs w:val="21"/>
        </w:rPr>
      </w:pPr>
      <w:r>
        <w:rPr>
          <w:rFonts w:hint="eastAsia"/>
          <w:sz w:val="21"/>
          <w:szCs w:val="21"/>
        </w:rPr>
        <w:t xml:space="preserve">1、申购和赎回的申请方式 </w:t>
      </w:r>
    </w:p>
    <w:p w14:paraId="773D664C">
      <w:pPr>
        <w:pStyle w:val="8"/>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00AB10A6">
      <w:pPr>
        <w:pStyle w:val="8"/>
        <w:spacing w:before="0" w:beforeAutospacing="0" w:after="0" w:afterAutospacing="0" w:line="360" w:lineRule="auto"/>
        <w:ind w:firstLine="420"/>
        <w:rPr>
          <w:sz w:val="21"/>
          <w:szCs w:val="21"/>
        </w:rPr>
      </w:pPr>
      <w:r>
        <w:rPr>
          <w:rFonts w:hint="eastAsia"/>
          <w:sz w:val="21"/>
          <w:szCs w:val="21"/>
        </w:rPr>
        <w:t xml:space="preserve">2、申购和赎回的款项支付 </w:t>
      </w:r>
    </w:p>
    <w:p w14:paraId="3B3517CD">
      <w:pPr>
        <w:pStyle w:val="8"/>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14:paraId="3BF70332">
      <w:pPr>
        <w:pStyle w:val="8"/>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生效后，基金管理人将在T＋7日(包括该日)内支付赎回款项。在发生巨额赎回或基金合同约定的其他暂停赎回或延缓支付赎回款项的情形时，款项的支付办法参照基金合同有关条款处理。 </w:t>
      </w:r>
    </w:p>
    <w:p w14:paraId="17AFD2D3">
      <w:pPr>
        <w:pStyle w:val="8"/>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 </w:t>
      </w:r>
    </w:p>
    <w:p w14:paraId="6F6E63DB">
      <w:pPr>
        <w:pStyle w:val="8"/>
        <w:spacing w:before="0" w:beforeAutospacing="0" w:after="0" w:afterAutospacing="0" w:line="360" w:lineRule="auto"/>
        <w:ind w:firstLine="420"/>
        <w:rPr>
          <w:sz w:val="21"/>
          <w:szCs w:val="21"/>
        </w:rPr>
      </w:pPr>
      <w:r>
        <w:rPr>
          <w:rFonts w:hint="eastAsia"/>
          <w:sz w:val="21"/>
          <w:szCs w:val="21"/>
        </w:rPr>
        <w:t xml:space="preserve">3、申购和赎回申请的确认 </w:t>
      </w:r>
    </w:p>
    <w:p w14:paraId="1167EE37">
      <w:pPr>
        <w:pStyle w:val="8"/>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14:paraId="6AC2B588">
      <w:pPr>
        <w:pStyle w:val="8"/>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228E56D9">
      <w:pPr>
        <w:pStyle w:val="8"/>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14:paraId="40B1D79B">
      <w:pPr>
        <w:pStyle w:val="8"/>
        <w:spacing w:before="0" w:beforeAutospacing="0" w:after="0" w:afterAutospacing="0" w:line="360" w:lineRule="auto"/>
        <w:ind w:firstLine="420"/>
        <w:rPr>
          <w:sz w:val="21"/>
          <w:szCs w:val="21"/>
        </w:rPr>
      </w:pPr>
      <w:r>
        <w:rPr>
          <w:rStyle w:val="12"/>
          <w:rFonts w:hint="eastAsia"/>
          <w:sz w:val="21"/>
          <w:szCs w:val="21"/>
        </w:rPr>
        <w:t>六、申购费率、赎回费率</w:t>
      </w:r>
    </w:p>
    <w:p w14:paraId="04351CE9">
      <w:pPr>
        <w:pStyle w:val="8"/>
        <w:spacing w:before="0" w:beforeAutospacing="0" w:after="0" w:afterAutospacing="0" w:line="360" w:lineRule="auto"/>
        <w:ind w:firstLine="420"/>
        <w:rPr>
          <w:sz w:val="21"/>
          <w:szCs w:val="21"/>
        </w:rPr>
      </w:pPr>
      <w:r>
        <w:rPr>
          <w:rFonts w:hint="eastAsia"/>
          <w:sz w:val="21"/>
          <w:szCs w:val="21"/>
        </w:rPr>
        <w:t xml:space="preserve">1、本基金A类基金份额在申购时收取申购费用，且随申购金额的增加而递减，C类基金份额不收取申购费用。具体如下表所示： </w:t>
      </w:r>
    </w:p>
    <w:p w14:paraId="11D16F83">
      <w:pPr>
        <w:pStyle w:val="8"/>
        <w:spacing w:before="0" w:beforeAutospacing="0" w:after="0" w:afterAutospacing="0" w:line="360" w:lineRule="auto"/>
        <w:ind w:firstLine="420"/>
        <w:rPr>
          <w:sz w:val="21"/>
          <w:szCs w:val="21"/>
        </w:rPr>
      </w:pPr>
      <w:r>
        <w:rPr>
          <w:rFonts w:hint="eastAsia"/>
          <w:sz w:val="21"/>
          <w:szCs w:val="21"/>
        </w:rPr>
        <w:t>表</w:t>
      </w:r>
      <w:r>
        <w:rPr>
          <w:rFonts w:hint="eastAsia"/>
          <w:sz w:val="21"/>
          <w:szCs w:val="21"/>
          <w:lang w:val="en-US" w:eastAsia="zh-CN"/>
        </w:rPr>
        <w:t>1</w:t>
      </w:r>
      <w:r>
        <w:rPr>
          <w:rFonts w:hint="eastAsia"/>
          <w:sz w:val="21"/>
          <w:szCs w:val="21"/>
        </w:rPr>
        <w:t xml:space="preserve">：本基金份额的申购费率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6"/>
        <w:gridCol w:w="2264"/>
        <w:gridCol w:w="2264"/>
      </w:tblGrid>
      <w:tr w14:paraId="77346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C511E4">
            <w:pPr>
              <w:rPr>
                <w:rFonts w:ascii="宋体" w:hAnsi="宋体" w:eastAsia="宋体" w:cs="宋体"/>
                <w:sz w:val="24"/>
                <w:szCs w:val="24"/>
              </w:rPr>
            </w:pPr>
            <w:r>
              <w:rPr>
                <w:rFonts w:hint="eastAsia" w:ascii="宋体" w:hAnsi="宋体" w:eastAsia="宋体"/>
              </w:rPr>
              <w:t xml:space="preserve">购买金额（M） </w:t>
            </w:r>
          </w:p>
        </w:tc>
        <w:tc>
          <w:tcPr>
            <w:tcW w:w="0" w:type="auto"/>
            <w:shd w:val="clear" w:color="auto" w:fill="auto"/>
          </w:tcPr>
          <w:p w14:paraId="31689530">
            <w:pPr>
              <w:rPr>
                <w:rFonts w:ascii="宋体" w:hAnsi="宋体" w:eastAsia="宋体" w:cs="宋体"/>
                <w:sz w:val="24"/>
                <w:szCs w:val="24"/>
              </w:rPr>
            </w:pPr>
            <w:r>
              <w:rPr>
                <w:rFonts w:hint="eastAsia" w:ascii="宋体" w:hAnsi="宋体" w:eastAsia="宋体"/>
              </w:rPr>
              <w:t xml:space="preserve">A类基金份额申购费率 </w:t>
            </w:r>
          </w:p>
        </w:tc>
        <w:tc>
          <w:tcPr>
            <w:tcW w:w="0" w:type="auto"/>
            <w:shd w:val="clear" w:color="auto" w:fill="auto"/>
          </w:tcPr>
          <w:p w14:paraId="1F131BA6">
            <w:pPr>
              <w:rPr>
                <w:rFonts w:ascii="宋体" w:hAnsi="宋体" w:eastAsia="宋体" w:cs="宋体"/>
                <w:sz w:val="24"/>
                <w:szCs w:val="24"/>
              </w:rPr>
            </w:pPr>
            <w:r>
              <w:rPr>
                <w:rFonts w:hint="eastAsia" w:ascii="宋体" w:hAnsi="宋体" w:eastAsia="宋体"/>
              </w:rPr>
              <w:t xml:space="preserve">C类基金份额申购费率 </w:t>
            </w:r>
          </w:p>
        </w:tc>
      </w:tr>
      <w:tr w14:paraId="35A5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E2BBB9">
            <w:pPr>
              <w:rPr>
                <w:rFonts w:ascii="宋体" w:hAnsi="宋体" w:eastAsia="宋体" w:cs="宋体"/>
                <w:sz w:val="24"/>
                <w:szCs w:val="24"/>
              </w:rPr>
            </w:pPr>
            <w:r>
              <w:rPr>
                <w:rFonts w:hint="eastAsia" w:ascii="宋体" w:hAnsi="宋体" w:eastAsia="宋体"/>
              </w:rPr>
              <w:t xml:space="preserve">M＜100万元 </w:t>
            </w:r>
          </w:p>
        </w:tc>
        <w:tc>
          <w:tcPr>
            <w:tcW w:w="0" w:type="auto"/>
            <w:shd w:val="clear" w:color="auto" w:fill="auto"/>
          </w:tcPr>
          <w:p w14:paraId="45D43CA9">
            <w:pPr>
              <w:rPr>
                <w:rFonts w:ascii="宋体" w:hAnsi="宋体" w:eastAsia="宋体" w:cs="宋体"/>
                <w:sz w:val="24"/>
                <w:szCs w:val="24"/>
              </w:rPr>
            </w:pPr>
            <w:r>
              <w:rPr>
                <w:rFonts w:hint="eastAsia" w:ascii="宋体" w:hAnsi="宋体" w:eastAsia="宋体"/>
              </w:rPr>
              <w:t xml:space="preserve">0.80% </w:t>
            </w:r>
          </w:p>
        </w:tc>
        <w:tc>
          <w:tcPr>
            <w:tcW w:w="0" w:type="auto"/>
            <w:vMerge w:val="restart"/>
            <w:shd w:val="clear" w:color="auto" w:fill="auto"/>
          </w:tcPr>
          <w:p w14:paraId="31209103">
            <w:pPr>
              <w:rPr>
                <w:rFonts w:ascii="宋体" w:hAnsi="宋体" w:eastAsia="宋体" w:cs="宋体"/>
                <w:sz w:val="24"/>
                <w:szCs w:val="24"/>
              </w:rPr>
            </w:pPr>
            <w:r>
              <w:rPr>
                <w:rFonts w:hint="eastAsia" w:ascii="宋体" w:hAnsi="宋体" w:eastAsia="宋体"/>
              </w:rPr>
              <w:t xml:space="preserve">0 </w:t>
            </w:r>
          </w:p>
        </w:tc>
      </w:tr>
      <w:tr w14:paraId="2DA1D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E84FA6">
            <w:pPr>
              <w:rPr>
                <w:rFonts w:ascii="宋体" w:hAnsi="宋体" w:eastAsia="宋体" w:cs="宋体"/>
                <w:sz w:val="24"/>
                <w:szCs w:val="24"/>
              </w:rPr>
            </w:pPr>
            <w:r>
              <w:rPr>
                <w:rFonts w:hint="eastAsia" w:ascii="宋体" w:hAnsi="宋体" w:eastAsia="宋体"/>
              </w:rPr>
              <w:t xml:space="preserve">100万元≤M＜300万元 </w:t>
            </w:r>
          </w:p>
        </w:tc>
        <w:tc>
          <w:tcPr>
            <w:tcW w:w="0" w:type="auto"/>
            <w:shd w:val="clear" w:color="auto" w:fill="auto"/>
          </w:tcPr>
          <w:p w14:paraId="3FFBDD6E">
            <w:pPr>
              <w:rPr>
                <w:rFonts w:ascii="宋体" w:hAnsi="宋体" w:eastAsia="宋体" w:cs="宋体"/>
                <w:sz w:val="24"/>
                <w:szCs w:val="24"/>
              </w:rPr>
            </w:pPr>
            <w:r>
              <w:rPr>
                <w:rFonts w:hint="eastAsia" w:ascii="宋体" w:hAnsi="宋体" w:eastAsia="宋体"/>
              </w:rPr>
              <w:t xml:space="preserve">0.50% </w:t>
            </w:r>
          </w:p>
        </w:tc>
        <w:tc>
          <w:tcPr>
            <w:tcW w:w="0" w:type="auto"/>
            <w:vMerge w:val="continue"/>
            <w:shd w:val="clear" w:color="auto" w:fill="auto"/>
          </w:tcPr>
          <w:p w14:paraId="3AAF07C3">
            <w:pPr>
              <w:rPr>
                <w:rFonts w:ascii="宋体" w:hAnsi="宋体" w:eastAsia="宋体" w:cs="宋体"/>
                <w:sz w:val="24"/>
                <w:szCs w:val="24"/>
              </w:rPr>
            </w:pPr>
          </w:p>
        </w:tc>
      </w:tr>
      <w:tr w14:paraId="10DDC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5E145D">
            <w:pPr>
              <w:rPr>
                <w:rFonts w:ascii="宋体" w:hAnsi="宋体" w:eastAsia="宋体" w:cs="宋体"/>
                <w:sz w:val="24"/>
                <w:szCs w:val="24"/>
              </w:rPr>
            </w:pPr>
            <w:r>
              <w:rPr>
                <w:rFonts w:hint="eastAsia" w:ascii="宋体" w:hAnsi="宋体" w:eastAsia="宋体"/>
              </w:rPr>
              <w:t xml:space="preserve">300万元≤M＜500万元 </w:t>
            </w:r>
          </w:p>
        </w:tc>
        <w:tc>
          <w:tcPr>
            <w:tcW w:w="0" w:type="auto"/>
            <w:shd w:val="clear" w:color="auto" w:fill="auto"/>
          </w:tcPr>
          <w:p w14:paraId="41D6ED95">
            <w:pPr>
              <w:rPr>
                <w:rFonts w:ascii="宋体" w:hAnsi="宋体" w:eastAsia="宋体" w:cs="宋体"/>
                <w:sz w:val="24"/>
                <w:szCs w:val="24"/>
              </w:rPr>
            </w:pPr>
            <w:r>
              <w:rPr>
                <w:rFonts w:hint="eastAsia" w:ascii="宋体" w:hAnsi="宋体" w:eastAsia="宋体"/>
              </w:rPr>
              <w:t xml:space="preserve">0.30% </w:t>
            </w:r>
          </w:p>
        </w:tc>
        <w:tc>
          <w:tcPr>
            <w:tcW w:w="0" w:type="auto"/>
            <w:vMerge w:val="continue"/>
            <w:shd w:val="clear" w:color="auto" w:fill="auto"/>
          </w:tcPr>
          <w:p w14:paraId="14A8DEBA">
            <w:pPr>
              <w:rPr>
                <w:rFonts w:ascii="宋体" w:hAnsi="宋体" w:eastAsia="宋体" w:cs="宋体"/>
                <w:sz w:val="24"/>
                <w:szCs w:val="24"/>
              </w:rPr>
            </w:pPr>
          </w:p>
        </w:tc>
      </w:tr>
      <w:tr w14:paraId="3D5DC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885D94">
            <w:pPr>
              <w:rPr>
                <w:rFonts w:ascii="宋体" w:hAnsi="宋体" w:eastAsia="宋体" w:cs="宋体"/>
                <w:sz w:val="24"/>
                <w:szCs w:val="24"/>
              </w:rPr>
            </w:pPr>
            <w:r>
              <w:rPr>
                <w:rFonts w:hint="eastAsia" w:ascii="宋体" w:hAnsi="宋体" w:eastAsia="宋体"/>
              </w:rPr>
              <w:t xml:space="preserve">M≥500万元 </w:t>
            </w:r>
          </w:p>
        </w:tc>
        <w:tc>
          <w:tcPr>
            <w:tcW w:w="0" w:type="auto"/>
            <w:shd w:val="clear" w:color="auto" w:fill="auto"/>
          </w:tcPr>
          <w:p w14:paraId="55A8BFF1">
            <w:pPr>
              <w:rPr>
                <w:rFonts w:ascii="宋体" w:hAnsi="宋体" w:eastAsia="宋体" w:cs="宋体"/>
                <w:sz w:val="24"/>
                <w:szCs w:val="24"/>
              </w:rPr>
            </w:pPr>
            <w:r>
              <w:rPr>
                <w:rFonts w:hint="eastAsia" w:ascii="宋体" w:hAnsi="宋体" w:eastAsia="宋体"/>
              </w:rPr>
              <w:t xml:space="preserve">1000元/笔 </w:t>
            </w:r>
          </w:p>
        </w:tc>
        <w:tc>
          <w:tcPr>
            <w:tcW w:w="0" w:type="auto"/>
            <w:vMerge w:val="continue"/>
            <w:shd w:val="clear" w:color="auto" w:fill="auto"/>
          </w:tcPr>
          <w:p w14:paraId="2C0C8361">
            <w:pPr>
              <w:rPr>
                <w:rFonts w:ascii="宋体" w:hAnsi="宋体" w:eastAsia="宋体" w:cs="宋体"/>
                <w:sz w:val="24"/>
                <w:szCs w:val="24"/>
              </w:rPr>
            </w:pPr>
          </w:p>
        </w:tc>
      </w:tr>
    </w:tbl>
    <w:p w14:paraId="5677C720">
      <w:pPr>
        <w:pStyle w:val="8"/>
        <w:spacing w:before="0" w:beforeAutospacing="0" w:after="0" w:afterAutospacing="0" w:line="360" w:lineRule="auto"/>
        <w:ind w:firstLine="420"/>
        <w:rPr>
          <w:sz w:val="21"/>
          <w:szCs w:val="21"/>
        </w:rPr>
      </w:pPr>
      <w:r>
        <w:rPr>
          <w:rFonts w:hint="eastAsia"/>
          <w:sz w:val="21"/>
          <w:szCs w:val="21"/>
        </w:rPr>
        <w:t xml:space="preserve">2、本基金的赎回费率如下表所示： </w:t>
      </w:r>
    </w:p>
    <w:p w14:paraId="5DA2670E">
      <w:pPr>
        <w:pStyle w:val="8"/>
        <w:spacing w:before="0" w:beforeAutospacing="0" w:after="0" w:afterAutospacing="0" w:line="360" w:lineRule="auto"/>
        <w:ind w:firstLine="420"/>
        <w:rPr>
          <w:sz w:val="21"/>
          <w:szCs w:val="21"/>
        </w:rPr>
      </w:pPr>
      <w:r>
        <w:rPr>
          <w:rFonts w:hint="eastAsia"/>
          <w:sz w:val="21"/>
          <w:szCs w:val="21"/>
        </w:rPr>
        <w:t>表</w:t>
      </w:r>
      <w:r>
        <w:rPr>
          <w:rFonts w:hint="eastAsia"/>
          <w:sz w:val="21"/>
          <w:szCs w:val="21"/>
          <w:lang w:val="en-US" w:eastAsia="zh-CN"/>
        </w:rPr>
        <w:t>2</w:t>
      </w:r>
      <w:r>
        <w:rPr>
          <w:rFonts w:hint="eastAsia"/>
          <w:sz w:val="21"/>
          <w:szCs w:val="21"/>
        </w:rPr>
        <w:t xml:space="preserve">：本基金的赎回费率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844"/>
        <w:gridCol w:w="1844"/>
      </w:tblGrid>
      <w:tr w14:paraId="71FD4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E67655">
            <w:pPr>
              <w:rPr>
                <w:rFonts w:ascii="宋体" w:hAnsi="宋体" w:eastAsia="宋体" w:cs="宋体"/>
                <w:sz w:val="24"/>
                <w:szCs w:val="24"/>
              </w:rPr>
            </w:pPr>
            <w:r>
              <w:rPr>
                <w:rFonts w:hint="eastAsia" w:ascii="宋体" w:hAnsi="宋体" w:eastAsia="宋体"/>
              </w:rPr>
              <w:t xml:space="preserve">持有基金份额期限（Y） </w:t>
            </w:r>
          </w:p>
        </w:tc>
        <w:tc>
          <w:tcPr>
            <w:tcW w:w="0" w:type="auto"/>
            <w:shd w:val="clear" w:color="auto" w:fill="auto"/>
          </w:tcPr>
          <w:p w14:paraId="00F1FD13">
            <w:pPr>
              <w:rPr>
                <w:rFonts w:ascii="宋体" w:hAnsi="宋体" w:eastAsia="宋体" w:cs="宋体"/>
                <w:sz w:val="24"/>
                <w:szCs w:val="24"/>
              </w:rPr>
            </w:pPr>
            <w:r>
              <w:rPr>
                <w:rFonts w:hint="eastAsia" w:ascii="宋体" w:hAnsi="宋体" w:eastAsia="宋体"/>
              </w:rPr>
              <w:t xml:space="preserve">A类份额赎回费率 </w:t>
            </w:r>
          </w:p>
        </w:tc>
        <w:tc>
          <w:tcPr>
            <w:tcW w:w="0" w:type="auto"/>
            <w:shd w:val="clear" w:color="auto" w:fill="auto"/>
          </w:tcPr>
          <w:p w14:paraId="6E530648">
            <w:pPr>
              <w:rPr>
                <w:rFonts w:ascii="宋体" w:hAnsi="宋体" w:eastAsia="宋体" w:cs="宋体"/>
                <w:sz w:val="24"/>
                <w:szCs w:val="24"/>
              </w:rPr>
            </w:pPr>
            <w:r>
              <w:rPr>
                <w:rFonts w:hint="eastAsia" w:ascii="宋体" w:hAnsi="宋体" w:eastAsia="宋体"/>
              </w:rPr>
              <w:t xml:space="preserve">C类份额赎回费率 </w:t>
            </w:r>
          </w:p>
        </w:tc>
      </w:tr>
      <w:tr w14:paraId="0A74D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0DFE72">
            <w:pPr>
              <w:rPr>
                <w:rFonts w:ascii="宋体" w:hAnsi="宋体" w:eastAsia="宋体" w:cs="宋体"/>
                <w:sz w:val="24"/>
                <w:szCs w:val="24"/>
              </w:rPr>
            </w:pPr>
            <w:r>
              <w:rPr>
                <w:rFonts w:hint="eastAsia" w:ascii="宋体" w:hAnsi="宋体" w:eastAsia="宋体"/>
              </w:rPr>
              <w:t xml:space="preserve">Y &lt; 7日 </w:t>
            </w:r>
          </w:p>
        </w:tc>
        <w:tc>
          <w:tcPr>
            <w:tcW w:w="0" w:type="auto"/>
            <w:shd w:val="clear" w:color="auto" w:fill="auto"/>
          </w:tcPr>
          <w:p w14:paraId="3DD9638E">
            <w:pPr>
              <w:rPr>
                <w:rFonts w:ascii="宋体" w:hAnsi="宋体" w:eastAsia="宋体" w:cs="宋体"/>
                <w:sz w:val="24"/>
                <w:szCs w:val="24"/>
              </w:rPr>
            </w:pPr>
            <w:r>
              <w:rPr>
                <w:rFonts w:hint="eastAsia" w:ascii="宋体" w:hAnsi="宋体" w:eastAsia="宋体"/>
              </w:rPr>
              <w:t xml:space="preserve">1.50% </w:t>
            </w:r>
          </w:p>
        </w:tc>
        <w:tc>
          <w:tcPr>
            <w:tcW w:w="0" w:type="auto"/>
            <w:shd w:val="clear" w:color="auto" w:fill="auto"/>
          </w:tcPr>
          <w:p w14:paraId="28429E58">
            <w:pPr>
              <w:rPr>
                <w:rFonts w:ascii="宋体" w:hAnsi="宋体" w:eastAsia="宋体" w:cs="宋体"/>
                <w:sz w:val="24"/>
                <w:szCs w:val="24"/>
              </w:rPr>
            </w:pPr>
            <w:r>
              <w:rPr>
                <w:rFonts w:hint="eastAsia" w:ascii="宋体" w:hAnsi="宋体" w:eastAsia="宋体"/>
              </w:rPr>
              <w:t xml:space="preserve">1.50% </w:t>
            </w:r>
          </w:p>
        </w:tc>
      </w:tr>
      <w:tr w14:paraId="71B9B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BB4FC5">
            <w:pPr>
              <w:rPr>
                <w:rFonts w:ascii="宋体" w:hAnsi="宋体" w:eastAsia="宋体" w:cs="宋体"/>
                <w:sz w:val="24"/>
                <w:szCs w:val="24"/>
              </w:rPr>
            </w:pPr>
            <w:r>
              <w:rPr>
                <w:rFonts w:hint="eastAsia" w:ascii="宋体" w:hAnsi="宋体" w:eastAsia="宋体"/>
              </w:rPr>
              <w:t xml:space="preserve">7日≤Y＜1个月 </w:t>
            </w:r>
          </w:p>
        </w:tc>
        <w:tc>
          <w:tcPr>
            <w:tcW w:w="0" w:type="auto"/>
            <w:shd w:val="clear" w:color="auto" w:fill="auto"/>
          </w:tcPr>
          <w:p w14:paraId="3EBF7C8B">
            <w:pPr>
              <w:rPr>
                <w:rFonts w:ascii="宋体" w:hAnsi="宋体" w:eastAsia="宋体" w:cs="宋体"/>
                <w:sz w:val="24"/>
                <w:szCs w:val="24"/>
              </w:rPr>
            </w:pPr>
            <w:r>
              <w:rPr>
                <w:rFonts w:hint="eastAsia" w:ascii="宋体" w:hAnsi="宋体" w:eastAsia="宋体"/>
              </w:rPr>
              <w:t xml:space="preserve">0.10% </w:t>
            </w:r>
          </w:p>
        </w:tc>
        <w:tc>
          <w:tcPr>
            <w:tcW w:w="0" w:type="auto"/>
            <w:shd w:val="clear" w:color="auto" w:fill="auto"/>
          </w:tcPr>
          <w:p w14:paraId="7D71B4A0">
            <w:pPr>
              <w:rPr>
                <w:rFonts w:ascii="宋体" w:hAnsi="宋体" w:eastAsia="宋体" w:cs="宋体"/>
                <w:sz w:val="24"/>
                <w:szCs w:val="24"/>
              </w:rPr>
            </w:pPr>
            <w:r>
              <w:rPr>
                <w:rFonts w:hint="eastAsia" w:ascii="宋体" w:hAnsi="宋体" w:eastAsia="宋体"/>
              </w:rPr>
              <w:t xml:space="preserve">0.10% </w:t>
            </w:r>
          </w:p>
        </w:tc>
      </w:tr>
      <w:tr w14:paraId="75175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8E1CE1">
            <w:pPr>
              <w:rPr>
                <w:rFonts w:ascii="宋体" w:hAnsi="宋体" w:eastAsia="宋体" w:cs="宋体"/>
                <w:sz w:val="24"/>
                <w:szCs w:val="24"/>
              </w:rPr>
            </w:pPr>
            <w:r>
              <w:rPr>
                <w:rFonts w:hint="eastAsia" w:ascii="宋体" w:hAnsi="宋体" w:eastAsia="宋体"/>
              </w:rPr>
              <w:t xml:space="preserve">1个月≤Y＜3个月 </w:t>
            </w:r>
          </w:p>
        </w:tc>
        <w:tc>
          <w:tcPr>
            <w:tcW w:w="0" w:type="auto"/>
            <w:shd w:val="clear" w:color="auto" w:fill="auto"/>
          </w:tcPr>
          <w:p w14:paraId="6FC1B444">
            <w:pPr>
              <w:rPr>
                <w:rFonts w:ascii="宋体" w:hAnsi="宋体" w:eastAsia="宋体" w:cs="宋体"/>
                <w:sz w:val="24"/>
                <w:szCs w:val="24"/>
              </w:rPr>
            </w:pPr>
            <w:r>
              <w:rPr>
                <w:rFonts w:hint="eastAsia" w:ascii="宋体" w:hAnsi="宋体" w:eastAsia="宋体"/>
              </w:rPr>
              <w:t xml:space="preserve">0.10% </w:t>
            </w:r>
          </w:p>
        </w:tc>
        <w:tc>
          <w:tcPr>
            <w:tcW w:w="0" w:type="auto"/>
            <w:shd w:val="clear" w:color="auto" w:fill="auto"/>
          </w:tcPr>
          <w:p w14:paraId="20902654">
            <w:pPr>
              <w:rPr>
                <w:rFonts w:ascii="宋体" w:hAnsi="宋体" w:eastAsia="宋体" w:cs="宋体"/>
                <w:sz w:val="24"/>
                <w:szCs w:val="24"/>
              </w:rPr>
            </w:pPr>
            <w:r>
              <w:rPr>
                <w:rFonts w:hint="eastAsia" w:ascii="宋体" w:hAnsi="宋体" w:eastAsia="宋体"/>
              </w:rPr>
              <w:t xml:space="preserve">0 </w:t>
            </w:r>
          </w:p>
        </w:tc>
      </w:tr>
      <w:tr w14:paraId="2A455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AEF9A4">
            <w:pPr>
              <w:rPr>
                <w:rFonts w:ascii="宋体" w:hAnsi="宋体" w:eastAsia="宋体" w:cs="宋体"/>
                <w:sz w:val="24"/>
                <w:szCs w:val="24"/>
              </w:rPr>
            </w:pPr>
            <w:r>
              <w:rPr>
                <w:rFonts w:hint="eastAsia" w:ascii="宋体" w:hAnsi="宋体" w:eastAsia="宋体"/>
              </w:rPr>
              <w:t xml:space="preserve">Y ≥3个月 </w:t>
            </w:r>
          </w:p>
        </w:tc>
        <w:tc>
          <w:tcPr>
            <w:tcW w:w="0" w:type="auto"/>
            <w:shd w:val="clear" w:color="auto" w:fill="auto"/>
          </w:tcPr>
          <w:p w14:paraId="33EF62BC">
            <w:pPr>
              <w:rPr>
                <w:rFonts w:ascii="宋体" w:hAnsi="宋体" w:eastAsia="宋体" w:cs="宋体"/>
                <w:sz w:val="24"/>
                <w:szCs w:val="24"/>
              </w:rPr>
            </w:pPr>
            <w:r>
              <w:rPr>
                <w:rFonts w:hint="eastAsia" w:ascii="宋体" w:hAnsi="宋体" w:eastAsia="宋体"/>
              </w:rPr>
              <w:t xml:space="preserve">0 </w:t>
            </w:r>
          </w:p>
        </w:tc>
        <w:tc>
          <w:tcPr>
            <w:tcW w:w="0" w:type="auto"/>
            <w:shd w:val="clear" w:color="auto" w:fill="auto"/>
          </w:tcPr>
          <w:p w14:paraId="7126E887">
            <w:pPr>
              <w:rPr>
                <w:rFonts w:ascii="宋体" w:hAnsi="宋体" w:eastAsia="宋体" w:cs="宋体"/>
                <w:sz w:val="24"/>
                <w:szCs w:val="24"/>
              </w:rPr>
            </w:pPr>
            <w:r>
              <w:rPr>
                <w:rFonts w:hint="eastAsia" w:ascii="宋体" w:hAnsi="宋体" w:eastAsia="宋体"/>
              </w:rPr>
              <w:t xml:space="preserve">0 </w:t>
            </w:r>
          </w:p>
        </w:tc>
      </w:tr>
    </w:tbl>
    <w:p w14:paraId="576BA552">
      <w:pPr>
        <w:pStyle w:val="8"/>
        <w:spacing w:before="0" w:beforeAutospacing="0" w:after="0" w:afterAutospacing="0" w:line="360" w:lineRule="auto"/>
        <w:ind w:firstLine="420"/>
        <w:rPr>
          <w:sz w:val="21"/>
          <w:szCs w:val="21"/>
        </w:rPr>
      </w:pPr>
      <w:r>
        <w:rPr>
          <w:rFonts w:hint="eastAsia"/>
          <w:sz w:val="21"/>
          <w:szCs w:val="21"/>
        </w:rPr>
        <w:t xml:space="preserve">注：1月指30日 </w:t>
      </w:r>
    </w:p>
    <w:p w14:paraId="4E7E9F84">
      <w:pPr>
        <w:pStyle w:val="8"/>
        <w:spacing w:before="0" w:beforeAutospacing="0" w:after="0" w:afterAutospacing="0" w:line="360" w:lineRule="auto"/>
        <w:ind w:firstLine="420"/>
        <w:rPr>
          <w:sz w:val="21"/>
          <w:szCs w:val="21"/>
        </w:rPr>
      </w:pPr>
      <w:r>
        <w:rPr>
          <w:rFonts w:hint="eastAsia"/>
          <w:sz w:val="21"/>
          <w:szCs w:val="21"/>
        </w:rPr>
        <w:t xml:space="preserve">来源：博时基金 </w:t>
      </w:r>
    </w:p>
    <w:p w14:paraId="60C3C47B">
      <w:pPr>
        <w:pStyle w:val="8"/>
        <w:spacing w:before="0" w:beforeAutospacing="0" w:after="0" w:afterAutospacing="0" w:line="360" w:lineRule="auto"/>
        <w:ind w:firstLine="420"/>
        <w:rPr>
          <w:sz w:val="21"/>
          <w:szCs w:val="21"/>
        </w:rPr>
      </w:pPr>
      <w:r>
        <w:rPr>
          <w:rFonts w:hint="eastAsia"/>
          <w:sz w:val="21"/>
          <w:szCs w:val="21"/>
        </w:rPr>
        <w:t xml:space="preserve">赎回费用由赎回基金份额的基金份额持有人承担，在基金份额持有人赎回基金份额时收取。其中，对持续持有期少于7日的投资者收取的赎回费全额计入基金财产，对其他投资者收取的赎回费中不低于赎回费总额的25%应归基金财产，其余用于支付登记费和其他必要的手续费。 </w:t>
      </w:r>
    </w:p>
    <w:p w14:paraId="2A8D53D1">
      <w:pPr>
        <w:pStyle w:val="8"/>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7E7759A1">
      <w:pPr>
        <w:pStyle w:val="8"/>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3、基金管理人可以在基金合同约定的范围内调整费率或收费方式，并依照《信息披露办法》的有关规定进行公告。 </w:t>
      </w:r>
    </w:p>
    <w:p w14:paraId="31AB43B5">
      <w:pPr>
        <w:pStyle w:val="8"/>
        <w:spacing w:before="0" w:beforeAutospacing="0" w:after="0" w:afterAutospacing="0" w:line="360" w:lineRule="auto"/>
        <w:ind w:firstLine="420"/>
        <w:rPr>
          <w:sz w:val="21"/>
          <w:szCs w:val="21"/>
        </w:rPr>
      </w:pPr>
      <w:r>
        <w:rPr>
          <w:rStyle w:val="12"/>
          <w:rFonts w:hint="eastAsia"/>
          <w:sz w:val="21"/>
          <w:szCs w:val="21"/>
        </w:rPr>
        <w:t>七、申购份额与赎回金额的计算方式</w:t>
      </w:r>
    </w:p>
    <w:p w14:paraId="7114AB62">
      <w:pPr>
        <w:pStyle w:val="8"/>
        <w:spacing w:before="0" w:beforeAutospacing="0" w:after="0" w:afterAutospacing="0" w:line="360" w:lineRule="auto"/>
        <w:ind w:firstLine="420"/>
        <w:rPr>
          <w:sz w:val="21"/>
          <w:szCs w:val="21"/>
        </w:rPr>
      </w:pPr>
      <w:r>
        <w:rPr>
          <w:rFonts w:hint="eastAsia"/>
          <w:sz w:val="21"/>
          <w:szCs w:val="21"/>
        </w:rPr>
        <w:t xml:space="preserve">1、申购金额的计算方式： </w:t>
      </w:r>
    </w:p>
    <w:p w14:paraId="6EE9EE44">
      <w:pPr>
        <w:pStyle w:val="8"/>
        <w:spacing w:before="0" w:beforeAutospacing="0" w:after="0" w:afterAutospacing="0" w:line="360" w:lineRule="auto"/>
        <w:ind w:firstLine="420"/>
        <w:rPr>
          <w:sz w:val="21"/>
          <w:szCs w:val="21"/>
        </w:rPr>
      </w:pPr>
      <w:r>
        <w:rPr>
          <w:rFonts w:hint="eastAsia"/>
          <w:sz w:val="21"/>
          <w:szCs w:val="21"/>
        </w:rPr>
        <w:t xml:space="preserve">（1）A类基金份额 </w:t>
      </w:r>
    </w:p>
    <w:p w14:paraId="4702E431">
      <w:pPr>
        <w:pStyle w:val="8"/>
        <w:spacing w:before="0" w:beforeAutospacing="0" w:after="0" w:afterAutospacing="0" w:line="360" w:lineRule="auto"/>
        <w:ind w:firstLine="420"/>
        <w:rPr>
          <w:sz w:val="21"/>
          <w:szCs w:val="21"/>
        </w:rPr>
      </w:pPr>
      <w:r>
        <w:rPr>
          <w:rFonts w:hint="eastAsia"/>
          <w:sz w:val="21"/>
          <w:szCs w:val="21"/>
        </w:rPr>
        <w:t xml:space="preserve">申购费用适用比例费率时： </w:t>
      </w:r>
    </w:p>
    <w:p w14:paraId="5866AA38">
      <w:pPr>
        <w:pStyle w:val="8"/>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1E3EAA33">
      <w:pPr>
        <w:pStyle w:val="8"/>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2EAE3127">
      <w:pPr>
        <w:pStyle w:val="8"/>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7C23A768">
      <w:pPr>
        <w:pStyle w:val="8"/>
        <w:spacing w:before="0" w:beforeAutospacing="0" w:after="0" w:afterAutospacing="0" w:line="360" w:lineRule="auto"/>
        <w:ind w:firstLine="420"/>
        <w:rPr>
          <w:sz w:val="21"/>
          <w:szCs w:val="21"/>
        </w:rPr>
      </w:pPr>
      <w:r>
        <w:rPr>
          <w:rFonts w:hint="eastAsia"/>
          <w:sz w:val="21"/>
          <w:szCs w:val="21"/>
        </w:rPr>
        <w:t xml:space="preserve">申购费用适用固定金额时： </w:t>
      </w:r>
    </w:p>
    <w:p w14:paraId="59FBA887">
      <w:pPr>
        <w:pStyle w:val="8"/>
        <w:spacing w:before="0" w:beforeAutospacing="0" w:after="0" w:afterAutospacing="0" w:line="360" w:lineRule="auto"/>
        <w:ind w:firstLine="420"/>
        <w:rPr>
          <w:sz w:val="21"/>
          <w:szCs w:val="21"/>
        </w:rPr>
      </w:pPr>
      <w:r>
        <w:rPr>
          <w:rFonts w:hint="eastAsia"/>
          <w:sz w:val="21"/>
          <w:szCs w:val="21"/>
        </w:rPr>
        <w:t xml:space="preserve">申购费用＝固定金额 </w:t>
      </w:r>
    </w:p>
    <w:p w14:paraId="7373ADB7">
      <w:pPr>
        <w:pStyle w:val="8"/>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6A126C41">
      <w:pPr>
        <w:pStyle w:val="8"/>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7C8FFC76">
      <w:pPr>
        <w:pStyle w:val="8"/>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40F90DEE">
      <w:pPr>
        <w:pStyle w:val="8"/>
        <w:spacing w:before="0" w:beforeAutospacing="0" w:after="0" w:afterAutospacing="0" w:line="360" w:lineRule="auto"/>
        <w:ind w:firstLine="420"/>
        <w:rPr>
          <w:sz w:val="21"/>
          <w:szCs w:val="21"/>
        </w:rPr>
      </w:pPr>
      <w:r>
        <w:rPr>
          <w:rFonts w:hint="eastAsia"/>
          <w:sz w:val="21"/>
          <w:szCs w:val="21"/>
        </w:rPr>
        <w:t xml:space="preserve">（2）C类基金份额 </w:t>
      </w:r>
    </w:p>
    <w:p w14:paraId="6B0DDBC7">
      <w:pPr>
        <w:pStyle w:val="8"/>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72231D94">
      <w:pPr>
        <w:pStyle w:val="8"/>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256D3F20">
      <w:pPr>
        <w:pStyle w:val="8"/>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例1：假定T日A类基金份额净值为1.0160元，某投资人本次申购本基金A类基金份额10万元，对应的本次申购费率为0.80%，该投资人可得到的A类基金份额为： </w:t>
      </w:r>
    </w:p>
    <w:p w14:paraId="6A8F607E">
      <w:pPr>
        <w:pStyle w:val="8"/>
        <w:spacing w:before="0" w:beforeAutospacing="0" w:after="0" w:afterAutospacing="0" w:line="360" w:lineRule="auto"/>
        <w:ind w:firstLine="420"/>
        <w:rPr>
          <w:sz w:val="21"/>
          <w:szCs w:val="21"/>
        </w:rPr>
      </w:pPr>
      <w:r>
        <w:rPr>
          <w:rFonts w:hint="eastAsia"/>
          <w:sz w:val="21"/>
          <w:szCs w:val="21"/>
        </w:rPr>
        <w:t xml:space="preserve">净申购金额＝100,000/ (1＋0.80%)＝99,206.35元 </w:t>
      </w:r>
    </w:p>
    <w:p w14:paraId="358D2630">
      <w:pPr>
        <w:pStyle w:val="8"/>
        <w:spacing w:before="0" w:beforeAutospacing="0" w:after="0" w:afterAutospacing="0" w:line="360" w:lineRule="auto"/>
        <w:ind w:firstLine="420"/>
        <w:rPr>
          <w:sz w:val="21"/>
          <w:szCs w:val="21"/>
        </w:rPr>
      </w:pPr>
      <w:r>
        <w:rPr>
          <w:rFonts w:hint="eastAsia"/>
          <w:sz w:val="21"/>
          <w:szCs w:val="21"/>
        </w:rPr>
        <w:t xml:space="preserve">申购费用＝100,000－99,206.35＝793.65元 </w:t>
      </w:r>
    </w:p>
    <w:p w14:paraId="32DBD692">
      <w:pPr>
        <w:pStyle w:val="8"/>
        <w:spacing w:before="0" w:beforeAutospacing="0" w:after="0" w:afterAutospacing="0" w:line="360" w:lineRule="auto"/>
        <w:ind w:firstLine="420"/>
        <w:rPr>
          <w:sz w:val="21"/>
          <w:szCs w:val="21"/>
        </w:rPr>
      </w:pPr>
      <w:r>
        <w:rPr>
          <w:rFonts w:hint="eastAsia"/>
          <w:sz w:val="21"/>
          <w:szCs w:val="21"/>
        </w:rPr>
        <w:t xml:space="preserve">申购份额＝99,206.35/1.0160＝97,644.05份 </w:t>
      </w:r>
    </w:p>
    <w:p w14:paraId="39FBD894">
      <w:pPr>
        <w:pStyle w:val="8"/>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即：投资者投资10万元申购本基金A类基金份额，假定申购当日A类基金份额净值为1.0160元，可得到97,644.05份A类基金份额。 </w:t>
      </w:r>
    </w:p>
    <w:p w14:paraId="2F7A28E5">
      <w:pPr>
        <w:pStyle w:val="8"/>
        <w:spacing w:before="0" w:beforeAutospacing="0" w:after="0" w:afterAutospacing="0" w:line="360" w:lineRule="auto"/>
        <w:ind w:firstLine="420"/>
        <w:rPr>
          <w:sz w:val="21"/>
          <w:szCs w:val="21"/>
        </w:rPr>
      </w:pPr>
      <w:r>
        <w:rPr>
          <w:rFonts w:hint="eastAsia"/>
          <w:sz w:val="21"/>
          <w:szCs w:val="21"/>
        </w:rPr>
        <w:t xml:space="preserve">例2：假设某投资者投资10万元申购本基金C类基金份额，申购当日本基金C类基金份额净值为1.0600元，则可得到的申购份额为： </w:t>
      </w:r>
    </w:p>
    <w:p w14:paraId="61576C64">
      <w:pPr>
        <w:pStyle w:val="8"/>
        <w:spacing w:before="0" w:beforeAutospacing="0" w:after="0" w:afterAutospacing="0" w:line="360" w:lineRule="auto"/>
        <w:ind w:firstLine="420"/>
        <w:rPr>
          <w:sz w:val="21"/>
          <w:szCs w:val="21"/>
        </w:rPr>
      </w:pPr>
      <w:r>
        <w:rPr>
          <w:rFonts w:hint="eastAsia"/>
          <w:sz w:val="21"/>
          <w:szCs w:val="21"/>
        </w:rPr>
        <w:t xml:space="preserve">申购份额＝100,000.00/1.0600＝94,339.62份 </w:t>
      </w:r>
    </w:p>
    <w:p w14:paraId="2C6B9A50">
      <w:pPr>
        <w:pStyle w:val="8"/>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06A97C96">
      <w:pPr>
        <w:pStyle w:val="8"/>
        <w:spacing w:before="0" w:beforeAutospacing="0" w:after="0" w:afterAutospacing="0" w:line="360" w:lineRule="auto"/>
        <w:ind w:firstLine="420"/>
        <w:rPr>
          <w:sz w:val="21"/>
          <w:szCs w:val="21"/>
        </w:rPr>
      </w:pPr>
      <w:r>
        <w:rPr>
          <w:rFonts w:hint="eastAsia"/>
          <w:sz w:val="21"/>
          <w:szCs w:val="21"/>
        </w:rPr>
        <w:t xml:space="preserve">2、赎回金额的计算方式： </w:t>
      </w:r>
    </w:p>
    <w:p w14:paraId="1AA3CC17">
      <w:pPr>
        <w:pStyle w:val="8"/>
        <w:spacing w:before="0" w:beforeAutospacing="0" w:after="0" w:afterAutospacing="0" w:line="360" w:lineRule="auto"/>
        <w:ind w:firstLine="420"/>
        <w:rPr>
          <w:sz w:val="21"/>
          <w:szCs w:val="21"/>
        </w:rPr>
      </w:pPr>
      <w:r>
        <w:rPr>
          <w:rFonts w:hint="eastAsia"/>
          <w:sz w:val="21"/>
          <w:szCs w:val="21"/>
        </w:rPr>
        <w:t xml:space="preserve">赎回总金额=赎回份额×T日基金份额净值 </w:t>
      </w:r>
    </w:p>
    <w:p w14:paraId="7C0E386A">
      <w:pPr>
        <w:pStyle w:val="8"/>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6ADECD33">
      <w:pPr>
        <w:pStyle w:val="8"/>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0E704FB8">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2A8729D6">
      <w:pPr>
        <w:pStyle w:val="8"/>
        <w:spacing w:before="0" w:beforeAutospacing="0" w:after="0" w:afterAutospacing="0" w:line="360" w:lineRule="auto"/>
        <w:ind w:firstLine="420"/>
        <w:rPr>
          <w:sz w:val="21"/>
          <w:szCs w:val="21"/>
        </w:rPr>
      </w:pPr>
      <w:r>
        <w:rPr>
          <w:rFonts w:hint="eastAsia"/>
          <w:sz w:val="21"/>
          <w:szCs w:val="21"/>
        </w:rPr>
        <w:t xml:space="preserve">例3：某投资者赎回本基金1万份A类基金份额，持有时间为三年，对应的赎回费率为0%，假设赎回当日A类基金份额净值是1.2500元，则其可得到的赎回金额为： </w:t>
      </w:r>
    </w:p>
    <w:p w14:paraId="24D11B6B">
      <w:pPr>
        <w:pStyle w:val="8"/>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2D73EDF1">
      <w:pPr>
        <w:pStyle w:val="8"/>
        <w:spacing w:before="0" w:beforeAutospacing="0" w:after="0" w:afterAutospacing="0" w:line="360" w:lineRule="auto"/>
        <w:ind w:firstLine="420"/>
        <w:rPr>
          <w:sz w:val="21"/>
          <w:szCs w:val="21"/>
        </w:rPr>
      </w:pPr>
      <w:r>
        <w:rPr>
          <w:rFonts w:hint="eastAsia"/>
          <w:sz w:val="21"/>
          <w:szCs w:val="21"/>
        </w:rPr>
        <w:t xml:space="preserve">赎回费用=12,500×0%=0.00元 </w:t>
      </w:r>
    </w:p>
    <w:p w14:paraId="188B2983">
      <w:pPr>
        <w:pStyle w:val="8"/>
        <w:spacing w:before="0" w:beforeAutospacing="0" w:after="0" w:afterAutospacing="0" w:line="360" w:lineRule="auto"/>
        <w:ind w:firstLine="420"/>
        <w:rPr>
          <w:sz w:val="21"/>
          <w:szCs w:val="21"/>
        </w:rPr>
      </w:pPr>
      <w:r>
        <w:rPr>
          <w:rFonts w:hint="eastAsia"/>
          <w:sz w:val="21"/>
          <w:szCs w:val="21"/>
        </w:rPr>
        <w:t xml:space="preserve">净赎回金额=12,500-0=12,500.00元 </w:t>
      </w:r>
    </w:p>
    <w:p w14:paraId="154F49EC">
      <w:pPr>
        <w:pStyle w:val="8"/>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14:paraId="7CC91620">
      <w:pPr>
        <w:pStyle w:val="8"/>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约定公告。遇特殊情况，经中国证监会同意，可以适当延迟计算或公告。 </w:t>
      </w:r>
    </w:p>
    <w:p w14:paraId="6006322A">
      <w:pPr>
        <w:pStyle w:val="8"/>
        <w:spacing w:before="0" w:beforeAutospacing="0" w:after="0" w:afterAutospacing="0" w:line="360" w:lineRule="auto"/>
        <w:ind w:firstLine="420"/>
        <w:rPr>
          <w:sz w:val="21"/>
          <w:szCs w:val="21"/>
        </w:rPr>
      </w:pPr>
      <w:r>
        <w:rPr>
          <w:rFonts w:hint="eastAsia"/>
          <w:sz w:val="21"/>
          <w:szCs w:val="21"/>
        </w:rPr>
        <w:t xml:space="preserve">4、基金管理人可以在不违背法律法规规定及《基金合同》约定的情形下根据市场情况制定基金促销计划，定期或不定期地开展基金促销活动。在基金促销活动期间，按相关监管部门要求履行必要手续后，基金管理人可以适当调低基金申购费率、赎回费率和销售服务费率，并进行公告。 </w:t>
      </w:r>
    </w:p>
    <w:p w14:paraId="2E299F11">
      <w:pPr>
        <w:pStyle w:val="8"/>
        <w:spacing w:before="0" w:beforeAutospacing="0" w:after="0" w:afterAutospacing="0" w:line="360" w:lineRule="auto"/>
        <w:ind w:firstLine="420"/>
        <w:rPr>
          <w:sz w:val="21"/>
          <w:szCs w:val="21"/>
        </w:rPr>
      </w:pPr>
      <w:r>
        <w:rPr>
          <w:rStyle w:val="12"/>
          <w:rFonts w:hint="eastAsia"/>
          <w:sz w:val="21"/>
          <w:szCs w:val="21"/>
        </w:rPr>
        <w:t>八、申购与赎回的登记</w:t>
      </w:r>
    </w:p>
    <w:p w14:paraId="7A9D21C9">
      <w:pPr>
        <w:pStyle w:val="8"/>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7F2D0254">
      <w:pPr>
        <w:pStyle w:val="8"/>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795FC515">
      <w:pPr>
        <w:pStyle w:val="8"/>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4E41A858">
      <w:pPr>
        <w:pStyle w:val="8"/>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0038AE66">
      <w:pPr>
        <w:pStyle w:val="8"/>
        <w:spacing w:before="0" w:beforeAutospacing="0" w:after="0" w:afterAutospacing="0" w:line="360" w:lineRule="auto"/>
        <w:ind w:firstLine="420"/>
        <w:rPr>
          <w:sz w:val="21"/>
          <w:szCs w:val="21"/>
        </w:rPr>
      </w:pPr>
      <w:r>
        <w:rPr>
          <w:rStyle w:val="12"/>
          <w:rFonts w:hint="eastAsia"/>
          <w:sz w:val="21"/>
          <w:szCs w:val="21"/>
        </w:rPr>
        <w:t>九、拒绝或暂停申购的情形及处理</w:t>
      </w:r>
    </w:p>
    <w:p w14:paraId="5947BD49">
      <w:pPr>
        <w:pStyle w:val="8"/>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32F82306">
      <w:pPr>
        <w:pStyle w:val="8"/>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520911AC">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3F6824F0">
      <w:pPr>
        <w:pStyle w:val="8"/>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14:paraId="007241F0">
      <w:pPr>
        <w:pStyle w:val="8"/>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4、接受某笔或某些申购申请可能会影响或损害现有基金份额持有人利益或对存量基金份额持有人利益构成潜在重大不利影响时。                                              </w:t>
      </w:r>
    </w:p>
    <w:p w14:paraId="2BA109C1">
      <w:pPr>
        <w:pStyle w:val="8"/>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742C7D5F">
      <w:pPr>
        <w:pStyle w:val="8"/>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14:paraId="27DEF600">
      <w:pPr>
        <w:pStyle w:val="8"/>
        <w:spacing w:before="0" w:beforeAutospacing="0" w:after="0" w:afterAutospacing="0" w:line="360" w:lineRule="auto"/>
        <w:ind w:firstLine="420"/>
        <w:rPr>
          <w:sz w:val="21"/>
          <w:szCs w:val="21"/>
        </w:rPr>
      </w:pPr>
      <w:r>
        <w:rPr>
          <w:rFonts w:hint="eastAsia"/>
          <w:sz w:val="21"/>
          <w:szCs w:val="21"/>
        </w:rPr>
        <w:t xml:space="preserve">7、基金管理人接受某笔或者某些申购申请有可能导致单一投资者持有基金份额的比例达到或者超过50%，或者变相规避50%集中度的情形时。 </w:t>
      </w:r>
    </w:p>
    <w:p w14:paraId="0CD02C90">
      <w:pPr>
        <w:pStyle w:val="8"/>
        <w:spacing w:before="0" w:beforeAutospacing="0" w:after="0" w:afterAutospacing="0" w:line="360" w:lineRule="auto"/>
        <w:ind w:firstLine="420"/>
        <w:rPr>
          <w:sz w:val="21"/>
          <w:szCs w:val="21"/>
        </w:rPr>
      </w:pPr>
      <w:r>
        <w:rPr>
          <w:rFonts w:hint="eastAsia"/>
          <w:sz w:val="21"/>
          <w:szCs w:val="21"/>
        </w:rPr>
        <w:t xml:space="preserve">8、当特定资产占前一估值日基金资产净值50%以上的，经与基金托管人协商确认后，基金管理人应当暂停接受基金申购申请。 </w:t>
      </w:r>
    </w:p>
    <w:p w14:paraId="64452A9B">
      <w:pPr>
        <w:pStyle w:val="8"/>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1A32BBEC">
      <w:pPr>
        <w:pStyle w:val="8"/>
        <w:spacing w:before="0" w:beforeAutospacing="0" w:after="0" w:afterAutospacing="0" w:line="360" w:lineRule="auto"/>
        <w:ind w:firstLine="420"/>
        <w:rPr>
          <w:sz w:val="21"/>
          <w:szCs w:val="21"/>
        </w:rPr>
      </w:pPr>
      <w:r>
        <w:rPr>
          <w:rFonts w:hint="eastAsia"/>
          <w:sz w:val="21"/>
          <w:szCs w:val="21"/>
        </w:rPr>
        <w:t xml:space="preserve">发生上述第1、2、3、5、6、8、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 </w:t>
      </w:r>
    </w:p>
    <w:p w14:paraId="5B3759E3">
      <w:pPr>
        <w:pStyle w:val="8"/>
        <w:spacing w:before="0" w:beforeAutospacing="0" w:after="0" w:afterAutospacing="0" w:line="360" w:lineRule="auto"/>
        <w:ind w:firstLine="420"/>
        <w:rPr>
          <w:sz w:val="21"/>
          <w:szCs w:val="21"/>
        </w:rPr>
      </w:pPr>
      <w:r>
        <w:rPr>
          <w:rStyle w:val="12"/>
          <w:rFonts w:hint="eastAsia"/>
          <w:sz w:val="21"/>
          <w:szCs w:val="21"/>
        </w:rPr>
        <w:t>十、暂停赎回或延缓支付赎回款项的情形</w:t>
      </w:r>
    </w:p>
    <w:p w14:paraId="2E740FA9">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54AC1545">
      <w:pPr>
        <w:pStyle w:val="8"/>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4BF3601E">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644A5F6C">
      <w:pPr>
        <w:pStyle w:val="8"/>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14:paraId="42879094">
      <w:pPr>
        <w:pStyle w:val="8"/>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68854BB7">
      <w:pPr>
        <w:pStyle w:val="8"/>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 </w:t>
      </w:r>
    </w:p>
    <w:p w14:paraId="19DB7A60">
      <w:pPr>
        <w:pStyle w:val="8"/>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14:paraId="2C819D12">
      <w:pPr>
        <w:pStyle w:val="8"/>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4BEB106B">
      <w:pPr>
        <w:pStyle w:val="8"/>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7E3EF426">
      <w:pPr>
        <w:pStyle w:val="8"/>
        <w:spacing w:before="0" w:beforeAutospacing="0" w:after="0" w:afterAutospacing="0" w:line="360" w:lineRule="auto"/>
        <w:ind w:firstLine="420"/>
        <w:rPr>
          <w:sz w:val="21"/>
          <w:szCs w:val="21"/>
        </w:rPr>
      </w:pPr>
      <w:r>
        <w:rPr>
          <w:rStyle w:val="12"/>
          <w:rFonts w:hint="eastAsia"/>
          <w:sz w:val="21"/>
          <w:szCs w:val="21"/>
        </w:rPr>
        <w:t>十一、巨额赎回的情形及处理方式</w:t>
      </w:r>
    </w:p>
    <w:p w14:paraId="7E37CEB9">
      <w:pPr>
        <w:pStyle w:val="8"/>
        <w:spacing w:before="0" w:beforeAutospacing="0" w:after="0" w:afterAutospacing="0" w:line="360" w:lineRule="auto"/>
        <w:ind w:firstLine="420"/>
        <w:rPr>
          <w:sz w:val="21"/>
          <w:szCs w:val="21"/>
        </w:rPr>
      </w:pPr>
      <w:r>
        <w:rPr>
          <w:rFonts w:hint="eastAsia"/>
          <w:sz w:val="21"/>
          <w:szCs w:val="21"/>
        </w:rPr>
        <w:t xml:space="preserve">1、巨额赎回的认定 </w:t>
      </w:r>
    </w:p>
    <w:p w14:paraId="479DADB9">
      <w:pPr>
        <w:pStyle w:val="8"/>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4" w:name="field_49_mintredeemscale_1"/>
      <w:r>
        <w:rPr>
          <w:sz w:val="21"/>
          <w:szCs w:val="21"/>
        </w:rPr>
        <w:t>10</w:t>
      </w:r>
      <w:bookmarkEnd w:id="104"/>
      <w:r>
        <w:rPr>
          <w:rFonts w:hint="eastAsia"/>
          <w:sz w:val="21"/>
          <w:szCs w:val="21"/>
        </w:rPr>
        <w:t xml:space="preserve">%，即认为是发生了巨额赎回。 </w:t>
      </w:r>
    </w:p>
    <w:p w14:paraId="0FEE3310">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14:paraId="2D711645">
      <w:pPr>
        <w:pStyle w:val="8"/>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4DB9FCC5">
      <w:pPr>
        <w:pStyle w:val="8"/>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4D0E3EBD">
      <w:pPr>
        <w:pStyle w:val="8"/>
        <w:spacing w:before="0" w:beforeAutospacing="0" w:after="0" w:afterAutospacing="0" w:line="360" w:lineRule="auto"/>
        <w:ind w:firstLine="420"/>
        <w:rPr>
          <w:sz w:val="21"/>
          <w:szCs w:val="21"/>
        </w:rPr>
      </w:pPr>
      <w:r>
        <w:rPr>
          <w:rFonts w:hint="eastAsia"/>
          <w:sz w:val="21"/>
          <w:szCs w:val="21"/>
        </w:rPr>
        <w:t xml:space="preserve">（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0EDC4D11">
      <w:pPr>
        <w:pStyle w:val="8"/>
        <w:spacing w:before="0" w:beforeAutospacing="0" w:after="0" w:afterAutospacing="0" w:line="360" w:lineRule="auto"/>
        <w:ind w:firstLine="420"/>
        <w:rPr>
          <w:sz w:val="21"/>
          <w:szCs w:val="21"/>
        </w:rPr>
      </w:pPr>
      <w:r>
        <w:rPr>
          <w:rFonts w:hint="eastAsia"/>
          <w:sz w:val="21"/>
          <w:szCs w:val="21"/>
        </w:rPr>
        <w:t xml:space="preserve">（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11A46A18">
      <w:pPr>
        <w:pStyle w:val="8"/>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14:paraId="6594488C">
      <w:pPr>
        <w:pStyle w:val="8"/>
        <w:spacing w:before="0" w:beforeAutospacing="0" w:after="0" w:afterAutospacing="0" w:line="360" w:lineRule="auto"/>
        <w:ind w:firstLine="420"/>
        <w:rPr>
          <w:sz w:val="21"/>
          <w:szCs w:val="21"/>
        </w:rPr>
      </w:pPr>
      <w:r>
        <w:rPr>
          <w:rFonts w:hint="eastAsia"/>
          <w:sz w:val="21"/>
          <w:szCs w:val="21"/>
        </w:rPr>
        <w:t xml:space="preserve">3、巨额赎回的公告 </w:t>
      </w:r>
    </w:p>
    <w:p w14:paraId="145F7C6B">
      <w:pPr>
        <w:pStyle w:val="8"/>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14:paraId="6955B72C">
      <w:pPr>
        <w:pStyle w:val="8"/>
        <w:spacing w:before="0" w:beforeAutospacing="0" w:after="0" w:afterAutospacing="0" w:line="360" w:lineRule="auto"/>
        <w:ind w:firstLine="420"/>
        <w:rPr>
          <w:sz w:val="21"/>
          <w:szCs w:val="21"/>
        </w:rPr>
      </w:pPr>
      <w:r>
        <w:rPr>
          <w:rStyle w:val="12"/>
          <w:rFonts w:hint="eastAsia"/>
          <w:sz w:val="21"/>
          <w:szCs w:val="21"/>
        </w:rPr>
        <w:t>十二、暂停申购或赎回的公告和重新开放申购或赎回的公告</w:t>
      </w:r>
    </w:p>
    <w:p w14:paraId="5982B22E">
      <w:pPr>
        <w:pStyle w:val="8"/>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367DB9F6">
      <w:pPr>
        <w:pStyle w:val="8"/>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2、如发生暂停的时间为1日，基金管理人应于重新开放日，在指定媒介上刊登基金重新开放申购或赎回公告，并公布最近1个开放日的各类基金份额净值。 </w:t>
      </w:r>
    </w:p>
    <w:p w14:paraId="42526234">
      <w:pPr>
        <w:pStyle w:val="8"/>
        <w:spacing w:before="0" w:beforeAutospacing="0" w:after="0" w:afterAutospacing="0" w:line="360" w:lineRule="auto"/>
        <w:ind w:firstLine="420"/>
        <w:rPr>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105" w:name="chapter_level1_10_59_section_3_end"/>
      <w:bookmarkEnd w:id="105"/>
      <w:r>
        <w:rPr>
          <w:rFonts w:hint="eastAsia"/>
          <w:sz w:val="21"/>
          <w:szCs w:val="21"/>
        </w:rPr>
        <w:t xml:space="preserve">开放的公告。 </w:t>
      </w:r>
    </w:p>
    <w:p w14:paraId="1024F24F">
      <w:pPr>
        <w:pStyle w:val="8"/>
        <w:spacing w:before="0" w:beforeAutospacing="0" w:after="0" w:afterAutospacing="0" w:line="360" w:lineRule="auto"/>
        <w:ind w:firstLine="420"/>
        <w:rPr>
          <w:sz w:val="21"/>
          <w:szCs w:val="21"/>
        </w:rPr>
      </w:pPr>
      <w:bookmarkStart w:id="106" w:name="chapter_level1_10_59_section_4"/>
      <w:bookmarkEnd w:id="106"/>
      <w:r>
        <w:rPr>
          <w:rStyle w:val="12"/>
          <w:rFonts w:hint="eastAsia"/>
          <w:sz w:val="21"/>
          <w:szCs w:val="21"/>
        </w:rPr>
        <w:t>十三、基金转换</w:t>
      </w:r>
    </w:p>
    <w:p w14:paraId="2EB3AA16">
      <w:pPr>
        <w:pStyle w:val="8"/>
        <w:spacing w:before="0" w:beforeAutospacing="0" w:after="0" w:afterAutospacing="0" w:line="360" w:lineRule="auto"/>
        <w:ind w:firstLine="420"/>
        <w:rPr>
          <w:sz w:val="21"/>
          <w:szCs w:val="21"/>
        </w:rPr>
      </w:pPr>
      <w:r>
        <w:rPr>
          <w:rFonts w:hint="eastAsia"/>
          <w:sz w:val="21"/>
          <w:szCs w:val="21"/>
        </w:rPr>
        <w:t xml:space="preserve">1、业务开放时间 </w:t>
      </w:r>
    </w:p>
    <w:p w14:paraId="6937360E">
      <w:pPr>
        <w:pStyle w:val="8"/>
        <w:spacing w:before="0" w:beforeAutospacing="0" w:after="0" w:afterAutospacing="0" w:line="360" w:lineRule="auto"/>
        <w:ind w:firstLine="420"/>
        <w:rPr>
          <w:sz w:val="21"/>
          <w:szCs w:val="21"/>
        </w:rPr>
      </w:pPr>
      <w:r>
        <w:rPr>
          <w:rFonts w:hint="eastAsia"/>
          <w:sz w:val="21"/>
          <w:szCs w:val="21"/>
        </w:rPr>
        <w:t xml:space="preserve">本基金已于2016年12月13日开放日常转换业务。 </w:t>
      </w:r>
    </w:p>
    <w:p w14:paraId="180066DE">
      <w:pPr>
        <w:pStyle w:val="8"/>
        <w:spacing w:before="0" w:beforeAutospacing="0" w:after="0" w:afterAutospacing="0" w:line="360" w:lineRule="auto"/>
        <w:ind w:firstLine="420"/>
        <w:rPr>
          <w:sz w:val="21"/>
          <w:szCs w:val="21"/>
        </w:rPr>
      </w:pPr>
      <w:r>
        <w:rPr>
          <w:rFonts w:hint="eastAsia"/>
          <w:sz w:val="21"/>
          <w:szCs w:val="21"/>
        </w:rPr>
        <w:t xml:space="preserve">2、日常转换、定期定额投资业务的办理时间 </w:t>
      </w:r>
    </w:p>
    <w:p w14:paraId="035AA9A3">
      <w:pPr>
        <w:pStyle w:val="8"/>
        <w:spacing w:before="0" w:beforeAutospacing="0" w:after="0" w:afterAutospacing="0" w:line="360" w:lineRule="auto"/>
        <w:ind w:firstLine="420"/>
        <w:rPr>
          <w:sz w:val="21"/>
          <w:szCs w:val="21"/>
        </w:rPr>
      </w:pPr>
      <w:r>
        <w:rPr>
          <w:rFonts w:hint="eastAsia"/>
          <w:sz w:val="21"/>
          <w:szCs w:val="21"/>
        </w:rPr>
        <w:t xml:space="preserve">投资人在开放日办理基金份额的日常转换和定期定额投资业务，具体办理时间为上海证券交易所、深圳证券交易所的正常交易日的交易时间。开放日对投资者的业务办理时间是9：30-15：00，具体以销售网点的公告和安排为准。 </w:t>
      </w:r>
    </w:p>
    <w:p w14:paraId="33568AEE">
      <w:pPr>
        <w:pStyle w:val="8"/>
        <w:spacing w:before="0" w:beforeAutospacing="0" w:after="0" w:afterAutospacing="0" w:line="360" w:lineRule="auto"/>
        <w:ind w:firstLine="420"/>
        <w:rPr>
          <w:sz w:val="21"/>
          <w:szCs w:val="21"/>
        </w:rPr>
      </w:pPr>
      <w:r>
        <w:rPr>
          <w:rFonts w:hint="eastAsia"/>
          <w:sz w:val="21"/>
          <w:szCs w:val="21"/>
        </w:rPr>
        <w:t xml:space="preserve">3、日常转换业务 </w:t>
      </w:r>
    </w:p>
    <w:p w14:paraId="654EF8CB">
      <w:pPr>
        <w:pStyle w:val="8"/>
        <w:spacing w:before="0" w:beforeAutospacing="0" w:after="0" w:afterAutospacing="0" w:line="360" w:lineRule="auto"/>
        <w:ind w:firstLine="420"/>
        <w:rPr>
          <w:sz w:val="21"/>
          <w:szCs w:val="21"/>
        </w:rPr>
      </w:pPr>
      <w:r>
        <w:rPr>
          <w:rFonts w:hint="eastAsia"/>
          <w:sz w:val="21"/>
          <w:szCs w:val="21"/>
        </w:rPr>
        <w:t xml:space="preserve">（1）转换费用 </w:t>
      </w:r>
    </w:p>
    <w:p w14:paraId="05107D09">
      <w:pPr>
        <w:pStyle w:val="8"/>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776FF926">
      <w:pPr>
        <w:pStyle w:val="8"/>
        <w:spacing w:before="0" w:beforeAutospacing="0" w:after="0" w:afterAutospacing="0" w:line="360" w:lineRule="auto"/>
        <w:ind w:firstLine="420"/>
        <w:rPr>
          <w:sz w:val="21"/>
          <w:szCs w:val="21"/>
        </w:rPr>
      </w:pPr>
      <w:r>
        <w:rPr>
          <w:rFonts w:hint="eastAsia"/>
          <w:sz w:val="21"/>
          <w:szCs w:val="21"/>
        </w:rPr>
        <w:t xml:space="preserve">（2）其他与转换相关的事项 </w:t>
      </w:r>
    </w:p>
    <w:p w14:paraId="374C6035">
      <w:pPr>
        <w:pStyle w:val="8"/>
        <w:spacing w:before="0" w:beforeAutospacing="0" w:after="0" w:afterAutospacing="0" w:line="360" w:lineRule="auto"/>
        <w:ind w:firstLine="420"/>
        <w:rPr>
          <w:sz w:val="21"/>
          <w:szCs w:val="21"/>
        </w:rPr>
      </w:pPr>
      <w:r>
        <w:rPr>
          <w:rFonts w:hint="eastAsia"/>
          <w:sz w:val="21"/>
          <w:szCs w:val="21"/>
        </w:rPr>
        <w:t xml:space="preserve">1）业务规则 </w:t>
      </w:r>
    </w:p>
    <w:p w14:paraId="3D12696D">
      <w:pPr>
        <w:pStyle w:val="8"/>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638885E6">
      <w:pPr>
        <w:pStyle w:val="8"/>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4A193CC1">
      <w:pPr>
        <w:pStyle w:val="8"/>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52088EDE">
      <w:pPr>
        <w:pStyle w:val="8"/>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6308D310">
      <w:pPr>
        <w:pStyle w:val="8"/>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41693685">
      <w:pPr>
        <w:pStyle w:val="8"/>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1AA43DE6">
      <w:pPr>
        <w:pStyle w:val="8"/>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6D6175E3">
      <w:pPr>
        <w:pStyle w:val="8"/>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187C3689">
      <w:pPr>
        <w:pStyle w:val="8"/>
        <w:spacing w:before="0" w:beforeAutospacing="0" w:after="0" w:afterAutospacing="0" w:line="360" w:lineRule="auto"/>
        <w:ind w:firstLine="420"/>
        <w:rPr>
          <w:sz w:val="21"/>
          <w:szCs w:val="21"/>
        </w:rPr>
      </w:pPr>
      <w:r>
        <w:rPr>
          <w:rFonts w:hint="eastAsia"/>
          <w:sz w:val="21"/>
          <w:szCs w:val="21"/>
        </w:rPr>
        <w:t xml:space="preserve">3）重要提示 </w:t>
      </w:r>
    </w:p>
    <w:p w14:paraId="2DC2C5C2">
      <w:pPr>
        <w:pStyle w:val="8"/>
        <w:spacing w:before="0" w:beforeAutospacing="0" w:after="0" w:afterAutospacing="0" w:line="360" w:lineRule="auto"/>
        <w:ind w:firstLine="420"/>
        <w:rPr>
          <w:sz w:val="21"/>
          <w:szCs w:val="21"/>
        </w:rPr>
      </w:pPr>
      <w:r>
        <w:rPr>
          <w:rFonts w:hint="eastAsia"/>
          <w:sz w:val="21"/>
          <w:szCs w:val="21"/>
        </w:rPr>
        <w:t>①本基金转换业务适用于可以销售包括</w:t>
      </w:r>
      <w:bookmarkStart w:id="107" w:name="field_0_productfullname_13"/>
      <w:r>
        <w:rPr>
          <w:rFonts w:hint="eastAsia"/>
          <w:sz w:val="21"/>
          <w:szCs w:val="21"/>
        </w:rPr>
        <w:t>博时民丰纯债债券型证券投资基金</w:t>
      </w:r>
      <w:bookmarkEnd w:id="107"/>
      <w:r>
        <w:rPr>
          <w:rFonts w:hint="eastAsia"/>
          <w:sz w:val="21"/>
          <w:szCs w:val="21"/>
        </w:rPr>
        <w:t xml:space="preserve">在内的两只以上（含两只），且基金注册登记机构为同一机构的博时旗下基金的销售机构。 </w:t>
      </w:r>
    </w:p>
    <w:p w14:paraId="4CC57D20">
      <w:pPr>
        <w:pStyle w:val="8"/>
        <w:spacing w:before="0" w:beforeAutospacing="0" w:after="0" w:afterAutospacing="0" w:line="360" w:lineRule="auto"/>
        <w:ind w:firstLine="420"/>
        <w:rPr>
          <w:sz w:val="21"/>
          <w:szCs w:val="21"/>
        </w:rPr>
      </w:pPr>
      <w:r>
        <w:rPr>
          <w:rFonts w:hint="eastAsia"/>
          <w:sz w:val="21"/>
          <w:szCs w:val="21"/>
        </w:rPr>
        <w:t>②转换业务的收费计算公式及举例参见2010年3月16日刊登于本公司网站的《</w:t>
      </w:r>
      <w:bookmarkStart w:id="108" w:name="field_0_managerorgfullname_6"/>
      <w:r>
        <w:rPr>
          <w:rFonts w:hint="eastAsia"/>
          <w:sz w:val="21"/>
          <w:szCs w:val="21"/>
        </w:rPr>
        <w:t>博时基金管理有限公司</w:t>
      </w:r>
      <w:bookmarkEnd w:id="108"/>
      <w:r>
        <w:rPr>
          <w:rFonts w:hint="eastAsia"/>
          <w:sz w:val="21"/>
          <w:szCs w:val="21"/>
        </w:rPr>
        <w:t xml:space="preserve">关于旗下开放式基金转换业务的公告》。 </w:t>
      </w:r>
    </w:p>
    <w:p w14:paraId="28685592">
      <w:pPr>
        <w:pStyle w:val="8"/>
        <w:spacing w:before="0" w:beforeAutospacing="0" w:after="0" w:afterAutospacing="0" w:line="360" w:lineRule="auto"/>
        <w:ind w:firstLine="420"/>
        <w:rPr>
          <w:sz w:val="21"/>
          <w:szCs w:val="21"/>
        </w:rPr>
      </w:pPr>
      <w:bookmarkStart w:id="109" w:name="chapter_level1_10_59_section_4_end"/>
      <w:bookmarkEnd w:id="109"/>
      <w:r>
        <w:rPr>
          <w:rFonts w:hint="eastAsia"/>
          <w:sz w:val="21"/>
          <w:szCs w:val="21"/>
        </w:rPr>
        <w:t xml:space="preserve">③本公司管理基金的转换业务的解释权归本公司。 </w:t>
      </w:r>
    </w:p>
    <w:p w14:paraId="09A73AB6">
      <w:pPr>
        <w:pStyle w:val="8"/>
        <w:spacing w:before="0" w:beforeAutospacing="0" w:after="0" w:afterAutospacing="0" w:line="360" w:lineRule="auto"/>
        <w:ind w:firstLine="420"/>
        <w:rPr>
          <w:sz w:val="21"/>
          <w:szCs w:val="21"/>
        </w:rPr>
      </w:pPr>
      <w:bookmarkStart w:id="110" w:name="chapter_level1_10_59_section_5"/>
      <w:bookmarkEnd w:id="110"/>
      <w:r>
        <w:rPr>
          <w:rStyle w:val="12"/>
          <w:rFonts w:hint="eastAsia"/>
          <w:sz w:val="21"/>
          <w:szCs w:val="21"/>
        </w:rPr>
        <w:t>十四、基金份额的转让</w:t>
      </w:r>
    </w:p>
    <w:p w14:paraId="57749FB7">
      <w:pPr>
        <w:pStyle w:val="8"/>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3AF94741">
      <w:pPr>
        <w:pStyle w:val="8"/>
        <w:spacing w:before="0" w:beforeAutospacing="0" w:after="0" w:afterAutospacing="0" w:line="360" w:lineRule="auto"/>
        <w:ind w:firstLine="420"/>
        <w:rPr>
          <w:sz w:val="21"/>
          <w:szCs w:val="21"/>
        </w:rPr>
      </w:pPr>
      <w:r>
        <w:rPr>
          <w:rStyle w:val="12"/>
          <w:rFonts w:hint="eastAsia"/>
          <w:sz w:val="21"/>
          <w:szCs w:val="21"/>
        </w:rPr>
        <w:t>十五、基金的非交易过户</w:t>
      </w:r>
    </w:p>
    <w:p w14:paraId="79F84310">
      <w:pPr>
        <w:pStyle w:val="8"/>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3BEF46F1">
      <w:pPr>
        <w:pStyle w:val="8"/>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767D3CA2">
      <w:pPr>
        <w:pStyle w:val="8"/>
        <w:spacing w:before="0" w:beforeAutospacing="0" w:after="0" w:afterAutospacing="0" w:line="360" w:lineRule="auto"/>
        <w:ind w:firstLine="420"/>
        <w:rPr>
          <w:sz w:val="21"/>
          <w:szCs w:val="21"/>
        </w:rPr>
      </w:pPr>
      <w:r>
        <w:rPr>
          <w:rStyle w:val="12"/>
          <w:rFonts w:hint="eastAsia"/>
          <w:sz w:val="21"/>
          <w:szCs w:val="21"/>
        </w:rPr>
        <w:t>十六、基金的转托管</w:t>
      </w:r>
    </w:p>
    <w:p w14:paraId="0072D683">
      <w:pPr>
        <w:pStyle w:val="8"/>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1" w:name="chapter_level1_10_59_section_5_end"/>
      <w:bookmarkEnd w:id="111"/>
      <w:r>
        <w:rPr>
          <w:rFonts w:hint="eastAsia"/>
          <w:sz w:val="21"/>
          <w:szCs w:val="21"/>
        </w:rPr>
        <w:t xml:space="preserve">以按照规定的标准收取转托管费。 </w:t>
      </w:r>
    </w:p>
    <w:p w14:paraId="408901C8">
      <w:pPr>
        <w:pStyle w:val="8"/>
        <w:spacing w:before="0" w:beforeAutospacing="0" w:after="0" w:afterAutospacing="0" w:line="360" w:lineRule="auto"/>
        <w:ind w:firstLine="420"/>
        <w:rPr>
          <w:sz w:val="21"/>
          <w:szCs w:val="21"/>
        </w:rPr>
      </w:pPr>
      <w:bookmarkStart w:id="112" w:name="chapter_level1_10_59_section_6"/>
      <w:bookmarkEnd w:id="112"/>
      <w:r>
        <w:rPr>
          <w:rFonts w:hint="eastAsia"/>
          <w:b/>
          <w:bCs/>
          <w:sz w:val="21"/>
          <w:szCs w:val="21"/>
        </w:rPr>
        <w:t>十七、定期定额投资计划</w:t>
      </w:r>
    </w:p>
    <w:p w14:paraId="03B29003">
      <w:pPr>
        <w:pStyle w:val="8"/>
        <w:spacing w:before="0" w:beforeAutospacing="0" w:after="0" w:afterAutospacing="0" w:line="360" w:lineRule="auto"/>
        <w:ind w:firstLine="420"/>
        <w:rPr>
          <w:sz w:val="21"/>
          <w:szCs w:val="21"/>
        </w:rPr>
      </w:pPr>
      <w:r>
        <w:rPr>
          <w:rFonts w:hint="eastAsia"/>
          <w:sz w:val="21"/>
          <w:szCs w:val="21"/>
        </w:rPr>
        <w:t xml:space="preserve">本基金已于2016年12月13日开放定期定额投资业务。  </w:t>
      </w:r>
    </w:p>
    <w:p w14:paraId="276D3BB9">
      <w:pPr>
        <w:pStyle w:val="8"/>
        <w:spacing w:before="0" w:beforeAutospacing="0" w:after="0" w:afterAutospacing="0" w:line="360" w:lineRule="auto"/>
        <w:ind w:firstLine="420"/>
        <w:rPr>
          <w:sz w:val="21"/>
          <w:szCs w:val="21"/>
        </w:rPr>
      </w:pPr>
      <w:r>
        <w:rPr>
          <w:rFonts w:hint="eastAsia"/>
          <w:sz w:val="21"/>
          <w:szCs w:val="21"/>
        </w:rPr>
        <w:t xml:space="preserve">（1）适用投资者范围   </w:t>
      </w:r>
    </w:p>
    <w:p w14:paraId="4200CFEA">
      <w:pPr>
        <w:pStyle w:val="8"/>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14:paraId="5C8AD37C">
      <w:pPr>
        <w:pStyle w:val="8"/>
        <w:spacing w:before="0" w:beforeAutospacing="0" w:after="0" w:afterAutospacing="0" w:line="360" w:lineRule="auto"/>
        <w:ind w:firstLine="420"/>
        <w:rPr>
          <w:sz w:val="21"/>
          <w:szCs w:val="21"/>
        </w:rPr>
      </w:pPr>
      <w:r>
        <w:rPr>
          <w:rFonts w:hint="eastAsia"/>
          <w:sz w:val="21"/>
          <w:szCs w:val="21"/>
        </w:rPr>
        <w:t xml:space="preserve">（2）申购费率  </w:t>
      </w:r>
    </w:p>
    <w:p w14:paraId="7F9FD8F7">
      <w:pPr>
        <w:pStyle w:val="8"/>
        <w:spacing w:before="0" w:beforeAutospacing="0" w:after="0" w:afterAutospacing="0" w:line="360" w:lineRule="auto"/>
        <w:ind w:firstLine="420"/>
        <w:rPr>
          <w:sz w:val="21"/>
          <w:szCs w:val="21"/>
        </w:rPr>
      </w:pPr>
      <w:r>
        <w:rPr>
          <w:rFonts w:hint="eastAsia"/>
          <w:sz w:val="21"/>
          <w:szCs w:val="21"/>
        </w:rPr>
        <w:t xml:space="preserve">本基金A类基金份额在申购时收取申购费用，且随申购金额的增加而递减，C类基金份额不收取申购费用。具体如下表所示：  </w:t>
      </w:r>
    </w:p>
    <w:p w14:paraId="51D3B10E">
      <w:pPr>
        <w:pStyle w:val="8"/>
        <w:spacing w:before="0" w:beforeAutospacing="0" w:after="0" w:afterAutospacing="0" w:line="360" w:lineRule="auto"/>
        <w:ind w:firstLine="420"/>
        <w:jc w:val="center"/>
        <w:rPr>
          <w:sz w:val="21"/>
          <w:szCs w:val="21"/>
        </w:rPr>
      </w:pPr>
      <w:r>
        <w:rPr>
          <w:rFonts w:hint="eastAsia"/>
          <w:sz w:val="21"/>
          <w:szCs w:val="21"/>
        </w:rPr>
        <w:t xml:space="preserve">表：本基金份额的申购费率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5"/>
        <w:gridCol w:w="2910"/>
        <w:gridCol w:w="2910"/>
      </w:tblGrid>
      <w:tr w14:paraId="678B3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59DC1115">
            <w:pPr>
              <w:rPr>
                <w:rFonts w:ascii="宋体" w:hAnsi="宋体" w:eastAsia="宋体" w:cs="宋体"/>
                <w:sz w:val="24"/>
                <w:szCs w:val="24"/>
              </w:rPr>
            </w:pPr>
            <w:r>
              <w:rPr>
                <w:rFonts w:hint="eastAsia" w:ascii="宋体" w:hAnsi="宋体" w:eastAsia="宋体"/>
              </w:rPr>
              <w:t xml:space="preserve">购买金额（M）  </w:t>
            </w:r>
          </w:p>
        </w:tc>
        <w:tc>
          <w:tcPr>
            <w:tcW w:w="2910" w:type="dxa"/>
            <w:shd w:val="clear" w:color="auto" w:fill="auto"/>
          </w:tcPr>
          <w:p w14:paraId="560FCE9C">
            <w:pPr>
              <w:rPr>
                <w:rFonts w:ascii="宋体" w:hAnsi="宋体" w:eastAsia="宋体" w:cs="宋体"/>
                <w:sz w:val="24"/>
                <w:szCs w:val="24"/>
              </w:rPr>
            </w:pPr>
            <w:r>
              <w:rPr>
                <w:rFonts w:hint="eastAsia" w:ascii="宋体" w:hAnsi="宋体" w:eastAsia="宋体"/>
              </w:rPr>
              <w:t xml:space="preserve">A类基金份额申购费率  </w:t>
            </w:r>
          </w:p>
        </w:tc>
        <w:tc>
          <w:tcPr>
            <w:tcW w:w="2910" w:type="dxa"/>
            <w:shd w:val="clear" w:color="auto" w:fill="auto"/>
          </w:tcPr>
          <w:p w14:paraId="772FEAF3">
            <w:pPr>
              <w:rPr>
                <w:rFonts w:ascii="宋体" w:hAnsi="宋体" w:eastAsia="宋体" w:cs="宋体"/>
                <w:sz w:val="24"/>
                <w:szCs w:val="24"/>
              </w:rPr>
            </w:pPr>
            <w:r>
              <w:rPr>
                <w:rFonts w:hint="eastAsia" w:ascii="宋体" w:hAnsi="宋体" w:eastAsia="宋体"/>
              </w:rPr>
              <w:t xml:space="preserve">C类基金份额申购费率  </w:t>
            </w:r>
          </w:p>
        </w:tc>
      </w:tr>
      <w:tr w14:paraId="4624B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643FE4EE">
            <w:pPr>
              <w:rPr>
                <w:rFonts w:ascii="宋体" w:hAnsi="宋体" w:eastAsia="宋体" w:cs="宋体"/>
                <w:sz w:val="24"/>
                <w:szCs w:val="24"/>
              </w:rPr>
            </w:pPr>
            <w:r>
              <w:rPr>
                <w:rFonts w:hint="eastAsia" w:ascii="宋体" w:hAnsi="宋体" w:eastAsia="宋体"/>
              </w:rPr>
              <w:t xml:space="preserve">M＜100万元  </w:t>
            </w:r>
          </w:p>
        </w:tc>
        <w:tc>
          <w:tcPr>
            <w:tcW w:w="2910" w:type="dxa"/>
            <w:shd w:val="clear" w:color="auto" w:fill="auto"/>
          </w:tcPr>
          <w:p w14:paraId="0C57E654">
            <w:pPr>
              <w:rPr>
                <w:rFonts w:ascii="宋体" w:hAnsi="宋体" w:eastAsia="宋体" w:cs="宋体"/>
                <w:sz w:val="24"/>
                <w:szCs w:val="24"/>
              </w:rPr>
            </w:pPr>
            <w:r>
              <w:rPr>
                <w:rFonts w:hint="eastAsia" w:ascii="宋体" w:hAnsi="宋体" w:eastAsia="宋体"/>
              </w:rPr>
              <w:t xml:space="preserve">0.80%  </w:t>
            </w:r>
          </w:p>
        </w:tc>
        <w:tc>
          <w:tcPr>
            <w:tcW w:w="2910" w:type="dxa"/>
            <w:vMerge w:val="restart"/>
            <w:shd w:val="clear" w:color="auto" w:fill="auto"/>
          </w:tcPr>
          <w:p w14:paraId="784D380E">
            <w:pPr>
              <w:rPr>
                <w:rFonts w:ascii="宋体" w:hAnsi="宋体" w:eastAsia="宋体" w:cs="宋体"/>
                <w:sz w:val="24"/>
                <w:szCs w:val="24"/>
              </w:rPr>
            </w:pPr>
            <w:r>
              <w:rPr>
                <w:rFonts w:hint="eastAsia" w:ascii="宋体" w:hAnsi="宋体" w:eastAsia="宋体"/>
              </w:rPr>
              <w:t xml:space="preserve">0  </w:t>
            </w:r>
          </w:p>
        </w:tc>
      </w:tr>
      <w:tr w14:paraId="45912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4ED0E8FB">
            <w:pPr>
              <w:rPr>
                <w:rFonts w:ascii="宋体" w:hAnsi="宋体" w:eastAsia="宋体" w:cs="宋体"/>
                <w:sz w:val="24"/>
                <w:szCs w:val="24"/>
              </w:rPr>
            </w:pPr>
            <w:r>
              <w:rPr>
                <w:rFonts w:hint="eastAsia" w:ascii="宋体" w:hAnsi="宋体" w:eastAsia="宋体"/>
              </w:rPr>
              <w:t xml:space="preserve">100万元≤M＜300万元  </w:t>
            </w:r>
          </w:p>
        </w:tc>
        <w:tc>
          <w:tcPr>
            <w:tcW w:w="2910" w:type="dxa"/>
            <w:shd w:val="clear" w:color="auto" w:fill="auto"/>
          </w:tcPr>
          <w:p w14:paraId="5659CE1A">
            <w:pPr>
              <w:rPr>
                <w:rFonts w:ascii="宋体" w:hAnsi="宋体" w:eastAsia="宋体" w:cs="宋体"/>
                <w:sz w:val="24"/>
                <w:szCs w:val="24"/>
              </w:rPr>
            </w:pPr>
            <w:r>
              <w:rPr>
                <w:rFonts w:hint="eastAsia" w:ascii="宋体" w:hAnsi="宋体" w:eastAsia="宋体"/>
              </w:rPr>
              <w:t xml:space="preserve">0.50%  </w:t>
            </w:r>
          </w:p>
        </w:tc>
        <w:tc>
          <w:tcPr>
            <w:tcW w:w="0" w:type="auto"/>
            <w:vMerge w:val="continue"/>
            <w:shd w:val="clear" w:color="auto" w:fill="auto"/>
          </w:tcPr>
          <w:p w14:paraId="25CB1263">
            <w:pPr>
              <w:rPr>
                <w:rFonts w:ascii="宋体" w:hAnsi="宋体" w:eastAsia="宋体" w:cs="宋体"/>
                <w:sz w:val="24"/>
                <w:szCs w:val="24"/>
              </w:rPr>
            </w:pPr>
          </w:p>
        </w:tc>
      </w:tr>
      <w:tr w14:paraId="430A0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1BA9E557">
            <w:pPr>
              <w:rPr>
                <w:rFonts w:ascii="宋体" w:hAnsi="宋体" w:eastAsia="宋体" w:cs="宋体"/>
                <w:sz w:val="24"/>
                <w:szCs w:val="24"/>
              </w:rPr>
            </w:pPr>
            <w:r>
              <w:rPr>
                <w:rFonts w:hint="eastAsia" w:ascii="宋体" w:hAnsi="宋体" w:eastAsia="宋体"/>
              </w:rPr>
              <w:t xml:space="preserve">300万元≤M＜500万元  </w:t>
            </w:r>
          </w:p>
        </w:tc>
        <w:tc>
          <w:tcPr>
            <w:tcW w:w="2910" w:type="dxa"/>
            <w:shd w:val="clear" w:color="auto" w:fill="auto"/>
          </w:tcPr>
          <w:p w14:paraId="6FB7250B">
            <w:pPr>
              <w:rPr>
                <w:rFonts w:ascii="宋体" w:hAnsi="宋体" w:eastAsia="宋体" w:cs="宋体"/>
                <w:sz w:val="24"/>
                <w:szCs w:val="24"/>
              </w:rPr>
            </w:pPr>
            <w:r>
              <w:rPr>
                <w:rFonts w:hint="eastAsia" w:ascii="宋体" w:hAnsi="宋体" w:eastAsia="宋体"/>
              </w:rPr>
              <w:t xml:space="preserve">0.30%  </w:t>
            </w:r>
          </w:p>
        </w:tc>
        <w:tc>
          <w:tcPr>
            <w:tcW w:w="0" w:type="auto"/>
            <w:vMerge w:val="continue"/>
            <w:shd w:val="clear" w:color="auto" w:fill="auto"/>
          </w:tcPr>
          <w:p w14:paraId="6D19B673">
            <w:pPr>
              <w:rPr>
                <w:rFonts w:ascii="宋体" w:hAnsi="宋体" w:eastAsia="宋体" w:cs="宋体"/>
                <w:sz w:val="24"/>
                <w:szCs w:val="24"/>
              </w:rPr>
            </w:pPr>
          </w:p>
        </w:tc>
      </w:tr>
      <w:tr w14:paraId="7D89B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00A97F0A">
            <w:pPr>
              <w:rPr>
                <w:rFonts w:ascii="宋体" w:hAnsi="宋体" w:eastAsia="宋体" w:cs="宋体"/>
                <w:sz w:val="24"/>
                <w:szCs w:val="24"/>
              </w:rPr>
            </w:pPr>
            <w:r>
              <w:rPr>
                <w:rFonts w:hint="eastAsia" w:ascii="宋体" w:hAnsi="宋体" w:eastAsia="宋体"/>
              </w:rPr>
              <w:t xml:space="preserve">M≥500万元  </w:t>
            </w:r>
          </w:p>
        </w:tc>
        <w:tc>
          <w:tcPr>
            <w:tcW w:w="2910" w:type="dxa"/>
            <w:shd w:val="clear" w:color="auto" w:fill="auto"/>
          </w:tcPr>
          <w:p w14:paraId="4569BF81">
            <w:pPr>
              <w:rPr>
                <w:rFonts w:ascii="宋体" w:hAnsi="宋体" w:eastAsia="宋体" w:cs="宋体"/>
                <w:sz w:val="24"/>
                <w:szCs w:val="24"/>
              </w:rPr>
            </w:pPr>
            <w:r>
              <w:rPr>
                <w:rFonts w:hint="eastAsia" w:ascii="宋体" w:hAnsi="宋体" w:eastAsia="宋体"/>
              </w:rPr>
              <w:t xml:space="preserve">1000元/笔  </w:t>
            </w:r>
          </w:p>
        </w:tc>
        <w:tc>
          <w:tcPr>
            <w:tcW w:w="0" w:type="auto"/>
            <w:vMerge w:val="continue"/>
            <w:shd w:val="clear" w:color="auto" w:fill="auto"/>
          </w:tcPr>
          <w:p w14:paraId="545B8B3C">
            <w:pPr>
              <w:rPr>
                <w:rFonts w:ascii="宋体" w:hAnsi="宋体" w:eastAsia="宋体" w:cs="宋体"/>
                <w:sz w:val="24"/>
                <w:szCs w:val="24"/>
              </w:rPr>
            </w:pPr>
          </w:p>
        </w:tc>
      </w:tr>
    </w:tbl>
    <w:p w14:paraId="6791437F">
      <w:pPr>
        <w:pStyle w:val="8"/>
        <w:spacing w:before="0" w:beforeAutospacing="0" w:after="0" w:afterAutospacing="0" w:line="360" w:lineRule="auto"/>
        <w:ind w:firstLine="420"/>
        <w:rPr>
          <w:sz w:val="21"/>
          <w:szCs w:val="21"/>
        </w:rPr>
      </w:pPr>
      <w:r>
        <w:rPr>
          <w:rFonts w:hint="eastAsia"/>
          <w:sz w:val="21"/>
          <w:szCs w:val="21"/>
        </w:rPr>
        <w:t xml:space="preserve">（3）扣款日期和扣款金额   </w:t>
      </w:r>
    </w:p>
    <w:p w14:paraId="63C82DCA">
      <w:pPr>
        <w:pStyle w:val="8"/>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投资者须遵循各销售机构有关扣款日期的规定，定投金额A类基金份额每次不少于人民币10元（含10元），定投金额C类基金份额每次不少于人民币10元（含10元）。  </w:t>
      </w:r>
    </w:p>
    <w:p w14:paraId="45A1A5B7">
      <w:pPr>
        <w:pStyle w:val="8"/>
        <w:spacing w:before="0" w:beforeAutospacing="0" w:after="0" w:afterAutospacing="0" w:line="360" w:lineRule="auto"/>
        <w:ind w:firstLine="420"/>
        <w:rPr>
          <w:sz w:val="21"/>
          <w:szCs w:val="21"/>
        </w:rPr>
      </w:pPr>
      <w:r>
        <w:rPr>
          <w:rFonts w:hint="eastAsia"/>
          <w:sz w:val="21"/>
          <w:szCs w:val="21"/>
        </w:rPr>
        <w:t xml:space="preserve">（4）重要提示   </w:t>
      </w:r>
    </w:p>
    <w:p w14:paraId="2DB8CEC4">
      <w:pPr>
        <w:pStyle w:val="8"/>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496F0F5B">
      <w:pPr>
        <w:pStyle w:val="8"/>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13" w:name="chapter_level1_10_59_section_6_end"/>
      <w:bookmarkEnd w:id="113"/>
      <w:r>
        <w:rPr>
          <w:rFonts w:hint="eastAsia"/>
          <w:sz w:val="21"/>
          <w:szCs w:val="21"/>
        </w:rPr>
        <w:t xml:space="preserve">在确认成功后直接计入投资者的基金账户。  </w:t>
      </w:r>
    </w:p>
    <w:p w14:paraId="146AF209">
      <w:pPr>
        <w:pStyle w:val="8"/>
        <w:spacing w:before="0" w:beforeAutospacing="0" w:after="0" w:afterAutospacing="0" w:line="360" w:lineRule="auto"/>
        <w:ind w:firstLine="420"/>
        <w:rPr>
          <w:sz w:val="21"/>
          <w:szCs w:val="21"/>
        </w:rPr>
      </w:pPr>
      <w:bookmarkStart w:id="114" w:name="chapter_level1_10_59_section_7"/>
      <w:bookmarkEnd w:id="114"/>
      <w:r>
        <w:rPr>
          <w:rStyle w:val="12"/>
          <w:rFonts w:hint="eastAsia"/>
          <w:sz w:val="21"/>
          <w:szCs w:val="21"/>
        </w:rPr>
        <w:t>十八、基金份额的冻结、解冻和质押</w:t>
      </w:r>
    </w:p>
    <w:p w14:paraId="796EDEFD">
      <w:pPr>
        <w:pStyle w:val="8"/>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66034542">
      <w:pPr>
        <w:pStyle w:val="8"/>
        <w:spacing w:before="0" w:beforeAutospacing="0" w:after="0" w:afterAutospacing="0" w:line="360" w:lineRule="auto"/>
        <w:ind w:firstLine="420"/>
        <w:rPr>
          <w:sz w:val="21"/>
          <w:szCs w:val="21"/>
        </w:rPr>
      </w:pPr>
      <w:r>
        <w:rPr>
          <w:rFonts w:hint="eastAsia"/>
          <w:sz w:val="21"/>
          <w:szCs w:val="21"/>
        </w:rPr>
        <w:t xml:space="preserve">如相关法律法规允许基金管理人办理基金份额的质押业务或其他基金业务，基金管理人将制定和实施相应的业务规则。 </w:t>
      </w:r>
    </w:p>
    <w:p w14:paraId="3E6511BC">
      <w:pPr>
        <w:pStyle w:val="8"/>
        <w:spacing w:before="0" w:beforeAutospacing="0" w:after="0" w:afterAutospacing="0" w:line="360" w:lineRule="auto"/>
        <w:ind w:firstLine="420"/>
        <w:rPr>
          <w:sz w:val="21"/>
          <w:szCs w:val="21"/>
        </w:rPr>
      </w:pPr>
      <w:r>
        <w:rPr>
          <w:rStyle w:val="12"/>
          <w:rFonts w:hint="eastAsia"/>
          <w:sz w:val="21"/>
          <w:szCs w:val="21"/>
        </w:rPr>
        <w:t>十九、实施侧袋机制期间本基金的申购与赎回</w:t>
      </w:r>
    </w:p>
    <w:p w14:paraId="17FF1241">
      <w:pPr>
        <w:pStyle w:val="8"/>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15" w:name="chapter_level1_10_59_section_7_end"/>
      <w:bookmarkEnd w:id="115"/>
      <w:r>
        <w:rPr>
          <w:rFonts w:hint="eastAsia"/>
          <w:sz w:val="21"/>
          <w:szCs w:val="21"/>
        </w:rPr>
        <w:t xml:space="preserve">或届时发布的相关公告。 </w:t>
      </w:r>
    </w:p>
    <w:p w14:paraId="4BA3F3E4">
      <w:pPr>
        <w:widowControl/>
        <w:jc w:val="left"/>
        <w:rPr>
          <w:rFonts w:ascii="宋体" w:hAnsi="宋体" w:eastAsia="宋体"/>
        </w:rPr>
      </w:pPr>
      <w:r>
        <w:rPr>
          <w:rFonts w:ascii="宋体" w:hAnsi="宋体" w:eastAsia="宋体"/>
        </w:rPr>
        <w:br w:type="page"/>
      </w:r>
    </w:p>
    <w:p w14:paraId="0FEFF706">
      <w:pPr>
        <w:pStyle w:val="2"/>
        <w:jc w:val="center"/>
        <w:rPr>
          <w:rFonts w:ascii="宋体" w:hAnsi="宋体" w:eastAsia="宋体"/>
          <w:sz w:val="30"/>
        </w:rPr>
      </w:pPr>
      <w:bookmarkStart w:id="116" w:name="chapter_level1_11_60"/>
      <w:bookmarkStart w:id="117" w:name="_Toc239192434"/>
      <w:r>
        <w:rPr>
          <w:rFonts w:hint="eastAsia" w:ascii="宋体" w:hAnsi="宋体" w:eastAsia="宋体"/>
          <w:sz w:val="30"/>
        </w:rPr>
        <w:t>第八部分  基金的投资</w:t>
      </w:r>
      <w:bookmarkEnd w:id="116"/>
      <w:bookmarkEnd w:id="117"/>
    </w:p>
    <w:p w14:paraId="0E0E6CF8">
      <w:pPr>
        <w:pStyle w:val="8"/>
        <w:spacing w:before="0" w:beforeAutospacing="0" w:after="0" w:afterAutospacing="0" w:line="360" w:lineRule="auto"/>
        <w:ind w:firstLine="420"/>
        <w:rPr>
          <w:sz w:val="21"/>
          <w:szCs w:val="21"/>
        </w:rPr>
      </w:pPr>
      <w:bookmarkStart w:id="118" w:name="chapter_level1_11_60_section_1"/>
      <w:bookmarkEnd w:id="118"/>
      <w:r>
        <w:rPr>
          <w:rStyle w:val="12"/>
          <w:rFonts w:hint="eastAsia"/>
          <w:sz w:val="21"/>
          <w:szCs w:val="21"/>
        </w:rPr>
        <w:t>一、投资目标</w:t>
      </w:r>
    </w:p>
    <w:p w14:paraId="1ADB6BE7">
      <w:pPr>
        <w:pStyle w:val="8"/>
        <w:spacing w:before="0" w:beforeAutospacing="0" w:after="0" w:afterAutospacing="0" w:line="360" w:lineRule="auto"/>
        <w:ind w:firstLine="420"/>
        <w:rPr>
          <w:sz w:val="21"/>
          <w:szCs w:val="21"/>
        </w:rPr>
      </w:pPr>
      <w:bookmarkStart w:id="119" w:name="field_60_investmenttarget_1_start"/>
      <w:bookmarkEnd w:id="119"/>
      <w:r>
        <w:rPr>
          <w:rFonts w:hint="eastAsia"/>
          <w:sz w:val="21"/>
          <w:szCs w:val="21"/>
        </w:rPr>
        <w:t>本基金在控制组合净值波动率的前提下，力争实现长期超越业绩比较基准的投资回报。</w:t>
      </w:r>
      <w:bookmarkStart w:id="120" w:name="field_60_investmenttarget_1_end"/>
      <w:bookmarkEnd w:id="120"/>
      <w:r>
        <w:rPr>
          <w:rFonts w:hint="eastAsia"/>
          <w:sz w:val="21"/>
          <w:szCs w:val="21"/>
        </w:rPr>
        <w:t xml:space="preserve">  </w:t>
      </w:r>
    </w:p>
    <w:p w14:paraId="32821A0D">
      <w:pPr>
        <w:pStyle w:val="8"/>
        <w:spacing w:before="0" w:beforeAutospacing="0" w:after="0" w:afterAutospacing="0" w:line="360" w:lineRule="auto"/>
        <w:ind w:firstLine="420"/>
        <w:rPr>
          <w:sz w:val="21"/>
          <w:szCs w:val="21"/>
        </w:rPr>
      </w:pPr>
      <w:r>
        <w:rPr>
          <w:rStyle w:val="12"/>
          <w:rFonts w:hint="eastAsia"/>
          <w:sz w:val="21"/>
          <w:szCs w:val="21"/>
        </w:rPr>
        <w:t>二、投资范围</w:t>
      </w:r>
    </w:p>
    <w:p w14:paraId="0FB7754B">
      <w:pPr>
        <w:pStyle w:val="8"/>
        <w:spacing w:before="0" w:beforeAutospacing="0" w:after="0" w:afterAutospacing="0" w:line="360" w:lineRule="auto"/>
        <w:ind w:firstLine="420"/>
        <w:rPr>
          <w:sz w:val="21"/>
          <w:szCs w:val="21"/>
        </w:rPr>
      </w:pPr>
      <w:bookmarkStart w:id="121" w:name="field_60_investmentrange_1_start"/>
      <w:bookmarkEnd w:id="121"/>
      <w:r>
        <w:rPr>
          <w:rFonts w:hint="eastAsia"/>
          <w:sz w:val="21"/>
          <w:szCs w:val="21"/>
        </w:rPr>
        <w:t xml:space="preserve">本基金的投资范围为具有良好流动性的金融工具，包括国债、金融债、企业债、公司债、地方政府债、央行票据、中期票据、短期融资券、资产支持证券、次级债、可分离交易可转债的纯债部分、债券回购、银行存款等法律法规或中国证监会允许基金投资的其他金融工具（但须符合中国证监会的相关规定）。 </w:t>
      </w:r>
    </w:p>
    <w:p w14:paraId="484AC9B9">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本基金不投资于股票、权证等资产，也不投资于可转换债券（可分离交易可转债的纯债部分除外）、可交换债券。 </w:t>
      </w:r>
    </w:p>
    <w:p w14:paraId="4B93747F">
      <w:pPr>
        <w:pStyle w:val="8"/>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基金的投资组合比例为：本基金对债券的投资比例不低于基金资产的80％；本基金持有现金或者到期日在一年以内的政府债券不低于基金资产净值的5%。  </w:t>
      </w:r>
    </w:p>
    <w:p w14:paraId="0D583DC3">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bookmarkStart w:id="122" w:name="field_60_investmentrange_1_end"/>
      <w:bookmarkEnd w:id="122"/>
      <w:r>
        <w:rPr>
          <w:rFonts w:hint="eastAsia"/>
          <w:sz w:val="21"/>
          <w:szCs w:val="21"/>
        </w:rPr>
        <w:t xml:space="preserve">  </w:t>
      </w:r>
    </w:p>
    <w:p w14:paraId="2CF5BA2F">
      <w:pPr>
        <w:pStyle w:val="8"/>
        <w:spacing w:before="0" w:beforeAutospacing="0" w:after="0" w:afterAutospacing="0" w:line="360" w:lineRule="auto"/>
        <w:ind w:firstLine="420"/>
        <w:rPr>
          <w:sz w:val="21"/>
          <w:szCs w:val="21"/>
        </w:rPr>
      </w:pPr>
      <w:r>
        <w:rPr>
          <w:rStyle w:val="12"/>
          <w:rFonts w:hint="eastAsia"/>
          <w:sz w:val="21"/>
          <w:szCs w:val="21"/>
        </w:rPr>
        <w:t>三、投资策略</w:t>
      </w:r>
    </w:p>
    <w:p w14:paraId="2C41B639">
      <w:pPr>
        <w:pStyle w:val="8"/>
        <w:spacing w:before="0" w:beforeAutospacing="0" w:after="0" w:afterAutospacing="0" w:line="360" w:lineRule="auto"/>
        <w:ind w:firstLine="420"/>
        <w:rPr>
          <w:sz w:val="21"/>
          <w:szCs w:val="21"/>
        </w:rPr>
      </w:pPr>
      <w:bookmarkStart w:id="123" w:name="field_60_investmentstrategy_1_start"/>
      <w:bookmarkEnd w:id="123"/>
      <w:r>
        <w:rPr>
          <w:rFonts w:hint="eastAsia"/>
          <w:sz w:val="21"/>
          <w:szCs w:val="21"/>
        </w:rPr>
        <w:t xml:space="preserve">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等。在谨慎投资的前提下，力争获取高于业绩比较基准的投资收益。 </w:t>
      </w:r>
    </w:p>
    <w:p w14:paraId="2F233355">
      <w:pPr>
        <w:pStyle w:val="8"/>
        <w:spacing w:before="0" w:beforeAutospacing="0" w:after="0" w:afterAutospacing="0" w:line="360" w:lineRule="auto"/>
        <w:ind w:firstLine="420"/>
        <w:rPr>
          <w:sz w:val="21"/>
          <w:szCs w:val="21"/>
        </w:rPr>
      </w:pPr>
      <w:r>
        <w:rPr>
          <w:rFonts w:hint="eastAsia"/>
          <w:sz w:val="21"/>
          <w:szCs w:val="21"/>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 </w:t>
      </w:r>
    </w:p>
    <w:p w14:paraId="79071FE6">
      <w:pPr>
        <w:pStyle w:val="8"/>
        <w:spacing w:before="0" w:beforeAutospacing="0" w:after="0" w:afterAutospacing="0" w:line="360" w:lineRule="auto"/>
        <w:ind w:firstLine="420"/>
        <w:rPr>
          <w:sz w:val="21"/>
          <w:szCs w:val="21"/>
        </w:rPr>
      </w:pPr>
      <w:r>
        <w:rPr>
          <w:rFonts w:hint="eastAsia"/>
          <w:sz w:val="21"/>
          <w:szCs w:val="21"/>
        </w:rPr>
        <w:t xml:space="preserve">灵活应用各种期限结构策略、信用策略、互换策略、息差策略，在合理管理并控制组合风险的前提下，最大化组合收益。 </w:t>
      </w:r>
    </w:p>
    <w:p w14:paraId="621DABB0">
      <w:pPr>
        <w:pStyle w:val="8"/>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14:paraId="61B6EF1B">
      <w:pPr>
        <w:pStyle w:val="8"/>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14:paraId="1EA59A86">
      <w:pPr>
        <w:pStyle w:val="8"/>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14:paraId="58C8F64C">
      <w:pPr>
        <w:pStyle w:val="8"/>
        <w:spacing w:before="0" w:beforeAutospacing="0" w:after="0" w:afterAutospacing="0" w:line="360" w:lineRule="auto"/>
        <w:ind w:firstLine="420"/>
        <w:rPr>
          <w:sz w:val="21"/>
          <w:szCs w:val="21"/>
        </w:rPr>
      </w:pPr>
      <w:r>
        <w:rPr>
          <w:rFonts w:hint="eastAsia"/>
          <w:sz w:val="21"/>
          <w:szCs w:val="21"/>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我们分别采用以下的分析策略： </w:t>
      </w:r>
    </w:p>
    <w:p w14:paraId="5758689E">
      <w:pPr>
        <w:pStyle w:val="8"/>
        <w:spacing w:before="0" w:beforeAutospacing="0" w:after="0" w:afterAutospacing="0" w:line="360" w:lineRule="auto"/>
        <w:ind w:firstLine="420"/>
        <w:rPr>
          <w:sz w:val="21"/>
          <w:szCs w:val="21"/>
        </w:rPr>
      </w:pPr>
      <w:r>
        <w:rPr>
          <w:rFonts w:hint="eastAsia"/>
          <w:sz w:val="21"/>
          <w:szCs w:val="21"/>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14:paraId="21BE1C6F">
      <w:pPr>
        <w:pStyle w:val="8"/>
        <w:spacing w:before="0" w:beforeAutospacing="0" w:after="0" w:afterAutospacing="0" w:line="360" w:lineRule="auto"/>
        <w:ind w:firstLine="420"/>
        <w:rPr>
          <w:sz w:val="21"/>
          <w:szCs w:val="21"/>
        </w:rPr>
      </w:pPr>
      <w:r>
        <w:rPr>
          <w:rFonts w:hint="eastAsia"/>
          <w:sz w:val="21"/>
          <w:szCs w:val="21"/>
        </w:rPr>
        <w:t xml:space="preserve">2）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我们主要依靠内部评级系统分析信用债的相对信用水平、违约风险及理论信用利差。 </w:t>
      </w:r>
    </w:p>
    <w:p w14:paraId="26A6319D">
      <w:pPr>
        <w:pStyle w:val="8"/>
        <w:spacing w:before="0" w:beforeAutospacing="0" w:after="0" w:afterAutospacing="0" w:line="360" w:lineRule="auto"/>
        <w:ind w:firstLine="420"/>
        <w:rPr>
          <w:sz w:val="21"/>
          <w:szCs w:val="21"/>
        </w:rPr>
      </w:pPr>
      <w:r>
        <w:rPr>
          <w:rFonts w:hint="eastAsia"/>
          <w:sz w:val="21"/>
          <w:szCs w:val="21"/>
        </w:rPr>
        <w:t xml:space="preserve">3、互换策略。不同券种在利息、违约风险、久期、流动性、税收和衍生条款等方面存在差别，投资管理人可以同时买入和卖出具有相近特性的两个或两个以上券种，赚取收益级差。 </w:t>
      </w:r>
    </w:p>
    <w:p w14:paraId="4FF9D4B8">
      <w:pPr>
        <w:pStyle w:val="8"/>
        <w:spacing w:before="0" w:beforeAutospacing="0" w:after="0" w:afterAutospacing="0" w:line="360" w:lineRule="auto"/>
        <w:ind w:firstLine="420"/>
        <w:rPr>
          <w:sz w:val="21"/>
          <w:szCs w:val="21"/>
        </w:rPr>
      </w:pPr>
      <w:r>
        <w:rPr>
          <w:rFonts w:hint="eastAsia"/>
          <w:sz w:val="21"/>
          <w:szCs w:val="21"/>
        </w:rPr>
        <w:t xml:space="preserve">4、息差策略。通过正回购，融资买入收益率高于回购成本的债券，从而获得杠杆放大收益。 </w:t>
      </w:r>
    </w:p>
    <w:p w14:paraId="5551B0FA">
      <w:pPr>
        <w:pStyle w:val="8"/>
        <w:spacing w:before="0" w:beforeAutospacing="0" w:after="0" w:afterAutospacing="0" w:line="360" w:lineRule="auto"/>
        <w:ind w:firstLine="420"/>
        <w:rPr>
          <w:sz w:val="21"/>
          <w:szCs w:val="21"/>
        </w:rPr>
      </w:pPr>
      <w:r>
        <w:rPr>
          <w:rFonts w:hint="eastAsia"/>
          <w:sz w:val="21"/>
          <w:szCs w:val="21"/>
        </w:rPr>
        <w:t>针对资产支持证券，本基金将在国内资产证券化</w:t>
      </w:r>
      <w:r>
        <w:rPr>
          <w:rFonts w:hint="eastAsia"/>
          <w:sz w:val="21"/>
          <w:szCs w:val="21"/>
          <w:lang w:val="en-US" w:eastAsia="zh-CN"/>
        </w:rPr>
        <w:t>产</w:t>
      </w:r>
      <w:r>
        <w:rPr>
          <w:rFonts w:hint="eastAsia"/>
          <w:sz w:val="21"/>
          <w:szCs w:val="21"/>
        </w:rPr>
        <w:t xml:space="preserve">品具体政策框架下，通过宏观经济、提前偿还率、资产池结构及所在行业景气变化等因素的研究，对个券进行风险分析和价值评估后选择风险调整收益高的品种进行投资 。本基金将严格控制产支持证券的总体投资规模并进行分散，以降低流动性风险。 </w:t>
      </w:r>
    </w:p>
    <w:p w14:paraId="25AC5202">
      <w:pPr>
        <w:pStyle w:val="8"/>
        <w:spacing w:before="0" w:beforeAutospacing="0" w:after="0" w:afterAutospacing="0" w:line="360" w:lineRule="auto"/>
        <w:ind w:firstLine="420"/>
        <w:rPr>
          <w:sz w:val="21"/>
          <w:szCs w:val="21"/>
        </w:rPr>
      </w:pPr>
      <w:r>
        <w:rPr>
          <w:rFonts w:hint="eastAsia"/>
          <w:sz w:val="21"/>
          <w:szCs w:val="21"/>
        </w:rPr>
        <w:t>5、个券挖掘策略。本部分策略强调公司价值挖掘的重要性，在行业周期特征、公司基本面风险特征基础上制定绝对收益率目标策略，甄别具有估值优势、基本面改善的公司，采</w:t>
      </w:r>
      <w:bookmarkStart w:id="124" w:name="chapter_level1_11_60_section_1_end"/>
      <w:bookmarkEnd w:id="124"/>
      <w:r>
        <w:rPr>
          <w:rFonts w:hint="eastAsia"/>
          <w:sz w:val="21"/>
          <w:szCs w:val="21"/>
        </w:rPr>
        <w:t xml:space="preserve">取高度分散策略，重点布局优势债券，争取提高组合超额收益空间。 </w:t>
      </w:r>
      <w:bookmarkStart w:id="125" w:name="field_60_investmentstrategy_1_end"/>
      <w:bookmarkEnd w:id="125"/>
      <w:r>
        <w:rPr>
          <w:rFonts w:hint="eastAsia"/>
          <w:sz w:val="21"/>
          <w:szCs w:val="21"/>
        </w:rPr>
        <w:t xml:space="preserve">  </w:t>
      </w:r>
    </w:p>
    <w:p w14:paraId="3420EBE3">
      <w:pPr>
        <w:pStyle w:val="8"/>
        <w:spacing w:before="0" w:beforeAutospacing="0" w:after="0" w:afterAutospacing="0" w:line="360" w:lineRule="auto"/>
        <w:ind w:firstLine="420"/>
        <w:rPr>
          <w:sz w:val="21"/>
          <w:szCs w:val="21"/>
        </w:rPr>
      </w:pPr>
      <w:bookmarkStart w:id="126" w:name="chapter_level1_11_60_section_2"/>
      <w:bookmarkEnd w:id="126"/>
      <w:r>
        <w:rPr>
          <w:rStyle w:val="12"/>
          <w:rFonts w:hint="eastAsia"/>
          <w:sz w:val="21"/>
          <w:szCs w:val="21"/>
        </w:rPr>
        <w:t>四、投资决策流程</w:t>
      </w:r>
    </w:p>
    <w:p w14:paraId="302EC82F">
      <w:pPr>
        <w:pStyle w:val="8"/>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14:paraId="1E6A10BE">
      <w:pPr>
        <w:pStyle w:val="8"/>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14:paraId="2B29F1E8">
      <w:pPr>
        <w:pStyle w:val="8"/>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14:paraId="4426C74A">
      <w:pPr>
        <w:pStyle w:val="8"/>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14:paraId="43DBA242">
      <w:pPr>
        <w:pStyle w:val="8"/>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14:paraId="1D192429">
      <w:pPr>
        <w:pStyle w:val="8"/>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14:paraId="77F771D5">
      <w:pPr>
        <w:pStyle w:val="8"/>
        <w:spacing w:before="0" w:beforeAutospacing="0" w:after="0" w:afterAutospacing="0" w:line="360" w:lineRule="auto"/>
        <w:ind w:firstLine="420"/>
        <w:rPr>
          <w:sz w:val="21"/>
          <w:szCs w:val="21"/>
        </w:rPr>
      </w:pPr>
      <w:r>
        <w:rPr>
          <w:rFonts w:hint="eastAsia"/>
          <w:sz w:val="21"/>
          <w:szCs w:val="21"/>
        </w:rPr>
        <w:t>（6）法律</w:t>
      </w:r>
      <w:r>
        <w:rPr>
          <w:rFonts w:hint="eastAsia"/>
          <w:sz w:val="21"/>
          <w:szCs w:val="21"/>
          <w:lang w:val="en-US" w:eastAsia="zh-CN"/>
        </w:rPr>
        <w:t>合规</w:t>
      </w:r>
      <w:r>
        <w:rPr>
          <w:rFonts w:hint="eastAsia"/>
          <w:sz w:val="21"/>
          <w:szCs w:val="21"/>
        </w:rPr>
        <w:t xml:space="preserve">部对投资的全过程进行合规风险监控； </w:t>
      </w:r>
    </w:p>
    <w:p w14:paraId="78429EBF">
      <w:pPr>
        <w:pStyle w:val="8"/>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14:paraId="273DAD23">
      <w:pPr>
        <w:pStyle w:val="8"/>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14:paraId="0814AAFC">
      <w:pPr>
        <w:pStyle w:val="8"/>
        <w:spacing w:before="0" w:beforeAutospacing="0" w:after="0" w:afterAutospacing="0" w:line="360" w:lineRule="auto"/>
        <w:ind w:firstLine="420"/>
        <w:rPr>
          <w:sz w:val="21"/>
          <w:szCs w:val="21"/>
        </w:rPr>
      </w:pPr>
      <w:r>
        <w:rPr>
          <w:rStyle w:val="12"/>
          <w:rFonts w:hint="eastAsia"/>
          <w:sz w:val="21"/>
          <w:szCs w:val="21"/>
        </w:rPr>
        <w:t>五、投资限制</w:t>
      </w:r>
    </w:p>
    <w:p w14:paraId="3D27C42C">
      <w:pPr>
        <w:pStyle w:val="8"/>
        <w:spacing w:before="0" w:beforeAutospacing="0" w:after="0" w:afterAutospacing="0" w:line="360" w:lineRule="auto"/>
        <w:ind w:firstLine="420"/>
        <w:rPr>
          <w:sz w:val="21"/>
          <w:szCs w:val="21"/>
        </w:rPr>
      </w:pPr>
      <w:r>
        <w:rPr>
          <w:rFonts w:hint="eastAsia"/>
          <w:sz w:val="21"/>
          <w:szCs w:val="21"/>
        </w:rPr>
        <w:t xml:space="preserve">1、组合限制 </w:t>
      </w:r>
    </w:p>
    <w:p w14:paraId="5F922D16">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652F4240">
      <w:pPr>
        <w:pStyle w:val="8"/>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40460DBC">
      <w:pPr>
        <w:pStyle w:val="8"/>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3C4BA6B8">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2ADF0A66">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78BAC398">
      <w:pPr>
        <w:pStyle w:val="8"/>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00A16683">
      <w:pPr>
        <w:pStyle w:val="8"/>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5FCAB0A9">
      <w:pPr>
        <w:pStyle w:val="8"/>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2600F25F">
      <w:pPr>
        <w:pStyle w:val="8"/>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71E327DF">
      <w:pPr>
        <w:pStyle w:val="8"/>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495781BA">
      <w:pPr>
        <w:pStyle w:val="8"/>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59DA06FC">
      <w:pPr>
        <w:pStyle w:val="8"/>
        <w:spacing w:before="0" w:beforeAutospacing="0" w:after="0" w:afterAutospacing="0" w:line="360" w:lineRule="auto"/>
        <w:ind w:firstLine="420"/>
        <w:rPr>
          <w:sz w:val="21"/>
          <w:szCs w:val="21"/>
        </w:rPr>
      </w:pPr>
      <w:r>
        <w:rPr>
          <w:rFonts w:hint="eastAsia"/>
          <w:sz w:val="21"/>
          <w:szCs w:val="21"/>
        </w:rPr>
        <w:t xml:space="preserve">（11）基金资产总值不得超过基金资产净值的140%； </w:t>
      </w:r>
    </w:p>
    <w:p w14:paraId="1FEB147D">
      <w:pPr>
        <w:pStyle w:val="8"/>
        <w:spacing w:before="0" w:beforeAutospacing="0" w:after="0" w:afterAutospacing="0" w:line="360" w:lineRule="auto"/>
        <w:ind w:firstLine="420"/>
        <w:rPr>
          <w:sz w:val="21"/>
          <w:szCs w:val="21"/>
        </w:rPr>
      </w:pPr>
      <w:r>
        <w:rPr>
          <w:rFonts w:hint="eastAsia"/>
          <w:sz w:val="21"/>
          <w:szCs w:val="21"/>
        </w:rPr>
        <w:t xml:space="preserve">（12）本基金主动投资于流动性受限资产的市值合计不得超过基金资产净值的15%； </w:t>
      </w:r>
    </w:p>
    <w:p w14:paraId="17D538BF">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57139255">
      <w:pPr>
        <w:pStyle w:val="8"/>
        <w:spacing w:before="0" w:beforeAutospacing="0" w:after="0" w:afterAutospacing="0" w:line="360" w:lineRule="auto"/>
        <w:ind w:firstLine="420"/>
        <w:rPr>
          <w:sz w:val="21"/>
          <w:szCs w:val="21"/>
        </w:rPr>
      </w:pPr>
      <w:r>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14:paraId="113FE28B">
      <w:pPr>
        <w:pStyle w:val="8"/>
        <w:spacing w:before="0" w:beforeAutospacing="0" w:after="0" w:afterAutospacing="0" w:line="360" w:lineRule="auto"/>
        <w:ind w:firstLine="420"/>
        <w:rPr>
          <w:sz w:val="21"/>
          <w:szCs w:val="21"/>
        </w:rPr>
      </w:pPr>
      <w:r>
        <w:rPr>
          <w:rFonts w:hint="eastAsia"/>
          <w:sz w:val="21"/>
          <w:szCs w:val="21"/>
        </w:rPr>
        <w:t xml:space="preserve">（14）法律法规及中国证监会规定的和《基金合同》约定的其他投资限制。 </w:t>
      </w:r>
    </w:p>
    <w:p w14:paraId="71AB34E9">
      <w:pPr>
        <w:pStyle w:val="8"/>
        <w:spacing w:before="0" w:beforeAutospacing="0" w:after="0" w:afterAutospacing="0" w:line="360" w:lineRule="auto"/>
        <w:ind w:firstLine="420"/>
        <w:rPr>
          <w:sz w:val="21"/>
          <w:szCs w:val="21"/>
        </w:rPr>
      </w:pPr>
      <w:r>
        <w:rPr>
          <w:rFonts w:hint="eastAsia"/>
          <w:sz w:val="21"/>
          <w:szCs w:val="21"/>
        </w:rPr>
        <w:t xml:space="preserve">除上述第（2）、（10）、（12）、（13）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28B4A208">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6AB6963">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 </w:t>
      </w:r>
    </w:p>
    <w:p w14:paraId="6367CDA0">
      <w:pPr>
        <w:pStyle w:val="8"/>
        <w:spacing w:before="0" w:beforeAutospacing="0" w:after="0" w:afterAutospacing="0" w:line="360" w:lineRule="auto"/>
        <w:ind w:firstLine="420"/>
        <w:rPr>
          <w:sz w:val="21"/>
          <w:szCs w:val="21"/>
        </w:rPr>
      </w:pPr>
      <w:r>
        <w:rPr>
          <w:rFonts w:hint="eastAsia"/>
          <w:sz w:val="21"/>
          <w:szCs w:val="21"/>
        </w:rPr>
        <w:t xml:space="preserve">2、禁止行为 </w:t>
      </w:r>
    </w:p>
    <w:p w14:paraId="4193F4DF">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01014BF9">
      <w:pPr>
        <w:pStyle w:val="8"/>
        <w:spacing w:before="0" w:beforeAutospacing="0" w:after="0" w:afterAutospacing="0" w:line="360" w:lineRule="auto"/>
        <w:ind w:firstLine="420"/>
        <w:rPr>
          <w:sz w:val="21"/>
          <w:szCs w:val="21"/>
        </w:rPr>
      </w:pPr>
      <w:r>
        <w:rPr>
          <w:rFonts w:hint="eastAsia"/>
          <w:sz w:val="21"/>
          <w:szCs w:val="21"/>
        </w:rPr>
        <w:t xml:space="preserve">（1）承销证券； </w:t>
      </w:r>
    </w:p>
    <w:p w14:paraId="058A5139">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34192D60">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507524FB">
      <w:pPr>
        <w:pStyle w:val="8"/>
        <w:spacing w:before="0" w:beforeAutospacing="0" w:after="0" w:afterAutospacing="0" w:line="360" w:lineRule="auto"/>
        <w:ind w:firstLine="420"/>
        <w:rPr>
          <w:sz w:val="21"/>
          <w:szCs w:val="21"/>
        </w:rPr>
      </w:pPr>
      <w:r>
        <w:rPr>
          <w:rFonts w:hint="eastAsia"/>
          <w:sz w:val="21"/>
          <w:szCs w:val="21"/>
        </w:rPr>
        <w:t xml:space="preserve">（4）向其基金管理人、基金托管人出资； </w:t>
      </w:r>
    </w:p>
    <w:p w14:paraId="77901B6A">
      <w:pPr>
        <w:pStyle w:val="8"/>
        <w:spacing w:before="0" w:beforeAutospacing="0" w:after="0" w:afterAutospacing="0" w:line="360" w:lineRule="auto"/>
        <w:ind w:firstLine="420"/>
        <w:rPr>
          <w:sz w:val="21"/>
          <w:szCs w:val="21"/>
        </w:rPr>
      </w:pPr>
      <w:r>
        <w:rPr>
          <w:rFonts w:hint="eastAsia"/>
          <w:sz w:val="21"/>
          <w:szCs w:val="21"/>
        </w:rPr>
        <w:t xml:space="preserve">（5）从事内幕交易、操纵证券交易价格及其他不正当的证券交易活动； </w:t>
      </w:r>
    </w:p>
    <w:p w14:paraId="66C85E2F">
      <w:pPr>
        <w:pStyle w:val="8"/>
        <w:spacing w:before="0" w:beforeAutospacing="0" w:after="0" w:afterAutospacing="0" w:line="360" w:lineRule="auto"/>
        <w:ind w:firstLine="420"/>
        <w:rPr>
          <w:sz w:val="21"/>
          <w:szCs w:val="21"/>
        </w:rPr>
      </w:pPr>
      <w:r>
        <w:rPr>
          <w:rFonts w:hint="eastAsia"/>
          <w:sz w:val="21"/>
          <w:szCs w:val="21"/>
        </w:rPr>
        <w:t xml:space="preserve">（6）法律、行政法规和中国证监会规定禁止的其他活动。 </w:t>
      </w:r>
    </w:p>
    <w:p w14:paraId="71D81722">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75B699F6">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372C1AB2">
      <w:pPr>
        <w:pStyle w:val="8"/>
        <w:spacing w:before="0" w:beforeAutospacing="0" w:after="0" w:afterAutospacing="0" w:line="360" w:lineRule="auto"/>
        <w:ind w:firstLine="420"/>
        <w:rPr>
          <w:sz w:val="21"/>
          <w:szCs w:val="21"/>
        </w:rPr>
      </w:pPr>
      <w:bookmarkStart w:id="127" w:name="chapter_level1_11_60_section_2_end"/>
      <w:bookmarkEnd w:id="127"/>
      <w:r>
        <w:rPr>
          <w:rStyle w:val="12"/>
          <w:rFonts w:hint="eastAsia"/>
          <w:sz w:val="21"/>
          <w:szCs w:val="21"/>
        </w:rPr>
        <w:t>六、业绩比较基准</w:t>
      </w:r>
    </w:p>
    <w:p w14:paraId="357758D1">
      <w:pPr>
        <w:pStyle w:val="8"/>
        <w:spacing w:before="0" w:beforeAutospacing="0" w:after="0" w:afterAutospacing="0" w:line="360" w:lineRule="auto"/>
        <w:ind w:firstLine="420"/>
        <w:rPr>
          <w:sz w:val="21"/>
          <w:szCs w:val="21"/>
        </w:rPr>
      </w:pPr>
      <w:bookmarkStart w:id="128" w:name="chapter_level1_11_60_section_3"/>
      <w:bookmarkEnd w:id="128"/>
      <w:r>
        <w:rPr>
          <w:rFonts w:hint="eastAsia"/>
          <w:sz w:val="21"/>
          <w:szCs w:val="21"/>
        </w:rPr>
        <w:t>本基金的业绩比较基准为：</w:t>
      </w:r>
      <w:bookmarkStart w:id="129" w:name="field_60_benchmark_1_start"/>
      <w:bookmarkEnd w:id="129"/>
      <w:r>
        <w:rPr>
          <w:rFonts w:hint="eastAsia"/>
          <w:sz w:val="21"/>
          <w:szCs w:val="21"/>
        </w:rPr>
        <w:t>中债-1-5年债券综合财富(总值)指数收益率*95%+活期存款基准利率*5%</w:t>
      </w:r>
      <w:bookmarkStart w:id="130" w:name="field_60_benchmark_1_end"/>
      <w:bookmarkEnd w:id="130"/>
      <w:r>
        <w:rPr>
          <w:rFonts w:hint="eastAsia"/>
          <w:sz w:val="21"/>
          <w:szCs w:val="21"/>
        </w:rPr>
        <w:t xml:space="preserve"> </w:t>
      </w:r>
    </w:p>
    <w:p w14:paraId="33ABE5AF">
      <w:pPr>
        <w:pStyle w:val="8"/>
        <w:spacing w:before="0" w:beforeAutospacing="0" w:after="0" w:afterAutospacing="0" w:line="360" w:lineRule="auto"/>
        <w:ind w:firstLine="420"/>
        <w:rPr>
          <w:sz w:val="21"/>
          <w:szCs w:val="21"/>
        </w:rPr>
      </w:pPr>
      <w:r>
        <w:rPr>
          <w:rFonts w:hint="eastAsia"/>
          <w:sz w:val="21"/>
          <w:szCs w:val="21"/>
        </w:rPr>
        <w:t xml:space="preserve">1、业绩比较基准的设定原因 </w:t>
      </w:r>
    </w:p>
    <w:p w14:paraId="75B7C72C">
      <w:pPr>
        <w:pStyle w:val="8"/>
        <w:spacing w:before="0" w:beforeAutospacing="0" w:after="0" w:afterAutospacing="0" w:line="360" w:lineRule="auto"/>
        <w:ind w:firstLine="420"/>
        <w:rPr>
          <w:sz w:val="21"/>
          <w:szCs w:val="21"/>
        </w:rPr>
      </w:pPr>
      <w:r>
        <w:rPr>
          <w:rFonts w:hint="eastAsia"/>
          <w:sz w:val="21"/>
          <w:szCs w:val="21"/>
        </w:rPr>
        <w:t xml:space="preserve">（1）基于基金投资范围以及预期投资的主要资产类别，本基金主要投资于债券资产，相应选取与之匹配的债券指数作为基准要素。同时，基于基金对债券的投资比例不低于基金资产的80%等投资比例限制，以及预期的中长期资产配置比例中枢，本基金将债券资产的基准要素权重设置为95%。此外，为应对基金日常流动性需求，本基金可能保持一定比例的现金或其他高流动性资产，将高流动性资产所对应的基准要素权重设置为5%。 </w:t>
      </w:r>
    </w:p>
    <w:p w14:paraId="74653837">
      <w:pPr>
        <w:pStyle w:val="8"/>
        <w:spacing w:before="0" w:beforeAutospacing="0" w:after="0" w:afterAutospacing="0" w:line="360" w:lineRule="auto"/>
        <w:ind w:firstLine="420"/>
        <w:rPr>
          <w:sz w:val="21"/>
          <w:szCs w:val="21"/>
        </w:rPr>
      </w:pPr>
      <w:r>
        <w:rPr>
          <w:rFonts w:hint="eastAsia"/>
          <w:sz w:val="21"/>
          <w:szCs w:val="21"/>
        </w:rPr>
        <w:t xml:space="preserve">（2）基于本基金的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选取中债-1-5年债券综合财富（总值）指数作为债券部分的业绩比较基准要素。 </w:t>
      </w:r>
    </w:p>
    <w:p w14:paraId="7C7C14EF">
      <w:pPr>
        <w:pStyle w:val="8"/>
        <w:spacing w:before="0" w:beforeAutospacing="0" w:after="0" w:afterAutospacing="0" w:line="360" w:lineRule="auto"/>
        <w:ind w:firstLine="420"/>
        <w:rPr>
          <w:sz w:val="21"/>
          <w:szCs w:val="21"/>
        </w:rPr>
      </w:pPr>
      <w:r>
        <w:rPr>
          <w:rFonts w:hint="eastAsia"/>
          <w:sz w:val="21"/>
          <w:szCs w:val="21"/>
        </w:rPr>
        <w:t xml:space="preserve">中债-1-5年债券综合财富（总值）指数隶属于中债总指数族系，该指数成份券包括在境内公开发行且上市流通、剩余期限在1-5年的国债、地方政府债、政策性银行债券、信用债等，适合作为本基金债券部分的业绩比较基准要素。 </w:t>
      </w:r>
    </w:p>
    <w:p w14:paraId="3B143321">
      <w:pPr>
        <w:pStyle w:val="8"/>
        <w:spacing w:before="0" w:beforeAutospacing="0" w:after="0" w:afterAutospacing="0" w:line="360" w:lineRule="auto"/>
        <w:ind w:firstLine="420"/>
        <w:rPr>
          <w:sz w:val="21"/>
          <w:szCs w:val="21"/>
        </w:rPr>
      </w:pPr>
      <w:r>
        <w:rPr>
          <w:rFonts w:hint="eastAsia"/>
          <w:sz w:val="21"/>
          <w:szCs w:val="21"/>
        </w:rPr>
        <w:t xml:space="preserve">（3）本基金将活期存款基准利率纳入业绩比较基准，对应基金投资的现金类资产，该业绩比较基准要素能准确反映现金类资产的无风险收益水平，与基金现金类资产的投资收益特征高度匹配。 </w:t>
      </w:r>
    </w:p>
    <w:p w14:paraId="5A20C054">
      <w:pPr>
        <w:pStyle w:val="8"/>
        <w:spacing w:before="0" w:beforeAutospacing="0" w:after="0" w:afterAutospacing="0" w:line="360" w:lineRule="auto"/>
        <w:ind w:firstLine="420"/>
        <w:rPr>
          <w:sz w:val="21"/>
          <w:szCs w:val="21"/>
        </w:rPr>
      </w:pPr>
      <w:r>
        <w:rPr>
          <w:rFonts w:hint="eastAsia"/>
          <w:sz w:val="21"/>
          <w:szCs w:val="21"/>
        </w:rPr>
        <w:t xml:space="preserve">综上，本基金选取的业绩比较基准与基金投资目标、投资范围、投资策略、投资比例限制相匹配。 </w:t>
      </w:r>
    </w:p>
    <w:p w14:paraId="3E566E26">
      <w:pPr>
        <w:pStyle w:val="8"/>
        <w:spacing w:before="0" w:beforeAutospacing="0" w:after="0" w:afterAutospacing="0" w:line="360" w:lineRule="auto"/>
        <w:ind w:firstLine="420"/>
        <w:rPr>
          <w:sz w:val="21"/>
          <w:szCs w:val="21"/>
        </w:rPr>
      </w:pPr>
      <w:r>
        <w:rPr>
          <w:rFonts w:hint="eastAsia"/>
          <w:sz w:val="21"/>
          <w:szCs w:val="21"/>
        </w:rPr>
        <w:t xml:space="preserve">2、业绩比较基准要素的基本信息 </w:t>
      </w:r>
    </w:p>
    <w:p w14:paraId="32AFE8CB">
      <w:pPr>
        <w:pStyle w:val="8"/>
        <w:spacing w:before="0" w:beforeAutospacing="0" w:after="0" w:afterAutospacing="0" w:line="360" w:lineRule="auto"/>
        <w:ind w:firstLine="420"/>
        <w:rPr>
          <w:sz w:val="21"/>
          <w:szCs w:val="21"/>
        </w:rPr>
      </w:pPr>
      <w:r>
        <w:rPr>
          <w:rFonts w:hint="eastAsia"/>
          <w:sz w:val="21"/>
          <w:szCs w:val="21"/>
        </w:rPr>
        <w:t xml:space="preserve">中债-1-5年债券综合财富（总值）指数由中债金融估值中心有限公司编制发布，指数代码为CBA37201,指数具体信息详见中国债券信息网，网址：www.chinabond.com.cn。 </w:t>
      </w:r>
    </w:p>
    <w:p w14:paraId="16308353">
      <w:pPr>
        <w:pStyle w:val="8"/>
        <w:spacing w:before="0" w:beforeAutospacing="0" w:after="0" w:afterAutospacing="0" w:line="360" w:lineRule="auto"/>
        <w:ind w:firstLine="420"/>
        <w:rPr>
          <w:sz w:val="21"/>
          <w:szCs w:val="21"/>
        </w:rPr>
      </w:pPr>
      <w:r>
        <w:rPr>
          <w:rFonts w:hint="eastAsia"/>
          <w:sz w:val="21"/>
          <w:szCs w:val="21"/>
        </w:rPr>
        <w:t xml:space="preserve">活期存款基准利率由中国人民银行发布，具体信息详见中国人民银行网站，网址：www.pbc.gov.cn。 </w:t>
      </w:r>
    </w:p>
    <w:p w14:paraId="7145E041">
      <w:pPr>
        <w:pStyle w:val="8"/>
        <w:spacing w:before="0" w:beforeAutospacing="0" w:after="0" w:afterAutospacing="0" w:line="360" w:lineRule="auto"/>
        <w:ind w:firstLine="420"/>
        <w:rPr>
          <w:sz w:val="21"/>
          <w:szCs w:val="21"/>
        </w:rPr>
      </w:pPr>
      <w:r>
        <w:rPr>
          <w:rFonts w:hint="eastAsia"/>
          <w:sz w:val="21"/>
          <w:szCs w:val="21"/>
        </w:rPr>
        <w:t xml:space="preserve">3、业绩比较基准的计算方法 </w:t>
      </w:r>
    </w:p>
    <w:p w14:paraId="25B6A1E7">
      <w:pPr>
        <w:pStyle w:val="8"/>
        <w:spacing w:before="0" w:beforeAutospacing="0" w:after="0" w:afterAutospacing="0" w:line="360" w:lineRule="auto"/>
        <w:ind w:firstLine="420"/>
        <w:rPr>
          <w:sz w:val="21"/>
          <w:szCs w:val="21"/>
        </w:rPr>
      </w:pPr>
      <w:r>
        <w:rPr>
          <w:rFonts w:hint="eastAsia"/>
          <w:sz w:val="21"/>
          <w:szCs w:val="21"/>
        </w:rPr>
        <w:t xml:space="preserve">本基金业绩比较基准收益率的计算方法以每日收益率为基础，以时间加权为计算原则。本基金先分别计算业绩比较基准中中债-1-5年债券综合财富（总值）指数和活期存款基准利率的每日收益率，再按照预设权重比例计算当日组合要素基准的日收益率，并连乘每日收益率。 </w:t>
      </w:r>
    </w:p>
    <w:p w14:paraId="27852A96">
      <w:pPr>
        <w:pStyle w:val="8"/>
        <w:spacing w:before="0" w:beforeAutospacing="0" w:after="0" w:afterAutospacing="0" w:line="360" w:lineRule="auto"/>
        <w:ind w:firstLine="420"/>
        <w:rPr>
          <w:sz w:val="21"/>
          <w:szCs w:val="21"/>
        </w:rPr>
      </w:pPr>
      <w:r>
        <w:rPr>
          <w:rFonts w:hint="eastAsia"/>
          <w:sz w:val="21"/>
          <w:szCs w:val="21"/>
        </w:rPr>
        <w:t xml:space="preserve">4、管理投资偏离业绩比较基准的定性或定量方法 </w:t>
      </w:r>
    </w:p>
    <w:p w14:paraId="336907FD">
      <w:pPr>
        <w:pStyle w:val="8"/>
        <w:spacing w:before="0" w:beforeAutospacing="0" w:after="0" w:afterAutospacing="0" w:line="360" w:lineRule="auto"/>
        <w:ind w:firstLine="420"/>
        <w:rPr>
          <w:sz w:val="21"/>
          <w:szCs w:val="21"/>
        </w:rPr>
      </w:pPr>
      <w:r>
        <w:rPr>
          <w:rFonts w:hint="eastAsia"/>
          <w:sz w:val="21"/>
          <w:szCs w:val="21"/>
        </w:rPr>
        <w:t xml:space="preserve">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 </w:t>
      </w:r>
    </w:p>
    <w:p w14:paraId="2F4D57EC">
      <w:pPr>
        <w:pStyle w:val="8"/>
        <w:spacing w:before="0" w:beforeAutospacing="0" w:after="0" w:afterAutospacing="0" w:line="360" w:lineRule="auto"/>
        <w:ind w:firstLine="420"/>
        <w:rPr>
          <w:sz w:val="21"/>
          <w:szCs w:val="21"/>
        </w:rPr>
      </w:pPr>
      <w:r>
        <w:rPr>
          <w:rFonts w:hint="eastAsia"/>
          <w:sz w:val="21"/>
          <w:szCs w:val="21"/>
        </w:rPr>
        <w:t xml:space="preserve">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 </w:t>
      </w:r>
    </w:p>
    <w:p w14:paraId="3A0134E3">
      <w:pPr>
        <w:pStyle w:val="8"/>
        <w:spacing w:before="0" w:beforeAutospacing="0" w:after="0" w:afterAutospacing="0" w:line="360" w:lineRule="auto"/>
        <w:ind w:firstLine="420"/>
        <w:rPr>
          <w:sz w:val="21"/>
          <w:szCs w:val="21"/>
        </w:rPr>
      </w:pPr>
      <w:r>
        <w:rPr>
          <w:rFonts w:hint="eastAsia"/>
          <w:sz w:val="21"/>
          <w:szCs w:val="21"/>
        </w:rPr>
        <w:t xml:space="preserve">5、未来可能变更业绩比较基准的情况和程序 </w:t>
      </w:r>
    </w:p>
    <w:p w14:paraId="50C0CC89">
      <w:pPr>
        <w:pStyle w:val="8"/>
        <w:spacing w:before="0" w:beforeAutospacing="0" w:after="0" w:afterAutospacing="0" w:line="360" w:lineRule="auto"/>
        <w:ind w:firstLine="420"/>
        <w:rPr>
          <w:sz w:val="21"/>
          <w:szCs w:val="21"/>
        </w:rPr>
      </w:pPr>
      <w:r>
        <w:rPr>
          <w:rFonts w:hint="eastAsia"/>
          <w:sz w:val="21"/>
          <w:szCs w:val="21"/>
        </w:rPr>
        <w:t xml:space="preserve">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 </w:t>
      </w:r>
    </w:p>
    <w:p w14:paraId="28CE98D4">
      <w:pPr>
        <w:pStyle w:val="8"/>
        <w:spacing w:before="0" w:beforeAutospacing="0" w:after="0" w:afterAutospacing="0" w:line="360" w:lineRule="auto"/>
        <w:ind w:firstLine="420"/>
        <w:rPr>
          <w:sz w:val="21"/>
          <w:szCs w:val="21"/>
        </w:rPr>
      </w:pPr>
      <w:r>
        <w:rPr>
          <w:rFonts w:hint="eastAsia"/>
          <w:sz w:val="21"/>
          <w:szCs w:val="21"/>
        </w:rPr>
        <w:t xml:space="preserve">（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 </w:t>
      </w:r>
    </w:p>
    <w:p w14:paraId="43F9C6AA">
      <w:pPr>
        <w:pStyle w:val="8"/>
        <w:spacing w:before="0" w:beforeAutospacing="0" w:after="0" w:afterAutospacing="0" w:line="360" w:lineRule="auto"/>
        <w:ind w:firstLine="420"/>
        <w:rPr>
          <w:sz w:val="21"/>
          <w:szCs w:val="21"/>
        </w:rPr>
      </w:pPr>
      <w:r>
        <w:rPr>
          <w:rFonts w:hint="eastAsia"/>
          <w:sz w:val="21"/>
          <w:szCs w:val="21"/>
        </w:rPr>
        <w:t xml:space="preserve">（2）调整业绩比较基准的要素权重、更换相同或相近特征的要素等，使新业绩比较基准代表性更强，且符合相关法律法规规定的； </w:t>
      </w:r>
    </w:p>
    <w:p w14:paraId="229DE698">
      <w:pPr>
        <w:pStyle w:val="8"/>
        <w:spacing w:before="0" w:beforeAutospacing="0" w:after="0" w:afterAutospacing="0" w:line="360" w:lineRule="auto"/>
        <w:ind w:firstLine="420"/>
        <w:rPr>
          <w:sz w:val="21"/>
          <w:szCs w:val="21"/>
        </w:rPr>
      </w:pPr>
      <w:r>
        <w:rPr>
          <w:rFonts w:hint="eastAsia"/>
          <w:sz w:val="21"/>
          <w:szCs w:val="21"/>
        </w:rPr>
        <w:t xml:space="preserve">（3）中国证监会认可的其他情形。 </w:t>
      </w:r>
    </w:p>
    <w:p w14:paraId="5E44103E">
      <w:pPr>
        <w:pStyle w:val="8"/>
        <w:spacing w:before="0" w:beforeAutospacing="0" w:after="0" w:afterAutospacing="0" w:line="360" w:lineRule="auto"/>
        <w:ind w:firstLine="420"/>
        <w:rPr>
          <w:sz w:val="21"/>
          <w:szCs w:val="21"/>
        </w:rPr>
      </w:pPr>
      <w:r>
        <w:rPr>
          <w:rFonts w:hint="eastAsia"/>
          <w:sz w:val="21"/>
          <w:szCs w:val="21"/>
        </w:rPr>
        <w:t xml:space="preserve">业绩比较基准变更涉及以下情形的，基金管理人应当按照规定履行变更注册、召开基金份额持有人大会等程序，法律法规、中国证监会另有规定的除外： </w:t>
      </w:r>
    </w:p>
    <w:p w14:paraId="056882DC">
      <w:pPr>
        <w:pStyle w:val="8"/>
        <w:spacing w:before="0" w:beforeAutospacing="0" w:after="0" w:afterAutospacing="0" w:line="360" w:lineRule="auto"/>
        <w:ind w:firstLine="420"/>
        <w:rPr>
          <w:sz w:val="21"/>
          <w:szCs w:val="21"/>
        </w:rPr>
      </w:pPr>
      <w:r>
        <w:rPr>
          <w:rFonts w:hint="eastAsia"/>
          <w:sz w:val="21"/>
          <w:szCs w:val="21"/>
        </w:rPr>
        <w:t xml:space="preserve">（1）基金投资目标、投资范围、投资策略、投资比例等拟进行重大调整，并变更业绩比较基准的； </w:t>
      </w:r>
    </w:p>
    <w:p w14:paraId="61063CFE">
      <w:pPr>
        <w:pStyle w:val="8"/>
        <w:spacing w:before="0" w:beforeAutospacing="0" w:after="0" w:afterAutospacing="0" w:line="360" w:lineRule="auto"/>
        <w:ind w:firstLine="420"/>
        <w:rPr>
          <w:sz w:val="21"/>
          <w:szCs w:val="21"/>
        </w:rPr>
      </w:pPr>
      <w:bookmarkStart w:id="131" w:name="chapter_level1_11_60_section_3_end"/>
      <w:bookmarkEnd w:id="131"/>
      <w:r>
        <w:rPr>
          <w:rFonts w:hint="eastAsia"/>
          <w:sz w:val="21"/>
          <w:szCs w:val="21"/>
        </w:rPr>
        <w:t xml:space="preserve">（2）其他对基金份额持有人利益产生重大实质性影响的情形。 </w:t>
      </w:r>
    </w:p>
    <w:p w14:paraId="22695159">
      <w:pPr>
        <w:pStyle w:val="8"/>
        <w:spacing w:before="0" w:beforeAutospacing="0" w:after="0" w:afterAutospacing="0" w:line="360" w:lineRule="auto"/>
        <w:ind w:firstLine="420"/>
        <w:rPr>
          <w:sz w:val="21"/>
          <w:szCs w:val="21"/>
        </w:rPr>
      </w:pPr>
      <w:bookmarkStart w:id="132" w:name="chapter_level1_11_60_section_4"/>
      <w:bookmarkEnd w:id="132"/>
      <w:r>
        <w:rPr>
          <w:rStyle w:val="12"/>
          <w:rFonts w:hint="eastAsia"/>
          <w:sz w:val="21"/>
          <w:szCs w:val="21"/>
        </w:rPr>
        <w:t>七、风险收益特征</w:t>
      </w:r>
    </w:p>
    <w:p w14:paraId="2C9542C7">
      <w:pPr>
        <w:pStyle w:val="8"/>
        <w:spacing w:before="0" w:beforeAutospacing="0" w:after="0" w:afterAutospacing="0" w:line="360" w:lineRule="auto"/>
        <w:ind w:firstLine="420"/>
        <w:rPr>
          <w:sz w:val="21"/>
          <w:szCs w:val="21"/>
        </w:rPr>
      </w:pPr>
      <w:bookmarkStart w:id="133" w:name="field_60_riskyield_1_start"/>
      <w:bookmarkEnd w:id="133"/>
      <w:r>
        <w:rPr>
          <w:rFonts w:hint="eastAsia"/>
          <w:sz w:val="21"/>
          <w:szCs w:val="21"/>
        </w:rPr>
        <w:t xml:space="preserve">本基金为债券型基金，预期收益和预期风险高于货币市场基金，但低于混合型基金、股票型基金，属于中低风险/收益的产品。  </w:t>
      </w:r>
      <w:bookmarkStart w:id="134" w:name="field_60_riskyield_1_end"/>
      <w:bookmarkEnd w:id="134"/>
      <w:r>
        <w:rPr>
          <w:rFonts w:hint="eastAsia"/>
          <w:sz w:val="21"/>
          <w:szCs w:val="21"/>
        </w:rPr>
        <w:t xml:space="preserve">  </w:t>
      </w:r>
    </w:p>
    <w:p w14:paraId="1979344F">
      <w:pPr>
        <w:pStyle w:val="8"/>
        <w:spacing w:before="0" w:beforeAutospacing="0" w:after="0" w:afterAutospacing="0" w:line="360" w:lineRule="auto"/>
        <w:ind w:firstLine="420"/>
        <w:rPr>
          <w:sz w:val="21"/>
          <w:szCs w:val="21"/>
        </w:rPr>
      </w:pPr>
      <w:r>
        <w:rPr>
          <w:rStyle w:val="12"/>
          <w:rFonts w:hint="eastAsia"/>
          <w:sz w:val="21"/>
          <w:szCs w:val="21"/>
        </w:rPr>
        <w:t>八、基金管理人代表基金行使相关权利的处理原则及方法</w:t>
      </w:r>
    </w:p>
    <w:p w14:paraId="7E1A0305">
      <w:pPr>
        <w:pStyle w:val="8"/>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14:paraId="4B1E8441">
      <w:pPr>
        <w:pStyle w:val="8"/>
        <w:spacing w:before="0" w:beforeAutospacing="0" w:after="0" w:afterAutospacing="0" w:line="360" w:lineRule="auto"/>
        <w:ind w:firstLine="420"/>
        <w:rPr>
          <w:sz w:val="21"/>
          <w:szCs w:val="21"/>
        </w:rPr>
      </w:pPr>
      <w:r>
        <w:rPr>
          <w:rFonts w:hint="eastAsia"/>
          <w:sz w:val="21"/>
          <w:szCs w:val="21"/>
        </w:rPr>
        <w:t xml:space="preserve">2、有利于基金财产的安全与增值； </w:t>
      </w:r>
    </w:p>
    <w:p w14:paraId="76BC4940">
      <w:pPr>
        <w:pStyle w:val="8"/>
        <w:spacing w:before="0" w:beforeAutospacing="0" w:after="0" w:afterAutospacing="0" w:line="360" w:lineRule="auto"/>
        <w:ind w:firstLine="420"/>
        <w:rPr>
          <w:sz w:val="21"/>
          <w:szCs w:val="21"/>
        </w:rPr>
      </w:pPr>
      <w:r>
        <w:rPr>
          <w:rFonts w:hint="eastAsia"/>
          <w:sz w:val="21"/>
          <w:szCs w:val="21"/>
        </w:rPr>
        <w:t xml:space="preserve">3、不通过关联交易为自身、雇员、授权代理人或任何存在利害关系的第三人牟取任何不当利益。   </w:t>
      </w:r>
    </w:p>
    <w:p w14:paraId="61B1B65A">
      <w:pPr>
        <w:pStyle w:val="8"/>
        <w:spacing w:before="0" w:beforeAutospacing="0" w:after="0" w:afterAutospacing="0" w:line="360" w:lineRule="auto"/>
        <w:ind w:firstLine="420"/>
        <w:rPr>
          <w:sz w:val="21"/>
          <w:szCs w:val="21"/>
        </w:rPr>
      </w:pPr>
      <w:r>
        <w:rPr>
          <w:rStyle w:val="12"/>
          <w:rFonts w:hint="eastAsia"/>
          <w:sz w:val="21"/>
          <w:szCs w:val="21"/>
        </w:rPr>
        <w:t>九、侧袋机制的实施和投资运作安排</w:t>
      </w:r>
    </w:p>
    <w:p w14:paraId="1DDFE063">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1D684E36">
      <w:pPr>
        <w:pStyle w:val="8"/>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176A25F9">
      <w:pPr>
        <w:spacing w:line="360" w:lineRule="auto"/>
        <w:ind w:firstLine="210" w:firstLineChars="100"/>
        <w:rPr>
          <w:rFonts w:ascii="宋体" w:hAnsi="宋体" w:eastAsia="宋体"/>
          <w:sz w:val="24"/>
          <w:szCs w:val="24"/>
        </w:rPr>
      </w:pPr>
      <w:r>
        <w:rPr>
          <w:rFonts w:ascii="宋体" w:hAnsi="宋体" w:eastAsia="宋体"/>
        </w:rPr>
        <w:t> 侧袋账户的实施条件、实施程序、运作安排、投资安排、特定资产的处置变现和支付等</w:t>
      </w:r>
      <w:bookmarkStart w:id="135" w:name="chapter_level1_11_60_section_4_end"/>
      <w:bookmarkEnd w:id="135"/>
      <w:r>
        <w:rPr>
          <w:rFonts w:ascii="宋体" w:hAnsi="宋体" w:eastAsia="宋体"/>
        </w:rPr>
        <w:t xml:space="preserve">对投资者权益有重大影响的事项详见本招募说明书“侧袋机制”章节的规定。 </w:t>
      </w:r>
    </w:p>
    <w:p w14:paraId="7AD8C6D9">
      <w:pPr>
        <w:pStyle w:val="8"/>
        <w:spacing w:before="0" w:beforeAutospacing="0" w:after="0" w:afterAutospacing="0" w:line="360" w:lineRule="auto"/>
        <w:ind w:firstLine="420"/>
        <w:rPr>
          <w:sz w:val="21"/>
          <w:szCs w:val="21"/>
        </w:rPr>
      </w:pPr>
      <w:bookmarkStart w:id="136" w:name="chapter_level1_11_60_section_5_end"/>
      <w:bookmarkEnd w:id="136"/>
      <w:bookmarkStart w:id="137" w:name="chapter_level1_11_60_section_5"/>
      <w:bookmarkEnd w:id="137"/>
      <w:r>
        <w:rPr>
          <w:rStyle w:val="12"/>
          <w:rFonts w:hint="eastAsia"/>
          <w:sz w:val="21"/>
          <w:szCs w:val="21"/>
        </w:rPr>
        <w:t>十、基金投资组合报告</w:t>
      </w:r>
    </w:p>
    <w:p w14:paraId="523B5C3A">
      <w:pPr>
        <w:pStyle w:val="8"/>
        <w:spacing w:before="0" w:beforeAutospacing="0" w:after="0" w:afterAutospacing="0" w:line="360" w:lineRule="auto"/>
        <w:ind w:firstLine="420"/>
        <w:rPr>
          <w:sz w:val="21"/>
          <w:szCs w:val="21"/>
        </w:rPr>
      </w:pPr>
      <w:bookmarkStart w:id="138" w:name="chapter_level1_11_60_section_6"/>
      <w:bookmarkEnd w:id="138"/>
      <w:r>
        <w:rPr>
          <w:rFonts w:hint="eastAsia"/>
          <w:sz w:val="21"/>
          <w:szCs w:val="21"/>
        </w:rPr>
        <w:t xml:space="preserve">博时基金管理人的董事会及董事保证本报告所载资料不存在虚假记载、误导性陈述或重大遗漏，并对其内容的真实性、准确性和完整性承担个别及连带责任。 </w:t>
      </w:r>
    </w:p>
    <w:p w14:paraId="34472BEC">
      <w:pPr>
        <w:pStyle w:val="8"/>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0832BABC">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39" w:name="field_2343_financeendday_2"/>
      <w:r>
        <w:rPr>
          <w:sz w:val="21"/>
          <w:szCs w:val="21"/>
        </w:rPr>
        <w:t>2026年6月30日</w:t>
      </w:r>
      <w:bookmarkEnd w:id="139"/>
      <w:r>
        <w:rPr>
          <w:rFonts w:hint="eastAsia"/>
          <w:sz w:val="21"/>
          <w:szCs w:val="21"/>
        </w:rPr>
        <w:t xml:space="preserve">，本报告中所列财务数据未经审计。 </w:t>
      </w:r>
    </w:p>
    <w:p w14:paraId="3A28E9B9">
      <w:pPr>
        <w:pStyle w:val="8"/>
        <w:spacing w:before="0" w:beforeAutospacing="0" w:after="0" w:afterAutospacing="0" w:line="360" w:lineRule="auto"/>
        <w:ind w:firstLine="420"/>
        <w:rPr>
          <w:sz w:val="21"/>
          <w:szCs w:val="21"/>
        </w:rPr>
      </w:pPr>
      <w:bookmarkStart w:id="140" w:name="field_0_fundportfolio_1_start"/>
      <w:bookmarkEnd w:id="140"/>
      <w:r>
        <w:rPr>
          <w:rStyle w:val="12"/>
          <w:rFonts w:hint="eastAsia"/>
          <w:sz w:val="21"/>
          <w:szCs w:val="21"/>
        </w:rPr>
        <w:t>1报告期末基金资产组合情况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53161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58E5115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FF55794">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283CC6A1">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6683BF2A">
            <w:pPr>
              <w:jc w:val="center"/>
              <w:rPr>
                <w:rFonts w:ascii="宋体" w:hAnsi="宋体" w:eastAsia="宋体" w:cs="宋体"/>
                <w:sz w:val="24"/>
                <w:szCs w:val="24"/>
              </w:rPr>
            </w:pPr>
            <w:r>
              <w:rPr>
                <w:rFonts w:hint="eastAsia" w:ascii="宋体" w:hAnsi="宋体" w:eastAsia="宋体"/>
              </w:rPr>
              <w:t>占基金总资产的比例(%)</w:t>
            </w:r>
          </w:p>
        </w:tc>
      </w:tr>
      <w:tr w14:paraId="6B4A2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E888E9">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D97AC08">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14F2DAD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AA18D28">
            <w:pPr>
              <w:jc w:val="right"/>
              <w:rPr>
                <w:rFonts w:ascii="宋体" w:hAnsi="宋体" w:eastAsia="宋体" w:cs="宋体"/>
                <w:sz w:val="24"/>
                <w:szCs w:val="24"/>
              </w:rPr>
            </w:pPr>
            <w:r>
              <w:rPr>
                <w:rFonts w:hint="eastAsia" w:ascii="宋体" w:hAnsi="宋体" w:eastAsia="宋体"/>
              </w:rPr>
              <w:t>-</w:t>
            </w:r>
          </w:p>
        </w:tc>
      </w:tr>
      <w:tr w14:paraId="39336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5DD394">
            <w:pPr>
              <w:jc w:val="center"/>
              <w:rPr>
                <w:rFonts w:ascii="宋体" w:hAnsi="宋体" w:eastAsia="宋体" w:cs="宋体"/>
                <w:sz w:val="24"/>
                <w:szCs w:val="24"/>
              </w:rPr>
            </w:pPr>
          </w:p>
        </w:tc>
        <w:tc>
          <w:tcPr>
            <w:tcW w:w="0" w:type="auto"/>
            <w:shd w:val="clear" w:color="auto" w:fill="auto"/>
          </w:tcPr>
          <w:p w14:paraId="6BF8CC10">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5BB4BB9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8F762C1">
            <w:pPr>
              <w:jc w:val="right"/>
              <w:rPr>
                <w:rFonts w:ascii="宋体" w:hAnsi="宋体" w:eastAsia="宋体" w:cs="宋体"/>
                <w:sz w:val="24"/>
                <w:szCs w:val="24"/>
              </w:rPr>
            </w:pPr>
            <w:r>
              <w:rPr>
                <w:rFonts w:hint="eastAsia" w:ascii="宋体" w:hAnsi="宋体" w:eastAsia="宋体"/>
              </w:rPr>
              <w:t>-</w:t>
            </w:r>
          </w:p>
        </w:tc>
      </w:tr>
      <w:tr w14:paraId="41B81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639F6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CD131DD">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2D6B02F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C375EDC">
            <w:pPr>
              <w:jc w:val="right"/>
              <w:rPr>
                <w:rFonts w:ascii="宋体" w:hAnsi="宋体" w:eastAsia="宋体" w:cs="宋体"/>
                <w:sz w:val="24"/>
                <w:szCs w:val="24"/>
              </w:rPr>
            </w:pPr>
            <w:r>
              <w:rPr>
                <w:rFonts w:hint="eastAsia" w:ascii="宋体" w:hAnsi="宋体" w:eastAsia="宋体"/>
              </w:rPr>
              <w:t>-</w:t>
            </w:r>
          </w:p>
        </w:tc>
      </w:tr>
      <w:tr w14:paraId="6D17C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67D47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4D92AB8">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54C953F3">
            <w:pPr>
              <w:jc w:val="right"/>
              <w:rPr>
                <w:rFonts w:ascii="宋体" w:hAnsi="宋体" w:eastAsia="宋体" w:cs="宋体"/>
                <w:sz w:val="24"/>
                <w:szCs w:val="24"/>
              </w:rPr>
            </w:pPr>
            <w:r>
              <w:rPr>
                <w:rFonts w:hint="eastAsia" w:ascii="宋体" w:hAnsi="宋体" w:eastAsia="宋体"/>
              </w:rPr>
              <w:t>775,183,401.85</w:t>
            </w:r>
          </w:p>
        </w:tc>
        <w:tc>
          <w:tcPr>
            <w:tcW w:w="0" w:type="auto"/>
            <w:shd w:val="clear" w:color="auto" w:fill="auto"/>
          </w:tcPr>
          <w:p w14:paraId="51782CA4">
            <w:pPr>
              <w:jc w:val="right"/>
              <w:rPr>
                <w:rFonts w:ascii="宋体" w:hAnsi="宋体" w:eastAsia="宋体" w:cs="宋体"/>
                <w:sz w:val="24"/>
                <w:szCs w:val="24"/>
              </w:rPr>
            </w:pPr>
            <w:r>
              <w:rPr>
                <w:rFonts w:hint="eastAsia" w:ascii="宋体" w:hAnsi="宋体" w:eastAsia="宋体"/>
              </w:rPr>
              <w:t>98.84</w:t>
            </w:r>
          </w:p>
        </w:tc>
      </w:tr>
      <w:tr w14:paraId="5ADD2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477B4A">
            <w:pPr>
              <w:jc w:val="center"/>
              <w:rPr>
                <w:rFonts w:ascii="宋体" w:hAnsi="宋体" w:eastAsia="宋体" w:cs="宋体"/>
                <w:sz w:val="24"/>
                <w:szCs w:val="24"/>
              </w:rPr>
            </w:pPr>
          </w:p>
        </w:tc>
        <w:tc>
          <w:tcPr>
            <w:tcW w:w="0" w:type="auto"/>
            <w:shd w:val="clear" w:color="auto" w:fill="auto"/>
          </w:tcPr>
          <w:p w14:paraId="101F5B98">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028E08AD">
            <w:pPr>
              <w:jc w:val="right"/>
              <w:rPr>
                <w:rFonts w:ascii="宋体" w:hAnsi="宋体" w:eastAsia="宋体" w:cs="宋体"/>
                <w:sz w:val="24"/>
                <w:szCs w:val="24"/>
              </w:rPr>
            </w:pPr>
            <w:r>
              <w:rPr>
                <w:rFonts w:hint="eastAsia" w:ascii="宋体" w:hAnsi="宋体" w:eastAsia="宋体"/>
              </w:rPr>
              <w:t>775,183,401.85</w:t>
            </w:r>
          </w:p>
        </w:tc>
        <w:tc>
          <w:tcPr>
            <w:tcW w:w="0" w:type="auto"/>
            <w:shd w:val="clear" w:color="auto" w:fill="auto"/>
          </w:tcPr>
          <w:p w14:paraId="016483C2">
            <w:pPr>
              <w:jc w:val="right"/>
              <w:rPr>
                <w:rFonts w:ascii="宋体" w:hAnsi="宋体" w:eastAsia="宋体" w:cs="宋体"/>
                <w:sz w:val="24"/>
                <w:szCs w:val="24"/>
              </w:rPr>
            </w:pPr>
            <w:r>
              <w:rPr>
                <w:rFonts w:hint="eastAsia" w:ascii="宋体" w:hAnsi="宋体" w:eastAsia="宋体"/>
              </w:rPr>
              <w:t>98.84</w:t>
            </w:r>
          </w:p>
        </w:tc>
      </w:tr>
      <w:tr w14:paraId="29CEF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FC1BA6">
            <w:pPr>
              <w:jc w:val="center"/>
              <w:rPr>
                <w:rFonts w:ascii="宋体" w:hAnsi="宋体" w:eastAsia="宋体" w:cs="宋体"/>
                <w:sz w:val="24"/>
                <w:szCs w:val="24"/>
              </w:rPr>
            </w:pPr>
          </w:p>
        </w:tc>
        <w:tc>
          <w:tcPr>
            <w:tcW w:w="0" w:type="auto"/>
            <w:shd w:val="clear" w:color="auto" w:fill="auto"/>
          </w:tcPr>
          <w:p w14:paraId="57ECC002">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10EF486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0EE4D91">
            <w:pPr>
              <w:jc w:val="right"/>
              <w:rPr>
                <w:rFonts w:ascii="宋体" w:hAnsi="宋体" w:eastAsia="宋体" w:cs="宋体"/>
                <w:sz w:val="24"/>
                <w:szCs w:val="24"/>
              </w:rPr>
            </w:pPr>
            <w:r>
              <w:rPr>
                <w:rFonts w:hint="eastAsia" w:ascii="宋体" w:hAnsi="宋体" w:eastAsia="宋体"/>
              </w:rPr>
              <w:t>-</w:t>
            </w:r>
          </w:p>
        </w:tc>
      </w:tr>
      <w:tr w14:paraId="7923F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D72F0A">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9A0BDD2">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5494A00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6A0C1B0">
            <w:pPr>
              <w:jc w:val="right"/>
              <w:rPr>
                <w:rFonts w:ascii="宋体" w:hAnsi="宋体" w:eastAsia="宋体" w:cs="宋体"/>
                <w:sz w:val="24"/>
                <w:szCs w:val="24"/>
              </w:rPr>
            </w:pPr>
            <w:r>
              <w:rPr>
                <w:rFonts w:hint="eastAsia" w:ascii="宋体" w:hAnsi="宋体" w:eastAsia="宋体"/>
              </w:rPr>
              <w:t>-</w:t>
            </w:r>
          </w:p>
        </w:tc>
      </w:tr>
      <w:tr w14:paraId="1AD6D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39D46E">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601B8A9">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3A80014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836C72E">
            <w:pPr>
              <w:jc w:val="right"/>
              <w:rPr>
                <w:rFonts w:ascii="宋体" w:hAnsi="宋体" w:eastAsia="宋体" w:cs="宋体"/>
                <w:sz w:val="24"/>
                <w:szCs w:val="24"/>
              </w:rPr>
            </w:pPr>
            <w:r>
              <w:rPr>
                <w:rFonts w:hint="eastAsia" w:ascii="宋体" w:hAnsi="宋体" w:eastAsia="宋体"/>
              </w:rPr>
              <w:t>-</w:t>
            </w:r>
          </w:p>
        </w:tc>
      </w:tr>
      <w:tr w14:paraId="3B239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A2312D">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49219B4">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1681829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9646AE9">
            <w:pPr>
              <w:jc w:val="right"/>
              <w:rPr>
                <w:rFonts w:ascii="宋体" w:hAnsi="宋体" w:eastAsia="宋体" w:cs="宋体"/>
                <w:sz w:val="24"/>
                <w:szCs w:val="24"/>
              </w:rPr>
            </w:pPr>
            <w:r>
              <w:rPr>
                <w:rFonts w:hint="eastAsia" w:ascii="宋体" w:hAnsi="宋体" w:eastAsia="宋体"/>
              </w:rPr>
              <w:t>-</w:t>
            </w:r>
          </w:p>
        </w:tc>
      </w:tr>
      <w:tr w14:paraId="55787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E079F6">
            <w:pPr>
              <w:jc w:val="center"/>
              <w:rPr>
                <w:rFonts w:ascii="宋体" w:hAnsi="宋体" w:eastAsia="宋体" w:cs="宋体"/>
                <w:sz w:val="24"/>
                <w:szCs w:val="24"/>
              </w:rPr>
            </w:pPr>
          </w:p>
        </w:tc>
        <w:tc>
          <w:tcPr>
            <w:tcW w:w="0" w:type="auto"/>
            <w:shd w:val="clear" w:color="auto" w:fill="auto"/>
          </w:tcPr>
          <w:p w14:paraId="2F7E4176">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4874BCB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93F5199">
            <w:pPr>
              <w:jc w:val="right"/>
              <w:rPr>
                <w:rFonts w:ascii="宋体" w:hAnsi="宋体" w:eastAsia="宋体" w:cs="宋体"/>
                <w:sz w:val="24"/>
                <w:szCs w:val="24"/>
              </w:rPr>
            </w:pPr>
            <w:r>
              <w:rPr>
                <w:rFonts w:hint="eastAsia" w:ascii="宋体" w:hAnsi="宋体" w:eastAsia="宋体"/>
              </w:rPr>
              <w:t>-</w:t>
            </w:r>
          </w:p>
        </w:tc>
      </w:tr>
      <w:tr w14:paraId="32474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9BB4AD">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129C97C">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4AC69B76">
            <w:pPr>
              <w:jc w:val="right"/>
              <w:rPr>
                <w:rFonts w:ascii="宋体" w:hAnsi="宋体" w:eastAsia="宋体" w:cs="宋体"/>
                <w:sz w:val="24"/>
                <w:szCs w:val="24"/>
              </w:rPr>
            </w:pPr>
            <w:r>
              <w:rPr>
                <w:rFonts w:hint="eastAsia" w:ascii="宋体" w:hAnsi="宋体" w:eastAsia="宋体"/>
              </w:rPr>
              <w:t>9,112,041.09</w:t>
            </w:r>
          </w:p>
        </w:tc>
        <w:tc>
          <w:tcPr>
            <w:tcW w:w="0" w:type="auto"/>
            <w:shd w:val="clear" w:color="auto" w:fill="auto"/>
          </w:tcPr>
          <w:p w14:paraId="17DDB35E">
            <w:pPr>
              <w:jc w:val="right"/>
              <w:rPr>
                <w:rFonts w:ascii="宋体" w:hAnsi="宋体" w:eastAsia="宋体" w:cs="宋体"/>
                <w:sz w:val="24"/>
                <w:szCs w:val="24"/>
              </w:rPr>
            </w:pPr>
            <w:r>
              <w:rPr>
                <w:rFonts w:hint="eastAsia" w:ascii="宋体" w:hAnsi="宋体" w:eastAsia="宋体"/>
              </w:rPr>
              <w:t>1.16</w:t>
            </w:r>
          </w:p>
        </w:tc>
      </w:tr>
      <w:tr w14:paraId="792D1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4920B8">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7F55DA0">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4BD70BD5">
            <w:pPr>
              <w:jc w:val="right"/>
              <w:rPr>
                <w:rFonts w:ascii="宋体" w:hAnsi="宋体" w:eastAsia="宋体" w:cs="宋体"/>
                <w:sz w:val="24"/>
                <w:szCs w:val="24"/>
              </w:rPr>
            </w:pPr>
            <w:r>
              <w:rPr>
                <w:rFonts w:hint="eastAsia" w:ascii="宋体" w:hAnsi="宋体" w:eastAsia="宋体"/>
              </w:rPr>
              <w:t>415.90</w:t>
            </w:r>
          </w:p>
        </w:tc>
        <w:tc>
          <w:tcPr>
            <w:tcW w:w="0" w:type="auto"/>
            <w:shd w:val="clear" w:color="auto" w:fill="auto"/>
          </w:tcPr>
          <w:p w14:paraId="2783B073">
            <w:pPr>
              <w:jc w:val="right"/>
              <w:rPr>
                <w:rFonts w:ascii="宋体" w:hAnsi="宋体" w:eastAsia="宋体" w:cs="宋体"/>
                <w:sz w:val="24"/>
                <w:szCs w:val="24"/>
              </w:rPr>
            </w:pPr>
            <w:r>
              <w:rPr>
                <w:rFonts w:hint="eastAsia" w:ascii="宋体" w:hAnsi="宋体" w:eastAsia="宋体"/>
              </w:rPr>
              <w:t>0.00</w:t>
            </w:r>
          </w:p>
        </w:tc>
      </w:tr>
      <w:tr w14:paraId="38D07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4F57C7">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68F8220">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4C77C42">
            <w:pPr>
              <w:jc w:val="right"/>
              <w:rPr>
                <w:rFonts w:ascii="宋体" w:hAnsi="宋体" w:eastAsia="宋体" w:cs="宋体"/>
                <w:sz w:val="24"/>
                <w:szCs w:val="24"/>
              </w:rPr>
            </w:pPr>
            <w:r>
              <w:rPr>
                <w:rFonts w:hint="eastAsia" w:ascii="宋体" w:hAnsi="宋体" w:eastAsia="宋体"/>
              </w:rPr>
              <w:t>784,295,858.84</w:t>
            </w:r>
          </w:p>
        </w:tc>
        <w:tc>
          <w:tcPr>
            <w:tcW w:w="0" w:type="auto"/>
            <w:shd w:val="clear" w:color="auto" w:fill="auto"/>
          </w:tcPr>
          <w:p w14:paraId="40F40356">
            <w:pPr>
              <w:jc w:val="right"/>
              <w:rPr>
                <w:rFonts w:ascii="宋体" w:hAnsi="宋体" w:eastAsia="宋体" w:cs="宋体"/>
                <w:sz w:val="24"/>
                <w:szCs w:val="24"/>
              </w:rPr>
            </w:pPr>
            <w:r>
              <w:rPr>
                <w:rFonts w:hint="eastAsia" w:ascii="宋体" w:hAnsi="宋体" w:eastAsia="宋体"/>
              </w:rPr>
              <w:t>100.00</w:t>
            </w:r>
          </w:p>
        </w:tc>
      </w:tr>
    </w:tbl>
    <w:p w14:paraId="05E3410A">
      <w:pPr>
        <w:pStyle w:val="8"/>
        <w:spacing w:before="0" w:beforeAutospacing="0" w:after="0" w:afterAutospacing="0" w:line="360" w:lineRule="auto"/>
        <w:ind w:firstLine="420"/>
        <w:rPr>
          <w:sz w:val="21"/>
          <w:szCs w:val="21"/>
        </w:rPr>
      </w:pPr>
      <w:r>
        <w:rPr>
          <w:rStyle w:val="12"/>
          <w:rFonts w:hint="eastAsia"/>
          <w:sz w:val="21"/>
          <w:szCs w:val="21"/>
        </w:rPr>
        <w:t>2报告期末按行业分类的股票投资组合</w:t>
      </w:r>
    </w:p>
    <w:p w14:paraId="77B0E5FE">
      <w:pPr>
        <w:pStyle w:val="8"/>
        <w:spacing w:before="0" w:beforeAutospacing="0" w:after="0" w:afterAutospacing="0" w:line="360" w:lineRule="auto"/>
        <w:ind w:firstLine="420"/>
        <w:rPr>
          <w:sz w:val="21"/>
          <w:szCs w:val="21"/>
        </w:rPr>
      </w:pPr>
      <w:r>
        <w:rPr>
          <w:rStyle w:val="12"/>
          <w:rFonts w:hint="eastAsia"/>
          <w:sz w:val="21"/>
          <w:szCs w:val="21"/>
        </w:rPr>
        <w:t>2.1报告期末按行业分类的境内股票投资组合</w:t>
      </w:r>
    </w:p>
    <w:p w14:paraId="064E91DF">
      <w:pPr>
        <w:pStyle w:val="8"/>
        <w:spacing w:before="0" w:beforeAutospacing="0" w:after="0" w:afterAutospacing="0" w:line="360" w:lineRule="auto"/>
        <w:ind w:firstLine="420"/>
        <w:rPr>
          <w:sz w:val="21"/>
          <w:szCs w:val="21"/>
        </w:rPr>
      </w:pPr>
      <w:r>
        <w:rPr>
          <w:rFonts w:hint="eastAsia"/>
          <w:sz w:val="21"/>
          <w:szCs w:val="21"/>
        </w:rPr>
        <w:t>本基金本报告期末未持有境内股票。</w:t>
      </w:r>
    </w:p>
    <w:p w14:paraId="4DE408F8">
      <w:pPr>
        <w:pStyle w:val="8"/>
        <w:spacing w:before="0" w:beforeAutospacing="0" w:after="0" w:afterAutospacing="0" w:line="360" w:lineRule="auto"/>
        <w:ind w:firstLine="420"/>
        <w:rPr>
          <w:sz w:val="21"/>
          <w:szCs w:val="21"/>
        </w:rPr>
      </w:pPr>
      <w:r>
        <w:rPr>
          <w:rStyle w:val="12"/>
          <w:rFonts w:hint="eastAsia"/>
          <w:sz w:val="21"/>
          <w:szCs w:val="21"/>
        </w:rPr>
        <w:t>2.2报告期末按行业分类的港股通投资股票投资组合</w:t>
      </w:r>
    </w:p>
    <w:p w14:paraId="505ABD09">
      <w:pPr>
        <w:pStyle w:val="8"/>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0DE076FC">
      <w:pPr>
        <w:pStyle w:val="8"/>
        <w:spacing w:before="0" w:beforeAutospacing="0" w:after="0" w:afterAutospacing="0" w:line="360" w:lineRule="auto"/>
        <w:ind w:firstLine="420"/>
        <w:rPr>
          <w:sz w:val="21"/>
          <w:szCs w:val="21"/>
        </w:rPr>
      </w:pPr>
      <w:r>
        <w:rPr>
          <w:rStyle w:val="12"/>
          <w:rFonts w:hint="eastAsia"/>
          <w:sz w:val="21"/>
          <w:szCs w:val="21"/>
        </w:rPr>
        <w:t>3报告期末按公允价值占基金资产净值比例大小排序的前十名股票投资明细</w:t>
      </w:r>
    </w:p>
    <w:p w14:paraId="43361034">
      <w:pPr>
        <w:pStyle w:val="8"/>
        <w:spacing w:before="0" w:beforeAutospacing="0" w:after="0" w:afterAutospacing="0" w:line="360" w:lineRule="auto"/>
        <w:ind w:firstLine="420"/>
        <w:rPr>
          <w:sz w:val="21"/>
          <w:szCs w:val="21"/>
        </w:rPr>
      </w:pPr>
      <w:r>
        <w:rPr>
          <w:rFonts w:hint="eastAsia"/>
          <w:sz w:val="21"/>
          <w:szCs w:val="21"/>
        </w:rPr>
        <w:t>本基金本报告期末未持有股票。</w:t>
      </w:r>
    </w:p>
    <w:p w14:paraId="3737923B">
      <w:pPr>
        <w:pStyle w:val="8"/>
        <w:spacing w:before="0" w:beforeAutospacing="0" w:after="0" w:afterAutospacing="0" w:line="360" w:lineRule="auto"/>
        <w:ind w:firstLine="420"/>
        <w:rPr>
          <w:sz w:val="21"/>
          <w:szCs w:val="21"/>
        </w:rPr>
      </w:pPr>
      <w:r>
        <w:rPr>
          <w:rStyle w:val="12"/>
          <w:rFonts w:hint="eastAsia"/>
          <w:sz w:val="21"/>
          <w:szCs w:val="21"/>
        </w:rPr>
        <w:t>4报告期末按债券品种分类的债券投资组合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2579"/>
        <w:gridCol w:w="2065"/>
        <w:gridCol w:w="3093"/>
      </w:tblGrid>
      <w:tr w14:paraId="55806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E987E9">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32367DA">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2B0F22C3">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2A2390DB">
            <w:pPr>
              <w:jc w:val="center"/>
              <w:rPr>
                <w:rFonts w:ascii="宋体" w:hAnsi="宋体" w:eastAsia="宋体" w:cs="宋体"/>
                <w:sz w:val="24"/>
                <w:szCs w:val="24"/>
              </w:rPr>
            </w:pPr>
            <w:r>
              <w:rPr>
                <w:rFonts w:hint="eastAsia" w:ascii="宋体" w:hAnsi="宋体" w:eastAsia="宋体"/>
              </w:rPr>
              <w:t>占基金资产净值比例(％)</w:t>
            </w:r>
          </w:p>
        </w:tc>
      </w:tr>
      <w:tr w14:paraId="35176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5A199F">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93B1BA2">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44B1A978">
            <w:pPr>
              <w:jc w:val="right"/>
              <w:rPr>
                <w:rFonts w:ascii="宋体" w:hAnsi="宋体" w:eastAsia="宋体" w:cs="宋体"/>
                <w:sz w:val="24"/>
                <w:szCs w:val="24"/>
              </w:rPr>
            </w:pPr>
            <w:r>
              <w:rPr>
                <w:rFonts w:hint="eastAsia" w:ascii="宋体" w:hAnsi="宋体" w:eastAsia="宋体"/>
              </w:rPr>
              <w:t>11,642,114.75</w:t>
            </w:r>
          </w:p>
        </w:tc>
        <w:tc>
          <w:tcPr>
            <w:tcW w:w="0" w:type="auto"/>
            <w:shd w:val="clear" w:color="auto" w:fill="auto"/>
          </w:tcPr>
          <w:p w14:paraId="7187E855">
            <w:pPr>
              <w:jc w:val="right"/>
              <w:rPr>
                <w:rFonts w:ascii="宋体" w:hAnsi="宋体" w:eastAsia="宋体" w:cs="宋体"/>
                <w:sz w:val="24"/>
                <w:szCs w:val="24"/>
              </w:rPr>
            </w:pPr>
            <w:r>
              <w:rPr>
                <w:rFonts w:hint="eastAsia" w:ascii="宋体" w:hAnsi="宋体" w:eastAsia="宋体"/>
              </w:rPr>
              <w:t>1.76</w:t>
            </w:r>
          </w:p>
        </w:tc>
      </w:tr>
      <w:tr w14:paraId="170FD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89312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FBE82DA">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0F82A33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080C54B">
            <w:pPr>
              <w:jc w:val="right"/>
              <w:rPr>
                <w:rFonts w:ascii="宋体" w:hAnsi="宋体" w:eastAsia="宋体" w:cs="宋体"/>
                <w:sz w:val="24"/>
                <w:szCs w:val="24"/>
              </w:rPr>
            </w:pPr>
            <w:r>
              <w:rPr>
                <w:rFonts w:hint="eastAsia" w:ascii="宋体" w:hAnsi="宋体" w:eastAsia="宋体"/>
              </w:rPr>
              <w:t>-</w:t>
            </w:r>
          </w:p>
        </w:tc>
      </w:tr>
      <w:tr w14:paraId="0551E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6FA412">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4CD10A7">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651A8B2B">
            <w:pPr>
              <w:jc w:val="right"/>
              <w:rPr>
                <w:rFonts w:ascii="宋体" w:hAnsi="宋体" w:eastAsia="宋体" w:cs="宋体"/>
                <w:sz w:val="24"/>
                <w:szCs w:val="24"/>
              </w:rPr>
            </w:pPr>
            <w:r>
              <w:rPr>
                <w:rFonts w:hint="eastAsia" w:ascii="宋体" w:hAnsi="宋体" w:eastAsia="宋体"/>
              </w:rPr>
              <w:t>395,986,153.40</w:t>
            </w:r>
          </w:p>
        </w:tc>
        <w:tc>
          <w:tcPr>
            <w:tcW w:w="0" w:type="auto"/>
            <w:shd w:val="clear" w:color="auto" w:fill="auto"/>
          </w:tcPr>
          <w:p w14:paraId="3D8338AF">
            <w:pPr>
              <w:jc w:val="right"/>
              <w:rPr>
                <w:rFonts w:ascii="宋体" w:hAnsi="宋体" w:eastAsia="宋体" w:cs="宋体"/>
                <w:sz w:val="24"/>
                <w:szCs w:val="24"/>
              </w:rPr>
            </w:pPr>
            <w:r>
              <w:rPr>
                <w:rFonts w:hint="eastAsia" w:ascii="宋体" w:hAnsi="宋体" w:eastAsia="宋体"/>
              </w:rPr>
              <w:t>59.75</w:t>
            </w:r>
          </w:p>
        </w:tc>
      </w:tr>
      <w:tr w14:paraId="75B17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276738">
            <w:pPr>
              <w:jc w:val="center"/>
              <w:rPr>
                <w:rFonts w:ascii="宋体" w:hAnsi="宋体" w:eastAsia="宋体" w:cs="宋体"/>
                <w:sz w:val="24"/>
                <w:szCs w:val="24"/>
              </w:rPr>
            </w:pPr>
          </w:p>
        </w:tc>
        <w:tc>
          <w:tcPr>
            <w:tcW w:w="0" w:type="auto"/>
            <w:shd w:val="clear" w:color="auto" w:fill="auto"/>
          </w:tcPr>
          <w:p w14:paraId="36602856">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63476E26">
            <w:pPr>
              <w:jc w:val="right"/>
              <w:rPr>
                <w:rFonts w:ascii="宋体" w:hAnsi="宋体" w:eastAsia="宋体" w:cs="宋体"/>
                <w:sz w:val="24"/>
                <w:szCs w:val="24"/>
              </w:rPr>
            </w:pPr>
            <w:r>
              <w:rPr>
                <w:rFonts w:hint="eastAsia" w:ascii="宋体" w:hAnsi="宋体" w:eastAsia="宋体"/>
              </w:rPr>
              <w:t>202,004,734.22</w:t>
            </w:r>
          </w:p>
        </w:tc>
        <w:tc>
          <w:tcPr>
            <w:tcW w:w="0" w:type="auto"/>
            <w:shd w:val="clear" w:color="auto" w:fill="auto"/>
          </w:tcPr>
          <w:p w14:paraId="37C21F91">
            <w:pPr>
              <w:jc w:val="right"/>
              <w:rPr>
                <w:rFonts w:ascii="宋体" w:hAnsi="宋体" w:eastAsia="宋体" w:cs="宋体"/>
                <w:sz w:val="24"/>
                <w:szCs w:val="24"/>
              </w:rPr>
            </w:pPr>
            <w:r>
              <w:rPr>
                <w:rFonts w:hint="eastAsia" w:ascii="宋体" w:hAnsi="宋体" w:eastAsia="宋体"/>
              </w:rPr>
              <w:t>30.48</w:t>
            </w:r>
          </w:p>
        </w:tc>
      </w:tr>
      <w:tr w14:paraId="3620F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655E31">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145A60A">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5B75AB5C">
            <w:pPr>
              <w:jc w:val="right"/>
              <w:rPr>
                <w:rFonts w:ascii="宋体" w:hAnsi="宋体" w:eastAsia="宋体" w:cs="宋体"/>
                <w:sz w:val="24"/>
                <w:szCs w:val="24"/>
              </w:rPr>
            </w:pPr>
            <w:r>
              <w:rPr>
                <w:rFonts w:hint="eastAsia" w:ascii="宋体" w:hAnsi="宋体" w:eastAsia="宋体"/>
              </w:rPr>
              <w:t>30,755,550.68</w:t>
            </w:r>
          </w:p>
        </w:tc>
        <w:tc>
          <w:tcPr>
            <w:tcW w:w="0" w:type="auto"/>
            <w:shd w:val="clear" w:color="auto" w:fill="auto"/>
          </w:tcPr>
          <w:p w14:paraId="4AB87D46">
            <w:pPr>
              <w:jc w:val="right"/>
              <w:rPr>
                <w:rFonts w:ascii="宋体" w:hAnsi="宋体" w:eastAsia="宋体" w:cs="宋体"/>
                <w:sz w:val="24"/>
                <w:szCs w:val="24"/>
              </w:rPr>
            </w:pPr>
            <w:r>
              <w:rPr>
                <w:rFonts w:hint="eastAsia" w:ascii="宋体" w:hAnsi="宋体" w:eastAsia="宋体"/>
              </w:rPr>
              <w:t>4.64</w:t>
            </w:r>
          </w:p>
        </w:tc>
      </w:tr>
      <w:tr w14:paraId="40E69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AF54AD">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B744F66">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0B41F3C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9C42065">
            <w:pPr>
              <w:jc w:val="right"/>
              <w:rPr>
                <w:rFonts w:ascii="宋体" w:hAnsi="宋体" w:eastAsia="宋体" w:cs="宋体"/>
                <w:sz w:val="24"/>
                <w:szCs w:val="24"/>
              </w:rPr>
            </w:pPr>
            <w:r>
              <w:rPr>
                <w:rFonts w:hint="eastAsia" w:ascii="宋体" w:hAnsi="宋体" w:eastAsia="宋体"/>
              </w:rPr>
              <w:t>-</w:t>
            </w:r>
          </w:p>
        </w:tc>
      </w:tr>
      <w:tr w14:paraId="16BD6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2E57AD">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53B9060">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4B5D4CF8">
            <w:pPr>
              <w:jc w:val="right"/>
              <w:rPr>
                <w:rFonts w:ascii="宋体" w:hAnsi="宋体" w:eastAsia="宋体" w:cs="宋体"/>
                <w:sz w:val="24"/>
                <w:szCs w:val="24"/>
              </w:rPr>
            </w:pPr>
            <w:r>
              <w:rPr>
                <w:rFonts w:hint="eastAsia" w:ascii="宋体" w:hAnsi="宋体" w:eastAsia="宋体"/>
              </w:rPr>
              <w:t>336,799,583.02</w:t>
            </w:r>
          </w:p>
        </w:tc>
        <w:tc>
          <w:tcPr>
            <w:tcW w:w="0" w:type="auto"/>
            <w:shd w:val="clear" w:color="auto" w:fill="auto"/>
          </w:tcPr>
          <w:p w14:paraId="199F406A">
            <w:pPr>
              <w:jc w:val="right"/>
              <w:rPr>
                <w:rFonts w:ascii="宋体" w:hAnsi="宋体" w:eastAsia="宋体" w:cs="宋体"/>
                <w:sz w:val="24"/>
                <w:szCs w:val="24"/>
              </w:rPr>
            </w:pPr>
            <w:r>
              <w:rPr>
                <w:rFonts w:hint="eastAsia" w:ascii="宋体" w:hAnsi="宋体" w:eastAsia="宋体"/>
              </w:rPr>
              <w:t>50.82</w:t>
            </w:r>
          </w:p>
        </w:tc>
      </w:tr>
      <w:tr w14:paraId="49EC4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F33D4F">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4BCB80C5">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217F239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9F3F294">
            <w:pPr>
              <w:jc w:val="right"/>
              <w:rPr>
                <w:rFonts w:ascii="宋体" w:hAnsi="宋体" w:eastAsia="宋体" w:cs="宋体"/>
                <w:sz w:val="24"/>
                <w:szCs w:val="24"/>
              </w:rPr>
            </w:pPr>
            <w:r>
              <w:rPr>
                <w:rFonts w:hint="eastAsia" w:ascii="宋体" w:hAnsi="宋体" w:eastAsia="宋体"/>
              </w:rPr>
              <w:t>-</w:t>
            </w:r>
          </w:p>
        </w:tc>
      </w:tr>
      <w:tr w14:paraId="7837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A32245">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B046F92">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56683D6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FBF1835">
            <w:pPr>
              <w:jc w:val="right"/>
              <w:rPr>
                <w:rFonts w:ascii="宋体" w:hAnsi="宋体" w:eastAsia="宋体" w:cs="宋体"/>
                <w:sz w:val="24"/>
                <w:szCs w:val="24"/>
              </w:rPr>
            </w:pPr>
            <w:r>
              <w:rPr>
                <w:rFonts w:hint="eastAsia" w:ascii="宋体" w:hAnsi="宋体" w:eastAsia="宋体"/>
              </w:rPr>
              <w:t>-</w:t>
            </w:r>
          </w:p>
        </w:tc>
      </w:tr>
      <w:tr w14:paraId="0105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000BFB">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2116D989">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3C5AA49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83514A1">
            <w:pPr>
              <w:jc w:val="right"/>
              <w:rPr>
                <w:rFonts w:ascii="宋体" w:hAnsi="宋体" w:eastAsia="宋体" w:cs="宋体"/>
                <w:sz w:val="24"/>
                <w:szCs w:val="24"/>
              </w:rPr>
            </w:pPr>
            <w:r>
              <w:rPr>
                <w:rFonts w:hint="eastAsia" w:ascii="宋体" w:hAnsi="宋体" w:eastAsia="宋体"/>
              </w:rPr>
              <w:t>-</w:t>
            </w:r>
          </w:p>
        </w:tc>
      </w:tr>
      <w:tr w14:paraId="0736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F06E83">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6807C321">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315F76C">
            <w:pPr>
              <w:jc w:val="right"/>
              <w:rPr>
                <w:rFonts w:ascii="宋体" w:hAnsi="宋体" w:eastAsia="宋体" w:cs="宋体"/>
                <w:sz w:val="24"/>
                <w:szCs w:val="24"/>
              </w:rPr>
            </w:pPr>
            <w:r>
              <w:rPr>
                <w:rFonts w:hint="eastAsia" w:ascii="宋体" w:hAnsi="宋体" w:eastAsia="宋体"/>
              </w:rPr>
              <w:t>775,183,401.85</w:t>
            </w:r>
          </w:p>
        </w:tc>
        <w:tc>
          <w:tcPr>
            <w:tcW w:w="0" w:type="auto"/>
            <w:shd w:val="clear" w:color="auto" w:fill="auto"/>
          </w:tcPr>
          <w:p w14:paraId="79CB67EC">
            <w:pPr>
              <w:jc w:val="right"/>
              <w:rPr>
                <w:rFonts w:ascii="宋体" w:hAnsi="宋体" w:eastAsia="宋体" w:cs="宋体"/>
                <w:sz w:val="24"/>
                <w:szCs w:val="24"/>
              </w:rPr>
            </w:pPr>
            <w:r>
              <w:rPr>
                <w:rFonts w:hint="eastAsia" w:ascii="宋体" w:hAnsi="宋体" w:eastAsia="宋体"/>
              </w:rPr>
              <w:t>116.97</w:t>
            </w:r>
          </w:p>
        </w:tc>
      </w:tr>
    </w:tbl>
    <w:p w14:paraId="588CD7A0">
      <w:pPr>
        <w:pStyle w:val="8"/>
        <w:spacing w:before="0" w:beforeAutospacing="0" w:after="0" w:afterAutospacing="0" w:line="360" w:lineRule="auto"/>
        <w:ind w:firstLine="420"/>
        <w:rPr>
          <w:sz w:val="21"/>
          <w:szCs w:val="21"/>
        </w:rPr>
      </w:pPr>
      <w:r>
        <w:rPr>
          <w:rStyle w:val="12"/>
          <w:rFonts w:hint="eastAsia"/>
          <w:sz w:val="21"/>
          <w:szCs w:val="21"/>
        </w:rPr>
        <w:t>5报告期末按公允价值占基金资产净值比例大小排序的前五名债券投资明细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1066"/>
        <w:gridCol w:w="1172"/>
        <w:gridCol w:w="1278"/>
        <w:gridCol w:w="1596"/>
        <w:gridCol w:w="2762"/>
      </w:tblGrid>
      <w:tr w14:paraId="44B0A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481426">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A6A0F3F">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25E055FE">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5E8DC335">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6F0B5A95">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5430D20">
            <w:pPr>
              <w:jc w:val="center"/>
              <w:rPr>
                <w:rFonts w:ascii="宋体" w:hAnsi="宋体" w:eastAsia="宋体" w:cs="宋体"/>
                <w:sz w:val="24"/>
                <w:szCs w:val="24"/>
              </w:rPr>
            </w:pPr>
            <w:r>
              <w:rPr>
                <w:rFonts w:hint="eastAsia" w:ascii="宋体" w:hAnsi="宋体" w:eastAsia="宋体"/>
              </w:rPr>
              <w:t>占基金资产净值比例（％）</w:t>
            </w:r>
          </w:p>
        </w:tc>
      </w:tr>
      <w:tr w14:paraId="40DEA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2AB49A">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580AA10">
            <w:pPr>
              <w:jc w:val="center"/>
              <w:rPr>
                <w:rFonts w:ascii="宋体" w:hAnsi="宋体" w:eastAsia="宋体" w:cs="宋体"/>
                <w:sz w:val="24"/>
                <w:szCs w:val="24"/>
              </w:rPr>
            </w:pPr>
            <w:r>
              <w:rPr>
                <w:rFonts w:hint="eastAsia" w:ascii="宋体" w:hAnsi="宋体" w:eastAsia="宋体"/>
              </w:rPr>
              <w:t>250218</w:t>
            </w:r>
          </w:p>
        </w:tc>
        <w:tc>
          <w:tcPr>
            <w:tcW w:w="0" w:type="auto"/>
            <w:shd w:val="clear" w:color="auto" w:fill="auto"/>
          </w:tcPr>
          <w:p w14:paraId="4772E285">
            <w:pPr>
              <w:jc w:val="center"/>
              <w:rPr>
                <w:rFonts w:ascii="宋体" w:hAnsi="宋体" w:eastAsia="宋体" w:cs="宋体"/>
                <w:sz w:val="24"/>
                <w:szCs w:val="24"/>
              </w:rPr>
            </w:pPr>
            <w:r>
              <w:rPr>
                <w:rFonts w:hint="eastAsia" w:ascii="宋体" w:hAnsi="宋体" w:eastAsia="宋体"/>
              </w:rPr>
              <w:t>25国开18</w:t>
            </w:r>
          </w:p>
        </w:tc>
        <w:tc>
          <w:tcPr>
            <w:tcW w:w="0" w:type="auto"/>
            <w:shd w:val="clear" w:color="auto" w:fill="auto"/>
          </w:tcPr>
          <w:p w14:paraId="71577F7C">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14:paraId="48A7E5CC">
            <w:pPr>
              <w:jc w:val="right"/>
              <w:rPr>
                <w:rFonts w:ascii="宋体" w:hAnsi="宋体" w:eastAsia="宋体" w:cs="宋体"/>
                <w:sz w:val="24"/>
                <w:szCs w:val="24"/>
              </w:rPr>
            </w:pPr>
            <w:r>
              <w:rPr>
                <w:rFonts w:hint="eastAsia" w:ascii="宋体" w:hAnsi="宋体" w:eastAsia="宋体"/>
              </w:rPr>
              <w:t>40,942,334.24</w:t>
            </w:r>
          </w:p>
        </w:tc>
        <w:tc>
          <w:tcPr>
            <w:tcW w:w="0" w:type="auto"/>
            <w:shd w:val="clear" w:color="auto" w:fill="auto"/>
          </w:tcPr>
          <w:p w14:paraId="17030FC8">
            <w:pPr>
              <w:jc w:val="right"/>
              <w:rPr>
                <w:rFonts w:ascii="宋体" w:hAnsi="宋体" w:eastAsia="宋体" w:cs="宋体"/>
                <w:sz w:val="24"/>
                <w:szCs w:val="24"/>
              </w:rPr>
            </w:pPr>
            <w:r>
              <w:rPr>
                <w:rFonts w:hint="eastAsia" w:ascii="宋体" w:hAnsi="宋体" w:eastAsia="宋体"/>
              </w:rPr>
              <w:t>6.18</w:t>
            </w:r>
          </w:p>
        </w:tc>
      </w:tr>
      <w:tr w14:paraId="3218A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964D9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C1B4B10">
            <w:pPr>
              <w:jc w:val="center"/>
              <w:rPr>
                <w:rFonts w:ascii="宋体" w:hAnsi="宋体" w:eastAsia="宋体" w:cs="宋体"/>
                <w:sz w:val="24"/>
                <w:szCs w:val="24"/>
              </w:rPr>
            </w:pPr>
            <w:r>
              <w:rPr>
                <w:rFonts w:hint="eastAsia" w:ascii="宋体" w:hAnsi="宋体" w:eastAsia="宋体"/>
              </w:rPr>
              <w:t>250431</w:t>
            </w:r>
          </w:p>
        </w:tc>
        <w:tc>
          <w:tcPr>
            <w:tcW w:w="0" w:type="auto"/>
            <w:shd w:val="clear" w:color="auto" w:fill="auto"/>
          </w:tcPr>
          <w:p w14:paraId="69CF71AD">
            <w:pPr>
              <w:jc w:val="center"/>
              <w:rPr>
                <w:rFonts w:ascii="宋体" w:hAnsi="宋体" w:eastAsia="宋体" w:cs="宋体"/>
                <w:sz w:val="24"/>
                <w:szCs w:val="24"/>
              </w:rPr>
            </w:pPr>
            <w:r>
              <w:rPr>
                <w:rFonts w:hint="eastAsia" w:ascii="宋体" w:hAnsi="宋体" w:eastAsia="宋体"/>
              </w:rPr>
              <w:t>25农发31</w:t>
            </w:r>
          </w:p>
        </w:tc>
        <w:tc>
          <w:tcPr>
            <w:tcW w:w="0" w:type="auto"/>
            <w:shd w:val="clear" w:color="auto" w:fill="auto"/>
          </w:tcPr>
          <w:p w14:paraId="2F3FD449">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14:paraId="6E5E643D">
            <w:pPr>
              <w:jc w:val="right"/>
              <w:rPr>
                <w:rFonts w:ascii="宋体" w:hAnsi="宋体" w:eastAsia="宋体" w:cs="宋体"/>
                <w:sz w:val="24"/>
                <w:szCs w:val="24"/>
              </w:rPr>
            </w:pPr>
            <w:r>
              <w:rPr>
                <w:rFonts w:hint="eastAsia" w:ascii="宋体" w:hAnsi="宋体" w:eastAsia="宋体"/>
              </w:rPr>
              <w:t>40,507,638.36</w:t>
            </w:r>
          </w:p>
        </w:tc>
        <w:tc>
          <w:tcPr>
            <w:tcW w:w="0" w:type="auto"/>
            <w:shd w:val="clear" w:color="auto" w:fill="auto"/>
          </w:tcPr>
          <w:p w14:paraId="63D58648">
            <w:pPr>
              <w:jc w:val="right"/>
              <w:rPr>
                <w:rFonts w:ascii="宋体" w:hAnsi="宋体" w:eastAsia="宋体" w:cs="宋体"/>
                <w:sz w:val="24"/>
                <w:szCs w:val="24"/>
              </w:rPr>
            </w:pPr>
            <w:r>
              <w:rPr>
                <w:rFonts w:hint="eastAsia" w:ascii="宋体" w:hAnsi="宋体" w:eastAsia="宋体"/>
              </w:rPr>
              <w:t>6.11</w:t>
            </w:r>
          </w:p>
        </w:tc>
      </w:tr>
      <w:tr w14:paraId="24BDB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595EB9">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1B9D5728">
            <w:pPr>
              <w:jc w:val="center"/>
              <w:rPr>
                <w:rFonts w:ascii="宋体" w:hAnsi="宋体" w:eastAsia="宋体" w:cs="宋体"/>
                <w:sz w:val="24"/>
                <w:szCs w:val="24"/>
              </w:rPr>
            </w:pPr>
            <w:r>
              <w:rPr>
                <w:rFonts w:hint="eastAsia" w:ascii="宋体" w:hAnsi="宋体" w:eastAsia="宋体"/>
              </w:rPr>
              <w:t>260203</w:t>
            </w:r>
          </w:p>
        </w:tc>
        <w:tc>
          <w:tcPr>
            <w:tcW w:w="0" w:type="auto"/>
            <w:shd w:val="clear" w:color="auto" w:fill="auto"/>
          </w:tcPr>
          <w:p w14:paraId="40A2FDA7">
            <w:pPr>
              <w:jc w:val="center"/>
              <w:rPr>
                <w:rFonts w:ascii="宋体" w:hAnsi="宋体" w:eastAsia="宋体" w:cs="宋体"/>
                <w:sz w:val="24"/>
                <w:szCs w:val="24"/>
              </w:rPr>
            </w:pPr>
            <w:r>
              <w:rPr>
                <w:rFonts w:hint="eastAsia" w:ascii="宋体" w:hAnsi="宋体" w:eastAsia="宋体"/>
              </w:rPr>
              <w:t>26国开03</w:t>
            </w:r>
          </w:p>
        </w:tc>
        <w:tc>
          <w:tcPr>
            <w:tcW w:w="0" w:type="auto"/>
            <w:shd w:val="clear" w:color="auto" w:fill="auto"/>
          </w:tcPr>
          <w:p w14:paraId="5FECCD39">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14:paraId="69263423">
            <w:pPr>
              <w:jc w:val="right"/>
              <w:rPr>
                <w:rFonts w:ascii="宋体" w:hAnsi="宋体" w:eastAsia="宋体" w:cs="宋体"/>
                <w:sz w:val="24"/>
                <w:szCs w:val="24"/>
              </w:rPr>
            </w:pPr>
            <w:r>
              <w:rPr>
                <w:rFonts w:hint="eastAsia" w:ascii="宋体" w:hAnsi="宋体" w:eastAsia="宋体"/>
              </w:rPr>
              <w:t>40,491,430.12</w:t>
            </w:r>
          </w:p>
        </w:tc>
        <w:tc>
          <w:tcPr>
            <w:tcW w:w="0" w:type="auto"/>
            <w:shd w:val="clear" w:color="auto" w:fill="auto"/>
          </w:tcPr>
          <w:p w14:paraId="653C0EF9">
            <w:pPr>
              <w:jc w:val="right"/>
              <w:rPr>
                <w:rFonts w:ascii="宋体" w:hAnsi="宋体" w:eastAsia="宋体" w:cs="宋体"/>
                <w:sz w:val="24"/>
                <w:szCs w:val="24"/>
              </w:rPr>
            </w:pPr>
            <w:r>
              <w:rPr>
                <w:rFonts w:hint="eastAsia" w:ascii="宋体" w:hAnsi="宋体" w:eastAsia="宋体"/>
              </w:rPr>
              <w:t>6.11</w:t>
            </w:r>
          </w:p>
        </w:tc>
      </w:tr>
      <w:tr w14:paraId="6C0C9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654EC8">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072E068">
            <w:pPr>
              <w:jc w:val="center"/>
              <w:rPr>
                <w:rFonts w:ascii="宋体" w:hAnsi="宋体" w:eastAsia="宋体" w:cs="宋体"/>
                <w:sz w:val="24"/>
                <w:szCs w:val="24"/>
              </w:rPr>
            </w:pPr>
            <w:r>
              <w:rPr>
                <w:rFonts w:hint="eastAsia" w:ascii="宋体" w:hAnsi="宋体" w:eastAsia="宋体"/>
              </w:rPr>
              <w:t>250208</w:t>
            </w:r>
          </w:p>
        </w:tc>
        <w:tc>
          <w:tcPr>
            <w:tcW w:w="0" w:type="auto"/>
            <w:shd w:val="clear" w:color="auto" w:fill="auto"/>
          </w:tcPr>
          <w:p w14:paraId="0A7DF310">
            <w:pPr>
              <w:jc w:val="center"/>
              <w:rPr>
                <w:rFonts w:ascii="宋体" w:hAnsi="宋体" w:eastAsia="宋体" w:cs="宋体"/>
                <w:sz w:val="24"/>
                <w:szCs w:val="24"/>
              </w:rPr>
            </w:pPr>
            <w:r>
              <w:rPr>
                <w:rFonts w:hint="eastAsia" w:ascii="宋体" w:hAnsi="宋体" w:eastAsia="宋体"/>
              </w:rPr>
              <w:t>25国开08</w:t>
            </w:r>
          </w:p>
        </w:tc>
        <w:tc>
          <w:tcPr>
            <w:tcW w:w="0" w:type="auto"/>
            <w:shd w:val="clear" w:color="auto" w:fill="auto"/>
          </w:tcPr>
          <w:p w14:paraId="0F9B3A6D">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14:paraId="13516656">
            <w:pPr>
              <w:jc w:val="right"/>
              <w:rPr>
                <w:rFonts w:ascii="宋体" w:hAnsi="宋体" w:eastAsia="宋体" w:cs="宋体"/>
                <w:sz w:val="24"/>
                <w:szCs w:val="24"/>
              </w:rPr>
            </w:pPr>
            <w:r>
              <w:rPr>
                <w:rFonts w:hint="eastAsia" w:ascii="宋体" w:hAnsi="宋体" w:eastAsia="宋体"/>
              </w:rPr>
              <w:t>40,098,378.08</w:t>
            </w:r>
          </w:p>
        </w:tc>
        <w:tc>
          <w:tcPr>
            <w:tcW w:w="0" w:type="auto"/>
            <w:shd w:val="clear" w:color="auto" w:fill="auto"/>
          </w:tcPr>
          <w:p w14:paraId="34DB0D4E">
            <w:pPr>
              <w:jc w:val="right"/>
              <w:rPr>
                <w:rFonts w:ascii="宋体" w:hAnsi="宋体" w:eastAsia="宋体" w:cs="宋体"/>
                <w:sz w:val="24"/>
                <w:szCs w:val="24"/>
              </w:rPr>
            </w:pPr>
            <w:r>
              <w:rPr>
                <w:rFonts w:hint="eastAsia" w:ascii="宋体" w:hAnsi="宋体" w:eastAsia="宋体"/>
              </w:rPr>
              <w:t>6.05</w:t>
            </w:r>
          </w:p>
        </w:tc>
      </w:tr>
      <w:tr w14:paraId="1F38C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7E05A5">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FF80191">
            <w:pPr>
              <w:jc w:val="center"/>
              <w:rPr>
                <w:rFonts w:ascii="宋体" w:hAnsi="宋体" w:eastAsia="宋体" w:cs="宋体"/>
                <w:sz w:val="24"/>
                <w:szCs w:val="24"/>
              </w:rPr>
            </w:pPr>
            <w:r>
              <w:rPr>
                <w:rFonts w:hint="eastAsia" w:ascii="宋体" w:hAnsi="宋体" w:eastAsia="宋体"/>
              </w:rPr>
              <w:t>250203</w:t>
            </w:r>
          </w:p>
        </w:tc>
        <w:tc>
          <w:tcPr>
            <w:tcW w:w="0" w:type="auto"/>
            <w:shd w:val="clear" w:color="auto" w:fill="auto"/>
          </w:tcPr>
          <w:p w14:paraId="401F2AED">
            <w:pPr>
              <w:jc w:val="center"/>
              <w:rPr>
                <w:rFonts w:ascii="宋体" w:hAnsi="宋体" w:eastAsia="宋体" w:cs="宋体"/>
                <w:sz w:val="24"/>
                <w:szCs w:val="24"/>
              </w:rPr>
            </w:pPr>
            <w:r>
              <w:rPr>
                <w:rFonts w:hint="eastAsia" w:ascii="宋体" w:hAnsi="宋体" w:eastAsia="宋体"/>
              </w:rPr>
              <w:t>25国开03</w:t>
            </w:r>
          </w:p>
        </w:tc>
        <w:tc>
          <w:tcPr>
            <w:tcW w:w="0" w:type="auto"/>
            <w:shd w:val="clear" w:color="auto" w:fill="auto"/>
          </w:tcPr>
          <w:p w14:paraId="395AAC3C">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14:paraId="62C3EF56">
            <w:pPr>
              <w:jc w:val="right"/>
              <w:rPr>
                <w:rFonts w:ascii="宋体" w:hAnsi="宋体" w:eastAsia="宋体" w:cs="宋体"/>
                <w:sz w:val="24"/>
                <w:szCs w:val="24"/>
              </w:rPr>
            </w:pPr>
            <w:r>
              <w:rPr>
                <w:rFonts w:hint="eastAsia" w:ascii="宋体" w:hAnsi="宋体" w:eastAsia="宋体"/>
              </w:rPr>
              <w:t>39,964,953.42</w:t>
            </w:r>
          </w:p>
        </w:tc>
        <w:tc>
          <w:tcPr>
            <w:tcW w:w="0" w:type="auto"/>
            <w:shd w:val="clear" w:color="auto" w:fill="auto"/>
          </w:tcPr>
          <w:p w14:paraId="386D238B">
            <w:pPr>
              <w:jc w:val="right"/>
              <w:rPr>
                <w:rFonts w:ascii="宋体" w:hAnsi="宋体" w:eastAsia="宋体" w:cs="宋体"/>
                <w:sz w:val="24"/>
                <w:szCs w:val="24"/>
              </w:rPr>
            </w:pPr>
            <w:r>
              <w:rPr>
                <w:rFonts w:hint="eastAsia" w:ascii="宋体" w:hAnsi="宋体" w:eastAsia="宋体"/>
              </w:rPr>
              <w:t>6.03</w:t>
            </w:r>
          </w:p>
        </w:tc>
      </w:tr>
    </w:tbl>
    <w:p w14:paraId="6C48A15F">
      <w:pPr>
        <w:pStyle w:val="8"/>
        <w:spacing w:before="0" w:beforeAutospacing="0" w:after="0" w:afterAutospacing="0" w:line="360" w:lineRule="auto"/>
        <w:ind w:firstLine="420"/>
        <w:rPr>
          <w:sz w:val="21"/>
          <w:szCs w:val="21"/>
        </w:rPr>
      </w:pPr>
      <w:r>
        <w:rPr>
          <w:rStyle w:val="12"/>
          <w:rFonts w:hint="eastAsia"/>
          <w:sz w:val="21"/>
          <w:szCs w:val="21"/>
        </w:rPr>
        <w:t>6报告期末按公允价值占基金资产净值比例大小排序的前十名资产支持证券投资明细</w:t>
      </w:r>
    </w:p>
    <w:p w14:paraId="368C4D91">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46612C2A">
      <w:pPr>
        <w:pStyle w:val="8"/>
        <w:spacing w:before="0" w:beforeAutospacing="0" w:after="0" w:afterAutospacing="0" w:line="360" w:lineRule="auto"/>
        <w:ind w:firstLine="420"/>
        <w:rPr>
          <w:sz w:val="21"/>
          <w:szCs w:val="21"/>
        </w:rPr>
      </w:pPr>
      <w:r>
        <w:rPr>
          <w:rStyle w:val="12"/>
          <w:rFonts w:hint="eastAsia"/>
          <w:sz w:val="21"/>
          <w:szCs w:val="21"/>
        </w:rPr>
        <w:t>7报告期末按公允价值占基金资产净值比例大小排序的前五名贵金属投资明细</w:t>
      </w:r>
    </w:p>
    <w:p w14:paraId="7A28BE6A">
      <w:pPr>
        <w:pStyle w:val="8"/>
        <w:spacing w:before="0" w:beforeAutospacing="0" w:after="0" w:afterAutospacing="0" w:line="360" w:lineRule="auto"/>
        <w:ind w:firstLine="420"/>
        <w:rPr>
          <w:sz w:val="21"/>
          <w:szCs w:val="21"/>
        </w:rPr>
      </w:pPr>
      <w:r>
        <w:rPr>
          <w:rFonts w:hint="eastAsia"/>
          <w:sz w:val="21"/>
          <w:szCs w:val="21"/>
        </w:rPr>
        <w:t>本基金本报告期末未持有贵金属。</w:t>
      </w:r>
    </w:p>
    <w:p w14:paraId="6A6FE30F">
      <w:pPr>
        <w:pStyle w:val="8"/>
        <w:spacing w:before="0" w:beforeAutospacing="0" w:after="0" w:afterAutospacing="0" w:line="360" w:lineRule="auto"/>
        <w:ind w:firstLine="420"/>
        <w:rPr>
          <w:sz w:val="21"/>
          <w:szCs w:val="21"/>
        </w:rPr>
      </w:pPr>
      <w:r>
        <w:rPr>
          <w:rStyle w:val="12"/>
          <w:rFonts w:hint="eastAsia"/>
          <w:sz w:val="21"/>
          <w:szCs w:val="21"/>
        </w:rPr>
        <w:t>8报告期末按公允价值占基金资产净值比例大小排序的前五名权证投资明细</w:t>
      </w:r>
    </w:p>
    <w:p w14:paraId="6DED522A">
      <w:pPr>
        <w:pStyle w:val="8"/>
        <w:spacing w:before="0" w:beforeAutospacing="0" w:after="0" w:afterAutospacing="0" w:line="360" w:lineRule="auto"/>
        <w:ind w:firstLine="420"/>
        <w:rPr>
          <w:sz w:val="21"/>
          <w:szCs w:val="21"/>
        </w:rPr>
      </w:pPr>
      <w:r>
        <w:rPr>
          <w:rFonts w:hint="eastAsia"/>
          <w:sz w:val="21"/>
          <w:szCs w:val="21"/>
        </w:rPr>
        <w:t>本基金本报告期末未持有权证。</w:t>
      </w:r>
    </w:p>
    <w:p w14:paraId="1754582B">
      <w:pPr>
        <w:pStyle w:val="8"/>
        <w:spacing w:before="0" w:beforeAutospacing="0" w:after="0" w:afterAutospacing="0" w:line="360" w:lineRule="auto"/>
        <w:ind w:firstLine="420"/>
        <w:rPr>
          <w:sz w:val="21"/>
          <w:szCs w:val="21"/>
        </w:rPr>
      </w:pPr>
      <w:r>
        <w:rPr>
          <w:rStyle w:val="12"/>
          <w:rFonts w:hint="eastAsia"/>
          <w:sz w:val="21"/>
          <w:szCs w:val="21"/>
        </w:rPr>
        <w:t>9报告期末本基金投资的股指期货交易情况说明</w:t>
      </w:r>
    </w:p>
    <w:p w14:paraId="4DF5CC46">
      <w:pPr>
        <w:pStyle w:val="8"/>
        <w:spacing w:before="0" w:beforeAutospacing="0" w:after="0" w:afterAutospacing="0" w:line="360" w:lineRule="auto"/>
        <w:ind w:firstLine="420"/>
        <w:rPr>
          <w:sz w:val="21"/>
          <w:szCs w:val="21"/>
        </w:rPr>
      </w:pPr>
      <w:r>
        <w:rPr>
          <w:rStyle w:val="12"/>
          <w:rFonts w:hint="eastAsia"/>
          <w:sz w:val="21"/>
          <w:szCs w:val="21"/>
        </w:rPr>
        <w:t>9.1报告期末本基金投资的股指期货持仓和损益明细</w:t>
      </w:r>
    </w:p>
    <w:p w14:paraId="5F90B789">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7BE97011">
      <w:pPr>
        <w:pStyle w:val="8"/>
        <w:spacing w:before="0" w:beforeAutospacing="0" w:after="0" w:afterAutospacing="0" w:line="360" w:lineRule="auto"/>
        <w:ind w:firstLine="420"/>
        <w:rPr>
          <w:sz w:val="21"/>
          <w:szCs w:val="21"/>
        </w:rPr>
      </w:pPr>
      <w:r>
        <w:rPr>
          <w:rStyle w:val="12"/>
          <w:rFonts w:hint="eastAsia"/>
          <w:sz w:val="21"/>
          <w:szCs w:val="21"/>
        </w:rPr>
        <w:t>9.2本基金投资股指期货的投资政策</w:t>
      </w:r>
    </w:p>
    <w:p w14:paraId="2F9C35E1">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1CD39033">
      <w:pPr>
        <w:pStyle w:val="8"/>
        <w:spacing w:before="0" w:beforeAutospacing="0" w:after="0" w:afterAutospacing="0" w:line="360" w:lineRule="auto"/>
        <w:ind w:firstLine="420"/>
        <w:rPr>
          <w:sz w:val="21"/>
          <w:szCs w:val="21"/>
        </w:rPr>
      </w:pPr>
      <w:r>
        <w:rPr>
          <w:rStyle w:val="12"/>
          <w:rFonts w:hint="eastAsia"/>
          <w:sz w:val="21"/>
          <w:szCs w:val="21"/>
        </w:rPr>
        <w:t>10报告期末本基金投资的国债期货交易情况说明</w:t>
      </w:r>
    </w:p>
    <w:p w14:paraId="262BFA17">
      <w:pPr>
        <w:pStyle w:val="8"/>
        <w:spacing w:before="0" w:beforeAutospacing="0" w:after="0" w:afterAutospacing="0" w:line="360" w:lineRule="auto"/>
        <w:ind w:firstLine="420"/>
        <w:rPr>
          <w:sz w:val="21"/>
          <w:szCs w:val="21"/>
        </w:rPr>
      </w:pPr>
      <w:r>
        <w:rPr>
          <w:rStyle w:val="12"/>
          <w:rFonts w:hint="eastAsia"/>
          <w:sz w:val="21"/>
          <w:szCs w:val="21"/>
        </w:rPr>
        <w:t>10.1本期国债期货投资政策</w:t>
      </w:r>
    </w:p>
    <w:p w14:paraId="2DCADE0B">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6CED1DFD">
      <w:pPr>
        <w:pStyle w:val="8"/>
        <w:spacing w:before="0" w:beforeAutospacing="0" w:after="0" w:afterAutospacing="0" w:line="360" w:lineRule="auto"/>
        <w:ind w:firstLine="420"/>
        <w:rPr>
          <w:sz w:val="21"/>
          <w:szCs w:val="21"/>
        </w:rPr>
      </w:pPr>
      <w:r>
        <w:rPr>
          <w:rStyle w:val="12"/>
          <w:rFonts w:hint="eastAsia"/>
          <w:sz w:val="21"/>
          <w:szCs w:val="21"/>
        </w:rPr>
        <w:t>10.2报告期末本基金投资的国债期货持仓和损益明细</w:t>
      </w:r>
    </w:p>
    <w:p w14:paraId="4E13E597">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05F2DBCF">
      <w:pPr>
        <w:pStyle w:val="8"/>
        <w:spacing w:before="0" w:beforeAutospacing="0" w:after="0" w:afterAutospacing="0" w:line="360" w:lineRule="auto"/>
        <w:ind w:firstLine="420"/>
        <w:rPr>
          <w:sz w:val="21"/>
          <w:szCs w:val="21"/>
        </w:rPr>
      </w:pPr>
      <w:r>
        <w:rPr>
          <w:rStyle w:val="12"/>
          <w:rFonts w:hint="eastAsia"/>
          <w:sz w:val="21"/>
          <w:szCs w:val="21"/>
        </w:rPr>
        <w:t>11投资组合报告附注</w:t>
      </w:r>
    </w:p>
    <w:p w14:paraId="36547C5C">
      <w:pPr>
        <w:pStyle w:val="8"/>
        <w:spacing w:before="0" w:beforeAutospacing="0" w:after="0" w:afterAutospacing="0" w:line="360" w:lineRule="auto"/>
        <w:ind w:firstLine="420"/>
        <w:rPr>
          <w:sz w:val="21"/>
          <w:szCs w:val="21"/>
        </w:rPr>
      </w:pPr>
      <w:r>
        <w:rPr>
          <w:rStyle w:val="12"/>
          <w:rFonts w:hint="eastAsia"/>
          <w:sz w:val="21"/>
          <w:szCs w:val="21"/>
        </w:rPr>
        <w:t>11.1基金投资前十名证券的发行主体被监管部门立案调查或编制日前一年内受到公开谴责、处罚的投资决策程序说明</w:t>
      </w:r>
    </w:p>
    <w:p w14:paraId="68FF05FB">
      <w:pPr>
        <w:pStyle w:val="8"/>
        <w:spacing w:before="0" w:beforeAutospacing="0" w:after="0" w:afterAutospacing="0" w:line="360" w:lineRule="auto"/>
        <w:ind w:firstLine="420"/>
        <w:rPr>
          <w:sz w:val="21"/>
          <w:szCs w:val="21"/>
        </w:rPr>
      </w:pPr>
      <w:r>
        <w:rPr>
          <w:rFonts w:hint="eastAsia"/>
          <w:sz w:val="21"/>
          <w:szCs w:val="21"/>
        </w:rPr>
        <w:t>本基金投资的前十名证券的发行主体中，中国东方资产管理股份有限公司在报告编制前一年受到国家金融监督管理总局上海监管局的处罚。中国农业发展银行在报告编制前一年受到中国人民银行云南省分行、中国人民银行新疆维吾尔自治区分行、中国人民银行江西省分行、中国人民银行贵州省分行、国家外汇管理局河南省分局、金融监管总局的处罚。中国农业银行股份有限公司在报告编制前一年受到中国人民银行辽宁省分行、国家外汇管理局安徽省分局、国家税务总局白银市税务局稽查局、金融监管总局的处罚。中国银行股份有限公司在报告编制前一年受到中国人民银行海南省分行、咸阳市城市管理执法局、国家外汇管理局宁夏回族自治区分局、国家外汇管理局江西省分局、徐州市泉山区市场监督管理局、金融监管总局的处罚。国家开发银行在报告编制前一年受到中国人民银行、国家外汇管理局北京市分局、河南金融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0A93F158">
      <w:pPr>
        <w:pStyle w:val="8"/>
        <w:spacing w:before="0" w:beforeAutospacing="0" w:after="0" w:afterAutospacing="0" w:line="360" w:lineRule="auto"/>
        <w:ind w:firstLine="420"/>
        <w:rPr>
          <w:sz w:val="21"/>
          <w:szCs w:val="21"/>
        </w:rPr>
      </w:pPr>
      <w:r>
        <w:rPr>
          <w:rStyle w:val="12"/>
          <w:rFonts w:hint="eastAsia"/>
          <w:sz w:val="21"/>
          <w:szCs w:val="21"/>
        </w:rPr>
        <w:t>11.2其他资产构成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4250"/>
        <w:gridCol w:w="2663"/>
      </w:tblGrid>
      <w:tr w14:paraId="2084C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97024E">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4CFB259">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34308E00">
            <w:pPr>
              <w:jc w:val="center"/>
              <w:rPr>
                <w:rFonts w:ascii="宋体" w:hAnsi="宋体" w:eastAsia="宋体" w:cs="宋体"/>
                <w:sz w:val="24"/>
                <w:szCs w:val="24"/>
              </w:rPr>
            </w:pPr>
            <w:r>
              <w:rPr>
                <w:rFonts w:hint="eastAsia" w:ascii="宋体" w:hAnsi="宋体" w:eastAsia="宋体"/>
              </w:rPr>
              <w:t>金额(元)</w:t>
            </w:r>
          </w:p>
        </w:tc>
      </w:tr>
      <w:tr w14:paraId="2201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EEA175">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A555CF7">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7FD7AD53">
            <w:pPr>
              <w:jc w:val="right"/>
              <w:rPr>
                <w:rFonts w:ascii="宋体" w:hAnsi="宋体" w:eastAsia="宋体" w:cs="宋体"/>
                <w:sz w:val="24"/>
                <w:szCs w:val="24"/>
              </w:rPr>
            </w:pPr>
            <w:r>
              <w:rPr>
                <w:rFonts w:hint="eastAsia" w:ascii="宋体" w:hAnsi="宋体" w:eastAsia="宋体"/>
              </w:rPr>
              <w:t>397.91</w:t>
            </w:r>
          </w:p>
        </w:tc>
      </w:tr>
      <w:tr w14:paraId="30CBE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21E66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CE56D2D">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7C9A1958">
            <w:pPr>
              <w:jc w:val="right"/>
              <w:rPr>
                <w:rFonts w:ascii="宋体" w:hAnsi="宋体" w:eastAsia="宋体" w:cs="宋体"/>
                <w:sz w:val="24"/>
                <w:szCs w:val="24"/>
              </w:rPr>
            </w:pPr>
            <w:r>
              <w:rPr>
                <w:rFonts w:hint="eastAsia" w:ascii="宋体" w:hAnsi="宋体" w:eastAsia="宋体"/>
              </w:rPr>
              <w:t>-</w:t>
            </w:r>
          </w:p>
        </w:tc>
      </w:tr>
      <w:tr w14:paraId="1FDB9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37E2A8">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1782C86A">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42FAF054">
            <w:pPr>
              <w:jc w:val="right"/>
              <w:rPr>
                <w:rFonts w:ascii="宋体" w:hAnsi="宋体" w:eastAsia="宋体" w:cs="宋体"/>
                <w:sz w:val="24"/>
                <w:szCs w:val="24"/>
              </w:rPr>
            </w:pPr>
            <w:r>
              <w:rPr>
                <w:rFonts w:hint="eastAsia" w:ascii="宋体" w:hAnsi="宋体" w:eastAsia="宋体"/>
              </w:rPr>
              <w:t>-</w:t>
            </w:r>
          </w:p>
        </w:tc>
      </w:tr>
      <w:tr w14:paraId="66477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E7C992">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60F7B1F">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5FE7F156">
            <w:pPr>
              <w:jc w:val="right"/>
              <w:rPr>
                <w:rFonts w:ascii="宋体" w:hAnsi="宋体" w:eastAsia="宋体" w:cs="宋体"/>
                <w:sz w:val="24"/>
                <w:szCs w:val="24"/>
              </w:rPr>
            </w:pPr>
            <w:r>
              <w:rPr>
                <w:rFonts w:hint="eastAsia" w:ascii="宋体" w:hAnsi="宋体" w:eastAsia="宋体"/>
              </w:rPr>
              <w:t>-</w:t>
            </w:r>
          </w:p>
        </w:tc>
      </w:tr>
      <w:tr w14:paraId="0382D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AA522F">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9C13C80">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4547F447">
            <w:pPr>
              <w:jc w:val="right"/>
              <w:rPr>
                <w:rFonts w:ascii="宋体" w:hAnsi="宋体" w:eastAsia="宋体" w:cs="宋体"/>
                <w:sz w:val="24"/>
                <w:szCs w:val="24"/>
              </w:rPr>
            </w:pPr>
            <w:r>
              <w:rPr>
                <w:rFonts w:hint="eastAsia" w:ascii="宋体" w:hAnsi="宋体" w:eastAsia="宋体"/>
              </w:rPr>
              <w:t>17.99</w:t>
            </w:r>
          </w:p>
        </w:tc>
      </w:tr>
      <w:tr w14:paraId="20BB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CB08BF">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D3AEB94">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0DF8770E">
            <w:pPr>
              <w:jc w:val="right"/>
              <w:rPr>
                <w:rFonts w:ascii="宋体" w:hAnsi="宋体" w:eastAsia="宋体" w:cs="宋体"/>
                <w:sz w:val="24"/>
                <w:szCs w:val="24"/>
              </w:rPr>
            </w:pPr>
            <w:r>
              <w:rPr>
                <w:rFonts w:hint="eastAsia" w:ascii="宋体" w:hAnsi="宋体" w:eastAsia="宋体"/>
              </w:rPr>
              <w:t>-</w:t>
            </w:r>
          </w:p>
        </w:tc>
      </w:tr>
      <w:tr w14:paraId="5DCA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60803F">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F9783D0">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6195634D">
            <w:pPr>
              <w:jc w:val="right"/>
              <w:rPr>
                <w:rFonts w:ascii="宋体" w:hAnsi="宋体" w:eastAsia="宋体" w:cs="宋体"/>
                <w:sz w:val="24"/>
                <w:szCs w:val="24"/>
              </w:rPr>
            </w:pPr>
            <w:r>
              <w:rPr>
                <w:rFonts w:hint="eastAsia" w:ascii="宋体" w:hAnsi="宋体" w:eastAsia="宋体"/>
              </w:rPr>
              <w:t>-</w:t>
            </w:r>
          </w:p>
        </w:tc>
      </w:tr>
      <w:tr w14:paraId="43859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0E4F78">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E495282">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D3B25B3">
            <w:pPr>
              <w:jc w:val="right"/>
              <w:rPr>
                <w:rFonts w:ascii="宋体" w:hAnsi="宋体" w:eastAsia="宋体" w:cs="宋体"/>
                <w:sz w:val="24"/>
                <w:szCs w:val="24"/>
              </w:rPr>
            </w:pPr>
            <w:r>
              <w:rPr>
                <w:rFonts w:hint="eastAsia" w:ascii="宋体" w:hAnsi="宋体" w:eastAsia="宋体"/>
              </w:rPr>
              <w:t>415.90</w:t>
            </w:r>
          </w:p>
        </w:tc>
      </w:tr>
    </w:tbl>
    <w:p w14:paraId="262E7B01">
      <w:pPr>
        <w:pStyle w:val="8"/>
        <w:spacing w:before="0" w:beforeAutospacing="0" w:after="0" w:afterAutospacing="0" w:line="360" w:lineRule="auto"/>
        <w:ind w:firstLine="420"/>
        <w:rPr>
          <w:sz w:val="21"/>
          <w:szCs w:val="21"/>
        </w:rPr>
      </w:pPr>
      <w:r>
        <w:rPr>
          <w:rStyle w:val="12"/>
          <w:rFonts w:hint="eastAsia"/>
          <w:sz w:val="21"/>
          <w:szCs w:val="21"/>
        </w:rPr>
        <w:t>11.3报告期末持有的处于转股期的可转换债券明细</w:t>
      </w:r>
    </w:p>
    <w:p w14:paraId="5DA74454">
      <w:pPr>
        <w:pStyle w:val="8"/>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746DE13F">
      <w:pPr>
        <w:pStyle w:val="8"/>
        <w:spacing w:before="0" w:beforeAutospacing="0" w:after="0" w:afterAutospacing="0" w:line="360" w:lineRule="auto"/>
        <w:ind w:firstLine="420"/>
        <w:rPr>
          <w:sz w:val="21"/>
          <w:szCs w:val="21"/>
        </w:rPr>
      </w:pPr>
      <w:r>
        <w:rPr>
          <w:rStyle w:val="12"/>
          <w:rFonts w:hint="eastAsia"/>
          <w:sz w:val="21"/>
          <w:szCs w:val="21"/>
        </w:rPr>
        <w:t>11.4报告期末前十名股票中存在流通受限情况的说明</w:t>
      </w:r>
    </w:p>
    <w:p w14:paraId="71859309">
      <w:pPr>
        <w:pStyle w:val="8"/>
        <w:spacing w:before="0" w:beforeAutospacing="0" w:after="0" w:afterAutospacing="0" w:line="360" w:lineRule="auto"/>
        <w:ind w:firstLine="420"/>
        <w:rPr>
          <w:sz w:val="21"/>
          <w:szCs w:val="21"/>
        </w:rPr>
      </w:pPr>
      <w:r>
        <w:rPr>
          <w:rFonts w:hint="eastAsia"/>
          <w:sz w:val="21"/>
          <w:szCs w:val="21"/>
        </w:rPr>
        <w:t>本基金本报告期末未持有股票。</w:t>
      </w:r>
    </w:p>
    <w:p w14:paraId="2200B19D">
      <w:pPr>
        <w:pStyle w:val="8"/>
        <w:spacing w:before="0" w:beforeAutospacing="0" w:after="0" w:afterAutospacing="0" w:line="360" w:lineRule="auto"/>
        <w:ind w:firstLine="420"/>
        <w:rPr>
          <w:sz w:val="21"/>
          <w:szCs w:val="21"/>
        </w:rPr>
      </w:pPr>
      <w:r>
        <w:rPr>
          <w:rStyle w:val="12"/>
          <w:rFonts w:hint="eastAsia"/>
          <w:sz w:val="21"/>
          <w:szCs w:val="21"/>
        </w:rPr>
        <w:t>11.5投资组合报告附注的其他文字描述部分</w:t>
      </w:r>
    </w:p>
    <w:p w14:paraId="20120EDA">
      <w:pPr>
        <w:pStyle w:val="8"/>
        <w:spacing w:before="0" w:beforeAutospacing="0" w:after="0" w:afterAutospacing="0" w:line="360" w:lineRule="auto"/>
        <w:ind w:firstLine="420"/>
        <w:rPr>
          <w:sz w:val="21"/>
          <w:szCs w:val="21"/>
        </w:rPr>
      </w:pPr>
      <w:bookmarkStart w:id="141" w:name="chapter_level1_11_60_section_6_end"/>
      <w:bookmarkEnd w:id="141"/>
      <w:r>
        <w:rPr>
          <w:rFonts w:hint="eastAsia"/>
          <w:sz w:val="21"/>
          <w:szCs w:val="21"/>
        </w:rPr>
        <w:t>由于四舍五入的原因，分项之和与合计项之间可能存在尾差。</w:t>
      </w:r>
      <w:bookmarkStart w:id="142" w:name="field_0_fundportfolio_1_end"/>
      <w:bookmarkEnd w:id="142"/>
      <w:r>
        <w:rPr>
          <w:rFonts w:hint="eastAsia"/>
          <w:sz w:val="21"/>
          <w:szCs w:val="21"/>
        </w:rPr>
        <w:t xml:space="preserve">  </w:t>
      </w:r>
    </w:p>
    <w:p w14:paraId="00667F6C">
      <w:pPr>
        <w:widowControl/>
        <w:jc w:val="left"/>
        <w:rPr>
          <w:rFonts w:ascii="宋体" w:hAnsi="宋体" w:eastAsia="宋体"/>
        </w:rPr>
      </w:pPr>
      <w:r>
        <w:rPr>
          <w:rFonts w:ascii="宋体" w:hAnsi="宋体" w:eastAsia="宋体"/>
        </w:rPr>
        <w:br w:type="page"/>
      </w:r>
    </w:p>
    <w:p w14:paraId="3DAFE1C5">
      <w:pPr>
        <w:pStyle w:val="2"/>
        <w:jc w:val="center"/>
        <w:rPr>
          <w:rFonts w:ascii="宋体" w:hAnsi="宋体" w:eastAsia="宋体"/>
          <w:sz w:val="30"/>
        </w:rPr>
      </w:pPr>
      <w:bookmarkStart w:id="143" w:name="_Toc239192435"/>
      <w:bookmarkStart w:id="144" w:name="chapter_level1_12_3500"/>
      <w:r>
        <w:rPr>
          <w:rFonts w:hint="eastAsia" w:ascii="宋体" w:hAnsi="宋体" w:eastAsia="宋体"/>
          <w:sz w:val="30"/>
        </w:rPr>
        <w:t>第九部分 基金的业绩</w:t>
      </w:r>
      <w:bookmarkEnd w:id="143"/>
      <w:bookmarkEnd w:id="144"/>
    </w:p>
    <w:p w14:paraId="22B108B4">
      <w:pPr>
        <w:pStyle w:val="8"/>
        <w:spacing w:before="0" w:beforeAutospacing="0" w:after="0" w:afterAutospacing="0" w:line="360" w:lineRule="auto"/>
        <w:ind w:firstLine="420"/>
        <w:rPr>
          <w:sz w:val="21"/>
          <w:szCs w:val="21"/>
        </w:rPr>
      </w:pPr>
      <w:bookmarkStart w:id="145" w:name="chapter_level1_12_3500_section_1"/>
      <w:bookmarkEnd w:id="145"/>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3E93A207">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2B081363">
      <w:pPr>
        <w:pStyle w:val="8"/>
        <w:spacing w:before="0" w:beforeAutospacing="0" w:after="0" w:afterAutospacing="0" w:line="360" w:lineRule="auto"/>
        <w:ind w:firstLine="420"/>
        <w:rPr>
          <w:sz w:val="21"/>
          <w:szCs w:val="21"/>
        </w:rPr>
      </w:pPr>
      <w:bookmarkStart w:id="146" w:name="field_0_indatatable_1_start"/>
      <w:bookmarkEnd w:id="146"/>
      <w:r>
        <w:rPr>
          <w:rFonts w:hint="eastAsia"/>
          <w:sz w:val="21"/>
          <w:szCs w:val="21"/>
        </w:rPr>
        <w:t>博时民丰纯债债券A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3F060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56EC94">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24F6560D">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6FDA2C41">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5A92FE84">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3002E9EA">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2E0B7470">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29DD8FD6">
            <w:pPr>
              <w:jc w:val="center"/>
              <w:rPr>
                <w:rFonts w:ascii="宋体" w:hAnsi="宋体" w:eastAsia="宋体" w:cs="宋体"/>
                <w:sz w:val="24"/>
                <w:szCs w:val="24"/>
              </w:rPr>
            </w:pPr>
            <w:r>
              <w:rPr>
                <w:rFonts w:hint="eastAsia" w:ascii="宋体" w:hAnsi="宋体" w:eastAsia="宋体"/>
              </w:rPr>
              <w:t>②-④</w:t>
            </w:r>
          </w:p>
        </w:tc>
      </w:tr>
      <w:tr w14:paraId="243D5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8B9B2F">
            <w:pPr>
              <w:jc w:val="center"/>
              <w:rPr>
                <w:rFonts w:ascii="宋体" w:hAnsi="宋体" w:eastAsia="宋体" w:cs="宋体"/>
                <w:sz w:val="24"/>
                <w:szCs w:val="24"/>
              </w:rPr>
            </w:pPr>
            <w:r>
              <w:rPr>
                <w:rFonts w:hint="eastAsia" w:ascii="宋体" w:hAnsi="宋体" w:eastAsia="宋体"/>
              </w:rPr>
              <w:t>2016.11.30-2016.12.31</w:t>
            </w:r>
          </w:p>
        </w:tc>
        <w:tc>
          <w:tcPr>
            <w:tcW w:w="0" w:type="auto"/>
            <w:shd w:val="clear" w:color="auto" w:fill="auto"/>
          </w:tcPr>
          <w:p w14:paraId="694E779C">
            <w:pPr>
              <w:jc w:val="center"/>
              <w:rPr>
                <w:rFonts w:ascii="宋体" w:hAnsi="宋体" w:eastAsia="宋体" w:cs="宋体"/>
                <w:sz w:val="24"/>
                <w:szCs w:val="24"/>
              </w:rPr>
            </w:pPr>
            <w:r>
              <w:rPr>
                <w:rFonts w:hint="eastAsia" w:ascii="宋体" w:hAnsi="宋体" w:eastAsia="宋体"/>
              </w:rPr>
              <w:t>0.30%</w:t>
            </w:r>
          </w:p>
        </w:tc>
        <w:tc>
          <w:tcPr>
            <w:tcW w:w="0" w:type="auto"/>
            <w:shd w:val="clear" w:color="auto" w:fill="auto"/>
          </w:tcPr>
          <w:p w14:paraId="01455784">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555E2DE4">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14:paraId="07C0F7CA">
            <w:pPr>
              <w:jc w:val="center"/>
              <w:rPr>
                <w:rFonts w:ascii="宋体" w:hAnsi="宋体" w:eastAsia="宋体" w:cs="宋体"/>
                <w:sz w:val="24"/>
                <w:szCs w:val="24"/>
              </w:rPr>
            </w:pPr>
            <w:r>
              <w:rPr>
                <w:rFonts w:hint="eastAsia" w:ascii="宋体" w:hAnsi="宋体" w:eastAsia="宋体"/>
              </w:rPr>
              <w:t>0.20%</w:t>
            </w:r>
          </w:p>
        </w:tc>
        <w:tc>
          <w:tcPr>
            <w:tcW w:w="0" w:type="auto"/>
            <w:shd w:val="clear" w:color="auto" w:fill="auto"/>
          </w:tcPr>
          <w:p w14:paraId="4191AB1C">
            <w:pPr>
              <w:jc w:val="center"/>
              <w:rPr>
                <w:rFonts w:ascii="宋体" w:hAnsi="宋体" w:eastAsia="宋体" w:cs="宋体"/>
                <w:sz w:val="24"/>
                <w:szCs w:val="24"/>
              </w:rPr>
            </w:pPr>
            <w:r>
              <w:rPr>
                <w:rFonts w:hint="eastAsia" w:ascii="宋体" w:hAnsi="宋体" w:eastAsia="宋体"/>
              </w:rPr>
              <w:t>1.44%</w:t>
            </w:r>
          </w:p>
        </w:tc>
        <w:tc>
          <w:tcPr>
            <w:tcW w:w="0" w:type="auto"/>
            <w:shd w:val="clear" w:color="auto" w:fill="auto"/>
          </w:tcPr>
          <w:p w14:paraId="17E59B04">
            <w:pPr>
              <w:jc w:val="center"/>
              <w:rPr>
                <w:rFonts w:ascii="宋体" w:hAnsi="宋体" w:eastAsia="宋体" w:cs="宋体"/>
                <w:sz w:val="24"/>
                <w:szCs w:val="24"/>
              </w:rPr>
            </w:pPr>
            <w:r>
              <w:rPr>
                <w:rFonts w:hint="eastAsia" w:ascii="宋体" w:hAnsi="宋体" w:eastAsia="宋体"/>
              </w:rPr>
              <w:t>-0.19%</w:t>
            </w:r>
          </w:p>
        </w:tc>
      </w:tr>
      <w:tr w14:paraId="280AD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6E75AA">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496A503F">
            <w:pPr>
              <w:jc w:val="center"/>
              <w:rPr>
                <w:rFonts w:ascii="宋体" w:hAnsi="宋体" w:eastAsia="宋体" w:cs="宋体"/>
                <w:sz w:val="24"/>
                <w:szCs w:val="24"/>
              </w:rPr>
            </w:pPr>
            <w:r>
              <w:rPr>
                <w:rFonts w:hint="eastAsia" w:ascii="宋体" w:hAnsi="宋体" w:eastAsia="宋体"/>
              </w:rPr>
              <w:t>3.04%</w:t>
            </w:r>
          </w:p>
        </w:tc>
        <w:tc>
          <w:tcPr>
            <w:tcW w:w="0" w:type="auto"/>
            <w:shd w:val="clear" w:color="auto" w:fill="auto"/>
          </w:tcPr>
          <w:p w14:paraId="56606ABE">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674387FB">
            <w:pPr>
              <w:jc w:val="center"/>
              <w:rPr>
                <w:rFonts w:ascii="宋体" w:hAnsi="宋体" w:eastAsia="宋体" w:cs="宋体"/>
                <w:sz w:val="24"/>
                <w:szCs w:val="24"/>
              </w:rPr>
            </w:pPr>
            <w:r>
              <w:rPr>
                <w:rFonts w:hint="eastAsia" w:ascii="宋体" w:hAnsi="宋体" w:eastAsia="宋体"/>
              </w:rPr>
              <w:t>0.37%</w:t>
            </w:r>
          </w:p>
        </w:tc>
        <w:tc>
          <w:tcPr>
            <w:tcW w:w="0" w:type="auto"/>
            <w:shd w:val="clear" w:color="auto" w:fill="auto"/>
          </w:tcPr>
          <w:p w14:paraId="2AFD694D">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0E791A67">
            <w:pPr>
              <w:jc w:val="center"/>
              <w:rPr>
                <w:rFonts w:ascii="宋体" w:hAnsi="宋体" w:eastAsia="宋体" w:cs="宋体"/>
                <w:sz w:val="24"/>
                <w:szCs w:val="24"/>
              </w:rPr>
            </w:pPr>
            <w:r>
              <w:rPr>
                <w:rFonts w:hint="eastAsia" w:ascii="宋体" w:hAnsi="宋体" w:eastAsia="宋体"/>
              </w:rPr>
              <w:t>2.67%</w:t>
            </w:r>
          </w:p>
        </w:tc>
        <w:tc>
          <w:tcPr>
            <w:tcW w:w="0" w:type="auto"/>
            <w:shd w:val="clear" w:color="auto" w:fill="auto"/>
          </w:tcPr>
          <w:p w14:paraId="0F946750">
            <w:pPr>
              <w:jc w:val="center"/>
              <w:rPr>
                <w:rFonts w:ascii="宋体" w:hAnsi="宋体" w:eastAsia="宋体" w:cs="宋体"/>
                <w:sz w:val="24"/>
                <w:szCs w:val="24"/>
              </w:rPr>
            </w:pPr>
            <w:r>
              <w:rPr>
                <w:rFonts w:hint="eastAsia" w:ascii="宋体" w:hAnsi="宋体" w:eastAsia="宋体"/>
              </w:rPr>
              <w:t>-0.04%</w:t>
            </w:r>
          </w:p>
        </w:tc>
      </w:tr>
      <w:tr w14:paraId="003E9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BD43F7">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3F85729C">
            <w:pPr>
              <w:jc w:val="center"/>
              <w:rPr>
                <w:rFonts w:ascii="宋体" w:hAnsi="宋体" w:eastAsia="宋体" w:cs="宋体"/>
                <w:sz w:val="24"/>
                <w:szCs w:val="24"/>
              </w:rPr>
            </w:pPr>
            <w:r>
              <w:rPr>
                <w:rFonts w:hint="eastAsia" w:ascii="宋体" w:hAnsi="宋体" w:eastAsia="宋体"/>
              </w:rPr>
              <w:t>5.85%</w:t>
            </w:r>
          </w:p>
        </w:tc>
        <w:tc>
          <w:tcPr>
            <w:tcW w:w="0" w:type="auto"/>
            <w:shd w:val="clear" w:color="auto" w:fill="auto"/>
          </w:tcPr>
          <w:p w14:paraId="6EB80031">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238F6D6B">
            <w:pPr>
              <w:jc w:val="center"/>
              <w:rPr>
                <w:rFonts w:ascii="宋体" w:hAnsi="宋体" w:eastAsia="宋体" w:cs="宋体"/>
                <w:sz w:val="24"/>
                <w:szCs w:val="24"/>
              </w:rPr>
            </w:pPr>
            <w:r>
              <w:rPr>
                <w:rFonts w:hint="eastAsia" w:ascii="宋体" w:hAnsi="宋体" w:eastAsia="宋体"/>
              </w:rPr>
              <w:t>7.53%</w:t>
            </w:r>
          </w:p>
        </w:tc>
        <w:tc>
          <w:tcPr>
            <w:tcW w:w="0" w:type="auto"/>
            <w:shd w:val="clear" w:color="auto" w:fill="auto"/>
          </w:tcPr>
          <w:p w14:paraId="77DF190F">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194793A6">
            <w:pPr>
              <w:jc w:val="center"/>
              <w:rPr>
                <w:rFonts w:ascii="宋体" w:hAnsi="宋体" w:eastAsia="宋体" w:cs="宋体"/>
                <w:sz w:val="24"/>
                <w:szCs w:val="24"/>
              </w:rPr>
            </w:pPr>
            <w:r>
              <w:rPr>
                <w:rFonts w:hint="eastAsia" w:ascii="宋体" w:hAnsi="宋体" w:eastAsia="宋体"/>
              </w:rPr>
              <w:t>-1.68%</w:t>
            </w:r>
          </w:p>
        </w:tc>
        <w:tc>
          <w:tcPr>
            <w:tcW w:w="0" w:type="auto"/>
            <w:shd w:val="clear" w:color="auto" w:fill="auto"/>
          </w:tcPr>
          <w:p w14:paraId="69AD0827">
            <w:pPr>
              <w:jc w:val="center"/>
              <w:rPr>
                <w:rFonts w:ascii="宋体" w:hAnsi="宋体" w:eastAsia="宋体" w:cs="宋体"/>
                <w:sz w:val="24"/>
                <w:szCs w:val="24"/>
              </w:rPr>
            </w:pPr>
            <w:r>
              <w:rPr>
                <w:rFonts w:hint="eastAsia" w:ascii="宋体" w:hAnsi="宋体" w:eastAsia="宋体"/>
              </w:rPr>
              <w:t>-0.02%</w:t>
            </w:r>
          </w:p>
        </w:tc>
      </w:tr>
      <w:tr w14:paraId="50946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CF4521">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42CB8223">
            <w:pPr>
              <w:jc w:val="center"/>
              <w:rPr>
                <w:rFonts w:ascii="宋体" w:hAnsi="宋体" w:eastAsia="宋体" w:cs="宋体"/>
                <w:sz w:val="24"/>
                <w:szCs w:val="24"/>
              </w:rPr>
            </w:pPr>
            <w:r>
              <w:rPr>
                <w:rFonts w:hint="eastAsia" w:ascii="宋体" w:hAnsi="宋体" w:eastAsia="宋体"/>
              </w:rPr>
              <w:t>4.00%</w:t>
            </w:r>
          </w:p>
        </w:tc>
        <w:tc>
          <w:tcPr>
            <w:tcW w:w="0" w:type="auto"/>
            <w:shd w:val="clear" w:color="auto" w:fill="auto"/>
          </w:tcPr>
          <w:p w14:paraId="48C50696">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526D83CE">
            <w:pPr>
              <w:jc w:val="center"/>
              <w:rPr>
                <w:rFonts w:ascii="宋体" w:hAnsi="宋体" w:eastAsia="宋体" w:cs="宋体"/>
                <w:sz w:val="24"/>
                <w:szCs w:val="24"/>
              </w:rPr>
            </w:pPr>
            <w:r>
              <w:rPr>
                <w:rFonts w:hint="eastAsia" w:ascii="宋体" w:hAnsi="宋体" w:eastAsia="宋体"/>
              </w:rPr>
              <w:t>4.28%</w:t>
            </w:r>
          </w:p>
        </w:tc>
        <w:tc>
          <w:tcPr>
            <w:tcW w:w="0" w:type="auto"/>
            <w:shd w:val="clear" w:color="auto" w:fill="auto"/>
          </w:tcPr>
          <w:p w14:paraId="06C21F6C">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3E7FC2A6">
            <w:pPr>
              <w:jc w:val="center"/>
              <w:rPr>
                <w:rFonts w:ascii="宋体" w:hAnsi="宋体" w:eastAsia="宋体" w:cs="宋体"/>
                <w:sz w:val="24"/>
                <w:szCs w:val="24"/>
              </w:rPr>
            </w:pPr>
            <w:r>
              <w:rPr>
                <w:rFonts w:hint="eastAsia" w:ascii="宋体" w:hAnsi="宋体" w:eastAsia="宋体"/>
              </w:rPr>
              <w:t>-0.28%</w:t>
            </w:r>
          </w:p>
        </w:tc>
        <w:tc>
          <w:tcPr>
            <w:tcW w:w="0" w:type="auto"/>
            <w:shd w:val="clear" w:color="auto" w:fill="auto"/>
          </w:tcPr>
          <w:p w14:paraId="09D9F597">
            <w:pPr>
              <w:jc w:val="center"/>
              <w:rPr>
                <w:rFonts w:ascii="宋体" w:hAnsi="宋体" w:eastAsia="宋体" w:cs="宋体"/>
                <w:sz w:val="24"/>
                <w:szCs w:val="24"/>
              </w:rPr>
            </w:pPr>
            <w:r>
              <w:rPr>
                <w:rFonts w:hint="eastAsia" w:ascii="宋体" w:hAnsi="宋体" w:eastAsia="宋体"/>
              </w:rPr>
              <w:t>0.00%</w:t>
            </w:r>
          </w:p>
        </w:tc>
      </w:tr>
      <w:tr w14:paraId="6FA92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B5ED6E">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34CE5773">
            <w:pPr>
              <w:jc w:val="center"/>
              <w:rPr>
                <w:rFonts w:ascii="宋体" w:hAnsi="宋体" w:eastAsia="宋体" w:cs="宋体"/>
                <w:sz w:val="24"/>
                <w:szCs w:val="24"/>
              </w:rPr>
            </w:pPr>
            <w:r>
              <w:rPr>
                <w:rFonts w:hint="eastAsia" w:ascii="宋体" w:hAnsi="宋体" w:eastAsia="宋体"/>
              </w:rPr>
              <w:t>3.26%</w:t>
            </w:r>
          </w:p>
        </w:tc>
        <w:tc>
          <w:tcPr>
            <w:tcW w:w="0" w:type="auto"/>
            <w:shd w:val="clear" w:color="auto" w:fill="auto"/>
          </w:tcPr>
          <w:p w14:paraId="01C9C825">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0400F4D5">
            <w:pPr>
              <w:jc w:val="center"/>
              <w:rPr>
                <w:rFonts w:ascii="宋体" w:hAnsi="宋体" w:eastAsia="宋体" w:cs="宋体"/>
                <w:sz w:val="24"/>
                <w:szCs w:val="24"/>
              </w:rPr>
            </w:pPr>
            <w:r>
              <w:rPr>
                <w:rFonts w:hint="eastAsia" w:ascii="宋体" w:hAnsi="宋体" w:eastAsia="宋体"/>
              </w:rPr>
              <w:t>2.83%</w:t>
            </w:r>
          </w:p>
        </w:tc>
        <w:tc>
          <w:tcPr>
            <w:tcW w:w="0" w:type="auto"/>
            <w:shd w:val="clear" w:color="auto" w:fill="auto"/>
          </w:tcPr>
          <w:p w14:paraId="2F07CEA9">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585A4C2D">
            <w:pPr>
              <w:jc w:val="center"/>
              <w:rPr>
                <w:rFonts w:ascii="宋体" w:hAnsi="宋体" w:eastAsia="宋体" w:cs="宋体"/>
                <w:sz w:val="24"/>
                <w:szCs w:val="24"/>
              </w:rPr>
            </w:pPr>
            <w:r>
              <w:rPr>
                <w:rFonts w:hint="eastAsia" w:ascii="宋体" w:hAnsi="宋体" w:eastAsia="宋体"/>
              </w:rPr>
              <w:t>0.43%</w:t>
            </w:r>
          </w:p>
        </w:tc>
        <w:tc>
          <w:tcPr>
            <w:tcW w:w="0" w:type="auto"/>
            <w:shd w:val="clear" w:color="auto" w:fill="auto"/>
          </w:tcPr>
          <w:p w14:paraId="28DCF924">
            <w:pPr>
              <w:jc w:val="center"/>
              <w:rPr>
                <w:rFonts w:ascii="宋体" w:hAnsi="宋体" w:eastAsia="宋体" w:cs="宋体"/>
                <w:sz w:val="24"/>
                <w:szCs w:val="24"/>
              </w:rPr>
            </w:pPr>
            <w:r>
              <w:rPr>
                <w:rFonts w:hint="eastAsia" w:ascii="宋体" w:hAnsi="宋体" w:eastAsia="宋体"/>
              </w:rPr>
              <w:t>0.01%</w:t>
            </w:r>
          </w:p>
        </w:tc>
      </w:tr>
      <w:tr w14:paraId="7BAAD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365E00">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70F730C5">
            <w:pPr>
              <w:jc w:val="center"/>
              <w:rPr>
                <w:rFonts w:ascii="宋体" w:hAnsi="宋体" w:eastAsia="宋体" w:cs="宋体"/>
                <w:sz w:val="24"/>
                <w:szCs w:val="24"/>
              </w:rPr>
            </w:pPr>
            <w:r>
              <w:rPr>
                <w:rFonts w:hint="eastAsia" w:ascii="宋体" w:hAnsi="宋体" w:eastAsia="宋体"/>
              </w:rPr>
              <w:t>3.42%</w:t>
            </w:r>
          </w:p>
        </w:tc>
        <w:tc>
          <w:tcPr>
            <w:tcW w:w="0" w:type="auto"/>
            <w:shd w:val="clear" w:color="auto" w:fill="auto"/>
          </w:tcPr>
          <w:p w14:paraId="3A9AC0E6">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4F9D78A0">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14:paraId="618D42CB">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6D3021A2">
            <w:pPr>
              <w:jc w:val="center"/>
              <w:rPr>
                <w:rFonts w:ascii="宋体" w:hAnsi="宋体" w:eastAsia="宋体" w:cs="宋体"/>
                <w:sz w:val="24"/>
                <w:szCs w:val="24"/>
              </w:rPr>
            </w:pPr>
            <w:r>
              <w:rPr>
                <w:rFonts w:hint="eastAsia" w:ascii="宋体" w:hAnsi="宋体" w:eastAsia="宋体"/>
              </w:rPr>
              <w:t>-1.31%</w:t>
            </w:r>
          </w:p>
        </w:tc>
        <w:tc>
          <w:tcPr>
            <w:tcW w:w="0" w:type="auto"/>
            <w:shd w:val="clear" w:color="auto" w:fill="auto"/>
          </w:tcPr>
          <w:p w14:paraId="7C03A71A">
            <w:pPr>
              <w:jc w:val="center"/>
              <w:rPr>
                <w:rFonts w:ascii="宋体" w:hAnsi="宋体" w:eastAsia="宋体" w:cs="宋体"/>
                <w:sz w:val="24"/>
                <w:szCs w:val="24"/>
              </w:rPr>
            </w:pPr>
            <w:r>
              <w:rPr>
                <w:rFonts w:hint="eastAsia" w:ascii="宋体" w:hAnsi="宋体" w:eastAsia="宋体"/>
              </w:rPr>
              <w:t>0.00%</w:t>
            </w:r>
          </w:p>
        </w:tc>
      </w:tr>
      <w:tr w14:paraId="586FD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B30376">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5334FAD5">
            <w:pPr>
              <w:jc w:val="center"/>
              <w:rPr>
                <w:rFonts w:ascii="宋体" w:hAnsi="宋体" w:eastAsia="宋体" w:cs="宋体"/>
                <w:sz w:val="24"/>
                <w:szCs w:val="24"/>
              </w:rPr>
            </w:pPr>
            <w:r>
              <w:rPr>
                <w:rFonts w:hint="eastAsia" w:ascii="宋体" w:hAnsi="宋体" w:eastAsia="宋体"/>
              </w:rPr>
              <w:t>1.82%</w:t>
            </w:r>
          </w:p>
        </w:tc>
        <w:tc>
          <w:tcPr>
            <w:tcW w:w="0" w:type="auto"/>
            <w:shd w:val="clear" w:color="auto" w:fill="auto"/>
          </w:tcPr>
          <w:p w14:paraId="1E109385">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3A7ADC10">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14:paraId="551166B2">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287CB05C">
            <w:pPr>
              <w:jc w:val="center"/>
              <w:rPr>
                <w:rFonts w:ascii="宋体" w:hAnsi="宋体" w:eastAsia="宋体" w:cs="宋体"/>
                <w:sz w:val="24"/>
                <w:szCs w:val="24"/>
              </w:rPr>
            </w:pPr>
            <w:r>
              <w:rPr>
                <w:rFonts w:hint="eastAsia" w:ascii="宋体" w:hAnsi="宋体" w:eastAsia="宋体"/>
              </w:rPr>
              <w:t>-1.30%</w:t>
            </w:r>
          </w:p>
        </w:tc>
        <w:tc>
          <w:tcPr>
            <w:tcW w:w="0" w:type="auto"/>
            <w:shd w:val="clear" w:color="auto" w:fill="auto"/>
          </w:tcPr>
          <w:p w14:paraId="5B338BE6">
            <w:pPr>
              <w:jc w:val="center"/>
              <w:rPr>
                <w:rFonts w:ascii="宋体" w:hAnsi="宋体" w:eastAsia="宋体" w:cs="宋体"/>
                <w:sz w:val="24"/>
                <w:szCs w:val="24"/>
              </w:rPr>
            </w:pPr>
            <w:r>
              <w:rPr>
                <w:rFonts w:hint="eastAsia" w:ascii="宋体" w:hAnsi="宋体" w:eastAsia="宋体"/>
              </w:rPr>
              <w:t>0.03%</w:t>
            </w:r>
          </w:p>
        </w:tc>
      </w:tr>
      <w:tr w14:paraId="58AAD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216974">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53B53349">
            <w:pPr>
              <w:jc w:val="center"/>
              <w:rPr>
                <w:rFonts w:ascii="宋体" w:hAnsi="宋体" w:eastAsia="宋体" w:cs="宋体"/>
                <w:sz w:val="24"/>
                <w:szCs w:val="24"/>
              </w:rPr>
            </w:pPr>
            <w:r>
              <w:rPr>
                <w:rFonts w:hint="eastAsia" w:ascii="宋体" w:hAnsi="宋体" w:eastAsia="宋体"/>
              </w:rPr>
              <w:t>3.36%</w:t>
            </w:r>
          </w:p>
        </w:tc>
        <w:tc>
          <w:tcPr>
            <w:tcW w:w="0" w:type="auto"/>
            <w:shd w:val="clear" w:color="auto" w:fill="auto"/>
          </w:tcPr>
          <w:p w14:paraId="21BE8E91">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513F21B3">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14:paraId="2994BE83">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146CD674">
            <w:pPr>
              <w:jc w:val="center"/>
              <w:rPr>
                <w:rFonts w:ascii="宋体" w:hAnsi="宋体" w:eastAsia="宋体" w:cs="宋体"/>
                <w:sz w:val="24"/>
                <w:szCs w:val="24"/>
              </w:rPr>
            </w:pPr>
            <w:r>
              <w:rPr>
                <w:rFonts w:hint="eastAsia" w:ascii="宋体" w:hAnsi="宋体" w:eastAsia="宋体"/>
              </w:rPr>
              <w:t>-1.09%</w:t>
            </w:r>
          </w:p>
        </w:tc>
        <w:tc>
          <w:tcPr>
            <w:tcW w:w="0" w:type="auto"/>
            <w:shd w:val="clear" w:color="auto" w:fill="auto"/>
          </w:tcPr>
          <w:p w14:paraId="5830432D">
            <w:pPr>
              <w:jc w:val="center"/>
              <w:rPr>
                <w:rFonts w:ascii="宋体" w:hAnsi="宋体" w:eastAsia="宋体" w:cs="宋体"/>
                <w:sz w:val="24"/>
                <w:szCs w:val="24"/>
              </w:rPr>
            </w:pPr>
            <w:r>
              <w:rPr>
                <w:rFonts w:hint="eastAsia" w:ascii="宋体" w:hAnsi="宋体" w:eastAsia="宋体"/>
              </w:rPr>
              <w:t>0.00%</w:t>
            </w:r>
          </w:p>
        </w:tc>
      </w:tr>
      <w:tr w14:paraId="4B520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B638FE">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4ACC4E14">
            <w:pPr>
              <w:jc w:val="center"/>
              <w:rPr>
                <w:rFonts w:ascii="宋体" w:hAnsi="宋体" w:eastAsia="宋体" w:cs="宋体"/>
                <w:sz w:val="24"/>
                <w:szCs w:val="24"/>
              </w:rPr>
            </w:pPr>
            <w:r>
              <w:rPr>
                <w:rFonts w:hint="eastAsia" w:ascii="宋体" w:hAnsi="宋体" w:eastAsia="宋体"/>
              </w:rPr>
              <w:t>4.68%</w:t>
            </w:r>
          </w:p>
        </w:tc>
        <w:tc>
          <w:tcPr>
            <w:tcW w:w="0" w:type="auto"/>
            <w:shd w:val="clear" w:color="auto" w:fill="auto"/>
          </w:tcPr>
          <w:p w14:paraId="1E972342">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183059F5">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14:paraId="6E948F81">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7B6BAA2B">
            <w:pPr>
              <w:jc w:val="center"/>
              <w:rPr>
                <w:rFonts w:ascii="宋体" w:hAnsi="宋体" w:eastAsia="宋体" w:cs="宋体"/>
                <w:sz w:val="24"/>
                <w:szCs w:val="24"/>
              </w:rPr>
            </w:pPr>
            <w:r>
              <w:rPr>
                <w:rFonts w:hint="eastAsia" w:ascii="宋体" w:hAnsi="宋体" w:eastAsia="宋体"/>
              </w:rPr>
              <w:t>-2.31%</w:t>
            </w:r>
          </w:p>
        </w:tc>
        <w:tc>
          <w:tcPr>
            <w:tcW w:w="0" w:type="auto"/>
            <w:shd w:val="clear" w:color="auto" w:fill="auto"/>
          </w:tcPr>
          <w:p w14:paraId="711A7670">
            <w:pPr>
              <w:jc w:val="center"/>
              <w:rPr>
                <w:rFonts w:ascii="宋体" w:hAnsi="宋体" w:eastAsia="宋体" w:cs="宋体"/>
                <w:sz w:val="24"/>
                <w:szCs w:val="24"/>
              </w:rPr>
            </w:pPr>
            <w:r>
              <w:rPr>
                <w:rFonts w:hint="eastAsia" w:ascii="宋体" w:hAnsi="宋体" w:eastAsia="宋体"/>
              </w:rPr>
              <w:t>-0.02%</w:t>
            </w:r>
          </w:p>
        </w:tc>
      </w:tr>
      <w:tr w14:paraId="69995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E14DF6">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1EFE1E60">
            <w:pPr>
              <w:jc w:val="center"/>
              <w:rPr>
                <w:rFonts w:ascii="宋体" w:hAnsi="宋体" w:eastAsia="宋体" w:cs="宋体"/>
                <w:sz w:val="24"/>
                <w:szCs w:val="24"/>
              </w:rPr>
            </w:pPr>
            <w:r>
              <w:rPr>
                <w:rFonts w:hint="eastAsia" w:ascii="宋体" w:hAnsi="宋体" w:eastAsia="宋体"/>
              </w:rPr>
              <w:t>1.27%</w:t>
            </w:r>
          </w:p>
        </w:tc>
        <w:tc>
          <w:tcPr>
            <w:tcW w:w="0" w:type="auto"/>
            <w:shd w:val="clear" w:color="auto" w:fill="auto"/>
          </w:tcPr>
          <w:p w14:paraId="3496778C">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5D2B0C11">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14:paraId="3BA79957">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04AF3BA0">
            <w:pPr>
              <w:jc w:val="center"/>
              <w:rPr>
                <w:rFonts w:ascii="宋体" w:hAnsi="宋体" w:eastAsia="宋体" w:cs="宋体"/>
                <w:sz w:val="24"/>
                <w:szCs w:val="24"/>
              </w:rPr>
            </w:pPr>
            <w:r>
              <w:rPr>
                <w:rFonts w:hint="eastAsia" w:ascii="宋体" w:hAnsi="宋体" w:eastAsia="宋体"/>
              </w:rPr>
              <w:t>0.54%</w:t>
            </w:r>
          </w:p>
        </w:tc>
        <w:tc>
          <w:tcPr>
            <w:tcW w:w="0" w:type="auto"/>
            <w:shd w:val="clear" w:color="auto" w:fill="auto"/>
          </w:tcPr>
          <w:p w14:paraId="31E48130">
            <w:pPr>
              <w:jc w:val="center"/>
              <w:rPr>
                <w:rFonts w:ascii="宋体" w:hAnsi="宋体" w:eastAsia="宋体" w:cs="宋体"/>
                <w:sz w:val="24"/>
                <w:szCs w:val="24"/>
              </w:rPr>
            </w:pPr>
            <w:r>
              <w:rPr>
                <w:rFonts w:hint="eastAsia" w:ascii="宋体" w:hAnsi="宋体" w:eastAsia="宋体"/>
              </w:rPr>
              <w:t>-0.04%</w:t>
            </w:r>
          </w:p>
        </w:tc>
      </w:tr>
      <w:tr w14:paraId="63535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DA5BC1">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3A8BA651">
            <w:pPr>
              <w:jc w:val="center"/>
              <w:rPr>
                <w:rFonts w:ascii="宋体" w:hAnsi="宋体" w:eastAsia="宋体" w:cs="宋体"/>
                <w:sz w:val="24"/>
                <w:szCs w:val="24"/>
              </w:rPr>
            </w:pPr>
            <w:r>
              <w:rPr>
                <w:rFonts w:hint="eastAsia" w:ascii="宋体" w:hAnsi="宋体" w:eastAsia="宋体"/>
              </w:rPr>
              <w:t>1.48%</w:t>
            </w:r>
          </w:p>
        </w:tc>
        <w:tc>
          <w:tcPr>
            <w:tcW w:w="0" w:type="auto"/>
            <w:shd w:val="clear" w:color="auto" w:fill="auto"/>
          </w:tcPr>
          <w:p w14:paraId="40037026">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694FDD47">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72E275A8">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73B0C5FA">
            <w:pPr>
              <w:jc w:val="center"/>
              <w:rPr>
                <w:rFonts w:ascii="宋体" w:hAnsi="宋体" w:eastAsia="宋体" w:cs="宋体"/>
                <w:sz w:val="24"/>
                <w:szCs w:val="24"/>
              </w:rPr>
            </w:pPr>
            <w:r>
              <w:rPr>
                <w:rFonts w:hint="eastAsia" w:ascii="宋体" w:hAnsi="宋体" w:eastAsia="宋体"/>
              </w:rPr>
              <w:t>-0.42%</w:t>
            </w:r>
          </w:p>
        </w:tc>
        <w:tc>
          <w:tcPr>
            <w:tcW w:w="0" w:type="auto"/>
            <w:shd w:val="clear" w:color="auto" w:fill="auto"/>
          </w:tcPr>
          <w:p w14:paraId="4418765B">
            <w:pPr>
              <w:jc w:val="center"/>
              <w:rPr>
                <w:rFonts w:ascii="宋体" w:hAnsi="宋体" w:eastAsia="宋体" w:cs="宋体"/>
                <w:sz w:val="24"/>
                <w:szCs w:val="24"/>
              </w:rPr>
            </w:pPr>
            <w:r>
              <w:rPr>
                <w:rFonts w:hint="eastAsia" w:ascii="宋体" w:hAnsi="宋体" w:eastAsia="宋体"/>
              </w:rPr>
              <w:t>0.00%</w:t>
            </w:r>
          </w:p>
        </w:tc>
      </w:tr>
      <w:tr w14:paraId="15076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F09686">
            <w:pPr>
              <w:jc w:val="center"/>
              <w:rPr>
                <w:rFonts w:ascii="宋体" w:hAnsi="宋体" w:eastAsia="宋体" w:cs="宋体"/>
                <w:sz w:val="24"/>
                <w:szCs w:val="24"/>
              </w:rPr>
            </w:pPr>
            <w:r>
              <w:rPr>
                <w:rFonts w:hint="eastAsia" w:ascii="宋体" w:hAnsi="宋体" w:eastAsia="宋体"/>
              </w:rPr>
              <w:t>2016.11.30-2026.06.30</w:t>
            </w:r>
          </w:p>
        </w:tc>
        <w:tc>
          <w:tcPr>
            <w:tcW w:w="0" w:type="auto"/>
            <w:shd w:val="clear" w:color="auto" w:fill="auto"/>
          </w:tcPr>
          <w:p w14:paraId="7DEC5997">
            <w:pPr>
              <w:jc w:val="center"/>
              <w:rPr>
                <w:rFonts w:ascii="宋体" w:hAnsi="宋体" w:eastAsia="宋体" w:cs="宋体"/>
                <w:sz w:val="24"/>
                <w:szCs w:val="24"/>
              </w:rPr>
            </w:pPr>
            <w:r>
              <w:rPr>
                <w:rFonts w:hint="eastAsia" w:ascii="宋体" w:hAnsi="宋体" w:eastAsia="宋体"/>
              </w:rPr>
              <w:t>37.53%</w:t>
            </w:r>
          </w:p>
        </w:tc>
        <w:tc>
          <w:tcPr>
            <w:tcW w:w="0" w:type="auto"/>
            <w:shd w:val="clear" w:color="auto" w:fill="auto"/>
          </w:tcPr>
          <w:p w14:paraId="6F4DFE86">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258884C5">
            <w:pPr>
              <w:jc w:val="center"/>
              <w:rPr>
                <w:rFonts w:ascii="宋体" w:hAnsi="宋体" w:eastAsia="宋体" w:cs="宋体"/>
                <w:sz w:val="24"/>
                <w:szCs w:val="24"/>
              </w:rPr>
            </w:pPr>
            <w:r>
              <w:rPr>
                <w:rFonts w:hint="eastAsia" w:ascii="宋体" w:hAnsi="宋体" w:eastAsia="宋体"/>
              </w:rPr>
              <w:t>41.74%</w:t>
            </w:r>
          </w:p>
        </w:tc>
        <w:tc>
          <w:tcPr>
            <w:tcW w:w="0" w:type="auto"/>
            <w:shd w:val="clear" w:color="auto" w:fill="auto"/>
          </w:tcPr>
          <w:p w14:paraId="050F4BF7">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1E7ED0BD">
            <w:pPr>
              <w:jc w:val="center"/>
              <w:rPr>
                <w:rFonts w:ascii="宋体" w:hAnsi="宋体" w:eastAsia="宋体" w:cs="宋体"/>
                <w:sz w:val="24"/>
                <w:szCs w:val="24"/>
              </w:rPr>
            </w:pPr>
            <w:r>
              <w:rPr>
                <w:rFonts w:hint="eastAsia" w:ascii="宋体" w:hAnsi="宋体" w:eastAsia="宋体"/>
              </w:rPr>
              <w:t>-4.21%</w:t>
            </w:r>
          </w:p>
        </w:tc>
        <w:tc>
          <w:tcPr>
            <w:tcW w:w="0" w:type="auto"/>
            <w:shd w:val="clear" w:color="auto" w:fill="auto"/>
          </w:tcPr>
          <w:p w14:paraId="233FB007">
            <w:pPr>
              <w:jc w:val="center"/>
              <w:rPr>
                <w:rFonts w:ascii="宋体" w:hAnsi="宋体" w:eastAsia="宋体" w:cs="宋体"/>
                <w:sz w:val="24"/>
                <w:szCs w:val="24"/>
              </w:rPr>
            </w:pPr>
            <w:r>
              <w:rPr>
                <w:rFonts w:hint="eastAsia" w:ascii="宋体" w:hAnsi="宋体" w:eastAsia="宋体"/>
              </w:rPr>
              <w:t>-0.01%</w:t>
            </w:r>
          </w:p>
        </w:tc>
      </w:tr>
    </w:tbl>
    <w:p w14:paraId="5FD92267">
      <w:pPr>
        <w:pStyle w:val="8"/>
        <w:spacing w:before="0" w:beforeAutospacing="0" w:after="0" w:afterAutospacing="0" w:line="360" w:lineRule="auto"/>
        <w:ind w:firstLine="420"/>
        <w:rPr>
          <w:sz w:val="21"/>
          <w:szCs w:val="21"/>
        </w:rPr>
      </w:pPr>
      <w:r>
        <w:rPr>
          <w:rFonts w:hint="eastAsia"/>
          <w:sz w:val="21"/>
          <w:szCs w:val="21"/>
        </w:rPr>
        <w:t>博时民丰纯债债券C</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64740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B40A6E">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7142F6DD">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0B5F47D8">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1E5930E9">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1371FB79">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28A40A6C">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2DAAA1E6">
            <w:pPr>
              <w:jc w:val="center"/>
              <w:rPr>
                <w:rFonts w:ascii="宋体" w:hAnsi="宋体" w:eastAsia="宋体" w:cs="宋体"/>
                <w:sz w:val="24"/>
                <w:szCs w:val="24"/>
              </w:rPr>
            </w:pPr>
            <w:r>
              <w:rPr>
                <w:rFonts w:hint="eastAsia" w:ascii="宋体" w:hAnsi="宋体" w:eastAsia="宋体"/>
              </w:rPr>
              <w:t>②-④</w:t>
            </w:r>
          </w:p>
        </w:tc>
      </w:tr>
      <w:tr w14:paraId="62BD8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746956">
            <w:pPr>
              <w:jc w:val="center"/>
              <w:rPr>
                <w:rFonts w:ascii="宋体" w:hAnsi="宋体" w:eastAsia="宋体" w:cs="宋体"/>
                <w:sz w:val="24"/>
                <w:szCs w:val="24"/>
              </w:rPr>
            </w:pPr>
            <w:r>
              <w:rPr>
                <w:rFonts w:hint="eastAsia" w:ascii="宋体" w:hAnsi="宋体" w:eastAsia="宋体"/>
              </w:rPr>
              <w:t>2016.11.30-2016.12.31</w:t>
            </w:r>
          </w:p>
        </w:tc>
        <w:tc>
          <w:tcPr>
            <w:tcW w:w="0" w:type="auto"/>
            <w:shd w:val="clear" w:color="auto" w:fill="auto"/>
          </w:tcPr>
          <w:p w14:paraId="3952B3C6">
            <w:pPr>
              <w:jc w:val="center"/>
              <w:rPr>
                <w:rFonts w:ascii="宋体" w:hAnsi="宋体" w:eastAsia="宋体" w:cs="宋体"/>
                <w:sz w:val="24"/>
                <w:szCs w:val="24"/>
              </w:rPr>
            </w:pPr>
            <w:r>
              <w:rPr>
                <w:rFonts w:hint="eastAsia" w:ascii="宋体" w:hAnsi="宋体" w:eastAsia="宋体"/>
              </w:rPr>
              <w:t>0.27%</w:t>
            </w:r>
          </w:p>
        </w:tc>
        <w:tc>
          <w:tcPr>
            <w:tcW w:w="0" w:type="auto"/>
            <w:shd w:val="clear" w:color="auto" w:fill="auto"/>
          </w:tcPr>
          <w:p w14:paraId="4E58BD03">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0F50EB2B">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14:paraId="4CAAEF2E">
            <w:pPr>
              <w:jc w:val="center"/>
              <w:rPr>
                <w:rFonts w:ascii="宋体" w:hAnsi="宋体" w:eastAsia="宋体" w:cs="宋体"/>
                <w:sz w:val="24"/>
                <w:szCs w:val="24"/>
              </w:rPr>
            </w:pPr>
            <w:r>
              <w:rPr>
                <w:rFonts w:hint="eastAsia" w:ascii="宋体" w:hAnsi="宋体" w:eastAsia="宋体"/>
              </w:rPr>
              <w:t>0.20%</w:t>
            </w:r>
          </w:p>
        </w:tc>
        <w:tc>
          <w:tcPr>
            <w:tcW w:w="0" w:type="auto"/>
            <w:shd w:val="clear" w:color="auto" w:fill="auto"/>
          </w:tcPr>
          <w:p w14:paraId="6322C5A5">
            <w:pPr>
              <w:jc w:val="center"/>
              <w:rPr>
                <w:rFonts w:ascii="宋体" w:hAnsi="宋体" w:eastAsia="宋体" w:cs="宋体"/>
                <w:sz w:val="24"/>
                <w:szCs w:val="24"/>
              </w:rPr>
            </w:pPr>
            <w:r>
              <w:rPr>
                <w:rFonts w:hint="eastAsia" w:ascii="宋体" w:hAnsi="宋体" w:eastAsia="宋体"/>
              </w:rPr>
              <w:t>1.41%</w:t>
            </w:r>
          </w:p>
        </w:tc>
        <w:tc>
          <w:tcPr>
            <w:tcW w:w="0" w:type="auto"/>
            <w:shd w:val="clear" w:color="auto" w:fill="auto"/>
          </w:tcPr>
          <w:p w14:paraId="28B26503">
            <w:pPr>
              <w:jc w:val="center"/>
              <w:rPr>
                <w:rFonts w:ascii="宋体" w:hAnsi="宋体" w:eastAsia="宋体" w:cs="宋体"/>
                <w:sz w:val="24"/>
                <w:szCs w:val="24"/>
              </w:rPr>
            </w:pPr>
            <w:r>
              <w:rPr>
                <w:rFonts w:hint="eastAsia" w:ascii="宋体" w:hAnsi="宋体" w:eastAsia="宋体"/>
              </w:rPr>
              <w:t>-0.19%</w:t>
            </w:r>
          </w:p>
        </w:tc>
      </w:tr>
      <w:tr w14:paraId="0269A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3F676B">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18F6E589">
            <w:pPr>
              <w:jc w:val="center"/>
              <w:rPr>
                <w:rFonts w:ascii="宋体" w:hAnsi="宋体" w:eastAsia="宋体" w:cs="宋体"/>
                <w:sz w:val="24"/>
                <w:szCs w:val="24"/>
              </w:rPr>
            </w:pPr>
            <w:r>
              <w:rPr>
                <w:rFonts w:hint="eastAsia" w:ascii="宋体" w:hAnsi="宋体" w:eastAsia="宋体"/>
              </w:rPr>
              <w:t>2.64%</w:t>
            </w:r>
          </w:p>
        </w:tc>
        <w:tc>
          <w:tcPr>
            <w:tcW w:w="0" w:type="auto"/>
            <w:shd w:val="clear" w:color="auto" w:fill="auto"/>
          </w:tcPr>
          <w:p w14:paraId="06EEDE08">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5F7AE02E">
            <w:pPr>
              <w:jc w:val="center"/>
              <w:rPr>
                <w:rFonts w:ascii="宋体" w:hAnsi="宋体" w:eastAsia="宋体" w:cs="宋体"/>
                <w:sz w:val="24"/>
                <w:szCs w:val="24"/>
              </w:rPr>
            </w:pPr>
            <w:r>
              <w:rPr>
                <w:rFonts w:hint="eastAsia" w:ascii="宋体" w:hAnsi="宋体" w:eastAsia="宋体"/>
              </w:rPr>
              <w:t>0.37%</w:t>
            </w:r>
          </w:p>
        </w:tc>
        <w:tc>
          <w:tcPr>
            <w:tcW w:w="0" w:type="auto"/>
            <w:shd w:val="clear" w:color="auto" w:fill="auto"/>
          </w:tcPr>
          <w:p w14:paraId="2D92DC9C">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3FE07480">
            <w:pPr>
              <w:jc w:val="center"/>
              <w:rPr>
                <w:rFonts w:ascii="宋体" w:hAnsi="宋体" w:eastAsia="宋体" w:cs="宋体"/>
                <w:sz w:val="24"/>
                <w:szCs w:val="24"/>
              </w:rPr>
            </w:pPr>
            <w:r>
              <w:rPr>
                <w:rFonts w:hint="eastAsia" w:ascii="宋体" w:hAnsi="宋体" w:eastAsia="宋体"/>
              </w:rPr>
              <w:t>2.27%</w:t>
            </w:r>
          </w:p>
        </w:tc>
        <w:tc>
          <w:tcPr>
            <w:tcW w:w="0" w:type="auto"/>
            <w:shd w:val="clear" w:color="auto" w:fill="auto"/>
          </w:tcPr>
          <w:p w14:paraId="36DA9117">
            <w:pPr>
              <w:jc w:val="center"/>
              <w:rPr>
                <w:rFonts w:ascii="宋体" w:hAnsi="宋体" w:eastAsia="宋体" w:cs="宋体"/>
                <w:sz w:val="24"/>
                <w:szCs w:val="24"/>
              </w:rPr>
            </w:pPr>
            <w:r>
              <w:rPr>
                <w:rFonts w:hint="eastAsia" w:ascii="宋体" w:hAnsi="宋体" w:eastAsia="宋体"/>
              </w:rPr>
              <w:t>-0.04%</w:t>
            </w:r>
          </w:p>
        </w:tc>
      </w:tr>
      <w:tr w14:paraId="11326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093C29">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3DA8C93C">
            <w:pPr>
              <w:jc w:val="center"/>
              <w:rPr>
                <w:rFonts w:ascii="宋体" w:hAnsi="宋体" w:eastAsia="宋体" w:cs="宋体"/>
                <w:sz w:val="24"/>
                <w:szCs w:val="24"/>
              </w:rPr>
            </w:pPr>
            <w:r>
              <w:rPr>
                <w:rFonts w:hint="eastAsia" w:ascii="宋体" w:hAnsi="宋体" w:eastAsia="宋体"/>
              </w:rPr>
              <w:t>5.43%</w:t>
            </w:r>
          </w:p>
        </w:tc>
        <w:tc>
          <w:tcPr>
            <w:tcW w:w="0" w:type="auto"/>
            <w:shd w:val="clear" w:color="auto" w:fill="auto"/>
          </w:tcPr>
          <w:p w14:paraId="770D939B">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76D1192D">
            <w:pPr>
              <w:jc w:val="center"/>
              <w:rPr>
                <w:rFonts w:ascii="宋体" w:hAnsi="宋体" w:eastAsia="宋体" w:cs="宋体"/>
                <w:sz w:val="24"/>
                <w:szCs w:val="24"/>
              </w:rPr>
            </w:pPr>
            <w:r>
              <w:rPr>
                <w:rFonts w:hint="eastAsia" w:ascii="宋体" w:hAnsi="宋体" w:eastAsia="宋体"/>
              </w:rPr>
              <w:t>7.53%</w:t>
            </w:r>
          </w:p>
        </w:tc>
        <w:tc>
          <w:tcPr>
            <w:tcW w:w="0" w:type="auto"/>
            <w:shd w:val="clear" w:color="auto" w:fill="auto"/>
          </w:tcPr>
          <w:p w14:paraId="2F344CF2">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51116E5D">
            <w:pPr>
              <w:jc w:val="center"/>
              <w:rPr>
                <w:rFonts w:ascii="宋体" w:hAnsi="宋体" w:eastAsia="宋体" w:cs="宋体"/>
                <w:sz w:val="24"/>
                <w:szCs w:val="24"/>
              </w:rPr>
            </w:pPr>
            <w:r>
              <w:rPr>
                <w:rFonts w:hint="eastAsia" w:ascii="宋体" w:hAnsi="宋体" w:eastAsia="宋体"/>
              </w:rPr>
              <w:t>-2.10%</w:t>
            </w:r>
          </w:p>
        </w:tc>
        <w:tc>
          <w:tcPr>
            <w:tcW w:w="0" w:type="auto"/>
            <w:shd w:val="clear" w:color="auto" w:fill="auto"/>
          </w:tcPr>
          <w:p w14:paraId="29ECAFF6">
            <w:pPr>
              <w:jc w:val="center"/>
              <w:rPr>
                <w:rFonts w:ascii="宋体" w:hAnsi="宋体" w:eastAsia="宋体" w:cs="宋体"/>
                <w:sz w:val="24"/>
                <w:szCs w:val="24"/>
              </w:rPr>
            </w:pPr>
            <w:r>
              <w:rPr>
                <w:rFonts w:hint="eastAsia" w:ascii="宋体" w:hAnsi="宋体" w:eastAsia="宋体"/>
              </w:rPr>
              <w:t>-0.02%</w:t>
            </w:r>
          </w:p>
        </w:tc>
      </w:tr>
      <w:tr w14:paraId="55221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416CFA">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0BDD0079">
            <w:pPr>
              <w:jc w:val="center"/>
              <w:rPr>
                <w:rFonts w:ascii="宋体" w:hAnsi="宋体" w:eastAsia="宋体" w:cs="宋体"/>
                <w:sz w:val="24"/>
                <w:szCs w:val="24"/>
              </w:rPr>
            </w:pPr>
            <w:r>
              <w:rPr>
                <w:rFonts w:hint="eastAsia" w:ascii="宋体" w:hAnsi="宋体" w:eastAsia="宋体"/>
              </w:rPr>
              <w:t>3.58%</w:t>
            </w:r>
          </w:p>
        </w:tc>
        <w:tc>
          <w:tcPr>
            <w:tcW w:w="0" w:type="auto"/>
            <w:shd w:val="clear" w:color="auto" w:fill="auto"/>
          </w:tcPr>
          <w:p w14:paraId="3F10517F">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65CA07C7">
            <w:pPr>
              <w:jc w:val="center"/>
              <w:rPr>
                <w:rFonts w:ascii="宋体" w:hAnsi="宋体" w:eastAsia="宋体" w:cs="宋体"/>
                <w:sz w:val="24"/>
                <w:szCs w:val="24"/>
              </w:rPr>
            </w:pPr>
            <w:r>
              <w:rPr>
                <w:rFonts w:hint="eastAsia" w:ascii="宋体" w:hAnsi="宋体" w:eastAsia="宋体"/>
              </w:rPr>
              <w:t>4.28%</w:t>
            </w:r>
          </w:p>
        </w:tc>
        <w:tc>
          <w:tcPr>
            <w:tcW w:w="0" w:type="auto"/>
            <w:shd w:val="clear" w:color="auto" w:fill="auto"/>
          </w:tcPr>
          <w:p w14:paraId="015122C1">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2403D6F5">
            <w:pPr>
              <w:jc w:val="center"/>
              <w:rPr>
                <w:rFonts w:ascii="宋体" w:hAnsi="宋体" w:eastAsia="宋体" w:cs="宋体"/>
                <w:sz w:val="24"/>
                <w:szCs w:val="24"/>
              </w:rPr>
            </w:pPr>
            <w:r>
              <w:rPr>
                <w:rFonts w:hint="eastAsia" w:ascii="宋体" w:hAnsi="宋体" w:eastAsia="宋体"/>
              </w:rPr>
              <w:t>-0.70%</w:t>
            </w:r>
          </w:p>
        </w:tc>
        <w:tc>
          <w:tcPr>
            <w:tcW w:w="0" w:type="auto"/>
            <w:shd w:val="clear" w:color="auto" w:fill="auto"/>
          </w:tcPr>
          <w:p w14:paraId="5BBE7FC9">
            <w:pPr>
              <w:jc w:val="center"/>
              <w:rPr>
                <w:rFonts w:ascii="宋体" w:hAnsi="宋体" w:eastAsia="宋体" w:cs="宋体"/>
                <w:sz w:val="24"/>
                <w:szCs w:val="24"/>
              </w:rPr>
            </w:pPr>
            <w:r>
              <w:rPr>
                <w:rFonts w:hint="eastAsia" w:ascii="宋体" w:hAnsi="宋体" w:eastAsia="宋体"/>
              </w:rPr>
              <w:t>-0.01%</w:t>
            </w:r>
          </w:p>
        </w:tc>
      </w:tr>
      <w:tr w14:paraId="275E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E90AC1">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59879559">
            <w:pPr>
              <w:jc w:val="center"/>
              <w:rPr>
                <w:rFonts w:ascii="宋体" w:hAnsi="宋体" w:eastAsia="宋体" w:cs="宋体"/>
                <w:sz w:val="24"/>
                <w:szCs w:val="24"/>
              </w:rPr>
            </w:pPr>
            <w:r>
              <w:rPr>
                <w:rFonts w:hint="eastAsia" w:ascii="宋体" w:hAnsi="宋体" w:eastAsia="宋体"/>
              </w:rPr>
              <w:t>2.86%</w:t>
            </w:r>
          </w:p>
        </w:tc>
        <w:tc>
          <w:tcPr>
            <w:tcW w:w="0" w:type="auto"/>
            <w:shd w:val="clear" w:color="auto" w:fill="auto"/>
          </w:tcPr>
          <w:p w14:paraId="4329F7BA">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1F67FBCB">
            <w:pPr>
              <w:jc w:val="center"/>
              <w:rPr>
                <w:rFonts w:ascii="宋体" w:hAnsi="宋体" w:eastAsia="宋体" w:cs="宋体"/>
                <w:sz w:val="24"/>
                <w:szCs w:val="24"/>
              </w:rPr>
            </w:pPr>
            <w:r>
              <w:rPr>
                <w:rFonts w:hint="eastAsia" w:ascii="宋体" w:hAnsi="宋体" w:eastAsia="宋体"/>
              </w:rPr>
              <w:t>2.83%</w:t>
            </w:r>
          </w:p>
        </w:tc>
        <w:tc>
          <w:tcPr>
            <w:tcW w:w="0" w:type="auto"/>
            <w:shd w:val="clear" w:color="auto" w:fill="auto"/>
          </w:tcPr>
          <w:p w14:paraId="7F928EE8">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40160E20">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17305E48">
            <w:pPr>
              <w:jc w:val="center"/>
              <w:rPr>
                <w:rFonts w:ascii="宋体" w:hAnsi="宋体" w:eastAsia="宋体" w:cs="宋体"/>
                <w:sz w:val="24"/>
                <w:szCs w:val="24"/>
              </w:rPr>
            </w:pPr>
            <w:r>
              <w:rPr>
                <w:rFonts w:hint="eastAsia" w:ascii="宋体" w:hAnsi="宋体" w:eastAsia="宋体"/>
              </w:rPr>
              <w:t>0.01%</w:t>
            </w:r>
          </w:p>
        </w:tc>
      </w:tr>
      <w:tr w14:paraId="1A1B9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D400F5">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4BA49F41">
            <w:pPr>
              <w:jc w:val="center"/>
              <w:rPr>
                <w:rFonts w:ascii="宋体" w:hAnsi="宋体" w:eastAsia="宋体" w:cs="宋体"/>
                <w:sz w:val="24"/>
                <w:szCs w:val="24"/>
              </w:rPr>
            </w:pPr>
            <w:r>
              <w:rPr>
                <w:rFonts w:hint="eastAsia" w:ascii="宋体" w:hAnsi="宋体" w:eastAsia="宋体"/>
              </w:rPr>
              <w:t>3.00%</w:t>
            </w:r>
          </w:p>
        </w:tc>
        <w:tc>
          <w:tcPr>
            <w:tcW w:w="0" w:type="auto"/>
            <w:shd w:val="clear" w:color="auto" w:fill="auto"/>
          </w:tcPr>
          <w:p w14:paraId="36EDD63D">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639D465F">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14:paraId="586DA354">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17C627A6">
            <w:pPr>
              <w:jc w:val="center"/>
              <w:rPr>
                <w:rFonts w:ascii="宋体" w:hAnsi="宋体" w:eastAsia="宋体" w:cs="宋体"/>
                <w:sz w:val="24"/>
                <w:szCs w:val="24"/>
              </w:rPr>
            </w:pPr>
            <w:r>
              <w:rPr>
                <w:rFonts w:hint="eastAsia" w:ascii="宋体" w:hAnsi="宋体" w:eastAsia="宋体"/>
              </w:rPr>
              <w:t>-1.73%</w:t>
            </w:r>
          </w:p>
        </w:tc>
        <w:tc>
          <w:tcPr>
            <w:tcW w:w="0" w:type="auto"/>
            <w:shd w:val="clear" w:color="auto" w:fill="auto"/>
          </w:tcPr>
          <w:p w14:paraId="2C90A633">
            <w:pPr>
              <w:jc w:val="center"/>
              <w:rPr>
                <w:rFonts w:ascii="宋体" w:hAnsi="宋体" w:eastAsia="宋体" w:cs="宋体"/>
                <w:sz w:val="24"/>
                <w:szCs w:val="24"/>
              </w:rPr>
            </w:pPr>
            <w:r>
              <w:rPr>
                <w:rFonts w:hint="eastAsia" w:ascii="宋体" w:hAnsi="宋体" w:eastAsia="宋体"/>
              </w:rPr>
              <w:t>0.00%</w:t>
            </w:r>
          </w:p>
        </w:tc>
      </w:tr>
      <w:tr w14:paraId="78260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2CC76E">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66A33D0B">
            <w:pPr>
              <w:jc w:val="center"/>
              <w:rPr>
                <w:rFonts w:ascii="宋体" w:hAnsi="宋体" w:eastAsia="宋体" w:cs="宋体"/>
                <w:sz w:val="24"/>
                <w:szCs w:val="24"/>
              </w:rPr>
            </w:pPr>
            <w:r>
              <w:rPr>
                <w:rFonts w:hint="eastAsia" w:ascii="宋体" w:hAnsi="宋体" w:eastAsia="宋体"/>
              </w:rPr>
              <w:t>1.42%</w:t>
            </w:r>
          </w:p>
        </w:tc>
        <w:tc>
          <w:tcPr>
            <w:tcW w:w="0" w:type="auto"/>
            <w:shd w:val="clear" w:color="auto" w:fill="auto"/>
          </w:tcPr>
          <w:p w14:paraId="7D0953D3">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269984DA">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14:paraId="5E3E2B48">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633C9978">
            <w:pPr>
              <w:jc w:val="center"/>
              <w:rPr>
                <w:rFonts w:ascii="宋体" w:hAnsi="宋体" w:eastAsia="宋体" w:cs="宋体"/>
                <w:sz w:val="24"/>
                <w:szCs w:val="24"/>
              </w:rPr>
            </w:pPr>
            <w:r>
              <w:rPr>
                <w:rFonts w:hint="eastAsia" w:ascii="宋体" w:hAnsi="宋体" w:eastAsia="宋体"/>
              </w:rPr>
              <w:t>-1.70%</w:t>
            </w:r>
          </w:p>
        </w:tc>
        <w:tc>
          <w:tcPr>
            <w:tcW w:w="0" w:type="auto"/>
            <w:shd w:val="clear" w:color="auto" w:fill="auto"/>
          </w:tcPr>
          <w:p w14:paraId="522B67E3">
            <w:pPr>
              <w:jc w:val="center"/>
              <w:rPr>
                <w:rFonts w:ascii="宋体" w:hAnsi="宋体" w:eastAsia="宋体" w:cs="宋体"/>
                <w:sz w:val="24"/>
                <w:szCs w:val="24"/>
              </w:rPr>
            </w:pPr>
            <w:r>
              <w:rPr>
                <w:rFonts w:hint="eastAsia" w:ascii="宋体" w:hAnsi="宋体" w:eastAsia="宋体"/>
              </w:rPr>
              <w:t>0.03%</w:t>
            </w:r>
          </w:p>
        </w:tc>
      </w:tr>
      <w:tr w14:paraId="07D33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0F61C6">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3B7DDF1A">
            <w:pPr>
              <w:jc w:val="center"/>
              <w:rPr>
                <w:rFonts w:ascii="宋体" w:hAnsi="宋体" w:eastAsia="宋体" w:cs="宋体"/>
                <w:sz w:val="24"/>
                <w:szCs w:val="24"/>
              </w:rPr>
            </w:pPr>
            <w:r>
              <w:rPr>
                <w:rFonts w:hint="eastAsia" w:ascii="宋体" w:hAnsi="宋体" w:eastAsia="宋体"/>
              </w:rPr>
              <w:t>2.94%</w:t>
            </w:r>
          </w:p>
        </w:tc>
        <w:tc>
          <w:tcPr>
            <w:tcW w:w="0" w:type="auto"/>
            <w:shd w:val="clear" w:color="auto" w:fill="auto"/>
          </w:tcPr>
          <w:p w14:paraId="5A37F83F">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4E40A0C4">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14:paraId="35C03A8D">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2C71B9D9">
            <w:pPr>
              <w:jc w:val="center"/>
              <w:rPr>
                <w:rFonts w:ascii="宋体" w:hAnsi="宋体" w:eastAsia="宋体" w:cs="宋体"/>
                <w:sz w:val="24"/>
                <w:szCs w:val="24"/>
              </w:rPr>
            </w:pPr>
            <w:r>
              <w:rPr>
                <w:rFonts w:hint="eastAsia" w:ascii="宋体" w:hAnsi="宋体" w:eastAsia="宋体"/>
              </w:rPr>
              <w:t>-1.51%</w:t>
            </w:r>
          </w:p>
        </w:tc>
        <w:tc>
          <w:tcPr>
            <w:tcW w:w="0" w:type="auto"/>
            <w:shd w:val="clear" w:color="auto" w:fill="auto"/>
          </w:tcPr>
          <w:p w14:paraId="7C463EA8">
            <w:pPr>
              <w:jc w:val="center"/>
              <w:rPr>
                <w:rFonts w:ascii="宋体" w:hAnsi="宋体" w:eastAsia="宋体" w:cs="宋体"/>
                <w:sz w:val="24"/>
                <w:szCs w:val="24"/>
              </w:rPr>
            </w:pPr>
            <w:r>
              <w:rPr>
                <w:rFonts w:hint="eastAsia" w:ascii="宋体" w:hAnsi="宋体" w:eastAsia="宋体"/>
              </w:rPr>
              <w:t>0.00%</w:t>
            </w:r>
          </w:p>
        </w:tc>
      </w:tr>
      <w:tr w14:paraId="061A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A545E0">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68FF9473">
            <w:pPr>
              <w:jc w:val="center"/>
              <w:rPr>
                <w:rFonts w:ascii="宋体" w:hAnsi="宋体" w:eastAsia="宋体" w:cs="宋体"/>
                <w:sz w:val="24"/>
                <w:szCs w:val="24"/>
              </w:rPr>
            </w:pPr>
            <w:r>
              <w:rPr>
                <w:rFonts w:hint="eastAsia" w:ascii="宋体" w:hAnsi="宋体" w:eastAsia="宋体"/>
              </w:rPr>
              <w:t>4.19%</w:t>
            </w:r>
          </w:p>
        </w:tc>
        <w:tc>
          <w:tcPr>
            <w:tcW w:w="0" w:type="auto"/>
            <w:shd w:val="clear" w:color="auto" w:fill="auto"/>
          </w:tcPr>
          <w:p w14:paraId="45E370B4">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6961BFB8">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14:paraId="28B8DF83">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268F0EAD">
            <w:pPr>
              <w:jc w:val="center"/>
              <w:rPr>
                <w:rFonts w:ascii="宋体" w:hAnsi="宋体" w:eastAsia="宋体" w:cs="宋体"/>
                <w:sz w:val="24"/>
                <w:szCs w:val="24"/>
              </w:rPr>
            </w:pPr>
            <w:r>
              <w:rPr>
                <w:rFonts w:hint="eastAsia" w:ascii="宋体" w:hAnsi="宋体" w:eastAsia="宋体"/>
              </w:rPr>
              <w:t>-2.80%</w:t>
            </w:r>
          </w:p>
        </w:tc>
        <w:tc>
          <w:tcPr>
            <w:tcW w:w="0" w:type="auto"/>
            <w:shd w:val="clear" w:color="auto" w:fill="auto"/>
          </w:tcPr>
          <w:p w14:paraId="0C2824B3">
            <w:pPr>
              <w:jc w:val="center"/>
              <w:rPr>
                <w:rFonts w:ascii="宋体" w:hAnsi="宋体" w:eastAsia="宋体" w:cs="宋体"/>
                <w:sz w:val="24"/>
                <w:szCs w:val="24"/>
              </w:rPr>
            </w:pPr>
            <w:r>
              <w:rPr>
                <w:rFonts w:hint="eastAsia" w:ascii="宋体" w:hAnsi="宋体" w:eastAsia="宋体"/>
              </w:rPr>
              <w:t>-0.02%</w:t>
            </w:r>
          </w:p>
        </w:tc>
      </w:tr>
      <w:tr w14:paraId="4406F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8070EE">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49CF3417">
            <w:pPr>
              <w:jc w:val="center"/>
              <w:rPr>
                <w:rFonts w:ascii="宋体" w:hAnsi="宋体" w:eastAsia="宋体" w:cs="宋体"/>
                <w:sz w:val="24"/>
                <w:szCs w:val="24"/>
              </w:rPr>
            </w:pPr>
            <w:r>
              <w:rPr>
                <w:rFonts w:hint="eastAsia" w:ascii="宋体" w:hAnsi="宋体" w:eastAsia="宋体"/>
              </w:rPr>
              <w:t>0.86%</w:t>
            </w:r>
          </w:p>
        </w:tc>
        <w:tc>
          <w:tcPr>
            <w:tcW w:w="0" w:type="auto"/>
            <w:shd w:val="clear" w:color="auto" w:fill="auto"/>
          </w:tcPr>
          <w:p w14:paraId="518F0E82">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3407A438">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14:paraId="35404531">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4B6F1E5A">
            <w:pPr>
              <w:jc w:val="center"/>
              <w:rPr>
                <w:rFonts w:ascii="宋体" w:hAnsi="宋体" w:eastAsia="宋体" w:cs="宋体"/>
                <w:sz w:val="24"/>
                <w:szCs w:val="24"/>
              </w:rPr>
            </w:pPr>
            <w:r>
              <w:rPr>
                <w:rFonts w:hint="eastAsia" w:ascii="宋体" w:hAnsi="宋体" w:eastAsia="宋体"/>
              </w:rPr>
              <w:t>0.13%</w:t>
            </w:r>
          </w:p>
        </w:tc>
        <w:tc>
          <w:tcPr>
            <w:tcW w:w="0" w:type="auto"/>
            <w:shd w:val="clear" w:color="auto" w:fill="auto"/>
          </w:tcPr>
          <w:p w14:paraId="1AEC7DC0">
            <w:pPr>
              <w:jc w:val="center"/>
              <w:rPr>
                <w:rFonts w:ascii="宋体" w:hAnsi="宋体" w:eastAsia="宋体" w:cs="宋体"/>
                <w:sz w:val="24"/>
                <w:szCs w:val="24"/>
              </w:rPr>
            </w:pPr>
            <w:r>
              <w:rPr>
                <w:rFonts w:hint="eastAsia" w:ascii="宋体" w:hAnsi="宋体" w:eastAsia="宋体"/>
              </w:rPr>
              <w:t>-0.04%</w:t>
            </w:r>
          </w:p>
        </w:tc>
      </w:tr>
      <w:tr w14:paraId="08FE5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B55EAF">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7DF6F737">
            <w:pPr>
              <w:jc w:val="center"/>
              <w:rPr>
                <w:rFonts w:ascii="宋体" w:hAnsi="宋体" w:eastAsia="宋体" w:cs="宋体"/>
                <w:sz w:val="24"/>
                <w:szCs w:val="24"/>
              </w:rPr>
            </w:pPr>
            <w:r>
              <w:rPr>
                <w:rFonts w:hint="eastAsia" w:ascii="宋体" w:hAnsi="宋体" w:eastAsia="宋体"/>
              </w:rPr>
              <w:t>1.27%</w:t>
            </w:r>
          </w:p>
        </w:tc>
        <w:tc>
          <w:tcPr>
            <w:tcW w:w="0" w:type="auto"/>
            <w:shd w:val="clear" w:color="auto" w:fill="auto"/>
          </w:tcPr>
          <w:p w14:paraId="0B8F88A4">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406334F9">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02ED249C">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712EC0A9">
            <w:pPr>
              <w:jc w:val="center"/>
              <w:rPr>
                <w:rFonts w:ascii="宋体" w:hAnsi="宋体" w:eastAsia="宋体" w:cs="宋体"/>
                <w:sz w:val="24"/>
                <w:szCs w:val="24"/>
              </w:rPr>
            </w:pPr>
            <w:r>
              <w:rPr>
                <w:rFonts w:hint="eastAsia" w:ascii="宋体" w:hAnsi="宋体" w:eastAsia="宋体"/>
              </w:rPr>
              <w:t>-0.63%</w:t>
            </w:r>
          </w:p>
        </w:tc>
        <w:tc>
          <w:tcPr>
            <w:tcW w:w="0" w:type="auto"/>
            <w:shd w:val="clear" w:color="auto" w:fill="auto"/>
          </w:tcPr>
          <w:p w14:paraId="49A7E6A8">
            <w:pPr>
              <w:jc w:val="center"/>
              <w:rPr>
                <w:rFonts w:ascii="宋体" w:hAnsi="宋体" w:eastAsia="宋体" w:cs="宋体"/>
                <w:sz w:val="24"/>
                <w:szCs w:val="24"/>
              </w:rPr>
            </w:pPr>
            <w:r>
              <w:rPr>
                <w:rFonts w:hint="eastAsia" w:ascii="宋体" w:hAnsi="宋体" w:eastAsia="宋体"/>
              </w:rPr>
              <w:t>-0.01%</w:t>
            </w:r>
          </w:p>
        </w:tc>
      </w:tr>
      <w:tr w14:paraId="5B28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DD19E2">
            <w:pPr>
              <w:jc w:val="center"/>
              <w:rPr>
                <w:rFonts w:ascii="宋体" w:hAnsi="宋体" w:eastAsia="宋体" w:cs="宋体"/>
                <w:sz w:val="24"/>
                <w:szCs w:val="24"/>
              </w:rPr>
            </w:pPr>
            <w:r>
              <w:rPr>
                <w:rFonts w:hint="eastAsia" w:ascii="宋体" w:hAnsi="宋体" w:eastAsia="宋体"/>
              </w:rPr>
              <w:t>2016.11.30-2026.06.30</w:t>
            </w:r>
          </w:p>
        </w:tc>
        <w:tc>
          <w:tcPr>
            <w:tcW w:w="0" w:type="auto"/>
            <w:shd w:val="clear" w:color="auto" w:fill="auto"/>
          </w:tcPr>
          <w:p w14:paraId="1FB9B13C">
            <w:pPr>
              <w:jc w:val="center"/>
              <w:rPr>
                <w:rFonts w:ascii="宋体" w:hAnsi="宋体" w:eastAsia="宋体" w:cs="宋体"/>
                <w:sz w:val="24"/>
                <w:szCs w:val="24"/>
              </w:rPr>
            </w:pPr>
            <w:r>
              <w:rPr>
                <w:rFonts w:hint="eastAsia" w:ascii="宋体" w:hAnsi="宋体" w:eastAsia="宋体"/>
              </w:rPr>
              <w:t>32.31%</w:t>
            </w:r>
          </w:p>
        </w:tc>
        <w:tc>
          <w:tcPr>
            <w:tcW w:w="0" w:type="auto"/>
            <w:shd w:val="clear" w:color="auto" w:fill="auto"/>
          </w:tcPr>
          <w:p w14:paraId="08E16DF1">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424ECC6E">
            <w:pPr>
              <w:jc w:val="center"/>
              <w:rPr>
                <w:rFonts w:ascii="宋体" w:hAnsi="宋体" w:eastAsia="宋体" w:cs="宋体"/>
                <w:sz w:val="24"/>
                <w:szCs w:val="24"/>
              </w:rPr>
            </w:pPr>
            <w:r>
              <w:rPr>
                <w:rFonts w:hint="eastAsia" w:ascii="宋体" w:hAnsi="宋体" w:eastAsia="宋体"/>
              </w:rPr>
              <w:t>41.74%</w:t>
            </w:r>
          </w:p>
        </w:tc>
        <w:tc>
          <w:tcPr>
            <w:tcW w:w="0" w:type="auto"/>
            <w:shd w:val="clear" w:color="auto" w:fill="auto"/>
          </w:tcPr>
          <w:p w14:paraId="1AF762F4">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3FC5887A">
            <w:pPr>
              <w:jc w:val="center"/>
              <w:rPr>
                <w:rFonts w:ascii="宋体" w:hAnsi="宋体" w:eastAsia="宋体" w:cs="宋体"/>
                <w:sz w:val="24"/>
                <w:szCs w:val="24"/>
              </w:rPr>
            </w:pPr>
            <w:r>
              <w:rPr>
                <w:rFonts w:hint="eastAsia" w:ascii="宋体" w:hAnsi="宋体" w:eastAsia="宋体"/>
              </w:rPr>
              <w:t>-9.43%</w:t>
            </w:r>
          </w:p>
        </w:tc>
        <w:tc>
          <w:tcPr>
            <w:tcW w:w="0" w:type="auto"/>
            <w:shd w:val="clear" w:color="auto" w:fill="auto"/>
          </w:tcPr>
          <w:p w14:paraId="50E8950A">
            <w:pPr>
              <w:jc w:val="center"/>
              <w:rPr>
                <w:rFonts w:ascii="宋体" w:hAnsi="宋体" w:eastAsia="宋体" w:cs="宋体"/>
                <w:sz w:val="24"/>
                <w:szCs w:val="24"/>
              </w:rPr>
            </w:pPr>
            <w:r>
              <w:rPr>
                <w:rFonts w:hint="eastAsia" w:ascii="宋体" w:hAnsi="宋体" w:eastAsia="宋体"/>
              </w:rPr>
              <w:t>-0.01%</w:t>
            </w:r>
          </w:p>
        </w:tc>
      </w:tr>
    </w:tbl>
    <w:p w14:paraId="7F72BF9C">
      <w:pPr>
        <w:pStyle w:val="8"/>
        <w:spacing w:before="0" w:beforeAutospacing="0" w:after="0" w:afterAutospacing="0" w:line="360" w:lineRule="auto"/>
        <w:ind w:firstLine="420"/>
        <w:rPr>
          <w:sz w:val="21"/>
          <w:szCs w:val="21"/>
        </w:rPr>
      </w:pPr>
      <w:bookmarkStart w:id="147" w:name="chapter_level1_12_3500_section_1_end"/>
      <w:bookmarkEnd w:id="147"/>
      <w:bookmarkStart w:id="148" w:name="field_0_indatatable_1_end"/>
      <w:bookmarkEnd w:id="148"/>
      <w:r>
        <w:rPr>
          <w:rFonts w:hint="eastAsia"/>
          <w:sz w:val="21"/>
          <w:szCs w:val="21"/>
        </w:rPr>
        <w:t xml:space="preserve">  </w:t>
      </w:r>
    </w:p>
    <w:p w14:paraId="11DFDD7A">
      <w:pPr>
        <w:widowControl/>
        <w:jc w:val="left"/>
        <w:rPr>
          <w:rFonts w:ascii="宋体" w:hAnsi="宋体" w:eastAsia="宋体"/>
        </w:rPr>
      </w:pPr>
      <w:r>
        <w:rPr>
          <w:rFonts w:ascii="宋体" w:hAnsi="宋体" w:eastAsia="宋体"/>
        </w:rPr>
        <w:br w:type="page"/>
      </w:r>
    </w:p>
    <w:p w14:paraId="018D7306">
      <w:pPr>
        <w:pStyle w:val="2"/>
        <w:jc w:val="center"/>
        <w:rPr>
          <w:rFonts w:ascii="宋体" w:hAnsi="宋体" w:eastAsia="宋体"/>
          <w:sz w:val="30"/>
        </w:rPr>
      </w:pPr>
      <w:bookmarkStart w:id="149" w:name="chapter_level1_13_62"/>
      <w:bookmarkStart w:id="150" w:name="_Toc239192436"/>
      <w:r>
        <w:rPr>
          <w:rFonts w:hint="eastAsia" w:ascii="宋体" w:hAnsi="宋体" w:eastAsia="宋体"/>
          <w:sz w:val="30"/>
        </w:rPr>
        <w:t>第十部分  基金的财产</w:t>
      </w:r>
      <w:bookmarkEnd w:id="149"/>
      <w:bookmarkEnd w:id="150"/>
    </w:p>
    <w:p w14:paraId="51986EB9">
      <w:pPr>
        <w:pStyle w:val="8"/>
        <w:spacing w:before="0" w:beforeAutospacing="0" w:after="0" w:afterAutospacing="0" w:line="360" w:lineRule="auto"/>
        <w:ind w:firstLine="420"/>
        <w:rPr>
          <w:sz w:val="21"/>
          <w:szCs w:val="21"/>
        </w:rPr>
      </w:pPr>
      <w:bookmarkStart w:id="151" w:name="chapter_level1_13_62_section_1"/>
      <w:bookmarkEnd w:id="151"/>
      <w:r>
        <w:rPr>
          <w:rStyle w:val="12"/>
          <w:rFonts w:hint="eastAsia"/>
          <w:sz w:val="21"/>
          <w:szCs w:val="21"/>
        </w:rPr>
        <w:t>一、基金资产总值</w:t>
      </w:r>
    </w:p>
    <w:p w14:paraId="750A3D25">
      <w:pPr>
        <w:pStyle w:val="8"/>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14:paraId="5CCCB1AF">
      <w:pPr>
        <w:pStyle w:val="8"/>
        <w:spacing w:before="0" w:beforeAutospacing="0" w:after="0" w:afterAutospacing="0" w:line="360" w:lineRule="auto"/>
        <w:ind w:firstLine="420"/>
        <w:rPr>
          <w:sz w:val="21"/>
          <w:szCs w:val="21"/>
        </w:rPr>
      </w:pPr>
      <w:r>
        <w:rPr>
          <w:rStyle w:val="12"/>
          <w:rFonts w:hint="eastAsia"/>
          <w:sz w:val="21"/>
          <w:szCs w:val="21"/>
        </w:rPr>
        <w:t>二、基金资产净值</w:t>
      </w:r>
    </w:p>
    <w:p w14:paraId="0F5A45C5">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035079D3">
      <w:pPr>
        <w:pStyle w:val="8"/>
        <w:spacing w:before="0" w:beforeAutospacing="0" w:after="0" w:afterAutospacing="0" w:line="360" w:lineRule="auto"/>
        <w:ind w:firstLine="420"/>
        <w:rPr>
          <w:sz w:val="21"/>
          <w:szCs w:val="21"/>
        </w:rPr>
      </w:pPr>
      <w:r>
        <w:rPr>
          <w:rStyle w:val="12"/>
          <w:rFonts w:hint="eastAsia"/>
          <w:sz w:val="21"/>
          <w:szCs w:val="21"/>
        </w:rPr>
        <w:t>三、基金财产的账户</w:t>
      </w:r>
    </w:p>
    <w:p w14:paraId="45BE2CC4">
      <w:pPr>
        <w:pStyle w:val="8"/>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664E0E03">
      <w:pPr>
        <w:pStyle w:val="8"/>
        <w:spacing w:before="0" w:beforeAutospacing="0" w:after="0" w:afterAutospacing="0" w:line="360" w:lineRule="auto"/>
        <w:ind w:firstLine="420"/>
        <w:rPr>
          <w:sz w:val="21"/>
          <w:szCs w:val="21"/>
        </w:rPr>
      </w:pPr>
      <w:r>
        <w:rPr>
          <w:rStyle w:val="12"/>
          <w:rFonts w:hint="eastAsia"/>
          <w:sz w:val="21"/>
          <w:szCs w:val="21"/>
        </w:rPr>
        <w:t>四、基金财产的保管和处分</w:t>
      </w:r>
    </w:p>
    <w:p w14:paraId="67AA8190">
      <w:pPr>
        <w:pStyle w:val="8"/>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7871F695">
      <w:pPr>
        <w:pStyle w:val="8"/>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2" w:name="chapter_level1_13_62_section_1_end"/>
      <w:bookmarkEnd w:id="152"/>
      <w:r>
        <w:rPr>
          <w:rFonts w:hint="eastAsia"/>
          <w:sz w:val="21"/>
          <w:szCs w:val="21"/>
        </w:rPr>
        <w:t xml:space="preserve">得相互抵销。 </w:t>
      </w:r>
    </w:p>
    <w:p w14:paraId="10A1C02D">
      <w:pPr>
        <w:widowControl/>
        <w:jc w:val="left"/>
        <w:rPr>
          <w:rFonts w:ascii="宋体" w:hAnsi="宋体" w:eastAsia="宋体"/>
        </w:rPr>
      </w:pPr>
      <w:r>
        <w:rPr>
          <w:rFonts w:ascii="宋体" w:hAnsi="宋体" w:eastAsia="宋体"/>
        </w:rPr>
        <w:br w:type="page"/>
      </w:r>
    </w:p>
    <w:p w14:paraId="67619E7E">
      <w:pPr>
        <w:pStyle w:val="2"/>
        <w:jc w:val="center"/>
        <w:rPr>
          <w:rFonts w:ascii="宋体" w:hAnsi="宋体" w:eastAsia="宋体"/>
          <w:sz w:val="30"/>
        </w:rPr>
      </w:pPr>
      <w:bookmarkStart w:id="153" w:name="_Toc239192437"/>
      <w:bookmarkStart w:id="154" w:name="chapter_level1_14_63"/>
      <w:r>
        <w:rPr>
          <w:rFonts w:hint="eastAsia" w:ascii="宋体" w:hAnsi="宋体" w:eastAsia="宋体"/>
          <w:sz w:val="30"/>
        </w:rPr>
        <w:t>第十一部分  基金资产的估值</w:t>
      </w:r>
      <w:bookmarkEnd w:id="153"/>
      <w:bookmarkEnd w:id="154"/>
    </w:p>
    <w:p w14:paraId="6EF84960">
      <w:pPr>
        <w:pStyle w:val="8"/>
        <w:spacing w:before="0" w:beforeAutospacing="0" w:after="0" w:afterAutospacing="0" w:line="360" w:lineRule="auto"/>
        <w:ind w:firstLine="420"/>
        <w:rPr>
          <w:sz w:val="21"/>
          <w:szCs w:val="21"/>
        </w:rPr>
      </w:pPr>
      <w:bookmarkStart w:id="155" w:name="chapter_level1_14_63_section_1"/>
      <w:bookmarkEnd w:id="155"/>
      <w:r>
        <w:rPr>
          <w:rStyle w:val="12"/>
          <w:rFonts w:hint="eastAsia"/>
          <w:sz w:val="21"/>
          <w:szCs w:val="21"/>
        </w:rPr>
        <w:t>一、估值日</w:t>
      </w:r>
    </w:p>
    <w:p w14:paraId="319A5B93">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39E54484">
      <w:pPr>
        <w:pStyle w:val="8"/>
        <w:spacing w:before="0" w:beforeAutospacing="0" w:after="0" w:afterAutospacing="0" w:line="360" w:lineRule="auto"/>
        <w:ind w:firstLine="420"/>
        <w:rPr>
          <w:sz w:val="21"/>
          <w:szCs w:val="21"/>
        </w:rPr>
      </w:pPr>
      <w:r>
        <w:rPr>
          <w:rStyle w:val="12"/>
          <w:rFonts w:hint="eastAsia"/>
          <w:sz w:val="21"/>
          <w:szCs w:val="21"/>
        </w:rPr>
        <w:t>二、估值对象</w:t>
      </w:r>
    </w:p>
    <w:p w14:paraId="0953B4E2">
      <w:pPr>
        <w:pStyle w:val="8"/>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14:paraId="71262FBF">
      <w:pPr>
        <w:pStyle w:val="8"/>
        <w:spacing w:before="0" w:beforeAutospacing="0" w:after="0" w:afterAutospacing="0" w:line="360" w:lineRule="auto"/>
        <w:ind w:firstLine="420"/>
        <w:rPr>
          <w:sz w:val="21"/>
          <w:szCs w:val="21"/>
        </w:rPr>
      </w:pPr>
      <w:r>
        <w:rPr>
          <w:rStyle w:val="12"/>
          <w:rFonts w:hint="eastAsia"/>
          <w:sz w:val="21"/>
          <w:szCs w:val="21"/>
        </w:rPr>
        <w:t>三、估值方法</w:t>
      </w:r>
    </w:p>
    <w:p w14:paraId="2D2165B2">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00DE59D1">
      <w:pPr>
        <w:pStyle w:val="8"/>
        <w:spacing w:before="0" w:beforeAutospacing="0" w:after="0" w:afterAutospacing="0" w:line="360" w:lineRule="auto"/>
        <w:ind w:firstLine="420"/>
        <w:rPr>
          <w:sz w:val="21"/>
          <w:szCs w:val="21"/>
        </w:rPr>
      </w:pPr>
      <w:r>
        <w:rPr>
          <w:rFonts w:hint="eastAsia"/>
          <w:sz w:val="21"/>
          <w:szCs w:val="21"/>
        </w:rPr>
        <w:t xml:space="preserve">（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253F6AC3">
      <w:pPr>
        <w:pStyle w:val="8"/>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（2）交易所上市交易或挂牌转让的固定收益品种（基金合同另有规定的除外），选取估值日第三方估值机构提供的相应品种对应的估值净价估值，具体估值机构由基金管理人与托管人另行协商约定； </w:t>
      </w:r>
    </w:p>
    <w:p w14:paraId="0D891AD7">
      <w:pPr>
        <w:pStyle w:val="8"/>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14:paraId="0C602602">
      <w:pPr>
        <w:pStyle w:val="8"/>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7DCDD34D">
      <w:pPr>
        <w:pStyle w:val="8"/>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68F0EE96">
      <w:pPr>
        <w:pStyle w:val="8"/>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5EC4523C">
      <w:pPr>
        <w:pStyle w:val="8"/>
        <w:spacing w:before="0" w:beforeAutospacing="0" w:after="0" w:afterAutospacing="0" w:line="360" w:lineRule="auto"/>
        <w:ind w:firstLine="420"/>
        <w:rPr>
          <w:sz w:val="21"/>
          <w:szCs w:val="21"/>
        </w:rPr>
      </w:pPr>
      <w:r>
        <w:rPr>
          <w:rFonts w:hint="eastAsia"/>
          <w:sz w:val="21"/>
          <w:szCs w:val="21"/>
        </w:rPr>
        <w:t xml:space="preserve">5、如有确凿证据表明按上述方法进行估值不能客观反映其公允价值的，基金管理人可根据具体情况与基金托管人商定后，按最能反映公允价值的价格估值。 </w:t>
      </w:r>
    </w:p>
    <w:p w14:paraId="2B5088F2">
      <w:pPr>
        <w:pStyle w:val="8"/>
        <w:spacing w:before="0" w:beforeAutospacing="0" w:after="0" w:afterAutospacing="0" w:line="360" w:lineRule="auto"/>
        <w:ind w:firstLine="420"/>
        <w:rPr>
          <w:sz w:val="21"/>
          <w:szCs w:val="21"/>
        </w:rPr>
      </w:pPr>
      <w:r>
        <w:rPr>
          <w:rFonts w:hint="eastAsia"/>
          <w:sz w:val="21"/>
          <w:szCs w:val="21"/>
        </w:rPr>
        <w:t xml:space="preserve">6、相关法律法规以及监管部门有强制规定的，从其规定。如有新增事项，按国家最新规定估值。 </w:t>
      </w:r>
    </w:p>
    <w:p w14:paraId="2B92C213">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24A20C00">
      <w:pPr>
        <w:pStyle w:val="8"/>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56" w:name="chapter_level1_14_63_section_1_end"/>
      <w:bookmarkEnd w:id="156"/>
      <w:r>
        <w:rPr>
          <w:rFonts w:hint="eastAsia"/>
          <w:sz w:val="21"/>
          <w:szCs w:val="21"/>
        </w:rPr>
        <w:t xml:space="preserve">予以公布。 </w:t>
      </w:r>
    </w:p>
    <w:p w14:paraId="53F0AFDE">
      <w:pPr>
        <w:pStyle w:val="8"/>
        <w:spacing w:before="0" w:beforeAutospacing="0" w:after="0" w:afterAutospacing="0" w:line="360" w:lineRule="auto"/>
        <w:ind w:firstLine="420"/>
        <w:rPr>
          <w:sz w:val="21"/>
          <w:szCs w:val="21"/>
        </w:rPr>
      </w:pPr>
      <w:bookmarkStart w:id="157" w:name="chapter_level1_14_63_section_2"/>
      <w:bookmarkEnd w:id="157"/>
      <w:r>
        <w:rPr>
          <w:rFonts w:hint="eastAsia"/>
          <w:sz w:val="21"/>
          <w:szCs w:val="21"/>
        </w:rPr>
        <w:t xml:space="preserve">四、估值程序 </w:t>
      </w:r>
    </w:p>
    <w:p w14:paraId="292B269C">
      <w:pPr>
        <w:pStyle w:val="8"/>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1、基金份额净值是按照每个工作日闭市后，基金资产净值除以当日该类基金份额的余额数量计算，精确到</w:t>
      </w:r>
      <w:bookmarkStart w:id="158" w:name="field_63_netdecimalvalue_1"/>
      <w:r>
        <w:rPr>
          <w:sz w:val="21"/>
          <w:szCs w:val="21"/>
        </w:rPr>
        <w:t>0.0001</w:t>
      </w:r>
      <w:bookmarkEnd w:id="158"/>
      <w:r>
        <w:rPr>
          <w:rFonts w:hint="eastAsia"/>
          <w:sz w:val="21"/>
          <w:szCs w:val="21"/>
        </w:rPr>
        <w:t>元，小数点后第</w:t>
      </w:r>
      <w:bookmarkStart w:id="159" w:name="field_0_netdecimaladd1_1"/>
      <w:r>
        <w:rPr>
          <w:sz w:val="21"/>
          <w:szCs w:val="21"/>
        </w:rPr>
        <w:t>5</w:t>
      </w:r>
      <w:bookmarkEnd w:id="159"/>
      <w:r>
        <w:rPr>
          <w:rFonts w:hint="eastAsia"/>
          <w:sz w:val="21"/>
          <w:szCs w:val="21"/>
        </w:rPr>
        <w:t xml:space="preserve">位四舍五入。特殊情况下，基金管理人可与基金托管人、登记机构协商增加各类基金份额净值计算位数，以维护基金投资人利益。国家另有规定的，从其规定。 </w:t>
      </w:r>
    </w:p>
    <w:p w14:paraId="7F5DB810">
      <w:pPr>
        <w:pStyle w:val="8"/>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基金管理人应每个工作日计算基金资产净值及各类基金份额净值，并按规定进行公告。 </w:t>
      </w:r>
    </w:p>
    <w:p w14:paraId="53A4A81A">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38561E55">
      <w:pPr>
        <w:pStyle w:val="8"/>
        <w:spacing w:before="0" w:beforeAutospacing="0" w:after="0" w:afterAutospacing="0" w:line="360" w:lineRule="auto"/>
        <w:ind w:firstLine="420"/>
        <w:rPr>
          <w:sz w:val="21"/>
          <w:szCs w:val="21"/>
        </w:rPr>
      </w:pPr>
      <w:r>
        <w:rPr>
          <w:rFonts w:hint="eastAsia"/>
          <w:sz w:val="21"/>
          <w:szCs w:val="21"/>
        </w:rPr>
        <w:t xml:space="preserve">五、估值错误的处理 </w:t>
      </w:r>
    </w:p>
    <w:p w14:paraId="1880A0EB">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60" w:name="field_63_netdecimal_1"/>
      <w:r>
        <w:rPr>
          <w:sz w:val="21"/>
          <w:szCs w:val="21"/>
        </w:rPr>
        <w:t>4</w:t>
      </w:r>
      <w:bookmarkEnd w:id="160"/>
      <w:r>
        <w:rPr>
          <w:rFonts w:hint="eastAsia"/>
          <w:sz w:val="21"/>
          <w:szCs w:val="21"/>
        </w:rPr>
        <w:t>位以内(含第</w:t>
      </w:r>
      <w:bookmarkStart w:id="161" w:name="field_63_netdecimal_2"/>
      <w:r>
        <w:rPr>
          <w:sz w:val="21"/>
          <w:szCs w:val="21"/>
        </w:rPr>
        <w:t>4</w:t>
      </w:r>
      <w:bookmarkEnd w:id="161"/>
      <w:r>
        <w:rPr>
          <w:rFonts w:hint="eastAsia"/>
          <w:sz w:val="21"/>
          <w:szCs w:val="21"/>
        </w:rPr>
        <w:t xml:space="preserve">位)发生估值错误时，视为该类基金份额净值错误。 </w:t>
      </w:r>
    </w:p>
    <w:p w14:paraId="6403CCB3">
      <w:pPr>
        <w:pStyle w:val="8"/>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145C2323">
      <w:pPr>
        <w:pStyle w:val="8"/>
        <w:spacing w:before="0" w:beforeAutospacing="0" w:after="0" w:afterAutospacing="0" w:line="360" w:lineRule="auto"/>
        <w:ind w:firstLine="420"/>
        <w:rPr>
          <w:sz w:val="21"/>
          <w:szCs w:val="21"/>
        </w:rPr>
      </w:pPr>
      <w:r>
        <w:rPr>
          <w:rFonts w:hint="eastAsia"/>
          <w:sz w:val="21"/>
          <w:szCs w:val="21"/>
        </w:rPr>
        <w:t xml:space="preserve">1、估值错误类型 </w:t>
      </w:r>
    </w:p>
    <w:p w14:paraId="72821CE3">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716BE079">
      <w:pPr>
        <w:pStyle w:val="8"/>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20A216E7">
      <w:pPr>
        <w:pStyle w:val="8"/>
        <w:spacing w:before="0" w:beforeAutospacing="0" w:after="0" w:afterAutospacing="0" w:line="360" w:lineRule="auto"/>
        <w:ind w:firstLine="420"/>
        <w:rPr>
          <w:sz w:val="21"/>
          <w:szCs w:val="21"/>
        </w:rPr>
      </w:pPr>
      <w:r>
        <w:rPr>
          <w:rFonts w:hint="eastAsia"/>
          <w:sz w:val="21"/>
          <w:szCs w:val="21"/>
        </w:rPr>
        <w:t xml:space="preserve">2、估值错误处理原则 </w:t>
      </w:r>
    </w:p>
    <w:p w14:paraId="7EE13C8A">
      <w:pPr>
        <w:pStyle w:val="8"/>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6DA2CC09">
      <w:pPr>
        <w:pStyle w:val="8"/>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44BCAB61">
      <w:pPr>
        <w:pStyle w:val="8"/>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1C667836">
      <w:pPr>
        <w:pStyle w:val="8"/>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1AD0FFF8">
      <w:pPr>
        <w:pStyle w:val="8"/>
        <w:spacing w:before="0" w:beforeAutospacing="0" w:after="0" w:afterAutospacing="0" w:line="360" w:lineRule="auto"/>
        <w:ind w:firstLine="420"/>
        <w:rPr>
          <w:sz w:val="21"/>
          <w:szCs w:val="21"/>
        </w:rPr>
      </w:pPr>
      <w:r>
        <w:rPr>
          <w:rFonts w:hint="eastAsia"/>
          <w:sz w:val="21"/>
          <w:szCs w:val="21"/>
        </w:rPr>
        <w:t xml:space="preserve">3、估值错误处理程序 </w:t>
      </w:r>
    </w:p>
    <w:p w14:paraId="53187808">
      <w:pPr>
        <w:pStyle w:val="8"/>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5B193C04">
      <w:pPr>
        <w:pStyle w:val="8"/>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2ECE5657">
      <w:pPr>
        <w:pStyle w:val="8"/>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2A04EF0D">
      <w:pPr>
        <w:pStyle w:val="8"/>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4378F6BE">
      <w:pPr>
        <w:pStyle w:val="8"/>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762E2FA7">
      <w:pPr>
        <w:pStyle w:val="8"/>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62AF9A89">
      <w:pPr>
        <w:pStyle w:val="8"/>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3FF230E2">
      <w:pPr>
        <w:pStyle w:val="8"/>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（2）错误偏差达到该类基金份额净值的0.25%时，基金管理人应当通报基金托管人并报中国证监会备案；错误偏差达到该类基金份额净值的0.50%时，基金管理人应当公告。 </w:t>
      </w:r>
    </w:p>
    <w:p w14:paraId="4B3C57BE">
      <w:pPr>
        <w:pStyle w:val="8"/>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1B625407">
      <w:pPr>
        <w:pStyle w:val="8"/>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44810177">
      <w:pPr>
        <w:pStyle w:val="8"/>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14:paraId="32C5DBB5">
      <w:pPr>
        <w:pStyle w:val="8"/>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6A298740">
      <w:pPr>
        <w:pStyle w:val="8"/>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77B3F8E8">
      <w:pPr>
        <w:pStyle w:val="8"/>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299F2194">
      <w:pPr>
        <w:pStyle w:val="8"/>
        <w:spacing w:before="0" w:beforeAutospacing="0" w:after="0" w:afterAutospacing="0" w:line="360" w:lineRule="auto"/>
        <w:ind w:firstLine="420"/>
        <w:rPr>
          <w:sz w:val="21"/>
          <w:szCs w:val="21"/>
        </w:rPr>
      </w:pPr>
      <w:r>
        <w:rPr>
          <w:rFonts w:hint="eastAsia"/>
          <w:sz w:val="21"/>
          <w:szCs w:val="21"/>
        </w:rPr>
        <w:t xml:space="preserve">（5）前述内容如法律法规或监管机关另有规定的，从其规定处理。 </w:t>
      </w:r>
    </w:p>
    <w:p w14:paraId="7CB24157">
      <w:pPr>
        <w:pStyle w:val="8"/>
        <w:spacing w:before="0" w:beforeAutospacing="0" w:after="0" w:afterAutospacing="0" w:line="360" w:lineRule="auto"/>
        <w:ind w:firstLine="420"/>
        <w:rPr>
          <w:sz w:val="21"/>
          <w:szCs w:val="21"/>
        </w:rPr>
      </w:pPr>
      <w:r>
        <w:rPr>
          <w:rFonts w:hint="eastAsia"/>
          <w:sz w:val="21"/>
          <w:szCs w:val="21"/>
        </w:rPr>
        <w:t xml:space="preserve">六、暂停估值的情形 </w:t>
      </w:r>
    </w:p>
    <w:p w14:paraId="3F193748">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14:paraId="548AE53D">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482C9EA7">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53345AD8">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7F1CA03E">
      <w:pPr>
        <w:pStyle w:val="8"/>
        <w:spacing w:before="0" w:beforeAutospacing="0" w:after="0" w:afterAutospacing="0" w:line="360" w:lineRule="auto"/>
        <w:ind w:firstLine="420"/>
        <w:rPr>
          <w:sz w:val="21"/>
          <w:szCs w:val="21"/>
        </w:rPr>
      </w:pPr>
      <w:r>
        <w:rPr>
          <w:rFonts w:hint="eastAsia"/>
          <w:sz w:val="21"/>
          <w:szCs w:val="21"/>
        </w:rPr>
        <w:t xml:space="preserve">七、基金净值的确认 </w:t>
      </w:r>
    </w:p>
    <w:p w14:paraId="02E365A2">
      <w:pPr>
        <w:pStyle w:val="8"/>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630DA9C2">
      <w:pPr>
        <w:pStyle w:val="8"/>
        <w:spacing w:before="0" w:beforeAutospacing="0" w:after="0" w:afterAutospacing="0" w:line="360" w:lineRule="auto"/>
        <w:ind w:firstLine="420"/>
        <w:rPr>
          <w:sz w:val="21"/>
          <w:szCs w:val="21"/>
        </w:rPr>
      </w:pPr>
      <w:r>
        <w:rPr>
          <w:rFonts w:hint="eastAsia"/>
          <w:sz w:val="21"/>
          <w:szCs w:val="21"/>
        </w:rPr>
        <w:t xml:space="preserve">八、特殊情况的处理方法 </w:t>
      </w:r>
    </w:p>
    <w:p w14:paraId="6BE34AA7">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1、基金管理人或基金托管人按估值方法的第5项进行估值时，所造成的误差不作为基金资产估值错误处理。 </w:t>
      </w:r>
    </w:p>
    <w:p w14:paraId="1BBE513A">
      <w:pPr>
        <w:pStyle w:val="8"/>
        <w:spacing w:before="0" w:beforeAutospacing="0" w:after="0" w:afterAutospacing="0" w:line="360" w:lineRule="auto"/>
        <w:ind w:firstLine="420"/>
        <w:rPr>
          <w:sz w:val="21"/>
          <w:szCs w:val="21"/>
        </w:rPr>
      </w:pPr>
      <w:r>
        <w:rPr>
          <w:rFonts w:hint="eastAsia"/>
          <w:sz w:val="21"/>
          <w:szCs w:val="21"/>
        </w:rPr>
        <w:t xml:space="preserve">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40B1E753">
      <w:pPr>
        <w:pStyle w:val="8"/>
        <w:spacing w:before="0" w:beforeAutospacing="0" w:after="0" w:afterAutospacing="0" w:line="360" w:lineRule="auto"/>
        <w:ind w:firstLine="420"/>
        <w:rPr>
          <w:sz w:val="21"/>
          <w:szCs w:val="21"/>
        </w:rPr>
      </w:pPr>
      <w:r>
        <w:rPr>
          <w:rFonts w:hint="eastAsia"/>
          <w:sz w:val="21"/>
          <w:szCs w:val="21"/>
        </w:rPr>
        <w:t xml:space="preserve">九、实施侧袋机制期间的基金资产估值 </w:t>
      </w:r>
    </w:p>
    <w:p w14:paraId="4F973150">
      <w:pPr>
        <w:pStyle w:val="8"/>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62" w:name="chapter_level1_14_63_section_2_end"/>
      <w:bookmarkEnd w:id="162"/>
      <w:r>
        <w:rPr>
          <w:rFonts w:hint="eastAsia"/>
          <w:sz w:val="21"/>
          <w:szCs w:val="21"/>
        </w:rPr>
        <w:t xml:space="preserve">的基金净值信息，暂停披露侧袋账户基金净值信息。 </w:t>
      </w:r>
    </w:p>
    <w:p w14:paraId="72D45F15">
      <w:pPr>
        <w:widowControl/>
        <w:jc w:val="left"/>
        <w:rPr>
          <w:rFonts w:ascii="宋体" w:hAnsi="宋体" w:eastAsia="宋体"/>
        </w:rPr>
      </w:pPr>
      <w:r>
        <w:rPr>
          <w:rFonts w:ascii="宋体" w:hAnsi="宋体" w:eastAsia="宋体"/>
        </w:rPr>
        <w:br w:type="page"/>
      </w:r>
    </w:p>
    <w:p w14:paraId="34038ECC">
      <w:pPr>
        <w:pStyle w:val="2"/>
        <w:jc w:val="center"/>
        <w:rPr>
          <w:rFonts w:ascii="宋体" w:hAnsi="宋体" w:eastAsia="宋体"/>
          <w:sz w:val="30"/>
        </w:rPr>
      </w:pPr>
      <w:bookmarkStart w:id="163" w:name="chapter_level1_15_64"/>
      <w:bookmarkStart w:id="164" w:name="_Toc239192438"/>
      <w:r>
        <w:rPr>
          <w:rFonts w:hint="eastAsia" w:ascii="宋体" w:hAnsi="宋体" w:eastAsia="宋体"/>
          <w:sz w:val="30"/>
        </w:rPr>
        <w:t>第十二部分  基金的收益分配</w:t>
      </w:r>
      <w:bookmarkEnd w:id="163"/>
      <w:bookmarkEnd w:id="164"/>
    </w:p>
    <w:p w14:paraId="4F96251F">
      <w:pPr>
        <w:pStyle w:val="8"/>
        <w:spacing w:before="0" w:beforeAutospacing="0" w:after="0" w:afterAutospacing="0" w:line="360" w:lineRule="auto"/>
        <w:ind w:firstLine="420"/>
        <w:rPr>
          <w:sz w:val="21"/>
          <w:szCs w:val="21"/>
        </w:rPr>
      </w:pPr>
      <w:bookmarkStart w:id="165" w:name="chapter_level1_15_64_section_1"/>
      <w:bookmarkEnd w:id="165"/>
      <w:r>
        <w:rPr>
          <w:rStyle w:val="12"/>
          <w:rFonts w:hint="eastAsia"/>
          <w:sz w:val="21"/>
          <w:szCs w:val="21"/>
        </w:rPr>
        <w:t>一、基金利润的构成</w:t>
      </w:r>
    </w:p>
    <w:p w14:paraId="0635673F">
      <w:pPr>
        <w:pStyle w:val="8"/>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27CA1AF7">
      <w:pPr>
        <w:pStyle w:val="8"/>
        <w:spacing w:before="0" w:beforeAutospacing="0" w:after="0" w:afterAutospacing="0" w:line="360" w:lineRule="auto"/>
        <w:ind w:firstLine="420"/>
        <w:rPr>
          <w:sz w:val="21"/>
          <w:szCs w:val="21"/>
        </w:rPr>
      </w:pPr>
      <w:r>
        <w:rPr>
          <w:rStyle w:val="12"/>
          <w:rFonts w:hint="eastAsia"/>
          <w:sz w:val="21"/>
          <w:szCs w:val="21"/>
        </w:rPr>
        <w:t>二、基金可供分配利润</w:t>
      </w:r>
    </w:p>
    <w:p w14:paraId="35F36476">
      <w:pPr>
        <w:pStyle w:val="8"/>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4CBA5384">
      <w:pPr>
        <w:pStyle w:val="8"/>
        <w:spacing w:before="0" w:beforeAutospacing="0" w:after="0" w:afterAutospacing="0" w:line="360" w:lineRule="auto"/>
        <w:ind w:firstLine="420"/>
        <w:rPr>
          <w:sz w:val="21"/>
          <w:szCs w:val="21"/>
        </w:rPr>
      </w:pPr>
      <w:r>
        <w:rPr>
          <w:rStyle w:val="12"/>
          <w:rFonts w:hint="eastAsia"/>
          <w:sz w:val="21"/>
          <w:szCs w:val="21"/>
        </w:rPr>
        <w:t>三、基金收益分配原则</w:t>
      </w:r>
    </w:p>
    <w:p w14:paraId="03A6B1A7">
      <w:pPr>
        <w:pStyle w:val="8"/>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16F2C442">
      <w:pPr>
        <w:pStyle w:val="8"/>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68053CBD">
      <w:pPr>
        <w:pStyle w:val="8"/>
        <w:spacing w:before="0" w:beforeAutospacing="0" w:after="0" w:afterAutospacing="0" w:line="360" w:lineRule="auto"/>
        <w:ind w:firstLine="420"/>
        <w:rPr>
          <w:sz w:val="21"/>
          <w:szCs w:val="21"/>
        </w:rPr>
      </w:pPr>
      <w:r>
        <w:rPr>
          <w:rFonts w:hint="eastAsia"/>
          <w:sz w:val="21"/>
          <w:szCs w:val="21"/>
        </w:rPr>
        <w:t xml:space="preserve">3、本基金各类基金份额在费用收取上不同，其对应的可分配收益可能有所不同。本基金同一类别每一基金份额享有同等分配权； </w:t>
      </w:r>
    </w:p>
    <w:p w14:paraId="25F4E8AE">
      <w:pPr>
        <w:pStyle w:val="8"/>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703F7D6C">
      <w:pPr>
        <w:pStyle w:val="8"/>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66" w:name="chapter_level1_15_64_section_1_end"/>
      <w:bookmarkEnd w:id="166"/>
      <w:r>
        <w:rPr>
          <w:rFonts w:hint="eastAsia"/>
          <w:sz w:val="21"/>
          <w:szCs w:val="21"/>
        </w:rPr>
        <w:t xml:space="preserve">基金管理人可对基金收益分配原则和支付方式进行调整，不需召开基金份额持有人大会。 </w:t>
      </w:r>
    </w:p>
    <w:p w14:paraId="56342408">
      <w:pPr>
        <w:pStyle w:val="8"/>
        <w:spacing w:before="0" w:beforeAutospacing="0" w:after="0" w:afterAutospacing="0" w:line="360" w:lineRule="auto"/>
        <w:ind w:firstLine="420"/>
        <w:rPr>
          <w:sz w:val="21"/>
          <w:szCs w:val="21"/>
        </w:rPr>
      </w:pPr>
      <w:bookmarkStart w:id="167" w:name="chapter_level1_15_64_section_2"/>
      <w:bookmarkEnd w:id="167"/>
      <w:r>
        <w:rPr>
          <w:rStyle w:val="12"/>
          <w:rFonts w:hint="eastAsia"/>
          <w:sz w:val="21"/>
          <w:szCs w:val="21"/>
        </w:rPr>
        <w:t>四、收益分配方案</w:t>
      </w:r>
    </w:p>
    <w:p w14:paraId="16BDB1AD">
      <w:pPr>
        <w:pStyle w:val="8"/>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4127A581">
      <w:pPr>
        <w:pStyle w:val="8"/>
        <w:spacing w:before="0" w:beforeAutospacing="0" w:after="0" w:afterAutospacing="0" w:line="360" w:lineRule="auto"/>
        <w:ind w:firstLine="420"/>
        <w:rPr>
          <w:sz w:val="21"/>
          <w:szCs w:val="21"/>
        </w:rPr>
      </w:pPr>
      <w:r>
        <w:rPr>
          <w:rStyle w:val="12"/>
          <w:rFonts w:hint="eastAsia"/>
          <w:sz w:val="21"/>
          <w:szCs w:val="21"/>
        </w:rPr>
        <w:t>五、收益分配方案的确定、公告与实施</w:t>
      </w:r>
    </w:p>
    <w:p w14:paraId="607CCAAF">
      <w:pPr>
        <w:pStyle w:val="8"/>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367039B9">
      <w:pPr>
        <w:pStyle w:val="8"/>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14:paraId="323B2733">
      <w:pPr>
        <w:pStyle w:val="8"/>
        <w:spacing w:before="0" w:beforeAutospacing="0" w:after="0" w:afterAutospacing="0" w:line="360" w:lineRule="auto"/>
        <w:ind w:firstLine="420"/>
        <w:rPr>
          <w:sz w:val="21"/>
          <w:szCs w:val="21"/>
        </w:rPr>
      </w:pPr>
      <w:r>
        <w:rPr>
          <w:rStyle w:val="12"/>
          <w:rFonts w:hint="eastAsia"/>
          <w:sz w:val="21"/>
          <w:szCs w:val="21"/>
        </w:rPr>
        <w:t>六、基金收益分配中发生的费用</w:t>
      </w:r>
    </w:p>
    <w:p w14:paraId="117D810F">
      <w:pPr>
        <w:pStyle w:val="8"/>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于支付银行转账或其他手续费用时，基金登记机构可将基金份额持有人的现金红利自动转为相应类别的基金份额。红利再投资的计算方法，依照《业务规则》执行。 </w:t>
      </w:r>
    </w:p>
    <w:p w14:paraId="38EF4A42">
      <w:pPr>
        <w:pStyle w:val="8"/>
        <w:spacing w:before="0" w:beforeAutospacing="0" w:after="0" w:afterAutospacing="0" w:line="360" w:lineRule="auto"/>
        <w:ind w:firstLine="420"/>
        <w:rPr>
          <w:sz w:val="21"/>
          <w:szCs w:val="21"/>
        </w:rPr>
      </w:pPr>
      <w:r>
        <w:rPr>
          <w:rStyle w:val="12"/>
          <w:rFonts w:hint="eastAsia"/>
          <w:sz w:val="21"/>
          <w:szCs w:val="21"/>
        </w:rPr>
        <w:t>七、实施侧袋机制期间的收益分配</w:t>
      </w:r>
    </w:p>
    <w:p w14:paraId="55B4A91E">
      <w:pPr>
        <w:pStyle w:val="8"/>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8" w:name="chapter_level1_15_64_section_2_end"/>
      <w:bookmarkEnd w:id="168"/>
      <w:r>
        <w:rPr>
          <w:rFonts w:hint="eastAsia"/>
          <w:sz w:val="21"/>
          <w:szCs w:val="21"/>
        </w:rPr>
        <w:t xml:space="preserve">节的规定。 </w:t>
      </w:r>
    </w:p>
    <w:p w14:paraId="42E06E21">
      <w:pPr>
        <w:widowControl/>
        <w:jc w:val="left"/>
        <w:rPr>
          <w:rFonts w:ascii="宋体" w:hAnsi="宋体" w:eastAsia="宋体"/>
        </w:rPr>
      </w:pPr>
      <w:r>
        <w:rPr>
          <w:rFonts w:ascii="宋体" w:hAnsi="宋体" w:eastAsia="宋体"/>
        </w:rPr>
        <w:br w:type="page"/>
      </w:r>
    </w:p>
    <w:p w14:paraId="5E427F0E">
      <w:pPr>
        <w:pStyle w:val="2"/>
        <w:jc w:val="center"/>
        <w:rPr>
          <w:rFonts w:ascii="宋体" w:hAnsi="宋体" w:eastAsia="宋体"/>
          <w:sz w:val="30"/>
        </w:rPr>
      </w:pPr>
      <w:bookmarkStart w:id="169" w:name="_Toc239192439"/>
      <w:bookmarkStart w:id="170" w:name="chapter_level1_16_65"/>
      <w:r>
        <w:rPr>
          <w:rFonts w:hint="eastAsia" w:ascii="宋体" w:hAnsi="宋体" w:eastAsia="宋体"/>
          <w:sz w:val="30"/>
        </w:rPr>
        <w:t>第十三部分  基金费用与税收</w:t>
      </w:r>
      <w:bookmarkEnd w:id="169"/>
      <w:bookmarkEnd w:id="170"/>
    </w:p>
    <w:p w14:paraId="496654E3">
      <w:pPr>
        <w:pStyle w:val="8"/>
        <w:spacing w:before="0" w:beforeAutospacing="0" w:after="0" w:afterAutospacing="0" w:line="360" w:lineRule="auto"/>
        <w:ind w:firstLine="420"/>
        <w:rPr>
          <w:sz w:val="21"/>
          <w:szCs w:val="21"/>
        </w:rPr>
      </w:pPr>
      <w:bookmarkStart w:id="171" w:name="chapter_level1_16_65_section_1"/>
      <w:bookmarkEnd w:id="171"/>
      <w:r>
        <w:rPr>
          <w:rFonts w:hint="eastAsia"/>
          <w:sz w:val="21"/>
          <w:szCs w:val="21"/>
        </w:rPr>
        <w:t xml:space="preserve">一、基金费用的种类 </w:t>
      </w:r>
    </w:p>
    <w:p w14:paraId="54E41BD6">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2AC47045">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509459A9">
      <w:pPr>
        <w:pStyle w:val="8"/>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7C9D0615">
      <w:pPr>
        <w:pStyle w:val="8"/>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742FB524">
      <w:pPr>
        <w:pStyle w:val="8"/>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14:paraId="28B059F4">
      <w:pPr>
        <w:pStyle w:val="8"/>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22C42AC0">
      <w:pPr>
        <w:pStyle w:val="8"/>
        <w:spacing w:before="0" w:beforeAutospacing="0" w:after="0" w:afterAutospacing="0" w:line="360" w:lineRule="auto"/>
        <w:ind w:firstLine="420"/>
        <w:rPr>
          <w:sz w:val="21"/>
          <w:szCs w:val="21"/>
        </w:rPr>
      </w:pPr>
      <w:r>
        <w:rPr>
          <w:rFonts w:hint="eastAsia"/>
          <w:sz w:val="21"/>
          <w:szCs w:val="21"/>
        </w:rPr>
        <w:t xml:space="preserve">7、基金的证券交易费用； </w:t>
      </w:r>
    </w:p>
    <w:p w14:paraId="6A9DAB5D">
      <w:pPr>
        <w:pStyle w:val="8"/>
        <w:spacing w:before="0" w:beforeAutospacing="0" w:after="0" w:afterAutospacing="0" w:line="360" w:lineRule="auto"/>
        <w:ind w:firstLine="420"/>
        <w:rPr>
          <w:sz w:val="21"/>
          <w:szCs w:val="21"/>
        </w:rPr>
      </w:pPr>
      <w:r>
        <w:rPr>
          <w:rFonts w:hint="eastAsia"/>
          <w:sz w:val="21"/>
          <w:szCs w:val="21"/>
        </w:rPr>
        <w:t xml:space="preserve">8、基金的银行汇划费用； </w:t>
      </w:r>
    </w:p>
    <w:p w14:paraId="6DD44894">
      <w:pPr>
        <w:pStyle w:val="8"/>
        <w:spacing w:before="0" w:beforeAutospacing="0" w:after="0" w:afterAutospacing="0" w:line="360" w:lineRule="auto"/>
        <w:ind w:firstLine="420"/>
        <w:rPr>
          <w:sz w:val="21"/>
          <w:szCs w:val="21"/>
        </w:rPr>
      </w:pPr>
      <w:r>
        <w:rPr>
          <w:rFonts w:hint="eastAsia"/>
          <w:sz w:val="21"/>
          <w:szCs w:val="21"/>
        </w:rPr>
        <w:t xml:space="preserve">9、基金的账户开户费用、账户维护费用； </w:t>
      </w:r>
    </w:p>
    <w:p w14:paraId="21A9F949">
      <w:pPr>
        <w:pStyle w:val="8"/>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14:paraId="107F3DE4">
      <w:pPr>
        <w:pStyle w:val="8"/>
        <w:spacing w:before="0" w:beforeAutospacing="0" w:after="0" w:afterAutospacing="0" w:line="360" w:lineRule="auto"/>
        <w:ind w:firstLine="420"/>
        <w:rPr>
          <w:sz w:val="21"/>
          <w:szCs w:val="21"/>
        </w:rPr>
      </w:pPr>
      <w:r>
        <w:rPr>
          <w:rFonts w:hint="eastAsia"/>
          <w:sz w:val="21"/>
          <w:szCs w:val="21"/>
        </w:rPr>
        <w:t xml:space="preserve">二、基金费用计提方法、计提标准和支付方式 </w:t>
      </w:r>
    </w:p>
    <w:p w14:paraId="2A211B33">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775C7FA4">
      <w:pPr>
        <w:pStyle w:val="8"/>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2" w:name="field_0_managementrate_1"/>
      <w:r>
        <w:rPr>
          <w:sz w:val="21"/>
          <w:szCs w:val="21"/>
        </w:rPr>
        <w:t>0.30</w:t>
      </w:r>
      <w:bookmarkEnd w:id="172"/>
      <w:r>
        <w:rPr>
          <w:rFonts w:hint="eastAsia"/>
          <w:sz w:val="21"/>
          <w:szCs w:val="21"/>
        </w:rPr>
        <w:t xml:space="preserve">%年费率计提。管理费的计算方法如下： </w:t>
      </w:r>
    </w:p>
    <w:p w14:paraId="7972A83B">
      <w:pPr>
        <w:pStyle w:val="8"/>
        <w:spacing w:before="0" w:beforeAutospacing="0" w:after="0" w:afterAutospacing="0" w:line="360" w:lineRule="auto"/>
        <w:ind w:firstLine="420"/>
        <w:rPr>
          <w:sz w:val="21"/>
          <w:szCs w:val="21"/>
        </w:rPr>
      </w:pPr>
      <w:r>
        <w:rPr>
          <w:rFonts w:hint="eastAsia"/>
          <w:sz w:val="21"/>
          <w:szCs w:val="21"/>
        </w:rPr>
        <w:t>H＝E×</w:t>
      </w:r>
      <w:bookmarkStart w:id="173" w:name="field_0_managementrate_2"/>
      <w:r>
        <w:rPr>
          <w:sz w:val="21"/>
          <w:szCs w:val="21"/>
        </w:rPr>
        <w:t>0.30</w:t>
      </w:r>
      <w:bookmarkEnd w:id="173"/>
      <w:r>
        <w:rPr>
          <w:rFonts w:hint="eastAsia"/>
          <w:sz w:val="21"/>
          <w:szCs w:val="21"/>
        </w:rPr>
        <w:t xml:space="preserve">%÷当年天数 </w:t>
      </w:r>
    </w:p>
    <w:p w14:paraId="678205C7">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7CC75560">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38E76D29">
      <w:pPr>
        <w:pStyle w:val="8"/>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向基金托管人发送基金管理费划付指令，经基金托管人复核后于次月前3个工作日内从基金财产中一次性支付给基金管理人。若遇法定节假日、公休假或不可抗力等致使无法按时支付的，支付日期顺延至最近可支付日。 </w:t>
      </w:r>
    </w:p>
    <w:p w14:paraId="521A4338">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2E3B7B24">
      <w:pPr>
        <w:pStyle w:val="8"/>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4" w:name="field_0_trusteerate_1"/>
      <w:r>
        <w:rPr>
          <w:sz w:val="21"/>
          <w:szCs w:val="21"/>
        </w:rPr>
        <w:t>0.10</w:t>
      </w:r>
      <w:bookmarkEnd w:id="174"/>
      <w:r>
        <w:rPr>
          <w:rFonts w:hint="eastAsia"/>
          <w:sz w:val="21"/>
          <w:szCs w:val="21"/>
        </w:rPr>
        <w:t xml:space="preserve">%的年费率计提。托管费的计算方法如下： </w:t>
      </w:r>
    </w:p>
    <w:p w14:paraId="23011AF6">
      <w:pPr>
        <w:pStyle w:val="8"/>
        <w:spacing w:before="0" w:beforeAutospacing="0" w:after="0" w:afterAutospacing="0" w:line="360" w:lineRule="auto"/>
        <w:ind w:firstLine="420"/>
        <w:rPr>
          <w:sz w:val="21"/>
          <w:szCs w:val="21"/>
        </w:rPr>
      </w:pPr>
      <w:r>
        <w:rPr>
          <w:rFonts w:hint="eastAsia"/>
          <w:sz w:val="21"/>
          <w:szCs w:val="21"/>
        </w:rPr>
        <w:t>H＝E×</w:t>
      </w:r>
      <w:bookmarkStart w:id="175" w:name="field_0_trusteerate_2"/>
      <w:r>
        <w:rPr>
          <w:sz w:val="21"/>
          <w:szCs w:val="21"/>
        </w:rPr>
        <w:t>0.10</w:t>
      </w:r>
      <w:bookmarkEnd w:id="175"/>
      <w:r>
        <w:rPr>
          <w:rFonts w:hint="eastAsia"/>
          <w:sz w:val="21"/>
          <w:szCs w:val="21"/>
        </w:rPr>
        <w:t xml:space="preserve">%÷当年天数 </w:t>
      </w:r>
    </w:p>
    <w:p w14:paraId="171038FC">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571DFF12">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1E41AE65">
      <w:pPr>
        <w:pStyle w:val="8"/>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向基金托管人发送基金托管费划付指令，经基金托管人复核后于次月前3个工作日内从基金财产中一次性支取。若遇法定节假日、公休假或不可抗力等致使无法按时支付的，支付日期顺延至最近可支付日。 </w:t>
      </w:r>
    </w:p>
    <w:p w14:paraId="52DED956">
      <w:pPr>
        <w:pStyle w:val="8"/>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35C0F677">
      <w:pPr>
        <w:pStyle w:val="8"/>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本基金A类基金份额不收取销售服务费，C类基金份额的销售服务费年费率为0.40%。本基金销售服务费主要用于本基金持续销售以及基金份额持有人服务等各项费用。 </w:t>
      </w:r>
    </w:p>
    <w:p w14:paraId="3D9F498C">
      <w:pPr>
        <w:pStyle w:val="8"/>
        <w:spacing w:before="0" w:beforeAutospacing="0" w:after="0" w:afterAutospacing="0" w:line="360" w:lineRule="auto"/>
        <w:ind w:firstLine="420"/>
        <w:rPr>
          <w:sz w:val="21"/>
          <w:szCs w:val="21"/>
        </w:rPr>
      </w:pPr>
      <w:r>
        <w:rPr>
          <w:rFonts w:hint="eastAsia"/>
          <w:sz w:val="21"/>
          <w:szCs w:val="21"/>
        </w:rPr>
        <w:t xml:space="preserve">销售服务费按前一日C类基金份额基金资产净值的0.40%年费率计提。计算方法如下： </w:t>
      </w:r>
    </w:p>
    <w:p w14:paraId="23A32953">
      <w:pPr>
        <w:pStyle w:val="8"/>
        <w:spacing w:before="0" w:beforeAutospacing="0" w:after="0" w:afterAutospacing="0" w:line="360" w:lineRule="auto"/>
        <w:ind w:firstLine="420"/>
        <w:rPr>
          <w:sz w:val="21"/>
          <w:szCs w:val="21"/>
        </w:rPr>
      </w:pPr>
      <w:r>
        <w:rPr>
          <w:rFonts w:hint="eastAsia"/>
          <w:sz w:val="21"/>
          <w:szCs w:val="21"/>
        </w:rPr>
        <w:t xml:space="preserve">H＝E×销售服务费年费率÷当年天数 </w:t>
      </w:r>
    </w:p>
    <w:p w14:paraId="5B7A271F">
      <w:pPr>
        <w:pStyle w:val="8"/>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369F7E51">
      <w:pPr>
        <w:pStyle w:val="8"/>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10F2D045">
      <w:pPr>
        <w:pStyle w:val="8"/>
        <w:spacing w:before="0" w:beforeAutospacing="0" w:after="0" w:afterAutospacing="0" w:line="360" w:lineRule="auto"/>
        <w:ind w:firstLine="420"/>
        <w:rPr>
          <w:sz w:val="21"/>
          <w:szCs w:val="21"/>
        </w:rPr>
      </w:pPr>
      <w:r>
        <w:rPr>
          <w:rFonts w:hint="eastAsia"/>
          <w:sz w:val="21"/>
          <w:szCs w:val="21"/>
        </w:rPr>
        <w:t xml:space="preserve">销售服务费每日计算，逐日累计至每月月末，按月支付。由基金管理人向基金托管人发送销售服务费划付指令，经基金托管人复核后于次月前3个工作日内从基金财产中一次性支付至登记机构，由登记机构代付给销售机构。若遇法定节假日、公休假或不可抗力等致使无法按时支付的，支付日期顺延至最近可支付日。 </w:t>
      </w:r>
    </w:p>
    <w:p w14:paraId="5E9085BE">
      <w:pPr>
        <w:pStyle w:val="8"/>
        <w:spacing w:before="0" w:beforeAutospacing="0" w:after="0" w:afterAutospacing="0" w:line="360" w:lineRule="auto"/>
        <w:ind w:firstLine="420"/>
        <w:rPr>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14:paraId="5014C256">
      <w:pPr>
        <w:pStyle w:val="8"/>
        <w:spacing w:before="0" w:beforeAutospacing="0" w:after="0" w:afterAutospacing="0" w:line="360" w:lineRule="auto"/>
        <w:ind w:firstLine="420"/>
        <w:rPr>
          <w:sz w:val="21"/>
          <w:szCs w:val="21"/>
        </w:rPr>
      </w:pPr>
      <w:r>
        <w:rPr>
          <w:rFonts w:hint="eastAsia"/>
          <w:sz w:val="21"/>
          <w:szCs w:val="21"/>
        </w:rPr>
        <w:t xml:space="preserve">三、不列入基金费用的项目 </w:t>
      </w:r>
    </w:p>
    <w:p w14:paraId="10B6A681">
      <w:pPr>
        <w:pStyle w:val="8"/>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785F154A">
      <w:pPr>
        <w:pStyle w:val="8"/>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064E6EC9">
      <w:pPr>
        <w:pStyle w:val="8"/>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512FEC47">
      <w:pPr>
        <w:pStyle w:val="8"/>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08AA78C3">
      <w:pPr>
        <w:pStyle w:val="8"/>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11650083">
      <w:pPr>
        <w:pStyle w:val="8"/>
        <w:spacing w:before="0" w:beforeAutospacing="0" w:after="0" w:afterAutospacing="0" w:line="360" w:lineRule="auto"/>
        <w:ind w:firstLine="420"/>
        <w:rPr>
          <w:sz w:val="21"/>
          <w:szCs w:val="21"/>
        </w:rPr>
      </w:pPr>
      <w:r>
        <w:rPr>
          <w:rFonts w:hint="eastAsia"/>
          <w:sz w:val="21"/>
          <w:szCs w:val="21"/>
        </w:rPr>
        <w:t xml:space="preserve">四、实施侧袋机制期间的基金费用 </w:t>
      </w:r>
    </w:p>
    <w:p w14:paraId="33415BC5">
      <w:pPr>
        <w:pStyle w:val="8"/>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01442142">
      <w:pPr>
        <w:pStyle w:val="8"/>
        <w:spacing w:before="0" w:beforeAutospacing="0" w:after="0" w:afterAutospacing="0" w:line="360" w:lineRule="auto"/>
        <w:ind w:firstLine="420"/>
        <w:rPr>
          <w:sz w:val="21"/>
          <w:szCs w:val="21"/>
        </w:rPr>
      </w:pPr>
      <w:r>
        <w:rPr>
          <w:rFonts w:hint="eastAsia"/>
          <w:sz w:val="21"/>
          <w:szCs w:val="21"/>
        </w:rPr>
        <w:t xml:space="preserve">五、基金税收 </w:t>
      </w:r>
    </w:p>
    <w:p w14:paraId="3A2B1EB0">
      <w:pPr>
        <w:pStyle w:val="8"/>
        <w:spacing w:before="0" w:beforeAutospacing="0" w:after="0" w:afterAutospacing="0" w:line="360" w:lineRule="auto"/>
        <w:ind w:firstLine="420"/>
        <w:rPr>
          <w:sz w:val="21"/>
          <w:szCs w:val="21"/>
        </w:rPr>
      </w:pPr>
      <w:bookmarkStart w:id="176" w:name="chapter_level1_16_65_section_1_end"/>
      <w:bookmarkEnd w:id="176"/>
      <w:r>
        <w:rPr>
          <w:rFonts w:hint="eastAsia"/>
          <w:sz w:val="21"/>
          <w:szCs w:val="21"/>
        </w:rPr>
        <w:t xml:space="preserve">本基金运作过程中涉及的各纳税主体，其纳税义务按国家税收法律、法规执行。 </w:t>
      </w:r>
    </w:p>
    <w:p w14:paraId="1AFF4C5F">
      <w:pPr>
        <w:widowControl/>
        <w:jc w:val="left"/>
        <w:rPr>
          <w:rFonts w:ascii="宋体" w:hAnsi="宋体" w:eastAsia="宋体"/>
        </w:rPr>
      </w:pPr>
      <w:r>
        <w:rPr>
          <w:rFonts w:ascii="宋体" w:hAnsi="宋体" w:eastAsia="宋体"/>
        </w:rPr>
        <w:br w:type="page"/>
      </w:r>
    </w:p>
    <w:p w14:paraId="2CAB4F85">
      <w:pPr>
        <w:pStyle w:val="2"/>
        <w:jc w:val="center"/>
        <w:rPr>
          <w:rFonts w:ascii="宋体" w:hAnsi="宋体" w:eastAsia="宋体"/>
          <w:sz w:val="30"/>
        </w:rPr>
      </w:pPr>
      <w:bookmarkStart w:id="177" w:name="_Toc239192440"/>
      <w:bookmarkStart w:id="178" w:name="chapter_level1_17_66"/>
      <w:r>
        <w:rPr>
          <w:rFonts w:hint="eastAsia" w:ascii="宋体" w:hAnsi="宋体" w:eastAsia="宋体"/>
          <w:sz w:val="30"/>
        </w:rPr>
        <w:t>第十四部分  基金的会计与审计</w:t>
      </w:r>
      <w:bookmarkEnd w:id="177"/>
      <w:bookmarkEnd w:id="178"/>
    </w:p>
    <w:p w14:paraId="38738C61">
      <w:pPr>
        <w:pStyle w:val="8"/>
        <w:spacing w:before="0" w:beforeAutospacing="0" w:after="0" w:afterAutospacing="0" w:line="360" w:lineRule="auto"/>
        <w:ind w:firstLine="420"/>
        <w:rPr>
          <w:sz w:val="21"/>
          <w:szCs w:val="21"/>
        </w:rPr>
      </w:pPr>
      <w:bookmarkStart w:id="179" w:name="chapter_level1_17_66_section_1"/>
      <w:bookmarkEnd w:id="179"/>
      <w:r>
        <w:rPr>
          <w:rStyle w:val="12"/>
          <w:rFonts w:hint="eastAsia"/>
          <w:sz w:val="21"/>
          <w:szCs w:val="21"/>
        </w:rPr>
        <w:t>一、基金会计政策</w:t>
      </w:r>
    </w:p>
    <w:p w14:paraId="610363AA">
      <w:pPr>
        <w:pStyle w:val="8"/>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48D8CF0F">
      <w:pPr>
        <w:pStyle w:val="8"/>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686401CF">
      <w:pPr>
        <w:pStyle w:val="8"/>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2A028387">
      <w:pPr>
        <w:pStyle w:val="8"/>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75A206C4">
      <w:pPr>
        <w:pStyle w:val="8"/>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14DF11EE">
      <w:pPr>
        <w:pStyle w:val="8"/>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1C9514AF">
      <w:pPr>
        <w:pStyle w:val="8"/>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7EA4252F">
      <w:pPr>
        <w:pStyle w:val="8"/>
        <w:spacing w:before="0" w:beforeAutospacing="0" w:after="0" w:afterAutospacing="0" w:line="360" w:lineRule="auto"/>
        <w:ind w:firstLine="420"/>
        <w:rPr>
          <w:sz w:val="21"/>
          <w:szCs w:val="21"/>
        </w:rPr>
      </w:pPr>
      <w:r>
        <w:rPr>
          <w:rStyle w:val="12"/>
          <w:rFonts w:hint="eastAsia"/>
          <w:sz w:val="21"/>
          <w:szCs w:val="21"/>
        </w:rPr>
        <w:t>二、基金的年度审计</w:t>
      </w:r>
    </w:p>
    <w:p w14:paraId="212C2404">
      <w:pPr>
        <w:pStyle w:val="8"/>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0AECC924">
      <w:pPr>
        <w:pStyle w:val="8"/>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14CA6853">
      <w:pPr>
        <w:pStyle w:val="8"/>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80" w:name="chapter_level1_17_66_section_1_end"/>
      <w:bookmarkEnd w:id="180"/>
      <w:r>
        <w:rPr>
          <w:rFonts w:hint="eastAsia"/>
          <w:sz w:val="21"/>
          <w:szCs w:val="21"/>
        </w:rPr>
        <w:t xml:space="preserve">务所需按照《信息披露办法》的有关规定在指定媒介公告。 </w:t>
      </w:r>
    </w:p>
    <w:p w14:paraId="420265E7">
      <w:pPr>
        <w:widowControl/>
        <w:jc w:val="left"/>
        <w:rPr>
          <w:rFonts w:ascii="宋体" w:hAnsi="宋体" w:eastAsia="宋体"/>
        </w:rPr>
      </w:pPr>
      <w:r>
        <w:rPr>
          <w:rFonts w:ascii="宋体" w:hAnsi="宋体" w:eastAsia="宋体"/>
        </w:rPr>
        <w:br w:type="page"/>
      </w:r>
    </w:p>
    <w:p w14:paraId="3611F431">
      <w:pPr>
        <w:pStyle w:val="2"/>
        <w:jc w:val="center"/>
        <w:rPr>
          <w:rFonts w:ascii="宋体" w:hAnsi="宋体" w:eastAsia="宋体"/>
          <w:sz w:val="30"/>
        </w:rPr>
      </w:pPr>
      <w:bookmarkStart w:id="181" w:name="_Toc239192441"/>
      <w:bookmarkStart w:id="182" w:name="chapter_level1_18_67"/>
      <w:r>
        <w:rPr>
          <w:rFonts w:hint="eastAsia" w:ascii="宋体" w:hAnsi="宋体" w:eastAsia="宋体"/>
          <w:sz w:val="30"/>
        </w:rPr>
        <w:t>第十五部分  基金的信息披露</w:t>
      </w:r>
      <w:bookmarkEnd w:id="181"/>
      <w:bookmarkEnd w:id="182"/>
    </w:p>
    <w:p w14:paraId="2BF68BE3">
      <w:pPr>
        <w:pStyle w:val="8"/>
        <w:spacing w:before="0" w:beforeAutospacing="0" w:after="0" w:afterAutospacing="0" w:line="360" w:lineRule="auto"/>
        <w:ind w:firstLine="420"/>
        <w:rPr>
          <w:sz w:val="21"/>
          <w:szCs w:val="21"/>
        </w:rPr>
      </w:pPr>
      <w:bookmarkStart w:id="183" w:name="chapter_level1_18_67_section_1"/>
      <w:bookmarkEnd w:id="183"/>
      <w:r>
        <w:rPr>
          <w:rStyle w:val="12"/>
          <w:rFonts w:hint="eastAsia"/>
          <w:sz w:val="21"/>
          <w:szCs w:val="21"/>
        </w:rPr>
        <w:t>一、本基金的信息披露应符合《基金法》、《运作办法》、《信息披露办法》、《基金合同》及其他有关规定。相关法律法规关于信息披露的规定发生变化时，本基金从其最新规定。</w:t>
      </w:r>
    </w:p>
    <w:p w14:paraId="61C70292">
      <w:pPr>
        <w:pStyle w:val="8"/>
        <w:spacing w:before="0" w:beforeAutospacing="0" w:after="0" w:afterAutospacing="0" w:line="360" w:lineRule="auto"/>
        <w:ind w:firstLine="420"/>
        <w:rPr>
          <w:sz w:val="21"/>
          <w:szCs w:val="21"/>
        </w:rPr>
      </w:pPr>
      <w:r>
        <w:rPr>
          <w:rStyle w:val="12"/>
          <w:rFonts w:hint="eastAsia"/>
          <w:sz w:val="21"/>
          <w:szCs w:val="21"/>
        </w:rPr>
        <w:t>二、信息披露义务人</w:t>
      </w:r>
    </w:p>
    <w:p w14:paraId="5A789F64">
      <w:pPr>
        <w:pStyle w:val="8"/>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3618607E">
      <w:pPr>
        <w:pStyle w:val="8"/>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597F8429">
      <w:pPr>
        <w:pStyle w:val="8"/>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14:paraId="4D6E7B52">
      <w:pPr>
        <w:pStyle w:val="8"/>
        <w:spacing w:before="0" w:beforeAutospacing="0" w:after="0" w:afterAutospacing="0" w:line="360" w:lineRule="auto"/>
        <w:ind w:firstLine="420"/>
        <w:rPr>
          <w:sz w:val="21"/>
          <w:szCs w:val="21"/>
        </w:rPr>
      </w:pPr>
      <w:r>
        <w:rPr>
          <w:rStyle w:val="12"/>
          <w:rFonts w:hint="eastAsia"/>
          <w:sz w:val="21"/>
          <w:szCs w:val="21"/>
        </w:rPr>
        <w:t>三、本基金信息披露义务人承诺公开披露的基金信息，不得有下列行为：</w:t>
      </w:r>
    </w:p>
    <w:p w14:paraId="57A1AF80">
      <w:pPr>
        <w:pStyle w:val="8"/>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78C445A5">
      <w:pPr>
        <w:pStyle w:val="8"/>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0AD1A359">
      <w:pPr>
        <w:pStyle w:val="8"/>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23A22EF0">
      <w:pPr>
        <w:pStyle w:val="8"/>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6FE1BD58">
      <w:pPr>
        <w:pStyle w:val="8"/>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1D1B79D6">
      <w:pPr>
        <w:pStyle w:val="8"/>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77DFCB08">
      <w:pPr>
        <w:pStyle w:val="8"/>
        <w:spacing w:before="0" w:beforeAutospacing="0" w:after="0" w:afterAutospacing="0" w:line="360" w:lineRule="auto"/>
        <w:ind w:firstLine="420"/>
        <w:rPr>
          <w:sz w:val="21"/>
          <w:szCs w:val="21"/>
        </w:rPr>
      </w:pPr>
      <w:r>
        <w:rPr>
          <w:rStyle w:val="12"/>
          <w:rFonts w:hint="eastAsia"/>
          <w:sz w:val="21"/>
          <w:szCs w:val="21"/>
        </w:rPr>
        <w:t>四、本基金公开披露的信息应采用中文文本。如同时采用外文文本的，基金信息披露义务人应保证不同文本的内容一致。不同文本之间发生歧义的，以中文文本为准。</w:t>
      </w:r>
    </w:p>
    <w:p w14:paraId="7F7E6EC5">
      <w:pPr>
        <w:pStyle w:val="8"/>
        <w:spacing w:before="0" w:beforeAutospacing="0" w:after="0" w:afterAutospacing="0" w:line="360" w:lineRule="auto"/>
        <w:ind w:firstLine="420"/>
        <w:rPr>
          <w:sz w:val="21"/>
          <w:szCs w:val="21"/>
        </w:rPr>
      </w:pPr>
      <w:bookmarkStart w:id="184" w:name="chapter_level1_18_67_section_1_end"/>
      <w:bookmarkEnd w:id="184"/>
      <w:r>
        <w:rPr>
          <w:rFonts w:hint="eastAsia"/>
          <w:sz w:val="21"/>
          <w:szCs w:val="21"/>
        </w:rPr>
        <w:t xml:space="preserve">本基金公开披露的信息采用阿拉伯数字；除特别说明外，货币单位为人民币元。 </w:t>
      </w:r>
    </w:p>
    <w:p w14:paraId="59796348">
      <w:pPr>
        <w:pStyle w:val="8"/>
        <w:spacing w:before="0" w:beforeAutospacing="0" w:after="0" w:afterAutospacing="0" w:line="360" w:lineRule="auto"/>
        <w:ind w:firstLine="420"/>
        <w:rPr>
          <w:sz w:val="21"/>
          <w:szCs w:val="21"/>
        </w:rPr>
      </w:pPr>
      <w:bookmarkStart w:id="185" w:name="chapter_level1_18_67_section_2"/>
      <w:bookmarkEnd w:id="185"/>
      <w:r>
        <w:rPr>
          <w:rStyle w:val="12"/>
          <w:rFonts w:hint="eastAsia"/>
          <w:sz w:val="21"/>
          <w:szCs w:val="21"/>
        </w:rPr>
        <w:t>五、公开披露的基金信息</w:t>
      </w:r>
    </w:p>
    <w:p w14:paraId="79329532">
      <w:pPr>
        <w:pStyle w:val="8"/>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101CA42C">
      <w:pPr>
        <w:pStyle w:val="8"/>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19CBA91E">
      <w:pPr>
        <w:pStyle w:val="8"/>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7D473947">
      <w:pPr>
        <w:pStyle w:val="8"/>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649B3FF4">
      <w:pPr>
        <w:pStyle w:val="8"/>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3133D1DB">
      <w:pPr>
        <w:pStyle w:val="8"/>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6AF1EDD6">
      <w:pPr>
        <w:pStyle w:val="8"/>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和网站上；基金管理人、基金托管人应当将《基金合同》、基金托管协议登载在网站上。 </w:t>
      </w:r>
    </w:p>
    <w:p w14:paraId="0C41E069">
      <w:pPr>
        <w:pStyle w:val="8"/>
        <w:spacing w:before="0" w:beforeAutospacing="0" w:after="0" w:afterAutospacing="0" w:line="360" w:lineRule="auto"/>
        <w:ind w:firstLine="420"/>
        <w:rPr>
          <w:sz w:val="21"/>
          <w:szCs w:val="21"/>
        </w:rPr>
      </w:pPr>
      <w:r>
        <w:rPr>
          <w:rFonts w:hint="eastAsia"/>
          <w:sz w:val="21"/>
          <w:szCs w:val="21"/>
        </w:rPr>
        <w:t xml:space="preserve">（二）基金份额发售公告 </w:t>
      </w:r>
    </w:p>
    <w:p w14:paraId="4D2E3975">
      <w:pPr>
        <w:pStyle w:val="8"/>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26F5FE16">
      <w:pPr>
        <w:pStyle w:val="8"/>
        <w:spacing w:before="0" w:beforeAutospacing="0" w:after="0" w:afterAutospacing="0" w:line="360" w:lineRule="auto"/>
        <w:ind w:firstLine="420"/>
        <w:rPr>
          <w:sz w:val="21"/>
          <w:szCs w:val="21"/>
        </w:rPr>
      </w:pPr>
      <w:r>
        <w:rPr>
          <w:rFonts w:hint="eastAsia"/>
          <w:sz w:val="21"/>
          <w:szCs w:val="21"/>
        </w:rPr>
        <w:t xml:space="preserve">（三）《基金合同》生效公告 </w:t>
      </w:r>
    </w:p>
    <w:p w14:paraId="37F1B138">
      <w:pPr>
        <w:pStyle w:val="8"/>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14:paraId="75835F39">
      <w:pPr>
        <w:pStyle w:val="8"/>
        <w:spacing w:before="0" w:beforeAutospacing="0" w:after="0" w:afterAutospacing="0" w:line="360" w:lineRule="auto"/>
        <w:ind w:firstLine="420"/>
        <w:rPr>
          <w:sz w:val="21"/>
          <w:szCs w:val="21"/>
        </w:rPr>
      </w:pPr>
      <w:r>
        <w:rPr>
          <w:rFonts w:hint="eastAsia"/>
          <w:sz w:val="21"/>
          <w:szCs w:val="21"/>
        </w:rPr>
        <w:t xml:space="preserve">（四）基金净值信息 </w:t>
      </w:r>
    </w:p>
    <w:p w14:paraId="26B59F43">
      <w:pPr>
        <w:pStyle w:val="8"/>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《基金合同》生效后，在开始办理基金份额申购或者赎回前，基金管理人应当至少每周在指定网站披露一次各类基金份额净值和各类基金份额累计净值。 </w:t>
      </w:r>
    </w:p>
    <w:p w14:paraId="30AAE956">
      <w:pPr>
        <w:pStyle w:val="8"/>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在开始办理基金份额申购或者赎回后，基金管理人应当在不晚于每个开放日的次日，通过指定网站、基金销售机构网站或者营业网点披露开放日的各类基金份额净值和各类基金份额累计净值。 </w:t>
      </w:r>
    </w:p>
    <w:p w14:paraId="39154F9B">
      <w:pPr>
        <w:pStyle w:val="8"/>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基金管理人应当在不晚于半年度和年度最后一日的次日，在指定网站披露半年度和年度最后一日的各类基金份额净值和各类基金份额累计净值。 </w:t>
      </w:r>
    </w:p>
    <w:p w14:paraId="3302D9A2">
      <w:pPr>
        <w:pStyle w:val="8"/>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5E74D3EB">
      <w:pPr>
        <w:pStyle w:val="8"/>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57C2D865">
      <w:pPr>
        <w:pStyle w:val="8"/>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14:paraId="536E5EA3">
      <w:pPr>
        <w:pStyle w:val="8"/>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5267346E">
      <w:pPr>
        <w:pStyle w:val="8"/>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1CA451DB">
      <w:pPr>
        <w:pStyle w:val="8"/>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6D7A41A2">
      <w:pPr>
        <w:pStyle w:val="8"/>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39B27831">
      <w:pPr>
        <w:pStyle w:val="8"/>
        <w:spacing w:before="0" w:beforeAutospacing="0" w:after="0" w:afterAutospacing="0" w:line="360" w:lineRule="auto"/>
        <w:ind w:firstLine="420"/>
        <w:rPr>
          <w:sz w:val="21"/>
          <w:szCs w:val="21"/>
        </w:rPr>
      </w:pPr>
      <w:r>
        <w:rPr>
          <w:rFonts w:hint="eastAsia"/>
          <w:sz w:val="21"/>
          <w:szCs w:val="21"/>
        </w:rPr>
        <w:t xml:space="preserve">本基金持续运作过程中, 应当在基金年度报告和中期报告中披露基金组合资产情况及其流动性风险分析等。 </w:t>
      </w:r>
    </w:p>
    <w:p w14:paraId="403ACE31">
      <w:pPr>
        <w:pStyle w:val="8"/>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14:paraId="71061662">
      <w:pPr>
        <w:pStyle w:val="8"/>
        <w:spacing w:before="0" w:beforeAutospacing="0" w:after="0" w:afterAutospacing="0" w:line="360" w:lineRule="auto"/>
        <w:ind w:firstLine="420"/>
        <w:rPr>
          <w:sz w:val="21"/>
          <w:szCs w:val="21"/>
        </w:rPr>
      </w:pPr>
      <w:r>
        <w:rPr>
          <w:rFonts w:hint="eastAsia"/>
          <w:sz w:val="21"/>
          <w:szCs w:val="21"/>
        </w:rPr>
        <w:t xml:space="preserve">（七）临时报告 </w:t>
      </w:r>
    </w:p>
    <w:p w14:paraId="3D076991">
      <w:pPr>
        <w:pStyle w:val="8"/>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14:paraId="6D6F1E09">
      <w:pPr>
        <w:pStyle w:val="8"/>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2CDFAEEC">
      <w:pPr>
        <w:pStyle w:val="8"/>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67884B69">
      <w:pPr>
        <w:pStyle w:val="8"/>
        <w:spacing w:before="0" w:beforeAutospacing="0" w:after="0" w:afterAutospacing="0" w:line="360" w:lineRule="auto"/>
        <w:ind w:firstLine="420"/>
        <w:rPr>
          <w:sz w:val="21"/>
          <w:szCs w:val="21"/>
        </w:rPr>
      </w:pPr>
      <w:r>
        <w:rPr>
          <w:rFonts w:hint="eastAsia"/>
          <w:sz w:val="21"/>
          <w:szCs w:val="21"/>
        </w:rPr>
        <w:t xml:space="preserve">2、《基金合同》终止、基金清算； </w:t>
      </w:r>
    </w:p>
    <w:p w14:paraId="14A99DCF">
      <w:pPr>
        <w:pStyle w:val="8"/>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5F2D5ACA">
      <w:pPr>
        <w:pStyle w:val="8"/>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2802B251">
      <w:pPr>
        <w:pStyle w:val="8"/>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2020B591">
      <w:pPr>
        <w:pStyle w:val="8"/>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12EE091B">
      <w:pPr>
        <w:pStyle w:val="8"/>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453516DC">
      <w:pPr>
        <w:pStyle w:val="8"/>
        <w:spacing w:before="0" w:beforeAutospacing="0" w:after="0" w:afterAutospacing="0" w:line="360" w:lineRule="auto"/>
        <w:ind w:firstLine="420"/>
        <w:rPr>
          <w:sz w:val="21"/>
          <w:szCs w:val="21"/>
        </w:rPr>
      </w:pPr>
      <w:r>
        <w:rPr>
          <w:rFonts w:hint="eastAsia"/>
          <w:sz w:val="21"/>
          <w:szCs w:val="21"/>
        </w:rPr>
        <w:t xml:space="preserve">8、基金募集期延长； </w:t>
      </w:r>
    </w:p>
    <w:p w14:paraId="1411C727">
      <w:pPr>
        <w:pStyle w:val="8"/>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13A4BD2A">
      <w:pPr>
        <w:pStyle w:val="8"/>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343AAC17">
      <w:pPr>
        <w:pStyle w:val="8"/>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3E2C07C2">
      <w:pPr>
        <w:pStyle w:val="8"/>
        <w:spacing w:before="0" w:beforeAutospacing="0" w:after="0" w:afterAutospacing="0" w:line="360" w:lineRule="auto"/>
        <w:ind w:firstLine="420"/>
        <w:rPr>
          <w:sz w:val="21"/>
          <w:szCs w:val="21"/>
        </w:rPr>
      </w:pPr>
      <w:r>
        <w:rPr>
          <w:rFonts w:hint="eastAsia"/>
          <w:sz w:val="21"/>
          <w:szCs w:val="21"/>
        </w:rPr>
        <w:t xml:space="preserve">12、涉及基金财产、基金管理业务、基金托管业务的诉讼或仲裁； </w:t>
      </w:r>
    </w:p>
    <w:p w14:paraId="14776D37">
      <w:pPr>
        <w:pStyle w:val="8"/>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2D57A83F">
      <w:pPr>
        <w:pStyle w:val="8"/>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748F7FCE">
      <w:pPr>
        <w:pStyle w:val="8"/>
        <w:spacing w:before="0" w:beforeAutospacing="0" w:after="0" w:afterAutospacing="0" w:line="360" w:lineRule="auto"/>
        <w:ind w:firstLine="420"/>
        <w:rPr>
          <w:sz w:val="21"/>
          <w:szCs w:val="21"/>
        </w:rPr>
      </w:pPr>
      <w:r>
        <w:rPr>
          <w:rFonts w:hint="eastAsia"/>
          <w:sz w:val="21"/>
          <w:szCs w:val="21"/>
        </w:rPr>
        <w:t xml:space="preserve">15、基金收益分配事项； </w:t>
      </w:r>
    </w:p>
    <w:p w14:paraId="5FA05DED">
      <w:pPr>
        <w:pStyle w:val="8"/>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67ADF7D8">
      <w:pPr>
        <w:pStyle w:val="8"/>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14:paraId="3F8A8D0F">
      <w:pPr>
        <w:pStyle w:val="8"/>
        <w:spacing w:before="0" w:beforeAutospacing="0" w:after="0" w:afterAutospacing="0" w:line="360" w:lineRule="auto"/>
        <w:ind w:firstLine="420"/>
        <w:rPr>
          <w:sz w:val="21"/>
          <w:szCs w:val="21"/>
        </w:rPr>
      </w:pPr>
      <w:r>
        <w:rPr>
          <w:rFonts w:hint="eastAsia"/>
          <w:sz w:val="21"/>
          <w:szCs w:val="21"/>
        </w:rPr>
        <w:t xml:space="preserve">18、本基金开始办理申购、赎回； </w:t>
      </w:r>
    </w:p>
    <w:p w14:paraId="64C26928">
      <w:pPr>
        <w:pStyle w:val="8"/>
        <w:spacing w:before="0" w:beforeAutospacing="0" w:after="0" w:afterAutospacing="0" w:line="360" w:lineRule="auto"/>
        <w:ind w:firstLine="420"/>
        <w:rPr>
          <w:sz w:val="21"/>
          <w:szCs w:val="21"/>
        </w:rPr>
      </w:pPr>
      <w:r>
        <w:rPr>
          <w:rFonts w:hint="eastAsia"/>
          <w:sz w:val="21"/>
          <w:szCs w:val="21"/>
        </w:rPr>
        <w:t xml:space="preserve">19、本基金发生巨额赎回并延期办理； </w:t>
      </w:r>
    </w:p>
    <w:p w14:paraId="50FC678E">
      <w:pPr>
        <w:pStyle w:val="8"/>
        <w:spacing w:before="0" w:beforeAutospacing="0" w:after="0" w:afterAutospacing="0" w:line="360" w:lineRule="auto"/>
        <w:ind w:firstLine="420"/>
        <w:rPr>
          <w:sz w:val="21"/>
          <w:szCs w:val="21"/>
        </w:rPr>
      </w:pPr>
      <w:r>
        <w:rPr>
          <w:rFonts w:hint="eastAsia"/>
          <w:sz w:val="21"/>
          <w:szCs w:val="21"/>
        </w:rPr>
        <w:t xml:space="preserve">20、本基金连续发生巨额赎回并暂停接受赎回申请或延缓支付赎回款项； </w:t>
      </w:r>
    </w:p>
    <w:p w14:paraId="1553E398">
      <w:pPr>
        <w:pStyle w:val="8"/>
        <w:spacing w:before="0" w:beforeAutospacing="0" w:after="0" w:afterAutospacing="0" w:line="360" w:lineRule="auto"/>
        <w:ind w:firstLine="420"/>
        <w:rPr>
          <w:sz w:val="21"/>
          <w:szCs w:val="21"/>
        </w:rPr>
      </w:pPr>
      <w:r>
        <w:rPr>
          <w:rFonts w:hint="eastAsia"/>
          <w:sz w:val="21"/>
          <w:szCs w:val="21"/>
        </w:rPr>
        <w:t xml:space="preserve">21、本基金暂停接受申购、赎回申请或重新接受申购、赎回申请； </w:t>
      </w:r>
    </w:p>
    <w:p w14:paraId="2AFD5278">
      <w:pPr>
        <w:pStyle w:val="8"/>
        <w:spacing w:before="0" w:beforeAutospacing="0" w:after="0" w:afterAutospacing="0" w:line="360" w:lineRule="auto"/>
        <w:ind w:firstLine="420"/>
        <w:rPr>
          <w:sz w:val="21"/>
          <w:szCs w:val="21"/>
        </w:rPr>
      </w:pPr>
      <w:r>
        <w:rPr>
          <w:rFonts w:hint="eastAsia"/>
          <w:sz w:val="21"/>
          <w:szCs w:val="21"/>
        </w:rPr>
        <w:t xml:space="preserve">22、发生涉及本基金申购、赎回事项调整或潜在影响投资者赎回等重大事项时； </w:t>
      </w:r>
    </w:p>
    <w:p w14:paraId="433E5740">
      <w:pPr>
        <w:pStyle w:val="8"/>
        <w:spacing w:before="0" w:beforeAutospacing="0" w:after="0" w:afterAutospacing="0" w:line="360" w:lineRule="auto"/>
        <w:ind w:firstLine="420"/>
        <w:rPr>
          <w:sz w:val="21"/>
          <w:szCs w:val="21"/>
        </w:rPr>
      </w:pPr>
      <w:r>
        <w:rPr>
          <w:rFonts w:hint="eastAsia"/>
          <w:sz w:val="21"/>
          <w:szCs w:val="21"/>
        </w:rPr>
        <w:t xml:space="preserve">23、基金信息披露义务人认为可能对基金份额持有人权益或者基金份额的价格产生重大影响的其他事项或中国证监会规定的其他事项。 </w:t>
      </w:r>
    </w:p>
    <w:p w14:paraId="24AAAF96">
      <w:pPr>
        <w:pStyle w:val="8"/>
        <w:spacing w:before="0" w:beforeAutospacing="0" w:after="0" w:afterAutospacing="0" w:line="360" w:lineRule="auto"/>
        <w:ind w:firstLine="420"/>
        <w:rPr>
          <w:sz w:val="21"/>
          <w:szCs w:val="21"/>
        </w:rPr>
      </w:pPr>
      <w:r>
        <w:rPr>
          <w:rFonts w:hint="eastAsia"/>
          <w:sz w:val="21"/>
          <w:szCs w:val="21"/>
        </w:rPr>
        <w:t xml:space="preserve">（八）澄清公告 </w:t>
      </w:r>
    </w:p>
    <w:p w14:paraId="37CFB59C">
      <w:pPr>
        <w:pStyle w:val="8"/>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0A16E73A">
      <w:pPr>
        <w:pStyle w:val="8"/>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7B9AD814">
      <w:pPr>
        <w:pStyle w:val="8"/>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7BED1113">
      <w:pPr>
        <w:pStyle w:val="8"/>
        <w:spacing w:before="0" w:beforeAutospacing="0" w:after="0" w:afterAutospacing="0" w:line="360" w:lineRule="auto"/>
        <w:ind w:firstLine="420"/>
        <w:rPr>
          <w:sz w:val="21"/>
          <w:szCs w:val="21"/>
        </w:rPr>
      </w:pPr>
      <w:r>
        <w:rPr>
          <w:rFonts w:hint="eastAsia"/>
          <w:sz w:val="21"/>
          <w:szCs w:val="21"/>
        </w:rPr>
        <w:t xml:space="preserve">（十）清算报告 </w:t>
      </w:r>
    </w:p>
    <w:p w14:paraId="52207C4C">
      <w:pPr>
        <w:pStyle w:val="8"/>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07798EA0">
      <w:pPr>
        <w:pStyle w:val="8"/>
        <w:spacing w:before="0" w:beforeAutospacing="0" w:after="0" w:afterAutospacing="0" w:line="360" w:lineRule="auto"/>
        <w:ind w:firstLine="420"/>
        <w:rPr>
          <w:sz w:val="21"/>
          <w:szCs w:val="21"/>
        </w:rPr>
      </w:pPr>
      <w:r>
        <w:rPr>
          <w:rFonts w:hint="eastAsia"/>
          <w:sz w:val="21"/>
          <w:szCs w:val="21"/>
        </w:rPr>
        <w:t xml:space="preserve">（十一）资产支持证券的投资情况 </w:t>
      </w:r>
    </w:p>
    <w:p w14:paraId="059F57CA">
      <w:pPr>
        <w:pStyle w:val="8"/>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3F27D3BE">
      <w:pPr>
        <w:pStyle w:val="8"/>
        <w:spacing w:before="0" w:beforeAutospacing="0" w:after="0" w:afterAutospacing="0" w:line="360" w:lineRule="auto"/>
        <w:ind w:firstLine="420"/>
        <w:rPr>
          <w:sz w:val="21"/>
          <w:szCs w:val="21"/>
        </w:rPr>
      </w:pPr>
      <w:r>
        <w:rPr>
          <w:rFonts w:hint="eastAsia"/>
          <w:sz w:val="21"/>
          <w:szCs w:val="21"/>
        </w:rPr>
        <w:t xml:space="preserve">（十二）实施侧袋机制期间的信息披露 </w:t>
      </w:r>
    </w:p>
    <w:p w14:paraId="13B95B10">
      <w:pPr>
        <w:pStyle w:val="8"/>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42B95829">
      <w:pPr>
        <w:pStyle w:val="8"/>
        <w:spacing w:before="0" w:beforeAutospacing="0" w:after="0" w:afterAutospacing="0" w:line="360" w:lineRule="auto"/>
        <w:ind w:firstLine="420"/>
        <w:rPr>
          <w:sz w:val="21"/>
          <w:szCs w:val="21"/>
        </w:rPr>
      </w:pPr>
      <w:bookmarkStart w:id="186" w:name="chapter_level1_18_67_section_2_end"/>
      <w:bookmarkEnd w:id="186"/>
      <w:r>
        <w:rPr>
          <w:rFonts w:hint="eastAsia"/>
          <w:sz w:val="21"/>
          <w:szCs w:val="21"/>
        </w:rPr>
        <w:t xml:space="preserve">（十三）中国证监会规定的其他信息 </w:t>
      </w:r>
    </w:p>
    <w:p w14:paraId="4693CC8B">
      <w:pPr>
        <w:pStyle w:val="8"/>
        <w:spacing w:before="0" w:beforeAutospacing="0" w:after="0" w:afterAutospacing="0" w:line="360" w:lineRule="auto"/>
        <w:ind w:firstLine="420"/>
        <w:rPr>
          <w:sz w:val="21"/>
          <w:szCs w:val="21"/>
        </w:rPr>
      </w:pPr>
      <w:bookmarkStart w:id="187" w:name="chapter_level1_18_67_section_3"/>
      <w:bookmarkEnd w:id="187"/>
      <w:r>
        <w:rPr>
          <w:rStyle w:val="12"/>
          <w:rFonts w:hint="eastAsia"/>
          <w:sz w:val="21"/>
          <w:szCs w:val="21"/>
        </w:rPr>
        <w:t>六、信息披露事务管理</w:t>
      </w:r>
    </w:p>
    <w:p w14:paraId="6B1915AE">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7B859F32">
      <w:pPr>
        <w:pStyle w:val="8"/>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7075EBEC">
      <w:pPr>
        <w:pStyle w:val="8"/>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14D97B30">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 </w:t>
      </w:r>
    </w:p>
    <w:p w14:paraId="0FE79749">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69C6F0EE">
      <w:pPr>
        <w:pStyle w:val="8"/>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31C59F85">
      <w:pPr>
        <w:pStyle w:val="8"/>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0A9C08D1">
      <w:pPr>
        <w:pStyle w:val="8"/>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49AD38A6">
      <w:pPr>
        <w:pStyle w:val="8"/>
        <w:spacing w:before="0" w:beforeAutospacing="0" w:after="0" w:afterAutospacing="0" w:line="360" w:lineRule="auto"/>
        <w:ind w:firstLine="420"/>
        <w:rPr>
          <w:sz w:val="21"/>
          <w:szCs w:val="21"/>
        </w:rPr>
      </w:pPr>
      <w:r>
        <w:rPr>
          <w:rStyle w:val="12"/>
          <w:rFonts w:hint="eastAsia"/>
          <w:sz w:val="21"/>
          <w:szCs w:val="21"/>
        </w:rPr>
        <w:t>七、信息披露文件的存放与查阅</w:t>
      </w:r>
    </w:p>
    <w:p w14:paraId="3243CC00">
      <w:pPr>
        <w:pStyle w:val="8"/>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依法必须披露的信息发布后，基金管理人、基金托管人应当按照相关法律法规规定将信息置备于各自住所，供社会公众查阅、复制。 </w:t>
      </w:r>
    </w:p>
    <w:p w14:paraId="1999C7B3">
      <w:pPr>
        <w:pStyle w:val="8"/>
        <w:spacing w:before="0" w:beforeAutospacing="0" w:after="0" w:afterAutospacing="0" w:line="360" w:lineRule="auto"/>
        <w:ind w:firstLine="420"/>
        <w:rPr>
          <w:sz w:val="21"/>
          <w:szCs w:val="21"/>
        </w:rPr>
      </w:pPr>
      <w:r>
        <w:rPr>
          <w:rStyle w:val="12"/>
          <w:rFonts w:hint="eastAsia"/>
          <w:sz w:val="21"/>
          <w:szCs w:val="21"/>
        </w:rPr>
        <w:t>八、暂停或延迟信息披露的情形</w:t>
      </w:r>
    </w:p>
    <w:p w14:paraId="5F146FD9">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（1）基金投资所涉及的证券交易所遇法定节假日或因其他原因暂停营业时； </w:t>
      </w:r>
    </w:p>
    <w:p w14:paraId="3DC7BDB7">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5D547FEE">
      <w:pPr>
        <w:pStyle w:val="8"/>
        <w:spacing w:before="0" w:beforeAutospacing="0" w:after="0" w:afterAutospacing="0" w:line="360" w:lineRule="auto"/>
        <w:ind w:firstLine="420"/>
        <w:rPr>
          <w:sz w:val="21"/>
          <w:szCs w:val="21"/>
        </w:rPr>
      </w:pPr>
      <w:bookmarkStart w:id="188" w:name="chapter_level1_18_67_section_3_end"/>
      <w:bookmarkEnd w:id="188"/>
      <w:r>
        <w:rPr>
          <w:rFonts w:hint="eastAsia"/>
          <w:sz w:val="21"/>
          <w:szCs w:val="21"/>
        </w:rPr>
        <w:t xml:space="preserve">（3）法律法规规定、中国证监会或基金合同认定的其他情形。 </w:t>
      </w:r>
    </w:p>
    <w:p w14:paraId="0F81424F">
      <w:pPr>
        <w:widowControl/>
        <w:jc w:val="left"/>
        <w:rPr>
          <w:rFonts w:ascii="宋体" w:hAnsi="宋体" w:eastAsia="宋体"/>
        </w:rPr>
      </w:pPr>
      <w:r>
        <w:rPr>
          <w:rFonts w:ascii="宋体" w:hAnsi="宋体" w:eastAsia="宋体"/>
        </w:rPr>
        <w:br w:type="page"/>
      </w:r>
    </w:p>
    <w:p w14:paraId="0545738B">
      <w:pPr>
        <w:pStyle w:val="2"/>
        <w:jc w:val="center"/>
        <w:rPr>
          <w:rFonts w:ascii="宋体" w:hAnsi="宋体" w:eastAsia="宋体"/>
          <w:sz w:val="30"/>
        </w:rPr>
      </w:pPr>
      <w:bookmarkStart w:id="189" w:name="chapter_level1_19_55823"/>
      <w:bookmarkStart w:id="190" w:name="_Toc239192442"/>
      <w:r>
        <w:rPr>
          <w:rFonts w:hint="eastAsia" w:ascii="宋体" w:hAnsi="宋体" w:eastAsia="宋体"/>
          <w:sz w:val="30"/>
        </w:rPr>
        <w:t>第十六部分 侧袋机制</w:t>
      </w:r>
      <w:bookmarkEnd w:id="189"/>
      <w:bookmarkEnd w:id="190"/>
    </w:p>
    <w:p w14:paraId="6C79A2C5">
      <w:pPr>
        <w:pStyle w:val="8"/>
        <w:spacing w:before="0" w:beforeAutospacing="0" w:after="0" w:afterAutospacing="0" w:line="360" w:lineRule="auto"/>
        <w:ind w:firstLine="420"/>
        <w:rPr>
          <w:sz w:val="21"/>
          <w:szCs w:val="21"/>
        </w:rPr>
      </w:pPr>
      <w:bookmarkStart w:id="191" w:name="chapter_level1_19_55823_section_1"/>
      <w:bookmarkEnd w:id="191"/>
      <w:r>
        <w:rPr>
          <w:rFonts w:hint="eastAsia"/>
          <w:b/>
          <w:bCs/>
          <w:sz w:val="21"/>
          <w:szCs w:val="21"/>
        </w:rPr>
        <w:t>一、侧袋机制的实施条件、实施程序和特定资产范围 </w:t>
      </w:r>
    </w:p>
    <w:p w14:paraId="1898DEA6">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730792EC">
      <w:pPr>
        <w:pStyle w:val="8"/>
        <w:spacing w:before="0" w:beforeAutospacing="0" w:after="0" w:afterAutospacing="0" w:line="360" w:lineRule="auto"/>
        <w:ind w:firstLine="420"/>
        <w:rPr>
          <w:sz w:val="21"/>
          <w:szCs w:val="21"/>
        </w:rPr>
      </w:pPr>
      <w:r>
        <w:rPr>
          <w:rFonts w:hint="eastAsia"/>
          <w:sz w:val="21"/>
          <w:szCs w:val="21"/>
        </w:rPr>
        <w:t xml:space="preserve">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010EB8FA">
      <w:pPr>
        <w:pStyle w:val="8"/>
        <w:spacing w:before="0" w:beforeAutospacing="0" w:after="0" w:afterAutospacing="0" w:line="360" w:lineRule="auto"/>
        <w:ind w:firstLine="420"/>
        <w:rPr>
          <w:sz w:val="21"/>
          <w:szCs w:val="21"/>
        </w:rPr>
      </w:pPr>
      <w:r>
        <w:rPr>
          <w:rFonts w:hint="eastAsia"/>
          <w:sz w:val="21"/>
          <w:szCs w:val="21"/>
        </w:rPr>
        <w:t xml:space="preserve">启用侧袋机制当日，基金管理人应以基金份额持有人的原有账户份额为基础，确认相应侧袋账户基金份额持有人名册和份额。 </w:t>
      </w:r>
    </w:p>
    <w:p w14:paraId="171D957E">
      <w:pPr>
        <w:pStyle w:val="8"/>
        <w:spacing w:before="0" w:beforeAutospacing="0" w:after="0" w:afterAutospacing="0" w:line="360" w:lineRule="auto"/>
        <w:ind w:firstLine="420"/>
        <w:rPr>
          <w:sz w:val="21"/>
          <w:szCs w:val="21"/>
        </w:rPr>
      </w:pPr>
      <w:r>
        <w:rPr>
          <w:rFonts w:hint="eastAsia"/>
          <w:b/>
          <w:bCs/>
          <w:sz w:val="21"/>
          <w:szCs w:val="21"/>
        </w:rPr>
        <w:t>二、侧袋机制实施期间的基金运作安排</w:t>
      </w:r>
    </w:p>
    <w:p w14:paraId="7C228832">
      <w:pPr>
        <w:pStyle w:val="8"/>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27BF702C">
      <w:pPr>
        <w:pStyle w:val="8"/>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15CE9839">
      <w:pPr>
        <w:pStyle w:val="8"/>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694C7AC3">
      <w:pPr>
        <w:pStyle w:val="8"/>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656F31BF">
      <w:pPr>
        <w:pStyle w:val="8"/>
        <w:spacing w:before="0" w:beforeAutospacing="0" w:after="0" w:afterAutospacing="0" w:line="360" w:lineRule="auto"/>
        <w:ind w:firstLine="420"/>
        <w:rPr>
          <w:sz w:val="21"/>
          <w:szCs w:val="21"/>
        </w:rPr>
      </w:pPr>
      <w:r>
        <w:rPr>
          <w:rFonts w:hint="eastAsia"/>
          <w:sz w:val="21"/>
          <w:szCs w:val="21"/>
        </w:rPr>
        <w:t xml:space="preserve"> （二）基金的投资 </w:t>
      </w:r>
    </w:p>
    <w:p w14:paraId="157FE077">
      <w:pPr>
        <w:pStyle w:val="8"/>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 </w:t>
      </w:r>
    </w:p>
    <w:p w14:paraId="2564D8B5">
      <w:pPr>
        <w:pStyle w:val="8"/>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380FDC1B">
      <w:pPr>
        <w:pStyle w:val="8"/>
        <w:spacing w:before="0" w:beforeAutospacing="0" w:after="0" w:afterAutospacing="0" w:line="360" w:lineRule="auto"/>
        <w:ind w:firstLine="420"/>
        <w:rPr>
          <w:sz w:val="21"/>
          <w:szCs w:val="21"/>
        </w:rPr>
      </w:pPr>
      <w:r>
        <w:rPr>
          <w:rFonts w:hint="eastAsia"/>
          <w:sz w:val="21"/>
          <w:szCs w:val="21"/>
        </w:rPr>
        <w:t xml:space="preserve">（三）基金的费用 </w:t>
      </w:r>
    </w:p>
    <w:p w14:paraId="083928BA">
      <w:pPr>
        <w:pStyle w:val="8"/>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侧袋机制实施期间，侧袋账户资产不收取管理费。如法律法规对于侧袋账户资产托管费的收取另有规定的，以法律法规最新要求为准。 </w:t>
      </w:r>
    </w:p>
    <w:p w14:paraId="59ED21FF">
      <w:pPr>
        <w:pStyle w:val="8"/>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685F7C66">
      <w:pPr>
        <w:pStyle w:val="8"/>
        <w:spacing w:before="0" w:beforeAutospacing="0" w:after="0" w:afterAutospacing="0" w:line="360" w:lineRule="auto"/>
        <w:ind w:firstLine="420"/>
        <w:rPr>
          <w:sz w:val="21"/>
          <w:szCs w:val="21"/>
        </w:rPr>
      </w:pPr>
      <w:r>
        <w:rPr>
          <w:rFonts w:hint="eastAsia"/>
          <w:sz w:val="21"/>
          <w:szCs w:val="21"/>
        </w:rPr>
        <w:t xml:space="preserve">（四）基金的收益分配 </w:t>
      </w:r>
    </w:p>
    <w:p w14:paraId="4181B004">
      <w:pPr>
        <w:pStyle w:val="8"/>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2BD33DC2">
      <w:pPr>
        <w:pStyle w:val="8"/>
        <w:spacing w:before="0" w:beforeAutospacing="0" w:after="0" w:afterAutospacing="0" w:line="360" w:lineRule="auto"/>
        <w:ind w:firstLine="420"/>
        <w:rPr>
          <w:sz w:val="21"/>
          <w:szCs w:val="21"/>
        </w:rPr>
      </w:pPr>
      <w:r>
        <w:rPr>
          <w:rFonts w:hint="eastAsia"/>
          <w:sz w:val="21"/>
          <w:szCs w:val="21"/>
        </w:rPr>
        <w:t xml:space="preserve">（五）基金的信息披露 </w:t>
      </w:r>
    </w:p>
    <w:p w14:paraId="04A6CE23">
      <w:pPr>
        <w:pStyle w:val="8"/>
        <w:spacing w:before="0" w:beforeAutospacing="0" w:after="0" w:afterAutospacing="0" w:line="360" w:lineRule="auto"/>
        <w:ind w:firstLine="420"/>
        <w:rPr>
          <w:sz w:val="21"/>
          <w:szCs w:val="21"/>
        </w:rPr>
      </w:pPr>
      <w:r>
        <w:rPr>
          <w:rFonts w:hint="eastAsia"/>
          <w:sz w:val="21"/>
          <w:szCs w:val="21"/>
        </w:rPr>
        <w:t xml:space="preserve">1、基金净值信息 </w:t>
      </w:r>
    </w:p>
    <w:p w14:paraId="00712243">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侧袋机制实施期间，基金管理人应当暂停披露侧袋账户的基金份额净值。 </w:t>
      </w:r>
    </w:p>
    <w:p w14:paraId="22F6A802">
      <w:pPr>
        <w:pStyle w:val="8"/>
        <w:spacing w:before="0" w:beforeAutospacing="0" w:after="0" w:afterAutospacing="0" w:line="360" w:lineRule="auto"/>
        <w:ind w:firstLine="420"/>
        <w:rPr>
          <w:sz w:val="21"/>
          <w:szCs w:val="21"/>
        </w:rPr>
      </w:pPr>
      <w:r>
        <w:rPr>
          <w:rFonts w:hint="eastAsia"/>
          <w:sz w:val="21"/>
          <w:szCs w:val="21"/>
        </w:rPr>
        <w:t xml:space="preserve">2、定期报告 </w:t>
      </w:r>
    </w:p>
    <w:p w14:paraId="6EE4DB0B">
      <w:pPr>
        <w:pStyle w:val="8"/>
        <w:spacing w:before="0" w:beforeAutospacing="0" w:after="0" w:afterAutospacing="0" w:line="360" w:lineRule="auto"/>
        <w:ind w:firstLine="420"/>
        <w:rPr>
          <w:sz w:val="21"/>
          <w:szCs w:val="21"/>
        </w:rPr>
      </w:pPr>
      <w:r>
        <w:rPr>
          <w:rFonts w:hint="eastAsia"/>
          <w:sz w:val="21"/>
          <w:szCs w:val="21"/>
        </w:rPr>
        <w:t xml:space="preserve">基金管理人应当在基金定期报告中披露报告期内特定资产处置进展情况。基金管理人披露报告期末特定资产可变现净值或净值区间的，该净值或净值区间并不代表特定资产最终变现价格。 </w:t>
      </w:r>
    </w:p>
    <w:p w14:paraId="69C6906E">
      <w:pPr>
        <w:pStyle w:val="8"/>
        <w:spacing w:before="0" w:beforeAutospacing="0" w:after="0" w:afterAutospacing="0" w:line="360" w:lineRule="auto"/>
        <w:ind w:firstLine="420"/>
        <w:rPr>
          <w:sz w:val="21"/>
          <w:szCs w:val="21"/>
        </w:rPr>
      </w:pPr>
      <w:r>
        <w:rPr>
          <w:rFonts w:hint="eastAsia"/>
          <w:sz w:val="21"/>
          <w:szCs w:val="21"/>
        </w:rPr>
        <w:t xml:space="preserve">3、临时报告 </w:t>
      </w:r>
    </w:p>
    <w:p w14:paraId="43CC75BF">
      <w:pPr>
        <w:pStyle w:val="8"/>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60DE1837">
      <w:pPr>
        <w:pStyle w:val="8"/>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2A64B95C">
      <w:pPr>
        <w:pStyle w:val="8"/>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 </w:t>
      </w:r>
    </w:p>
    <w:p w14:paraId="33CA9909">
      <w:pPr>
        <w:pStyle w:val="8"/>
        <w:spacing w:before="0" w:beforeAutospacing="0" w:after="0" w:afterAutospacing="0" w:line="360" w:lineRule="auto"/>
        <w:ind w:firstLine="420"/>
        <w:rPr>
          <w:sz w:val="21"/>
          <w:szCs w:val="21"/>
        </w:rPr>
      </w:pPr>
      <w:r>
        <w:rPr>
          <w:rFonts w:hint="eastAsia"/>
          <w:sz w:val="21"/>
          <w:szCs w:val="21"/>
        </w:rPr>
        <w:t xml:space="preserve">（六）特定资产处置清算 </w:t>
      </w:r>
    </w:p>
    <w:p w14:paraId="4D1CF950">
      <w:pPr>
        <w:pStyle w:val="8"/>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 </w:t>
      </w:r>
    </w:p>
    <w:p w14:paraId="7C54F9A3">
      <w:pPr>
        <w:pStyle w:val="8"/>
        <w:spacing w:before="0" w:beforeAutospacing="0" w:after="0" w:afterAutospacing="0" w:line="360" w:lineRule="auto"/>
        <w:ind w:firstLine="420"/>
        <w:rPr>
          <w:sz w:val="21"/>
          <w:szCs w:val="21"/>
        </w:rPr>
      </w:pPr>
      <w:r>
        <w:rPr>
          <w:rFonts w:hint="eastAsia"/>
          <w:sz w:val="21"/>
          <w:szCs w:val="21"/>
        </w:rPr>
        <w:t xml:space="preserve">（七）侧袋的审计 </w:t>
      </w:r>
    </w:p>
    <w:p w14:paraId="3B9AE5AF">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 </w:t>
      </w:r>
    </w:p>
    <w:p w14:paraId="3CB424C7">
      <w:pPr>
        <w:pStyle w:val="8"/>
        <w:spacing w:before="0" w:beforeAutospacing="0" w:after="0" w:afterAutospacing="0" w:line="360" w:lineRule="auto"/>
        <w:ind w:firstLine="420"/>
        <w:rPr>
          <w:rFonts w:hint="eastAsia"/>
          <w:b/>
          <w:bCs/>
          <w:sz w:val="21"/>
          <w:szCs w:val="21"/>
        </w:rPr>
      </w:pPr>
      <w:r>
        <w:rPr>
          <w:rFonts w:hint="eastAsia"/>
          <w:b/>
          <w:bCs/>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调</w:t>
      </w:r>
      <w:bookmarkStart w:id="192" w:name="chapter_level1_19_55823_section_1_end"/>
      <w:bookmarkEnd w:id="192"/>
      <w:r>
        <w:rPr>
          <w:rFonts w:hint="eastAsia"/>
          <w:b/>
          <w:bCs/>
          <w:sz w:val="21"/>
          <w:szCs w:val="21"/>
        </w:rPr>
        <w:t>整或补充，无需召开基金份额持有人大会审议。</w:t>
      </w:r>
    </w:p>
    <w:p w14:paraId="5E785F1D">
      <w:pPr>
        <w:pStyle w:val="8"/>
        <w:spacing w:before="0" w:beforeAutospacing="0" w:after="0" w:afterAutospacing="0" w:line="360" w:lineRule="auto"/>
        <w:ind w:firstLine="420"/>
        <w:rPr>
          <w:rFonts w:hint="eastAsia"/>
          <w:b/>
          <w:bCs/>
          <w:sz w:val="21"/>
          <w:szCs w:val="21"/>
        </w:rPr>
      </w:pPr>
      <w:r>
        <w:rPr>
          <w:rFonts w:hint="eastAsia"/>
          <w:b/>
          <w:bCs/>
          <w:sz w:val="21"/>
          <w:szCs w:val="21"/>
        </w:rPr>
        <w:br w:type="page"/>
      </w:r>
    </w:p>
    <w:p w14:paraId="7DB37F20">
      <w:pPr>
        <w:pStyle w:val="2"/>
        <w:jc w:val="center"/>
        <w:rPr>
          <w:rFonts w:ascii="宋体" w:hAnsi="宋体" w:eastAsia="宋体"/>
          <w:sz w:val="30"/>
        </w:rPr>
      </w:pPr>
      <w:bookmarkStart w:id="193" w:name="_Toc239192443"/>
      <w:bookmarkStart w:id="194" w:name="chapter_level1_20_68"/>
      <w:r>
        <w:rPr>
          <w:rFonts w:hint="eastAsia" w:ascii="宋体" w:hAnsi="宋体" w:eastAsia="宋体"/>
          <w:sz w:val="30"/>
        </w:rPr>
        <w:t>第十七部分  风险揭示</w:t>
      </w:r>
      <w:bookmarkEnd w:id="193"/>
      <w:bookmarkEnd w:id="194"/>
    </w:p>
    <w:p w14:paraId="52DABE5E">
      <w:pPr>
        <w:pStyle w:val="8"/>
        <w:spacing w:before="0" w:beforeAutospacing="0" w:after="0" w:afterAutospacing="0" w:line="360" w:lineRule="auto"/>
        <w:ind w:firstLine="420"/>
        <w:rPr>
          <w:sz w:val="21"/>
          <w:szCs w:val="21"/>
        </w:rPr>
      </w:pPr>
      <w:bookmarkStart w:id="195" w:name="chapter_level1_20_68_section_1"/>
      <w:bookmarkEnd w:id="195"/>
      <w:r>
        <w:rPr>
          <w:rFonts w:hint="eastAsia"/>
          <w:sz w:val="21"/>
          <w:szCs w:val="21"/>
        </w:rPr>
        <w:t xml:space="preserve">一、投资于本基金的主要风险 </w:t>
      </w:r>
    </w:p>
    <w:p w14:paraId="6EAE5970">
      <w:pPr>
        <w:pStyle w:val="8"/>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6A2E863A">
      <w:pPr>
        <w:pStyle w:val="8"/>
        <w:spacing w:before="0" w:beforeAutospacing="0" w:after="0" w:afterAutospacing="0" w:line="360" w:lineRule="auto"/>
        <w:ind w:firstLine="420"/>
        <w:rPr>
          <w:sz w:val="21"/>
          <w:szCs w:val="21"/>
        </w:rPr>
      </w:pPr>
      <w:r>
        <w:rPr>
          <w:rFonts w:hint="eastAsia"/>
          <w:sz w:val="21"/>
          <w:szCs w:val="21"/>
        </w:rPr>
        <w:t xml:space="preserve">1、市场风险 </w:t>
      </w:r>
    </w:p>
    <w:p w14:paraId="49A4728D">
      <w:pPr>
        <w:pStyle w:val="8"/>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4F1BE173">
      <w:pPr>
        <w:pStyle w:val="8"/>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20BB4750">
      <w:pPr>
        <w:pStyle w:val="8"/>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4B3599C4">
      <w:pPr>
        <w:pStyle w:val="8"/>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52B11B16">
      <w:pPr>
        <w:pStyle w:val="8"/>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28A19A6B">
      <w:pPr>
        <w:pStyle w:val="8"/>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7C735405">
      <w:pPr>
        <w:pStyle w:val="8"/>
        <w:spacing w:before="0" w:beforeAutospacing="0" w:after="0" w:afterAutospacing="0" w:line="360" w:lineRule="auto"/>
        <w:ind w:firstLine="420"/>
        <w:rPr>
          <w:sz w:val="21"/>
          <w:szCs w:val="21"/>
        </w:rPr>
      </w:pPr>
      <w:r>
        <w:rPr>
          <w:rFonts w:hint="eastAsia"/>
          <w:sz w:val="21"/>
          <w:szCs w:val="21"/>
        </w:rPr>
        <w:t xml:space="preserve">（6）杠杆风险。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5E792E34">
      <w:pPr>
        <w:pStyle w:val="8"/>
        <w:spacing w:before="0" w:beforeAutospacing="0" w:after="0" w:afterAutospacing="0" w:line="360" w:lineRule="auto"/>
        <w:ind w:firstLine="420"/>
        <w:rPr>
          <w:sz w:val="21"/>
          <w:szCs w:val="21"/>
        </w:rPr>
      </w:pPr>
      <w:r>
        <w:rPr>
          <w:rFonts w:hint="eastAsia"/>
          <w:sz w:val="21"/>
          <w:szCs w:val="21"/>
        </w:rPr>
        <w:t xml:space="preserve">（7）债券收益率曲线风险。债券市场不同期限、不同类属债券之间的利差变动会导致相应期限和类属债券价格变化的风险。杠杆成本异常上升时，有可能导致基金财产收益的超预期下降风险。 </w:t>
      </w:r>
    </w:p>
    <w:p w14:paraId="245291D5">
      <w:pPr>
        <w:pStyle w:val="8"/>
        <w:spacing w:before="0" w:beforeAutospacing="0" w:after="0" w:afterAutospacing="0" w:line="360" w:lineRule="auto"/>
        <w:ind w:firstLine="420"/>
        <w:rPr>
          <w:sz w:val="21"/>
          <w:szCs w:val="21"/>
        </w:rPr>
      </w:pPr>
      <w:r>
        <w:rPr>
          <w:rFonts w:hint="eastAsia"/>
          <w:sz w:val="21"/>
          <w:szCs w:val="21"/>
        </w:rPr>
        <w:t xml:space="preserve">2、信用风险 </w:t>
      </w:r>
    </w:p>
    <w:p w14:paraId="1CB33C06">
      <w:pPr>
        <w:pStyle w:val="8"/>
        <w:spacing w:before="0" w:beforeAutospacing="0" w:after="0" w:afterAutospacing="0" w:line="360" w:lineRule="auto"/>
        <w:ind w:firstLine="420"/>
        <w:rPr>
          <w:sz w:val="21"/>
          <w:szCs w:val="21"/>
        </w:rPr>
      </w:pPr>
      <w:r>
        <w:rPr>
          <w:rFonts w:hint="eastAsia"/>
          <w:sz w:val="21"/>
          <w:szCs w:val="21"/>
        </w:rPr>
        <w:t xml:space="preserve">信用风险是指发行人是否能够实现发行时的承诺，按时足额还本付息的风险，或者交易对手未能按时履约的风险。包括： </w:t>
      </w:r>
    </w:p>
    <w:p w14:paraId="08B5D08A">
      <w:pPr>
        <w:pStyle w:val="8"/>
        <w:spacing w:before="0" w:beforeAutospacing="0" w:after="0" w:afterAutospacing="0" w:line="360" w:lineRule="auto"/>
        <w:ind w:firstLine="420"/>
        <w:rPr>
          <w:sz w:val="21"/>
          <w:szCs w:val="21"/>
        </w:rPr>
      </w:pPr>
      <w:r>
        <w:rPr>
          <w:rFonts w:hint="eastAsia"/>
          <w:sz w:val="21"/>
          <w:szCs w:val="21"/>
        </w:rPr>
        <w:t xml:space="preserve">（1）债务人违约风险：本基金投资于债券市场 ，如遇证券发行主体信用状况恶化，信用评级下降，会导致债券价格下降进而影响基金财产收益水平。严重的，甚至出现到期不能履行合约进行兑付，将给基金带来损失。 </w:t>
      </w:r>
    </w:p>
    <w:p w14:paraId="47AB8C9F">
      <w:pPr>
        <w:pStyle w:val="8"/>
        <w:spacing w:before="0" w:beforeAutospacing="0" w:after="0" w:afterAutospacing="0" w:line="360" w:lineRule="auto"/>
        <w:ind w:firstLine="420"/>
        <w:rPr>
          <w:sz w:val="21"/>
          <w:szCs w:val="21"/>
        </w:rPr>
      </w:pPr>
      <w:r>
        <w:rPr>
          <w:rFonts w:hint="eastAsia"/>
          <w:sz w:val="21"/>
          <w:szCs w:val="21"/>
        </w:rPr>
        <w:t xml:space="preserve">（2）交易对手方违约风险：当固定收益证券交易对手违约时，将直接导致基金财产的损失，或导致本基金不能及时抓住市场机会，对投资收益产生影响。 </w:t>
      </w:r>
    </w:p>
    <w:p w14:paraId="6E086BA0">
      <w:pPr>
        <w:pStyle w:val="8"/>
        <w:spacing w:before="0" w:beforeAutospacing="0" w:after="0" w:afterAutospacing="0" w:line="360" w:lineRule="auto"/>
        <w:ind w:firstLine="420"/>
        <w:rPr>
          <w:sz w:val="21"/>
          <w:szCs w:val="21"/>
        </w:rPr>
      </w:pPr>
      <w:r>
        <w:rPr>
          <w:rFonts w:hint="eastAsia"/>
          <w:sz w:val="21"/>
          <w:szCs w:val="21"/>
        </w:rPr>
        <w:t xml:space="preserve">3、流动性风险 </w:t>
      </w:r>
    </w:p>
    <w:p w14:paraId="44E6445C">
      <w:pPr>
        <w:pStyle w:val="8"/>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752463E9">
      <w:pPr>
        <w:pStyle w:val="8"/>
        <w:spacing w:before="0" w:beforeAutospacing="0" w:after="0" w:afterAutospacing="0" w:line="360" w:lineRule="auto"/>
        <w:ind w:firstLine="420"/>
        <w:rPr>
          <w:sz w:val="21"/>
          <w:szCs w:val="21"/>
        </w:rPr>
      </w:pPr>
      <w:r>
        <w:rPr>
          <w:rFonts w:hint="eastAsia"/>
          <w:sz w:val="21"/>
          <w:szCs w:val="21"/>
        </w:rPr>
        <w:t xml:space="preserve">（1）基金申购、赎回安排 </w:t>
      </w:r>
    </w:p>
    <w:p w14:paraId="6D16D486">
      <w:pPr>
        <w:pStyle w:val="8"/>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7A56E1B1">
      <w:pPr>
        <w:pStyle w:val="8"/>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29B1AB7A">
      <w:pPr>
        <w:pStyle w:val="8"/>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14:paraId="14085A29">
      <w:pPr>
        <w:pStyle w:val="8"/>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030690DF">
      <w:pPr>
        <w:pStyle w:val="8"/>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3411F0AE">
      <w:pPr>
        <w:pStyle w:val="8"/>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495401CE">
      <w:pPr>
        <w:pStyle w:val="8"/>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6F5ABF40">
      <w:pPr>
        <w:pStyle w:val="8"/>
        <w:spacing w:before="0" w:beforeAutospacing="0" w:after="0" w:afterAutospacing="0" w:line="360" w:lineRule="auto"/>
        <w:ind w:firstLine="420"/>
        <w:rPr>
          <w:sz w:val="21"/>
          <w:szCs w:val="21"/>
        </w:rPr>
      </w:pPr>
      <w:r>
        <w:rPr>
          <w:rFonts w:hint="eastAsia"/>
          <w:sz w:val="21"/>
          <w:szCs w:val="21"/>
        </w:rPr>
        <w:t xml:space="preserve">（5）启用侧袋机制的风险 </w:t>
      </w:r>
    </w:p>
    <w:p w14:paraId="6535A93F">
      <w:pPr>
        <w:pStyle w:val="8"/>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3F3C751D">
      <w:pPr>
        <w:pStyle w:val="8"/>
        <w:spacing w:before="0" w:beforeAutospacing="0" w:after="0" w:afterAutospacing="0" w:line="360" w:lineRule="auto"/>
        <w:ind w:firstLine="420"/>
        <w:rPr>
          <w:sz w:val="21"/>
          <w:szCs w:val="21"/>
        </w:rPr>
      </w:pPr>
      <w:r>
        <w:rPr>
          <w:rFonts w:hint="eastAsia"/>
          <w:sz w:val="21"/>
          <w:szCs w:val="21"/>
        </w:rPr>
        <w:t xml:space="preserve">4、操作风险 </w:t>
      </w:r>
    </w:p>
    <w:p w14:paraId="739D88AE">
      <w:pPr>
        <w:pStyle w:val="8"/>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41C75196">
      <w:pPr>
        <w:pStyle w:val="8"/>
        <w:spacing w:before="0" w:beforeAutospacing="0" w:after="0" w:afterAutospacing="0" w:line="360" w:lineRule="auto"/>
        <w:ind w:firstLine="420"/>
        <w:rPr>
          <w:sz w:val="21"/>
          <w:szCs w:val="21"/>
        </w:rPr>
      </w:pPr>
      <w:r>
        <w:rPr>
          <w:rFonts w:hint="eastAsia"/>
          <w:sz w:val="21"/>
          <w:szCs w:val="21"/>
        </w:rPr>
        <w:t xml:space="preserve">5、管理风险 </w:t>
      </w:r>
    </w:p>
    <w:p w14:paraId="4B5E46DD">
      <w:pPr>
        <w:pStyle w:val="8"/>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6A32D9FA">
      <w:pPr>
        <w:pStyle w:val="8"/>
        <w:spacing w:before="0" w:beforeAutospacing="0" w:after="0" w:afterAutospacing="0" w:line="360" w:lineRule="auto"/>
        <w:ind w:firstLine="420"/>
        <w:rPr>
          <w:sz w:val="21"/>
          <w:szCs w:val="21"/>
        </w:rPr>
      </w:pPr>
      <w:r>
        <w:rPr>
          <w:rFonts w:hint="eastAsia"/>
          <w:sz w:val="21"/>
          <w:szCs w:val="21"/>
        </w:rPr>
        <w:t xml:space="preserve">6、合规风险 </w:t>
      </w:r>
    </w:p>
    <w:p w14:paraId="5AB5D12E">
      <w:pPr>
        <w:pStyle w:val="8"/>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36E9BA56">
      <w:pPr>
        <w:pStyle w:val="8"/>
        <w:spacing w:before="0" w:beforeAutospacing="0" w:after="0" w:afterAutospacing="0" w:line="360" w:lineRule="auto"/>
        <w:ind w:firstLine="420"/>
        <w:rPr>
          <w:sz w:val="21"/>
          <w:szCs w:val="21"/>
        </w:rPr>
      </w:pPr>
      <w:r>
        <w:rPr>
          <w:rFonts w:hint="eastAsia"/>
          <w:sz w:val="21"/>
          <w:szCs w:val="21"/>
        </w:rPr>
        <w:t xml:space="preserve">7、本基金的特有风险 </w:t>
      </w:r>
    </w:p>
    <w:p w14:paraId="0535BAAC">
      <w:pPr>
        <w:pStyle w:val="8"/>
        <w:spacing w:before="0" w:beforeAutospacing="0" w:after="0" w:afterAutospacing="0" w:line="360" w:lineRule="auto"/>
        <w:ind w:firstLine="420"/>
        <w:rPr>
          <w:sz w:val="21"/>
          <w:szCs w:val="21"/>
        </w:rPr>
      </w:pPr>
      <w:r>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14:paraId="3D9D24B5">
      <w:pPr>
        <w:pStyle w:val="8"/>
        <w:spacing w:before="0" w:beforeAutospacing="0" w:after="0" w:afterAutospacing="0" w:line="360" w:lineRule="auto"/>
        <w:ind w:firstLine="420"/>
        <w:rPr>
          <w:sz w:val="21"/>
          <w:szCs w:val="21"/>
        </w:rPr>
      </w:pPr>
      <w:r>
        <w:rPr>
          <w:rFonts w:hint="eastAsia"/>
          <w:sz w:val="21"/>
          <w:szCs w:val="21"/>
        </w:rPr>
        <w:t xml:space="preserve">本基金可投资于资产支持证券。资产支持证券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1C691BE7">
      <w:pPr>
        <w:pStyle w:val="8"/>
        <w:spacing w:before="0" w:beforeAutospacing="0" w:after="0" w:afterAutospacing="0" w:line="360" w:lineRule="auto"/>
        <w:ind w:firstLine="420"/>
        <w:rPr>
          <w:sz w:val="21"/>
          <w:szCs w:val="21"/>
        </w:rPr>
      </w:pPr>
      <w:r>
        <w:rPr>
          <w:rFonts w:hint="eastAsia"/>
          <w:sz w:val="21"/>
          <w:szCs w:val="21"/>
        </w:rPr>
        <w:t xml:space="preserve">8、其它风险 </w:t>
      </w:r>
    </w:p>
    <w:p w14:paraId="6587151B">
      <w:pPr>
        <w:pStyle w:val="8"/>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3E14B5D6">
      <w:pPr>
        <w:pStyle w:val="8"/>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7C45F60A">
      <w:pPr>
        <w:pStyle w:val="8"/>
        <w:spacing w:before="0" w:beforeAutospacing="0" w:after="0" w:afterAutospacing="0" w:line="360" w:lineRule="auto"/>
        <w:ind w:firstLine="420"/>
        <w:rPr>
          <w:sz w:val="21"/>
          <w:szCs w:val="21"/>
        </w:rPr>
      </w:pPr>
      <w:r>
        <w:rPr>
          <w:rFonts w:hint="eastAsia"/>
          <w:sz w:val="21"/>
          <w:szCs w:val="21"/>
        </w:rPr>
        <w:t xml:space="preserve">二、声明 </w:t>
      </w:r>
    </w:p>
    <w:p w14:paraId="34431541">
      <w:pPr>
        <w:pStyle w:val="8"/>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64935D55">
      <w:pPr>
        <w:pStyle w:val="8"/>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2、除基金管理人直接办理本基金的销售外，本基金还通过基金代销机构代理销售，基</w:t>
      </w:r>
      <w:bookmarkStart w:id="196" w:name="chapter_level1_20_68_section_1_end"/>
      <w:bookmarkEnd w:id="196"/>
      <w:r>
        <w:rPr>
          <w:rFonts w:hint="eastAsia"/>
          <w:sz w:val="21"/>
          <w:szCs w:val="21"/>
        </w:rPr>
        <w:t xml:space="preserve">金管理人与基金代销机构都不能保证其收益或本金安全。 </w:t>
      </w:r>
    </w:p>
    <w:p w14:paraId="2F98A143">
      <w:pPr>
        <w:widowControl/>
        <w:jc w:val="left"/>
        <w:rPr>
          <w:rFonts w:ascii="宋体" w:hAnsi="宋体" w:eastAsia="宋体"/>
        </w:rPr>
      </w:pPr>
      <w:r>
        <w:rPr>
          <w:rFonts w:ascii="宋体" w:hAnsi="宋体" w:eastAsia="宋体"/>
        </w:rPr>
        <w:br w:type="page"/>
      </w:r>
    </w:p>
    <w:p w14:paraId="5C437609">
      <w:pPr>
        <w:pStyle w:val="2"/>
        <w:jc w:val="center"/>
        <w:rPr>
          <w:rFonts w:ascii="宋体" w:hAnsi="宋体" w:eastAsia="宋体"/>
          <w:sz w:val="30"/>
        </w:rPr>
      </w:pPr>
      <w:bookmarkStart w:id="197" w:name="_Toc239192444"/>
      <w:bookmarkStart w:id="198" w:name="chapter_level1_21_69"/>
      <w:r>
        <w:rPr>
          <w:rFonts w:hint="eastAsia" w:ascii="宋体" w:hAnsi="宋体" w:eastAsia="宋体"/>
          <w:sz w:val="30"/>
        </w:rPr>
        <w:t>第十八部分  基金合同的变更、终止与基金财产的清算</w:t>
      </w:r>
      <w:bookmarkEnd w:id="197"/>
      <w:bookmarkEnd w:id="198"/>
    </w:p>
    <w:p w14:paraId="40DFB36C">
      <w:pPr>
        <w:pStyle w:val="8"/>
        <w:spacing w:before="0" w:beforeAutospacing="0" w:after="0" w:afterAutospacing="0" w:line="360" w:lineRule="auto"/>
        <w:ind w:firstLine="420"/>
        <w:rPr>
          <w:sz w:val="21"/>
          <w:szCs w:val="21"/>
        </w:rPr>
      </w:pPr>
      <w:bookmarkStart w:id="199" w:name="chapter_level1_21_69_section_1"/>
      <w:bookmarkEnd w:id="199"/>
      <w:r>
        <w:rPr>
          <w:rStyle w:val="12"/>
          <w:rFonts w:hint="eastAsia"/>
          <w:sz w:val="21"/>
          <w:szCs w:val="21"/>
        </w:rPr>
        <w:t>一、《基金合同》的变更</w:t>
      </w:r>
    </w:p>
    <w:p w14:paraId="46FFA976">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522D17EF">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14:paraId="09F1199A">
      <w:pPr>
        <w:pStyle w:val="8"/>
        <w:spacing w:before="0" w:beforeAutospacing="0" w:after="0" w:afterAutospacing="0" w:line="360" w:lineRule="auto"/>
        <w:ind w:firstLine="420"/>
        <w:rPr>
          <w:sz w:val="21"/>
          <w:szCs w:val="21"/>
        </w:rPr>
      </w:pPr>
      <w:r>
        <w:rPr>
          <w:rStyle w:val="12"/>
          <w:rFonts w:hint="eastAsia"/>
          <w:sz w:val="21"/>
          <w:szCs w:val="21"/>
        </w:rPr>
        <w:t>二、《基金合同》的终止事由</w:t>
      </w:r>
    </w:p>
    <w:p w14:paraId="2EC13F28">
      <w:pPr>
        <w:pStyle w:val="8"/>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50B660DF">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55D2A881">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50E61C78">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 </w:t>
      </w:r>
    </w:p>
    <w:p w14:paraId="46AA5406">
      <w:pPr>
        <w:pStyle w:val="8"/>
        <w:spacing w:before="0" w:beforeAutospacing="0" w:after="0" w:afterAutospacing="0" w:line="360" w:lineRule="auto"/>
        <w:ind w:firstLine="420"/>
        <w:rPr>
          <w:sz w:val="21"/>
          <w:szCs w:val="21"/>
        </w:rPr>
      </w:pPr>
      <w:r>
        <w:rPr>
          <w:rFonts w:hint="eastAsia"/>
          <w:sz w:val="21"/>
          <w:szCs w:val="21"/>
        </w:rPr>
        <w:t xml:space="preserve">4、《基金合同》约定的其他情形； </w:t>
      </w:r>
    </w:p>
    <w:p w14:paraId="73880B3F">
      <w:pPr>
        <w:pStyle w:val="8"/>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14:paraId="4756EA5D">
      <w:pPr>
        <w:pStyle w:val="8"/>
        <w:spacing w:before="0" w:beforeAutospacing="0" w:after="0" w:afterAutospacing="0" w:line="360" w:lineRule="auto"/>
        <w:ind w:firstLine="420"/>
        <w:rPr>
          <w:sz w:val="21"/>
          <w:szCs w:val="21"/>
        </w:rPr>
      </w:pPr>
      <w:r>
        <w:rPr>
          <w:rStyle w:val="12"/>
          <w:rFonts w:hint="eastAsia"/>
          <w:sz w:val="21"/>
          <w:szCs w:val="21"/>
        </w:rPr>
        <w:t>三、基金财产的清算</w:t>
      </w:r>
    </w:p>
    <w:p w14:paraId="64758CF5">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64AA8150">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737EC09B">
      <w:pPr>
        <w:pStyle w:val="8"/>
        <w:spacing w:before="0" w:beforeAutospacing="0" w:after="0" w:afterAutospacing="0" w:line="360" w:lineRule="auto"/>
        <w:ind w:firstLine="420"/>
        <w:rPr>
          <w:sz w:val="21"/>
          <w:szCs w:val="21"/>
        </w:rPr>
      </w:pPr>
      <w:r>
        <w:rPr>
          <w:rFonts w:hint="eastAsia"/>
          <w:sz w:val="21"/>
          <w:szCs w:val="21"/>
        </w:rPr>
        <w:t xml:space="preserve">3、在基金财产清算过程中，基金管理人和基金托管人应各自履行职责，继续忠实、勤勉、尽责地履行基金合同和托管协议规定的义务，维护基金份额持有人的合法权益。 </w:t>
      </w:r>
    </w:p>
    <w:p w14:paraId="7E82D2FA">
      <w:pPr>
        <w:pStyle w:val="8"/>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13DB237D">
      <w:pPr>
        <w:pStyle w:val="8"/>
        <w:spacing w:before="0" w:beforeAutospacing="0" w:after="0" w:afterAutospacing="0" w:line="360" w:lineRule="auto"/>
        <w:ind w:firstLine="420"/>
        <w:rPr>
          <w:sz w:val="21"/>
          <w:szCs w:val="21"/>
        </w:rPr>
      </w:pPr>
      <w:r>
        <w:rPr>
          <w:rFonts w:hint="eastAsia"/>
          <w:sz w:val="21"/>
          <w:szCs w:val="21"/>
        </w:rPr>
        <w:t xml:space="preserve">5、基金财产清算程序： </w:t>
      </w:r>
    </w:p>
    <w:p w14:paraId="338F1011">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1252DC5D">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A734B82">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492B0DA3">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3CD9B345">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790FB80B">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52124A76">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790706E7">
      <w:pPr>
        <w:pStyle w:val="8"/>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14:paraId="1CC4A0B0">
      <w:pPr>
        <w:pStyle w:val="8"/>
        <w:spacing w:before="0" w:beforeAutospacing="0" w:after="0" w:afterAutospacing="0" w:line="360" w:lineRule="auto"/>
        <w:ind w:firstLine="420"/>
        <w:rPr>
          <w:sz w:val="21"/>
          <w:szCs w:val="21"/>
        </w:rPr>
      </w:pPr>
      <w:r>
        <w:rPr>
          <w:rStyle w:val="12"/>
          <w:rFonts w:hint="eastAsia"/>
          <w:sz w:val="21"/>
          <w:szCs w:val="21"/>
        </w:rPr>
        <w:t>四、清算费用</w:t>
      </w:r>
    </w:p>
    <w:p w14:paraId="46FC710D">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16021623">
      <w:pPr>
        <w:pStyle w:val="8"/>
        <w:spacing w:before="0" w:beforeAutospacing="0" w:after="0" w:afterAutospacing="0" w:line="360" w:lineRule="auto"/>
        <w:ind w:firstLine="420"/>
        <w:rPr>
          <w:sz w:val="21"/>
          <w:szCs w:val="21"/>
        </w:rPr>
      </w:pPr>
      <w:r>
        <w:rPr>
          <w:rStyle w:val="12"/>
          <w:rFonts w:hint="eastAsia"/>
          <w:sz w:val="21"/>
          <w:szCs w:val="21"/>
        </w:rPr>
        <w:t>五、基金财产清算剩余资产的分配</w:t>
      </w:r>
    </w:p>
    <w:p w14:paraId="2511DA2A">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1ECE7199">
      <w:pPr>
        <w:pStyle w:val="8"/>
        <w:spacing w:before="0" w:beforeAutospacing="0" w:after="0" w:afterAutospacing="0" w:line="360" w:lineRule="auto"/>
        <w:ind w:firstLine="420"/>
        <w:rPr>
          <w:sz w:val="21"/>
          <w:szCs w:val="21"/>
        </w:rPr>
      </w:pPr>
      <w:r>
        <w:rPr>
          <w:rStyle w:val="12"/>
          <w:rFonts w:hint="eastAsia"/>
          <w:sz w:val="21"/>
          <w:szCs w:val="21"/>
        </w:rPr>
        <w:t>六、基金财产清算的公告</w:t>
      </w:r>
    </w:p>
    <w:p w14:paraId="3AA7B507">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2E652D55">
      <w:pPr>
        <w:pStyle w:val="8"/>
        <w:spacing w:before="0" w:beforeAutospacing="0" w:after="0" w:afterAutospacing="0" w:line="360" w:lineRule="auto"/>
        <w:ind w:firstLine="420"/>
        <w:rPr>
          <w:sz w:val="21"/>
          <w:szCs w:val="21"/>
        </w:rPr>
      </w:pPr>
      <w:r>
        <w:rPr>
          <w:rStyle w:val="12"/>
          <w:rFonts w:hint="eastAsia"/>
          <w:sz w:val="21"/>
          <w:szCs w:val="21"/>
        </w:rPr>
        <w:t>七、基金财产清算账册及文件的保存</w:t>
      </w:r>
    </w:p>
    <w:p w14:paraId="5A1A811C">
      <w:pPr>
        <w:pStyle w:val="8"/>
        <w:spacing w:before="0" w:beforeAutospacing="0" w:after="0" w:afterAutospacing="0" w:line="360" w:lineRule="auto"/>
        <w:ind w:firstLine="420"/>
        <w:rPr>
          <w:sz w:val="21"/>
          <w:szCs w:val="21"/>
        </w:rPr>
      </w:pPr>
      <w:bookmarkStart w:id="200" w:name="chapter_level1_21_69_section_1_end"/>
      <w:bookmarkEnd w:id="200"/>
      <w:r>
        <w:rPr>
          <w:rFonts w:hint="eastAsia"/>
          <w:sz w:val="21"/>
          <w:szCs w:val="21"/>
        </w:rPr>
        <w:t xml:space="preserve">基金财产清算账册及有关文件由基金托管人保存15年以上。 </w:t>
      </w:r>
    </w:p>
    <w:p w14:paraId="713A85E0">
      <w:pPr>
        <w:widowControl/>
        <w:jc w:val="left"/>
        <w:rPr>
          <w:rFonts w:ascii="宋体" w:hAnsi="宋体" w:eastAsia="宋体"/>
        </w:rPr>
      </w:pPr>
      <w:r>
        <w:rPr>
          <w:rFonts w:ascii="宋体" w:hAnsi="宋体" w:eastAsia="宋体"/>
        </w:rPr>
        <w:br w:type="page"/>
      </w:r>
    </w:p>
    <w:p w14:paraId="23608373">
      <w:pPr>
        <w:pStyle w:val="2"/>
        <w:jc w:val="center"/>
        <w:rPr>
          <w:rFonts w:ascii="宋体" w:hAnsi="宋体" w:eastAsia="宋体"/>
          <w:sz w:val="30"/>
        </w:rPr>
      </w:pPr>
      <w:bookmarkStart w:id="201" w:name="_Toc239192445"/>
      <w:bookmarkStart w:id="202" w:name="chapter_level1_22_71"/>
      <w:r>
        <w:rPr>
          <w:rFonts w:hint="eastAsia" w:ascii="宋体" w:hAnsi="宋体" w:eastAsia="宋体"/>
          <w:sz w:val="30"/>
        </w:rPr>
        <w:t>第十九部分  基金合同的内容摘要</w:t>
      </w:r>
      <w:bookmarkEnd w:id="201"/>
      <w:bookmarkEnd w:id="202"/>
    </w:p>
    <w:p w14:paraId="61822463">
      <w:pPr>
        <w:pStyle w:val="8"/>
        <w:spacing w:before="0" w:beforeAutospacing="0" w:after="0" w:afterAutospacing="0" w:line="360" w:lineRule="auto"/>
        <w:ind w:firstLine="420"/>
        <w:rPr>
          <w:sz w:val="21"/>
          <w:szCs w:val="21"/>
        </w:rPr>
      </w:pPr>
      <w:bookmarkStart w:id="203" w:name="chapter_level1_22_71_section_1"/>
      <w:bookmarkEnd w:id="203"/>
      <w:r>
        <w:rPr>
          <w:rStyle w:val="12"/>
          <w:rFonts w:hint="eastAsia"/>
          <w:sz w:val="21"/>
          <w:szCs w:val="21"/>
        </w:rPr>
        <w:t>一、基金份额持有人、基金管理人和基金托管人的权利、义务</w:t>
      </w:r>
    </w:p>
    <w:p w14:paraId="77E89AB2">
      <w:pPr>
        <w:pStyle w:val="8"/>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19481028">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48EC0C9F">
      <w:pPr>
        <w:pStyle w:val="8"/>
        <w:spacing w:before="0" w:beforeAutospacing="0" w:after="0" w:afterAutospacing="0" w:line="360" w:lineRule="auto"/>
        <w:ind w:firstLine="420"/>
        <w:rPr>
          <w:sz w:val="21"/>
          <w:szCs w:val="21"/>
        </w:rPr>
      </w:pPr>
      <w:r>
        <w:rPr>
          <w:rFonts w:hint="eastAsia"/>
          <w:sz w:val="21"/>
          <w:szCs w:val="21"/>
        </w:rPr>
        <w:t xml:space="preserve">（1）依法募集资金； </w:t>
      </w:r>
    </w:p>
    <w:p w14:paraId="5571C09A">
      <w:pPr>
        <w:pStyle w:val="8"/>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4E09A6B8">
      <w:pPr>
        <w:pStyle w:val="8"/>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596C6FD1">
      <w:pPr>
        <w:pStyle w:val="8"/>
        <w:spacing w:before="0" w:beforeAutospacing="0" w:after="0" w:afterAutospacing="0" w:line="360" w:lineRule="auto"/>
        <w:ind w:firstLine="420"/>
        <w:rPr>
          <w:sz w:val="21"/>
          <w:szCs w:val="21"/>
        </w:rPr>
      </w:pPr>
      <w:r>
        <w:rPr>
          <w:rFonts w:hint="eastAsia"/>
          <w:sz w:val="21"/>
          <w:szCs w:val="21"/>
        </w:rPr>
        <w:t xml:space="preserve">（4）销售基金份额； </w:t>
      </w:r>
    </w:p>
    <w:p w14:paraId="4DEEB2C2">
      <w:pPr>
        <w:pStyle w:val="8"/>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0A918255">
      <w:pPr>
        <w:pStyle w:val="8"/>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4AF48A28">
      <w:pPr>
        <w:pStyle w:val="8"/>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54A3E862">
      <w:pPr>
        <w:pStyle w:val="8"/>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5A6BFEAA">
      <w:pPr>
        <w:pStyle w:val="8"/>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45A349A1">
      <w:pPr>
        <w:pStyle w:val="8"/>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5CA9096A">
      <w:pPr>
        <w:pStyle w:val="8"/>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03319A28">
      <w:pPr>
        <w:pStyle w:val="8"/>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5EE7E244">
      <w:pPr>
        <w:pStyle w:val="8"/>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14:paraId="720200FA">
      <w:pPr>
        <w:pStyle w:val="8"/>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14:paraId="57D504EE">
      <w:pPr>
        <w:pStyle w:val="8"/>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14:paraId="2647B840">
      <w:pPr>
        <w:pStyle w:val="8"/>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14:paraId="7E6A2D1F">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13810079">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3047B50F">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04790B22">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6DC4E535">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0437957B">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2958E523">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202E6956">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16666565">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5901CFEE">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4327C34B">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2C9B68D">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16914A75">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3EF2A1C7">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5944ED1C">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7A75DC83">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65476509">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5E5371DA">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2DEE3986">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003B8E7D">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1D4D8CE">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61DFF545">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7794961E">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10B0D7B">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0A36890">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56050A0C">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647CF469">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76F74291">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4E870B65">
      <w:pPr>
        <w:pStyle w:val="8"/>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73BEF80A">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7B82E33D">
      <w:pPr>
        <w:pStyle w:val="8"/>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596AF558">
      <w:pPr>
        <w:pStyle w:val="8"/>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4641B209">
      <w:pPr>
        <w:pStyle w:val="8"/>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236CB141">
      <w:pPr>
        <w:pStyle w:val="8"/>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（4）根据相关市场规则，为基金开设资金账户、证券账户等投资所需的其他账户，为基金办理证券交易资金清算； </w:t>
      </w:r>
    </w:p>
    <w:p w14:paraId="1178EDE0">
      <w:pPr>
        <w:pStyle w:val="8"/>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3BD7772E">
      <w:pPr>
        <w:pStyle w:val="8"/>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457859C1">
      <w:pPr>
        <w:pStyle w:val="8"/>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25FCA491">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2570AFBB">
      <w:pPr>
        <w:pStyle w:val="8"/>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7C3132F9">
      <w:pPr>
        <w:pStyle w:val="8"/>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32C26BEB">
      <w:pPr>
        <w:pStyle w:val="8"/>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7B71C216">
      <w:pPr>
        <w:pStyle w:val="8"/>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1F6F9E6D">
      <w:pPr>
        <w:pStyle w:val="8"/>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177BD0CF">
      <w:pPr>
        <w:pStyle w:val="8"/>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（6）按规定开设基金财产的资金账户、证券账户等投资所需的其他账户，按照《基金合同》的约定，根据基金管理人的投资指令，及时办理清算、交割事宜； </w:t>
      </w:r>
    </w:p>
    <w:p w14:paraId="4156A7F3">
      <w:pPr>
        <w:pStyle w:val="8"/>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228DB8BD">
      <w:pPr>
        <w:pStyle w:val="8"/>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0C9FB03B">
      <w:pPr>
        <w:pStyle w:val="8"/>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4B513DB7">
      <w:pPr>
        <w:pStyle w:val="8"/>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01A57F3D">
      <w:pPr>
        <w:pStyle w:val="8"/>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7AB32FB3">
      <w:pPr>
        <w:pStyle w:val="8"/>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14:paraId="26F1671D">
      <w:pPr>
        <w:pStyle w:val="8"/>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11E44CD4">
      <w:pPr>
        <w:pStyle w:val="8"/>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2A0B69E3">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73B99D5E">
      <w:pPr>
        <w:pStyle w:val="8"/>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23578164">
      <w:pPr>
        <w:pStyle w:val="8"/>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3C631D71">
      <w:pPr>
        <w:pStyle w:val="8"/>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4A542105">
      <w:pPr>
        <w:pStyle w:val="8"/>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37C25B18">
      <w:pPr>
        <w:pStyle w:val="8"/>
        <w:spacing w:before="0" w:beforeAutospacing="0" w:after="0" w:afterAutospacing="0" w:line="360" w:lineRule="auto"/>
        <w:ind w:firstLine="420"/>
        <w:rPr>
          <w:sz w:val="21"/>
          <w:szCs w:val="21"/>
        </w:rPr>
      </w:pPr>
      <w:r>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14:paraId="5C337E2B">
      <w:pPr>
        <w:pStyle w:val="8"/>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13909BC0">
      <w:pPr>
        <w:pStyle w:val="8"/>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67935D5E">
      <w:pPr>
        <w:pStyle w:val="8"/>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26D5B1AD">
      <w:pPr>
        <w:pStyle w:val="8"/>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14:paraId="44DCF094">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44ABF234">
      <w:pPr>
        <w:pStyle w:val="8"/>
        <w:spacing w:before="0" w:beforeAutospacing="0" w:after="0" w:afterAutospacing="0" w:line="360" w:lineRule="auto"/>
        <w:ind w:firstLine="420"/>
        <w:rPr>
          <w:sz w:val="21"/>
          <w:szCs w:val="21"/>
        </w:rPr>
      </w:pPr>
      <w:r>
        <w:rPr>
          <w:rFonts w:hint="eastAsia"/>
          <w:sz w:val="21"/>
          <w:szCs w:val="21"/>
        </w:rPr>
        <w:t xml:space="preserve">（1）分享基金财产收益； </w:t>
      </w:r>
    </w:p>
    <w:p w14:paraId="03C420C8">
      <w:pPr>
        <w:pStyle w:val="8"/>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1F5E98CB">
      <w:pPr>
        <w:pStyle w:val="8"/>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6ABCAC1A">
      <w:pPr>
        <w:pStyle w:val="8"/>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61D54112">
      <w:pPr>
        <w:pStyle w:val="8"/>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438DBFBA">
      <w:pPr>
        <w:pStyle w:val="8"/>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16733F62">
      <w:pPr>
        <w:pStyle w:val="8"/>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1F77F2EA">
      <w:pPr>
        <w:pStyle w:val="8"/>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1066C18F">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02638E3F">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2F47FB0C">
      <w:pPr>
        <w:pStyle w:val="8"/>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218D5032">
      <w:pPr>
        <w:pStyle w:val="8"/>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2C07DB16">
      <w:pPr>
        <w:pStyle w:val="8"/>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09C6B6BE">
      <w:pPr>
        <w:pStyle w:val="8"/>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14:paraId="0E353614">
      <w:pPr>
        <w:pStyle w:val="8"/>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29AE30F2">
      <w:pPr>
        <w:pStyle w:val="8"/>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0CD3D05A">
      <w:pPr>
        <w:pStyle w:val="8"/>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14267D15">
      <w:pPr>
        <w:pStyle w:val="8"/>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21831B86">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135B110F">
      <w:pPr>
        <w:pStyle w:val="8"/>
        <w:spacing w:before="0" w:beforeAutospacing="0" w:after="0" w:afterAutospacing="0" w:line="360" w:lineRule="auto"/>
        <w:ind w:firstLine="420"/>
        <w:rPr>
          <w:sz w:val="21"/>
          <w:szCs w:val="21"/>
        </w:rPr>
      </w:pPr>
      <w:r>
        <w:rPr>
          <w:rStyle w:val="12"/>
          <w:rFonts w:hint="eastAsia"/>
          <w:sz w:val="21"/>
          <w:szCs w:val="21"/>
        </w:rPr>
        <w:t>二、基金份额持有人大会召集、议事及表决的程序和规则</w:t>
      </w:r>
    </w:p>
    <w:p w14:paraId="72DEC01D">
      <w:pPr>
        <w:pStyle w:val="8"/>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若将来法律法规对基金份额持有人大会另有规定的，以届时有效的法律法规为准。 </w:t>
      </w:r>
    </w:p>
    <w:p w14:paraId="25BEE421">
      <w:pPr>
        <w:pStyle w:val="8"/>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5198E6B8">
      <w:pPr>
        <w:pStyle w:val="8"/>
        <w:spacing w:before="0" w:beforeAutospacing="0" w:after="0" w:afterAutospacing="0" w:line="360" w:lineRule="auto"/>
        <w:ind w:firstLine="420"/>
        <w:rPr>
          <w:sz w:val="21"/>
          <w:szCs w:val="21"/>
        </w:rPr>
      </w:pPr>
      <w:r>
        <w:rPr>
          <w:rFonts w:hint="eastAsia"/>
          <w:sz w:val="21"/>
          <w:szCs w:val="21"/>
        </w:rPr>
        <w:t xml:space="preserve">（一）召开事由 </w:t>
      </w:r>
    </w:p>
    <w:p w14:paraId="20601886">
      <w:pPr>
        <w:pStyle w:val="8"/>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504C21E9">
      <w:pPr>
        <w:pStyle w:val="8"/>
        <w:spacing w:before="0" w:beforeAutospacing="0" w:after="0" w:afterAutospacing="0" w:line="360" w:lineRule="auto"/>
        <w:ind w:firstLine="420"/>
        <w:rPr>
          <w:sz w:val="21"/>
          <w:szCs w:val="21"/>
        </w:rPr>
      </w:pPr>
      <w:r>
        <w:rPr>
          <w:rFonts w:hint="eastAsia"/>
          <w:sz w:val="21"/>
          <w:szCs w:val="21"/>
        </w:rPr>
        <w:t xml:space="preserve">（1）终止《基金合同》； </w:t>
      </w:r>
    </w:p>
    <w:p w14:paraId="3B0105A4">
      <w:pPr>
        <w:pStyle w:val="8"/>
        <w:spacing w:before="0" w:beforeAutospacing="0" w:after="0" w:afterAutospacing="0" w:line="360" w:lineRule="auto"/>
        <w:ind w:firstLine="420"/>
        <w:rPr>
          <w:sz w:val="21"/>
          <w:szCs w:val="21"/>
        </w:rPr>
      </w:pPr>
      <w:r>
        <w:rPr>
          <w:rFonts w:hint="eastAsia"/>
          <w:sz w:val="21"/>
          <w:szCs w:val="21"/>
        </w:rPr>
        <w:t xml:space="preserve">（2）更换基金管理人； </w:t>
      </w:r>
    </w:p>
    <w:p w14:paraId="39C9ECF1">
      <w:pPr>
        <w:pStyle w:val="8"/>
        <w:spacing w:before="0" w:beforeAutospacing="0" w:after="0" w:afterAutospacing="0" w:line="360" w:lineRule="auto"/>
        <w:ind w:firstLine="420"/>
        <w:rPr>
          <w:sz w:val="21"/>
          <w:szCs w:val="21"/>
        </w:rPr>
      </w:pPr>
      <w:r>
        <w:rPr>
          <w:rFonts w:hint="eastAsia"/>
          <w:sz w:val="21"/>
          <w:szCs w:val="21"/>
        </w:rPr>
        <w:t xml:space="preserve">（3）更换基金托管人； </w:t>
      </w:r>
    </w:p>
    <w:p w14:paraId="602CDB86">
      <w:pPr>
        <w:pStyle w:val="8"/>
        <w:spacing w:before="0" w:beforeAutospacing="0" w:after="0" w:afterAutospacing="0" w:line="360" w:lineRule="auto"/>
        <w:ind w:firstLine="420"/>
        <w:rPr>
          <w:sz w:val="21"/>
          <w:szCs w:val="21"/>
        </w:rPr>
      </w:pPr>
      <w:r>
        <w:rPr>
          <w:rFonts w:hint="eastAsia"/>
          <w:sz w:val="21"/>
          <w:szCs w:val="21"/>
        </w:rPr>
        <w:t xml:space="preserve">（4）转换基金运作方式； </w:t>
      </w:r>
    </w:p>
    <w:p w14:paraId="179EBAC7">
      <w:pPr>
        <w:pStyle w:val="8"/>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32B2E49A">
      <w:pPr>
        <w:pStyle w:val="8"/>
        <w:spacing w:before="0" w:beforeAutospacing="0" w:after="0" w:afterAutospacing="0" w:line="360" w:lineRule="auto"/>
        <w:ind w:firstLine="420"/>
        <w:rPr>
          <w:sz w:val="21"/>
          <w:szCs w:val="21"/>
        </w:rPr>
      </w:pPr>
      <w:r>
        <w:rPr>
          <w:rFonts w:hint="eastAsia"/>
          <w:sz w:val="21"/>
          <w:szCs w:val="21"/>
        </w:rPr>
        <w:t xml:space="preserve">（6）变更基金类别； </w:t>
      </w:r>
    </w:p>
    <w:p w14:paraId="14D99083">
      <w:pPr>
        <w:pStyle w:val="8"/>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73478109">
      <w:pPr>
        <w:pStyle w:val="8"/>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011B102E">
      <w:pPr>
        <w:pStyle w:val="8"/>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259DFE25">
      <w:pPr>
        <w:pStyle w:val="8"/>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645198F9">
      <w:pPr>
        <w:pStyle w:val="8"/>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6F268AA6">
      <w:pPr>
        <w:pStyle w:val="8"/>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2FBB1629">
      <w:pPr>
        <w:pStyle w:val="8"/>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58B5C68E">
      <w:pPr>
        <w:pStyle w:val="8"/>
        <w:spacing w:before="0" w:beforeAutospacing="0" w:after="0" w:afterAutospacing="0" w:line="360" w:lineRule="auto"/>
        <w:ind w:firstLine="420"/>
        <w:rPr>
          <w:sz w:val="21"/>
          <w:szCs w:val="21"/>
        </w:rPr>
      </w:pPr>
      <w:r>
        <w:rPr>
          <w:rFonts w:hint="eastAsia"/>
          <w:sz w:val="21"/>
          <w:szCs w:val="21"/>
        </w:rPr>
        <w:t xml:space="preserve">2、在不违反法律法规规定和《基金合同》约定且对基金份额持有人利益无实质性不利影响的前提下，以下情况可由基金管理人和基金托管人协商后修改，不需召开基金份额持有人大会： </w:t>
      </w:r>
    </w:p>
    <w:p w14:paraId="22FA0408">
      <w:pPr>
        <w:pStyle w:val="8"/>
        <w:spacing w:before="0" w:beforeAutospacing="0" w:after="0" w:afterAutospacing="0" w:line="360" w:lineRule="auto"/>
        <w:ind w:firstLine="420"/>
        <w:rPr>
          <w:sz w:val="21"/>
          <w:szCs w:val="21"/>
        </w:rPr>
      </w:pPr>
      <w:r>
        <w:rPr>
          <w:rFonts w:hint="eastAsia"/>
          <w:sz w:val="21"/>
          <w:szCs w:val="21"/>
        </w:rPr>
        <w:t xml:space="preserve">（1）调低销售服务费率； </w:t>
      </w:r>
    </w:p>
    <w:p w14:paraId="11CB502C">
      <w:pPr>
        <w:pStyle w:val="8"/>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14:paraId="150B7BE6">
      <w:pPr>
        <w:pStyle w:val="8"/>
        <w:spacing w:before="0" w:beforeAutospacing="0" w:after="0" w:afterAutospacing="0" w:line="360" w:lineRule="auto"/>
        <w:ind w:firstLine="420"/>
        <w:rPr>
          <w:sz w:val="21"/>
          <w:szCs w:val="21"/>
        </w:rPr>
      </w:pPr>
      <w:r>
        <w:rPr>
          <w:rFonts w:hint="eastAsia"/>
          <w:sz w:val="21"/>
          <w:szCs w:val="21"/>
        </w:rPr>
        <w:t xml:space="preserve">（3）在法律法规和《基金合同》规定的范围内且在对现有基金份额持有人利益无实质性不利影响的前提下调整本基金的申购费率、调低赎回费率或变更收费方式或调整基金份额类别设置、对基金份额分类办法及规则进行调整； </w:t>
      </w:r>
    </w:p>
    <w:p w14:paraId="2F438371">
      <w:pPr>
        <w:pStyle w:val="8"/>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14:paraId="6E9F2454">
      <w:pPr>
        <w:pStyle w:val="8"/>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14:paraId="4189D5D3">
      <w:pPr>
        <w:pStyle w:val="8"/>
        <w:spacing w:before="0" w:beforeAutospacing="0" w:after="0" w:afterAutospacing="0" w:line="360" w:lineRule="auto"/>
        <w:ind w:firstLine="420"/>
        <w:rPr>
          <w:sz w:val="21"/>
          <w:szCs w:val="21"/>
        </w:rPr>
      </w:pPr>
      <w:r>
        <w:rPr>
          <w:rFonts w:hint="eastAsia"/>
          <w:sz w:val="21"/>
          <w:szCs w:val="21"/>
        </w:rPr>
        <w:t xml:space="preserve">（6）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 </w:t>
      </w:r>
    </w:p>
    <w:p w14:paraId="263CF1C0">
      <w:pPr>
        <w:pStyle w:val="8"/>
        <w:spacing w:before="0" w:beforeAutospacing="0" w:after="0" w:afterAutospacing="0" w:line="360" w:lineRule="auto"/>
        <w:ind w:firstLine="420"/>
        <w:rPr>
          <w:sz w:val="21"/>
          <w:szCs w:val="21"/>
        </w:rPr>
      </w:pPr>
      <w:r>
        <w:rPr>
          <w:rFonts w:hint="eastAsia"/>
          <w:sz w:val="21"/>
          <w:szCs w:val="21"/>
        </w:rPr>
        <w:t xml:space="preserve">（7）在不违反法律法规、基金合同以及在不损害已有基金份额持有人权益的前提下，基金推出新业务或服务； </w:t>
      </w:r>
    </w:p>
    <w:p w14:paraId="2E1F0F96">
      <w:pPr>
        <w:pStyle w:val="8"/>
        <w:spacing w:before="0" w:beforeAutospacing="0" w:after="0" w:afterAutospacing="0" w:line="360" w:lineRule="auto"/>
        <w:ind w:firstLine="420"/>
        <w:rPr>
          <w:sz w:val="21"/>
          <w:szCs w:val="21"/>
        </w:rPr>
      </w:pPr>
      <w:r>
        <w:rPr>
          <w:rFonts w:hint="eastAsia"/>
          <w:sz w:val="21"/>
          <w:szCs w:val="21"/>
        </w:rPr>
        <w:t xml:space="preserve">（8）按照法律法规和《基金合同》规定不需召开基金份额持有人大会的其他情形。 </w:t>
      </w:r>
    </w:p>
    <w:p w14:paraId="2458E540">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本基金将根据《基金合同》“基金合同的变更、终止与基金财产的清算”章节的约定进行基金财产清算并终止，且无需召开基金份额持有人大会，同时基金管理人应履行相关的监管报告和信息披露程序。 </w:t>
      </w:r>
    </w:p>
    <w:p w14:paraId="58A1A2E3">
      <w:pPr>
        <w:pStyle w:val="8"/>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73878566">
      <w:pPr>
        <w:pStyle w:val="8"/>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15E97902">
      <w:pPr>
        <w:pStyle w:val="8"/>
        <w:spacing w:before="0" w:beforeAutospacing="0" w:after="0" w:afterAutospacing="0" w:line="360" w:lineRule="auto"/>
        <w:ind w:firstLine="420"/>
        <w:rPr>
          <w:sz w:val="21"/>
          <w:szCs w:val="21"/>
        </w:rPr>
      </w:pPr>
      <w:r>
        <w:rPr>
          <w:rFonts w:hint="eastAsia"/>
          <w:sz w:val="21"/>
          <w:szCs w:val="21"/>
        </w:rPr>
        <w:t xml:space="preserve">2、基金管理人未按规定召集或不能召开时，由基金托管人召集。 </w:t>
      </w:r>
    </w:p>
    <w:p w14:paraId="2A133011">
      <w:pPr>
        <w:pStyle w:val="8"/>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6C8E9277">
      <w:pPr>
        <w:pStyle w:val="8"/>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1D634024">
      <w:pPr>
        <w:pStyle w:val="8"/>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077BFE59">
      <w:pPr>
        <w:pStyle w:val="8"/>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097A443F">
      <w:pPr>
        <w:pStyle w:val="8"/>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38BECC10">
      <w:pPr>
        <w:pStyle w:val="8"/>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14:paraId="138F1F6E">
      <w:pPr>
        <w:pStyle w:val="8"/>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463345B3">
      <w:pPr>
        <w:pStyle w:val="8"/>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4618D034">
      <w:pPr>
        <w:pStyle w:val="8"/>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4B933454">
      <w:pPr>
        <w:pStyle w:val="8"/>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769DE33B">
      <w:pPr>
        <w:pStyle w:val="8"/>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0833381A">
      <w:pPr>
        <w:pStyle w:val="8"/>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7D1078DC">
      <w:pPr>
        <w:pStyle w:val="8"/>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3FDE079D">
      <w:pPr>
        <w:pStyle w:val="8"/>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0664439C">
      <w:pPr>
        <w:pStyle w:val="8"/>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22B666D4">
      <w:pPr>
        <w:pStyle w:val="8"/>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6DD78BD2">
      <w:pPr>
        <w:pStyle w:val="8"/>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14:paraId="07036431">
      <w:pPr>
        <w:pStyle w:val="8"/>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1358D58C">
      <w:pPr>
        <w:pStyle w:val="8"/>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76914095">
      <w:pPr>
        <w:pStyle w:val="8"/>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2668C253">
      <w:pPr>
        <w:pStyle w:val="8"/>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14:paraId="1CC3220E">
      <w:pPr>
        <w:pStyle w:val="8"/>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487C880C">
      <w:pPr>
        <w:pStyle w:val="8"/>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21833BB8">
      <w:pPr>
        <w:pStyle w:val="8"/>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0657F981">
      <w:pPr>
        <w:pStyle w:val="8"/>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20BBAFE4">
      <w:pPr>
        <w:pStyle w:val="8"/>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69D2A72A">
      <w:pPr>
        <w:pStyle w:val="8"/>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7519E398">
      <w:pPr>
        <w:pStyle w:val="8"/>
        <w:spacing w:before="0" w:beforeAutospacing="0" w:after="0" w:afterAutospacing="0" w:line="360" w:lineRule="auto"/>
        <w:ind w:firstLine="420"/>
        <w:rPr>
          <w:sz w:val="21"/>
          <w:szCs w:val="21"/>
        </w:rPr>
      </w:pPr>
      <w:r>
        <w:rPr>
          <w:rFonts w:hint="eastAsia"/>
          <w:sz w:val="21"/>
          <w:szCs w:val="21"/>
        </w:rPr>
        <w:t xml:space="preserve">（五）议事内容与程序 </w:t>
      </w:r>
    </w:p>
    <w:p w14:paraId="63800799">
      <w:pPr>
        <w:pStyle w:val="8"/>
        <w:spacing w:before="0" w:beforeAutospacing="0" w:after="0" w:afterAutospacing="0" w:line="360" w:lineRule="auto"/>
        <w:ind w:firstLine="420"/>
        <w:rPr>
          <w:sz w:val="21"/>
          <w:szCs w:val="21"/>
        </w:rPr>
      </w:pPr>
      <w:r>
        <w:rPr>
          <w:rFonts w:hint="eastAsia"/>
          <w:sz w:val="21"/>
          <w:szCs w:val="21"/>
        </w:rPr>
        <w:t xml:space="preserve">1、议事内容及提案权 </w:t>
      </w:r>
    </w:p>
    <w:p w14:paraId="2B572A05">
      <w:pPr>
        <w:pStyle w:val="8"/>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7DBDCBC4">
      <w:pPr>
        <w:pStyle w:val="8"/>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140D7B55">
      <w:pPr>
        <w:pStyle w:val="8"/>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3E7AB2DB">
      <w:pPr>
        <w:pStyle w:val="8"/>
        <w:spacing w:before="0" w:beforeAutospacing="0" w:after="0" w:afterAutospacing="0" w:line="360" w:lineRule="auto"/>
        <w:ind w:firstLine="420"/>
        <w:rPr>
          <w:sz w:val="21"/>
          <w:szCs w:val="21"/>
        </w:rPr>
      </w:pPr>
      <w:r>
        <w:rPr>
          <w:rFonts w:hint="eastAsia"/>
          <w:sz w:val="21"/>
          <w:szCs w:val="21"/>
        </w:rPr>
        <w:t xml:space="preserve">2、议事程序 </w:t>
      </w:r>
    </w:p>
    <w:p w14:paraId="599B4F24">
      <w:pPr>
        <w:pStyle w:val="8"/>
        <w:spacing w:before="0" w:beforeAutospacing="0" w:after="0" w:afterAutospacing="0" w:line="360" w:lineRule="auto"/>
        <w:ind w:firstLine="420"/>
        <w:rPr>
          <w:sz w:val="21"/>
          <w:szCs w:val="21"/>
        </w:rPr>
      </w:pPr>
      <w:r>
        <w:rPr>
          <w:rFonts w:hint="eastAsia"/>
          <w:sz w:val="21"/>
          <w:szCs w:val="21"/>
        </w:rPr>
        <w:t xml:space="preserve">（1）现场开会 </w:t>
      </w:r>
    </w:p>
    <w:p w14:paraId="37D14B76">
      <w:pPr>
        <w:pStyle w:val="8"/>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04BC8635">
      <w:pPr>
        <w:pStyle w:val="8"/>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70302151">
      <w:pPr>
        <w:pStyle w:val="8"/>
        <w:spacing w:before="0" w:beforeAutospacing="0" w:after="0" w:afterAutospacing="0" w:line="360" w:lineRule="auto"/>
        <w:ind w:firstLine="420"/>
        <w:rPr>
          <w:sz w:val="21"/>
          <w:szCs w:val="21"/>
        </w:rPr>
      </w:pPr>
      <w:r>
        <w:rPr>
          <w:rFonts w:hint="eastAsia"/>
          <w:sz w:val="21"/>
          <w:szCs w:val="21"/>
        </w:rPr>
        <w:t xml:space="preserve">（2）通讯开会 </w:t>
      </w:r>
    </w:p>
    <w:p w14:paraId="507EECB8">
      <w:pPr>
        <w:pStyle w:val="8"/>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783DC739">
      <w:pPr>
        <w:pStyle w:val="8"/>
        <w:spacing w:before="0" w:beforeAutospacing="0" w:after="0" w:afterAutospacing="0" w:line="360" w:lineRule="auto"/>
        <w:ind w:firstLine="420"/>
        <w:rPr>
          <w:sz w:val="21"/>
          <w:szCs w:val="21"/>
        </w:rPr>
      </w:pPr>
      <w:r>
        <w:rPr>
          <w:rFonts w:hint="eastAsia"/>
          <w:sz w:val="21"/>
          <w:szCs w:val="21"/>
        </w:rPr>
        <w:t xml:space="preserve">（六）表决 </w:t>
      </w:r>
    </w:p>
    <w:p w14:paraId="11ADABC3">
      <w:pPr>
        <w:pStyle w:val="8"/>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512CE8D5">
      <w:pPr>
        <w:pStyle w:val="8"/>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6AB9B577">
      <w:pPr>
        <w:pStyle w:val="8"/>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5E61887F">
      <w:pPr>
        <w:pStyle w:val="8"/>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14:paraId="546ADF29">
      <w:pPr>
        <w:pStyle w:val="8"/>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0AF21C64">
      <w:pPr>
        <w:pStyle w:val="8"/>
        <w:spacing w:before="0" w:beforeAutospacing="0" w:after="0" w:afterAutospacing="0" w:line="360" w:lineRule="auto"/>
        <w:ind w:firstLine="420"/>
        <w:rPr>
          <w:sz w:val="21"/>
          <w:szCs w:val="21"/>
        </w:rPr>
      </w:pPr>
      <w:r>
        <w:rPr>
          <w:rFonts w:hint="eastAsia"/>
          <w:sz w:val="21"/>
          <w:szCs w:val="21"/>
        </w:rPr>
        <w:t xml:space="preserve">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0F48E242">
      <w:pPr>
        <w:pStyle w:val="8"/>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28A26FAD">
      <w:pPr>
        <w:pStyle w:val="8"/>
        <w:spacing w:before="0" w:beforeAutospacing="0" w:after="0" w:afterAutospacing="0" w:line="360" w:lineRule="auto"/>
        <w:ind w:firstLine="420"/>
        <w:rPr>
          <w:sz w:val="21"/>
          <w:szCs w:val="21"/>
        </w:rPr>
      </w:pPr>
      <w:r>
        <w:rPr>
          <w:rFonts w:hint="eastAsia"/>
          <w:sz w:val="21"/>
          <w:szCs w:val="21"/>
        </w:rPr>
        <w:t xml:space="preserve">（七）计票 </w:t>
      </w:r>
    </w:p>
    <w:p w14:paraId="3242548F">
      <w:pPr>
        <w:pStyle w:val="8"/>
        <w:spacing w:before="0" w:beforeAutospacing="0" w:after="0" w:afterAutospacing="0" w:line="360" w:lineRule="auto"/>
        <w:ind w:firstLine="420"/>
        <w:rPr>
          <w:sz w:val="21"/>
          <w:szCs w:val="21"/>
        </w:rPr>
      </w:pPr>
      <w:r>
        <w:rPr>
          <w:rFonts w:hint="eastAsia"/>
          <w:sz w:val="21"/>
          <w:szCs w:val="21"/>
        </w:rPr>
        <w:t xml:space="preserve">1、现场开会 </w:t>
      </w:r>
    </w:p>
    <w:p w14:paraId="2DBB39E5">
      <w:pPr>
        <w:pStyle w:val="8"/>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282CA3B2">
      <w:pPr>
        <w:pStyle w:val="8"/>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1BA92671">
      <w:pPr>
        <w:pStyle w:val="8"/>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3055E5BD">
      <w:pPr>
        <w:pStyle w:val="8"/>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3E40585B">
      <w:pPr>
        <w:pStyle w:val="8"/>
        <w:spacing w:before="0" w:beforeAutospacing="0" w:after="0" w:afterAutospacing="0" w:line="360" w:lineRule="auto"/>
        <w:ind w:firstLine="420"/>
        <w:rPr>
          <w:sz w:val="21"/>
          <w:szCs w:val="21"/>
        </w:rPr>
      </w:pPr>
      <w:r>
        <w:rPr>
          <w:rFonts w:hint="eastAsia"/>
          <w:sz w:val="21"/>
          <w:szCs w:val="21"/>
        </w:rPr>
        <w:t xml:space="preserve">2、通讯开会 </w:t>
      </w:r>
    </w:p>
    <w:p w14:paraId="03A5D431">
      <w:pPr>
        <w:pStyle w:val="8"/>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112960FF">
      <w:pPr>
        <w:pStyle w:val="8"/>
        <w:spacing w:before="0" w:beforeAutospacing="0" w:after="0" w:afterAutospacing="0" w:line="360" w:lineRule="auto"/>
        <w:ind w:firstLine="420"/>
        <w:rPr>
          <w:sz w:val="21"/>
          <w:szCs w:val="21"/>
        </w:rPr>
      </w:pPr>
      <w:r>
        <w:rPr>
          <w:rFonts w:hint="eastAsia"/>
          <w:sz w:val="21"/>
          <w:szCs w:val="21"/>
        </w:rPr>
        <w:t xml:space="preserve">（八）生效与公告 </w:t>
      </w:r>
    </w:p>
    <w:p w14:paraId="52CF34EC">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01F7CC5F">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54655F97">
      <w:pPr>
        <w:pStyle w:val="8"/>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7E6619E2">
      <w:pPr>
        <w:pStyle w:val="8"/>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6F5EBF8A">
      <w:pPr>
        <w:pStyle w:val="8"/>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38262FAB">
      <w:pPr>
        <w:pStyle w:val="8"/>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427F7A94">
      <w:pPr>
        <w:pStyle w:val="8"/>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09F6A1C3">
      <w:pPr>
        <w:pStyle w:val="8"/>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01DF9A73">
      <w:pPr>
        <w:pStyle w:val="8"/>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59BD5A20">
      <w:pPr>
        <w:pStyle w:val="8"/>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2AC61F39">
      <w:pPr>
        <w:pStyle w:val="8"/>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40E39802">
      <w:pPr>
        <w:pStyle w:val="8"/>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6BDE4E43">
      <w:pPr>
        <w:pStyle w:val="8"/>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0504BB34">
      <w:pPr>
        <w:pStyle w:val="8"/>
        <w:spacing w:before="0" w:beforeAutospacing="0" w:after="0" w:afterAutospacing="0" w:line="360" w:lineRule="auto"/>
        <w:ind w:firstLine="420"/>
        <w:rPr>
          <w:sz w:val="21"/>
          <w:szCs w:val="21"/>
        </w:rPr>
      </w:pPr>
      <w:r>
        <w:rPr>
          <w:rFonts w:hint="eastAsia"/>
          <w:sz w:val="21"/>
          <w:szCs w:val="21"/>
        </w:rPr>
        <w:t xml:space="preserve">同一主侧袋账户内同一类别的每份基金份额具有平等的表决权。 </w:t>
      </w:r>
    </w:p>
    <w:p w14:paraId="13A49360">
      <w:pPr>
        <w:pStyle w:val="8"/>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74600535">
      <w:pPr>
        <w:pStyle w:val="8"/>
        <w:spacing w:before="0" w:beforeAutospacing="0" w:after="0" w:afterAutospacing="0" w:line="360" w:lineRule="auto"/>
        <w:ind w:firstLine="420"/>
        <w:rPr>
          <w:sz w:val="21"/>
          <w:szCs w:val="21"/>
        </w:rPr>
      </w:pPr>
      <w:r>
        <w:rPr>
          <w:rStyle w:val="12"/>
          <w:rFonts w:hint="eastAsia"/>
          <w:sz w:val="21"/>
          <w:szCs w:val="21"/>
        </w:rPr>
        <w:t>三、基金收益分配原则</w:t>
      </w:r>
    </w:p>
    <w:p w14:paraId="2894F631">
      <w:pPr>
        <w:pStyle w:val="8"/>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68FA8695">
      <w:pPr>
        <w:pStyle w:val="8"/>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2E5B3772">
      <w:pPr>
        <w:pStyle w:val="8"/>
        <w:spacing w:before="0" w:beforeAutospacing="0" w:after="0" w:afterAutospacing="0" w:line="360" w:lineRule="auto"/>
        <w:ind w:firstLine="420"/>
        <w:rPr>
          <w:sz w:val="21"/>
          <w:szCs w:val="21"/>
        </w:rPr>
      </w:pPr>
      <w:r>
        <w:rPr>
          <w:rFonts w:hint="eastAsia"/>
          <w:sz w:val="21"/>
          <w:szCs w:val="21"/>
        </w:rPr>
        <w:t xml:space="preserve">3、本基金各类基金份额在费用收取上不同，其对应的可分配收益可能有所不同。本基金同一类别每一基金份额享有同等分配权； </w:t>
      </w:r>
    </w:p>
    <w:p w14:paraId="65A7B76B">
      <w:pPr>
        <w:pStyle w:val="8"/>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45074CDE">
      <w:pPr>
        <w:pStyle w:val="8"/>
        <w:spacing w:before="0" w:beforeAutospacing="0" w:after="0" w:afterAutospacing="0" w:line="360" w:lineRule="auto"/>
        <w:ind w:firstLine="420"/>
        <w:rPr>
          <w:sz w:val="21"/>
          <w:szCs w:val="21"/>
        </w:rPr>
      </w:pPr>
      <w:r>
        <w:rPr>
          <w:rFonts w:hint="eastAsia"/>
          <w:sz w:val="21"/>
          <w:szCs w:val="21"/>
        </w:rPr>
        <w:t xml:space="preserve">在符合法律法规及基金合同约定，并对基金份额持有人利益无实质不利影响的前提下，基金管理人可对基金收益分配原则和支付方式进行调整，不需召开基金份额持有人大会。 </w:t>
      </w:r>
    </w:p>
    <w:p w14:paraId="01B5648C">
      <w:pPr>
        <w:pStyle w:val="8"/>
        <w:spacing w:before="0" w:beforeAutospacing="0" w:after="0" w:afterAutospacing="0" w:line="360" w:lineRule="auto"/>
        <w:ind w:firstLine="420"/>
        <w:rPr>
          <w:sz w:val="21"/>
          <w:szCs w:val="21"/>
        </w:rPr>
      </w:pPr>
      <w:r>
        <w:rPr>
          <w:rStyle w:val="12"/>
          <w:rFonts w:hint="eastAsia"/>
          <w:sz w:val="21"/>
          <w:szCs w:val="21"/>
        </w:rPr>
        <w:t>四、与基金财产管理、运用有关费用的提取、支付方式与比例</w:t>
      </w:r>
    </w:p>
    <w:p w14:paraId="26CD4AB0">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20BC015B">
      <w:pPr>
        <w:pStyle w:val="8"/>
        <w:spacing w:before="0" w:beforeAutospacing="0" w:after="0" w:afterAutospacing="0" w:line="360" w:lineRule="auto"/>
        <w:ind w:firstLine="420"/>
        <w:rPr>
          <w:sz w:val="21"/>
          <w:szCs w:val="21"/>
        </w:rPr>
      </w:pPr>
      <w:r>
        <w:rPr>
          <w:rFonts w:hint="eastAsia"/>
          <w:sz w:val="21"/>
          <w:szCs w:val="21"/>
        </w:rPr>
        <w:t xml:space="preserve">本基金的管理费按前一日基金资产净值的0.30%年费率计提。管理费的计算方法如下： </w:t>
      </w:r>
    </w:p>
    <w:p w14:paraId="5B975183">
      <w:pPr>
        <w:pStyle w:val="8"/>
        <w:spacing w:before="0" w:beforeAutospacing="0" w:after="0" w:afterAutospacing="0" w:line="360" w:lineRule="auto"/>
        <w:ind w:firstLine="420"/>
        <w:rPr>
          <w:sz w:val="21"/>
          <w:szCs w:val="21"/>
        </w:rPr>
      </w:pPr>
      <w:r>
        <w:rPr>
          <w:rFonts w:hint="eastAsia"/>
          <w:sz w:val="21"/>
          <w:szCs w:val="21"/>
        </w:rPr>
        <w:t xml:space="preserve">H＝E×0.30%÷当年天数 </w:t>
      </w:r>
    </w:p>
    <w:p w14:paraId="6A6CFD9F">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161EB400">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3D10305">
      <w:pPr>
        <w:pStyle w:val="8"/>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向基金托管人发送基金管理费划付指令，经基金托管人复核后于次月前3个工作日内从基金财产中一次性支付给基金管理人。若遇法定节假日、公休假或不可抗力等致使无法按时支付的，支付日期顺延至最近可支付日。 </w:t>
      </w:r>
    </w:p>
    <w:p w14:paraId="1ADCB9C6">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3FB74249">
      <w:pPr>
        <w:pStyle w:val="8"/>
        <w:spacing w:before="0" w:beforeAutospacing="0" w:after="0" w:afterAutospacing="0" w:line="360" w:lineRule="auto"/>
        <w:ind w:firstLine="420"/>
        <w:rPr>
          <w:sz w:val="21"/>
          <w:szCs w:val="21"/>
        </w:rPr>
      </w:pPr>
      <w:r>
        <w:rPr>
          <w:rFonts w:hint="eastAsia"/>
          <w:sz w:val="21"/>
          <w:szCs w:val="21"/>
        </w:rPr>
        <w:t xml:space="preserve">本基金的托管费按前一日基金资产净值的0.10%的年费率计提。托管费的计算方法如下： </w:t>
      </w:r>
    </w:p>
    <w:p w14:paraId="23CFB941">
      <w:pPr>
        <w:pStyle w:val="8"/>
        <w:spacing w:before="0" w:beforeAutospacing="0" w:after="0" w:afterAutospacing="0" w:line="360" w:lineRule="auto"/>
        <w:ind w:firstLine="420"/>
        <w:rPr>
          <w:sz w:val="21"/>
          <w:szCs w:val="21"/>
        </w:rPr>
      </w:pPr>
      <w:r>
        <w:rPr>
          <w:rFonts w:hint="eastAsia"/>
          <w:sz w:val="21"/>
          <w:szCs w:val="21"/>
        </w:rPr>
        <w:t xml:space="preserve">H＝E×0.10%÷当年天数 </w:t>
      </w:r>
    </w:p>
    <w:p w14:paraId="2A2DFF83">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5F40F6FA">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3557F1AE">
      <w:pPr>
        <w:pStyle w:val="8"/>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向基金托管人发送基金托管费划付指令，经基金托管人复核后于次月前3个工作日内从基金财产中一次性支取。若遇法定节假日、公休假或不可抗力等致使无法按时支付的，支付日期顺延至最近可支付日。 </w:t>
      </w:r>
    </w:p>
    <w:p w14:paraId="07DD02E7">
      <w:pPr>
        <w:pStyle w:val="8"/>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1F1F04F4">
      <w:pPr>
        <w:pStyle w:val="8"/>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本基金A类基金份额不收取销售服务费，C类基金份额的销售服务费年费率为0.40%。本基金销售服务费主要用于本基金持续销售以及基金份额持有人服务等各项费用。 </w:t>
      </w:r>
    </w:p>
    <w:p w14:paraId="51927942">
      <w:pPr>
        <w:pStyle w:val="8"/>
        <w:spacing w:before="0" w:beforeAutospacing="0" w:after="0" w:afterAutospacing="0" w:line="360" w:lineRule="auto"/>
        <w:ind w:firstLine="420"/>
        <w:rPr>
          <w:sz w:val="21"/>
          <w:szCs w:val="21"/>
        </w:rPr>
      </w:pPr>
      <w:r>
        <w:rPr>
          <w:rFonts w:hint="eastAsia"/>
          <w:sz w:val="21"/>
          <w:szCs w:val="21"/>
        </w:rPr>
        <w:t xml:space="preserve">销售服务费按前一日C类基金份额基金资产净值的0.40%年费率计提。计算方法如下： </w:t>
      </w:r>
    </w:p>
    <w:p w14:paraId="6639F1AF">
      <w:pPr>
        <w:pStyle w:val="8"/>
        <w:spacing w:before="0" w:beforeAutospacing="0" w:after="0" w:afterAutospacing="0" w:line="360" w:lineRule="auto"/>
        <w:ind w:firstLine="420"/>
        <w:rPr>
          <w:sz w:val="21"/>
          <w:szCs w:val="21"/>
        </w:rPr>
      </w:pPr>
      <w:r>
        <w:rPr>
          <w:rFonts w:hint="eastAsia"/>
          <w:sz w:val="21"/>
          <w:szCs w:val="21"/>
        </w:rPr>
        <w:t xml:space="preserve">H＝E×销售服务费年费率÷当年天数 </w:t>
      </w:r>
    </w:p>
    <w:p w14:paraId="5E9424AD">
      <w:pPr>
        <w:pStyle w:val="8"/>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507BE062">
      <w:pPr>
        <w:pStyle w:val="8"/>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0B4DBDAA">
      <w:pPr>
        <w:pStyle w:val="8"/>
        <w:spacing w:before="0" w:beforeAutospacing="0" w:after="0" w:afterAutospacing="0" w:line="360" w:lineRule="auto"/>
        <w:ind w:firstLine="420"/>
        <w:rPr>
          <w:sz w:val="21"/>
          <w:szCs w:val="21"/>
        </w:rPr>
      </w:pPr>
      <w:r>
        <w:rPr>
          <w:rFonts w:hint="eastAsia"/>
          <w:sz w:val="21"/>
          <w:szCs w:val="21"/>
        </w:rPr>
        <w:t xml:space="preserve">销售服务费每日计算，逐日累计至每月月末，按月支付。由基金管理人向基金托管人发送销售服务费划付指令，经基金托管人复核后于次月前3个工作日内从基金财产中一次性支付至登记机构，由登记机构代付给销售机构。若遇法定节假日、公休假或不可抗力等致使无法按时支付的，支付日期顺延至最近可支付日。 </w:t>
      </w:r>
    </w:p>
    <w:p w14:paraId="15600BC9">
      <w:pPr>
        <w:pStyle w:val="8"/>
        <w:spacing w:before="0" w:beforeAutospacing="0" w:after="0" w:afterAutospacing="0" w:line="360" w:lineRule="auto"/>
        <w:ind w:firstLine="420"/>
        <w:rPr>
          <w:sz w:val="21"/>
          <w:szCs w:val="21"/>
        </w:rPr>
      </w:pPr>
      <w:r>
        <w:rPr>
          <w:rStyle w:val="12"/>
          <w:rFonts w:hint="eastAsia"/>
          <w:sz w:val="21"/>
          <w:szCs w:val="21"/>
        </w:rPr>
        <w:t>五、基金财产的投资方向和投资限制</w:t>
      </w:r>
    </w:p>
    <w:p w14:paraId="5A6430E0">
      <w:pPr>
        <w:pStyle w:val="8"/>
        <w:spacing w:before="0" w:beforeAutospacing="0" w:after="0" w:afterAutospacing="0" w:line="360" w:lineRule="auto"/>
        <w:ind w:firstLine="420"/>
        <w:rPr>
          <w:sz w:val="21"/>
          <w:szCs w:val="21"/>
        </w:rPr>
      </w:pPr>
      <w:r>
        <w:rPr>
          <w:rFonts w:hint="eastAsia"/>
          <w:sz w:val="21"/>
          <w:szCs w:val="21"/>
        </w:rPr>
        <w:t xml:space="preserve">（一）投资范围 </w:t>
      </w:r>
    </w:p>
    <w:p w14:paraId="1F65620D">
      <w:pPr>
        <w:pStyle w:val="8"/>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债、金融债、企业债、公司债、地方政府债、央行票据、中期票据、短期融资券、资产支持证券、次级债、可分离交易可转债的纯债部分、债券回购、银行存款等法律法规或中国证监会允许基金投资的其他金融工具（但须符合中国证监会的相关规定）。 </w:t>
      </w:r>
    </w:p>
    <w:p w14:paraId="67F5484F">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本基金不投资于股票、权证等资产，也不投资于可转换债券（可分离交易可转债的纯债部分除外）、可交换债券。 </w:t>
      </w:r>
    </w:p>
    <w:p w14:paraId="16EF1C49">
      <w:pPr>
        <w:pStyle w:val="8"/>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不低于基金资产净值的5%，其中，现金不包括结算备付金、存出保证金、应收申购款等。 </w:t>
      </w:r>
    </w:p>
    <w:p w14:paraId="3CE691A9">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4A5D0514">
      <w:pPr>
        <w:pStyle w:val="8"/>
        <w:spacing w:before="0" w:beforeAutospacing="0" w:after="0" w:afterAutospacing="0" w:line="360" w:lineRule="auto"/>
        <w:ind w:firstLine="420"/>
        <w:rPr>
          <w:sz w:val="21"/>
          <w:szCs w:val="21"/>
        </w:rPr>
      </w:pPr>
      <w:r>
        <w:rPr>
          <w:rFonts w:hint="eastAsia"/>
          <w:sz w:val="21"/>
          <w:szCs w:val="21"/>
        </w:rPr>
        <w:t xml:space="preserve">（二）投资限制 </w:t>
      </w:r>
    </w:p>
    <w:p w14:paraId="53833056">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4C492DFE">
      <w:pPr>
        <w:pStyle w:val="8"/>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5BDCC89D">
      <w:pPr>
        <w:pStyle w:val="8"/>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0AFA0D73">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6AA8EB52">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6FBA8893">
      <w:pPr>
        <w:pStyle w:val="8"/>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61478A07">
      <w:pPr>
        <w:pStyle w:val="8"/>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44751D89">
      <w:pPr>
        <w:pStyle w:val="8"/>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091ECD9F">
      <w:pPr>
        <w:pStyle w:val="8"/>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51A7A4E6">
      <w:pPr>
        <w:pStyle w:val="8"/>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441884DC">
      <w:pPr>
        <w:pStyle w:val="8"/>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559FED6F">
      <w:pPr>
        <w:pStyle w:val="8"/>
        <w:spacing w:before="0" w:beforeAutospacing="0" w:after="0" w:afterAutospacing="0" w:line="360" w:lineRule="auto"/>
        <w:ind w:firstLine="420"/>
        <w:rPr>
          <w:sz w:val="21"/>
          <w:szCs w:val="21"/>
        </w:rPr>
      </w:pPr>
      <w:r>
        <w:rPr>
          <w:rFonts w:hint="eastAsia"/>
          <w:sz w:val="21"/>
          <w:szCs w:val="21"/>
        </w:rPr>
        <w:t xml:space="preserve">（11）基金资产总值不得超过基金资产净值的140%； </w:t>
      </w:r>
    </w:p>
    <w:p w14:paraId="09CAEA38">
      <w:pPr>
        <w:pStyle w:val="8"/>
        <w:spacing w:before="0" w:beforeAutospacing="0" w:after="0" w:afterAutospacing="0" w:line="360" w:lineRule="auto"/>
        <w:ind w:firstLine="420"/>
        <w:rPr>
          <w:sz w:val="21"/>
          <w:szCs w:val="21"/>
        </w:rPr>
      </w:pPr>
      <w:r>
        <w:rPr>
          <w:rFonts w:hint="eastAsia"/>
          <w:sz w:val="21"/>
          <w:szCs w:val="21"/>
        </w:rPr>
        <w:t xml:space="preserve">（12）本基金主动投资于流动性受限资产的市值合计不得超过基金资产净值的15%； </w:t>
      </w:r>
    </w:p>
    <w:p w14:paraId="48B5C6E8">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0F864FDA">
      <w:pPr>
        <w:pStyle w:val="8"/>
        <w:spacing w:before="0" w:beforeAutospacing="0" w:after="0" w:afterAutospacing="0" w:line="360" w:lineRule="auto"/>
        <w:ind w:firstLine="420"/>
        <w:rPr>
          <w:sz w:val="21"/>
          <w:szCs w:val="21"/>
        </w:rPr>
      </w:pPr>
      <w:r>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14:paraId="67CB13B5">
      <w:pPr>
        <w:pStyle w:val="8"/>
        <w:spacing w:before="0" w:beforeAutospacing="0" w:after="0" w:afterAutospacing="0" w:line="360" w:lineRule="auto"/>
        <w:ind w:firstLine="420"/>
        <w:rPr>
          <w:sz w:val="21"/>
          <w:szCs w:val="21"/>
        </w:rPr>
      </w:pPr>
      <w:r>
        <w:rPr>
          <w:rFonts w:hint="eastAsia"/>
          <w:sz w:val="21"/>
          <w:szCs w:val="21"/>
        </w:rPr>
        <w:t xml:space="preserve">（14）法律法规及中国证监会规定的和《基金合同》约定的其他投资限制。 </w:t>
      </w:r>
    </w:p>
    <w:p w14:paraId="4DE3613A">
      <w:pPr>
        <w:pStyle w:val="8"/>
        <w:spacing w:before="0" w:beforeAutospacing="0" w:after="0" w:afterAutospacing="0" w:line="360" w:lineRule="auto"/>
        <w:ind w:firstLine="420"/>
        <w:rPr>
          <w:sz w:val="21"/>
          <w:szCs w:val="21"/>
        </w:rPr>
      </w:pPr>
      <w:r>
        <w:rPr>
          <w:rFonts w:hint="eastAsia"/>
          <w:sz w:val="21"/>
          <w:szCs w:val="21"/>
        </w:rPr>
        <w:t xml:space="preserve">除上述第（2）、（10）、（12）、（13）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6D624EFC">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14:paraId="43F550DD">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 </w:t>
      </w:r>
    </w:p>
    <w:p w14:paraId="466AFD39">
      <w:pPr>
        <w:pStyle w:val="8"/>
        <w:spacing w:before="0" w:beforeAutospacing="0" w:after="0" w:afterAutospacing="0" w:line="360" w:lineRule="auto"/>
        <w:ind w:firstLine="420"/>
        <w:rPr>
          <w:sz w:val="21"/>
          <w:szCs w:val="21"/>
        </w:rPr>
      </w:pPr>
      <w:r>
        <w:rPr>
          <w:rFonts w:hint="eastAsia"/>
          <w:sz w:val="21"/>
          <w:szCs w:val="21"/>
        </w:rPr>
        <w:t xml:space="preserve">（三）禁止行为 </w:t>
      </w:r>
    </w:p>
    <w:p w14:paraId="2154F8F1">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31533E19">
      <w:pPr>
        <w:pStyle w:val="8"/>
        <w:spacing w:before="0" w:beforeAutospacing="0" w:after="0" w:afterAutospacing="0" w:line="360" w:lineRule="auto"/>
        <w:ind w:firstLine="420"/>
        <w:rPr>
          <w:sz w:val="21"/>
          <w:szCs w:val="21"/>
        </w:rPr>
      </w:pPr>
      <w:r>
        <w:rPr>
          <w:rFonts w:hint="eastAsia"/>
          <w:sz w:val="21"/>
          <w:szCs w:val="21"/>
        </w:rPr>
        <w:t xml:space="preserve">（1）承销证券； </w:t>
      </w:r>
    </w:p>
    <w:p w14:paraId="1A7C98A9">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3C38E40C">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109C0008">
      <w:pPr>
        <w:pStyle w:val="8"/>
        <w:spacing w:before="0" w:beforeAutospacing="0" w:after="0" w:afterAutospacing="0" w:line="360" w:lineRule="auto"/>
        <w:ind w:firstLine="420"/>
        <w:rPr>
          <w:sz w:val="21"/>
          <w:szCs w:val="21"/>
        </w:rPr>
      </w:pPr>
      <w:r>
        <w:rPr>
          <w:rFonts w:hint="eastAsia"/>
          <w:sz w:val="21"/>
          <w:szCs w:val="21"/>
        </w:rPr>
        <w:t xml:space="preserve">（4）向其基金管理人、基金托管人出资； </w:t>
      </w:r>
    </w:p>
    <w:p w14:paraId="0E70D78F">
      <w:pPr>
        <w:pStyle w:val="8"/>
        <w:spacing w:before="0" w:beforeAutospacing="0" w:after="0" w:afterAutospacing="0" w:line="360" w:lineRule="auto"/>
        <w:ind w:firstLine="420"/>
        <w:rPr>
          <w:sz w:val="21"/>
          <w:szCs w:val="21"/>
        </w:rPr>
      </w:pPr>
      <w:r>
        <w:rPr>
          <w:rFonts w:hint="eastAsia"/>
          <w:sz w:val="21"/>
          <w:szCs w:val="21"/>
        </w:rPr>
        <w:t xml:space="preserve">（5）从事内幕交易、操纵证券交易价格及其他不正当的证券交易活动； </w:t>
      </w:r>
    </w:p>
    <w:p w14:paraId="14477AC2">
      <w:pPr>
        <w:pStyle w:val="8"/>
        <w:spacing w:before="0" w:beforeAutospacing="0" w:after="0" w:afterAutospacing="0" w:line="360" w:lineRule="auto"/>
        <w:ind w:firstLine="420"/>
        <w:rPr>
          <w:sz w:val="21"/>
          <w:szCs w:val="21"/>
        </w:rPr>
      </w:pPr>
      <w:r>
        <w:rPr>
          <w:rFonts w:hint="eastAsia"/>
          <w:sz w:val="21"/>
          <w:szCs w:val="21"/>
        </w:rPr>
        <w:t xml:space="preserve">（6）法律、行政法规和中国证监会规定禁止的其他活动。 </w:t>
      </w:r>
    </w:p>
    <w:p w14:paraId="6778B80E">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478E91B0">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563B869F">
      <w:pPr>
        <w:pStyle w:val="8"/>
        <w:spacing w:before="0" w:beforeAutospacing="0" w:after="0" w:afterAutospacing="0" w:line="360" w:lineRule="auto"/>
        <w:ind w:firstLine="420"/>
        <w:rPr>
          <w:sz w:val="21"/>
          <w:szCs w:val="21"/>
        </w:rPr>
      </w:pPr>
      <w:r>
        <w:rPr>
          <w:rStyle w:val="12"/>
          <w:rFonts w:hint="eastAsia"/>
          <w:sz w:val="21"/>
          <w:szCs w:val="21"/>
        </w:rPr>
        <w:t>六、基金合同解除和终止的事由、程序以及基金财产清算方式</w:t>
      </w:r>
    </w:p>
    <w:p w14:paraId="44F4DD3A">
      <w:pPr>
        <w:pStyle w:val="8"/>
        <w:spacing w:before="0" w:beforeAutospacing="0" w:after="0" w:afterAutospacing="0" w:line="360" w:lineRule="auto"/>
        <w:ind w:firstLine="420"/>
        <w:rPr>
          <w:sz w:val="21"/>
          <w:szCs w:val="21"/>
        </w:rPr>
      </w:pPr>
      <w:r>
        <w:rPr>
          <w:rFonts w:hint="eastAsia"/>
          <w:sz w:val="21"/>
          <w:szCs w:val="21"/>
        </w:rPr>
        <w:t xml:space="preserve">（一）《基金合同》的变更 </w:t>
      </w:r>
    </w:p>
    <w:p w14:paraId="1449A9B7">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2B781AE0">
      <w:pPr>
        <w:pStyle w:val="8"/>
        <w:spacing w:before="0" w:beforeAutospacing="0" w:after="0" w:afterAutospacing="0" w:line="360" w:lineRule="auto"/>
        <w:ind w:firstLine="420"/>
        <w:rPr>
          <w:sz w:val="21"/>
          <w:szCs w:val="21"/>
        </w:rPr>
      </w:pPr>
      <w:r>
        <w:rPr>
          <w:rFonts w:hint="eastAsia"/>
          <w:sz w:val="21"/>
          <w:szCs w:val="21"/>
        </w:rPr>
        <w:t>2、关于《基金合同》变更的基金份额持有人大会决议须报中国证监会备案，自表决通过之日起生效，并自决议生效后</w:t>
      </w:r>
      <w:bookmarkStart w:id="204" w:name="undefined"/>
      <w:r>
        <w:rPr>
          <w:rFonts w:hint="eastAsia"/>
          <w:sz w:val="21"/>
          <w:szCs w:val="21"/>
        </w:rPr>
        <w:t xml:space="preserve">按规定在指定媒介公告。 </w:t>
      </w:r>
    </w:p>
    <w:p w14:paraId="612E7BC9">
      <w:pPr>
        <w:pStyle w:val="8"/>
        <w:spacing w:before="0" w:beforeAutospacing="0" w:after="0" w:afterAutospacing="0" w:line="360" w:lineRule="auto"/>
        <w:ind w:firstLine="420"/>
        <w:rPr>
          <w:sz w:val="21"/>
          <w:szCs w:val="21"/>
        </w:rPr>
      </w:pPr>
      <w:r>
        <w:rPr>
          <w:rFonts w:hint="eastAsia"/>
          <w:sz w:val="21"/>
          <w:szCs w:val="21"/>
        </w:rPr>
        <w:t xml:space="preserve">（二）《基金合同》的终止事由 </w:t>
      </w:r>
    </w:p>
    <w:p w14:paraId="0F727FA6">
      <w:pPr>
        <w:pStyle w:val="8"/>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60F3FCD0">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2BD18BFB">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2015B20B">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 </w:t>
      </w:r>
    </w:p>
    <w:p w14:paraId="39F3AF3F">
      <w:pPr>
        <w:pStyle w:val="8"/>
        <w:spacing w:before="0" w:beforeAutospacing="0" w:after="0" w:afterAutospacing="0" w:line="360" w:lineRule="auto"/>
        <w:ind w:firstLine="420"/>
        <w:rPr>
          <w:sz w:val="21"/>
          <w:szCs w:val="21"/>
        </w:rPr>
      </w:pPr>
      <w:r>
        <w:rPr>
          <w:rFonts w:hint="eastAsia"/>
          <w:sz w:val="21"/>
          <w:szCs w:val="21"/>
        </w:rPr>
        <w:t xml:space="preserve">4、《基金合同》约定的其他情形； </w:t>
      </w:r>
    </w:p>
    <w:p w14:paraId="6ADF10D1">
      <w:pPr>
        <w:pStyle w:val="8"/>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14:paraId="28EA10DE">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33BAF47E">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1C69EE73">
      <w:pPr>
        <w:pStyle w:val="8"/>
        <w:spacing w:before="0" w:beforeAutospacing="0" w:after="0" w:afterAutospacing="0" w:line="360" w:lineRule="auto"/>
        <w:ind w:firstLine="420"/>
        <w:rPr>
          <w:sz w:val="21"/>
          <w:szCs w:val="21"/>
        </w:rPr>
      </w:pPr>
      <w:r>
        <w:rPr>
          <w:rFonts w:hint="eastAsia"/>
          <w:sz w:val="21"/>
          <w:szCs w:val="21"/>
        </w:rPr>
        <w:t>2、基金财产清算小组组成：基金财产清算小组成员由基金管理人、基金托管人、具有从事证券</w:t>
      </w:r>
      <w:bookmarkEnd w:id="204"/>
      <w:r>
        <w:rPr>
          <w:rFonts w:hint="eastAsia"/>
          <w:sz w:val="21"/>
          <w:szCs w:val="21"/>
        </w:rPr>
        <w:t xml:space="preserve">、期货相关业务资格的注册会计师、律师以及中国证监会指定的人员组成。基金财产清算小组可以聘用必要的工作人员。 </w:t>
      </w:r>
    </w:p>
    <w:p w14:paraId="4C32C13B">
      <w:pPr>
        <w:pStyle w:val="8"/>
        <w:spacing w:before="0" w:beforeAutospacing="0" w:after="0" w:afterAutospacing="0" w:line="360" w:lineRule="auto"/>
        <w:ind w:firstLine="420"/>
        <w:rPr>
          <w:sz w:val="21"/>
          <w:szCs w:val="21"/>
        </w:rPr>
      </w:pPr>
      <w:r>
        <w:rPr>
          <w:rFonts w:hint="eastAsia"/>
          <w:sz w:val="21"/>
          <w:szCs w:val="21"/>
        </w:rPr>
        <w:t xml:space="preserve">3、在基金财产清算过程中，基金管理人和基金托管人应各自履行职责，继续忠实、勤勉、尽责地履行基金合同和托管协议规定的义务，维护基金份额持有人的合法权益。 </w:t>
      </w:r>
    </w:p>
    <w:p w14:paraId="0A58CCD1">
      <w:pPr>
        <w:pStyle w:val="8"/>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2A9F04B6">
      <w:pPr>
        <w:pStyle w:val="8"/>
        <w:spacing w:before="0" w:beforeAutospacing="0" w:after="0" w:afterAutospacing="0" w:line="360" w:lineRule="auto"/>
        <w:ind w:firstLine="420"/>
        <w:rPr>
          <w:sz w:val="21"/>
          <w:szCs w:val="21"/>
        </w:rPr>
      </w:pPr>
      <w:r>
        <w:rPr>
          <w:rFonts w:hint="eastAsia"/>
          <w:sz w:val="21"/>
          <w:szCs w:val="21"/>
        </w:rPr>
        <w:t xml:space="preserve">5、基金财产清算程序： </w:t>
      </w:r>
    </w:p>
    <w:p w14:paraId="3F0E0032">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7A5E4E3B">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757C0793">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2F08E9DC">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130C9E21">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1FAB8A26">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67959545">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4A1AA20">
      <w:pPr>
        <w:pStyle w:val="8"/>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14:paraId="0DD742A7">
      <w:pPr>
        <w:pStyle w:val="8"/>
        <w:spacing w:before="0" w:beforeAutospacing="0" w:after="0" w:afterAutospacing="0" w:line="360" w:lineRule="auto"/>
        <w:ind w:firstLine="420"/>
        <w:rPr>
          <w:sz w:val="21"/>
          <w:szCs w:val="21"/>
        </w:rPr>
      </w:pPr>
      <w:r>
        <w:rPr>
          <w:rFonts w:hint="eastAsia"/>
          <w:sz w:val="21"/>
          <w:szCs w:val="21"/>
        </w:rPr>
        <w:t xml:space="preserve">（四）清算费用 </w:t>
      </w:r>
    </w:p>
    <w:p w14:paraId="64B78379">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34BB3063">
      <w:pPr>
        <w:pStyle w:val="8"/>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2907FEDB">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453497CB">
      <w:pPr>
        <w:pStyle w:val="8"/>
        <w:spacing w:before="0" w:beforeAutospacing="0" w:after="0" w:afterAutospacing="0" w:line="360" w:lineRule="auto"/>
        <w:ind w:firstLine="420"/>
        <w:rPr>
          <w:sz w:val="21"/>
          <w:szCs w:val="21"/>
        </w:rPr>
      </w:pPr>
      <w:r>
        <w:rPr>
          <w:rFonts w:hint="eastAsia"/>
          <w:sz w:val="21"/>
          <w:szCs w:val="21"/>
        </w:rPr>
        <w:t xml:space="preserve">（六）基金财产清算的公告 </w:t>
      </w:r>
    </w:p>
    <w:p w14:paraId="18F907AC">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1272A6ED">
      <w:pPr>
        <w:pStyle w:val="8"/>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6A854B55">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4FC1C5A2">
      <w:pPr>
        <w:pStyle w:val="8"/>
        <w:spacing w:before="0" w:beforeAutospacing="0" w:after="0" w:afterAutospacing="0" w:line="360" w:lineRule="auto"/>
        <w:ind w:firstLine="420"/>
        <w:rPr>
          <w:sz w:val="21"/>
          <w:szCs w:val="21"/>
        </w:rPr>
      </w:pPr>
      <w:r>
        <w:rPr>
          <w:rStyle w:val="12"/>
          <w:rFonts w:hint="eastAsia"/>
          <w:sz w:val="21"/>
          <w:szCs w:val="21"/>
        </w:rPr>
        <w:t>七、争议解决方式</w:t>
      </w:r>
    </w:p>
    <w:p w14:paraId="7C0A80BD">
      <w:pPr>
        <w:pStyle w:val="8"/>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律师费用由败诉方承担。 </w:t>
      </w:r>
    </w:p>
    <w:p w14:paraId="279EC375">
      <w:pPr>
        <w:pStyle w:val="8"/>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14:paraId="38BF275B">
      <w:pPr>
        <w:pStyle w:val="8"/>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 </w:t>
      </w:r>
    </w:p>
    <w:p w14:paraId="39826D07">
      <w:pPr>
        <w:pStyle w:val="8"/>
        <w:spacing w:before="0" w:beforeAutospacing="0" w:after="0" w:afterAutospacing="0" w:line="360" w:lineRule="auto"/>
        <w:ind w:firstLine="420"/>
        <w:rPr>
          <w:sz w:val="21"/>
          <w:szCs w:val="21"/>
        </w:rPr>
      </w:pPr>
      <w:r>
        <w:rPr>
          <w:rStyle w:val="12"/>
          <w:rFonts w:hint="eastAsia"/>
          <w:sz w:val="21"/>
          <w:szCs w:val="21"/>
        </w:rPr>
        <w:t>八、基金合同存放地和投资人取得基金合同的方式</w:t>
      </w:r>
    </w:p>
    <w:p w14:paraId="6A172D3A">
      <w:pPr>
        <w:pStyle w:val="8"/>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5" w:name="chapter_level1_22_71_section_1_end"/>
      <w:bookmarkEnd w:id="205"/>
      <w:r>
        <w:rPr>
          <w:rFonts w:hint="eastAsia"/>
          <w:sz w:val="21"/>
          <w:szCs w:val="21"/>
        </w:rPr>
        <w:t xml:space="preserve">和营业场所查阅。 </w:t>
      </w:r>
    </w:p>
    <w:p w14:paraId="0367B431">
      <w:pPr>
        <w:widowControl/>
        <w:jc w:val="left"/>
        <w:rPr>
          <w:rFonts w:ascii="宋体" w:hAnsi="宋体" w:eastAsia="宋体"/>
        </w:rPr>
      </w:pPr>
      <w:r>
        <w:rPr>
          <w:rFonts w:ascii="宋体" w:hAnsi="宋体" w:eastAsia="宋体"/>
        </w:rPr>
        <w:br w:type="page"/>
      </w:r>
    </w:p>
    <w:p w14:paraId="1446858C">
      <w:pPr>
        <w:pStyle w:val="2"/>
        <w:jc w:val="center"/>
        <w:rPr>
          <w:rFonts w:ascii="宋体" w:hAnsi="宋体" w:eastAsia="宋体"/>
          <w:sz w:val="30"/>
        </w:rPr>
      </w:pPr>
      <w:bookmarkStart w:id="206" w:name="_Toc239192446"/>
      <w:bookmarkStart w:id="207" w:name="chapter_level1_23_72"/>
      <w:r>
        <w:rPr>
          <w:rFonts w:hint="eastAsia" w:ascii="宋体" w:hAnsi="宋体" w:eastAsia="宋体"/>
          <w:sz w:val="30"/>
        </w:rPr>
        <w:t>第二十部分  基金托管协议的内容摘要</w:t>
      </w:r>
      <w:bookmarkEnd w:id="206"/>
      <w:bookmarkEnd w:id="207"/>
    </w:p>
    <w:p w14:paraId="359F8ABB">
      <w:pPr>
        <w:pStyle w:val="8"/>
        <w:spacing w:before="0" w:beforeAutospacing="0" w:after="0" w:afterAutospacing="0" w:line="360" w:lineRule="auto"/>
        <w:ind w:firstLine="420"/>
        <w:rPr>
          <w:sz w:val="21"/>
          <w:szCs w:val="21"/>
        </w:rPr>
      </w:pPr>
      <w:bookmarkStart w:id="208" w:name="chapter_level1_23_72_section_1"/>
      <w:bookmarkEnd w:id="208"/>
      <w:r>
        <w:rPr>
          <w:rStyle w:val="12"/>
          <w:rFonts w:hint="eastAsia"/>
          <w:sz w:val="21"/>
          <w:szCs w:val="21"/>
        </w:rPr>
        <w:t>一、托管协议当事人</w:t>
      </w:r>
    </w:p>
    <w:p w14:paraId="10282AD9">
      <w:pPr>
        <w:pStyle w:val="8"/>
        <w:spacing w:before="0" w:beforeAutospacing="0" w:after="0" w:afterAutospacing="0" w:line="360" w:lineRule="auto"/>
        <w:ind w:firstLine="420"/>
        <w:rPr>
          <w:sz w:val="21"/>
          <w:szCs w:val="21"/>
        </w:rPr>
      </w:pPr>
      <w:r>
        <w:rPr>
          <w:rFonts w:hint="eastAsia"/>
          <w:sz w:val="21"/>
          <w:szCs w:val="21"/>
        </w:rPr>
        <w:t xml:space="preserve">（一）基金管理人 </w:t>
      </w:r>
    </w:p>
    <w:p w14:paraId="7B0B0B5C">
      <w:pPr>
        <w:pStyle w:val="8"/>
        <w:spacing w:before="0" w:beforeAutospacing="0" w:after="0" w:afterAutospacing="0" w:line="360" w:lineRule="auto"/>
        <w:ind w:firstLine="420"/>
        <w:rPr>
          <w:sz w:val="21"/>
          <w:szCs w:val="21"/>
        </w:rPr>
      </w:pPr>
      <w:r>
        <w:rPr>
          <w:rFonts w:hint="eastAsia"/>
          <w:sz w:val="21"/>
          <w:szCs w:val="21"/>
        </w:rPr>
        <w:t>名称：</w:t>
      </w:r>
      <w:bookmarkStart w:id="209" w:name="field_0_managerorgfullname_7"/>
      <w:r>
        <w:rPr>
          <w:rFonts w:hint="eastAsia"/>
          <w:sz w:val="21"/>
          <w:szCs w:val="21"/>
        </w:rPr>
        <w:t>博时基金管理有限公司</w:t>
      </w:r>
      <w:bookmarkEnd w:id="209"/>
      <w:r>
        <w:rPr>
          <w:rFonts w:hint="eastAsia"/>
          <w:sz w:val="21"/>
          <w:szCs w:val="21"/>
        </w:rPr>
        <w:t xml:space="preserve">  </w:t>
      </w:r>
    </w:p>
    <w:p w14:paraId="513F5204">
      <w:pPr>
        <w:pStyle w:val="8"/>
        <w:spacing w:before="0" w:beforeAutospacing="0" w:after="0" w:afterAutospacing="0" w:line="360" w:lineRule="auto"/>
        <w:ind w:firstLine="420"/>
        <w:rPr>
          <w:sz w:val="21"/>
          <w:szCs w:val="21"/>
        </w:rPr>
      </w:pPr>
      <w:r>
        <w:rPr>
          <w:rFonts w:hint="eastAsia"/>
          <w:sz w:val="21"/>
          <w:szCs w:val="21"/>
        </w:rPr>
        <w:t xml:space="preserve">注册地址： 深圳市福田区莲花街道福新社区益田路5999号基金大厦21层  </w:t>
      </w:r>
    </w:p>
    <w:p w14:paraId="229703EF">
      <w:pPr>
        <w:pStyle w:val="8"/>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36B2C5FA">
      <w:pPr>
        <w:pStyle w:val="8"/>
        <w:spacing w:before="0" w:beforeAutospacing="0" w:after="0" w:afterAutospacing="0" w:line="360" w:lineRule="auto"/>
        <w:ind w:firstLine="420"/>
        <w:rPr>
          <w:sz w:val="21"/>
          <w:szCs w:val="21"/>
        </w:rPr>
      </w:pPr>
      <w:r>
        <w:rPr>
          <w:rFonts w:hint="eastAsia"/>
          <w:sz w:val="21"/>
          <w:szCs w:val="21"/>
        </w:rPr>
        <w:t xml:space="preserve">邮政编码：518040 </w:t>
      </w:r>
    </w:p>
    <w:p w14:paraId="19AAA0D0">
      <w:pPr>
        <w:pStyle w:val="8"/>
        <w:spacing w:before="0" w:beforeAutospacing="0" w:after="0" w:afterAutospacing="0" w:line="360" w:lineRule="auto"/>
        <w:ind w:firstLine="420"/>
        <w:rPr>
          <w:sz w:val="21"/>
          <w:szCs w:val="21"/>
        </w:rPr>
      </w:pPr>
      <w:r>
        <w:rPr>
          <w:rFonts w:hint="eastAsia"/>
          <w:sz w:val="21"/>
          <w:szCs w:val="21"/>
        </w:rPr>
        <w:t xml:space="preserve">法定代表人：张东 </w:t>
      </w:r>
    </w:p>
    <w:p w14:paraId="2E0FC756">
      <w:pPr>
        <w:pStyle w:val="8"/>
        <w:spacing w:before="0" w:beforeAutospacing="0" w:after="0" w:afterAutospacing="0" w:line="360" w:lineRule="auto"/>
        <w:ind w:firstLine="420"/>
        <w:rPr>
          <w:sz w:val="21"/>
          <w:szCs w:val="21"/>
        </w:rPr>
      </w:pPr>
      <w:r>
        <w:rPr>
          <w:rFonts w:hint="eastAsia"/>
          <w:sz w:val="21"/>
          <w:szCs w:val="21"/>
        </w:rPr>
        <w:t xml:space="preserve">成立日期：1998年7月13日 </w:t>
      </w:r>
    </w:p>
    <w:p w14:paraId="4AE36ABD">
      <w:pPr>
        <w:pStyle w:val="8"/>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7471C5AE">
      <w:pPr>
        <w:pStyle w:val="8"/>
        <w:spacing w:before="0" w:beforeAutospacing="0" w:after="0" w:afterAutospacing="0" w:line="360" w:lineRule="auto"/>
        <w:ind w:firstLine="420"/>
        <w:rPr>
          <w:sz w:val="21"/>
          <w:szCs w:val="21"/>
        </w:rPr>
      </w:pPr>
      <w:r>
        <w:rPr>
          <w:rFonts w:hint="eastAsia"/>
          <w:sz w:val="21"/>
          <w:szCs w:val="21"/>
        </w:rPr>
        <w:t xml:space="preserve">组织形式：有限责任公司 </w:t>
      </w:r>
    </w:p>
    <w:p w14:paraId="7BADEAC5">
      <w:pPr>
        <w:pStyle w:val="8"/>
        <w:spacing w:before="0" w:beforeAutospacing="0" w:after="0" w:afterAutospacing="0" w:line="360" w:lineRule="auto"/>
        <w:ind w:firstLine="420"/>
        <w:rPr>
          <w:sz w:val="21"/>
          <w:szCs w:val="21"/>
        </w:rPr>
      </w:pPr>
      <w:r>
        <w:rPr>
          <w:rFonts w:hint="eastAsia"/>
          <w:sz w:val="21"/>
          <w:szCs w:val="21"/>
        </w:rPr>
        <w:t xml:space="preserve">注册资本：2.5亿元人民币 </w:t>
      </w:r>
    </w:p>
    <w:p w14:paraId="40E99C45">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61041BE6">
      <w:pPr>
        <w:pStyle w:val="8"/>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23E3D732">
      <w:pPr>
        <w:pStyle w:val="8"/>
        <w:spacing w:before="0" w:beforeAutospacing="0" w:after="0" w:afterAutospacing="0" w:line="360" w:lineRule="auto"/>
        <w:ind w:firstLine="420"/>
        <w:rPr>
          <w:sz w:val="21"/>
          <w:szCs w:val="21"/>
        </w:rPr>
      </w:pPr>
      <w:r>
        <w:rPr>
          <w:rFonts w:hint="eastAsia"/>
          <w:sz w:val="21"/>
          <w:szCs w:val="21"/>
        </w:rPr>
        <w:t xml:space="preserve">（二）基金托管人 </w:t>
      </w:r>
    </w:p>
    <w:p w14:paraId="35C6DC8D">
      <w:pPr>
        <w:pStyle w:val="8"/>
        <w:spacing w:before="0" w:beforeAutospacing="0" w:after="0" w:afterAutospacing="0" w:line="360" w:lineRule="auto"/>
        <w:ind w:firstLine="420"/>
        <w:rPr>
          <w:sz w:val="21"/>
          <w:szCs w:val="21"/>
        </w:rPr>
      </w:pPr>
      <w:r>
        <w:rPr>
          <w:rFonts w:hint="eastAsia"/>
          <w:sz w:val="21"/>
          <w:szCs w:val="21"/>
        </w:rPr>
        <w:t>名称：</w:t>
      </w:r>
      <w:bookmarkStart w:id="210" w:name="field_0_trustorgfullname_2"/>
      <w:r>
        <w:rPr>
          <w:rFonts w:hint="eastAsia"/>
          <w:sz w:val="21"/>
          <w:szCs w:val="21"/>
        </w:rPr>
        <w:t>中国民生银行股份有限公司</w:t>
      </w:r>
      <w:bookmarkEnd w:id="210"/>
      <w:r>
        <w:rPr>
          <w:rFonts w:hint="eastAsia"/>
          <w:sz w:val="21"/>
          <w:szCs w:val="21"/>
        </w:rPr>
        <w:t xml:space="preserve">  </w:t>
      </w:r>
    </w:p>
    <w:p w14:paraId="5B7D21F2">
      <w:pPr>
        <w:pStyle w:val="8"/>
        <w:spacing w:before="0" w:beforeAutospacing="0" w:after="0" w:afterAutospacing="0" w:line="360" w:lineRule="auto"/>
        <w:ind w:firstLine="420"/>
        <w:rPr>
          <w:sz w:val="21"/>
          <w:szCs w:val="21"/>
        </w:rPr>
      </w:pPr>
      <w:r>
        <w:rPr>
          <w:rFonts w:hint="eastAsia"/>
          <w:sz w:val="21"/>
          <w:szCs w:val="21"/>
        </w:rPr>
        <w:t xml:space="preserve">注册地址：北京市西城区复兴门内大街2号 </w:t>
      </w:r>
    </w:p>
    <w:p w14:paraId="5FC03434">
      <w:pPr>
        <w:pStyle w:val="8"/>
        <w:spacing w:before="0" w:beforeAutospacing="0" w:after="0" w:afterAutospacing="0" w:line="360" w:lineRule="auto"/>
        <w:ind w:firstLine="420"/>
        <w:rPr>
          <w:sz w:val="21"/>
          <w:szCs w:val="21"/>
        </w:rPr>
      </w:pPr>
      <w:r>
        <w:rPr>
          <w:rFonts w:hint="eastAsia"/>
          <w:sz w:val="21"/>
          <w:szCs w:val="21"/>
        </w:rPr>
        <w:t xml:space="preserve">办公地址：北京市西城区复兴门内大街2号 </w:t>
      </w:r>
    </w:p>
    <w:p w14:paraId="0511D8FD">
      <w:pPr>
        <w:pStyle w:val="8"/>
        <w:spacing w:before="0" w:beforeAutospacing="0" w:after="0" w:afterAutospacing="0" w:line="360" w:lineRule="auto"/>
        <w:ind w:firstLine="420"/>
        <w:rPr>
          <w:sz w:val="21"/>
          <w:szCs w:val="21"/>
        </w:rPr>
      </w:pPr>
      <w:r>
        <w:rPr>
          <w:rFonts w:hint="eastAsia"/>
          <w:sz w:val="21"/>
          <w:szCs w:val="21"/>
        </w:rPr>
        <w:t xml:space="preserve">邮政编码：100031 </w:t>
      </w:r>
    </w:p>
    <w:p w14:paraId="2D067EC6">
      <w:pPr>
        <w:pStyle w:val="8"/>
        <w:spacing w:before="0" w:beforeAutospacing="0" w:after="0" w:afterAutospacing="0" w:line="360" w:lineRule="auto"/>
        <w:ind w:firstLine="420"/>
        <w:rPr>
          <w:sz w:val="21"/>
          <w:szCs w:val="21"/>
        </w:rPr>
      </w:pPr>
      <w:r>
        <w:rPr>
          <w:rFonts w:hint="eastAsia"/>
          <w:sz w:val="21"/>
          <w:szCs w:val="21"/>
        </w:rPr>
        <w:t xml:space="preserve">法定代表人：高迎欣  </w:t>
      </w:r>
    </w:p>
    <w:p w14:paraId="51510F17">
      <w:pPr>
        <w:pStyle w:val="8"/>
        <w:spacing w:before="0" w:beforeAutospacing="0" w:after="0" w:afterAutospacing="0" w:line="360" w:lineRule="auto"/>
        <w:ind w:firstLine="420"/>
        <w:rPr>
          <w:sz w:val="21"/>
          <w:szCs w:val="21"/>
        </w:rPr>
      </w:pPr>
      <w:r>
        <w:rPr>
          <w:rFonts w:hint="eastAsia"/>
          <w:sz w:val="21"/>
          <w:szCs w:val="21"/>
        </w:rPr>
        <w:t xml:space="preserve">成立日期：1996年2月7日 </w:t>
      </w:r>
    </w:p>
    <w:p w14:paraId="09ED43AD">
      <w:pPr>
        <w:pStyle w:val="8"/>
        <w:spacing w:before="0" w:beforeAutospacing="0" w:after="0" w:afterAutospacing="0" w:line="360" w:lineRule="auto"/>
        <w:ind w:firstLine="420"/>
        <w:rPr>
          <w:sz w:val="21"/>
          <w:szCs w:val="21"/>
        </w:rPr>
      </w:pPr>
      <w:r>
        <w:rPr>
          <w:rFonts w:hint="eastAsia"/>
          <w:sz w:val="21"/>
          <w:szCs w:val="21"/>
        </w:rPr>
        <w:t xml:space="preserve">基金托管业务批准文号：证监基金字[2004]101号 </w:t>
      </w:r>
    </w:p>
    <w:p w14:paraId="7054BAB2">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3BA8D3A6">
      <w:pPr>
        <w:pStyle w:val="8"/>
        <w:spacing w:before="0" w:beforeAutospacing="0" w:after="0" w:afterAutospacing="0" w:line="360" w:lineRule="auto"/>
        <w:ind w:firstLine="420"/>
        <w:rPr>
          <w:sz w:val="21"/>
          <w:szCs w:val="21"/>
        </w:rPr>
      </w:pPr>
      <w:r>
        <w:rPr>
          <w:rFonts w:hint="eastAsia"/>
          <w:sz w:val="21"/>
          <w:szCs w:val="21"/>
        </w:rPr>
        <w:t xml:space="preserve">注册资本：28,365,585,227元人民币 </w:t>
      </w:r>
    </w:p>
    <w:p w14:paraId="7E002F0B">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6B38AAF4">
      <w:pPr>
        <w:pStyle w:val="8"/>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国内外结算；办理票据承兑与贴现、发行金融债券；代理发行、代理兑付、承销政府债券；买卖政府债券、金融债券；从事同业拆借；买卖、代理买卖外汇；从事结汇、售汇业务；从事银行卡业务；提供信用证服务及担保；代理收付款项；提供保管箱服务；保险兼业代理业务。 </w:t>
      </w:r>
    </w:p>
    <w:p w14:paraId="31516310">
      <w:pPr>
        <w:pStyle w:val="8"/>
        <w:spacing w:before="0" w:beforeAutospacing="0" w:after="0" w:afterAutospacing="0" w:line="360" w:lineRule="auto"/>
        <w:ind w:firstLine="420"/>
        <w:rPr>
          <w:sz w:val="21"/>
          <w:szCs w:val="21"/>
        </w:rPr>
      </w:pPr>
      <w:r>
        <w:rPr>
          <w:rStyle w:val="12"/>
          <w:rFonts w:hint="eastAsia"/>
          <w:sz w:val="21"/>
          <w:szCs w:val="21"/>
        </w:rPr>
        <w:t>二、基金托管人对基金管理人的业务监督和核查</w:t>
      </w:r>
    </w:p>
    <w:p w14:paraId="6C1C3FF5">
      <w:pPr>
        <w:pStyle w:val="8"/>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14:paraId="516579B8">
      <w:pPr>
        <w:pStyle w:val="8"/>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债、金融债、企业债、公司债、地方政府债、央行票据、中期票据、短期融资券、资产支持证券、次级债、可分离交易可转债的纯债部分、债券回购、银行存款等法律法规或中国证监会允许基金投资的其他金融工具（但须符合中国证监会的相关规定）。 </w:t>
      </w:r>
    </w:p>
    <w:p w14:paraId="7ED66703">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本基金不投资于股票、权证等资产，也不投资于可转换债券（可分离交易可转债的纯债部分除外）、可交换债券。 </w:t>
      </w:r>
    </w:p>
    <w:p w14:paraId="333DD5A9">
      <w:pPr>
        <w:pStyle w:val="8"/>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不低于基金资产净值的5%，其中，现金不包括结算备付金、存出保证金、应收申购款等。 </w:t>
      </w:r>
    </w:p>
    <w:p w14:paraId="31C00848">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608BF07D">
      <w:pPr>
        <w:pStyle w:val="8"/>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（二）基金托管人根据有关法律法规的规定及基金合同的约定，对基金投资比例进行监督。基金托管人按下述比例和调整期限进行监督： </w:t>
      </w:r>
    </w:p>
    <w:p w14:paraId="7325FBE3">
      <w:pPr>
        <w:pStyle w:val="8"/>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3C75F586">
      <w:pPr>
        <w:pStyle w:val="8"/>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66B19676">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314870D2">
      <w:pPr>
        <w:pStyle w:val="8"/>
        <w:spacing w:before="0" w:beforeAutospacing="0" w:after="0" w:afterAutospacing="0" w:line="360" w:lineRule="auto"/>
        <w:ind w:firstLine="420"/>
        <w:rPr>
          <w:sz w:val="21"/>
          <w:szCs w:val="21"/>
        </w:rPr>
      </w:pPr>
      <w:r>
        <w:rPr>
          <w:rFonts w:hint="eastAsia"/>
          <w:sz w:val="21"/>
          <w:szCs w:val="21"/>
        </w:rPr>
        <w:t xml:space="preserve">（4）本基金管理人管理且本基金托管人托管的全部基金持有一家公司发行的证券，不超过该证券的10％； </w:t>
      </w:r>
    </w:p>
    <w:p w14:paraId="034EB596">
      <w:pPr>
        <w:pStyle w:val="8"/>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77E38635">
      <w:pPr>
        <w:pStyle w:val="8"/>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7BEDF6A2">
      <w:pPr>
        <w:pStyle w:val="8"/>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3AC510D1">
      <w:pPr>
        <w:pStyle w:val="8"/>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7979E846">
      <w:pPr>
        <w:pStyle w:val="8"/>
        <w:spacing w:before="0" w:beforeAutospacing="0" w:after="0" w:afterAutospacing="0" w:line="360" w:lineRule="auto"/>
        <w:ind w:firstLine="420"/>
        <w:rPr>
          <w:sz w:val="21"/>
          <w:szCs w:val="21"/>
        </w:rPr>
      </w:pPr>
      <w:r>
        <w:rPr>
          <w:rFonts w:hint="eastAsia"/>
          <w:sz w:val="21"/>
          <w:szCs w:val="21"/>
        </w:rPr>
        <w:t xml:space="preserve">（9）本基金管理人管理且本基金托管人托管的全部基金投资于同一原始权益人的各类资产支持证券，不得超过其各类资产支持证券合计规模的10％； </w:t>
      </w:r>
    </w:p>
    <w:p w14:paraId="71D0DA55">
      <w:pPr>
        <w:pStyle w:val="8"/>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002585C6">
      <w:pPr>
        <w:pStyle w:val="8"/>
        <w:spacing w:before="0" w:beforeAutospacing="0" w:after="0" w:afterAutospacing="0" w:line="360" w:lineRule="auto"/>
        <w:ind w:firstLine="420"/>
        <w:rPr>
          <w:sz w:val="21"/>
          <w:szCs w:val="21"/>
        </w:rPr>
      </w:pPr>
      <w:r>
        <w:rPr>
          <w:rFonts w:hint="eastAsia"/>
          <w:sz w:val="21"/>
          <w:szCs w:val="21"/>
        </w:rPr>
        <w:t xml:space="preserve">（11）基金资产总值不得超过基金资产净值的140%； </w:t>
      </w:r>
    </w:p>
    <w:p w14:paraId="5A35C812">
      <w:pPr>
        <w:pStyle w:val="8"/>
        <w:spacing w:before="0" w:beforeAutospacing="0" w:after="0" w:afterAutospacing="0" w:line="360" w:lineRule="auto"/>
        <w:ind w:firstLine="420"/>
        <w:rPr>
          <w:sz w:val="21"/>
          <w:szCs w:val="21"/>
        </w:rPr>
      </w:pPr>
      <w:r>
        <w:rPr>
          <w:rFonts w:hint="eastAsia"/>
          <w:sz w:val="21"/>
          <w:szCs w:val="21"/>
        </w:rPr>
        <w:t xml:space="preserve">（12）本基金主动投资于流动性受限资产的市值合计不得超过基金资产净值的15%； </w:t>
      </w:r>
    </w:p>
    <w:p w14:paraId="3D6B035A">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0C16C4B1">
      <w:pPr>
        <w:pStyle w:val="8"/>
        <w:spacing w:before="0" w:beforeAutospacing="0" w:after="0" w:afterAutospacing="0" w:line="360" w:lineRule="auto"/>
        <w:ind w:firstLine="420"/>
        <w:rPr>
          <w:sz w:val="21"/>
          <w:szCs w:val="21"/>
        </w:rPr>
      </w:pPr>
      <w:r>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14:paraId="54E4F448">
      <w:pPr>
        <w:pStyle w:val="8"/>
        <w:spacing w:before="0" w:beforeAutospacing="0" w:after="0" w:afterAutospacing="0" w:line="360" w:lineRule="auto"/>
        <w:ind w:firstLine="420"/>
        <w:rPr>
          <w:sz w:val="21"/>
          <w:szCs w:val="21"/>
        </w:rPr>
      </w:pPr>
      <w:r>
        <w:rPr>
          <w:rFonts w:hint="eastAsia"/>
          <w:sz w:val="21"/>
          <w:szCs w:val="21"/>
        </w:rPr>
        <w:t xml:space="preserve">（14）法律法规及中国证监会规定的和《基金合同》约定的其他投资限制。 </w:t>
      </w:r>
    </w:p>
    <w:p w14:paraId="1BF598BE">
      <w:pPr>
        <w:pStyle w:val="8"/>
        <w:spacing w:before="0" w:beforeAutospacing="0" w:after="0" w:afterAutospacing="0" w:line="360" w:lineRule="auto"/>
        <w:ind w:firstLine="420"/>
        <w:rPr>
          <w:sz w:val="21"/>
          <w:szCs w:val="21"/>
        </w:rPr>
      </w:pPr>
      <w:r>
        <w:rPr>
          <w:rFonts w:hint="eastAsia"/>
          <w:sz w:val="21"/>
          <w:szCs w:val="21"/>
        </w:rPr>
        <w:t xml:space="preserve">除上述第（2）、（10）、（12）、（13）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6AC27C5A">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D8EE30D">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 </w:t>
      </w:r>
    </w:p>
    <w:p w14:paraId="3790EDED">
      <w:pPr>
        <w:pStyle w:val="8"/>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（三）基金托管人根据有关法律法规的规定及基金合同的约定，对本托管协议第十五条第（十二）款基金投资禁止行为进行监督。基金托管人通过事后监督方式对基金管理人基金投资禁止行为进行监督。 </w:t>
      </w:r>
    </w:p>
    <w:p w14:paraId="432DC61D">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790960F7">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法律、行政法规或监管部门取消或变更上述限制规定，如适用于本基金，基金管理人在履行适当程序后，则本基金投资不再受相关限制或按变更后的规定执行。 </w:t>
      </w:r>
    </w:p>
    <w:p w14:paraId="3C64BE82">
      <w:pPr>
        <w:pStyle w:val="8"/>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及时向基金托管人说明理由，协商解决。 </w:t>
      </w:r>
    </w:p>
    <w:p w14:paraId="1319AC59">
      <w:pPr>
        <w:pStyle w:val="8"/>
        <w:spacing w:before="0" w:beforeAutospacing="0" w:after="0" w:afterAutospacing="0" w:line="360" w:lineRule="auto"/>
        <w:ind w:firstLine="420"/>
        <w:rPr>
          <w:sz w:val="21"/>
          <w:szCs w:val="21"/>
        </w:rPr>
      </w:pPr>
      <w:r>
        <w:rPr>
          <w:rFonts w:hint="eastAsia"/>
          <w:sz w:val="21"/>
          <w:szCs w:val="21"/>
        </w:rPr>
        <w:t xml:space="preserve">基金管理人负责对交易对手的资信控制，基金托管人不承担由此造成的任何法律责任及损失。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5FC02E8C">
      <w:pPr>
        <w:pStyle w:val="8"/>
        <w:spacing w:before="0" w:beforeAutospacing="0" w:after="0" w:afterAutospacing="0" w:line="360" w:lineRule="auto"/>
        <w:ind w:firstLine="420"/>
        <w:rPr>
          <w:sz w:val="21"/>
          <w:szCs w:val="21"/>
        </w:rPr>
      </w:pPr>
      <w:r>
        <w:rPr>
          <w:rFonts w:hint="eastAsia"/>
          <w:sz w:val="21"/>
          <w:szCs w:val="21"/>
        </w:rPr>
        <w:t xml:space="preserve">（五）基金管理人应当对投资中期票据业务进行研究，认真评估中期票据投资业务的风险，本着审慎、勤勉尽责的原则进行中期票据的投资业务。基金管理人根据法律、法规、监管部门的规定，制定了经公司董事会批准的基金投资中期票据相关制度(以下简称“《制度》”)，以规范对中期票据的投资决策流程、风险控制。基金管理人《制度》的内容与本协议不一致的，以本协议的约定为准。 </w:t>
      </w:r>
    </w:p>
    <w:p w14:paraId="70EFFD3E">
      <w:pPr>
        <w:pStyle w:val="8"/>
        <w:spacing w:before="0" w:beforeAutospacing="0" w:after="0" w:afterAutospacing="0" w:line="360" w:lineRule="auto"/>
        <w:ind w:firstLine="420"/>
        <w:rPr>
          <w:sz w:val="21"/>
          <w:szCs w:val="21"/>
        </w:rPr>
      </w:pPr>
      <w:r>
        <w:rPr>
          <w:rFonts w:hint="eastAsia"/>
          <w:sz w:val="21"/>
          <w:szCs w:val="21"/>
        </w:rPr>
        <w:t xml:space="preserve">1.基金投资中期票据应遵循以下投资限制： </w:t>
      </w:r>
    </w:p>
    <w:p w14:paraId="5BEE0AC8">
      <w:pPr>
        <w:pStyle w:val="8"/>
        <w:spacing w:before="0" w:beforeAutospacing="0" w:after="0" w:afterAutospacing="0" w:line="360" w:lineRule="auto"/>
        <w:ind w:firstLine="420"/>
        <w:rPr>
          <w:sz w:val="21"/>
          <w:szCs w:val="21"/>
        </w:rPr>
      </w:pPr>
      <w:r>
        <w:rPr>
          <w:rFonts w:hint="eastAsia"/>
          <w:sz w:val="21"/>
          <w:szCs w:val="21"/>
        </w:rPr>
        <w:t xml:space="preserve">(1)中期票据属于固定收益类证券，基金投资中期票据应符合法律、法规及《基金合同》中关于该基金投资固定收益类证券的相关比例及期限限制； </w:t>
      </w:r>
    </w:p>
    <w:p w14:paraId="47EA4E6E">
      <w:pPr>
        <w:pStyle w:val="8"/>
        <w:spacing w:before="0" w:beforeAutospacing="0" w:after="0" w:afterAutospacing="0" w:line="360" w:lineRule="auto"/>
        <w:ind w:firstLine="420"/>
        <w:rPr>
          <w:sz w:val="21"/>
          <w:szCs w:val="21"/>
        </w:rPr>
      </w:pPr>
      <w:r>
        <w:rPr>
          <w:rFonts w:hint="eastAsia"/>
          <w:sz w:val="21"/>
          <w:szCs w:val="21"/>
        </w:rPr>
        <w:t xml:space="preserve">(2)基金管理人管理的全部公募基金投资于一家企业发行的单期中期票据合计不超过该期证券的10%。 </w:t>
      </w:r>
    </w:p>
    <w:p w14:paraId="5ED3822E">
      <w:pPr>
        <w:pStyle w:val="8"/>
        <w:spacing w:before="0" w:beforeAutospacing="0" w:after="0" w:afterAutospacing="0" w:line="360" w:lineRule="auto"/>
        <w:ind w:firstLine="420"/>
        <w:rPr>
          <w:sz w:val="21"/>
          <w:szCs w:val="21"/>
        </w:rPr>
      </w:pPr>
      <w:r>
        <w:rPr>
          <w:rFonts w:hint="eastAsia"/>
          <w:sz w:val="21"/>
          <w:szCs w:val="21"/>
        </w:rPr>
        <w:t xml:space="preserve">2.基金托管人对基金管理人流动性风险处置的监督职责限于： </w:t>
      </w:r>
    </w:p>
    <w:p w14:paraId="0462A966">
      <w:pPr>
        <w:pStyle w:val="8"/>
        <w:spacing w:before="0" w:beforeAutospacing="0" w:after="0" w:afterAutospacing="0" w:line="360" w:lineRule="auto"/>
        <w:ind w:firstLine="420"/>
        <w:rPr>
          <w:sz w:val="21"/>
          <w:szCs w:val="21"/>
        </w:rPr>
      </w:pPr>
      <w:r>
        <w:rPr>
          <w:rFonts w:hint="eastAsia"/>
          <w:sz w:val="21"/>
          <w:szCs w:val="21"/>
        </w:rPr>
        <w:t xml:space="preserve">基金托管人对基金投资中期票据是否符合比例限制进行事后监督，如发现异常情况，应及时以书面形式通知基金管理人。基金管理人应积极配合和协助基金托管人的监督和核查。基金管理人接到通知后应及时核对并向基金托管人说明原因和解决措施。基金托管人有权随时对所通知事项进行复查,督促基金管理人改正。基金管理人违规事项未能在限期内纠正的，基金托管人应报告中国证监会。 </w:t>
      </w:r>
    </w:p>
    <w:p w14:paraId="1E4FB789">
      <w:pPr>
        <w:pStyle w:val="8"/>
        <w:spacing w:before="0" w:beforeAutospacing="0" w:after="0" w:afterAutospacing="0" w:line="360" w:lineRule="auto"/>
        <w:ind w:firstLine="420"/>
        <w:rPr>
          <w:sz w:val="21"/>
          <w:szCs w:val="21"/>
        </w:rPr>
      </w:pPr>
      <w:r>
        <w:rPr>
          <w:rFonts w:hint="eastAsia"/>
          <w:sz w:val="21"/>
          <w:szCs w:val="21"/>
        </w:rPr>
        <w:t xml:space="preserve">3. 如因证券市场波动、证券发行人合并、基金规模变动等基金管理人之外的因素，基金管理人投资的中期票据超过投资比例的，基金托管人有权要求基金管理人在10个交易日内将中期票据调整至规定的比例要求。 </w:t>
      </w:r>
    </w:p>
    <w:p w14:paraId="1280DD20">
      <w:pPr>
        <w:pStyle w:val="8"/>
        <w:spacing w:before="0" w:beforeAutospacing="0" w:after="0" w:afterAutospacing="0" w:line="360" w:lineRule="auto"/>
        <w:ind w:firstLine="420"/>
        <w:rPr>
          <w:sz w:val="21"/>
          <w:szCs w:val="21"/>
        </w:rPr>
      </w:pPr>
      <w:r>
        <w:rPr>
          <w:rFonts w:hint="eastAsia"/>
          <w:sz w:val="21"/>
          <w:szCs w:val="21"/>
        </w:rPr>
        <w:t xml:space="preserve">（六）基金如投资银行存款，基金托管人根据有关法律法规的规定及基金合同的约定，对基金投资银行存款的交易对手范围是否符合有关规定进行监督；基金管理人在签署银行存款协议前，应将草拟的银行存款协议送基金托管人审核。首次投资银行存款之前，基金管理人应与基金托管人就银行存款的投资签署风险控制补充协议。 </w:t>
      </w:r>
    </w:p>
    <w:p w14:paraId="7C73732E">
      <w:pPr>
        <w:pStyle w:val="8"/>
        <w:spacing w:before="0" w:beforeAutospacing="0" w:after="0" w:afterAutospacing="0" w:line="360" w:lineRule="auto"/>
        <w:ind w:firstLine="420"/>
        <w:rPr>
          <w:sz w:val="21"/>
          <w:szCs w:val="21"/>
        </w:rPr>
      </w:pPr>
      <w:r>
        <w:rPr>
          <w:rFonts w:hint="eastAsia"/>
          <w:sz w:val="21"/>
          <w:szCs w:val="21"/>
        </w:rPr>
        <w:t xml:space="preserve">（七）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14:paraId="71568FE7">
      <w:pPr>
        <w:pStyle w:val="8"/>
        <w:spacing w:before="0" w:beforeAutospacing="0" w:after="0" w:afterAutospacing="0" w:line="360" w:lineRule="auto"/>
        <w:ind w:firstLine="420"/>
        <w:rPr>
          <w:sz w:val="21"/>
          <w:szCs w:val="21"/>
        </w:rPr>
      </w:pPr>
      <w:r>
        <w:rPr>
          <w:rFonts w:hint="eastAsia"/>
          <w:sz w:val="21"/>
          <w:szCs w:val="21"/>
        </w:rPr>
        <w:t xml:space="preserve">（八）基金托管人发现基金管理人的上述事项及投资指令或实际投资运作违反法律法规、基金合同和本托管协议的规定，应及时以电话提醒或书面提示等方式通知基金管理人限期纠正，并及时向中国证监会报告。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78641AA0">
      <w:pPr>
        <w:pStyle w:val="8"/>
        <w:spacing w:before="0" w:beforeAutospacing="0" w:after="0" w:afterAutospacing="0" w:line="360" w:lineRule="auto"/>
        <w:ind w:firstLine="420"/>
        <w:rPr>
          <w:sz w:val="21"/>
          <w:szCs w:val="21"/>
        </w:rPr>
      </w:pPr>
      <w:r>
        <w:rPr>
          <w:rFonts w:hint="eastAsia"/>
          <w:sz w:val="21"/>
          <w:szCs w:val="21"/>
        </w:rPr>
        <w:t xml:space="preserve">（九）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428CE458">
      <w:pPr>
        <w:pStyle w:val="8"/>
        <w:spacing w:before="0" w:beforeAutospacing="0" w:after="0" w:afterAutospacing="0" w:line="360" w:lineRule="auto"/>
        <w:ind w:firstLine="420"/>
        <w:rPr>
          <w:sz w:val="21"/>
          <w:szCs w:val="21"/>
        </w:rPr>
      </w:pPr>
      <w:r>
        <w:rPr>
          <w:rFonts w:hint="eastAsia"/>
          <w:sz w:val="21"/>
          <w:szCs w:val="21"/>
        </w:rPr>
        <w:t xml:space="preserve">（十）若基金托管人发现基金管理人依据交易程序已经生效的指令违反法律、行政法规和其他有关规定，或者违反基金合同约定的，应当立即通知基金管理人，由此造成的损失由基金管理人承担，并及时向中国证监会报告。 </w:t>
      </w:r>
    </w:p>
    <w:p w14:paraId="7E3C6915">
      <w:pPr>
        <w:pStyle w:val="8"/>
        <w:spacing w:before="0" w:beforeAutospacing="0" w:after="0" w:afterAutospacing="0" w:line="360" w:lineRule="auto"/>
        <w:ind w:firstLine="420"/>
        <w:rPr>
          <w:sz w:val="21"/>
          <w:szCs w:val="21"/>
        </w:rPr>
      </w:pPr>
      <w:r>
        <w:rPr>
          <w:rFonts w:hint="eastAsia"/>
          <w:sz w:val="21"/>
          <w:szCs w:val="21"/>
        </w:rPr>
        <w:t xml:space="preserve">（十一）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1DD4A8DA">
      <w:pPr>
        <w:pStyle w:val="8"/>
        <w:spacing w:before="0" w:beforeAutospacing="0" w:after="0" w:afterAutospacing="0" w:line="360" w:lineRule="auto"/>
        <w:ind w:firstLine="420"/>
        <w:rPr>
          <w:sz w:val="21"/>
          <w:szCs w:val="21"/>
        </w:rPr>
      </w:pPr>
      <w:r>
        <w:rPr>
          <w:rFonts w:hint="eastAsia"/>
          <w:sz w:val="21"/>
          <w:szCs w:val="21"/>
        </w:rPr>
        <w:t xml:space="preserve">（十二）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339882EA">
      <w:pPr>
        <w:rPr>
          <w:rFonts w:ascii="宋体" w:hAnsi="宋体" w:eastAsia="宋体"/>
          <w:sz w:val="24"/>
          <w:szCs w:val="24"/>
        </w:rPr>
      </w:pPr>
      <w:r>
        <w:rPr>
          <w:rFonts w:ascii="宋体" w:hAnsi="宋体" w:eastAsia="宋体"/>
        </w:rPr>
        <w:t xml:space="preserve">      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78F413DA">
      <w:pPr>
        <w:pStyle w:val="8"/>
        <w:spacing w:before="0" w:beforeAutospacing="0" w:after="0" w:afterAutospacing="0" w:line="360" w:lineRule="auto"/>
        <w:ind w:firstLine="420"/>
        <w:rPr>
          <w:sz w:val="21"/>
          <w:szCs w:val="21"/>
        </w:rPr>
      </w:pPr>
      <w:r>
        <w:rPr>
          <w:rStyle w:val="12"/>
          <w:rFonts w:hint="eastAsia"/>
          <w:sz w:val="21"/>
          <w:szCs w:val="21"/>
        </w:rPr>
        <w:t>三、基金管理人对基金托管人的业务核查</w:t>
      </w:r>
    </w:p>
    <w:p w14:paraId="765454D8">
      <w:pPr>
        <w:pStyle w:val="8"/>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和证券账户等投资所需账户、复核基金管理人计算的基金资产净值、各类基金份额净值、根据基金管理人指令办理清算交收、相关信息披露和监督基金投资运作等行为。 </w:t>
      </w:r>
    </w:p>
    <w:p w14:paraId="7978F692">
      <w:pPr>
        <w:pStyle w:val="8"/>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08B95968">
      <w:pPr>
        <w:pStyle w:val="8"/>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14:paraId="57808A4C">
      <w:pPr>
        <w:pStyle w:val="8"/>
        <w:spacing w:before="0" w:beforeAutospacing="0" w:after="0" w:afterAutospacing="0" w:line="360" w:lineRule="auto"/>
        <w:ind w:firstLine="420"/>
        <w:rPr>
          <w:sz w:val="21"/>
          <w:szCs w:val="21"/>
        </w:rPr>
      </w:pPr>
      <w:r>
        <w:rPr>
          <w:rStyle w:val="12"/>
          <w:rFonts w:hint="eastAsia"/>
          <w:sz w:val="21"/>
          <w:szCs w:val="21"/>
        </w:rPr>
        <w:t>四、基金财产的保管</w:t>
      </w:r>
    </w:p>
    <w:p w14:paraId="431A0895">
      <w:pPr>
        <w:pStyle w:val="8"/>
        <w:spacing w:before="0" w:beforeAutospacing="0" w:after="0" w:afterAutospacing="0" w:line="360" w:lineRule="auto"/>
        <w:ind w:firstLine="420"/>
        <w:rPr>
          <w:sz w:val="21"/>
          <w:szCs w:val="21"/>
        </w:rPr>
      </w:pPr>
      <w:r>
        <w:rPr>
          <w:rFonts w:hint="eastAsia"/>
          <w:sz w:val="21"/>
          <w:szCs w:val="21"/>
        </w:rPr>
        <w:t xml:space="preserve">（一）基金财产保管的原则 </w:t>
      </w:r>
    </w:p>
    <w:p w14:paraId="6B99B3FF">
      <w:pPr>
        <w:pStyle w:val="8"/>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基金财产的债权、不得与基金管理人、基金托管人固有财产的债务相抵销，不同基金财产的债权债务，不得相互抵销。基金管理人、基金托管人以其自有资产承担法律责任，其债权人不得对基金财产行使请求冻结、扣押和其他权利。 </w:t>
      </w:r>
    </w:p>
    <w:p w14:paraId="6EA02783">
      <w:pPr>
        <w:pStyle w:val="8"/>
        <w:spacing w:before="0" w:beforeAutospacing="0" w:after="0" w:afterAutospacing="0" w:line="360" w:lineRule="auto"/>
        <w:ind w:firstLine="420"/>
        <w:rPr>
          <w:sz w:val="21"/>
          <w:szCs w:val="21"/>
        </w:rPr>
      </w:pPr>
      <w:r>
        <w:rPr>
          <w:rFonts w:hint="eastAsia"/>
          <w:sz w:val="21"/>
          <w:szCs w:val="21"/>
        </w:rPr>
        <w:t xml:space="preserve">2.基金管理人、基金托管人因依法解散、被依法撤销或者被依法宣告破产等原因进行清算的，基金财产不属于其清算财产。 </w:t>
      </w:r>
    </w:p>
    <w:p w14:paraId="015CC580">
      <w:pPr>
        <w:pStyle w:val="8"/>
        <w:spacing w:before="0" w:beforeAutospacing="0" w:after="0" w:afterAutospacing="0" w:line="360" w:lineRule="auto"/>
        <w:ind w:firstLine="420"/>
        <w:rPr>
          <w:sz w:val="21"/>
          <w:szCs w:val="21"/>
        </w:rPr>
      </w:pPr>
      <w:r>
        <w:rPr>
          <w:rFonts w:hint="eastAsia"/>
          <w:sz w:val="21"/>
          <w:szCs w:val="21"/>
        </w:rPr>
        <w:t xml:space="preserve">3.基金托管人应安全保管基金财产。未经基金管理人依据合法程序作出的合法合规指令，基金托管人不得自行运用、处分、分配基金的任何财产。非因基金财产本身承担的债务，不得对基金财产强制执行。 </w:t>
      </w:r>
    </w:p>
    <w:p w14:paraId="2E022235">
      <w:pPr>
        <w:pStyle w:val="8"/>
        <w:spacing w:before="0" w:beforeAutospacing="0" w:after="0" w:afterAutospacing="0" w:line="360" w:lineRule="auto"/>
        <w:ind w:firstLine="420"/>
        <w:rPr>
          <w:sz w:val="21"/>
          <w:szCs w:val="21"/>
        </w:rPr>
      </w:pPr>
      <w:r>
        <w:rPr>
          <w:rFonts w:hint="eastAsia"/>
          <w:sz w:val="21"/>
          <w:szCs w:val="21"/>
        </w:rPr>
        <w:t xml:space="preserve">4.基金托管人按照规定开设基金财产的资金账户和证券账户等投资所需账户。 </w:t>
      </w:r>
    </w:p>
    <w:p w14:paraId="5F046033">
      <w:pPr>
        <w:pStyle w:val="8"/>
        <w:spacing w:before="0" w:beforeAutospacing="0" w:after="0" w:afterAutospacing="0" w:line="360" w:lineRule="auto"/>
        <w:ind w:firstLine="420"/>
        <w:rPr>
          <w:sz w:val="21"/>
          <w:szCs w:val="21"/>
        </w:rPr>
      </w:pPr>
      <w:r>
        <w:rPr>
          <w:rFonts w:hint="eastAsia"/>
          <w:sz w:val="21"/>
          <w:szCs w:val="21"/>
        </w:rPr>
        <w:t xml:space="preserve">5.基金托管人对所托管的不同基金财产分别设置账户，确保基金财产的完整与独立。 </w:t>
      </w:r>
    </w:p>
    <w:p w14:paraId="0076317A">
      <w:pPr>
        <w:pStyle w:val="8"/>
        <w:spacing w:before="0" w:beforeAutospacing="0" w:after="0" w:afterAutospacing="0" w:line="360" w:lineRule="auto"/>
        <w:ind w:firstLine="420"/>
        <w:rPr>
          <w:sz w:val="21"/>
          <w:szCs w:val="21"/>
        </w:rPr>
      </w:pPr>
      <w:r>
        <w:rPr>
          <w:rFonts w:hint="eastAsia"/>
          <w:sz w:val="21"/>
          <w:szCs w:val="21"/>
        </w:rPr>
        <w:t xml:space="preserve">6.基金托管人根据基金管理人的指令，按照基金合同和本协议的约定保管基金财产，如有特殊情况双方可另行协商解决。 </w:t>
      </w:r>
    </w:p>
    <w:p w14:paraId="79192978">
      <w:pPr>
        <w:pStyle w:val="8"/>
        <w:spacing w:before="0" w:beforeAutospacing="0" w:after="0" w:afterAutospacing="0" w:line="360" w:lineRule="auto"/>
        <w:ind w:firstLine="420"/>
        <w:rPr>
          <w:sz w:val="21"/>
          <w:szCs w:val="21"/>
        </w:rPr>
      </w:pPr>
      <w:r>
        <w:rPr>
          <w:rFonts w:hint="eastAsia"/>
          <w:sz w:val="21"/>
          <w:szCs w:val="21"/>
        </w:rPr>
        <w:t xml:space="preserve">7.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0151AB83">
      <w:pPr>
        <w:pStyle w:val="8"/>
        <w:spacing w:before="0" w:beforeAutospacing="0" w:after="0" w:afterAutospacing="0" w:line="360" w:lineRule="auto"/>
        <w:ind w:firstLine="420"/>
        <w:rPr>
          <w:sz w:val="21"/>
          <w:szCs w:val="21"/>
        </w:rPr>
      </w:pPr>
      <w:r>
        <w:rPr>
          <w:rFonts w:hint="eastAsia"/>
          <w:sz w:val="21"/>
          <w:szCs w:val="21"/>
        </w:rPr>
        <w:t xml:space="preserve">8.除依据法律法规和基金合同的规定外，基金托管人不得委托第三人托管基金财产。 </w:t>
      </w:r>
    </w:p>
    <w:p w14:paraId="41C58239">
      <w:pPr>
        <w:pStyle w:val="8"/>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521F29D1">
      <w:pPr>
        <w:pStyle w:val="8"/>
        <w:spacing w:before="0" w:beforeAutospacing="0" w:after="0" w:afterAutospacing="0" w:line="360" w:lineRule="auto"/>
        <w:ind w:firstLine="420"/>
        <w:rPr>
          <w:sz w:val="21"/>
          <w:szCs w:val="21"/>
        </w:rPr>
      </w:pPr>
      <w:r>
        <w:rPr>
          <w:rFonts w:hint="eastAsia"/>
          <w:sz w:val="21"/>
          <w:szCs w:val="21"/>
        </w:rPr>
        <w:t xml:space="preserve">1.基金募集期间应开立“基金募集专户”，用于存放募集的资金。该账户由基金管理人开立。 </w:t>
      </w:r>
    </w:p>
    <w:p w14:paraId="5F9A8F22">
      <w:pPr>
        <w:pStyle w:val="8"/>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并加盖会计师事务所公章方为有效。 </w:t>
      </w:r>
    </w:p>
    <w:p w14:paraId="282F24C4">
      <w:pPr>
        <w:pStyle w:val="8"/>
        <w:spacing w:before="0" w:beforeAutospacing="0" w:after="0" w:afterAutospacing="0" w:line="360" w:lineRule="auto"/>
        <w:ind w:firstLine="420"/>
        <w:rPr>
          <w:sz w:val="21"/>
          <w:szCs w:val="21"/>
        </w:rPr>
      </w:pPr>
      <w:r>
        <w:rPr>
          <w:rFonts w:hint="eastAsia"/>
          <w:sz w:val="21"/>
          <w:szCs w:val="21"/>
        </w:rPr>
        <w:t xml:space="preserve">3.若基金募集期限届满，未能达到基金备案的条件，由基金管理人按规定办理退款等事宜，基金托管人应提供充分协助。 </w:t>
      </w:r>
    </w:p>
    <w:p w14:paraId="0DFB19D2">
      <w:pPr>
        <w:pStyle w:val="8"/>
        <w:spacing w:before="0" w:beforeAutospacing="0" w:after="0" w:afterAutospacing="0" w:line="360" w:lineRule="auto"/>
        <w:ind w:firstLine="420"/>
        <w:rPr>
          <w:sz w:val="21"/>
          <w:szCs w:val="21"/>
        </w:rPr>
      </w:pPr>
      <w:r>
        <w:rPr>
          <w:rFonts w:hint="eastAsia"/>
          <w:sz w:val="21"/>
          <w:szCs w:val="21"/>
        </w:rPr>
        <w:t xml:space="preserve">（三）基金银行账户的开立和管理 </w:t>
      </w:r>
    </w:p>
    <w:p w14:paraId="4E722BA3">
      <w:pPr>
        <w:pStyle w:val="8"/>
        <w:spacing w:before="0" w:beforeAutospacing="0" w:after="0" w:afterAutospacing="0" w:line="360" w:lineRule="auto"/>
        <w:ind w:firstLine="420"/>
        <w:rPr>
          <w:sz w:val="21"/>
          <w:szCs w:val="21"/>
        </w:rPr>
      </w:pPr>
      <w:r>
        <w:rPr>
          <w:rFonts w:hint="eastAsia"/>
          <w:sz w:val="21"/>
          <w:szCs w:val="21"/>
        </w:rPr>
        <w:t xml:space="preserve">1.基金托管人应负责本基金的银行账户的开设和管理。 </w:t>
      </w:r>
    </w:p>
    <w:p w14:paraId="18A0EC1E">
      <w:pPr>
        <w:pStyle w:val="8"/>
        <w:spacing w:before="0" w:beforeAutospacing="0" w:after="0" w:afterAutospacing="0" w:line="360" w:lineRule="auto"/>
        <w:ind w:firstLine="420"/>
        <w:rPr>
          <w:sz w:val="21"/>
          <w:szCs w:val="21"/>
        </w:rPr>
      </w:pPr>
      <w:r>
        <w:rPr>
          <w:rFonts w:hint="eastAsia"/>
          <w:sz w:val="21"/>
          <w:szCs w:val="21"/>
        </w:rPr>
        <w:t xml:space="preserve">2.基金托管人应以本基金名义在其营业机构开立基金的银行账户，并根据基金管理人合法合规的指令办理资金收付。本基金的银行预留印鉴由基金托管人保管和使用。 </w:t>
      </w:r>
    </w:p>
    <w:p w14:paraId="12072F2A">
      <w:pPr>
        <w:pStyle w:val="8"/>
        <w:spacing w:before="0" w:beforeAutospacing="0" w:after="0" w:afterAutospacing="0" w:line="360" w:lineRule="auto"/>
        <w:ind w:firstLine="420"/>
        <w:rPr>
          <w:sz w:val="21"/>
          <w:szCs w:val="21"/>
        </w:rPr>
      </w:pPr>
      <w:r>
        <w:rPr>
          <w:rFonts w:hint="eastAsia"/>
          <w:sz w:val="21"/>
          <w:szCs w:val="21"/>
        </w:rPr>
        <w:t xml:space="preserve">3.基金银行账户的开立和使用，限于满足开展本基金业务的需要。基金托管人和基金管理人不得假借本基金的名义开立任何其他银行账户；亦不得使用基金的任何账户进行本基金业务以外的活动。 </w:t>
      </w:r>
    </w:p>
    <w:p w14:paraId="21AE0F25">
      <w:pPr>
        <w:pStyle w:val="8"/>
        <w:spacing w:before="0" w:beforeAutospacing="0" w:after="0" w:afterAutospacing="0" w:line="360" w:lineRule="auto"/>
        <w:ind w:firstLine="420"/>
        <w:rPr>
          <w:sz w:val="21"/>
          <w:szCs w:val="21"/>
        </w:rPr>
      </w:pPr>
      <w:r>
        <w:rPr>
          <w:rFonts w:hint="eastAsia"/>
          <w:sz w:val="21"/>
          <w:szCs w:val="21"/>
        </w:rPr>
        <w:t xml:space="preserve">4.基金银行账户的开立和管理应符合银行业监督管理机构的有关规定。 </w:t>
      </w:r>
    </w:p>
    <w:p w14:paraId="416FA084">
      <w:pPr>
        <w:pStyle w:val="8"/>
        <w:spacing w:before="0" w:beforeAutospacing="0" w:after="0" w:afterAutospacing="0" w:line="360" w:lineRule="auto"/>
        <w:ind w:firstLine="420"/>
        <w:rPr>
          <w:sz w:val="21"/>
          <w:szCs w:val="21"/>
        </w:rPr>
      </w:pPr>
      <w:r>
        <w:rPr>
          <w:rFonts w:hint="eastAsia"/>
          <w:sz w:val="21"/>
          <w:szCs w:val="21"/>
        </w:rPr>
        <w:t xml:space="preserve">5.在符合法律法规规定的条件下，基金托管人可以通过基金托管人专用账户办理基金资产的支付。 </w:t>
      </w:r>
    </w:p>
    <w:p w14:paraId="0A6C491F">
      <w:pPr>
        <w:pStyle w:val="8"/>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2939C29A">
      <w:pPr>
        <w:pStyle w:val="8"/>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1.基金托管人在中国证券登记结算有限责任公司上海分公司、深圳分公司为本基金开立基金托管人与本基金联名的证券账户。 </w:t>
      </w:r>
    </w:p>
    <w:p w14:paraId="7C3E7DA4">
      <w:pPr>
        <w:pStyle w:val="8"/>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2.基金证券账户的开立和使用，仅限于满足开展本基金业务的需要。基金托管人和基金管理人不得出借或未经对方书面同意擅自转让基金的任何证券账户，亦不得使用基金的任何账户进行本基金业务以外的活动。 </w:t>
      </w:r>
    </w:p>
    <w:p w14:paraId="6A8F7118">
      <w:pPr>
        <w:pStyle w:val="8"/>
        <w:spacing w:before="0" w:beforeAutospacing="0" w:after="0" w:afterAutospacing="0" w:line="360" w:lineRule="auto"/>
        <w:ind w:firstLine="420"/>
        <w:rPr>
          <w:sz w:val="21"/>
          <w:szCs w:val="21"/>
        </w:rPr>
      </w:pPr>
      <w:r>
        <w:rPr>
          <w:rFonts w:hint="eastAsia"/>
          <w:sz w:val="21"/>
          <w:szCs w:val="21"/>
        </w:rPr>
        <w:t xml:space="preserve">3.基金证券账户的开立由基金托管人负责，账户资产的管理和运用由基金管理人负责。 </w:t>
      </w:r>
    </w:p>
    <w:p w14:paraId="43528E23">
      <w:pPr>
        <w:pStyle w:val="8"/>
        <w:spacing w:before="0" w:beforeAutospacing="0" w:after="0" w:afterAutospacing="0" w:line="360" w:lineRule="auto"/>
        <w:ind w:firstLine="420"/>
        <w:rPr>
          <w:sz w:val="21"/>
          <w:szCs w:val="21"/>
        </w:rPr>
      </w:pPr>
      <w:r>
        <w:rPr>
          <w:rFonts w:hint="eastAsia"/>
          <w:sz w:val="21"/>
          <w:szCs w:val="21"/>
        </w:rPr>
        <w:t xml:space="preserve">4.基金托管人以自身法人名义在中国证券登记结算有限责任公司开立结算备付金账户，并代表所托管的基金完成与中国证券登记结算有限责任公司的一级法人清算工作，基金管理人应予以积极协助。结算备付金、证券结算保证金等的收取按照中国证券登记结算有限责任公司的规定执行。 </w:t>
      </w:r>
    </w:p>
    <w:p w14:paraId="0047D104">
      <w:pPr>
        <w:pStyle w:val="8"/>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14:paraId="48024B83">
      <w:pPr>
        <w:pStyle w:val="8"/>
        <w:spacing w:before="0" w:beforeAutospacing="0" w:after="0" w:afterAutospacing="0" w:line="360" w:lineRule="auto"/>
        <w:ind w:firstLine="420"/>
        <w:rPr>
          <w:sz w:val="21"/>
          <w:szCs w:val="21"/>
        </w:rPr>
      </w:pPr>
      <w:r>
        <w:rPr>
          <w:rFonts w:hint="eastAsia"/>
          <w:sz w:val="21"/>
          <w:szCs w:val="21"/>
        </w:rPr>
        <w:t xml:space="preserve">（五）债券托管账户的开设和管理 </w:t>
      </w:r>
    </w:p>
    <w:p w14:paraId="0074ECA6">
      <w:pPr>
        <w:pStyle w:val="8"/>
        <w:spacing w:before="0" w:beforeAutospacing="0" w:after="0" w:afterAutospacing="0" w:line="360" w:lineRule="auto"/>
        <w:ind w:firstLine="420"/>
        <w:rPr>
          <w:sz w:val="21"/>
          <w:szCs w:val="21"/>
        </w:rPr>
      </w:pPr>
      <w:r>
        <w:rPr>
          <w:rFonts w:hint="eastAsia"/>
          <w:sz w:val="21"/>
          <w:szCs w:val="21"/>
        </w:rPr>
        <w:t xml:space="preserve">基金合同生效后，基金托管人根据中国人民银行、中央国债登记结算有限责任公司的有关规定，在中央国债登记结算有限责任公司、银行间市场清算所股份有限公司开立债券托管账户，并代表基金进行银行间市场债券的结算。基金管理人和基金托管人共同代表基金签订全国银行间债券市场债券回购主协议。 </w:t>
      </w:r>
    </w:p>
    <w:p w14:paraId="39205358">
      <w:pPr>
        <w:pStyle w:val="8"/>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740223EF">
      <w:pPr>
        <w:pStyle w:val="8"/>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1.因业务发展需要而开立的其他账户，可以根据法律法规和基金合同的规定开立，在基金管理人和基金托管人商议后由基金托管人负责开立。新账户按有关规定使用并管理。 </w:t>
      </w:r>
    </w:p>
    <w:p w14:paraId="7A88E2DC">
      <w:pPr>
        <w:pStyle w:val="8"/>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319599BB">
      <w:pPr>
        <w:pStyle w:val="8"/>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2C22BFE7">
      <w:pPr>
        <w:pStyle w:val="8"/>
        <w:spacing w:before="0" w:beforeAutospacing="0" w:after="0" w:afterAutospacing="0" w:line="360" w:lineRule="auto"/>
        <w:ind w:firstLine="420"/>
        <w:rPr>
          <w:sz w:val="21"/>
          <w:szCs w:val="21"/>
        </w:rPr>
      </w:pPr>
      <w:r>
        <w:rPr>
          <w:rFonts w:hint="eastAsia"/>
          <w:sz w:val="21"/>
          <w:szCs w:val="21"/>
        </w:rPr>
        <w:t xml:space="preserve">基金财产投资的有关实物证券等有价凭证由基金托管人存放于基金托管人的保管库，也可存入中央国债登记结算有限责任公司、中国证券登记结算有限责任公司上海分公司/深圳分公司、银行间清算所股份有限公司或票据营业中心的代保管库，保管凭证由基金托管人持有。实物证券等有价凭证的购买和转让，由基金管理人和基金托管人共同办理。基金托管人对由基金托管人以外机构实际有效控制的证券不承担保管责任，但基金托管人应妥善保管保管凭证。 </w:t>
      </w:r>
    </w:p>
    <w:p w14:paraId="0DE9E27E">
      <w:pPr>
        <w:pStyle w:val="8"/>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1651D6C1">
      <w:pPr>
        <w:pStyle w:val="8"/>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重大合同的保管期限为基金合同终止后15年。 </w:t>
      </w:r>
    </w:p>
    <w:p w14:paraId="68EF732D">
      <w:pPr>
        <w:pStyle w:val="8"/>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对于无法取得二份以上的正本的，基金管理人应向基金托管人提供加盖授权业务章的合同传真件或复印件，未经双方协商或未在合同约定范围内，合同原件不得转移，由基金管理人保管。 </w:t>
      </w:r>
    </w:p>
    <w:p w14:paraId="3F4DF4CF">
      <w:pPr>
        <w:pStyle w:val="8"/>
        <w:spacing w:before="0" w:beforeAutospacing="0" w:after="0" w:afterAutospacing="0" w:line="360" w:lineRule="auto"/>
        <w:ind w:firstLine="420"/>
        <w:rPr>
          <w:sz w:val="21"/>
          <w:szCs w:val="21"/>
        </w:rPr>
      </w:pPr>
      <w:r>
        <w:rPr>
          <w:rStyle w:val="12"/>
          <w:rFonts w:hint="eastAsia"/>
          <w:sz w:val="21"/>
          <w:szCs w:val="21"/>
        </w:rPr>
        <w:t>五、基金资产净值计算和会计核算</w:t>
      </w:r>
    </w:p>
    <w:p w14:paraId="61B72069">
      <w:pPr>
        <w:pStyle w:val="8"/>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6FCD7D38">
      <w:pPr>
        <w:pStyle w:val="8"/>
        <w:spacing w:before="0" w:beforeAutospacing="0" w:after="0" w:afterAutospacing="0" w:line="360" w:lineRule="auto"/>
        <w:ind w:firstLine="420"/>
        <w:rPr>
          <w:sz w:val="21"/>
          <w:szCs w:val="21"/>
        </w:rPr>
      </w:pPr>
      <w:r>
        <w:rPr>
          <w:rFonts w:hint="eastAsia"/>
          <w:sz w:val="21"/>
          <w:szCs w:val="21"/>
        </w:rPr>
        <w:t xml:space="preserve">1.基金资产净值 </w:t>
      </w:r>
    </w:p>
    <w:p w14:paraId="6B73A02E">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基金资产净值是指基金资产总值减去负债后的金额。 </w:t>
      </w:r>
    </w:p>
    <w:p w14:paraId="0B14D4D6">
      <w:pPr>
        <w:pStyle w:val="8"/>
        <w:spacing w:before="0" w:beforeAutospacing="0" w:after="0" w:afterAutospacing="0" w:line="360" w:lineRule="auto"/>
        <w:ind w:firstLine="420"/>
        <w:rPr>
          <w:sz w:val="21"/>
          <w:szCs w:val="21"/>
        </w:rPr>
      </w:pPr>
      <w:r>
        <w:rPr>
          <w:rFonts w:hint="eastAsia"/>
          <w:sz w:val="21"/>
          <w:szCs w:val="21"/>
        </w:rPr>
        <w:t xml:space="preserve">基金份额净值是指基金资产净值除以基金份额总数，各类基金份额净值的计算，均精确到0.0001元，小数点后第5位四舍五入，特殊情况下，基金管理人可与基金托管人、登记机构协商增加各类基金份额净值计算位数，以维护基金投资人利益。国家另有规定的，从其规定。 </w:t>
      </w:r>
    </w:p>
    <w:p w14:paraId="1096D3B7">
      <w:pPr>
        <w:pStyle w:val="8"/>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基金管理人每个工作日计算基金资产净值及各类基金份额净值，经基金托管人复核，按规定公告。但基金管理人根据法律法规或基金合同的规定暂停估值时除外。 </w:t>
      </w:r>
    </w:p>
    <w:p w14:paraId="0BDA801A">
      <w:pPr>
        <w:pStyle w:val="8"/>
        <w:spacing w:before="0" w:beforeAutospacing="0" w:after="0" w:afterAutospacing="0" w:line="360" w:lineRule="auto"/>
        <w:ind w:firstLine="420"/>
        <w:rPr>
          <w:sz w:val="21"/>
          <w:szCs w:val="21"/>
        </w:rPr>
      </w:pPr>
      <w:r>
        <w:rPr>
          <w:rFonts w:hint="eastAsia"/>
          <w:sz w:val="21"/>
          <w:szCs w:val="21"/>
        </w:rPr>
        <w:t xml:space="preserve">2.复核程序 </w:t>
      </w:r>
    </w:p>
    <w:p w14:paraId="39141DFA">
      <w:pPr>
        <w:pStyle w:val="8"/>
        <w:spacing w:before="0" w:beforeAutospacing="0" w:after="0" w:afterAutospacing="0" w:line="360" w:lineRule="auto"/>
        <w:ind w:firstLine="420"/>
        <w:rPr>
          <w:sz w:val="21"/>
          <w:szCs w:val="21"/>
        </w:rPr>
      </w:pPr>
      <w:r>
        <w:rPr>
          <w:rFonts w:hint="eastAsia"/>
          <w:sz w:val="21"/>
          <w:szCs w:val="21"/>
        </w:rPr>
        <w:t xml:space="preserve">基金管理人每工作日对基金资产进行估值后，将各类基金份额净值结果以双方约定的方式提交给基金托管人，经基金托管人复核无误后，以约定的方式将复核结果提交给基金管理人，由基金管理人依据基金合同和有关法律法规对外公布。 </w:t>
      </w:r>
    </w:p>
    <w:p w14:paraId="2B0E0330">
      <w:pPr>
        <w:pStyle w:val="8"/>
        <w:spacing w:before="0" w:beforeAutospacing="0" w:after="0" w:afterAutospacing="0" w:line="360" w:lineRule="auto"/>
        <w:ind w:firstLine="420"/>
        <w:rPr>
          <w:sz w:val="21"/>
          <w:szCs w:val="21"/>
        </w:rPr>
      </w:pPr>
      <w:r>
        <w:rPr>
          <w:rFonts w:hint="eastAsia"/>
          <w:sz w:val="21"/>
          <w:szCs w:val="21"/>
        </w:rPr>
        <w:t xml:space="preserve">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 </w:t>
      </w:r>
    </w:p>
    <w:p w14:paraId="695AC616">
      <w:pPr>
        <w:pStyle w:val="8"/>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1EB1DEE7">
      <w:pPr>
        <w:pStyle w:val="8"/>
        <w:spacing w:before="0" w:beforeAutospacing="0" w:after="0" w:afterAutospacing="0" w:line="360" w:lineRule="auto"/>
        <w:ind w:firstLine="420"/>
        <w:rPr>
          <w:sz w:val="21"/>
          <w:szCs w:val="21"/>
        </w:rPr>
      </w:pPr>
      <w:r>
        <w:rPr>
          <w:rFonts w:hint="eastAsia"/>
          <w:sz w:val="21"/>
          <w:szCs w:val="21"/>
        </w:rPr>
        <w:t xml:space="preserve">1.估值对象 </w:t>
      </w:r>
    </w:p>
    <w:p w14:paraId="72F96E37">
      <w:pPr>
        <w:pStyle w:val="8"/>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14:paraId="241BA986">
      <w:pPr>
        <w:pStyle w:val="8"/>
        <w:spacing w:before="0" w:beforeAutospacing="0" w:after="0" w:afterAutospacing="0" w:line="360" w:lineRule="auto"/>
        <w:ind w:firstLine="420"/>
        <w:rPr>
          <w:sz w:val="21"/>
          <w:szCs w:val="21"/>
        </w:rPr>
      </w:pPr>
      <w:r>
        <w:rPr>
          <w:rFonts w:hint="eastAsia"/>
          <w:sz w:val="21"/>
          <w:szCs w:val="21"/>
        </w:rPr>
        <w:t xml:space="preserve">2.估值方法 </w:t>
      </w:r>
    </w:p>
    <w:p w14:paraId="2D6EDF8D">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1A00270F">
      <w:pPr>
        <w:pStyle w:val="8"/>
        <w:spacing w:before="0" w:beforeAutospacing="0" w:after="0" w:afterAutospacing="0" w:line="360" w:lineRule="auto"/>
        <w:ind w:firstLine="420"/>
        <w:rPr>
          <w:sz w:val="21"/>
          <w:szCs w:val="21"/>
        </w:rPr>
      </w:pPr>
      <w:r>
        <w:rPr>
          <w:rFonts w:hint="eastAsia"/>
          <w:sz w:val="21"/>
          <w:szCs w:val="21"/>
        </w:rPr>
        <w:t xml:space="preserve">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3B1349F9">
      <w:pPr>
        <w:pStyle w:val="8"/>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5AB9022E">
      <w:pPr>
        <w:pStyle w:val="8"/>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14:paraId="11C3A5A4">
      <w:pPr>
        <w:pStyle w:val="8"/>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2DC134B9">
      <w:pPr>
        <w:pStyle w:val="8"/>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06F04A47">
      <w:pPr>
        <w:pStyle w:val="8"/>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7E345C0D">
      <w:pPr>
        <w:pStyle w:val="8"/>
        <w:spacing w:before="0" w:beforeAutospacing="0" w:after="0" w:afterAutospacing="0" w:line="360" w:lineRule="auto"/>
        <w:ind w:firstLine="420"/>
        <w:rPr>
          <w:sz w:val="21"/>
          <w:szCs w:val="21"/>
        </w:rPr>
      </w:pPr>
      <w:r>
        <w:rPr>
          <w:rFonts w:hint="eastAsia"/>
          <w:sz w:val="21"/>
          <w:szCs w:val="21"/>
        </w:rPr>
        <w:t xml:space="preserve">（5）如有确凿证据表明按上述方法进行估值不能客观反映其公允价值的，基金管理人可根据具体情况与基金托管人商定后，按最能反映公允价值的价格估值。 </w:t>
      </w:r>
    </w:p>
    <w:p w14:paraId="017F37DD">
      <w:pPr>
        <w:pStyle w:val="8"/>
        <w:spacing w:before="0" w:beforeAutospacing="0" w:after="0" w:afterAutospacing="0" w:line="360" w:lineRule="auto"/>
        <w:ind w:firstLine="420"/>
        <w:rPr>
          <w:sz w:val="21"/>
          <w:szCs w:val="21"/>
        </w:rPr>
      </w:pPr>
      <w:r>
        <w:rPr>
          <w:rFonts w:hint="eastAsia"/>
          <w:sz w:val="21"/>
          <w:szCs w:val="21"/>
        </w:rPr>
        <w:t xml:space="preserve">（6）相关法律法规以及监管部门有强制规定的，从其规定。如有新增事项，按国家最新规定估值。 </w:t>
      </w:r>
    </w:p>
    <w:p w14:paraId="653A9573">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968DC91">
      <w:pPr>
        <w:pStyle w:val="8"/>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4D4D7703">
      <w:pPr>
        <w:pStyle w:val="8"/>
        <w:spacing w:before="0" w:beforeAutospacing="0" w:after="0" w:afterAutospacing="0" w:line="360" w:lineRule="auto"/>
        <w:ind w:firstLine="420"/>
        <w:rPr>
          <w:sz w:val="21"/>
          <w:szCs w:val="21"/>
        </w:rPr>
      </w:pPr>
      <w:r>
        <w:rPr>
          <w:rFonts w:hint="eastAsia"/>
          <w:sz w:val="21"/>
          <w:szCs w:val="21"/>
        </w:rPr>
        <w:t xml:space="preserve">3.特殊情形的处理 </w:t>
      </w:r>
    </w:p>
    <w:p w14:paraId="107FD2EF">
      <w:pPr>
        <w:pStyle w:val="8"/>
        <w:spacing w:before="0" w:beforeAutospacing="0" w:after="0" w:afterAutospacing="0" w:line="360" w:lineRule="auto"/>
        <w:ind w:firstLine="420"/>
        <w:rPr>
          <w:sz w:val="21"/>
          <w:szCs w:val="21"/>
        </w:rPr>
      </w:pPr>
      <w:r>
        <w:rPr>
          <w:rFonts w:hint="eastAsia"/>
          <w:sz w:val="21"/>
          <w:szCs w:val="21"/>
        </w:rPr>
        <w:t xml:space="preserve">基金管理人、基金托管人按估值方法的第（5）项进行估值时，所造成的误差不作为基金份额净值错误处理。 </w:t>
      </w:r>
    </w:p>
    <w:p w14:paraId="2919A872">
      <w:pPr>
        <w:pStyle w:val="8"/>
        <w:spacing w:before="0" w:beforeAutospacing="0" w:after="0" w:afterAutospacing="0" w:line="360" w:lineRule="auto"/>
        <w:ind w:firstLine="420"/>
        <w:rPr>
          <w:sz w:val="21"/>
          <w:szCs w:val="21"/>
        </w:rPr>
      </w:pPr>
      <w:r>
        <w:rPr>
          <w:rFonts w:hint="eastAsia"/>
          <w:sz w:val="21"/>
          <w:szCs w:val="21"/>
        </w:rPr>
        <w:t xml:space="preserve">由于不可抗力原因，或由于证券交易所及登记结算公司发送的数据错误或国家会计政策变更、市场规则变更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68188307">
      <w:pPr>
        <w:pStyle w:val="8"/>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3B2EC064">
      <w:pPr>
        <w:pStyle w:val="8"/>
        <w:spacing w:before="0" w:beforeAutospacing="0" w:after="0" w:afterAutospacing="0" w:line="360" w:lineRule="auto"/>
        <w:ind w:firstLine="420"/>
        <w:rPr>
          <w:sz w:val="21"/>
          <w:szCs w:val="21"/>
        </w:rPr>
      </w:pPr>
      <w:r>
        <w:rPr>
          <w:rFonts w:hint="eastAsia"/>
          <w:sz w:val="21"/>
          <w:szCs w:val="21"/>
        </w:rPr>
        <w:t xml:space="preserve">1.当任一类基金份额净值小数点后4位以内(含第4位)发生差错时，视为该类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0.50%时，基金管理人应当公告；当发生净值计算错误时，由基金管理人负责处理，由此给基金份额持有人和基金造成损失的，应由基金管理人先行赔付，基金管理人按差错情形，有权向其他当事人追偿。 </w:t>
      </w:r>
    </w:p>
    <w:p w14:paraId="1B30CBD6">
      <w:pPr>
        <w:pStyle w:val="8"/>
        <w:spacing w:before="0" w:beforeAutospacing="0" w:after="0" w:afterAutospacing="0" w:line="360" w:lineRule="auto"/>
        <w:ind w:firstLine="420"/>
        <w:rPr>
          <w:sz w:val="21"/>
          <w:szCs w:val="21"/>
        </w:rPr>
      </w:pPr>
      <w:r>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14:paraId="4692D76F">
      <w:pPr>
        <w:pStyle w:val="8"/>
        <w:spacing w:before="0" w:beforeAutospacing="0" w:after="0" w:afterAutospacing="0" w:line="360" w:lineRule="auto"/>
        <w:ind w:firstLine="420"/>
        <w:rPr>
          <w:sz w:val="21"/>
          <w:szCs w:val="21"/>
        </w:rPr>
      </w:pPr>
      <w:r>
        <w:rPr>
          <w:rFonts w:hint="eastAsia"/>
          <w:sz w:val="21"/>
          <w:szCs w:val="21"/>
        </w:rPr>
        <w:t xml:space="preserve">A.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4D99C0F7">
      <w:pPr>
        <w:pStyle w:val="8"/>
        <w:spacing w:before="0" w:beforeAutospacing="0" w:after="0" w:afterAutospacing="0" w:line="360" w:lineRule="auto"/>
        <w:ind w:firstLine="420"/>
        <w:rPr>
          <w:sz w:val="21"/>
          <w:szCs w:val="21"/>
        </w:rPr>
      </w:pPr>
      <w:r>
        <w:rPr>
          <w:rFonts w:hint="eastAsia"/>
          <w:sz w:val="21"/>
          <w:szCs w:val="21"/>
        </w:rPr>
        <w:t xml:space="preserve">B.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14:paraId="2DBB3406">
      <w:pPr>
        <w:pStyle w:val="8"/>
        <w:spacing w:before="0" w:beforeAutospacing="0" w:after="0" w:afterAutospacing="0" w:line="360" w:lineRule="auto"/>
        <w:ind w:firstLine="420"/>
        <w:rPr>
          <w:sz w:val="21"/>
          <w:szCs w:val="21"/>
        </w:rPr>
      </w:pPr>
      <w:r>
        <w:rPr>
          <w:rFonts w:hint="eastAsia"/>
          <w:sz w:val="21"/>
          <w:szCs w:val="21"/>
        </w:rPr>
        <w:t xml:space="preserve">C.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2710BF1E">
      <w:pPr>
        <w:pStyle w:val="8"/>
        <w:spacing w:before="0" w:beforeAutospacing="0" w:after="0" w:afterAutospacing="0" w:line="360" w:lineRule="auto"/>
        <w:ind w:firstLine="420"/>
        <w:rPr>
          <w:sz w:val="21"/>
          <w:szCs w:val="21"/>
        </w:rPr>
      </w:pPr>
      <w:r>
        <w:rPr>
          <w:rFonts w:hint="eastAsia"/>
          <w:sz w:val="21"/>
          <w:szCs w:val="21"/>
        </w:rPr>
        <w:t xml:space="preserve">D.由于基金管理人提供的信息错误（包括但不限于基金申购或赎回金额等），进而导致基金份额净值计算错误而引起的基金份额持有人和基金财产的损失，由基金管理人负责赔付。 </w:t>
      </w:r>
    </w:p>
    <w:p w14:paraId="37D30809">
      <w:pPr>
        <w:pStyle w:val="8"/>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7FB6FDE3">
      <w:pPr>
        <w:pStyle w:val="8"/>
        <w:spacing w:before="0" w:beforeAutospacing="0" w:after="0" w:afterAutospacing="0" w:line="360" w:lineRule="auto"/>
        <w:ind w:firstLine="420"/>
        <w:rPr>
          <w:sz w:val="21"/>
          <w:szCs w:val="21"/>
        </w:rPr>
      </w:pPr>
      <w:r>
        <w:rPr>
          <w:rFonts w:hint="eastAsia"/>
          <w:sz w:val="21"/>
          <w:szCs w:val="21"/>
        </w:rPr>
        <w:t xml:space="preserve">4.前述内容如法律法规或者监管部门另有规定的，从其规定处理。如果行业另有通行做法，双方当事人应本着平等和保护基金份额持有人利益的原则进行协商。 </w:t>
      </w:r>
    </w:p>
    <w:p w14:paraId="66B1FD46">
      <w:pPr>
        <w:pStyle w:val="8"/>
        <w:spacing w:before="0" w:beforeAutospacing="0" w:after="0" w:afterAutospacing="0" w:line="360" w:lineRule="auto"/>
        <w:ind w:firstLine="420"/>
        <w:rPr>
          <w:sz w:val="21"/>
          <w:szCs w:val="21"/>
        </w:rPr>
      </w:pPr>
      <w:r>
        <w:rPr>
          <w:rFonts w:hint="eastAsia"/>
          <w:sz w:val="21"/>
          <w:szCs w:val="21"/>
        </w:rPr>
        <w:t xml:space="preserve">（四）暂停估值与公告基金份额净值的情形 </w:t>
      </w:r>
    </w:p>
    <w:p w14:paraId="77C0B609">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1.基金投资所涉及的证券交易所遇法定节假日或因其他原因暂停营业时； </w:t>
      </w:r>
    </w:p>
    <w:p w14:paraId="47F0F8B2">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52A879A5">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345F0E20">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4.法律法规规定、中国证监会和基金合同认定的其他情形。 </w:t>
      </w:r>
    </w:p>
    <w:p w14:paraId="2F2C7BA3">
      <w:pPr>
        <w:pStyle w:val="8"/>
        <w:spacing w:before="0" w:beforeAutospacing="0" w:after="0" w:afterAutospacing="0" w:line="360" w:lineRule="auto"/>
        <w:ind w:firstLine="420"/>
        <w:rPr>
          <w:sz w:val="21"/>
          <w:szCs w:val="21"/>
        </w:rPr>
      </w:pPr>
      <w:r>
        <w:rPr>
          <w:rFonts w:hint="eastAsia"/>
          <w:sz w:val="21"/>
          <w:szCs w:val="21"/>
        </w:rPr>
        <w:t xml:space="preserve">（五）基金会计制度 </w:t>
      </w:r>
    </w:p>
    <w:p w14:paraId="74A765F3">
      <w:pPr>
        <w:pStyle w:val="8"/>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440DE0C3">
      <w:pPr>
        <w:pStyle w:val="8"/>
        <w:spacing w:before="0" w:beforeAutospacing="0" w:after="0" w:afterAutospacing="0" w:line="360" w:lineRule="auto"/>
        <w:ind w:firstLine="420"/>
        <w:rPr>
          <w:sz w:val="21"/>
          <w:szCs w:val="21"/>
        </w:rPr>
      </w:pPr>
      <w:r>
        <w:rPr>
          <w:rFonts w:hint="eastAsia"/>
          <w:sz w:val="21"/>
          <w:szCs w:val="21"/>
        </w:rPr>
        <w:t xml:space="preserve">（六）基金账册的建立 </w:t>
      </w:r>
    </w:p>
    <w:p w14:paraId="0CC5C9DA">
      <w:pPr>
        <w:pStyle w:val="8"/>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 </w:t>
      </w:r>
    </w:p>
    <w:p w14:paraId="61151EA8">
      <w:pPr>
        <w:pStyle w:val="8"/>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710BCFDF">
      <w:pPr>
        <w:pStyle w:val="8"/>
        <w:spacing w:before="0" w:beforeAutospacing="0" w:after="0" w:afterAutospacing="0" w:line="360" w:lineRule="auto"/>
        <w:ind w:firstLine="420"/>
        <w:rPr>
          <w:sz w:val="21"/>
          <w:szCs w:val="21"/>
        </w:rPr>
      </w:pPr>
      <w:r>
        <w:rPr>
          <w:rFonts w:hint="eastAsia"/>
          <w:sz w:val="21"/>
          <w:szCs w:val="21"/>
        </w:rPr>
        <w:t xml:space="preserve">1.财务报表的编制 </w:t>
      </w:r>
    </w:p>
    <w:p w14:paraId="347B4006">
      <w:pPr>
        <w:pStyle w:val="8"/>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4C1BB7CE">
      <w:pPr>
        <w:pStyle w:val="8"/>
        <w:spacing w:before="0" w:beforeAutospacing="0" w:after="0" w:afterAutospacing="0" w:line="360" w:lineRule="auto"/>
        <w:ind w:firstLine="420"/>
        <w:rPr>
          <w:sz w:val="21"/>
          <w:szCs w:val="21"/>
        </w:rPr>
      </w:pPr>
      <w:r>
        <w:rPr>
          <w:rFonts w:hint="eastAsia"/>
          <w:sz w:val="21"/>
          <w:szCs w:val="21"/>
        </w:rPr>
        <w:t xml:space="preserve">2.报表复核 </w:t>
      </w:r>
    </w:p>
    <w:p w14:paraId="06A65CAD">
      <w:pPr>
        <w:pStyle w:val="8"/>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5F4905B7">
      <w:pPr>
        <w:pStyle w:val="8"/>
        <w:spacing w:before="0" w:beforeAutospacing="0" w:after="0" w:afterAutospacing="0" w:line="360" w:lineRule="auto"/>
        <w:ind w:firstLine="420"/>
        <w:rPr>
          <w:sz w:val="21"/>
          <w:szCs w:val="21"/>
        </w:rPr>
      </w:pPr>
      <w:r>
        <w:rPr>
          <w:rFonts w:hint="eastAsia"/>
          <w:sz w:val="21"/>
          <w:szCs w:val="21"/>
        </w:rPr>
        <w:t xml:space="preserve">3.  财务报表的编制与复核时间安排 </w:t>
      </w:r>
    </w:p>
    <w:p w14:paraId="7409E8B2">
      <w:pPr>
        <w:pStyle w:val="8"/>
        <w:spacing w:before="0" w:beforeAutospacing="0" w:after="0" w:afterAutospacing="0" w:line="360" w:lineRule="auto"/>
        <w:ind w:firstLine="420"/>
        <w:rPr>
          <w:sz w:val="21"/>
          <w:szCs w:val="21"/>
        </w:rPr>
      </w:pPr>
      <w:r>
        <w:rPr>
          <w:rFonts w:hint="eastAsia"/>
          <w:sz w:val="21"/>
          <w:szCs w:val="21"/>
        </w:rPr>
        <w:t xml:space="preserve">1)  报表的编制 </w:t>
      </w:r>
    </w:p>
    <w:p w14:paraId="69B46A5A">
      <w:pPr>
        <w:pStyle w:val="8"/>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季度报告应在每个季度结束之日起10个工作日内编制完毕并于每个季度结束之日起15个工作日内予以公告；中期报告应当在上半年结束之日起40日内编制完毕并于上半年结束之日起两个月内予以公告；年度报告在每年结束之日起60日内编制完毕并于在每年结束之日起三个月内予以公告。基金合同生效不足两个月的，基金管理人可以不编制当期季度报告、中期报告或者年度报告。 </w:t>
      </w:r>
    </w:p>
    <w:p w14:paraId="56D9A1DE">
      <w:pPr>
        <w:pStyle w:val="8"/>
        <w:spacing w:before="0" w:beforeAutospacing="0" w:after="0" w:afterAutospacing="0" w:line="360" w:lineRule="auto"/>
        <w:ind w:firstLine="420"/>
        <w:rPr>
          <w:sz w:val="21"/>
          <w:szCs w:val="21"/>
        </w:rPr>
      </w:pPr>
      <w:r>
        <w:rPr>
          <w:rFonts w:hint="eastAsia"/>
          <w:sz w:val="21"/>
          <w:szCs w:val="21"/>
        </w:rPr>
        <w:t xml:space="preserve">2)  报表的复核 </w:t>
      </w:r>
    </w:p>
    <w:p w14:paraId="3E7A8F07">
      <w:pPr>
        <w:pStyle w:val="8"/>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725A6C87">
      <w:pPr>
        <w:pStyle w:val="8"/>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5C22A2C0">
      <w:pPr>
        <w:pStyle w:val="8"/>
        <w:spacing w:before="0" w:beforeAutospacing="0" w:after="0" w:afterAutospacing="0" w:line="360" w:lineRule="auto"/>
        <w:ind w:firstLine="420"/>
        <w:rPr>
          <w:sz w:val="21"/>
          <w:szCs w:val="21"/>
        </w:rPr>
      </w:pPr>
      <w:r>
        <w:rPr>
          <w:rFonts w:hint="eastAsia"/>
          <w:sz w:val="21"/>
          <w:szCs w:val="21"/>
        </w:rPr>
        <w:t xml:space="preserve">（八）基金管理人应在编制季度报告、中期报告或者年度报告之前及时向基金托管人提供基金业绩比较基准的基础数据和编制结果。 </w:t>
      </w:r>
    </w:p>
    <w:p w14:paraId="001EAD88">
      <w:pPr>
        <w:pStyle w:val="8"/>
        <w:spacing w:before="0" w:beforeAutospacing="0" w:after="0" w:afterAutospacing="0" w:line="360" w:lineRule="auto"/>
        <w:ind w:firstLine="420"/>
        <w:rPr>
          <w:sz w:val="21"/>
          <w:szCs w:val="21"/>
        </w:rPr>
      </w:pPr>
      <w:r>
        <w:rPr>
          <w:rStyle w:val="12"/>
          <w:rFonts w:hint="eastAsia"/>
          <w:sz w:val="21"/>
          <w:szCs w:val="21"/>
        </w:rPr>
        <w:t>六、基金份额持有人名册的登记与保管</w:t>
      </w:r>
    </w:p>
    <w:p w14:paraId="783ECA17">
      <w:pPr>
        <w:pStyle w:val="8"/>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法律法规另有规定或有权机关另有要求的除外。 </w:t>
      </w:r>
    </w:p>
    <w:p w14:paraId="17AFAE8F">
      <w:pPr>
        <w:pStyle w:val="8"/>
        <w:spacing w:before="0" w:beforeAutospacing="0" w:after="0" w:afterAutospacing="0" w:line="360" w:lineRule="auto"/>
        <w:ind w:firstLine="420"/>
        <w:rPr>
          <w:sz w:val="21"/>
          <w:szCs w:val="21"/>
        </w:rPr>
      </w:pPr>
      <w:r>
        <w:rPr>
          <w:rFonts w:hint="eastAsia"/>
          <w:sz w:val="21"/>
          <w:szCs w:val="21"/>
        </w:rPr>
        <w:t xml:space="preserve">在基金托管人要求或编制中期报告和年报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45C5E478">
      <w:pPr>
        <w:pStyle w:val="8"/>
        <w:spacing w:before="0" w:beforeAutospacing="0" w:after="0" w:afterAutospacing="0" w:line="360" w:lineRule="auto"/>
        <w:ind w:firstLine="420"/>
        <w:rPr>
          <w:sz w:val="21"/>
          <w:szCs w:val="21"/>
        </w:rPr>
      </w:pPr>
      <w:r>
        <w:rPr>
          <w:rStyle w:val="12"/>
          <w:rFonts w:hint="eastAsia"/>
          <w:sz w:val="21"/>
          <w:szCs w:val="21"/>
        </w:rPr>
        <w:t>七、争议解决方式</w:t>
      </w:r>
    </w:p>
    <w:p w14:paraId="59AD0BBA">
      <w:pPr>
        <w:pStyle w:val="8"/>
        <w:spacing w:before="0" w:beforeAutospacing="0" w:after="0" w:afterAutospacing="0" w:line="360" w:lineRule="auto"/>
        <w:ind w:firstLine="420"/>
        <w:rPr>
          <w:sz w:val="21"/>
          <w:szCs w:val="21"/>
        </w:rPr>
      </w:pPr>
      <w:r>
        <w:rPr>
          <w:rFonts w:hint="eastAsia"/>
          <w:sz w:val="21"/>
          <w:szCs w:val="21"/>
        </w:rPr>
        <w:t xml:space="preserve">因本托管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本托管协议双方当事人均有约束力，仲裁费用、律师费用由败诉方承担。 </w:t>
      </w:r>
    </w:p>
    <w:p w14:paraId="57981537">
      <w:pPr>
        <w:pStyle w:val="8"/>
        <w:spacing w:before="0" w:beforeAutospacing="0" w:after="0" w:afterAutospacing="0" w:line="360" w:lineRule="auto"/>
        <w:ind w:firstLine="420"/>
        <w:rPr>
          <w:sz w:val="21"/>
          <w:szCs w:val="21"/>
        </w:rPr>
      </w:pPr>
      <w:r>
        <w:rPr>
          <w:rFonts w:hint="eastAsia"/>
          <w:sz w:val="21"/>
          <w:szCs w:val="21"/>
        </w:rPr>
        <w:t xml:space="preserve">争议处理期间，本托管协议双方当事人应恪守基金管理人和基金托管人职责，各自继续忠实、勤勉、尽责地履行基金合同和本托管协议规定的义务，维护基金份额持有人的合法权益。 </w:t>
      </w:r>
    </w:p>
    <w:p w14:paraId="494911BD">
      <w:pPr>
        <w:pStyle w:val="8"/>
        <w:spacing w:before="0" w:beforeAutospacing="0" w:after="0" w:afterAutospacing="0" w:line="360" w:lineRule="auto"/>
        <w:ind w:firstLine="420"/>
        <w:rPr>
          <w:sz w:val="21"/>
          <w:szCs w:val="21"/>
        </w:rPr>
      </w:pPr>
      <w:r>
        <w:rPr>
          <w:rFonts w:hint="eastAsia"/>
          <w:sz w:val="21"/>
          <w:szCs w:val="21"/>
        </w:rPr>
        <w:t xml:space="preserve">本协议受中国法律（为本协议之目的，在此不包括香港、澳门特别行政区和台湾地区法律）管辖。 </w:t>
      </w:r>
    </w:p>
    <w:p w14:paraId="008AD1B5">
      <w:pPr>
        <w:pStyle w:val="8"/>
        <w:spacing w:before="0" w:beforeAutospacing="0" w:after="0" w:afterAutospacing="0" w:line="360" w:lineRule="auto"/>
        <w:ind w:firstLine="420"/>
        <w:rPr>
          <w:sz w:val="21"/>
          <w:szCs w:val="21"/>
        </w:rPr>
      </w:pPr>
      <w:r>
        <w:rPr>
          <w:rStyle w:val="12"/>
          <w:rFonts w:hint="eastAsia"/>
          <w:sz w:val="21"/>
          <w:szCs w:val="21"/>
        </w:rPr>
        <w:t>八、托管协议的修改与终止</w:t>
      </w:r>
    </w:p>
    <w:p w14:paraId="0C462253">
      <w:pPr>
        <w:pStyle w:val="8"/>
        <w:spacing w:before="0" w:beforeAutospacing="0" w:after="0" w:afterAutospacing="0" w:line="360" w:lineRule="auto"/>
        <w:ind w:firstLine="420"/>
        <w:rPr>
          <w:sz w:val="21"/>
          <w:szCs w:val="21"/>
        </w:rPr>
      </w:pPr>
      <w:r>
        <w:rPr>
          <w:rFonts w:hint="eastAsia"/>
          <w:sz w:val="21"/>
          <w:szCs w:val="21"/>
        </w:rPr>
        <w:t xml:space="preserve">（一）本托管协议的变更程序 </w:t>
      </w:r>
    </w:p>
    <w:p w14:paraId="64813186">
      <w:pPr>
        <w:pStyle w:val="8"/>
        <w:spacing w:before="0" w:beforeAutospacing="0" w:after="0" w:afterAutospacing="0" w:line="360" w:lineRule="auto"/>
        <w:ind w:firstLine="420"/>
        <w:rPr>
          <w:sz w:val="21"/>
          <w:szCs w:val="21"/>
        </w:rPr>
      </w:pPr>
      <w:r>
        <w:rPr>
          <w:rFonts w:hint="eastAsia"/>
          <w:sz w:val="21"/>
          <w:szCs w:val="21"/>
        </w:rPr>
        <w:t xml:space="preserve">本托管协议双方当事人经协商一致，可以对本托管协议进行修改。修改后的新托管协议，其内容不得与基金合同的规定有任何冲突。基金托管协议的变更报中国证监会备案。 </w:t>
      </w:r>
    </w:p>
    <w:p w14:paraId="4639D98C">
      <w:pPr>
        <w:pStyle w:val="8"/>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0B6E93EC">
      <w:pPr>
        <w:pStyle w:val="8"/>
        <w:spacing w:before="0" w:beforeAutospacing="0" w:after="0" w:afterAutospacing="0" w:line="360" w:lineRule="auto"/>
        <w:ind w:firstLine="420"/>
        <w:rPr>
          <w:sz w:val="21"/>
          <w:szCs w:val="21"/>
        </w:rPr>
      </w:pPr>
      <w:r>
        <w:rPr>
          <w:rFonts w:hint="eastAsia"/>
          <w:sz w:val="21"/>
          <w:szCs w:val="21"/>
        </w:rPr>
        <w:t xml:space="preserve">1.基金合同终止； </w:t>
      </w:r>
    </w:p>
    <w:p w14:paraId="67ACB470">
      <w:pPr>
        <w:pStyle w:val="8"/>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39A2323A">
      <w:pPr>
        <w:pStyle w:val="8"/>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41AF71FE">
      <w:pPr>
        <w:pStyle w:val="8"/>
        <w:spacing w:before="0" w:beforeAutospacing="0" w:after="0" w:afterAutospacing="0" w:line="360" w:lineRule="auto"/>
        <w:ind w:firstLine="420"/>
        <w:rPr>
          <w:sz w:val="21"/>
          <w:szCs w:val="21"/>
        </w:rPr>
      </w:pPr>
      <w:r>
        <w:rPr>
          <w:rFonts w:hint="eastAsia"/>
          <w:sz w:val="21"/>
          <w:szCs w:val="21"/>
        </w:rPr>
        <w:t xml:space="preserve">4.发生法律法规、监管部门或基金合同规定的终止事项。 </w:t>
      </w:r>
    </w:p>
    <w:p w14:paraId="325FCC71">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24DF627C">
      <w:pPr>
        <w:pStyle w:val="8"/>
        <w:spacing w:before="0" w:beforeAutospacing="0" w:after="0" w:afterAutospacing="0" w:line="360" w:lineRule="auto"/>
        <w:ind w:firstLine="420"/>
        <w:rPr>
          <w:sz w:val="21"/>
          <w:szCs w:val="21"/>
        </w:rPr>
      </w:pPr>
      <w:r>
        <w:rPr>
          <w:rFonts w:hint="eastAsia"/>
          <w:sz w:val="21"/>
          <w:szCs w:val="21"/>
        </w:rPr>
        <w:t xml:space="preserve">1.基金财产清算小组 </w:t>
      </w:r>
    </w:p>
    <w:p w14:paraId="08748110">
      <w:pPr>
        <w:pStyle w:val="8"/>
        <w:spacing w:before="0" w:beforeAutospacing="0" w:after="0" w:afterAutospacing="0" w:line="360" w:lineRule="auto"/>
        <w:ind w:firstLine="420"/>
        <w:rPr>
          <w:sz w:val="21"/>
          <w:szCs w:val="21"/>
        </w:rPr>
      </w:pPr>
      <w:r>
        <w:rPr>
          <w:rFonts w:hint="eastAsia"/>
          <w:sz w:val="21"/>
          <w:szCs w:val="21"/>
        </w:rPr>
        <w:t xml:space="preserve">1)  自出现《基金合同》终止事由之日起30个工作日内成立清算小组，基金管理人组织基金财产清算小组并在中国证监会的监督下进行基金清算。 </w:t>
      </w:r>
    </w:p>
    <w:p w14:paraId="1DB26693">
      <w:pPr>
        <w:pStyle w:val="8"/>
        <w:spacing w:before="0" w:beforeAutospacing="0" w:after="0" w:afterAutospacing="0" w:line="360" w:lineRule="auto"/>
        <w:ind w:firstLine="420"/>
        <w:rPr>
          <w:sz w:val="21"/>
          <w:szCs w:val="21"/>
        </w:rPr>
      </w:pPr>
      <w:r>
        <w:rPr>
          <w:rFonts w:hint="eastAsia"/>
          <w:sz w:val="21"/>
          <w:szCs w:val="21"/>
        </w:rPr>
        <w:t xml:space="preserve">2)  基金财产清算小组成员由基金管理人、基金托管人、具有从事证券、期货相关业务资格的注册会计师、律师以及中国证监会指定的人员组成。基金财产清算小组可以聘用必要的工作人员。 </w:t>
      </w:r>
    </w:p>
    <w:p w14:paraId="68A24FF7">
      <w:pPr>
        <w:pStyle w:val="8"/>
        <w:spacing w:before="0" w:beforeAutospacing="0" w:after="0" w:afterAutospacing="0" w:line="360" w:lineRule="auto"/>
        <w:ind w:firstLine="420"/>
        <w:rPr>
          <w:sz w:val="21"/>
          <w:szCs w:val="21"/>
        </w:rPr>
      </w:pPr>
      <w:r>
        <w:rPr>
          <w:rFonts w:hint="eastAsia"/>
          <w:sz w:val="21"/>
          <w:szCs w:val="21"/>
        </w:rPr>
        <w:t xml:space="preserve">3)  在基金财产清算过程中，基金管理人和基金托管人应各自履行职责，继续忠实、勤勉、尽责地履行基金合同和托管协议规定的义务，维护基金份额持有人的合法权益。 </w:t>
      </w:r>
    </w:p>
    <w:p w14:paraId="255972FC">
      <w:pPr>
        <w:pStyle w:val="8"/>
        <w:spacing w:before="0" w:beforeAutospacing="0" w:after="0" w:afterAutospacing="0" w:line="360" w:lineRule="auto"/>
        <w:ind w:firstLine="420"/>
        <w:rPr>
          <w:sz w:val="21"/>
          <w:szCs w:val="21"/>
        </w:rPr>
      </w:pPr>
      <w:r>
        <w:rPr>
          <w:rFonts w:hint="eastAsia"/>
          <w:sz w:val="21"/>
          <w:szCs w:val="21"/>
        </w:rPr>
        <w:t xml:space="preserve">4)  基金财产清算小组负责基金财产的保管、清理、估价、变现和分配。基金财产清算小组可以依法进行必要的民事活动。 </w:t>
      </w:r>
    </w:p>
    <w:p w14:paraId="5890B986">
      <w:pPr>
        <w:pStyle w:val="8"/>
        <w:spacing w:before="0" w:beforeAutospacing="0" w:after="0" w:afterAutospacing="0" w:line="360" w:lineRule="auto"/>
        <w:ind w:firstLine="420"/>
        <w:rPr>
          <w:sz w:val="21"/>
          <w:szCs w:val="21"/>
        </w:rPr>
      </w:pPr>
      <w:r>
        <w:rPr>
          <w:rFonts w:hint="eastAsia"/>
          <w:sz w:val="21"/>
          <w:szCs w:val="21"/>
        </w:rPr>
        <w:t xml:space="preserve">2.  基金财产清算程序 </w:t>
      </w:r>
    </w:p>
    <w:p w14:paraId="60178259">
      <w:pPr>
        <w:pStyle w:val="8"/>
        <w:spacing w:before="0" w:beforeAutospacing="0" w:after="0" w:afterAutospacing="0" w:line="360" w:lineRule="auto"/>
        <w:ind w:firstLine="420"/>
        <w:rPr>
          <w:sz w:val="21"/>
          <w:szCs w:val="21"/>
        </w:rPr>
      </w:pPr>
      <w:r>
        <w:rPr>
          <w:rFonts w:hint="eastAsia"/>
          <w:sz w:val="21"/>
          <w:szCs w:val="21"/>
        </w:rPr>
        <w:t xml:space="preserve">基金合同终止，应当按法律法规和基金合同的有关规定对基金财产进行清算。基金财产清算程序主要包括： </w:t>
      </w:r>
    </w:p>
    <w:p w14:paraId="4B05B20B">
      <w:pPr>
        <w:pStyle w:val="8"/>
        <w:spacing w:before="0" w:beforeAutospacing="0" w:after="0" w:afterAutospacing="0" w:line="360" w:lineRule="auto"/>
        <w:ind w:firstLine="420"/>
        <w:rPr>
          <w:sz w:val="21"/>
          <w:szCs w:val="21"/>
        </w:rPr>
      </w:pPr>
      <w:r>
        <w:rPr>
          <w:rFonts w:hint="eastAsia"/>
          <w:sz w:val="21"/>
          <w:szCs w:val="21"/>
        </w:rPr>
        <w:t xml:space="preserve">1)  基金合同终止情形出现时，由基金财产清算小组统一接管基金财产； </w:t>
      </w:r>
    </w:p>
    <w:p w14:paraId="15F2DBB3">
      <w:pPr>
        <w:pStyle w:val="8"/>
        <w:spacing w:before="0" w:beforeAutospacing="0" w:after="0" w:afterAutospacing="0" w:line="360" w:lineRule="auto"/>
        <w:ind w:firstLine="420"/>
        <w:rPr>
          <w:sz w:val="21"/>
          <w:szCs w:val="21"/>
        </w:rPr>
      </w:pPr>
      <w:r>
        <w:rPr>
          <w:rFonts w:hint="eastAsia"/>
          <w:sz w:val="21"/>
          <w:szCs w:val="21"/>
        </w:rPr>
        <w:t xml:space="preserve">2)  对基金财产和债权债务进行清理和确认； </w:t>
      </w:r>
    </w:p>
    <w:p w14:paraId="61A58B86">
      <w:pPr>
        <w:pStyle w:val="8"/>
        <w:spacing w:before="0" w:beforeAutospacing="0" w:after="0" w:afterAutospacing="0" w:line="360" w:lineRule="auto"/>
        <w:ind w:firstLine="420"/>
        <w:rPr>
          <w:sz w:val="21"/>
          <w:szCs w:val="21"/>
        </w:rPr>
      </w:pPr>
      <w:r>
        <w:rPr>
          <w:rFonts w:hint="eastAsia"/>
          <w:sz w:val="21"/>
          <w:szCs w:val="21"/>
        </w:rPr>
        <w:t xml:space="preserve">3)  对基金财产进行估价和变现； </w:t>
      </w:r>
    </w:p>
    <w:p w14:paraId="60409024">
      <w:pPr>
        <w:pStyle w:val="8"/>
        <w:spacing w:before="0" w:beforeAutospacing="0" w:after="0" w:afterAutospacing="0" w:line="360" w:lineRule="auto"/>
        <w:ind w:firstLine="420"/>
        <w:rPr>
          <w:sz w:val="21"/>
          <w:szCs w:val="21"/>
        </w:rPr>
      </w:pPr>
      <w:r>
        <w:rPr>
          <w:rFonts w:hint="eastAsia"/>
          <w:sz w:val="21"/>
          <w:szCs w:val="21"/>
        </w:rPr>
        <w:t xml:space="preserve">4)  制作清算报告； </w:t>
      </w:r>
    </w:p>
    <w:p w14:paraId="37CD553C">
      <w:pPr>
        <w:pStyle w:val="8"/>
        <w:spacing w:before="0" w:beforeAutospacing="0" w:after="0" w:afterAutospacing="0" w:line="360" w:lineRule="auto"/>
        <w:ind w:firstLine="420"/>
        <w:rPr>
          <w:sz w:val="21"/>
          <w:szCs w:val="21"/>
        </w:rPr>
      </w:pPr>
      <w:r>
        <w:rPr>
          <w:rFonts w:hint="eastAsia"/>
          <w:sz w:val="21"/>
          <w:szCs w:val="21"/>
        </w:rPr>
        <w:t xml:space="preserve">5)  聘请会计师事务所对清算报告进行外部审计，聘请律师事务所出具法律意见书； </w:t>
      </w:r>
    </w:p>
    <w:p w14:paraId="197A29DF">
      <w:pPr>
        <w:pStyle w:val="8"/>
        <w:spacing w:before="0" w:beforeAutospacing="0" w:after="0" w:afterAutospacing="0" w:line="360" w:lineRule="auto"/>
        <w:ind w:firstLine="420"/>
        <w:rPr>
          <w:sz w:val="21"/>
          <w:szCs w:val="21"/>
        </w:rPr>
      </w:pPr>
      <w:r>
        <w:rPr>
          <w:rFonts w:hint="eastAsia"/>
          <w:sz w:val="21"/>
          <w:szCs w:val="21"/>
        </w:rPr>
        <w:t xml:space="preserve">6)  将清算报告报中国证监会备案并公告； </w:t>
      </w:r>
    </w:p>
    <w:p w14:paraId="421D4CEC">
      <w:pPr>
        <w:pStyle w:val="8"/>
        <w:spacing w:before="0" w:beforeAutospacing="0" w:after="0" w:afterAutospacing="0" w:line="360" w:lineRule="auto"/>
        <w:ind w:firstLine="420"/>
        <w:rPr>
          <w:sz w:val="21"/>
          <w:szCs w:val="21"/>
        </w:rPr>
      </w:pPr>
      <w:r>
        <w:rPr>
          <w:rFonts w:hint="eastAsia"/>
          <w:sz w:val="21"/>
          <w:szCs w:val="21"/>
        </w:rPr>
        <w:t xml:space="preserve">7)  对基金剩余财产进行分配。 </w:t>
      </w:r>
    </w:p>
    <w:p w14:paraId="595C05AE">
      <w:pPr>
        <w:pStyle w:val="8"/>
        <w:spacing w:before="0" w:beforeAutospacing="0" w:after="0" w:afterAutospacing="0" w:line="360" w:lineRule="auto"/>
        <w:ind w:firstLine="420"/>
        <w:rPr>
          <w:sz w:val="21"/>
          <w:szCs w:val="21"/>
        </w:rPr>
      </w:pPr>
      <w:r>
        <w:rPr>
          <w:rFonts w:hint="eastAsia"/>
          <w:sz w:val="21"/>
          <w:szCs w:val="21"/>
        </w:rPr>
        <w:t xml:space="preserve">基金财产清算的期限为6个月，但因本基金所持证券的流动性受到限制而不能及时变现的，清算期限相应顺延。 </w:t>
      </w:r>
    </w:p>
    <w:p w14:paraId="4C6EB9C3">
      <w:pPr>
        <w:pStyle w:val="8"/>
        <w:spacing w:before="0" w:beforeAutospacing="0" w:after="0" w:afterAutospacing="0" w:line="360" w:lineRule="auto"/>
        <w:ind w:firstLine="420"/>
        <w:rPr>
          <w:sz w:val="21"/>
          <w:szCs w:val="21"/>
        </w:rPr>
      </w:pPr>
      <w:r>
        <w:rPr>
          <w:rFonts w:hint="eastAsia"/>
          <w:sz w:val="21"/>
          <w:szCs w:val="21"/>
        </w:rPr>
        <w:t xml:space="preserve">3.清算费用 </w:t>
      </w:r>
    </w:p>
    <w:p w14:paraId="5C2B252E">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14:paraId="394D05FE">
      <w:pPr>
        <w:pStyle w:val="8"/>
        <w:spacing w:before="0" w:beforeAutospacing="0" w:after="0" w:afterAutospacing="0" w:line="360" w:lineRule="auto"/>
        <w:ind w:firstLine="420"/>
        <w:rPr>
          <w:sz w:val="21"/>
          <w:szCs w:val="21"/>
        </w:rPr>
      </w:pPr>
      <w:r>
        <w:rPr>
          <w:rFonts w:hint="eastAsia"/>
          <w:sz w:val="21"/>
          <w:szCs w:val="21"/>
        </w:rPr>
        <w:t xml:space="preserve">4.基金财产清算剩余资产的分配 </w:t>
      </w:r>
    </w:p>
    <w:p w14:paraId="62DE541D">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079498C2">
      <w:pPr>
        <w:pStyle w:val="8"/>
        <w:spacing w:before="0" w:beforeAutospacing="0" w:after="0" w:afterAutospacing="0" w:line="360" w:lineRule="auto"/>
        <w:ind w:firstLine="420"/>
        <w:rPr>
          <w:sz w:val="21"/>
          <w:szCs w:val="21"/>
        </w:rPr>
      </w:pPr>
      <w:r>
        <w:rPr>
          <w:rFonts w:hint="eastAsia"/>
          <w:sz w:val="21"/>
          <w:szCs w:val="21"/>
        </w:rPr>
        <w:t xml:space="preserve">5.基金财产清算的公告 </w:t>
      </w:r>
    </w:p>
    <w:p w14:paraId="27855B22">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0E97695D">
      <w:pPr>
        <w:pStyle w:val="8"/>
        <w:spacing w:before="0" w:beforeAutospacing="0" w:after="0" w:afterAutospacing="0" w:line="360" w:lineRule="auto"/>
        <w:ind w:firstLine="420"/>
        <w:rPr>
          <w:sz w:val="21"/>
          <w:szCs w:val="21"/>
        </w:rPr>
      </w:pPr>
      <w:r>
        <w:rPr>
          <w:rFonts w:hint="eastAsia"/>
          <w:sz w:val="21"/>
          <w:szCs w:val="21"/>
        </w:rPr>
        <w:t xml:space="preserve">6.基金财产清算账册及文件的保存 </w:t>
      </w:r>
    </w:p>
    <w:p w14:paraId="67F599E7">
      <w:pPr>
        <w:pStyle w:val="8"/>
        <w:spacing w:before="0" w:beforeAutospacing="0" w:after="0" w:afterAutospacing="0" w:line="360" w:lineRule="auto"/>
        <w:ind w:firstLine="420"/>
        <w:rPr>
          <w:sz w:val="21"/>
          <w:szCs w:val="21"/>
        </w:rPr>
      </w:pPr>
      <w:bookmarkStart w:id="211" w:name="chapter_level1_23_72_section_1_end"/>
      <w:bookmarkEnd w:id="211"/>
      <w:r>
        <w:rPr>
          <w:rFonts w:hint="eastAsia"/>
          <w:sz w:val="21"/>
          <w:szCs w:val="21"/>
        </w:rPr>
        <w:t xml:space="preserve">基金财产清算账册及有关文件由基金托管人保存15年以上。 </w:t>
      </w:r>
    </w:p>
    <w:p w14:paraId="04FEBF36">
      <w:pPr>
        <w:widowControl/>
        <w:jc w:val="left"/>
        <w:rPr>
          <w:rFonts w:ascii="宋体" w:hAnsi="宋体" w:eastAsia="宋体"/>
        </w:rPr>
      </w:pPr>
      <w:r>
        <w:rPr>
          <w:rFonts w:ascii="宋体" w:hAnsi="宋体" w:eastAsia="宋体"/>
        </w:rPr>
        <w:br w:type="page"/>
      </w:r>
    </w:p>
    <w:p w14:paraId="5FA60D7C">
      <w:pPr>
        <w:pStyle w:val="2"/>
        <w:jc w:val="center"/>
        <w:rPr>
          <w:rFonts w:ascii="宋体" w:hAnsi="宋体" w:eastAsia="宋体"/>
          <w:sz w:val="30"/>
        </w:rPr>
      </w:pPr>
      <w:bookmarkStart w:id="212" w:name="_Toc239192447"/>
      <w:bookmarkStart w:id="213" w:name="chapter_level1_24_75"/>
      <w:r>
        <w:rPr>
          <w:rFonts w:hint="eastAsia" w:ascii="宋体" w:hAnsi="宋体" w:eastAsia="宋体"/>
          <w:sz w:val="30"/>
        </w:rPr>
        <w:t>第二十一部分  对基金份额持有人的服务</w:t>
      </w:r>
      <w:bookmarkEnd w:id="212"/>
      <w:bookmarkEnd w:id="213"/>
    </w:p>
    <w:p w14:paraId="48FAB8B8">
      <w:pPr>
        <w:pStyle w:val="8"/>
        <w:spacing w:before="0" w:beforeAutospacing="0" w:after="0" w:afterAutospacing="0" w:line="360" w:lineRule="auto"/>
        <w:ind w:firstLine="420"/>
        <w:rPr>
          <w:sz w:val="21"/>
          <w:szCs w:val="21"/>
        </w:rPr>
      </w:pPr>
      <w:bookmarkStart w:id="214" w:name="chapter_level1_24_75_section_1"/>
      <w:bookmarkEnd w:id="214"/>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7B478993">
      <w:pPr>
        <w:pStyle w:val="8"/>
        <w:spacing w:before="0" w:beforeAutospacing="0" w:after="0" w:afterAutospacing="0" w:line="360" w:lineRule="auto"/>
        <w:ind w:firstLine="420"/>
        <w:rPr>
          <w:sz w:val="21"/>
          <w:szCs w:val="21"/>
        </w:rPr>
      </w:pPr>
      <w:r>
        <w:rPr>
          <w:rStyle w:val="12"/>
          <w:rFonts w:hint="eastAsia"/>
          <w:sz w:val="21"/>
          <w:szCs w:val="21"/>
        </w:rPr>
        <w:t>一、持有人交易资料的寄送服务</w:t>
      </w:r>
    </w:p>
    <w:p w14:paraId="3412C103">
      <w:pPr>
        <w:pStyle w:val="8"/>
        <w:spacing w:before="0" w:beforeAutospacing="0" w:after="0" w:afterAutospacing="0" w:line="360" w:lineRule="auto"/>
        <w:ind w:firstLine="420"/>
        <w:rPr>
          <w:sz w:val="21"/>
          <w:szCs w:val="21"/>
        </w:rPr>
      </w:pPr>
      <w:r>
        <w:rPr>
          <w:rFonts w:hint="eastAsia"/>
          <w:sz w:val="21"/>
          <w:szCs w:val="21"/>
        </w:rPr>
        <w:t xml:space="preserve">1、交易确认单 </w:t>
      </w:r>
    </w:p>
    <w:p w14:paraId="2CEBFC92">
      <w:pPr>
        <w:pStyle w:val="8"/>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7A6946DD">
      <w:pPr>
        <w:pStyle w:val="8"/>
        <w:spacing w:before="0" w:beforeAutospacing="0" w:after="0" w:afterAutospacing="0" w:line="360" w:lineRule="auto"/>
        <w:ind w:firstLine="420"/>
        <w:rPr>
          <w:sz w:val="21"/>
          <w:szCs w:val="21"/>
        </w:rPr>
      </w:pPr>
      <w:r>
        <w:rPr>
          <w:rFonts w:hint="eastAsia"/>
          <w:sz w:val="21"/>
          <w:szCs w:val="21"/>
        </w:rPr>
        <w:t xml:space="preserve">2、电子对账单 </w:t>
      </w:r>
    </w:p>
    <w:p w14:paraId="37F7D713">
      <w:pPr>
        <w:pStyle w:val="8"/>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39CF7DE0">
      <w:pPr>
        <w:pStyle w:val="8"/>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14:paraId="18A0F544">
      <w:pPr>
        <w:pStyle w:val="8"/>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7DF7E92A">
      <w:pPr>
        <w:pStyle w:val="8"/>
        <w:spacing w:before="0" w:beforeAutospacing="0" w:after="0" w:afterAutospacing="0" w:line="360" w:lineRule="auto"/>
        <w:ind w:firstLine="420"/>
        <w:rPr>
          <w:sz w:val="21"/>
          <w:szCs w:val="21"/>
        </w:rPr>
      </w:pPr>
      <w:r>
        <w:rPr>
          <w:rStyle w:val="12"/>
          <w:rFonts w:hint="eastAsia"/>
          <w:sz w:val="21"/>
          <w:szCs w:val="21"/>
        </w:rPr>
        <w:t>二、网上理财服务</w:t>
      </w:r>
    </w:p>
    <w:p w14:paraId="0AAB634E">
      <w:pPr>
        <w:pStyle w:val="8"/>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0B01F75B">
      <w:pPr>
        <w:pStyle w:val="8"/>
        <w:spacing w:before="0" w:beforeAutospacing="0" w:after="0" w:afterAutospacing="0" w:line="360" w:lineRule="auto"/>
        <w:ind w:firstLine="420"/>
        <w:rPr>
          <w:sz w:val="21"/>
          <w:szCs w:val="21"/>
        </w:rPr>
      </w:pPr>
      <w:r>
        <w:rPr>
          <w:rFonts w:hint="eastAsia"/>
          <w:sz w:val="21"/>
          <w:szCs w:val="21"/>
        </w:rPr>
        <w:t xml:space="preserve">1、自助开户交易 </w:t>
      </w:r>
    </w:p>
    <w:p w14:paraId="48CC3562">
      <w:pPr>
        <w:pStyle w:val="8"/>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45C9983F">
      <w:pPr>
        <w:pStyle w:val="8"/>
        <w:spacing w:before="0" w:beforeAutospacing="0" w:after="0" w:afterAutospacing="0" w:line="360" w:lineRule="auto"/>
        <w:ind w:firstLine="420"/>
        <w:rPr>
          <w:sz w:val="21"/>
          <w:szCs w:val="21"/>
        </w:rPr>
      </w:pPr>
      <w:r>
        <w:rPr>
          <w:rFonts w:hint="eastAsia"/>
          <w:sz w:val="21"/>
          <w:szCs w:val="21"/>
        </w:rPr>
        <w:t xml:space="preserve">2、查询服务 </w:t>
      </w:r>
    </w:p>
    <w:p w14:paraId="789F3C34">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58C1C915">
      <w:pPr>
        <w:pStyle w:val="8"/>
        <w:spacing w:before="0" w:beforeAutospacing="0" w:after="0" w:afterAutospacing="0" w:line="360" w:lineRule="auto"/>
        <w:ind w:firstLine="420"/>
        <w:rPr>
          <w:sz w:val="21"/>
          <w:szCs w:val="21"/>
        </w:rPr>
      </w:pPr>
      <w:r>
        <w:rPr>
          <w:rFonts w:hint="eastAsia"/>
          <w:sz w:val="21"/>
          <w:szCs w:val="21"/>
        </w:rPr>
        <w:t xml:space="preserve">3、信息资讯服务 </w:t>
      </w:r>
    </w:p>
    <w:p w14:paraId="57FA56D8">
      <w:pPr>
        <w:pStyle w:val="8"/>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6954AC5C">
      <w:pPr>
        <w:pStyle w:val="8"/>
        <w:spacing w:before="0" w:beforeAutospacing="0" w:after="0" w:afterAutospacing="0" w:line="360" w:lineRule="auto"/>
        <w:ind w:firstLine="420"/>
        <w:rPr>
          <w:sz w:val="21"/>
          <w:szCs w:val="21"/>
        </w:rPr>
      </w:pPr>
      <w:r>
        <w:rPr>
          <w:rFonts w:hint="eastAsia"/>
          <w:sz w:val="21"/>
          <w:szCs w:val="21"/>
        </w:rPr>
        <w:t xml:space="preserve">4、在线客服 </w:t>
      </w:r>
    </w:p>
    <w:p w14:paraId="66A1CC7A">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265E2BAA">
      <w:pPr>
        <w:pStyle w:val="8"/>
        <w:spacing w:before="0" w:beforeAutospacing="0" w:after="0" w:afterAutospacing="0" w:line="360" w:lineRule="auto"/>
        <w:ind w:firstLine="420"/>
        <w:rPr>
          <w:sz w:val="21"/>
          <w:szCs w:val="21"/>
        </w:rPr>
      </w:pPr>
      <w:r>
        <w:rPr>
          <w:rStyle w:val="12"/>
          <w:rFonts w:hint="eastAsia"/>
          <w:sz w:val="21"/>
          <w:szCs w:val="21"/>
        </w:rPr>
        <w:t>三、短信服务</w:t>
      </w:r>
    </w:p>
    <w:p w14:paraId="3F433F27">
      <w:pPr>
        <w:pStyle w:val="8"/>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01886C48">
      <w:pPr>
        <w:pStyle w:val="8"/>
        <w:spacing w:before="0" w:beforeAutospacing="0" w:after="0" w:afterAutospacing="0" w:line="360" w:lineRule="auto"/>
        <w:ind w:firstLine="420"/>
        <w:rPr>
          <w:sz w:val="21"/>
          <w:szCs w:val="21"/>
        </w:rPr>
      </w:pPr>
      <w:r>
        <w:rPr>
          <w:rStyle w:val="12"/>
          <w:rFonts w:hint="eastAsia"/>
          <w:sz w:val="21"/>
          <w:szCs w:val="21"/>
        </w:rPr>
        <w:t>四、电子邮件服务</w:t>
      </w:r>
    </w:p>
    <w:p w14:paraId="043D8AAD">
      <w:pPr>
        <w:pStyle w:val="8"/>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43F47426">
      <w:pPr>
        <w:pStyle w:val="8"/>
        <w:spacing w:before="0" w:beforeAutospacing="0" w:after="0" w:afterAutospacing="0" w:line="360" w:lineRule="auto"/>
        <w:ind w:firstLine="420"/>
        <w:rPr>
          <w:sz w:val="21"/>
          <w:szCs w:val="21"/>
        </w:rPr>
      </w:pPr>
      <w:r>
        <w:rPr>
          <w:rStyle w:val="12"/>
          <w:rFonts w:hint="eastAsia"/>
          <w:sz w:val="21"/>
          <w:szCs w:val="21"/>
        </w:rPr>
        <w:t>五、手机理财服务</w:t>
      </w:r>
    </w:p>
    <w:p w14:paraId="35782A6B">
      <w:pPr>
        <w:pStyle w:val="8"/>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688E106B">
      <w:pPr>
        <w:pStyle w:val="8"/>
        <w:spacing w:before="0" w:beforeAutospacing="0" w:after="0" w:afterAutospacing="0" w:line="360" w:lineRule="auto"/>
        <w:ind w:firstLine="420"/>
        <w:rPr>
          <w:sz w:val="21"/>
          <w:szCs w:val="21"/>
        </w:rPr>
      </w:pPr>
      <w:r>
        <w:rPr>
          <w:rStyle w:val="12"/>
          <w:rFonts w:hint="eastAsia"/>
          <w:sz w:val="21"/>
          <w:szCs w:val="21"/>
        </w:rPr>
        <w:t>六、信息订阅服务</w:t>
      </w:r>
    </w:p>
    <w:p w14:paraId="33A72B3F">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6C95575F">
      <w:pPr>
        <w:pStyle w:val="8"/>
        <w:spacing w:before="0" w:beforeAutospacing="0" w:after="0" w:afterAutospacing="0" w:line="360" w:lineRule="auto"/>
        <w:ind w:firstLine="420"/>
        <w:rPr>
          <w:sz w:val="21"/>
          <w:szCs w:val="21"/>
        </w:rPr>
      </w:pPr>
      <w:r>
        <w:rPr>
          <w:rStyle w:val="12"/>
          <w:rFonts w:hint="eastAsia"/>
          <w:sz w:val="21"/>
          <w:szCs w:val="21"/>
        </w:rPr>
        <w:t>七、电话理财服务</w:t>
      </w:r>
    </w:p>
    <w:p w14:paraId="5D9B5FE1">
      <w:pPr>
        <w:pStyle w:val="8"/>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5BFB32F1">
      <w:pPr>
        <w:pStyle w:val="8"/>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2D311813">
      <w:pPr>
        <w:pStyle w:val="8"/>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6E82C74E">
      <w:pPr>
        <w:pStyle w:val="8"/>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6763F538">
      <w:pPr>
        <w:pStyle w:val="8"/>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64A5F8A3">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14:paraId="281CDC48">
      <w:pPr>
        <w:pStyle w:val="8"/>
        <w:spacing w:before="0" w:beforeAutospacing="0" w:after="0" w:afterAutospacing="0" w:line="360" w:lineRule="auto"/>
        <w:ind w:firstLine="420"/>
        <w:rPr>
          <w:sz w:val="21"/>
          <w:szCs w:val="21"/>
        </w:rPr>
      </w:pPr>
      <w:r>
        <w:rPr>
          <w:rFonts w:hint="eastAsia"/>
          <w:sz w:val="21"/>
          <w:szCs w:val="21"/>
        </w:rPr>
        <w:t xml:space="preserve">公司网址：www.bosera.com </w:t>
      </w:r>
    </w:p>
    <w:p w14:paraId="05508A8B">
      <w:pPr>
        <w:pStyle w:val="8"/>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07EC309B">
      <w:pPr>
        <w:pStyle w:val="8"/>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06CE821A">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九、如本招募说明书存在任何您/贵机构无法理解的内容，请通过上述方式联系基金管</w:t>
      </w:r>
      <w:bookmarkStart w:id="215" w:name="chapter_level1_24_75_section_1_end"/>
      <w:bookmarkEnd w:id="215"/>
      <w:r>
        <w:rPr>
          <w:rStyle w:val="12"/>
          <w:rFonts w:hint="eastAsia"/>
          <w:sz w:val="21"/>
          <w:szCs w:val="21"/>
        </w:rPr>
        <w:t>理人。请确保投资前，您/贵机构已经全面理解了本招募说明书。</w:t>
      </w:r>
    </w:p>
    <w:p w14:paraId="24D1ECC5">
      <w:pPr>
        <w:widowControl/>
        <w:jc w:val="left"/>
        <w:rPr>
          <w:rFonts w:ascii="宋体" w:hAnsi="宋体" w:eastAsia="宋体"/>
        </w:rPr>
      </w:pPr>
      <w:r>
        <w:rPr>
          <w:rFonts w:ascii="宋体" w:hAnsi="宋体" w:eastAsia="宋体"/>
        </w:rPr>
        <w:br w:type="page"/>
      </w:r>
    </w:p>
    <w:p w14:paraId="61F5A536">
      <w:pPr>
        <w:pStyle w:val="2"/>
        <w:jc w:val="center"/>
        <w:rPr>
          <w:rFonts w:ascii="宋体" w:hAnsi="宋体" w:eastAsia="宋体"/>
          <w:sz w:val="30"/>
        </w:rPr>
      </w:pPr>
      <w:bookmarkStart w:id="216" w:name="_Toc239192448"/>
      <w:bookmarkStart w:id="217" w:name="chapter_level1_25_3499"/>
      <w:r>
        <w:rPr>
          <w:rFonts w:hint="eastAsia" w:ascii="宋体" w:hAnsi="宋体" w:eastAsia="宋体"/>
          <w:sz w:val="30"/>
        </w:rPr>
        <w:t>第二十二部分 其他应披露的事项</w:t>
      </w:r>
      <w:bookmarkEnd w:id="216"/>
      <w:bookmarkEnd w:id="217"/>
    </w:p>
    <w:p w14:paraId="7AA33495">
      <w:pPr>
        <w:pStyle w:val="8"/>
        <w:spacing w:before="0" w:beforeAutospacing="0" w:after="0" w:afterAutospacing="0" w:line="360" w:lineRule="auto"/>
        <w:ind w:firstLine="420"/>
        <w:rPr>
          <w:sz w:val="21"/>
          <w:szCs w:val="21"/>
        </w:rPr>
      </w:pPr>
      <w:bookmarkStart w:id="218" w:name="chapter_level1_25_3499_section_1"/>
      <w:bookmarkEnd w:id="218"/>
      <w:bookmarkStart w:id="219" w:name="field_0_bsrevealinfo_1_start"/>
      <w:bookmarkEnd w:id="219"/>
      <w:r>
        <w:rPr>
          <w:rFonts w:hint="eastAsia"/>
          <w:sz w:val="21"/>
          <w:szCs w:val="21"/>
        </w:rPr>
        <w:t>（一）、2026年8月31日，我公司公告了《博时民丰纯债债券型证券投资基金2026年中期报告》；</w:t>
      </w:r>
    </w:p>
    <w:p w14:paraId="0F1F3D19">
      <w:pPr>
        <w:pStyle w:val="8"/>
        <w:spacing w:before="0" w:beforeAutospacing="0" w:after="0" w:afterAutospacing="0" w:line="360" w:lineRule="auto"/>
        <w:ind w:firstLine="420"/>
        <w:rPr>
          <w:sz w:val="21"/>
          <w:szCs w:val="21"/>
        </w:rPr>
      </w:pPr>
      <w:r>
        <w:rPr>
          <w:rFonts w:hint="eastAsia"/>
          <w:sz w:val="21"/>
          <w:szCs w:val="21"/>
        </w:rPr>
        <w:t>（二）、2026年7月27日，我公司公告了《博时民丰纯债债券型证券投资基金更新招募说明书》、《博时民丰纯债债券型证券投资基金（博时民丰纯债债券C）基金产品资料概要更新》、《博时民丰纯债债券型证券投资基金（博时民丰纯债债券A）基金产品资料概要更新》；</w:t>
      </w:r>
    </w:p>
    <w:p w14:paraId="6F59F7CE">
      <w:pPr>
        <w:pStyle w:val="8"/>
        <w:spacing w:before="0" w:beforeAutospacing="0" w:after="0" w:afterAutospacing="0" w:line="360" w:lineRule="auto"/>
        <w:ind w:firstLine="420"/>
        <w:rPr>
          <w:sz w:val="21"/>
          <w:szCs w:val="21"/>
        </w:rPr>
      </w:pPr>
      <w:r>
        <w:rPr>
          <w:rFonts w:hint="eastAsia"/>
          <w:sz w:val="21"/>
          <w:szCs w:val="21"/>
        </w:rPr>
        <w:t>（三）、2026年7月21日，我公司公告了《博时基金管理有限公司关于运用公司固有资金投资旗下混合基金的公告》、《博时民丰纯债债券型证券投资基金2026年第2季度报告》；</w:t>
      </w:r>
    </w:p>
    <w:p w14:paraId="4EDD601C">
      <w:pPr>
        <w:pStyle w:val="8"/>
        <w:spacing w:before="0" w:beforeAutospacing="0" w:after="0" w:afterAutospacing="0" w:line="360" w:lineRule="auto"/>
        <w:ind w:firstLine="420"/>
        <w:rPr>
          <w:sz w:val="21"/>
          <w:szCs w:val="21"/>
        </w:rPr>
      </w:pPr>
      <w:r>
        <w:rPr>
          <w:rFonts w:hint="eastAsia"/>
          <w:sz w:val="21"/>
          <w:szCs w:val="21"/>
        </w:rPr>
        <w:t>（四）、2026年7月20日，我公司公告了《博时基金管理有限公司关于运用公司固有资金投资旗下权益类公募基金的公告》；</w:t>
      </w:r>
    </w:p>
    <w:p w14:paraId="2C26432F">
      <w:pPr>
        <w:pStyle w:val="8"/>
        <w:spacing w:before="0" w:beforeAutospacing="0" w:after="0" w:afterAutospacing="0" w:line="360" w:lineRule="auto"/>
        <w:ind w:firstLine="420"/>
        <w:rPr>
          <w:sz w:val="21"/>
          <w:szCs w:val="21"/>
        </w:rPr>
      </w:pPr>
      <w:r>
        <w:rPr>
          <w:rFonts w:hint="eastAsia"/>
          <w:sz w:val="21"/>
          <w:szCs w:val="21"/>
        </w:rPr>
        <w:t>（五）、2026年7月14日，我公司公告了《博时基金管理有限公司关于旗下基金持有的长期停牌股票调整估值方法的公告》；</w:t>
      </w:r>
    </w:p>
    <w:p w14:paraId="339DCC33">
      <w:pPr>
        <w:pStyle w:val="8"/>
        <w:spacing w:before="0" w:beforeAutospacing="0" w:after="0" w:afterAutospacing="0" w:line="360" w:lineRule="auto"/>
        <w:ind w:firstLine="420"/>
        <w:rPr>
          <w:sz w:val="21"/>
          <w:szCs w:val="21"/>
        </w:rPr>
      </w:pPr>
      <w:r>
        <w:rPr>
          <w:rFonts w:hint="eastAsia"/>
          <w:sz w:val="21"/>
          <w:szCs w:val="21"/>
        </w:rPr>
        <w:t>（六）、2026年6月26日，我公司公告了《博时民丰纯债债券型证券投资基金基金合同》、《博时基金管理有限公司关于旗下部分基金调整业绩比较基准并修订基金合同等法律文件的公告》、《博时民丰纯债债券型证券投资基金（博时民丰纯债债券C）基金产品资料概要更新》、《博时民丰纯债债券型证券投资基金（博时民丰纯债债券A）基金产品资料概要更新》；</w:t>
      </w:r>
    </w:p>
    <w:p w14:paraId="6F7D7371">
      <w:pPr>
        <w:pStyle w:val="8"/>
        <w:spacing w:before="0" w:beforeAutospacing="0" w:after="0" w:afterAutospacing="0" w:line="360" w:lineRule="auto"/>
        <w:ind w:firstLine="420"/>
        <w:rPr>
          <w:sz w:val="21"/>
          <w:szCs w:val="21"/>
        </w:rPr>
      </w:pPr>
      <w:r>
        <w:rPr>
          <w:rFonts w:hint="eastAsia"/>
          <w:sz w:val="21"/>
          <w:szCs w:val="21"/>
        </w:rPr>
        <w:t>（七）、2026年5月29日，我公司公告了《博时基金管理有限公司关于终止中证金牛（北京）基金销售有限公司办理旗下基金销售业务的公告》；</w:t>
      </w:r>
    </w:p>
    <w:p w14:paraId="7E2CE667">
      <w:pPr>
        <w:pStyle w:val="8"/>
        <w:spacing w:before="0" w:beforeAutospacing="0" w:after="0" w:afterAutospacing="0" w:line="360" w:lineRule="auto"/>
        <w:ind w:firstLine="420"/>
        <w:rPr>
          <w:sz w:val="21"/>
          <w:szCs w:val="21"/>
        </w:rPr>
      </w:pPr>
      <w:r>
        <w:rPr>
          <w:rFonts w:hint="eastAsia"/>
          <w:sz w:val="21"/>
          <w:szCs w:val="21"/>
        </w:rPr>
        <w:t>（八）、2026年4月30日，我公司公告了《2025年度博时基金以股东身份（通过公募基金持股）参与股东大会投票信息披露》；</w:t>
      </w:r>
    </w:p>
    <w:p w14:paraId="0A345CEA">
      <w:pPr>
        <w:pStyle w:val="8"/>
        <w:spacing w:before="0" w:beforeAutospacing="0" w:after="0" w:afterAutospacing="0" w:line="360" w:lineRule="auto"/>
        <w:ind w:firstLine="420"/>
        <w:rPr>
          <w:sz w:val="21"/>
          <w:szCs w:val="21"/>
        </w:rPr>
      </w:pPr>
      <w:r>
        <w:rPr>
          <w:rFonts w:hint="eastAsia"/>
          <w:sz w:val="21"/>
          <w:szCs w:val="21"/>
        </w:rPr>
        <w:t>（九）、2026年4月22日，我公司公告了《博时民丰纯债债券型证券投资基金2026年第1季度报告》；</w:t>
      </w:r>
    </w:p>
    <w:p w14:paraId="2681A4A9">
      <w:pPr>
        <w:pStyle w:val="8"/>
        <w:spacing w:before="0" w:beforeAutospacing="0" w:after="0" w:afterAutospacing="0" w:line="360" w:lineRule="auto"/>
        <w:ind w:firstLine="420"/>
        <w:rPr>
          <w:sz w:val="21"/>
          <w:szCs w:val="21"/>
        </w:rPr>
      </w:pPr>
      <w:r>
        <w:rPr>
          <w:rFonts w:hint="eastAsia"/>
          <w:sz w:val="21"/>
          <w:szCs w:val="21"/>
        </w:rPr>
        <w:t>（十）、2026年3月31日，我公司公告了《博时基金管理有限公司旗下公募基金通过证券公司证券交易及佣金支付情况（2025年度）》、《博时民丰纯债债券型证券投资基金2025年年度报告》；</w:t>
      </w:r>
    </w:p>
    <w:p w14:paraId="0B09D0FE">
      <w:pPr>
        <w:pStyle w:val="8"/>
        <w:spacing w:before="0" w:beforeAutospacing="0" w:after="0" w:afterAutospacing="0" w:line="360" w:lineRule="auto"/>
        <w:ind w:firstLine="420"/>
        <w:rPr>
          <w:sz w:val="21"/>
          <w:szCs w:val="21"/>
        </w:rPr>
      </w:pPr>
      <w:r>
        <w:rPr>
          <w:rFonts w:hint="eastAsia"/>
          <w:sz w:val="21"/>
          <w:szCs w:val="21"/>
        </w:rPr>
        <w:t>（十一）、2026年2月26日，我公司公告了《博时基金管理有限公司关于旗下基金持有的长期停牌股票调整估值方法的公告》；</w:t>
      </w:r>
    </w:p>
    <w:p w14:paraId="537B4E29">
      <w:pPr>
        <w:pStyle w:val="8"/>
        <w:spacing w:before="0" w:beforeAutospacing="0" w:after="0" w:afterAutospacing="0" w:line="360" w:lineRule="auto"/>
        <w:ind w:firstLine="420"/>
        <w:rPr>
          <w:sz w:val="21"/>
          <w:szCs w:val="21"/>
        </w:rPr>
      </w:pPr>
      <w:r>
        <w:rPr>
          <w:rFonts w:hint="eastAsia"/>
          <w:sz w:val="21"/>
          <w:szCs w:val="21"/>
        </w:rPr>
        <w:t>（十二）、2026年2月14日，我公司公告了《博时基金管理有限公司关于高级管理人员变更的公告》；</w:t>
      </w:r>
    </w:p>
    <w:p w14:paraId="254FDC70">
      <w:pPr>
        <w:pStyle w:val="8"/>
        <w:spacing w:before="0" w:beforeAutospacing="0" w:after="0" w:afterAutospacing="0" w:line="360" w:lineRule="auto"/>
        <w:ind w:firstLine="420"/>
        <w:rPr>
          <w:sz w:val="21"/>
          <w:szCs w:val="21"/>
        </w:rPr>
      </w:pPr>
      <w:r>
        <w:rPr>
          <w:rFonts w:hint="eastAsia"/>
          <w:sz w:val="21"/>
          <w:szCs w:val="21"/>
        </w:rPr>
        <w:t>（十三）、2026年1月24日，我公司公告了《博时基金管理有限公司关于旗下基金持有的长期停牌股票调整估值方法的公告-20260124》；</w:t>
      </w:r>
    </w:p>
    <w:p w14:paraId="6208CCB6">
      <w:pPr>
        <w:pStyle w:val="8"/>
        <w:spacing w:before="0" w:beforeAutospacing="0" w:after="0" w:afterAutospacing="0" w:line="360" w:lineRule="auto"/>
        <w:ind w:firstLine="420"/>
        <w:rPr>
          <w:sz w:val="21"/>
          <w:szCs w:val="21"/>
        </w:rPr>
      </w:pPr>
      <w:r>
        <w:rPr>
          <w:rFonts w:hint="eastAsia"/>
          <w:sz w:val="21"/>
          <w:szCs w:val="21"/>
        </w:rPr>
        <w:t>（十四）、2026年1月22日，我公司公告了《博时民丰纯债债券型证券投资基金2025年第4季度报告》；</w:t>
      </w:r>
    </w:p>
    <w:p w14:paraId="01889BF3">
      <w:pPr>
        <w:pStyle w:val="8"/>
        <w:spacing w:before="0" w:beforeAutospacing="0" w:after="0" w:afterAutospacing="0" w:line="360" w:lineRule="auto"/>
        <w:ind w:firstLine="420"/>
        <w:rPr>
          <w:sz w:val="21"/>
          <w:szCs w:val="21"/>
        </w:rPr>
      </w:pPr>
      <w:r>
        <w:rPr>
          <w:rFonts w:hint="eastAsia"/>
          <w:sz w:val="21"/>
          <w:szCs w:val="21"/>
        </w:rPr>
        <w:t>（十五）、2025年12月31日，我公司公告了《博时基金管理有限公司关于暂停使用富友支付提供的快捷支付通道办理直销网上交易部分业务的公告》；</w:t>
      </w:r>
    </w:p>
    <w:p w14:paraId="3BEEFE8D">
      <w:pPr>
        <w:pStyle w:val="8"/>
        <w:spacing w:before="0" w:beforeAutospacing="0" w:after="0" w:afterAutospacing="0" w:line="360" w:lineRule="auto"/>
        <w:ind w:firstLine="420"/>
        <w:rPr>
          <w:sz w:val="21"/>
          <w:szCs w:val="21"/>
        </w:rPr>
      </w:pPr>
      <w:r>
        <w:rPr>
          <w:rFonts w:hint="eastAsia"/>
          <w:sz w:val="21"/>
          <w:szCs w:val="21"/>
        </w:rPr>
        <w:t>（十六）、2025年12月6日，我公司公告了《博时基金管理有限公司关于终止北京微动利基金销售有限公司办理旗下基金相关销售业务的公告》；</w:t>
      </w:r>
    </w:p>
    <w:p w14:paraId="34504207">
      <w:pPr>
        <w:pStyle w:val="8"/>
        <w:spacing w:before="0" w:beforeAutospacing="0" w:after="0" w:afterAutospacing="0" w:line="360" w:lineRule="auto"/>
        <w:ind w:firstLine="420"/>
        <w:rPr>
          <w:sz w:val="21"/>
          <w:szCs w:val="21"/>
        </w:rPr>
      </w:pPr>
      <w:r>
        <w:rPr>
          <w:rFonts w:hint="eastAsia"/>
          <w:sz w:val="21"/>
          <w:szCs w:val="21"/>
        </w:rPr>
        <w:t>（十七）、2025年11月12日，我公司公告了《博时基金管理有限公司关于高级管理人员变更的公告》；</w:t>
      </w:r>
    </w:p>
    <w:p w14:paraId="6A9DADCA">
      <w:pPr>
        <w:pStyle w:val="8"/>
        <w:spacing w:before="0" w:beforeAutospacing="0" w:after="0" w:afterAutospacing="0" w:line="360" w:lineRule="auto"/>
        <w:ind w:firstLine="420"/>
        <w:rPr>
          <w:sz w:val="21"/>
          <w:szCs w:val="21"/>
        </w:rPr>
      </w:pPr>
      <w:r>
        <w:rPr>
          <w:rFonts w:hint="eastAsia"/>
          <w:sz w:val="21"/>
          <w:szCs w:val="21"/>
        </w:rPr>
        <w:t>（十八）、2025年11月8日，我公司公告了《博时民丰纯债债券型证券投资基金分红公告》；</w:t>
      </w:r>
    </w:p>
    <w:p w14:paraId="0BBE6126">
      <w:pPr>
        <w:pStyle w:val="8"/>
        <w:spacing w:before="0" w:beforeAutospacing="0" w:after="0" w:afterAutospacing="0" w:line="360" w:lineRule="auto"/>
        <w:ind w:firstLine="420"/>
        <w:rPr>
          <w:sz w:val="21"/>
          <w:szCs w:val="21"/>
        </w:rPr>
      </w:pPr>
      <w:r>
        <w:rPr>
          <w:rFonts w:hint="eastAsia"/>
          <w:sz w:val="21"/>
          <w:szCs w:val="21"/>
        </w:rPr>
        <w:t>（十九）、2025年10月28日，我公司公告了《博时民丰纯债债券型证券投资基金2025年第3季度报告》；</w:t>
      </w:r>
    </w:p>
    <w:p w14:paraId="7C9DCB2F">
      <w:pPr>
        <w:pStyle w:val="8"/>
        <w:spacing w:before="0" w:beforeAutospacing="0" w:after="0" w:afterAutospacing="0" w:line="360" w:lineRule="auto"/>
        <w:ind w:firstLine="420"/>
        <w:rPr>
          <w:sz w:val="21"/>
          <w:szCs w:val="21"/>
        </w:rPr>
      </w:pPr>
      <w:r>
        <w:rPr>
          <w:rFonts w:hint="eastAsia"/>
          <w:sz w:val="21"/>
          <w:szCs w:val="21"/>
        </w:rPr>
        <w:t>（二十）、2025年10月16日，我公司公告了《博时基金管理有限公司关于高级管理人员变更的公告》；</w:t>
      </w:r>
    </w:p>
    <w:p w14:paraId="02335FBE">
      <w:pPr>
        <w:pStyle w:val="8"/>
        <w:spacing w:before="0" w:beforeAutospacing="0" w:after="0" w:afterAutospacing="0" w:line="360" w:lineRule="auto"/>
        <w:ind w:firstLine="420"/>
        <w:rPr>
          <w:sz w:val="21"/>
          <w:szCs w:val="21"/>
        </w:rPr>
      </w:pPr>
      <w:r>
        <w:rPr>
          <w:rFonts w:hint="eastAsia"/>
          <w:sz w:val="21"/>
          <w:szCs w:val="21"/>
        </w:rPr>
        <w:t>（二十一）、2025年9月30日，我公司公告了《博时民丰纯债债券型证券投资基金更新招募说明书》；</w:t>
      </w:r>
    </w:p>
    <w:p w14:paraId="72EBF742">
      <w:pPr>
        <w:pStyle w:val="8"/>
        <w:spacing w:before="0" w:beforeAutospacing="0" w:after="0" w:afterAutospacing="0" w:line="360" w:lineRule="auto"/>
        <w:ind w:firstLine="420"/>
        <w:rPr>
          <w:sz w:val="21"/>
          <w:szCs w:val="21"/>
        </w:rPr>
      </w:pPr>
      <w:r>
        <w:rPr>
          <w:rFonts w:hint="eastAsia"/>
          <w:sz w:val="21"/>
          <w:szCs w:val="21"/>
        </w:rPr>
        <w:t>（二十二）、2025年9月19日，我公司公告了《博时民丰纯债债券型证券投资基金调整大额申购、转换转入、定期定额投资业务的公告》；</w:t>
      </w:r>
    </w:p>
    <w:p w14:paraId="001AA0DB">
      <w:pPr>
        <w:pStyle w:val="8"/>
        <w:spacing w:before="0" w:beforeAutospacing="0" w:after="0" w:afterAutospacing="0" w:line="360" w:lineRule="auto"/>
        <w:ind w:firstLine="420"/>
        <w:rPr>
          <w:sz w:val="21"/>
          <w:szCs w:val="21"/>
        </w:rPr>
      </w:pPr>
      <w:r>
        <w:rPr>
          <w:rFonts w:hint="eastAsia"/>
          <w:sz w:val="21"/>
          <w:szCs w:val="21"/>
        </w:rPr>
        <w:t>（二十三）、2025年9月4日，我公司公告了《博时基金管理有限公司关于旗下基金</w:t>
      </w:r>
      <w:bookmarkStart w:id="220" w:name="chapter_level1_25_3499_section_1_end"/>
      <w:bookmarkEnd w:id="220"/>
      <w:r>
        <w:rPr>
          <w:rFonts w:hint="eastAsia"/>
          <w:sz w:val="21"/>
          <w:szCs w:val="21"/>
        </w:rPr>
        <w:t>持有的长期停牌股票调整估值方法的公告》。</w:t>
      </w:r>
      <w:bookmarkStart w:id="221" w:name="field_0_bsrevealinfo_1_end"/>
      <w:bookmarkEnd w:id="221"/>
      <w:r>
        <w:rPr>
          <w:rFonts w:hint="eastAsia"/>
          <w:sz w:val="21"/>
          <w:szCs w:val="21"/>
        </w:rPr>
        <w:t xml:space="preserve">  </w:t>
      </w:r>
    </w:p>
    <w:p w14:paraId="060063A3">
      <w:pPr>
        <w:widowControl/>
        <w:jc w:val="left"/>
        <w:rPr>
          <w:rFonts w:ascii="宋体" w:hAnsi="宋体" w:eastAsia="宋体"/>
        </w:rPr>
      </w:pPr>
      <w:r>
        <w:rPr>
          <w:rFonts w:ascii="宋体" w:hAnsi="宋体" w:eastAsia="宋体"/>
        </w:rPr>
        <w:br w:type="page"/>
      </w:r>
    </w:p>
    <w:p w14:paraId="0883F23E">
      <w:pPr>
        <w:pStyle w:val="2"/>
        <w:jc w:val="center"/>
        <w:rPr>
          <w:rFonts w:ascii="宋体" w:hAnsi="宋体" w:eastAsia="宋体"/>
          <w:sz w:val="30"/>
        </w:rPr>
      </w:pPr>
      <w:bookmarkStart w:id="222" w:name="chapter_level1_26_77"/>
      <w:bookmarkStart w:id="223" w:name="_Toc239192449"/>
      <w:r>
        <w:rPr>
          <w:rFonts w:hint="eastAsia" w:ascii="宋体" w:hAnsi="宋体" w:eastAsia="宋体"/>
          <w:sz w:val="30"/>
        </w:rPr>
        <w:t>第二十三部分  招募说明书存放及查阅方式</w:t>
      </w:r>
      <w:bookmarkEnd w:id="222"/>
      <w:bookmarkEnd w:id="223"/>
    </w:p>
    <w:p w14:paraId="4C329ECD">
      <w:pPr>
        <w:pStyle w:val="8"/>
        <w:spacing w:before="0" w:beforeAutospacing="0" w:after="0" w:afterAutospacing="0" w:line="360" w:lineRule="auto"/>
        <w:ind w:firstLine="420"/>
        <w:rPr>
          <w:sz w:val="21"/>
          <w:szCs w:val="21"/>
        </w:rPr>
      </w:pPr>
      <w:bookmarkStart w:id="224" w:name="chapter_level1_26_77_section_1"/>
      <w:bookmarkEnd w:id="224"/>
      <w:r>
        <w:rPr>
          <w:rFonts w:hint="eastAsia"/>
          <w:sz w:val="21"/>
          <w:szCs w:val="21"/>
        </w:rPr>
        <w:t xml:space="preserve">依法必须披露的信息发布后，基金管理人、基金托管人应当按照相关法律法规规定将信息置备于各自住所，供社会公众查阅、复制；投资人在支付工本费后，可在合理时间内取得上述文件复制件或复印件。对投资人按此种方式所获得的文件及其复印件，基金管理人保证文本的内容与所公告的内容完全一致。  </w:t>
      </w:r>
    </w:p>
    <w:p w14:paraId="21C7ACED">
      <w:pPr>
        <w:pStyle w:val="8"/>
        <w:spacing w:before="0" w:beforeAutospacing="0" w:after="0" w:afterAutospacing="0" w:line="360" w:lineRule="auto"/>
        <w:ind w:firstLine="420"/>
        <w:rPr>
          <w:sz w:val="21"/>
          <w:szCs w:val="21"/>
        </w:rPr>
      </w:pPr>
      <w:bookmarkStart w:id="225" w:name="chapter_level1_26_77_section_1_end"/>
      <w:bookmarkEnd w:id="225"/>
      <w:r>
        <w:rPr>
          <w:rFonts w:hint="eastAsia"/>
          <w:sz w:val="21"/>
          <w:szCs w:val="21"/>
        </w:rPr>
        <w:t xml:space="preserve">投资人还可以直接登录基金管理人的网站（www.bosera.com）查阅和下载招募说明书。 </w:t>
      </w:r>
    </w:p>
    <w:p w14:paraId="52D94101">
      <w:pPr>
        <w:widowControl/>
        <w:jc w:val="left"/>
        <w:rPr>
          <w:rFonts w:ascii="宋体" w:hAnsi="宋体" w:eastAsia="宋体"/>
        </w:rPr>
      </w:pPr>
      <w:r>
        <w:rPr>
          <w:rFonts w:ascii="宋体" w:hAnsi="宋体" w:eastAsia="宋体"/>
        </w:rPr>
        <w:br w:type="page"/>
      </w:r>
    </w:p>
    <w:p w14:paraId="408FF146">
      <w:pPr>
        <w:pStyle w:val="2"/>
        <w:jc w:val="center"/>
        <w:rPr>
          <w:rFonts w:ascii="宋体" w:hAnsi="宋体" w:eastAsia="宋体"/>
          <w:sz w:val="30"/>
        </w:rPr>
      </w:pPr>
      <w:bookmarkStart w:id="226" w:name="_Toc239192450"/>
      <w:bookmarkStart w:id="227" w:name="chapter_level1_27_332"/>
      <w:r>
        <w:rPr>
          <w:rFonts w:hint="eastAsia" w:ascii="宋体" w:hAnsi="宋体" w:eastAsia="宋体"/>
          <w:sz w:val="30"/>
        </w:rPr>
        <w:t>第二十四部分  备查文件</w:t>
      </w:r>
      <w:bookmarkEnd w:id="226"/>
      <w:bookmarkEnd w:id="227"/>
    </w:p>
    <w:p w14:paraId="66E04C69">
      <w:pPr>
        <w:pStyle w:val="8"/>
        <w:spacing w:before="0" w:beforeAutospacing="0" w:after="0" w:afterAutospacing="0" w:line="360" w:lineRule="auto"/>
        <w:ind w:firstLine="420"/>
        <w:rPr>
          <w:sz w:val="21"/>
          <w:szCs w:val="21"/>
        </w:rPr>
      </w:pPr>
      <w:bookmarkStart w:id="228" w:name="chapter_level1_27_332_section_1"/>
      <w:bookmarkEnd w:id="228"/>
      <w:r>
        <w:rPr>
          <w:rFonts w:hint="eastAsia"/>
          <w:sz w:val="21"/>
          <w:szCs w:val="21"/>
        </w:rPr>
        <w:t xml:space="preserve">以下备查文件存放在基金管理人的办公场所，在办公时间可供免费查阅。  </w:t>
      </w:r>
    </w:p>
    <w:p w14:paraId="18FD2951">
      <w:pPr>
        <w:pStyle w:val="8"/>
        <w:spacing w:before="0" w:beforeAutospacing="0" w:after="0" w:afterAutospacing="0" w:line="360" w:lineRule="auto"/>
        <w:ind w:firstLine="420"/>
        <w:rPr>
          <w:sz w:val="21"/>
          <w:szCs w:val="21"/>
        </w:rPr>
      </w:pPr>
      <w:r>
        <w:rPr>
          <w:rFonts w:hint="eastAsia"/>
          <w:sz w:val="21"/>
          <w:szCs w:val="21"/>
        </w:rPr>
        <w:t>（一）中国证监会准予</w:t>
      </w:r>
      <w:bookmarkStart w:id="229" w:name="field_0_productfullname_14"/>
      <w:r>
        <w:rPr>
          <w:rFonts w:hint="eastAsia"/>
          <w:sz w:val="21"/>
          <w:szCs w:val="21"/>
        </w:rPr>
        <w:t>博时民丰纯债债券型证券投资基金</w:t>
      </w:r>
      <w:bookmarkEnd w:id="229"/>
      <w:r>
        <w:rPr>
          <w:rFonts w:hint="eastAsia"/>
          <w:sz w:val="21"/>
          <w:szCs w:val="21"/>
        </w:rPr>
        <w:t xml:space="preserve">募集的文件 </w:t>
      </w:r>
    </w:p>
    <w:p w14:paraId="16B8D25A">
      <w:pPr>
        <w:pStyle w:val="8"/>
        <w:spacing w:before="0" w:beforeAutospacing="0" w:after="0" w:afterAutospacing="0" w:line="360" w:lineRule="auto"/>
        <w:ind w:firstLine="420"/>
        <w:rPr>
          <w:sz w:val="21"/>
          <w:szCs w:val="21"/>
        </w:rPr>
      </w:pPr>
      <w:r>
        <w:rPr>
          <w:rFonts w:hint="eastAsia"/>
          <w:sz w:val="21"/>
          <w:szCs w:val="21"/>
        </w:rPr>
        <w:t>（二）《</w:t>
      </w:r>
      <w:bookmarkStart w:id="230" w:name="field_0_productfullname_15"/>
      <w:r>
        <w:rPr>
          <w:rFonts w:hint="eastAsia"/>
          <w:sz w:val="21"/>
          <w:szCs w:val="21"/>
        </w:rPr>
        <w:t>博时民丰纯债债券型证券投资基金</w:t>
      </w:r>
      <w:bookmarkEnd w:id="230"/>
      <w:r>
        <w:rPr>
          <w:rFonts w:hint="eastAsia"/>
          <w:sz w:val="21"/>
          <w:szCs w:val="21"/>
        </w:rPr>
        <w:t xml:space="preserve">基金合同》 </w:t>
      </w:r>
    </w:p>
    <w:p w14:paraId="64D83F6A">
      <w:pPr>
        <w:pStyle w:val="8"/>
        <w:spacing w:before="0" w:beforeAutospacing="0" w:after="0" w:afterAutospacing="0" w:line="360" w:lineRule="auto"/>
        <w:ind w:firstLine="420"/>
        <w:rPr>
          <w:sz w:val="21"/>
          <w:szCs w:val="21"/>
        </w:rPr>
      </w:pPr>
      <w:r>
        <w:rPr>
          <w:rFonts w:hint="eastAsia"/>
          <w:sz w:val="21"/>
          <w:szCs w:val="21"/>
        </w:rPr>
        <w:t>（三）《</w:t>
      </w:r>
      <w:bookmarkStart w:id="231" w:name="field_0_productfullname_16"/>
      <w:r>
        <w:rPr>
          <w:rFonts w:hint="eastAsia"/>
          <w:sz w:val="21"/>
          <w:szCs w:val="21"/>
        </w:rPr>
        <w:t>博时民丰纯债债券型证券投资基金</w:t>
      </w:r>
      <w:bookmarkEnd w:id="231"/>
      <w:r>
        <w:rPr>
          <w:rFonts w:hint="eastAsia"/>
          <w:sz w:val="21"/>
          <w:szCs w:val="21"/>
        </w:rPr>
        <w:t xml:space="preserve">托管协议》 </w:t>
      </w:r>
    </w:p>
    <w:p w14:paraId="067B07CB">
      <w:pPr>
        <w:pStyle w:val="8"/>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07762A37">
      <w:pPr>
        <w:pStyle w:val="8"/>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26E2F286">
      <w:pPr>
        <w:pStyle w:val="8"/>
        <w:spacing w:before="0" w:beforeAutospacing="0" w:after="0" w:afterAutospacing="0" w:line="360" w:lineRule="auto"/>
        <w:ind w:firstLine="420"/>
        <w:rPr>
          <w:sz w:val="21"/>
          <w:szCs w:val="21"/>
        </w:rPr>
      </w:pPr>
      <w:r>
        <w:rPr>
          <w:rFonts w:hint="eastAsia"/>
          <w:sz w:val="21"/>
          <w:szCs w:val="21"/>
        </w:rPr>
        <w:t>（六）关于申请募集注册</w:t>
      </w:r>
      <w:bookmarkStart w:id="232" w:name="field_0_productfullname_17"/>
      <w:r>
        <w:rPr>
          <w:rFonts w:hint="eastAsia"/>
          <w:sz w:val="21"/>
          <w:szCs w:val="21"/>
        </w:rPr>
        <w:t>博时民丰纯债债券型证券投资基金</w:t>
      </w:r>
      <w:bookmarkEnd w:id="232"/>
      <w:r>
        <w:rPr>
          <w:rFonts w:hint="eastAsia"/>
          <w:sz w:val="21"/>
          <w:szCs w:val="21"/>
        </w:rPr>
        <w:t xml:space="preserve">之法律意见书 </w:t>
      </w:r>
    </w:p>
    <w:p w14:paraId="60F2274A">
      <w:pPr>
        <w:pStyle w:val="8"/>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21C59503">
      <w:pPr>
        <w:pStyle w:val="8"/>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1D4FDBC4">
      <w:pPr>
        <w:pStyle w:val="8"/>
        <w:spacing w:before="0" w:beforeAutospacing="0" w:after="0" w:afterAutospacing="0" w:line="360" w:lineRule="auto"/>
        <w:ind w:firstLine="420"/>
        <w:rPr>
          <w:sz w:val="21"/>
          <w:szCs w:val="21"/>
        </w:rPr>
      </w:pPr>
    </w:p>
    <w:p w14:paraId="0F853788">
      <w:pPr>
        <w:pStyle w:val="8"/>
        <w:spacing w:before="0" w:beforeAutospacing="0" w:after="0" w:afterAutospacing="0" w:line="360" w:lineRule="auto"/>
        <w:ind w:firstLine="420"/>
        <w:rPr>
          <w:sz w:val="21"/>
          <w:szCs w:val="21"/>
        </w:rPr>
      </w:pPr>
    </w:p>
    <w:p w14:paraId="430C1D87">
      <w:pPr>
        <w:pStyle w:val="8"/>
        <w:spacing w:before="0" w:beforeAutospacing="0" w:after="0" w:afterAutospacing="0" w:line="360" w:lineRule="auto"/>
        <w:ind w:firstLine="420"/>
        <w:rPr>
          <w:sz w:val="21"/>
          <w:szCs w:val="21"/>
        </w:rPr>
      </w:pPr>
    </w:p>
    <w:p w14:paraId="38AD05EF">
      <w:pPr>
        <w:pStyle w:val="8"/>
        <w:spacing w:before="0" w:beforeAutospacing="0" w:after="0" w:afterAutospacing="0" w:line="360" w:lineRule="auto"/>
        <w:ind w:firstLine="420"/>
        <w:jc w:val="right"/>
        <w:rPr>
          <w:sz w:val="21"/>
          <w:szCs w:val="21"/>
        </w:rPr>
      </w:pPr>
      <w:bookmarkStart w:id="233" w:name="field_0_managerorgfullname_8"/>
      <w:r>
        <w:rPr>
          <w:rFonts w:hint="eastAsia"/>
          <w:sz w:val="21"/>
          <w:szCs w:val="21"/>
        </w:rPr>
        <w:t>博时基金管理有限公司</w:t>
      </w:r>
      <w:bookmarkEnd w:id="233"/>
      <w:r>
        <w:rPr>
          <w:rFonts w:hint="eastAsia"/>
          <w:sz w:val="21"/>
          <w:szCs w:val="21"/>
        </w:rPr>
        <w:t xml:space="preserve">  </w:t>
      </w:r>
    </w:p>
    <w:p w14:paraId="70A40C2F">
      <w:pPr>
        <w:pStyle w:val="8"/>
        <w:spacing w:before="0" w:beforeAutospacing="0" w:after="0" w:afterAutospacing="0" w:line="360" w:lineRule="auto"/>
        <w:ind w:firstLine="420"/>
        <w:jc w:val="right"/>
        <w:rPr>
          <w:sz w:val="21"/>
          <w:szCs w:val="21"/>
        </w:rPr>
      </w:pPr>
      <w:bookmarkStart w:id="234" w:name="chapter_level1_27_332_section_1_end"/>
      <w:bookmarkEnd w:id="234"/>
      <w:bookmarkStart w:id="235" w:name="field_0_commitmenttime_1"/>
      <w:r>
        <w:rPr>
          <w:sz w:val="21"/>
          <w:szCs w:val="21"/>
        </w:rPr>
        <w:t>2026年</w:t>
      </w:r>
      <w:r>
        <w:rPr>
          <w:rFonts w:hint="eastAsia"/>
          <w:sz w:val="21"/>
          <w:szCs w:val="21"/>
          <w:lang w:val="en-US" w:eastAsia="zh-CN"/>
        </w:rPr>
        <w:t>10</w:t>
      </w:r>
      <w:r>
        <w:rPr>
          <w:sz w:val="21"/>
          <w:szCs w:val="21"/>
        </w:rPr>
        <w:t>月</w:t>
      </w:r>
      <w:r>
        <w:rPr>
          <w:rFonts w:hint="eastAsia"/>
          <w:sz w:val="21"/>
          <w:szCs w:val="21"/>
          <w:lang w:val="en-US" w:eastAsia="zh-CN"/>
        </w:rPr>
        <w:t>2</w:t>
      </w:r>
      <w:r>
        <w:rPr>
          <w:sz w:val="21"/>
          <w:szCs w:val="21"/>
        </w:rPr>
        <w:t>0日</w:t>
      </w:r>
      <w:bookmarkEnd w:id="235"/>
      <w:r>
        <w:rPr>
          <w:rFonts w:hint="eastAsia"/>
          <w:sz w:val="21"/>
          <w:szCs w:val="21"/>
        </w:rPr>
        <w:t xml:space="preserve">  </w:t>
      </w:r>
    </w:p>
    <w:p w14:paraId="589CAF62">
      <w:pPr>
        <w:rPr>
          <w:rFonts w:ascii="宋体" w:hAnsi="宋体" w:eastAsia="宋体"/>
        </w:rPr>
      </w:pPr>
      <w:bookmarkStart w:id="236" w:name="end"/>
      <w:bookmarkEnd w:id="236"/>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AC56F">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123</w:t>
    </w:r>
    <w:r>
      <w:fldChar w:fldCharType="end"/>
    </w:r>
    <w:r>
      <w:rPr>
        <w:rFonts w:hint="eastAsia"/>
      </w:rPr>
      <w:t>页 共</w:t>
    </w:r>
    <w:r>
      <w:fldChar w:fldCharType="begin"/>
    </w:r>
    <w:r>
      <w:instrText xml:space="preserve"> NumPages \* MERGEFORMAT </w:instrText>
    </w:r>
    <w:r>
      <w:fldChar w:fldCharType="separate"/>
    </w:r>
    <w:r>
      <w:t>123</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64832">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42165D9C">
    <w:pPr>
      <w:pStyle w:val="6"/>
      <w:jc w:val="right"/>
    </w:pPr>
    <w:r>
      <w:rPr>
        <w:rFonts w:hint="eastAsia"/>
      </w:rPr>
      <w:t>博时民丰纯债债券型证券投资基金更新招募说明书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F26"/>
    <w:rsid w:val="00035569"/>
    <w:rsid w:val="002D7F26"/>
    <w:rsid w:val="004F2E5D"/>
    <w:rsid w:val="00BF2612"/>
    <w:rsid w:val="04D5604B"/>
    <w:rsid w:val="08F302D9"/>
    <w:rsid w:val="0FEE6E39"/>
    <w:rsid w:val="1C8E5869"/>
    <w:rsid w:val="1EBC69E2"/>
    <w:rsid w:val="20812CD7"/>
    <w:rsid w:val="24EE055F"/>
    <w:rsid w:val="295703E0"/>
    <w:rsid w:val="2CE20BB2"/>
    <w:rsid w:val="335C18D0"/>
    <w:rsid w:val="4732135F"/>
    <w:rsid w:val="4B761F11"/>
    <w:rsid w:val="4C9D00DF"/>
    <w:rsid w:val="54C40C07"/>
    <w:rsid w:val="67F907A9"/>
    <w:rsid w:val="6CA3003C"/>
    <w:rsid w:val="7114298A"/>
    <w:rsid w:val="7C16112F"/>
    <w:rsid w:val="7FEE0E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Char"/>
    <w:basedOn w:val="11"/>
    <w:link w:val="2"/>
    <w:qFormat/>
    <w:uiPriority w:val="9"/>
    <w:rPr>
      <w:rFonts w:asciiTheme="majorHAnsi" w:hAnsiTheme="majorHAnsi" w:eastAsiaTheme="majorEastAsia" w:cstheme="majorBidi"/>
      <w:b/>
      <w:bCs/>
      <w:sz w:val="32"/>
      <w:szCs w:val="32"/>
    </w:rPr>
  </w:style>
  <w:style w:type="character" w:customStyle="1" w:styleId="15">
    <w:name w:val="页眉 Char"/>
    <w:basedOn w:val="11"/>
    <w:link w:val="6"/>
    <w:qFormat/>
    <w:uiPriority w:val="99"/>
    <w:rPr>
      <w:sz w:val="18"/>
      <w:szCs w:val="18"/>
    </w:rPr>
  </w:style>
  <w:style w:type="character" w:customStyle="1" w:styleId="16">
    <w:name w:val="页脚 Char"/>
    <w:basedOn w:val="11"/>
    <w:link w:val="5"/>
    <w:qFormat/>
    <w:uiPriority w:val="99"/>
    <w:rPr>
      <w:sz w:val="18"/>
      <w:szCs w:val="18"/>
    </w:rPr>
  </w:style>
  <w:style w:type="character" w:customStyle="1" w:styleId="17">
    <w:name w:val="批注框文本 Char"/>
    <w:basedOn w:val="11"/>
    <w:link w:val="4"/>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126</Pages>
  <Words>14215</Words>
  <Characters>81027</Characters>
  <Lines>675</Lines>
  <Paragraphs>190</Paragraphs>
  <TotalTime>2</TotalTime>
  <ScaleCrop>false</ScaleCrop>
  <LinksUpToDate>false</LinksUpToDate>
  <CharactersWithSpaces>95052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2026-09-01T14:00:00Z</dcterms:created>
  <dc:creator>BSKMadminDev</dc:creator>
  <cp:lastModifiedBy>huangzw</cp:lastModifiedBy>
  <dcterms:modified xsi:type="dcterms:W3CDTF">2026-10-19T09:19:51Z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565E2C7C5AC24D7797A8A96C98AC130E_13</vt:lpwstr>
  </property>
</Properties>
</file>