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B72180"/>
    <w:p w14:paraId="3FFD6B42">
      <w:pPr>
        <w:jc w:val="center"/>
        <w:rPr>
          <w:rFonts w:hint="eastAsia" w:ascii="宋体" w:hAnsi="宋体" w:eastAsia="宋体"/>
          <w:b/>
          <w:sz w:val="30"/>
        </w:rPr>
      </w:pPr>
      <w:r>
        <w:rPr>
          <w:rFonts w:hint="eastAsia" w:ascii="宋体" w:hAnsi="宋体" w:eastAsia="宋体"/>
          <w:b/>
          <w:sz w:val="30"/>
        </w:rPr>
        <w:t>博时裕坤纯债3个月定期开放债券型发起式证券投资基金开放申购、赎回业务公告</w:t>
      </w:r>
    </w:p>
    <w:p w14:paraId="4A7A3275">
      <w:pPr>
        <w:jc w:val="center"/>
        <w:rPr>
          <w:rFonts w:ascii="宋体" w:hAnsi="宋体" w:eastAsia="宋体"/>
          <w:b/>
          <w:sz w:val="24"/>
        </w:rPr>
      </w:pPr>
      <w:r>
        <w:rPr>
          <w:rFonts w:hint="eastAsia" w:ascii="宋体" w:hAnsi="宋体" w:eastAsia="宋体"/>
          <w:b/>
          <w:sz w:val="24"/>
        </w:rPr>
        <w:t>公告送出时间：</w:t>
      </w:r>
      <w:r>
        <w:rPr>
          <w:rFonts w:ascii="宋体" w:hAnsi="宋体" w:eastAsia="宋体"/>
          <w:b/>
          <w:sz w:val="24"/>
        </w:rPr>
        <w:t>2026年6月4日</w:t>
      </w:r>
    </w:p>
    <w:p w14:paraId="472EE40D">
      <w:pPr>
        <w:jc w:val="center"/>
        <w:rPr>
          <w:rFonts w:ascii="宋体" w:hAnsi="宋体" w:eastAsia="宋体"/>
          <w:b/>
          <w:sz w:val="24"/>
        </w:rPr>
      </w:pPr>
    </w:p>
    <w:p w14:paraId="76070B3F">
      <w:pPr>
        <w:pStyle w:val="2"/>
        <w:rPr>
          <w:rFonts w:ascii="宋体" w:hAnsi="宋体" w:eastAsia="宋体"/>
          <w:sz w:val="24"/>
        </w:rPr>
      </w:pPr>
      <w:r>
        <w:rPr>
          <w:rFonts w:ascii="宋体" w:hAnsi="宋体" w:eastAsia="宋体"/>
          <w:sz w:val="24"/>
        </w:rPr>
        <w:t>1、公告基本信息</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00"/>
        <w:gridCol w:w="5500"/>
      </w:tblGrid>
      <w:tr w14:paraId="6ABC2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24E737EB">
            <w:pPr>
              <w:rPr>
                <w:rFonts w:ascii="宋体" w:hAnsi="宋体" w:eastAsia="宋体"/>
                <w:sz w:val="24"/>
              </w:rPr>
            </w:pPr>
            <w:r>
              <w:rPr>
                <w:rFonts w:hint="eastAsia" w:ascii="宋体" w:hAnsi="宋体" w:eastAsia="宋体"/>
                <w:sz w:val="24"/>
              </w:rPr>
              <w:t>基金名称</w:t>
            </w:r>
          </w:p>
        </w:tc>
        <w:tc>
          <w:tcPr>
            <w:tcW w:w="5500" w:type="dxa"/>
            <w:vAlign w:val="center"/>
          </w:tcPr>
          <w:p w14:paraId="3DE24B63">
            <w:pPr>
              <w:rPr>
                <w:rFonts w:ascii="宋体" w:hAnsi="宋体" w:eastAsia="宋体"/>
                <w:sz w:val="24"/>
              </w:rPr>
            </w:pPr>
            <w:r>
              <w:rPr>
                <w:rFonts w:hint="eastAsia" w:ascii="宋体" w:hAnsi="宋体" w:eastAsia="宋体"/>
                <w:sz w:val="24"/>
              </w:rPr>
              <w:t>博时裕坤纯债</w:t>
            </w:r>
            <w:r>
              <w:rPr>
                <w:rFonts w:ascii="宋体" w:hAnsi="宋体" w:eastAsia="宋体"/>
                <w:sz w:val="24"/>
              </w:rPr>
              <w:t>3个月定期开放债券型发起式证券投资基金</w:t>
            </w:r>
          </w:p>
        </w:tc>
      </w:tr>
      <w:tr w14:paraId="15247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7681799A">
            <w:pPr>
              <w:rPr>
                <w:rFonts w:ascii="宋体" w:hAnsi="宋体" w:eastAsia="宋体"/>
                <w:sz w:val="24"/>
              </w:rPr>
            </w:pPr>
            <w:r>
              <w:rPr>
                <w:rFonts w:hint="eastAsia" w:ascii="宋体" w:hAnsi="宋体" w:eastAsia="宋体"/>
                <w:sz w:val="24"/>
              </w:rPr>
              <w:t>基金简称</w:t>
            </w:r>
          </w:p>
        </w:tc>
        <w:tc>
          <w:tcPr>
            <w:tcW w:w="5500" w:type="dxa"/>
            <w:vAlign w:val="center"/>
          </w:tcPr>
          <w:p w14:paraId="0C8B2D92">
            <w:pPr>
              <w:rPr>
                <w:rFonts w:ascii="宋体" w:hAnsi="宋体" w:eastAsia="宋体"/>
                <w:sz w:val="24"/>
              </w:rPr>
            </w:pPr>
            <w:r>
              <w:rPr>
                <w:rFonts w:hint="eastAsia" w:ascii="宋体" w:hAnsi="宋体" w:eastAsia="宋体"/>
                <w:sz w:val="24"/>
              </w:rPr>
              <w:t>博时裕坤</w:t>
            </w:r>
            <w:r>
              <w:rPr>
                <w:rFonts w:ascii="宋体" w:hAnsi="宋体" w:eastAsia="宋体"/>
                <w:sz w:val="24"/>
              </w:rPr>
              <w:t>3个月定开债发起式</w:t>
            </w:r>
          </w:p>
        </w:tc>
      </w:tr>
      <w:tr w14:paraId="35B99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4E451916">
            <w:pPr>
              <w:rPr>
                <w:rFonts w:ascii="宋体" w:hAnsi="宋体" w:eastAsia="宋体"/>
                <w:sz w:val="24"/>
              </w:rPr>
            </w:pPr>
            <w:r>
              <w:rPr>
                <w:rFonts w:hint="eastAsia" w:ascii="宋体" w:hAnsi="宋体" w:eastAsia="宋体"/>
                <w:sz w:val="24"/>
              </w:rPr>
              <w:t>基金主代码</w:t>
            </w:r>
          </w:p>
        </w:tc>
        <w:tc>
          <w:tcPr>
            <w:tcW w:w="5500" w:type="dxa"/>
            <w:vAlign w:val="center"/>
          </w:tcPr>
          <w:p w14:paraId="3CCD431E">
            <w:pPr>
              <w:rPr>
                <w:rFonts w:ascii="宋体" w:hAnsi="宋体" w:eastAsia="宋体"/>
                <w:sz w:val="24"/>
              </w:rPr>
            </w:pPr>
            <w:r>
              <w:rPr>
                <w:rFonts w:ascii="宋体" w:hAnsi="宋体" w:eastAsia="宋体"/>
                <w:sz w:val="24"/>
              </w:rPr>
              <w:t>002143</w:t>
            </w:r>
          </w:p>
        </w:tc>
      </w:tr>
      <w:tr w14:paraId="2552B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6495AC08">
            <w:pPr>
              <w:rPr>
                <w:rFonts w:ascii="宋体" w:hAnsi="宋体" w:eastAsia="宋体"/>
                <w:sz w:val="24"/>
              </w:rPr>
            </w:pPr>
            <w:r>
              <w:rPr>
                <w:rFonts w:hint="eastAsia" w:ascii="宋体" w:hAnsi="宋体" w:eastAsia="宋体"/>
                <w:sz w:val="24"/>
              </w:rPr>
              <w:t>基金运作方式</w:t>
            </w:r>
          </w:p>
        </w:tc>
        <w:tc>
          <w:tcPr>
            <w:tcW w:w="5500" w:type="dxa"/>
            <w:vAlign w:val="center"/>
          </w:tcPr>
          <w:p w14:paraId="60B54CC4">
            <w:pPr>
              <w:rPr>
                <w:rFonts w:ascii="宋体" w:hAnsi="宋体" w:eastAsia="宋体"/>
                <w:sz w:val="24"/>
              </w:rPr>
            </w:pPr>
            <w:r>
              <w:rPr>
                <w:rFonts w:hint="eastAsia" w:ascii="宋体" w:hAnsi="宋体" w:eastAsia="宋体"/>
                <w:sz w:val="24"/>
              </w:rPr>
              <w:t>契约型、定期开放式、发起式</w:t>
            </w:r>
          </w:p>
        </w:tc>
      </w:tr>
      <w:tr w14:paraId="45806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4432889B">
            <w:pPr>
              <w:rPr>
                <w:rFonts w:ascii="宋体" w:hAnsi="宋体" w:eastAsia="宋体"/>
                <w:sz w:val="24"/>
              </w:rPr>
            </w:pPr>
            <w:r>
              <w:rPr>
                <w:rFonts w:hint="eastAsia" w:ascii="宋体" w:hAnsi="宋体" w:eastAsia="宋体"/>
                <w:sz w:val="24"/>
              </w:rPr>
              <w:t>基金合同生效日</w:t>
            </w:r>
          </w:p>
        </w:tc>
        <w:tc>
          <w:tcPr>
            <w:tcW w:w="5500" w:type="dxa"/>
            <w:vAlign w:val="center"/>
          </w:tcPr>
          <w:p w14:paraId="179FDBC3">
            <w:pPr>
              <w:rPr>
                <w:rFonts w:ascii="宋体" w:hAnsi="宋体" w:eastAsia="宋体"/>
                <w:sz w:val="24"/>
              </w:rPr>
            </w:pPr>
            <w:r>
              <w:rPr>
                <w:rFonts w:ascii="宋体" w:hAnsi="宋体" w:eastAsia="宋体"/>
                <w:sz w:val="24"/>
              </w:rPr>
              <w:t>2015年11月30日</w:t>
            </w:r>
          </w:p>
        </w:tc>
      </w:tr>
      <w:tr w14:paraId="617C9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1EAF92EA">
            <w:pPr>
              <w:rPr>
                <w:rFonts w:ascii="宋体" w:hAnsi="宋体" w:eastAsia="宋体"/>
                <w:sz w:val="24"/>
              </w:rPr>
            </w:pPr>
            <w:r>
              <w:rPr>
                <w:rFonts w:hint="eastAsia" w:ascii="宋体" w:hAnsi="宋体" w:eastAsia="宋体"/>
                <w:sz w:val="24"/>
              </w:rPr>
              <w:t>基金管理人名称</w:t>
            </w:r>
          </w:p>
        </w:tc>
        <w:tc>
          <w:tcPr>
            <w:tcW w:w="5500" w:type="dxa"/>
            <w:vAlign w:val="center"/>
          </w:tcPr>
          <w:p w14:paraId="20541896">
            <w:pPr>
              <w:rPr>
                <w:rFonts w:ascii="宋体" w:hAnsi="宋体" w:eastAsia="宋体"/>
                <w:sz w:val="24"/>
              </w:rPr>
            </w:pPr>
            <w:r>
              <w:rPr>
                <w:rFonts w:hint="eastAsia" w:ascii="宋体" w:hAnsi="宋体" w:eastAsia="宋体"/>
                <w:sz w:val="24"/>
              </w:rPr>
              <w:t>博时基金管理有限公司</w:t>
            </w:r>
          </w:p>
        </w:tc>
      </w:tr>
      <w:tr w14:paraId="119A9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27478246">
            <w:pPr>
              <w:rPr>
                <w:rFonts w:ascii="宋体" w:hAnsi="宋体" w:eastAsia="宋体"/>
                <w:sz w:val="24"/>
              </w:rPr>
            </w:pPr>
            <w:r>
              <w:rPr>
                <w:rFonts w:hint="eastAsia" w:ascii="宋体" w:hAnsi="宋体" w:eastAsia="宋体"/>
                <w:sz w:val="24"/>
              </w:rPr>
              <w:t>基金托管人名称</w:t>
            </w:r>
          </w:p>
        </w:tc>
        <w:tc>
          <w:tcPr>
            <w:tcW w:w="5500" w:type="dxa"/>
            <w:vAlign w:val="center"/>
          </w:tcPr>
          <w:p w14:paraId="5186179E">
            <w:pPr>
              <w:rPr>
                <w:rFonts w:ascii="宋体" w:hAnsi="宋体" w:eastAsia="宋体"/>
                <w:sz w:val="24"/>
              </w:rPr>
            </w:pPr>
            <w:r>
              <w:rPr>
                <w:rFonts w:hint="eastAsia" w:ascii="宋体" w:hAnsi="宋体" w:eastAsia="宋体"/>
                <w:sz w:val="24"/>
              </w:rPr>
              <w:t>招商银行股份有限公司</w:t>
            </w:r>
          </w:p>
        </w:tc>
      </w:tr>
      <w:tr w14:paraId="5C088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1CDCB684">
            <w:pPr>
              <w:rPr>
                <w:rFonts w:ascii="宋体" w:hAnsi="宋体" w:eastAsia="宋体"/>
                <w:sz w:val="24"/>
              </w:rPr>
            </w:pPr>
            <w:r>
              <w:rPr>
                <w:rFonts w:hint="eastAsia" w:ascii="宋体" w:hAnsi="宋体" w:eastAsia="宋体"/>
                <w:sz w:val="24"/>
              </w:rPr>
              <w:t>基金注册登记机构名称</w:t>
            </w:r>
          </w:p>
        </w:tc>
        <w:tc>
          <w:tcPr>
            <w:tcW w:w="5500" w:type="dxa"/>
            <w:vAlign w:val="center"/>
          </w:tcPr>
          <w:p w14:paraId="24804C98">
            <w:pPr>
              <w:rPr>
                <w:rFonts w:ascii="宋体" w:hAnsi="宋体" w:eastAsia="宋体"/>
                <w:sz w:val="24"/>
              </w:rPr>
            </w:pPr>
            <w:r>
              <w:rPr>
                <w:rFonts w:hint="eastAsia" w:ascii="宋体" w:hAnsi="宋体" w:eastAsia="宋体"/>
                <w:sz w:val="24"/>
              </w:rPr>
              <w:t>博时基金管理有限公司</w:t>
            </w:r>
          </w:p>
        </w:tc>
      </w:tr>
      <w:tr w14:paraId="72A3F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5FB8E351">
            <w:pPr>
              <w:rPr>
                <w:rFonts w:ascii="宋体" w:hAnsi="宋体" w:eastAsia="宋体"/>
                <w:sz w:val="24"/>
              </w:rPr>
            </w:pPr>
            <w:r>
              <w:rPr>
                <w:rFonts w:hint="eastAsia" w:ascii="宋体" w:hAnsi="宋体" w:eastAsia="宋体"/>
                <w:sz w:val="24"/>
              </w:rPr>
              <w:t>公告依据</w:t>
            </w:r>
          </w:p>
        </w:tc>
        <w:tc>
          <w:tcPr>
            <w:tcW w:w="5500" w:type="dxa"/>
            <w:vAlign w:val="center"/>
          </w:tcPr>
          <w:p w14:paraId="07523549">
            <w:pPr>
              <w:rPr>
                <w:rFonts w:ascii="宋体" w:hAnsi="宋体" w:eastAsia="宋体"/>
                <w:sz w:val="24"/>
              </w:rPr>
            </w:pPr>
            <w:r>
              <w:rPr>
                <w:rFonts w:hint="eastAsia" w:ascii="宋体" w:hAnsi="宋体" w:eastAsia="宋体"/>
                <w:sz w:val="24"/>
              </w:rPr>
              <w:t>《中华人民共和国证券投资基金法》、《公开募集证券投资基金运作管理办法》等法律法规以及《博时裕坤纯债</w:t>
            </w:r>
            <w:r>
              <w:rPr>
                <w:rFonts w:ascii="宋体" w:hAnsi="宋体" w:eastAsia="宋体"/>
                <w:sz w:val="24"/>
              </w:rPr>
              <w:t>3个月定期开放债券型发起式证券投资基金基金合同》（以下简称“《基金合同》”）及《博时裕坤纯债3个月定期开放债券型发起式证券投资基金招募说明书》（以下简称“《招募说明书》”）</w:t>
            </w:r>
          </w:p>
        </w:tc>
      </w:tr>
      <w:tr w14:paraId="75EF5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4B365718">
            <w:pPr>
              <w:rPr>
                <w:rFonts w:ascii="宋体" w:hAnsi="宋体" w:eastAsia="宋体"/>
                <w:sz w:val="24"/>
              </w:rPr>
            </w:pPr>
            <w:r>
              <w:rPr>
                <w:rFonts w:hint="eastAsia" w:ascii="宋体" w:hAnsi="宋体" w:eastAsia="宋体"/>
                <w:sz w:val="24"/>
              </w:rPr>
              <w:t>申购起始日</w:t>
            </w:r>
          </w:p>
        </w:tc>
        <w:tc>
          <w:tcPr>
            <w:tcW w:w="5500" w:type="dxa"/>
            <w:vAlign w:val="center"/>
          </w:tcPr>
          <w:p w14:paraId="2DD99A4F">
            <w:pPr>
              <w:rPr>
                <w:rFonts w:ascii="宋体" w:hAnsi="宋体" w:eastAsia="宋体"/>
                <w:sz w:val="24"/>
              </w:rPr>
            </w:pPr>
            <w:r>
              <w:rPr>
                <w:rFonts w:ascii="宋体" w:hAnsi="宋体" w:eastAsia="宋体"/>
                <w:sz w:val="24"/>
              </w:rPr>
              <w:t>2026年6月15日</w:t>
            </w:r>
          </w:p>
        </w:tc>
      </w:tr>
      <w:tr w14:paraId="374B06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242B0A45">
            <w:pPr>
              <w:rPr>
                <w:rFonts w:ascii="宋体" w:hAnsi="宋体" w:eastAsia="宋体"/>
                <w:sz w:val="24"/>
              </w:rPr>
            </w:pPr>
            <w:r>
              <w:rPr>
                <w:rFonts w:hint="eastAsia" w:ascii="宋体" w:hAnsi="宋体" w:eastAsia="宋体"/>
                <w:sz w:val="24"/>
              </w:rPr>
              <w:t>赎回起始日</w:t>
            </w:r>
          </w:p>
        </w:tc>
        <w:tc>
          <w:tcPr>
            <w:tcW w:w="5500" w:type="dxa"/>
            <w:vAlign w:val="center"/>
          </w:tcPr>
          <w:p w14:paraId="4E8DFBA8">
            <w:pPr>
              <w:rPr>
                <w:rFonts w:ascii="宋体" w:hAnsi="宋体" w:eastAsia="宋体"/>
                <w:sz w:val="24"/>
              </w:rPr>
            </w:pPr>
            <w:r>
              <w:rPr>
                <w:rFonts w:ascii="宋体" w:hAnsi="宋体" w:eastAsia="宋体"/>
                <w:sz w:val="24"/>
              </w:rPr>
              <w:t>2026年6月15日</w:t>
            </w:r>
          </w:p>
        </w:tc>
      </w:tr>
    </w:tbl>
    <w:p w14:paraId="167EA8D2"/>
    <w:p w14:paraId="5719C291">
      <w:pPr>
        <w:pStyle w:val="2"/>
        <w:rPr>
          <w:rFonts w:hint="eastAsia" w:ascii="宋体" w:hAnsi="宋体" w:eastAsia="宋体"/>
          <w:sz w:val="24"/>
        </w:rPr>
      </w:pPr>
      <w:r>
        <w:rPr>
          <w:rFonts w:hint="eastAsia" w:ascii="宋体" w:hAnsi="宋体" w:eastAsia="宋体"/>
          <w:sz w:val="24"/>
        </w:rPr>
        <w:t>2、日常申购、赎回业务的办理时间</w:t>
      </w:r>
    </w:p>
    <w:p w14:paraId="411D5DF2">
      <w:pPr>
        <w:pStyle w:val="5"/>
        <w:spacing w:before="0" w:beforeAutospacing="0" w:after="0" w:afterAutospacing="0" w:line="360" w:lineRule="auto"/>
        <w:ind w:firstLine="420"/>
      </w:pPr>
      <w:r>
        <w:rPr>
          <w:rFonts w:hint="eastAsia"/>
        </w:rPr>
        <w:t xml:space="preserve">（1）开放日及开放时间 </w:t>
      </w:r>
    </w:p>
    <w:p w14:paraId="49D40C1A">
      <w:pPr>
        <w:pStyle w:val="5"/>
        <w:spacing w:before="0" w:beforeAutospacing="0" w:after="0" w:afterAutospacing="0" w:line="360" w:lineRule="auto"/>
        <w:ind w:firstLine="420"/>
        <w:rPr>
          <w:rFonts w:hint="eastAsia"/>
        </w:rPr>
      </w:pPr>
      <w:r>
        <w:rPr>
          <w:rFonts w:hint="eastAsia"/>
        </w:rPr>
        <w:t xml:space="preserve">本基金在开放期间，投资人在开放日办理基金份额的申购、赎回，具体办理时间为上海证券交易所、深圳证券交易所的正常交易日的交易时间，但基金管理人根据法律法规、中国证监会的要求或本基金合同的规定公告暂停申购、赎回时除外。在封闭期内，本基金不办理申购、赎回业务。 </w:t>
      </w:r>
    </w:p>
    <w:p w14:paraId="4B3807A5">
      <w:pPr>
        <w:pStyle w:val="5"/>
        <w:spacing w:before="0" w:beforeAutospacing="0" w:after="0" w:afterAutospacing="0" w:line="360" w:lineRule="auto"/>
        <w:ind w:firstLine="420"/>
        <w:rPr>
          <w:rFonts w:hint="eastAsia"/>
        </w:rPr>
      </w:pPr>
      <w:r>
        <w:rPr>
          <w:rFonts w:hint="eastAsia"/>
        </w:rPr>
        <w:t xml:space="preserve">《基金合同》生效后，若出现新的证券/期货交易市场、证券/期货交易所交易时间变更或其他特殊情况，基金管理人将视情况对前述开放日及开放时间进行相应的调整，但应在实施日前依照《公开募集证券投资基金信息披露管理办法》的有关规定进行公告。 </w:t>
      </w:r>
    </w:p>
    <w:p w14:paraId="2B7F7F90">
      <w:pPr>
        <w:pStyle w:val="5"/>
        <w:spacing w:before="0" w:beforeAutospacing="0" w:after="0" w:afterAutospacing="0" w:line="360" w:lineRule="auto"/>
        <w:ind w:firstLine="420"/>
        <w:rPr>
          <w:rFonts w:hint="eastAsia"/>
        </w:rPr>
      </w:pPr>
      <w:r>
        <w:rPr>
          <w:rFonts w:hint="eastAsia"/>
        </w:rPr>
        <w:t xml:space="preserve">（2）开放期及业务办理时间 </w:t>
      </w:r>
    </w:p>
    <w:p w14:paraId="23620AA2">
      <w:pPr>
        <w:pStyle w:val="5"/>
        <w:spacing w:before="0" w:beforeAutospacing="0" w:after="0" w:afterAutospacing="0" w:line="360" w:lineRule="auto"/>
        <w:ind w:firstLine="420"/>
        <w:rPr>
          <w:rFonts w:hint="eastAsia"/>
        </w:rPr>
      </w:pPr>
      <w:r>
        <w:rPr>
          <w:rFonts w:hint="eastAsia"/>
        </w:rPr>
        <w:t xml:space="preserve">除法律法规或基金合同另有约定外，本基金自基金合同生效日起（包括该日）或每个封闭期结束之后第一个工作日起（含该日）进入开放期，开放期的期限为1至20个工作日，具体期间由基金管理人提前公告说明，但在开放期内，基金管理人有权延长开放期时间并公告，但开放期最长不可超过20个工作日。 </w:t>
      </w:r>
    </w:p>
    <w:p w14:paraId="73714EC4">
      <w:pPr>
        <w:pStyle w:val="5"/>
        <w:spacing w:before="0" w:beforeAutospacing="0" w:after="0" w:afterAutospacing="0" w:line="360" w:lineRule="auto"/>
        <w:ind w:firstLine="420"/>
        <w:rPr>
          <w:rFonts w:hint="eastAsia"/>
        </w:rPr>
      </w:pPr>
      <w:r>
        <w:rPr>
          <w:rFonts w:hint="eastAsia"/>
        </w:rPr>
        <w:t xml:space="preserve">本基金当前封闭期为自2026年3月14日至2026年6月14日止。本基金本次办理申购、赎回业务的开放期为2026年6月15日，共1个工作日。2026年6月16日（含该日）起3个月期间，本基金将进入下一个封闭期，封闭期内本基金不办理申购、赎回业务。 </w:t>
      </w:r>
    </w:p>
    <w:p w14:paraId="76FD9E0A">
      <w:pPr>
        <w:pStyle w:val="5"/>
        <w:spacing w:before="0" w:beforeAutospacing="0" w:after="0" w:afterAutospacing="0" w:line="360" w:lineRule="auto"/>
        <w:ind w:firstLine="420"/>
        <w:rPr>
          <w:rFonts w:hint="eastAsia"/>
        </w:rPr>
      </w:pPr>
      <w:r>
        <w:rPr>
          <w:rFonts w:hint="eastAsia"/>
        </w:rPr>
        <w:t xml:space="preserve">本基金单一投资者持有的基金份额或者构成一致行动人的多个投资者持有的基金份额可达到或者超过50%，基金不向个人投资者公开发售。法律法规或监管机构另有约定的除外。 </w:t>
      </w:r>
    </w:p>
    <w:p w14:paraId="40B063A2">
      <w:pPr>
        <w:pStyle w:val="5"/>
        <w:spacing w:before="0" w:beforeAutospacing="0" w:after="0" w:afterAutospacing="0" w:line="360" w:lineRule="auto"/>
        <w:ind w:firstLine="420"/>
        <w:rPr>
          <w:rFonts w:hint="eastAsia"/>
        </w:rPr>
      </w:pPr>
      <w:r>
        <w:rPr>
          <w:rFonts w:hint="eastAsia"/>
        </w:rPr>
        <w:t xml:space="preserve">如在开放期内发生不可抗力或其他情形致使基金无法按时开放或需依据基金合同暂停申购、赎回业务的，基金管理人有权合理调整申购、赎回业务的办理期间并予以公告，在不可抗力或其他情形影响因素消除之日下一个工作日起，继续计算该开放期时间。 </w:t>
      </w:r>
    </w:p>
    <w:p w14:paraId="0A82B7A4">
      <w:pPr>
        <w:pStyle w:val="5"/>
        <w:spacing w:before="0" w:beforeAutospacing="0" w:after="0" w:afterAutospacing="0" w:line="360" w:lineRule="auto"/>
        <w:ind w:firstLine="420"/>
        <w:rPr>
          <w:rFonts w:hint="eastAsia"/>
        </w:rPr>
      </w:pPr>
      <w:r>
        <w:rPr>
          <w:rFonts w:hint="eastAsia"/>
        </w:rPr>
        <w:t xml:space="preserve">基金管理人不得在基金合同约定之外的日期或者时间办理基金份额的申购、赎回。在开放期内，投资人在基金合同约定之外的日期和时间提出申购、赎回申请且登记机构确认接受的，其基金份额申购、赎回价格为下一开放日基金份额申购、赎回的价格；但若投资人在开放期最后一日业务办理时间结束之后提出申购、赎回申请的，视为无效申请。 </w:t>
      </w:r>
    </w:p>
    <w:p w14:paraId="22D64029">
      <w:pPr>
        <w:pStyle w:val="2"/>
        <w:rPr>
          <w:rFonts w:ascii="宋体" w:hAnsi="宋体" w:eastAsia="宋体"/>
          <w:sz w:val="24"/>
        </w:rPr>
      </w:pPr>
      <w:r>
        <w:rPr>
          <w:rFonts w:ascii="宋体" w:hAnsi="宋体" w:eastAsia="宋体"/>
          <w:sz w:val="24"/>
        </w:rPr>
        <w:t>3、日常申购业务</w:t>
      </w:r>
    </w:p>
    <w:p w14:paraId="6016B0FB">
      <w:pPr>
        <w:pStyle w:val="3"/>
        <w:rPr>
          <w:rFonts w:hint="eastAsia" w:ascii="宋体" w:hAnsi="宋体" w:eastAsia="宋体"/>
          <w:sz w:val="24"/>
        </w:rPr>
      </w:pPr>
      <w:r>
        <w:rPr>
          <w:rFonts w:hint="eastAsia" w:ascii="宋体" w:hAnsi="宋体" w:eastAsia="宋体"/>
          <w:sz w:val="24"/>
        </w:rPr>
        <w:t>3.1申购金额限制</w:t>
      </w:r>
    </w:p>
    <w:p w14:paraId="09F2EA5F">
      <w:pPr>
        <w:pStyle w:val="5"/>
        <w:spacing w:before="0" w:beforeAutospacing="0" w:after="0" w:afterAutospacing="0" w:line="360" w:lineRule="auto"/>
        <w:ind w:firstLine="420"/>
        <w:rPr>
          <w:rFonts w:hint="eastAsia"/>
        </w:rPr>
      </w:pPr>
      <w:r>
        <w:rPr>
          <w:rFonts w:hint="eastAsia"/>
        </w:rPr>
        <w:t xml:space="preserve">首次申购基金份额的最低金额为1.00元（含申购费），追加申购最低金额为1.00元（含申购费）；详情请见当地销售机构公告。 </w:t>
      </w:r>
    </w:p>
    <w:p w14:paraId="6B638D3D">
      <w:pPr>
        <w:pStyle w:val="3"/>
        <w:rPr>
          <w:rFonts w:ascii="宋体" w:hAnsi="宋体" w:eastAsia="宋体"/>
          <w:sz w:val="24"/>
        </w:rPr>
      </w:pPr>
      <w:r>
        <w:rPr>
          <w:rFonts w:ascii="宋体" w:hAnsi="宋体" w:eastAsia="宋体"/>
          <w:sz w:val="24"/>
        </w:rPr>
        <w:t>3.2申购费率</w:t>
      </w:r>
    </w:p>
    <w:p w14:paraId="62E3F069">
      <w:pPr>
        <w:pStyle w:val="5"/>
        <w:spacing w:before="0" w:beforeAutospacing="0" w:after="0" w:afterAutospacing="0" w:line="360" w:lineRule="auto"/>
        <w:ind w:firstLine="420"/>
        <w:rPr>
          <w:rFonts w:hint="eastAsia"/>
        </w:rPr>
      </w:pPr>
      <w:r>
        <w:rPr>
          <w:rFonts w:hint="eastAsia"/>
        </w:rPr>
        <w:t xml:space="preserve">投资者可以多次申购本基金，申购费率按每笔申购申请单独计算。 </w:t>
      </w:r>
    </w:p>
    <w:p w14:paraId="6333C020">
      <w:pPr>
        <w:pStyle w:val="5"/>
        <w:spacing w:before="0" w:beforeAutospacing="0" w:after="0" w:afterAutospacing="0" w:line="360" w:lineRule="auto"/>
        <w:ind w:firstLine="420"/>
        <w:rPr>
          <w:rFonts w:hint="eastAsia"/>
        </w:rPr>
      </w:pPr>
      <w:r>
        <w:rPr>
          <w:rFonts w:hint="eastAsia"/>
        </w:rPr>
        <w:t xml:space="preserve">本基金基金份额采用前端收费模式收取基金申购费用。投资者的申购费用如下：  </w:t>
      </w:r>
    </w:p>
    <w:tbl>
      <w:tblPr>
        <w:tblStyle w:val="7"/>
        <w:tblW w:w="4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62"/>
        <w:gridCol w:w="2956"/>
      </w:tblGrid>
      <w:tr w14:paraId="45311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shd w:val="clear" w:color="auto" w:fill="auto"/>
          </w:tcPr>
          <w:p w14:paraId="68A3DEDA">
            <w:pPr>
              <w:pStyle w:val="5"/>
              <w:spacing w:before="0" w:beforeAutospacing="0" w:after="0" w:afterAutospacing="0" w:line="360" w:lineRule="auto"/>
              <w:ind w:firstLine="420"/>
              <w:rPr>
                <w:rFonts w:hint="eastAsia"/>
              </w:rPr>
            </w:pPr>
            <w:r>
              <w:rPr>
                <w:rFonts w:hint="eastAsia"/>
              </w:rPr>
              <w:t xml:space="preserve">金额（M） </w:t>
            </w:r>
          </w:p>
        </w:tc>
        <w:tc>
          <w:tcPr>
            <w:tcW w:w="0" w:type="auto"/>
            <w:shd w:val="clear" w:color="auto" w:fill="auto"/>
          </w:tcPr>
          <w:p w14:paraId="0C21CC30">
            <w:pPr>
              <w:pStyle w:val="5"/>
              <w:spacing w:before="0" w:beforeAutospacing="0" w:after="0" w:afterAutospacing="0" w:line="360" w:lineRule="auto"/>
              <w:ind w:firstLine="420"/>
              <w:rPr>
                <w:rFonts w:hint="eastAsia"/>
              </w:rPr>
            </w:pPr>
            <w:r>
              <w:rPr>
                <w:rFonts w:hint="eastAsia"/>
              </w:rPr>
              <w:t xml:space="preserve">申购费率 </w:t>
            </w:r>
          </w:p>
        </w:tc>
      </w:tr>
      <w:tr w14:paraId="0166D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shd w:val="clear" w:color="auto" w:fill="auto"/>
          </w:tcPr>
          <w:p w14:paraId="2AA5CCF4">
            <w:pPr>
              <w:pStyle w:val="5"/>
              <w:spacing w:before="0" w:beforeAutospacing="0" w:after="0" w:afterAutospacing="0" w:line="360" w:lineRule="auto"/>
              <w:ind w:firstLine="420"/>
              <w:rPr>
                <w:rFonts w:hint="eastAsia"/>
              </w:rPr>
            </w:pPr>
            <w:r>
              <w:rPr>
                <w:rFonts w:hint="eastAsia"/>
              </w:rPr>
              <w:t xml:space="preserve">M＜100万 </w:t>
            </w:r>
          </w:p>
        </w:tc>
        <w:tc>
          <w:tcPr>
            <w:tcW w:w="0" w:type="auto"/>
            <w:shd w:val="clear" w:color="auto" w:fill="auto"/>
          </w:tcPr>
          <w:p w14:paraId="002E443A">
            <w:pPr>
              <w:pStyle w:val="5"/>
              <w:spacing w:before="0" w:beforeAutospacing="0" w:after="0" w:afterAutospacing="0" w:line="360" w:lineRule="auto"/>
              <w:ind w:firstLine="420"/>
              <w:rPr>
                <w:rFonts w:hint="eastAsia"/>
              </w:rPr>
            </w:pPr>
            <w:r>
              <w:rPr>
                <w:rFonts w:hint="eastAsia"/>
              </w:rPr>
              <w:t xml:space="preserve">0.80% </w:t>
            </w:r>
          </w:p>
        </w:tc>
      </w:tr>
      <w:tr w14:paraId="11198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shd w:val="clear" w:color="auto" w:fill="auto"/>
          </w:tcPr>
          <w:p w14:paraId="30C1FA72">
            <w:pPr>
              <w:pStyle w:val="5"/>
              <w:spacing w:before="0" w:beforeAutospacing="0" w:after="0" w:afterAutospacing="0" w:line="360" w:lineRule="auto"/>
              <w:ind w:firstLine="420"/>
              <w:rPr>
                <w:rFonts w:hint="eastAsia"/>
              </w:rPr>
            </w:pPr>
            <w:r>
              <w:rPr>
                <w:rFonts w:hint="eastAsia"/>
              </w:rPr>
              <w:t xml:space="preserve">100万≤M＜300万 </w:t>
            </w:r>
          </w:p>
        </w:tc>
        <w:tc>
          <w:tcPr>
            <w:tcW w:w="0" w:type="auto"/>
            <w:shd w:val="clear" w:color="auto" w:fill="auto"/>
          </w:tcPr>
          <w:p w14:paraId="5376ABA2">
            <w:pPr>
              <w:pStyle w:val="5"/>
              <w:spacing w:before="0" w:beforeAutospacing="0" w:after="0" w:afterAutospacing="0" w:line="360" w:lineRule="auto"/>
              <w:ind w:firstLine="420"/>
              <w:rPr>
                <w:rFonts w:hint="eastAsia"/>
              </w:rPr>
            </w:pPr>
            <w:r>
              <w:rPr>
                <w:rFonts w:hint="eastAsia"/>
              </w:rPr>
              <w:t xml:space="preserve">0.50% </w:t>
            </w:r>
          </w:p>
        </w:tc>
      </w:tr>
      <w:tr w14:paraId="7C6E5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shd w:val="clear" w:color="auto" w:fill="auto"/>
          </w:tcPr>
          <w:p w14:paraId="5020CB45">
            <w:pPr>
              <w:pStyle w:val="5"/>
              <w:spacing w:before="0" w:beforeAutospacing="0" w:after="0" w:afterAutospacing="0" w:line="360" w:lineRule="auto"/>
              <w:ind w:firstLine="420"/>
              <w:rPr>
                <w:rFonts w:hint="eastAsia"/>
              </w:rPr>
            </w:pPr>
            <w:r>
              <w:rPr>
                <w:rFonts w:hint="eastAsia"/>
              </w:rPr>
              <w:t xml:space="preserve">300万≤M＜500万 </w:t>
            </w:r>
          </w:p>
        </w:tc>
        <w:tc>
          <w:tcPr>
            <w:tcW w:w="0" w:type="auto"/>
            <w:shd w:val="clear" w:color="auto" w:fill="auto"/>
          </w:tcPr>
          <w:p w14:paraId="3657A66C">
            <w:pPr>
              <w:pStyle w:val="5"/>
              <w:spacing w:before="0" w:beforeAutospacing="0" w:after="0" w:afterAutospacing="0" w:line="360" w:lineRule="auto"/>
              <w:ind w:firstLine="420"/>
              <w:rPr>
                <w:rFonts w:hint="eastAsia"/>
              </w:rPr>
            </w:pPr>
            <w:r>
              <w:rPr>
                <w:rFonts w:hint="eastAsia"/>
              </w:rPr>
              <w:t xml:space="preserve">0.30% </w:t>
            </w:r>
          </w:p>
        </w:tc>
      </w:tr>
      <w:tr w14:paraId="6A979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shd w:val="clear" w:color="auto" w:fill="auto"/>
          </w:tcPr>
          <w:p w14:paraId="1E39B17B">
            <w:pPr>
              <w:pStyle w:val="5"/>
              <w:spacing w:before="0" w:beforeAutospacing="0" w:after="0" w:afterAutospacing="0" w:line="360" w:lineRule="auto"/>
              <w:ind w:firstLine="420"/>
              <w:rPr>
                <w:rFonts w:hint="eastAsia"/>
              </w:rPr>
            </w:pPr>
            <w:r>
              <w:rPr>
                <w:rFonts w:hint="eastAsia"/>
              </w:rPr>
              <w:t xml:space="preserve">M≥500万 </w:t>
            </w:r>
          </w:p>
        </w:tc>
        <w:tc>
          <w:tcPr>
            <w:tcW w:w="0" w:type="auto"/>
            <w:shd w:val="clear" w:color="auto" w:fill="auto"/>
          </w:tcPr>
          <w:p w14:paraId="56AC2779">
            <w:pPr>
              <w:pStyle w:val="5"/>
              <w:spacing w:before="0" w:beforeAutospacing="0" w:after="0" w:afterAutospacing="0" w:line="360" w:lineRule="auto"/>
              <w:ind w:firstLine="420"/>
              <w:rPr>
                <w:rFonts w:hint="eastAsia"/>
              </w:rPr>
            </w:pPr>
            <w:r>
              <w:rPr>
                <w:rFonts w:hint="eastAsia"/>
              </w:rPr>
              <w:t xml:space="preserve">每笔1000元 </w:t>
            </w:r>
          </w:p>
        </w:tc>
      </w:tr>
    </w:tbl>
    <w:p w14:paraId="5EBDB6FE">
      <w:pPr>
        <w:pStyle w:val="5"/>
        <w:spacing w:before="0" w:beforeAutospacing="0" w:after="0" w:afterAutospacing="0" w:line="360" w:lineRule="auto"/>
        <w:ind w:firstLine="420"/>
        <w:rPr>
          <w:rFonts w:hint="eastAsia"/>
        </w:rPr>
      </w:pPr>
      <w:r>
        <w:rPr>
          <w:rFonts w:hint="eastAsia"/>
        </w:rPr>
        <w:t xml:space="preserve">本基金的申购费用由投资人承担，主要用于本基金的市场推广、销售、登记等各项费用，不列入基金财产。 </w:t>
      </w:r>
    </w:p>
    <w:p w14:paraId="1675C9EA">
      <w:pPr>
        <w:pStyle w:val="3"/>
        <w:rPr>
          <w:rFonts w:hint="eastAsia" w:ascii="宋体" w:hAnsi="宋体" w:eastAsia="宋体"/>
          <w:sz w:val="24"/>
        </w:rPr>
      </w:pPr>
      <w:r>
        <w:rPr>
          <w:rFonts w:hint="eastAsia" w:ascii="宋体" w:hAnsi="宋体" w:eastAsia="宋体"/>
          <w:sz w:val="24"/>
        </w:rPr>
        <w:t>3.3其他与申购相关的事项</w:t>
      </w:r>
    </w:p>
    <w:p w14:paraId="7B34F0F1">
      <w:pPr>
        <w:pStyle w:val="5"/>
        <w:spacing w:before="0" w:beforeAutospacing="0" w:after="0" w:afterAutospacing="0" w:line="360" w:lineRule="auto"/>
        <w:ind w:firstLine="420"/>
      </w:pPr>
      <w:r>
        <w:rPr>
          <w:rFonts w:hint="eastAsia"/>
        </w:rPr>
        <w:t xml:space="preserve">1）基金管理人可在法律法规允许的情况下调整申购金额的数量限制，基金管理人必须在调整实施前依照《公开募集证券投资基金信息披露管理办法》的有关规定在规定媒介上公告。 </w:t>
      </w:r>
    </w:p>
    <w:p w14:paraId="24EDC28C">
      <w:pPr>
        <w:pStyle w:val="5"/>
        <w:spacing w:before="0" w:beforeAutospacing="0" w:after="0" w:afterAutospacing="0" w:line="360" w:lineRule="auto"/>
        <w:ind w:firstLine="420"/>
        <w:rPr>
          <w:rFonts w:hint="eastAsia"/>
        </w:rPr>
      </w:pPr>
      <w:r>
        <w:rPr>
          <w:rFonts w:hint="eastAsia"/>
        </w:rPr>
        <w:t xml:space="preserve">2）基金管理人可以在基金合同约定的范围内调整申购费率或收费方式，并依照《公开募集证券投资基金信息披露管理办法》的有关规定在规定媒介上公告。 </w:t>
      </w:r>
    </w:p>
    <w:p w14:paraId="4B609EFD">
      <w:pPr>
        <w:pStyle w:val="2"/>
        <w:rPr>
          <w:rFonts w:ascii="宋体" w:hAnsi="宋体" w:eastAsia="宋体"/>
          <w:sz w:val="24"/>
        </w:rPr>
      </w:pPr>
      <w:r>
        <w:rPr>
          <w:rFonts w:ascii="宋体" w:hAnsi="宋体" w:eastAsia="宋体"/>
          <w:sz w:val="24"/>
        </w:rPr>
        <w:t>4、日常赎回业务</w:t>
      </w:r>
    </w:p>
    <w:p w14:paraId="624F0DF2">
      <w:pPr>
        <w:pStyle w:val="3"/>
        <w:rPr>
          <w:rFonts w:hint="eastAsia" w:ascii="宋体" w:hAnsi="宋体" w:eastAsia="宋体"/>
          <w:sz w:val="24"/>
        </w:rPr>
      </w:pPr>
      <w:r>
        <w:rPr>
          <w:rFonts w:hint="eastAsia" w:ascii="宋体" w:hAnsi="宋体" w:eastAsia="宋体"/>
          <w:sz w:val="24"/>
        </w:rPr>
        <w:t>4.1赎回份额限制</w:t>
      </w:r>
    </w:p>
    <w:p w14:paraId="4C8825EC">
      <w:pPr>
        <w:pStyle w:val="5"/>
        <w:spacing w:before="0" w:beforeAutospacing="0" w:after="0" w:afterAutospacing="0" w:line="360" w:lineRule="auto"/>
        <w:ind w:firstLine="420"/>
        <w:rPr>
          <w:rFonts w:hint="eastAsia"/>
        </w:rPr>
      </w:pPr>
      <w:r>
        <w:rPr>
          <w:rFonts w:hint="eastAsia"/>
        </w:rPr>
        <w:t xml:space="preserve">每个交易账户最低持有基金份额余额为1份，若某笔赎回导致单个交易账户的基金份额余额少于1份时，余额部分基金份额必须一同赎回。 </w:t>
      </w:r>
    </w:p>
    <w:p w14:paraId="4208A8CF">
      <w:pPr>
        <w:pStyle w:val="3"/>
        <w:rPr>
          <w:rFonts w:ascii="宋体" w:hAnsi="宋体" w:eastAsia="宋体"/>
          <w:sz w:val="24"/>
        </w:rPr>
      </w:pPr>
      <w:r>
        <w:rPr>
          <w:rFonts w:ascii="宋体" w:hAnsi="宋体" w:eastAsia="宋体"/>
          <w:sz w:val="24"/>
        </w:rPr>
        <w:t>4.2赎回费率</w:t>
      </w:r>
    </w:p>
    <w:tbl>
      <w:tblPr>
        <w:tblStyle w:val="7"/>
        <w:tblW w:w="556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35"/>
        <w:gridCol w:w="1845"/>
      </w:tblGrid>
      <w:tr w14:paraId="66969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26" w:type="pct"/>
            <w:shd w:val="clear" w:color="auto" w:fill="auto"/>
          </w:tcPr>
          <w:p w14:paraId="73A9FB80">
            <w:pPr>
              <w:pStyle w:val="5"/>
              <w:spacing w:before="0" w:beforeAutospacing="0" w:after="0" w:afterAutospacing="0" w:line="360" w:lineRule="auto"/>
              <w:ind w:firstLine="420"/>
              <w:rPr>
                <w:rFonts w:hint="eastAsia"/>
              </w:rPr>
            </w:pPr>
            <w:bookmarkStart w:id="0" w:name="_GoBack"/>
            <w:r>
              <w:rPr>
                <w:rFonts w:hint="eastAsia"/>
              </w:rPr>
              <w:t xml:space="preserve">持有时间 </w:t>
            </w:r>
          </w:p>
        </w:tc>
        <w:tc>
          <w:tcPr>
            <w:tcW w:w="973" w:type="pct"/>
            <w:shd w:val="clear" w:color="auto" w:fill="auto"/>
          </w:tcPr>
          <w:p w14:paraId="69F07CCC">
            <w:pPr>
              <w:pStyle w:val="5"/>
              <w:spacing w:before="0" w:beforeAutospacing="0" w:after="0" w:afterAutospacing="0" w:line="360" w:lineRule="auto"/>
              <w:ind w:firstLine="420"/>
              <w:rPr>
                <w:rFonts w:hint="eastAsia"/>
              </w:rPr>
            </w:pPr>
            <w:r>
              <w:rPr>
                <w:rFonts w:hint="eastAsia"/>
              </w:rPr>
              <w:t xml:space="preserve">赎回费率 </w:t>
            </w:r>
          </w:p>
        </w:tc>
      </w:tr>
      <w:tr w14:paraId="321BE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26" w:type="pct"/>
            <w:shd w:val="clear" w:color="auto" w:fill="auto"/>
          </w:tcPr>
          <w:p w14:paraId="37CBEB9A">
            <w:pPr>
              <w:pStyle w:val="5"/>
              <w:spacing w:before="0" w:beforeAutospacing="0" w:after="0" w:afterAutospacing="0" w:line="360" w:lineRule="auto"/>
              <w:ind w:firstLine="420"/>
              <w:rPr>
                <w:rFonts w:hint="eastAsia"/>
              </w:rPr>
            </w:pPr>
            <w:r>
              <w:rPr>
                <w:rFonts w:hint="eastAsia"/>
              </w:rPr>
              <w:t xml:space="preserve">在同一开放期内申购后又赎回且持续持有期限少于7日的 </w:t>
            </w:r>
          </w:p>
        </w:tc>
        <w:tc>
          <w:tcPr>
            <w:tcW w:w="973" w:type="pct"/>
            <w:shd w:val="clear" w:color="auto" w:fill="auto"/>
          </w:tcPr>
          <w:p w14:paraId="48F4674A">
            <w:pPr>
              <w:pStyle w:val="5"/>
              <w:spacing w:before="0" w:beforeAutospacing="0" w:after="0" w:afterAutospacing="0" w:line="360" w:lineRule="auto"/>
              <w:ind w:firstLine="420"/>
              <w:rPr>
                <w:rFonts w:hint="eastAsia"/>
              </w:rPr>
            </w:pPr>
            <w:r>
              <w:rPr>
                <w:rFonts w:hint="eastAsia"/>
              </w:rPr>
              <w:t xml:space="preserve">1.50% </w:t>
            </w:r>
          </w:p>
        </w:tc>
      </w:tr>
      <w:tr w14:paraId="7B7AC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26" w:type="pct"/>
            <w:shd w:val="clear" w:color="auto" w:fill="auto"/>
          </w:tcPr>
          <w:p w14:paraId="0CE1146D">
            <w:pPr>
              <w:pStyle w:val="5"/>
              <w:spacing w:before="0" w:beforeAutospacing="0" w:after="0" w:afterAutospacing="0" w:line="360" w:lineRule="auto"/>
              <w:ind w:firstLine="420"/>
              <w:rPr>
                <w:rFonts w:hint="eastAsia"/>
              </w:rPr>
            </w:pPr>
            <w:r>
              <w:rPr>
                <w:rFonts w:hint="eastAsia"/>
              </w:rPr>
              <w:t>在同一开放期内申购后又赎回且持续持有期限大于等于7日的</w:t>
            </w:r>
          </w:p>
        </w:tc>
        <w:tc>
          <w:tcPr>
            <w:tcW w:w="973" w:type="pct"/>
            <w:shd w:val="clear" w:color="auto" w:fill="auto"/>
          </w:tcPr>
          <w:p w14:paraId="47238DD7">
            <w:pPr>
              <w:pStyle w:val="5"/>
              <w:spacing w:before="0" w:beforeAutospacing="0" w:after="0" w:afterAutospacing="0" w:line="360" w:lineRule="auto"/>
              <w:ind w:firstLine="420"/>
              <w:rPr>
                <w:rFonts w:hint="eastAsia"/>
              </w:rPr>
            </w:pPr>
            <w:r>
              <w:rPr>
                <w:rFonts w:hint="eastAsia"/>
              </w:rPr>
              <w:t xml:space="preserve">0.10% </w:t>
            </w:r>
          </w:p>
        </w:tc>
      </w:tr>
      <w:tr w14:paraId="25E0B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26" w:type="pct"/>
            <w:shd w:val="clear" w:color="auto" w:fill="auto"/>
          </w:tcPr>
          <w:p w14:paraId="37DC281E">
            <w:pPr>
              <w:pStyle w:val="5"/>
              <w:spacing w:before="0" w:beforeAutospacing="0" w:after="0" w:afterAutospacing="0" w:line="360" w:lineRule="auto"/>
              <w:ind w:firstLine="420"/>
              <w:rPr>
                <w:rFonts w:hint="eastAsia"/>
              </w:rPr>
            </w:pPr>
            <w:r>
              <w:rPr>
                <w:rFonts w:hint="eastAsia"/>
              </w:rPr>
              <w:t xml:space="preserve">在非同一开放期申购后赎回 </w:t>
            </w:r>
          </w:p>
        </w:tc>
        <w:tc>
          <w:tcPr>
            <w:tcW w:w="973" w:type="pct"/>
            <w:shd w:val="clear" w:color="auto" w:fill="auto"/>
          </w:tcPr>
          <w:p w14:paraId="07FEB9A7">
            <w:pPr>
              <w:pStyle w:val="5"/>
              <w:spacing w:before="0" w:beforeAutospacing="0" w:after="0" w:afterAutospacing="0" w:line="360" w:lineRule="auto"/>
              <w:ind w:firstLine="420"/>
              <w:rPr>
                <w:rFonts w:hint="eastAsia"/>
              </w:rPr>
            </w:pPr>
            <w:r>
              <w:rPr>
                <w:rFonts w:hint="eastAsia"/>
              </w:rPr>
              <w:t xml:space="preserve">0% </w:t>
            </w:r>
          </w:p>
        </w:tc>
      </w:tr>
      <w:bookmarkEnd w:id="0"/>
    </w:tbl>
    <w:p w14:paraId="05FA1DB4">
      <w:pPr>
        <w:pStyle w:val="5"/>
        <w:spacing w:before="0" w:beforeAutospacing="0" w:after="0" w:afterAutospacing="0" w:line="360" w:lineRule="auto"/>
        <w:ind w:firstLine="420"/>
        <w:rPr>
          <w:rFonts w:hint="eastAsia"/>
        </w:rPr>
      </w:pPr>
      <w:r>
        <w:rPr>
          <w:rFonts w:hint="eastAsia"/>
        </w:rPr>
        <w:t xml:space="preserve">本基金的赎回费用由基金份额持有人承担，向在同一开放期内申购后又赎回且持续持有期限少于7日的投资者收取的赎回费全额计入基金财产，向在同一开放期内申购后又赎回且持续持有期限大于等于7日的投资者收取的赎回费总额的25%计入基金财产。 </w:t>
      </w:r>
    </w:p>
    <w:p w14:paraId="70A21354">
      <w:pPr>
        <w:pStyle w:val="5"/>
        <w:spacing w:before="0" w:beforeAutospacing="0" w:after="0" w:afterAutospacing="0" w:line="360" w:lineRule="auto"/>
        <w:ind w:firstLine="420"/>
        <w:rPr>
          <w:rFonts w:hint="eastAsia"/>
        </w:rPr>
      </w:pPr>
      <w:r>
        <w:rPr>
          <w:rFonts w:hint="eastAsia"/>
        </w:rPr>
        <w:t xml:space="preserve">对于每份申购份额，持有期指自该基金份额申购确认日至赎回确认日（不含该日）。 </w:t>
      </w:r>
    </w:p>
    <w:p w14:paraId="1FCD9DB4">
      <w:pPr>
        <w:pStyle w:val="3"/>
        <w:rPr>
          <w:rFonts w:hint="eastAsia" w:ascii="宋体" w:hAnsi="宋体" w:eastAsia="宋体"/>
          <w:sz w:val="24"/>
        </w:rPr>
      </w:pPr>
      <w:r>
        <w:rPr>
          <w:rFonts w:hint="eastAsia" w:ascii="宋体" w:hAnsi="宋体" w:eastAsia="宋体"/>
          <w:sz w:val="24"/>
        </w:rPr>
        <w:t>4.3其他与赎回相关的事项</w:t>
      </w:r>
    </w:p>
    <w:p w14:paraId="615CC3E1">
      <w:pPr>
        <w:pStyle w:val="5"/>
        <w:spacing w:before="0" w:beforeAutospacing="0" w:after="0" w:afterAutospacing="0" w:line="360" w:lineRule="auto"/>
        <w:ind w:firstLine="420"/>
      </w:pPr>
      <w:r>
        <w:rPr>
          <w:rFonts w:hint="eastAsia"/>
        </w:rPr>
        <w:t xml:space="preserve">1）基金管理人可在法律法规允许的情况下调整赎回份额的数量限制，基金管理人必须在调整实施前依照《公开募集证券投资基金信息披露管理办法》的有关规定在规定媒介上公告。 </w:t>
      </w:r>
    </w:p>
    <w:p w14:paraId="08D887DD">
      <w:pPr>
        <w:pStyle w:val="5"/>
        <w:spacing w:before="0" w:beforeAutospacing="0" w:after="0" w:afterAutospacing="0" w:line="360" w:lineRule="auto"/>
        <w:ind w:firstLine="420"/>
        <w:rPr>
          <w:rFonts w:hint="eastAsia"/>
        </w:rPr>
      </w:pPr>
      <w:r>
        <w:rPr>
          <w:rFonts w:hint="eastAsia"/>
        </w:rPr>
        <w:t xml:space="preserve">2）基金管理人可以在基金合同约定的范围内调整赎回费率或收费方式，并依照《公开募集证券投资基金信息披露管理办法》的有关规定在规定媒介上公告。 </w:t>
      </w:r>
    </w:p>
    <w:p w14:paraId="238E6350">
      <w:pPr>
        <w:pStyle w:val="2"/>
        <w:rPr>
          <w:rFonts w:ascii="宋体" w:hAnsi="宋体" w:eastAsia="宋体"/>
          <w:sz w:val="24"/>
        </w:rPr>
      </w:pPr>
      <w:r>
        <w:rPr>
          <w:rFonts w:ascii="宋体" w:hAnsi="宋体" w:eastAsia="宋体"/>
          <w:sz w:val="24"/>
        </w:rPr>
        <w:t>5、基金销售机构</w:t>
      </w:r>
    </w:p>
    <w:p w14:paraId="2EFDC40D">
      <w:pPr>
        <w:pStyle w:val="3"/>
        <w:rPr>
          <w:rFonts w:hint="eastAsia" w:ascii="宋体" w:hAnsi="宋体" w:eastAsia="宋体"/>
          <w:sz w:val="24"/>
        </w:rPr>
      </w:pPr>
      <w:r>
        <w:rPr>
          <w:rFonts w:hint="eastAsia" w:ascii="宋体" w:hAnsi="宋体" w:eastAsia="宋体"/>
          <w:sz w:val="24"/>
        </w:rPr>
        <w:t>5.1场外销售机构</w:t>
      </w:r>
    </w:p>
    <w:p w14:paraId="5EC0D101">
      <w:pPr>
        <w:pStyle w:val="4"/>
        <w:rPr>
          <w:rFonts w:hint="eastAsia" w:ascii="宋体" w:hAnsi="宋体" w:eastAsia="宋体"/>
          <w:sz w:val="24"/>
        </w:rPr>
      </w:pPr>
      <w:r>
        <w:rPr>
          <w:rFonts w:hint="eastAsia" w:ascii="宋体" w:hAnsi="宋体" w:eastAsia="宋体"/>
          <w:sz w:val="24"/>
        </w:rPr>
        <w:t>5.1.1直销机构</w:t>
      </w:r>
    </w:p>
    <w:p w14:paraId="385D02DE">
      <w:pPr>
        <w:pStyle w:val="5"/>
        <w:spacing w:before="0" w:beforeAutospacing="0" w:after="0" w:afterAutospacing="0" w:line="360" w:lineRule="auto"/>
        <w:ind w:firstLine="420"/>
      </w:pPr>
      <w:r>
        <w:rPr>
          <w:rFonts w:hint="eastAsia"/>
        </w:rPr>
        <w:t xml:space="preserve">博时基金管理有限公司直销机构（含直销中心及直销网上交易）。 </w:t>
      </w:r>
    </w:p>
    <w:p w14:paraId="3D810CE9">
      <w:pPr>
        <w:pStyle w:val="5"/>
        <w:spacing w:before="0" w:beforeAutospacing="0" w:after="0" w:afterAutospacing="0" w:line="360" w:lineRule="auto"/>
        <w:ind w:firstLine="420"/>
        <w:rPr>
          <w:rFonts w:hint="eastAsia"/>
        </w:rPr>
      </w:pPr>
      <w:r>
        <w:rPr>
          <w:rFonts w:hint="eastAsia"/>
        </w:rPr>
        <w:t xml:space="preserve">投资者如需办理直销网上交易，可登录本公司网站https://www.bosera.com参阅《博时基金管理有限公司开放式基金业务规则》、《博时基金管理有限公司网上交易业务规则》等办理相关开户、申购和赎回等业务。 </w:t>
      </w:r>
    </w:p>
    <w:p w14:paraId="40EF2C33">
      <w:pPr>
        <w:pStyle w:val="4"/>
        <w:rPr>
          <w:rFonts w:ascii="宋体" w:hAnsi="宋体" w:eastAsia="宋体"/>
          <w:sz w:val="24"/>
        </w:rPr>
      </w:pPr>
      <w:r>
        <w:rPr>
          <w:rFonts w:ascii="宋体" w:hAnsi="宋体" w:eastAsia="宋体"/>
          <w:sz w:val="24"/>
        </w:rPr>
        <w:t>5.1.2场外非直销机构</w:t>
      </w:r>
    </w:p>
    <w:p w14:paraId="639A8D41">
      <w:pPr>
        <w:pStyle w:val="5"/>
        <w:spacing w:before="0" w:beforeAutospacing="0" w:after="0" w:afterAutospacing="0" w:line="360" w:lineRule="auto"/>
        <w:ind w:firstLine="420"/>
      </w:pPr>
      <w:r>
        <w:rPr>
          <w:rFonts w:hint="eastAsia"/>
        </w:rPr>
        <w:t xml:space="preserve">中国邮政储蓄银行股份有限公司、博时财富基金销售有限公司、上海天天基金销售有限公司、蚂蚁（杭州）基金销售有限公司、北京汇成基金销售有限公司、上海基煜基金销售有限公司、珠海盈米基金销售有限公司、中信建投证券股份有限公司、招商证券股份有限公司、华泰证券股份有限公司、中国国际金融股份有限公司、中国中金财富证券有限公司 </w:t>
      </w:r>
    </w:p>
    <w:p w14:paraId="0F97DD59">
      <w:pPr>
        <w:pStyle w:val="5"/>
        <w:spacing w:before="0" w:beforeAutospacing="0" w:after="0" w:afterAutospacing="0" w:line="360" w:lineRule="auto"/>
        <w:ind w:firstLine="420"/>
        <w:rPr>
          <w:rFonts w:hint="eastAsia"/>
        </w:rPr>
      </w:pPr>
      <w:r>
        <w:rPr>
          <w:rFonts w:hint="eastAsia"/>
        </w:rPr>
        <w:t xml:space="preserve">除上述机构外，其他销售机构如以后开展上述业务，本公司可不再另行公告，以各销售机构为准。各代销机构可销售的基金份额类别、可办理的基金业务类型及其具体业务办理状况遵循其各自规定执行。 </w:t>
      </w:r>
    </w:p>
    <w:p w14:paraId="53171D00">
      <w:pPr>
        <w:pStyle w:val="2"/>
        <w:rPr>
          <w:rFonts w:ascii="宋体" w:hAnsi="宋体" w:eastAsia="宋体"/>
          <w:sz w:val="24"/>
        </w:rPr>
      </w:pPr>
      <w:r>
        <w:rPr>
          <w:rFonts w:ascii="宋体" w:hAnsi="宋体" w:eastAsia="宋体"/>
          <w:sz w:val="24"/>
        </w:rPr>
        <w:t xml:space="preserve">6、基金份额净值公告/基金收益公告的披露安排 </w:t>
      </w:r>
    </w:p>
    <w:p w14:paraId="187F99AD">
      <w:pPr>
        <w:pStyle w:val="5"/>
        <w:spacing w:before="0" w:beforeAutospacing="0" w:after="0" w:afterAutospacing="0" w:line="360" w:lineRule="auto"/>
        <w:ind w:firstLine="420"/>
      </w:pPr>
      <w:r>
        <w:rPr>
          <w:rFonts w:hint="eastAsia"/>
        </w:rPr>
        <w:t xml:space="preserve">《基金合同》生效后，在封闭期内，基金管理人应当至少每周在指定网站披露一次基金份额净值和基金份额累计净值。 </w:t>
      </w:r>
    </w:p>
    <w:p w14:paraId="246EC5AB">
      <w:pPr>
        <w:pStyle w:val="5"/>
        <w:spacing w:before="0" w:beforeAutospacing="0" w:after="0" w:afterAutospacing="0" w:line="360" w:lineRule="auto"/>
        <w:ind w:firstLine="420"/>
        <w:rPr>
          <w:rFonts w:hint="eastAsia"/>
        </w:rPr>
      </w:pPr>
      <w:r>
        <w:rPr>
          <w:rFonts w:hint="eastAsia"/>
        </w:rPr>
        <w:t xml:space="preserve">在开放期内，基金管理人应当在不晚于每个开放日的次日，通过指定网站、基金销售机构网站或者营业网点披露开放日的基金份额净值和基金份额累计净值。 </w:t>
      </w:r>
    </w:p>
    <w:p w14:paraId="7A38594E">
      <w:pPr>
        <w:pStyle w:val="5"/>
        <w:spacing w:before="0" w:beforeAutospacing="0" w:after="0" w:afterAutospacing="0" w:line="360" w:lineRule="auto"/>
        <w:ind w:firstLine="420"/>
        <w:rPr>
          <w:rFonts w:hint="eastAsia"/>
        </w:rPr>
      </w:pPr>
      <w:r>
        <w:rPr>
          <w:rFonts w:hint="eastAsia"/>
        </w:rPr>
        <w:t xml:space="preserve">基金管理人应当在不晚于半年度和年度最后一日的次日，在指定网站披露半年度和年度最后一日的基金份额净值和基金份额累计净值。 </w:t>
      </w:r>
    </w:p>
    <w:p w14:paraId="2A64997F">
      <w:pPr>
        <w:pStyle w:val="2"/>
        <w:rPr>
          <w:rFonts w:ascii="宋体" w:hAnsi="宋体" w:eastAsia="宋体"/>
          <w:sz w:val="24"/>
        </w:rPr>
      </w:pPr>
      <w:r>
        <w:rPr>
          <w:rFonts w:ascii="宋体" w:hAnsi="宋体" w:eastAsia="宋体"/>
          <w:sz w:val="24"/>
        </w:rPr>
        <w:t>7、其他需要提示的事项</w:t>
      </w:r>
    </w:p>
    <w:p w14:paraId="0D759AC6">
      <w:pPr>
        <w:pStyle w:val="5"/>
        <w:spacing w:before="0" w:beforeAutospacing="0" w:after="0" w:afterAutospacing="0" w:line="360" w:lineRule="auto"/>
        <w:ind w:firstLine="420"/>
      </w:pPr>
      <w:r>
        <w:rPr>
          <w:rFonts w:hint="eastAsia"/>
        </w:rPr>
        <w:t xml:space="preserve">（1）本公告仅对博时裕坤纯债3个月定期开放债券型发起式证券投资基金本次办理申购、赎回业务等相关事项予以说明。投资者欲了解本基金的详细情况，可于本基金管理人网站或相关销售机构查阅本基金相关法律文件及资料。本公告的解释权归本基金管理人所有。 </w:t>
      </w:r>
    </w:p>
    <w:p w14:paraId="7AC633B7">
      <w:pPr>
        <w:pStyle w:val="5"/>
        <w:spacing w:before="0" w:beforeAutospacing="0" w:after="0" w:afterAutospacing="0" w:line="360" w:lineRule="auto"/>
        <w:ind w:firstLine="420"/>
        <w:rPr>
          <w:rFonts w:hint="eastAsia"/>
        </w:rPr>
      </w:pPr>
      <w:r>
        <w:rPr>
          <w:rFonts w:hint="eastAsia"/>
        </w:rPr>
        <w:t xml:space="preserve">（2）2026年6月15日为本基金本次的开放期，即在开放期内接受办理本基金份额的申购、赎回业务，在开放期内，基金管理人可根据基金合同的相关规定调整开放日期，具体请见届时发布的相关公告。开放期最后一个工作日15：00以后暂停接受办理本基金的申购、赎回业务直至下一个开放期。届时将不再另行公告。 </w:t>
      </w:r>
    </w:p>
    <w:p w14:paraId="40FD2558">
      <w:pPr>
        <w:pStyle w:val="5"/>
        <w:spacing w:before="0" w:beforeAutospacing="0" w:after="0" w:afterAutospacing="0" w:line="360" w:lineRule="auto"/>
        <w:ind w:firstLine="420"/>
        <w:rPr>
          <w:rFonts w:hint="eastAsia"/>
        </w:rPr>
      </w:pPr>
      <w:r>
        <w:rPr>
          <w:rFonts w:hint="eastAsia"/>
        </w:rPr>
        <w:t xml:space="preserve">（3）风险提示：本基金管理人承诺诚实信用地管理和运用基金财产，但不保证基金一定盈利，也不保证最低收益。基金的过往业绩并不代表其未来表现。投资有风险，敬请投资人认真阅读基金的相关法律文件，并选择适合自身风险承受能力的投资品种进行投资。 </w:t>
      </w:r>
    </w:p>
    <w:p w14:paraId="3F7879FB">
      <w:pPr>
        <w:pStyle w:val="5"/>
        <w:spacing w:before="0" w:beforeAutospacing="0" w:after="0" w:afterAutospacing="0" w:line="360" w:lineRule="auto"/>
        <w:ind w:firstLine="420"/>
        <w:rPr>
          <w:rFonts w:hint="eastAsia"/>
        </w:rPr>
      </w:pPr>
      <w:r>
        <w:rPr>
          <w:rFonts w:hint="eastAsia"/>
        </w:rPr>
        <w:t xml:space="preserve">特此公告。 </w:t>
      </w:r>
    </w:p>
    <w:p w14:paraId="085257FE">
      <w:pPr>
        <w:pStyle w:val="5"/>
        <w:spacing w:before="0" w:beforeAutospacing="0" w:after="0" w:afterAutospacing="0" w:line="360" w:lineRule="auto"/>
        <w:ind w:firstLine="420"/>
      </w:pPr>
    </w:p>
    <w:p w14:paraId="6A75686D">
      <w:pPr>
        <w:pStyle w:val="5"/>
        <w:spacing w:before="0" w:beforeAutospacing="0" w:after="0" w:afterAutospacing="0" w:line="360" w:lineRule="auto"/>
        <w:ind w:firstLine="420"/>
      </w:pPr>
    </w:p>
    <w:p w14:paraId="4CE8F56D">
      <w:pPr>
        <w:pStyle w:val="5"/>
        <w:spacing w:before="0" w:beforeAutospacing="0" w:after="0" w:afterAutospacing="0" w:line="360" w:lineRule="auto"/>
        <w:ind w:firstLine="420"/>
      </w:pPr>
    </w:p>
    <w:p w14:paraId="4AE1F947">
      <w:pPr>
        <w:pStyle w:val="5"/>
        <w:spacing w:before="0" w:beforeAutospacing="0" w:after="0" w:afterAutospacing="0" w:line="360" w:lineRule="auto"/>
        <w:ind w:firstLine="420"/>
        <w:jc w:val="right"/>
        <w:rPr>
          <w:rFonts w:hint="eastAsia"/>
        </w:rPr>
      </w:pPr>
      <w:r>
        <w:rPr>
          <w:rFonts w:hint="eastAsia"/>
        </w:rPr>
        <w:t>博时基金管理有限公司</w:t>
      </w:r>
    </w:p>
    <w:p w14:paraId="2EA9DE9C">
      <w:pPr>
        <w:pStyle w:val="5"/>
        <w:spacing w:before="0" w:beforeAutospacing="0" w:after="0" w:afterAutospacing="0" w:line="360" w:lineRule="auto"/>
        <w:ind w:firstLine="420"/>
        <w:jc w:val="right"/>
      </w:pPr>
      <w:r>
        <w:t>2026年6月4日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733C"/>
    <w:rsid w:val="0069733C"/>
    <w:rsid w:val="00CE4F70"/>
    <w:rsid w:val="4F5C6703"/>
    <w:rsid w:val="73B776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9"/>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3">
    <w:name w:val="heading 3"/>
    <w:basedOn w:val="1"/>
    <w:next w:val="1"/>
    <w:link w:val="10"/>
    <w:unhideWhenUsed/>
    <w:qFormat/>
    <w:uiPriority w:val="9"/>
    <w:pPr>
      <w:keepNext/>
      <w:keepLines/>
      <w:spacing w:before="260" w:after="260" w:line="416" w:lineRule="auto"/>
      <w:outlineLvl w:val="2"/>
    </w:pPr>
    <w:rPr>
      <w:b/>
      <w:bCs/>
      <w:sz w:val="32"/>
      <w:szCs w:val="32"/>
    </w:rPr>
  </w:style>
  <w:style w:type="paragraph" w:styleId="4">
    <w:name w:val="heading 4"/>
    <w:basedOn w:val="1"/>
    <w:next w:val="1"/>
    <w:link w:val="11"/>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8">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5">
    <w:name w:val="Normal (Web)"/>
    <w:basedOn w:val="1"/>
    <w:unhideWhenUsed/>
    <w:uiPriority w:val="99"/>
    <w:pPr>
      <w:widowControl/>
      <w:spacing w:before="100" w:beforeAutospacing="1" w:after="100" w:afterAutospacing="1"/>
      <w:jc w:val="left"/>
    </w:pPr>
    <w:rPr>
      <w:rFonts w:ascii="宋体" w:hAnsi="宋体" w:eastAsia="宋体" w:cs="宋体"/>
      <w:kern w:val="0"/>
      <w:sz w:val="24"/>
      <w:szCs w:val="24"/>
    </w:rPr>
  </w:style>
  <w:style w:type="table" w:styleId="7">
    <w:name w:val="Table Grid"/>
    <w:basedOn w:val="6"/>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
    <w:name w:val="标题 2 Char"/>
    <w:basedOn w:val="8"/>
    <w:link w:val="2"/>
    <w:uiPriority w:val="9"/>
    <w:rPr>
      <w:rFonts w:asciiTheme="majorHAnsi" w:hAnsiTheme="majorHAnsi" w:eastAsiaTheme="majorEastAsia" w:cstheme="majorBidi"/>
      <w:b/>
      <w:bCs/>
      <w:sz w:val="32"/>
      <w:szCs w:val="32"/>
    </w:rPr>
  </w:style>
  <w:style w:type="character" w:customStyle="1" w:styleId="10">
    <w:name w:val="标题 3 Char"/>
    <w:basedOn w:val="8"/>
    <w:link w:val="3"/>
    <w:qFormat/>
    <w:uiPriority w:val="9"/>
    <w:rPr>
      <w:b/>
      <w:bCs/>
      <w:sz w:val="32"/>
      <w:szCs w:val="32"/>
    </w:rPr>
  </w:style>
  <w:style w:type="character" w:customStyle="1" w:styleId="11">
    <w:name w:val="标题 4 Char"/>
    <w:basedOn w:val="8"/>
    <w:link w:val="4"/>
    <w:qFormat/>
    <w:uiPriority w:val="9"/>
    <w:rPr>
      <w:rFonts w:asciiTheme="majorHAnsi" w:hAnsiTheme="majorHAnsi" w:eastAsiaTheme="majorEastAsia" w:cstheme="majorBidi"/>
      <w:b/>
      <w:bCs/>
      <w:sz w:val="28"/>
      <w:szCs w:val="2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6</Pages>
  <Words>465</Words>
  <Characters>2652</Characters>
  <Lines>22</Lines>
  <Paragraphs>6</Paragraphs>
  <TotalTime>0</TotalTime>
  <ScaleCrop>false</ScaleCrop>
  <LinksUpToDate>false</LinksUpToDate>
  <CharactersWithSpaces>3111</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2026-06-03T05:16:00Z</dcterms:created>
  <dc:creator>BSKMadminDev</dc:creator>
  <cp:lastModifiedBy>panan</cp:lastModifiedBy>
  <dcterms:modified xsi:type="dcterms:W3CDTF">2026-06-03T05:23:15Z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D07A1D981BA4433DB0002C0931927840_13</vt:lpwstr>
  </property>
</Properties>
</file>