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6A2FAE93">
      <w:pPr>
        <w:ind w:firstLine="200"/>
        <w:jc w:val="center"/>
        <w:rPr>
          <w:rFonts w:ascii="Times New Roman" w:hAnsi="Times New Roman" w:eastAsia="宋体" w:cs="Times New Roman"/>
          <w:b/>
          <w:sz w:val="44"/>
          <w:szCs w:val="20"/>
        </w:rPr>
      </w:pPr>
      <w:bookmarkStart w:id="45" w:name="_GoBack"/>
      <w:bookmarkEnd w:id="45"/>
    </w:p>
    <w:p w14:paraId="6AFF2B9D">
      <w:pPr>
        <w:ind w:firstLine="200"/>
        <w:jc w:val="center"/>
        <w:rPr>
          <w:rFonts w:ascii="Times New Roman" w:hAnsi="Times New Roman" w:eastAsia="宋体" w:cs="Times New Roman"/>
          <w:b/>
          <w:sz w:val="44"/>
          <w:szCs w:val="20"/>
        </w:rPr>
      </w:pPr>
    </w:p>
    <w:p w14:paraId="54FFEBD1">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博时基金管理有限公司</w:t>
      </w:r>
    </w:p>
    <w:p w14:paraId="3F29EF4E">
      <w:pPr>
        <w:ind w:firstLine="200"/>
        <w:jc w:val="center"/>
        <w:rPr>
          <w:rFonts w:ascii="Times New Roman" w:hAnsi="Times New Roman" w:eastAsia="宋体" w:cs="Times New Roman"/>
          <w:b/>
          <w:sz w:val="42"/>
          <w:szCs w:val="42"/>
        </w:rPr>
      </w:pPr>
    </w:p>
    <w:p w14:paraId="708D26CF">
      <w:pPr>
        <w:ind w:firstLine="200"/>
        <w:jc w:val="center"/>
        <w:rPr>
          <w:rFonts w:ascii="Times New Roman" w:hAnsi="Times New Roman" w:eastAsia="宋体" w:cs="Times New Roman"/>
          <w:b/>
          <w:sz w:val="42"/>
          <w:szCs w:val="42"/>
        </w:rPr>
      </w:pPr>
    </w:p>
    <w:p w14:paraId="4CB485B4">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博时中证机器人交易型开放式指数证券投资基金发起式联接基金</w:t>
      </w:r>
    </w:p>
    <w:p w14:paraId="5F560E5D">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基金合同（由博时中证机器人指数型发起式证券投资基金变更而来）</w:t>
      </w:r>
    </w:p>
    <w:p w14:paraId="5B761677">
      <w:pPr>
        <w:ind w:firstLine="200"/>
        <w:jc w:val="center"/>
        <w:rPr>
          <w:rFonts w:ascii="Times New Roman" w:hAnsi="Times New Roman" w:eastAsia="宋体" w:cs="Times New Roman"/>
          <w:b/>
          <w:sz w:val="42"/>
          <w:szCs w:val="42"/>
        </w:rPr>
      </w:pPr>
    </w:p>
    <w:p w14:paraId="58039149">
      <w:pPr>
        <w:ind w:firstLine="200"/>
        <w:jc w:val="center"/>
        <w:rPr>
          <w:rFonts w:ascii="Times New Roman" w:hAnsi="Times New Roman" w:eastAsia="宋体" w:cs="Times New Roman"/>
          <w:b/>
          <w:sz w:val="42"/>
          <w:szCs w:val="42"/>
        </w:rPr>
      </w:pPr>
    </w:p>
    <w:p w14:paraId="74C01779">
      <w:pPr>
        <w:ind w:firstLine="200"/>
        <w:jc w:val="center"/>
        <w:rPr>
          <w:rFonts w:ascii="Times New Roman" w:hAnsi="Times New Roman" w:eastAsia="宋体" w:cs="Times New Roman"/>
          <w:b/>
          <w:sz w:val="42"/>
          <w:szCs w:val="42"/>
        </w:rPr>
      </w:pPr>
    </w:p>
    <w:p w14:paraId="54DFADBA">
      <w:pPr>
        <w:ind w:firstLine="200"/>
        <w:jc w:val="center"/>
        <w:rPr>
          <w:rFonts w:ascii="Times New Roman" w:hAnsi="Times New Roman" w:eastAsia="宋体" w:cs="Times New Roman"/>
          <w:b/>
          <w:sz w:val="42"/>
          <w:szCs w:val="42"/>
        </w:rPr>
      </w:pPr>
    </w:p>
    <w:p w14:paraId="348F34DF">
      <w:pPr>
        <w:ind w:firstLine="200"/>
        <w:jc w:val="center"/>
        <w:rPr>
          <w:rFonts w:ascii="Times New Roman" w:hAnsi="Times New Roman" w:eastAsia="宋体" w:cs="Times New Roman"/>
          <w:b/>
          <w:sz w:val="42"/>
          <w:szCs w:val="42"/>
        </w:rPr>
      </w:pPr>
    </w:p>
    <w:p w14:paraId="29F9E902">
      <w:pPr>
        <w:ind w:firstLine="200"/>
        <w:jc w:val="center"/>
        <w:rPr>
          <w:rFonts w:ascii="Times New Roman" w:hAnsi="Times New Roman" w:eastAsia="宋体" w:cs="Times New Roman"/>
          <w:b/>
          <w:sz w:val="42"/>
          <w:szCs w:val="42"/>
        </w:rPr>
      </w:pPr>
    </w:p>
    <w:p w14:paraId="37348E45">
      <w:pPr>
        <w:ind w:firstLine="200"/>
        <w:jc w:val="center"/>
        <w:rPr>
          <w:rFonts w:ascii="Times New Roman" w:hAnsi="Times New Roman" w:eastAsia="宋体" w:cs="Times New Roman"/>
          <w:b/>
          <w:sz w:val="42"/>
          <w:szCs w:val="42"/>
        </w:rPr>
      </w:pPr>
    </w:p>
    <w:p w14:paraId="51945833">
      <w:pPr>
        <w:ind w:firstLine="200"/>
        <w:jc w:val="center"/>
        <w:rPr>
          <w:rFonts w:ascii="Times New Roman" w:hAnsi="Times New Roman" w:eastAsia="宋体" w:cs="Times New Roman"/>
          <w:b/>
          <w:sz w:val="42"/>
          <w:szCs w:val="42"/>
        </w:rPr>
      </w:pPr>
    </w:p>
    <w:p w14:paraId="509484B9">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基金管理人：</w:t>
      </w:r>
      <w:r>
        <w:rPr>
          <w:rFonts w:ascii="Times New Roman" w:hAnsi="Times New Roman" w:eastAsia="宋体" w:cs="Times New Roman"/>
          <w:b/>
          <w:sz w:val="42"/>
          <w:szCs w:val="42"/>
        </w:rPr>
        <w:t xml:space="preserve"> </w:t>
      </w:r>
      <w:r>
        <w:rPr>
          <w:rFonts w:hint="eastAsia" w:ascii="Times New Roman" w:hAnsi="Times New Roman" w:eastAsia="宋体" w:cs="Times New Roman"/>
          <w:b/>
          <w:sz w:val="42"/>
          <w:szCs w:val="42"/>
        </w:rPr>
        <w:t>博时基金管理有限公司</w:t>
      </w:r>
    </w:p>
    <w:p w14:paraId="28EDABA7">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基金托管人：</w:t>
      </w:r>
      <w:r>
        <w:rPr>
          <w:rFonts w:ascii="Times New Roman" w:hAnsi="Times New Roman" w:eastAsia="宋体" w:cs="Times New Roman"/>
          <w:b/>
          <w:sz w:val="42"/>
          <w:szCs w:val="42"/>
        </w:rPr>
        <w:t xml:space="preserve"> </w:t>
      </w:r>
      <w:r>
        <w:rPr>
          <w:rFonts w:hint="eastAsia" w:ascii="Times New Roman" w:hAnsi="Times New Roman" w:eastAsia="宋体" w:cs="Times New Roman"/>
          <w:b/>
          <w:sz w:val="42"/>
          <w:szCs w:val="42"/>
        </w:rPr>
        <w:t>宁波银行股份有限公司</w:t>
      </w:r>
    </w:p>
    <w:p w14:paraId="51FBE09C">
      <w:pPr>
        <w:ind w:firstLine="200"/>
        <w:jc w:val="center"/>
        <w:rPr>
          <w:rFonts w:ascii="Times New Roman" w:hAnsi="Times New Roman" w:eastAsia="宋体" w:cs="Times New Roman"/>
          <w:b/>
          <w:sz w:val="42"/>
          <w:szCs w:val="42"/>
        </w:rPr>
      </w:pPr>
    </w:p>
    <w:p w14:paraId="2235C7A2">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二零二六年</w:t>
      </w:r>
      <w:r>
        <w:rPr>
          <w:rFonts w:hint="eastAsia" w:ascii="Times New Roman" w:hAnsi="Times New Roman" w:eastAsia="宋体" w:cs="Times New Roman"/>
          <w:b/>
          <w:sz w:val="42"/>
          <w:szCs w:val="42"/>
          <w:lang w:val="en-US" w:eastAsia="zh-CN"/>
        </w:rPr>
        <w:t>十</w:t>
      </w:r>
      <w:r>
        <w:rPr>
          <w:rFonts w:hint="eastAsia" w:ascii="Times New Roman" w:hAnsi="Times New Roman" w:eastAsia="宋体" w:cs="Times New Roman"/>
          <w:b/>
          <w:sz w:val="42"/>
          <w:szCs w:val="42"/>
        </w:rPr>
        <w:t>月</w:t>
      </w:r>
    </w:p>
    <w:sdt>
      <w:sdtPr>
        <w:rPr>
          <w:rFonts w:asciiTheme="minorHAnsi" w:hAnsiTheme="minorHAnsi" w:eastAsiaTheme="minorEastAsia" w:cstheme="minorBidi"/>
          <w:b w:val="0"/>
          <w:bCs w:val="0"/>
          <w:color w:val="auto"/>
          <w:kern w:val="2"/>
          <w:sz w:val="21"/>
          <w:szCs w:val="22"/>
          <w:lang w:val="zh-CN"/>
        </w:rPr>
        <w:id w:val="1012728692"/>
      </w:sdtPr>
      <w:sdtEndPr>
        <w:rPr>
          <w:rFonts w:asciiTheme="minorHAnsi" w:hAnsiTheme="minorHAnsi" w:eastAsiaTheme="minorEastAsia" w:cstheme="minorBidi"/>
          <w:b w:val="0"/>
          <w:bCs w:val="0"/>
          <w:color w:val="auto"/>
          <w:kern w:val="2"/>
          <w:sz w:val="21"/>
          <w:szCs w:val="22"/>
          <w:lang w:val="zh-CN"/>
        </w:rPr>
      </w:sdtEndPr>
      <w:sdtContent>
        <w:p w14:paraId="7E080273">
          <w:pPr>
            <w:pStyle w:val="31"/>
            <w:jc w:val="center"/>
          </w:pPr>
          <w:r>
            <w:rPr>
              <w:rFonts w:hint="eastAsia"/>
              <w:color w:val="auto"/>
              <w:lang w:val="zh-CN"/>
            </w:rPr>
            <w:t>目录</w:t>
          </w:r>
        </w:p>
        <w:p w14:paraId="7D161A25">
          <w:pPr>
            <w:pStyle w:val="10"/>
            <w:jc w:val="both"/>
            <w:rPr>
              <w:kern w:val="2"/>
              <w:sz w:val="21"/>
            </w:rPr>
          </w:pPr>
          <w:r>
            <w:fldChar w:fldCharType="begin"/>
          </w:r>
          <w:r>
            <w:instrText xml:space="preserve"> TOC \o "1-3" \h \z \u </w:instrText>
          </w:r>
          <w:r>
            <w:fldChar w:fldCharType="separate"/>
          </w:r>
          <w:r>
            <w:fldChar w:fldCharType="begin"/>
          </w:r>
          <w:r>
            <w:instrText xml:space="preserve"> HYPERLINK \l "_Toc471235838" </w:instrText>
          </w:r>
          <w:r>
            <w:fldChar w:fldCharType="separate"/>
          </w:r>
          <w:r>
            <w:rPr>
              <w:rStyle w:val="17"/>
              <w:rFonts w:hint="eastAsia"/>
            </w:rPr>
            <w:t>第一部分</w:t>
          </w:r>
          <w:r>
            <w:rPr>
              <w:rStyle w:val="17"/>
            </w:rPr>
            <w:t xml:space="preserve"> </w:t>
          </w:r>
          <w:r>
            <w:rPr>
              <w:rStyle w:val="17"/>
              <w:rFonts w:hint="eastAsia"/>
            </w:rPr>
            <w:t>前言</w:t>
          </w:r>
          <w:r>
            <w:tab/>
          </w:r>
          <w:r>
            <w:rPr>
              <w:rFonts w:hint="eastAsia"/>
            </w:rPr>
            <w:t>1-</w:t>
          </w:r>
          <w:r>
            <w:fldChar w:fldCharType="begin"/>
          </w:r>
          <w:r>
            <w:instrText xml:space="preserve"> PAGEREF _Toc471235838 \h </w:instrText>
          </w:r>
          <w:r>
            <w:fldChar w:fldCharType="separate"/>
          </w:r>
          <w:r>
            <w:t>1</w:t>
          </w:r>
          <w:r>
            <w:fldChar w:fldCharType="end"/>
          </w:r>
          <w:r>
            <w:fldChar w:fldCharType="end"/>
          </w:r>
        </w:p>
        <w:p w14:paraId="01D805E5">
          <w:pPr>
            <w:pStyle w:val="10"/>
            <w:jc w:val="both"/>
            <w:rPr>
              <w:kern w:val="2"/>
              <w:sz w:val="21"/>
            </w:rPr>
          </w:pPr>
          <w:r>
            <w:fldChar w:fldCharType="begin"/>
          </w:r>
          <w:r>
            <w:instrText xml:space="preserve"> HYPERLINK \l "_Toc471235839" </w:instrText>
          </w:r>
          <w:r>
            <w:fldChar w:fldCharType="separate"/>
          </w:r>
          <w:r>
            <w:rPr>
              <w:rStyle w:val="17"/>
              <w:rFonts w:hint="eastAsia"/>
            </w:rPr>
            <w:t>第二部分</w:t>
          </w:r>
          <w:r>
            <w:rPr>
              <w:rStyle w:val="17"/>
            </w:rPr>
            <w:t xml:space="preserve"> </w:t>
          </w:r>
          <w:r>
            <w:rPr>
              <w:rStyle w:val="17"/>
              <w:rFonts w:hint="eastAsia"/>
            </w:rPr>
            <w:t>释义</w:t>
          </w:r>
          <w:r>
            <w:tab/>
          </w:r>
          <w:r>
            <w:rPr>
              <w:rFonts w:hint="eastAsia"/>
            </w:rPr>
            <w:t>2-</w:t>
          </w:r>
          <w:r>
            <w:fldChar w:fldCharType="begin"/>
          </w:r>
          <w:r>
            <w:instrText xml:space="preserve"> PAGEREF _Toc471235839 \h </w:instrText>
          </w:r>
          <w:r>
            <w:fldChar w:fldCharType="separate"/>
          </w:r>
          <w:r>
            <w:t>1</w:t>
          </w:r>
          <w:r>
            <w:fldChar w:fldCharType="end"/>
          </w:r>
          <w:r>
            <w:fldChar w:fldCharType="end"/>
          </w:r>
        </w:p>
        <w:p w14:paraId="467CE0C1">
          <w:pPr>
            <w:pStyle w:val="10"/>
            <w:jc w:val="both"/>
            <w:rPr>
              <w:kern w:val="2"/>
              <w:sz w:val="21"/>
            </w:rPr>
          </w:pPr>
          <w:r>
            <w:fldChar w:fldCharType="begin"/>
          </w:r>
          <w:r>
            <w:instrText xml:space="preserve"> HYPERLINK \l "_Toc471235840" </w:instrText>
          </w:r>
          <w:r>
            <w:fldChar w:fldCharType="separate"/>
          </w:r>
          <w:r>
            <w:rPr>
              <w:rStyle w:val="17"/>
              <w:rFonts w:hint="eastAsia"/>
            </w:rPr>
            <w:t>第三部分</w:t>
          </w:r>
          <w:r>
            <w:rPr>
              <w:rStyle w:val="17"/>
            </w:rPr>
            <w:t xml:space="preserve"> </w:t>
          </w:r>
          <w:r>
            <w:rPr>
              <w:rStyle w:val="17"/>
              <w:rFonts w:hint="eastAsia"/>
            </w:rPr>
            <w:t>基金的基本情况</w:t>
          </w:r>
          <w:r>
            <w:tab/>
          </w:r>
          <w:r>
            <w:rPr>
              <w:rFonts w:hint="eastAsia"/>
            </w:rPr>
            <w:t>3-</w:t>
          </w:r>
          <w:r>
            <w:fldChar w:fldCharType="begin"/>
          </w:r>
          <w:r>
            <w:instrText xml:space="preserve"> PAGEREF _Toc471235840 \h </w:instrText>
          </w:r>
          <w:r>
            <w:fldChar w:fldCharType="separate"/>
          </w:r>
          <w:r>
            <w:t>1</w:t>
          </w:r>
          <w:r>
            <w:fldChar w:fldCharType="end"/>
          </w:r>
          <w:r>
            <w:fldChar w:fldCharType="end"/>
          </w:r>
        </w:p>
        <w:p w14:paraId="1E651E33">
          <w:pPr>
            <w:pStyle w:val="10"/>
            <w:jc w:val="both"/>
            <w:rPr>
              <w:kern w:val="2"/>
              <w:sz w:val="21"/>
            </w:rPr>
          </w:pPr>
          <w:r>
            <w:fldChar w:fldCharType="begin"/>
          </w:r>
          <w:r>
            <w:instrText xml:space="preserve"> HYPERLINK \l "_Toc471235841" </w:instrText>
          </w:r>
          <w:r>
            <w:fldChar w:fldCharType="separate"/>
          </w:r>
          <w:r>
            <w:rPr>
              <w:rStyle w:val="17"/>
              <w:rFonts w:hint="eastAsia"/>
            </w:rPr>
            <w:t>第四部分</w:t>
          </w:r>
          <w:r>
            <w:rPr>
              <w:rStyle w:val="17"/>
            </w:rPr>
            <w:t xml:space="preserve"> </w:t>
          </w:r>
          <w:r>
            <w:rPr>
              <w:rStyle w:val="17"/>
              <w:rFonts w:hint="eastAsia"/>
            </w:rPr>
            <w:t>基金的历史沿革</w:t>
          </w:r>
          <w:r>
            <w:tab/>
          </w:r>
          <w:r>
            <w:rPr>
              <w:rFonts w:hint="eastAsia"/>
            </w:rPr>
            <w:t>4-</w:t>
          </w:r>
          <w:r>
            <w:fldChar w:fldCharType="begin"/>
          </w:r>
          <w:r>
            <w:instrText xml:space="preserve"> PAGEREF _Toc471235841 \h </w:instrText>
          </w:r>
          <w:r>
            <w:fldChar w:fldCharType="separate"/>
          </w:r>
          <w:r>
            <w:t>1</w:t>
          </w:r>
          <w:r>
            <w:fldChar w:fldCharType="end"/>
          </w:r>
          <w:r>
            <w:fldChar w:fldCharType="end"/>
          </w:r>
        </w:p>
        <w:p w14:paraId="29AA0A7A">
          <w:pPr>
            <w:pStyle w:val="10"/>
            <w:jc w:val="both"/>
            <w:rPr>
              <w:kern w:val="2"/>
              <w:sz w:val="21"/>
            </w:rPr>
          </w:pPr>
          <w:r>
            <w:fldChar w:fldCharType="begin"/>
          </w:r>
          <w:r>
            <w:instrText xml:space="preserve"> HYPERLINK \l "_Toc471235842" </w:instrText>
          </w:r>
          <w:r>
            <w:fldChar w:fldCharType="separate"/>
          </w:r>
          <w:r>
            <w:rPr>
              <w:rStyle w:val="17"/>
              <w:rFonts w:hint="eastAsia"/>
            </w:rPr>
            <w:t>第五部分</w:t>
          </w:r>
          <w:r>
            <w:rPr>
              <w:rStyle w:val="17"/>
            </w:rPr>
            <w:t xml:space="preserve"> </w:t>
          </w:r>
          <w:r>
            <w:rPr>
              <w:rStyle w:val="17"/>
              <w:rFonts w:hint="eastAsia"/>
            </w:rPr>
            <w:t>基金的存续</w:t>
          </w:r>
          <w:r>
            <w:tab/>
          </w:r>
          <w:r>
            <w:rPr>
              <w:rFonts w:hint="eastAsia"/>
            </w:rPr>
            <w:t>5-</w:t>
          </w:r>
          <w:r>
            <w:fldChar w:fldCharType="begin"/>
          </w:r>
          <w:r>
            <w:instrText xml:space="preserve"> PAGEREF _Toc471235842 \h </w:instrText>
          </w:r>
          <w:r>
            <w:fldChar w:fldCharType="separate"/>
          </w:r>
          <w:r>
            <w:t>1</w:t>
          </w:r>
          <w:r>
            <w:fldChar w:fldCharType="end"/>
          </w:r>
          <w:r>
            <w:fldChar w:fldCharType="end"/>
          </w:r>
        </w:p>
        <w:p w14:paraId="5CCA5539">
          <w:pPr>
            <w:pStyle w:val="10"/>
            <w:jc w:val="both"/>
            <w:rPr>
              <w:kern w:val="2"/>
              <w:sz w:val="21"/>
            </w:rPr>
          </w:pPr>
          <w:r>
            <w:fldChar w:fldCharType="begin"/>
          </w:r>
          <w:r>
            <w:instrText xml:space="preserve"> HYPERLINK \l "_Toc471235843" </w:instrText>
          </w:r>
          <w:r>
            <w:fldChar w:fldCharType="separate"/>
          </w:r>
          <w:r>
            <w:rPr>
              <w:rStyle w:val="17"/>
              <w:rFonts w:hint="eastAsia"/>
            </w:rPr>
            <w:t>第六部分</w:t>
          </w:r>
          <w:r>
            <w:rPr>
              <w:rStyle w:val="17"/>
            </w:rPr>
            <w:t xml:space="preserve"> </w:t>
          </w:r>
          <w:r>
            <w:rPr>
              <w:rStyle w:val="17"/>
              <w:rFonts w:hint="eastAsia"/>
            </w:rPr>
            <w:t>基金份额的申购与赎回</w:t>
          </w:r>
          <w:r>
            <w:tab/>
          </w:r>
          <w:r>
            <w:rPr>
              <w:rFonts w:hint="eastAsia"/>
            </w:rPr>
            <w:t>6-</w:t>
          </w:r>
          <w:r>
            <w:fldChar w:fldCharType="begin"/>
          </w:r>
          <w:r>
            <w:instrText xml:space="preserve"> PAGEREF _Toc471235843 \h </w:instrText>
          </w:r>
          <w:r>
            <w:fldChar w:fldCharType="separate"/>
          </w:r>
          <w:r>
            <w:t>1</w:t>
          </w:r>
          <w:r>
            <w:fldChar w:fldCharType="end"/>
          </w:r>
          <w:r>
            <w:fldChar w:fldCharType="end"/>
          </w:r>
        </w:p>
        <w:p w14:paraId="55741DED">
          <w:pPr>
            <w:pStyle w:val="10"/>
            <w:jc w:val="both"/>
            <w:rPr>
              <w:kern w:val="2"/>
              <w:sz w:val="21"/>
            </w:rPr>
          </w:pPr>
          <w:r>
            <w:fldChar w:fldCharType="begin"/>
          </w:r>
          <w:r>
            <w:instrText xml:space="preserve"> HYPERLINK \l "_Toc471235844" </w:instrText>
          </w:r>
          <w:r>
            <w:fldChar w:fldCharType="separate"/>
          </w:r>
          <w:r>
            <w:rPr>
              <w:rStyle w:val="17"/>
              <w:rFonts w:hint="eastAsia"/>
            </w:rPr>
            <w:t>第七部分</w:t>
          </w:r>
          <w:r>
            <w:rPr>
              <w:rStyle w:val="17"/>
            </w:rPr>
            <w:t xml:space="preserve"> </w:t>
          </w:r>
          <w:r>
            <w:rPr>
              <w:rStyle w:val="17"/>
              <w:rFonts w:hint="eastAsia"/>
            </w:rPr>
            <w:t>基金合同当事人及权利义务</w:t>
          </w:r>
          <w:r>
            <w:tab/>
          </w:r>
          <w:r>
            <w:rPr>
              <w:rFonts w:hint="eastAsia"/>
            </w:rPr>
            <w:t>7-</w:t>
          </w:r>
          <w:r>
            <w:fldChar w:fldCharType="begin"/>
          </w:r>
          <w:r>
            <w:instrText xml:space="preserve"> PAGEREF _Toc471235844 \h </w:instrText>
          </w:r>
          <w:r>
            <w:fldChar w:fldCharType="separate"/>
          </w:r>
          <w:r>
            <w:t>1</w:t>
          </w:r>
          <w:r>
            <w:fldChar w:fldCharType="end"/>
          </w:r>
          <w:r>
            <w:fldChar w:fldCharType="end"/>
          </w:r>
        </w:p>
        <w:p w14:paraId="5D218FA5">
          <w:pPr>
            <w:pStyle w:val="10"/>
            <w:jc w:val="both"/>
            <w:rPr>
              <w:kern w:val="2"/>
              <w:sz w:val="21"/>
            </w:rPr>
          </w:pPr>
          <w:r>
            <w:fldChar w:fldCharType="begin"/>
          </w:r>
          <w:r>
            <w:instrText xml:space="preserve"> HYPERLINK \l "_Toc471235845" </w:instrText>
          </w:r>
          <w:r>
            <w:fldChar w:fldCharType="separate"/>
          </w:r>
          <w:r>
            <w:rPr>
              <w:rStyle w:val="17"/>
              <w:rFonts w:hint="eastAsia"/>
            </w:rPr>
            <w:t>第八部分</w:t>
          </w:r>
          <w:r>
            <w:rPr>
              <w:rStyle w:val="17"/>
            </w:rPr>
            <w:t xml:space="preserve"> </w:t>
          </w:r>
          <w:r>
            <w:rPr>
              <w:rStyle w:val="17"/>
              <w:rFonts w:hint="eastAsia"/>
            </w:rPr>
            <w:t>基金份额持有人大会</w:t>
          </w:r>
          <w:r>
            <w:tab/>
          </w:r>
          <w:r>
            <w:rPr>
              <w:rFonts w:hint="eastAsia"/>
            </w:rPr>
            <w:t>8-</w:t>
          </w:r>
          <w:r>
            <w:fldChar w:fldCharType="begin"/>
          </w:r>
          <w:r>
            <w:instrText xml:space="preserve"> PAGEREF _Toc471235845 \h </w:instrText>
          </w:r>
          <w:r>
            <w:fldChar w:fldCharType="separate"/>
          </w:r>
          <w:r>
            <w:t>1</w:t>
          </w:r>
          <w:r>
            <w:fldChar w:fldCharType="end"/>
          </w:r>
          <w:r>
            <w:fldChar w:fldCharType="end"/>
          </w:r>
        </w:p>
        <w:p w14:paraId="08A493EF">
          <w:pPr>
            <w:pStyle w:val="10"/>
            <w:jc w:val="both"/>
            <w:rPr>
              <w:kern w:val="2"/>
              <w:sz w:val="21"/>
            </w:rPr>
          </w:pPr>
          <w:r>
            <w:fldChar w:fldCharType="begin"/>
          </w:r>
          <w:r>
            <w:instrText xml:space="preserve"> HYPERLINK \l "_Toc471235846" </w:instrText>
          </w:r>
          <w:r>
            <w:fldChar w:fldCharType="separate"/>
          </w:r>
          <w:r>
            <w:rPr>
              <w:rStyle w:val="17"/>
              <w:rFonts w:hint="eastAsia"/>
            </w:rPr>
            <w:t>第九部分</w:t>
          </w:r>
          <w:r>
            <w:rPr>
              <w:rStyle w:val="17"/>
            </w:rPr>
            <w:t xml:space="preserve"> </w:t>
          </w:r>
          <w:r>
            <w:rPr>
              <w:rStyle w:val="17"/>
              <w:rFonts w:hint="eastAsia"/>
            </w:rPr>
            <w:t>基金管理人、基金托管人的更换条件和程序</w:t>
          </w:r>
          <w:r>
            <w:tab/>
          </w:r>
          <w:r>
            <w:rPr>
              <w:rFonts w:hint="eastAsia"/>
            </w:rPr>
            <w:t>9-</w:t>
          </w:r>
          <w:r>
            <w:fldChar w:fldCharType="begin"/>
          </w:r>
          <w:r>
            <w:instrText xml:space="preserve"> PAGEREF _Toc471235846 \h </w:instrText>
          </w:r>
          <w:r>
            <w:fldChar w:fldCharType="separate"/>
          </w:r>
          <w:r>
            <w:t>1</w:t>
          </w:r>
          <w:r>
            <w:fldChar w:fldCharType="end"/>
          </w:r>
          <w:r>
            <w:fldChar w:fldCharType="end"/>
          </w:r>
        </w:p>
        <w:p w14:paraId="604D0358">
          <w:pPr>
            <w:pStyle w:val="10"/>
            <w:jc w:val="both"/>
            <w:rPr>
              <w:kern w:val="2"/>
              <w:sz w:val="21"/>
            </w:rPr>
          </w:pPr>
          <w:r>
            <w:fldChar w:fldCharType="begin"/>
          </w:r>
          <w:r>
            <w:instrText xml:space="preserve"> HYPERLINK \l "_Toc471235847" </w:instrText>
          </w:r>
          <w:r>
            <w:fldChar w:fldCharType="separate"/>
          </w:r>
          <w:r>
            <w:rPr>
              <w:rStyle w:val="17"/>
              <w:rFonts w:hint="eastAsia"/>
            </w:rPr>
            <w:t>第十部分</w:t>
          </w:r>
          <w:r>
            <w:rPr>
              <w:rStyle w:val="17"/>
            </w:rPr>
            <w:t xml:space="preserve"> </w:t>
          </w:r>
          <w:r>
            <w:rPr>
              <w:rStyle w:val="17"/>
              <w:rFonts w:hint="eastAsia"/>
            </w:rPr>
            <w:t>基金的托管</w:t>
          </w:r>
          <w:r>
            <w:tab/>
          </w:r>
          <w:r>
            <w:rPr>
              <w:rFonts w:hint="eastAsia"/>
            </w:rPr>
            <w:t>10-</w:t>
          </w:r>
          <w:r>
            <w:fldChar w:fldCharType="begin"/>
          </w:r>
          <w:r>
            <w:instrText xml:space="preserve"> PAGEREF _Toc471235847 \h </w:instrText>
          </w:r>
          <w:r>
            <w:fldChar w:fldCharType="separate"/>
          </w:r>
          <w:r>
            <w:t>1</w:t>
          </w:r>
          <w:r>
            <w:fldChar w:fldCharType="end"/>
          </w:r>
          <w:r>
            <w:fldChar w:fldCharType="end"/>
          </w:r>
        </w:p>
        <w:p w14:paraId="5DA9DC34">
          <w:pPr>
            <w:pStyle w:val="10"/>
            <w:jc w:val="both"/>
            <w:rPr>
              <w:kern w:val="2"/>
              <w:sz w:val="21"/>
            </w:rPr>
          </w:pPr>
          <w:r>
            <w:fldChar w:fldCharType="begin"/>
          </w:r>
          <w:r>
            <w:instrText xml:space="preserve"> HYPERLINK \l "_Toc471235848" </w:instrText>
          </w:r>
          <w:r>
            <w:fldChar w:fldCharType="separate"/>
          </w:r>
          <w:r>
            <w:rPr>
              <w:rStyle w:val="17"/>
              <w:rFonts w:hint="eastAsia"/>
            </w:rPr>
            <w:t>第十一部分</w:t>
          </w:r>
          <w:r>
            <w:rPr>
              <w:rStyle w:val="17"/>
            </w:rPr>
            <w:t xml:space="preserve"> </w:t>
          </w:r>
          <w:r>
            <w:rPr>
              <w:rStyle w:val="17"/>
              <w:rFonts w:hint="eastAsia"/>
            </w:rPr>
            <w:t>基金份额的登记</w:t>
          </w:r>
          <w:r>
            <w:tab/>
          </w:r>
          <w:r>
            <w:rPr>
              <w:rFonts w:hint="eastAsia"/>
            </w:rPr>
            <w:t>11-</w:t>
          </w:r>
          <w:r>
            <w:fldChar w:fldCharType="begin"/>
          </w:r>
          <w:r>
            <w:instrText xml:space="preserve"> PAGEREF _Toc471235848 \h </w:instrText>
          </w:r>
          <w:r>
            <w:fldChar w:fldCharType="separate"/>
          </w:r>
          <w:r>
            <w:t>1</w:t>
          </w:r>
          <w:r>
            <w:fldChar w:fldCharType="end"/>
          </w:r>
          <w:r>
            <w:fldChar w:fldCharType="end"/>
          </w:r>
        </w:p>
        <w:p w14:paraId="4F40B99D">
          <w:pPr>
            <w:pStyle w:val="10"/>
            <w:jc w:val="both"/>
            <w:rPr>
              <w:kern w:val="2"/>
              <w:sz w:val="21"/>
            </w:rPr>
          </w:pPr>
          <w:r>
            <w:fldChar w:fldCharType="begin"/>
          </w:r>
          <w:r>
            <w:instrText xml:space="preserve"> HYPERLINK \l "_Toc471235849" </w:instrText>
          </w:r>
          <w:r>
            <w:fldChar w:fldCharType="separate"/>
          </w:r>
          <w:r>
            <w:rPr>
              <w:rStyle w:val="17"/>
              <w:rFonts w:hint="eastAsia"/>
            </w:rPr>
            <w:t>第十二部分</w:t>
          </w:r>
          <w:r>
            <w:rPr>
              <w:rStyle w:val="17"/>
            </w:rPr>
            <w:t xml:space="preserve"> </w:t>
          </w:r>
          <w:r>
            <w:rPr>
              <w:rStyle w:val="17"/>
              <w:rFonts w:hint="eastAsia"/>
            </w:rPr>
            <w:t>基金的投资</w:t>
          </w:r>
          <w:r>
            <w:tab/>
          </w:r>
          <w:r>
            <w:rPr>
              <w:rFonts w:hint="eastAsia"/>
            </w:rPr>
            <w:t>12-</w:t>
          </w:r>
          <w:r>
            <w:fldChar w:fldCharType="begin"/>
          </w:r>
          <w:r>
            <w:instrText xml:space="preserve"> PAGEREF _Toc471235849 \h </w:instrText>
          </w:r>
          <w:r>
            <w:fldChar w:fldCharType="separate"/>
          </w:r>
          <w:r>
            <w:t>1</w:t>
          </w:r>
          <w:r>
            <w:fldChar w:fldCharType="end"/>
          </w:r>
          <w:r>
            <w:fldChar w:fldCharType="end"/>
          </w:r>
        </w:p>
        <w:p w14:paraId="66C8E924">
          <w:pPr>
            <w:pStyle w:val="10"/>
            <w:jc w:val="both"/>
            <w:rPr>
              <w:kern w:val="2"/>
              <w:sz w:val="21"/>
            </w:rPr>
          </w:pPr>
          <w:r>
            <w:fldChar w:fldCharType="begin"/>
          </w:r>
          <w:r>
            <w:instrText xml:space="preserve"> HYPERLINK \l "_Toc471235850" </w:instrText>
          </w:r>
          <w:r>
            <w:fldChar w:fldCharType="separate"/>
          </w:r>
          <w:r>
            <w:rPr>
              <w:rStyle w:val="17"/>
              <w:rFonts w:hint="eastAsia"/>
            </w:rPr>
            <w:t>第十三部分</w:t>
          </w:r>
          <w:r>
            <w:rPr>
              <w:rStyle w:val="17"/>
            </w:rPr>
            <w:t xml:space="preserve"> </w:t>
          </w:r>
          <w:r>
            <w:rPr>
              <w:rStyle w:val="17"/>
              <w:rFonts w:hint="eastAsia"/>
            </w:rPr>
            <w:t>基金的财产</w:t>
          </w:r>
          <w:r>
            <w:tab/>
          </w:r>
          <w:r>
            <w:rPr>
              <w:rFonts w:hint="eastAsia"/>
            </w:rPr>
            <w:t>13-</w:t>
          </w:r>
          <w:r>
            <w:fldChar w:fldCharType="begin"/>
          </w:r>
          <w:r>
            <w:instrText xml:space="preserve"> PAGEREF _Toc471235850 \h </w:instrText>
          </w:r>
          <w:r>
            <w:fldChar w:fldCharType="separate"/>
          </w:r>
          <w:r>
            <w:t>1</w:t>
          </w:r>
          <w:r>
            <w:fldChar w:fldCharType="end"/>
          </w:r>
          <w:r>
            <w:fldChar w:fldCharType="end"/>
          </w:r>
        </w:p>
        <w:p w14:paraId="1016D5A9">
          <w:pPr>
            <w:pStyle w:val="10"/>
            <w:jc w:val="both"/>
            <w:rPr>
              <w:kern w:val="2"/>
              <w:sz w:val="21"/>
            </w:rPr>
          </w:pPr>
          <w:r>
            <w:fldChar w:fldCharType="begin"/>
          </w:r>
          <w:r>
            <w:instrText xml:space="preserve"> HYPERLINK \l "_Toc471235851" </w:instrText>
          </w:r>
          <w:r>
            <w:fldChar w:fldCharType="separate"/>
          </w:r>
          <w:r>
            <w:rPr>
              <w:rStyle w:val="17"/>
              <w:rFonts w:hint="eastAsia"/>
            </w:rPr>
            <w:t>第十四部分</w:t>
          </w:r>
          <w:r>
            <w:rPr>
              <w:rStyle w:val="17"/>
            </w:rPr>
            <w:t xml:space="preserve"> </w:t>
          </w:r>
          <w:r>
            <w:rPr>
              <w:rStyle w:val="17"/>
              <w:rFonts w:hint="eastAsia"/>
            </w:rPr>
            <w:t>基金资产估值</w:t>
          </w:r>
          <w:r>
            <w:tab/>
          </w:r>
          <w:r>
            <w:rPr>
              <w:rFonts w:hint="eastAsia"/>
            </w:rPr>
            <w:t>14-</w:t>
          </w:r>
          <w:r>
            <w:fldChar w:fldCharType="begin"/>
          </w:r>
          <w:r>
            <w:instrText xml:space="preserve"> PAGEREF _Toc471235851 \h </w:instrText>
          </w:r>
          <w:r>
            <w:fldChar w:fldCharType="separate"/>
          </w:r>
          <w:r>
            <w:t>1</w:t>
          </w:r>
          <w:r>
            <w:fldChar w:fldCharType="end"/>
          </w:r>
          <w:r>
            <w:fldChar w:fldCharType="end"/>
          </w:r>
        </w:p>
        <w:p w14:paraId="6A4EC3D2">
          <w:pPr>
            <w:pStyle w:val="10"/>
            <w:jc w:val="both"/>
            <w:rPr>
              <w:kern w:val="2"/>
              <w:sz w:val="21"/>
            </w:rPr>
          </w:pPr>
          <w:r>
            <w:fldChar w:fldCharType="begin"/>
          </w:r>
          <w:r>
            <w:instrText xml:space="preserve"> HYPERLINK \l "_Toc471235852" </w:instrText>
          </w:r>
          <w:r>
            <w:fldChar w:fldCharType="separate"/>
          </w:r>
          <w:r>
            <w:rPr>
              <w:rStyle w:val="17"/>
              <w:rFonts w:hint="eastAsia"/>
            </w:rPr>
            <w:t>第十五部分</w:t>
          </w:r>
          <w:r>
            <w:rPr>
              <w:rStyle w:val="17"/>
            </w:rPr>
            <w:t xml:space="preserve"> </w:t>
          </w:r>
          <w:r>
            <w:rPr>
              <w:rStyle w:val="17"/>
              <w:rFonts w:hint="eastAsia"/>
            </w:rPr>
            <w:t>基金费用与税收</w:t>
          </w:r>
          <w:r>
            <w:tab/>
          </w:r>
          <w:r>
            <w:rPr>
              <w:rFonts w:hint="eastAsia"/>
            </w:rPr>
            <w:t>15-</w:t>
          </w:r>
          <w:r>
            <w:fldChar w:fldCharType="begin"/>
          </w:r>
          <w:r>
            <w:instrText xml:space="preserve"> PAGEREF _Toc471235852 \h </w:instrText>
          </w:r>
          <w:r>
            <w:fldChar w:fldCharType="separate"/>
          </w:r>
          <w:r>
            <w:t>1</w:t>
          </w:r>
          <w:r>
            <w:fldChar w:fldCharType="end"/>
          </w:r>
          <w:r>
            <w:fldChar w:fldCharType="end"/>
          </w:r>
        </w:p>
        <w:p w14:paraId="111A09C4">
          <w:pPr>
            <w:pStyle w:val="10"/>
            <w:jc w:val="both"/>
            <w:rPr>
              <w:kern w:val="2"/>
              <w:sz w:val="21"/>
            </w:rPr>
          </w:pPr>
          <w:r>
            <w:fldChar w:fldCharType="begin"/>
          </w:r>
          <w:r>
            <w:instrText xml:space="preserve"> HYPERLINK \l "_Toc471235853" </w:instrText>
          </w:r>
          <w:r>
            <w:fldChar w:fldCharType="separate"/>
          </w:r>
          <w:r>
            <w:rPr>
              <w:rStyle w:val="17"/>
              <w:rFonts w:hint="eastAsia"/>
            </w:rPr>
            <w:t>第十六部分</w:t>
          </w:r>
          <w:r>
            <w:rPr>
              <w:rStyle w:val="17"/>
            </w:rPr>
            <w:t xml:space="preserve"> </w:t>
          </w:r>
          <w:r>
            <w:rPr>
              <w:rStyle w:val="17"/>
              <w:rFonts w:hint="eastAsia"/>
            </w:rPr>
            <w:t>基金的收益与分配</w:t>
          </w:r>
          <w:r>
            <w:tab/>
          </w:r>
          <w:r>
            <w:rPr>
              <w:rFonts w:hint="eastAsia"/>
            </w:rPr>
            <w:t>16-</w:t>
          </w:r>
          <w:r>
            <w:fldChar w:fldCharType="begin"/>
          </w:r>
          <w:r>
            <w:instrText xml:space="preserve"> PAGEREF _Toc471235853 \h </w:instrText>
          </w:r>
          <w:r>
            <w:fldChar w:fldCharType="separate"/>
          </w:r>
          <w:r>
            <w:t>1</w:t>
          </w:r>
          <w:r>
            <w:fldChar w:fldCharType="end"/>
          </w:r>
          <w:r>
            <w:fldChar w:fldCharType="end"/>
          </w:r>
        </w:p>
        <w:p w14:paraId="268D4ACC">
          <w:pPr>
            <w:pStyle w:val="10"/>
            <w:jc w:val="both"/>
            <w:rPr>
              <w:kern w:val="2"/>
              <w:sz w:val="21"/>
            </w:rPr>
          </w:pPr>
          <w:r>
            <w:fldChar w:fldCharType="begin"/>
          </w:r>
          <w:r>
            <w:instrText xml:space="preserve"> HYPERLINK \l "_Toc471235854" </w:instrText>
          </w:r>
          <w:r>
            <w:fldChar w:fldCharType="separate"/>
          </w:r>
          <w:r>
            <w:rPr>
              <w:rStyle w:val="17"/>
              <w:rFonts w:hint="eastAsia"/>
            </w:rPr>
            <w:t>第十七部分</w:t>
          </w:r>
          <w:r>
            <w:rPr>
              <w:rStyle w:val="17"/>
            </w:rPr>
            <w:t xml:space="preserve"> </w:t>
          </w:r>
          <w:r>
            <w:rPr>
              <w:rStyle w:val="17"/>
              <w:rFonts w:hint="eastAsia"/>
            </w:rPr>
            <w:t>基金的会计与审计</w:t>
          </w:r>
          <w:r>
            <w:tab/>
          </w:r>
          <w:r>
            <w:rPr>
              <w:rFonts w:hint="eastAsia"/>
            </w:rPr>
            <w:t>17-</w:t>
          </w:r>
          <w:r>
            <w:fldChar w:fldCharType="begin"/>
          </w:r>
          <w:r>
            <w:instrText xml:space="preserve"> PAGEREF _Toc471235854 \h </w:instrText>
          </w:r>
          <w:r>
            <w:fldChar w:fldCharType="separate"/>
          </w:r>
          <w:r>
            <w:t>1</w:t>
          </w:r>
          <w:r>
            <w:fldChar w:fldCharType="end"/>
          </w:r>
          <w:r>
            <w:fldChar w:fldCharType="end"/>
          </w:r>
        </w:p>
        <w:p w14:paraId="70992075">
          <w:pPr>
            <w:pStyle w:val="10"/>
            <w:jc w:val="both"/>
            <w:rPr>
              <w:kern w:val="2"/>
              <w:sz w:val="21"/>
            </w:rPr>
          </w:pPr>
          <w:r>
            <w:fldChar w:fldCharType="begin"/>
          </w:r>
          <w:r>
            <w:instrText xml:space="preserve"> HYPERLINK \l "_Toc471235855" </w:instrText>
          </w:r>
          <w:r>
            <w:fldChar w:fldCharType="separate"/>
          </w:r>
          <w:r>
            <w:rPr>
              <w:rStyle w:val="17"/>
              <w:rFonts w:hint="eastAsia"/>
            </w:rPr>
            <w:t>第十八部分</w:t>
          </w:r>
          <w:r>
            <w:rPr>
              <w:rStyle w:val="17"/>
            </w:rPr>
            <w:t xml:space="preserve"> </w:t>
          </w:r>
          <w:r>
            <w:rPr>
              <w:rStyle w:val="17"/>
              <w:rFonts w:hint="eastAsia"/>
            </w:rPr>
            <w:t>基金的信息披露</w:t>
          </w:r>
          <w:r>
            <w:tab/>
          </w:r>
          <w:r>
            <w:rPr>
              <w:rFonts w:hint="eastAsia"/>
            </w:rPr>
            <w:t>18-</w:t>
          </w:r>
          <w:r>
            <w:fldChar w:fldCharType="begin"/>
          </w:r>
          <w:r>
            <w:instrText xml:space="preserve"> PAGEREF _Toc471235855 \h </w:instrText>
          </w:r>
          <w:r>
            <w:fldChar w:fldCharType="separate"/>
          </w:r>
          <w:r>
            <w:t>1</w:t>
          </w:r>
          <w:r>
            <w:fldChar w:fldCharType="end"/>
          </w:r>
          <w:r>
            <w:fldChar w:fldCharType="end"/>
          </w:r>
        </w:p>
        <w:p w14:paraId="41FE8443">
          <w:pPr>
            <w:pStyle w:val="10"/>
            <w:jc w:val="both"/>
            <w:rPr>
              <w:kern w:val="2"/>
              <w:sz w:val="21"/>
            </w:rPr>
          </w:pPr>
          <w:r>
            <w:fldChar w:fldCharType="begin"/>
          </w:r>
          <w:r>
            <w:instrText xml:space="preserve"> HYPERLINK \l "_Toc471235856" </w:instrText>
          </w:r>
          <w:r>
            <w:fldChar w:fldCharType="separate"/>
          </w:r>
          <w:r>
            <w:rPr>
              <w:rStyle w:val="17"/>
              <w:rFonts w:hint="eastAsia"/>
            </w:rPr>
            <w:t>第十九部分</w:t>
          </w:r>
          <w:r>
            <w:rPr>
              <w:rStyle w:val="17"/>
            </w:rPr>
            <w:t xml:space="preserve"> </w:t>
          </w:r>
          <w:r>
            <w:rPr>
              <w:rStyle w:val="17"/>
              <w:rFonts w:hint="eastAsia"/>
            </w:rPr>
            <w:t>基金合同的变更、终止与基金财产的清算</w:t>
          </w:r>
          <w:r>
            <w:tab/>
          </w:r>
          <w:r>
            <w:rPr>
              <w:rFonts w:hint="eastAsia"/>
            </w:rPr>
            <w:t>19-</w:t>
          </w:r>
          <w:r>
            <w:fldChar w:fldCharType="begin"/>
          </w:r>
          <w:r>
            <w:instrText xml:space="preserve"> PAGEREF _Toc471235856 \h </w:instrText>
          </w:r>
          <w:r>
            <w:fldChar w:fldCharType="separate"/>
          </w:r>
          <w:r>
            <w:t>1</w:t>
          </w:r>
          <w:r>
            <w:fldChar w:fldCharType="end"/>
          </w:r>
          <w:r>
            <w:fldChar w:fldCharType="end"/>
          </w:r>
        </w:p>
        <w:p w14:paraId="0630AE02">
          <w:pPr>
            <w:pStyle w:val="10"/>
            <w:jc w:val="both"/>
            <w:rPr>
              <w:kern w:val="2"/>
              <w:sz w:val="21"/>
            </w:rPr>
          </w:pPr>
          <w:r>
            <w:fldChar w:fldCharType="begin"/>
          </w:r>
          <w:r>
            <w:instrText xml:space="preserve"> HYPERLINK \l "_Toc471235857" </w:instrText>
          </w:r>
          <w:r>
            <w:fldChar w:fldCharType="separate"/>
          </w:r>
          <w:r>
            <w:rPr>
              <w:rStyle w:val="17"/>
              <w:rFonts w:hint="eastAsia"/>
            </w:rPr>
            <w:t>第二十部分</w:t>
          </w:r>
          <w:r>
            <w:rPr>
              <w:rStyle w:val="17"/>
            </w:rPr>
            <w:t xml:space="preserve"> </w:t>
          </w:r>
          <w:r>
            <w:rPr>
              <w:rStyle w:val="17"/>
              <w:rFonts w:hint="eastAsia"/>
            </w:rPr>
            <w:t>违约责任</w:t>
          </w:r>
          <w:r>
            <w:tab/>
          </w:r>
          <w:r>
            <w:rPr>
              <w:rFonts w:hint="eastAsia"/>
            </w:rPr>
            <w:t>20-</w:t>
          </w:r>
          <w:r>
            <w:fldChar w:fldCharType="begin"/>
          </w:r>
          <w:r>
            <w:instrText xml:space="preserve"> PAGEREF _Toc471235857 \h </w:instrText>
          </w:r>
          <w:r>
            <w:fldChar w:fldCharType="separate"/>
          </w:r>
          <w:r>
            <w:t>1</w:t>
          </w:r>
          <w:r>
            <w:fldChar w:fldCharType="end"/>
          </w:r>
          <w:r>
            <w:fldChar w:fldCharType="end"/>
          </w:r>
        </w:p>
        <w:p w14:paraId="602DA63A">
          <w:pPr>
            <w:pStyle w:val="10"/>
            <w:jc w:val="both"/>
            <w:rPr>
              <w:kern w:val="2"/>
              <w:sz w:val="21"/>
            </w:rPr>
          </w:pPr>
          <w:r>
            <w:fldChar w:fldCharType="begin"/>
          </w:r>
          <w:r>
            <w:instrText xml:space="preserve"> HYPERLINK \l "_Toc471235858" </w:instrText>
          </w:r>
          <w:r>
            <w:fldChar w:fldCharType="separate"/>
          </w:r>
          <w:r>
            <w:rPr>
              <w:rStyle w:val="17"/>
              <w:rFonts w:hint="eastAsia"/>
            </w:rPr>
            <w:t>第二十一部分</w:t>
          </w:r>
          <w:r>
            <w:rPr>
              <w:rStyle w:val="17"/>
            </w:rPr>
            <w:t xml:space="preserve"> </w:t>
          </w:r>
          <w:r>
            <w:rPr>
              <w:rStyle w:val="17"/>
              <w:rFonts w:hint="eastAsia"/>
            </w:rPr>
            <w:t>争议的处理和适用的法律</w:t>
          </w:r>
          <w:r>
            <w:tab/>
          </w:r>
          <w:r>
            <w:rPr>
              <w:rFonts w:hint="eastAsia"/>
            </w:rPr>
            <w:t>21-</w:t>
          </w:r>
          <w:r>
            <w:fldChar w:fldCharType="begin"/>
          </w:r>
          <w:r>
            <w:instrText xml:space="preserve"> PAGEREF _Toc471235858 \h </w:instrText>
          </w:r>
          <w:r>
            <w:fldChar w:fldCharType="separate"/>
          </w:r>
          <w:r>
            <w:t>1</w:t>
          </w:r>
          <w:r>
            <w:fldChar w:fldCharType="end"/>
          </w:r>
          <w:r>
            <w:fldChar w:fldCharType="end"/>
          </w:r>
        </w:p>
        <w:p w14:paraId="4BD4FFFD">
          <w:pPr>
            <w:pStyle w:val="10"/>
            <w:jc w:val="both"/>
            <w:rPr>
              <w:kern w:val="2"/>
              <w:sz w:val="21"/>
            </w:rPr>
          </w:pPr>
          <w:r>
            <w:fldChar w:fldCharType="begin"/>
          </w:r>
          <w:r>
            <w:instrText xml:space="preserve"> HYPERLINK \l "_Toc471235859" </w:instrText>
          </w:r>
          <w:r>
            <w:fldChar w:fldCharType="separate"/>
          </w:r>
          <w:r>
            <w:rPr>
              <w:rStyle w:val="17"/>
              <w:rFonts w:hint="eastAsia"/>
            </w:rPr>
            <w:t>第二十二部分</w:t>
          </w:r>
          <w:r>
            <w:rPr>
              <w:rStyle w:val="17"/>
            </w:rPr>
            <w:t xml:space="preserve"> </w:t>
          </w:r>
          <w:r>
            <w:rPr>
              <w:rStyle w:val="17"/>
              <w:rFonts w:hint="eastAsia"/>
            </w:rPr>
            <w:t>基金合同的效力</w:t>
          </w:r>
          <w:r>
            <w:tab/>
          </w:r>
          <w:r>
            <w:rPr>
              <w:rFonts w:hint="eastAsia"/>
            </w:rPr>
            <w:t>22-</w:t>
          </w:r>
          <w:r>
            <w:fldChar w:fldCharType="begin"/>
          </w:r>
          <w:r>
            <w:instrText xml:space="preserve"> PAGEREF _Toc471235859 \h </w:instrText>
          </w:r>
          <w:r>
            <w:fldChar w:fldCharType="separate"/>
          </w:r>
          <w:r>
            <w:t>1</w:t>
          </w:r>
          <w:r>
            <w:fldChar w:fldCharType="end"/>
          </w:r>
          <w:r>
            <w:fldChar w:fldCharType="end"/>
          </w:r>
        </w:p>
        <w:p w14:paraId="5347053F">
          <w:pPr>
            <w:pStyle w:val="10"/>
            <w:jc w:val="both"/>
            <w:rPr>
              <w:kern w:val="2"/>
              <w:sz w:val="21"/>
            </w:rPr>
          </w:pPr>
          <w:r>
            <w:fldChar w:fldCharType="begin"/>
          </w:r>
          <w:r>
            <w:instrText xml:space="preserve"> HYPERLINK \l "_Toc471235860" </w:instrText>
          </w:r>
          <w:r>
            <w:fldChar w:fldCharType="separate"/>
          </w:r>
          <w:r>
            <w:rPr>
              <w:rStyle w:val="17"/>
              <w:rFonts w:hint="eastAsia"/>
            </w:rPr>
            <w:t>第二十三部分</w:t>
          </w:r>
          <w:r>
            <w:rPr>
              <w:rStyle w:val="17"/>
            </w:rPr>
            <w:t xml:space="preserve"> </w:t>
          </w:r>
          <w:r>
            <w:rPr>
              <w:rStyle w:val="17"/>
              <w:rFonts w:hint="eastAsia"/>
            </w:rPr>
            <w:t>其他事项</w:t>
          </w:r>
          <w:r>
            <w:tab/>
          </w:r>
          <w:r>
            <w:rPr>
              <w:rFonts w:hint="eastAsia"/>
            </w:rPr>
            <w:t>23-</w:t>
          </w:r>
          <w:r>
            <w:fldChar w:fldCharType="begin"/>
          </w:r>
          <w:r>
            <w:instrText xml:space="preserve"> PAGEREF _Toc471235860 \h </w:instrText>
          </w:r>
          <w:r>
            <w:fldChar w:fldCharType="separate"/>
          </w:r>
          <w:r>
            <w:t>1</w:t>
          </w:r>
          <w:r>
            <w:fldChar w:fldCharType="end"/>
          </w:r>
          <w:r>
            <w:fldChar w:fldCharType="end"/>
          </w:r>
        </w:p>
        <w:p w14:paraId="47CBD97F">
          <w:pPr>
            <w:pStyle w:val="10"/>
            <w:jc w:val="both"/>
            <w:rPr>
              <w:kern w:val="2"/>
              <w:sz w:val="21"/>
            </w:rPr>
          </w:pPr>
          <w:r>
            <w:fldChar w:fldCharType="begin"/>
          </w:r>
          <w:r>
            <w:instrText xml:space="preserve"> HYPERLINK \l "_Toc471235861" </w:instrText>
          </w:r>
          <w:r>
            <w:fldChar w:fldCharType="separate"/>
          </w:r>
          <w:r>
            <w:rPr>
              <w:rStyle w:val="17"/>
              <w:rFonts w:hint="eastAsia"/>
            </w:rPr>
            <w:t>第二十四部分</w:t>
          </w:r>
          <w:r>
            <w:rPr>
              <w:rStyle w:val="17"/>
            </w:rPr>
            <w:t xml:space="preserve">  </w:t>
          </w:r>
          <w:r>
            <w:rPr>
              <w:rStyle w:val="17"/>
              <w:rFonts w:hint="eastAsia"/>
            </w:rPr>
            <w:t>基金合同的内容摘要</w:t>
          </w:r>
          <w:r>
            <w:tab/>
          </w:r>
          <w:r>
            <w:rPr>
              <w:rFonts w:hint="eastAsia"/>
            </w:rPr>
            <w:t>24-</w:t>
          </w:r>
          <w:r>
            <w:fldChar w:fldCharType="begin"/>
          </w:r>
          <w:r>
            <w:instrText xml:space="preserve"> PAGEREF _Toc471235861 \h </w:instrText>
          </w:r>
          <w:r>
            <w:fldChar w:fldCharType="separate"/>
          </w:r>
          <w:r>
            <w:t>1</w:t>
          </w:r>
          <w:r>
            <w:fldChar w:fldCharType="end"/>
          </w:r>
          <w:r>
            <w:fldChar w:fldCharType="end"/>
          </w:r>
        </w:p>
        <w:p w14:paraId="307D1A37">
          <w:r>
            <w:rPr>
              <w:b/>
              <w:bCs/>
              <w:lang w:val="zh-CN"/>
            </w:rPr>
            <w:fldChar w:fldCharType="end"/>
          </w:r>
        </w:p>
      </w:sdtContent>
    </w:sdt>
    <w:p w14:paraId="745C0719">
      <w:pPr>
        <w:autoSpaceDE w:val="0"/>
        <w:autoSpaceDN w:val="0"/>
        <w:adjustRightInd w:val="0"/>
        <w:spacing w:line="360" w:lineRule="auto"/>
        <w:ind w:firstLine="480" w:firstLineChars="200"/>
        <w:rPr>
          <w:rFonts w:cs="宋体" w:asciiTheme="minorEastAsia" w:hAnsiTheme="minorEastAsia"/>
          <w:kern w:val="0"/>
          <w:sz w:val="24"/>
          <w:szCs w:val="24"/>
        </w:rPr>
        <w:sectPr>
          <w:headerReference r:id="rId3" w:type="default"/>
          <w:pgSz w:w="11906" w:h="16838"/>
          <w:pgMar w:top="1440" w:right="1800" w:bottom="1440" w:left="1800" w:header="851" w:footer="992" w:gutter="0"/>
          <w:cols w:space="425" w:num="1"/>
          <w:docGrid w:type="lines" w:linePitch="312" w:charSpace="0"/>
        </w:sectPr>
      </w:pPr>
    </w:p>
    <w:p w14:paraId="07B089CE">
      <w:pPr>
        <w:pStyle w:val="2"/>
        <w:spacing w:before="0" w:after="0" w:line="360" w:lineRule="auto"/>
        <w:ind w:firstLine="602" w:firstLineChars="200"/>
        <w:jc w:val="center"/>
        <w:rPr>
          <w:rFonts w:ascii="Times New Roman" w:hAnsi="Times New Roman"/>
          <w:kern w:val="0"/>
          <w:sz w:val="30"/>
          <w:lang w:val="zh-CN"/>
        </w:rPr>
      </w:pPr>
      <w:bookmarkStart w:id="0" w:name="_Toc471235838"/>
      <w:r>
        <w:rPr>
          <w:rFonts w:hint="eastAsia" w:ascii="Times New Roman" w:hAnsi="Times New Roman"/>
          <w:kern w:val="0"/>
          <w:sz w:val="30"/>
          <w:lang w:val="zh-CN"/>
        </w:rPr>
        <w:t>第一部分</w:t>
      </w:r>
      <w:r>
        <w:rPr>
          <w:rFonts w:ascii="Times New Roman" w:hAnsi="Times New Roman"/>
          <w:kern w:val="0"/>
          <w:sz w:val="30"/>
          <w:lang w:val="zh-CN"/>
        </w:rPr>
        <w:t xml:space="preserve"> </w:t>
      </w:r>
      <w:r>
        <w:rPr>
          <w:rFonts w:hint="eastAsia" w:ascii="Times New Roman" w:hAnsi="Times New Roman"/>
          <w:kern w:val="0"/>
          <w:sz w:val="30"/>
          <w:lang w:val="zh-CN"/>
        </w:rPr>
        <w:t>前言</w:t>
      </w:r>
      <w:bookmarkEnd w:id="0"/>
    </w:p>
    <w:p w14:paraId="2E9E8E87">
      <w:pPr>
        <w:autoSpaceDE w:val="0"/>
        <w:autoSpaceDN w:val="0"/>
        <w:adjustRightInd w:val="0"/>
        <w:spacing w:line="360" w:lineRule="auto"/>
        <w:ind w:firstLine="480" w:firstLineChars="200"/>
        <w:rPr>
          <w:rFonts w:cs="宋体" w:asciiTheme="minorEastAsia" w:hAnsiTheme="minorEastAsia"/>
          <w:kern w:val="0"/>
          <w:sz w:val="24"/>
          <w:szCs w:val="24"/>
        </w:rPr>
      </w:pPr>
    </w:p>
    <w:p w14:paraId="216A207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一、订立本基金合同的目的、依据和原则</w:t>
      </w:r>
    </w:p>
    <w:p w14:paraId="66FB5B6E">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、订立本基金合同的目的是保护投资人合法权益，明确基金合同当事人的权利义务，规范基金运作。</w:t>
      </w:r>
    </w:p>
    <w:p w14:paraId="6C3D380F">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2号——基金中基金指引》、《公开募集证券投资基金运作指引第3号——指数基金指引》（以下简称“《指数基金指引》”）和其他有关法律法规。</w:t>
      </w:r>
    </w:p>
    <w:p w14:paraId="66015252">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、订立本基金合同的原则是平等自愿、诚实信用、充分保护投资人合法权益。</w:t>
      </w:r>
    </w:p>
    <w:p w14:paraId="07ADDB4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4665BF5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14:paraId="41A712F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博时中证机器人交易型开放式指数证券投资基金发起式联接基金（以下简称“本基金”）由博时中证机器人指数型发起式证券投资基金变更而来，博时中证机器人指数型发起式证券投资基金由基金管理人依照《基金法》、基金合同及其他有关规定募集，并经中国证券监督管理委员会(以下简称“中国证监会”)注册。</w:t>
      </w:r>
    </w:p>
    <w:p w14:paraId="0244C9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中国证监会对博时中证机器人指数型发起式证券投资基金募集的注册，并不表明其对本基金的投资价值、市场前景和收益做出实质性判断或保证，也不表明投资于本基金没有风险。</w:t>
      </w:r>
    </w:p>
    <w:p w14:paraId="41AF468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基金管理人依照恪尽职守、诚实信用、谨慎勤勉的原则管理和运用基金财产，但不保证投资于本基金一定盈利，也不保证最低收益。</w:t>
      </w:r>
    </w:p>
    <w:p w14:paraId="602AF6B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投资者应当认真阅读基金招募说明书、基金合同、基金产品资料概要等信息披露文件，自主判断基金的投资价值，自主做出投资决策，自行承担投资风险。</w:t>
      </w:r>
    </w:p>
    <w:p w14:paraId="69EFA59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四、基金管理人、基金托管人在本基金合同之外披露涉及本基金的信息，其内容涉及界定基金合同当事人之间权利义务关系的，如与基金合同有冲突，以基金合同为准。</w:t>
      </w:r>
    </w:p>
    <w:p w14:paraId="6F9728A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五、本基金按照中国法律法规成立并运作，若基金合同的内容与届时有效的法律法规的强制性规定不一致，应当以届时有效的法律法规的规定为准。</w:t>
      </w:r>
    </w:p>
    <w:p w14:paraId="493CD65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本基金因特殊情况（比如流动性不足等）导致本基金无法有效复制和跟踪标的指数时，为更好地实现基金的投资目标，本基金可能会少量投资于依法发行上市的非成份股（包括主板、创业板及其他经中国证监会核准或注册上市的股票、存托凭证）、</w:t>
      </w:r>
      <w:r>
        <w:rPr>
          <w:rFonts w:hint="eastAsia" w:ascii="Arial" w:hAnsi="Arial" w:eastAsia="宋体" w:cs="Arial"/>
          <w:sz w:val="24"/>
          <w:szCs w:val="24"/>
        </w:rPr>
        <w:t>内地与香港股票市场交易互联互通机制下允许买卖的香港联合交易所上市股票（以下简称“</w:t>
      </w:r>
      <w:r>
        <w:rPr>
          <w:rFonts w:hint="eastAsia" w:cs="宋体" w:asciiTheme="minorEastAsia" w:hAnsiTheme="minorEastAsia"/>
          <w:kern w:val="0"/>
          <w:sz w:val="24"/>
          <w:szCs w:val="24"/>
        </w:rPr>
        <w:t>港股通标的股票”）。</w:t>
      </w:r>
    </w:p>
    <w:p w14:paraId="3CE48C7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14:paraId="1CD85F0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本基金主要投资于目标ETF、标的指数成份股和备选成份股（含存托凭证），投资者投资于本基金面临跟踪误差控制未达约定目标、指数编制机构停止服务、成份股停牌或退市等潜在风险，具体风险详见本基金招募说明书。</w:t>
      </w:r>
    </w:p>
    <w:p w14:paraId="401703B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九、本基金的投资范围包括存托凭证，除与其他仅投资于境内市场股票的基金所面临的共同风险外，本基金还将面临存托凭证价格大幅波动甚至出现较大亏损的风险，以及与存托凭证发行机制相关的风险。</w:t>
      </w:r>
    </w:p>
    <w:p w14:paraId="5E665D7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44FF6AC5">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4" w:type="default"/>
          <w:pgSz w:w="11906" w:h="16838"/>
          <w:pgMar w:top="1440" w:right="1800" w:bottom="1440" w:left="1800" w:header="851" w:footer="992" w:gutter="0"/>
          <w:pgNumType w:start="1"/>
          <w:cols w:space="425" w:num="1"/>
          <w:docGrid w:type="lines" w:linePitch="312" w:charSpace="0"/>
        </w:sectPr>
      </w:pPr>
    </w:p>
    <w:p w14:paraId="179B6A88">
      <w:pPr>
        <w:pStyle w:val="2"/>
        <w:spacing w:before="0" w:after="0" w:line="360" w:lineRule="auto"/>
        <w:ind w:firstLine="602" w:firstLineChars="200"/>
        <w:jc w:val="center"/>
        <w:rPr>
          <w:rFonts w:ascii="Times New Roman" w:hAnsi="Times New Roman"/>
          <w:kern w:val="0"/>
          <w:sz w:val="30"/>
          <w:lang w:val="zh-CN"/>
        </w:rPr>
      </w:pPr>
      <w:bookmarkStart w:id="1" w:name="_Toc471235839"/>
      <w:r>
        <w:rPr>
          <w:rFonts w:hint="eastAsia" w:ascii="Times New Roman" w:hAnsi="Times New Roman"/>
          <w:kern w:val="0"/>
          <w:sz w:val="30"/>
          <w:lang w:val="zh-CN"/>
        </w:rPr>
        <w:t>第二部分</w:t>
      </w:r>
      <w:r>
        <w:rPr>
          <w:rFonts w:ascii="Times New Roman" w:hAnsi="Times New Roman"/>
          <w:kern w:val="0"/>
          <w:sz w:val="30"/>
          <w:lang w:val="zh-CN"/>
        </w:rPr>
        <w:t xml:space="preserve"> </w:t>
      </w:r>
      <w:r>
        <w:rPr>
          <w:rFonts w:hint="eastAsia" w:ascii="Times New Roman" w:hAnsi="Times New Roman"/>
          <w:kern w:val="0"/>
          <w:sz w:val="30"/>
          <w:lang w:val="zh-CN"/>
        </w:rPr>
        <w:t>释义</w:t>
      </w:r>
      <w:bookmarkEnd w:id="1"/>
    </w:p>
    <w:p w14:paraId="1D7AB743">
      <w:pPr>
        <w:autoSpaceDE w:val="0"/>
        <w:autoSpaceDN w:val="0"/>
        <w:adjustRightInd w:val="0"/>
        <w:spacing w:line="360" w:lineRule="auto"/>
        <w:ind w:firstLine="480" w:firstLineChars="200"/>
        <w:rPr>
          <w:rFonts w:cs="宋体" w:asciiTheme="minorEastAsia" w:hAnsiTheme="minorEastAsia"/>
          <w:kern w:val="0"/>
          <w:sz w:val="24"/>
          <w:szCs w:val="24"/>
        </w:rPr>
      </w:pPr>
    </w:p>
    <w:p w14:paraId="14D558F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在本基金合同中，除非文意另有所指，下列词语或简称具有如下含义：</w:t>
      </w:r>
    </w:p>
    <w:p w14:paraId="37D6B25D">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、基金或本基金：指博时中证机器人交易型开放式指数证券投资基金发起式联接基金，本基金由博时中证机器人指数型发起式证券投资基金变更而来</w:t>
      </w:r>
    </w:p>
    <w:p w14:paraId="7B80471A">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、基金管理人：指博时基金管理有限公司</w:t>
      </w:r>
    </w:p>
    <w:p w14:paraId="15C641A4">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、基金托管人：指宁波银行股份有限公司</w:t>
      </w:r>
    </w:p>
    <w:p w14:paraId="4A34FE8E">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4</w:t>
      </w:r>
      <w:r>
        <w:rPr>
          <w:rFonts w:hint="eastAsia" w:cs="宋体" w:asciiTheme="minorEastAsia" w:hAnsiTheme="minorEastAsia"/>
          <w:kern w:val="0"/>
          <w:sz w:val="24"/>
          <w:szCs w:val="24"/>
        </w:rPr>
        <w:t>、基金合同或本基金合同：指《博时中证机器人交易型开放式指数证券投资基金发起式联接基金基金合同》及对本基金合同的任何有效修订和补充</w:t>
      </w:r>
    </w:p>
    <w:p w14:paraId="5DA22547">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5</w:t>
      </w:r>
      <w:r>
        <w:rPr>
          <w:rFonts w:hint="eastAsia" w:cs="宋体" w:asciiTheme="minorEastAsia" w:hAnsiTheme="minorEastAsia"/>
          <w:kern w:val="0"/>
          <w:sz w:val="24"/>
          <w:szCs w:val="24"/>
        </w:rPr>
        <w:t>、托管协议：指基金管理人与基金托管人就本基金签订之《博时中证机器人交易型开放式指数证券投资基金发起式联接基金托管协议》及对该托管协议的任何有效修订和补充</w:t>
      </w:r>
    </w:p>
    <w:p w14:paraId="774DE237">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6</w:t>
      </w:r>
      <w:r>
        <w:rPr>
          <w:rFonts w:hint="eastAsia" w:cs="宋体" w:asciiTheme="minorEastAsia" w:hAnsiTheme="minorEastAsia"/>
          <w:kern w:val="0"/>
          <w:sz w:val="24"/>
          <w:szCs w:val="24"/>
        </w:rPr>
        <w:t>、招募说明书：指《博时中证机器人交易型开放式指数证券投资基金发起式联接基金招募说明书》及其更新</w:t>
      </w:r>
    </w:p>
    <w:p w14:paraId="1887F9F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7、基金产品资料概要：指《博时中证机器人交易型开放式指数证券投资基金发起式联接基金基金产品资料概要》及其更新</w:t>
      </w:r>
    </w:p>
    <w:p w14:paraId="7401DB2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Times New Roman" w:asciiTheme="minorEastAsia" w:hAnsiTheme="minorEastAsia"/>
          <w:kern w:val="0"/>
          <w:sz w:val="24"/>
          <w:szCs w:val="24"/>
        </w:rPr>
        <w:t>8</w:t>
      </w:r>
      <w:r>
        <w:rPr>
          <w:rFonts w:hint="eastAsia" w:cs="宋体" w:asciiTheme="minorEastAsia" w:hAnsiTheme="minorEastAsia"/>
          <w:kern w:val="0"/>
          <w:sz w:val="24"/>
          <w:szCs w:val="24"/>
        </w:rPr>
        <w:t>、法律法规：指中国现行有效并公布实施的法律、行政法规、规范性文件司法解释、行政规章以及其他对基金合同当事人有约束力的决定、决议、通知等</w:t>
      </w:r>
    </w:p>
    <w:p w14:paraId="6191D6F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Times New Roman" w:asciiTheme="minorEastAsia" w:hAnsiTheme="minorEastAsia"/>
          <w:kern w:val="0"/>
          <w:sz w:val="24"/>
          <w:szCs w:val="24"/>
        </w:rPr>
        <w:t>9</w:t>
      </w:r>
      <w:r>
        <w:rPr>
          <w:rFonts w:hint="eastAsia" w:cs="宋体" w:asciiTheme="minorEastAsia" w:hAnsiTheme="minorEastAsia"/>
          <w:kern w:val="0"/>
          <w:sz w:val="24"/>
          <w:szCs w:val="24"/>
        </w:rPr>
        <w:t>、《基金法》：指</w:t>
      </w:r>
      <w:r>
        <w:rPr>
          <w:rFonts w:cs="Times New Roman" w:asciiTheme="minorEastAsia" w:hAnsiTheme="minorEastAsia"/>
          <w:kern w:val="0"/>
          <w:sz w:val="24"/>
          <w:szCs w:val="24"/>
        </w:rPr>
        <w:t>2003</w:t>
      </w:r>
      <w:r>
        <w:rPr>
          <w:rFonts w:hint="eastAsia" w:cs="宋体" w:asciiTheme="minorEastAsia" w:hAnsiTheme="minorEastAsia"/>
          <w:kern w:val="0"/>
          <w:sz w:val="24"/>
          <w:szCs w:val="24"/>
        </w:rPr>
        <w:t>年</w:t>
      </w:r>
      <w:r>
        <w:rPr>
          <w:rFonts w:cs="Times New Roman" w:asciiTheme="minorEastAsia" w:hAnsiTheme="minorEastAsia"/>
          <w:kern w:val="0"/>
          <w:sz w:val="24"/>
          <w:szCs w:val="24"/>
        </w:rPr>
        <w:t>10</w:t>
      </w:r>
      <w:r>
        <w:rPr>
          <w:rFonts w:hint="eastAsia" w:cs="宋体" w:asciiTheme="minorEastAsia" w:hAnsiTheme="minorEastAsia"/>
          <w:kern w:val="0"/>
          <w:sz w:val="24"/>
          <w:szCs w:val="24"/>
        </w:rPr>
        <w:t>月</w:t>
      </w:r>
      <w:r>
        <w:rPr>
          <w:rFonts w:cs="Times New Roman" w:asciiTheme="minorEastAsia" w:hAnsiTheme="minorEastAsia"/>
          <w:kern w:val="0"/>
          <w:sz w:val="24"/>
          <w:szCs w:val="24"/>
        </w:rPr>
        <w:t>28</w:t>
      </w:r>
      <w:r>
        <w:rPr>
          <w:rFonts w:hint="eastAsia" w:cs="宋体" w:asciiTheme="minorEastAsia" w:hAnsiTheme="minorEastAsia"/>
          <w:kern w:val="0"/>
          <w:sz w:val="24"/>
          <w:szCs w:val="24"/>
        </w:rPr>
        <w:t>日经第十届全国人民代表大会常务委员会第五次会议通过，经</w:t>
      </w:r>
      <w:r>
        <w:rPr>
          <w:rFonts w:cs="Times New Roman" w:asciiTheme="minorEastAsia" w:hAnsiTheme="minorEastAsia"/>
          <w:kern w:val="0"/>
          <w:sz w:val="24"/>
          <w:szCs w:val="24"/>
        </w:rPr>
        <w:t>2012</w:t>
      </w:r>
      <w:r>
        <w:rPr>
          <w:rFonts w:hint="eastAsia" w:cs="宋体" w:asciiTheme="minorEastAsia" w:hAnsiTheme="minorEastAsia"/>
          <w:kern w:val="0"/>
          <w:sz w:val="24"/>
          <w:szCs w:val="24"/>
        </w:rPr>
        <w:t>年</w:t>
      </w:r>
      <w:r>
        <w:rPr>
          <w:rFonts w:cs="Times New Roman" w:asciiTheme="minorEastAsia" w:hAnsiTheme="minorEastAsia"/>
          <w:kern w:val="0"/>
          <w:sz w:val="24"/>
          <w:szCs w:val="24"/>
        </w:rPr>
        <w:t>12</w:t>
      </w:r>
      <w:r>
        <w:rPr>
          <w:rFonts w:hint="eastAsia" w:cs="宋体" w:asciiTheme="minorEastAsia" w:hAnsiTheme="minorEastAsia"/>
          <w:kern w:val="0"/>
          <w:sz w:val="24"/>
          <w:szCs w:val="24"/>
        </w:rPr>
        <w:t>月</w:t>
      </w:r>
      <w:r>
        <w:rPr>
          <w:rFonts w:cs="Times New Roman" w:asciiTheme="minorEastAsia" w:hAnsiTheme="minorEastAsia"/>
          <w:kern w:val="0"/>
          <w:sz w:val="24"/>
          <w:szCs w:val="24"/>
        </w:rPr>
        <w:t>28</w:t>
      </w:r>
      <w:r>
        <w:rPr>
          <w:rFonts w:hint="eastAsia" w:cs="宋体" w:asciiTheme="minorEastAsia" w:hAnsiTheme="minorEastAsia"/>
          <w:kern w:val="0"/>
          <w:sz w:val="24"/>
          <w:szCs w:val="24"/>
        </w:rPr>
        <w:t>日第十一届全国人民代表大会常务委员会第</w:t>
      </w:r>
      <w:r>
        <w:rPr>
          <w:rFonts w:cs="Times New Roman" w:asciiTheme="minorEastAsia" w:hAnsiTheme="minorEastAsia"/>
          <w:kern w:val="0"/>
          <w:sz w:val="24"/>
          <w:szCs w:val="24"/>
        </w:rPr>
        <w:t xml:space="preserve">30 </w:t>
      </w:r>
      <w:r>
        <w:rPr>
          <w:rFonts w:hint="eastAsia" w:cs="宋体" w:asciiTheme="minorEastAsia" w:hAnsiTheme="minorEastAsia"/>
          <w:kern w:val="0"/>
          <w:sz w:val="24"/>
          <w:szCs w:val="24"/>
        </w:rPr>
        <w:t>次会议修订，自</w:t>
      </w:r>
      <w:r>
        <w:rPr>
          <w:rFonts w:cs="Times New Roman" w:asciiTheme="minorEastAsia" w:hAnsiTheme="minorEastAsia"/>
          <w:kern w:val="0"/>
          <w:sz w:val="24"/>
          <w:szCs w:val="24"/>
        </w:rPr>
        <w:t>2013</w:t>
      </w:r>
      <w:r>
        <w:rPr>
          <w:rFonts w:hint="eastAsia" w:cs="宋体" w:asciiTheme="minorEastAsia" w:hAnsiTheme="minorEastAsia"/>
          <w:kern w:val="0"/>
          <w:sz w:val="24"/>
          <w:szCs w:val="24"/>
        </w:rPr>
        <w:t>年</w:t>
      </w:r>
      <w:r>
        <w:rPr>
          <w:rFonts w:cs="Times New Roman" w:asciiTheme="minorEastAsia" w:hAnsiTheme="minorEastAsia"/>
          <w:kern w:val="0"/>
          <w:sz w:val="24"/>
          <w:szCs w:val="24"/>
        </w:rPr>
        <w:t>6</w:t>
      </w:r>
      <w:r>
        <w:rPr>
          <w:rFonts w:hint="eastAsia" w:cs="宋体" w:asciiTheme="minorEastAsia" w:hAnsiTheme="minorEastAsia"/>
          <w:kern w:val="0"/>
          <w:sz w:val="24"/>
          <w:szCs w:val="24"/>
        </w:rPr>
        <w:t>月</w:t>
      </w:r>
      <w:r>
        <w:rPr>
          <w:rFonts w:cs="Times New Roman" w:asciiTheme="minorEastAsia" w:hAnsiTheme="minorEastAsia"/>
          <w:kern w:val="0"/>
          <w:sz w:val="24"/>
          <w:szCs w:val="24"/>
        </w:rPr>
        <w:t>1</w:t>
      </w:r>
      <w:r>
        <w:rPr>
          <w:rFonts w:hint="eastAsia" w:cs="宋体" w:asciiTheme="minorEastAsia" w:hAnsiTheme="minorEastAsia"/>
          <w:kern w:val="0"/>
          <w:sz w:val="24"/>
          <w:szCs w:val="24"/>
        </w:rPr>
        <w:t>日起实施，并经</w:t>
      </w:r>
      <w:r>
        <w:rPr>
          <w:rFonts w:cs="Times New Roman" w:asciiTheme="minorEastAsia" w:hAnsiTheme="minorEastAsia"/>
          <w:kern w:val="0"/>
          <w:sz w:val="24"/>
          <w:szCs w:val="24"/>
        </w:rPr>
        <w:t>2015</w:t>
      </w:r>
      <w:r>
        <w:rPr>
          <w:rFonts w:hint="eastAsia" w:cs="宋体" w:asciiTheme="minorEastAsia" w:hAnsiTheme="minorEastAsia"/>
          <w:kern w:val="0"/>
          <w:sz w:val="24"/>
          <w:szCs w:val="24"/>
        </w:rPr>
        <w:t>年</w:t>
      </w:r>
      <w:r>
        <w:rPr>
          <w:rFonts w:cs="Times New Roman" w:asciiTheme="minorEastAsia" w:hAnsiTheme="minorEastAsia"/>
          <w:kern w:val="0"/>
          <w:sz w:val="24"/>
          <w:szCs w:val="24"/>
        </w:rPr>
        <w:t>4</w:t>
      </w:r>
      <w:r>
        <w:rPr>
          <w:rFonts w:hint="eastAsia" w:cs="宋体" w:asciiTheme="minorEastAsia" w:hAnsiTheme="minorEastAsia"/>
          <w:kern w:val="0"/>
          <w:sz w:val="24"/>
          <w:szCs w:val="24"/>
        </w:rPr>
        <w:t>月</w:t>
      </w:r>
      <w:r>
        <w:rPr>
          <w:rFonts w:cs="Times New Roman" w:asciiTheme="minorEastAsia" w:hAnsiTheme="minorEastAsia"/>
          <w:kern w:val="0"/>
          <w:sz w:val="24"/>
          <w:szCs w:val="24"/>
        </w:rPr>
        <w:t>24</w:t>
      </w:r>
      <w:r>
        <w:rPr>
          <w:rFonts w:hint="eastAsia" w:cs="宋体" w:asciiTheme="minorEastAsia" w:hAnsiTheme="minorEastAsia"/>
          <w:kern w:val="0"/>
          <w:sz w:val="24"/>
          <w:szCs w:val="24"/>
        </w:rPr>
        <w:t>日第十二届全国人民代表大会常务委员会第十四次会议《全国人民代表大会常务委员会关于修改</w:t>
      </w:r>
      <w:r>
        <w:rPr>
          <w:rFonts w:cs="Times New Roman" w:asciiTheme="minorEastAsia" w:hAnsiTheme="minorEastAsia"/>
          <w:kern w:val="0"/>
          <w:sz w:val="24"/>
          <w:szCs w:val="24"/>
        </w:rPr>
        <w:t>&lt;</w:t>
      </w:r>
      <w:r>
        <w:rPr>
          <w:rFonts w:hint="eastAsia" w:cs="宋体" w:asciiTheme="minorEastAsia" w:hAnsiTheme="minorEastAsia"/>
          <w:kern w:val="0"/>
          <w:sz w:val="24"/>
          <w:szCs w:val="24"/>
        </w:rPr>
        <w:t>中华人民共和国港口法</w:t>
      </w:r>
      <w:r>
        <w:rPr>
          <w:rFonts w:cs="Times New Roman" w:asciiTheme="minorEastAsia" w:hAnsiTheme="minorEastAsia"/>
          <w:kern w:val="0"/>
          <w:sz w:val="24"/>
          <w:szCs w:val="24"/>
        </w:rPr>
        <w:t>&gt;</w:t>
      </w:r>
      <w:r>
        <w:rPr>
          <w:rFonts w:hint="eastAsia" w:cs="宋体" w:asciiTheme="minorEastAsia" w:hAnsiTheme="minorEastAsia"/>
          <w:kern w:val="0"/>
          <w:sz w:val="24"/>
          <w:szCs w:val="24"/>
        </w:rPr>
        <w:t>等七部法律的决定》修正的《中华人民共和国证券投资基金法》及颁布机关对其不时做出的修订</w:t>
      </w:r>
    </w:p>
    <w:p w14:paraId="00E3F5C0">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1</w:t>
      </w:r>
      <w:r>
        <w:rPr>
          <w:rFonts w:hint="eastAsia" w:asciiTheme="minorEastAsia" w:hAnsiTheme="minorEastAsia"/>
          <w:kern w:val="0"/>
          <w:sz w:val="24"/>
          <w:szCs w:val="24"/>
        </w:rPr>
        <w:t>0</w:t>
      </w:r>
      <w:r>
        <w:rPr>
          <w:rFonts w:asciiTheme="minorEastAsia" w:hAnsiTheme="minorEastAsia"/>
          <w:kern w:val="0"/>
          <w:sz w:val="24"/>
          <w:szCs w:val="24"/>
        </w:rPr>
        <w:t>、</w:t>
      </w:r>
      <w:r>
        <w:rPr>
          <w:rFonts w:hint="eastAsia" w:cs="宋体" w:asciiTheme="minorEastAsia" w:hAnsiTheme="minorEastAsia"/>
          <w:kern w:val="0"/>
          <w:sz w:val="24"/>
          <w:szCs w:val="24"/>
        </w:rPr>
        <w:t>《销售办法》：指中国证监会</w:t>
      </w:r>
      <w:r>
        <w:rPr>
          <w:rFonts w:cs="Times New Roman" w:asciiTheme="minorEastAsia" w:hAnsiTheme="minorEastAsia"/>
          <w:kern w:val="0"/>
          <w:sz w:val="24"/>
          <w:szCs w:val="24"/>
        </w:rPr>
        <w:t>2020</w:t>
      </w:r>
      <w:r>
        <w:rPr>
          <w:rFonts w:hint="eastAsia" w:cs="宋体" w:asciiTheme="minorEastAsia" w:hAnsiTheme="minorEastAsia"/>
          <w:kern w:val="0"/>
          <w:sz w:val="24"/>
          <w:szCs w:val="24"/>
        </w:rPr>
        <w:t>年</w:t>
      </w:r>
      <w:r>
        <w:rPr>
          <w:rFonts w:cs="Times New Roman" w:asciiTheme="minorEastAsia" w:hAnsiTheme="minorEastAsia"/>
          <w:kern w:val="0"/>
          <w:sz w:val="24"/>
          <w:szCs w:val="24"/>
        </w:rPr>
        <w:t>8</w:t>
      </w:r>
      <w:r>
        <w:rPr>
          <w:rFonts w:hint="eastAsia" w:cs="宋体" w:asciiTheme="minorEastAsia" w:hAnsiTheme="minorEastAsia"/>
          <w:kern w:val="0"/>
          <w:sz w:val="24"/>
          <w:szCs w:val="24"/>
        </w:rPr>
        <w:t>月</w:t>
      </w:r>
      <w:r>
        <w:rPr>
          <w:rFonts w:cs="Times New Roman" w:asciiTheme="minorEastAsia" w:hAnsiTheme="minorEastAsia"/>
          <w:kern w:val="0"/>
          <w:sz w:val="24"/>
          <w:szCs w:val="24"/>
        </w:rPr>
        <w:t>2</w:t>
      </w:r>
      <w:r>
        <w:rPr>
          <w:rFonts w:hint="eastAsia" w:cs="Times New Roman" w:asciiTheme="minorEastAsia" w:hAnsiTheme="minorEastAsia"/>
          <w:kern w:val="0"/>
          <w:sz w:val="24"/>
          <w:szCs w:val="24"/>
        </w:rPr>
        <w:t>8</w:t>
      </w:r>
      <w:r>
        <w:rPr>
          <w:rFonts w:hint="eastAsia" w:cs="宋体" w:asciiTheme="minorEastAsia" w:hAnsiTheme="minorEastAsia"/>
          <w:kern w:val="0"/>
          <w:sz w:val="24"/>
          <w:szCs w:val="24"/>
        </w:rPr>
        <w:t>日颁布、同年</w:t>
      </w:r>
      <w:r>
        <w:rPr>
          <w:rFonts w:cs="Times New Roman" w:asciiTheme="minorEastAsia" w:hAnsiTheme="minorEastAsia"/>
          <w:kern w:val="0"/>
          <w:sz w:val="24"/>
          <w:szCs w:val="24"/>
        </w:rPr>
        <w:t>10</w:t>
      </w:r>
      <w:r>
        <w:rPr>
          <w:rFonts w:hint="eastAsia" w:cs="宋体" w:asciiTheme="minorEastAsia" w:hAnsiTheme="minorEastAsia"/>
          <w:kern w:val="0"/>
          <w:sz w:val="24"/>
          <w:szCs w:val="24"/>
        </w:rPr>
        <w:t>月</w:t>
      </w:r>
      <w:r>
        <w:rPr>
          <w:rFonts w:cs="Times New Roman" w:asciiTheme="minorEastAsia" w:hAnsiTheme="minorEastAsia"/>
          <w:kern w:val="0"/>
          <w:sz w:val="24"/>
          <w:szCs w:val="24"/>
        </w:rPr>
        <w:t>1</w:t>
      </w:r>
      <w:r>
        <w:rPr>
          <w:rFonts w:hint="eastAsia" w:cs="宋体" w:asciiTheme="minorEastAsia" w:hAnsiTheme="minorEastAsia"/>
          <w:kern w:val="0"/>
          <w:sz w:val="24"/>
          <w:szCs w:val="24"/>
        </w:rPr>
        <w:t>日实施的《公开募集证券投资基金销售机构监督管理办法》及颁布机关对其不时做出的修订</w:t>
      </w:r>
    </w:p>
    <w:p w14:paraId="08B8EC44">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1</w:t>
      </w:r>
      <w:r>
        <w:rPr>
          <w:rFonts w:hint="eastAsia" w:asciiTheme="minorEastAsia" w:hAnsiTheme="minorEastAsia"/>
          <w:kern w:val="0"/>
          <w:sz w:val="24"/>
          <w:szCs w:val="24"/>
        </w:rPr>
        <w:t>1</w:t>
      </w:r>
      <w:r>
        <w:rPr>
          <w:rFonts w:asciiTheme="minorEastAsia" w:hAnsiTheme="minorEastAsia"/>
          <w:kern w:val="0"/>
          <w:sz w:val="24"/>
          <w:szCs w:val="24"/>
        </w:rPr>
        <w:t>、</w:t>
      </w:r>
      <w:r>
        <w:rPr>
          <w:rFonts w:hint="eastAsia" w:cs="宋体" w:asciiTheme="minorEastAsia" w:hAnsiTheme="minorEastAsia"/>
          <w:kern w:val="0"/>
          <w:sz w:val="24"/>
          <w:szCs w:val="24"/>
        </w:rPr>
        <w:t>《信息披露办法》：指中国证监会</w:t>
      </w:r>
      <w:r>
        <w:rPr>
          <w:rFonts w:cs="Times New Roman" w:asciiTheme="minorEastAsia" w:hAnsiTheme="minorEastAsia"/>
          <w:kern w:val="0"/>
          <w:sz w:val="24"/>
          <w:szCs w:val="24"/>
        </w:rPr>
        <w:t>2019年7月26日颁布</w:t>
      </w:r>
      <w:r>
        <w:rPr>
          <w:rFonts w:hint="eastAsia" w:cs="宋体" w:asciiTheme="minorEastAsia" w:hAnsiTheme="minorEastAsia"/>
          <w:kern w:val="0"/>
          <w:sz w:val="24"/>
          <w:szCs w:val="24"/>
        </w:rPr>
        <w:t>、同年9月1日实施，并经2020年3月20日中国证监会《关于修改部分证券期货规章的决定》修改的《公开募集证券投资基金信息披露管理办法》及颁布机关对其不时做出的修订</w:t>
      </w:r>
    </w:p>
    <w:p w14:paraId="1AE755F0">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asciiTheme="minorEastAsia" w:hAnsiTheme="minorEastAsia"/>
          <w:kern w:val="0"/>
          <w:sz w:val="24"/>
          <w:szCs w:val="24"/>
        </w:rPr>
        <w:t>1</w:t>
      </w:r>
      <w:r>
        <w:rPr>
          <w:rFonts w:hint="eastAsia" w:asciiTheme="minorEastAsia" w:hAnsiTheme="minorEastAsia"/>
          <w:kern w:val="0"/>
          <w:sz w:val="24"/>
          <w:szCs w:val="24"/>
        </w:rPr>
        <w:t>2</w:t>
      </w:r>
      <w:r>
        <w:rPr>
          <w:rFonts w:asciiTheme="minorEastAsia" w:hAnsiTheme="minorEastAsia"/>
          <w:kern w:val="0"/>
          <w:sz w:val="24"/>
          <w:szCs w:val="24"/>
        </w:rPr>
        <w:t>、</w:t>
      </w:r>
      <w:r>
        <w:rPr>
          <w:rFonts w:hint="eastAsia" w:cs="宋体" w:asciiTheme="minorEastAsia" w:hAnsiTheme="minorEastAsia"/>
          <w:kern w:val="0"/>
          <w:sz w:val="24"/>
          <w:szCs w:val="24"/>
        </w:rPr>
        <w:t>《运作办法》：指中国证监会</w:t>
      </w:r>
      <w:r>
        <w:rPr>
          <w:rFonts w:cs="Times New Roman" w:asciiTheme="minorEastAsia" w:hAnsiTheme="minorEastAsia"/>
          <w:kern w:val="0"/>
          <w:sz w:val="24"/>
          <w:szCs w:val="24"/>
        </w:rPr>
        <w:t>2014</w:t>
      </w:r>
      <w:r>
        <w:rPr>
          <w:rFonts w:hint="eastAsia" w:cs="宋体" w:asciiTheme="minorEastAsia" w:hAnsiTheme="minorEastAsia"/>
          <w:kern w:val="0"/>
          <w:sz w:val="24"/>
          <w:szCs w:val="24"/>
        </w:rPr>
        <w:t>年</w:t>
      </w:r>
      <w:r>
        <w:rPr>
          <w:rFonts w:cs="Times New Roman" w:asciiTheme="minorEastAsia" w:hAnsiTheme="minorEastAsia"/>
          <w:kern w:val="0"/>
          <w:sz w:val="24"/>
          <w:szCs w:val="24"/>
        </w:rPr>
        <w:t>7</w:t>
      </w:r>
      <w:r>
        <w:rPr>
          <w:rFonts w:hint="eastAsia" w:cs="宋体" w:asciiTheme="minorEastAsia" w:hAnsiTheme="minorEastAsia"/>
          <w:kern w:val="0"/>
          <w:sz w:val="24"/>
          <w:szCs w:val="24"/>
        </w:rPr>
        <w:t>月</w:t>
      </w:r>
      <w:r>
        <w:rPr>
          <w:rFonts w:cs="Times New Roman" w:asciiTheme="minorEastAsia" w:hAnsiTheme="minorEastAsia"/>
          <w:kern w:val="0"/>
          <w:sz w:val="24"/>
          <w:szCs w:val="24"/>
        </w:rPr>
        <w:t>7</w:t>
      </w:r>
      <w:r>
        <w:rPr>
          <w:rFonts w:hint="eastAsia" w:cs="宋体" w:asciiTheme="minorEastAsia" w:hAnsiTheme="minorEastAsia"/>
          <w:kern w:val="0"/>
          <w:sz w:val="24"/>
          <w:szCs w:val="24"/>
        </w:rPr>
        <w:t>日颁布、同年</w:t>
      </w:r>
      <w:r>
        <w:rPr>
          <w:rFonts w:cs="Times New Roman" w:asciiTheme="minorEastAsia" w:hAnsiTheme="minorEastAsia"/>
          <w:kern w:val="0"/>
          <w:sz w:val="24"/>
          <w:szCs w:val="24"/>
        </w:rPr>
        <w:t>8</w:t>
      </w:r>
      <w:r>
        <w:rPr>
          <w:rFonts w:hint="eastAsia" w:cs="宋体" w:asciiTheme="minorEastAsia" w:hAnsiTheme="minorEastAsia"/>
          <w:kern w:val="0"/>
          <w:sz w:val="24"/>
          <w:szCs w:val="24"/>
        </w:rPr>
        <w:t>月</w:t>
      </w:r>
      <w:r>
        <w:rPr>
          <w:rFonts w:cs="Times New Roman" w:asciiTheme="minorEastAsia" w:hAnsiTheme="minorEastAsia"/>
          <w:kern w:val="0"/>
          <w:sz w:val="24"/>
          <w:szCs w:val="24"/>
        </w:rPr>
        <w:t>8</w:t>
      </w:r>
      <w:r>
        <w:rPr>
          <w:rFonts w:hint="eastAsia" w:cs="宋体" w:asciiTheme="minorEastAsia" w:hAnsiTheme="minorEastAsia"/>
          <w:kern w:val="0"/>
          <w:sz w:val="24"/>
          <w:szCs w:val="24"/>
        </w:rPr>
        <w:t>日实施的《公开募集证券投资基金运作管理办法》及颁布机关对其不时做出的修订</w:t>
      </w:r>
    </w:p>
    <w:p w14:paraId="3323C624">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asciiTheme="minorEastAsia" w:hAnsiTheme="minorEastAsia"/>
          <w:kern w:val="0"/>
          <w:sz w:val="24"/>
          <w:szCs w:val="24"/>
        </w:rPr>
        <w:t>1</w:t>
      </w:r>
      <w:r>
        <w:rPr>
          <w:rFonts w:hint="eastAsia" w:asciiTheme="minorEastAsia" w:hAnsiTheme="minorEastAsia"/>
          <w:kern w:val="0"/>
          <w:sz w:val="24"/>
          <w:szCs w:val="24"/>
        </w:rPr>
        <w:t>3</w:t>
      </w:r>
      <w:r>
        <w:rPr>
          <w:rFonts w:asciiTheme="minorEastAsia" w:hAnsiTheme="minorEastAsia"/>
          <w:kern w:val="0"/>
          <w:sz w:val="24"/>
          <w:szCs w:val="24"/>
        </w:rPr>
        <w:t>、</w:t>
      </w:r>
      <w:r>
        <w:rPr>
          <w:rFonts w:hint="eastAsia" w:cs="Times New Roman" w:asciiTheme="minorEastAsia" w:hAnsiTheme="minorEastAsia"/>
          <w:kern w:val="0"/>
          <w:sz w:val="24"/>
          <w:szCs w:val="24"/>
        </w:rPr>
        <w:t>《流动性风险管理规定》：指中国证监会2017年8月31日颁布、同年10月1日实施的《公开募集开放式证券投资基金流动性风险管理规定》及颁布机关对其不时做出的修订</w:t>
      </w:r>
    </w:p>
    <w:p w14:paraId="0C9A75E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14、</w:t>
      </w:r>
      <w:r>
        <w:rPr>
          <w:rFonts w:hint="eastAsia" w:cs="宋体" w:asciiTheme="minorEastAsia" w:hAnsiTheme="minorEastAsia"/>
          <w:kern w:val="0"/>
          <w:sz w:val="24"/>
          <w:szCs w:val="24"/>
        </w:rPr>
        <w:t>中国证监会：指中国证券监督管理委员会</w:t>
      </w:r>
    </w:p>
    <w:p w14:paraId="0F4D971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15、</w:t>
      </w:r>
      <w:r>
        <w:rPr>
          <w:rFonts w:hint="eastAsia" w:cs="宋体" w:asciiTheme="minorEastAsia" w:hAnsiTheme="minorEastAsia"/>
          <w:kern w:val="0"/>
          <w:sz w:val="24"/>
          <w:szCs w:val="24"/>
        </w:rPr>
        <w:t>银行业监督管理机构：指中国人民银行和</w:t>
      </w:r>
      <w:r>
        <w:rPr>
          <w:rFonts w:cs="Times New Roman" w:asciiTheme="minorEastAsia" w:hAnsiTheme="minorEastAsia"/>
          <w:kern w:val="0"/>
          <w:sz w:val="24"/>
          <w:szCs w:val="24"/>
        </w:rPr>
        <w:t>/</w:t>
      </w:r>
      <w:r>
        <w:rPr>
          <w:rFonts w:hint="eastAsia" w:cs="宋体" w:asciiTheme="minorEastAsia" w:hAnsiTheme="minorEastAsia"/>
          <w:kern w:val="0"/>
          <w:sz w:val="24"/>
          <w:szCs w:val="24"/>
        </w:rPr>
        <w:t>或中国银行保险监督管理委员会</w:t>
      </w:r>
    </w:p>
    <w:p w14:paraId="531B57D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16、</w:t>
      </w:r>
      <w:r>
        <w:rPr>
          <w:rFonts w:hint="eastAsia" w:cs="宋体" w:asciiTheme="minorEastAsia" w:hAnsiTheme="minorEastAsia"/>
          <w:kern w:val="0"/>
          <w:sz w:val="24"/>
          <w:szCs w:val="24"/>
        </w:rPr>
        <w:t>基金合同当事人：指受基金合同约束，根据基金合同享有权利并承担义务的法律主体，包括基金管理人、基金托管人和基金份额持有人</w:t>
      </w:r>
    </w:p>
    <w:p w14:paraId="4B0E334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17、</w:t>
      </w:r>
      <w:r>
        <w:rPr>
          <w:rFonts w:hint="eastAsia" w:cs="宋体" w:asciiTheme="minorEastAsia" w:hAnsiTheme="minorEastAsia"/>
          <w:kern w:val="0"/>
          <w:sz w:val="24"/>
          <w:szCs w:val="24"/>
        </w:rPr>
        <w:t>个人投资者：指依据有关法律法规规定可投资于证券投资基金的自然人</w:t>
      </w:r>
    </w:p>
    <w:p w14:paraId="345B971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18、</w:t>
      </w:r>
      <w:r>
        <w:rPr>
          <w:rFonts w:hint="eastAsia" w:cs="宋体" w:asciiTheme="minorEastAsia" w:hAnsiTheme="minorEastAsia"/>
          <w:kern w:val="0"/>
          <w:sz w:val="24"/>
          <w:szCs w:val="24"/>
        </w:rPr>
        <w:t>机构投资者：指依法可以投资证券投资基金的、在中华人民共和国境内合法登记并存续或经有关政府部门批准设立并存续的企业法人、事业法人、社会团体或其他组织</w:t>
      </w:r>
    </w:p>
    <w:p w14:paraId="2213216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19、</w:t>
      </w:r>
      <w:r>
        <w:rPr>
          <w:rFonts w:hint="eastAsia" w:cs="宋体" w:asciiTheme="minorEastAsia" w:hAnsiTheme="minorEastAsia"/>
          <w:kern w:val="0"/>
          <w:sz w:val="24"/>
          <w:szCs w:val="24"/>
        </w:rPr>
        <w:t>合格境外投资者：</w:t>
      </w:r>
      <w:r>
        <w:rPr>
          <w:rFonts w:hint="eastAsia" w:ascii="宋体" w:hAnsi="宋体" w:cs="宋体"/>
          <w:kern w:val="0"/>
          <w:sz w:val="24"/>
          <w:szCs w:val="24"/>
        </w:rPr>
        <w:t>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33D26B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20、</w:t>
      </w:r>
      <w:r>
        <w:rPr>
          <w:rFonts w:hint="eastAsia" w:cs="宋体" w:asciiTheme="minorEastAsia" w:hAnsiTheme="minorEastAsia"/>
          <w:kern w:val="0"/>
          <w:sz w:val="24"/>
          <w:szCs w:val="24"/>
        </w:rPr>
        <w:t>投资人、投资者：指个人投资者、机构投资者、合格境外投资者、发起资金提供方以及法律法规或中国证监会允许购买证券投资基金的其他投资人的合称</w:t>
      </w:r>
    </w:p>
    <w:p w14:paraId="5411D9F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21、</w:t>
      </w:r>
      <w:r>
        <w:rPr>
          <w:rFonts w:hint="eastAsia" w:cs="宋体" w:asciiTheme="minorEastAsia" w:hAnsiTheme="minorEastAsia"/>
          <w:kern w:val="0"/>
          <w:sz w:val="24"/>
          <w:szCs w:val="24"/>
        </w:rPr>
        <w:t>基金份额持有人：指依基金合同和招募说明书合法取得基金份额的投资人</w:t>
      </w:r>
    </w:p>
    <w:p w14:paraId="6D84760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22、</w:t>
      </w:r>
      <w:r>
        <w:rPr>
          <w:rFonts w:hint="eastAsia" w:cs="宋体" w:asciiTheme="minorEastAsia" w:hAnsiTheme="minorEastAsia"/>
          <w:kern w:val="0"/>
          <w:sz w:val="24"/>
          <w:szCs w:val="24"/>
        </w:rPr>
        <w:t>基金销售业务：指基金管理人或销售机构宣传推介基金，办理基金份额的申购、赎回、转换、转托管及定期定额投资等业务</w:t>
      </w:r>
    </w:p>
    <w:p w14:paraId="29CACCF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23、</w:t>
      </w:r>
      <w:r>
        <w:rPr>
          <w:rFonts w:hint="eastAsia" w:cs="宋体" w:asciiTheme="minorEastAsia" w:hAnsiTheme="minorEastAsia"/>
          <w:kern w:val="0"/>
          <w:sz w:val="24"/>
          <w:szCs w:val="24"/>
        </w:rPr>
        <w:t>销售机构：指博时基金管理有限公司以及符合《销售办法》和中国证监会规定的其他条件，取得基金销售业务资格并与基金管理人签订了基金销售服务协议，办理基金销售业务的机构</w:t>
      </w:r>
    </w:p>
    <w:p w14:paraId="0ADE3B0F">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2</w:t>
      </w:r>
      <w:r>
        <w:rPr>
          <w:rFonts w:hint="eastAsia" w:asciiTheme="minorEastAsia" w:hAnsiTheme="minorEastAsia"/>
          <w:kern w:val="0"/>
          <w:sz w:val="24"/>
          <w:szCs w:val="24"/>
        </w:rPr>
        <w:t>4</w:t>
      </w:r>
      <w:r>
        <w:rPr>
          <w:rFonts w:asciiTheme="minorEastAsia" w:hAnsiTheme="minorEastAsia"/>
          <w:kern w:val="0"/>
          <w:sz w:val="24"/>
          <w:szCs w:val="24"/>
        </w:rPr>
        <w:t>、</w:t>
      </w:r>
      <w:r>
        <w:rPr>
          <w:rFonts w:hint="eastAsia" w:cs="宋体" w:asciiTheme="minorEastAsia" w:hAnsiTheme="minorEastAsia"/>
          <w:kern w:val="0"/>
          <w:sz w:val="24"/>
          <w:szCs w:val="24"/>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6A12F21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25、</w:t>
      </w:r>
      <w:r>
        <w:rPr>
          <w:rFonts w:hint="eastAsia" w:cs="宋体" w:asciiTheme="minorEastAsia" w:hAnsiTheme="minorEastAsia"/>
          <w:kern w:val="0"/>
          <w:sz w:val="24"/>
          <w:szCs w:val="24"/>
        </w:rPr>
        <w:t>登记机构：指办理登记业务的机构。本基金的登记机构为博时基金管理有限公司</w:t>
      </w:r>
    </w:p>
    <w:p w14:paraId="3740DC1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26、</w:t>
      </w:r>
      <w:r>
        <w:rPr>
          <w:rFonts w:hint="eastAsia" w:cs="宋体" w:asciiTheme="minorEastAsia" w:hAnsiTheme="minorEastAsia"/>
          <w:kern w:val="0"/>
          <w:sz w:val="24"/>
          <w:szCs w:val="24"/>
        </w:rPr>
        <w:t>基金账户：指登记机构为投资人开立的、记录其持有的、基金管理人所管理的基金份额余额及其变动情况的账户</w:t>
      </w:r>
    </w:p>
    <w:p w14:paraId="21CE9976">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2</w:t>
      </w:r>
      <w:r>
        <w:rPr>
          <w:rFonts w:hint="eastAsia" w:asciiTheme="minorEastAsia" w:hAnsiTheme="minorEastAsia"/>
          <w:kern w:val="0"/>
          <w:sz w:val="24"/>
          <w:szCs w:val="24"/>
        </w:rPr>
        <w:t>7、</w:t>
      </w:r>
      <w:r>
        <w:rPr>
          <w:rFonts w:hint="eastAsia" w:cs="宋体" w:asciiTheme="minorEastAsia" w:hAnsiTheme="minorEastAsia"/>
          <w:kern w:val="0"/>
          <w:sz w:val="24"/>
          <w:szCs w:val="24"/>
        </w:rPr>
        <w:t>基金交易账户：指销售机构为投资人开立的、记录投资人通过该销售机构办理申购、赎回</w:t>
      </w:r>
      <w:r>
        <w:rPr>
          <w:rFonts w:hint="eastAsia" w:ascii="宋体" w:hAnsi="宋体" w:cs="宋体"/>
          <w:kern w:val="0"/>
          <w:sz w:val="24"/>
          <w:szCs w:val="24"/>
        </w:rPr>
        <w:t>、转换、转托管及定期定额投资等业务而</w:t>
      </w:r>
      <w:r>
        <w:rPr>
          <w:rFonts w:hint="eastAsia" w:cs="宋体" w:asciiTheme="minorEastAsia" w:hAnsiTheme="minorEastAsia"/>
          <w:kern w:val="0"/>
          <w:sz w:val="24"/>
          <w:szCs w:val="24"/>
        </w:rPr>
        <w:t>引起的基金份额变动及结余情况的账户</w:t>
      </w:r>
    </w:p>
    <w:p w14:paraId="3953CE78">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2</w:t>
      </w:r>
      <w:r>
        <w:rPr>
          <w:rFonts w:hint="eastAsia" w:asciiTheme="minorEastAsia" w:hAnsiTheme="minorEastAsia"/>
          <w:kern w:val="0"/>
          <w:sz w:val="24"/>
          <w:szCs w:val="24"/>
        </w:rPr>
        <w:t>8、</w:t>
      </w:r>
      <w:r>
        <w:rPr>
          <w:rFonts w:hint="eastAsia" w:cs="宋体" w:asciiTheme="minorEastAsia" w:hAnsiTheme="minorEastAsia"/>
          <w:kern w:val="0"/>
          <w:sz w:val="24"/>
          <w:szCs w:val="24"/>
        </w:rPr>
        <w:t>基金合同生效日：《博时中证机器人指数型发起式证券投资基金基金合同》生效日</w:t>
      </w:r>
    </w:p>
    <w:p w14:paraId="423C947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29、</w:t>
      </w:r>
      <w:r>
        <w:rPr>
          <w:rFonts w:hint="eastAsia" w:cs="宋体" w:asciiTheme="minorEastAsia" w:hAnsiTheme="minorEastAsia"/>
          <w:kern w:val="0"/>
          <w:sz w:val="24"/>
          <w:szCs w:val="24"/>
        </w:rPr>
        <w:t>基金合同终止日：指基金合同规定的基金合同终止事由出现后，基金财产清算完毕，清算结果报中国证监会备案并予以公告的日期</w:t>
      </w:r>
    </w:p>
    <w:p w14:paraId="2E0EA0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30、</w:t>
      </w:r>
      <w:r>
        <w:rPr>
          <w:rFonts w:hint="eastAsia" w:cs="宋体" w:asciiTheme="minorEastAsia" w:hAnsiTheme="minorEastAsia"/>
          <w:kern w:val="0"/>
          <w:sz w:val="24"/>
          <w:szCs w:val="24"/>
        </w:rPr>
        <w:t>存续期：指《博时中证机器人指数型发起式证券投资基金基金合同》生效至本基金基金合同终止之间的不定期期限</w:t>
      </w:r>
    </w:p>
    <w:p w14:paraId="3CE9612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31、</w:t>
      </w:r>
      <w:r>
        <w:rPr>
          <w:rFonts w:hint="eastAsia" w:cs="宋体" w:asciiTheme="minorEastAsia" w:hAnsiTheme="minorEastAsia"/>
          <w:kern w:val="0"/>
          <w:sz w:val="24"/>
          <w:szCs w:val="24"/>
        </w:rPr>
        <w:t>工作日：指上海证券交易所、深圳证券交易所及相关期货交易所的正常交易日</w:t>
      </w:r>
    </w:p>
    <w:p w14:paraId="008F5D8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32、</w:t>
      </w:r>
      <w:r>
        <w:rPr>
          <w:rFonts w:cs="Times New Roman" w:asciiTheme="minorEastAsia" w:hAnsiTheme="minorEastAsia"/>
          <w:kern w:val="0"/>
          <w:sz w:val="24"/>
          <w:szCs w:val="24"/>
        </w:rPr>
        <w:t>T</w:t>
      </w:r>
      <w:r>
        <w:rPr>
          <w:rFonts w:hint="eastAsia" w:cs="宋体" w:asciiTheme="minorEastAsia" w:hAnsiTheme="minorEastAsia"/>
          <w:kern w:val="0"/>
          <w:sz w:val="24"/>
          <w:szCs w:val="24"/>
        </w:rPr>
        <w:t>日：指销售机构在规定时间受理投资人申购、赎回或其他业务申请的开放日</w:t>
      </w:r>
    </w:p>
    <w:p w14:paraId="5FD5F6C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33、</w:t>
      </w:r>
      <w:r>
        <w:rPr>
          <w:rFonts w:cs="Times New Roman" w:asciiTheme="minorEastAsia" w:hAnsiTheme="minorEastAsia"/>
          <w:kern w:val="0"/>
          <w:sz w:val="24"/>
          <w:szCs w:val="24"/>
        </w:rPr>
        <w:t>T+n</w:t>
      </w:r>
      <w:r>
        <w:rPr>
          <w:rFonts w:hint="eastAsia" w:cs="宋体" w:asciiTheme="minorEastAsia" w:hAnsiTheme="minorEastAsia"/>
          <w:kern w:val="0"/>
          <w:sz w:val="24"/>
          <w:szCs w:val="24"/>
        </w:rPr>
        <w:t>日：指自</w:t>
      </w:r>
      <w:r>
        <w:rPr>
          <w:rFonts w:cs="Times New Roman" w:asciiTheme="minorEastAsia" w:hAnsiTheme="minorEastAsia"/>
          <w:kern w:val="0"/>
          <w:sz w:val="24"/>
          <w:szCs w:val="24"/>
        </w:rPr>
        <w:t>T</w:t>
      </w:r>
      <w:r>
        <w:rPr>
          <w:rFonts w:hint="eastAsia" w:cs="宋体" w:asciiTheme="minorEastAsia" w:hAnsiTheme="minorEastAsia"/>
          <w:kern w:val="0"/>
          <w:sz w:val="24"/>
          <w:szCs w:val="24"/>
        </w:rPr>
        <w:t>日起第</w:t>
      </w:r>
      <w:r>
        <w:rPr>
          <w:rFonts w:cs="Times New Roman" w:asciiTheme="minorEastAsia" w:hAnsiTheme="minorEastAsia"/>
          <w:kern w:val="0"/>
          <w:sz w:val="24"/>
          <w:szCs w:val="24"/>
        </w:rPr>
        <w:t>n</w:t>
      </w:r>
      <w:r>
        <w:rPr>
          <w:rFonts w:hint="eastAsia" w:cs="宋体" w:asciiTheme="minorEastAsia" w:hAnsiTheme="minorEastAsia"/>
          <w:kern w:val="0"/>
          <w:sz w:val="24"/>
          <w:szCs w:val="24"/>
        </w:rPr>
        <w:t>个工作日（不包含</w:t>
      </w:r>
      <w:r>
        <w:rPr>
          <w:rFonts w:cs="Times New Roman" w:asciiTheme="minorEastAsia" w:hAnsiTheme="minorEastAsia"/>
          <w:kern w:val="0"/>
          <w:sz w:val="24"/>
          <w:szCs w:val="24"/>
        </w:rPr>
        <w:t>T</w:t>
      </w:r>
      <w:r>
        <w:rPr>
          <w:rFonts w:hint="eastAsia" w:cs="宋体" w:asciiTheme="minorEastAsia" w:hAnsiTheme="minorEastAsia"/>
          <w:kern w:val="0"/>
          <w:sz w:val="24"/>
          <w:szCs w:val="24"/>
        </w:rPr>
        <w:t>日），</w:t>
      </w:r>
      <w:r>
        <w:rPr>
          <w:rFonts w:cs="Times New Roman" w:asciiTheme="minorEastAsia" w:hAnsiTheme="minorEastAsia"/>
          <w:kern w:val="0"/>
          <w:sz w:val="24"/>
          <w:szCs w:val="24"/>
        </w:rPr>
        <w:t>n</w:t>
      </w:r>
      <w:r>
        <w:rPr>
          <w:rFonts w:hint="eastAsia" w:cs="宋体" w:asciiTheme="minorEastAsia" w:hAnsiTheme="minorEastAsia"/>
          <w:kern w:val="0"/>
          <w:sz w:val="24"/>
          <w:szCs w:val="24"/>
        </w:rPr>
        <w:t>为自然数</w:t>
      </w:r>
    </w:p>
    <w:p w14:paraId="1E91733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34、</w:t>
      </w:r>
      <w:r>
        <w:rPr>
          <w:rFonts w:hint="eastAsia" w:cs="宋体" w:asciiTheme="minorEastAsia" w:hAnsiTheme="minorEastAsia"/>
          <w:kern w:val="0"/>
          <w:sz w:val="24"/>
          <w:szCs w:val="24"/>
        </w:rPr>
        <w:t>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3C3FE82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35、</w:t>
      </w:r>
      <w:r>
        <w:rPr>
          <w:rFonts w:hint="eastAsia" w:cs="宋体" w:asciiTheme="minorEastAsia" w:hAnsiTheme="minorEastAsia"/>
          <w:kern w:val="0"/>
          <w:sz w:val="24"/>
          <w:szCs w:val="24"/>
        </w:rPr>
        <w:t>开放时间：指开放日基金接受申购、赎回或其他交易的时间段</w:t>
      </w:r>
    </w:p>
    <w:p w14:paraId="1D5E98B2">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3</w:t>
      </w:r>
      <w:r>
        <w:rPr>
          <w:rFonts w:hint="eastAsia" w:asciiTheme="minorEastAsia" w:hAnsiTheme="minorEastAsia"/>
          <w:kern w:val="0"/>
          <w:sz w:val="24"/>
          <w:szCs w:val="24"/>
        </w:rPr>
        <w:t>6、</w:t>
      </w:r>
      <w:r>
        <w:rPr>
          <w:rFonts w:hint="eastAsia" w:cs="宋体" w:asciiTheme="minorEastAsia" w:hAnsiTheme="minorEastAsia"/>
          <w:kern w:val="0"/>
          <w:sz w:val="24"/>
          <w:szCs w:val="24"/>
        </w:rPr>
        <w:t>《业务规则》：指《博时基金管理有限公司开放式基金业务规则》，是规范基金管理人所管理的开放式证券投资基金登记方面的业务规则，由基金管理人、销售机构和投资人共同遵守</w:t>
      </w:r>
    </w:p>
    <w:p w14:paraId="3B1EFE4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37、</w:t>
      </w:r>
      <w:r>
        <w:rPr>
          <w:rFonts w:hint="eastAsia" w:cs="宋体" w:asciiTheme="minorEastAsia" w:hAnsiTheme="minorEastAsia"/>
          <w:kern w:val="0"/>
          <w:sz w:val="24"/>
          <w:szCs w:val="24"/>
        </w:rPr>
        <w:t>申购：指基金合同生效后，投资人根据基金合同和招募说明书的规定，申请购买基金份额的行为</w:t>
      </w:r>
    </w:p>
    <w:p w14:paraId="0CF7435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38、</w:t>
      </w:r>
      <w:r>
        <w:rPr>
          <w:rFonts w:hint="eastAsia" w:cs="宋体" w:asciiTheme="minorEastAsia" w:hAnsiTheme="minorEastAsia"/>
          <w:kern w:val="0"/>
          <w:sz w:val="24"/>
          <w:szCs w:val="24"/>
        </w:rPr>
        <w:t>赎回：指基金合同生效后，基金份额持有人按基金合同和招募说明书规定的条件，要求将基金份额兑换为现金的行为</w:t>
      </w:r>
    </w:p>
    <w:p w14:paraId="747682F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39、</w:t>
      </w:r>
      <w:r>
        <w:rPr>
          <w:rFonts w:hint="eastAsia" w:cs="宋体" w:asciiTheme="minorEastAsia" w:hAnsiTheme="minorEastAsia"/>
          <w:kern w:val="0"/>
          <w:sz w:val="24"/>
          <w:szCs w:val="24"/>
        </w:rPr>
        <w:t>基金转换：指基金份额持有人按照本基金合同和基金管理人届时有效公告规定的条件，申请将其持有基金管理人管理的、某一基金的基金份额转换为基金管理人管理的其他基金基金份额的行为</w:t>
      </w:r>
    </w:p>
    <w:p w14:paraId="335B08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40、</w:t>
      </w:r>
      <w:r>
        <w:rPr>
          <w:rFonts w:hint="eastAsia" w:cs="宋体" w:asciiTheme="minorEastAsia" w:hAnsiTheme="minorEastAsia"/>
          <w:kern w:val="0"/>
          <w:sz w:val="24"/>
          <w:szCs w:val="24"/>
        </w:rPr>
        <w:t>转托管：指基金份额持有人在本基金的不同销售机构之间实施的变更所持基金份额销售机构的操作</w:t>
      </w:r>
    </w:p>
    <w:p w14:paraId="2160FAD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41、</w:t>
      </w:r>
      <w:r>
        <w:rPr>
          <w:rFonts w:hint="eastAsia" w:cs="宋体" w:asciiTheme="minorEastAsia" w:hAnsiTheme="minorEastAsia"/>
          <w:kern w:val="0"/>
          <w:sz w:val="24"/>
          <w:szCs w:val="24"/>
        </w:rPr>
        <w:t>定期定额投资计划：指投资人通过有关销售机构提出申请，约定每期申购日、扣款金额及扣款方式，由销售机构于每期约定扣款日在投资人指定银行账户内自动完成扣款及受理基金申购申请的一种投资方式</w:t>
      </w:r>
    </w:p>
    <w:p w14:paraId="362B8B0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42、</w:t>
      </w:r>
      <w:r>
        <w:rPr>
          <w:rFonts w:hint="eastAsia" w:cs="宋体" w:asciiTheme="minorEastAsia" w:hAnsiTheme="minorEastAsia"/>
          <w:kern w:val="0"/>
          <w:sz w:val="24"/>
          <w:szCs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cs="Times New Roman" w:asciiTheme="minorEastAsia" w:hAnsiTheme="minorEastAsia"/>
          <w:kern w:val="0"/>
          <w:sz w:val="24"/>
          <w:szCs w:val="24"/>
        </w:rPr>
        <w:t>10%</w:t>
      </w:r>
    </w:p>
    <w:p w14:paraId="3ABDC7D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43、</w:t>
      </w:r>
      <w:r>
        <w:rPr>
          <w:rFonts w:hint="eastAsia" w:cs="宋体" w:asciiTheme="minorEastAsia" w:hAnsiTheme="minorEastAsia"/>
          <w:kern w:val="0"/>
          <w:sz w:val="24"/>
          <w:szCs w:val="24"/>
        </w:rPr>
        <w:t>元：指人民币元</w:t>
      </w:r>
    </w:p>
    <w:p w14:paraId="516AA4C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44、</w:t>
      </w:r>
      <w:r>
        <w:rPr>
          <w:rFonts w:hint="eastAsia" w:cs="宋体" w:asciiTheme="minorEastAsia" w:hAnsiTheme="minorEastAsia"/>
          <w:kern w:val="0"/>
          <w:sz w:val="24"/>
          <w:szCs w:val="24"/>
        </w:rPr>
        <w:t>基金收益：指基金投资所得红利、股息、债券利息、买卖证券价差、证券持有期间的公允价值变动、投资目标ETF基金份额所得收益、银行存款利息、已实现的其他合法收入及因运用基金财产带来的成本和费用的节约</w:t>
      </w:r>
    </w:p>
    <w:p w14:paraId="647F071E">
      <w:pPr>
        <w:autoSpaceDE w:val="0"/>
        <w:autoSpaceDN w:val="0"/>
        <w:adjustRightInd w:val="0"/>
        <w:spacing w:line="360" w:lineRule="auto"/>
        <w:ind w:firstLine="480" w:firstLineChars="200"/>
        <w:rPr>
          <w:rFonts w:cs="宋体" w:asciiTheme="minorEastAsia" w:hAnsiTheme="minorEastAsia"/>
          <w:kern w:val="0"/>
          <w:sz w:val="24"/>
          <w:szCs w:val="24"/>
        </w:rPr>
      </w:pPr>
      <w:r>
        <w:rPr>
          <w:rFonts w:asciiTheme="minorEastAsia" w:hAnsiTheme="minorEastAsia"/>
          <w:kern w:val="0"/>
          <w:sz w:val="24"/>
          <w:szCs w:val="24"/>
        </w:rPr>
        <w:t>4</w:t>
      </w:r>
      <w:r>
        <w:rPr>
          <w:rFonts w:hint="eastAsia" w:asciiTheme="minorEastAsia" w:hAnsiTheme="minorEastAsia"/>
          <w:kern w:val="0"/>
          <w:sz w:val="24"/>
          <w:szCs w:val="24"/>
        </w:rPr>
        <w:t>5、</w:t>
      </w:r>
      <w:bookmarkStart w:id="2" w:name="_Hlk38272810"/>
      <w:r>
        <w:rPr>
          <w:rFonts w:hint="eastAsia" w:cs="宋体" w:asciiTheme="minorEastAsia" w:hAnsiTheme="minorEastAsia"/>
          <w:kern w:val="0"/>
          <w:sz w:val="24"/>
          <w:szCs w:val="24"/>
        </w:rPr>
        <w:t>基金资产总值：指基金拥有的各类有价证券、目标ETF基金份额、银行存款本息、基金应收款项及其他资产的价值总和</w:t>
      </w:r>
      <w:bookmarkEnd w:id="2"/>
    </w:p>
    <w:p w14:paraId="54D60A2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46、</w:t>
      </w:r>
      <w:r>
        <w:rPr>
          <w:rFonts w:hint="eastAsia" w:cs="宋体" w:asciiTheme="minorEastAsia" w:hAnsiTheme="minorEastAsia"/>
          <w:kern w:val="0"/>
          <w:sz w:val="24"/>
          <w:szCs w:val="24"/>
        </w:rPr>
        <w:t>基金资产净值：指基金资产总值减去基金负债后的价值</w:t>
      </w:r>
    </w:p>
    <w:p w14:paraId="73AF9A6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47、</w:t>
      </w:r>
      <w:r>
        <w:rPr>
          <w:rFonts w:hint="eastAsia" w:cs="宋体" w:asciiTheme="minorEastAsia" w:hAnsiTheme="minorEastAsia"/>
          <w:kern w:val="0"/>
          <w:sz w:val="24"/>
          <w:szCs w:val="24"/>
        </w:rPr>
        <w:t>基金份额净值：指计算日基金资产净值除以计算日基金份额总数</w:t>
      </w:r>
    </w:p>
    <w:p w14:paraId="5297EA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asciiTheme="minorEastAsia" w:hAnsiTheme="minorEastAsia"/>
          <w:kern w:val="0"/>
          <w:sz w:val="24"/>
          <w:szCs w:val="24"/>
        </w:rPr>
        <w:t>48、</w:t>
      </w:r>
      <w:r>
        <w:rPr>
          <w:rFonts w:hint="eastAsia" w:cs="宋体" w:asciiTheme="minorEastAsia" w:hAnsiTheme="minorEastAsia"/>
          <w:kern w:val="0"/>
          <w:sz w:val="24"/>
          <w:szCs w:val="24"/>
        </w:rPr>
        <w:t>基金资产估值：指计算评估基金资产和负债的价值，以确定基金资产净值和基金份额净值的过程</w:t>
      </w:r>
    </w:p>
    <w:p w14:paraId="74C7FBEF">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asciiTheme="minorEastAsia" w:hAnsiTheme="minorEastAsia"/>
          <w:kern w:val="0"/>
          <w:sz w:val="24"/>
          <w:szCs w:val="24"/>
        </w:rPr>
        <w:t>49、</w:t>
      </w:r>
      <w:r>
        <w:rPr>
          <w:rFonts w:hint="eastAsia" w:cs="Times New Roman" w:asciiTheme="minorEastAsia" w:hAnsiTheme="minorEastAsia"/>
          <w:kern w:val="0"/>
          <w:sz w:val="24"/>
          <w:szCs w:val="24"/>
        </w:rPr>
        <w:t>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66EA45A5">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asciiTheme="minorEastAsia" w:hAnsiTheme="minorEastAsia"/>
          <w:kern w:val="0"/>
          <w:sz w:val="24"/>
          <w:szCs w:val="24"/>
        </w:rPr>
        <w:t>50、</w:t>
      </w:r>
      <w:r>
        <w:rPr>
          <w:rFonts w:hint="eastAsia" w:cs="Times New Roman" w:asciiTheme="minorEastAsia" w:hAnsiTheme="minorEastAsia"/>
          <w:kern w:val="0"/>
          <w:sz w:val="24"/>
          <w:szCs w:val="24"/>
        </w:rPr>
        <w:t>A类基金份额：指在投资者申购时收取申购费用，在赎回时根据持有期限收取赎回费用，但不从本类别基金资产中计提销售服务费的基金份额类别</w:t>
      </w:r>
    </w:p>
    <w:p w14:paraId="5C798B0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51、C类基金份额：指在投资者申购时不收取申购费用，在赎回时根据持有期限收取赎回费用，且从本类别基金资产中计提销售服务费的基金份额类别</w:t>
      </w:r>
    </w:p>
    <w:p w14:paraId="4821C48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52、销售服务费：指从基金财产中计提的，用于本基金市场推广、销售以及基金份额持有人服务的费用</w:t>
      </w:r>
    </w:p>
    <w:p w14:paraId="174913F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53、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41D48FC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54、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14:paraId="0D99B0DD">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4B5EDD9">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6、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C2094D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57、转融通证券出借业务：指基金以一定的费率通过证券交易所综合业务平台向中国证券金融股份有限公司（以下简称证券金融公司）出借证券，证券金融公司到期归还所借证券及相应权益补偿并支付费用的业务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6097455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58、规定媒介：指符合中国证监会规定条件的用以进行信息披露的全国性报刊及《信息披露办法》规定的互联网网站（包括基金管理人网站、基金托管人网站、中国证监会基金电子披露网站）等媒介</w:t>
      </w:r>
    </w:p>
    <w:p w14:paraId="77BBB0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59、中国法律：指中华人民共和国法律，就本基金合同而言，不包括香港特别行政区、澳门特别行政区和台湾地区法律</w:t>
      </w:r>
    </w:p>
    <w:p w14:paraId="504105F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60、不可抗力：指本基金合同当事人不能预见、不能避免且不能克服的客观事件</w:t>
      </w:r>
    </w:p>
    <w:p w14:paraId="793CE694">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6</w:t>
      </w:r>
      <w:r>
        <w:rPr>
          <w:rFonts w:hint="eastAsia" w:cs="宋体" w:asciiTheme="minorEastAsia" w:hAnsiTheme="minorEastAsia"/>
          <w:kern w:val="0"/>
          <w:sz w:val="24"/>
          <w:szCs w:val="24"/>
        </w:rPr>
        <w:t>1、《指数基金指引》：指中国证监会2021年1月22日颁布、同年2月1日实施的《公开募集证券投资基金运作指引第3号——指数基金指引》及颁布机关对其不时做出的修订</w:t>
      </w:r>
    </w:p>
    <w:p w14:paraId="7319C9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2</w:t>
      </w:r>
      <w:r>
        <w:rPr>
          <w:rFonts w:hint="eastAsia" w:cs="宋体" w:asciiTheme="minorEastAsia" w:hAnsiTheme="minorEastAsia"/>
          <w:kern w:val="0"/>
          <w:sz w:val="24"/>
          <w:szCs w:val="24"/>
        </w:rPr>
        <w:t>、联接基金：指本基金，即将绝大部分基金财产投资于博时中证机器人交易型开放式指数证券投资基金（目标ETF），紧密跟踪标的指数表现，追求跟踪偏离度和跟踪误差最小化，采用开放式运作方式的基金</w:t>
      </w:r>
    </w:p>
    <w:p w14:paraId="0AD464C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3</w:t>
      </w:r>
      <w:r>
        <w:rPr>
          <w:rFonts w:hint="eastAsia" w:cs="宋体" w:asciiTheme="minorEastAsia" w:hAnsiTheme="minorEastAsia"/>
          <w:kern w:val="0"/>
          <w:sz w:val="24"/>
          <w:szCs w:val="24"/>
        </w:rPr>
        <w:t>、目标ETF：博时中证机器人交易型开放式指数证券投资基金</w:t>
      </w:r>
    </w:p>
    <w:p w14:paraId="28760AE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4</w:t>
      </w:r>
      <w:r>
        <w:rPr>
          <w:rFonts w:hint="eastAsia" w:cs="宋体" w:asciiTheme="minorEastAsia" w:hAnsiTheme="minorEastAsia"/>
          <w:kern w:val="0"/>
          <w:sz w:val="24"/>
          <w:szCs w:val="24"/>
        </w:rPr>
        <w:t>、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4D91EEA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5</w:t>
      </w:r>
      <w:r>
        <w:rPr>
          <w:rFonts w:hint="eastAsia" w:cs="宋体" w:asciiTheme="minorEastAsia" w:hAnsiTheme="minorEastAsia"/>
          <w:kern w:val="0"/>
          <w:sz w:val="24"/>
          <w:szCs w:val="24"/>
        </w:rPr>
        <w:t>、发起资金提供方：指以发起资金认购基金且承诺以发起资金认购的基金份额持有期限不少于3年的基金管理人股东、基金管理人、基金管理人的高级管理人员及基金经理等人员</w:t>
      </w:r>
    </w:p>
    <w:p w14:paraId="7E081E4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6</w:t>
      </w:r>
      <w:r>
        <w:rPr>
          <w:rFonts w:hint="eastAsia" w:cs="宋体" w:asciiTheme="minorEastAsia" w:hAnsiTheme="minorEastAsia"/>
          <w:kern w:val="0"/>
          <w:sz w:val="24"/>
          <w:szCs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5C53C5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7</w:t>
      </w:r>
      <w:r>
        <w:rPr>
          <w:rFonts w:hint="eastAsia" w:cs="宋体" w:asciiTheme="minorEastAsia" w:hAnsiTheme="minorEastAsia"/>
          <w:kern w:val="0"/>
          <w:sz w:val="24"/>
          <w:szCs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26BC9A3B">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5" w:type="default"/>
          <w:pgSz w:w="11906" w:h="16838"/>
          <w:pgMar w:top="1440" w:right="1800" w:bottom="1440" w:left="1800" w:header="851" w:footer="992" w:gutter="0"/>
          <w:pgNumType w:start="1"/>
          <w:cols w:space="425" w:num="1"/>
          <w:docGrid w:type="lines" w:linePitch="312" w:charSpace="0"/>
        </w:sectPr>
      </w:pPr>
    </w:p>
    <w:p w14:paraId="5CCEC7E2">
      <w:pPr>
        <w:pStyle w:val="2"/>
        <w:spacing w:before="0" w:after="0" w:line="360" w:lineRule="auto"/>
        <w:ind w:firstLine="602" w:firstLineChars="200"/>
        <w:jc w:val="center"/>
        <w:rPr>
          <w:rFonts w:ascii="Times New Roman" w:hAnsi="Times New Roman"/>
          <w:kern w:val="0"/>
          <w:sz w:val="30"/>
          <w:lang w:val="zh-CN"/>
        </w:rPr>
      </w:pPr>
      <w:bookmarkStart w:id="3" w:name="_Toc471235840"/>
      <w:r>
        <w:rPr>
          <w:rFonts w:hint="eastAsia" w:ascii="Times New Roman" w:hAnsi="Times New Roman"/>
          <w:kern w:val="0"/>
          <w:sz w:val="30"/>
          <w:lang w:val="zh-CN"/>
        </w:rPr>
        <w:t>第三部分</w:t>
      </w:r>
      <w:r>
        <w:rPr>
          <w:rFonts w:ascii="Times New Roman" w:hAnsi="Times New Roman"/>
          <w:kern w:val="0"/>
          <w:sz w:val="30"/>
          <w:lang w:val="zh-CN"/>
        </w:rPr>
        <w:t xml:space="preserve"> </w:t>
      </w:r>
      <w:r>
        <w:rPr>
          <w:rFonts w:hint="eastAsia" w:ascii="Times New Roman" w:hAnsi="Times New Roman"/>
          <w:kern w:val="0"/>
          <w:sz w:val="30"/>
          <w:lang w:val="zh-CN"/>
        </w:rPr>
        <w:t>基金的基本情况</w:t>
      </w:r>
      <w:bookmarkEnd w:id="3"/>
    </w:p>
    <w:p w14:paraId="108E9067">
      <w:pPr>
        <w:spacing w:line="360" w:lineRule="auto"/>
        <w:ind w:firstLine="480" w:firstLineChars="200"/>
        <w:rPr>
          <w:rFonts w:ascii="宋体" w:hAnsi="Times New Roman" w:eastAsia="宋体" w:cs="宋体"/>
          <w:kern w:val="0"/>
          <w:sz w:val="24"/>
          <w:szCs w:val="24"/>
        </w:rPr>
      </w:pPr>
    </w:p>
    <w:p w14:paraId="62E246E5">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一、基金名称</w:t>
      </w:r>
    </w:p>
    <w:p w14:paraId="5F4FB26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博时中证机器人交易型开放式指数证券投资基金发起式联接基金</w:t>
      </w:r>
    </w:p>
    <w:p w14:paraId="75CD02D7">
      <w:pPr>
        <w:spacing w:line="360" w:lineRule="auto"/>
        <w:ind w:firstLine="480" w:firstLineChars="200"/>
        <w:rPr>
          <w:rFonts w:ascii="宋体" w:hAnsi="Times New Roman" w:eastAsia="宋体" w:cs="宋体"/>
          <w:kern w:val="0"/>
          <w:sz w:val="24"/>
          <w:szCs w:val="24"/>
        </w:rPr>
      </w:pPr>
    </w:p>
    <w:p w14:paraId="5FD36BE8">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二、基金的类别</w:t>
      </w:r>
    </w:p>
    <w:p w14:paraId="04CAD14A">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ETF联接基金</w:t>
      </w:r>
    </w:p>
    <w:p w14:paraId="386D0A21">
      <w:pPr>
        <w:spacing w:line="360" w:lineRule="auto"/>
        <w:ind w:firstLine="480" w:firstLineChars="200"/>
        <w:rPr>
          <w:rFonts w:ascii="宋体" w:hAnsi="Times New Roman" w:eastAsia="宋体" w:cs="宋体"/>
          <w:kern w:val="0"/>
          <w:sz w:val="24"/>
          <w:szCs w:val="24"/>
        </w:rPr>
      </w:pPr>
    </w:p>
    <w:p w14:paraId="522A4CBD">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三、基金的运作方式</w:t>
      </w:r>
    </w:p>
    <w:p w14:paraId="19CF9EAC">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契约型开放式</w:t>
      </w:r>
    </w:p>
    <w:p w14:paraId="749BC360">
      <w:pPr>
        <w:spacing w:line="360" w:lineRule="auto"/>
        <w:ind w:firstLine="480" w:firstLineChars="200"/>
        <w:rPr>
          <w:rFonts w:ascii="宋体" w:hAnsi="Times New Roman" w:eastAsia="宋体" w:cs="宋体"/>
          <w:kern w:val="0"/>
          <w:sz w:val="24"/>
          <w:szCs w:val="24"/>
        </w:rPr>
      </w:pPr>
    </w:p>
    <w:p w14:paraId="70691FBB">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四、基金的投资目标</w:t>
      </w:r>
    </w:p>
    <w:p w14:paraId="4542569D">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通过主要投资于目标ETF，紧密跟踪标的指数即中证机器人指数的表现，追求跟踪偏离度和跟踪误差的最小化。</w:t>
      </w:r>
    </w:p>
    <w:p w14:paraId="69FDDAFF">
      <w:pPr>
        <w:spacing w:line="360" w:lineRule="auto"/>
        <w:ind w:firstLine="480" w:firstLineChars="200"/>
        <w:rPr>
          <w:rFonts w:ascii="宋体" w:hAnsi="Times New Roman" w:eastAsia="宋体" w:cs="宋体"/>
          <w:kern w:val="0"/>
          <w:sz w:val="24"/>
          <w:szCs w:val="24"/>
        </w:rPr>
      </w:pPr>
    </w:p>
    <w:p w14:paraId="3C257B18">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五、标的指数</w:t>
      </w:r>
    </w:p>
    <w:p w14:paraId="1D5038E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本基金的标的指数为中证机器人指数</w:t>
      </w:r>
    </w:p>
    <w:p w14:paraId="067E2FFA">
      <w:pPr>
        <w:spacing w:line="360" w:lineRule="auto"/>
        <w:ind w:firstLine="480" w:firstLineChars="200"/>
        <w:rPr>
          <w:rFonts w:ascii="宋体" w:hAnsi="Times New Roman" w:eastAsia="宋体" w:cs="宋体"/>
          <w:kern w:val="0"/>
          <w:sz w:val="24"/>
          <w:szCs w:val="24"/>
        </w:rPr>
      </w:pPr>
    </w:p>
    <w:p w14:paraId="256A1B42">
      <w:pPr>
        <w:spacing w:line="360" w:lineRule="auto"/>
        <w:ind w:left="796" w:leftChars="257" w:hanging="256"/>
        <w:rPr>
          <w:rFonts w:ascii="Times New Roman" w:hAnsi="Times New Roman" w:eastAsia="宋体" w:cs="Times New Roman"/>
          <w:bCs/>
          <w:sz w:val="24"/>
          <w:szCs w:val="20"/>
        </w:rPr>
      </w:pPr>
      <w:r>
        <w:rPr>
          <w:rFonts w:hint="eastAsia" w:ascii="Times New Roman" w:hAnsi="Times New Roman" w:eastAsia="宋体" w:cs="Times New Roman"/>
          <w:bCs/>
          <w:sz w:val="24"/>
          <w:szCs w:val="20"/>
        </w:rPr>
        <w:t>六、基金发起资金的来源</w:t>
      </w:r>
    </w:p>
    <w:p w14:paraId="3587712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基金发起资金来自于基金管理人的股东资金、基金管理人固有资金、基金管理人高级管理人员或基金经理等人员参与认购的资金。</w:t>
      </w:r>
    </w:p>
    <w:p w14:paraId="765A2B3C">
      <w:pPr>
        <w:spacing w:line="360" w:lineRule="auto"/>
        <w:ind w:firstLine="480" w:firstLineChars="200"/>
        <w:rPr>
          <w:rFonts w:ascii="Times New Roman" w:hAnsi="Times New Roman" w:eastAsia="宋体" w:cs="Times New Roman"/>
          <w:sz w:val="24"/>
          <w:szCs w:val="20"/>
        </w:rPr>
      </w:pPr>
    </w:p>
    <w:p w14:paraId="50DF8556">
      <w:pPr>
        <w:spacing w:line="360" w:lineRule="auto"/>
        <w:ind w:firstLine="480" w:firstLineChars="200"/>
        <w:rPr>
          <w:rFonts w:ascii="Times New Roman" w:hAnsi="Times New Roman" w:eastAsia="宋体" w:cs="Times New Roman"/>
          <w:sz w:val="24"/>
          <w:szCs w:val="20"/>
        </w:rPr>
      </w:pPr>
      <w:r>
        <w:rPr>
          <w:rFonts w:hint="eastAsia" w:ascii="Times New Roman" w:hAnsi="Times New Roman" w:eastAsia="宋体" w:cs="Times New Roman"/>
          <w:sz w:val="24"/>
          <w:szCs w:val="20"/>
        </w:rPr>
        <w:t>七、发起资金的认购金额和认购份额的锁定期</w:t>
      </w:r>
    </w:p>
    <w:p w14:paraId="38D0047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本基金为发起式基金且由博时中证机器人指数型发起式证券投资基金变更而来。使用发起资金提供方资金认购博时中证机器人指数型发起式证券投资基金的金额不少于1</w:t>
      </w:r>
      <w:r>
        <w:rPr>
          <w:rFonts w:ascii="Times New Roman" w:hAnsi="Times New Roman" w:eastAsia="宋体" w:cs="Times New Roman"/>
          <w:bCs/>
          <w:sz w:val="24"/>
          <w:szCs w:val="20"/>
        </w:rPr>
        <w:t>,</w:t>
      </w:r>
      <w:r>
        <w:rPr>
          <w:rFonts w:hint="eastAsia" w:ascii="Times New Roman" w:hAnsi="Times New Roman" w:eastAsia="宋体" w:cs="Times New Roman"/>
          <w:bCs/>
          <w:sz w:val="24"/>
          <w:szCs w:val="20"/>
        </w:rPr>
        <w:t>000万元人民币（不含认购费用），且持有期限不少于3年，法律法规和监管机构另有规定的除外。</w:t>
      </w:r>
    </w:p>
    <w:p w14:paraId="1F4AA47F">
      <w:pPr>
        <w:spacing w:line="360" w:lineRule="auto"/>
        <w:ind w:firstLine="480" w:firstLineChars="200"/>
        <w:rPr>
          <w:rFonts w:ascii="宋体" w:hAnsi="Times New Roman" w:eastAsia="宋体" w:cs="宋体"/>
          <w:kern w:val="0"/>
          <w:sz w:val="24"/>
          <w:szCs w:val="24"/>
        </w:rPr>
      </w:pPr>
    </w:p>
    <w:p w14:paraId="0ABCDC2D">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八、基金存续期限</w:t>
      </w:r>
    </w:p>
    <w:p w14:paraId="72D6ABC3">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不定期</w:t>
      </w:r>
    </w:p>
    <w:p w14:paraId="27497D83">
      <w:pPr>
        <w:spacing w:line="360" w:lineRule="auto"/>
        <w:ind w:firstLine="480" w:firstLineChars="200"/>
        <w:rPr>
          <w:rFonts w:ascii="宋体" w:hAnsi="Times New Roman" w:eastAsia="宋体" w:cs="宋体"/>
          <w:kern w:val="0"/>
          <w:sz w:val="24"/>
          <w:szCs w:val="24"/>
        </w:rPr>
      </w:pPr>
    </w:p>
    <w:p w14:paraId="4AFC44D2">
      <w:pPr>
        <w:spacing w:line="360" w:lineRule="auto"/>
        <w:ind w:firstLine="480" w:firstLineChars="200"/>
        <w:rPr>
          <w:rFonts w:ascii="Times New Roman" w:hAnsi="Times New Roman" w:eastAsia="宋体" w:cs="Times New Roman"/>
          <w:bCs/>
          <w:color w:val="000000"/>
          <w:sz w:val="24"/>
          <w:szCs w:val="20"/>
        </w:rPr>
      </w:pPr>
      <w:r>
        <w:rPr>
          <w:rFonts w:hint="eastAsia" w:ascii="Times New Roman" w:hAnsi="Times New Roman" w:eastAsia="宋体" w:cs="Times New Roman"/>
          <w:bCs/>
          <w:color w:val="000000"/>
          <w:sz w:val="24"/>
          <w:szCs w:val="20"/>
        </w:rPr>
        <w:t>九、基金份额类别设置</w:t>
      </w:r>
      <w:r>
        <w:rPr>
          <w:rFonts w:ascii="Times New Roman" w:hAnsi="Times New Roman" w:eastAsia="宋体" w:cs="Times New Roman"/>
          <w:bCs/>
          <w:color w:val="000000"/>
          <w:sz w:val="24"/>
          <w:szCs w:val="20"/>
        </w:rPr>
        <w:t xml:space="preserve"> </w:t>
      </w:r>
    </w:p>
    <w:p w14:paraId="719618D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根据申购费用、销售服务费收取方式的不同，将基金份额分为不同的类别。在投资者申购时收取申购费用，在赎回时根据持有期限收取赎回费用，但不从本类别基金资产中计提销售服务费的基金份额，称为A类基金份额；在投资者申购时不收取申购费用，在赎回时根据持有期限收取赎回费用，且从本类别基金资产中计提销售服务费的基金份额，称为C类基金份额。</w:t>
      </w:r>
    </w:p>
    <w:p w14:paraId="2399393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本基金A类基金份额和C类基金份额分别设置代码。本基金A类基金份额和C类基金份额将分别计算基金份额净值，计算公式为计算日各类别基金资产净值除以计算日发售在外的该类别基金份额总数。</w:t>
      </w:r>
    </w:p>
    <w:p w14:paraId="6EDA97C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投资者可自行选择申购的基金份额类别。</w:t>
      </w:r>
    </w:p>
    <w:p w14:paraId="675A4F94">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6CF8374D">
      <w:pPr>
        <w:spacing w:line="360" w:lineRule="auto"/>
        <w:ind w:firstLine="480" w:firstLineChars="200"/>
        <w:rPr>
          <w:rFonts w:ascii="宋体" w:hAnsi="Times New Roman" w:eastAsia="宋体" w:cs="宋体"/>
          <w:kern w:val="0"/>
          <w:sz w:val="24"/>
          <w:szCs w:val="24"/>
        </w:rPr>
      </w:pPr>
    </w:p>
    <w:p w14:paraId="31595268">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十、本基金与博时中证机器人交易型开放式指数证券投资基金（目标ETF）的联系与区别</w:t>
      </w:r>
    </w:p>
    <w:p w14:paraId="7A8B15A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在投资方法和交易方式等方面，本基金与博时中证机器人交易型开放式指数证券投资基金（目标ETF）的联系与区别主要体现在以下几个方面：</w:t>
      </w:r>
    </w:p>
    <w:p w14:paraId="07D6B56A">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联系：</w:t>
      </w:r>
    </w:p>
    <w:p w14:paraId="2261E78B">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1.两只基金跟踪同一个标的指数即中证机器人指数。</w:t>
      </w:r>
    </w:p>
    <w:p w14:paraId="02956A12">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2.两只基金的投资目标均为紧密跟踪标的指数即中证机器人指数的表现，追求跟踪偏离度和跟踪误差的最小化。</w:t>
      </w:r>
    </w:p>
    <w:p w14:paraId="0298C7F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3.两只基金具有相似的风险收益特征。</w:t>
      </w:r>
    </w:p>
    <w:p w14:paraId="7B5A6423">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4.博时中证机器人交易型开放式指数证券投资基金是本基金的主要投资对象。</w:t>
      </w:r>
    </w:p>
    <w:p w14:paraId="003FC8E0">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区别：</w:t>
      </w:r>
    </w:p>
    <w:p w14:paraId="4A86488F">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基金的投资管理方式不同：博时中证机器人交易型开放式指数证券投资基金通过直接买卖标的指数成份股和备选成份股等，直接跟踪复制标的指数的表现；而本基金则是通过买卖目标ETF基金（包括在目标ETF的一级市场进行股票篮子组合的申购与赎回，也包括在目标ETF的二级市场以现金直接买卖ETF份额），间接跟踪标的指数的表现。</w:t>
      </w:r>
    </w:p>
    <w:p w14:paraId="5A92B24D">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2.基金的申购赎回不同：博时中证机器人交易型开放式指数证券投资基金采用股票篮子组合的方式进行基金份额的申购与赎回，而本基金的申购和赎回均采用现金方式。</w:t>
      </w:r>
    </w:p>
    <w:p w14:paraId="386E27F4">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3.基金是否挂牌交易不同：博时中证机器人交易型开放式指数证券投资基金在深圳证券交易所挂牌交易；而本基金则不上市交易。</w:t>
      </w:r>
    </w:p>
    <w:p w14:paraId="7EEA54CD">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4.价格揭示机制不同：博时中证机器人交易型开放式指数证券投资基金有实时市场交易价格和每日基金份额净值；而本基金只揭示每日基金份额净值。</w:t>
      </w:r>
    </w:p>
    <w:p w14:paraId="189F6B93">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5.投资人申购赎回基金的程序不同：博时中证机器人交易型开放式指数证券投资基金通过指定场内申购赎回代理券商办理基金的申购与赎回；而本基金则通过场外销售机构办理基金的申购与赎回。</w:t>
      </w:r>
    </w:p>
    <w:p w14:paraId="09760685">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十一、本基金与博时中证机器人交易型开放式指数证券投资基金业绩表现的差异</w:t>
      </w:r>
    </w:p>
    <w:p w14:paraId="0EBB982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本基金的业绩表现与博时中证机器人交易型开放式指数证券投资基金的业绩表现可能会出现差异，差异产生的主要原因有以下几个方面：</w:t>
      </w:r>
    </w:p>
    <w:p w14:paraId="043FC84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1.投资对象和投资范围的不同，会导致两只基金的业绩有差异。</w:t>
      </w:r>
    </w:p>
    <w:p w14:paraId="2F66710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2.投资管理方式的不同，如在指数化投资过程中，不同的管理方式会导致跟踪指数的水平、技术手段、买入卖出的时机选择等的不同，会导致两只基金的业绩有差异。</w:t>
      </w:r>
    </w:p>
    <w:p w14:paraId="0EB4199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规模、投资成本、各种费用与税收的不同，会导致两只基金的业绩有差异。由于两只基金的投资对象和投资范围不同，投资管理方式不同，基金规模也可能不同，所以，本基金的投资成本、各种费用及税收可能不同于博时中证机器人交易型开放式指数证券投资基金。</w:t>
      </w:r>
    </w:p>
    <w:p w14:paraId="240CF625">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现金比例及现金管理方式的不同，会导致两只基金的业绩有差异。本基金须每个交易日日终在扣除国债期货、股指期货和股票期权合约需缴纳的交易保证金后，对现金或者到期日在一年以内的政府债券的投资比例不低于基金资产净值的5%，而博时中证机器人交易型开放式指数证券投资基金仅规定在每个交易日日终在扣除股指期货、股票期权和国债期货合约需缴纳的交易保证金后，应当保持不低于交易保证金一倍的现金。</w:t>
      </w:r>
    </w:p>
    <w:p w14:paraId="134D001F">
      <w:pPr>
        <w:spacing w:line="360" w:lineRule="auto"/>
        <w:ind w:firstLine="480" w:firstLineChars="200"/>
        <w:rPr>
          <w:rFonts w:ascii="宋体" w:hAnsi="Times New Roman" w:eastAsia="宋体" w:cs="宋体"/>
          <w:kern w:val="0"/>
          <w:sz w:val="24"/>
          <w:szCs w:val="24"/>
        </w:rPr>
      </w:pPr>
    </w:p>
    <w:p w14:paraId="245C121A">
      <w:pPr>
        <w:spacing w:line="360" w:lineRule="auto"/>
        <w:ind w:firstLine="480" w:firstLineChars="200"/>
        <w:rPr>
          <w:rFonts w:ascii="宋体" w:hAnsi="Times New Roman" w:eastAsia="宋体" w:cs="宋体"/>
          <w:kern w:val="0"/>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14:paraId="43F7F4C9">
      <w:pPr>
        <w:pStyle w:val="2"/>
        <w:spacing w:before="0" w:after="0" w:line="360" w:lineRule="auto"/>
        <w:ind w:firstLine="602" w:firstLineChars="200"/>
        <w:jc w:val="center"/>
        <w:rPr>
          <w:rFonts w:ascii="Times New Roman" w:hAnsi="Times New Roman"/>
          <w:kern w:val="0"/>
          <w:sz w:val="30"/>
          <w:lang w:val="zh-CN"/>
        </w:rPr>
      </w:pPr>
      <w:bookmarkStart w:id="4" w:name="_Toc471235841"/>
      <w:r>
        <w:rPr>
          <w:rFonts w:hint="eastAsia" w:ascii="Times New Roman" w:hAnsi="Times New Roman"/>
          <w:kern w:val="0"/>
          <w:sz w:val="30"/>
          <w:lang w:val="zh-CN"/>
        </w:rPr>
        <w:t>第四部分</w:t>
      </w:r>
      <w:r>
        <w:rPr>
          <w:rFonts w:ascii="Times New Roman" w:hAnsi="Times New Roman"/>
          <w:kern w:val="0"/>
          <w:sz w:val="30"/>
          <w:lang w:val="zh-CN"/>
        </w:rPr>
        <w:t xml:space="preserve"> </w:t>
      </w:r>
      <w:r>
        <w:rPr>
          <w:rFonts w:hint="eastAsia" w:ascii="Times New Roman" w:hAnsi="Times New Roman"/>
          <w:kern w:val="0"/>
          <w:sz w:val="30"/>
          <w:lang w:val="zh-CN"/>
        </w:rPr>
        <w:t>基金的历史沿革</w:t>
      </w:r>
      <w:bookmarkEnd w:id="4"/>
    </w:p>
    <w:p w14:paraId="76F1B7E7">
      <w:pPr>
        <w:autoSpaceDE w:val="0"/>
        <w:autoSpaceDN w:val="0"/>
        <w:adjustRightInd w:val="0"/>
        <w:spacing w:line="360" w:lineRule="auto"/>
        <w:ind w:firstLine="480" w:firstLineChars="200"/>
        <w:rPr>
          <w:rFonts w:cs="宋体" w:asciiTheme="minorEastAsia" w:hAnsiTheme="minorEastAsia"/>
          <w:kern w:val="0"/>
          <w:sz w:val="24"/>
          <w:szCs w:val="24"/>
        </w:rPr>
      </w:pPr>
    </w:p>
    <w:p w14:paraId="4AC6C5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博时中证机器人交易型开放式指数证券投资基金发起式联接基金由博时中证机器人指数型发起式证券投资基金变更而来。博时中证机器人指数型发起式证券投资基金经中国证监会《关于准予博时中证机器人指数型发起式证券投资基金注册的批复》（证监许可[2023]294号）准予募集注册，基金管理人为博时基金管理有限公司，基金托管人为宁波银行股份有限公司。</w:t>
      </w:r>
    </w:p>
    <w:p w14:paraId="693DDEE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博时中证机器人指数型发起式证券投资基金自2023年3月13日至2023年3月31日进行公开募集，募集结束后基金管理人向中国证监会办理备案手续。经中国证监会书面确认，《博时中证机器人指数型发起式证券投资基金基金合同》于2023年04月04日生效。</w:t>
      </w:r>
    </w:p>
    <w:p w14:paraId="076AC75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根据《博时中证机器人指数型发起式证券投资基金基金合同》的约定：“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基金管理人经与基金托管人协商一致，决定将博时中证机器人指数型发起式证券投资基金变更为博时中证机器人交易型开放式指数证券投资基金发起式联接基金，并据此修订《博时中证机器人指数型发起式证券投资基金基金合同》。</w:t>
      </w:r>
    </w:p>
    <w:p w14:paraId="7372327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自2026年</w:t>
      </w:r>
      <w:r>
        <w:rPr>
          <w:rFonts w:hint="eastAsia" w:cs="宋体" w:asciiTheme="minorEastAsia" w:hAnsiTheme="minorEastAsia"/>
          <w:kern w:val="0"/>
          <w:sz w:val="24"/>
          <w:szCs w:val="24"/>
          <w:lang w:val="en-US" w:eastAsia="zh-CN"/>
        </w:rPr>
        <w:t>10</w:t>
      </w:r>
      <w:r>
        <w:rPr>
          <w:rFonts w:hint="eastAsia" w:cs="宋体" w:asciiTheme="minorEastAsia" w:hAnsiTheme="minorEastAsia"/>
          <w:kern w:val="0"/>
          <w:sz w:val="24"/>
          <w:szCs w:val="24"/>
        </w:rPr>
        <w:t>月</w:t>
      </w:r>
      <w:r>
        <w:rPr>
          <w:rFonts w:hint="eastAsia" w:cs="宋体" w:asciiTheme="minorEastAsia" w:hAnsiTheme="minorEastAsia"/>
          <w:kern w:val="0"/>
          <w:sz w:val="24"/>
          <w:szCs w:val="24"/>
          <w:lang w:val="en-US" w:eastAsia="zh-CN"/>
        </w:rPr>
        <w:t>16</w:t>
      </w:r>
      <w:r>
        <w:rPr>
          <w:rFonts w:hint="eastAsia" w:cs="宋体" w:asciiTheme="minorEastAsia" w:hAnsiTheme="minorEastAsia"/>
          <w:kern w:val="0"/>
          <w:sz w:val="24"/>
          <w:szCs w:val="24"/>
        </w:rPr>
        <w:t>日起，博时中证机器人指数型发起式证券投资基金正式变更为博时中证机器人交易型开放式指数证券投资基金发起式联接基金，《博时中证机器人交易型开放式指数证券投资基金发起式联接基金基金合同》生效，《博时中证机器人指数型发起式证券投资基金基金合同》失效。</w:t>
      </w:r>
    </w:p>
    <w:p w14:paraId="6B707B8F">
      <w:pPr>
        <w:autoSpaceDE w:val="0"/>
        <w:autoSpaceDN w:val="0"/>
        <w:adjustRightInd w:val="0"/>
        <w:spacing w:line="360" w:lineRule="auto"/>
        <w:ind w:firstLine="480" w:firstLineChars="200"/>
        <w:rPr>
          <w:rFonts w:cs="Times New Roman" w:asciiTheme="minorEastAsia" w:hAnsiTheme="minorEastAsia"/>
          <w:kern w:val="0"/>
          <w:sz w:val="24"/>
          <w:szCs w:val="24"/>
        </w:rPr>
      </w:pPr>
    </w:p>
    <w:p w14:paraId="6101D06C">
      <w:pPr>
        <w:autoSpaceDE w:val="0"/>
        <w:autoSpaceDN w:val="0"/>
        <w:adjustRightInd w:val="0"/>
        <w:spacing w:line="360" w:lineRule="auto"/>
        <w:ind w:firstLine="480" w:firstLineChars="200"/>
        <w:rPr>
          <w:rFonts w:cs="Times New Roman" w:asciiTheme="minorEastAsia" w:hAnsiTheme="minorEastAsia"/>
          <w:kern w:val="0"/>
          <w:sz w:val="24"/>
          <w:szCs w:val="24"/>
        </w:rPr>
        <w:sectPr>
          <w:footerReference r:id="rId7" w:type="default"/>
          <w:pgSz w:w="11906" w:h="16838"/>
          <w:pgMar w:top="1440" w:right="1800" w:bottom="1440" w:left="1800" w:header="851" w:footer="992" w:gutter="0"/>
          <w:pgNumType w:start="1"/>
          <w:cols w:space="425" w:num="1"/>
          <w:docGrid w:type="lines" w:linePitch="312" w:charSpace="0"/>
        </w:sectPr>
      </w:pPr>
    </w:p>
    <w:p w14:paraId="22F81858">
      <w:pPr>
        <w:pStyle w:val="2"/>
        <w:spacing w:before="0" w:after="0" w:line="360" w:lineRule="auto"/>
        <w:ind w:firstLine="602" w:firstLineChars="200"/>
        <w:jc w:val="center"/>
        <w:rPr>
          <w:rFonts w:ascii="Times New Roman" w:hAnsi="Times New Roman"/>
          <w:kern w:val="0"/>
          <w:sz w:val="30"/>
          <w:lang w:val="zh-CN"/>
        </w:rPr>
      </w:pPr>
      <w:bookmarkStart w:id="5" w:name="_Toc471235842"/>
      <w:r>
        <w:rPr>
          <w:rFonts w:hint="eastAsia" w:ascii="Times New Roman" w:hAnsi="Times New Roman"/>
          <w:kern w:val="0"/>
          <w:sz w:val="30"/>
          <w:lang w:val="zh-CN"/>
        </w:rPr>
        <w:t>第五部分</w:t>
      </w:r>
      <w:r>
        <w:rPr>
          <w:rFonts w:ascii="Times New Roman" w:hAnsi="Times New Roman"/>
          <w:kern w:val="0"/>
          <w:sz w:val="30"/>
          <w:lang w:val="zh-CN"/>
        </w:rPr>
        <w:t xml:space="preserve"> </w:t>
      </w:r>
      <w:r>
        <w:rPr>
          <w:rFonts w:hint="eastAsia" w:ascii="Times New Roman" w:hAnsi="Times New Roman"/>
          <w:kern w:val="0"/>
          <w:sz w:val="30"/>
          <w:lang w:val="zh-CN"/>
        </w:rPr>
        <w:t>基金的存续</w:t>
      </w:r>
      <w:bookmarkEnd w:id="5"/>
    </w:p>
    <w:p w14:paraId="11EE801F">
      <w:pPr>
        <w:autoSpaceDE w:val="0"/>
        <w:autoSpaceDN w:val="0"/>
        <w:adjustRightInd w:val="0"/>
        <w:spacing w:line="360" w:lineRule="auto"/>
        <w:ind w:firstLine="480" w:firstLineChars="200"/>
        <w:rPr>
          <w:rFonts w:cs="宋体" w:asciiTheme="minorEastAsia" w:hAnsiTheme="minorEastAsia"/>
          <w:kern w:val="0"/>
          <w:sz w:val="24"/>
          <w:szCs w:val="24"/>
        </w:rPr>
      </w:pPr>
    </w:p>
    <w:p w14:paraId="19E6FF8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博时中证机器人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5F54B60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在《博时中证机器人指数型发起式证券投资基金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363F8803">
      <w:pPr>
        <w:spacing w:line="360" w:lineRule="auto"/>
        <w:ind w:firstLine="480" w:firstLineChars="200"/>
        <w:rPr>
          <w:rFonts w:cs="宋体" w:asciiTheme="minorEastAsia" w:hAnsiTheme="minorEastAsia"/>
          <w:kern w:val="0"/>
          <w:sz w:val="24"/>
          <w:szCs w:val="24"/>
        </w:rPr>
        <w:sectPr>
          <w:footerReference r:id="rId8" w:type="default"/>
          <w:pgSz w:w="11906" w:h="16838"/>
          <w:pgMar w:top="1440" w:right="1800" w:bottom="1440" w:left="1800" w:header="851" w:footer="992" w:gutter="0"/>
          <w:pgNumType w:start="1"/>
          <w:cols w:space="425" w:num="1"/>
          <w:docGrid w:type="lines" w:linePitch="312" w:charSpace="0"/>
        </w:sectPr>
      </w:pPr>
      <w:r>
        <w:rPr>
          <w:rFonts w:hint="eastAsia" w:ascii="Times New Roman" w:hAnsi="Times New Roman" w:eastAsia="宋体" w:cs="Times New Roman"/>
          <w:bCs/>
          <w:sz w:val="24"/>
          <w:szCs w:val="20"/>
        </w:rPr>
        <w:t>法律法规或中国证监会另有规定时，从其规定。</w:t>
      </w:r>
    </w:p>
    <w:p w14:paraId="2F64F9D9">
      <w:pPr>
        <w:pStyle w:val="2"/>
        <w:spacing w:before="0" w:after="0" w:line="360" w:lineRule="auto"/>
        <w:ind w:firstLine="602" w:firstLineChars="200"/>
        <w:jc w:val="center"/>
        <w:rPr>
          <w:rFonts w:ascii="Times New Roman" w:hAnsi="Times New Roman"/>
          <w:kern w:val="0"/>
          <w:sz w:val="30"/>
          <w:lang w:val="zh-CN"/>
        </w:rPr>
      </w:pPr>
      <w:bookmarkStart w:id="6" w:name="_Toc471235843"/>
      <w:r>
        <w:rPr>
          <w:rFonts w:hint="eastAsia" w:ascii="Times New Roman" w:hAnsi="Times New Roman"/>
          <w:kern w:val="0"/>
          <w:sz w:val="30"/>
          <w:lang w:val="zh-CN"/>
        </w:rPr>
        <w:t>第六部分</w:t>
      </w:r>
      <w:r>
        <w:rPr>
          <w:rFonts w:ascii="Times New Roman" w:hAnsi="Times New Roman"/>
          <w:kern w:val="0"/>
          <w:sz w:val="30"/>
          <w:lang w:val="zh-CN"/>
        </w:rPr>
        <w:t xml:space="preserve"> </w:t>
      </w:r>
      <w:r>
        <w:rPr>
          <w:rFonts w:hint="eastAsia" w:ascii="Times New Roman" w:hAnsi="Times New Roman"/>
          <w:kern w:val="0"/>
          <w:sz w:val="30"/>
          <w:lang w:val="zh-CN"/>
        </w:rPr>
        <w:t>基金份额的申购与赎回</w:t>
      </w:r>
      <w:bookmarkEnd w:id="6"/>
    </w:p>
    <w:p w14:paraId="1EBD8DE5">
      <w:pPr>
        <w:autoSpaceDE w:val="0"/>
        <w:autoSpaceDN w:val="0"/>
        <w:adjustRightInd w:val="0"/>
        <w:spacing w:line="360" w:lineRule="auto"/>
        <w:ind w:firstLine="480" w:firstLineChars="200"/>
        <w:rPr>
          <w:rFonts w:cs="宋体" w:asciiTheme="minorEastAsia" w:hAnsiTheme="minorEastAsia"/>
          <w:kern w:val="0"/>
          <w:sz w:val="24"/>
          <w:szCs w:val="24"/>
        </w:rPr>
      </w:pPr>
    </w:p>
    <w:p w14:paraId="692F722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一、申购和赎回场所</w:t>
      </w:r>
    </w:p>
    <w:p w14:paraId="0E9D7BE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14:paraId="1E8FE0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二、申购和赎回的开放日及时间</w:t>
      </w:r>
    </w:p>
    <w:p w14:paraId="14F44FF8">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、开放日及开放时间</w:t>
      </w:r>
    </w:p>
    <w:p w14:paraId="553D10B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0F2C18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09E08FD2">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、申购、赎回开始日及业务办理时间</w:t>
      </w:r>
    </w:p>
    <w:p w14:paraId="3D81BA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基金管理人可根据实际情况依法决定本基金开始办理申购的具体日期，具体业务办理时间在申购开始公告中规定。</w:t>
      </w:r>
    </w:p>
    <w:p w14:paraId="60FC030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基金管理人自基金合同生效之日起不超过</w:t>
      </w:r>
      <w:r>
        <w:rPr>
          <w:rFonts w:cs="Times New Roman" w:asciiTheme="minorEastAsia" w:hAnsiTheme="minorEastAsia"/>
          <w:kern w:val="0"/>
          <w:sz w:val="24"/>
          <w:szCs w:val="24"/>
        </w:rPr>
        <w:t>3</w:t>
      </w:r>
      <w:r>
        <w:rPr>
          <w:rFonts w:hint="eastAsia" w:cs="宋体" w:asciiTheme="minorEastAsia" w:hAnsiTheme="minorEastAsia"/>
          <w:kern w:val="0"/>
          <w:sz w:val="24"/>
          <w:szCs w:val="24"/>
        </w:rPr>
        <w:t>个月开始办理赎回，具体业务办理时间在赎回开始公告中规定。</w:t>
      </w:r>
    </w:p>
    <w:p w14:paraId="28D9405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在确定申购开始与赎回开始时间后，基金管理人应在申购、赎回开放日前依照《信息披露办法》的有关规定在规定媒介上公告申购与赎回的开始时间。</w:t>
      </w:r>
    </w:p>
    <w:p w14:paraId="1D80E1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14:paraId="5A82ACA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三、申购与赎回的原则</w:t>
      </w:r>
    </w:p>
    <w:p w14:paraId="2CC6A460">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、“未知价”原则，即申购、赎回价格以申请当日收市后计算的该类别基金份额净值为基准进行计算；</w:t>
      </w:r>
    </w:p>
    <w:p w14:paraId="624BCE8A">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、“金额申购、份额赎回”原则，即申购以金额申请，赎回以份额申请；</w:t>
      </w:r>
    </w:p>
    <w:p w14:paraId="222AF52C">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、当日的申购与赎回申请可以在基金管理人规定的时间以内撤销；</w:t>
      </w:r>
    </w:p>
    <w:p w14:paraId="1B9F4960">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4</w:t>
      </w:r>
      <w:r>
        <w:rPr>
          <w:rFonts w:hint="eastAsia" w:cs="宋体" w:asciiTheme="minorEastAsia" w:hAnsiTheme="minorEastAsia"/>
          <w:kern w:val="0"/>
          <w:sz w:val="24"/>
          <w:szCs w:val="24"/>
        </w:rPr>
        <w:t>、赎回遵循“先进先出”原则，即按照投资人认购、申购的先后次序进行顺序赎回；</w:t>
      </w:r>
    </w:p>
    <w:p w14:paraId="36C4C7B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5、办理申购、赎回业务时，应当遵循基金份额持有人利益优先原则，确保投资者的合法权益不受损害并得到公平对待。</w:t>
      </w:r>
    </w:p>
    <w:p w14:paraId="45E49F6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基金管理人可在法律法规允许的情况下，对上述原则进行调整。基金管理人必须在新规则开始实施前依照《信息披露办法》的有关规定在规定媒介上公告。</w:t>
      </w:r>
    </w:p>
    <w:p w14:paraId="28B12D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四、申购与赎回的程序</w:t>
      </w:r>
    </w:p>
    <w:p w14:paraId="7B9282C2">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、申购和赎回的申请方式</w:t>
      </w:r>
    </w:p>
    <w:p w14:paraId="428EDDD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投资人必须根据销售机构规定的程序，在开放日的具体业务办理时间内提出申购或赎回的申请。</w:t>
      </w:r>
    </w:p>
    <w:p w14:paraId="71A400FE">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、申购和赎回的款项支付</w:t>
      </w:r>
    </w:p>
    <w:p w14:paraId="3DB7CF1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投资人申购基金份额时，必须全额交付申购款项，投资人全额交付申购款项，申购成立；基金份额登记机构确认基金份额时，申购生效。</w:t>
      </w:r>
    </w:p>
    <w:p w14:paraId="6385A2FF">
      <w:pPr>
        <w:autoSpaceDE w:val="0"/>
        <w:autoSpaceDN w:val="0"/>
        <w:adjustRightInd w:val="0"/>
        <w:spacing w:line="360" w:lineRule="auto"/>
        <w:ind w:firstLine="480" w:firstLineChars="200"/>
        <w:rPr>
          <w:rFonts w:cs="宋体" w:asciiTheme="minorEastAsia" w:hAnsiTheme="minorEastAsia"/>
          <w:kern w:val="0"/>
          <w:sz w:val="24"/>
          <w:szCs w:val="24"/>
        </w:rPr>
      </w:pPr>
      <w:r>
        <w:rPr>
          <w:sz w:val="24"/>
        </w:rPr>
        <w:t>基金份额持有人递交赎回申请，赎回成立；</w:t>
      </w:r>
      <w:r>
        <w:rPr>
          <w:sz w:val="24"/>
          <w:lang w:val="zh-CN"/>
        </w:rPr>
        <w:t>基金份额</w:t>
      </w:r>
      <w:r>
        <w:rPr>
          <w:rFonts w:hint="eastAsia" w:cs="宋体" w:asciiTheme="minorEastAsia" w:hAnsiTheme="minorEastAsia"/>
          <w:kern w:val="0"/>
          <w:sz w:val="24"/>
          <w:szCs w:val="24"/>
        </w:rPr>
        <w:t>登记机构确认赎回时，赎回生效。</w:t>
      </w:r>
    </w:p>
    <w:p w14:paraId="3D85224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投资者的赎回申请生效后，基金管理人将在</w:t>
      </w:r>
      <w:r>
        <w:rPr>
          <w:rFonts w:cs="Times New Roman" w:asciiTheme="minorEastAsia" w:hAnsiTheme="minorEastAsia"/>
          <w:kern w:val="0"/>
          <w:sz w:val="24"/>
          <w:szCs w:val="24"/>
        </w:rPr>
        <w:t>T</w:t>
      </w:r>
      <w:r>
        <w:rPr>
          <w:rFonts w:hint="eastAsia" w:cs="宋体" w:asciiTheme="minorEastAsia" w:hAnsiTheme="minorEastAsia"/>
          <w:kern w:val="0"/>
          <w:sz w:val="24"/>
          <w:szCs w:val="24"/>
        </w:rPr>
        <w:t>＋</w:t>
      </w:r>
      <w:r>
        <w:rPr>
          <w:rFonts w:cs="Times New Roman" w:asciiTheme="minorEastAsia" w:hAnsiTheme="minorEastAsia"/>
          <w:kern w:val="0"/>
          <w:sz w:val="24"/>
          <w:szCs w:val="24"/>
        </w:rPr>
        <w:t>7</w:t>
      </w:r>
      <w:r>
        <w:rPr>
          <w:rFonts w:hint="eastAsia" w:cs="宋体" w:asciiTheme="minorEastAsia" w:hAnsiTheme="minorEastAsia"/>
          <w:kern w:val="0"/>
          <w:sz w:val="24"/>
          <w:szCs w:val="24"/>
        </w:rPr>
        <w:t>日（包括该日）内支付赎回款项。在发生巨额赎回或本基金合同载明的延缓支付赎回款项的情形时，款项的支付办法参照本基金合同有关条款处理。</w:t>
      </w:r>
    </w:p>
    <w:p w14:paraId="6BD4F1A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遇目标ETF的投资市场休市、目标ETF暂停交易或赎回、目标ETF延迟支付赎回对价或延迟交收、交易所或登记机构的交易结算规则发生较大变化、本基金交易所或交易市场数据传输延迟、通讯系统故障、银行数据交换系统故障、港股通交易系统故障、港股通资金交收规则限制或其他非基金管理人及基金托管人所能控制的因素影响业务处理流程，则赎回款项划付时间相应顺延。</w:t>
      </w:r>
    </w:p>
    <w:p w14:paraId="0DB576E5">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、申购和赎回申请的确认</w:t>
      </w:r>
    </w:p>
    <w:p w14:paraId="082E4A8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基金管理人应以交易时间结束前受理有效申购和赎回申请的当天作为申购或赎回申请日（</w:t>
      </w:r>
      <w:r>
        <w:rPr>
          <w:rFonts w:cs="Times New Roman" w:asciiTheme="minorEastAsia" w:hAnsiTheme="minorEastAsia"/>
          <w:kern w:val="0"/>
          <w:sz w:val="24"/>
          <w:szCs w:val="24"/>
        </w:rPr>
        <w:t>T</w:t>
      </w:r>
      <w:r>
        <w:rPr>
          <w:rFonts w:hint="eastAsia" w:cs="宋体" w:asciiTheme="minorEastAsia" w:hAnsiTheme="minorEastAsia"/>
          <w:kern w:val="0"/>
          <w:sz w:val="24"/>
          <w:szCs w:val="24"/>
        </w:rPr>
        <w:t>日），在正常情况下，本基金登记机构在</w:t>
      </w:r>
      <w:r>
        <w:rPr>
          <w:rFonts w:cs="Times New Roman" w:asciiTheme="minorEastAsia" w:hAnsiTheme="minorEastAsia"/>
          <w:kern w:val="0"/>
          <w:sz w:val="24"/>
          <w:szCs w:val="24"/>
        </w:rPr>
        <w:t>T+1</w:t>
      </w:r>
      <w:r>
        <w:rPr>
          <w:rFonts w:hint="eastAsia" w:cs="宋体" w:asciiTheme="minorEastAsia" w:hAnsiTheme="minorEastAsia"/>
          <w:kern w:val="0"/>
          <w:sz w:val="24"/>
          <w:szCs w:val="24"/>
        </w:rPr>
        <w:t>日内对该交易的有效性进行确认。</w:t>
      </w:r>
      <w:r>
        <w:rPr>
          <w:rFonts w:cs="Times New Roman" w:asciiTheme="minorEastAsia" w:hAnsiTheme="minorEastAsia"/>
          <w:kern w:val="0"/>
          <w:sz w:val="24"/>
          <w:szCs w:val="24"/>
        </w:rPr>
        <w:t>T</w:t>
      </w:r>
      <w:r>
        <w:rPr>
          <w:rFonts w:hint="eastAsia" w:cs="宋体" w:asciiTheme="minorEastAsia" w:hAnsiTheme="minorEastAsia"/>
          <w:kern w:val="0"/>
          <w:sz w:val="24"/>
          <w:szCs w:val="24"/>
        </w:rPr>
        <w:t>日提交的有效申请，投资人应在</w:t>
      </w:r>
      <w:r>
        <w:rPr>
          <w:rFonts w:cs="Times New Roman" w:asciiTheme="minorEastAsia" w:hAnsiTheme="minorEastAsia"/>
          <w:kern w:val="0"/>
          <w:sz w:val="24"/>
          <w:szCs w:val="24"/>
        </w:rPr>
        <w:t>T+2</w:t>
      </w:r>
      <w:r>
        <w:rPr>
          <w:rFonts w:hint="eastAsia" w:cs="宋体" w:asciiTheme="minorEastAsia" w:hAnsiTheme="minorEastAsia"/>
          <w:kern w:val="0"/>
          <w:sz w:val="24"/>
          <w:szCs w:val="24"/>
        </w:rPr>
        <w:t>日后（包括该日）及时到销售网点柜台或以销售机构规定的其他方式查询申请的确认情况。若申购不成立或无效，则申购款项本金退还给投资人。</w:t>
      </w:r>
    </w:p>
    <w:p w14:paraId="1B751F7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14:paraId="6B2DCB9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基金管理人可以在法律法规和基金合同允许的范围内，对上述业务办理时间进行调整，并在调整实施前依照《信息披露办法》的有关规定在规定媒介上公告。</w:t>
      </w:r>
    </w:p>
    <w:p w14:paraId="2BD3DAD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五、申购和赎回的数量限制</w:t>
      </w:r>
    </w:p>
    <w:p w14:paraId="3B60394C">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、基金管理人可以规定投资人首次申购和每次申购的最低金额以及每次赎回的最低份额，具体规定请参见招募说明书或相关公告。</w:t>
      </w:r>
    </w:p>
    <w:p w14:paraId="1FA6BC4A">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、基金管理人可以规定投资人每个基金交易账户的最低基金份额余额，具体规定请参见招募说明书或相关公告。</w:t>
      </w:r>
    </w:p>
    <w:p w14:paraId="764689AA">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、基金管理人可以规定单个投资人累计持有的基金份额上限，具体规定请参见招募说明书或相关公告。</w:t>
      </w:r>
    </w:p>
    <w:p w14:paraId="00FDE22A">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5CE2EC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Times New Roman" w:asciiTheme="minorEastAsia" w:hAnsiTheme="minorEastAsia"/>
          <w:kern w:val="0"/>
          <w:sz w:val="24"/>
          <w:szCs w:val="24"/>
        </w:rPr>
        <w:t>5</w:t>
      </w:r>
      <w:r>
        <w:rPr>
          <w:rFonts w:hint="eastAsia" w:cs="宋体" w:asciiTheme="minorEastAsia" w:hAnsiTheme="minorEastAsia"/>
          <w:kern w:val="0"/>
          <w:sz w:val="24"/>
          <w:szCs w:val="24"/>
        </w:rPr>
        <w:t>、基金管理人可在法律法规允许的情况下，调整上述规定申购金额和赎回份额等数量限制。基金管理人必须在调整实施前依照《信息披露办法》的有关规定在规定媒介上公告。</w:t>
      </w:r>
    </w:p>
    <w:p w14:paraId="4EEDAC3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六、申购和赎回的价格、费用及其用途</w:t>
      </w:r>
    </w:p>
    <w:p w14:paraId="56EA09C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本基金各类基金份额净值的计算，均保留到小数点后4位，小数点后第5位四舍五入，由此产生的收益或损失由基金财产承担。T日的各类基金份额净值在当天收市后计算，并按基金合同的约定进行公告。遇特殊情况，经履行适当程序，可以适当延迟计算或公告。</w:t>
      </w:r>
    </w:p>
    <w:p w14:paraId="0BEFD1D2">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14:paraId="0ED4AAE8">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14:paraId="638FB0C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4、本基金A类基金份额的申购费用由申购A类基金份额的投资人承担，不列入基金财产；C类基金份额不收取申购费用。</w:t>
      </w:r>
    </w:p>
    <w:p w14:paraId="42A71648">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5、赎回费用由赎回基金份额的基金份额持有人承担，在基金份额持有人赎回基金份额时收取。赎回费用归入基金财产的比例依</w:t>
      </w:r>
      <w:r>
        <w:rPr>
          <w:rFonts w:hint="eastAsia"/>
          <w:sz w:val="24"/>
        </w:rPr>
        <w:t>照相关法律法规设定，具体</w:t>
      </w:r>
      <w:r>
        <w:rPr>
          <w:rFonts w:asciiTheme="minorEastAsia" w:hAnsiTheme="minorEastAsia"/>
          <w:kern w:val="0"/>
          <w:sz w:val="24"/>
        </w:rPr>
        <w:t>见招募说明书</w:t>
      </w:r>
      <w:r>
        <w:rPr>
          <w:rFonts w:hint="eastAsia"/>
          <w:sz w:val="24"/>
        </w:rPr>
        <w:t>的规定</w:t>
      </w:r>
      <w:r>
        <w:rPr>
          <w:rFonts w:hint="eastAsia" w:cs="Times New Roman" w:asciiTheme="minorEastAsia" w:hAnsiTheme="minorEastAsia"/>
          <w:kern w:val="0"/>
          <w:sz w:val="24"/>
          <w:szCs w:val="24"/>
        </w:rPr>
        <w:t>，未归入基金财产的部分用于支付登记费和其他必要的手续费。其中，对持续持有期少于7日的投资者收取不低于1.5%的赎回费，并全额计入基金财产。</w:t>
      </w:r>
    </w:p>
    <w:p w14:paraId="4500247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04CA222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7、当本基金发生大额申购或赎回情形时，基金管理人可以采用摆动定价机制以确保基金估值的公平性。具体处理原则与操作规范遵循相关法律法规以及监管部门、自律规则的规定。</w:t>
      </w:r>
    </w:p>
    <w:p w14:paraId="4E3AACA2">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8</w:t>
      </w:r>
      <w:r>
        <w:rPr>
          <w:rFonts w:hint="eastAsia" w:cs="Times New Roman" w:asciiTheme="minorEastAsia" w:hAnsiTheme="minorEastAsia"/>
          <w:kern w:val="0"/>
          <w:sz w:val="24"/>
          <w:szCs w:val="24"/>
        </w:rPr>
        <w:t>、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w:t>
      </w:r>
    </w:p>
    <w:p w14:paraId="4D29670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七、拒绝或暂停申购的情形</w:t>
      </w:r>
    </w:p>
    <w:p w14:paraId="21E485A7">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发生下列情况时，</w:t>
      </w:r>
      <w:r>
        <w:rPr>
          <w:rFonts w:hint="eastAsia" w:ascii="Times New Roman" w:hAnsi="Times New Roman" w:eastAsia="宋体" w:cs="Times New Roman"/>
          <w:bCs/>
          <w:sz w:val="24"/>
          <w:szCs w:val="24"/>
        </w:rPr>
        <w:t>基金管理人可拒绝或暂停接受投资人的申购申请</w:t>
      </w:r>
      <w:r>
        <w:rPr>
          <w:rFonts w:ascii="Times New Roman" w:hAnsi="Times New Roman" w:eastAsia="宋体" w:cs="Times New Roman"/>
          <w:bCs/>
          <w:sz w:val="24"/>
          <w:szCs w:val="24"/>
        </w:rPr>
        <w:t>：</w:t>
      </w:r>
    </w:p>
    <w:p w14:paraId="127844A7">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w:t>
      </w:r>
      <w:r>
        <w:rPr>
          <w:rFonts w:hint="eastAsia" w:ascii="Times New Roman" w:hAnsi="Times New Roman" w:eastAsia="宋体" w:cs="Times New Roman"/>
          <w:bCs/>
          <w:sz w:val="24"/>
          <w:szCs w:val="24"/>
        </w:rPr>
        <w:t>、</w:t>
      </w:r>
      <w:r>
        <w:rPr>
          <w:rFonts w:ascii="Times New Roman" w:hAnsi="Times New Roman" w:eastAsia="宋体" w:cs="Times New Roman"/>
          <w:bCs/>
          <w:sz w:val="24"/>
          <w:szCs w:val="24"/>
        </w:rPr>
        <w:t>因不可抗力导致基金无法正常运作。</w:t>
      </w:r>
    </w:p>
    <w:p w14:paraId="1DFE2A47">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、发生基金合同规定的暂停基金资产估值情况时。</w:t>
      </w:r>
    </w:p>
    <w:p w14:paraId="61904DEC">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证券</w:t>
      </w:r>
      <w:r>
        <w:rPr>
          <w:rFonts w:hint="eastAsia" w:ascii="Times New Roman" w:hAnsi="Times New Roman" w:eastAsia="宋体" w:cs="Times New Roman"/>
          <w:bCs/>
          <w:sz w:val="24"/>
          <w:szCs w:val="24"/>
        </w:rPr>
        <w:t>、期货</w:t>
      </w:r>
      <w:r>
        <w:rPr>
          <w:rFonts w:ascii="Times New Roman" w:hAnsi="Times New Roman" w:eastAsia="宋体" w:cs="Times New Roman"/>
          <w:bCs/>
          <w:sz w:val="24"/>
          <w:szCs w:val="24"/>
        </w:rPr>
        <w:t>交易所</w:t>
      </w:r>
      <w:r>
        <w:rPr>
          <w:rFonts w:hint="eastAsia" w:ascii="Times New Roman" w:hAnsi="Times New Roman" w:eastAsia="宋体" w:cs="Times New Roman"/>
          <w:bCs/>
          <w:sz w:val="24"/>
          <w:szCs w:val="24"/>
        </w:rPr>
        <w:t>或外汇市场</w:t>
      </w:r>
      <w:r>
        <w:rPr>
          <w:rFonts w:ascii="Times New Roman" w:hAnsi="Times New Roman" w:eastAsia="宋体" w:cs="Times New Roman"/>
          <w:bCs/>
          <w:sz w:val="24"/>
          <w:szCs w:val="24"/>
        </w:rPr>
        <w:t>交易时间非正常停市，导致基金管理人无法计算当日基金资产净值</w:t>
      </w:r>
      <w:r>
        <w:rPr>
          <w:rFonts w:hint="eastAsia" w:ascii="Times New Roman" w:hAnsi="Times New Roman" w:eastAsia="宋体" w:cs="Times New Roman"/>
          <w:bCs/>
          <w:sz w:val="24"/>
          <w:szCs w:val="24"/>
        </w:rPr>
        <w:t>或无法进行证券交易</w:t>
      </w:r>
      <w:r>
        <w:rPr>
          <w:rFonts w:ascii="Times New Roman" w:hAnsi="Times New Roman" w:eastAsia="宋体" w:cs="Times New Roman"/>
          <w:bCs/>
          <w:sz w:val="24"/>
          <w:szCs w:val="24"/>
        </w:rPr>
        <w:t>。</w:t>
      </w:r>
    </w:p>
    <w:p w14:paraId="6108FA8D">
      <w:pPr>
        <w:spacing w:line="360" w:lineRule="auto"/>
        <w:ind w:firstLine="480" w:firstLineChars="200"/>
        <w:rPr>
          <w:rFonts w:ascii="Times New Roman" w:hAnsi="Times New Roman" w:eastAsia="宋体" w:cs="Times New Roman"/>
          <w:bCs/>
          <w:sz w:val="24"/>
          <w:szCs w:val="24"/>
        </w:rPr>
      </w:pPr>
      <w:bookmarkStart w:id="7" w:name="_Hlt70481650"/>
      <w:bookmarkEnd w:id="7"/>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基金管理人接受某笔或某些申购申请</w:t>
      </w:r>
      <w:r>
        <w:rPr>
          <w:rFonts w:hint="eastAsia" w:ascii="Times New Roman" w:hAnsi="Times New Roman" w:eastAsia="宋体" w:cs="Times New Roman"/>
          <w:bCs/>
          <w:sz w:val="24"/>
          <w:szCs w:val="24"/>
        </w:rPr>
        <w:t>可能</w:t>
      </w:r>
      <w:r>
        <w:rPr>
          <w:rFonts w:ascii="Times New Roman" w:hAnsi="Times New Roman" w:eastAsia="宋体" w:cs="Times New Roman"/>
          <w:bCs/>
          <w:sz w:val="24"/>
          <w:szCs w:val="24"/>
        </w:rPr>
        <w:t>会</w:t>
      </w:r>
      <w:r>
        <w:rPr>
          <w:rFonts w:hint="eastAsia" w:ascii="Times New Roman" w:hAnsi="Times New Roman" w:eastAsia="宋体" w:cs="Times New Roman"/>
          <w:bCs/>
          <w:sz w:val="24"/>
          <w:szCs w:val="24"/>
        </w:rPr>
        <w:t>影响或</w:t>
      </w:r>
      <w:r>
        <w:rPr>
          <w:rFonts w:ascii="Times New Roman" w:hAnsi="Times New Roman" w:eastAsia="宋体" w:cs="Times New Roman"/>
          <w:bCs/>
          <w:sz w:val="24"/>
          <w:szCs w:val="24"/>
        </w:rPr>
        <w:t>损害现有基金份额持有人利益</w:t>
      </w:r>
      <w:r>
        <w:rPr>
          <w:rFonts w:hint="eastAsia" w:ascii="Times New Roman" w:hAnsi="Times New Roman" w:eastAsia="宋体" w:cs="Times New Roman"/>
          <w:bCs/>
          <w:sz w:val="24"/>
          <w:szCs w:val="24"/>
        </w:rPr>
        <w:t>或对存量基金份额持有人利益构成潜在重大不利影响</w:t>
      </w:r>
      <w:r>
        <w:rPr>
          <w:rFonts w:ascii="Times New Roman" w:hAnsi="Times New Roman" w:eastAsia="宋体" w:cs="Times New Roman"/>
          <w:bCs/>
          <w:sz w:val="24"/>
          <w:szCs w:val="24"/>
        </w:rPr>
        <w:t>时。</w:t>
      </w:r>
    </w:p>
    <w:p w14:paraId="1C718C68">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5、</w:t>
      </w:r>
      <w:r>
        <w:rPr>
          <w:rFonts w:ascii="Times New Roman" w:hAnsi="Times New Roman" w:eastAsia="宋体" w:cs="Times New Roman"/>
          <w:bCs/>
          <w:sz w:val="24"/>
          <w:szCs w:val="24"/>
        </w:rPr>
        <w:t>基金资产规模过大，使基金管理人无法找到合适的投资品种，或其他可能对基金业绩产生负面影响，</w:t>
      </w:r>
      <w:r>
        <w:rPr>
          <w:rFonts w:hint="eastAsia" w:ascii="Times New Roman" w:hAnsi="Times New Roman" w:eastAsia="宋体" w:cs="Times New Roman"/>
          <w:bCs/>
          <w:sz w:val="24"/>
          <w:szCs w:val="24"/>
        </w:rPr>
        <w:t>或发生其他</w:t>
      </w:r>
      <w:r>
        <w:rPr>
          <w:rFonts w:ascii="Times New Roman" w:hAnsi="Times New Roman" w:eastAsia="宋体" w:cs="Times New Roman"/>
          <w:bCs/>
          <w:sz w:val="24"/>
          <w:szCs w:val="24"/>
        </w:rPr>
        <w:t>损害现有基金份额持有人利益的情形。</w:t>
      </w:r>
    </w:p>
    <w:p w14:paraId="4CA69066">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6、基金管理人、基金托管人、销售机构或登记机构的技术故障等异常情况导致基金销售系统、基金注册登记系统或基金会计系统无法正常运行。</w:t>
      </w:r>
    </w:p>
    <w:p w14:paraId="38CADDE2">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7、当特定资产占前一估值日基金资产净值50%以上的，经与基金托管人协商确认后，基金管理人应当暂停接受基金申购申请。</w:t>
      </w:r>
    </w:p>
    <w:p w14:paraId="0AE79AD9">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8、所投资的目标ETF暂停估值，导致基金管理人无法计算当日基金资产净值。</w:t>
      </w:r>
    </w:p>
    <w:p w14:paraId="4166D8F6">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9、所投资的目标ETF暂停申购或二级市场交易停牌。</w:t>
      </w:r>
    </w:p>
    <w:p w14:paraId="6CFCC16E">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10、申请超过基金管理人设定的基金总规模、单日净申购比例上限、单一投资者单日或单笔申购金额上限。</w:t>
      </w:r>
    </w:p>
    <w:p w14:paraId="1A253B40">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11、</w:t>
      </w:r>
      <w:r>
        <w:rPr>
          <w:rFonts w:ascii="Times New Roman" w:hAnsi="Times New Roman" w:eastAsia="宋体" w:cs="Times New Roman"/>
          <w:bCs/>
          <w:sz w:val="24"/>
          <w:szCs w:val="24"/>
        </w:rPr>
        <w:t>法律法规规定或中国证监会认定的其他情形。</w:t>
      </w:r>
    </w:p>
    <w:p w14:paraId="1877FCF6">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发生上述第1、2、</w:t>
      </w: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、5</w:t>
      </w:r>
      <w:r>
        <w:rPr>
          <w:rFonts w:hint="eastAsia" w:ascii="Times New Roman" w:hAnsi="Times New Roman" w:eastAsia="宋体" w:cs="Times New Roman"/>
          <w:bCs/>
          <w:sz w:val="24"/>
          <w:szCs w:val="24"/>
        </w:rPr>
        <w:t>、6、</w:t>
      </w:r>
      <w:r>
        <w:rPr>
          <w:rFonts w:ascii="Times New Roman" w:hAnsi="Times New Roman" w:eastAsia="宋体" w:cs="Times New Roman"/>
          <w:bCs/>
          <w:sz w:val="24"/>
          <w:szCs w:val="24"/>
        </w:rPr>
        <w:t>7</w:t>
      </w:r>
      <w:r>
        <w:rPr>
          <w:rFonts w:hint="eastAsia" w:ascii="Times New Roman" w:hAnsi="Times New Roman" w:eastAsia="宋体" w:cs="Times New Roman"/>
          <w:bCs/>
          <w:sz w:val="24"/>
          <w:szCs w:val="24"/>
        </w:rPr>
        <w:t>、8、9、11</w:t>
      </w:r>
      <w:r>
        <w:rPr>
          <w:rFonts w:ascii="Times New Roman" w:hAnsi="Times New Roman" w:eastAsia="宋体" w:cs="Times New Roman"/>
          <w:bCs/>
          <w:sz w:val="24"/>
          <w:szCs w:val="24"/>
        </w:rPr>
        <w:t>项暂停申购情形</w:t>
      </w:r>
      <w:r>
        <w:rPr>
          <w:rFonts w:hint="eastAsia" w:ascii="Times New Roman" w:hAnsi="Times New Roman" w:eastAsia="宋体" w:cs="Times New Roman"/>
          <w:bCs/>
          <w:sz w:val="24"/>
          <w:szCs w:val="24"/>
        </w:rPr>
        <w:t>之一且基金管理人决定暂停接受投资人的申购申请</w:t>
      </w:r>
      <w:r>
        <w:rPr>
          <w:rFonts w:ascii="Times New Roman" w:hAnsi="Times New Roman" w:eastAsia="宋体" w:cs="Times New Roman"/>
          <w:bCs/>
          <w:sz w:val="24"/>
          <w:szCs w:val="24"/>
        </w:rPr>
        <w:t>时，基金管理人应当根据有关规定在规定媒介上刊登暂停申购公告。如果投资人的申购申请被全部或部分拒绝，被拒绝的申购款项</w:t>
      </w:r>
      <w:r>
        <w:rPr>
          <w:rFonts w:hint="eastAsia" w:ascii="Times New Roman" w:hAnsi="Times New Roman" w:eastAsia="宋体" w:cs="Times New Roman"/>
          <w:bCs/>
          <w:sz w:val="24"/>
          <w:szCs w:val="24"/>
        </w:rPr>
        <w:t>本金</w:t>
      </w:r>
      <w:r>
        <w:rPr>
          <w:rFonts w:ascii="Times New Roman" w:hAnsi="Times New Roman" w:eastAsia="宋体" w:cs="Times New Roman"/>
          <w:bCs/>
          <w:sz w:val="24"/>
          <w:szCs w:val="24"/>
        </w:rPr>
        <w:t>将退还给投资人。在暂停申购的情况消除时，基金管理人应及时恢复申购业务的办理。</w:t>
      </w:r>
    </w:p>
    <w:p w14:paraId="3830B03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八、暂停赎回或延缓支付赎回款项的情形</w:t>
      </w:r>
    </w:p>
    <w:p w14:paraId="040FD819">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发生下列情形时，基金管理人可暂停接受投资人的赎回申请或延缓支付赎回款项：</w:t>
      </w:r>
    </w:p>
    <w:p w14:paraId="6F81E2B7">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w:t>
      </w:r>
      <w:r>
        <w:rPr>
          <w:rFonts w:hint="eastAsia" w:ascii="Times New Roman" w:hAnsi="Times New Roman" w:eastAsia="宋体" w:cs="Times New Roman"/>
          <w:bCs/>
          <w:sz w:val="24"/>
          <w:szCs w:val="24"/>
        </w:rPr>
        <w:t>、</w:t>
      </w:r>
      <w:r>
        <w:rPr>
          <w:rFonts w:ascii="Times New Roman" w:hAnsi="Times New Roman" w:eastAsia="宋体" w:cs="Times New Roman"/>
          <w:bCs/>
          <w:sz w:val="24"/>
          <w:szCs w:val="24"/>
        </w:rPr>
        <w:t>因不可抗力导致基金管理人不能支付赎回款项。</w:t>
      </w:r>
    </w:p>
    <w:p w14:paraId="4B8CF8AF">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、发生基金合同规定的暂停基金资产估值情况时。</w:t>
      </w:r>
    </w:p>
    <w:p w14:paraId="3F9C847A">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证券</w:t>
      </w:r>
      <w:r>
        <w:rPr>
          <w:rFonts w:hint="eastAsia" w:ascii="Times New Roman" w:hAnsi="Times New Roman" w:eastAsia="宋体" w:cs="Times New Roman"/>
          <w:bCs/>
          <w:sz w:val="24"/>
          <w:szCs w:val="24"/>
        </w:rPr>
        <w:t>、期货</w:t>
      </w:r>
      <w:r>
        <w:rPr>
          <w:rFonts w:ascii="Times New Roman" w:hAnsi="Times New Roman" w:eastAsia="宋体" w:cs="Times New Roman"/>
          <w:bCs/>
          <w:sz w:val="24"/>
          <w:szCs w:val="24"/>
        </w:rPr>
        <w:t>交易所</w:t>
      </w:r>
      <w:r>
        <w:rPr>
          <w:rFonts w:hint="eastAsia" w:ascii="Times New Roman" w:hAnsi="Times New Roman" w:eastAsia="宋体" w:cs="Times New Roman"/>
          <w:bCs/>
          <w:sz w:val="24"/>
          <w:szCs w:val="24"/>
        </w:rPr>
        <w:t>或外汇市场</w:t>
      </w:r>
      <w:r>
        <w:rPr>
          <w:rFonts w:ascii="Times New Roman" w:hAnsi="Times New Roman" w:eastAsia="宋体" w:cs="Times New Roman"/>
          <w:bCs/>
          <w:sz w:val="24"/>
          <w:szCs w:val="24"/>
        </w:rPr>
        <w:t>交易时间非正常停市，导致基金管理人无法计算当日基金资产</w:t>
      </w:r>
      <w:bookmarkStart w:id="8" w:name="_Hlt152500890"/>
      <w:r>
        <w:rPr>
          <w:rFonts w:ascii="Times New Roman" w:hAnsi="Times New Roman" w:eastAsia="宋体" w:cs="Times New Roman"/>
          <w:bCs/>
          <w:sz w:val="24"/>
          <w:szCs w:val="24"/>
        </w:rPr>
        <w:t>净值。</w:t>
      </w:r>
    </w:p>
    <w:p w14:paraId="0B0CB09B">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连续两个或两个以上开放日发生巨额赎回。</w:t>
      </w:r>
    </w:p>
    <w:bookmarkEnd w:id="8"/>
    <w:p w14:paraId="00AED1E2">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5、所投资的目标ETF暂停估值，导致基金管理人无法计算当日基金资产净值。</w:t>
      </w:r>
    </w:p>
    <w:p w14:paraId="34D1E95B">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6、所投资的目标ETF暂停赎回、延缓支付赎回对价或二级市场交易停牌。</w:t>
      </w:r>
    </w:p>
    <w:p w14:paraId="3E34732F">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7、发生继续接受赎回申请将损害</w:t>
      </w:r>
      <w:r>
        <w:rPr>
          <w:rFonts w:ascii="Times New Roman" w:hAnsi="Times New Roman" w:eastAsia="宋体" w:cs="Times New Roman"/>
          <w:bCs/>
          <w:sz w:val="24"/>
          <w:szCs w:val="24"/>
        </w:rPr>
        <w:t>现有基金份额持有人利益的情形</w:t>
      </w:r>
      <w:r>
        <w:rPr>
          <w:rFonts w:hint="eastAsia" w:ascii="Times New Roman" w:hAnsi="Times New Roman" w:eastAsia="宋体" w:cs="Times New Roman"/>
          <w:bCs/>
          <w:sz w:val="24"/>
          <w:szCs w:val="24"/>
        </w:rPr>
        <w:t>时，基金管理人可暂停接受基金份额持有人的赎回申请。</w:t>
      </w:r>
    </w:p>
    <w:p w14:paraId="7D5127CD">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8、当特定资产占前一估值日基金资产净值50%以上的，经与基金托管人协商确认后，基金管理人应当延缓支付赎回款项或暂停接受基金赎回申请。</w:t>
      </w:r>
    </w:p>
    <w:p w14:paraId="0CEFFA2A">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9、</w:t>
      </w:r>
      <w:r>
        <w:rPr>
          <w:rFonts w:ascii="Times New Roman" w:hAnsi="Times New Roman" w:eastAsia="宋体" w:cs="Times New Roman"/>
          <w:bCs/>
          <w:sz w:val="24"/>
          <w:szCs w:val="24"/>
        </w:rPr>
        <w:t>法律法规规定或中国证监会认定的其他情形。</w:t>
      </w:r>
    </w:p>
    <w:p w14:paraId="51926A44">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发生上述情形</w:t>
      </w:r>
      <w:r>
        <w:rPr>
          <w:rFonts w:hint="eastAsia" w:ascii="Times New Roman" w:hAnsi="Times New Roman" w:eastAsia="宋体" w:cs="Times New Roman"/>
          <w:bCs/>
          <w:sz w:val="24"/>
          <w:szCs w:val="24"/>
        </w:rPr>
        <w:t>之一（第4项除外）且基金管理人决定暂停赎回或延缓支付赎回款项</w:t>
      </w:r>
      <w:r>
        <w:rPr>
          <w:rFonts w:ascii="Times New Roman" w:hAnsi="Times New Roman" w:eastAsia="宋体" w:cs="Times New Roman"/>
          <w:bCs/>
          <w:sz w:val="24"/>
          <w:szCs w:val="24"/>
        </w:rPr>
        <w:t>时，基金管理人应</w:t>
      </w:r>
      <w:r>
        <w:rPr>
          <w:rFonts w:hint="eastAsia" w:ascii="Times New Roman" w:hAnsi="Times New Roman" w:eastAsia="宋体" w:cs="Times New Roman"/>
          <w:bCs/>
          <w:sz w:val="24"/>
          <w:szCs w:val="24"/>
        </w:rPr>
        <w:t>按规定</w:t>
      </w:r>
      <w:r>
        <w:rPr>
          <w:rFonts w:ascii="Times New Roman" w:hAnsi="Times New Roman" w:eastAsia="宋体" w:cs="Times New Roman"/>
          <w:bCs/>
          <w:sz w:val="24"/>
          <w:szCs w:val="24"/>
        </w:rPr>
        <w:t>报中国证监会备案，已确认的赎回申请，基金管理人应足额支付；如暂时不能足额支付，未支付部分可延期支付。若出现上述第</w:t>
      </w:r>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项所述情形，按基金合同的相关条款处理。基金份额持有人在申请赎回时可事先选择将当日可能未获受理部分予以撤销。在暂停赎回的情况消除时，基金管理人应及时恢复赎回业务的办理并公告。</w:t>
      </w:r>
    </w:p>
    <w:p w14:paraId="2D9E2E4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九、巨额赎回的情形及处理方式</w:t>
      </w:r>
    </w:p>
    <w:p w14:paraId="25109117">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、巨额赎回的认定</w:t>
      </w:r>
    </w:p>
    <w:p w14:paraId="3C4E447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cs="Times New Roman" w:asciiTheme="minorEastAsia" w:hAnsiTheme="minorEastAsia"/>
          <w:kern w:val="0"/>
          <w:sz w:val="24"/>
          <w:szCs w:val="24"/>
        </w:rPr>
        <w:t>10%</w:t>
      </w:r>
      <w:r>
        <w:rPr>
          <w:rFonts w:hint="eastAsia" w:cs="宋体" w:asciiTheme="minorEastAsia" w:hAnsiTheme="minorEastAsia"/>
          <w:kern w:val="0"/>
          <w:sz w:val="24"/>
          <w:szCs w:val="24"/>
        </w:rPr>
        <w:t>，即认为是发生了巨额赎回。</w:t>
      </w:r>
    </w:p>
    <w:p w14:paraId="2E84856A">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、巨额赎回的处理方式</w:t>
      </w:r>
    </w:p>
    <w:p w14:paraId="1ED934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当基金出现巨额赎回时，基金管理人可以根据基金当时的资产组合状况决定全额赎回、部分延期赎回或暂停赎回。</w:t>
      </w:r>
    </w:p>
    <w:p w14:paraId="4B2096F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w:t>
      </w:r>
      <w:r>
        <w:rPr>
          <w:rFonts w:cs="Times New Roman" w:asciiTheme="minorEastAsia" w:hAnsiTheme="minorEastAsia"/>
          <w:kern w:val="0"/>
          <w:sz w:val="24"/>
          <w:szCs w:val="24"/>
        </w:rPr>
        <w:t>1</w:t>
      </w:r>
      <w:r>
        <w:rPr>
          <w:rFonts w:hint="eastAsia" w:cs="宋体" w:asciiTheme="minorEastAsia" w:hAnsiTheme="minorEastAsia"/>
          <w:kern w:val="0"/>
          <w:sz w:val="24"/>
          <w:szCs w:val="24"/>
        </w:rPr>
        <w:t>）全额赎回：当基金管理人认为有能力支付投资人的全部赎回申请时，按正常赎回程序执行。</w:t>
      </w:r>
    </w:p>
    <w:p w14:paraId="6B95744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w:t>
      </w:r>
      <w:r>
        <w:rPr>
          <w:rFonts w:cs="Times New Roman" w:asciiTheme="minorEastAsia" w:hAnsiTheme="minorEastAsia"/>
          <w:kern w:val="0"/>
          <w:sz w:val="24"/>
          <w:szCs w:val="24"/>
        </w:rPr>
        <w:t>2</w:t>
      </w:r>
      <w:r>
        <w:rPr>
          <w:rFonts w:hint="eastAsia" w:cs="宋体" w:asciiTheme="minorEastAsia" w:hAnsiTheme="minorEastAsia"/>
          <w:kern w:val="0"/>
          <w:sz w:val="24"/>
          <w:szCs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cs="Times New Roman" w:asciiTheme="minorEastAsia" w:hAnsiTheme="minorEastAsia"/>
          <w:kern w:val="0"/>
          <w:sz w:val="24"/>
          <w:szCs w:val="24"/>
        </w:rPr>
        <w:t>10%</w:t>
      </w:r>
      <w:r>
        <w:rPr>
          <w:rFonts w:hint="eastAsia" w:cs="宋体" w:asciiTheme="minorEastAsia" w:hAnsiTheme="minorEastAsia"/>
          <w:kern w:val="0"/>
          <w:sz w:val="24"/>
          <w:szCs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233E38D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287976B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w:t>
      </w:r>
      <w:r>
        <w:rPr>
          <w:rFonts w:hint="eastAsia" w:cs="Times New Roman" w:asciiTheme="minorEastAsia" w:hAnsiTheme="minorEastAsia"/>
          <w:kern w:val="0"/>
          <w:sz w:val="24"/>
          <w:szCs w:val="24"/>
        </w:rPr>
        <w:t>4</w:t>
      </w:r>
      <w:r>
        <w:rPr>
          <w:rFonts w:hint="eastAsia" w:cs="宋体" w:asciiTheme="minorEastAsia" w:hAnsiTheme="minorEastAsia"/>
          <w:kern w:val="0"/>
          <w:sz w:val="24"/>
          <w:szCs w:val="24"/>
        </w:rPr>
        <w:t>）暂停赎回：连续</w:t>
      </w:r>
      <w:r>
        <w:rPr>
          <w:rFonts w:cs="Times New Roman" w:asciiTheme="minorEastAsia" w:hAnsiTheme="minorEastAsia"/>
          <w:kern w:val="0"/>
          <w:sz w:val="24"/>
          <w:szCs w:val="24"/>
        </w:rPr>
        <w:t>2</w:t>
      </w:r>
      <w:r>
        <w:rPr>
          <w:rFonts w:hint="eastAsia" w:cs="宋体" w:asciiTheme="minorEastAsia" w:hAnsiTheme="minorEastAsia"/>
          <w:kern w:val="0"/>
          <w:sz w:val="24"/>
          <w:szCs w:val="24"/>
        </w:rPr>
        <w:t>个开放日以上（含</w:t>
      </w:r>
      <w:r>
        <w:rPr>
          <w:rFonts w:cs="Times New Roman" w:asciiTheme="minorEastAsia" w:hAnsiTheme="minorEastAsia"/>
          <w:kern w:val="0"/>
          <w:sz w:val="24"/>
          <w:szCs w:val="24"/>
        </w:rPr>
        <w:t>2</w:t>
      </w:r>
      <w:r>
        <w:rPr>
          <w:rFonts w:hint="eastAsia" w:cs="宋体" w:asciiTheme="minorEastAsia" w:hAnsiTheme="minorEastAsia"/>
          <w:kern w:val="0"/>
          <w:sz w:val="24"/>
          <w:szCs w:val="24"/>
        </w:rPr>
        <w:t>个开放日）发生巨额赎回，如基金管理人认为有必要，可暂停接受基金的赎回申请；已经接受的赎回申请可以延缓支付赎回款项，但不得超过</w:t>
      </w:r>
      <w:r>
        <w:rPr>
          <w:rFonts w:cs="Times New Roman" w:asciiTheme="minorEastAsia" w:hAnsiTheme="minorEastAsia"/>
          <w:kern w:val="0"/>
          <w:sz w:val="24"/>
          <w:szCs w:val="24"/>
        </w:rPr>
        <w:t>20</w:t>
      </w:r>
      <w:r>
        <w:rPr>
          <w:rFonts w:hint="eastAsia" w:cs="宋体" w:asciiTheme="minorEastAsia" w:hAnsiTheme="minorEastAsia"/>
          <w:kern w:val="0"/>
          <w:sz w:val="24"/>
          <w:szCs w:val="24"/>
        </w:rPr>
        <w:t>个工作日，并应当在规定媒介上进行公告。</w:t>
      </w:r>
    </w:p>
    <w:p w14:paraId="7BBE8A08">
      <w:pPr>
        <w:autoSpaceDE w:val="0"/>
        <w:autoSpaceDN w:val="0"/>
        <w:adjustRightInd w:val="0"/>
        <w:spacing w:line="360" w:lineRule="auto"/>
        <w:ind w:firstLine="480" w:firstLineChars="200"/>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、巨额赎回的公告</w:t>
      </w:r>
    </w:p>
    <w:p w14:paraId="0AFD995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当发生上述巨额赎回并延期办理时，基金管理人应当通过邮寄、传真或者招募说明书规定的其他方式在</w:t>
      </w:r>
      <w:r>
        <w:rPr>
          <w:rFonts w:cs="Times New Roman" w:asciiTheme="minorEastAsia" w:hAnsiTheme="minorEastAsia"/>
          <w:kern w:val="0"/>
          <w:sz w:val="24"/>
          <w:szCs w:val="24"/>
        </w:rPr>
        <w:t>3</w:t>
      </w:r>
      <w:r>
        <w:rPr>
          <w:rFonts w:hint="eastAsia" w:cs="宋体" w:asciiTheme="minorEastAsia" w:hAnsiTheme="minorEastAsia"/>
          <w:kern w:val="0"/>
          <w:sz w:val="24"/>
          <w:szCs w:val="24"/>
        </w:rPr>
        <w:t>个交易日内通知基金份额持有人，说明有关处理方法，并在2日内在规定媒介上刊登公告。</w:t>
      </w:r>
    </w:p>
    <w:p w14:paraId="4FF4217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十、暂停申购或赎回的公告和重新开放申购或赎回的公告</w:t>
      </w:r>
    </w:p>
    <w:p w14:paraId="5CF47B35">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、发生上述暂停申购或赎回情况的，基金管理人应在规定期限内在规定媒介上刊登暂停公告。</w:t>
      </w:r>
    </w:p>
    <w:p w14:paraId="66EBC03C">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6126823D">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3、上述暂停申购或赎回情况消除的，基金管理人应于重新开放日公布最近1个开放日各类基金份额净值。</w:t>
      </w:r>
    </w:p>
    <w:p w14:paraId="331B2AD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十一、基金转换</w:t>
      </w:r>
    </w:p>
    <w:p w14:paraId="34D17634">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3F9C7FCE">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十二、基金份额的转让</w:t>
      </w:r>
    </w:p>
    <w:p w14:paraId="566E3BC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EAFDCD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十三、基金的非交易过户</w:t>
      </w:r>
    </w:p>
    <w:p w14:paraId="601FC2AC">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3523433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12BB7B3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十四、基金的转托管</w:t>
      </w:r>
    </w:p>
    <w:p w14:paraId="2073FB6F">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基金份额持有人可办理已持有基金份额在不同销售机构之间的转托管，基金销售机构可以按照规定的标准收取转托管费。</w:t>
      </w:r>
    </w:p>
    <w:p w14:paraId="54106D0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十五、定期定额投资计划</w:t>
      </w:r>
    </w:p>
    <w:p w14:paraId="47E4E6C5">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1386406F">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十六、基金份额的冻结、解冻与质押</w:t>
      </w:r>
    </w:p>
    <w:p w14:paraId="0458CF32">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1BC25B5E">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对基金份额持有人无实质不利影响的前提下，如相关法律法规允许，基金管理人履行相关程序后可办理基金份额的质押业务或其他基金业务，基金管理人将制定和实施相应的业务规则。</w:t>
      </w:r>
    </w:p>
    <w:p w14:paraId="27CA40D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十七、实施侧袋机制期间本基金的申购与赎回</w:t>
      </w:r>
    </w:p>
    <w:p w14:paraId="632D22A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本基金实施侧袋机制的，本基金的申购和赎回安排详见招募说明书或相关公告。</w:t>
      </w:r>
    </w:p>
    <w:p w14:paraId="394D7B3E">
      <w:pPr>
        <w:widowControl/>
        <w:ind w:firstLine="200"/>
        <w:rPr>
          <w:rFonts w:cs="宋体" w:asciiTheme="minorEastAsia" w:hAnsiTheme="minorEastAsia"/>
          <w:kern w:val="0"/>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14:paraId="1081ABDF">
      <w:pPr>
        <w:pStyle w:val="2"/>
        <w:spacing w:before="0" w:after="0" w:line="360" w:lineRule="auto"/>
        <w:ind w:firstLine="602" w:firstLineChars="200"/>
        <w:jc w:val="center"/>
        <w:rPr>
          <w:rFonts w:ascii="Times New Roman" w:hAnsi="Times New Roman"/>
          <w:kern w:val="0"/>
          <w:sz w:val="30"/>
          <w:lang w:val="zh-CN"/>
        </w:rPr>
      </w:pPr>
      <w:bookmarkStart w:id="9" w:name="_Toc471235844"/>
      <w:r>
        <w:rPr>
          <w:rFonts w:hint="eastAsia" w:ascii="Times New Roman" w:hAnsi="Times New Roman"/>
          <w:kern w:val="0"/>
          <w:sz w:val="30"/>
          <w:lang w:val="zh-CN"/>
        </w:rPr>
        <w:t>第七部分</w:t>
      </w:r>
      <w:r>
        <w:rPr>
          <w:rFonts w:ascii="Times New Roman" w:hAnsi="Times New Roman"/>
          <w:kern w:val="0"/>
          <w:sz w:val="30"/>
          <w:lang w:val="zh-CN"/>
        </w:rPr>
        <w:t xml:space="preserve"> </w:t>
      </w:r>
      <w:r>
        <w:rPr>
          <w:rFonts w:hint="eastAsia" w:ascii="Times New Roman" w:hAnsi="Times New Roman"/>
          <w:kern w:val="0"/>
          <w:sz w:val="30"/>
          <w:lang w:val="zh-CN"/>
        </w:rPr>
        <w:t>基金合同当事人及权利义务</w:t>
      </w:r>
      <w:bookmarkEnd w:id="9"/>
    </w:p>
    <w:p w14:paraId="1A482F8D">
      <w:pPr>
        <w:autoSpaceDE w:val="0"/>
        <w:autoSpaceDN w:val="0"/>
        <w:adjustRightInd w:val="0"/>
        <w:spacing w:line="360" w:lineRule="auto"/>
        <w:ind w:firstLine="480" w:firstLineChars="200"/>
        <w:rPr>
          <w:rFonts w:cs="宋体" w:asciiTheme="minorEastAsia" w:hAnsiTheme="minorEastAsia"/>
          <w:kern w:val="0"/>
          <w:sz w:val="24"/>
          <w:szCs w:val="24"/>
        </w:rPr>
      </w:pPr>
    </w:p>
    <w:p w14:paraId="51B0F8C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一、基金管理人</w:t>
      </w:r>
    </w:p>
    <w:p w14:paraId="44A304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基金管理人简况</w:t>
      </w:r>
    </w:p>
    <w:p w14:paraId="7CDD298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名称：博时基金管理有限公司</w:t>
      </w:r>
    </w:p>
    <w:p w14:paraId="608E560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住所：深圳市福田区莲花街道福新社区益田路5999号基金大厦21层</w:t>
      </w:r>
    </w:p>
    <w:p w14:paraId="57D9C2E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法定代表人：张东</w:t>
      </w:r>
    </w:p>
    <w:p w14:paraId="62B3C59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设立日期： 1998年7月13日</w:t>
      </w:r>
    </w:p>
    <w:p w14:paraId="381EE12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批准设立机关及批准设立文号：中国证监会证监基字【1998】26号</w:t>
      </w:r>
    </w:p>
    <w:p w14:paraId="0DFCDBF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组织形式：有限责任公司</w:t>
      </w:r>
    </w:p>
    <w:p w14:paraId="5A8571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注册资本： 2.5亿元人民币</w:t>
      </w:r>
    </w:p>
    <w:p w14:paraId="42D735F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存续期限： 持续经营</w:t>
      </w:r>
    </w:p>
    <w:p w14:paraId="0D9F4DC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联系电话：0755-83169999</w:t>
      </w:r>
    </w:p>
    <w:p w14:paraId="15AD268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基金管理人的权利与义务</w:t>
      </w:r>
    </w:p>
    <w:p w14:paraId="54A4DFC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1、根据《基金法》、《运作办法》及其他有关规定，基金管理人的权利包括但不限于：</w:t>
      </w:r>
    </w:p>
    <w:p w14:paraId="0E32069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（1）依法募集资金；</w:t>
      </w:r>
    </w:p>
    <w:p w14:paraId="328AF1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（2）自《基金合同》生效之日起，根据法律法规和《基金合同》独立运用并管理基金财产；</w:t>
      </w:r>
    </w:p>
    <w:p w14:paraId="2D50DE1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（3）依照《基金合同》收取基金管理费以及法律法规规定或中国证监会批准的其他费用；</w:t>
      </w:r>
    </w:p>
    <w:p w14:paraId="0487B45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（4）销售基金份额；</w:t>
      </w:r>
    </w:p>
    <w:p w14:paraId="4887DD6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（5）按照规定召集基金份额持有人大会；</w:t>
      </w:r>
    </w:p>
    <w:p w14:paraId="39DFDA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48E96EB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（7）在基金托管人更换时，提名新的基金托管人；</w:t>
      </w:r>
    </w:p>
    <w:p w14:paraId="01D30F4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（8）选择、更换基金销售机构，对基金销售机构的相关行为进行监督和处理； </w:t>
      </w:r>
    </w:p>
    <w:p w14:paraId="354D955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（9）担任或委托其他符合条件的机构担任基金登记机构办理基金登记业务并获得《基金合同》规定的费用； </w:t>
      </w:r>
    </w:p>
    <w:p w14:paraId="4AD7624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（10）依据《基金合同》及有关法律规定决定基金收益的分配方案；</w:t>
      </w:r>
      <w:r>
        <w:rPr>
          <w:rFonts w:hint="eastAsia" w:cs="宋体" w:asciiTheme="minorEastAsia" w:hAnsiTheme="minorEastAsia"/>
          <w:kern w:val="0"/>
          <w:sz w:val="24"/>
          <w:szCs w:val="24"/>
        </w:rPr>
        <w:tab/>
      </w:r>
    </w:p>
    <w:p w14:paraId="194CBDF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（11）在《基金合同》约定的范围内，拒绝或暂停受理申购、赎回与转换申请； </w:t>
      </w:r>
    </w:p>
    <w:p w14:paraId="77CF38E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（12）依照法律法规为基金的利益对被投资公司行使股东权利，为基金的利益行使因基金财产投资于证券所产生的权利；</w:t>
      </w:r>
    </w:p>
    <w:p w14:paraId="4A4CC7F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（13）在法律法规允许的前提下，为基金的利益依法为基金进行融资及转融通证券出借业务；</w:t>
      </w:r>
    </w:p>
    <w:p w14:paraId="7EF472C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（14）以基金管理人的名义，代表基金份额持有人的利益行使诉讼权利或者实施其他法律行为；</w:t>
      </w:r>
    </w:p>
    <w:p w14:paraId="4C5F400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（15）选择、更换律师事务所、会计师事务所、证券、期货经纪商或其他为基金提供服务的外部机构；</w:t>
      </w:r>
    </w:p>
    <w:p w14:paraId="4B75CEE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（16）在符合有关法律、法规的前提下，制订和调整有关基金申购、赎回、转换、定期定额投资和非交易过户等业务规则；</w:t>
      </w:r>
    </w:p>
    <w:p w14:paraId="4286F91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（17）代表基金份额持有人的利益行使因基金财产投资于目标ETF所产生的权利，基金合同另有约定的除外；</w:t>
      </w:r>
    </w:p>
    <w:p w14:paraId="193728F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（18）法律法规及中国证监会规定的和《基金合同》约定的其他权利。</w:t>
      </w:r>
    </w:p>
    <w:p w14:paraId="69FE0C3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2、根据《基金法》、《运作办法》及其他有关规定，基金管理人的义务包括但不限于：</w:t>
      </w:r>
    </w:p>
    <w:p w14:paraId="394853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（1）依法募集资金，办理或者委托经中国证监会认定的其他机构代为办理基金份额的申购、赎回和登记事宜；</w:t>
      </w:r>
    </w:p>
    <w:p w14:paraId="517B17E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（2）办理基金备案手续；</w:t>
      </w:r>
    </w:p>
    <w:p w14:paraId="39BC1E8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（3）自《基金合同》生效之日起，以诚实信用、谨慎勤勉的原则管理和运用基金财产；</w:t>
      </w:r>
    </w:p>
    <w:p w14:paraId="51A034C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（4）配备足够的具有专业资格的人员进行基金投资分析、决策，以专业化的经营方式管理和运作基金财产；</w:t>
      </w:r>
    </w:p>
    <w:p w14:paraId="4188D50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1DAD262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（6）除依据《基金法》、《基金合同》及其他有关规定外，不得利用基金财产为自己及任何第三人谋取利益，不得委托第三人运作基金财产；</w:t>
      </w:r>
    </w:p>
    <w:p w14:paraId="0ADD357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（7）依法接受基金托管人的监督；</w:t>
      </w:r>
    </w:p>
    <w:p w14:paraId="79045D1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（8）采取适当合理的措施使计算基金份额申购、赎回和注销价格的方法符合《基金合同》等法律文件的规定，按有关规定计算并公告基金净值信息，确定基金份额申购、赎回的价格；</w:t>
      </w:r>
    </w:p>
    <w:p w14:paraId="4175A9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（9）进行基金会计核算并编制基金财务会计报告；</w:t>
      </w:r>
    </w:p>
    <w:p w14:paraId="1B981B6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（10）编制季度报告、中期报告和年度报告；</w:t>
      </w:r>
    </w:p>
    <w:p w14:paraId="7FDA9D8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（11）严格按照《基金法》、《基金合同》及其他有关规定，履行信息披露及报告义务；</w:t>
      </w:r>
    </w:p>
    <w:p w14:paraId="390B5D0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4D99D9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（13）按《基金合同》的约定确定基金收益分配方案，及时向基金份额持有人分配基金收益；</w:t>
      </w:r>
    </w:p>
    <w:p w14:paraId="169A60F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（14）按规定受理申购与赎回申请，及时、足额支付赎回款项；</w:t>
      </w:r>
    </w:p>
    <w:p w14:paraId="74506EA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（15）依据《基金法》、《基金合同》及其他有关规定召集基金份额持有人大会或配合基金托管人、基金份额持有人依法召集基金份额持有人大会；</w:t>
      </w:r>
    </w:p>
    <w:p w14:paraId="6DA1DAE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（16）按规定保存基金财产管理业务活动的会计账册、报表、记录和其他相关资料，保存期限不低于法律法规规定的最低期限；</w:t>
      </w:r>
    </w:p>
    <w:p w14:paraId="55AF49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37BDF6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（18）组织并参加基金财产清算小组，参与基金财产的保管、清理、估价、变现和分配；</w:t>
      </w:r>
    </w:p>
    <w:p w14:paraId="3C5661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（19）面临解散、依法被撤销或者被依法宣告破产时，及时报告中国证监会并通知基金托管人；</w:t>
      </w:r>
    </w:p>
    <w:p w14:paraId="52486F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（20）因违反《基金合同》导致基金财产的损失或损害基金份额持有人合法权益时，应当承担赔偿责任，其赔偿责任不因其退任而免除；</w:t>
      </w:r>
    </w:p>
    <w:p w14:paraId="6CDCB54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（21）监督基金托管人按法律法规和《基金合同》规定履行自己的义务，基金托管人违反《基金合同》造成基金财产损失时，基金管理人应为基金份额持有人利益向基金托管人追偿；</w:t>
      </w:r>
    </w:p>
    <w:p w14:paraId="44A4122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（22）当基金管理人将其义务委托第三方处理时，应当对第三方处理有关基金事务的行为承担责任；</w:t>
      </w:r>
    </w:p>
    <w:p w14:paraId="1B5F284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（23）以基金管理人名义，代表基金份额持有人利益行使诉讼权利或实施其他法律行为；</w:t>
      </w:r>
      <w:r>
        <w:rPr>
          <w:rFonts w:hint="eastAsia" w:cs="宋体" w:asciiTheme="minorEastAsia" w:hAnsiTheme="minorEastAsia"/>
          <w:kern w:val="0"/>
          <w:sz w:val="24"/>
          <w:szCs w:val="24"/>
        </w:rPr>
        <w:tab/>
      </w:r>
    </w:p>
    <w:p w14:paraId="622270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（24）执行生效的基金份额持有人大会的决议；</w:t>
      </w:r>
    </w:p>
    <w:p w14:paraId="021DA98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（25）建立并保存基金份额持有人名册；</w:t>
      </w:r>
    </w:p>
    <w:p w14:paraId="351F06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（26）法律法规及中国证监会规定的和《基金合同》约定的其他义务。</w:t>
      </w:r>
    </w:p>
    <w:p w14:paraId="37728C7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二、基金托管人</w:t>
      </w:r>
    </w:p>
    <w:p w14:paraId="51BCA4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基金托管人简况</w:t>
      </w:r>
    </w:p>
    <w:p w14:paraId="598CA41C">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名称：宁波银行股份有限公司(简称：宁波银行)</w:t>
      </w:r>
    </w:p>
    <w:p w14:paraId="6A42B26C">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住所：浙江省宁波市鄞州区宁东路345号</w:t>
      </w:r>
    </w:p>
    <w:p w14:paraId="5140A3B3">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办公地址：浙江省宁波市鄞州区宁东路345号</w:t>
      </w:r>
    </w:p>
    <w:p w14:paraId="29FD2CDA">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邮政编码：315100</w:t>
      </w:r>
    </w:p>
    <w:p w14:paraId="6655CFD9">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法定代表人：庄灵君</w:t>
      </w:r>
    </w:p>
    <w:p w14:paraId="7049BCD5">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批准设立机关及批准设立文号：中国银行业监督管理委员会银监复【2007】64号</w:t>
      </w:r>
    </w:p>
    <w:p w14:paraId="486E765C">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成立时间：1997年04月10日</w:t>
      </w:r>
    </w:p>
    <w:p w14:paraId="6547012E">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基金托管业务批准文号：证监许可【2012】1432号</w:t>
      </w:r>
    </w:p>
    <w:p w14:paraId="6DEEBB24">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组织形式：股份有限公司</w:t>
      </w:r>
    </w:p>
    <w:p w14:paraId="30F317AB">
      <w:pPr>
        <w:pStyle w:val="12"/>
        <w:widowControl/>
        <w:shd w:val="clear" w:color="auto" w:fill="FFFFFF"/>
        <w:spacing w:beforeAutospacing="0" w:afterAutospacing="0" w:line="360" w:lineRule="auto"/>
        <w:ind w:firstLine="480" w:firstLineChars="200"/>
        <w:rPr>
          <w:rFonts w:cs="宋体" w:asciiTheme="minorEastAsia" w:hAnsiTheme="minorEastAsia"/>
          <w:szCs w:val="24"/>
        </w:rPr>
      </w:pPr>
      <w:r>
        <w:rPr>
          <w:rFonts w:hint="eastAsia" w:cs="宋体" w:asciiTheme="minorEastAsia" w:hAnsiTheme="minorEastAsia"/>
          <w:szCs w:val="24"/>
        </w:rPr>
        <w:t>注册资本：660359.0792万人民币</w:t>
      </w:r>
    </w:p>
    <w:p w14:paraId="17CA2C8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存续期间：持续经营</w:t>
      </w:r>
    </w:p>
    <w:p w14:paraId="558ECD0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基金托管人的权利与义务</w:t>
      </w:r>
    </w:p>
    <w:p w14:paraId="4B96DC3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1、根据《基金法》、《运作办法》及其他有关规定，基金托管人的权利包括但不限于：</w:t>
      </w:r>
    </w:p>
    <w:p w14:paraId="1974233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（1）自《基金合同》生效之日起，依法律法规和《基金合同》的规定安全保管基金财产；</w:t>
      </w:r>
    </w:p>
    <w:p w14:paraId="71AB0F8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（2）依《基金合同》约定获得基金托管费以及法律法规规定或监管部门批准的其他费用；</w:t>
      </w:r>
    </w:p>
    <w:p w14:paraId="18C68A0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667C5A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（4）根据相关市场规则，为基金开设托管账户、证券账户等投资所需账户，为基金办理证券、期货交易资金清算；</w:t>
      </w:r>
    </w:p>
    <w:p w14:paraId="3AC5849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（5）提议召开或召集基金份额持有人大会；</w:t>
      </w:r>
    </w:p>
    <w:p w14:paraId="1DE6541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（6）在基金管理人更换时，提名新的基金管理人；</w:t>
      </w:r>
    </w:p>
    <w:p w14:paraId="477648A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（7）法律法规及中国证监会规定的和《基金合同》约定的其他权利。</w:t>
      </w:r>
    </w:p>
    <w:p w14:paraId="41AD32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2、根据《基金法》、《运作办法》及其他有关规定，基金托管人的义务包括但不限于：</w:t>
      </w:r>
    </w:p>
    <w:p w14:paraId="4AF4DE6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（1）以诚实信用、勤勉尽责的原则持有并安全保管基金财产；</w:t>
      </w:r>
    </w:p>
    <w:p w14:paraId="0E46018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（2）设立专门的基金托管部门，具有符合要求的营业场所，配备足够的、合格的熟悉基金托管业务的专职人员，负责基金财产托管事宜；</w:t>
      </w:r>
    </w:p>
    <w:p w14:paraId="426E9F6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834887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（4）除依据《基金法》、《基金合同》及其他有关规定外，不得利用基金财产为自己及任何第三人谋取利益，不得委托第三人托管基金财产；</w:t>
      </w:r>
    </w:p>
    <w:p w14:paraId="4629085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（5）保管由基金管理人代表基金签订的与基金有关的重大合同及有关凭证；</w:t>
      </w:r>
    </w:p>
    <w:p w14:paraId="7EA7B61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（6）按规定开设基金财产的托管账户和证券账户等投资所需账户，按照《基金合同》的约定，根据基金管理人的投资指令，及时办理清算、交割事宜；</w:t>
      </w:r>
    </w:p>
    <w:p w14:paraId="465190F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618BCEE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（8）复核、审查基金管理人计算的基金资产净值、各类基金份额净值、基金份额申购、赎回价格；</w:t>
      </w:r>
    </w:p>
    <w:p w14:paraId="558EB2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（9）办理与基金托管业务活动有关的信息披露事项；</w:t>
      </w:r>
    </w:p>
    <w:p w14:paraId="2CD9403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90727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（11）保存基金托管业务活动的记录、账册、报表和其他相关资料不低于法律法规规定的最低期限；</w:t>
      </w:r>
    </w:p>
    <w:p w14:paraId="112AE6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（12）保存基金份额持有人名册；</w:t>
      </w:r>
    </w:p>
    <w:p w14:paraId="1BE3844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（13）按规定制作相关账册并与基金管理人核对；</w:t>
      </w:r>
    </w:p>
    <w:p w14:paraId="5F5B1E2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（14）依据基金管理人的指令或有关规定向基金份额持有人支付基金收益和赎回款项；</w:t>
      </w:r>
    </w:p>
    <w:p w14:paraId="2A5E1A8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（15）依据《基金法》、《基金合同》及其他有关规定，召集基金份额持有人大会或配合基金管理人、基金份额持有人依法召集基金份额持有人大会；</w:t>
      </w:r>
    </w:p>
    <w:p w14:paraId="1C4D209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（16）按照法律法规和《基金合同》的规定监督基金管理人的投资运作；</w:t>
      </w:r>
    </w:p>
    <w:p w14:paraId="364A5DA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（17）参加基金财产清算小组，参与基金财产的保管、清理、估价、变现和分配；</w:t>
      </w:r>
    </w:p>
    <w:p w14:paraId="21C9DB3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（18）面临解散、依法被撤销或者被依法宣告破产时，及时报告中国证监会和银行业监督管理机构，并通知基金管理人；</w:t>
      </w:r>
    </w:p>
    <w:p w14:paraId="7E7A00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（19）因违反《基金合同》导致基金财产损失时，应承担赔偿责任，其赔偿责任不因其退任而免除；</w:t>
      </w:r>
    </w:p>
    <w:p w14:paraId="0C1B271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（20）按规定监督基金管理人按法律法规和《基金合同》规定履行自己的义务，基金管理人因违反《基金合同》造成基金财产损失时，应为基金份额持有人利益向基金管理人追偿；</w:t>
      </w:r>
    </w:p>
    <w:p w14:paraId="2702BAF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（21）执行生效的基金份额持有人大会的决议；</w:t>
      </w:r>
    </w:p>
    <w:p w14:paraId="4BC1092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（22）法律法规及中国证监会规定的和《基金合同》约定的其他义务。</w:t>
      </w:r>
    </w:p>
    <w:p w14:paraId="48DC70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三、基金份额持有人</w:t>
      </w:r>
    </w:p>
    <w:p w14:paraId="40644BD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C409E2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除法律法规另有规定或本基金合同另有约定外，同一类别每份基金份额具有同等的合法权益。</w:t>
      </w:r>
    </w:p>
    <w:p w14:paraId="6A77BA3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1、根据《基金法》、《运作办法》及其他有关规定，基金份额持有人的权利包括但不限于：</w:t>
      </w:r>
    </w:p>
    <w:p w14:paraId="342803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（1）分享基金财产收益；</w:t>
      </w:r>
    </w:p>
    <w:p w14:paraId="0A6EE9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（2）参与分配清算后的剩余基金财产；</w:t>
      </w:r>
    </w:p>
    <w:p w14:paraId="3BAEE52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（3）依法转让或者申请赎回其持有的基金份额；</w:t>
      </w:r>
    </w:p>
    <w:p w14:paraId="43FDB7B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（4）按照规定要求召开基金份额持有人大会或者召集基金份额持有人大会；</w:t>
      </w:r>
    </w:p>
    <w:p w14:paraId="08D389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（5）出席或者委派代表出席本基金或目标ETF的基金份额持有人大会，对本基金或目标ETF的基金份额持有人大会审议事项行使表决权；</w:t>
      </w:r>
    </w:p>
    <w:p w14:paraId="4A0A8E8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（6）查阅或者复制公开披露的基金信息资料；</w:t>
      </w:r>
    </w:p>
    <w:p w14:paraId="6D0E03A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（7）监督基金管理人的投资运作；</w:t>
      </w:r>
    </w:p>
    <w:p w14:paraId="06DAF5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（8）对基金管理人、基金托管人、基金服务机构损害其合法权益的行为依法提起诉讼或仲裁；</w:t>
      </w:r>
    </w:p>
    <w:p w14:paraId="6E5BE3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（9）法律法规及中国证监会规定的和《基金合同》约定的其他权利。</w:t>
      </w:r>
    </w:p>
    <w:p w14:paraId="6FCC3E3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2、根据《基金法》、《运作办法》及其他有关规定，基金份额持有人的义务包括但不限于：</w:t>
      </w:r>
    </w:p>
    <w:p w14:paraId="2921605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（1）认真阅读并遵守《基金合同》、招募说明书等信息披露文件；</w:t>
      </w:r>
    </w:p>
    <w:p w14:paraId="0BA2BA6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（2）了解所投资基金产品，了解自身风险承受能力，自主判断基金的投资价值，自主做出投资决策，自行承担投资风险；</w:t>
      </w:r>
    </w:p>
    <w:p w14:paraId="3ECFF8A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（3）关注基金信息披露，及时行使权利和履行义务；</w:t>
      </w:r>
    </w:p>
    <w:p w14:paraId="79FEE7E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（4）交纳基金申购款项及法律法规和《基金合同》所规定的费用；</w:t>
      </w:r>
    </w:p>
    <w:p w14:paraId="3707EB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（5）在其持有的基金份额范围内，承担基金亏损或者《基金合同》终止的有限责任；</w:t>
      </w:r>
    </w:p>
    <w:p w14:paraId="2CFA141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（6）不从事任何有损基金及其他《基金合同》当事人合法权益的活动；</w:t>
      </w:r>
    </w:p>
    <w:p w14:paraId="4C6CC29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（7）执行生效的基金份额持有人大会的决议；</w:t>
      </w:r>
    </w:p>
    <w:p w14:paraId="0CD6002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（8）返还在基金交易过程中因任何原因获得的不当得利；</w:t>
      </w:r>
    </w:p>
    <w:p w14:paraId="392875D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（9）发起资金提供方持有认购的基金份额不少于3年，法律法规或监管机构另有规定的除外；</w:t>
      </w:r>
    </w:p>
    <w:p w14:paraId="5D7920A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w:t>
      </w:r>
      <w:r>
        <w:rPr>
          <w:rFonts w:cs="宋体" w:asciiTheme="minorEastAsia" w:hAnsiTheme="minorEastAsia"/>
          <w:kern w:val="0"/>
          <w:sz w:val="24"/>
          <w:szCs w:val="24"/>
        </w:rPr>
        <w:t>10</w:t>
      </w:r>
      <w:r>
        <w:rPr>
          <w:rFonts w:hint="eastAsia" w:cs="宋体" w:asciiTheme="minorEastAsia" w:hAnsiTheme="minorEastAsia"/>
          <w:kern w:val="0"/>
          <w:sz w:val="24"/>
          <w:szCs w:val="24"/>
        </w:rPr>
        <w:t>）法律法规及中国证监会规定的和《基金合同》约定的其他义务。</w:t>
      </w:r>
    </w:p>
    <w:p w14:paraId="358F5232">
      <w:pPr>
        <w:widowControl/>
        <w:ind w:firstLine="200"/>
        <w:rPr>
          <w:rFonts w:cs="宋体" w:asciiTheme="minorEastAsia" w:hAnsiTheme="minorEastAsia"/>
          <w:kern w:val="0"/>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14:paraId="76330CB6">
      <w:pPr>
        <w:pStyle w:val="2"/>
        <w:spacing w:before="0" w:after="0" w:line="360" w:lineRule="auto"/>
        <w:ind w:firstLine="602" w:firstLineChars="200"/>
        <w:jc w:val="center"/>
        <w:rPr>
          <w:rFonts w:ascii="Times New Roman" w:hAnsi="Times New Roman"/>
          <w:kern w:val="0"/>
          <w:sz w:val="30"/>
          <w:lang w:val="zh-CN"/>
        </w:rPr>
      </w:pPr>
      <w:bookmarkStart w:id="10" w:name="_Toc471235845"/>
      <w:r>
        <w:rPr>
          <w:rFonts w:hint="eastAsia" w:ascii="Times New Roman" w:hAnsi="Times New Roman"/>
          <w:kern w:val="0"/>
          <w:sz w:val="30"/>
          <w:lang w:val="zh-CN"/>
        </w:rPr>
        <w:t>第八部分</w:t>
      </w:r>
      <w:r>
        <w:rPr>
          <w:rFonts w:ascii="Times New Roman" w:hAnsi="Times New Roman"/>
          <w:kern w:val="0"/>
          <w:sz w:val="30"/>
          <w:lang w:val="zh-CN"/>
        </w:rPr>
        <w:t xml:space="preserve"> </w:t>
      </w:r>
      <w:r>
        <w:rPr>
          <w:rFonts w:hint="eastAsia" w:ascii="Times New Roman" w:hAnsi="Times New Roman"/>
          <w:kern w:val="0"/>
          <w:sz w:val="30"/>
          <w:lang w:val="zh-CN"/>
        </w:rPr>
        <w:t>基金份额持有人大会</w:t>
      </w:r>
      <w:bookmarkEnd w:id="10"/>
    </w:p>
    <w:p w14:paraId="19A07DC7">
      <w:pPr>
        <w:autoSpaceDE w:val="0"/>
        <w:autoSpaceDN w:val="0"/>
        <w:adjustRightInd w:val="0"/>
        <w:spacing w:line="360" w:lineRule="auto"/>
        <w:ind w:firstLine="480" w:firstLineChars="200"/>
        <w:rPr>
          <w:rFonts w:cs="宋体" w:asciiTheme="minorEastAsia" w:hAnsiTheme="minorEastAsia"/>
          <w:kern w:val="0"/>
          <w:sz w:val="24"/>
          <w:szCs w:val="24"/>
        </w:rPr>
      </w:pPr>
    </w:p>
    <w:p w14:paraId="2F406B9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0829E38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本基金份额持有人大会不设日常机构。</w:t>
      </w:r>
    </w:p>
    <w:p w14:paraId="66CFD2F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一、召开事由</w:t>
      </w:r>
    </w:p>
    <w:p w14:paraId="3D47C0B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1、除法律法规和中国证监会另有规定或《基金合同》另有约定外，当出现或需要决定下列事由之一的，应当召开基金份额持有人大会：</w:t>
      </w:r>
    </w:p>
    <w:p w14:paraId="4A3A4A4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（1）终止《基金合同》；</w:t>
      </w:r>
    </w:p>
    <w:p w14:paraId="52FD8A5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（2）更换基金管理人；</w:t>
      </w:r>
    </w:p>
    <w:p w14:paraId="0572A7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（3）更换基金托管人；</w:t>
      </w:r>
    </w:p>
    <w:p w14:paraId="026102D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（4）转换基金运作方式；</w:t>
      </w:r>
    </w:p>
    <w:p w14:paraId="6368931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（5）调整基金管理人、基金托管人的报酬标准或提高销售服务费率；</w:t>
      </w:r>
    </w:p>
    <w:p w14:paraId="346CE71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（6）变更基金类别；</w:t>
      </w:r>
    </w:p>
    <w:p w14:paraId="70CC5D4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（7）本基金与其他基金的合并；</w:t>
      </w:r>
    </w:p>
    <w:p w14:paraId="054E945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（8）变更基金投资目标、范围或策略；</w:t>
      </w:r>
    </w:p>
    <w:p w14:paraId="78D082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（9）变更基金份额持有人大会程序；</w:t>
      </w:r>
    </w:p>
    <w:p w14:paraId="608110C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（10）基金管理人或基金托管人要求召开基金份额持有人大会；</w:t>
      </w:r>
    </w:p>
    <w:p w14:paraId="4D6799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（11）单独或合计持有本基金总份额10%以上（含10%）基金份额的基金份额持有人（以基金管理人收到提议当日的基金份额计算，下同）就同一事项书面要求召开基金份额持有人大会；</w:t>
      </w:r>
    </w:p>
    <w:p w14:paraId="74BD7BC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（12）对基金合同当事人权利和义务产生重大影响的其他事项；</w:t>
      </w:r>
    </w:p>
    <w:p w14:paraId="5671521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（13）基金管理人代表本基金的基金份额持有人提议召开或召集目标ETF基金份额持有人大会；</w:t>
      </w:r>
    </w:p>
    <w:p w14:paraId="45CEDC1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（14）法律法规、《基金合同》或中国证监会规定的其他应当召开基金份额持有人大会的事项。</w:t>
      </w:r>
    </w:p>
    <w:p w14:paraId="2EC3CA9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70B0F48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（1）法律法规要求增加的基金费用的收取；</w:t>
      </w:r>
    </w:p>
    <w:p w14:paraId="79CF5EF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（2）调整本基金的申购费率、调低赎回费率、调低销售服务费率或变更收费方式，调整基金份额类别设置、对基金份额分类办法及规则进行调整；</w:t>
      </w:r>
    </w:p>
    <w:p w14:paraId="24D308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（3）因相应的法律法规发生变动而应当对《基金合同》进行修改；</w:t>
      </w:r>
    </w:p>
    <w:p w14:paraId="2A5F0F1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（4）对《基金合同》的修改对基金份额持有人利益无实质性不利影响或修改不涉及《基金合同》当事人权利义务关系发生重大变化；</w:t>
      </w:r>
    </w:p>
    <w:p w14:paraId="643A785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（5）基金管理人、登记机构、基金销售机构调整有关申购、赎回、转换、基金交易、非交易过户、转托管等业务规则；</w:t>
      </w:r>
    </w:p>
    <w:p w14:paraId="7E31691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（6）履行相关程序后，基金推出新业务或服务；</w:t>
      </w:r>
    </w:p>
    <w:p w14:paraId="6BD75C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（7）由于目标ETF交易方式发生重大变更致使本基金的投资策略难以实现、目标ETF终止上市或目标ETF基金合同终止等情形时本基金变更为直接投资该标的指数的指数基金；</w:t>
      </w:r>
    </w:p>
    <w:p w14:paraId="154ED2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（8）按照法律法规和《基金合同》规定不需召开基金份额持有人大会的其他情形。</w:t>
      </w:r>
    </w:p>
    <w:p w14:paraId="66BBC00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二、会议召集人及召集方式</w:t>
      </w:r>
    </w:p>
    <w:p w14:paraId="5D6D894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1、除法律法规规定或《基金合同》另有约定外，基金份额持有人大会由基金管理人召集。</w:t>
      </w:r>
    </w:p>
    <w:p w14:paraId="6A2A83D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2、基金管理人未按规定召集或不能召集时，由基金托管人召集。</w:t>
      </w:r>
    </w:p>
    <w:p w14:paraId="28AB081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CC5EE3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36AB78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4B2B62D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6、基金份额持有人会议的召集人负责选择确定开会时间、地点、方式和权益登记日。</w:t>
      </w:r>
    </w:p>
    <w:p w14:paraId="1C51AD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三、召开基金份额持有人大会的通知时间、通知内容、通知方式</w:t>
      </w:r>
    </w:p>
    <w:p w14:paraId="6124A7A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1、召开基金份额持有人大会，召集人应于会议召开前30日，在规定媒介公告。基金份额持有人大会通知应至少载明以下内容：</w:t>
      </w:r>
    </w:p>
    <w:p w14:paraId="30A72DB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（1）会议召开的时间、地点和会议形式；</w:t>
      </w:r>
    </w:p>
    <w:p w14:paraId="2DC5A14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（2）会议拟审议的事项、议事程序和表决方式；</w:t>
      </w:r>
    </w:p>
    <w:p w14:paraId="50E6B34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（3）有权出席基金份额持有人大会的基金份额持有人的权益登记日；</w:t>
      </w:r>
    </w:p>
    <w:p w14:paraId="048395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（4）授权委托证明的内容要求（包括但不限于代理人身份，代理权限和代理有效期限等）、送达时间和地点；</w:t>
      </w:r>
    </w:p>
    <w:p w14:paraId="7E7C5B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（5）会务常设联系人姓名及联系电话；</w:t>
      </w:r>
    </w:p>
    <w:p w14:paraId="2370739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（6）出席会议者必须准备的文件和必须履行的手续；</w:t>
      </w:r>
    </w:p>
    <w:p w14:paraId="4E841DC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（7）召集人需要通知的其他事项。</w:t>
      </w:r>
    </w:p>
    <w:p w14:paraId="05A297E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501954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F685A1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四、基金份额持有人出席会议的方式</w:t>
      </w:r>
    </w:p>
    <w:p w14:paraId="7440B54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基金份额持有人大会可通过现场开会方式、通讯开会方式或法律法规、监管机构允许的其他方式召开，会议的召开方式由会议召集人确定。</w:t>
      </w:r>
    </w:p>
    <w:p w14:paraId="091B7E7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7DCC09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40C371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6A54AC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312476E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在同时符合以下条件时，通讯开会的方式视为有效：</w:t>
      </w:r>
    </w:p>
    <w:p w14:paraId="191DF80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（1）会议召集人按《基金合同》约定公布会议通知后，在2个工作日内连续公布相关提示性公告；</w:t>
      </w:r>
    </w:p>
    <w:p w14:paraId="606BD99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D634DF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58BA7B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402C1D7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398F973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20AA7B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五、议事内容与程序</w:t>
      </w:r>
    </w:p>
    <w:p w14:paraId="2C998BB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1、议事内容及提案权</w:t>
      </w:r>
    </w:p>
    <w:p w14:paraId="6CA8E03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CF8D62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基金份额持有人大会的召集人发出召集会议的通知后，对原有提案的修改应当在基金份额持有人大会召开前及时公告。</w:t>
      </w:r>
    </w:p>
    <w:p w14:paraId="01ABF99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基金份额持有人大会不得对未事先公告的议事内容进行表决。</w:t>
      </w:r>
    </w:p>
    <w:p w14:paraId="17FDAC3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2、议事程序</w:t>
      </w:r>
    </w:p>
    <w:p w14:paraId="78900ED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558F4F9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BF71DD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52DAB81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72A516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在通讯开会的情况下，首先由召集人提前30日公布提案，在所通知的表决截止日期后2个工作日内在公证机关监督下由召集人统计全部有效表决，在公证机关监督下形成决议。</w:t>
      </w:r>
    </w:p>
    <w:p w14:paraId="0E2222E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六、表决</w:t>
      </w:r>
    </w:p>
    <w:p w14:paraId="468DA42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基金份额持有人所持每份基金份额有一票表决权。</w:t>
      </w:r>
    </w:p>
    <w:p w14:paraId="48245B8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基金份额持有人大会决议分为一般决议和特别决议：</w:t>
      </w:r>
    </w:p>
    <w:p w14:paraId="278982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7B63A1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0DD7F0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基金份额持有人大会采取记名方式进行投票表决。</w:t>
      </w:r>
    </w:p>
    <w:p w14:paraId="63419BB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3528A7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基金份额持有人大会的各项提案或同一项提案内并列的各项议题应当分开审议、逐项表决。</w:t>
      </w:r>
    </w:p>
    <w:p w14:paraId="480B448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七、计票</w:t>
      </w:r>
    </w:p>
    <w:p w14:paraId="5555265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0667907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CCA39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（2）监票人应当在基金份额持有人表决后立即进行清点并由大会主持人当场公布计票结果。</w:t>
      </w:r>
    </w:p>
    <w:p w14:paraId="31BACE8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2FAF7A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（4）计票过程应由公证机关予以公证，基金管理人或基金托管人拒不出席大会的，不影响计票的效力。</w:t>
      </w:r>
    </w:p>
    <w:p w14:paraId="0EC7C9D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0EC5F3E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B217EE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八、生效与公告</w:t>
      </w:r>
    </w:p>
    <w:p w14:paraId="65151AF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基金份额持有人大会的决议，召集人应当自通过之日起5日内报中国证监会备案。</w:t>
      </w:r>
    </w:p>
    <w:p w14:paraId="0F47C07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基金份额持有人大会的决议自表决通过之日起生效。</w:t>
      </w:r>
    </w:p>
    <w:p w14:paraId="68AF072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57D7FF7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4F818D9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九、实施侧袋机制期间基金份额持有人大会的特殊约定</w:t>
      </w:r>
    </w:p>
    <w:p w14:paraId="4F44E2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0ED2C2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1、基金份额持有人行使提议权、召集权、提名权所需单独或合计代表相关基金份额10%以上（含10%）；</w:t>
      </w:r>
    </w:p>
    <w:p w14:paraId="601E04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2、现场开会的到会者在权益登记日代表的基金份额不少于本基金在权益登记日相关基金份额的二分之一（含二分之一）；</w:t>
      </w:r>
    </w:p>
    <w:p w14:paraId="0BC995D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3、通讯开会的直接出具表决意见或授权他人代表出具表决意见的基金份额持有人所持有的基金份额不小于在权益登记日相关基金份额的二分之一（含二分之一）；</w:t>
      </w:r>
    </w:p>
    <w:p w14:paraId="5476F55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F7468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5、现场开会由出席大会的基金份额持有人和代理人所持表决权的50%以上（含50%）选举产生一名基金份额持有人作为该次基金份额持有人大会的主持人；</w:t>
      </w:r>
    </w:p>
    <w:p w14:paraId="3A4443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6、一般决议须经参加大会的基金份额持有人或其代理人所持表决权的二分之一以上（含二分之一）通过；</w:t>
      </w:r>
    </w:p>
    <w:p w14:paraId="2CEF68B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7、特别决议应当经参加大会的基金份额持有人或其代理人所持表决权的三分之二以上（含三分之二）通过。</w:t>
      </w:r>
    </w:p>
    <w:p w14:paraId="44D0759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6BE186A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侧袋机制实施期间，关于基金份额持有人大会的相关规定以本节特殊约定内容为准，本节没有规定的适用上文相关约定。</w:t>
      </w:r>
    </w:p>
    <w:p w14:paraId="4863F81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1A8DB03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607B86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0E1CF0A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58CDB893">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14:paraId="65C695EF">
      <w:pPr>
        <w:pStyle w:val="2"/>
        <w:spacing w:before="0" w:after="0" w:line="360" w:lineRule="auto"/>
        <w:ind w:firstLine="602" w:firstLineChars="200"/>
        <w:jc w:val="center"/>
        <w:rPr>
          <w:rFonts w:ascii="Times New Roman" w:hAnsi="Times New Roman"/>
          <w:kern w:val="0"/>
          <w:sz w:val="30"/>
          <w:lang w:val="zh-CN"/>
        </w:rPr>
      </w:pPr>
      <w:bookmarkStart w:id="11" w:name="_Toc471235846"/>
      <w:r>
        <w:rPr>
          <w:rFonts w:hint="eastAsia" w:ascii="Times New Roman" w:hAnsi="Times New Roman"/>
          <w:kern w:val="0"/>
          <w:sz w:val="30"/>
          <w:lang w:val="zh-CN"/>
        </w:rPr>
        <w:t>第九部分</w:t>
      </w:r>
      <w:r>
        <w:rPr>
          <w:rFonts w:ascii="Times New Roman" w:hAnsi="Times New Roman"/>
          <w:kern w:val="0"/>
          <w:sz w:val="30"/>
          <w:lang w:val="zh-CN"/>
        </w:rPr>
        <w:t xml:space="preserve"> </w:t>
      </w:r>
      <w:r>
        <w:rPr>
          <w:rFonts w:hint="eastAsia" w:ascii="Times New Roman" w:hAnsi="Times New Roman"/>
          <w:kern w:val="0"/>
          <w:sz w:val="30"/>
          <w:lang w:val="zh-CN"/>
        </w:rPr>
        <w:t>基金管理人、基金托管人的更换条件和程序</w:t>
      </w:r>
      <w:bookmarkEnd w:id="11"/>
    </w:p>
    <w:p w14:paraId="2E66592D">
      <w:pPr>
        <w:autoSpaceDE w:val="0"/>
        <w:autoSpaceDN w:val="0"/>
        <w:adjustRightInd w:val="0"/>
        <w:spacing w:line="360" w:lineRule="auto"/>
        <w:ind w:firstLine="480" w:firstLineChars="200"/>
        <w:rPr>
          <w:rFonts w:cs="宋体" w:asciiTheme="minorEastAsia" w:hAnsiTheme="minorEastAsia"/>
          <w:kern w:val="0"/>
          <w:sz w:val="24"/>
          <w:szCs w:val="24"/>
        </w:rPr>
      </w:pPr>
    </w:p>
    <w:p w14:paraId="35C1928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一、基金管理人和基金托管人职责终止的情形</w:t>
      </w:r>
    </w:p>
    <w:p w14:paraId="75FD297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基金管理人职责终止的情形</w:t>
      </w:r>
    </w:p>
    <w:p w14:paraId="0E60982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有下列情形之一的，基金管理人职责终止：</w:t>
      </w:r>
    </w:p>
    <w:p w14:paraId="12549D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1、被依法取消基金管理资格；</w:t>
      </w:r>
    </w:p>
    <w:p w14:paraId="469574A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2、被基金份额持有人大会解任；</w:t>
      </w:r>
    </w:p>
    <w:p w14:paraId="771536E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3、依法解散、被依法撤销或被依法宣告破产；</w:t>
      </w:r>
    </w:p>
    <w:p w14:paraId="35384F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4、法律法规及中国证监会规定的和《基金合同》约定的其他情形。</w:t>
      </w:r>
    </w:p>
    <w:p w14:paraId="24EA01E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基金托管人职责终止的情形</w:t>
      </w:r>
    </w:p>
    <w:p w14:paraId="6F91B6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有下列情形之一的，基金托管人职责终止：</w:t>
      </w:r>
    </w:p>
    <w:p w14:paraId="772C088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1、被依法取消基金托管资格；</w:t>
      </w:r>
    </w:p>
    <w:p w14:paraId="3345150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2、被基金份额持有人大会解任；</w:t>
      </w:r>
    </w:p>
    <w:p w14:paraId="461704F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3、依法解散、被依法撤销或被依法宣告破产；</w:t>
      </w:r>
    </w:p>
    <w:p w14:paraId="4F9CD2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4、法律法规及中国证监会规定的和《基金合同》约定的其他情形。</w:t>
      </w:r>
    </w:p>
    <w:p w14:paraId="205F0AC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二、基金管理人和基金托管人的更换程序</w:t>
      </w:r>
    </w:p>
    <w:p w14:paraId="79A32AA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基金管理人的更换程序</w:t>
      </w:r>
    </w:p>
    <w:p w14:paraId="4AFDB1A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1、提名：新任基金管理人由基金托管人或由单独或合计持有10%以上（含10%）基金份额的基金份额持有人提名；</w:t>
      </w:r>
    </w:p>
    <w:p w14:paraId="480FE47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5C1EF1A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3、临时基金管理人：新任基金管理人产生之前，由中国证监会指定临时基金管理人；</w:t>
      </w:r>
    </w:p>
    <w:p w14:paraId="1CD278A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4、备案：基金份额持有人大会更换基金管理人的决议须报中国证监会备案；</w:t>
      </w:r>
    </w:p>
    <w:p w14:paraId="52CB4DB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5、公告：基金管理人更换后，由基金托管人在更换基金管理人的基金份额持有人大会决议生效后按规定在规定媒介公告；</w:t>
      </w:r>
    </w:p>
    <w:p w14:paraId="3A692AA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68E6C1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7、审计：基金管理人职责终止的，应当按照法律法规规定聘请会计师事务所对基金财产进行审计，并将审计结果予以公告，同时报中国证监会备案，审计费用在基金财产中列支；</w:t>
      </w:r>
    </w:p>
    <w:p w14:paraId="4C0EE6F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8、基金名称变更：基金管理人更换后，如果原任或新任基金管理人要求，应按其要求替换或删除基金名称中与原基金管理人有关的名称字样。</w:t>
      </w:r>
    </w:p>
    <w:p w14:paraId="04C9884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基金托管人的更换程序</w:t>
      </w:r>
    </w:p>
    <w:p w14:paraId="18E8CB8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1、提名：新任基金托管人由基金管理人或由单独或合计持有10%以上（含10%）基金份额的基金份额持有人提名；</w:t>
      </w:r>
    </w:p>
    <w:p w14:paraId="558E0DF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594CD93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3、临时基金托管人：新任基金托管人产生之前，由中国证监会指定临时基金托管人；</w:t>
      </w:r>
    </w:p>
    <w:p w14:paraId="295AD65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4、备案：基金份额持有人大会更换基金托管人的决议须报中国证监会备案；</w:t>
      </w:r>
    </w:p>
    <w:p w14:paraId="5F02A6D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5、公告：基金托管人更换后，由基金管理人在更换基金托管人的基金份额持有人大会决议生效后按规定在规定媒介公告；</w:t>
      </w:r>
    </w:p>
    <w:p w14:paraId="46B17FF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14:paraId="0D1B8B5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7、审计：基金托管人职责终止的，应当按照法律法规规定聘请会计师事务所对基金财产进行审计，并将审计结果予以公告，同时报中国证监会备案，审计费用在基金财产中列支。</w:t>
      </w:r>
    </w:p>
    <w:p w14:paraId="499821D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（三）基金管理人与基金托管人同时更换的条件和程序</w:t>
      </w:r>
    </w:p>
    <w:p w14:paraId="260A5FB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1、提名：如果基金管理人和基金托管人同时更换，由单独或合计持有基金总份额10%以上（含10%）的基金份额持有人提名新的基金管理人和基金托管人；</w:t>
      </w:r>
    </w:p>
    <w:p w14:paraId="0D6D6D1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2、基金管理人和基金托管人的更换分别按上述程序进行；</w:t>
      </w:r>
    </w:p>
    <w:p w14:paraId="7757B9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3、公告：新任基金管理人和新任基金托管人应在更换基金管理人和基金托管人的基金份额持有人大会决议生效后按规定在规定媒介上联合公告。</w:t>
      </w:r>
    </w:p>
    <w:p w14:paraId="757AF98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2450C08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p w14:paraId="6CFDC810">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734DFED0">
      <w:pPr>
        <w:pStyle w:val="2"/>
        <w:spacing w:before="0" w:after="0" w:line="360" w:lineRule="auto"/>
        <w:ind w:firstLine="602" w:firstLineChars="200"/>
        <w:jc w:val="center"/>
        <w:rPr>
          <w:rFonts w:ascii="Times New Roman" w:hAnsi="Times New Roman"/>
          <w:kern w:val="0"/>
          <w:sz w:val="30"/>
          <w:lang w:val="zh-CN"/>
        </w:rPr>
      </w:pPr>
      <w:bookmarkStart w:id="12" w:name="_Toc471235847"/>
      <w:r>
        <w:rPr>
          <w:rFonts w:hint="eastAsia" w:ascii="Times New Roman" w:hAnsi="Times New Roman"/>
          <w:kern w:val="0"/>
          <w:sz w:val="30"/>
          <w:lang w:val="zh-CN"/>
        </w:rPr>
        <w:t>第十部分</w:t>
      </w:r>
      <w:r>
        <w:rPr>
          <w:rFonts w:ascii="Times New Roman" w:hAnsi="Times New Roman"/>
          <w:kern w:val="0"/>
          <w:sz w:val="30"/>
          <w:lang w:val="zh-CN"/>
        </w:rPr>
        <w:t xml:space="preserve"> </w:t>
      </w:r>
      <w:r>
        <w:rPr>
          <w:rFonts w:hint="eastAsia" w:ascii="Times New Roman" w:hAnsi="Times New Roman"/>
          <w:kern w:val="0"/>
          <w:sz w:val="30"/>
          <w:lang w:val="zh-CN"/>
        </w:rPr>
        <w:t>基金的托管</w:t>
      </w:r>
      <w:bookmarkEnd w:id="12"/>
    </w:p>
    <w:p w14:paraId="58B9B4CE">
      <w:pPr>
        <w:autoSpaceDE w:val="0"/>
        <w:autoSpaceDN w:val="0"/>
        <w:adjustRightInd w:val="0"/>
        <w:spacing w:line="360" w:lineRule="auto"/>
        <w:ind w:firstLine="480" w:firstLineChars="200"/>
        <w:rPr>
          <w:rFonts w:cs="宋体" w:asciiTheme="minorEastAsia" w:hAnsiTheme="minorEastAsia"/>
          <w:kern w:val="0"/>
          <w:sz w:val="24"/>
          <w:szCs w:val="24"/>
        </w:rPr>
      </w:pPr>
    </w:p>
    <w:p w14:paraId="4BFA355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基金托管人和基金管理人按照《基金法》、《基金合同》及其他有关规定订立托管协议。</w:t>
      </w:r>
    </w:p>
    <w:p w14:paraId="3587D6C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0327762F">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3AA723A9">
      <w:pPr>
        <w:pStyle w:val="2"/>
        <w:spacing w:before="0" w:after="0" w:line="360" w:lineRule="auto"/>
        <w:ind w:firstLine="602" w:firstLineChars="200"/>
        <w:jc w:val="center"/>
        <w:rPr>
          <w:rFonts w:ascii="Times New Roman" w:hAnsi="Times New Roman"/>
          <w:kern w:val="0"/>
          <w:sz w:val="30"/>
          <w:lang w:val="zh-CN"/>
        </w:rPr>
      </w:pPr>
      <w:bookmarkStart w:id="13" w:name="_Toc471235848"/>
      <w:r>
        <w:rPr>
          <w:rFonts w:hint="eastAsia" w:ascii="Times New Roman" w:hAnsi="Times New Roman"/>
          <w:kern w:val="0"/>
          <w:sz w:val="30"/>
          <w:lang w:val="zh-CN"/>
        </w:rPr>
        <w:t>第十一部分</w:t>
      </w:r>
      <w:r>
        <w:rPr>
          <w:rFonts w:ascii="Times New Roman" w:hAnsi="Times New Roman"/>
          <w:kern w:val="0"/>
          <w:sz w:val="30"/>
          <w:lang w:val="zh-CN"/>
        </w:rPr>
        <w:t xml:space="preserve"> </w:t>
      </w:r>
      <w:r>
        <w:rPr>
          <w:rFonts w:hint="eastAsia" w:ascii="Times New Roman" w:hAnsi="Times New Roman"/>
          <w:kern w:val="0"/>
          <w:sz w:val="30"/>
          <w:lang w:val="zh-CN"/>
        </w:rPr>
        <w:t>基金份额的登记</w:t>
      </w:r>
      <w:bookmarkEnd w:id="13"/>
    </w:p>
    <w:p w14:paraId="0E090C29">
      <w:pPr>
        <w:autoSpaceDE w:val="0"/>
        <w:autoSpaceDN w:val="0"/>
        <w:adjustRightInd w:val="0"/>
        <w:spacing w:line="360" w:lineRule="auto"/>
        <w:ind w:firstLine="480" w:firstLineChars="200"/>
        <w:rPr>
          <w:rFonts w:cs="宋体" w:asciiTheme="minorEastAsia" w:hAnsiTheme="minorEastAsia"/>
          <w:kern w:val="0"/>
          <w:sz w:val="24"/>
          <w:szCs w:val="24"/>
        </w:rPr>
      </w:pPr>
    </w:p>
    <w:p w14:paraId="53300D9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一、基金份额的登记业务</w:t>
      </w:r>
    </w:p>
    <w:p w14:paraId="25C19A0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71AC8CC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二、基金登记业务办理机构</w:t>
      </w:r>
    </w:p>
    <w:p w14:paraId="2C35CA6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3B56AF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三、基金登记机构的权利</w:t>
      </w:r>
    </w:p>
    <w:p w14:paraId="4E9626E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基金登记机构享有以下权利：</w:t>
      </w:r>
    </w:p>
    <w:p w14:paraId="1502465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1、取得登记费；</w:t>
      </w:r>
    </w:p>
    <w:p w14:paraId="18FCE08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2、建立和管理投资者基金账户；</w:t>
      </w:r>
    </w:p>
    <w:p w14:paraId="10F29A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3、保管基金份额持有人开户资料、交易资料、基金份额持有人名册等；</w:t>
      </w:r>
    </w:p>
    <w:p w14:paraId="0D81A0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4、在法律法规允许的范围内，对登记业务的办理时间进行调整，并依照有关规定于开始实施前在规定媒介上公告；</w:t>
      </w:r>
    </w:p>
    <w:p w14:paraId="62AA2A6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5、法律法规及中国证监会规定的和《基金合同》约定的其他权利。</w:t>
      </w:r>
    </w:p>
    <w:p w14:paraId="175D548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四、基金登记机构的义务</w:t>
      </w:r>
    </w:p>
    <w:p w14:paraId="7406026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基金登记机构承担以下义务：</w:t>
      </w:r>
    </w:p>
    <w:p w14:paraId="5959068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1、配备足够的专业人员办理本基金份额的登记业务；</w:t>
      </w:r>
    </w:p>
    <w:p w14:paraId="31F1BF7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2、严格按照法律法规和《基金合同》规定的条件办理本基金份额的登记业务；</w:t>
      </w:r>
    </w:p>
    <w:p w14:paraId="12B9445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3、妥善保存登记数据，并将基金份额持有人名称、身份信息及基金份额明细等数据备份至中国证监会认定的机构，其保存期限不得少于法律法规规定的最低年限；</w:t>
      </w:r>
    </w:p>
    <w:p w14:paraId="2BF09E1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0B0EA0F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5、按《基金合同》及招募说明书规定为投资者办理非交易过户业务、提供其他必要的服务；</w:t>
      </w:r>
    </w:p>
    <w:p w14:paraId="4C1CAFF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6、接受基金管理人的监督；</w:t>
      </w:r>
    </w:p>
    <w:p w14:paraId="2A3AA3D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7、法律法规及中国证监会规定的和《基金合同》约定的其他义务。</w:t>
      </w:r>
    </w:p>
    <w:p w14:paraId="6E85CBEA">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229679AE">
      <w:pPr>
        <w:pStyle w:val="2"/>
        <w:spacing w:before="0" w:after="0" w:line="360" w:lineRule="auto"/>
        <w:ind w:firstLine="602" w:firstLineChars="200"/>
        <w:jc w:val="center"/>
        <w:rPr>
          <w:rFonts w:ascii="Times New Roman" w:hAnsi="Times New Roman"/>
          <w:kern w:val="0"/>
          <w:sz w:val="30"/>
          <w:lang w:val="zh-CN"/>
        </w:rPr>
      </w:pPr>
      <w:bookmarkStart w:id="14" w:name="_Toc471235849"/>
      <w:r>
        <w:rPr>
          <w:rFonts w:hint="eastAsia" w:ascii="Times New Roman" w:hAnsi="Times New Roman"/>
          <w:kern w:val="0"/>
          <w:sz w:val="30"/>
          <w:lang w:val="zh-CN"/>
        </w:rPr>
        <w:t>第十二部分</w:t>
      </w:r>
      <w:r>
        <w:rPr>
          <w:rFonts w:ascii="Times New Roman" w:hAnsi="Times New Roman"/>
          <w:kern w:val="0"/>
          <w:sz w:val="30"/>
          <w:lang w:val="zh-CN"/>
        </w:rPr>
        <w:t xml:space="preserve"> </w:t>
      </w:r>
      <w:r>
        <w:rPr>
          <w:rFonts w:hint="eastAsia" w:ascii="Times New Roman" w:hAnsi="Times New Roman"/>
          <w:kern w:val="0"/>
          <w:sz w:val="30"/>
          <w:lang w:val="zh-CN"/>
        </w:rPr>
        <w:t>基金的投资</w:t>
      </w:r>
      <w:bookmarkEnd w:id="14"/>
    </w:p>
    <w:p w14:paraId="6F69B676">
      <w:pPr>
        <w:autoSpaceDE w:val="0"/>
        <w:autoSpaceDN w:val="0"/>
        <w:adjustRightInd w:val="0"/>
        <w:spacing w:line="360" w:lineRule="auto"/>
        <w:ind w:firstLine="480" w:firstLineChars="200"/>
        <w:rPr>
          <w:rFonts w:cs="宋体" w:asciiTheme="minorEastAsia" w:hAnsiTheme="minorEastAsia"/>
          <w:kern w:val="0"/>
          <w:sz w:val="24"/>
          <w:szCs w:val="24"/>
        </w:rPr>
      </w:pPr>
    </w:p>
    <w:p w14:paraId="66D3E0D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一、投资目标</w:t>
      </w:r>
    </w:p>
    <w:p w14:paraId="5CF0647B">
      <w:pPr>
        <w:adjustRightInd w:val="0"/>
        <w:snapToGrid w:val="0"/>
        <w:spacing w:line="360" w:lineRule="auto"/>
        <w:ind w:firstLine="422" w:firstLineChars="176"/>
        <w:rPr>
          <w:rFonts w:ascii="Arial" w:hAnsi="Arial" w:eastAsia="宋体" w:cs="Arial"/>
          <w:sz w:val="24"/>
          <w:szCs w:val="24"/>
        </w:rPr>
      </w:pPr>
      <w:r>
        <w:rPr>
          <w:rFonts w:hint="eastAsia" w:ascii="宋体" w:hAnsi="Times New Roman" w:eastAsia="宋体" w:cs="宋体"/>
          <w:kern w:val="0"/>
          <w:sz w:val="24"/>
          <w:szCs w:val="24"/>
        </w:rPr>
        <w:t>通过主要投资于目标ETF，紧密跟踪标的指数即中证机器人指数的表现，追求跟踪偏离度和跟踪误差的最小化。</w:t>
      </w:r>
    </w:p>
    <w:p w14:paraId="1C38C3A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二、投资范围</w:t>
      </w:r>
    </w:p>
    <w:p w14:paraId="49B7291C">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本基金主要投资于</w:t>
      </w:r>
      <w:r>
        <w:rPr>
          <w:rFonts w:hint="eastAsia" w:ascii="宋体" w:hAnsi="宋体" w:eastAsia="宋体" w:cs="宋体"/>
          <w:sz w:val="24"/>
          <w:szCs w:val="24"/>
        </w:rPr>
        <w:t>目标</w:t>
      </w:r>
      <w:r>
        <w:rPr>
          <w:rFonts w:ascii="宋体" w:hAnsi="宋体" w:eastAsia="宋体" w:cs="宋体"/>
          <w:sz w:val="24"/>
          <w:szCs w:val="24"/>
        </w:rPr>
        <w:t>ETF</w:t>
      </w:r>
      <w:r>
        <w:rPr>
          <w:rFonts w:hint="eastAsia" w:ascii="Arial" w:hAnsi="Arial" w:eastAsia="宋体" w:cs="Arial"/>
          <w:sz w:val="24"/>
          <w:szCs w:val="24"/>
        </w:rPr>
        <w:t>、标的指数成份股和备选成份股（含存托凭证）。</w:t>
      </w:r>
    </w:p>
    <w:p w14:paraId="08D4AB5F">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749210A5">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本基金将根据法律法规的规定参与融资及转融通证券出借业务。未来在法律法规允许的前提下，本基金可根据相关法律法规规定参与融券业务。</w:t>
      </w:r>
    </w:p>
    <w:p w14:paraId="70A3E598">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本基金根据相关法律法规或中国证监会要求履行适当</w:t>
      </w:r>
      <w:r>
        <w:rPr>
          <w:rFonts w:hint="eastAsia" w:ascii="宋体" w:hAnsi="宋体"/>
          <w:kern w:val="0"/>
          <w:sz w:val="24"/>
        </w:rPr>
        <w:t>程序</w:t>
      </w:r>
      <w:r>
        <w:rPr>
          <w:rFonts w:hint="eastAsia" w:ascii="Arial" w:hAnsi="Arial" w:eastAsia="宋体" w:cs="Arial"/>
          <w:sz w:val="24"/>
          <w:szCs w:val="24"/>
        </w:rPr>
        <w:t>后，还可以投资于法律法规或中国证监会未来允许基金投资的其他金融工具。</w:t>
      </w:r>
    </w:p>
    <w:p w14:paraId="6CDD4D9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2F3F696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若法律法规的相关规定发生变更或监管机构允许，本基金管理人在履行适当程序后，可对上述资产配置比例进行调整。</w:t>
      </w:r>
    </w:p>
    <w:p w14:paraId="53D150B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三、投资策略</w:t>
      </w:r>
    </w:p>
    <w:p w14:paraId="6F3EDB9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47B47A4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1、资产配置策略</w:t>
      </w:r>
    </w:p>
    <w:p w14:paraId="5353DE8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实现投资目标，本基金将以不低于基金资产净值90%的资产投资于目标ETF。其余资产可投资于标的指数成份股、备选成份股（含存托凭证）、依法发行上市的非成份股（包括主板、创业板及其他经中国证监会核准或注册上市的股票、存托凭证）、港股通标的股票、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7DE69DE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2、基金投资策略</w:t>
      </w:r>
    </w:p>
    <w:p w14:paraId="3F2CE28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本基金投资目标ETF的两种方式如下：</w:t>
      </w:r>
    </w:p>
    <w:p w14:paraId="5977541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1）申购和赎回：目标ETF开放申购赎回后，按照目标ETF法律文件约定的方式申赎目标ETF。</w:t>
      </w:r>
    </w:p>
    <w:p w14:paraId="017E982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2）二级市场方式：目标ETF上市交易后，在二级市场进行目标ETF份额的交易。</w:t>
      </w:r>
    </w:p>
    <w:p w14:paraId="387C89A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当目标ETF申购、赎回或交易模式进行了变更或调整，本基金将在履行适当程序后，作相应的变更或调整。</w:t>
      </w:r>
    </w:p>
    <w:p w14:paraId="37FF715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在投资运作过程中，本基金将在综合考虑合规、风险、效率、成本等因素的基础上，灵活选用上述方式进行目标ETF的交易。</w:t>
      </w:r>
    </w:p>
    <w:p w14:paraId="4C13F65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3、成份股、备选成份股投资策略 </w:t>
      </w:r>
    </w:p>
    <w:p w14:paraId="69448E1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对成份股、备选成份股的投资目的是为准备构建股票组合以申购目标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49A19C6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4、债券（除可转换债券和可交换债券）投资策略</w:t>
      </w:r>
    </w:p>
    <w:p w14:paraId="2E1CF61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本基金债券投资组合将着重考虑基金的流动性管理及策略性投资的需要进行配置。债券投资的目的是保证基金资产流动性，有效利用基金资产，提高基金资产的投资收益。</w:t>
      </w:r>
    </w:p>
    <w:p w14:paraId="4966C19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5、港股通标的股票投资策略</w:t>
      </w:r>
    </w:p>
    <w:p w14:paraId="036116F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在特殊情况下，本基金将少量投资于港股通标的股票以进行替代复制。对于同时有A股、H股的指数成份公司，如果该公司A股长期停牌，组合无法买入该股票时，可以买入该公司H股进行替代。</w:t>
      </w:r>
    </w:p>
    <w:p w14:paraId="55BB3AB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6、资产支持证券的投资策略</w:t>
      </w:r>
    </w:p>
    <w:p w14:paraId="0EB28E5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63ACC8E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7、可转换债券和</w:t>
      </w:r>
      <w:r>
        <w:rPr>
          <w:rFonts w:ascii="宋体" w:hAnsi="宋体" w:eastAsia="宋体" w:cs="宋体"/>
          <w:sz w:val="24"/>
          <w:szCs w:val="24"/>
        </w:rPr>
        <w:t>可交换债券</w:t>
      </w:r>
      <w:r>
        <w:rPr>
          <w:rFonts w:hint="eastAsia" w:ascii="宋体" w:hAnsi="Times New Roman" w:eastAsia="宋体" w:cs="宋体"/>
          <w:kern w:val="0"/>
          <w:sz w:val="24"/>
          <w:szCs w:val="24"/>
        </w:rPr>
        <w:t>投资策略</w:t>
      </w:r>
    </w:p>
    <w:p w14:paraId="1CE1C96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5C78F588">
      <w:pPr>
        <w:adjustRightInd w:val="0"/>
        <w:snapToGrid w:val="0"/>
        <w:spacing w:line="360" w:lineRule="auto"/>
        <w:ind w:firstLine="422" w:firstLineChars="176"/>
        <w:rPr>
          <w:rFonts w:ascii="宋体" w:hAnsi="Times New Roman" w:eastAsia="宋体" w:cs="宋体"/>
          <w:kern w:val="0"/>
          <w:sz w:val="24"/>
          <w:szCs w:val="24"/>
        </w:rPr>
      </w:pPr>
      <w:r>
        <w:rPr>
          <w:rFonts w:ascii="宋体" w:hAnsi="宋体" w:eastAsia="宋体" w:cs="宋体"/>
          <w:sz w:val="24"/>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7B968F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8、衍生品投资策略</w:t>
      </w:r>
    </w:p>
    <w:p w14:paraId="02375B4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（1）股指期货、国债期货投资策略</w:t>
      </w:r>
    </w:p>
    <w:p w14:paraId="3B908AD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本基金投资股指期货将根据风险管理的原则，以套期保值为目的，力争利用股指期货的杠杆作用，降低股票仓位频繁调整的交易成本和跟踪误差，达到有效跟踪标的指数的目的。</w:t>
      </w:r>
    </w:p>
    <w:p w14:paraId="21CD0E3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本基金将根据风险管理的原则，以套期保值为目的，在风险可控的前提下，本着谨慎原则，参与国债期货的投资，改善组合的风险收益特性。</w:t>
      </w:r>
    </w:p>
    <w:p w14:paraId="06ABE2A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（2）股票期权投资策略</w:t>
      </w:r>
    </w:p>
    <w:p w14:paraId="5DD07B2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77923AD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9、融资及转融通证券出借业务投资策略</w:t>
      </w:r>
    </w:p>
    <w:p w14:paraId="4A68CF2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14:paraId="4A0ED282">
      <w:pPr>
        <w:adjustRightInd w:val="0"/>
        <w:snapToGrid w:val="0"/>
        <w:spacing w:line="360" w:lineRule="auto"/>
        <w:ind w:firstLine="480" w:firstLineChars="200"/>
        <w:rPr>
          <w:rFonts w:cs="Arial" w:asciiTheme="minorEastAsia" w:hAnsiTheme="minorEastAsia"/>
          <w:sz w:val="24"/>
          <w:szCs w:val="24"/>
        </w:rPr>
      </w:pPr>
      <w:r>
        <w:rPr>
          <w:rFonts w:hint="eastAsia" w:cs="Arial" w:asciiTheme="minorEastAsia" w:hAnsiTheme="minorEastAsia"/>
          <w:sz w:val="24"/>
          <w:szCs w:val="24"/>
        </w:rPr>
        <w:t>10、存托凭证投资策略</w:t>
      </w:r>
    </w:p>
    <w:p w14:paraId="08697381">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本基金将根据本基金的投资目标，基于对基础证券投资价值的深入研究判断，进行存托凭证的投资。</w:t>
      </w:r>
    </w:p>
    <w:p w14:paraId="7ABC2F4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未来，随着投资工具的发展和丰富，本基金可在不改变投资目标的前提下，相应调整和更新相关投资策略，并在更新的招募说明书中公告。</w:t>
      </w:r>
    </w:p>
    <w:p w14:paraId="52F935A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四、投资限制</w:t>
      </w:r>
    </w:p>
    <w:p w14:paraId="5EB75AE5">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、组合限制</w:t>
      </w:r>
    </w:p>
    <w:p w14:paraId="09A6EA4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基金的投资组合应遵循以下限制：</w:t>
      </w:r>
    </w:p>
    <w:p w14:paraId="4320005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w:t>
      </w:r>
    </w:p>
    <w:p w14:paraId="10986C8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6396763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）本基金持有一家公司发行的证券，其市值（若同时持有一家公司发行的A股和H股，则为A股与H股合计市值）不超过基金资产净值的10%，但完全按照标的指数的构成比例进行投资的基金品种不受此限制；</w:t>
      </w:r>
    </w:p>
    <w:p w14:paraId="35BF558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4</w:t>
      </w:r>
      <w:r>
        <w:rPr>
          <w:rFonts w:hint="eastAsia" w:ascii="宋体" w:hAnsi="Times New Roman" w:eastAsia="宋体" w:cs="宋体"/>
          <w:kern w:val="0"/>
          <w:sz w:val="24"/>
          <w:szCs w:val="24"/>
        </w:rPr>
        <w:t>）本基金管理人管理的全部基金持有一家公司发行的证券，不超过该证券（若同时持有一家公司发行的A股和H股，则为A股与H股合计市值）的10%，但完全按照标的指数的构成比例进行投资的基金品种不受此限制；</w:t>
      </w:r>
    </w:p>
    <w:p w14:paraId="1B45DC6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5</w:t>
      </w:r>
      <w:r>
        <w:rPr>
          <w:rFonts w:hint="eastAsia" w:ascii="宋体" w:hAnsi="Times New Roman" w:eastAsia="宋体" w:cs="宋体"/>
          <w:kern w:val="0"/>
          <w:sz w:val="24"/>
          <w:szCs w:val="24"/>
        </w:rPr>
        <w:t>）本基金资产总值不得超过基金资产净值的140%；</w:t>
      </w:r>
    </w:p>
    <w:p w14:paraId="261F7BF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6</w:t>
      </w:r>
      <w:r>
        <w:rPr>
          <w:rFonts w:hint="eastAsia" w:ascii="宋体" w:hAnsi="Times New Roman" w:eastAsia="宋体" w:cs="宋体"/>
          <w:kern w:val="0"/>
          <w:sz w:val="24"/>
          <w:szCs w:val="24"/>
        </w:rPr>
        <w:t>）本基金进入全国银行间同业市场进行债券回购的资金余额不得超过基金资产净值的40%，在全国银行间同业市场中进行的债券回购期限不得超过1年，债券回购到期后不得展期；</w:t>
      </w:r>
    </w:p>
    <w:p w14:paraId="02C4ABE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7</w:t>
      </w:r>
      <w:r>
        <w:rPr>
          <w:rFonts w:hint="eastAsia" w:ascii="宋体" w:hAnsi="Times New Roman" w:eastAsia="宋体" w:cs="宋体"/>
          <w:kern w:val="0"/>
          <w:sz w:val="24"/>
          <w:szCs w:val="24"/>
        </w:rPr>
        <w:t>）本基金投资于同一原始权益人的各类资产支持证券的比例，不得超过基金资产净值的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2E96569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8</w:t>
      </w:r>
      <w:r>
        <w:rPr>
          <w:rFonts w:hint="eastAsia" w:ascii="宋体" w:hAnsi="Times New Roman" w:eastAsia="宋体" w:cs="宋体"/>
          <w:kern w:val="0"/>
          <w:sz w:val="24"/>
          <w:szCs w:val="24"/>
        </w:rPr>
        <w:t>）本基金持有的全部资产支持证券，其市值不得超过基金资产净值的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w:t>
      </w:r>
    </w:p>
    <w:p w14:paraId="2093F01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9</w:t>
      </w:r>
      <w:r>
        <w:rPr>
          <w:rFonts w:hint="eastAsia" w:ascii="宋体" w:hAnsi="Times New Roman" w:eastAsia="宋体" w:cs="宋体"/>
          <w:kern w:val="0"/>
          <w:sz w:val="24"/>
          <w:szCs w:val="24"/>
        </w:rPr>
        <w:t>）本基金持有的同一</w:t>
      </w:r>
      <w:r>
        <w:rPr>
          <w:rFonts w:ascii="宋体" w:hAnsi="Times New Roman" w:eastAsia="宋体" w:cs="宋体"/>
          <w:kern w:val="0"/>
          <w:sz w:val="24"/>
          <w:szCs w:val="24"/>
        </w:rPr>
        <w:t>(</w:t>
      </w:r>
      <w:r>
        <w:rPr>
          <w:rFonts w:hint="eastAsia" w:ascii="宋体" w:hAnsi="Times New Roman" w:eastAsia="宋体" w:cs="宋体"/>
          <w:kern w:val="0"/>
          <w:sz w:val="24"/>
          <w:szCs w:val="24"/>
        </w:rPr>
        <w:t>指同一信用级别</w:t>
      </w:r>
      <w:r>
        <w:rPr>
          <w:rFonts w:ascii="宋体" w:hAnsi="Times New Roman" w:eastAsia="宋体" w:cs="宋体"/>
          <w:kern w:val="0"/>
          <w:sz w:val="24"/>
          <w:szCs w:val="24"/>
        </w:rPr>
        <w:t>)</w:t>
      </w:r>
      <w:r>
        <w:rPr>
          <w:rFonts w:hint="eastAsia" w:ascii="宋体" w:hAnsi="Times New Roman" w:eastAsia="宋体" w:cs="宋体"/>
          <w:kern w:val="0"/>
          <w:sz w:val="24"/>
          <w:szCs w:val="24"/>
        </w:rPr>
        <w:t>资产支持证券的比例，不得超过该资产支持证券规模的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16D3E26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10</w:t>
      </w:r>
      <w:r>
        <w:rPr>
          <w:rFonts w:hint="eastAsia" w:ascii="宋体" w:hAnsi="Times New Roman" w:eastAsia="宋体" w:cs="宋体"/>
          <w:kern w:val="0"/>
          <w:sz w:val="24"/>
          <w:szCs w:val="24"/>
        </w:rPr>
        <w:t>）本基金管理人管理的全部基金投资于同一原始权益人的各类资产支持证券，不得超过其各类资产支持证券合计规模的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16311D1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11</w:t>
      </w:r>
      <w:r>
        <w:rPr>
          <w:rFonts w:hint="eastAsia" w:ascii="宋体" w:hAnsi="Times New Roman" w:eastAsia="宋体" w:cs="宋体"/>
          <w:kern w:val="0"/>
          <w:sz w:val="24"/>
          <w:szCs w:val="24"/>
        </w:rPr>
        <w:t>）本基金应投资于信用级别评级为</w:t>
      </w:r>
      <w:r>
        <w:rPr>
          <w:rFonts w:ascii="宋体" w:hAnsi="Times New Roman" w:eastAsia="宋体" w:cs="宋体"/>
          <w:kern w:val="0"/>
          <w:sz w:val="24"/>
          <w:szCs w:val="24"/>
        </w:rPr>
        <w:t>BBB</w:t>
      </w:r>
      <w:r>
        <w:rPr>
          <w:rFonts w:hint="eastAsia" w:ascii="宋体" w:hAnsi="Times New Roman" w:eastAsia="宋体" w:cs="宋体"/>
          <w:kern w:val="0"/>
          <w:sz w:val="24"/>
          <w:szCs w:val="24"/>
        </w:rPr>
        <w:t>以上</w:t>
      </w:r>
      <w:r>
        <w:rPr>
          <w:rFonts w:ascii="宋体" w:hAnsi="Times New Roman" w:eastAsia="宋体" w:cs="宋体"/>
          <w:kern w:val="0"/>
          <w:sz w:val="24"/>
          <w:szCs w:val="24"/>
        </w:rPr>
        <w:t>(</w:t>
      </w:r>
      <w:r>
        <w:rPr>
          <w:rFonts w:hint="eastAsia" w:ascii="宋体" w:hAnsi="Times New Roman" w:eastAsia="宋体" w:cs="宋体"/>
          <w:kern w:val="0"/>
          <w:sz w:val="24"/>
          <w:szCs w:val="24"/>
        </w:rPr>
        <w:t>含</w:t>
      </w:r>
      <w:r>
        <w:rPr>
          <w:rFonts w:ascii="宋体" w:hAnsi="Times New Roman" w:eastAsia="宋体" w:cs="宋体"/>
          <w:kern w:val="0"/>
          <w:sz w:val="24"/>
          <w:szCs w:val="24"/>
        </w:rPr>
        <w:t>BBB)</w:t>
      </w:r>
      <w:r>
        <w:rPr>
          <w:rFonts w:hint="eastAsia" w:ascii="宋体" w:hAnsi="Times New Roman" w:eastAsia="宋体" w:cs="宋体"/>
          <w:kern w:val="0"/>
          <w:sz w:val="24"/>
          <w:szCs w:val="24"/>
        </w:rPr>
        <w:t>的资产支持证券。基金持有资产支持证券期间，如果其信用等级下降、不再符合投资标准，应在评级报告发布之日起</w:t>
      </w:r>
      <w:r>
        <w:rPr>
          <w:rFonts w:ascii="宋体" w:hAnsi="Times New Roman" w:eastAsia="宋体" w:cs="宋体"/>
          <w:kern w:val="0"/>
          <w:sz w:val="24"/>
          <w:szCs w:val="24"/>
        </w:rPr>
        <w:t>3</w:t>
      </w:r>
      <w:r>
        <w:rPr>
          <w:rFonts w:hint="eastAsia" w:ascii="宋体" w:hAnsi="Times New Roman" w:eastAsia="宋体" w:cs="宋体"/>
          <w:kern w:val="0"/>
          <w:sz w:val="24"/>
          <w:szCs w:val="24"/>
        </w:rPr>
        <w:t>个月内予以全部卖出；</w:t>
      </w:r>
    </w:p>
    <w:p w14:paraId="233715B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12</w:t>
      </w:r>
      <w:r>
        <w:rPr>
          <w:rFonts w:hint="eastAsia" w:ascii="宋体" w:hAnsi="Times New Roman" w:eastAsia="宋体" w:cs="宋体"/>
          <w:kern w:val="0"/>
          <w:sz w:val="24"/>
          <w:szCs w:val="24"/>
        </w:rPr>
        <w:t>）基金财产参与股票发行申购，本基金所申报的金额不超过本基金的总资产，本基金所申报的股票数量不超过拟发行股票公司本次发行股票的总量；</w:t>
      </w:r>
    </w:p>
    <w:p w14:paraId="1016096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13</w:t>
      </w:r>
      <w:r>
        <w:rPr>
          <w:rFonts w:hint="eastAsia" w:ascii="宋体" w:hAnsi="Times New Roman" w:eastAsia="宋体" w:cs="宋体"/>
          <w:kern w:val="0"/>
          <w:sz w:val="24"/>
          <w:szCs w:val="24"/>
        </w:rPr>
        <w:t>）本基金参与融资的，在任何交易日日终，本基金融资买入股票与其他有价证券市值之和，不得超过基金资产净值的95%；</w:t>
      </w:r>
    </w:p>
    <w:p w14:paraId="3ED7D82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14</w:t>
      </w:r>
      <w:r>
        <w:rPr>
          <w:rFonts w:hint="eastAsia" w:ascii="宋体" w:hAnsi="Times New Roman" w:eastAsia="宋体" w:cs="宋体"/>
          <w:kern w:val="0"/>
          <w:sz w:val="24"/>
          <w:szCs w:val="24"/>
        </w:rPr>
        <w:t>）本基金投资于股指期货和国债期货，还应遵循如下投资组合限制：</w:t>
      </w:r>
    </w:p>
    <w:p w14:paraId="5914707D">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）在任何交易日日终，本基金持有的买入股指期货合约价值不超过基金资产净值的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；在任何交易日日终，持有的买入国债期货合约价值，不得超过基金资产净值15%；</w:t>
      </w:r>
    </w:p>
    <w:p w14:paraId="146EB1CE">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）在任何交易日日终，持有的卖出股指期货合约价值不超过基金持有的股票总市值的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；在任何交易日日终，持有的卖出国债期货合约价值不得超过基金持有的债券总市值的30%；</w:t>
      </w:r>
    </w:p>
    <w:p w14:paraId="4846BEA0">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3</w:t>
      </w:r>
      <w:r>
        <w:rPr>
          <w:rFonts w:hint="eastAsia" w:ascii="宋体" w:hAnsi="Times New Roman" w:eastAsia="宋体" w:cs="宋体"/>
          <w:kern w:val="0"/>
          <w:sz w:val="24"/>
          <w:szCs w:val="24"/>
        </w:rPr>
        <w:t>）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277FEA76">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4</w:t>
      </w:r>
      <w:r>
        <w:rPr>
          <w:rFonts w:hint="eastAsia" w:ascii="宋体" w:hAnsi="Times New Roman" w:eastAsia="宋体" w:cs="宋体"/>
          <w:kern w:val="0"/>
          <w:sz w:val="24"/>
          <w:szCs w:val="24"/>
        </w:rPr>
        <w:t>）本基金在任何交易日日终，持有的买入股指期货和国债期货合约价值与有价证券市值之和，不得超过基金资产净值的</w:t>
      </w:r>
      <w:r>
        <w:rPr>
          <w:rFonts w:ascii="宋体" w:hAnsi="Times New Roman" w:eastAsia="宋体" w:cs="宋体"/>
          <w:kern w:val="0"/>
          <w:sz w:val="24"/>
          <w:szCs w:val="24"/>
        </w:rPr>
        <w:t>100%</w:t>
      </w:r>
      <w:r>
        <w:rPr>
          <w:rFonts w:hint="eastAsia" w:ascii="宋体" w:hAnsi="Times New Roman" w:eastAsia="宋体" w:cs="宋体"/>
          <w:kern w:val="0"/>
          <w:sz w:val="24"/>
          <w:szCs w:val="24"/>
        </w:rPr>
        <w:t>。其中，有价证券指股票、债券（不含到期日在一年以内的政府债券）、资产支持证券、买入返售金融资产（不含质押式回购）等；</w:t>
      </w:r>
    </w:p>
    <w:p w14:paraId="77E838CF">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5</w:t>
      </w:r>
      <w:r>
        <w:rPr>
          <w:rFonts w:hint="eastAsia" w:ascii="宋体" w:hAnsi="Times New Roman" w:eastAsia="宋体" w:cs="宋体"/>
          <w:kern w:val="0"/>
          <w:sz w:val="24"/>
          <w:szCs w:val="24"/>
        </w:rPr>
        <w:t>）本基金在任何交易日内交易（不包括平仓）的股指期货合约的成交金额不得超过上一交易日基金资产净值的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；在任何交易日内交易（不包括平仓）的国债期货合约的成交金额不得超过上一交易日基金资产净值的30%；</w:t>
      </w:r>
    </w:p>
    <w:p w14:paraId="02C0D24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15</w:t>
      </w:r>
      <w:r>
        <w:rPr>
          <w:rFonts w:hint="eastAsia" w:ascii="宋体" w:hAnsi="Times New Roman" w:eastAsia="宋体" w:cs="宋体"/>
          <w:kern w:val="0"/>
          <w:sz w:val="24"/>
          <w:szCs w:val="24"/>
        </w:rPr>
        <w:t>）本基金投资于股票期权，还应遵循如下投资组合限制：</w:t>
      </w:r>
    </w:p>
    <w:p w14:paraId="7504238F">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14:paraId="66AE435C">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asciiTheme="minorEastAsia" w:hAnsiTheme="minorEastAsia"/>
          <w:color w:val="0D0D0D" w:themeColor="text1" w:themeTint="F2"/>
          <w:sz w:val="24"/>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）开仓卖出认购期权的，应持有足额标的证券；开仓卖出认沽期权的，应持有合约行权所需的全额现金或交易所规则认可的可冲抵期权保证金的现金等价物；</w:t>
      </w:r>
    </w:p>
    <w:p w14:paraId="0075ED3D">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14:paraId="5834F22F">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w:t>
      </w:r>
      <w:r>
        <w:rPr>
          <w:rFonts w:asciiTheme="minorEastAsia" w:hAnsiTheme="minorEastAsia"/>
          <w:color w:val="0D0D0D" w:themeColor="text1" w:themeTint="F2"/>
          <w:sz w:val="24"/>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）本基金参与转融通证券出借业务，需遵守下列投资限制：</w:t>
      </w:r>
    </w:p>
    <w:p w14:paraId="5F701CFE">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73FB937D">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14:paraId="1816FDD4">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3）最近6个月内日均基金资产净值不得低于2亿元；</w:t>
      </w:r>
    </w:p>
    <w:p w14:paraId="2589D793">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14:paraId="513ED976">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75AB5FA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）本基金主动投资于流动性受限资产的市值合计不得超过本基金资产净值的15%；</w:t>
      </w:r>
    </w:p>
    <w:p w14:paraId="6963B6A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因证券市场波动、上市公司股票停牌、基金规模变动等基金管理人之外的因素致使基金不符合该比例限制的，基金管理人不得主动新增流动性受限资产的投资；</w:t>
      </w:r>
    </w:p>
    <w:p w14:paraId="73892F3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）本基金与私募类证券资管产品及中国证监会认定的其他主体为交易对手开展逆回购交易的，可接受质押品的资质要求应当与基金合同约定的投资范围保持一致；</w:t>
      </w:r>
    </w:p>
    <w:p w14:paraId="34861230">
      <w:pPr>
        <w:adjustRightInd w:val="0"/>
        <w:snapToGrid w:val="0"/>
        <w:spacing w:line="360" w:lineRule="auto"/>
        <w:ind w:firstLine="422" w:firstLineChars="176"/>
        <w:rPr>
          <w:rFonts w:ascii="宋体" w:hAnsi="Times New Roman" w:eastAsia="宋体" w:cs="宋体"/>
          <w:kern w:val="0"/>
          <w:sz w:val="24"/>
          <w:szCs w:val="24"/>
        </w:rPr>
      </w:pPr>
      <w:r>
        <w:rPr>
          <w:rFonts w:hint="eastAsia" w:asciiTheme="minorEastAsia" w:hAnsiTheme="minorEastAsia"/>
          <w:sz w:val="24"/>
        </w:rPr>
        <w:t>（19）本基金投资存托凭证的比例限制依照境内上市交易的股票执行</w:t>
      </w:r>
      <w:r>
        <w:rPr>
          <w:rFonts w:hint="eastAsia" w:ascii="宋体" w:hAnsi="宋体"/>
          <w:bCs/>
          <w:sz w:val="24"/>
        </w:rPr>
        <w:t>，与境内上市交易的股票合并计算</w:t>
      </w:r>
      <w:r>
        <w:rPr>
          <w:rFonts w:hint="eastAsia" w:asciiTheme="minorEastAsia" w:hAnsiTheme="minorEastAsia"/>
          <w:sz w:val="24"/>
        </w:rPr>
        <w:t>；</w:t>
      </w:r>
    </w:p>
    <w:p w14:paraId="010544C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（20）相关法律法规以及监管部门规定的和</w:t>
      </w:r>
      <w:r>
        <w:rPr>
          <w:rFonts w:ascii="宋体" w:hAnsi="Times New Roman" w:eastAsia="宋体" w:cs="宋体"/>
          <w:kern w:val="0"/>
          <w:sz w:val="24"/>
          <w:szCs w:val="24"/>
        </w:rPr>
        <w:t>基金合同约定的</w:t>
      </w:r>
      <w:r>
        <w:rPr>
          <w:rFonts w:hint="eastAsia" w:ascii="宋体" w:hAnsi="Times New Roman" w:eastAsia="宋体" w:cs="宋体"/>
          <w:kern w:val="0"/>
          <w:sz w:val="24"/>
          <w:szCs w:val="24"/>
        </w:rPr>
        <w:t>其它投资比例限制。</w:t>
      </w:r>
    </w:p>
    <w:p w14:paraId="4464FBB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除上述第（1）、（2）、（11）、（1</w:t>
      </w:r>
      <w:r>
        <w:rPr>
          <w:rFonts w:ascii="宋体" w:hAnsi="Times New Roman" w:eastAsia="宋体" w:cs="宋体"/>
          <w:kern w:val="0"/>
          <w:sz w:val="24"/>
          <w:szCs w:val="24"/>
        </w:rPr>
        <w:t>6</w:t>
      </w: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）项外，</w:t>
      </w:r>
      <w:r>
        <w:rPr>
          <w:rFonts w:ascii="宋体" w:hAnsi="Times New Roman" w:eastAsia="宋体" w:cs="宋体"/>
          <w:kern w:val="0"/>
          <w:sz w:val="24"/>
          <w:szCs w:val="24"/>
        </w:rPr>
        <w:t>因证券</w:t>
      </w:r>
      <w:r>
        <w:rPr>
          <w:rFonts w:hint="eastAsia" w:ascii="宋体" w:hAnsi="Times New Roman" w:eastAsia="宋体" w:cs="宋体"/>
          <w:kern w:val="0"/>
          <w:sz w:val="24"/>
          <w:szCs w:val="24"/>
        </w:rPr>
        <w:t>、期货</w:t>
      </w:r>
      <w:r>
        <w:rPr>
          <w:rFonts w:ascii="宋体" w:hAnsi="Times New Roman" w:eastAsia="宋体" w:cs="宋体"/>
          <w:kern w:val="0"/>
          <w:sz w:val="24"/>
          <w:szCs w:val="24"/>
        </w:rPr>
        <w:t>市场波动、</w:t>
      </w:r>
      <w:r>
        <w:rPr>
          <w:rFonts w:hint="eastAsia" w:ascii="宋体" w:hAnsi="Times New Roman" w:eastAsia="宋体" w:cs="宋体"/>
          <w:kern w:val="0"/>
          <w:sz w:val="24"/>
          <w:szCs w:val="24"/>
        </w:rPr>
        <w:t>证券发行人</w:t>
      </w:r>
      <w:r>
        <w:rPr>
          <w:rFonts w:ascii="宋体" w:hAnsi="Times New Roman" w:eastAsia="宋体" w:cs="宋体"/>
          <w:kern w:val="0"/>
          <w:sz w:val="24"/>
          <w:szCs w:val="24"/>
        </w:rPr>
        <w:t>合并、基金规模变动</w:t>
      </w:r>
      <w:r>
        <w:rPr>
          <w:rFonts w:hint="eastAsia" w:ascii="宋体" w:hAnsi="Times New Roman" w:eastAsia="宋体" w:cs="宋体"/>
          <w:kern w:val="0"/>
          <w:sz w:val="24"/>
          <w:szCs w:val="24"/>
        </w:rPr>
        <w:t>、标的指数成份股调整、标的指数成份股流动性限制、目标ETF暂停申购/赎回或二级市场交易停牌</w:t>
      </w:r>
      <w:r>
        <w:rPr>
          <w:rFonts w:ascii="宋体" w:hAnsi="Times New Roman" w:eastAsia="宋体" w:cs="宋体"/>
          <w:kern w:val="0"/>
          <w:sz w:val="24"/>
          <w:szCs w:val="24"/>
        </w:rPr>
        <w:t>等基金管理人之外的因素致使基金投资比例不符合上述规定投资比例的，基金管理人应当在10个交易日内进行调整</w:t>
      </w:r>
      <w:r>
        <w:rPr>
          <w:rFonts w:hint="eastAsia" w:ascii="宋体" w:hAnsi="Times New Roman" w:eastAsia="宋体" w:cs="宋体"/>
          <w:kern w:val="0"/>
          <w:sz w:val="24"/>
          <w:szCs w:val="24"/>
        </w:rPr>
        <w:t>，但中国证监会规定的特殊情形除外</w:t>
      </w:r>
      <w:r>
        <w:rPr>
          <w:rFonts w:ascii="宋体" w:hAnsi="Times New Roman" w:eastAsia="宋体" w:cs="宋体"/>
          <w:kern w:val="0"/>
          <w:sz w:val="24"/>
          <w:szCs w:val="24"/>
        </w:rPr>
        <w:t>。</w:t>
      </w:r>
      <w:r>
        <w:rPr>
          <w:rFonts w:hint="eastAsia" w:ascii="宋体" w:hAnsi="Times New Roman" w:eastAsia="宋体" w:cs="宋体"/>
          <w:kern w:val="0"/>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5AF59554">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基金管理人应当自基金合同生效之日起</w:t>
      </w:r>
      <w:r>
        <w:rPr>
          <w:rFonts w:hint="eastAsia" w:ascii="宋体" w:hAnsi="Times New Roman" w:eastAsia="宋体" w:cs="宋体"/>
          <w:kern w:val="0"/>
          <w:sz w:val="24"/>
          <w:szCs w:val="24"/>
        </w:rPr>
        <w:t>6</w:t>
      </w:r>
      <w:r>
        <w:rPr>
          <w:rFonts w:ascii="宋体" w:hAnsi="Times New Roman" w:eastAsia="宋体" w:cs="宋体"/>
          <w:kern w:val="0"/>
          <w:sz w:val="24"/>
          <w:szCs w:val="24"/>
        </w:rPr>
        <w:t>个月内使基金的投资组合比例符合基金合同的有关约定。</w:t>
      </w:r>
      <w:r>
        <w:rPr>
          <w:rFonts w:hint="eastAsia" w:ascii="宋体" w:hAnsi="Times New Roman" w:eastAsia="宋体" w:cs="宋体"/>
          <w:kern w:val="0"/>
          <w:sz w:val="24"/>
          <w:szCs w:val="24"/>
        </w:rPr>
        <w:t>在上述期间内，本基金的投资范围、投资策略应当符合基金合同的约定。</w:t>
      </w:r>
      <w:r>
        <w:rPr>
          <w:rFonts w:ascii="宋体" w:hAnsi="Times New Roman" w:eastAsia="宋体" w:cs="宋体"/>
          <w:kern w:val="0"/>
          <w:sz w:val="24"/>
          <w:szCs w:val="24"/>
        </w:rPr>
        <w:t>基金托管人对基金的投资的监督与检查自本基金合同生效之日起开始。</w:t>
      </w:r>
    </w:p>
    <w:p w14:paraId="14F2B34B">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法律法规或监管部门取消</w:t>
      </w:r>
      <w:r>
        <w:rPr>
          <w:rFonts w:hint="eastAsia" w:ascii="宋体" w:hAnsi="Times New Roman" w:eastAsia="宋体" w:cs="宋体"/>
          <w:kern w:val="0"/>
          <w:sz w:val="24"/>
          <w:szCs w:val="24"/>
        </w:rPr>
        <w:t>或变更</w:t>
      </w:r>
      <w:r>
        <w:rPr>
          <w:rFonts w:ascii="宋体" w:hAnsi="Times New Roman" w:eastAsia="宋体" w:cs="宋体"/>
          <w:kern w:val="0"/>
          <w:sz w:val="24"/>
          <w:szCs w:val="24"/>
        </w:rPr>
        <w:t>上述限制，如适用于本基金，基金管理人</w:t>
      </w:r>
      <w:r>
        <w:rPr>
          <w:rFonts w:hint="eastAsia" w:ascii="宋体" w:hAnsi="Times New Roman" w:eastAsia="宋体" w:cs="宋体"/>
          <w:kern w:val="0"/>
          <w:sz w:val="24"/>
          <w:szCs w:val="24"/>
        </w:rPr>
        <w:t>在</w:t>
      </w:r>
      <w:r>
        <w:rPr>
          <w:rFonts w:ascii="宋体" w:hAnsi="Times New Roman" w:eastAsia="宋体" w:cs="宋体"/>
          <w:kern w:val="0"/>
          <w:sz w:val="24"/>
          <w:szCs w:val="24"/>
        </w:rPr>
        <w:t>履行适当程序后，则本基金投资不再受相关限制</w:t>
      </w:r>
      <w:r>
        <w:rPr>
          <w:rFonts w:hint="eastAsia" w:ascii="宋体" w:hAnsi="Times New Roman" w:eastAsia="宋体" w:cs="宋体"/>
          <w:kern w:val="0"/>
          <w:sz w:val="24"/>
          <w:szCs w:val="24"/>
        </w:rPr>
        <w:t>，或以变更后的规定为准</w:t>
      </w:r>
      <w:r>
        <w:rPr>
          <w:rFonts w:ascii="宋体" w:hAnsi="Times New Roman" w:eastAsia="宋体" w:cs="宋体"/>
          <w:kern w:val="0"/>
          <w:sz w:val="24"/>
          <w:szCs w:val="24"/>
        </w:rPr>
        <w:t>。</w:t>
      </w:r>
    </w:p>
    <w:p w14:paraId="2D7C27A4">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、禁止行为</w:t>
      </w:r>
    </w:p>
    <w:p w14:paraId="3117FCE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为维护基金份额持有人的合法权益，基金财产不得用于下列投资或者活动：</w:t>
      </w:r>
    </w:p>
    <w:p w14:paraId="253DE73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）承销证券；</w:t>
      </w:r>
    </w:p>
    <w:p w14:paraId="380938A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）违反规定向他人贷款或者提供担保；</w:t>
      </w:r>
    </w:p>
    <w:p w14:paraId="442B57A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）从事承担无限责任的投资；</w:t>
      </w:r>
    </w:p>
    <w:p w14:paraId="6FD9A17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（4）买卖除目标ETF外的其他基金份额，但是中国证监会另有规定的除外；</w:t>
      </w:r>
    </w:p>
    <w:p w14:paraId="54F0F81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（5）向其基金管理人、基金托管人出资；</w:t>
      </w:r>
    </w:p>
    <w:p w14:paraId="6CD3F5C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（6）从事内幕交易、操纵证券交易价格及其他不正当的证券交易活动；</w:t>
      </w:r>
    </w:p>
    <w:p w14:paraId="1C49897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（7）法律、行政法规和中国证监会规定禁止的其他活动。</w:t>
      </w:r>
    </w:p>
    <w:p w14:paraId="22A861D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7725340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法律、行政法规或监管部门变更或取消上述规定，在履行适当程序后，本基金可按变更后的规定执行或不受上述规定的限制。</w:t>
      </w:r>
    </w:p>
    <w:p w14:paraId="0626C54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五、标的指数和业绩比较基准</w:t>
      </w:r>
    </w:p>
    <w:p w14:paraId="4A2AF8A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本基金的标的指数为：中证机器人指数。</w:t>
      </w:r>
    </w:p>
    <w:p w14:paraId="27569E8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本基金业绩比较基准为：中证机器人指数收益率×95%+活期存款基准利率×5%。</w:t>
      </w:r>
    </w:p>
    <w:p w14:paraId="7F6CCE2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1、业绩比较基准设定的原因</w:t>
      </w:r>
    </w:p>
    <w:p w14:paraId="3DF17EB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为股票型ETF联接基金，主要投资于目标ETF即博时中证机器人交易型开放式指数证券投资基金，以“紧密跟踪标的指数即中证机器人指数的表现，追求跟踪偏离度和跟踪误差的最小化”为投资目标，在投资中将不低于基金资产净值的90%，且不低于非现金基金资产的80%的资产投资于目标ETF。本基金的标的指数为中证机器人指数，相应选取中证机器人指数和活期存款基准利率作为基准要素，同时将中证机器人指数的基准要素权重设置为95%；选取活期存款基准利率作为流动性管理部分的业绩比较基准，同时将活期存款基准利率的基准要素权重设置为5%。</w:t>
      </w:r>
    </w:p>
    <w:p w14:paraId="4526A5D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综上，本基金选取的业绩比较基准与基金投资目标、投资范围、投资策略、投资比例限制相匹配。</w:t>
      </w:r>
    </w:p>
    <w:p w14:paraId="3CACDC9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2、业绩比较基准要素的基本信息</w:t>
      </w:r>
    </w:p>
    <w:p w14:paraId="2708034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中证机器人指数由中证指数有限公司编制发布，指数代码为H30590，具体信息详见中证指数有限公司网站，网址：https://www.csindex.com.cn/。</w:t>
      </w:r>
    </w:p>
    <w:p w14:paraId="50F11CC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活期存款基准利率由中国人民银行发布，具体信息详见中国人民银行网站，网址：www.pbc.gov.cn。</w:t>
      </w:r>
    </w:p>
    <w:p w14:paraId="7267D69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3、业绩比较基准的计算方法</w:t>
      </w:r>
    </w:p>
    <w:p w14:paraId="4C2D0EA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业绩比较基准收益率的计算方法以每日收益率为基础，以时间加权为计算原则。本基金先分别计算业绩比较基准中中证机器人指数和活期存款基准利率的每日收益率，再按照预设权重比例计算当日组合要素基准的日收益率，并连乘每日收益率。</w:t>
      </w:r>
    </w:p>
    <w:p w14:paraId="2A435E9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4、管理投资偏离业绩比较基准的定性或定量方法</w:t>
      </w:r>
    </w:p>
    <w:p w14:paraId="4EA245B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7BF8CDA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5、未来可能变更业绩比较基准的情况和程序</w:t>
      </w:r>
    </w:p>
    <w:p w14:paraId="3056E7DD">
      <w:pPr>
        <w:snapToGrid w:val="0"/>
        <w:spacing w:line="360" w:lineRule="auto"/>
        <w:ind w:firstLine="422"/>
        <w:rPr>
          <w:rFonts w:ascii="宋体" w:hAnsi="宋体" w:cs="宋体"/>
          <w:sz w:val="24"/>
        </w:rPr>
      </w:pPr>
      <w:r>
        <w:rPr>
          <w:rFonts w:hint="eastAsia" w:ascii="宋体" w:hAnsi="宋体" w:cs="宋体"/>
          <w:sz w:val="24"/>
        </w:rPr>
        <w:t>如本基金标的指数变化，则业绩比较基准中的标的指数将相应调整。业绩比较基准的调整根据标的指数的变更程序执行。若本基金调整业绩比较基准的要素权重，本基金将根据法律法规、中国证监会的规定和基金合同约定履行相关程序。</w:t>
      </w:r>
    </w:p>
    <w:p w14:paraId="2C39B323">
      <w:pPr>
        <w:adjustRightInd w:val="0"/>
        <w:snapToGrid w:val="0"/>
        <w:spacing w:line="360" w:lineRule="auto"/>
        <w:ind w:firstLine="480" w:firstLineChars="200"/>
        <w:rPr>
          <w:rFonts w:hint="eastAsia" w:asciiTheme="minorEastAsia" w:hAnsiTheme="minorEastAsia"/>
          <w:sz w:val="24"/>
        </w:rPr>
      </w:pPr>
      <w:r>
        <w:rPr>
          <w:rFonts w:hint="eastAsia" w:asciiTheme="minorEastAsia" w:hAnsiTheme="minorEastAsia"/>
          <w:sz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本基金合同终止。</w:t>
      </w:r>
    </w:p>
    <w:p w14:paraId="19CE6A3E">
      <w:pPr>
        <w:adjustRightInd w:val="0"/>
        <w:snapToGrid w:val="0"/>
        <w:spacing w:line="360" w:lineRule="auto"/>
        <w:ind w:firstLine="480" w:firstLineChars="200"/>
        <w:rPr>
          <w:rFonts w:asciiTheme="minorEastAsia" w:hAnsiTheme="minorEastAsia"/>
          <w:sz w:val="24"/>
        </w:rPr>
      </w:pPr>
      <w:r>
        <w:rPr>
          <w:rFonts w:hint="eastAsia" w:asciiTheme="minorEastAsia" w:hAnsiTheme="minorEastAsia"/>
          <w:sz w:val="24"/>
        </w:rPr>
        <w:t>自指数编制机构停止标的指数的编制及发布至解决方案确定期间，基金管理人应按照指数编制机构提供的最近一个交易日的指数信息遵循基金份额持有人利益优先原则维持基金投资运作。</w:t>
      </w:r>
    </w:p>
    <w:p w14:paraId="32C8D2FF">
      <w:pPr>
        <w:adjustRightInd w:val="0"/>
        <w:snapToGrid w:val="0"/>
        <w:spacing w:line="360" w:lineRule="auto"/>
        <w:ind w:firstLine="480" w:firstLineChars="200"/>
        <w:rPr>
          <w:rFonts w:asciiTheme="minorEastAsia" w:hAnsiTheme="minorEastAsia"/>
          <w:sz w:val="24"/>
        </w:rPr>
      </w:pPr>
      <w:r>
        <w:rPr>
          <w:rFonts w:hint="eastAsia" w:asciiTheme="minorEastAsia" w:hAnsiTheme="minorEastAsia"/>
          <w:sz w:val="24"/>
        </w:rPr>
        <w:t>法律法规或监管机构另有规定的，从其规定。</w:t>
      </w:r>
    </w:p>
    <w:p w14:paraId="010D4EF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六、风险收益特征</w:t>
      </w:r>
    </w:p>
    <w:p w14:paraId="720D404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为ETF联接基金，通过投资于目标ETF跟踪标的指数表现，具有与标的指数以及标的指数所代表的证券市场相似的风险收益特征。同时，本基金为被动式投资的股票型指数基金，跟踪中证机器人指数，其预期风险与预期收益高于债券型基金、混合型基金、货币市场基金。本基金如果投资港股通标的股票，需承担汇率风险以及境外市场的风险。</w:t>
      </w:r>
    </w:p>
    <w:p w14:paraId="18FA9F8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七、基金管理人代表基金行使股东或债权人权利的处理原则及方法</w:t>
      </w:r>
    </w:p>
    <w:p w14:paraId="03B9C18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1、基金管理人按照国家有关规定代表基金独立行使股东或债权人权利，保护基金份额持有人的利益； </w:t>
      </w:r>
    </w:p>
    <w:p w14:paraId="415322D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2、不谋求对上市公司的控股； </w:t>
      </w:r>
    </w:p>
    <w:p w14:paraId="0893109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3、有利于基金财产的安全与增值； </w:t>
      </w:r>
    </w:p>
    <w:p w14:paraId="1F65654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4、不通过关联交易为自身、雇员、授权代理人或任何存在利害关系的第三人牟取任何不当利益。</w:t>
      </w:r>
    </w:p>
    <w:p w14:paraId="2CE013D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八、目标ETF发生相关变更情形时的处理</w:t>
      </w:r>
    </w:p>
    <w:p w14:paraId="05D3E19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除标的指数不符合要求（因成份股价格波动等指数编制方法变动之外的因素致使标的指数不符合要求以及法律法规、监管机构另有规定的情形除外）、指数编制机构退出等原因外，目标ETF出现下述情形之一的，本基金将在履行适当程序后由投资于目标ETF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ETF的表述部分，届时将由基金管理人另行公告。</w:t>
      </w:r>
    </w:p>
    <w:p w14:paraId="6A06CF7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1、目标ETF交易方式发生重大变更致使本基金的投资策略难以实现；</w:t>
      </w:r>
    </w:p>
    <w:p w14:paraId="25A1B47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2、目标ETF终止上市；</w:t>
      </w:r>
    </w:p>
    <w:p w14:paraId="11143B1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3、目标ETF基金合同终止；</w:t>
      </w:r>
    </w:p>
    <w:p w14:paraId="5DB9D04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4、目标ETF与其他基金进行合并；</w:t>
      </w:r>
    </w:p>
    <w:p w14:paraId="5DE1D70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5、目标ETF的基金管理人发生变更（但变更后的本基金与目标ETF的基金管理人相同的除外）；</w:t>
      </w:r>
    </w:p>
    <w:p w14:paraId="7B474C7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6、中国证监会规定的其他情形。</w:t>
      </w:r>
    </w:p>
    <w:p w14:paraId="5315425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九、侧袋机制的实施和投资运作安排</w:t>
      </w:r>
    </w:p>
    <w:p w14:paraId="65D27F2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125BD00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侧袋机制实施期间，本部分约定的投资组合比例、投资策略、组合限制、业绩比较基准、风险收益特征等约定仅适用于主袋账户。</w:t>
      </w:r>
    </w:p>
    <w:p w14:paraId="5E6873E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侧袋账户的实施条件、实施程序、运作安排、投资安排、特定资产的处置变现和支付等对投资者权益有重大影响的事项详见招募说明书的规定。</w:t>
      </w:r>
    </w:p>
    <w:p w14:paraId="313473A0">
      <w:pPr>
        <w:tabs>
          <w:tab w:val="left" w:pos="3780"/>
        </w:tabs>
        <w:autoSpaceDE w:val="0"/>
        <w:autoSpaceDN w:val="0"/>
        <w:snapToGrid w:val="0"/>
        <w:spacing w:line="360" w:lineRule="auto"/>
        <w:ind w:firstLine="482" w:firstLineChars="201"/>
        <w:textAlignment w:val="bottom"/>
        <w:rPr>
          <w:rFonts w:ascii="Arial" w:hAnsi="宋体" w:eastAsia="宋体" w:cs="Arial"/>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4A6B261D">
      <w:pPr>
        <w:pStyle w:val="2"/>
        <w:spacing w:before="0" w:after="0" w:line="360" w:lineRule="auto"/>
        <w:ind w:firstLine="602" w:firstLineChars="200"/>
        <w:jc w:val="center"/>
        <w:rPr>
          <w:rFonts w:ascii="Times New Roman" w:hAnsi="Times New Roman"/>
          <w:kern w:val="0"/>
          <w:sz w:val="30"/>
          <w:lang w:val="zh-CN"/>
        </w:rPr>
      </w:pPr>
      <w:bookmarkStart w:id="15" w:name="_Toc471235850"/>
      <w:r>
        <w:rPr>
          <w:rFonts w:hint="eastAsia" w:ascii="Times New Roman" w:hAnsi="Times New Roman"/>
          <w:kern w:val="0"/>
          <w:sz w:val="30"/>
          <w:lang w:val="zh-CN"/>
        </w:rPr>
        <w:t>第十三部分</w:t>
      </w:r>
      <w:r>
        <w:rPr>
          <w:rFonts w:ascii="Times New Roman" w:hAnsi="Times New Roman"/>
          <w:kern w:val="0"/>
          <w:sz w:val="30"/>
          <w:lang w:val="zh-CN"/>
        </w:rPr>
        <w:t xml:space="preserve"> </w:t>
      </w:r>
      <w:r>
        <w:rPr>
          <w:rFonts w:hint="eastAsia" w:ascii="Times New Roman" w:hAnsi="Times New Roman"/>
          <w:kern w:val="0"/>
          <w:sz w:val="30"/>
          <w:lang w:val="zh-CN"/>
        </w:rPr>
        <w:t>基金的财产</w:t>
      </w:r>
      <w:bookmarkEnd w:id="15"/>
    </w:p>
    <w:p w14:paraId="6CD1A7E2">
      <w:pPr>
        <w:autoSpaceDE w:val="0"/>
        <w:autoSpaceDN w:val="0"/>
        <w:adjustRightInd w:val="0"/>
        <w:spacing w:line="360" w:lineRule="auto"/>
        <w:ind w:firstLine="480" w:firstLineChars="200"/>
        <w:rPr>
          <w:rFonts w:cs="宋体" w:asciiTheme="minorEastAsia" w:hAnsiTheme="minorEastAsia"/>
          <w:kern w:val="0"/>
          <w:sz w:val="24"/>
          <w:szCs w:val="24"/>
        </w:rPr>
      </w:pPr>
    </w:p>
    <w:p w14:paraId="7A8DF95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一、基金资产总值</w:t>
      </w:r>
    </w:p>
    <w:p w14:paraId="1260718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基金资产总值是指基金拥有的目标ETF基金份额、各类有价证券、银行存款本息、基金应收款项及其他资产的价值总和。</w:t>
      </w:r>
    </w:p>
    <w:p w14:paraId="4639EAF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二、基金资产净值</w:t>
      </w:r>
    </w:p>
    <w:p w14:paraId="7F9A8A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基金资产净值是指基金资产总值减去基金负债后的价值。</w:t>
      </w:r>
    </w:p>
    <w:p w14:paraId="04F565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三、基金财产的账户</w:t>
      </w:r>
    </w:p>
    <w:p w14:paraId="1C98A75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0D4CA99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四、基金财产的保管和处分</w:t>
      </w:r>
    </w:p>
    <w:p w14:paraId="1DF0FDF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A0C5FF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131776C9">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6012EFB5">
      <w:pPr>
        <w:pStyle w:val="2"/>
        <w:spacing w:before="0" w:after="0" w:line="360" w:lineRule="auto"/>
        <w:ind w:firstLine="602" w:firstLineChars="200"/>
        <w:jc w:val="center"/>
        <w:rPr>
          <w:rFonts w:ascii="Times New Roman" w:hAnsi="Times New Roman"/>
          <w:kern w:val="0"/>
          <w:sz w:val="30"/>
          <w:lang w:val="zh-CN"/>
        </w:rPr>
      </w:pPr>
      <w:bookmarkStart w:id="16" w:name="_Toc471235851"/>
      <w:r>
        <w:rPr>
          <w:rFonts w:hint="eastAsia" w:ascii="Times New Roman" w:hAnsi="Times New Roman"/>
          <w:kern w:val="0"/>
          <w:sz w:val="30"/>
          <w:lang w:val="zh-CN"/>
        </w:rPr>
        <w:t>第十四部分</w:t>
      </w:r>
      <w:r>
        <w:rPr>
          <w:rFonts w:ascii="Times New Roman" w:hAnsi="Times New Roman"/>
          <w:kern w:val="0"/>
          <w:sz w:val="30"/>
          <w:lang w:val="zh-CN"/>
        </w:rPr>
        <w:t xml:space="preserve"> </w:t>
      </w:r>
      <w:r>
        <w:rPr>
          <w:rFonts w:hint="eastAsia" w:ascii="Times New Roman" w:hAnsi="Times New Roman"/>
          <w:kern w:val="0"/>
          <w:sz w:val="30"/>
          <w:lang w:val="zh-CN"/>
        </w:rPr>
        <w:t>基金资产估值</w:t>
      </w:r>
      <w:bookmarkEnd w:id="16"/>
    </w:p>
    <w:p w14:paraId="71229A02">
      <w:pPr>
        <w:autoSpaceDE w:val="0"/>
        <w:autoSpaceDN w:val="0"/>
        <w:adjustRightInd w:val="0"/>
        <w:spacing w:line="360" w:lineRule="auto"/>
        <w:ind w:firstLine="480" w:firstLineChars="200"/>
        <w:rPr>
          <w:rFonts w:cs="宋体" w:asciiTheme="minorEastAsia" w:hAnsiTheme="minorEastAsia"/>
          <w:kern w:val="0"/>
          <w:sz w:val="24"/>
          <w:szCs w:val="24"/>
        </w:rPr>
      </w:pPr>
    </w:p>
    <w:p w14:paraId="55A229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一、估值日</w:t>
      </w:r>
    </w:p>
    <w:p w14:paraId="02D7084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本基金的估值日为本基金相关的证券交易场所的交易日以及国家法律法规规定需要对外披露基金净值的非交易日。</w:t>
      </w:r>
    </w:p>
    <w:p w14:paraId="03B64F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二、估值对象</w:t>
      </w:r>
    </w:p>
    <w:p w14:paraId="71240FF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基金所拥有的目标ETF基金份额、股票（含存托凭证）、股指期货合约、国债期货合约、股票期权合约、债券和银行存款本息、应收款项、资产支持证券、其它投资等资产及负债。</w:t>
      </w:r>
    </w:p>
    <w:p w14:paraId="3D97154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三、估值原则</w:t>
      </w:r>
    </w:p>
    <w:p w14:paraId="367AFA0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基金管理人在确定相关金融资产和金融负债的公允价值时，应符合《企业会计准则》、监管部门有关规定。</w:t>
      </w:r>
    </w:p>
    <w:p w14:paraId="4183E74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090929D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2C56C4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B72240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（三）如经济环境发生重大变化或证券发行人发生影响证券价格的重大事件，使潜在估值调整对前一估值日的基金资产净值的影响在0.25%以上的，应对估值进行调整并确定公允价值。</w:t>
      </w:r>
    </w:p>
    <w:p w14:paraId="4B6EBAC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四、估值方法</w:t>
      </w:r>
    </w:p>
    <w:p w14:paraId="5A977D0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1、本基金持有的目标ETF基金份额以其当日基金份额净值估值，当日无基金份额净值的，以最近工作日的基金份额净值估值。</w:t>
      </w:r>
    </w:p>
    <w:p w14:paraId="4F87C65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DE68A9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5FB7EC1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01BE174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B6F95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7856E5E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080D05C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7、处于未上市期间的有价证券应区分如下情况处理：</w:t>
      </w:r>
    </w:p>
    <w:p w14:paraId="1693048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（1）送股、转增股、配股和公开增发的新股，按估值日在证券交易所挂牌的同一股票的估值方法估值；该日无交易的，以最近一日的市价（收盘价）估值；</w:t>
      </w:r>
    </w:p>
    <w:p w14:paraId="7080E76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（2）首次公开发行未上市的股票，采用估值技术确定公允价值；</w:t>
      </w:r>
    </w:p>
    <w:p w14:paraId="2019800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C1ECAF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8、本基金投资存托凭证的估值核算，依照境内上市交易的股票执行。</w:t>
      </w:r>
    </w:p>
    <w:p w14:paraId="3655DDB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9、同一证券同时在两个或两个以上市场交易的，按证券所处的市场分别估值。</w:t>
      </w:r>
    </w:p>
    <w:p w14:paraId="0EF475A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10、本基金参与股指期货合约、国债期货合约交易，一般以估值当日结算价进行估值，估值当日无结算价的，且最近交易日后经济环境未发生重大变化的，采用最近交易日结算价估值。</w:t>
      </w:r>
    </w:p>
    <w:p w14:paraId="297FDA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11、本基金投资股票期权，根据相关法律法规以及监管部门的规定估值。</w:t>
      </w:r>
    </w:p>
    <w:p w14:paraId="57B47DA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12、本基金参与融资或转融通证券出借业务的，应参照行业协会的相关规定进行估值，确保估值的公允性。</w:t>
      </w:r>
    </w:p>
    <w:p w14:paraId="1370DD20">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3、汇率</w:t>
      </w:r>
    </w:p>
    <w:p w14:paraId="1435E49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本基金外币资产价值计算中，涉及主要货币对人民币汇率的，应当以基金估值日中国人民银行或其授权机构公布的人民币汇率中间价为准。</w:t>
      </w:r>
    </w:p>
    <w:p w14:paraId="3E9C60E0">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4、如有确凿证据表明按上述方法进行估值不能客观反映其公允价值的，基金管理人可根据具体情况与基金托管人商定后，按最能反映公允价值的价格估值。</w:t>
      </w:r>
    </w:p>
    <w:p w14:paraId="5283C56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15、当发生大额申购或赎回情形时，基金管理人可以采用摆动定价机制，以确保基金估值的公平性。具体处理原则与操作规范遵循相关法律法规以及监管部门、自律规则的规定。</w:t>
      </w:r>
    </w:p>
    <w:p w14:paraId="0D28C339">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6、相关法律法规以及监管部门有强制规定的，从其规定。如有新增事项，按国家最新规定估值。</w:t>
      </w:r>
    </w:p>
    <w:p w14:paraId="399E03D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531476D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ascii="宋体" w:hAnsi="宋体"/>
          <w:color w:val="000000"/>
          <w:kern w:val="0"/>
          <w:sz w:val="24"/>
        </w:rPr>
        <w:t>，但基金托管人有权向监管部门</w:t>
      </w:r>
      <w:r>
        <w:rPr>
          <w:rFonts w:ascii="宋体" w:hAnsi="宋体"/>
          <w:color w:val="000000"/>
          <w:kern w:val="0"/>
          <w:sz w:val="24"/>
          <w:u w:val="dotted"/>
        </w:rPr>
        <w:t>报</w:t>
      </w:r>
      <w:r>
        <w:rPr>
          <w:rFonts w:hint="eastAsia" w:ascii="宋体" w:hAnsi="宋体"/>
          <w:color w:val="000000"/>
          <w:kern w:val="0"/>
          <w:sz w:val="24"/>
          <w:u w:val="dotted"/>
        </w:rPr>
        <w:t>告</w:t>
      </w:r>
      <w:r>
        <w:rPr>
          <w:rFonts w:hint="eastAsia" w:cs="宋体" w:asciiTheme="minorEastAsia" w:hAnsiTheme="minorEastAsia"/>
          <w:kern w:val="0"/>
          <w:sz w:val="24"/>
          <w:szCs w:val="24"/>
        </w:rPr>
        <w:t>。</w:t>
      </w:r>
    </w:p>
    <w:p w14:paraId="5CD40E1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五、估值程序</w:t>
      </w:r>
    </w:p>
    <w:p w14:paraId="1EC87AA4">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14:paraId="3A84C1C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基金管理人于每个工作日计算基金资产净值及各类基金份额净值，并按规定公告。</w:t>
      </w:r>
    </w:p>
    <w:p w14:paraId="2CA1C0C0">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520E1B3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Times New Roman" w:asciiTheme="minorEastAsia" w:hAnsiTheme="minorEastAsia"/>
          <w:kern w:val="0"/>
          <w:sz w:val="24"/>
          <w:szCs w:val="24"/>
        </w:rPr>
        <w:t>六、</w:t>
      </w:r>
      <w:r>
        <w:rPr>
          <w:rFonts w:hint="eastAsia" w:cs="宋体" w:asciiTheme="minorEastAsia" w:hAnsiTheme="minorEastAsia"/>
          <w:kern w:val="0"/>
          <w:sz w:val="24"/>
          <w:szCs w:val="24"/>
        </w:rPr>
        <w:t>估值错误的处理</w:t>
      </w:r>
    </w:p>
    <w:p w14:paraId="7596464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基金管理人和基金托管人将采取必要、适当、合理的措施确保基金资产估值的准确性、及时性。当任一类基金份额净值小数点后4位以内(含第4位)发生估值错误时，视为该类基金份额净值错误。</w:t>
      </w:r>
    </w:p>
    <w:p w14:paraId="361A98F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本基金合同的当事人应按照以下约定处理：</w:t>
      </w:r>
    </w:p>
    <w:p w14:paraId="6CD2849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1、估值错误类型</w:t>
      </w:r>
      <w:r>
        <w:rPr>
          <w:rFonts w:hint="eastAsia" w:cs="宋体" w:asciiTheme="minorEastAsia" w:hAnsiTheme="minorEastAsia"/>
          <w:kern w:val="0"/>
          <w:sz w:val="24"/>
          <w:szCs w:val="24"/>
        </w:rPr>
        <w:tab/>
      </w:r>
    </w:p>
    <w:p w14:paraId="466D8D2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5E43BA3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上述估值错误的主要类型包括但不限于：资料申报差错、数据传输差错、数据计算差错、系统故障差错、下达指令差错等。</w:t>
      </w:r>
    </w:p>
    <w:p w14:paraId="7E7855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2、估值错误处理原则</w:t>
      </w:r>
    </w:p>
    <w:p w14:paraId="37EF6FE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4C8966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（2）估值错误的责任方对有关当事人的直接损失负责，不对间接损失负责，并且仅对估值错误的有关直接当事人负责，不对第三方负责。</w:t>
      </w:r>
    </w:p>
    <w:p w14:paraId="73A68AB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1EEFD46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（4）估值错误调整采用尽量恢复至假设未发生估值错误的正确情形的方式。</w:t>
      </w:r>
    </w:p>
    <w:p w14:paraId="061CEE5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3、估值错误处理程序</w:t>
      </w:r>
    </w:p>
    <w:p w14:paraId="4700764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估值错误被发现后，有关的当事人应当及时进行处理，处理的程序如下：</w:t>
      </w:r>
    </w:p>
    <w:p w14:paraId="1B4A6DB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（1）查明估值错误发生的原因，列明所有的当事人，并根据估值错误发生的原因确定估值错误的责任方；</w:t>
      </w:r>
    </w:p>
    <w:p w14:paraId="7A7CEF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（2）根据估值错误处理原则或当事人协商的方法对因估值错误造成的损失进行评估；</w:t>
      </w:r>
    </w:p>
    <w:p w14:paraId="169B4F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（3）根据估值错误处理原则或当事人协商的方法由估值错误的责任方进行更正和赔偿损失；</w:t>
      </w:r>
    </w:p>
    <w:p w14:paraId="6049009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（4）根据估值错误处理的方法，需要修改基金登记机构交易数据的，由基金登记机构进行更正，并就估值错误的更正向有关当事人进行确认。</w:t>
      </w:r>
    </w:p>
    <w:p w14:paraId="1444F86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4、基金份额净值估值错误处理的方法如下：</w:t>
      </w:r>
    </w:p>
    <w:p w14:paraId="0441080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（1）基金份额净值计算出现错误时，基金管理人应当立即予以纠正，通报基金托管人，并采取合理的措施防止损失进一步扩大。</w:t>
      </w:r>
    </w:p>
    <w:p w14:paraId="4DEA68F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（2）错误偏差达到该类基金份额净值的0.25%时，基金管理人应当通报基金托管人并报中国证监会备案；错误偏差达到该类基金份额净值的0.5%时，基金管理人应当公告，并报中国证监会备案。</w:t>
      </w:r>
    </w:p>
    <w:p w14:paraId="2F4C0C23">
      <w:pPr>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（3）基金管理人和基金托管人由于各自技术系统设置而产生的净值计算尾差，以基金管理人计算结果为准。</w:t>
      </w:r>
    </w:p>
    <w:p w14:paraId="1DCBFF4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（4）前述内容如法律法规或监管机关另有规定的，从其规定处理。如果行业另有通行做法，基金管理人、基金托管人应本着平等和保护基金份额持有人利益的原则进行协商。</w:t>
      </w:r>
    </w:p>
    <w:p w14:paraId="0E6E22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七、暂停估值的情形</w:t>
      </w:r>
    </w:p>
    <w:p w14:paraId="085D42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1、基金投资所涉及的证券、期货交易市场或外汇市场遇法定节假日或因其他原因暂停营业时；</w:t>
      </w:r>
    </w:p>
    <w:p w14:paraId="1FFCE7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2、因不可抗力致使基金管理人、基金托管人无法准确评估基金资产价值时；</w:t>
      </w:r>
    </w:p>
    <w:p w14:paraId="2D9BA0F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3、所投资的目标ETF暂停估值、暂停公告基金份额净值时；</w:t>
      </w:r>
    </w:p>
    <w:p w14:paraId="2366A26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4、当特定资产占前一估值日基金资产净值50%以上的，经与基金托管人协商确认后，基金管理人应当暂停估值；</w:t>
      </w:r>
    </w:p>
    <w:p w14:paraId="5BB9FEF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5、法律法规规定、中国证监会和基金合同认定的其它情形。</w:t>
      </w:r>
    </w:p>
    <w:p w14:paraId="7850F95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八、基金净值的确认</w:t>
      </w:r>
    </w:p>
    <w:p w14:paraId="394A100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7E55F1A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九、特殊情况的处理</w:t>
      </w:r>
    </w:p>
    <w:p w14:paraId="185A350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1、基金管理人或基金托管人按估值方法的第</w:t>
      </w:r>
      <w:r>
        <w:rPr>
          <w:rFonts w:cs="宋体" w:asciiTheme="minorEastAsia" w:hAnsiTheme="minorEastAsia"/>
          <w:kern w:val="0"/>
          <w:sz w:val="24"/>
          <w:szCs w:val="24"/>
        </w:rPr>
        <w:t>1</w:t>
      </w:r>
      <w:r>
        <w:rPr>
          <w:rFonts w:hint="eastAsia" w:cs="宋体" w:asciiTheme="minorEastAsia" w:hAnsiTheme="minorEastAsia"/>
          <w:kern w:val="0"/>
          <w:sz w:val="24"/>
          <w:szCs w:val="24"/>
        </w:rPr>
        <w:t>4项进行估值时，所造成的误差不作为基金资产估值错误处理。</w:t>
      </w:r>
    </w:p>
    <w:p w14:paraId="12AD3DC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2634265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十、实施侧袋机制期间的基金资产估值</w:t>
      </w:r>
    </w:p>
    <w:p w14:paraId="708DE1F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本基金实施侧袋机制的，应根据本部分的约定对主袋账户资产进行估值并披露主袋账户的基金净值信息，暂停披露侧袋账户基金净值信息。</w:t>
      </w:r>
    </w:p>
    <w:p w14:paraId="32141405">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792E2748">
      <w:pPr>
        <w:pStyle w:val="2"/>
        <w:spacing w:before="0" w:after="0" w:line="360" w:lineRule="auto"/>
        <w:ind w:firstLine="602" w:firstLineChars="200"/>
        <w:jc w:val="center"/>
        <w:rPr>
          <w:rFonts w:ascii="Times New Roman" w:hAnsi="Times New Roman"/>
          <w:kern w:val="0"/>
          <w:sz w:val="30"/>
          <w:lang w:val="zh-CN"/>
        </w:rPr>
      </w:pPr>
      <w:bookmarkStart w:id="17" w:name="_Toc471235852"/>
      <w:r>
        <w:rPr>
          <w:rFonts w:hint="eastAsia" w:ascii="Times New Roman" w:hAnsi="Times New Roman"/>
          <w:kern w:val="0"/>
          <w:sz w:val="30"/>
          <w:lang w:val="zh-CN"/>
        </w:rPr>
        <w:t>第十五部分</w:t>
      </w:r>
      <w:r>
        <w:rPr>
          <w:rFonts w:ascii="Times New Roman" w:hAnsi="Times New Roman"/>
          <w:kern w:val="0"/>
          <w:sz w:val="30"/>
          <w:lang w:val="zh-CN"/>
        </w:rPr>
        <w:t xml:space="preserve"> </w:t>
      </w:r>
      <w:r>
        <w:rPr>
          <w:rFonts w:hint="eastAsia" w:ascii="Times New Roman" w:hAnsi="Times New Roman"/>
          <w:kern w:val="0"/>
          <w:sz w:val="30"/>
          <w:lang w:val="zh-CN"/>
        </w:rPr>
        <w:t>基金费用与税收</w:t>
      </w:r>
      <w:bookmarkEnd w:id="17"/>
    </w:p>
    <w:p w14:paraId="7021F79F">
      <w:pPr>
        <w:autoSpaceDE w:val="0"/>
        <w:autoSpaceDN w:val="0"/>
        <w:adjustRightInd w:val="0"/>
        <w:spacing w:line="360" w:lineRule="auto"/>
        <w:ind w:firstLine="480" w:firstLineChars="200"/>
        <w:rPr>
          <w:rFonts w:cs="宋体" w:asciiTheme="minorEastAsia" w:hAnsiTheme="minorEastAsia"/>
          <w:kern w:val="0"/>
          <w:sz w:val="24"/>
          <w:szCs w:val="24"/>
        </w:rPr>
      </w:pPr>
    </w:p>
    <w:p w14:paraId="6DE0371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一、基金费用的种类</w:t>
      </w:r>
    </w:p>
    <w:p w14:paraId="6ADFE70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1、基金管理人的管理费；</w:t>
      </w:r>
    </w:p>
    <w:p w14:paraId="77AFAE86">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14:paraId="2AA22EE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w:t>
      </w:r>
      <w:r>
        <w:rPr>
          <w:rFonts w:hint="eastAsia" w:ascii="Times New Roman" w:hAnsi="Times New Roman" w:eastAsia="宋体" w:cs="Times New Roman"/>
          <w:bCs/>
          <w:sz w:val="24"/>
          <w:szCs w:val="20"/>
        </w:rPr>
        <w:t>、C类基金份额的销售服务费；</w:t>
      </w:r>
    </w:p>
    <w:p w14:paraId="3CEA4FA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4、基金合同生效后与基金相关的信息披露费用</w:t>
      </w:r>
      <w:r>
        <w:rPr>
          <w:rFonts w:hint="eastAsia" w:ascii="Times New Roman" w:hAnsi="Times New Roman" w:eastAsia="宋体" w:cs="Times New Roman"/>
          <w:bCs/>
          <w:sz w:val="24"/>
          <w:szCs w:val="20"/>
        </w:rPr>
        <w:t>，法律法规、中国证监会另有规定的除外</w:t>
      </w:r>
      <w:r>
        <w:rPr>
          <w:rFonts w:ascii="Times New Roman" w:hAnsi="Times New Roman" w:eastAsia="宋体" w:cs="Times New Roman"/>
          <w:bCs/>
          <w:sz w:val="24"/>
          <w:szCs w:val="20"/>
        </w:rPr>
        <w:t>；</w:t>
      </w:r>
    </w:p>
    <w:p w14:paraId="0732E8C1">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5、基金合同生效后与基金相关的会计师费、公证费、律师费</w:t>
      </w:r>
      <w:r>
        <w:rPr>
          <w:rFonts w:hint="eastAsia" w:ascii="Times New Roman" w:hAnsi="Times New Roman" w:eastAsia="宋体" w:cs="Times New Roman"/>
          <w:bCs/>
          <w:sz w:val="24"/>
          <w:szCs w:val="20"/>
        </w:rPr>
        <w:t>、</w:t>
      </w:r>
      <w:r>
        <w:rPr>
          <w:rFonts w:ascii="Times New Roman" w:hAnsi="Times New Roman" w:eastAsia="宋体" w:cs="Times New Roman"/>
          <w:bCs/>
          <w:sz w:val="24"/>
          <w:szCs w:val="20"/>
        </w:rPr>
        <w:t>诉讼费</w:t>
      </w:r>
      <w:r>
        <w:rPr>
          <w:rFonts w:hint="eastAsia" w:ascii="Times New Roman" w:hAnsi="Times New Roman" w:eastAsia="宋体" w:cs="Times New Roman"/>
          <w:bCs/>
          <w:sz w:val="24"/>
          <w:szCs w:val="20"/>
        </w:rPr>
        <w:t>和仲裁费</w:t>
      </w:r>
      <w:r>
        <w:rPr>
          <w:rFonts w:ascii="Times New Roman" w:hAnsi="Times New Roman" w:eastAsia="宋体" w:cs="Times New Roman"/>
          <w:bCs/>
          <w:sz w:val="24"/>
          <w:szCs w:val="20"/>
        </w:rPr>
        <w:t>；</w:t>
      </w:r>
    </w:p>
    <w:p w14:paraId="531EF77D">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6、基金份额持有人大会费用；</w:t>
      </w:r>
    </w:p>
    <w:p w14:paraId="3DF4B6F4">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7、基金的证券</w:t>
      </w:r>
      <w:r>
        <w:rPr>
          <w:rFonts w:hint="eastAsia" w:ascii="Times New Roman" w:hAnsi="Times New Roman" w:eastAsia="宋体" w:cs="Times New Roman"/>
          <w:bCs/>
          <w:sz w:val="24"/>
          <w:szCs w:val="20"/>
        </w:rPr>
        <w:t>、期货、期权</w:t>
      </w:r>
      <w:r>
        <w:rPr>
          <w:rFonts w:ascii="Times New Roman" w:hAnsi="Times New Roman" w:eastAsia="宋体" w:cs="Times New Roman"/>
          <w:bCs/>
          <w:sz w:val="24"/>
          <w:szCs w:val="20"/>
        </w:rPr>
        <w:t>交易费用；</w:t>
      </w:r>
    </w:p>
    <w:p w14:paraId="6609041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8、基金的银行汇划费用；</w:t>
      </w:r>
    </w:p>
    <w:p w14:paraId="236EF98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9</w:t>
      </w:r>
      <w:r>
        <w:rPr>
          <w:rFonts w:hint="eastAsia" w:ascii="Times New Roman" w:hAnsi="Times New Roman" w:eastAsia="宋体" w:cs="Times New Roman"/>
          <w:bCs/>
          <w:sz w:val="24"/>
          <w:szCs w:val="20"/>
        </w:rPr>
        <w:t>、账户开户费用、账户维护费用；</w:t>
      </w:r>
    </w:p>
    <w:p w14:paraId="003E266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10、基金投资目标ETF的相关费用；</w:t>
      </w:r>
    </w:p>
    <w:p w14:paraId="08575BFA">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1、因投资港股通标的股票而产生的各项合理费用；</w:t>
      </w:r>
    </w:p>
    <w:p w14:paraId="0320AF8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2、</w:t>
      </w:r>
      <w:r>
        <w:rPr>
          <w:rFonts w:ascii="Times New Roman" w:hAnsi="Times New Roman" w:eastAsia="宋体" w:cs="Times New Roman"/>
          <w:bCs/>
          <w:sz w:val="24"/>
          <w:szCs w:val="20"/>
        </w:rPr>
        <w:t>按照国家有关规定和基金合同约定，可以在基金财产中列支的其他费用。</w:t>
      </w:r>
    </w:p>
    <w:p w14:paraId="6D4C519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二、基金费用计提方法、计提标准和支付方式</w:t>
      </w:r>
    </w:p>
    <w:p w14:paraId="79E0033D">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1、基金管理人的管理费 </w:t>
      </w:r>
    </w:p>
    <w:p w14:paraId="249563DB">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14:paraId="6342D710">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w:t>
      </w:r>
      <w:r>
        <w:rPr>
          <w:rFonts w:hint="eastAsia"/>
          <w:bCs/>
          <w:sz w:val="24"/>
        </w:rPr>
        <w:t>实际</w:t>
      </w:r>
      <w:r>
        <w:rPr>
          <w:rFonts w:hint="eastAsia" w:ascii="Times New Roman" w:hAnsi="Times New Roman" w:eastAsia="宋体" w:cs="Times New Roman"/>
          <w:bCs/>
          <w:sz w:val="24"/>
          <w:szCs w:val="20"/>
        </w:rPr>
        <w:t>天数</w:t>
      </w:r>
    </w:p>
    <w:p w14:paraId="6E91018E">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14:paraId="5B1D082A">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5313CD5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基金管理人对本基金投资组合中投资于目标ETF部分的基金资产净值不计提基金管理费。</w:t>
      </w:r>
    </w:p>
    <w:p w14:paraId="7B48276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6683B12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w:t>
      </w:r>
      <w:r>
        <w:rPr>
          <w:rFonts w:ascii="Times New Roman" w:hAnsi="Times New Roman" w:eastAsia="宋体" w:cs="Times New Roman"/>
          <w:bCs/>
          <w:sz w:val="24"/>
          <w:szCs w:val="20"/>
        </w:rPr>
        <w:t>提</w:t>
      </w:r>
      <w:r>
        <w:rPr>
          <w:rFonts w:hint="eastAsia" w:ascii="Times New Roman" w:hAnsi="Times New Roman" w:eastAsia="宋体" w:cs="Times New Roman"/>
          <w:bCs/>
          <w:sz w:val="24"/>
          <w:szCs w:val="20"/>
        </w:rPr>
        <w:t>，逐日累计至每月月末，按月支付，经基金管理人与基金托管人双方核对无误后，</w:t>
      </w:r>
      <w:r>
        <w:rPr>
          <w:rFonts w:ascii="Times New Roman" w:hAnsi="Times New Roman" w:eastAsia="宋体" w:cs="Times New Roman"/>
          <w:bCs/>
          <w:sz w:val="24"/>
          <w:szCs w:val="20"/>
        </w:rPr>
        <w:t>基金托管人</w:t>
      </w:r>
      <w:r>
        <w:rPr>
          <w:rFonts w:hint="eastAsia" w:ascii="Times New Roman" w:hAnsi="Times New Roman" w:eastAsia="宋体" w:cs="Times New Roman"/>
          <w:bCs/>
          <w:sz w:val="24"/>
          <w:szCs w:val="24"/>
        </w:rPr>
        <w:t>按照</w:t>
      </w:r>
      <w:r>
        <w:rPr>
          <w:rFonts w:hint="eastAsia" w:ascii="宋体" w:hAnsi="宋体" w:eastAsia="宋体" w:cs="Times New Roman"/>
          <w:sz w:val="24"/>
          <w:szCs w:val="24"/>
        </w:rPr>
        <w:t>与基金管理人协商</w:t>
      </w:r>
      <w:r>
        <w:rPr>
          <w:rFonts w:hint="eastAsia" w:ascii="宋体" w:hAnsi="宋体" w:eastAsia="宋体" w:cs="Times New Roman"/>
          <w:sz w:val="24"/>
          <w:szCs w:val="20"/>
        </w:rPr>
        <w:t>一致的</w:t>
      </w:r>
      <w:r>
        <w:rPr>
          <w:rFonts w:hint="eastAsia" w:ascii="宋体" w:hAnsi="宋体" w:eastAsia="宋体" w:cs="Times New Roman"/>
          <w:sz w:val="24"/>
          <w:szCs w:val="24"/>
        </w:rPr>
        <w:t>方式</w:t>
      </w:r>
      <w:r>
        <w:rPr>
          <w:rFonts w:ascii="Times New Roman" w:hAnsi="Times New Roman" w:eastAsia="宋体" w:cs="Times New Roman"/>
          <w:bCs/>
          <w:sz w:val="24"/>
          <w:szCs w:val="20"/>
        </w:rPr>
        <w:t>于次月</w:t>
      </w:r>
      <w:r>
        <w:rPr>
          <w:rFonts w:hint="eastAsia" w:ascii="Times New Roman" w:hAnsi="Times New Roman" w:eastAsia="宋体" w:cs="Times New Roman"/>
          <w:bCs/>
          <w:sz w:val="24"/>
          <w:szCs w:val="20"/>
        </w:rPr>
        <w:t>月初5个工作日内</w:t>
      </w:r>
      <w:r>
        <w:rPr>
          <w:rFonts w:ascii="Times New Roman" w:hAnsi="Times New Roman" w:eastAsia="宋体" w:cs="Times New Roman"/>
          <w:bCs/>
          <w:sz w:val="24"/>
          <w:szCs w:val="20"/>
        </w:rPr>
        <w:t>从基金财产中一次性</w:t>
      </w:r>
      <w:r>
        <w:rPr>
          <w:rFonts w:hint="eastAsia" w:ascii="Times New Roman" w:hAnsi="Times New Roman" w:eastAsia="宋体" w:cs="Times New Roman"/>
          <w:bCs/>
          <w:sz w:val="24"/>
          <w:szCs w:val="20"/>
        </w:rPr>
        <w:t>支付</w:t>
      </w:r>
      <w:r>
        <w:rPr>
          <w:rFonts w:ascii="Times New Roman" w:hAnsi="Times New Roman" w:eastAsia="宋体" w:cs="Times New Roman"/>
          <w:bCs/>
          <w:sz w:val="24"/>
          <w:szCs w:val="20"/>
        </w:rPr>
        <w:t>给</w:t>
      </w:r>
      <w:r>
        <w:rPr>
          <w:rFonts w:hint="eastAsia" w:ascii="Times New Roman" w:hAnsi="Times New Roman" w:eastAsia="宋体" w:cs="Times New Roman"/>
          <w:bCs/>
          <w:sz w:val="24"/>
          <w:szCs w:val="20"/>
        </w:rPr>
        <w:t>基金管理人。若遇法定节假日、公休假或不可抗力等，支付日期顺延。</w:t>
      </w:r>
    </w:p>
    <w:p w14:paraId="2BA84567">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14:paraId="35ED56B3">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%年费率计提。托管费的计算方法如下：</w:t>
      </w:r>
    </w:p>
    <w:p w14:paraId="77D2A7DF">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%÷当年</w:t>
      </w:r>
      <w:r>
        <w:rPr>
          <w:rFonts w:hint="eastAsia"/>
          <w:bCs/>
          <w:sz w:val="24"/>
        </w:rPr>
        <w:t>实际</w:t>
      </w:r>
      <w:r>
        <w:rPr>
          <w:rFonts w:hint="eastAsia" w:ascii="Times New Roman" w:hAnsi="Times New Roman" w:eastAsia="宋体" w:cs="Times New Roman"/>
          <w:bCs/>
          <w:sz w:val="24"/>
          <w:szCs w:val="20"/>
        </w:rPr>
        <w:t>天数</w:t>
      </w:r>
    </w:p>
    <w:p w14:paraId="07F9E56F">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14:paraId="086F60D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6E8BF4EF">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基金托管人对本基金投资组合中投资于目标ETF部分的基金资产净值不计提基金托管费。</w:t>
      </w:r>
    </w:p>
    <w:p w14:paraId="7FE80178">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25236BCC">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基金托管费每日计提，逐日累计至每月月末，按月支付，经基金管理人与基金托管人双方核对无误后，基金托管人</w:t>
      </w:r>
      <w:r>
        <w:rPr>
          <w:rFonts w:hint="eastAsia" w:ascii="Times New Roman" w:hAnsi="Times New Roman" w:eastAsia="宋体" w:cs="Times New Roman"/>
          <w:bCs/>
          <w:sz w:val="24"/>
          <w:szCs w:val="24"/>
        </w:rPr>
        <w:t>按照</w:t>
      </w:r>
      <w:r>
        <w:rPr>
          <w:rFonts w:hint="eastAsia" w:ascii="宋体" w:hAnsi="宋体" w:eastAsia="宋体" w:cs="Times New Roman"/>
          <w:sz w:val="24"/>
          <w:szCs w:val="24"/>
        </w:rPr>
        <w:t>与基金管理人协商</w:t>
      </w:r>
      <w:r>
        <w:rPr>
          <w:rFonts w:hint="eastAsia" w:ascii="宋体" w:hAnsi="宋体" w:eastAsia="宋体" w:cs="Times New Roman"/>
          <w:sz w:val="24"/>
          <w:szCs w:val="20"/>
        </w:rPr>
        <w:t>一致的</w:t>
      </w:r>
      <w:r>
        <w:rPr>
          <w:rFonts w:hint="eastAsia" w:ascii="宋体" w:hAnsi="宋体" w:eastAsia="宋体" w:cs="Times New Roman"/>
          <w:sz w:val="24"/>
          <w:szCs w:val="24"/>
        </w:rPr>
        <w:t>方式</w:t>
      </w:r>
      <w:r>
        <w:rPr>
          <w:rFonts w:hint="eastAsia" w:ascii="Times New Roman" w:hAnsi="Times New Roman" w:eastAsia="宋体" w:cs="Times New Roman"/>
          <w:bCs/>
          <w:sz w:val="24"/>
          <w:szCs w:val="20"/>
        </w:rPr>
        <w:t>于次月月初</w:t>
      </w:r>
      <w:r>
        <w:rPr>
          <w:rFonts w:ascii="Times New Roman" w:hAnsi="Times New Roman" w:eastAsia="宋体" w:cs="Times New Roman"/>
          <w:bCs/>
          <w:sz w:val="24"/>
          <w:szCs w:val="20"/>
        </w:rPr>
        <w:t>5</w:t>
      </w:r>
      <w:r>
        <w:rPr>
          <w:rFonts w:hint="eastAsia" w:ascii="Times New Roman" w:hAnsi="Times New Roman" w:eastAsia="宋体" w:cs="Times New Roman"/>
          <w:bCs/>
          <w:sz w:val="24"/>
          <w:szCs w:val="20"/>
        </w:rPr>
        <w:t>个工作日内从基金财产中一次性支</w:t>
      </w:r>
      <w:r>
        <w:rPr>
          <w:rFonts w:hint="eastAsia"/>
          <w:bCs/>
          <w:sz w:val="24"/>
        </w:rPr>
        <w:t>付给基金托管人</w:t>
      </w:r>
      <w:r>
        <w:rPr>
          <w:rFonts w:hint="eastAsia" w:ascii="Times New Roman" w:hAnsi="Times New Roman" w:eastAsia="宋体" w:cs="Times New Roman"/>
          <w:bCs/>
          <w:sz w:val="24"/>
          <w:szCs w:val="20"/>
        </w:rPr>
        <w:t>。若遇法定节假日、公休假或不可抗力等，支付日期顺延。</w:t>
      </w:r>
    </w:p>
    <w:p w14:paraId="729F7730">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14:paraId="1CFF65E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本基金A类基金份额不收取销售服务费，C类基金份额的销售服务费年费率为0.30%。</w:t>
      </w:r>
    </w:p>
    <w:p w14:paraId="15902AFE">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本基金销售服务费按前一日C类基金资产净值的0.30%年费率计提。计算方法如下： </w:t>
      </w:r>
    </w:p>
    <w:p w14:paraId="382638BE">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H＝E×0.30%÷当年</w:t>
      </w:r>
      <w:r>
        <w:rPr>
          <w:rFonts w:hint="eastAsia"/>
          <w:bCs/>
          <w:sz w:val="24"/>
        </w:rPr>
        <w:t>实际</w:t>
      </w:r>
      <w:r>
        <w:rPr>
          <w:rFonts w:hint="eastAsia" w:ascii="Times New Roman" w:hAnsi="Times New Roman" w:eastAsia="宋体" w:cs="Times New Roman"/>
          <w:bCs/>
          <w:sz w:val="24"/>
          <w:szCs w:val="20"/>
        </w:rPr>
        <w:t xml:space="preserve">天数 </w:t>
      </w:r>
    </w:p>
    <w:p w14:paraId="42F2D16F">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H为C类基金份额每日应计提的销售服务费</w:t>
      </w:r>
    </w:p>
    <w:p w14:paraId="02D8A908">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E为C类基金份额前一日基金资产净值</w:t>
      </w:r>
    </w:p>
    <w:p w14:paraId="20A0301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基金销售服务费每日计提，逐日累计至每月月末，按月支付，经基金管理人与基金托管人双方核对无误后，基金托管人</w:t>
      </w:r>
      <w:r>
        <w:rPr>
          <w:rFonts w:hint="eastAsia" w:ascii="Times New Roman" w:hAnsi="Times New Roman" w:eastAsia="宋体" w:cs="Times New Roman"/>
          <w:bCs/>
          <w:sz w:val="24"/>
          <w:szCs w:val="24"/>
        </w:rPr>
        <w:t>按照</w:t>
      </w:r>
      <w:r>
        <w:rPr>
          <w:rFonts w:hint="eastAsia" w:ascii="宋体" w:hAnsi="宋体" w:eastAsia="宋体" w:cs="Times New Roman"/>
          <w:sz w:val="24"/>
          <w:szCs w:val="24"/>
        </w:rPr>
        <w:t>与基金管理人协商</w:t>
      </w:r>
      <w:r>
        <w:rPr>
          <w:rFonts w:hint="eastAsia" w:ascii="宋体" w:hAnsi="宋体" w:eastAsia="宋体" w:cs="Times New Roman"/>
          <w:sz w:val="24"/>
          <w:szCs w:val="20"/>
        </w:rPr>
        <w:t>一致的</w:t>
      </w:r>
      <w:r>
        <w:rPr>
          <w:rFonts w:hint="eastAsia" w:ascii="宋体" w:hAnsi="宋体" w:eastAsia="宋体" w:cs="Times New Roman"/>
          <w:sz w:val="24"/>
          <w:szCs w:val="24"/>
        </w:rPr>
        <w:t>方式</w:t>
      </w:r>
      <w:r>
        <w:rPr>
          <w:rFonts w:hint="eastAsia" w:ascii="Times New Roman" w:hAnsi="Times New Roman" w:eastAsia="宋体" w:cs="Times New Roman"/>
          <w:bCs/>
          <w:sz w:val="24"/>
          <w:szCs w:val="20"/>
        </w:rPr>
        <w:t>于次月月初</w:t>
      </w:r>
      <w:r>
        <w:rPr>
          <w:rFonts w:ascii="Times New Roman" w:hAnsi="Times New Roman" w:eastAsia="宋体" w:cs="Times New Roman"/>
          <w:bCs/>
          <w:sz w:val="24"/>
          <w:szCs w:val="20"/>
        </w:rPr>
        <w:t>5</w:t>
      </w:r>
      <w:r>
        <w:rPr>
          <w:rFonts w:hint="eastAsia" w:ascii="Times New Roman" w:hAnsi="Times New Roman" w:eastAsia="宋体" w:cs="Times New Roman"/>
          <w:bCs/>
          <w:sz w:val="24"/>
          <w:szCs w:val="20"/>
        </w:rPr>
        <w:t>个工作日内从基金财产中一次性支付</w:t>
      </w:r>
      <w:r>
        <w:rPr>
          <w:rFonts w:hint="eastAsia"/>
          <w:bCs/>
          <w:sz w:val="24"/>
        </w:rPr>
        <w:t>给销售机构</w:t>
      </w:r>
      <w:r>
        <w:rPr>
          <w:rFonts w:hint="eastAsia" w:ascii="Times New Roman" w:hAnsi="Times New Roman" w:eastAsia="宋体" w:cs="Times New Roman"/>
          <w:bCs/>
          <w:sz w:val="24"/>
          <w:szCs w:val="20"/>
        </w:rPr>
        <w:t>。若遇法定节假日、公休假或不可抗力等，支付日期顺延。</w:t>
      </w:r>
    </w:p>
    <w:p w14:paraId="53A9386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上述“一、基金费用的种类”中第</w:t>
      </w:r>
      <w:r>
        <w:rPr>
          <w:rFonts w:cs="宋体" w:asciiTheme="minorEastAsia" w:hAnsiTheme="minorEastAsia"/>
          <w:kern w:val="0"/>
          <w:sz w:val="24"/>
          <w:szCs w:val="24"/>
        </w:rPr>
        <w:t>4</w:t>
      </w:r>
      <w:r>
        <w:rPr>
          <w:rFonts w:hint="eastAsia" w:cs="宋体" w:asciiTheme="minorEastAsia" w:hAnsiTheme="minorEastAsia"/>
          <w:kern w:val="0"/>
          <w:sz w:val="24"/>
          <w:szCs w:val="24"/>
        </w:rPr>
        <w:t>－1</w:t>
      </w:r>
      <w:r>
        <w:rPr>
          <w:rFonts w:cs="宋体" w:asciiTheme="minorEastAsia" w:hAnsiTheme="minorEastAsia"/>
          <w:kern w:val="0"/>
          <w:sz w:val="24"/>
          <w:szCs w:val="24"/>
        </w:rPr>
        <w:t>2</w:t>
      </w:r>
      <w:r>
        <w:rPr>
          <w:rFonts w:hint="eastAsia" w:cs="宋体" w:asciiTheme="minorEastAsia" w:hAnsiTheme="minorEastAsia"/>
          <w:kern w:val="0"/>
          <w:sz w:val="24"/>
          <w:szCs w:val="24"/>
        </w:rPr>
        <w:t>项费用，根据有关法规及相应协议规定，按费用实际支出金额列入当期费用，由基金托管人从基金财产中支付。</w:t>
      </w:r>
    </w:p>
    <w:p w14:paraId="5E50FE0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三、不列入基金费用的项目</w:t>
      </w:r>
    </w:p>
    <w:p w14:paraId="50F7077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下列费用不列入基金费用：</w:t>
      </w:r>
    </w:p>
    <w:p w14:paraId="71D88F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1、基金管理人和基金托管人因未履行或未完全履行义务导致的费用支出或基金财产的损失；</w:t>
      </w:r>
    </w:p>
    <w:p w14:paraId="32DCB12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2、基金管理人和基金托管人处理与基金运作无关的事项发生的费用；</w:t>
      </w:r>
    </w:p>
    <w:p w14:paraId="1782FCE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3、指数许可使用费</w:t>
      </w:r>
    </w:p>
    <w:p w14:paraId="0A330C8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本基金按照基金管理人与标的指数许可方所签订的指数使用许可协议中所规定的指数许可使用费计提方法支付指数许可使用费，该指数许可使用费由基金管理人承担，不得从基金财产中列支。</w:t>
      </w:r>
    </w:p>
    <w:p w14:paraId="72C0F6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如果指数许可使用费的计算方法、费率、支付方式和费用承担方等发生调整，本基金将采用调整后的方法或费率计算指数许可使用费；</w:t>
      </w:r>
    </w:p>
    <w:p w14:paraId="7967C68C">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、《基金合同》生效前的相关费用根据《博时中证机器人指数型发起式证券投资基金基金合同》的约定执行；</w:t>
      </w:r>
    </w:p>
    <w:p w14:paraId="69D665E5">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、其他根据相关法律法规及中国证监会的有关规定不得列入基金费用的项目。</w:t>
      </w:r>
    </w:p>
    <w:p w14:paraId="1D943A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四、实施侧袋机制期间的基金费用</w:t>
      </w:r>
    </w:p>
    <w:p w14:paraId="1324B2D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本基金实施侧袋机制的，与侧袋账户有关的费用可以从侧袋账户中列支，但应待侧袋账户资产变现后方可列支，有关费用可酌情收取或减免，但不得收取管理费，详见招募说明书的规定。</w:t>
      </w:r>
    </w:p>
    <w:p w14:paraId="6D528D2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五、基金税收</w:t>
      </w:r>
    </w:p>
    <w:p w14:paraId="461CEA2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14:paraId="4FE6603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本基金支付给基金管理人、基金托管人的各项费用均为含税价格，具体税率适用中国税务主管机关的规定。</w:t>
      </w:r>
    </w:p>
    <w:p w14:paraId="117AB31F">
      <w:pPr>
        <w:widowControl/>
        <w:ind w:firstLine="200"/>
        <w:rPr>
          <w:rFonts w:cs="宋体" w:asciiTheme="minorEastAsia" w:hAnsiTheme="minorEastAsia"/>
          <w:kern w:val="0"/>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14:paraId="109FBBF3">
      <w:pPr>
        <w:pStyle w:val="2"/>
        <w:spacing w:before="0" w:after="0" w:line="360" w:lineRule="auto"/>
        <w:ind w:firstLine="602" w:firstLineChars="200"/>
        <w:jc w:val="center"/>
        <w:rPr>
          <w:rFonts w:ascii="Times New Roman" w:hAnsi="Times New Roman"/>
          <w:kern w:val="0"/>
          <w:sz w:val="30"/>
        </w:rPr>
      </w:pPr>
      <w:bookmarkStart w:id="18" w:name="_Toc471235853"/>
      <w:r>
        <w:rPr>
          <w:rFonts w:hint="eastAsia" w:ascii="Times New Roman" w:hAnsi="Times New Roman"/>
          <w:kern w:val="0"/>
          <w:sz w:val="30"/>
          <w:lang w:val="zh-CN"/>
        </w:rPr>
        <w:t>第十六部分</w:t>
      </w:r>
      <w:r>
        <w:rPr>
          <w:rFonts w:ascii="Times New Roman" w:hAnsi="Times New Roman"/>
          <w:kern w:val="0"/>
          <w:sz w:val="30"/>
        </w:rPr>
        <w:t xml:space="preserve"> </w:t>
      </w:r>
      <w:r>
        <w:rPr>
          <w:rFonts w:hint="eastAsia" w:ascii="Times New Roman" w:hAnsi="Times New Roman"/>
          <w:kern w:val="0"/>
          <w:sz w:val="30"/>
          <w:lang w:val="zh-CN"/>
        </w:rPr>
        <w:t>基金的收益与分配</w:t>
      </w:r>
      <w:bookmarkEnd w:id="18"/>
    </w:p>
    <w:p w14:paraId="16DBE53A">
      <w:pPr>
        <w:autoSpaceDE w:val="0"/>
        <w:autoSpaceDN w:val="0"/>
        <w:adjustRightInd w:val="0"/>
        <w:spacing w:line="360" w:lineRule="auto"/>
        <w:ind w:firstLine="480" w:firstLineChars="200"/>
        <w:rPr>
          <w:rFonts w:cs="宋体" w:asciiTheme="minorEastAsia" w:hAnsiTheme="minorEastAsia"/>
          <w:kern w:val="0"/>
          <w:sz w:val="24"/>
          <w:szCs w:val="24"/>
        </w:rPr>
      </w:pPr>
    </w:p>
    <w:p w14:paraId="0F1A3B4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一、基金利润的构成</w:t>
      </w:r>
    </w:p>
    <w:p w14:paraId="44838AF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基金利润指基金利息收入、投资收益、公允价值变动收益和其他收入扣除相关费用后的余额，基金已实现收益指基金利润减去公允价值变动收益后的余额。</w:t>
      </w:r>
    </w:p>
    <w:p w14:paraId="5A447A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二、基金可供分配利润</w:t>
      </w:r>
    </w:p>
    <w:p w14:paraId="72E3C6F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基金可供分配利润指截至收益分配基准日基金未分配利润与未分配利润中已实现收益的孰低数。</w:t>
      </w:r>
    </w:p>
    <w:p w14:paraId="6847A76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三、基金收益分配原则</w:t>
      </w:r>
    </w:p>
    <w:p w14:paraId="7C7D4F2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1、由于本基金A类基金份额不收取销售服务费，而C类基金份额收取销售服务费，各基金份额类别对应的可供分配利润将有所不同，本基金同一类别的每一基金份额享有同等分配权；</w:t>
      </w:r>
    </w:p>
    <w:p w14:paraId="037492C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27C25CC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3、基金收益分配后各类基金份额净值不能低于面值，即基金收益分配基准日的各类基金份额净值减去每单位该类基金份额收益分配金额后不能低于面值；</w:t>
      </w:r>
    </w:p>
    <w:p w14:paraId="3282515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4、法律法规或监管机关另有规定的，从其规定。</w:t>
      </w:r>
    </w:p>
    <w:p w14:paraId="74DDBF9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7CAA3F5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四、收益分配方案</w:t>
      </w:r>
    </w:p>
    <w:p w14:paraId="36ABD01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基金收益分配方案中应载明截至收益分配基准日的可供分配利润、基金收益分配对象、分配时间、分配数额及比例、分配方式等内容。</w:t>
      </w:r>
    </w:p>
    <w:p w14:paraId="1F09F68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五、收益分配方案的确定、公告与实施</w:t>
      </w:r>
    </w:p>
    <w:p w14:paraId="6496781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本基金收益分配方案由基金管理人拟定，并由基金托管人复核，按规定在规定媒介公告。</w:t>
      </w:r>
    </w:p>
    <w:p w14:paraId="259637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六、基金收益分配中发生的费用</w:t>
      </w:r>
    </w:p>
    <w:p w14:paraId="750AFA1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6122BB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七、实施侧袋机制期间的收益分配</w:t>
      </w:r>
    </w:p>
    <w:p w14:paraId="514D44E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本基金实施侧袋机制的，侧袋账户不进行收益分配，详见招募说明书的规定。</w:t>
      </w:r>
    </w:p>
    <w:p w14:paraId="7070FEFF">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14:paraId="0513CD03">
      <w:pPr>
        <w:pStyle w:val="2"/>
        <w:spacing w:before="0" w:after="0" w:line="360" w:lineRule="auto"/>
        <w:ind w:firstLine="602" w:firstLineChars="200"/>
        <w:jc w:val="center"/>
        <w:rPr>
          <w:rFonts w:ascii="Times New Roman" w:hAnsi="Times New Roman"/>
          <w:kern w:val="0"/>
          <w:sz w:val="30"/>
          <w:lang w:val="zh-CN"/>
        </w:rPr>
      </w:pPr>
      <w:bookmarkStart w:id="19" w:name="_Toc471235854"/>
      <w:r>
        <w:rPr>
          <w:rFonts w:hint="eastAsia" w:ascii="Times New Roman" w:hAnsi="Times New Roman"/>
          <w:kern w:val="0"/>
          <w:sz w:val="30"/>
          <w:lang w:val="zh-CN"/>
        </w:rPr>
        <w:t>第十七部分</w:t>
      </w:r>
      <w:r>
        <w:rPr>
          <w:rFonts w:ascii="Times New Roman" w:hAnsi="Times New Roman"/>
          <w:kern w:val="0"/>
          <w:sz w:val="30"/>
          <w:lang w:val="zh-CN"/>
        </w:rPr>
        <w:t xml:space="preserve"> </w:t>
      </w:r>
      <w:r>
        <w:rPr>
          <w:rFonts w:hint="eastAsia" w:ascii="Times New Roman" w:hAnsi="Times New Roman"/>
          <w:kern w:val="0"/>
          <w:sz w:val="30"/>
          <w:lang w:val="zh-CN"/>
        </w:rPr>
        <w:t>基金的会计与审计</w:t>
      </w:r>
      <w:bookmarkEnd w:id="19"/>
    </w:p>
    <w:p w14:paraId="24279B0D">
      <w:pPr>
        <w:autoSpaceDE w:val="0"/>
        <w:autoSpaceDN w:val="0"/>
        <w:adjustRightInd w:val="0"/>
        <w:spacing w:line="360" w:lineRule="auto"/>
        <w:ind w:firstLine="480" w:firstLineChars="200"/>
        <w:rPr>
          <w:rFonts w:cs="宋体" w:asciiTheme="minorEastAsia" w:hAnsiTheme="minorEastAsia"/>
          <w:kern w:val="0"/>
          <w:sz w:val="24"/>
          <w:szCs w:val="24"/>
        </w:rPr>
      </w:pPr>
    </w:p>
    <w:p w14:paraId="0D4F9E2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一、基金会计政策</w:t>
      </w:r>
    </w:p>
    <w:p w14:paraId="581A957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1、基金管理人为本基金的基金会计责任方；</w:t>
      </w:r>
    </w:p>
    <w:p w14:paraId="525A2D8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2、基金的会计年度为公历年度的1月1日至12月31日；</w:t>
      </w:r>
    </w:p>
    <w:p w14:paraId="32EA1A8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3、基金核算以人民币为记账本位币，以人民币元为记账单位；</w:t>
      </w:r>
    </w:p>
    <w:p w14:paraId="7B46E29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4、会计制度执行国家有关会计制度；</w:t>
      </w:r>
    </w:p>
    <w:p w14:paraId="37301A6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5、本基金独立建账、独立核算；</w:t>
      </w:r>
    </w:p>
    <w:p w14:paraId="63F4B5B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6、基金管理人及基金托管人各自保留完整的会计账目、凭证并进行日常的会计核算，按照有关规定编制基金会计报表；</w:t>
      </w:r>
    </w:p>
    <w:p w14:paraId="1C38D8C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7、基金托管人每月与基金管理人就基金的会计核算、报表编制等进行核对并以书面方式确认。</w:t>
      </w:r>
    </w:p>
    <w:p w14:paraId="4A585F4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二、基金的年度审计</w:t>
      </w:r>
    </w:p>
    <w:p w14:paraId="05859FB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1、基金管理人聘请与基金管理人、基金托管人相互独立且符合《中华人民共和国证券法》规定的会计师事务所及其注册会计师对本基金的年度财务报表进行审计。</w:t>
      </w:r>
    </w:p>
    <w:p w14:paraId="4B1219D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2、会计师事务所更换经办注册会计师，应事先征得基金管理人同意。</w:t>
      </w:r>
    </w:p>
    <w:p w14:paraId="4E7DB9A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3、基金管理人认为有充足理由更换会计师事务所，须通报基金托管人。更换会计师事务所需按规定在规定媒介公告。</w:t>
      </w:r>
    </w:p>
    <w:p w14:paraId="77A17C35">
      <w:pPr>
        <w:ind w:firstLine="200"/>
      </w:pPr>
    </w:p>
    <w:p w14:paraId="67F68844">
      <w:pPr>
        <w:widowControl/>
        <w:ind w:firstLine="200"/>
        <w:rPr>
          <w:rFonts w:ascii="Times New Roman" w:hAnsi="Times New Roman" w:eastAsia="宋体" w:cs="Times New Roman"/>
          <w:b/>
          <w:kern w:val="0"/>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14:paraId="1D761582">
      <w:pPr>
        <w:pStyle w:val="2"/>
        <w:spacing w:before="0" w:after="0" w:line="360" w:lineRule="auto"/>
        <w:ind w:firstLine="602" w:firstLineChars="200"/>
        <w:jc w:val="center"/>
        <w:rPr>
          <w:rFonts w:ascii="Times New Roman" w:hAnsi="Times New Roman"/>
          <w:kern w:val="0"/>
          <w:sz w:val="30"/>
          <w:lang w:val="zh-CN"/>
        </w:rPr>
      </w:pPr>
      <w:bookmarkStart w:id="20" w:name="_Toc471235855"/>
      <w:r>
        <w:rPr>
          <w:rFonts w:hint="eastAsia" w:ascii="Times New Roman" w:hAnsi="Times New Roman"/>
          <w:kern w:val="0"/>
          <w:sz w:val="30"/>
          <w:lang w:val="zh-CN"/>
        </w:rPr>
        <w:t>第十八部分</w:t>
      </w:r>
      <w:r>
        <w:rPr>
          <w:rFonts w:ascii="Times New Roman" w:hAnsi="Times New Roman"/>
          <w:kern w:val="0"/>
          <w:sz w:val="30"/>
          <w:lang w:val="zh-CN"/>
        </w:rPr>
        <w:t xml:space="preserve"> </w:t>
      </w:r>
      <w:r>
        <w:rPr>
          <w:rFonts w:hint="eastAsia" w:ascii="Times New Roman" w:hAnsi="Times New Roman"/>
          <w:kern w:val="0"/>
          <w:sz w:val="30"/>
          <w:lang w:val="zh-CN"/>
        </w:rPr>
        <w:t>基金的信息披露</w:t>
      </w:r>
      <w:bookmarkEnd w:id="20"/>
    </w:p>
    <w:p w14:paraId="21B8D9A0">
      <w:pPr>
        <w:autoSpaceDE w:val="0"/>
        <w:autoSpaceDN w:val="0"/>
        <w:adjustRightInd w:val="0"/>
        <w:spacing w:line="360" w:lineRule="auto"/>
        <w:ind w:firstLine="480" w:firstLineChars="200"/>
        <w:rPr>
          <w:rFonts w:cs="宋体" w:asciiTheme="minorEastAsia" w:hAnsiTheme="minorEastAsia"/>
          <w:kern w:val="0"/>
          <w:sz w:val="24"/>
          <w:szCs w:val="24"/>
        </w:rPr>
      </w:pPr>
    </w:p>
    <w:p w14:paraId="02B61E1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一、本基金的信息披露应符合《基金法》、《运作办法》、《信息披露办法》、《流动性风险管理规定》、《基金合同》及其他有关规定。相关法律法规关于信息披露的规定发生变化时，本基金从其最新规定。</w:t>
      </w:r>
    </w:p>
    <w:p w14:paraId="23F3F5B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二、信息披露义务人</w:t>
      </w:r>
    </w:p>
    <w:p w14:paraId="56E255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本基金信息披露义务人包括基金管理人、基金托管人、召集基金份额持有人大会的基金份额持有人等法律法规和中国证监会规定的自然人、法人和非法人组织。</w:t>
      </w:r>
    </w:p>
    <w:p w14:paraId="5C3A5D9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1073EDF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260F80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三、本基金信息披露义务人承诺公开披露的基金信息，不得有下列行为：</w:t>
      </w:r>
    </w:p>
    <w:p w14:paraId="676FE6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1、虚假记载、误导性陈述或者重大遗漏；</w:t>
      </w:r>
    </w:p>
    <w:p w14:paraId="69046D7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2、对证券投资业绩进行预测；</w:t>
      </w:r>
    </w:p>
    <w:p w14:paraId="234340D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3、违规承诺收益或者承担损失；</w:t>
      </w:r>
    </w:p>
    <w:p w14:paraId="3162C84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4、诋毁其他基金管理人、基金托管人或者基金销售机构；</w:t>
      </w:r>
    </w:p>
    <w:p w14:paraId="78CC26A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5、登载任何自然人、法人和非法人组织的祝贺性、恭维性或推荐性文字；</w:t>
      </w:r>
    </w:p>
    <w:p w14:paraId="2D3E4DA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6、中国证监会禁止的其他行为。</w:t>
      </w:r>
    </w:p>
    <w:p w14:paraId="501A18B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四、本基金公开披露的信息应采用中文文本。如同时采用外文文本的，基金信息披露义务人应保证不同文本的内容一致。不同文本之间发生歧义的，以中文文本为准。</w:t>
      </w:r>
    </w:p>
    <w:p w14:paraId="260BEA2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本基金公开披露的信息采用阿拉伯数字；除特别说明外，货币单位为人民币元。</w:t>
      </w:r>
    </w:p>
    <w:p w14:paraId="653AB24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五、公开披露的基金信息</w:t>
      </w:r>
    </w:p>
    <w:p w14:paraId="7D0E8C2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公开披露的基金信息包括：</w:t>
      </w:r>
    </w:p>
    <w:p w14:paraId="0477605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（一）基金招募说明书、基金产品资料概要、《基金合同》、基金托管协议</w:t>
      </w:r>
    </w:p>
    <w:p w14:paraId="32C1557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1、《基金合同》是界定《基金合同》当事人的各项权利、义务关系，明确基金份额持有人大会召开的规则及具体程序，说明基金产品的特性等涉及基金投资者重大利益的事项的法律文件。</w:t>
      </w:r>
    </w:p>
    <w:p w14:paraId="0C930F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2、基金招募说明书应当最大限度地披露影响基金投资者决策的全部事项，说明基金申购和赎回安排、基金投资、基金产品特性、风险揭示、信息披露及基金份额持有人服务等内容。</w:t>
      </w:r>
    </w:p>
    <w:p w14:paraId="1D597E7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5210680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基金终止运作的，除基金合同另有约定外，基金管理人可以不再更新基金招募说明书和基金产品资料概要。</w:t>
      </w:r>
    </w:p>
    <w:p w14:paraId="713A867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3、基金托管协议是界定基金托管人和基金管理人在基金财产保管及基金运作监督等活动中的权利、义务关系的法律文件。</w:t>
      </w:r>
    </w:p>
    <w:p w14:paraId="4C7BE47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（二）基金净值信息</w:t>
      </w:r>
    </w:p>
    <w:p w14:paraId="4E485A98">
      <w:pPr>
        <w:autoSpaceDE w:val="0"/>
        <w:autoSpaceDN w:val="0"/>
        <w:adjustRightInd w:val="0"/>
        <w:spacing w:line="360" w:lineRule="auto"/>
        <w:ind w:firstLine="0" w:firstLineChars="0"/>
        <w:rPr>
          <w:rFonts w:cs="宋体" w:asciiTheme="minorEastAsia" w:hAnsiTheme="minorEastAsia"/>
          <w:kern w:val="0"/>
          <w:sz w:val="24"/>
          <w:szCs w:val="24"/>
        </w:rPr>
      </w:pPr>
      <w:r>
        <w:rPr>
          <w:rFonts w:hint="eastAsia" w:cs="宋体" w:asciiTheme="minorEastAsia" w:hAnsiTheme="minorEastAsia"/>
          <w:kern w:val="0"/>
          <w:sz w:val="24"/>
          <w:szCs w:val="24"/>
        </w:rPr>
        <w:t xml:space="preserve">    基金管理人应当在不晚于每个开放日的次日，通过规定网站、基金销售机构网站或者营业网点披露开放日的各类基金份额净值和各类基金份额累计净值。</w:t>
      </w:r>
    </w:p>
    <w:p w14:paraId="0502092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基金管理人应当在不晚于半年度和年度最后一日的次日， 在规定网站公告半年度和年度最后一日各类基金份额净值和各类基金份额累计净值。</w:t>
      </w:r>
    </w:p>
    <w:p w14:paraId="5B815A0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（三）基金份额申购、赎回价格</w:t>
      </w:r>
    </w:p>
    <w:p w14:paraId="57F3A3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217DCC3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（四）基金定期报告，包括基金年度报告、基金中期报告和基金季度报告（含资产组合季度报告）</w:t>
      </w:r>
    </w:p>
    <w:p w14:paraId="459B028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6E29D6A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基金管理人应当在上半年结束之日起两个月内，编制完成基金中期报告，将中期报告登载在规定网站上，并将中期报告提示性公告登载在规定报刊上。</w:t>
      </w:r>
    </w:p>
    <w:p w14:paraId="30C8B2E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基金管理人应当在季度结束之日起15个工作日内，编制完成基金季度报告，将季度报告登载在规定网站上，并将季度报告提示性公告登载在规定报刊上。</w:t>
      </w:r>
    </w:p>
    <w:p w14:paraId="76C49D7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4B1BE6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基金管理人应当在基金年度报告和中期报告中披露基金组合资产情况及其流动性风险分析等。</w:t>
      </w:r>
    </w:p>
    <w:p w14:paraId="4057E91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（五）临时报告</w:t>
      </w:r>
    </w:p>
    <w:p w14:paraId="166C019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本基金发生重大事件，有关信息披露义务人应当按规定编制临时报告书，并登载在规定报刊和规定网站上。</w:t>
      </w:r>
    </w:p>
    <w:p w14:paraId="581591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前款所称重大事件，是指可能对基金份额持有人权益或者基金份额的价格产生重大影响的下列事件：</w:t>
      </w:r>
    </w:p>
    <w:p w14:paraId="053F733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1、基金份额持有人大会的召开及决定的事项；</w:t>
      </w:r>
    </w:p>
    <w:p w14:paraId="4736A0B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2、《基金合同》终止、基金清算；</w:t>
      </w:r>
    </w:p>
    <w:p w14:paraId="46A234C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3、转换基金运作方式、基金合并；</w:t>
      </w:r>
    </w:p>
    <w:p w14:paraId="08AFA0B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4、更换基金管理人、基金托管人；</w:t>
      </w:r>
    </w:p>
    <w:p w14:paraId="24043A6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5、基金管理人委托基金服务机构代为办理基金的份额登记、核算、估值等事项，基金托管人委托基金服务机构代为办理基金的核算、估值、复核等事项；</w:t>
      </w:r>
    </w:p>
    <w:p w14:paraId="238598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6、基金管理人、基金托管人的法定名称、住所发生变更；</w:t>
      </w:r>
    </w:p>
    <w:p w14:paraId="65C8123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7、基金管理人变更持有百分之五以上股权的股东、变更基金管理人的实际控制人；</w:t>
      </w:r>
    </w:p>
    <w:p w14:paraId="0A67D2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8、基金管理人高级管理人员、基金经理和基金托管人专门基金托管部门负责人发生变动；</w:t>
      </w:r>
    </w:p>
    <w:p w14:paraId="17FE405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9、基金管理人的董事在最近12个月内变更超过百分之五十；</w:t>
      </w:r>
    </w:p>
    <w:p w14:paraId="7992500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10、基金管理人、基金托管人专门基金托管部门的主要业务人员在最近12个月内变动超过百分之三十；</w:t>
      </w:r>
    </w:p>
    <w:p w14:paraId="3C3178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11、涉及基金管理业务、基金财产、基金托管业务的诉讼或仲裁； </w:t>
      </w:r>
    </w:p>
    <w:p w14:paraId="058722C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447C120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0B03609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14、基金收益分配事项；</w:t>
      </w:r>
    </w:p>
    <w:p w14:paraId="7C5156E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15、管理费、托管费、销售服务费、申购费、赎回费等费用计提标准、计提方式和费率发生变更；</w:t>
      </w:r>
    </w:p>
    <w:p w14:paraId="767DD61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16、任一类基金份额净值计价错误达该类基金份额净值百分之零点五；</w:t>
      </w:r>
    </w:p>
    <w:p w14:paraId="62A1F5E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17、基金改聘会计师事务所；</w:t>
      </w:r>
    </w:p>
    <w:p w14:paraId="5949925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18、更换基金登记机构；</w:t>
      </w:r>
    </w:p>
    <w:p w14:paraId="3284444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19、本基金开始办理申购、赎回；</w:t>
      </w:r>
    </w:p>
    <w:p w14:paraId="418F3D4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20、本基金发生巨额赎回并延期办理；</w:t>
      </w:r>
    </w:p>
    <w:p w14:paraId="7688FF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21、本基金连续发生巨额赎回并暂停接受赎回申请或延缓支付赎回款项；</w:t>
      </w:r>
    </w:p>
    <w:p w14:paraId="3E113B1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22、本基金暂停接受申购、赎回申请或重新接受申购、赎回申请；</w:t>
      </w:r>
    </w:p>
    <w:p w14:paraId="3E85E8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23、发生涉及基金申购、赎回事项调整或潜在影响投资者赎回等重大事项时；</w:t>
      </w:r>
    </w:p>
    <w:p w14:paraId="1525E65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24、基金管理人采用摆动定价机制进行估值；</w:t>
      </w:r>
    </w:p>
    <w:p w14:paraId="0D7E7AF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25、调整基金份额类别的设置；</w:t>
      </w:r>
    </w:p>
    <w:p w14:paraId="339441D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26、变更目标ETF；</w:t>
      </w:r>
    </w:p>
    <w:p w14:paraId="6F0A0CA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w:t>
      </w:r>
      <w:r>
        <w:rPr>
          <w:rFonts w:cs="宋体" w:asciiTheme="minorEastAsia" w:hAnsiTheme="minorEastAsia"/>
          <w:kern w:val="0"/>
          <w:sz w:val="24"/>
          <w:szCs w:val="24"/>
        </w:rPr>
        <w:t>7</w:t>
      </w:r>
      <w:r>
        <w:rPr>
          <w:rFonts w:hint="eastAsia" w:cs="宋体" w:asciiTheme="minorEastAsia" w:hAnsiTheme="minorEastAsia"/>
          <w:kern w:val="0"/>
          <w:sz w:val="24"/>
          <w:szCs w:val="24"/>
        </w:rPr>
        <w:t>、基金推出新业务或服务；</w:t>
      </w:r>
    </w:p>
    <w:p w14:paraId="44FEE31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w:t>
      </w:r>
      <w:r>
        <w:rPr>
          <w:rFonts w:cs="宋体" w:asciiTheme="minorEastAsia" w:hAnsiTheme="minorEastAsia"/>
          <w:kern w:val="0"/>
          <w:sz w:val="24"/>
          <w:szCs w:val="24"/>
        </w:rPr>
        <w:t>8</w:t>
      </w:r>
      <w:r>
        <w:rPr>
          <w:rFonts w:hint="eastAsia" w:cs="宋体" w:asciiTheme="minorEastAsia" w:hAnsiTheme="minorEastAsia"/>
          <w:kern w:val="0"/>
          <w:sz w:val="24"/>
          <w:szCs w:val="24"/>
        </w:rPr>
        <w:t>、《</w:t>
      </w:r>
      <w:r>
        <w:rPr>
          <w:rFonts w:cs="宋体" w:asciiTheme="minorEastAsia" w:hAnsiTheme="minorEastAsia"/>
          <w:kern w:val="0"/>
          <w:sz w:val="24"/>
          <w:szCs w:val="24"/>
        </w:rPr>
        <w:t>博时中证机器人指数型发起式证券投资基金基金合同</w:t>
      </w:r>
      <w:r>
        <w:rPr>
          <w:rFonts w:hint="eastAsia" w:cs="宋体" w:asciiTheme="minorEastAsia" w:hAnsiTheme="minorEastAsia"/>
          <w:kern w:val="0"/>
          <w:sz w:val="24"/>
          <w:szCs w:val="24"/>
        </w:rPr>
        <w:t>》生效三年后继续存续的，连续30个工作日、40个工作日及45个工作日出现基金份额持有人数量不满二百人或者基金资产净值低于五千万元情形的；</w:t>
      </w:r>
    </w:p>
    <w:p w14:paraId="199DAF5F">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29</w:t>
      </w:r>
      <w:r>
        <w:rPr>
          <w:rFonts w:hint="eastAsia" w:cs="宋体" w:asciiTheme="minorEastAsia" w:hAnsiTheme="minorEastAsia"/>
          <w:kern w:val="0"/>
          <w:sz w:val="24"/>
          <w:szCs w:val="24"/>
        </w:rPr>
        <w:t>、基金信息披露义务人认为可能对基金份额持有人权益或者基金份额的价格产生重大影响的其他事项或中国证监会规定的和基金合同约定的其他事项。</w:t>
      </w:r>
    </w:p>
    <w:p w14:paraId="0136B3F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（六）澄清公告</w:t>
      </w:r>
    </w:p>
    <w:p w14:paraId="4ADBA6F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4C05234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（七）清算报告</w:t>
      </w:r>
    </w:p>
    <w:p w14:paraId="4A5C946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482EA8F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（八）基金份额持有人大会决议</w:t>
      </w:r>
    </w:p>
    <w:p w14:paraId="36BD5CF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基金份额持有人大会决定的事项，应当依法报中国证监会备案，并予以公告。</w:t>
      </w:r>
    </w:p>
    <w:p w14:paraId="01D7837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（九）投资股指期货、国债期货、股票期权的信息披露</w:t>
      </w:r>
    </w:p>
    <w:p w14:paraId="5B2CC8C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14:paraId="00CC63A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（十）投资资产支持证券的信息披露</w:t>
      </w:r>
    </w:p>
    <w:p w14:paraId="5AE8611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F48124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（十一）投资港股通标的股票的信息披露</w:t>
      </w:r>
    </w:p>
    <w:p w14:paraId="2A0C427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6383C67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（十二）投资非公开发行股票的信息披露</w:t>
      </w:r>
    </w:p>
    <w:p w14:paraId="37FB1A0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7002A67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（十三）参与融资和转融通证券出借业务的信息披露</w:t>
      </w:r>
    </w:p>
    <w:p w14:paraId="179362E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5A2E85F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本基金参与转融通证券出借业务的，基金管理人应当在基金定期报告等文件中就报告期内发生的重大关联交易事项做详细说明。</w:t>
      </w:r>
    </w:p>
    <w:p w14:paraId="25CA362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未来在法律法规允许的前提下，本基金可依据法律法规的相关规定参与融券业务，并相应履行信披义务。</w:t>
      </w:r>
    </w:p>
    <w:p w14:paraId="420469F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（十四）投资目标ETF的信息披露</w:t>
      </w:r>
    </w:p>
    <w:p w14:paraId="7F815A9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本基金在招募说明书（更新）及定期报告等文件中应当设立专门章节披露所持目标ETF以下情况，并揭示相关风险：</w:t>
      </w:r>
    </w:p>
    <w:p w14:paraId="06A7FC9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1、投资策略、持仓情况、损益情况、净值披露时间等；</w:t>
      </w:r>
    </w:p>
    <w:p w14:paraId="54FA17F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2、交易及持有目标ETF产生的费用，包括申购费、赎回费、管理费、托管费等，招募说明书（更新）中应当列明计算方法并举例说明；</w:t>
      </w:r>
    </w:p>
    <w:p w14:paraId="61F1338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3、持有的目标ETF发生的重大影响事件，如转换运作方式、与其他基金合并、终止基金合同以及召开基金份额持有人大会等；</w:t>
      </w:r>
    </w:p>
    <w:p w14:paraId="6CF6A0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4、本基金投资于基金管理人以及基金管理人关联方所管理基金的情况。</w:t>
      </w:r>
    </w:p>
    <w:p w14:paraId="42BF45F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（十五）实施侧袋机制期间的信息披露</w:t>
      </w:r>
    </w:p>
    <w:p w14:paraId="076038F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本基金实施侧袋机制的，相关信息披露义务人应当根据法律法规、基金合同和招募说明书的规定进行信息披露，详见招募说明书的规定。</w:t>
      </w:r>
    </w:p>
    <w:p w14:paraId="16E83D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（十六）发起资金认购份额报告</w:t>
      </w:r>
    </w:p>
    <w:p w14:paraId="0023257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026C937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（十七）中国证监会规定的其他信息</w:t>
      </w:r>
    </w:p>
    <w:p w14:paraId="54854FD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六、信息披露事务管理</w:t>
      </w:r>
    </w:p>
    <w:p w14:paraId="6B238F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基金管理人、基金托管人应当建立健全信息披露管理制度，指定专门部门及高级管理人员负责管理信息披露事务。</w:t>
      </w:r>
    </w:p>
    <w:p w14:paraId="0B4AD5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基金信息披露义务人公开披露基金信息，应当符合中国证监会相关基金信息披露内容与格式准则等法规的规定。</w:t>
      </w:r>
    </w:p>
    <w:p w14:paraId="3AEB721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53931B1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基金管理人、基金托管人应当在规定媒介中选择披露信息的媒介。</w:t>
      </w:r>
    </w:p>
    <w:p w14:paraId="723A4B3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基金管理人、基金托管人应当向中国证监会基金电子披露网站报送拟披露的基金信息，并保证相关报送信息的真实、准确、完整、及时。</w:t>
      </w:r>
    </w:p>
    <w:p w14:paraId="503B784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28BA526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为基金信息披露义务人公开披露的基金信息出具审计报告、法律意见书的专业机构，应当制作工作底稿，并将相关档案至少保存到《基金合同》终止后10年。</w:t>
      </w:r>
    </w:p>
    <w:p w14:paraId="475C92B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七、信息披露文件的存放与查阅</w:t>
      </w:r>
    </w:p>
    <w:p w14:paraId="7C49B6E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依法必须披露的信息发布后，基金管理人、基金托管人应当按照相关法律法规规定将信息置备于公司住所，以供社会公众查阅、复制。</w:t>
      </w:r>
    </w:p>
    <w:p w14:paraId="1768B27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八、暂停或延迟信息披露的情形</w:t>
      </w:r>
    </w:p>
    <w:p w14:paraId="6734A95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1、不可抗力；</w:t>
      </w:r>
    </w:p>
    <w:p w14:paraId="0D3561C3">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2</w:t>
      </w:r>
      <w:r>
        <w:rPr>
          <w:rFonts w:hint="eastAsia" w:cs="宋体" w:asciiTheme="minorEastAsia" w:hAnsiTheme="minorEastAsia"/>
          <w:kern w:val="0"/>
          <w:sz w:val="24"/>
          <w:szCs w:val="24"/>
        </w:rPr>
        <w:t>、发生暂停估值的情形；</w:t>
      </w:r>
    </w:p>
    <w:p w14:paraId="1418ADF2">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3</w:t>
      </w:r>
      <w:r>
        <w:rPr>
          <w:rFonts w:hint="eastAsia" w:cs="宋体" w:asciiTheme="minorEastAsia" w:hAnsiTheme="minorEastAsia"/>
          <w:kern w:val="0"/>
          <w:sz w:val="24"/>
          <w:szCs w:val="24"/>
        </w:rPr>
        <w:t>、法律法规规定、中国证监会或基金合同认定的其他情形。</w:t>
      </w:r>
    </w:p>
    <w:p w14:paraId="4CFD77F9">
      <w:pPr>
        <w:autoSpaceDE w:val="0"/>
        <w:autoSpaceDN w:val="0"/>
        <w:adjustRightInd w:val="0"/>
        <w:spacing w:line="360" w:lineRule="auto"/>
        <w:ind w:firstLine="480" w:firstLineChars="200"/>
        <w:rPr>
          <w:rFonts w:cs="宋体" w:asciiTheme="minorEastAsia" w:hAnsiTheme="minorEastAsia"/>
          <w:kern w:val="0"/>
          <w:sz w:val="24"/>
          <w:szCs w:val="24"/>
        </w:rPr>
      </w:pPr>
    </w:p>
    <w:p w14:paraId="042AE5C2">
      <w:pPr>
        <w:ind w:firstLine="200"/>
        <w:sectPr>
          <w:footerReference r:id="rId21" w:type="default"/>
          <w:pgSz w:w="11906" w:h="16838"/>
          <w:pgMar w:top="1440" w:right="1800" w:bottom="1440" w:left="1800" w:header="851" w:footer="992" w:gutter="0"/>
          <w:pgNumType w:start="1"/>
          <w:cols w:space="425" w:num="1"/>
          <w:docGrid w:type="lines" w:linePitch="312" w:charSpace="0"/>
        </w:sectPr>
      </w:pPr>
    </w:p>
    <w:p w14:paraId="36E33439">
      <w:pPr>
        <w:pStyle w:val="2"/>
        <w:spacing w:before="0" w:after="0" w:line="360" w:lineRule="auto"/>
        <w:ind w:firstLine="602" w:firstLineChars="200"/>
        <w:rPr>
          <w:rFonts w:ascii="Times New Roman" w:hAnsi="Times New Roman"/>
          <w:kern w:val="0"/>
          <w:sz w:val="30"/>
          <w:lang w:val="zh-CN"/>
        </w:rPr>
      </w:pPr>
      <w:bookmarkStart w:id="21" w:name="_Toc471235856"/>
      <w:r>
        <w:rPr>
          <w:rFonts w:hint="eastAsia" w:ascii="Times New Roman" w:hAnsi="Times New Roman"/>
          <w:kern w:val="0"/>
          <w:sz w:val="30"/>
          <w:lang w:val="zh-CN"/>
        </w:rPr>
        <w:t>第十九部分</w:t>
      </w:r>
      <w:r>
        <w:rPr>
          <w:rFonts w:ascii="Times New Roman" w:hAnsi="Times New Roman"/>
          <w:kern w:val="0"/>
          <w:sz w:val="30"/>
          <w:lang w:val="zh-CN"/>
        </w:rPr>
        <w:t xml:space="preserve"> </w:t>
      </w:r>
      <w:r>
        <w:rPr>
          <w:rFonts w:hint="eastAsia" w:ascii="Times New Roman" w:hAnsi="Times New Roman"/>
          <w:kern w:val="0"/>
          <w:sz w:val="30"/>
          <w:lang w:val="zh-CN"/>
        </w:rPr>
        <w:t>基金合同的变更、终止与基金财产的清算</w:t>
      </w:r>
      <w:bookmarkEnd w:id="21"/>
    </w:p>
    <w:p w14:paraId="115FBA4B">
      <w:pPr>
        <w:autoSpaceDE w:val="0"/>
        <w:autoSpaceDN w:val="0"/>
        <w:adjustRightInd w:val="0"/>
        <w:spacing w:line="360" w:lineRule="auto"/>
        <w:ind w:firstLine="480" w:firstLineChars="200"/>
        <w:rPr>
          <w:rFonts w:cs="宋体" w:asciiTheme="minorEastAsia" w:hAnsiTheme="minorEastAsia"/>
          <w:kern w:val="0"/>
          <w:sz w:val="24"/>
          <w:szCs w:val="24"/>
        </w:rPr>
      </w:pPr>
    </w:p>
    <w:p w14:paraId="7376897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一、《基金合同》的变更</w:t>
      </w:r>
    </w:p>
    <w:p w14:paraId="4C84F2A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6777077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2、关于《基金合同》变更的基金份额持有人大会决议自生效后方可执行，自决议生效后按规定在规定媒介公告。</w:t>
      </w:r>
    </w:p>
    <w:p w14:paraId="0551C4F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二、《基金合同》的终止事由</w:t>
      </w:r>
    </w:p>
    <w:p w14:paraId="789907D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有下列情形之一的，经履行相关程序后，《基金合同》应当终止：</w:t>
      </w:r>
    </w:p>
    <w:p w14:paraId="2586E0D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1、基金份额持有人大会决定终止的；</w:t>
      </w:r>
    </w:p>
    <w:p w14:paraId="45A86FF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2、基金管理人、基金托管人职责终止，在6个月内没有新基金管理人、新基金托管人承接的；</w:t>
      </w:r>
    </w:p>
    <w:p w14:paraId="02773474">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3</w:t>
      </w:r>
      <w:r>
        <w:rPr>
          <w:rFonts w:hint="eastAsia" w:cs="宋体" w:asciiTheme="minorEastAsia" w:hAnsiTheme="minorEastAsia"/>
          <w:kern w:val="0"/>
          <w:sz w:val="24"/>
          <w:szCs w:val="24"/>
        </w:rPr>
        <w:t>、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617B5B89">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、《基金合同》约定的其他情形；</w:t>
      </w:r>
    </w:p>
    <w:p w14:paraId="1F1830D5">
      <w:pPr>
        <w:autoSpaceDE w:val="0"/>
        <w:autoSpaceDN w:val="0"/>
        <w:adjustRightInd w:val="0"/>
        <w:spacing w:line="360" w:lineRule="auto"/>
        <w:ind w:firstLine="480" w:firstLineChars="200"/>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、相关法律法规和中国证监会规定的其他情况。</w:t>
      </w:r>
    </w:p>
    <w:p w14:paraId="277F423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三、基金财产的清算</w:t>
      </w:r>
    </w:p>
    <w:p w14:paraId="38A5DDA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14:paraId="2A559B9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2、在基金财产清算小组接管基金财产之前，基金管理人和基金托管人应按照《基金合同》和托管协议的规定继续履行保护基金财产安全的职责。</w:t>
      </w:r>
    </w:p>
    <w:p w14:paraId="3A69455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D6CD45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4、基金财产清算小组职责：基金财产清算小组负责基金财产的保管、清理、估价、变现和分配。基金财产清算小组可以依法进行必要的民事活动。</w:t>
      </w:r>
    </w:p>
    <w:p w14:paraId="3688B2D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5、在基金财产清算过程中，基金管理人和基金托管人应各自履行职责，继续忠实、勤勉、尽责地履行基金合同和托管协议规定的义务，维护基金份额持有人的合法权益。</w:t>
      </w:r>
    </w:p>
    <w:p w14:paraId="4C04E82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6、基金财产清算程序：</w:t>
      </w:r>
    </w:p>
    <w:p w14:paraId="7E6B25C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（1）《基金合同》终止情形出现时，由基金财产清算小组统一接管基金；</w:t>
      </w:r>
    </w:p>
    <w:p w14:paraId="0FD7CC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（2）对基金财产和债权债务进行清理和确认；</w:t>
      </w:r>
    </w:p>
    <w:p w14:paraId="1A4EBB0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（3）对基金财产进行估值和变现；</w:t>
      </w:r>
    </w:p>
    <w:p w14:paraId="3C9EA91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（4）制作清算报告；</w:t>
      </w:r>
    </w:p>
    <w:p w14:paraId="152F995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（5）聘请会计师事务所对清算报告进行外部审计，聘请律师事务所对清算报告出具法律意见书；</w:t>
      </w:r>
    </w:p>
    <w:p w14:paraId="2BD1DD4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（6）将清算报告报中国证监会备案并公告；</w:t>
      </w:r>
    </w:p>
    <w:p w14:paraId="3A8D67F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（7）对基金剩余财产进行分配。</w:t>
      </w:r>
    </w:p>
    <w:p w14:paraId="37AA2D8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7、基金财产清算的期限为6个月，但因本基金所持证券的流动性受到限制而不能及时变现的，清算期限可相应顺延。</w:t>
      </w:r>
    </w:p>
    <w:p w14:paraId="3B971D6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四、清算费用</w:t>
      </w:r>
    </w:p>
    <w:p w14:paraId="551CD09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清算费用是指基金财产清算小组在进行基金清算过程中发生的所有合理费用，清算费用由基金财产清算小组优先从基金剩余财产中支付。</w:t>
      </w:r>
    </w:p>
    <w:p w14:paraId="3A5C252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五、基金财产清算剩余资产的分配</w:t>
      </w:r>
    </w:p>
    <w:p w14:paraId="6B207E4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14:paraId="17542FD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六、基金财产清算的公告</w:t>
      </w:r>
    </w:p>
    <w:p w14:paraId="32A3FDC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E1697E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七、基金财产清算账册及文件的保存</w:t>
      </w:r>
    </w:p>
    <w:p w14:paraId="5B35D64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基金财产清算账册及有关文件由基金托管人保存，保存期限不低于法律法规规定的最低期限。</w:t>
      </w:r>
    </w:p>
    <w:p w14:paraId="6E37270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八、基金合并</w:t>
      </w:r>
    </w:p>
    <w:p w14:paraId="4C94D85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本基金与其他基金的合并应当按照法律法规规定的程序进行。</w:t>
      </w:r>
    </w:p>
    <w:p w14:paraId="1E075356">
      <w:pPr>
        <w:ind w:firstLine="200"/>
        <w:sectPr>
          <w:footerReference r:id="rId22" w:type="default"/>
          <w:pgSz w:w="11906" w:h="16838"/>
          <w:pgMar w:top="1440" w:right="1800" w:bottom="1440" w:left="1800" w:header="851" w:footer="992" w:gutter="0"/>
          <w:pgNumType w:start="1"/>
          <w:cols w:space="425" w:num="1"/>
          <w:docGrid w:type="lines" w:linePitch="312" w:charSpace="0"/>
        </w:sectPr>
      </w:pPr>
    </w:p>
    <w:p w14:paraId="1A566914">
      <w:pPr>
        <w:pStyle w:val="2"/>
        <w:spacing w:before="0" w:after="0" w:line="360" w:lineRule="auto"/>
        <w:ind w:firstLine="602" w:firstLineChars="200"/>
        <w:jc w:val="center"/>
        <w:rPr>
          <w:rFonts w:ascii="Times New Roman" w:hAnsi="Times New Roman"/>
          <w:kern w:val="0"/>
          <w:sz w:val="30"/>
          <w:lang w:val="zh-CN"/>
        </w:rPr>
      </w:pPr>
      <w:bookmarkStart w:id="22" w:name="_Toc471235857"/>
      <w:r>
        <w:rPr>
          <w:rFonts w:hint="eastAsia" w:ascii="Times New Roman" w:hAnsi="Times New Roman"/>
          <w:kern w:val="0"/>
          <w:sz w:val="30"/>
          <w:lang w:val="zh-CN"/>
        </w:rPr>
        <w:t>第二十部分</w:t>
      </w:r>
      <w:r>
        <w:rPr>
          <w:rFonts w:ascii="Times New Roman" w:hAnsi="Times New Roman"/>
          <w:kern w:val="0"/>
          <w:sz w:val="30"/>
          <w:lang w:val="zh-CN"/>
        </w:rPr>
        <w:t xml:space="preserve"> </w:t>
      </w:r>
      <w:r>
        <w:rPr>
          <w:rFonts w:hint="eastAsia" w:ascii="Times New Roman" w:hAnsi="Times New Roman"/>
          <w:kern w:val="0"/>
          <w:sz w:val="30"/>
          <w:lang w:val="zh-CN"/>
        </w:rPr>
        <w:t>违约责任</w:t>
      </w:r>
      <w:bookmarkEnd w:id="22"/>
    </w:p>
    <w:p w14:paraId="39A0ADAC">
      <w:pPr>
        <w:autoSpaceDE w:val="0"/>
        <w:autoSpaceDN w:val="0"/>
        <w:adjustRightInd w:val="0"/>
        <w:spacing w:line="360" w:lineRule="auto"/>
        <w:ind w:firstLine="480" w:firstLineChars="200"/>
        <w:rPr>
          <w:rFonts w:cs="宋体" w:asciiTheme="minorEastAsia" w:hAnsiTheme="minorEastAsia"/>
          <w:kern w:val="0"/>
          <w:sz w:val="24"/>
          <w:szCs w:val="24"/>
        </w:rPr>
      </w:pPr>
    </w:p>
    <w:p w14:paraId="42EB313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3F7B3B3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但是发生下列情况的，当事人免责：</w:t>
      </w:r>
    </w:p>
    <w:p w14:paraId="6465C86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1、不可抗力；</w:t>
      </w:r>
    </w:p>
    <w:p w14:paraId="3CEE026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2、基金管理人和/或基金托管人按照当时有效的法律法规或中国证监会的规定作为或不作为而造成的损失等；</w:t>
      </w:r>
    </w:p>
    <w:p w14:paraId="74284A5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3、基金管理人由于按照基金合同规定的投资原则行使或不行使其投资权而造成的损失等。</w:t>
      </w:r>
    </w:p>
    <w:p w14:paraId="1EB9BEA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1223E78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79D1796B">
      <w:pPr>
        <w:autoSpaceDE w:val="0"/>
        <w:autoSpaceDN w:val="0"/>
        <w:adjustRightInd w:val="0"/>
        <w:spacing w:line="360" w:lineRule="auto"/>
        <w:ind w:firstLine="480" w:firstLineChars="200"/>
        <w:rPr>
          <w:rFonts w:cs="宋体" w:asciiTheme="minorEastAsia" w:hAnsiTheme="minorEastAsia"/>
          <w:kern w:val="0"/>
          <w:sz w:val="24"/>
          <w:szCs w:val="24"/>
        </w:rPr>
      </w:pPr>
    </w:p>
    <w:p w14:paraId="3BA4F4DF">
      <w:pPr>
        <w:autoSpaceDE w:val="0"/>
        <w:autoSpaceDN w:val="0"/>
        <w:adjustRightInd w:val="0"/>
        <w:spacing w:line="360" w:lineRule="auto"/>
        <w:ind w:firstLine="200"/>
        <w:rPr>
          <w:rFonts w:cs="宋体" w:asciiTheme="minorEastAsia" w:hAnsiTheme="minorEastAsia"/>
          <w:kern w:val="0"/>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14:paraId="762FED64">
      <w:pPr>
        <w:pStyle w:val="2"/>
        <w:spacing w:before="0" w:after="0" w:line="360" w:lineRule="auto"/>
        <w:ind w:firstLine="602" w:firstLineChars="200"/>
        <w:jc w:val="center"/>
        <w:rPr>
          <w:rFonts w:ascii="Times New Roman" w:hAnsi="Times New Roman"/>
          <w:kern w:val="0"/>
          <w:sz w:val="30"/>
          <w:lang w:val="zh-CN"/>
        </w:rPr>
      </w:pPr>
      <w:bookmarkStart w:id="23" w:name="_Toc471235858"/>
      <w:r>
        <w:rPr>
          <w:rFonts w:hint="eastAsia" w:ascii="Times New Roman" w:hAnsi="Times New Roman"/>
          <w:kern w:val="0"/>
          <w:sz w:val="30"/>
          <w:lang w:val="zh-CN"/>
        </w:rPr>
        <w:t>第二十一部分</w:t>
      </w:r>
      <w:r>
        <w:rPr>
          <w:rFonts w:ascii="Times New Roman" w:hAnsi="Times New Roman"/>
          <w:kern w:val="0"/>
          <w:sz w:val="30"/>
          <w:lang w:val="zh-CN"/>
        </w:rPr>
        <w:t xml:space="preserve"> </w:t>
      </w:r>
      <w:r>
        <w:rPr>
          <w:rFonts w:hint="eastAsia" w:ascii="Times New Roman" w:hAnsi="Times New Roman"/>
          <w:kern w:val="0"/>
          <w:sz w:val="30"/>
          <w:lang w:val="zh-CN"/>
        </w:rPr>
        <w:t>争议的处理和适用的法律</w:t>
      </w:r>
      <w:bookmarkEnd w:id="23"/>
    </w:p>
    <w:p w14:paraId="56BB7712">
      <w:pPr>
        <w:autoSpaceDE w:val="0"/>
        <w:autoSpaceDN w:val="0"/>
        <w:adjustRightInd w:val="0"/>
        <w:spacing w:line="360" w:lineRule="auto"/>
        <w:ind w:firstLine="482" w:firstLineChars="200"/>
        <w:rPr>
          <w:rFonts w:cs="宋体" w:asciiTheme="minorEastAsia" w:hAnsiTheme="minorEastAsia"/>
          <w:b/>
          <w:i/>
          <w:kern w:val="0"/>
          <w:sz w:val="24"/>
          <w:szCs w:val="24"/>
        </w:rPr>
      </w:pPr>
    </w:p>
    <w:p w14:paraId="58D98712">
      <w:pPr>
        <w:autoSpaceDE w:val="0"/>
        <w:autoSpaceDN w:val="0"/>
        <w:adjustRightInd w:val="0"/>
        <w:spacing w:line="360" w:lineRule="auto"/>
        <w:ind w:firstLine="482" w:firstLineChars="200"/>
        <w:rPr>
          <w:rFonts w:cs="宋体" w:asciiTheme="minorEastAsia" w:hAnsiTheme="minorEastAsia"/>
          <w:b/>
          <w:bCs w:val="0"/>
          <w:i/>
          <w:iCs w:val="0"/>
          <w:kern w:val="0"/>
          <w:sz w:val="24"/>
          <w:szCs w:val="24"/>
        </w:rPr>
      </w:pPr>
      <w:r>
        <w:rPr>
          <w:rFonts w:hint="eastAsia" w:cs="宋体" w:asciiTheme="minorEastAsia" w:hAnsiTheme="minorEastAsia"/>
          <w:b/>
          <w:bCs w:val="0"/>
          <w:i/>
          <w:iCs w:val="0"/>
          <w:kern w:val="0"/>
          <w:sz w:val="24"/>
          <w:szCs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74E34C4C">
      <w:pPr>
        <w:autoSpaceDE w:val="0"/>
        <w:autoSpaceDN w:val="0"/>
        <w:adjustRightInd w:val="0"/>
        <w:spacing w:line="360" w:lineRule="auto"/>
        <w:ind w:firstLine="482" w:firstLineChars="200"/>
        <w:rPr>
          <w:rFonts w:cs="宋体" w:asciiTheme="minorEastAsia" w:hAnsiTheme="minorEastAsia"/>
          <w:b/>
          <w:bCs w:val="0"/>
          <w:i/>
          <w:iCs w:val="0"/>
          <w:kern w:val="0"/>
          <w:sz w:val="24"/>
          <w:szCs w:val="24"/>
        </w:rPr>
      </w:pPr>
      <w:r>
        <w:rPr>
          <w:rFonts w:hint="eastAsia" w:cs="宋体" w:asciiTheme="minorEastAsia" w:hAnsiTheme="minorEastAsia"/>
          <w:b/>
          <w:bCs w:val="0"/>
          <w:i/>
          <w:iCs w:val="0"/>
          <w:kern w:val="0"/>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27458A31">
      <w:pPr>
        <w:autoSpaceDE w:val="0"/>
        <w:autoSpaceDN w:val="0"/>
        <w:adjustRightInd w:val="0"/>
        <w:spacing w:line="360" w:lineRule="auto"/>
        <w:ind w:firstLine="482" w:firstLineChars="200"/>
        <w:rPr>
          <w:rFonts w:cs="宋体" w:asciiTheme="minorEastAsia" w:hAnsiTheme="minorEastAsia"/>
          <w:b/>
          <w:bCs w:val="0"/>
          <w:i/>
          <w:iCs w:val="0"/>
          <w:kern w:val="0"/>
          <w:sz w:val="24"/>
          <w:szCs w:val="24"/>
        </w:rPr>
      </w:pPr>
      <w:r>
        <w:rPr>
          <w:rFonts w:hint="eastAsia" w:cs="宋体" w:asciiTheme="minorEastAsia" w:hAnsiTheme="minorEastAsia"/>
          <w:b/>
          <w:bCs w:val="0"/>
          <w:i/>
          <w:iCs w:val="0"/>
          <w:kern w:val="0"/>
          <w:sz w:val="24"/>
          <w:szCs w:val="24"/>
        </w:rPr>
        <w:t>《基金合同》受中国法律（为本基金合同之目的，在此不包括香港、澳门特别行政区和台湾地区法律）管辖并从其解释。</w:t>
      </w:r>
    </w:p>
    <w:p w14:paraId="652EF1B6">
      <w:pPr>
        <w:autoSpaceDE w:val="0"/>
        <w:autoSpaceDN w:val="0"/>
        <w:adjustRightInd w:val="0"/>
        <w:spacing w:line="360" w:lineRule="auto"/>
        <w:ind w:firstLine="480" w:firstLineChars="200"/>
        <w:rPr>
          <w:rFonts w:cs="宋体" w:asciiTheme="minorEastAsia" w:hAnsiTheme="minorEastAsia"/>
          <w:kern w:val="0"/>
          <w:sz w:val="24"/>
          <w:szCs w:val="24"/>
        </w:rPr>
      </w:pPr>
    </w:p>
    <w:p w14:paraId="6FA7F6E8">
      <w:pPr>
        <w:autoSpaceDE w:val="0"/>
        <w:autoSpaceDN w:val="0"/>
        <w:adjustRightInd w:val="0"/>
        <w:spacing w:line="360" w:lineRule="auto"/>
        <w:ind w:firstLine="480" w:firstLineChars="200"/>
        <w:rPr>
          <w:rFonts w:cs="宋体" w:asciiTheme="minorEastAsia" w:hAnsiTheme="minorEastAsia"/>
          <w:kern w:val="0"/>
          <w:sz w:val="24"/>
          <w:szCs w:val="24"/>
        </w:rPr>
        <w:sectPr>
          <w:footerReference r:id="rId24" w:type="default"/>
          <w:pgSz w:w="11906" w:h="16838"/>
          <w:pgMar w:top="1440" w:right="1800" w:bottom="1440" w:left="1800" w:header="851" w:footer="992" w:gutter="0"/>
          <w:pgNumType w:start="1"/>
          <w:cols w:space="425" w:num="1"/>
          <w:docGrid w:type="lines" w:linePitch="312" w:charSpace="0"/>
        </w:sectPr>
      </w:pPr>
    </w:p>
    <w:p w14:paraId="57B6910B">
      <w:pPr>
        <w:pStyle w:val="2"/>
        <w:spacing w:before="0" w:after="0" w:line="360" w:lineRule="auto"/>
        <w:ind w:firstLine="602" w:firstLineChars="200"/>
        <w:jc w:val="center"/>
        <w:rPr>
          <w:rFonts w:ascii="Times New Roman" w:hAnsi="Times New Roman"/>
          <w:kern w:val="0"/>
          <w:sz w:val="30"/>
        </w:rPr>
      </w:pPr>
      <w:bookmarkStart w:id="24" w:name="_Toc471235859"/>
      <w:r>
        <w:rPr>
          <w:rFonts w:hint="eastAsia" w:ascii="Times New Roman" w:hAnsi="Times New Roman"/>
          <w:kern w:val="0"/>
          <w:sz w:val="30"/>
          <w:lang w:val="zh-CN"/>
        </w:rPr>
        <w:t>第二十二部分</w:t>
      </w:r>
      <w:r>
        <w:rPr>
          <w:rFonts w:ascii="Times New Roman" w:hAnsi="Times New Roman"/>
          <w:kern w:val="0"/>
          <w:sz w:val="30"/>
        </w:rPr>
        <w:t xml:space="preserve"> </w:t>
      </w:r>
      <w:r>
        <w:rPr>
          <w:rFonts w:hint="eastAsia" w:ascii="Times New Roman" w:hAnsi="Times New Roman"/>
          <w:kern w:val="0"/>
          <w:sz w:val="30"/>
          <w:lang w:val="zh-CN"/>
        </w:rPr>
        <w:t>基金合同的效力</w:t>
      </w:r>
      <w:bookmarkEnd w:id="24"/>
    </w:p>
    <w:p w14:paraId="6ACA53BC">
      <w:pPr>
        <w:autoSpaceDE w:val="0"/>
        <w:autoSpaceDN w:val="0"/>
        <w:adjustRightInd w:val="0"/>
        <w:spacing w:line="360" w:lineRule="auto"/>
        <w:ind w:firstLine="480" w:firstLineChars="200"/>
        <w:rPr>
          <w:rFonts w:cs="宋体" w:asciiTheme="minorEastAsia" w:hAnsiTheme="minorEastAsia"/>
          <w:kern w:val="0"/>
          <w:sz w:val="24"/>
          <w:szCs w:val="24"/>
        </w:rPr>
      </w:pPr>
    </w:p>
    <w:p w14:paraId="5644A57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《基金合同》是约定基金合同当事人之间权利义务关系的法律文件。</w:t>
      </w:r>
    </w:p>
    <w:p w14:paraId="76C4262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1、《基金合同》由《博时中证机器人指数型发起式证券投资基金基金合同》修订而来。自2026年</w:t>
      </w:r>
      <w:r>
        <w:rPr>
          <w:rFonts w:hint="eastAsia" w:cs="宋体" w:asciiTheme="minorEastAsia" w:hAnsiTheme="minorEastAsia"/>
          <w:kern w:val="0"/>
          <w:sz w:val="24"/>
          <w:szCs w:val="24"/>
          <w:lang w:val="en-US" w:eastAsia="zh-CN"/>
        </w:rPr>
        <w:t>10</w:t>
      </w:r>
      <w:r>
        <w:rPr>
          <w:rFonts w:hint="eastAsia" w:cs="宋体" w:asciiTheme="minorEastAsia" w:hAnsiTheme="minorEastAsia"/>
          <w:kern w:val="0"/>
          <w:sz w:val="24"/>
          <w:szCs w:val="24"/>
        </w:rPr>
        <w:t>月</w:t>
      </w:r>
      <w:r>
        <w:rPr>
          <w:rFonts w:hint="eastAsia" w:cs="宋体" w:asciiTheme="minorEastAsia" w:hAnsiTheme="minorEastAsia"/>
          <w:kern w:val="0"/>
          <w:sz w:val="24"/>
          <w:szCs w:val="24"/>
          <w:lang w:val="en-US" w:eastAsia="zh-CN"/>
        </w:rPr>
        <w:t>16</w:t>
      </w:r>
      <w:r>
        <w:rPr>
          <w:rFonts w:hint="eastAsia" w:cs="宋体" w:asciiTheme="minorEastAsia" w:hAnsiTheme="minorEastAsia"/>
          <w:kern w:val="0"/>
          <w:sz w:val="24"/>
          <w:szCs w:val="24"/>
        </w:rPr>
        <w:t>日起，本基金合同生效，《博时中证机器人指数型发起式证券投资基金基金合同》失效。</w:t>
      </w:r>
    </w:p>
    <w:p w14:paraId="3E2498B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2、《基金合同》的有效期自《博时中证机器人指数型发起式证券投资基金基金合同》生效之日起至基金财产清算结果报中国证监会备案并公告之日止。</w:t>
      </w:r>
    </w:p>
    <w:p w14:paraId="290FA3D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3、《基金合同》自生效之日起对包括基金管理人、基金托管人和基金份额持有人在内的《基金合同》各方当事人具有同等的法律约束力。</w:t>
      </w:r>
    </w:p>
    <w:p w14:paraId="101502F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4、《基金合同》正本一式三份，除上报有关监管机构一式一份外，基金管理人、基金托管人各持有一份，每份具有同等的法律效力。</w:t>
      </w:r>
    </w:p>
    <w:p w14:paraId="12157D6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5、《基金合同》可印制成册，供投资者在基金管理人、基金托管人、销售机构的办公场所和营业场所查阅。</w:t>
      </w:r>
    </w:p>
    <w:p w14:paraId="135AFA16">
      <w:pPr>
        <w:ind w:firstLine="200"/>
      </w:pPr>
    </w:p>
    <w:p w14:paraId="49485389">
      <w:pPr>
        <w:widowControl/>
        <w:ind w:firstLine="200"/>
        <w:rPr>
          <w:rFonts w:ascii="Times New Roman" w:hAnsi="Times New Roman" w:eastAsia="宋体" w:cs="Times New Roman"/>
          <w:b/>
          <w:kern w:val="0"/>
          <w:sz w:val="30"/>
          <w:szCs w:val="30"/>
          <w:lang w:val="zh-CN"/>
        </w:rPr>
        <w:sectPr>
          <w:footerReference r:id="rId25" w:type="default"/>
          <w:pgSz w:w="11906" w:h="16838"/>
          <w:pgMar w:top="1440" w:right="1800" w:bottom="1440" w:left="1800" w:header="851" w:footer="992" w:gutter="0"/>
          <w:pgNumType w:start="1"/>
          <w:cols w:space="425" w:num="1"/>
          <w:docGrid w:type="lines" w:linePitch="312" w:charSpace="0"/>
        </w:sectPr>
      </w:pPr>
    </w:p>
    <w:p w14:paraId="5BE79CE9">
      <w:pPr>
        <w:pStyle w:val="2"/>
        <w:spacing w:before="0" w:after="0" w:line="360" w:lineRule="auto"/>
        <w:ind w:firstLine="602" w:firstLineChars="200"/>
        <w:jc w:val="center"/>
        <w:rPr>
          <w:rFonts w:ascii="Times New Roman" w:hAnsi="Times New Roman"/>
          <w:kern w:val="0"/>
          <w:sz w:val="30"/>
          <w:lang w:val="zh-CN"/>
        </w:rPr>
      </w:pPr>
      <w:bookmarkStart w:id="25" w:name="_Toc471235860"/>
      <w:r>
        <w:rPr>
          <w:rFonts w:hint="eastAsia" w:ascii="Times New Roman" w:hAnsi="Times New Roman"/>
          <w:kern w:val="0"/>
          <w:sz w:val="30"/>
          <w:lang w:val="zh-CN"/>
        </w:rPr>
        <w:t>第二十三部分</w:t>
      </w:r>
      <w:r>
        <w:rPr>
          <w:rFonts w:ascii="Times New Roman" w:hAnsi="Times New Roman"/>
          <w:kern w:val="0"/>
          <w:sz w:val="30"/>
          <w:lang w:val="zh-CN"/>
        </w:rPr>
        <w:t xml:space="preserve"> </w:t>
      </w:r>
      <w:r>
        <w:rPr>
          <w:rFonts w:hint="eastAsia" w:ascii="Times New Roman" w:hAnsi="Times New Roman"/>
          <w:kern w:val="0"/>
          <w:sz w:val="30"/>
          <w:lang w:val="zh-CN"/>
        </w:rPr>
        <w:t>其他事项</w:t>
      </w:r>
      <w:bookmarkEnd w:id="25"/>
    </w:p>
    <w:p w14:paraId="1B1434C7">
      <w:pPr>
        <w:autoSpaceDE w:val="0"/>
        <w:autoSpaceDN w:val="0"/>
        <w:adjustRightInd w:val="0"/>
        <w:spacing w:line="360" w:lineRule="auto"/>
        <w:ind w:firstLine="480" w:firstLineChars="200"/>
        <w:rPr>
          <w:rFonts w:cs="宋体" w:asciiTheme="minorEastAsia" w:hAnsiTheme="minorEastAsia"/>
          <w:kern w:val="0"/>
          <w:sz w:val="24"/>
          <w:szCs w:val="24"/>
        </w:rPr>
      </w:pPr>
    </w:p>
    <w:p w14:paraId="176FC3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《基金合同》如有未尽事宜，由《基金合同》当事人各方按有关法律法规协商解决。</w:t>
      </w:r>
    </w:p>
    <w:p w14:paraId="745C9CA6">
      <w:pPr>
        <w:widowControl/>
        <w:ind w:firstLine="200"/>
        <w:rPr>
          <w:rFonts w:cs="宋体" w:asciiTheme="minorEastAsia" w:hAnsiTheme="minorEastAsia"/>
          <w:kern w:val="0"/>
          <w:sz w:val="24"/>
          <w:szCs w:val="24"/>
        </w:rPr>
        <w:sectPr>
          <w:footerReference r:id="rId26" w:type="default"/>
          <w:pgSz w:w="11906" w:h="16838"/>
          <w:pgMar w:top="1440" w:right="1800" w:bottom="1440" w:left="1800" w:header="851" w:footer="992" w:gutter="0"/>
          <w:pgNumType w:start="1"/>
          <w:cols w:space="425" w:num="1"/>
          <w:docGrid w:type="lines" w:linePitch="312" w:charSpace="0"/>
        </w:sectPr>
      </w:pPr>
    </w:p>
    <w:p w14:paraId="6AB211B3">
      <w:pPr>
        <w:keepNext/>
        <w:keepLines/>
        <w:autoSpaceDE w:val="0"/>
        <w:autoSpaceDN w:val="0"/>
        <w:adjustRightInd w:val="0"/>
        <w:snapToGrid w:val="0"/>
        <w:spacing w:line="360" w:lineRule="auto"/>
        <w:ind w:firstLine="422" w:firstLineChars="150"/>
        <w:jc w:val="center"/>
        <w:textAlignment w:val="baseline"/>
        <w:outlineLvl w:val="0"/>
        <w:rPr>
          <w:rFonts w:ascii="Times New Roman" w:hAnsi="Times New Roman" w:eastAsia="宋体" w:cs="Times New Roman"/>
          <w:sz w:val="28"/>
          <w:szCs w:val="20"/>
        </w:rPr>
      </w:pPr>
      <w:bookmarkStart w:id="26" w:name="_Toc7437"/>
      <w:bookmarkStart w:id="27" w:name="_Toc5108"/>
      <w:bookmarkStart w:id="28" w:name="_Toc141703905"/>
      <w:bookmarkStart w:id="29" w:name="_Toc15045"/>
      <w:bookmarkStart w:id="30" w:name="_Toc21122"/>
      <w:bookmarkStart w:id="31" w:name="_Toc20098"/>
      <w:bookmarkStart w:id="32" w:name="_Toc1360"/>
      <w:bookmarkStart w:id="33" w:name="_Toc32355"/>
      <w:bookmarkStart w:id="34" w:name="_Toc17263"/>
      <w:bookmarkStart w:id="35" w:name="_Toc9054"/>
      <w:bookmarkStart w:id="36" w:name="_Toc12499"/>
      <w:bookmarkStart w:id="37" w:name="_Toc15664"/>
      <w:bookmarkStart w:id="38" w:name="_Toc471235861"/>
      <w:r>
        <w:rPr>
          <w:rFonts w:hint="eastAsia" w:ascii="Times New Roman" w:hAnsi="Times New Roman"/>
          <w:b/>
          <w:kern w:val="0"/>
          <w:sz w:val="28"/>
          <w:lang w:val="zh-CN"/>
        </w:rPr>
        <w:t>第二十四部分</w:t>
      </w:r>
      <w:r>
        <w:rPr>
          <w:rFonts w:ascii="Times New Roman" w:hAnsi="Times New Roman"/>
          <w:b/>
          <w:kern w:val="0"/>
          <w:sz w:val="28"/>
          <w:lang w:val="zh-CN"/>
        </w:rPr>
        <w:t xml:space="preserve">  </w:t>
      </w:r>
      <w:bookmarkEnd w:id="26"/>
      <w:bookmarkEnd w:id="27"/>
      <w:bookmarkEnd w:id="28"/>
      <w:bookmarkEnd w:id="29"/>
      <w:bookmarkEnd w:id="30"/>
      <w:bookmarkEnd w:id="31"/>
      <w:bookmarkEnd w:id="32"/>
      <w:bookmarkEnd w:id="33"/>
      <w:bookmarkEnd w:id="34"/>
      <w:bookmarkEnd w:id="35"/>
      <w:bookmarkEnd w:id="36"/>
      <w:bookmarkEnd w:id="37"/>
      <w:r>
        <w:rPr>
          <w:rFonts w:hint="eastAsia" w:ascii="Times New Roman" w:hAnsi="Times New Roman"/>
          <w:b/>
          <w:kern w:val="0"/>
          <w:sz w:val="28"/>
          <w:lang w:val="zh-CN"/>
        </w:rPr>
        <w:t>基金合同的内容摘要</w:t>
      </w:r>
      <w:bookmarkEnd w:id="38"/>
    </w:p>
    <w:p w14:paraId="59CE604E">
      <w:pPr>
        <w:autoSpaceDE w:val="0"/>
        <w:autoSpaceDN w:val="0"/>
        <w:spacing w:line="360" w:lineRule="auto"/>
        <w:ind w:firstLine="480" w:firstLineChars="200"/>
        <w:textAlignment w:val="bottom"/>
        <w:rPr>
          <w:rFonts w:ascii="Times New Roman" w:hAnsi="Times New Roman" w:eastAsia="宋体" w:cs="Times New Roman"/>
          <w:bCs/>
          <w:sz w:val="24"/>
          <w:szCs w:val="20"/>
        </w:rPr>
      </w:pPr>
    </w:p>
    <w:p w14:paraId="48BCD81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一、基金管理人、基金托管人及基金份额持有人的权利与义务</w:t>
      </w:r>
    </w:p>
    <w:p w14:paraId="5715A9C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（一）基金管理人的权利与义务</w:t>
      </w:r>
    </w:p>
    <w:p w14:paraId="2B55CDF0">
      <w:pPr>
        <w:autoSpaceDE w:val="0"/>
        <w:autoSpaceDN w:val="0"/>
        <w:adjustRightInd w:val="0"/>
        <w:spacing w:line="360" w:lineRule="auto"/>
        <w:ind w:firstLine="480" w:firstLineChars="200"/>
        <w:rPr>
          <w:rFonts w:cs="宋体" w:asciiTheme="minorEastAsia" w:hAnsiTheme="minorEastAsia"/>
          <w:kern w:val="0"/>
          <w:sz w:val="24"/>
          <w:szCs w:val="24"/>
        </w:rPr>
      </w:pPr>
      <w:bookmarkStart w:id="39" w:name="_Hlk239085376"/>
      <w:r>
        <w:rPr>
          <w:rFonts w:hint="eastAsia" w:cs="宋体" w:asciiTheme="minorEastAsia" w:hAnsiTheme="minorEastAsia"/>
          <w:kern w:val="0"/>
          <w:sz w:val="24"/>
          <w:szCs w:val="24"/>
        </w:rPr>
        <w:t>1、根据《基金法》、《运作办法》及其他有关规定，基金管理人的权利包括但不限于：</w:t>
      </w:r>
    </w:p>
    <w:p w14:paraId="5CE9AEA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（1）依法募集资金；</w:t>
      </w:r>
    </w:p>
    <w:p w14:paraId="5259809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（2）自《基金合同》生效之日起，根据法律法规和《基金合同》独立运用并管理基金财产；</w:t>
      </w:r>
    </w:p>
    <w:p w14:paraId="5C90487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（3）依照《基金合同》收取基金管理费以及法律法规规定或中国证监会批准的其他费用；</w:t>
      </w:r>
    </w:p>
    <w:p w14:paraId="78D2622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（4）销售基金份额；</w:t>
      </w:r>
    </w:p>
    <w:p w14:paraId="06FF2BA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（5）按照规定召集基金份额持有人大会；</w:t>
      </w:r>
    </w:p>
    <w:p w14:paraId="4619C6D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79B4C36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（7）在基金托管人更换时，提名新的基金托管人；</w:t>
      </w:r>
    </w:p>
    <w:p w14:paraId="1409DAB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（8）选择、更换基金销售机构，对基金销售机构的相关行为进行监督和处理； </w:t>
      </w:r>
    </w:p>
    <w:p w14:paraId="0853582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（9）担任或委托其他符合条件的机构担任基金登记机构办理基金登记业务并获得《基金合同》规定的费用； </w:t>
      </w:r>
    </w:p>
    <w:p w14:paraId="3330463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（10）依据《基金合同》及有关法律规定决定基金收益的分配方案；</w:t>
      </w:r>
      <w:r>
        <w:rPr>
          <w:rFonts w:hint="eastAsia" w:cs="宋体" w:asciiTheme="minorEastAsia" w:hAnsiTheme="minorEastAsia"/>
          <w:kern w:val="0"/>
          <w:sz w:val="24"/>
          <w:szCs w:val="24"/>
        </w:rPr>
        <w:tab/>
      </w:r>
    </w:p>
    <w:p w14:paraId="48C2047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 xml:space="preserve">（11）在《基金合同》约定的范围内，拒绝或暂停受理申购、赎回与转换申请； </w:t>
      </w:r>
    </w:p>
    <w:p w14:paraId="6394918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（12）依照法律法规为基金的利益对被投资公司行使股东权利，为基金的利益行使因基金财产投资于证券所产生的权利；</w:t>
      </w:r>
    </w:p>
    <w:p w14:paraId="6160366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（13）在法律法规允许的前提下，为基金的利益依法为基金进行融资及转融通证券出借业务；</w:t>
      </w:r>
    </w:p>
    <w:p w14:paraId="202CEF7B">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（14）以基金管理人的名义，代表基金份额持有人的利益行使诉讼权利或者实施其他法律行为；</w:t>
      </w:r>
    </w:p>
    <w:p w14:paraId="4D4A091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（15）选择、更换律师事务所、会计师事务所、证券、期货经纪商或其他为基金提供服务的外部机构；</w:t>
      </w:r>
    </w:p>
    <w:p w14:paraId="4758F7E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（16）在符合有关法律、法规的前提下，制订和调整有关基金申购、赎回、转换、定期定额投资和非交易过户等业务规则；</w:t>
      </w:r>
    </w:p>
    <w:p w14:paraId="2AAC53C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（17）代表基金份额持有人的利益行使因基金财产投资于目标ETF所产生的权利，基金合同另有约定的除外；</w:t>
      </w:r>
    </w:p>
    <w:p w14:paraId="7EB03DB8">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w:t>
      </w:r>
      <w:r>
        <w:rPr>
          <w:rFonts w:cs="宋体" w:asciiTheme="minorEastAsia" w:hAnsiTheme="minorEastAsia"/>
          <w:kern w:val="0"/>
          <w:sz w:val="24"/>
          <w:szCs w:val="24"/>
        </w:rPr>
        <w:t>8</w:t>
      </w:r>
      <w:r>
        <w:rPr>
          <w:rFonts w:hint="eastAsia" w:cs="宋体" w:asciiTheme="minorEastAsia" w:hAnsiTheme="minorEastAsia"/>
          <w:kern w:val="0"/>
          <w:sz w:val="24"/>
          <w:szCs w:val="24"/>
        </w:rPr>
        <w:t>）法律法规及中国证监会规定的和《基金合同》约定的其他权利。</w:t>
      </w:r>
    </w:p>
    <w:p w14:paraId="6E4D952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2、根据《基金法》、《运作办法》及其他有关规定，基金管理人的义务包括但不限于：</w:t>
      </w:r>
    </w:p>
    <w:p w14:paraId="7C004D7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（1）依法募集资金，办理或者委托经中国证监会认定的其他机构代为办理基金份额的申购、赎回和登记事宜；</w:t>
      </w:r>
    </w:p>
    <w:p w14:paraId="594EA7F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（2）办理基金备案手续；</w:t>
      </w:r>
    </w:p>
    <w:p w14:paraId="354C27B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（3）自《基金合同》生效之日起，以诚实信用、谨慎勤勉的原则管理和运用基金财产；</w:t>
      </w:r>
    </w:p>
    <w:p w14:paraId="1E8EA26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（4）配备足够的具有专业资格的人员进行基金投资分析、决策，以专业化的经营方式管理和运作基金财产；</w:t>
      </w:r>
    </w:p>
    <w:p w14:paraId="5E0165F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5FA864F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（6）除依据《基金法》、《基金合同》及其他有关规定外，不得利用基金财产为自己及任何第三人谋取利益，不得委托第三人运作基金财产；</w:t>
      </w:r>
    </w:p>
    <w:p w14:paraId="3477284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（7）依法接受基金托管人的监督；</w:t>
      </w:r>
    </w:p>
    <w:p w14:paraId="71A985B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（8）采取适当合理的措施使计算基金份额申购、赎回和注销价格的方法符合《基金合同》等法律文件的规定，按有关规定计算并公告基金净值信息，确定基金份额申购、赎回的价格；</w:t>
      </w:r>
    </w:p>
    <w:p w14:paraId="491F270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（9）进行基金会计核算并编制基金财务会计报告；</w:t>
      </w:r>
    </w:p>
    <w:p w14:paraId="19BFA9C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（10）编制季度报告、中期报告和年度报告；</w:t>
      </w:r>
    </w:p>
    <w:p w14:paraId="139B5E5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（11）严格按照《基金法》、《基金合同》及其他有关规定，履行信息披露及报告义务；</w:t>
      </w:r>
    </w:p>
    <w:p w14:paraId="6CCFD6A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4337AF1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（13）按《基金合同》的约定确定基金收益分配方案，及时向基金份额持有人分配基金收益；</w:t>
      </w:r>
    </w:p>
    <w:p w14:paraId="1C6C519E">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（14）按规定受理申购与赎回申请，及时、足额支付赎回款项；</w:t>
      </w:r>
    </w:p>
    <w:p w14:paraId="048D84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（15）依据《基金法》、《基金合同》及其他有关规定召集基金份额持有人大会或配合基金托管人、基金份额持有人依法召集基金份额持有人大会；</w:t>
      </w:r>
    </w:p>
    <w:p w14:paraId="5A6A01B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（16）按规定保存基金财产管理业务活动的会计账册、报表、记录和其他相关资料，保存期限不低于法律法规规定的最低期限；</w:t>
      </w:r>
    </w:p>
    <w:p w14:paraId="1CDE5B2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DEA453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（18）组织并参加基金财产清算小组，参与基金财产的保管、清理、估价、变现和分配；</w:t>
      </w:r>
    </w:p>
    <w:p w14:paraId="762CF5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（19）面临解散、依法被撤销或者被依法宣告破产时，及时报告中国证监会并通知基金托管人；</w:t>
      </w:r>
    </w:p>
    <w:p w14:paraId="750D289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（20）因违反《基金合同》导致基金财产的损失或损害基金份额持有人合法权益时，应当承担赔偿责任，其赔偿责任不因其退任而免除；</w:t>
      </w:r>
    </w:p>
    <w:p w14:paraId="447B4099">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（21）监督基金托管人按法律法规和《基金合同》规定履行自己的义务，基金托管人违反《基金合同》造成基金财产损失时，基金管理人应为基金份额持有人利益向基金托管人追偿；</w:t>
      </w:r>
    </w:p>
    <w:p w14:paraId="1D2CAEB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（22）当基金管理人将其义务委托第三方处理时，应当对第三方处理有关基金事务的行为承担责任；</w:t>
      </w:r>
    </w:p>
    <w:p w14:paraId="0BF500B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（23）以基金管理人名义，代表基金份额持有人利益行使诉讼权利或实施其他法律行为；</w:t>
      </w:r>
      <w:r>
        <w:rPr>
          <w:rFonts w:hint="eastAsia" w:cs="宋体" w:asciiTheme="minorEastAsia" w:hAnsiTheme="minorEastAsia"/>
          <w:kern w:val="0"/>
          <w:sz w:val="24"/>
          <w:szCs w:val="24"/>
        </w:rPr>
        <w:tab/>
      </w:r>
    </w:p>
    <w:p w14:paraId="50C88A86">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w:t>
      </w:r>
      <w:r>
        <w:rPr>
          <w:rFonts w:cs="宋体" w:asciiTheme="minorEastAsia" w:hAnsiTheme="minorEastAsia"/>
          <w:kern w:val="0"/>
          <w:sz w:val="24"/>
          <w:szCs w:val="24"/>
        </w:rPr>
        <w:t>4</w:t>
      </w:r>
      <w:r>
        <w:rPr>
          <w:rFonts w:hint="eastAsia" w:cs="宋体" w:asciiTheme="minorEastAsia" w:hAnsiTheme="minorEastAsia"/>
          <w:kern w:val="0"/>
          <w:sz w:val="24"/>
          <w:szCs w:val="24"/>
        </w:rPr>
        <w:t>）执行生效的基金份额持有人大会的决议；</w:t>
      </w:r>
    </w:p>
    <w:p w14:paraId="23988A61">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w:t>
      </w:r>
      <w:r>
        <w:rPr>
          <w:rFonts w:cs="宋体" w:asciiTheme="minorEastAsia" w:hAnsiTheme="minorEastAsia"/>
          <w:kern w:val="0"/>
          <w:sz w:val="24"/>
          <w:szCs w:val="24"/>
        </w:rPr>
        <w:t>5</w:t>
      </w:r>
      <w:r>
        <w:rPr>
          <w:rFonts w:hint="eastAsia" w:cs="宋体" w:asciiTheme="minorEastAsia" w:hAnsiTheme="minorEastAsia"/>
          <w:kern w:val="0"/>
          <w:sz w:val="24"/>
          <w:szCs w:val="24"/>
        </w:rPr>
        <w:t>）建立并保存基金份额持有人名册；</w:t>
      </w:r>
    </w:p>
    <w:p w14:paraId="5FDB0E1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cs="宋体" w:asciiTheme="minorEastAsia" w:hAnsiTheme="minorEastAsia"/>
          <w:kern w:val="0"/>
          <w:sz w:val="24"/>
          <w:szCs w:val="24"/>
        </w:rPr>
        <w:t>（2</w:t>
      </w:r>
      <w:r>
        <w:rPr>
          <w:rFonts w:cs="宋体" w:asciiTheme="minorEastAsia" w:hAnsiTheme="minorEastAsia"/>
          <w:kern w:val="0"/>
          <w:sz w:val="24"/>
          <w:szCs w:val="24"/>
        </w:rPr>
        <w:t>6</w:t>
      </w:r>
      <w:r>
        <w:rPr>
          <w:rFonts w:hint="eastAsia" w:cs="宋体" w:asciiTheme="minorEastAsia" w:hAnsiTheme="minorEastAsia"/>
          <w:kern w:val="0"/>
          <w:sz w:val="24"/>
          <w:szCs w:val="24"/>
        </w:rPr>
        <w:t>）法律法规及中国证监会规定的和《基金合同》约定的其他义务。</w:t>
      </w:r>
    </w:p>
    <w:bookmarkEnd w:id="39"/>
    <w:p w14:paraId="634FD03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（二）基金托管人的权利与义务</w:t>
      </w:r>
    </w:p>
    <w:p w14:paraId="5E001DA4">
      <w:pPr>
        <w:autoSpaceDE w:val="0"/>
        <w:autoSpaceDN w:val="0"/>
        <w:adjustRightInd w:val="0"/>
        <w:spacing w:line="360" w:lineRule="auto"/>
        <w:ind w:firstLine="480" w:firstLineChars="200"/>
        <w:rPr>
          <w:rFonts w:ascii="Times New Roman" w:hAnsi="Times New Roman" w:eastAsia="宋体" w:cs="Times New Roman"/>
          <w:bCs/>
          <w:sz w:val="24"/>
          <w:szCs w:val="20"/>
        </w:rPr>
      </w:pPr>
      <w:bookmarkStart w:id="40" w:name="_Hlk239085505"/>
      <w:r>
        <w:rPr>
          <w:rFonts w:hint="eastAsia" w:ascii="Times New Roman" w:hAnsi="Times New Roman" w:eastAsia="宋体" w:cs="Times New Roman"/>
          <w:bCs/>
          <w:sz w:val="24"/>
          <w:szCs w:val="20"/>
        </w:rPr>
        <w:t>1、根据《基金法》、《运作办法》及其他有关规定，基金托管人的权利包括但不限于：</w:t>
      </w:r>
    </w:p>
    <w:p w14:paraId="3641C72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（1）自《基金合同》生效之日起，依法律法规和《基金合同》的规定安全保管基金财产；</w:t>
      </w:r>
    </w:p>
    <w:p w14:paraId="17D53FE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（2）依《基金合同》约定获得基金托管费以及法律法规规定或监管部门批准的其他费用；</w:t>
      </w:r>
    </w:p>
    <w:p w14:paraId="484374F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BEF60E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（4）根据相关市场规则，为基金开设托管账户、证券账户等投资所需账户，为基金办理证券、期货交易资金清算；</w:t>
      </w:r>
    </w:p>
    <w:p w14:paraId="3ABE6C1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（5）提议召开或召集基金份额持有人大会；</w:t>
      </w:r>
    </w:p>
    <w:p w14:paraId="2E756FC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（6）在基金管理人更换时，提名新的基金管理人；</w:t>
      </w:r>
    </w:p>
    <w:p w14:paraId="03C6B0D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（7）法律法规及中国证监会规定的和《基金合同》约定的其他权利。</w:t>
      </w:r>
    </w:p>
    <w:p w14:paraId="6B27389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2、根据《基金法》、《运作办法》及其他有关规定，基金托管人的义务包括但不限于：</w:t>
      </w:r>
    </w:p>
    <w:p w14:paraId="1551D8F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（1）以诚实信用、勤勉尽责的原则持有并安全保管基金财产；</w:t>
      </w:r>
    </w:p>
    <w:p w14:paraId="0F81EAD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（2）设立专门的基金托管部门，具有符合要求的营业场所，配备足够的、合格的熟悉基金托管业务的专职人员，负责基金财产托管事宜；</w:t>
      </w:r>
    </w:p>
    <w:p w14:paraId="1B2336C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890BF9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（4）除依据《基金法》、《基金合同》及其他有关规定外，不得利用基金财产为自己及任何第三人谋取利益，不得委托第三人托管基金财产；</w:t>
      </w:r>
    </w:p>
    <w:p w14:paraId="402D405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（5）保管由基金管理人代表基金签订的与基金有关的重大合同及有关凭证；</w:t>
      </w:r>
    </w:p>
    <w:p w14:paraId="758138C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（6）按规定开设基金财产的托管账户和证券账户等投资所需账户，按照《基金合同》的约定，根据基金管理人的投资指令，及时办理清算、交割事宜；</w:t>
      </w:r>
    </w:p>
    <w:p w14:paraId="0EEF07D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2A0A290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（8）复核、审查基金管理人计算的基金资产净值、各类基金份额净值、基金份额申购、赎回价格；</w:t>
      </w:r>
    </w:p>
    <w:p w14:paraId="331365D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（9）办理与基金托管业务活动有关的信息披露事项；</w:t>
      </w:r>
    </w:p>
    <w:p w14:paraId="775B6E8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FCEC87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（11）保存基金托管业务活动的记录、账册、报表和其他相关资料不低于法律法规规定的最低期限；</w:t>
      </w:r>
    </w:p>
    <w:p w14:paraId="4AC5744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（12）保存基金份额持有人名册；</w:t>
      </w:r>
    </w:p>
    <w:p w14:paraId="0F4348A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（13）按规定制作相关账册并与基金管理人核对；</w:t>
      </w:r>
    </w:p>
    <w:p w14:paraId="42B5629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（14）依据基金管理人的指令或有关规定向基金份额持有人支付基金收益和赎回款项；</w:t>
      </w:r>
    </w:p>
    <w:p w14:paraId="1D4B3CA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（15）依据《基金法》、《基金合同》及其他有关规定，召集基金份额持有人大会或配合基金管理人、基金份额持有人依法召集基金份额持有人大会；</w:t>
      </w:r>
    </w:p>
    <w:p w14:paraId="5B0C2D8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（16）按照法律法规和《基金合同》的规定监督基金管理人的投资运作；</w:t>
      </w:r>
    </w:p>
    <w:p w14:paraId="03EB0C7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（17）参加基金财产清算小组，参与基金财产的保管、清理、估价、变现和分配；</w:t>
      </w:r>
    </w:p>
    <w:p w14:paraId="3950E00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（18）面临解散、依法被撤销或者被依法宣告破产时，及时报告中国证监会和银行业监督管理机构，并通知基金管理人；</w:t>
      </w:r>
    </w:p>
    <w:p w14:paraId="13314E7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（19）因违反《基金合同》导致基金财产损失时，应承担赔偿责任，其赔偿责任不因其退任而免除；</w:t>
      </w:r>
    </w:p>
    <w:p w14:paraId="3B0A02F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（20）按规定监督基金管理人按法律法规和《基金合同》规定履行自己的义务，基金管理人因违反《基金合同》造成基金财产损失时，应为基金份额持有人利益向基金管理人追偿；</w:t>
      </w:r>
    </w:p>
    <w:p w14:paraId="3BC899C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（21）执行生效的基金份额持有人大会的决议；</w:t>
      </w:r>
    </w:p>
    <w:p w14:paraId="27E91FD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（22）法律法规及中国证监会规定的和《基金合同》约定的其他义务。</w:t>
      </w:r>
    </w:p>
    <w:p w14:paraId="3EB4BBC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（三）基金份额持有人</w:t>
      </w:r>
    </w:p>
    <w:p w14:paraId="0AAE367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41DED6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除法律法规另有规定或本基金合同另有约定外，同一类别每份基金份额具有同等的合法权益。</w:t>
      </w:r>
    </w:p>
    <w:p w14:paraId="5ED7B2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1、根据《基金法》、《运作办法》及其他有关规定，基金份额持有人的权利包括但不限于：</w:t>
      </w:r>
    </w:p>
    <w:p w14:paraId="2006E53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（1）分享基金财产收益；</w:t>
      </w:r>
    </w:p>
    <w:p w14:paraId="3BCC4B8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（2）参与分配清算后的剩余基金财产；</w:t>
      </w:r>
    </w:p>
    <w:p w14:paraId="15A7ECE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（3）依法转让或者申请赎回其持有的基金份额；</w:t>
      </w:r>
    </w:p>
    <w:p w14:paraId="69E5450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（4）按照规定要求召开基金份额持有人大会或者召集基金份额持有人大会；</w:t>
      </w:r>
    </w:p>
    <w:p w14:paraId="44532D94">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（5）出席或者委派代表出席本基金或目标ETF的基金份额持有人大会，对本基金或目标ETF的基金份额持有人大会审议事项行使表决权；</w:t>
      </w:r>
    </w:p>
    <w:p w14:paraId="4C08FB5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（6）查阅或者复制公开披露的基金信息资料；</w:t>
      </w:r>
    </w:p>
    <w:p w14:paraId="605613A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（7）监督基金管理人的投资运作；</w:t>
      </w:r>
    </w:p>
    <w:p w14:paraId="7115ABC2">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（8）对基金管理人、基金托管人、基金服务机构损害其合法权益的行为依法提起诉讼或仲裁；</w:t>
      </w:r>
    </w:p>
    <w:p w14:paraId="46CA1C07">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（9）法律法规及中国证监会规定的和《基金合同》约定的其他权利。</w:t>
      </w:r>
    </w:p>
    <w:p w14:paraId="25409450">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2、根据《基金法》、《运作办法》及其他有关规定，基金份额持有人的义务包括但不限于：</w:t>
      </w:r>
    </w:p>
    <w:p w14:paraId="03DB8C3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（1）认真阅读并遵守《基金合同》、招募说明书等信息披露文件；</w:t>
      </w:r>
    </w:p>
    <w:p w14:paraId="111CBC1A">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（2）了解所投资基金产品，了解自身风险承受能力，自主判断基金的投资价值，自主做出投资决策，自行承担投资风险；</w:t>
      </w:r>
    </w:p>
    <w:p w14:paraId="06EA8B7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（3）关注基金信息披露，及时行使权利和履行义务；</w:t>
      </w:r>
    </w:p>
    <w:p w14:paraId="6B2CE6F5">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（4）交纳基金申购款项及法律法规和《基金合同》所规定的费用；</w:t>
      </w:r>
    </w:p>
    <w:p w14:paraId="70310FB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（5）在其持有的基金份额范围内，承担基金亏损或者《基金合同》终止的有限责任；</w:t>
      </w:r>
    </w:p>
    <w:p w14:paraId="3169745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（6）不从事任何有损基金及其他《基金合同》当事人合法权益的活动；</w:t>
      </w:r>
    </w:p>
    <w:p w14:paraId="29291A0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（7）执行生效的基金份额持有人大会的决议；</w:t>
      </w:r>
    </w:p>
    <w:p w14:paraId="46ABBE93">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（8）返还在基金交易过程中因任何原因获得的不当得利；</w:t>
      </w:r>
    </w:p>
    <w:p w14:paraId="00C3239D">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（9）发起资金提供方持有认购的基金份额不少于3年，法律法规或监管机构另有规定的除外；</w:t>
      </w:r>
    </w:p>
    <w:p w14:paraId="4D62819F">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w:t>
      </w:r>
      <w:r>
        <w:rPr>
          <w:rFonts w:cs="宋体" w:asciiTheme="minorEastAsia" w:hAnsiTheme="minorEastAsia"/>
          <w:kern w:val="0"/>
          <w:sz w:val="24"/>
          <w:szCs w:val="24"/>
        </w:rPr>
        <w:t>10</w:t>
      </w:r>
      <w:r>
        <w:rPr>
          <w:rFonts w:hint="eastAsia" w:cs="宋体" w:asciiTheme="minorEastAsia" w:hAnsiTheme="minorEastAsia"/>
          <w:kern w:val="0"/>
          <w:sz w:val="24"/>
          <w:szCs w:val="24"/>
        </w:rPr>
        <w:t>）法律法规及中国证监会规定的和《基金合同》约定的其他义务。</w:t>
      </w:r>
    </w:p>
    <w:bookmarkEnd w:id="40"/>
    <w:p w14:paraId="3E32CA5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二、基金份额持有人大会召集、议事及表决的程序和规则</w:t>
      </w:r>
    </w:p>
    <w:p w14:paraId="304D431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15E77B3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本基金份额持有人大会不设日常机构。</w:t>
      </w:r>
    </w:p>
    <w:p w14:paraId="521BBAA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（一）召开事由</w:t>
      </w:r>
    </w:p>
    <w:p w14:paraId="0CF063E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1、除法律法规和中国证监会另有规定或《基金合同》另有约定外，当出现或需要决定下列事由之一的，应当召开基金份额持有人大会：</w:t>
      </w:r>
    </w:p>
    <w:p w14:paraId="0EDB3E0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（1）终止《基金合同》；</w:t>
      </w:r>
    </w:p>
    <w:p w14:paraId="379244C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（2）更换基金管理人；</w:t>
      </w:r>
    </w:p>
    <w:p w14:paraId="305D75D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（3）更换基金托管人；</w:t>
      </w:r>
    </w:p>
    <w:p w14:paraId="441A5D2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（4）转换基金运作方式；</w:t>
      </w:r>
    </w:p>
    <w:p w14:paraId="643FBFC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（5）调整基金管理人、基金托管人的报酬标准或提高销售服务费率；</w:t>
      </w:r>
    </w:p>
    <w:p w14:paraId="425CC34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（6）变更基金类别；</w:t>
      </w:r>
    </w:p>
    <w:p w14:paraId="654A160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（7）本基金与其他基金的合并；</w:t>
      </w:r>
    </w:p>
    <w:p w14:paraId="2678544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（8）变更基金投资目标、范围或策略；</w:t>
      </w:r>
    </w:p>
    <w:p w14:paraId="3E66FFE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（9）变更基金份额持有人大会程序；</w:t>
      </w:r>
    </w:p>
    <w:p w14:paraId="2CCC77C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（10）基金管理人或基金托管人要求召开基金份额持有人大会；</w:t>
      </w:r>
    </w:p>
    <w:p w14:paraId="0FA7DF5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（11）单独或合计持有本基金总份额10%以上（含10%）基金份额的基金份额持有人（以基金管理人收到提议当日的基金份额计算，下同）就同一事项书面要求召开基金份额持有人大会；</w:t>
      </w:r>
    </w:p>
    <w:p w14:paraId="085E065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（12）对基金合同当事人权利和义务产生重大影响的其他事项；</w:t>
      </w:r>
    </w:p>
    <w:p w14:paraId="1D500ED4">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（13）基金管理人代表本基金的基金份额持有人提议召开或召集目标ETF基金份额持有人大会；</w:t>
      </w:r>
    </w:p>
    <w:p w14:paraId="78F15FA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w:t>
      </w:r>
      <w:r>
        <w:rPr>
          <w:rFonts w:ascii="Times New Roman" w:hAnsi="Times New Roman" w:eastAsia="宋体" w:cs="Times New Roman"/>
          <w:bCs/>
          <w:sz w:val="24"/>
          <w:szCs w:val="20"/>
        </w:rPr>
        <w:t>4</w:t>
      </w:r>
      <w:r>
        <w:rPr>
          <w:rFonts w:hint="eastAsia" w:ascii="Times New Roman" w:hAnsi="Times New Roman" w:eastAsia="宋体" w:cs="Times New Roman"/>
          <w:bCs/>
          <w:sz w:val="24"/>
          <w:szCs w:val="20"/>
        </w:rPr>
        <w:t>）法律法规、《基金合同》或中国证监会规定的其他应当召开基金份额持有人大会的事项。</w:t>
      </w:r>
    </w:p>
    <w:p w14:paraId="0461A30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2、在法律法规规定和《基金合同》约定的范围内且对基金份额持有人利益无实质性不利影响的前提下，以下情况可由基金管理人和基金托管人协商后修改，不需召开基金份额持有人大会：</w:t>
      </w:r>
    </w:p>
    <w:p w14:paraId="59545F9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（1）法律法规要求增加的基金费用的收取；</w:t>
      </w:r>
    </w:p>
    <w:p w14:paraId="346BCD1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（2）调整本基金的申购费率、调低赎回费率、调低销售服务费率或变更收费方式，调整基金份额类别设置、对基金份额分类办法及规则进行调整；</w:t>
      </w:r>
    </w:p>
    <w:p w14:paraId="20079E3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（3）因相应的法律法规发生变动而应当对《基金合同》进行修改；</w:t>
      </w:r>
    </w:p>
    <w:p w14:paraId="1EE282F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（4）对《基金合同》的修改对基金份额持有人利益无实质性不利影响或修改不涉及《基金合同》当事人权利义务关系发生重大变化；</w:t>
      </w:r>
    </w:p>
    <w:p w14:paraId="3873A28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（5）基金管理人、登记机构、基金销售机构调整有关申购、赎回、转换、基金交易、非交易过户、转托管等业务规则；</w:t>
      </w:r>
    </w:p>
    <w:p w14:paraId="1C5B395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（6）履行相关程序后，基金推出新业务或服务；</w:t>
      </w:r>
    </w:p>
    <w:p w14:paraId="1DE2614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（7）由于目标ETF交易方式发生重大变更致使本基金的投资策略难以实现、目标ETF终止上市或目标ETF基金合同终止等情形时本基金变更为直接投资该标的指数的指数基金；</w:t>
      </w:r>
    </w:p>
    <w:p w14:paraId="27E2230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（8）按照法律法规和《基金合同》规定不需召开基金份额持有人大会的其他情形。</w:t>
      </w:r>
    </w:p>
    <w:p w14:paraId="50A317E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（二）会议召集人及召集方式</w:t>
      </w:r>
    </w:p>
    <w:p w14:paraId="2BF108D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1、除法律法规规定或《基金合同》另有约定外，基金份额持有人大会由基金管理人召集。</w:t>
      </w:r>
    </w:p>
    <w:p w14:paraId="76211D7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2、基金管理人未按规定召集或不能召集时，由基金托管人召集。</w:t>
      </w:r>
    </w:p>
    <w:p w14:paraId="7E5C09C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DB535F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6FCA2B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FD99C4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6、基金份额持有人会议的召集人负责选择确定开会时间、地点、方式和权益登记日。</w:t>
      </w:r>
    </w:p>
    <w:p w14:paraId="01299E4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（三）召开基金份额持有人大会的通知时间、通知内容、通知方式</w:t>
      </w:r>
    </w:p>
    <w:p w14:paraId="16EFCC7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1、召开基金份额持有人大会，召集人应于会议召开前30日，在规定媒介公告。基金份额持有人大会通知应至少载明以下内容：</w:t>
      </w:r>
    </w:p>
    <w:p w14:paraId="758AAF0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（1）会议召开的时间、地点和会议形式；</w:t>
      </w:r>
    </w:p>
    <w:p w14:paraId="4784B5A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（2）会议拟审议的事项、议事程序和表决方式；</w:t>
      </w:r>
    </w:p>
    <w:p w14:paraId="2AA4C40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（3）有权出席基金份额持有人大会的基金份额持有人的权益登记日；</w:t>
      </w:r>
    </w:p>
    <w:p w14:paraId="0EE2FCA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（4）授权委托证明的内容要求（包括但不限于代理人身份，代理权限和代理有效期限等）、送达时间和地点；</w:t>
      </w:r>
    </w:p>
    <w:p w14:paraId="64D562D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（5）会务常设联系人姓名及联系电话；</w:t>
      </w:r>
    </w:p>
    <w:p w14:paraId="682124E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（6）出席会议者必须准备的文件和必须履行的手续；</w:t>
      </w:r>
    </w:p>
    <w:p w14:paraId="3672059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（7）召集人需要通知的其他事项。</w:t>
      </w:r>
    </w:p>
    <w:p w14:paraId="195826D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C91476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51CA61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（四）基金份额持有人出席会议的方式</w:t>
      </w:r>
    </w:p>
    <w:p w14:paraId="3600FBA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基金份额持有人大会可通过现场开会方式、通讯开会方式或法律法规、监管机构允许的其他方式召开，会议的召开方式由会议召集人确定。</w:t>
      </w:r>
    </w:p>
    <w:p w14:paraId="1887385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6873DD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08AAB5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C9A34D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1E3C87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在同时符合以下条件时，通讯开会的方式视为有效：</w:t>
      </w:r>
    </w:p>
    <w:p w14:paraId="2B03314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（1）会议召集人按《基金合同》约定公布会议通知后，在2个工作日内连续公布相关提示性公告；</w:t>
      </w:r>
    </w:p>
    <w:p w14:paraId="761E807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69BCF1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38A819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03A8F8F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3FADAA1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B738FF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（五）议事内容与程序</w:t>
      </w:r>
    </w:p>
    <w:p w14:paraId="331660C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1、议事内容及提案权</w:t>
      </w:r>
    </w:p>
    <w:p w14:paraId="6738727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4BCB8F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基金份额持有人大会的召集人发出召集会议的通知后，对原有提案的修改应当在基金份额持有人大会召开前及时公告。</w:t>
      </w:r>
    </w:p>
    <w:p w14:paraId="75A56D0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基金份额持有人大会不得对未事先公告的议事内容进行表决。</w:t>
      </w:r>
    </w:p>
    <w:p w14:paraId="69F39F9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2、议事程序</w:t>
      </w:r>
    </w:p>
    <w:p w14:paraId="66EA099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14:paraId="54E39EA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2E5D79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会议召集人应当制作出席会议人员的签名册。签名册载明参加会议人员姓名（或单位名称）、身份证明文件号码、持有或代表有表决权的基金份额、委托人姓名（或单位名称）和联系方式等事项。</w:t>
      </w:r>
    </w:p>
    <w:p w14:paraId="103BCDB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14:paraId="7D7F3F5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在通讯开会的情况下，首先由召集人提前30日公布提案，在所通知的表决截止日期后2个工作日内在公证机关监督下由召集人统计全部有效表决，在公证机关监督下形成决议。</w:t>
      </w:r>
    </w:p>
    <w:p w14:paraId="6889D39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（六）表决</w:t>
      </w:r>
    </w:p>
    <w:p w14:paraId="4917128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基金份额持有人所持每份基金份额有一票表决权。</w:t>
      </w:r>
    </w:p>
    <w:p w14:paraId="20A4594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基金份额持有人大会决议分为一般决议和特别决议：</w:t>
      </w:r>
    </w:p>
    <w:p w14:paraId="0A8AD15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4EA107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DE92EA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基金份额持有人大会采取记名方式进行投票表决。</w:t>
      </w:r>
    </w:p>
    <w:p w14:paraId="7E703B7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85F6AD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基金份额持有人大会的各项提案或同一项提案内并列的各项议题应当分开审议、逐项表决。</w:t>
      </w:r>
    </w:p>
    <w:p w14:paraId="274A0C7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（七）计票</w:t>
      </w:r>
    </w:p>
    <w:p w14:paraId="783434B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14:paraId="1BD6B2F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4CF05B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（2）监票人应当在基金份额持有人表决后立即进行清点并由大会主持人当场公布计票结果。</w:t>
      </w:r>
    </w:p>
    <w:p w14:paraId="283C79C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BBB3F0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（4）计票过程应由公证机关予以公证，基金管理人或基金托管人拒不出席大会的，不影响计票的效力。</w:t>
      </w:r>
    </w:p>
    <w:p w14:paraId="39B9121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14:paraId="05E43DD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1A66F2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（八）生效与公告</w:t>
      </w:r>
    </w:p>
    <w:p w14:paraId="1CBAD1C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基金份额持有人大会的决议，召集人应当自通过之日起5日内报中国证监会备案。</w:t>
      </w:r>
    </w:p>
    <w:p w14:paraId="1DB825E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基金份额持有人大会的决议自表决通过之日起生效。</w:t>
      </w:r>
    </w:p>
    <w:p w14:paraId="3F6ACDA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基金份额持有人大会决议自生效之日起按规定在规定媒介上公告。如果采用通讯方式进行表决，在公告基金份额持有人大会决议时，必须将公证书全文、公证机构、公证员姓名等一同公告。</w:t>
      </w:r>
    </w:p>
    <w:p w14:paraId="64DA068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基金管理人、基金托管人和基金份额持有人应当执行生效的基金份额持有人大会的决议。生效的基金份额持有人大会决议对全体基金份额持有人、基金管理人、基金托管人均有约束力。</w:t>
      </w:r>
    </w:p>
    <w:p w14:paraId="5E316CA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（九）实施侧袋机制期间基金份额持有人大会的特殊约定</w:t>
      </w:r>
    </w:p>
    <w:p w14:paraId="06469BF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02CA81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1、基金份额持有人行使提议权、召集权、提名权所需单独或合计代表相关基金份额10%以上（含10%）；</w:t>
      </w:r>
    </w:p>
    <w:p w14:paraId="37224B2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2、现场开会的到会者在权益登记日代表的基金份额不少于本基金在权益登记日相关基金份额的二分之一（含二分之一）；</w:t>
      </w:r>
    </w:p>
    <w:p w14:paraId="262FDC1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3、通讯开会的直接出具表决意见或授权他人代表出具表决意见的基金份额持有人所持有的基金份额不小于在权益登记日相关基金份额的二分之一（含二分之一）；</w:t>
      </w:r>
    </w:p>
    <w:p w14:paraId="47F3D3C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648A28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5、现场开会由出席大会的基金份额持有人和代理人所持表决权的50%以上（含50%）选举产生一名基金份额持有人作为该次基金份额持有人大会的主持人；</w:t>
      </w:r>
    </w:p>
    <w:p w14:paraId="3700176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6、一般决议须经参加大会的基金份额持有人或其代理人所持表决权的二分之一以上（含二分之一）通过；</w:t>
      </w:r>
    </w:p>
    <w:p w14:paraId="5DB79A1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7、特别决议应当经参加大会的基金份额持有人或其代理人所持表决权的三分之二以上（含三分之二）通过。</w:t>
      </w:r>
    </w:p>
    <w:p w14:paraId="3EF51A3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06A0432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侧袋机制实施期间，关于基金份额持有人大会的相关规定以本节特殊约定内容为准，本节没有规定的适用上文相关约定。</w:t>
      </w:r>
    </w:p>
    <w:p w14:paraId="742BDB17">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13F2F9A6">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79410562">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189FAED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D586A2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三、基金收益分配原则</w:t>
      </w:r>
    </w:p>
    <w:p w14:paraId="3509618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1、由于本基金A类基金份额不收取销售服务费，而C类基金份额收取销售服务费，各基金份额类别对应的可供分配利润将有所不同，本基金同一类别的每一基金份额享有同等分配权；</w:t>
      </w:r>
    </w:p>
    <w:p w14:paraId="085BFDD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090036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3、基金收益分配后各类基金份额净值不能低于面值，即基金收益分配基准日的各类基金份额净值减去每单位该类基金份额收益分配金额后不能低于面值；</w:t>
      </w:r>
    </w:p>
    <w:p w14:paraId="0EB9D0B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4、法律法规或监管机关另有规定的，从其规定。</w:t>
      </w:r>
    </w:p>
    <w:p w14:paraId="4E12C7E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4CE988B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四、与基金财产管理、运用有关费用的提取、支付方式与比例</w:t>
      </w:r>
    </w:p>
    <w:p w14:paraId="7FD06653">
      <w:pPr>
        <w:autoSpaceDE w:val="0"/>
        <w:autoSpaceDN w:val="0"/>
        <w:adjustRightInd w:val="0"/>
        <w:spacing w:line="360" w:lineRule="auto"/>
        <w:ind w:firstLine="480" w:firstLineChars="200"/>
        <w:rPr>
          <w:rFonts w:ascii="Times New Roman" w:hAnsi="Times New Roman" w:eastAsia="宋体" w:cs="Times New Roman"/>
          <w:bCs/>
          <w:sz w:val="24"/>
          <w:szCs w:val="20"/>
        </w:rPr>
      </w:pPr>
      <w:bookmarkStart w:id="41" w:name="_Hlk239085863"/>
      <w:r>
        <w:rPr>
          <w:rFonts w:hint="eastAsia" w:ascii="Times New Roman" w:hAnsi="Times New Roman" w:eastAsia="宋体" w:cs="Times New Roman"/>
          <w:bCs/>
          <w:sz w:val="24"/>
          <w:szCs w:val="20"/>
        </w:rPr>
        <w:t xml:space="preserve">1、基金管理人的管理费 </w:t>
      </w:r>
    </w:p>
    <w:p w14:paraId="1D54A56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14:paraId="5F24723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H＝E×0.50%÷当年实际天数</w:t>
      </w:r>
    </w:p>
    <w:p w14:paraId="74CF3F8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14:paraId="73DC35F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42C1DB28">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基金管理人对本基金投资组合中投资于目标ETF部分的基金资产净值不计提基金管理费。</w:t>
      </w:r>
    </w:p>
    <w:p w14:paraId="0660A1BD">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20E4ABA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6C01AE7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14:paraId="49127AE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本基金的托管费按前一日基金资产净值的0.10%年费率计提。托管费的计算方法如下：</w:t>
      </w:r>
    </w:p>
    <w:p w14:paraId="418BA64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H＝E×0.10%÷当年实际天数</w:t>
      </w:r>
    </w:p>
    <w:p w14:paraId="511C161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14:paraId="4EB4760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6058C657">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基金托管人对本基金投资组合中投资于目标ETF部分的基金资产净值不计提基金托管费。</w:t>
      </w:r>
    </w:p>
    <w:p w14:paraId="48A36543">
      <w:pPr>
        <w:autoSpaceDE w:val="0"/>
        <w:autoSpaceDN w:val="0"/>
        <w:adjustRightInd w:val="0"/>
        <w:spacing w:line="360" w:lineRule="auto"/>
        <w:ind w:firstLine="480" w:firstLineChars="200"/>
        <w:rPr>
          <w:rFonts w:hint="eastAsia"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11592D5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14:paraId="768B153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14:paraId="2800AAF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本基金A类基金份额不收取销售服务费，C类基金份额的销售服务费年费率为0.30%。</w:t>
      </w:r>
    </w:p>
    <w:p w14:paraId="19AC5DD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本基金销售服务费按前一日C类基金资产净值的0.30%年费率计提。计算方法如下： </w:t>
      </w:r>
    </w:p>
    <w:p w14:paraId="723853C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H＝E×0.30%÷当年实际天数 </w:t>
      </w:r>
    </w:p>
    <w:p w14:paraId="04D23B0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H为C类基金份额每日应计提的销售服务费</w:t>
      </w:r>
    </w:p>
    <w:p w14:paraId="5BD3321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E为C类基金份额前一日基金资产净值</w:t>
      </w:r>
    </w:p>
    <w:p w14:paraId="6A706F5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14:paraId="188445A9">
      <w:pPr>
        <w:adjustRightInd w:val="0"/>
        <w:snapToGrid w:val="0"/>
        <w:spacing w:line="360" w:lineRule="auto"/>
        <w:ind w:firstLine="480" w:firstLineChars="200"/>
        <w:rPr>
          <w:rFonts w:ascii="Arial Unicode MS" w:hAnsi="Arial Unicode MS" w:eastAsia="宋体" w:cs="Arial"/>
          <w:kern w:val="0"/>
          <w:sz w:val="24"/>
          <w:szCs w:val="24"/>
        </w:rPr>
      </w:pPr>
      <w:r>
        <w:rPr>
          <w:rFonts w:hint="eastAsia" w:ascii="Times New Roman" w:hAnsi="Times New Roman" w:eastAsia="宋体" w:cs="Times New Roman"/>
          <w:bCs/>
          <w:sz w:val="24"/>
          <w:szCs w:val="20"/>
        </w:rPr>
        <w:t>上述“第十五部分 基金费用与税收”中“一、基金费用的种类”中第4－1</w:t>
      </w:r>
      <w:r>
        <w:rPr>
          <w:rFonts w:ascii="Times New Roman" w:hAnsi="Times New Roman" w:eastAsia="宋体" w:cs="Times New Roman"/>
          <w:bCs/>
          <w:sz w:val="24"/>
          <w:szCs w:val="20"/>
        </w:rPr>
        <w:t>2</w:t>
      </w:r>
      <w:r>
        <w:rPr>
          <w:rFonts w:hint="eastAsia" w:ascii="Times New Roman" w:hAnsi="Times New Roman" w:eastAsia="宋体" w:cs="Times New Roman"/>
          <w:bCs/>
          <w:sz w:val="24"/>
          <w:szCs w:val="20"/>
        </w:rPr>
        <w:t>项费用，根据有关法规及相应协议规定，按费用实际支出金额列入当期费用，由基金托管人从基金财产中支付。</w:t>
      </w:r>
    </w:p>
    <w:bookmarkEnd w:id="41"/>
    <w:p w14:paraId="06EA49D1">
      <w:pPr>
        <w:adjustRightInd w:val="0"/>
        <w:snapToGrid w:val="0"/>
        <w:spacing w:line="360" w:lineRule="auto"/>
        <w:ind w:firstLine="480" w:firstLineChars="200"/>
        <w:rPr>
          <w:rFonts w:ascii="Arial Unicode MS" w:hAnsi="Arial Unicode MS" w:eastAsia="宋体" w:cs="Arial"/>
          <w:kern w:val="0"/>
          <w:sz w:val="24"/>
          <w:szCs w:val="24"/>
        </w:rPr>
      </w:pPr>
      <w:r>
        <w:rPr>
          <w:rFonts w:hint="eastAsia" w:ascii="Arial Unicode MS" w:hAnsi="Arial Unicode MS" w:eastAsia="宋体" w:cs="Arial"/>
          <w:kern w:val="0"/>
          <w:sz w:val="24"/>
          <w:szCs w:val="24"/>
        </w:rPr>
        <w:t>五、基金财产的投资方向和投资限制</w:t>
      </w:r>
    </w:p>
    <w:p w14:paraId="2C374041">
      <w:pPr>
        <w:adjustRightInd w:val="0"/>
        <w:snapToGrid w:val="0"/>
        <w:spacing w:line="360" w:lineRule="auto"/>
        <w:ind w:firstLine="480" w:firstLineChars="200"/>
        <w:rPr>
          <w:rFonts w:ascii="Arial Unicode MS" w:hAnsi="Arial Unicode MS" w:eastAsia="宋体" w:cs="Arial"/>
          <w:kern w:val="0"/>
          <w:sz w:val="24"/>
          <w:szCs w:val="24"/>
        </w:rPr>
      </w:pPr>
      <w:bookmarkStart w:id="42" w:name="_Hlk239086162"/>
      <w:r>
        <w:rPr>
          <w:rFonts w:hint="eastAsia" w:ascii="Arial Unicode MS" w:hAnsi="Arial Unicode MS" w:eastAsia="宋体" w:cs="Arial"/>
          <w:kern w:val="0"/>
          <w:sz w:val="24"/>
          <w:szCs w:val="24"/>
        </w:rPr>
        <w:t>（一）投资范围</w:t>
      </w:r>
    </w:p>
    <w:p w14:paraId="336EF83E">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本基金主要投资于目标ETF、标的指数成份股和备选成份股（含存托凭证）。</w:t>
      </w:r>
    </w:p>
    <w:p w14:paraId="67A24369">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175B2C50">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本基金将根据法律法规的规定参与融资及转融通证券出借业务。未来在法律法规允许的前提下，本基金可根据相关法律法规规定参与融券业务。</w:t>
      </w:r>
    </w:p>
    <w:p w14:paraId="2435CDED">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本基金根据相关法律法规或中国证监会要求履行适当程序后，还可以投资于法律法规或中国证监会未来允许基金投资的其他金融工具。</w:t>
      </w:r>
    </w:p>
    <w:p w14:paraId="4385171E">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460DCA0D">
      <w:pPr>
        <w:adjustRightInd w:val="0"/>
        <w:snapToGrid w:val="0"/>
        <w:spacing w:line="360" w:lineRule="auto"/>
        <w:ind w:firstLine="480" w:firstLineChars="200"/>
        <w:rPr>
          <w:rFonts w:ascii="Arial Unicode MS" w:hAnsi="Arial Unicode MS" w:eastAsia="宋体" w:cs="Arial"/>
          <w:kern w:val="0"/>
          <w:sz w:val="24"/>
          <w:szCs w:val="24"/>
        </w:rPr>
      </w:pPr>
      <w:r>
        <w:rPr>
          <w:rFonts w:hint="eastAsia" w:ascii="Arial" w:hAnsi="Arial" w:eastAsia="宋体" w:cs="Arial"/>
          <w:sz w:val="24"/>
          <w:szCs w:val="24"/>
        </w:rPr>
        <w:t>若法律法规的相关规定发生变更或监管机构允许，本基金管理人在履行适当程序后，可对上述资产配置比例进行调整。</w:t>
      </w:r>
    </w:p>
    <w:p w14:paraId="2B315081">
      <w:pPr>
        <w:adjustRightInd w:val="0"/>
        <w:snapToGrid w:val="0"/>
        <w:spacing w:line="360" w:lineRule="auto"/>
        <w:ind w:firstLine="480" w:firstLineChars="200"/>
        <w:rPr>
          <w:rFonts w:ascii="Arial Unicode MS" w:hAnsi="Arial Unicode MS" w:eastAsia="宋体" w:cs="Arial"/>
          <w:kern w:val="0"/>
          <w:sz w:val="24"/>
          <w:szCs w:val="24"/>
        </w:rPr>
      </w:pPr>
      <w:r>
        <w:rPr>
          <w:rFonts w:hint="eastAsia" w:ascii="Arial Unicode MS" w:hAnsi="Arial Unicode MS" w:eastAsia="宋体" w:cs="Arial"/>
          <w:kern w:val="0"/>
          <w:sz w:val="24"/>
          <w:szCs w:val="24"/>
        </w:rPr>
        <w:t>（二）投资限制</w:t>
      </w:r>
    </w:p>
    <w:p w14:paraId="194DE3E7">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、组合限制</w:t>
      </w:r>
    </w:p>
    <w:p w14:paraId="6E19D95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基金的投资组合应遵循以下限制：</w:t>
      </w:r>
    </w:p>
    <w:p w14:paraId="5FA9FD7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w:t>
      </w:r>
    </w:p>
    <w:p w14:paraId="00DB80D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4116EC1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）本基金持有一家公司发行的证券，其市值（若同时持有一家公司发行的A股和H股，则为A股与H股合计市值）不超过基金资产净值的10%，但完全按照标的指数的构成比例进行投资的基金品种不受此限制；</w:t>
      </w:r>
    </w:p>
    <w:p w14:paraId="030139D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4</w:t>
      </w:r>
      <w:r>
        <w:rPr>
          <w:rFonts w:hint="eastAsia" w:ascii="宋体" w:hAnsi="Times New Roman" w:eastAsia="宋体" w:cs="宋体"/>
          <w:kern w:val="0"/>
          <w:sz w:val="24"/>
          <w:szCs w:val="24"/>
        </w:rPr>
        <w:t>）本基金管理人管理的全部基金持有一家公司发行的证券，不超过该证券（若同时持有一家公司发行的A股和H股，则为A股与H股合计市值）的10%，但完全按照标的指数的构成比例进行投资的基金品种不受此限制；</w:t>
      </w:r>
    </w:p>
    <w:p w14:paraId="5BE6BD3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5</w:t>
      </w:r>
      <w:r>
        <w:rPr>
          <w:rFonts w:hint="eastAsia" w:ascii="宋体" w:hAnsi="Times New Roman" w:eastAsia="宋体" w:cs="宋体"/>
          <w:kern w:val="0"/>
          <w:sz w:val="24"/>
          <w:szCs w:val="24"/>
        </w:rPr>
        <w:t>）本基金资产总值不得超过基金资产净值的140%；</w:t>
      </w:r>
    </w:p>
    <w:p w14:paraId="56B4850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6</w:t>
      </w:r>
      <w:r>
        <w:rPr>
          <w:rFonts w:hint="eastAsia" w:ascii="宋体" w:hAnsi="Times New Roman" w:eastAsia="宋体" w:cs="宋体"/>
          <w:kern w:val="0"/>
          <w:sz w:val="24"/>
          <w:szCs w:val="24"/>
        </w:rPr>
        <w:t>）本基金进入全国银行间同业市场进行债券回购的资金余额不得超过基金资产净值的40%，在全国银行间同业市场中进行的债券回购期限不得超过1年，债券回购到期后不得展期；</w:t>
      </w:r>
    </w:p>
    <w:p w14:paraId="4C721F6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7</w:t>
      </w:r>
      <w:r>
        <w:rPr>
          <w:rFonts w:hint="eastAsia" w:ascii="宋体" w:hAnsi="Times New Roman" w:eastAsia="宋体" w:cs="宋体"/>
          <w:kern w:val="0"/>
          <w:sz w:val="24"/>
          <w:szCs w:val="24"/>
        </w:rPr>
        <w:t>）本基金投资于同一原始权益人的各类资产支持证券的比例，不得超过基金资产净值的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42C2471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8</w:t>
      </w:r>
      <w:r>
        <w:rPr>
          <w:rFonts w:hint="eastAsia" w:ascii="宋体" w:hAnsi="Times New Roman" w:eastAsia="宋体" w:cs="宋体"/>
          <w:kern w:val="0"/>
          <w:sz w:val="24"/>
          <w:szCs w:val="24"/>
        </w:rPr>
        <w:t>）本基金持有的全部资产支持证券，其市值不得超过基金资产净值的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w:t>
      </w:r>
    </w:p>
    <w:p w14:paraId="4E18C07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9</w:t>
      </w:r>
      <w:r>
        <w:rPr>
          <w:rFonts w:hint="eastAsia" w:ascii="宋体" w:hAnsi="Times New Roman" w:eastAsia="宋体" w:cs="宋体"/>
          <w:kern w:val="0"/>
          <w:sz w:val="24"/>
          <w:szCs w:val="24"/>
        </w:rPr>
        <w:t>）本基金持有的同一</w:t>
      </w:r>
      <w:r>
        <w:rPr>
          <w:rFonts w:ascii="宋体" w:hAnsi="Times New Roman" w:eastAsia="宋体" w:cs="宋体"/>
          <w:kern w:val="0"/>
          <w:sz w:val="24"/>
          <w:szCs w:val="24"/>
        </w:rPr>
        <w:t>(</w:t>
      </w:r>
      <w:r>
        <w:rPr>
          <w:rFonts w:hint="eastAsia" w:ascii="宋体" w:hAnsi="Times New Roman" w:eastAsia="宋体" w:cs="宋体"/>
          <w:kern w:val="0"/>
          <w:sz w:val="24"/>
          <w:szCs w:val="24"/>
        </w:rPr>
        <w:t>指同一信用级别</w:t>
      </w:r>
      <w:r>
        <w:rPr>
          <w:rFonts w:ascii="宋体" w:hAnsi="Times New Roman" w:eastAsia="宋体" w:cs="宋体"/>
          <w:kern w:val="0"/>
          <w:sz w:val="24"/>
          <w:szCs w:val="24"/>
        </w:rPr>
        <w:t>)</w:t>
      </w:r>
      <w:r>
        <w:rPr>
          <w:rFonts w:hint="eastAsia" w:ascii="宋体" w:hAnsi="Times New Roman" w:eastAsia="宋体" w:cs="宋体"/>
          <w:kern w:val="0"/>
          <w:sz w:val="24"/>
          <w:szCs w:val="24"/>
        </w:rPr>
        <w:t>资产支持证券的比例，不得超过该资产支持证券规模的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2A10372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10</w:t>
      </w:r>
      <w:r>
        <w:rPr>
          <w:rFonts w:hint="eastAsia" w:ascii="宋体" w:hAnsi="Times New Roman" w:eastAsia="宋体" w:cs="宋体"/>
          <w:kern w:val="0"/>
          <w:sz w:val="24"/>
          <w:szCs w:val="24"/>
        </w:rPr>
        <w:t>）本基金管理人管理的全部基金投资于同一原始权益人的各类资产支持证券，不得超过其各类资产支持证券合计规模的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0AE4B93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11</w:t>
      </w:r>
      <w:r>
        <w:rPr>
          <w:rFonts w:hint="eastAsia" w:ascii="宋体" w:hAnsi="Times New Roman" w:eastAsia="宋体" w:cs="宋体"/>
          <w:kern w:val="0"/>
          <w:sz w:val="24"/>
          <w:szCs w:val="24"/>
        </w:rPr>
        <w:t>）本基金应投资于信用级别评级为</w:t>
      </w:r>
      <w:r>
        <w:rPr>
          <w:rFonts w:ascii="宋体" w:hAnsi="Times New Roman" w:eastAsia="宋体" w:cs="宋体"/>
          <w:kern w:val="0"/>
          <w:sz w:val="24"/>
          <w:szCs w:val="24"/>
        </w:rPr>
        <w:t>BBB</w:t>
      </w:r>
      <w:r>
        <w:rPr>
          <w:rFonts w:hint="eastAsia" w:ascii="宋体" w:hAnsi="Times New Roman" w:eastAsia="宋体" w:cs="宋体"/>
          <w:kern w:val="0"/>
          <w:sz w:val="24"/>
          <w:szCs w:val="24"/>
        </w:rPr>
        <w:t>以上</w:t>
      </w:r>
      <w:r>
        <w:rPr>
          <w:rFonts w:ascii="宋体" w:hAnsi="Times New Roman" w:eastAsia="宋体" w:cs="宋体"/>
          <w:kern w:val="0"/>
          <w:sz w:val="24"/>
          <w:szCs w:val="24"/>
        </w:rPr>
        <w:t>(</w:t>
      </w:r>
      <w:r>
        <w:rPr>
          <w:rFonts w:hint="eastAsia" w:ascii="宋体" w:hAnsi="Times New Roman" w:eastAsia="宋体" w:cs="宋体"/>
          <w:kern w:val="0"/>
          <w:sz w:val="24"/>
          <w:szCs w:val="24"/>
        </w:rPr>
        <w:t>含</w:t>
      </w:r>
      <w:r>
        <w:rPr>
          <w:rFonts w:ascii="宋体" w:hAnsi="Times New Roman" w:eastAsia="宋体" w:cs="宋体"/>
          <w:kern w:val="0"/>
          <w:sz w:val="24"/>
          <w:szCs w:val="24"/>
        </w:rPr>
        <w:t>BBB)</w:t>
      </w:r>
      <w:r>
        <w:rPr>
          <w:rFonts w:hint="eastAsia" w:ascii="宋体" w:hAnsi="Times New Roman" w:eastAsia="宋体" w:cs="宋体"/>
          <w:kern w:val="0"/>
          <w:sz w:val="24"/>
          <w:szCs w:val="24"/>
        </w:rPr>
        <w:t>的资产支持证券。基金持有资产支持证券期间，如果其信用等级下降、不再符合投资标准，应在评级报告发布之日起</w:t>
      </w:r>
      <w:r>
        <w:rPr>
          <w:rFonts w:ascii="宋体" w:hAnsi="Times New Roman" w:eastAsia="宋体" w:cs="宋体"/>
          <w:kern w:val="0"/>
          <w:sz w:val="24"/>
          <w:szCs w:val="24"/>
        </w:rPr>
        <w:t>3</w:t>
      </w:r>
      <w:r>
        <w:rPr>
          <w:rFonts w:hint="eastAsia" w:ascii="宋体" w:hAnsi="Times New Roman" w:eastAsia="宋体" w:cs="宋体"/>
          <w:kern w:val="0"/>
          <w:sz w:val="24"/>
          <w:szCs w:val="24"/>
        </w:rPr>
        <w:t>个月内予以全部卖出；</w:t>
      </w:r>
    </w:p>
    <w:p w14:paraId="2BBD6AC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12</w:t>
      </w:r>
      <w:r>
        <w:rPr>
          <w:rFonts w:hint="eastAsia" w:ascii="宋体" w:hAnsi="Times New Roman" w:eastAsia="宋体" w:cs="宋体"/>
          <w:kern w:val="0"/>
          <w:sz w:val="24"/>
          <w:szCs w:val="24"/>
        </w:rPr>
        <w:t>）基金财产参与股票发行申购，本基金所申报的金额不超过本基金的总资产，本基金所申报的股票数量不超过拟发行股票公司本次发行股票的总量；</w:t>
      </w:r>
    </w:p>
    <w:p w14:paraId="4469FD0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13</w:t>
      </w:r>
      <w:r>
        <w:rPr>
          <w:rFonts w:hint="eastAsia" w:ascii="宋体" w:hAnsi="Times New Roman" w:eastAsia="宋体" w:cs="宋体"/>
          <w:kern w:val="0"/>
          <w:sz w:val="24"/>
          <w:szCs w:val="24"/>
        </w:rPr>
        <w:t>）本基金参与融资的，在任何交易日日终，本基金融资买入股票与其他有价证券市值之和，不得超过基金资产净值的95%；</w:t>
      </w:r>
    </w:p>
    <w:p w14:paraId="0861E27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14</w:t>
      </w:r>
      <w:r>
        <w:rPr>
          <w:rFonts w:hint="eastAsia" w:ascii="宋体" w:hAnsi="Times New Roman" w:eastAsia="宋体" w:cs="宋体"/>
          <w:kern w:val="0"/>
          <w:sz w:val="24"/>
          <w:szCs w:val="24"/>
        </w:rPr>
        <w:t>）本基金投资于股指期货和国债期货，还应遵循如下投资组合限制：</w:t>
      </w:r>
    </w:p>
    <w:p w14:paraId="7FBF72B7">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）在任何交易日日终，本基金持有的买入股指期货合约价值不超过基金资产净值的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；在任何交易日日终，持有的买入国债期货合约价值，不得超过基金资产净值15%；</w:t>
      </w:r>
    </w:p>
    <w:p w14:paraId="5A9E4A64">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）在任何交易日日终，持有的卖出股指期货合约价值不超过基金持有的股票总市值的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；在任何交易日日终，持有的卖出国债期货合约价值不得超过基金持有的债券总市值的30%；</w:t>
      </w:r>
    </w:p>
    <w:p w14:paraId="584CD696">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3</w:t>
      </w:r>
      <w:r>
        <w:rPr>
          <w:rFonts w:hint="eastAsia" w:ascii="宋体" w:hAnsi="Times New Roman" w:eastAsia="宋体" w:cs="宋体"/>
          <w:kern w:val="0"/>
          <w:sz w:val="24"/>
          <w:szCs w:val="24"/>
        </w:rPr>
        <w:t>）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0C8C9003">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4</w:t>
      </w:r>
      <w:r>
        <w:rPr>
          <w:rFonts w:hint="eastAsia" w:ascii="宋体" w:hAnsi="Times New Roman" w:eastAsia="宋体" w:cs="宋体"/>
          <w:kern w:val="0"/>
          <w:sz w:val="24"/>
          <w:szCs w:val="24"/>
        </w:rPr>
        <w:t>）本基金在任何交易日日终，持有的买入股指期货和国债期货合约价值与有价证券市值之和，不得超过基金资产净值的</w:t>
      </w:r>
      <w:r>
        <w:rPr>
          <w:rFonts w:ascii="宋体" w:hAnsi="Times New Roman" w:eastAsia="宋体" w:cs="宋体"/>
          <w:kern w:val="0"/>
          <w:sz w:val="24"/>
          <w:szCs w:val="24"/>
        </w:rPr>
        <w:t>100%</w:t>
      </w:r>
      <w:r>
        <w:rPr>
          <w:rFonts w:hint="eastAsia" w:ascii="宋体" w:hAnsi="Times New Roman" w:eastAsia="宋体" w:cs="宋体"/>
          <w:kern w:val="0"/>
          <w:sz w:val="24"/>
          <w:szCs w:val="24"/>
        </w:rPr>
        <w:t>。其中，有价证券指股票、债券（不含到期日在一年以内的政府债券）、资产支持证券、买入返售金融资产（不含质押式回购）等；</w:t>
      </w:r>
    </w:p>
    <w:p w14:paraId="79D30487">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5</w:t>
      </w:r>
      <w:r>
        <w:rPr>
          <w:rFonts w:hint="eastAsia" w:ascii="宋体" w:hAnsi="Times New Roman" w:eastAsia="宋体" w:cs="宋体"/>
          <w:kern w:val="0"/>
          <w:sz w:val="24"/>
          <w:szCs w:val="24"/>
        </w:rPr>
        <w:t>）本基金在任何交易日内交易（不包括平仓）的股指期货合约的成交金额不得超过上一交易日基金资产净值的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；在任何交易日内交易（不包括平仓）的国债期货合约的成交金额不得超过上一交易日基金资产净值的30%；</w:t>
      </w:r>
    </w:p>
    <w:p w14:paraId="0BEDB00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15</w:t>
      </w:r>
      <w:r>
        <w:rPr>
          <w:rFonts w:hint="eastAsia" w:ascii="宋体" w:hAnsi="Times New Roman" w:eastAsia="宋体" w:cs="宋体"/>
          <w:kern w:val="0"/>
          <w:sz w:val="24"/>
          <w:szCs w:val="24"/>
        </w:rPr>
        <w:t>）本基金投资于股票期权，还应遵循如下投资组合限制：</w:t>
      </w:r>
    </w:p>
    <w:p w14:paraId="7724B967">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14:paraId="248CA793">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asciiTheme="minorEastAsia" w:hAnsiTheme="minorEastAsia"/>
          <w:color w:val="0D0D0D" w:themeColor="text1" w:themeTint="F2"/>
          <w:sz w:val="24"/>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）开仓卖出认购期权的，应持有足额标的证券；开仓卖出认沽期权的，应持有合约行权所需的全额现金或交易所规则认可的可冲抵期权保证金的现金等价物；</w:t>
      </w:r>
    </w:p>
    <w:p w14:paraId="52878CA1">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14:paraId="413D2017">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w:t>
      </w:r>
      <w:r>
        <w:rPr>
          <w:rFonts w:asciiTheme="minorEastAsia" w:hAnsiTheme="minorEastAsia"/>
          <w:color w:val="0D0D0D" w:themeColor="text1" w:themeTint="F2"/>
          <w:sz w:val="24"/>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）本基金参与转融通证券出借业务，需遵守下列投资限制：</w:t>
      </w:r>
    </w:p>
    <w:p w14:paraId="36E220CD">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4C1C127C">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14:paraId="10314570">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3）最近6个月内日均基金资产净值不得低于2亿元；</w:t>
      </w:r>
    </w:p>
    <w:p w14:paraId="5B775029">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14:paraId="3836E370">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6BD7981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）本基金主动投资于流动性受限资产的市值合计不得超过本基金资产净值的15%；</w:t>
      </w:r>
    </w:p>
    <w:p w14:paraId="6B922D3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因证券市场波动、上市公司股票停牌、基金规模变动等基金管理人之外的因素致使基金不符合该比例限制的，基金管理人不得主动新增流动性受限资产的投资；</w:t>
      </w:r>
    </w:p>
    <w:p w14:paraId="5547753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）本基金与私募类证券资管产品及中国证监会认定的其他主体为交易对手开展逆回购交易的，可接受质押品的资质要求应当与基金合同约定的投资范围保持一致；</w:t>
      </w:r>
    </w:p>
    <w:p w14:paraId="4B16A137">
      <w:pPr>
        <w:adjustRightInd w:val="0"/>
        <w:snapToGrid w:val="0"/>
        <w:spacing w:line="360" w:lineRule="auto"/>
        <w:ind w:firstLine="422" w:firstLineChars="176"/>
        <w:rPr>
          <w:rFonts w:ascii="宋体" w:hAnsi="Times New Roman" w:eastAsia="宋体" w:cs="宋体"/>
          <w:kern w:val="0"/>
          <w:sz w:val="24"/>
          <w:szCs w:val="24"/>
        </w:rPr>
      </w:pPr>
      <w:r>
        <w:rPr>
          <w:rFonts w:hint="eastAsia" w:asciiTheme="minorEastAsia" w:hAnsiTheme="minorEastAsia"/>
          <w:sz w:val="24"/>
        </w:rPr>
        <w:t>（19）本基金投资存托凭证的比例限制依照境内上市交易的股票执行</w:t>
      </w:r>
      <w:r>
        <w:rPr>
          <w:rFonts w:hint="eastAsia" w:ascii="宋体" w:hAnsi="宋体"/>
          <w:bCs/>
          <w:sz w:val="24"/>
        </w:rPr>
        <w:t>，与境内上市交易的股票合并计算</w:t>
      </w:r>
      <w:r>
        <w:rPr>
          <w:rFonts w:hint="eastAsia" w:asciiTheme="minorEastAsia" w:hAnsiTheme="minorEastAsia"/>
          <w:sz w:val="24"/>
        </w:rPr>
        <w:t>；</w:t>
      </w:r>
    </w:p>
    <w:p w14:paraId="53E6B12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（20）相关法律法规以及监管部门规定的和</w:t>
      </w:r>
      <w:r>
        <w:rPr>
          <w:rFonts w:ascii="宋体" w:hAnsi="Times New Roman" w:eastAsia="宋体" w:cs="宋体"/>
          <w:kern w:val="0"/>
          <w:sz w:val="24"/>
          <w:szCs w:val="24"/>
        </w:rPr>
        <w:t>基金合同约定的</w:t>
      </w:r>
      <w:r>
        <w:rPr>
          <w:rFonts w:hint="eastAsia" w:ascii="宋体" w:hAnsi="Times New Roman" w:eastAsia="宋体" w:cs="宋体"/>
          <w:kern w:val="0"/>
          <w:sz w:val="24"/>
          <w:szCs w:val="24"/>
        </w:rPr>
        <w:t>其它投资比例限制。</w:t>
      </w:r>
    </w:p>
    <w:p w14:paraId="60B147A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除上述第（1）、（2）、（11）、（1</w:t>
      </w:r>
      <w:r>
        <w:rPr>
          <w:rFonts w:ascii="宋体" w:hAnsi="Times New Roman" w:eastAsia="宋体" w:cs="宋体"/>
          <w:kern w:val="0"/>
          <w:sz w:val="24"/>
          <w:szCs w:val="24"/>
        </w:rPr>
        <w:t>6</w:t>
      </w: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）项外，</w:t>
      </w:r>
      <w:r>
        <w:rPr>
          <w:rFonts w:ascii="宋体" w:hAnsi="Times New Roman" w:eastAsia="宋体" w:cs="宋体"/>
          <w:kern w:val="0"/>
          <w:sz w:val="24"/>
          <w:szCs w:val="24"/>
        </w:rPr>
        <w:t>因证券</w:t>
      </w:r>
      <w:r>
        <w:rPr>
          <w:rFonts w:hint="eastAsia" w:ascii="宋体" w:hAnsi="Times New Roman" w:eastAsia="宋体" w:cs="宋体"/>
          <w:kern w:val="0"/>
          <w:sz w:val="24"/>
          <w:szCs w:val="24"/>
        </w:rPr>
        <w:t>、期货</w:t>
      </w:r>
      <w:r>
        <w:rPr>
          <w:rFonts w:ascii="宋体" w:hAnsi="Times New Roman" w:eastAsia="宋体" w:cs="宋体"/>
          <w:kern w:val="0"/>
          <w:sz w:val="24"/>
          <w:szCs w:val="24"/>
        </w:rPr>
        <w:t>市场波动、</w:t>
      </w:r>
      <w:r>
        <w:rPr>
          <w:rFonts w:hint="eastAsia" w:ascii="宋体" w:hAnsi="Times New Roman" w:eastAsia="宋体" w:cs="宋体"/>
          <w:kern w:val="0"/>
          <w:sz w:val="24"/>
          <w:szCs w:val="24"/>
        </w:rPr>
        <w:t>证券发行人</w:t>
      </w:r>
      <w:r>
        <w:rPr>
          <w:rFonts w:ascii="宋体" w:hAnsi="Times New Roman" w:eastAsia="宋体" w:cs="宋体"/>
          <w:kern w:val="0"/>
          <w:sz w:val="24"/>
          <w:szCs w:val="24"/>
        </w:rPr>
        <w:t>合并、基金规模变动</w:t>
      </w:r>
      <w:r>
        <w:rPr>
          <w:rFonts w:hint="eastAsia" w:ascii="宋体" w:hAnsi="Times New Roman" w:eastAsia="宋体" w:cs="宋体"/>
          <w:kern w:val="0"/>
          <w:sz w:val="24"/>
          <w:szCs w:val="24"/>
        </w:rPr>
        <w:t>、标的指数成份股调整、标的指数成份股流动性限制、目标ETF暂停申购/赎回或二级市场交易停牌</w:t>
      </w:r>
      <w:r>
        <w:rPr>
          <w:rFonts w:ascii="宋体" w:hAnsi="Times New Roman" w:eastAsia="宋体" w:cs="宋体"/>
          <w:kern w:val="0"/>
          <w:sz w:val="24"/>
          <w:szCs w:val="24"/>
        </w:rPr>
        <w:t>等基金管理人之外的因素致使基金投资比例不符合上述规定投资比例的，基金管理人应当在10个交易日内进行调整</w:t>
      </w:r>
      <w:r>
        <w:rPr>
          <w:rFonts w:hint="eastAsia" w:ascii="宋体" w:hAnsi="Times New Roman" w:eastAsia="宋体" w:cs="宋体"/>
          <w:kern w:val="0"/>
          <w:sz w:val="24"/>
          <w:szCs w:val="24"/>
        </w:rPr>
        <w:t>，但中国证监会规定的特殊情形除外</w:t>
      </w:r>
      <w:r>
        <w:rPr>
          <w:rFonts w:ascii="宋体" w:hAnsi="Times New Roman" w:eastAsia="宋体" w:cs="宋体"/>
          <w:kern w:val="0"/>
          <w:sz w:val="24"/>
          <w:szCs w:val="24"/>
        </w:rPr>
        <w:t>。</w:t>
      </w:r>
      <w:r>
        <w:rPr>
          <w:rFonts w:hint="eastAsia" w:ascii="宋体" w:hAnsi="Times New Roman" w:eastAsia="宋体" w:cs="宋体"/>
          <w:kern w:val="0"/>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49BE7009">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基金管理人应当自基金合同生效之日起</w:t>
      </w:r>
      <w:r>
        <w:rPr>
          <w:rFonts w:hint="eastAsia" w:ascii="宋体" w:hAnsi="Times New Roman" w:eastAsia="宋体" w:cs="宋体"/>
          <w:kern w:val="0"/>
          <w:sz w:val="24"/>
          <w:szCs w:val="24"/>
        </w:rPr>
        <w:t>6</w:t>
      </w:r>
      <w:r>
        <w:rPr>
          <w:rFonts w:ascii="宋体" w:hAnsi="Times New Roman" w:eastAsia="宋体" w:cs="宋体"/>
          <w:kern w:val="0"/>
          <w:sz w:val="24"/>
          <w:szCs w:val="24"/>
        </w:rPr>
        <w:t>个月内使基金的投资组合比例符合基金合同的有关约定。</w:t>
      </w:r>
      <w:r>
        <w:rPr>
          <w:rFonts w:hint="eastAsia" w:ascii="宋体" w:hAnsi="Times New Roman" w:eastAsia="宋体" w:cs="宋体"/>
          <w:kern w:val="0"/>
          <w:sz w:val="24"/>
          <w:szCs w:val="24"/>
        </w:rPr>
        <w:t>在上述期间内，本基金的投资范围、投资策略应当符合基金合同的约定。</w:t>
      </w:r>
      <w:r>
        <w:rPr>
          <w:rFonts w:ascii="宋体" w:hAnsi="Times New Roman" w:eastAsia="宋体" w:cs="宋体"/>
          <w:kern w:val="0"/>
          <w:sz w:val="24"/>
          <w:szCs w:val="24"/>
        </w:rPr>
        <w:t>基金托管人对基金的投资的监督与检查自本基金合同生效之日起开始。</w:t>
      </w:r>
    </w:p>
    <w:p w14:paraId="28E69011">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法律法规或监管部门取消</w:t>
      </w:r>
      <w:r>
        <w:rPr>
          <w:rFonts w:hint="eastAsia" w:ascii="宋体" w:hAnsi="Times New Roman" w:eastAsia="宋体" w:cs="宋体"/>
          <w:kern w:val="0"/>
          <w:sz w:val="24"/>
          <w:szCs w:val="24"/>
        </w:rPr>
        <w:t>或变更</w:t>
      </w:r>
      <w:r>
        <w:rPr>
          <w:rFonts w:ascii="宋体" w:hAnsi="Times New Roman" w:eastAsia="宋体" w:cs="宋体"/>
          <w:kern w:val="0"/>
          <w:sz w:val="24"/>
          <w:szCs w:val="24"/>
        </w:rPr>
        <w:t>上述限制，如适用于本基金，基金管理人</w:t>
      </w:r>
      <w:r>
        <w:rPr>
          <w:rFonts w:hint="eastAsia" w:ascii="宋体" w:hAnsi="Times New Roman" w:eastAsia="宋体" w:cs="宋体"/>
          <w:kern w:val="0"/>
          <w:sz w:val="24"/>
          <w:szCs w:val="24"/>
        </w:rPr>
        <w:t>在</w:t>
      </w:r>
      <w:r>
        <w:rPr>
          <w:rFonts w:ascii="宋体" w:hAnsi="Times New Roman" w:eastAsia="宋体" w:cs="宋体"/>
          <w:kern w:val="0"/>
          <w:sz w:val="24"/>
          <w:szCs w:val="24"/>
        </w:rPr>
        <w:t>履行适当程序后，则本基金投资不再受相关限制</w:t>
      </w:r>
      <w:r>
        <w:rPr>
          <w:rFonts w:hint="eastAsia" w:ascii="宋体" w:hAnsi="Times New Roman" w:eastAsia="宋体" w:cs="宋体"/>
          <w:kern w:val="0"/>
          <w:sz w:val="24"/>
          <w:szCs w:val="24"/>
        </w:rPr>
        <w:t>，或以变更后的规定为准</w:t>
      </w:r>
      <w:r>
        <w:rPr>
          <w:rFonts w:ascii="宋体" w:hAnsi="Times New Roman" w:eastAsia="宋体" w:cs="宋体"/>
          <w:kern w:val="0"/>
          <w:sz w:val="24"/>
          <w:szCs w:val="24"/>
        </w:rPr>
        <w:t>。</w:t>
      </w:r>
    </w:p>
    <w:p w14:paraId="0B3A0593">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、禁止行为</w:t>
      </w:r>
    </w:p>
    <w:p w14:paraId="53DE274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为维护基金份额持有人的合法权益，基金财产不得用于下列投资或者活动：</w:t>
      </w:r>
    </w:p>
    <w:p w14:paraId="1C1DB53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）承销证券；</w:t>
      </w:r>
    </w:p>
    <w:p w14:paraId="674AB78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）违反规定向他人贷款或者提供担保；</w:t>
      </w:r>
    </w:p>
    <w:p w14:paraId="748A937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）从事承担无限责任的投资；</w:t>
      </w:r>
    </w:p>
    <w:p w14:paraId="4421233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（4）买卖除目标ETF外的其他基金份额，但是中国证监会另有规定的除外；</w:t>
      </w:r>
    </w:p>
    <w:p w14:paraId="7C28D27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（5）向其基金管理人、基金托管人出资；</w:t>
      </w:r>
    </w:p>
    <w:p w14:paraId="2A21E20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（6）从事内幕交易、操纵证券交易价格及其他不正当的证券交易活动；</w:t>
      </w:r>
    </w:p>
    <w:p w14:paraId="0401DEB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（7）法律、行政法规和中国证监会规定禁止的其他活动。</w:t>
      </w:r>
    </w:p>
    <w:p w14:paraId="6361C00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226813AC">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ascii="宋体" w:hAnsi="Times New Roman" w:eastAsia="宋体" w:cs="宋体"/>
          <w:kern w:val="0"/>
          <w:sz w:val="24"/>
          <w:szCs w:val="24"/>
        </w:rPr>
        <w:t>法律、行政法规或监管部门变更或取消上述规定，在履行适当程序后，本基金可按变更后的规定执行或不受上述规定的限制。</w:t>
      </w:r>
    </w:p>
    <w:bookmarkEnd w:id="42"/>
    <w:p w14:paraId="733DC70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六、基金资产净值的计算方法和公告方式</w:t>
      </w:r>
    </w:p>
    <w:p w14:paraId="6A028792">
      <w:pPr>
        <w:autoSpaceDE w:val="0"/>
        <w:autoSpaceDN w:val="0"/>
        <w:adjustRightInd w:val="0"/>
        <w:spacing w:line="360" w:lineRule="auto"/>
        <w:ind w:firstLine="480" w:firstLineChars="200"/>
        <w:rPr>
          <w:rFonts w:cs="Times New Roman" w:asciiTheme="minorEastAsia" w:hAnsiTheme="minorEastAsia"/>
          <w:kern w:val="0"/>
          <w:sz w:val="24"/>
          <w:szCs w:val="24"/>
        </w:rPr>
      </w:pPr>
      <w:bookmarkStart w:id="43" w:name="_Hlk239086554"/>
      <w:r>
        <w:rPr>
          <w:rFonts w:hint="eastAsia" w:cs="Times New Roman" w:asciiTheme="minorEastAsia" w:hAnsiTheme="minorEastAsia"/>
          <w:kern w:val="0"/>
          <w:sz w:val="24"/>
          <w:szCs w:val="24"/>
        </w:rPr>
        <w:t>（一）估值方法</w:t>
      </w:r>
    </w:p>
    <w:p w14:paraId="6F24665D">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1、本基金持有的目标ETF基金份额以其当日基金份额净值估值，当日无基金份额净值的，以最近工作日的基金份额净值估值。</w:t>
      </w:r>
    </w:p>
    <w:p w14:paraId="4B645D57">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67B8800">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734AE089">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7EEBB2A1">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C0409AD">
      <w:pPr>
        <w:autoSpaceDE w:val="0"/>
        <w:autoSpaceDN w:val="0"/>
        <w:adjustRightInd w:val="0"/>
        <w:spacing w:line="360" w:lineRule="auto"/>
        <w:ind w:firstLine="480" w:firstLineChars="200"/>
        <w:rPr>
          <w:rFonts w:hint="eastAsia" w:cs="Times New Roman" w:asciiTheme="minorEastAsia" w:hAnsiTheme="minorEastAsia"/>
          <w:kern w:val="0"/>
          <w:sz w:val="24"/>
          <w:szCs w:val="24"/>
        </w:rPr>
      </w:pPr>
      <w:r>
        <w:rPr>
          <w:rFonts w:hint="eastAsia" w:cs="Times New Roman"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CE427DA">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559C745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7</w:t>
      </w:r>
      <w:r>
        <w:rPr>
          <w:rFonts w:hint="eastAsia" w:cs="Times New Roman" w:asciiTheme="minorEastAsia" w:hAnsiTheme="minorEastAsia"/>
          <w:kern w:val="0"/>
          <w:sz w:val="24"/>
          <w:szCs w:val="24"/>
        </w:rPr>
        <w:t>、处于未上市期间的有价证券应区分如下情况处理：</w:t>
      </w:r>
    </w:p>
    <w:p w14:paraId="054CC58D">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（1）送股、转增股、配股和公开增发的新股，按估值日在证券交易所挂牌的同一股票的估值方法估值；该日无交易的，以最近一日的市价（收盘价）估值；</w:t>
      </w:r>
    </w:p>
    <w:p w14:paraId="23CBEF5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（2）首次公开发行未上市的股票，采用估值技术确定公允价值；</w:t>
      </w:r>
    </w:p>
    <w:p w14:paraId="58BF624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C3214EE">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8</w:t>
      </w:r>
      <w:r>
        <w:rPr>
          <w:rFonts w:hint="eastAsia" w:cs="Times New Roman" w:asciiTheme="minorEastAsia" w:hAnsiTheme="minorEastAsia"/>
          <w:kern w:val="0"/>
          <w:sz w:val="24"/>
          <w:szCs w:val="24"/>
        </w:rPr>
        <w:t>、本基金投资存托凭证的估值核算，依照境内上市交易的股票执行。</w:t>
      </w:r>
    </w:p>
    <w:p w14:paraId="0F6142E5">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9</w:t>
      </w:r>
      <w:r>
        <w:rPr>
          <w:rFonts w:hint="eastAsia" w:cs="Times New Roman" w:asciiTheme="minorEastAsia" w:hAnsiTheme="minorEastAsia"/>
          <w:kern w:val="0"/>
          <w:sz w:val="24"/>
          <w:szCs w:val="24"/>
        </w:rPr>
        <w:t>、同一证券同时在两个或两个以上市场交易的，按证券所处的市场分别估值。</w:t>
      </w:r>
    </w:p>
    <w:p w14:paraId="6CFEA081">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10</w:t>
      </w:r>
      <w:r>
        <w:rPr>
          <w:rFonts w:hint="eastAsia" w:cs="Times New Roman" w:asciiTheme="minorEastAsia" w:hAnsiTheme="minorEastAsia"/>
          <w:kern w:val="0"/>
          <w:sz w:val="24"/>
          <w:szCs w:val="24"/>
        </w:rPr>
        <w:t>、本基金参与股指期货合约、国债期货合约交易，一般以估值当日结算价进行估值，估值当日无结算价的，且最近交易日后经济环境未发生重大变化的，采用最近交易日结算价估值。</w:t>
      </w:r>
    </w:p>
    <w:p w14:paraId="05664F19">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11</w:t>
      </w:r>
      <w:r>
        <w:rPr>
          <w:rFonts w:hint="eastAsia" w:cs="Times New Roman" w:asciiTheme="minorEastAsia" w:hAnsiTheme="minorEastAsia"/>
          <w:kern w:val="0"/>
          <w:sz w:val="24"/>
          <w:szCs w:val="24"/>
        </w:rPr>
        <w:t>、本基金投资股票期权，根据相关法律法规以及监管部门的规定估值。</w:t>
      </w:r>
    </w:p>
    <w:p w14:paraId="2793DF26">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cs="Times New Roman" w:asciiTheme="minorEastAsia" w:hAnsiTheme="minorEastAsia"/>
          <w:kern w:val="0"/>
          <w:sz w:val="24"/>
          <w:szCs w:val="24"/>
        </w:rPr>
        <w:t>12</w:t>
      </w:r>
      <w:r>
        <w:rPr>
          <w:rFonts w:hint="eastAsia" w:cs="Times New Roman" w:asciiTheme="minorEastAsia" w:hAnsiTheme="minorEastAsia"/>
          <w:kern w:val="0"/>
          <w:sz w:val="24"/>
          <w:szCs w:val="24"/>
        </w:rPr>
        <w:t>、本基金参与融资或转融通证券出借业务的，应参照行业协会的相关规定进行估值，确保估值的公允性。</w:t>
      </w:r>
    </w:p>
    <w:p w14:paraId="4BC91DCA">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w:t>
      </w:r>
      <w:r>
        <w:rPr>
          <w:rFonts w:cs="Times New Roman" w:asciiTheme="minorEastAsia" w:hAnsiTheme="minorEastAsia"/>
          <w:kern w:val="0"/>
          <w:sz w:val="24"/>
          <w:szCs w:val="24"/>
        </w:rPr>
        <w:t>3</w:t>
      </w:r>
      <w:r>
        <w:rPr>
          <w:rFonts w:hint="eastAsia" w:cs="Times New Roman" w:asciiTheme="minorEastAsia" w:hAnsiTheme="minorEastAsia"/>
          <w:kern w:val="0"/>
          <w:sz w:val="24"/>
          <w:szCs w:val="24"/>
        </w:rPr>
        <w:t>、汇率</w:t>
      </w:r>
    </w:p>
    <w:p w14:paraId="2312348C">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本基金外币资产价值计算中，涉及主要货币对人民币汇率的，应当以基金估值日中国人民银行或其授权机构公布的人民币汇率中间价为准。</w:t>
      </w:r>
    </w:p>
    <w:p w14:paraId="370D2CFF">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w:t>
      </w:r>
      <w:r>
        <w:rPr>
          <w:rFonts w:cs="Times New Roman" w:asciiTheme="minorEastAsia" w:hAnsiTheme="minorEastAsia"/>
          <w:kern w:val="0"/>
          <w:sz w:val="24"/>
          <w:szCs w:val="24"/>
        </w:rPr>
        <w:t>4</w:t>
      </w:r>
      <w:r>
        <w:rPr>
          <w:rFonts w:hint="eastAsia" w:cs="Times New Roman" w:asciiTheme="minorEastAsia" w:hAnsiTheme="minorEastAsia"/>
          <w:kern w:val="0"/>
          <w:sz w:val="24"/>
          <w:szCs w:val="24"/>
        </w:rPr>
        <w:t>、如有确凿证据表明按上述方法进行估值不能客观反映其公允价值的，基金管理人可根据具体情况与基金托管人商定后，按最能反映公允价值的价格估值。</w:t>
      </w:r>
    </w:p>
    <w:p w14:paraId="0AC9F810">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w:t>
      </w:r>
      <w:r>
        <w:rPr>
          <w:rFonts w:cs="Times New Roman" w:asciiTheme="minorEastAsia" w:hAnsiTheme="minorEastAsia"/>
          <w:kern w:val="0"/>
          <w:sz w:val="24"/>
          <w:szCs w:val="24"/>
        </w:rPr>
        <w:t>5</w:t>
      </w:r>
      <w:r>
        <w:rPr>
          <w:rFonts w:hint="eastAsia" w:cs="Times New Roman" w:asciiTheme="minorEastAsia" w:hAnsiTheme="minorEastAsia"/>
          <w:kern w:val="0"/>
          <w:sz w:val="24"/>
          <w:szCs w:val="24"/>
        </w:rPr>
        <w:t>、当发生大额申购或赎回情形时，基金管理人可以采用摆动定价机制，以确保基金估值的公平性。具体处理原则与操作规范遵循相关法律法规以及监管部门、自律规则的规定。</w:t>
      </w:r>
    </w:p>
    <w:p w14:paraId="512F96A5">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1</w:t>
      </w:r>
      <w:r>
        <w:rPr>
          <w:rFonts w:cs="Times New Roman" w:asciiTheme="minorEastAsia" w:hAnsiTheme="minorEastAsia"/>
          <w:kern w:val="0"/>
          <w:sz w:val="24"/>
          <w:szCs w:val="24"/>
        </w:rPr>
        <w:t>6</w:t>
      </w:r>
      <w:r>
        <w:rPr>
          <w:rFonts w:hint="eastAsia" w:cs="Times New Roman" w:asciiTheme="minorEastAsia" w:hAnsiTheme="minorEastAsia"/>
          <w:kern w:val="0"/>
          <w:sz w:val="24"/>
          <w:szCs w:val="24"/>
        </w:rPr>
        <w:t>、相关法律法规以及监管部门有强制规定的，从其规定。如有新增事项，按国家最新规定估值。</w:t>
      </w:r>
    </w:p>
    <w:p w14:paraId="0EA10CBB">
      <w:pPr>
        <w:autoSpaceDE w:val="0"/>
        <w:autoSpaceDN w:val="0"/>
        <w:adjustRightInd w:val="0"/>
        <w:spacing w:line="360" w:lineRule="auto"/>
        <w:ind w:firstLine="480" w:firstLineChars="200"/>
        <w:rPr>
          <w:rFonts w:cs="Times New Roman" w:asciiTheme="minorEastAsia" w:hAnsiTheme="minorEastAsia"/>
          <w:kern w:val="0"/>
          <w:sz w:val="24"/>
          <w:szCs w:val="24"/>
        </w:rPr>
      </w:pPr>
      <w:r>
        <w:rPr>
          <w:rFonts w:hint="eastAsia" w:cs="Times New Roman" w:asciiTheme="minorEastAsia" w:hAnsiTheme="minorEastAsia"/>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87C35EA">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cs="Times New Roman" w:asciiTheme="minorEastAsia" w:hAnsiTheme="minorEastAsia"/>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ascii="宋体" w:hAnsi="宋体"/>
          <w:color w:val="000000"/>
          <w:kern w:val="0"/>
          <w:sz w:val="24"/>
        </w:rPr>
        <w:t>，但基金托管人有权向监管部门</w:t>
      </w:r>
      <w:r>
        <w:rPr>
          <w:rFonts w:ascii="宋体" w:hAnsi="宋体"/>
          <w:color w:val="000000"/>
          <w:kern w:val="0"/>
          <w:sz w:val="24"/>
          <w:u w:val="dotted"/>
        </w:rPr>
        <w:t>报</w:t>
      </w:r>
      <w:r>
        <w:rPr>
          <w:rFonts w:hint="eastAsia" w:ascii="宋体" w:hAnsi="宋体"/>
          <w:color w:val="000000"/>
          <w:kern w:val="0"/>
          <w:sz w:val="24"/>
          <w:u w:val="dotted"/>
        </w:rPr>
        <w:t>告</w:t>
      </w:r>
      <w:r>
        <w:rPr>
          <w:rFonts w:hint="eastAsia" w:cs="Times New Roman" w:asciiTheme="minorEastAsia" w:hAnsiTheme="minorEastAsia"/>
          <w:kern w:val="0"/>
          <w:sz w:val="24"/>
          <w:szCs w:val="24"/>
        </w:rPr>
        <w:t>。</w:t>
      </w:r>
    </w:p>
    <w:bookmarkEnd w:id="43"/>
    <w:p w14:paraId="2B48B6B3">
      <w:pPr>
        <w:autoSpaceDE w:val="0"/>
        <w:autoSpaceDN w:val="0"/>
        <w:spacing w:line="360" w:lineRule="auto"/>
        <w:ind w:firstLine="480" w:firstLineChars="200"/>
        <w:textAlignment w:val="bottom"/>
        <w:rPr>
          <w:rFonts w:ascii="Times New Roman" w:hAnsi="Times New Roman" w:eastAsia="宋体" w:cs="Times New Roman"/>
          <w:sz w:val="24"/>
          <w:szCs w:val="24"/>
        </w:rPr>
      </w:pPr>
      <w:r>
        <w:rPr>
          <w:rFonts w:hint="eastAsia" w:ascii="Times New Roman" w:hAnsi="Times New Roman" w:eastAsia="宋体" w:cs="Times New Roman"/>
          <w:sz w:val="24"/>
          <w:szCs w:val="24"/>
        </w:rPr>
        <w:t>（二）基金净值信息</w:t>
      </w:r>
    </w:p>
    <w:p w14:paraId="7DD10ED2">
      <w:pPr>
        <w:autoSpaceDE w:val="0"/>
        <w:autoSpaceDN w:val="0"/>
        <w:spacing w:line="360" w:lineRule="auto"/>
        <w:ind w:firstLine="480" w:firstLineChars="200"/>
        <w:textAlignment w:val="bottom"/>
        <w:rPr>
          <w:rFonts w:cs="宋体" w:asciiTheme="minorEastAsia" w:hAnsiTheme="minorEastAsia"/>
          <w:kern w:val="0"/>
          <w:sz w:val="24"/>
          <w:szCs w:val="24"/>
        </w:rPr>
      </w:pPr>
      <w:bookmarkStart w:id="44" w:name="_Hlk239086642"/>
      <w:r>
        <w:rPr>
          <w:rFonts w:hint="eastAsia" w:cs="宋体" w:asciiTheme="minorEastAsia" w:hAnsiTheme="minorEastAsia"/>
          <w:kern w:val="0"/>
          <w:sz w:val="24"/>
          <w:szCs w:val="24"/>
        </w:rPr>
        <w:t>基金管理人应当在不晚于每个开放日的次日，通过规定网站、基金销售机构网站或者营业网点披露开放日的各类基金份额净值和各类基金份额累计净值。</w:t>
      </w:r>
    </w:p>
    <w:p w14:paraId="4BDF887D">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cs="宋体" w:asciiTheme="minorEastAsia" w:hAnsiTheme="minorEastAsia"/>
          <w:kern w:val="0"/>
          <w:sz w:val="24"/>
          <w:szCs w:val="24"/>
        </w:rPr>
        <w:t>基金管理人应当在不晚于半年度和年度最后一日的次日，在规定网站公告半年度和年度最后一日各类基金份额净值和各类基金份额累计净值。</w:t>
      </w:r>
    </w:p>
    <w:bookmarkEnd w:id="44"/>
    <w:p w14:paraId="5D1265F0">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bCs/>
          <w:sz w:val="24"/>
          <w:szCs w:val="20"/>
        </w:rPr>
        <w:t>七、基金合同的变更、终止与基金财产的清算</w:t>
      </w:r>
    </w:p>
    <w:p w14:paraId="3D3B48A8">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（一）《基金合同》的变更</w:t>
      </w:r>
    </w:p>
    <w:p w14:paraId="0081A2D5">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3E924F6">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2、关于《基金合同》变更的基金份额持有人大会决议自生效后方可执行，自决议生效后按规定在规定媒介公告。</w:t>
      </w:r>
    </w:p>
    <w:p w14:paraId="6B453DF8">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（二）《基金合同》的终止事由</w:t>
      </w:r>
    </w:p>
    <w:p w14:paraId="19E9F0B3">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有下列情形之一的，经履行相关程序后，《基金合同》应当终止：</w:t>
      </w:r>
    </w:p>
    <w:p w14:paraId="2B313B0F">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1、基金份额持有人大会决定终止的；</w:t>
      </w:r>
    </w:p>
    <w:p w14:paraId="41F8CCD9">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2、基金管理人、基金托管人职责终止，在6个月内没有新基金管理人、新基金托管人承接的；</w:t>
      </w:r>
    </w:p>
    <w:p w14:paraId="6A9C919C">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11AE1203">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4、《基金合同》约定的其他情形；</w:t>
      </w:r>
    </w:p>
    <w:p w14:paraId="08F8BD8C">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5、相关法律法规和中国证监会规定的其他情况。</w:t>
      </w:r>
    </w:p>
    <w:p w14:paraId="5C8B44E4">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（三）基金财产的清算</w:t>
      </w:r>
    </w:p>
    <w:p w14:paraId="63398547">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14:paraId="1A27D541">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2、在基金财产清算小组接管基金财产之前，基金管理人和基金托管人应按照《基金合同》和托管协议的规定继续履行保护基金财产安全的职责。</w:t>
      </w:r>
    </w:p>
    <w:p w14:paraId="67E44DB2">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1933A686">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4、基金财产清算小组职责：基金财产清算小组负责基金财产的保管、清理、估价、变现和分配。基金财产清算小组可以依法进行必要的民事活动。</w:t>
      </w:r>
    </w:p>
    <w:p w14:paraId="374E84A5">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5、在基金财产清算过程中，基金管理人和基金托管人应各自履行职责，继续忠实、勤勉、尽责地履行基金合同和托管协议规定的义务，维护基金份额持有人的合法权益。</w:t>
      </w:r>
    </w:p>
    <w:p w14:paraId="0A9A6B4B">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6、基金财产清算程序：</w:t>
      </w:r>
    </w:p>
    <w:p w14:paraId="6FD44CF2">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（1）《基金合同》终止情形出现时，由基金财产清算小组统一接管基金；</w:t>
      </w:r>
    </w:p>
    <w:p w14:paraId="68399572">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（2）对基金财产和债权债务进行清理和确认；</w:t>
      </w:r>
    </w:p>
    <w:p w14:paraId="63C0E198">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（3）对基金财产进行估值和变现；</w:t>
      </w:r>
    </w:p>
    <w:p w14:paraId="41362263">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（4）制作清算报告；</w:t>
      </w:r>
    </w:p>
    <w:p w14:paraId="074FCB33">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（5）聘请会计师事务所对清算报告进行外部审计，聘请律师事务所对清算报告出具法律意见书；</w:t>
      </w:r>
    </w:p>
    <w:p w14:paraId="345A893A">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（6）将清算报告报中国证监会备案并公告；</w:t>
      </w:r>
    </w:p>
    <w:p w14:paraId="2C906789">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（7）对基金剩余财产进行分配。</w:t>
      </w:r>
    </w:p>
    <w:p w14:paraId="4D3F7F7D">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7、基金财产清算的期限为6个月，但因本基金所持证券的流动性受到限制而不能及时变现的，清算期限可相应顺延。</w:t>
      </w:r>
    </w:p>
    <w:p w14:paraId="6705F59C">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（四）清算费用</w:t>
      </w:r>
    </w:p>
    <w:p w14:paraId="73C6C952">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清算费用是指基金财产清算小组在进行基金清算过程中发生的所有合理费用，清算费用由基金财产清算小组优先从基金剩余财产中支付。</w:t>
      </w:r>
    </w:p>
    <w:p w14:paraId="4184A45A">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（五）基金财产清算剩余资产的分配</w:t>
      </w:r>
    </w:p>
    <w:p w14:paraId="6EBA0A7D">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14:paraId="5DE392AE">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（六）基金财产清算的公告</w:t>
      </w:r>
    </w:p>
    <w:p w14:paraId="05EA0807">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21C9234">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（七）基金财产清算账册及文件的保存</w:t>
      </w:r>
    </w:p>
    <w:p w14:paraId="0EBDEAB4">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基金财产清算账册及有关文件由基金托管人保存，保存期限不低于法律法规规定的最低期限。</w:t>
      </w:r>
    </w:p>
    <w:p w14:paraId="3697EB8E">
      <w:pPr>
        <w:autoSpaceDE w:val="0"/>
        <w:autoSpaceDN w:val="0"/>
        <w:spacing w:line="360" w:lineRule="auto"/>
        <w:ind w:firstLine="480" w:firstLineChars="200"/>
        <w:textAlignment w:val="bottom"/>
        <w:rPr>
          <w:rFonts w:cs="宋体" w:asciiTheme="minorEastAsia" w:hAnsiTheme="minorEastAsia"/>
          <w:kern w:val="0"/>
          <w:sz w:val="24"/>
          <w:szCs w:val="24"/>
        </w:rPr>
      </w:pPr>
      <w:r>
        <w:rPr>
          <w:rFonts w:hint="eastAsia" w:cs="宋体" w:asciiTheme="minorEastAsia" w:hAnsiTheme="minorEastAsia"/>
          <w:kern w:val="0"/>
          <w:sz w:val="24"/>
          <w:szCs w:val="24"/>
        </w:rPr>
        <w:t>（八）基金合并</w:t>
      </w:r>
    </w:p>
    <w:p w14:paraId="36146301">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cs="宋体" w:asciiTheme="minorEastAsia" w:hAnsiTheme="minorEastAsia"/>
          <w:kern w:val="0"/>
          <w:sz w:val="24"/>
          <w:szCs w:val="24"/>
        </w:rPr>
        <w:t>本基金与其他基金的合并应当按照法律法规规定的程序进行。</w:t>
      </w:r>
    </w:p>
    <w:p w14:paraId="38DE9207">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bCs/>
          <w:sz w:val="24"/>
          <w:szCs w:val="20"/>
        </w:rPr>
        <w:t>八、争议的处理和适用的法律</w:t>
      </w:r>
    </w:p>
    <w:p w14:paraId="13349A0A">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13AAB271">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争议处理期间，基金管理人、基金托管人应恪守基金管理人和基金托管人的职责，各自继续忠实、勤勉、尽责地履行基金合同和基金托管协议规定的义务，维护基金份额持有人的合法权益。</w:t>
      </w:r>
    </w:p>
    <w:p w14:paraId="6CF489FA">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《基金合同》受中国法律（为本基金合同之目的，在此不包括香港、澳门特别行政区和台湾地区法律）管辖并从其解释。</w:t>
      </w:r>
    </w:p>
    <w:p w14:paraId="5549EAA7">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bCs/>
          <w:sz w:val="24"/>
          <w:szCs w:val="20"/>
        </w:rPr>
        <w:t>九、基金合同的存放地和投资者取得基金合同的方式</w:t>
      </w:r>
    </w:p>
    <w:p w14:paraId="0E319F91">
      <w:pPr>
        <w:adjustRightInd w:val="0"/>
        <w:snapToGri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《基金合同》可印制成册，供投资者在基金管理人、基金托管人、销售机构的办公场所和营业场所查阅。</w:t>
      </w:r>
    </w:p>
    <w:p w14:paraId="6998CF8A">
      <w:pPr>
        <w:adjustRightInd w:val="0"/>
        <w:snapToGrid w:val="0"/>
        <w:spacing w:line="360" w:lineRule="auto"/>
        <w:ind w:firstLine="420" w:firstLineChars="200"/>
      </w:pPr>
    </w:p>
    <w:sectPr>
      <w:footerReference r:id="rId27"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5843161"/>
    </w:sdtPr>
    <w:sdtContent>
      <w:p w14:paraId="68396598">
        <w:pPr>
          <w:pStyle w:val="8"/>
          <w:jc w:val="center"/>
        </w:pPr>
        <w:r>
          <w:rPr>
            <w:rFonts w:hint="eastAsia"/>
          </w:rPr>
          <w:t>1-</w:t>
        </w:r>
        <w:r>
          <w:fldChar w:fldCharType="begin"/>
        </w:r>
        <w:r>
          <w:instrText xml:space="preserve">PAGE   \* MERGEFORMAT</w:instrText>
        </w:r>
        <w:r>
          <w:fldChar w:fldCharType="separate"/>
        </w:r>
        <w:r>
          <w:rPr>
            <w:lang w:val="zh-CN"/>
          </w:rPr>
          <w:t>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sdtPr>
    <w:sdtContent>
      <w:p w14:paraId="3DE6E981">
        <w:pPr>
          <w:pStyle w:val="8"/>
          <w:jc w:val="center"/>
        </w:pPr>
        <w:r>
          <w:rPr>
            <w:rFonts w:hint="eastAsia"/>
          </w:rPr>
          <w:t>2-</w:t>
        </w:r>
        <w:r>
          <w:fldChar w:fldCharType="begin"/>
        </w:r>
        <w:r>
          <w:instrText xml:space="preserve">PAGE   \* MERGEFORMAT</w:instrText>
        </w:r>
        <w:r>
          <w:fldChar w:fldCharType="separate"/>
        </w:r>
        <w:r>
          <w:rPr>
            <w:lang w:val="zh-CN"/>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83245"/>
    </w:sdtPr>
    <w:sdtContent>
      <w:p w14:paraId="52BA0EBC">
        <w:pPr>
          <w:pStyle w:val="8"/>
          <w:jc w:val="center"/>
        </w:pPr>
        <w:r>
          <w:rPr>
            <w:rFonts w:hint="eastAsia"/>
          </w:rPr>
          <w:t>3-</w:t>
        </w: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433617"/>
    </w:sdtPr>
    <w:sdtContent>
      <w:p w14:paraId="5247B993">
        <w:pPr>
          <w:pStyle w:val="8"/>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260878"/>
    </w:sdtPr>
    <w:sdtContent>
      <w:p w14:paraId="176F761F">
        <w:pPr>
          <w:pStyle w:val="8"/>
          <w:jc w:val="center"/>
        </w:pPr>
        <w:r>
          <w:rPr>
            <w:rFonts w:hint="eastAsia"/>
          </w:rPr>
          <w:t>5-</w:t>
        </w: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3984408"/>
    </w:sdtPr>
    <w:sdtContent>
      <w:p w14:paraId="2ECB3230">
        <w:pPr>
          <w:pStyle w:val="8"/>
          <w:jc w:val="center"/>
        </w:pPr>
        <w:r>
          <w:rPr>
            <w:rFonts w:hint="eastAsia"/>
          </w:rPr>
          <w:t>6-</w:t>
        </w:r>
        <w:r>
          <w:fldChar w:fldCharType="begin"/>
        </w:r>
        <w:r>
          <w:instrText xml:space="preserve">PAGE   \* MERGEFORMAT</w:instrText>
        </w:r>
        <w:r>
          <w:fldChar w:fldCharType="separate"/>
        </w:r>
        <w:r>
          <w:rPr>
            <w:lang w:val="zh-CN"/>
          </w:rPr>
          <w:t>9</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0527981"/>
    </w:sdtPr>
    <w:sdtContent>
      <w:p w14:paraId="194882AA">
        <w:pPr>
          <w:pStyle w:val="8"/>
          <w:jc w:val="center"/>
        </w:pPr>
        <w:r>
          <w:rPr>
            <w:rFonts w:hint="eastAsia"/>
          </w:rPr>
          <w:t>7-</w:t>
        </w:r>
        <w:r>
          <w:fldChar w:fldCharType="begin"/>
        </w:r>
        <w:r>
          <w:instrText xml:space="preserve">PAGE   \* MERGEFORMAT</w:instrText>
        </w:r>
        <w:r>
          <w:fldChar w:fldCharType="separate"/>
        </w:r>
        <w:r>
          <w:rPr>
            <w:lang w:val="zh-CN"/>
          </w:rPr>
          <w:t>1</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sdtPr>
    <w:sdtContent>
      <w:p w14:paraId="0ADD512D">
        <w:pPr>
          <w:pStyle w:val="8"/>
          <w:jc w:val="center"/>
        </w:pPr>
        <w:r>
          <w:rPr>
            <w:rFonts w:hint="eastAsia"/>
          </w:rPr>
          <w:t>8-</w:t>
        </w:r>
        <w:r>
          <w:fldChar w:fldCharType="begin"/>
        </w:r>
        <w:r>
          <w:instrText xml:space="preserve">PAGE   \* MERGEFORMAT</w:instrText>
        </w:r>
        <w:r>
          <w:fldChar w:fldCharType="separate"/>
        </w:r>
        <w:r>
          <w:rPr>
            <w:lang w:val="zh-CN"/>
          </w:rPr>
          <w:t>6</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86414"/>
    </w:sdtPr>
    <w:sdtContent>
      <w:p w14:paraId="37F40279">
        <w:pPr>
          <w:pStyle w:val="8"/>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sdtPr>
    <w:sdtContent>
      <w:p w14:paraId="5A39795C">
        <w:pPr>
          <w:pStyle w:val="8"/>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sdtPr>
    <w:sdtContent>
      <w:p w14:paraId="7FFA00D8">
        <w:pPr>
          <w:pStyle w:val="8"/>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sdtPr>
    <w:sdtContent>
      <w:p w14:paraId="7A7EA122">
        <w:pPr>
          <w:pStyle w:val="8"/>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9</w:t>
        </w:r>
        <w: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6244562"/>
    </w:sdtPr>
    <w:sdtContent>
      <w:p w14:paraId="386818AA">
        <w:pPr>
          <w:pStyle w:val="8"/>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5131533"/>
    </w:sdtPr>
    <w:sdtContent>
      <w:p w14:paraId="091DB73D">
        <w:pPr>
          <w:pStyle w:val="8"/>
          <w:jc w:val="center"/>
        </w:pPr>
        <w:r>
          <w:rPr>
            <w:rFonts w:hint="eastAsia"/>
          </w:rPr>
          <w:t>14-</w:t>
        </w:r>
        <w:r>
          <w:fldChar w:fldCharType="begin"/>
        </w:r>
        <w:r>
          <w:instrText xml:space="preserve">PAGE   \* MERGEFORMAT</w:instrText>
        </w:r>
        <w:r>
          <w:fldChar w:fldCharType="separate"/>
        </w:r>
        <w:r>
          <w:rPr>
            <w:lang w:val="zh-CN"/>
          </w:rPr>
          <w:t>7</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sdtPr>
    <w:sdtContent>
      <w:p w14:paraId="4AE899D9">
        <w:pPr>
          <w:pStyle w:val="8"/>
          <w:jc w:val="center"/>
        </w:pPr>
        <w:r>
          <w:rPr>
            <w:rFonts w:hint="eastAsia"/>
          </w:rPr>
          <w:t>15-</w:t>
        </w:r>
        <w:r>
          <w:fldChar w:fldCharType="begin"/>
        </w:r>
        <w:r>
          <w:instrText xml:space="preserve">PAGE   \* MERGEFORMAT</w:instrText>
        </w:r>
        <w:r>
          <w:fldChar w:fldCharType="separate"/>
        </w:r>
        <w:r>
          <w:rPr>
            <w:lang w:val="zh-CN"/>
          </w:rPr>
          <w:t>2</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sdtPr>
    <w:sdtContent>
      <w:p w14:paraId="00A7A910">
        <w:pPr>
          <w:pStyle w:val="8"/>
          <w:jc w:val="center"/>
        </w:pPr>
        <w:r>
          <w:rPr>
            <w:rFonts w:hint="eastAsia"/>
          </w:rPr>
          <w:t>16-</w:t>
        </w: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570845"/>
    </w:sdtPr>
    <w:sdtContent>
      <w:p w14:paraId="623FF7CC">
        <w:pPr>
          <w:pStyle w:val="8"/>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sdtPr>
    <w:sdtContent>
      <w:p w14:paraId="4A3AC5B6">
        <w:pPr>
          <w:pStyle w:val="8"/>
          <w:jc w:val="center"/>
        </w:pPr>
        <w:r>
          <w:rPr>
            <w:rFonts w:hint="eastAsia"/>
          </w:rPr>
          <w:t>18-</w:t>
        </w:r>
        <w:r>
          <w:fldChar w:fldCharType="begin"/>
        </w:r>
        <w:r>
          <w:instrText xml:space="preserve">PAGE   \* MERGEFORMAT</w:instrText>
        </w:r>
        <w:r>
          <w:fldChar w:fldCharType="separate"/>
        </w:r>
        <w:r>
          <w:rPr>
            <w:lang w:val="zh-CN"/>
          </w:rPr>
          <w:t>7</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0523463"/>
    </w:sdtPr>
    <w:sdtContent>
      <w:p w14:paraId="0A92C490">
        <w:pPr>
          <w:pStyle w:val="8"/>
          <w:jc w:val="center"/>
        </w:pPr>
        <w:r>
          <w:t>19</w:t>
        </w:r>
        <w:r>
          <w:rPr>
            <w:rFonts w:hint="eastAsia"/>
          </w:rPr>
          <w:t>-</w:t>
        </w:r>
        <w:r>
          <w:fldChar w:fldCharType="begin"/>
        </w:r>
        <w:r>
          <w:instrText xml:space="preserve">PAGE   \* MERGEFORMAT</w:instrText>
        </w:r>
        <w:r>
          <w:fldChar w:fldCharType="separate"/>
        </w:r>
        <w:r>
          <w:rPr>
            <w:lang w:val="zh-CN"/>
          </w:rPr>
          <w:t>1</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85813"/>
    </w:sdtPr>
    <w:sdtContent>
      <w:p w14:paraId="49A04D91">
        <w:pPr>
          <w:pStyle w:val="8"/>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sdtPr>
    <w:sdtContent>
      <w:p w14:paraId="18FABD46">
        <w:pPr>
          <w:pStyle w:val="8"/>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sdtPr>
    <w:sdtContent>
      <w:p w14:paraId="7554F16F">
        <w:pPr>
          <w:pStyle w:val="8"/>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67383"/>
    </w:sdtPr>
    <w:sdtContent>
      <w:p w14:paraId="34380206">
        <w:pPr>
          <w:pStyle w:val="8"/>
          <w:jc w:val="center"/>
        </w:pPr>
        <w:r>
          <w:rPr>
            <w:rFonts w:hint="eastAsia"/>
          </w:rPr>
          <w:t>23-</w:t>
        </w:r>
        <w:r>
          <w:fldChar w:fldCharType="begin"/>
        </w:r>
        <w:r>
          <w:instrText xml:space="preserve">PAGE   \* MERGEFORMAT</w:instrText>
        </w:r>
        <w:r>
          <w:fldChar w:fldCharType="separate"/>
        </w:r>
        <w:r>
          <w:rPr>
            <w:lang w:val="zh-CN"/>
          </w:rPr>
          <w:t>1</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02882">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8642F">
    <w:pPr>
      <w:pStyle w:val="9"/>
      <w:jc w:val="right"/>
    </w:pPr>
    <w:r>
      <w:rPr>
        <w:rFonts w:hint="eastAsia" w:cs="宋体" w:asciiTheme="minorEastAsia" w:hAnsiTheme="minorEastAsia"/>
        <w:kern w:val="0"/>
      </w:rPr>
      <w:t>博时中证机器人交易型开放式指数证券投资基金发起式联接基金基金合同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54"/>
    <w:rsid w:val="00002EC5"/>
    <w:rsid w:val="00004AC4"/>
    <w:rsid w:val="00005022"/>
    <w:rsid w:val="00011814"/>
    <w:rsid w:val="0001426E"/>
    <w:rsid w:val="0001635D"/>
    <w:rsid w:val="00020300"/>
    <w:rsid w:val="00021AFA"/>
    <w:rsid w:val="00023973"/>
    <w:rsid w:val="00027D99"/>
    <w:rsid w:val="00030AD7"/>
    <w:rsid w:val="00031665"/>
    <w:rsid w:val="000333DE"/>
    <w:rsid w:val="00037EBD"/>
    <w:rsid w:val="00040DD9"/>
    <w:rsid w:val="00042FB4"/>
    <w:rsid w:val="0004450A"/>
    <w:rsid w:val="0004547B"/>
    <w:rsid w:val="0005107F"/>
    <w:rsid w:val="0005175B"/>
    <w:rsid w:val="00052E2D"/>
    <w:rsid w:val="0005302E"/>
    <w:rsid w:val="0005379E"/>
    <w:rsid w:val="00053B6E"/>
    <w:rsid w:val="00054EBA"/>
    <w:rsid w:val="000555E5"/>
    <w:rsid w:val="000559FA"/>
    <w:rsid w:val="000608B2"/>
    <w:rsid w:val="00061A24"/>
    <w:rsid w:val="00061C9D"/>
    <w:rsid w:val="00062F5A"/>
    <w:rsid w:val="00063003"/>
    <w:rsid w:val="00063D94"/>
    <w:rsid w:val="00064252"/>
    <w:rsid w:val="00064B9C"/>
    <w:rsid w:val="00066B06"/>
    <w:rsid w:val="0006727F"/>
    <w:rsid w:val="00067C4F"/>
    <w:rsid w:val="000703EA"/>
    <w:rsid w:val="00070C54"/>
    <w:rsid w:val="000725BE"/>
    <w:rsid w:val="000726B6"/>
    <w:rsid w:val="00073543"/>
    <w:rsid w:val="00074D26"/>
    <w:rsid w:val="0007593D"/>
    <w:rsid w:val="0008060D"/>
    <w:rsid w:val="0008175C"/>
    <w:rsid w:val="000846E1"/>
    <w:rsid w:val="0008477A"/>
    <w:rsid w:val="0008552F"/>
    <w:rsid w:val="00085AE6"/>
    <w:rsid w:val="00087039"/>
    <w:rsid w:val="00092A1C"/>
    <w:rsid w:val="000961DA"/>
    <w:rsid w:val="000A4452"/>
    <w:rsid w:val="000A462F"/>
    <w:rsid w:val="000A5700"/>
    <w:rsid w:val="000A6055"/>
    <w:rsid w:val="000A729C"/>
    <w:rsid w:val="000A7F4A"/>
    <w:rsid w:val="000B1BDF"/>
    <w:rsid w:val="000B2A7A"/>
    <w:rsid w:val="000B43D2"/>
    <w:rsid w:val="000C19E4"/>
    <w:rsid w:val="000C430D"/>
    <w:rsid w:val="000C63C2"/>
    <w:rsid w:val="000C6EF7"/>
    <w:rsid w:val="000D04B1"/>
    <w:rsid w:val="000D1ACD"/>
    <w:rsid w:val="000D1B4E"/>
    <w:rsid w:val="000D24DD"/>
    <w:rsid w:val="000D567F"/>
    <w:rsid w:val="000E3430"/>
    <w:rsid w:val="000E443E"/>
    <w:rsid w:val="000E4712"/>
    <w:rsid w:val="000E5B26"/>
    <w:rsid w:val="000E5B84"/>
    <w:rsid w:val="000F070E"/>
    <w:rsid w:val="000F1E27"/>
    <w:rsid w:val="000F2497"/>
    <w:rsid w:val="000F354F"/>
    <w:rsid w:val="000F3BA8"/>
    <w:rsid w:val="000F6900"/>
    <w:rsid w:val="000F6A1E"/>
    <w:rsid w:val="000F6EA4"/>
    <w:rsid w:val="0010162C"/>
    <w:rsid w:val="001018D7"/>
    <w:rsid w:val="00105DBF"/>
    <w:rsid w:val="001064C7"/>
    <w:rsid w:val="00106F14"/>
    <w:rsid w:val="001127CC"/>
    <w:rsid w:val="00113A3E"/>
    <w:rsid w:val="00113C12"/>
    <w:rsid w:val="00114B3D"/>
    <w:rsid w:val="0011579F"/>
    <w:rsid w:val="001200E0"/>
    <w:rsid w:val="00120A0C"/>
    <w:rsid w:val="00123CAF"/>
    <w:rsid w:val="00124DF9"/>
    <w:rsid w:val="001267FB"/>
    <w:rsid w:val="0012797D"/>
    <w:rsid w:val="001314CF"/>
    <w:rsid w:val="00134B00"/>
    <w:rsid w:val="001404C3"/>
    <w:rsid w:val="00142C8C"/>
    <w:rsid w:val="00144211"/>
    <w:rsid w:val="001446FC"/>
    <w:rsid w:val="001469CD"/>
    <w:rsid w:val="00152E5B"/>
    <w:rsid w:val="0015460A"/>
    <w:rsid w:val="00161AE7"/>
    <w:rsid w:val="00162F46"/>
    <w:rsid w:val="001641AA"/>
    <w:rsid w:val="00166D93"/>
    <w:rsid w:val="00170D80"/>
    <w:rsid w:val="0017369C"/>
    <w:rsid w:val="00173D6C"/>
    <w:rsid w:val="00182C58"/>
    <w:rsid w:val="00184465"/>
    <w:rsid w:val="001908A0"/>
    <w:rsid w:val="00192708"/>
    <w:rsid w:val="00192B71"/>
    <w:rsid w:val="00195F0F"/>
    <w:rsid w:val="001A10BE"/>
    <w:rsid w:val="001A2915"/>
    <w:rsid w:val="001A5109"/>
    <w:rsid w:val="001A5683"/>
    <w:rsid w:val="001A7BCE"/>
    <w:rsid w:val="001B14CE"/>
    <w:rsid w:val="001B238A"/>
    <w:rsid w:val="001B39F2"/>
    <w:rsid w:val="001B5878"/>
    <w:rsid w:val="001B653B"/>
    <w:rsid w:val="001D016B"/>
    <w:rsid w:val="001D226C"/>
    <w:rsid w:val="001D2338"/>
    <w:rsid w:val="001D54C4"/>
    <w:rsid w:val="001D670B"/>
    <w:rsid w:val="001E28B2"/>
    <w:rsid w:val="001E32EF"/>
    <w:rsid w:val="001F672D"/>
    <w:rsid w:val="001F7D19"/>
    <w:rsid w:val="00200E2C"/>
    <w:rsid w:val="00202CE6"/>
    <w:rsid w:val="00207932"/>
    <w:rsid w:val="00210080"/>
    <w:rsid w:val="00213061"/>
    <w:rsid w:val="002158D4"/>
    <w:rsid w:val="002168E4"/>
    <w:rsid w:val="00222E4A"/>
    <w:rsid w:val="002230E4"/>
    <w:rsid w:val="002258CE"/>
    <w:rsid w:val="00236299"/>
    <w:rsid w:val="0024041F"/>
    <w:rsid w:val="002404A5"/>
    <w:rsid w:val="00245A98"/>
    <w:rsid w:val="00245DEC"/>
    <w:rsid w:val="00246F2E"/>
    <w:rsid w:val="00250289"/>
    <w:rsid w:val="0025502B"/>
    <w:rsid w:val="00257782"/>
    <w:rsid w:val="00260CBC"/>
    <w:rsid w:val="00261E0E"/>
    <w:rsid w:val="00263FBE"/>
    <w:rsid w:val="00265CBF"/>
    <w:rsid w:val="0026764E"/>
    <w:rsid w:val="00272948"/>
    <w:rsid w:val="00274747"/>
    <w:rsid w:val="00280C7E"/>
    <w:rsid w:val="00281E34"/>
    <w:rsid w:val="0028533D"/>
    <w:rsid w:val="00290D9D"/>
    <w:rsid w:val="00290DB0"/>
    <w:rsid w:val="00291354"/>
    <w:rsid w:val="00291370"/>
    <w:rsid w:val="00291F48"/>
    <w:rsid w:val="0029514F"/>
    <w:rsid w:val="002964E7"/>
    <w:rsid w:val="002A1AEE"/>
    <w:rsid w:val="002A6464"/>
    <w:rsid w:val="002A6781"/>
    <w:rsid w:val="002B1D1D"/>
    <w:rsid w:val="002B3979"/>
    <w:rsid w:val="002B401C"/>
    <w:rsid w:val="002C5A39"/>
    <w:rsid w:val="002C5FAC"/>
    <w:rsid w:val="002C671E"/>
    <w:rsid w:val="002D0009"/>
    <w:rsid w:val="002D13CA"/>
    <w:rsid w:val="002D3017"/>
    <w:rsid w:val="002D3573"/>
    <w:rsid w:val="002D3620"/>
    <w:rsid w:val="002D5E92"/>
    <w:rsid w:val="002D7C64"/>
    <w:rsid w:val="002E065C"/>
    <w:rsid w:val="002E0A90"/>
    <w:rsid w:val="002E12F8"/>
    <w:rsid w:val="002E18AF"/>
    <w:rsid w:val="002E2B6D"/>
    <w:rsid w:val="002F37B7"/>
    <w:rsid w:val="002F48AD"/>
    <w:rsid w:val="002F4A45"/>
    <w:rsid w:val="00300EAB"/>
    <w:rsid w:val="00301F2F"/>
    <w:rsid w:val="00302AB0"/>
    <w:rsid w:val="00303FFE"/>
    <w:rsid w:val="00314AFA"/>
    <w:rsid w:val="003208B2"/>
    <w:rsid w:val="0032097D"/>
    <w:rsid w:val="00320D56"/>
    <w:rsid w:val="003310CE"/>
    <w:rsid w:val="00331BA0"/>
    <w:rsid w:val="00332C6C"/>
    <w:rsid w:val="00333A10"/>
    <w:rsid w:val="00334BD6"/>
    <w:rsid w:val="00337F17"/>
    <w:rsid w:val="00347D9E"/>
    <w:rsid w:val="00355146"/>
    <w:rsid w:val="00371CE4"/>
    <w:rsid w:val="00372A6E"/>
    <w:rsid w:val="00373B49"/>
    <w:rsid w:val="00374092"/>
    <w:rsid w:val="00374515"/>
    <w:rsid w:val="003757A4"/>
    <w:rsid w:val="003758E2"/>
    <w:rsid w:val="00377456"/>
    <w:rsid w:val="003809E2"/>
    <w:rsid w:val="00381923"/>
    <w:rsid w:val="003922CC"/>
    <w:rsid w:val="0039686E"/>
    <w:rsid w:val="003A1F61"/>
    <w:rsid w:val="003A1FE8"/>
    <w:rsid w:val="003A21DC"/>
    <w:rsid w:val="003A39CE"/>
    <w:rsid w:val="003B065C"/>
    <w:rsid w:val="003B3DB7"/>
    <w:rsid w:val="003B4874"/>
    <w:rsid w:val="003B6026"/>
    <w:rsid w:val="003B6479"/>
    <w:rsid w:val="003C03B9"/>
    <w:rsid w:val="003C11C8"/>
    <w:rsid w:val="003C275E"/>
    <w:rsid w:val="003D094C"/>
    <w:rsid w:val="003D2420"/>
    <w:rsid w:val="003D2B38"/>
    <w:rsid w:val="003D3441"/>
    <w:rsid w:val="003D4A6F"/>
    <w:rsid w:val="003E066B"/>
    <w:rsid w:val="003E1D86"/>
    <w:rsid w:val="003E1E53"/>
    <w:rsid w:val="003E3444"/>
    <w:rsid w:val="003E41BB"/>
    <w:rsid w:val="003E510C"/>
    <w:rsid w:val="003F0EAB"/>
    <w:rsid w:val="003F4B12"/>
    <w:rsid w:val="003F5D1F"/>
    <w:rsid w:val="0040039C"/>
    <w:rsid w:val="00405452"/>
    <w:rsid w:val="00405602"/>
    <w:rsid w:val="00406B6B"/>
    <w:rsid w:val="00416B8A"/>
    <w:rsid w:val="0042228F"/>
    <w:rsid w:val="004234BA"/>
    <w:rsid w:val="00424A77"/>
    <w:rsid w:val="004263E5"/>
    <w:rsid w:val="004339FE"/>
    <w:rsid w:val="00435580"/>
    <w:rsid w:val="00435F87"/>
    <w:rsid w:val="004404CF"/>
    <w:rsid w:val="00441694"/>
    <w:rsid w:val="00442EFA"/>
    <w:rsid w:val="0045101E"/>
    <w:rsid w:val="0045288B"/>
    <w:rsid w:val="004540EB"/>
    <w:rsid w:val="00454237"/>
    <w:rsid w:val="00456E0D"/>
    <w:rsid w:val="00461A9E"/>
    <w:rsid w:val="004637B3"/>
    <w:rsid w:val="00464046"/>
    <w:rsid w:val="004651EC"/>
    <w:rsid w:val="004671AA"/>
    <w:rsid w:val="00475028"/>
    <w:rsid w:val="00476F04"/>
    <w:rsid w:val="00480BC2"/>
    <w:rsid w:val="00481C96"/>
    <w:rsid w:val="00483451"/>
    <w:rsid w:val="00484B1C"/>
    <w:rsid w:val="004850F4"/>
    <w:rsid w:val="00485F47"/>
    <w:rsid w:val="00486AA5"/>
    <w:rsid w:val="00487889"/>
    <w:rsid w:val="00491EC6"/>
    <w:rsid w:val="004A27BB"/>
    <w:rsid w:val="004A46F8"/>
    <w:rsid w:val="004A6974"/>
    <w:rsid w:val="004B0D30"/>
    <w:rsid w:val="004B48AF"/>
    <w:rsid w:val="004B6E91"/>
    <w:rsid w:val="004C0C16"/>
    <w:rsid w:val="004C2C35"/>
    <w:rsid w:val="004C3705"/>
    <w:rsid w:val="004C56BD"/>
    <w:rsid w:val="004C5C4C"/>
    <w:rsid w:val="004C5DD7"/>
    <w:rsid w:val="004C5EE3"/>
    <w:rsid w:val="004D68D2"/>
    <w:rsid w:val="004D697B"/>
    <w:rsid w:val="004E40DB"/>
    <w:rsid w:val="004E4AB5"/>
    <w:rsid w:val="004E57A8"/>
    <w:rsid w:val="004F236C"/>
    <w:rsid w:val="004F2625"/>
    <w:rsid w:val="004F42D0"/>
    <w:rsid w:val="004F7C16"/>
    <w:rsid w:val="005031CC"/>
    <w:rsid w:val="00506444"/>
    <w:rsid w:val="00507ED1"/>
    <w:rsid w:val="00510009"/>
    <w:rsid w:val="005123F1"/>
    <w:rsid w:val="0051320C"/>
    <w:rsid w:val="0051349D"/>
    <w:rsid w:val="00515FA1"/>
    <w:rsid w:val="00520081"/>
    <w:rsid w:val="00525C89"/>
    <w:rsid w:val="005275AD"/>
    <w:rsid w:val="00532163"/>
    <w:rsid w:val="00532326"/>
    <w:rsid w:val="00541154"/>
    <w:rsid w:val="00543B2D"/>
    <w:rsid w:val="00543FEF"/>
    <w:rsid w:val="00553DFA"/>
    <w:rsid w:val="00554979"/>
    <w:rsid w:val="00556F0E"/>
    <w:rsid w:val="005577DE"/>
    <w:rsid w:val="0056149A"/>
    <w:rsid w:val="0056593D"/>
    <w:rsid w:val="00565F31"/>
    <w:rsid w:val="00570E03"/>
    <w:rsid w:val="00572BD9"/>
    <w:rsid w:val="00590246"/>
    <w:rsid w:val="005919E1"/>
    <w:rsid w:val="005923A8"/>
    <w:rsid w:val="0059336D"/>
    <w:rsid w:val="00595938"/>
    <w:rsid w:val="00597464"/>
    <w:rsid w:val="005A02CD"/>
    <w:rsid w:val="005A4464"/>
    <w:rsid w:val="005A7829"/>
    <w:rsid w:val="005B7192"/>
    <w:rsid w:val="005C5859"/>
    <w:rsid w:val="005D6898"/>
    <w:rsid w:val="005E0704"/>
    <w:rsid w:val="005E1BEE"/>
    <w:rsid w:val="005E23C3"/>
    <w:rsid w:val="005E3708"/>
    <w:rsid w:val="005E3D05"/>
    <w:rsid w:val="005E47F4"/>
    <w:rsid w:val="005E5E98"/>
    <w:rsid w:val="005E6A3C"/>
    <w:rsid w:val="005E7DC7"/>
    <w:rsid w:val="005F02B7"/>
    <w:rsid w:val="005F08E0"/>
    <w:rsid w:val="005F3CA5"/>
    <w:rsid w:val="00600EC0"/>
    <w:rsid w:val="00602F16"/>
    <w:rsid w:val="00603E31"/>
    <w:rsid w:val="00605E5D"/>
    <w:rsid w:val="00610D19"/>
    <w:rsid w:val="00611913"/>
    <w:rsid w:val="00612610"/>
    <w:rsid w:val="00617718"/>
    <w:rsid w:val="00624EAC"/>
    <w:rsid w:val="00631243"/>
    <w:rsid w:val="00634987"/>
    <w:rsid w:val="00636D17"/>
    <w:rsid w:val="00640399"/>
    <w:rsid w:val="00641FE2"/>
    <w:rsid w:val="00642A8B"/>
    <w:rsid w:val="006502F2"/>
    <w:rsid w:val="00652F9B"/>
    <w:rsid w:val="006540E9"/>
    <w:rsid w:val="00656E74"/>
    <w:rsid w:val="006677E8"/>
    <w:rsid w:val="00671794"/>
    <w:rsid w:val="00674913"/>
    <w:rsid w:val="006752EB"/>
    <w:rsid w:val="006800FF"/>
    <w:rsid w:val="006827CE"/>
    <w:rsid w:val="00685EDC"/>
    <w:rsid w:val="00692F18"/>
    <w:rsid w:val="006940EB"/>
    <w:rsid w:val="00695EB2"/>
    <w:rsid w:val="0069783E"/>
    <w:rsid w:val="006A33A3"/>
    <w:rsid w:val="006A4C5C"/>
    <w:rsid w:val="006A7C12"/>
    <w:rsid w:val="006B4D9E"/>
    <w:rsid w:val="006B53D4"/>
    <w:rsid w:val="006B78B1"/>
    <w:rsid w:val="006C0ECD"/>
    <w:rsid w:val="006D211F"/>
    <w:rsid w:val="006E190B"/>
    <w:rsid w:val="006E3D2C"/>
    <w:rsid w:val="006F1388"/>
    <w:rsid w:val="006F35D3"/>
    <w:rsid w:val="006F4193"/>
    <w:rsid w:val="006F640B"/>
    <w:rsid w:val="006F699D"/>
    <w:rsid w:val="006F7839"/>
    <w:rsid w:val="0070058E"/>
    <w:rsid w:val="007014B8"/>
    <w:rsid w:val="00701828"/>
    <w:rsid w:val="00707ABA"/>
    <w:rsid w:val="0071182B"/>
    <w:rsid w:val="0071405C"/>
    <w:rsid w:val="00715221"/>
    <w:rsid w:val="00722235"/>
    <w:rsid w:val="007222A3"/>
    <w:rsid w:val="00723A67"/>
    <w:rsid w:val="00726299"/>
    <w:rsid w:val="00726770"/>
    <w:rsid w:val="00726903"/>
    <w:rsid w:val="00726A5D"/>
    <w:rsid w:val="0073189E"/>
    <w:rsid w:val="00731A54"/>
    <w:rsid w:val="00732EEF"/>
    <w:rsid w:val="00734CF7"/>
    <w:rsid w:val="00735D22"/>
    <w:rsid w:val="0073650A"/>
    <w:rsid w:val="0073691D"/>
    <w:rsid w:val="007369E6"/>
    <w:rsid w:val="00747B0A"/>
    <w:rsid w:val="00750084"/>
    <w:rsid w:val="00751CE3"/>
    <w:rsid w:val="00753B28"/>
    <w:rsid w:val="00757A96"/>
    <w:rsid w:val="00763E6E"/>
    <w:rsid w:val="00764F1B"/>
    <w:rsid w:val="0076687E"/>
    <w:rsid w:val="00775B59"/>
    <w:rsid w:val="00776CBD"/>
    <w:rsid w:val="00776D60"/>
    <w:rsid w:val="00782928"/>
    <w:rsid w:val="0078321C"/>
    <w:rsid w:val="007853B1"/>
    <w:rsid w:val="00785EE3"/>
    <w:rsid w:val="0078673D"/>
    <w:rsid w:val="0078701F"/>
    <w:rsid w:val="007871E0"/>
    <w:rsid w:val="0078725F"/>
    <w:rsid w:val="00790A51"/>
    <w:rsid w:val="00794227"/>
    <w:rsid w:val="007946BD"/>
    <w:rsid w:val="00795B19"/>
    <w:rsid w:val="007A0280"/>
    <w:rsid w:val="007A0BBA"/>
    <w:rsid w:val="007A1520"/>
    <w:rsid w:val="007A2570"/>
    <w:rsid w:val="007A39E4"/>
    <w:rsid w:val="007B16CF"/>
    <w:rsid w:val="007B28D0"/>
    <w:rsid w:val="007B66E5"/>
    <w:rsid w:val="007B7193"/>
    <w:rsid w:val="007C14AF"/>
    <w:rsid w:val="007C240B"/>
    <w:rsid w:val="007C2D8C"/>
    <w:rsid w:val="007C4954"/>
    <w:rsid w:val="007C5D8D"/>
    <w:rsid w:val="007C60C1"/>
    <w:rsid w:val="007C6215"/>
    <w:rsid w:val="007D0780"/>
    <w:rsid w:val="007D2474"/>
    <w:rsid w:val="007D6087"/>
    <w:rsid w:val="007D6AE1"/>
    <w:rsid w:val="007D78DD"/>
    <w:rsid w:val="007E4B24"/>
    <w:rsid w:val="007F0001"/>
    <w:rsid w:val="007F0EB6"/>
    <w:rsid w:val="007F2EF8"/>
    <w:rsid w:val="007F351F"/>
    <w:rsid w:val="007F3B92"/>
    <w:rsid w:val="00801678"/>
    <w:rsid w:val="008026E6"/>
    <w:rsid w:val="00802D2F"/>
    <w:rsid w:val="00803E3E"/>
    <w:rsid w:val="00804962"/>
    <w:rsid w:val="00810FBA"/>
    <w:rsid w:val="00811808"/>
    <w:rsid w:val="00813D26"/>
    <w:rsid w:val="00814EE7"/>
    <w:rsid w:val="008154B2"/>
    <w:rsid w:val="00817CAA"/>
    <w:rsid w:val="00822223"/>
    <w:rsid w:val="0083140E"/>
    <w:rsid w:val="0083477B"/>
    <w:rsid w:val="0083785A"/>
    <w:rsid w:val="008423BF"/>
    <w:rsid w:val="00845B66"/>
    <w:rsid w:val="00845BEC"/>
    <w:rsid w:val="0085191A"/>
    <w:rsid w:val="00851E92"/>
    <w:rsid w:val="008525FB"/>
    <w:rsid w:val="00854A1E"/>
    <w:rsid w:val="00857D6F"/>
    <w:rsid w:val="00860CCA"/>
    <w:rsid w:val="0086121E"/>
    <w:rsid w:val="0086150B"/>
    <w:rsid w:val="00861DE6"/>
    <w:rsid w:val="0086312B"/>
    <w:rsid w:val="00863F8D"/>
    <w:rsid w:val="00864B44"/>
    <w:rsid w:val="00865550"/>
    <w:rsid w:val="00874A8C"/>
    <w:rsid w:val="00875CF0"/>
    <w:rsid w:val="0087665D"/>
    <w:rsid w:val="0087690F"/>
    <w:rsid w:val="008776F2"/>
    <w:rsid w:val="008808E2"/>
    <w:rsid w:val="00884417"/>
    <w:rsid w:val="00885516"/>
    <w:rsid w:val="008867F7"/>
    <w:rsid w:val="00890722"/>
    <w:rsid w:val="00891A23"/>
    <w:rsid w:val="00892107"/>
    <w:rsid w:val="008935AA"/>
    <w:rsid w:val="00893AE9"/>
    <w:rsid w:val="00897E73"/>
    <w:rsid w:val="008A1BDC"/>
    <w:rsid w:val="008A2548"/>
    <w:rsid w:val="008A28FB"/>
    <w:rsid w:val="008A6756"/>
    <w:rsid w:val="008A7473"/>
    <w:rsid w:val="008B491B"/>
    <w:rsid w:val="008B708F"/>
    <w:rsid w:val="008C0A7B"/>
    <w:rsid w:val="008C3C54"/>
    <w:rsid w:val="008D1075"/>
    <w:rsid w:val="008D11E2"/>
    <w:rsid w:val="008D142D"/>
    <w:rsid w:val="008D1E33"/>
    <w:rsid w:val="008D4D6A"/>
    <w:rsid w:val="008D6F25"/>
    <w:rsid w:val="008E22C3"/>
    <w:rsid w:val="008E236B"/>
    <w:rsid w:val="008E2888"/>
    <w:rsid w:val="008E34A0"/>
    <w:rsid w:val="008E4633"/>
    <w:rsid w:val="008E6C69"/>
    <w:rsid w:val="008F2051"/>
    <w:rsid w:val="008F2BD0"/>
    <w:rsid w:val="008F42A7"/>
    <w:rsid w:val="0090021E"/>
    <w:rsid w:val="00903478"/>
    <w:rsid w:val="009059D4"/>
    <w:rsid w:val="009079B0"/>
    <w:rsid w:val="0091506D"/>
    <w:rsid w:val="00916193"/>
    <w:rsid w:val="0091688B"/>
    <w:rsid w:val="0091726A"/>
    <w:rsid w:val="00917315"/>
    <w:rsid w:val="00921332"/>
    <w:rsid w:val="0092628B"/>
    <w:rsid w:val="00935C58"/>
    <w:rsid w:val="009366FE"/>
    <w:rsid w:val="0094452B"/>
    <w:rsid w:val="00945035"/>
    <w:rsid w:val="00945F24"/>
    <w:rsid w:val="0094693C"/>
    <w:rsid w:val="00947E41"/>
    <w:rsid w:val="00950C3F"/>
    <w:rsid w:val="0095293A"/>
    <w:rsid w:val="009564CF"/>
    <w:rsid w:val="009571EA"/>
    <w:rsid w:val="00957504"/>
    <w:rsid w:val="00957E36"/>
    <w:rsid w:val="009605B5"/>
    <w:rsid w:val="0096178B"/>
    <w:rsid w:val="00962F97"/>
    <w:rsid w:val="00964FEF"/>
    <w:rsid w:val="009676BC"/>
    <w:rsid w:val="00971C2D"/>
    <w:rsid w:val="0097565F"/>
    <w:rsid w:val="00980684"/>
    <w:rsid w:val="00983480"/>
    <w:rsid w:val="00985454"/>
    <w:rsid w:val="00987B8F"/>
    <w:rsid w:val="0099314C"/>
    <w:rsid w:val="00994D15"/>
    <w:rsid w:val="0099530B"/>
    <w:rsid w:val="009955F6"/>
    <w:rsid w:val="009968B0"/>
    <w:rsid w:val="009A3C21"/>
    <w:rsid w:val="009A3FB5"/>
    <w:rsid w:val="009B126F"/>
    <w:rsid w:val="009B14E7"/>
    <w:rsid w:val="009B2981"/>
    <w:rsid w:val="009B34CD"/>
    <w:rsid w:val="009B459B"/>
    <w:rsid w:val="009B6550"/>
    <w:rsid w:val="009C04AD"/>
    <w:rsid w:val="009C15EA"/>
    <w:rsid w:val="009C69EC"/>
    <w:rsid w:val="009C6B1C"/>
    <w:rsid w:val="009C6BBC"/>
    <w:rsid w:val="009E46EF"/>
    <w:rsid w:val="009E7E12"/>
    <w:rsid w:val="009F1214"/>
    <w:rsid w:val="009F58A5"/>
    <w:rsid w:val="009F664A"/>
    <w:rsid w:val="00A0063F"/>
    <w:rsid w:val="00A015D2"/>
    <w:rsid w:val="00A04D4D"/>
    <w:rsid w:val="00A12716"/>
    <w:rsid w:val="00A13B31"/>
    <w:rsid w:val="00A15283"/>
    <w:rsid w:val="00A16178"/>
    <w:rsid w:val="00A2758C"/>
    <w:rsid w:val="00A311AF"/>
    <w:rsid w:val="00A311F8"/>
    <w:rsid w:val="00A326F7"/>
    <w:rsid w:val="00A359AA"/>
    <w:rsid w:val="00A40120"/>
    <w:rsid w:val="00A51BE0"/>
    <w:rsid w:val="00A51CAE"/>
    <w:rsid w:val="00A52E2C"/>
    <w:rsid w:val="00A54F5F"/>
    <w:rsid w:val="00A60C7A"/>
    <w:rsid w:val="00A64061"/>
    <w:rsid w:val="00A719A5"/>
    <w:rsid w:val="00A7673A"/>
    <w:rsid w:val="00A84B0D"/>
    <w:rsid w:val="00A85E71"/>
    <w:rsid w:val="00A921BF"/>
    <w:rsid w:val="00A9358E"/>
    <w:rsid w:val="00A96ADA"/>
    <w:rsid w:val="00AA0972"/>
    <w:rsid w:val="00AA0DA5"/>
    <w:rsid w:val="00AA12C8"/>
    <w:rsid w:val="00AA1B45"/>
    <w:rsid w:val="00AA1BC1"/>
    <w:rsid w:val="00AA2447"/>
    <w:rsid w:val="00AA3EA4"/>
    <w:rsid w:val="00AA49C4"/>
    <w:rsid w:val="00AA6408"/>
    <w:rsid w:val="00AB34B0"/>
    <w:rsid w:val="00AC6706"/>
    <w:rsid w:val="00AC769B"/>
    <w:rsid w:val="00AD4CE5"/>
    <w:rsid w:val="00AD4E84"/>
    <w:rsid w:val="00AD515D"/>
    <w:rsid w:val="00AD5FBE"/>
    <w:rsid w:val="00AE4043"/>
    <w:rsid w:val="00AF1D77"/>
    <w:rsid w:val="00AF3A8F"/>
    <w:rsid w:val="00AF4CAF"/>
    <w:rsid w:val="00AF5931"/>
    <w:rsid w:val="00AF6572"/>
    <w:rsid w:val="00B006C6"/>
    <w:rsid w:val="00B009C0"/>
    <w:rsid w:val="00B021AE"/>
    <w:rsid w:val="00B025E4"/>
    <w:rsid w:val="00B03020"/>
    <w:rsid w:val="00B04319"/>
    <w:rsid w:val="00B0518C"/>
    <w:rsid w:val="00B06423"/>
    <w:rsid w:val="00B06CE2"/>
    <w:rsid w:val="00B0773F"/>
    <w:rsid w:val="00B1203E"/>
    <w:rsid w:val="00B1378A"/>
    <w:rsid w:val="00B17216"/>
    <w:rsid w:val="00B174D5"/>
    <w:rsid w:val="00B251D2"/>
    <w:rsid w:val="00B25E6E"/>
    <w:rsid w:val="00B26C5D"/>
    <w:rsid w:val="00B330C3"/>
    <w:rsid w:val="00B33EDA"/>
    <w:rsid w:val="00B36E00"/>
    <w:rsid w:val="00B36EC1"/>
    <w:rsid w:val="00B423F1"/>
    <w:rsid w:val="00B43279"/>
    <w:rsid w:val="00B4486E"/>
    <w:rsid w:val="00B46685"/>
    <w:rsid w:val="00B55689"/>
    <w:rsid w:val="00B5721A"/>
    <w:rsid w:val="00B605B2"/>
    <w:rsid w:val="00B63AA8"/>
    <w:rsid w:val="00B63EDB"/>
    <w:rsid w:val="00B64129"/>
    <w:rsid w:val="00B64471"/>
    <w:rsid w:val="00B760EF"/>
    <w:rsid w:val="00B77499"/>
    <w:rsid w:val="00B83B4A"/>
    <w:rsid w:val="00B843D5"/>
    <w:rsid w:val="00B8671F"/>
    <w:rsid w:val="00B909DE"/>
    <w:rsid w:val="00B924EC"/>
    <w:rsid w:val="00B926F4"/>
    <w:rsid w:val="00B92C9A"/>
    <w:rsid w:val="00B956DC"/>
    <w:rsid w:val="00B971E5"/>
    <w:rsid w:val="00B976D6"/>
    <w:rsid w:val="00BA2C31"/>
    <w:rsid w:val="00BA3862"/>
    <w:rsid w:val="00BA3F14"/>
    <w:rsid w:val="00BA47EB"/>
    <w:rsid w:val="00BA4DF4"/>
    <w:rsid w:val="00BA6009"/>
    <w:rsid w:val="00BA7B64"/>
    <w:rsid w:val="00BB74A3"/>
    <w:rsid w:val="00BB7CE4"/>
    <w:rsid w:val="00BC08B1"/>
    <w:rsid w:val="00BC1998"/>
    <w:rsid w:val="00BC1F50"/>
    <w:rsid w:val="00BC6A28"/>
    <w:rsid w:val="00BC7660"/>
    <w:rsid w:val="00BC7BD0"/>
    <w:rsid w:val="00BD2F17"/>
    <w:rsid w:val="00BD3CF5"/>
    <w:rsid w:val="00BD5E98"/>
    <w:rsid w:val="00BD61A0"/>
    <w:rsid w:val="00BD7D39"/>
    <w:rsid w:val="00BE14BF"/>
    <w:rsid w:val="00BE3337"/>
    <w:rsid w:val="00BE3DFF"/>
    <w:rsid w:val="00BE5604"/>
    <w:rsid w:val="00BE5A5D"/>
    <w:rsid w:val="00BE693D"/>
    <w:rsid w:val="00BF0D22"/>
    <w:rsid w:val="00BF6FD2"/>
    <w:rsid w:val="00C01420"/>
    <w:rsid w:val="00C01E25"/>
    <w:rsid w:val="00C02969"/>
    <w:rsid w:val="00C07B0E"/>
    <w:rsid w:val="00C1363E"/>
    <w:rsid w:val="00C13BE4"/>
    <w:rsid w:val="00C13E4F"/>
    <w:rsid w:val="00C14043"/>
    <w:rsid w:val="00C2021F"/>
    <w:rsid w:val="00C214EB"/>
    <w:rsid w:val="00C311EA"/>
    <w:rsid w:val="00C31477"/>
    <w:rsid w:val="00C31B0E"/>
    <w:rsid w:val="00C321BD"/>
    <w:rsid w:val="00C32443"/>
    <w:rsid w:val="00C336B6"/>
    <w:rsid w:val="00C34F4F"/>
    <w:rsid w:val="00C350FE"/>
    <w:rsid w:val="00C370FC"/>
    <w:rsid w:val="00C37D6F"/>
    <w:rsid w:val="00C4162A"/>
    <w:rsid w:val="00C4327E"/>
    <w:rsid w:val="00C51313"/>
    <w:rsid w:val="00C54019"/>
    <w:rsid w:val="00C5413A"/>
    <w:rsid w:val="00C61CEF"/>
    <w:rsid w:val="00C653C7"/>
    <w:rsid w:val="00C65926"/>
    <w:rsid w:val="00C65DC8"/>
    <w:rsid w:val="00C66CE4"/>
    <w:rsid w:val="00C762B9"/>
    <w:rsid w:val="00C7636F"/>
    <w:rsid w:val="00C77908"/>
    <w:rsid w:val="00C8024D"/>
    <w:rsid w:val="00C80414"/>
    <w:rsid w:val="00C80F4B"/>
    <w:rsid w:val="00C8561E"/>
    <w:rsid w:val="00C86B78"/>
    <w:rsid w:val="00C958EF"/>
    <w:rsid w:val="00CA39BA"/>
    <w:rsid w:val="00CA7B56"/>
    <w:rsid w:val="00CB1AA1"/>
    <w:rsid w:val="00CB2E07"/>
    <w:rsid w:val="00CB42B2"/>
    <w:rsid w:val="00CB519A"/>
    <w:rsid w:val="00CB6BD2"/>
    <w:rsid w:val="00CC670F"/>
    <w:rsid w:val="00CD2333"/>
    <w:rsid w:val="00CD47A4"/>
    <w:rsid w:val="00CD6730"/>
    <w:rsid w:val="00CE086A"/>
    <w:rsid w:val="00CE246B"/>
    <w:rsid w:val="00CE2725"/>
    <w:rsid w:val="00CE368D"/>
    <w:rsid w:val="00CE5E4C"/>
    <w:rsid w:val="00CE5F5D"/>
    <w:rsid w:val="00CE6832"/>
    <w:rsid w:val="00CE781A"/>
    <w:rsid w:val="00CF3031"/>
    <w:rsid w:val="00CF43E8"/>
    <w:rsid w:val="00CF5B39"/>
    <w:rsid w:val="00CF6AF6"/>
    <w:rsid w:val="00CF70C0"/>
    <w:rsid w:val="00D00395"/>
    <w:rsid w:val="00D0089D"/>
    <w:rsid w:val="00D01A0E"/>
    <w:rsid w:val="00D03CB1"/>
    <w:rsid w:val="00D04EC9"/>
    <w:rsid w:val="00D1278A"/>
    <w:rsid w:val="00D148B6"/>
    <w:rsid w:val="00D15C32"/>
    <w:rsid w:val="00D16616"/>
    <w:rsid w:val="00D211FE"/>
    <w:rsid w:val="00D3031C"/>
    <w:rsid w:val="00D3038B"/>
    <w:rsid w:val="00D31387"/>
    <w:rsid w:val="00D33253"/>
    <w:rsid w:val="00D33EC9"/>
    <w:rsid w:val="00D34156"/>
    <w:rsid w:val="00D35213"/>
    <w:rsid w:val="00D355D3"/>
    <w:rsid w:val="00D3563B"/>
    <w:rsid w:val="00D35AD4"/>
    <w:rsid w:val="00D41E70"/>
    <w:rsid w:val="00D42DDE"/>
    <w:rsid w:val="00D45A97"/>
    <w:rsid w:val="00D46A24"/>
    <w:rsid w:val="00D50DDD"/>
    <w:rsid w:val="00D512BB"/>
    <w:rsid w:val="00D5266E"/>
    <w:rsid w:val="00D56B8B"/>
    <w:rsid w:val="00D60CEC"/>
    <w:rsid w:val="00D64170"/>
    <w:rsid w:val="00D64673"/>
    <w:rsid w:val="00D65459"/>
    <w:rsid w:val="00D65DEA"/>
    <w:rsid w:val="00D671F8"/>
    <w:rsid w:val="00D672B9"/>
    <w:rsid w:val="00D815D3"/>
    <w:rsid w:val="00D82A58"/>
    <w:rsid w:val="00D853F6"/>
    <w:rsid w:val="00D87B0E"/>
    <w:rsid w:val="00D91D9F"/>
    <w:rsid w:val="00D933DD"/>
    <w:rsid w:val="00D93450"/>
    <w:rsid w:val="00D934BF"/>
    <w:rsid w:val="00D9389B"/>
    <w:rsid w:val="00D93B29"/>
    <w:rsid w:val="00D962C2"/>
    <w:rsid w:val="00D97483"/>
    <w:rsid w:val="00DA13CC"/>
    <w:rsid w:val="00DA2BB1"/>
    <w:rsid w:val="00DA3EF3"/>
    <w:rsid w:val="00DA4D6A"/>
    <w:rsid w:val="00DA5A24"/>
    <w:rsid w:val="00DA6426"/>
    <w:rsid w:val="00DB0750"/>
    <w:rsid w:val="00DB69D5"/>
    <w:rsid w:val="00DB750C"/>
    <w:rsid w:val="00DC11A5"/>
    <w:rsid w:val="00DC3127"/>
    <w:rsid w:val="00DC34AC"/>
    <w:rsid w:val="00DC5594"/>
    <w:rsid w:val="00DC7BE0"/>
    <w:rsid w:val="00DD6805"/>
    <w:rsid w:val="00DD685B"/>
    <w:rsid w:val="00DE1C7A"/>
    <w:rsid w:val="00DE33CF"/>
    <w:rsid w:val="00DE53CD"/>
    <w:rsid w:val="00DE6433"/>
    <w:rsid w:val="00DE6468"/>
    <w:rsid w:val="00DF1D74"/>
    <w:rsid w:val="00DF2016"/>
    <w:rsid w:val="00E00EBB"/>
    <w:rsid w:val="00E01367"/>
    <w:rsid w:val="00E025DE"/>
    <w:rsid w:val="00E044ED"/>
    <w:rsid w:val="00E05136"/>
    <w:rsid w:val="00E06473"/>
    <w:rsid w:val="00E07E31"/>
    <w:rsid w:val="00E10A9E"/>
    <w:rsid w:val="00E10F90"/>
    <w:rsid w:val="00E11419"/>
    <w:rsid w:val="00E11F09"/>
    <w:rsid w:val="00E14C93"/>
    <w:rsid w:val="00E20815"/>
    <w:rsid w:val="00E21283"/>
    <w:rsid w:val="00E22CF3"/>
    <w:rsid w:val="00E2300C"/>
    <w:rsid w:val="00E237AB"/>
    <w:rsid w:val="00E244EF"/>
    <w:rsid w:val="00E25A51"/>
    <w:rsid w:val="00E276B9"/>
    <w:rsid w:val="00E30495"/>
    <w:rsid w:val="00E336F4"/>
    <w:rsid w:val="00E3401A"/>
    <w:rsid w:val="00E35EB7"/>
    <w:rsid w:val="00E56E81"/>
    <w:rsid w:val="00E577CB"/>
    <w:rsid w:val="00E610E2"/>
    <w:rsid w:val="00E62F7F"/>
    <w:rsid w:val="00E65E4B"/>
    <w:rsid w:val="00E65F69"/>
    <w:rsid w:val="00E702E2"/>
    <w:rsid w:val="00E745D3"/>
    <w:rsid w:val="00E753B0"/>
    <w:rsid w:val="00E82766"/>
    <w:rsid w:val="00E97D3F"/>
    <w:rsid w:val="00EB04F6"/>
    <w:rsid w:val="00EB0F6F"/>
    <w:rsid w:val="00EB29D3"/>
    <w:rsid w:val="00EB5014"/>
    <w:rsid w:val="00EB506A"/>
    <w:rsid w:val="00EB71C3"/>
    <w:rsid w:val="00EC03C8"/>
    <w:rsid w:val="00EC0722"/>
    <w:rsid w:val="00EC0CA6"/>
    <w:rsid w:val="00EC12C5"/>
    <w:rsid w:val="00EC2E8B"/>
    <w:rsid w:val="00EC4B5E"/>
    <w:rsid w:val="00EC57D1"/>
    <w:rsid w:val="00ED2419"/>
    <w:rsid w:val="00ED2688"/>
    <w:rsid w:val="00ED3A46"/>
    <w:rsid w:val="00ED7D3E"/>
    <w:rsid w:val="00EF0052"/>
    <w:rsid w:val="00EF28CB"/>
    <w:rsid w:val="00EF31E7"/>
    <w:rsid w:val="00EF4646"/>
    <w:rsid w:val="00EF5EB4"/>
    <w:rsid w:val="00F01A07"/>
    <w:rsid w:val="00F0326A"/>
    <w:rsid w:val="00F04B2E"/>
    <w:rsid w:val="00F06569"/>
    <w:rsid w:val="00F0676C"/>
    <w:rsid w:val="00F100BD"/>
    <w:rsid w:val="00F14537"/>
    <w:rsid w:val="00F16B5D"/>
    <w:rsid w:val="00F1746F"/>
    <w:rsid w:val="00F20C5A"/>
    <w:rsid w:val="00F2382F"/>
    <w:rsid w:val="00F2595B"/>
    <w:rsid w:val="00F30B51"/>
    <w:rsid w:val="00F31BB5"/>
    <w:rsid w:val="00F42D55"/>
    <w:rsid w:val="00F47B92"/>
    <w:rsid w:val="00F50759"/>
    <w:rsid w:val="00F51552"/>
    <w:rsid w:val="00F51DA2"/>
    <w:rsid w:val="00F53F21"/>
    <w:rsid w:val="00F57567"/>
    <w:rsid w:val="00F57D76"/>
    <w:rsid w:val="00F62F58"/>
    <w:rsid w:val="00F63E55"/>
    <w:rsid w:val="00F6413C"/>
    <w:rsid w:val="00F70523"/>
    <w:rsid w:val="00F762BB"/>
    <w:rsid w:val="00F81A9C"/>
    <w:rsid w:val="00F8299B"/>
    <w:rsid w:val="00F844E9"/>
    <w:rsid w:val="00F977B4"/>
    <w:rsid w:val="00FA1ABB"/>
    <w:rsid w:val="00FA4B9C"/>
    <w:rsid w:val="00FA66AC"/>
    <w:rsid w:val="00FB02FC"/>
    <w:rsid w:val="00FB178E"/>
    <w:rsid w:val="00FB363F"/>
    <w:rsid w:val="00FB3C1F"/>
    <w:rsid w:val="00FB59E7"/>
    <w:rsid w:val="00FB6F94"/>
    <w:rsid w:val="00FC003B"/>
    <w:rsid w:val="00FC1F76"/>
    <w:rsid w:val="00FC4CB8"/>
    <w:rsid w:val="00FC6902"/>
    <w:rsid w:val="00FD1C0E"/>
    <w:rsid w:val="00FD4023"/>
    <w:rsid w:val="00FD5B77"/>
    <w:rsid w:val="00FD60D1"/>
    <w:rsid w:val="00FD7C76"/>
    <w:rsid w:val="00FE196F"/>
    <w:rsid w:val="00FE1D33"/>
    <w:rsid w:val="00FE30CA"/>
    <w:rsid w:val="00FE636F"/>
    <w:rsid w:val="00FE74D0"/>
    <w:rsid w:val="00FE7C0C"/>
    <w:rsid w:val="00FF18E5"/>
    <w:rsid w:val="00FF20E8"/>
    <w:rsid w:val="00FF2526"/>
    <w:rsid w:val="00FF4CD2"/>
    <w:rsid w:val="01520022"/>
    <w:rsid w:val="0186240D"/>
    <w:rsid w:val="02C5045E"/>
    <w:rsid w:val="03996B1C"/>
    <w:rsid w:val="04FC263C"/>
    <w:rsid w:val="05B22CC4"/>
    <w:rsid w:val="05D71422"/>
    <w:rsid w:val="06402FC4"/>
    <w:rsid w:val="06690105"/>
    <w:rsid w:val="07027D7B"/>
    <w:rsid w:val="073C5710"/>
    <w:rsid w:val="08067CB7"/>
    <w:rsid w:val="08F46136"/>
    <w:rsid w:val="08F64852"/>
    <w:rsid w:val="0944042D"/>
    <w:rsid w:val="09A65F67"/>
    <w:rsid w:val="0A8E4561"/>
    <w:rsid w:val="0B021001"/>
    <w:rsid w:val="0D0E5602"/>
    <w:rsid w:val="0D9D19CE"/>
    <w:rsid w:val="0DBE56D0"/>
    <w:rsid w:val="0E751E70"/>
    <w:rsid w:val="0F4914E2"/>
    <w:rsid w:val="111D51F7"/>
    <w:rsid w:val="12166274"/>
    <w:rsid w:val="13E02727"/>
    <w:rsid w:val="13EA50DA"/>
    <w:rsid w:val="14066CD8"/>
    <w:rsid w:val="14F121A2"/>
    <w:rsid w:val="15614F9C"/>
    <w:rsid w:val="15780644"/>
    <w:rsid w:val="16C76045"/>
    <w:rsid w:val="17C14970"/>
    <w:rsid w:val="189E0199"/>
    <w:rsid w:val="191C0649"/>
    <w:rsid w:val="1A082499"/>
    <w:rsid w:val="1BDC209D"/>
    <w:rsid w:val="1BFA781C"/>
    <w:rsid w:val="1C4162B2"/>
    <w:rsid w:val="1D222DD5"/>
    <w:rsid w:val="1D34607E"/>
    <w:rsid w:val="1D6A4FA4"/>
    <w:rsid w:val="1E223440"/>
    <w:rsid w:val="1E385D53"/>
    <w:rsid w:val="1F6B1615"/>
    <w:rsid w:val="1FA108FF"/>
    <w:rsid w:val="215A33B7"/>
    <w:rsid w:val="219A04FA"/>
    <w:rsid w:val="22776A61"/>
    <w:rsid w:val="230C184D"/>
    <w:rsid w:val="23843752"/>
    <w:rsid w:val="24EE1B26"/>
    <w:rsid w:val="25126353"/>
    <w:rsid w:val="2581534B"/>
    <w:rsid w:val="25F63F83"/>
    <w:rsid w:val="267B25B1"/>
    <w:rsid w:val="268C4A4A"/>
    <w:rsid w:val="283C562C"/>
    <w:rsid w:val="28CE49A4"/>
    <w:rsid w:val="292C05B7"/>
    <w:rsid w:val="2B4A6612"/>
    <w:rsid w:val="2BEA5CC9"/>
    <w:rsid w:val="2C0C7982"/>
    <w:rsid w:val="2DEB474C"/>
    <w:rsid w:val="2E6905C2"/>
    <w:rsid w:val="2E6C2F97"/>
    <w:rsid w:val="2ED606E4"/>
    <w:rsid w:val="2F9130A0"/>
    <w:rsid w:val="30CD1CAF"/>
    <w:rsid w:val="321D5004"/>
    <w:rsid w:val="32423D7F"/>
    <w:rsid w:val="32424309"/>
    <w:rsid w:val="33CA05FF"/>
    <w:rsid w:val="34DA2F1B"/>
    <w:rsid w:val="359B6005"/>
    <w:rsid w:val="37217BFC"/>
    <w:rsid w:val="373D6078"/>
    <w:rsid w:val="38D62332"/>
    <w:rsid w:val="38F7193E"/>
    <w:rsid w:val="39630450"/>
    <w:rsid w:val="39D92CA5"/>
    <w:rsid w:val="3A4321FC"/>
    <w:rsid w:val="3BA578CC"/>
    <w:rsid w:val="3C8112AB"/>
    <w:rsid w:val="3CD87E5F"/>
    <w:rsid w:val="3DC846F9"/>
    <w:rsid w:val="3DFF581B"/>
    <w:rsid w:val="3E1E1071"/>
    <w:rsid w:val="3E2D113F"/>
    <w:rsid w:val="3EB93EF6"/>
    <w:rsid w:val="3EBF1DD8"/>
    <w:rsid w:val="3F6339E8"/>
    <w:rsid w:val="3F694589"/>
    <w:rsid w:val="3FF2259C"/>
    <w:rsid w:val="42944E95"/>
    <w:rsid w:val="445043F4"/>
    <w:rsid w:val="448E371D"/>
    <w:rsid w:val="469A2C93"/>
    <w:rsid w:val="47B50564"/>
    <w:rsid w:val="48BE4983"/>
    <w:rsid w:val="48C74968"/>
    <w:rsid w:val="48F82E38"/>
    <w:rsid w:val="494B4AD5"/>
    <w:rsid w:val="4A16085B"/>
    <w:rsid w:val="4C822788"/>
    <w:rsid w:val="4E443439"/>
    <w:rsid w:val="4F7A6843"/>
    <w:rsid w:val="5013777C"/>
    <w:rsid w:val="513B7ACC"/>
    <w:rsid w:val="5215053D"/>
    <w:rsid w:val="53F371F8"/>
    <w:rsid w:val="55A63B7C"/>
    <w:rsid w:val="58A54999"/>
    <w:rsid w:val="59CF4D9E"/>
    <w:rsid w:val="5A36413C"/>
    <w:rsid w:val="5AB24C2C"/>
    <w:rsid w:val="5B2D30D3"/>
    <w:rsid w:val="5B774B75"/>
    <w:rsid w:val="5BB302D6"/>
    <w:rsid w:val="5BD678C9"/>
    <w:rsid w:val="5C743A6C"/>
    <w:rsid w:val="5D670975"/>
    <w:rsid w:val="5DDF0D43"/>
    <w:rsid w:val="5EB11CBA"/>
    <w:rsid w:val="5EE968A7"/>
    <w:rsid w:val="5FE21E4C"/>
    <w:rsid w:val="63357580"/>
    <w:rsid w:val="64043764"/>
    <w:rsid w:val="641B68C9"/>
    <w:rsid w:val="64F1787F"/>
    <w:rsid w:val="67AC52F2"/>
    <w:rsid w:val="68503DB3"/>
    <w:rsid w:val="696D2620"/>
    <w:rsid w:val="69AD6566"/>
    <w:rsid w:val="69D3530C"/>
    <w:rsid w:val="6A197ACE"/>
    <w:rsid w:val="6A2165B0"/>
    <w:rsid w:val="6A572E84"/>
    <w:rsid w:val="6B6E26DC"/>
    <w:rsid w:val="6C824E8D"/>
    <w:rsid w:val="6C9D4811"/>
    <w:rsid w:val="6CF97BC9"/>
    <w:rsid w:val="6D350843"/>
    <w:rsid w:val="6D9677E2"/>
    <w:rsid w:val="6DC53F7D"/>
    <w:rsid w:val="6E3F2B3B"/>
    <w:rsid w:val="6EDA10F7"/>
    <w:rsid w:val="6F182500"/>
    <w:rsid w:val="6F87013E"/>
    <w:rsid w:val="70210600"/>
    <w:rsid w:val="70FA03D4"/>
    <w:rsid w:val="721B3E84"/>
    <w:rsid w:val="72745046"/>
    <w:rsid w:val="73351CC9"/>
    <w:rsid w:val="74A83830"/>
    <w:rsid w:val="75704EDD"/>
    <w:rsid w:val="75741A75"/>
    <w:rsid w:val="75DA21F8"/>
    <w:rsid w:val="76120C2C"/>
    <w:rsid w:val="763B79A7"/>
    <w:rsid w:val="76486FD4"/>
    <w:rsid w:val="769C2279"/>
    <w:rsid w:val="76DF13E9"/>
    <w:rsid w:val="77F75873"/>
    <w:rsid w:val="78CC3D61"/>
    <w:rsid w:val="78D93F4E"/>
    <w:rsid w:val="791A26BE"/>
    <w:rsid w:val="793F465E"/>
    <w:rsid w:val="79750201"/>
    <w:rsid w:val="7A8D2E7E"/>
    <w:rsid w:val="7B1A2F5E"/>
    <w:rsid w:val="7B6B1024"/>
    <w:rsid w:val="7BAF4F55"/>
    <w:rsid w:val="7BDF44E9"/>
    <w:rsid w:val="7CC5329A"/>
    <w:rsid w:val="7E033635"/>
    <w:rsid w:val="7E4860B8"/>
    <w:rsid w:val="7F526DA5"/>
    <w:rsid w:val="7FE20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6"/>
    <w:unhideWhenUsed/>
    <w:qFormat/>
    <w:uiPriority w:val="99"/>
    <w:pPr>
      <w:jc w:val="left"/>
    </w:pPr>
  </w:style>
  <w:style w:type="paragraph" w:styleId="6">
    <w:name w:val="toc 3"/>
    <w:basedOn w:val="1"/>
    <w:next w:val="1"/>
    <w:unhideWhenUsed/>
    <w:qFormat/>
    <w:uiPriority w:val="39"/>
    <w:pPr>
      <w:widowControl/>
      <w:spacing w:after="100" w:line="276" w:lineRule="auto"/>
      <w:ind w:left="440"/>
      <w:jc w:val="left"/>
    </w:pPr>
    <w:rPr>
      <w:kern w:val="0"/>
      <w:sz w:val="22"/>
    </w:rPr>
  </w:style>
  <w:style w:type="paragraph" w:styleId="7">
    <w:name w:val="Balloon Text"/>
    <w:basedOn w:val="1"/>
    <w:link w:val="24"/>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tabs>
        <w:tab w:val="right" w:leader="dot" w:pos="8296"/>
      </w:tabs>
      <w:spacing w:after="100" w:line="276" w:lineRule="auto"/>
      <w:jc w:val="left"/>
    </w:pPr>
    <w:rPr>
      <w:rFonts w:ascii="Times New Roman" w:hAnsi="Times New Roman" w:eastAsia="宋体" w:cs="Times New Roman"/>
      <w:kern w:val="0"/>
      <w:sz w:val="22"/>
      <w:lang w:val="zh-CN"/>
    </w:rPr>
  </w:style>
  <w:style w:type="paragraph" w:styleId="11">
    <w:name w:val="toc 2"/>
    <w:basedOn w:val="1"/>
    <w:next w:val="1"/>
    <w:unhideWhenUsed/>
    <w:qFormat/>
    <w:uiPriority w:val="39"/>
    <w:pPr>
      <w:widowControl/>
      <w:spacing w:after="100" w:line="276" w:lineRule="auto"/>
      <w:ind w:left="220"/>
      <w:jc w:val="left"/>
    </w:pPr>
    <w:rPr>
      <w:kern w:val="0"/>
      <w:sz w:val="22"/>
    </w:rPr>
  </w:style>
  <w:style w:type="paragraph" w:styleId="12">
    <w:name w:val="Normal (Web)"/>
    <w:basedOn w:val="1"/>
    <w:semiHidden/>
    <w:unhideWhenUsed/>
    <w:qFormat/>
    <w:uiPriority w:val="99"/>
    <w:pPr>
      <w:spacing w:beforeAutospacing="1" w:afterAutospacing="1"/>
      <w:jc w:val="left"/>
    </w:pPr>
    <w:rPr>
      <w:rFonts w:cs="Times New Roman"/>
      <w:kern w:val="0"/>
      <w:sz w:val="24"/>
    </w:rPr>
  </w:style>
  <w:style w:type="paragraph" w:styleId="13">
    <w:name w:val="annotation subject"/>
    <w:basedOn w:val="5"/>
    <w:next w:val="5"/>
    <w:link w:val="27"/>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themeColor="hyperlink"/>
      <w:u w:val="single"/>
      <w14:textFill>
        <w14:solidFill>
          <w14:schemeClr w14:val="hlink"/>
        </w14:solidFill>
      </w14:textFill>
    </w:rPr>
  </w:style>
  <w:style w:type="character" w:styleId="18">
    <w:name w:val="annotation reference"/>
    <w:basedOn w:val="16"/>
    <w:unhideWhenUsed/>
    <w:qFormat/>
    <w:uiPriority w:val="0"/>
    <w:rPr>
      <w:sz w:val="21"/>
      <w:szCs w:val="21"/>
    </w:rPr>
  </w:style>
  <w:style w:type="character" w:customStyle="1" w:styleId="19">
    <w:name w:val="标题 1 字符"/>
    <w:basedOn w:val="16"/>
    <w:link w:val="2"/>
    <w:qFormat/>
    <w:uiPriority w:val="0"/>
    <w:rPr>
      <w:b/>
      <w:bCs/>
      <w:kern w:val="44"/>
      <w:sz w:val="44"/>
      <w:szCs w:val="44"/>
    </w:rPr>
  </w:style>
  <w:style w:type="character" w:customStyle="1" w:styleId="20">
    <w:name w:val="标题 2 字符"/>
    <w:basedOn w:val="16"/>
    <w:link w:val="3"/>
    <w:qFormat/>
    <w:uiPriority w:val="9"/>
    <w:rPr>
      <w:rFonts w:asciiTheme="majorHAnsi" w:hAnsiTheme="majorHAnsi" w:eastAsiaTheme="majorEastAsia" w:cstheme="majorBidi"/>
      <w:b/>
      <w:bCs/>
      <w:sz w:val="32"/>
      <w:szCs w:val="32"/>
    </w:rPr>
  </w:style>
  <w:style w:type="character" w:customStyle="1" w:styleId="21">
    <w:name w:val="标题 3 字符"/>
    <w:basedOn w:val="16"/>
    <w:link w:val="4"/>
    <w:qFormat/>
    <w:uiPriority w:val="9"/>
    <w:rPr>
      <w:b/>
      <w:bCs/>
      <w:sz w:val="32"/>
      <w:szCs w:val="32"/>
    </w:rPr>
  </w:style>
  <w:style w:type="character" w:customStyle="1" w:styleId="22">
    <w:name w:val="页眉 字符"/>
    <w:basedOn w:val="16"/>
    <w:link w:val="9"/>
    <w:qFormat/>
    <w:uiPriority w:val="99"/>
    <w:rPr>
      <w:sz w:val="18"/>
      <w:szCs w:val="18"/>
    </w:rPr>
  </w:style>
  <w:style w:type="character" w:customStyle="1" w:styleId="23">
    <w:name w:val="页脚 字符"/>
    <w:basedOn w:val="16"/>
    <w:link w:val="8"/>
    <w:qFormat/>
    <w:uiPriority w:val="99"/>
    <w:rPr>
      <w:sz w:val="18"/>
      <w:szCs w:val="18"/>
    </w:rPr>
  </w:style>
  <w:style w:type="character" w:customStyle="1" w:styleId="24">
    <w:name w:val="批注框文本 字符"/>
    <w:basedOn w:val="16"/>
    <w:link w:val="7"/>
    <w:semiHidden/>
    <w:qFormat/>
    <w:uiPriority w:val="99"/>
    <w:rPr>
      <w:sz w:val="18"/>
      <w:szCs w:val="18"/>
    </w:rPr>
  </w:style>
  <w:style w:type="paragraph" w:customStyle="1" w:styleId="2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6">
    <w:name w:val="批注文字 字符"/>
    <w:basedOn w:val="16"/>
    <w:link w:val="5"/>
    <w:qFormat/>
    <w:uiPriority w:val="99"/>
  </w:style>
  <w:style w:type="character" w:customStyle="1" w:styleId="27">
    <w:name w:val="批注主题 字符"/>
    <w:basedOn w:val="26"/>
    <w:link w:val="13"/>
    <w:semiHidden/>
    <w:qFormat/>
    <w:uiPriority w:val="99"/>
    <w:rPr>
      <w:b/>
      <w:bCs/>
    </w:rPr>
  </w:style>
  <w:style w:type="paragraph" w:customStyle="1" w:styleId="28">
    <w:name w:val="列出段落1"/>
    <w:basedOn w:val="1"/>
    <w:qFormat/>
    <w:uiPriority w:val="34"/>
    <w:pPr>
      <w:ind w:firstLine="420" w:firstLineChars="200"/>
    </w:pPr>
  </w:style>
  <w:style w:type="paragraph" w:customStyle="1" w:styleId="29">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0">
    <w:name w:val="修订1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1">
    <w:name w:val="TOC 标题1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32">
    <w:name w:val="List Paragraph"/>
    <w:basedOn w:val="1"/>
    <w:qFormat/>
    <w:uiPriority w:val="34"/>
    <w:pPr>
      <w:ind w:firstLine="420" w:firstLineChars="200"/>
    </w:pPr>
  </w:style>
  <w:style w:type="paragraph" w:customStyle="1" w:styleId="3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4">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5">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6">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8">
    <w:name w:val="修订7"/>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4CED1-07A4-48B2-B233-219D1B7EE67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13088</Words>
  <Characters>74606</Characters>
  <Lines>621</Lines>
  <Paragraphs>175</Paragraphs>
  <TotalTime>203</TotalTime>
  <ScaleCrop>false</ScaleCrop>
  <LinksUpToDate>false</LinksUpToDate>
  <CharactersWithSpaces>87519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2022-07-14T06:29:00Z</dcterms:created>
  <dc:creator>汤玲</dc:creator>
  <cp:lastModifiedBy>zhaiq</cp:lastModifiedBy>
  <cp:lastPrinted>2022-01-17T06:43:00Z</cp:lastPrinted>
  <dcterms:modified xsi:type="dcterms:W3CDTF">2026-10-13T02:23:34Z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F8E023B392944AAB81A4633F3FAB8ACF_13</vt:lpwstr>
  </property>
</Properties>
</file>