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DDA039">
      <w:pPr>
        <w:spacing w:line="360" w:lineRule="auto"/>
        <w:jc w:val="center"/>
        <w:rPr>
          <w:rFonts w:hint="eastAsia" w:ascii="宋体" w:hAnsi="宋体" w:cs="宋体"/>
          <w:b/>
          <w:szCs w:val="21"/>
        </w:rPr>
      </w:pPr>
      <w:bookmarkStart w:id="0" w:name="_Toc361324840"/>
    </w:p>
    <w:p w14:paraId="3D18592A">
      <w:pPr>
        <w:spacing w:line="360" w:lineRule="auto"/>
        <w:jc w:val="center"/>
        <w:rPr>
          <w:rFonts w:hint="eastAsia" w:ascii="宋体" w:hAnsi="宋体" w:cs="宋体"/>
          <w:b/>
          <w:szCs w:val="21"/>
        </w:rPr>
      </w:pPr>
    </w:p>
    <w:bookmarkEnd w:id="0"/>
    <w:p w14:paraId="217A6B07">
      <w:pPr>
        <w:spacing w:line="360" w:lineRule="auto"/>
        <w:jc w:val="center"/>
        <w:rPr>
          <w:rFonts w:hint="eastAsia" w:ascii="宋体" w:hAnsi="宋体" w:cs="宋体"/>
          <w:b/>
          <w:sz w:val="52"/>
          <w:szCs w:val="52"/>
        </w:rPr>
      </w:pPr>
      <w:r>
        <w:rPr>
          <w:rFonts w:hint="eastAsia" w:ascii="宋体" w:hAnsi="宋体" w:cs="宋体"/>
          <w:b/>
          <w:sz w:val="52"/>
          <w:szCs w:val="52"/>
        </w:rPr>
        <w:t>博时裕盛纯债债券型证券投资基金</w:t>
      </w:r>
    </w:p>
    <w:p w14:paraId="65EE2CCD">
      <w:pPr>
        <w:spacing w:line="360" w:lineRule="auto"/>
        <w:jc w:val="center"/>
        <w:rPr>
          <w:rFonts w:hint="eastAsia" w:ascii="宋体" w:hAnsi="宋体" w:cs="宋体"/>
          <w:b/>
          <w:sz w:val="52"/>
          <w:szCs w:val="52"/>
        </w:rPr>
      </w:pPr>
      <w:r>
        <w:rPr>
          <w:rFonts w:ascii="宋体" w:hAnsi="宋体" w:cs="宋体"/>
          <w:b/>
          <w:sz w:val="52"/>
        </w:rPr>
        <w:t>清算报告</w:t>
      </w:r>
    </w:p>
    <w:p w14:paraId="20D3A03E">
      <w:pPr>
        <w:rPr>
          <w:rFonts w:hint="eastAsia" w:ascii="宋体" w:hAnsi="宋体" w:cs="宋体"/>
          <w:szCs w:val="21"/>
        </w:rPr>
      </w:pPr>
    </w:p>
    <w:p w14:paraId="77E1FA4E">
      <w:pPr>
        <w:rPr>
          <w:rFonts w:hint="eastAsia" w:ascii="宋体" w:hAnsi="宋体" w:cs="宋体"/>
          <w:szCs w:val="21"/>
        </w:rPr>
      </w:pPr>
    </w:p>
    <w:p w14:paraId="4EFCF399">
      <w:pPr>
        <w:rPr>
          <w:rFonts w:hint="eastAsia" w:ascii="宋体" w:hAnsi="宋体" w:cs="宋体"/>
          <w:szCs w:val="21"/>
        </w:rPr>
      </w:pPr>
    </w:p>
    <w:p w14:paraId="259691DF">
      <w:pPr>
        <w:rPr>
          <w:rFonts w:hint="eastAsia" w:ascii="宋体" w:hAnsi="宋体" w:cs="宋体"/>
          <w:szCs w:val="21"/>
        </w:rPr>
      </w:pPr>
    </w:p>
    <w:p w14:paraId="10E6D74A">
      <w:pPr>
        <w:rPr>
          <w:rFonts w:hint="eastAsia" w:ascii="宋体" w:hAnsi="宋体" w:cs="宋体"/>
          <w:szCs w:val="21"/>
        </w:rPr>
      </w:pPr>
    </w:p>
    <w:p w14:paraId="6DCE1A5A">
      <w:pPr>
        <w:rPr>
          <w:rFonts w:hint="eastAsia" w:ascii="宋体" w:hAnsi="宋体" w:cs="宋体"/>
          <w:szCs w:val="21"/>
        </w:rPr>
      </w:pPr>
    </w:p>
    <w:p w14:paraId="434BA900">
      <w:pPr>
        <w:rPr>
          <w:rFonts w:hint="eastAsia" w:ascii="宋体" w:hAnsi="宋体" w:cs="宋体"/>
          <w:szCs w:val="21"/>
        </w:rPr>
      </w:pPr>
    </w:p>
    <w:p w14:paraId="3D82359D">
      <w:pPr>
        <w:rPr>
          <w:rFonts w:hint="eastAsia" w:ascii="宋体" w:hAnsi="宋体" w:cs="宋体"/>
          <w:szCs w:val="21"/>
        </w:rPr>
      </w:pPr>
    </w:p>
    <w:p w14:paraId="756E968D">
      <w:pPr>
        <w:rPr>
          <w:rFonts w:hint="eastAsia" w:ascii="宋体" w:hAnsi="宋体" w:cs="宋体"/>
          <w:szCs w:val="21"/>
        </w:rPr>
      </w:pPr>
    </w:p>
    <w:p w14:paraId="30DC9278">
      <w:pPr>
        <w:rPr>
          <w:rFonts w:hint="eastAsia" w:ascii="宋体" w:hAnsi="宋体" w:cs="宋体"/>
          <w:szCs w:val="21"/>
        </w:rPr>
      </w:pPr>
    </w:p>
    <w:p w14:paraId="2B0F24B4">
      <w:pPr>
        <w:rPr>
          <w:rFonts w:hint="eastAsia" w:ascii="宋体" w:hAnsi="宋体" w:cs="宋体"/>
          <w:szCs w:val="21"/>
        </w:rPr>
      </w:pPr>
    </w:p>
    <w:p w14:paraId="2F81D790">
      <w:pPr>
        <w:spacing w:line="360" w:lineRule="auto"/>
        <w:jc w:val="center"/>
        <w:rPr>
          <w:rFonts w:hint="eastAsia" w:ascii="宋体" w:hAnsi="宋体" w:cs="宋体"/>
          <w:b/>
          <w:sz w:val="36"/>
          <w:szCs w:val="36"/>
        </w:rPr>
      </w:pPr>
      <w:r>
        <w:rPr>
          <w:rFonts w:hint="eastAsia" w:ascii="宋体" w:hAnsi="宋体" w:cs="宋体"/>
          <w:b/>
          <w:sz w:val="36"/>
          <w:szCs w:val="36"/>
        </w:rPr>
        <w:t>基金管理人：博时基金管理有限公司</w:t>
      </w:r>
    </w:p>
    <w:p w14:paraId="6CC18498">
      <w:pPr>
        <w:spacing w:line="360" w:lineRule="auto"/>
        <w:jc w:val="center"/>
        <w:rPr>
          <w:rFonts w:hint="eastAsia" w:ascii="宋体" w:hAnsi="宋体" w:cs="宋体"/>
          <w:b/>
          <w:sz w:val="36"/>
          <w:szCs w:val="36"/>
        </w:rPr>
      </w:pPr>
      <w:r>
        <w:rPr>
          <w:rFonts w:hint="eastAsia" w:ascii="宋体" w:hAnsi="宋体" w:cs="宋体"/>
          <w:b/>
          <w:sz w:val="36"/>
          <w:szCs w:val="36"/>
        </w:rPr>
        <w:t>基金托管人：南京银行股份有限公司</w:t>
      </w:r>
    </w:p>
    <w:p w14:paraId="0E392BB2">
      <w:pPr>
        <w:spacing w:line="360" w:lineRule="auto"/>
        <w:jc w:val="center"/>
        <w:rPr>
          <w:rFonts w:hint="eastAsia" w:ascii="宋体" w:hAnsi="宋体" w:cs="宋体"/>
          <w:b/>
          <w:sz w:val="36"/>
          <w:szCs w:val="36"/>
        </w:rPr>
      </w:pPr>
      <w:r>
        <w:rPr>
          <w:rFonts w:hint="eastAsia" w:ascii="宋体" w:hAnsi="宋体" w:cs="宋体"/>
          <w:b/>
          <w:sz w:val="36"/>
          <w:szCs w:val="36"/>
        </w:rPr>
        <w:t>报告出具日期：二〇二六年四月十三日</w:t>
      </w:r>
    </w:p>
    <w:p w14:paraId="26FE67F1">
      <w:pPr>
        <w:spacing w:line="360" w:lineRule="auto"/>
        <w:jc w:val="center"/>
        <w:rPr>
          <w:rFonts w:hint="eastAsia" w:ascii="宋体" w:hAnsi="宋体" w:cs="宋体"/>
          <w:b/>
          <w:sz w:val="36"/>
          <w:szCs w:val="36"/>
        </w:rPr>
      </w:pPr>
      <w:r>
        <w:rPr>
          <w:rFonts w:hint="eastAsia" w:ascii="宋体" w:hAnsi="宋体" w:cs="宋体"/>
          <w:b/>
          <w:sz w:val="36"/>
          <w:szCs w:val="36"/>
        </w:rPr>
        <w:t>报告公告日期：二〇二六年</w:t>
      </w:r>
      <w:r>
        <w:rPr>
          <w:rFonts w:hint="eastAsia" w:ascii="宋体" w:hAnsi="宋体" w:cs="宋体"/>
          <w:b/>
          <w:sz w:val="36"/>
          <w:szCs w:val="36"/>
          <w:lang w:val="en-US" w:eastAsia="zh-CN"/>
        </w:rPr>
        <w:t>四</w:t>
      </w:r>
      <w:r>
        <w:rPr>
          <w:rFonts w:hint="eastAsia" w:ascii="宋体" w:hAnsi="宋体" w:cs="宋体"/>
          <w:b/>
          <w:sz w:val="36"/>
          <w:szCs w:val="36"/>
        </w:rPr>
        <w:t>月</w:t>
      </w:r>
      <w:r>
        <w:rPr>
          <w:rFonts w:hint="eastAsia" w:ascii="宋体" w:hAnsi="宋体" w:cs="宋体"/>
          <w:b/>
          <w:sz w:val="36"/>
          <w:szCs w:val="36"/>
          <w:lang w:val="en-US" w:eastAsia="zh-CN"/>
        </w:rPr>
        <w:t>三十</w:t>
      </w:r>
      <w:r>
        <w:rPr>
          <w:rFonts w:hint="eastAsia" w:ascii="宋体" w:hAnsi="宋体" w:cs="宋体"/>
          <w:b/>
          <w:sz w:val="36"/>
          <w:szCs w:val="36"/>
        </w:rPr>
        <w:t>日</w:t>
      </w:r>
    </w:p>
    <w:p w14:paraId="199EDFCE">
      <w:pPr>
        <w:spacing w:line="360" w:lineRule="auto"/>
        <w:jc w:val="center"/>
        <w:rPr>
          <w:rFonts w:hint="eastAsia" w:ascii="宋体" w:hAnsi="宋体" w:cs="宋体"/>
          <w:b/>
          <w:sz w:val="36"/>
          <w:szCs w:val="36"/>
        </w:rPr>
      </w:pPr>
    </w:p>
    <w:p w14:paraId="5BFB4F30">
      <w:pPr>
        <w:spacing w:line="360" w:lineRule="auto"/>
        <w:ind w:firstLine="1265" w:firstLineChars="350"/>
        <w:rPr>
          <w:rFonts w:hint="eastAsia" w:ascii="宋体" w:hAnsi="宋体" w:cs="宋体"/>
          <w:b/>
          <w:sz w:val="36"/>
          <w:szCs w:val="36"/>
        </w:rPr>
        <w:sectPr>
          <w:footerReference r:id="rId5" w:type="first"/>
          <w:headerReference r:id="rId3" w:type="default"/>
          <w:footerReference r:id="rId4" w:type="default"/>
          <w:pgSz w:w="11926" w:h="15840"/>
          <w:pgMar w:top="1418" w:right="1418" w:bottom="851" w:left="1418" w:header="851" w:footer="992" w:gutter="0"/>
          <w:pgNumType w:start="1"/>
          <w:cols w:space="720" w:num="1"/>
          <w:titlePg/>
          <w:docGrid w:linePitch="286" w:charSpace="0"/>
        </w:sectPr>
      </w:pPr>
    </w:p>
    <w:p w14:paraId="60AC18C7">
      <w:pPr>
        <w:pStyle w:val="33"/>
        <w:jc w:val="center"/>
        <w:rPr>
          <w:rFonts w:hint="eastAsia" w:ascii="宋体" w:hAnsi="宋体" w:cs="宋体"/>
          <w:color w:val="auto"/>
        </w:rPr>
      </w:pPr>
      <w:bookmarkStart w:id="1" w:name="_Toc484769794"/>
      <w:r>
        <w:rPr>
          <w:rFonts w:hint="eastAsia" w:ascii="宋体" w:hAnsi="宋体" w:cs="宋体"/>
          <w:color w:val="auto"/>
          <w:lang w:val="zh-CN"/>
        </w:rPr>
        <w:t>目录</w:t>
      </w:r>
    </w:p>
    <w:p w14:paraId="1E2DBBB9">
      <w:pPr>
        <w:pStyle w:val="9"/>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r>
        <w:rPr>
          <w:rFonts w:hint="eastAsia" w:ascii="宋体" w:hAnsi="宋体" w:cs="宋体"/>
        </w:rPr>
        <w:fldChar w:fldCharType="begin"/>
      </w:r>
      <w:r>
        <w:rPr>
          <w:rFonts w:hint="eastAsia" w:ascii="宋体" w:hAnsi="宋体" w:cs="宋体"/>
        </w:rPr>
        <w:instrText xml:space="preserve"> HYPERLINK \l "_Toc491963077" </w:instrText>
      </w:r>
      <w:r>
        <w:rPr>
          <w:rFonts w:hint="eastAsia" w:ascii="宋体" w:hAnsi="宋体" w:cs="宋体"/>
        </w:rPr>
        <w:fldChar w:fldCharType="separate"/>
      </w:r>
      <w:r>
        <w:rPr>
          <w:rStyle w:val="16"/>
          <w:rFonts w:hint="eastAsia" w:ascii="宋体" w:hAnsi="宋体" w:cs="宋体"/>
          <w:b/>
          <w:color w:val="auto"/>
        </w:rPr>
        <w:t>1、重要提示</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_Toc491963077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27B6231E">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"_Toc491963078" </w:instrText>
      </w:r>
      <w:r>
        <w:rPr>
          <w:rFonts w:hint="eastAsia" w:ascii="宋体" w:hAnsi="宋体" w:cs="宋体"/>
        </w:rPr>
        <w:fldChar w:fldCharType="separate"/>
      </w:r>
      <w:r>
        <w:rPr>
          <w:rStyle w:val="16"/>
          <w:rFonts w:hint="eastAsia" w:ascii="宋体" w:hAnsi="宋体" w:cs="宋体"/>
          <w:color w:val="auto"/>
          <w:kern w:val="0"/>
        </w:rPr>
        <w:t>1.1 重要提示</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_Toc491963078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14:paraId="0A4A8AA5">
      <w:pPr>
        <w:pStyle w:val="9"/>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"_Toc491963079" </w:instrText>
      </w:r>
      <w:r>
        <w:rPr>
          <w:rFonts w:hint="eastAsia" w:ascii="宋体" w:hAnsi="宋体" w:cs="宋体"/>
        </w:rPr>
        <w:fldChar w:fldCharType="separate"/>
      </w:r>
      <w:r>
        <w:rPr>
          <w:rStyle w:val="16"/>
          <w:rFonts w:hint="eastAsia" w:ascii="宋体" w:hAnsi="宋体" w:cs="宋体"/>
          <w:b/>
          <w:color w:val="auto"/>
        </w:rPr>
        <w:t>2、基金概况</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_Toc491963079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14:paraId="4F7079DD">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"_Toc491963080" </w:instrText>
      </w:r>
      <w:r>
        <w:rPr>
          <w:rFonts w:hint="eastAsia" w:ascii="宋体" w:hAnsi="宋体" w:cs="宋体"/>
        </w:rPr>
        <w:fldChar w:fldCharType="separate"/>
      </w:r>
      <w:r>
        <w:rPr>
          <w:rStyle w:val="16"/>
          <w:rFonts w:hint="eastAsia" w:ascii="宋体" w:hAnsi="宋体" w:cs="宋体"/>
          <w:color w:val="auto"/>
          <w:kern w:val="0"/>
        </w:rPr>
        <w:t>2.1 基金基本情况</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_Toc491963080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14:paraId="7F93A369">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"_Toc491963081" </w:instrText>
      </w:r>
      <w:r>
        <w:rPr>
          <w:rFonts w:hint="eastAsia" w:ascii="宋体" w:hAnsi="宋体" w:cs="宋体"/>
        </w:rPr>
        <w:fldChar w:fldCharType="separate"/>
      </w:r>
      <w:r>
        <w:rPr>
          <w:rStyle w:val="16"/>
          <w:rFonts w:hint="eastAsia" w:ascii="宋体" w:hAnsi="宋体" w:cs="宋体"/>
          <w:color w:val="auto"/>
        </w:rPr>
        <w:t>2.2 基金产品说明</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_Toc491963081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14:paraId="1D4811AF">
      <w:pPr>
        <w:pStyle w:val="9"/>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"_Toc491963082" </w:instrText>
      </w:r>
      <w:r>
        <w:rPr>
          <w:rFonts w:hint="eastAsia" w:ascii="宋体" w:hAnsi="宋体" w:cs="宋体"/>
        </w:rPr>
        <w:fldChar w:fldCharType="separate"/>
      </w:r>
      <w:r>
        <w:rPr>
          <w:rStyle w:val="16"/>
          <w:rFonts w:hint="eastAsia" w:ascii="宋体" w:hAnsi="宋体" w:cs="宋体"/>
          <w:b/>
          <w:color w:val="auto"/>
        </w:rPr>
        <w:t>3、基金运作情况说明</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_Toc491963082 \h </w:instrText>
      </w:r>
      <w:r>
        <w:rPr>
          <w:rFonts w:hint="eastAsia" w:ascii="宋体" w:hAnsi="宋体" w:cs="宋体"/>
        </w:rPr>
        <w:fldChar w:fldCharType="separate"/>
      </w:r>
      <w:r>
        <w:rPr>
          <w:rFonts w:hint="eastAsia" w:ascii="宋体" w:hAnsi="宋体" w:cs="宋体"/>
        </w:rPr>
        <w:t>3</w:t>
      </w:r>
      <w:r>
        <w:rPr>
          <w:rFonts w:hint="eastAsia" w:ascii="宋体" w:hAnsi="宋体" w:cs="宋体"/>
        </w:rPr>
        <w:fldChar w:fldCharType="end"/>
      </w:r>
      <w:r>
        <w:rPr>
          <w:rFonts w:hint="eastAsia" w:ascii="宋体" w:hAnsi="宋体" w:cs="宋体"/>
        </w:rPr>
        <w:fldChar w:fldCharType="end"/>
      </w:r>
    </w:p>
    <w:p w14:paraId="4A71EAD0">
      <w:pPr>
        <w:pStyle w:val="9"/>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"_Toc491963083" </w:instrText>
      </w:r>
      <w:r>
        <w:rPr>
          <w:rFonts w:hint="eastAsia" w:ascii="宋体" w:hAnsi="宋体" w:cs="宋体"/>
        </w:rPr>
        <w:fldChar w:fldCharType="separate"/>
      </w:r>
      <w:r>
        <w:rPr>
          <w:rStyle w:val="16"/>
          <w:rFonts w:hint="eastAsia" w:ascii="宋体" w:hAnsi="宋体" w:cs="宋体"/>
          <w:b/>
          <w:color w:val="auto"/>
        </w:rPr>
        <w:t>4、财务报告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_Toc491963083 \h </w:instrText>
      </w:r>
      <w:r>
        <w:rPr>
          <w:rFonts w:hint="eastAsia" w:ascii="宋体" w:hAnsi="宋体" w:cs="宋体"/>
        </w:rPr>
        <w:fldChar w:fldCharType="separate"/>
      </w:r>
      <w:r>
        <w:rPr>
          <w:rFonts w:hint="eastAsia" w:ascii="宋体" w:hAnsi="宋体" w:cs="宋体"/>
        </w:rPr>
        <w:t>4</w:t>
      </w:r>
      <w:r>
        <w:rPr>
          <w:rFonts w:hint="eastAsia" w:ascii="宋体" w:hAnsi="宋体" w:cs="宋体"/>
        </w:rPr>
        <w:fldChar w:fldCharType="end"/>
      </w:r>
      <w:r>
        <w:rPr>
          <w:rFonts w:hint="eastAsia" w:ascii="宋体" w:hAnsi="宋体" w:cs="宋体"/>
        </w:rPr>
        <w:fldChar w:fldCharType="end"/>
      </w:r>
    </w:p>
    <w:p w14:paraId="658A70F2">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"_Toc491963084" </w:instrText>
      </w:r>
      <w:r>
        <w:rPr>
          <w:rFonts w:hint="eastAsia" w:ascii="宋体" w:hAnsi="宋体" w:cs="宋体"/>
        </w:rPr>
        <w:fldChar w:fldCharType="separate"/>
      </w:r>
      <w:r>
        <w:rPr>
          <w:rStyle w:val="16"/>
          <w:rFonts w:hint="eastAsia" w:ascii="宋体" w:hAnsi="宋体" w:cs="宋体"/>
          <w:color w:val="auto"/>
          <w:kern w:val="0"/>
        </w:rPr>
        <w:t>4.1 资产负债表（已经审计）</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_Toc491963084 \h </w:instrText>
      </w:r>
      <w:r>
        <w:rPr>
          <w:rFonts w:hint="eastAsia" w:ascii="宋体" w:hAnsi="宋体" w:cs="宋体"/>
        </w:rPr>
        <w:fldChar w:fldCharType="separate"/>
      </w:r>
      <w:r>
        <w:rPr>
          <w:rFonts w:hint="eastAsia" w:ascii="宋体" w:hAnsi="宋体" w:cs="宋体"/>
        </w:rPr>
        <w:t>4</w:t>
      </w:r>
      <w:r>
        <w:rPr>
          <w:rFonts w:hint="eastAsia" w:ascii="宋体" w:hAnsi="宋体" w:cs="宋体"/>
        </w:rPr>
        <w:fldChar w:fldCharType="end"/>
      </w:r>
      <w:r>
        <w:rPr>
          <w:rFonts w:hint="eastAsia" w:ascii="宋体" w:hAnsi="宋体" w:cs="宋体"/>
        </w:rPr>
        <w:fldChar w:fldCharType="end"/>
      </w:r>
    </w:p>
    <w:p w14:paraId="735885E7">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"_Toc491963085" </w:instrText>
      </w:r>
      <w:r>
        <w:rPr>
          <w:rFonts w:hint="eastAsia" w:ascii="宋体" w:hAnsi="宋体" w:cs="宋体"/>
        </w:rPr>
        <w:fldChar w:fldCharType="separate"/>
      </w:r>
      <w:r>
        <w:rPr>
          <w:rStyle w:val="16"/>
          <w:rFonts w:hint="eastAsia" w:ascii="宋体" w:hAnsi="宋体" w:cs="宋体"/>
          <w:color w:val="auto"/>
          <w:kern w:val="0"/>
        </w:rPr>
        <w:t>4.2 清算损益表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_Toc491963085 \h </w:instrText>
      </w:r>
      <w:r>
        <w:rPr>
          <w:rFonts w:hint="eastAsia" w:ascii="宋体" w:hAnsi="宋体" w:cs="宋体"/>
        </w:rPr>
        <w:fldChar w:fldCharType="separate"/>
      </w:r>
      <w:r>
        <w:rPr>
          <w:rFonts w:hint="eastAsia" w:ascii="宋体" w:hAnsi="宋体" w:cs="宋体"/>
        </w:rPr>
        <w:t>5</w:t>
      </w:r>
      <w:r>
        <w:rPr>
          <w:rFonts w:hint="eastAsia" w:ascii="宋体" w:hAnsi="宋体" w:cs="宋体"/>
        </w:rPr>
        <w:fldChar w:fldCharType="end"/>
      </w:r>
      <w:r>
        <w:rPr>
          <w:rFonts w:hint="eastAsia" w:ascii="宋体" w:hAnsi="宋体" w:cs="宋体"/>
        </w:rPr>
        <w:fldChar w:fldCharType="end"/>
      </w:r>
    </w:p>
    <w:p w14:paraId="0E642760">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"_Toc491963086" </w:instrText>
      </w:r>
      <w:r>
        <w:rPr>
          <w:rFonts w:hint="eastAsia" w:ascii="宋体" w:hAnsi="宋体" w:cs="宋体"/>
        </w:rPr>
        <w:fldChar w:fldCharType="separate"/>
      </w:r>
      <w:r>
        <w:rPr>
          <w:rStyle w:val="16"/>
          <w:rFonts w:hint="eastAsia" w:ascii="宋体" w:hAnsi="宋体" w:cs="宋体"/>
          <w:color w:val="auto"/>
          <w:kern w:val="0"/>
        </w:rPr>
        <w:t>4.3 报表附注</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_Toc491963086 \h </w:instrText>
      </w:r>
      <w:r>
        <w:rPr>
          <w:rFonts w:hint="eastAsia" w:ascii="宋体" w:hAnsi="宋体" w:cs="宋体"/>
        </w:rPr>
        <w:fldChar w:fldCharType="separate"/>
      </w:r>
      <w:r>
        <w:rPr>
          <w:rFonts w:hint="eastAsia" w:ascii="宋体" w:hAnsi="宋体" w:cs="宋体"/>
        </w:rPr>
        <w:t>5</w:t>
      </w:r>
      <w:r>
        <w:rPr>
          <w:rFonts w:hint="eastAsia" w:ascii="宋体" w:hAnsi="宋体" w:cs="宋体"/>
        </w:rPr>
        <w:fldChar w:fldCharType="end"/>
      </w:r>
      <w:r>
        <w:rPr>
          <w:rFonts w:hint="eastAsia" w:ascii="宋体" w:hAnsi="宋体" w:cs="宋体"/>
        </w:rPr>
        <w:fldChar w:fldCharType="end"/>
      </w:r>
    </w:p>
    <w:p w14:paraId="09E41301">
      <w:pPr>
        <w:pStyle w:val="9"/>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"_Toc491963087" </w:instrText>
      </w:r>
      <w:r>
        <w:rPr>
          <w:rFonts w:hint="eastAsia" w:ascii="宋体" w:hAnsi="宋体" w:cs="宋体"/>
        </w:rPr>
        <w:fldChar w:fldCharType="separate"/>
      </w:r>
      <w:r>
        <w:rPr>
          <w:rStyle w:val="16"/>
          <w:rFonts w:hint="eastAsia" w:ascii="宋体" w:hAnsi="宋体" w:cs="宋体"/>
          <w:b/>
          <w:color w:val="auto"/>
        </w:rPr>
        <w:t>5、清算情况</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_Toc491963087 \h </w:instrText>
      </w:r>
      <w:r>
        <w:rPr>
          <w:rFonts w:hint="eastAsia" w:ascii="宋体" w:hAnsi="宋体" w:cs="宋体"/>
        </w:rPr>
        <w:fldChar w:fldCharType="separate"/>
      </w:r>
      <w:r>
        <w:rPr>
          <w:rFonts w:hint="eastAsia" w:ascii="宋体" w:hAnsi="宋体" w:cs="宋体"/>
        </w:rPr>
        <w:t>7</w:t>
      </w:r>
      <w:r>
        <w:rPr>
          <w:rFonts w:hint="eastAsia" w:ascii="宋体" w:hAnsi="宋体" w:cs="宋体"/>
        </w:rPr>
        <w:fldChar w:fldCharType="end"/>
      </w:r>
      <w:r>
        <w:rPr>
          <w:rFonts w:hint="eastAsia" w:ascii="宋体" w:hAnsi="宋体" w:cs="宋体"/>
        </w:rPr>
        <w:fldChar w:fldCharType="end"/>
      </w:r>
    </w:p>
    <w:p w14:paraId="3A0FF7FF">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"_Toc491963088" </w:instrText>
      </w:r>
      <w:r>
        <w:rPr>
          <w:rFonts w:hint="eastAsia" w:ascii="宋体" w:hAnsi="宋体" w:cs="宋体"/>
        </w:rPr>
        <w:fldChar w:fldCharType="separate"/>
      </w:r>
      <w:r>
        <w:rPr>
          <w:rStyle w:val="16"/>
          <w:rFonts w:hint="eastAsia" w:ascii="宋体" w:hAnsi="宋体" w:cs="宋体"/>
          <w:color w:val="auto"/>
          <w:kern w:val="0"/>
        </w:rPr>
        <w:t>5.1 资产负债清算情况</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_Toc491963088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14:paraId="36C856DA">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"_Toc491963089" </w:instrText>
      </w:r>
      <w:r>
        <w:rPr>
          <w:rFonts w:hint="eastAsia" w:ascii="宋体" w:hAnsi="宋体" w:cs="宋体"/>
        </w:rPr>
        <w:fldChar w:fldCharType="separate"/>
      </w:r>
      <w:r>
        <w:rPr>
          <w:rStyle w:val="16"/>
          <w:rFonts w:hint="eastAsia" w:ascii="宋体" w:hAnsi="宋体" w:cs="宋体"/>
          <w:color w:val="auto"/>
          <w:kern w:val="0"/>
        </w:rPr>
        <w:t>5.2 截至本次清算期结束日的剩余财产情况及剩余财产分配安排</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_Toc491963089 \h </w:instrText>
      </w:r>
      <w:r>
        <w:rPr>
          <w:rFonts w:hint="eastAsia" w:ascii="宋体" w:hAnsi="宋体" w:cs="宋体"/>
        </w:rPr>
        <w:fldChar w:fldCharType="separate"/>
      </w:r>
      <w:r>
        <w:rPr>
          <w:rFonts w:hint="eastAsia" w:ascii="宋体" w:hAnsi="宋体" w:cs="宋体"/>
        </w:rPr>
        <w:t>9</w:t>
      </w:r>
      <w:r>
        <w:rPr>
          <w:rFonts w:hint="eastAsia" w:ascii="宋体" w:hAnsi="宋体" w:cs="宋体"/>
        </w:rPr>
        <w:fldChar w:fldCharType="end"/>
      </w:r>
      <w:r>
        <w:rPr>
          <w:rFonts w:hint="eastAsia" w:ascii="宋体" w:hAnsi="宋体" w:cs="宋体"/>
        </w:rPr>
        <w:fldChar w:fldCharType="end"/>
      </w:r>
    </w:p>
    <w:p w14:paraId="216BE51F">
      <w:pPr>
        <w:pStyle w:val="9"/>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"_Toc491963090" </w:instrText>
      </w:r>
      <w:r>
        <w:rPr>
          <w:rFonts w:hint="eastAsia" w:ascii="宋体" w:hAnsi="宋体" w:cs="宋体"/>
        </w:rPr>
        <w:fldChar w:fldCharType="separate"/>
      </w:r>
      <w:r>
        <w:rPr>
          <w:rStyle w:val="16"/>
          <w:rFonts w:hint="eastAsia" w:ascii="宋体" w:hAnsi="宋体" w:cs="宋体"/>
          <w:b/>
          <w:color w:val="auto"/>
        </w:rPr>
        <w:t>6、备查文件目录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_Toc491963090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14:paraId="143D5EBC">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"_Toc491963091" </w:instrText>
      </w:r>
      <w:r>
        <w:rPr>
          <w:rFonts w:hint="eastAsia" w:ascii="宋体" w:hAnsi="宋体" w:cs="宋体"/>
        </w:rPr>
        <w:fldChar w:fldCharType="separate"/>
      </w:r>
      <w:r>
        <w:rPr>
          <w:rStyle w:val="16"/>
          <w:rFonts w:hint="eastAsia" w:ascii="宋体" w:hAnsi="宋体" w:cs="宋体"/>
          <w:color w:val="auto"/>
          <w:kern w:val="0"/>
        </w:rPr>
        <w:t>6.1 备查文件目录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_Toc491963091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14:paraId="37D3C006">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"_Toc491963092" </w:instrText>
      </w:r>
      <w:r>
        <w:rPr>
          <w:rFonts w:hint="eastAsia" w:ascii="宋体" w:hAnsi="宋体" w:cs="宋体"/>
        </w:rPr>
        <w:fldChar w:fldCharType="separate"/>
      </w:r>
      <w:r>
        <w:rPr>
          <w:rStyle w:val="16"/>
          <w:rFonts w:hint="eastAsia" w:ascii="宋体" w:hAnsi="宋体" w:cs="宋体"/>
          <w:color w:val="auto"/>
          <w:kern w:val="0"/>
        </w:rPr>
        <w:t>6.2 存放地点</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_Toc491963092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14:paraId="09B10562">
      <w:pPr>
        <w:pStyle w:val="10"/>
        <w:tabs>
          <w:tab w:val="right" w:leader="dot" w:pos="8296"/>
        </w:tabs>
        <w:rPr>
          <w:rFonts w:hint="eastAsia" w:ascii="宋体" w:hAnsi="宋体" w:cs="宋体"/>
          <w:szCs w:val="22"/>
        </w:rPr>
      </w:pPr>
      <w:r>
        <w:rPr>
          <w:rFonts w:hint="eastAsia" w:ascii="宋体" w:hAnsi="宋体" w:cs="宋体"/>
        </w:rPr>
        <w:fldChar w:fldCharType="begin"/>
      </w:r>
      <w:r>
        <w:rPr>
          <w:rFonts w:hint="eastAsia" w:ascii="宋体" w:hAnsi="宋体" w:cs="宋体"/>
        </w:rPr>
        <w:instrText xml:space="preserve"> HYPERLINK \l "_Toc491963093" </w:instrText>
      </w:r>
      <w:r>
        <w:rPr>
          <w:rFonts w:hint="eastAsia" w:ascii="宋体" w:hAnsi="宋体" w:cs="宋体"/>
        </w:rPr>
        <w:fldChar w:fldCharType="separate"/>
      </w:r>
      <w:r>
        <w:rPr>
          <w:rStyle w:val="16"/>
          <w:rFonts w:hint="eastAsia" w:ascii="宋体" w:hAnsi="宋体" w:cs="宋体"/>
          <w:color w:val="auto"/>
          <w:kern w:val="0"/>
        </w:rPr>
        <w:t>6.3 查阅方式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_Toc491963093 \h </w:instrText>
      </w:r>
      <w:r>
        <w:rPr>
          <w:rFonts w:hint="eastAsia" w:ascii="宋体" w:hAnsi="宋体" w:cs="宋体"/>
        </w:rPr>
        <w:fldChar w:fldCharType="separate"/>
      </w:r>
      <w:r>
        <w:rPr>
          <w:rFonts w:hint="eastAsia" w:ascii="宋体" w:hAnsi="宋体" w:cs="宋体"/>
        </w:rPr>
        <w:t>10</w:t>
      </w:r>
      <w:r>
        <w:rPr>
          <w:rFonts w:hint="eastAsia" w:ascii="宋体" w:hAnsi="宋体" w:cs="宋体"/>
        </w:rPr>
        <w:fldChar w:fldCharType="end"/>
      </w:r>
      <w:r>
        <w:rPr>
          <w:rFonts w:hint="eastAsia" w:ascii="宋体" w:hAnsi="宋体" w:cs="宋体"/>
        </w:rPr>
        <w:fldChar w:fldCharType="end"/>
      </w:r>
    </w:p>
    <w:p w14:paraId="3F92D825">
      <w:pPr>
        <w:rPr>
          <w:rFonts w:hint="eastAsia" w:ascii="宋体" w:hAnsi="宋体" w:cs="宋体"/>
        </w:rPr>
      </w:pPr>
      <w:r>
        <w:rPr>
          <w:rFonts w:hint="eastAsia" w:ascii="宋体" w:hAnsi="宋体" w:cs="宋体"/>
          <w:b/>
          <w:bCs/>
          <w:lang w:val="zh-CN"/>
        </w:rPr>
        <w:fldChar w:fldCharType="end"/>
      </w:r>
    </w:p>
    <w:p w14:paraId="42D90F38">
      <w:pPr>
        <w:widowControl/>
        <w:jc w:val="left"/>
        <w:rPr>
          <w:rStyle w:val="26"/>
          <w:rFonts w:hint="eastAsia" w:ascii="宋体" w:hAnsi="宋体" w:cs="宋体"/>
        </w:rPr>
        <w:sectPr>
          <w:headerReference r:id="rId6" w:type="default"/>
          <w:pgSz w:w="11906" w:h="16838"/>
          <w:pgMar w:top="1440" w:right="1800" w:bottom="1440" w:left="1800" w:header="851" w:footer="992" w:gutter="0"/>
          <w:pgNumType w:start="1"/>
          <w:cols w:space="720" w:num="1"/>
          <w:docGrid w:type="lines" w:linePitch="312" w:charSpace="0"/>
        </w:sectPr>
      </w:pPr>
      <w:bookmarkStart w:id="2" w:name="_Toc491963077"/>
    </w:p>
    <w:p w14:paraId="195235C8">
      <w:pPr>
        <w:pStyle w:val="2"/>
        <w:keepNext/>
        <w:keepLines/>
        <w:widowControl w:val="0"/>
        <w:spacing w:before="312" w:beforeLines="100" w:after="312" w:afterLines="100" w:line="360" w:lineRule="auto"/>
        <w:jc w:val="center"/>
        <w:rPr>
          <w:rStyle w:val="26"/>
          <w:rFonts w:hint="eastAsia" w:ascii="宋体" w:hAnsi="宋体" w:cs="宋体"/>
        </w:rPr>
      </w:pPr>
      <w:r>
        <w:rPr>
          <w:rStyle w:val="26"/>
          <w:rFonts w:hint="eastAsia" w:ascii="宋体" w:hAnsi="宋体" w:cs="宋体"/>
        </w:rPr>
        <w:t>1、重要提示</w:t>
      </w:r>
      <w:bookmarkEnd w:id="1"/>
      <w:bookmarkEnd w:id="2"/>
    </w:p>
    <w:p w14:paraId="3FBC273B">
      <w:pPr>
        <w:pStyle w:val="3"/>
        <w:spacing w:before="0" w:after="0"/>
        <w:rPr>
          <w:rFonts w:hint="eastAsia" w:ascii="宋体" w:hAnsi="宋体" w:cs="宋体"/>
          <w:kern w:val="0"/>
          <w:sz w:val="21"/>
          <w:szCs w:val="21"/>
        </w:rPr>
      </w:pPr>
      <w:bookmarkStart w:id="3" w:name="_Toc484607300"/>
      <w:bookmarkStart w:id="4" w:name="_Toc484769795"/>
      <w:bookmarkStart w:id="5" w:name="_Toc491963078"/>
      <w:bookmarkStart w:id="6" w:name="_Toc483396827"/>
      <w:r>
        <w:rPr>
          <w:rFonts w:hint="eastAsia" w:ascii="宋体" w:hAnsi="宋体" w:cs="宋体"/>
          <w:kern w:val="0"/>
          <w:sz w:val="21"/>
          <w:szCs w:val="21"/>
        </w:rPr>
        <w:t>1.1 重要提示</w:t>
      </w:r>
      <w:bookmarkEnd w:id="3"/>
      <w:bookmarkEnd w:id="4"/>
      <w:bookmarkEnd w:id="5"/>
      <w:bookmarkEnd w:id="6"/>
    </w:p>
    <w:p w14:paraId="14DEFA04">
      <w:pPr>
        <w:spacing w:line="360" w:lineRule="auto"/>
        <w:ind w:firstLine="420" w:firstLineChars="200"/>
        <w:rPr>
          <w:rFonts w:hint="eastAsia" w:ascii="宋体" w:hAnsi="宋体" w:cs="宋体"/>
          <w:szCs w:val="21"/>
        </w:rPr>
      </w:pPr>
      <w:r>
        <w:rPr>
          <w:rFonts w:hint="eastAsia" w:ascii="宋体" w:hAnsi="宋体" w:cs="宋体"/>
          <w:szCs w:val="21"/>
        </w:rPr>
        <w:t>博时裕盛纯债债券型证券投资基金（以下简称“本基金”）经中国证券监督管理委员会（以下简称“中国证监会”）证监许可[2016]802号《关于准予博时裕盛纯债债券型证券投资基金注册的批复》准予注册，由博时基金管理有限公司依照《中华人民共和国证券投资基金法》和《博时裕盛纯债债券型证券投资基金基金合同》（以下简称“《基金合同》”）负责公开募集。经向中国证监会备案，《基金合同》于2016年5月20日正式生效，基金管理人为博时基金管理有限公司，基金托管人为南京银行股份有限公司。</w:t>
      </w:r>
    </w:p>
    <w:p w14:paraId="2F667E19">
      <w:pPr>
        <w:spacing w:line="360" w:lineRule="auto"/>
        <w:ind w:firstLine="420" w:firstLineChars="200"/>
        <w:rPr>
          <w:rFonts w:hint="eastAsia" w:ascii="宋体" w:hAnsi="宋体" w:cs="宋体"/>
          <w:szCs w:val="21"/>
        </w:rPr>
      </w:pPr>
      <w:r>
        <w:rPr>
          <w:rFonts w:hint="eastAsia" w:ascii="宋体" w:hAnsi="宋体" w:cs="宋体"/>
          <w:szCs w:val="21"/>
        </w:rPr>
        <w:t>根据《基金合同》“第五部分 基金备案”之“三、基金存续期内的基金份额持有人数量和资产规模”约定：</w:t>
      </w:r>
    </w:p>
    <w:p w14:paraId="484DF795">
      <w:pPr>
        <w:spacing w:line="360" w:lineRule="auto"/>
        <w:ind w:firstLine="420" w:firstLineChars="200"/>
        <w:rPr>
          <w:rFonts w:hint="eastAsia" w:ascii="宋体" w:hAnsi="宋体" w:cs="宋体"/>
          <w:szCs w:val="21"/>
        </w:rPr>
      </w:pPr>
      <w:r>
        <w:rPr>
          <w:rFonts w:hint="eastAsia" w:ascii="宋体" w:hAnsi="宋体" w:cs="宋体"/>
          <w:szCs w:val="21"/>
        </w:rPr>
        <w:t>“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w:t>
      </w:r>
    </w:p>
    <w:p w14:paraId="5BE8A3C8">
      <w:pPr>
        <w:spacing w:line="360" w:lineRule="auto"/>
        <w:ind w:firstLine="420" w:firstLineChars="200"/>
        <w:rPr>
          <w:rFonts w:hint="eastAsia" w:ascii="宋体" w:hAnsi="宋体" w:cs="宋体"/>
          <w:szCs w:val="21"/>
        </w:rPr>
      </w:pPr>
      <w:r>
        <w:rPr>
          <w:rFonts w:hint="eastAsia" w:ascii="宋体" w:hAnsi="宋体" w:cs="宋体"/>
          <w:szCs w:val="21"/>
        </w:rPr>
        <w:t xml:space="preserve">法律法规或监管机构另有规定时，从其规定。” </w:t>
      </w:r>
    </w:p>
    <w:p w14:paraId="1C66C6A6">
      <w:pPr>
        <w:spacing w:line="360" w:lineRule="auto"/>
        <w:ind w:firstLine="420" w:firstLineChars="200"/>
        <w:rPr>
          <w:rFonts w:hint="eastAsia" w:ascii="宋体" w:hAnsi="宋体" w:cs="宋体"/>
          <w:szCs w:val="21"/>
        </w:rPr>
      </w:pPr>
      <w:r>
        <w:rPr>
          <w:rFonts w:hint="eastAsia" w:ascii="宋体" w:hAnsi="宋体" w:cs="宋体"/>
          <w:szCs w:val="21"/>
        </w:rPr>
        <w:t>截至2026年3月26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036B4898">
      <w:pPr>
        <w:spacing w:line="360" w:lineRule="auto"/>
        <w:ind w:firstLine="420" w:firstLineChars="200"/>
        <w:rPr>
          <w:rFonts w:hint="eastAsia" w:ascii="宋体" w:hAnsi="宋体" w:cs="宋体"/>
          <w:szCs w:val="21"/>
        </w:rPr>
      </w:pPr>
      <w:r>
        <w:rPr>
          <w:rFonts w:hint="eastAsia" w:ascii="宋体" w:hAnsi="宋体" w:cs="宋体"/>
          <w:szCs w:val="21"/>
        </w:rPr>
        <w:t>本基金的最后运作日为2026年3月26日，自2026年3月27日起，本基金进入清算程序。本基金进入清算程序后，不再开放办理申购、赎回、基金转换业务等业务，并停止收取基金管理费和基金托管费。由本基金管理人博时基金管理有限公司、基金托管人南京银行股份有限公司、容诚会计师事务所（特殊普通合伙）、上海源泰律师事务所组成基金财产清算小组履行基金财产清算程序，并由容诚会计师事务所（特殊普通合伙）对本基金进行清算审计，上海源泰律师事务所对清算报告出具法律意见。</w:t>
      </w:r>
    </w:p>
    <w:p w14:paraId="2199D371">
      <w:pPr>
        <w:pStyle w:val="2"/>
        <w:keepNext/>
        <w:keepLines/>
        <w:widowControl w:val="0"/>
        <w:spacing w:before="312" w:beforeLines="100" w:after="312" w:afterLines="100" w:line="360" w:lineRule="auto"/>
        <w:jc w:val="center"/>
        <w:rPr>
          <w:rStyle w:val="26"/>
          <w:rFonts w:hint="eastAsia" w:ascii="宋体" w:hAnsi="宋体" w:cs="宋体"/>
        </w:rPr>
      </w:pPr>
      <w:bookmarkStart w:id="7" w:name="_Toc491963079"/>
      <w:bookmarkStart w:id="8" w:name="_Toc484769796"/>
      <w:r>
        <w:rPr>
          <w:rStyle w:val="26"/>
          <w:rFonts w:hint="eastAsia" w:ascii="宋体" w:hAnsi="宋体" w:cs="宋体"/>
        </w:rPr>
        <w:t>2、基金概况</w:t>
      </w:r>
      <w:bookmarkEnd w:id="7"/>
      <w:bookmarkEnd w:id="8"/>
    </w:p>
    <w:p w14:paraId="2AF901EF">
      <w:pPr>
        <w:pStyle w:val="3"/>
        <w:spacing w:before="0" w:after="0"/>
        <w:rPr>
          <w:rFonts w:hint="eastAsia" w:ascii="宋体" w:hAnsi="宋体" w:cs="宋体"/>
          <w:kern w:val="0"/>
          <w:sz w:val="21"/>
          <w:szCs w:val="21"/>
        </w:rPr>
      </w:pPr>
      <w:bookmarkStart w:id="9" w:name="_Toc409100044"/>
      <w:bookmarkStart w:id="10" w:name="_Toc484769797"/>
      <w:bookmarkStart w:id="11" w:name="_Toc484607302"/>
      <w:bookmarkStart w:id="12" w:name="_Toc491963080"/>
      <w:bookmarkStart w:id="13" w:name="_Toc476577246"/>
      <w:bookmarkStart w:id="14" w:name="_Toc361324845"/>
      <w:bookmarkStart w:id="15" w:name="_Toc483396829"/>
      <w:bookmarkStart w:id="16" w:name="_Toc409100407"/>
      <w:r>
        <w:rPr>
          <w:rFonts w:hint="eastAsia" w:ascii="宋体" w:hAnsi="宋体" w:cs="宋体"/>
          <w:kern w:val="0"/>
          <w:sz w:val="21"/>
          <w:szCs w:val="21"/>
        </w:rPr>
        <w:t>2.1 基金基本情况</w:t>
      </w:r>
      <w:bookmarkEnd w:id="9"/>
      <w:bookmarkEnd w:id="10"/>
      <w:bookmarkEnd w:id="11"/>
      <w:bookmarkEnd w:id="12"/>
      <w:bookmarkEnd w:id="13"/>
      <w:bookmarkEnd w:id="14"/>
      <w:bookmarkEnd w:id="15"/>
      <w:bookmarkEnd w:id="16"/>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2"/>
        <w:gridCol w:w="2938"/>
        <w:gridCol w:w="2979"/>
      </w:tblGrid>
      <w:tr w14:paraId="6AC2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7141E3E8">
            <w:pPr>
              <w:adjustRightInd w:val="0"/>
              <w:rPr>
                <w:rFonts w:hint="eastAsia" w:ascii="宋体" w:hAnsi="宋体" w:cs="宋体"/>
                <w:kern w:val="0"/>
                <w:szCs w:val="21"/>
              </w:rPr>
            </w:pPr>
            <w:r>
              <w:rPr>
                <w:rFonts w:hint="eastAsia" w:ascii="宋体" w:hAnsi="宋体" w:cs="宋体"/>
                <w:color w:val="000000"/>
                <w:kern w:val="0"/>
                <w:szCs w:val="21"/>
              </w:rPr>
              <w:t>基金简称</w:t>
            </w:r>
          </w:p>
        </w:tc>
        <w:tc>
          <w:tcPr>
            <w:tcW w:w="5917" w:type="dxa"/>
            <w:gridSpan w:val="2"/>
            <w:vAlign w:val="center"/>
          </w:tcPr>
          <w:p w14:paraId="3CA5BC5D">
            <w:pPr>
              <w:adjustRightInd w:val="0"/>
              <w:rPr>
                <w:rFonts w:hint="eastAsia" w:ascii="宋体" w:hAnsi="宋体" w:cs="宋体"/>
                <w:kern w:val="0"/>
                <w:szCs w:val="21"/>
              </w:rPr>
            </w:pPr>
            <w:bookmarkStart w:id="17" w:name="OLE_LINK1"/>
            <w:r>
              <w:rPr>
                <w:rFonts w:hint="eastAsia" w:ascii="宋体" w:hAnsi="宋体" w:cs="宋体"/>
                <w:color w:val="000000"/>
                <w:kern w:val="0"/>
                <w:szCs w:val="21"/>
              </w:rPr>
              <w:t>博时裕盛纯债</w:t>
            </w:r>
            <w:bookmarkEnd w:id="17"/>
            <w:r>
              <w:rPr>
                <w:rFonts w:hint="eastAsia" w:ascii="宋体" w:hAnsi="宋体" w:cs="宋体"/>
                <w:color w:val="000000"/>
                <w:kern w:val="0"/>
                <w:szCs w:val="21"/>
              </w:rPr>
              <w:t>债券</w:t>
            </w:r>
          </w:p>
        </w:tc>
      </w:tr>
      <w:tr w14:paraId="04C5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4C469A40">
            <w:pPr>
              <w:adjustRightInd w:val="0"/>
              <w:rPr>
                <w:rFonts w:hint="eastAsia" w:ascii="宋体" w:hAnsi="宋体" w:cs="宋体"/>
                <w:kern w:val="0"/>
                <w:szCs w:val="21"/>
              </w:rPr>
            </w:pPr>
            <w:r>
              <w:rPr>
                <w:rFonts w:hint="eastAsia" w:ascii="宋体" w:hAnsi="宋体" w:cs="宋体"/>
                <w:color w:val="000000"/>
                <w:kern w:val="0"/>
                <w:szCs w:val="21"/>
              </w:rPr>
              <w:t>基金主代码</w:t>
            </w:r>
          </w:p>
        </w:tc>
        <w:tc>
          <w:tcPr>
            <w:tcW w:w="5917" w:type="dxa"/>
            <w:gridSpan w:val="2"/>
            <w:vAlign w:val="center"/>
          </w:tcPr>
          <w:p w14:paraId="7B071CAA">
            <w:pPr>
              <w:adjustRightInd w:val="0"/>
              <w:rPr>
                <w:rFonts w:hint="eastAsia" w:ascii="宋体" w:hAnsi="宋体" w:cs="宋体"/>
                <w:kern w:val="0"/>
                <w:szCs w:val="21"/>
              </w:rPr>
            </w:pPr>
            <w:r>
              <w:rPr>
                <w:rFonts w:hint="eastAsia" w:ascii="宋体" w:hAnsi="宋体" w:cs="宋体"/>
                <w:color w:val="000000"/>
                <w:kern w:val="0"/>
                <w:szCs w:val="21"/>
              </w:rPr>
              <w:t>002755</w:t>
            </w:r>
          </w:p>
        </w:tc>
      </w:tr>
      <w:tr w14:paraId="17EC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40CD26A3">
            <w:pPr>
              <w:adjustRightInd w:val="0"/>
              <w:rPr>
                <w:rFonts w:hint="eastAsia" w:ascii="宋体" w:hAnsi="宋体" w:cs="宋体"/>
                <w:szCs w:val="21"/>
              </w:rPr>
            </w:pPr>
            <w:r>
              <w:rPr>
                <w:rFonts w:hint="eastAsia" w:ascii="宋体" w:hAnsi="宋体" w:cs="宋体"/>
                <w:kern w:val="0"/>
              </w:rPr>
              <w:t>基金运作方式</w:t>
            </w:r>
          </w:p>
        </w:tc>
        <w:tc>
          <w:tcPr>
            <w:tcW w:w="5917" w:type="dxa"/>
            <w:gridSpan w:val="2"/>
            <w:tcBorders>
              <w:top w:val="single" w:color="auto" w:sz="4" w:space="0"/>
            </w:tcBorders>
            <w:vAlign w:val="center"/>
          </w:tcPr>
          <w:p w14:paraId="1E5DF52D">
            <w:pPr>
              <w:adjustRightInd w:val="0"/>
              <w:rPr>
                <w:rFonts w:hint="eastAsia" w:ascii="宋体" w:hAnsi="宋体" w:cs="宋体"/>
                <w:szCs w:val="21"/>
              </w:rPr>
            </w:pPr>
            <w:r>
              <w:rPr>
                <w:rFonts w:hint="eastAsia" w:ascii="宋体" w:hAnsi="宋体" w:cs="宋体"/>
                <w:kern w:val="0"/>
              </w:rPr>
              <w:t>契约型开放式</w:t>
            </w:r>
          </w:p>
        </w:tc>
      </w:tr>
      <w:tr w14:paraId="2E46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1026706B">
            <w:pPr>
              <w:adjustRightInd w:val="0"/>
              <w:rPr>
                <w:rFonts w:hint="eastAsia" w:ascii="宋体" w:hAnsi="宋体" w:cs="宋体"/>
                <w:szCs w:val="21"/>
              </w:rPr>
            </w:pPr>
            <w:r>
              <w:rPr>
                <w:rFonts w:hint="eastAsia" w:ascii="宋体" w:hAnsi="宋体" w:cs="宋体"/>
                <w:color w:val="000000"/>
                <w:kern w:val="0"/>
                <w:szCs w:val="21"/>
              </w:rPr>
              <w:t>基金合同生效日</w:t>
            </w:r>
          </w:p>
        </w:tc>
        <w:tc>
          <w:tcPr>
            <w:tcW w:w="5917" w:type="dxa"/>
            <w:gridSpan w:val="2"/>
            <w:vAlign w:val="center"/>
          </w:tcPr>
          <w:p w14:paraId="70D5C875">
            <w:pPr>
              <w:adjustRightInd w:val="0"/>
              <w:rPr>
                <w:rFonts w:hint="eastAsia" w:ascii="宋体" w:hAnsi="宋体" w:cs="宋体"/>
                <w:kern w:val="0"/>
                <w:szCs w:val="21"/>
              </w:rPr>
            </w:pPr>
            <w:r>
              <w:rPr>
                <w:rFonts w:hint="eastAsia" w:ascii="宋体" w:hAnsi="宋体" w:cs="宋体"/>
                <w:color w:val="000000"/>
                <w:kern w:val="0"/>
                <w:szCs w:val="21"/>
              </w:rPr>
              <w:t>2016年5月20日</w:t>
            </w:r>
          </w:p>
        </w:tc>
      </w:tr>
      <w:tr w14:paraId="4114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676CF2C8">
            <w:pPr>
              <w:adjustRightInd w:val="0"/>
              <w:rPr>
                <w:rFonts w:hint="eastAsia" w:ascii="宋体" w:hAnsi="宋体" w:cs="宋体"/>
                <w:szCs w:val="21"/>
              </w:rPr>
            </w:pPr>
            <w:r>
              <w:rPr>
                <w:rFonts w:hint="eastAsia" w:ascii="宋体" w:hAnsi="宋体" w:cs="宋体"/>
                <w:kern w:val="0"/>
                <w:szCs w:val="21"/>
              </w:rPr>
              <w:t>最后运作日（</w:t>
            </w:r>
            <w:r>
              <w:rPr>
                <w:rFonts w:hint="eastAsia" w:ascii="宋体" w:hAnsi="宋体" w:cs="宋体"/>
              </w:rPr>
              <w:t>2026年3月26日）</w:t>
            </w:r>
            <w:r>
              <w:rPr>
                <w:rFonts w:hint="eastAsia" w:ascii="宋体" w:hAnsi="宋体" w:cs="宋体"/>
                <w:kern w:val="0"/>
                <w:szCs w:val="21"/>
              </w:rPr>
              <w:t>基金份额总额</w:t>
            </w:r>
          </w:p>
        </w:tc>
        <w:tc>
          <w:tcPr>
            <w:tcW w:w="5917" w:type="dxa"/>
            <w:gridSpan w:val="2"/>
            <w:vAlign w:val="center"/>
          </w:tcPr>
          <w:p w14:paraId="671106CF">
            <w:pPr>
              <w:adjustRightInd w:val="0"/>
              <w:rPr>
                <w:rFonts w:hint="eastAsia" w:ascii="宋体" w:hAnsi="宋体" w:cs="宋体"/>
                <w:szCs w:val="21"/>
              </w:rPr>
            </w:pPr>
            <w:r>
              <w:rPr>
                <w:rFonts w:hint="eastAsia" w:ascii="宋体" w:hAnsi="宋体" w:cs="宋体"/>
                <w:color w:val="000000"/>
                <w:kern w:val="0"/>
                <w:szCs w:val="21"/>
              </w:rPr>
              <w:t>1,002,580.71份</w:t>
            </w:r>
          </w:p>
        </w:tc>
      </w:tr>
      <w:tr w14:paraId="0DD6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4A4EAF0B">
            <w:pPr>
              <w:adjustRightInd w:val="0"/>
              <w:rPr>
                <w:rFonts w:hint="eastAsia" w:ascii="宋体" w:hAnsi="宋体" w:cs="宋体"/>
                <w:kern w:val="0"/>
                <w:szCs w:val="21"/>
              </w:rPr>
            </w:pPr>
            <w:r>
              <w:rPr>
                <w:rFonts w:hint="eastAsia" w:ascii="宋体" w:hAnsi="宋体" w:cs="宋体"/>
                <w:kern w:val="0"/>
                <w:szCs w:val="21"/>
              </w:rPr>
              <w:t>基金合同存续期</w:t>
            </w:r>
          </w:p>
        </w:tc>
        <w:tc>
          <w:tcPr>
            <w:tcW w:w="5917" w:type="dxa"/>
            <w:gridSpan w:val="2"/>
            <w:vAlign w:val="center"/>
          </w:tcPr>
          <w:p w14:paraId="1769074C">
            <w:pPr>
              <w:adjustRightInd w:val="0"/>
              <w:rPr>
                <w:rFonts w:hint="eastAsia" w:ascii="宋体" w:hAnsi="宋体" w:cs="宋体"/>
                <w:kern w:val="0"/>
                <w:szCs w:val="21"/>
              </w:rPr>
            </w:pPr>
            <w:r>
              <w:rPr>
                <w:rFonts w:hint="eastAsia" w:ascii="宋体" w:hAnsi="宋体" w:cs="宋体"/>
                <w:kern w:val="0"/>
                <w:szCs w:val="21"/>
              </w:rPr>
              <w:t>不定期</w:t>
            </w:r>
          </w:p>
        </w:tc>
      </w:tr>
      <w:tr w14:paraId="039B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33B0B0CC">
            <w:pPr>
              <w:adjustRightInd w:val="0"/>
              <w:rPr>
                <w:rFonts w:hint="eastAsia" w:ascii="宋体" w:hAnsi="宋体" w:cs="宋体"/>
                <w:szCs w:val="21"/>
              </w:rPr>
            </w:pPr>
            <w:r>
              <w:rPr>
                <w:rFonts w:hint="eastAsia" w:ascii="宋体" w:hAnsi="宋体" w:cs="宋体"/>
                <w:kern w:val="0"/>
                <w:szCs w:val="21"/>
              </w:rPr>
              <w:t>基金管理人</w:t>
            </w:r>
          </w:p>
        </w:tc>
        <w:tc>
          <w:tcPr>
            <w:tcW w:w="5917" w:type="dxa"/>
            <w:gridSpan w:val="2"/>
            <w:vAlign w:val="center"/>
          </w:tcPr>
          <w:p w14:paraId="7120B894">
            <w:pPr>
              <w:adjustRightInd w:val="0"/>
              <w:rPr>
                <w:rFonts w:hint="eastAsia" w:ascii="宋体" w:hAnsi="宋体" w:cs="宋体"/>
                <w:szCs w:val="21"/>
              </w:rPr>
            </w:pPr>
            <w:r>
              <w:rPr>
                <w:rFonts w:hint="eastAsia" w:ascii="宋体" w:hAnsi="宋体" w:cs="宋体"/>
                <w:kern w:val="0"/>
                <w:szCs w:val="21"/>
              </w:rPr>
              <w:t>博时基金管理有限公司</w:t>
            </w:r>
          </w:p>
        </w:tc>
      </w:tr>
      <w:tr w14:paraId="2DEE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2F070B70">
            <w:pPr>
              <w:adjustRightInd w:val="0"/>
              <w:rPr>
                <w:rFonts w:hint="eastAsia" w:ascii="宋体" w:hAnsi="宋体" w:cs="宋体"/>
                <w:szCs w:val="21"/>
              </w:rPr>
            </w:pPr>
            <w:r>
              <w:rPr>
                <w:rFonts w:hint="eastAsia" w:ascii="宋体" w:hAnsi="宋体" w:cs="宋体"/>
                <w:kern w:val="0"/>
                <w:szCs w:val="21"/>
              </w:rPr>
              <w:t>基金托管人</w:t>
            </w:r>
          </w:p>
        </w:tc>
        <w:tc>
          <w:tcPr>
            <w:tcW w:w="5917" w:type="dxa"/>
            <w:gridSpan w:val="2"/>
            <w:vAlign w:val="center"/>
          </w:tcPr>
          <w:p w14:paraId="1BB859EA">
            <w:pPr>
              <w:adjustRightInd w:val="0"/>
              <w:rPr>
                <w:rFonts w:hint="eastAsia" w:ascii="宋体" w:hAnsi="宋体" w:cs="宋体"/>
                <w:szCs w:val="21"/>
              </w:rPr>
            </w:pPr>
            <w:r>
              <w:rPr>
                <w:rFonts w:hint="eastAsia" w:ascii="宋体" w:hAnsi="宋体" w:cs="宋体"/>
                <w:color w:val="000000"/>
                <w:kern w:val="0"/>
                <w:szCs w:val="21"/>
              </w:rPr>
              <w:t>南京银行股份有限公司</w:t>
            </w:r>
          </w:p>
        </w:tc>
      </w:tr>
      <w:tr w14:paraId="28C3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431A93E2">
            <w:pPr>
              <w:adjustRightInd w:val="0"/>
              <w:rPr>
                <w:rFonts w:hint="eastAsia" w:ascii="宋体" w:hAnsi="宋体" w:cs="宋体"/>
                <w:color w:val="000000"/>
                <w:kern w:val="0"/>
                <w:szCs w:val="21"/>
              </w:rPr>
            </w:pPr>
            <w:bookmarkStart w:id="18" w:name="_Toc491184118"/>
            <w:bookmarkStart w:id="19" w:name="_Toc482092221"/>
            <w:bookmarkStart w:id="20" w:name="_Toc390421230"/>
            <w:bookmarkStart w:id="21" w:name="_Toc491963081"/>
            <w:r>
              <w:rPr>
                <w:rFonts w:hint="eastAsia" w:ascii="宋体" w:hAnsi="宋体" w:cs="宋体"/>
                <w:color w:val="000000"/>
                <w:szCs w:val="21"/>
              </w:rPr>
              <w:t>下属分级基金的基金简称</w:t>
            </w:r>
          </w:p>
        </w:tc>
        <w:tc>
          <w:tcPr>
            <w:tcW w:w="2938" w:type="dxa"/>
            <w:vAlign w:val="center"/>
          </w:tcPr>
          <w:p w14:paraId="4D734573">
            <w:pPr>
              <w:rPr>
                <w:rFonts w:hint="eastAsia" w:ascii="宋体" w:hAnsi="宋体" w:cs="宋体"/>
                <w:color w:val="000000"/>
                <w:szCs w:val="21"/>
              </w:rPr>
            </w:pPr>
            <w:r>
              <w:rPr>
                <w:rFonts w:hint="eastAsia" w:ascii="宋体" w:hAnsi="宋体" w:cs="宋体"/>
                <w:color w:val="000000"/>
                <w:szCs w:val="21"/>
              </w:rPr>
              <w:t>博时裕盛纯债债券A</w:t>
            </w:r>
          </w:p>
        </w:tc>
        <w:tc>
          <w:tcPr>
            <w:tcW w:w="2979" w:type="dxa"/>
            <w:vAlign w:val="center"/>
          </w:tcPr>
          <w:p w14:paraId="54D96074">
            <w:pPr>
              <w:rPr>
                <w:rFonts w:hint="eastAsia" w:ascii="宋体" w:hAnsi="宋体" w:cs="宋体"/>
                <w:color w:val="000000"/>
                <w:szCs w:val="21"/>
              </w:rPr>
            </w:pPr>
            <w:r>
              <w:rPr>
                <w:rFonts w:hint="eastAsia" w:ascii="宋体" w:hAnsi="宋体" w:cs="宋体"/>
                <w:color w:val="000000"/>
                <w:szCs w:val="21"/>
              </w:rPr>
              <w:t>博时裕盛纯债债券C</w:t>
            </w:r>
          </w:p>
        </w:tc>
      </w:tr>
      <w:tr w14:paraId="375D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7FEB4E8C">
            <w:pPr>
              <w:rPr>
                <w:rFonts w:hint="eastAsia" w:ascii="宋体" w:hAnsi="宋体" w:cs="宋体"/>
              </w:rPr>
            </w:pPr>
            <w:r>
              <w:rPr>
                <w:rFonts w:hint="eastAsia" w:ascii="宋体" w:hAnsi="宋体" w:cs="宋体"/>
              </w:rPr>
              <w:t>下属分级基金的交易代码</w:t>
            </w:r>
          </w:p>
        </w:tc>
        <w:tc>
          <w:tcPr>
            <w:tcW w:w="2938" w:type="dxa"/>
            <w:vAlign w:val="center"/>
          </w:tcPr>
          <w:p w14:paraId="4C3D5BD7">
            <w:pPr>
              <w:rPr>
                <w:rFonts w:hint="eastAsia" w:ascii="宋体" w:hAnsi="宋体" w:cs="宋体"/>
              </w:rPr>
            </w:pPr>
            <w:r>
              <w:rPr>
                <w:rFonts w:hint="eastAsia" w:ascii="宋体" w:hAnsi="宋体" w:cs="宋体"/>
              </w:rPr>
              <w:t>002755</w:t>
            </w:r>
          </w:p>
        </w:tc>
        <w:tc>
          <w:tcPr>
            <w:tcW w:w="2979" w:type="dxa"/>
            <w:vAlign w:val="center"/>
          </w:tcPr>
          <w:p w14:paraId="4CC2A7C8">
            <w:pPr>
              <w:rPr>
                <w:rFonts w:hint="eastAsia" w:ascii="宋体" w:hAnsi="宋体" w:cs="宋体"/>
              </w:rPr>
            </w:pPr>
            <w:r>
              <w:rPr>
                <w:rFonts w:hint="eastAsia" w:ascii="宋体" w:hAnsi="宋体" w:cs="宋体"/>
              </w:rPr>
              <w:t>022228</w:t>
            </w:r>
          </w:p>
        </w:tc>
      </w:tr>
      <w:tr w14:paraId="6806F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02" w:type="dxa"/>
            <w:vAlign w:val="center"/>
          </w:tcPr>
          <w:p w14:paraId="0B2BC94A">
            <w:pPr>
              <w:adjustRightInd w:val="0"/>
              <w:rPr>
                <w:rFonts w:hint="eastAsia" w:ascii="宋体" w:hAnsi="宋体" w:cs="宋体"/>
                <w:color w:val="000000"/>
                <w:szCs w:val="21"/>
              </w:rPr>
            </w:pPr>
            <w:r>
              <w:rPr>
                <w:rFonts w:hint="eastAsia" w:ascii="宋体" w:hAnsi="宋体" w:cs="宋体"/>
                <w:color w:val="000000"/>
                <w:szCs w:val="21"/>
              </w:rPr>
              <w:t>报告期末下属分级基金的份额总额</w:t>
            </w:r>
          </w:p>
        </w:tc>
        <w:tc>
          <w:tcPr>
            <w:tcW w:w="2938" w:type="dxa"/>
            <w:vAlign w:val="center"/>
          </w:tcPr>
          <w:p w14:paraId="69A3DD84">
            <w:pPr>
              <w:rPr>
                <w:rFonts w:hint="eastAsia" w:ascii="宋体" w:hAnsi="宋体" w:cs="宋体"/>
                <w:color w:val="000000"/>
                <w:szCs w:val="21"/>
              </w:rPr>
            </w:pPr>
            <w:r>
              <w:rPr>
                <w:rFonts w:hint="eastAsia" w:ascii="宋体" w:hAnsi="宋体" w:cs="宋体"/>
                <w:color w:val="000000"/>
                <w:szCs w:val="21"/>
              </w:rPr>
              <w:t>848,306.85</w:t>
            </w:r>
            <w:r>
              <w:rPr>
                <w:rFonts w:hint="eastAsia" w:ascii="宋体" w:hAnsi="宋体" w:cs="宋体"/>
                <w:color w:val="000000"/>
                <w:kern w:val="0"/>
                <w:szCs w:val="21"/>
              </w:rPr>
              <w:t>份</w:t>
            </w:r>
          </w:p>
        </w:tc>
        <w:tc>
          <w:tcPr>
            <w:tcW w:w="2979" w:type="dxa"/>
            <w:vAlign w:val="center"/>
          </w:tcPr>
          <w:p w14:paraId="3157B755">
            <w:pPr>
              <w:rPr>
                <w:rFonts w:hint="eastAsia" w:ascii="宋体" w:hAnsi="宋体" w:cs="宋体"/>
                <w:color w:val="000000"/>
                <w:szCs w:val="21"/>
              </w:rPr>
            </w:pPr>
            <w:r>
              <w:rPr>
                <w:rFonts w:hint="eastAsia" w:ascii="宋体" w:hAnsi="宋体" w:cs="宋体"/>
                <w:color w:val="000000"/>
                <w:szCs w:val="21"/>
              </w:rPr>
              <w:t>154,273.86</w:t>
            </w:r>
            <w:r>
              <w:rPr>
                <w:rFonts w:hint="eastAsia" w:ascii="宋体" w:hAnsi="宋体" w:cs="宋体"/>
                <w:color w:val="000000"/>
                <w:kern w:val="0"/>
                <w:szCs w:val="21"/>
              </w:rPr>
              <w:t>份</w:t>
            </w:r>
          </w:p>
        </w:tc>
      </w:tr>
    </w:tbl>
    <w:p w14:paraId="31BF0B38">
      <w:pPr>
        <w:pStyle w:val="27"/>
        <w:rPr>
          <w:rFonts w:hint="eastAsia" w:cs="宋体"/>
          <w:sz w:val="21"/>
          <w:szCs w:val="21"/>
        </w:rPr>
      </w:pPr>
      <w:r>
        <w:rPr>
          <w:rFonts w:hint="eastAsia" w:cs="宋体"/>
          <w:sz w:val="21"/>
          <w:szCs w:val="21"/>
        </w:rPr>
        <w:t>2.2 基金产品说明</w:t>
      </w:r>
      <w:bookmarkEnd w:id="18"/>
      <w:bookmarkEnd w:id="19"/>
      <w:bookmarkEnd w:id="20"/>
      <w:bookmarkEnd w:id="21"/>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6149"/>
      </w:tblGrid>
      <w:tr w14:paraId="50D6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vAlign w:val="center"/>
          </w:tcPr>
          <w:p w14:paraId="6243B4A8">
            <w:pPr>
              <w:adjustRightInd w:val="0"/>
              <w:rPr>
                <w:rFonts w:hint="eastAsia" w:ascii="宋体" w:hAnsi="宋体" w:cs="宋体"/>
                <w:szCs w:val="21"/>
              </w:rPr>
            </w:pPr>
            <w:r>
              <w:rPr>
                <w:rFonts w:hint="eastAsia" w:ascii="宋体" w:hAnsi="宋体" w:cs="宋体"/>
                <w:color w:val="000000"/>
                <w:kern w:val="0"/>
                <w:szCs w:val="21"/>
              </w:rPr>
              <w:t>投资目标</w:t>
            </w:r>
          </w:p>
        </w:tc>
        <w:tc>
          <w:tcPr>
            <w:tcW w:w="6149" w:type="dxa"/>
            <w:vAlign w:val="center"/>
          </w:tcPr>
          <w:p w14:paraId="5FC09471">
            <w:pPr>
              <w:adjustRightInd w:val="0"/>
              <w:rPr>
                <w:rFonts w:hint="eastAsia" w:ascii="宋体" w:hAnsi="宋体" w:cs="宋体"/>
                <w:kern w:val="0"/>
                <w:szCs w:val="21"/>
              </w:rPr>
            </w:pPr>
            <w:r>
              <w:rPr>
                <w:rFonts w:hint="eastAsia" w:ascii="宋体" w:hAnsi="宋体" w:cs="宋体"/>
                <w:color w:val="000000"/>
                <w:kern w:val="0"/>
                <w:szCs w:val="21"/>
              </w:rPr>
              <w:t>本基金在控制组合净值波动率的前提下，力争实现长期超越业绩比较基准的投资回报。</w:t>
            </w:r>
          </w:p>
        </w:tc>
      </w:tr>
      <w:tr w14:paraId="752B0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vAlign w:val="center"/>
          </w:tcPr>
          <w:p w14:paraId="2D177A00">
            <w:pPr>
              <w:adjustRightInd w:val="0"/>
              <w:rPr>
                <w:rFonts w:hint="eastAsia" w:ascii="宋体" w:hAnsi="宋体" w:cs="宋体"/>
                <w:szCs w:val="21"/>
              </w:rPr>
            </w:pPr>
            <w:r>
              <w:rPr>
                <w:rFonts w:hint="eastAsia" w:ascii="宋体" w:hAnsi="宋体" w:cs="宋体"/>
                <w:color w:val="000000"/>
                <w:kern w:val="0"/>
                <w:szCs w:val="21"/>
              </w:rPr>
              <w:t>投资策略</w:t>
            </w:r>
          </w:p>
        </w:tc>
        <w:tc>
          <w:tcPr>
            <w:tcW w:w="6149" w:type="dxa"/>
            <w:vAlign w:val="center"/>
          </w:tcPr>
          <w:p w14:paraId="6C5F7C31">
            <w:pPr>
              <w:adjustRightInd w:val="0"/>
              <w:rPr>
                <w:rFonts w:hint="eastAsia" w:ascii="宋体" w:hAnsi="宋体" w:cs="宋体"/>
                <w:szCs w:val="21"/>
              </w:rPr>
            </w:pPr>
            <w:r>
              <w:rPr>
                <w:rFonts w:hint="eastAsia" w:ascii="宋体" w:hAnsi="宋体" w:cs="宋体"/>
                <w:color w:val="000000"/>
                <w:kern w:val="0"/>
                <w:szCs w:val="21"/>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tc>
      </w:tr>
      <w:tr w14:paraId="6C05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vAlign w:val="center"/>
          </w:tcPr>
          <w:p w14:paraId="05E2874A">
            <w:pPr>
              <w:adjustRightInd w:val="0"/>
              <w:rPr>
                <w:rFonts w:hint="eastAsia" w:ascii="宋体" w:hAnsi="宋体" w:cs="宋体"/>
                <w:szCs w:val="21"/>
              </w:rPr>
            </w:pPr>
            <w:r>
              <w:rPr>
                <w:rFonts w:hint="eastAsia" w:ascii="宋体" w:hAnsi="宋体" w:cs="宋体"/>
                <w:color w:val="000000"/>
                <w:kern w:val="0"/>
                <w:szCs w:val="21"/>
              </w:rPr>
              <w:t>业绩比较基准</w:t>
            </w:r>
          </w:p>
        </w:tc>
        <w:tc>
          <w:tcPr>
            <w:tcW w:w="6149" w:type="dxa"/>
            <w:vAlign w:val="center"/>
          </w:tcPr>
          <w:p w14:paraId="16354D64">
            <w:pPr>
              <w:adjustRightInd w:val="0"/>
              <w:rPr>
                <w:rFonts w:hint="eastAsia" w:ascii="宋体" w:hAnsi="宋体" w:cs="宋体"/>
                <w:szCs w:val="21"/>
              </w:rPr>
            </w:pPr>
            <w:r>
              <w:rPr>
                <w:rFonts w:hint="eastAsia" w:ascii="宋体" w:hAnsi="宋体" w:cs="宋体"/>
                <w:color w:val="000000"/>
                <w:kern w:val="0"/>
                <w:szCs w:val="21"/>
              </w:rPr>
              <w:t>中债综合财富（总值）指数收益率×90%+1年期定期存款利率（税后）×10%。</w:t>
            </w:r>
          </w:p>
        </w:tc>
      </w:tr>
      <w:tr w14:paraId="35FAF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373" w:type="dxa"/>
            <w:vAlign w:val="center"/>
          </w:tcPr>
          <w:p w14:paraId="4C868D16">
            <w:pPr>
              <w:adjustRightInd w:val="0"/>
              <w:rPr>
                <w:rFonts w:hint="eastAsia" w:ascii="宋体" w:hAnsi="宋体" w:cs="宋体"/>
                <w:szCs w:val="21"/>
              </w:rPr>
            </w:pPr>
            <w:r>
              <w:rPr>
                <w:rFonts w:hint="eastAsia" w:ascii="宋体" w:hAnsi="宋体" w:cs="宋体"/>
                <w:color w:val="000000"/>
                <w:kern w:val="0"/>
                <w:szCs w:val="21"/>
              </w:rPr>
              <w:t>风险收益特征</w:t>
            </w:r>
          </w:p>
        </w:tc>
        <w:tc>
          <w:tcPr>
            <w:tcW w:w="6149" w:type="dxa"/>
            <w:vAlign w:val="center"/>
          </w:tcPr>
          <w:p w14:paraId="61BDE89D">
            <w:pPr>
              <w:adjustRightInd w:val="0"/>
              <w:rPr>
                <w:rFonts w:hint="eastAsia" w:ascii="宋体" w:hAnsi="宋体" w:cs="宋体"/>
                <w:szCs w:val="21"/>
              </w:rPr>
            </w:pPr>
            <w:r>
              <w:rPr>
                <w:rFonts w:hint="eastAsia" w:ascii="宋体" w:hAnsi="宋体" w:cs="宋体"/>
                <w:color w:val="000000"/>
                <w:kern w:val="0"/>
                <w:szCs w:val="21"/>
              </w:rPr>
              <w:t>本基金为债券型基金，预期收益和预期风险高于货币市场基金，但低于混合型基金、股票型基金，属于中等风险/收益的产品。</w:t>
            </w:r>
          </w:p>
        </w:tc>
      </w:tr>
    </w:tbl>
    <w:p w14:paraId="4EBDF62C">
      <w:pPr>
        <w:pStyle w:val="2"/>
        <w:keepNext/>
        <w:keepLines/>
        <w:widowControl w:val="0"/>
        <w:spacing w:before="312" w:beforeLines="100" w:after="312" w:afterLines="100" w:line="360" w:lineRule="auto"/>
        <w:jc w:val="center"/>
        <w:rPr>
          <w:rStyle w:val="26"/>
          <w:rFonts w:hint="eastAsia" w:ascii="宋体" w:hAnsi="宋体" w:cs="宋体"/>
          <w:b w:val="0"/>
        </w:rPr>
      </w:pPr>
      <w:bookmarkStart w:id="22" w:name="_Toc409100049"/>
      <w:bookmarkStart w:id="23" w:name="_Toc361324850"/>
      <w:bookmarkStart w:id="24" w:name="_Toc409100412"/>
      <w:bookmarkStart w:id="25" w:name="_Toc225498250"/>
      <w:bookmarkStart w:id="26" w:name="_Toc484769799"/>
      <w:bookmarkStart w:id="27" w:name="_Toc491963082"/>
      <w:r>
        <w:rPr>
          <w:rStyle w:val="26"/>
          <w:rFonts w:hint="eastAsia" w:ascii="宋体" w:hAnsi="宋体" w:cs="宋体"/>
        </w:rPr>
        <w:t>3</w:t>
      </w:r>
      <w:bookmarkEnd w:id="22"/>
      <w:bookmarkEnd w:id="23"/>
      <w:bookmarkEnd w:id="24"/>
      <w:bookmarkEnd w:id="25"/>
      <w:r>
        <w:rPr>
          <w:rStyle w:val="26"/>
          <w:rFonts w:hint="eastAsia" w:ascii="宋体" w:hAnsi="宋体" w:cs="宋体"/>
        </w:rPr>
        <w:t>、基金运作情况说明</w:t>
      </w:r>
      <w:bookmarkEnd w:id="26"/>
      <w:bookmarkEnd w:id="27"/>
    </w:p>
    <w:p w14:paraId="64DBA158">
      <w:pPr>
        <w:pStyle w:val="29"/>
        <w:rPr>
          <w:rFonts w:hint="eastAsia" w:cs="宋体"/>
          <w:color w:val="auto"/>
        </w:rPr>
      </w:pPr>
      <w:r>
        <w:rPr>
          <w:rFonts w:hint="eastAsia" w:cs="宋体"/>
          <w:color w:val="auto"/>
        </w:rPr>
        <w:t>本基金经中国证券监督管理委员会（以下简称“中国证监会”）证监许可[2016]802号《关于准予博时裕盛纯债债券型证券投资基金注册的批复》准予注册，由博时基金管理有限公司依照《中华人民共和国证券投资基金法》和《博时裕盛纯债债券型证券投资基金基金合同》负责公开募集。本基金为契约型开放式，存续期限不定，首次设立募集不包括认购资金利息共募集210,422,185.41元，业经普华永道中天会计师事务所（特殊普通合伙）普华永道中天验字（2016）第568号验资报告予以验证。经向中国证监会备案，《博时裕盛纯债债券型证券投资基金基金合同》于2016年5月20日正式生效，基金合同生效日的基金份额总额为210,422,220.70份基金份额，其中认购资金利息折合35.29份基金份额。本基金的基金管理人为博时基金管理有限公司，基金托管人为南京银行股份有限公司。</w:t>
      </w:r>
    </w:p>
    <w:p w14:paraId="22231BF0">
      <w:pPr>
        <w:pStyle w:val="29"/>
        <w:rPr>
          <w:rFonts w:hint="eastAsia" w:cs="宋体"/>
          <w:color w:val="auto"/>
        </w:rPr>
      </w:pPr>
      <w:r>
        <w:rPr>
          <w:rFonts w:hint="eastAsia" w:cs="宋体"/>
          <w:color w:val="auto"/>
        </w:rPr>
        <w:t>自2016年5月20日至2026年3月26日期间，本基金按基金合同正常运作。</w:t>
      </w:r>
    </w:p>
    <w:p w14:paraId="02EBF38E">
      <w:pPr>
        <w:pStyle w:val="29"/>
        <w:rPr>
          <w:rFonts w:hint="eastAsia" w:cs="宋体"/>
          <w:color w:val="auto"/>
        </w:rPr>
      </w:pPr>
      <w:r>
        <w:rPr>
          <w:rFonts w:hint="eastAsia" w:cs="宋体"/>
          <w:color w:val="auto"/>
        </w:rPr>
        <w:t>根据《基金合同》以及基金管理人博时基金管理有限公司于2026年3月27日发布的《博时基金管理有限公司关于博时裕盛纯债债券型证券投资基金基金合同终止及基金财产清算的公告》，截至2026年3月26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7C3AFC9F">
      <w:pPr>
        <w:pStyle w:val="2"/>
        <w:keepNext/>
        <w:keepLines/>
        <w:widowControl w:val="0"/>
        <w:spacing w:before="312" w:beforeLines="100" w:after="312" w:afterLines="100" w:line="360" w:lineRule="auto"/>
        <w:jc w:val="center"/>
        <w:rPr>
          <w:rStyle w:val="26"/>
          <w:rFonts w:hint="eastAsia" w:ascii="宋体" w:hAnsi="宋体" w:cs="宋体"/>
        </w:rPr>
      </w:pPr>
      <w:bookmarkStart w:id="28" w:name="_Toc491963083"/>
      <w:bookmarkStart w:id="29" w:name="_Toc484769805"/>
      <w:r>
        <w:rPr>
          <w:rStyle w:val="26"/>
          <w:rFonts w:hint="eastAsia" w:ascii="宋体" w:hAnsi="宋体" w:cs="宋体"/>
        </w:rPr>
        <w:t>4、财务报告</w:t>
      </w:r>
      <w:bookmarkEnd w:id="28"/>
      <w:bookmarkEnd w:id="29"/>
    </w:p>
    <w:p w14:paraId="74FEC61E">
      <w:pPr>
        <w:pStyle w:val="3"/>
        <w:spacing w:before="0" w:after="0"/>
        <w:rPr>
          <w:rFonts w:hint="eastAsia" w:ascii="宋体" w:hAnsi="宋体" w:cs="宋体"/>
          <w:kern w:val="0"/>
          <w:sz w:val="21"/>
          <w:szCs w:val="21"/>
        </w:rPr>
      </w:pPr>
      <w:bookmarkStart w:id="30" w:name="_Toc484607311"/>
      <w:bookmarkStart w:id="31" w:name="_Toc491963084"/>
      <w:bookmarkStart w:id="32" w:name="_Toc225498268"/>
      <w:bookmarkStart w:id="33" w:name="_Toc409100437"/>
      <w:bookmarkStart w:id="34" w:name="_Toc409100074"/>
      <w:bookmarkStart w:id="35" w:name="_Toc483396838"/>
      <w:bookmarkStart w:id="36" w:name="_Toc484769806"/>
      <w:bookmarkStart w:id="37" w:name="_Toc476577275"/>
      <w:bookmarkStart w:id="38" w:name="_Toc361324873"/>
      <w:r>
        <w:rPr>
          <w:rFonts w:hint="eastAsia" w:ascii="宋体" w:hAnsi="宋体" w:cs="宋体"/>
          <w:kern w:val="0"/>
          <w:sz w:val="21"/>
          <w:szCs w:val="21"/>
        </w:rPr>
        <w:t>4.1 资产负债表</w:t>
      </w:r>
      <w:bookmarkEnd w:id="30"/>
      <w:bookmarkEnd w:id="31"/>
      <w:bookmarkEnd w:id="32"/>
      <w:bookmarkEnd w:id="33"/>
      <w:bookmarkEnd w:id="34"/>
      <w:bookmarkEnd w:id="35"/>
      <w:bookmarkEnd w:id="36"/>
      <w:bookmarkEnd w:id="37"/>
      <w:bookmarkEnd w:id="38"/>
      <w:r>
        <w:rPr>
          <w:rFonts w:hint="eastAsia" w:ascii="宋体" w:hAnsi="宋体" w:cs="宋体"/>
          <w:kern w:val="0"/>
          <w:sz w:val="21"/>
          <w:szCs w:val="21"/>
        </w:rPr>
        <w:t>(已经审计)</w:t>
      </w:r>
    </w:p>
    <w:p w14:paraId="06B2C0AC">
      <w:pPr>
        <w:autoSpaceDE w:val="0"/>
        <w:autoSpaceDN w:val="0"/>
        <w:adjustRightInd w:val="0"/>
        <w:spacing w:before="29" w:line="360" w:lineRule="auto"/>
        <w:ind w:left="15"/>
        <w:jc w:val="right"/>
        <w:rPr>
          <w:rFonts w:hint="eastAsia" w:ascii="宋体" w:hAnsi="宋体" w:cs="宋体"/>
          <w:kern w:val="0"/>
          <w:szCs w:val="21"/>
        </w:rPr>
      </w:pPr>
      <w:r>
        <w:rPr>
          <w:rFonts w:hint="eastAsia" w:ascii="宋体" w:hAnsi="宋体" w:cs="宋体"/>
          <w:kern w:val="0"/>
          <w:szCs w:val="21"/>
        </w:rPr>
        <w:t>单位：人民币元</w:t>
      </w:r>
    </w:p>
    <w:tbl>
      <w:tblPr>
        <w:tblStyle w:val="13"/>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6"/>
        <w:gridCol w:w="5358"/>
      </w:tblGrid>
      <w:tr w14:paraId="297F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center"/>
          </w:tcPr>
          <w:p w14:paraId="760F74B0">
            <w:pPr>
              <w:pStyle w:val="11"/>
              <w:spacing w:before="0" w:beforeAutospacing="0" w:after="0" w:afterAutospacing="0"/>
              <w:jc w:val="center"/>
              <w:rPr>
                <w:rFonts w:hint="eastAsia" w:ascii="宋体" w:hAnsi="宋体" w:eastAsia="宋体" w:cs="宋体"/>
                <w:b/>
                <w:sz w:val="21"/>
                <w:szCs w:val="21"/>
                <w:lang w:eastAsia="zh-CN"/>
              </w:rPr>
            </w:pPr>
            <w:bookmarkStart w:id="39" w:name="_Hlk174110252"/>
            <w:r>
              <w:rPr>
                <w:rFonts w:hint="eastAsia" w:ascii="宋体" w:hAnsi="宋体" w:eastAsia="宋体" w:cs="宋体"/>
                <w:b/>
                <w:sz w:val="21"/>
                <w:szCs w:val="21"/>
                <w:lang w:eastAsia="zh-CN"/>
              </w:rPr>
              <w:t>项目</w:t>
            </w:r>
          </w:p>
        </w:tc>
        <w:tc>
          <w:tcPr>
            <w:tcW w:w="5358" w:type="dxa"/>
            <w:vAlign w:val="bottom"/>
          </w:tcPr>
          <w:p w14:paraId="57F8C962">
            <w:pPr>
              <w:pStyle w:val="11"/>
              <w:spacing w:before="0" w:beforeAutospacing="0" w:after="0" w:afterAutospacing="0"/>
              <w:ind w:left="-110" w:right="-84"/>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2026年3月26日</w:t>
            </w:r>
          </w:p>
          <w:p w14:paraId="1B713E5D">
            <w:pPr>
              <w:pStyle w:val="11"/>
              <w:spacing w:before="0" w:beforeAutospacing="0" w:after="0" w:afterAutospacing="0"/>
              <w:ind w:left="-110" w:right="-84"/>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（基金最后运作日）</w:t>
            </w:r>
          </w:p>
        </w:tc>
      </w:tr>
      <w:tr w14:paraId="1D72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50909803">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资 产：</w:t>
            </w:r>
          </w:p>
        </w:tc>
        <w:tc>
          <w:tcPr>
            <w:tcW w:w="5358" w:type="dxa"/>
          </w:tcPr>
          <w:p w14:paraId="2210AFFA">
            <w:pPr>
              <w:pStyle w:val="11"/>
              <w:spacing w:before="0" w:beforeAutospacing="0" w:after="0" w:afterAutospacing="0"/>
              <w:rPr>
                <w:rFonts w:hint="eastAsia" w:ascii="宋体" w:hAnsi="宋体" w:eastAsia="宋体" w:cs="宋体"/>
                <w:sz w:val="21"/>
                <w:szCs w:val="21"/>
                <w:lang w:eastAsia="zh-CN"/>
              </w:rPr>
            </w:pPr>
          </w:p>
        </w:tc>
      </w:tr>
      <w:tr w14:paraId="785E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41F42CA7">
            <w:pPr>
              <w:pStyle w:val="11"/>
              <w:spacing w:before="0" w:beforeAutospacing="0" w:after="0" w:afterAutospacing="0"/>
              <w:rPr>
                <w:rFonts w:hint="eastAsia" w:ascii="宋体" w:hAnsi="宋体" w:eastAsia="宋体" w:cs="宋体"/>
                <w:sz w:val="21"/>
                <w:szCs w:val="21"/>
                <w:lang w:eastAsia="zh-CN"/>
              </w:rPr>
            </w:pPr>
            <w:r>
              <w:rPr>
                <w:rFonts w:hint="eastAsia" w:ascii="宋体" w:hAnsi="宋体" w:eastAsia="宋体" w:cs="宋体"/>
                <w:sz w:val="21"/>
                <w:szCs w:val="21"/>
                <w:lang w:eastAsia="zh-CN"/>
              </w:rPr>
              <w:t>货币资金</w:t>
            </w:r>
          </w:p>
        </w:tc>
        <w:tc>
          <w:tcPr>
            <w:tcW w:w="5358" w:type="dxa"/>
          </w:tcPr>
          <w:p w14:paraId="4CCC388E">
            <w:pPr>
              <w:tabs>
                <w:tab w:val="left" w:pos="1474"/>
              </w:tabs>
              <w:ind w:left="-72"/>
              <w:jc w:val="right"/>
              <w:rPr>
                <w:rFonts w:hint="eastAsia" w:ascii="宋体" w:hAnsi="宋体" w:cs="宋体"/>
                <w:szCs w:val="21"/>
              </w:rPr>
            </w:pPr>
            <w:r>
              <w:rPr>
                <w:rFonts w:hint="eastAsia" w:ascii="宋体" w:hAnsi="宋体" w:cs="宋体"/>
                <w:szCs w:val="21"/>
              </w:rPr>
              <w:t xml:space="preserve"> 181,801.54 </w:t>
            </w:r>
          </w:p>
        </w:tc>
      </w:tr>
      <w:tr w14:paraId="599E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06744D68">
            <w:pPr>
              <w:pStyle w:val="11"/>
              <w:spacing w:before="0" w:beforeAutospacing="0" w:after="0" w:afterAutospacing="0"/>
              <w:rPr>
                <w:rFonts w:hint="eastAsia" w:ascii="宋体" w:hAnsi="宋体" w:eastAsia="宋体" w:cs="宋体"/>
                <w:sz w:val="21"/>
                <w:szCs w:val="21"/>
                <w:lang w:eastAsia="zh-CN"/>
              </w:rPr>
            </w:pPr>
            <w:r>
              <w:rPr>
                <w:rFonts w:hint="eastAsia" w:ascii="宋体" w:hAnsi="宋体" w:eastAsia="宋体" w:cs="宋体"/>
                <w:sz w:val="21"/>
                <w:szCs w:val="21"/>
                <w:lang w:eastAsia="zh-CN"/>
              </w:rPr>
              <w:t>结算备付金</w:t>
            </w:r>
          </w:p>
        </w:tc>
        <w:tc>
          <w:tcPr>
            <w:tcW w:w="5358" w:type="dxa"/>
          </w:tcPr>
          <w:p w14:paraId="776CF33A">
            <w:pPr>
              <w:tabs>
                <w:tab w:val="left" w:pos="1474"/>
              </w:tabs>
              <w:ind w:left="-72"/>
              <w:jc w:val="right"/>
              <w:rPr>
                <w:rFonts w:hint="eastAsia" w:ascii="宋体" w:hAnsi="宋体" w:cs="宋体"/>
                <w:szCs w:val="21"/>
              </w:rPr>
            </w:pPr>
            <w:r>
              <w:rPr>
                <w:rFonts w:hint="eastAsia" w:ascii="宋体" w:hAnsi="宋体" w:cs="宋体"/>
                <w:szCs w:val="21"/>
              </w:rPr>
              <w:t xml:space="preserve"> -   </w:t>
            </w:r>
          </w:p>
        </w:tc>
      </w:tr>
      <w:tr w14:paraId="3592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56F331E3">
            <w:pPr>
              <w:pStyle w:val="11"/>
              <w:spacing w:before="0" w:beforeAutospacing="0" w:after="0" w:afterAutospacing="0"/>
              <w:rPr>
                <w:rFonts w:hint="eastAsia" w:ascii="宋体" w:hAnsi="宋体" w:eastAsia="宋体" w:cs="宋体"/>
                <w:sz w:val="21"/>
                <w:szCs w:val="21"/>
                <w:lang w:eastAsia="zh-CN"/>
              </w:rPr>
            </w:pPr>
            <w:r>
              <w:rPr>
                <w:rFonts w:hint="eastAsia" w:ascii="宋体" w:hAnsi="宋体" w:eastAsia="宋体" w:cs="宋体"/>
                <w:sz w:val="21"/>
                <w:szCs w:val="21"/>
                <w:lang w:eastAsia="zh-CN"/>
              </w:rPr>
              <w:t>存出保证金</w:t>
            </w:r>
          </w:p>
        </w:tc>
        <w:tc>
          <w:tcPr>
            <w:tcW w:w="5358" w:type="dxa"/>
          </w:tcPr>
          <w:p w14:paraId="7D814C27">
            <w:pPr>
              <w:tabs>
                <w:tab w:val="left" w:pos="1474"/>
              </w:tabs>
              <w:ind w:left="-72"/>
              <w:jc w:val="right"/>
              <w:rPr>
                <w:rFonts w:hint="eastAsia" w:ascii="宋体" w:hAnsi="宋体" w:cs="宋体"/>
                <w:szCs w:val="21"/>
              </w:rPr>
            </w:pPr>
            <w:r>
              <w:rPr>
                <w:rFonts w:hint="eastAsia" w:ascii="宋体" w:hAnsi="宋体" w:cs="宋体"/>
                <w:szCs w:val="21"/>
              </w:rPr>
              <w:t xml:space="preserve"> 5,196.06 </w:t>
            </w:r>
          </w:p>
        </w:tc>
      </w:tr>
      <w:tr w14:paraId="0A6C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center"/>
          </w:tcPr>
          <w:p w14:paraId="0F02E37B">
            <w:pPr>
              <w:pStyle w:val="11"/>
              <w:spacing w:before="0" w:beforeAutospacing="0" w:after="0" w:afterAutospacing="0"/>
              <w:rPr>
                <w:rFonts w:hint="eastAsia" w:ascii="宋体" w:hAnsi="宋体" w:eastAsia="宋体" w:cs="宋体"/>
                <w:sz w:val="21"/>
                <w:szCs w:val="21"/>
                <w:lang w:eastAsia="zh-CN"/>
              </w:rPr>
            </w:pPr>
            <w:r>
              <w:rPr>
                <w:rFonts w:hint="eastAsia" w:ascii="宋体" w:hAnsi="宋体" w:eastAsia="宋体" w:cs="宋体"/>
                <w:sz w:val="21"/>
                <w:szCs w:val="21"/>
                <w:lang w:eastAsia="zh-CN"/>
              </w:rPr>
              <w:t>交易性金融资产</w:t>
            </w:r>
          </w:p>
        </w:tc>
        <w:tc>
          <w:tcPr>
            <w:tcW w:w="5358" w:type="dxa"/>
          </w:tcPr>
          <w:p w14:paraId="6B4699D0">
            <w:pPr>
              <w:tabs>
                <w:tab w:val="left" w:pos="1474"/>
              </w:tabs>
              <w:ind w:left="-72"/>
              <w:jc w:val="right"/>
              <w:rPr>
                <w:rFonts w:hint="eastAsia" w:ascii="宋体" w:hAnsi="宋体" w:cs="宋体"/>
                <w:szCs w:val="21"/>
              </w:rPr>
            </w:pPr>
            <w:r>
              <w:rPr>
                <w:rFonts w:hint="eastAsia" w:ascii="宋体" w:hAnsi="宋体" w:cs="宋体"/>
                <w:szCs w:val="21"/>
              </w:rPr>
              <w:t xml:space="preserve"> 908,048.87 </w:t>
            </w:r>
          </w:p>
        </w:tc>
      </w:tr>
      <w:tr w14:paraId="3119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center"/>
          </w:tcPr>
          <w:p w14:paraId="4E6D02C3">
            <w:pPr>
              <w:pStyle w:val="11"/>
              <w:spacing w:before="0" w:beforeAutospacing="0" w:after="0" w:afterAutospacing="0"/>
              <w:rPr>
                <w:rFonts w:hint="eastAsia" w:ascii="宋体" w:hAnsi="宋体" w:eastAsia="宋体" w:cs="宋体"/>
                <w:sz w:val="21"/>
                <w:szCs w:val="21"/>
                <w:lang w:eastAsia="zh-CN"/>
              </w:rPr>
            </w:pPr>
            <w:r>
              <w:rPr>
                <w:rFonts w:hint="eastAsia" w:ascii="宋体" w:hAnsi="宋体" w:eastAsia="宋体" w:cs="宋体"/>
                <w:sz w:val="21"/>
                <w:szCs w:val="21"/>
                <w:lang w:eastAsia="zh-CN"/>
              </w:rPr>
              <w:t>其中：债券投资</w:t>
            </w:r>
          </w:p>
        </w:tc>
        <w:tc>
          <w:tcPr>
            <w:tcW w:w="5358" w:type="dxa"/>
          </w:tcPr>
          <w:p w14:paraId="38DBAEDB">
            <w:pPr>
              <w:tabs>
                <w:tab w:val="left" w:pos="1474"/>
              </w:tabs>
              <w:ind w:left="-72"/>
              <w:jc w:val="right"/>
              <w:rPr>
                <w:rFonts w:hint="eastAsia" w:ascii="宋体" w:hAnsi="宋体" w:cs="宋体"/>
                <w:szCs w:val="21"/>
              </w:rPr>
            </w:pPr>
            <w:r>
              <w:rPr>
                <w:rFonts w:hint="eastAsia" w:ascii="宋体" w:hAnsi="宋体" w:cs="宋体"/>
                <w:szCs w:val="21"/>
              </w:rPr>
              <w:t xml:space="preserve">908,048.87   </w:t>
            </w:r>
          </w:p>
        </w:tc>
      </w:tr>
      <w:tr w14:paraId="023E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3CA01069">
            <w:pPr>
              <w:pStyle w:val="11"/>
              <w:spacing w:before="0" w:beforeAutospacing="0" w:after="0" w:afterAutospacing="0"/>
              <w:rPr>
                <w:rFonts w:hint="eastAsia" w:ascii="宋体" w:hAnsi="宋体" w:eastAsia="宋体" w:cs="宋体"/>
                <w:bCs/>
                <w:sz w:val="21"/>
                <w:szCs w:val="21"/>
              </w:rPr>
            </w:pPr>
            <w:r>
              <w:rPr>
                <w:rFonts w:hint="eastAsia" w:ascii="宋体" w:hAnsi="宋体" w:eastAsia="宋体" w:cs="宋体"/>
                <w:bCs/>
                <w:sz w:val="21"/>
                <w:szCs w:val="21"/>
                <w:lang w:eastAsia="zh-CN"/>
              </w:rPr>
              <w:t>应收申购款</w:t>
            </w:r>
          </w:p>
        </w:tc>
        <w:tc>
          <w:tcPr>
            <w:tcW w:w="5358" w:type="dxa"/>
          </w:tcPr>
          <w:p w14:paraId="643CDE07">
            <w:pPr>
              <w:tabs>
                <w:tab w:val="left" w:pos="1474"/>
              </w:tabs>
              <w:ind w:left="-72"/>
              <w:jc w:val="right"/>
              <w:rPr>
                <w:rFonts w:hint="eastAsia" w:ascii="宋体" w:hAnsi="宋体" w:cs="宋体"/>
                <w:szCs w:val="21"/>
              </w:rPr>
            </w:pPr>
            <w:r>
              <w:rPr>
                <w:rFonts w:hint="eastAsia" w:ascii="宋体" w:hAnsi="宋体" w:cs="宋体"/>
                <w:szCs w:val="21"/>
              </w:rPr>
              <w:t xml:space="preserve"> 19.99 </w:t>
            </w:r>
          </w:p>
        </w:tc>
      </w:tr>
      <w:tr w14:paraId="66C7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2B2878F8">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资产总计</w:t>
            </w:r>
          </w:p>
        </w:tc>
        <w:tc>
          <w:tcPr>
            <w:tcW w:w="5358" w:type="dxa"/>
          </w:tcPr>
          <w:p w14:paraId="32D6F2DF">
            <w:pPr>
              <w:tabs>
                <w:tab w:val="left" w:pos="1474"/>
              </w:tabs>
              <w:ind w:left="-72"/>
              <w:jc w:val="right"/>
              <w:rPr>
                <w:rFonts w:hint="eastAsia" w:ascii="宋体" w:hAnsi="宋体" w:cs="宋体"/>
                <w:b/>
                <w:bCs/>
                <w:szCs w:val="21"/>
              </w:rPr>
            </w:pPr>
            <w:r>
              <w:rPr>
                <w:rFonts w:hint="eastAsia" w:ascii="宋体" w:hAnsi="宋体" w:cs="宋体"/>
                <w:b/>
                <w:bCs/>
                <w:szCs w:val="21"/>
              </w:rPr>
              <w:t xml:space="preserve"> 1,095,066.46 </w:t>
            </w:r>
          </w:p>
        </w:tc>
      </w:tr>
      <w:tr w14:paraId="5517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047CC890">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负债和</w:t>
            </w:r>
            <w:r>
              <w:rPr>
                <w:rFonts w:hint="eastAsia" w:ascii="宋体" w:hAnsi="宋体" w:eastAsia="宋体" w:cs="宋体"/>
                <w:b/>
                <w:sz w:val="21"/>
                <w:szCs w:val="21"/>
                <w:lang w:eastAsia="zh-CN"/>
              </w:rPr>
              <w:t>净资产</w:t>
            </w:r>
          </w:p>
        </w:tc>
        <w:tc>
          <w:tcPr>
            <w:tcW w:w="5358" w:type="dxa"/>
          </w:tcPr>
          <w:p w14:paraId="38C62424">
            <w:pPr>
              <w:tabs>
                <w:tab w:val="left" w:pos="1474"/>
              </w:tabs>
              <w:ind w:left="-72"/>
              <w:jc w:val="right"/>
              <w:rPr>
                <w:rFonts w:hint="eastAsia" w:ascii="宋体" w:hAnsi="宋体" w:cs="宋体"/>
                <w:szCs w:val="21"/>
              </w:rPr>
            </w:pPr>
          </w:p>
        </w:tc>
      </w:tr>
      <w:tr w14:paraId="2CD6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3E0869DC">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负 债：</w:t>
            </w:r>
          </w:p>
        </w:tc>
        <w:tc>
          <w:tcPr>
            <w:tcW w:w="5358" w:type="dxa"/>
          </w:tcPr>
          <w:p w14:paraId="7AB2A3B9">
            <w:pPr>
              <w:tabs>
                <w:tab w:val="left" w:pos="1474"/>
              </w:tabs>
              <w:ind w:left="-72"/>
              <w:jc w:val="right"/>
              <w:rPr>
                <w:rFonts w:hint="eastAsia" w:ascii="宋体" w:hAnsi="宋体" w:cs="宋体"/>
                <w:szCs w:val="21"/>
              </w:rPr>
            </w:pPr>
          </w:p>
        </w:tc>
      </w:tr>
      <w:tr w14:paraId="40FE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3B9FCF36">
            <w:pPr>
              <w:pStyle w:val="11"/>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应付赎回款</w:t>
            </w:r>
          </w:p>
        </w:tc>
        <w:tc>
          <w:tcPr>
            <w:tcW w:w="5358" w:type="dxa"/>
          </w:tcPr>
          <w:p w14:paraId="762E4A41">
            <w:pPr>
              <w:tabs>
                <w:tab w:val="left" w:pos="1474"/>
              </w:tabs>
              <w:ind w:left="-72"/>
              <w:jc w:val="right"/>
              <w:rPr>
                <w:rFonts w:hint="eastAsia" w:ascii="宋体" w:hAnsi="宋体" w:cs="宋体"/>
                <w:szCs w:val="21"/>
              </w:rPr>
            </w:pPr>
            <w:r>
              <w:rPr>
                <w:rFonts w:hint="eastAsia" w:ascii="宋体" w:hAnsi="宋体" w:cs="宋体"/>
                <w:szCs w:val="21"/>
              </w:rPr>
              <w:t xml:space="preserve"> 17,861.73 </w:t>
            </w:r>
          </w:p>
        </w:tc>
      </w:tr>
      <w:tr w14:paraId="47758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610C9A12">
            <w:pPr>
              <w:pStyle w:val="11"/>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应付管理人报酬</w:t>
            </w:r>
          </w:p>
        </w:tc>
        <w:tc>
          <w:tcPr>
            <w:tcW w:w="5358" w:type="dxa"/>
          </w:tcPr>
          <w:p w14:paraId="1466D515">
            <w:pPr>
              <w:tabs>
                <w:tab w:val="left" w:pos="1474"/>
              </w:tabs>
              <w:ind w:left="-72"/>
              <w:jc w:val="right"/>
              <w:rPr>
                <w:rFonts w:hint="eastAsia" w:ascii="宋体" w:hAnsi="宋体" w:cs="宋体"/>
                <w:szCs w:val="21"/>
              </w:rPr>
            </w:pPr>
            <w:r>
              <w:rPr>
                <w:rFonts w:hint="eastAsia" w:ascii="宋体" w:hAnsi="宋体" w:cs="宋体"/>
                <w:szCs w:val="21"/>
              </w:rPr>
              <w:t xml:space="preserve"> 416.28 </w:t>
            </w:r>
          </w:p>
        </w:tc>
      </w:tr>
      <w:tr w14:paraId="5D15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625B6B40">
            <w:pPr>
              <w:pStyle w:val="11"/>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rPr>
              <w:t>应付托管费</w:t>
            </w:r>
          </w:p>
        </w:tc>
        <w:tc>
          <w:tcPr>
            <w:tcW w:w="5358" w:type="dxa"/>
          </w:tcPr>
          <w:p w14:paraId="37B627AC">
            <w:pPr>
              <w:tabs>
                <w:tab w:val="left" w:pos="1474"/>
              </w:tabs>
              <w:ind w:left="-72"/>
              <w:jc w:val="right"/>
              <w:rPr>
                <w:rFonts w:hint="eastAsia" w:ascii="宋体" w:hAnsi="宋体" w:cs="宋体"/>
                <w:szCs w:val="21"/>
              </w:rPr>
            </w:pPr>
            <w:r>
              <w:rPr>
                <w:rFonts w:hint="eastAsia" w:ascii="宋体" w:hAnsi="宋体" w:cs="宋体"/>
                <w:szCs w:val="21"/>
              </w:rPr>
              <w:t xml:space="preserve"> 138.75 </w:t>
            </w:r>
          </w:p>
        </w:tc>
      </w:tr>
      <w:tr w14:paraId="5680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1A1B4D6C">
            <w:pPr>
              <w:pStyle w:val="11"/>
              <w:spacing w:before="0" w:beforeAutospacing="0" w:after="0" w:afterAutospacing="0"/>
              <w:rPr>
                <w:rFonts w:hint="eastAsia" w:ascii="宋体" w:hAnsi="宋体" w:eastAsia="宋体" w:cs="宋体"/>
                <w:sz w:val="21"/>
                <w:szCs w:val="21"/>
              </w:rPr>
            </w:pPr>
            <w:r>
              <w:rPr>
                <w:rFonts w:hint="eastAsia" w:ascii="宋体" w:hAnsi="宋体" w:eastAsia="宋体" w:cs="宋体"/>
                <w:sz w:val="21"/>
                <w:szCs w:val="21"/>
                <w:lang w:eastAsia="zh-CN"/>
              </w:rPr>
              <w:t>应付销售服务费</w:t>
            </w:r>
          </w:p>
        </w:tc>
        <w:tc>
          <w:tcPr>
            <w:tcW w:w="5358" w:type="dxa"/>
          </w:tcPr>
          <w:p w14:paraId="1E238B53">
            <w:pPr>
              <w:tabs>
                <w:tab w:val="left" w:pos="1474"/>
              </w:tabs>
              <w:ind w:left="-72"/>
              <w:jc w:val="right"/>
              <w:rPr>
                <w:rFonts w:hint="eastAsia" w:ascii="宋体" w:hAnsi="宋体" w:cs="宋体"/>
                <w:szCs w:val="21"/>
              </w:rPr>
            </w:pPr>
            <w:r>
              <w:rPr>
                <w:rFonts w:hint="eastAsia" w:ascii="宋体" w:hAnsi="宋体" w:cs="宋体"/>
                <w:szCs w:val="21"/>
              </w:rPr>
              <w:t xml:space="preserve"> 11.14 </w:t>
            </w:r>
          </w:p>
        </w:tc>
      </w:tr>
      <w:tr w14:paraId="19736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2C8A1E04">
            <w:pPr>
              <w:pStyle w:val="11"/>
              <w:spacing w:before="0" w:beforeAutospacing="0" w:after="0" w:afterAutospacing="0"/>
              <w:rPr>
                <w:rFonts w:hint="eastAsia" w:ascii="宋体" w:hAnsi="宋体" w:eastAsia="宋体" w:cs="宋体"/>
                <w:sz w:val="21"/>
                <w:szCs w:val="21"/>
                <w:lang w:eastAsia="zh-CN"/>
              </w:rPr>
            </w:pPr>
            <w:r>
              <w:rPr>
                <w:rFonts w:hint="eastAsia" w:ascii="宋体" w:hAnsi="宋体" w:eastAsia="宋体" w:cs="宋体"/>
                <w:sz w:val="21"/>
                <w:szCs w:val="21"/>
                <w:lang w:eastAsia="zh-CN"/>
              </w:rPr>
              <w:t>应交税费</w:t>
            </w:r>
          </w:p>
        </w:tc>
        <w:tc>
          <w:tcPr>
            <w:tcW w:w="5358" w:type="dxa"/>
          </w:tcPr>
          <w:p w14:paraId="3A2F7D85">
            <w:pPr>
              <w:tabs>
                <w:tab w:val="left" w:pos="1474"/>
              </w:tabs>
              <w:ind w:left="-72"/>
              <w:jc w:val="right"/>
              <w:rPr>
                <w:rFonts w:hint="eastAsia" w:ascii="宋体" w:hAnsi="宋体" w:cs="宋体"/>
                <w:szCs w:val="21"/>
              </w:rPr>
            </w:pPr>
            <w:r>
              <w:rPr>
                <w:rFonts w:hint="eastAsia" w:ascii="宋体" w:hAnsi="宋体" w:cs="宋体"/>
                <w:szCs w:val="21"/>
              </w:rPr>
              <w:t xml:space="preserve"> 36.96 </w:t>
            </w:r>
          </w:p>
        </w:tc>
      </w:tr>
      <w:tr w14:paraId="49C0D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7C05A199">
            <w:pPr>
              <w:pStyle w:val="11"/>
              <w:spacing w:before="0" w:beforeAutospacing="0" w:after="0" w:afterAutospacing="0"/>
              <w:rPr>
                <w:rFonts w:hint="eastAsia" w:ascii="宋体" w:hAnsi="宋体" w:eastAsia="宋体" w:cs="宋体"/>
                <w:sz w:val="21"/>
                <w:szCs w:val="21"/>
                <w:lang w:eastAsia="zh-CN"/>
              </w:rPr>
            </w:pPr>
            <w:r>
              <w:rPr>
                <w:rFonts w:hint="eastAsia" w:ascii="宋体" w:hAnsi="宋体" w:eastAsia="宋体" w:cs="宋体"/>
                <w:sz w:val="21"/>
                <w:szCs w:val="21"/>
                <w:lang w:eastAsia="zh-CN"/>
              </w:rPr>
              <w:t>其他负债</w:t>
            </w:r>
          </w:p>
        </w:tc>
        <w:tc>
          <w:tcPr>
            <w:tcW w:w="5358" w:type="dxa"/>
            <w:tcBorders>
              <w:bottom w:val="single" w:color="auto" w:sz="4" w:space="0"/>
            </w:tcBorders>
          </w:tcPr>
          <w:p w14:paraId="2F652AC2">
            <w:pPr>
              <w:tabs>
                <w:tab w:val="left" w:pos="1474"/>
              </w:tabs>
              <w:ind w:left="-72"/>
              <w:jc w:val="right"/>
              <w:rPr>
                <w:rFonts w:hint="eastAsia" w:ascii="宋体" w:hAnsi="宋体" w:cs="宋体"/>
                <w:szCs w:val="21"/>
              </w:rPr>
            </w:pPr>
            <w:r>
              <w:rPr>
                <w:rFonts w:hint="eastAsia" w:ascii="宋体" w:hAnsi="宋体" w:cs="宋体"/>
                <w:szCs w:val="21"/>
              </w:rPr>
              <w:t xml:space="preserve"> 35,000.00 </w:t>
            </w:r>
          </w:p>
        </w:tc>
      </w:tr>
      <w:tr w14:paraId="79CBF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6E098F8B">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rPr>
              <w:t>负债合计</w:t>
            </w:r>
          </w:p>
        </w:tc>
        <w:tc>
          <w:tcPr>
            <w:tcW w:w="5358" w:type="dxa"/>
          </w:tcPr>
          <w:p w14:paraId="5F21077F">
            <w:pPr>
              <w:tabs>
                <w:tab w:val="left" w:pos="1474"/>
              </w:tabs>
              <w:ind w:left="-72"/>
              <w:jc w:val="right"/>
              <w:rPr>
                <w:rFonts w:hint="eastAsia" w:ascii="宋体" w:hAnsi="宋体" w:cs="宋体"/>
                <w:b/>
                <w:bCs/>
                <w:szCs w:val="21"/>
              </w:rPr>
            </w:pPr>
            <w:r>
              <w:rPr>
                <w:rFonts w:hint="eastAsia" w:ascii="宋体" w:hAnsi="宋体" w:cs="宋体"/>
                <w:b/>
                <w:bCs/>
                <w:szCs w:val="21"/>
              </w:rPr>
              <w:t xml:space="preserve"> 53,464.86 </w:t>
            </w:r>
          </w:p>
        </w:tc>
      </w:tr>
      <w:tr w14:paraId="303A9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03A3FAD2">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lang w:eastAsia="zh-CN"/>
              </w:rPr>
              <w:t>净资产</w:t>
            </w:r>
            <w:r>
              <w:rPr>
                <w:rFonts w:hint="eastAsia" w:ascii="宋体" w:hAnsi="宋体" w:eastAsia="宋体" w:cs="宋体"/>
                <w:b/>
                <w:sz w:val="21"/>
                <w:szCs w:val="21"/>
              </w:rPr>
              <w:t>：</w:t>
            </w:r>
          </w:p>
        </w:tc>
        <w:tc>
          <w:tcPr>
            <w:tcW w:w="5358" w:type="dxa"/>
          </w:tcPr>
          <w:p w14:paraId="0FBAAD2B">
            <w:pPr>
              <w:tabs>
                <w:tab w:val="left" w:pos="1474"/>
              </w:tabs>
              <w:ind w:left="-72"/>
              <w:jc w:val="right"/>
              <w:rPr>
                <w:rFonts w:hint="eastAsia" w:ascii="宋体" w:hAnsi="宋体" w:cs="宋体"/>
                <w:szCs w:val="21"/>
              </w:rPr>
            </w:pPr>
          </w:p>
        </w:tc>
      </w:tr>
      <w:tr w14:paraId="451F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298F15C0">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sz w:val="21"/>
                <w:szCs w:val="21"/>
              </w:rPr>
              <w:t>实收基金</w:t>
            </w:r>
          </w:p>
        </w:tc>
        <w:tc>
          <w:tcPr>
            <w:tcW w:w="5358" w:type="dxa"/>
          </w:tcPr>
          <w:p w14:paraId="510F868D">
            <w:pPr>
              <w:tabs>
                <w:tab w:val="left" w:pos="1474"/>
              </w:tabs>
              <w:ind w:left="-72"/>
              <w:jc w:val="right"/>
              <w:rPr>
                <w:rFonts w:hint="eastAsia" w:ascii="宋体" w:hAnsi="宋体" w:cs="宋体"/>
                <w:szCs w:val="21"/>
              </w:rPr>
            </w:pPr>
            <w:r>
              <w:rPr>
                <w:rFonts w:hint="eastAsia" w:ascii="宋体" w:hAnsi="宋体" w:cs="宋体"/>
                <w:szCs w:val="21"/>
              </w:rPr>
              <w:t xml:space="preserve"> 1,002,580.71 </w:t>
            </w:r>
          </w:p>
        </w:tc>
      </w:tr>
      <w:tr w14:paraId="7D6C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357BF2DA">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sz w:val="21"/>
                <w:szCs w:val="21"/>
              </w:rPr>
              <w:t>未分配利润</w:t>
            </w:r>
          </w:p>
        </w:tc>
        <w:tc>
          <w:tcPr>
            <w:tcW w:w="5358" w:type="dxa"/>
            <w:tcBorders>
              <w:bottom w:val="single" w:color="auto" w:sz="4" w:space="0"/>
            </w:tcBorders>
          </w:tcPr>
          <w:p w14:paraId="14475075">
            <w:pPr>
              <w:tabs>
                <w:tab w:val="left" w:pos="1474"/>
              </w:tabs>
              <w:ind w:left="-72"/>
              <w:jc w:val="right"/>
              <w:rPr>
                <w:rFonts w:hint="eastAsia" w:ascii="宋体" w:hAnsi="宋体" w:cs="宋体"/>
                <w:szCs w:val="21"/>
              </w:rPr>
            </w:pPr>
            <w:r>
              <w:rPr>
                <w:rFonts w:hint="eastAsia" w:ascii="宋体" w:hAnsi="宋体" w:cs="宋体"/>
                <w:szCs w:val="21"/>
              </w:rPr>
              <w:t xml:space="preserve"> 39,020.89 </w:t>
            </w:r>
          </w:p>
        </w:tc>
      </w:tr>
      <w:tr w14:paraId="25152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70AA6318">
            <w:pPr>
              <w:pStyle w:val="11"/>
              <w:spacing w:before="0" w:beforeAutospacing="0" w:after="0" w:afterAutospacing="0"/>
              <w:rPr>
                <w:rFonts w:hint="eastAsia" w:ascii="宋体" w:hAnsi="宋体" w:eastAsia="宋体" w:cs="宋体"/>
                <w:b/>
                <w:sz w:val="21"/>
                <w:szCs w:val="21"/>
              </w:rPr>
            </w:pPr>
            <w:r>
              <w:rPr>
                <w:rFonts w:hint="eastAsia" w:ascii="宋体" w:hAnsi="宋体" w:eastAsia="宋体" w:cs="宋体"/>
                <w:b/>
                <w:sz w:val="21"/>
                <w:szCs w:val="21"/>
                <w:lang w:eastAsia="zh-CN"/>
              </w:rPr>
              <w:t>净资产</w:t>
            </w:r>
            <w:r>
              <w:rPr>
                <w:rFonts w:hint="eastAsia" w:ascii="宋体" w:hAnsi="宋体" w:eastAsia="宋体" w:cs="宋体"/>
                <w:b/>
                <w:sz w:val="21"/>
                <w:szCs w:val="21"/>
              </w:rPr>
              <w:t>合计</w:t>
            </w:r>
          </w:p>
        </w:tc>
        <w:tc>
          <w:tcPr>
            <w:tcW w:w="5358" w:type="dxa"/>
          </w:tcPr>
          <w:p w14:paraId="150F1611">
            <w:pPr>
              <w:tabs>
                <w:tab w:val="left" w:pos="1474"/>
              </w:tabs>
              <w:ind w:left="-72"/>
              <w:jc w:val="right"/>
              <w:rPr>
                <w:rFonts w:hint="eastAsia" w:ascii="宋体" w:hAnsi="宋体" w:cs="宋体"/>
                <w:b/>
                <w:bCs/>
                <w:szCs w:val="21"/>
              </w:rPr>
            </w:pPr>
            <w:r>
              <w:rPr>
                <w:rFonts w:hint="eastAsia" w:ascii="宋体" w:hAnsi="宋体" w:cs="宋体"/>
                <w:b/>
                <w:bCs/>
                <w:szCs w:val="21"/>
              </w:rPr>
              <w:t xml:space="preserve"> 1,041,601.60 </w:t>
            </w:r>
          </w:p>
        </w:tc>
      </w:tr>
      <w:tr w14:paraId="7430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06" w:type="dxa"/>
            <w:vAlign w:val="bottom"/>
          </w:tcPr>
          <w:p w14:paraId="30227542">
            <w:pPr>
              <w:pStyle w:val="11"/>
              <w:spacing w:before="0" w:beforeAutospacing="0" w:after="0" w:afterAutospacing="0"/>
              <w:rPr>
                <w:rFonts w:hint="eastAsia" w:ascii="宋体" w:hAnsi="宋体" w:eastAsia="宋体" w:cs="宋体"/>
                <w:b/>
                <w:sz w:val="21"/>
                <w:szCs w:val="21"/>
                <w:lang w:eastAsia="zh-CN"/>
              </w:rPr>
            </w:pPr>
            <w:r>
              <w:rPr>
                <w:rFonts w:hint="eastAsia" w:ascii="宋体" w:hAnsi="宋体" w:eastAsia="宋体" w:cs="宋体"/>
                <w:b/>
                <w:sz w:val="21"/>
                <w:szCs w:val="21"/>
                <w:lang w:eastAsia="zh-CN"/>
              </w:rPr>
              <w:t>负债和净资产总计</w:t>
            </w:r>
          </w:p>
        </w:tc>
        <w:tc>
          <w:tcPr>
            <w:tcW w:w="5358" w:type="dxa"/>
          </w:tcPr>
          <w:p w14:paraId="3ADAC98A">
            <w:pPr>
              <w:tabs>
                <w:tab w:val="left" w:pos="1474"/>
              </w:tabs>
              <w:ind w:left="-72"/>
              <w:jc w:val="right"/>
              <w:rPr>
                <w:rFonts w:hint="eastAsia" w:ascii="宋体" w:hAnsi="宋体" w:cs="宋体"/>
                <w:b/>
                <w:bCs/>
                <w:szCs w:val="21"/>
              </w:rPr>
            </w:pPr>
            <w:r>
              <w:rPr>
                <w:rFonts w:hint="eastAsia" w:ascii="宋体" w:hAnsi="宋体" w:cs="宋体"/>
                <w:b/>
                <w:bCs/>
                <w:szCs w:val="21"/>
              </w:rPr>
              <w:t xml:space="preserve"> 1,095,066.46 </w:t>
            </w:r>
          </w:p>
        </w:tc>
      </w:tr>
      <w:bookmarkEnd w:id="39"/>
    </w:tbl>
    <w:p w14:paraId="67F2F536">
      <w:pPr>
        <w:pStyle w:val="29"/>
        <w:rPr>
          <w:rFonts w:hint="eastAsia" w:cs="宋体"/>
          <w:color w:val="auto"/>
        </w:rPr>
      </w:pPr>
      <w:r>
        <w:rPr>
          <w:rFonts w:hint="eastAsia" w:cs="宋体"/>
          <w:color w:val="auto"/>
        </w:rPr>
        <w:t>注：截至2026年3月26日(基金最后运作日)，基金份额总额为1,002,580.71份，其中A类基金份额848,306.85份，基金份额净值1.0374元；C类基金份额154,273.86份，基金份额净值1.0470元。</w:t>
      </w:r>
    </w:p>
    <w:p w14:paraId="17F774EB">
      <w:pPr>
        <w:pStyle w:val="3"/>
        <w:spacing w:before="0" w:after="0"/>
        <w:rPr>
          <w:rFonts w:hint="eastAsia" w:ascii="宋体" w:hAnsi="宋体" w:cs="宋体"/>
          <w:kern w:val="0"/>
          <w:sz w:val="21"/>
          <w:szCs w:val="21"/>
        </w:rPr>
      </w:pPr>
      <w:bookmarkStart w:id="40" w:name="_Toc484769807"/>
      <w:bookmarkStart w:id="41" w:name="_Toc491963085"/>
      <w:r>
        <w:rPr>
          <w:rFonts w:hint="eastAsia" w:ascii="宋体" w:hAnsi="宋体" w:cs="宋体"/>
          <w:kern w:val="0"/>
          <w:sz w:val="21"/>
          <w:szCs w:val="21"/>
        </w:rPr>
        <w:t>4.2 清算损益表</w:t>
      </w:r>
      <w:bookmarkEnd w:id="40"/>
      <w:bookmarkEnd w:id="41"/>
    </w:p>
    <w:tbl>
      <w:tblPr>
        <w:tblStyle w:val="13"/>
        <w:tblW w:w="7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95"/>
        <w:gridCol w:w="4408"/>
      </w:tblGrid>
      <w:tr w14:paraId="0FBE3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74799EAD">
            <w:pPr>
              <w:pStyle w:val="11"/>
              <w:jc w:val="center"/>
              <w:rPr>
                <w:rFonts w:hint="eastAsia" w:ascii="宋体" w:hAnsi="宋体" w:eastAsia="宋体" w:cs="宋体"/>
                <w:b/>
                <w:sz w:val="21"/>
                <w:szCs w:val="21"/>
              </w:rPr>
            </w:pPr>
            <w:r>
              <w:rPr>
                <w:rFonts w:hint="eastAsia" w:ascii="宋体" w:hAnsi="宋体" w:eastAsia="宋体" w:cs="宋体"/>
                <w:b/>
                <w:sz w:val="21"/>
                <w:szCs w:val="21"/>
              </w:rPr>
              <w:t>项目</w:t>
            </w:r>
          </w:p>
        </w:tc>
        <w:tc>
          <w:tcPr>
            <w:tcW w:w="4408" w:type="dxa"/>
            <w:vAlign w:val="center"/>
          </w:tcPr>
          <w:p w14:paraId="2130570C">
            <w:pPr>
              <w:pStyle w:val="11"/>
              <w:spacing w:before="0" w:beforeAutospacing="0" w:after="0" w:afterAutospacing="0"/>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2026年3月27日</w:t>
            </w:r>
            <w:r>
              <w:rPr>
                <w:rFonts w:hint="eastAsia" w:ascii="宋体" w:hAnsi="宋体" w:eastAsia="宋体" w:cs="宋体"/>
                <w:b/>
                <w:sz w:val="21"/>
                <w:szCs w:val="21"/>
                <w:lang w:eastAsia="zh-CN"/>
              </w:rPr>
              <w:t>至2026年</w:t>
            </w:r>
            <w:r>
              <w:rPr>
                <w:rFonts w:hint="eastAsia" w:ascii="宋体" w:hAnsi="宋体" w:eastAsia="宋体" w:cs="宋体"/>
                <w:b/>
                <w:sz w:val="21"/>
                <w:szCs w:val="21"/>
                <w:lang w:val="en-US" w:eastAsia="zh-CN"/>
              </w:rPr>
              <w:t>4</w:t>
            </w:r>
            <w:r>
              <w:rPr>
                <w:rFonts w:hint="eastAsia" w:ascii="宋体" w:hAnsi="宋体" w:eastAsia="宋体" w:cs="宋体"/>
                <w:b/>
                <w:sz w:val="21"/>
                <w:szCs w:val="21"/>
                <w:lang w:eastAsia="zh-CN"/>
              </w:rPr>
              <w:t>月</w:t>
            </w:r>
            <w:r>
              <w:rPr>
                <w:rFonts w:hint="eastAsia" w:ascii="宋体" w:hAnsi="宋体" w:eastAsia="宋体" w:cs="宋体"/>
                <w:b/>
                <w:sz w:val="21"/>
                <w:szCs w:val="21"/>
                <w:lang w:val="en-US" w:eastAsia="zh-CN"/>
              </w:rPr>
              <w:t>13</w:t>
            </w:r>
            <w:r>
              <w:rPr>
                <w:rFonts w:hint="eastAsia" w:ascii="宋体" w:hAnsi="宋体" w:eastAsia="宋体" w:cs="宋体"/>
                <w:b/>
                <w:sz w:val="21"/>
                <w:szCs w:val="21"/>
                <w:lang w:eastAsia="zh-CN"/>
              </w:rPr>
              <w:t>日</w:t>
            </w:r>
          </w:p>
          <w:p w14:paraId="0BAEF15E">
            <w:pPr>
              <w:pStyle w:val="11"/>
              <w:spacing w:before="0" w:beforeAutospacing="0" w:after="0" w:afterAutospacing="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（清算期间）</w:t>
            </w:r>
          </w:p>
        </w:tc>
      </w:tr>
      <w:tr w14:paraId="4FC6F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2F78BEBE">
            <w:pPr>
              <w:rPr>
                <w:rFonts w:hint="eastAsia" w:ascii="宋体" w:hAnsi="宋体" w:cs="宋体"/>
                <w:b/>
                <w:szCs w:val="21"/>
              </w:rPr>
            </w:pPr>
            <w:r>
              <w:rPr>
                <w:rFonts w:hint="eastAsia" w:ascii="宋体" w:hAnsi="宋体" w:cs="宋体"/>
                <w:b/>
                <w:bCs/>
                <w:szCs w:val="21"/>
              </w:rPr>
              <w:t>一、清算收益</w:t>
            </w:r>
          </w:p>
        </w:tc>
        <w:tc>
          <w:tcPr>
            <w:tcW w:w="4408" w:type="dxa"/>
          </w:tcPr>
          <w:p w14:paraId="6CBAD135">
            <w:pPr>
              <w:tabs>
                <w:tab w:val="left" w:pos="1474"/>
              </w:tabs>
              <w:ind w:left="-72"/>
              <w:jc w:val="right"/>
              <w:rPr>
                <w:rFonts w:ascii="宋体" w:hAnsi="宋体" w:cs="宋体"/>
                <w:b/>
                <w:bCs/>
                <w:sz w:val="21"/>
                <w:szCs w:val="21"/>
              </w:rPr>
            </w:pPr>
            <w:r>
              <w:rPr>
                <w:rFonts w:ascii="宋体" w:hAnsi="宋体" w:cs="宋体"/>
                <w:b/>
                <w:bCs/>
                <w:sz w:val="21"/>
                <w:szCs w:val="21"/>
              </w:rPr>
              <w:t>447.09</w:t>
            </w:r>
          </w:p>
        </w:tc>
      </w:tr>
      <w:tr w14:paraId="2A1D5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0D31B516">
            <w:pPr>
              <w:rPr>
                <w:rFonts w:hint="eastAsia" w:ascii="宋体" w:hAnsi="宋体" w:cs="宋体"/>
                <w:szCs w:val="21"/>
              </w:rPr>
            </w:pPr>
            <w:r>
              <w:rPr>
                <w:rFonts w:hint="eastAsia" w:ascii="宋体" w:hAnsi="宋体" w:cs="宋体"/>
                <w:szCs w:val="21"/>
              </w:rPr>
              <w:t>1.</w:t>
            </w:r>
            <w:r>
              <w:rPr>
                <w:rFonts w:hint="eastAsia" w:ascii="宋体" w:hAnsi="宋体" w:cs="宋体"/>
                <w:sz w:val="14"/>
                <w:szCs w:val="14"/>
              </w:rPr>
              <w:t xml:space="preserve"> </w:t>
            </w:r>
            <w:r>
              <w:rPr>
                <w:rFonts w:hint="eastAsia" w:ascii="宋体" w:hAnsi="宋体" w:cs="宋体"/>
                <w:szCs w:val="21"/>
              </w:rPr>
              <w:t>利息收入</w:t>
            </w:r>
          </w:p>
        </w:tc>
        <w:tc>
          <w:tcPr>
            <w:tcW w:w="4408" w:type="dxa"/>
          </w:tcPr>
          <w:p w14:paraId="32C6495F">
            <w:pPr>
              <w:tabs>
                <w:tab w:val="left" w:pos="1474"/>
              </w:tabs>
              <w:ind w:left="-72"/>
              <w:jc w:val="right"/>
              <w:rPr>
                <w:rFonts w:ascii="宋体" w:hAnsi="宋体" w:cs="宋体"/>
                <w:sz w:val="21"/>
                <w:szCs w:val="21"/>
              </w:rPr>
            </w:pPr>
            <w:r>
              <w:rPr>
                <w:rFonts w:ascii="宋体" w:hAnsi="宋体" w:cs="宋体"/>
                <w:sz w:val="21"/>
                <w:szCs w:val="21"/>
              </w:rPr>
              <w:t>152.02</w:t>
            </w:r>
          </w:p>
        </w:tc>
      </w:tr>
      <w:tr w14:paraId="78902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217D55A2">
            <w:pPr>
              <w:rPr>
                <w:rFonts w:hint="eastAsia" w:ascii="宋体" w:hAnsi="宋体" w:cs="宋体"/>
                <w:szCs w:val="21"/>
              </w:rPr>
            </w:pPr>
            <w:r>
              <w:rPr>
                <w:rFonts w:hint="eastAsia" w:ascii="宋体" w:hAnsi="宋体" w:cs="宋体"/>
                <w:szCs w:val="21"/>
              </w:rPr>
              <w:t>2. 投资收益</w:t>
            </w:r>
          </w:p>
        </w:tc>
        <w:tc>
          <w:tcPr>
            <w:tcW w:w="4408" w:type="dxa"/>
          </w:tcPr>
          <w:p w14:paraId="07FA1D42">
            <w:pPr>
              <w:tabs>
                <w:tab w:val="left" w:pos="1474"/>
              </w:tabs>
              <w:ind w:left="-72"/>
              <w:jc w:val="right"/>
              <w:rPr>
                <w:rFonts w:ascii="宋体" w:hAnsi="宋体" w:cs="宋体"/>
                <w:sz w:val="21"/>
                <w:szCs w:val="21"/>
              </w:rPr>
            </w:pPr>
            <w:r>
              <w:rPr>
                <w:rFonts w:ascii="宋体" w:hAnsi="宋体" w:cs="宋体"/>
                <w:sz w:val="21"/>
                <w:szCs w:val="21"/>
              </w:rPr>
              <w:t>1,075.93</w:t>
            </w:r>
          </w:p>
        </w:tc>
      </w:tr>
      <w:tr w14:paraId="33CE5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00E686F9">
            <w:pPr>
              <w:rPr>
                <w:rFonts w:hint="eastAsia" w:ascii="宋体" w:hAnsi="宋体" w:cs="宋体"/>
                <w:szCs w:val="21"/>
              </w:rPr>
            </w:pPr>
            <w:r>
              <w:rPr>
                <w:rFonts w:hint="eastAsia" w:ascii="宋体" w:hAnsi="宋体" w:cs="宋体"/>
                <w:szCs w:val="21"/>
              </w:rPr>
              <w:t>其中：债券投资收益</w:t>
            </w:r>
          </w:p>
        </w:tc>
        <w:tc>
          <w:tcPr>
            <w:tcW w:w="4408" w:type="dxa"/>
          </w:tcPr>
          <w:p w14:paraId="5A392672">
            <w:pPr>
              <w:tabs>
                <w:tab w:val="left" w:pos="1474"/>
              </w:tabs>
              <w:ind w:left="-72"/>
              <w:jc w:val="right"/>
              <w:rPr>
                <w:rFonts w:ascii="宋体" w:hAnsi="宋体" w:cs="宋体"/>
                <w:sz w:val="21"/>
                <w:szCs w:val="21"/>
              </w:rPr>
            </w:pPr>
            <w:r>
              <w:rPr>
                <w:rFonts w:ascii="宋体" w:hAnsi="宋体" w:cs="宋体"/>
                <w:sz w:val="21"/>
                <w:szCs w:val="21"/>
              </w:rPr>
              <w:t>1,075.93</w:t>
            </w:r>
          </w:p>
        </w:tc>
      </w:tr>
      <w:tr w14:paraId="464A5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69C7B358">
            <w:pPr>
              <w:rPr>
                <w:rFonts w:hint="eastAsia" w:ascii="宋体" w:hAnsi="宋体" w:cs="宋体"/>
                <w:szCs w:val="21"/>
              </w:rPr>
            </w:pPr>
            <w:r>
              <w:rPr>
                <w:rFonts w:hint="eastAsia" w:ascii="宋体" w:hAnsi="宋体" w:cs="宋体"/>
                <w:szCs w:val="21"/>
              </w:rPr>
              <w:t>3. 公允价值变动损益</w:t>
            </w:r>
          </w:p>
        </w:tc>
        <w:tc>
          <w:tcPr>
            <w:tcW w:w="4408" w:type="dxa"/>
          </w:tcPr>
          <w:p w14:paraId="3D8CC3B9">
            <w:pPr>
              <w:tabs>
                <w:tab w:val="left" w:pos="1474"/>
              </w:tabs>
              <w:ind w:left="-72"/>
              <w:jc w:val="right"/>
              <w:rPr>
                <w:rFonts w:ascii="宋体" w:hAnsi="宋体" w:cs="宋体"/>
                <w:sz w:val="21"/>
                <w:szCs w:val="21"/>
              </w:rPr>
            </w:pPr>
            <w:r>
              <w:rPr>
                <w:rFonts w:ascii="宋体" w:hAnsi="宋体" w:cs="宋体"/>
                <w:sz w:val="21"/>
                <w:szCs w:val="21"/>
              </w:rPr>
              <w:t>-780.86</w:t>
            </w:r>
          </w:p>
        </w:tc>
      </w:tr>
      <w:tr w14:paraId="5F492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678AA20B">
            <w:pPr>
              <w:numPr>
                <w:ilvl w:val="0"/>
                <w:numId w:val="1"/>
              </w:numPr>
              <w:rPr>
                <w:rFonts w:hint="eastAsia" w:ascii="宋体" w:hAnsi="宋体" w:cs="宋体"/>
                <w:szCs w:val="21"/>
              </w:rPr>
            </w:pPr>
            <w:r>
              <w:rPr>
                <w:rFonts w:hint="eastAsia" w:ascii="宋体" w:hAnsi="宋体" w:cs="宋体"/>
                <w:szCs w:val="21"/>
              </w:rPr>
              <w:t>汇兑收益</w:t>
            </w:r>
          </w:p>
        </w:tc>
        <w:tc>
          <w:tcPr>
            <w:tcW w:w="4408" w:type="dxa"/>
          </w:tcPr>
          <w:p w14:paraId="7CD79EEC">
            <w:pPr>
              <w:tabs>
                <w:tab w:val="left" w:pos="1474"/>
              </w:tabs>
              <w:ind w:left="-72"/>
              <w:jc w:val="right"/>
              <w:rPr>
                <w:rFonts w:ascii="宋体" w:hAnsi="宋体" w:cs="宋体"/>
                <w:sz w:val="21"/>
                <w:szCs w:val="21"/>
              </w:rPr>
            </w:pPr>
            <w:r>
              <w:rPr>
                <w:rFonts w:ascii="宋体" w:hAnsi="宋体" w:cs="宋体"/>
                <w:sz w:val="21"/>
                <w:szCs w:val="21"/>
              </w:rPr>
              <w:t>-</w:t>
            </w:r>
          </w:p>
        </w:tc>
      </w:tr>
      <w:tr w14:paraId="37697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jc w:val="center"/>
        </w:trPr>
        <w:tc>
          <w:tcPr>
            <w:tcW w:w="3495" w:type="dxa"/>
            <w:vAlign w:val="center"/>
          </w:tcPr>
          <w:p w14:paraId="295DB9CD">
            <w:pPr>
              <w:rPr>
                <w:rFonts w:hint="eastAsia" w:ascii="宋体" w:hAnsi="宋体" w:cs="宋体"/>
                <w:szCs w:val="21"/>
              </w:rPr>
            </w:pPr>
            <w:r>
              <w:rPr>
                <w:rFonts w:hint="eastAsia" w:ascii="宋体" w:hAnsi="宋体" w:cs="宋体"/>
                <w:szCs w:val="21"/>
              </w:rPr>
              <w:t>5. 其他收入</w:t>
            </w:r>
          </w:p>
        </w:tc>
        <w:tc>
          <w:tcPr>
            <w:tcW w:w="4408" w:type="dxa"/>
          </w:tcPr>
          <w:p w14:paraId="27562FC5">
            <w:pPr>
              <w:tabs>
                <w:tab w:val="left" w:pos="1474"/>
              </w:tabs>
              <w:ind w:left="-72"/>
              <w:jc w:val="right"/>
              <w:rPr>
                <w:rFonts w:ascii="宋体" w:hAnsi="宋体" w:cs="宋体"/>
                <w:sz w:val="21"/>
                <w:szCs w:val="21"/>
              </w:rPr>
            </w:pPr>
            <w:r>
              <w:rPr>
                <w:rFonts w:ascii="宋体" w:hAnsi="宋体" w:cs="宋体"/>
                <w:sz w:val="21"/>
                <w:szCs w:val="21"/>
              </w:rPr>
              <w:t>-</w:t>
            </w:r>
          </w:p>
        </w:tc>
      </w:tr>
      <w:tr w14:paraId="60CB3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7EED6C3B">
            <w:pPr>
              <w:rPr>
                <w:rFonts w:hint="eastAsia" w:ascii="宋体" w:hAnsi="宋体" w:cs="宋体"/>
                <w:szCs w:val="21"/>
              </w:rPr>
            </w:pPr>
            <w:r>
              <w:rPr>
                <w:rFonts w:hint="eastAsia" w:ascii="宋体" w:hAnsi="宋体" w:cs="宋体"/>
                <w:b/>
                <w:bCs/>
                <w:szCs w:val="21"/>
              </w:rPr>
              <w:t>二、清算费用</w:t>
            </w:r>
          </w:p>
        </w:tc>
        <w:tc>
          <w:tcPr>
            <w:tcW w:w="4408" w:type="dxa"/>
          </w:tcPr>
          <w:p w14:paraId="715B1201">
            <w:pPr>
              <w:tabs>
                <w:tab w:val="left" w:pos="1474"/>
              </w:tabs>
              <w:ind w:left="-72"/>
              <w:jc w:val="right"/>
              <w:rPr>
                <w:rFonts w:ascii="宋体" w:hAnsi="宋体" w:cs="宋体"/>
                <w:b/>
                <w:bCs/>
                <w:sz w:val="21"/>
                <w:szCs w:val="21"/>
              </w:rPr>
            </w:pPr>
            <w:r>
              <w:rPr>
                <w:rFonts w:ascii="宋体" w:hAnsi="宋体" w:cs="宋体"/>
                <w:b/>
                <w:bCs/>
                <w:sz w:val="21"/>
                <w:szCs w:val="21"/>
              </w:rPr>
              <w:t>0.31</w:t>
            </w:r>
          </w:p>
        </w:tc>
      </w:tr>
      <w:tr w14:paraId="030D1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2F98ADAA">
            <w:pPr>
              <w:rPr>
                <w:rFonts w:hint="eastAsia" w:ascii="宋体" w:hAnsi="宋体" w:cs="宋体"/>
                <w:szCs w:val="21"/>
              </w:rPr>
            </w:pPr>
            <w:r>
              <w:rPr>
                <w:rFonts w:hint="eastAsia" w:ascii="宋体" w:hAnsi="宋体" w:cs="宋体"/>
                <w:szCs w:val="21"/>
              </w:rPr>
              <w:t>税金及附加</w:t>
            </w:r>
          </w:p>
        </w:tc>
        <w:tc>
          <w:tcPr>
            <w:tcW w:w="4408" w:type="dxa"/>
          </w:tcPr>
          <w:p w14:paraId="67B2762D">
            <w:pPr>
              <w:tabs>
                <w:tab w:val="left" w:pos="1474"/>
              </w:tabs>
              <w:ind w:left="-72"/>
              <w:jc w:val="right"/>
              <w:rPr>
                <w:rFonts w:ascii="宋体" w:hAnsi="宋体" w:cs="宋体"/>
                <w:sz w:val="21"/>
                <w:szCs w:val="21"/>
              </w:rPr>
            </w:pPr>
            <w:r>
              <w:rPr>
                <w:rFonts w:ascii="宋体" w:hAnsi="宋体" w:cs="宋体"/>
                <w:sz w:val="21"/>
                <w:szCs w:val="21"/>
              </w:rPr>
              <w:t>0.31</w:t>
            </w:r>
          </w:p>
        </w:tc>
      </w:tr>
      <w:tr w14:paraId="57F70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0A607EC6">
            <w:pPr>
              <w:rPr>
                <w:rFonts w:hint="eastAsia" w:ascii="宋体" w:hAnsi="宋体" w:cs="宋体"/>
                <w:szCs w:val="21"/>
              </w:rPr>
            </w:pPr>
            <w:r>
              <w:rPr>
                <w:rFonts w:hint="eastAsia" w:ascii="宋体" w:hAnsi="宋体" w:cs="宋体"/>
                <w:b/>
                <w:bCs/>
                <w:szCs w:val="21"/>
              </w:rPr>
              <w:t>三、清算收益（损失）总额</w:t>
            </w:r>
          </w:p>
        </w:tc>
        <w:tc>
          <w:tcPr>
            <w:tcW w:w="4408" w:type="dxa"/>
            <w:vAlign w:val="center"/>
          </w:tcPr>
          <w:p w14:paraId="273B1C51">
            <w:pPr>
              <w:tabs>
                <w:tab w:val="left" w:pos="1474"/>
              </w:tabs>
              <w:ind w:left="-72"/>
              <w:jc w:val="right"/>
              <w:rPr>
                <w:rFonts w:ascii="宋体" w:hAnsi="宋体" w:cs="宋体"/>
                <w:b/>
                <w:bCs/>
                <w:sz w:val="21"/>
                <w:szCs w:val="21"/>
              </w:rPr>
            </w:pPr>
            <w:r>
              <w:rPr>
                <w:rFonts w:ascii="宋体" w:hAnsi="宋体" w:cs="宋体"/>
                <w:b/>
                <w:bCs/>
                <w:sz w:val="21"/>
                <w:szCs w:val="21"/>
              </w:rPr>
              <w:t>446.78</w:t>
            </w:r>
          </w:p>
        </w:tc>
      </w:tr>
      <w:tr w14:paraId="14387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0DBC46A2">
            <w:pPr>
              <w:rPr>
                <w:rFonts w:hint="eastAsia" w:ascii="宋体" w:hAnsi="宋体" w:cs="宋体"/>
                <w:szCs w:val="21"/>
              </w:rPr>
            </w:pPr>
            <w:r>
              <w:rPr>
                <w:rFonts w:hint="eastAsia" w:ascii="宋体" w:hAnsi="宋体" w:cs="宋体"/>
                <w:szCs w:val="21"/>
              </w:rPr>
              <w:t>减：</w:t>
            </w:r>
            <w:bookmarkStart w:id="42" w:name="OLE_LINK3"/>
            <w:r>
              <w:rPr>
                <w:rFonts w:hint="eastAsia" w:ascii="宋体" w:hAnsi="宋体" w:cs="宋体"/>
                <w:szCs w:val="21"/>
              </w:rPr>
              <w:t>所得税费用</w:t>
            </w:r>
            <w:bookmarkEnd w:id="42"/>
          </w:p>
        </w:tc>
        <w:tc>
          <w:tcPr>
            <w:tcW w:w="4408" w:type="dxa"/>
            <w:vAlign w:val="center"/>
          </w:tcPr>
          <w:p w14:paraId="7DB3FFD7">
            <w:pPr>
              <w:tabs>
                <w:tab w:val="left" w:pos="1474"/>
              </w:tabs>
              <w:ind w:left="-72"/>
              <w:jc w:val="right"/>
              <w:rPr>
                <w:rFonts w:ascii="宋体" w:hAnsi="宋体" w:cs="宋体"/>
                <w:b w:val="0"/>
                <w:bCs w:val="0"/>
                <w:sz w:val="21"/>
                <w:szCs w:val="21"/>
              </w:rPr>
            </w:pPr>
            <w:r>
              <w:rPr>
                <w:rFonts w:ascii="宋体" w:hAnsi="宋体" w:cs="宋体"/>
                <w:b w:val="0"/>
                <w:bCs w:val="0"/>
                <w:sz w:val="21"/>
                <w:szCs w:val="21"/>
              </w:rPr>
              <w:t>-</w:t>
            </w:r>
          </w:p>
        </w:tc>
      </w:tr>
      <w:tr w14:paraId="08247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5" w:type="dxa"/>
            <w:vAlign w:val="center"/>
          </w:tcPr>
          <w:p w14:paraId="5773A0AA">
            <w:pPr>
              <w:rPr>
                <w:rFonts w:hint="eastAsia" w:ascii="宋体" w:hAnsi="宋体" w:cs="宋体"/>
                <w:szCs w:val="21"/>
              </w:rPr>
            </w:pPr>
            <w:r>
              <w:rPr>
                <w:rFonts w:hint="eastAsia" w:ascii="宋体" w:hAnsi="宋体" w:cs="宋体"/>
                <w:b/>
                <w:bCs/>
                <w:szCs w:val="21"/>
              </w:rPr>
              <w:t>四、清算净收益（损失）</w:t>
            </w:r>
          </w:p>
        </w:tc>
        <w:tc>
          <w:tcPr>
            <w:tcW w:w="4408" w:type="dxa"/>
            <w:vAlign w:val="center"/>
          </w:tcPr>
          <w:p w14:paraId="0B31B99B">
            <w:pPr>
              <w:tabs>
                <w:tab w:val="left" w:pos="1474"/>
              </w:tabs>
              <w:ind w:left="-72"/>
              <w:jc w:val="right"/>
              <w:rPr>
                <w:rFonts w:ascii="宋体" w:hAnsi="宋体" w:cs="宋体"/>
                <w:b/>
                <w:bCs/>
                <w:sz w:val="21"/>
                <w:szCs w:val="21"/>
              </w:rPr>
            </w:pPr>
            <w:r>
              <w:rPr>
                <w:rFonts w:ascii="宋体" w:hAnsi="宋体" w:cs="宋体"/>
                <w:b/>
                <w:bCs/>
                <w:sz w:val="21"/>
                <w:szCs w:val="21"/>
              </w:rPr>
              <w:t>446.78</w:t>
            </w:r>
          </w:p>
        </w:tc>
      </w:tr>
    </w:tbl>
    <w:p w14:paraId="0F794B07">
      <w:pPr>
        <w:pStyle w:val="29"/>
        <w:rPr>
          <w:rFonts w:hint="eastAsia" w:cs="宋体"/>
          <w:color w:val="auto"/>
        </w:rPr>
      </w:pPr>
      <w:bookmarkStart w:id="43" w:name="_Toc484607313"/>
      <w:bookmarkStart w:id="44" w:name="_Toc483396840"/>
      <w:bookmarkStart w:id="45" w:name="_Toc484769808"/>
      <w:r>
        <w:rPr>
          <w:rFonts w:hint="eastAsia" w:cs="宋体"/>
          <w:color w:val="auto"/>
        </w:rPr>
        <w:t>注：</w:t>
      </w:r>
    </w:p>
    <w:p w14:paraId="5F35CBD7">
      <w:pPr>
        <w:pStyle w:val="29"/>
        <w:numPr>
          <w:ilvl w:val="0"/>
          <w:numId w:val="2"/>
        </w:numPr>
        <w:rPr>
          <w:rFonts w:hint="eastAsia" w:cs="宋体"/>
          <w:color w:val="auto"/>
        </w:rPr>
      </w:pPr>
      <w:r>
        <w:rPr>
          <w:rFonts w:hint="eastAsia" w:cs="宋体"/>
          <w:color w:val="auto"/>
        </w:rPr>
        <w:t>利息收入系以当前适用的利率预估计提的自</w:t>
      </w:r>
      <w:r>
        <w:rPr>
          <w:rFonts w:hint="eastAsia" w:cs="宋体"/>
          <w:bCs/>
          <w:color w:val="auto"/>
        </w:rPr>
        <w:t>2026年3月27日</w:t>
      </w:r>
      <w:r>
        <w:rPr>
          <w:rFonts w:hint="eastAsia" w:cs="宋体"/>
          <w:color w:val="auto"/>
        </w:rPr>
        <w:t>至2026年4月13日止清算期间的活期存款利息和存出保证金利息。</w:t>
      </w:r>
    </w:p>
    <w:p w14:paraId="05AE7EEB">
      <w:pPr>
        <w:pStyle w:val="3"/>
        <w:spacing w:before="0" w:after="0"/>
        <w:rPr>
          <w:rFonts w:hint="eastAsia" w:ascii="宋体" w:hAnsi="宋体" w:cs="宋体"/>
          <w:kern w:val="0"/>
          <w:sz w:val="21"/>
          <w:szCs w:val="21"/>
        </w:rPr>
      </w:pPr>
      <w:bookmarkStart w:id="46" w:name="_Toc491963086"/>
      <w:r>
        <w:rPr>
          <w:rFonts w:hint="eastAsia" w:ascii="宋体" w:hAnsi="宋体" w:cs="宋体"/>
          <w:kern w:val="0"/>
          <w:sz w:val="21"/>
          <w:szCs w:val="21"/>
        </w:rPr>
        <w:t>4.3 报表附注</w:t>
      </w:r>
      <w:bookmarkEnd w:id="43"/>
      <w:bookmarkEnd w:id="44"/>
      <w:bookmarkEnd w:id="45"/>
      <w:bookmarkEnd w:id="46"/>
    </w:p>
    <w:p w14:paraId="433D33C3">
      <w:pPr>
        <w:spacing w:line="360" w:lineRule="auto"/>
        <w:rPr>
          <w:rFonts w:hint="eastAsia" w:ascii="宋体" w:hAnsi="宋体" w:cs="宋体"/>
          <w:b/>
          <w:szCs w:val="21"/>
        </w:rPr>
      </w:pPr>
      <w:r>
        <w:rPr>
          <w:rFonts w:hint="eastAsia" w:ascii="宋体" w:hAnsi="宋体" w:cs="宋体"/>
          <w:b/>
          <w:szCs w:val="21"/>
        </w:rPr>
        <w:t>4.3.1基金基本情况</w:t>
      </w:r>
    </w:p>
    <w:p w14:paraId="5FB8E5FB">
      <w:pPr>
        <w:pStyle w:val="29"/>
        <w:rPr>
          <w:rFonts w:hint="eastAsia" w:cs="宋体"/>
          <w:color w:val="auto"/>
        </w:rPr>
      </w:pPr>
      <w:r>
        <w:rPr>
          <w:rFonts w:hint="eastAsia" w:cs="宋体"/>
          <w:color w:val="auto"/>
        </w:rPr>
        <w:t>本基金经中国证券监督管理委员会（以下简称“中国证监会”）证监许可[2016]802号《关于准予博时裕盛纯债债券型证券投资基金注册的批复》准予注册，由博时基金管理有限公司依照《中华人民共和国证券投资基金法》和《博时裕盛纯债债券型证券投资基金基金合同》负责公开募集。本基金为契约型开放式，存续期限不定，首次设立募集不包括认购资金利息共募集210,422,185.41元，业经普华永道中天会计师事务所（特殊普通合伙）普华永道中天验字（2016）第568号验资报告予以验证。经向中国证监会备案，《博时裕盛纯债债券型证券投资基金基金合同》于2016年5月20日正式生效，基金合同生效日的基金份额总额为210,422,220.70份基金份额，其中认购资金利息折合35.29份基金份额。本基金的基金管理人为博时基金管理有限公司，基金托管人为南京银行股份有限公司。</w:t>
      </w:r>
    </w:p>
    <w:p w14:paraId="6D951451">
      <w:pPr>
        <w:pStyle w:val="29"/>
        <w:rPr>
          <w:rFonts w:hint="eastAsia" w:cs="宋体"/>
          <w:color w:val="auto"/>
        </w:rPr>
      </w:pPr>
      <w:r>
        <w:rPr>
          <w:rFonts w:hint="eastAsia" w:cs="宋体"/>
          <w:color w:val="auto"/>
        </w:rPr>
        <w:t>根据《中华人民共和国证券投资基金法》和《博时裕盛纯债债券型证券投资基金基金合同》的有关规定，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国证监会的相关规定）。本基金不投资于股票、权证等权益类资产，也不投资于可转换债券（可分离交易可转债的纯债部分除外）、可交换债券。基金的投资组合比例为：债券的投资比例不低于基金资产的80%；基金持有现金或者到期日在一年以内的政府债券投资比例不低于基金资产净值的5%，其中，现金不包括结算备付金、存出保证金、应收申购款等。本基金的业绩比较基准为：中</w:t>
      </w:r>
      <w:bookmarkStart w:id="47" w:name="OLE_LINK5"/>
      <w:r>
        <w:rPr>
          <w:rFonts w:hint="eastAsia" w:cs="宋体"/>
          <w:color w:val="auto"/>
        </w:rPr>
        <w:t>债综合财富（总值）指数收益率×90%+1年期定期存款利率（税后）×10%</w:t>
      </w:r>
      <w:bookmarkEnd w:id="47"/>
      <w:r>
        <w:rPr>
          <w:rFonts w:hint="eastAsia" w:cs="宋体"/>
          <w:color w:val="auto"/>
        </w:rPr>
        <w:t>。</w:t>
      </w:r>
    </w:p>
    <w:p w14:paraId="7586D883">
      <w:pPr>
        <w:pStyle w:val="29"/>
        <w:rPr>
          <w:rFonts w:hint="eastAsia" w:cs="宋体"/>
          <w:color w:val="auto"/>
        </w:rPr>
      </w:pPr>
      <w:r>
        <w:rPr>
          <w:rFonts w:hint="eastAsia" w:cs="宋体"/>
          <w:color w:val="auto"/>
        </w:rPr>
        <w:t>根据《博时裕盛纯债债券型证券投资基金基金合同》及基金管理人博时基金管理有限公司于2026年3月27日发布的《博时基金管理有限公司关于博时裕盛纯债债券型证券投资基金基金合同终止及基金财产清算的公告》，截至2026年3月26日，本基金出现连续六十个工作日基金资产净值低于五千万元的情形，已触发《基金合同》中约定的基金终止条款。本基金的最后运作日为2026年3月26日，并于2026年3月27日进入基金财产清算程序。</w:t>
      </w:r>
    </w:p>
    <w:p w14:paraId="4658E385">
      <w:pPr>
        <w:spacing w:line="360" w:lineRule="auto"/>
        <w:rPr>
          <w:rFonts w:hint="eastAsia" w:ascii="宋体" w:hAnsi="宋体" w:cs="宋体"/>
          <w:b/>
          <w:szCs w:val="21"/>
        </w:rPr>
      </w:pPr>
      <w:r>
        <w:rPr>
          <w:rFonts w:hint="eastAsia" w:ascii="宋体" w:hAnsi="宋体" w:cs="宋体"/>
          <w:b/>
          <w:szCs w:val="21"/>
        </w:rPr>
        <w:t>4.3.2清算原因</w:t>
      </w:r>
    </w:p>
    <w:p w14:paraId="2C31A67D">
      <w:pPr>
        <w:pStyle w:val="29"/>
        <w:rPr>
          <w:rFonts w:hint="eastAsia" w:cs="宋体"/>
          <w:color w:val="auto"/>
        </w:rPr>
      </w:pPr>
      <w:r>
        <w:rPr>
          <w:rFonts w:hint="eastAsia" w:cs="宋体"/>
          <w:color w:val="auto"/>
        </w:rPr>
        <w:t>根据《基金合同》“第五部分 基金备案”之“三、基金存续期内的基金份额持有人数量和资产规模”约定：</w:t>
      </w:r>
    </w:p>
    <w:p w14:paraId="1740C687">
      <w:pPr>
        <w:pStyle w:val="29"/>
        <w:rPr>
          <w:rFonts w:hint="eastAsia" w:cs="宋体"/>
          <w:color w:val="auto"/>
        </w:rPr>
      </w:pPr>
      <w:r>
        <w:rPr>
          <w:rFonts w:hint="eastAsia" w:cs="宋体"/>
          <w:color w:val="auto"/>
        </w:rPr>
        <w:t>“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w:t>
      </w:r>
    </w:p>
    <w:p w14:paraId="3F6119B2">
      <w:pPr>
        <w:pStyle w:val="29"/>
        <w:rPr>
          <w:rFonts w:hint="eastAsia" w:cs="宋体"/>
          <w:color w:val="auto"/>
        </w:rPr>
      </w:pPr>
      <w:r>
        <w:rPr>
          <w:rFonts w:hint="eastAsia" w:cs="宋体"/>
          <w:color w:val="auto"/>
        </w:rPr>
        <w:t xml:space="preserve">法律法规或监管机构另有规定时，从其规定。” </w:t>
      </w:r>
    </w:p>
    <w:p w14:paraId="7B0971A5">
      <w:pPr>
        <w:pStyle w:val="29"/>
        <w:rPr>
          <w:rFonts w:hint="eastAsia" w:cs="宋体"/>
          <w:color w:val="auto"/>
        </w:rPr>
      </w:pPr>
      <w:r>
        <w:rPr>
          <w:rFonts w:hint="eastAsia" w:cs="宋体"/>
          <w:color w:val="auto"/>
        </w:rPr>
        <w:t>截至2026年3月26日，本基金出现连续六十个工作日基金资产净值低于五千万元的情形，已触发《基金合同》中约定的基金终止条款。根据《基金合同》有关约定，博时基金管理有限公司应依据基金财产清算程序对本基金进行财产清算并终止基金合同，且无需召开基金份额持有人大会。</w:t>
      </w:r>
    </w:p>
    <w:p w14:paraId="2EA77965">
      <w:pPr>
        <w:spacing w:line="360" w:lineRule="auto"/>
        <w:rPr>
          <w:rFonts w:hint="eastAsia" w:ascii="宋体" w:hAnsi="宋体" w:cs="宋体"/>
          <w:b/>
          <w:szCs w:val="21"/>
        </w:rPr>
      </w:pPr>
      <w:r>
        <w:rPr>
          <w:rFonts w:hint="eastAsia" w:ascii="宋体" w:hAnsi="宋体" w:cs="宋体"/>
          <w:b/>
          <w:szCs w:val="21"/>
        </w:rPr>
        <w:t>4.3.3清算起始日</w:t>
      </w:r>
    </w:p>
    <w:p w14:paraId="36FF8ABA">
      <w:pPr>
        <w:pStyle w:val="29"/>
        <w:rPr>
          <w:rFonts w:hint="eastAsia" w:cs="宋体"/>
          <w:color w:val="auto"/>
        </w:rPr>
      </w:pPr>
      <w:r>
        <w:rPr>
          <w:rFonts w:hint="eastAsia" w:cs="宋体"/>
          <w:color w:val="auto"/>
        </w:rPr>
        <w:t>根据博时基金管理有限公司于2026年3月27日发布的《博时基金管理有限公司关于博时裕盛纯债债券型证券投资基金基金合同终止及基金财产清算的公告》，本基金的清算起始日为2026年3月27日。</w:t>
      </w:r>
    </w:p>
    <w:p w14:paraId="48432F0A">
      <w:pPr>
        <w:spacing w:line="360" w:lineRule="auto"/>
        <w:rPr>
          <w:rFonts w:hint="eastAsia" w:ascii="宋体" w:hAnsi="宋体" w:cs="宋体"/>
          <w:b/>
          <w:szCs w:val="21"/>
        </w:rPr>
      </w:pPr>
      <w:r>
        <w:rPr>
          <w:rFonts w:hint="eastAsia" w:ascii="宋体" w:hAnsi="宋体" w:cs="宋体"/>
          <w:b/>
          <w:szCs w:val="21"/>
        </w:rPr>
        <w:t>4.3.4清算财务报表的编制基础</w:t>
      </w:r>
    </w:p>
    <w:p w14:paraId="78E9B095">
      <w:pPr>
        <w:spacing w:line="360" w:lineRule="auto"/>
        <w:ind w:firstLine="420" w:firstLineChars="200"/>
        <w:rPr>
          <w:rFonts w:hint="eastAsia" w:ascii="宋体" w:hAnsi="宋体" w:cs="宋体"/>
          <w:szCs w:val="21"/>
        </w:rPr>
      </w:pPr>
      <w:r>
        <w:rPr>
          <w:rFonts w:hint="eastAsia" w:ascii="宋体" w:hAnsi="宋体" w:cs="宋体"/>
          <w:szCs w:val="21"/>
        </w:rPr>
        <w:t>如财务报表附注4.3.3所述，自2026年3月27日起，本基金进入清算程序，因此本财务报表以清算基础编制。</w:t>
      </w:r>
    </w:p>
    <w:p w14:paraId="7E38A055">
      <w:pPr>
        <w:spacing w:line="360" w:lineRule="auto"/>
        <w:ind w:firstLine="420" w:firstLineChars="200"/>
        <w:rPr>
          <w:rFonts w:hint="eastAsia" w:ascii="宋体" w:hAnsi="宋体" w:cs="宋体"/>
          <w:szCs w:val="21"/>
        </w:rPr>
      </w:pPr>
      <w:r>
        <w:rPr>
          <w:rFonts w:hint="eastAsia" w:ascii="宋体" w:hAnsi="宋体" w:cs="宋体"/>
          <w:szCs w:val="21"/>
        </w:rPr>
        <w:t>本基金财务报表按附注4.3.5中所述的重要会计政策和会计估计以清算基础编制。于2026年3月26日(基金最后运作日)，所有资产以可收回金额与原账面价值孰低计量，负债以预计需要清偿的金额计量。</w:t>
      </w:r>
    </w:p>
    <w:p w14:paraId="57255867">
      <w:pPr>
        <w:spacing w:line="360" w:lineRule="auto"/>
        <w:ind w:firstLine="420" w:firstLineChars="200"/>
        <w:rPr>
          <w:rFonts w:hint="eastAsia" w:ascii="宋体" w:hAnsi="宋体" w:cs="宋体"/>
          <w:szCs w:val="21"/>
        </w:rPr>
      </w:pPr>
      <w:r>
        <w:rPr>
          <w:rFonts w:hint="eastAsia" w:ascii="宋体" w:hAnsi="宋体" w:cs="宋体"/>
          <w:szCs w:val="21"/>
        </w:rPr>
        <w:t>此外，本基金财务报表按照中国证券投资基金业协会(以下简称“中国基金业协会”)颁布的《证券投资基金会计核算业务指引》、《基金合同》约定的资产估值和会计核算方法及在财务报表附注4.3所列示的中国证监会、中国基金业协会发布的有关规定及允许的基金行业实务操作编制。</w:t>
      </w:r>
    </w:p>
    <w:p w14:paraId="42B5B74C">
      <w:pPr>
        <w:spacing w:line="360" w:lineRule="auto"/>
        <w:rPr>
          <w:rFonts w:hint="eastAsia" w:ascii="宋体" w:hAnsi="宋体" w:cs="宋体"/>
          <w:b/>
          <w:szCs w:val="21"/>
        </w:rPr>
      </w:pPr>
      <w:r>
        <w:rPr>
          <w:rFonts w:hint="eastAsia" w:ascii="宋体" w:hAnsi="宋体" w:cs="宋体"/>
          <w:b/>
          <w:szCs w:val="21"/>
        </w:rPr>
        <w:t>4.3.5 重要会计政策和会计估计</w:t>
      </w:r>
    </w:p>
    <w:p w14:paraId="7B897645">
      <w:pPr>
        <w:spacing w:line="360" w:lineRule="auto"/>
        <w:rPr>
          <w:rFonts w:hint="eastAsia" w:ascii="宋体" w:hAnsi="宋体" w:cs="宋体"/>
          <w:b/>
          <w:szCs w:val="21"/>
        </w:rPr>
      </w:pPr>
      <w:r>
        <w:rPr>
          <w:rFonts w:hint="eastAsia" w:ascii="宋体" w:hAnsi="宋体" w:cs="宋体"/>
          <w:b/>
          <w:szCs w:val="21"/>
        </w:rPr>
        <w:t>4.3.5.1清算期间</w:t>
      </w:r>
    </w:p>
    <w:p w14:paraId="1248B196">
      <w:pPr>
        <w:spacing w:line="360" w:lineRule="auto"/>
        <w:ind w:firstLine="420" w:firstLineChars="200"/>
        <w:rPr>
          <w:rFonts w:hint="eastAsia" w:ascii="宋体" w:hAnsi="宋体" w:cs="宋体"/>
          <w:szCs w:val="21"/>
        </w:rPr>
      </w:pPr>
      <w:r>
        <w:rPr>
          <w:rFonts w:hint="eastAsia" w:ascii="宋体" w:hAnsi="宋体" w:cs="宋体"/>
          <w:szCs w:val="21"/>
        </w:rPr>
        <w:t>本清算期间为2026年3月27日至2026年4月13日</w:t>
      </w:r>
      <w:r>
        <w:rPr>
          <w:rFonts w:ascii="宋体" w:hAnsi="宋体" w:cs="宋体"/>
        </w:rPr>
        <w:t>。</w:t>
      </w:r>
    </w:p>
    <w:p w14:paraId="21E43EB7">
      <w:pPr>
        <w:spacing w:line="360" w:lineRule="auto"/>
        <w:rPr>
          <w:rFonts w:hint="eastAsia" w:ascii="宋体" w:hAnsi="宋体" w:cs="宋体"/>
          <w:b/>
          <w:szCs w:val="21"/>
        </w:rPr>
      </w:pPr>
      <w:r>
        <w:rPr>
          <w:rFonts w:hint="eastAsia" w:ascii="宋体" w:hAnsi="宋体" w:cs="宋体"/>
          <w:b/>
          <w:szCs w:val="21"/>
        </w:rPr>
        <w:t>4.3.5.2 记账本位币</w:t>
      </w:r>
    </w:p>
    <w:p w14:paraId="2C218ACD">
      <w:pPr>
        <w:spacing w:line="360" w:lineRule="auto"/>
        <w:ind w:firstLine="420" w:firstLineChars="200"/>
        <w:rPr>
          <w:rFonts w:hint="eastAsia" w:ascii="宋体" w:hAnsi="宋体" w:cs="宋体"/>
          <w:szCs w:val="21"/>
        </w:rPr>
      </w:pPr>
      <w:r>
        <w:rPr>
          <w:rFonts w:hint="eastAsia" w:ascii="宋体" w:hAnsi="宋体" w:cs="宋体"/>
          <w:szCs w:val="21"/>
        </w:rPr>
        <w:t>本清算财务报表以人民币为记账本位币。</w:t>
      </w:r>
    </w:p>
    <w:p w14:paraId="60F59546">
      <w:pPr>
        <w:spacing w:line="360" w:lineRule="auto"/>
        <w:rPr>
          <w:rFonts w:hint="eastAsia" w:ascii="宋体" w:hAnsi="宋体" w:cs="宋体"/>
          <w:b/>
          <w:szCs w:val="21"/>
        </w:rPr>
      </w:pPr>
      <w:r>
        <w:rPr>
          <w:rFonts w:hint="eastAsia" w:ascii="宋体" w:hAnsi="宋体" w:cs="宋体"/>
          <w:b/>
          <w:szCs w:val="21"/>
        </w:rPr>
        <w:t xml:space="preserve">4.3.5.3 应收款项的确认和计量 </w:t>
      </w:r>
    </w:p>
    <w:p w14:paraId="63C7B483">
      <w:pPr>
        <w:spacing w:line="360" w:lineRule="auto"/>
        <w:ind w:firstLine="420" w:firstLineChars="200"/>
        <w:rPr>
          <w:rFonts w:hint="eastAsia" w:ascii="宋体" w:hAnsi="宋体" w:cs="宋体"/>
          <w:szCs w:val="21"/>
        </w:rPr>
      </w:pPr>
      <w:r>
        <w:rPr>
          <w:rFonts w:hint="eastAsia" w:ascii="宋体" w:hAnsi="宋体" w:cs="宋体"/>
          <w:szCs w:val="21"/>
        </w:rPr>
        <w:t>应收款项按照未来应收取的款项金额计量。</w:t>
      </w:r>
    </w:p>
    <w:p w14:paraId="72B107A9">
      <w:pPr>
        <w:spacing w:line="360" w:lineRule="auto"/>
        <w:rPr>
          <w:rFonts w:hint="eastAsia" w:ascii="宋体" w:hAnsi="宋体" w:cs="宋体"/>
          <w:b/>
          <w:szCs w:val="21"/>
        </w:rPr>
      </w:pPr>
      <w:r>
        <w:rPr>
          <w:rFonts w:hint="eastAsia" w:ascii="宋体" w:hAnsi="宋体" w:cs="宋体"/>
          <w:b/>
          <w:szCs w:val="21"/>
        </w:rPr>
        <w:t xml:space="preserve">4.3.5.4 应付款项的确认和计量 </w:t>
      </w:r>
    </w:p>
    <w:p w14:paraId="380CD2B5">
      <w:pPr>
        <w:spacing w:line="360" w:lineRule="auto"/>
        <w:ind w:firstLine="420" w:firstLineChars="200"/>
        <w:rPr>
          <w:rFonts w:hint="eastAsia" w:ascii="宋体" w:hAnsi="宋体" w:cs="宋体"/>
          <w:szCs w:val="21"/>
        </w:rPr>
      </w:pPr>
      <w:r>
        <w:rPr>
          <w:rFonts w:hint="eastAsia" w:ascii="宋体" w:hAnsi="宋体" w:cs="宋体"/>
          <w:szCs w:val="21"/>
        </w:rPr>
        <w:t>应付款项按照未来应支付的款项金额计量。</w:t>
      </w:r>
    </w:p>
    <w:p w14:paraId="7875794C">
      <w:pPr>
        <w:spacing w:line="360" w:lineRule="auto"/>
        <w:rPr>
          <w:rFonts w:hint="eastAsia" w:ascii="宋体" w:hAnsi="宋体" w:cs="宋体"/>
          <w:b/>
          <w:szCs w:val="21"/>
        </w:rPr>
      </w:pPr>
      <w:r>
        <w:rPr>
          <w:rFonts w:hint="eastAsia" w:ascii="宋体" w:hAnsi="宋体" w:cs="宋体"/>
          <w:b/>
          <w:szCs w:val="21"/>
        </w:rPr>
        <w:t xml:space="preserve">4.3.5.5 清算收益的确认和计量 </w:t>
      </w:r>
    </w:p>
    <w:p w14:paraId="49C543A0">
      <w:pPr>
        <w:spacing w:line="360" w:lineRule="auto"/>
        <w:ind w:firstLine="420" w:firstLineChars="200"/>
        <w:rPr>
          <w:rFonts w:hint="eastAsia" w:ascii="宋体" w:hAnsi="宋体" w:cs="宋体"/>
          <w:szCs w:val="21"/>
        </w:rPr>
      </w:pPr>
      <w:r>
        <w:rPr>
          <w:rFonts w:hint="eastAsia" w:ascii="宋体" w:hAnsi="宋体" w:cs="宋体"/>
          <w:szCs w:val="21"/>
        </w:rPr>
        <w:t>清算收益按照实际发生的收益金额或未来应收取的款项金额计量。</w:t>
      </w:r>
    </w:p>
    <w:p w14:paraId="37EF5A6E">
      <w:pPr>
        <w:spacing w:line="360" w:lineRule="auto"/>
        <w:rPr>
          <w:rFonts w:hint="eastAsia" w:ascii="宋体" w:hAnsi="宋体" w:cs="宋体"/>
          <w:b/>
          <w:szCs w:val="21"/>
        </w:rPr>
      </w:pPr>
      <w:r>
        <w:rPr>
          <w:rFonts w:hint="eastAsia" w:ascii="宋体" w:hAnsi="宋体" w:cs="宋体"/>
          <w:b/>
          <w:szCs w:val="21"/>
        </w:rPr>
        <w:t xml:space="preserve">4.3.5.6清算费用的确认和计量 </w:t>
      </w:r>
    </w:p>
    <w:p w14:paraId="00933883">
      <w:pPr>
        <w:spacing w:line="360" w:lineRule="auto"/>
        <w:ind w:firstLine="420" w:firstLineChars="200"/>
        <w:rPr>
          <w:rFonts w:hint="eastAsia" w:ascii="宋体" w:hAnsi="宋体" w:cs="宋体"/>
          <w:szCs w:val="21"/>
        </w:rPr>
      </w:pPr>
      <w:r>
        <w:rPr>
          <w:rFonts w:hint="eastAsia" w:ascii="宋体" w:hAnsi="宋体" w:cs="宋体"/>
          <w:szCs w:val="21"/>
        </w:rPr>
        <w:t>清算费用按照实际发生的费用金额或未来应支付的款项金额计量。</w:t>
      </w:r>
    </w:p>
    <w:p w14:paraId="10ADE01F">
      <w:pPr>
        <w:spacing w:line="360" w:lineRule="auto"/>
        <w:rPr>
          <w:rFonts w:hint="eastAsia" w:ascii="宋体" w:hAnsi="宋体" w:cs="宋体"/>
          <w:b/>
          <w:szCs w:val="21"/>
        </w:rPr>
      </w:pPr>
      <w:r>
        <w:rPr>
          <w:rFonts w:hint="eastAsia" w:ascii="宋体" w:hAnsi="宋体" w:cs="宋体"/>
          <w:b/>
          <w:szCs w:val="21"/>
        </w:rPr>
        <w:t>4.3.6 税项</w:t>
      </w:r>
    </w:p>
    <w:p w14:paraId="5F0A6339">
      <w:pPr>
        <w:pStyle w:val="29"/>
        <w:rPr>
          <w:rFonts w:hint="eastAsia" w:cs="宋体"/>
          <w:color w:val="auto"/>
        </w:rPr>
      </w:pPr>
      <w:bookmarkStart w:id="48" w:name="_Toc491963087"/>
      <w:bookmarkStart w:id="49" w:name="_Toc484769809"/>
      <w:r>
        <w:rPr>
          <w:rFonts w:hint="eastAsia" w:cs="宋体"/>
          <w:color w:val="auto"/>
        </w:rPr>
        <w:t>根据财政部、国家税务总局财税[2002]128号《关于开放式证券投资基金有关税收问题的通知》、财税[2008]1号《关于企业所得税若干优惠政策的通知》、财税[2016]36号《关于全面推开营业税改征增值税试点的通知》、财税[2016]46号《关于进一步明确全面推开营改增试点金融业有关政策的通知》、财税[2016]70号《关于金融机构同业往来等增值税政策的补充通知》、财税[2016]140号《关于明确金融 房地产开发 教育辅助服务等增值税政策的通知》、财税[2017]2号《关于资管产品增值税政策有关问题的补充通知》、财税[2017]56号《关于资管产品增值税有关问题的通知》、财税[2017]90号《关于租入固定资产进项税额抵扣等增值税政策的通知》、财政部、国家税务总局公告2025年第4号《关于国债等债券利息收入增值税政策的公告》及其他相关财税法规和实务操作，主要税项列示如下：</w:t>
      </w:r>
    </w:p>
    <w:p w14:paraId="3CB8A5BD">
      <w:pPr>
        <w:pStyle w:val="29"/>
        <w:rPr>
          <w:rFonts w:hint="eastAsia" w:cs="宋体"/>
          <w:color w:val="auto"/>
        </w:rPr>
      </w:pPr>
      <w:r>
        <w:rPr>
          <w:rFonts w:hint="eastAsia" w:cs="宋体"/>
          <w:color w:val="auto"/>
        </w:rPr>
        <w:t>（1）资管产品运营过程中发生的增值税应税行为，以资管产品管理人为增值税纳税人。资管产品管理人运营资管产品过程中发生的增值税应税行为，暂适用简易计税方法，按照3%的征收率缴纳增值税。对资管产品在2018年1月1日前运营过程中发生的增值税应税行为，未缴纳增值税的，不再缴纳；已缴纳增值税的，已纳税额从资管产品管理人以后月份的增值税应纳税额中抵减。</w:t>
      </w:r>
    </w:p>
    <w:p w14:paraId="783D313A">
      <w:pPr>
        <w:pStyle w:val="29"/>
        <w:rPr>
          <w:rFonts w:hint="eastAsia" w:cs="宋体"/>
          <w:color w:val="auto"/>
        </w:rPr>
      </w:pPr>
      <w:r>
        <w:rPr>
          <w:rFonts w:hint="eastAsia" w:cs="宋体"/>
          <w:color w:val="auto"/>
        </w:rPr>
        <w:t>对证券投资基金管理人运用基金买卖股票、债券的转让收入免征增值税，对除持有金融债券外的金融同业往来利息收入亦免征增值税。自2025年8月8日起，对在该日期之后（含当日）新发行的国债、地方政府债券、金融债券的利息收入，恢复征收增值税。对在该日期之前已发行的国债、地方政府债券、金融债券（包含在2025年8月8日之后续发行的部分）的利息收入，免征增值税直至债券到期。资管产品管理人运营资管产品提供的贷款服务，以2018年1月1日起产生的利息及利息性质的收入为销售额。资管产品管理人运营资管产品转让2017年12月31日前取得的基金、非货物期货，可以选择按照实际买入价计算销售额，或者以2017年最后一个交易日的基金份额净值、非货物期货结算价格作为买入价计算销售额。</w:t>
      </w:r>
    </w:p>
    <w:p w14:paraId="5DF742BC">
      <w:pPr>
        <w:pStyle w:val="29"/>
        <w:rPr>
          <w:rFonts w:hint="eastAsia" w:cs="宋体"/>
          <w:color w:val="auto"/>
        </w:rPr>
      </w:pPr>
      <w:r>
        <w:rPr>
          <w:rFonts w:hint="eastAsia" w:cs="宋体"/>
          <w:color w:val="auto"/>
        </w:rPr>
        <w:t>（2）对基金从证券市场中取得的收入，包括买卖股票、债券的差价收入，股票的股息、红利收入，债券的利息收入及其他收入，暂不征收企业所得税。</w:t>
      </w:r>
    </w:p>
    <w:p w14:paraId="440CB424">
      <w:pPr>
        <w:pStyle w:val="29"/>
        <w:rPr>
          <w:rFonts w:hint="eastAsia" w:cs="宋体"/>
          <w:color w:val="auto"/>
        </w:rPr>
      </w:pPr>
      <w:r>
        <w:rPr>
          <w:rFonts w:hint="eastAsia" w:cs="宋体"/>
          <w:color w:val="auto"/>
        </w:rPr>
        <w:t>（3）对基金取得的企业债券利息收入，应由发行债券的企业在向基金支付利息时代扣代缴20%的个人所得税。</w:t>
      </w:r>
    </w:p>
    <w:p w14:paraId="0FFA4DAC">
      <w:pPr>
        <w:pStyle w:val="29"/>
        <w:rPr>
          <w:rFonts w:hint="eastAsia" w:cs="宋体"/>
          <w:color w:val="auto"/>
        </w:rPr>
      </w:pPr>
      <w:r>
        <w:rPr>
          <w:rFonts w:hint="eastAsia" w:cs="宋体"/>
          <w:color w:val="auto"/>
        </w:rPr>
        <w:t>（4）本基金的城市维护建设税、教育费附加和地方教育附加等税费按照实际缴纳增值税额的适用比例计算缴纳。</w:t>
      </w:r>
    </w:p>
    <w:p w14:paraId="1DEF86DC">
      <w:pPr>
        <w:pStyle w:val="2"/>
        <w:keepNext/>
        <w:keepLines/>
        <w:widowControl w:val="0"/>
        <w:spacing w:before="312" w:beforeLines="100" w:after="312" w:afterLines="100" w:line="360" w:lineRule="auto"/>
        <w:jc w:val="center"/>
        <w:rPr>
          <w:rStyle w:val="26"/>
          <w:rFonts w:hint="eastAsia" w:ascii="宋体" w:hAnsi="宋体" w:cs="宋体"/>
        </w:rPr>
      </w:pPr>
      <w:r>
        <w:rPr>
          <w:rStyle w:val="26"/>
          <w:rFonts w:hint="eastAsia" w:ascii="宋体" w:hAnsi="宋体" w:cs="宋体"/>
        </w:rPr>
        <w:t>5、清算情况</w:t>
      </w:r>
      <w:bookmarkEnd w:id="48"/>
    </w:p>
    <w:p w14:paraId="7CC85802">
      <w:pPr>
        <w:pStyle w:val="3"/>
        <w:spacing w:before="0" w:after="0"/>
        <w:rPr>
          <w:rFonts w:hint="eastAsia" w:ascii="宋体" w:hAnsi="宋体" w:cs="宋体"/>
          <w:kern w:val="0"/>
          <w:sz w:val="21"/>
          <w:szCs w:val="21"/>
        </w:rPr>
      </w:pPr>
      <w:bookmarkStart w:id="50" w:name="_Toc491963088"/>
      <w:r>
        <w:rPr>
          <w:rFonts w:hint="eastAsia" w:ascii="宋体" w:hAnsi="宋体" w:cs="宋体"/>
          <w:kern w:val="0"/>
          <w:sz w:val="21"/>
          <w:szCs w:val="21"/>
        </w:rPr>
        <w:t>5.1 资产负债清算情况</w:t>
      </w:r>
      <w:bookmarkEnd w:id="50"/>
    </w:p>
    <w:p w14:paraId="6C1D6224">
      <w:pPr>
        <w:pStyle w:val="29"/>
        <w:rPr>
          <w:rFonts w:hint="eastAsia" w:cs="宋体"/>
          <w:color w:val="auto"/>
        </w:rPr>
      </w:pPr>
      <w:r>
        <w:rPr>
          <w:rFonts w:hint="eastAsia" w:cs="宋体"/>
          <w:color w:val="auto"/>
        </w:rPr>
        <w:t>1. 自2026年3月27日（清算开始日）本基金进入清算程序起至2026年4月13日(清算结束日)止期间，本基金由银行存款及存出保证金产生的利息收入和2026年3月26日（基金最后运作日）的应计利息中未结息的部分将由本基金的基金管理人博时基金管理有限公司先行垫付，待实际资金到账后再归还本基金的基金管理人，基金管理人垫付资金孳生的利息归本基金的基金管理人所有，结息金额与截至本资产负债表批准报出日止期间预估的垫付利息产生的差额也由本基金的基金管理人承担。</w:t>
      </w:r>
    </w:p>
    <w:p w14:paraId="4E437B0E">
      <w:pPr>
        <w:pStyle w:val="29"/>
        <w:rPr>
          <w:rFonts w:hint="eastAsia" w:cs="宋体"/>
          <w:color w:val="auto"/>
        </w:rPr>
      </w:pPr>
      <w:r>
        <w:rPr>
          <w:rFonts w:hint="eastAsia" w:cs="宋体"/>
          <w:color w:val="auto"/>
        </w:rPr>
        <w:t>2. 本基金于2026年3月26日（基金最后运作日）持有的交易性债券投资金额为908,048.87元，已于清算期内变现。</w:t>
      </w:r>
    </w:p>
    <w:p w14:paraId="0939E5E5">
      <w:pPr>
        <w:pStyle w:val="29"/>
        <w:rPr>
          <w:rFonts w:hint="eastAsia" w:cs="宋体"/>
          <w:color w:val="auto"/>
        </w:rPr>
      </w:pPr>
      <w:r>
        <w:rPr>
          <w:rFonts w:hint="eastAsia" w:cs="宋体"/>
          <w:color w:val="auto"/>
        </w:rPr>
        <w:t>3. 本基金于2026年3月26日（基金最后运作日）已确认的应收申购款余额为19.99元，已于清算期内收到。</w:t>
      </w:r>
    </w:p>
    <w:p w14:paraId="40188215">
      <w:pPr>
        <w:pStyle w:val="29"/>
        <w:rPr>
          <w:rFonts w:hint="eastAsia" w:cs="宋体"/>
          <w:color w:val="auto"/>
        </w:rPr>
      </w:pPr>
      <w:r>
        <w:rPr>
          <w:rFonts w:hint="eastAsia" w:cs="宋体"/>
          <w:color w:val="auto"/>
        </w:rPr>
        <w:t>4. 本基金于2026年3月26日（基金最后运作日）已确认的应付赎回款余额为17,861.73元，已于清算期内支付。</w:t>
      </w:r>
    </w:p>
    <w:p w14:paraId="73B3FE90">
      <w:pPr>
        <w:pStyle w:val="29"/>
        <w:rPr>
          <w:rFonts w:hint="eastAsia" w:cs="宋体"/>
          <w:color w:val="auto"/>
        </w:rPr>
      </w:pPr>
      <w:r>
        <w:rPr>
          <w:rFonts w:hint="eastAsia" w:cs="宋体"/>
          <w:color w:val="auto"/>
        </w:rPr>
        <w:t>5. 本基金于2026年3月26日（基金最后运作日）的应付管理人报酬为416.28元，已于清算期内支付。</w:t>
      </w:r>
    </w:p>
    <w:p w14:paraId="525E897B">
      <w:pPr>
        <w:pStyle w:val="29"/>
        <w:rPr>
          <w:rFonts w:hint="eastAsia" w:cs="宋体"/>
          <w:color w:val="auto"/>
        </w:rPr>
      </w:pPr>
      <w:r>
        <w:rPr>
          <w:rFonts w:hint="eastAsia" w:cs="宋体"/>
          <w:color w:val="auto"/>
        </w:rPr>
        <w:t>6. 本基金于2026年3月26日（基金最后运作日）的应付托管费为138.75元，已于清算期内支付。</w:t>
      </w:r>
    </w:p>
    <w:p w14:paraId="30308425">
      <w:pPr>
        <w:pStyle w:val="29"/>
        <w:rPr>
          <w:rFonts w:hint="eastAsia" w:cs="宋体"/>
          <w:color w:val="auto"/>
        </w:rPr>
      </w:pPr>
      <w:r>
        <w:rPr>
          <w:rFonts w:hint="eastAsia" w:cs="宋体"/>
          <w:color w:val="auto"/>
        </w:rPr>
        <w:t>7. 本基金于2026年3月26日（基金最后运作日）的应付销售服务费为11.14元，已于清算期内支付。</w:t>
      </w:r>
    </w:p>
    <w:p w14:paraId="0C887965">
      <w:pPr>
        <w:pStyle w:val="29"/>
        <w:rPr>
          <w:rFonts w:hint="eastAsia" w:cs="宋体"/>
          <w:color w:val="auto"/>
        </w:rPr>
      </w:pPr>
      <w:r>
        <w:rPr>
          <w:rFonts w:hint="eastAsia" w:cs="宋体"/>
          <w:color w:val="auto"/>
        </w:rPr>
        <w:t>8. 本基金于2026年3月26日（基金最后运作日）的其他负债为35,000.00元，包括预提审计费35,000.00元，将于本报告</w:t>
      </w:r>
      <w:r>
        <w:rPr>
          <w:rFonts w:hint="eastAsia" w:cs="宋体"/>
          <w:color w:val="auto"/>
          <w:lang w:val="en-US" w:eastAsia="zh-CN"/>
        </w:rPr>
        <w:t>公告</w:t>
      </w:r>
      <w:r>
        <w:rPr>
          <w:rFonts w:hint="eastAsia" w:cs="宋体"/>
          <w:color w:val="auto"/>
        </w:rPr>
        <w:t>日后进行支付。</w:t>
      </w:r>
    </w:p>
    <w:p w14:paraId="0CB8A00B">
      <w:pPr>
        <w:pStyle w:val="29"/>
        <w:rPr>
          <w:rFonts w:hint="eastAsia" w:cs="宋体"/>
          <w:color w:val="auto"/>
        </w:rPr>
      </w:pPr>
      <w:r>
        <w:rPr>
          <w:rFonts w:hint="eastAsia" w:cs="宋体"/>
          <w:color w:val="auto"/>
        </w:rPr>
        <w:t>9. 清算期间2026年3月27日（清算开始日）至2026年4月13日（清算结束日）止期间的清算损益情况。</w:t>
      </w:r>
    </w:p>
    <w:bookmarkEnd w:id="49"/>
    <w:p w14:paraId="4462FC79">
      <w:pPr>
        <w:pStyle w:val="3"/>
        <w:spacing w:before="0" w:after="0"/>
        <w:rPr>
          <w:rFonts w:hint="eastAsia" w:ascii="宋体" w:hAnsi="宋体" w:cs="宋体"/>
          <w:kern w:val="0"/>
          <w:sz w:val="21"/>
          <w:szCs w:val="21"/>
        </w:rPr>
      </w:pPr>
      <w:bookmarkStart w:id="51" w:name="_Toc491963089"/>
      <w:r>
        <w:rPr>
          <w:rFonts w:hint="eastAsia" w:ascii="宋体" w:hAnsi="宋体" w:cs="宋体"/>
          <w:kern w:val="0"/>
          <w:sz w:val="21"/>
          <w:szCs w:val="21"/>
        </w:rPr>
        <w:t>5.2 截至本次清算期结束日的剩余财产情况及剩余财产分配安排</w:t>
      </w:r>
      <w:bookmarkEnd w:id="51"/>
    </w:p>
    <w:tbl>
      <w:tblPr>
        <w:tblStyle w:val="13"/>
        <w:tblW w:w="9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34"/>
        <w:gridCol w:w="3538"/>
      </w:tblGrid>
      <w:tr w14:paraId="352BE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34" w:type="dxa"/>
            <w:vAlign w:val="center"/>
          </w:tcPr>
          <w:p w14:paraId="0EB36186">
            <w:pPr>
              <w:pStyle w:val="11"/>
              <w:jc w:val="center"/>
              <w:rPr>
                <w:rFonts w:hint="eastAsia" w:ascii="宋体" w:hAnsi="宋体" w:eastAsia="宋体" w:cs="宋体"/>
                <w:b/>
                <w:sz w:val="21"/>
                <w:szCs w:val="21"/>
              </w:rPr>
            </w:pPr>
            <w:r>
              <w:rPr>
                <w:rFonts w:hint="eastAsia" w:ascii="宋体" w:hAnsi="宋体" w:eastAsia="宋体" w:cs="宋体"/>
                <w:b/>
                <w:sz w:val="21"/>
                <w:szCs w:val="21"/>
              </w:rPr>
              <w:t>项目</w:t>
            </w:r>
          </w:p>
        </w:tc>
        <w:tc>
          <w:tcPr>
            <w:tcW w:w="3538" w:type="dxa"/>
            <w:vAlign w:val="center"/>
          </w:tcPr>
          <w:p w14:paraId="281F3AD1">
            <w:pPr>
              <w:pStyle w:val="11"/>
              <w:spacing w:before="0" w:beforeAutospacing="0" w:after="0" w:afterAutospacing="0"/>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金额</w:t>
            </w:r>
          </w:p>
        </w:tc>
      </w:tr>
      <w:tr w14:paraId="1F254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34" w:type="dxa"/>
            <w:vAlign w:val="center"/>
          </w:tcPr>
          <w:p w14:paraId="4326312E">
            <w:pPr>
              <w:rPr>
                <w:rFonts w:hint="eastAsia" w:ascii="宋体" w:hAnsi="宋体" w:cs="宋体"/>
                <w:b/>
                <w:szCs w:val="21"/>
              </w:rPr>
            </w:pPr>
            <w:r>
              <w:rPr>
                <w:rFonts w:hint="eastAsia" w:ascii="宋体" w:hAnsi="宋体" w:cs="宋体"/>
                <w:b/>
                <w:szCs w:val="21"/>
              </w:rPr>
              <w:t>一、最后运作日2026年3月26日基金净资产</w:t>
            </w:r>
          </w:p>
        </w:tc>
        <w:tc>
          <w:tcPr>
            <w:tcW w:w="3538" w:type="dxa"/>
            <w:vAlign w:val="center"/>
          </w:tcPr>
          <w:p w14:paraId="20916C9E">
            <w:pPr>
              <w:ind w:left="-80"/>
              <w:jc w:val="right"/>
              <w:rPr>
                <w:rFonts w:hint="eastAsia" w:ascii="宋体" w:hAnsi="宋体" w:cs="宋体"/>
                <w:szCs w:val="21"/>
              </w:rPr>
            </w:pPr>
            <w:r>
              <w:rPr>
                <w:rFonts w:hint="eastAsia" w:ascii="宋体" w:hAnsi="宋体" w:cs="宋体"/>
                <w:szCs w:val="21"/>
              </w:rPr>
              <w:t>1,041,601.60</w:t>
            </w:r>
          </w:p>
        </w:tc>
      </w:tr>
      <w:tr w14:paraId="35AF3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34" w:type="dxa"/>
            <w:vAlign w:val="center"/>
          </w:tcPr>
          <w:p w14:paraId="53CEBF32">
            <w:pPr>
              <w:rPr>
                <w:rFonts w:hint="eastAsia" w:ascii="宋体" w:hAnsi="宋体" w:cs="宋体"/>
                <w:szCs w:val="21"/>
              </w:rPr>
            </w:pPr>
            <w:r>
              <w:rPr>
                <w:rFonts w:hint="eastAsia" w:ascii="宋体" w:hAnsi="宋体" w:cs="宋体"/>
                <w:szCs w:val="21"/>
              </w:rPr>
              <w:t>加：清算期间净收益</w:t>
            </w:r>
          </w:p>
        </w:tc>
        <w:tc>
          <w:tcPr>
            <w:tcW w:w="3538" w:type="dxa"/>
            <w:vAlign w:val="center"/>
          </w:tcPr>
          <w:p w14:paraId="39516862">
            <w:pPr>
              <w:ind w:left="-80"/>
              <w:jc w:val="right"/>
              <w:rPr>
                <w:rFonts w:hint="eastAsia" w:ascii="宋体" w:hAnsi="宋体" w:cs="宋体"/>
                <w:szCs w:val="21"/>
              </w:rPr>
            </w:pPr>
            <w:r>
              <w:rPr>
                <w:rFonts w:hint="eastAsia" w:ascii="宋体" w:hAnsi="宋体" w:cs="宋体"/>
                <w:szCs w:val="21"/>
              </w:rPr>
              <w:t>446.78</w:t>
            </w:r>
          </w:p>
        </w:tc>
      </w:tr>
      <w:tr w14:paraId="77524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34" w:type="dxa"/>
            <w:vAlign w:val="center"/>
          </w:tcPr>
          <w:p w14:paraId="7B7FA17C">
            <w:pPr>
              <w:rPr>
                <w:rFonts w:hint="eastAsia" w:ascii="宋体" w:hAnsi="宋体" w:cs="宋体"/>
                <w:b/>
                <w:szCs w:val="21"/>
              </w:rPr>
            </w:pPr>
            <w:r>
              <w:rPr>
                <w:rFonts w:hint="eastAsia" w:ascii="宋体" w:hAnsi="宋体" w:cs="宋体"/>
                <w:szCs w:val="21"/>
              </w:rPr>
              <w:t>加：清算期间确认的申购/赎回导致的基金净资产变动</w:t>
            </w:r>
          </w:p>
        </w:tc>
        <w:tc>
          <w:tcPr>
            <w:tcW w:w="3538" w:type="dxa"/>
            <w:vAlign w:val="center"/>
          </w:tcPr>
          <w:p w14:paraId="3E9CDECE">
            <w:pPr>
              <w:ind w:left="-80"/>
              <w:jc w:val="right"/>
              <w:rPr>
                <w:rFonts w:hint="eastAsia" w:ascii="宋体" w:hAnsi="宋体" w:cs="宋体"/>
                <w:szCs w:val="21"/>
              </w:rPr>
            </w:pPr>
            <w:r>
              <w:rPr>
                <w:rFonts w:hint="eastAsia" w:ascii="宋体" w:hAnsi="宋体" w:cs="宋体"/>
                <w:szCs w:val="21"/>
              </w:rPr>
              <w:t>39.97</w:t>
            </w:r>
          </w:p>
        </w:tc>
      </w:tr>
      <w:tr w14:paraId="796D5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34" w:type="dxa"/>
            <w:vAlign w:val="center"/>
          </w:tcPr>
          <w:p w14:paraId="7AC21C0F">
            <w:pPr>
              <w:rPr>
                <w:rFonts w:hint="eastAsia" w:ascii="宋体" w:hAnsi="宋体" w:cs="宋体"/>
                <w:b/>
                <w:szCs w:val="21"/>
              </w:rPr>
            </w:pPr>
            <w:r>
              <w:rPr>
                <w:rFonts w:hint="eastAsia" w:ascii="宋体" w:hAnsi="宋体" w:cs="宋体"/>
                <w:b/>
                <w:szCs w:val="21"/>
              </w:rPr>
              <w:t>二、2026年4月13日基金净资产</w:t>
            </w:r>
          </w:p>
        </w:tc>
        <w:tc>
          <w:tcPr>
            <w:tcW w:w="3538" w:type="dxa"/>
            <w:vAlign w:val="center"/>
          </w:tcPr>
          <w:p w14:paraId="042755D1">
            <w:pPr>
              <w:ind w:left="-80"/>
              <w:jc w:val="right"/>
              <w:rPr>
                <w:rFonts w:hint="eastAsia" w:ascii="宋体" w:hAnsi="宋体" w:cs="宋体"/>
                <w:szCs w:val="21"/>
              </w:rPr>
            </w:pPr>
            <w:r>
              <w:rPr>
                <w:rFonts w:hint="eastAsia" w:ascii="宋体" w:hAnsi="宋体" w:cs="宋体"/>
                <w:szCs w:val="21"/>
              </w:rPr>
              <w:t>1,042,088.35</w:t>
            </w:r>
          </w:p>
        </w:tc>
      </w:tr>
    </w:tbl>
    <w:p w14:paraId="0E6F759D">
      <w:pPr>
        <w:pStyle w:val="29"/>
        <w:rPr>
          <w:rFonts w:hint="eastAsia" w:cs="宋体"/>
          <w:color w:val="auto"/>
        </w:rPr>
      </w:pPr>
      <w:r>
        <w:rPr>
          <w:rFonts w:hint="eastAsia" w:cs="宋体"/>
          <w:color w:val="auto"/>
        </w:rPr>
        <w:t>截至本次清算期结束日2026年4月13日，本基金剩余财产为人民币1,042,088.35元。自本次清算期结束日次日2026年4月14日至清算款划出前一日的收益和费用由基金份额持有人享有和承担。</w:t>
      </w:r>
    </w:p>
    <w:p w14:paraId="511815BA">
      <w:pPr>
        <w:spacing w:line="360" w:lineRule="auto"/>
        <w:ind w:firstLine="420" w:firstLineChars="200"/>
        <w:rPr>
          <w:rFonts w:hint="eastAsia" w:ascii="宋体" w:hAnsi="宋体" w:cs="宋体"/>
          <w:szCs w:val="21"/>
        </w:rPr>
      </w:pPr>
      <w:r>
        <w:rPr>
          <w:rFonts w:hint="eastAsia" w:ascii="宋体" w:hAnsi="宋体" w:cs="宋体"/>
          <w:szCs w:val="21"/>
        </w:rPr>
        <w:t>本清算报告已经基金托管人复核，将与会计师事务所出具的清算审计报告、律师事务所出具的法律意见书一并报中国证监会备案后向基金份额持有人公告。清算报告公告后，基金管理人将遵照法律法规、基金合同等规定及时进行分配。</w:t>
      </w:r>
    </w:p>
    <w:p w14:paraId="073997CD">
      <w:pPr>
        <w:pStyle w:val="2"/>
        <w:keepNext/>
        <w:keepLines/>
        <w:widowControl w:val="0"/>
        <w:spacing w:before="312" w:beforeLines="100" w:after="312" w:afterLines="100" w:line="360" w:lineRule="auto"/>
        <w:jc w:val="center"/>
        <w:rPr>
          <w:rStyle w:val="26"/>
          <w:rFonts w:hint="eastAsia" w:ascii="宋体" w:hAnsi="宋体" w:cs="宋体"/>
        </w:rPr>
      </w:pPr>
      <w:bookmarkStart w:id="52" w:name="_Toc476577307"/>
      <w:bookmarkStart w:id="53" w:name="_Toc484769810"/>
      <w:bookmarkStart w:id="54" w:name="_Toc491963090"/>
      <w:bookmarkStart w:id="55" w:name="_Toc409100471"/>
      <w:bookmarkStart w:id="56" w:name="_Toc361324903"/>
      <w:bookmarkStart w:id="57" w:name="_Toc225500055"/>
      <w:bookmarkStart w:id="58" w:name="_Toc409100108"/>
      <w:r>
        <w:rPr>
          <w:rStyle w:val="26"/>
          <w:rFonts w:hint="eastAsia" w:ascii="宋体" w:hAnsi="宋体" w:cs="宋体"/>
        </w:rPr>
        <w:t>6、备查文件目录</w:t>
      </w:r>
      <w:bookmarkEnd w:id="52"/>
      <w:bookmarkEnd w:id="53"/>
      <w:bookmarkEnd w:id="54"/>
      <w:bookmarkEnd w:id="55"/>
      <w:bookmarkEnd w:id="56"/>
      <w:bookmarkEnd w:id="57"/>
      <w:bookmarkEnd w:id="58"/>
    </w:p>
    <w:p w14:paraId="31B3BE70">
      <w:pPr>
        <w:pStyle w:val="3"/>
        <w:spacing w:before="0" w:after="0"/>
        <w:rPr>
          <w:rFonts w:hint="eastAsia" w:ascii="宋体" w:hAnsi="宋体" w:cs="宋体"/>
          <w:kern w:val="0"/>
          <w:sz w:val="21"/>
          <w:szCs w:val="21"/>
        </w:rPr>
      </w:pPr>
      <w:bookmarkStart w:id="59" w:name="_Toc491963091"/>
      <w:bookmarkStart w:id="60" w:name="_Toc361324904"/>
      <w:bookmarkStart w:id="61" w:name="_Toc409100472"/>
      <w:bookmarkStart w:id="62" w:name="_Toc484769811"/>
      <w:bookmarkStart w:id="63" w:name="_Toc483396843"/>
      <w:bookmarkStart w:id="64" w:name="_Toc409100109"/>
      <w:bookmarkStart w:id="65" w:name="_Toc476577308"/>
      <w:bookmarkStart w:id="66" w:name="_Toc484607315"/>
      <w:r>
        <w:rPr>
          <w:rFonts w:hint="eastAsia" w:ascii="宋体" w:hAnsi="宋体" w:cs="宋体"/>
          <w:kern w:val="0"/>
          <w:sz w:val="21"/>
          <w:szCs w:val="21"/>
        </w:rPr>
        <w:t>6.1 备查文件目录</w:t>
      </w:r>
      <w:bookmarkEnd w:id="59"/>
      <w:bookmarkEnd w:id="60"/>
      <w:bookmarkEnd w:id="61"/>
      <w:bookmarkEnd w:id="62"/>
      <w:bookmarkEnd w:id="63"/>
      <w:bookmarkEnd w:id="64"/>
      <w:bookmarkEnd w:id="65"/>
      <w:bookmarkEnd w:id="66"/>
    </w:p>
    <w:p w14:paraId="6C4A52C5">
      <w:pPr>
        <w:spacing w:line="360" w:lineRule="auto"/>
        <w:ind w:firstLine="420" w:firstLineChars="200"/>
        <w:rPr>
          <w:rFonts w:hint="eastAsia" w:ascii="宋体" w:hAnsi="宋体" w:cs="宋体"/>
          <w:szCs w:val="21"/>
        </w:rPr>
      </w:pPr>
      <w:r>
        <w:rPr>
          <w:rFonts w:hint="eastAsia" w:ascii="宋体" w:hAnsi="宋体" w:cs="宋体"/>
          <w:szCs w:val="21"/>
        </w:rPr>
        <w:t>6.1.1博时裕盛纯债债券型证券投资基金清算财务报表及审计报告</w:t>
      </w:r>
    </w:p>
    <w:p w14:paraId="125B9591">
      <w:pPr>
        <w:spacing w:line="360" w:lineRule="auto"/>
        <w:ind w:firstLine="420" w:firstLineChars="200"/>
        <w:rPr>
          <w:rFonts w:hint="eastAsia" w:ascii="宋体" w:hAnsi="宋体" w:cs="宋体"/>
          <w:szCs w:val="21"/>
        </w:rPr>
      </w:pPr>
      <w:r>
        <w:rPr>
          <w:rFonts w:hint="eastAsia" w:ascii="宋体" w:hAnsi="宋体" w:cs="宋体"/>
          <w:szCs w:val="21"/>
        </w:rPr>
        <w:t>6.1.2上海源泰律师事务所关于博时裕盛纯债债券型证券投资基金清算事宜之法律意见</w:t>
      </w:r>
    </w:p>
    <w:p w14:paraId="28B91EAA">
      <w:pPr>
        <w:pStyle w:val="3"/>
        <w:spacing w:before="0" w:after="0"/>
        <w:rPr>
          <w:rFonts w:hint="eastAsia" w:ascii="宋体" w:hAnsi="宋体" w:cs="宋体"/>
          <w:kern w:val="0"/>
          <w:sz w:val="21"/>
          <w:szCs w:val="21"/>
        </w:rPr>
      </w:pPr>
      <w:bookmarkStart w:id="67" w:name="_Toc491963092"/>
      <w:bookmarkStart w:id="68" w:name="_Toc409100110"/>
      <w:bookmarkStart w:id="69" w:name="_Toc484769812"/>
      <w:bookmarkStart w:id="70" w:name="_Toc476577309"/>
      <w:bookmarkStart w:id="71" w:name="_Toc484607316"/>
      <w:bookmarkStart w:id="72" w:name="_Toc409100473"/>
      <w:bookmarkStart w:id="73" w:name="_Toc361324905"/>
      <w:bookmarkStart w:id="74" w:name="_Toc483396844"/>
      <w:r>
        <w:rPr>
          <w:rFonts w:hint="eastAsia" w:ascii="宋体" w:hAnsi="宋体" w:cs="宋体"/>
          <w:kern w:val="0"/>
          <w:sz w:val="21"/>
          <w:szCs w:val="21"/>
        </w:rPr>
        <w:t>6.2 存放地点</w:t>
      </w:r>
      <w:bookmarkEnd w:id="67"/>
      <w:bookmarkEnd w:id="68"/>
      <w:bookmarkEnd w:id="69"/>
      <w:bookmarkEnd w:id="70"/>
      <w:bookmarkEnd w:id="71"/>
      <w:bookmarkEnd w:id="72"/>
      <w:bookmarkEnd w:id="73"/>
      <w:bookmarkEnd w:id="74"/>
    </w:p>
    <w:p w14:paraId="30869909">
      <w:pPr>
        <w:spacing w:line="360" w:lineRule="auto"/>
        <w:ind w:firstLine="420" w:firstLineChars="200"/>
        <w:rPr>
          <w:rFonts w:hint="eastAsia" w:ascii="宋体" w:hAnsi="宋体" w:cs="宋体"/>
          <w:szCs w:val="21"/>
        </w:rPr>
      </w:pPr>
      <w:r>
        <w:rPr>
          <w:rFonts w:hint="eastAsia" w:ascii="宋体" w:hAnsi="宋体" w:cs="宋体"/>
          <w:szCs w:val="21"/>
        </w:rPr>
        <w:t>基金管理人、基金托管人处</w:t>
      </w:r>
    </w:p>
    <w:p w14:paraId="5E8F9624">
      <w:pPr>
        <w:pStyle w:val="3"/>
        <w:spacing w:before="0" w:after="0"/>
        <w:rPr>
          <w:rFonts w:hint="eastAsia" w:ascii="宋体" w:hAnsi="宋体" w:cs="宋体"/>
          <w:kern w:val="0"/>
          <w:sz w:val="21"/>
          <w:szCs w:val="21"/>
        </w:rPr>
      </w:pPr>
      <w:bookmarkStart w:id="75" w:name="_Toc409100111"/>
      <w:bookmarkStart w:id="76" w:name="_Toc409100474"/>
      <w:bookmarkStart w:id="77" w:name="_Toc491963093"/>
      <w:bookmarkStart w:id="78" w:name="_Toc361324906"/>
      <w:bookmarkStart w:id="79" w:name="_Toc484769813"/>
      <w:bookmarkStart w:id="80" w:name="_Toc483396845"/>
      <w:bookmarkStart w:id="81" w:name="_Toc476577310"/>
      <w:bookmarkStart w:id="82" w:name="_Toc484607317"/>
      <w:r>
        <w:rPr>
          <w:rFonts w:hint="eastAsia" w:ascii="宋体" w:hAnsi="宋体" w:cs="宋体"/>
          <w:kern w:val="0"/>
          <w:sz w:val="21"/>
          <w:szCs w:val="21"/>
        </w:rPr>
        <w:t>6.3 查阅方式</w:t>
      </w:r>
      <w:bookmarkEnd w:id="75"/>
      <w:bookmarkEnd w:id="76"/>
      <w:bookmarkEnd w:id="77"/>
      <w:bookmarkEnd w:id="78"/>
      <w:bookmarkEnd w:id="79"/>
      <w:bookmarkEnd w:id="80"/>
      <w:bookmarkEnd w:id="81"/>
      <w:bookmarkEnd w:id="82"/>
    </w:p>
    <w:p w14:paraId="5A82218C">
      <w:pPr>
        <w:spacing w:line="360" w:lineRule="auto"/>
        <w:ind w:firstLine="420" w:firstLineChars="200"/>
        <w:rPr>
          <w:rFonts w:hint="eastAsia" w:ascii="宋体" w:hAnsi="宋体" w:cs="宋体"/>
          <w:szCs w:val="21"/>
        </w:rPr>
      </w:pPr>
      <w:r>
        <w:rPr>
          <w:rFonts w:hint="eastAsia" w:ascii="宋体" w:hAnsi="宋体" w:cs="宋体"/>
          <w:szCs w:val="21"/>
        </w:rPr>
        <w:t>投资者可在营业时间免费查阅，也可按工本费购买复印件</w:t>
      </w:r>
    </w:p>
    <w:p w14:paraId="11E2FE1F">
      <w:pPr>
        <w:spacing w:line="360" w:lineRule="auto"/>
        <w:ind w:firstLine="420" w:firstLineChars="200"/>
        <w:rPr>
          <w:rFonts w:hint="eastAsia" w:ascii="宋体" w:hAnsi="宋体" w:cs="宋体"/>
          <w:szCs w:val="21"/>
        </w:rPr>
      </w:pPr>
      <w:r>
        <w:rPr>
          <w:rFonts w:hint="eastAsia" w:ascii="宋体" w:hAnsi="宋体" w:cs="宋体"/>
          <w:szCs w:val="21"/>
        </w:rPr>
        <w:t>投资者对本报告书如有疑问，可咨询本基金管理人博时基金管理有限公司</w:t>
      </w:r>
    </w:p>
    <w:p w14:paraId="0416458C">
      <w:pPr>
        <w:spacing w:line="360" w:lineRule="auto"/>
        <w:ind w:firstLine="420" w:firstLineChars="200"/>
        <w:rPr>
          <w:rFonts w:hint="eastAsia" w:ascii="宋体" w:hAnsi="宋体" w:cs="宋体"/>
          <w:szCs w:val="21"/>
        </w:rPr>
      </w:pPr>
      <w:r>
        <w:rPr>
          <w:rFonts w:hint="eastAsia" w:ascii="宋体" w:hAnsi="宋体" w:cs="宋体"/>
          <w:szCs w:val="21"/>
        </w:rPr>
        <w:t>博时一线通：95105568（免长途话费）</w:t>
      </w:r>
    </w:p>
    <w:p w14:paraId="25E5CDFB">
      <w:pPr>
        <w:spacing w:line="360" w:lineRule="auto"/>
        <w:ind w:firstLine="315" w:firstLineChars="150"/>
        <w:rPr>
          <w:rFonts w:hint="eastAsia" w:ascii="宋体" w:hAnsi="宋体" w:cs="宋体"/>
          <w:bCs/>
          <w:szCs w:val="21"/>
        </w:rPr>
      </w:pPr>
    </w:p>
    <w:p w14:paraId="58B9F88E">
      <w:pPr>
        <w:spacing w:line="360" w:lineRule="auto"/>
        <w:ind w:firstLine="315" w:firstLineChars="150"/>
        <w:rPr>
          <w:rFonts w:hint="eastAsia" w:ascii="宋体" w:hAnsi="宋体" w:cs="宋体"/>
          <w:bCs/>
          <w:szCs w:val="21"/>
        </w:rPr>
      </w:pPr>
    </w:p>
    <w:p w14:paraId="7531EB09">
      <w:pPr>
        <w:spacing w:line="360" w:lineRule="auto"/>
        <w:ind w:left="840"/>
        <w:jc w:val="right"/>
        <w:rPr>
          <w:rFonts w:hint="eastAsia" w:ascii="宋体" w:hAnsi="宋体" w:cs="宋体"/>
          <w:bCs/>
          <w:szCs w:val="21"/>
        </w:rPr>
      </w:pPr>
      <w:r>
        <w:rPr>
          <w:rFonts w:hint="eastAsia" w:ascii="宋体" w:hAnsi="宋体" w:cs="宋体"/>
          <w:szCs w:val="21"/>
        </w:rPr>
        <w:t>博时裕盛纯债债券型证券投资基金</w:t>
      </w:r>
      <w:r>
        <w:rPr>
          <w:rFonts w:hint="eastAsia" w:ascii="宋体" w:hAnsi="宋体" w:cs="宋体"/>
          <w:bCs/>
          <w:szCs w:val="21"/>
        </w:rPr>
        <w:t>基金财产清算小组</w:t>
      </w:r>
    </w:p>
    <w:p w14:paraId="260EF401">
      <w:pPr>
        <w:wordWrap w:val="0"/>
        <w:spacing w:line="360" w:lineRule="auto"/>
        <w:ind w:left="840" w:right="420" w:firstLine="3885" w:firstLineChars="1850"/>
        <w:jc w:val="right"/>
        <w:rPr>
          <w:rFonts w:hint="eastAsia" w:ascii="宋体" w:hAnsi="宋体" w:cs="宋体"/>
        </w:rPr>
      </w:pPr>
      <w:bookmarkStart w:id="83" w:name="_GoBack"/>
      <w:bookmarkEnd w:id="83"/>
      <w:r>
        <w:rPr>
          <w:rFonts w:hint="eastAsia" w:ascii="宋体" w:hAnsi="宋体" w:cs="宋体"/>
        </w:rPr>
        <w:t>2026年</w:t>
      </w:r>
      <w:r>
        <w:rPr>
          <w:rFonts w:hint="eastAsia" w:ascii="宋体" w:hAnsi="宋体" w:cs="宋体"/>
          <w:lang w:val="en-US" w:eastAsia="zh-CN"/>
        </w:rPr>
        <w:t>4</w:t>
      </w:r>
      <w:r>
        <w:rPr>
          <w:rFonts w:hint="eastAsia" w:ascii="宋体" w:hAnsi="宋体" w:cs="宋体"/>
        </w:rPr>
        <w:t>月</w:t>
      </w:r>
      <w:r>
        <w:rPr>
          <w:rFonts w:hint="eastAsia" w:ascii="宋体" w:hAnsi="宋体" w:cs="宋体"/>
          <w:lang w:val="en-US" w:eastAsia="zh-CN"/>
        </w:rPr>
        <w:t>30</w:t>
      </w:r>
      <w:r>
        <w:rPr>
          <w:rFonts w:hint="eastAsia" w:ascii="宋体" w:hAnsi="宋体" w:cs="宋体"/>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宋体棬　僬　.">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AB45">
    <w:pPr>
      <w:pStyle w:val="7"/>
      <w:jc w:val="center"/>
    </w:pPr>
    <w:r>
      <w:pict>
        <v:shape id="_x0000_s1028" o:spid="_x0000_s1028" o:spt="202" type="#_x0000_t202" style="position:absolute;left:0pt;margin-top:0pt;height:10.35pt;width:4.5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591ACF1">
                <w:pPr>
                  <w:pStyle w:val="7"/>
                </w:pPr>
                <w:r>
                  <w:fldChar w:fldCharType="begin"/>
                </w:r>
                <w:r>
                  <w:instrText xml:space="preserve"> PAGE  \* MERGEFORMAT </w:instrText>
                </w:r>
                <w:r>
                  <w:fldChar w:fldCharType="separate"/>
                </w:r>
                <w:r>
                  <w:t>1</w:t>
                </w:r>
                <w:r>
                  <w:fldChar w:fldCharType="end"/>
                </w:r>
              </w:p>
            </w:txbxContent>
          </v:textbox>
        </v:shape>
      </w:pict>
    </w:r>
    <w:r>
      <w:pict>
        <v:shape id="_x0000_s1027" o:spid="_x0000_s1027" o:spt="202" type="#_x0000_t202" style="position:absolute;left:0pt;margin-top:0pt;height:12.05pt;width:10.5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12303A3"/>
            </w:txbxContent>
          </v:textbox>
        </v:shape>
      </w:pict>
    </w:r>
  </w:p>
  <w:p w14:paraId="028ADE00">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4EFD0">
    <w:pPr>
      <w:pStyle w:val="7"/>
    </w:pPr>
    <w:r>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75736B3F">
                <w:pPr>
                  <w:pStyle w:val="7"/>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CEE71">
    <w:pPr>
      <w:pStyle w:val="8"/>
      <w:pBdr>
        <w:bottom w:val="single" w:color="auto" w:sz="6" w:space="0"/>
      </w:pBdr>
      <w:tabs>
        <w:tab w:val="left" w:pos="3105"/>
        <w:tab w:val="right" w:pos="9090"/>
      </w:tabs>
      <w:jc w:val="left"/>
    </w:pPr>
    <w:r>
      <w:rPr>
        <w:sz w:val="21"/>
        <w:szCs w:val="21"/>
      </w:rPr>
      <w:tab/>
    </w:r>
    <w:r>
      <w:rPr>
        <w:sz w:val="21"/>
        <w:szCs w:val="21"/>
      </w:rPr>
      <w:tab/>
    </w:r>
    <w:r>
      <w:pict>
        <v:shape id="图片 1" o:spid="_x0000_s1029" o:spt="75" alt="Bosera_logo" type="#_x0000_t75" style="position:absolute;left:0pt;margin-left:-1.05pt;margin-top:-15pt;height:24.75pt;width:99pt;z-index:251659264;mso-width-relative:page;mso-height-relative:page;" filled="f" o:preferrelative="t" stroked="f" coordsize="21600,21600">
          <v:path/>
          <v:fill on="f" focussize="0,0"/>
          <v:stroke on="f" joinstyle="miter"/>
          <v:imagedata r:id="rId1" o:title="Bosera_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1900">
    <w:pPr>
      <w:pStyle w:val="8"/>
      <w:pBdr>
        <w:bottom w:val="single" w:color="auto" w:sz="6" w:space="0"/>
      </w:pBdr>
      <w:tabs>
        <w:tab w:val="left" w:pos="3105"/>
        <w:tab w:val="right" w:pos="9090"/>
      </w:tabs>
      <w:jc w:val="left"/>
    </w:pPr>
    <w:r>
      <w:rPr>
        <w:sz w:val="21"/>
        <w:szCs w:val="21"/>
      </w:rPr>
      <w:tab/>
    </w:r>
    <w:r>
      <w:rPr>
        <w:sz w:val="21"/>
        <w:szCs w:val="21"/>
      </w:rPr>
      <w:tab/>
    </w:r>
    <w:r>
      <w:pict>
        <v:shape id="图片 3" o:spid="_x0000_s1025" o:spt="75" alt="Bosera_logo" type="#_x0000_t75" style="position:absolute;left:0pt;margin-left:-1.05pt;margin-top:-15pt;height:24.75pt;width:99pt;z-index:251659264;mso-width-relative:page;mso-height-relative:page;" filled="f" o:preferrelative="t" stroked="f" coordsize="21600,21600">
          <v:path/>
          <v:fill on="f" focussize="0,0"/>
          <v:stroke on="f" joinstyle="miter"/>
          <v:imagedata r:id="rId1" o:title="Bosera_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908CB5"/>
    <w:multiLevelType w:val="singleLevel"/>
    <w:tmpl w:val="86908CB5"/>
    <w:lvl w:ilvl="0" w:tentative="0">
      <w:start w:val="1"/>
      <w:numFmt w:val="decimal"/>
      <w:suff w:val="nothing"/>
      <w:lvlText w:val="%1、"/>
      <w:lvlJc w:val="left"/>
    </w:lvl>
  </w:abstractNum>
  <w:abstractNum w:abstractNumId="1">
    <w:nsid w:val="6EE28048"/>
    <w:multiLevelType w:val="singleLevel"/>
    <w:tmpl w:val="6EE28048"/>
    <w:lvl w:ilvl="0" w:tentative="0">
      <w:start w:val="4"/>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06A"/>
    <w:rsid w:val="0000095F"/>
    <w:rsid w:val="00002E59"/>
    <w:rsid w:val="000137FB"/>
    <w:rsid w:val="00046922"/>
    <w:rsid w:val="0004747A"/>
    <w:rsid w:val="00047E84"/>
    <w:rsid w:val="00050AB3"/>
    <w:rsid w:val="00051D70"/>
    <w:rsid w:val="000539E5"/>
    <w:rsid w:val="00066462"/>
    <w:rsid w:val="000843E5"/>
    <w:rsid w:val="00090702"/>
    <w:rsid w:val="0009708C"/>
    <w:rsid w:val="000A67AD"/>
    <w:rsid w:val="000C1A89"/>
    <w:rsid w:val="000C581F"/>
    <w:rsid w:val="000D0010"/>
    <w:rsid w:val="000D2477"/>
    <w:rsid w:val="000E06DB"/>
    <w:rsid w:val="000E7AF8"/>
    <w:rsid w:val="000F0DB6"/>
    <w:rsid w:val="000F2AF4"/>
    <w:rsid w:val="000F38A7"/>
    <w:rsid w:val="00106078"/>
    <w:rsid w:val="00107B92"/>
    <w:rsid w:val="001102C9"/>
    <w:rsid w:val="00114B50"/>
    <w:rsid w:val="0012239E"/>
    <w:rsid w:val="00125BA9"/>
    <w:rsid w:val="001344F0"/>
    <w:rsid w:val="001461B5"/>
    <w:rsid w:val="001469B6"/>
    <w:rsid w:val="00155FBE"/>
    <w:rsid w:val="00156CB1"/>
    <w:rsid w:val="00167779"/>
    <w:rsid w:val="0017203A"/>
    <w:rsid w:val="001837B1"/>
    <w:rsid w:val="00192433"/>
    <w:rsid w:val="00193FF5"/>
    <w:rsid w:val="001943DA"/>
    <w:rsid w:val="001A25D5"/>
    <w:rsid w:val="001A6186"/>
    <w:rsid w:val="001A64D9"/>
    <w:rsid w:val="001A7F35"/>
    <w:rsid w:val="001B142B"/>
    <w:rsid w:val="001B307F"/>
    <w:rsid w:val="001B6418"/>
    <w:rsid w:val="001C393E"/>
    <w:rsid w:val="001C3A12"/>
    <w:rsid w:val="001C4149"/>
    <w:rsid w:val="001C5110"/>
    <w:rsid w:val="001C5F1E"/>
    <w:rsid w:val="001C66F4"/>
    <w:rsid w:val="001E1155"/>
    <w:rsid w:val="001E1871"/>
    <w:rsid w:val="001E7569"/>
    <w:rsid w:val="001F5303"/>
    <w:rsid w:val="001F5482"/>
    <w:rsid w:val="0020164A"/>
    <w:rsid w:val="002025EA"/>
    <w:rsid w:val="002055DE"/>
    <w:rsid w:val="00214EB4"/>
    <w:rsid w:val="00234000"/>
    <w:rsid w:val="0023623C"/>
    <w:rsid w:val="0025064B"/>
    <w:rsid w:val="00256EF7"/>
    <w:rsid w:val="002642F0"/>
    <w:rsid w:val="002653B2"/>
    <w:rsid w:val="00265EEB"/>
    <w:rsid w:val="002661A0"/>
    <w:rsid w:val="00270F6F"/>
    <w:rsid w:val="0027500E"/>
    <w:rsid w:val="002873D1"/>
    <w:rsid w:val="00293C58"/>
    <w:rsid w:val="002A1D5C"/>
    <w:rsid w:val="002B081E"/>
    <w:rsid w:val="002B3940"/>
    <w:rsid w:val="002B3A7F"/>
    <w:rsid w:val="002B64F0"/>
    <w:rsid w:val="002C206A"/>
    <w:rsid w:val="002C4039"/>
    <w:rsid w:val="002C59B8"/>
    <w:rsid w:val="002D012A"/>
    <w:rsid w:val="002D04D0"/>
    <w:rsid w:val="002D2D31"/>
    <w:rsid w:val="002E63F9"/>
    <w:rsid w:val="002F02F0"/>
    <w:rsid w:val="00300434"/>
    <w:rsid w:val="00301833"/>
    <w:rsid w:val="003018B1"/>
    <w:rsid w:val="00301ED8"/>
    <w:rsid w:val="00302213"/>
    <w:rsid w:val="003027CE"/>
    <w:rsid w:val="00302C6F"/>
    <w:rsid w:val="0031782A"/>
    <w:rsid w:val="0033087F"/>
    <w:rsid w:val="0033114F"/>
    <w:rsid w:val="003342C0"/>
    <w:rsid w:val="00352159"/>
    <w:rsid w:val="00352E52"/>
    <w:rsid w:val="0035409D"/>
    <w:rsid w:val="00355AF9"/>
    <w:rsid w:val="00355DCE"/>
    <w:rsid w:val="003835CB"/>
    <w:rsid w:val="00385C7D"/>
    <w:rsid w:val="00386448"/>
    <w:rsid w:val="00394BF4"/>
    <w:rsid w:val="003A1F80"/>
    <w:rsid w:val="003A6373"/>
    <w:rsid w:val="003B1FF9"/>
    <w:rsid w:val="003C5425"/>
    <w:rsid w:val="003C62D7"/>
    <w:rsid w:val="003E2B75"/>
    <w:rsid w:val="003E4B0D"/>
    <w:rsid w:val="003E5A9A"/>
    <w:rsid w:val="003E7229"/>
    <w:rsid w:val="004043E4"/>
    <w:rsid w:val="0040561C"/>
    <w:rsid w:val="00417206"/>
    <w:rsid w:val="00432D5C"/>
    <w:rsid w:val="00434B13"/>
    <w:rsid w:val="004361C8"/>
    <w:rsid w:val="00436D7F"/>
    <w:rsid w:val="0043770C"/>
    <w:rsid w:val="00440D43"/>
    <w:rsid w:val="0044360C"/>
    <w:rsid w:val="0044397B"/>
    <w:rsid w:val="004454E6"/>
    <w:rsid w:val="00453128"/>
    <w:rsid w:val="00455ED0"/>
    <w:rsid w:val="00456810"/>
    <w:rsid w:val="004850AB"/>
    <w:rsid w:val="00492EFF"/>
    <w:rsid w:val="00497D10"/>
    <w:rsid w:val="004A1313"/>
    <w:rsid w:val="004A4000"/>
    <w:rsid w:val="004A4328"/>
    <w:rsid w:val="004C29F5"/>
    <w:rsid w:val="004C5243"/>
    <w:rsid w:val="004D6178"/>
    <w:rsid w:val="004D72DD"/>
    <w:rsid w:val="004E0519"/>
    <w:rsid w:val="004F7FB1"/>
    <w:rsid w:val="00502816"/>
    <w:rsid w:val="00506722"/>
    <w:rsid w:val="00516AB2"/>
    <w:rsid w:val="00521F84"/>
    <w:rsid w:val="00523B76"/>
    <w:rsid w:val="00533131"/>
    <w:rsid w:val="00534804"/>
    <w:rsid w:val="005454AF"/>
    <w:rsid w:val="00553DD3"/>
    <w:rsid w:val="00564FC0"/>
    <w:rsid w:val="005660DC"/>
    <w:rsid w:val="005666E0"/>
    <w:rsid w:val="00570EEB"/>
    <w:rsid w:val="00573CCA"/>
    <w:rsid w:val="00586C11"/>
    <w:rsid w:val="00587EB1"/>
    <w:rsid w:val="00591E34"/>
    <w:rsid w:val="005A5F19"/>
    <w:rsid w:val="005B00B8"/>
    <w:rsid w:val="005B1DA8"/>
    <w:rsid w:val="005B3525"/>
    <w:rsid w:val="005B7865"/>
    <w:rsid w:val="005B7910"/>
    <w:rsid w:val="005C2636"/>
    <w:rsid w:val="005D0017"/>
    <w:rsid w:val="005D2BBF"/>
    <w:rsid w:val="005D3C26"/>
    <w:rsid w:val="005E066D"/>
    <w:rsid w:val="005E18FD"/>
    <w:rsid w:val="005E5097"/>
    <w:rsid w:val="005F07CE"/>
    <w:rsid w:val="00602945"/>
    <w:rsid w:val="00612741"/>
    <w:rsid w:val="00633374"/>
    <w:rsid w:val="0063424C"/>
    <w:rsid w:val="00635B20"/>
    <w:rsid w:val="00636096"/>
    <w:rsid w:val="00640A36"/>
    <w:rsid w:val="006458AE"/>
    <w:rsid w:val="00652E32"/>
    <w:rsid w:val="006560FD"/>
    <w:rsid w:val="00656396"/>
    <w:rsid w:val="00661C81"/>
    <w:rsid w:val="00662751"/>
    <w:rsid w:val="006631AD"/>
    <w:rsid w:val="00665EC2"/>
    <w:rsid w:val="00677478"/>
    <w:rsid w:val="00680A32"/>
    <w:rsid w:val="0068199C"/>
    <w:rsid w:val="006845C6"/>
    <w:rsid w:val="0069179C"/>
    <w:rsid w:val="00695712"/>
    <w:rsid w:val="006A0CA9"/>
    <w:rsid w:val="006A3832"/>
    <w:rsid w:val="006A3E46"/>
    <w:rsid w:val="006C0166"/>
    <w:rsid w:val="006C1070"/>
    <w:rsid w:val="006C1BF7"/>
    <w:rsid w:val="006C4287"/>
    <w:rsid w:val="006C4780"/>
    <w:rsid w:val="006D14C9"/>
    <w:rsid w:val="006D3ABB"/>
    <w:rsid w:val="006D76DC"/>
    <w:rsid w:val="006E1D19"/>
    <w:rsid w:val="006E6E99"/>
    <w:rsid w:val="006F57A7"/>
    <w:rsid w:val="006F661D"/>
    <w:rsid w:val="006F6EDE"/>
    <w:rsid w:val="007047E3"/>
    <w:rsid w:val="00711C49"/>
    <w:rsid w:val="00711DC1"/>
    <w:rsid w:val="00714FE5"/>
    <w:rsid w:val="00716C2D"/>
    <w:rsid w:val="007249F8"/>
    <w:rsid w:val="007302D4"/>
    <w:rsid w:val="00733FD6"/>
    <w:rsid w:val="00753286"/>
    <w:rsid w:val="007534C4"/>
    <w:rsid w:val="007654B6"/>
    <w:rsid w:val="00765C51"/>
    <w:rsid w:val="00772D62"/>
    <w:rsid w:val="00772F4C"/>
    <w:rsid w:val="00784118"/>
    <w:rsid w:val="007A111F"/>
    <w:rsid w:val="007A1382"/>
    <w:rsid w:val="007A40C3"/>
    <w:rsid w:val="007A4276"/>
    <w:rsid w:val="007C073F"/>
    <w:rsid w:val="007C1E66"/>
    <w:rsid w:val="007C224B"/>
    <w:rsid w:val="007C390F"/>
    <w:rsid w:val="007C7E15"/>
    <w:rsid w:val="007D01A7"/>
    <w:rsid w:val="007D2C21"/>
    <w:rsid w:val="007D368E"/>
    <w:rsid w:val="007D4AE3"/>
    <w:rsid w:val="00800E5D"/>
    <w:rsid w:val="00801C52"/>
    <w:rsid w:val="008061B0"/>
    <w:rsid w:val="00815886"/>
    <w:rsid w:val="00815FC5"/>
    <w:rsid w:val="00831568"/>
    <w:rsid w:val="0083288E"/>
    <w:rsid w:val="00834CE7"/>
    <w:rsid w:val="00834E30"/>
    <w:rsid w:val="00845FBE"/>
    <w:rsid w:val="00846CD0"/>
    <w:rsid w:val="00853A84"/>
    <w:rsid w:val="00862C4E"/>
    <w:rsid w:val="00872860"/>
    <w:rsid w:val="00873ADD"/>
    <w:rsid w:val="00876515"/>
    <w:rsid w:val="00881D41"/>
    <w:rsid w:val="008900EC"/>
    <w:rsid w:val="00893D5F"/>
    <w:rsid w:val="00895AEC"/>
    <w:rsid w:val="008A2534"/>
    <w:rsid w:val="008A2AC1"/>
    <w:rsid w:val="008A2CED"/>
    <w:rsid w:val="008A3541"/>
    <w:rsid w:val="008A37AA"/>
    <w:rsid w:val="008A3F14"/>
    <w:rsid w:val="008B2371"/>
    <w:rsid w:val="008B50E8"/>
    <w:rsid w:val="008B712C"/>
    <w:rsid w:val="008D28CA"/>
    <w:rsid w:val="008E72AB"/>
    <w:rsid w:val="008E7843"/>
    <w:rsid w:val="008F313A"/>
    <w:rsid w:val="008F4C4A"/>
    <w:rsid w:val="008F51B1"/>
    <w:rsid w:val="00912B1F"/>
    <w:rsid w:val="0091569A"/>
    <w:rsid w:val="009164BB"/>
    <w:rsid w:val="00916F0F"/>
    <w:rsid w:val="00924654"/>
    <w:rsid w:val="00925214"/>
    <w:rsid w:val="00933482"/>
    <w:rsid w:val="00933D33"/>
    <w:rsid w:val="00943B2B"/>
    <w:rsid w:val="00944AC0"/>
    <w:rsid w:val="009454EA"/>
    <w:rsid w:val="009565F7"/>
    <w:rsid w:val="00971989"/>
    <w:rsid w:val="00980526"/>
    <w:rsid w:val="00981824"/>
    <w:rsid w:val="009837FE"/>
    <w:rsid w:val="00987D82"/>
    <w:rsid w:val="00993E2D"/>
    <w:rsid w:val="0099607C"/>
    <w:rsid w:val="00997E04"/>
    <w:rsid w:val="009A237A"/>
    <w:rsid w:val="009A2FA6"/>
    <w:rsid w:val="009A499E"/>
    <w:rsid w:val="009B6EC1"/>
    <w:rsid w:val="009D2820"/>
    <w:rsid w:val="009D2D6F"/>
    <w:rsid w:val="009D4DD9"/>
    <w:rsid w:val="009D5A9F"/>
    <w:rsid w:val="009E6708"/>
    <w:rsid w:val="009E6B28"/>
    <w:rsid w:val="009F2C95"/>
    <w:rsid w:val="009F6E54"/>
    <w:rsid w:val="00A01676"/>
    <w:rsid w:val="00A10A3B"/>
    <w:rsid w:val="00A10D1C"/>
    <w:rsid w:val="00A1145E"/>
    <w:rsid w:val="00A13B45"/>
    <w:rsid w:val="00A14A60"/>
    <w:rsid w:val="00A206FC"/>
    <w:rsid w:val="00A23D46"/>
    <w:rsid w:val="00A41815"/>
    <w:rsid w:val="00A42F5D"/>
    <w:rsid w:val="00A44F0D"/>
    <w:rsid w:val="00A46614"/>
    <w:rsid w:val="00A466EF"/>
    <w:rsid w:val="00A50F44"/>
    <w:rsid w:val="00A53B22"/>
    <w:rsid w:val="00A5445B"/>
    <w:rsid w:val="00A61272"/>
    <w:rsid w:val="00A7090F"/>
    <w:rsid w:val="00A716AE"/>
    <w:rsid w:val="00A728B4"/>
    <w:rsid w:val="00A738AB"/>
    <w:rsid w:val="00A74683"/>
    <w:rsid w:val="00A7603B"/>
    <w:rsid w:val="00A80DC2"/>
    <w:rsid w:val="00A83207"/>
    <w:rsid w:val="00A85B96"/>
    <w:rsid w:val="00A862A8"/>
    <w:rsid w:val="00A91EE9"/>
    <w:rsid w:val="00A92C7B"/>
    <w:rsid w:val="00A93929"/>
    <w:rsid w:val="00A96447"/>
    <w:rsid w:val="00AA2704"/>
    <w:rsid w:val="00AA33F7"/>
    <w:rsid w:val="00AA39EC"/>
    <w:rsid w:val="00AA6506"/>
    <w:rsid w:val="00AA6C39"/>
    <w:rsid w:val="00AB4223"/>
    <w:rsid w:val="00AB579F"/>
    <w:rsid w:val="00AC75BE"/>
    <w:rsid w:val="00AD127D"/>
    <w:rsid w:val="00AD1682"/>
    <w:rsid w:val="00AE14B8"/>
    <w:rsid w:val="00AE43CE"/>
    <w:rsid w:val="00AE5F6A"/>
    <w:rsid w:val="00AE7A23"/>
    <w:rsid w:val="00AF06A4"/>
    <w:rsid w:val="00B01D1F"/>
    <w:rsid w:val="00B01E39"/>
    <w:rsid w:val="00B02DAE"/>
    <w:rsid w:val="00B04DF8"/>
    <w:rsid w:val="00B0583C"/>
    <w:rsid w:val="00B062E1"/>
    <w:rsid w:val="00B06A53"/>
    <w:rsid w:val="00B12304"/>
    <w:rsid w:val="00B12398"/>
    <w:rsid w:val="00B16F0F"/>
    <w:rsid w:val="00B233AC"/>
    <w:rsid w:val="00B23421"/>
    <w:rsid w:val="00B262DD"/>
    <w:rsid w:val="00B326DE"/>
    <w:rsid w:val="00B339F1"/>
    <w:rsid w:val="00B43A95"/>
    <w:rsid w:val="00B47AF7"/>
    <w:rsid w:val="00B52FB8"/>
    <w:rsid w:val="00B63FC4"/>
    <w:rsid w:val="00B65F7A"/>
    <w:rsid w:val="00B722DE"/>
    <w:rsid w:val="00B76BFB"/>
    <w:rsid w:val="00B92205"/>
    <w:rsid w:val="00BB4559"/>
    <w:rsid w:val="00BB63F5"/>
    <w:rsid w:val="00BB738A"/>
    <w:rsid w:val="00BD1E5B"/>
    <w:rsid w:val="00BD3551"/>
    <w:rsid w:val="00BD659F"/>
    <w:rsid w:val="00BE252F"/>
    <w:rsid w:val="00BE3F6E"/>
    <w:rsid w:val="00BE4A70"/>
    <w:rsid w:val="00BE63B2"/>
    <w:rsid w:val="00BF1AD8"/>
    <w:rsid w:val="00BF5EF2"/>
    <w:rsid w:val="00BF72CC"/>
    <w:rsid w:val="00C04232"/>
    <w:rsid w:val="00C04BC2"/>
    <w:rsid w:val="00C11810"/>
    <w:rsid w:val="00C129EC"/>
    <w:rsid w:val="00C135C6"/>
    <w:rsid w:val="00C14A9A"/>
    <w:rsid w:val="00C16E1D"/>
    <w:rsid w:val="00C210B3"/>
    <w:rsid w:val="00C34DAD"/>
    <w:rsid w:val="00C403BF"/>
    <w:rsid w:val="00C4132F"/>
    <w:rsid w:val="00C435E3"/>
    <w:rsid w:val="00C525B7"/>
    <w:rsid w:val="00C53E41"/>
    <w:rsid w:val="00C53EB7"/>
    <w:rsid w:val="00C54720"/>
    <w:rsid w:val="00C63121"/>
    <w:rsid w:val="00C645B3"/>
    <w:rsid w:val="00C70690"/>
    <w:rsid w:val="00C80BA7"/>
    <w:rsid w:val="00C80C26"/>
    <w:rsid w:val="00C81D4D"/>
    <w:rsid w:val="00C8237F"/>
    <w:rsid w:val="00C8253B"/>
    <w:rsid w:val="00C94884"/>
    <w:rsid w:val="00CA06AD"/>
    <w:rsid w:val="00CA1F33"/>
    <w:rsid w:val="00CA5C95"/>
    <w:rsid w:val="00CA6D80"/>
    <w:rsid w:val="00CC654C"/>
    <w:rsid w:val="00CC6E89"/>
    <w:rsid w:val="00CD5F8A"/>
    <w:rsid w:val="00CD7E4B"/>
    <w:rsid w:val="00CE52AA"/>
    <w:rsid w:val="00CE593E"/>
    <w:rsid w:val="00CE79D7"/>
    <w:rsid w:val="00CF22FE"/>
    <w:rsid w:val="00D00B39"/>
    <w:rsid w:val="00D03B3C"/>
    <w:rsid w:val="00D05B80"/>
    <w:rsid w:val="00D14280"/>
    <w:rsid w:val="00D2112B"/>
    <w:rsid w:val="00D2538B"/>
    <w:rsid w:val="00D271CC"/>
    <w:rsid w:val="00D454FE"/>
    <w:rsid w:val="00D54D70"/>
    <w:rsid w:val="00D55E3E"/>
    <w:rsid w:val="00D634A0"/>
    <w:rsid w:val="00D77529"/>
    <w:rsid w:val="00D87A90"/>
    <w:rsid w:val="00D908BA"/>
    <w:rsid w:val="00D9606B"/>
    <w:rsid w:val="00DA44CC"/>
    <w:rsid w:val="00DA69B2"/>
    <w:rsid w:val="00DA6F9B"/>
    <w:rsid w:val="00DB3DDE"/>
    <w:rsid w:val="00DB41A3"/>
    <w:rsid w:val="00DD0701"/>
    <w:rsid w:val="00DD2101"/>
    <w:rsid w:val="00DE27CD"/>
    <w:rsid w:val="00DF0830"/>
    <w:rsid w:val="00DF0A36"/>
    <w:rsid w:val="00DF286B"/>
    <w:rsid w:val="00E036D0"/>
    <w:rsid w:val="00E03B99"/>
    <w:rsid w:val="00E04E1A"/>
    <w:rsid w:val="00E120A8"/>
    <w:rsid w:val="00E15DD1"/>
    <w:rsid w:val="00E21B3B"/>
    <w:rsid w:val="00E32073"/>
    <w:rsid w:val="00E3710A"/>
    <w:rsid w:val="00E40C23"/>
    <w:rsid w:val="00E42A7D"/>
    <w:rsid w:val="00E444C3"/>
    <w:rsid w:val="00E457A2"/>
    <w:rsid w:val="00E6420A"/>
    <w:rsid w:val="00E6428E"/>
    <w:rsid w:val="00E667C5"/>
    <w:rsid w:val="00E7448F"/>
    <w:rsid w:val="00E83CB9"/>
    <w:rsid w:val="00E85B5E"/>
    <w:rsid w:val="00E875CB"/>
    <w:rsid w:val="00E91065"/>
    <w:rsid w:val="00E91443"/>
    <w:rsid w:val="00E94390"/>
    <w:rsid w:val="00EA308B"/>
    <w:rsid w:val="00EB17F4"/>
    <w:rsid w:val="00F00548"/>
    <w:rsid w:val="00F01202"/>
    <w:rsid w:val="00F03A4C"/>
    <w:rsid w:val="00F1066A"/>
    <w:rsid w:val="00F11440"/>
    <w:rsid w:val="00F12507"/>
    <w:rsid w:val="00F17F4A"/>
    <w:rsid w:val="00F25510"/>
    <w:rsid w:val="00F26433"/>
    <w:rsid w:val="00F31C2E"/>
    <w:rsid w:val="00F349E5"/>
    <w:rsid w:val="00F374DD"/>
    <w:rsid w:val="00F4536A"/>
    <w:rsid w:val="00F45604"/>
    <w:rsid w:val="00F52468"/>
    <w:rsid w:val="00F52622"/>
    <w:rsid w:val="00F55DBA"/>
    <w:rsid w:val="00F869AE"/>
    <w:rsid w:val="00F94A1D"/>
    <w:rsid w:val="00F96CF3"/>
    <w:rsid w:val="00FA203B"/>
    <w:rsid w:val="00FB4D56"/>
    <w:rsid w:val="00FB67B2"/>
    <w:rsid w:val="00FB68D0"/>
    <w:rsid w:val="00FC2B87"/>
    <w:rsid w:val="00FC4865"/>
    <w:rsid w:val="00FC7F9D"/>
    <w:rsid w:val="00FD4D5C"/>
    <w:rsid w:val="00FE3491"/>
    <w:rsid w:val="00FE7CDD"/>
    <w:rsid w:val="00FF0230"/>
    <w:rsid w:val="00FF0869"/>
    <w:rsid w:val="00FF26D8"/>
    <w:rsid w:val="03B3211A"/>
    <w:rsid w:val="047977D2"/>
    <w:rsid w:val="04F7265D"/>
    <w:rsid w:val="058B689D"/>
    <w:rsid w:val="06A50AB1"/>
    <w:rsid w:val="07943078"/>
    <w:rsid w:val="07C13358"/>
    <w:rsid w:val="08072865"/>
    <w:rsid w:val="08416EC6"/>
    <w:rsid w:val="091D63A4"/>
    <w:rsid w:val="0BDBD81A"/>
    <w:rsid w:val="0CAA4239"/>
    <w:rsid w:val="0E8933A9"/>
    <w:rsid w:val="105140B7"/>
    <w:rsid w:val="10831DE4"/>
    <w:rsid w:val="111D325C"/>
    <w:rsid w:val="11EB6B32"/>
    <w:rsid w:val="15F44A43"/>
    <w:rsid w:val="168C217C"/>
    <w:rsid w:val="16901E23"/>
    <w:rsid w:val="16FAE779"/>
    <w:rsid w:val="17175C7D"/>
    <w:rsid w:val="19BF116E"/>
    <w:rsid w:val="1B2E5BAF"/>
    <w:rsid w:val="1D184FE5"/>
    <w:rsid w:val="1D2D34C6"/>
    <w:rsid w:val="1E96479B"/>
    <w:rsid w:val="1F9B2324"/>
    <w:rsid w:val="1FAB1BAE"/>
    <w:rsid w:val="222B67FB"/>
    <w:rsid w:val="233E198A"/>
    <w:rsid w:val="257C0D10"/>
    <w:rsid w:val="258B4948"/>
    <w:rsid w:val="27ED310C"/>
    <w:rsid w:val="2838132E"/>
    <w:rsid w:val="2A9B508B"/>
    <w:rsid w:val="2CF32CB8"/>
    <w:rsid w:val="2DD433D4"/>
    <w:rsid w:val="2E8F9785"/>
    <w:rsid w:val="2EDB5B73"/>
    <w:rsid w:val="2EF12C10"/>
    <w:rsid w:val="2F441F5A"/>
    <w:rsid w:val="2FB01333"/>
    <w:rsid w:val="2FF30DB1"/>
    <w:rsid w:val="307417A6"/>
    <w:rsid w:val="32917B5F"/>
    <w:rsid w:val="33CFC73D"/>
    <w:rsid w:val="356A06ED"/>
    <w:rsid w:val="362D3067"/>
    <w:rsid w:val="36E168A1"/>
    <w:rsid w:val="37DF4ABE"/>
    <w:rsid w:val="38B04385"/>
    <w:rsid w:val="392917AD"/>
    <w:rsid w:val="3A671D5B"/>
    <w:rsid w:val="3B4DD538"/>
    <w:rsid w:val="3BEB8392"/>
    <w:rsid w:val="3BFC5EF5"/>
    <w:rsid w:val="3BFF3874"/>
    <w:rsid w:val="3D895C3C"/>
    <w:rsid w:val="3D8F262F"/>
    <w:rsid w:val="3DD178DA"/>
    <w:rsid w:val="3DFB5955"/>
    <w:rsid w:val="3E0147EC"/>
    <w:rsid w:val="3E551291"/>
    <w:rsid w:val="3E767BAC"/>
    <w:rsid w:val="3E81255D"/>
    <w:rsid w:val="3F6B4F0F"/>
    <w:rsid w:val="3F7C0873"/>
    <w:rsid w:val="3F886089"/>
    <w:rsid w:val="3FD79E8A"/>
    <w:rsid w:val="3FDB110F"/>
    <w:rsid w:val="3FE50ACB"/>
    <w:rsid w:val="407E12EE"/>
    <w:rsid w:val="412C561A"/>
    <w:rsid w:val="412E6E31"/>
    <w:rsid w:val="42F862D8"/>
    <w:rsid w:val="437D2DDC"/>
    <w:rsid w:val="46822BBE"/>
    <w:rsid w:val="47983343"/>
    <w:rsid w:val="47E504D4"/>
    <w:rsid w:val="491BC088"/>
    <w:rsid w:val="49875021"/>
    <w:rsid w:val="4A23051B"/>
    <w:rsid w:val="4AA743C5"/>
    <w:rsid w:val="4C7F2DB9"/>
    <w:rsid w:val="4D2475F0"/>
    <w:rsid w:val="4DB9B6A9"/>
    <w:rsid w:val="4DBD03D6"/>
    <w:rsid w:val="4EC63B63"/>
    <w:rsid w:val="4EF5F4FE"/>
    <w:rsid w:val="4EFE7637"/>
    <w:rsid w:val="4F7E01E7"/>
    <w:rsid w:val="4FA6B79D"/>
    <w:rsid w:val="4FFC14D7"/>
    <w:rsid w:val="50E330E0"/>
    <w:rsid w:val="52F74C1A"/>
    <w:rsid w:val="53977593"/>
    <w:rsid w:val="53CA6765"/>
    <w:rsid w:val="55E58D5D"/>
    <w:rsid w:val="569FCBD0"/>
    <w:rsid w:val="57426CDD"/>
    <w:rsid w:val="575B5C81"/>
    <w:rsid w:val="576B462D"/>
    <w:rsid w:val="578028FC"/>
    <w:rsid w:val="57AF3F18"/>
    <w:rsid w:val="57DA526C"/>
    <w:rsid w:val="58DA5AFA"/>
    <w:rsid w:val="5A774426"/>
    <w:rsid w:val="5A9209EF"/>
    <w:rsid w:val="5AE17211"/>
    <w:rsid w:val="5B1025CC"/>
    <w:rsid w:val="5BE63F5B"/>
    <w:rsid w:val="5CEAE0A1"/>
    <w:rsid w:val="5DC67476"/>
    <w:rsid w:val="5DE303DA"/>
    <w:rsid w:val="5EFD4D23"/>
    <w:rsid w:val="5F7F2637"/>
    <w:rsid w:val="5FB7783F"/>
    <w:rsid w:val="5FDDA07D"/>
    <w:rsid w:val="5FE376E8"/>
    <w:rsid w:val="5FEFD5D7"/>
    <w:rsid w:val="5FF65BBD"/>
    <w:rsid w:val="5FFD1FF2"/>
    <w:rsid w:val="5FFF8416"/>
    <w:rsid w:val="60FF574B"/>
    <w:rsid w:val="62A82630"/>
    <w:rsid w:val="64DF7E2C"/>
    <w:rsid w:val="657EDA63"/>
    <w:rsid w:val="665B63DD"/>
    <w:rsid w:val="667DA9AA"/>
    <w:rsid w:val="673056BB"/>
    <w:rsid w:val="67F8FB8A"/>
    <w:rsid w:val="67FF160E"/>
    <w:rsid w:val="69EF37D3"/>
    <w:rsid w:val="69F634F5"/>
    <w:rsid w:val="69FF7D42"/>
    <w:rsid w:val="69FF90C9"/>
    <w:rsid w:val="6A6212EC"/>
    <w:rsid w:val="6B731B40"/>
    <w:rsid w:val="6B9D9D23"/>
    <w:rsid w:val="6BDB5B57"/>
    <w:rsid w:val="6BE60CB9"/>
    <w:rsid w:val="6D9EEFA7"/>
    <w:rsid w:val="6DDFCEB0"/>
    <w:rsid w:val="6EC8EDB6"/>
    <w:rsid w:val="6F7FD2F4"/>
    <w:rsid w:val="6F9FDD32"/>
    <w:rsid w:val="6FA79C80"/>
    <w:rsid w:val="6FAFED8E"/>
    <w:rsid w:val="6FE9D27A"/>
    <w:rsid w:val="70642024"/>
    <w:rsid w:val="70DFEBCE"/>
    <w:rsid w:val="70E179C0"/>
    <w:rsid w:val="71AC1B8F"/>
    <w:rsid w:val="71FBCBC1"/>
    <w:rsid w:val="723E4BEB"/>
    <w:rsid w:val="727F417F"/>
    <w:rsid w:val="73558C1E"/>
    <w:rsid w:val="752944B8"/>
    <w:rsid w:val="75CB39D7"/>
    <w:rsid w:val="75F765E0"/>
    <w:rsid w:val="76178519"/>
    <w:rsid w:val="764F6EA7"/>
    <w:rsid w:val="767ACA26"/>
    <w:rsid w:val="772FAE1C"/>
    <w:rsid w:val="774E2707"/>
    <w:rsid w:val="777E3140"/>
    <w:rsid w:val="77CB7D42"/>
    <w:rsid w:val="77CE310E"/>
    <w:rsid w:val="77DF9595"/>
    <w:rsid w:val="77E2676A"/>
    <w:rsid w:val="77EEF5E1"/>
    <w:rsid w:val="77EF2463"/>
    <w:rsid w:val="77EF4A47"/>
    <w:rsid w:val="77FF826E"/>
    <w:rsid w:val="7872238B"/>
    <w:rsid w:val="79B732D9"/>
    <w:rsid w:val="79ED335A"/>
    <w:rsid w:val="7BB75539"/>
    <w:rsid w:val="7BB76F65"/>
    <w:rsid w:val="7BCDF2E7"/>
    <w:rsid w:val="7CFC3311"/>
    <w:rsid w:val="7CFCCDA6"/>
    <w:rsid w:val="7D8F4F9F"/>
    <w:rsid w:val="7DAD5F1A"/>
    <w:rsid w:val="7DC48378"/>
    <w:rsid w:val="7DEFAE44"/>
    <w:rsid w:val="7DFE2AE5"/>
    <w:rsid w:val="7E6C003B"/>
    <w:rsid w:val="7E8B832A"/>
    <w:rsid w:val="7E8C1C2A"/>
    <w:rsid w:val="7E966FC9"/>
    <w:rsid w:val="7ED78F99"/>
    <w:rsid w:val="7EE7004A"/>
    <w:rsid w:val="7EE95E47"/>
    <w:rsid w:val="7EFEDACE"/>
    <w:rsid w:val="7EFFF513"/>
    <w:rsid w:val="7F43240B"/>
    <w:rsid w:val="7F5774AF"/>
    <w:rsid w:val="7F7BD2EB"/>
    <w:rsid w:val="7F7D478C"/>
    <w:rsid w:val="7F7E8873"/>
    <w:rsid w:val="7FD7E7A5"/>
    <w:rsid w:val="7FDD4C3F"/>
    <w:rsid w:val="7FDE4CED"/>
    <w:rsid w:val="7FEFCEA5"/>
    <w:rsid w:val="7FFA9936"/>
    <w:rsid w:val="7FFC8DD9"/>
    <w:rsid w:val="7FFF0FBF"/>
    <w:rsid w:val="7FFFBD90"/>
    <w:rsid w:val="7FFFFDF0"/>
    <w:rsid w:val="86EDC803"/>
    <w:rsid w:val="93BEE8CA"/>
    <w:rsid w:val="93DDFD3E"/>
    <w:rsid w:val="97DB61E9"/>
    <w:rsid w:val="97F754B2"/>
    <w:rsid w:val="9AB6885C"/>
    <w:rsid w:val="A37B94F7"/>
    <w:rsid w:val="A71D08A7"/>
    <w:rsid w:val="ABBBD1B4"/>
    <w:rsid w:val="ABEEB0C1"/>
    <w:rsid w:val="AE331804"/>
    <w:rsid w:val="AEEE282C"/>
    <w:rsid w:val="AEFFE6D5"/>
    <w:rsid w:val="AF7FE70E"/>
    <w:rsid w:val="AFFDE70D"/>
    <w:rsid w:val="AFFDF8CE"/>
    <w:rsid w:val="B5F52A5E"/>
    <w:rsid w:val="BB57B15C"/>
    <w:rsid w:val="BBFB16F4"/>
    <w:rsid w:val="BDDDF2E5"/>
    <w:rsid w:val="BDFF92A0"/>
    <w:rsid w:val="BE2AEEFC"/>
    <w:rsid w:val="BE53E4FE"/>
    <w:rsid w:val="BE632B87"/>
    <w:rsid w:val="BF3FDC6B"/>
    <w:rsid w:val="BFEB0DD7"/>
    <w:rsid w:val="BFEF9AC3"/>
    <w:rsid w:val="BFF5EC0C"/>
    <w:rsid w:val="BFF769D2"/>
    <w:rsid w:val="BFFFE1F4"/>
    <w:rsid w:val="C5FF66FE"/>
    <w:rsid w:val="C73E754C"/>
    <w:rsid w:val="C767DC55"/>
    <w:rsid w:val="C77DB3BA"/>
    <w:rsid w:val="C7FAE319"/>
    <w:rsid w:val="C9FF3605"/>
    <w:rsid w:val="CDF790CB"/>
    <w:rsid w:val="CE59F622"/>
    <w:rsid w:val="CE7F5619"/>
    <w:rsid w:val="CF1DA855"/>
    <w:rsid w:val="CFBE4F68"/>
    <w:rsid w:val="CFF7EF8E"/>
    <w:rsid w:val="CFFF9414"/>
    <w:rsid w:val="D532B3DE"/>
    <w:rsid w:val="D67E195E"/>
    <w:rsid w:val="D87F31C6"/>
    <w:rsid w:val="D9DE2AA4"/>
    <w:rsid w:val="DB49B56F"/>
    <w:rsid w:val="DBD71916"/>
    <w:rsid w:val="DBDFEB43"/>
    <w:rsid w:val="DBEB5D36"/>
    <w:rsid w:val="DCB7321B"/>
    <w:rsid w:val="DCBF7BF0"/>
    <w:rsid w:val="DD372781"/>
    <w:rsid w:val="DD7E1756"/>
    <w:rsid w:val="DDFC02F4"/>
    <w:rsid w:val="DDFF1105"/>
    <w:rsid w:val="DFD76308"/>
    <w:rsid w:val="DFE94E47"/>
    <w:rsid w:val="DFFF3FF4"/>
    <w:rsid w:val="E36E70E6"/>
    <w:rsid w:val="E3FE91B9"/>
    <w:rsid w:val="E5AE03AF"/>
    <w:rsid w:val="E6DB4F87"/>
    <w:rsid w:val="E77D4D7A"/>
    <w:rsid w:val="E77FDFFE"/>
    <w:rsid w:val="E7ED0B64"/>
    <w:rsid w:val="E7F90E7B"/>
    <w:rsid w:val="EBCE0754"/>
    <w:rsid w:val="EBDCCE65"/>
    <w:rsid w:val="EBFD7ED4"/>
    <w:rsid w:val="EE5F5F27"/>
    <w:rsid w:val="EE737CEB"/>
    <w:rsid w:val="EEFBDC1C"/>
    <w:rsid w:val="EFDF132B"/>
    <w:rsid w:val="EFDF1C82"/>
    <w:rsid w:val="EFFD0B05"/>
    <w:rsid w:val="EFFE2094"/>
    <w:rsid w:val="F37FBFC9"/>
    <w:rsid w:val="F3CF800B"/>
    <w:rsid w:val="F3D384FF"/>
    <w:rsid w:val="F5F92C33"/>
    <w:rsid w:val="F6D8D0BA"/>
    <w:rsid w:val="F6EDEE86"/>
    <w:rsid w:val="F77D7A44"/>
    <w:rsid w:val="F77E076D"/>
    <w:rsid w:val="F7FF6A11"/>
    <w:rsid w:val="F86B0505"/>
    <w:rsid w:val="FBE78F86"/>
    <w:rsid w:val="FBF3E56A"/>
    <w:rsid w:val="FBFF7C63"/>
    <w:rsid w:val="FBFFA1D8"/>
    <w:rsid w:val="FD6E77C9"/>
    <w:rsid w:val="FD7D9AFD"/>
    <w:rsid w:val="FDBD766D"/>
    <w:rsid w:val="FDDFB132"/>
    <w:rsid w:val="FDF89808"/>
    <w:rsid w:val="FDFF0C29"/>
    <w:rsid w:val="FDFF222C"/>
    <w:rsid w:val="FDFF400C"/>
    <w:rsid w:val="FE1EF080"/>
    <w:rsid w:val="FE7F2925"/>
    <w:rsid w:val="FEBC7E48"/>
    <w:rsid w:val="FECB61D9"/>
    <w:rsid w:val="FED3A64B"/>
    <w:rsid w:val="FEF5784F"/>
    <w:rsid w:val="FEFCA532"/>
    <w:rsid w:val="FF373522"/>
    <w:rsid w:val="FF5F57A4"/>
    <w:rsid w:val="FF6CEA93"/>
    <w:rsid w:val="FF6F212D"/>
    <w:rsid w:val="FF7D3A25"/>
    <w:rsid w:val="FF7FE285"/>
    <w:rsid w:val="FF9771D6"/>
    <w:rsid w:val="FFCECDED"/>
    <w:rsid w:val="FFCF724C"/>
    <w:rsid w:val="FFD7C6C4"/>
    <w:rsid w:val="FFDB28FD"/>
    <w:rsid w:val="FFEB2090"/>
    <w:rsid w:val="FFED1812"/>
    <w:rsid w:val="FFED67A1"/>
    <w:rsid w:val="FFEF3BDF"/>
    <w:rsid w:val="FFFBE593"/>
    <w:rsid w:val="FFFE569F"/>
    <w:rsid w:val="FFFED082"/>
    <w:rsid w:val="FFFF727F"/>
    <w:rsid w:val="FFFF9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qFormat/>
    <w:uiPriority w:val="99"/>
    <w:pPr>
      <w:widowControl/>
      <w:jc w:val="left"/>
      <w:outlineLvl w:val="0"/>
    </w:pPr>
    <w:rPr>
      <w:kern w:val="0"/>
      <w:sz w:val="24"/>
      <w:szCs w:val="20"/>
      <w:lang w:val="en-GB"/>
    </w:rPr>
  </w:style>
  <w:style w:type="paragraph" w:styleId="3">
    <w:name w:val="heading 2"/>
    <w:basedOn w:val="1"/>
    <w:next w:val="1"/>
    <w:link w:val="19"/>
    <w:unhideWhenUsed/>
    <w:qFormat/>
    <w:uiPriority w:val="9"/>
    <w:pPr>
      <w:keepNext/>
      <w:keepLines/>
      <w:spacing w:before="260" w:after="260" w:line="416" w:lineRule="auto"/>
      <w:outlineLvl w:val="1"/>
    </w:pPr>
    <w:rPr>
      <w:rFonts w:ascii="Cambria" w:hAnsi="Cambria"/>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0"/>
    <w:unhideWhenUsed/>
    <w:qFormat/>
    <w:uiPriority w:val="99"/>
    <w:pPr>
      <w:jc w:val="left"/>
    </w:pPr>
  </w:style>
  <w:style w:type="paragraph" w:styleId="5">
    <w:name w:val="Body Text Indent 2"/>
    <w:basedOn w:val="1"/>
    <w:link w:val="21"/>
    <w:qFormat/>
    <w:uiPriority w:val="0"/>
    <w:pPr>
      <w:spacing w:line="560" w:lineRule="exact"/>
      <w:ind w:firstLine="480" w:firstLineChars="200"/>
    </w:pPr>
    <w:rPr>
      <w:rFonts w:ascii="宋体" w:hAnsi="宋体"/>
      <w:color w:val="FF0000"/>
      <w:sz w:val="24"/>
    </w:rPr>
  </w:style>
  <w:style w:type="paragraph" w:styleId="6">
    <w:name w:val="Balloon Text"/>
    <w:basedOn w:val="1"/>
    <w:link w:val="22"/>
    <w:unhideWhenUsed/>
    <w:qFormat/>
    <w:uiPriority w:val="99"/>
    <w:rPr>
      <w:sz w:val="18"/>
      <w:szCs w:val="18"/>
    </w:rPr>
  </w:style>
  <w:style w:type="paragraph" w:styleId="7">
    <w:name w:val="footer"/>
    <w:basedOn w:val="1"/>
    <w:link w:val="23"/>
    <w:unhideWhenUsed/>
    <w:qFormat/>
    <w:uiPriority w:val="99"/>
    <w:pPr>
      <w:tabs>
        <w:tab w:val="center" w:pos="4153"/>
        <w:tab w:val="right" w:pos="8306"/>
      </w:tabs>
      <w:snapToGrid w:val="0"/>
      <w:jc w:val="left"/>
    </w:pPr>
    <w:rPr>
      <w:sz w:val="18"/>
      <w:szCs w:val="18"/>
    </w:rPr>
  </w:style>
  <w:style w:type="paragraph" w:styleId="8">
    <w:name w:val="header"/>
    <w:basedOn w:val="1"/>
    <w:link w:val="24"/>
    <w:unhideWhenUsed/>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lang w:val="en-GB" w:eastAsia="en-US"/>
    </w:rPr>
  </w:style>
  <w:style w:type="paragraph" w:styleId="12">
    <w:name w:val="annotation subject"/>
    <w:basedOn w:val="4"/>
    <w:next w:val="4"/>
    <w:link w:val="25"/>
    <w:unhideWhenUsed/>
    <w:qFormat/>
    <w:uiPriority w:val="99"/>
    <w:rPr>
      <w:b/>
      <w:bCs/>
    </w:rPr>
  </w:style>
  <w:style w:type="character" w:styleId="15">
    <w:name w:val="Emphasis"/>
    <w:qFormat/>
    <w:uiPriority w:val="20"/>
    <w:rPr>
      <w:i/>
      <w:iCs/>
    </w:rPr>
  </w:style>
  <w:style w:type="character" w:styleId="16">
    <w:name w:val="Hyperlink"/>
    <w:unhideWhenUsed/>
    <w:qFormat/>
    <w:uiPriority w:val="99"/>
    <w:rPr>
      <w:color w:val="0000FF"/>
      <w:u w:val="single"/>
    </w:rPr>
  </w:style>
  <w:style w:type="character" w:styleId="17">
    <w:name w:val="annotation reference"/>
    <w:unhideWhenUsed/>
    <w:qFormat/>
    <w:uiPriority w:val="99"/>
    <w:rPr>
      <w:sz w:val="21"/>
      <w:szCs w:val="21"/>
    </w:rPr>
  </w:style>
  <w:style w:type="character" w:customStyle="1" w:styleId="18">
    <w:name w:val="标题 1 字符"/>
    <w:link w:val="2"/>
    <w:qFormat/>
    <w:uiPriority w:val="99"/>
    <w:rPr>
      <w:rFonts w:ascii="Times New Roman" w:hAnsi="Times New Roman" w:eastAsia="宋体" w:cs="Times New Roman"/>
      <w:kern w:val="0"/>
      <w:sz w:val="24"/>
      <w:szCs w:val="20"/>
      <w:lang w:val="en-GB"/>
    </w:rPr>
  </w:style>
  <w:style w:type="character" w:customStyle="1" w:styleId="19">
    <w:name w:val="标题 2 字符"/>
    <w:link w:val="3"/>
    <w:semiHidden/>
    <w:qFormat/>
    <w:uiPriority w:val="9"/>
    <w:rPr>
      <w:rFonts w:ascii="Cambria" w:hAnsi="Cambria" w:eastAsia="宋体" w:cs="Times New Roman"/>
      <w:b/>
      <w:bCs/>
      <w:sz w:val="32"/>
      <w:szCs w:val="32"/>
    </w:rPr>
  </w:style>
  <w:style w:type="character" w:customStyle="1" w:styleId="20">
    <w:name w:val="批注文字 字符"/>
    <w:link w:val="4"/>
    <w:semiHidden/>
    <w:qFormat/>
    <w:uiPriority w:val="99"/>
    <w:rPr>
      <w:rFonts w:ascii="Times New Roman" w:hAnsi="Times New Roman" w:eastAsia="宋体" w:cs="Times New Roman"/>
      <w:szCs w:val="24"/>
    </w:rPr>
  </w:style>
  <w:style w:type="character" w:customStyle="1" w:styleId="21">
    <w:name w:val="正文文本缩进 2 字符"/>
    <w:link w:val="5"/>
    <w:qFormat/>
    <w:uiPriority w:val="0"/>
    <w:rPr>
      <w:rFonts w:ascii="宋体" w:hAnsi="宋体" w:eastAsia="宋体" w:cs="Times New Roman"/>
      <w:color w:val="FF0000"/>
      <w:sz w:val="24"/>
      <w:szCs w:val="24"/>
    </w:rPr>
  </w:style>
  <w:style w:type="character" w:customStyle="1" w:styleId="22">
    <w:name w:val="批注框文本 字符"/>
    <w:link w:val="6"/>
    <w:semiHidden/>
    <w:qFormat/>
    <w:uiPriority w:val="99"/>
    <w:rPr>
      <w:rFonts w:ascii="Times New Roman" w:hAnsi="Times New Roman" w:eastAsia="宋体" w:cs="Times New Roman"/>
      <w:sz w:val="18"/>
      <w:szCs w:val="18"/>
    </w:rPr>
  </w:style>
  <w:style w:type="character" w:customStyle="1" w:styleId="23">
    <w:name w:val="页脚 字符"/>
    <w:link w:val="7"/>
    <w:qFormat/>
    <w:uiPriority w:val="99"/>
    <w:rPr>
      <w:sz w:val="18"/>
      <w:szCs w:val="18"/>
    </w:rPr>
  </w:style>
  <w:style w:type="character" w:customStyle="1" w:styleId="24">
    <w:name w:val="页眉 字符"/>
    <w:link w:val="8"/>
    <w:qFormat/>
    <w:uiPriority w:val="0"/>
    <w:rPr>
      <w:sz w:val="18"/>
      <w:szCs w:val="18"/>
    </w:rPr>
  </w:style>
  <w:style w:type="character" w:customStyle="1" w:styleId="25">
    <w:name w:val="批注主题 字符"/>
    <w:link w:val="12"/>
    <w:semiHidden/>
    <w:qFormat/>
    <w:uiPriority w:val="99"/>
    <w:rPr>
      <w:rFonts w:ascii="Times New Roman" w:hAnsi="Times New Roman" w:eastAsia="宋体" w:cs="Times New Roman"/>
      <w:b/>
      <w:bCs/>
      <w:szCs w:val="24"/>
    </w:rPr>
  </w:style>
  <w:style w:type="character" w:customStyle="1" w:styleId="26">
    <w:name w:val="标题 2 Char Char Char"/>
    <w:qFormat/>
    <w:uiPriority w:val="0"/>
    <w:rPr>
      <w:rFonts w:ascii="Arial" w:hAnsi="Arial" w:eastAsia="宋体"/>
      <w:b/>
      <w:kern w:val="2"/>
      <w:sz w:val="28"/>
      <w:szCs w:val="28"/>
      <w:lang w:val="en-US" w:eastAsia="zh-CN" w:bidi="ar-SA"/>
    </w:rPr>
  </w:style>
  <w:style w:type="paragraph" w:customStyle="1" w:styleId="27">
    <w:name w:val="2级"/>
    <w:basedOn w:val="1"/>
    <w:link w:val="28"/>
    <w:qFormat/>
    <w:uiPriority w:val="0"/>
    <w:pPr>
      <w:keepNext/>
      <w:keepLines/>
      <w:widowControl/>
      <w:spacing w:before="260" w:after="260"/>
      <w:jc w:val="left"/>
      <w:outlineLvl w:val="1"/>
    </w:pPr>
    <w:rPr>
      <w:rFonts w:ascii="宋体" w:hAnsi="宋体"/>
      <w:b/>
      <w:bCs/>
      <w:sz w:val="24"/>
    </w:rPr>
  </w:style>
  <w:style w:type="character" w:customStyle="1" w:styleId="28">
    <w:name w:val="2级 Char"/>
    <w:link w:val="27"/>
    <w:qFormat/>
    <w:uiPriority w:val="0"/>
    <w:rPr>
      <w:rFonts w:ascii="宋体" w:hAnsi="宋体" w:eastAsia="宋体"/>
      <w:b/>
      <w:bCs/>
      <w:sz w:val="24"/>
      <w:szCs w:val="24"/>
    </w:rPr>
  </w:style>
  <w:style w:type="paragraph" w:customStyle="1" w:styleId="29">
    <w:name w:val="正文XB"/>
    <w:basedOn w:val="1"/>
    <w:link w:val="30"/>
    <w:qFormat/>
    <w:uiPriority w:val="0"/>
    <w:pPr>
      <w:spacing w:line="360" w:lineRule="auto"/>
      <w:ind w:firstLine="420" w:firstLineChars="200"/>
    </w:pPr>
    <w:rPr>
      <w:rFonts w:ascii="宋体" w:hAnsi="宋体"/>
      <w:color w:val="000000"/>
      <w:szCs w:val="21"/>
    </w:rPr>
  </w:style>
  <w:style w:type="character" w:customStyle="1" w:styleId="30">
    <w:name w:val="正文XB Char"/>
    <w:link w:val="29"/>
    <w:qFormat/>
    <w:uiPriority w:val="0"/>
    <w:rPr>
      <w:rFonts w:ascii="宋体" w:hAnsi="宋体" w:eastAsia="宋体" w:cs="Times New Roman"/>
      <w:color w:val="000000"/>
      <w:szCs w:val="21"/>
    </w:rPr>
  </w:style>
  <w:style w:type="paragraph" w:styleId="31">
    <w:name w:val="List Paragraph"/>
    <w:basedOn w:val="1"/>
    <w:unhideWhenUsed/>
    <w:qFormat/>
    <w:uiPriority w:val="99"/>
    <w:pPr>
      <w:ind w:firstLine="420" w:firstLineChars="200"/>
    </w:pPr>
  </w:style>
  <w:style w:type="paragraph" w:customStyle="1" w:styleId="32">
    <w:name w:val="Default"/>
    <w:qFormat/>
    <w:uiPriority w:val="0"/>
    <w:pPr>
      <w:widowControl w:val="0"/>
      <w:autoSpaceDE w:val="0"/>
      <w:autoSpaceDN w:val="0"/>
      <w:adjustRightInd w:val="0"/>
    </w:pPr>
    <w:rPr>
      <w:rFonts w:ascii="宋体棬　僬　." w:hAnsi="Calibri" w:eastAsia="宋体棬　僬　." w:cs="宋体棬　僬　."/>
      <w:color w:val="000000"/>
      <w:sz w:val="24"/>
      <w:szCs w:val="24"/>
      <w:lang w:val="en-US" w:eastAsia="zh-CN" w:bidi="ar-SA"/>
    </w:rPr>
  </w:style>
  <w:style w:type="paragraph" w:customStyle="1" w:styleId="33">
    <w:name w:val="TOC 标题1"/>
    <w:basedOn w:val="2"/>
    <w:next w:val="1"/>
    <w:unhideWhenUsed/>
    <w:qFormat/>
    <w:uiPriority w:val="39"/>
    <w:pPr>
      <w:keepNext/>
      <w:keepLines/>
      <w:spacing w:before="480" w:line="276" w:lineRule="auto"/>
      <w:outlineLvl w:val="9"/>
    </w:pPr>
    <w:rPr>
      <w:rFonts w:ascii="Cambria" w:hAnsi="Cambria"/>
      <w:b/>
      <w:bCs/>
      <w:color w:val="366091"/>
      <w:sz w:val="28"/>
      <w:szCs w:val="28"/>
      <w:lang w:val="en-US"/>
    </w:rPr>
  </w:style>
  <w:style w:type="paragraph" w:styleId="34">
    <w:name w:val="No Spacing"/>
    <w:basedOn w:val="1"/>
    <w:link w:val="35"/>
    <w:qFormat/>
    <w:uiPriority w:val="1"/>
    <w:pPr>
      <w:widowControl/>
      <w:jc w:val="left"/>
    </w:pPr>
    <w:rPr>
      <w:rFonts w:ascii="Calibri" w:hAnsi="Calibri"/>
      <w:szCs w:val="21"/>
    </w:rPr>
  </w:style>
  <w:style w:type="character" w:customStyle="1" w:styleId="35">
    <w:name w:val="无间隔 字符"/>
    <w:link w:val="34"/>
    <w:qFormat/>
    <w:locked/>
    <w:uiPriority w:val="1"/>
    <w:rPr>
      <w:szCs w:val="21"/>
    </w:rPr>
  </w:style>
  <w:style w:type="paragraph" w:customStyle="1" w:styleId="36">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37">
    <w:name w:val="无缩进备注"/>
    <w:basedOn w:val="38"/>
    <w:link w:val="39"/>
    <w:qFormat/>
    <w:uiPriority w:val="0"/>
    <w:pPr>
      <w:tabs>
        <w:tab w:val="left" w:pos="426"/>
      </w:tabs>
    </w:pPr>
  </w:style>
  <w:style w:type="paragraph" w:customStyle="1" w:styleId="38">
    <w:name w:val="有缩进备注"/>
    <w:basedOn w:val="1"/>
    <w:qFormat/>
    <w:uiPriority w:val="0"/>
    <w:pPr>
      <w:tabs>
        <w:tab w:val="left" w:pos="426"/>
      </w:tabs>
      <w:ind w:firstLine="420" w:firstLineChars="200"/>
      <w:jc w:val="left"/>
    </w:pPr>
    <w:rPr>
      <w:rFonts w:ascii="宋体" w:hAnsi="宋体"/>
      <w:kern w:val="0"/>
      <w:szCs w:val="21"/>
    </w:rPr>
  </w:style>
  <w:style w:type="character" w:customStyle="1" w:styleId="39">
    <w:name w:val="无缩进备注 Char"/>
    <w:link w:val="37"/>
    <w:qFormat/>
    <w:uiPriority w:val="0"/>
    <w:rPr>
      <w:rFonts w:ascii="宋体" w:hAnsi="宋体" w:eastAsia="宋体" w:cs="Times New Roman"/>
      <w:kern w:val="0"/>
      <w:szCs w:val="21"/>
    </w:rPr>
  </w:style>
  <w:style w:type="character" w:customStyle="1" w:styleId="40">
    <w:name w:val="read1"/>
    <w:qFormat/>
    <w:uiPriority w:val="0"/>
    <w:rPr>
      <w:rFonts w:hint="default"/>
      <w:color w:val="000000"/>
      <w:spacing w:val="450"/>
      <w:u w:val="none"/>
    </w:rPr>
  </w:style>
  <w:style w:type="character" w:customStyle="1" w:styleId="41">
    <w:name w:val="font01"/>
    <w:qFormat/>
    <w:uiPriority w:val="0"/>
    <w:rPr>
      <w:rFonts w:hint="default" w:ascii="Times New Roman" w:hAnsi="Times New Roman" w:cs="Times New Roman"/>
      <w:b/>
      <w:color w:val="000000"/>
      <w:sz w:val="24"/>
      <w:szCs w:val="24"/>
      <w:u w:val="none"/>
    </w:rPr>
  </w:style>
  <w:style w:type="character" w:customStyle="1" w:styleId="42">
    <w:name w:val="font51"/>
    <w:qFormat/>
    <w:uiPriority w:val="0"/>
    <w:rPr>
      <w:rFonts w:hint="eastAsia" w:ascii="宋体" w:hAnsi="宋体" w:eastAsia="宋体" w:cs="宋体"/>
      <w:b/>
      <w:color w:val="000000"/>
      <w:sz w:val="24"/>
      <w:szCs w:val="24"/>
      <w:u w:val="none"/>
    </w:rPr>
  </w:style>
  <w:style w:type="character" w:customStyle="1" w:styleId="43">
    <w:name w:val="font71"/>
    <w:qFormat/>
    <w:uiPriority w:val="0"/>
    <w:rPr>
      <w:rFonts w:hint="eastAsia" w:ascii="宋体" w:hAnsi="宋体" w:eastAsia="宋体" w:cs="宋体"/>
      <w:color w:val="000000"/>
      <w:sz w:val="22"/>
      <w:szCs w:val="22"/>
      <w:u w:val="none"/>
    </w:rPr>
  </w:style>
  <w:style w:type="character" w:customStyle="1" w:styleId="44">
    <w:name w:val="font61"/>
    <w:qFormat/>
    <w:uiPriority w:val="0"/>
    <w:rPr>
      <w:rFonts w:hint="eastAsia" w:ascii="宋体" w:hAnsi="宋体" w:eastAsia="宋体" w:cs="宋体"/>
      <w:color w:val="000000"/>
      <w:sz w:val="22"/>
      <w:szCs w:val="22"/>
      <w:u w:val="none"/>
    </w:rPr>
  </w:style>
  <w:style w:type="character" w:customStyle="1" w:styleId="45">
    <w:name w:val="font11"/>
    <w:qFormat/>
    <w:uiPriority w:val="0"/>
    <w:rPr>
      <w:rFonts w:hint="eastAsia" w:ascii="宋体" w:hAnsi="宋体" w:eastAsia="宋体" w:cs="宋体"/>
      <w:color w:val="000000"/>
      <w:sz w:val="24"/>
      <w:szCs w:val="24"/>
      <w:u w:val="none"/>
    </w:rPr>
  </w:style>
  <w:style w:type="paragraph" w:customStyle="1" w:styleId="46">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47">
    <w:name w:val="修订3"/>
    <w:hidden/>
    <w:semiHidden/>
    <w:unhideWhenUsed/>
    <w:qFormat/>
    <w:uiPriority w:val="99"/>
    <w:rPr>
      <w:rFonts w:ascii="Times New Roman" w:hAnsi="Times New Roman" w:eastAsia="宋体" w:cs="Times New Roman"/>
      <w:kern w:val="2"/>
      <w:sz w:val="21"/>
      <w:szCs w:val="24"/>
      <w:lang w:val="en-US" w:eastAsia="zh-CN" w:bidi="ar-SA"/>
    </w:rPr>
  </w:style>
  <w:style w:type="paragraph" w:customStyle="1" w:styleId="4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Info spid="_x0000_s1028"/>
    <customShpInfo spid="_x0000_s1027"/>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1306</Words>
  <Characters>7448</Characters>
  <Lines>62</Lines>
  <Paragraphs>17</Paragraphs>
  <TotalTime>49</TotalTime>
  <ScaleCrop>false</ScaleCrop>
  <LinksUpToDate>false</LinksUpToDate>
  <CharactersWithSpaces>8737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2026-04-21T15:38:00Z</dcterms:created>
  <dc:creator>段宏竹</dc:creator>
  <cp:lastModifiedBy>fuxj</cp:lastModifiedBy>
  <cp:lastPrinted>2023-01-13T17:54:00Z</cp:lastPrinted>
  <dcterms:modified xsi:type="dcterms:W3CDTF">2026-04-27T09:04:20Z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F9B2077F0A884DA3B77C458A8AD2BC56</vt:lpwstr>
  </property>
  <property fmtid="{D5CDD505-2E9C-101B-9397-08002B2CF9AE}" pid="4" name="KSOTemplateDocerSaveRecord">
    <vt:lpwstr>eyJoZGlkIjoiZmVhYTE0MTJhMGJkOGU3YzBiOGFiYTlhMGFmMDNhZmYiLCJ1c2VySWQiOiI4OTUyODYyNjEifQ==</vt:lpwstr>
  </property>
</Properties>
</file>