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left"/>
        <w:rPr>
          <w:rFonts w:ascii="宋体" w:hAnsi="宋体" w:eastAsia="宋体"/>
          <w:sz w:val="30"/>
        </w:rPr>
      </w:pPr>
      <w:bookmarkStart w:id="199" w:name="_GoBack"/>
      <w:bookmarkEnd w:id="199"/>
    </w:p>
    <w:p>
      <w:pPr>
        <w:widowControl/>
        <w:jc w:val="left"/>
        <w:rPr>
          <w:rFonts w:ascii="宋体" w:hAnsi="宋体" w:eastAsia="宋体"/>
          <w:sz w:val="30"/>
        </w:rPr>
      </w:pPr>
    </w:p>
    <w:p>
      <w:pPr>
        <w:widowControl/>
        <w:jc w:val="left"/>
        <w:rPr>
          <w:rFonts w:ascii="宋体" w:hAnsi="宋体" w:eastAsia="宋体"/>
          <w:sz w:val="30"/>
        </w:rPr>
      </w:pPr>
    </w:p>
    <w:p>
      <w:pPr>
        <w:widowControl/>
        <w:jc w:val="left"/>
        <w:rPr>
          <w:rFonts w:ascii="宋体" w:hAnsi="宋体" w:eastAsia="宋体"/>
          <w:sz w:val="30"/>
        </w:rPr>
      </w:pPr>
    </w:p>
    <w:p>
      <w:pPr>
        <w:widowControl/>
        <w:spacing w:line="800" w:lineRule="exact"/>
        <w:jc w:val="center"/>
        <w:rPr>
          <w:rFonts w:ascii="宋体" w:hAnsi="宋体" w:eastAsia="宋体"/>
          <w:b/>
          <w:sz w:val="52"/>
        </w:rPr>
      </w:pPr>
      <w:r>
        <w:rPr>
          <w:rFonts w:hint="eastAsia" w:ascii="宋体" w:hAnsi="宋体" w:eastAsia="宋体"/>
          <w:b/>
          <w:sz w:val="52"/>
        </w:rPr>
        <w:t>博时中证全指自由现金流交易型开放式指数证券投资基金</w:t>
      </w:r>
    </w:p>
    <w:p>
      <w:pPr>
        <w:widowControl/>
        <w:spacing w:line="800" w:lineRule="exact"/>
        <w:jc w:val="center"/>
        <w:rPr>
          <w:rFonts w:ascii="宋体" w:hAnsi="宋体" w:eastAsia="宋体"/>
          <w:b/>
          <w:sz w:val="52"/>
        </w:rPr>
      </w:pPr>
      <w:r>
        <w:rPr>
          <w:rFonts w:hint="eastAsia" w:ascii="宋体" w:hAnsi="宋体" w:eastAsia="宋体"/>
          <w:b/>
          <w:sz w:val="52"/>
        </w:rPr>
        <w:t>更新招募说明书</w:t>
      </w: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中信银行股份有限公司</w:t>
      </w:r>
      <w:r>
        <w:rPr>
          <w:rFonts w:ascii="宋体" w:hAnsi="宋体" w:eastAsia="宋体"/>
          <w:b/>
          <w:sz w:val="30"/>
        </w:rPr>
        <w:br w:type="page"/>
      </w:r>
    </w:p>
    <w:p>
      <w:pPr>
        <w:pStyle w:val="2"/>
        <w:jc w:val="center"/>
        <w:rPr>
          <w:rFonts w:ascii="宋体" w:hAnsi="宋体" w:eastAsia="宋体"/>
          <w:sz w:val="30"/>
        </w:rPr>
      </w:pPr>
      <w:bookmarkStart w:id="0" w:name="_Toc214976512"/>
      <w:r>
        <w:rPr>
          <w:rFonts w:hint="eastAsia" w:ascii="宋体" w:hAnsi="宋体" w:eastAsia="宋体"/>
          <w:sz w:val="30"/>
        </w:rPr>
        <w:t>【重要提示】</w:t>
      </w:r>
      <w:bookmarkEnd w:id="0"/>
    </w:p>
    <w:p>
      <w:pPr>
        <w:pStyle w:val="7"/>
        <w:spacing w:before="0" w:beforeAutospacing="0" w:after="0" w:afterAutospacing="0" w:line="360" w:lineRule="auto"/>
        <w:ind w:firstLine="420"/>
        <w:rPr>
          <w:sz w:val="21"/>
          <w:szCs w:val="21"/>
        </w:rPr>
      </w:pPr>
      <w:bookmarkStart w:id="1" w:name="field_0_productfullname_1"/>
      <w:r>
        <w:rPr>
          <w:rFonts w:hint="eastAsia"/>
          <w:sz w:val="21"/>
          <w:szCs w:val="21"/>
        </w:rPr>
        <w:t>博时中证全指自由现金流交易型开放式指数证券投资基金</w:t>
      </w:r>
      <w:bookmarkEnd w:id="1"/>
      <w:r>
        <w:rPr>
          <w:rFonts w:hint="eastAsia"/>
          <w:sz w:val="21"/>
          <w:szCs w:val="21"/>
        </w:rPr>
        <w:t>根据2025年3月31日中国证券监督管理委员会《关于准予</w:t>
      </w:r>
      <w:bookmarkStart w:id="2" w:name="field_0_productfullname_2"/>
      <w:r>
        <w:rPr>
          <w:rFonts w:hint="eastAsia"/>
          <w:sz w:val="21"/>
          <w:szCs w:val="21"/>
        </w:rPr>
        <w:t>博时中证全指自由现金流交易型开放式指数证券投资基金</w:t>
      </w:r>
      <w:bookmarkEnd w:id="2"/>
      <w:r>
        <w:rPr>
          <w:rFonts w:hint="eastAsia"/>
          <w:sz w:val="21"/>
          <w:szCs w:val="21"/>
        </w:rPr>
        <w:t xml:space="preserve">注册的批复》（证监许可[2025]658号）准予注册，进行募集。 </w:t>
      </w:r>
    </w:p>
    <w:p>
      <w:pPr>
        <w:pStyle w:val="7"/>
        <w:spacing w:before="0" w:beforeAutospacing="0" w:after="0" w:afterAutospacing="0" w:line="360" w:lineRule="auto"/>
        <w:ind w:firstLine="420"/>
        <w:rPr>
          <w:sz w:val="21"/>
          <w:szCs w:val="21"/>
        </w:rPr>
      </w:pPr>
      <w:r>
        <w:rPr>
          <w:rFonts w:hint="eastAsia"/>
          <w:sz w:val="21"/>
          <w:szCs w:val="21"/>
        </w:rPr>
        <w:t xml:space="preserve">本基金管理人保证招募说明书的内容真实、准确、完整。本招募说明书经中国证监会注册，但中国证监会对本基金募集的注册，并不表明其对本基金的投资价值、市场前景和收益作出实质性判断或保证，也不表明投资于本基金没有风险。 </w:t>
      </w:r>
    </w:p>
    <w:p>
      <w:pPr>
        <w:pStyle w:val="7"/>
        <w:spacing w:before="0" w:beforeAutospacing="0" w:after="0" w:afterAutospacing="0" w:line="360" w:lineRule="auto"/>
        <w:ind w:firstLine="420"/>
        <w:rPr>
          <w:sz w:val="21"/>
          <w:szCs w:val="21"/>
        </w:rPr>
      </w:pPr>
      <w:r>
        <w:rPr>
          <w:rFonts w:hint="eastAsia"/>
          <w:sz w:val="21"/>
          <w:szCs w:val="21"/>
        </w:rPr>
        <w:t xml:space="preserve">本基金的标的指数为中证全指自由现金流指数，编制方案如下： </w:t>
      </w:r>
    </w:p>
    <w:p>
      <w:pPr>
        <w:pStyle w:val="7"/>
        <w:spacing w:before="0" w:beforeAutospacing="0" w:after="0" w:afterAutospacing="0" w:line="360" w:lineRule="auto"/>
        <w:ind w:firstLine="420"/>
        <w:rPr>
          <w:sz w:val="21"/>
          <w:szCs w:val="21"/>
        </w:rPr>
      </w:pPr>
      <w:r>
        <w:rPr>
          <w:rFonts w:hint="eastAsia"/>
          <w:sz w:val="21"/>
          <w:szCs w:val="21"/>
        </w:rPr>
        <w:t xml:space="preserve">1、样本空间 </w:t>
      </w:r>
    </w:p>
    <w:p>
      <w:pPr>
        <w:pStyle w:val="7"/>
        <w:spacing w:before="0" w:beforeAutospacing="0" w:after="0" w:afterAutospacing="0" w:line="360" w:lineRule="auto"/>
        <w:ind w:firstLine="420"/>
        <w:rPr>
          <w:sz w:val="21"/>
          <w:szCs w:val="21"/>
        </w:rPr>
      </w:pPr>
      <w:r>
        <w:rPr>
          <w:rFonts w:hint="eastAsia"/>
          <w:sz w:val="21"/>
          <w:szCs w:val="21"/>
        </w:rPr>
        <w:t xml:space="preserve">同中证全指指数的样本空间 </w:t>
      </w:r>
    </w:p>
    <w:p>
      <w:pPr>
        <w:pStyle w:val="7"/>
        <w:spacing w:before="0" w:beforeAutospacing="0" w:after="0" w:afterAutospacing="0" w:line="360" w:lineRule="auto"/>
        <w:ind w:firstLine="420"/>
        <w:rPr>
          <w:sz w:val="21"/>
          <w:szCs w:val="21"/>
        </w:rPr>
      </w:pPr>
      <w:r>
        <w:rPr>
          <w:rFonts w:hint="eastAsia"/>
          <w:sz w:val="21"/>
          <w:szCs w:val="21"/>
        </w:rPr>
        <w:t xml:space="preserve">2、可投资性筛选 </w:t>
      </w:r>
    </w:p>
    <w:p>
      <w:pPr>
        <w:pStyle w:val="7"/>
        <w:spacing w:before="0" w:beforeAutospacing="0" w:after="0" w:afterAutospacing="0" w:line="360" w:lineRule="auto"/>
        <w:ind w:firstLine="420"/>
        <w:rPr>
          <w:sz w:val="21"/>
          <w:szCs w:val="21"/>
        </w:rPr>
      </w:pPr>
      <w:r>
        <w:rPr>
          <w:rFonts w:hint="eastAsia"/>
          <w:sz w:val="21"/>
          <w:szCs w:val="21"/>
        </w:rPr>
        <w:t xml:space="preserve">过去一年日均成交金额排名位于样本空间前80%。 </w:t>
      </w:r>
    </w:p>
    <w:p>
      <w:pPr>
        <w:pStyle w:val="7"/>
        <w:spacing w:before="0" w:beforeAutospacing="0" w:after="0" w:afterAutospacing="0" w:line="360" w:lineRule="auto"/>
        <w:ind w:firstLine="420"/>
        <w:rPr>
          <w:sz w:val="21"/>
          <w:szCs w:val="21"/>
        </w:rPr>
      </w:pPr>
      <w:r>
        <w:rPr>
          <w:rFonts w:hint="eastAsia"/>
          <w:sz w:val="21"/>
          <w:szCs w:val="21"/>
        </w:rPr>
        <w:t xml:space="preserve">3、选样方法 </w:t>
      </w:r>
    </w:p>
    <w:p>
      <w:pPr>
        <w:pStyle w:val="7"/>
        <w:spacing w:before="0" w:beforeAutospacing="0" w:after="0" w:afterAutospacing="0" w:line="360" w:lineRule="auto"/>
        <w:ind w:firstLine="420"/>
        <w:rPr>
          <w:sz w:val="21"/>
          <w:szCs w:val="21"/>
        </w:rPr>
      </w:pPr>
      <w:r>
        <w:rPr>
          <w:rFonts w:hint="eastAsia"/>
          <w:sz w:val="21"/>
          <w:szCs w:val="21"/>
        </w:rPr>
        <w:t xml:space="preserve">（1）对于样本空间中符合可投资性筛选条件的证券，选取同时满足以下条件的上市公司证券作为待选样本： </w:t>
      </w:r>
    </w:p>
    <w:p>
      <w:pPr>
        <w:pStyle w:val="7"/>
        <w:spacing w:before="0" w:beforeAutospacing="0" w:after="0" w:afterAutospacing="0" w:line="360" w:lineRule="auto"/>
        <w:ind w:firstLine="420"/>
        <w:rPr>
          <w:sz w:val="21"/>
          <w:szCs w:val="21"/>
        </w:rPr>
      </w:pPr>
      <w:r>
        <w:rPr>
          <w:rFonts w:hint="eastAsia"/>
          <w:sz w:val="21"/>
          <w:szCs w:val="21"/>
        </w:rPr>
        <w:t xml:space="preserve">按照中证一级行业分类，不属于金融或地产行业； </w:t>
      </w:r>
    </w:p>
    <w:p>
      <w:pPr>
        <w:pStyle w:val="7"/>
        <w:spacing w:before="0" w:beforeAutospacing="0" w:after="0" w:afterAutospacing="0" w:line="360" w:lineRule="auto"/>
        <w:ind w:firstLine="420"/>
        <w:rPr>
          <w:sz w:val="21"/>
          <w:szCs w:val="21"/>
        </w:rPr>
      </w:pPr>
      <w:r>
        <w:rPr>
          <w:rFonts w:hint="eastAsia"/>
          <w:sz w:val="21"/>
          <w:szCs w:val="21"/>
        </w:rPr>
        <w:t xml:space="preserve">自由现金流和企业价值均为正，其中自由现金流 = 过去一年经营活动产生的现金流量净额 - 过去一年购建固定资产、无形资产和其他长期资产支付的现金，企业价值 = 公司总市值 + 总负债 -货币资金； </w:t>
      </w:r>
    </w:p>
    <w:p>
      <w:pPr>
        <w:pStyle w:val="7"/>
        <w:spacing w:before="0" w:beforeAutospacing="0" w:after="0" w:afterAutospacing="0" w:line="360" w:lineRule="auto"/>
        <w:ind w:firstLine="420"/>
        <w:rPr>
          <w:sz w:val="21"/>
          <w:szCs w:val="21"/>
        </w:rPr>
      </w:pPr>
      <w:r>
        <w:rPr>
          <w:rFonts w:hint="eastAsia"/>
          <w:sz w:val="21"/>
          <w:szCs w:val="21"/>
        </w:rPr>
        <w:t xml:space="preserve">连续5 年经营活动产生的现金流量净额为正； </w:t>
      </w:r>
    </w:p>
    <w:p>
      <w:pPr>
        <w:pStyle w:val="7"/>
        <w:spacing w:before="0" w:beforeAutospacing="0" w:after="0" w:afterAutospacing="0" w:line="360" w:lineRule="auto"/>
        <w:ind w:firstLine="420"/>
        <w:rPr>
          <w:sz w:val="21"/>
          <w:szCs w:val="21"/>
        </w:rPr>
      </w:pPr>
      <w:r>
        <w:rPr>
          <w:rFonts w:hint="eastAsia"/>
          <w:sz w:val="21"/>
          <w:szCs w:val="21"/>
        </w:rPr>
        <w:t xml:space="preserve">盈利质量由高到低排名位于样本空间前80%，其中盈利质量=(过去一年经营活动产生的现金流量净额- 过去一年营业利润)/总资产； </w:t>
      </w:r>
    </w:p>
    <w:p>
      <w:pPr>
        <w:pStyle w:val="7"/>
        <w:spacing w:before="0" w:beforeAutospacing="0" w:after="0" w:afterAutospacing="0" w:line="360" w:lineRule="auto"/>
        <w:ind w:firstLine="420"/>
        <w:rPr>
          <w:sz w:val="21"/>
          <w:szCs w:val="21"/>
        </w:rPr>
      </w:pPr>
      <w:r>
        <w:rPr>
          <w:rFonts w:hint="eastAsia"/>
          <w:sz w:val="21"/>
          <w:szCs w:val="21"/>
        </w:rPr>
        <w:t xml:space="preserve">（2）将待选样本按照自由现金流率由高到低排名，选取排名前100 的证券作为指数样本，其中自由现金流率 = 自由现金流/企业价值。 </w:t>
      </w:r>
    </w:p>
    <w:p>
      <w:pPr>
        <w:pStyle w:val="7"/>
        <w:spacing w:before="0" w:beforeAutospacing="0" w:after="0" w:afterAutospacing="0" w:line="360" w:lineRule="auto"/>
        <w:ind w:firstLine="420"/>
        <w:rPr>
          <w:sz w:val="21"/>
          <w:szCs w:val="21"/>
        </w:rPr>
      </w:pPr>
      <w:r>
        <w:rPr>
          <w:rFonts w:hint="eastAsia"/>
          <w:sz w:val="21"/>
          <w:szCs w:val="21"/>
        </w:rPr>
        <w:t xml:space="preserve">4、指数计算 </w:t>
      </w:r>
    </w:p>
    <w:p>
      <w:pPr>
        <w:pStyle w:val="7"/>
        <w:spacing w:before="0" w:beforeAutospacing="0" w:after="0" w:afterAutospacing="0" w:line="360" w:lineRule="auto"/>
        <w:ind w:firstLine="420"/>
        <w:rPr>
          <w:sz w:val="21"/>
          <w:szCs w:val="21"/>
        </w:rPr>
      </w:pPr>
      <w:r>
        <w:rPr>
          <w:rFonts w:hint="eastAsia"/>
          <w:sz w:val="21"/>
          <w:szCs w:val="21"/>
        </w:rPr>
        <w:t xml:space="preserve">指数计算公式为：报告期指数=报告期样本的调整市值/除数×1000 </w:t>
      </w:r>
    </w:p>
    <w:p>
      <w:pPr>
        <w:pStyle w:val="7"/>
        <w:spacing w:before="0" w:beforeAutospacing="0" w:after="0" w:afterAutospacing="0" w:line="360" w:lineRule="auto"/>
        <w:ind w:firstLine="420"/>
        <w:rPr>
          <w:sz w:val="21"/>
          <w:szCs w:val="21"/>
        </w:rPr>
      </w:pPr>
      <w:r>
        <w:rPr>
          <w:rFonts w:hint="eastAsia"/>
          <w:sz w:val="21"/>
          <w:szCs w:val="21"/>
        </w:rPr>
        <w:t xml:space="preserve">其中，调整市值＝Σ(证券价格×调整股本数×权重因子)。调整股本数的计算方法、除数修正方法参见计算与维护细则。权重因子介于0和1之间，以使指数样本采用自由现金流加权，单个样本权重不超过10%。 </w:t>
      </w:r>
    </w:p>
    <w:p>
      <w:pPr>
        <w:pStyle w:val="7"/>
        <w:spacing w:before="0" w:beforeAutospacing="0" w:after="0" w:afterAutospacing="0" w:line="360" w:lineRule="auto"/>
        <w:ind w:firstLine="420"/>
        <w:rPr>
          <w:sz w:val="21"/>
          <w:szCs w:val="21"/>
        </w:rPr>
      </w:pPr>
      <w:r>
        <w:rPr>
          <w:rFonts w:hint="eastAsia"/>
          <w:sz w:val="21"/>
          <w:szCs w:val="21"/>
        </w:rPr>
        <w:t xml:space="preserve">有关标的指数具体编制方案及成份股信息详见中证指数有限公司网站，网址：http://www.csindex.com.cn/。 </w:t>
      </w:r>
    </w:p>
    <w:p>
      <w:pPr>
        <w:pStyle w:val="7"/>
        <w:spacing w:before="0" w:beforeAutospacing="0" w:after="0" w:afterAutospacing="0" w:line="360" w:lineRule="auto"/>
        <w:ind w:firstLine="420"/>
        <w:rPr>
          <w:sz w:val="21"/>
          <w:szCs w:val="21"/>
        </w:rPr>
      </w:pPr>
      <w:r>
        <w:rPr>
          <w:rFonts w:hint="eastAsia"/>
          <w:sz w:val="21"/>
          <w:szCs w:val="21"/>
        </w:rPr>
        <w:t xml:space="preserve">证券投资基金是一种长期投资工具，其主要功能是分散投资，降低投资单一证券所带来的个别风险。证券投资基金不同于银行储蓄和债券等能够提供固定收益预期的金融工具，投资人购买基金，既可能按其持有份额分享基金投资所产生的收益，也可能承担基金投资所带来的损失。本基金属于股票型基金，其预期收益及预期风险水平高于混合型基金、债券型基金与货币市场基金。本基金为被动式投资的股票型指数基金，跟踪中证全指自由现金流指数，其风险收益特征与标的指数所表征的市场组合的风险收益特征相似。本基金为指数基金，投资者投资于本基金面临跟踪误差控制未达约定目标、指数编制机构停止服务、成份股停牌或退市等潜在风险，具体风险详见本基金招募说明书“风险揭示”章节。 </w:t>
      </w:r>
    </w:p>
    <w:p>
      <w:pPr>
        <w:pStyle w:val="7"/>
        <w:spacing w:before="0" w:beforeAutospacing="0" w:after="0" w:afterAutospacing="0" w:line="360" w:lineRule="auto"/>
        <w:ind w:firstLine="420"/>
        <w:rPr>
          <w:sz w:val="21"/>
          <w:szCs w:val="21"/>
        </w:rPr>
      </w:pPr>
      <w:r>
        <w:rPr>
          <w:rFonts w:hint="eastAsia"/>
          <w:sz w:val="21"/>
          <w:szCs w:val="21"/>
        </w:rPr>
        <w:t xml:space="preserve">本基金基金资产若投资于股票期权，可能会面临价格波动风险、市场流动性风险、强制平仓风险、合约到期风险、行权失败风险、交易违约风险等。此外，行权失败和交收违约也是股票期权交易可能出现的风险，失去交易机会可能会对本基金的投资收益造成损失。 </w:t>
      </w:r>
    </w:p>
    <w:p>
      <w:pPr>
        <w:pStyle w:val="7"/>
        <w:spacing w:before="0" w:beforeAutospacing="0" w:after="0" w:afterAutospacing="0" w:line="360" w:lineRule="auto"/>
        <w:ind w:firstLine="420"/>
        <w:rPr>
          <w:sz w:val="21"/>
          <w:szCs w:val="21"/>
        </w:rPr>
      </w:pPr>
      <w:r>
        <w:rPr>
          <w:rFonts w:hint="eastAsia"/>
          <w:sz w:val="21"/>
          <w:szCs w:val="21"/>
        </w:rPr>
        <w:t xml:space="preserve">本基金的投资范围包括存托凭证，除与其他仅投资于境内市场股票的基金所面临的共同风险外，本基金还将面临存托凭证价格大幅波动甚至出现较大亏损的风险，以及与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pPr>
        <w:pStyle w:val="7"/>
        <w:spacing w:before="0" w:beforeAutospacing="0" w:after="0" w:afterAutospacing="0" w:line="360" w:lineRule="auto"/>
        <w:ind w:firstLine="420"/>
        <w:rPr>
          <w:sz w:val="21"/>
          <w:szCs w:val="21"/>
        </w:rPr>
      </w:pPr>
      <w:r>
        <w:rPr>
          <w:rFonts w:hint="eastAsia"/>
          <w:sz w:val="21"/>
          <w:szCs w:val="21"/>
        </w:rPr>
        <w:t xml:space="preserve">本基金按照基金份额初始面值1.00元发售，在市场波动等因素的影响下，基金份额净值可能低于基金份额初始面值。 </w:t>
      </w:r>
    </w:p>
    <w:p>
      <w:pPr>
        <w:pStyle w:val="7"/>
        <w:spacing w:before="0" w:beforeAutospacing="0" w:after="0" w:afterAutospacing="0" w:line="360" w:lineRule="auto"/>
        <w:ind w:firstLine="420"/>
        <w:rPr>
          <w:sz w:val="21"/>
          <w:szCs w:val="21"/>
        </w:rPr>
      </w:pPr>
      <w:r>
        <w:rPr>
          <w:rFonts w:hint="eastAsia"/>
          <w:sz w:val="21"/>
          <w:szCs w:val="21"/>
        </w:rPr>
        <w:t xml:space="preserve">因折算、分红等行为导致基金份额净值变化，不会改变基金的风险收益特征，不会降低基金投资风险或提高基金投资收益。本基金以1元初始面值开展基金募集或因折算、分红等行为导致基金份额净值调整至1元初始面值或1元附近，在市场波动等因素的影响下，基金投资仍有可能出现亏损或基金净值仍有可能低于初始面值。 </w:t>
      </w:r>
    </w:p>
    <w:p>
      <w:pPr>
        <w:pStyle w:val="7"/>
        <w:spacing w:before="0" w:beforeAutospacing="0" w:after="0" w:afterAutospacing="0" w:line="360" w:lineRule="auto"/>
        <w:ind w:firstLine="420"/>
        <w:rPr>
          <w:sz w:val="21"/>
          <w:szCs w:val="21"/>
        </w:rPr>
      </w:pPr>
      <w:r>
        <w:rPr>
          <w:rFonts w:hint="eastAsia"/>
          <w:sz w:val="21"/>
          <w:szCs w:val="21"/>
        </w:rPr>
        <w:t xml:space="preserve">本基金投资于证券市场，基金净值会因为证券市场波动等因素产生波动，投资人在投资本基金前，需充分了解本基金的产品特性，充分考虑自身的风险承受能力，理性判断市场，对投资本基金的意愿、时机、数量等投资行为作出独立决策，并承担基金投资中出现的各类风险，详见下文“风险揭示”章节。 </w:t>
      </w:r>
    </w:p>
    <w:p>
      <w:pPr>
        <w:pStyle w:val="7"/>
        <w:spacing w:before="0" w:beforeAutospacing="0" w:after="0" w:afterAutospacing="0" w:line="360" w:lineRule="auto"/>
        <w:ind w:firstLine="420"/>
        <w:rPr>
          <w:sz w:val="21"/>
          <w:szCs w:val="21"/>
        </w:rPr>
      </w:pPr>
      <w:r>
        <w:rPr>
          <w:rFonts w:hint="eastAsia"/>
          <w:sz w:val="21"/>
          <w:szCs w:val="21"/>
        </w:rPr>
        <w:t xml:space="preserve">本基金因特殊情况（比如流动性不足等）导致本基金无法有效复制和跟踪标的指数时，为更好地实现基金的投资目标，本基金可能会少量投资于依法发行上市的非成份股（包括创业板及其他经中国证监会核准或注册上市的股票和存托凭证）。 </w:t>
      </w:r>
    </w:p>
    <w:p>
      <w:pPr>
        <w:pStyle w:val="7"/>
        <w:spacing w:before="0" w:beforeAutospacing="0" w:after="0" w:afterAutospacing="0" w:line="360" w:lineRule="auto"/>
        <w:ind w:firstLine="420"/>
        <w:rPr>
          <w:sz w:val="21"/>
          <w:szCs w:val="21"/>
        </w:rPr>
      </w:pPr>
      <w:r>
        <w:rPr>
          <w:rFonts w:hint="eastAsia"/>
          <w:sz w:val="21"/>
          <w:szCs w:val="21"/>
        </w:rPr>
        <w:t xml:space="preserve">投资有风险，投资者认购（或申购）基金时应仔细阅读本基金的招募说明书、基金合同及基金产品资料概要等文件，了解本基金的风险收益特征，并根据自身的投资目的、投资期限、投资经验、资产状况等判断基金是否和投资人的风险承受能力相适应。 </w:t>
      </w:r>
    </w:p>
    <w:p>
      <w:pPr>
        <w:pStyle w:val="7"/>
        <w:spacing w:before="0" w:beforeAutospacing="0" w:after="0" w:afterAutospacing="0" w:line="360" w:lineRule="auto"/>
        <w:ind w:firstLine="420"/>
        <w:rPr>
          <w:sz w:val="21"/>
          <w:szCs w:val="21"/>
        </w:rPr>
      </w:pPr>
      <w:r>
        <w:rPr>
          <w:rFonts w:hint="eastAsia"/>
          <w:sz w:val="21"/>
          <w:szCs w:val="21"/>
        </w:rPr>
        <w:t xml:space="preserve">基金管理人承诺以恪尽职守、诚实信用、谨慎勤勉的原则管理和运用基金资产，但不保证本基金一定盈利，也不保证最低收益。当投资人赎回时，所得会高于或低于投资人先前所支付的金额。本基金的过往业绩及其净值高低并不预示其未来业绩表现。基金管理人所管理的其他基金的业绩并不构成对本基金业绩表现的保证。基金管理人提醒投资人基金投资的“买者自负”原则，在做出投资决策后，基金运营状况与基金净值变化引致的投资风险，由投资人自行负担。 </w:t>
      </w:r>
    </w:p>
    <w:p>
      <w:pPr>
        <w:pStyle w:val="7"/>
        <w:spacing w:before="0" w:beforeAutospacing="0" w:after="0" w:afterAutospacing="0" w:line="360" w:lineRule="auto"/>
        <w:ind w:firstLine="420"/>
        <w:rPr>
          <w:sz w:val="21"/>
          <w:szCs w:val="21"/>
        </w:rPr>
      </w:pPr>
      <w:r>
        <w:rPr>
          <w:rFonts w:hint="eastAsia"/>
          <w:sz w:val="21"/>
          <w:szCs w:val="21"/>
        </w:rPr>
        <w:t xml:space="preserve">投资人应当通过基金管理人或具有基金销售业务资格的其他机构购买和赎回基金，基金销售机构名单详见本基金《招募说明书》以及相关公告。 </w:t>
      </w:r>
    </w:p>
    <w:p>
      <w:pPr>
        <w:pStyle w:val="7"/>
        <w:spacing w:before="0" w:beforeAutospacing="0" w:after="0" w:afterAutospacing="0" w:line="360" w:lineRule="auto"/>
        <w:ind w:firstLine="420"/>
        <w:rPr>
          <w:sz w:val="21"/>
          <w:szCs w:val="21"/>
        </w:rPr>
      </w:pPr>
      <w:r>
        <w:rPr>
          <w:rFonts w:hint="eastAsia"/>
          <w:sz w:val="21"/>
          <w:szCs w:val="21"/>
        </w:rPr>
        <w:t>本招募说明书（更新）所载内容截止日</w:t>
      </w:r>
      <w:r>
        <w:rPr>
          <w:rFonts w:hint="eastAsia"/>
          <w:sz w:val="21"/>
          <w:szCs w:val="21"/>
          <w:lang w:eastAsia="zh-CN"/>
        </w:rPr>
        <w:t>2026年5月21日</w:t>
      </w:r>
      <w:r>
        <w:rPr>
          <w:rFonts w:hint="eastAsia"/>
          <w:sz w:val="21"/>
          <w:szCs w:val="21"/>
        </w:rPr>
        <w:t>，有关财务数据和净值表现截止日为</w:t>
      </w:r>
      <w:bookmarkStart w:id="3" w:name="field_2343_financeendday_1"/>
      <w:r>
        <w:rPr>
          <w:sz w:val="21"/>
          <w:szCs w:val="21"/>
        </w:rPr>
        <w:t>2025年9月30日</w:t>
      </w:r>
      <w:bookmarkEnd w:id="3"/>
      <w:r>
        <w:rPr>
          <w:rFonts w:hint="eastAsia"/>
          <w:sz w:val="21"/>
          <w:szCs w:val="21"/>
        </w:rPr>
        <w:t xml:space="preserve">（财务数据未经审计）。 </w:t>
      </w:r>
      <w:r>
        <w:rPr>
          <w:sz w:val="30"/>
        </w:rPr>
        <w:br w:type="page"/>
      </w:r>
    </w:p>
    <w:p>
      <w:pPr>
        <w:widowControl/>
        <w:spacing w:line="360" w:lineRule="auto"/>
        <w:ind w:left="-2" w:leftChars="-1"/>
        <w:jc w:val="center"/>
        <w:rPr>
          <w:rFonts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pPr>
        <w:pStyle w:val="6"/>
        <w:tabs>
          <w:tab w:val="right" w:leader="dot" w:pos="8290"/>
        </w:tabs>
        <w:spacing w:line="360" w:lineRule="auto"/>
        <w:rPr>
          <w:rFonts w:ascii="宋体" w:hAnsi="宋体" w:eastAsia="宋体"/>
        </w:rPr>
      </w:pPr>
      <w:r>
        <w:fldChar w:fldCharType="begin"/>
      </w:r>
      <w:r>
        <w:instrText xml:space="preserve"> HYPERLINK \l "_Toc214976512" </w:instrText>
      </w:r>
      <w:r>
        <w:fldChar w:fldCharType="separate"/>
      </w:r>
      <w:r>
        <w:rPr>
          <w:rStyle w:val="12"/>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_Toc214976512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"_Toc214976513" </w:instrText>
      </w:r>
      <w:r>
        <w:fldChar w:fldCharType="separate"/>
      </w:r>
      <w:r>
        <w:rPr>
          <w:rStyle w:val="12"/>
          <w:rFonts w:hint="eastAsia" w:ascii="宋体" w:hAnsi="宋体" w:eastAsia="宋体"/>
          <w:u w:val="none"/>
        </w:rPr>
        <w:t>第一部分</w:t>
      </w:r>
      <w:r>
        <w:rPr>
          <w:rStyle w:val="12"/>
          <w:rFonts w:ascii="宋体" w:hAnsi="宋体" w:eastAsia="宋体"/>
          <w:u w:val="none"/>
        </w:rPr>
        <w:t xml:space="preserve">  </w:t>
      </w:r>
      <w:r>
        <w:rPr>
          <w:rStyle w:val="12"/>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_Toc214976513 \h </w:instrText>
      </w:r>
      <w:r>
        <w:rPr>
          <w:rFonts w:ascii="宋体" w:hAnsi="宋体" w:eastAsia="宋体"/>
        </w:rPr>
        <w:fldChar w:fldCharType="separate"/>
      </w:r>
      <w:r>
        <w:rPr>
          <w:rFonts w:ascii="宋体" w:hAnsi="宋体" w:eastAsia="宋体"/>
        </w:rPr>
        <w:t>6</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"_Toc214976514" </w:instrText>
      </w:r>
      <w:r>
        <w:fldChar w:fldCharType="separate"/>
      </w:r>
      <w:r>
        <w:rPr>
          <w:rStyle w:val="12"/>
          <w:rFonts w:hint="eastAsia" w:ascii="宋体" w:hAnsi="宋体" w:eastAsia="宋体"/>
          <w:u w:val="none"/>
        </w:rPr>
        <w:t>第二部分</w:t>
      </w:r>
      <w:r>
        <w:rPr>
          <w:rStyle w:val="12"/>
          <w:rFonts w:ascii="宋体" w:hAnsi="宋体" w:eastAsia="宋体"/>
          <w:u w:val="none"/>
        </w:rPr>
        <w:t xml:space="preserve">  </w:t>
      </w:r>
      <w:r>
        <w:rPr>
          <w:rStyle w:val="12"/>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_Toc214976514 \h </w:instrText>
      </w:r>
      <w:r>
        <w:rPr>
          <w:rFonts w:ascii="宋体" w:hAnsi="宋体" w:eastAsia="宋体"/>
        </w:rPr>
        <w:fldChar w:fldCharType="separate"/>
      </w:r>
      <w:r>
        <w:rPr>
          <w:rFonts w:ascii="宋体" w:hAnsi="宋体" w:eastAsia="宋体"/>
        </w:rPr>
        <w:t>7</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"_Toc214976515" </w:instrText>
      </w:r>
      <w:r>
        <w:fldChar w:fldCharType="separate"/>
      </w:r>
      <w:r>
        <w:rPr>
          <w:rStyle w:val="12"/>
          <w:rFonts w:hint="eastAsia" w:ascii="宋体" w:hAnsi="宋体" w:eastAsia="宋体"/>
          <w:u w:val="none"/>
        </w:rPr>
        <w:t>第三部分</w:t>
      </w:r>
      <w:r>
        <w:rPr>
          <w:rStyle w:val="12"/>
          <w:rFonts w:ascii="宋体" w:hAnsi="宋体" w:eastAsia="宋体"/>
          <w:u w:val="none"/>
        </w:rPr>
        <w:t xml:space="preserve">  </w:t>
      </w:r>
      <w:r>
        <w:rPr>
          <w:rStyle w:val="12"/>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_Toc214976515 \h </w:instrText>
      </w:r>
      <w:r>
        <w:rPr>
          <w:rFonts w:ascii="宋体" w:hAnsi="宋体" w:eastAsia="宋体"/>
        </w:rPr>
        <w:fldChar w:fldCharType="separate"/>
      </w:r>
      <w:r>
        <w:rPr>
          <w:rFonts w:ascii="宋体" w:hAnsi="宋体" w:eastAsia="宋体"/>
        </w:rPr>
        <w:t>13</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"_Toc214976516" </w:instrText>
      </w:r>
      <w:r>
        <w:fldChar w:fldCharType="separate"/>
      </w:r>
      <w:r>
        <w:rPr>
          <w:rStyle w:val="12"/>
          <w:rFonts w:hint="eastAsia" w:ascii="宋体" w:hAnsi="宋体" w:eastAsia="宋体"/>
          <w:u w:val="none"/>
        </w:rPr>
        <w:t>第四部分</w:t>
      </w:r>
      <w:r>
        <w:rPr>
          <w:rStyle w:val="12"/>
          <w:rFonts w:ascii="宋体" w:hAnsi="宋体" w:eastAsia="宋体"/>
          <w:u w:val="none"/>
        </w:rPr>
        <w:t xml:space="preserve">  </w:t>
      </w:r>
      <w:r>
        <w:rPr>
          <w:rStyle w:val="12"/>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_Toc214976516 \h </w:instrText>
      </w:r>
      <w:r>
        <w:rPr>
          <w:rFonts w:ascii="宋体" w:hAnsi="宋体" w:eastAsia="宋体"/>
        </w:rPr>
        <w:fldChar w:fldCharType="separate"/>
      </w:r>
      <w:r>
        <w:rPr>
          <w:rFonts w:ascii="宋体" w:hAnsi="宋体" w:eastAsia="宋体"/>
        </w:rPr>
        <w:t>24</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"_Toc214976543" </w:instrText>
      </w:r>
      <w:r>
        <w:fldChar w:fldCharType="separate"/>
      </w:r>
      <w:r>
        <w:rPr>
          <w:rStyle w:val="12"/>
          <w:rFonts w:hint="eastAsia" w:ascii="宋体" w:hAnsi="宋体" w:eastAsia="宋体"/>
          <w:u w:val="none"/>
        </w:rPr>
        <w:t>第五部分</w:t>
      </w:r>
      <w:r>
        <w:rPr>
          <w:rStyle w:val="12"/>
          <w:rFonts w:ascii="宋体" w:hAnsi="宋体" w:eastAsia="宋体"/>
          <w:u w:val="none"/>
        </w:rPr>
        <w:t xml:space="preserve">  </w:t>
      </w:r>
      <w:r>
        <w:rPr>
          <w:rStyle w:val="12"/>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_Toc214976543 \h </w:instrText>
      </w:r>
      <w:r>
        <w:rPr>
          <w:rFonts w:ascii="宋体" w:hAnsi="宋体" w:eastAsia="宋体"/>
        </w:rPr>
        <w:fldChar w:fldCharType="separate"/>
      </w:r>
      <w:r>
        <w:rPr>
          <w:rFonts w:ascii="宋体" w:hAnsi="宋体" w:eastAsia="宋体"/>
        </w:rPr>
        <w:t>28</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"_Toc214976544" </w:instrText>
      </w:r>
      <w:r>
        <w:fldChar w:fldCharType="separate"/>
      </w:r>
      <w:r>
        <w:rPr>
          <w:rStyle w:val="12"/>
          <w:rFonts w:hint="eastAsia" w:ascii="宋体" w:hAnsi="宋体" w:eastAsia="宋体"/>
          <w:u w:val="none"/>
        </w:rPr>
        <w:t>第六部分</w:t>
      </w:r>
      <w:r>
        <w:rPr>
          <w:rStyle w:val="12"/>
          <w:rFonts w:ascii="宋体" w:hAnsi="宋体" w:eastAsia="宋体"/>
          <w:u w:val="none"/>
        </w:rPr>
        <w:t xml:space="preserve"> </w:t>
      </w:r>
      <w:r>
        <w:rPr>
          <w:rStyle w:val="12"/>
          <w:rFonts w:hint="eastAsia" w:ascii="宋体" w:hAnsi="宋体" w:eastAsia="宋体"/>
          <w:u w:val="none"/>
        </w:rPr>
        <w:t>基金的募集与基金合同的生效</w:t>
      </w:r>
      <w:r>
        <w:rPr>
          <w:rFonts w:ascii="宋体" w:hAnsi="宋体" w:eastAsia="宋体"/>
        </w:rPr>
        <w:tab/>
      </w:r>
      <w:r>
        <w:rPr>
          <w:rFonts w:ascii="宋体" w:hAnsi="宋体" w:eastAsia="宋体"/>
        </w:rPr>
        <w:fldChar w:fldCharType="begin"/>
      </w:r>
      <w:r>
        <w:rPr>
          <w:rFonts w:ascii="宋体" w:hAnsi="宋体" w:eastAsia="宋体"/>
        </w:rPr>
        <w:instrText xml:space="preserve"> PAGEREF _Toc214976544 \h </w:instrText>
      </w:r>
      <w:r>
        <w:rPr>
          <w:rFonts w:ascii="宋体" w:hAnsi="宋体" w:eastAsia="宋体"/>
        </w:rPr>
        <w:fldChar w:fldCharType="separate"/>
      </w:r>
      <w:r>
        <w:rPr>
          <w:rFonts w:ascii="宋体" w:hAnsi="宋体" w:eastAsia="宋体"/>
        </w:rPr>
        <w:t>40</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"_Toc214976545" </w:instrText>
      </w:r>
      <w:r>
        <w:fldChar w:fldCharType="separate"/>
      </w:r>
      <w:r>
        <w:rPr>
          <w:rStyle w:val="12"/>
          <w:rFonts w:hint="eastAsia" w:ascii="宋体" w:hAnsi="宋体" w:eastAsia="宋体"/>
          <w:u w:val="none"/>
        </w:rPr>
        <w:t>第七部分</w:t>
      </w:r>
      <w:r>
        <w:rPr>
          <w:rStyle w:val="12"/>
          <w:rFonts w:ascii="宋体" w:hAnsi="宋体" w:eastAsia="宋体"/>
          <w:u w:val="none"/>
        </w:rPr>
        <w:t xml:space="preserve">  </w:t>
      </w:r>
      <w:r>
        <w:rPr>
          <w:rStyle w:val="12"/>
          <w:rFonts w:hint="eastAsia" w:ascii="宋体" w:hAnsi="宋体" w:eastAsia="宋体"/>
          <w:u w:val="none"/>
        </w:rPr>
        <w:t>基金份额折算与变更登记</w:t>
      </w:r>
      <w:r>
        <w:rPr>
          <w:rFonts w:ascii="宋体" w:hAnsi="宋体" w:eastAsia="宋体"/>
        </w:rPr>
        <w:tab/>
      </w:r>
      <w:r>
        <w:rPr>
          <w:rFonts w:ascii="宋体" w:hAnsi="宋体" w:eastAsia="宋体"/>
        </w:rPr>
        <w:fldChar w:fldCharType="begin"/>
      </w:r>
      <w:r>
        <w:rPr>
          <w:rFonts w:ascii="宋体" w:hAnsi="宋体" w:eastAsia="宋体"/>
        </w:rPr>
        <w:instrText xml:space="preserve"> PAGEREF _Toc214976545 \h </w:instrText>
      </w:r>
      <w:r>
        <w:rPr>
          <w:rFonts w:ascii="宋体" w:hAnsi="宋体" w:eastAsia="宋体"/>
        </w:rPr>
        <w:fldChar w:fldCharType="separate"/>
      </w:r>
      <w:r>
        <w:rPr>
          <w:rFonts w:ascii="宋体" w:hAnsi="宋体" w:eastAsia="宋体"/>
        </w:rPr>
        <w:t>41</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"_Toc214976546" </w:instrText>
      </w:r>
      <w:r>
        <w:fldChar w:fldCharType="separate"/>
      </w:r>
      <w:r>
        <w:rPr>
          <w:rStyle w:val="12"/>
          <w:rFonts w:hint="eastAsia" w:ascii="宋体" w:hAnsi="宋体" w:eastAsia="宋体"/>
          <w:u w:val="none"/>
        </w:rPr>
        <w:t>第八部分</w:t>
      </w:r>
      <w:r>
        <w:rPr>
          <w:rStyle w:val="12"/>
          <w:rFonts w:ascii="宋体" w:hAnsi="宋体" w:eastAsia="宋体"/>
          <w:u w:val="none"/>
        </w:rPr>
        <w:t xml:space="preserve">  </w:t>
      </w:r>
      <w:r>
        <w:rPr>
          <w:rStyle w:val="12"/>
          <w:rFonts w:hint="eastAsia" w:ascii="宋体" w:hAnsi="宋体" w:eastAsia="宋体"/>
          <w:u w:val="none"/>
        </w:rPr>
        <w:t>基金份额的上市交易</w:t>
      </w:r>
      <w:r>
        <w:rPr>
          <w:rFonts w:ascii="宋体" w:hAnsi="宋体" w:eastAsia="宋体"/>
        </w:rPr>
        <w:tab/>
      </w:r>
      <w:r>
        <w:rPr>
          <w:rFonts w:ascii="宋体" w:hAnsi="宋体" w:eastAsia="宋体"/>
        </w:rPr>
        <w:fldChar w:fldCharType="begin"/>
      </w:r>
      <w:r>
        <w:rPr>
          <w:rFonts w:ascii="宋体" w:hAnsi="宋体" w:eastAsia="宋体"/>
        </w:rPr>
        <w:instrText xml:space="preserve"> PAGEREF _Toc214976546 \h </w:instrText>
      </w:r>
      <w:r>
        <w:rPr>
          <w:rFonts w:ascii="宋体" w:hAnsi="宋体" w:eastAsia="宋体"/>
        </w:rPr>
        <w:fldChar w:fldCharType="separate"/>
      </w:r>
      <w:r>
        <w:rPr>
          <w:rFonts w:ascii="宋体" w:hAnsi="宋体" w:eastAsia="宋体"/>
        </w:rPr>
        <w:t>42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"_Toc214976547" </w:instrText>
      </w:r>
      <w:r>
        <w:fldChar w:fldCharType="separate"/>
      </w:r>
      <w:r>
        <w:rPr>
          <w:rStyle w:val="12"/>
          <w:rFonts w:hint="eastAsia" w:ascii="宋体" w:hAnsi="宋体" w:eastAsia="宋体"/>
          <w:u w:val="none"/>
        </w:rPr>
        <w:t>第九部分</w:t>
      </w:r>
      <w:r>
        <w:rPr>
          <w:rStyle w:val="12"/>
          <w:rFonts w:ascii="宋体" w:hAnsi="宋体" w:eastAsia="宋体"/>
          <w:u w:val="none"/>
        </w:rPr>
        <w:t xml:space="preserve">  </w:t>
      </w:r>
      <w:r>
        <w:rPr>
          <w:rStyle w:val="12"/>
          <w:rFonts w:hint="eastAsia" w:ascii="宋体" w:hAnsi="宋体" w:eastAsia="宋体"/>
          <w:u w:val="none"/>
        </w:rPr>
        <w:t>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_Toc214976547 \h </w:instrText>
      </w:r>
      <w:r>
        <w:rPr>
          <w:rFonts w:ascii="宋体" w:hAnsi="宋体" w:eastAsia="宋体"/>
        </w:rPr>
        <w:fldChar w:fldCharType="separate"/>
      </w:r>
      <w:r>
        <w:rPr>
          <w:rFonts w:ascii="宋体" w:hAnsi="宋体" w:eastAsia="宋体"/>
        </w:rPr>
        <w:t>44</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"_Toc214976548" </w:instrText>
      </w:r>
      <w:r>
        <w:fldChar w:fldCharType="separate"/>
      </w:r>
      <w:r>
        <w:rPr>
          <w:rStyle w:val="12"/>
          <w:rFonts w:hint="eastAsia" w:ascii="宋体" w:hAnsi="宋体" w:eastAsia="宋体"/>
          <w:u w:val="none"/>
        </w:rPr>
        <w:t>第十部分</w:t>
      </w:r>
      <w:r>
        <w:rPr>
          <w:rStyle w:val="12"/>
          <w:rFonts w:ascii="宋体" w:hAnsi="宋体" w:eastAsia="宋体"/>
          <w:u w:val="none"/>
        </w:rPr>
        <w:t xml:space="preserve">  </w:t>
      </w:r>
      <w:r>
        <w:rPr>
          <w:rStyle w:val="12"/>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_Toc214976548 \h </w:instrText>
      </w:r>
      <w:r>
        <w:rPr>
          <w:rFonts w:ascii="宋体" w:hAnsi="宋体" w:eastAsia="宋体"/>
        </w:rPr>
        <w:fldChar w:fldCharType="separate"/>
      </w:r>
      <w:r>
        <w:rPr>
          <w:rFonts w:ascii="宋体" w:hAnsi="宋体" w:eastAsia="宋体"/>
        </w:rPr>
        <w:t>58</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"_Toc214976549" </w:instrText>
      </w:r>
      <w:r>
        <w:fldChar w:fldCharType="separate"/>
      </w:r>
      <w:r>
        <w:rPr>
          <w:rStyle w:val="12"/>
          <w:rFonts w:hint="eastAsia" w:ascii="宋体" w:hAnsi="宋体" w:eastAsia="宋体"/>
          <w:u w:val="none"/>
        </w:rPr>
        <w:t>第十一部分</w:t>
      </w:r>
      <w:r>
        <w:rPr>
          <w:rStyle w:val="12"/>
          <w:rFonts w:ascii="宋体" w:hAnsi="宋体" w:eastAsia="宋体"/>
          <w:u w:val="none"/>
        </w:rPr>
        <w:t xml:space="preserve"> </w:t>
      </w:r>
      <w:r>
        <w:rPr>
          <w:rStyle w:val="12"/>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_Toc214976549 \h </w:instrText>
      </w:r>
      <w:r>
        <w:rPr>
          <w:rFonts w:ascii="宋体" w:hAnsi="宋体" w:eastAsia="宋体"/>
        </w:rPr>
        <w:fldChar w:fldCharType="separate"/>
      </w:r>
      <w:r>
        <w:rPr>
          <w:rFonts w:ascii="宋体" w:hAnsi="宋体" w:eastAsia="宋体"/>
        </w:rPr>
        <w:t>71</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"_Toc214976550" </w:instrText>
      </w:r>
      <w:r>
        <w:fldChar w:fldCharType="separate"/>
      </w:r>
      <w:r>
        <w:rPr>
          <w:rStyle w:val="12"/>
          <w:rFonts w:hint="eastAsia" w:ascii="宋体" w:hAnsi="宋体" w:eastAsia="宋体"/>
          <w:u w:val="none"/>
        </w:rPr>
        <w:t>第十二部分</w:t>
      </w:r>
      <w:r>
        <w:rPr>
          <w:rStyle w:val="12"/>
          <w:rFonts w:ascii="宋体" w:hAnsi="宋体" w:eastAsia="宋体"/>
          <w:u w:val="none"/>
        </w:rPr>
        <w:t xml:space="preserve">  </w:t>
      </w:r>
      <w:r>
        <w:rPr>
          <w:rStyle w:val="12"/>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_Toc214976550 \h </w:instrText>
      </w:r>
      <w:r>
        <w:rPr>
          <w:rFonts w:ascii="宋体" w:hAnsi="宋体" w:eastAsia="宋体"/>
        </w:rPr>
        <w:fldChar w:fldCharType="separate"/>
      </w:r>
      <w:r>
        <w:rPr>
          <w:rFonts w:ascii="宋体" w:hAnsi="宋体" w:eastAsia="宋体"/>
        </w:rPr>
        <w:t>72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"_Toc214976551" </w:instrText>
      </w:r>
      <w:r>
        <w:fldChar w:fldCharType="separate"/>
      </w:r>
      <w:r>
        <w:rPr>
          <w:rStyle w:val="12"/>
          <w:rFonts w:hint="eastAsia" w:ascii="宋体" w:hAnsi="宋体" w:eastAsia="宋体"/>
          <w:u w:val="none"/>
        </w:rPr>
        <w:t>第十三部分</w:t>
      </w:r>
      <w:r>
        <w:rPr>
          <w:rStyle w:val="12"/>
          <w:rFonts w:ascii="宋体" w:hAnsi="宋体" w:eastAsia="宋体"/>
          <w:u w:val="none"/>
        </w:rPr>
        <w:t xml:space="preserve">  </w:t>
      </w:r>
      <w:r>
        <w:rPr>
          <w:rStyle w:val="12"/>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_Toc214976551 \h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"_Toc214976552" </w:instrText>
      </w:r>
      <w:r>
        <w:fldChar w:fldCharType="separate"/>
      </w:r>
      <w:r>
        <w:rPr>
          <w:rStyle w:val="12"/>
          <w:rFonts w:hint="eastAsia" w:ascii="宋体" w:hAnsi="宋体" w:eastAsia="宋体"/>
          <w:u w:val="none"/>
        </w:rPr>
        <w:t>第十四部分</w:t>
      </w:r>
      <w:r>
        <w:rPr>
          <w:rStyle w:val="12"/>
          <w:rFonts w:ascii="宋体" w:hAnsi="宋体" w:eastAsia="宋体"/>
          <w:u w:val="none"/>
        </w:rPr>
        <w:t xml:space="preserve">  </w:t>
      </w:r>
      <w:r>
        <w:rPr>
          <w:rStyle w:val="12"/>
          <w:rFonts w:hint="eastAsia" w:ascii="宋体" w:hAnsi="宋体" w:eastAsia="宋体"/>
          <w:u w:val="none"/>
        </w:rPr>
        <w:t>基金的收益与分配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_Toc214976552 \h </w:instrText>
      </w:r>
      <w:r>
        <w:rPr>
          <w:rFonts w:ascii="宋体" w:hAnsi="宋体" w:eastAsia="宋体"/>
        </w:rPr>
        <w:fldChar w:fldCharType="separate"/>
      </w:r>
      <w:r>
        <w:rPr>
          <w:rFonts w:ascii="宋体" w:hAnsi="宋体" w:eastAsia="宋体"/>
        </w:rPr>
        <w:t>78</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"_Toc214976553" </w:instrText>
      </w:r>
      <w:r>
        <w:fldChar w:fldCharType="separate"/>
      </w:r>
      <w:r>
        <w:rPr>
          <w:rStyle w:val="12"/>
          <w:rFonts w:hint="eastAsia" w:ascii="宋体" w:hAnsi="宋体" w:eastAsia="宋体"/>
          <w:u w:val="none"/>
        </w:rPr>
        <w:t>第十五部分</w:t>
      </w:r>
      <w:r>
        <w:rPr>
          <w:rStyle w:val="12"/>
          <w:rFonts w:ascii="宋体" w:hAnsi="宋体" w:eastAsia="宋体"/>
          <w:u w:val="none"/>
        </w:rPr>
        <w:t xml:space="preserve">  </w:t>
      </w:r>
      <w:r>
        <w:rPr>
          <w:rStyle w:val="12"/>
          <w:rFonts w:hint="eastAsia" w:ascii="宋体" w:hAnsi="宋体" w:eastAsia="宋体"/>
          <w:u w:val="none"/>
        </w:rPr>
        <w:t>基金的费用与税收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_Toc214976553 \h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"_Toc214976554" </w:instrText>
      </w:r>
      <w:r>
        <w:fldChar w:fldCharType="separate"/>
      </w:r>
      <w:r>
        <w:rPr>
          <w:rStyle w:val="12"/>
          <w:rFonts w:hint="eastAsia" w:ascii="宋体" w:hAnsi="宋体" w:eastAsia="宋体"/>
          <w:u w:val="none"/>
        </w:rPr>
        <w:t>第十六部分</w:t>
      </w:r>
      <w:r>
        <w:rPr>
          <w:rStyle w:val="12"/>
          <w:rFonts w:ascii="宋体" w:hAnsi="宋体" w:eastAsia="宋体"/>
          <w:u w:val="none"/>
        </w:rPr>
        <w:t xml:space="preserve">  </w:t>
      </w:r>
      <w:r>
        <w:rPr>
          <w:rStyle w:val="12"/>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_Toc214976554 \h </w:instrText>
      </w:r>
      <w:r>
        <w:rPr>
          <w:rFonts w:ascii="宋体" w:hAnsi="宋体" w:eastAsia="宋体"/>
        </w:rPr>
        <w:fldChar w:fldCharType="separate"/>
      </w:r>
      <w:r>
        <w:rPr>
          <w:rFonts w:ascii="宋体" w:hAnsi="宋体" w:eastAsia="宋体"/>
        </w:rPr>
        <w:t>82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"_Toc214976555" </w:instrText>
      </w:r>
      <w:r>
        <w:fldChar w:fldCharType="separate"/>
      </w:r>
      <w:r>
        <w:rPr>
          <w:rStyle w:val="12"/>
          <w:rFonts w:hint="eastAsia" w:ascii="宋体" w:hAnsi="宋体" w:eastAsia="宋体"/>
          <w:u w:val="none"/>
        </w:rPr>
        <w:t>第十七部分</w:t>
      </w:r>
      <w:r>
        <w:rPr>
          <w:rStyle w:val="12"/>
          <w:rFonts w:ascii="宋体" w:hAnsi="宋体" w:eastAsia="宋体"/>
          <w:u w:val="none"/>
        </w:rPr>
        <w:t xml:space="preserve">  </w:t>
      </w:r>
      <w:r>
        <w:rPr>
          <w:rStyle w:val="12"/>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_Toc214976555 \h </w:instrText>
      </w:r>
      <w:r>
        <w:rPr>
          <w:rFonts w:ascii="宋体" w:hAnsi="宋体" w:eastAsia="宋体"/>
        </w:rPr>
        <w:fldChar w:fldCharType="separate"/>
      </w:r>
      <w:r>
        <w:rPr>
          <w:rFonts w:ascii="宋体" w:hAnsi="宋体" w:eastAsia="宋体"/>
        </w:rPr>
        <w:t>83</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"_Toc214976556" </w:instrText>
      </w:r>
      <w:r>
        <w:fldChar w:fldCharType="separate"/>
      </w:r>
      <w:r>
        <w:rPr>
          <w:rStyle w:val="12"/>
          <w:rFonts w:hint="eastAsia" w:ascii="宋体" w:hAnsi="宋体" w:eastAsia="宋体"/>
          <w:u w:val="none"/>
        </w:rPr>
        <w:t>第十八部分</w:t>
      </w:r>
      <w:r>
        <w:rPr>
          <w:rStyle w:val="12"/>
          <w:rFonts w:ascii="宋体" w:hAnsi="宋体" w:eastAsia="宋体"/>
          <w:u w:val="none"/>
        </w:rPr>
        <w:t xml:space="preserve">  </w:t>
      </w:r>
      <w:r>
        <w:rPr>
          <w:rStyle w:val="12"/>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_Toc214976556 \h </w:instrText>
      </w:r>
      <w:r>
        <w:rPr>
          <w:rFonts w:ascii="宋体" w:hAnsi="宋体" w:eastAsia="宋体"/>
        </w:rPr>
        <w:fldChar w:fldCharType="separate"/>
      </w:r>
      <w:r>
        <w:rPr>
          <w:rFonts w:ascii="宋体" w:hAnsi="宋体" w:eastAsia="宋体"/>
        </w:rPr>
        <w:t>90</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"_Toc214976557" </w:instrText>
      </w:r>
      <w:r>
        <w:fldChar w:fldCharType="separate"/>
      </w:r>
      <w:r>
        <w:rPr>
          <w:rStyle w:val="12"/>
          <w:rFonts w:hint="eastAsia" w:ascii="宋体" w:hAnsi="宋体" w:eastAsia="宋体"/>
          <w:u w:val="none"/>
        </w:rPr>
        <w:t>第十九部分</w:t>
      </w:r>
      <w:r>
        <w:rPr>
          <w:rStyle w:val="12"/>
          <w:rFonts w:ascii="宋体" w:hAnsi="宋体" w:eastAsia="宋体"/>
          <w:u w:val="none"/>
        </w:rPr>
        <w:t xml:space="preserve">  </w:t>
      </w:r>
      <w:r>
        <w:rPr>
          <w:rStyle w:val="12"/>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_Toc214976557 \h </w:instrText>
      </w:r>
      <w:r>
        <w:rPr>
          <w:rFonts w:ascii="宋体" w:hAnsi="宋体" w:eastAsia="宋体"/>
        </w:rPr>
        <w:fldChar w:fldCharType="separate"/>
      </w:r>
      <w:r>
        <w:rPr>
          <w:rFonts w:ascii="宋体" w:hAnsi="宋体" w:eastAsia="宋体"/>
        </w:rPr>
        <w:t>99</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"_Toc214976558" </w:instrText>
      </w:r>
      <w:r>
        <w:fldChar w:fldCharType="separate"/>
      </w:r>
      <w:r>
        <w:rPr>
          <w:rStyle w:val="12"/>
          <w:rFonts w:hint="eastAsia" w:ascii="宋体" w:hAnsi="宋体" w:eastAsia="宋体"/>
          <w:u w:val="none"/>
        </w:rPr>
        <w:t>第二十部分</w:t>
      </w:r>
      <w:r>
        <w:rPr>
          <w:rStyle w:val="12"/>
          <w:rFonts w:ascii="宋体" w:hAnsi="宋体" w:eastAsia="宋体"/>
          <w:u w:val="none"/>
        </w:rPr>
        <w:t xml:space="preserve">  </w:t>
      </w:r>
      <w:r>
        <w:rPr>
          <w:rStyle w:val="12"/>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_Toc214976558 \h </w:instrText>
      </w:r>
      <w:r>
        <w:rPr>
          <w:rFonts w:ascii="宋体" w:hAnsi="宋体" w:eastAsia="宋体"/>
        </w:rPr>
        <w:fldChar w:fldCharType="separate"/>
      </w:r>
      <w:r>
        <w:rPr>
          <w:rFonts w:ascii="宋体" w:hAnsi="宋体" w:eastAsia="宋体"/>
        </w:rPr>
        <w:t>101</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"_Toc214976559" </w:instrText>
      </w:r>
      <w:r>
        <w:fldChar w:fldCharType="separate"/>
      </w:r>
      <w:r>
        <w:rPr>
          <w:rStyle w:val="12"/>
          <w:rFonts w:hint="eastAsia" w:ascii="宋体" w:hAnsi="宋体" w:eastAsia="宋体"/>
          <w:u w:val="none"/>
        </w:rPr>
        <w:t>第二十一部分</w:t>
      </w:r>
      <w:r>
        <w:rPr>
          <w:rStyle w:val="12"/>
          <w:rFonts w:ascii="宋体" w:hAnsi="宋体" w:eastAsia="宋体"/>
          <w:u w:val="none"/>
        </w:rPr>
        <w:t xml:space="preserve">  </w:t>
      </w:r>
      <w:r>
        <w:rPr>
          <w:rStyle w:val="12"/>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_Toc214976559 \h </w:instrText>
      </w:r>
      <w:r>
        <w:rPr>
          <w:rFonts w:ascii="宋体" w:hAnsi="宋体" w:eastAsia="宋体"/>
        </w:rPr>
        <w:fldChar w:fldCharType="separate"/>
      </w:r>
      <w:r>
        <w:rPr>
          <w:rFonts w:ascii="宋体" w:hAnsi="宋体" w:eastAsia="宋体"/>
        </w:rPr>
        <w:t>117</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"_Toc214976560" </w:instrText>
      </w:r>
      <w:r>
        <w:fldChar w:fldCharType="separate"/>
      </w:r>
      <w:r>
        <w:rPr>
          <w:rStyle w:val="12"/>
          <w:rFonts w:hint="eastAsia" w:ascii="宋体" w:hAnsi="宋体" w:eastAsia="宋体"/>
          <w:u w:val="none"/>
        </w:rPr>
        <w:t>第二十二部分</w:t>
      </w:r>
      <w:r>
        <w:rPr>
          <w:rStyle w:val="12"/>
          <w:rFonts w:ascii="宋体" w:hAnsi="宋体" w:eastAsia="宋体"/>
          <w:u w:val="none"/>
        </w:rPr>
        <w:t xml:space="preserve">  </w:t>
      </w:r>
      <w:r>
        <w:rPr>
          <w:rStyle w:val="12"/>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_Toc214976560 \h </w:instrText>
      </w:r>
      <w:r>
        <w:rPr>
          <w:rFonts w:ascii="宋体" w:hAnsi="宋体" w:eastAsia="宋体"/>
        </w:rPr>
        <w:fldChar w:fldCharType="separate"/>
      </w:r>
      <w:r>
        <w:rPr>
          <w:rFonts w:ascii="宋体" w:hAnsi="宋体" w:eastAsia="宋体"/>
        </w:rPr>
        <w:t>137</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"_Toc214976561" </w:instrText>
      </w:r>
      <w:r>
        <w:fldChar w:fldCharType="separate"/>
      </w:r>
      <w:r>
        <w:rPr>
          <w:rStyle w:val="12"/>
          <w:rFonts w:hint="eastAsia" w:ascii="宋体" w:hAnsi="宋体" w:eastAsia="宋体"/>
          <w:u w:val="none"/>
        </w:rPr>
        <w:t>第二十三部分</w:t>
      </w:r>
      <w:r>
        <w:rPr>
          <w:rStyle w:val="12"/>
          <w:rFonts w:ascii="宋体" w:hAnsi="宋体" w:eastAsia="宋体"/>
          <w:u w:val="none"/>
        </w:rPr>
        <w:t xml:space="preserve"> </w:t>
      </w:r>
      <w:r>
        <w:rPr>
          <w:rStyle w:val="12"/>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_Toc214976561 \h </w:instrText>
      </w:r>
      <w:r>
        <w:rPr>
          <w:rFonts w:ascii="宋体" w:hAnsi="宋体" w:eastAsia="宋体"/>
        </w:rPr>
        <w:fldChar w:fldCharType="separate"/>
      </w:r>
      <w:r>
        <w:rPr>
          <w:rFonts w:ascii="宋体" w:hAnsi="宋体" w:eastAsia="宋体"/>
        </w:rPr>
        <w:t>138</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"_Toc214976562" </w:instrText>
      </w:r>
      <w:r>
        <w:fldChar w:fldCharType="separate"/>
      </w:r>
      <w:r>
        <w:rPr>
          <w:rStyle w:val="12"/>
          <w:rFonts w:hint="eastAsia" w:ascii="宋体" w:hAnsi="宋体" w:eastAsia="宋体"/>
          <w:u w:val="none"/>
        </w:rPr>
        <w:t>第二十四部分</w:t>
      </w:r>
      <w:r>
        <w:rPr>
          <w:rStyle w:val="12"/>
          <w:rFonts w:ascii="宋体" w:hAnsi="宋体" w:eastAsia="宋体"/>
          <w:u w:val="none"/>
        </w:rPr>
        <w:t xml:space="preserve">  </w:t>
      </w:r>
      <w:r>
        <w:rPr>
          <w:rStyle w:val="12"/>
          <w:rFonts w:hint="eastAsia" w:ascii="宋体" w:hAnsi="宋体" w:eastAsia="宋体"/>
          <w:u w:val="none"/>
        </w:rPr>
        <w:t>招募说明书的存放及查阅方式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_Toc214976562 \h </w:instrText>
      </w:r>
      <w:r>
        <w:rPr>
          <w:rFonts w:ascii="宋体" w:hAnsi="宋体" w:eastAsia="宋体"/>
        </w:rPr>
        <w:fldChar w:fldCharType="separate"/>
      </w:r>
      <w:r>
        <w:rPr>
          <w:rFonts w:ascii="宋体" w:hAnsi="宋体" w:eastAsia="宋体"/>
        </w:rPr>
        <w:t>140</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"_Toc214976563" </w:instrText>
      </w:r>
      <w:r>
        <w:fldChar w:fldCharType="separate"/>
      </w:r>
      <w:r>
        <w:rPr>
          <w:rStyle w:val="12"/>
          <w:rFonts w:hint="eastAsia" w:ascii="宋体" w:hAnsi="宋体" w:eastAsia="宋体"/>
          <w:u w:val="none"/>
        </w:rPr>
        <w:t>第二十五部分</w:t>
      </w:r>
      <w:r>
        <w:rPr>
          <w:rStyle w:val="12"/>
          <w:rFonts w:ascii="宋体" w:hAnsi="宋体" w:eastAsia="宋体"/>
          <w:u w:val="none"/>
        </w:rPr>
        <w:t xml:space="preserve">  </w:t>
      </w:r>
      <w:r>
        <w:rPr>
          <w:rStyle w:val="12"/>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_Toc214976563 \h </w:instrText>
      </w:r>
      <w:r>
        <w:rPr>
          <w:rFonts w:ascii="宋体" w:hAnsi="宋体" w:eastAsia="宋体"/>
        </w:rPr>
        <w:fldChar w:fldCharType="separate"/>
      </w:r>
      <w:r>
        <w:rPr>
          <w:rFonts w:ascii="宋体" w:hAnsi="宋体" w:eastAsia="宋体"/>
        </w:rPr>
        <w:t>141</w:t>
      </w:r>
      <w:r>
        <w:rPr>
          <w:rFonts w:ascii="宋体" w:hAnsi="宋体" w:eastAsia="宋体"/>
        </w:rPr>
        <w:fldChar w:fldCharType="end"/>
      </w:r>
      <w:r>
        <w:rPr>
          <w:rFonts w:ascii="宋体" w:hAnsi="宋体" w:eastAsia="宋体"/>
        </w:rPr>
        <w:fldChar w:fldCharType="end"/>
      </w:r>
    </w:p>
    <w:p>
      <w:pPr>
        <w:widowControl/>
        <w:spacing w:line="360" w:lineRule="auto"/>
        <w:ind w:left="-2" w:leftChars="-1"/>
        <w:jc w:val="center"/>
        <w:rPr>
          <w:rFonts w:ascii="宋体" w:hAnsi="宋体" w:eastAsia="宋体"/>
          <w:b/>
          <w:sz w:val="28"/>
        </w:rPr>
      </w:pPr>
      <w:r>
        <w:rPr>
          <w:rFonts w:ascii="宋体" w:hAnsi="宋体" w:eastAsia="宋体"/>
        </w:rPr>
        <w:fldChar w:fldCharType="end"/>
      </w:r>
      <w:r>
        <w:rPr>
          <w:rFonts w:ascii="宋体" w:hAnsi="宋体" w:eastAsia="宋体"/>
          <w:b/>
          <w:sz w:val="28"/>
        </w:rPr>
        <w:br w:type="page"/>
      </w:r>
    </w:p>
    <w:p>
      <w:pPr>
        <w:pStyle w:val="2"/>
        <w:jc w:val="center"/>
        <w:rPr>
          <w:rFonts w:ascii="宋体" w:hAnsi="宋体" w:eastAsia="宋体"/>
          <w:sz w:val="30"/>
        </w:rPr>
      </w:pPr>
      <w:bookmarkStart w:id="4" w:name="chapter_level1_3_2344"/>
      <w:bookmarkStart w:id="5" w:name="_Toc214976513"/>
      <w:r>
        <w:rPr>
          <w:rFonts w:hint="eastAsia" w:ascii="宋体" w:hAnsi="宋体" w:eastAsia="宋体"/>
          <w:sz w:val="30"/>
        </w:rPr>
        <w:t>第一部分  绪言</w:t>
      </w:r>
      <w:bookmarkEnd w:id="4"/>
      <w:bookmarkEnd w:id="5"/>
    </w:p>
    <w:p>
      <w:pPr>
        <w:pStyle w:val="7"/>
        <w:spacing w:before="0" w:beforeAutospacing="0" w:after="0" w:afterAutospacing="0" w:line="360" w:lineRule="auto"/>
        <w:ind w:firstLine="420"/>
        <w:rPr>
          <w:sz w:val="21"/>
          <w:szCs w:val="21"/>
        </w:rPr>
      </w:pPr>
      <w:bookmarkStart w:id="6" w:name="chapter_level1_3_2344_section_1"/>
      <w:bookmarkEnd w:id="6"/>
      <w:r>
        <w:rPr>
          <w:rFonts w:hint="eastAsia"/>
          <w:sz w:val="21"/>
          <w:szCs w:val="21"/>
        </w:rPr>
        <w:t>《</w:t>
      </w:r>
      <w:bookmarkStart w:id="7" w:name="field_0_productfullname_3"/>
      <w:r>
        <w:rPr>
          <w:rFonts w:hint="eastAsia"/>
          <w:sz w:val="21"/>
          <w:szCs w:val="21"/>
        </w:rPr>
        <w:t>博时中证全指自由现金流交易型开放式指数证券投资基金</w:t>
      </w:r>
      <w:bookmarkEnd w:id="7"/>
      <w:r>
        <w:rPr>
          <w:rFonts w:hint="eastAsia"/>
          <w:sz w:val="21"/>
          <w:szCs w:val="21"/>
        </w:rPr>
        <w:t>招募说明书》（以下简称“招募说明书”或“本招募说明书”）依照《中华人民共和国民法典》、《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公开募集证券投资基金运作指引第3号——指数基金指引》（以下简称“《指数基金指引》”）以及《</w:t>
      </w:r>
      <w:bookmarkStart w:id="8" w:name="field_0_productfullname_4"/>
      <w:r>
        <w:rPr>
          <w:rFonts w:hint="eastAsia"/>
          <w:sz w:val="21"/>
          <w:szCs w:val="21"/>
        </w:rPr>
        <w:t>博时中证全指自由现金流交易型开放式指数证券投资基金</w:t>
      </w:r>
      <w:bookmarkEnd w:id="8"/>
      <w:r>
        <w:rPr>
          <w:rFonts w:hint="eastAsia"/>
          <w:sz w:val="21"/>
          <w:szCs w:val="21"/>
        </w:rPr>
        <w:t>基金合同》（以下简称“基金合同”）编写。</w:t>
      </w:r>
    </w:p>
    <w:p>
      <w:pPr>
        <w:pStyle w:val="7"/>
        <w:spacing w:before="0" w:beforeAutospacing="0" w:after="0" w:afterAutospacing="0" w:line="360" w:lineRule="auto"/>
        <w:ind w:firstLine="420"/>
        <w:rPr>
          <w:sz w:val="21"/>
          <w:szCs w:val="21"/>
        </w:rPr>
      </w:pPr>
      <w:r>
        <w:rPr>
          <w:rFonts w:hint="eastAsia"/>
          <w:sz w:val="21"/>
          <w:szCs w:val="21"/>
        </w:rPr>
        <w:t>本招募说明书阐述了</w:t>
      </w:r>
      <w:bookmarkStart w:id="9" w:name="field_0_productfullname_5"/>
      <w:r>
        <w:rPr>
          <w:rFonts w:hint="eastAsia"/>
          <w:sz w:val="21"/>
          <w:szCs w:val="21"/>
        </w:rPr>
        <w:t>博时中证全指自由现金流交易型开放式指数证券投资基金</w:t>
      </w:r>
      <w:bookmarkEnd w:id="9"/>
      <w:r>
        <w:rPr>
          <w:rFonts w:hint="eastAsia"/>
          <w:sz w:val="21"/>
          <w:szCs w:val="21"/>
        </w:rPr>
        <w:t>的投资目标、策略、风险、费率等与投资人投资决策有关的必要事项，投资人在作出投资决策前应仔细阅读本招募说明书。</w:t>
      </w:r>
    </w:p>
    <w:p>
      <w:pPr>
        <w:pStyle w:val="7"/>
        <w:spacing w:before="0" w:beforeAutospacing="0" w:after="0" w:afterAutospacing="0" w:line="360" w:lineRule="auto"/>
        <w:ind w:firstLine="420"/>
        <w:rPr>
          <w:sz w:val="21"/>
          <w:szCs w:val="21"/>
        </w:rPr>
      </w:pPr>
      <w:r>
        <w:rPr>
          <w:rFonts w:hint="eastAsia"/>
          <w:sz w:val="21"/>
          <w:szCs w:val="21"/>
        </w:rPr>
        <w:t>基金管理人承诺本招募说明书不存在任何虚假记载、误导性陈述或重大遗漏，并对其真实性、准确性、完整性承担法律责任。</w:t>
      </w:r>
    </w:p>
    <w:p>
      <w:pPr>
        <w:pStyle w:val="7"/>
        <w:spacing w:before="0" w:beforeAutospacing="0" w:after="0" w:afterAutospacing="0" w:line="360" w:lineRule="auto"/>
        <w:ind w:firstLine="420"/>
        <w:rPr>
          <w:sz w:val="21"/>
          <w:szCs w:val="21"/>
        </w:rPr>
      </w:pPr>
      <w:bookmarkStart w:id="10" w:name="field_0_productfullname_6"/>
      <w:r>
        <w:rPr>
          <w:rFonts w:hint="eastAsia"/>
          <w:sz w:val="21"/>
          <w:szCs w:val="21"/>
        </w:rPr>
        <w:t>博时中证全指自由现金流交易型开放式指数证券投资基金</w:t>
      </w:r>
      <w:bookmarkEnd w:id="10"/>
      <w:r>
        <w:rPr>
          <w:rFonts w:hint="eastAsia"/>
          <w:sz w:val="21"/>
          <w:szCs w:val="21"/>
        </w:rPr>
        <w:t>（以下简称“基金”或“本基金”）是根据本招募说明书所载明的资料申请募集的。本基金管理人没有委托或授权任何其他人提供未在本招募说明书中载明的信息，或对本招募说明书作任何解释或者说明。</w:t>
      </w:r>
    </w:p>
    <w:p>
      <w:pPr>
        <w:pStyle w:val="7"/>
        <w:spacing w:before="0" w:beforeAutospacing="0" w:after="0" w:afterAutospacing="0" w:line="360" w:lineRule="auto"/>
        <w:ind w:firstLine="420"/>
        <w:rPr>
          <w:sz w:val="21"/>
          <w:szCs w:val="21"/>
        </w:rPr>
      </w:pPr>
      <w:r>
        <w:rPr>
          <w:rFonts w:hint="eastAsia"/>
          <w:sz w:val="21"/>
          <w:szCs w:val="21"/>
        </w:rPr>
        <w:t>本招募说明书根据本基金的基金合同编写，并经中国证券监督管理委员会（以下简称“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w:t>
      </w:r>
      <w:bookmarkStart w:id="11" w:name="chapter_level1_3_2344_section_1_end"/>
      <w:bookmarkEnd w:id="11"/>
      <w:r>
        <w:rPr>
          <w:rFonts w:hint="eastAsia"/>
          <w:sz w:val="21"/>
          <w:szCs w:val="21"/>
        </w:rPr>
        <w:t>金合同。</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2" w:name="chapter_level1_4_49"/>
      <w:bookmarkStart w:id="13" w:name="_Toc214976514"/>
      <w:r>
        <w:rPr>
          <w:rFonts w:hint="eastAsia" w:ascii="宋体" w:hAnsi="宋体" w:eastAsia="宋体"/>
          <w:sz w:val="30"/>
        </w:rPr>
        <w:t>第二部分  释义</w:t>
      </w:r>
      <w:bookmarkEnd w:id="12"/>
      <w:bookmarkEnd w:id="13"/>
    </w:p>
    <w:p>
      <w:pPr>
        <w:pStyle w:val="7"/>
        <w:spacing w:before="0" w:beforeAutospacing="0" w:after="0" w:afterAutospacing="0" w:line="360" w:lineRule="auto"/>
        <w:ind w:firstLine="420"/>
        <w:rPr>
          <w:sz w:val="21"/>
          <w:szCs w:val="21"/>
        </w:rPr>
      </w:pPr>
      <w:bookmarkStart w:id="14" w:name="chapter_level1_4_49_section_1"/>
      <w:bookmarkEnd w:id="14"/>
      <w:r>
        <w:rPr>
          <w:rFonts w:hint="eastAsia"/>
          <w:sz w:val="21"/>
          <w:szCs w:val="21"/>
        </w:rPr>
        <w:t>在本基金招募说明书中，除非文意另有所指，下列词语或简称具有如下含义：</w:t>
      </w:r>
    </w:p>
    <w:p>
      <w:pPr>
        <w:pStyle w:val="7"/>
        <w:spacing w:before="0" w:beforeAutospacing="0" w:after="0" w:afterAutospacing="0" w:line="360" w:lineRule="auto"/>
        <w:ind w:firstLine="420"/>
        <w:rPr>
          <w:sz w:val="21"/>
          <w:szCs w:val="21"/>
        </w:rPr>
      </w:pPr>
      <w:r>
        <w:rPr>
          <w:rFonts w:hint="eastAsia"/>
          <w:sz w:val="21"/>
          <w:szCs w:val="21"/>
        </w:rPr>
        <w:t>1. 基金或本基金：指</w:t>
      </w:r>
      <w:bookmarkStart w:id="15" w:name="field_0_productfullname_7"/>
      <w:r>
        <w:rPr>
          <w:rFonts w:hint="eastAsia"/>
          <w:sz w:val="21"/>
          <w:szCs w:val="21"/>
        </w:rPr>
        <w:t>博时中证全指自由现金流交易型开放式指数证券投资基金</w:t>
      </w:r>
      <w:bookmarkEnd w:id="15"/>
    </w:p>
    <w:p>
      <w:pPr>
        <w:pStyle w:val="7"/>
        <w:spacing w:before="0" w:beforeAutospacing="0" w:after="0" w:afterAutospacing="0" w:line="360" w:lineRule="auto"/>
        <w:ind w:firstLine="420"/>
        <w:rPr>
          <w:sz w:val="21"/>
          <w:szCs w:val="21"/>
        </w:rPr>
      </w:pPr>
      <w:r>
        <w:rPr>
          <w:rFonts w:hint="eastAsia"/>
          <w:sz w:val="21"/>
          <w:szCs w:val="21"/>
        </w:rPr>
        <w:t>2. 基金管理人：指博时基金管理有限公司</w:t>
      </w:r>
    </w:p>
    <w:p>
      <w:pPr>
        <w:pStyle w:val="7"/>
        <w:spacing w:before="0" w:beforeAutospacing="0" w:after="0" w:afterAutospacing="0" w:line="360" w:lineRule="auto"/>
        <w:ind w:firstLine="420"/>
        <w:rPr>
          <w:sz w:val="21"/>
          <w:szCs w:val="21"/>
        </w:rPr>
      </w:pPr>
      <w:r>
        <w:rPr>
          <w:rFonts w:hint="eastAsia"/>
          <w:sz w:val="21"/>
          <w:szCs w:val="21"/>
        </w:rPr>
        <w:t>3. 基金托管人：指</w:t>
      </w:r>
      <w:bookmarkStart w:id="16" w:name="field_0_trustorgfullname_1"/>
      <w:r>
        <w:rPr>
          <w:rFonts w:hint="eastAsia"/>
          <w:sz w:val="21"/>
          <w:szCs w:val="21"/>
        </w:rPr>
        <w:t>中信银行股份有限公司</w:t>
      </w:r>
      <w:bookmarkEnd w:id="16"/>
    </w:p>
    <w:p>
      <w:pPr>
        <w:pStyle w:val="7"/>
        <w:spacing w:before="0" w:beforeAutospacing="0" w:after="0" w:afterAutospacing="0" w:line="360" w:lineRule="auto"/>
        <w:ind w:firstLine="420"/>
        <w:rPr>
          <w:sz w:val="21"/>
          <w:szCs w:val="21"/>
        </w:rPr>
      </w:pPr>
      <w:r>
        <w:rPr>
          <w:rFonts w:hint="eastAsia"/>
          <w:sz w:val="21"/>
          <w:szCs w:val="21"/>
        </w:rPr>
        <w:t>4. 基金合同：指《</w:t>
      </w:r>
      <w:bookmarkStart w:id="17" w:name="field_0_productfullname_8"/>
      <w:r>
        <w:rPr>
          <w:rFonts w:hint="eastAsia"/>
          <w:sz w:val="21"/>
          <w:szCs w:val="21"/>
        </w:rPr>
        <w:t>博时中证全指自由现金流交易型开放式指数证券投资基金</w:t>
      </w:r>
      <w:bookmarkEnd w:id="17"/>
      <w:r>
        <w:rPr>
          <w:rFonts w:hint="eastAsia"/>
          <w:sz w:val="21"/>
          <w:szCs w:val="21"/>
        </w:rPr>
        <w:t>基金合同》及对基金合同的任何有效修订和补充</w:t>
      </w:r>
    </w:p>
    <w:p>
      <w:pPr>
        <w:pStyle w:val="7"/>
        <w:spacing w:before="0" w:beforeAutospacing="0" w:after="0" w:afterAutospacing="0" w:line="360" w:lineRule="auto"/>
        <w:ind w:firstLine="420"/>
        <w:rPr>
          <w:sz w:val="21"/>
          <w:szCs w:val="21"/>
        </w:rPr>
      </w:pPr>
      <w:r>
        <w:rPr>
          <w:rFonts w:hint="eastAsia"/>
          <w:sz w:val="21"/>
          <w:szCs w:val="21"/>
        </w:rPr>
        <w:t>5. 托管协议：指基金管理人与基金托管人就本基金签订之《</w:t>
      </w:r>
      <w:bookmarkStart w:id="18" w:name="field_0_productfullname_9"/>
      <w:r>
        <w:rPr>
          <w:rFonts w:hint="eastAsia"/>
          <w:sz w:val="21"/>
          <w:szCs w:val="21"/>
        </w:rPr>
        <w:t>博时中证全指自由现金流交易型开放式指数证券投资基金</w:t>
      </w:r>
      <w:bookmarkEnd w:id="18"/>
      <w:r>
        <w:rPr>
          <w:rFonts w:hint="eastAsia"/>
          <w:sz w:val="21"/>
          <w:szCs w:val="21"/>
        </w:rPr>
        <w:t>托管协议》及对该托管协议的任何有效修订和补充</w:t>
      </w:r>
    </w:p>
    <w:p>
      <w:pPr>
        <w:pStyle w:val="7"/>
        <w:spacing w:before="0" w:beforeAutospacing="0" w:after="0" w:afterAutospacing="0" w:line="360" w:lineRule="auto"/>
        <w:ind w:firstLine="420"/>
        <w:rPr>
          <w:sz w:val="21"/>
          <w:szCs w:val="21"/>
        </w:rPr>
      </w:pPr>
      <w:r>
        <w:rPr>
          <w:rFonts w:hint="eastAsia"/>
          <w:sz w:val="21"/>
          <w:szCs w:val="21"/>
        </w:rPr>
        <w:t>6. 招募说明书或者本招募说明书：指《</w:t>
      </w:r>
      <w:bookmarkStart w:id="19" w:name="field_0_productfullname_10"/>
      <w:r>
        <w:rPr>
          <w:rFonts w:hint="eastAsia"/>
          <w:sz w:val="21"/>
          <w:szCs w:val="21"/>
        </w:rPr>
        <w:t>博时中证全指自由现金流交易型开放式指数证券投资基金</w:t>
      </w:r>
      <w:bookmarkEnd w:id="19"/>
      <w:r>
        <w:rPr>
          <w:rFonts w:hint="eastAsia"/>
          <w:sz w:val="21"/>
          <w:szCs w:val="21"/>
        </w:rPr>
        <w:t>招募说明书》及其更新</w:t>
      </w:r>
    </w:p>
    <w:p>
      <w:pPr>
        <w:pStyle w:val="7"/>
        <w:spacing w:before="0" w:beforeAutospacing="0" w:after="0" w:afterAutospacing="0" w:line="360" w:lineRule="auto"/>
        <w:ind w:firstLine="420"/>
        <w:rPr>
          <w:sz w:val="21"/>
          <w:szCs w:val="21"/>
        </w:rPr>
      </w:pPr>
      <w:r>
        <w:rPr>
          <w:rFonts w:hint="eastAsia"/>
          <w:sz w:val="21"/>
          <w:szCs w:val="21"/>
        </w:rPr>
        <w:t>7. 基金产品资料概要：指《</w:t>
      </w:r>
      <w:bookmarkStart w:id="20" w:name="field_0_productfullname_11"/>
      <w:r>
        <w:rPr>
          <w:rFonts w:hint="eastAsia"/>
          <w:sz w:val="21"/>
          <w:szCs w:val="21"/>
        </w:rPr>
        <w:t>博时中证全指自由现金流交易型开放式指数证券投资基金</w:t>
      </w:r>
      <w:bookmarkEnd w:id="20"/>
      <w:r>
        <w:rPr>
          <w:rFonts w:hint="eastAsia"/>
          <w:sz w:val="21"/>
          <w:szCs w:val="21"/>
        </w:rPr>
        <w:t>基金产品资料概要》及其更新</w:t>
      </w:r>
    </w:p>
    <w:p>
      <w:pPr>
        <w:pStyle w:val="7"/>
        <w:spacing w:before="0" w:beforeAutospacing="0" w:after="0" w:afterAutospacing="0" w:line="360" w:lineRule="auto"/>
        <w:ind w:firstLine="420"/>
        <w:rPr>
          <w:sz w:val="21"/>
          <w:szCs w:val="21"/>
        </w:rPr>
      </w:pPr>
      <w:r>
        <w:rPr>
          <w:rFonts w:hint="eastAsia"/>
          <w:sz w:val="21"/>
          <w:szCs w:val="21"/>
        </w:rPr>
        <w:t>8. 基金份额发售公告：指《</w:t>
      </w:r>
      <w:bookmarkStart w:id="21" w:name="field_0_productfullname_12"/>
      <w:r>
        <w:rPr>
          <w:rFonts w:hint="eastAsia"/>
          <w:sz w:val="21"/>
          <w:szCs w:val="21"/>
        </w:rPr>
        <w:t>博时中证全指自由现金流交易型开放式指数证券投资基金</w:t>
      </w:r>
      <w:bookmarkEnd w:id="21"/>
      <w:r>
        <w:rPr>
          <w:rFonts w:hint="eastAsia"/>
          <w:sz w:val="21"/>
          <w:szCs w:val="21"/>
        </w:rPr>
        <w:t>基金份额发售公告》</w:t>
      </w:r>
    </w:p>
    <w:p>
      <w:pPr>
        <w:pStyle w:val="7"/>
        <w:spacing w:before="0" w:beforeAutospacing="0" w:after="0" w:afterAutospacing="0" w:line="360" w:lineRule="auto"/>
        <w:ind w:firstLine="420"/>
        <w:rPr>
          <w:sz w:val="21"/>
          <w:szCs w:val="21"/>
        </w:rPr>
      </w:pPr>
      <w:r>
        <w:rPr>
          <w:rFonts w:hint="eastAsia"/>
          <w:sz w:val="21"/>
          <w:szCs w:val="21"/>
        </w:rPr>
        <w:t>9. 上市交易公告书：指《</w:t>
      </w:r>
      <w:bookmarkStart w:id="22" w:name="field_0_productfullname_13"/>
      <w:r>
        <w:rPr>
          <w:rFonts w:hint="eastAsia"/>
          <w:sz w:val="21"/>
          <w:szCs w:val="21"/>
        </w:rPr>
        <w:t>博时中证全指自由现金流交易型开放式指数证券投资基金</w:t>
      </w:r>
      <w:bookmarkEnd w:id="22"/>
      <w:r>
        <w:rPr>
          <w:rFonts w:hint="eastAsia"/>
          <w:sz w:val="21"/>
          <w:szCs w:val="21"/>
        </w:rPr>
        <w:t>上市交易公告书》</w:t>
      </w:r>
    </w:p>
    <w:p>
      <w:pPr>
        <w:pStyle w:val="7"/>
        <w:spacing w:before="0" w:beforeAutospacing="0" w:after="0" w:afterAutospacing="0" w:line="360" w:lineRule="auto"/>
        <w:ind w:firstLine="420"/>
        <w:rPr>
          <w:sz w:val="21"/>
          <w:szCs w:val="21"/>
        </w:rPr>
      </w:pPr>
      <w:r>
        <w:rPr>
          <w:rFonts w:hint="eastAsia"/>
          <w:sz w:val="21"/>
          <w:szCs w:val="21"/>
        </w:rPr>
        <w:t>10. 法律法规：指中国现行有效并公布实施的法律、行政法规、规范性文件、司法解释、行政规章以及其他对基金合同当事人有约束力的决定、决议、通知等</w:t>
      </w:r>
    </w:p>
    <w:p>
      <w:pPr>
        <w:pStyle w:val="7"/>
        <w:spacing w:before="0" w:beforeAutospacing="0" w:after="0" w:afterAutospacing="0" w:line="360" w:lineRule="auto"/>
        <w:ind w:firstLine="420"/>
        <w:rPr>
          <w:sz w:val="21"/>
          <w:szCs w:val="21"/>
        </w:rPr>
      </w:pPr>
      <w:r>
        <w:rPr>
          <w:rFonts w:hint="eastAsia"/>
          <w:sz w:val="21"/>
          <w:szCs w:val="21"/>
        </w:rPr>
        <w:t>11. 《基金法》：指2003年10月28日经第十届全国人民代表大会常务委员会第五次会议通过，经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w:t>
      </w:r>
    </w:p>
    <w:p>
      <w:pPr>
        <w:pStyle w:val="7"/>
        <w:spacing w:before="0" w:beforeAutospacing="0" w:after="0" w:afterAutospacing="0" w:line="360" w:lineRule="auto"/>
        <w:ind w:firstLine="420"/>
        <w:rPr>
          <w:sz w:val="21"/>
          <w:szCs w:val="21"/>
        </w:rPr>
      </w:pPr>
      <w:r>
        <w:rPr>
          <w:rFonts w:hint="eastAsia"/>
          <w:sz w:val="21"/>
          <w:szCs w:val="21"/>
        </w:rPr>
        <w:t>12. 《销售办法》：指中国证监会2020年8月28日颁布、同年10月1日实施的《公开募集证券投资基金销售机构监督管理办法》及颁布机关对其不时做出的修订</w:t>
      </w:r>
    </w:p>
    <w:p>
      <w:pPr>
        <w:pStyle w:val="7"/>
        <w:spacing w:before="0" w:beforeAutospacing="0" w:after="0" w:afterAutospacing="0" w:line="360" w:lineRule="auto"/>
        <w:ind w:firstLine="420"/>
        <w:rPr>
          <w:sz w:val="21"/>
          <w:szCs w:val="21"/>
        </w:rPr>
      </w:pPr>
      <w:r>
        <w:rPr>
          <w:rFonts w:hint="eastAsia"/>
          <w:sz w:val="21"/>
          <w:szCs w:val="21"/>
        </w:rPr>
        <w:t>13. 《信息披露办法》：指中国证监会2019年7月26日颁布、同年9月1日实施，并经2020年3月20日中国证监会《关于修改部分证券期货规章的决定》修正的《公开募集证券投资基金信息披露管理办法》及颁布机关对其不时做出的修订</w:t>
      </w:r>
    </w:p>
    <w:p>
      <w:pPr>
        <w:pStyle w:val="7"/>
        <w:spacing w:before="0" w:beforeAutospacing="0" w:after="0" w:afterAutospacing="0" w:line="360" w:lineRule="auto"/>
        <w:ind w:firstLine="420"/>
        <w:rPr>
          <w:sz w:val="21"/>
          <w:szCs w:val="21"/>
        </w:rPr>
      </w:pPr>
      <w:r>
        <w:rPr>
          <w:rFonts w:hint="eastAsia"/>
          <w:sz w:val="21"/>
          <w:szCs w:val="21"/>
        </w:rPr>
        <w:t>14. 《运作办法》：指中国证监会2014年7月7日颁布、同年8月8日实施的《公开募集证券投资基金运作管理办法》及颁布机关对其不时做出的修订</w:t>
      </w:r>
    </w:p>
    <w:p>
      <w:pPr>
        <w:pStyle w:val="7"/>
        <w:spacing w:before="0" w:beforeAutospacing="0" w:after="0" w:afterAutospacing="0" w:line="360" w:lineRule="auto"/>
        <w:ind w:firstLine="420"/>
        <w:rPr>
          <w:sz w:val="21"/>
          <w:szCs w:val="21"/>
        </w:rPr>
      </w:pPr>
      <w:r>
        <w:rPr>
          <w:rFonts w:hint="eastAsia"/>
          <w:sz w:val="21"/>
          <w:szCs w:val="21"/>
        </w:rPr>
        <w:t>15. 《流动性风险管理规定》：指中国证监会2017年8月31日颁布、同年10月1日实施的《公开募集开放式证券投资基金流动性风险管理规定》及颁布机关对其不时做出的修订</w:t>
      </w:r>
    </w:p>
    <w:p>
      <w:pPr>
        <w:pStyle w:val="7"/>
        <w:spacing w:before="0" w:beforeAutospacing="0" w:after="0" w:afterAutospacing="0" w:line="360" w:lineRule="auto"/>
        <w:ind w:firstLine="420"/>
        <w:rPr>
          <w:sz w:val="21"/>
          <w:szCs w:val="21"/>
        </w:rPr>
      </w:pPr>
      <w:r>
        <w:rPr>
          <w:rFonts w:hint="eastAsia"/>
          <w:sz w:val="21"/>
          <w:szCs w:val="21"/>
        </w:rPr>
        <w:t>16. 《指数基金指引》：指中国证监会2021年1月22日颁布、同年2月1日实施的《公开募集证券投资基金运作指引第3号——指数基金指引》及颁布机关对其不时做出的修订</w:t>
      </w:r>
    </w:p>
    <w:p>
      <w:pPr>
        <w:pStyle w:val="7"/>
        <w:spacing w:before="0" w:beforeAutospacing="0" w:after="0" w:afterAutospacing="0" w:line="360" w:lineRule="auto"/>
        <w:ind w:firstLine="420"/>
        <w:rPr>
          <w:sz w:val="21"/>
          <w:szCs w:val="21"/>
        </w:rPr>
      </w:pPr>
      <w:r>
        <w:rPr>
          <w:rFonts w:hint="eastAsia"/>
          <w:sz w:val="21"/>
          <w:szCs w:val="21"/>
        </w:rPr>
        <w:t>17. 业务规则：指上海证券交易所、登记机构、基金管理人及销售机构的相关业务规则及其不时做出的修订</w:t>
      </w:r>
    </w:p>
    <w:p>
      <w:pPr>
        <w:pStyle w:val="7"/>
        <w:spacing w:before="0" w:beforeAutospacing="0" w:after="0" w:afterAutospacing="0" w:line="360" w:lineRule="auto"/>
        <w:ind w:firstLine="420"/>
        <w:rPr>
          <w:sz w:val="21"/>
          <w:szCs w:val="21"/>
        </w:rPr>
      </w:pPr>
      <w:r>
        <w:rPr>
          <w:rFonts w:hint="eastAsia"/>
          <w:sz w:val="21"/>
          <w:szCs w:val="21"/>
        </w:rPr>
        <w:t>18. 中国证监会：指中国证券监督管理委员会</w:t>
      </w:r>
    </w:p>
    <w:p>
      <w:pPr>
        <w:pStyle w:val="7"/>
        <w:spacing w:before="0" w:beforeAutospacing="0" w:after="0" w:afterAutospacing="0" w:line="360" w:lineRule="auto"/>
        <w:ind w:firstLine="420"/>
        <w:rPr>
          <w:sz w:val="21"/>
          <w:szCs w:val="21"/>
        </w:rPr>
      </w:pPr>
      <w:r>
        <w:rPr>
          <w:rFonts w:hint="eastAsia"/>
          <w:sz w:val="21"/>
          <w:szCs w:val="21"/>
        </w:rPr>
        <w:t>19. 银行业监督管理机构：指中国人民银行和/或国家金融监督管理总局</w:t>
      </w:r>
    </w:p>
    <w:p>
      <w:pPr>
        <w:pStyle w:val="7"/>
        <w:spacing w:before="0" w:beforeAutospacing="0" w:after="0" w:afterAutospacing="0" w:line="360" w:lineRule="auto"/>
        <w:ind w:firstLine="420"/>
        <w:rPr>
          <w:sz w:val="21"/>
          <w:szCs w:val="21"/>
        </w:rPr>
      </w:pPr>
      <w:r>
        <w:rPr>
          <w:rFonts w:hint="eastAsia"/>
          <w:sz w:val="21"/>
          <w:szCs w:val="21"/>
        </w:rPr>
        <w:t>20. 基金合同当事人：指受基金合同约束，根据基金合同享有权利并承担义务的法律主体，包括基金管理人、基金托管人和基金份额持有人</w:t>
      </w:r>
    </w:p>
    <w:p>
      <w:pPr>
        <w:pStyle w:val="7"/>
        <w:spacing w:before="0" w:beforeAutospacing="0" w:after="0" w:afterAutospacing="0" w:line="360" w:lineRule="auto"/>
        <w:ind w:firstLine="420"/>
        <w:rPr>
          <w:sz w:val="21"/>
          <w:szCs w:val="21"/>
        </w:rPr>
      </w:pPr>
      <w:r>
        <w:rPr>
          <w:rFonts w:hint="eastAsia"/>
          <w:sz w:val="21"/>
          <w:szCs w:val="21"/>
        </w:rPr>
        <w:t>21. 个人投资者：指依据有关法律法规规定可投资于证券投资基金的自然人</w:t>
      </w:r>
    </w:p>
    <w:p>
      <w:pPr>
        <w:pStyle w:val="7"/>
        <w:spacing w:before="0" w:beforeAutospacing="0" w:after="0" w:afterAutospacing="0" w:line="360" w:lineRule="auto"/>
        <w:ind w:firstLine="420"/>
        <w:rPr>
          <w:sz w:val="21"/>
          <w:szCs w:val="21"/>
        </w:rPr>
      </w:pPr>
      <w:r>
        <w:rPr>
          <w:rFonts w:hint="eastAsia"/>
          <w:sz w:val="21"/>
          <w:szCs w:val="21"/>
        </w:rPr>
        <w:t>22. 机构投资者：指依法可以投资证券投资基金的、在中华人民共和国境内合法登记并存续或经有关政府部门批准设立并存续的企业法人、事业法人、社会团体或其他组织</w:t>
      </w:r>
    </w:p>
    <w:p>
      <w:pPr>
        <w:pStyle w:val="7"/>
        <w:spacing w:before="0" w:beforeAutospacing="0" w:after="0" w:afterAutospacing="0" w:line="360" w:lineRule="auto"/>
        <w:ind w:firstLine="420"/>
        <w:rPr>
          <w:sz w:val="21"/>
          <w:szCs w:val="21"/>
        </w:rPr>
      </w:pPr>
      <w:r>
        <w:rPr>
          <w:rFonts w:hint="eastAsia"/>
          <w:sz w:val="21"/>
          <w:szCs w:val="21"/>
        </w:rPr>
        <w:t>23. 合格境外投资者：指符合《合格境外机构投资者和人民币合格境外机构投资者境内证券期货投资管理办法》及相关法律法规规定，经中国证监会批准，使用来自境外的资金进行境内证券期货投资的境外机构投资者，包括合格境外机构投资者和人民币合格境外机构投资者</w:t>
      </w:r>
    </w:p>
    <w:p>
      <w:pPr>
        <w:pStyle w:val="7"/>
        <w:spacing w:before="0" w:beforeAutospacing="0" w:after="0" w:afterAutospacing="0" w:line="360" w:lineRule="auto"/>
        <w:ind w:firstLine="420"/>
        <w:rPr>
          <w:sz w:val="21"/>
          <w:szCs w:val="21"/>
        </w:rPr>
      </w:pPr>
      <w:r>
        <w:rPr>
          <w:rFonts w:hint="eastAsia"/>
          <w:sz w:val="21"/>
          <w:szCs w:val="21"/>
        </w:rPr>
        <w:t>24. 投资人、投资者：指个人投资者、机构投资者、合格境外投资者以及法律法规或中国证监会允许购买证券投资基金的其他投资人的合称</w:t>
      </w:r>
    </w:p>
    <w:p>
      <w:pPr>
        <w:pStyle w:val="7"/>
        <w:spacing w:before="0" w:beforeAutospacing="0" w:after="0" w:afterAutospacing="0" w:line="360" w:lineRule="auto"/>
        <w:ind w:firstLine="420"/>
        <w:rPr>
          <w:sz w:val="21"/>
          <w:szCs w:val="21"/>
        </w:rPr>
      </w:pPr>
      <w:r>
        <w:rPr>
          <w:rFonts w:hint="eastAsia"/>
          <w:sz w:val="21"/>
          <w:szCs w:val="21"/>
        </w:rPr>
        <w:t>25. 基金份额持有人：指依基金合同和招募说明书合法取得基金份额的投资人</w:t>
      </w:r>
    </w:p>
    <w:p>
      <w:pPr>
        <w:pStyle w:val="7"/>
        <w:spacing w:before="0" w:beforeAutospacing="0" w:after="0" w:afterAutospacing="0" w:line="360" w:lineRule="auto"/>
        <w:ind w:firstLine="420"/>
        <w:rPr>
          <w:sz w:val="21"/>
          <w:szCs w:val="21"/>
        </w:rPr>
      </w:pPr>
      <w:r>
        <w:rPr>
          <w:rFonts w:hint="eastAsia"/>
          <w:sz w:val="21"/>
          <w:szCs w:val="21"/>
        </w:rPr>
        <w:t>26. 发售代理机构：指符合《销售办法》和中国证监会规定的其他条件，由基金管理人指定的代理本基金发售业务的机构</w:t>
      </w:r>
    </w:p>
    <w:p>
      <w:pPr>
        <w:pStyle w:val="7"/>
        <w:spacing w:before="0" w:beforeAutospacing="0" w:after="0" w:afterAutospacing="0" w:line="360" w:lineRule="auto"/>
        <w:ind w:firstLine="420"/>
        <w:rPr>
          <w:sz w:val="21"/>
          <w:szCs w:val="21"/>
        </w:rPr>
      </w:pPr>
      <w:r>
        <w:rPr>
          <w:rFonts w:hint="eastAsia"/>
          <w:sz w:val="21"/>
          <w:szCs w:val="21"/>
        </w:rPr>
        <w:t>27. 申购、赎回代理券商：指基金管理人指定的，在基金合同生效后代理办理本基金申购、赎回业务的证券公司，又称为代办证券公司</w:t>
      </w:r>
    </w:p>
    <w:p>
      <w:pPr>
        <w:pStyle w:val="7"/>
        <w:spacing w:before="0" w:beforeAutospacing="0" w:after="0" w:afterAutospacing="0" w:line="360" w:lineRule="auto"/>
        <w:ind w:firstLine="420"/>
        <w:rPr>
          <w:sz w:val="21"/>
          <w:szCs w:val="21"/>
        </w:rPr>
      </w:pPr>
      <w:r>
        <w:rPr>
          <w:rFonts w:hint="eastAsia"/>
          <w:sz w:val="21"/>
          <w:szCs w:val="21"/>
        </w:rPr>
        <w:t>28. 直销机构：指博时基金管理有限公司</w:t>
      </w:r>
    </w:p>
    <w:p>
      <w:pPr>
        <w:pStyle w:val="7"/>
        <w:spacing w:before="0" w:beforeAutospacing="0" w:after="0" w:afterAutospacing="0" w:line="360" w:lineRule="auto"/>
        <w:ind w:firstLine="420"/>
        <w:rPr>
          <w:sz w:val="21"/>
          <w:szCs w:val="21"/>
        </w:rPr>
      </w:pPr>
      <w:r>
        <w:rPr>
          <w:rFonts w:hint="eastAsia"/>
          <w:sz w:val="21"/>
          <w:szCs w:val="21"/>
        </w:rPr>
        <w:t>29. 代销机构：指符合《销售办法》和中国证监会规定的其他条件，取得基金销售业务资格并与基金管理人签订了基金销售服务协议，办理基金销售业务的机构，包括发售代理机构和申购、赎回代理券商（即代办证券公司）</w:t>
      </w:r>
    </w:p>
    <w:p>
      <w:pPr>
        <w:pStyle w:val="7"/>
        <w:spacing w:before="0" w:beforeAutospacing="0" w:after="0" w:afterAutospacing="0" w:line="360" w:lineRule="auto"/>
        <w:ind w:firstLine="420"/>
        <w:rPr>
          <w:sz w:val="21"/>
          <w:szCs w:val="21"/>
        </w:rPr>
      </w:pPr>
      <w:r>
        <w:rPr>
          <w:rFonts w:hint="eastAsia"/>
          <w:sz w:val="21"/>
          <w:szCs w:val="21"/>
        </w:rPr>
        <w:t>30. 销售机构：指直销机构与代销机构 </w:t>
      </w:r>
    </w:p>
    <w:p>
      <w:pPr>
        <w:pStyle w:val="7"/>
        <w:spacing w:before="0" w:beforeAutospacing="0" w:after="0" w:afterAutospacing="0" w:line="360" w:lineRule="auto"/>
        <w:ind w:firstLine="420"/>
        <w:rPr>
          <w:sz w:val="21"/>
          <w:szCs w:val="21"/>
        </w:rPr>
      </w:pPr>
      <w:r>
        <w:rPr>
          <w:rFonts w:hint="eastAsia"/>
          <w:sz w:val="21"/>
          <w:szCs w:val="21"/>
        </w:rPr>
        <w:t>31. 登记机构：指办理登记业务的机构。本基金的登记机构为中国证券登记结算有限责任公司</w:t>
      </w:r>
    </w:p>
    <w:p>
      <w:pPr>
        <w:pStyle w:val="7"/>
        <w:spacing w:before="0" w:beforeAutospacing="0" w:after="0" w:afterAutospacing="0" w:line="360" w:lineRule="auto"/>
        <w:ind w:firstLine="420"/>
        <w:rPr>
          <w:sz w:val="21"/>
          <w:szCs w:val="21"/>
        </w:rPr>
      </w:pPr>
      <w:r>
        <w:rPr>
          <w:rFonts w:hint="eastAsia"/>
          <w:sz w:val="21"/>
          <w:szCs w:val="21"/>
        </w:rPr>
        <w:t>32. 登记业务：指基金登记、存管、过户、清算和结算业务，具体内容包括投资者账户的建立和管理、基金份额登记、基金交易的确认、清算和结算、代理发放红利、建立并保管基金份额持有人名册和办理非交易过户等</w:t>
      </w:r>
    </w:p>
    <w:p>
      <w:pPr>
        <w:pStyle w:val="7"/>
        <w:spacing w:before="0" w:beforeAutospacing="0" w:after="0" w:afterAutospacing="0" w:line="360" w:lineRule="auto"/>
        <w:ind w:firstLine="420"/>
        <w:rPr>
          <w:sz w:val="21"/>
          <w:szCs w:val="21"/>
        </w:rPr>
      </w:pPr>
      <w:r>
        <w:rPr>
          <w:rFonts w:hint="eastAsia"/>
          <w:sz w:val="21"/>
          <w:szCs w:val="21"/>
        </w:rPr>
        <w:t>33. 基金合同生效日：指基金募集达到法律法规规定及基金合同规定的条件，基金管理人向中国证监会办理基金备案手续完毕，并获得中国证监会书面确认的日期</w:t>
      </w:r>
    </w:p>
    <w:p>
      <w:pPr>
        <w:pStyle w:val="7"/>
        <w:spacing w:before="0" w:beforeAutospacing="0" w:after="0" w:afterAutospacing="0" w:line="360" w:lineRule="auto"/>
        <w:ind w:firstLine="420"/>
        <w:rPr>
          <w:sz w:val="21"/>
          <w:szCs w:val="21"/>
        </w:rPr>
      </w:pPr>
      <w:r>
        <w:rPr>
          <w:rFonts w:hint="eastAsia"/>
          <w:sz w:val="21"/>
          <w:szCs w:val="21"/>
        </w:rPr>
        <w:t>34. 基金合同终止日：指基金合同规定的基金合同终止事由出现后，基金财产清算完毕，清算结果报中国证监会备案并予以公告的日期</w:t>
      </w:r>
    </w:p>
    <w:p>
      <w:pPr>
        <w:pStyle w:val="7"/>
        <w:spacing w:before="0" w:beforeAutospacing="0" w:after="0" w:afterAutospacing="0" w:line="360" w:lineRule="auto"/>
        <w:ind w:firstLine="420"/>
        <w:rPr>
          <w:sz w:val="21"/>
          <w:szCs w:val="21"/>
        </w:rPr>
      </w:pPr>
      <w:r>
        <w:rPr>
          <w:rFonts w:hint="eastAsia"/>
          <w:sz w:val="21"/>
          <w:szCs w:val="21"/>
        </w:rPr>
        <w:t>35. 基金募集期：指自基金份额发售之日起至发售结束之日止的期间，最长不得超过3个月</w:t>
      </w:r>
    </w:p>
    <w:p>
      <w:pPr>
        <w:pStyle w:val="7"/>
        <w:spacing w:before="0" w:beforeAutospacing="0" w:after="0" w:afterAutospacing="0" w:line="360" w:lineRule="auto"/>
        <w:ind w:firstLine="420"/>
        <w:rPr>
          <w:sz w:val="21"/>
          <w:szCs w:val="21"/>
        </w:rPr>
      </w:pPr>
      <w:r>
        <w:rPr>
          <w:rFonts w:hint="eastAsia"/>
          <w:sz w:val="21"/>
          <w:szCs w:val="21"/>
        </w:rPr>
        <w:t>36. 存续期：指基金合同生效至终止之间的不定期期限</w:t>
      </w:r>
    </w:p>
    <w:p>
      <w:pPr>
        <w:pStyle w:val="7"/>
        <w:spacing w:before="0" w:beforeAutospacing="0" w:after="0" w:afterAutospacing="0" w:line="360" w:lineRule="auto"/>
        <w:ind w:firstLine="420"/>
        <w:rPr>
          <w:sz w:val="21"/>
          <w:szCs w:val="21"/>
        </w:rPr>
      </w:pPr>
      <w:r>
        <w:rPr>
          <w:rFonts w:hint="eastAsia"/>
          <w:sz w:val="21"/>
          <w:szCs w:val="21"/>
        </w:rPr>
        <w:t>37. 工作日：指证券交易所及相关期货交易所的正常交易日</w:t>
      </w:r>
    </w:p>
    <w:p>
      <w:pPr>
        <w:pStyle w:val="7"/>
        <w:spacing w:before="0" w:beforeAutospacing="0" w:after="0" w:afterAutospacing="0" w:line="360" w:lineRule="auto"/>
        <w:ind w:firstLine="420"/>
        <w:rPr>
          <w:sz w:val="21"/>
          <w:szCs w:val="21"/>
        </w:rPr>
      </w:pPr>
      <w:r>
        <w:rPr>
          <w:rFonts w:hint="eastAsia"/>
          <w:sz w:val="21"/>
          <w:szCs w:val="21"/>
        </w:rPr>
        <w:t>38. T日：指销售机构在规定时间受理投资人申购、赎回或其他业务申请的开放日</w:t>
      </w:r>
    </w:p>
    <w:p>
      <w:pPr>
        <w:pStyle w:val="7"/>
        <w:spacing w:before="0" w:beforeAutospacing="0" w:after="0" w:afterAutospacing="0" w:line="360" w:lineRule="auto"/>
        <w:ind w:firstLine="420"/>
        <w:rPr>
          <w:sz w:val="21"/>
          <w:szCs w:val="21"/>
        </w:rPr>
      </w:pPr>
      <w:r>
        <w:rPr>
          <w:rFonts w:hint="eastAsia"/>
          <w:sz w:val="21"/>
          <w:szCs w:val="21"/>
        </w:rPr>
        <w:t>39. T+n日：指自T日起第n个工作日（不包含T日）</w:t>
      </w:r>
    </w:p>
    <w:p>
      <w:pPr>
        <w:pStyle w:val="7"/>
        <w:spacing w:before="0" w:beforeAutospacing="0" w:after="0" w:afterAutospacing="0" w:line="360" w:lineRule="auto"/>
        <w:ind w:firstLine="420"/>
        <w:rPr>
          <w:sz w:val="21"/>
          <w:szCs w:val="21"/>
        </w:rPr>
      </w:pPr>
      <w:r>
        <w:rPr>
          <w:rFonts w:hint="eastAsia"/>
          <w:sz w:val="21"/>
          <w:szCs w:val="21"/>
        </w:rPr>
        <w:t>40. 开放日：指为投资人办理基金份额申购、赎回或其他业务的工作日</w:t>
      </w:r>
    </w:p>
    <w:p>
      <w:pPr>
        <w:pStyle w:val="7"/>
        <w:spacing w:before="0" w:beforeAutospacing="0" w:after="0" w:afterAutospacing="0" w:line="360" w:lineRule="auto"/>
        <w:ind w:firstLine="420"/>
        <w:rPr>
          <w:sz w:val="21"/>
          <w:szCs w:val="21"/>
        </w:rPr>
      </w:pPr>
      <w:r>
        <w:rPr>
          <w:rFonts w:hint="eastAsia"/>
          <w:sz w:val="21"/>
          <w:szCs w:val="21"/>
        </w:rPr>
        <w:t>41. 开放时间：指开放日基金接受申购、赎回或其他交易的时间段</w:t>
      </w:r>
    </w:p>
    <w:p>
      <w:pPr>
        <w:pStyle w:val="7"/>
        <w:spacing w:before="0" w:beforeAutospacing="0" w:after="0" w:afterAutospacing="0" w:line="360" w:lineRule="auto"/>
        <w:ind w:firstLine="420"/>
        <w:rPr>
          <w:sz w:val="21"/>
          <w:szCs w:val="21"/>
        </w:rPr>
      </w:pPr>
      <w:r>
        <w:rPr>
          <w:rFonts w:hint="eastAsia"/>
          <w:sz w:val="21"/>
          <w:szCs w:val="21"/>
        </w:rPr>
        <w:t>42. 认购：指在基金募集期内，投资人根据基金合同和招募说明书的规定申请购买基金份额的行为</w:t>
      </w:r>
    </w:p>
    <w:p>
      <w:pPr>
        <w:pStyle w:val="7"/>
        <w:spacing w:before="0" w:beforeAutospacing="0" w:after="0" w:afterAutospacing="0" w:line="360" w:lineRule="auto"/>
        <w:ind w:firstLine="420"/>
        <w:rPr>
          <w:sz w:val="21"/>
          <w:szCs w:val="21"/>
        </w:rPr>
      </w:pPr>
      <w:r>
        <w:rPr>
          <w:rFonts w:hint="eastAsia"/>
          <w:sz w:val="21"/>
          <w:szCs w:val="21"/>
        </w:rPr>
        <w:t>43. 申购：指基金合同生效后，投资人根据基金合同和招募说明书的规定，以申购赎回清单规定的申购对价向基金管理人申请购买基金份额的行为</w:t>
      </w:r>
    </w:p>
    <w:p>
      <w:pPr>
        <w:pStyle w:val="7"/>
        <w:spacing w:before="0" w:beforeAutospacing="0" w:after="0" w:afterAutospacing="0" w:line="360" w:lineRule="auto"/>
        <w:ind w:firstLine="420"/>
        <w:rPr>
          <w:sz w:val="21"/>
          <w:szCs w:val="21"/>
        </w:rPr>
      </w:pPr>
      <w:r>
        <w:rPr>
          <w:rFonts w:hint="eastAsia"/>
          <w:sz w:val="21"/>
          <w:szCs w:val="21"/>
        </w:rPr>
        <w:t>44. 赎回：指基金合同生效后，基金份额持有人根据基金合同和招募说明书的规定，将基金份额兑换为申购赎回清单规定的赎回对价的行为</w:t>
      </w:r>
    </w:p>
    <w:p>
      <w:pPr>
        <w:pStyle w:val="7"/>
        <w:spacing w:before="0" w:beforeAutospacing="0" w:after="0" w:afterAutospacing="0" w:line="360" w:lineRule="auto"/>
        <w:ind w:firstLine="420"/>
        <w:rPr>
          <w:sz w:val="21"/>
          <w:szCs w:val="21"/>
        </w:rPr>
      </w:pPr>
      <w:r>
        <w:rPr>
          <w:rFonts w:hint="eastAsia"/>
          <w:sz w:val="21"/>
          <w:szCs w:val="21"/>
        </w:rPr>
        <w:t>45. 申购、赎回清单：指由基金管理人编制的用以公告申购对价、赎回对价等信息的文件 </w:t>
      </w:r>
    </w:p>
    <w:p>
      <w:pPr>
        <w:pStyle w:val="7"/>
        <w:spacing w:before="0" w:beforeAutospacing="0" w:after="0" w:afterAutospacing="0" w:line="360" w:lineRule="auto"/>
        <w:ind w:firstLine="420"/>
        <w:rPr>
          <w:sz w:val="21"/>
          <w:szCs w:val="21"/>
        </w:rPr>
      </w:pPr>
      <w:r>
        <w:rPr>
          <w:rFonts w:hint="eastAsia"/>
          <w:sz w:val="21"/>
          <w:szCs w:val="21"/>
        </w:rPr>
        <w:t>46. 申购对价：指投资人申购基金份额时，按基金合同和招募说明书规定应交付的组合证券、现金替代、现金差额和/或其他对价</w:t>
      </w:r>
    </w:p>
    <w:p>
      <w:pPr>
        <w:pStyle w:val="7"/>
        <w:spacing w:before="0" w:beforeAutospacing="0" w:after="0" w:afterAutospacing="0" w:line="360" w:lineRule="auto"/>
        <w:ind w:firstLine="420"/>
        <w:rPr>
          <w:sz w:val="21"/>
          <w:szCs w:val="21"/>
        </w:rPr>
      </w:pPr>
      <w:r>
        <w:rPr>
          <w:rFonts w:hint="eastAsia"/>
          <w:sz w:val="21"/>
          <w:szCs w:val="21"/>
        </w:rPr>
        <w:t>47. 赎回对价：指投资人赎回基金份额时，基金管理人按基金合同和招募说明书规定应交付给赎回人的组合证券、现金替代、现金差额和/或其他对价</w:t>
      </w:r>
    </w:p>
    <w:p>
      <w:pPr>
        <w:pStyle w:val="7"/>
        <w:spacing w:before="0" w:beforeAutospacing="0" w:after="0" w:afterAutospacing="0" w:line="360" w:lineRule="auto"/>
        <w:ind w:firstLine="420"/>
        <w:rPr>
          <w:sz w:val="21"/>
          <w:szCs w:val="21"/>
        </w:rPr>
      </w:pPr>
      <w:r>
        <w:rPr>
          <w:rFonts w:hint="eastAsia"/>
          <w:sz w:val="21"/>
          <w:szCs w:val="21"/>
        </w:rPr>
        <w:t>48. 组合证券：指本基金标的指数所包含的全部或部分证券</w:t>
      </w:r>
    </w:p>
    <w:p>
      <w:pPr>
        <w:pStyle w:val="7"/>
        <w:spacing w:before="0" w:beforeAutospacing="0" w:after="0" w:afterAutospacing="0" w:line="360" w:lineRule="auto"/>
        <w:ind w:firstLine="420"/>
        <w:rPr>
          <w:sz w:val="21"/>
          <w:szCs w:val="21"/>
        </w:rPr>
      </w:pPr>
      <w:r>
        <w:rPr>
          <w:rFonts w:hint="eastAsia"/>
          <w:sz w:val="21"/>
          <w:szCs w:val="21"/>
        </w:rPr>
        <w:t>49. 标的指数：指中证指数有限公司编制并发布的中证全指自由现金流指数及其未来可能发生的变更</w:t>
      </w:r>
    </w:p>
    <w:p>
      <w:pPr>
        <w:pStyle w:val="7"/>
        <w:spacing w:before="0" w:beforeAutospacing="0" w:after="0" w:afterAutospacing="0" w:line="360" w:lineRule="auto"/>
        <w:ind w:firstLine="420"/>
        <w:rPr>
          <w:sz w:val="21"/>
          <w:szCs w:val="21"/>
        </w:rPr>
      </w:pPr>
      <w:r>
        <w:rPr>
          <w:rFonts w:hint="eastAsia"/>
          <w:sz w:val="21"/>
          <w:szCs w:val="21"/>
        </w:rPr>
        <w:t>50. 完全复制法：指跟踪指数的方法。通过购买标的指数中的所有成份证券，并且按照每种成份证券在标的指数中的权重确定购买的比例以构建指数组合，达到复制指数的目的</w:t>
      </w:r>
    </w:p>
    <w:p>
      <w:pPr>
        <w:pStyle w:val="7"/>
        <w:spacing w:before="0" w:beforeAutospacing="0" w:after="0" w:afterAutospacing="0" w:line="360" w:lineRule="auto"/>
        <w:ind w:firstLine="420"/>
        <w:rPr>
          <w:sz w:val="21"/>
          <w:szCs w:val="21"/>
        </w:rPr>
      </w:pPr>
      <w:r>
        <w:rPr>
          <w:rFonts w:hint="eastAsia"/>
          <w:sz w:val="21"/>
          <w:szCs w:val="21"/>
        </w:rPr>
        <w:t>51. 现金替代：指申购、赎回过程中，投资人按基金合同和招募说明书的规定，用于替代组合证券中部分证券的一定数量的现金</w:t>
      </w:r>
    </w:p>
    <w:p>
      <w:pPr>
        <w:pStyle w:val="7"/>
        <w:spacing w:before="0" w:beforeAutospacing="0" w:after="0" w:afterAutospacing="0" w:line="360" w:lineRule="auto"/>
        <w:ind w:firstLine="420"/>
        <w:rPr>
          <w:sz w:val="21"/>
          <w:szCs w:val="21"/>
        </w:rPr>
      </w:pPr>
      <w:r>
        <w:rPr>
          <w:rFonts w:hint="eastAsia"/>
          <w:sz w:val="21"/>
          <w:szCs w:val="21"/>
        </w:rPr>
        <w:t>52. 现金替代退补款：指投资人支付的现金替代与基金购入被替代成份证券的成本及相关费用的差额。若现金替代大于本基金购入被替代成份证券的成本及相关费用，则本基金需向投资人退还差额，若现金替代小于本基金购入被替代成份证券的成本及相关费用，则投资人需向本基金补缴差额</w:t>
      </w:r>
    </w:p>
    <w:p>
      <w:pPr>
        <w:pStyle w:val="7"/>
        <w:spacing w:before="0" w:beforeAutospacing="0" w:after="0" w:afterAutospacing="0" w:line="360" w:lineRule="auto"/>
        <w:ind w:firstLine="420"/>
        <w:rPr>
          <w:sz w:val="21"/>
          <w:szCs w:val="21"/>
        </w:rPr>
      </w:pPr>
      <w:r>
        <w:rPr>
          <w:rFonts w:hint="eastAsia"/>
          <w:sz w:val="21"/>
          <w:szCs w:val="21"/>
        </w:rPr>
        <w:t>53. 现金差额：指最小申购、赎回单位的资产净值与按当日收盘价计算的最小申购、赎回单位中的组合证券市值和现金替代之差；投资人申购、赎回时应支付或应获得的现金差额根据最小申购、赎回单位对应的现金差额、申购或赎回的基金份额数计算</w:t>
      </w:r>
    </w:p>
    <w:p>
      <w:pPr>
        <w:pStyle w:val="7"/>
        <w:spacing w:before="0" w:beforeAutospacing="0" w:after="0" w:afterAutospacing="0" w:line="360" w:lineRule="auto"/>
        <w:ind w:firstLine="420"/>
        <w:rPr>
          <w:sz w:val="21"/>
          <w:szCs w:val="21"/>
        </w:rPr>
      </w:pPr>
      <w:r>
        <w:rPr>
          <w:rFonts w:hint="eastAsia"/>
          <w:sz w:val="21"/>
          <w:szCs w:val="21"/>
        </w:rPr>
        <w:t>54. 最小申购、赎回单位：指本基金申购、赎回份额的最低数量，投资人申购、赎回的基金份额应为最小申购、赎回单位的整数倍</w:t>
      </w:r>
    </w:p>
    <w:p>
      <w:pPr>
        <w:pStyle w:val="7"/>
        <w:spacing w:before="0" w:beforeAutospacing="0" w:after="0" w:afterAutospacing="0" w:line="360" w:lineRule="auto"/>
        <w:ind w:firstLine="420"/>
        <w:rPr>
          <w:sz w:val="21"/>
          <w:szCs w:val="21"/>
        </w:rPr>
      </w:pPr>
      <w:r>
        <w:rPr>
          <w:rFonts w:hint="eastAsia"/>
          <w:sz w:val="21"/>
          <w:szCs w:val="21"/>
        </w:rPr>
        <w:t>55. 基金份额参考净值：指基金管理人或基金管理人委托其他机构在交易时间内根据申购、赎回清单和组合证券内各只证券的实时成交数据计算并由上海证券交易所在交易时间内发布的基金份额参考净值，简称IOPV</w:t>
      </w:r>
    </w:p>
    <w:p>
      <w:pPr>
        <w:pStyle w:val="7"/>
        <w:spacing w:before="0" w:beforeAutospacing="0" w:after="0" w:afterAutospacing="0" w:line="360" w:lineRule="auto"/>
        <w:ind w:firstLine="420"/>
        <w:rPr>
          <w:sz w:val="21"/>
          <w:szCs w:val="21"/>
        </w:rPr>
      </w:pPr>
      <w:r>
        <w:rPr>
          <w:rFonts w:hint="eastAsia"/>
          <w:sz w:val="21"/>
          <w:szCs w:val="21"/>
        </w:rPr>
        <w:t>56. 预估现金部分：指为便于计算基金份额参考净值及申购赎回代理券商预先冻结申请申购、赎回的投资人的相应资金，由基金管理人计算并公布的现金数额</w:t>
      </w:r>
    </w:p>
    <w:p>
      <w:pPr>
        <w:pStyle w:val="7"/>
        <w:spacing w:before="0" w:beforeAutospacing="0" w:after="0" w:afterAutospacing="0" w:line="360" w:lineRule="auto"/>
        <w:ind w:firstLine="420"/>
        <w:rPr>
          <w:sz w:val="21"/>
          <w:szCs w:val="21"/>
        </w:rPr>
      </w:pPr>
      <w:r>
        <w:rPr>
          <w:rFonts w:hint="eastAsia"/>
          <w:sz w:val="21"/>
          <w:szCs w:val="21"/>
        </w:rPr>
        <w:t>57. 元：指人民币元</w:t>
      </w:r>
    </w:p>
    <w:p>
      <w:pPr>
        <w:pStyle w:val="7"/>
        <w:spacing w:before="0" w:beforeAutospacing="0" w:after="0" w:afterAutospacing="0" w:line="360" w:lineRule="auto"/>
        <w:ind w:firstLine="420"/>
        <w:rPr>
          <w:sz w:val="21"/>
          <w:szCs w:val="21"/>
        </w:rPr>
      </w:pPr>
      <w:r>
        <w:rPr>
          <w:rFonts w:hint="eastAsia"/>
          <w:sz w:val="21"/>
          <w:szCs w:val="21"/>
        </w:rPr>
        <w:t>58. 基金收益：指基金投资所得红利、股息、债券利息、买卖证券价差、银行存款利息、已实现的其他合法收入及因运用基金财产带来的成本和费用的节约</w:t>
      </w:r>
    </w:p>
    <w:p>
      <w:pPr>
        <w:pStyle w:val="7"/>
        <w:spacing w:before="0" w:beforeAutospacing="0" w:after="0" w:afterAutospacing="0" w:line="360" w:lineRule="auto"/>
        <w:ind w:firstLine="420"/>
        <w:rPr>
          <w:sz w:val="21"/>
          <w:szCs w:val="21"/>
        </w:rPr>
      </w:pPr>
      <w:r>
        <w:rPr>
          <w:rFonts w:hint="eastAsia"/>
          <w:sz w:val="21"/>
          <w:szCs w:val="21"/>
        </w:rPr>
        <w:t>59. 基金份额折算：指基金管理人根据基金合同规定将投资人的基金份额进行变更登记的行为</w:t>
      </w:r>
    </w:p>
    <w:p>
      <w:pPr>
        <w:pStyle w:val="7"/>
        <w:spacing w:before="0" w:beforeAutospacing="0" w:after="0" w:afterAutospacing="0" w:line="360" w:lineRule="auto"/>
        <w:ind w:firstLine="420"/>
        <w:rPr>
          <w:sz w:val="21"/>
          <w:szCs w:val="21"/>
        </w:rPr>
      </w:pPr>
      <w:r>
        <w:rPr>
          <w:rFonts w:hint="eastAsia"/>
          <w:sz w:val="21"/>
          <w:szCs w:val="21"/>
        </w:rPr>
        <w:t>60. 收益评价日：指基金管理人计算本基金份额净值增长率与标的指数同期增长率差额之日</w:t>
      </w:r>
    </w:p>
    <w:p>
      <w:pPr>
        <w:pStyle w:val="7"/>
        <w:spacing w:before="0" w:beforeAutospacing="0" w:after="0" w:afterAutospacing="0" w:line="360" w:lineRule="auto"/>
        <w:ind w:firstLine="420"/>
        <w:rPr>
          <w:sz w:val="21"/>
          <w:szCs w:val="21"/>
        </w:rPr>
      </w:pPr>
      <w:r>
        <w:rPr>
          <w:rFonts w:hint="eastAsia"/>
          <w:sz w:val="21"/>
          <w:szCs w:val="21"/>
        </w:rPr>
        <w:t>61. 基金份额净值增长率：指收益评价日基金份额净值与基金上市前一交易日基金份额净值之比减去1乘以100%（期间发生基金份额折算、拆分或合并，则以基金份额折算日、经拆分或合并调整后的基金份额折算日为初始日重新计算）</w:t>
      </w:r>
    </w:p>
    <w:p>
      <w:pPr>
        <w:pStyle w:val="7"/>
        <w:spacing w:before="0" w:beforeAutospacing="0" w:after="0" w:afterAutospacing="0" w:line="360" w:lineRule="auto"/>
        <w:ind w:firstLine="420"/>
        <w:rPr>
          <w:sz w:val="21"/>
          <w:szCs w:val="21"/>
        </w:rPr>
      </w:pPr>
      <w:r>
        <w:rPr>
          <w:rFonts w:hint="eastAsia"/>
          <w:sz w:val="21"/>
          <w:szCs w:val="21"/>
        </w:rPr>
        <w:t>62. 标的指数同期增长率：指收益评价日标的指数收盘价与基金上市前一交易日标的指数收盘价之比减去1乘以100%（期间发生基金份额折算、拆分或合并，则以基金份额折算日、经拆分或合并调整后的基金份额折算日为初始日重新计算）</w:t>
      </w:r>
    </w:p>
    <w:p>
      <w:pPr>
        <w:pStyle w:val="7"/>
        <w:spacing w:before="0" w:beforeAutospacing="0" w:after="0" w:afterAutospacing="0" w:line="360" w:lineRule="auto"/>
        <w:ind w:firstLine="420"/>
        <w:rPr>
          <w:sz w:val="21"/>
          <w:szCs w:val="21"/>
        </w:rPr>
      </w:pPr>
      <w:r>
        <w:rPr>
          <w:rFonts w:hint="eastAsia"/>
          <w:sz w:val="21"/>
          <w:szCs w:val="21"/>
        </w:rPr>
        <w:t>63. 基金资产总值：指基金拥有的各类有价证券、银行存款本息、基金应收款项及其他资产的价值总和</w:t>
      </w:r>
    </w:p>
    <w:p>
      <w:pPr>
        <w:pStyle w:val="7"/>
        <w:spacing w:before="0" w:beforeAutospacing="0" w:after="0" w:afterAutospacing="0" w:line="360" w:lineRule="auto"/>
        <w:ind w:firstLine="420"/>
        <w:rPr>
          <w:sz w:val="21"/>
          <w:szCs w:val="21"/>
        </w:rPr>
      </w:pPr>
      <w:r>
        <w:rPr>
          <w:rFonts w:hint="eastAsia"/>
          <w:sz w:val="21"/>
          <w:szCs w:val="21"/>
        </w:rPr>
        <w:t>64. 基金资产净值：指基金资产总值减去基金负债后的价值</w:t>
      </w:r>
    </w:p>
    <w:p>
      <w:pPr>
        <w:pStyle w:val="7"/>
        <w:spacing w:before="0" w:beforeAutospacing="0" w:after="0" w:afterAutospacing="0" w:line="360" w:lineRule="auto"/>
        <w:ind w:firstLine="420"/>
        <w:rPr>
          <w:sz w:val="21"/>
          <w:szCs w:val="21"/>
        </w:rPr>
      </w:pPr>
      <w:r>
        <w:rPr>
          <w:rFonts w:hint="eastAsia"/>
          <w:sz w:val="21"/>
          <w:szCs w:val="21"/>
        </w:rPr>
        <w:t>65. 基金份额净值：指计算日基金资产净值除以计算日基金份额总数</w:t>
      </w:r>
    </w:p>
    <w:p>
      <w:pPr>
        <w:pStyle w:val="7"/>
        <w:spacing w:before="0" w:beforeAutospacing="0" w:after="0" w:afterAutospacing="0" w:line="360" w:lineRule="auto"/>
        <w:ind w:firstLine="420"/>
        <w:rPr>
          <w:sz w:val="21"/>
          <w:szCs w:val="21"/>
        </w:rPr>
      </w:pPr>
      <w:r>
        <w:rPr>
          <w:rFonts w:hint="eastAsia"/>
          <w:sz w:val="21"/>
          <w:szCs w:val="21"/>
        </w:rPr>
        <w:t>66. 基金资产估值：指计算评估基金资产和负债的价值，以确定基金资产净值和基金份额净值的过程</w:t>
      </w:r>
    </w:p>
    <w:p>
      <w:pPr>
        <w:pStyle w:val="7"/>
        <w:spacing w:before="0" w:beforeAutospacing="0" w:after="0" w:afterAutospacing="0" w:line="360" w:lineRule="auto"/>
        <w:ind w:firstLine="420"/>
        <w:rPr>
          <w:sz w:val="21"/>
          <w:szCs w:val="21"/>
        </w:rPr>
      </w:pPr>
      <w:r>
        <w:rPr>
          <w:rFonts w:hint="eastAsia"/>
          <w:sz w:val="21"/>
          <w:szCs w:val="21"/>
        </w:rPr>
        <w:t>67. 规定媒介：指符合中国证监会规定条件的用以进行信息披露的全国性报刊及《信息披露办法》规定的互联网网站（包括基金管理人网站、基金托管人网站、中国证监会基金电子披露网站）等媒介</w:t>
      </w:r>
    </w:p>
    <w:p>
      <w:pPr>
        <w:pStyle w:val="7"/>
        <w:spacing w:before="0" w:beforeAutospacing="0" w:after="0" w:afterAutospacing="0" w:line="360" w:lineRule="auto"/>
        <w:ind w:firstLine="420"/>
        <w:rPr>
          <w:sz w:val="21"/>
          <w:szCs w:val="21"/>
        </w:rPr>
      </w:pPr>
      <w:r>
        <w:rPr>
          <w:rFonts w:hint="eastAsia"/>
          <w:sz w:val="21"/>
          <w:szCs w:val="21"/>
        </w:rPr>
        <w:t>68. 交易型开放式指数证券投资基金：指《上海证券交易所交易型开放式指数基金业务实施细则》定义的“交易型开放式指数基金”，简称“ETF” </w:t>
      </w:r>
    </w:p>
    <w:p>
      <w:pPr>
        <w:pStyle w:val="7"/>
        <w:spacing w:before="0" w:beforeAutospacing="0" w:after="0" w:afterAutospacing="0" w:line="360" w:lineRule="auto"/>
        <w:ind w:firstLine="420"/>
        <w:rPr>
          <w:sz w:val="21"/>
          <w:szCs w:val="21"/>
        </w:rPr>
      </w:pPr>
      <w:r>
        <w:rPr>
          <w:rFonts w:hint="eastAsia"/>
          <w:sz w:val="21"/>
          <w:szCs w:val="21"/>
        </w:rPr>
        <w:t>69. 联接基金：指将绝大部分基金财产投资于</w:t>
      </w:r>
      <w:bookmarkStart w:id="23" w:name="field_0_productfullname_14"/>
      <w:r>
        <w:rPr>
          <w:rFonts w:hint="eastAsia"/>
          <w:sz w:val="21"/>
          <w:szCs w:val="21"/>
        </w:rPr>
        <w:t>博时中证全指自由现金流交易型开放式指数证券投资基金</w:t>
      </w:r>
      <w:bookmarkEnd w:id="23"/>
      <w:r>
        <w:rPr>
          <w:rFonts w:hint="eastAsia"/>
          <w:sz w:val="21"/>
          <w:szCs w:val="21"/>
        </w:rPr>
        <w:t>（目标ETF），紧密跟踪标的指数表现，追求跟踪偏离度和跟踪误差最小化，获得与指数收益相似的回报，采用开放式运作方式的基金</w:t>
      </w:r>
    </w:p>
    <w:p>
      <w:pPr>
        <w:pStyle w:val="7"/>
        <w:spacing w:before="0" w:beforeAutospacing="0" w:after="0" w:afterAutospacing="0" w:line="360" w:lineRule="auto"/>
        <w:ind w:firstLine="420"/>
        <w:rPr>
          <w:sz w:val="21"/>
          <w:szCs w:val="21"/>
        </w:rPr>
      </w:pPr>
      <w:r>
        <w:rPr>
          <w:rFonts w:hint="eastAsia"/>
          <w:sz w:val="21"/>
          <w:szCs w:val="21"/>
        </w:rPr>
        <w:t>70. 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pPr>
        <w:pStyle w:val="7"/>
        <w:spacing w:before="0" w:beforeAutospacing="0" w:after="0" w:afterAutospacing="0" w:line="360" w:lineRule="auto"/>
        <w:ind w:firstLine="420"/>
        <w:rPr>
          <w:sz w:val="21"/>
          <w:szCs w:val="21"/>
        </w:rPr>
      </w:pPr>
      <w:r>
        <w:rPr>
          <w:rFonts w:hint="eastAsia"/>
          <w:sz w:val="21"/>
          <w:szCs w:val="21"/>
        </w:rPr>
        <w:t>71. 转融通证券出借业务：指基金以一定的费率通过证券交易所综合业务平台向中国证券金融股份有限公司（以下简称证券金融公司）出借证券，证券金融公司到期归还所借证券及相应权益补偿并支付费用的业务</w:t>
      </w:r>
    </w:p>
    <w:p>
      <w:pPr>
        <w:pStyle w:val="7"/>
        <w:spacing w:before="0" w:beforeAutospacing="0" w:after="0" w:afterAutospacing="0" w:line="360" w:lineRule="auto"/>
        <w:ind w:firstLine="420"/>
        <w:rPr>
          <w:sz w:val="21"/>
          <w:szCs w:val="21"/>
        </w:rPr>
      </w:pPr>
      <w:r>
        <w:rPr>
          <w:rFonts w:hint="eastAsia"/>
          <w:sz w:val="21"/>
          <w:szCs w:val="21"/>
        </w:rPr>
        <w:t>72. 特定机构投资者：指根据上海证券交易所颁布的《特定机构投资者参与证券投资基金申购赎回业务指引》所定义机构投资者</w:t>
      </w:r>
    </w:p>
    <w:p>
      <w:pPr>
        <w:pStyle w:val="7"/>
        <w:spacing w:before="0" w:beforeAutospacing="0" w:after="0" w:afterAutospacing="0" w:line="360" w:lineRule="auto"/>
        <w:ind w:firstLine="420"/>
        <w:rPr>
          <w:sz w:val="21"/>
          <w:szCs w:val="21"/>
        </w:rPr>
      </w:pPr>
      <w:r>
        <w:rPr>
          <w:rFonts w:hint="eastAsia"/>
          <w:sz w:val="21"/>
          <w:szCs w:val="21"/>
        </w:rPr>
        <w:t>73. 中国法律：指中华人民共和国法律，就基金合同而言，不包括香港特别行政区、澳门特别行政区和台湾地区法律</w:t>
      </w:r>
    </w:p>
    <w:p>
      <w:pPr>
        <w:pStyle w:val="7"/>
        <w:spacing w:before="0" w:beforeAutospacing="0" w:after="0" w:afterAutospacing="0" w:line="360" w:lineRule="auto"/>
        <w:ind w:firstLine="420"/>
        <w:rPr>
          <w:sz w:val="21"/>
          <w:szCs w:val="21"/>
        </w:rPr>
      </w:pPr>
      <w:bookmarkStart w:id="24" w:name="chapter_level1_4_49_section_1_end"/>
      <w:bookmarkEnd w:id="24"/>
      <w:r>
        <w:rPr>
          <w:rFonts w:hint="eastAsia"/>
          <w:sz w:val="21"/>
          <w:szCs w:val="21"/>
        </w:rPr>
        <w:t>74. 不可抗力：指基金合同当事人不能预见、不能避免且不能克服的客观事件</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5" w:name="chapter_level1_5_53"/>
      <w:bookmarkStart w:id="26" w:name="_Toc214976515"/>
      <w:r>
        <w:rPr>
          <w:rFonts w:hint="eastAsia" w:ascii="宋体" w:hAnsi="宋体" w:eastAsia="宋体"/>
          <w:sz w:val="30"/>
        </w:rPr>
        <w:t>第三部分  基金管理人</w:t>
      </w:r>
      <w:bookmarkEnd w:id="25"/>
      <w:bookmarkEnd w:id="26"/>
    </w:p>
    <w:p>
      <w:pPr>
        <w:pStyle w:val="7"/>
        <w:spacing w:before="0" w:beforeAutospacing="0" w:after="0" w:afterAutospacing="0" w:line="360" w:lineRule="auto"/>
        <w:ind w:firstLine="420"/>
        <w:rPr>
          <w:sz w:val="21"/>
          <w:szCs w:val="21"/>
          <w:highlight w:val="none"/>
        </w:rPr>
      </w:pPr>
      <w:bookmarkStart w:id="27" w:name="chapter_level1_5_53_section_1"/>
      <w:bookmarkEnd w:id="27"/>
      <w:r>
        <w:rPr>
          <w:rStyle w:val="11"/>
          <w:rFonts w:hint="eastAsia"/>
          <w:sz w:val="21"/>
          <w:szCs w:val="21"/>
          <w:highlight w:val="none"/>
        </w:rPr>
        <w:t>一、基金管理人概况</w:t>
      </w:r>
    </w:p>
    <w:p>
      <w:pPr>
        <w:pStyle w:val="7"/>
        <w:spacing w:before="0" w:beforeAutospacing="0" w:after="0" w:afterAutospacing="0" w:line="360" w:lineRule="auto"/>
        <w:ind w:firstLine="420"/>
        <w:rPr>
          <w:sz w:val="21"/>
          <w:szCs w:val="21"/>
          <w:highlight w:val="none"/>
        </w:rPr>
      </w:pPr>
      <w:r>
        <w:rPr>
          <w:rFonts w:hint="eastAsia"/>
          <w:sz w:val="21"/>
          <w:szCs w:val="21"/>
          <w:highlight w:val="none"/>
        </w:rPr>
        <w:t>名称：</w:t>
      </w:r>
      <w:r>
        <w:rPr>
          <w:rFonts w:hint="eastAsia"/>
          <w:sz w:val="21"/>
          <w:szCs w:val="21"/>
          <w:highlight w:val="none"/>
        </w:rPr>
        <w:tab/>
      </w:r>
      <w:r>
        <w:rPr>
          <w:rFonts w:hint="eastAsia"/>
          <w:sz w:val="21"/>
          <w:szCs w:val="21"/>
          <w:highlight w:val="none"/>
        </w:rPr>
        <w:t>博时基金管理有限公司</w:t>
      </w:r>
    </w:p>
    <w:p>
      <w:pPr>
        <w:pStyle w:val="7"/>
        <w:spacing w:before="0" w:beforeAutospacing="0" w:after="0" w:afterAutospacing="0" w:line="360" w:lineRule="auto"/>
        <w:ind w:firstLine="420"/>
        <w:rPr>
          <w:sz w:val="21"/>
          <w:szCs w:val="21"/>
          <w:highlight w:val="none"/>
        </w:rPr>
      </w:pPr>
      <w:r>
        <w:rPr>
          <w:rFonts w:hint="eastAsia"/>
          <w:sz w:val="21"/>
          <w:szCs w:val="21"/>
          <w:highlight w:val="none"/>
        </w:rPr>
        <w:t>住所：</w:t>
      </w:r>
      <w:r>
        <w:rPr>
          <w:rFonts w:hint="eastAsia"/>
          <w:sz w:val="21"/>
          <w:szCs w:val="21"/>
          <w:highlight w:val="none"/>
        </w:rPr>
        <w:tab/>
      </w:r>
      <w:r>
        <w:rPr>
          <w:rFonts w:hint="eastAsia"/>
          <w:sz w:val="21"/>
          <w:szCs w:val="21"/>
          <w:highlight w:val="none"/>
        </w:rPr>
        <w:t>深圳市福田区莲花街道福新社区益田路5999号基金大厦21层</w:t>
      </w:r>
    </w:p>
    <w:p>
      <w:pPr>
        <w:pStyle w:val="7"/>
        <w:spacing w:before="0" w:beforeAutospacing="0" w:after="0" w:afterAutospacing="0" w:line="360" w:lineRule="auto"/>
        <w:ind w:firstLine="420"/>
        <w:rPr>
          <w:sz w:val="21"/>
          <w:szCs w:val="21"/>
          <w:highlight w:val="none"/>
        </w:rPr>
      </w:pPr>
      <w:r>
        <w:rPr>
          <w:rFonts w:hint="eastAsia"/>
          <w:sz w:val="21"/>
          <w:szCs w:val="21"/>
          <w:highlight w:val="none"/>
        </w:rPr>
        <w:t>办公地址：</w:t>
      </w:r>
      <w:r>
        <w:rPr>
          <w:rFonts w:hint="eastAsia"/>
          <w:sz w:val="21"/>
          <w:szCs w:val="21"/>
          <w:highlight w:val="none"/>
        </w:rPr>
        <w:tab/>
      </w:r>
      <w:r>
        <w:rPr>
          <w:rFonts w:hint="eastAsia"/>
          <w:sz w:val="21"/>
          <w:szCs w:val="21"/>
          <w:highlight w:val="none"/>
        </w:rPr>
        <w:t>广东省深圳市福田区益田路5999号基金大厦21层</w:t>
      </w:r>
    </w:p>
    <w:p>
      <w:pPr>
        <w:pStyle w:val="7"/>
        <w:spacing w:before="0" w:beforeAutospacing="0" w:after="0" w:afterAutospacing="0" w:line="360" w:lineRule="auto"/>
        <w:ind w:firstLine="420"/>
        <w:rPr>
          <w:rFonts w:hint="eastAsia" w:eastAsia="宋体"/>
          <w:sz w:val="21"/>
          <w:szCs w:val="21"/>
          <w:highlight w:val="none"/>
          <w:lang w:eastAsia="zh-CN"/>
        </w:rPr>
      </w:pPr>
      <w:r>
        <w:rPr>
          <w:rFonts w:hint="eastAsia"/>
          <w:sz w:val="21"/>
          <w:szCs w:val="21"/>
          <w:highlight w:val="none"/>
        </w:rPr>
        <w:t>法定代表人：</w:t>
      </w:r>
      <w:r>
        <w:rPr>
          <w:rFonts w:hint="eastAsia"/>
          <w:sz w:val="21"/>
          <w:szCs w:val="21"/>
          <w:highlight w:val="none"/>
          <w:lang w:val="en-US" w:eastAsia="zh-CN"/>
        </w:rPr>
        <w:t>张东</w:t>
      </w:r>
    </w:p>
    <w:p>
      <w:pPr>
        <w:pStyle w:val="7"/>
        <w:spacing w:before="0" w:beforeAutospacing="0" w:after="0" w:afterAutospacing="0" w:line="360" w:lineRule="auto"/>
        <w:ind w:firstLine="420"/>
        <w:rPr>
          <w:sz w:val="21"/>
          <w:szCs w:val="21"/>
          <w:highlight w:val="none"/>
        </w:rPr>
      </w:pPr>
      <w:r>
        <w:rPr>
          <w:rFonts w:hint="eastAsia"/>
          <w:sz w:val="21"/>
          <w:szCs w:val="21"/>
          <w:highlight w:val="none"/>
        </w:rPr>
        <w:t>成立时间：</w:t>
      </w:r>
      <w:r>
        <w:rPr>
          <w:rFonts w:hint="eastAsia"/>
          <w:sz w:val="21"/>
          <w:szCs w:val="21"/>
          <w:highlight w:val="none"/>
        </w:rPr>
        <w:tab/>
      </w:r>
      <w:r>
        <w:rPr>
          <w:rFonts w:hint="eastAsia"/>
          <w:sz w:val="21"/>
          <w:szCs w:val="21"/>
          <w:highlight w:val="none"/>
        </w:rPr>
        <w:t>1998年7月13日</w:t>
      </w:r>
    </w:p>
    <w:p>
      <w:pPr>
        <w:pStyle w:val="7"/>
        <w:spacing w:before="0" w:beforeAutospacing="0" w:after="0" w:afterAutospacing="0" w:line="360" w:lineRule="auto"/>
        <w:ind w:firstLine="420"/>
        <w:rPr>
          <w:sz w:val="21"/>
          <w:szCs w:val="21"/>
          <w:highlight w:val="none"/>
        </w:rPr>
      </w:pPr>
      <w:r>
        <w:rPr>
          <w:rFonts w:hint="eastAsia"/>
          <w:sz w:val="21"/>
          <w:szCs w:val="21"/>
          <w:highlight w:val="none"/>
        </w:rPr>
        <w:t>注册资本：</w:t>
      </w:r>
      <w:r>
        <w:rPr>
          <w:rFonts w:hint="eastAsia"/>
          <w:sz w:val="21"/>
          <w:szCs w:val="21"/>
          <w:highlight w:val="none"/>
        </w:rPr>
        <w:tab/>
      </w:r>
      <w:r>
        <w:rPr>
          <w:rFonts w:hint="eastAsia"/>
          <w:sz w:val="21"/>
          <w:szCs w:val="21"/>
          <w:highlight w:val="none"/>
        </w:rPr>
        <w:t>2.5亿元人民币</w:t>
      </w:r>
    </w:p>
    <w:p>
      <w:pPr>
        <w:pStyle w:val="7"/>
        <w:spacing w:before="0" w:beforeAutospacing="0" w:after="0" w:afterAutospacing="0" w:line="360" w:lineRule="auto"/>
        <w:ind w:firstLine="420"/>
        <w:rPr>
          <w:sz w:val="21"/>
          <w:szCs w:val="21"/>
          <w:highlight w:val="none"/>
        </w:rPr>
      </w:pPr>
      <w:r>
        <w:rPr>
          <w:rFonts w:hint="eastAsia"/>
          <w:sz w:val="21"/>
          <w:szCs w:val="21"/>
          <w:highlight w:val="none"/>
        </w:rPr>
        <w:t>存续期间：</w:t>
      </w:r>
      <w:r>
        <w:rPr>
          <w:rFonts w:hint="eastAsia"/>
          <w:sz w:val="21"/>
          <w:szCs w:val="21"/>
          <w:highlight w:val="none"/>
        </w:rPr>
        <w:tab/>
      </w:r>
      <w:r>
        <w:rPr>
          <w:rFonts w:hint="eastAsia"/>
          <w:sz w:val="21"/>
          <w:szCs w:val="21"/>
          <w:highlight w:val="none"/>
        </w:rPr>
        <w:t>持续经营</w:t>
      </w:r>
    </w:p>
    <w:p>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rPr>
        <w:t xml:space="preserve">联系人：    </w:t>
      </w:r>
      <w:r>
        <w:rPr>
          <w:rFonts w:hint="eastAsia"/>
          <w:sz w:val="21"/>
          <w:szCs w:val="21"/>
          <w:highlight w:val="none"/>
          <w:lang w:val="en-US" w:eastAsia="zh-CN"/>
        </w:rPr>
        <w:t>杜松岭</w:t>
      </w:r>
    </w:p>
    <w:p>
      <w:pPr>
        <w:pStyle w:val="7"/>
        <w:spacing w:before="0" w:beforeAutospacing="0" w:after="0" w:afterAutospacing="0" w:line="360" w:lineRule="auto"/>
        <w:ind w:firstLine="420"/>
        <w:rPr>
          <w:sz w:val="21"/>
          <w:szCs w:val="21"/>
          <w:highlight w:val="none"/>
        </w:rPr>
      </w:pPr>
      <w:r>
        <w:rPr>
          <w:rFonts w:hint="eastAsia"/>
          <w:sz w:val="21"/>
          <w:szCs w:val="21"/>
          <w:highlight w:val="none"/>
        </w:rPr>
        <w:t>联系电话：  （0755）8316 9999</w:t>
      </w:r>
    </w:p>
    <w:p>
      <w:pPr>
        <w:pStyle w:val="7"/>
        <w:spacing w:before="0" w:beforeAutospacing="0" w:after="0" w:afterAutospacing="0" w:line="360" w:lineRule="auto"/>
        <w:ind w:firstLine="420"/>
        <w:rPr>
          <w:sz w:val="21"/>
          <w:szCs w:val="21"/>
          <w:highlight w:val="none"/>
        </w:rPr>
      </w:pPr>
      <w:r>
        <w:rPr>
          <w:rFonts w:hint="eastAsia"/>
          <w:sz w:val="21"/>
          <w:szCs w:val="21"/>
          <w:highlight w:val="none"/>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pPr>
        <w:pStyle w:val="7"/>
        <w:spacing w:before="0" w:beforeAutospacing="0" w:after="0" w:afterAutospacing="0" w:line="360" w:lineRule="auto"/>
        <w:ind w:firstLine="420"/>
        <w:rPr>
          <w:sz w:val="21"/>
          <w:szCs w:val="21"/>
          <w:highlight w:val="none"/>
        </w:rPr>
      </w:pPr>
      <w:r>
        <w:rPr>
          <w:rFonts w:hint="eastAsia"/>
          <w:sz w:val="21"/>
          <w:szCs w:val="21"/>
          <w:highlight w:val="none"/>
        </w:rPr>
        <w:t>公司设立了投资决策委员会。投资决策委员会负责指导基金资产的运作、确定基本的投资策略和投资组合的原则。</w:t>
      </w:r>
    </w:p>
    <w:p>
      <w:pPr>
        <w:pStyle w:val="7"/>
        <w:spacing w:before="0" w:beforeAutospacing="0" w:after="0" w:afterAutospacing="0" w:line="360" w:lineRule="auto"/>
        <w:ind w:firstLine="420"/>
        <w:rPr>
          <w:sz w:val="21"/>
          <w:szCs w:val="21"/>
          <w:highlight w:val="none"/>
        </w:rPr>
      </w:pPr>
      <w:r>
        <w:rPr>
          <w:rFonts w:hint="eastAsia"/>
          <w:sz w:val="21"/>
          <w:szCs w:val="21"/>
          <w:highlight w:val="none"/>
        </w:rPr>
        <w:t xml:space="preserve">公司已经建立健全投资管理制度、风险控制制度、内部监察制度、财务管理制度、人事管理制度、信息披露制度和员工行为准则等公司管理制度体系。   </w:t>
      </w:r>
    </w:p>
    <w:p>
      <w:pPr>
        <w:pStyle w:val="7"/>
        <w:spacing w:before="0" w:beforeAutospacing="0" w:after="0" w:afterAutospacing="0" w:line="360" w:lineRule="auto"/>
        <w:ind w:firstLine="420"/>
        <w:rPr>
          <w:sz w:val="21"/>
          <w:szCs w:val="21"/>
          <w:highlight w:val="none"/>
        </w:rPr>
      </w:pPr>
      <w:r>
        <w:rPr>
          <w:rStyle w:val="11"/>
          <w:rFonts w:hint="eastAsia"/>
          <w:sz w:val="21"/>
          <w:szCs w:val="21"/>
          <w:highlight w:val="none"/>
        </w:rPr>
        <w:t>二、主要成员情况</w:t>
      </w:r>
    </w:p>
    <w:p>
      <w:pPr>
        <w:pStyle w:val="7"/>
        <w:spacing w:before="0" w:beforeAutospacing="0" w:after="0" w:afterAutospacing="0" w:line="360" w:lineRule="auto"/>
        <w:ind w:firstLine="420"/>
        <w:rPr>
          <w:sz w:val="21"/>
          <w:szCs w:val="21"/>
          <w:highlight w:val="none"/>
        </w:rPr>
      </w:pPr>
      <w:r>
        <w:rPr>
          <w:rFonts w:hint="eastAsia"/>
          <w:sz w:val="21"/>
          <w:szCs w:val="21"/>
          <w:highlight w:val="none"/>
        </w:rPr>
        <w:t>1、基金管理人董事会成员</w:t>
      </w:r>
    </w:p>
    <w:p>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eastAsia="zh-CN"/>
        </w:rPr>
        <w:t>张东先生，硕士，</w:t>
      </w:r>
      <w:r>
        <w:rPr>
          <w:rFonts w:hint="eastAsia"/>
          <w:sz w:val="21"/>
          <w:szCs w:val="21"/>
          <w:highlight w:val="none"/>
          <w:lang w:val="en-US" w:eastAsia="zh-CN"/>
        </w:rPr>
        <w:t>董事长</w:t>
      </w:r>
      <w:r>
        <w:rPr>
          <w:rFonts w:hint="eastAsia"/>
          <w:sz w:val="21"/>
          <w:szCs w:val="21"/>
          <w:highlight w:val="none"/>
          <w:lang w:eastAsia="zh-CN"/>
        </w:rPr>
        <w:t>。1989年至</w:t>
      </w:r>
      <w:r>
        <w:rPr>
          <w:rFonts w:hint="eastAsia"/>
          <w:sz w:val="21"/>
          <w:szCs w:val="21"/>
          <w:highlight w:val="none"/>
          <w:lang w:val="en-US" w:eastAsia="zh-CN"/>
        </w:rPr>
        <w:t>2024年先后在中国银行、招商银行从事零售金融、财富业务和财务会计等工作。2024年加入博时基金管理有限公司，2024年5月至2025年10月任公司总经理。</w:t>
      </w:r>
      <w:r>
        <w:rPr>
          <w:rFonts w:hint="eastAsia"/>
          <w:sz w:val="21"/>
          <w:szCs w:val="21"/>
          <w:highlight w:val="none"/>
        </w:rPr>
        <w:t>自202</w:t>
      </w:r>
      <w:r>
        <w:rPr>
          <w:rFonts w:hint="eastAsia"/>
          <w:sz w:val="21"/>
          <w:szCs w:val="21"/>
          <w:highlight w:val="none"/>
          <w:lang w:val="en-US" w:eastAsia="zh-CN"/>
        </w:rPr>
        <w:t>4</w:t>
      </w:r>
      <w:r>
        <w:rPr>
          <w:rFonts w:hint="eastAsia"/>
          <w:sz w:val="21"/>
          <w:szCs w:val="21"/>
          <w:highlight w:val="none"/>
        </w:rPr>
        <w:t>年</w:t>
      </w:r>
      <w:r>
        <w:rPr>
          <w:rFonts w:hint="eastAsia"/>
          <w:sz w:val="21"/>
          <w:szCs w:val="21"/>
          <w:highlight w:val="none"/>
          <w:lang w:val="en-US" w:eastAsia="zh-CN"/>
        </w:rPr>
        <w:t>7</w:t>
      </w:r>
      <w:r>
        <w:rPr>
          <w:rFonts w:hint="eastAsia"/>
          <w:sz w:val="21"/>
          <w:szCs w:val="21"/>
          <w:highlight w:val="none"/>
        </w:rPr>
        <w:t>月</w:t>
      </w:r>
      <w:r>
        <w:rPr>
          <w:rFonts w:hint="eastAsia"/>
          <w:sz w:val="21"/>
          <w:szCs w:val="21"/>
          <w:highlight w:val="none"/>
          <w:lang w:val="en-US" w:eastAsia="zh-CN"/>
        </w:rPr>
        <w:t>5日</w:t>
      </w:r>
      <w:r>
        <w:rPr>
          <w:rFonts w:hint="eastAsia"/>
          <w:sz w:val="21"/>
          <w:szCs w:val="21"/>
          <w:highlight w:val="none"/>
        </w:rPr>
        <w:t>起，任博时基金管理有限公司董事。</w:t>
      </w:r>
      <w:r>
        <w:rPr>
          <w:rFonts w:hint="eastAsia"/>
          <w:sz w:val="21"/>
          <w:szCs w:val="21"/>
          <w:highlight w:val="none"/>
          <w:lang w:val="en-US" w:eastAsia="zh-CN"/>
        </w:rPr>
        <w:t>2025年10月15日至2025年11月10日</w:t>
      </w:r>
      <w:r>
        <w:rPr>
          <w:rFonts w:hint="eastAsia"/>
          <w:sz w:val="21"/>
          <w:szCs w:val="21"/>
          <w:highlight w:val="none"/>
        </w:rPr>
        <w:t>代为履行博时基金管理有限公司总经理职务。</w:t>
      </w:r>
      <w:r>
        <w:rPr>
          <w:rFonts w:hint="eastAsia"/>
          <w:sz w:val="21"/>
          <w:szCs w:val="21"/>
          <w:highlight w:val="none"/>
          <w:lang w:val="en-US" w:eastAsia="zh-CN"/>
        </w:rPr>
        <w:t>自2025年10月15日起，</w:t>
      </w:r>
      <w:r>
        <w:rPr>
          <w:rFonts w:hint="eastAsia"/>
          <w:sz w:val="21"/>
          <w:szCs w:val="21"/>
          <w:highlight w:val="none"/>
        </w:rPr>
        <w:t>任博时基金管理有限公司董事长。</w:t>
      </w:r>
      <w:r>
        <w:rPr>
          <w:rFonts w:hint="eastAsia"/>
          <w:sz w:val="21"/>
          <w:szCs w:val="21"/>
          <w:highlight w:val="none"/>
          <w:lang w:val="en-US" w:eastAsia="zh-CN"/>
        </w:rPr>
        <w:t>自2026年2月12日起代为履行</w:t>
      </w:r>
      <w:r>
        <w:rPr>
          <w:rFonts w:hint="eastAsia"/>
          <w:sz w:val="21"/>
          <w:szCs w:val="21"/>
          <w:highlight w:val="none"/>
        </w:rPr>
        <w:t>博时基金管理有限公司</w:t>
      </w:r>
      <w:r>
        <w:rPr>
          <w:rFonts w:hint="eastAsia"/>
          <w:sz w:val="21"/>
          <w:szCs w:val="21"/>
          <w:highlight w:val="none"/>
          <w:lang w:val="en-US" w:eastAsia="zh-CN"/>
        </w:rPr>
        <w:t>首席信息官职责。</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pPr>
        <w:pStyle w:val="7"/>
        <w:spacing w:before="0" w:beforeAutospacing="0" w:after="0" w:afterAutospacing="0" w:line="360" w:lineRule="auto"/>
        <w:ind w:firstLine="420"/>
        <w:rPr>
          <w:rFonts w:hint="eastAsia" w:ascii="宋体" w:hAnsi="宋体" w:eastAsia="宋体" w:cs="宋体"/>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rPr>
        <w:t>郝宇</w:t>
      </w:r>
      <w:r>
        <w:rPr>
          <w:rFonts w:hint="eastAsia" w:ascii="宋体" w:hAnsi="宋体" w:eastAsia="宋体" w:cs="宋体"/>
          <w:kern w:val="0"/>
          <w:sz w:val="21"/>
          <w:szCs w:val="21"/>
          <w:highlight w:val="none"/>
          <w:lang w:val="en-US" w:eastAsia="zh-CN"/>
        </w:rPr>
        <w:t>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pPr>
        <w:pStyle w:val="7"/>
        <w:spacing w:before="0" w:beforeAutospacing="0" w:after="0" w:afterAutospacing="0" w:line="360" w:lineRule="auto"/>
        <w:ind w:firstLine="420"/>
        <w:rPr>
          <w:sz w:val="21"/>
          <w:szCs w:val="21"/>
          <w:highlight w:val="none"/>
        </w:rPr>
      </w:pPr>
      <w:r>
        <w:rPr>
          <w:rFonts w:hint="eastAsia"/>
          <w:sz w:val="21"/>
          <w:szCs w:val="21"/>
          <w:highlight w:val="none"/>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方芳</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，上海财经大学国民经济学专业博士、</w:t>
      </w:r>
      <w:r>
        <w:rPr>
          <w:rFonts w:hint="eastAsia" w:ascii="宋体" w:hAnsi="宋体" w:eastAsia="宋体" w:cs="宋体"/>
          <w:kern w:val="0"/>
          <w:sz w:val="21"/>
          <w:szCs w:val="21"/>
          <w:highlight w:val="none"/>
        </w:rPr>
        <w:t>加拿大不列颠哥伦比亚大学</w:t>
      </w:r>
      <w:r>
        <w:rPr>
          <w:rFonts w:hint="eastAsia" w:ascii="宋体" w:hAnsi="宋体" w:eastAsia="宋体" w:cs="宋体"/>
          <w:kern w:val="0"/>
          <w:sz w:val="21"/>
          <w:szCs w:val="21"/>
          <w:highlight w:val="none"/>
          <w:lang w:val="en-US" w:eastAsia="zh-CN"/>
        </w:rPr>
        <w:t>访问学者。1985年7月至今，就职于上海财经大学。历任</w:t>
      </w:r>
      <w:r>
        <w:rPr>
          <w:rFonts w:hint="eastAsia" w:ascii="宋体" w:hAnsi="宋体" w:eastAsia="宋体" w:cs="宋体"/>
          <w:kern w:val="0"/>
          <w:sz w:val="21"/>
          <w:szCs w:val="21"/>
          <w:highlight w:val="none"/>
          <w:lang w:eastAsia="zh-CN"/>
        </w:rPr>
        <w:t>上海财经大学公共经济与管理学院副院长 、上海财经大学公共经济与管理学院党委书记。</w:t>
      </w:r>
      <w:r>
        <w:rPr>
          <w:rFonts w:hint="eastAsia" w:ascii="宋体" w:hAnsi="宋体" w:eastAsia="宋体" w:cs="宋体"/>
          <w:kern w:val="0"/>
          <w:sz w:val="21"/>
          <w:szCs w:val="21"/>
          <w:highlight w:val="none"/>
          <w:lang w:val="en-US" w:eastAsia="zh-CN"/>
        </w:rPr>
        <w:t>2023年2月至今，任上海财经大学财税投资学院投资发展研究院院长、金融硕士（首席投资官）教育项目中心主任。同时，任世界华人不动产学会副秘书长、</w:t>
      </w:r>
      <w:r>
        <w:rPr>
          <w:rFonts w:hint="eastAsia" w:ascii="宋体" w:hAnsi="宋体" w:eastAsia="宋体" w:cs="宋体"/>
          <w:kern w:val="0"/>
          <w:sz w:val="21"/>
          <w:szCs w:val="21"/>
          <w:highlight w:val="none"/>
          <w:lang w:eastAsia="zh-CN"/>
        </w:rPr>
        <w:t>中国基本建设优化研究会理事、</w:t>
      </w:r>
      <w:r>
        <w:rPr>
          <w:rFonts w:hint="eastAsia" w:ascii="宋体" w:hAnsi="宋体" w:eastAsia="宋体" w:cs="宋体"/>
          <w:kern w:val="0"/>
          <w:sz w:val="21"/>
          <w:szCs w:val="21"/>
          <w:highlight w:val="none"/>
          <w:lang w:val="en-US" w:eastAsia="zh-CN"/>
        </w:rPr>
        <w:t>上海市投资学会会员等社会职务。</w:t>
      </w:r>
    </w:p>
    <w:p>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贺春临</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en-US" w:eastAsia="zh-CN"/>
        </w:rPr>
        <w:t>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w:t>
      </w:r>
    </w:p>
    <w:p>
      <w:pPr>
        <w:pStyle w:val="7"/>
        <w:spacing w:before="0" w:beforeAutospacing="0" w:after="0" w:afterAutospacing="0" w:line="360" w:lineRule="auto"/>
        <w:ind w:firstLine="420"/>
        <w:rPr>
          <w:sz w:val="21"/>
          <w:szCs w:val="21"/>
          <w:highlight w:val="none"/>
        </w:rPr>
      </w:pPr>
      <w:r>
        <w:rPr>
          <w:rFonts w:hint="eastAsia"/>
          <w:sz w:val="21"/>
          <w:szCs w:val="21"/>
          <w:highlight w:val="none"/>
          <w:lang w:val="en-US" w:eastAsia="zh-CN"/>
        </w:rPr>
        <w:t>2</w:t>
      </w:r>
      <w:r>
        <w:rPr>
          <w:rFonts w:hint="eastAsia"/>
          <w:sz w:val="21"/>
          <w:szCs w:val="21"/>
          <w:highlight w:val="none"/>
        </w:rPr>
        <w:t>、高级管理人员</w:t>
      </w:r>
    </w:p>
    <w:p>
      <w:pPr>
        <w:pStyle w:val="7"/>
        <w:spacing w:before="0" w:beforeAutospacing="0" w:after="0" w:afterAutospacing="0" w:line="360" w:lineRule="auto"/>
        <w:ind w:firstLine="420"/>
        <w:rPr>
          <w:rFonts w:hint="eastAsia"/>
          <w:sz w:val="21"/>
          <w:szCs w:val="21"/>
          <w:highlight w:val="none"/>
        </w:rPr>
      </w:pPr>
      <w:bookmarkStart w:id="28" w:name="OLE_LINK3"/>
      <w:r>
        <w:rPr>
          <w:rFonts w:hint="eastAsia"/>
          <w:sz w:val="21"/>
          <w:szCs w:val="21"/>
          <w:highlight w:val="none"/>
          <w:lang w:eastAsia="zh-CN"/>
        </w:rPr>
        <w:t>张东先生，</w:t>
      </w:r>
      <w:r>
        <w:rPr>
          <w:rFonts w:hint="eastAsia"/>
          <w:sz w:val="21"/>
          <w:szCs w:val="21"/>
          <w:highlight w:val="none"/>
        </w:rPr>
        <w:t>简历同上。</w:t>
      </w:r>
    </w:p>
    <w:p>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val="en-US" w:eastAsia="zh-CN"/>
        </w:rPr>
        <w:t>陈宇先生，</w:t>
      </w:r>
      <w:r>
        <w:rPr>
          <w:rFonts w:hint="eastAsia"/>
          <w:sz w:val="21"/>
          <w:szCs w:val="21"/>
          <w:highlight w:val="none"/>
        </w:rPr>
        <w:t>简历同上</w:t>
      </w:r>
      <w:r>
        <w:rPr>
          <w:rFonts w:hint="eastAsia"/>
          <w:sz w:val="21"/>
          <w:szCs w:val="21"/>
          <w:highlight w:val="none"/>
          <w:lang w:val="en-US" w:eastAsia="zh-CN"/>
        </w:rPr>
        <w:t>。</w:t>
      </w:r>
    </w:p>
    <w:bookmarkEnd w:id="28"/>
    <w:p>
      <w:pPr>
        <w:pStyle w:val="7"/>
        <w:spacing w:before="0" w:beforeAutospacing="0" w:after="0" w:afterAutospacing="0" w:line="360" w:lineRule="auto"/>
        <w:ind w:firstLine="420"/>
        <w:rPr>
          <w:sz w:val="21"/>
          <w:szCs w:val="21"/>
          <w:highlight w:val="none"/>
        </w:rPr>
      </w:pPr>
      <w:r>
        <w:rPr>
          <w:rFonts w:hint="eastAsia"/>
          <w:sz w:val="21"/>
          <w:szCs w:val="21"/>
          <w:highlight w:val="none"/>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w:t>
      </w:r>
      <w:r>
        <w:rPr>
          <w:rFonts w:hint="eastAsia"/>
          <w:sz w:val="21"/>
          <w:szCs w:val="21"/>
          <w:highlight w:val="none"/>
          <w:lang w:eastAsia="zh-CN"/>
        </w:rPr>
        <w:t>，</w:t>
      </w:r>
      <w:r>
        <w:rPr>
          <w:rFonts w:hint="eastAsia"/>
          <w:sz w:val="21"/>
          <w:szCs w:val="21"/>
          <w:highlight w:val="none"/>
        </w:rPr>
        <w:t>兼任博时资本管理有限公司董事</w:t>
      </w:r>
      <w:r>
        <w:rPr>
          <w:rFonts w:hint="eastAsia"/>
          <w:sz w:val="21"/>
          <w:szCs w:val="21"/>
          <w:highlight w:val="none"/>
          <w:lang w:val="en-US" w:eastAsia="zh-CN"/>
        </w:rPr>
        <w:t>长和</w:t>
      </w:r>
      <w:r>
        <w:rPr>
          <w:rFonts w:hint="eastAsia"/>
          <w:sz w:val="21"/>
          <w:szCs w:val="21"/>
          <w:highlight w:val="none"/>
        </w:rPr>
        <w:t>博时财富基金销售有限公司</w:t>
      </w:r>
      <w:r>
        <w:rPr>
          <w:rFonts w:hint="eastAsia"/>
          <w:sz w:val="21"/>
          <w:szCs w:val="21"/>
          <w:highlight w:val="none"/>
          <w:lang w:val="en-US" w:eastAsia="zh-CN"/>
        </w:rPr>
        <w:t>董事</w:t>
      </w:r>
      <w:r>
        <w:rPr>
          <w:rFonts w:hint="eastAsia"/>
          <w:sz w:val="21"/>
          <w:szCs w:val="21"/>
          <w:highlight w:val="none"/>
        </w:rPr>
        <w:t>。</w:t>
      </w:r>
    </w:p>
    <w:p>
      <w:pPr>
        <w:pStyle w:val="7"/>
        <w:spacing w:before="0" w:beforeAutospacing="0" w:after="0" w:afterAutospacing="0" w:line="360" w:lineRule="auto"/>
        <w:ind w:firstLine="420"/>
        <w:rPr>
          <w:sz w:val="21"/>
          <w:szCs w:val="21"/>
          <w:highlight w:val="none"/>
        </w:rPr>
      </w:pPr>
      <w:r>
        <w:rPr>
          <w:rFonts w:hint="eastAsia"/>
          <w:sz w:val="21"/>
          <w:szCs w:val="21"/>
          <w:highlight w:val="none"/>
          <w:lang w:val="en-US" w:eastAsia="zh-CN"/>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w:t>
      </w:r>
      <w:r>
        <w:rPr>
          <w:rFonts w:hint="eastAsia"/>
          <w:sz w:val="21"/>
          <w:szCs w:val="21"/>
          <w:highlight w:val="none"/>
        </w:rPr>
        <w:t xml:space="preserve">  </w:t>
      </w:r>
    </w:p>
    <w:p>
      <w:pPr>
        <w:pStyle w:val="7"/>
        <w:spacing w:before="0" w:beforeAutospacing="0" w:after="0" w:afterAutospacing="0" w:line="360" w:lineRule="auto"/>
        <w:ind w:firstLine="420"/>
        <w:rPr>
          <w:sz w:val="21"/>
          <w:szCs w:val="21"/>
          <w:highlight w:val="none"/>
        </w:rPr>
      </w:pPr>
      <w:r>
        <w:rPr>
          <w:rFonts w:hint="eastAsia"/>
          <w:sz w:val="21"/>
          <w:szCs w:val="21"/>
          <w:highlight w:val="none"/>
          <w:lang w:val="en-US" w:eastAsia="zh-CN"/>
        </w:rPr>
        <w:t>3</w:t>
      </w:r>
      <w:r>
        <w:rPr>
          <w:rFonts w:hint="eastAsia"/>
          <w:sz w:val="21"/>
          <w:szCs w:val="21"/>
          <w:highlight w:val="none"/>
        </w:rPr>
        <w:t xml:space="preserve">、本基金基金经理 </w:t>
      </w:r>
    </w:p>
    <w:p>
      <w:pPr>
        <w:pStyle w:val="7"/>
        <w:spacing w:before="0" w:beforeAutospacing="0" w:after="0" w:afterAutospacing="0" w:line="360" w:lineRule="auto"/>
        <w:ind w:firstLine="420"/>
        <w:rPr>
          <w:sz w:val="21"/>
          <w:szCs w:val="21"/>
        </w:rPr>
      </w:pPr>
      <w:bookmarkStart w:id="29" w:name="field_0_fundmanagerresume_1_start"/>
      <w:bookmarkEnd w:id="29"/>
      <w:r>
        <w:rPr>
          <w:rFonts w:hint="eastAsia"/>
          <w:sz w:val="21"/>
          <w:szCs w:val="21"/>
        </w:rPr>
        <w:t>王萌先生，博士。2016年毕业后加入博时基金管理有限公司。现任博时恒生港股通高股息率交易型开放式指数证券投资基金(2025年4月16日—至今)、博时中证全指自由现金流交易型开放式指数证券投资基金(2025年6月30日—至今)、博时恒生港股通创新药精选交易型开放式指数证券投资基金(2025年7月23日—至今)、博时中证全指自由现金流交易型开放式指数证券投资基金联接基金(2025年9月1日—至今)、博时国证工业软件主题交易型开放式指数证券投资基金(2025年11月12日—至今)的基金经理。</w:t>
      </w:r>
    </w:p>
    <w:p>
      <w:pPr>
        <w:pStyle w:val="7"/>
        <w:spacing w:before="0" w:beforeAutospacing="0" w:after="0" w:afterAutospacing="0" w:line="360" w:lineRule="auto"/>
        <w:ind w:firstLine="420"/>
        <w:rPr>
          <w:sz w:val="21"/>
          <w:szCs w:val="21"/>
        </w:rPr>
      </w:pPr>
      <w:r>
        <w:rPr>
          <w:rFonts w:hint="eastAsia"/>
          <w:sz w:val="21"/>
          <w:szCs w:val="21"/>
          <w:lang w:val="en-US" w:eastAsia="zh-CN"/>
        </w:rPr>
        <w:t>本基金历任基金经理：杨振建（</w:t>
      </w:r>
      <w:r>
        <w:rPr>
          <w:rFonts w:hint="eastAsia"/>
          <w:sz w:val="21"/>
          <w:szCs w:val="21"/>
        </w:rPr>
        <w:t>2025年5月14日—</w:t>
      </w:r>
      <w:r>
        <w:rPr>
          <w:rFonts w:hint="eastAsia"/>
          <w:sz w:val="21"/>
          <w:szCs w:val="21"/>
          <w:lang w:val="en-US" w:eastAsia="zh-CN"/>
        </w:rPr>
        <w:t>2026年5月21日）</w:t>
      </w:r>
      <w:r>
        <w:rPr>
          <w:rFonts w:hint="eastAsia"/>
          <w:sz w:val="21"/>
          <w:szCs w:val="21"/>
        </w:rPr>
        <w:t xml:space="preserve"> </w:t>
      </w:r>
    </w:p>
    <w:p>
      <w:pPr>
        <w:pStyle w:val="7"/>
        <w:spacing w:before="0" w:beforeAutospacing="0" w:after="0" w:afterAutospacing="0" w:line="360" w:lineRule="auto"/>
        <w:ind w:firstLine="420"/>
        <w:rPr>
          <w:rFonts w:hint="eastAsia"/>
          <w:sz w:val="21"/>
          <w:szCs w:val="21"/>
        </w:rPr>
      </w:pPr>
      <w:bookmarkStart w:id="30" w:name="chapter_level1_5_53_section_3"/>
      <w:bookmarkEnd w:id="30"/>
      <w:bookmarkStart w:id="31" w:name="field_0_managerpersoninfo2_1_start"/>
      <w:bookmarkEnd w:id="31"/>
      <w:r>
        <w:rPr>
          <w:rFonts w:hint="eastAsia"/>
          <w:sz w:val="21"/>
          <w:szCs w:val="21"/>
        </w:rPr>
        <w:t xml:space="preserve">4、投资决策委员会成员 </w:t>
      </w:r>
    </w:p>
    <w:p>
      <w:pPr>
        <w:pStyle w:val="7"/>
        <w:spacing w:before="0" w:beforeAutospacing="0" w:after="0" w:afterAutospacing="0" w:line="360" w:lineRule="auto"/>
        <w:ind w:firstLine="420"/>
        <w:rPr>
          <w:rFonts w:hint="eastAsia"/>
          <w:sz w:val="21"/>
          <w:szCs w:val="21"/>
        </w:rPr>
      </w:pPr>
      <w:r>
        <w:rPr>
          <w:rFonts w:hint="eastAsia"/>
          <w:sz w:val="21"/>
          <w:szCs w:val="21"/>
        </w:rPr>
        <w:t>公司投资决策委员会专职委员兼年金投资部总经理于善辉先生。</w:t>
      </w:r>
    </w:p>
    <w:p>
      <w:pPr>
        <w:pStyle w:val="7"/>
        <w:spacing w:before="0" w:beforeAutospacing="0" w:after="0" w:afterAutospacing="0" w:line="360" w:lineRule="auto"/>
        <w:ind w:firstLine="420"/>
        <w:rPr>
          <w:rFonts w:hint="eastAsia"/>
          <w:sz w:val="21"/>
          <w:szCs w:val="21"/>
        </w:rPr>
      </w:pPr>
      <w:r>
        <w:rPr>
          <w:rFonts w:hint="eastAsia"/>
          <w:sz w:val="21"/>
          <w:szCs w:val="21"/>
        </w:rPr>
        <w:t xml:space="preserve">公司首席资产配置官黄健斌先生。 </w:t>
      </w:r>
    </w:p>
    <w:p>
      <w:pPr>
        <w:pStyle w:val="7"/>
        <w:spacing w:before="0" w:beforeAutospacing="0" w:after="0" w:afterAutospacing="0" w:line="360" w:lineRule="auto"/>
        <w:ind w:firstLine="420"/>
        <w:rPr>
          <w:rFonts w:hint="eastAsia"/>
          <w:sz w:val="21"/>
          <w:szCs w:val="21"/>
        </w:rPr>
      </w:pPr>
      <w:r>
        <w:rPr>
          <w:rFonts w:hint="eastAsia"/>
          <w:sz w:val="21"/>
          <w:szCs w:val="21"/>
        </w:rPr>
        <w:t xml:space="preserve">首席基金经理过钧先生。 </w:t>
      </w:r>
    </w:p>
    <w:p>
      <w:pPr>
        <w:pStyle w:val="7"/>
        <w:spacing w:before="0" w:beforeAutospacing="0" w:after="0" w:afterAutospacing="0" w:line="360" w:lineRule="auto"/>
        <w:ind w:firstLine="420"/>
        <w:rPr>
          <w:rFonts w:hint="eastAsia"/>
          <w:sz w:val="21"/>
          <w:szCs w:val="21"/>
        </w:rPr>
      </w:pPr>
      <w:r>
        <w:rPr>
          <w:rFonts w:hint="eastAsia"/>
          <w:sz w:val="21"/>
          <w:szCs w:val="21"/>
        </w:rPr>
        <w:t xml:space="preserve">首席投资官兼权益投研一体化总监、境外投资部总经理曾鹏先生。 </w:t>
      </w:r>
    </w:p>
    <w:p>
      <w:pPr>
        <w:pStyle w:val="7"/>
        <w:spacing w:before="0" w:beforeAutospacing="0" w:after="0" w:afterAutospacing="0" w:line="360" w:lineRule="auto"/>
        <w:ind w:firstLine="420"/>
        <w:rPr>
          <w:rFonts w:hint="eastAsia"/>
          <w:sz w:val="21"/>
          <w:szCs w:val="21"/>
        </w:rPr>
      </w:pPr>
      <w:r>
        <w:rPr>
          <w:rFonts w:hint="eastAsia"/>
          <w:sz w:val="21"/>
          <w:szCs w:val="21"/>
        </w:rPr>
        <w:t xml:space="preserve">董事总经理兼权益投资三部总经理、权益投资三部投资总监蔡滨先生。 </w:t>
      </w:r>
    </w:p>
    <w:p>
      <w:pPr>
        <w:pStyle w:val="7"/>
        <w:spacing w:before="0" w:beforeAutospacing="0" w:after="0" w:afterAutospacing="0" w:line="360" w:lineRule="auto"/>
        <w:ind w:firstLine="420"/>
        <w:rPr>
          <w:rFonts w:hint="eastAsia"/>
          <w:sz w:val="21"/>
          <w:szCs w:val="21"/>
        </w:rPr>
      </w:pPr>
      <w:r>
        <w:rPr>
          <w:rFonts w:hint="eastAsia"/>
          <w:sz w:val="21"/>
          <w:szCs w:val="21"/>
        </w:rPr>
        <w:t xml:space="preserve">行业研究部总经理魏立先生。 </w:t>
      </w:r>
    </w:p>
    <w:p>
      <w:pPr>
        <w:pStyle w:val="7"/>
        <w:spacing w:before="0" w:beforeAutospacing="0" w:after="0" w:afterAutospacing="0" w:line="360" w:lineRule="auto"/>
        <w:ind w:firstLine="420"/>
        <w:rPr>
          <w:rFonts w:hint="eastAsia"/>
          <w:sz w:val="21"/>
          <w:szCs w:val="21"/>
        </w:rPr>
      </w:pPr>
      <w:r>
        <w:rPr>
          <w:rFonts w:hint="eastAsia"/>
          <w:sz w:val="21"/>
          <w:szCs w:val="21"/>
        </w:rPr>
        <w:t xml:space="preserve">宏观策略部总经理兼行业研究部研究总监金晟哲先生。 </w:t>
      </w:r>
    </w:p>
    <w:p>
      <w:pPr>
        <w:pStyle w:val="7"/>
        <w:spacing w:before="0" w:beforeAutospacing="0" w:after="0" w:afterAutospacing="0" w:line="360" w:lineRule="auto"/>
        <w:ind w:firstLine="420"/>
        <w:rPr>
          <w:rFonts w:hint="eastAsia"/>
          <w:sz w:val="21"/>
          <w:szCs w:val="21"/>
        </w:rPr>
      </w:pPr>
      <w:r>
        <w:rPr>
          <w:rFonts w:hint="eastAsia"/>
          <w:sz w:val="21"/>
          <w:szCs w:val="21"/>
        </w:rPr>
        <w:t xml:space="preserve">指数与量化投资部总经理兼指数与量化投资部投资总监赵云阳先生。  </w:t>
      </w:r>
    </w:p>
    <w:p>
      <w:pPr>
        <w:pStyle w:val="7"/>
        <w:spacing w:before="0" w:beforeAutospacing="0" w:after="0" w:afterAutospacing="0" w:line="360" w:lineRule="auto"/>
        <w:ind w:firstLine="420"/>
        <w:rPr>
          <w:sz w:val="21"/>
          <w:szCs w:val="21"/>
        </w:rPr>
      </w:pPr>
      <w:r>
        <w:rPr>
          <w:rFonts w:hint="eastAsia"/>
          <w:sz w:val="21"/>
          <w:szCs w:val="21"/>
        </w:rPr>
        <w:t xml:space="preserve">5、上述人员之间均不存在近亲属关系。 </w:t>
      </w:r>
      <w:bookmarkStart w:id="32" w:name="field_0_managerpersoninfo2_1_end"/>
      <w:bookmarkEnd w:id="32"/>
      <w:r>
        <w:rPr>
          <w:rFonts w:hint="eastAsia"/>
          <w:sz w:val="21"/>
          <w:szCs w:val="21"/>
        </w:rPr>
        <w:t xml:space="preserve">  </w:t>
      </w:r>
    </w:p>
    <w:p>
      <w:pPr>
        <w:pStyle w:val="7"/>
        <w:spacing w:before="0" w:beforeAutospacing="0" w:after="0" w:afterAutospacing="0" w:line="360" w:lineRule="auto"/>
        <w:ind w:firstLine="420"/>
        <w:rPr>
          <w:sz w:val="21"/>
          <w:szCs w:val="21"/>
        </w:rPr>
      </w:pPr>
      <w:bookmarkStart w:id="33" w:name="chapter_level1_5_53_section_4"/>
      <w:bookmarkEnd w:id="33"/>
      <w:r>
        <w:rPr>
          <w:rStyle w:val="11"/>
          <w:rFonts w:hint="eastAsia"/>
          <w:sz w:val="21"/>
          <w:szCs w:val="21"/>
        </w:rPr>
        <w:t>三、基金管理人的职责</w:t>
      </w:r>
    </w:p>
    <w:p>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8、采取适当合理的措施使计算基金份额认购价格、申购对价、赎回对价的方法符合《基金合同》等法律文件的规定，按有关规定计算并公告基金净值信息，确定基金份额申购、赎回对价，编制申购赎回清单； </w:t>
      </w:r>
    </w:p>
    <w:p>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向审计、法律等外部专业顾问提供的情况除外； </w:t>
      </w:r>
    </w:p>
    <w:p>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14、按规定受理申购与赎回申请，及时、足额支付赎回对价； </w:t>
      </w:r>
    </w:p>
    <w:p>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16、按规定保存基金财产管理业务活动的会计账册、报表、记录和其他相关资料，保存期限不低于法定最低期限； </w:t>
      </w:r>
    </w:p>
    <w:p>
      <w:pPr>
        <w:pStyle w:val="7"/>
        <w:spacing w:before="0" w:beforeAutospacing="0" w:after="0" w:afterAutospacing="0" w:line="360" w:lineRule="auto"/>
        <w:ind w:firstLine="420"/>
        <w:rPr>
          <w:sz w:val="21"/>
          <w:szCs w:val="21"/>
        </w:rPr>
      </w:pPr>
      <w:r>
        <w:rPr>
          <w:rFonts w:hint="eastAsia"/>
          <w:sz w:val="21"/>
          <w:szCs w:val="21"/>
        </w:rPr>
        <w:t xml:space="preserve">17、确保需要向基金投资人提供的各项文件或资料在规定时间发出，并且保证投资人能够按照《基金合同》规定的时间和方式，随时查阅到与基金有关的公开资料，并在支付合理成本的条件下得到有关资料的复印件； </w:t>
      </w:r>
    </w:p>
    <w:p>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pPr>
        <w:pStyle w:val="7"/>
        <w:spacing w:before="0" w:beforeAutospacing="0" w:after="0" w:afterAutospacing="0" w:line="360" w:lineRule="auto"/>
        <w:ind w:firstLine="420"/>
        <w:rPr>
          <w:sz w:val="21"/>
          <w:szCs w:val="21"/>
        </w:rPr>
      </w:pPr>
      <w:r>
        <w:rPr>
          <w:rFonts w:hint="eastAsia"/>
          <w:sz w:val="21"/>
          <w:szCs w:val="21"/>
        </w:rPr>
        <w:t xml:space="preserve">24、基金在募集期间未能达到基金的备案条件，基金合同不能生效，基金管理人承担全部募集费用，将已募集资金并加计银行同期活期存款利息在基金募集期结束后30日内退还基金认购人，对于基金募集期间网下股票认购所冻结的股票，发售代理机构应予以解冻； </w:t>
      </w:r>
    </w:p>
    <w:p>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pPr>
        <w:pStyle w:val="7"/>
        <w:spacing w:before="0" w:beforeAutospacing="0" w:after="0" w:afterAutospacing="0" w:line="360" w:lineRule="auto"/>
        <w:ind w:firstLine="420"/>
        <w:rPr>
          <w:sz w:val="21"/>
          <w:szCs w:val="21"/>
        </w:rPr>
      </w:pPr>
      <w:r>
        <w:rPr>
          <w:rStyle w:val="11"/>
          <w:rFonts w:hint="eastAsia"/>
          <w:sz w:val="21"/>
          <w:szCs w:val="21"/>
        </w:rPr>
        <w:t>四、基金管理人的承诺</w:t>
      </w:r>
    </w:p>
    <w:p>
      <w:pPr>
        <w:pStyle w:val="7"/>
        <w:spacing w:before="0" w:beforeAutospacing="0" w:after="0" w:afterAutospacing="0" w:line="360" w:lineRule="auto"/>
        <w:ind w:firstLine="420"/>
        <w:rPr>
          <w:sz w:val="21"/>
          <w:szCs w:val="21"/>
        </w:rPr>
      </w:pPr>
      <w:r>
        <w:rPr>
          <w:rFonts w:hint="eastAsia"/>
          <w:sz w:val="21"/>
          <w:szCs w:val="21"/>
        </w:rPr>
        <w:t xml:space="preserve">1、基金管理人承诺不从事违反《中华人民共和国证券法》的行为，并承诺建立健全内部控制制度，采取有效措施，防止违反《中华人民共和国证券法》行为的发生； </w:t>
      </w:r>
    </w:p>
    <w:p>
      <w:pPr>
        <w:pStyle w:val="7"/>
        <w:spacing w:before="0" w:beforeAutospacing="0" w:after="0" w:afterAutospacing="0" w:line="360" w:lineRule="auto"/>
        <w:ind w:firstLine="420"/>
        <w:rPr>
          <w:sz w:val="21"/>
          <w:szCs w:val="21"/>
        </w:rPr>
      </w:pPr>
      <w:r>
        <w:rPr>
          <w:rFonts w:hint="eastAsia"/>
          <w:sz w:val="21"/>
          <w:szCs w:val="21"/>
        </w:rPr>
        <w:t xml:space="preserve">2、基金管理人承诺不从事违反《基金法》的行为，并承诺建立健全内部风险控制制度，采取有效措施，防止下列行为的发生： </w:t>
      </w:r>
    </w:p>
    <w:p>
      <w:pPr>
        <w:pStyle w:val="7"/>
        <w:spacing w:before="0" w:beforeAutospacing="0" w:after="0" w:afterAutospacing="0" w:line="360" w:lineRule="auto"/>
        <w:ind w:firstLine="420"/>
        <w:rPr>
          <w:sz w:val="21"/>
          <w:szCs w:val="21"/>
        </w:rPr>
      </w:pPr>
      <w:r>
        <w:rPr>
          <w:rFonts w:hint="eastAsia"/>
          <w:sz w:val="21"/>
          <w:szCs w:val="21"/>
        </w:rPr>
        <w:t xml:space="preserve">（1）将基金管理人固有财产或者他人财产混同于基金财产从事证券投资； </w:t>
      </w:r>
    </w:p>
    <w:p>
      <w:pPr>
        <w:pStyle w:val="7"/>
        <w:spacing w:before="0" w:beforeAutospacing="0" w:after="0" w:afterAutospacing="0" w:line="360" w:lineRule="auto"/>
        <w:ind w:firstLine="420"/>
        <w:rPr>
          <w:sz w:val="21"/>
          <w:szCs w:val="21"/>
        </w:rPr>
      </w:pPr>
      <w:r>
        <w:rPr>
          <w:rFonts w:hint="eastAsia"/>
          <w:sz w:val="21"/>
          <w:szCs w:val="21"/>
        </w:rPr>
        <w:t xml:space="preserve">（2）不公平地对待管理的不同基金财产； </w:t>
      </w:r>
    </w:p>
    <w:p>
      <w:pPr>
        <w:pStyle w:val="7"/>
        <w:spacing w:before="0" w:beforeAutospacing="0" w:after="0" w:afterAutospacing="0" w:line="360" w:lineRule="auto"/>
        <w:ind w:firstLine="420"/>
        <w:rPr>
          <w:sz w:val="21"/>
          <w:szCs w:val="21"/>
        </w:rPr>
      </w:pPr>
      <w:r>
        <w:rPr>
          <w:rFonts w:hint="eastAsia"/>
          <w:sz w:val="21"/>
          <w:szCs w:val="21"/>
        </w:rPr>
        <w:t xml:space="preserve">（3）利用基金财产或者职务之便为基金份额持有人以外的第三人牟取利益； </w:t>
      </w:r>
    </w:p>
    <w:p>
      <w:pPr>
        <w:pStyle w:val="7"/>
        <w:spacing w:before="0" w:beforeAutospacing="0" w:after="0" w:afterAutospacing="0" w:line="360" w:lineRule="auto"/>
        <w:ind w:firstLine="420"/>
        <w:rPr>
          <w:sz w:val="21"/>
          <w:szCs w:val="21"/>
        </w:rPr>
      </w:pPr>
      <w:r>
        <w:rPr>
          <w:rFonts w:hint="eastAsia"/>
          <w:sz w:val="21"/>
          <w:szCs w:val="21"/>
        </w:rPr>
        <w:t xml:space="preserve">（4）向基金份额持有人违规承诺收益或者承担损失； </w:t>
      </w:r>
    </w:p>
    <w:p>
      <w:pPr>
        <w:pStyle w:val="7"/>
        <w:spacing w:before="0" w:beforeAutospacing="0" w:after="0" w:afterAutospacing="0" w:line="360" w:lineRule="auto"/>
        <w:ind w:firstLine="420"/>
        <w:rPr>
          <w:sz w:val="21"/>
          <w:szCs w:val="21"/>
        </w:rPr>
      </w:pPr>
      <w:r>
        <w:rPr>
          <w:rFonts w:hint="eastAsia"/>
          <w:sz w:val="21"/>
          <w:szCs w:val="21"/>
        </w:rPr>
        <w:t xml:space="preserve">（5）侵占、挪用基金财产； </w:t>
      </w:r>
    </w:p>
    <w:p>
      <w:pPr>
        <w:pStyle w:val="7"/>
        <w:spacing w:before="0" w:beforeAutospacing="0" w:after="0" w:afterAutospacing="0" w:line="360" w:lineRule="auto"/>
        <w:ind w:firstLine="420"/>
        <w:rPr>
          <w:sz w:val="21"/>
          <w:szCs w:val="21"/>
        </w:rPr>
      </w:pPr>
      <w:r>
        <w:rPr>
          <w:rFonts w:hint="eastAsia"/>
          <w:sz w:val="21"/>
          <w:szCs w:val="21"/>
        </w:rPr>
        <w:t xml:space="preserve">（6）泄露因职务便利获取的未公开信息、利用该信息从事或者明示、暗示他人从事相关的交易活动； </w:t>
      </w:r>
    </w:p>
    <w:p>
      <w:pPr>
        <w:pStyle w:val="7"/>
        <w:spacing w:before="0" w:beforeAutospacing="0" w:after="0" w:afterAutospacing="0" w:line="360" w:lineRule="auto"/>
        <w:ind w:firstLine="420"/>
        <w:rPr>
          <w:sz w:val="21"/>
          <w:szCs w:val="21"/>
        </w:rPr>
      </w:pPr>
      <w:r>
        <w:rPr>
          <w:rFonts w:hint="eastAsia"/>
          <w:sz w:val="21"/>
          <w:szCs w:val="21"/>
        </w:rPr>
        <w:t xml:space="preserve">（7）玩忽职守，不按照规定履行职责； </w:t>
      </w:r>
    </w:p>
    <w:p>
      <w:pPr>
        <w:pStyle w:val="7"/>
        <w:spacing w:before="0" w:beforeAutospacing="0" w:after="0" w:afterAutospacing="0" w:line="360" w:lineRule="auto"/>
        <w:ind w:firstLine="420"/>
        <w:rPr>
          <w:sz w:val="21"/>
          <w:szCs w:val="21"/>
        </w:rPr>
      </w:pPr>
      <w:r>
        <w:rPr>
          <w:rFonts w:hint="eastAsia"/>
          <w:sz w:val="21"/>
          <w:szCs w:val="21"/>
        </w:rPr>
        <w:t xml:space="preserve">（8）法律、行政法规和中国证监会规定禁止的其他行为。 </w:t>
      </w:r>
    </w:p>
    <w:p>
      <w:pPr>
        <w:pStyle w:val="7"/>
        <w:spacing w:before="0" w:beforeAutospacing="0" w:after="0" w:afterAutospacing="0" w:line="360" w:lineRule="auto"/>
        <w:ind w:firstLine="420"/>
        <w:rPr>
          <w:sz w:val="21"/>
          <w:szCs w:val="21"/>
        </w:rPr>
      </w:pPr>
      <w:r>
        <w:rPr>
          <w:rFonts w:hint="eastAsia"/>
          <w:sz w:val="21"/>
          <w:szCs w:val="21"/>
        </w:rPr>
        <w:t xml:space="preserve">3、基金管理人承诺严格遵守基金合同，并承诺建立健全内部控制制度，采取有效措施，防止违反基金合同行为的发生； </w:t>
      </w:r>
    </w:p>
    <w:p>
      <w:pPr>
        <w:pStyle w:val="7"/>
        <w:spacing w:before="0" w:beforeAutospacing="0" w:after="0" w:afterAutospacing="0" w:line="360" w:lineRule="auto"/>
        <w:ind w:firstLine="420"/>
        <w:rPr>
          <w:sz w:val="21"/>
          <w:szCs w:val="21"/>
        </w:rPr>
      </w:pPr>
      <w:r>
        <w:rPr>
          <w:rFonts w:hint="eastAsia"/>
          <w:sz w:val="21"/>
          <w:szCs w:val="21"/>
        </w:rPr>
        <w:t xml:space="preserve">4、基金管理人承诺加强人员管理，强化职业操守，督促和约束员工遵守国家有关法律法规及行业规范，诚实信用、勤勉尽责； </w:t>
      </w:r>
    </w:p>
    <w:p>
      <w:pPr>
        <w:pStyle w:val="7"/>
        <w:spacing w:before="0" w:beforeAutospacing="0" w:after="0" w:afterAutospacing="0" w:line="360" w:lineRule="auto"/>
        <w:ind w:firstLine="420"/>
        <w:rPr>
          <w:sz w:val="21"/>
          <w:szCs w:val="21"/>
        </w:rPr>
      </w:pPr>
      <w:r>
        <w:rPr>
          <w:rFonts w:hint="eastAsia"/>
          <w:sz w:val="21"/>
          <w:szCs w:val="21"/>
        </w:rPr>
        <w:t xml:space="preserve">5、基金管理人承诺不从事其他法规规定禁止从事的行为。 </w:t>
      </w:r>
    </w:p>
    <w:p>
      <w:pPr>
        <w:pStyle w:val="7"/>
        <w:spacing w:before="0" w:beforeAutospacing="0" w:after="0" w:afterAutospacing="0" w:line="360" w:lineRule="auto"/>
        <w:ind w:firstLine="420"/>
        <w:rPr>
          <w:sz w:val="21"/>
          <w:szCs w:val="21"/>
        </w:rPr>
      </w:pPr>
      <w:r>
        <w:rPr>
          <w:rStyle w:val="11"/>
          <w:rFonts w:hint="eastAsia"/>
          <w:sz w:val="21"/>
          <w:szCs w:val="21"/>
        </w:rPr>
        <w:t>五、基金经理承诺</w:t>
      </w:r>
    </w:p>
    <w:p>
      <w:pPr>
        <w:pStyle w:val="7"/>
        <w:spacing w:before="0" w:beforeAutospacing="0" w:after="0" w:afterAutospacing="0" w:line="360" w:lineRule="auto"/>
        <w:ind w:firstLine="420"/>
        <w:rPr>
          <w:sz w:val="21"/>
          <w:szCs w:val="21"/>
        </w:rPr>
      </w:pPr>
      <w:r>
        <w:rPr>
          <w:rFonts w:hint="eastAsia"/>
          <w:sz w:val="21"/>
          <w:szCs w:val="21"/>
        </w:rPr>
        <w:t xml:space="preserve">1、依照有关法律法规和基金合同的规定，本着谨慎的原则为基金份额持有人谋取最大利益； </w:t>
      </w:r>
    </w:p>
    <w:p>
      <w:pPr>
        <w:pStyle w:val="7"/>
        <w:spacing w:before="0" w:beforeAutospacing="0" w:after="0" w:afterAutospacing="0" w:line="360" w:lineRule="auto"/>
        <w:ind w:firstLine="420"/>
        <w:rPr>
          <w:sz w:val="21"/>
          <w:szCs w:val="21"/>
        </w:rPr>
      </w:pPr>
      <w:r>
        <w:rPr>
          <w:rFonts w:hint="eastAsia"/>
          <w:sz w:val="21"/>
          <w:szCs w:val="21"/>
        </w:rPr>
        <w:t xml:space="preserve">2、不利用职务之便为自己、受雇人或任何第三者谋取利益； </w:t>
      </w:r>
    </w:p>
    <w:p>
      <w:pPr>
        <w:pStyle w:val="7"/>
        <w:spacing w:before="0" w:beforeAutospacing="0" w:after="0" w:afterAutospacing="0" w:line="360" w:lineRule="auto"/>
        <w:ind w:firstLine="420"/>
        <w:rPr>
          <w:sz w:val="21"/>
          <w:szCs w:val="21"/>
        </w:rPr>
      </w:pPr>
      <w:r>
        <w:rPr>
          <w:rFonts w:hint="eastAsia"/>
          <w:sz w:val="21"/>
          <w:szCs w:val="21"/>
        </w:rPr>
        <w:t xml:space="preserve">3、不泄露在任职期间知悉的有关证券、基金的商业秘密，尚未依法公开的基金投资内容、基金投资计划等信息，或利用该信息从事或者明示、暗示他人从事相关的交易活动； </w:t>
      </w:r>
    </w:p>
    <w:p>
      <w:pPr>
        <w:pStyle w:val="7"/>
        <w:spacing w:before="0" w:beforeAutospacing="0" w:after="0" w:afterAutospacing="0" w:line="360" w:lineRule="auto"/>
        <w:ind w:firstLine="420"/>
        <w:rPr>
          <w:sz w:val="21"/>
          <w:szCs w:val="21"/>
        </w:rPr>
      </w:pPr>
      <w:r>
        <w:rPr>
          <w:rFonts w:hint="eastAsia"/>
          <w:sz w:val="21"/>
          <w:szCs w:val="21"/>
        </w:rPr>
        <w:t xml:space="preserve">4、不以任何形式为其他组织或个人进行证券交易。 </w:t>
      </w:r>
    </w:p>
    <w:p>
      <w:pPr>
        <w:pStyle w:val="7"/>
        <w:spacing w:before="0" w:beforeAutospacing="0" w:after="0" w:afterAutospacing="0" w:line="360" w:lineRule="auto"/>
        <w:ind w:firstLine="420"/>
        <w:rPr>
          <w:sz w:val="21"/>
          <w:szCs w:val="21"/>
        </w:rPr>
      </w:pPr>
      <w:r>
        <w:rPr>
          <w:rFonts w:hint="eastAsia"/>
          <w:b/>
          <w:bCs/>
          <w:sz w:val="21"/>
          <w:szCs w:val="21"/>
        </w:rPr>
        <w:t>六、基金管理人的内部控制制度</w:t>
      </w:r>
    </w:p>
    <w:p>
      <w:pPr>
        <w:pStyle w:val="7"/>
        <w:spacing w:before="0" w:beforeAutospacing="0" w:after="0" w:afterAutospacing="0" w:line="360" w:lineRule="auto"/>
        <w:ind w:firstLine="420"/>
        <w:rPr>
          <w:sz w:val="21"/>
          <w:szCs w:val="21"/>
        </w:rPr>
      </w:pPr>
      <w:r>
        <w:rPr>
          <w:rFonts w:hint="eastAsia"/>
          <w:sz w:val="21"/>
          <w:szCs w:val="21"/>
        </w:rPr>
        <w:t xml:space="preserve">1、风险管理的原则 </w:t>
      </w:r>
    </w:p>
    <w:p>
      <w:pPr>
        <w:pStyle w:val="7"/>
        <w:spacing w:before="0" w:beforeAutospacing="0" w:after="0" w:afterAutospacing="0" w:line="360" w:lineRule="auto"/>
        <w:ind w:firstLine="420"/>
        <w:rPr>
          <w:sz w:val="21"/>
          <w:szCs w:val="21"/>
        </w:rPr>
      </w:pPr>
      <w:r>
        <w:rPr>
          <w:rFonts w:hint="eastAsia"/>
          <w:sz w:val="21"/>
          <w:szCs w:val="21"/>
        </w:rPr>
        <w:t xml:space="preserve">（1）全面性原则  </w:t>
      </w:r>
    </w:p>
    <w:p>
      <w:pPr>
        <w:pStyle w:val="7"/>
        <w:spacing w:before="0" w:beforeAutospacing="0" w:after="0" w:afterAutospacing="0" w:line="360" w:lineRule="auto"/>
        <w:ind w:firstLine="420"/>
        <w:rPr>
          <w:sz w:val="21"/>
          <w:szCs w:val="21"/>
        </w:rPr>
      </w:pPr>
      <w:r>
        <w:rPr>
          <w:rFonts w:hint="eastAsia"/>
          <w:sz w:val="21"/>
          <w:szCs w:val="21"/>
        </w:rPr>
        <w:t xml:space="preserve">公司风险管理必须覆盖公司的所有部门和岗位，渗透各项业务过程和业务环节。 </w:t>
      </w:r>
    </w:p>
    <w:p>
      <w:pPr>
        <w:pStyle w:val="7"/>
        <w:spacing w:before="0" w:beforeAutospacing="0" w:after="0" w:afterAutospacing="0" w:line="360" w:lineRule="auto"/>
        <w:ind w:firstLine="420"/>
        <w:rPr>
          <w:sz w:val="21"/>
          <w:szCs w:val="21"/>
        </w:rPr>
      </w:pPr>
      <w:r>
        <w:rPr>
          <w:rFonts w:hint="eastAsia"/>
          <w:sz w:val="21"/>
          <w:szCs w:val="21"/>
        </w:rPr>
        <w:t xml:space="preserve">（2）独立性原则  </w:t>
      </w:r>
    </w:p>
    <w:p>
      <w:pPr>
        <w:pStyle w:val="7"/>
        <w:spacing w:before="0" w:beforeAutospacing="0" w:after="0" w:afterAutospacing="0" w:line="360" w:lineRule="auto"/>
        <w:ind w:firstLine="420"/>
        <w:rPr>
          <w:sz w:val="21"/>
          <w:szCs w:val="21"/>
        </w:rPr>
      </w:pPr>
      <w:r>
        <w:rPr>
          <w:rFonts w:hint="eastAsia"/>
          <w:sz w:val="21"/>
          <w:szCs w:val="21"/>
        </w:rPr>
        <w:t xml:space="preserve">公司设立独立的法律合规部，法律合规部保持高度的独立性和权威性，负责对公司各部门风险控制工作进行监督和检查。 </w:t>
      </w:r>
    </w:p>
    <w:p>
      <w:pPr>
        <w:pStyle w:val="7"/>
        <w:spacing w:before="0" w:beforeAutospacing="0" w:after="0" w:afterAutospacing="0" w:line="360" w:lineRule="auto"/>
        <w:ind w:firstLine="420"/>
        <w:rPr>
          <w:sz w:val="21"/>
          <w:szCs w:val="21"/>
        </w:rPr>
      </w:pPr>
      <w:r>
        <w:rPr>
          <w:rFonts w:hint="eastAsia"/>
          <w:sz w:val="21"/>
          <w:szCs w:val="21"/>
        </w:rPr>
        <w:t xml:space="preserve">（3）相互制约原则  </w:t>
      </w:r>
    </w:p>
    <w:p>
      <w:pPr>
        <w:pStyle w:val="7"/>
        <w:spacing w:before="0" w:beforeAutospacing="0" w:after="0" w:afterAutospacing="0" w:line="360" w:lineRule="auto"/>
        <w:ind w:firstLine="420"/>
        <w:rPr>
          <w:sz w:val="21"/>
          <w:szCs w:val="21"/>
        </w:rPr>
      </w:pPr>
      <w:r>
        <w:rPr>
          <w:rFonts w:hint="eastAsia"/>
          <w:sz w:val="21"/>
          <w:szCs w:val="21"/>
        </w:rPr>
        <w:t xml:space="preserve">公司及各部门在内部组织结构的设计上要形成一种相互制约的机制，建立不同岗位之间的制衡体系。 </w:t>
      </w:r>
    </w:p>
    <w:p>
      <w:pPr>
        <w:pStyle w:val="7"/>
        <w:spacing w:before="0" w:beforeAutospacing="0" w:after="0" w:afterAutospacing="0" w:line="360" w:lineRule="auto"/>
        <w:ind w:firstLine="420"/>
        <w:rPr>
          <w:sz w:val="21"/>
          <w:szCs w:val="21"/>
        </w:rPr>
      </w:pPr>
      <w:r>
        <w:rPr>
          <w:rFonts w:hint="eastAsia"/>
          <w:sz w:val="21"/>
          <w:szCs w:val="21"/>
        </w:rPr>
        <w:t xml:space="preserve">（4）定性和定量相结合原则  </w:t>
      </w:r>
    </w:p>
    <w:p>
      <w:pPr>
        <w:pStyle w:val="7"/>
        <w:spacing w:before="0" w:beforeAutospacing="0" w:after="0" w:afterAutospacing="0" w:line="360" w:lineRule="auto"/>
        <w:ind w:firstLine="420"/>
        <w:rPr>
          <w:sz w:val="21"/>
          <w:szCs w:val="21"/>
        </w:rPr>
      </w:pPr>
      <w:r>
        <w:rPr>
          <w:rFonts w:hint="eastAsia"/>
          <w:sz w:val="21"/>
          <w:szCs w:val="21"/>
        </w:rPr>
        <w:t xml:space="preserve">建立完备的风险管理指标体系，使风险管理更具客观性和操作性。 </w:t>
      </w:r>
    </w:p>
    <w:p>
      <w:pPr>
        <w:pStyle w:val="7"/>
        <w:spacing w:before="0" w:beforeAutospacing="0" w:after="0" w:afterAutospacing="0" w:line="360" w:lineRule="auto"/>
        <w:ind w:firstLine="420"/>
        <w:rPr>
          <w:sz w:val="21"/>
          <w:szCs w:val="21"/>
        </w:rPr>
      </w:pPr>
      <w:r>
        <w:rPr>
          <w:rFonts w:hint="eastAsia"/>
          <w:sz w:val="21"/>
          <w:szCs w:val="21"/>
        </w:rPr>
        <w:t xml:space="preserve">2、风险管理和内部风险控制体系结构 </w:t>
      </w:r>
    </w:p>
    <w:p>
      <w:pPr>
        <w:pStyle w:val="7"/>
        <w:spacing w:before="0" w:beforeAutospacing="0" w:after="0" w:afterAutospacing="0" w:line="360" w:lineRule="auto"/>
        <w:ind w:firstLine="420"/>
        <w:rPr>
          <w:sz w:val="21"/>
          <w:szCs w:val="21"/>
        </w:rPr>
      </w:pPr>
      <w:r>
        <w:rPr>
          <w:rFonts w:hint="eastAsia"/>
          <w:sz w:val="21"/>
          <w:szCs w:val="21"/>
        </w:rPr>
        <w:t xml:space="preserve">公司的风险管理体系结构是一个分工明确、相互牵制的组织结构，由最高管理层对风险管理负最终责任，各个业务部门负责本部门的风险评估和监控，法律合规部负责监督和检查公司的风险管理措施的执行。具体而言，包括如下组成部分： </w:t>
      </w:r>
    </w:p>
    <w:p>
      <w:pPr>
        <w:pStyle w:val="7"/>
        <w:spacing w:before="0" w:beforeAutospacing="0" w:after="0" w:afterAutospacing="0" w:line="360" w:lineRule="auto"/>
        <w:ind w:firstLine="420"/>
        <w:rPr>
          <w:sz w:val="21"/>
          <w:szCs w:val="21"/>
        </w:rPr>
      </w:pPr>
      <w:r>
        <w:rPr>
          <w:rFonts w:hint="eastAsia"/>
          <w:sz w:val="21"/>
          <w:szCs w:val="21"/>
        </w:rPr>
        <w:t xml:space="preserve">（1）董事会  </w:t>
      </w:r>
    </w:p>
    <w:p>
      <w:pPr>
        <w:pStyle w:val="7"/>
        <w:spacing w:before="0" w:beforeAutospacing="0" w:after="0" w:afterAutospacing="0" w:line="360" w:lineRule="auto"/>
        <w:ind w:firstLine="420"/>
        <w:rPr>
          <w:sz w:val="21"/>
          <w:szCs w:val="21"/>
        </w:rPr>
      </w:pPr>
      <w:r>
        <w:rPr>
          <w:rFonts w:hint="eastAsia"/>
          <w:sz w:val="21"/>
          <w:szCs w:val="21"/>
        </w:rPr>
        <w:t xml:space="preserve">负责制定公司的风险管理政策，对风险管理负完全的和最终的责任。 </w:t>
      </w:r>
    </w:p>
    <w:p>
      <w:pPr>
        <w:pStyle w:val="7"/>
        <w:spacing w:before="0" w:beforeAutospacing="0" w:after="0" w:afterAutospacing="0" w:line="360" w:lineRule="auto"/>
        <w:ind w:firstLine="420"/>
        <w:rPr>
          <w:sz w:val="21"/>
          <w:szCs w:val="21"/>
        </w:rPr>
      </w:pPr>
      <w:r>
        <w:rPr>
          <w:rFonts w:hint="eastAsia"/>
          <w:sz w:val="21"/>
          <w:szCs w:val="21"/>
        </w:rPr>
        <w:t xml:space="preserve">（2）风险管理委员会  </w:t>
      </w:r>
    </w:p>
    <w:p>
      <w:pPr>
        <w:pStyle w:val="7"/>
        <w:spacing w:before="0" w:beforeAutospacing="0" w:after="0" w:afterAutospacing="0" w:line="360" w:lineRule="auto"/>
        <w:ind w:firstLine="420"/>
        <w:rPr>
          <w:sz w:val="21"/>
          <w:szCs w:val="21"/>
        </w:rPr>
      </w:pPr>
      <w:r>
        <w:rPr>
          <w:rFonts w:hint="eastAsia"/>
          <w:sz w:val="21"/>
          <w:szCs w:val="21"/>
        </w:rPr>
        <w:t xml:space="preserve">作为董事会下的专业委员会之一，风险管理委员会负责批准公司风险管理系统文件，即负责确保每一个部门都有合适的系统来识别、评定和监控该部门的风险，负责批准每一个部门的风险级别。负责解决重大的突发的风险。 </w:t>
      </w:r>
    </w:p>
    <w:p>
      <w:pPr>
        <w:pStyle w:val="7"/>
        <w:spacing w:before="0" w:beforeAutospacing="0" w:after="0" w:afterAutospacing="0" w:line="360" w:lineRule="auto"/>
        <w:ind w:firstLine="420"/>
        <w:rPr>
          <w:sz w:val="21"/>
          <w:szCs w:val="21"/>
        </w:rPr>
      </w:pPr>
      <w:r>
        <w:rPr>
          <w:rFonts w:hint="eastAsia"/>
          <w:sz w:val="21"/>
          <w:szCs w:val="21"/>
        </w:rPr>
        <w:t xml:space="preserve">（3）督察长  </w:t>
      </w:r>
    </w:p>
    <w:p>
      <w:pPr>
        <w:pStyle w:val="7"/>
        <w:spacing w:before="0" w:beforeAutospacing="0" w:after="0" w:afterAutospacing="0" w:line="360" w:lineRule="auto"/>
        <w:ind w:firstLine="420"/>
        <w:rPr>
          <w:sz w:val="21"/>
          <w:szCs w:val="21"/>
        </w:rPr>
      </w:pPr>
      <w:r>
        <w:rPr>
          <w:rFonts w:hint="eastAsia"/>
          <w:sz w:val="21"/>
          <w:szCs w:val="21"/>
        </w:rPr>
        <w:t xml:space="preserve">独立行使督察权利；直接对董事会负责；按季向风险管理委员会提交独立的风险管理报告和风险管理建议。 </w:t>
      </w:r>
    </w:p>
    <w:p>
      <w:pPr>
        <w:pStyle w:val="7"/>
        <w:spacing w:before="0" w:beforeAutospacing="0" w:after="0" w:afterAutospacing="0" w:line="360" w:lineRule="auto"/>
        <w:ind w:firstLine="420"/>
        <w:rPr>
          <w:sz w:val="21"/>
          <w:szCs w:val="21"/>
        </w:rPr>
      </w:pPr>
      <w:r>
        <w:rPr>
          <w:rFonts w:hint="eastAsia"/>
          <w:sz w:val="21"/>
          <w:szCs w:val="21"/>
        </w:rPr>
        <w:t xml:space="preserve">（4）法律合规部 </w:t>
      </w:r>
    </w:p>
    <w:p>
      <w:pPr>
        <w:pStyle w:val="7"/>
        <w:spacing w:before="0" w:beforeAutospacing="0" w:after="0" w:afterAutospacing="0" w:line="360" w:lineRule="auto"/>
        <w:ind w:firstLine="420"/>
        <w:rPr>
          <w:sz w:val="21"/>
          <w:szCs w:val="21"/>
        </w:rPr>
      </w:pPr>
      <w:r>
        <w:rPr>
          <w:rFonts w:hint="eastAsia"/>
          <w:sz w:val="21"/>
          <w:szCs w:val="21"/>
        </w:rPr>
        <w:t xml:space="preserve">法律合规部负责对公司风险管理政策和措施的执行情况进行监督和检查，并为每一个部门的风险管理系统的发展提供协助，使公司在一种风险管理和控制的环境中实现业务目标。 </w:t>
      </w:r>
    </w:p>
    <w:p>
      <w:pPr>
        <w:pStyle w:val="7"/>
        <w:spacing w:before="0" w:beforeAutospacing="0" w:after="0" w:afterAutospacing="0" w:line="360" w:lineRule="auto"/>
        <w:ind w:firstLine="420"/>
        <w:rPr>
          <w:sz w:val="21"/>
          <w:szCs w:val="21"/>
        </w:rPr>
      </w:pPr>
      <w:r>
        <w:rPr>
          <w:rFonts w:hint="eastAsia"/>
          <w:sz w:val="21"/>
          <w:szCs w:val="21"/>
        </w:rPr>
        <w:t xml:space="preserve">（5）风险管理部  </w:t>
      </w:r>
    </w:p>
    <w:p>
      <w:pPr>
        <w:pStyle w:val="7"/>
        <w:spacing w:before="0" w:beforeAutospacing="0" w:after="0" w:afterAutospacing="0" w:line="360" w:lineRule="auto"/>
        <w:ind w:firstLine="420"/>
        <w:rPr>
          <w:sz w:val="21"/>
          <w:szCs w:val="21"/>
        </w:rPr>
      </w:pPr>
      <w:r>
        <w:rPr>
          <w:rFonts w:hint="eastAsia"/>
          <w:sz w:val="21"/>
          <w:szCs w:val="21"/>
        </w:rPr>
        <w:t xml:space="preserve">风险管理部负责建立和完善公司投资风险管理制度与流程，组织实施公司投资风险管理与绩效分析工作，确保公司各类投资风险得到良好监督与控制。 </w:t>
      </w:r>
    </w:p>
    <w:p>
      <w:pPr>
        <w:pStyle w:val="7"/>
        <w:spacing w:before="0" w:beforeAutospacing="0" w:after="0" w:afterAutospacing="0" w:line="360" w:lineRule="auto"/>
        <w:ind w:firstLine="420"/>
        <w:rPr>
          <w:sz w:val="21"/>
          <w:szCs w:val="21"/>
        </w:rPr>
      </w:pPr>
      <w:r>
        <w:rPr>
          <w:rFonts w:hint="eastAsia"/>
          <w:sz w:val="21"/>
          <w:szCs w:val="21"/>
        </w:rPr>
        <w:t xml:space="preserve">（6）业务部门  </w:t>
      </w:r>
    </w:p>
    <w:p>
      <w:pPr>
        <w:pStyle w:val="7"/>
        <w:spacing w:before="0" w:beforeAutospacing="0" w:after="0" w:afterAutospacing="0" w:line="360" w:lineRule="auto"/>
        <w:ind w:firstLine="420"/>
        <w:rPr>
          <w:sz w:val="21"/>
          <w:szCs w:val="21"/>
        </w:rPr>
      </w:pPr>
      <w:r>
        <w:rPr>
          <w:rFonts w:hint="eastAsia"/>
          <w:sz w:val="21"/>
          <w:szCs w:val="21"/>
        </w:rPr>
        <w:t xml:space="preserve">风险管理是每一个业务部门最首要的责任。部门经理对本部门的风险负全部责任，负责履行公司的风险管理程序，负责本部门的风险管理系统的开发、执行和维护，用于识别、监控和降低风险。 </w:t>
      </w:r>
    </w:p>
    <w:p>
      <w:pPr>
        <w:pStyle w:val="7"/>
        <w:spacing w:before="0" w:beforeAutospacing="0" w:after="0" w:afterAutospacing="0" w:line="360" w:lineRule="auto"/>
        <w:ind w:firstLine="420"/>
        <w:rPr>
          <w:sz w:val="21"/>
          <w:szCs w:val="21"/>
        </w:rPr>
      </w:pPr>
      <w:r>
        <w:rPr>
          <w:rFonts w:hint="eastAsia"/>
          <w:sz w:val="21"/>
          <w:szCs w:val="21"/>
        </w:rPr>
        <w:t xml:space="preserve">3、风险管理和内部风险控制的措施 </w:t>
      </w:r>
    </w:p>
    <w:p>
      <w:pPr>
        <w:pStyle w:val="7"/>
        <w:spacing w:before="0" w:beforeAutospacing="0" w:after="0" w:afterAutospacing="0" w:line="360" w:lineRule="auto"/>
        <w:ind w:firstLine="420"/>
        <w:rPr>
          <w:sz w:val="21"/>
          <w:szCs w:val="21"/>
        </w:rPr>
      </w:pPr>
      <w:r>
        <w:rPr>
          <w:rFonts w:hint="eastAsia"/>
          <w:sz w:val="21"/>
          <w:szCs w:val="21"/>
        </w:rPr>
        <w:t xml:space="preserve">（1）建立内控结构，完善内控制度  </w:t>
      </w:r>
    </w:p>
    <w:p>
      <w:pPr>
        <w:pStyle w:val="7"/>
        <w:spacing w:before="0" w:beforeAutospacing="0" w:after="0" w:afterAutospacing="0" w:line="360" w:lineRule="auto"/>
        <w:ind w:firstLine="420"/>
        <w:rPr>
          <w:sz w:val="21"/>
          <w:szCs w:val="21"/>
        </w:rPr>
      </w:pPr>
      <w:r>
        <w:rPr>
          <w:rFonts w:hint="eastAsia"/>
          <w:sz w:val="21"/>
          <w:szCs w:val="21"/>
        </w:rPr>
        <w:t xml:space="preserve">公司建立、健全了内控结构，高管人员关于内控有明确的分工，确保各项业务活动有恰当的组织和授权，确保监察活动是独立的，并得到高管人员的支持，同时置备操作手册，并定期更新。 </w:t>
      </w:r>
    </w:p>
    <w:p>
      <w:pPr>
        <w:pStyle w:val="7"/>
        <w:spacing w:before="0" w:beforeAutospacing="0" w:after="0" w:afterAutospacing="0" w:line="360" w:lineRule="auto"/>
        <w:ind w:firstLine="420"/>
        <w:rPr>
          <w:sz w:val="21"/>
          <w:szCs w:val="21"/>
        </w:rPr>
      </w:pPr>
      <w:r>
        <w:rPr>
          <w:rFonts w:hint="eastAsia"/>
          <w:sz w:val="21"/>
          <w:szCs w:val="21"/>
        </w:rPr>
        <w:t xml:space="preserve">（2）建立相互分离、相互制衡的内控机制  </w:t>
      </w:r>
    </w:p>
    <w:p>
      <w:pPr>
        <w:pStyle w:val="7"/>
        <w:spacing w:before="0" w:beforeAutospacing="0" w:after="0" w:afterAutospacing="0" w:line="360" w:lineRule="auto"/>
        <w:ind w:firstLine="420"/>
        <w:rPr>
          <w:sz w:val="21"/>
          <w:szCs w:val="21"/>
        </w:rPr>
      </w:pPr>
      <w:r>
        <w:rPr>
          <w:rFonts w:hint="eastAsia"/>
          <w:sz w:val="21"/>
          <w:szCs w:val="21"/>
        </w:rPr>
        <w:t xml:space="preserve">建立、健全了各项制度，做到基金经理分开，投资决策分开，基金交易集中，形成不同部门，不同岗位之间的制衡机制，从制度上减少和防范风险。 </w:t>
      </w:r>
    </w:p>
    <w:p>
      <w:pPr>
        <w:pStyle w:val="7"/>
        <w:spacing w:before="0" w:beforeAutospacing="0" w:after="0" w:afterAutospacing="0" w:line="360" w:lineRule="auto"/>
        <w:ind w:firstLine="420"/>
        <w:rPr>
          <w:sz w:val="21"/>
          <w:szCs w:val="21"/>
        </w:rPr>
      </w:pPr>
      <w:r>
        <w:rPr>
          <w:rFonts w:hint="eastAsia"/>
          <w:sz w:val="21"/>
          <w:szCs w:val="21"/>
        </w:rPr>
        <w:t xml:space="preserve">（3）建立、健全岗位责任制  </w:t>
      </w:r>
    </w:p>
    <w:p>
      <w:pPr>
        <w:pStyle w:val="7"/>
        <w:spacing w:before="0" w:beforeAutospacing="0" w:after="0" w:afterAutospacing="0" w:line="360" w:lineRule="auto"/>
        <w:ind w:firstLine="420"/>
        <w:rPr>
          <w:sz w:val="21"/>
          <w:szCs w:val="21"/>
        </w:rPr>
      </w:pPr>
      <w:r>
        <w:rPr>
          <w:rFonts w:hint="eastAsia"/>
          <w:sz w:val="21"/>
          <w:szCs w:val="21"/>
        </w:rPr>
        <w:t xml:space="preserve">建立、健全了岗位责任制，使每个员工都明确自己的任务、职责，并及时将各自工作领域中的风险隐患上报，以防范和减少风险。 </w:t>
      </w:r>
    </w:p>
    <w:p>
      <w:pPr>
        <w:pStyle w:val="7"/>
        <w:spacing w:before="0" w:beforeAutospacing="0" w:after="0" w:afterAutospacing="0" w:line="360" w:lineRule="auto"/>
        <w:ind w:firstLine="420"/>
        <w:rPr>
          <w:sz w:val="21"/>
          <w:szCs w:val="21"/>
        </w:rPr>
      </w:pPr>
      <w:r>
        <w:rPr>
          <w:rFonts w:hint="eastAsia"/>
          <w:sz w:val="21"/>
          <w:szCs w:val="21"/>
        </w:rPr>
        <w:t xml:space="preserve">（4）建立风险分类、识别、评估、报告、提示程序  </w:t>
      </w:r>
    </w:p>
    <w:p>
      <w:pPr>
        <w:pStyle w:val="7"/>
        <w:spacing w:before="0" w:beforeAutospacing="0" w:after="0" w:afterAutospacing="0" w:line="360" w:lineRule="auto"/>
        <w:ind w:firstLine="420"/>
        <w:rPr>
          <w:sz w:val="21"/>
          <w:szCs w:val="21"/>
        </w:rPr>
      </w:pPr>
      <w:r>
        <w:rPr>
          <w:rFonts w:hint="eastAsia"/>
          <w:sz w:val="21"/>
          <w:szCs w:val="21"/>
        </w:rPr>
        <w:t xml:space="preserve">建立了评估风险的委员会，使用适合的程序，确认和评估与公司运作有关的风险；公司建立了自下而上的风险报告程序，对风险隐患进行层层汇报，使各个层次的人员及时掌握风险状况，从而以最快速度作出决策。 </w:t>
      </w:r>
    </w:p>
    <w:p>
      <w:pPr>
        <w:pStyle w:val="7"/>
        <w:spacing w:before="0" w:beforeAutospacing="0" w:after="0" w:afterAutospacing="0" w:line="360" w:lineRule="auto"/>
        <w:ind w:firstLine="420"/>
        <w:rPr>
          <w:sz w:val="21"/>
          <w:szCs w:val="21"/>
        </w:rPr>
      </w:pPr>
      <w:r>
        <w:rPr>
          <w:rFonts w:hint="eastAsia"/>
          <w:sz w:val="21"/>
          <w:szCs w:val="21"/>
        </w:rPr>
        <w:t xml:space="preserve">（5）建立有效的内部监控系统  </w:t>
      </w:r>
    </w:p>
    <w:p>
      <w:pPr>
        <w:pStyle w:val="7"/>
        <w:spacing w:before="0" w:beforeAutospacing="0" w:after="0" w:afterAutospacing="0" w:line="360" w:lineRule="auto"/>
        <w:ind w:firstLine="420"/>
        <w:rPr>
          <w:sz w:val="21"/>
          <w:szCs w:val="21"/>
        </w:rPr>
      </w:pPr>
      <w:r>
        <w:rPr>
          <w:rFonts w:hint="eastAsia"/>
          <w:sz w:val="21"/>
          <w:szCs w:val="21"/>
        </w:rPr>
        <w:t xml:space="preserve">建立了足够、有效的内部监控系统，如电脑预警系统、投资监控系统，对可能出现的各种风险进行全面和实时的监控。 </w:t>
      </w:r>
    </w:p>
    <w:p>
      <w:pPr>
        <w:pStyle w:val="7"/>
        <w:spacing w:before="0" w:beforeAutospacing="0" w:after="0" w:afterAutospacing="0" w:line="360" w:lineRule="auto"/>
        <w:ind w:firstLine="420"/>
        <w:rPr>
          <w:sz w:val="21"/>
          <w:szCs w:val="21"/>
        </w:rPr>
      </w:pPr>
      <w:r>
        <w:rPr>
          <w:rFonts w:hint="eastAsia"/>
          <w:sz w:val="21"/>
          <w:szCs w:val="21"/>
        </w:rPr>
        <w:t xml:space="preserve">（6）使用数量化的风险管理手段  </w:t>
      </w:r>
    </w:p>
    <w:p>
      <w:pPr>
        <w:pStyle w:val="7"/>
        <w:spacing w:before="0" w:beforeAutospacing="0" w:after="0" w:afterAutospacing="0" w:line="360" w:lineRule="auto"/>
        <w:ind w:firstLine="420"/>
        <w:rPr>
          <w:sz w:val="21"/>
          <w:szCs w:val="21"/>
        </w:rPr>
      </w:pPr>
      <w:r>
        <w:rPr>
          <w:rFonts w:hint="eastAsia"/>
          <w:sz w:val="21"/>
          <w:szCs w:val="21"/>
        </w:rPr>
        <w:t xml:space="preserve">采取数量化、技术化的风险控制手段，建立数量化的风险管理模型，用以提示指数趋势、行业及个股的风险，以便公司及时采取有效的措施，对风险进行分散、控制和规避，尽可能地减少损失。 </w:t>
      </w:r>
    </w:p>
    <w:p>
      <w:pPr>
        <w:pStyle w:val="7"/>
        <w:spacing w:before="0" w:beforeAutospacing="0" w:after="0" w:afterAutospacing="0" w:line="360" w:lineRule="auto"/>
        <w:ind w:firstLine="420"/>
        <w:rPr>
          <w:sz w:val="21"/>
          <w:szCs w:val="21"/>
        </w:rPr>
      </w:pPr>
      <w:r>
        <w:rPr>
          <w:rFonts w:hint="eastAsia"/>
          <w:sz w:val="21"/>
          <w:szCs w:val="21"/>
        </w:rPr>
        <w:t xml:space="preserve">（7）提供足够的培训  </w:t>
      </w:r>
    </w:p>
    <w:p>
      <w:pPr>
        <w:pStyle w:val="7"/>
        <w:spacing w:before="0" w:beforeAutospacing="0" w:after="0" w:afterAutospacing="0" w:line="360" w:lineRule="auto"/>
        <w:ind w:firstLine="420"/>
        <w:rPr>
          <w:sz w:val="21"/>
          <w:szCs w:val="21"/>
        </w:rPr>
      </w:pPr>
      <w:r>
        <w:rPr>
          <w:rFonts w:hint="eastAsia"/>
          <w:sz w:val="21"/>
          <w:szCs w:val="21"/>
        </w:rPr>
        <w:t>制定了完整的培训计划，为所有员工提供足够和适当的培训，使员工明确其职责所在，</w:t>
      </w:r>
      <w:bookmarkStart w:id="34" w:name="chapter_level1_5_53_section_4_end"/>
      <w:bookmarkEnd w:id="34"/>
      <w:r>
        <w:rPr>
          <w:rFonts w:hint="eastAsia"/>
          <w:sz w:val="21"/>
          <w:szCs w:val="21"/>
        </w:rPr>
        <w:t xml:space="preserve">控制风险。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35" w:name="chapter_level1_6_55"/>
      <w:bookmarkStart w:id="36" w:name="_Toc214976516"/>
      <w:r>
        <w:rPr>
          <w:rFonts w:hint="eastAsia" w:ascii="宋体" w:hAnsi="宋体" w:eastAsia="宋体"/>
          <w:sz w:val="30"/>
        </w:rPr>
        <w:t>第四部分  基金托管人</w:t>
      </w:r>
      <w:bookmarkEnd w:id="35"/>
      <w:bookmarkEnd w:id="36"/>
    </w:p>
    <w:p>
      <w:pPr>
        <w:pStyle w:val="7"/>
        <w:spacing w:before="0" w:beforeAutospacing="0" w:after="0" w:afterAutospacing="0" w:line="360" w:lineRule="auto"/>
        <w:ind w:firstLine="420"/>
        <w:rPr>
          <w:sz w:val="21"/>
          <w:szCs w:val="21"/>
        </w:rPr>
      </w:pPr>
      <w:bookmarkStart w:id="37" w:name="chapter_level1_6_55_section_1"/>
      <w:bookmarkEnd w:id="37"/>
      <w:bookmarkStart w:id="38" w:name="field_0_trustcompanyinfo_1_start"/>
      <w:bookmarkEnd w:id="38"/>
      <w:r>
        <w:rPr>
          <w:rFonts w:hint="eastAsia"/>
          <w:sz w:val="21"/>
          <w:szCs w:val="21"/>
        </w:rPr>
        <w:t xml:space="preserve">一、基金托管人基本情况 </w:t>
      </w:r>
    </w:p>
    <w:p>
      <w:pPr>
        <w:pStyle w:val="7"/>
        <w:spacing w:before="0" w:beforeAutospacing="0" w:after="0" w:afterAutospacing="0" w:line="360" w:lineRule="auto"/>
        <w:ind w:firstLine="420"/>
        <w:rPr>
          <w:sz w:val="21"/>
          <w:szCs w:val="21"/>
        </w:rPr>
      </w:pPr>
      <w:r>
        <w:rPr>
          <w:rFonts w:hint="eastAsia"/>
          <w:sz w:val="21"/>
          <w:szCs w:val="21"/>
        </w:rPr>
        <w:t xml:space="preserve">名称：中信银行股份有限公司（简称“中信银行”） </w:t>
      </w:r>
    </w:p>
    <w:p>
      <w:pPr>
        <w:pStyle w:val="7"/>
        <w:spacing w:before="0" w:beforeAutospacing="0" w:after="0" w:afterAutospacing="0" w:line="360" w:lineRule="auto"/>
        <w:ind w:firstLine="420"/>
        <w:rPr>
          <w:sz w:val="21"/>
          <w:szCs w:val="21"/>
        </w:rPr>
      </w:pPr>
      <w:r>
        <w:rPr>
          <w:rFonts w:hint="eastAsia"/>
          <w:sz w:val="21"/>
          <w:szCs w:val="21"/>
        </w:rPr>
        <w:t xml:space="preserve">住所：北京市朝阳区光华路10号院1号楼6-30层、32-42层 </w:t>
      </w:r>
    </w:p>
    <w:p>
      <w:pPr>
        <w:pStyle w:val="7"/>
        <w:spacing w:before="0" w:beforeAutospacing="0" w:after="0" w:afterAutospacing="0" w:line="360" w:lineRule="auto"/>
        <w:ind w:firstLine="420"/>
        <w:rPr>
          <w:sz w:val="21"/>
          <w:szCs w:val="21"/>
        </w:rPr>
      </w:pPr>
      <w:r>
        <w:rPr>
          <w:rFonts w:hint="eastAsia"/>
          <w:sz w:val="21"/>
          <w:szCs w:val="21"/>
        </w:rPr>
        <w:t xml:space="preserve">办公地址：北京市朝阳区光华路10号院1号楼6-30层、32-42层 </w:t>
      </w:r>
    </w:p>
    <w:p>
      <w:pPr>
        <w:pStyle w:val="7"/>
        <w:spacing w:before="0" w:beforeAutospacing="0" w:after="0" w:afterAutospacing="0" w:line="360" w:lineRule="auto"/>
        <w:ind w:firstLine="420"/>
        <w:rPr>
          <w:sz w:val="21"/>
          <w:szCs w:val="21"/>
        </w:rPr>
      </w:pPr>
      <w:r>
        <w:rPr>
          <w:rFonts w:hint="eastAsia"/>
          <w:sz w:val="21"/>
          <w:szCs w:val="21"/>
        </w:rPr>
        <w:t xml:space="preserve">法定代表人：方合英 </w:t>
      </w:r>
    </w:p>
    <w:p>
      <w:pPr>
        <w:pStyle w:val="7"/>
        <w:spacing w:before="0" w:beforeAutospacing="0" w:after="0" w:afterAutospacing="0" w:line="360" w:lineRule="auto"/>
        <w:ind w:firstLine="420"/>
        <w:rPr>
          <w:sz w:val="21"/>
          <w:szCs w:val="21"/>
        </w:rPr>
      </w:pPr>
      <w:r>
        <w:rPr>
          <w:rFonts w:hint="eastAsia"/>
          <w:sz w:val="21"/>
          <w:szCs w:val="21"/>
        </w:rPr>
        <w:t xml:space="preserve">成立时间：1987年4月20日 </w:t>
      </w:r>
    </w:p>
    <w:p>
      <w:pPr>
        <w:pStyle w:val="7"/>
        <w:spacing w:before="0" w:beforeAutospacing="0" w:after="0" w:afterAutospacing="0" w:line="360" w:lineRule="auto"/>
        <w:ind w:firstLine="420"/>
        <w:rPr>
          <w:sz w:val="21"/>
          <w:szCs w:val="21"/>
        </w:rPr>
      </w:pPr>
      <w:r>
        <w:rPr>
          <w:rFonts w:hint="eastAsia"/>
          <w:sz w:val="21"/>
          <w:szCs w:val="21"/>
        </w:rPr>
        <w:t xml:space="preserve">组织形式：股份有限公司 </w:t>
      </w:r>
    </w:p>
    <w:p>
      <w:pPr>
        <w:pStyle w:val="7"/>
        <w:spacing w:before="0" w:beforeAutospacing="0" w:after="0" w:afterAutospacing="0" w:line="360" w:lineRule="auto"/>
        <w:ind w:firstLine="420"/>
        <w:rPr>
          <w:sz w:val="21"/>
          <w:szCs w:val="21"/>
        </w:rPr>
      </w:pPr>
      <w:r>
        <w:rPr>
          <w:rFonts w:hint="eastAsia"/>
          <w:sz w:val="21"/>
          <w:szCs w:val="21"/>
        </w:rPr>
        <w:t xml:space="preserve">注册资本：489.35亿元人民币 </w:t>
      </w:r>
    </w:p>
    <w:p>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pPr>
        <w:pStyle w:val="7"/>
        <w:spacing w:before="0" w:beforeAutospacing="0" w:after="0" w:afterAutospacing="0" w:line="360" w:lineRule="auto"/>
        <w:ind w:firstLine="420"/>
        <w:rPr>
          <w:sz w:val="21"/>
          <w:szCs w:val="21"/>
        </w:rPr>
      </w:pPr>
      <w:r>
        <w:rPr>
          <w:rFonts w:hint="eastAsia"/>
          <w:sz w:val="21"/>
          <w:szCs w:val="21"/>
        </w:rPr>
        <w:t xml:space="preserve">批准设立文号：中华人民共和国国务院办公厅国办函[1987]14号 </w:t>
      </w:r>
    </w:p>
    <w:p>
      <w:pPr>
        <w:pStyle w:val="7"/>
        <w:spacing w:before="0" w:beforeAutospacing="0" w:after="0" w:afterAutospacing="0" w:line="360" w:lineRule="auto"/>
        <w:ind w:firstLine="420"/>
        <w:rPr>
          <w:sz w:val="21"/>
          <w:szCs w:val="21"/>
        </w:rPr>
      </w:pPr>
      <w:r>
        <w:rPr>
          <w:rFonts w:hint="eastAsia"/>
          <w:sz w:val="21"/>
          <w:szCs w:val="21"/>
        </w:rPr>
        <w:t xml:space="preserve">基金托管业务批准文号：中国证监会证监基金字[2004]125号 </w:t>
      </w:r>
    </w:p>
    <w:p>
      <w:pPr>
        <w:pStyle w:val="7"/>
        <w:spacing w:before="0" w:beforeAutospacing="0" w:after="0" w:afterAutospacing="0" w:line="360" w:lineRule="auto"/>
        <w:ind w:firstLine="420"/>
        <w:rPr>
          <w:sz w:val="21"/>
          <w:szCs w:val="21"/>
        </w:rPr>
      </w:pPr>
      <w:r>
        <w:rPr>
          <w:rFonts w:hint="eastAsia"/>
          <w:sz w:val="21"/>
          <w:szCs w:val="21"/>
        </w:rPr>
        <w:t xml:space="preserve">联系人：中信银行资产托管部 </w:t>
      </w:r>
    </w:p>
    <w:p>
      <w:pPr>
        <w:pStyle w:val="7"/>
        <w:spacing w:before="0" w:beforeAutospacing="0" w:after="0" w:afterAutospacing="0" w:line="360" w:lineRule="auto"/>
        <w:ind w:firstLine="420"/>
        <w:rPr>
          <w:sz w:val="21"/>
          <w:szCs w:val="21"/>
        </w:rPr>
      </w:pPr>
      <w:r>
        <w:rPr>
          <w:rFonts w:hint="eastAsia"/>
          <w:sz w:val="21"/>
          <w:szCs w:val="21"/>
        </w:rPr>
        <w:t xml:space="preserve">联系电话：4006800000 </w:t>
      </w:r>
    </w:p>
    <w:p>
      <w:pPr>
        <w:pStyle w:val="7"/>
        <w:spacing w:before="0" w:beforeAutospacing="0" w:after="0" w:afterAutospacing="0" w:line="360" w:lineRule="auto"/>
        <w:ind w:firstLine="420"/>
        <w:rPr>
          <w:sz w:val="21"/>
          <w:szCs w:val="21"/>
        </w:rPr>
      </w:pPr>
      <w:r>
        <w:rPr>
          <w:rFonts w:hint="eastAsia"/>
          <w:sz w:val="21"/>
          <w:szCs w:val="21"/>
        </w:rPr>
        <w:t xml:space="preserve">传真：010-85230024 </w:t>
      </w:r>
    </w:p>
    <w:p>
      <w:pPr>
        <w:pStyle w:val="7"/>
        <w:spacing w:before="0" w:beforeAutospacing="0" w:after="0" w:afterAutospacing="0" w:line="360" w:lineRule="auto"/>
        <w:ind w:firstLine="420"/>
        <w:rPr>
          <w:sz w:val="21"/>
          <w:szCs w:val="21"/>
        </w:rPr>
      </w:pPr>
      <w:r>
        <w:rPr>
          <w:rFonts w:hint="eastAsia"/>
          <w:sz w:val="21"/>
          <w:szCs w:val="21"/>
        </w:rPr>
        <w:t xml:space="preserve">客服电话：95558 </w:t>
      </w:r>
    </w:p>
    <w:p>
      <w:pPr>
        <w:pStyle w:val="7"/>
        <w:spacing w:before="0" w:beforeAutospacing="0" w:after="0" w:afterAutospacing="0" w:line="360" w:lineRule="auto"/>
        <w:ind w:firstLine="420"/>
        <w:rPr>
          <w:sz w:val="21"/>
          <w:szCs w:val="21"/>
        </w:rPr>
      </w:pPr>
      <w:r>
        <w:rPr>
          <w:rFonts w:hint="eastAsia"/>
          <w:sz w:val="21"/>
          <w:szCs w:val="21"/>
        </w:rPr>
        <w:t xml:space="preserve">网址：www.citicbank.com </w:t>
      </w:r>
    </w:p>
    <w:p>
      <w:pPr>
        <w:pStyle w:val="7"/>
        <w:spacing w:before="0" w:beforeAutospacing="0" w:after="0" w:afterAutospacing="0" w:line="360" w:lineRule="auto"/>
        <w:ind w:firstLine="420"/>
        <w:rPr>
          <w:sz w:val="21"/>
          <w:szCs w:val="21"/>
        </w:rPr>
      </w:pPr>
      <w:r>
        <w:rPr>
          <w:rFonts w:hint="eastAsia"/>
          <w:sz w:val="21"/>
          <w:szCs w:val="21"/>
        </w:rPr>
        <w:t xml:space="preserve">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业务。（企业依法自主选择经营项目，开展经营活动；依法须经批准的项目，经相关部门批准后依批准的内容开展经营活动；不得从事本市产业政策禁止和限制类项目的经营活动。） </w:t>
      </w:r>
    </w:p>
    <w:p>
      <w:pPr>
        <w:pStyle w:val="7"/>
        <w:spacing w:before="0" w:beforeAutospacing="0" w:after="0" w:afterAutospacing="0" w:line="360" w:lineRule="auto"/>
        <w:ind w:firstLine="420"/>
        <w:rPr>
          <w:sz w:val="21"/>
          <w:szCs w:val="21"/>
        </w:rPr>
      </w:pPr>
      <w:r>
        <w:rPr>
          <w:rFonts w:hint="eastAsia"/>
          <w:sz w:val="21"/>
          <w:szCs w:val="21"/>
        </w:rPr>
        <w:t xml:space="preserve">本行成立于1987年，是中国改革开放中最早成立的新兴商业银行之一，是中国最早参与国内外金融市场融资的商业银行，并以屡创中国现代金融史上多个第一而蜚声海内外，为中国经济建设作出了积极贡献。2007年4月，本行实现在上海证券交易所和香港联合交易所A+H股同步上市。 </w:t>
      </w:r>
    </w:p>
    <w:p>
      <w:pPr>
        <w:pStyle w:val="7"/>
        <w:spacing w:before="0" w:beforeAutospacing="0" w:after="0" w:afterAutospacing="0" w:line="360" w:lineRule="auto"/>
        <w:ind w:firstLine="420"/>
        <w:rPr>
          <w:sz w:val="21"/>
          <w:szCs w:val="21"/>
        </w:rPr>
      </w:pPr>
      <w:r>
        <w:rPr>
          <w:rFonts w:hint="eastAsia"/>
          <w:sz w:val="21"/>
          <w:szCs w:val="21"/>
        </w:rPr>
        <w:t xml:space="preserve">本行依托中信集团“金融+实业”综合禀赋优势，以全面建设“四有”银行、跨入世界一流银行竞争前列为发展愿景，坚持诚实守信、以义取利、稳健审慎、守正创新、依法合规，以客户为中心，通过实施“五个领先”银行战略，打造有特色、差异化的中信金融服务模式，向政府与机构客户、企业客户和同业客户提供公司银行业务、投资银行业务、国际业务、交易银行业务、托管业务、金融市场业务等综合金融解决方案；向个人客户提供财富管理业务、个人信贷业务、信用卡业务、私人银行业务、养老金融业务、出国金融业务等多元化金融产品及服务，全方位满足政府与机构、企业、同业及个人客户的综合金融服务需求。 </w:t>
      </w:r>
    </w:p>
    <w:p>
      <w:pPr>
        <w:pStyle w:val="7"/>
        <w:spacing w:before="0" w:beforeAutospacing="0" w:after="0" w:afterAutospacing="0" w:line="360" w:lineRule="auto"/>
        <w:ind w:firstLine="420"/>
        <w:rPr>
          <w:sz w:val="21"/>
          <w:szCs w:val="21"/>
        </w:rPr>
      </w:pPr>
      <w:r>
        <w:rPr>
          <w:rFonts w:hint="eastAsia"/>
          <w:sz w:val="21"/>
          <w:szCs w:val="21"/>
        </w:rPr>
        <w:t xml:space="preserve">截至2024年末，本行在国内153个大中城市设有1,470家营业网点，在境内外下设中信国际金融控股有限公司、信银（香港）投资有限公司、中信金融租赁有限公司、信银理财有限责任公司、中信百信银行股份有限公司、阿尔金银行和浙江临安中信村镇银行股份有限公司7家附属机构。其中，中信国际金融控股有限公司子公司中信银行（国际）有限公司在香港、澳门、纽约、洛杉矶、新加坡和中国内地设有31家营业网点和2家商务理财中心。信银（香港）投资有限公司在香港和境内设有3家子公司。信银理财有限责任公司为本行全资理财子公司。中信百信银行股份有限公司为本行与百度联合发起设立的国内首家独立法人直销银行。阿尔金银行在哈萨克斯坦设有7家营业网点和1家私人银行中心。 </w:t>
      </w:r>
    </w:p>
    <w:p>
      <w:pPr>
        <w:pStyle w:val="7"/>
        <w:spacing w:before="0" w:beforeAutospacing="0" w:after="0" w:afterAutospacing="0" w:line="360" w:lineRule="auto"/>
        <w:ind w:firstLine="420"/>
        <w:rPr>
          <w:sz w:val="21"/>
          <w:szCs w:val="21"/>
        </w:rPr>
      </w:pPr>
      <w:r>
        <w:rPr>
          <w:rFonts w:hint="eastAsia"/>
          <w:sz w:val="21"/>
          <w:szCs w:val="21"/>
        </w:rPr>
        <w:t xml:space="preserve">本行深刻把握金融工作政治性、人民性，始终在党和国家战略大局中找准金融定位、履行金融职责，坚持做国家战略的忠实践行者、实体经济的有力服务者和金融强国的积极建设者。成立37年来，本行已成为一家总资产规模超9.5万亿元、员工人数超6.5万名，具有强大综合实力和品牌竞争力的金融集团。2024年，本行在英国Brand Finance发布的“全球银行品牌价值500强”榜单中排名第19位；本行一级资本在英国《银行家》杂志“世界1000家银行排名”中位列18位。 </w:t>
      </w:r>
    </w:p>
    <w:p>
      <w:pPr>
        <w:pStyle w:val="7"/>
        <w:spacing w:before="0" w:beforeAutospacing="0" w:after="0" w:afterAutospacing="0" w:line="360" w:lineRule="auto"/>
        <w:ind w:firstLine="420"/>
        <w:rPr>
          <w:sz w:val="21"/>
          <w:szCs w:val="21"/>
        </w:rPr>
      </w:pPr>
      <w:r>
        <w:rPr>
          <w:rFonts w:hint="eastAsia"/>
          <w:sz w:val="21"/>
          <w:szCs w:val="21"/>
        </w:rPr>
        <w:t xml:space="preserve">二、主要人员情况 </w:t>
      </w:r>
    </w:p>
    <w:p>
      <w:pPr>
        <w:pStyle w:val="7"/>
        <w:spacing w:before="0" w:beforeAutospacing="0" w:after="0" w:afterAutospacing="0" w:line="360" w:lineRule="auto"/>
        <w:ind w:firstLine="420"/>
        <w:rPr>
          <w:sz w:val="21"/>
          <w:szCs w:val="21"/>
        </w:rPr>
      </w:pPr>
      <w:r>
        <w:rPr>
          <w:rFonts w:hint="eastAsia"/>
          <w:sz w:val="21"/>
          <w:szCs w:val="21"/>
        </w:rPr>
        <w:t xml:space="preserve">芦苇先生，中信银行党委副书记、行长。芦先生自2025年2月起担任本行党委副书记，自2025年4月起担任本行行长。芦先生曾任本行总行营业部（现北京分行）党委委员、总经理助理、副总经理，总行计划财务部（现财务会计部）副总经理（主持工作）、总经理，总行资产负债部总经理等职务；本行董事会秘书、董事会秘书（业务总监级）、业务总监、党委委员、副行长，期间先后兼任香港分行筹备组副组长，总行资产负债部总经理，阿尔金银行筹备组副组长、董事，深圳分行党委书记、行长；中信信托有限责任公司党委书记、总经理、副董事长、董事长。此前，芦先生在北京青年实业集团公司工作。芦先生拥有二十五年中国银行业从业经验，拥有中国、中国香港、澳大利亚注册会计师资格，获澳大利亚迪肯大学专业会计学硕士学位。 </w:t>
      </w:r>
    </w:p>
    <w:p>
      <w:pPr>
        <w:pStyle w:val="7"/>
        <w:spacing w:before="0" w:beforeAutospacing="0" w:after="0" w:afterAutospacing="0" w:line="360" w:lineRule="auto"/>
        <w:ind w:firstLine="420"/>
        <w:rPr>
          <w:sz w:val="21"/>
          <w:szCs w:val="21"/>
        </w:rPr>
      </w:pPr>
      <w:r>
        <w:rPr>
          <w:rFonts w:hint="eastAsia"/>
          <w:sz w:val="21"/>
          <w:szCs w:val="21"/>
        </w:rPr>
        <w:t xml:space="preserve">胡罡先生，中信银行党委委员、执行董事、副行长，分管托管业务。胡先生现同时担任中信银行（国际）有限公司董事。胡先生曾任本行长沙分行筹备组副组长、长沙分行党委委员、副行长，重庆分行党委委员、副行长、党委书记、行长，上海分行党委书记、行长及本行首席风险官、批发业务总监、风险总监。此前，胡先生曾先后就职于湖南省检察院政治部，于湖南省委办公厅人事处任副主任科员，于湖南众立实业集团公司下属北海湘房地产开发公司任总经理助理、总经理，下属鸿都企业公司任副董事长，于湖南长沙湘财城市信用社任董事长。胡先生拥有近三十年中国银行业从业经验，毕业于湖南大学，获经济学博士学位，高级经济师。 </w:t>
      </w:r>
    </w:p>
    <w:p>
      <w:pPr>
        <w:pStyle w:val="7"/>
        <w:spacing w:before="0" w:beforeAutospacing="0" w:after="0" w:afterAutospacing="0" w:line="360" w:lineRule="auto"/>
        <w:ind w:firstLine="420"/>
        <w:rPr>
          <w:sz w:val="21"/>
          <w:szCs w:val="21"/>
        </w:rPr>
      </w:pPr>
      <w:r>
        <w:rPr>
          <w:rFonts w:hint="eastAsia"/>
          <w:sz w:val="21"/>
          <w:szCs w:val="21"/>
        </w:rPr>
        <w:t xml:space="preserve">杨璋琪先生，中信银行资产托管部总经理，硕士研究生学历。杨先生2018年1月至2019年3月，任中信银行金融同业部副总经理；2015年5月至2018年1月，任中信银行长春分行副行长；2013年4月至2015年5月，任中信银行机构业务部总经理助理；1996年7月至2013年4月，就职于中信银行北京分行（原总行营业部），历任支行行长、投资银行部总经理、贸易金融部总经理。 </w:t>
      </w:r>
    </w:p>
    <w:p>
      <w:pPr>
        <w:pStyle w:val="7"/>
        <w:spacing w:before="0" w:beforeAutospacing="0" w:after="0" w:afterAutospacing="0" w:line="360" w:lineRule="auto"/>
        <w:ind w:firstLine="420"/>
        <w:rPr>
          <w:sz w:val="21"/>
          <w:szCs w:val="21"/>
        </w:rPr>
      </w:pPr>
      <w:r>
        <w:rPr>
          <w:rFonts w:hint="eastAsia"/>
          <w:sz w:val="21"/>
          <w:szCs w:val="21"/>
        </w:rPr>
        <w:t xml:space="preserve">三、基金托管业务经营情况 </w:t>
      </w:r>
    </w:p>
    <w:p>
      <w:pPr>
        <w:pStyle w:val="7"/>
        <w:spacing w:before="0" w:beforeAutospacing="0" w:after="0" w:afterAutospacing="0" w:line="360" w:lineRule="auto"/>
        <w:ind w:firstLine="420"/>
        <w:rPr>
          <w:sz w:val="21"/>
          <w:szCs w:val="21"/>
        </w:rPr>
      </w:pPr>
      <w:r>
        <w:rPr>
          <w:rFonts w:hint="eastAsia"/>
          <w:sz w:val="21"/>
          <w:szCs w:val="21"/>
        </w:rPr>
        <w:t xml:space="preserve">2004年8月18日，中信银行经中国证券监督管理委员会和中国银行业监督管理委员会批准，取得基金托管人资格。中信银行本着“诚实信用、勤勉尽责”的原则，切实履行托管人职责。 </w:t>
      </w:r>
    </w:p>
    <w:p>
      <w:pPr>
        <w:pStyle w:val="7"/>
        <w:spacing w:before="0" w:beforeAutospacing="0" w:after="0" w:afterAutospacing="0" w:line="360" w:lineRule="auto"/>
        <w:ind w:firstLine="420"/>
        <w:rPr>
          <w:sz w:val="21"/>
          <w:szCs w:val="21"/>
        </w:rPr>
      </w:pPr>
      <w:r>
        <w:rPr>
          <w:rFonts w:hint="eastAsia"/>
          <w:sz w:val="21"/>
          <w:szCs w:val="21"/>
        </w:rPr>
        <w:t>截至2025年第三季度末，中信银行托管429只公开募集证券投资基金，以及基金公司、证券公司资产管理产品、信托产品、企业年金、股权基金、QDII等其他托管资产，托管总</w:t>
      </w:r>
      <w:bookmarkStart w:id="39" w:name="chapter_level1_6_55_section_1_end"/>
      <w:bookmarkEnd w:id="39"/>
      <w:r>
        <w:rPr>
          <w:rFonts w:hint="eastAsia"/>
          <w:sz w:val="21"/>
          <w:szCs w:val="21"/>
        </w:rPr>
        <w:t xml:space="preserve">规模达到17.88万亿元人民币。 </w:t>
      </w:r>
      <w:bookmarkStart w:id="40" w:name="field_0_trustcompanyinfo_1_end"/>
      <w:bookmarkEnd w:id="40"/>
      <w:r>
        <w:rPr>
          <w:rFonts w:hint="eastAsia"/>
          <w:sz w:val="21"/>
          <w:szCs w:val="21"/>
        </w:rPr>
        <w:t xml:space="preserve">  </w:t>
      </w:r>
    </w:p>
    <w:p>
      <w:pPr>
        <w:pStyle w:val="7"/>
        <w:spacing w:before="0" w:beforeAutospacing="0" w:after="0" w:afterAutospacing="0" w:line="360" w:lineRule="auto"/>
        <w:ind w:firstLine="420"/>
        <w:rPr>
          <w:sz w:val="21"/>
          <w:szCs w:val="21"/>
        </w:rPr>
      </w:pPr>
      <w:bookmarkStart w:id="41" w:name="chapter_level1_6_55_section_2"/>
      <w:bookmarkEnd w:id="41"/>
      <w:bookmarkStart w:id="42" w:name="field_0_trustcontrollawinfo_1_start"/>
      <w:bookmarkEnd w:id="42"/>
      <w:r>
        <w:rPr>
          <w:rFonts w:hint="eastAsia"/>
          <w:sz w:val="21"/>
          <w:szCs w:val="21"/>
        </w:rPr>
        <w:t xml:space="preserve">四、基金托管人的内部控制制度 </w:t>
      </w:r>
    </w:p>
    <w:p>
      <w:pPr>
        <w:pStyle w:val="7"/>
        <w:spacing w:before="0" w:beforeAutospacing="0" w:after="0" w:afterAutospacing="0" w:line="360" w:lineRule="auto"/>
        <w:ind w:firstLine="420"/>
        <w:rPr>
          <w:sz w:val="21"/>
          <w:szCs w:val="21"/>
        </w:rPr>
      </w:pPr>
      <w:r>
        <w:rPr>
          <w:rFonts w:hint="eastAsia"/>
          <w:sz w:val="21"/>
          <w:szCs w:val="21"/>
        </w:rPr>
        <w:t xml:space="preserve">1、内部控制目标。强化内部管理，确保有关法律法规及规章在基金托管业务中得到全面严格的贯彻执行；建立完善的规章制度和操作规程，保证基金托管业务持续、稳健发展；加强稽核监察，建立高效的风险监控体系，及时有效地发现、分析、控制和避免风险，确保基金财产安全，维护基金份额持有人利益。 </w:t>
      </w:r>
    </w:p>
    <w:p>
      <w:pPr>
        <w:pStyle w:val="7"/>
        <w:spacing w:before="0" w:beforeAutospacing="0" w:after="0" w:afterAutospacing="0" w:line="360" w:lineRule="auto"/>
        <w:ind w:firstLine="420"/>
        <w:rPr>
          <w:sz w:val="21"/>
          <w:szCs w:val="21"/>
        </w:rPr>
      </w:pPr>
      <w:r>
        <w:rPr>
          <w:rFonts w:hint="eastAsia"/>
          <w:sz w:val="21"/>
          <w:szCs w:val="21"/>
        </w:rPr>
        <w:t xml:space="preserve">2、 内部控制组织结构。中信银行总行建立了风险管理委员会，负责全行的风险控制和风险防范工作；托管部内设内控合规岗，专门负责托管部内部风险控制，对基金托管业务的各个工作环节和业务流程进行独立、客观、公正的稽核监察。 </w:t>
      </w:r>
    </w:p>
    <w:p>
      <w:pPr>
        <w:pStyle w:val="7"/>
        <w:spacing w:before="0" w:beforeAutospacing="0" w:after="0" w:afterAutospacing="0" w:line="360" w:lineRule="auto"/>
        <w:ind w:firstLine="420"/>
        <w:rPr>
          <w:sz w:val="21"/>
          <w:szCs w:val="21"/>
        </w:rPr>
      </w:pPr>
      <w:r>
        <w:rPr>
          <w:rFonts w:hint="eastAsia"/>
          <w:sz w:val="21"/>
          <w:szCs w:val="21"/>
        </w:rPr>
        <w:t xml:space="preserve">3、内部控制制度。中信银行严格按照《基金法》以及其他法律法规及规章的规定，以控制和防范基金托管业务风险为主线，制定了《中信银行基金托管业务管理办法》、《中信银行基金托管业务内部控制管理办法》和《中信银行托管业务内控检查实施细则》等一整套规章制度，涵盖证券投资基金托管业务的各个环节，保证证券投资基金托管业务合法、合规、持续、稳健发展。 </w:t>
      </w:r>
    </w:p>
    <w:p>
      <w:pPr>
        <w:pStyle w:val="7"/>
        <w:spacing w:before="0" w:beforeAutospacing="0" w:after="0" w:afterAutospacing="0" w:line="360" w:lineRule="auto"/>
        <w:ind w:firstLine="420"/>
        <w:rPr>
          <w:sz w:val="21"/>
          <w:szCs w:val="21"/>
        </w:rPr>
      </w:pPr>
      <w:r>
        <w:rPr>
          <w:rFonts w:hint="eastAsia"/>
          <w:sz w:val="21"/>
          <w:szCs w:val="21"/>
        </w:rPr>
        <w:t xml:space="preserve">4、内部控制措施。建立了各项规章制度、操作流程、岗位职责、行为规范等，从制度上、人员上保证基金托管业务稳健发展；建立了安全保管基金财产的物质条件，对业务运行场所实行封闭管理，在要害部门和岗位设立了安全保密区，安装了录像、录音监控系统，保证基金信息的安全；建立严密的内部控制防线和业务授权管理等制度，确保所托管的基金财产独立运行；营造良好的内部控制环境，开展多种形式的持续培训，加强职业道德教育。 </w:t>
      </w:r>
    </w:p>
    <w:p>
      <w:pPr>
        <w:pStyle w:val="7"/>
        <w:spacing w:before="0" w:beforeAutospacing="0" w:after="0" w:afterAutospacing="0" w:line="360" w:lineRule="auto"/>
        <w:ind w:firstLine="420"/>
        <w:rPr>
          <w:sz w:val="21"/>
          <w:szCs w:val="21"/>
        </w:rPr>
      </w:pPr>
      <w:r>
        <w:rPr>
          <w:rFonts w:hint="eastAsia"/>
          <w:sz w:val="21"/>
          <w:szCs w:val="21"/>
        </w:rPr>
        <w:t xml:space="preserve">五、基金托管人对基金管理人运作基金进行监督的方法和程序 </w:t>
      </w:r>
    </w:p>
    <w:p>
      <w:pPr>
        <w:pStyle w:val="7"/>
        <w:spacing w:before="0" w:beforeAutospacing="0" w:after="0" w:afterAutospacing="0" w:line="360" w:lineRule="auto"/>
        <w:ind w:firstLine="420"/>
        <w:rPr>
          <w:sz w:val="21"/>
          <w:szCs w:val="21"/>
        </w:rPr>
      </w:pPr>
      <w:r>
        <w:rPr>
          <w:rFonts w:hint="eastAsia"/>
          <w:sz w:val="21"/>
          <w:szCs w:val="21"/>
        </w:rPr>
        <w:t xml:space="preserve">基金托管人根据《基金法》、《运作办法》、《信息披露办法》、基金合同、托管协议和有关法律法规及规章的规定，对基金的投资运作、基金资产净值计算、基金份额净值计算、应收资金到账、基金费用开支及收入确定、基金收益分配、相关信息披露、基金宣传推介材料中登载的基金业绩表现数据等进行监督和核查。 </w:t>
      </w:r>
    </w:p>
    <w:p>
      <w:pPr>
        <w:pStyle w:val="7"/>
        <w:spacing w:before="0" w:beforeAutospacing="0" w:after="0" w:afterAutospacing="0" w:line="360" w:lineRule="auto"/>
        <w:ind w:firstLine="420"/>
        <w:rPr>
          <w:sz w:val="21"/>
          <w:szCs w:val="21"/>
        </w:rPr>
      </w:pPr>
      <w:r>
        <w:rPr>
          <w:rFonts w:hint="eastAsia"/>
          <w:sz w:val="21"/>
          <w:szCs w:val="21"/>
        </w:rPr>
        <w:t>如基金托管人发现基金管理人违反《基金法》、《运作办法》、《信息披露办法》、基金合同和有关法律法规及规章的行为，将及时以书面形式通知基金管理人限期纠正。在限期内，基金托管人有权随时对通知事项进行复查，督促基金管理人改正。基金托管人发现基金管理人有重大违规行为或违规事项未能在限期内纠正的，基金托管人将以书面形式报告中国</w:t>
      </w:r>
      <w:bookmarkStart w:id="43" w:name="chapter_level1_6_55_section_2_end"/>
      <w:bookmarkEnd w:id="43"/>
      <w:r>
        <w:rPr>
          <w:rFonts w:hint="eastAsia"/>
          <w:sz w:val="21"/>
          <w:szCs w:val="21"/>
        </w:rPr>
        <w:t xml:space="preserve">证监会。 </w:t>
      </w:r>
      <w:bookmarkStart w:id="44" w:name="field_0_trustcontrollawinfo_1_end"/>
      <w:bookmarkEnd w:id="44"/>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45" w:name="_Toc214976543"/>
      <w:bookmarkStart w:id="46" w:name="chapter_level1_7_56"/>
      <w:r>
        <w:rPr>
          <w:rFonts w:hint="eastAsia" w:ascii="宋体" w:hAnsi="宋体" w:eastAsia="宋体"/>
          <w:sz w:val="30"/>
        </w:rPr>
        <w:t>第五部分  相关服务机构</w:t>
      </w:r>
      <w:bookmarkEnd w:id="45"/>
      <w:bookmarkEnd w:id="46"/>
    </w:p>
    <w:p>
      <w:pPr>
        <w:pStyle w:val="7"/>
        <w:spacing w:before="0" w:beforeAutospacing="0" w:after="0" w:afterAutospacing="0" w:line="360" w:lineRule="auto"/>
        <w:ind w:firstLine="420"/>
        <w:rPr>
          <w:sz w:val="21"/>
          <w:szCs w:val="21"/>
        </w:rPr>
      </w:pPr>
      <w:bookmarkStart w:id="47" w:name="chapter_level1_7_56_section_1_end"/>
      <w:bookmarkEnd w:id="47"/>
      <w:bookmarkStart w:id="48" w:name="chapter_level1_7_56_section_1"/>
      <w:bookmarkEnd w:id="48"/>
      <w:r>
        <w:rPr>
          <w:rStyle w:val="11"/>
          <w:rFonts w:hint="eastAsia"/>
          <w:sz w:val="21"/>
          <w:szCs w:val="21"/>
        </w:rPr>
        <w:t>一、基金份额销售机构</w:t>
      </w:r>
    </w:p>
    <w:p>
      <w:pPr>
        <w:pStyle w:val="7"/>
        <w:spacing w:before="0" w:beforeAutospacing="0" w:after="0" w:afterAutospacing="0" w:line="360" w:lineRule="auto"/>
        <w:ind w:firstLine="420"/>
        <w:rPr>
          <w:sz w:val="21"/>
          <w:szCs w:val="21"/>
        </w:rPr>
      </w:pPr>
      <w:bookmarkStart w:id="49" w:name="chapter_level1_7_56_section_2"/>
      <w:bookmarkEnd w:id="49"/>
      <w:r>
        <w:rPr>
          <w:rFonts w:hint="eastAsia"/>
          <w:sz w:val="21"/>
          <w:szCs w:val="21"/>
        </w:rPr>
        <w:t xml:space="preserve">1、申赎代办券商 </w:t>
      </w:r>
    </w:p>
    <w:p>
      <w:pPr>
        <w:pStyle w:val="7"/>
        <w:spacing w:before="0" w:beforeAutospacing="0" w:after="0" w:afterAutospacing="0" w:line="360" w:lineRule="auto"/>
        <w:ind w:firstLine="420"/>
        <w:rPr>
          <w:sz w:val="21"/>
          <w:szCs w:val="21"/>
        </w:rPr>
      </w:pPr>
      <w:bookmarkStart w:id="50" w:name="field_0_allproxysaletables_1_start"/>
      <w:bookmarkEnd w:id="50"/>
      <w:r>
        <w:rPr>
          <w:rFonts w:hint="eastAsia"/>
          <w:b/>
          <w:bCs/>
          <w:sz w:val="21"/>
          <w:szCs w:val="21"/>
        </w:rPr>
        <w:t>(1)国泰海通证券股份有限公司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中国（上海）自由贸易试验区商城路618号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上海市静安区南京西路768号国泰君安大厦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朱健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钟伟镇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021-38676666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021-38670666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95521/4008888666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https://www.gtht.com </w:t>
            </w:r>
          </w:p>
        </w:tc>
      </w:tr>
    </w:tbl>
    <w:p>
      <w:pPr>
        <w:pStyle w:val="7"/>
        <w:spacing w:before="0" w:beforeAutospacing="0" w:after="0" w:afterAutospacing="0" w:line="360" w:lineRule="auto"/>
        <w:ind w:firstLine="420"/>
        <w:rPr>
          <w:sz w:val="21"/>
          <w:szCs w:val="21"/>
        </w:rPr>
      </w:pPr>
      <w:r>
        <w:rPr>
          <w:rFonts w:hint="eastAsia"/>
          <w:b/>
          <w:bCs/>
          <w:sz w:val="21"/>
          <w:szCs w:val="21"/>
        </w:rPr>
        <w:t>(2)中信建投证券股份有限公司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北京市朝阳区安立路66号4号楼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北京市朝阳区光华路10号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刘成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陈海静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010-65608231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010－65182261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4008888108/95587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http://www.csc108.com/ </w:t>
            </w:r>
          </w:p>
        </w:tc>
      </w:tr>
    </w:tbl>
    <w:p>
      <w:pPr>
        <w:pStyle w:val="7"/>
        <w:spacing w:before="0" w:beforeAutospacing="0" w:after="0" w:afterAutospacing="0" w:line="360" w:lineRule="auto"/>
        <w:ind w:firstLine="420"/>
        <w:rPr>
          <w:sz w:val="21"/>
          <w:szCs w:val="21"/>
        </w:rPr>
      </w:pPr>
      <w:r>
        <w:rPr>
          <w:rFonts w:hint="eastAsia"/>
          <w:b/>
          <w:bCs/>
          <w:sz w:val="21"/>
          <w:szCs w:val="21"/>
        </w:rPr>
        <w:t>(3)国信证券股份有限公司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深圳市罗湖区红岭中路1012号国信证券大厦十六层至二十六层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深圳市福田区福华一路125号国信金融大厦37楼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张纳沙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于智勇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0755-81981259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0755-82133952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95536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http://www.guosen.com.cn/ </w:t>
            </w:r>
          </w:p>
        </w:tc>
      </w:tr>
    </w:tbl>
    <w:p>
      <w:pPr>
        <w:pStyle w:val="7"/>
        <w:spacing w:before="0" w:beforeAutospacing="0" w:after="0" w:afterAutospacing="0" w:line="360" w:lineRule="auto"/>
        <w:ind w:firstLine="420"/>
        <w:rPr>
          <w:sz w:val="21"/>
          <w:szCs w:val="21"/>
        </w:rPr>
      </w:pPr>
      <w:r>
        <w:rPr>
          <w:rFonts w:hint="eastAsia"/>
          <w:b/>
          <w:bCs/>
          <w:sz w:val="21"/>
          <w:szCs w:val="21"/>
        </w:rPr>
        <w:t>(4)招商证券股份有限公司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深圳市福田区福田街道福华一路111号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深圳市福田区福华一路111号招商证券大厦23楼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霍达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业清扬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0755-83081954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0755-83734343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95565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http://www.cmschina.com/ </w:t>
            </w:r>
          </w:p>
        </w:tc>
      </w:tr>
    </w:tbl>
    <w:p>
      <w:pPr>
        <w:pStyle w:val="7"/>
        <w:spacing w:before="0" w:beforeAutospacing="0" w:after="0" w:afterAutospacing="0" w:line="360" w:lineRule="auto"/>
        <w:ind w:firstLine="420"/>
        <w:rPr>
          <w:sz w:val="21"/>
          <w:szCs w:val="21"/>
        </w:rPr>
      </w:pPr>
      <w:r>
        <w:rPr>
          <w:rFonts w:hint="eastAsia"/>
          <w:b/>
          <w:bCs/>
          <w:sz w:val="21"/>
          <w:szCs w:val="21"/>
        </w:rPr>
        <w:t>(5)广发证券股份有限公司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广州市黄埔区中新广州知识城腾飞一街2号618室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广州市天河区马场路26号广发证券大厦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林传辉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黄岚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020－87555888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020－87555305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95575、020-95575或致电各地营业网点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http://www.gf.com.cn/ </w:t>
            </w:r>
          </w:p>
        </w:tc>
      </w:tr>
    </w:tbl>
    <w:p>
      <w:pPr>
        <w:pStyle w:val="7"/>
        <w:spacing w:before="0" w:beforeAutospacing="0" w:after="0" w:afterAutospacing="0" w:line="360" w:lineRule="auto"/>
        <w:ind w:firstLine="420"/>
        <w:rPr>
          <w:sz w:val="21"/>
          <w:szCs w:val="21"/>
        </w:rPr>
      </w:pPr>
      <w:r>
        <w:rPr>
          <w:rFonts w:hint="eastAsia"/>
          <w:b/>
          <w:bCs/>
          <w:sz w:val="21"/>
          <w:szCs w:val="21"/>
        </w:rPr>
        <w:t>(6)中信证券股份有限公司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广东省深圳市福田区中心三路8号卓越时代广场（二期）北座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北京朝阳区新源南路6号京城大厦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张佑君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杜杰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010-60833889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010－84865560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95548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http://www.cs.ecitic.com/ </w:t>
            </w:r>
          </w:p>
        </w:tc>
      </w:tr>
    </w:tbl>
    <w:p>
      <w:pPr>
        <w:pStyle w:val="7"/>
        <w:spacing w:before="0" w:beforeAutospacing="0" w:after="0" w:afterAutospacing="0" w:line="360" w:lineRule="auto"/>
        <w:ind w:firstLine="420"/>
        <w:rPr>
          <w:sz w:val="21"/>
          <w:szCs w:val="21"/>
        </w:rPr>
      </w:pPr>
      <w:r>
        <w:rPr>
          <w:rFonts w:hint="eastAsia"/>
          <w:b/>
          <w:bCs/>
          <w:sz w:val="21"/>
          <w:szCs w:val="21"/>
        </w:rPr>
        <w:t>(7)中国银河证券股份有限公司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北京市丰台区西营街8号院1号楼7至18层101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北京市丰台区西营街8号院1号楼青海金融大厦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010-80928123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4008-888-888或95551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 www.chinastock.com.cn/ </w:t>
            </w:r>
          </w:p>
        </w:tc>
      </w:tr>
    </w:tbl>
    <w:p>
      <w:pPr>
        <w:pStyle w:val="7"/>
        <w:spacing w:before="0" w:beforeAutospacing="0" w:after="0" w:afterAutospacing="0" w:line="360" w:lineRule="auto"/>
        <w:ind w:firstLine="420"/>
        <w:rPr>
          <w:sz w:val="21"/>
          <w:szCs w:val="21"/>
        </w:rPr>
      </w:pPr>
      <w:r>
        <w:rPr>
          <w:rFonts w:hint="eastAsia"/>
          <w:b/>
          <w:bCs/>
          <w:sz w:val="21"/>
          <w:szCs w:val="21"/>
        </w:rPr>
        <w:t>(8)申万宏源证券有限公司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上海市徐汇区长乐路989号45层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上海市徐汇区长乐路989号世纪商贸广场45层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021-33388999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021-33388224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www.swhysc.com </w:t>
            </w:r>
          </w:p>
        </w:tc>
      </w:tr>
    </w:tbl>
    <w:p>
      <w:pPr>
        <w:pStyle w:val="7"/>
        <w:spacing w:before="0" w:beforeAutospacing="0" w:after="0" w:afterAutospacing="0" w:line="360" w:lineRule="auto"/>
        <w:ind w:firstLine="420"/>
        <w:rPr>
          <w:sz w:val="21"/>
          <w:szCs w:val="21"/>
        </w:rPr>
      </w:pPr>
      <w:r>
        <w:rPr>
          <w:rFonts w:hint="eastAsia"/>
          <w:b/>
          <w:bCs/>
          <w:sz w:val="21"/>
          <w:szCs w:val="21"/>
        </w:rPr>
        <w:t>(9)兴业证券股份有限公司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福州市湖东路268号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上海市浦东民生路1199弄五道口广场1号楼21层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杨华辉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021-38565547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021－38565783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95562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http://www.xyzq.com.cn/ </w:t>
            </w:r>
          </w:p>
        </w:tc>
      </w:tr>
    </w:tbl>
    <w:p>
      <w:pPr>
        <w:pStyle w:val="7"/>
        <w:spacing w:before="0" w:beforeAutospacing="0" w:after="0" w:afterAutospacing="0" w:line="360" w:lineRule="auto"/>
        <w:ind w:firstLine="420"/>
        <w:rPr>
          <w:sz w:val="21"/>
          <w:szCs w:val="21"/>
        </w:rPr>
      </w:pPr>
      <w:r>
        <w:rPr>
          <w:rFonts w:hint="eastAsia"/>
          <w:b/>
          <w:bCs/>
          <w:sz w:val="21"/>
          <w:szCs w:val="21"/>
        </w:rPr>
        <w:t>(10)国投证券股份有限公司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深圳市福田区福田街道福华一路119号安信金融大厦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深圳市福田区福田街道福华一路119号安信金融大厦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王苏望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0755-82558266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95517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http://www.sdicsc.com.cn </w:t>
            </w:r>
          </w:p>
        </w:tc>
      </w:tr>
    </w:tbl>
    <w:p>
      <w:pPr>
        <w:pStyle w:val="7"/>
        <w:spacing w:before="0" w:beforeAutospacing="0" w:after="0" w:afterAutospacing="0" w:line="360" w:lineRule="auto"/>
        <w:ind w:firstLine="420"/>
        <w:rPr>
          <w:sz w:val="21"/>
          <w:szCs w:val="21"/>
        </w:rPr>
      </w:pPr>
      <w:r>
        <w:rPr>
          <w:rFonts w:hint="eastAsia"/>
          <w:b/>
          <w:bCs/>
          <w:sz w:val="21"/>
          <w:szCs w:val="21"/>
        </w:rPr>
        <w:t>(11)西南证券股份有限公司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重庆市江北区金沙门路32号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重庆市江北区金沙门路32号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杨雨松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宋涧乔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023-67747414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023-63786212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4008096096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http://www.swsc.com.cn </w:t>
            </w:r>
          </w:p>
        </w:tc>
      </w:tr>
    </w:tbl>
    <w:p>
      <w:pPr>
        <w:pStyle w:val="7"/>
        <w:spacing w:before="0" w:beforeAutospacing="0" w:after="0" w:afterAutospacing="0" w:line="360" w:lineRule="auto"/>
        <w:ind w:firstLine="420"/>
        <w:rPr>
          <w:sz w:val="21"/>
          <w:szCs w:val="21"/>
        </w:rPr>
      </w:pPr>
      <w:r>
        <w:rPr>
          <w:rFonts w:hint="eastAsia"/>
          <w:b/>
          <w:bCs/>
          <w:sz w:val="21"/>
          <w:szCs w:val="21"/>
        </w:rPr>
        <w:t>(12)湘财证券股份有限公司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湖南省长沙市天心区湘府中路198号新南城商务中心A栋11楼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湖南省长沙市天心区湘府中路198号新南城商务中心A栋11楼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林俊波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孙越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021-38784580-8920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95351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http://www.xcsc.com </w:t>
            </w:r>
          </w:p>
        </w:tc>
      </w:tr>
    </w:tbl>
    <w:p>
      <w:pPr>
        <w:pStyle w:val="7"/>
        <w:spacing w:before="0" w:beforeAutospacing="0" w:after="0" w:afterAutospacing="0" w:line="360" w:lineRule="auto"/>
        <w:ind w:firstLine="420"/>
        <w:rPr>
          <w:sz w:val="21"/>
          <w:szCs w:val="21"/>
        </w:rPr>
      </w:pPr>
      <w:r>
        <w:rPr>
          <w:rFonts w:hint="eastAsia"/>
          <w:b/>
          <w:bCs/>
          <w:sz w:val="21"/>
          <w:szCs w:val="21"/>
        </w:rPr>
        <w:t>(13)民生证券股份有限公司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5"/>
        <w:gridCol w:w="59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北京市东城区建国门内大街28号民生金融中心A座16-18层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北京市东城区建国门内大街28号民生金融中心A座16-20层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余政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赵明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010-85127622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010-85127917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4006198888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www.mszq.com </w:t>
            </w:r>
          </w:p>
        </w:tc>
      </w:tr>
    </w:tbl>
    <w:p>
      <w:pPr>
        <w:pStyle w:val="7"/>
        <w:spacing w:before="0" w:beforeAutospacing="0" w:after="0" w:afterAutospacing="0" w:line="360" w:lineRule="auto"/>
        <w:ind w:firstLine="420"/>
        <w:rPr>
          <w:sz w:val="21"/>
          <w:szCs w:val="21"/>
        </w:rPr>
      </w:pPr>
      <w:r>
        <w:rPr>
          <w:rFonts w:hint="eastAsia"/>
          <w:b/>
          <w:bCs/>
          <w:sz w:val="21"/>
          <w:szCs w:val="21"/>
        </w:rPr>
        <w:t>(14)华泰证券股份有限公司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南京市江东中路228号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南京市建邺区江东中路228号华泰证券广场、深圳市福田区益田路5999号基金大厦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0755-22660831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95597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http://www.htsc.com.cn/ </w:t>
            </w:r>
          </w:p>
        </w:tc>
      </w:tr>
    </w:tbl>
    <w:p>
      <w:pPr>
        <w:pStyle w:val="7"/>
        <w:spacing w:before="0" w:beforeAutospacing="0" w:after="0" w:afterAutospacing="0" w:line="360" w:lineRule="auto"/>
        <w:ind w:firstLine="420"/>
        <w:rPr>
          <w:sz w:val="21"/>
          <w:szCs w:val="21"/>
        </w:rPr>
      </w:pPr>
      <w:r>
        <w:rPr>
          <w:rFonts w:hint="eastAsia"/>
          <w:b/>
          <w:bCs/>
          <w:sz w:val="21"/>
          <w:szCs w:val="21"/>
        </w:rPr>
        <w:t>(15)山西证券股份有限公司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太原市府西街69号山西国际贸易中心东塔楼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太原市府西街69号山西国际贸易中心东塔楼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王怡里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0351－8686659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0351－8686619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4006661618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http://www.i618.com.cn/ </w:t>
            </w:r>
          </w:p>
        </w:tc>
      </w:tr>
    </w:tbl>
    <w:p>
      <w:pPr>
        <w:pStyle w:val="7"/>
        <w:spacing w:before="0" w:beforeAutospacing="0" w:after="0" w:afterAutospacing="0" w:line="360" w:lineRule="auto"/>
        <w:ind w:firstLine="420"/>
        <w:rPr>
          <w:sz w:val="21"/>
          <w:szCs w:val="21"/>
        </w:rPr>
      </w:pPr>
      <w:r>
        <w:rPr>
          <w:rFonts w:hint="eastAsia"/>
          <w:b/>
          <w:bCs/>
          <w:sz w:val="21"/>
          <w:szCs w:val="21"/>
        </w:rPr>
        <w:t>(16)中信证券（山东）有限责任公司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青岛市崂山区深圳路222号1号楼2001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青岛市市南区东海西路28号龙翔广场东座5层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肖海峰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赵如意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0532-85725062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95548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sd.citics.com </w:t>
            </w:r>
          </w:p>
        </w:tc>
      </w:tr>
    </w:tbl>
    <w:p>
      <w:pPr>
        <w:pStyle w:val="7"/>
        <w:spacing w:before="0" w:beforeAutospacing="0" w:after="0" w:afterAutospacing="0" w:line="360" w:lineRule="auto"/>
        <w:ind w:firstLine="420"/>
        <w:rPr>
          <w:sz w:val="21"/>
          <w:szCs w:val="21"/>
        </w:rPr>
      </w:pPr>
      <w:r>
        <w:rPr>
          <w:rFonts w:hint="eastAsia"/>
          <w:b/>
          <w:bCs/>
          <w:sz w:val="21"/>
          <w:szCs w:val="21"/>
        </w:rPr>
        <w:t>(17)东兴证券股份有限公司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北京市西城区金融大街5号（新盛大厦）12、15层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北京市西城区金融大街5号新盛大厦B座12-15层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魏庆华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郑旷怡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010-66559039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010-66555133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95309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http://www.dxzq.net </w:t>
            </w:r>
          </w:p>
        </w:tc>
      </w:tr>
    </w:tbl>
    <w:p>
      <w:pPr>
        <w:pStyle w:val="7"/>
        <w:spacing w:before="0" w:beforeAutospacing="0" w:after="0" w:afterAutospacing="0" w:line="360" w:lineRule="auto"/>
        <w:ind w:firstLine="420"/>
        <w:rPr>
          <w:sz w:val="21"/>
          <w:szCs w:val="21"/>
        </w:rPr>
      </w:pPr>
      <w:r>
        <w:rPr>
          <w:rFonts w:hint="eastAsia"/>
          <w:b/>
          <w:bCs/>
          <w:sz w:val="21"/>
          <w:szCs w:val="21"/>
        </w:rPr>
        <w:t>(18)东吴证券股份有限公司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江苏省苏州市翠园路181号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江苏省苏州市星阳街5号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范力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陆晓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0512-62938521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0512－65588021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95330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https://www.dwzq.com.cn </w:t>
            </w:r>
          </w:p>
        </w:tc>
      </w:tr>
    </w:tbl>
    <w:p>
      <w:pPr>
        <w:pStyle w:val="7"/>
        <w:spacing w:before="0" w:beforeAutospacing="0" w:after="0" w:afterAutospacing="0" w:line="360" w:lineRule="auto"/>
        <w:ind w:firstLine="420"/>
        <w:rPr>
          <w:sz w:val="21"/>
          <w:szCs w:val="21"/>
        </w:rPr>
      </w:pPr>
      <w:r>
        <w:rPr>
          <w:rFonts w:hint="eastAsia"/>
          <w:b/>
          <w:bCs/>
          <w:sz w:val="21"/>
          <w:szCs w:val="21"/>
        </w:rPr>
        <w:t>(19)信达证券股份有限公司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北京市西城区闹市口大街9号院1号楼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北京市西城区闹市口大街9号院1号楼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祝瑞敏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王薇安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010－83252170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010－63081344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95321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http://www.cindasc.com </w:t>
            </w:r>
          </w:p>
        </w:tc>
      </w:tr>
    </w:tbl>
    <w:p>
      <w:pPr>
        <w:pStyle w:val="7"/>
        <w:spacing w:before="0" w:beforeAutospacing="0" w:after="0" w:afterAutospacing="0" w:line="360" w:lineRule="auto"/>
        <w:ind w:firstLine="420"/>
        <w:rPr>
          <w:sz w:val="21"/>
          <w:szCs w:val="21"/>
        </w:rPr>
      </w:pPr>
      <w:r>
        <w:rPr>
          <w:rFonts w:hint="eastAsia"/>
          <w:b/>
          <w:bCs/>
          <w:sz w:val="21"/>
          <w:szCs w:val="21"/>
        </w:rPr>
        <w:t>(20)方正证券股份有限公司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湖南长沙芙蓉中路2段华侨国际大厦22-24层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湖南长沙芙蓉中路2段华侨国际大厦22-24层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施华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胡创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010-56437060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0731-85832214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95571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http://www.foundersc.com </w:t>
            </w:r>
          </w:p>
        </w:tc>
      </w:tr>
    </w:tbl>
    <w:p>
      <w:pPr>
        <w:pStyle w:val="7"/>
        <w:spacing w:before="0" w:beforeAutospacing="0" w:after="0" w:afterAutospacing="0" w:line="360" w:lineRule="auto"/>
        <w:ind w:firstLine="420"/>
        <w:rPr>
          <w:sz w:val="21"/>
          <w:szCs w:val="21"/>
        </w:rPr>
      </w:pPr>
      <w:r>
        <w:rPr>
          <w:rFonts w:hint="eastAsia"/>
          <w:b/>
          <w:bCs/>
          <w:sz w:val="21"/>
          <w:szCs w:val="21"/>
        </w:rPr>
        <w:t>(21)长城证券股份有限公司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深圳市深南大道6008号特区报业大厦16、17层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深圳市深南大道6008号特区报业大厦14、16、17层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丁益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沈晓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0755-83464734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0755－83515567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4006666888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http://www.cgws.com </w:t>
            </w:r>
          </w:p>
        </w:tc>
      </w:tr>
    </w:tbl>
    <w:p>
      <w:pPr>
        <w:pStyle w:val="7"/>
        <w:spacing w:before="0" w:beforeAutospacing="0" w:after="0" w:afterAutospacing="0" w:line="360" w:lineRule="auto"/>
        <w:ind w:firstLine="420"/>
        <w:rPr>
          <w:sz w:val="21"/>
          <w:szCs w:val="21"/>
        </w:rPr>
      </w:pPr>
      <w:r>
        <w:rPr>
          <w:rFonts w:hint="eastAsia"/>
          <w:b/>
          <w:bCs/>
          <w:sz w:val="21"/>
          <w:szCs w:val="21"/>
        </w:rPr>
        <w:t>(22)光大证券股份有限公司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上海市静安区新闸路1508号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上海市静安区新闸路1508号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刘秋明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李芳芳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021-22169089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021－22169134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4008888788；95525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http://www.ebscn.com/ </w:t>
            </w:r>
          </w:p>
        </w:tc>
      </w:tr>
    </w:tbl>
    <w:p>
      <w:pPr>
        <w:pStyle w:val="7"/>
        <w:spacing w:before="0" w:beforeAutospacing="0" w:after="0" w:afterAutospacing="0" w:line="360" w:lineRule="auto"/>
        <w:ind w:firstLine="420"/>
        <w:rPr>
          <w:sz w:val="21"/>
          <w:szCs w:val="21"/>
        </w:rPr>
      </w:pPr>
      <w:r>
        <w:rPr>
          <w:rFonts w:hint="eastAsia"/>
          <w:b/>
          <w:bCs/>
          <w:sz w:val="21"/>
          <w:szCs w:val="21"/>
        </w:rPr>
        <w:t>(23)中信证券华南股份有限公司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广州市天河区珠江西路5号广州国际金融中心主塔19层、20层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广州市天河区珠江西路5号广州国际金融中心主塔19层、20层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陈可可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郭杏燕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020-88836999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020-88836984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95548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http://www.gzs.com.cn </w:t>
            </w:r>
          </w:p>
        </w:tc>
      </w:tr>
    </w:tbl>
    <w:p>
      <w:pPr>
        <w:pStyle w:val="7"/>
        <w:spacing w:before="0" w:beforeAutospacing="0" w:after="0" w:afterAutospacing="0" w:line="360" w:lineRule="auto"/>
        <w:ind w:firstLine="420"/>
        <w:rPr>
          <w:sz w:val="21"/>
          <w:szCs w:val="21"/>
        </w:rPr>
      </w:pPr>
      <w:r>
        <w:rPr>
          <w:rFonts w:hint="eastAsia"/>
          <w:b/>
          <w:bCs/>
          <w:sz w:val="21"/>
          <w:szCs w:val="21"/>
        </w:rPr>
        <w:t>(24)东北证券股份有限公司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长春市生态大街6666号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长春市生态大街6666号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李福春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安岩岩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0431-85096517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0431-85096795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http://www.nesc.cn </w:t>
            </w:r>
          </w:p>
        </w:tc>
      </w:tr>
    </w:tbl>
    <w:p>
      <w:pPr>
        <w:pStyle w:val="7"/>
        <w:spacing w:before="0" w:beforeAutospacing="0" w:after="0" w:afterAutospacing="0" w:line="360" w:lineRule="auto"/>
        <w:ind w:firstLine="420"/>
        <w:rPr>
          <w:sz w:val="21"/>
          <w:szCs w:val="21"/>
        </w:rPr>
      </w:pPr>
      <w:r>
        <w:rPr>
          <w:rFonts w:hint="eastAsia"/>
          <w:b/>
          <w:bCs/>
          <w:sz w:val="21"/>
          <w:szCs w:val="21"/>
        </w:rPr>
        <w:t>(25)浙商证券股份有限公司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浙江省杭州市江干区五星路201号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浙江省杭州市江干区四季青街道五星路201号浙商证券5楼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吴承根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沈高亮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0571-87902239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0571－87901913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95345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http://www.stocke.com.cn/ </w:t>
            </w:r>
          </w:p>
        </w:tc>
      </w:tr>
    </w:tbl>
    <w:p>
      <w:pPr>
        <w:pStyle w:val="7"/>
        <w:spacing w:before="0" w:beforeAutospacing="0" w:after="0" w:afterAutospacing="0" w:line="360" w:lineRule="auto"/>
        <w:ind w:firstLine="420"/>
        <w:rPr>
          <w:sz w:val="21"/>
          <w:szCs w:val="21"/>
        </w:rPr>
      </w:pPr>
      <w:r>
        <w:rPr>
          <w:rFonts w:hint="eastAsia"/>
          <w:b/>
          <w:bCs/>
          <w:sz w:val="21"/>
          <w:szCs w:val="21"/>
        </w:rPr>
        <w:t>(26)平安证券股份有限公司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深圳市福田区福田街道益田路5023号平安金融中心B座第22-25层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深圳市福田区福田街道益田路5023号平安金融中心B座第22-25层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何之江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021-38632136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0755－82400862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0755-22628888/95511-8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http:www.stock.pingan.com </w:t>
            </w:r>
          </w:p>
        </w:tc>
      </w:tr>
    </w:tbl>
    <w:p>
      <w:pPr>
        <w:pStyle w:val="7"/>
        <w:spacing w:before="0" w:beforeAutospacing="0" w:after="0" w:afterAutospacing="0" w:line="360" w:lineRule="auto"/>
        <w:ind w:firstLine="420"/>
        <w:rPr>
          <w:sz w:val="21"/>
          <w:szCs w:val="21"/>
        </w:rPr>
      </w:pPr>
      <w:r>
        <w:rPr>
          <w:rFonts w:hint="eastAsia"/>
          <w:b/>
          <w:bCs/>
          <w:sz w:val="21"/>
          <w:szCs w:val="21"/>
        </w:rPr>
        <w:t>(27)东海证券股份有限公司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江苏省常州延陵西路23号投资广场18层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上海市浦东新区东方路1928号东海证券大厦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钱俊文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王一彦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021-20333333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021-50498825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95531; 4008888588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http://www.longone.com.cn </w:t>
            </w:r>
          </w:p>
        </w:tc>
      </w:tr>
    </w:tbl>
    <w:p>
      <w:pPr>
        <w:pStyle w:val="7"/>
        <w:spacing w:before="0" w:beforeAutospacing="0" w:after="0" w:afterAutospacing="0" w:line="360" w:lineRule="auto"/>
        <w:ind w:firstLine="420"/>
        <w:rPr>
          <w:sz w:val="21"/>
          <w:szCs w:val="21"/>
        </w:rPr>
      </w:pPr>
      <w:r>
        <w:rPr>
          <w:rFonts w:hint="eastAsia"/>
          <w:b/>
          <w:bCs/>
          <w:sz w:val="21"/>
          <w:szCs w:val="21"/>
        </w:rPr>
        <w:t>(28)金融街证券股份有限公司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内蒙古呼和浩特市新城区海拉尔东街满世尚都办公商业综合楼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祝艳辉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熊丽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0471－4972675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956088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http://www.cnht.com.cn/ </w:t>
            </w:r>
          </w:p>
        </w:tc>
      </w:tr>
    </w:tbl>
    <w:p>
      <w:pPr>
        <w:pStyle w:val="7"/>
        <w:spacing w:before="0" w:beforeAutospacing="0" w:after="0" w:afterAutospacing="0" w:line="360" w:lineRule="auto"/>
        <w:ind w:firstLine="420"/>
        <w:rPr>
          <w:sz w:val="21"/>
          <w:szCs w:val="21"/>
        </w:rPr>
      </w:pPr>
      <w:r>
        <w:rPr>
          <w:rFonts w:hint="eastAsia"/>
          <w:b/>
          <w:bCs/>
          <w:sz w:val="21"/>
          <w:szCs w:val="21"/>
        </w:rPr>
        <w:t>(29)国盛证券有限责任公司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江西省南昌市新建区子实路1589号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江西省南昌市红谷滩新区凤凰中大道1115号北京银行大厦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刘朝东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占文驰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0791－86283372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0791－6289395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956080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https://www.gszq.com/ </w:t>
            </w:r>
          </w:p>
        </w:tc>
      </w:tr>
    </w:tbl>
    <w:p>
      <w:pPr>
        <w:pStyle w:val="7"/>
        <w:spacing w:before="0" w:beforeAutospacing="0" w:after="0" w:afterAutospacing="0" w:line="360" w:lineRule="auto"/>
        <w:ind w:firstLine="420"/>
        <w:rPr>
          <w:sz w:val="21"/>
          <w:szCs w:val="21"/>
        </w:rPr>
      </w:pPr>
      <w:r>
        <w:rPr>
          <w:rFonts w:hint="eastAsia"/>
          <w:b/>
          <w:bCs/>
          <w:sz w:val="21"/>
          <w:szCs w:val="21"/>
        </w:rPr>
        <w:t>(30)华西证券股份有限公司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四川省成都市高新区天府二街198号华西证券大厦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四川省成都市高新区天府二街198号华西证券大厦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杨炯洋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赵静静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010-58124967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028-86150040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95584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https://www.hx168.com.cn/ </w:t>
            </w:r>
          </w:p>
        </w:tc>
      </w:tr>
    </w:tbl>
    <w:p>
      <w:pPr>
        <w:pStyle w:val="7"/>
        <w:spacing w:before="0" w:beforeAutospacing="0" w:after="0" w:afterAutospacing="0" w:line="360" w:lineRule="auto"/>
        <w:ind w:firstLine="420"/>
        <w:rPr>
          <w:sz w:val="21"/>
          <w:szCs w:val="21"/>
        </w:rPr>
      </w:pPr>
      <w:r>
        <w:rPr>
          <w:rFonts w:hint="eastAsia"/>
          <w:b/>
          <w:bCs/>
          <w:sz w:val="21"/>
          <w:szCs w:val="21"/>
        </w:rPr>
        <w:t>(31)申万宏源西部证券有限公司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新疆乌鲁木齐市高新区（新市区）北京南路358号大成国际大厦20楼2005室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新疆乌鲁木齐市高新区（新市区）北京南路358号大成国际大厦20楼2005室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王献军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梁丽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0991-2307105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010-88085195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95523或4008895523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www.swhysc.com </w:t>
            </w:r>
          </w:p>
        </w:tc>
      </w:tr>
    </w:tbl>
    <w:p>
      <w:pPr>
        <w:pStyle w:val="7"/>
        <w:spacing w:before="0" w:beforeAutospacing="0" w:after="0" w:afterAutospacing="0" w:line="360" w:lineRule="auto"/>
        <w:ind w:firstLine="420"/>
        <w:rPr>
          <w:sz w:val="21"/>
          <w:szCs w:val="21"/>
        </w:rPr>
      </w:pPr>
      <w:r>
        <w:rPr>
          <w:rFonts w:hint="eastAsia"/>
          <w:b/>
          <w:bCs/>
          <w:sz w:val="21"/>
          <w:szCs w:val="21"/>
        </w:rPr>
        <w:t>(32)中泰证券股份有限公司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济南市市中区经七路86号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山东省济南市市中区经七路86号证券大厦2309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王洪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张峰源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021-20315719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95538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www.zts.com.cn </w:t>
            </w:r>
          </w:p>
        </w:tc>
      </w:tr>
    </w:tbl>
    <w:p>
      <w:pPr>
        <w:pStyle w:val="7"/>
        <w:spacing w:before="0" w:beforeAutospacing="0" w:after="0" w:afterAutospacing="0" w:line="360" w:lineRule="auto"/>
        <w:ind w:firstLine="420"/>
        <w:rPr>
          <w:sz w:val="21"/>
          <w:szCs w:val="21"/>
        </w:rPr>
      </w:pPr>
      <w:r>
        <w:rPr>
          <w:rFonts w:hint="eastAsia"/>
          <w:b/>
          <w:bCs/>
          <w:sz w:val="21"/>
          <w:szCs w:val="21"/>
        </w:rPr>
        <w:t>(33)德邦证券股份有限公司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上海市普陀区曹杨路510号南半幢9楼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上海市浦东新区福山路500号城建国际中心26楼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武晓春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021-68761616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021-68767981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4008888128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http://www.tebon.com.cn </w:t>
            </w:r>
          </w:p>
        </w:tc>
      </w:tr>
    </w:tbl>
    <w:p>
      <w:pPr>
        <w:pStyle w:val="7"/>
        <w:spacing w:before="0" w:beforeAutospacing="0" w:after="0" w:afterAutospacing="0" w:line="360" w:lineRule="auto"/>
        <w:ind w:firstLine="420"/>
        <w:rPr>
          <w:sz w:val="21"/>
          <w:szCs w:val="21"/>
        </w:rPr>
      </w:pPr>
      <w:r>
        <w:rPr>
          <w:rFonts w:hint="eastAsia"/>
          <w:b/>
          <w:bCs/>
          <w:sz w:val="21"/>
          <w:szCs w:val="21"/>
        </w:rPr>
        <w:t>(34)西部证券股份有限公司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陕西省西安市新城区东新街319号8幢10000室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西安市新城区东新街319号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徐朝晖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张吉安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029-87211668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029-87406117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95582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http://www.west95582.com/ </w:t>
            </w:r>
          </w:p>
        </w:tc>
      </w:tr>
    </w:tbl>
    <w:p>
      <w:pPr>
        <w:pStyle w:val="7"/>
        <w:spacing w:before="0" w:beforeAutospacing="0" w:after="0" w:afterAutospacing="0" w:line="360" w:lineRule="auto"/>
        <w:ind w:firstLine="420"/>
        <w:rPr>
          <w:sz w:val="21"/>
          <w:szCs w:val="21"/>
        </w:rPr>
      </w:pPr>
      <w:r>
        <w:rPr>
          <w:rFonts w:hint="eastAsia"/>
          <w:b/>
          <w:bCs/>
          <w:sz w:val="21"/>
          <w:szCs w:val="21"/>
        </w:rPr>
        <w:t>(35)华鑫证券有限责任公司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深圳市福田区莲花街道福中社区深南大道2008号中国凤凰大厦1栋20C-1房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上海市黄浦区福州路666号6楼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俞洋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021-54967656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021-64333051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95323,021-32109999,029-68918888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http://www.cfsc.com.cn </w:t>
            </w:r>
          </w:p>
        </w:tc>
      </w:tr>
    </w:tbl>
    <w:p>
      <w:pPr>
        <w:pStyle w:val="7"/>
        <w:spacing w:before="0" w:beforeAutospacing="0" w:after="0" w:afterAutospacing="0" w:line="360" w:lineRule="auto"/>
        <w:ind w:firstLine="420"/>
        <w:rPr>
          <w:sz w:val="21"/>
          <w:szCs w:val="21"/>
        </w:rPr>
      </w:pPr>
      <w:r>
        <w:rPr>
          <w:rFonts w:hint="eastAsia"/>
          <w:b/>
          <w:bCs/>
          <w:sz w:val="21"/>
          <w:szCs w:val="21"/>
        </w:rPr>
        <w:t>(36)中国中金财富证券有限公司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深圳市南山区粤海街道海珠社区科苑南路2666号中国华润大厦L4601-4608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深圳市福田区益田路与福中路交界处荣超商务中心A栋第18-21层及第04层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高涛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万玉琳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0755-82026907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0755-82026539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4006008008/95532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http://www.china-invs.cn/ </w:t>
            </w:r>
          </w:p>
        </w:tc>
      </w:tr>
    </w:tbl>
    <w:p>
      <w:pPr>
        <w:pStyle w:val="7"/>
        <w:spacing w:before="0" w:beforeAutospacing="0" w:after="0" w:afterAutospacing="0" w:line="360" w:lineRule="auto"/>
        <w:ind w:firstLine="420"/>
        <w:rPr>
          <w:sz w:val="21"/>
          <w:szCs w:val="21"/>
        </w:rPr>
      </w:pPr>
      <w:r>
        <w:rPr>
          <w:rFonts w:hint="eastAsia"/>
          <w:b/>
          <w:bCs/>
          <w:sz w:val="21"/>
          <w:szCs w:val="21"/>
        </w:rPr>
        <w:t>(37)东方财富证券股份有限公司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西藏自治区拉萨市柳梧新区国际总部城10栋楼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上海市徐汇区宛平南路88号金座东方财富大厦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戴彦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付佳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021-23586603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021-23586860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95357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http://www.18.cn </w:t>
            </w:r>
          </w:p>
        </w:tc>
      </w:tr>
    </w:tbl>
    <w:p>
      <w:pPr>
        <w:pStyle w:val="7"/>
        <w:spacing w:before="0" w:beforeAutospacing="0" w:after="0" w:afterAutospacing="0" w:line="360" w:lineRule="auto"/>
        <w:ind w:firstLine="420"/>
        <w:rPr>
          <w:sz w:val="21"/>
          <w:szCs w:val="21"/>
        </w:rPr>
      </w:pPr>
      <w:r>
        <w:rPr>
          <w:rFonts w:hint="eastAsia"/>
          <w:b/>
          <w:bCs/>
          <w:sz w:val="21"/>
          <w:szCs w:val="21"/>
        </w:rPr>
        <w:t>(38)江海证券有限公司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黑龙江省哈尔滨市香坊区赣水路56号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黑龙江省哈尔滨市香坊区赣水路56号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孙名扬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王金娇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0451-87765732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0451－82287211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956007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http://www.jhzq.com.cn </w:t>
            </w:r>
          </w:p>
        </w:tc>
      </w:tr>
    </w:tbl>
    <w:p>
      <w:pPr>
        <w:pStyle w:val="7"/>
        <w:spacing w:before="0" w:beforeAutospacing="0" w:after="0" w:afterAutospacing="0" w:line="360" w:lineRule="auto"/>
        <w:ind w:firstLine="420"/>
        <w:rPr>
          <w:sz w:val="21"/>
          <w:szCs w:val="21"/>
        </w:rPr>
      </w:pPr>
      <w:r>
        <w:rPr>
          <w:rFonts w:hint="eastAsia"/>
          <w:b/>
          <w:bCs/>
          <w:sz w:val="21"/>
          <w:szCs w:val="21"/>
        </w:rPr>
        <w:t>(39)国金证券股份有限公司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四川省成都市东城根上街95号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四川省成都市东城根上街95号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冉云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贾鹏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028-86690057、028-86690058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028-86690126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4006-600109/95310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http://www.gjzq.com.cn </w:t>
            </w:r>
          </w:p>
        </w:tc>
      </w:tr>
    </w:tbl>
    <w:p>
      <w:pPr>
        <w:pStyle w:val="7"/>
        <w:spacing w:before="0" w:beforeAutospacing="0" w:after="0" w:afterAutospacing="0" w:line="360" w:lineRule="auto"/>
        <w:ind w:firstLine="420"/>
        <w:rPr>
          <w:sz w:val="21"/>
          <w:szCs w:val="21"/>
        </w:rPr>
      </w:pPr>
      <w:r>
        <w:rPr>
          <w:rFonts w:hint="eastAsia"/>
          <w:b/>
          <w:bCs/>
          <w:sz w:val="21"/>
          <w:szCs w:val="21"/>
        </w:rPr>
        <w:t>(40)华宝证券股份有限公司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上海市浦东新区世纪大道100号上海环球金融中心57楼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上海市浦东新区世纪大道100号上海环球金融中心57楼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刘加海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刘闻川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021-68777222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021－68777822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4008209898;021-38929908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http://www.cnhbstock.com </w:t>
            </w:r>
          </w:p>
        </w:tc>
      </w:tr>
    </w:tbl>
    <w:p>
      <w:pPr>
        <w:pStyle w:val="7"/>
        <w:spacing w:before="0" w:beforeAutospacing="0" w:after="0" w:afterAutospacing="0" w:line="360" w:lineRule="auto"/>
        <w:ind w:firstLine="420"/>
        <w:rPr>
          <w:sz w:val="21"/>
          <w:szCs w:val="21"/>
        </w:rPr>
      </w:pPr>
      <w:r>
        <w:rPr>
          <w:rFonts w:hint="eastAsia"/>
          <w:b/>
          <w:bCs/>
          <w:sz w:val="21"/>
          <w:szCs w:val="21"/>
        </w:rPr>
        <w:t>(41)国新证券股份有限公司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北京市西城区车公庄大街4号2幢1层A2112室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北京市朝阳区朝阳门北大街18号中国人保寿险大厦12层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张海文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孙燕波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010-85556048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95390 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http://www.crsec.com.cn </w:t>
            </w:r>
          </w:p>
        </w:tc>
      </w:tr>
    </w:tbl>
    <w:p>
      <w:pPr>
        <w:pStyle w:val="7"/>
        <w:spacing w:before="0" w:beforeAutospacing="0" w:after="0" w:afterAutospacing="0" w:line="360" w:lineRule="auto"/>
        <w:ind w:firstLine="420"/>
        <w:rPr>
          <w:sz w:val="21"/>
          <w:szCs w:val="21"/>
        </w:rPr>
      </w:pPr>
      <w:r>
        <w:rPr>
          <w:rFonts w:hint="eastAsia"/>
          <w:b/>
          <w:bCs/>
          <w:sz w:val="21"/>
          <w:szCs w:val="21"/>
        </w:rPr>
        <w:t>(42)华创证券有限责任公司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贵州省贵阳市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贵州省贵阳市中华北路216号华创大厦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陶永泽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郭佳来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021-60762618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021-60762700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4008666689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http://www.hczq.com/ </w:t>
            </w:r>
          </w:p>
        </w:tc>
      </w:tr>
    </w:tbl>
    <w:p>
      <w:pPr>
        <w:pStyle w:val="7"/>
        <w:spacing w:before="0" w:beforeAutospacing="0" w:after="0" w:afterAutospacing="0" w:line="360" w:lineRule="auto"/>
        <w:ind w:firstLine="420"/>
        <w:rPr>
          <w:sz w:val="21"/>
          <w:szCs w:val="21"/>
        </w:rPr>
      </w:pPr>
      <w:r>
        <w:rPr>
          <w:rFonts w:hint="eastAsia"/>
          <w:b/>
          <w:bCs/>
          <w:sz w:val="21"/>
          <w:szCs w:val="21"/>
        </w:rPr>
        <w:t>(43)万和证券股份有限公司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海南省海口市南沙路49号通信广场二楼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深圳市福田区深南大道7028号时代科技大厦20层西厅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甘卫斌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0755-82830333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0755-25170093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4008-882-882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http://www.vanho.cn </w:t>
            </w:r>
          </w:p>
        </w:tc>
      </w:tr>
    </w:tbl>
    <w:p>
      <w:pPr>
        <w:pStyle w:val="7"/>
        <w:spacing w:before="0" w:beforeAutospacing="0" w:after="0" w:afterAutospacing="0" w:line="360" w:lineRule="auto"/>
        <w:ind w:firstLine="420"/>
        <w:rPr>
          <w:sz w:val="21"/>
          <w:szCs w:val="21"/>
        </w:rPr>
      </w:pPr>
      <w:r>
        <w:rPr>
          <w:rFonts w:hint="eastAsia"/>
          <w:b/>
          <w:bCs/>
          <w:sz w:val="21"/>
          <w:szCs w:val="21"/>
        </w:rPr>
        <w:t>(44)联储证券股份有限公司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深圳市福田区华强北路圣廷苑酒店B座26楼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深圳市福田区华强北路圣廷苑酒店B座26楼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吕春卫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张婉婷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010-86499765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0755-82075835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4006206868/010-56177851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http://www.lczq.com/ </w:t>
            </w:r>
          </w:p>
        </w:tc>
      </w:tr>
    </w:tbl>
    <w:p>
      <w:pPr>
        <w:rPr>
          <w:rFonts w:ascii="宋体" w:hAnsi="宋体" w:eastAsia="宋体"/>
          <w:sz w:val="24"/>
          <w:szCs w:val="24"/>
        </w:rPr>
      </w:pPr>
      <w:bookmarkStart w:id="51" w:name="field_0_allproxysaletables_1_end"/>
      <w:bookmarkEnd w:id="51"/>
      <w:r>
        <w:rPr>
          <w:rFonts w:ascii="宋体" w:hAnsi="宋体" w:eastAsia="宋体"/>
        </w:rPr>
        <w:t xml:space="preserve">  </w:t>
      </w:r>
    </w:p>
    <w:p>
      <w:pPr>
        <w:pStyle w:val="7"/>
        <w:spacing w:before="0" w:beforeAutospacing="0" w:after="0" w:afterAutospacing="0" w:line="360" w:lineRule="auto"/>
        <w:ind w:firstLine="420"/>
        <w:rPr>
          <w:sz w:val="21"/>
          <w:szCs w:val="21"/>
        </w:rPr>
      </w:pPr>
    </w:p>
    <w:p>
      <w:pPr>
        <w:pStyle w:val="7"/>
        <w:spacing w:before="0" w:beforeAutospacing="0" w:after="0" w:afterAutospacing="0" w:line="360" w:lineRule="auto"/>
        <w:ind w:firstLine="420"/>
        <w:rPr>
          <w:sz w:val="21"/>
          <w:szCs w:val="21"/>
        </w:rPr>
      </w:pPr>
      <w:r>
        <w:rPr>
          <w:rFonts w:hint="eastAsia"/>
          <w:sz w:val="21"/>
          <w:szCs w:val="21"/>
        </w:rPr>
        <w:t xml:space="preserve">2．二级市场交易代理券商    </w:t>
      </w:r>
    </w:p>
    <w:p>
      <w:pPr>
        <w:pStyle w:val="7"/>
        <w:spacing w:before="0" w:beforeAutospacing="0" w:after="0" w:afterAutospacing="0" w:line="360" w:lineRule="auto"/>
        <w:ind w:firstLine="420"/>
        <w:rPr>
          <w:sz w:val="21"/>
          <w:szCs w:val="21"/>
        </w:rPr>
      </w:pPr>
      <w:r>
        <w:rPr>
          <w:rFonts w:hint="eastAsia"/>
          <w:sz w:val="21"/>
          <w:szCs w:val="21"/>
        </w:rPr>
        <w:t xml:space="preserve">包括具有经纪业务资格及上海证券交易所会员资格的所有证券公司。     </w:t>
      </w:r>
    </w:p>
    <w:p>
      <w:pPr>
        <w:pStyle w:val="7"/>
        <w:spacing w:before="0" w:beforeAutospacing="0" w:after="0" w:afterAutospacing="0" w:line="360" w:lineRule="auto"/>
        <w:ind w:firstLine="420"/>
        <w:rPr>
          <w:sz w:val="21"/>
          <w:szCs w:val="21"/>
        </w:rPr>
      </w:pPr>
      <w:r>
        <w:rPr>
          <w:rFonts w:hint="eastAsia"/>
          <w:sz w:val="21"/>
          <w:szCs w:val="21"/>
        </w:rPr>
        <w:t>3．基金管理人可根据有关法律法规，选择其他符合要求的机构代理发售本基金，并及</w:t>
      </w:r>
      <w:bookmarkStart w:id="52" w:name="chapter_level1_7_56_section_2_end"/>
      <w:bookmarkEnd w:id="52"/>
      <w:r>
        <w:rPr>
          <w:rFonts w:hint="eastAsia"/>
          <w:sz w:val="21"/>
          <w:szCs w:val="21"/>
        </w:rPr>
        <w:t xml:space="preserve">时公告。 </w:t>
      </w:r>
    </w:p>
    <w:p>
      <w:pPr>
        <w:pStyle w:val="7"/>
        <w:spacing w:before="0" w:beforeAutospacing="0" w:after="0" w:afterAutospacing="0" w:line="360" w:lineRule="auto"/>
        <w:ind w:firstLine="420"/>
        <w:rPr>
          <w:sz w:val="21"/>
          <w:szCs w:val="21"/>
        </w:rPr>
      </w:pPr>
      <w:bookmarkStart w:id="53" w:name="chapter_level1_7_56_section_3"/>
      <w:bookmarkEnd w:id="53"/>
      <w:r>
        <w:rPr>
          <w:rStyle w:val="11"/>
          <w:rFonts w:hint="eastAsia"/>
          <w:sz w:val="21"/>
          <w:szCs w:val="21"/>
        </w:rPr>
        <w:t>二、登记机构</w:t>
      </w:r>
    </w:p>
    <w:p>
      <w:pPr>
        <w:pStyle w:val="7"/>
        <w:spacing w:before="0" w:beforeAutospacing="0" w:after="0" w:afterAutospacing="0" w:line="360" w:lineRule="auto"/>
        <w:ind w:firstLine="420"/>
        <w:rPr>
          <w:sz w:val="21"/>
          <w:szCs w:val="21"/>
        </w:rPr>
      </w:pPr>
      <w:bookmarkStart w:id="54" w:name="field_0_registercompanyinfo_1_start"/>
      <w:bookmarkEnd w:id="54"/>
      <w:r>
        <w:rPr>
          <w:rFonts w:hint="eastAsia"/>
          <w:sz w:val="21"/>
          <w:szCs w:val="21"/>
        </w:rPr>
        <w:t xml:space="preserve">名称：中国证券登记结算有限责任公司  </w:t>
      </w:r>
    </w:p>
    <w:p>
      <w:pPr>
        <w:pStyle w:val="7"/>
        <w:spacing w:before="0" w:beforeAutospacing="0" w:after="0" w:afterAutospacing="0" w:line="360" w:lineRule="auto"/>
        <w:ind w:firstLine="420"/>
        <w:rPr>
          <w:sz w:val="21"/>
          <w:szCs w:val="21"/>
        </w:rPr>
      </w:pPr>
      <w:r>
        <w:rPr>
          <w:rFonts w:hint="eastAsia"/>
          <w:sz w:val="21"/>
          <w:szCs w:val="21"/>
        </w:rPr>
        <w:t xml:space="preserve">注册地址：北京市西城区太平桥大街17号 </w:t>
      </w:r>
    </w:p>
    <w:p>
      <w:pPr>
        <w:pStyle w:val="7"/>
        <w:spacing w:before="0" w:beforeAutospacing="0" w:after="0" w:afterAutospacing="0" w:line="360" w:lineRule="auto"/>
        <w:ind w:firstLine="420"/>
        <w:rPr>
          <w:sz w:val="21"/>
          <w:szCs w:val="21"/>
        </w:rPr>
      </w:pPr>
      <w:r>
        <w:rPr>
          <w:rFonts w:hint="eastAsia"/>
          <w:sz w:val="21"/>
          <w:szCs w:val="21"/>
        </w:rPr>
        <w:t xml:space="preserve">办公地址：北京市西城区太平桥大街17号 </w:t>
      </w:r>
    </w:p>
    <w:p>
      <w:pPr>
        <w:pStyle w:val="7"/>
        <w:spacing w:before="0" w:beforeAutospacing="0" w:after="0" w:afterAutospacing="0" w:line="360" w:lineRule="auto"/>
        <w:ind w:firstLine="420"/>
        <w:rPr>
          <w:sz w:val="21"/>
          <w:szCs w:val="21"/>
        </w:rPr>
      </w:pPr>
      <w:r>
        <w:rPr>
          <w:rFonts w:hint="eastAsia"/>
          <w:sz w:val="21"/>
          <w:szCs w:val="21"/>
        </w:rPr>
        <w:t xml:space="preserve">法定代表人：于文强 </w:t>
      </w:r>
    </w:p>
    <w:p>
      <w:pPr>
        <w:pStyle w:val="7"/>
        <w:spacing w:before="0" w:beforeAutospacing="0" w:after="0" w:afterAutospacing="0" w:line="360" w:lineRule="auto"/>
        <w:ind w:firstLine="420"/>
        <w:rPr>
          <w:sz w:val="21"/>
          <w:szCs w:val="21"/>
        </w:rPr>
      </w:pPr>
      <w:r>
        <w:rPr>
          <w:rFonts w:hint="eastAsia"/>
          <w:sz w:val="21"/>
          <w:szCs w:val="21"/>
        </w:rPr>
        <w:t xml:space="preserve">电  话：0755-25946013 </w:t>
      </w:r>
    </w:p>
    <w:p>
      <w:pPr>
        <w:pStyle w:val="7"/>
        <w:spacing w:before="0" w:beforeAutospacing="0" w:after="0" w:afterAutospacing="0" w:line="360" w:lineRule="auto"/>
        <w:ind w:firstLine="420"/>
        <w:rPr>
          <w:sz w:val="21"/>
          <w:szCs w:val="21"/>
        </w:rPr>
      </w:pPr>
      <w:r>
        <w:rPr>
          <w:rFonts w:hint="eastAsia"/>
          <w:sz w:val="21"/>
          <w:szCs w:val="21"/>
        </w:rPr>
        <w:t xml:space="preserve">传  真：0755-25987122 </w:t>
      </w:r>
    </w:p>
    <w:p>
      <w:pPr>
        <w:pStyle w:val="7"/>
        <w:spacing w:before="0" w:beforeAutospacing="0" w:after="0" w:afterAutospacing="0" w:line="360" w:lineRule="auto"/>
        <w:ind w:firstLine="420"/>
        <w:rPr>
          <w:sz w:val="21"/>
          <w:szCs w:val="21"/>
        </w:rPr>
      </w:pPr>
      <w:r>
        <w:rPr>
          <w:rFonts w:hint="eastAsia"/>
          <w:sz w:val="21"/>
          <w:szCs w:val="21"/>
        </w:rPr>
        <w:t xml:space="preserve">联系人：严峰 </w:t>
      </w:r>
      <w:bookmarkStart w:id="55" w:name="field_0_registercompanyinfo_1_end"/>
      <w:bookmarkEnd w:id="55"/>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三、出具法律意见书的律师事务所</w:t>
      </w:r>
    </w:p>
    <w:p>
      <w:pPr>
        <w:pStyle w:val="7"/>
        <w:spacing w:before="0" w:beforeAutospacing="0" w:after="0" w:afterAutospacing="0" w:line="360" w:lineRule="auto"/>
        <w:ind w:firstLine="420"/>
        <w:rPr>
          <w:sz w:val="21"/>
          <w:szCs w:val="21"/>
        </w:rPr>
      </w:pPr>
      <w:r>
        <w:rPr>
          <w:rFonts w:hint="eastAsia"/>
          <w:sz w:val="21"/>
          <w:szCs w:val="21"/>
        </w:rPr>
        <w:t xml:space="preserve">名称：上海源泰律师事务所 </w:t>
      </w:r>
    </w:p>
    <w:p>
      <w:pPr>
        <w:pStyle w:val="7"/>
        <w:spacing w:before="0" w:beforeAutospacing="0" w:after="0" w:afterAutospacing="0" w:line="360" w:lineRule="auto"/>
        <w:ind w:firstLine="420"/>
        <w:rPr>
          <w:sz w:val="21"/>
          <w:szCs w:val="21"/>
        </w:rPr>
      </w:pPr>
      <w:r>
        <w:rPr>
          <w:rFonts w:hint="eastAsia"/>
          <w:sz w:val="21"/>
          <w:szCs w:val="21"/>
        </w:rPr>
        <w:t xml:space="preserve">注册地址：上海市浦东新区浦东南路256号华夏银行大厦14楼 </w:t>
      </w:r>
    </w:p>
    <w:p>
      <w:pPr>
        <w:pStyle w:val="7"/>
        <w:spacing w:before="0" w:beforeAutospacing="0" w:after="0" w:afterAutospacing="0" w:line="360" w:lineRule="auto"/>
        <w:ind w:firstLine="420"/>
        <w:rPr>
          <w:sz w:val="21"/>
          <w:szCs w:val="21"/>
        </w:rPr>
      </w:pPr>
      <w:r>
        <w:rPr>
          <w:rFonts w:hint="eastAsia"/>
          <w:sz w:val="21"/>
          <w:szCs w:val="21"/>
        </w:rPr>
        <w:t xml:space="preserve">办公地址：上海市浦东新区浦东南路256号华夏银行大厦14楼 </w:t>
      </w:r>
    </w:p>
    <w:p>
      <w:pPr>
        <w:pStyle w:val="7"/>
        <w:spacing w:before="0" w:beforeAutospacing="0" w:after="0" w:afterAutospacing="0" w:line="360" w:lineRule="auto"/>
        <w:ind w:firstLine="420"/>
        <w:rPr>
          <w:sz w:val="21"/>
          <w:szCs w:val="21"/>
        </w:rPr>
      </w:pPr>
      <w:r>
        <w:rPr>
          <w:rFonts w:hint="eastAsia"/>
          <w:sz w:val="21"/>
          <w:szCs w:val="21"/>
        </w:rPr>
        <w:t xml:space="preserve">负责人：廖海 </w:t>
      </w:r>
    </w:p>
    <w:p>
      <w:pPr>
        <w:pStyle w:val="7"/>
        <w:spacing w:before="0" w:beforeAutospacing="0" w:after="0" w:afterAutospacing="0" w:line="360" w:lineRule="auto"/>
        <w:ind w:firstLine="420"/>
        <w:rPr>
          <w:sz w:val="21"/>
          <w:szCs w:val="21"/>
        </w:rPr>
      </w:pPr>
      <w:r>
        <w:rPr>
          <w:rFonts w:hint="eastAsia"/>
          <w:sz w:val="21"/>
          <w:szCs w:val="21"/>
        </w:rPr>
        <w:t xml:space="preserve">电话： 021-51150298 </w:t>
      </w:r>
    </w:p>
    <w:p>
      <w:pPr>
        <w:pStyle w:val="7"/>
        <w:spacing w:before="0" w:beforeAutospacing="0" w:after="0" w:afterAutospacing="0" w:line="360" w:lineRule="auto"/>
        <w:ind w:firstLine="420"/>
        <w:rPr>
          <w:sz w:val="21"/>
          <w:szCs w:val="21"/>
        </w:rPr>
      </w:pPr>
      <w:r>
        <w:rPr>
          <w:rFonts w:hint="eastAsia"/>
          <w:sz w:val="21"/>
          <w:szCs w:val="21"/>
        </w:rPr>
        <w:t xml:space="preserve">传真： 021-51150398 </w:t>
      </w:r>
    </w:p>
    <w:p>
      <w:pPr>
        <w:pStyle w:val="7"/>
        <w:spacing w:before="0" w:beforeAutospacing="0" w:after="0" w:afterAutospacing="0" w:line="360" w:lineRule="auto"/>
        <w:ind w:firstLine="420"/>
        <w:rPr>
          <w:sz w:val="21"/>
          <w:szCs w:val="21"/>
        </w:rPr>
      </w:pPr>
      <w:r>
        <w:rPr>
          <w:rFonts w:hint="eastAsia"/>
          <w:sz w:val="21"/>
          <w:szCs w:val="21"/>
        </w:rPr>
        <w:t xml:space="preserve">联系人：刘佳 </w:t>
      </w:r>
    </w:p>
    <w:p>
      <w:pPr>
        <w:pStyle w:val="7"/>
        <w:spacing w:before="0" w:beforeAutospacing="0" w:after="0" w:afterAutospacing="0" w:line="360" w:lineRule="auto"/>
        <w:ind w:firstLine="420"/>
        <w:rPr>
          <w:sz w:val="21"/>
          <w:szCs w:val="21"/>
        </w:rPr>
      </w:pPr>
      <w:r>
        <w:rPr>
          <w:rFonts w:hint="eastAsia"/>
          <w:sz w:val="21"/>
          <w:szCs w:val="21"/>
        </w:rPr>
        <w:t xml:space="preserve">经办律师：刘佳、张雯倩 </w:t>
      </w:r>
    </w:p>
    <w:p>
      <w:pPr>
        <w:pStyle w:val="7"/>
        <w:spacing w:before="0" w:beforeAutospacing="0" w:after="0" w:afterAutospacing="0" w:line="360" w:lineRule="auto"/>
        <w:ind w:firstLine="420"/>
        <w:rPr>
          <w:sz w:val="21"/>
          <w:szCs w:val="21"/>
        </w:rPr>
      </w:pPr>
      <w:r>
        <w:rPr>
          <w:rStyle w:val="11"/>
          <w:rFonts w:hint="eastAsia"/>
          <w:sz w:val="21"/>
          <w:szCs w:val="21"/>
        </w:rPr>
        <w:t>四、会计师事务所和经办注册会计师</w:t>
      </w:r>
    </w:p>
    <w:p>
      <w:pPr>
        <w:pStyle w:val="7"/>
        <w:spacing w:before="0" w:beforeAutospacing="0" w:after="0" w:afterAutospacing="0" w:line="360" w:lineRule="auto"/>
        <w:ind w:firstLine="420"/>
        <w:rPr>
          <w:sz w:val="21"/>
          <w:szCs w:val="21"/>
        </w:rPr>
      </w:pPr>
      <w:r>
        <w:rPr>
          <w:rFonts w:hint="eastAsia"/>
          <w:sz w:val="21"/>
          <w:szCs w:val="21"/>
        </w:rPr>
        <w:t>本基金的法定验资机构为</w:t>
      </w:r>
      <w:bookmarkStart w:id="56" w:name="field_0_verifyaccountorgfullname_1"/>
      <w:r>
        <w:rPr>
          <w:rFonts w:hint="eastAsia"/>
          <w:sz w:val="21"/>
          <w:szCs w:val="21"/>
        </w:rPr>
        <w:t>安永华明会计师事务所（特殊普通合伙）</w:t>
      </w:r>
      <w:bookmarkEnd w:id="56"/>
      <w:r>
        <w:rPr>
          <w:rFonts w:hint="eastAsia"/>
          <w:sz w:val="21"/>
          <w:szCs w:val="21"/>
        </w:rPr>
        <w:t xml:space="preserve">  </w:t>
      </w:r>
    </w:p>
    <w:p>
      <w:pPr>
        <w:pStyle w:val="7"/>
        <w:spacing w:before="0" w:beforeAutospacing="0" w:after="0" w:afterAutospacing="0" w:line="360" w:lineRule="auto"/>
        <w:ind w:firstLine="420"/>
        <w:rPr>
          <w:sz w:val="21"/>
          <w:szCs w:val="21"/>
        </w:rPr>
      </w:pPr>
      <w:bookmarkStart w:id="57" w:name="field_0_verifyaccountcompanyinfo_1_start"/>
      <w:bookmarkEnd w:id="57"/>
      <w:r>
        <w:rPr>
          <w:rFonts w:hint="eastAsia"/>
          <w:sz w:val="21"/>
          <w:szCs w:val="21"/>
        </w:rPr>
        <w:t xml:space="preserve">名称：安永华明会计师事务所（特殊普通合伙） </w:t>
      </w:r>
    </w:p>
    <w:p>
      <w:pPr>
        <w:pStyle w:val="7"/>
        <w:spacing w:before="0" w:beforeAutospacing="0" w:after="0" w:afterAutospacing="0" w:line="360" w:lineRule="auto"/>
        <w:ind w:firstLine="420"/>
        <w:rPr>
          <w:sz w:val="21"/>
          <w:szCs w:val="21"/>
        </w:rPr>
      </w:pPr>
      <w:r>
        <w:rPr>
          <w:rFonts w:hint="eastAsia"/>
          <w:sz w:val="21"/>
          <w:szCs w:val="21"/>
        </w:rPr>
        <w:t xml:space="preserve">住所： 北京市东城区东长安街1号东方广场安永大楼17层01-12室  </w:t>
      </w:r>
    </w:p>
    <w:p>
      <w:pPr>
        <w:pStyle w:val="7"/>
        <w:spacing w:before="0" w:beforeAutospacing="0" w:after="0" w:afterAutospacing="0" w:line="360" w:lineRule="auto"/>
        <w:ind w:firstLine="420"/>
        <w:rPr>
          <w:sz w:val="21"/>
          <w:szCs w:val="21"/>
        </w:rPr>
      </w:pPr>
      <w:r>
        <w:rPr>
          <w:rFonts w:hint="eastAsia"/>
          <w:sz w:val="21"/>
          <w:szCs w:val="21"/>
        </w:rPr>
        <w:t xml:space="preserve">办公地址：北京市东城区东长安街1号东方广场安永大楼17层01-12室  </w:t>
      </w:r>
    </w:p>
    <w:p>
      <w:pPr>
        <w:pStyle w:val="7"/>
        <w:spacing w:before="0" w:beforeAutospacing="0" w:after="0" w:afterAutospacing="0" w:line="360" w:lineRule="auto"/>
        <w:ind w:firstLine="420"/>
        <w:rPr>
          <w:sz w:val="21"/>
          <w:szCs w:val="21"/>
        </w:rPr>
      </w:pPr>
      <w:r>
        <w:rPr>
          <w:rFonts w:hint="eastAsia"/>
          <w:sz w:val="21"/>
          <w:szCs w:val="21"/>
        </w:rPr>
        <w:t xml:space="preserve">执行事务合伙人：毛鞍宁  </w:t>
      </w:r>
    </w:p>
    <w:p>
      <w:pPr>
        <w:pStyle w:val="7"/>
        <w:spacing w:before="0" w:beforeAutospacing="0" w:after="0" w:afterAutospacing="0" w:line="360" w:lineRule="auto"/>
        <w:ind w:firstLine="420"/>
        <w:rPr>
          <w:sz w:val="21"/>
          <w:szCs w:val="21"/>
        </w:rPr>
      </w:pPr>
      <w:r>
        <w:rPr>
          <w:rFonts w:hint="eastAsia"/>
          <w:sz w:val="21"/>
          <w:szCs w:val="21"/>
        </w:rPr>
        <w:t xml:space="preserve">联系电话：（010）58153000  </w:t>
      </w:r>
    </w:p>
    <w:p>
      <w:pPr>
        <w:pStyle w:val="7"/>
        <w:spacing w:before="0" w:beforeAutospacing="0" w:after="0" w:afterAutospacing="0" w:line="360" w:lineRule="auto"/>
        <w:ind w:firstLine="420"/>
        <w:rPr>
          <w:sz w:val="21"/>
          <w:szCs w:val="21"/>
        </w:rPr>
      </w:pPr>
      <w:r>
        <w:rPr>
          <w:rFonts w:hint="eastAsia"/>
          <w:sz w:val="21"/>
          <w:szCs w:val="21"/>
        </w:rPr>
        <w:t xml:space="preserve">传真：（010）85188298  </w:t>
      </w:r>
    </w:p>
    <w:p>
      <w:pPr>
        <w:pStyle w:val="7"/>
        <w:spacing w:before="0" w:beforeAutospacing="0" w:after="0" w:afterAutospacing="0" w:line="360" w:lineRule="auto"/>
        <w:ind w:firstLine="420"/>
        <w:rPr>
          <w:sz w:val="21"/>
          <w:szCs w:val="21"/>
        </w:rPr>
      </w:pPr>
      <w:r>
        <w:rPr>
          <w:rFonts w:hint="eastAsia"/>
          <w:sz w:val="21"/>
          <w:szCs w:val="21"/>
        </w:rPr>
        <w:t xml:space="preserve">经办注册会计师：楼坚、王海彦、朱燕 </w:t>
      </w:r>
    </w:p>
    <w:p>
      <w:pPr>
        <w:pStyle w:val="7"/>
        <w:spacing w:before="0" w:beforeAutospacing="0" w:after="0" w:afterAutospacing="0" w:line="360" w:lineRule="auto"/>
        <w:ind w:firstLine="420"/>
        <w:rPr>
          <w:sz w:val="21"/>
          <w:szCs w:val="21"/>
        </w:rPr>
      </w:pPr>
      <w:r>
        <w:rPr>
          <w:rFonts w:hint="eastAsia"/>
          <w:sz w:val="21"/>
          <w:szCs w:val="21"/>
        </w:rPr>
        <w:t xml:space="preserve">联系人：朱燕 </w:t>
      </w:r>
      <w:bookmarkStart w:id="58" w:name="field_0_verifyaccountcompanyinfo_1_end"/>
      <w:bookmarkEnd w:id="58"/>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本基金的年度财务报表及其他规定事项的审计机构为</w:t>
      </w:r>
      <w:bookmarkStart w:id="59" w:name="field_0_accountingorgfullname_1"/>
      <w:r>
        <w:rPr>
          <w:rFonts w:hint="eastAsia"/>
          <w:sz w:val="21"/>
          <w:szCs w:val="21"/>
        </w:rPr>
        <w:t>安永华明会计师事务所（特殊普通合伙）</w:t>
      </w:r>
      <w:bookmarkEnd w:id="59"/>
      <w:r>
        <w:rPr>
          <w:rFonts w:hint="eastAsia"/>
          <w:sz w:val="21"/>
          <w:szCs w:val="21"/>
        </w:rPr>
        <w:t xml:space="preserve">  </w:t>
      </w:r>
    </w:p>
    <w:p>
      <w:pPr>
        <w:pStyle w:val="7"/>
        <w:spacing w:before="0" w:beforeAutospacing="0" w:after="0" w:afterAutospacing="0" w:line="360" w:lineRule="auto"/>
        <w:ind w:firstLine="420"/>
        <w:rPr>
          <w:sz w:val="21"/>
          <w:szCs w:val="21"/>
        </w:rPr>
      </w:pPr>
      <w:bookmarkStart w:id="60" w:name="field_0_accountingcompanyinfo_1_start"/>
      <w:bookmarkEnd w:id="60"/>
      <w:r>
        <w:rPr>
          <w:rFonts w:hint="eastAsia"/>
          <w:sz w:val="21"/>
          <w:szCs w:val="21"/>
        </w:rPr>
        <w:t xml:space="preserve">名称：安永华明会计师事务所（特殊普通合伙） </w:t>
      </w:r>
    </w:p>
    <w:p>
      <w:pPr>
        <w:pStyle w:val="7"/>
        <w:spacing w:before="0" w:beforeAutospacing="0" w:after="0" w:afterAutospacing="0" w:line="360" w:lineRule="auto"/>
        <w:ind w:firstLine="420"/>
        <w:rPr>
          <w:sz w:val="21"/>
          <w:szCs w:val="21"/>
        </w:rPr>
      </w:pPr>
      <w:r>
        <w:rPr>
          <w:rFonts w:hint="eastAsia"/>
          <w:sz w:val="21"/>
          <w:szCs w:val="21"/>
        </w:rPr>
        <w:t xml:space="preserve">住所： 北京市东城区东长安街1号东方广场安永大楼17层01-12室  </w:t>
      </w:r>
    </w:p>
    <w:p>
      <w:pPr>
        <w:pStyle w:val="7"/>
        <w:spacing w:before="0" w:beforeAutospacing="0" w:after="0" w:afterAutospacing="0" w:line="360" w:lineRule="auto"/>
        <w:ind w:firstLine="420"/>
        <w:rPr>
          <w:sz w:val="21"/>
          <w:szCs w:val="21"/>
        </w:rPr>
      </w:pPr>
      <w:r>
        <w:rPr>
          <w:rFonts w:hint="eastAsia"/>
          <w:sz w:val="21"/>
          <w:szCs w:val="21"/>
        </w:rPr>
        <w:t xml:space="preserve">办公地址：北京市东城区东长安街1号东方广场安永大楼17层01-12室  </w:t>
      </w:r>
    </w:p>
    <w:p>
      <w:pPr>
        <w:pStyle w:val="7"/>
        <w:spacing w:before="0" w:beforeAutospacing="0" w:after="0" w:afterAutospacing="0" w:line="360" w:lineRule="auto"/>
        <w:ind w:firstLine="420"/>
        <w:rPr>
          <w:sz w:val="21"/>
          <w:szCs w:val="21"/>
        </w:rPr>
      </w:pPr>
      <w:r>
        <w:rPr>
          <w:rFonts w:hint="eastAsia"/>
          <w:sz w:val="21"/>
          <w:szCs w:val="21"/>
        </w:rPr>
        <w:t xml:space="preserve">执行事务合伙人：毛鞍宁  </w:t>
      </w:r>
    </w:p>
    <w:p>
      <w:pPr>
        <w:pStyle w:val="7"/>
        <w:spacing w:before="0" w:beforeAutospacing="0" w:after="0" w:afterAutospacing="0" w:line="360" w:lineRule="auto"/>
        <w:ind w:firstLine="420"/>
        <w:rPr>
          <w:sz w:val="21"/>
          <w:szCs w:val="21"/>
        </w:rPr>
      </w:pPr>
      <w:r>
        <w:rPr>
          <w:rFonts w:hint="eastAsia"/>
          <w:sz w:val="21"/>
          <w:szCs w:val="21"/>
        </w:rPr>
        <w:t xml:space="preserve">联系电话：（010）58153000  </w:t>
      </w:r>
    </w:p>
    <w:p>
      <w:pPr>
        <w:pStyle w:val="7"/>
        <w:spacing w:before="0" w:beforeAutospacing="0" w:after="0" w:afterAutospacing="0" w:line="360" w:lineRule="auto"/>
        <w:ind w:firstLine="420"/>
        <w:rPr>
          <w:sz w:val="21"/>
          <w:szCs w:val="21"/>
        </w:rPr>
      </w:pPr>
      <w:r>
        <w:rPr>
          <w:rFonts w:hint="eastAsia"/>
          <w:sz w:val="21"/>
          <w:szCs w:val="21"/>
        </w:rPr>
        <w:t xml:space="preserve">传真：（010）85188298  </w:t>
      </w:r>
    </w:p>
    <w:p>
      <w:pPr>
        <w:pStyle w:val="7"/>
        <w:spacing w:before="0" w:beforeAutospacing="0" w:after="0" w:afterAutospacing="0" w:line="360" w:lineRule="auto"/>
        <w:ind w:firstLine="420"/>
        <w:rPr>
          <w:sz w:val="21"/>
          <w:szCs w:val="21"/>
        </w:rPr>
      </w:pPr>
      <w:r>
        <w:rPr>
          <w:rFonts w:hint="eastAsia"/>
          <w:sz w:val="21"/>
          <w:szCs w:val="21"/>
        </w:rPr>
        <w:t xml:space="preserve">经办注册会计师：楼坚、王海彦、朱燕 </w:t>
      </w:r>
    </w:p>
    <w:p>
      <w:pPr>
        <w:pStyle w:val="7"/>
        <w:spacing w:before="0" w:beforeAutospacing="0" w:after="0" w:afterAutospacing="0" w:line="360" w:lineRule="auto"/>
        <w:ind w:firstLine="420"/>
        <w:rPr>
          <w:sz w:val="21"/>
          <w:szCs w:val="21"/>
        </w:rPr>
      </w:pPr>
      <w:bookmarkStart w:id="61" w:name="chapter_level1_7_56_section_3_end"/>
      <w:bookmarkEnd w:id="61"/>
      <w:r>
        <w:rPr>
          <w:rFonts w:hint="eastAsia"/>
          <w:sz w:val="21"/>
          <w:szCs w:val="21"/>
        </w:rPr>
        <w:t xml:space="preserve">联系人：朱燕 </w:t>
      </w:r>
      <w:bookmarkStart w:id="62" w:name="field_0_accountingcompanyinfo_1_end"/>
      <w:bookmarkEnd w:id="62"/>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63" w:name="_Toc214976544"/>
      <w:bookmarkStart w:id="64" w:name="chapter_level1_9_58"/>
      <w:r>
        <w:rPr>
          <w:rFonts w:hint="eastAsia" w:ascii="宋体" w:hAnsi="宋体" w:eastAsia="宋体"/>
          <w:sz w:val="30"/>
        </w:rPr>
        <w:t>第六部分 基金的募集与基金合同的生效</w:t>
      </w:r>
      <w:bookmarkEnd w:id="63"/>
      <w:bookmarkEnd w:id="64"/>
    </w:p>
    <w:p>
      <w:pPr>
        <w:pStyle w:val="7"/>
        <w:spacing w:before="0" w:beforeAutospacing="0" w:after="0" w:afterAutospacing="0" w:line="360" w:lineRule="auto"/>
        <w:ind w:firstLine="420"/>
        <w:rPr>
          <w:sz w:val="21"/>
          <w:szCs w:val="21"/>
        </w:rPr>
      </w:pPr>
      <w:bookmarkStart w:id="65" w:name="chapter_level1_9_58_section_1"/>
      <w:bookmarkEnd w:id="65"/>
      <w:r>
        <w:rPr>
          <w:rFonts w:hint="eastAsia"/>
          <w:b/>
          <w:bCs/>
          <w:sz w:val="21"/>
          <w:szCs w:val="21"/>
        </w:rPr>
        <w:t>一</w:t>
      </w:r>
      <w:r>
        <w:rPr>
          <w:rFonts w:hint="eastAsia"/>
          <w:b/>
          <w:bCs/>
          <w:sz w:val="21"/>
          <w:szCs w:val="21"/>
          <w:lang w:eastAsia="zh-CN"/>
        </w:rPr>
        <w:t>、</w:t>
      </w:r>
      <w:r>
        <w:rPr>
          <w:rFonts w:hint="eastAsia"/>
          <w:b/>
          <w:bCs/>
          <w:sz w:val="21"/>
          <w:szCs w:val="21"/>
        </w:rPr>
        <w:t>基金的募集</w:t>
      </w:r>
    </w:p>
    <w:p>
      <w:pPr>
        <w:pStyle w:val="7"/>
        <w:spacing w:before="0" w:beforeAutospacing="0" w:after="0" w:afterAutospacing="0" w:line="360" w:lineRule="auto"/>
        <w:ind w:firstLine="420"/>
        <w:rPr>
          <w:sz w:val="21"/>
          <w:szCs w:val="21"/>
        </w:rPr>
      </w:pPr>
      <w:r>
        <w:rPr>
          <w:rFonts w:hint="eastAsia"/>
          <w:sz w:val="21"/>
          <w:szCs w:val="21"/>
        </w:rPr>
        <w:t>基金管理人按照《基金法》、《运作办法》、《销售办法》、基金合同及其他有关规定募集本基金，并经中国证监会</w:t>
      </w:r>
      <w:bookmarkStart w:id="66" w:name="field_2343_approveddate_1"/>
      <w:r>
        <w:rPr>
          <w:sz w:val="21"/>
          <w:szCs w:val="21"/>
        </w:rPr>
        <w:t>2025年3月31日</w:t>
      </w:r>
      <w:bookmarkEnd w:id="66"/>
      <w:r>
        <w:rPr>
          <w:rFonts w:hint="eastAsia"/>
          <w:sz w:val="21"/>
          <w:szCs w:val="21"/>
        </w:rPr>
        <w:t>证监许可</w:t>
      </w:r>
      <w:bookmarkStart w:id="67" w:name="field_2343_lotnumber_1"/>
      <w:r>
        <w:rPr>
          <w:sz w:val="21"/>
          <w:szCs w:val="21"/>
        </w:rPr>
        <w:t>[2025]658</w:t>
      </w:r>
      <w:bookmarkEnd w:id="67"/>
      <w:r>
        <w:rPr>
          <w:rFonts w:hint="eastAsia"/>
          <w:sz w:val="21"/>
          <w:szCs w:val="21"/>
        </w:rPr>
        <w:t xml:space="preserve">号文准予募集注册。 </w:t>
      </w:r>
    </w:p>
    <w:p>
      <w:pPr>
        <w:pStyle w:val="7"/>
        <w:spacing w:before="0" w:beforeAutospacing="0" w:after="0" w:afterAutospacing="0" w:line="360" w:lineRule="auto"/>
        <w:ind w:firstLine="420"/>
        <w:rPr>
          <w:sz w:val="21"/>
          <w:szCs w:val="21"/>
        </w:rPr>
      </w:pPr>
      <w:r>
        <w:rPr>
          <w:rFonts w:hint="eastAsia"/>
          <w:sz w:val="21"/>
          <w:szCs w:val="21"/>
        </w:rPr>
        <w:t>本基金募集期自</w:t>
      </w:r>
      <w:bookmarkStart w:id="68" w:name="field_58_raisebegindate_1"/>
      <w:r>
        <w:rPr>
          <w:sz w:val="21"/>
          <w:szCs w:val="21"/>
        </w:rPr>
        <w:t>2025年4月14日</w:t>
      </w:r>
      <w:bookmarkEnd w:id="68"/>
      <w:r>
        <w:rPr>
          <w:rFonts w:hint="eastAsia"/>
          <w:sz w:val="21"/>
          <w:szCs w:val="21"/>
        </w:rPr>
        <w:t>至</w:t>
      </w:r>
      <w:bookmarkStart w:id="69" w:name="field_58_raiseenddate_1"/>
      <w:r>
        <w:rPr>
          <w:sz w:val="21"/>
          <w:szCs w:val="21"/>
        </w:rPr>
        <w:t>2025年5月9日</w:t>
      </w:r>
      <w:bookmarkEnd w:id="69"/>
      <w:r>
        <w:rPr>
          <w:rFonts w:hint="eastAsia"/>
          <w:sz w:val="21"/>
          <w:szCs w:val="21"/>
        </w:rPr>
        <w:t>期间，基金份额共募集</w:t>
      </w:r>
      <w:bookmarkStart w:id="70" w:name="field_58_raisetotal_1"/>
      <w:r>
        <w:rPr>
          <w:sz w:val="21"/>
          <w:szCs w:val="21"/>
        </w:rPr>
        <w:t>323,896,000.00</w:t>
      </w:r>
      <w:bookmarkEnd w:id="70"/>
      <w:r>
        <w:rPr>
          <w:rFonts w:hint="eastAsia"/>
          <w:sz w:val="21"/>
          <w:szCs w:val="21"/>
        </w:rPr>
        <w:t>份（含利息结转的份额），募集有效认购总户数为</w:t>
      </w:r>
      <w:bookmarkStart w:id="71" w:name="field_58_effectivetotal_1"/>
      <w:r>
        <w:rPr>
          <w:sz w:val="21"/>
          <w:szCs w:val="21"/>
        </w:rPr>
        <w:t>3,627</w:t>
      </w:r>
      <w:bookmarkEnd w:id="71"/>
      <w:r>
        <w:rPr>
          <w:rFonts w:hint="eastAsia"/>
          <w:sz w:val="21"/>
          <w:szCs w:val="21"/>
        </w:rPr>
        <w:t xml:space="preserve">户。 </w:t>
      </w:r>
    </w:p>
    <w:p>
      <w:pPr>
        <w:pStyle w:val="7"/>
        <w:spacing w:before="0" w:beforeAutospacing="0" w:after="0" w:afterAutospacing="0" w:line="360" w:lineRule="auto"/>
        <w:ind w:firstLine="420"/>
        <w:rPr>
          <w:sz w:val="21"/>
          <w:szCs w:val="21"/>
        </w:rPr>
      </w:pPr>
      <w:r>
        <w:rPr>
          <w:rFonts w:hint="eastAsia"/>
          <w:sz w:val="21"/>
          <w:szCs w:val="21"/>
        </w:rPr>
        <w:t>本基金的运作方式为</w:t>
      </w:r>
      <w:bookmarkStart w:id="72" w:name="field_58_operation_1"/>
      <w:r>
        <w:rPr>
          <w:rFonts w:hint="eastAsia"/>
          <w:sz w:val="21"/>
          <w:szCs w:val="21"/>
        </w:rPr>
        <w:t>交易型开放式</w:t>
      </w:r>
      <w:bookmarkEnd w:id="72"/>
      <w:r>
        <w:rPr>
          <w:rFonts w:hint="eastAsia"/>
          <w:sz w:val="21"/>
          <w:szCs w:val="21"/>
        </w:rPr>
        <w:t>，存续期间为</w:t>
      </w:r>
      <w:bookmarkStart w:id="73" w:name="field_58_duration_1"/>
      <w:r>
        <w:rPr>
          <w:rFonts w:hint="eastAsia"/>
          <w:sz w:val="21"/>
          <w:szCs w:val="21"/>
        </w:rPr>
        <w:t>不定期</w:t>
      </w:r>
      <w:bookmarkEnd w:id="73"/>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b/>
          <w:bCs/>
          <w:sz w:val="21"/>
          <w:szCs w:val="21"/>
        </w:rPr>
        <w:t>二、基金合同的生效</w:t>
      </w:r>
    </w:p>
    <w:p>
      <w:pPr>
        <w:pStyle w:val="7"/>
        <w:spacing w:before="0" w:beforeAutospacing="0" w:after="0" w:afterAutospacing="0" w:line="360" w:lineRule="auto"/>
        <w:ind w:firstLine="420"/>
        <w:rPr>
          <w:sz w:val="21"/>
          <w:szCs w:val="21"/>
        </w:rPr>
      </w:pPr>
      <w:bookmarkStart w:id="74" w:name="chapter_level1_9_58_section_1_end"/>
      <w:bookmarkEnd w:id="74"/>
      <w:r>
        <w:rPr>
          <w:rFonts w:hint="eastAsia"/>
          <w:sz w:val="21"/>
          <w:szCs w:val="21"/>
        </w:rPr>
        <w:t>本基金的基金合同已于</w:t>
      </w:r>
      <w:bookmarkStart w:id="75" w:name="field_0_foundday_1"/>
      <w:r>
        <w:rPr>
          <w:sz w:val="21"/>
          <w:szCs w:val="21"/>
        </w:rPr>
        <w:t>2025年5月14日</w:t>
      </w:r>
      <w:bookmarkEnd w:id="75"/>
      <w:r>
        <w:rPr>
          <w:rFonts w:hint="eastAsia"/>
          <w:sz w:val="21"/>
          <w:szCs w:val="21"/>
        </w:rPr>
        <w:t xml:space="preserve">正式生效。 </w:t>
      </w:r>
    </w:p>
    <w:p>
      <w:pPr>
        <w:pStyle w:val="7"/>
        <w:spacing w:before="0" w:beforeAutospacing="0" w:after="0" w:afterAutospacing="0" w:line="360" w:lineRule="auto"/>
        <w:ind w:firstLine="420"/>
        <w:rPr>
          <w:sz w:val="21"/>
          <w:szCs w:val="21"/>
        </w:rPr>
      </w:pPr>
      <w:bookmarkStart w:id="76" w:name="chapter_level1_9_58_section_2"/>
      <w:bookmarkEnd w:id="76"/>
      <w:r>
        <w:rPr>
          <w:rStyle w:val="11"/>
          <w:rFonts w:hint="eastAsia"/>
          <w:sz w:val="21"/>
          <w:szCs w:val="21"/>
        </w:rPr>
        <w:t>三、基金存续期内的基金份额持有人数量和资产规模</w:t>
      </w:r>
    </w:p>
    <w:p>
      <w:pPr>
        <w:pStyle w:val="7"/>
        <w:spacing w:before="0" w:beforeAutospacing="0" w:after="0" w:afterAutospacing="0" w:line="360" w:lineRule="auto"/>
        <w:ind w:firstLine="420"/>
        <w:rPr>
          <w:sz w:val="21"/>
          <w:szCs w:val="21"/>
        </w:rPr>
      </w:pPr>
      <w:r>
        <w:rPr>
          <w:rFonts w:hint="eastAsia"/>
          <w:sz w:val="21"/>
          <w:szCs w:val="21"/>
        </w:rPr>
        <w:t xml:space="preserve">《基金合同》生效后，连续20个工作日出现基金份额持有人数量不满200人或者基金资产净值低于5000万元情形的，基金管理人应当在定期报告中予以披露；连续60个工作日出现前述情形的，基金管理人应当在十个工作日内向中国证监会报告并提出解决方案，如持续运作、转换运作方式、与其他基金合并或者终止基金合同等，并在六个月内召集基金份额持有人大会。 </w:t>
      </w:r>
    </w:p>
    <w:p>
      <w:pPr>
        <w:pStyle w:val="7"/>
        <w:spacing w:before="0" w:beforeAutospacing="0" w:after="0" w:afterAutospacing="0" w:line="360" w:lineRule="auto"/>
        <w:ind w:firstLine="420"/>
        <w:rPr>
          <w:sz w:val="21"/>
          <w:szCs w:val="21"/>
        </w:rPr>
      </w:pPr>
      <w:bookmarkStart w:id="77" w:name="chapter_level1_9_58_section_2_end"/>
      <w:bookmarkEnd w:id="77"/>
      <w:r>
        <w:rPr>
          <w:rFonts w:hint="eastAsia"/>
          <w:sz w:val="21"/>
          <w:szCs w:val="21"/>
        </w:rPr>
        <w:t xml:space="preserve">法律法规或中国证监会另有规定时，从其规定。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78" w:name="chapter_level1_10_88875"/>
      <w:bookmarkStart w:id="79" w:name="_Toc214976545"/>
      <w:r>
        <w:rPr>
          <w:rFonts w:hint="eastAsia" w:ascii="宋体" w:hAnsi="宋体" w:eastAsia="宋体"/>
          <w:sz w:val="30"/>
        </w:rPr>
        <w:t>第七部分  基金份额折算与变更登记</w:t>
      </w:r>
      <w:bookmarkEnd w:id="78"/>
      <w:bookmarkEnd w:id="79"/>
    </w:p>
    <w:p>
      <w:pPr>
        <w:pStyle w:val="7"/>
        <w:spacing w:before="0" w:beforeAutospacing="0" w:after="0" w:afterAutospacing="0" w:line="360" w:lineRule="auto"/>
        <w:ind w:firstLine="420"/>
        <w:rPr>
          <w:sz w:val="21"/>
          <w:szCs w:val="21"/>
        </w:rPr>
      </w:pPr>
      <w:bookmarkStart w:id="80" w:name="chapter_level1_10_88875_section_1"/>
      <w:bookmarkEnd w:id="80"/>
      <w:r>
        <w:rPr>
          <w:rFonts w:hint="eastAsia"/>
          <w:sz w:val="21"/>
          <w:szCs w:val="21"/>
        </w:rPr>
        <w:t xml:space="preserve">基金合同生效后，本基金可以进行份额折算。 </w:t>
      </w:r>
    </w:p>
    <w:p>
      <w:pPr>
        <w:pStyle w:val="7"/>
        <w:spacing w:before="0" w:beforeAutospacing="0" w:after="0" w:afterAutospacing="0" w:line="360" w:lineRule="auto"/>
        <w:ind w:firstLine="420"/>
        <w:rPr>
          <w:sz w:val="21"/>
          <w:szCs w:val="21"/>
        </w:rPr>
      </w:pPr>
      <w:r>
        <w:rPr>
          <w:rStyle w:val="11"/>
          <w:rFonts w:hint="eastAsia"/>
          <w:sz w:val="21"/>
          <w:szCs w:val="21"/>
        </w:rPr>
        <w:t>一、基金份额折算的时间</w:t>
      </w:r>
    </w:p>
    <w:p>
      <w:pPr>
        <w:pStyle w:val="7"/>
        <w:spacing w:before="0" w:beforeAutospacing="0" w:after="0" w:afterAutospacing="0" w:line="360" w:lineRule="auto"/>
        <w:ind w:firstLine="420"/>
        <w:rPr>
          <w:sz w:val="21"/>
          <w:szCs w:val="21"/>
        </w:rPr>
      </w:pPr>
      <w:r>
        <w:rPr>
          <w:rFonts w:hint="eastAsia"/>
          <w:sz w:val="21"/>
          <w:szCs w:val="21"/>
        </w:rPr>
        <w:t xml:space="preserve">基金管理人应事先确定基金份额折算日，并依照《信息披露办法》的有关规定进行公告。 </w:t>
      </w:r>
    </w:p>
    <w:p>
      <w:pPr>
        <w:pStyle w:val="7"/>
        <w:spacing w:before="0" w:beforeAutospacing="0" w:after="0" w:afterAutospacing="0" w:line="360" w:lineRule="auto"/>
        <w:ind w:firstLine="420"/>
        <w:rPr>
          <w:sz w:val="21"/>
          <w:szCs w:val="21"/>
        </w:rPr>
      </w:pPr>
      <w:r>
        <w:rPr>
          <w:rStyle w:val="11"/>
          <w:rFonts w:hint="eastAsia"/>
          <w:sz w:val="21"/>
          <w:szCs w:val="21"/>
        </w:rPr>
        <w:t>二、基金份额折算的原则</w:t>
      </w:r>
    </w:p>
    <w:p>
      <w:pPr>
        <w:pStyle w:val="7"/>
        <w:spacing w:before="0" w:beforeAutospacing="0" w:after="0" w:afterAutospacing="0" w:line="360" w:lineRule="auto"/>
        <w:ind w:firstLine="420"/>
        <w:rPr>
          <w:sz w:val="21"/>
          <w:szCs w:val="21"/>
        </w:rPr>
      </w:pPr>
      <w:r>
        <w:rPr>
          <w:rFonts w:hint="eastAsia"/>
          <w:sz w:val="21"/>
          <w:szCs w:val="21"/>
        </w:rPr>
        <w:t xml:space="preserve">基金份额折算由基金管理人向登记机构申请办理，并由登记机构进行基金份额的变更登记。基金份额折算的比例和具体安排见基金管理人届时发布的相关公告。 </w:t>
      </w:r>
    </w:p>
    <w:p>
      <w:pPr>
        <w:pStyle w:val="7"/>
        <w:spacing w:before="0" w:beforeAutospacing="0" w:after="0" w:afterAutospacing="0" w:line="360" w:lineRule="auto"/>
        <w:ind w:firstLine="420"/>
        <w:rPr>
          <w:sz w:val="21"/>
          <w:szCs w:val="21"/>
        </w:rPr>
      </w:pPr>
      <w:r>
        <w:rPr>
          <w:rFonts w:hint="eastAsia"/>
          <w:sz w:val="21"/>
          <w:szCs w:val="21"/>
        </w:rPr>
        <w:t xml:space="preserve">基金份额折算后，本基金的基金份额总额与基金份额持有人持有的基金份额数额将发生调整，但调整后的基金份额持有人持有的基金份额占基金份额总额的比例不发生变化。基金份额折算对基金份额持有人的权益无实质性影响（因尾数处理而产生的损益不视为实质性影响），无需召开基金份额持有人大会审议。基金份额折算后，基金份额持有人将按照折算后的基金份额享有权利并承担义务。 </w:t>
      </w:r>
    </w:p>
    <w:p>
      <w:pPr>
        <w:pStyle w:val="7"/>
        <w:spacing w:before="0" w:beforeAutospacing="0" w:after="0" w:afterAutospacing="0" w:line="360" w:lineRule="auto"/>
        <w:ind w:firstLine="420"/>
        <w:rPr>
          <w:sz w:val="21"/>
          <w:szCs w:val="21"/>
        </w:rPr>
      </w:pPr>
      <w:r>
        <w:rPr>
          <w:rFonts w:hint="eastAsia"/>
          <w:sz w:val="21"/>
          <w:szCs w:val="21"/>
        </w:rPr>
        <w:t xml:space="preserve">如果基金份额折算过程中发生不可抗力等特殊情形，基金管理人可延迟办理基金份额折算。 </w:t>
      </w:r>
    </w:p>
    <w:p>
      <w:pPr>
        <w:pStyle w:val="7"/>
        <w:spacing w:before="0" w:beforeAutospacing="0" w:after="0" w:afterAutospacing="0" w:line="360" w:lineRule="auto"/>
        <w:ind w:firstLine="420"/>
        <w:rPr>
          <w:sz w:val="21"/>
          <w:szCs w:val="21"/>
        </w:rPr>
      </w:pPr>
      <w:r>
        <w:rPr>
          <w:rStyle w:val="11"/>
          <w:rFonts w:hint="eastAsia"/>
          <w:sz w:val="21"/>
          <w:szCs w:val="21"/>
        </w:rPr>
        <w:t>三、基金份额折算的方法</w:t>
      </w:r>
    </w:p>
    <w:p>
      <w:pPr>
        <w:pStyle w:val="7"/>
        <w:spacing w:before="0" w:beforeAutospacing="0" w:after="0" w:afterAutospacing="0" w:line="360" w:lineRule="auto"/>
        <w:ind w:firstLine="420"/>
        <w:rPr>
          <w:sz w:val="21"/>
          <w:szCs w:val="21"/>
        </w:rPr>
      </w:pPr>
      <w:bookmarkStart w:id="81" w:name="chapter_level1_10_88875_section_1_end"/>
      <w:bookmarkEnd w:id="81"/>
      <w:r>
        <w:rPr>
          <w:rFonts w:hint="eastAsia"/>
          <w:sz w:val="21"/>
          <w:szCs w:val="21"/>
        </w:rPr>
        <w:t xml:space="preserve">基金份额折算的具体方法在份额折算公告中列示。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82" w:name="_Toc214976546"/>
      <w:bookmarkStart w:id="83" w:name="chapter_level1_11_88876"/>
      <w:r>
        <w:rPr>
          <w:rFonts w:hint="eastAsia" w:ascii="宋体" w:hAnsi="宋体" w:eastAsia="宋体"/>
          <w:sz w:val="30"/>
        </w:rPr>
        <w:t>第八部分  基金份额的上市交易</w:t>
      </w:r>
      <w:bookmarkEnd w:id="82"/>
      <w:bookmarkEnd w:id="83"/>
    </w:p>
    <w:p>
      <w:pPr>
        <w:pStyle w:val="7"/>
        <w:spacing w:before="0" w:beforeAutospacing="0" w:after="0" w:afterAutospacing="0" w:line="360" w:lineRule="auto"/>
        <w:ind w:firstLine="420"/>
        <w:rPr>
          <w:sz w:val="21"/>
          <w:szCs w:val="21"/>
        </w:rPr>
      </w:pPr>
      <w:bookmarkStart w:id="84" w:name="chapter_level1_11_88876_section_1"/>
      <w:bookmarkEnd w:id="84"/>
      <w:r>
        <w:rPr>
          <w:rStyle w:val="11"/>
          <w:rFonts w:hint="eastAsia"/>
          <w:sz w:val="21"/>
          <w:szCs w:val="21"/>
        </w:rPr>
        <w:t>一、基金上市</w:t>
      </w:r>
    </w:p>
    <w:p>
      <w:pPr>
        <w:pStyle w:val="7"/>
        <w:spacing w:before="0" w:beforeAutospacing="0" w:after="0" w:afterAutospacing="0" w:line="360" w:lineRule="auto"/>
        <w:ind w:firstLine="420"/>
        <w:rPr>
          <w:sz w:val="21"/>
          <w:szCs w:val="21"/>
        </w:rPr>
      </w:pPr>
      <w:r>
        <w:rPr>
          <w:rFonts w:hint="eastAsia"/>
          <w:sz w:val="21"/>
          <w:szCs w:val="21"/>
        </w:rPr>
        <w:t xml:space="preserve">本基金于2025年5月22日起在上海证券交易所上市交易。   </w:t>
      </w:r>
    </w:p>
    <w:p>
      <w:pPr>
        <w:pStyle w:val="7"/>
        <w:spacing w:before="0" w:beforeAutospacing="0" w:after="0" w:afterAutospacing="0" w:line="360" w:lineRule="auto"/>
        <w:ind w:firstLine="420"/>
        <w:rPr>
          <w:sz w:val="21"/>
          <w:szCs w:val="21"/>
        </w:rPr>
      </w:pPr>
      <w:r>
        <w:rPr>
          <w:rStyle w:val="11"/>
          <w:rFonts w:hint="eastAsia"/>
          <w:sz w:val="21"/>
          <w:szCs w:val="21"/>
        </w:rPr>
        <w:t>二、基金份额的上市交易</w:t>
      </w:r>
    </w:p>
    <w:p>
      <w:pPr>
        <w:pStyle w:val="7"/>
        <w:spacing w:before="0" w:beforeAutospacing="0" w:after="0" w:afterAutospacing="0" w:line="360" w:lineRule="auto"/>
        <w:ind w:firstLine="420"/>
        <w:rPr>
          <w:sz w:val="21"/>
          <w:szCs w:val="21"/>
        </w:rPr>
      </w:pPr>
      <w:r>
        <w:rPr>
          <w:rFonts w:hint="eastAsia"/>
          <w:sz w:val="21"/>
          <w:szCs w:val="21"/>
        </w:rPr>
        <w:t xml:space="preserve">基金份额在上海证券交易所的上市交易应遵照《上海证券交易所交易规则》、《上海证券交易所证券投资基金上市规则》、《上海证券交易所交易型开放式指数基金业务实施细则》等有关规定。 </w:t>
      </w:r>
    </w:p>
    <w:p>
      <w:pPr>
        <w:pStyle w:val="7"/>
        <w:spacing w:before="0" w:beforeAutospacing="0" w:after="0" w:afterAutospacing="0" w:line="360" w:lineRule="auto"/>
        <w:ind w:firstLine="420"/>
        <w:rPr>
          <w:sz w:val="21"/>
          <w:szCs w:val="21"/>
        </w:rPr>
      </w:pPr>
      <w:r>
        <w:rPr>
          <w:rStyle w:val="11"/>
          <w:rFonts w:hint="eastAsia"/>
          <w:sz w:val="21"/>
          <w:szCs w:val="21"/>
        </w:rPr>
        <w:t>三、终止上市交易</w:t>
      </w:r>
    </w:p>
    <w:p>
      <w:pPr>
        <w:pStyle w:val="7"/>
        <w:spacing w:before="0" w:beforeAutospacing="0" w:after="0" w:afterAutospacing="0" w:line="360" w:lineRule="auto"/>
        <w:ind w:firstLine="420"/>
        <w:rPr>
          <w:sz w:val="21"/>
          <w:szCs w:val="21"/>
        </w:rPr>
      </w:pPr>
      <w:r>
        <w:rPr>
          <w:rFonts w:hint="eastAsia"/>
          <w:sz w:val="21"/>
          <w:szCs w:val="21"/>
        </w:rPr>
        <w:t xml:space="preserve">基金份额上市交易后，有下列情形之一的，上海证券交易所可终止基金的上市交易，并报中国证监会备案： </w:t>
      </w:r>
    </w:p>
    <w:p>
      <w:pPr>
        <w:pStyle w:val="7"/>
        <w:spacing w:before="0" w:beforeAutospacing="0" w:after="0" w:afterAutospacing="0" w:line="360" w:lineRule="auto"/>
        <w:ind w:firstLine="420"/>
        <w:rPr>
          <w:sz w:val="21"/>
          <w:szCs w:val="21"/>
        </w:rPr>
      </w:pPr>
      <w:r>
        <w:rPr>
          <w:rFonts w:hint="eastAsia"/>
          <w:sz w:val="21"/>
          <w:szCs w:val="21"/>
        </w:rPr>
        <w:t xml:space="preserve">1、不再具备本部分第一条规定的上市条件； </w:t>
      </w:r>
    </w:p>
    <w:p>
      <w:pPr>
        <w:pStyle w:val="7"/>
        <w:spacing w:before="0" w:beforeAutospacing="0" w:after="0" w:afterAutospacing="0" w:line="360" w:lineRule="auto"/>
        <w:ind w:firstLine="420"/>
        <w:rPr>
          <w:sz w:val="21"/>
          <w:szCs w:val="21"/>
        </w:rPr>
      </w:pPr>
      <w:r>
        <w:rPr>
          <w:rFonts w:hint="eastAsia"/>
          <w:sz w:val="21"/>
          <w:szCs w:val="21"/>
        </w:rPr>
        <w:t xml:space="preserve">2、基金合同终止； </w:t>
      </w:r>
    </w:p>
    <w:p>
      <w:pPr>
        <w:pStyle w:val="7"/>
        <w:spacing w:before="0" w:beforeAutospacing="0" w:after="0" w:afterAutospacing="0" w:line="360" w:lineRule="auto"/>
        <w:ind w:firstLine="420"/>
        <w:rPr>
          <w:sz w:val="21"/>
          <w:szCs w:val="21"/>
        </w:rPr>
      </w:pPr>
      <w:r>
        <w:rPr>
          <w:rFonts w:hint="eastAsia"/>
          <w:sz w:val="21"/>
          <w:szCs w:val="21"/>
        </w:rPr>
        <w:t xml:space="preserve">3、基金份额持有人大会决定终止上市； </w:t>
      </w:r>
    </w:p>
    <w:p>
      <w:pPr>
        <w:pStyle w:val="7"/>
        <w:spacing w:before="0" w:beforeAutospacing="0" w:after="0" w:afterAutospacing="0" w:line="360" w:lineRule="auto"/>
        <w:ind w:firstLine="420"/>
        <w:rPr>
          <w:sz w:val="21"/>
          <w:szCs w:val="21"/>
        </w:rPr>
      </w:pPr>
      <w:r>
        <w:rPr>
          <w:rFonts w:hint="eastAsia"/>
          <w:sz w:val="21"/>
          <w:szCs w:val="21"/>
        </w:rPr>
        <w:t xml:space="preserve">4、基金合同约定的终止上市的其他情形； </w:t>
      </w:r>
    </w:p>
    <w:p>
      <w:pPr>
        <w:pStyle w:val="7"/>
        <w:spacing w:before="0" w:beforeAutospacing="0" w:after="0" w:afterAutospacing="0" w:line="360" w:lineRule="auto"/>
        <w:ind w:firstLine="420"/>
        <w:rPr>
          <w:sz w:val="21"/>
          <w:szCs w:val="21"/>
        </w:rPr>
      </w:pPr>
      <w:r>
        <w:rPr>
          <w:rFonts w:hint="eastAsia"/>
          <w:sz w:val="21"/>
          <w:szCs w:val="21"/>
        </w:rPr>
        <w:t xml:space="preserve">5、上海证券交易所认为应当终止上市的其他情形。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基金管理人应当在收到上海证券交易所终止基金上市的决定之日起依照《信息披露办法》发布基金终止上市公告。 </w:t>
      </w:r>
    </w:p>
    <w:p>
      <w:pPr>
        <w:pStyle w:val="7"/>
        <w:spacing w:before="0" w:beforeAutospacing="0" w:after="0" w:afterAutospacing="0" w:line="360" w:lineRule="auto"/>
        <w:ind w:firstLine="420"/>
        <w:rPr>
          <w:sz w:val="21"/>
          <w:szCs w:val="21"/>
        </w:rPr>
      </w:pPr>
      <w:r>
        <w:rPr>
          <w:rFonts w:hint="eastAsia"/>
          <w:sz w:val="21"/>
          <w:szCs w:val="21"/>
        </w:rPr>
        <w:t xml:space="preserve">若因上述1、4、5项等原因使本基金不再具备上市条件而被上海证券交易所终止上市的，本基金将由交易型开放式基金变更为跟踪标的指数的非上市的开放式指数基金，而无需召开基金份额持有人大会。若届时本基金管理人已有以该指数作为标的指数的指数基金，则本基金将本着维护投资者合法权益的原则，履行适当的程序后与该指数基金合并或选取其他合适的指数作为标的指数。 </w:t>
      </w:r>
    </w:p>
    <w:p>
      <w:pPr>
        <w:pStyle w:val="7"/>
        <w:spacing w:before="0" w:beforeAutospacing="0" w:after="0" w:afterAutospacing="0" w:line="360" w:lineRule="auto"/>
        <w:ind w:firstLine="420"/>
        <w:rPr>
          <w:sz w:val="21"/>
          <w:szCs w:val="21"/>
        </w:rPr>
      </w:pPr>
      <w:r>
        <w:rPr>
          <w:rStyle w:val="11"/>
          <w:rFonts w:hint="eastAsia"/>
          <w:sz w:val="21"/>
          <w:szCs w:val="21"/>
        </w:rPr>
        <w:t>四、基金份额参考净值的计算与公告</w:t>
      </w:r>
    </w:p>
    <w:p>
      <w:pPr>
        <w:pStyle w:val="7"/>
        <w:spacing w:before="0" w:beforeAutospacing="0" w:after="0" w:afterAutospacing="0" w:line="360" w:lineRule="auto"/>
        <w:ind w:firstLine="420"/>
        <w:rPr>
          <w:sz w:val="21"/>
          <w:szCs w:val="21"/>
        </w:rPr>
      </w:pPr>
      <w:r>
        <w:rPr>
          <w:rFonts w:hint="eastAsia"/>
          <w:sz w:val="21"/>
          <w:szCs w:val="21"/>
        </w:rPr>
        <w:t xml:space="preserve">基金管理人在每一个交易日开市前向上海证券交易所提供当日的申购、赎回清单，基金管理人或基金管理人委托的指数服务机构在开市后根据申购、赎回清单和组合证券内各只证券的实时成交数据，计算基金份额参考净值，并将计算结果向上海证券交易所发送，由上海证券交易所对外发布，仅供投资者交易、申购、赎回基金份额时参考。 </w:t>
      </w:r>
    </w:p>
    <w:p>
      <w:pPr>
        <w:pStyle w:val="7"/>
        <w:spacing w:before="0" w:beforeAutospacing="0" w:after="0" w:afterAutospacing="0" w:line="360" w:lineRule="auto"/>
        <w:ind w:firstLine="420"/>
        <w:rPr>
          <w:sz w:val="21"/>
          <w:szCs w:val="21"/>
        </w:rPr>
      </w:pPr>
      <w:r>
        <w:rPr>
          <w:rFonts w:hint="eastAsia"/>
          <w:sz w:val="21"/>
          <w:szCs w:val="21"/>
        </w:rPr>
        <w:t xml:space="preserve">（1）基金份额参考净值的计算公式：  </w:t>
      </w:r>
    </w:p>
    <w:p>
      <w:pPr>
        <w:pStyle w:val="7"/>
        <w:spacing w:before="0" w:beforeAutospacing="0" w:after="0" w:afterAutospacing="0" w:line="360" w:lineRule="auto"/>
        <w:ind w:firstLine="420"/>
        <w:rPr>
          <w:sz w:val="21"/>
          <w:szCs w:val="21"/>
        </w:rPr>
      </w:pPr>
      <w:r>
        <w:rPr>
          <w:rFonts w:hint="eastAsia"/>
          <w:sz w:val="21"/>
          <w:szCs w:val="21"/>
        </w:rPr>
        <w:t xml:space="preserve">基金份额参考净值＝（申购赎回清单中必须用现金替代的固定替代金额总额+申购赎回清单中可以用现金替代的所有成份证券的数量与其最新成交价乘积之和＋申购赎回清单中禁止用现金替代的所有成份证券的数量与其最新成交价乘积之和＋申购赎回清单中的预估现金部分）／最小申购赎回单位所对应的基金份额  </w:t>
      </w:r>
    </w:p>
    <w:p>
      <w:pPr>
        <w:pStyle w:val="7"/>
        <w:spacing w:before="0" w:beforeAutospacing="0" w:after="0" w:afterAutospacing="0" w:line="360" w:lineRule="auto"/>
        <w:ind w:firstLine="420"/>
        <w:rPr>
          <w:sz w:val="21"/>
          <w:szCs w:val="21"/>
        </w:rPr>
      </w:pPr>
      <w:r>
        <w:rPr>
          <w:rFonts w:hint="eastAsia"/>
          <w:sz w:val="21"/>
          <w:szCs w:val="21"/>
        </w:rPr>
        <w:t xml:space="preserve">（2）基金份额参考净值的计算以四舍五入的方法保留小数点后4位。  </w:t>
      </w:r>
    </w:p>
    <w:p>
      <w:pPr>
        <w:pStyle w:val="7"/>
        <w:spacing w:before="0" w:beforeAutospacing="0" w:after="0" w:afterAutospacing="0" w:line="360" w:lineRule="auto"/>
        <w:ind w:firstLine="420"/>
        <w:rPr>
          <w:sz w:val="21"/>
          <w:szCs w:val="21"/>
        </w:rPr>
      </w:pPr>
      <w:r>
        <w:rPr>
          <w:rFonts w:hint="eastAsia"/>
          <w:sz w:val="21"/>
          <w:szCs w:val="21"/>
        </w:rPr>
        <w:t xml:space="preserve">（3）上海证券交易所和基金管理人可以调整基金份额参考净值的计算方法及保留的小数点位数，并予以公告。 </w:t>
      </w:r>
    </w:p>
    <w:p>
      <w:pPr>
        <w:pStyle w:val="7"/>
        <w:spacing w:before="0" w:beforeAutospacing="0" w:after="0" w:afterAutospacing="0" w:line="360" w:lineRule="auto"/>
        <w:ind w:firstLine="420"/>
        <w:rPr>
          <w:sz w:val="21"/>
          <w:szCs w:val="21"/>
        </w:rPr>
      </w:pPr>
      <w:r>
        <w:rPr>
          <w:rStyle w:val="11"/>
          <w:rFonts w:hint="eastAsia"/>
          <w:sz w:val="21"/>
          <w:szCs w:val="21"/>
        </w:rPr>
        <w:t>五、</w:t>
      </w:r>
      <w:r>
        <w:rPr>
          <w:rFonts w:hint="eastAsia"/>
          <w:sz w:val="21"/>
          <w:szCs w:val="21"/>
        </w:rPr>
        <w:t xml:space="preserve">在不违反法律法规及不损害基金份额持有人利益的前提下，基金管理人在履行适当的程序后，本基金可以申请在其他证券交易所（含境外证券交易所）上市交易，而无需召开基金份额持有人大会审议。 </w:t>
      </w:r>
    </w:p>
    <w:p>
      <w:pPr>
        <w:pStyle w:val="7"/>
        <w:spacing w:before="0" w:beforeAutospacing="0" w:after="0" w:afterAutospacing="0" w:line="360" w:lineRule="auto"/>
        <w:ind w:firstLine="420"/>
        <w:rPr>
          <w:sz w:val="21"/>
          <w:szCs w:val="21"/>
        </w:rPr>
      </w:pPr>
      <w:r>
        <w:rPr>
          <w:rStyle w:val="11"/>
          <w:rFonts w:hint="eastAsia"/>
          <w:sz w:val="21"/>
          <w:szCs w:val="21"/>
        </w:rPr>
        <w:t>六、</w:t>
      </w:r>
      <w:r>
        <w:rPr>
          <w:rFonts w:hint="eastAsia"/>
          <w:sz w:val="21"/>
          <w:szCs w:val="21"/>
        </w:rPr>
        <w:t xml:space="preserve">若上海证券交易所、中国证券登记结算有限责任公司增加了基金上市交易的新功能，基金管理人可以在履行适当的程序后增加相应功能。 </w:t>
      </w:r>
    </w:p>
    <w:p>
      <w:pPr>
        <w:pStyle w:val="7"/>
        <w:spacing w:before="0" w:beforeAutospacing="0" w:after="0" w:afterAutospacing="0" w:line="360" w:lineRule="auto"/>
        <w:ind w:firstLine="420"/>
        <w:rPr>
          <w:sz w:val="21"/>
          <w:szCs w:val="21"/>
        </w:rPr>
      </w:pPr>
      <w:r>
        <w:rPr>
          <w:rStyle w:val="11"/>
          <w:rFonts w:hint="eastAsia"/>
          <w:sz w:val="21"/>
          <w:szCs w:val="21"/>
        </w:rPr>
        <w:t>七、</w:t>
      </w:r>
      <w:r>
        <w:rPr>
          <w:rFonts w:hint="eastAsia"/>
          <w:sz w:val="21"/>
          <w:szCs w:val="21"/>
        </w:rPr>
        <w:t>相关法律法规、中国证监会、登记机构及上海证券交易所对基金上市交易的规则等相关规定内容进行调整的，本基金按照新规定执行，若由此需要对基金合同及招募说明书相</w:t>
      </w:r>
      <w:bookmarkStart w:id="85" w:name="chapter_level1_11_88876_section_1_end"/>
      <w:bookmarkEnd w:id="85"/>
      <w:r>
        <w:rPr>
          <w:rFonts w:hint="eastAsia"/>
          <w:sz w:val="21"/>
          <w:szCs w:val="21"/>
        </w:rPr>
        <w:t xml:space="preserve">应予以修改的，此项修改无需召开基金份额持有人大会。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86" w:name="_Toc214976547"/>
      <w:bookmarkStart w:id="87" w:name="chapter_level1_12_59"/>
      <w:r>
        <w:rPr>
          <w:rFonts w:hint="eastAsia" w:ascii="宋体" w:hAnsi="宋体" w:eastAsia="宋体"/>
          <w:sz w:val="30"/>
        </w:rPr>
        <w:t>第九部分  基金份额的申购与赎回</w:t>
      </w:r>
      <w:bookmarkEnd w:id="86"/>
      <w:bookmarkEnd w:id="87"/>
    </w:p>
    <w:p>
      <w:pPr>
        <w:pStyle w:val="7"/>
        <w:spacing w:before="0" w:beforeAutospacing="0" w:after="0" w:afterAutospacing="0" w:line="360" w:lineRule="auto"/>
        <w:ind w:firstLine="420"/>
        <w:rPr>
          <w:sz w:val="21"/>
          <w:szCs w:val="21"/>
        </w:rPr>
      </w:pPr>
      <w:bookmarkStart w:id="88" w:name="chapter_level1_12_59_section_1"/>
      <w:bookmarkEnd w:id="88"/>
      <w:r>
        <w:rPr>
          <w:rStyle w:val="11"/>
          <w:rFonts w:hint="eastAsia"/>
          <w:sz w:val="21"/>
          <w:szCs w:val="21"/>
        </w:rPr>
        <w:t>一、申购和赎回场所</w:t>
      </w:r>
    </w:p>
    <w:p>
      <w:pPr>
        <w:pStyle w:val="7"/>
        <w:spacing w:before="0" w:beforeAutospacing="0" w:after="0" w:afterAutospacing="0" w:line="360" w:lineRule="auto"/>
        <w:ind w:firstLine="420"/>
        <w:rPr>
          <w:sz w:val="21"/>
          <w:szCs w:val="21"/>
        </w:rPr>
      </w:pPr>
      <w:r>
        <w:rPr>
          <w:rFonts w:hint="eastAsia"/>
          <w:sz w:val="21"/>
          <w:szCs w:val="21"/>
        </w:rPr>
        <w:t xml:space="preserve">本基金投资人应当在申购赎回代理券商办理基金申购、赎回业务的营业场所或按申购赎回代理券商提供的其他方式办理本基金的申购和赎回。 </w:t>
      </w:r>
    </w:p>
    <w:p>
      <w:pPr>
        <w:pStyle w:val="7"/>
        <w:spacing w:before="0" w:beforeAutospacing="0" w:after="0" w:afterAutospacing="0" w:line="360" w:lineRule="auto"/>
        <w:ind w:firstLine="420"/>
        <w:rPr>
          <w:sz w:val="21"/>
          <w:szCs w:val="21"/>
        </w:rPr>
      </w:pPr>
      <w:r>
        <w:rPr>
          <w:rFonts w:hint="eastAsia"/>
          <w:sz w:val="21"/>
          <w:szCs w:val="21"/>
        </w:rPr>
        <w:t xml:space="preserve">基金管理人在开始申购、赎回业务前公告申购赎回代理券商的名单，并可依据实际情况变更申购赎回代理券商，并在基金管理人网站公示。基金管理人在确定、变更申购赎回代理券商名单时，均应在公告之前报请上海证券交易所认可。 </w:t>
      </w:r>
    </w:p>
    <w:p>
      <w:pPr>
        <w:pStyle w:val="7"/>
        <w:spacing w:before="0" w:beforeAutospacing="0" w:after="0" w:afterAutospacing="0" w:line="360" w:lineRule="auto"/>
        <w:ind w:firstLine="420"/>
        <w:rPr>
          <w:sz w:val="21"/>
          <w:szCs w:val="21"/>
        </w:rPr>
      </w:pPr>
      <w:r>
        <w:rPr>
          <w:rFonts w:hint="eastAsia"/>
          <w:sz w:val="21"/>
          <w:szCs w:val="21"/>
        </w:rPr>
        <w:t>在法律法规、基金合同及未来条件允许的情况下，基金管理人直销机构可以开通申购赎</w:t>
      </w:r>
      <w:bookmarkStart w:id="89" w:name="chapter_level1_12_59_section_1_end"/>
      <w:bookmarkEnd w:id="89"/>
      <w:r>
        <w:rPr>
          <w:rFonts w:hint="eastAsia"/>
          <w:sz w:val="21"/>
          <w:szCs w:val="21"/>
        </w:rPr>
        <w:t xml:space="preserve">回业务，具体业务的办理时间及办理方式基金管理人将另行公告。 </w:t>
      </w:r>
    </w:p>
    <w:p>
      <w:pPr>
        <w:pStyle w:val="7"/>
        <w:spacing w:before="0" w:beforeAutospacing="0" w:after="0" w:afterAutospacing="0" w:line="360" w:lineRule="auto"/>
        <w:ind w:firstLine="420"/>
        <w:rPr>
          <w:sz w:val="21"/>
          <w:szCs w:val="21"/>
        </w:rPr>
      </w:pPr>
      <w:bookmarkStart w:id="90" w:name="chapter_level1_12_59_section_2"/>
      <w:bookmarkEnd w:id="90"/>
      <w:r>
        <w:rPr>
          <w:rStyle w:val="11"/>
          <w:rFonts w:hint="eastAsia"/>
          <w:sz w:val="21"/>
          <w:szCs w:val="21"/>
        </w:rPr>
        <w:t>二、申购和赎回的开放日及时间</w:t>
      </w:r>
    </w:p>
    <w:p>
      <w:pPr>
        <w:pStyle w:val="7"/>
        <w:spacing w:before="0" w:beforeAutospacing="0" w:after="0" w:afterAutospacing="0" w:line="360" w:lineRule="auto"/>
        <w:ind w:firstLine="420"/>
        <w:rPr>
          <w:sz w:val="21"/>
          <w:szCs w:val="21"/>
        </w:rPr>
      </w:pPr>
      <w:r>
        <w:rPr>
          <w:rFonts w:hint="eastAsia"/>
          <w:sz w:val="21"/>
          <w:szCs w:val="21"/>
        </w:rPr>
        <w:t xml:space="preserve">1、开放日及开放时间 </w:t>
      </w:r>
    </w:p>
    <w:p>
      <w:pPr>
        <w:pStyle w:val="7"/>
        <w:spacing w:before="0" w:beforeAutospacing="0" w:after="0" w:afterAutospacing="0" w:line="360" w:lineRule="auto"/>
        <w:ind w:firstLine="420"/>
        <w:rPr>
          <w:sz w:val="21"/>
          <w:szCs w:val="21"/>
        </w:rPr>
      </w:pPr>
      <w:r>
        <w:rPr>
          <w:rFonts w:hint="eastAsia"/>
          <w:sz w:val="21"/>
          <w:szCs w:val="21"/>
        </w:rPr>
        <w:t xml:space="preserve">投资人在开放日办理基金份额的申购和赎回，具体办理时间为证券交易所及相关期货交易所的正常交易日的交易时间，但基金管理人根据法律法规、中国证监会的要求或基金合同的规定公告暂停申购、赎回时除外。 </w:t>
      </w:r>
    </w:p>
    <w:p>
      <w:pPr>
        <w:pStyle w:val="7"/>
        <w:spacing w:before="0" w:beforeAutospacing="0" w:after="0" w:afterAutospacing="0" w:line="360" w:lineRule="auto"/>
        <w:ind w:firstLine="420"/>
        <w:rPr>
          <w:sz w:val="21"/>
          <w:szCs w:val="21"/>
        </w:rPr>
      </w:pPr>
      <w:r>
        <w:rPr>
          <w:rFonts w:hint="eastAsia"/>
          <w:sz w:val="21"/>
          <w:szCs w:val="21"/>
        </w:rPr>
        <w:t xml:space="preserve">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 </w:t>
      </w:r>
    </w:p>
    <w:p>
      <w:pPr>
        <w:pStyle w:val="7"/>
        <w:spacing w:before="0" w:beforeAutospacing="0" w:after="0" w:afterAutospacing="0" w:line="360" w:lineRule="auto"/>
        <w:ind w:firstLine="420"/>
        <w:rPr>
          <w:sz w:val="21"/>
          <w:szCs w:val="21"/>
        </w:rPr>
      </w:pPr>
      <w:r>
        <w:rPr>
          <w:rFonts w:hint="eastAsia"/>
          <w:sz w:val="21"/>
          <w:szCs w:val="21"/>
        </w:rPr>
        <w:t xml:space="preserve">2、申购、赎回开始日及业务办理时间 </w:t>
      </w:r>
    </w:p>
    <w:p>
      <w:pPr>
        <w:pStyle w:val="7"/>
        <w:spacing w:before="0" w:beforeAutospacing="0" w:after="0" w:afterAutospacing="0" w:line="360" w:lineRule="auto"/>
        <w:ind w:firstLine="420"/>
        <w:rPr>
          <w:sz w:val="21"/>
          <w:szCs w:val="21"/>
        </w:rPr>
      </w:pPr>
      <w:bookmarkStart w:id="91" w:name="chapter_level1_12_59_section_2_end"/>
      <w:bookmarkEnd w:id="91"/>
      <w:r>
        <w:rPr>
          <w:rFonts w:hint="eastAsia"/>
          <w:sz w:val="21"/>
          <w:szCs w:val="21"/>
        </w:rPr>
        <w:t xml:space="preserve">本基金已于2025年5月22日开放日常申购、赎回业务。   </w:t>
      </w:r>
    </w:p>
    <w:p>
      <w:pPr>
        <w:pStyle w:val="7"/>
        <w:spacing w:before="0" w:beforeAutospacing="0" w:after="0" w:afterAutospacing="0" w:line="360" w:lineRule="auto"/>
        <w:ind w:firstLine="420"/>
        <w:rPr>
          <w:sz w:val="21"/>
          <w:szCs w:val="21"/>
        </w:rPr>
      </w:pPr>
      <w:bookmarkStart w:id="92" w:name="chapter_level1_12_59_section_3"/>
      <w:bookmarkEnd w:id="92"/>
      <w:r>
        <w:rPr>
          <w:rStyle w:val="11"/>
          <w:rFonts w:hint="eastAsia"/>
          <w:sz w:val="21"/>
          <w:szCs w:val="21"/>
        </w:rPr>
        <w:t>三、申购与赎回的原则</w:t>
      </w:r>
    </w:p>
    <w:p>
      <w:pPr>
        <w:pStyle w:val="7"/>
        <w:spacing w:before="0" w:beforeAutospacing="0" w:after="0" w:afterAutospacing="0" w:line="360" w:lineRule="auto"/>
        <w:ind w:firstLine="420"/>
        <w:rPr>
          <w:sz w:val="21"/>
          <w:szCs w:val="21"/>
        </w:rPr>
      </w:pPr>
      <w:r>
        <w:rPr>
          <w:rFonts w:hint="eastAsia"/>
          <w:sz w:val="21"/>
          <w:szCs w:val="21"/>
        </w:rPr>
        <w:t xml:space="preserve">1、“份额申购、份额赎回”原则，即申购、赎回均以份额申请； </w:t>
      </w:r>
    </w:p>
    <w:p>
      <w:pPr>
        <w:pStyle w:val="7"/>
        <w:spacing w:before="0" w:beforeAutospacing="0" w:after="0" w:afterAutospacing="0" w:line="360" w:lineRule="auto"/>
        <w:ind w:firstLine="420"/>
        <w:rPr>
          <w:sz w:val="21"/>
          <w:szCs w:val="21"/>
        </w:rPr>
      </w:pPr>
      <w:r>
        <w:rPr>
          <w:rFonts w:hint="eastAsia"/>
          <w:sz w:val="21"/>
          <w:szCs w:val="21"/>
        </w:rPr>
        <w:t xml:space="preserve">2、本基金的申购对价、赎回对价包括组合证券、现金替代、现金差额及其他对价； </w:t>
      </w:r>
    </w:p>
    <w:p>
      <w:pPr>
        <w:pStyle w:val="7"/>
        <w:spacing w:before="0" w:beforeAutospacing="0" w:after="0" w:afterAutospacing="0" w:line="360" w:lineRule="auto"/>
        <w:ind w:firstLine="420"/>
        <w:rPr>
          <w:sz w:val="21"/>
          <w:szCs w:val="21"/>
        </w:rPr>
      </w:pPr>
      <w:r>
        <w:rPr>
          <w:rFonts w:hint="eastAsia"/>
          <w:sz w:val="21"/>
          <w:szCs w:val="21"/>
        </w:rPr>
        <w:t xml:space="preserve">3、申购、赎回申请提交后不得撤销； </w:t>
      </w:r>
    </w:p>
    <w:p>
      <w:pPr>
        <w:pStyle w:val="7"/>
        <w:spacing w:before="0" w:beforeAutospacing="0" w:after="0" w:afterAutospacing="0" w:line="360" w:lineRule="auto"/>
        <w:ind w:firstLine="420"/>
        <w:rPr>
          <w:sz w:val="21"/>
          <w:szCs w:val="21"/>
        </w:rPr>
      </w:pPr>
      <w:r>
        <w:rPr>
          <w:rFonts w:hint="eastAsia"/>
          <w:sz w:val="21"/>
          <w:szCs w:val="21"/>
        </w:rPr>
        <w:t xml:space="preserve">4、申购、赎回应遵守业务规则及其他相关规定； </w:t>
      </w:r>
    </w:p>
    <w:p>
      <w:pPr>
        <w:pStyle w:val="7"/>
        <w:spacing w:before="0" w:beforeAutospacing="0" w:after="0" w:afterAutospacing="0" w:line="360" w:lineRule="auto"/>
        <w:ind w:firstLine="420"/>
        <w:rPr>
          <w:sz w:val="21"/>
          <w:szCs w:val="21"/>
        </w:rPr>
      </w:pPr>
      <w:r>
        <w:rPr>
          <w:rFonts w:hint="eastAsia"/>
          <w:sz w:val="21"/>
          <w:szCs w:val="21"/>
        </w:rPr>
        <w:t xml:space="preserve">5、办理申购、赎回业务时，应当遵循基金份额持有人利益优先原则，确保投资者的合法权益不受损害并得到公平对待。 </w:t>
      </w:r>
    </w:p>
    <w:p>
      <w:pPr>
        <w:pStyle w:val="7"/>
        <w:spacing w:before="0" w:beforeAutospacing="0" w:after="0" w:afterAutospacing="0" w:line="360" w:lineRule="auto"/>
        <w:ind w:firstLine="420"/>
        <w:rPr>
          <w:sz w:val="21"/>
          <w:szCs w:val="21"/>
        </w:rPr>
      </w:pPr>
      <w:r>
        <w:rPr>
          <w:rFonts w:hint="eastAsia"/>
          <w:sz w:val="21"/>
          <w:szCs w:val="21"/>
        </w:rPr>
        <w:t xml:space="preserve">基金管理人可在法律法规允许的情况下，对上述原则进行调整。基金管理人必须在新规则开始实施前依照《信息披露办法》的有关规定在规定媒介上公告。 </w:t>
      </w:r>
    </w:p>
    <w:p>
      <w:pPr>
        <w:pStyle w:val="7"/>
        <w:spacing w:before="0" w:beforeAutospacing="0" w:after="0" w:afterAutospacing="0" w:line="360" w:lineRule="auto"/>
        <w:ind w:firstLine="420"/>
        <w:rPr>
          <w:sz w:val="21"/>
          <w:szCs w:val="21"/>
        </w:rPr>
      </w:pPr>
      <w:r>
        <w:rPr>
          <w:rStyle w:val="11"/>
          <w:rFonts w:hint="eastAsia"/>
          <w:sz w:val="21"/>
          <w:szCs w:val="21"/>
        </w:rPr>
        <w:t>四、申购与赎回的程序</w:t>
      </w:r>
    </w:p>
    <w:p>
      <w:pPr>
        <w:pStyle w:val="7"/>
        <w:spacing w:before="0" w:beforeAutospacing="0" w:after="0" w:afterAutospacing="0" w:line="360" w:lineRule="auto"/>
        <w:ind w:firstLine="420"/>
        <w:rPr>
          <w:sz w:val="21"/>
          <w:szCs w:val="21"/>
        </w:rPr>
      </w:pPr>
      <w:r>
        <w:rPr>
          <w:rFonts w:hint="eastAsia"/>
          <w:sz w:val="21"/>
          <w:szCs w:val="21"/>
        </w:rPr>
        <w:t xml:space="preserve">1、申购和赎回的申请方式 </w:t>
      </w:r>
    </w:p>
    <w:p>
      <w:pPr>
        <w:pStyle w:val="7"/>
        <w:spacing w:before="0" w:beforeAutospacing="0" w:after="0" w:afterAutospacing="0" w:line="360" w:lineRule="auto"/>
        <w:ind w:firstLine="420"/>
        <w:rPr>
          <w:sz w:val="21"/>
          <w:szCs w:val="21"/>
        </w:rPr>
      </w:pPr>
      <w:r>
        <w:rPr>
          <w:rFonts w:hint="eastAsia"/>
          <w:sz w:val="21"/>
          <w:szCs w:val="21"/>
        </w:rPr>
        <w:t xml:space="preserve">投资人必须根据申购、赎回代理券商或基金管理人规定的程序，在开放日的具体业务办理时间内提出申购或赎回的申请。 </w:t>
      </w:r>
    </w:p>
    <w:p>
      <w:pPr>
        <w:pStyle w:val="7"/>
        <w:spacing w:before="0" w:beforeAutospacing="0" w:after="0" w:afterAutospacing="0" w:line="360" w:lineRule="auto"/>
        <w:ind w:firstLine="420"/>
        <w:rPr>
          <w:sz w:val="21"/>
          <w:szCs w:val="21"/>
        </w:rPr>
      </w:pPr>
      <w:r>
        <w:rPr>
          <w:rFonts w:hint="eastAsia"/>
          <w:sz w:val="21"/>
          <w:szCs w:val="21"/>
        </w:rPr>
        <w:t xml:space="preserve">投资人交付申购对价，申购成立；登记机构确认申请时，申购生效。投资人在提交赎回申请时有足够的基金份额余额和现金，则赎回申请成立，登记机构确认赎回时，赎回生效。投资人在提交申购申请时须按申购赎回清单的规定备足申购对价，投资人在提交赎回申请时须持有足够的基金份额余额和现金，否则所提交的申购、赎回申请不成立。 </w:t>
      </w:r>
    </w:p>
    <w:p>
      <w:pPr>
        <w:pStyle w:val="7"/>
        <w:spacing w:before="0" w:beforeAutospacing="0" w:after="0" w:afterAutospacing="0" w:line="360" w:lineRule="auto"/>
        <w:ind w:firstLine="420"/>
        <w:rPr>
          <w:sz w:val="21"/>
          <w:szCs w:val="21"/>
        </w:rPr>
      </w:pPr>
      <w:r>
        <w:rPr>
          <w:rFonts w:hint="eastAsia"/>
          <w:sz w:val="21"/>
          <w:szCs w:val="21"/>
        </w:rPr>
        <w:t xml:space="preserve">2、申购和赎回申请的确认 </w:t>
      </w:r>
    </w:p>
    <w:p>
      <w:pPr>
        <w:pStyle w:val="7"/>
        <w:spacing w:before="0" w:beforeAutospacing="0" w:after="0" w:afterAutospacing="0" w:line="360" w:lineRule="auto"/>
        <w:ind w:firstLine="420"/>
        <w:rPr>
          <w:sz w:val="21"/>
          <w:szCs w:val="21"/>
        </w:rPr>
      </w:pPr>
      <w:r>
        <w:rPr>
          <w:rFonts w:hint="eastAsia"/>
          <w:sz w:val="21"/>
          <w:szCs w:val="21"/>
        </w:rPr>
        <w:t xml:space="preserve">基金投资人申购、赎回申请在受理当日进行确认。如投资人未能提供符合要求的申购对价，则申购申请不成立。如投资人持有的符合要求的基金份额不足或未能根据要求准备足额的现金，或本基金投资组合内不具备足额的符合要求的赎回对价或投资人提交的赎回申请超过基金管理人设定的当日净赎回份额上限、当日累计赎回份额上限、单个账户当日净赎回份额上限或单个账户当日累计赎回份额上限，则赎回申请不成立。 </w:t>
      </w:r>
    </w:p>
    <w:p>
      <w:pPr>
        <w:pStyle w:val="7"/>
        <w:spacing w:before="0" w:beforeAutospacing="0" w:after="0" w:afterAutospacing="0" w:line="360" w:lineRule="auto"/>
        <w:ind w:firstLine="420"/>
        <w:rPr>
          <w:sz w:val="21"/>
          <w:szCs w:val="21"/>
        </w:rPr>
      </w:pPr>
      <w:r>
        <w:rPr>
          <w:rFonts w:hint="eastAsia"/>
          <w:sz w:val="21"/>
          <w:szCs w:val="21"/>
        </w:rPr>
        <w:t xml:space="preserve">申购、赎回代理券商对申购、赎回申请的受理并不代表该申请一定成功，而仅代表申购、赎回代理券商确实接收到该申请。申购、赎回的确认以登记机构的确认结果为准。对于申购、赎回申请的确认情况，投资人应及时查询并妥善行使合法权利。 </w:t>
      </w:r>
    </w:p>
    <w:p>
      <w:pPr>
        <w:pStyle w:val="7"/>
        <w:spacing w:before="0" w:beforeAutospacing="0" w:after="0" w:afterAutospacing="0" w:line="360" w:lineRule="auto"/>
        <w:ind w:firstLine="420"/>
        <w:rPr>
          <w:sz w:val="21"/>
          <w:szCs w:val="21"/>
        </w:rPr>
      </w:pPr>
      <w:r>
        <w:rPr>
          <w:rFonts w:hint="eastAsia"/>
          <w:sz w:val="21"/>
          <w:szCs w:val="21"/>
        </w:rPr>
        <w:t xml:space="preserve">基金投资人申购的基金份额当日起可卖出，投资人赎回获得的股票当日起可卖出。 </w:t>
      </w:r>
    </w:p>
    <w:p>
      <w:pPr>
        <w:pStyle w:val="7"/>
        <w:spacing w:before="0" w:beforeAutospacing="0" w:after="0" w:afterAutospacing="0" w:line="360" w:lineRule="auto"/>
        <w:ind w:firstLine="420"/>
        <w:rPr>
          <w:sz w:val="21"/>
          <w:szCs w:val="21"/>
        </w:rPr>
      </w:pPr>
      <w:r>
        <w:rPr>
          <w:rFonts w:hint="eastAsia"/>
          <w:sz w:val="21"/>
          <w:szCs w:val="21"/>
        </w:rPr>
        <w:t xml:space="preserve">如上海证券交易所、中国证券登记结算有限责任公司修改或更新上述规则并适用于本基金的，则按照新的规则执行，并在本招募说明书中进行更新。 </w:t>
      </w:r>
    </w:p>
    <w:p>
      <w:pPr>
        <w:pStyle w:val="7"/>
        <w:spacing w:before="0" w:beforeAutospacing="0" w:after="0" w:afterAutospacing="0" w:line="360" w:lineRule="auto"/>
        <w:ind w:firstLine="420"/>
        <w:rPr>
          <w:sz w:val="21"/>
          <w:szCs w:val="21"/>
        </w:rPr>
      </w:pPr>
      <w:r>
        <w:rPr>
          <w:rFonts w:hint="eastAsia"/>
          <w:sz w:val="21"/>
          <w:szCs w:val="21"/>
        </w:rPr>
        <w:t xml:space="preserve">3、申购和赎回的清算交收与登记 </w:t>
      </w:r>
    </w:p>
    <w:p>
      <w:pPr>
        <w:pStyle w:val="7"/>
        <w:spacing w:before="0" w:beforeAutospacing="0" w:after="0" w:afterAutospacing="0" w:line="360" w:lineRule="auto"/>
        <w:ind w:firstLine="420"/>
        <w:rPr>
          <w:sz w:val="21"/>
          <w:szCs w:val="21"/>
        </w:rPr>
      </w:pPr>
      <w:r>
        <w:rPr>
          <w:rFonts w:hint="eastAsia"/>
          <w:sz w:val="21"/>
          <w:szCs w:val="21"/>
        </w:rPr>
        <w:t xml:space="preserve">本基金申购赎回过程中涉及的基金份额、组合证券、现金替代、现金差额及其他对价的清算交收适用相关业务规则和参与各方相关协议的有关规定。对于本基金的申购、赎回业务涉及的基金份额、上海证券交易所上市的成份股及其现金替代、深圳证券交易所上市的成份股的现金替代采用净额结算的方式，申购赎回业务涉及的现金差额和现金替代退补款采用代收代付。 </w:t>
      </w:r>
    </w:p>
    <w:p>
      <w:pPr>
        <w:pStyle w:val="7"/>
        <w:spacing w:before="0" w:beforeAutospacing="0" w:after="0" w:afterAutospacing="0" w:line="360" w:lineRule="auto"/>
        <w:ind w:firstLine="420"/>
        <w:rPr>
          <w:sz w:val="21"/>
          <w:szCs w:val="21"/>
        </w:rPr>
      </w:pPr>
      <w:r>
        <w:rPr>
          <w:rFonts w:hint="eastAsia"/>
          <w:sz w:val="21"/>
          <w:szCs w:val="21"/>
        </w:rPr>
        <w:t xml:space="preserve">投资者T日申购成功后，登记机构在T日收市后为投资者办理上海证券交易所上市的成份股交收与基金份额的交收登记以及现金替代的清算；在T+1日办理现金替代的交收以及现金差额的清算；在T+2日办理现金差额的交收，并将结果发送给申购赎回代理券商、基金管理人和基金托管人。投资者T日赎回成功后，登记机构在T日收市后办理上海证券交易所上市的成份股交收与基金份额的注销以及现金替代的清算；在T+1日办理现金替代的交收以及现金差额的清算；在T+2日办理现金差额的交收，并将结果发送给申购赎回代理券商、基金管理人和基金托管人。 </w:t>
      </w:r>
    </w:p>
    <w:p>
      <w:pPr>
        <w:pStyle w:val="7"/>
        <w:spacing w:before="0" w:beforeAutospacing="0" w:after="0" w:afterAutospacing="0" w:line="360" w:lineRule="auto"/>
        <w:ind w:firstLine="420"/>
        <w:rPr>
          <w:sz w:val="21"/>
          <w:szCs w:val="21"/>
        </w:rPr>
      </w:pPr>
      <w:r>
        <w:rPr>
          <w:rFonts w:hint="eastAsia"/>
          <w:sz w:val="21"/>
          <w:szCs w:val="21"/>
        </w:rPr>
        <w:t xml:space="preserve">如果登记机构、基金管理人、申购赎回代理券商之间在清算交收时发现不能正常履约的情形，则依据相关业务规则和参与各方相关协议的有关规定进行处理。 </w:t>
      </w:r>
    </w:p>
    <w:p>
      <w:pPr>
        <w:pStyle w:val="7"/>
        <w:spacing w:before="0" w:beforeAutospacing="0" w:after="0" w:afterAutospacing="0" w:line="360" w:lineRule="auto"/>
        <w:ind w:firstLine="420"/>
        <w:rPr>
          <w:sz w:val="21"/>
          <w:szCs w:val="21"/>
        </w:rPr>
      </w:pPr>
      <w:r>
        <w:rPr>
          <w:rFonts w:hint="eastAsia"/>
          <w:sz w:val="21"/>
          <w:szCs w:val="21"/>
        </w:rPr>
        <w:t xml:space="preserve">投资人应按照基金合同的约定和申购、赎回代理券商的规定按时足额支付应付的现金差额和现金替代退补款。因投资人原因导致现金差额或现金替代退补款未能按时足额交收的，基金管理人有权为基金的利益向该投资人追偿，并要求其承担由此导致的其他基金份额持有人或基金资产的损失。 </w:t>
      </w:r>
    </w:p>
    <w:p>
      <w:pPr>
        <w:pStyle w:val="7"/>
        <w:spacing w:before="0" w:beforeAutospacing="0" w:after="0" w:afterAutospacing="0" w:line="360" w:lineRule="auto"/>
        <w:ind w:firstLine="420"/>
        <w:rPr>
          <w:sz w:val="21"/>
          <w:szCs w:val="21"/>
        </w:rPr>
      </w:pPr>
      <w:r>
        <w:rPr>
          <w:rFonts w:hint="eastAsia"/>
          <w:sz w:val="21"/>
          <w:szCs w:val="21"/>
        </w:rPr>
        <w:t xml:space="preserve">基金管理人、登记机构可在法律法规允许的范围内，对清算交收和登记的办理时间、方式进行调整，并最迟于开始实施日前按照《信息披露办法》的有关规定在中国证监会规定媒介公告。 </w:t>
      </w:r>
    </w:p>
    <w:p>
      <w:pPr>
        <w:pStyle w:val="7"/>
        <w:spacing w:before="0" w:beforeAutospacing="0" w:after="0" w:afterAutospacing="0" w:line="360" w:lineRule="auto"/>
        <w:ind w:firstLine="420"/>
        <w:rPr>
          <w:sz w:val="21"/>
          <w:szCs w:val="21"/>
        </w:rPr>
      </w:pPr>
      <w:r>
        <w:rPr>
          <w:rFonts w:hint="eastAsia"/>
          <w:sz w:val="21"/>
          <w:szCs w:val="21"/>
        </w:rPr>
        <w:t xml:space="preserve">本基金获批后，若上海证券交易所和中国证券登记结算有限责任公司针对跨市场交易型开放式指数证券投资基金推出新的清算交收与登记模式并引入新的申购、赎回方式，本基金管理人有权调整本基金的清算交收与登记模式及申购、赎回方式，或新增本基金的清算交收与登记模式并引入新的申购、赎回方式，届时将发布公告予以披露并对本基金的基金合同和招募说明书予以更新，无需召开基金份额持有人大会审议。 </w:t>
      </w:r>
    </w:p>
    <w:p>
      <w:pPr>
        <w:pStyle w:val="7"/>
        <w:spacing w:before="0" w:beforeAutospacing="0" w:after="0" w:afterAutospacing="0" w:line="360" w:lineRule="auto"/>
        <w:ind w:firstLine="420"/>
        <w:rPr>
          <w:sz w:val="21"/>
          <w:szCs w:val="21"/>
        </w:rPr>
      </w:pPr>
      <w:r>
        <w:rPr>
          <w:rStyle w:val="11"/>
          <w:rFonts w:hint="eastAsia"/>
          <w:sz w:val="21"/>
          <w:szCs w:val="21"/>
        </w:rPr>
        <w:t>五、申购和赎回的数额限制</w:t>
      </w:r>
    </w:p>
    <w:p>
      <w:pPr>
        <w:pStyle w:val="7"/>
        <w:spacing w:before="0" w:beforeAutospacing="0" w:after="0" w:afterAutospacing="0" w:line="360" w:lineRule="auto"/>
        <w:ind w:firstLine="420"/>
        <w:rPr>
          <w:sz w:val="21"/>
          <w:szCs w:val="21"/>
        </w:rPr>
      </w:pPr>
      <w:r>
        <w:rPr>
          <w:rFonts w:hint="eastAsia"/>
          <w:sz w:val="21"/>
          <w:szCs w:val="21"/>
        </w:rPr>
        <w:t xml:space="preserve">1、投资者申购、赎回的基金份额需为最小申购、赎回单位的整数倍。 </w:t>
      </w:r>
    </w:p>
    <w:p>
      <w:pPr>
        <w:pStyle w:val="7"/>
        <w:spacing w:before="0" w:beforeAutospacing="0" w:after="0" w:afterAutospacing="0" w:line="360" w:lineRule="auto"/>
        <w:ind w:firstLine="420"/>
        <w:rPr>
          <w:sz w:val="21"/>
          <w:szCs w:val="21"/>
        </w:rPr>
      </w:pPr>
      <w:r>
        <w:rPr>
          <w:rFonts w:hint="eastAsia"/>
          <w:sz w:val="21"/>
          <w:szCs w:val="21"/>
        </w:rPr>
        <w:t xml:space="preserve">本基金的最小申购赎回单位为100万份。基金管理人可根据基金运作情况、市场变化以及投资者需求等因素对基金的最小申购赎回单位进行调整，并在调整实施前依照《信息披露办法》的有关规定在规定媒介公告。 </w:t>
      </w:r>
    </w:p>
    <w:p>
      <w:pPr>
        <w:pStyle w:val="7"/>
        <w:spacing w:before="0" w:beforeAutospacing="0" w:after="0" w:afterAutospacing="0" w:line="360" w:lineRule="auto"/>
        <w:ind w:firstLine="420"/>
        <w:rPr>
          <w:sz w:val="21"/>
          <w:szCs w:val="21"/>
        </w:rPr>
      </w:pPr>
      <w:r>
        <w:rPr>
          <w:rFonts w:hint="eastAsia"/>
          <w:sz w:val="21"/>
          <w:szCs w:val="21"/>
        </w:rPr>
        <w:t xml:space="preserve">2、基金管理人可以规定本基金当日申购份额及当日赎回份额上限，具体规定详见申购、赎回清单。 </w:t>
      </w:r>
    </w:p>
    <w:p>
      <w:pPr>
        <w:pStyle w:val="7"/>
        <w:spacing w:before="0" w:beforeAutospacing="0" w:after="0" w:afterAutospacing="0" w:line="360" w:lineRule="auto"/>
        <w:ind w:firstLine="420"/>
        <w:rPr>
          <w:sz w:val="21"/>
          <w:szCs w:val="21"/>
        </w:rPr>
      </w:pPr>
      <w:r>
        <w:rPr>
          <w:rFonts w:hint="eastAsia"/>
          <w:sz w:val="21"/>
          <w:szCs w:val="21"/>
        </w:rPr>
        <w:t xml:space="preserve">3、基金管理人可以规定投资人每个交易账户的最低基金份额余额，具体规定请参见更新的招募说明书或相关公告。 </w:t>
      </w:r>
    </w:p>
    <w:p>
      <w:pPr>
        <w:pStyle w:val="7"/>
        <w:spacing w:before="0" w:beforeAutospacing="0" w:after="0" w:afterAutospacing="0" w:line="360" w:lineRule="auto"/>
        <w:ind w:firstLine="420"/>
        <w:rPr>
          <w:sz w:val="21"/>
          <w:szCs w:val="21"/>
        </w:rPr>
      </w:pPr>
      <w:r>
        <w:rPr>
          <w:rFonts w:hint="eastAsia"/>
          <w:sz w:val="21"/>
          <w:szCs w:val="21"/>
        </w:rPr>
        <w:t xml:space="preserve">4、基金管理人可以规定单个投资人累计持有的基金份额上限，具体规定请参见更新的招募说明书或相关公告。 </w:t>
      </w:r>
    </w:p>
    <w:p>
      <w:pPr>
        <w:pStyle w:val="7"/>
        <w:spacing w:before="0" w:beforeAutospacing="0" w:after="0" w:afterAutospacing="0" w:line="360" w:lineRule="auto"/>
        <w:ind w:firstLine="420"/>
        <w:rPr>
          <w:sz w:val="21"/>
          <w:szCs w:val="21"/>
        </w:rPr>
      </w:pPr>
      <w:r>
        <w:rPr>
          <w:rFonts w:hint="eastAsia"/>
          <w:sz w:val="21"/>
          <w:szCs w:val="21"/>
        </w:rPr>
        <w:t xml:space="preserve">5、当接受申购申请对存量基金份额持有人利益构成潜在重大不利影响时，基金管理人可以采取设定单一投资者申购份额上限或基金单日净申购比例上限、拒绝大额申购、暂停基金申购等措施，切实保护存量基金份额持有人的合法权益。基金管理人基于投资运作与风险控制的需要，可采取上述措施对基金规模予以控制。具体见基金管理人相关公告。 </w:t>
      </w:r>
    </w:p>
    <w:p>
      <w:pPr>
        <w:pStyle w:val="7"/>
        <w:spacing w:before="0" w:beforeAutospacing="0" w:after="0" w:afterAutospacing="0" w:line="360" w:lineRule="auto"/>
        <w:ind w:firstLine="420"/>
        <w:rPr>
          <w:sz w:val="21"/>
          <w:szCs w:val="21"/>
        </w:rPr>
      </w:pPr>
      <w:r>
        <w:rPr>
          <w:rFonts w:hint="eastAsia"/>
          <w:sz w:val="21"/>
          <w:szCs w:val="21"/>
        </w:rPr>
        <w:t xml:space="preserve">基金管理人可根据市场情况，在法律法规允许的情况下，调整上述规定数量或比例等限制。基金管理人必须在调整实施前依照《信息披露办法》的有关规定在规定媒介上公告（其中上述第2、3、4条基金管理人须于前一交易日设定并在当日基金申购、赎回清单上公布，而不必在规定媒介上公告也无需报中国证监会备案）。 </w:t>
      </w:r>
    </w:p>
    <w:p>
      <w:pPr>
        <w:pStyle w:val="7"/>
        <w:spacing w:before="0" w:beforeAutospacing="0" w:after="0" w:afterAutospacing="0" w:line="360" w:lineRule="auto"/>
        <w:ind w:firstLine="420"/>
        <w:rPr>
          <w:sz w:val="21"/>
          <w:szCs w:val="21"/>
        </w:rPr>
      </w:pPr>
      <w:r>
        <w:rPr>
          <w:rStyle w:val="11"/>
          <w:rFonts w:hint="eastAsia"/>
          <w:sz w:val="21"/>
          <w:szCs w:val="21"/>
        </w:rPr>
        <w:t>六、申购与赎回的对价和费用</w:t>
      </w:r>
    </w:p>
    <w:p>
      <w:pPr>
        <w:pStyle w:val="7"/>
        <w:spacing w:before="0" w:beforeAutospacing="0" w:after="0" w:afterAutospacing="0" w:line="360" w:lineRule="auto"/>
        <w:ind w:firstLine="420"/>
        <w:rPr>
          <w:sz w:val="21"/>
          <w:szCs w:val="21"/>
        </w:rPr>
      </w:pPr>
      <w:r>
        <w:rPr>
          <w:rFonts w:hint="eastAsia"/>
          <w:sz w:val="21"/>
          <w:szCs w:val="21"/>
        </w:rPr>
        <w:t xml:space="preserve">1、申购对价、赎回对价根据申购、赎回清单和投资人申购、赎回的基金份额数额确定。申购对价是指投资人申购基金份额时应交付的组合证券、现金替代、现金差额和/或其他对价。赎回对价是指投资人赎回基金份额时，基金管理人应交付给投资人的组合证券、现金替代、现金差额和/或其他对价。 </w:t>
      </w:r>
    </w:p>
    <w:p>
      <w:pPr>
        <w:pStyle w:val="7"/>
        <w:spacing w:before="0" w:beforeAutospacing="0" w:after="0" w:afterAutospacing="0" w:line="360" w:lineRule="auto"/>
        <w:ind w:firstLine="420"/>
        <w:rPr>
          <w:sz w:val="21"/>
          <w:szCs w:val="21"/>
        </w:rPr>
      </w:pPr>
      <w:r>
        <w:rPr>
          <w:rFonts w:hint="eastAsia"/>
          <w:sz w:val="21"/>
          <w:szCs w:val="21"/>
        </w:rPr>
        <w:t xml:space="preserve">2、申购、赎回清单由基金管理人编制。T日的申购、赎回清单在当日上海证券交易所开市前公告。如遇特殊情况，可以适当延迟计算或公告。申购赎回清单的内容与格式见下文“七、申购赎回清单的内容与格式”或相关公告。 </w:t>
      </w:r>
    </w:p>
    <w:p>
      <w:pPr>
        <w:pStyle w:val="7"/>
        <w:spacing w:before="0" w:beforeAutospacing="0" w:after="0" w:afterAutospacing="0" w:line="360" w:lineRule="auto"/>
        <w:ind w:firstLine="420"/>
        <w:rPr>
          <w:sz w:val="21"/>
          <w:szCs w:val="21"/>
        </w:rPr>
      </w:pPr>
      <w:r>
        <w:rPr>
          <w:rFonts w:hint="eastAsia"/>
          <w:sz w:val="21"/>
          <w:szCs w:val="21"/>
        </w:rPr>
        <w:t xml:space="preserve">3、投资人在申购或赎回基金份额时，申购赎回代理券商可按照不超过0.5%的标准收取佣金，其中包含证券交易所、登记机构等收取的相关费用。 </w:t>
      </w:r>
    </w:p>
    <w:p>
      <w:pPr>
        <w:pStyle w:val="7"/>
        <w:spacing w:before="0" w:beforeAutospacing="0" w:after="0" w:afterAutospacing="0" w:line="360" w:lineRule="auto"/>
        <w:ind w:firstLine="420"/>
        <w:rPr>
          <w:sz w:val="21"/>
          <w:szCs w:val="21"/>
        </w:rPr>
      </w:pPr>
      <w:r>
        <w:rPr>
          <w:rFonts w:hint="eastAsia"/>
          <w:sz w:val="21"/>
          <w:szCs w:val="21"/>
        </w:rPr>
        <w:t>4、本基金份额净值的计算，保留到小数点后</w:t>
      </w:r>
      <w:bookmarkStart w:id="93" w:name="field_63_netdecimal_1"/>
      <w:r>
        <w:rPr>
          <w:sz w:val="21"/>
          <w:szCs w:val="21"/>
        </w:rPr>
        <w:t>4</w:t>
      </w:r>
      <w:bookmarkEnd w:id="93"/>
      <w:r>
        <w:rPr>
          <w:rFonts w:hint="eastAsia"/>
          <w:sz w:val="21"/>
          <w:szCs w:val="21"/>
        </w:rPr>
        <w:t>位，小数点后第</w:t>
      </w:r>
      <w:bookmarkStart w:id="94" w:name="field_63_netdecimaladd1_1"/>
      <w:r>
        <w:rPr>
          <w:sz w:val="21"/>
          <w:szCs w:val="21"/>
        </w:rPr>
        <w:t>5</w:t>
      </w:r>
      <w:bookmarkEnd w:id="94"/>
      <w:r>
        <w:rPr>
          <w:rFonts w:hint="eastAsia"/>
          <w:sz w:val="21"/>
          <w:szCs w:val="21"/>
        </w:rPr>
        <w:t xml:space="preserve">位四舍五入，由此产生的收益或损失由基金财产承担。T日的基金份额净值在当天收市后计算，并按照基金合同的约定公告。遇特殊情况，经履行适当程序，可以适当延迟计算或公告。 </w:t>
      </w:r>
    </w:p>
    <w:p>
      <w:pPr>
        <w:pStyle w:val="7"/>
        <w:spacing w:before="0" w:beforeAutospacing="0" w:after="0" w:afterAutospacing="0" w:line="360" w:lineRule="auto"/>
        <w:ind w:firstLine="420"/>
        <w:rPr>
          <w:sz w:val="21"/>
          <w:szCs w:val="21"/>
        </w:rPr>
      </w:pPr>
      <w:r>
        <w:rPr>
          <w:rFonts w:hint="eastAsia"/>
          <w:sz w:val="21"/>
          <w:szCs w:val="21"/>
        </w:rPr>
        <w:t xml:space="preserve">5、基金管理人可以在不违反相关法律法规的情况下对基金份额净值、申购赎回清单计算和公告时间进行调整并提前公告。 </w:t>
      </w:r>
    </w:p>
    <w:p>
      <w:pPr>
        <w:pStyle w:val="7"/>
        <w:spacing w:before="0" w:beforeAutospacing="0" w:after="0" w:afterAutospacing="0" w:line="360" w:lineRule="auto"/>
        <w:ind w:firstLine="420"/>
        <w:rPr>
          <w:sz w:val="21"/>
          <w:szCs w:val="21"/>
        </w:rPr>
      </w:pPr>
      <w:r>
        <w:rPr>
          <w:rStyle w:val="11"/>
          <w:rFonts w:hint="eastAsia"/>
          <w:sz w:val="21"/>
          <w:szCs w:val="21"/>
        </w:rPr>
        <w:t>七、申购赎回清单的内容与格式</w:t>
      </w:r>
    </w:p>
    <w:p>
      <w:pPr>
        <w:pStyle w:val="7"/>
        <w:spacing w:before="0" w:beforeAutospacing="0" w:after="0" w:afterAutospacing="0" w:line="360" w:lineRule="auto"/>
        <w:ind w:firstLine="420"/>
        <w:rPr>
          <w:sz w:val="21"/>
          <w:szCs w:val="21"/>
        </w:rPr>
      </w:pPr>
      <w:r>
        <w:rPr>
          <w:rFonts w:hint="eastAsia"/>
          <w:sz w:val="21"/>
          <w:szCs w:val="21"/>
        </w:rPr>
        <w:t xml:space="preserve">1、申购赎回清单的内容 </w:t>
      </w:r>
    </w:p>
    <w:p>
      <w:pPr>
        <w:pStyle w:val="7"/>
        <w:spacing w:before="0" w:beforeAutospacing="0" w:after="0" w:afterAutospacing="0" w:line="360" w:lineRule="auto"/>
        <w:ind w:firstLine="420"/>
        <w:rPr>
          <w:sz w:val="21"/>
          <w:szCs w:val="21"/>
        </w:rPr>
      </w:pPr>
      <w:r>
        <w:rPr>
          <w:rFonts w:hint="eastAsia"/>
          <w:sz w:val="21"/>
          <w:szCs w:val="21"/>
        </w:rPr>
        <w:t xml:space="preserve">T日申购赎回清单公告内容包括最小申购、赎回单位所对应的组合证券内各成份证券数据、现金替代、T日预估现金部分、T-1日的现金差额、基金份额净值及其他相关内容。 </w:t>
      </w:r>
    </w:p>
    <w:p>
      <w:pPr>
        <w:pStyle w:val="7"/>
        <w:spacing w:before="0" w:beforeAutospacing="0" w:after="0" w:afterAutospacing="0" w:line="360" w:lineRule="auto"/>
        <w:ind w:firstLine="420"/>
        <w:rPr>
          <w:sz w:val="21"/>
          <w:szCs w:val="21"/>
        </w:rPr>
      </w:pPr>
      <w:r>
        <w:rPr>
          <w:rFonts w:hint="eastAsia"/>
          <w:sz w:val="21"/>
          <w:szCs w:val="21"/>
        </w:rPr>
        <w:t xml:space="preserve">2、组合证券相关内容 </w:t>
      </w:r>
    </w:p>
    <w:p>
      <w:pPr>
        <w:pStyle w:val="7"/>
        <w:spacing w:before="0" w:beforeAutospacing="0" w:after="0" w:afterAutospacing="0" w:line="360" w:lineRule="auto"/>
        <w:ind w:firstLine="420"/>
        <w:rPr>
          <w:sz w:val="21"/>
          <w:szCs w:val="21"/>
        </w:rPr>
      </w:pPr>
      <w:r>
        <w:rPr>
          <w:rFonts w:hint="eastAsia"/>
          <w:sz w:val="21"/>
          <w:szCs w:val="21"/>
        </w:rPr>
        <w:t xml:space="preserve">组合证券是指本基金标的指数所包含的全部或部分证券。申购赎回清单将公告最小申购赎回单位所对应的各成份证券名称、证券代码及数量。 </w:t>
      </w:r>
    </w:p>
    <w:p>
      <w:pPr>
        <w:pStyle w:val="7"/>
        <w:spacing w:before="0" w:beforeAutospacing="0" w:after="0" w:afterAutospacing="0" w:line="360" w:lineRule="auto"/>
        <w:ind w:firstLine="420"/>
        <w:rPr>
          <w:sz w:val="21"/>
          <w:szCs w:val="21"/>
        </w:rPr>
      </w:pPr>
      <w:r>
        <w:rPr>
          <w:rFonts w:hint="eastAsia"/>
          <w:sz w:val="21"/>
          <w:szCs w:val="21"/>
        </w:rPr>
        <w:t xml:space="preserve">3、现金替代相关内容 </w:t>
      </w:r>
    </w:p>
    <w:p>
      <w:pPr>
        <w:pStyle w:val="7"/>
        <w:spacing w:before="0" w:beforeAutospacing="0" w:after="0" w:afterAutospacing="0" w:line="360" w:lineRule="auto"/>
        <w:ind w:firstLine="420"/>
        <w:rPr>
          <w:sz w:val="21"/>
          <w:szCs w:val="21"/>
        </w:rPr>
      </w:pPr>
      <w:r>
        <w:rPr>
          <w:rFonts w:hint="eastAsia"/>
          <w:sz w:val="21"/>
          <w:szCs w:val="21"/>
        </w:rPr>
        <w:t xml:space="preserve">现金替代是指申购、赎回过程中，投资人按基金合同和招募说明书规定的原则，用于替代组合证券中部分证券的一定数量的现金。 </w:t>
      </w:r>
    </w:p>
    <w:p>
      <w:pPr>
        <w:pStyle w:val="7"/>
        <w:spacing w:before="0" w:beforeAutospacing="0" w:after="0" w:afterAutospacing="0" w:line="360" w:lineRule="auto"/>
        <w:ind w:firstLine="420"/>
        <w:rPr>
          <w:sz w:val="21"/>
          <w:szCs w:val="21"/>
        </w:rPr>
      </w:pPr>
      <w:r>
        <w:rPr>
          <w:rFonts w:hint="eastAsia"/>
          <w:sz w:val="21"/>
          <w:szCs w:val="21"/>
        </w:rPr>
        <w:t xml:space="preserve">现金替代分为3种类型：禁止现金替代（标志为“禁止”）、可以现金替代（标志为“允许”）、必须现金替代（标志为“必须”）。 </w:t>
      </w:r>
    </w:p>
    <w:p>
      <w:pPr>
        <w:pStyle w:val="7"/>
        <w:spacing w:before="0" w:beforeAutospacing="0" w:after="0" w:afterAutospacing="0" w:line="360" w:lineRule="auto"/>
        <w:ind w:firstLine="420"/>
        <w:rPr>
          <w:sz w:val="21"/>
          <w:szCs w:val="21"/>
        </w:rPr>
      </w:pPr>
      <w:r>
        <w:rPr>
          <w:rFonts w:hint="eastAsia"/>
          <w:sz w:val="21"/>
          <w:szCs w:val="21"/>
        </w:rPr>
        <w:t xml:space="preserve">对于上交所上市的成份股（“沪市成份证券”），现金替代的类型可以设为：“禁止”、“允许”和“必须”。 </w:t>
      </w:r>
    </w:p>
    <w:p>
      <w:pPr>
        <w:pStyle w:val="7"/>
        <w:spacing w:before="0" w:beforeAutospacing="0" w:after="0" w:afterAutospacing="0" w:line="360" w:lineRule="auto"/>
        <w:ind w:firstLine="420"/>
        <w:rPr>
          <w:sz w:val="21"/>
          <w:szCs w:val="21"/>
        </w:rPr>
      </w:pPr>
      <w:r>
        <w:rPr>
          <w:rFonts w:hint="eastAsia"/>
          <w:sz w:val="21"/>
          <w:szCs w:val="21"/>
        </w:rPr>
        <w:t xml:space="preserve">对于非上交所上市的成份股（“非沪市成份证券”），可以设为：“允许”和“必须”。 </w:t>
      </w:r>
    </w:p>
    <w:p>
      <w:pPr>
        <w:pStyle w:val="7"/>
        <w:spacing w:before="0" w:beforeAutospacing="0" w:after="0" w:afterAutospacing="0" w:line="360" w:lineRule="auto"/>
        <w:ind w:firstLine="420"/>
        <w:rPr>
          <w:sz w:val="21"/>
          <w:szCs w:val="21"/>
        </w:rPr>
      </w:pPr>
      <w:r>
        <w:rPr>
          <w:rFonts w:hint="eastAsia"/>
          <w:sz w:val="21"/>
          <w:szCs w:val="21"/>
        </w:rPr>
        <w:t xml:space="preserve">禁止现金替代适用于上海证券交易所上市的成份股，是指在申购、赎回基金份额时，该成份证券不允许使用现金作为替代。 </w:t>
      </w:r>
    </w:p>
    <w:p>
      <w:pPr>
        <w:pStyle w:val="7"/>
        <w:spacing w:before="0" w:beforeAutospacing="0" w:after="0" w:afterAutospacing="0" w:line="360" w:lineRule="auto"/>
        <w:ind w:firstLine="420"/>
        <w:rPr>
          <w:sz w:val="21"/>
          <w:szCs w:val="21"/>
        </w:rPr>
      </w:pPr>
      <w:r>
        <w:rPr>
          <w:rFonts w:hint="eastAsia"/>
          <w:sz w:val="21"/>
          <w:szCs w:val="21"/>
        </w:rPr>
        <w:t xml:space="preserve">可以现金替代适用于所有成份股。当可以现金替代适用于上交所上市的成份股时，可以现金替代是指在申购基金份额时，允许使用现金作为全部或部分该成份证券的替代，但在赎回基金份额时，该成份证券不允许使用现金作为替代。当可以现金替代适用于非上交所上市的成份股，是指在申购赎回基金份额时，该成份证券必须使用现金作为替代，根据基金管理人买卖情况，与投资者进行退款或补款。 </w:t>
      </w:r>
    </w:p>
    <w:p>
      <w:pPr>
        <w:pStyle w:val="7"/>
        <w:spacing w:before="0" w:beforeAutospacing="0" w:after="0" w:afterAutospacing="0" w:line="360" w:lineRule="auto"/>
        <w:ind w:firstLine="420"/>
        <w:rPr>
          <w:sz w:val="21"/>
          <w:szCs w:val="21"/>
        </w:rPr>
      </w:pPr>
      <w:r>
        <w:rPr>
          <w:rFonts w:hint="eastAsia"/>
          <w:sz w:val="21"/>
          <w:szCs w:val="21"/>
        </w:rPr>
        <w:t xml:space="preserve">必须现金替代适用于所有成份股，是指在申购、赎回基金份额时，该成份证券必须使用现金作为替代。 </w:t>
      </w:r>
    </w:p>
    <w:p>
      <w:pPr>
        <w:pStyle w:val="7"/>
        <w:spacing w:before="0" w:beforeAutospacing="0" w:after="0" w:afterAutospacing="0" w:line="360" w:lineRule="auto"/>
        <w:ind w:firstLine="420"/>
        <w:rPr>
          <w:sz w:val="21"/>
          <w:szCs w:val="21"/>
        </w:rPr>
      </w:pPr>
      <w:r>
        <w:rPr>
          <w:rFonts w:hint="eastAsia"/>
          <w:b/>
          <w:bCs/>
          <w:sz w:val="21"/>
          <w:szCs w:val="21"/>
        </w:rPr>
        <w:t>（1）关于可以现金替代</w:t>
      </w:r>
    </w:p>
    <w:p>
      <w:pPr>
        <w:pStyle w:val="7"/>
        <w:spacing w:before="0" w:beforeAutospacing="0" w:after="0" w:afterAutospacing="0" w:line="360" w:lineRule="auto"/>
        <w:ind w:firstLine="420"/>
        <w:rPr>
          <w:sz w:val="21"/>
          <w:szCs w:val="21"/>
        </w:rPr>
      </w:pPr>
      <w:r>
        <w:rPr>
          <w:rFonts w:hint="eastAsia"/>
          <w:sz w:val="21"/>
          <w:szCs w:val="21"/>
        </w:rPr>
        <w:t xml:space="preserve">可以现金替代的组合证券分为：沪市成份证券和非沪市成份证券。 </w:t>
      </w:r>
    </w:p>
    <w:p>
      <w:pPr>
        <w:pStyle w:val="7"/>
        <w:spacing w:before="0" w:beforeAutospacing="0" w:after="0" w:afterAutospacing="0" w:line="360" w:lineRule="auto"/>
        <w:ind w:firstLine="420"/>
        <w:rPr>
          <w:sz w:val="21"/>
          <w:szCs w:val="21"/>
        </w:rPr>
      </w:pPr>
      <w:r>
        <w:rPr>
          <w:rFonts w:hint="eastAsia"/>
          <w:sz w:val="21"/>
          <w:szCs w:val="21"/>
        </w:rPr>
        <w:t>【1】对于沪市成份证券</w:t>
      </w:r>
    </w:p>
    <w:p>
      <w:pPr>
        <w:pStyle w:val="7"/>
        <w:spacing w:before="0" w:beforeAutospacing="0" w:after="0" w:afterAutospacing="0" w:line="360" w:lineRule="auto"/>
        <w:ind w:firstLine="420"/>
        <w:rPr>
          <w:sz w:val="21"/>
          <w:szCs w:val="21"/>
        </w:rPr>
      </w:pPr>
      <w:r>
        <w:rPr>
          <w:rFonts w:hint="eastAsia"/>
          <w:sz w:val="21"/>
          <w:szCs w:val="21"/>
        </w:rPr>
        <w:t xml:space="preserve">1）适用情形：出于证券停牌等原因导致投资人无法在申购时买入证券或基金管理人认为可以适用的其他情形。 </w:t>
      </w:r>
    </w:p>
    <w:p>
      <w:pPr>
        <w:pStyle w:val="7"/>
        <w:spacing w:before="0" w:beforeAutospacing="0" w:after="0" w:afterAutospacing="0" w:line="360" w:lineRule="auto"/>
        <w:ind w:firstLine="420"/>
        <w:rPr>
          <w:sz w:val="21"/>
          <w:szCs w:val="21"/>
        </w:rPr>
      </w:pPr>
      <w:r>
        <w:rPr>
          <w:rFonts w:hint="eastAsia"/>
          <w:sz w:val="21"/>
          <w:szCs w:val="21"/>
        </w:rPr>
        <w:t xml:space="preserve">2）替代金额：对于可以现金替代的证券，替代金额的计算公式为： </w:t>
      </w:r>
    </w:p>
    <w:p>
      <w:pPr>
        <w:pStyle w:val="7"/>
        <w:spacing w:before="0" w:beforeAutospacing="0" w:after="0" w:afterAutospacing="0" w:line="360" w:lineRule="auto"/>
        <w:ind w:firstLine="420"/>
        <w:rPr>
          <w:sz w:val="21"/>
          <w:szCs w:val="21"/>
        </w:rPr>
      </w:pPr>
      <w:r>
        <w:rPr>
          <w:rFonts w:hint="eastAsia"/>
          <w:sz w:val="21"/>
          <w:szCs w:val="21"/>
        </w:rPr>
        <w:t xml:space="preserve">替代金额＝替代证券数量×该证券参考价格×（1＋申购现金替代溢价比例） </w:t>
      </w:r>
    </w:p>
    <w:p>
      <w:pPr>
        <w:pStyle w:val="7"/>
        <w:spacing w:before="0" w:beforeAutospacing="0" w:after="0" w:afterAutospacing="0" w:line="360" w:lineRule="auto"/>
        <w:ind w:firstLine="420"/>
        <w:rPr>
          <w:sz w:val="21"/>
          <w:szCs w:val="21"/>
        </w:rPr>
      </w:pPr>
      <w:r>
        <w:rPr>
          <w:rFonts w:hint="eastAsia"/>
          <w:sz w:val="21"/>
          <w:szCs w:val="21"/>
        </w:rPr>
        <w:t xml:space="preserve">其中，“该证券参考价格” 定义为“该证券前一交易日除权除息后的收盘价”。 </w:t>
      </w:r>
    </w:p>
    <w:p>
      <w:pPr>
        <w:pStyle w:val="7"/>
        <w:spacing w:before="0" w:beforeAutospacing="0" w:after="0" w:afterAutospacing="0" w:line="360" w:lineRule="auto"/>
        <w:ind w:firstLine="420"/>
        <w:rPr>
          <w:sz w:val="21"/>
          <w:szCs w:val="21"/>
        </w:rPr>
      </w:pPr>
      <w:r>
        <w:rPr>
          <w:rFonts w:hint="eastAsia"/>
          <w:sz w:val="21"/>
          <w:szCs w:val="21"/>
        </w:rPr>
        <w:t xml:space="preserve">如果上海证券交易所参考价格确定原则发生变化，以上海证券交易所通知规定的参考价格为准。 </w:t>
      </w:r>
    </w:p>
    <w:p>
      <w:pPr>
        <w:pStyle w:val="7"/>
        <w:spacing w:before="0" w:beforeAutospacing="0" w:after="0" w:afterAutospacing="0" w:line="360" w:lineRule="auto"/>
        <w:ind w:firstLine="420"/>
        <w:rPr>
          <w:sz w:val="21"/>
          <w:szCs w:val="21"/>
        </w:rPr>
      </w:pPr>
      <w:r>
        <w:rPr>
          <w:rFonts w:hint="eastAsia"/>
          <w:sz w:val="21"/>
          <w:szCs w:val="21"/>
        </w:rPr>
        <w:t xml:space="preserve">收取申购现金替代溢价的原因是，对于使用现金替代的证券，基金管理人需在该部分证券恢复交易后买入，而实际买入价格加上相关交易费用后与申购时的参考价格可能有所差异。为便于操作，基金管理人在申购赎回清单中预先确定申购现金替代溢价比例，并据此收取替代金额。如果预先收取的金额高于基金买入该部分证券的实际成本，则基金管理人将退还多收取的差额；如果预先收取的金额低于基金买入该部分证券的实际成本，则基金管理人将向投资人收取欠缺的差额。 </w:t>
      </w:r>
    </w:p>
    <w:p>
      <w:pPr>
        <w:pStyle w:val="7"/>
        <w:spacing w:before="0" w:beforeAutospacing="0" w:after="0" w:afterAutospacing="0" w:line="360" w:lineRule="auto"/>
        <w:ind w:firstLine="420"/>
        <w:rPr>
          <w:sz w:val="21"/>
          <w:szCs w:val="21"/>
        </w:rPr>
      </w:pPr>
      <w:r>
        <w:rPr>
          <w:rFonts w:hint="eastAsia"/>
          <w:sz w:val="21"/>
          <w:szCs w:val="21"/>
        </w:rPr>
        <w:t xml:space="preserve">3）替代金额的处理程序如下： </w:t>
      </w:r>
    </w:p>
    <w:p>
      <w:pPr>
        <w:pStyle w:val="7"/>
        <w:spacing w:before="0" w:beforeAutospacing="0" w:after="0" w:afterAutospacing="0" w:line="360" w:lineRule="auto"/>
        <w:ind w:firstLine="420"/>
        <w:rPr>
          <w:sz w:val="21"/>
          <w:szCs w:val="21"/>
        </w:rPr>
      </w:pPr>
      <w:r>
        <w:rPr>
          <w:rFonts w:hint="eastAsia"/>
          <w:sz w:val="21"/>
          <w:szCs w:val="21"/>
        </w:rPr>
        <w:t xml:space="preserve">T日，基金管理人在申购赎回清单中公布申购现金替代溢价比例，并据此收取替代金额。 </w:t>
      </w:r>
    </w:p>
    <w:p>
      <w:pPr>
        <w:pStyle w:val="7"/>
        <w:spacing w:before="0" w:beforeAutospacing="0" w:after="0" w:afterAutospacing="0" w:line="360" w:lineRule="auto"/>
        <w:ind w:firstLine="420"/>
        <w:rPr>
          <w:sz w:val="21"/>
          <w:szCs w:val="21"/>
        </w:rPr>
      </w:pPr>
      <w:r>
        <w:rPr>
          <w:rFonts w:hint="eastAsia"/>
          <w:sz w:val="21"/>
          <w:szCs w:val="21"/>
        </w:rPr>
        <w:t xml:space="preserve">在T日后被替代的部分证券有正常交易的2个交易日（即T＋2日）内，基金管理人将以收到的替代金额买入被替代的部分证券。 </w:t>
      </w:r>
    </w:p>
    <w:p>
      <w:pPr>
        <w:pStyle w:val="7"/>
        <w:spacing w:before="0" w:beforeAutospacing="0" w:after="0" w:afterAutospacing="0" w:line="360" w:lineRule="auto"/>
        <w:ind w:firstLine="420"/>
        <w:rPr>
          <w:sz w:val="21"/>
          <w:szCs w:val="21"/>
        </w:rPr>
      </w:pPr>
      <w:r>
        <w:rPr>
          <w:rFonts w:hint="eastAsia"/>
          <w:sz w:val="21"/>
          <w:szCs w:val="21"/>
        </w:rPr>
        <w:t xml:space="preserve">T＋2日日终，若基金管理人已购入全部被替代的证券，则以替代金额与被替代证券的实际买入成本（包括买入价格和交易费用）的差额，确定基金应退还投资人或投资人应补交的款项；若基金管理人未能购入全部被替代的证券，则以替代金额与所购入的部分被替代证券的实际买入成本加上按照T＋2日收盘价计算的未购入部分被替代证券价值的差额，确定基金应退还投资人或投资人应补交的款项。 </w:t>
      </w:r>
    </w:p>
    <w:p>
      <w:pPr>
        <w:pStyle w:val="7"/>
        <w:spacing w:before="0" w:beforeAutospacing="0" w:after="0" w:afterAutospacing="0" w:line="360" w:lineRule="auto"/>
        <w:ind w:firstLine="420"/>
        <w:rPr>
          <w:sz w:val="21"/>
          <w:szCs w:val="21"/>
        </w:rPr>
      </w:pPr>
      <w:r>
        <w:rPr>
          <w:rFonts w:hint="eastAsia"/>
          <w:sz w:val="21"/>
          <w:szCs w:val="21"/>
        </w:rPr>
        <w:t xml:space="preserve">特殊情况：若自T日起，上海证券交易所正常交易日已达20日而该部分证券的正常交易日低于2日，则以替代金额与所购入的部分被替代证券的实际购入成本加上按照最近一次收盘价计算的未购入的部分被替代证券价值的差额，确定基金应退还投资人或投资人应补交的款项。 </w:t>
      </w:r>
    </w:p>
    <w:p>
      <w:pPr>
        <w:pStyle w:val="7"/>
        <w:spacing w:before="0" w:beforeAutospacing="0" w:after="0" w:afterAutospacing="0" w:line="360" w:lineRule="auto"/>
        <w:ind w:firstLine="420"/>
        <w:rPr>
          <w:sz w:val="21"/>
          <w:szCs w:val="21"/>
        </w:rPr>
      </w:pPr>
      <w:r>
        <w:rPr>
          <w:rFonts w:hint="eastAsia"/>
          <w:sz w:val="21"/>
          <w:szCs w:val="21"/>
        </w:rPr>
        <w:t xml:space="preserve">若现金替代日（T日）后至T＋2日（在特殊情况下则为T日起的第20个正常交易日）期间被替代的证券发生除息、送股（转增）、配股，以及由于股权分置改革等发生的其他权益变动，则进行相应调整。 </w:t>
      </w:r>
    </w:p>
    <w:p>
      <w:pPr>
        <w:pStyle w:val="7"/>
        <w:spacing w:before="0" w:beforeAutospacing="0" w:after="0" w:afterAutospacing="0" w:line="360" w:lineRule="auto"/>
        <w:ind w:firstLine="420"/>
        <w:rPr>
          <w:sz w:val="21"/>
          <w:szCs w:val="21"/>
        </w:rPr>
      </w:pPr>
      <w:r>
        <w:rPr>
          <w:rFonts w:hint="eastAsia"/>
          <w:sz w:val="21"/>
          <w:szCs w:val="21"/>
        </w:rPr>
        <w:t xml:space="preserve">T＋2日后的第1个市场交易日（在特殊情况下则为T日起的第21个市场交易日），基金管理人将应退款和应补款的明细及汇总数据发送给相关申购赎回代理券商和基金托管人，相关款项的清算交收，将于此后3个工作日内完成。 </w:t>
      </w:r>
    </w:p>
    <w:p>
      <w:pPr>
        <w:pStyle w:val="7"/>
        <w:spacing w:before="0" w:beforeAutospacing="0" w:after="0" w:afterAutospacing="0" w:line="360" w:lineRule="auto"/>
        <w:ind w:firstLine="420"/>
        <w:rPr>
          <w:sz w:val="21"/>
          <w:szCs w:val="21"/>
        </w:rPr>
      </w:pPr>
      <w:r>
        <w:rPr>
          <w:rFonts w:hint="eastAsia"/>
          <w:sz w:val="21"/>
          <w:szCs w:val="21"/>
        </w:rPr>
        <w:t xml:space="preserve">4）替代限制：为有效控制基金的跟踪偏离度和跟踪误差，基金管理人可规定投资人使用可以现金替代的比例合计不得超过申购基金份额资产净值的一定比例。现金替代比例的计算公式为： </w:t>
      </w:r>
    </w:p>
    <w:p>
      <w:pPr>
        <w:pStyle w:val="7"/>
        <w:spacing w:before="0" w:beforeAutospacing="0" w:after="0" w:afterAutospacing="0" w:line="360" w:lineRule="auto"/>
        <w:ind w:firstLine="420"/>
        <w:rPr>
          <w:sz w:val="21"/>
          <w:szCs w:val="21"/>
        </w:rPr>
      </w:pPr>
      <w:r>
        <w:rPr>
          <w:rFonts w:hint="eastAsia"/>
          <w:sz w:val="21"/>
          <w:szCs w:val="21"/>
        </w:rPr>
        <w:drawing>
          <wp:inline distT="0" distB="0" distL="0" distR="0">
            <wp:extent cx="5270500" cy="103886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6"/>
                    <a:stretch>
                      <a:fillRect/>
                    </a:stretch>
                  </pic:blipFill>
                  <pic:spPr>
                    <a:xfrm>
                      <a:off x="0" y="0"/>
                      <a:ext cx="5270500" cy="1038860"/>
                    </a:xfrm>
                    <a:prstGeom prst="rect">
                      <a:avLst/>
                    </a:prstGeom>
                  </pic:spPr>
                </pic:pic>
              </a:graphicData>
            </a:graphic>
          </wp:inline>
        </w:drawing>
      </w:r>
      <w:r>
        <w:rPr>
          <w:rFonts w:hint="eastAsia"/>
          <w:sz w:val="21"/>
          <w:szCs w:val="21"/>
        </w:rPr>
        <w:t xml:space="preserve"> 公式中，“该证券参考价格”的确定原则与可以现金替代情况下，替代金额的计算公式中的该证券参考价格确定原则相同。基金份额参考净值目前为本基金前一交易日除权除息后的收盘价，如果基金份额参考净值计算方式发生变化，以上海证券交易所发布的基金份额参考净值为准。 </w:t>
      </w:r>
    </w:p>
    <w:p>
      <w:pPr>
        <w:pStyle w:val="7"/>
        <w:spacing w:before="0" w:beforeAutospacing="0" w:after="0" w:afterAutospacing="0" w:line="360" w:lineRule="auto"/>
        <w:ind w:firstLine="420"/>
        <w:rPr>
          <w:sz w:val="21"/>
          <w:szCs w:val="21"/>
        </w:rPr>
      </w:pPr>
      <w:r>
        <w:rPr>
          <w:rFonts w:hint="eastAsia"/>
          <w:sz w:val="21"/>
          <w:szCs w:val="21"/>
        </w:rPr>
        <w:t xml:space="preserve">【2】对于非沪市成份证券 </w:t>
      </w:r>
    </w:p>
    <w:p>
      <w:pPr>
        <w:pStyle w:val="7"/>
        <w:spacing w:before="0" w:beforeAutospacing="0" w:after="0" w:afterAutospacing="0" w:line="360" w:lineRule="auto"/>
        <w:ind w:firstLine="420"/>
        <w:rPr>
          <w:sz w:val="21"/>
          <w:szCs w:val="21"/>
        </w:rPr>
      </w:pPr>
      <w:r>
        <w:rPr>
          <w:rFonts w:hint="eastAsia"/>
          <w:sz w:val="21"/>
          <w:szCs w:val="21"/>
        </w:rPr>
        <w:t xml:space="preserve">1）适用情形：投资者申购和赎回时的非沪市成份证券。 </w:t>
      </w:r>
    </w:p>
    <w:p>
      <w:pPr>
        <w:pStyle w:val="7"/>
        <w:spacing w:before="0" w:beforeAutospacing="0" w:after="0" w:afterAutospacing="0" w:line="360" w:lineRule="auto"/>
        <w:ind w:firstLine="420"/>
        <w:rPr>
          <w:sz w:val="21"/>
          <w:szCs w:val="21"/>
        </w:rPr>
      </w:pPr>
      <w:r>
        <w:rPr>
          <w:rFonts w:hint="eastAsia"/>
          <w:sz w:val="21"/>
          <w:szCs w:val="21"/>
        </w:rPr>
        <w:t xml:space="preserve">2）替代金额：对于可以现金替代的证券，替代金额的计算公式为： </w:t>
      </w:r>
    </w:p>
    <w:p>
      <w:pPr>
        <w:pStyle w:val="7"/>
        <w:spacing w:before="0" w:beforeAutospacing="0" w:after="0" w:afterAutospacing="0" w:line="360" w:lineRule="auto"/>
        <w:ind w:firstLine="420"/>
        <w:rPr>
          <w:sz w:val="21"/>
          <w:szCs w:val="21"/>
        </w:rPr>
      </w:pPr>
      <w:r>
        <w:rPr>
          <w:rFonts w:hint="eastAsia"/>
          <w:sz w:val="21"/>
          <w:szCs w:val="21"/>
        </w:rPr>
        <w:t xml:space="preserve">申购的替代金额＝替代证券数量×该证券调整后T日开盘参考价×（1+申购现金替代溢价比例）。 </w:t>
      </w:r>
    </w:p>
    <w:p>
      <w:pPr>
        <w:pStyle w:val="7"/>
        <w:spacing w:before="0" w:beforeAutospacing="0" w:after="0" w:afterAutospacing="0" w:line="360" w:lineRule="auto"/>
        <w:ind w:firstLine="420"/>
        <w:rPr>
          <w:sz w:val="21"/>
          <w:szCs w:val="21"/>
        </w:rPr>
      </w:pPr>
      <w:r>
        <w:rPr>
          <w:rFonts w:hint="eastAsia"/>
          <w:sz w:val="21"/>
          <w:szCs w:val="21"/>
        </w:rPr>
        <w:t xml:space="preserve">赎回的替代金额＝替代证券数量×该证券调整后T日开盘参考价×（1-赎回现金替代折价比例）。 </w:t>
      </w:r>
    </w:p>
    <w:p>
      <w:pPr>
        <w:pStyle w:val="7"/>
        <w:spacing w:before="0" w:beforeAutospacing="0" w:after="0" w:afterAutospacing="0" w:line="360" w:lineRule="auto"/>
        <w:ind w:firstLine="420"/>
        <w:rPr>
          <w:sz w:val="21"/>
          <w:szCs w:val="21"/>
        </w:rPr>
      </w:pPr>
      <w:r>
        <w:rPr>
          <w:rFonts w:hint="eastAsia"/>
          <w:sz w:val="21"/>
          <w:szCs w:val="21"/>
        </w:rPr>
        <w:t xml:space="preserve">3）替代金额的处理程序 </w:t>
      </w:r>
    </w:p>
    <w:p>
      <w:pPr>
        <w:pStyle w:val="7"/>
        <w:spacing w:before="0" w:beforeAutospacing="0" w:after="0" w:afterAutospacing="0" w:line="360" w:lineRule="auto"/>
        <w:ind w:firstLine="420"/>
        <w:rPr>
          <w:sz w:val="21"/>
          <w:szCs w:val="21"/>
        </w:rPr>
      </w:pPr>
      <w:r>
        <w:rPr>
          <w:rFonts w:hint="eastAsia"/>
          <w:sz w:val="21"/>
          <w:szCs w:val="21"/>
        </w:rPr>
        <w:t xml:space="preserve">对可以现金替代而言，申购时收取现金替代溢价的原因是，对于使用现金替代的证券，基金管理人将买入该证券，实际买入价格加上相关交易费用后与该证券调整后T日开盘参考价可能有所差异。为便于操作，基金管理人在申购赎回清单中预先确定申购现金替代溢价比例，并据此收取替代金额。如果预先收取的金额高于基金购入该部分证券的实际成本，则基金管理人将退还多收取的差额；如果预先收取的金额低于基金购入该部分证券的实际成本，则基金管理人将向投资者收取欠缺的差额。 </w:t>
      </w:r>
    </w:p>
    <w:p>
      <w:pPr>
        <w:pStyle w:val="7"/>
        <w:spacing w:before="0" w:beforeAutospacing="0" w:after="0" w:afterAutospacing="0" w:line="360" w:lineRule="auto"/>
        <w:ind w:firstLine="420"/>
        <w:rPr>
          <w:sz w:val="21"/>
          <w:szCs w:val="21"/>
        </w:rPr>
      </w:pPr>
      <w:r>
        <w:rPr>
          <w:rFonts w:hint="eastAsia"/>
          <w:sz w:val="21"/>
          <w:szCs w:val="21"/>
        </w:rPr>
        <w:t xml:space="preserve">对可以现金替代而言，赎回时扣除现金替代折价的原因是，对于使用现金替代的证券，基金管理人将卖出该证券，实际卖出价格扣除相关交易费用后与该证券调整后T日开盘参考价可能有所差异。为便于操作，基金管理人在申购赎回清单中预先确定赎回现金替代折价比例，并据此支付替代金额。如果预先支付的金额低于基金卖出该部分证券的实际收入，则基金管理人将退还少支付的差额；如果预先支付的金额高于基金卖出该部分证券的实际收入，则基金管理人将向投资者收取多支付的差额。 </w:t>
      </w:r>
    </w:p>
    <w:p>
      <w:pPr>
        <w:pStyle w:val="7"/>
        <w:spacing w:before="0" w:beforeAutospacing="0" w:after="0" w:afterAutospacing="0" w:line="360" w:lineRule="auto"/>
        <w:ind w:firstLine="420"/>
        <w:rPr>
          <w:sz w:val="21"/>
          <w:szCs w:val="21"/>
        </w:rPr>
      </w:pPr>
      <w:r>
        <w:rPr>
          <w:rFonts w:hint="eastAsia"/>
          <w:sz w:val="21"/>
          <w:szCs w:val="21"/>
        </w:rPr>
        <w:t xml:space="preserve">基金管理人将自T日起在收到申购交易确认后按照“时间优先、实时申报”的原则依次买入申购被替代的部分证券，在收到赎回交易确认后按照“时间优先、实时申报”的原则依次卖出赎回被替代的部分证券。T日未完成的交易，基金管理人在T日后被替代的成份证券有正常交易的2个交易日（简称为T+2日）内完成上述交易。 </w:t>
      </w:r>
    </w:p>
    <w:p>
      <w:pPr>
        <w:pStyle w:val="7"/>
        <w:spacing w:before="0" w:beforeAutospacing="0" w:after="0" w:afterAutospacing="0" w:line="360" w:lineRule="auto"/>
        <w:ind w:firstLine="420"/>
        <w:rPr>
          <w:sz w:val="21"/>
          <w:szCs w:val="21"/>
        </w:rPr>
      </w:pPr>
      <w:r>
        <w:rPr>
          <w:rFonts w:hint="eastAsia"/>
          <w:sz w:val="21"/>
          <w:szCs w:val="21"/>
        </w:rPr>
        <w:t xml:space="preserve">时间优先的原则为：申购赎回方向相同的，先确认成交者优先于后确认成交者。先后顺序按照上海证券交易所确认申购赎回的时间确定。 </w:t>
      </w:r>
    </w:p>
    <w:p>
      <w:pPr>
        <w:pStyle w:val="7"/>
        <w:spacing w:before="0" w:beforeAutospacing="0" w:after="0" w:afterAutospacing="0" w:line="360" w:lineRule="auto"/>
        <w:ind w:firstLine="420"/>
        <w:rPr>
          <w:sz w:val="21"/>
          <w:szCs w:val="21"/>
        </w:rPr>
      </w:pPr>
      <w:r>
        <w:rPr>
          <w:rFonts w:hint="eastAsia"/>
          <w:sz w:val="21"/>
          <w:szCs w:val="21"/>
        </w:rPr>
        <w:t xml:space="preserve">实时申报的原则为：基金管理人在深圳证券交易所连续竞价期间，根据收到的上海证券交易所申购赎回确认记录，在技术系统允许的情况下实时向深圳证券交易所申报被替代证券的交易指令。 </w:t>
      </w:r>
    </w:p>
    <w:p>
      <w:pPr>
        <w:pStyle w:val="7"/>
        <w:spacing w:before="0" w:beforeAutospacing="0" w:after="0" w:afterAutospacing="0" w:line="360" w:lineRule="auto"/>
        <w:ind w:firstLine="420"/>
        <w:rPr>
          <w:sz w:val="21"/>
          <w:szCs w:val="21"/>
        </w:rPr>
      </w:pPr>
      <w:r>
        <w:rPr>
          <w:rFonts w:hint="eastAsia"/>
          <w:sz w:val="21"/>
          <w:szCs w:val="21"/>
        </w:rPr>
        <w:t xml:space="preserve">T日基金管理人按照“时间优先”的原则依次与申购投资者确定基金应退还投资者或投资者应补交的款项，即按照申购时间顺序，以替代金额与被替代证券的依次实际购入成本（包括买入价格与交易费用）的差额，确定基金应退还申购投资者或申购投资者应补交的款项；按照“时间优先”的原则依次与赎回投资者确定基金应退还投资者或投资者应补交的款项，即按照赎回时间顺序，以替代金额与被替代证券的依次实际卖出收入（卖出价格扣除交易费用）的差额，确定基金应退还赎回投资者或赎回投资者应补交的款项。 </w:t>
      </w:r>
    </w:p>
    <w:p>
      <w:pPr>
        <w:pStyle w:val="7"/>
        <w:spacing w:before="0" w:beforeAutospacing="0" w:after="0" w:afterAutospacing="0" w:line="360" w:lineRule="auto"/>
        <w:ind w:firstLine="420"/>
        <w:rPr>
          <w:sz w:val="21"/>
          <w:szCs w:val="21"/>
        </w:rPr>
      </w:pPr>
      <w:r>
        <w:rPr>
          <w:rFonts w:hint="eastAsia"/>
          <w:sz w:val="21"/>
          <w:szCs w:val="21"/>
        </w:rPr>
        <w:t xml:space="preserve">对于T日因停牌或流动性不足等原因未购入和未卖出的被替代的部分证券，T日后基金管理人可以继续进行被替代证券的买入和卖出，按照前述原则确定基金应退还投资者或投资者应补交的款项。 </w:t>
      </w:r>
    </w:p>
    <w:p>
      <w:pPr>
        <w:pStyle w:val="7"/>
        <w:spacing w:before="0" w:beforeAutospacing="0" w:after="0" w:afterAutospacing="0" w:line="360" w:lineRule="auto"/>
        <w:ind w:firstLine="420"/>
        <w:rPr>
          <w:sz w:val="21"/>
          <w:szCs w:val="21"/>
        </w:rPr>
      </w:pPr>
      <w:r>
        <w:rPr>
          <w:rFonts w:hint="eastAsia"/>
          <w:sz w:val="21"/>
          <w:szCs w:val="21"/>
        </w:rPr>
        <w:t xml:space="preserve">T+2日日终，若已购入全部被替代的证券，则以替代金额与被替代证券的实际购入成本（包括买入价格与交易费用）的差额，确定基金应退还申购投资者或申购投资者应补交的款项；若未能购入全部被替代的证券，则以替代金额与所购入的部分被替代证券实际购入成本（包括买入价格与交易费用）加上按照T+2日收盘价计算的未购入的部分被替代证券价值的差额，确定基金应退还申购投资者或申购投资者应补交的款项。 </w:t>
      </w:r>
    </w:p>
    <w:p>
      <w:pPr>
        <w:pStyle w:val="7"/>
        <w:spacing w:before="0" w:beforeAutospacing="0" w:after="0" w:afterAutospacing="0" w:line="360" w:lineRule="auto"/>
        <w:ind w:firstLine="420"/>
        <w:rPr>
          <w:sz w:val="21"/>
          <w:szCs w:val="21"/>
        </w:rPr>
      </w:pPr>
      <w:r>
        <w:rPr>
          <w:rFonts w:hint="eastAsia"/>
          <w:sz w:val="21"/>
          <w:szCs w:val="21"/>
        </w:rPr>
        <w:t xml:space="preserve">T+2日日终，若已卖出全部被替代的证券，则以替代金额与被替代证券的实际卖出收入（卖出价格扣除交易费用）的差额，确定基金应退还赎回投资者或赎回投资者应补交的款项；若未能卖出全部被替代的证券，以替代金额与所卖出的部分被替代证券实际卖出收入（卖出价格扣除交易费用）加上按照T+2日收盘价计算的未卖出的部分被替代证券价值的差额，确定基金应退还赎回投资者或赎回投资者应补交的款项。 </w:t>
      </w:r>
    </w:p>
    <w:p>
      <w:pPr>
        <w:pStyle w:val="7"/>
        <w:spacing w:before="0" w:beforeAutospacing="0" w:after="0" w:afterAutospacing="0" w:line="360" w:lineRule="auto"/>
        <w:ind w:firstLine="420"/>
        <w:rPr>
          <w:sz w:val="21"/>
          <w:szCs w:val="21"/>
        </w:rPr>
      </w:pPr>
      <w:r>
        <w:rPr>
          <w:rFonts w:hint="eastAsia"/>
          <w:sz w:val="21"/>
          <w:szCs w:val="21"/>
        </w:rPr>
        <w:t xml:space="preserve">特例情况：若自T日起，深圳证券交易所正常交易日已达到20日而该证券正常交易日低于2日，则以替代金额与所购入的部分被替代证券实际购入成本（包括买入价格与交易费用）加上按照最近一次收盘价计算的未购入的部分被替代证券价值的差额，确定基金应退还申购投资者或申购投资者应补交的款项，以替代金额与所卖出的部分被替代证券实际卖出收入（卖出价格扣除交易费用）加上按照最近一次收盘价计算的未卖出的部分被替代证券价值的差额，确定基金应退还赎回投资者或赎回投资者应补交的款项。 </w:t>
      </w:r>
    </w:p>
    <w:p>
      <w:pPr>
        <w:pStyle w:val="7"/>
        <w:spacing w:before="0" w:beforeAutospacing="0" w:after="0" w:afterAutospacing="0" w:line="360" w:lineRule="auto"/>
        <w:ind w:firstLine="420"/>
        <w:rPr>
          <w:sz w:val="21"/>
          <w:szCs w:val="21"/>
        </w:rPr>
      </w:pPr>
      <w:r>
        <w:rPr>
          <w:rFonts w:hint="eastAsia"/>
          <w:sz w:val="21"/>
          <w:szCs w:val="21"/>
        </w:rPr>
        <w:t xml:space="preserve">若现金替代日（T日）后至T+2日（若在特例情况下，则为T日起第20个交易日）期间发生除息、送股（转增）、配股等权益变动，则进行相应调整。 </w:t>
      </w:r>
    </w:p>
    <w:p>
      <w:pPr>
        <w:pStyle w:val="7"/>
        <w:spacing w:before="0" w:beforeAutospacing="0" w:after="0" w:afterAutospacing="0" w:line="360" w:lineRule="auto"/>
        <w:ind w:firstLine="420"/>
        <w:rPr>
          <w:sz w:val="21"/>
          <w:szCs w:val="21"/>
        </w:rPr>
      </w:pPr>
      <w:r>
        <w:rPr>
          <w:rFonts w:hint="eastAsia"/>
          <w:sz w:val="21"/>
          <w:szCs w:val="21"/>
        </w:rPr>
        <w:t xml:space="preserve">T+2日后第1个工作日（若在特例情况下，则为T日起第21个交易日），基金管理人将应退款和补款的明细及汇总数据发送给相关申购赎回代理机构和基金托管人，相关款项的清算交收将于此后3个工作日内完成。 </w:t>
      </w:r>
    </w:p>
    <w:p>
      <w:pPr>
        <w:pStyle w:val="7"/>
        <w:spacing w:before="0" w:beforeAutospacing="0" w:after="0" w:afterAutospacing="0" w:line="360" w:lineRule="auto"/>
        <w:ind w:firstLine="420"/>
        <w:rPr>
          <w:sz w:val="21"/>
          <w:szCs w:val="21"/>
        </w:rPr>
      </w:pPr>
      <w:r>
        <w:rPr>
          <w:rFonts w:hint="eastAsia"/>
          <w:b/>
          <w:bCs/>
          <w:sz w:val="21"/>
          <w:szCs w:val="21"/>
        </w:rPr>
        <w:t>（2）关于必须现金替代</w:t>
      </w:r>
    </w:p>
    <w:p>
      <w:pPr>
        <w:pStyle w:val="7"/>
        <w:spacing w:before="0" w:beforeAutospacing="0" w:after="0" w:afterAutospacing="0" w:line="360" w:lineRule="auto"/>
        <w:ind w:firstLine="420"/>
        <w:rPr>
          <w:sz w:val="21"/>
          <w:szCs w:val="21"/>
        </w:rPr>
      </w:pPr>
      <w:r>
        <w:rPr>
          <w:rFonts w:hint="eastAsia"/>
          <w:sz w:val="21"/>
          <w:szCs w:val="21"/>
        </w:rPr>
        <w:t xml:space="preserve">1）适用情形：必须现金替代的证券一般是由于标的指数调整将被剔除的成份证券以及处于停牌的股票，或因法律法规限制投资的成份证券，或出于保护基金持有人利益等目的基金管理人认为有必要实行必须现金替代的成份证券。 </w:t>
      </w:r>
    </w:p>
    <w:p>
      <w:pPr>
        <w:pStyle w:val="7"/>
        <w:spacing w:before="0" w:beforeAutospacing="0" w:after="0" w:afterAutospacing="0" w:line="360" w:lineRule="auto"/>
        <w:ind w:firstLine="420"/>
        <w:rPr>
          <w:sz w:val="21"/>
          <w:szCs w:val="21"/>
        </w:rPr>
      </w:pPr>
      <w:r>
        <w:rPr>
          <w:rFonts w:hint="eastAsia"/>
          <w:sz w:val="21"/>
          <w:szCs w:val="21"/>
        </w:rPr>
        <w:t xml:space="preserve">2）替代金额：对于必须现金替代的证券，基金管理人将在申购赎回清单中公告替代的一定数量的现金，即“固定替代金额”。固定替代金额的计算方法为申购赎回清单中该证券的数量乘以其T日预估开盘价。 </w:t>
      </w:r>
    </w:p>
    <w:p>
      <w:pPr>
        <w:pStyle w:val="7"/>
        <w:spacing w:before="0" w:beforeAutospacing="0" w:after="0" w:afterAutospacing="0" w:line="360" w:lineRule="auto"/>
        <w:ind w:firstLine="420"/>
        <w:rPr>
          <w:sz w:val="21"/>
          <w:szCs w:val="21"/>
        </w:rPr>
      </w:pPr>
      <w:r>
        <w:rPr>
          <w:rFonts w:hint="eastAsia"/>
          <w:b/>
          <w:bCs/>
          <w:sz w:val="21"/>
          <w:szCs w:val="21"/>
        </w:rPr>
        <w:t>（4）预估现金部分相关内容</w:t>
      </w:r>
    </w:p>
    <w:p>
      <w:pPr>
        <w:pStyle w:val="7"/>
        <w:spacing w:before="0" w:beforeAutospacing="0" w:after="0" w:afterAutospacing="0" w:line="360" w:lineRule="auto"/>
        <w:ind w:firstLine="420"/>
        <w:rPr>
          <w:sz w:val="21"/>
          <w:szCs w:val="21"/>
        </w:rPr>
      </w:pPr>
      <w:r>
        <w:rPr>
          <w:rFonts w:hint="eastAsia"/>
          <w:sz w:val="21"/>
          <w:szCs w:val="21"/>
        </w:rPr>
        <w:t xml:space="preserve">预估现金部分是指，为便于计算基金份额参考净值及申购赎回代理券商预先冻结申请申购、赎回的投资人的相应资金，由基金管理人计算的现金数额。 </w:t>
      </w:r>
    </w:p>
    <w:p>
      <w:pPr>
        <w:pStyle w:val="7"/>
        <w:spacing w:before="0" w:beforeAutospacing="0" w:after="0" w:afterAutospacing="0" w:line="360" w:lineRule="auto"/>
        <w:ind w:firstLine="420"/>
        <w:rPr>
          <w:sz w:val="21"/>
          <w:szCs w:val="21"/>
        </w:rPr>
      </w:pPr>
      <w:r>
        <w:rPr>
          <w:rFonts w:hint="eastAsia"/>
          <w:sz w:val="21"/>
          <w:szCs w:val="21"/>
        </w:rPr>
        <w:t xml:space="preserve">T日申购赎回清单中公告T日预估现金部分，其计算公式为： </w:t>
      </w:r>
    </w:p>
    <w:p>
      <w:pPr>
        <w:pStyle w:val="7"/>
        <w:spacing w:before="0" w:beforeAutospacing="0" w:after="0" w:afterAutospacing="0" w:line="360" w:lineRule="auto"/>
        <w:ind w:firstLine="420"/>
        <w:rPr>
          <w:sz w:val="21"/>
          <w:szCs w:val="21"/>
        </w:rPr>
      </w:pPr>
      <w:r>
        <w:rPr>
          <w:rFonts w:hint="eastAsia"/>
          <w:sz w:val="21"/>
          <w:szCs w:val="21"/>
        </w:rPr>
        <w:t xml:space="preserve">T日预估现金部分＝T—1日最小申购赎回单位的基金资产净值－（申购赎回清单中必须用现金替代的固定替代金额总额＋申购赎回清单中可以用现金替代的所有成份证券的数量与该证券调整后T日开盘参考价乘积之和＋申购赎回清单中禁止用现金替代的所有成份证券的数量与该证券调整后T日开盘参考价乘积之和） </w:t>
      </w:r>
    </w:p>
    <w:p>
      <w:pPr>
        <w:pStyle w:val="7"/>
        <w:spacing w:before="0" w:beforeAutospacing="0" w:after="0" w:afterAutospacing="0" w:line="360" w:lineRule="auto"/>
        <w:ind w:firstLine="420"/>
        <w:rPr>
          <w:sz w:val="21"/>
          <w:szCs w:val="21"/>
        </w:rPr>
      </w:pPr>
      <w:r>
        <w:rPr>
          <w:rFonts w:hint="eastAsia"/>
          <w:sz w:val="21"/>
          <w:szCs w:val="21"/>
        </w:rPr>
        <w:t xml:space="preserve">其中，该证券调整后T日开盘参考价主要根据中证指数有限公司提供的标的指数成份证券的调整后开盘参考价确定。另外，若T日为基金分红除息日，则计算公式中的“T－1日最小申购赎回单位的基金资产净值”需要扣减相应的收益分配数额；若T日为基金篮子份额调整生效日，则计算公式中的‘T-1日最小申购、赎回单位的基金资产净值’需根据调整前后篮子份额按比例计算。 </w:t>
      </w:r>
    </w:p>
    <w:p>
      <w:pPr>
        <w:pStyle w:val="7"/>
        <w:spacing w:before="0" w:beforeAutospacing="0" w:after="0" w:afterAutospacing="0" w:line="360" w:lineRule="auto"/>
        <w:ind w:firstLine="420"/>
        <w:rPr>
          <w:sz w:val="21"/>
          <w:szCs w:val="21"/>
        </w:rPr>
      </w:pPr>
      <w:r>
        <w:rPr>
          <w:rFonts w:hint="eastAsia"/>
          <w:sz w:val="21"/>
          <w:szCs w:val="21"/>
        </w:rPr>
        <w:t xml:space="preserve">预估现金部分的数值可能为正、为负或为零。 </w:t>
      </w:r>
    </w:p>
    <w:p>
      <w:pPr>
        <w:pStyle w:val="7"/>
        <w:spacing w:before="0" w:beforeAutospacing="0" w:after="0" w:afterAutospacing="0" w:line="360" w:lineRule="auto"/>
        <w:ind w:firstLine="420"/>
        <w:rPr>
          <w:sz w:val="21"/>
          <w:szCs w:val="21"/>
        </w:rPr>
      </w:pPr>
      <w:r>
        <w:rPr>
          <w:rFonts w:hint="eastAsia"/>
          <w:b/>
          <w:bCs/>
          <w:sz w:val="21"/>
          <w:szCs w:val="21"/>
        </w:rPr>
        <w:t>（5）现金差额相关内容</w:t>
      </w:r>
    </w:p>
    <w:p>
      <w:pPr>
        <w:pStyle w:val="7"/>
        <w:spacing w:before="0" w:beforeAutospacing="0" w:after="0" w:afterAutospacing="0" w:line="360" w:lineRule="auto"/>
        <w:ind w:firstLine="420"/>
        <w:rPr>
          <w:sz w:val="21"/>
          <w:szCs w:val="21"/>
        </w:rPr>
      </w:pPr>
      <w:r>
        <w:rPr>
          <w:rFonts w:hint="eastAsia"/>
          <w:sz w:val="21"/>
          <w:szCs w:val="21"/>
        </w:rPr>
        <w:t xml:space="preserve">T日现金差额在T＋1日的申购赎回清单中公告，其计算公式为： </w:t>
      </w:r>
    </w:p>
    <w:p>
      <w:pPr>
        <w:pStyle w:val="7"/>
        <w:spacing w:before="0" w:beforeAutospacing="0" w:after="0" w:afterAutospacing="0" w:line="360" w:lineRule="auto"/>
        <w:ind w:firstLine="420"/>
        <w:rPr>
          <w:sz w:val="21"/>
          <w:szCs w:val="21"/>
        </w:rPr>
      </w:pPr>
      <w:r>
        <w:rPr>
          <w:rFonts w:hint="eastAsia"/>
          <w:sz w:val="21"/>
          <w:szCs w:val="21"/>
        </w:rPr>
        <w:t xml:space="preserve">T日现金差额＝T日最小申购赎回单位的基金资产净值－（申购赎回清单中必须用现金替代的固定替代金额总额＋申购赎回清单中可以用现金替代的所有成份证券的数量与其T日收盘价乘积之和＋申购赎回清单中禁止用现金替代的所有成份证券的数量与其T日收盘价乘积之和） </w:t>
      </w:r>
    </w:p>
    <w:p>
      <w:pPr>
        <w:pStyle w:val="7"/>
        <w:spacing w:before="0" w:beforeAutospacing="0" w:after="0" w:afterAutospacing="0" w:line="360" w:lineRule="auto"/>
        <w:ind w:firstLine="420"/>
        <w:rPr>
          <w:sz w:val="21"/>
          <w:szCs w:val="21"/>
        </w:rPr>
      </w:pPr>
      <w:r>
        <w:rPr>
          <w:rFonts w:hint="eastAsia"/>
          <w:sz w:val="21"/>
          <w:szCs w:val="21"/>
        </w:rPr>
        <w:t xml:space="preserve">T日投资人申购、赎回基金份额时，需按T＋1日公告的T日现金差额进行资金的清算交收。现金差额的数值可能为正、为负或为零。在投资人申购时，如现金差额为正数，则投资人应根据其申购的基金份额支付相应的现金，如现金差额为负数，则投资人将根据其申购的基金份额获得相应的现金；在投资人赎回时，如现金差额为正数，则投资人将根据其赎回的基金份额获得相应的现金，如现金差额为负数，则投资人应根据其赎回的基金份额支付相应的现金。 </w:t>
      </w:r>
    </w:p>
    <w:p>
      <w:pPr>
        <w:pStyle w:val="7"/>
        <w:spacing w:before="0" w:beforeAutospacing="0" w:after="0" w:afterAutospacing="0" w:line="360" w:lineRule="auto"/>
        <w:ind w:firstLine="420"/>
        <w:rPr>
          <w:sz w:val="21"/>
          <w:szCs w:val="21"/>
        </w:rPr>
      </w:pPr>
      <w:r>
        <w:rPr>
          <w:rFonts w:hint="eastAsia"/>
          <w:b/>
          <w:bCs/>
          <w:sz w:val="21"/>
          <w:szCs w:val="21"/>
        </w:rPr>
        <w:t>（6）申购赎回清单的格式</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6"/>
        <w:gridCol w:w="1036"/>
        <w:gridCol w:w="793"/>
        <w:gridCol w:w="433"/>
        <w:gridCol w:w="979"/>
        <w:gridCol w:w="1039"/>
        <w:gridCol w:w="1039"/>
        <w:gridCol w:w="1186"/>
        <w:gridCol w:w="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9"/>
            <w:shd w:val="clear" w:color="auto" w:fill="auto"/>
          </w:tcPr>
          <w:p>
            <w:pPr>
              <w:pStyle w:val="7"/>
            </w:pPr>
            <w:r>
              <w:rPr>
                <w:rFonts w:hint="eastAsia"/>
              </w:rPr>
              <w:t xml:space="preserve">基本信息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3"/>
            <w:shd w:val="clear" w:color="auto" w:fill="auto"/>
          </w:tcPr>
          <w:p>
            <w:pPr>
              <w:pStyle w:val="7"/>
            </w:pPr>
            <w:r>
              <w:rPr>
                <w:rFonts w:hint="eastAsia"/>
              </w:rPr>
              <w:t xml:space="preserve">最新公告日期   </w:t>
            </w:r>
          </w:p>
        </w:tc>
        <w:tc>
          <w:tcPr>
            <w:tcW w:w="7755" w:type="dxa"/>
            <w:gridSpan w:val="6"/>
            <w:shd w:val="clear" w:color="auto" w:fill="auto"/>
          </w:tcPr>
          <w:p>
            <w:pPr>
              <w:pStyle w:val="7"/>
            </w:pPr>
            <w:r>
              <w:rPr>
                <w:rFonts w:hint="eastAsia"/>
              </w:rPr>
              <w:t xml:space="preserve">20XX年 月 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3"/>
            <w:shd w:val="clear" w:color="auto" w:fill="auto"/>
          </w:tcPr>
          <w:p>
            <w:pPr>
              <w:pStyle w:val="7"/>
            </w:pPr>
            <w:r>
              <w:rPr>
                <w:rFonts w:hint="eastAsia"/>
              </w:rPr>
              <w:t xml:space="preserve">基金名称   </w:t>
            </w:r>
          </w:p>
        </w:tc>
        <w:tc>
          <w:tcPr>
            <w:tcW w:w="7755" w:type="dxa"/>
            <w:gridSpan w:val="6"/>
            <w:shd w:val="clear" w:color="auto" w:fill="auto"/>
          </w:tcPr>
          <w:p>
            <w:pPr>
              <w:pStyle w:val="7"/>
            </w:pPr>
            <w:r>
              <w:rPr>
                <w:rFonts w:hint="eastAsia"/>
              </w:rPr>
              <w:t xml:space="preserve">博时中证全指自由现金流交易型开放式指数证券投资基金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3"/>
            <w:shd w:val="clear" w:color="auto" w:fill="auto"/>
          </w:tcPr>
          <w:p>
            <w:pPr>
              <w:pStyle w:val="7"/>
            </w:pPr>
            <w:r>
              <w:rPr>
                <w:rFonts w:hint="eastAsia"/>
              </w:rPr>
              <w:t xml:space="preserve">基金管理公司名称   </w:t>
            </w:r>
          </w:p>
        </w:tc>
        <w:tc>
          <w:tcPr>
            <w:tcW w:w="7755" w:type="dxa"/>
            <w:gridSpan w:val="6"/>
            <w:shd w:val="clear" w:color="auto" w:fill="auto"/>
          </w:tcPr>
          <w:p>
            <w:pPr>
              <w:pStyle w:val="7"/>
            </w:pPr>
            <w:r>
              <w:rPr>
                <w:rFonts w:hint="eastAsia"/>
              </w:rPr>
              <w:t xml:space="preserve">博时基金管理有限公司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3"/>
            <w:shd w:val="clear" w:color="auto" w:fill="auto"/>
          </w:tcPr>
          <w:p>
            <w:pPr>
              <w:pStyle w:val="7"/>
            </w:pPr>
            <w:r>
              <w:rPr>
                <w:rFonts w:hint="eastAsia"/>
              </w:rPr>
              <w:t xml:space="preserve">基金代码   </w:t>
            </w:r>
          </w:p>
        </w:tc>
        <w:tc>
          <w:tcPr>
            <w:tcW w:w="7755" w:type="dxa"/>
            <w:gridSpan w:val="6"/>
            <w:shd w:val="clear" w:color="auto" w:fill="auto"/>
          </w:tcPr>
          <w:p>
            <w:pPr>
              <w:pStyle w:val="7"/>
            </w:pPr>
            <w:r>
              <w:rPr>
                <w:rFonts w:hint="eastAsia"/>
              </w:rPr>
              <w:t xml:space="preserve">563830 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9"/>
            <w:shd w:val="clear" w:color="auto" w:fill="auto"/>
          </w:tcPr>
          <w:p>
            <w:pPr>
              <w:pStyle w:val="7"/>
            </w:pPr>
            <w:r>
              <w:rPr>
                <w:rFonts w:hint="eastAsia"/>
              </w:rPr>
              <w:t xml:space="preserve">T－1日内容信息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3"/>
            <w:shd w:val="clear" w:color="auto" w:fill="auto"/>
          </w:tcPr>
          <w:p>
            <w:pPr>
              <w:pStyle w:val="7"/>
            </w:pPr>
            <w:r>
              <w:rPr>
                <w:rFonts w:hint="eastAsia"/>
              </w:rPr>
              <w:t xml:space="preserve">现金差额（单位：元）   </w:t>
            </w:r>
          </w:p>
        </w:tc>
        <w:tc>
          <w:tcPr>
            <w:tcW w:w="0" w:type="auto"/>
            <w:gridSpan w:val="6"/>
            <w:shd w:val="clear" w:color="auto" w:fill="auto"/>
          </w:tcPr>
          <w:p>
            <w:pPr>
              <w:pStyle w:val="7"/>
            </w:pPr>
            <w:r>
              <w:rPr>
                <w:rFonts w:hint="eastAsia"/>
              </w:rPr>
              <w:t xml:space="preserve">XXXX.XX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3"/>
            <w:shd w:val="clear" w:color="auto" w:fill="auto"/>
          </w:tcPr>
          <w:p>
            <w:pPr>
              <w:pStyle w:val="7"/>
            </w:pPr>
            <w:r>
              <w:rPr>
                <w:rFonts w:hint="eastAsia"/>
              </w:rPr>
              <w:t xml:space="preserve">最小申购、赎回单位净值（单位：元）   </w:t>
            </w:r>
          </w:p>
        </w:tc>
        <w:tc>
          <w:tcPr>
            <w:tcW w:w="0" w:type="auto"/>
            <w:gridSpan w:val="6"/>
            <w:shd w:val="clear" w:color="auto" w:fill="auto"/>
          </w:tcPr>
          <w:p>
            <w:pPr>
              <w:pStyle w:val="7"/>
            </w:pPr>
            <w:r>
              <w:rPr>
                <w:rFonts w:hint="eastAsia"/>
              </w:rPr>
              <w:t xml:space="preserve">XXXX.XX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3"/>
            <w:shd w:val="clear" w:color="auto" w:fill="auto"/>
          </w:tcPr>
          <w:p>
            <w:pPr>
              <w:pStyle w:val="7"/>
            </w:pPr>
            <w:r>
              <w:rPr>
                <w:rFonts w:hint="eastAsia"/>
              </w:rPr>
              <w:t xml:space="preserve">基金份额净值（单位：元）   </w:t>
            </w:r>
          </w:p>
        </w:tc>
        <w:tc>
          <w:tcPr>
            <w:tcW w:w="0" w:type="auto"/>
            <w:gridSpan w:val="6"/>
            <w:shd w:val="clear" w:color="auto" w:fill="auto"/>
          </w:tcPr>
          <w:p>
            <w:pPr>
              <w:pStyle w:val="7"/>
            </w:pPr>
            <w:r>
              <w:rPr>
                <w:rFonts w:hint="eastAsia"/>
              </w:rPr>
              <w:t xml:space="preserve">X.XXXX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9"/>
            <w:shd w:val="clear" w:color="auto" w:fill="auto"/>
          </w:tcPr>
          <w:p>
            <w:pPr>
              <w:pStyle w:val="7"/>
            </w:pPr>
            <w:r>
              <w:rPr>
                <w:rFonts w:hint="eastAsia"/>
              </w:rPr>
              <w:t xml:space="preserve">T日内容信息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10" w:type="dxa"/>
            <w:gridSpan w:val="3"/>
            <w:shd w:val="clear" w:color="auto" w:fill="auto"/>
          </w:tcPr>
          <w:p>
            <w:pPr>
              <w:pStyle w:val="7"/>
            </w:pPr>
            <w:r>
              <w:rPr>
                <w:rFonts w:hint="eastAsia"/>
              </w:rPr>
              <w:t xml:space="preserve">最小申购、赎回单位的预估现金部分（单位：元）   </w:t>
            </w:r>
          </w:p>
        </w:tc>
        <w:tc>
          <w:tcPr>
            <w:tcW w:w="8655" w:type="dxa"/>
            <w:gridSpan w:val="6"/>
            <w:shd w:val="clear" w:color="auto" w:fill="auto"/>
          </w:tcPr>
          <w:p>
            <w:pPr>
              <w:pStyle w:val="7"/>
            </w:pPr>
            <w:r>
              <w:rPr>
                <w:rFonts w:hint="eastAsia"/>
              </w:rPr>
              <w:t xml:space="preserve">XXXX.XX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10" w:type="dxa"/>
            <w:gridSpan w:val="3"/>
            <w:shd w:val="clear" w:color="auto" w:fill="auto"/>
          </w:tcPr>
          <w:p>
            <w:pPr>
              <w:pStyle w:val="7"/>
            </w:pPr>
            <w:r>
              <w:rPr>
                <w:rFonts w:hint="eastAsia"/>
              </w:rPr>
              <w:t xml:space="preserve">现金替代比例上限   </w:t>
            </w:r>
          </w:p>
        </w:tc>
        <w:tc>
          <w:tcPr>
            <w:tcW w:w="8655" w:type="dxa"/>
            <w:gridSpan w:val="6"/>
            <w:shd w:val="clear" w:color="auto" w:fill="auto"/>
          </w:tcPr>
          <w:p>
            <w:pPr>
              <w:pStyle w:val="7"/>
            </w:pPr>
            <w:r>
              <w:rPr>
                <w:rFonts w:hint="eastAsia"/>
              </w:rPr>
              <w:t xml:space="preserve">XXX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10" w:type="dxa"/>
            <w:gridSpan w:val="3"/>
            <w:shd w:val="clear" w:color="auto" w:fill="auto"/>
          </w:tcPr>
          <w:p>
            <w:pPr>
              <w:pStyle w:val="7"/>
            </w:pPr>
            <w:r>
              <w:rPr>
                <w:rFonts w:hint="eastAsia"/>
              </w:rPr>
              <w:t xml:space="preserve">当日累计可申购的基金份额上限   </w:t>
            </w:r>
          </w:p>
        </w:tc>
        <w:tc>
          <w:tcPr>
            <w:tcW w:w="8655" w:type="dxa"/>
            <w:gridSpan w:val="6"/>
            <w:shd w:val="clear" w:color="auto" w:fill="auto"/>
          </w:tcPr>
          <w:p>
            <w:pPr>
              <w:pStyle w:val="7"/>
            </w:pPr>
            <w:r>
              <w:rPr>
                <w:rFonts w:hint="eastAsia"/>
              </w:rPr>
              <w:t xml:space="preserve">XXX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10" w:type="dxa"/>
            <w:gridSpan w:val="3"/>
            <w:shd w:val="clear" w:color="auto" w:fill="auto"/>
          </w:tcPr>
          <w:p>
            <w:pPr>
              <w:pStyle w:val="7"/>
            </w:pPr>
            <w:r>
              <w:rPr>
                <w:rFonts w:hint="eastAsia"/>
              </w:rPr>
              <w:t xml:space="preserve">当日累计可赎回的基金份额上限   </w:t>
            </w:r>
          </w:p>
        </w:tc>
        <w:tc>
          <w:tcPr>
            <w:tcW w:w="8655" w:type="dxa"/>
            <w:gridSpan w:val="6"/>
            <w:shd w:val="clear" w:color="auto" w:fill="auto"/>
          </w:tcPr>
          <w:p>
            <w:pPr>
              <w:pStyle w:val="7"/>
            </w:pPr>
            <w:r>
              <w:rPr>
                <w:rFonts w:hint="eastAsia"/>
              </w:rPr>
              <w:t xml:space="preserve">XXX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10" w:type="dxa"/>
            <w:gridSpan w:val="3"/>
            <w:shd w:val="clear" w:color="auto" w:fill="auto"/>
          </w:tcPr>
          <w:p>
            <w:pPr>
              <w:pStyle w:val="7"/>
            </w:pPr>
            <w:r>
              <w:rPr>
                <w:rFonts w:hint="eastAsia"/>
              </w:rPr>
              <w:t xml:space="preserve">当日净申购的基金份额上限   </w:t>
            </w:r>
          </w:p>
        </w:tc>
        <w:tc>
          <w:tcPr>
            <w:tcW w:w="8655" w:type="dxa"/>
            <w:gridSpan w:val="6"/>
            <w:shd w:val="clear" w:color="auto" w:fill="auto"/>
          </w:tcPr>
          <w:p>
            <w:pPr>
              <w:pStyle w:val="7"/>
            </w:pPr>
            <w:r>
              <w:rPr>
                <w:rFonts w:hint="eastAsia"/>
              </w:rPr>
              <w:t xml:space="preserve">XXX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10" w:type="dxa"/>
            <w:gridSpan w:val="3"/>
            <w:shd w:val="clear" w:color="auto" w:fill="auto"/>
          </w:tcPr>
          <w:p>
            <w:pPr>
              <w:pStyle w:val="7"/>
            </w:pPr>
            <w:r>
              <w:rPr>
                <w:rFonts w:hint="eastAsia"/>
              </w:rPr>
              <w:t xml:space="preserve">当日净赎回的基金份额上限   </w:t>
            </w:r>
          </w:p>
        </w:tc>
        <w:tc>
          <w:tcPr>
            <w:tcW w:w="8655" w:type="dxa"/>
            <w:gridSpan w:val="6"/>
            <w:shd w:val="clear" w:color="auto" w:fill="auto"/>
          </w:tcPr>
          <w:p>
            <w:pPr>
              <w:pStyle w:val="7"/>
            </w:pPr>
            <w:r>
              <w:rPr>
                <w:rFonts w:hint="eastAsia"/>
              </w:rPr>
              <w:t xml:space="preserve">XXX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10" w:type="dxa"/>
            <w:gridSpan w:val="3"/>
            <w:shd w:val="clear" w:color="auto" w:fill="auto"/>
          </w:tcPr>
          <w:p>
            <w:pPr>
              <w:pStyle w:val="7"/>
            </w:pPr>
            <w:r>
              <w:rPr>
                <w:rFonts w:hint="eastAsia"/>
              </w:rPr>
              <w:t xml:space="preserve">单个证券账户当日净申购的基金份额上限   </w:t>
            </w:r>
          </w:p>
        </w:tc>
        <w:tc>
          <w:tcPr>
            <w:tcW w:w="8655" w:type="dxa"/>
            <w:gridSpan w:val="6"/>
            <w:shd w:val="clear" w:color="auto" w:fill="auto"/>
          </w:tcPr>
          <w:p>
            <w:pPr>
              <w:pStyle w:val="7"/>
            </w:pPr>
            <w:r>
              <w:rPr>
                <w:rFonts w:hint="eastAsia"/>
              </w:rPr>
              <w:t xml:space="preserve">XXX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10" w:type="dxa"/>
            <w:gridSpan w:val="3"/>
            <w:shd w:val="clear" w:color="auto" w:fill="auto"/>
          </w:tcPr>
          <w:p>
            <w:pPr>
              <w:pStyle w:val="7"/>
            </w:pPr>
            <w:r>
              <w:rPr>
                <w:rFonts w:hint="eastAsia"/>
              </w:rPr>
              <w:t xml:space="preserve">单个证券账户当日净赎回的基金份额上限  </w:t>
            </w:r>
          </w:p>
        </w:tc>
        <w:tc>
          <w:tcPr>
            <w:tcW w:w="8655" w:type="dxa"/>
            <w:gridSpan w:val="6"/>
            <w:shd w:val="clear" w:color="auto" w:fill="auto"/>
          </w:tcPr>
          <w:p>
            <w:pPr>
              <w:pStyle w:val="7"/>
            </w:pPr>
            <w:r>
              <w:rPr>
                <w:rFonts w:hint="eastAsia"/>
              </w:rPr>
              <w:t xml:space="preserve">XXX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10" w:type="dxa"/>
            <w:gridSpan w:val="3"/>
            <w:shd w:val="clear" w:color="auto" w:fill="auto"/>
          </w:tcPr>
          <w:p>
            <w:pPr>
              <w:pStyle w:val="7"/>
            </w:pPr>
            <w:r>
              <w:rPr>
                <w:rFonts w:hint="eastAsia"/>
              </w:rPr>
              <w:t xml:space="preserve">单个证券账户当日累计可申购的基金份额上限  </w:t>
            </w:r>
          </w:p>
        </w:tc>
        <w:tc>
          <w:tcPr>
            <w:tcW w:w="8655" w:type="dxa"/>
            <w:gridSpan w:val="6"/>
            <w:shd w:val="clear" w:color="auto" w:fill="auto"/>
          </w:tcPr>
          <w:p>
            <w:pPr>
              <w:pStyle w:val="7"/>
            </w:pPr>
            <w:r>
              <w:rPr>
                <w:rFonts w:hint="eastAsia"/>
              </w:rPr>
              <w:t xml:space="preserve">XXX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10" w:type="dxa"/>
            <w:gridSpan w:val="3"/>
            <w:shd w:val="clear" w:color="auto" w:fill="auto"/>
          </w:tcPr>
          <w:p>
            <w:pPr>
              <w:pStyle w:val="7"/>
            </w:pPr>
            <w:r>
              <w:rPr>
                <w:rFonts w:hint="eastAsia"/>
              </w:rPr>
              <w:t xml:space="preserve">单个证券账户当日累计可赎回的基金份额上限  </w:t>
            </w:r>
          </w:p>
        </w:tc>
        <w:tc>
          <w:tcPr>
            <w:tcW w:w="8655" w:type="dxa"/>
            <w:gridSpan w:val="6"/>
            <w:shd w:val="clear" w:color="auto" w:fill="auto"/>
          </w:tcPr>
          <w:p>
            <w:pPr>
              <w:pStyle w:val="7"/>
            </w:pPr>
            <w:r>
              <w:rPr>
                <w:rFonts w:hint="eastAsia"/>
              </w:rPr>
              <w:t xml:space="preserve">XXX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10" w:type="dxa"/>
            <w:gridSpan w:val="3"/>
            <w:shd w:val="clear" w:color="auto" w:fill="auto"/>
          </w:tcPr>
          <w:p>
            <w:pPr>
              <w:pStyle w:val="7"/>
            </w:pPr>
            <w:r>
              <w:rPr>
                <w:rFonts w:hint="eastAsia"/>
              </w:rPr>
              <w:t xml:space="preserve">是否需要公布IOPV  </w:t>
            </w:r>
          </w:p>
        </w:tc>
        <w:tc>
          <w:tcPr>
            <w:tcW w:w="8655" w:type="dxa"/>
            <w:gridSpan w:val="6"/>
            <w:shd w:val="clear" w:color="auto" w:fill="auto"/>
          </w:tcPr>
          <w:p>
            <w:pPr>
              <w:pStyle w:val="7"/>
            </w:pPr>
            <w:r>
              <w:rPr>
                <w:rFonts w:hint="eastAsia"/>
              </w:rPr>
              <w:t xml:space="preserve">XXX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10" w:type="dxa"/>
            <w:gridSpan w:val="3"/>
            <w:shd w:val="clear" w:color="auto" w:fill="auto"/>
          </w:tcPr>
          <w:p>
            <w:pPr>
              <w:pStyle w:val="7"/>
            </w:pPr>
            <w:r>
              <w:rPr>
                <w:rFonts w:hint="eastAsia"/>
              </w:rPr>
              <w:t xml:space="preserve">最小申购、赎回单位（单位：份）  </w:t>
            </w:r>
          </w:p>
        </w:tc>
        <w:tc>
          <w:tcPr>
            <w:tcW w:w="8655" w:type="dxa"/>
            <w:gridSpan w:val="6"/>
            <w:shd w:val="clear" w:color="auto" w:fill="auto"/>
          </w:tcPr>
          <w:p>
            <w:pPr>
              <w:pStyle w:val="7"/>
            </w:pPr>
            <w:r>
              <w:rPr>
                <w:rFonts w:hint="eastAsia"/>
              </w:rPr>
              <w:t xml:space="preserve">XXX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10" w:type="dxa"/>
            <w:gridSpan w:val="3"/>
            <w:shd w:val="clear" w:color="auto" w:fill="auto"/>
          </w:tcPr>
          <w:p>
            <w:pPr>
              <w:pStyle w:val="7"/>
            </w:pPr>
            <w:r>
              <w:rPr>
                <w:rFonts w:hint="eastAsia"/>
              </w:rPr>
              <w:t xml:space="preserve">申购赎回的允许情况  </w:t>
            </w:r>
          </w:p>
        </w:tc>
        <w:tc>
          <w:tcPr>
            <w:tcW w:w="8655" w:type="dxa"/>
            <w:gridSpan w:val="6"/>
            <w:shd w:val="clear" w:color="auto" w:fill="auto"/>
          </w:tcPr>
          <w:p>
            <w:pPr>
              <w:pStyle w:val="7"/>
            </w:pPr>
            <w:r>
              <w:rPr>
                <w:rFonts w:hint="eastAsia"/>
              </w:rPr>
              <w:t xml:space="preserve">XXX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10" w:type="dxa"/>
            <w:gridSpan w:val="3"/>
            <w:shd w:val="clear" w:color="auto" w:fill="auto"/>
          </w:tcPr>
          <w:p>
            <w:pPr>
              <w:pStyle w:val="7"/>
            </w:pPr>
            <w:r>
              <w:rPr>
                <w:rFonts w:hint="eastAsia"/>
              </w:rPr>
              <w:t xml:space="preserve">申购赎回模式  </w:t>
            </w:r>
          </w:p>
        </w:tc>
        <w:tc>
          <w:tcPr>
            <w:tcW w:w="8655" w:type="dxa"/>
            <w:gridSpan w:val="6"/>
            <w:shd w:val="clear" w:color="auto" w:fill="auto"/>
          </w:tcPr>
          <w:p>
            <w:pPr>
              <w:pStyle w:val="7"/>
            </w:pPr>
            <w:r>
              <w:rPr>
                <w:rFonts w:hint="eastAsia"/>
              </w:rPr>
              <w:t xml:space="preserve">XXX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9"/>
            <w:shd w:val="clear" w:color="auto" w:fill="auto"/>
          </w:tcPr>
          <w:p>
            <w:pPr>
              <w:pStyle w:val="7"/>
            </w:pPr>
            <w:r>
              <w:rPr>
                <w:rFonts w:hint="eastAsia"/>
              </w:rPr>
              <w:t xml:space="preserve">成份股信息内容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5" w:type="dxa"/>
            <w:shd w:val="clear" w:color="auto" w:fill="auto"/>
          </w:tcPr>
          <w:p>
            <w:pPr>
              <w:pStyle w:val="7"/>
            </w:pPr>
            <w:r>
              <w:rPr>
                <w:rFonts w:hint="eastAsia"/>
              </w:rPr>
              <w:t xml:space="preserve">证券代码   </w:t>
            </w:r>
          </w:p>
        </w:tc>
        <w:tc>
          <w:tcPr>
            <w:tcW w:w="1665" w:type="dxa"/>
            <w:shd w:val="clear" w:color="auto" w:fill="auto"/>
          </w:tcPr>
          <w:p>
            <w:pPr>
              <w:pStyle w:val="7"/>
            </w:pPr>
            <w:r>
              <w:rPr>
                <w:rFonts w:hint="eastAsia"/>
              </w:rPr>
              <w:t xml:space="preserve">证券简称   </w:t>
            </w:r>
          </w:p>
        </w:tc>
        <w:tc>
          <w:tcPr>
            <w:tcW w:w="1545" w:type="dxa"/>
            <w:gridSpan w:val="2"/>
            <w:shd w:val="clear" w:color="auto" w:fill="auto"/>
          </w:tcPr>
          <w:p>
            <w:pPr>
              <w:pStyle w:val="7"/>
            </w:pPr>
            <w:r>
              <w:rPr>
                <w:rFonts w:hint="eastAsia"/>
              </w:rPr>
              <w:t xml:space="preserve">股票数量  </w:t>
            </w:r>
          </w:p>
          <w:p>
            <w:pPr>
              <w:pStyle w:val="7"/>
            </w:pPr>
            <w:r>
              <w:rPr>
                <w:rFonts w:hint="eastAsia"/>
              </w:rPr>
              <w:t xml:space="preserve">（股）  </w:t>
            </w:r>
          </w:p>
        </w:tc>
        <w:tc>
          <w:tcPr>
            <w:tcW w:w="1365" w:type="dxa"/>
            <w:shd w:val="clear" w:color="auto" w:fill="auto"/>
          </w:tcPr>
          <w:p>
            <w:pPr>
              <w:pStyle w:val="7"/>
            </w:pPr>
            <w:r>
              <w:rPr>
                <w:rFonts w:hint="eastAsia"/>
              </w:rPr>
              <w:t xml:space="preserve">现金替代标志   </w:t>
            </w:r>
          </w:p>
        </w:tc>
        <w:tc>
          <w:tcPr>
            <w:tcW w:w="1965" w:type="dxa"/>
            <w:shd w:val="clear" w:color="auto" w:fill="auto"/>
          </w:tcPr>
          <w:p>
            <w:pPr>
              <w:pStyle w:val="7"/>
            </w:pPr>
            <w:r>
              <w:rPr>
                <w:rFonts w:hint="eastAsia"/>
              </w:rPr>
              <w:t xml:space="preserve">申购现金替  </w:t>
            </w:r>
          </w:p>
          <w:p>
            <w:pPr>
              <w:pStyle w:val="7"/>
            </w:pPr>
            <w:r>
              <w:rPr>
                <w:rFonts w:hint="eastAsia"/>
              </w:rPr>
              <w:t xml:space="preserve">代溢价比例   </w:t>
            </w:r>
          </w:p>
        </w:tc>
        <w:tc>
          <w:tcPr>
            <w:tcW w:w="1965" w:type="dxa"/>
            <w:shd w:val="clear" w:color="auto" w:fill="auto"/>
          </w:tcPr>
          <w:p>
            <w:pPr>
              <w:pStyle w:val="7"/>
            </w:pPr>
            <w:r>
              <w:rPr>
                <w:rFonts w:hint="eastAsia"/>
              </w:rPr>
              <w:t xml:space="preserve">赎回现金替  </w:t>
            </w:r>
          </w:p>
          <w:p>
            <w:pPr>
              <w:pStyle w:val="7"/>
            </w:pPr>
            <w:r>
              <w:rPr>
                <w:rFonts w:hint="eastAsia"/>
              </w:rPr>
              <w:t xml:space="preserve">代折价比例   </w:t>
            </w:r>
          </w:p>
        </w:tc>
        <w:tc>
          <w:tcPr>
            <w:tcW w:w="1275" w:type="dxa"/>
            <w:shd w:val="clear" w:color="auto" w:fill="auto"/>
          </w:tcPr>
          <w:p>
            <w:pPr>
              <w:pStyle w:val="7"/>
            </w:pPr>
            <w:r>
              <w:rPr>
                <w:rFonts w:hint="eastAsia"/>
              </w:rPr>
              <w:t xml:space="preserve">替代金额（单  </w:t>
            </w:r>
          </w:p>
          <w:p>
            <w:pPr>
              <w:pStyle w:val="7"/>
            </w:pPr>
            <w:r>
              <w:rPr>
                <w:rFonts w:hint="eastAsia"/>
              </w:rPr>
              <w:t xml:space="preserve">位：人民币元）   </w:t>
            </w:r>
          </w:p>
        </w:tc>
        <w:tc>
          <w:tcPr>
            <w:tcW w:w="1275" w:type="dxa"/>
            <w:shd w:val="clear" w:color="auto" w:fill="auto"/>
          </w:tcPr>
          <w:p>
            <w:pPr>
              <w:pStyle w:val="7"/>
            </w:pPr>
            <w:r>
              <w:rPr>
                <w:rFonts w:hint="eastAsia"/>
              </w:rPr>
              <w:t xml:space="preserve">挂牌   </w:t>
            </w:r>
          </w:p>
          <w:p>
            <w:pPr>
              <w:pStyle w:val="7"/>
            </w:pPr>
            <w:r>
              <w:rPr>
                <w:rFonts w:hint="eastAsia"/>
              </w:rPr>
              <w:t xml:space="preserve">市场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5" w:type="dxa"/>
            <w:shd w:val="clear" w:color="auto" w:fill="auto"/>
          </w:tcPr>
          <w:p>
            <w:pPr>
              <w:rPr>
                <w:rFonts w:ascii="宋体" w:hAnsi="宋体" w:eastAsia="宋体" w:cs="宋体"/>
                <w:sz w:val="24"/>
                <w:szCs w:val="24"/>
              </w:rPr>
            </w:pPr>
          </w:p>
        </w:tc>
        <w:tc>
          <w:tcPr>
            <w:tcW w:w="1665" w:type="dxa"/>
            <w:shd w:val="clear" w:color="auto" w:fill="auto"/>
          </w:tcPr>
          <w:p>
            <w:pPr>
              <w:rPr>
                <w:rFonts w:ascii="宋体" w:hAnsi="宋体" w:eastAsia="宋体" w:cs="宋体"/>
                <w:sz w:val="24"/>
                <w:szCs w:val="24"/>
              </w:rPr>
            </w:pPr>
          </w:p>
        </w:tc>
        <w:tc>
          <w:tcPr>
            <w:tcW w:w="1545" w:type="dxa"/>
            <w:gridSpan w:val="2"/>
            <w:shd w:val="clear" w:color="auto" w:fill="auto"/>
          </w:tcPr>
          <w:p>
            <w:pPr>
              <w:rPr>
                <w:rFonts w:ascii="宋体" w:hAnsi="宋体" w:eastAsia="宋体" w:cs="宋体"/>
                <w:sz w:val="24"/>
                <w:szCs w:val="24"/>
              </w:rPr>
            </w:pPr>
          </w:p>
        </w:tc>
        <w:tc>
          <w:tcPr>
            <w:tcW w:w="1365" w:type="dxa"/>
            <w:shd w:val="clear" w:color="auto" w:fill="auto"/>
          </w:tcPr>
          <w:p>
            <w:pPr>
              <w:rPr>
                <w:rFonts w:ascii="宋体" w:hAnsi="宋体" w:eastAsia="宋体" w:cs="宋体"/>
                <w:sz w:val="24"/>
                <w:szCs w:val="24"/>
              </w:rPr>
            </w:pPr>
          </w:p>
        </w:tc>
        <w:tc>
          <w:tcPr>
            <w:tcW w:w="1965" w:type="dxa"/>
            <w:shd w:val="clear" w:color="auto" w:fill="auto"/>
          </w:tcPr>
          <w:p>
            <w:pPr>
              <w:rPr>
                <w:rFonts w:ascii="宋体" w:hAnsi="宋体" w:eastAsia="宋体" w:cs="宋体"/>
                <w:sz w:val="24"/>
                <w:szCs w:val="24"/>
              </w:rPr>
            </w:pPr>
          </w:p>
        </w:tc>
        <w:tc>
          <w:tcPr>
            <w:tcW w:w="1965" w:type="dxa"/>
            <w:shd w:val="clear" w:color="auto" w:fill="auto"/>
          </w:tcPr>
          <w:p>
            <w:pPr>
              <w:rPr>
                <w:rFonts w:ascii="宋体" w:hAnsi="宋体" w:eastAsia="宋体" w:cs="宋体"/>
                <w:sz w:val="24"/>
                <w:szCs w:val="24"/>
              </w:rPr>
            </w:pPr>
          </w:p>
        </w:tc>
        <w:tc>
          <w:tcPr>
            <w:tcW w:w="1275" w:type="dxa"/>
            <w:shd w:val="clear" w:color="auto" w:fill="auto"/>
          </w:tcPr>
          <w:p>
            <w:pPr>
              <w:rPr>
                <w:rFonts w:ascii="宋体" w:hAnsi="宋体" w:eastAsia="宋体" w:cs="宋体"/>
                <w:sz w:val="24"/>
                <w:szCs w:val="24"/>
              </w:rPr>
            </w:pPr>
          </w:p>
        </w:tc>
        <w:tc>
          <w:tcPr>
            <w:tcW w:w="1275" w:type="dxa"/>
            <w:shd w:val="clear" w:color="auto" w:fill="auto"/>
          </w:tcPr>
          <w:p>
            <w:pPr>
              <w:rPr>
                <w:rFonts w:ascii="宋体" w:hAnsi="宋体" w:eastAsia="宋体" w:cs="宋体"/>
                <w:sz w:val="24"/>
                <w:szCs w:val="24"/>
              </w:rPr>
            </w:pPr>
          </w:p>
        </w:tc>
      </w:tr>
    </w:tbl>
    <w:p>
      <w:pPr>
        <w:pStyle w:val="7"/>
        <w:spacing w:before="0" w:beforeAutospacing="0" w:after="0" w:afterAutospacing="0" w:line="360" w:lineRule="auto"/>
        <w:ind w:firstLine="420"/>
        <w:rPr>
          <w:sz w:val="21"/>
          <w:szCs w:val="21"/>
        </w:rPr>
      </w:pPr>
      <w:r>
        <w:rPr>
          <w:rFonts w:hint="eastAsia"/>
          <w:sz w:val="21"/>
          <w:szCs w:val="21"/>
        </w:rPr>
        <w:t>若上海证券交易所或中国证券登记结算有限责任公司对申购赎回清单的格式进行调整，基金管理人将视情况对相关格式进行相应的调整，并依照《信息披露办法》的有关规定在规定媒介上公告。</w:t>
      </w:r>
    </w:p>
    <w:p>
      <w:pPr>
        <w:pStyle w:val="7"/>
        <w:spacing w:before="0" w:beforeAutospacing="0" w:after="0" w:afterAutospacing="0" w:line="360" w:lineRule="auto"/>
        <w:ind w:firstLine="420"/>
        <w:rPr>
          <w:sz w:val="21"/>
          <w:szCs w:val="21"/>
        </w:rPr>
      </w:pPr>
      <w:r>
        <w:rPr>
          <w:rStyle w:val="11"/>
          <w:rFonts w:hint="eastAsia"/>
          <w:sz w:val="21"/>
          <w:szCs w:val="21"/>
        </w:rPr>
        <w:t>八、拒绝或暂停申购的情形及处理方式</w:t>
      </w:r>
    </w:p>
    <w:p>
      <w:pPr>
        <w:pStyle w:val="7"/>
        <w:spacing w:before="0" w:beforeAutospacing="0" w:after="0" w:afterAutospacing="0" w:line="360" w:lineRule="auto"/>
        <w:ind w:firstLine="420"/>
        <w:rPr>
          <w:sz w:val="21"/>
          <w:szCs w:val="21"/>
        </w:rPr>
      </w:pPr>
      <w:r>
        <w:rPr>
          <w:rFonts w:hint="eastAsia"/>
          <w:sz w:val="21"/>
          <w:szCs w:val="21"/>
        </w:rPr>
        <w:t xml:space="preserve">发生下列情况时，基金管理人可拒绝或暂停接受投资人的申购申请： </w:t>
      </w:r>
    </w:p>
    <w:p>
      <w:pPr>
        <w:pStyle w:val="7"/>
        <w:spacing w:before="0" w:beforeAutospacing="0" w:after="0" w:afterAutospacing="0" w:line="360" w:lineRule="auto"/>
        <w:ind w:firstLine="420"/>
        <w:rPr>
          <w:sz w:val="21"/>
          <w:szCs w:val="21"/>
        </w:rPr>
      </w:pPr>
      <w:r>
        <w:rPr>
          <w:rFonts w:hint="eastAsia"/>
          <w:sz w:val="21"/>
          <w:szCs w:val="21"/>
        </w:rPr>
        <w:t xml:space="preserve">1、因不可抗力导致基金管理人无法受理或办理基金份额持有人的申购申请； </w:t>
      </w:r>
    </w:p>
    <w:p>
      <w:pPr>
        <w:pStyle w:val="7"/>
        <w:spacing w:before="0" w:beforeAutospacing="0" w:after="0" w:afterAutospacing="0" w:line="360" w:lineRule="auto"/>
        <w:ind w:firstLine="420"/>
        <w:rPr>
          <w:sz w:val="21"/>
          <w:szCs w:val="21"/>
        </w:rPr>
      </w:pPr>
      <w:r>
        <w:rPr>
          <w:rFonts w:hint="eastAsia"/>
          <w:sz w:val="21"/>
          <w:szCs w:val="21"/>
        </w:rPr>
        <w:t xml:space="preserve">2、证券/期货交易所交易时间非正常停市，导致基金管理人无法计算当日基金资产净值或无法进行证券交易； </w:t>
      </w:r>
    </w:p>
    <w:p>
      <w:pPr>
        <w:pStyle w:val="7"/>
        <w:spacing w:before="0" w:beforeAutospacing="0" w:after="0" w:afterAutospacing="0" w:line="360" w:lineRule="auto"/>
        <w:ind w:firstLine="420"/>
        <w:rPr>
          <w:sz w:val="21"/>
          <w:szCs w:val="21"/>
        </w:rPr>
      </w:pPr>
      <w:r>
        <w:rPr>
          <w:rFonts w:hint="eastAsia"/>
          <w:sz w:val="21"/>
          <w:szCs w:val="21"/>
        </w:rPr>
        <w:t xml:space="preserve">3、发生基金合同规定的暂停基金资产估值情况时； </w:t>
      </w:r>
    </w:p>
    <w:p>
      <w:pPr>
        <w:pStyle w:val="7"/>
        <w:spacing w:before="0" w:beforeAutospacing="0" w:after="0" w:afterAutospacing="0" w:line="360" w:lineRule="auto"/>
        <w:ind w:firstLine="420"/>
        <w:rPr>
          <w:sz w:val="21"/>
          <w:szCs w:val="21"/>
        </w:rPr>
      </w:pPr>
      <w:r>
        <w:rPr>
          <w:rFonts w:hint="eastAsia"/>
          <w:sz w:val="21"/>
          <w:szCs w:val="21"/>
        </w:rPr>
        <w:t xml:space="preserve">4、基金管理人开市前因异常情况无法公布申购、赎回清单、基金份额净值或者IOPV计算错误、申购、赎回清单编制错误； </w:t>
      </w:r>
    </w:p>
    <w:p>
      <w:pPr>
        <w:pStyle w:val="7"/>
        <w:spacing w:before="0" w:beforeAutospacing="0" w:after="0" w:afterAutospacing="0" w:line="360" w:lineRule="auto"/>
        <w:ind w:firstLine="420"/>
        <w:rPr>
          <w:sz w:val="21"/>
          <w:szCs w:val="21"/>
        </w:rPr>
      </w:pPr>
      <w:r>
        <w:rPr>
          <w:rFonts w:hint="eastAsia"/>
          <w:sz w:val="21"/>
          <w:szCs w:val="21"/>
        </w:rPr>
        <w:t xml:space="preserve">5、接受某笔或某些申购申请可能会影响或损害现有基金份额持有人利益时； </w:t>
      </w:r>
    </w:p>
    <w:p>
      <w:pPr>
        <w:pStyle w:val="7"/>
        <w:spacing w:before="0" w:beforeAutospacing="0" w:after="0" w:afterAutospacing="0" w:line="360" w:lineRule="auto"/>
        <w:ind w:firstLine="420"/>
        <w:rPr>
          <w:sz w:val="21"/>
          <w:szCs w:val="21"/>
        </w:rPr>
      </w:pPr>
      <w:r>
        <w:rPr>
          <w:rFonts w:hint="eastAsia"/>
          <w:sz w:val="21"/>
          <w:szCs w:val="21"/>
        </w:rPr>
        <w:t xml:space="preserve">6、相关证券/期货交易所、申购赎回代理券商、登记机构等因异常情况无法办理申购；或者指数编制单位、相关证券/期货交易所等因异常情况使申购赎回清单无法编制或编制不当。上述异常情况指基金管理人无法预见并不可控制的情形，包括但不限于系统故障、网络故障、通讯故障、电力故障、数据错误等； </w:t>
      </w:r>
    </w:p>
    <w:p>
      <w:pPr>
        <w:pStyle w:val="7"/>
        <w:spacing w:before="0" w:beforeAutospacing="0" w:after="0" w:afterAutospacing="0" w:line="360" w:lineRule="auto"/>
        <w:ind w:firstLine="420"/>
        <w:rPr>
          <w:sz w:val="21"/>
          <w:szCs w:val="21"/>
        </w:rPr>
      </w:pPr>
      <w:r>
        <w:rPr>
          <w:rFonts w:hint="eastAsia"/>
          <w:sz w:val="21"/>
          <w:szCs w:val="21"/>
        </w:rPr>
        <w:t xml:space="preserve">7、申请超过基金管理人设定的基金总规模、单日净申购比例上限、单一投资者单日或单笔申购份额上限的； </w:t>
      </w:r>
    </w:p>
    <w:p>
      <w:pPr>
        <w:pStyle w:val="7"/>
        <w:spacing w:before="0" w:beforeAutospacing="0" w:after="0" w:afterAutospacing="0" w:line="360" w:lineRule="auto"/>
        <w:ind w:firstLine="420"/>
        <w:rPr>
          <w:sz w:val="21"/>
          <w:szCs w:val="21"/>
        </w:rPr>
      </w:pPr>
      <w:r>
        <w:rPr>
          <w:rFonts w:hint="eastAsia"/>
          <w:sz w:val="21"/>
          <w:szCs w:val="21"/>
        </w:rPr>
        <w:t xml:space="preserve">8、当前一估值日基金资产净值50%以上的资产出现无可参考的活跃市场价格且采用估值技术仍导致公允价值存在重大不确定性时，经与基金托管人协商确认后，基金管理人应当暂停接受基金申购申请； </w:t>
      </w:r>
    </w:p>
    <w:p>
      <w:pPr>
        <w:pStyle w:val="7"/>
        <w:spacing w:before="0" w:beforeAutospacing="0" w:after="0" w:afterAutospacing="0" w:line="360" w:lineRule="auto"/>
        <w:ind w:firstLine="420"/>
        <w:rPr>
          <w:sz w:val="21"/>
          <w:szCs w:val="21"/>
        </w:rPr>
      </w:pPr>
      <w:r>
        <w:rPr>
          <w:rFonts w:hint="eastAsia"/>
          <w:sz w:val="21"/>
          <w:szCs w:val="21"/>
        </w:rPr>
        <w:t xml:space="preserve">9、法律法规、上海证券交易所规定或中国证监会认定的其他情形。 </w:t>
      </w:r>
    </w:p>
    <w:p>
      <w:pPr>
        <w:pStyle w:val="7"/>
        <w:spacing w:before="0" w:beforeAutospacing="0" w:after="0" w:afterAutospacing="0" w:line="360" w:lineRule="auto"/>
        <w:ind w:firstLine="420"/>
        <w:rPr>
          <w:sz w:val="21"/>
          <w:szCs w:val="21"/>
        </w:rPr>
      </w:pPr>
      <w:r>
        <w:rPr>
          <w:rFonts w:hint="eastAsia"/>
          <w:sz w:val="21"/>
          <w:szCs w:val="21"/>
        </w:rPr>
        <w:t xml:space="preserve">发生上述第1、2、3、4、6、8、9项暂停申购情形之一且基金管理人决定暂停接受投资人申购申请时，基金管理人应当根据有关规定在规定媒介上刊登暂停申购公告。如果投资人的申购申请全部或部分被拒绝，被拒绝的申购对价将退还给投资人。在暂停申购的情况消除时，基金管理人应及时恢复申购业务的办理。 </w:t>
      </w:r>
    </w:p>
    <w:p>
      <w:pPr>
        <w:pStyle w:val="7"/>
        <w:spacing w:before="0" w:beforeAutospacing="0" w:after="0" w:afterAutospacing="0" w:line="360" w:lineRule="auto"/>
        <w:ind w:firstLine="420"/>
        <w:rPr>
          <w:sz w:val="21"/>
          <w:szCs w:val="21"/>
        </w:rPr>
      </w:pPr>
      <w:r>
        <w:rPr>
          <w:rStyle w:val="11"/>
          <w:rFonts w:hint="eastAsia"/>
          <w:sz w:val="21"/>
          <w:szCs w:val="21"/>
        </w:rPr>
        <w:t>九、暂停赎回或延缓支付赎回对价的情形及处理方式</w:t>
      </w:r>
    </w:p>
    <w:p>
      <w:pPr>
        <w:pStyle w:val="7"/>
        <w:spacing w:before="0" w:beforeAutospacing="0" w:after="0" w:afterAutospacing="0" w:line="360" w:lineRule="auto"/>
        <w:ind w:firstLine="420"/>
        <w:rPr>
          <w:sz w:val="21"/>
          <w:szCs w:val="21"/>
        </w:rPr>
      </w:pPr>
      <w:r>
        <w:rPr>
          <w:rFonts w:hint="eastAsia"/>
          <w:sz w:val="21"/>
          <w:szCs w:val="21"/>
        </w:rPr>
        <w:t xml:space="preserve">发生下列情形时，基金管理人可暂停接受投资人的赎回申请或延缓支付赎回对价： </w:t>
      </w:r>
    </w:p>
    <w:p>
      <w:pPr>
        <w:pStyle w:val="7"/>
        <w:spacing w:before="0" w:beforeAutospacing="0" w:after="0" w:afterAutospacing="0" w:line="360" w:lineRule="auto"/>
        <w:ind w:firstLine="420"/>
        <w:rPr>
          <w:sz w:val="21"/>
          <w:szCs w:val="21"/>
        </w:rPr>
      </w:pPr>
      <w:r>
        <w:rPr>
          <w:rFonts w:hint="eastAsia"/>
          <w:sz w:val="21"/>
          <w:szCs w:val="21"/>
        </w:rPr>
        <w:t xml:space="preserve">1、因不可抗力导致基金管理人无法受理或办理基金份额持有人的赎回申请； </w:t>
      </w:r>
    </w:p>
    <w:p>
      <w:pPr>
        <w:pStyle w:val="7"/>
        <w:spacing w:before="0" w:beforeAutospacing="0" w:after="0" w:afterAutospacing="0" w:line="360" w:lineRule="auto"/>
        <w:ind w:firstLine="420"/>
        <w:rPr>
          <w:sz w:val="21"/>
          <w:szCs w:val="21"/>
        </w:rPr>
      </w:pPr>
      <w:r>
        <w:rPr>
          <w:rFonts w:hint="eastAsia"/>
          <w:sz w:val="21"/>
          <w:szCs w:val="21"/>
        </w:rPr>
        <w:t xml:space="preserve">2、证券/期货交易所交易时间非正常停市，导致基金管理人无法计算当日基金资产净值或无法进行证券交易； </w:t>
      </w:r>
    </w:p>
    <w:p>
      <w:pPr>
        <w:pStyle w:val="7"/>
        <w:spacing w:before="0" w:beforeAutospacing="0" w:after="0" w:afterAutospacing="0" w:line="360" w:lineRule="auto"/>
        <w:ind w:firstLine="420"/>
        <w:rPr>
          <w:sz w:val="21"/>
          <w:szCs w:val="21"/>
        </w:rPr>
      </w:pPr>
      <w:r>
        <w:rPr>
          <w:rFonts w:hint="eastAsia"/>
          <w:sz w:val="21"/>
          <w:szCs w:val="21"/>
        </w:rPr>
        <w:t xml:space="preserve">3、发生基金合同规定的暂停基金资产估值情况时； </w:t>
      </w:r>
    </w:p>
    <w:p>
      <w:pPr>
        <w:pStyle w:val="7"/>
        <w:spacing w:before="0" w:beforeAutospacing="0" w:after="0" w:afterAutospacing="0" w:line="360" w:lineRule="auto"/>
        <w:ind w:firstLine="420"/>
        <w:rPr>
          <w:sz w:val="21"/>
          <w:szCs w:val="21"/>
        </w:rPr>
      </w:pPr>
      <w:r>
        <w:rPr>
          <w:rFonts w:hint="eastAsia"/>
          <w:sz w:val="21"/>
          <w:szCs w:val="21"/>
        </w:rPr>
        <w:t xml:space="preserve">4、发生继续接受赎回申请将损害现有基金份额持有人利益的情形； </w:t>
      </w:r>
    </w:p>
    <w:p>
      <w:pPr>
        <w:pStyle w:val="7"/>
        <w:spacing w:before="0" w:beforeAutospacing="0" w:after="0" w:afterAutospacing="0" w:line="360" w:lineRule="auto"/>
        <w:ind w:firstLine="420"/>
        <w:rPr>
          <w:sz w:val="21"/>
          <w:szCs w:val="21"/>
        </w:rPr>
      </w:pPr>
      <w:r>
        <w:rPr>
          <w:rFonts w:hint="eastAsia"/>
          <w:sz w:val="21"/>
          <w:szCs w:val="21"/>
        </w:rPr>
        <w:t xml:space="preserve">5、本基金当日总赎回份额达到基金管理人所设定的上限； </w:t>
      </w:r>
    </w:p>
    <w:p>
      <w:pPr>
        <w:pStyle w:val="7"/>
        <w:spacing w:before="0" w:beforeAutospacing="0" w:after="0" w:afterAutospacing="0" w:line="360" w:lineRule="auto"/>
        <w:ind w:firstLine="420"/>
        <w:rPr>
          <w:sz w:val="21"/>
          <w:szCs w:val="21"/>
        </w:rPr>
      </w:pPr>
      <w:r>
        <w:rPr>
          <w:rFonts w:hint="eastAsia"/>
          <w:sz w:val="21"/>
          <w:szCs w:val="21"/>
        </w:rPr>
        <w:t xml:space="preserve">6、当前一估值日基金资产净值50%以上的资产出现无可参考的活跃市场价格且采用估值技术仍导致公允价值存在重大不确定性时，经与基金托管人协商确认后，基金管理人应当延缓支付赎回对价或暂停接受基金赎回申请； </w:t>
      </w:r>
    </w:p>
    <w:p>
      <w:pPr>
        <w:pStyle w:val="7"/>
        <w:spacing w:before="0" w:beforeAutospacing="0" w:after="0" w:afterAutospacing="0" w:line="360" w:lineRule="auto"/>
        <w:ind w:firstLine="420"/>
        <w:rPr>
          <w:sz w:val="21"/>
          <w:szCs w:val="21"/>
        </w:rPr>
      </w:pPr>
      <w:r>
        <w:rPr>
          <w:rFonts w:hint="eastAsia"/>
          <w:sz w:val="21"/>
          <w:szCs w:val="21"/>
        </w:rPr>
        <w:t xml:space="preserve">7、法律法规、上海证券交易所规定或中国证监会认定的其他情形。 </w:t>
      </w:r>
    </w:p>
    <w:p>
      <w:pPr>
        <w:pStyle w:val="7"/>
        <w:spacing w:before="0" w:beforeAutospacing="0" w:after="0" w:afterAutospacing="0" w:line="360" w:lineRule="auto"/>
        <w:ind w:firstLine="420"/>
        <w:rPr>
          <w:sz w:val="21"/>
          <w:szCs w:val="21"/>
        </w:rPr>
      </w:pPr>
      <w:r>
        <w:rPr>
          <w:rFonts w:hint="eastAsia"/>
          <w:sz w:val="21"/>
          <w:szCs w:val="21"/>
        </w:rPr>
        <w:t xml:space="preserve">发生上述情形之一且基金管理人决定暂停赎回或延缓支付赎回对价时，基金管理人应按规定报中国证监会备案。已接受的赎回申请，基金管理人应足额支付，基金份额持有人在申请赎回时可事先选择将当日可能未获受理部分予以撤销，如暂时不能足额支付，未支付部分可延期支付。在暂停赎回的情况消除时，基金管理人应及时恢复赎回业务的办理并公告。 </w:t>
      </w:r>
    </w:p>
    <w:p>
      <w:pPr>
        <w:pStyle w:val="7"/>
        <w:spacing w:before="0" w:beforeAutospacing="0" w:after="0" w:afterAutospacing="0" w:line="360" w:lineRule="auto"/>
        <w:ind w:firstLine="420"/>
        <w:rPr>
          <w:sz w:val="21"/>
          <w:szCs w:val="21"/>
        </w:rPr>
      </w:pPr>
      <w:r>
        <w:rPr>
          <w:rStyle w:val="11"/>
          <w:rFonts w:hint="eastAsia"/>
          <w:sz w:val="21"/>
          <w:szCs w:val="21"/>
        </w:rPr>
        <w:t>十、基金份额折算</w:t>
      </w:r>
    </w:p>
    <w:p>
      <w:pPr>
        <w:pStyle w:val="7"/>
        <w:spacing w:before="0" w:beforeAutospacing="0" w:after="0" w:afterAutospacing="0" w:line="360" w:lineRule="auto"/>
        <w:ind w:firstLine="420"/>
        <w:rPr>
          <w:sz w:val="21"/>
          <w:szCs w:val="21"/>
        </w:rPr>
      </w:pPr>
      <w:r>
        <w:rPr>
          <w:rFonts w:hint="eastAsia"/>
          <w:sz w:val="21"/>
          <w:szCs w:val="21"/>
        </w:rPr>
        <w:t xml:space="preserve">为提高交易便利或根据需要，基金管理人可向登记机构申请办理基金份额折算与变更登记。基金份额折算后，本基金的基金份额总额与基金份额持有人持有的基金份额数额将发生调整，但调整后的基金份额持有人持有的基金份额占基金份额总额的比例不发生变化。基金份额折算对基金份额持有人的权益无实质性影响（因尾数处理而产生的损益不视为实质性影响），无需召开基金份额持有人大会审议。基金份额折算后，基金份额持有人将按照折算后的基金份额享有权利并承担义务。基金管理人应就其具体事宜进行必要公告，并提前通知基金托管人。 </w:t>
      </w:r>
    </w:p>
    <w:p>
      <w:pPr>
        <w:pStyle w:val="7"/>
        <w:spacing w:before="0" w:beforeAutospacing="0" w:after="0" w:afterAutospacing="0" w:line="360" w:lineRule="auto"/>
        <w:ind w:firstLine="420"/>
        <w:rPr>
          <w:sz w:val="21"/>
          <w:szCs w:val="21"/>
        </w:rPr>
      </w:pPr>
      <w:r>
        <w:rPr>
          <w:rStyle w:val="11"/>
          <w:rFonts w:hint="eastAsia"/>
          <w:sz w:val="21"/>
          <w:szCs w:val="21"/>
        </w:rPr>
        <w:t>十一、基金份额拆分与合并 </w:t>
      </w:r>
    </w:p>
    <w:p>
      <w:pPr>
        <w:pStyle w:val="7"/>
        <w:spacing w:before="0" w:beforeAutospacing="0" w:after="0" w:afterAutospacing="0" w:line="360" w:lineRule="auto"/>
        <w:ind w:firstLine="420"/>
        <w:rPr>
          <w:sz w:val="21"/>
          <w:szCs w:val="21"/>
        </w:rPr>
      </w:pPr>
      <w:r>
        <w:rPr>
          <w:rFonts w:hint="eastAsia"/>
          <w:sz w:val="21"/>
          <w:szCs w:val="21"/>
        </w:rPr>
        <w:t xml:space="preserve">基金成立后，在法律法规规定的范围内，在履行适当程序后，本基金可实施基金份额拆分或合并。 </w:t>
      </w:r>
    </w:p>
    <w:p>
      <w:pPr>
        <w:pStyle w:val="7"/>
        <w:spacing w:before="0" w:beforeAutospacing="0" w:after="0" w:afterAutospacing="0" w:line="360" w:lineRule="auto"/>
        <w:ind w:firstLine="420"/>
        <w:rPr>
          <w:sz w:val="21"/>
          <w:szCs w:val="21"/>
        </w:rPr>
      </w:pPr>
      <w:r>
        <w:rPr>
          <w:rFonts w:hint="eastAsia"/>
          <w:sz w:val="21"/>
          <w:szCs w:val="21"/>
        </w:rPr>
        <w:t xml:space="preserve">基金份额拆分或合并是在保持现有基金份额持有人资产总值不变的前提下，改变基金份额净值和持有基金份额的对应关系，是重新列示基金资产的一种方式。基金份额拆分或合并对基金份额持有人的权益无实质性影响。 </w:t>
      </w:r>
    </w:p>
    <w:p>
      <w:pPr>
        <w:pStyle w:val="7"/>
        <w:spacing w:before="0" w:beforeAutospacing="0" w:after="0" w:afterAutospacing="0" w:line="360" w:lineRule="auto"/>
        <w:ind w:firstLine="420"/>
        <w:rPr>
          <w:sz w:val="21"/>
          <w:szCs w:val="21"/>
        </w:rPr>
      </w:pPr>
      <w:r>
        <w:rPr>
          <w:rStyle w:val="11"/>
          <w:rFonts w:hint="eastAsia"/>
          <w:sz w:val="21"/>
          <w:szCs w:val="21"/>
        </w:rPr>
        <w:t>十二、基金份额的转让</w:t>
      </w:r>
    </w:p>
    <w:p>
      <w:pPr>
        <w:pStyle w:val="7"/>
        <w:spacing w:before="0" w:beforeAutospacing="0" w:after="0" w:afterAutospacing="0" w:line="360" w:lineRule="auto"/>
        <w:ind w:firstLine="420"/>
        <w:rPr>
          <w:sz w:val="21"/>
          <w:szCs w:val="21"/>
        </w:rPr>
      </w:pPr>
      <w:r>
        <w:rPr>
          <w:rFonts w:hint="eastAsia"/>
          <w:sz w:val="21"/>
          <w:szCs w:val="21"/>
        </w:rPr>
        <w:t>在法律法规允许且条件具备的情况下，如对存量基金份额持有人利益无实质性不利影响，基金管理人经履行相关程序后可受理基金份额持有人通过中国证监会认可的证券交易所以外的交易场所或者交易方式进行份额转让的申请并由登记机构办理基金份额的过户登记。基金管理人拟受理基金份额转让业务的，将提前公告，基金份额持有人应根据基金管理人公告</w:t>
      </w:r>
      <w:bookmarkStart w:id="95" w:name="chapter_level1_12_59_section_3_end"/>
      <w:bookmarkEnd w:id="95"/>
      <w:r>
        <w:rPr>
          <w:rFonts w:hint="eastAsia"/>
          <w:sz w:val="21"/>
          <w:szCs w:val="21"/>
        </w:rPr>
        <w:t xml:space="preserve">的业务规则办理基金份额转让业务。 </w:t>
      </w:r>
    </w:p>
    <w:p>
      <w:pPr>
        <w:pStyle w:val="7"/>
        <w:spacing w:before="0" w:beforeAutospacing="0" w:after="0" w:afterAutospacing="0" w:line="360" w:lineRule="auto"/>
        <w:ind w:firstLine="420"/>
        <w:rPr>
          <w:sz w:val="21"/>
          <w:szCs w:val="21"/>
        </w:rPr>
      </w:pPr>
      <w:bookmarkStart w:id="96" w:name="chapter_level1_12_59_section_4"/>
      <w:bookmarkEnd w:id="96"/>
      <w:r>
        <w:rPr>
          <w:rStyle w:val="11"/>
          <w:rFonts w:hint="eastAsia"/>
          <w:sz w:val="21"/>
          <w:szCs w:val="21"/>
        </w:rPr>
        <w:t>十三、基金份额的非交易过户、冻结、解冻等其他业务</w:t>
      </w:r>
    </w:p>
    <w:p>
      <w:pPr>
        <w:pStyle w:val="7"/>
        <w:spacing w:before="0" w:beforeAutospacing="0" w:after="0" w:afterAutospacing="0" w:line="360" w:lineRule="auto"/>
        <w:ind w:firstLine="420"/>
        <w:rPr>
          <w:sz w:val="21"/>
          <w:szCs w:val="21"/>
        </w:rPr>
      </w:pPr>
      <w:r>
        <w:rPr>
          <w:rFonts w:hint="eastAsia"/>
          <w:sz w:val="21"/>
          <w:szCs w:val="21"/>
        </w:rPr>
        <w:t xml:space="preserve">基金份额的登记机构可依据其业务规则，受理基金的非交易过户、冻结与解冻等业务，并收取一定的手续费用。 </w:t>
      </w:r>
    </w:p>
    <w:p>
      <w:pPr>
        <w:pStyle w:val="7"/>
        <w:spacing w:before="0" w:beforeAutospacing="0" w:after="0" w:afterAutospacing="0" w:line="360" w:lineRule="auto"/>
        <w:ind w:firstLine="420"/>
        <w:rPr>
          <w:sz w:val="21"/>
          <w:szCs w:val="21"/>
        </w:rPr>
      </w:pPr>
      <w:r>
        <w:rPr>
          <w:rFonts w:hint="eastAsia"/>
          <w:sz w:val="21"/>
          <w:szCs w:val="21"/>
        </w:rPr>
        <w:t>基金份额被冻结的，被冻结部分产生的权益一并冻结，被冻结部分份额仍然参与收益分</w:t>
      </w:r>
      <w:bookmarkStart w:id="97" w:name="chapter_level1_12_59_section_4_end"/>
      <w:bookmarkEnd w:id="97"/>
      <w:r>
        <w:rPr>
          <w:rFonts w:hint="eastAsia"/>
          <w:sz w:val="21"/>
          <w:szCs w:val="21"/>
        </w:rPr>
        <w:t xml:space="preserve">配。法律法规或监管机构另有规定的除外。 </w:t>
      </w:r>
    </w:p>
    <w:p>
      <w:pPr>
        <w:pStyle w:val="7"/>
        <w:spacing w:before="0" w:beforeAutospacing="0" w:after="0" w:afterAutospacing="0" w:line="360" w:lineRule="auto"/>
        <w:ind w:firstLine="420"/>
        <w:rPr>
          <w:sz w:val="21"/>
          <w:szCs w:val="21"/>
        </w:rPr>
      </w:pPr>
      <w:bookmarkStart w:id="98" w:name="chapter_level1_12_59_section_5"/>
      <w:bookmarkEnd w:id="98"/>
      <w:r>
        <w:rPr>
          <w:rStyle w:val="11"/>
          <w:rFonts w:hint="eastAsia"/>
          <w:sz w:val="21"/>
          <w:szCs w:val="21"/>
        </w:rPr>
        <w:t>十四、联接基金的特殊申购</w:t>
      </w:r>
    </w:p>
    <w:p>
      <w:pPr>
        <w:pStyle w:val="7"/>
        <w:spacing w:before="0" w:beforeAutospacing="0" w:after="0" w:afterAutospacing="0" w:line="360" w:lineRule="auto"/>
        <w:ind w:firstLine="420"/>
        <w:rPr>
          <w:sz w:val="21"/>
          <w:szCs w:val="21"/>
        </w:rPr>
      </w:pPr>
      <w:r>
        <w:rPr>
          <w:rFonts w:hint="eastAsia"/>
          <w:sz w:val="21"/>
          <w:szCs w:val="21"/>
        </w:rPr>
        <w:t xml:space="preserve">若基金管理人推出以本基金为目标ETF的联接基金，本基金可根据实际情况需要向本基金的联接基金开通特殊申购，不收取申购费用。 </w:t>
      </w:r>
    </w:p>
    <w:p>
      <w:pPr>
        <w:pStyle w:val="7"/>
        <w:spacing w:before="0" w:beforeAutospacing="0" w:after="0" w:afterAutospacing="0" w:line="360" w:lineRule="auto"/>
        <w:ind w:firstLine="420"/>
        <w:rPr>
          <w:sz w:val="21"/>
          <w:szCs w:val="21"/>
        </w:rPr>
      </w:pPr>
      <w:r>
        <w:rPr>
          <w:rStyle w:val="11"/>
          <w:rFonts w:hint="eastAsia"/>
          <w:sz w:val="21"/>
          <w:szCs w:val="21"/>
        </w:rPr>
        <w:t>十五、其他</w:t>
      </w:r>
    </w:p>
    <w:p>
      <w:pPr>
        <w:pStyle w:val="7"/>
        <w:spacing w:before="0" w:beforeAutospacing="0" w:after="0" w:afterAutospacing="0" w:line="360" w:lineRule="auto"/>
        <w:ind w:firstLine="420"/>
        <w:rPr>
          <w:sz w:val="21"/>
          <w:szCs w:val="21"/>
        </w:rPr>
      </w:pPr>
      <w:r>
        <w:rPr>
          <w:rFonts w:hint="eastAsia"/>
          <w:sz w:val="21"/>
          <w:szCs w:val="21"/>
        </w:rPr>
        <w:t xml:space="preserve">1、在不违反法律法规且对基金份额持有人利益无实质性不利影响的情况下，经履行相关程序后，基金管理人可开放集合申购。基金管理人有权制定集合申购业务的相关规则。 </w:t>
      </w:r>
    </w:p>
    <w:p>
      <w:pPr>
        <w:pStyle w:val="7"/>
        <w:spacing w:before="0" w:beforeAutospacing="0" w:after="0" w:afterAutospacing="0" w:line="360" w:lineRule="auto"/>
        <w:ind w:firstLine="420"/>
        <w:rPr>
          <w:sz w:val="21"/>
          <w:szCs w:val="21"/>
        </w:rPr>
      </w:pPr>
      <w:r>
        <w:rPr>
          <w:rFonts w:hint="eastAsia"/>
          <w:sz w:val="21"/>
          <w:szCs w:val="21"/>
        </w:rPr>
        <w:t xml:space="preserve">在条件允许时，基金管理人也可采取其他合理的申购方式，并于新的申购方式开始执行前予以公告。 </w:t>
      </w:r>
    </w:p>
    <w:p>
      <w:pPr>
        <w:pStyle w:val="7"/>
        <w:spacing w:before="0" w:beforeAutospacing="0" w:after="0" w:afterAutospacing="0" w:line="360" w:lineRule="auto"/>
        <w:ind w:firstLine="420"/>
        <w:rPr>
          <w:sz w:val="21"/>
          <w:szCs w:val="21"/>
        </w:rPr>
      </w:pPr>
      <w:r>
        <w:rPr>
          <w:rFonts w:hint="eastAsia"/>
          <w:sz w:val="21"/>
          <w:szCs w:val="21"/>
        </w:rPr>
        <w:t xml:space="preserve">2、基金管理人指定的代理机构可依据法律法规和基金合同的规定开展其他服务，双方需签订书面委托代理协议。 </w:t>
      </w:r>
    </w:p>
    <w:p>
      <w:pPr>
        <w:pStyle w:val="7"/>
        <w:spacing w:before="0" w:beforeAutospacing="0" w:after="0" w:afterAutospacing="0" w:line="360" w:lineRule="auto"/>
        <w:ind w:firstLine="420"/>
        <w:rPr>
          <w:sz w:val="21"/>
          <w:szCs w:val="21"/>
        </w:rPr>
      </w:pPr>
      <w:r>
        <w:rPr>
          <w:rFonts w:hint="eastAsia"/>
          <w:sz w:val="21"/>
          <w:szCs w:val="21"/>
        </w:rPr>
        <w:t>3、对于符合《特定机构投资者参与证券投资基金申购赎回业务指引》要求的特定机构投资者，基金管理人可在不违反法律法规且对基金份额持有人利益无实质性不利影响的情况</w:t>
      </w:r>
      <w:bookmarkStart w:id="99" w:name="chapter_level1_12_59_section_5_end"/>
      <w:bookmarkEnd w:id="99"/>
      <w:r>
        <w:rPr>
          <w:rFonts w:hint="eastAsia"/>
          <w:sz w:val="21"/>
          <w:szCs w:val="21"/>
        </w:rPr>
        <w:t xml:space="preserve">下，安排专门的申购方式，并于新的申购方式开始执行前另行公告。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00" w:name="_Toc214976548"/>
      <w:bookmarkStart w:id="101" w:name="chapter_level1_13_60"/>
      <w:r>
        <w:rPr>
          <w:rFonts w:hint="eastAsia" w:ascii="宋体" w:hAnsi="宋体" w:eastAsia="宋体"/>
          <w:sz w:val="30"/>
        </w:rPr>
        <w:t>第十部分  基金的投资</w:t>
      </w:r>
      <w:bookmarkEnd w:id="100"/>
      <w:bookmarkEnd w:id="101"/>
    </w:p>
    <w:p>
      <w:pPr>
        <w:pStyle w:val="7"/>
        <w:spacing w:before="0" w:beforeAutospacing="0" w:after="0" w:afterAutospacing="0" w:line="360" w:lineRule="auto"/>
        <w:ind w:firstLine="420"/>
        <w:rPr>
          <w:sz w:val="21"/>
          <w:szCs w:val="21"/>
        </w:rPr>
      </w:pPr>
      <w:bookmarkStart w:id="102" w:name="chapter_level1_13_60_section_1"/>
      <w:bookmarkEnd w:id="102"/>
      <w:r>
        <w:rPr>
          <w:rStyle w:val="11"/>
          <w:rFonts w:hint="eastAsia"/>
          <w:sz w:val="21"/>
          <w:szCs w:val="21"/>
        </w:rPr>
        <w:t>一、投资目标</w:t>
      </w:r>
    </w:p>
    <w:p>
      <w:pPr>
        <w:pStyle w:val="7"/>
        <w:spacing w:before="0" w:beforeAutospacing="0" w:after="0" w:afterAutospacing="0" w:line="360" w:lineRule="auto"/>
        <w:ind w:firstLine="420"/>
        <w:rPr>
          <w:sz w:val="21"/>
          <w:szCs w:val="21"/>
        </w:rPr>
      </w:pPr>
      <w:bookmarkStart w:id="103" w:name="field_60_investmenttarget_1_start"/>
      <w:bookmarkEnd w:id="103"/>
      <w:r>
        <w:rPr>
          <w:rFonts w:hint="eastAsia"/>
          <w:sz w:val="21"/>
          <w:szCs w:val="21"/>
        </w:rPr>
        <w:t xml:space="preserve">紧密跟踪标的指数，追求跟踪偏离度和跟踪误差最小化。本基金力争日均跟踪偏离度的绝对值不超过0.2%，年跟踪误差不超过2%。  </w:t>
      </w:r>
      <w:bookmarkStart w:id="104" w:name="field_60_investmenttarget_1_end"/>
      <w:bookmarkEnd w:id="104"/>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二、投资范围</w:t>
      </w:r>
    </w:p>
    <w:p>
      <w:pPr>
        <w:pStyle w:val="7"/>
        <w:spacing w:before="0" w:beforeAutospacing="0" w:after="0" w:afterAutospacing="0" w:line="360" w:lineRule="auto"/>
        <w:ind w:firstLine="420"/>
        <w:rPr>
          <w:sz w:val="21"/>
          <w:szCs w:val="21"/>
        </w:rPr>
      </w:pPr>
      <w:bookmarkStart w:id="105" w:name="field_60_investmentrange_1_start"/>
      <w:bookmarkEnd w:id="105"/>
      <w:r>
        <w:rPr>
          <w:rFonts w:hint="eastAsia"/>
          <w:sz w:val="21"/>
          <w:szCs w:val="21"/>
        </w:rPr>
        <w:t xml:space="preserve">本基金主要投资于标的指数成份股和备选成份股（含存托凭证）。 </w:t>
      </w:r>
    </w:p>
    <w:p>
      <w:pPr>
        <w:pStyle w:val="7"/>
        <w:spacing w:before="0" w:beforeAutospacing="0" w:after="0" w:afterAutospacing="0" w:line="360" w:lineRule="auto"/>
        <w:ind w:firstLine="420"/>
        <w:rPr>
          <w:sz w:val="21"/>
          <w:szCs w:val="21"/>
        </w:rPr>
      </w:pPr>
      <w:r>
        <w:rPr>
          <w:rFonts w:hint="eastAsia"/>
          <w:sz w:val="21"/>
          <w:szCs w:val="21"/>
        </w:rPr>
        <w:t xml:space="preserve">为更好地实现基金的投资目标，本基金可能会少量投资于依法发行上市的非成份股（包括创业板及其他经中国证监会核准或注册上市的股票和存托凭证）、债券（包括国债、金融债、地方政府债、政府支持债券、政府支持机构债券、企业债、公司债、可转换债券（含可分离交易可转债）、可交换债券、央行票据、短期融资券、超短期融资券、中期票据等）、国债期货、股指期货、股票期权、货币市场工具（包括银行存款、同业存单等）、债券回购、资产支持证券以及法律法规或中国证监会允许基金投资的其他金融工具（但须符合中国证监会的相关规定）。 </w:t>
      </w:r>
    </w:p>
    <w:p>
      <w:pPr>
        <w:pStyle w:val="7"/>
        <w:spacing w:before="0" w:beforeAutospacing="0" w:after="0" w:afterAutospacing="0" w:line="360" w:lineRule="auto"/>
        <w:ind w:firstLine="420"/>
        <w:rPr>
          <w:sz w:val="21"/>
          <w:szCs w:val="21"/>
        </w:rPr>
      </w:pPr>
      <w:r>
        <w:rPr>
          <w:rFonts w:hint="eastAsia"/>
          <w:sz w:val="21"/>
          <w:szCs w:val="21"/>
        </w:rPr>
        <w:t xml:space="preserve">本基金可根据法律法规的规定参与融资和转融通证券出借业务。 </w:t>
      </w:r>
    </w:p>
    <w:p>
      <w:pPr>
        <w:pStyle w:val="7"/>
        <w:spacing w:before="0" w:beforeAutospacing="0" w:after="0" w:afterAutospacing="0" w:line="360" w:lineRule="auto"/>
        <w:ind w:firstLine="420"/>
        <w:rPr>
          <w:sz w:val="21"/>
          <w:szCs w:val="21"/>
        </w:rPr>
      </w:pPr>
      <w:r>
        <w:rPr>
          <w:rFonts w:hint="eastAsia"/>
          <w:sz w:val="21"/>
          <w:szCs w:val="21"/>
        </w:rPr>
        <w:t xml:space="preserve">如法律法规或中国证监会以后允许基金投资其他品种，本基金管理人在履行适当程序后，可以将其纳入本基金的投资范围。 </w:t>
      </w:r>
    </w:p>
    <w:p>
      <w:pPr>
        <w:pStyle w:val="7"/>
        <w:spacing w:before="0" w:beforeAutospacing="0" w:after="0" w:afterAutospacing="0" w:line="360" w:lineRule="auto"/>
        <w:ind w:firstLine="420"/>
        <w:rPr>
          <w:sz w:val="21"/>
          <w:szCs w:val="21"/>
        </w:rPr>
      </w:pPr>
      <w:r>
        <w:rPr>
          <w:rFonts w:hint="eastAsia"/>
          <w:sz w:val="21"/>
          <w:szCs w:val="21"/>
        </w:rPr>
        <w:t xml:space="preserve">本基金投资于标的指数成份股和备选成份股（含存托凭证）的资产比例不低于基金资产净值的90%；本基金每个交易日日终在扣除股指期货、股票期权和国债期货合约需缴纳的交易保证金后，应当保持不低于交易保证金一倍的现金，其中现金不包括结算备付金、存出保证金、应收申购款等；股指期货、股票期权、国债期货及其他金融工具的投资比例依照法律法规或监管机构的规定执行。  </w:t>
      </w:r>
    </w:p>
    <w:p>
      <w:pPr>
        <w:pStyle w:val="7"/>
        <w:spacing w:before="0" w:beforeAutospacing="0" w:after="0" w:afterAutospacing="0" w:line="360" w:lineRule="auto"/>
        <w:ind w:firstLine="420"/>
        <w:rPr>
          <w:sz w:val="21"/>
          <w:szCs w:val="21"/>
        </w:rPr>
      </w:pPr>
      <w:r>
        <w:rPr>
          <w:rFonts w:hint="eastAsia"/>
          <w:sz w:val="21"/>
          <w:szCs w:val="21"/>
        </w:rPr>
        <w:t xml:space="preserve">若法律法规的相关规定发生变更或监管机构允许，本基金管理人在履行适当程序后，可对上述资产配置比例进行调整。 </w:t>
      </w:r>
      <w:bookmarkStart w:id="106" w:name="field_60_investmentrange_1_end"/>
      <w:bookmarkEnd w:id="106"/>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三、投资策略</w:t>
      </w:r>
    </w:p>
    <w:p>
      <w:pPr>
        <w:pStyle w:val="7"/>
        <w:spacing w:before="0" w:beforeAutospacing="0" w:after="0" w:afterAutospacing="0" w:line="360" w:lineRule="auto"/>
        <w:ind w:firstLine="420"/>
        <w:rPr>
          <w:sz w:val="21"/>
          <w:szCs w:val="21"/>
        </w:rPr>
      </w:pPr>
      <w:bookmarkStart w:id="107" w:name="field_60_investmentstrategy_1_start"/>
      <w:bookmarkEnd w:id="107"/>
      <w:r>
        <w:rPr>
          <w:rFonts w:hint="eastAsia"/>
          <w:sz w:val="21"/>
          <w:szCs w:val="21"/>
        </w:rPr>
        <w:t xml:space="preserve">1、组合复制策略 </w:t>
      </w:r>
    </w:p>
    <w:p>
      <w:pPr>
        <w:pStyle w:val="7"/>
        <w:spacing w:before="0" w:beforeAutospacing="0" w:after="0" w:afterAutospacing="0" w:line="360" w:lineRule="auto"/>
        <w:ind w:firstLine="420"/>
        <w:rPr>
          <w:sz w:val="21"/>
          <w:szCs w:val="21"/>
        </w:rPr>
      </w:pPr>
      <w:r>
        <w:rPr>
          <w:rFonts w:hint="eastAsia"/>
          <w:sz w:val="21"/>
          <w:szCs w:val="21"/>
        </w:rPr>
        <w:t xml:space="preserve">本基金主要采用完全复制法进行投资，即按照成份股在标的指数中的基准权重来构建指数化投资组合，并根据标的指数成份股及其权重的变化进行相应调整。但因特殊情况（比如流动性不足等）导致本基金无法有效复制和跟踪标的指数时，基金管理人可使用其他合理方法进行适当的替代。特殊情况包括但不限于以下情形：（1）法律法规的限制；（2）标的指数成份股流动性严重不足；（3）标的指数的成份股长期停牌；（4）其它合理原因导致本基金管理人对标的指数的跟踪构成严重制约等。 </w:t>
      </w:r>
    </w:p>
    <w:p>
      <w:pPr>
        <w:pStyle w:val="7"/>
        <w:spacing w:before="0" w:beforeAutospacing="0" w:after="0" w:afterAutospacing="0" w:line="360" w:lineRule="auto"/>
        <w:ind w:firstLine="420"/>
        <w:rPr>
          <w:sz w:val="21"/>
          <w:szCs w:val="21"/>
        </w:rPr>
      </w:pPr>
      <w:r>
        <w:rPr>
          <w:rFonts w:hint="eastAsia"/>
          <w:sz w:val="21"/>
          <w:szCs w:val="21"/>
        </w:rPr>
        <w:t xml:space="preserve">在正常情况下，本基金力争控制投资组合的净值增长率与业绩比较基准之间的预期日均跟踪偏离度的绝对值小于0.2%，预期年化跟踪误差不超过2%。如因标的指数编制规则调整等其他原因，导致基金日均跟踪偏离度和跟踪误差变大，基金管理人应采取合理措施，避免日均跟踪偏离度和跟踪误差的进一步扩大。  </w:t>
      </w:r>
    </w:p>
    <w:p>
      <w:pPr>
        <w:pStyle w:val="7"/>
        <w:spacing w:before="0" w:beforeAutospacing="0" w:after="0" w:afterAutospacing="0" w:line="360" w:lineRule="auto"/>
        <w:ind w:firstLine="420"/>
        <w:rPr>
          <w:sz w:val="21"/>
          <w:szCs w:val="21"/>
        </w:rPr>
      </w:pPr>
      <w:r>
        <w:rPr>
          <w:rFonts w:hint="eastAsia"/>
          <w:sz w:val="21"/>
          <w:szCs w:val="21"/>
        </w:rPr>
        <w:t xml:space="preserve">如果标的指数成份股发生明显负面事件面临退市或违约风险，且指数编制机构暂未作出调整的，基金管理人应当按照基金份额持有人利益优先原则，履行内部决策程序后及时对相关成份股进行调整。 </w:t>
      </w:r>
    </w:p>
    <w:p>
      <w:pPr>
        <w:pStyle w:val="7"/>
        <w:spacing w:before="0" w:beforeAutospacing="0" w:after="0" w:afterAutospacing="0" w:line="360" w:lineRule="auto"/>
        <w:ind w:firstLine="420"/>
        <w:rPr>
          <w:sz w:val="21"/>
          <w:szCs w:val="21"/>
        </w:rPr>
      </w:pPr>
      <w:r>
        <w:rPr>
          <w:rFonts w:hint="eastAsia"/>
          <w:sz w:val="21"/>
          <w:szCs w:val="21"/>
        </w:rPr>
        <w:t xml:space="preserve">当指数编制方法变更、成份股发生变更、成份股权重由于自由流通量调整而发生变化、成份股派发现金股息、配股及增发、股票长期停牌、市场流动性不足等情况发生时，基金管理人将对投资组合进行优化，尽量降低跟踪误差。 </w:t>
      </w:r>
    </w:p>
    <w:p>
      <w:pPr>
        <w:pStyle w:val="7"/>
        <w:spacing w:before="0" w:beforeAutospacing="0" w:after="0" w:afterAutospacing="0" w:line="360" w:lineRule="auto"/>
        <w:ind w:firstLine="420"/>
        <w:rPr>
          <w:sz w:val="21"/>
          <w:szCs w:val="21"/>
        </w:rPr>
      </w:pPr>
      <w:r>
        <w:rPr>
          <w:rFonts w:hint="eastAsia"/>
          <w:sz w:val="21"/>
          <w:szCs w:val="21"/>
        </w:rPr>
        <w:t xml:space="preserve">2、债券（除可转换债券、可交换债券）投资策略 </w:t>
      </w:r>
    </w:p>
    <w:p>
      <w:pPr>
        <w:pStyle w:val="7"/>
        <w:spacing w:before="0" w:beforeAutospacing="0" w:after="0" w:afterAutospacing="0" w:line="360" w:lineRule="auto"/>
        <w:ind w:firstLine="420"/>
        <w:rPr>
          <w:sz w:val="21"/>
          <w:szCs w:val="21"/>
        </w:rPr>
      </w:pPr>
      <w:r>
        <w:rPr>
          <w:rFonts w:hint="eastAsia"/>
          <w:sz w:val="21"/>
          <w:szCs w:val="21"/>
        </w:rPr>
        <w:t xml:space="preserve">本基金债券投资组合将着重考虑基金的流动性管理及策略性投资的需要进行配置。债券投资的目的是保证基金资产流动性，有效利用基金资产，提高基金资产的投资收益。 </w:t>
      </w:r>
    </w:p>
    <w:p>
      <w:pPr>
        <w:pStyle w:val="7"/>
        <w:spacing w:before="0" w:beforeAutospacing="0" w:after="0" w:afterAutospacing="0" w:line="360" w:lineRule="auto"/>
        <w:ind w:firstLine="420"/>
        <w:rPr>
          <w:sz w:val="21"/>
          <w:szCs w:val="21"/>
        </w:rPr>
      </w:pPr>
      <w:r>
        <w:rPr>
          <w:rFonts w:hint="eastAsia"/>
          <w:sz w:val="21"/>
          <w:szCs w:val="21"/>
        </w:rPr>
        <w:t xml:space="preserve">3、资产支持证券投资策略 </w:t>
      </w:r>
    </w:p>
    <w:p>
      <w:pPr>
        <w:pStyle w:val="7"/>
        <w:spacing w:before="0" w:beforeAutospacing="0" w:after="0" w:afterAutospacing="0" w:line="360" w:lineRule="auto"/>
        <w:ind w:firstLine="420"/>
        <w:rPr>
          <w:sz w:val="21"/>
          <w:szCs w:val="21"/>
        </w:rPr>
      </w:pPr>
      <w:r>
        <w:rPr>
          <w:rFonts w:hint="eastAsia"/>
          <w:sz w:val="21"/>
          <w:szCs w:val="21"/>
        </w:rPr>
        <w:t xml:space="preserve">本基金投资资产支持证券将综合运用战略资产配置和战术资产配置进行资产支持证券投资组合管理，并根据信用风险、利率风险和流动性风险变化积极调整投资策略，严格遵守法律法规和基金合同，在力争本金安全和基金资产流动性基础上获得长期稳定收益。 </w:t>
      </w:r>
    </w:p>
    <w:p>
      <w:pPr>
        <w:pStyle w:val="7"/>
        <w:spacing w:before="0" w:beforeAutospacing="0" w:after="0" w:afterAutospacing="0" w:line="360" w:lineRule="auto"/>
        <w:ind w:firstLine="420"/>
        <w:rPr>
          <w:sz w:val="21"/>
          <w:szCs w:val="21"/>
        </w:rPr>
      </w:pPr>
      <w:r>
        <w:rPr>
          <w:rFonts w:hint="eastAsia"/>
          <w:sz w:val="21"/>
          <w:szCs w:val="21"/>
        </w:rPr>
        <w:t xml:space="preserve">4、可转换债券、可交换债券投资策略 </w:t>
      </w:r>
    </w:p>
    <w:p>
      <w:pPr>
        <w:pStyle w:val="7"/>
        <w:spacing w:before="0" w:beforeAutospacing="0" w:after="0" w:afterAutospacing="0" w:line="360" w:lineRule="auto"/>
        <w:ind w:firstLine="420"/>
        <w:rPr>
          <w:sz w:val="21"/>
          <w:szCs w:val="21"/>
        </w:rPr>
      </w:pPr>
      <w:r>
        <w:rPr>
          <w:rFonts w:hint="eastAsia"/>
          <w:sz w:val="21"/>
          <w:szCs w:val="21"/>
        </w:rPr>
        <w:t xml:space="preserve">在分析宏观经济运行特征并对各类市场大势做出判断的前提下，本基金着重对可转换债券所对应的基础股票进行分析和研究，从行业选择和个券选择两方面进行全方位的评估，对盈利能力或成长性较好的行业和上市公司的可转换债券进行重点关注，并结合基金管理人可转债评级系统对可转换债券投资价值进行有效的评估，选择投资价值较高的个券进行投资。 </w:t>
      </w:r>
    </w:p>
    <w:p>
      <w:pPr>
        <w:pStyle w:val="7"/>
        <w:spacing w:before="0" w:beforeAutospacing="0" w:after="0" w:afterAutospacing="0" w:line="360" w:lineRule="auto"/>
        <w:ind w:firstLine="420"/>
        <w:rPr>
          <w:sz w:val="21"/>
          <w:szCs w:val="21"/>
        </w:rPr>
      </w:pPr>
      <w:r>
        <w:rPr>
          <w:rFonts w:hint="eastAsia"/>
          <w:sz w:val="21"/>
          <w:szCs w:val="21"/>
        </w:rPr>
        <w:t xml:space="preserve">可交换债券在换股期间用于交换的股票是发行人持有的其他上市公司(以下简称“目标公司”)的股票。可交换债券同样兼具股票和债券的特性。其中,债券特性与可转换债券相同,指持有至到期获取的票面利息和票面价值。股票特性则指目标公司的成长能力、盈利能力及目标公司股票价格的成长性等。本基金将通过对可交换债券的纯债价值和目标公司的股票价值进行研究分析,综合开展投资决策。  </w:t>
      </w:r>
    </w:p>
    <w:p>
      <w:pPr>
        <w:pStyle w:val="7"/>
        <w:spacing w:before="0" w:beforeAutospacing="0" w:after="0" w:afterAutospacing="0" w:line="360" w:lineRule="auto"/>
        <w:ind w:firstLine="420"/>
        <w:rPr>
          <w:sz w:val="21"/>
          <w:szCs w:val="21"/>
        </w:rPr>
      </w:pPr>
      <w:r>
        <w:rPr>
          <w:rFonts w:hint="eastAsia"/>
          <w:sz w:val="21"/>
          <w:szCs w:val="21"/>
        </w:rPr>
        <w:t xml:space="preserve">5、金融衍生品投资策略 </w:t>
      </w:r>
    </w:p>
    <w:p>
      <w:pPr>
        <w:pStyle w:val="7"/>
        <w:spacing w:before="0" w:beforeAutospacing="0" w:after="0" w:afterAutospacing="0" w:line="360" w:lineRule="auto"/>
        <w:ind w:firstLine="420"/>
        <w:rPr>
          <w:sz w:val="21"/>
          <w:szCs w:val="21"/>
        </w:rPr>
      </w:pPr>
      <w:r>
        <w:rPr>
          <w:rFonts w:hint="eastAsia"/>
          <w:sz w:val="21"/>
          <w:szCs w:val="21"/>
        </w:rPr>
        <w:t xml:space="preserve">（1）股指期货交易策略  </w:t>
      </w:r>
    </w:p>
    <w:p>
      <w:pPr>
        <w:pStyle w:val="7"/>
        <w:spacing w:before="0" w:beforeAutospacing="0" w:after="0" w:afterAutospacing="0" w:line="360" w:lineRule="auto"/>
        <w:ind w:firstLine="420"/>
        <w:rPr>
          <w:sz w:val="21"/>
          <w:szCs w:val="21"/>
        </w:rPr>
      </w:pPr>
      <w:r>
        <w:rPr>
          <w:rFonts w:hint="eastAsia"/>
          <w:sz w:val="21"/>
          <w:szCs w:val="21"/>
        </w:rPr>
        <w:t xml:space="preserve">本基金将在风险可控的前提下，根据风险管理原则，以套期保值为目的，适度参与股指期货交易。本基金将根据对现货和期货市场的分析，充分考虑股指期货的风险收益特征进行股指期货交易，以改善投资组合的投资效果。 </w:t>
      </w:r>
    </w:p>
    <w:p>
      <w:pPr>
        <w:pStyle w:val="7"/>
        <w:spacing w:before="0" w:beforeAutospacing="0" w:after="0" w:afterAutospacing="0" w:line="360" w:lineRule="auto"/>
        <w:ind w:firstLine="420"/>
        <w:rPr>
          <w:sz w:val="21"/>
          <w:szCs w:val="21"/>
        </w:rPr>
      </w:pPr>
      <w:r>
        <w:rPr>
          <w:rFonts w:hint="eastAsia"/>
          <w:sz w:val="21"/>
          <w:szCs w:val="21"/>
        </w:rPr>
        <w:t xml:space="preserve">（2）股票期权投资策略  </w:t>
      </w:r>
    </w:p>
    <w:p>
      <w:pPr>
        <w:pStyle w:val="7"/>
        <w:spacing w:before="0" w:beforeAutospacing="0" w:after="0" w:afterAutospacing="0" w:line="360" w:lineRule="auto"/>
        <w:ind w:firstLine="420"/>
        <w:rPr>
          <w:sz w:val="21"/>
          <w:szCs w:val="21"/>
        </w:rPr>
      </w:pPr>
      <w:r>
        <w:rPr>
          <w:rFonts w:hint="eastAsia"/>
          <w:sz w:val="21"/>
          <w:szCs w:val="21"/>
        </w:rPr>
        <w:t xml:space="preserve">本基金将按照风险管理的原则，以套期保值为主要目的参与股票期权交易。本基金将结合投资目标、比例限制、风险收益特征以及法律法规的相关限定和要求，确定参与股票期权交易的投资时机和投资比例。 </w:t>
      </w:r>
    </w:p>
    <w:p>
      <w:pPr>
        <w:pStyle w:val="7"/>
        <w:spacing w:before="0" w:beforeAutospacing="0" w:after="0" w:afterAutospacing="0" w:line="360" w:lineRule="auto"/>
        <w:ind w:firstLine="420"/>
        <w:rPr>
          <w:sz w:val="21"/>
          <w:szCs w:val="21"/>
        </w:rPr>
      </w:pPr>
      <w:r>
        <w:rPr>
          <w:rFonts w:hint="eastAsia"/>
          <w:sz w:val="21"/>
          <w:szCs w:val="21"/>
        </w:rPr>
        <w:t xml:space="preserve">（3）国债期货交易策略  </w:t>
      </w:r>
    </w:p>
    <w:p>
      <w:pPr>
        <w:pStyle w:val="7"/>
        <w:spacing w:before="0" w:beforeAutospacing="0" w:after="0" w:afterAutospacing="0" w:line="360" w:lineRule="auto"/>
        <w:ind w:firstLine="420"/>
        <w:rPr>
          <w:sz w:val="21"/>
          <w:szCs w:val="21"/>
        </w:rPr>
      </w:pPr>
      <w:r>
        <w:rPr>
          <w:rFonts w:hint="eastAsia"/>
          <w:sz w:val="21"/>
          <w:szCs w:val="21"/>
        </w:rPr>
        <w:t xml:space="preserve">本基金参与国债期货交易，以套期保值为目的，将根据风险管理的原则，充分考虑国债期货的流动性和风险收益特征，在风险可控的前提下，适度参与国债期货交易。 </w:t>
      </w:r>
    </w:p>
    <w:p>
      <w:pPr>
        <w:pStyle w:val="7"/>
        <w:spacing w:before="0" w:beforeAutospacing="0" w:after="0" w:afterAutospacing="0" w:line="360" w:lineRule="auto"/>
        <w:ind w:firstLine="420"/>
        <w:rPr>
          <w:sz w:val="21"/>
          <w:szCs w:val="21"/>
        </w:rPr>
      </w:pPr>
      <w:r>
        <w:rPr>
          <w:rFonts w:hint="eastAsia"/>
          <w:sz w:val="21"/>
          <w:szCs w:val="21"/>
        </w:rPr>
        <w:t xml:space="preserve">6、融资和转融通证券出借投资策略 </w:t>
      </w:r>
    </w:p>
    <w:p>
      <w:pPr>
        <w:pStyle w:val="7"/>
        <w:spacing w:before="0" w:beforeAutospacing="0" w:after="0" w:afterAutospacing="0" w:line="360" w:lineRule="auto"/>
        <w:ind w:firstLine="420"/>
        <w:rPr>
          <w:sz w:val="21"/>
          <w:szCs w:val="21"/>
        </w:rPr>
      </w:pPr>
      <w:r>
        <w:rPr>
          <w:rFonts w:hint="eastAsia"/>
          <w:sz w:val="21"/>
          <w:szCs w:val="21"/>
        </w:rPr>
        <w:t xml:space="preserve">本基金将在充分考虑风险和收益特征的基础上，审慎参与融资和转融通证券出借业务。本基金将基于对市场行情和组合风险收益的分析，确定投资时机、标的证券以及投资比例。本基金将根据市场情况、投资者类型和结构、本基金的历史申赎情况、出借证券流动性情况等因素，合理确定出借证券的范围和品类。若相关融资及转融通证券出借业务法律法规发生变化，本基金将从其最新规定，以符合上述法律法规和监管要求的变化。 </w:t>
      </w:r>
    </w:p>
    <w:p>
      <w:pPr>
        <w:pStyle w:val="7"/>
        <w:spacing w:before="0" w:beforeAutospacing="0" w:after="0" w:afterAutospacing="0" w:line="360" w:lineRule="auto"/>
        <w:ind w:firstLine="420"/>
        <w:rPr>
          <w:sz w:val="21"/>
          <w:szCs w:val="21"/>
        </w:rPr>
      </w:pPr>
      <w:r>
        <w:rPr>
          <w:rFonts w:hint="eastAsia"/>
          <w:sz w:val="21"/>
          <w:szCs w:val="21"/>
        </w:rPr>
        <w:t xml:space="preserve">7、存托凭证投资策略 </w:t>
      </w:r>
    </w:p>
    <w:p>
      <w:pPr>
        <w:pStyle w:val="7"/>
        <w:spacing w:before="0" w:beforeAutospacing="0" w:after="0" w:afterAutospacing="0" w:line="360" w:lineRule="auto"/>
        <w:ind w:firstLine="420"/>
        <w:rPr>
          <w:sz w:val="21"/>
          <w:szCs w:val="21"/>
        </w:rPr>
      </w:pPr>
      <w:r>
        <w:rPr>
          <w:rFonts w:hint="eastAsia"/>
          <w:sz w:val="21"/>
          <w:szCs w:val="21"/>
        </w:rPr>
        <w:t xml:space="preserve">本基金将根据本基金的投资目标和股票投资策略，基于对基础证券投资价值的深入研究判断，进行存托凭证的投资。 </w:t>
      </w:r>
    </w:p>
    <w:p>
      <w:pPr>
        <w:pStyle w:val="7"/>
        <w:spacing w:before="0" w:beforeAutospacing="0" w:after="0" w:afterAutospacing="0" w:line="360" w:lineRule="auto"/>
        <w:ind w:firstLine="420"/>
        <w:rPr>
          <w:sz w:val="21"/>
          <w:szCs w:val="21"/>
        </w:rPr>
      </w:pPr>
      <w:r>
        <w:rPr>
          <w:rFonts w:hint="eastAsia"/>
          <w:sz w:val="21"/>
          <w:szCs w:val="21"/>
        </w:rPr>
        <w:t xml:space="preserve">未来，随着投资工具的发展和丰富，本基金可在不改变投资目标的前提下，在履行适当程序后，相应调整和更新相关投资策略，并在招募说明书更新中公告。 </w:t>
      </w:r>
      <w:bookmarkStart w:id="108" w:name="field_60_investmentstrategy_1_end"/>
      <w:bookmarkEnd w:id="108"/>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四、投资管理流程</w:t>
      </w:r>
    </w:p>
    <w:p>
      <w:pPr>
        <w:pStyle w:val="7"/>
        <w:spacing w:before="0" w:beforeAutospacing="0" w:after="0" w:afterAutospacing="0" w:line="360" w:lineRule="auto"/>
        <w:ind w:firstLine="420"/>
        <w:rPr>
          <w:sz w:val="21"/>
          <w:szCs w:val="21"/>
        </w:rPr>
      </w:pPr>
      <w:r>
        <w:rPr>
          <w:rFonts w:hint="eastAsia"/>
          <w:sz w:val="21"/>
          <w:szCs w:val="21"/>
        </w:rPr>
        <w:t xml:space="preserve">1、投资决策依据 </w:t>
      </w:r>
    </w:p>
    <w:p>
      <w:pPr>
        <w:pStyle w:val="7"/>
        <w:spacing w:before="0" w:beforeAutospacing="0" w:after="0" w:afterAutospacing="0" w:line="360" w:lineRule="auto"/>
        <w:ind w:firstLine="420"/>
        <w:rPr>
          <w:sz w:val="21"/>
          <w:szCs w:val="21"/>
        </w:rPr>
      </w:pPr>
      <w:r>
        <w:rPr>
          <w:rFonts w:hint="eastAsia"/>
          <w:sz w:val="21"/>
          <w:szCs w:val="21"/>
        </w:rPr>
        <w:t xml:space="preserve">有关法律法规、基金合同以及标的指数的相关规定是基金管理人运用基金财产的决策依据。 </w:t>
      </w:r>
    </w:p>
    <w:p>
      <w:pPr>
        <w:pStyle w:val="7"/>
        <w:spacing w:before="0" w:beforeAutospacing="0" w:after="0" w:afterAutospacing="0" w:line="360" w:lineRule="auto"/>
        <w:ind w:firstLine="420"/>
        <w:rPr>
          <w:sz w:val="21"/>
          <w:szCs w:val="21"/>
        </w:rPr>
      </w:pPr>
      <w:r>
        <w:rPr>
          <w:rFonts w:hint="eastAsia"/>
          <w:sz w:val="21"/>
          <w:szCs w:val="21"/>
        </w:rPr>
        <w:t xml:space="preserve">2、投资管理体制 </w:t>
      </w:r>
    </w:p>
    <w:p>
      <w:pPr>
        <w:pStyle w:val="7"/>
        <w:spacing w:before="0" w:beforeAutospacing="0" w:after="0" w:afterAutospacing="0" w:line="360" w:lineRule="auto"/>
        <w:ind w:firstLine="420"/>
        <w:rPr>
          <w:sz w:val="21"/>
          <w:szCs w:val="21"/>
        </w:rPr>
      </w:pPr>
      <w:r>
        <w:rPr>
          <w:rFonts w:hint="eastAsia"/>
          <w:sz w:val="21"/>
          <w:szCs w:val="21"/>
        </w:rPr>
        <w:t xml:space="preserve">本基金管理人实行投资决策委员会领导下的基金经理负责制。投资决策委员会负责做出有关标的指数重大调整的应对决策、基金组合重大调整的决策，以及其他单项投资的重大决策。基金经理负责做出日常标的指数跟踪维护过程中的组合构建、组合调整及基金每日申购赎回清单的编制等决策。 </w:t>
      </w:r>
    </w:p>
    <w:p>
      <w:pPr>
        <w:pStyle w:val="7"/>
        <w:spacing w:before="0" w:beforeAutospacing="0" w:after="0" w:afterAutospacing="0" w:line="360" w:lineRule="auto"/>
        <w:ind w:firstLine="420"/>
        <w:rPr>
          <w:sz w:val="21"/>
          <w:szCs w:val="21"/>
        </w:rPr>
      </w:pPr>
      <w:r>
        <w:rPr>
          <w:rFonts w:hint="eastAsia"/>
          <w:sz w:val="21"/>
          <w:szCs w:val="21"/>
        </w:rPr>
        <w:t xml:space="preserve">3、投资管理程序 </w:t>
      </w:r>
    </w:p>
    <w:p>
      <w:pPr>
        <w:pStyle w:val="7"/>
        <w:spacing w:before="0" w:beforeAutospacing="0" w:after="0" w:afterAutospacing="0" w:line="360" w:lineRule="auto"/>
        <w:ind w:firstLine="420"/>
        <w:rPr>
          <w:sz w:val="21"/>
          <w:szCs w:val="21"/>
        </w:rPr>
      </w:pPr>
      <w:r>
        <w:rPr>
          <w:rFonts w:hint="eastAsia"/>
          <w:sz w:val="21"/>
          <w:szCs w:val="21"/>
        </w:rPr>
        <w:t xml:space="preserve">研究、投资决策、组合构建、交易执行、投资绩效评估、组合监控与调整各环节的相互协调与配合，构成了本基金的投资管理程序。 </w:t>
      </w:r>
    </w:p>
    <w:p>
      <w:pPr>
        <w:pStyle w:val="7"/>
        <w:spacing w:before="0" w:beforeAutospacing="0" w:after="0" w:afterAutospacing="0" w:line="360" w:lineRule="auto"/>
        <w:ind w:firstLine="420"/>
        <w:rPr>
          <w:sz w:val="21"/>
          <w:szCs w:val="21"/>
        </w:rPr>
      </w:pPr>
      <w:r>
        <w:rPr>
          <w:rFonts w:hint="eastAsia"/>
          <w:sz w:val="21"/>
          <w:szCs w:val="21"/>
        </w:rPr>
        <w:t xml:space="preserve">（1）研究支持。基金管理人的研究部依托公司整体研究平台，整合外部信息包括券商等外部研究力量的研究成果，开展标的指数跟踪、成份股公司行为等相关信息的搜集与分析、成份股流动性分析、误差及其归因分析等工作，并撰写相关的研究报告，作为本基金投资决策的重要依据。 </w:t>
      </w:r>
    </w:p>
    <w:p>
      <w:pPr>
        <w:pStyle w:val="7"/>
        <w:spacing w:before="0" w:beforeAutospacing="0" w:after="0" w:afterAutospacing="0" w:line="360" w:lineRule="auto"/>
        <w:ind w:firstLine="420"/>
        <w:rPr>
          <w:sz w:val="21"/>
          <w:szCs w:val="21"/>
        </w:rPr>
      </w:pPr>
      <w:r>
        <w:rPr>
          <w:rFonts w:hint="eastAsia"/>
          <w:sz w:val="21"/>
          <w:szCs w:val="21"/>
        </w:rPr>
        <w:t xml:space="preserve">（2）投资决策。基金管理人的投资决策委员会依据研究部提供的研究报告，定期或遇重大事件时临时召开投资决策委员会议，对相关事项做出决策。基金经理根据投资决策委员会的决议，做出基金投资管理的日常决策。 </w:t>
      </w:r>
    </w:p>
    <w:p>
      <w:pPr>
        <w:pStyle w:val="7"/>
        <w:spacing w:before="0" w:beforeAutospacing="0" w:after="0" w:afterAutospacing="0" w:line="360" w:lineRule="auto"/>
        <w:ind w:firstLine="420"/>
        <w:rPr>
          <w:sz w:val="21"/>
          <w:szCs w:val="21"/>
        </w:rPr>
      </w:pPr>
      <w:r>
        <w:rPr>
          <w:rFonts w:hint="eastAsia"/>
          <w:sz w:val="21"/>
          <w:szCs w:val="21"/>
        </w:rPr>
        <w:t xml:space="preserve">（3）组合构建。结合研究报告，基金经理主要采取完全复制法，即按照标的指数的成份股组成及其权重构建基金股票投资组合，并根据标的指数成份股及其权重的变动而进行相应的调整。在追求跟踪误差和跟踪偏离度最小化的前提下，基金经理可采取适当的方法，提高投资效率，降低交易成本，控制投资风险。 </w:t>
      </w:r>
    </w:p>
    <w:p>
      <w:pPr>
        <w:pStyle w:val="7"/>
        <w:spacing w:before="0" w:beforeAutospacing="0" w:after="0" w:afterAutospacing="0" w:line="360" w:lineRule="auto"/>
        <w:ind w:firstLine="420"/>
        <w:rPr>
          <w:sz w:val="21"/>
          <w:szCs w:val="21"/>
        </w:rPr>
      </w:pPr>
      <w:r>
        <w:rPr>
          <w:rFonts w:hint="eastAsia"/>
          <w:sz w:val="21"/>
          <w:szCs w:val="21"/>
        </w:rPr>
        <w:t xml:space="preserve">（4）交易执行。基金管理人的交易部负责本基金的具体交易执行，交易部同时履行一线监控的职责。 </w:t>
      </w:r>
    </w:p>
    <w:p>
      <w:pPr>
        <w:pStyle w:val="7"/>
        <w:spacing w:before="0" w:beforeAutospacing="0" w:after="0" w:afterAutospacing="0" w:line="360" w:lineRule="auto"/>
        <w:ind w:firstLine="420"/>
        <w:rPr>
          <w:sz w:val="21"/>
          <w:szCs w:val="21"/>
        </w:rPr>
      </w:pPr>
      <w:r>
        <w:rPr>
          <w:rFonts w:hint="eastAsia"/>
          <w:sz w:val="21"/>
          <w:szCs w:val="21"/>
        </w:rPr>
        <w:t xml:space="preserve">（5）投资绩效评估。本基金管理人定期和不定期对本基金的投资绩效进行评估，并撰写相关的绩效评估报告，确认基金组合是否实现了投资预期，投资策略是否成功，并对基金组合误差的来源进行归因分析等。基金经理依据绩效评估报告总结或检讨以往的投资策略，如果需要，亦对投资组合进行相应的调整。 </w:t>
      </w:r>
    </w:p>
    <w:p>
      <w:pPr>
        <w:pStyle w:val="7"/>
        <w:spacing w:before="0" w:beforeAutospacing="0" w:after="0" w:afterAutospacing="0" w:line="360" w:lineRule="auto"/>
        <w:ind w:firstLine="420"/>
        <w:rPr>
          <w:sz w:val="21"/>
          <w:szCs w:val="21"/>
        </w:rPr>
      </w:pPr>
      <w:r>
        <w:rPr>
          <w:rFonts w:hint="eastAsia"/>
          <w:sz w:val="21"/>
          <w:szCs w:val="21"/>
        </w:rPr>
        <w:t xml:space="preserve">（6）组合监控与调整。基金经理根据标的指数的每日变动情况，结合成份股等的基本面情况、流动性状况、基金申购赎回的现金流量情况，以及基金投资绩效评估结果等，对基金投资组合进行动态监控和调整，密切跟踪标的指数。 </w:t>
      </w:r>
    </w:p>
    <w:p>
      <w:pPr>
        <w:pStyle w:val="7"/>
        <w:spacing w:before="0" w:beforeAutospacing="0" w:after="0" w:afterAutospacing="0" w:line="360" w:lineRule="auto"/>
        <w:ind w:firstLine="420"/>
        <w:rPr>
          <w:sz w:val="21"/>
          <w:szCs w:val="21"/>
        </w:rPr>
      </w:pPr>
      <w:r>
        <w:rPr>
          <w:rFonts w:hint="eastAsia"/>
          <w:sz w:val="21"/>
          <w:szCs w:val="21"/>
        </w:rPr>
        <w:t xml:space="preserve">（7）指数成份股发生明显负面事件面临退市风险，且指数编制机构暂未作出调整的，基金管理人将按照基金份额持有人利益优先的原则，综合考虑成份股的退市风险、其在指数中的权重以及对跟踪误差的影响，据此制定成份股替代策略，履行内部决策程序后对投资组合进行相应调整。 </w:t>
      </w:r>
    </w:p>
    <w:p>
      <w:pPr>
        <w:pStyle w:val="7"/>
        <w:spacing w:before="0" w:beforeAutospacing="0" w:after="0" w:afterAutospacing="0" w:line="360" w:lineRule="auto"/>
        <w:ind w:firstLine="420"/>
        <w:rPr>
          <w:sz w:val="21"/>
          <w:szCs w:val="21"/>
        </w:rPr>
      </w:pPr>
      <w:r>
        <w:rPr>
          <w:rFonts w:hint="eastAsia"/>
          <w:sz w:val="21"/>
          <w:szCs w:val="21"/>
        </w:rPr>
        <w:t xml:space="preserve">基金管理人在确保基金份额持有人利益的前提下，根据环境的变化和基金实际投资的需要，有权对上述投资程序做出调整，并将调整内容在基金招募说明书更新中予以公告。 </w:t>
      </w:r>
    </w:p>
    <w:p>
      <w:pPr>
        <w:pStyle w:val="7"/>
        <w:spacing w:before="0" w:beforeAutospacing="0" w:after="0" w:afterAutospacing="0" w:line="360" w:lineRule="auto"/>
        <w:ind w:firstLine="420"/>
        <w:rPr>
          <w:sz w:val="21"/>
          <w:szCs w:val="21"/>
        </w:rPr>
      </w:pPr>
      <w:r>
        <w:rPr>
          <w:rStyle w:val="11"/>
          <w:rFonts w:hint="eastAsia"/>
          <w:sz w:val="21"/>
          <w:szCs w:val="21"/>
        </w:rPr>
        <w:t>五、投资组合管理</w:t>
      </w:r>
    </w:p>
    <w:p>
      <w:pPr>
        <w:pStyle w:val="7"/>
        <w:spacing w:before="0" w:beforeAutospacing="0" w:after="0" w:afterAutospacing="0" w:line="360" w:lineRule="auto"/>
        <w:ind w:firstLine="420"/>
        <w:rPr>
          <w:sz w:val="21"/>
          <w:szCs w:val="21"/>
        </w:rPr>
      </w:pPr>
      <w:r>
        <w:rPr>
          <w:rFonts w:hint="eastAsia"/>
          <w:sz w:val="21"/>
          <w:szCs w:val="21"/>
        </w:rPr>
        <w:t xml:space="preserve">1、投资组合的构建 </w:t>
      </w:r>
    </w:p>
    <w:p>
      <w:pPr>
        <w:pStyle w:val="7"/>
        <w:spacing w:before="0" w:beforeAutospacing="0" w:after="0" w:afterAutospacing="0" w:line="360" w:lineRule="auto"/>
        <w:ind w:firstLine="420"/>
        <w:rPr>
          <w:sz w:val="21"/>
          <w:szCs w:val="21"/>
        </w:rPr>
      </w:pPr>
      <w:r>
        <w:rPr>
          <w:rFonts w:hint="eastAsia"/>
          <w:sz w:val="21"/>
          <w:szCs w:val="21"/>
        </w:rPr>
        <w:t xml:space="preserve">基金管理人构建基金投资组合的过程主要分为三个步骤：确定目标组合、制定建仓策略，以及逐步调整组合。 </w:t>
      </w:r>
    </w:p>
    <w:p>
      <w:pPr>
        <w:pStyle w:val="7"/>
        <w:spacing w:before="0" w:beforeAutospacing="0" w:after="0" w:afterAutospacing="0" w:line="360" w:lineRule="auto"/>
        <w:ind w:firstLine="420"/>
        <w:rPr>
          <w:sz w:val="21"/>
          <w:szCs w:val="21"/>
        </w:rPr>
      </w:pPr>
      <w:r>
        <w:rPr>
          <w:rFonts w:hint="eastAsia"/>
          <w:sz w:val="21"/>
          <w:szCs w:val="21"/>
        </w:rPr>
        <w:t xml:space="preserve">（1）确定目标组合。基金管理人主要采取完全复制法，即按照标的指数的成份股组成及其权重构建基金股票投资组合。 </w:t>
      </w:r>
    </w:p>
    <w:p>
      <w:pPr>
        <w:pStyle w:val="7"/>
        <w:spacing w:before="0" w:beforeAutospacing="0" w:after="0" w:afterAutospacing="0" w:line="360" w:lineRule="auto"/>
        <w:ind w:firstLine="420"/>
        <w:rPr>
          <w:sz w:val="21"/>
          <w:szCs w:val="21"/>
        </w:rPr>
      </w:pPr>
      <w:r>
        <w:rPr>
          <w:rFonts w:hint="eastAsia"/>
          <w:sz w:val="21"/>
          <w:szCs w:val="21"/>
        </w:rPr>
        <w:t xml:space="preserve">（2）制定建仓策略。基金经理依据对标的指数成份股的流动性和交易成本等因素所做的分析，制定合理的建仓策略。 </w:t>
      </w:r>
    </w:p>
    <w:p>
      <w:pPr>
        <w:pStyle w:val="7"/>
        <w:spacing w:before="0" w:beforeAutospacing="0" w:after="0" w:afterAutospacing="0" w:line="360" w:lineRule="auto"/>
        <w:ind w:firstLine="420"/>
        <w:rPr>
          <w:sz w:val="21"/>
          <w:szCs w:val="21"/>
        </w:rPr>
      </w:pPr>
      <w:r>
        <w:rPr>
          <w:rFonts w:hint="eastAsia"/>
          <w:sz w:val="21"/>
          <w:szCs w:val="21"/>
        </w:rPr>
        <w:t xml:space="preserve">（3）逐步调整组合。基金经理在规定时间内，采取适当的手段和措施，对实际投资组合进行动态调整，直至达到紧密跟踪标的指数的目标。 </w:t>
      </w:r>
    </w:p>
    <w:p>
      <w:pPr>
        <w:pStyle w:val="7"/>
        <w:spacing w:before="0" w:beforeAutospacing="0" w:after="0" w:afterAutospacing="0" w:line="360" w:lineRule="auto"/>
        <w:ind w:firstLine="420"/>
        <w:rPr>
          <w:sz w:val="21"/>
          <w:szCs w:val="21"/>
        </w:rPr>
      </w:pPr>
      <w:r>
        <w:rPr>
          <w:rFonts w:hint="eastAsia"/>
          <w:sz w:val="21"/>
          <w:szCs w:val="21"/>
        </w:rPr>
        <w:t xml:space="preserve">本基金跟踪标的指数成份股和备选成份股的资产比例不低于基金资产净值的90%。本基金将在基金合同生效之日起6个月内达到这一投资比例。此后，如因标的指数成份股调整、基金申购赎回带来现金等因素导致基金不符合这一投资比例的，基金管理人将在10个交易日内进行调整。 </w:t>
      </w:r>
    </w:p>
    <w:p>
      <w:pPr>
        <w:pStyle w:val="7"/>
        <w:spacing w:before="0" w:beforeAutospacing="0" w:after="0" w:afterAutospacing="0" w:line="360" w:lineRule="auto"/>
        <w:ind w:firstLine="420"/>
        <w:rPr>
          <w:sz w:val="21"/>
          <w:szCs w:val="21"/>
        </w:rPr>
      </w:pPr>
      <w:r>
        <w:rPr>
          <w:rFonts w:hint="eastAsia"/>
          <w:sz w:val="21"/>
          <w:szCs w:val="21"/>
        </w:rPr>
        <w:t xml:space="preserve">2、投资组合的日常管理 </w:t>
      </w:r>
    </w:p>
    <w:p>
      <w:pPr>
        <w:pStyle w:val="7"/>
        <w:spacing w:before="0" w:beforeAutospacing="0" w:after="0" w:afterAutospacing="0" w:line="360" w:lineRule="auto"/>
        <w:ind w:firstLine="420"/>
        <w:rPr>
          <w:sz w:val="21"/>
          <w:szCs w:val="21"/>
        </w:rPr>
      </w:pPr>
      <w:r>
        <w:rPr>
          <w:rFonts w:hint="eastAsia"/>
          <w:sz w:val="21"/>
          <w:szCs w:val="21"/>
        </w:rPr>
        <w:t xml:space="preserve">本基金投资组合的日常管理内容主要包括以下几个方面： </w:t>
      </w:r>
    </w:p>
    <w:p>
      <w:pPr>
        <w:pStyle w:val="7"/>
        <w:spacing w:before="0" w:beforeAutospacing="0" w:after="0" w:afterAutospacing="0" w:line="360" w:lineRule="auto"/>
        <w:ind w:firstLine="420"/>
        <w:rPr>
          <w:sz w:val="21"/>
          <w:szCs w:val="21"/>
        </w:rPr>
      </w:pPr>
      <w:r>
        <w:rPr>
          <w:rFonts w:hint="eastAsia"/>
          <w:sz w:val="21"/>
          <w:szCs w:val="21"/>
        </w:rPr>
        <w:t xml:space="preserve">（1）标的指数成份股公司行为信息的跟踪与分析。跟踪分析标的指数成份股公司行为等信息，如股本变化、分红、停牌、复牌，以及成份股公司其他重大信息，分析这些信息对指数的影响，进而分析是否需要对投资组合进行调整，为投资决策提供依据。 </w:t>
      </w:r>
    </w:p>
    <w:p>
      <w:pPr>
        <w:pStyle w:val="7"/>
        <w:spacing w:before="0" w:beforeAutospacing="0" w:after="0" w:afterAutospacing="0" w:line="360" w:lineRule="auto"/>
        <w:ind w:firstLine="420"/>
        <w:rPr>
          <w:sz w:val="21"/>
          <w:szCs w:val="21"/>
        </w:rPr>
      </w:pPr>
      <w:r>
        <w:rPr>
          <w:rFonts w:hint="eastAsia"/>
          <w:sz w:val="21"/>
          <w:szCs w:val="21"/>
        </w:rPr>
        <w:t xml:space="preserve">（2）标的指数的跟踪与分析。跟踪分析标的指数的调整等变化，确定标的指数的变化是否与预期相一致，分析是否存在差异及差异产生的原因，为投资决策提供依据。 </w:t>
      </w:r>
    </w:p>
    <w:p>
      <w:pPr>
        <w:pStyle w:val="7"/>
        <w:spacing w:before="0" w:beforeAutospacing="0" w:after="0" w:afterAutospacing="0" w:line="360" w:lineRule="auto"/>
        <w:ind w:firstLine="420"/>
        <w:rPr>
          <w:sz w:val="21"/>
          <w:szCs w:val="21"/>
        </w:rPr>
      </w:pPr>
      <w:r>
        <w:rPr>
          <w:rFonts w:hint="eastAsia"/>
          <w:sz w:val="21"/>
          <w:szCs w:val="21"/>
        </w:rPr>
        <w:t xml:space="preserve">（3）每日申购赎回情况的跟踪与分析。跟踪分析每日基金申购赎回信息，分析这些信息对投资组合的影响。 </w:t>
      </w:r>
    </w:p>
    <w:p>
      <w:pPr>
        <w:pStyle w:val="7"/>
        <w:spacing w:before="0" w:beforeAutospacing="0" w:after="0" w:afterAutospacing="0" w:line="360" w:lineRule="auto"/>
        <w:ind w:firstLine="420"/>
        <w:rPr>
          <w:sz w:val="21"/>
          <w:szCs w:val="21"/>
        </w:rPr>
      </w:pPr>
      <w:r>
        <w:rPr>
          <w:rFonts w:hint="eastAsia"/>
          <w:sz w:val="21"/>
          <w:szCs w:val="21"/>
        </w:rPr>
        <w:t xml:space="preserve">（4）投资组合持有证券、现金头寸及流动性分析。基金经理跟踪分析每日基金实际投资组合与目标组合的差异及差异产生的原因，并对拟调整的成份股的流动性进行分析。 </w:t>
      </w:r>
    </w:p>
    <w:p>
      <w:pPr>
        <w:pStyle w:val="7"/>
        <w:spacing w:before="0" w:beforeAutospacing="0" w:after="0" w:afterAutospacing="0" w:line="360" w:lineRule="auto"/>
        <w:ind w:firstLine="420"/>
        <w:rPr>
          <w:sz w:val="21"/>
          <w:szCs w:val="21"/>
        </w:rPr>
      </w:pPr>
      <w:r>
        <w:rPr>
          <w:rFonts w:hint="eastAsia"/>
          <w:sz w:val="21"/>
          <w:szCs w:val="21"/>
        </w:rPr>
        <w:t xml:space="preserve">（5）投资组合调整。使用数量化投资分析模型，寻找出将实际投资组合调整为所追求的目标组合的最优方案，确定组合交易计划；如标的指数成份股调整、成份股公司发生兼并、收购和重组等重大事件，由基金经理召集会议，决定基金的操作策略；进一步调整投资组合，达到所追求的目标组合的持仓结构。 </w:t>
      </w:r>
    </w:p>
    <w:p>
      <w:pPr>
        <w:pStyle w:val="7"/>
        <w:spacing w:before="0" w:beforeAutospacing="0" w:after="0" w:afterAutospacing="0" w:line="360" w:lineRule="auto"/>
        <w:ind w:firstLine="420"/>
        <w:rPr>
          <w:sz w:val="21"/>
          <w:szCs w:val="21"/>
        </w:rPr>
      </w:pPr>
      <w:r>
        <w:rPr>
          <w:rFonts w:hint="eastAsia"/>
          <w:sz w:val="21"/>
          <w:szCs w:val="21"/>
        </w:rPr>
        <w:t xml:space="preserve">（6）基金每日申购赎回清单的制作。基金经理以T－1日标的指数成份股的构成或者实际持仓股票的构成及相应权重为基础，并考虑T日将发生的上市公司变动等情况，制作T日基金申购赎回清单并予以公告。 </w:t>
      </w:r>
    </w:p>
    <w:p>
      <w:pPr>
        <w:pStyle w:val="7"/>
        <w:spacing w:before="0" w:beforeAutospacing="0" w:after="0" w:afterAutospacing="0" w:line="360" w:lineRule="auto"/>
        <w:ind w:firstLine="420"/>
        <w:rPr>
          <w:sz w:val="21"/>
          <w:szCs w:val="21"/>
        </w:rPr>
      </w:pPr>
      <w:r>
        <w:rPr>
          <w:rStyle w:val="11"/>
          <w:rFonts w:hint="eastAsia"/>
          <w:sz w:val="21"/>
          <w:szCs w:val="21"/>
        </w:rPr>
        <w:t>六、标的指数与业绩比较基准</w:t>
      </w:r>
    </w:p>
    <w:p>
      <w:pPr>
        <w:pStyle w:val="7"/>
        <w:spacing w:before="0" w:beforeAutospacing="0" w:after="0" w:afterAutospacing="0" w:line="360" w:lineRule="auto"/>
        <w:ind w:firstLine="420"/>
        <w:rPr>
          <w:sz w:val="21"/>
          <w:szCs w:val="21"/>
        </w:rPr>
      </w:pPr>
      <w:r>
        <w:rPr>
          <w:rFonts w:hint="eastAsia"/>
          <w:sz w:val="21"/>
          <w:szCs w:val="21"/>
        </w:rPr>
        <w:t xml:space="preserve">本基金的标的指数：中证全指自由现金流指数。 </w:t>
      </w:r>
    </w:p>
    <w:p>
      <w:pPr>
        <w:pStyle w:val="7"/>
        <w:spacing w:before="0" w:beforeAutospacing="0" w:after="0" w:afterAutospacing="0" w:line="360" w:lineRule="auto"/>
        <w:ind w:firstLine="420"/>
        <w:rPr>
          <w:sz w:val="21"/>
          <w:szCs w:val="21"/>
        </w:rPr>
      </w:pPr>
      <w:r>
        <w:rPr>
          <w:rFonts w:hint="eastAsia"/>
          <w:sz w:val="21"/>
          <w:szCs w:val="21"/>
        </w:rPr>
        <w:t xml:space="preserve">本基金的业绩比较基准为标的指数收益率，即中证全指自由现金流指数收益率。 </w:t>
      </w:r>
    </w:p>
    <w:p>
      <w:pPr>
        <w:pStyle w:val="7"/>
        <w:spacing w:before="0" w:beforeAutospacing="0" w:after="0" w:afterAutospacing="0" w:line="360" w:lineRule="auto"/>
        <w:ind w:firstLine="420"/>
        <w:rPr>
          <w:sz w:val="21"/>
          <w:szCs w:val="21"/>
        </w:rPr>
      </w:pPr>
      <w:r>
        <w:rPr>
          <w:rFonts w:hint="eastAsia"/>
          <w:sz w:val="21"/>
          <w:szCs w:val="21"/>
        </w:rPr>
        <w:t xml:space="preserve">未来若出现标的指数不符合要求（因成份股价格波动等指数编制方法变动之外的因素致使标的指数不符合要求以及法律法规、监管机构另有规定的情形除外）、指数编制机构退出等情形，基金管理人应当自该情形发生之日起十个工作日内向中国证监会报告并提出解决方案，如转换运作方式、与其他基金合并或者终止基金合同等，并在6个月内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自指数编制机构停止标的指数的编制及发布至解决方案确定期间，基金管理人应按照指数编制机构提供的最近一个交易日的指数信息遵循基金份额持有人利益优先原则维持基金投资运作。 </w:t>
      </w:r>
    </w:p>
    <w:p>
      <w:pPr>
        <w:pStyle w:val="7"/>
        <w:spacing w:before="0" w:beforeAutospacing="0" w:after="0" w:afterAutospacing="0" w:line="360" w:lineRule="auto"/>
        <w:ind w:firstLine="420"/>
        <w:rPr>
          <w:sz w:val="21"/>
          <w:szCs w:val="21"/>
        </w:rPr>
      </w:pPr>
      <w:r>
        <w:rPr>
          <w:rStyle w:val="11"/>
          <w:rFonts w:hint="eastAsia"/>
          <w:sz w:val="21"/>
          <w:szCs w:val="21"/>
        </w:rPr>
        <w:t>七、风险收益特征</w:t>
      </w:r>
    </w:p>
    <w:p>
      <w:pPr>
        <w:pStyle w:val="7"/>
        <w:spacing w:before="0" w:beforeAutospacing="0" w:after="0" w:afterAutospacing="0" w:line="360" w:lineRule="auto"/>
        <w:ind w:firstLine="420"/>
        <w:rPr>
          <w:sz w:val="21"/>
          <w:szCs w:val="21"/>
        </w:rPr>
      </w:pPr>
      <w:bookmarkStart w:id="109" w:name="field_60_riskyield_1_start"/>
      <w:bookmarkEnd w:id="109"/>
      <w:r>
        <w:rPr>
          <w:rFonts w:hint="eastAsia"/>
          <w:sz w:val="21"/>
          <w:szCs w:val="21"/>
        </w:rPr>
        <w:t xml:space="preserve">本基金属于股票型基金，其预期收益及预期风险水平高于混合型基金、债券型基金与货币市场基金。 </w:t>
      </w:r>
    </w:p>
    <w:p>
      <w:pPr>
        <w:pStyle w:val="7"/>
        <w:spacing w:before="0" w:beforeAutospacing="0" w:after="0" w:afterAutospacing="0" w:line="360" w:lineRule="auto"/>
        <w:ind w:firstLine="420"/>
        <w:rPr>
          <w:sz w:val="21"/>
          <w:szCs w:val="21"/>
        </w:rPr>
      </w:pPr>
      <w:r>
        <w:rPr>
          <w:rFonts w:hint="eastAsia"/>
          <w:sz w:val="21"/>
          <w:szCs w:val="21"/>
        </w:rPr>
        <w:t xml:space="preserve">本基金为被动式投资的股票型指数基金，跟踪中证全指自由现金流指数，其风险收益特征与标的指数所表征的市场组合的风险收益特征相似。 </w:t>
      </w:r>
      <w:bookmarkStart w:id="110" w:name="field_60_riskyield_1_end"/>
      <w:bookmarkEnd w:id="110"/>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八、投资限制与禁止行为</w:t>
      </w:r>
    </w:p>
    <w:p>
      <w:pPr>
        <w:pStyle w:val="7"/>
        <w:spacing w:before="0" w:beforeAutospacing="0" w:after="0" w:afterAutospacing="0" w:line="360" w:lineRule="auto"/>
        <w:ind w:firstLine="420"/>
        <w:rPr>
          <w:sz w:val="21"/>
          <w:szCs w:val="21"/>
        </w:rPr>
      </w:pPr>
      <w:r>
        <w:rPr>
          <w:rFonts w:hint="eastAsia"/>
          <w:sz w:val="21"/>
          <w:szCs w:val="21"/>
        </w:rPr>
        <w:t xml:space="preserve">1、组合限制 </w:t>
      </w:r>
    </w:p>
    <w:p>
      <w:pPr>
        <w:pStyle w:val="7"/>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pPr>
        <w:pStyle w:val="7"/>
        <w:spacing w:before="0" w:beforeAutospacing="0" w:after="0" w:afterAutospacing="0" w:line="360" w:lineRule="auto"/>
        <w:ind w:firstLine="420"/>
        <w:rPr>
          <w:sz w:val="21"/>
          <w:szCs w:val="21"/>
        </w:rPr>
      </w:pPr>
      <w:r>
        <w:rPr>
          <w:rFonts w:hint="eastAsia"/>
          <w:sz w:val="21"/>
          <w:szCs w:val="21"/>
        </w:rPr>
        <w:t xml:space="preserve">（1）本基金投资于标的指数成份股和备选成份股（含存托凭证）的资产比例不低于基金资产净值的90%； </w:t>
      </w:r>
    </w:p>
    <w:p>
      <w:pPr>
        <w:pStyle w:val="7"/>
        <w:spacing w:before="0" w:beforeAutospacing="0" w:after="0" w:afterAutospacing="0" w:line="360" w:lineRule="auto"/>
        <w:ind w:firstLine="420"/>
        <w:rPr>
          <w:sz w:val="21"/>
          <w:szCs w:val="21"/>
        </w:rPr>
      </w:pPr>
      <w:r>
        <w:rPr>
          <w:rFonts w:hint="eastAsia"/>
          <w:sz w:val="21"/>
          <w:szCs w:val="21"/>
        </w:rPr>
        <w:t xml:space="preserve">（2）本基金每个交易日日终在扣除股指期货、股票期权和国债期货合约需缴纳的交易保证金后，应当保持不低于交易保证金一倍的现金，其中现金不包括结算备付金、存出保证金和应收申购款等； </w:t>
      </w:r>
    </w:p>
    <w:p>
      <w:pPr>
        <w:pStyle w:val="7"/>
        <w:spacing w:before="0" w:beforeAutospacing="0" w:after="0" w:afterAutospacing="0" w:line="360" w:lineRule="auto"/>
        <w:ind w:firstLine="420"/>
        <w:rPr>
          <w:sz w:val="21"/>
          <w:szCs w:val="21"/>
        </w:rPr>
      </w:pPr>
      <w:r>
        <w:rPr>
          <w:rFonts w:hint="eastAsia"/>
          <w:sz w:val="21"/>
          <w:szCs w:val="21"/>
        </w:rPr>
        <w:t xml:space="preserve">（3）本基金持有的全部资产支持证券，其市值不得超过基金资产净值的20％； </w:t>
      </w:r>
    </w:p>
    <w:p>
      <w:pPr>
        <w:pStyle w:val="7"/>
        <w:spacing w:before="0" w:beforeAutospacing="0" w:after="0" w:afterAutospacing="0" w:line="360" w:lineRule="auto"/>
        <w:ind w:firstLine="420"/>
        <w:rPr>
          <w:sz w:val="21"/>
          <w:szCs w:val="21"/>
        </w:rPr>
      </w:pPr>
      <w:r>
        <w:rPr>
          <w:rFonts w:hint="eastAsia"/>
          <w:sz w:val="21"/>
          <w:szCs w:val="21"/>
        </w:rPr>
        <w:t xml:space="preserve">（4）本基金投资于同一原始权益人的各类资产支持证券的比例，不得超过基金资产净值的10％； </w:t>
      </w:r>
    </w:p>
    <w:p>
      <w:pPr>
        <w:pStyle w:val="7"/>
        <w:spacing w:before="0" w:beforeAutospacing="0" w:after="0" w:afterAutospacing="0" w:line="360" w:lineRule="auto"/>
        <w:ind w:firstLine="420"/>
        <w:rPr>
          <w:sz w:val="21"/>
          <w:szCs w:val="21"/>
        </w:rPr>
      </w:pPr>
      <w:r>
        <w:rPr>
          <w:rFonts w:hint="eastAsia"/>
          <w:sz w:val="21"/>
          <w:szCs w:val="21"/>
        </w:rPr>
        <w:t xml:space="preserve">（5）本基金持有的同一(指同一信用级别)资产支持证券的比例，不得超过该资产支持证券规模的10％； </w:t>
      </w:r>
    </w:p>
    <w:p>
      <w:pPr>
        <w:pStyle w:val="7"/>
        <w:spacing w:before="0" w:beforeAutospacing="0" w:after="0" w:afterAutospacing="0" w:line="360" w:lineRule="auto"/>
        <w:ind w:firstLine="420"/>
        <w:rPr>
          <w:sz w:val="21"/>
          <w:szCs w:val="21"/>
        </w:rPr>
      </w:pPr>
      <w:r>
        <w:rPr>
          <w:rFonts w:hint="eastAsia"/>
          <w:sz w:val="21"/>
          <w:szCs w:val="21"/>
        </w:rPr>
        <w:t xml:space="preserve">（6）本基金管理人管理的全部基金投资于同一原始权益人的各类资产支持证券，不得超过其各类资产支持证券合计规模的10％； </w:t>
      </w:r>
    </w:p>
    <w:p>
      <w:pPr>
        <w:pStyle w:val="7"/>
        <w:spacing w:before="0" w:beforeAutospacing="0" w:after="0" w:afterAutospacing="0" w:line="360" w:lineRule="auto"/>
        <w:ind w:firstLine="420"/>
        <w:rPr>
          <w:sz w:val="21"/>
          <w:szCs w:val="21"/>
        </w:rPr>
      </w:pPr>
      <w:r>
        <w:rPr>
          <w:rFonts w:hint="eastAsia"/>
          <w:sz w:val="21"/>
          <w:szCs w:val="21"/>
        </w:rPr>
        <w:t xml:space="preserve">（7）本基金应投资于信用级别评级为BBB以上(含BBB)的资产支持证券。基金持有资产支持证券期间，如果其信用等级下降、不再符合投资标准，应在评级报告发布之日起3个月内予以全部卖出； </w:t>
      </w:r>
    </w:p>
    <w:p>
      <w:pPr>
        <w:pStyle w:val="7"/>
        <w:spacing w:before="0" w:beforeAutospacing="0" w:after="0" w:afterAutospacing="0" w:line="360" w:lineRule="auto"/>
        <w:ind w:firstLine="420"/>
        <w:rPr>
          <w:sz w:val="21"/>
          <w:szCs w:val="21"/>
        </w:rPr>
      </w:pPr>
      <w:r>
        <w:rPr>
          <w:rFonts w:hint="eastAsia"/>
          <w:sz w:val="21"/>
          <w:szCs w:val="21"/>
        </w:rPr>
        <w:t xml:space="preserve">（8）基金财产参与股票发行申购，本基金所申报的金额不超过本基金的总资产，本基金所申报的股票数量不超过拟发行股票公司本次发行股票的总量； </w:t>
      </w:r>
    </w:p>
    <w:p>
      <w:pPr>
        <w:pStyle w:val="7"/>
        <w:spacing w:before="0" w:beforeAutospacing="0" w:after="0" w:afterAutospacing="0" w:line="360" w:lineRule="auto"/>
        <w:ind w:firstLine="420"/>
        <w:rPr>
          <w:sz w:val="21"/>
          <w:szCs w:val="21"/>
        </w:rPr>
      </w:pPr>
      <w:r>
        <w:rPr>
          <w:rFonts w:hint="eastAsia"/>
          <w:sz w:val="21"/>
          <w:szCs w:val="21"/>
        </w:rPr>
        <w:t xml:space="preserve">（9）本基金资产总值不得超过基金资产净值的140%； </w:t>
      </w:r>
    </w:p>
    <w:p>
      <w:pPr>
        <w:pStyle w:val="7"/>
        <w:spacing w:before="0" w:beforeAutospacing="0" w:after="0" w:afterAutospacing="0" w:line="360" w:lineRule="auto"/>
        <w:ind w:firstLine="420"/>
        <w:rPr>
          <w:sz w:val="21"/>
          <w:szCs w:val="21"/>
        </w:rPr>
      </w:pPr>
      <w:r>
        <w:rPr>
          <w:rFonts w:hint="eastAsia"/>
          <w:sz w:val="21"/>
          <w:szCs w:val="21"/>
        </w:rPr>
        <w:t xml:space="preserve">（10）本基金参与融资的，在任何交易日日终，本基金持有的融资买入股票与其他有价证券市值之和，不得超过基金资产净值的95%； </w:t>
      </w:r>
    </w:p>
    <w:p>
      <w:pPr>
        <w:pStyle w:val="7"/>
        <w:spacing w:before="0" w:beforeAutospacing="0" w:after="0" w:afterAutospacing="0" w:line="360" w:lineRule="auto"/>
        <w:ind w:firstLine="420"/>
        <w:rPr>
          <w:sz w:val="21"/>
          <w:szCs w:val="21"/>
        </w:rPr>
      </w:pPr>
      <w:r>
        <w:rPr>
          <w:rFonts w:hint="eastAsia"/>
          <w:sz w:val="21"/>
          <w:szCs w:val="21"/>
        </w:rPr>
        <w:t xml:space="preserve">（11）本基金参与转融通证券出借交易应当符合以下要求： </w:t>
      </w:r>
    </w:p>
    <w:p>
      <w:pPr>
        <w:pStyle w:val="7"/>
        <w:spacing w:before="0" w:beforeAutospacing="0" w:after="0" w:afterAutospacing="0" w:line="360" w:lineRule="auto"/>
        <w:ind w:firstLine="420"/>
        <w:rPr>
          <w:sz w:val="21"/>
          <w:szCs w:val="21"/>
        </w:rPr>
      </w:pPr>
      <w:r>
        <w:rPr>
          <w:rFonts w:hint="eastAsia"/>
          <w:sz w:val="21"/>
          <w:szCs w:val="21"/>
        </w:rPr>
        <w:t xml:space="preserve">1）出借证券资产不得超过基金资产净值的30%，出借期限在10个交易日以上的出借证券应纳入《流动性风险管理规定》所述流动性受限证券的范围； </w:t>
      </w:r>
    </w:p>
    <w:p>
      <w:pPr>
        <w:pStyle w:val="7"/>
        <w:spacing w:before="0" w:beforeAutospacing="0" w:after="0" w:afterAutospacing="0" w:line="360" w:lineRule="auto"/>
        <w:ind w:firstLine="420"/>
        <w:rPr>
          <w:sz w:val="21"/>
          <w:szCs w:val="21"/>
        </w:rPr>
      </w:pPr>
      <w:r>
        <w:rPr>
          <w:rFonts w:hint="eastAsia"/>
          <w:sz w:val="21"/>
          <w:szCs w:val="21"/>
        </w:rPr>
        <w:t xml:space="preserve">2）参与出借业务的单只证券不得超过基金持有该证券总量的30%； </w:t>
      </w:r>
    </w:p>
    <w:p>
      <w:pPr>
        <w:pStyle w:val="7"/>
        <w:spacing w:before="0" w:beforeAutospacing="0" w:after="0" w:afterAutospacing="0" w:line="360" w:lineRule="auto"/>
        <w:ind w:firstLine="420"/>
        <w:rPr>
          <w:sz w:val="21"/>
          <w:szCs w:val="21"/>
        </w:rPr>
      </w:pPr>
      <w:r>
        <w:rPr>
          <w:rFonts w:hint="eastAsia"/>
          <w:sz w:val="21"/>
          <w:szCs w:val="21"/>
        </w:rPr>
        <w:t xml:space="preserve">3）最近6个月内日均基金资产净值不得低于2亿元； </w:t>
      </w:r>
    </w:p>
    <w:p>
      <w:pPr>
        <w:pStyle w:val="7"/>
        <w:spacing w:before="0" w:beforeAutospacing="0" w:after="0" w:afterAutospacing="0" w:line="360" w:lineRule="auto"/>
        <w:ind w:firstLine="420"/>
        <w:rPr>
          <w:sz w:val="21"/>
          <w:szCs w:val="21"/>
        </w:rPr>
      </w:pPr>
      <w:r>
        <w:rPr>
          <w:rFonts w:hint="eastAsia"/>
          <w:sz w:val="21"/>
          <w:szCs w:val="21"/>
        </w:rPr>
        <w:t xml:space="preserve">4）证券出借的平均剩余期限不得超过30天，平均剩余期限按照市值加权平均计算； </w:t>
      </w:r>
    </w:p>
    <w:p>
      <w:pPr>
        <w:pStyle w:val="7"/>
        <w:spacing w:before="0" w:beforeAutospacing="0" w:after="0" w:afterAutospacing="0" w:line="360" w:lineRule="auto"/>
        <w:ind w:firstLine="420"/>
        <w:rPr>
          <w:sz w:val="21"/>
          <w:szCs w:val="21"/>
        </w:rPr>
      </w:pPr>
      <w:r>
        <w:rPr>
          <w:rFonts w:hint="eastAsia"/>
          <w:sz w:val="21"/>
          <w:szCs w:val="21"/>
        </w:rPr>
        <w:t xml:space="preserve">因证券市场波动、上市公司合并、基金规模变动等基金管理人之外的因素致使基金投资不符合上述规定的，基金管理人不得新增出借业务； </w:t>
      </w:r>
    </w:p>
    <w:p>
      <w:pPr>
        <w:pStyle w:val="7"/>
        <w:spacing w:before="0" w:beforeAutospacing="0" w:after="0" w:afterAutospacing="0" w:line="360" w:lineRule="auto"/>
        <w:ind w:firstLine="420"/>
        <w:rPr>
          <w:sz w:val="21"/>
          <w:szCs w:val="21"/>
        </w:rPr>
      </w:pPr>
      <w:r>
        <w:rPr>
          <w:rFonts w:hint="eastAsia"/>
          <w:sz w:val="21"/>
          <w:szCs w:val="21"/>
        </w:rPr>
        <w:t xml:space="preserve">（12）本基金参与股指期货、国债期货交易的，应当依据下列标准建构组合： </w:t>
      </w:r>
    </w:p>
    <w:p>
      <w:pPr>
        <w:pStyle w:val="7"/>
        <w:spacing w:before="0" w:beforeAutospacing="0" w:after="0" w:afterAutospacing="0" w:line="360" w:lineRule="auto"/>
        <w:ind w:firstLine="420"/>
        <w:rPr>
          <w:sz w:val="21"/>
          <w:szCs w:val="21"/>
        </w:rPr>
      </w:pPr>
      <w:r>
        <w:rPr>
          <w:rFonts w:hint="eastAsia"/>
          <w:sz w:val="21"/>
          <w:szCs w:val="21"/>
        </w:rPr>
        <w:t xml:space="preserve">1）在任何交易日日终，持有的买入股指期货合约价值，不得超过基金资产净值的10%；在任何交易日日终，持有的买入国债期货合约价值，不得超过基金资产净值的15%； </w:t>
      </w:r>
    </w:p>
    <w:p>
      <w:pPr>
        <w:pStyle w:val="7"/>
        <w:spacing w:before="0" w:beforeAutospacing="0" w:after="0" w:afterAutospacing="0" w:line="360" w:lineRule="auto"/>
        <w:ind w:firstLine="420"/>
        <w:rPr>
          <w:sz w:val="21"/>
          <w:szCs w:val="21"/>
        </w:rPr>
      </w:pPr>
      <w:r>
        <w:rPr>
          <w:rFonts w:hint="eastAsia"/>
          <w:sz w:val="21"/>
          <w:szCs w:val="21"/>
        </w:rPr>
        <w:t xml:space="preserve">2）在任何交易日日终，持有的买入期货合约价值与有价证券市值之和，不得超过基金资产净值的100%，其中，有价证券指股票、债券（不含到期日在一年以内的政府债券）、资产支持证券、买入返售金融资产（不含质押式回购）等； </w:t>
      </w:r>
    </w:p>
    <w:p>
      <w:pPr>
        <w:pStyle w:val="7"/>
        <w:spacing w:before="0" w:beforeAutospacing="0" w:after="0" w:afterAutospacing="0" w:line="360" w:lineRule="auto"/>
        <w:ind w:firstLine="420"/>
        <w:rPr>
          <w:sz w:val="21"/>
          <w:szCs w:val="21"/>
        </w:rPr>
      </w:pPr>
      <w:r>
        <w:rPr>
          <w:rFonts w:hint="eastAsia"/>
          <w:sz w:val="21"/>
          <w:szCs w:val="21"/>
        </w:rPr>
        <w:t xml:space="preserve">3）在任何交易日日终，持有的卖出股指期货合约价值不得超过基金持有的股票总市值的20%；在任何交易日日终，持有的卖出国债期货合约价值不得超过基金持有的债券总市值的30%； </w:t>
      </w:r>
    </w:p>
    <w:p>
      <w:pPr>
        <w:pStyle w:val="7"/>
        <w:spacing w:before="0" w:beforeAutospacing="0" w:after="0" w:afterAutospacing="0" w:line="360" w:lineRule="auto"/>
        <w:ind w:firstLine="420"/>
        <w:rPr>
          <w:sz w:val="21"/>
          <w:szCs w:val="21"/>
        </w:rPr>
      </w:pPr>
      <w:r>
        <w:rPr>
          <w:rFonts w:hint="eastAsia"/>
          <w:sz w:val="21"/>
          <w:szCs w:val="21"/>
        </w:rPr>
        <w:t xml:space="preserve">4）在任何交易日内交易（不包括平仓）的股指期货合约的成交金额不得超过上一交易日基金资产净值的20%；在任何交易日内交易（不包括平仓）的国债期货合约的成交金额不得超过上一交易日基金资产净值的30%； </w:t>
      </w:r>
    </w:p>
    <w:p>
      <w:pPr>
        <w:pStyle w:val="7"/>
        <w:spacing w:before="0" w:beforeAutospacing="0" w:after="0" w:afterAutospacing="0" w:line="360" w:lineRule="auto"/>
        <w:ind w:firstLine="420"/>
        <w:rPr>
          <w:sz w:val="21"/>
          <w:szCs w:val="21"/>
        </w:rPr>
      </w:pPr>
      <w:r>
        <w:rPr>
          <w:rFonts w:hint="eastAsia"/>
          <w:sz w:val="21"/>
          <w:szCs w:val="21"/>
        </w:rPr>
        <w:t xml:space="preserve">5）本基金所持有的股票市值和买入、卖出股指期货合约价值，合计（轧差计算）应当符合基金合同关于股票投资比例有关约定；本基金所持有的债券（不含到期日在一年以内的政府债券）市值和买入、卖出国债期货合约价值，合计（轧差计算）应当符合基金合同关于债券投资比例的有关约定； </w:t>
      </w:r>
    </w:p>
    <w:p>
      <w:pPr>
        <w:pStyle w:val="7"/>
        <w:spacing w:before="0" w:beforeAutospacing="0" w:after="0" w:afterAutospacing="0" w:line="360" w:lineRule="auto"/>
        <w:ind w:firstLine="420"/>
        <w:rPr>
          <w:sz w:val="21"/>
          <w:szCs w:val="21"/>
        </w:rPr>
      </w:pPr>
      <w:r>
        <w:rPr>
          <w:rFonts w:hint="eastAsia"/>
          <w:sz w:val="21"/>
          <w:szCs w:val="21"/>
        </w:rPr>
        <w:t xml:space="preserve">（13）本基金投资股票期权应当符合以下要求： </w:t>
      </w:r>
    </w:p>
    <w:p>
      <w:pPr>
        <w:pStyle w:val="7"/>
        <w:spacing w:before="0" w:beforeAutospacing="0" w:after="0" w:afterAutospacing="0" w:line="360" w:lineRule="auto"/>
        <w:ind w:firstLine="420"/>
        <w:rPr>
          <w:sz w:val="21"/>
          <w:szCs w:val="21"/>
        </w:rPr>
      </w:pPr>
      <w:r>
        <w:rPr>
          <w:rFonts w:hint="eastAsia"/>
          <w:sz w:val="21"/>
          <w:szCs w:val="21"/>
        </w:rPr>
        <w:t xml:space="preserve">基金因未平仓的股票期权合约支付和收取的权利金总额不得超过基金资产净值的10%；开仓卖出认购股票期权的，应持有足额标的证券；开仓卖出认沽股票期权的，应持有合约行权所需的全额现金或交易所规则认可的可冲抵股票期权保证金的现金等价物；未平仓的股票期权合约面值不得超过基金资产净值的20%。其中，合约面值按照行权价乘以合约乘数计算； </w:t>
      </w:r>
    </w:p>
    <w:p>
      <w:pPr>
        <w:pStyle w:val="7"/>
        <w:spacing w:before="0" w:beforeAutospacing="0" w:after="0" w:afterAutospacing="0" w:line="360" w:lineRule="auto"/>
        <w:ind w:firstLine="420"/>
        <w:rPr>
          <w:sz w:val="21"/>
          <w:szCs w:val="21"/>
        </w:rPr>
      </w:pPr>
      <w:r>
        <w:rPr>
          <w:rFonts w:hint="eastAsia"/>
          <w:sz w:val="21"/>
          <w:szCs w:val="21"/>
        </w:rPr>
        <w:t xml:space="preserve">（14）本基金投资流通受限证券，基金管理人应制订严格的投资决策流程和风险控制制度，防范流动性风险、法律风险和操作风险等各种风险； </w:t>
      </w:r>
    </w:p>
    <w:p>
      <w:pPr>
        <w:pStyle w:val="7"/>
        <w:spacing w:before="0" w:beforeAutospacing="0" w:after="0" w:afterAutospacing="0" w:line="360" w:lineRule="auto"/>
        <w:ind w:firstLine="420"/>
        <w:rPr>
          <w:sz w:val="21"/>
          <w:szCs w:val="21"/>
        </w:rPr>
      </w:pPr>
      <w:r>
        <w:rPr>
          <w:rFonts w:hint="eastAsia"/>
          <w:sz w:val="21"/>
          <w:szCs w:val="21"/>
        </w:rPr>
        <w:t xml:space="preserve">（15）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 </w:t>
      </w:r>
    </w:p>
    <w:p>
      <w:pPr>
        <w:pStyle w:val="7"/>
        <w:spacing w:before="0" w:beforeAutospacing="0" w:after="0" w:afterAutospacing="0" w:line="360" w:lineRule="auto"/>
        <w:ind w:firstLine="420"/>
        <w:rPr>
          <w:sz w:val="21"/>
          <w:szCs w:val="21"/>
        </w:rPr>
      </w:pPr>
      <w:r>
        <w:rPr>
          <w:rFonts w:hint="eastAsia"/>
          <w:sz w:val="21"/>
          <w:szCs w:val="21"/>
        </w:rPr>
        <w:t xml:space="preserve">（16）本基金与私募类证券资管产品及中国证监会认定的其他主体为交易对手开展逆回购交易的，可接受质押品的资质要求应当与基金合同约定的投资范围保持一致； </w:t>
      </w:r>
    </w:p>
    <w:p>
      <w:pPr>
        <w:pStyle w:val="7"/>
        <w:spacing w:before="0" w:beforeAutospacing="0" w:after="0" w:afterAutospacing="0" w:line="360" w:lineRule="auto"/>
        <w:ind w:firstLine="420"/>
        <w:rPr>
          <w:sz w:val="21"/>
          <w:szCs w:val="21"/>
        </w:rPr>
      </w:pPr>
      <w:r>
        <w:rPr>
          <w:rFonts w:hint="eastAsia"/>
          <w:sz w:val="21"/>
          <w:szCs w:val="21"/>
        </w:rPr>
        <w:t xml:space="preserve">（17）本基金投资存托凭证的比例限制依照境内上市交易的股票执行，与境内上市交易的股票合并计算； </w:t>
      </w:r>
    </w:p>
    <w:p>
      <w:pPr>
        <w:pStyle w:val="7"/>
        <w:spacing w:before="0" w:beforeAutospacing="0" w:after="0" w:afterAutospacing="0" w:line="360" w:lineRule="auto"/>
        <w:ind w:firstLine="420"/>
        <w:rPr>
          <w:sz w:val="21"/>
          <w:szCs w:val="21"/>
        </w:rPr>
      </w:pPr>
      <w:r>
        <w:rPr>
          <w:rFonts w:hint="eastAsia"/>
          <w:sz w:val="21"/>
          <w:szCs w:val="21"/>
        </w:rPr>
        <w:t xml:space="preserve">（18）法律法规及中国证监会规定的和《基金合同》约定的其他投资限制。 </w:t>
      </w:r>
    </w:p>
    <w:p>
      <w:pPr>
        <w:pStyle w:val="7"/>
        <w:spacing w:before="0" w:beforeAutospacing="0" w:after="0" w:afterAutospacing="0" w:line="360" w:lineRule="auto"/>
        <w:ind w:firstLine="420"/>
        <w:rPr>
          <w:sz w:val="21"/>
          <w:szCs w:val="21"/>
        </w:rPr>
      </w:pPr>
      <w:r>
        <w:rPr>
          <w:rFonts w:hint="eastAsia"/>
          <w:sz w:val="21"/>
          <w:szCs w:val="21"/>
        </w:rPr>
        <w:t xml:space="preserve">除第（2）、（7）、（11）、（15）、（16）条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 </w:t>
      </w:r>
    </w:p>
    <w:p>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pPr>
        <w:pStyle w:val="7"/>
        <w:spacing w:before="0" w:beforeAutospacing="0" w:after="0" w:afterAutospacing="0" w:line="360" w:lineRule="auto"/>
        <w:ind w:firstLine="420"/>
        <w:rPr>
          <w:sz w:val="21"/>
          <w:szCs w:val="21"/>
        </w:rPr>
      </w:pPr>
      <w:r>
        <w:rPr>
          <w:rFonts w:hint="eastAsia"/>
          <w:sz w:val="21"/>
          <w:szCs w:val="21"/>
        </w:rPr>
        <w:t xml:space="preserve">法律法规或监管部门取消或调整上述限制，如适用于本基金，基金管理人在与基金托管人协商一致并履行适当程序后，则本基金投资不再受相关限制或按照调整后的规定执行。 </w:t>
      </w:r>
    </w:p>
    <w:p>
      <w:pPr>
        <w:pStyle w:val="7"/>
        <w:spacing w:before="0" w:beforeAutospacing="0" w:after="0" w:afterAutospacing="0" w:line="360" w:lineRule="auto"/>
        <w:ind w:firstLine="420"/>
        <w:rPr>
          <w:sz w:val="21"/>
          <w:szCs w:val="21"/>
        </w:rPr>
      </w:pPr>
      <w:r>
        <w:rPr>
          <w:rFonts w:hint="eastAsia"/>
          <w:sz w:val="21"/>
          <w:szCs w:val="21"/>
        </w:rPr>
        <w:t xml:space="preserve">2、禁止行为 </w:t>
      </w:r>
    </w:p>
    <w:p>
      <w:pPr>
        <w:pStyle w:val="7"/>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pPr>
        <w:pStyle w:val="7"/>
        <w:spacing w:before="0" w:beforeAutospacing="0" w:after="0" w:afterAutospacing="0" w:line="360" w:lineRule="auto"/>
        <w:ind w:firstLine="420"/>
        <w:rPr>
          <w:sz w:val="21"/>
          <w:szCs w:val="21"/>
        </w:rPr>
      </w:pPr>
      <w:r>
        <w:rPr>
          <w:rFonts w:hint="eastAsia"/>
          <w:sz w:val="21"/>
          <w:szCs w:val="21"/>
        </w:rPr>
        <w:t xml:space="preserve">（1）承销证券； </w:t>
      </w:r>
    </w:p>
    <w:p>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pPr>
        <w:pStyle w:val="7"/>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pPr>
        <w:pStyle w:val="7"/>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pPr>
        <w:pStyle w:val="7"/>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pPr>
        <w:pStyle w:val="7"/>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pPr>
        <w:pStyle w:val="7"/>
        <w:spacing w:before="0" w:beforeAutospacing="0" w:after="0" w:afterAutospacing="0" w:line="360" w:lineRule="auto"/>
        <w:ind w:firstLine="420"/>
        <w:rPr>
          <w:sz w:val="21"/>
          <w:szCs w:val="21"/>
        </w:rPr>
      </w:pPr>
      <w:r>
        <w:rPr>
          <w:rFonts w:hint="eastAsia"/>
          <w:sz w:val="21"/>
          <w:szCs w:val="21"/>
        </w:rPr>
        <w:t xml:space="preserve">法律、行政法规或监管部门取消或调整上述限制，如适用于本基金，基金管理人在履行适当程序后，则本基金投资不再受相关限制或按照调整后的规定执行。 </w:t>
      </w:r>
    </w:p>
    <w:p>
      <w:pPr>
        <w:pStyle w:val="7"/>
        <w:spacing w:before="0" w:beforeAutospacing="0" w:after="0" w:afterAutospacing="0" w:line="360" w:lineRule="auto"/>
        <w:ind w:firstLine="420"/>
        <w:rPr>
          <w:sz w:val="21"/>
          <w:szCs w:val="21"/>
        </w:rPr>
      </w:pPr>
      <w:r>
        <w:rPr>
          <w:rStyle w:val="11"/>
          <w:rFonts w:hint="eastAsia"/>
          <w:sz w:val="21"/>
          <w:szCs w:val="21"/>
        </w:rPr>
        <w:t>九、基金管理人代表基金行使股东或债权人权利的处理原则及方法</w:t>
      </w:r>
    </w:p>
    <w:p>
      <w:pPr>
        <w:pStyle w:val="7"/>
        <w:spacing w:before="0" w:beforeAutospacing="0" w:after="0" w:afterAutospacing="0" w:line="360" w:lineRule="auto"/>
        <w:ind w:firstLine="420"/>
        <w:rPr>
          <w:sz w:val="21"/>
          <w:szCs w:val="21"/>
        </w:rPr>
      </w:pPr>
      <w:r>
        <w:rPr>
          <w:rFonts w:hint="eastAsia"/>
          <w:sz w:val="21"/>
          <w:szCs w:val="21"/>
        </w:rPr>
        <w:t xml:space="preserve">1、基金管理人按照国家有关规定代表基金独立行使股东或债权人权利，保护基金份额持有人的利益； </w:t>
      </w:r>
    </w:p>
    <w:p>
      <w:pPr>
        <w:pStyle w:val="7"/>
        <w:spacing w:before="0" w:beforeAutospacing="0" w:after="0" w:afterAutospacing="0" w:line="360" w:lineRule="auto"/>
        <w:ind w:firstLine="420"/>
        <w:rPr>
          <w:sz w:val="21"/>
          <w:szCs w:val="21"/>
        </w:rPr>
      </w:pPr>
      <w:r>
        <w:rPr>
          <w:rFonts w:hint="eastAsia"/>
          <w:sz w:val="21"/>
          <w:szCs w:val="21"/>
        </w:rPr>
        <w:t xml:space="preserve">2、不谋求对上市公司的控股； </w:t>
      </w:r>
    </w:p>
    <w:p>
      <w:pPr>
        <w:pStyle w:val="7"/>
        <w:spacing w:before="0" w:beforeAutospacing="0" w:after="0" w:afterAutospacing="0" w:line="360" w:lineRule="auto"/>
        <w:ind w:firstLine="420"/>
        <w:rPr>
          <w:sz w:val="21"/>
          <w:szCs w:val="21"/>
        </w:rPr>
      </w:pPr>
      <w:r>
        <w:rPr>
          <w:rFonts w:hint="eastAsia"/>
          <w:sz w:val="21"/>
          <w:szCs w:val="21"/>
        </w:rPr>
        <w:t xml:space="preserve">3、有利于基金财产的安全与增值； </w:t>
      </w:r>
    </w:p>
    <w:p>
      <w:pPr>
        <w:pStyle w:val="7"/>
        <w:spacing w:before="0" w:beforeAutospacing="0" w:after="0" w:afterAutospacing="0" w:line="360" w:lineRule="auto"/>
        <w:ind w:firstLine="420"/>
        <w:rPr>
          <w:sz w:val="21"/>
          <w:szCs w:val="21"/>
        </w:rPr>
      </w:pPr>
      <w:r>
        <w:rPr>
          <w:rFonts w:hint="eastAsia"/>
          <w:sz w:val="21"/>
          <w:szCs w:val="21"/>
        </w:rPr>
        <w:t xml:space="preserve">4、不通过关联交易为自身、雇员、授权代理人或任何存在利害关系的第三人牟取任何不当利益。 </w:t>
      </w:r>
    </w:p>
    <w:p>
      <w:pPr>
        <w:pStyle w:val="7"/>
        <w:spacing w:before="0" w:beforeAutospacing="0" w:after="0" w:afterAutospacing="0" w:line="360" w:lineRule="auto"/>
        <w:ind w:firstLine="420"/>
        <w:rPr>
          <w:sz w:val="21"/>
          <w:szCs w:val="21"/>
        </w:rPr>
      </w:pPr>
      <w:bookmarkStart w:id="111" w:name="chapter_level1_13_60_section_1_end"/>
      <w:bookmarkEnd w:id="111"/>
      <w:bookmarkStart w:id="112" w:name="chapter_level1_13_60_section_2"/>
      <w:bookmarkEnd w:id="112"/>
      <w:r>
        <w:rPr>
          <w:rStyle w:val="11"/>
          <w:rFonts w:hint="eastAsia"/>
          <w:sz w:val="21"/>
          <w:szCs w:val="21"/>
        </w:rPr>
        <w:t>九、基金投资组合报告</w:t>
      </w:r>
    </w:p>
    <w:p>
      <w:pPr>
        <w:pStyle w:val="7"/>
        <w:spacing w:before="0" w:beforeAutospacing="0" w:after="0" w:afterAutospacing="0" w:line="360" w:lineRule="auto"/>
        <w:ind w:firstLine="420"/>
        <w:rPr>
          <w:sz w:val="21"/>
          <w:szCs w:val="21"/>
        </w:rPr>
      </w:pPr>
      <w:r>
        <w:rPr>
          <w:rFonts w:hint="eastAsia"/>
          <w:sz w:val="21"/>
          <w:szCs w:val="21"/>
        </w:rPr>
        <w:t xml:space="preserve">基金管理人的董事会及董事保证本报告所载资料不存在虚假记载、误导性陈述或重大遗漏，并对其内容的真实性、准确性和完整性承担个别及连带责任。 </w:t>
      </w:r>
    </w:p>
    <w:p>
      <w:pPr>
        <w:pStyle w:val="7"/>
        <w:spacing w:before="0" w:beforeAutospacing="0" w:after="0" w:afterAutospacing="0" w:line="360" w:lineRule="auto"/>
        <w:ind w:firstLine="420"/>
        <w:rPr>
          <w:sz w:val="21"/>
          <w:szCs w:val="21"/>
        </w:rPr>
      </w:pPr>
      <w:r>
        <w:rPr>
          <w:rFonts w:hint="eastAsia"/>
          <w:sz w:val="21"/>
          <w:szCs w:val="21"/>
        </w:rPr>
        <w:t xml:space="preserve">基金托管人根据本基金合同规定，复核了本报告中的净值表现和投资组合报告等内容，保证复核内容不存在虚假记载、误导性陈述或者重大遗漏。 </w:t>
      </w:r>
    </w:p>
    <w:p>
      <w:pPr>
        <w:pStyle w:val="7"/>
        <w:spacing w:before="0" w:beforeAutospacing="0" w:after="0" w:afterAutospacing="0" w:line="360" w:lineRule="auto"/>
        <w:ind w:firstLine="420"/>
        <w:rPr>
          <w:sz w:val="21"/>
          <w:szCs w:val="21"/>
        </w:rPr>
      </w:pPr>
      <w:r>
        <w:rPr>
          <w:rFonts w:hint="eastAsia"/>
          <w:sz w:val="21"/>
          <w:szCs w:val="21"/>
        </w:rPr>
        <w:t>本投资组合报告所载数据截至</w:t>
      </w:r>
      <w:bookmarkStart w:id="113" w:name="field_2343_financeendday_2"/>
      <w:r>
        <w:rPr>
          <w:sz w:val="21"/>
          <w:szCs w:val="21"/>
        </w:rPr>
        <w:t>2025年9月30日</w:t>
      </w:r>
      <w:bookmarkEnd w:id="113"/>
      <w:r>
        <w:rPr>
          <w:rFonts w:hint="eastAsia"/>
          <w:sz w:val="21"/>
          <w:szCs w:val="21"/>
        </w:rPr>
        <w:t xml:space="preserve">，本报告中所列财务数据未经审计。 </w:t>
      </w:r>
    </w:p>
    <w:p>
      <w:pPr>
        <w:pStyle w:val="7"/>
        <w:spacing w:before="0" w:beforeAutospacing="0" w:after="0" w:afterAutospacing="0" w:line="360" w:lineRule="auto"/>
        <w:ind w:firstLine="420"/>
        <w:rPr>
          <w:sz w:val="21"/>
          <w:szCs w:val="21"/>
        </w:rPr>
      </w:pPr>
      <w:bookmarkStart w:id="114" w:name="field_0_fundportfolio_1_start"/>
      <w:bookmarkEnd w:id="114"/>
      <w:r>
        <w:rPr>
          <w:rStyle w:val="11"/>
          <w:rFonts w:hint="eastAsia"/>
          <w:sz w:val="21"/>
          <w:szCs w:val="21"/>
        </w:rPr>
        <w:t>1报告期末基金资产组合情况</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5"/>
        <w:gridCol w:w="3778"/>
        <w:gridCol w:w="1686"/>
        <w:gridCol w:w="2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金额(元)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占基金总资产的比例(%)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rPr>
                <w:rFonts w:ascii="宋体" w:hAnsi="宋体" w:eastAsia="宋体" w:cs="宋体"/>
                <w:sz w:val="24"/>
                <w:szCs w:val="24"/>
              </w:rPr>
            </w:pPr>
            <w:r>
              <w:rPr>
                <w:rFonts w:hint="eastAsia" w:ascii="宋体" w:hAnsi="宋体" w:eastAsia="宋体"/>
              </w:rPr>
              <w:t>权益投资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154,900,060.53</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99.01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其中：股票</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154,900,060.53</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99.01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rPr>
                <w:rFonts w:ascii="宋体" w:hAnsi="宋体" w:eastAsia="宋体" w:cs="宋体"/>
                <w:sz w:val="24"/>
                <w:szCs w:val="24"/>
              </w:rPr>
            </w:pPr>
            <w:r>
              <w:rPr>
                <w:rFonts w:hint="eastAsia" w:ascii="宋体" w:hAnsi="宋体" w:eastAsia="宋体"/>
              </w:rPr>
              <w:t>基金投资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rPr>
                <w:rFonts w:ascii="宋体" w:hAnsi="宋体" w:eastAsia="宋体" w:cs="宋体"/>
                <w:sz w:val="24"/>
                <w:szCs w:val="24"/>
              </w:rPr>
            </w:pPr>
            <w:r>
              <w:rPr>
                <w:rFonts w:hint="eastAsia" w:ascii="宋体" w:hAnsi="宋体" w:eastAsia="宋体"/>
              </w:rPr>
              <w:t>固定收益投资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其中：债券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资产支持证券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rPr>
                <w:rFonts w:ascii="宋体" w:hAnsi="宋体" w:eastAsia="宋体" w:cs="宋体"/>
                <w:sz w:val="24"/>
                <w:szCs w:val="24"/>
              </w:rPr>
            </w:pPr>
            <w:r>
              <w:rPr>
                <w:rFonts w:hint="eastAsia" w:ascii="宋体" w:hAnsi="宋体" w:eastAsia="宋体"/>
              </w:rPr>
              <w:t>贵金属投资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rPr>
                <w:rFonts w:ascii="宋体" w:hAnsi="宋体" w:eastAsia="宋体" w:cs="宋体"/>
                <w:sz w:val="24"/>
                <w:szCs w:val="24"/>
              </w:rPr>
            </w:pPr>
            <w:r>
              <w:rPr>
                <w:rFonts w:hint="eastAsia" w:ascii="宋体" w:hAnsi="宋体" w:eastAsia="宋体"/>
              </w:rPr>
              <w:t>金融衍生品投资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rPr>
                <w:rFonts w:ascii="宋体" w:hAnsi="宋体" w:eastAsia="宋体" w:cs="宋体"/>
                <w:sz w:val="24"/>
                <w:szCs w:val="24"/>
              </w:rPr>
            </w:pPr>
            <w:r>
              <w:rPr>
                <w:rFonts w:hint="eastAsia" w:ascii="宋体" w:hAnsi="宋体" w:eastAsia="宋体"/>
              </w:rPr>
              <w:t>买入返售金融资产</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其中：买断式回购的买入返售金融资产</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rPr>
                <w:rFonts w:ascii="宋体" w:hAnsi="宋体" w:eastAsia="宋体" w:cs="宋体"/>
                <w:sz w:val="24"/>
                <w:szCs w:val="24"/>
              </w:rPr>
            </w:pPr>
            <w:r>
              <w:rPr>
                <w:rFonts w:hint="eastAsia" w:ascii="宋体" w:hAnsi="宋体" w:eastAsia="宋体"/>
              </w:rPr>
              <w:t>银行存款和结算备付金合计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1,511,109.31</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rPr>
                <w:rFonts w:ascii="宋体" w:hAnsi="宋体" w:eastAsia="宋体" w:cs="宋体"/>
                <w:sz w:val="24"/>
                <w:szCs w:val="24"/>
              </w:rPr>
            </w:pPr>
            <w:r>
              <w:rPr>
                <w:rFonts w:hint="eastAsia" w:ascii="宋体" w:hAnsi="宋体" w:eastAsia="宋体"/>
              </w:rPr>
              <w:t>其他各项资产</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39,654.67</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rPr>
                <w:rFonts w:ascii="宋体" w:hAnsi="宋体" w:eastAsia="宋体" w:cs="宋体"/>
                <w:sz w:val="24"/>
                <w:szCs w:val="24"/>
              </w:rPr>
            </w:pPr>
            <w:r>
              <w:rPr>
                <w:rFonts w:hint="eastAsia" w:ascii="宋体" w:hAnsi="宋体" w:eastAsia="宋体"/>
              </w:rPr>
              <w:t>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156,450,824.51</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100.00</w:t>
            </w:r>
          </w:p>
        </w:tc>
      </w:tr>
    </w:tbl>
    <w:p>
      <w:pPr>
        <w:pStyle w:val="7"/>
        <w:spacing w:before="0" w:beforeAutospacing="0" w:after="0" w:afterAutospacing="0" w:line="360" w:lineRule="auto"/>
        <w:ind w:firstLine="420"/>
        <w:rPr>
          <w:sz w:val="21"/>
          <w:szCs w:val="21"/>
        </w:rPr>
      </w:pPr>
      <w:r>
        <w:rPr>
          <w:rStyle w:val="11"/>
          <w:rFonts w:hint="eastAsia"/>
          <w:sz w:val="21"/>
          <w:szCs w:val="21"/>
        </w:rPr>
        <w:t>2报告期末按行业分类的股票投资组合</w:t>
      </w:r>
    </w:p>
    <w:p>
      <w:pPr>
        <w:pStyle w:val="7"/>
        <w:spacing w:before="0" w:beforeAutospacing="0" w:after="0" w:afterAutospacing="0" w:line="360" w:lineRule="auto"/>
        <w:ind w:firstLine="420"/>
        <w:rPr>
          <w:sz w:val="21"/>
          <w:szCs w:val="21"/>
        </w:rPr>
      </w:pPr>
      <w:r>
        <w:rPr>
          <w:rStyle w:val="11"/>
          <w:rFonts w:hint="eastAsia"/>
          <w:sz w:val="21"/>
          <w:szCs w:val="21"/>
        </w:rPr>
        <w:t>2.1报告期末按行业分类的境内股票投资组合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1"/>
        <w:gridCol w:w="3507"/>
        <w:gridCol w:w="1686"/>
        <w:gridCol w:w="26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代码</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行业类别</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占基金资产净值比例（％）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A</w:t>
            </w:r>
          </w:p>
        </w:tc>
        <w:tc>
          <w:tcPr>
            <w:tcW w:w="0" w:type="auto"/>
            <w:shd w:val="clear" w:color="auto" w:fill="auto"/>
          </w:tcPr>
          <w:p>
            <w:pPr>
              <w:rPr>
                <w:rFonts w:ascii="宋体" w:hAnsi="宋体" w:eastAsia="宋体" w:cs="宋体"/>
                <w:sz w:val="24"/>
                <w:szCs w:val="24"/>
              </w:rPr>
            </w:pPr>
            <w:r>
              <w:rPr>
                <w:rFonts w:hint="eastAsia" w:ascii="宋体" w:hAnsi="宋体" w:eastAsia="宋体"/>
              </w:rPr>
              <w:t>农、林、牧、渔业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124,034.00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B</w:t>
            </w:r>
          </w:p>
        </w:tc>
        <w:tc>
          <w:tcPr>
            <w:tcW w:w="0" w:type="auto"/>
            <w:shd w:val="clear" w:color="auto" w:fill="auto"/>
          </w:tcPr>
          <w:p>
            <w:pPr>
              <w:rPr>
                <w:rFonts w:ascii="宋体" w:hAnsi="宋体" w:eastAsia="宋体" w:cs="宋体"/>
                <w:sz w:val="24"/>
                <w:szCs w:val="24"/>
              </w:rPr>
            </w:pPr>
            <w:r>
              <w:rPr>
                <w:rFonts w:hint="eastAsia" w:ascii="宋体" w:hAnsi="宋体" w:eastAsia="宋体"/>
              </w:rPr>
              <w:t>采矿业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28,573,682.00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18.29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C</w:t>
            </w:r>
          </w:p>
        </w:tc>
        <w:tc>
          <w:tcPr>
            <w:tcW w:w="0" w:type="auto"/>
            <w:shd w:val="clear" w:color="auto" w:fill="auto"/>
          </w:tcPr>
          <w:p>
            <w:pPr>
              <w:rPr>
                <w:rFonts w:ascii="宋体" w:hAnsi="宋体" w:eastAsia="宋体" w:cs="宋体"/>
                <w:sz w:val="24"/>
                <w:szCs w:val="24"/>
              </w:rPr>
            </w:pPr>
            <w:r>
              <w:rPr>
                <w:rFonts w:hint="eastAsia" w:ascii="宋体" w:hAnsi="宋体" w:eastAsia="宋体"/>
              </w:rPr>
              <w:t>制造业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96,980,455.92</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62.06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D</w:t>
            </w:r>
          </w:p>
        </w:tc>
        <w:tc>
          <w:tcPr>
            <w:tcW w:w="0" w:type="auto"/>
            <w:shd w:val="clear" w:color="auto" w:fill="auto"/>
          </w:tcPr>
          <w:p>
            <w:pPr>
              <w:rPr>
                <w:rFonts w:ascii="宋体" w:hAnsi="宋体" w:eastAsia="宋体" w:cs="宋体"/>
                <w:sz w:val="24"/>
                <w:szCs w:val="24"/>
              </w:rPr>
            </w:pPr>
            <w:r>
              <w:rPr>
                <w:rFonts w:hint="eastAsia" w:ascii="宋体" w:hAnsi="宋体" w:eastAsia="宋体"/>
              </w:rPr>
              <w:t>电力、热力、燃气及水生产和供应业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601,595.00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E</w:t>
            </w:r>
          </w:p>
        </w:tc>
        <w:tc>
          <w:tcPr>
            <w:tcW w:w="0" w:type="auto"/>
            <w:shd w:val="clear" w:color="auto" w:fill="auto"/>
          </w:tcPr>
          <w:p>
            <w:pPr>
              <w:rPr>
                <w:rFonts w:ascii="宋体" w:hAnsi="宋体" w:eastAsia="宋体" w:cs="宋体"/>
                <w:sz w:val="24"/>
                <w:szCs w:val="24"/>
              </w:rPr>
            </w:pPr>
            <w:r>
              <w:rPr>
                <w:rFonts w:hint="eastAsia" w:ascii="宋体" w:hAnsi="宋体" w:eastAsia="宋体"/>
              </w:rPr>
              <w:t>建筑业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F</w:t>
            </w:r>
          </w:p>
        </w:tc>
        <w:tc>
          <w:tcPr>
            <w:tcW w:w="0" w:type="auto"/>
            <w:shd w:val="clear" w:color="auto" w:fill="auto"/>
          </w:tcPr>
          <w:p>
            <w:pPr>
              <w:rPr>
                <w:rFonts w:ascii="宋体" w:hAnsi="宋体" w:eastAsia="宋体" w:cs="宋体"/>
                <w:sz w:val="24"/>
                <w:szCs w:val="24"/>
              </w:rPr>
            </w:pPr>
            <w:r>
              <w:rPr>
                <w:rFonts w:hint="eastAsia" w:ascii="宋体" w:hAnsi="宋体" w:eastAsia="宋体"/>
              </w:rPr>
              <w:t>批发和零售业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3,589,771.00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G</w:t>
            </w:r>
          </w:p>
        </w:tc>
        <w:tc>
          <w:tcPr>
            <w:tcW w:w="0" w:type="auto"/>
            <w:shd w:val="clear" w:color="auto" w:fill="auto"/>
          </w:tcPr>
          <w:p>
            <w:pPr>
              <w:rPr>
                <w:rFonts w:ascii="宋体" w:hAnsi="宋体" w:eastAsia="宋体" w:cs="宋体"/>
                <w:sz w:val="24"/>
                <w:szCs w:val="24"/>
              </w:rPr>
            </w:pPr>
            <w:r>
              <w:rPr>
                <w:rFonts w:hint="eastAsia" w:ascii="宋体" w:hAnsi="宋体" w:eastAsia="宋体"/>
              </w:rPr>
              <w:t>交通运输、仓储和邮政业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23,402,343.61</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14.98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H</w:t>
            </w:r>
          </w:p>
        </w:tc>
        <w:tc>
          <w:tcPr>
            <w:tcW w:w="0" w:type="auto"/>
            <w:shd w:val="clear" w:color="auto" w:fill="auto"/>
          </w:tcPr>
          <w:p>
            <w:pPr>
              <w:rPr>
                <w:rFonts w:ascii="宋体" w:hAnsi="宋体" w:eastAsia="宋体" w:cs="宋体"/>
                <w:sz w:val="24"/>
                <w:szCs w:val="24"/>
              </w:rPr>
            </w:pPr>
            <w:r>
              <w:rPr>
                <w:rFonts w:hint="eastAsia" w:ascii="宋体" w:hAnsi="宋体" w:eastAsia="宋体"/>
              </w:rPr>
              <w:t>住宿和餐饮业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620,964.00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I</w:t>
            </w:r>
          </w:p>
        </w:tc>
        <w:tc>
          <w:tcPr>
            <w:tcW w:w="0" w:type="auto"/>
            <w:shd w:val="clear" w:color="auto" w:fill="auto"/>
          </w:tcPr>
          <w:p>
            <w:pPr>
              <w:rPr>
                <w:rFonts w:ascii="宋体" w:hAnsi="宋体" w:eastAsia="宋体" w:cs="宋体"/>
                <w:sz w:val="24"/>
                <w:szCs w:val="24"/>
              </w:rPr>
            </w:pPr>
            <w:r>
              <w:rPr>
                <w:rFonts w:hint="eastAsia" w:ascii="宋体" w:hAnsi="宋体" w:eastAsia="宋体"/>
              </w:rPr>
              <w:t>信息传输、软件和信息技术服务业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180,880.00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J</w:t>
            </w:r>
          </w:p>
        </w:tc>
        <w:tc>
          <w:tcPr>
            <w:tcW w:w="0" w:type="auto"/>
            <w:shd w:val="clear" w:color="auto" w:fill="auto"/>
          </w:tcPr>
          <w:p>
            <w:pPr>
              <w:rPr>
                <w:rFonts w:ascii="宋体" w:hAnsi="宋体" w:eastAsia="宋体" w:cs="宋体"/>
                <w:sz w:val="24"/>
                <w:szCs w:val="24"/>
              </w:rPr>
            </w:pPr>
            <w:r>
              <w:rPr>
                <w:rFonts w:hint="eastAsia" w:ascii="宋体" w:hAnsi="宋体" w:eastAsia="宋体"/>
              </w:rPr>
              <w:t>金融业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K</w:t>
            </w:r>
          </w:p>
        </w:tc>
        <w:tc>
          <w:tcPr>
            <w:tcW w:w="0" w:type="auto"/>
            <w:shd w:val="clear" w:color="auto" w:fill="auto"/>
          </w:tcPr>
          <w:p>
            <w:pPr>
              <w:rPr>
                <w:rFonts w:ascii="宋体" w:hAnsi="宋体" w:eastAsia="宋体" w:cs="宋体"/>
                <w:sz w:val="24"/>
                <w:szCs w:val="24"/>
              </w:rPr>
            </w:pPr>
            <w:r>
              <w:rPr>
                <w:rFonts w:hint="eastAsia" w:ascii="宋体" w:hAnsi="宋体" w:eastAsia="宋体"/>
              </w:rPr>
              <w:t>房地产业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L</w:t>
            </w:r>
          </w:p>
        </w:tc>
        <w:tc>
          <w:tcPr>
            <w:tcW w:w="0" w:type="auto"/>
            <w:shd w:val="clear" w:color="auto" w:fill="auto"/>
          </w:tcPr>
          <w:p>
            <w:pPr>
              <w:rPr>
                <w:rFonts w:ascii="宋体" w:hAnsi="宋体" w:eastAsia="宋体" w:cs="宋体"/>
                <w:sz w:val="24"/>
                <w:szCs w:val="24"/>
              </w:rPr>
            </w:pPr>
            <w:r>
              <w:rPr>
                <w:rFonts w:hint="eastAsia" w:ascii="宋体" w:hAnsi="宋体" w:eastAsia="宋体"/>
              </w:rPr>
              <w:t>租赁和商务服务业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345,807.00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M</w:t>
            </w:r>
          </w:p>
        </w:tc>
        <w:tc>
          <w:tcPr>
            <w:tcW w:w="0" w:type="auto"/>
            <w:shd w:val="clear" w:color="auto" w:fill="auto"/>
          </w:tcPr>
          <w:p>
            <w:pPr>
              <w:rPr>
                <w:rFonts w:ascii="宋体" w:hAnsi="宋体" w:eastAsia="宋体" w:cs="宋体"/>
                <w:sz w:val="24"/>
                <w:szCs w:val="24"/>
              </w:rPr>
            </w:pPr>
            <w:r>
              <w:rPr>
                <w:rFonts w:hint="eastAsia" w:ascii="宋体" w:hAnsi="宋体" w:eastAsia="宋体"/>
              </w:rPr>
              <w:t>科学研究和技术服务业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N</w:t>
            </w:r>
          </w:p>
        </w:tc>
        <w:tc>
          <w:tcPr>
            <w:tcW w:w="0" w:type="auto"/>
            <w:shd w:val="clear" w:color="auto" w:fill="auto"/>
          </w:tcPr>
          <w:p>
            <w:pPr>
              <w:rPr>
                <w:rFonts w:ascii="宋体" w:hAnsi="宋体" w:eastAsia="宋体" w:cs="宋体"/>
                <w:sz w:val="24"/>
                <w:szCs w:val="24"/>
              </w:rPr>
            </w:pPr>
            <w:r>
              <w:rPr>
                <w:rFonts w:hint="eastAsia" w:ascii="宋体" w:hAnsi="宋体" w:eastAsia="宋体"/>
              </w:rPr>
              <w:t>水利、环境和公共设施管理业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O</w:t>
            </w:r>
          </w:p>
        </w:tc>
        <w:tc>
          <w:tcPr>
            <w:tcW w:w="0" w:type="auto"/>
            <w:shd w:val="clear" w:color="auto" w:fill="auto"/>
          </w:tcPr>
          <w:p>
            <w:pPr>
              <w:rPr>
                <w:rFonts w:ascii="宋体" w:hAnsi="宋体" w:eastAsia="宋体" w:cs="宋体"/>
                <w:sz w:val="24"/>
                <w:szCs w:val="24"/>
              </w:rPr>
            </w:pPr>
            <w:r>
              <w:rPr>
                <w:rFonts w:hint="eastAsia" w:ascii="宋体" w:hAnsi="宋体" w:eastAsia="宋体"/>
              </w:rPr>
              <w:t>居民服务、修理和其他服务业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P</w:t>
            </w:r>
          </w:p>
        </w:tc>
        <w:tc>
          <w:tcPr>
            <w:tcW w:w="0" w:type="auto"/>
            <w:shd w:val="clear" w:color="auto" w:fill="auto"/>
          </w:tcPr>
          <w:p>
            <w:pPr>
              <w:rPr>
                <w:rFonts w:ascii="宋体" w:hAnsi="宋体" w:eastAsia="宋体" w:cs="宋体"/>
                <w:sz w:val="24"/>
                <w:szCs w:val="24"/>
              </w:rPr>
            </w:pPr>
            <w:r>
              <w:rPr>
                <w:rFonts w:hint="eastAsia" w:ascii="宋体" w:hAnsi="宋体" w:eastAsia="宋体"/>
              </w:rPr>
              <w:t>教育</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Q</w:t>
            </w:r>
          </w:p>
        </w:tc>
        <w:tc>
          <w:tcPr>
            <w:tcW w:w="0" w:type="auto"/>
            <w:shd w:val="clear" w:color="auto" w:fill="auto"/>
          </w:tcPr>
          <w:p>
            <w:pPr>
              <w:rPr>
                <w:rFonts w:ascii="宋体" w:hAnsi="宋体" w:eastAsia="宋体" w:cs="宋体"/>
                <w:sz w:val="24"/>
                <w:szCs w:val="24"/>
              </w:rPr>
            </w:pPr>
            <w:r>
              <w:rPr>
                <w:rFonts w:hint="eastAsia" w:ascii="宋体" w:hAnsi="宋体" w:eastAsia="宋体"/>
              </w:rPr>
              <w:t>卫生和社会工作</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R</w:t>
            </w:r>
          </w:p>
        </w:tc>
        <w:tc>
          <w:tcPr>
            <w:tcW w:w="0" w:type="auto"/>
            <w:shd w:val="clear" w:color="auto" w:fill="auto"/>
          </w:tcPr>
          <w:p>
            <w:pPr>
              <w:rPr>
                <w:rFonts w:ascii="宋体" w:hAnsi="宋体" w:eastAsia="宋体" w:cs="宋体"/>
                <w:sz w:val="24"/>
                <w:szCs w:val="24"/>
              </w:rPr>
            </w:pPr>
            <w:r>
              <w:rPr>
                <w:rFonts w:hint="eastAsia" w:ascii="宋体" w:hAnsi="宋体" w:eastAsia="宋体"/>
              </w:rPr>
              <w:t>文化、体育和娱乐业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480,528.00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S</w:t>
            </w:r>
          </w:p>
        </w:tc>
        <w:tc>
          <w:tcPr>
            <w:tcW w:w="0" w:type="auto"/>
            <w:shd w:val="clear" w:color="auto" w:fill="auto"/>
          </w:tcPr>
          <w:p>
            <w:pPr>
              <w:rPr>
                <w:rFonts w:ascii="宋体" w:hAnsi="宋体" w:eastAsia="宋体" w:cs="宋体"/>
                <w:sz w:val="24"/>
                <w:szCs w:val="24"/>
              </w:rPr>
            </w:pPr>
            <w:r>
              <w:rPr>
                <w:rFonts w:hint="eastAsia" w:ascii="宋体" w:hAnsi="宋体" w:eastAsia="宋体"/>
              </w:rPr>
              <w:t>综合</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154,900,060.53</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99.13</w:t>
            </w:r>
          </w:p>
        </w:tc>
      </w:tr>
    </w:tbl>
    <w:p>
      <w:pPr>
        <w:pStyle w:val="7"/>
        <w:spacing w:before="0" w:beforeAutospacing="0" w:after="0" w:afterAutospacing="0" w:line="360" w:lineRule="auto"/>
        <w:ind w:firstLine="420"/>
        <w:rPr>
          <w:sz w:val="21"/>
          <w:szCs w:val="21"/>
        </w:rPr>
      </w:pPr>
      <w:r>
        <w:rPr>
          <w:rStyle w:val="11"/>
          <w:rFonts w:hint="eastAsia"/>
          <w:sz w:val="21"/>
          <w:szCs w:val="21"/>
        </w:rPr>
        <w:t>2.2报告期末按行业分类的港股通投资股票投资组合</w:t>
      </w:r>
    </w:p>
    <w:p>
      <w:pPr>
        <w:pStyle w:val="7"/>
        <w:spacing w:before="0" w:beforeAutospacing="0" w:after="0" w:afterAutospacing="0" w:line="360" w:lineRule="auto"/>
        <w:ind w:firstLine="420"/>
        <w:rPr>
          <w:sz w:val="21"/>
          <w:szCs w:val="21"/>
        </w:rPr>
      </w:pPr>
      <w:r>
        <w:rPr>
          <w:rFonts w:hint="eastAsia"/>
          <w:sz w:val="21"/>
          <w:szCs w:val="21"/>
        </w:rPr>
        <w:t>本基金本报告期末未持有港股通投资股票。</w:t>
      </w:r>
    </w:p>
    <w:p>
      <w:pPr>
        <w:pStyle w:val="7"/>
        <w:spacing w:before="0" w:beforeAutospacing="0" w:after="0" w:afterAutospacing="0" w:line="360" w:lineRule="auto"/>
        <w:ind w:firstLine="420"/>
        <w:rPr>
          <w:sz w:val="21"/>
          <w:szCs w:val="21"/>
        </w:rPr>
      </w:pPr>
      <w:r>
        <w:rPr>
          <w:rStyle w:val="11"/>
          <w:rFonts w:hint="eastAsia"/>
          <w:sz w:val="21"/>
          <w:szCs w:val="21"/>
        </w:rPr>
        <w:t>3报告期末按公允价值占基金资产净值比例大小排序的前十名股票投资明细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1122"/>
        <w:gridCol w:w="1122"/>
        <w:gridCol w:w="1233"/>
        <w:gridCol w:w="1680"/>
        <w:gridCol w:w="2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股票代码</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股票名称</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数量(股)</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占基金资产净值比例(％)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600938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中国海油</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596,600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15,589,158.00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000333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美的集团</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166,400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12,090,624.00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7.74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000651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格力电器</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273,600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10,867,392.00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6.95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000858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五粮液</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85,400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10,374,392.00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6.64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601919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中远海控</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715,500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10,260,270.00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6.57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603993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洛阳钼业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510,700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8,017,990.00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000100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TCL科技</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1,257,000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5,417,670.00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601600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中国铝业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638,023</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5,257,309.52</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002352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顺丰控股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121,300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4,892,029.00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601225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陕西煤业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223,000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4,460,000.00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2.85</w:t>
            </w:r>
          </w:p>
        </w:tc>
      </w:tr>
    </w:tbl>
    <w:p>
      <w:pPr>
        <w:pStyle w:val="7"/>
        <w:spacing w:before="0" w:beforeAutospacing="0" w:after="0" w:afterAutospacing="0" w:line="360" w:lineRule="auto"/>
        <w:ind w:firstLine="420"/>
        <w:rPr>
          <w:sz w:val="21"/>
          <w:szCs w:val="21"/>
        </w:rPr>
      </w:pPr>
      <w:r>
        <w:rPr>
          <w:rStyle w:val="11"/>
          <w:rFonts w:hint="eastAsia"/>
          <w:sz w:val="21"/>
          <w:szCs w:val="21"/>
        </w:rPr>
        <w:t>4报告期末按债券品种分类的债券投资组合</w:t>
      </w:r>
    </w:p>
    <w:p>
      <w:pPr>
        <w:pStyle w:val="7"/>
        <w:spacing w:before="0" w:beforeAutospacing="0" w:after="0" w:afterAutospacing="0" w:line="360" w:lineRule="auto"/>
        <w:ind w:firstLine="420"/>
        <w:rPr>
          <w:sz w:val="21"/>
          <w:szCs w:val="21"/>
        </w:rPr>
      </w:pPr>
      <w:r>
        <w:rPr>
          <w:rFonts w:hint="eastAsia"/>
          <w:sz w:val="21"/>
          <w:szCs w:val="21"/>
        </w:rPr>
        <w:t>本基金本报告期末未持有债券。</w:t>
      </w:r>
    </w:p>
    <w:p>
      <w:pPr>
        <w:pStyle w:val="7"/>
        <w:spacing w:before="0" w:beforeAutospacing="0" w:after="0" w:afterAutospacing="0" w:line="360" w:lineRule="auto"/>
        <w:ind w:firstLine="420"/>
        <w:rPr>
          <w:sz w:val="21"/>
          <w:szCs w:val="21"/>
        </w:rPr>
      </w:pPr>
      <w:r>
        <w:rPr>
          <w:rStyle w:val="11"/>
          <w:rFonts w:hint="eastAsia"/>
          <w:sz w:val="21"/>
          <w:szCs w:val="21"/>
        </w:rPr>
        <w:t>5报告期末按公允价值占基金资产净值比例大小排序的前五名债券投资明细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本基金本报告期末未持有债券。</w:t>
      </w:r>
    </w:p>
    <w:p>
      <w:pPr>
        <w:pStyle w:val="7"/>
        <w:spacing w:before="0" w:beforeAutospacing="0" w:after="0" w:afterAutospacing="0" w:line="360" w:lineRule="auto"/>
        <w:ind w:firstLine="420"/>
        <w:rPr>
          <w:sz w:val="21"/>
          <w:szCs w:val="21"/>
        </w:rPr>
      </w:pPr>
      <w:r>
        <w:rPr>
          <w:rStyle w:val="11"/>
          <w:rFonts w:hint="eastAsia"/>
          <w:sz w:val="21"/>
          <w:szCs w:val="21"/>
        </w:rPr>
        <w:t>6报告期末按公允价值占基金资产净值比例大小排序的前十名资产支持证券投资明细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本基金本报告期末未持有资产支持证券。</w:t>
      </w:r>
    </w:p>
    <w:p>
      <w:pPr>
        <w:pStyle w:val="7"/>
        <w:spacing w:before="0" w:beforeAutospacing="0" w:after="0" w:afterAutospacing="0" w:line="360" w:lineRule="auto"/>
        <w:ind w:firstLine="420"/>
        <w:rPr>
          <w:sz w:val="21"/>
          <w:szCs w:val="21"/>
        </w:rPr>
      </w:pPr>
      <w:r>
        <w:rPr>
          <w:rStyle w:val="11"/>
          <w:rFonts w:hint="eastAsia"/>
          <w:sz w:val="21"/>
          <w:szCs w:val="21"/>
        </w:rPr>
        <w:t>7报告期末按公允价值占基金资产净值比例大小排序的前五名贵金属投资明细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本基金本报告期末未持有贵金属。</w:t>
      </w:r>
    </w:p>
    <w:p>
      <w:pPr>
        <w:pStyle w:val="7"/>
        <w:spacing w:before="0" w:beforeAutospacing="0" w:after="0" w:afterAutospacing="0" w:line="360" w:lineRule="auto"/>
        <w:ind w:firstLine="420"/>
        <w:rPr>
          <w:sz w:val="21"/>
          <w:szCs w:val="21"/>
        </w:rPr>
      </w:pPr>
      <w:r>
        <w:rPr>
          <w:rStyle w:val="11"/>
          <w:rFonts w:hint="eastAsia"/>
          <w:sz w:val="21"/>
          <w:szCs w:val="21"/>
        </w:rPr>
        <w:t>8报告期末按公允价值占基金资产净值比例大小排序的前五名权证投资明细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本基金本报告期末未持有权证。</w:t>
      </w:r>
    </w:p>
    <w:p>
      <w:pPr>
        <w:pStyle w:val="7"/>
        <w:spacing w:before="0" w:beforeAutospacing="0" w:after="0" w:afterAutospacing="0" w:line="360" w:lineRule="auto"/>
        <w:ind w:firstLine="420"/>
        <w:rPr>
          <w:sz w:val="21"/>
          <w:szCs w:val="21"/>
        </w:rPr>
      </w:pPr>
      <w:r>
        <w:rPr>
          <w:rStyle w:val="11"/>
          <w:rFonts w:hint="eastAsia"/>
          <w:sz w:val="21"/>
          <w:szCs w:val="21"/>
        </w:rPr>
        <w:t>9报告期末本基金投资的股指期货交易情况说明</w:t>
      </w:r>
    </w:p>
    <w:p>
      <w:pPr>
        <w:pStyle w:val="7"/>
        <w:spacing w:before="0" w:beforeAutospacing="0" w:after="0" w:afterAutospacing="0" w:line="360" w:lineRule="auto"/>
        <w:ind w:firstLine="420"/>
        <w:rPr>
          <w:sz w:val="21"/>
          <w:szCs w:val="21"/>
        </w:rPr>
      </w:pPr>
      <w:r>
        <w:rPr>
          <w:rStyle w:val="11"/>
          <w:rFonts w:hint="eastAsia"/>
          <w:sz w:val="21"/>
          <w:szCs w:val="21"/>
        </w:rPr>
        <w:t>9.1报告期末本基金投资的股指期货持仓和损益明细</w:t>
      </w:r>
    </w:p>
    <w:p>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pPr>
        <w:pStyle w:val="7"/>
        <w:spacing w:before="0" w:beforeAutospacing="0" w:after="0" w:afterAutospacing="0" w:line="360" w:lineRule="auto"/>
        <w:ind w:firstLine="420"/>
        <w:rPr>
          <w:sz w:val="21"/>
          <w:szCs w:val="21"/>
        </w:rPr>
      </w:pPr>
      <w:r>
        <w:rPr>
          <w:rStyle w:val="11"/>
          <w:rFonts w:hint="eastAsia"/>
          <w:sz w:val="21"/>
          <w:szCs w:val="21"/>
        </w:rPr>
        <w:t>9.2本基金投资股指期货的投资政策</w:t>
      </w:r>
    </w:p>
    <w:p>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pPr>
        <w:pStyle w:val="7"/>
        <w:spacing w:before="0" w:beforeAutospacing="0" w:after="0" w:afterAutospacing="0" w:line="360" w:lineRule="auto"/>
        <w:ind w:firstLine="420"/>
        <w:rPr>
          <w:sz w:val="21"/>
          <w:szCs w:val="21"/>
        </w:rPr>
      </w:pPr>
      <w:r>
        <w:rPr>
          <w:rStyle w:val="11"/>
          <w:rFonts w:hint="eastAsia"/>
          <w:sz w:val="21"/>
          <w:szCs w:val="21"/>
        </w:rPr>
        <w:t>10报告期末本基金投资的国债期货交易情况说明</w:t>
      </w:r>
    </w:p>
    <w:p>
      <w:pPr>
        <w:pStyle w:val="7"/>
        <w:spacing w:before="0" w:beforeAutospacing="0" w:after="0" w:afterAutospacing="0" w:line="360" w:lineRule="auto"/>
        <w:ind w:firstLine="420"/>
        <w:rPr>
          <w:sz w:val="21"/>
          <w:szCs w:val="21"/>
        </w:rPr>
      </w:pPr>
      <w:r>
        <w:rPr>
          <w:rStyle w:val="11"/>
          <w:rFonts w:hint="eastAsia"/>
          <w:sz w:val="21"/>
          <w:szCs w:val="21"/>
        </w:rPr>
        <w:t>10.1本期国债期货投资政策</w:t>
      </w:r>
    </w:p>
    <w:p>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pPr>
        <w:pStyle w:val="7"/>
        <w:spacing w:before="0" w:beforeAutospacing="0" w:after="0" w:afterAutospacing="0" w:line="360" w:lineRule="auto"/>
        <w:ind w:firstLine="420"/>
        <w:rPr>
          <w:sz w:val="21"/>
          <w:szCs w:val="21"/>
        </w:rPr>
      </w:pPr>
      <w:r>
        <w:rPr>
          <w:rStyle w:val="11"/>
          <w:rFonts w:hint="eastAsia"/>
          <w:sz w:val="21"/>
          <w:szCs w:val="21"/>
        </w:rPr>
        <w:t>10.2报告期末本基金投资的国债期货持仓和损益明细</w:t>
      </w:r>
    </w:p>
    <w:p>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pPr>
        <w:pStyle w:val="7"/>
        <w:spacing w:before="0" w:beforeAutospacing="0" w:after="0" w:afterAutospacing="0" w:line="360" w:lineRule="auto"/>
        <w:ind w:firstLine="420"/>
        <w:rPr>
          <w:sz w:val="21"/>
          <w:szCs w:val="21"/>
        </w:rPr>
      </w:pPr>
      <w:r>
        <w:rPr>
          <w:rStyle w:val="11"/>
          <w:rFonts w:hint="eastAsia"/>
          <w:sz w:val="21"/>
          <w:szCs w:val="21"/>
        </w:rPr>
        <w:t>11投资组合报告附注</w:t>
      </w:r>
    </w:p>
    <w:p>
      <w:pPr>
        <w:pStyle w:val="7"/>
        <w:spacing w:before="0" w:beforeAutospacing="0" w:after="0" w:afterAutospacing="0" w:line="360" w:lineRule="auto"/>
        <w:ind w:firstLine="420"/>
        <w:rPr>
          <w:sz w:val="21"/>
          <w:szCs w:val="21"/>
        </w:rPr>
      </w:pPr>
      <w:r>
        <w:rPr>
          <w:rStyle w:val="11"/>
          <w:rFonts w:hint="eastAsia"/>
          <w:sz w:val="21"/>
          <w:szCs w:val="21"/>
        </w:rPr>
        <w:t>11.1基金投资前十名证券的发行主体被监管部门立案调查或编制日前一年内受到公开谴责、处罚的投资决策程序说明</w:t>
      </w:r>
    </w:p>
    <w:p>
      <w:pPr>
        <w:pStyle w:val="7"/>
        <w:spacing w:before="0" w:beforeAutospacing="0" w:after="0" w:afterAutospacing="0" w:line="360" w:lineRule="auto"/>
        <w:ind w:firstLine="420"/>
        <w:rPr>
          <w:sz w:val="21"/>
          <w:szCs w:val="21"/>
        </w:rPr>
      </w:pPr>
      <w:r>
        <w:rPr>
          <w:rFonts w:hint="eastAsia"/>
          <w:sz w:val="21"/>
          <w:szCs w:val="21"/>
        </w:rPr>
        <w:t>本基金投资的前十名证券的发行主体中，中国铝业股份有限公司在报告编制前一年受到清镇市应急管理局、西宁市生态环境局的处罚。本基金对上述证券的投资决策程序符合相关法规及公司制度的要求。</w:t>
      </w:r>
    </w:p>
    <w:p>
      <w:pPr>
        <w:pStyle w:val="7"/>
        <w:spacing w:before="0" w:beforeAutospacing="0" w:after="0" w:afterAutospacing="0" w:line="360" w:lineRule="auto"/>
        <w:ind w:firstLine="420"/>
        <w:rPr>
          <w:sz w:val="21"/>
          <w:szCs w:val="21"/>
        </w:rPr>
      </w:pPr>
      <w:r>
        <w:rPr>
          <w:rFonts w:hint="eastAsia"/>
          <w:sz w:val="21"/>
          <w:szCs w:val="21"/>
        </w:rPr>
        <w:t>除上述主体外，基金管理人未发现本基金投资的前十名证券发行主体出现本期被监管部门立案调查，或在报告编制日前一年受到公开谴责、处罚的情形。</w:t>
      </w:r>
    </w:p>
    <w:p>
      <w:pPr>
        <w:pStyle w:val="7"/>
        <w:spacing w:before="0" w:beforeAutospacing="0" w:after="0" w:afterAutospacing="0" w:line="360" w:lineRule="auto"/>
        <w:ind w:firstLine="420"/>
        <w:rPr>
          <w:sz w:val="21"/>
          <w:szCs w:val="21"/>
        </w:rPr>
      </w:pPr>
      <w:r>
        <w:rPr>
          <w:rStyle w:val="11"/>
          <w:rFonts w:hint="eastAsia"/>
          <w:sz w:val="21"/>
          <w:szCs w:val="21"/>
        </w:rPr>
        <w:t>11.2报告期内基金投资的前十名股票中，没有投资超出基金合同规定备选股票库之外的股票。本基金管理人从制度和流程上要求股票必须先入库再买入。</w:t>
      </w:r>
    </w:p>
    <w:p>
      <w:pPr>
        <w:pStyle w:val="7"/>
        <w:spacing w:before="0" w:beforeAutospacing="0" w:after="0" w:afterAutospacing="0" w:line="360" w:lineRule="auto"/>
        <w:ind w:firstLine="420"/>
        <w:rPr>
          <w:sz w:val="21"/>
          <w:szCs w:val="21"/>
        </w:rPr>
      </w:pPr>
      <w:r>
        <w:rPr>
          <w:rStyle w:val="11"/>
          <w:rFonts w:hint="eastAsia"/>
          <w:sz w:val="21"/>
          <w:szCs w:val="21"/>
        </w:rPr>
        <w:t>11.3其他资产构成</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5"/>
        <w:gridCol w:w="4122"/>
        <w:gridCol w:w="28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名称</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rPr>
                <w:rFonts w:ascii="宋体" w:hAnsi="宋体" w:eastAsia="宋体" w:cs="宋体"/>
                <w:sz w:val="24"/>
                <w:szCs w:val="24"/>
              </w:rPr>
            </w:pPr>
            <w:r>
              <w:rPr>
                <w:rFonts w:hint="eastAsia" w:ascii="宋体" w:hAnsi="宋体" w:eastAsia="宋体"/>
              </w:rPr>
              <w:t>存出保证金</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rPr>
                <w:rFonts w:ascii="宋体" w:hAnsi="宋体" w:eastAsia="宋体" w:cs="宋体"/>
                <w:sz w:val="24"/>
                <w:szCs w:val="24"/>
              </w:rPr>
            </w:pPr>
            <w:r>
              <w:rPr>
                <w:rFonts w:hint="eastAsia" w:ascii="宋体" w:hAnsi="宋体" w:eastAsia="宋体"/>
              </w:rPr>
              <w:t>应收证券清算款</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rPr>
                <w:rFonts w:ascii="宋体" w:hAnsi="宋体" w:eastAsia="宋体" w:cs="宋体"/>
                <w:sz w:val="24"/>
                <w:szCs w:val="24"/>
              </w:rPr>
            </w:pPr>
            <w:r>
              <w:rPr>
                <w:rFonts w:hint="eastAsia" w:ascii="宋体" w:hAnsi="宋体" w:eastAsia="宋体"/>
              </w:rPr>
              <w:t>应收股利</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rPr>
                <w:rFonts w:ascii="宋体" w:hAnsi="宋体" w:eastAsia="宋体" w:cs="宋体"/>
                <w:sz w:val="24"/>
                <w:szCs w:val="24"/>
              </w:rPr>
            </w:pPr>
            <w:r>
              <w:rPr>
                <w:rFonts w:hint="eastAsia" w:ascii="宋体" w:hAnsi="宋体" w:eastAsia="宋体"/>
              </w:rPr>
              <w:t>应收利息</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rPr>
                <w:rFonts w:ascii="宋体" w:hAnsi="宋体" w:eastAsia="宋体" w:cs="宋体"/>
                <w:sz w:val="24"/>
                <w:szCs w:val="24"/>
              </w:rPr>
            </w:pPr>
            <w:r>
              <w:rPr>
                <w:rFonts w:hint="eastAsia" w:ascii="宋体" w:hAnsi="宋体" w:eastAsia="宋体"/>
              </w:rPr>
              <w:t>应收申购款</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rPr>
                <w:rFonts w:ascii="宋体" w:hAnsi="宋体" w:eastAsia="宋体" w:cs="宋体"/>
                <w:sz w:val="24"/>
                <w:szCs w:val="24"/>
              </w:rPr>
            </w:pPr>
            <w:r>
              <w:rPr>
                <w:rFonts w:hint="eastAsia" w:ascii="宋体" w:hAnsi="宋体" w:eastAsia="宋体"/>
              </w:rPr>
              <w:t>其他应收款</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rPr>
                <w:rFonts w:ascii="宋体" w:hAnsi="宋体" w:eastAsia="宋体" w:cs="宋体"/>
                <w:sz w:val="24"/>
                <w:szCs w:val="24"/>
              </w:rPr>
            </w:pPr>
            <w:r>
              <w:rPr>
                <w:rFonts w:hint="eastAsia" w:ascii="宋体" w:hAnsi="宋体" w:eastAsia="宋体"/>
              </w:rPr>
              <w:t>待摊费用</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39,654.67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rPr>
                <w:rFonts w:ascii="宋体" w:hAnsi="宋体" w:eastAsia="宋体" w:cs="宋体"/>
                <w:sz w:val="24"/>
                <w:szCs w:val="24"/>
              </w:rPr>
            </w:pPr>
            <w:r>
              <w:rPr>
                <w:rFonts w:hint="eastAsia" w:ascii="宋体" w:hAnsi="宋体" w:eastAsia="宋体"/>
              </w:rPr>
              <w:t>其他</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rPr>
                <w:rFonts w:ascii="宋体" w:hAnsi="宋体" w:eastAsia="宋体" w:cs="宋体"/>
                <w:sz w:val="24"/>
                <w:szCs w:val="24"/>
              </w:rPr>
            </w:pPr>
            <w:r>
              <w:rPr>
                <w:rFonts w:hint="eastAsia" w:ascii="宋体" w:hAnsi="宋体" w:eastAsia="宋体"/>
              </w:rPr>
              <w:t>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39,654.67</w:t>
            </w:r>
          </w:p>
        </w:tc>
      </w:tr>
    </w:tbl>
    <w:p>
      <w:pPr>
        <w:pStyle w:val="7"/>
        <w:spacing w:before="0" w:beforeAutospacing="0" w:after="0" w:afterAutospacing="0" w:line="360" w:lineRule="auto"/>
        <w:ind w:firstLine="420"/>
        <w:rPr>
          <w:sz w:val="21"/>
          <w:szCs w:val="21"/>
        </w:rPr>
      </w:pPr>
      <w:r>
        <w:rPr>
          <w:rStyle w:val="11"/>
          <w:rFonts w:hint="eastAsia"/>
          <w:sz w:val="21"/>
          <w:szCs w:val="21"/>
        </w:rPr>
        <w:t>11.4报告期末持有的处于转股期的可转换债券明细</w:t>
      </w:r>
    </w:p>
    <w:p>
      <w:pPr>
        <w:pStyle w:val="7"/>
        <w:spacing w:before="0" w:beforeAutospacing="0" w:after="0" w:afterAutospacing="0" w:line="360" w:lineRule="auto"/>
        <w:ind w:firstLine="420"/>
        <w:rPr>
          <w:sz w:val="21"/>
          <w:szCs w:val="21"/>
        </w:rPr>
      </w:pPr>
      <w:r>
        <w:rPr>
          <w:rFonts w:hint="eastAsia"/>
          <w:sz w:val="21"/>
          <w:szCs w:val="21"/>
        </w:rPr>
        <w:t>本基金本报告期末未持有处于转股期的可转换债券。</w:t>
      </w:r>
    </w:p>
    <w:p>
      <w:pPr>
        <w:pStyle w:val="7"/>
        <w:spacing w:before="0" w:beforeAutospacing="0" w:after="0" w:afterAutospacing="0" w:line="360" w:lineRule="auto"/>
        <w:ind w:firstLine="420"/>
        <w:rPr>
          <w:sz w:val="21"/>
          <w:szCs w:val="21"/>
        </w:rPr>
      </w:pPr>
      <w:r>
        <w:rPr>
          <w:rStyle w:val="11"/>
          <w:rFonts w:hint="eastAsia"/>
          <w:sz w:val="21"/>
          <w:szCs w:val="21"/>
        </w:rPr>
        <w:t>11.5报告期末前十名股票中存在流通受限情况的说明</w:t>
      </w:r>
    </w:p>
    <w:p>
      <w:pPr>
        <w:pStyle w:val="7"/>
        <w:spacing w:before="0" w:beforeAutospacing="0" w:after="0" w:afterAutospacing="0" w:line="360" w:lineRule="auto"/>
        <w:ind w:firstLine="420"/>
        <w:rPr>
          <w:sz w:val="21"/>
          <w:szCs w:val="21"/>
        </w:rPr>
      </w:pPr>
      <w:r>
        <w:rPr>
          <w:rFonts w:hint="eastAsia"/>
          <w:sz w:val="21"/>
          <w:szCs w:val="21"/>
        </w:rPr>
        <w:t>本基金本报告期末前十名股票中不存在流通受限情况。</w:t>
      </w:r>
    </w:p>
    <w:p>
      <w:pPr>
        <w:pStyle w:val="7"/>
        <w:spacing w:before="0" w:beforeAutospacing="0" w:after="0" w:afterAutospacing="0" w:line="360" w:lineRule="auto"/>
        <w:ind w:firstLine="420"/>
        <w:rPr>
          <w:sz w:val="21"/>
          <w:szCs w:val="21"/>
        </w:rPr>
      </w:pPr>
      <w:r>
        <w:rPr>
          <w:rStyle w:val="11"/>
          <w:rFonts w:hint="eastAsia"/>
          <w:sz w:val="21"/>
          <w:szCs w:val="21"/>
        </w:rPr>
        <w:t>11.6投资组合报告附注的其他文字描述部分</w:t>
      </w:r>
    </w:p>
    <w:p>
      <w:pPr>
        <w:pStyle w:val="7"/>
        <w:spacing w:before="0" w:beforeAutospacing="0" w:after="0" w:afterAutospacing="0" w:line="360" w:lineRule="auto"/>
        <w:ind w:firstLine="420"/>
        <w:rPr>
          <w:sz w:val="21"/>
          <w:szCs w:val="21"/>
        </w:rPr>
      </w:pPr>
      <w:bookmarkStart w:id="115" w:name="chapter_level1_13_60_section_2_end"/>
      <w:bookmarkEnd w:id="115"/>
      <w:r>
        <w:rPr>
          <w:rFonts w:hint="eastAsia"/>
          <w:sz w:val="21"/>
          <w:szCs w:val="21"/>
        </w:rPr>
        <w:t>由于四舍五入的原因，分项之和与合计项之间可能存在尾差。</w:t>
      </w:r>
      <w:bookmarkStart w:id="116" w:name="field_0_fundportfolio_1_end"/>
      <w:bookmarkEnd w:id="116"/>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17" w:name="chapter_level1_14_3500"/>
      <w:bookmarkStart w:id="118" w:name="_Toc214976549"/>
      <w:r>
        <w:rPr>
          <w:rFonts w:hint="eastAsia" w:ascii="宋体" w:hAnsi="宋体" w:eastAsia="宋体"/>
          <w:sz w:val="30"/>
        </w:rPr>
        <w:t>第十一部分 基金的业绩</w:t>
      </w:r>
      <w:bookmarkEnd w:id="117"/>
      <w:bookmarkEnd w:id="118"/>
    </w:p>
    <w:p>
      <w:pPr>
        <w:pStyle w:val="7"/>
        <w:spacing w:before="0" w:beforeAutospacing="0" w:after="0" w:afterAutospacing="0" w:line="360" w:lineRule="auto"/>
        <w:ind w:firstLine="420"/>
        <w:rPr>
          <w:sz w:val="21"/>
          <w:szCs w:val="21"/>
        </w:rPr>
      </w:pPr>
      <w:bookmarkStart w:id="119" w:name="chapter_level1_14_3500_section_1"/>
      <w:bookmarkEnd w:id="119"/>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pPr>
        <w:pStyle w:val="7"/>
        <w:spacing w:before="0" w:beforeAutospacing="0" w:after="0" w:afterAutospacing="0" w:line="360" w:lineRule="auto"/>
        <w:ind w:firstLine="420"/>
        <w:rPr>
          <w:sz w:val="21"/>
          <w:szCs w:val="21"/>
        </w:rPr>
      </w:pPr>
      <w:r>
        <w:rPr>
          <w:rFonts w:hint="eastAsia"/>
          <w:sz w:val="21"/>
          <w:szCs w:val="21"/>
        </w:rPr>
        <w:t xml:space="preserve">自基金合同生效开始，基金份额净值增长率及其与同期业绩比较基准收益率的比较 </w:t>
      </w:r>
    </w:p>
    <w:p>
      <w:pPr>
        <w:pStyle w:val="7"/>
        <w:spacing w:before="0" w:beforeAutospacing="0" w:after="0" w:afterAutospacing="0" w:line="360" w:lineRule="auto"/>
        <w:ind w:firstLine="420"/>
        <w:rPr>
          <w:sz w:val="21"/>
          <w:szCs w:val="21"/>
        </w:rPr>
      </w:pPr>
      <w:bookmarkStart w:id="120" w:name="field_0_indatatable_1_start"/>
      <w:bookmarkEnd w:id="120"/>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94"/>
        <w:gridCol w:w="1062"/>
        <w:gridCol w:w="1192"/>
        <w:gridCol w:w="1260"/>
        <w:gridCol w:w="741"/>
        <w:gridCol w:w="8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2025.05.14-2025.09.30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13.31%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0.78%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0.82%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2.01%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-0.04%</w:t>
            </w:r>
          </w:p>
        </w:tc>
      </w:tr>
    </w:tbl>
    <w:p>
      <w:pPr>
        <w:pStyle w:val="7"/>
        <w:spacing w:before="0" w:beforeAutospacing="0" w:after="0" w:afterAutospacing="0" w:line="360" w:lineRule="auto"/>
        <w:ind w:firstLine="420"/>
        <w:rPr>
          <w:sz w:val="21"/>
          <w:szCs w:val="21"/>
        </w:rPr>
      </w:pPr>
      <w:bookmarkStart w:id="121" w:name="chapter_level1_14_3500_section_1_end"/>
      <w:bookmarkEnd w:id="121"/>
      <w:bookmarkStart w:id="122" w:name="field_0_indatatable_1_end"/>
      <w:bookmarkEnd w:id="122"/>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23" w:name="_Toc214976550"/>
      <w:bookmarkStart w:id="124" w:name="chapter_level1_15_62"/>
      <w:r>
        <w:rPr>
          <w:rFonts w:hint="eastAsia" w:ascii="宋体" w:hAnsi="宋体" w:eastAsia="宋体"/>
          <w:sz w:val="30"/>
        </w:rPr>
        <w:t>第十二部分  基金的财产</w:t>
      </w:r>
      <w:bookmarkEnd w:id="123"/>
      <w:bookmarkEnd w:id="124"/>
    </w:p>
    <w:p>
      <w:pPr>
        <w:pStyle w:val="7"/>
        <w:spacing w:before="0" w:beforeAutospacing="0" w:after="0" w:afterAutospacing="0" w:line="360" w:lineRule="auto"/>
        <w:ind w:firstLine="420"/>
        <w:rPr>
          <w:sz w:val="21"/>
          <w:szCs w:val="21"/>
        </w:rPr>
      </w:pPr>
      <w:bookmarkStart w:id="125" w:name="chapter_level1_15_62_section_1"/>
      <w:bookmarkEnd w:id="125"/>
      <w:r>
        <w:rPr>
          <w:rStyle w:val="11"/>
          <w:rFonts w:hint="eastAsia"/>
          <w:sz w:val="21"/>
          <w:szCs w:val="21"/>
        </w:rPr>
        <w:t>一、基金资产总值</w:t>
      </w:r>
    </w:p>
    <w:p>
      <w:pPr>
        <w:pStyle w:val="7"/>
        <w:spacing w:before="0" w:beforeAutospacing="0" w:after="0" w:afterAutospacing="0" w:line="360" w:lineRule="auto"/>
        <w:ind w:firstLine="420"/>
        <w:rPr>
          <w:sz w:val="21"/>
          <w:szCs w:val="21"/>
        </w:rPr>
      </w:pPr>
      <w:r>
        <w:rPr>
          <w:rFonts w:hint="eastAsia"/>
          <w:sz w:val="21"/>
          <w:szCs w:val="21"/>
        </w:rPr>
        <w:t>基金资产总值是指基金拥有的各类有价证券、银行存款本息、基金应收款项及其他资产的价值总和。</w:t>
      </w:r>
    </w:p>
    <w:p>
      <w:pPr>
        <w:pStyle w:val="7"/>
        <w:spacing w:before="0" w:beforeAutospacing="0" w:after="0" w:afterAutospacing="0" w:line="360" w:lineRule="auto"/>
        <w:ind w:firstLine="420"/>
        <w:rPr>
          <w:sz w:val="21"/>
          <w:szCs w:val="21"/>
        </w:rPr>
      </w:pPr>
      <w:r>
        <w:rPr>
          <w:rStyle w:val="11"/>
          <w:rFonts w:hint="eastAsia"/>
          <w:sz w:val="21"/>
          <w:szCs w:val="21"/>
        </w:rPr>
        <w:t>二、基金资产净值</w:t>
      </w:r>
    </w:p>
    <w:p>
      <w:pPr>
        <w:pStyle w:val="7"/>
        <w:spacing w:before="0" w:beforeAutospacing="0" w:after="0" w:afterAutospacing="0" w:line="360" w:lineRule="auto"/>
        <w:ind w:firstLine="420"/>
        <w:rPr>
          <w:sz w:val="21"/>
          <w:szCs w:val="21"/>
        </w:rPr>
      </w:pPr>
      <w:r>
        <w:rPr>
          <w:rFonts w:hint="eastAsia"/>
          <w:sz w:val="21"/>
          <w:szCs w:val="21"/>
        </w:rPr>
        <w:t>基金资产净值是指基金资产总值减去基金负债后的价值。</w:t>
      </w:r>
    </w:p>
    <w:p>
      <w:pPr>
        <w:pStyle w:val="7"/>
        <w:spacing w:before="0" w:beforeAutospacing="0" w:after="0" w:afterAutospacing="0" w:line="360" w:lineRule="auto"/>
        <w:ind w:firstLine="420"/>
        <w:rPr>
          <w:sz w:val="21"/>
          <w:szCs w:val="21"/>
        </w:rPr>
      </w:pPr>
      <w:r>
        <w:rPr>
          <w:rStyle w:val="11"/>
          <w:rFonts w:hint="eastAsia"/>
          <w:sz w:val="21"/>
          <w:szCs w:val="21"/>
        </w:rPr>
        <w:t>三、基金财产的账户</w:t>
      </w:r>
    </w:p>
    <w:p>
      <w:pPr>
        <w:pStyle w:val="7"/>
        <w:spacing w:before="0" w:beforeAutospacing="0" w:after="0" w:afterAutospacing="0" w:line="360" w:lineRule="auto"/>
        <w:ind w:firstLine="420"/>
        <w:rPr>
          <w:sz w:val="21"/>
          <w:szCs w:val="21"/>
        </w:rPr>
      </w:pPr>
      <w:r>
        <w:rPr>
          <w:rFonts w:hint="eastAsia"/>
          <w:sz w:val="21"/>
          <w:szCs w:val="21"/>
        </w:rPr>
        <w:t>基金托管人或基金管理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pPr>
        <w:pStyle w:val="7"/>
        <w:spacing w:before="0" w:beforeAutospacing="0" w:after="0" w:afterAutospacing="0" w:line="360" w:lineRule="auto"/>
        <w:ind w:firstLine="420"/>
        <w:rPr>
          <w:sz w:val="21"/>
          <w:szCs w:val="21"/>
        </w:rPr>
      </w:pPr>
      <w:r>
        <w:rPr>
          <w:rStyle w:val="11"/>
          <w:rFonts w:hint="eastAsia"/>
          <w:sz w:val="21"/>
          <w:szCs w:val="21"/>
        </w:rPr>
        <w:t>四、基金财产的保管和处分</w:t>
      </w:r>
    </w:p>
    <w:p>
      <w:pPr>
        <w:pStyle w:val="7"/>
        <w:spacing w:before="0" w:beforeAutospacing="0" w:after="0" w:afterAutospacing="0" w:line="360" w:lineRule="auto"/>
        <w:ind w:firstLine="420"/>
        <w:rPr>
          <w:sz w:val="21"/>
          <w:szCs w:val="21"/>
        </w:rPr>
      </w:pPr>
      <w:r>
        <w:rPr>
          <w:rFonts w:hint="eastAsia"/>
          <w:sz w:val="21"/>
          <w:szCs w:val="21"/>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pPr>
        <w:pStyle w:val="7"/>
        <w:spacing w:before="0" w:beforeAutospacing="0" w:after="0" w:afterAutospacing="0" w:line="360" w:lineRule="auto"/>
        <w:ind w:firstLine="420"/>
        <w:rPr>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26" w:name="chapter_level1_15_62_section_1_end"/>
      <w:bookmarkEnd w:id="126"/>
      <w:r>
        <w:rPr>
          <w:rFonts w:hint="eastAsia"/>
          <w:sz w:val="21"/>
          <w:szCs w:val="21"/>
        </w:rPr>
        <w:t>得相互抵销。非因基金财产本身承担的债务，不得对基金财产强制执行。</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27" w:name="_Toc214976551"/>
      <w:bookmarkStart w:id="128" w:name="chapter_level1_16_63"/>
      <w:r>
        <w:rPr>
          <w:rFonts w:hint="eastAsia" w:ascii="宋体" w:hAnsi="宋体" w:eastAsia="宋体"/>
          <w:sz w:val="30"/>
        </w:rPr>
        <w:t>第十三部分  基金资产的估值</w:t>
      </w:r>
      <w:bookmarkEnd w:id="127"/>
      <w:bookmarkEnd w:id="128"/>
    </w:p>
    <w:p>
      <w:pPr>
        <w:pStyle w:val="7"/>
        <w:spacing w:before="0" w:beforeAutospacing="0" w:after="0" w:afterAutospacing="0" w:line="360" w:lineRule="auto"/>
        <w:ind w:firstLine="420"/>
        <w:rPr>
          <w:sz w:val="21"/>
          <w:szCs w:val="21"/>
        </w:rPr>
      </w:pPr>
      <w:bookmarkStart w:id="129" w:name="chapter_level1_16_63_section_1"/>
      <w:bookmarkEnd w:id="129"/>
      <w:r>
        <w:rPr>
          <w:rStyle w:val="11"/>
          <w:rFonts w:hint="eastAsia"/>
          <w:sz w:val="21"/>
          <w:szCs w:val="21"/>
        </w:rPr>
        <w:t>一、估值日</w:t>
      </w:r>
    </w:p>
    <w:p>
      <w:pPr>
        <w:pStyle w:val="7"/>
        <w:spacing w:before="0" w:beforeAutospacing="0" w:after="0" w:afterAutospacing="0" w:line="360" w:lineRule="auto"/>
        <w:ind w:firstLine="420"/>
        <w:rPr>
          <w:sz w:val="21"/>
          <w:szCs w:val="21"/>
        </w:rPr>
      </w:pPr>
      <w:r>
        <w:rPr>
          <w:rFonts w:hint="eastAsia"/>
          <w:sz w:val="21"/>
          <w:szCs w:val="21"/>
        </w:rPr>
        <w:t xml:space="preserve">本基金的估值日为本基金相关的证券、期货交易场所的交易日以及国家法律法规规定需要对外披露基金净值的非交易日。 </w:t>
      </w:r>
    </w:p>
    <w:p>
      <w:pPr>
        <w:pStyle w:val="7"/>
        <w:spacing w:before="0" w:beforeAutospacing="0" w:after="0" w:afterAutospacing="0" w:line="360" w:lineRule="auto"/>
        <w:ind w:firstLine="420"/>
        <w:rPr>
          <w:sz w:val="21"/>
          <w:szCs w:val="21"/>
        </w:rPr>
      </w:pPr>
      <w:r>
        <w:rPr>
          <w:rStyle w:val="11"/>
          <w:rFonts w:hint="eastAsia"/>
          <w:sz w:val="21"/>
          <w:szCs w:val="21"/>
        </w:rPr>
        <w:t>二、估值对象</w:t>
      </w:r>
    </w:p>
    <w:p>
      <w:pPr>
        <w:pStyle w:val="7"/>
        <w:spacing w:before="0" w:beforeAutospacing="0" w:after="0" w:afterAutospacing="0" w:line="360" w:lineRule="auto"/>
        <w:ind w:firstLine="420"/>
        <w:rPr>
          <w:sz w:val="21"/>
          <w:szCs w:val="21"/>
        </w:rPr>
      </w:pPr>
      <w:r>
        <w:rPr>
          <w:rFonts w:hint="eastAsia"/>
          <w:sz w:val="21"/>
          <w:szCs w:val="21"/>
        </w:rPr>
        <w:t xml:space="preserve">基金所拥有的股票（含存托凭证）、债券、股指期货合约、国债期货合约、股票期权合约、银行存款本息、应收款项、资产支持证券、其它投资等资产及负债。 </w:t>
      </w:r>
    </w:p>
    <w:p>
      <w:pPr>
        <w:pStyle w:val="7"/>
        <w:spacing w:before="0" w:beforeAutospacing="0" w:after="0" w:afterAutospacing="0" w:line="360" w:lineRule="auto"/>
        <w:ind w:firstLine="420"/>
        <w:rPr>
          <w:sz w:val="21"/>
          <w:szCs w:val="21"/>
        </w:rPr>
      </w:pPr>
      <w:r>
        <w:rPr>
          <w:rStyle w:val="11"/>
          <w:rFonts w:hint="eastAsia"/>
          <w:sz w:val="21"/>
          <w:szCs w:val="21"/>
        </w:rPr>
        <w:t>三、估值原则</w:t>
      </w:r>
    </w:p>
    <w:p>
      <w:pPr>
        <w:pStyle w:val="7"/>
        <w:spacing w:before="0" w:beforeAutospacing="0" w:after="0" w:afterAutospacing="0" w:line="360" w:lineRule="auto"/>
        <w:ind w:firstLine="420"/>
        <w:rPr>
          <w:sz w:val="21"/>
          <w:szCs w:val="21"/>
        </w:rPr>
      </w:pPr>
      <w:r>
        <w:rPr>
          <w:rFonts w:hint="eastAsia"/>
          <w:sz w:val="21"/>
          <w:szCs w:val="21"/>
        </w:rPr>
        <w:t xml:space="preserve">基金管理人在确定相关金融资产和金融负债的公允价值时，应符合《企业会计准则》、监管部门有关规定。 </w:t>
      </w:r>
    </w:p>
    <w:p>
      <w:pPr>
        <w:pStyle w:val="7"/>
        <w:spacing w:before="0" w:beforeAutospacing="0" w:after="0" w:afterAutospacing="0" w:line="360" w:lineRule="auto"/>
        <w:ind w:firstLine="420"/>
        <w:rPr>
          <w:sz w:val="21"/>
          <w:szCs w:val="21"/>
        </w:rPr>
      </w:pPr>
      <w:r>
        <w:rPr>
          <w:rFonts w:hint="eastAsia"/>
          <w:sz w:val="21"/>
          <w:szCs w:val="21"/>
        </w:rPr>
        <w:t xml:space="preserve">（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 </w:t>
      </w:r>
    </w:p>
    <w:p>
      <w:pPr>
        <w:pStyle w:val="7"/>
        <w:spacing w:before="0" w:beforeAutospacing="0" w:after="0" w:afterAutospacing="0" w:line="360" w:lineRule="auto"/>
        <w:ind w:firstLine="420"/>
        <w:rPr>
          <w:sz w:val="21"/>
          <w:szCs w:val="21"/>
        </w:rPr>
      </w:pPr>
      <w:r>
        <w:rPr>
          <w:rFonts w:hint="eastAsia"/>
          <w:sz w:val="21"/>
          <w:szCs w:val="21"/>
        </w:rPr>
        <w:t xml:space="preserve">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 </w:t>
      </w:r>
    </w:p>
    <w:p>
      <w:pPr>
        <w:pStyle w:val="7"/>
        <w:spacing w:before="0" w:beforeAutospacing="0" w:after="0" w:afterAutospacing="0" w:line="360" w:lineRule="auto"/>
        <w:ind w:firstLine="420"/>
        <w:rPr>
          <w:sz w:val="21"/>
          <w:szCs w:val="21"/>
        </w:rPr>
      </w:pPr>
      <w:r>
        <w:rPr>
          <w:rFonts w:hint="eastAsia"/>
          <w:sz w:val="21"/>
          <w:szCs w:val="21"/>
        </w:rPr>
        <w:t xml:space="preserve">（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 </w:t>
      </w:r>
    </w:p>
    <w:p>
      <w:pPr>
        <w:pStyle w:val="7"/>
        <w:spacing w:before="0" w:beforeAutospacing="0" w:after="0" w:afterAutospacing="0" w:line="360" w:lineRule="auto"/>
        <w:ind w:firstLine="420"/>
        <w:rPr>
          <w:sz w:val="21"/>
          <w:szCs w:val="21"/>
        </w:rPr>
      </w:pPr>
      <w:r>
        <w:rPr>
          <w:rStyle w:val="11"/>
          <w:rFonts w:hint="eastAsia"/>
          <w:sz w:val="21"/>
          <w:szCs w:val="21"/>
        </w:rPr>
        <w:t>四、估值方法</w:t>
      </w:r>
    </w:p>
    <w:p>
      <w:pPr>
        <w:pStyle w:val="7"/>
        <w:spacing w:before="0" w:beforeAutospacing="0" w:after="0" w:afterAutospacing="0" w:line="360" w:lineRule="auto"/>
        <w:ind w:firstLine="420"/>
        <w:rPr>
          <w:sz w:val="21"/>
          <w:szCs w:val="21"/>
        </w:rPr>
      </w:pPr>
      <w:r>
        <w:rPr>
          <w:rFonts w:hint="eastAsia"/>
          <w:sz w:val="21"/>
          <w:szCs w:val="21"/>
        </w:rPr>
        <w:t xml:space="preserve">1、交易所上市或挂牌转让的有价证券（包括股票等，基金合同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pPr>
        <w:pStyle w:val="7"/>
        <w:spacing w:before="0" w:beforeAutospacing="0" w:after="0" w:afterAutospacing="0" w:line="360" w:lineRule="auto"/>
        <w:ind w:firstLine="420"/>
        <w:rPr>
          <w:sz w:val="21"/>
          <w:szCs w:val="21"/>
        </w:rPr>
      </w:pPr>
      <w:r>
        <w:rPr>
          <w:rFonts w:hint="eastAsia"/>
          <w:sz w:val="21"/>
          <w:szCs w:val="21"/>
        </w:rPr>
        <w:t xml:space="preserve">2、对于已上市或已挂牌转让的不含权固定收益品种，选取估值日第三方估值基准服务机构提供的相应品种当日的估值全价进行估值。 </w:t>
      </w:r>
    </w:p>
    <w:p>
      <w:pPr>
        <w:pStyle w:val="7"/>
        <w:spacing w:before="0" w:beforeAutospacing="0" w:after="0" w:afterAutospacing="0" w:line="360" w:lineRule="auto"/>
        <w:ind w:firstLine="420"/>
        <w:rPr>
          <w:sz w:val="21"/>
          <w:szCs w:val="21"/>
        </w:rPr>
      </w:pPr>
      <w:r>
        <w:rPr>
          <w:rFonts w:hint="eastAsia"/>
          <w:sz w:val="21"/>
          <w:szCs w:val="21"/>
        </w:rPr>
        <w:t xml:space="preserve">3、对于已上市或已挂牌转让的含权固定收益品种，选取估值日第三方估值基准服务机构提供的相应品种当日的唯一估值全价或推荐估值全价进行估值。 </w:t>
      </w:r>
    </w:p>
    <w:p>
      <w:pPr>
        <w:pStyle w:val="7"/>
        <w:spacing w:before="0" w:beforeAutospacing="0" w:after="0" w:afterAutospacing="0" w:line="360" w:lineRule="auto"/>
        <w:ind w:firstLine="420"/>
        <w:rPr>
          <w:sz w:val="21"/>
          <w:szCs w:val="21"/>
        </w:rPr>
      </w:pPr>
      <w:r>
        <w:rPr>
          <w:rFonts w:hint="eastAsia"/>
          <w:sz w:val="21"/>
          <w:szCs w:val="21"/>
        </w:rPr>
        <w:t xml:space="preserve">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 </w:t>
      </w:r>
    </w:p>
    <w:p>
      <w:pPr>
        <w:pStyle w:val="7"/>
        <w:spacing w:before="0" w:beforeAutospacing="0" w:after="0" w:afterAutospacing="0" w:line="360" w:lineRule="auto"/>
        <w:ind w:firstLine="420"/>
        <w:rPr>
          <w:sz w:val="21"/>
          <w:szCs w:val="21"/>
        </w:rPr>
      </w:pPr>
      <w:r>
        <w:rPr>
          <w:rFonts w:hint="eastAsia"/>
          <w:sz w:val="21"/>
          <w:szCs w:val="21"/>
        </w:rPr>
        <w:t xml:space="preserve">4、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 </w:t>
      </w:r>
    </w:p>
    <w:p>
      <w:pPr>
        <w:pStyle w:val="7"/>
        <w:spacing w:before="0" w:beforeAutospacing="0" w:after="0" w:afterAutospacing="0" w:line="360" w:lineRule="auto"/>
        <w:ind w:firstLine="420"/>
        <w:rPr>
          <w:sz w:val="21"/>
          <w:szCs w:val="21"/>
        </w:rPr>
      </w:pPr>
      <w:r>
        <w:rPr>
          <w:rFonts w:hint="eastAsia"/>
          <w:sz w:val="21"/>
          <w:szCs w:val="21"/>
        </w:rPr>
        <w:t xml:space="preserve">5、对于未上市或未挂牌转让且不存在活跃市场的固定收益品种，应采用在当前情况下适用并且有足够可利用数据和其他信息支持的估值技术确定其公允价值。 </w:t>
      </w:r>
    </w:p>
    <w:p>
      <w:pPr>
        <w:pStyle w:val="7"/>
        <w:spacing w:before="0" w:beforeAutospacing="0" w:after="0" w:afterAutospacing="0" w:line="360" w:lineRule="auto"/>
        <w:ind w:firstLine="420"/>
        <w:rPr>
          <w:sz w:val="21"/>
          <w:szCs w:val="21"/>
        </w:rPr>
      </w:pPr>
      <w:r>
        <w:rPr>
          <w:rFonts w:hint="eastAsia"/>
          <w:sz w:val="21"/>
          <w:szCs w:val="21"/>
        </w:rPr>
        <w:t xml:space="preserve">6、处于未上市期间的有价证券应区分如下情况处理： </w:t>
      </w:r>
    </w:p>
    <w:p>
      <w:pPr>
        <w:pStyle w:val="7"/>
        <w:spacing w:before="0" w:beforeAutospacing="0" w:after="0" w:afterAutospacing="0" w:line="360" w:lineRule="auto"/>
        <w:ind w:firstLine="420"/>
        <w:rPr>
          <w:sz w:val="21"/>
          <w:szCs w:val="21"/>
        </w:rPr>
      </w:pPr>
      <w:r>
        <w:rPr>
          <w:rFonts w:hint="eastAsia"/>
          <w:sz w:val="21"/>
          <w:szCs w:val="21"/>
        </w:rPr>
        <w:t xml:space="preserve">（1）送股、转增股、配股和公开增发的新股，按估值日在证券交易所挂牌的同一股票的估值方法估值；该日无交易的，以最近一日的市价（收盘价）估值； </w:t>
      </w:r>
    </w:p>
    <w:p>
      <w:pPr>
        <w:pStyle w:val="7"/>
        <w:spacing w:before="0" w:beforeAutospacing="0" w:after="0" w:afterAutospacing="0" w:line="360" w:lineRule="auto"/>
        <w:ind w:firstLine="420"/>
        <w:rPr>
          <w:sz w:val="21"/>
          <w:szCs w:val="21"/>
        </w:rPr>
      </w:pPr>
      <w:r>
        <w:rPr>
          <w:rFonts w:hint="eastAsia"/>
          <w:sz w:val="21"/>
          <w:szCs w:val="21"/>
        </w:rPr>
        <w:t xml:space="preserve">（2）首次公开发行未上市的股票，采用估值技术确定公允价值，在估值技术难以可靠计量公允价值的情况下，按成本估值； </w:t>
      </w:r>
    </w:p>
    <w:p>
      <w:pPr>
        <w:pStyle w:val="7"/>
        <w:spacing w:before="0" w:beforeAutospacing="0" w:after="0" w:afterAutospacing="0" w:line="360" w:lineRule="auto"/>
        <w:ind w:firstLine="420"/>
        <w:rPr>
          <w:sz w:val="21"/>
          <w:szCs w:val="21"/>
        </w:rPr>
      </w:pPr>
      <w:r>
        <w:rPr>
          <w:rFonts w:hint="eastAsia"/>
          <w:sz w:val="21"/>
          <w:szCs w:val="21"/>
        </w:rPr>
        <w:t xml:space="preserve">（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 </w:t>
      </w:r>
    </w:p>
    <w:p>
      <w:pPr>
        <w:pStyle w:val="7"/>
        <w:spacing w:before="0" w:beforeAutospacing="0" w:after="0" w:afterAutospacing="0" w:line="360" w:lineRule="auto"/>
        <w:ind w:firstLine="420"/>
        <w:rPr>
          <w:sz w:val="21"/>
          <w:szCs w:val="21"/>
        </w:rPr>
      </w:pPr>
      <w:r>
        <w:rPr>
          <w:rFonts w:hint="eastAsia"/>
          <w:sz w:val="21"/>
          <w:szCs w:val="21"/>
        </w:rPr>
        <w:t xml:space="preserve">7、本基金投资存托凭证的估值核算，依照境内上市交易的股票执行。 </w:t>
      </w:r>
    </w:p>
    <w:p>
      <w:pPr>
        <w:pStyle w:val="7"/>
        <w:spacing w:before="0" w:beforeAutospacing="0" w:after="0" w:afterAutospacing="0" w:line="360" w:lineRule="auto"/>
        <w:ind w:firstLine="420"/>
        <w:rPr>
          <w:sz w:val="21"/>
          <w:szCs w:val="21"/>
        </w:rPr>
      </w:pPr>
      <w:r>
        <w:rPr>
          <w:rFonts w:hint="eastAsia"/>
          <w:sz w:val="21"/>
          <w:szCs w:val="21"/>
        </w:rPr>
        <w:t xml:space="preserve">8、同一证券同时在两个或两个以上市场交易的，按证券所处的市场分别估值。 </w:t>
      </w:r>
    </w:p>
    <w:p>
      <w:pPr>
        <w:pStyle w:val="7"/>
        <w:spacing w:before="0" w:beforeAutospacing="0" w:after="0" w:afterAutospacing="0" w:line="360" w:lineRule="auto"/>
        <w:ind w:firstLine="420"/>
        <w:rPr>
          <w:sz w:val="21"/>
          <w:szCs w:val="21"/>
        </w:rPr>
      </w:pPr>
      <w:r>
        <w:rPr>
          <w:rFonts w:hint="eastAsia"/>
          <w:sz w:val="21"/>
          <w:szCs w:val="21"/>
        </w:rPr>
        <w:t xml:space="preserve">9、本基金投资股指期货、国债期货合约，一般以估值当日结算价确定公允价值，估值当日无结算价的，且最近交易日后未发生影响公允价值计量的重大事件的，采用最近交易日结算价估值。 </w:t>
      </w:r>
    </w:p>
    <w:p>
      <w:pPr>
        <w:pStyle w:val="7"/>
        <w:spacing w:before="0" w:beforeAutospacing="0" w:after="0" w:afterAutospacing="0" w:line="360" w:lineRule="auto"/>
        <w:ind w:firstLine="420"/>
        <w:rPr>
          <w:sz w:val="21"/>
          <w:szCs w:val="21"/>
        </w:rPr>
      </w:pPr>
      <w:r>
        <w:rPr>
          <w:rFonts w:hint="eastAsia"/>
          <w:sz w:val="21"/>
          <w:szCs w:val="21"/>
        </w:rPr>
        <w:t xml:space="preserve">10、本基金投资股票期权，根据相关法律法规以及监管部门的规定估值。 </w:t>
      </w:r>
    </w:p>
    <w:p>
      <w:pPr>
        <w:pStyle w:val="7"/>
        <w:spacing w:before="0" w:beforeAutospacing="0" w:after="0" w:afterAutospacing="0" w:line="360" w:lineRule="auto"/>
        <w:ind w:firstLine="420"/>
        <w:rPr>
          <w:sz w:val="21"/>
          <w:szCs w:val="21"/>
        </w:rPr>
      </w:pPr>
      <w:r>
        <w:rPr>
          <w:rFonts w:hint="eastAsia"/>
          <w:sz w:val="21"/>
          <w:szCs w:val="21"/>
        </w:rPr>
        <w:t xml:space="preserve">11、本基金参与融资及转融通证券出借业务的，应参照法律法规及行业协会的相关规定进行估值。 </w:t>
      </w:r>
    </w:p>
    <w:p>
      <w:pPr>
        <w:pStyle w:val="7"/>
        <w:spacing w:before="0" w:beforeAutospacing="0" w:after="0" w:afterAutospacing="0" w:line="360" w:lineRule="auto"/>
        <w:ind w:firstLine="420"/>
        <w:rPr>
          <w:sz w:val="21"/>
          <w:szCs w:val="21"/>
        </w:rPr>
      </w:pPr>
      <w:r>
        <w:rPr>
          <w:rFonts w:hint="eastAsia"/>
          <w:sz w:val="21"/>
          <w:szCs w:val="21"/>
        </w:rPr>
        <w:t xml:space="preserve">12、如有确凿证据表明按上述方法进行估值不能客观反映其公允价值的，基金管理人可根据具体情况与基金托管人商定后，按最能反映公允价值的方法估值。 </w:t>
      </w:r>
    </w:p>
    <w:p>
      <w:pPr>
        <w:pStyle w:val="7"/>
        <w:spacing w:before="0" w:beforeAutospacing="0" w:after="0" w:afterAutospacing="0" w:line="360" w:lineRule="auto"/>
        <w:ind w:firstLine="420"/>
        <w:rPr>
          <w:sz w:val="21"/>
          <w:szCs w:val="21"/>
        </w:rPr>
      </w:pPr>
      <w:r>
        <w:rPr>
          <w:rFonts w:hint="eastAsia"/>
          <w:sz w:val="21"/>
          <w:szCs w:val="21"/>
        </w:rPr>
        <w:t xml:space="preserve">13、相关法律法规以及监管部门有强制规定的，从其规定。如有新增事项，按国家最新规定估值。 </w:t>
      </w:r>
    </w:p>
    <w:p>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pPr>
        <w:pStyle w:val="7"/>
        <w:spacing w:before="0" w:beforeAutospacing="0" w:after="0" w:afterAutospacing="0" w:line="360" w:lineRule="auto"/>
        <w:ind w:firstLine="420"/>
        <w:rPr>
          <w:sz w:val="21"/>
          <w:szCs w:val="21"/>
        </w:rPr>
      </w:pPr>
      <w:r>
        <w:rPr>
          <w:rFonts w:hint="eastAsia"/>
          <w:sz w:val="21"/>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w:t>
      </w:r>
      <w:bookmarkStart w:id="130" w:name="chapter_level1_16_63_section_1_end"/>
      <w:bookmarkEnd w:id="130"/>
      <w:r>
        <w:rPr>
          <w:rFonts w:hint="eastAsia"/>
          <w:sz w:val="21"/>
          <w:szCs w:val="21"/>
        </w:rPr>
        <w:t xml:space="preserve">对外予以公布。 </w:t>
      </w:r>
    </w:p>
    <w:p>
      <w:pPr>
        <w:pStyle w:val="7"/>
        <w:spacing w:before="0" w:beforeAutospacing="0" w:after="0" w:afterAutospacing="0" w:line="360" w:lineRule="auto"/>
        <w:ind w:firstLine="420"/>
        <w:rPr>
          <w:sz w:val="21"/>
          <w:szCs w:val="21"/>
        </w:rPr>
      </w:pPr>
      <w:bookmarkStart w:id="131" w:name="chapter_level1_16_63_section_2"/>
      <w:bookmarkEnd w:id="131"/>
      <w:r>
        <w:rPr>
          <w:rStyle w:val="11"/>
          <w:rFonts w:hint="eastAsia"/>
          <w:sz w:val="21"/>
          <w:szCs w:val="21"/>
        </w:rPr>
        <w:t>五、估值程序</w:t>
      </w:r>
    </w:p>
    <w:p>
      <w:pPr>
        <w:pStyle w:val="7"/>
        <w:spacing w:before="0" w:beforeAutospacing="0" w:after="0" w:afterAutospacing="0" w:line="360" w:lineRule="auto"/>
        <w:ind w:firstLine="420"/>
        <w:rPr>
          <w:sz w:val="21"/>
          <w:szCs w:val="21"/>
        </w:rPr>
      </w:pPr>
      <w:r>
        <w:rPr>
          <w:rFonts w:hint="eastAsia"/>
          <w:sz w:val="21"/>
          <w:szCs w:val="21"/>
        </w:rPr>
        <w:t>1、基金份额净值是按照每个工作日闭市后，基金资产净值除以当日基金份额的余额数量计算，精确到</w:t>
      </w:r>
      <w:bookmarkStart w:id="132" w:name="field_63_netdecimalvalue_1"/>
      <w:r>
        <w:rPr>
          <w:sz w:val="21"/>
          <w:szCs w:val="21"/>
        </w:rPr>
        <w:t>0.0001</w:t>
      </w:r>
      <w:bookmarkEnd w:id="132"/>
      <w:r>
        <w:rPr>
          <w:rFonts w:hint="eastAsia"/>
          <w:sz w:val="21"/>
          <w:szCs w:val="21"/>
        </w:rPr>
        <w:t>元，小数点后第</w:t>
      </w:r>
      <w:bookmarkStart w:id="133" w:name="field_63_netdecimaladd1_2"/>
      <w:r>
        <w:rPr>
          <w:sz w:val="21"/>
          <w:szCs w:val="21"/>
        </w:rPr>
        <w:t>5</w:t>
      </w:r>
      <w:bookmarkEnd w:id="133"/>
      <w:r>
        <w:rPr>
          <w:rFonts w:hint="eastAsia"/>
          <w:sz w:val="21"/>
          <w:szCs w:val="21"/>
        </w:rPr>
        <w:t xml:space="preserve">位四舍五入，由此产生的误差计入基金财产。基金管理人可以设立大额赎回情形下的净值精度应急调整机制。国家另有规定的，从其规定。 </w:t>
      </w:r>
    </w:p>
    <w:p>
      <w:pPr>
        <w:pStyle w:val="7"/>
        <w:spacing w:before="0" w:beforeAutospacing="0" w:after="0" w:afterAutospacing="0" w:line="360" w:lineRule="auto"/>
        <w:ind w:firstLine="420"/>
        <w:rPr>
          <w:sz w:val="21"/>
          <w:szCs w:val="21"/>
        </w:rPr>
      </w:pPr>
      <w:r>
        <w:rPr>
          <w:rFonts w:hint="eastAsia"/>
          <w:sz w:val="21"/>
          <w:szCs w:val="21"/>
        </w:rPr>
        <w:t xml:space="preserve">基金管理人于每个工作日计算基金资产净值及基金份额净值，并按规定公告。 </w:t>
      </w:r>
    </w:p>
    <w:p>
      <w:pPr>
        <w:pStyle w:val="7"/>
        <w:spacing w:before="0" w:beforeAutospacing="0" w:after="0" w:afterAutospacing="0" w:line="360" w:lineRule="auto"/>
        <w:ind w:firstLine="420"/>
        <w:rPr>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按约定对外公布。 </w:t>
      </w:r>
    </w:p>
    <w:p>
      <w:pPr>
        <w:pStyle w:val="7"/>
        <w:spacing w:before="0" w:beforeAutospacing="0" w:after="0" w:afterAutospacing="0" w:line="360" w:lineRule="auto"/>
        <w:ind w:firstLine="420"/>
        <w:rPr>
          <w:sz w:val="21"/>
          <w:szCs w:val="21"/>
        </w:rPr>
      </w:pPr>
      <w:r>
        <w:rPr>
          <w:rStyle w:val="11"/>
          <w:rFonts w:hint="eastAsia"/>
          <w:sz w:val="21"/>
          <w:szCs w:val="21"/>
        </w:rPr>
        <w:t>六、估值错误的处理</w:t>
      </w:r>
    </w:p>
    <w:p>
      <w:pPr>
        <w:pStyle w:val="7"/>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基金管理人和基金托管人将采取必要、适当、合理的措施确保基金资产估值的准确性、及时性。当基金份额净值小数点后</w:t>
      </w:r>
      <w:bookmarkStart w:id="134" w:name="field_63_netdecimal_2"/>
      <w:r>
        <w:rPr>
          <w:sz w:val="21"/>
          <w:szCs w:val="21"/>
        </w:rPr>
        <w:t>4</w:t>
      </w:r>
      <w:bookmarkEnd w:id="134"/>
      <w:r>
        <w:rPr>
          <w:rFonts w:hint="eastAsia"/>
          <w:sz w:val="21"/>
          <w:szCs w:val="21"/>
        </w:rPr>
        <w:t>位以内(含第</w:t>
      </w:r>
      <w:bookmarkStart w:id="135" w:name="field_63_netdecimal_3"/>
      <w:r>
        <w:rPr>
          <w:sz w:val="21"/>
          <w:szCs w:val="21"/>
        </w:rPr>
        <w:t>4</w:t>
      </w:r>
      <w:bookmarkEnd w:id="135"/>
      <w:r>
        <w:rPr>
          <w:rFonts w:hint="eastAsia"/>
          <w:sz w:val="21"/>
          <w:szCs w:val="21"/>
        </w:rPr>
        <w:t xml:space="preserve">位)发生估值错误时，视为基金份额净值错误。 </w:t>
      </w:r>
    </w:p>
    <w:p>
      <w:pPr>
        <w:pStyle w:val="7"/>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pPr>
        <w:pStyle w:val="7"/>
        <w:spacing w:before="0" w:beforeAutospacing="0" w:after="0" w:afterAutospacing="0" w:line="360" w:lineRule="auto"/>
        <w:ind w:firstLine="420"/>
        <w:rPr>
          <w:sz w:val="21"/>
          <w:szCs w:val="21"/>
        </w:rPr>
      </w:pPr>
      <w:r>
        <w:rPr>
          <w:rFonts w:hint="eastAsia"/>
          <w:sz w:val="21"/>
          <w:szCs w:val="21"/>
        </w:rPr>
        <w:t xml:space="preserve">1、估值错误类型 </w:t>
      </w:r>
    </w:p>
    <w:p>
      <w:pPr>
        <w:pStyle w:val="7"/>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pPr>
        <w:pStyle w:val="7"/>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pPr>
        <w:pStyle w:val="7"/>
        <w:spacing w:before="0" w:beforeAutospacing="0" w:after="0" w:afterAutospacing="0" w:line="360" w:lineRule="auto"/>
        <w:ind w:firstLine="420"/>
        <w:rPr>
          <w:sz w:val="21"/>
          <w:szCs w:val="21"/>
        </w:rPr>
      </w:pPr>
      <w:r>
        <w:rPr>
          <w:rFonts w:hint="eastAsia"/>
          <w:sz w:val="21"/>
          <w:szCs w:val="21"/>
        </w:rPr>
        <w:t xml:space="preserve">2、估值错误处理原则 </w:t>
      </w:r>
    </w:p>
    <w:p>
      <w:pPr>
        <w:pStyle w:val="7"/>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pPr>
        <w:pStyle w:val="7"/>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pPr>
        <w:pStyle w:val="7"/>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pPr>
        <w:pStyle w:val="7"/>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pPr>
        <w:pStyle w:val="7"/>
        <w:spacing w:before="0" w:beforeAutospacing="0" w:after="0" w:afterAutospacing="0" w:line="360" w:lineRule="auto"/>
        <w:ind w:firstLine="420"/>
        <w:rPr>
          <w:sz w:val="21"/>
          <w:szCs w:val="21"/>
        </w:rPr>
      </w:pPr>
      <w:r>
        <w:rPr>
          <w:rFonts w:hint="eastAsia"/>
          <w:sz w:val="21"/>
          <w:szCs w:val="21"/>
        </w:rPr>
        <w:t xml:space="preserve">3、估值错误处理程序 </w:t>
      </w:r>
    </w:p>
    <w:p>
      <w:pPr>
        <w:pStyle w:val="7"/>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pPr>
        <w:pStyle w:val="7"/>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pPr>
        <w:pStyle w:val="7"/>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pPr>
        <w:pStyle w:val="7"/>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pPr>
        <w:pStyle w:val="7"/>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pPr>
        <w:pStyle w:val="7"/>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pPr>
        <w:pStyle w:val="7"/>
        <w:spacing w:before="0" w:beforeAutospacing="0" w:after="0" w:afterAutospacing="0" w:line="360" w:lineRule="auto"/>
        <w:ind w:firstLine="420"/>
        <w:rPr>
          <w:sz w:val="21"/>
          <w:szCs w:val="21"/>
        </w:rPr>
      </w:pPr>
      <w:r>
        <w:rPr>
          <w:rFonts w:hint="eastAsia"/>
          <w:sz w:val="21"/>
          <w:szCs w:val="21"/>
        </w:rPr>
        <w:t xml:space="preserve">（1）基金份额净值计算出现错误时，基金管理人应当立即予以纠正，通报基金托管人，并采取合理的措施防止损失进一步扩大。 </w:t>
      </w:r>
    </w:p>
    <w:p>
      <w:pPr>
        <w:pStyle w:val="7"/>
        <w:spacing w:before="0" w:beforeAutospacing="0" w:after="0" w:afterAutospacing="0" w:line="360" w:lineRule="auto"/>
        <w:ind w:firstLine="420"/>
        <w:rPr>
          <w:sz w:val="21"/>
          <w:szCs w:val="21"/>
        </w:rPr>
      </w:pPr>
      <w:r>
        <w:rPr>
          <w:rFonts w:hint="eastAsia"/>
          <w:sz w:val="21"/>
          <w:szCs w:val="21"/>
        </w:rPr>
        <w:t xml:space="preserve">（2）错误偏差达到基金份额净值的0.25%时，基金管理人应当通报基金托管人并报中国证监会备案；错误偏差达到基金份额净值的0.5%时，基金管理人应当公告，并报中国证监会备案。 </w:t>
      </w:r>
    </w:p>
    <w:p>
      <w:pPr>
        <w:pStyle w:val="7"/>
        <w:spacing w:before="0" w:beforeAutospacing="0" w:after="0" w:afterAutospacing="0" w:line="360" w:lineRule="auto"/>
        <w:ind w:firstLine="420"/>
        <w:rPr>
          <w:sz w:val="21"/>
          <w:szCs w:val="21"/>
        </w:rPr>
      </w:pPr>
      <w:r>
        <w:rPr>
          <w:rFonts w:hint="eastAsia"/>
          <w:sz w:val="21"/>
          <w:szCs w:val="21"/>
        </w:rPr>
        <w:t xml:space="preserve">（3）前述内容如法律法规或者监管部门另有规定的，从其规定。如果行业另有通行做法，基金管理人和基金托管人应本着平等和保护基金份额持有人利益的原则进行协商。 </w:t>
      </w:r>
    </w:p>
    <w:p>
      <w:pPr>
        <w:pStyle w:val="7"/>
        <w:spacing w:before="0" w:beforeAutospacing="0" w:after="0" w:afterAutospacing="0" w:line="360" w:lineRule="auto"/>
        <w:ind w:firstLine="420"/>
        <w:rPr>
          <w:sz w:val="21"/>
          <w:szCs w:val="21"/>
        </w:rPr>
      </w:pPr>
      <w:r>
        <w:rPr>
          <w:rStyle w:val="11"/>
          <w:rFonts w:hint="eastAsia"/>
          <w:sz w:val="21"/>
          <w:szCs w:val="21"/>
        </w:rPr>
        <w:t>七、暂停估值的情形</w:t>
      </w:r>
    </w:p>
    <w:p>
      <w:pPr>
        <w:pStyle w:val="7"/>
        <w:spacing w:before="0" w:beforeAutospacing="0" w:after="0" w:afterAutospacing="0" w:line="360" w:lineRule="auto"/>
        <w:ind w:firstLine="420"/>
        <w:rPr>
          <w:sz w:val="21"/>
          <w:szCs w:val="21"/>
        </w:rPr>
      </w:pPr>
      <w:r>
        <w:rPr>
          <w:rFonts w:hint="eastAsia"/>
          <w:sz w:val="21"/>
          <w:szCs w:val="21"/>
        </w:rPr>
        <w:t xml:space="preserve">1、基金投资所涉及的证券/期货交易市场遇法定节假日或因其他原因暂停营业时； </w:t>
      </w:r>
    </w:p>
    <w:p>
      <w:pPr>
        <w:pStyle w:val="7"/>
        <w:spacing w:before="0" w:beforeAutospacing="0" w:after="0" w:afterAutospacing="0" w:line="360" w:lineRule="auto"/>
        <w:ind w:firstLine="420"/>
        <w:rPr>
          <w:sz w:val="21"/>
          <w:szCs w:val="21"/>
        </w:rPr>
      </w:pPr>
      <w:r>
        <w:rPr>
          <w:rFonts w:hint="eastAsia"/>
          <w:sz w:val="21"/>
          <w:szCs w:val="21"/>
        </w:rPr>
        <w:t xml:space="preserve">2、因不可抗力或者其他情形致使基金管理人、基金托管人无法准确评估基金资产价值时； </w:t>
      </w:r>
    </w:p>
    <w:p>
      <w:pPr>
        <w:pStyle w:val="7"/>
        <w:spacing w:before="0" w:beforeAutospacing="0" w:after="0" w:afterAutospacing="0" w:line="360" w:lineRule="auto"/>
        <w:ind w:firstLine="420"/>
        <w:rPr>
          <w:sz w:val="21"/>
          <w:szCs w:val="21"/>
        </w:rPr>
      </w:pPr>
      <w:r>
        <w:rPr>
          <w:rFonts w:hint="eastAsia"/>
          <w:sz w:val="21"/>
          <w:szCs w:val="21"/>
        </w:rPr>
        <w:t xml:space="preserve">3、当前一估值日基金资产净值50%以上的资产出现无可参考的活跃市场价格且采用估值技术仍导致公允价值存在重大不确定性时，经与基金托管人协商确认后，基金管理人应当暂停估值； </w:t>
      </w:r>
    </w:p>
    <w:p>
      <w:pPr>
        <w:pStyle w:val="7"/>
        <w:spacing w:before="0" w:beforeAutospacing="0" w:after="0" w:afterAutospacing="0" w:line="360" w:lineRule="auto"/>
        <w:ind w:firstLine="420"/>
        <w:rPr>
          <w:sz w:val="21"/>
          <w:szCs w:val="21"/>
        </w:rPr>
      </w:pPr>
      <w:r>
        <w:rPr>
          <w:rFonts w:hint="eastAsia"/>
          <w:sz w:val="21"/>
          <w:szCs w:val="21"/>
        </w:rPr>
        <w:t xml:space="preserve">4、法律法规、中国证监会和基金合同认定的其它情形。 </w:t>
      </w:r>
    </w:p>
    <w:p>
      <w:pPr>
        <w:pStyle w:val="7"/>
        <w:spacing w:before="0" w:beforeAutospacing="0" w:after="0" w:afterAutospacing="0" w:line="360" w:lineRule="auto"/>
        <w:ind w:firstLine="420"/>
        <w:rPr>
          <w:sz w:val="21"/>
          <w:szCs w:val="21"/>
        </w:rPr>
      </w:pPr>
      <w:r>
        <w:rPr>
          <w:rStyle w:val="11"/>
          <w:rFonts w:hint="eastAsia"/>
          <w:sz w:val="21"/>
          <w:szCs w:val="21"/>
        </w:rPr>
        <w:t>八、基金净值的确认</w:t>
      </w:r>
    </w:p>
    <w:p>
      <w:pPr>
        <w:pStyle w:val="7"/>
        <w:spacing w:before="0" w:beforeAutospacing="0" w:after="0" w:afterAutospacing="0" w:line="360" w:lineRule="auto"/>
        <w:ind w:firstLine="420"/>
        <w:rPr>
          <w:sz w:val="21"/>
          <w:szCs w:val="21"/>
        </w:rPr>
      </w:pPr>
      <w:r>
        <w:rPr>
          <w:rFonts w:hint="eastAsia"/>
          <w:sz w:val="21"/>
          <w:szCs w:val="21"/>
        </w:rPr>
        <w:t xml:space="preserve">基金资产净值和基金份额净值由基金管理人负责计算，基金托管人负责进行复核。基金管理人应于每个工作日交易结束后计算当日的基金资产净值和基金份额净值并发送给基金托管人。基金托管人对净值计算结果复核确认后发送给基金管理人，由基金管理人对基金净值按约定予以公布。 </w:t>
      </w:r>
    </w:p>
    <w:p>
      <w:pPr>
        <w:pStyle w:val="7"/>
        <w:spacing w:before="0" w:beforeAutospacing="0" w:after="0" w:afterAutospacing="0" w:line="360" w:lineRule="auto"/>
        <w:ind w:firstLine="420"/>
        <w:rPr>
          <w:sz w:val="21"/>
          <w:szCs w:val="21"/>
        </w:rPr>
      </w:pPr>
      <w:r>
        <w:rPr>
          <w:rStyle w:val="11"/>
          <w:rFonts w:hint="eastAsia"/>
          <w:sz w:val="21"/>
          <w:szCs w:val="21"/>
        </w:rPr>
        <w:t>九、特殊情况的处理</w:t>
      </w:r>
    </w:p>
    <w:p>
      <w:pPr>
        <w:pStyle w:val="7"/>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1、基金管理人或基金托管人按估值方法的第12项进行估值时，所造成的误差不作为基金资产估值错误处理。 </w:t>
      </w:r>
    </w:p>
    <w:p>
      <w:pPr>
        <w:pStyle w:val="7"/>
        <w:spacing w:before="0" w:beforeAutospacing="0" w:after="0" w:afterAutospacing="0" w:line="360" w:lineRule="auto"/>
        <w:ind w:firstLine="420"/>
        <w:rPr>
          <w:sz w:val="21"/>
          <w:szCs w:val="21"/>
        </w:rPr>
      </w:pPr>
      <w:r>
        <w:rPr>
          <w:rFonts w:hint="eastAsia"/>
          <w:sz w:val="21"/>
          <w:szCs w:val="21"/>
        </w:rPr>
        <w:t>2、由于不可抗力原因，或证券/期货交易所、指数编制机构及登记结算公司、证券、期货经营机构等机构发送的数据错误、遗漏等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w:t>
      </w:r>
      <w:bookmarkStart w:id="136" w:name="chapter_level1_16_63_section_2_end"/>
      <w:bookmarkEnd w:id="136"/>
      <w:r>
        <w:rPr>
          <w:rFonts w:hint="eastAsia"/>
          <w:sz w:val="21"/>
          <w:szCs w:val="21"/>
        </w:rPr>
        <w:t xml:space="preserve">施消除或减轻由此造成的影响。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37" w:name="chapter_level1_17_64"/>
      <w:bookmarkStart w:id="138" w:name="_Toc214976552"/>
      <w:r>
        <w:rPr>
          <w:rFonts w:hint="eastAsia" w:ascii="宋体" w:hAnsi="宋体" w:eastAsia="宋体"/>
          <w:sz w:val="30"/>
        </w:rPr>
        <w:t>第十四部分  基金的收益与分配</w:t>
      </w:r>
      <w:bookmarkEnd w:id="137"/>
      <w:bookmarkEnd w:id="138"/>
    </w:p>
    <w:p>
      <w:pPr>
        <w:pStyle w:val="7"/>
        <w:spacing w:before="0" w:beforeAutospacing="0" w:after="0" w:afterAutospacing="0" w:line="360" w:lineRule="auto"/>
        <w:ind w:firstLine="420"/>
        <w:rPr>
          <w:sz w:val="21"/>
          <w:szCs w:val="21"/>
        </w:rPr>
      </w:pPr>
      <w:bookmarkStart w:id="139" w:name="chapter_level1_17_64_section_1"/>
      <w:bookmarkEnd w:id="139"/>
      <w:r>
        <w:rPr>
          <w:rStyle w:val="11"/>
          <w:rFonts w:hint="eastAsia"/>
          <w:sz w:val="21"/>
          <w:szCs w:val="21"/>
        </w:rPr>
        <w:t>一、基金收益分配原则</w:t>
      </w:r>
    </w:p>
    <w:p>
      <w:pPr>
        <w:pStyle w:val="7"/>
        <w:spacing w:before="0" w:beforeAutospacing="0" w:after="0" w:afterAutospacing="0" w:line="360" w:lineRule="auto"/>
        <w:ind w:firstLine="420"/>
        <w:rPr>
          <w:sz w:val="21"/>
          <w:szCs w:val="21"/>
        </w:rPr>
      </w:pPr>
      <w:r>
        <w:rPr>
          <w:rFonts w:hint="eastAsia"/>
          <w:sz w:val="21"/>
          <w:szCs w:val="21"/>
        </w:rPr>
        <w:t xml:space="preserve">1、本基金的收益分配方式为现金分红； </w:t>
      </w:r>
    </w:p>
    <w:p>
      <w:pPr>
        <w:pStyle w:val="7"/>
        <w:spacing w:before="0" w:beforeAutospacing="0" w:after="0" w:afterAutospacing="0" w:line="360" w:lineRule="auto"/>
        <w:ind w:firstLine="420"/>
        <w:rPr>
          <w:sz w:val="21"/>
          <w:szCs w:val="21"/>
        </w:rPr>
      </w:pPr>
      <w:r>
        <w:rPr>
          <w:rFonts w:hint="eastAsia"/>
          <w:sz w:val="21"/>
          <w:szCs w:val="21"/>
        </w:rPr>
        <w:t xml:space="preserve">2、基金管理人可每季度对基金相对标的指数的超额收益率以及基金的可供分配利润进行评价，收益评价日核定的基金份额净值增长率超过标的指数同期增长率或者基金可供分配利润金额大于零时，基金管理人可进行收益分配； </w:t>
      </w:r>
    </w:p>
    <w:p>
      <w:pPr>
        <w:pStyle w:val="7"/>
        <w:spacing w:before="0" w:beforeAutospacing="0" w:after="0" w:afterAutospacing="0" w:line="360" w:lineRule="auto"/>
        <w:ind w:firstLine="420"/>
        <w:rPr>
          <w:sz w:val="21"/>
          <w:szCs w:val="21"/>
        </w:rPr>
      </w:pPr>
      <w:r>
        <w:rPr>
          <w:rFonts w:hint="eastAsia"/>
          <w:sz w:val="21"/>
          <w:szCs w:val="21"/>
        </w:rPr>
        <w:t xml:space="preserve">3、当基金收益分配根据基金相对标的指数的超额收益率决定时，基于本基金的特点，本基金收益分配无需以弥补亏损为前提，收益分配后基金份额净值有可能低于面值；当基金收益分配根据基金可供分配利润金额决定时，本基金收益分配后基金份额净值不能低于面值，即基金收益分配基准日的基金份额净值减去每单位基金份额收益分配金额后不能低于面值； </w:t>
      </w:r>
    </w:p>
    <w:p>
      <w:pPr>
        <w:pStyle w:val="7"/>
        <w:spacing w:before="0" w:beforeAutospacing="0" w:after="0" w:afterAutospacing="0" w:line="360" w:lineRule="auto"/>
        <w:ind w:firstLine="420"/>
        <w:rPr>
          <w:sz w:val="21"/>
          <w:szCs w:val="21"/>
        </w:rPr>
      </w:pPr>
      <w:r>
        <w:rPr>
          <w:rFonts w:hint="eastAsia"/>
          <w:sz w:val="21"/>
          <w:szCs w:val="21"/>
        </w:rPr>
        <w:t xml:space="preserve">4、在符合上述基金分红条件的前提下，本基金可每季度进行收益分配。评价时间、分配时间、分配方案及每次基金收益分配数额等内容，基金管理人可以根据实际情况确定并按照有关规定公告； </w:t>
      </w:r>
    </w:p>
    <w:p>
      <w:pPr>
        <w:pStyle w:val="7"/>
        <w:spacing w:before="0" w:beforeAutospacing="0" w:after="0" w:afterAutospacing="0" w:line="360" w:lineRule="auto"/>
        <w:ind w:firstLine="420"/>
        <w:rPr>
          <w:sz w:val="21"/>
          <w:szCs w:val="21"/>
        </w:rPr>
      </w:pPr>
      <w:r>
        <w:rPr>
          <w:rFonts w:hint="eastAsia"/>
          <w:sz w:val="21"/>
          <w:szCs w:val="21"/>
        </w:rPr>
        <w:t xml:space="preserve">5、每一基金份额享有同等分配权； </w:t>
      </w:r>
    </w:p>
    <w:p>
      <w:pPr>
        <w:pStyle w:val="7"/>
        <w:spacing w:before="0" w:beforeAutospacing="0" w:after="0" w:afterAutospacing="0" w:line="360" w:lineRule="auto"/>
        <w:ind w:firstLine="420"/>
        <w:rPr>
          <w:sz w:val="21"/>
          <w:szCs w:val="21"/>
        </w:rPr>
      </w:pPr>
      <w:r>
        <w:rPr>
          <w:rFonts w:hint="eastAsia"/>
          <w:sz w:val="21"/>
          <w:szCs w:val="21"/>
        </w:rPr>
        <w:t xml:space="preserve">6、法律法规或监管机构另有规定的，从其规定。在不违反法律法规、基金合同的约定以及对基金份额持有人利益无实质性不利影响的情况下，基金管理人在履行适当程序后，可调整基金收益的分配原则和支付方式，但应于变更实施日前在规定媒介上公告。 </w:t>
      </w:r>
    </w:p>
    <w:p>
      <w:pPr>
        <w:pStyle w:val="7"/>
        <w:spacing w:before="0" w:beforeAutospacing="0" w:after="0" w:afterAutospacing="0" w:line="360" w:lineRule="auto"/>
        <w:ind w:firstLine="420"/>
        <w:rPr>
          <w:sz w:val="21"/>
          <w:szCs w:val="21"/>
        </w:rPr>
      </w:pPr>
      <w:r>
        <w:rPr>
          <w:rStyle w:val="11"/>
          <w:rFonts w:hint="eastAsia"/>
          <w:sz w:val="21"/>
          <w:szCs w:val="21"/>
        </w:rPr>
        <w:t>二、基金收益分配比例及金额的确定原则</w:t>
      </w:r>
    </w:p>
    <w:p>
      <w:pPr>
        <w:pStyle w:val="7"/>
        <w:spacing w:before="0" w:beforeAutospacing="0" w:after="0" w:afterAutospacing="0" w:line="360" w:lineRule="auto"/>
        <w:ind w:firstLine="420"/>
        <w:rPr>
          <w:sz w:val="21"/>
          <w:szCs w:val="21"/>
        </w:rPr>
      </w:pPr>
      <w:r>
        <w:rPr>
          <w:rFonts w:hint="eastAsia"/>
          <w:sz w:val="21"/>
          <w:szCs w:val="21"/>
        </w:rPr>
        <w:t xml:space="preserve">1、在收益评价日，基金管理人计算基金份额净值增长率、标的指数同期增长率。 </w:t>
      </w:r>
    </w:p>
    <w:p>
      <w:pPr>
        <w:pStyle w:val="7"/>
        <w:spacing w:before="0" w:beforeAutospacing="0" w:after="0" w:afterAutospacing="0" w:line="360" w:lineRule="auto"/>
        <w:ind w:firstLine="420"/>
        <w:rPr>
          <w:sz w:val="21"/>
          <w:szCs w:val="21"/>
        </w:rPr>
      </w:pPr>
      <w:r>
        <w:rPr>
          <w:rFonts w:hint="eastAsia"/>
          <w:sz w:val="21"/>
          <w:szCs w:val="21"/>
        </w:rPr>
        <w:t xml:space="preserve">基金收益评价日本基金相对标的指数的超额收益率＝基金份额净值增长率－标的指数同期增长率。 </w:t>
      </w:r>
    </w:p>
    <w:p>
      <w:pPr>
        <w:pStyle w:val="7"/>
        <w:spacing w:before="0" w:beforeAutospacing="0" w:after="0" w:afterAutospacing="0" w:line="360" w:lineRule="auto"/>
        <w:ind w:firstLine="420"/>
        <w:rPr>
          <w:sz w:val="21"/>
          <w:szCs w:val="21"/>
        </w:rPr>
      </w:pPr>
      <w:r>
        <w:rPr>
          <w:rFonts w:hint="eastAsia"/>
          <w:sz w:val="21"/>
          <w:szCs w:val="21"/>
        </w:rPr>
        <w:t xml:space="preserve">基金份额净值增长率为收益评价日基金份额净值与基金上市前一交易日基金份额净值之比减去1乘以100%；标的指数同期增长率为收益评价日标的指数收盘价与基金上市前一交易日标的指数收盘价之比减去1乘以100%。 </w:t>
      </w:r>
    </w:p>
    <w:p>
      <w:pPr>
        <w:pStyle w:val="7"/>
        <w:spacing w:before="0" w:beforeAutospacing="0" w:after="0" w:afterAutospacing="0" w:line="360" w:lineRule="auto"/>
        <w:ind w:firstLine="420"/>
        <w:rPr>
          <w:sz w:val="21"/>
          <w:szCs w:val="21"/>
        </w:rPr>
      </w:pPr>
      <w:r>
        <w:rPr>
          <w:rFonts w:hint="eastAsia"/>
          <w:sz w:val="21"/>
          <w:szCs w:val="21"/>
        </w:rPr>
        <w:t xml:space="preserve">期间如发生基金份额折算、拆分或合并，则以基金份额折算日、经拆分或合并调整后的基金份额折算日为初始日重新计算上述指标。 </w:t>
      </w:r>
    </w:p>
    <w:p>
      <w:pPr>
        <w:pStyle w:val="7"/>
        <w:spacing w:before="0" w:beforeAutospacing="0" w:after="0" w:afterAutospacing="0" w:line="360" w:lineRule="auto"/>
        <w:ind w:firstLine="420"/>
        <w:rPr>
          <w:sz w:val="21"/>
          <w:szCs w:val="21"/>
        </w:rPr>
      </w:pPr>
      <w:r>
        <w:rPr>
          <w:rFonts w:hint="eastAsia"/>
          <w:sz w:val="21"/>
          <w:szCs w:val="21"/>
        </w:rPr>
        <w:t xml:space="preserve">收益评价日日期以基金管理人相关公告为准。 </w:t>
      </w:r>
    </w:p>
    <w:p>
      <w:pPr>
        <w:pStyle w:val="7"/>
        <w:spacing w:before="0" w:beforeAutospacing="0" w:after="0" w:afterAutospacing="0" w:line="360" w:lineRule="auto"/>
        <w:ind w:firstLine="420"/>
        <w:rPr>
          <w:sz w:val="21"/>
          <w:szCs w:val="21"/>
        </w:rPr>
      </w:pPr>
      <w:r>
        <w:rPr>
          <w:rFonts w:hint="eastAsia"/>
          <w:sz w:val="21"/>
          <w:szCs w:val="21"/>
        </w:rPr>
        <w:t xml:space="preserve">2、基金可供分配利润指截至收益分配基准日基金未分配利润与未分配利润中已实现收益的孰低数。 </w:t>
      </w:r>
    </w:p>
    <w:p>
      <w:pPr>
        <w:pStyle w:val="7"/>
        <w:spacing w:before="0" w:beforeAutospacing="0" w:after="0" w:afterAutospacing="0" w:line="360" w:lineRule="auto"/>
        <w:ind w:firstLine="420"/>
        <w:rPr>
          <w:sz w:val="21"/>
          <w:szCs w:val="21"/>
        </w:rPr>
      </w:pPr>
      <w:r>
        <w:rPr>
          <w:rFonts w:hint="eastAsia"/>
          <w:sz w:val="21"/>
          <w:szCs w:val="21"/>
        </w:rPr>
        <w:t xml:space="preserve">3、根据前述收益分配原则计算截至基金收益评价日本基金的超额收益率及基金可供分配利润，并确定收益分配比例。 </w:t>
      </w:r>
    </w:p>
    <w:p>
      <w:pPr>
        <w:pStyle w:val="7"/>
        <w:spacing w:before="0" w:beforeAutospacing="0" w:after="0" w:afterAutospacing="0" w:line="360" w:lineRule="auto"/>
        <w:ind w:firstLine="420"/>
        <w:rPr>
          <w:sz w:val="21"/>
          <w:szCs w:val="21"/>
        </w:rPr>
      </w:pPr>
      <w:r>
        <w:rPr>
          <w:rFonts w:hint="eastAsia"/>
          <w:sz w:val="21"/>
          <w:szCs w:val="21"/>
        </w:rPr>
        <w:t xml:space="preserve">4、根据前述超额收益率、可供分配利润及收益分配比例计算收益分配金额。 </w:t>
      </w:r>
    </w:p>
    <w:p>
      <w:pPr>
        <w:pStyle w:val="7"/>
        <w:spacing w:before="0" w:beforeAutospacing="0" w:after="0" w:afterAutospacing="0" w:line="360" w:lineRule="auto"/>
        <w:ind w:firstLine="420"/>
        <w:rPr>
          <w:sz w:val="21"/>
          <w:szCs w:val="21"/>
        </w:rPr>
      </w:pPr>
      <w:r>
        <w:rPr>
          <w:rStyle w:val="11"/>
          <w:rFonts w:hint="eastAsia"/>
          <w:sz w:val="21"/>
          <w:szCs w:val="21"/>
        </w:rPr>
        <w:t>三、收益分配方案</w:t>
      </w:r>
    </w:p>
    <w:p>
      <w:pPr>
        <w:pStyle w:val="7"/>
        <w:spacing w:before="0" w:beforeAutospacing="0" w:after="0" w:afterAutospacing="0" w:line="360" w:lineRule="auto"/>
        <w:ind w:firstLine="420"/>
        <w:rPr>
          <w:sz w:val="21"/>
          <w:szCs w:val="21"/>
        </w:rPr>
      </w:pPr>
      <w:r>
        <w:rPr>
          <w:rFonts w:hint="eastAsia"/>
          <w:sz w:val="21"/>
          <w:szCs w:val="21"/>
        </w:rPr>
        <w:t xml:space="preserve">基金收益分配方案中应载明基金收益分配对象、分配时间、分配数额及比例、分配方式等内容。 </w:t>
      </w:r>
    </w:p>
    <w:p>
      <w:pPr>
        <w:pStyle w:val="7"/>
        <w:spacing w:before="0" w:beforeAutospacing="0" w:after="0" w:afterAutospacing="0" w:line="360" w:lineRule="auto"/>
        <w:ind w:firstLine="420"/>
        <w:rPr>
          <w:sz w:val="21"/>
          <w:szCs w:val="21"/>
        </w:rPr>
      </w:pPr>
      <w:r>
        <w:rPr>
          <w:rStyle w:val="11"/>
          <w:rFonts w:hint="eastAsia"/>
          <w:sz w:val="21"/>
          <w:szCs w:val="21"/>
        </w:rPr>
        <w:t>四、收益分配方案的确定、公告与实施</w:t>
      </w:r>
    </w:p>
    <w:p>
      <w:pPr>
        <w:pStyle w:val="7"/>
        <w:spacing w:before="0" w:beforeAutospacing="0" w:after="0" w:afterAutospacing="0" w:line="360" w:lineRule="auto"/>
        <w:ind w:firstLine="420"/>
        <w:rPr>
          <w:sz w:val="21"/>
          <w:szCs w:val="21"/>
        </w:rPr>
      </w:pPr>
      <w:r>
        <w:rPr>
          <w:rFonts w:hint="eastAsia"/>
          <w:sz w:val="21"/>
          <w:szCs w:val="21"/>
        </w:rPr>
        <w:t xml:space="preserve">本基金收益分配方案由基金管理人拟定，并由基金托管人复核，依照《信息披露办法》的有关规定在规定媒介公告。 </w:t>
      </w:r>
    </w:p>
    <w:p>
      <w:pPr>
        <w:pStyle w:val="7"/>
        <w:spacing w:before="0" w:beforeAutospacing="0" w:after="0" w:afterAutospacing="0" w:line="360" w:lineRule="auto"/>
        <w:ind w:firstLine="420"/>
        <w:rPr>
          <w:sz w:val="21"/>
          <w:szCs w:val="21"/>
        </w:rPr>
      </w:pPr>
      <w:r>
        <w:rPr>
          <w:rStyle w:val="11"/>
          <w:rFonts w:hint="eastAsia"/>
          <w:sz w:val="21"/>
          <w:szCs w:val="21"/>
        </w:rPr>
        <w:t>五、基金收益分配中发生的费用</w:t>
      </w:r>
    </w:p>
    <w:p>
      <w:pPr>
        <w:pStyle w:val="7"/>
        <w:spacing w:before="0" w:beforeAutospacing="0" w:after="0" w:afterAutospacing="0" w:line="360" w:lineRule="auto"/>
        <w:ind w:firstLine="420"/>
        <w:rPr>
          <w:sz w:val="21"/>
          <w:szCs w:val="21"/>
        </w:rPr>
      </w:pPr>
      <w:bookmarkStart w:id="140" w:name="chapter_level1_17_64_section_1_end"/>
      <w:bookmarkEnd w:id="140"/>
      <w:r>
        <w:rPr>
          <w:rFonts w:hint="eastAsia"/>
          <w:sz w:val="21"/>
          <w:szCs w:val="21"/>
        </w:rPr>
        <w:t xml:space="preserve">基金收益分配时所发生的银行转账或其他手续费用由投资者自行承担。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41" w:name="chapter_level1_18_65"/>
      <w:bookmarkStart w:id="142" w:name="_Toc214976553"/>
      <w:r>
        <w:rPr>
          <w:rFonts w:hint="eastAsia" w:ascii="宋体" w:hAnsi="宋体" w:eastAsia="宋体"/>
          <w:sz w:val="30"/>
        </w:rPr>
        <w:t>第十五部分  基金的费用与税收</w:t>
      </w:r>
      <w:bookmarkEnd w:id="141"/>
      <w:bookmarkEnd w:id="142"/>
    </w:p>
    <w:p>
      <w:pPr>
        <w:pStyle w:val="7"/>
        <w:spacing w:before="0" w:beforeAutospacing="0" w:after="0" w:afterAutospacing="0" w:line="360" w:lineRule="auto"/>
        <w:ind w:firstLine="420"/>
        <w:rPr>
          <w:sz w:val="21"/>
          <w:szCs w:val="21"/>
        </w:rPr>
      </w:pPr>
      <w:bookmarkStart w:id="143" w:name="chapter_level1_18_65_section_1"/>
      <w:bookmarkEnd w:id="143"/>
      <w:r>
        <w:rPr>
          <w:rStyle w:val="11"/>
          <w:rFonts w:hint="eastAsia"/>
          <w:sz w:val="21"/>
          <w:szCs w:val="21"/>
        </w:rPr>
        <w:t>一、基金费用的种类</w:t>
      </w:r>
    </w:p>
    <w:p>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pPr>
        <w:pStyle w:val="7"/>
        <w:spacing w:before="0" w:beforeAutospacing="0" w:after="0" w:afterAutospacing="0" w:line="360" w:lineRule="auto"/>
        <w:ind w:firstLine="420"/>
        <w:rPr>
          <w:sz w:val="21"/>
          <w:szCs w:val="21"/>
        </w:rPr>
      </w:pPr>
      <w:r>
        <w:rPr>
          <w:rFonts w:hint="eastAsia"/>
          <w:sz w:val="21"/>
          <w:szCs w:val="21"/>
        </w:rPr>
        <w:t xml:space="preserve">3、基金的证券、期货、股票期权交易费用； </w:t>
      </w:r>
    </w:p>
    <w:p>
      <w:pPr>
        <w:pStyle w:val="7"/>
        <w:spacing w:before="0" w:beforeAutospacing="0" w:after="0" w:afterAutospacing="0" w:line="360" w:lineRule="auto"/>
        <w:ind w:firstLine="420"/>
        <w:rPr>
          <w:sz w:val="21"/>
          <w:szCs w:val="21"/>
        </w:rPr>
      </w:pPr>
      <w:r>
        <w:rPr>
          <w:rFonts w:hint="eastAsia"/>
          <w:sz w:val="21"/>
          <w:szCs w:val="21"/>
        </w:rPr>
        <w:t xml:space="preserve">4、《基金合同》生效后与基金相关的信息披露费用，但法律法规、中国证监会另有规定的除外； </w:t>
      </w:r>
    </w:p>
    <w:p>
      <w:pPr>
        <w:pStyle w:val="7"/>
        <w:spacing w:before="0" w:beforeAutospacing="0" w:after="0" w:afterAutospacing="0" w:line="360" w:lineRule="auto"/>
        <w:ind w:firstLine="420"/>
        <w:rPr>
          <w:sz w:val="21"/>
          <w:szCs w:val="21"/>
        </w:rPr>
      </w:pPr>
      <w:r>
        <w:rPr>
          <w:rFonts w:hint="eastAsia"/>
          <w:sz w:val="21"/>
          <w:szCs w:val="21"/>
        </w:rPr>
        <w:t xml:space="preserve">5、《基金合同》生效后与基金相关的会计师费、律师费、审计费、公证费、仲裁费和诉讼费； </w:t>
      </w:r>
    </w:p>
    <w:p>
      <w:pPr>
        <w:pStyle w:val="7"/>
        <w:spacing w:before="0" w:beforeAutospacing="0" w:after="0" w:afterAutospacing="0" w:line="360" w:lineRule="auto"/>
        <w:ind w:firstLine="420"/>
        <w:rPr>
          <w:sz w:val="21"/>
          <w:szCs w:val="21"/>
        </w:rPr>
      </w:pPr>
      <w:r>
        <w:rPr>
          <w:rFonts w:hint="eastAsia"/>
          <w:sz w:val="21"/>
          <w:szCs w:val="21"/>
        </w:rPr>
        <w:t xml:space="preserve">6、基金份额持有人大会费用； </w:t>
      </w:r>
    </w:p>
    <w:p>
      <w:pPr>
        <w:pStyle w:val="7"/>
        <w:spacing w:before="0" w:beforeAutospacing="0" w:after="0" w:afterAutospacing="0" w:line="360" w:lineRule="auto"/>
        <w:ind w:firstLine="420"/>
        <w:rPr>
          <w:sz w:val="21"/>
          <w:szCs w:val="21"/>
        </w:rPr>
      </w:pPr>
      <w:r>
        <w:rPr>
          <w:rFonts w:hint="eastAsia"/>
          <w:sz w:val="21"/>
          <w:szCs w:val="21"/>
        </w:rPr>
        <w:t xml:space="preserve">7、基金银行汇划费用、账户开户及维护费用、场内注册登记费用、IOPV计算与发布费用、收益分配中发生的费用（银行转账或其他手续费用除外）； </w:t>
      </w:r>
    </w:p>
    <w:p>
      <w:pPr>
        <w:pStyle w:val="7"/>
        <w:spacing w:before="0" w:beforeAutospacing="0" w:after="0" w:afterAutospacing="0" w:line="360" w:lineRule="auto"/>
        <w:ind w:firstLine="420"/>
        <w:rPr>
          <w:sz w:val="21"/>
          <w:szCs w:val="21"/>
        </w:rPr>
      </w:pPr>
      <w:r>
        <w:rPr>
          <w:rFonts w:hint="eastAsia"/>
          <w:sz w:val="21"/>
          <w:szCs w:val="21"/>
        </w:rPr>
        <w:t xml:space="preserve">8、基金上市初费及年费； </w:t>
      </w:r>
    </w:p>
    <w:p>
      <w:pPr>
        <w:pStyle w:val="7"/>
        <w:spacing w:before="0" w:beforeAutospacing="0" w:after="0" w:afterAutospacing="0" w:line="360" w:lineRule="auto"/>
        <w:ind w:firstLine="420"/>
        <w:rPr>
          <w:sz w:val="21"/>
          <w:szCs w:val="21"/>
        </w:rPr>
      </w:pPr>
      <w:r>
        <w:rPr>
          <w:rFonts w:hint="eastAsia"/>
          <w:sz w:val="21"/>
          <w:szCs w:val="21"/>
        </w:rPr>
        <w:t xml:space="preserve">9、按照国家有关规定和《基金合同》约定，可以在基金财产中列支的其他费用。 </w:t>
      </w:r>
    </w:p>
    <w:p>
      <w:pPr>
        <w:pStyle w:val="7"/>
        <w:spacing w:before="0" w:beforeAutospacing="0" w:after="0" w:afterAutospacing="0" w:line="360" w:lineRule="auto"/>
        <w:ind w:firstLine="420"/>
        <w:rPr>
          <w:sz w:val="21"/>
          <w:szCs w:val="21"/>
        </w:rPr>
      </w:pPr>
      <w:r>
        <w:rPr>
          <w:rStyle w:val="11"/>
          <w:rFonts w:hint="eastAsia"/>
          <w:sz w:val="21"/>
          <w:szCs w:val="21"/>
        </w:rPr>
        <w:t>二、基金费用计提方法、计提标准和支付方式</w:t>
      </w:r>
    </w:p>
    <w:p>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pPr>
        <w:pStyle w:val="7"/>
        <w:spacing w:before="0" w:beforeAutospacing="0" w:after="0" w:afterAutospacing="0" w:line="360" w:lineRule="auto"/>
        <w:ind w:firstLine="420"/>
        <w:rPr>
          <w:sz w:val="21"/>
          <w:szCs w:val="21"/>
        </w:rPr>
      </w:pPr>
      <w:r>
        <w:rPr>
          <w:rFonts w:hint="eastAsia"/>
          <w:sz w:val="21"/>
          <w:szCs w:val="21"/>
        </w:rPr>
        <w:t>本基金的管理费按前一日基金资产净值的</w:t>
      </w:r>
      <w:bookmarkStart w:id="144" w:name="field_0_managementrate_1"/>
      <w:r>
        <w:rPr>
          <w:sz w:val="21"/>
          <w:szCs w:val="21"/>
        </w:rPr>
        <w:t>0.50</w:t>
      </w:r>
      <w:bookmarkEnd w:id="144"/>
      <w:r>
        <w:rPr>
          <w:rFonts w:hint="eastAsia"/>
          <w:sz w:val="21"/>
          <w:szCs w:val="21"/>
        </w:rPr>
        <w:t xml:space="preserve">%年费率计提。管理费的计算方法如下： </w:t>
      </w:r>
    </w:p>
    <w:p>
      <w:pPr>
        <w:pStyle w:val="7"/>
        <w:spacing w:before="0" w:beforeAutospacing="0" w:after="0" w:afterAutospacing="0" w:line="360" w:lineRule="auto"/>
        <w:ind w:firstLine="420"/>
        <w:rPr>
          <w:sz w:val="21"/>
          <w:szCs w:val="21"/>
        </w:rPr>
      </w:pPr>
      <w:r>
        <w:rPr>
          <w:rFonts w:hint="eastAsia"/>
          <w:sz w:val="21"/>
          <w:szCs w:val="21"/>
        </w:rPr>
        <w:t>H＝E×</w:t>
      </w:r>
      <w:bookmarkStart w:id="145" w:name="field_0_managementrate_2"/>
      <w:r>
        <w:rPr>
          <w:sz w:val="21"/>
          <w:szCs w:val="21"/>
        </w:rPr>
        <w:t>0.50</w:t>
      </w:r>
      <w:bookmarkEnd w:id="145"/>
      <w:r>
        <w:rPr>
          <w:rFonts w:hint="eastAsia"/>
          <w:sz w:val="21"/>
          <w:szCs w:val="21"/>
        </w:rPr>
        <w:t xml:space="preserve">%÷当年天数 </w:t>
      </w:r>
    </w:p>
    <w:p>
      <w:pPr>
        <w:pStyle w:val="7"/>
        <w:spacing w:before="0" w:beforeAutospacing="0" w:after="0" w:afterAutospacing="0" w:line="360" w:lineRule="auto"/>
        <w:ind w:firstLine="420"/>
        <w:rPr>
          <w:sz w:val="21"/>
          <w:szCs w:val="21"/>
        </w:rPr>
      </w:pPr>
      <w:r>
        <w:rPr>
          <w:rFonts w:hint="eastAsia"/>
          <w:sz w:val="21"/>
          <w:szCs w:val="21"/>
        </w:rPr>
        <w:t xml:space="preserve">H为每日应计提的基金管理费 </w:t>
      </w:r>
    </w:p>
    <w:p>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pPr>
        <w:pStyle w:val="7"/>
        <w:spacing w:before="0" w:beforeAutospacing="0" w:after="0" w:afterAutospacing="0" w:line="360" w:lineRule="auto"/>
        <w:ind w:firstLine="420"/>
        <w:rPr>
          <w:sz w:val="21"/>
          <w:szCs w:val="21"/>
        </w:rPr>
      </w:pPr>
      <w:r>
        <w:rPr>
          <w:rFonts w:hint="eastAsia"/>
          <w:sz w:val="21"/>
          <w:szCs w:val="21"/>
        </w:rPr>
        <w:t xml:space="preserve">基金管理费每日计提，逐日累计至每月月末，按月支付，由基金管理人向基金托管人发送基金管理费划款指令，基金托管人复核后于次月前3个工作日内从基金财产中一次性支付给基金管理人。若遇法定节假日、公休假等，支付日期顺延至最近可支付日支付。 </w:t>
      </w:r>
    </w:p>
    <w:p>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pPr>
        <w:pStyle w:val="7"/>
        <w:spacing w:before="0" w:beforeAutospacing="0" w:after="0" w:afterAutospacing="0" w:line="360" w:lineRule="auto"/>
        <w:ind w:firstLine="420"/>
        <w:rPr>
          <w:sz w:val="21"/>
          <w:szCs w:val="21"/>
        </w:rPr>
      </w:pPr>
      <w:r>
        <w:rPr>
          <w:rFonts w:hint="eastAsia"/>
          <w:sz w:val="21"/>
          <w:szCs w:val="21"/>
        </w:rPr>
        <w:t>本基金的托管费按前一日基金资产净值的</w:t>
      </w:r>
      <w:bookmarkStart w:id="146" w:name="field_0_trusteerate_1"/>
      <w:r>
        <w:rPr>
          <w:sz w:val="21"/>
          <w:szCs w:val="21"/>
        </w:rPr>
        <w:t>0.10</w:t>
      </w:r>
      <w:bookmarkEnd w:id="146"/>
      <w:r>
        <w:rPr>
          <w:rFonts w:hint="eastAsia"/>
          <w:sz w:val="21"/>
          <w:szCs w:val="21"/>
        </w:rPr>
        <w:t xml:space="preserve">%年费率计提。托管费的计算方法如下： </w:t>
      </w:r>
    </w:p>
    <w:p>
      <w:pPr>
        <w:pStyle w:val="7"/>
        <w:spacing w:before="0" w:beforeAutospacing="0" w:after="0" w:afterAutospacing="0" w:line="360" w:lineRule="auto"/>
        <w:ind w:firstLine="420"/>
        <w:rPr>
          <w:sz w:val="21"/>
          <w:szCs w:val="21"/>
        </w:rPr>
      </w:pPr>
      <w:r>
        <w:rPr>
          <w:rFonts w:hint="eastAsia"/>
          <w:sz w:val="21"/>
          <w:szCs w:val="21"/>
        </w:rPr>
        <w:t>H＝E×</w:t>
      </w:r>
      <w:bookmarkStart w:id="147" w:name="field_0_trusteerate_2"/>
      <w:r>
        <w:rPr>
          <w:sz w:val="21"/>
          <w:szCs w:val="21"/>
        </w:rPr>
        <w:t>0.10</w:t>
      </w:r>
      <w:bookmarkEnd w:id="147"/>
      <w:r>
        <w:rPr>
          <w:rFonts w:hint="eastAsia"/>
          <w:sz w:val="21"/>
          <w:szCs w:val="21"/>
        </w:rPr>
        <w:t xml:space="preserve">%÷当年天数 </w:t>
      </w:r>
    </w:p>
    <w:p>
      <w:pPr>
        <w:pStyle w:val="7"/>
        <w:spacing w:before="0" w:beforeAutospacing="0" w:after="0" w:afterAutospacing="0" w:line="360" w:lineRule="auto"/>
        <w:ind w:firstLine="420"/>
        <w:rPr>
          <w:sz w:val="21"/>
          <w:szCs w:val="21"/>
        </w:rPr>
      </w:pPr>
      <w:r>
        <w:rPr>
          <w:rFonts w:hint="eastAsia"/>
          <w:sz w:val="21"/>
          <w:szCs w:val="21"/>
        </w:rPr>
        <w:t xml:space="preserve">H为每日应计提的基金托管费 </w:t>
      </w:r>
    </w:p>
    <w:p>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pPr>
        <w:pStyle w:val="7"/>
        <w:spacing w:before="0" w:beforeAutospacing="0" w:after="0" w:afterAutospacing="0" w:line="360" w:lineRule="auto"/>
        <w:ind w:firstLine="420"/>
        <w:rPr>
          <w:sz w:val="21"/>
          <w:szCs w:val="21"/>
        </w:rPr>
      </w:pPr>
      <w:r>
        <w:rPr>
          <w:rFonts w:hint="eastAsia"/>
          <w:sz w:val="21"/>
          <w:szCs w:val="21"/>
        </w:rPr>
        <w:t xml:space="preserve">基金托管费每日计提，逐日累计至每月月末，按月支付，由基金管理人向基金托管人发送基金托管费划款指令，基金托管人复核后于次月前3个工作日内从基金财产中一次性支取。若遇法定节假日、公休假等，支付日期顺延至最近可支付日支付。 </w:t>
      </w:r>
    </w:p>
    <w:p>
      <w:pPr>
        <w:pStyle w:val="7"/>
        <w:spacing w:before="0" w:beforeAutospacing="0" w:after="0" w:afterAutospacing="0" w:line="360" w:lineRule="auto"/>
        <w:ind w:firstLine="420"/>
        <w:rPr>
          <w:sz w:val="21"/>
          <w:szCs w:val="21"/>
        </w:rPr>
      </w:pPr>
      <w:r>
        <w:rPr>
          <w:rFonts w:hint="eastAsia"/>
          <w:sz w:val="21"/>
          <w:szCs w:val="21"/>
        </w:rPr>
        <w:t xml:space="preserve">上述“一、基金费用的种类”中第3－9项费用，根据有关法规及相应协议规定，按费用实际支出金额列入当期费用，由基金托管人从基金财产中支付。 </w:t>
      </w:r>
    </w:p>
    <w:p>
      <w:pPr>
        <w:pStyle w:val="7"/>
        <w:spacing w:before="0" w:beforeAutospacing="0" w:after="0" w:afterAutospacing="0" w:line="360" w:lineRule="auto"/>
        <w:ind w:firstLine="420"/>
        <w:rPr>
          <w:sz w:val="21"/>
          <w:szCs w:val="21"/>
        </w:rPr>
      </w:pPr>
      <w:r>
        <w:rPr>
          <w:rStyle w:val="11"/>
          <w:rFonts w:hint="eastAsia"/>
          <w:sz w:val="21"/>
          <w:szCs w:val="21"/>
        </w:rPr>
        <w:t>三、不列入基金费用的项目</w:t>
      </w:r>
    </w:p>
    <w:p>
      <w:pPr>
        <w:pStyle w:val="7"/>
        <w:spacing w:before="0" w:beforeAutospacing="0" w:after="0" w:afterAutospacing="0" w:line="360" w:lineRule="auto"/>
        <w:ind w:firstLine="420"/>
        <w:rPr>
          <w:sz w:val="21"/>
          <w:szCs w:val="21"/>
        </w:rPr>
      </w:pPr>
      <w:r>
        <w:rPr>
          <w:rFonts w:hint="eastAsia"/>
          <w:sz w:val="21"/>
          <w:szCs w:val="21"/>
        </w:rPr>
        <w:t xml:space="preserve">下列费用不列入基金费用： </w:t>
      </w:r>
    </w:p>
    <w:p>
      <w:pPr>
        <w:pStyle w:val="7"/>
        <w:spacing w:before="0" w:beforeAutospacing="0" w:after="0" w:afterAutospacing="0" w:line="360" w:lineRule="auto"/>
        <w:ind w:firstLine="420"/>
        <w:rPr>
          <w:sz w:val="21"/>
          <w:szCs w:val="21"/>
        </w:rPr>
      </w:pPr>
      <w:r>
        <w:rPr>
          <w:rFonts w:hint="eastAsia"/>
          <w:sz w:val="21"/>
          <w:szCs w:val="21"/>
        </w:rPr>
        <w:t xml:space="preserve">1、基金管理人和基金托管人因未履行或未完全履行义务导致的费用支出或基金财产的损失； </w:t>
      </w:r>
    </w:p>
    <w:p>
      <w:pPr>
        <w:pStyle w:val="7"/>
        <w:spacing w:before="0" w:beforeAutospacing="0" w:after="0" w:afterAutospacing="0" w:line="360" w:lineRule="auto"/>
        <w:ind w:firstLine="420"/>
        <w:rPr>
          <w:sz w:val="21"/>
          <w:szCs w:val="21"/>
        </w:rPr>
      </w:pPr>
      <w:r>
        <w:rPr>
          <w:rFonts w:hint="eastAsia"/>
          <w:sz w:val="21"/>
          <w:szCs w:val="21"/>
        </w:rPr>
        <w:t xml:space="preserve">2、基金管理人和基金托管人处理与基金运作无关的事项发生的费用； </w:t>
      </w:r>
    </w:p>
    <w:p>
      <w:pPr>
        <w:pStyle w:val="7"/>
        <w:spacing w:before="0" w:beforeAutospacing="0" w:after="0" w:afterAutospacing="0" w:line="360" w:lineRule="auto"/>
        <w:ind w:firstLine="420"/>
        <w:rPr>
          <w:sz w:val="21"/>
          <w:szCs w:val="21"/>
        </w:rPr>
      </w:pPr>
      <w:r>
        <w:rPr>
          <w:rFonts w:hint="eastAsia"/>
          <w:sz w:val="21"/>
          <w:szCs w:val="21"/>
        </w:rPr>
        <w:t xml:space="preserve">3、《基金合同》生效前的相关费用； </w:t>
      </w:r>
    </w:p>
    <w:p>
      <w:pPr>
        <w:pStyle w:val="7"/>
        <w:spacing w:before="0" w:beforeAutospacing="0" w:after="0" w:afterAutospacing="0" w:line="360" w:lineRule="auto"/>
        <w:ind w:firstLine="420"/>
        <w:rPr>
          <w:sz w:val="21"/>
          <w:szCs w:val="21"/>
        </w:rPr>
      </w:pPr>
      <w:r>
        <w:rPr>
          <w:rFonts w:hint="eastAsia"/>
          <w:sz w:val="21"/>
          <w:szCs w:val="21"/>
        </w:rPr>
        <w:t xml:space="preserve">4、指数许可使用费； </w:t>
      </w:r>
    </w:p>
    <w:p>
      <w:pPr>
        <w:pStyle w:val="7"/>
        <w:spacing w:before="0" w:beforeAutospacing="0" w:after="0" w:afterAutospacing="0" w:line="360" w:lineRule="auto"/>
        <w:ind w:firstLine="420"/>
        <w:rPr>
          <w:sz w:val="21"/>
          <w:szCs w:val="21"/>
        </w:rPr>
      </w:pPr>
      <w:r>
        <w:rPr>
          <w:rFonts w:hint="eastAsia"/>
          <w:sz w:val="21"/>
          <w:szCs w:val="21"/>
        </w:rPr>
        <w:t xml:space="preserve">本基金按照基金管理人与标的指数许可方所签订的指数使用许可协议中所规定的指数许可使用费计提方法支付指数许可使用费，该指数许可使用费由基金管理人承担，不得从基金财产中列支。 </w:t>
      </w:r>
    </w:p>
    <w:p>
      <w:pPr>
        <w:pStyle w:val="7"/>
        <w:spacing w:before="0" w:beforeAutospacing="0" w:after="0" w:afterAutospacing="0" w:line="360" w:lineRule="auto"/>
        <w:ind w:firstLine="420"/>
        <w:rPr>
          <w:sz w:val="21"/>
          <w:szCs w:val="21"/>
        </w:rPr>
      </w:pPr>
      <w:r>
        <w:rPr>
          <w:rFonts w:hint="eastAsia"/>
          <w:sz w:val="21"/>
          <w:szCs w:val="21"/>
        </w:rPr>
        <w:t xml:space="preserve">如果指数许可使用费的计算方法、费率、支付方式和费用承担方等发生调整，本基金将采用调整后的方法或费率计算指数许可使用费； </w:t>
      </w:r>
    </w:p>
    <w:p>
      <w:pPr>
        <w:pStyle w:val="7"/>
        <w:spacing w:before="0" w:beforeAutospacing="0" w:after="0" w:afterAutospacing="0" w:line="360" w:lineRule="auto"/>
        <w:ind w:firstLine="420"/>
        <w:rPr>
          <w:sz w:val="21"/>
          <w:szCs w:val="21"/>
        </w:rPr>
      </w:pPr>
      <w:r>
        <w:rPr>
          <w:rFonts w:hint="eastAsia"/>
          <w:sz w:val="21"/>
          <w:szCs w:val="21"/>
        </w:rPr>
        <w:t xml:space="preserve">其他根据相关法律法规及中国证监会的有关规定不得列入基金费用的项目。 </w:t>
      </w:r>
    </w:p>
    <w:p>
      <w:pPr>
        <w:pStyle w:val="7"/>
        <w:spacing w:before="0" w:beforeAutospacing="0" w:after="0" w:afterAutospacing="0" w:line="360" w:lineRule="auto"/>
        <w:ind w:firstLine="420"/>
        <w:rPr>
          <w:sz w:val="21"/>
          <w:szCs w:val="21"/>
        </w:rPr>
      </w:pPr>
      <w:r>
        <w:rPr>
          <w:rStyle w:val="11"/>
          <w:rFonts w:hint="eastAsia"/>
          <w:sz w:val="21"/>
          <w:szCs w:val="21"/>
        </w:rPr>
        <w:t>四、基金税收</w:t>
      </w:r>
    </w:p>
    <w:p>
      <w:pPr>
        <w:pStyle w:val="7"/>
        <w:spacing w:before="0" w:beforeAutospacing="0" w:after="0" w:afterAutospacing="0" w:line="360" w:lineRule="auto"/>
        <w:ind w:firstLine="420"/>
        <w:rPr>
          <w:sz w:val="21"/>
          <w:szCs w:val="21"/>
        </w:rPr>
      </w:pPr>
      <w:r>
        <w:rPr>
          <w:rFonts w:hint="eastAsia"/>
          <w:sz w:val="21"/>
          <w:szCs w:val="21"/>
        </w:rPr>
        <w:t>本基金运作过程中涉及的各纳税主体，其纳税义务按国家税收法律、法规执行。基金财产投资的相关税收，由基金份额持有人承担，基金管理人或者其他扣缴义务人按照国家有关</w:t>
      </w:r>
      <w:bookmarkStart w:id="148" w:name="chapter_level1_18_65_section_1_end"/>
      <w:bookmarkEnd w:id="148"/>
      <w:r>
        <w:rPr>
          <w:rFonts w:hint="eastAsia"/>
          <w:sz w:val="21"/>
          <w:szCs w:val="21"/>
        </w:rPr>
        <w:t xml:space="preserve">税收征收的规定代扣代缴。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49" w:name="_Toc214976554"/>
      <w:bookmarkStart w:id="150" w:name="chapter_level1_19_66"/>
      <w:r>
        <w:rPr>
          <w:rFonts w:hint="eastAsia" w:ascii="宋体" w:hAnsi="宋体" w:eastAsia="宋体"/>
          <w:sz w:val="30"/>
        </w:rPr>
        <w:t>第十六部分  基金的会计与审计</w:t>
      </w:r>
      <w:bookmarkEnd w:id="149"/>
      <w:bookmarkEnd w:id="150"/>
    </w:p>
    <w:p>
      <w:pPr>
        <w:pStyle w:val="7"/>
        <w:spacing w:before="0" w:beforeAutospacing="0" w:after="0" w:afterAutospacing="0" w:line="360" w:lineRule="auto"/>
        <w:ind w:firstLine="420"/>
        <w:rPr>
          <w:sz w:val="21"/>
          <w:szCs w:val="21"/>
        </w:rPr>
      </w:pPr>
      <w:bookmarkStart w:id="151" w:name="chapter_level1_19_66_section_1"/>
      <w:bookmarkEnd w:id="151"/>
      <w:r>
        <w:rPr>
          <w:rStyle w:val="11"/>
          <w:rFonts w:hint="eastAsia"/>
          <w:sz w:val="21"/>
          <w:szCs w:val="21"/>
        </w:rPr>
        <w:t>一、基金会计政策</w:t>
      </w:r>
    </w:p>
    <w:p>
      <w:pPr>
        <w:pStyle w:val="7"/>
        <w:spacing w:before="0" w:beforeAutospacing="0" w:after="0" w:afterAutospacing="0" w:line="360" w:lineRule="auto"/>
        <w:ind w:firstLine="420"/>
        <w:rPr>
          <w:sz w:val="21"/>
          <w:szCs w:val="21"/>
        </w:rPr>
      </w:pPr>
      <w:r>
        <w:rPr>
          <w:rFonts w:hint="eastAsia"/>
          <w:sz w:val="21"/>
          <w:szCs w:val="21"/>
        </w:rPr>
        <w:t>1、基金管理人为本基金的基金会计责任方；</w:t>
      </w:r>
    </w:p>
    <w:p>
      <w:pPr>
        <w:pStyle w:val="7"/>
        <w:spacing w:before="0" w:beforeAutospacing="0" w:after="0" w:afterAutospacing="0" w:line="360" w:lineRule="auto"/>
        <w:ind w:firstLine="420"/>
        <w:rPr>
          <w:sz w:val="21"/>
          <w:szCs w:val="21"/>
        </w:rPr>
      </w:pPr>
      <w:r>
        <w:rPr>
          <w:rFonts w:hint="eastAsia"/>
          <w:sz w:val="21"/>
          <w:szCs w:val="21"/>
        </w:rPr>
        <w:t>2、基金的会计年度为公历年度的1月1日至12月31日；基金首次募集的会计年度按如下原则：如果《基金合同》生效少于2个月，可以并入下一个会计年度披露；</w:t>
      </w:r>
    </w:p>
    <w:p>
      <w:pPr>
        <w:pStyle w:val="7"/>
        <w:spacing w:before="0" w:beforeAutospacing="0" w:after="0" w:afterAutospacing="0" w:line="360" w:lineRule="auto"/>
        <w:ind w:firstLine="420"/>
        <w:rPr>
          <w:sz w:val="21"/>
          <w:szCs w:val="21"/>
        </w:rPr>
      </w:pPr>
      <w:r>
        <w:rPr>
          <w:rFonts w:hint="eastAsia"/>
          <w:sz w:val="21"/>
          <w:szCs w:val="21"/>
        </w:rPr>
        <w:t>3、基金核算以人民币为记账本位币，以人民币元为记账单位；</w:t>
      </w:r>
    </w:p>
    <w:p>
      <w:pPr>
        <w:pStyle w:val="7"/>
        <w:spacing w:before="0" w:beforeAutospacing="0" w:after="0" w:afterAutospacing="0" w:line="360" w:lineRule="auto"/>
        <w:ind w:firstLine="420"/>
        <w:rPr>
          <w:sz w:val="21"/>
          <w:szCs w:val="21"/>
        </w:rPr>
      </w:pPr>
      <w:r>
        <w:rPr>
          <w:rFonts w:hint="eastAsia"/>
          <w:sz w:val="21"/>
          <w:szCs w:val="21"/>
        </w:rPr>
        <w:t>4、会计制度执行国家有关会计制度；</w:t>
      </w:r>
    </w:p>
    <w:p>
      <w:pPr>
        <w:pStyle w:val="7"/>
        <w:spacing w:before="0" w:beforeAutospacing="0" w:after="0" w:afterAutospacing="0" w:line="360" w:lineRule="auto"/>
        <w:ind w:firstLine="420"/>
        <w:rPr>
          <w:sz w:val="21"/>
          <w:szCs w:val="21"/>
        </w:rPr>
      </w:pPr>
      <w:r>
        <w:rPr>
          <w:rFonts w:hint="eastAsia"/>
          <w:sz w:val="21"/>
          <w:szCs w:val="21"/>
        </w:rPr>
        <w:t>5、本基金独立建账、独立核算；</w:t>
      </w:r>
    </w:p>
    <w:p>
      <w:pPr>
        <w:pStyle w:val="7"/>
        <w:spacing w:before="0" w:beforeAutospacing="0" w:after="0" w:afterAutospacing="0" w:line="360" w:lineRule="auto"/>
        <w:ind w:firstLine="420"/>
        <w:rPr>
          <w:sz w:val="21"/>
          <w:szCs w:val="21"/>
        </w:rPr>
      </w:pPr>
      <w:r>
        <w:rPr>
          <w:rFonts w:hint="eastAsia"/>
          <w:sz w:val="21"/>
          <w:szCs w:val="21"/>
        </w:rPr>
        <w:t>6、基金管理人及基金托管人各自保留完整的会计账目、凭证并进行日常的会计核算，按照有关规定编制基金会计报表；</w:t>
      </w:r>
    </w:p>
    <w:p>
      <w:pPr>
        <w:pStyle w:val="7"/>
        <w:spacing w:before="0" w:beforeAutospacing="0" w:after="0" w:afterAutospacing="0" w:line="360" w:lineRule="auto"/>
        <w:ind w:firstLine="420"/>
        <w:rPr>
          <w:sz w:val="21"/>
          <w:szCs w:val="21"/>
        </w:rPr>
      </w:pPr>
      <w:r>
        <w:rPr>
          <w:rFonts w:hint="eastAsia"/>
          <w:sz w:val="21"/>
          <w:szCs w:val="21"/>
        </w:rPr>
        <w:t>7、基金托管人每月与基金管理人就基金的会计核算、报表编制等进行核对并以书面方式确认。</w:t>
      </w:r>
    </w:p>
    <w:p>
      <w:pPr>
        <w:pStyle w:val="7"/>
        <w:spacing w:before="0" w:beforeAutospacing="0" w:after="0" w:afterAutospacing="0" w:line="360" w:lineRule="auto"/>
        <w:ind w:firstLine="420"/>
        <w:rPr>
          <w:sz w:val="21"/>
          <w:szCs w:val="21"/>
        </w:rPr>
      </w:pPr>
      <w:r>
        <w:rPr>
          <w:rStyle w:val="11"/>
          <w:rFonts w:hint="eastAsia"/>
          <w:sz w:val="21"/>
          <w:szCs w:val="21"/>
        </w:rPr>
        <w:t>二、基金的年度审计</w:t>
      </w:r>
    </w:p>
    <w:p>
      <w:pPr>
        <w:pStyle w:val="7"/>
        <w:spacing w:before="0" w:beforeAutospacing="0" w:after="0" w:afterAutospacing="0" w:line="360" w:lineRule="auto"/>
        <w:ind w:firstLine="420"/>
        <w:rPr>
          <w:sz w:val="21"/>
          <w:szCs w:val="21"/>
        </w:rPr>
      </w:pPr>
      <w:r>
        <w:rPr>
          <w:rFonts w:hint="eastAsia"/>
          <w:sz w:val="21"/>
          <w:szCs w:val="21"/>
        </w:rPr>
        <w:t>1、基金管理人聘请与基金管理人、基金托管人相互独立且符合《中华人民共和国证券法》规定的会计师事务所及其注册会计师对本基金的年度财务报表进行审计。</w:t>
      </w:r>
    </w:p>
    <w:p>
      <w:pPr>
        <w:pStyle w:val="7"/>
        <w:spacing w:before="0" w:beforeAutospacing="0" w:after="0" w:afterAutospacing="0" w:line="360" w:lineRule="auto"/>
        <w:ind w:firstLine="420"/>
        <w:rPr>
          <w:sz w:val="21"/>
          <w:szCs w:val="21"/>
        </w:rPr>
      </w:pPr>
      <w:r>
        <w:rPr>
          <w:rFonts w:hint="eastAsia"/>
          <w:sz w:val="21"/>
          <w:szCs w:val="21"/>
        </w:rPr>
        <w:t>2、会计师事务所更换经办注册会计师，应事先征得基金管理人同意。</w:t>
      </w:r>
    </w:p>
    <w:p>
      <w:pPr>
        <w:pStyle w:val="7"/>
        <w:spacing w:before="0" w:beforeAutospacing="0" w:after="0" w:afterAutospacing="0" w:line="360" w:lineRule="auto"/>
        <w:ind w:firstLine="420"/>
        <w:rPr>
          <w:sz w:val="21"/>
          <w:szCs w:val="21"/>
        </w:rPr>
      </w:pPr>
      <w:r>
        <w:rPr>
          <w:rFonts w:hint="eastAsia"/>
          <w:sz w:val="21"/>
          <w:szCs w:val="21"/>
        </w:rPr>
        <w:t>3、基金管理人认为有充足理由更换会计师事务所，须通报基金托管人。更换会计师事</w:t>
      </w:r>
      <w:bookmarkStart w:id="152" w:name="chapter_level1_19_66_section_1_end"/>
      <w:bookmarkEnd w:id="152"/>
      <w:r>
        <w:rPr>
          <w:rFonts w:hint="eastAsia"/>
          <w:sz w:val="21"/>
          <w:szCs w:val="21"/>
        </w:rPr>
        <w:t>务所需依照《信息披露办法》在规定媒介公告。</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53" w:name="chapter_level1_20_67"/>
      <w:bookmarkStart w:id="154" w:name="_Toc214976555"/>
      <w:r>
        <w:rPr>
          <w:rFonts w:hint="eastAsia" w:ascii="宋体" w:hAnsi="宋体" w:eastAsia="宋体"/>
          <w:sz w:val="30"/>
        </w:rPr>
        <w:t>第十七部分  基金的信息披露</w:t>
      </w:r>
      <w:bookmarkEnd w:id="153"/>
      <w:bookmarkEnd w:id="154"/>
    </w:p>
    <w:p>
      <w:pPr>
        <w:pStyle w:val="7"/>
        <w:spacing w:before="0" w:beforeAutospacing="0" w:after="0" w:afterAutospacing="0" w:line="360" w:lineRule="auto"/>
        <w:ind w:firstLine="420"/>
        <w:rPr>
          <w:sz w:val="21"/>
          <w:szCs w:val="21"/>
        </w:rPr>
      </w:pPr>
      <w:bookmarkStart w:id="155" w:name="chapter_level1_20_67_section_1"/>
      <w:bookmarkEnd w:id="155"/>
      <w:r>
        <w:rPr>
          <w:rStyle w:val="11"/>
          <w:rFonts w:hint="eastAsia"/>
          <w:sz w:val="21"/>
          <w:szCs w:val="21"/>
        </w:rPr>
        <w:t>一、本基金的信息披露应符合《基金法》、《运作办法》、《信息披露办法》、《流动性风险管理规定》、《基金合同》及其他有关规定。相关法律法规关于信息披露的披露方式、登载媒介、报备方式等规定发生变化时，本基金从其最新规定。</w:t>
      </w:r>
    </w:p>
    <w:p>
      <w:pPr>
        <w:pStyle w:val="7"/>
        <w:spacing w:before="0" w:beforeAutospacing="0" w:after="0" w:afterAutospacing="0" w:line="360" w:lineRule="auto"/>
        <w:ind w:firstLine="420"/>
        <w:rPr>
          <w:sz w:val="21"/>
          <w:szCs w:val="21"/>
        </w:rPr>
      </w:pPr>
      <w:r>
        <w:rPr>
          <w:rStyle w:val="11"/>
          <w:rFonts w:hint="eastAsia"/>
          <w:sz w:val="21"/>
          <w:szCs w:val="21"/>
        </w:rPr>
        <w:t>二、信息披露义务人</w:t>
      </w:r>
    </w:p>
    <w:p>
      <w:pPr>
        <w:pStyle w:val="7"/>
        <w:spacing w:before="0" w:beforeAutospacing="0" w:after="0" w:afterAutospacing="0" w:line="360" w:lineRule="auto"/>
        <w:ind w:firstLine="420"/>
        <w:rPr>
          <w:sz w:val="21"/>
          <w:szCs w:val="21"/>
        </w:rPr>
      </w:pPr>
      <w:r>
        <w:rPr>
          <w:rFonts w:hint="eastAsia"/>
          <w:sz w:val="21"/>
          <w:szCs w:val="21"/>
        </w:rPr>
        <w:t xml:space="preserve">本基金信息披露义务人包括基金管理人、基金托管人、召集基金份额持有人大会的基金份额持有人等法律、行政法规和中国证监会规定的自然人、法人和非法人组织。 </w:t>
      </w:r>
    </w:p>
    <w:p>
      <w:pPr>
        <w:pStyle w:val="7"/>
        <w:spacing w:before="0" w:beforeAutospacing="0" w:after="0" w:afterAutospacing="0" w:line="360" w:lineRule="auto"/>
        <w:ind w:firstLine="420"/>
        <w:rPr>
          <w:sz w:val="21"/>
          <w:szCs w:val="21"/>
        </w:rPr>
      </w:pPr>
      <w:r>
        <w:rPr>
          <w:rFonts w:hint="eastAsia"/>
          <w:sz w:val="21"/>
          <w:szCs w:val="21"/>
        </w:rPr>
        <w:t xml:space="preserve">本基金信息披露义务人以保护基金份额持有人利益为根本出发点，按照法律法规和中国证监会的规定披露基金信息，并保证所披露信息的真实性、准确性、完整性、及时性、简明性和易得性。 </w:t>
      </w:r>
    </w:p>
    <w:p>
      <w:pPr>
        <w:pStyle w:val="7"/>
        <w:spacing w:before="0" w:beforeAutospacing="0" w:after="0" w:afterAutospacing="0" w:line="360" w:lineRule="auto"/>
        <w:ind w:firstLine="420"/>
        <w:rPr>
          <w:sz w:val="21"/>
          <w:szCs w:val="21"/>
        </w:rPr>
      </w:pPr>
      <w:r>
        <w:rPr>
          <w:rFonts w:hint="eastAsia"/>
          <w:sz w:val="21"/>
          <w:szCs w:val="21"/>
        </w:rPr>
        <w:t xml:space="preserve">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 </w:t>
      </w:r>
    </w:p>
    <w:p>
      <w:pPr>
        <w:pStyle w:val="7"/>
        <w:spacing w:before="0" w:beforeAutospacing="0" w:after="0" w:afterAutospacing="0" w:line="360" w:lineRule="auto"/>
        <w:ind w:firstLine="420"/>
        <w:rPr>
          <w:sz w:val="21"/>
          <w:szCs w:val="21"/>
        </w:rPr>
      </w:pPr>
      <w:r>
        <w:rPr>
          <w:rStyle w:val="11"/>
          <w:rFonts w:hint="eastAsia"/>
          <w:sz w:val="21"/>
          <w:szCs w:val="21"/>
        </w:rPr>
        <w:t>三、本基金信息披露义务人承诺公开披露的基金信息，不得有下列行为：</w:t>
      </w:r>
    </w:p>
    <w:p>
      <w:pPr>
        <w:pStyle w:val="7"/>
        <w:spacing w:before="0" w:beforeAutospacing="0" w:after="0" w:afterAutospacing="0" w:line="360" w:lineRule="auto"/>
        <w:ind w:firstLine="420"/>
        <w:rPr>
          <w:sz w:val="21"/>
          <w:szCs w:val="21"/>
        </w:rPr>
      </w:pPr>
      <w:r>
        <w:rPr>
          <w:rFonts w:hint="eastAsia"/>
          <w:sz w:val="21"/>
          <w:szCs w:val="21"/>
        </w:rPr>
        <w:t xml:space="preserve">1、虚假记载、误导性陈述或者重大遗漏； </w:t>
      </w:r>
    </w:p>
    <w:p>
      <w:pPr>
        <w:pStyle w:val="7"/>
        <w:spacing w:before="0" w:beforeAutospacing="0" w:after="0" w:afterAutospacing="0" w:line="360" w:lineRule="auto"/>
        <w:ind w:firstLine="420"/>
        <w:rPr>
          <w:sz w:val="21"/>
          <w:szCs w:val="21"/>
        </w:rPr>
      </w:pPr>
      <w:r>
        <w:rPr>
          <w:rFonts w:hint="eastAsia"/>
          <w:sz w:val="21"/>
          <w:szCs w:val="21"/>
        </w:rPr>
        <w:t xml:space="preserve">2、对证券投资业绩进行预测； </w:t>
      </w:r>
    </w:p>
    <w:p>
      <w:pPr>
        <w:pStyle w:val="7"/>
        <w:spacing w:before="0" w:beforeAutospacing="0" w:after="0" w:afterAutospacing="0" w:line="360" w:lineRule="auto"/>
        <w:ind w:firstLine="420"/>
        <w:rPr>
          <w:sz w:val="21"/>
          <w:szCs w:val="21"/>
        </w:rPr>
      </w:pPr>
      <w:r>
        <w:rPr>
          <w:rFonts w:hint="eastAsia"/>
          <w:sz w:val="21"/>
          <w:szCs w:val="21"/>
        </w:rPr>
        <w:t xml:space="preserve">3、违规承诺收益或者承担损失； </w:t>
      </w:r>
    </w:p>
    <w:p>
      <w:pPr>
        <w:pStyle w:val="7"/>
        <w:spacing w:before="0" w:beforeAutospacing="0" w:after="0" w:afterAutospacing="0" w:line="360" w:lineRule="auto"/>
        <w:ind w:firstLine="420"/>
        <w:rPr>
          <w:sz w:val="21"/>
          <w:szCs w:val="21"/>
        </w:rPr>
      </w:pPr>
      <w:r>
        <w:rPr>
          <w:rFonts w:hint="eastAsia"/>
          <w:sz w:val="21"/>
          <w:szCs w:val="21"/>
        </w:rPr>
        <w:t xml:space="preserve">4、诋毁其他基金管理人、基金托管人或者基金销售机构； </w:t>
      </w:r>
    </w:p>
    <w:p>
      <w:pPr>
        <w:pStyle w:val="7"/>
        <w:spacing w:before="0" w:beforeAutospacing="0" w:after="0" w:afterAutospacing="0" w:line="360" w:lineRule="auto"/>
        <w:ind w:firstLine="420"/>
        <w:rPr>
          <w:sz w:val="21"/>
          <w:szCs w:val="21"/>
        </w:rPr>
      </w:pPr>
      <w:r>
        <w:rPr>
          <w:rFonts w:hint="eastAsia"/>
          <w:sz w:val="21"/>
          <w:szCs w:val="21"/>
        </w:rPr>
        <w:t xml:space="preserve">5、登载任何自然人、法人和非法人组织的祝贺性、恭维性或推荐性的文字； </w:t>
      </w:r>
    </w:p>
    <w:p>
      <w:pPr>
        <w:pStyle w:val="7"/>
        <w:spacing w:before="0" w:beforeAutospacing="0" w:after="0" w:afterAutospacing="0" w:line="360" w:lineRule="auto"/>
        <w:ind w:firstLine="420"/>
        <w:rPr>
          <w:sz w:val="21"/>
          <w:szCs w:val="21"/>
        </w:rPr>
      </w:pPr>
      <w:r>
        <w:rPr>
          <w:rFonts w:hint="eastAsia"/>
          <w:sz w:val="21"/>
          <w:szCs w:val="21"/>
        </w:rPr>
        <w:t xml:space="preserve">6、中国证监会禁止的其他行为。 </w:t>
      </w:r>
    </w:p>
    <w:p>
      <w:pPr>
        <w:pStyle w:val="7"/>
        <w:spacing w:before="0" w:beforeAutospacing="0" w:after="0" w:afterAutospacing="0" w:line="360" w:lineRule="auto"/>
        <w:ind w:firstLine="420"/>
        <w:rPr>
          <w:sz w:val="21"/>
          <w:szCs w:val="21"/>
        </w:rPr>
      </w:pPr>
      <w:r>
        <w:rPr>
          <w:rStyle w:val="11"/>
          <w:rFonts w:hint="eastAsia"/>
          <w:sz w:val="21"/>
          <w:szCs w:val="21"/>
        </w:rPr>
        <w:t>四、本基金公开披露的信息应采用中文文本。如同时采用外文文本的，基金信息披露义务人应保证不同文本的内容一致。不同文本之间发生歧义的，以中文文本为准。</w:t>
      </w:r>
    </w:p>
    <w:p>
      <w:pPr>
        <w:pStyle w:val="7"/>
        <w:spacing w:before="0" w:beforeAutospacing="0" w:after="0" w:afterAutospacing="0" w:line="360" w:lineRule="auto"/>
        <w:ind w:firstLine="420"/>
        <w:rPr>
          <w:sz w:val="21"/>
          <w:szCs w:val="21"/>
        </w:rPr>
      </w:pPr>
      <w:r>
        <w:rPr>
          <w:rFonts w:hint="eastAsia"/>
          <w:sz w:val="21"/>
          <w:szCs w:val="21"/>
        </w:rPr>
        <w:t xml:space="preserve">本基金公开披露的信息采用阿拉伯数字；除特别说明外，货币单位为人民币元。 </w:t>
      </w:r>
    </w:p>
    <w:p>
      <w:pPr>
        <w:pStyle w:val="7"/>
        <w:spacing w:before="0" w:beforeAutospacing="0" w:after="0" w:afterAutospacing="0" w:line="360" w:lineRule="auto"/>
        <w:ind w:firstLine="420"/>
        <w:rPr>
          <w:sz w:val="21"/>
          <w:szCs w:val="21"/>
        </w:rPr>
      </w:pPr>
      <w:r>
        <w:rPr>
          <w:rStyle w:val="11"/>
          <w:rFonts w:hint="eastAsia"/>
          <w:sz w:val="21"/>
          <w:szCs w:val="21"/>
        </w:rPr>
        <w:t>五、公开披露的基金信息</w:t>
      </w:r>
    </w:p>
    <w:p>
      <w:pPr>
        <w:pStyle w:val="7"/>
        <w:spacing w:before="0" w:beforeAutospacing="0" w:after="0" w:afterAutospacing="0" w:line="360" w:lineRule="auto"/>
        <w:ind w:firstLine="420"/>
        <w:rPr>
          <w:sz w:val="21"/>
          <w:szCs w:val="21"/>
        </w:rPr>
      </w:pPr>
      <w:r>
        <w:rPr>
          <w:rFonts w:hint="eastAsia"/>
          <w:sz w:val="21"/>
          <w:szCs w:val="21"/>
        </w:rPr>
        <w:t xml:space="preserve">公开披露的基金信息包括： </w:t>
      </w:r>
    </w:p>
    <w:p>
      <w:pPr>
        <w:pStyle w:val="7"/>
        <w:spacing w:before="0" w:beforeAutospacing="0" w:after="0" w:afterAutospacing="0" w:line="360" w:lineRule="auto"/>
        <w:ind w:firstLine="420"/>
        <w:rPr>
          <w:sz w:val="21"/>
          <w:szCs w:val="21"/>
        </w:rPr>
      </w:pPr>
      <w:r>
        <w:rPr>
          <w:rFonts w:hint="eastAsia"/>
          <w:sz w:val="21"/>
          <w:szCs w:val="21"/>
        </w:rPr>
        <w:t xml:space="preserve">（一）基金招募说明书、基金产品资料概要、基金合同、基金托管协议 </w:t>
      </w:r>
    </w:p>
    <w:p>
      <w:pPr>
        <w:pStyle w:val="7"/>
        <w:spacing w:before="0" w:beforeAutospacing="0" w:after="0" w:afterAutospacing="0" w:line="360" w:lineRule="auto"/>
        <w:ind w:firstLine="420"/>
        <w:rPr>
          <w:sz w:val="21"/>
          <w:szCs w:val="21"/>
        </w:rPr>
      </w:pPr>
      <w:r>
        <w:rPr>
          <w:rFonts w:hint="eastAsia"/>
          <w:sz w:val="21"/>
          <w:szCs w:val="21"/>
        </w:rPr>
        <w:t xml:space="preserve">1、基金合同是界定基金合同当事人的各项权利、义务关系，明确基金份额持有人大会召开的规则及具体程序，说明基金产品的特性等涉及基金投资者重大利益的事项的法律文件。 </w:t>
      </w:r>
    </w:p>
    <w:p>
      <w:pPr>
        <w:pStyle w:val="7"/>
        <w:spacing w:before="0" w:beforeAutospacing="0" w:after="0" w:afterAutospacing="0" w:line="360" w:lineRule="auto"/>
        <w:ind w:firstLine="420"/>
        <w:rPr>
          <w:sz w:val="21"/>
          <w:szCs w:val="21"/>
        </w:rPr>
      </w:pPr>
      <w:r>
        <w:rPr>
          <w:rFonts w:hint="eastAsia"/>
          <w:sz w:val="21"/>
          <w:szCs w:val="21"/>
        </w:rPr>
        <w:t xml:space="preserve">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 </w:t>
      </w:r>
    </w:p>
    <w:p>
      <w:pPr>
        <w:pStyle w:val="7"/>
        <w:spacing w:before="0" w:beforeAutospacing="0" w:after="0" w:afterAutospacing="0" w:line="360" w:lineRule="auto"/>
        <w:ind w:firstLine="420"/>
        <w:rPr>
          <w:sz w:val="21"/>
          <w:szCs w:val="21"/>
        </w:rPr>
      </w:pPr>
      <w:r>
        <w:rPr>
          <w:rFonts w:hint="eastAsia"/>
          <w:sz w:val="21"/>
          <w:szCs w:val="21"/>
        </w:rPr>
        <w:t xml:space="preserve">3、基金托管协议是界定基金托管人和基金管理人在基金财产保管及基金运作监督等活动中的权利、义务关系的法律文件。 </w:t>
      </w:r>
    </w:p>
    <w:p>
      <w:pPr>
        <w:pStyle w:val="7"/>
        <w:spacing w:before="0" w:beforeAutospacing="0" w:after="0" w:afterAutospacing="0" w:line="360" w:lineRule="auto"/>
        <w:ind w:firstLine="420"/>
        <w:rPr>
          <w:sz w:val="21"/>
          <w:szCs w:val="21"/>
        </w:rPr>
      </w:pPr>
      <w:r>
        <w:rPr>
          <w:rFonts w:hint="eastAsia"/>
          <w:sz w:val="21"/>
          <w:szCs w:val="21"/>
        </w:rPr>
        <w:t xml:space="preserve">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 </w:t>
      </w:r>
    </w:p>
    <w:p>
      <w:pPr>
        <w:pStyle w:val="7"/>
        <w:spacing w:before="0" w:beforeAutospacing="0" w:after="0" w:afterAutospacing="0" w:line="360" w:lineRule="auto"/>
        <w:ind w:firstLine="420"/>
        <w:rPr>
          <w:sz w:val="21"/>
          <w:szCs w:val="21"/>
        </w:rPr>
      </w:pPr>
      <w:r>
        <w:rPr>
          <w:rFonts w:hint="eastAsia"/>
          <w:sz w:val="21"/>
          <w:szCs w:val="21"/>
        </w:rPr>
        <w:t xml:space="preserve">基金募集申请经中国证监会注册后，基金管理人在基金份额发售的3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规定网站上。 </w:t>
      </w:r>
    </w:p>
    <w:p>
      <w:pPr>
        <w:pStyle w:val="7"/>
        <w:spacing w:before="0" w:beforeAutospacing="0" w:after="0" w:afterAutospacing="0" w:line="360" w:lineRule="auto"/>
        <w:ind w:firstLine="420"/>
        <w:rPr>
          <w:sz w:val="21"/>
          <w:szCs w:val="21"/>
        </w:rPr>
      </w:pPr>
      <w:r>
        <w:rPr>
          <w:rFonts w:hint="eastAsia"/>
          <w:sz w:val="21"/>
          <w:szCs w:val="21"/>
        </w:rPr>
        <w:t xml:space="preserve">（二）基金份额发售公告 </w:t>
      </w:r>
    </w:p>
    <w:p>
      <w:pPr>
        <w:pStyle w:val="7"/>
        <w:spacing w:before="0" w:beforeAutospacing="0" w:after="0" w:afterAutospacing="0" w:line="360" w:lineRule="auto"/>
        <w:ind w:firstLine="420"/>
        <w:rPr>
          <w:sz w:val="21"/>
          <w:szCs w:val="21"/>
        </w:rPr>
      </w:pPr>
      <w:r>
        <w:rPr>
          <w:rFonts w:hint="eastAsia"/>
          <w:sz w:val="21"/>
          <w:szCs w:val="21"/>
        </w:rPr>
        <w:t xml:space="preserve">基金管理人应当就基金份额发售的具体事宜编制基金份额发售公告。 </w:t>
      </w:r>
    </w:p>
    <w:p>
      <w:pPr>
        <w:pStyle w:val="7"/>
        <w:spacing w:before="0" w:beforeAutospacing="0" w:after="0" w:afterAutospacing="0" w:line="360" w:lineRule="auto"/>
        <w:ind w:firstLine="420"/>
        <w:rPr>
          <w:sz w:val="21"/>
          <w:szCs w:val="21"/>
        </w:rPr>
      </w:pPr>
      <w:r>
        <w:rPr>
          <w:rFonts w:hint="eastAsia"/>
          <w:sz w:val="21"/>
          <w:szCs w:val="21"/>
        </w:rPr>
        <w:t xml:space="preserve">（三）《基金合同》生效公告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基金管理人应当在收到中国证监会确认文件的次日在规定报刊和规定网站上登载《基金合同》生效公告。 </w:t>
      </w:r>
    </w:p>
    <w:p>
      <w:pPr>
        <w:pStyle w:val="7"/>
        <w:spacing w:before="0" w:beforeAutospacing="0" w:after="0" w:afterAutospacing="0" w:line="360" w:lineRule="auto"/>
        <w:ind w:firstLine="420"/>
        <w:rPr>
          <w:sz w:val="21"/>
          <w:szCs w:val="21"/>
        </w:rPr>
      </w:pPr>
      <w:r>
        <w:rPr>
          <w:rFonts w:hint="eastAsia"/>
          <w:sz w:val="21"/>
          <w:szCs w:val="21"/>
        </w:rPr>
        <w:t xml:space="preserve">（四）基金份额上市交易公告书 </w:t>
      </w:r>
    </w:p>
    <w:p>
      <w:pPr>
        <w:pStyle w:val="7"/>
        <w:spacing w:before="0" w:beforeAutospacing="0" w:after="0" w:afterAutospacing="0" w:line="360" w:lineRule="auto"/>
        <w:ind w:firstLine="420"/>
        <w:rPr>
          <w:sz w:val="21"/>
          <w:szCs w:val="21"/>
        </w:rPr>
      </w:pPr>
      <w:r>
        <w:rPr>
          <w:rFonts w:hint="eastAsia"/>
          <w:sz w:val="21"/>
          <w:szCs w:val="21"/>
        </w:rPr>
        <w:t xml:space="preserve">基金份额获准在证券交易所上市交易的，基金管理人应当在基金份额上市交易的3个工作日前，将基金份额上市交易公告书登载在规定网站上，并将上市交易公告书提示性公告登载在规定报刊上。 </w:t>
      </w:r>
    </w:p>
    <w:p>
      <w:pPr>
        <w:pStyle w:val="7"/>
        <w:spacing w:before="0" w:beforeAutospacing="0" w:after="0" w:afterAutospacing="0" w:line="360" w:lineRule="auto"/>
        <w:ind w:firstLine="420"/>
        <w:rPr>
          <w:sz w:val="21"/>
          <w:szCs w:val="21"/>
        </w:rPr>
      </w:pPr>
      <w:r>
        <w:rPr>
          <w:rFonts w:hint="eastAsia"/>
          <w:sz w:val="21"/>
          <w:szCs w:val="21"/>
        </w:rPr>
        <w:t xml:space="preserve">（五）基金份额折算日和折算结果公告 </w:t>
      </w:r>
    </w:p>
    <w:p>
      <w:pPr>
        <w:pStyle w:val="7"/>
        <w:spacing w:before="0" w:beforeAutospacing="0" w:after="0" w:afterAutospacing="0" w:line="360" w:lineRule="auto"/>
        <w:ind w:firstLine="420"/>
        <w:rPr>
          <w:sz w:val="21"/>
          <w:szCs w:val="21"/>
        </w:rPr>
      </w:pPr>
      <w:r>
        <w:rPr>
          <w:rFonts w:hint="eastAsia"/>
          <w:sz w:val="21"/>
          <w:szCs w:val="21"/>
        </w:rPr>
        <w:t xml:space="preserve">基金管理人确定基金份额折算日，并依照《信息披露办法》的有关规定将基金份额折算日公告登载于规定媒介上。 </w:t>
      </w:r>
    </w:p>
    <w:p>
      <w:pPr>
        <w:pStyle w:val="7"/>
        <w:spacing w:before="0" w:beforeAutospacing="0" w:after="0" w:afterAutospacing="0" w:line="360" w:lineRule="auto"/>
        <w:ind w:firstLine="420"/>
        <w:rPr>
          <w:sz w:val="21"/>
          <w:szCs w:val="21"/>
        </w:rPr>
      </w:pPr>
      <w:r>
        <w:rPr>
          <w:rFonts w:hint="eastAsia"/>
          <w:sz w:val="21"/>
          <w:szCs w:val="21"/>
        </w:rPr>
        <w:t xml:space="preserve">基金份额进行折算并由登记机构完成基金份额的变更登记后，基金管理人将基金份额折算结果公告登载于规定媒介上。 </w:t>
      </w:r>
    </w:p>
    <w:p>
      <w:pPr>
        <w:pStyle w:val="7"/>
        <w:spacing w:before="0" w:beforeAutospacing="0" w:after="0" w:afterAutospacing="0" w:line="360" w:lineRule="auto"/>
        <w:ind w:firstLine="420"/>
        <w:rPr>
          <w:sz w:val="21"/>
          <w:szCs w:val="21"/>
        </w:rPr>
      </w:pPr>
      <w:r>
        <w:rPr>
          <w:rFonts w:hint="eastAsia"/>
          <w:sz w:val="21"/>
          <w:szCs w:val="21"/>
        </w:rPr>
        <w:t xml:space="preserve">（六）基金净值信息 </w:t>
      </w:r>
    </w:p>
    <w:p>
      <w:pPr>
        <w:pStyle w:val="7"/>
        <w:spacing w:before="0" w:beforeAutospacing="0" w:after="0" w:afterAutospacing="0" w:line="360" w:lineRule="auto"/>
        <w:ind w:firstLine="420"/>
        <w:rPr>
          <w:sz w:val="21"/>
          <w:szCs w:val="21"/>
        </w:rPr>
      </w:pPr>
      <w:r>
        <w:rPr>
          <w:rFonts w:hint="eastAsia"/>
          <w:sz w:val="21"/>
          <w:szCs w:val="21"/>
        </w:rPr>
        <w:t xml:space="preserve">《基金合同》生效后，在基金份额上市交易前且开始办理基金份额申购或者赎回前，基金管理人应当至少每周在规定网站披露一次基金份额净值和基金份额累计净值。 </w:t>
      </w:r>
    </w:p>
    <w:p>
      <w:pPr>
        <w:pStyle w:val="7"/>
        <w:spacing w:before="0" w:beforeAutospacing="0" w:after="0" w:afterAutospacing="0" w:line="360" w:lineRule="auto"/>
        <w:ind w:firstLine="420"/>
        <w:rPr>
          <w:sz w:val="21"/>
          <w:szCs w:val="21"/>
        </w:rPr>
      </w:pPr>
      <w:r>
        <w:rPr>
          <w:rFonts w:hint="eastAsia"/>
          <w:sz w:val="21"/>
          <w:szCs w:val="21"/>
        </w:rPr>
        <w:t xml:space="preserve">在基金份额上市交易或开始办理基金份额申购或者赎回后，基金管理人应当在不晚于每个开放日的次日，通过规定网站、基金销售机构网站或者营业网点披露开放日的基金份额净值和基金份额累计净值。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基金管理人应当在不晚于半年度和年度最后一日的次日，在规定网站披露半年度和年度最后一日的基金份额净值和基金份额累计净值。 </w:t>
      </w:r>
    </w:p>
    <w:p>
      <w:pPr>
        <w:pStyle w:val="7"/>
        <w:spacing w:before="0" w:beforeAutospacing="0" w:after="0" w:afterAutospacing="0" w:line="360" w:lineRule="auto"/>
        <w:ind w:firstLine="420"/>
        <w:rPr>
          <w:sz w:val="21"/>
          <w:szCs w:val="21"/>
        </w:rPr>
      </w:pPr>
      <w:r>
        <w:rPr>
          <w:rFonts w:hint="eastAsia"/>
          <w:sz w:val="21"/>
          <w:szCs w:val="21"/>
        </w:rPr>
        <w:t xml:space="preserve">（七）基金份额申购、赎回清单 </w:t>
      </w:r>
    </w:p>
    <w:p>
      <w:pPr>
        <w:pStyle w:val="7"/>
        <w:spacing w:before="0" w:beforeAutospacing="0" w:after="0" w:afterAutospacing="0" w:line="360" w:lineRule="auto"/>
        <w:ind w:firstLine="420"/>
        <w:rPr>
          <w:sz w:val="21"/>
          <w:szCs w:val="21"/>
        </w:rPr>
      </w:pPr>
      <w:r>
        <w:rPr>
          <w:rFonts w:hint="eastAsia"/>
          <w:sz w:val="21"/>
          <w:szCs w:val="21"/>
        </w:rPr>
        <w:t xml:space="preserve">在开始办理基金份额申购或者赎回之后，基金管理人应当在每个开放日，通过规定网站、申购赎回代理券商以及其他媒介公告当日的申购、赎回清单。 </w:t>
      </w:r>
    </w:p>
    <w:p>
      <w:pPr>
        <w:pStyle w:val="7"/>
        <w:spacing w:before="0" w:beforeAutospacing="0" w:after="0" w:afterAutospacing="0" w:line="360" w:lineRule="auto"/>
        <w:ind w:firstLine="420"/>
        <w:rPr>
          <w:sz w:val="21"/>
          <w:szCs w:val="21"/>
        </w:rPr>
      </w:pPr>
      <w:r>
        <w:rPr>
          <w:rFonts w:hint="eastAsia"/>
          <w:sz w:val="21"/>
          <w:szCs w:val="21"/>
        </w:rPr>
        <w:t xml:space="preserve">（八）基金定期报告，包括基金年度报告、基金中期报告和基金季度报告（含资产组合季度报告）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每年结束之日起三个月内，编制完成基金年度报告，将年度报告登载于规定网站上，并将年度报告提示性公告登载在规定报刊上。基金年度报告中的财务会计报告应当经过符合《中华人民共和国证券法》规定的会计师事务所审计。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基金管理人应当在上半年结束之日起两个月内，编制完成基金中期报告，将中期报告登载在规定网站上，并将中期报告提示性公告登载在规定报刊上。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基金管理人应当在季度结束之日起15个工作日内，编制完成基金季度报告，将季度报告登载在规定网站上，并将季度报告提示性公告登载在规定报刊上。 </w:t>
      </w:r>
    </w:p>
    <w:p>
      <w:pPr>
        <w:pStyle w:val="7"/>
        <w:spacing w:before="0" w:beforeAutospacing="0" w:after="0" w:afterAutospacing="0" w:line="360" w:lineRule="auto"/>
        <w:ind w:firstLine="420"/>
        <w:rPr>
          <w:sz w:val="21"/>
          <w:szCs w:val="21"/>
        </w:rPr>
      </w:pPr>
      <w:r>
        <w:rPr>
          <w:rFonts w:hint="eastAsia"/>
          <w:sz w:val="21"/>
          <w:szCs w:val="21"/>
        </w:rPr>
        <w:t xml:space="preserve">基金合同生效不足2个月的，本基金管理人可以不编制当期季度报告、中期报告或者年度报告。 </w:t>
      </w:r>
    </w:p>
    <w:p>
      <w:pPr>
        <w:pStyle w:val="7"/>
        <w:spacing w:before="0" w:beforeAutospacing="0" w:after="0" w:afterAutospacing="0" w:line="360" w:lineRule="auto"/>
        <w:ind w:firstLine="420"/>
        <w:rPr>
          <w:sz w:val="21"/>
          <w:szCs w:val="21"/>
        </w:rPr>
      </w:pPr>
      <w:r>
        <w:rPr>
          <w:rFonts w:hint="eastAsia"/>
          <w:sz w:val="21"/>
          <w:szCs w:val="21"/>
        </w:rPr>
        <w:t xml:space="preserve">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基金管理人应当在基金年度报告和中期报告中披露基金组合资产情况及其流动性风险分析等。 </w:t>
      </w:r>
    </w:p>
    <w:p>
      <w:pPr>
        <w:pStyle w:val="7"/>
        <w:spacing w:before="0" w:beforeAutospacing="0" w:after="0" w:afterAutospacing="0" w:line="360" w:lineRule="auto"/>
        <w:ind w:firstLine="420"/>
        <w:rPr>
          <w:sz w:val="21"/>
          <w:szCs w:val="21"/>
        </w:rPr>
      </w:pPr>
      <w:r>
        <w:rPr>
          <w:rFonts w:hint="eastAsia"/>
          <w:sz w:val="21"/>
          <w:szCs w:val="21"/>
        </w:rPr>
        <w:t xml:space="preserve">（九）临时报告 </w:t>
      </w:r>
    </w:p>
    <w:p>
      <w:pPr>
        <w:pStyle w:val="7"/>
        <w:spacing w:before="0" w:beforeAutospacing="0" w:after="0" w:afterAutospacing="0" w:line="360" w:lineRule="auto"/>
        <w:ind w:firstLine="420"/>
        <w:rPr>
          <w:sz w:val="21"/>
          <w:szCs w:val="21"/>
        </w:rPr>
      </w:pPr>
      <w:r>
        <w:rPr>
          <w:rFonts w:hint="eastAsia"/>
          <w:sz w:val="21"/>
          <w:szCs w:val="21"/>
        </w:rPr>
        <w:t xml:space="preserve">本基金发生重大事件，有关信息披露义务人应当依照《信息披露办法》编制临时报告书，并登载在规定报刊和规定网站上。 </w:t>
      </w:r>
    </w:p>
    <w:p>
      <w:pPr>
        <w:pStyle w:val="7"/>
        <w:spacing w:before="0" w:beforeAutospacing="0" w:after="0" w:afterAutospacing="0" w:line="360" w:lineRule="auto"/>
        <w:ind w:firstLine="420"/>
        <w:rPr>
          <w:sz w:val="21"/>
          <w:szCs w:val="21"/>
        </w:rPr>
      </w:pPr>
      <w:r>
        <w:rPr>
          <w:rFonts w:hint="eastAsia"/>
          <w:sz w:val="21"/>
          <w:szCs w:val="21"/>
        </w:rPr>
        <w:t xml:space="preserve">前款所称重大事件，是指可能对基金份额持有人权益或者基金份额的价格产生重大影响的下列事件： </w:t>
      </w:r>
    </w:p>
    <w:p>
      <w:pPr>
        <w:pStyle w:val="7"/>
        <w:spacing w:before="0" w:beforeAutospacing="0" w:after="0" w:afterAutospacing="0" w:line="360" w:lineRule="auto"/>
        <w:ind w:firstLine="420"/>
        <w:rPr>
          <w:sz w:val="21"/>
          <w:szCs w:val="21"/>
        </w:rPr>
      </w:pPr>
      <w:r>
        <w:rPr>
          <w:rFonts w:hint="eastAsia"/>
          <w:sz w:val="21"/>
          <w:szCs w:val="21"/>
        </w:rPr>
        <w:t xml:space="preserve">1、基金份额持有人大会的召开及决定的事项； </w:t>
      </w:r>
    </w:p>
    <w:p>
      <w:pPr>
        <w:pStyle w:val="7"/>
        <w:spacing w:before="0" w:beforeAutospacing="0" w:after="0" w:afterAutospacing="0" w:line="360" w:lineRule="auto"/>
        <w:ind w:firstLine="420"/>
        <w:rPr>
          <w:sz w:val="21"/>
          <w:szCs w:val="21"/>
        </w:rPr>
      </w:pPr>
      <w:r>
        <w:rPr>
          <w:rFonts w:hint="eastAsia"/>
          <w:sz w:val="21"/>
          <w:szCs w:val="21"/>
        </w:rPr>
        <w:t xml:space="preserve">2、基金合同终止、基金清算； </w:t>
      </w:r>
    </w:p>
    <w:p>
      <w:pPr>
        <w:pStyle w:val="7"/>
        <w:spacing w:before="0" w:beforeAutospacing="0" w:after="0" w:afterAutospacing="0" w:line="360" w:lineRule="auto"/>
        <w:ind w:firstLine="420"/>
        <w:rPr>
          <w:sz w:val="21"/>
          <w:szCs w:val="21"/>
        </w:rPr>
      </w:pPr>
      <w:r>
        <w:rPr>
          <w:rFonts w:hint="eastAsia"/>
          <w:sz w:val="21"/>
          <w:szCs w:val="21"/>
        </w:rPr>
        <w:t xml:space="preserve">3、转换基金运作方式、基金合并； </w:t>
      </w:r>
    </w:p>
    <w:p>
      <w:pPr>
        <w:pStyle w:val="7"/>
        <w:spacing w:before="0" w:beforeAutospacing="0" w:after="0" w:afterAutospacing="0" w:line="360" w:lineRule="auto"/>
        <w:ind w:firstLine="420"/>
        <w:rPr>
          <w:sz w:val="21"/>
          <w:szCs w:val="21"/>
        </w:rPr>
      </w:pPr>
      <w:r>
        <w:rPr>
          <w:rFonts w:hint="eastAsia"/>
          <w:sz w:val="21"/>
          <w:szCs w:val="21"/>
        </w:rPr>
        <w:t xml:space="preserve">4、更换基金管理人、基金托管人、基金份额登记机构，基金改聘会计师事务所； </w:t>
      </w:r>
    </w:p>
    <w:p>
      <w:pPr>
        <w:pStyle w:val="7"/>
        <w:spacing w:before="0" w:beforeAutospacing="0" w:after="0" w:afterAutospacing="0" w:line="360" w:lineRule="auto"/>
        <w:ind w:firstLine="420"/>
        <w:rPr>
          <w:sz w:val="21"/>
          <w:szCs w:val="21"/>
        </w:rPr>
      </w:pPr>
      <w:r>
        <w:rPr>
          <w:rFonts w:hint="eastAsia"/>
          <w:sz w:val="21"/>
          <w:szCs w:val="21"/>
        </w:rPr>
        <w:t xml:space="preserve">5、基金管理人委托基金服务机构代为办理基金的份额登记、核算、估值等事项，基金托管人委托基金服务机构代为办理基金的核算、估值、复核等事项； </w:t>
      </w:r>
    </w:p>
    <w:p>
      <w:pPr>
        <w:pStyle w:val="7"/>
        <w:spacing w:before="0" w:beforeAutospacing="0" w:after="0" w:afterAutospacing="0" w:line="360" w:lineRule="auto"/>
        <w:ind w:firstLine="420"/>
        <w:rPr>
          <w:sz w:val="21"/>
          <w:szCs w:val="21"/>
        </w:rPr>
      </w:pPr>
      <w:r>
        <w:rPr>
          <w:rFonts w:hint="eastAsia"/>
          <w:sz w:val="21"/>
          <w:szCs w:val="21"/>
        </w:rPr>
        <w:t xml:space="preserve">6、基金管理人、基金托管人的法定名称、住所发生变更； </w:t>
      </w:r>
    </w:p>
    <w:p>
      <w:pPr>
        <w:pStyle w:val="7"/>
        <w:spacing w:before="0" w:beforeAutospacing="0" w:after="0" w:afterAutospacing="0" w:line="360" w:lineRule="auto"/>
        <w:ind w:firstLine="420"/>
        <w:rPr>
          <w:sz w:val="21"/>
          <w:szCs w:val="21"/>
        </w:rPr>
      </w:pPr>
      <w:r>
        <w:rPr>
          <w:rFonts w:hint="eastAsia"/>
          <w:sz w:val="21"/>
          <w:szCs w:val="21"/>
        </w:rPr>
        <w:t xml:space="preserve">7、基金管理人变更持有百分之五以上股权的股东、变更基金管理人的实际控制人； </w:t>
      </w:r>
    </w:p>
    <w:p>
      <w:pPr>
        <w:pStyle w:val="7"/>
        <w:spacing w:before="0" w:beforeAutospacing="0" w:after="0" w:afterAutospacing="0" w:line="360" w:lineRule="auto"/>
        <w:ind w:firstLine="420"/>
        <w:rPr>
          <w:sz w:val="21"/>
          <w:szCs w:val="21"/>
        </w:rPr>
      </w:pPr>
      <w:r>
        <w:rPr>
          <w:rFonts w:hint="eastAsia"/>
          <w:sz w:val="21"/>
          <w:szCs w:val="21"/>
        </w:rPr>
        <w:t xml:space="preserve">8、基金募集期延长或提前结束募集； </w:t>
      </w:r>
    </w:p>
    <w:p>
      <w:pPr>
        <w:pStyle w:val="7"/>
        <w:spacing w:before="0" w:beforeAutospacing="0" w:after="0" w:afterAutospacing="0" w:line="360" w:lineRule="auto"/>
        <w:ind w:firstLine="420"/>
        <w:rPr>
          <w:sz w:val="21"/>
          <w:szCs w:val="21"/>
        </w:rPr>
      </w:pPr>
      <w:r>
        <w:rPr>
          <w:rFonts w:hint="eastAsia"/>
          <w:sz w:val="21"/>
          <w:szCs w:val="21"/>
        </w:rPr>
        <w:t xml:space="preserve">9、基金管理人的高级管理人员、基金经理和基金托管人专门基金托管部门负责人发生变动； </w:t>
      </w:r>
    </w:p>
    <w:p>
      <w:pPr>
        <w:pStyle w:val="7"/>
        <w:spacing w:before="0" w:beforeAutospacing="0" w:after="0" w:afterAutospacing="0" w:line="360" w:lineRule="auto"/>
        <w:ind w:firstLine="420"/>
        <w:rPr>
          <w:sz w:val="21"/>
          <w:szCs w:val="21"/>
        </w:rPr>
      </w:pPr>
      <w:r>
        <w:rPr>
          <w:rFonts w:hint="eastAsia"/>
          <w:sz w:val="21"/>
          <w:szCs w:val="21"/>
        </w:rPr>
        <w:t xml:space="preserve">10、基金管理人的董事在最近12个月内变更超过百分之五十，基金管理人、基金托管人专门基金托管部门的主要业务人员在最近12个月内变动超过百分之三十； </w:t>
      </w:r>
    </w:p>
    <w:p>
      <w:pPr>
        <w:pStyle w:val="7"/>
        <w:spacing w:before="0" w:beforeAutospacing="0" w:after="0" w:afterAutospacing="0" w:line="360" w:lineRule="auto"/>
        <w:ind w:firstLine="420"/>
        <w:rPr>
          <w:sz w:val="21"/>
          <w:szCs w:val="21"/>
        </w:rPr>
      </w:pPr>
      <w:r>
        <w:rPr>
          <w:rFonts w:hint="eastAsia"/>
          <w:sz w:val="21"/>
          <w:szCs w:val="21"/>
        </w:rPr>
        <w:t xml:space="preserve">11、涉及基金财产、基金管理业务、基金托管业务的诉讼或仲裁； </w:t>
      </w:r>
    </w:p>
    <w:p>
      <w:pPr>
        <w:pStyle w:val="7"/>
        <w:spacing w:before="0" w:beforeAutospacing="0" w:after="0" w:afterAutospacing="0" w:line="360" w:lineRule="auto"/>
        <w:ind w:firstLine="420"/>
        <w:rPr>
          <w:sz w:val="21"/>
          <w:szCs w:val="21"/>
        </w:rPr>
      </w:pPr>
      <w:r>
        <w:rPr>
          <w:rFonts w:hint="eastAsia"/>
          <w:sz w:val="21"/>
          <w:szCs w:val="21"/>
        </w:rPr>
        <w:t xml:space="preserve">12、基金管理人或其高级管理人员、基金经理因基金管理业务相关行为受到重大行政处罚、刑事处罚，基金托管人或其专门基金托管部门负责人因基金托管业务相关行为受到重大行政处罚、刑事处罚； </w:t>
      </w:r>
    </w:p>
    <w:p>
      <w:pPr>
        <w:pStyle w:val="7"/>
        <w:spacing w:before="0" w:beforeAutospacing="0" w:after="0" w:afterAutospacing="0" w:line="360" w:lineRule="auto"/>
        <w:ind w:firstLine="420"/>
        <w:rPr>
          <w:sz w:val="21"/>
          <w:szCs w:val="21"/>
        </w:rPr>
      </w:pPr>
      <w:r>
        <w:rPr>
          <w:rFonts w:hint="eastAsia"/>
          <w:sz w:val="21"/>
          <w:szCs w:val="21"/>
        </w:rPr>
        <w:t xml:space="preserve">13、基金管理人运用基金财产买卖基金管理人、基金托管人及其控股股东、实际控制人或者与其有重大利害关系的公司发行的证券或者承销期内承销的证券，或者从事其他重大关联交易事项，但中国证监会另有规定的除外； </w:t>
      </w:r>
    </w:p>
    <w:p>
      <w:pPr>
        <w:pStyle w:val="7"/>
        <w:spacing w:before="0" w:beforeAutospacing="0" w:after="0" w:afterAutospacing="0" w:line="360" w:lineRule="auto"/>
        <w:ind w:firstLine="420"/>
        <w:rPr>
          <w:sz w:val="21"/>
          <w:szCs w:val="21"/>
        </w:rPr>
      </w:pPr>
      <w:r>
        <w:rPr>
          <w:rFonts w:hint="eastAsia"/>
          <w:sz w:val="21"/>
          <w:szCs w:val="21"/>
        </w:rPr>
        <w:t xml:space="preserve">14、基金收益分配事项； </w:t>
      </w:r>
    </w:p>
    <w:p>
      <w:pPr>
        <w:pStyle w:val="7"/>
        <w:spacing w:before="0" w:beforeAutospacing="0" w:after="0" w:afterAutospacing="0" w:line="360" w:lineRule="auto"/>
        <w:ind w:firstLine="420"/>
        <w:rPr>
          <w:sz w:val="21"/>
          <w:szCs w:val="21"/>
        </w:rPr>
      </w:pPr>
      <w:r>
        <w:rPr>
          <w:rFonts w:hint="eastAsia"/>
          <w:sz w:val="21"/>
          <w:szCs w:val="21"/>
        </w:rPr>
        <w:t xml:space="preserve">15、管理费、托管费、申购费、赎回费等费用计提标准、计提方式和费率发生变更； </w:t>
      </w:r>
    </w:p>
    <w:p>
      <w:pPr>
        <w:pStyle w:val="7"/>
        <w:spacing w:before="0" w:beforeAutospacing="0" w:after="0" w:afterAutospacing="0" w:line="360" w:lineRule="auto"/>
        <w:ind w:firstLine="420"/>
        <w:rPr>
          <w:sz w:val="21"/>
          <w:szCs w:val="21"/>
        </w:rPr>
      </w:pPr>
      <w:r>
        <w:rPr>
          <w:rFonts w:hint="eastAsia"/>
          <w:sz w:val="21"/>
          <w:szCs w:val="21"/>
        </w:rPr>
        <w:t xml:space="preserve">16、基金份额净值计价错误达基金份额净值0.5%； </w:t>
      </w:r>
    </w:p>
    <w:p>
      <w:pPr>
        <w:pStyle w:val="7"/>
        <w:spacing w:before="0" w:beforeAutospacing="0" w:after="0" w:afterAutospacing="0" w:line="360" w:lineRule="auto"/>
        <w:ind w:firstLine="420"/>
        <w:rPr>
          <w:sz w:val="21"/>
          <w:szCs w:val="21"/>
        </w:rPr>
      </w:pPr>
      <w:r>
        <w:rPr>
          <w:rFonts w:hint="eastAsia"/>
          <w:sz w:val="21"/>
          <w:szCs w:val="21"/>
        </w:rPr>
        <w:t xml:space="preserve">17、本基金开始办理申购、赎回； </w:t>
      </w:r>
    </w:p>
    <w:p>
      <w:pPr>
        <w:pStyle w:val="7"/>
        <w:spacing w:before="0" w:beforeAutospacing="0" w:after="0" w:afterAutospacing="0" w:line="360" w:lineRule="auto"/>
        <w:ind w:firstLine="420"/>
        <w:rPr>
          <w:sz w:val="21"/>
          <w:szCs w:val="21"/>
        </w:rPr>
      </w:pPr>
      <w:r>
        <w:rPr>
          <w:rFonts w:hint="eastAsia"/>
          <w:sz w:val="21"/>
          <w:szCs w:val="21"/>
        </w:rPr>
        <w:t xml:space="preserve">18、本基金暂停接受申购、赎回申请或重新接受申购、赎回申请； </w:t>
      </w:r>
    </w:p>
    <w:p>
      <w:pPr>
        <w:pStyle w:val="7"/>
        <w:spacing w:before="0" w:beforeAutospacing="0" w:after="0" w:afterAutospacing="0" w:line="360" w:lineRule="auto"/>
        <w:ind w:firstLine="420"/>
        <w:rPr>
          <w:sz w:val="21"/>
          <w:szCs w:val="21"/>
        </w:rPr>
      </w:pPr>
      <w:r>
        <w:rPr>
          <w:rFonts w:hint="eastAsia"/>
          <w:sz w:val="21"/>
          <w:szCs w:val="21"/>
        </w:rPr>
        <w:t xml:space="preserve">19、基金份额停复牌、暂停上市、恢复上市或终止上市交易； </w:t>
      </w:r>
    </w:p>
    <w:p>
      <w:pPr>
        <w:pStyle w:val="7"/>
        <w:spacing w:before="0" w:beforeAutospacing="0" w:after="0" w:afterAutospacing="0" w:line="360" w:lineRule="auto"/>
        <w:ind w:firstLine="420"/>
        <w:rPr>
          <w:sz w:val="21"/>
          <w:szCs w:val="21"/>
        </w:rPr>
      </w:pPr>
      <w:r>
        <w:rPr>
          <w:rFonts w:hint="eastAsia"/>
          <w:sz w:val="21"/>
          <w:szCs w:val="21"/>
        </w:rPr>
        <w:t xml:space="preserve">20、调整最小申购赎回单位、申购赎回方式及申购对价、赎回对价组成 </w:t>
      </w:r>
    </w:p>
    <w:p>
      <w:pPr>
        <w:pStyle w:val="7"/>
        <w:spacing w:before="0" w:beforeAutospacing="0" w:after="0" w:afterAutospacing="0" w:line="360" w:lineRule="auto"/>
        <w:ind w:firstLine="420"/>
        <w:rPr>
          <w:sz w:val="21"/>
          <w:szCs w:val="21"/>
        </w:rPr>
      </w:pPr>
      <w:r>
        <w:rPr>
          <w:rFonts w:hint="eastAsia"/>
          <w:sz w:val="21"/>
          <w:szCs w:val="21"/>
        </w:rPr>
        <w:t xml:space="preserve">21、调整基金份额类别的设置； </w:t>
      </w:r>
    </w:p>
    <w:p>
      <w:pPr>
        <w:pStyle w:val="7"/>
        <w:spacing w:before="0" w:beforeAutospacing="0" w:after="0" w:afterAutospacing="0" w:line="360" w:lineRule="auto"/>
        <w:ind w:firstLine="420"/>
        <w:rPr>
          <w:sz w:val="21"/>
          <w:szCs w:val="21"/>
        </w:rPr>
      </w:pPr>
      <w:r>
        <w:rPr>
          <w:rFonts w:hint="eastAsia"/>
          <w:sz w:val="21"/>
          <w:szCs w:val="21"/>
        </w:rPr>
        <w:t xml:space="preserve">22、基金推出新业务或服务； </w:t>
      </w:r>
    </w:p>
    <w:p>
      <w:pPr>
        <w:pStyle w:val="7"/>
        <w:spacing w:before="0" w:beforeAutospacing="0" w:after="0" w:afterAutospacing="0" w:line="360" w:lineRule="auto"/>
        <w:ind w:firstLine="420"/>
        <w:rPr>
          <w:sz w:val="21"/>
          <w:szCs w:val="21"/>
        </w:rPr>
      </w:pPr>
      <w:r>
        <w:rPr>
          <w:rFonts w:hint="eastAsia"/>
          <w:sz w:val="21"/>
          <w:szCs w:val="21"/>
        </w:rPr>
        <w:t xml:space="preserve">23、发生涉及本基金申购、赎回事项调整或潜在影响投资者赎回等重大事项时； </w:t>
      </w:r>
    </w:p>
    <w:p>
      <w:pPr>
        <w:pStyle w:val="7"/>
        <w:spacing w:before="0" w:beforeAutospacing="0" w:after="0" w:afterAutospacing="0" w:line="360" w:lineRule="auto"/>
        <w:ind w:firstLine="420"/>
        <w:rPr>
          <w:sz w:val="21"/>
          <w:szCs w:val="21"/>
        </w:rPr>
      </w:pPr>
      <w:r>
        <w:rPr>
          <w:rFonts w:hint="eastAsia"/>
          <w:sz w:val="21"/>
          <w:szCs w:val="21"/>
        </w:rPr>
        <w:t xml:space="preserve">24、基金信息披露义务人认为可能对基金份额持有人权益或者基金份额的价格产生重大影响的其他事项、中国证监会或基金合同规定的其他事项。 </w:t>
      </w:r>
    </w:p>
    <w:p>
      <w:pPr>
        <w:pStyle w:val="7"/>
        <w:spacing w:before="0" w:beforeAutospacing="0" w:after="0" w:afterAutospacing="0" w:line="360" w:lineRule="auto"/>
        <w:ind w:firstLine="420"/>
        <w:rPr>
          <w:sz w:val="21"/>
          <w:szCs w:val="21"/>
        </w:rPr>
      </w:pPr>
      <w:r>
        <w:rPr>
          <w:rFonts w:hint="eastAsia"/>
          <w:sz w:val="21"/>
          <w:szCs w:val="21"/>
        </w:rPr>
        <w:t xml:space="preserve">（十）澄清公告 </w:t>
      </w:r>
    </w:p>
    <w:p>
      <w:pPr>
        <w:pStyle w:val="7"/>
        <w:spacing w:before="0" w:beforeAutospacing="0" w:after="0" w:afterAutospacing="0" w:line="360" w:lineRule="auto"/>
        <w:ind w:firstLine="420"/>
        <w:rPr>
          <w:sz w:val="21"/>
          <w:szCs w:val="21"/>
        </w:rPr>
      </w:pPr>
      <w:r>
        <w:rPr>
          <w:rFonts w:hint="eastAsia"/>
          <w:sz w:val="21"/>
          <w:szCs w:val="21"/>
        </w:rPr>
        <w:t xml:space="preserve">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基金上市交易的证券交易所。 </w:t>
      </w:r>
    </w:p>
    <w:p>
      <w:pPr>
        <w:pStyle w:val="7"/>
        <w:spacing w:before="0" w:beforeAutospacing="0" w:after="0" w:afterAutospacing="0" w:line="360" w:lineRule="auto"/>
        <w:ind w:firstLine="420"/>
        <w:rPr>
          <w:sz w:val="21"/>
          <w:szCs w:val="21"/>
        </w:rPr>
      </w:pPr>
      <w:r>
        <w:rPr>
          <w:rFonts w:hint="eastAsia"/>
          <w:sz w:val="21"/>
          <w:szCs w:val="21"/>
        </w:rPr>
        <w:t xml:space="preserve">（十一）清算报告 </w:t>
      </w:r>
    </w:p>
    <w:p>
      <w:pPr>
        <w:pStyle w:val="7"/>
        <w:spacing w:before="0" w:beforeAutospacing="0" w:after="0" w:afterAutospacing="0" w:line="360" w:lineRule="auto"/>
        <w:ind w:firstLine="420"/>
        <w:rPr>
          <w:sz w:val="21"/>
          <w:szCs w:val="21"/>
        </w:rPr>
      </w:pPr>
      <w:r>
        <w:rPr>
          <w:rFonts w:hint="eastAsia"/>
          <w:sz w:val="21"/>
          <w:szCs w:val="21"/>
        </w:rPr>
        <w:t xml:space="preserve">基金终止运作的，基金管理人应当依法组织清算组对基金财产进行清算并作出清算报告。清算报告应当经过符合《中华人民共和国证券法》规定的会计师事务所审计，并由律师事务所出具法律意见书。清算组应当将清算报告登载在规定网站上，并将清算报告提示性公告登载在规定报刊上。 </w:t>
      </w:r>
    </w:p>
    <w:p>
      <w:pPr>
        <w:pStyle w:val="7"/>
        <w:spacing w:before="0" w:beforeAutospacing="0" w:after="0" w:afterAutospacing="0" w:line="360" w:lineRule="auto"/>
        <w:ind w:firstLine="420"/>
        <w:rPr>
          <w:sz w:val="21"/>
          <w:szCs w:val="21"/>
        </w:rPr>
      </w:pPr>
      <w:r>
        <w:rPr>
          <w:rFonts w:hint="eastAsia"/>
          <w:sz w:val="21"/>
          <w:szCs w:val="21"/>
        </w:rPr>
        <w:t xml:space="preserve">（十二）基金份额持有人大会决议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基金份额持有人大会决定的事项，应当依法报中国证监会备案，并予以公告。 </w:t>
      </w:r>
    </w:p>
    <w:p>
      <w:pPr>
        <w:pStyle w:val="7"/>
        <w:spacing w:before="0" w:beforeAutospacing="0" w:after="0" w:afterAutospacing="0" w:line="360" w:lineRule="auto"/>
        <w:ind w:firstLine="420"/>
        <w:rPr>
          <w:sz w:val="21"/>
          <w:szCs w:val="21"/>
        </w:rPr>
      </w:pPr>
      <w:r>
        <w:rPr>
          <w:rFonts w:hint="eastAsia"/>
          <w:sz w:val="21"/>
          <w:szCs w:val="21"/>
        </w:rPr>
        <w:t xml:space="preserve">（十三）基金投资资产支持证券的信息披露 </w:t>
      </w:r>
    </w:p>
    <w:p>
      <w:pPr>
        <w:pStyle w:val="7"/>
        <w:spacing w:before="0" w:beforeAutospacing="0" w:after="0" w:afterAutospacing="0" w:line="360" w:lineRule="auto"/>
        <w:ind w:firstLine="420"/>
        <w:rPr>
          <w:sz w:val="21"/>
          <w:szCs w:val="21"/>
        </w:rPr>
      </w:pPr>
      <w:r>
        <w:rPr>
          <w:rFonts w:hint="eastAsia"/>
          <w:sz w:val="21"/>
          <w:szCs w:val="21"/>
        </w:rPr>
        <w:t xml:space="preserve">本基金投资资产支持证券的，基金管理人应在基金年度报告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 </w:t>
      </w:r>
    </w:p>
    <w:p>
      <w:pPr>
        <w:pStyle w:val="7"/>
        <w:spacing w:before="0" w:beforeAutospacing="0" w:after="0" w:afterAutospacing="0" w:line="360" w:lineRule="auto"/>
        <w:ind w:firstLine="420"/>
        <w:rPr>
          <w:sz w:val="21"/>
          <w:szCs w:val="21"/>
        </w:rPr>
      </w:pPr>
      <w:r>
        <w:rPr>
          <w:rFonts w:hint="eastAsia"/>
          <w:sz w:val="21"/>
          <w:szCs w:val="21"/>
        </w:rPr>
        <w:t xml:space="preserve">（十四）基金参与股指期货、国债期货交易的信息披露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基金季度报告、基金中期报告、基金年度报告等定期报告和招募说明书（更新）等文件中披露股指期货、国债期货交易情况，包括交易政策、持仓情况、损益情况、风险指标、估值方法等，并充分揭示股指期货、国债期货交易对基金总体风险的影响以及是否符合既定的交易政策和交易目标等。 </w:t>
      </w:r>
    </w:p>
    <w:p>
      <w:pPr>
        <w:pStyle w:val="7"/>
        <w:spacing w:before="0" w:beforeAutospacing="0" w:after="0" w:afterAutospacing="0" w:line="360" w:lineRule="auto"/>
        <w:ind w:firstLine="420"/>
        <w:rPr>
          <w:sz w:val="21"/>
          <w:szCs w:val="21"/>
        </w:rPr>
      </w:pPr>
      <w:r>
        <w:rPr>
          <w:rFonts w:hint="eastAsia"/>
          <w:sz w:val="21"/>
          <w:szCs w:val="21"/>
        </w:rPr>
        <w:t xml:space="preserve">（十五）基金投资股票期权的信息披露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基金季度报告、基金中期报告、基金年度报告等定期报告和招募说明书（更新）等文件中披露股票期权交易情况，包括投资政策、持仓情况、损益情况、风险指标、估值方法等，并充分揭示股票期权交易对基金总体风险的影响以及是否符合既定的投资政策和投资目标等。 </w:t>
      </w:r>
    </w:p>
    <w:p>
      <w:pPr>
        <w:pStyle w:val="7"/>
        <w:spacing w:before="0" w:beforeAutospacing="0" w:after="0" w:afterAutospacing="0" w:line="360" w:lineRule="auto"/>
        <w:ind w:firstLine="420"/>
        <w:rPr>
          <w:sz w:val="21"/>
          <w:szCs w:val="21"/>
        </w:rPr>
      </w:pPr>
      <w:r>
        <w:rPr>
          <w:rFonts w:hint="eastAsia"/>
          <w:sz w:val="21"/>
          <w:szCs w:val="21"/>
        </w:rPr>
        <w:t xml:space="preserve">（十六）参与融资和转融通证券出借业务的信息披露 </w:t>
      </w:r>
    </w:p>
    <w:p>
      <w:pPr>
        <w:pStyle w:val="7"/>
        <w:spacing w:before="0" w:beforeAutospacing="0" w:after="0" w:afterAutospacing="0" w:line="360" w:lineRule="auto"/>
        <w:ind w:firstLine="420"/>
        <w:rPr>
          <w:sz w:val="21"/>
          <w:szCs w:val="21"/>
        </w:rPr>
      </w:pPr>
      <w:r>
        <w:rPr>
          <w:rFonts w:hint="eastAsia"/>
          <w:sz w:val="21"/>
          <w:szCs w:val="21"/>
        </w:rPr>
        <w:t xml:space="preserve">本基金参与融资和转融通证券出借业务的，基金管理人应当在季度报告、中期报告、年度报告等定期报告和招募说明书（更新）等文件中披露参与融资和转融通证券出借交易情况，包括投资策略、业务开展情况、损益情况、风险及其管理情况等，并就转融通证券出借业务在报告期内发生的重大关联交易事项做详细说明。 </w:t>
      </w:r>
    </w:p>
    <w:p>
      <w:pPr>
        <w:pStyle w:val="7"/>
        <w:spacing w:before="0" w:beforeAutospacing="0" w:after="0" w:afterAutospacing="0" w:line="360" w:lineRule="auto"/>
        <w:ind w:firstLine="420"/>
        <w:rPr>
          <w:sz w:val="21"/>
          <w:szCs w:val="21"/>
        </w:rPr>
      </w:pPr>
      <w:r>
        <w:rPr>
          <w:rFonts w:hint="eastAsia"/>
          <w:sz w:val="21"/>
          <w:szCs w:val="21"/>
        </w:rPr>
        <w:t xml:space="preserve">（十七）中国证监会规定的其他信息 </w:t>
      </w:r>
    </w:p>
    <w:p>
      <w:pPr>
        <w:pStyle w:val="7"/>
        <w:spacing w:before="0" w:beforeAutospacing="0" w:after="0" w:afterAutospacing="0" w:line="360" w:lineRule="auto"/>
        <w:ind w:firstLine="420"/>
        <w:rPr>
          <w:sz w:val="21"/>
          <w:szCs w:val="21"/>
        </w:rPr>
      </w:pPr>
      <w:r>
        <w:rPr>
          <w:rStyle w:val="11"/>
          <w:rFonts w:hint="eastAsia"/>
          <w:sz w:val="21"/>
          <w:szCs w:val="21"/>
        </w:rPr>
        <w:t>六、信息披露事务管理</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基金管理人、基金托管人应当建立健全信息披露管理制度，指定专门部门及高级管理人员负责管理信息披露事务。 </w:t>
      </w:r>
    </w:p>
    <w:p>
      <w:pPr>
        <w:pStyle w:val="7"/>
        <w:spacing w:before="0" w:beforeAutospacing="0" w:after="0" w:afterAutospacing="0" w:line="360" w:lineRule="auto"/>
        <w:ind w:firstLine="420"/>
        <w:rPr>
          <w:sz w:val="21"/>
          <w:szCs w:val="21"/>
        </w:rPr>
      </w:pPr>
      <w:r>
        <w:rPr>
          <w:rFonts w:hint="eastAsia"/>
          <w:sz w:val="21"/>
          <w:szCs w:val="21"/>
        </w:rPr>
        <w:t xml:space="preserve">基金信息披露义务人公开披露基金信息，应当符合中国证监会相关基金信息披露内容与格式准则等法规以及证券交易所的自律管理规则的规定。 </w:t>
      </w:r>
    </w:p>
    <w:p>
      <w:pPr>
        <w:pStyle w:val="7"/>
        <w:spacing w:before="0" w:beforeAutospacing="0" w:after="0" w:afterAutospacing="0" w:line="360" w:lineRule="auto"/>
        <w:ind w:firstLine="420"/>
        <w:rPr>
          <w:sz w:val="21"/>
          <w:szCs w:val="21"/>
        </w:rPr>
      </w:pPr>
      <w:r>
        <w:rPr>
          <w:rFonts w:hint="eastAsia"/>
          <w:sz w:val="21"/>
          <w:szCs w:val="21"/>
        </w:rPr>
        <w:t xml:space="preserve">基金托管人应当按照相关法律法规、中国证监会的规定和基金合同的约定，对基金管理人编制的基金资产净值、基金份额净值、申购对价、赎回对价、基金定期报告、更新的招募说明书、基金产品资料概要、基金清算报告等相关基金信息进行复核、审查，并向基金管理人进行书面或电子确认。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在规定报刊中选择一家披露信息的报刊。基金管理人、基金托管人应当向中国证监会基金电子披露网站报送拟披露的基金信息，并保证相关报送信息的真实、准确、完整、及时。为基金信息披露义务人公开披露的基金信息出具审计报告、法律意见书的专业机构，应当制作工作底稿，并将相关档案至少保存到《基金合同》终止后10年。 </w:t>
      </w:r>
    </w:p>
    <w:p>
      <w:pPr>
        <w:pStyle w:val="7"/>
        <w:spacing w:before="0" w:beforeAutospacing="0" w:after="0" w:afterAutospacing="0" w:line="360" w:lineRule="auto"/>
        <w:ind w:firstLine="420"/>
        <w:rPr>
          <w:sz w:val="21"/>
          <w:szCs w:val="21"/>
        </w:rPr>
      </w:pPr>
      <w:r>
        <w:rPr>
          <w:rStyle w:val="11"/>
          <w:rFonts w:hint="eastAsia"/>
          <w:sz w:val="21"/>
          <w:szCs w:val="21"/>
        </w:rPr>
        <w:t>七、信息披露文件的存放与查阅</w:t>
      </w:r>
    </w:p>
    <w:p>
      <w:pPr>
        <w:pStyle w:val="7"/>
        <w:spacing w:before="0" w:beforeAutospacing="0" w:after="0" w:afterAutospacing="0" w:line="360" w:lineRule="auto"/>
        <w:ind w:firstLine="420"/>
        <w:rPr>
          <w:sz w:val="21"/>
          <w:szCs w:val="21"/>
        </w:rPr>
      </w:pPr>
      <w:r>
        <w:rPr>
          <w:rFonts w:hint="eastAsia"/>
          <w:sz w:val="21"/>
          <w:szCs w:val="21"/>
        </w:rPr>
        <w:t xml:space="preserve">依法必须披露的信息发布后，基金管理人、基金托管人应当按照相关法律法规规定将信息置备于各自住所和基金上市交易的证券交易所，供社会公众查阅、复制。 </w:t>
      </w:r>
    </w:p>
    <w:p>
      <w:pPr>
        <w:pStyle w:val="7"/>
        <w:spacing w:before="0" w:beforeAutospacing="0" w:after="0" w:afterAutospacing="0" w:line="360" w:lineRule="auto"/>
        <w:ind w:firstLine="420"/>
        <w:rPr>
          <w:sz w:val="21"/>
          <w:szCs w:val="21"/>
        </w:rPr>
      </w:pPr>
      <w:r>
        <w:rPr>
          <w:rFonts w:hint="eastAsia"/>
          <w:sz w:val="21"/>
          <w:szCs w:val="21"/>
        </w:rPr>
        <w:t xml:space="preserve">八、暂停或延迟披露基金相关信息的情形 </w:t>
      </w:r>
    </w:p>
    <w:p>
      <w:pPr>
        <w:pStyle w:val="7"/>
        <w:spacing w:before="0" w:beforeAutospacing="0" w:after="0" w:afterAutospacing="0" w:line="360" w:lineRule="auto"/>
        <w:ind w:firstLine="420"/>
        <w:rPr>
          <w:sz w:val="21"/>
          <w:szCs w:val="21"/>
        </w:rPr>
      </w:pPr>
      <w:r>
        <w:rPr>
          <w:rFonts w:hint="eastAsia"/>
          <w:sz w:val="21"/>
          <w:szCs w:val="21"/>
        </w:rPr>
        <w:t xml:space="preserve">当出现下述情况时，基金管理人和基金托管人可暂停或延迟披露基金相关信息： </w:t>
      </w:r>
    </w:p>
    <w:p>
      <w:pPr>
        <w:pStyle w:val="7"/>
        <w:spacing w:before="0" w:beforeAutospacing="0" w:after="0" w:afterAutospacing="0" w:line="360" w:lineRule="auto"/>
        <w:ind w:firstLine="420"/>
        <w:rPr>
          <w:sz w:val="21"/>
          <w:szCs w:val="21"/>
        </w:rPr>
      </w:pPr>
      <w:r>
        <w:rPr>
          <w:rFonts w:hint="eastAsia"/>
          <w:sz w:val="21"/>
          <w:szCs w:val="21"/>
        </w:rPr>
        <w:t xml:space="preserve">1、不可抗力； </w:t>
      </w:r>
    </w:p>
    <w:p>
      <w:pPr>
        <w:pStyle w:val="7"/>
        <w:spacing w:before="0" w:beforeAutospacing="0" w:after="0" w:afterAutospacing="0" w:line="360" w:lineRule="auto"/>
        <w:ind w:firstLine="420"/>
        <w:rPr>
          <w:sz w:val="21"/>
          <w:szCs w:val="21"/>
        </w:rPr>
      </w:pPr>
      <w:r>
        <w:rPr>
          <w:rFonts w:hint="eastAsia"/>
          <w:sz w:val="21"/>
          <w:szCs w:val="21"/>
        </w:rPr>
        <w:t xml:space="preserve">2、基金发生暂停估值的情形； </w:t>
      </w:r>
    </w:p>
    <w:p>
      <w:pPr>
        <w:pStyle w:val="7"/>
        <w:spacing w:before="0" w:beforeAutospacing="0" w:after="0" w:afterAutospacing="0" w:line="360" w:lineRule="auto"/>
        <w:ind w:firstLine="420"/>
        <w:rPr>
          <w:sz w:val="21"/>
          <w:szCs w:val="21"/>
        </w:rPr>
      </w:pPr>
      <w:bookmarkStart w:id="156" w:name="chapter_level1_20_67_section_1_end"/>
      <w:bookmarkEnd w:id="156"/>
      <w:r>
        <w:rPr>
          <w:rFonts w:hint="eastAsia"/>
          <w:sz w:val="21"/>
          <w:szCs w:val="21"/>
        </w:rPr>
        <w:t xml:space="preserve">3、法律法规、中国证监会和基金合同认定的其它情形。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57" w:name="_Toc214976556"/>
      <w:bookmarkStart w:id="158" w:name="chapter_level1_22_68"/>
      <w:r>
        <w:rPr>
          <w:rFonts w:hint="eastAsia" w:ascii="宋体" w:hAnsi="宋体" w:eastAsia="宋体"/>
          <w:sz w:val="30"/>
        </w:rPr>
        <w:t>第十八部分  风险揭示</w:t>
      </w:r>
      <w:bookmarkEnd w:id="157"/>
      <w:bookmarkEnd w:id="158"/>
    </w:p>
    <w:p>
      <w:pPr>
        <w:pStyle w:val="7"/>
        <w:spacing w:before="0" w:beforeAutospacing="0" w:after="0" w:afterAutospacing="0" w:line="360" w:lineRule="auto"/>
        <w:ind w:firstLine="420"/>
        <w:rPr>
          <w:sz w:val="21"/>
          <w:szCs w:val="21"/>
        </w:rPr>
      </w:pPr>
      <w:bookmarkStart w:id="159" w:name="chapter_level1_22_68_section_1"/>
      <w:bookmarkEnd w:id="159"/>
      <w:r>
        <w:rPr>
          <w:rFonts w:hint="eastAsia"/>
          <w:sz w:val="21"/>
          <w:szCs w:val="21"/>
        </w:rPr>
        <w:t xml:space="preserve">本基金管理人在总结、借鉴基金管理人旗下已有开放式基金（包括ETF基金）风险管理成熟经验的基础上，针对本基金的特点，确立科学的风险管理理念，建立相应的风险管理体系，对本基金整个投资过程进行有效的风险监控，为基金份额持有人谋取标的指数所表征的市场平均水平的投资收益。 </w:t>
      </w:r>
    </w:p>
    <w:p>
      <w:pPr>
        <w:pStyle w:val="7"/>
        <w:spacing w:before="0" w:beforeAutospacing="0" w:after="0" w:afterAutospacing="0" w:line="360" w:lineRule="auto"/>
        <w:ind w:firstLine="420"/>
        <w:rPr>
          <w:sz w:val="21"/>
          <w:szCs w:val="21"/>
        </w:rPr>
      </w:pPr>
      <w:r>
        <w:rPr>
          <w:rFonts w:hint="eastAsia"/>
          <w:sz w:val="21"/>
          <w:szCs w:val="21"/>
        </w:rPr>
        <w:t xml:space="preserve">投资于本基金的主要风险包括以下几个方面： </w:t>
      </w:r>
    </w:p>
    <w:p>
      <w:pPr>
        <w:pStyle w:val="7"/>
        <w:spacing w:before="0" w:beforeAutospacing="0" w:after="0" w:afterAutospacing="0" w:line="360" w:lineRule="auto"/>
        <w:ind w:firstLine="420"/>
        <w:rPr>
          <w:sz w:val="21"/>
          <w:szCs w:val="21"/>
        </w:rPr>
      </w:pPr>
      <w:r>
        <w:rPr>
          <w:rFonts w:hint="eastAsia"/>
          <w:sz w:val="21"/>
          <w:szCs w:val="21"/>
        </w:rPr>
        <w:t>一、</w:t>
      </w:r>
      <w:r>
        <w:rPr>
          <w:rFonts w:hint="eastAsia"/>
          <w:b/>
          <w:bCs/>
          <w:sz w:val="21"/>
          <w:szCs w:val="21"/>
        </w:rPr>
        <w:t>标的指数回报与股票市场平均回报偏离的风险 </w:t>
      </w:r>
    </w:p>
    <w:p>
      <w:pPr>
        <w:pStyle w:val="7"/>
        <w:spacing w:before="0" w:beforeAutospacing="0" w:after="0" w:afterAutospacing="0" w:line="360" w:lineRule="auto"/>
        <w:ind w:firstLine="420"/>
        <w:rPr>
          <w:sz w:val="21"/>
          <w:szCs w:val="21"/>
        </w:rPr>
      </w:pPr>
      <w:r>
        <w:rPr>
          <w:rFonts w:hint="eastAsia"/>
          <w:sz w:val="21"/>
          <w:szCs w:val="21"/>
        </w:rPr>
        <w:t xml:space="preserve">标的指数并不能完全代表整个股票市场。标的指数成份股的平均回报率与整个股票市场的平均回报率可能存在偏离。  </w:t>
      </w:r>
    </w:p>
    <w:p>
      <w:pPr>
        <w:pStyle w:val="7"/>
        <w:spacing w:before="0" w:beforeAutospacing="0" w:after="0" w:afterAutospacing="0" w:line="360" w:lineRule="auto"/>
        <w:ind w:firstLine="420"/>
        <w:rPr>
          <w:sz w:val="21"/>
          <w:szCs w:val="21"/>
        </w:rPr>
      </w:pPr>
      <w:r>
        <w:rPr>
          <w:rFonts w:hint="eastAsia"/>
          <w:sz w:val="21"/>
          <w:szCs w:val="21"/>
        </w:rPr>
        <w:t>二、</w:t>
      </w:r>
      <w:r>
        <w:rPr>
          <w:rFonts w:hint="eastAsia"/>
          <w:b/>
          <w:bCs/>
          <w:sz w:val="21"/>
          <w:szCs w:val="21"/>
        </w:rPr>
        <w:t>标的指数波动的风险 </w:t>
      </w:r>
    </w:p>
    <w:p>
      <w:pPr>
        <w:pStyle w:val="7"/>
        <w:spacing w:before="0" w:beforeAutospacing="0" w:after="0" w:afterAutospacing="0" w:line="360" w:lineRule="auto"/>
        <w:ind w:firstLine="420"/>
        <w:rPr>
          <w:sz w:val="21"/>
          <w:szCs w:val="21"/>
        </w:rPr>
      </w:pPr>
      <w:r>
        <w:rPr>
          <w:rFonts w:hint="eastAsia"/>
          <w:sz w:val="21"/>
          <w:szCs w:val="21"/>
        </w:rPr>
        <w:t xml:space="preserve">标的指数成份股的价格可能受到政治因素、经济因素、上市公司经营状况、投资人心理和交易制度等各种因素的影响而波动，导致指数波动，从而使基金收益水平发生变化，产生风险。  </w:t>
      </w:r>
    </w:p>
    <w:p>
      <w:pPr>
        <w:pStyle w:val="7"/>
        <w:spacing w:before="0" w:beforeAutospacing="0" w:after="0" w:afterAutospacing="0" w:line="360" w:lineRule="auto"/>
        <w:ind w:firstLine="420"/>
        <w:rPr>
          <w:sz w:val="21"/>
          <w:szCs w:val="21"/>
        </w:rPr>
      </w:pPr>
      <w:r>
        <w:rPr>
          <w:rFonts w:hint="eastAsia"/>
          <w:sz w:val="21"/>
          <w:szCs w:val="21"/>
        </w:rPr>
        <w:t>三、</w:t>
      </w:r>
      <w:r>
        <w:rPr>
          <w:rFonts w:hint="eastAsia"/>
          <w:b/>
          <w:bCs/>
          <w:sz w:val="21"/>
          <w:szCs w:val="21"/>
        </w:rPr>
        <w:t>基金投资组合回报与标的指数回报偏离的风险 </w:t>
      </w:r>
    </w:p>
    <w:p>
      <w:pPr>
        <w:pStyle w:val="7"/>
        <w:spacing w:before="0" w:beforeAutospacing="0" w:after="0" w:afterAutospacing="0" w:line="360" w:lineRule="auto"/>
        <w:ind w:firstLine="420"/>
        <w:rPr>
          <w:sz w:val="21"/>
          <w:szCs w:val="21"/>
        </w:rPr>
      </w:pPr>
      <w:r>
        <w:rPr>
          <w:rFonts w:hint="eastAsia"/>
          <w:sz w:val="21"/>
          <w:szCs w:val="21"/>
        </w:rPr>
        <w:t xml:space="preserve">以下因素可能使基金投资组合的收益率与标的指数的收益率发生偏离：  </w:t>
      </w:r>
    </w:p>
    <w:p>
      <w:pPr>
        <w:pStyle w:val="7"/>
        <w:spacing w:before="0" w:beforeAutospacing="0" w:after="0" w:afterAutospacing="0" w:line="360" w:lineRule="auto"/>
        <w:ind w:firstLine="420"/>
        <w:rPr>
          <w:sz w:val="21"/>
          <w:szCs w:val="21"/>
        </w:rPr>
      </w:pPr>
      <w:r>
        <w:rPr>
          <w:rFonts w:hint="eastAsia"/>
          <w:sz w:val="21"/>
          <w:szCs w:val="21"/>
        </w:rPr>
        <w:t xml:space="preserve">1、由于标的指数调整成份股或变更编制方法，使本基金在相应的组合调整中产生跟踪偏离度与跟踪误差。  </w:t>
      </w:r>
    </w:p>
    <w:p>
      <w:pPr>
        <w:pStyle w:val="7"/>
        <w:spacing w:before="0" w:beforeAutospacing="0" w:after="0" w:afterAutospacing="0" w:line="360" w:lineRule="auto"/>
        <w:ind w:firstLine="420"/>
        <w:rPr>
          <w:sz w:val="21"/>
          <w:szCs w:val="21"/>
        </w:rPr>
      </w:pPr>
      <w:r>
        <w:rPr>
          <w:rFonts w:hint="eastAsia"/>
          <w:sz w:val="21"/>
          <w:szCs w:val="21"/>
        </w:rPr>
        <w:t xml:space="preserve">2、由于标的指数成份股发生送配股、增发等行为导致成份股在标的指数中的权重发生变化，使本基金在相应的组合调整中产生跟踪偏离度和跟踪误差。  </w:t>
      </w:r>
    </w:p>
    <w:p>
      <w:pPr>
        <w:pStyle w:val="7"/>
        <w:spacing w:before="0" w:beforeAutospacing="0" w:after="0" w:afterAutospacing="0" w:line="360" w:lineRule="auto"/>
        <w:ind w:firstLine="420"/>
        <w:rPr>
          <w:sz w:val="21"/>
          <w:szCs w:val="21"/>
        </w:rPr>
      </w:pPr>
      <w:r>
        <w:rPr>
          <w:rFonts w:hint="eastAsia"/>
          <w:sz w:val="21"/>
          <w:szCs w:val="21"/>
        </w:rPr>
        <w:t xml:space="preserve">3、成份股派发现金红利、成份股增发、送配等所获收益可能导致基金收益率偏离标的指数收益率，从而产生跟踪偏离度。  </w:t>
      </w:r>
    </w:p>
    <w:p>
      <w:pPr>
        <w:pStyle w:val="7"/>
        <w:spacing w:before="0" w:beforeAutospacing="0" w:after="0" w:afterAutospacing="0" w:line="360" w:lineRule="auto"/>
        <w:ind w:firstLine="420"/>
        <w:rPr>
          <w:sz w:val="21"/>
          <w:szCs w:val="21"/>
        </w:rPr>
      </w:pPr>
      <w:r>
        <w:rPr>
          <w:rFonts w:hint="eastAsia"/>
          <w:sz w:val="21"/>
          <w:szCs w:val="21"/>
        </w:rPr>
        <w:t xml:space="preserve">4、由于成份股停牌、摘牌或流动性差等原因使本基金无法及时调整投资组合或承担冲击成本而产生跟踪偏离度和跟踪误差。  </w:t>
      </w:r>
    </w:p>
    <w:p>
      <w:pPr>
        <w:pStyle w:val="7"/>
        <w:spacing w:before="0" w:beforeAutospacing="0" w:after="0" w:afterAutospacing="0" w:line="360" w:lineRule="auto"/>
        <w:ind w:firstLine="420"/>
        <w:rPr>
          <w:sz w:val="21"/>
          <w:szCs w:val="21"/>
        </w:rPr>
      </w:pPr>
      <w:r>
        <w:rPr>
          <w:rFonts w:hint="eastAsia"/>
          <w:sz w:val="21"/>
          <w:szCs w:val="21"/>
        </w:rPr>
        <w:t xml:space="preserve">5、由于基金投资过程中的证券交易成本，以及基金管理费和托管费等费用的存在，使基金投资组合与标的指数产生跟踪偏离度与跟踪误差。  </w:t>
      </w:r>
    </w:p>
    <w:p>
      <w:pPr>
        <w:pStyle w:val="7"/>
        <w:spacing w:before="0" w:beforeAutospacing="0" w:after="0" w:afterAutospacing="0" w:line="360" w:lineRule="auto"/>
        <w:ind w:firstLine="420"/>
        <w:rPr>
          <w:sz w:val="21"/>
          <w:szCs w:val="21"/>
        </w:rPr>
      </w:pPr>
      <w:r>
        <w:rPr>
          <w:rFonts w:hint="eastAsia"/>
          <w:sz w:val="21"/>
          <w:szCs w:val="21"/>
        </w:rPr>
        <w:t xml:space="preserve">6、在本基金指数化投资过程中，基金管理人的管理能力，例如跟踪指数的水平、技术手段、买入卖出的时机选择等，都会对本基金的收益产生影响，从而影响本基金对标的指数的跟踪程度。  </w:t>
      </w:r>
    </w:p>
    <w:p>
      <w:pPr>
        <w:pStyle w:val="7"/>
        <w:spacing w:before="0" w:beforeAutospacing="0" w:after="0" w:afterAutospacing="0" w:line="360" w:lineRule="auto"/>
        <w:ind w:firstLine="420"/>
        <w:rPr>
          <w:sz w:val="21"/>
          <w:szCs w:val="21"/>
        </w:rPr>
      </w:pPr>
      <w:r>
        <w:rPr>
          <w:rFonts w:hint="eastAsia"/>
          <w:sz w:val="21"/>
          <w:szCs w:val="21"/>
        </w:rPr>
        <w:t xml:space="preserve">7、其他因素产生的偏离。如因受到最低买入股数的限制，基金投资组合中个别股票的持有比例与标的指数中该股票的权重可能不完全相同；因缺乏卖空、对冲机制及其他工具造成的指数跟踪成本较大；因基金申购与赎回带来的现金变动；因指数发布机构指数编制错误等，由此产生跟踪偏离度与跟踪误差。  </w:t>
      </w:r>
    </w:p>
    <w:p>
      <w:pPr>
        <w:pStyle w:val="7"/>
        <w:spacing w:before="0" w:beforeAutospacing="0" w:after="0" w:afterAutospacing="0" w:line="360" w:lineRule="auto"/>
        <w:ind w:firstLine="420"/>
        <w:rPr>
          <w:sz w:val="21"/>
          <w:szCs w:val="21"/>
        </w:rPr>
      </w:pPr>
      <w:r>
        <w:rPr>
          <w:rFonts w:hint="eastAsia"/>
          <w:sz w:val="21"/>
          <w:szCs w:val="21"/>
        </w:rPr>
        <w:t>四、</w:t>
      </w:r>
      <w:r>
        <w:rPr>
          <w:rFonts w:hint="eastAsia"/>
          <w:b/>
          <w:bCs/>
          <w:sz w:val="21"/>
          <w:szCs w:val="21"/>
        </w:rPr>
        <w:t>流动性风险</w:t>
      </w:r>
    </w:p>
    <w:p>
      <w:pPr>
        <w:pStyle w:val="7"/>
        <w:spacing w:before="0" w:beforeAutospacing="0" w:after="0" w:afterAutospacing="0" w:line="360" w:lineRule="auto"/>
        <w:ind w:firstLine="420"/>
        <w:rPr>
          <w:sz w:val="21"/>
          <w:szCs w:val="21"/>
        </w:rPr>
      </w:pPr>
      <w:r>
        <w:rPr>
          <w:rFonts w:hint="eastAsia"/>
          <w:sz w:val="21"/>
          <w:szCs w:val="21"/>
        </w:rPr>
        <w:t xml:space="preserve">1、本基金交易方式带来的流动性风险 </w:t>
      </w:r>
    </w:p>
    <w:p>
      <w:pPr>
        <w:pStyle w:val="7"/>
        <w:spacing w:before="0" w:beforeAutospacing="0" w:after="0" w:afterAutospacing="0" w:line="360" w:lineRule="auto"/>
        <w:ind w:firstLine="420"/>
        <w:rPr>
          <w:sz w:val="21"/>
          <w:szCs w:val="21"/>
        </w:rPr>
      </w:pPr>
      <w:r>
        <w:rPr>
          <w:rFonts w:hint="eastAsia"/>
          <w:sz w:val="21"/>
          <w:szCs w:val="21"/>
        </w:rPr>
        <w:t xml:space="preserve">①本基金最小申购、赎回单位设置较高，中小投资者只能在二级市场上按交易价格卖出基金份额。 </w:t>
      </w:r>
    </w:p>
    <w:p>
      <w:pPr>
        <w:pStyle w:val="7"/>
        <w:spacing w:before="0" w:beforeAutospacing="0" w:after="0" w:afterAutospacing="0" w:line="360" w:lineRule="auto"/>
        <w:ind w:firstLine="420"/>
        <w:rPr>
          <w:sz w:val="21"/>
          <w:szCs w:val="21"/>
        </w:rPr>
      </w:pPr>
      <w:r>
        <w:rPr>
          <w:rFonts w:hint="eastAsia"/>
          <w:sz w:val="21"/>
          <w:szCs w:val="21"/>
        </w:rPr>
        <w:t xml:space="preserve">②基金将在上海证券交易所上市交易，但不保证市场交易一定活跃；基金的交易可能因各种原因被暂停，当基金不再符合相关上市条件时，基金的上市也可能被终止。 </w:t>
      </w:r>
    </w:p>
    <w:p>
      <w:pPr>
        <w:pStyle w:val="7"/>
        <w:spacing w:before="0" w:beforeAutospacing="0" w:after="0" w:afterAutospacing="0" w:line="360" w:lineRule="auto"/>
        <w:ind w:firstLine="420"/>
        <w:rPr>
          <w:sz w:val="21"/>
          <w:szCs w:val="21"/>
        </w:rPr>
      </w:pPr>
      <w:r>
        <w:rPr>
          <w:rFonts w:hint="eastAsia"/>
          <w:sz w:val="21"/>
          <w:szCs w:val="21"/>
        </w:rPr>
        <w:t xml:space="preserve">③尽管由于投资者可以进行申购、赎回，基金一般不会持续出现大幅折溢价情况。但是，基金的二级市场交易价格受市场供求的影响，可能高于（称为溢价）或低于（称为折价）基金份额净值。 </w:t>
      </w:r>
    </w:p>
    <w:p>
      <w:pPr>
        <w:pStyle w:val="7"/>
        <w:spacing w:before="0" w:beforeAutospacing="0" w:after="0" w:afterAutospacing="0" w:line="360" w:lineRule="auto"/>
        <w:ind w:firstLine="420"/>
        <w:rPr>
          <w:sz w:val="21"/>
          <w:szCs w:val="21"/>
        </w:rPr>
      </w:pPr>
      <w:r>
        <w:rPr>
          <w:rFonts w:hint="eastAsia"/>
          <w:sz w:val="21"/>
          <w:szCs w:val="21"/>
        </w:rPr>
        <w:t xml:space="preserve">2、拟投资市场、行业及资产的流动性风险评估 </w:t>
      </w:r>
    </w:p>
    <w:p>
      <w:pPr>
        <w:pStyle w:val="7"/>
        <w:spacing w:before="0" w:beforeAutospacing="0" w:after="0" w:afterAutospacing="0" w:line="360" w:lineRule="auto"/>
        <w:ind w:firstLine="420"/>
        <w:rPr>
          <w:sz w:val="21"/>
          <w:szCs w:val="21"/>
        </w:rPr>
      </w:pPr>
      <w:r>
        <w:rPr>
          <w:rFonts w:hint="eastAsia"/>
          <w:sz w:val="21"/>
          <w:szCs w:val="21"/>
        </w:rPr>
        <w:t xml:space="preserve">本基金主要投资于标的指数成份股和备选成份股（含存托凭证）。为更好地实现基金的投资目标，本基金可能会少量投资于具有良好流动性的金融工具，包括依法发行上市的股票（包括存托凭证）、股指期货、股票期权、债券、国债期货、货币市场工具、债券回购、资产支持证券等。投资交易均在依法设立的正规市场中进行，所投市场和资产方面的整体流动性较高。同时，本基金通过投资限制对各类资产的投资比例、期限、评级、杠杆和集中度进行了控制，并严格控制了主动投资于流动性受限资产的比例上限，整体持仓资产的流动性风险较低。 </w:t>
      </w:r>
    </w:p>
    <w:p>
      <w:pPr>
        <w:pStyle w:val="7"/>
        <w:spacing w:before="0" w:beforeAutospacing="0" w:after="0" w:afterAutospacing="0" w:line="360" w:lineRule="auto"/>
        <w:ind w:firstLine="420"/>
        <w:rPr>
          <w:sz w:val="21"/>
          <w:szCs w:val="21"/>
        </w:rPr>
      </w:pPr>
      <w:r>
        <w:rPr>
          <w:rFonts w:hint="eastAsia"/>
          <w:sz w:val="21"/>
          <w:szCs w:val="21"/>
        </w:rPr>
        <w:t xml:space="preserve">3、实施备用的流动性风险管理工具的情形、程序及对投资者的潜在影响 </w:t>
      </w:r>
    </w:p>
    <w:p>
      <w:pPr>
        <w:pStyle w:val="7"/>
        <w:spacing w:before="0" w:beforeAutospacing="0" w:after="0" w:afterAutospacing="0" w:line="360" w:lineRule="auto"/>
        <w:ind w:firstLine="420"/>
        <w:rPr>
          <w:sz w:val="21"/>
          <w:szCs w:val="21"/>
        </w:rPr>
      </w:pPr>
      <w:r>
        <w:rPr>
          <w:rFonts w:hint="eastAsia"/>
          <w:sz w:val="21"/>
          <w:szCs w:val="21"/>
        </w:rPr>
        <w:t xml:space="preserve">本基金属于开放式基金的一种特殊类型，在申赎机制方面为投资者提供了场内交易以及场内申赎等多种方式，且遇持仓停牌证券可通过现金替代的方式进行应对，给投资者获取流动性提供了极大的便利。同时，本基金基于赎回监测及应对在投资者申购赎回方面均明确了管理机制，在接受申购申请对存量客户利益构成潜在重大不利影响以及市场大幅波动、流动性枯竭等极端情况下发生无法应对投资者赎回的情形时，基金管理人在保障投资者合法权益的前提下可按照法律法规及基金合同的规定，审慎确认申购赎回申请并综合运用各类流动性风险管理工具作为辅助措施，全面应对流动性风险。 </w:t>
      </w:r>
    </w:p>
    <w:p>
      <w:pPr>
        <w:pStyle w:val="7"/>
        <w:spacing w:before="0" w:beforeAutospacing="0" w:after="0" w:afterAutospacing="0" w:line="360" w:lineRule="auto"/>
        <w:ind w:firstLine="420"/>
        <w:rPr>
          <w:sz w:val="21"/>
          <w:szCs w:val="21"/>
        </w:rPr>
      </w:pPr>
      <w:r>
        <w:rPr>
          <w:rFonts w:hint="eastAsia"/>
          <w:sz w:val="21"/>
          <w:szCs w:val="21"/>
        </w:rPr>
        <w:t>五、</w:t>
      </w:r>
      <w:r>
        <w:rPr>
          <w:rFonts w:hint="eastAsia"/>
          <w:b/>
          <w:bCs/>
          <w:sz w:val="21"/>
          <w:szCs w:val="21"/>
        </w:rPr>
        <w:t>基金份额二级市场交易价格折溢价的风险</w:t>
      </w:r>
    </w:p>
    <w:p>
      <w:pPr>
        <w:pStyle w:val="7"/>
        <w:spacing w:before="0" w:beforeAutospacing="0" w:after="0" w:afterAutospacing="0" w:line="360" w:lineRule="auto"/>
        <w:ind w:firstLine="420"/>
        <w:rPr>
          <w:sz w:val="21"/>
          <w:szCs w:val="21"/>
        </w:rPr>
      </w:pPr>
      <w:r>
        <w:rPr>
          <w:rFonts w:hint="eastAsia"/>
          <w:sz w:val="21"/>
          <w:szCs w:val="21"/>
        </w:rPr>
        <w:t xml:space="preserve">基金份额在证券交易所的交易价格受诸多因素影响，可能存在不同于基金份额净值的情形，即存在价格折溢价的风险。  </w:t>
      </w:r>
    </w:p>
    <w:p>
      <w:pPr>
        <w:pStyle w:val="7"/>
        <w:spacing w:before="0" w:beforeAutospacing="0" w:after="0" w:afterAutospacing="0" w:line="360" w:lineRule="auto"/>
        <w:ind w:firstLine="420"/>
        <w:rPr>
          <w:sz w:val="21"/>
          <w:szCs w:val="21"/>
        </w:rPr>
      </w:pPr>
      <w:r>
        <w:rPr>
          <w:rFonts w:hint="eastAsia"/>
          <w:sz w:val="21"/>
          <w:szCs w:val="21"/>
        </w:rPr>
        <w:t>六、</w:t>
      </w:r>
      <w:r>
        <w:rPr>
          <w:rFonts w:hint="eastAsia"/>
          <w:b/>
          <w:bCs/>
          <w:sz w:val="21"/>
          <w:szCs w:val="21"/>
        </w:rPr>
        <w:t>基金份额参考净值决策和基金份额参考净值计算错误的风险 </w:t>
      </w:r>
    </w:p>
    <w:p>
      <w:pPr>
        <w:pStyle w:val="7"/>
        <w:spacing w:before="0" w:beforeAutospacing="0" w:after="0" w:afterAutospacing="0" w:line="360" w:lineRule="auto"/>
        <w:ind w:firstLine="420"/>
        <w:rPr>
          <w:sz w:val="21"/>
          <w:szCs w:val="21"/>
        </w:rPr>
      </w:pPr>
      <w:r>
        <w:rPr>
          <w:rFonts w:hint="eastAsia"/>
          <w:sz w:val="21"/>
          <w:szCs w:val="21"/>
        </w:rPr>
        <w:t xml:space="preserve">基金管理人或基金管理人委托其他机构在交易时间内根据申购、赎回清单和组合证券内各只证券的实时成交数据计算基金份额参考净值，并由上海证券交易所在交易时间内发布，仅供投资者交易、申购、赎回基金份额时参考。基金份额参考净值与实时的基金份额净值可能存在差异，基金份额参考净值计算可能出现错误，投资人若参考基金份额参考净值进行投资决策可能导致损失，需投资人自行承担。  </w:t>
      </w:r>
    </w:p>
    <w:p>
      <w:pPr>
        <w:pStyle w:val="7"/>
        <w:spacing w:before="0" w:beforeAutospacing="0" w:after="0" w:afterAutospacing="0" w:line="360" w:lineRule="auto"/>
        <w:ind w:firstLine="420"/>
        <w:rPr>
          <w:sz w:val="21"/>
          <w:szCs w:val="21"/>
        </w:rPr>
      </w:pPr>
      <w:r>
        <w:rPr>
          <w:rFonts w:hint="eastAsia"/>
          <w:sz w:val="21"/>
          <w:szCs w:val="21"/>
        </w:rPr>
        <w:t>七、</w:t>
      </w:r>
      <w:r>
        <w:rPr>
          <w:rFonts w:hint="eastAsia"/>
          <w:b/>
          <w:bCs/>
          <w:sz w:val="21"/>
          <w:szCs w:val="21"/>
        </w:rPr>
        <w:t>退市风险 </w:t>
      </w:r>
    </w:p>
    <w:p>
      <w:pPr>
        <w:pStyle w:val="7"/>
        <w:spacing w:before="0" w:beforeAutospacing="0" w:after="0" w:afterAutospacing="0" w:line="360" w:lineRule="auto"/>
        <w:ind w:firstLine="420"/>
        <w:rPr>
          <w:sz w:val="21"/>
          <w:szCs w:val="21"/>
        </w:rPr>
      </w:pPr>
      <w:r>
        <w:rPr>
          <w:rFonts w:hint="eastAsia"/>
          <w:sz w:val="21"/>
          <w:szCs w:val="21"/>
        </w:rPr>
        <w:t xml:space="preserve">因本基金不再符合证券交易所上市条件被终止上市，或被基金份额持有人大会决议提前终止上市，导致基金份额不能继续进行二级市场交易的风险。  </w:t>
      </w:r>
    </w:p>
    <w:p>
      <w:pPr>
        <w:pStyle w:val="7"/>
        <w:spacing w:before="0" w:beforeAutospacing="0" w:after="0" w:afterAutospacing="0" w:line="360" w:lineRule="auto"/>
        <w:ind w:firstLine="420"/>
        <w:rPr>
          <w:sz w:val="21"/>
          <w:szCs w:val="21"/>
        </w:rPr>
      </w:pPr>
      <w:r>
        <w:rPr>
          <w:rFonts w:hint="eastAsia"/>
          <w:sz w:val="21"/>
          <w:szCs w:val="21"/>
        </w:rPr>
        <w:t>八、</w:t>
      </w:r>
      <w:r>
        <w:rPr>
          <w:rFonts w:hint="eastAsia"/>
          <w:b/>
          <w:bCs/>
          <w:sz w:val="21"/>
          <w:szCs w:val="21"/>
        </w:rPr>
        <w:t>投资人申购失败的风险 </w:t>
      </w:r>
    </w:p>
    <w:p>
      <w:pPr>
        <w:pStyle w:val="7"/>
        <w:spacing w:before="0" w:beforeAutospacing="0" w:after="0" w:afterAutospacing="0" w:line="360" w:lineRule="auto"/>
        <w:ind w:firstLine="420"/>
        <w:rPr>
          <w:sz w:val="21"/>
          <w:szCs w:val="21"/>
        </w:rPr>
      </w:pPr>
      <w:r>
        <w:rPr>
          <w:rFonts w:hint="eastAsia"/>
          <w:sz w:val="21"/>
          <w:szCs w:val="21"/>
        </w:rPr>
        <w:t xml:space="preserve">本基金的申购、赎回清单中，可能仅允许对部分成份股使用现金替代，且设置现金替代比例上限，因此，投资人在进行场内份额申购时，可能存在因个别成份股涨停、临时停牌等原因而无法买入申购所需的足够的成份股，导致场内份额申购失败的风险。 </w:t>
      </w:r>
    </w:p>
    <w:p>
      <w:pPr>
        <w:pStyle w:val="7"/>
        <w:spacing w:before="0" w:beforeAutospacing="0" w:after="0" w:afterAutospacing="0" w:line="360" w:lineRule="auto"/>
        <w:ind w:firstLine="420"/>
        <w:rPr>
          <w:sz w:val="21"/>
          <w:szCs w:val="21"/>
        </w:rPr>
      </w:pPr>
      <w:r>
        <w:rPr>
          <w:rFonts w:hint="eastAsia"/>
          <w:sz w:val="21"/>
          <w:szCs w:val="21"/>
        </w:rPr>
        <w:t xml:space="preserve">基金管理人可根据市场情况在申购赎回清单中设置并调整申购份额上限，如果一笔新的申购申请被确认成功会使本基金当日申购份额超过申购赎回清单中规定的申购份额上限时，该笔申购申请将被拒绝。 </w:t>
      </w:r>
    </w:p>
    <w:p>
      <w:pPr>
        <w:pStyle w:val="7"/>
        <w:spacing w:before="0" w:beforeAutospacing="0" w:after="0" w:afterAutospacing="0" w:line="360" w:lineRule="auto"/>
        <w:ind w:firstLine="420"/>
        <w:rPr>
          <w:sz w:val="21"/>
          <w:szCs w:val="21"/>
        </w:rPr>
      </w:pPr>
      <w:r>
        <w:rPr>
          <w:rFonts w:hint="eastAsia"/>
          <w:sz w:val="21"/>
          <w:szCs w:val="21"/>
        </w:rPr>
        <w:t>九、</w:t>
      </w:r>
      <w:r>
        <w:rPr>
          <w:rFonts w:hint="eastAsia"/>
          <w:b/>
          <w:bCs/>
          <w:sz w:val="21"/>
          <w:szCs w:val="21"/>
        </w:rPr>
        <w:t>投资人赎回失败的风险 </w:t>
      </w:r>
    </w:p>
    <w:p>
      <w:pPr>
        <w:pStyle w:val="7"/>
        <w:spacing w:before="0" w:beforeAutospacing="0" w:after="0" w:afterAutospacing="0" w:line="360" w:lineRule="auto"/>
        <w:ind w:firstLine="420"/>
        <w:rPr>
          <w:sz w:val="21"/>
          <w:szCs w:val="21"/>
        </w:rPr>
      </w:pPr>
      <w:r>
        <w:rPr>
          <w:rFonts w:hint="eastAsia"/>
          <w:sz w:val="21"/>
          <w:szCs w:val="21"/>
        </w:rPr>
        <w:t xml:space="preserve">投资人在提出场内份额赎回申请时，如基金组合中不具备足额的符合条件的赎回对价，可能导致场内份额赎回失败的情形。  </w:t>
      </w:r>
    </w:p>
    <w:p>
      <w:pPr>
        <w:pStyle w:val="7"/>
        <w:spacing w:before="0" w:beforeAutospacing="0" w:after="0" w:afterAutospacing="0" w:line="360" w:lineRule="auto"/>
        <w:ind w:firstLine="420"/>
        <w:rPr>
          <w:sz w:val="21"/>
          <w:szCs w:val="21"/>
        </w:rPr>
      </w:pPr>
      <w:r>
        <w:rPr>
          <w:rFonts w:hint="eastAsia"/>
          <w:sz w:val="21"/>
          <w:szCs w:val="21"/>
        </w:rPr>
        <w:t xml:space="preserve">基金管理人可能根据成份股市值规模变化等因素调整最小申购、赎回单位，由此可能导致投资人按原最小申购、赎回单位申购并持有的基金份额，可能无法按照新的最小申购、赎回单位全部赎回，而只能在二级市场卖出全部或部分基金份额。 </w:t>
      </w:r>
    </w:p>
    <w:p>
      <w:pPr>
        <w:pStyle w:val="7"/>
        <w:spacing w:before="0" w:beforeAutospacing="0" w:after="0" w:afterAutospacing="0" w:line="360" w:lineRule="auto"/>
        <w:ind w:firstLine="420"/>
        <w:rPr>
          <w:sz w:val="21"/>
          <w:szCs w:val="21"/>
        </w:rPr>
      </w:pPr>
      <w:r>
        <w:rPr>
          <w:rFonts w:hint="eastAsia"/>
          <w:sz w:val="21"/>
          <w:szCs w:val="21"/>
        </w:rPr>
        <w:t xml:space="preserve">基金管理人可根据市场情况在申购赎回清单中设置并调整赎回份额上限，如果一笔新的赎回申请被确认成功会使本基金当日赎回份额超过申购赎回清单中规定的赎回份额上限时，该笔赎回申请将被拒绝。基金管理人可能在申购赎回清单中设置极低的赎回份额上限，投资人将面临无法赎回全部或部分份额的风险。 </w:t>
      </w:r>
    </w:p>
    <w:p>
      <w:pPr>
        <w:pStyle w:val="7"/>
        <w:spacing w:before="0" w:beforeAutospacing="0" w:after="0" w:afterAutospacing="0" w:line="360" w:lineRule="auto"/>
        <w:ind w:firstLine="420"/>
        <w:rPr>
          <w:sz w:val="21"/>
          <w:szCs w:val="21"/>
        </w:rPr>
      </w:pPr>
      <w:r>
        <w:rPr>
          <w:rFonts w:hint="eastAsia"/>
          <w:b/>
          <w:bCs/>
          <w:sz w:val="21"/>
          <w:szCs w:val="21"/>
        </w:rPr>
        <w:t>十、对于非沪市成份证券可以现金替代方式的风险</w:t>
      </w:r>
    </w:p>
    <w:p>
      <w:pPr>
        <w:pStyle w:val="7"/>
        <w:spacing w:before="0" w:beforeAutospacing="0" w:after="0" w:afterAutospacing="0" w:line="360" w:lineRule="auto"/>
        <w:ind w:firstLine="420"/>
        <w:rPr>
          <w:sz w:val="21"/>
          <w:szCs w:val="21"/>
        </w:rPr>
      </w:pPr>
      <w:r>
        <w:rPr>
          <w:rFonts w:hint="eastAsia"/>
          <w:sz w:val="21"/>
          <w:szCs w:val="21"/>
        </w:rPr>
        <w:t xml:space="preserve">本基金对于非沪市成份证券，在申购赎回环节的“可以现金替代”方式，可能给申购和赎回投资者带来价格的不确定性，从而间接影响本基金二级市场价格的折溢价水平。极端情况下，如果使用“可以现金替代”证券的权重增加，该方式带来的不确定性可能导致本基金的二级市场价格折溢价处于相对较高水平。 </w:t>
      </w:r>
    </w:p>
    <w:p>
      <w:pPr>
        <w:pStyle w:val="7"/>
        <w:spacing w:before="0" w:beforeAutospacing="0" w:after="0" w:afterAutospacing="0" w:line="360" w:lineRule="auto"/>
        <w:ind w:firstLine="420"/>
        <w:rPr>
          <w:sz w:val="21"/>
          <w:szCs w:val="21"/>
        </w:rPr>
      </w:pPr>
      <w:r>
        <w:rPr>
          <w:rFonts w:hint="eastAsia"/>
          <w:sz w:val="21"/>
          <w:szCs w:val="21"/>
        </w:rPr>
        <w:t xml:space="preserve">基金管理人不对“时间优先、实时申报”原则的执行效率做出任何承诺和保证，现金替代退补款的计算以实际成交价格和基金招募说明书的约定为准。若因技术系统、通讯链路或其他原因导致基金管理人无法遵循“时间优先、实时申报”原则对“可以现金替代”的证券进行处理，投资者的利益可能受到影响。 </w:t>
      </w:r>
    </w:p>
    <w:p>
      <w:pPr>
        <w:pStyle w:val="7"/>
        <w:spacing w:before="0" w:beforeAutospacing="0" w:after="0" w:afterAutospacing="0" w:line="360" w:lineRule="auto"/>
        <w:ind w:firstLine="420"/>
        <w:rPr>
          <w:sz w:val="21"/>
          <w:szCs w:val="21"/>
        </w:rPr>
      </w:pPr>
      <w:r>
        <w:rPr>
          <w:rFonts w:hint="eastAsia"/>
          <w:b/>
          <w:bCs/>
          <w:sz w:val="21"/>
          <w:szCs w:val="21"/>
        </w:rPr>
        <w:t>十一、基金场内份额赎回对价的变现风险 </w:t>
      </w:r>
    </w:p>
    <w:p>
      <w:pPr>
        <w:pStyle w:val="7"/>
        <w:spacing w:before="0" w:beforeAutospacing="0" w:after="0" w:afterAutospacing="0" w:line="360" w:lineRule="auto"/>
        <w:ind w:firstLine="420"/>
        <w:rPr>
          <w:sz w:val="21"/>
          <w:szCs w:val="21"/>
        </w:rPr>
      </w:pPr>
      <w:r>
        <w:rPr>
          <w:rFonts w:hint="eastAsia"/>
          <w:sz w:val="21"/>
          <w:szCs w:val="21"/>
        </w:rPr>
        <w:t xml:space="preserve">本基金赎回对价主要为组合证券，在组合证券变现过程中，由于市场变化、部分成份股流动性差等因素，导致投资人变现后的价值与赎回时赎回对价的价值有差异，存在变现风险。  </w:t>
      </w:r>
    </w:p>
    <w:p>
      <w:pPr>
        <w:pStyle w:val="7"/>
        <w:spacing w:before="0" w:beforeAutospacing="0" w:after="0" w:afterAutospacing="0" w:line="360" w:lineRule="auto"/>
        <w:ind w:firstLine="420"/>
        <w:rPr>
          <w:sz w:val="21"/>
          <w:szCs w:val="21"/>
        </w:rPr>
      </w:pPr>
      <w:r>
        <w:rPr>
          <w:rFonts w:hint="eastAsia"/>
          <w:b/>
          <w:bCs/>
          <w:sz w:val="21"/>
          <w:szCs w:val="21"/>
        </w:rPr>
        <w:t>十二、第三方机构服务的风险 </w:t>
      </w:r>
    </w:p>
    <w:p>
      <w:pPr>
        <w:pStyle w:val="7"/>
        <w:spacing w:before="0" w:beforeAutospacing="0" w:after="0" w:afterAutospacing="0" w:line="360" w:lineRule="auto"/>
        <w:ind w:firstLine="420"/>
        <w:rPr>
          <w:sz w:val="21"/>
          <w:szCs w:val="21"/>
        </w:rPr>
      </w:pPr>
      <w:r>
        <w:rPr>
          <w:rFonts w:hint="eastAsia"/>
          <w:sz w:val="21"/>
          <w:szCs w:val="21"/>
        </w:rPr>
        <w:t xml:space="preserve">本基金的多项服务委托第三方机构办理，存在以下风险：  </w:t>
      </w:r>
    </w:p>
    <w:p>
      <w:pPr>
        <w:pStyle w:val="7"/>
        <w:spacing w:before="0" w:beforeAutospacing="0" w:after="0" w:afterAutospacing="0" w:line="360" w:lineRule="auto"/>
        <w:ind w:firstLine="420"/>
        <w:rPr>
          <w:sz w:val="21"/>
          <w:szCs w:val="21"/>
        </w:rPr>
      </w:pPr>
      <w:r>
        <w:rPr>
          <w:rFonts w:hint="eastAsia"/>
          <w:sz w:val="21"/>
          <w:szCs w:val="21"/>
        </w:rPr>
        <w:t xml:space="preserve">1、申购赎回代理券商因多种原因，导致代理申购、赎回业务受到限制、暂停或终止，由此影响对投资人申购赎回服务的风险。  </w:t>
      </w:r>
    </w:p>
    <w:p>
      <w:pPr>
        <w:pStyle w:val="7"/>
        <w:spacing w:before="0" w:beforeAutospacing="0" w:after="0" w:afterAutospacing="0" w:line="360" w:lineRule="auto"/>
        <w:ind w:firstLine="420"/>
        <w:rPr>
          <w:sz w:val="21"/>
          <w:szCs w:val="21"/>
        </w:rPr>
      </w:pPr>
      <w:r>
        <w:rPr>
          <w:rFonts w:hint="eastAsia"/>
          <w:sz w:val="21"/>
          <w:szCs w:val="21"/>
        </w:rPr>
        <w:t xml:space="preserve">2、登记机构可能调整结算制度，如实施货银对付制度，对投资人基金份额、组合证券及资金的结算方式发生变化，制度调整可能给投资人带来风险。同样的风险还可能来自于证券交易所及其他代理机构。  </w:t>
      </w:r>
    </w:p>
    <w:p>
      <w:pPr>
        <w:pStyle w:val="7"/>
        <w:spacing w:before="0" w:beforeAutospacing="0" w:after="0" w:afterAutospacing="0" w:line="360" w:lineRule="auto"/>
        <w:ind w:firstLine="420"/>
        <w:rPr>
          <w:sz w:val="21"/>
          <w:szCs w:val="21"/>
        </w:rPr>
      </w:pPr>
      <w:r>
        <w:rPr>
          <w:rFonts w:hint="eastAsia"/>
          <w:sz w:val="21"/>
          <w:szCs w:val="21"/>
        </w:rPr>
        <w:t xml:space="preserve">3、证券交易所、登记机构、基金托管人及其他代理机构可能违约，导致基金或投资人利益受损的风险。  </w:t>
      </w:r>
    </w:p>
    <w:p>
      <w:pPr>
        <w:pStyle w:val="7"/>
        <w:spacing w:before="0" w:beforeAutospacing="0" w:after="0" w:afterAutospacing="0" w:line="360" w:lineRule="auto"/>
        <w:ind w:firstLine="420"/>
        <w:rPr>
          <w:sz w:val="21"/>
          <w:szCs w:val="21"/>
        </w:rPr>
      </w:pPr>
      <w:r>
        <w:rPr>
          <w:rFonts w:hint="eastAsia"/>
          <w:b/>
          <w:bCs/>
          <w:sz w:val="21"/>
          <w:szCs w:val="21"/>
        </w:rPr>
        <w:t>十三、股指期货交易风险</w:t>
      </w:r>
    </w:p>
    <w:p>
      <w:pPr>
        <w:pStyle w:val="7"/>
        <w:spacing w:before="0" w:beforeAutospacing="0" w:after="0" w:afterAutospacing="0" w:line="360" w:lineRule="auto"/>
        <w:ind w:firstLine="420"/>
        <w:rPr>
          <w:sz w:val="21"/>
          <w:szCs w:val="21"/>
        </w:rPr>
      </w:pPr>
      <w:r>
        <w:rPr>
          <w:rFonts w:hint="eastAsia"/>
          <w:sz w:val="21"/>
          <w:szCs w:val="21"/>
        </w:rPr>
        <w:t xml:space="preserve">1、杠杆风险 </w:t>
      </w:r>
    </w:p>
    <w:p>
      <w:pPr>
        <w:pStyle w:val="7"/>
        <w:spacing w:before="0" w:beforeAutospacing="0" w:after="0" w:afterAutospacing="0" w:line="360" w:lineRule="auto"/>
        <w:ind w:firstLine="420"/>
        <w:rPr>
          <w:sz w:val="21"/>
          <w:szCs w:val="21"/>
        </w:rPr>
      </w:pPr>
      <w:r>
        <w:rPr>
          <w:rFonts w:hint="eastAsia"/>
          <w:sz w:val="21"/>
          <w:szCs w:val="21"/>
        </w:rPr>
        <w:t xml:space="preserve">股指期货交易具有高杠杆特性，因此会放大基础资产所产生的盈利或损失，加大本基金收益的波动性。 </w:t>
      </w:r>
    </w:p>
    <w:p>
      <w:pPr>
        <w:pStyle w:val="7"/>
        <w:spacing w:before="0" w:beforeAutospacing="0" w:after="0" w:afterAutospacing="0" w:line="360" w:lineRule="auto"/>
        <w:ind w:firstLine="420"/>
        <w:rPr>
          <w:sz w:val="21"/>
          <w:szCs w:val="21"/>
        </w:rPr>
      </w:pPr>
      <w:r>
        <w:rPr>
          <w:rFonts w:hint="eastAsia"/>
          <w:sz w:val="21"/>
          <w:szCs w:val="21"/>
        </w:rPr>
        <w:t xml:space="preserve">2、基差风险 </w:t>
      </w:r>
    </w:p>
    <w:p>
      <w:pPr>
        <w:pStyle w:val="7"/>
        <w:spacing w:before="0" w:beforeAutospacing="0" w:after="0" w:afterAutospacing="0" w:line="360" w:lineRule="auto"/>
        <w:ind w:firstLine="420"/>
        <w:rPr>
          <w:sz w:val="21"/>
          <w:szCs w:val="21"/>
        </w:rPr>
      </w:pPr>
      <w:r>
        <w:rPr>
          <w:rFonts w:hint="eastAsia"/>
          <w:sz w:val="21"/>
          <w:szCs w:val="21"/>
        </w:rPr>
        <w:t xml:space="preserve">基差是指股票指数现货价格与股指期货价格之间的差额。若本基金运作中出现基差波动不确定性加大、基差向不利方向变动等情况，则可能对本基金投资产生影响。 </w:t>
      </w:r>
    </w:p>
    <w:p>
      <w:pPr>
        <w:pStyle w:val="7"/>
        <w:spacing w:before="0" w:beforeAutospacing="0" w:after="0" w:afterAutospacing="0" w:line="360" w:lineRule="auto"/>
        <w:ind w:firstLine="420"/>
        <w:rPr>
          <w:sz w:val="21"/>
          <w:szCs w:val="21"/>
        </w:rPr>
      </w:pPr>
      <w:r>
        <w:rPr>
          <w:rFonts w:hint="eastAsia"/>
          <w:sz w:val="21"/>
          <w:szCs w:val="21"/>
        </w:rPr>
        <w:t xml:space="preserve">3、合约展期风险 </w:t>
      </w:r>
    </w:p>
    <w:p>
      <w:pPr>
        <w:pStyle w:val="7"/>
        <w:spacing w:before="0" w:beforeAutospacing="0" w:after="0" w:afterAutospacing="0" w:line="360" w:lineRule="auto"/>
        <w:ind w:firstLine="420"/>
        <w:rPr>
          <w:sz w:val="21"/>
          <w:szCs w:val="21"/>
        </w:rPr>
      </w:pPr>
      <w:r>
        <w:rPr>
          <w:rFonts w:hint="eastAsia"/>
          <w:sz w:val="21"/>
          <w:szCs w:val="21"/>
        </w:rPr>
        <w:t xml:space="preserve">本基金所交易的期货合约主要包括股指期货当月和近月合约。当基金所持有的合约临近交割期限，即需要向较远月份的合约进行展期，展期过程中可能发生价差损失以及交易成本损失，将对投资收益产生影响。 </w:t>
      </w:r>
    </w:p>
    <w:p>
      <w:pPr>
        <w:pStyle w:val="7"/>
        <w:spacing w:before="0" w:beforeAutospacing="0" w:after="0" w:afterAutospacing="0" w:line="360" w:lineRule="auto"/>
        <w:ind w:firstLine="420"/>
        <w:rPr>
          <w:sz w:val="21"/>
          <w:szCs w:val="21"/>
        </w:rPr>
      </w:pPr>
      <w:r>
        <w:rPr>
          <w:rFonts w:hint="eastAsia"/>
          <w:sz w:val="21"/>
          <w:szCs w:val="21"/>
        </w:rPr>
        <w:t xml:space="preserve">4、模型风险 </w:t>
      </w:r>
    </w:p>
    <w:p>
      <w:pPr>
        <w:pStyle w:val="7"/>
        <w:spacing w:before="0" w:beforeAutospacing="0" w:after="0" w:afterAutospacing="0" w:line="360" w:lineRule="auto"/>
        <w:ind w:firstLine="420"/>
        <w:rPr>
          <w:sz w:val="21"/>
          <w:szCs w:val="21"/>
        </w:rPr>
      </w:pPr>
      <w:r>
        <w:rPr>
          <w:rFonts w:hint="eastAsia"/>
          <w:sz w:val="21"/>
          <w:szCs w:val="21"/>
        </w:rPr>
        <w:t xml:space="preserve">股指期货合约属于虚拟投资品种，投资过程中需要通过模型进行风险定价，当投资人员使用了错误模型或者选择了不当的参数，会导致对风险或交易价格的估计错误而造成损失，损害本基金的投资收益。 </w:t>
      </w:r>
    </w:p>
    <w:p>
      <w:pPr>
        <w:pStyle w:val="7"/>
        <w:spacing w:before="0" w:beforeAutospacing="0" w:after="0" w:afterAutospacing="0" w:line="360" w:lineRule="auto"/>
        <w:ind w:firstLine="420"/>
        <w:rPr>
          <w:sz w:val="21"/>
          <w:szCs w:val="21"/>
        </w:rPr>
      </w:pPr>
      <w:r>
        <w:rPr>
          <w:rFonts w:hint="eastAsia"/>
          <w:b/>
          <w:bCs/>
          <w:sz w:val="21"/>
          <w:szCs w:val="21"/>
        </w:rPr>
        <w:t>十四、国债期货交易风险</w:t>
      </w:r>
    </w:p>
    <w:p>
      <w:pPr>
        <w:pStyle w:val="7"/>
        <w:spacing w:before="0" w:beforeAutospacing="0" w:after="0" w:afterAutospacing="0" w:line="360" w:lineRule="auto"/>
        <w:ind w:firstLine="420"/>
        <w:rPr>
          <w:sz w:val="21"/>
          <w:szCs w:val="21"/>
        </w:rPr>
      </w:pPr>
      <w:r>
        <w:rPr>
          <w:rFonts w:hint="eastAsia"/>
          <w:sz w:val="21"/>
          <w:szCs w:val="21"/>
        </w:rPr>
        <w:t xml:space="preserve">本基金的一部分资产将可能参与国债期货交易，国债期货市场的风险类型较为复杂，涉及面广，具有放大性与可预防性等特征。其风险主要有由利率波动原因造成的市场价格风险、由宏观因素和政策因素变化而引起的系统风险、由市场和资金流动性原因引起的流动性风险、由交易制度不完善而引发的制度性风险以及由技术系统故障及操作失误造成的技术系统风险等。 </w:t>
      </w:r>
    </w:p>
    <w:p>
      <w:pPr>
        <w:pStyle w:val="7"/>
        <w:spacing w:before="0" w:beforeAutospacing="0" w:after="0" w:afterAutospacing="0" w:line="360" w:lineRule="auto"/>
        <w:ind w:firstLine="420"/>
        <w:rPr>
          <w:sz w:val="21"/>
          <w:szCs w:val="21"/>
        </w:rPr>
      </w:pPr>
      <w:r>
        <w:rPr>
          <w:rFonts w:hint="eastAsia"/>
          <w:b/>
          <w:bCs/>
          <w:sz w:val="21"/>
          <w:szCs w:val="21"/>
        </w:rPr>
        <w:t>十五、资产支持证券（ABS）的风险</w:t>
      </w:r>
    </w:p>
    <w:p>
      <w:pPr>
        <w:pStyle w:val="7"/>
        <w:spacing w:before="0" w:beforeAutospacing="0" w:after="0" w:afterAutospacing="0" w:line="360" w:lineRule="auto"/>
        <w:ind w:firstLine="420"/>
        <w:rPr>
          <w:sz w:val="21"/>
          <w:szCs w:val="21"/>
        </w:rPr>
      </w:pPr>
      <w:r>
        <w:rPr>
          <w:rFonts w:hint="eastAsia"/>
          <w:sz w:val="21"/>
          <w:szCs w:val="21"/>
        </w:rPr>
        <w:t xml:space="preserve">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pPr>
        <w:pStyle w:val="7"/>
        <w:spacing w:before="0" w:beforeAutospacing="0" w:after="0" w:afterAutospacing="0" w:line="360" w:lineRule="auto"/>
        <w:ind w:firstLine="420"/>
        <w:rPr>
          <w:sz w:val="21"/>
          <w:szCs w:val="21"/>
        </w:rPr>
      </w:pPr>
      <w:r>
        <w:rPr>
          <w:rFonts w:hint="eastAsia"/>
          <w:b/>
          <w:bCs/>
          <w:sz w:val="21"/>
          <w:szCs w:val="21"/>
        </w:rPr>
        <w:t>十六、新股申购风险</w:t>
      </w:r>
    </w:p>
    <w:p>
      <w:pPr>
        <w:pStyle w:val="7"/>
        <w:spacing w:before="0" w:beforeAutospacing="0" w:after="0" w:afterAutospacing="0" w:line="360" w:lineRule="auto"/>
        <w:ind w:firstLine="420"/>
        <w:rPr>
          <w:sz w:val="21"/>
          <w:szCs w:val="21"/>
        </w:rPr>
      </w:pPr>
      <w:r>
        <w:rPr>
          <w:rFonts w:hint="eastAsia"/>
          <w:sz w:val="21"/>
          <w:szCs w:val="21"/>
        </w:rPr>
        <w:t xml:space="preserve">本基金可参与新股申购，新股发行政策、新股发行机制等影响新股发行的因素变动将会影响本基金的风险收益水平；新股配售比例、中签率的不确定性，或其他发售方式的不确定性以及上市后市场表现的不确定性使得本基金的投资收益不确定性有增加的风险。 </w:t>
      </w:r>
    </w:p>
    <w:p>
      <w:pPr>
        <w:pStyle w:val="7"/>
        <w:spacing w:before="0" w:beforeAutospacing="0" w:after="0" w:afterAutospacing="0" w:line="360" w:lineRule="auto"/>
        <w:ind w:firstLine="420"/>
        <w:rPr>
          <w:sz w:val="21"/>
          <w:szCs w:val="21"/>
        </w:rPr>
      </w:pPr>
      <w:r>
        <w:rPr>
          <w:rFonts w:hint="eastAsia"/>
          <w:b/>
          <w:bCs/>
          <w:sz w:val="21"/>
          <w:szCs w:val="21"/>
        </w:rPr>
        <w:t>十七、股票期权风险</w:t>
      </w:r>
    </w:p>
    <w:p>
      <w:pPr>
        <w:pStyle w:val="7"/>
        <w:spacing w:before="0" w:beforeAutospacing="0" w:after="0" w:afterAutospacing="0" w:line="360" w:lineRule="auto"/>
        <w:ind w:firstLine="420"/>
        <w:rPr>
          <w:sz w:val="21"/>
          <w:szCs w:val="21"/>
        </w:rPr>
      </w:pPr>
      <w:r>
        <w:rPr>
          <w:rFonts w:hint="eastAsia"/>
          <w:sz w:val="21"/>
          <w:szCs w:val="21"/>
        </w:rPr>
        <w:t xml:space="preserve">流动性风险：由于股票期权合约众多，交易较为分散，股票期权市场的流动性一般较期货市场要低，尤其是深度实值和虚值的股票期权，成交量稀少，持有这些股票期权的投资者容易遇到无法成交、平仓出局的局面。 </w:t>
      </w:r>
    </w:p>
    <w:p>
      <w:pPr>
        <w:pStyle w:val="7"/>
        <w:spacing w:before="0" w:beforeAutospacing="0" w:after="0" w:afterAutospacing="0" w:line="360" w:lineRule="auto"/>
        <w:ind w:firstLine="420"/>
        <w:rPr>
          <w:sz w:val="21"/>
          <w:szCs w:val="21"/>
        </w:rPr>
      </w:pPr>
      <w:r>
        <w:rPr>
          <w:rFonts w:hint="eastAsia"/>
          <w:sz w:val="21"/>
          <w:szCs w:val="21"/>
        </w:rPr>
        <w:t xml:space="preserve">价格风险：股票期权买方的价格风险即为他所付出的权利金，风险具有确定性。股票期权卖方的价格风险不定，不过其所收取的权利金可以提供相应保护，当发生亏损时，可以抵消部分损失。 </w:t>
      </w:r>
    </w:p>
    <w:p>
      <w:pPr>
        <w:pStyle w:val="7"/>
        <w:spacing w:before="0" w:beforeAutospacing="0" w:after="0" w:afterAutospacing="0" w:line="360" w:lineRule="auto"/>
        <w:ind w:firstLine="420"/>
        <w:rPr>
          <w:sz w:val="21"/>
          <w:szCs w:val="21"/>
        </w:rPr>
      </w:pPr>
      <w:r>
        <w:rPr>
          <w:rFonts w:hint="eastAsia"/>
          <w:sz w:val="21"/>
          <w:szCs w:val="21"/>
        </w:rPr>
        <w:t xml:space="preserve">操作风险：操作风险是指由于管理不善或者制度执行出现问题等原因所导致的风险。股票期权作为一种衍生品，虽然可以用来管理风险，但若使用不当，也会产生巨额损失。 </w:t>
      </w:r>
    </w:p>
    <w:p>
      <w:pPr>
        <w:pStyle w:val="7"/>
        <w:spacing w:before="0" w:beforeAutospacing="0" w:after="0" w:afterAutospacing="0" w:line="360" w:lineRule="auto"/>
        <w:ind w:firstLine="420"/>
        <w:rPr>
          <w:sz w:val="21"/>
          <w:szCs w:val="21"/>
        </w:rPr>
      </w:pPr>
      <w:r>
        <w:rPr>
          <w:rFonts w:hint="eastAsia"/>
          <w:b/>
          <w:bCs/>
          <w:sz w:val="21"/>
          <w:szCs w:val="21"/>
        </w:rPr>
        <w:t>十八、融资交易及转融通证券出借业务的主要风险</w:t>
      </w:r>
    </w:p>
    <w:p>
      <w:pPr>
        <w:pStyle w:val="7"/>
        <w:spacing w:before="0" w:beforeAutospacing="0" w:after="0" w:afterAutospacing="0" w:line="360" w:lineRule="auto"/>
        <w:ind w:firstLine="420"/>
        <w:rPr>
          <w:sz w:val="21"/>
          <w:szCs w:val="21"/>
        </w:rPr>
      </w:pPr>
      <w:r>
        <w:rPr>
          <w:rFonts w:hint="eastAsia"/>
          <w:sz w:val="21"/>
          <w:szCs w:val="21"/>
        </w:rPr>
        <w:t xml:space="preserve">1、流动性风险 </w:t>
      </w:r>
    </w:p>
    <w:p>
      <w:pPr>
        <w:pStyle w:val="7"/>
        <w:spacing w:before="0" w:beforeAutospacing="0" w:after="0" w:afterAutospacing="0" w:line="360" w:lineRule="auto"/>
        <w:ind w:firstLine="420"/>
        <w:rPr>
          <w:sz w:val="21"/>
          <w:szCs w:val="21"/>
        </w:rPr>
      </w:pPr>
      <w:r>
        <w:rPr>
          <w:rFonts w:hint="eastAsia"/>
          <w:sz w:val="21"/>
          <w:szCs w:val="21"/>
        </w:rPr>
        <w:t xml:space="preserve">出借人在出借证券后，除与借入人协商一致可提前了结的情形外，其他情形无法在合约到期前提前收回出借证券。当委托人拟赎回安排与投资人策略安排之间存在期限偏离，或当市场变化导致投资人员策略显著调整与前期合约期限安排不匹配时，可能存在由于出借证券无法及时收回并变现而导致的流动性风险。 </w:t>
      </w:r>
    </w:p>
    <w:p>
      <w:pPr>
        <w:pStyle w:val="7"/>
        <w:spacing w:before="0" w:beforeAutospacing="0" w:after="0" w:afterAutospacing="0" w:line="360" w:lineRule="auto"/>
        <w:ind w:firstLine="420"/>
        <w:rPr>
          <w:sz w:val="21"/>
          <w:szCs w:val="21"/>
        </w:rPr>
      </w:pPr>
      <w:r>
        <w:rPr>
          <w:rFonts w:hint="eastAsia"/>
          <w:sz w:val="21"/>
          <w:szCs w:val="21"/>
        </w:rPr>
        <w:t xml:space="preserve">2、交易对手违约风险 </w:t>
      </w:r>
    </w:p>
    <w:p>
      <w:pPr>
        <w:pStyle w:val="7"/>
        <w:spacing w:before="0" w:beforeAutospacing="0" w:after="0" w:afterAutospacing="0" w:line="360" w:lineRule="auto"/>
        <w:ind w:firstLine="420"/>
        <w:rPr>
          <w:sz w:val="21"/>
          <w:szCs w:val="21"/>
        </w:rPr>
      </w:pPr>
      <w:r>
        <w:rPr>
          <w:rFonts w:hint="eastAsia"/>
          <w:sz w:val="21"/>
          <w:szCs w:val="21"/>
        </w:rPr>
        <w:t xml:space="preserve">存在由于交易对手违约而导致证券到期不能按时或足额归还、相应权益补偿和借券费用不能支付等交易对手违约风险。 </w:t>
      </w:r>
    </w:p>
    <w:p>
      <w:pPr>
        <w:pStyle w:val="7"/>
        <w:spacing w:before="0" w:beforeAutospacing="0" w:after="0" w:afterAutospacing="0" w:line="360" w:lineRule="auto"/>
        <w:ind w:firstLine="420"/>
        <w:rPr>
          <w:sz w:val="21"/>
          <w:szCs w:val="21"/>
        </w:rPr>
      </w:pPr>
      <w:r>
        <w:rPr>
          <w:rFonts w:hint="eastAsia"/>
          <w:sz w:val="21"/>
          <w:szCs w:val="21"/>
        </w:rPr>
        <w:t xml:space="preserve">3、市场风险 </w:t>
      </w:r>
    </w:p>
    <w:p>
      <w:pPr>
        <w:pStyle w:val="7"/>
        <w:spacing w:before="0" w:beforeAutospacing="0" w:after="0" w:afterAutospacing="0" w:line="360" w:lineRule="auto"/>
        <w:ind w:firstLine="420"/>
        <w:rPr>
          <w:sz w:val="21"/>
          <w:szCs w:val="21"/>
        </w:rPr>
      </w:pPr>
      <w:r>
        <w:rPr>
          <w:rFonts w:hint="eastAsia"/>
          <w:sz w:val="21"/>
          <w:szCs w:val="21"/>
        </w:rPr>
        <w:t xml:space="preserve">转融通出借收益按照证券当日收市后市值、融出日（或展期日）费率和实际出借天数计算，因此可能面临证券市值波动、费率变动而导致的市场风险。 </w:t>
      </w:r>
    </w:p>
    <w:p>
      <w:pPr>
        <w:pStyle w:val="7"/>
        <w:spacing w:before="0" w:beforeAutospacing="0" w:after="0" w:afterAutospacing="0" w:line="360" w:lineRule="auto"/>
        <w:ind w:firstLine="420"/>
        <w:rPr>
          <w:sz w:val="21"/>
          <w:szCs w:val="21"/>
        </w:rPr>
      </w:pPr>
      <w:r>
        <w:rPr>
          <w:rFonts w:hint="eastAsia"/>
          <w:sz w:val="21"/>
          <w:szCs w:val="21"/>
        </w:rPr>
        <w:t xml:space="preserve">4、提前或延迟了结风险 </w:t>
      </w:r>
    </w:p>
    <w:p>
      <w:pPr>
        <w:pStyle w:val="7"/>
        <w:spacing w:before="0" w:beforeAutospacing="0" w:after="0" w:afterAutospacing="0" w:line="360" w:lineRule="auto"/>
        <w:ind w:firstLine="420"/>
        <w:rPr>
          <w:sz w:val="21"/>
          <w:szCs w:val="21"/>
        </w:rPr>
      </w:pPr>
      <w:r>
        <w:rPr>
          <w:rFonts w:hint="eastAsia"/>
          <w:sz w:val="21"/>
          <w:szCs w:val="21"/>
        </w:rPr>
        <w:t xml:space="preserve">证券出借期间，如发生标的证券范围调整、标的证券暂停交易、标的证券对应的上市公司被以终止上市为目的进行收购、终止上市等情况，可能面临合约提前了结或延迟了结的风险。 </w:t>
      </w:r>
    </w:p>
    <w:p>
      <w:pPr>
        <w:pStyle w:val="7"/>
        <w:spacing w:before="0" w:beforeAutospacing="0" w:after="0" w:afterAutospacing="0" w:line="360" w:lineRule="auto"/>
        <w:ind w:firstLine="420"/>
        <w:rPr>
          <w:sz w:val="21"/>
          <w:szCs w:val="21"/>
        </w:rPr>
      </w:pPr>
      <w:r>
        <w:rPr>
          <w:rFonts w:hint="eastAsia"/>
          <w:sz w:val="21"/>
          <w:szCs w:val="21"/>
        </w:rPr>
        <w:t xml:space="preserve">5、跟踪误差风险 </w:t>
      </w:r>
    </w:p>
    <w:p>
      <w:pPr>
        <w:pStyle w:val="7"/>
        <w:spacing w:before="0" w:beforeAutospacing="0" w:after="0" w:afterAutospacing="0" w:line="360" w:lineRule="auto"/>
        <w:ind w:firstLine="420"/>
        <w:rPr>
          <w:sz w:val="21"/>
          <w:szCs w:val="21"/>
        </w:rPr>
      </w:pPr>
      <w:r>
        <w:rPr>
          <w:rFonts w:hint="eastAsia"/>
          <w:sz w:val="21"/>
          <w:szCs w:val="21"/>
        </w:rPr>
        <w:t xml:space="preserve">对于指数型组合，当组合发生大额赎回或市场大幅波动时，存在由于转融通出借证券无法提前了结并变现，单一股票占比被动上升而导致组合跟踪误差扩大的风险。 </w:t>
      </w:r>
    </w:p>
    <w:p>
      <w:pPr>
        <w:pStyle w:val="7"/>
        <w:spacing w:before="0" w:beforeAutospacing="0" w:after="0" w:afterAutospacing="0" w:line="360" w:lineRule="auto"/>
        <w:ind w:firstLine="420"/>
        <w:rPr>
          <w:sz w:val="21"/>
          <w:szCs w:val="21"/>
        </w:rPr>
      </w:pPr>
      <w:r>
        <w:rPr>
          <w:rFonts w:hint="eastAsia"/>
          <w:sz w:val="21"/>
          <w:szCs w:val="21"/>
        </w:rPr>
        <w:t xml:space="preserve">6、杠杆效应放大风险 </w:t>
      </w:r>
    </w:p>
    <w:p>
      <w:pPr>
        <w:pStyle w:val="7"/>
        <w:spacing w:before="0" w:beforeAutospacing="0" w:after="0" w:afterAutospacing="0" w:line="360" w:lineRule="auto"/>
        <w:ind w:firstLine="420"/>
        <w:rPr>
          <w:sz w:val="21"/>
          <w:szCs w:val="21"/>
        </w:rPr>
      </w:pPr>
      <w:r>
        <w:rPr>
          <w:rFonts w:hint="eastAsia"/>
          <w:sz w:val="21"/>
          <w:szCs w:val="21"/>
        </w:rPr>
        <w:t xml:space="preserve">投资者通过融资及转融通证券出借业务可以扩大交易额度,利用较少资本来获取较大利润,这必然也放大了风险。投资者将股票作为担保品进行融资时,既需要承担原有的股票价格变化带来的风险,又得承担新投资股票带来的风险,还得支付相应的利息或费用,如判断失误或操作不当,会加大亏损。 </w:t>
      </w:r>
    </w:p>
    <w:p>
      <w:pPr>
        <w:pStyle w:val="7"/>
        <w:spacing w:before="0" w:beforeAutospacing="0" w:after="0" w:afterAutospacing="0" w:line="360" w:lineRule="auto"/>
        <w:ind w:firstLine="420"/>
        <w:rPr>
          <w:sz w:val="21"/>
          <w:szCs w:val="21"/>
        </w:rPr>
      </w:pPr>
      <w:r>
        <w:rPr>
          <w:rFonts w:hint="eastAsia"/>
          <w:sz w:val="21"/>
          <w:szCs w:val="21"/>
        </w:rPr>
        <w:t xml:space="preserve">7、担保能力及限制交易风险 </w:t>
      </w:r>
    </w:p>
    <w:p>
      <w:pPr>
        <w:pStyle w:val="7"/>
        <w:spacing w:before="0" w:beforeAutospacing="0" w:after="0" w:afterAutospacing="0" w:line="360" w:lineRule="auto"/>
        <w:ind w:firstLine="420"/>
        <w:rPr>
          <w:sz w:val="21"/>
          <w:szCs w:val="21"/>
        </w:rPr>
      </w:pPr>
      <w:r>
        <w:rPr>
          <w:rFonts w:hint="eastAsia"/>
          <w:sz w:val="21"/>
          <w:szCs w:val="21"/>
        </w:rPr>
        <w:t xml:space="preserve">单只或全部证券被暂停融资及转融通证券出借业务、投资者账户被暂停或取消融资及转融通证券出借业务资格等,这些影响可能给投资者造成经济损失。此外，投资者也可能面临由于自身维持担保比例低于融资及转融通证券出借业务合同约定的担保要求，且未能及时补充担保物,导致信用账户交易受到限制,从而造成经济损失。 </w:t>
      </w:r>
    </w:p>
    <w:p>
      <w:pPr>
        <w:pStyle w:val="7"/>
        <w:spacing w:before="0" w:beforeAutospacing="0" w:after="0" w:afterAutospacing="0" w:line="360" w:lineRule="auto"/>
        <w:ind w:firstLine="420"/>
        <w:rPr>
          <w:sz w:val="21"/>
          <w:szCs w:val="21"/>
        </w:rPr>
      </w:pPr>
      <w:r>
        <w:rPr>
          <w:rFonts w:hint="eastAsia"/>
          <w:sz w:val="21"/>
          <w:szCs w:val="21"/>
        </w:rPr>
        <w:t xml:space="preserve">8、强制平仓风险 </w:t>
      </w:r>
    </w:p>
    <w:p>
      <w:pPr>
        <w:pStyle w:val="7"/>
        <w:spacing w:before="0" w:beforeAutospacing="0" w:after="0" w:afterAutospacing="0" w:line="360" w:lineRule="auto"/>
        <w:ind w:firstLine="420"/>
        <w:rPr>
          <w:sz w:val="21"/>
          <w:szCs w:val="21"/>
        </w:rPr>
      </w:pPr>
      <w:r>
        <w:rPr>
          <w:rFonts w:hint="eastAsia"/>
          <w:sz w:val="21"/>
          <w:szCs w:val="21"/>
        </w:rPr>
        <w:t xml:space="preserve">投资者在从事融资交易及转融通证券出借业务期间,如果不能按照约定的期限清偿债务,或上市证券价格波动,导致日终清算后维持担保比例低于警戒线,且不能按照约定追加担保物时,将面临担保物被证券公司强制平仓的风险,由此可能给投资者造成经济损失。 </w:t>
      </w:r>
    </w:p>
    <w:p>
      <w:pPr>
        <w:pStyle w:val="7"/>
        <w:spacing w:before="0" w:beforeAutospacing="0" w:after="0" w:afterAutospacing="0" w:line="360" w:lineRule="auto"/>
        <w:ind w:firstLine="420"/>
        <w:rPr>
          <w:sz w:val="21"/>
          <w:szCs w:val="21"/>
        </w:rPr>
      </w:pPr>
      <w:r>
        <w:rPr>
          <w:rFonts w:hint="eastAsia"/>
          <w:sz w:val="21"/>
          <w:szCs w:val="21"/>
        </w:rPr>
        <w:t xml:space="preserve">9、操作风险 </w:t>
      </w:r>
    </w:p>
    <w:p>
      <w:pPr>
        <w:pStyle w:val="7"/>
        <w:spacing w:before="0" w:beforeAutospacing="0" w:after="0" w:afterAutospacing="0" w:line="360" w:lineRule="auto"/>
        <w:ind w:firstLine="420"/>
        <w:rPr>
          <w:sz w:val="21"/>
          <w:szCs w:val="21"/>
        </w:rPr>
      </w:pPr>
      <w:r>
        <w:rPr>
          <w:rFonts w:hint="eastAsia"/>
          <w:sz w:val="21"/>
          <w:szCs w:val="21"/>
        </w:rPr>
        <w:t xml:space="preserve">融资交易和转融通业务具体实施过程中，在投资决策、交易等环节，可能面临由于操作人员操作失误、系统不完善等原因引发的操作风险。 </w:t>
      </w:r>
    </w:p>
    <w:p>
      <w:pPr>
        <w:pStyle w:val="7"/>
        <w:spacing w:before="0" w:beforeAutospacing="0" w:after="0" w:afterAutospacing="0" w:line="360" w:lineRule="auto"/>
        <w:ind w:firstLine="420"/>
        <w:rPr>
          <w:sz w:val="21"/>
          <w:szCs w:val="21"/>
        </w:rPr>
      </w:pPr>
      <w:r>
        <w:rPr>
          <w:rFonts w:hint="eastAsia"/>
          <w:sz w:val="21"/>
          <w:szCs w:val="21"/>
        </w:rPr>
        <w:t xml:space="preserve">10、法律合规风险 </w:t>
      </w:r>
    </w:p>
    <w:p>
      <w:pPr>
        <w:pStyle w:val="7"/>
        <w:spacing w:before="0" w:beforeAutospacing="0" w:after="0" w:afterAutospacing="0" w:line="360" w:lineRule="auto"/>
        <w:ind w:firstLine="420"/>
        <w:rPr>
          <w:sz w:val="21"/>
          <w:szCs w:val="21"/>
        </w:rPr>
      </w:pPr>
      <w:r>
        <w:rPr>
          <w:rFonts w:hint="eastAsia"/>
          <w:sz w:val="21"/>
          <w:szCs w:val="21"/>
        </w:rPr>
        <w:t xml:space="preserve">在融资交易和转融通证券出借过程中，存在由于标的证券价格波动导致组合合规指标超标且无法进行调整的风险，以及在业务开展过程中发生操纵价格、利益输送等法律合规风险。 </w:t>
      </w:r>
    </w:p>
    <w:p>
      <w:pPr>
        <w:pStyle w:val="7"/>
        <w:spacing w:before="0" w:beforeAutospacing="0" w:after="0" w:afterAutospacing="0" w:line="360" w:lineRule="auto"/>
        <w:ind w:firstLine="420"/>
        <w:rPr>
          <w:sz w:val="21"/>
          <w:szCs w:val="21"/>
        </w:rPr>
      </w:pPr>
      <w:r>
        <w:rPr>
          <w:rFonts w:hint="eastAsia"/>
          <w:b/>
          <w:bCs/>
          <w:sz w:val="21"/>
          <w:szCs w:val="21"/>
        </w:rPr>
        <w:t>十九、投资于存托凭证的风险</w:t>
      </w:r>
    </w:p>
    <w:p>
      <w:pPr>
        <w:pStyle w:val="7"/>
        <w:spacing w:before="0" w:beforeAutospacing="0" w:after="0" w:afterAutospacing="0" w:line="360" w:lineRule="auto"/>
        <w:ind w:firstLine="420"/>
        <w:rPr>
          <w:sz w:val="21"/>
          <w:szCs w:val="21"/>
        </w:rPr>
      </w:pPr>
      <w:r>
        <w:rPr>
          <w:rFonts w:hint="eastAsia"/>
          <w:sz w:val="21"/>
          <w:szCs w:val="21"/>
        </w:rPr>
        <w:t xml:space="preserve">本基金的投资范围包括存托凭证，除与其他仅投资于境内市场股票的基金所面临的共同风险外，本基金还将面临存托凭证价格大幅波动甚至出现较大亏损的风险，以及与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pPr>
        <w:pStyle w:val="7"/>
        <w:spacing w:before="0" w:beforeAutospacing="0" w:after="0" w:afterAutospacing="0" w:line="360" w:lineRule="auto"/>
        <w:ind w:firstLine="420"/>
        <w:rPr>
          <w:sz w:val="21"/>
          <w:szCs w:val="21"/>
        </w:rPr>
      </w:pPr>
      <w:r>
        <w:rPr>
          <w:rFonts w:hint="eastAsia"/>
          <w:b/>
          <w:bCs/>
          <w:sz w:val="21"/>
          <w:szCs w:val="21"/>
        </w:rPr>
        <w:t>二十、指数编制机构停止服务的风险</w:t>
      </w:r>
    </w:p>
    <w:p>
      <w:pPr>
        <w:pStyle w:val="7"/>
        <w:spacing w:before="0" w:beforeAutospacing="0" w:after="0" w:afterAutospacing="0" w:line="360" w:lineRule="auto"/>
        <w:ind w:firstLine="420"/>
        <w:rPr>
          <w:sz w:val="21"/>
          <w:szCs w:val="21"/>
        </w:rPr>
      </w:pPr>
      <w:r>
        <w:rPr>
          <w:rFonts w:hint="eastAsia"/>
          <w:sz w:val="21"/>
          <w:szCs w:val="21"/>
        </w:rPr>
        <w:t xml:space="preserve">本基金的标的指数由指数编制机构发布并管理和维护，未来指数编制机构可能由于各种原因停止对指数的管理和维护，本基金将根据基金合同的约定自该情形发生之日起十个工作日内向中国证监会报告并提出解决方案，如转换运作方式、与其他基金合并或者终止基金合同等，并在6个月内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自指数编制机构停止标的指数的编制及发布至解决方案确定期间，基金管理人应按照指数编制机构提供的最近一个交易日的指数信息遵循基金份额持有人利益优先原则维持基金投资运作，该期间由于标的指数不再更新等原因可能导致指数表现与相关市场表现存在差异，影响投资收益。 </w:t>
      </w:r>
    </w:p>
    <w:p>
      <w:pPr>
        <w:pStyle w:val="7"/>
        <w:spacing w:before="0" w:beforeAutospacing="0" w:after="0" w:afterAutospacing="0" w:line="360" w:lineRule="auto"/>
        <w:ind w:firstLine="420"/>
        <w:rPr>
          <w:sz w:val="21"/>
          <w:szCs w:val="21"/>
        </w:rPr>
      </w:pPr>
      <w:r>
        <w:rPr>
          <w:rFonts w:hint="eastAsia"/>
          <w:b/>
          <w:bCs/>
          <w:sz w:val="21"/>
          <w:szCs w:val="21"/>
        </w:rPr>
        <w:t>二十一、跟踪误差控制未达约定目标的风险</w:t>
      </w:r>
    </w:p>
    <w:p>
      <w:pPr>
        <w:pStyle w:val="7"/>
        <w:spacing w:before="0" w:beforeAutospacing="0" w:after="0" w:afterAutospacing="0" w:line="360" w:lineRule="auto"/>
        <w:ind w:firstLine="420"/>
        <w:rPr>
          <w:sz w:val="21"/>
          <w:szCs w:val="21"/>
        </w:rPr>
      </w:pPr>
      <w:r>
        <w:rPr>
          <w:rFonts w:hint="eastAsia"/>
          <w:sz w:val="21"/>
          <w:szCs w:val="21"/>
        </w:rPr>
        <w:t xml:space="preserve">在正常情况下，本基金力争控制投资组合的净值增长率与业绩比较基准之间的预期日均跟踪偏离度的绝对值小于0.2%，预期年化跟踪误差不超过2%，但因标的指数编制规则调整或其他因素可能导致跟踪误差超过上述范围，本基金净值表现与指数价格走势可能发生较大偏离。 </w:t>
      </w:r>
    </w:p>
    <w:p>
      <w:pPr>
        <w:pStyle w:val="7"/>
        <w:spacing w:before="0" w:beforeAutospacing="0" w:after="0" w:afterAutospacing="0" w:line="360" w:lineRule="auto"/>
        <w:ind w:firstLine="420"/>
        <w:rPr>
          <w:sz w:val="21"/>
          <w:szCs w:val="21"/>
        </w:rPr>
      </w:pPr>
      <w:r>
        <w:rPr>
          <w:rFonts w:hint="eastAsia"/>
          <w:b/>
          <w:bCs/>
          <w:sz w:val="21"/>
          <w:szCs w:val="21"/>
        </w:rPr>
        <w:t>二十二、成份股停牌的风险</w:t>
      </w:r>
    </w:p>
    <w:p>
      <w:pPr>
        <w:pStyle w:val="7"/>
        <w:spacing w:before="0" w:beforeAutospacing="0" w:after="0" w:afterAutospacing="0" w:line="360" w:lineRule="auto"/>
        <w:ind w:firstLine="420"/>
        <w:rPr>
          <w:sz w:val="21"/>
          <w:szCs w:val="21"/>
        </w:rPr>
      </w:pPr>
      <w:r>
        <w:rPr>
          <w:rFonts w:hint="eastAsia"/>
          <w:sz w:val="21"/>
          <w:szCs w:val="21"/>
        </w:rPr>
        <w:t xml:space="preserve">标的指数成份股可能因各种原因临时或长期停牌，发生成份股停牌时可能面临如下风险： </w:t>
      </w:r>
    </w:p>
    <w:p>
      <w:pPr>
        <w:pStyle w:val="7"/>
        <w:spacing w:before="0" w:beforeAutospacing="0" w:after="0" w:afterAutospacing="0" w:line="360" w:lineRule="auto"/>
        <w:ind w:firstLine="420"/>
        <w:rPr>
          <w:sz w:val="21"/>
          <w:szCs w:val="21"/>
        </w:rPr>
      </w:pPr>
      <w:r>
        <w:rPr>
          <w:rFonts w:hint="eastAsia"/>
          <w:sz w:val="21"/>
          <w:szCs w:val="21"/>
        </w:rPr>
        <w:t xml:space="preserve">1、基金可能因无法及时调整投资组合而导致跟踪偏离度和跟踪误差扩大。 </w:t>
      </w:r>
    </w:p>
    <w:p>
      <w:pPr>
        <w:pStyle w:val="7"/>
        <w:spacing w:before="0" w:beforeAutospacing="0" w:after="0" w:afterAutospacing="0" w:line="360" w:lineRule="auto"/>
        <w:ind w:firstLine="420"/>
        <w:rPr>
          <w:sz w:val="21"/>
          <w:szCs w:val="21"/>
        </w:rPr>
      </w:pPr>
      <w:r>
        <w:rPr>
          <w:rFonts w:hint="eastAsia"/>
          <w:sz w:val="21"/>
          <w:szCs w:val="21"/>
        </w:rPr>
        <w:t xml:space="preserve">2、停牌成份股可能因其权重占比、市场复牌预期、现金替代标识等因素影响本基金二级市场价格的折溢价水平。 </w:t>
      </w:r>
    </w:p>
    <w:p>
      <w:pPr>
        <w:pStyle w:val="7"/>
        <w:spacing w:before="0" w:beforeAutospacing="0" w:after="0" w:afterAutospacing="0" w:line="360" w:lineRule="auto"/>
        <w:ind w:firstLine="420"/>
        <w:rPr>
          <w:sz w:val="21"/>
          <w:szCs w:val="21"/>
        </w:rPr>
      </w:pPr>
      <w:r>
        <w:rPr>
          <w:rFonts w:hint="eastAsia"/>
          <w:sz w:val="21"/>
          <w:szCs w:val="21"/>
        </w:rPr>
        <w:t xml:space="preserve">3、若成份股停牌时间较长，在约定时间内仍未能及时买入或卖出的，则该部分款项将按照约定方式进行结算（具体见招募说明书“基金份额的申购与赎回”之“申购赎回清单的内容与格式”相关约定），由此可能影响投资者的投资损益并使基金产生跟踪偏离度和跟踪误差。 </w:t>
      </w:r>
    </w:p>
    <w:p>
      <w:pPr>
        <w:pStyle w:val="7"/>
        <w:spacing w:before="0" w:beforeAutospacing="0" w:after="0" w:afterAutospacing="0" w:line="360" w:lineRule="auto"/>
        <w:ind w:firstLine="420"/>
        <w:rPr>
          <w:sz w:val="21"/>
          <w:szCs w:val="21"/>
        </w:rPr>
      </w:pPr>
      <w:r>
        <w:rPr>
          <w:rFonts w:hint="eastAsia"/>
          <w:sz w:val="21"/>
          <w:szCs w:val="21"/>
        </w:rPr>
        <w:t xml:space="preserve">4、在极端情况下，标的指数成份股可能大面积停牌，基金可能无法及时卖出成份股以获取足额的符合要求的赎回对价，由此基金管理人可能在申购赎回清单中设置较低的赎回份额上限或者采取暂停赎回的措施，投资者将面临无法赎回全部或部分基金份额的风险。 </w:t>
      </w:r>
    </w:p>
    <w:p>
      <w:pPr>
        <w:pStyle w:val="7"/>
        <w:spacing w:before="0" w:beforeAutospacing="0" w:after="0" w:afterAutospacing="0" w:line="360" w:lineRule="auto"/>
        <w:ind w:firstLine="420"/>
        <w:rPr>
          <w:sz w:val="21"/>
          <w:szCs w:val="21"/>
        </w:rPr>
      </w:pPr>
      <w:r>
        <w:rPr>
          <w:rFonts w:hint="eastAsia"/>
          <w:b/>
          <w:bCs/>
          <w:sz w:val="21"/>
          <w:szCs w:val="21"/>
        </w:rPr>
        <w:t>二十三、成份股退市的风险</w:t>
      </w:r>
    </w:p>
    <w:p>
      <w:pPr>
        <w:pStyle w:val="7"/>
        <w:spacing w:before="0" w:beforeAutospacing="0" w:after="0" w:afterAutospacing="0" w:line="360" w:lineRule="auto"/>
        <w:ind w:firstLine="420"/>
        <w:rPr>
          <w:sz w:val="21"/>
          <w:szCs w:val="21"/>
        </w:rPr>
      </w:pPr>
      <w:r>
        <w:rPr>
          <w:rFonts w:hint="eastAsia"/>
          <w:sz w:val="21"/>
          <w:szCs w:val="21"/>
        </w:rPr>
        <w:t xml:space="preserve">标的指数成份股发生明显负面事件面临退市风险，且指数编制机构暂未作出调整的，基金管理人将按照基金份额持有人利益优先的原则，综合考虑成份股的退市风险、其在指数中的权重以及对跟踪误差的影响，据此制定成份股替代策略，并对投资组合进行相应调整。 </w:t>
      </w:r>
    </w:p>
    <w:p>
      <w:pPr>
        <w:pStyle w:val="7"/>
        <w:spacing w:before="0" w:beforeAutospacing="0" w:after="0" w:afterAutospacing="0" w:line="360" w:lineRule="auto"/>
        <w:ind w:firstLine="420"/>
        <w:rPr>
          <w:sz w:val="21"/>
          <w:szCs w:val="21"/>
        </w:rPr>
      </w:pPr>
      <w:r>
        <w:rPr>
          <w:rFonts w:hint="eastAsia"/>
          <w:b/>
          <w:bCs/>
          <w:sz w:val="21"/>
          <w:szCs w:val="21"/>
        </w:rPr>
        <w:t>二十四、管理风险与操作风险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等相关当事人的业务发展状况、人员配备、管理水平与内部控制等对基金收益水平存在影响。因业务扩张过快、行业内过度竞争、对主要业务人员过度依赖等可能会产生影响投资人利益的风险。  </w:t>
      </w:r>
    </w:p>
    <w:p>
      <w:pPr>
        <w:pStyle w:val="7"/>
        <w:spacing w:before="0" w:beforeAutospacing="0" w:after="0" w:afterAutospacing="0" w:line="360" w:lineRule="auto"/>
        <w:ind w:firstLine="420"/>
        <w:rPr>
          <w:sz w:val="21"/>
          <w:szCs w:val="21"/>
        </w:rPr>
      </w:pPr>
      <w:r>
        <w:rPr>
          <w:rFonts w:hint="eastAsia"/>
          <w:sz w:val="21"/>
          <w:szCs w:val="21"/>
        </w:rPr>
        <w:t xml:space="preserve">相关当事人在业务各环节操作过程中，可能因内部控制存在缺陷或者人为因素造成操作失误或违反操作规程等引致风险，例如，申购、赎回清单编制错误、越权违规交易、欺诈行为及交易错误等风险。  </w:t>
      </w:r>
    </w:p>
    <w:p>
      <w:pPr>
        <w:pStyle w:val="7"/>
        <w:spacing w:before="0" w:beforeAutospacing="0" w:after="0" w:afterAutospacing="0" w:line="360" w:lineRule="auto"/>
        <w:ind w:firstLine="420"/>
        <w:rPr>
          <w:sz w:val="21"/>
          <w:szCs w:val="21"/>
        </w:rPr>
      </w:pPr>
      <w:r>
        <w:rPr>
          <w:rFonts w:hint="eastAsia"/>
          <w:b/>
          <w:bCs/>
          <w:sz w:val="21"/>
          <w:szCs w:val="21"/>
        </w:rPr>
        <w:t>二十五、技术风险</w:t>
      </w:r>
    </w:p>
    <w:p>
      <w:pPr>
        <w:pStyle w:val="7"/>
        <w:spacing w:before="0" w:beforeAutospacing="0" w:after="0" w:afterAutospacing="0" w:line="360" w:lineRule="auto"/>
        <w:ind w:firstLine="420"/>
        <w:rPr>
          <w:sz w:val="21"/>
          <w:szCs w:val="21"/>
        </w:rPr>
      </w:pPr>
      <w:r>
        <w:rPr>
          <w:rFonts w:hint="eastAsia"/>
          <w:sz w:val="21"/>
          <w:szCs w:val="21"/>
        </w:rPr>
        <w:t xml:space="preserve">在本基金的投资、交易、服务与后台运作等业务过程中，可能因为技术系统的故障或差错导致投资人的利益受到影响。这种技术风险可能来自基金管理人、基金托管人、证券交易所、登记机构及销售代理机构等。 </w:t>
      </w:r>
    </w:p>
    <w:p>
      <w:pPr>
        <w:pStyle w:val="7"/>
        <w:spacing w:before="0" w:beforeAutospacing="0" w:after="0" w:afterAutospacing="0" w:line="360" w:lineRule="auto"/>
        <w:ind w:firstLine="420"/>
        <w:rPr>
          <w:sz w:val="21"/>
          <w:szCs w:val="21"/>
        </w:rPr>
      </w:pPr>
      <w:r>
        <w:rPr>
          <w:rFonts w:hint="eastAsia"/>
          <w:b/>
          <w:bCs/>
          <w:sz w:val="21"/>
          <w:szCs w:val="21"/>
        </w:rPr>
        <w:t>二十六、不可抗力 </w:t>
      </w:r>
    </w:p>
    <w:p>
      <w:pPr>
        <w:pStyle w:val="7"/>
        <w:spacing w:before="0" w:beforeAutospacing="0" w:after="0" w:afterAutospacing="0" w:line="360" w:lineRule="auto"/>
        <w:ind w:firstLine="420"/>
        <w:rPr>
          <w:sz w:val="21"/>
          <w:szCs w:val="21"/>
        </w:rPr>
      </w:pPr>
      <w:r>
        <w:rPr>
          <w:rFonts w:hint="eastAsia"/>
          <w:sz w:val="21"/>
          <w:szCs w:val="21"/>
        </w:rPr>
        <w:t>战争、自然灾害等不可抗力可能导致基金资产有遭受损失的风险。基金管理人、基金托管人、证券交易所、登记机构和销售代理机构等可能因不可抗力无法正常工作，从而影响基</w:t>
      </w:r>
      <w:bookmarkStart w:id="160" w:name="chapter_level1_22_68_section_1_end"/>
      <w:bookmarkEnd w:id="160"/>
      <w:r>
        <w:rPr>
          <w:rFonts w:hint="eastAsia"/>
          <w:sz w:val="21"/>
          <w:szCs w:val="21"/>
        </w:rPr>
        <w:t xml:space="preserve">金的各项业务按正常时限完成。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61" w:name="chapter_level1_23_69"/>
      <w:bookmarkStart w:id="162" w:name="_Toc214976557"/>
      <w:r>
        <w:rPr>
          <w:rFonts w:hint="eastAsia" w:ascii="宋体" w:hAnsi="宋体" w:eastAsia="宋体"/>
          <w:sz w:val="30"/>
        </w:rPr>
        <w:t>第十九部分  基金合同的变更、终止与基金财产的清算</w:t>
      </w:r>
      <w:bookmarkEnd w:id="161"/>
      <w:bookmarkEnd w:id="162"/>
    </w:p>
    <w:p>
      <w:pPr>
        <w:pStyle w:val="7"/>
        <w:spacing w:before="0" w:beforeAutospacing="0" w:after="0" w:afterAutospacing="0" w:line="360" w:lineRule="auto"/>
        <w:ind w:firstLine="420"/>
        <w:rPr>
          <w:sz w:val="21"/>
          <w:szCs w:val="21"/>
        </w:rPr>
      </w:pPr>
      <w:bookmarkStart w:id="163" w:name="chapter_level1_23_69_section_1"/>
      <w:bookmarkEnd w:id="163"/>
      <w:r>
        <w:rPr>
          <w:rStyle w:val="11"/>
          <w:rFonts w:hint="eastAsia"/>
          <w:sz w:val="21"/>
          <w:szCs w:val="21"/>
        </w:rPr>
        <w:t>一、《基金合同》的变更</w:t>
      </w:r>
    </w:p>
    <w:p>
      <w:pPr>
        <w:pStyle w:val="7"/>
        <w:spacing w:before="0" w:beforeAutospacing="0" w:after="0" w:afterAutospacing="0" w:line="360" w:lineRule="auto"/>
        <w:ind w:firstLine="420"/>
        <w:rPr>
          <w:sz w:val="21"/>
          <w:szCs w:val="21"/>
        </w:rPr>
      </w:pPr>
      <w:r>
        <w:rPr>
          <w:rFonts w:hint="eastAsia"/>
          <w:sz w:val="21"/>
          <w:szCs w:val="21"/>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并履行适当程序后变更并公告。</w:t>
      </w:r>
    </w:p>
    <w:p>
      <w:pPr>
        <w:pStyle w:val="7"/>
        <w:spacing w:before="0" w:beforeAutospacing="0" w:after="0" w:afterAutospacing="0" w:line="360" w:lineRule="auto"/>
        <w:ind w:firstLine="420"/>
        <w:rPr>
          <w:sz w:val="21"/>
          <w:szCs w:val="21"/>
        </w:rPr>
      </w:pPr>
      <w:r>
        <w:rPr>
          <w:rFonts w:hint="eastAsia"/>
          <w:sz w:val="21"/>
          <w:szCs w:val="21"/>
        </w:rPr>
        <w:t>2、关于《基金合同》变更的基金份额持有人大会决议自生效后方可执行，自决议生效后按规定在规定媒介公告。</w:t>
      </w:r>
    </w:p>
    <w:p>
      <w:pPr>
        <w:pStyle w:val="7"/>
        <w:spacing w:before="0" w:beforeAutospacing="0" w:after="0" w:afterAutospacing="0" w:line="360" w:lineRule="auto"/>
        <w:ind w:firstLine="420"/>
        <w:rPr>
          <w:sz w:val="21"/>
          <w:szCs w:val="21"/>
        </w:rPr>
      </w:pPr>
      <w:r>
        <w:rPr>
          <w:rStyle w:val="11"/>
          <w:rFonts w:hint="eastAsia"/>
          <w:sz w:val="21"/>
          <w:szCs w:val="21"/>
        </w:rPr>
        <w:t>二、《基金合同》的终止事由</w:t>
      </w:r>
    </w:p>
    <w:p>
      <w:pPr>
        <w:pStyle w:val="7"/>
        <w:spacing w:before="0" w:beforeAutospacing="0" w:after="0" w:afterAutospacing="0" w:line="360" w:lineRule="auto"/>
        <w:ind w:firstLine="420"/>
        <w:rPr>
          <w:sz w:val="21"/>
          <w:szCs w:val="21"/>
        </w:rPr>
      </w:pPr>
      <w:r>
        <w:rPr>
          <w:rFonts w:hint="eastAsia"/>
          <w:sz w:val="21"/>
          <w:szCs w:val="21"/>
        </w:rPr>
        <w:t>有下列情形之一的，经履行相关程序后，《基金合同》应当终止：</w:t>
      </w:r>
    </w:p>
    <w:p>
      <w:pPr>
        <w:pStyle w:val="7"/>
        <w:spacing w:before="0" w:beforeAutospacing="0" w:after="0" w:afterAutospacing="0" w:line="360" w:lineRule="auto"/>
        <w:ind w:firstLine="420"/>
        <w:rPr>
          <w:sz w:val="21"/>
          <w:szCs w:val="21"/>
        </w:rPr>
      </w:pPr>
      <w:r>
        <w:rPr>
          <w:rFonts w:hint="eastAsia"/>
          <w:sz w:val="21"/>
          <w:szCs w:val="21"/>
        </w:rPr>
        <w:t>1、基金份额持有人大会决定终止的；</w:t>
      </w:r>
    </w:p>
    <w:p>
      <w:pPr>
        <w:pStyle w:val="7"/>
        <w:spacing w:before="0" w:beforeAutospacing="0" w:after="0" w:afterAutospacing="0" w:line="360" w:lineRule="auto"/>
        <w:ind w:firstLine="420"/>
        <w:rPr>
          <w:sz w:val="21"/>
          <w:szCs w:val="21"/>
        </w:rPr>
      </w:pPr>
      <w:r>
        <w:rPr>
          <w:rFonts w:hint="eastAsia"/>
          <w:sz w:val="21"/>
          <w:szCs w:val="21"/>
        </w:rPr>
        <w:t>2、基金管理人、基金托管人职责终止，在6个月内没有新基金管理人、新基金托管人承接的；</w:t>
      </w:r>
    </w:p>
    <w:p>
      <w:pPr>
        <w:pStyle w:val="7"/>
        <w:spacing w:before="0" w:beforeAutospacing="0" w:after="0" w:afterAutospacing="0" w:line="360" w:lineRule="auto"/>
        <w:ind w:firstLine="420"/>
        <w:rPr>
          <w:sz w:val="21"/>
          <w:szCs w:val="21"/>
        </w:rPr>
      </w:pPr>
      <w:r>
        <w:rPr>
          <w:rFonts w:hint="eastAsia"/>
          <w:sz w:val="21"/>
          <w:szCs w:val="21"/>
        </w:rPr>
        <w:t>3、《基金合同》约定的其他情形；</w:t>
      </w:r>
    </w:p>
    <w:p>
      <w:pPr>
        <w:pStyle w:val="7"/>
        <w:spacing w:before="0" w:beforeAutospacing="0" w:after="0" w:afterAutospacing="0" w:line="360" w:lineRule="auto"/>
        <w:ind w:firstLine="420"/>
        <w:rPr>
          <w:sz w:val="21"/>
          <w:szCs w:val="21"/>
        </w:rPr>
      </w:pPr>
      <w:r>
        <w:rPr>
          <w:rFonts w:hint="eastAsia"/>
          <w:sz w:val="21"/>
          <w:szCs w:val="21"/>
        </w:rPr>
        <w:t>4、相关法律法规和中国证监会规定的其他情况。</w:t>
      </w:r>
    </w:p>
    <w:p>
      <w:pPr>
        <w:pStyle w:val="7"/>
        <w:spacing w:before="0" w:beforeAutospacing="0" w:after="0" w:afterAutospacing="0" w:line="360" w:lineRule="auto"/>
        <w:ind w:firstLine="420"/>
        <w:rPr>
          <w:sz w:val="21"/>
          <w:szCs w:val="21"/>
        </w:rPr>
      </w:pPr>
      <w:r>
        <w:rPr>
          <w:rStyle w:val="11"/>
          <w:rFonts w:hint="eastAsia"/>
          <w:sz w:val="21"/>
          <w:szCs w:val="21"/>
        </w:rPr>
        <w:t>三、基金财产的清算</w:t>
      </w:r>
    </w:p>
    <w:p>
      <w:pPr>
        <w:pStyle w:val="7"/>
        <w:spacing w:before="0" w:beforeAutospacing="0" w:after="0" w:afterAutospacing="0" w:line="360" w:lineRule="auto"/>
        <w:ind w:firstLine="420"/>
        <w:rPr>
          <w:sz w:val="21"/>
          <w:szCs w:val="21"/>
        </w:rPr>
      </w:pPr>
      <w:r>
        <w:rPr>
          <w:rFonts w:hint="eastAsia"/>
          <w:sz w:val="21"/>
          <w:szCs w:val="21"/>
        </w:rPr>
        <w:t>1、基金财产清算小组：自出现《基金合同》终止事由之日起30个工作日内成立基金财产清算小组，基金管理人组织基金财产清算小组并在中国证监会的监督下进行基金清算。</w:t>
      </w:r>
    </w:p>
    <w:p>
      <w:pPr>
        <w:pStyle w:val="7"/>
        <w:spacing w:before="0" w:beforeAutospacing="0" w:after="0" w:afterAutospacing="0" w:line="360" w:lineRule="auto"/>
        <w:ind w:firstLine="420"/>
        <w:rPr>
          <w:sz w:val="21"/>
          <w:szCs w:val="21"/>
        </w:rPr>
      </w:pPr>
      <w:r>
        <w:rPr>
          <w:rFonts w:hint="eastAsia"/>
          <w:sz w:val="21"/>
          <w:szCs w:val="21"/>
        </w:rPr>
        <w:t>2、在基金财产清算小组接管基金财产之前，基金管理人和基金托管人应按照《基金合同》和托管协议的规定继续履行保护基金财产安全的职责。</w:t>
      </w:r>
    </w:p>
    <w:p>
      <w:pPr>
        <w:pStyle w:val="7"/>
        <w:spacing w:before="0" w:beforeAutospacing="0" w:after="0" w:afterAutospacing="0" w:line="360" w:lineRule="auto"/>
        <w:ind w:firstLine="420"/>
        <w:rPr>
          <w:sz w:val="21"/>
          <w:szCs w:val="21"/>
        </w:rPr>
      </w:pPr>
      <w:r>
        <w:rPr>
          <w:rFonts w:hint="eastAsia"/>
          <w:sz w:val="21"/>
          <w:szCs w:val="21"/>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pPr>
        <w:pStyle w:val="7"/>
        <w:spacing w:before="0" w:beforeAutospacing="0" w:after="0" w:afterAutospacing="0" w:line="360" w:lineRule="auto"/>
        <w:ind w:firstLine="420"/>
        <w:rPr>
          <w:sz w:val="21"/>
          <w:szCs w:val="21"/>
        </w:rPr>
      </w:pPr>
      <w:r>
        <w:rPr>
          <w:rFonts w:hint="eastAsia"/>
          <w:sz w:val="21"/>
          <w:szCs w:val="21"/>
        </w:rPr>
        <w:t>4、基金财产清算小组职责：基金财产清算小组负责基金财产的保管、清理、估价、变现和分配。基金财产清算小组可以依法进行必要的民事活动。</w:t>
      </w:r>
    </w:p>
    <w:p>
      <w:pPr>
        <w:pStyle w:val="7"/>
        <w:spacing w:before="0" w:beforeAutospacing="0" w:after="0" w:afterAutospacing="0" w:line="360" w:lineRule="auto"/>
        <w:ind w:firstLine="420"/>
        <w:rPr>
          <w:sz w:val="21"/>
          <w:szCs w:val="21"/>
        </w:rPr>
      </w:pPr>
      <w:r>
        <w:rPr>
          <w:rFonts w:hint="eastAsia"/>
          <w:sz w:val="21"/>
          <w:szCs w:val="21"/>
        </w:rPr>
        <w:t>5、在基金财产清算过程中，基金管理人和基金托管人应各自履行职责，继续忠实、勤勉、尽责地履行基金合同和托管协议规定的义务，维护基金份额持有人的合法权益。</w:t>
      </w:r>
    </w:p>
    <w:p>
      <w:pPr>
        <w:pStyle w:val="7"/>
        <w:spacing w:before="0" w:beforeAutospacing="0" w:after="0" w:afterAutospacing="0" w:line="360" w:lineRule="auto"/>
        <w:ind w:firstLine="420"/>
        <w:rPr>
          <w:sz w:val="21"/>
          <w:szCs w:val="21"/>
        </w:rPr>
      </w:pPr>
      <w:r>
        <w:rPr>
          <w:rFonts w:hint="eastAsia"/>
          <w:sz w:val="21"/>
          <w:szCs w:val="21"/>
        </w:rPr>
        <w:t>6、基金财产清算程序：</w:t>
      </w:r>
    </w:p>
    <w:p>
      <w:pPr>
        <w:pStyle w:val="7"/>
        <w:spacing w:before="0" w:beforeAutospacing="0" w:after="0" w:afterAutospacing="0" w:line="360" w:lineRule="auto"/>
        <w:ind w:firstLine="420"/>
        <w:rPr>
          <w:sz w:val="21"/>
          <w:szCs w:val="21"/>
        </w:rPr>
      </w:pPr>
      <w:r>
        <w:rPr>
          <w:rFonts w:hint="eastAsia"/>
          <w:sz w:val="21"/>
          <w:szCs w:val="21"/>
        </w:rPr>
        <w:t>（1）《基金合同》终止情形出现时，由基金财产清算小组统一接管基金；</w:t>
      </w:r>
    </w:p>
    <w:p>
      <w:pPr>
        <w:pStyle w:val="7"/>
        <w:spacing w:before="0" w:beforeAutospacing="0" w:after="0" w:afterAutospacing="0" w:line="360" w:lineRule="auto"/>
        <w:ind w:firstLine="420"/>
        <w:rPr>
          <w:sz w:val="21"/>
          <w:szCs w:val="21"/>
        </w:rPr>
      </w:pPr>
      <w:r>
        <w:rPr>
          <w:rFonts w:hint="eastAsia"/>
          <w:sz w:val="21"/>
          <w:szCs w:val="21"/>
        </w:rPr>
        <w:t>（2）对基金财产和债权债务进行清理和确认；</w:t>
      </w:r>
    </w:p>
    <w:p>
      <w:pPr>
        <w:pStyle w:val="7"/>
        <w:spacing w:before="0" w:beforeAutospacing="0" w:after="0" w:afterAutospacing="0" w:line="360" w:lineRule="auto"/>
        <w:ind w:firstLine="420"/>
        <w:rPr>
          <w:sz w:val="21"/>
          <w:szCs w:val="21"/>
        </w:rPr>
      </w:pPr>
      <w:r>
        <w:rPr>
          <w:rFonts w:hint="eastAsia"/>
          <w:sz w:val="21"/>
          <w:szCs w:val="21"/>
        </w:rPr>
        <w:t>（3）对基金财产进行估值和变现；</w:t>
      </w:r>
    </w:p>
    <w:p>
      <w:pPr>
        <w:pStyle w:val="7"/>
        <w:spacing w:before="0" w:beforeAutospacing="0" w:after="0" w:afterAutospacing="0" w:line="360" w:lineRule="auto"/>
        <w:ind w:firstLine="420"/>
        <w:rPr>
          <w:sz w:val="21"/>
          <w:szCs w:val="21"/>
        </w:rPr>
      </w:pPr>
      <w:r>
        <w:rPr>
          <w:rFonts w:hint="eastAsia"/>
          <w:sz w:val="21"/>
          <w:szCs w:val="21"/>
        </w:rPr>
        <w:t>（4）制作清算报告；</w:t>
      </w:r>
    </w:p>
    <w:p>
      <w:pPr>
        <w:pStyle w:val="7"/>
        <w:spacing w:before="0" w:beforeAutospacing="0" w:after="0" w:afterAutospacing="0" w:line="360" w:lineRule="auto"/>
        <w:ind w:firstLine="420"/>
        <w:rPr>
          <w:sz w:val="21"/>
          <w:szCs w:val="21"/>
        </w:rPr>
      </w:pPr>
      <w:r>
        <w:rPr>
          <w:rFonts w:hint="eastAsia"/>
          <w:sz w:val="21"/>
          <w:szCs w:val="21"/>
        </w:rPr>
        <w:t>（5）聘请符合《中华人民共和国证券法》规定的会计师事务所对清算报告进行外部审计，聘请律师事务所对清算报告出具法律意见书；</w:t>
      </w:r>
    </w:p>
    <w:p>
      <w:pPr>
        <w:pStyle w:val="7"/>
        <w:spacing w:before="0" w:beforeAutospacing="0" w:after="0" w:afterAutospacing="0" w:line="360" w:lineRule="auto"/>
        <w:ind w:firstLine="420"/>
        <w:rPr>
          <w:sz w:val="21"/>
          <w:szCs w:val="21"/>
        </w:rPr>
      </w:pPr>
      <w:r>
        <w:rPr>
          <w:rFonts w:hint="eastAsia"/>
          <w:sz w:val="21"/>
          <w:szCs w:val="21"/>
        </w:rPr>
        <w:t>（6）将清算报告报中国证监会备案并公告；</w:t>
      </w:r>
    </w:p>
    <w:p>
      <w:pPr>
        <w:pStyle w:val="7"/>
        <w:spacing w:before="0" w:beforeAutospacing="0" w:after="0" w:afterAutospacing="0" w:line="360" w:lineRule="auto"/>
        <w:ind w:firstLine="420"/>
        <w:rPr>
          <w:sz w:val="21"/>
          <w:szCs w:val="21"/>
        </w:rPr>
      </w:pPr>
      <w:r>
        <w:rPr>
          <w:rFonts w:hint="eastAsia"/>
          <w:sz w:val="21"/>
          <w:szCs w:val="21"/>
        </w:rPr>
        <w:t>（7）对基金剩余财产进行分配。</w:t>
      </w:r>
    </w:p>
    <w:p>
      <w:pPr>
        <w:pStyle w:val="7"/>
        <w:spacing w:before="0" w:beforeAutospacing="0" w:after="0" w:afterAutospacing="0" w:line="360" w:lineRule="auto"/>
        <w:ind w:firstLine="420"/>
        <w:rPr>
          <w:sz w:val="21"/>
          <w:szCs w:val="21"/>
        </w:rPr>
      </w:pPr>
      <w:r>
        <w:rPr>
          <w:rFonts w:hint="eastAsia"/>
          <w:sz w:val="21"/>
          <w:szCs w:val="21"/>
        </w:rPr>
        <w:t>7、基金财产清算的期限为6个月，但因本基金所持证券的流动性受到限制而不能及时变现的，清算期限相应顺延。</w:t>
      </w:r>
    </w:p>
    <w:p>
      <w:pPr>
        <w:pStyle w:val="7"/>
        <w:spacing w:before="0" w:beforeAutospacing="0" w:after="0" w:afterAutospacing="0" w:line="360" w:lineRule="auto"/>
        <w:ind w:firstLine="420"/>
        <w:rPr>
          <w:sz w:val="21"/>
          <w:szCs w:val="21"/>
        </w:rPr>
      </w:pPr>
      <w:r>
        <w:rPr>
          <w:rStyle w:val="11"/>
          <w:rFonts w:hint="eastAsia"/>
          <w:sz w:val="21"/>
          <w:szCs w:val="21"/>
        </w:rPr>
        <w:t>四、清算费用</w:t>
      </w:r>
    </w:p>
    <w:p>
      <w:pPr>
        <w:pStyle w:val="7"/>
        <w:spacing w:before="0" w:beforeAutospacing="0" w:after="0" w:afterAutospacing="0" w:line="360" w:lineRule="auto"/>
        <w:ind w:firstLine="420"/>
        <w:rPr>
          <w:sz w:val="21"/>
          <w:szCs w:val="21"/>
        </w:rPr>
      </w:pPr>
      <w:r>
        <w:rPr>
          <w:rFonts w:hint="eastAsia"/>
          <w:sz w:val="21"/>
          <w:szCs w:val="21"/>
        </w:rPr>
        <w:t>清算费用是指基金财产清算小组在进行基金财产清算过程中发生的所有合理费用，清算费用由基金财产清算小组优先从基金剩余财产中支付。</w:t>
      </w:r>
    </w:p>
    <w:p>
      <w:pPr>
        <w:pStyle w:val="7"/>
        <w:spacing w:before="0" w:beforeAutospacing="0" w:after="0" w:afterAutospacing="0" w:line="360" w:lineRule="auto"/>
        <w:ind w:firstLine="420"/>
        <w:rPr>
          <w:sz w:val="21"/>
          <w:szCs w:val="21"/>
        </w:rPr>
      </w:pPr>
      <w:r>
        <w:rPr>
          <w:rStyle w:val="11"/>
          <w:rFonts w:hint="eastAsia"/>
          <w:sz w:val="21"/>
          <w:szCs w:val="21"/>
        </w:rPr>
        <w:t>五、基金财产清算剩余资产的分配</w:t>
      </w:r>
    </w:p>
    <w:p>
      <w:pPr>
        <w:pStyle w:val="7"/>
        <w:spacing w:before="0" w:beforeAutospacing="0" w:after="0" w:afterAutospacing="0" w:line="360" w:lineRule="auto"/>
        <w:ind w:firstLine="420"/>
        <w:rPr>
          <w:sz w:val="21"/>
          <w:szCs w:val="21"/>
        </w:rPr>
      </w:pPr>
      <w:r>
        <w:rPr>
          <w:rFonts w:hint="eastAsia"/>
          <w:sz w:val="21"/>
          <w:szCs w:val="21"/>
        </w:rPr>
        <w:t>依据基金财产清算的分配方案，将基金财产清算后的全部剩余资产扣除基金财产清算费用、交纳所欠税款并清偿基金债务后，按基金份额持有人持有的基金份额比例进行分配。</w:t>
      </w:r>
    </w:p>
    <w:p>
      <w:pPr>
        <w:pStyle w:val="7"/>
        <w:spacing w:before="0" w:beforeAutospacing="0" w:after="0" w:afterAutospacing="0" w:line="360" w:lineRule="auto"/>
        <w:ind w:firstLine="420"/>
        <w:rPr>
          <w:sz w:val="21"/>
          <w:szCs w:val="21"/>
        </w:rPr>
      </w:pPr>
      <w:r>
        <w:rPr>
          <w:rStyle w:val="11"/>
          <w:rFonts w:hint="eastAsia"/>
          <w:sz w:val="21"/>
          <w:szCs w:val="21"/>
        </w:rPr>
        <w:t>六、基金财产清算的公告</w:t>
      </w:r>
    </w:p>
    <w:p>
      <w:pPr>
        <w:pStyle w:val="7"/>
        <w:spacing w:before="0" w:beforeAutospacing="0" w:after="0" w:afterAutospacing="0" w:line="360" w:lineRule="auto"/>
        <w:ind w:firstLine="420"/>
        <w:rPr>
          <w:sz w:val="21"/>
          <w:szCs w:val="21"/>
        </w:rPr>
      </w:pPr>
      <w:r>
        <w:rPr>
          <w:rFonts w:hint="eastAsia"/>
          <w:sz w:val="21"/>
          <w:szCs w:val="21"/>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pStyle w:val="7"/>
        <w:spacing w:before="0" w:beforeAutospacing="0" w:after="0" w:afterAutospacing="0" w:line="360" w:lineRule="auto"/>
        <w:ind w:firstLine="420"/>
        <w:rPr>
          <w:sz w:val="21"/>
          <w:szCs w:val="21"/>
        </w:rPr>
      </w:pPr>
      <w:r>
        <w:rPr>
          <w:rStyle w:val="11"/>
          <w:rFonts w:hint="eastAsia"/>
          <w:sz w:val="21"/>
          <w:szCs w:val="21"/>
        </w:rPr>
        <w:t>七、基金财产清算账册及文件的保存</w:t>
      </w:r>
    </w:p>
    <w:p>
      <w:pPr>
        <w:pStyle w:val="7"/>
        <w:spacing w:before="0" w:beforeAutospacing="0" w:after="0" w:afterAutospacing="0" w:line="360" w:lineRule="auto"/>
        <w:ind w:firstLine="420"/>
        <w:rPr>
          <w:sz w:val="21"/>
          <w:szCs w:val="21"/>
        </w:rPr>
      </w:pPr>
      <w:bookmarkStart w:id="164" w:name="chapter_level1_23_69_section_1_end"/>
      <w:bookmarkEnd w:id="164"/>
      <w:r>
        <w:rPr>
          <w:rFonts w:hint="eastAsia"/>
          <w:sz w:val="21"/>
          <w:szCs w:val="21"/>
        </w:rPr>
        <w:t>基金财产清算账册及有关文件由基金托管人保存，保存期限不低于法定最低期限。</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65" w:name="chapter_level1_24_71"/>
      <w:bookmarkStart w:id="166" w:name="_Toc214976558"/>
      <w:r>
        <w:rPr>
          <w:rFonts w:hint="eastAsia" w:ascii="宋体" w:hAnsi="宋体" w:eastAsia="宋体"/>
          <w:sz w:val="30"/>
        </w:rPr>
        <w:t>第二十部分  基金合同的内容摘要</w:t>
      </w:r>
      <w:bookmarkEnd w:id="165"/>
      <w:bookmarkEnd w:id="166"/>
    </w:p>
    <w:p>
      <w:pPr>
        <w:pStyle w:val="7"/>
        <w:spacing w:before="0" w:beforeAutospacing="0" w:after="0" w:afterAutospacing="0" w:line="360" w:lineRule="auto"/>
        <w:ind w:firstLine="420"/>
        <w:rPr>
          <w:sz w:val="21"/>
          <w:szCs w:val="21"/>
        </w:rPr>
      </w:pPr>
      <w:bookmarkStart w:id="167" w:name="chapter_level1_24_71_section_1"/>
      <w:bookmarkEnd w:id="167"/>
      <w:r>
        <w:rPr>
          <w:rStyle w:val="11"/>
          <w:rFonts w:hint="eastAsia"/>
          <w:sz w:val="21"/>
          <w:szCs w:val="21"/>
        </w:rPr>
        <w:t>一、基金份额持有人、基金管理人和基金托管人的权利、义务</w:t>
      </w:r>
    </w:p>
    <w:p>
      <w:pPr>
        <w:pStyle w:val="7"/>
        <w:spacing w:before="0" w:beforeAutospacing="0" w:after="0" w:afterAutospacing="0" w:line="360" w:lineRule="auto"/>
        <w:ind w:firstLine="420"/>
        <w:rPr>
          <w:sz w:val="21"/>
          <w:szCs w:val="21"/>
        </w:rPr>
      </w:pPr>
      <w:r>
        <w:rPr>
          <w:rFonts w:hint="eastAsia"/>
          <w:sz w:val="21"/>
          <w:szCs w:val="21"/>
        </w:rPr>
        <w:t>（一）基金份额持有人的权利与义务</w:t>
      </w:r>
    </w:p>
    <w:p>
      <w:pPr>
        <w:pStyle w:val="7"/>
        <w:spacing w:before="0" w:beforeAutospacing="0" w:after="0" w:afterAutospacing="0" w:line="360" w:lineRule="auto"/>
        <w:ind w:firstLine="420"/>
        <w:rPr>
          <w:sz w:val="21"/>
          <w:szCs w:val="21"/>
        </w:rPr>
      </w:pPr>
      <w:r>
        <w:rPr>
          <w:rFonts w:hint="eastAsia"/>
          <w:sz w:val="21"/>
          <w:szCs w:val="21"/>
        </w:rPr>
        <w:t>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pPr>
        <w:pStyle w:val="7"/>
        <w:spacing w:before="0" w:beforeAutospacing="0" w:after="0" w:afterAutospacing="0" w:line="360" w:lineRule="auto"/>
        <w:ind w:firstLine="420"/>
        <w:rPr>
          <w:sz w:val="21"/>
          <w:szCs w:val="21"/>
        </w:rPr>
      </w:pPr>
      <w:r>
        <w:rPr>
          <w:rFonts w:hint="eastAsia"/>
          <w:sz w:val="21"/>
          <w:szCs w:val="21"/>
        </w:rPr>
        <w:t>每份基金份额具有同等的合法权益。</w:t>
      </w:r>
    </w:p>
    <w:p>
      <w:pPr>
        <w:pStyle w:val="7"/>
        <w:spacing w:before="0" w:beforeAutospacing="0" w:after="0" w:afterAutospacing="0" w:line="360" w:lineRule="auto"/>
        <w:ind w:firstLine="420"/>
        <w:rPr>
          <w:sz w:val="21"/>
          <w:szCs w:val="21"/>
        </w:rPr>
      </w:pPr>
      <w:r>
        <w:rPr>
          <w:rFonts w:hint="eastAsia"/>
          <w:sz w:val="21"/>
          <w:szCs w:val="21"/>
        </w:rPr>
        <w:t>1、根据《基金法》、《运作办法》及其他有关规定，基金份额持有人的权利包括但不限于：</w:t>
      </w:r>
    </w:p>
    <w:p>
      <w:pPr>
        <w:pStyle w:val="7"/>
        <w:spacing w:before="0" w:beforeAutospacing="0" w:after="0" w:afterAutospacing="0" w:line="360" w:lineRule="auto"/>
        <w:ind w:firstLine="420"/>
        <w:rPr>
          <w:sz w:val="21"/>
          <w:szCs w:val="21"/>
        </w:rPr>
      </w:pPr>
      <w:r>
        <w:rPr>
          <w:rFonts w:hint="eastAsia"/>
          <w:sz w:val="21"/>
          <w:szCs w:val="21"/>
        </w:rPr>
        <w:t>（1）分享基金财产收益；</w:t>
      </w:r>
    </w:p>
    <w:p>
      <w:pPr>
        <w:pStyle w:val="7"/>
        <w:spacing w:before="0" w:beforeAutospacing="0" w:after="0" w:afterAutospacing="0" w:line="360" w:lineRule="auto"/>
        <w:ind w:firstLine="420"/>
        <w:rPr>
          <w:sz w:val="21"/>
          <w:szCs w:val="21"/>
        </w:rPr>
      </w:pPr>
      <w:r>
        <w:rPr>
          <w:rFonts w:hint="eastAsia"/>
          <w:sz w:val="21"/>
          <w:szCs w:val="21"/>
        </w:rPr>
        <w:t>（2）参与分配清算后的剩余基金财产；</w:t>
      </w:r>
    </w:p>
    <w:p>
      <w:pPr>
        <w:pStyle w:val="7"/>
        <w:spacing w:before="0" w:beforeAutospacing="0" w:after="0" w:afterAutospacing="0" w:line="360" w:lineRule="auto"/>
        <w:ind w:firstLine="420"/>
        <w:rPr>
          <w:sz w:val="21"/>
          <w:szCs w:val="21"/>
        </w:rPr>
      </w:pPr>
      <w:r>
        <w:rPr>
          <w:rFonts w:hint="eastAsia"/>
          <w:sz w:val="21"/>
          <w:szCs w:val="21"/>
        </w:rPr>
        <w:t>（3）依法转让或者申请赎回其持有的基金份额；</w:t>
      </w:r>
    </w:p>
    <w:p>
      <w:pPr>
        <w:pStyle w:val="7"/>
        <w:spacing w:before="0" w:beforeAutospacing="0" w:after="0" w:afterAutospacing="0" w:line="360" w:lineRule="auto"/>
        <w:ind w:firstLine="420"/>
        <w:rPr>
          <w:sz w:val="21"/>
          <w:szCs w:val="21"/>
        </w:rPr>
      </w:pPr>
      <w:r>
        <w:rPr>
          <w:rFonts w:hint="eastAsia"/>
          <w:sz w:val="21"/>
          <w:szCs w:val="21"/>
        </w:rPr>
        <w:t>（4）按照规定要求召开基金份额持有人大会或者召集基金份额持有人大会；</w:t>
      </w:r>
    </w:p>
    <w:p>
      <w:pPr>
        <w:pStyle w:val="7"/>
        <w:spacing w:before="0" w:beforeAutospacing="0" w:after="0" w:afterAutospacing="0" w:line="360" w:lineRule="auto"/>
        <w:ind w:firstLine="420"/>
        <w:rPr>
          <w:sz w:val="21"/>
          <w:szCs w:val="21"/>
        </w:rPr>
      </w:pPr>
      <w:r>
        <w:rPr>
          <w:rFonts w:hint="eastAsia"/>
          <w:sz w:val="21"/>
          <w:szCs w:val="21"/>
        </w:rPr>
        <w:t>（5）出席或者委派代表出席基金份额持有人大会，对基金份额持有人大会审议事项行使表决权；</w:t>
      </w:r>
    </w:p>
    <w:p>
      <w:pPr>
        <w:pStyle w:val="7"/>
        <w:spacing w:before="0" w:beforeAutospacing="0" w:after="0" w:afterAutospacing="0" w:line="360" w:lineRule="auto"/>
        <w:ind w:firstLine="420"/>
        <w:rPr>
          <w:sz w:val="21"/>
          <w:szCs w:val="21"/>
        </w:rPr>
      </w:pPr>
      <w:r>
        <w:rPr>
          <w:rFonts w:hint="eastAsia"/>
          <w:sz w:val="21"/>
          <w:szCs w:val="21"/>
        </w:rPr>
        <w:t>（6）查阅或者复制公开披露的基金信息资料；</w:t>
      </w:r>
    </w:p>
    <w:p>
      <w:pPr>
        <w:pStyle w:val="7"/>
        <w:spacing w:before="0" w:beforeAutospacing="0" w:after="0" w:afterAutospacing="0" w:line="360" w:lineRule="auto"/>
        <w:ind w:firstLine="420"/>
        <w:rPr>
          <w:sz w:val="21"/>
          <w:szCs w:val="21"/>
        </w:rPr>
      </w:pPr>
      <w:r>
        <w:rPr>
          <w:rFonts w:hint="eastAsia"/>
          <w:sz w:val="21"/>
          <w:szCs w:val="21"/>
        </w:rPr>
        <w:t>（7）监督基金管理人的投资运作；</w:t>
      </w:r>
    </w:p>
    <w:p>
      <w:pPr>
        <w:pStyle w:val="7"/>
        <w:spacing w:before="0" w:beforeAutospacing="0" w:after="0" w:afterAutospacing="0" w:line="360" w:lineRule="auto"/>
        <w:ind w:firstLine="420"/>
        <w:rPr>
          <w:sz w:val="21"/>
          <w:szCs w:val="21"/>
        </w:rPr>
      </w:pPr>
      <w:r>
        <w:rPr>
          <w:rFonts w:hint="eastAsia"/>
          <w:sz w:val="21"/>
          <w:szCs w:val="21"/>
        </w:rPr>
        <w:t>（8）对基金管理人、基金托管人、基金服务机构损害其合法权益的行为依法提起诉讼或仲裁；</w:t>
      </w:r>
    </w:p>
    <w:p>
      <w:pPr>
        <w:pStyle w:val="7"/>
        <w:spacing w:before="0" w:beforeAutospacing="0" w:after="0" w:afterAutospacing="0" w:line="360" w:lineRule="auto"/>
        <w:ind w:firstLine="420"/>
        <w:rPr>
          <w:sz w:val="21"/>
          <w:szCs w:val="21"/>
        </w:rPr>
      </w:pPr>
      <w:r>
        <w:rPr>
          <w:rFonts w:hint="eastAsia"/>
          <w:sz w:val="21"/>
          <w:szCs w:val="21"/>
        </w:rPr>
        <w:t>（9）法律法规及中国证监会规定的和《基金合同》约定的其他权利。</w:t>
      </w:r>
    </w:p>
    <w:p>
      <w:pPr>
        <w:pStyle w:val="7"/>
        <w:spacing w:before="0" w:beforeAutospacing="0" w:after="0" w:afterAutospacing="0" w:line="360" w:lineRule="auto"/>
        <w:ind w:firstLine="420"/>
        <w:rPr>
          <w:sz w:val="21"/>
          <w:szCs w:val="21"/>
        </w:rPr>
      </w:pPr>
      <w:r>
        <w:rPr>
          <w:rFonts w:hint="eastAsia"/>
          <w:sz w:val="21"/>
          <w:szCs w:val="21"/>
        </w:rPr>
        <w:t>2、根据《基金法》、《运作办法》及其他有关规定，基金份额持有人的义务包括但不限于：</w:t>
      </w:r>
    </w:p>
    <w:p>
      <w:pPr>
        <w:pStyle w:val="7"/>
        <w:spacing w:before="0" w:beforeAutospacing="0" w:after="0" w:afterAutospacing="0" w:line="360" w:lineRule="auto"/>
        <w:ind w:firstLine="420"/>
        <w:rPr>
          <w:sz w:val="21"/>
          <w:szCs w:val="21"/>
        </w:rPr>
      </w:pPr>
      <w:r>
        <w:rPr>
          <w:rFonts w:hint="eastAsia"/>
          <w:sz w:val="21"/>
          <w:szCs w:val="21"/>
        </w:rPr>
        <w:t>（1）认真阅读并遵守《基金合同》、招募说明书及基金产品资料概要等信息披露文件；</w:t>
      </w:r>
    </w:p>
    <w:p>
      <w:pPr>
        <w:pStyle w:val="7"/>
        <w:spacing w:before="0" w:beforeAutospacing="0" w:after="0" w:afterAutospacing="0" w:line="360" w:lineRule="auto"/>
        <w:ind w:firstLine="420"/>
        <w:rPr>
          <w:sz w:val="21"/>
          <w:szCs w:val="21"/>
        </w:rPr>
      </w:pPr>
      <w:r>
        <w:rPr>
          <w:rFonts w:hint="eastAsia"/>
          <w:sz w:val="21"/>
          <w:szCs w:val="21"/>
        </w:rPr>
        <w:t>（2）了解所投资基金产品，了解自身风险承受能力，自主判断基金的投资价值，自主做出投资决策，自行承担投资风险；</w:t>
      </w:r>
    </w:p>
    <w:p>
      <w:pPr>
        <w:pStyle w:val="7"/>
        <w:spacing w:before="0" w:beforeAutospacing="0" w:after="0" w:afterAutospacing="0" w:line="360" w:lineRule="auto"/>
        <w:ind w:firstLine="420"/>
        <w:rPr>
          <w:sz w:val="21"/>
          <w:szCs w:val="21"/>
        </w:rPr>
      </w:pPr>
      <w:r>
        <w:rPr>
          <w:rFonts w:hint="eastAsia"/>
          <w:sz w:val="21"/>
          <w:szCs w:val="21"/>
        </w:rPr>
        <w:t>（3）关注基金信息披露，及时行使权利和履行义务；</w:t>
      </w:r>
    </w:p>
    <w:p>
      <w:pPr>
        <w:pStyle w:val="7"/>
        <w:spacing w:before="0" w:beforeAutospacing="0" w:after="0" w:afterAutospacing="0" w:line="360" w:lineRule="auto"/>
        <w:ind w:firstLine="420"/>
        <w:rPr>
          <w:sz w:val="21"/>
          <w:szCs w:val="21"/>
        </w:rPr>
      </w:pPr>
      <w:r>
        <w:rPr>
          <w:rFonts w:hint="eastAsia"/>
          <w:sz w:val="21"/>
          <w:szCs w:val="21"/>
        </w:rPr>
        <w:t>（4）交纳基金认购款项和/或认购股票、申购对价及法律法规和《基金合同》所规定的费用；</w:t>
      </w:r>
    </w:p>
    <w:p>
      <w:pPr>
        <w:pStyle w:val="7"/>
        <w:spacing w:before="0" w:beforeAutospacing="0" w:after="0" w:afterAutospacing="0" w:line="360" w:lineRule="auto"/>
        <w:ind w:firstLine="420"/>
        <w:rPr>
          <w:sz w:val="21"/>
          <w:szCs w:val="21"/>
        </w:rPr>
      </w:pPr>
      <w:r>
        <w:rPr>
          <w:rFonts w:hint="eastAsia"/>
          <w:sz w:val="21"/>
          <w:szCs w:val="21"/>
        </w:rPr>
        <w:t>（5）在其持有的基金份额范围内，承担基金亏损或者《基金合同》终止的有限责任；</w:t>
      </w:r>
    </w:p>
    <w:p>
      <w:pPr>
        <w:pStyle w:val="7"/>
        <w:spacing w:before="0" w:beforeAutospacing="0" w:after="0" w:afterAutospacing="0" w:line="360" w:lineRule="auto"/>
        <w:ind w:firstLine="420"/>
        <w:rPr>
          <w:sz w:val="21"/>
          <w:szCs w:val="21"/>
        </w:rPr>
      </w:pPr>
      <w:r>
        <w:rPr>
          <w:rFonts w:hint="eastAsia"/>
          <w:sz w:val="21"/>
          <w:szCs w:val="21"/>
        </w:rPr>
        <w:t>（6）不从事任何有损基金及其他《基金合同》当事人合法权益的活动；</w:t>
      </w:r>
    </w:p>
    <w:p>
      <w:pPr>
        <w:pStyle w:val="7"/>
        <w:spacing w:before="0" w:beforeAutospacing="0" w:after="0" w:afterAutospacing="0" w:line="360" w:lineRule="auto"/>
        <w:ind w:firstLine="420"/>
        <w:rPr>
          <w:sz w:val="21"/>
          <w:szCs w:val="21"/>
        </w:rPr>
      </w:pPr>
      <w:r>
        <w:rPr>
          <w:rFonts w:hint="eastAsia"/>
          <w:sz w:val="21"/>
          <w:szCs w:val="21"/>
        </w:rPr>
        <w:t>（7）执行生效的基金份额持有人大会的决议；</w:t>
      </w:r>
    </w:p>
    <w:p>
      <w:pPr>
        <w:pStyle w:val="7"/>
        <w:spacing w:before="0" w:beforeAutospacing="0" w:after="0" w:afterAutospacing="0" w:line="360" w:lineRule="auto"/>
        <w:ind w:firstLine="420"/>
        <w:rPr>
          <w:sz w:val="21"/>
          <w:szCs w:val="21"/>
        </w:rPr>
      </w:pPr>
      <w:r>
        <w:rPr>
          <w:rFonts w:hint="eastAsia"/>
          <w:sz w:val="21"/>
          <w:szCs w:val="21"/>
        </w:rPr>
        <w:t>（8）返还在基金交易过程中因任何原因获得的不当得利；</w:t>
      </w:r>
    </w:p>
    <w:p>
      <w:pPr>
        <w:pStyle w:val="7"/>
        <w:spacing w:before="0" w:beforeAutospacing="0" w:after="0" w:afterAutospacing="0" w:line="360" w:lineRule="auto"/>
        <w:ind w:firstLine="420"/>
        <w:rPr>
          <w:sz w:val="21"/>
          <w:szCs w:val="21"/>
        </w:rPr>
      </w:pPr>
      <w:r>
        <w:rPr>
          <w:rFonts w:hint="eastAsia"/>
          <w:sz w:val="21"/>
          <w:szCs w:val="21"/>
        </w:rPr>
        <w:t>（9）法律法规及中国证监会规定的和《基金合同》约定的其他义务。</w:t>
      </w:r>
    </w:p>
    <w:p>
      <w:pPr>
        <w:pStyle w:val="7"/>
        <w:spacing w:before="0" w:beforeAutospacing="0" w:after="0" w:afterAutospacing="0" w:line="360" w:lineRule="auto"/>
        <w:ind w:firstLine="420"/>
        <w:rPr>
          <w:sz w:val="21"/>
          <w:szCs w:val="21"/>
        </w:rPr>
      </w:pPr>
      <w:r>
        <w:rPr>
          <w:rFonts w:hint="eastAsia"/>
          <w:sz w:val="21"/>
          <w:szCs w:val="21"/>
        </w:rPr>
        <w:t>（二）基金管理人的权利与义务</w:t>
      </w:r>
    </w:p>
    <w:p>
      <w:pPr>
        <w:pStyle w:val="7"/>
        <w:spacing w:before="0" w:beforeAutospacing="0" w:after="0" w:afterAutospacing="0" w:line="360" w:lineRule="auto"/>
        <w:ind w:firstLine="420"/>
        <w:rPr>
          <w:sz w:val="21"/>
          <w:szCs w:val="21"/>
        </w:rPr>
      </w:pPr>
      <w:r>
        <w:rPr>
          <w:rFonts w:hint="eastAsia"/>
          <w:sz w:val="21"/>
          <w:szCs w:val="21"/>
        </w:rPr>
        <w:t>1、根据《基金法》、《运作办法》及其他有关规定，基金管理人的权利包括但不限于：</w:t>
      </w:r>
    </w:p>
    <w:p>
      <w:pPr>
        <w:pStyle w:val="7"/>
        <w:spacing w:before="0" w:beforeAutospacing="0" w:after="0" w:afterAutospacing="0" w:line="360" w:lineRule="auto"/>
        <w:ind w:firstLine="420"/>
        <w:rPr>
          <w:sz w:val="21"/>
          <w:szCs w:val="21"/>
        </w:rPr>
      </w:pPr>
      <w:r>
        <w:rPr>
          <w:rFonts w:hint="eastAsia"/>
          <w:sz w:val="21"/>
          <w:szCs w:val="21"/>
        </w:rPr>
        <w:t>（1）依法募集资金；</w:t>
      </w:r>
    </w:p>
    <w:p>
      <w:pPr>
        <w:pStyle w:val="7"/>
        <w:spacing w:before="0" w:beforeAutospacing="0" w:after="0" w:afterAutospacing="0" w:line="360" w:lineRule="auto"/>
        <w:ind w:firstLine="420"/>
        <w:rPr>
          <w:sz w:val="21"/>
          <w:szCs w:val="21"/>
        </w:rPr>
      </w:pPr>
      <w:r>
        <w:rPr>
          <w:rFonts w:hint="eastAsia"/>
          <w:sz w:val="21"/>
          <w:szCs w:val="21"/>
        </w:rPr>
        <w:t>（2）自《基金合同》生效之日起，根据法律法规和《基金合同》独立运用并管理基金财产；</w:t>
      </w:r>
    </w:p>
    <w:p>
      <w:pPr>
        <w:pStyle w:val="7"/>
        <w:spacing w:before="0" w:beforeAutospacing="0" w:after="0" w:afterAutospacing="0" w:line="360" w:lineRule="auto"/>
        <w:ind w:firstLine="420"/>
        <w:rPr>
          <w:sz w:val="21"/>
          <w:szCs w:val="21"/>
        </w:rPr>
      </w:pPr>
      <w:r>
        <w:rPr>
          <w:rFonts w:hint="eastAsia"/>
          <w:sz w:val="21"/>
          <w:szCs w:val="21"/>
        </w:rPr>
        <w:t>（3）依照《基金合同》收取基金管理费以及法律法规规定或中国证监会批准的其他费用；</w:t>
      </w:r>
    </w:p>
    <w:p>
      <w:pPr>
        <w:pStyle w:val="7"/>
        <w:spacing w:before="0" w:beforeAutospacing="0" w:after="0" w:afterAutospacing="0" w:line="360" w:lineRule="auto"/>
        <w:ind w:firstLine="420"/>
        <w:rPr>
          <w:sz w:val="21"/>
          <w:szCs w:val="21"/>
        </w:rPr>
      </w:pPr>
      <w:r>
        <w:rPr>
          <w:rFonts w:hint="eastAsia"/>
          <w:sz w:val="21"/>
          <w:szCs w:val="21"/>
        </w:rPr>
        <w:t>（4）销售基金份额；</w:t>
      </w:r>
    </w:p>
    <w:p>
      <w:pPr>
        <w:pStyle w:val="7"/>
        <w:spacing w:before="0" w:beforeAutospacing="0" w:after="0" w:afterAutospacing="0" w:line="360" w:lineRule="auto"/>
        <w:ind w:firstLine="420"/>
        <w:rPr>
          <w:sz w:val="21"/>
          <w:szCs w:val="21"/>
        </w:rPr>
      </w:pPr>
      <w:r>
        <w:rPr>
          <w:rFonts w:hint="eastAsia"/>
          <w:sz w:val="21"/>
          <w:szCs w:val="21"/>
        </w:rPr>
        <w:t>（5）按照规定召集基金份额持有人大会；</w:t>
      </w:r>
    </w:p>
    <w:p>
      <w:pPr>
        <w:pStyle w:val="7"/>
        <w:spacing w:before="0" w:beforeAutospacing="0" w:after="0" w:afterAutospacing="0" w:line="360" w:lineRule="auto"/>
        <w:ind w:firstLine="420"/>
        <w:rPr>
          <w:sz w:val="21"/>
          <w:szCs w:val="21"/>
        </w:rPr>
      </w:pPr>
      <w:r>
        <w:rPr>
          <w:rFonts w:hint="eastAsia"/>
          <w:sz w:val="21"/>
          <w:szCs w:val="21"/>
        </w:rPr>
        <w:t>（6）依据《基金合同》及有关法律规定监督基金托管人，如认为基金托管人违反了《基金合同》及国家有关法律规定，应呈报中国证监会和其他监管部门，并采取必要措施保护基金投资者的利益；</w:t>
      </w:r>
    </w:p>
    <w:p>
      <w:pPr>
        <w:pStyle w:val="7"/>
        <w:spacing w:before="0" w:beforeAutospacing="0" w:after="0" w:afterAutospacing="0" w:line="360" w:lineRule="auto"/>
        <w:ind w:firstLine="420"/>
        <w:rPr>
          <w:sz w:val="21"/>
          <w:szCs w:val="21"/>
        </w:rPr>
      </w:pPr>
      <w:r>
        <w:rPr>
          <w:rFonts w:hint="eastAsia"/>
          <w:sz w:val="21"/>
          <w:szCs w:val="21"/>
        </w:rPr>
        <w:t>（7）在基金托管人更换时，提名新的基金托管人；</w:t>
      </w:r>
    </w:p>
    <w:p>
      <w:pPr>
        <w:pStyle w:val="7"/>
        <w:spacing w:before="0" w:beforeAutospacing="0" w:after="0" w:afterAutospacing="0" w:line="360" w:lineRule="auto"/>
        <w:ind w:firstLine="420"/>
        <w:rPr>
          <w:sz w:val="21"/>
          <w:szCs w:val="21"/>
        </w:rPr>
      </w:pPr>
      <w:r>
        <w:rPr>
          <w:rFonts w:hint="eastAsia"/>
          <w:sz w:val="21"/>
          <w:szCs w:val="21"/>
        </w:rPr>
        <w:t>（8）选择、更换基金销售机构，对基金销售机构的相关行为进行监督和处理； </w:t>
      </w:r>
    </w:p>
    <w:p>
      <w:pPr>
        <w:pStyle w:val="7"/>
        <w:spacing w:before="0" w:beforeAutospacing="0" w:after="0" w:afterAutospacing="0" w:line="360" w:lineRule="auto"/>
        <w:ind w:firstLine="420"/>
        <w:rPr>
          <w:sz w:val="21"/>
          <w:szCs w:val="21"/>
        </w:rPr>
      </w:pPr>
      <w:r>
        <w:rPr>
          <w:rFonts w:hint="eastAsia"/>
          <w:sz w:val="21"/>
          <w:szCs w:val="21"/>
        </w:rPr>
        <w:t>（9）担任或委托其他符合条件的机构担任基金登记机构办理基金登记业务并获得《基金合同》规定的费用； </w:t>
      </w:r>
    </w:p>
    <w:p>
      <w:pPr>
        <w:pStyle w:val="7"/>
        <w:spacing w:before="0" w:beforeAutospacing="0" w:after="0" w:afterAutospacing="0" w:line="360" w:lineRule="auto"/>
        <w:ind w:firstLine="420"/>
        <w:rPr>
          <w:sz w:val="21"/>
          <w:szCs w:val="21"/>
        </w:rPr>
      </w:pPr>
      <w:r>
        <w:rPr>
          <w:rFonts w:hint="eastAsia"/>
          <w:sz w:val="21"/>
          <w:szCs w:val="21"/>
        </w:rPr>
        <w:t xml:space="preserve">（10）依据《基金合同》及有关法律规定决定基金收益的分配方案； </w:t>
      </w:r>
    </w:p>
    <w:p>
      <w:pPr>
        <w:pStyle w:val="7"/>
        <w:spacing w:before="0" w:beforeAutospacing="0" w:after="0" w:afterAutospacing="0" w:line="360" w:lineRule="auto"/>
        <w:ind w:firstLine="420"/>
        <w:rPr>
          <w:sz w:val="21"/>
          <w:szCs w:val="21"/>
        </w:rPr>
      </w:pPr>
      <w:r>
        <w:rPr>
          <w:rFonts w:hint="eastAsia"/>
          <w:sz w:val="21"/>
          <w:szCs w:val="21"/>
        </w:rPr>
        <w:t>（11）在《基金合同》约定的范围内，拒绝或暂停受理申购与赎回申请； </w:t>
      </w:r>
    </w:p>
    <w:p>
      <w:pPr>
        <w:pStyle w:val="7"/>
        <w:spacing w:before="0" w:beforeAutospacing="0" w:after="0" w:afterAutospacing="0" w:line="360" w:lineRule="auto"/>
        <w:ind w:firstLine="420"/>
        <w:rPr>
          <w:sz w:val="21"/>
          <w:szCs w:val="21"/>
        </w:rPr>
      </w:pPr>
      <w:r>
        <w:rPr>
          <w:rFonts w:hint="eastAsia"/>
          <w:sz w:val="21"/>
          <w:szCs w:val="21"/>
        </w:rPr>
        <w:t>（12）依照法律法规为基金的利益对被投资公司行使股东权利，为基金的利益行使因基金财产投资于证券所产生的权利；</w:t>
      </w:r>
    </w:p>
    <w:p>
      <w:pPr>
        <w:pStyle w:val="7"/>
        <w:spacing w:before="0" w:beforeAutospacing="0" w:after="0" w:afterAutospacing="0" w:line="360" w:lineRule="auto"/>
        <w:ind w:firstLine="420"/>
        <w:rPr>
          <w:sz w:val="21"/>
          <w:szCs w:val="21"/>
        </w:rPr>
      </w:pPr>
      <w:r>
        <w:rPr>
          <w:rFonts w:hint="eastAsia"/>
          <w:sz w:val="21"/>
          <w:szCs w:val="21"/>
        </w:rPr>
        <w:t>（13）在法律法规允许的前提下，为基金的利益依法为基金进行融资和转融通证券出借业务；</w:t>
      </w:r>
    </w:p>
    <w:p>
      <w:pPr>
        <w:pStyle w:val="7"/>
        <w:spacing w:before="0" w:beforeAutospacing="0" w:after="0" w:afterAutospacing="0" w:line="360" w:lineRule="auto"/>
        <w:ind w:firstLine="420"/>
        <w:rPr>
          <w:sz w:val="21"/>
          <w:szCs w:val="21"/>
        </w:rPr>
      </w:pPr>
      <w:r>
        <w:rPr>
          <w:rFonts w:hint="eastAsia"/>
          <w:sz w:val="21"/>
          <w:szCs w:val="21"/>
        </w:rPr>
        <w:t xml:space="preserve">（14）以基金管理人的名义，代表基金份额持有人的利益行使诉讼权利或者实施其他法律行为； </w:t>
      </w:r>
    </w:p>
    <w:p>
      <w:pPr>
        <w:pStyle w:val="7"/>
        <w:spacing w:before="0" w:beforeAutospacing="0" w:after="0" w:afterAutospacing="0" w:line="360" w:lineRule="auto"/>
        <w:ind w:firstLine="420"/>
        <w:rPr>
          <w:sz w:val="21"/>
          <w:szCs w:val="21"/>
        </w:rPr>
      </w:pPr>
      <w:r>
        <w:rPr>
          <w:rFonts w:hint="eastAsia"/>
          <w:sz w:val="21"/>
          <w:szCs w:val="21"/>
        </w:rPr>
        <w:t xml:space="preserve">（15）选择、更换律师事务所、会计师事务所、证券、期货经纪商或其他为基金提供服务的外部机构； </w:t>
      </w:r>
    </w:p>
    <w:p>
      <w:pPr>
        <w:pStyle w:val="7"/>
        <w:spacing w:before="0" w:beforeAutospacing="0" w:after="0" w:afterAutospacing="0" w:line="360" w:lineRule="auto"/>
        <w:ind w:firstLine="420"/>
        <w:rPr>
          <w:sz w:val="21"/>
          <w:szCs w:val="21"/>
        </w:rPr>
      </w:pPr>
      <w:r>
        <w:rPr>
          <w:rFonts w:hint="eastAsia"/>
          <w:sz w:val="21"/>
          <w:szCs w:val="21"/>
        </w:rPr>
        <w:t>（16）在符合有关法律、法规、相关证券交易所及登记机构相关业务规则的规定及基金合同的前提下，制订和调整有关基金认购、申购、赎回等业务规则；</w:t>
      </w:r>
    </w:p>
    <w:p>
      <w:pPr>
        <w:pStyle w:val="7"/>
        <w:spacing w:before="0" w:beforeAutospacing="0" w:after="0" w:afterAutospacing="0" w:line="360" w:lineRule="auto"/>
        <w:ind w:firstLine="420"/>
        <w:rPr>
          <w:sz w:val="21"/>
          <w:szCs w:val="21"/>
        </w:rPr>
      </w:pPr>
      <w:r>
        <w:rPr>
          <w:rFonts w:hint="eastAsia"/>
          <w:sz w:val="21"/>
          <w:szCs w:val="21"/>
        </w:rPr>
        <w:t>（17）法律法规及中国证监会规定的和《基金合同》约定的其他权利。</w:t>
      </w:r>
    </w:p>
    <w:p>
      <w:pPr>
        <w:pStyle w:val="7"/>
        <w:spacing w:before="0" w:beforeAutospacing="0" w:after="0" w:afterAutospacing="0" w:line="360" w:lineRule="auto"/>
        <w:ind w:firstLine="420"/>
        <w:rPr>
          <w:sz w:val="21"/>
          <w:szCs w:val="21"/>
        </w:rPr>
      </w:pPr>
      <w:r>
        <w:rPr>
          <w:rFonts w:hint="eastAsia"/>
          <w:sz w:val="21"/>
          <w:szCs w:val="21"/>
        </w:rPr>
        <w:t>2、根据《基金法》、《运作办法》及其他有关规定，基金管理人的义务包括但不限于：</w:t>
      </w:r>
    </w:p>
    <w:p>
      <w:pPr>
        <w:pStyle w:val="7"/>
        <w:spacing w:before="0" w:beforeAutospacing="0" w:after="0" w:afterAutospacing="0" w:line="360" w:lineRule="auto"/>
        <w:ind w:firstLine="420"/>
        <w:rPr>
          <w:sz w:val="21"/>
          <w:szCs w:val="21"/>
        </w:rPr>
      </w:pPr>
      <w:r>
        <w:rPr>
          <w:rFonts w:hint="eastAsia"/>
          <w:sz w:val="21"/>
          <w:szCs w:val="21"/>
        </w:rPr>
        <w:t>（1）依法募集资金，办理或者委托经中国证监会认定的其他机构代为办理基金份额的发售、申购、赎回和登记事宜；</w:t>
      </w:r>
    </w:p>
    <w:p>
      <w:pPr>
        <w:pStyle w:val="7"/>
        <w:spacing w:before="0" w:beforeAutospacing="0" w:after="0" w:afterAutospacing="0" w:line="360" w:lineRule="auto"/>
        <w:ind w:firstLine="420"/>
        <w:rPr>
          <w:sz w:val="21"/>
          <w:szCs w:val="21"/>
        </w:rPr>
      </w:pPr>
      <w:r>
        <w:rPr>
          <w:rFonts w:hint="eastAsia"/>
          <w:sz w:val="21"/>
          <w:szCs w:val="21"/>
        </w:rPr>
        <w:t>（2）办理基金备案手续；</w:t>
      </w:r>
    </w:p>
    <w:p>
      <w:pPr>
        <w:pStyle w:val="7"/>
        <w:spacing w:before="0" w:beforeAutospacing="0" w:after="0" w:afterAutospacing="0" w:line="360" w:lineRule="auto"/>
        <w:ind w:firstLine="420"/>
        <w:rPr>
          <w:sz w:val="21"/>
          <w:szCs w:val="21"/>
        </w:rPr>
      </w:pPr>
      <w:r>
        <w:rPr>
          <w:rFonts w:hint="eastAsia"/>
          <w:sz w:val="21"/>
          <w:szCs w:val="21"/>
        </w:rPr>
        <w:t>（3）自《基金合同》生效之日起，以诚实信用、谨慎勤勉的原则管理和运用基金财产；</w:t>
      </w:r>
    </w:p>
    <w:p>
      <w:pPr>
        <w:pStyle w:val="7"/>
        <w:spacing w:before="0" w:beforeAutospacing="0" w:after="0" w:afterAutospacing="0" w:line="360" w:lineRule="auto"/>
        <w:ind w:firstLine="420"/>
        <w:rPr>
          <w:sz w:val="21"/>
          <w:szCs w:val="21"/>
        </w:rPr>
      </w:pPr>
      <w:r>
        <w:rPr>
          <w:rFonts w:hint="eastAsia"/>
          <w:sz w:val="21"/>
          <w:szCs w:val="21"/>
        </w:rPr>
        <w:t>（4）配备足够的具有专业资格的人员进行基金投资分析、决策，以专业化的经营方式管理和运作基金财产；</w:t>
      </w:r>
    </w:p>
    <w:p>
      <w:pPr>
        <w:pStyle w:val="7"/>
        <w:spacing w:before="0" w:beforeAutospacing="0" w:after="0" w:afterAutospacing="0" w:line="360" w:lineRule="auto"/>
        <w:ind w:firstLine="420"/>
        <w:rPr>
          <w:sz w:val="21"/>
          <w:szCs w:val="21"/>
        </w:rPr>
      </w:pPr>
      <w:r>
        <w:rPr>
          <w:rFonts w:hint="eastAsia"/>
          <w:sz w:val="21"/>
          <w:szCs w:val="21"/>
        </w:rPr>
        <w:t>（5）建立健全内部风险控制、监察与稽核、财务管理及人事管理等制度，保证所管理的基金财产和基金管理人的财产相互独立，对所管理的不同基金分别管理，分别记账，进行证券投资；</w:t>
      </w:r>
    </w:p>
    <w:p>
      <w:pPr>
        <w:pStyle w:val="7"/>
        <w:spacing w:before="0" w:beforeAutospacing="0" w:after="0" w:afterAutospacing="0" w:line="360" w:lineRule="auto"/>
        <w:ind w:firstLine="420"/>
        <w:rPr>
          <w:sz w:val="21"/>
          <w:szCs w:val="21"/>
        </w:rPr>
      </w:pPr>
      <w:r>
        <w:rPr>
          <w:rFonts w:hint="eastAsia"/>
          <w:sz w:val="21"/>
          <w:szCs w:val="21"/>
        </w:rPr>
        <w:t>（6）除依据《基金法》、《基金合同》及其他有关规定外，不得利用基金财产为自己及任何第三人谋取利益，不得委托第三人运作基金财产；</w:t>
      </w:r>
    </w:p>
    <w:p>
      <w:pPr>
        <w:pStyle w:val="7"/>
        <w:spacing w:before="0" w:beforeAutospacing="0" w:after="0" w:afterAutospacing="0" w:line="360" w:lineRule="auto"/>
        <w:ind w:firstLine="420"/>
        <w:rPr>
          <w:sz w:val="21"/>
          <w:szCs w:val="21"/>
        </w:rPr>
      </w:pPr>
      <w:r>
        <w:rPr>
          <w:rFonts w:hint="eastAsia"/>
          <w:sz w:val="21"/>
          <w:szCs w:val="21"/>
        </w:rPr>
        <w:t>（7）依法接受基金托管人的监督；</w:t>
      </w:r>
    </w:p>
    <w:p>
      <w:pPr>
        <w:pStyle w:val="7"/>
        <w:spacing w:before="0" w:beforeAutospacing="0" w:after="0" w:afterAutospacing="0" w:line="360" w:lineRule="auto"/>
        <w:ind w:firstLine="420"/>
        <w:rPr>
          <w:sz w:val="21"/>
          <w:szCs w:val="21"/>
        </w:rPr>
      </w:pPr>
      <w:r>
        <w:rPr>
          <w:rFonts w:hint="eastAsia"/>
          <w:sz w:val="21"/>
          <w:szCs w:val="21"/>
        </w:rPr>
        <w:t>（8）采取适当合理的措施使计算基金份额认购价格、申购对价、赎回对价的方法符合《基金合同》等法律文件的规定，按有关规定计算并公告基金净值信息，确定基金份额申购、赎回对价，编制申购赎回清单；</w:t>
      </w:r>
    </w:p>
    <w:p>
      <w:pPr>
        <w:pStyle w:val="7"/>
        <w:spacing w:before="0" w:beforeAutospacing="0" w:after="0" w:afterAutospacing="0" w:line="360" w:lineRule="auto"/>
        <w:ind w:firstLine="420"/>
        <w:rPr>
          <w:sz w:val="21"/>
          <w:szCs w:val="21"/>
        </w:rPr>
      </w:pPr>
      <w:r>
        <w:rPr>
          <w:rFonts w:hint="eastAsia"/>
          <w:sz w:val="21"/>
          <w:szCs w:val="21"/>
        </w:rPr>
        <w:t>（9）进行基金会计核算并编制基金财务会计报告；</w:t>
      </w:r>
    </w:p>
    <w:p>
      <w:pPr>
        <w:pStyle w:val="7"/>
        <w:spacing w:before="0" w:beforeAutospacing="0" w:after="0" w:afterAutospacing="0" w:line="360" w:lineRule="auto"/>
        <w:ind w:firstLine="420"/>
        <w:rPr>
          <w:sz w:val="21"/>
          <w:szCs w:val="21"/>
        </w:rPr>
      </w:pPr>
      <w:r>
        <w:rPr>
          <w:rFonts w:hint="eastAsia"/>
          <w:sz w:val="21"/>
          <w:szCs w:val="21"/>
        </w:rPr>
        <w:t>（10）编制季度报告、中期报告和年度报告；</w:t>
      </w:r>
    </w:p>
    <w:p>
      <w:pPr>
        <w:pStyle w:val="7"/>
        <w:spacing w:before="0" w:beforeAutospacing="0" w:after="0" w:afterAutospacing="0" w:line="360" w:lineRule="auto"/>
        <w:ind w:firstLine="420"/>
        <w:rPr>
          <w:sz w:val="21"/>
          <w:szCs w:val="21"/>
        </w:rPr>
      </w:pPr>
      <w:r>
        <w:rPr>
          <w:rFonts w:hint="eastAsia"/>
          <w:sz w:val="21"/>
          <w:szCs w:val="21"/>
        </w:rPr>
        <w:t>（11）严格按照《基金法》、《基金合同》及其他有关规定，履行信息披露及报告义务；</w:t>
      </w:r>
    </w:p>
    <w:p>
      <w:pPr>
        <w:pStyle w:val="7"/>
        <w:spacing w:before="0" w:beforeAutospacing="0" w:after="0" w:afterAutospacing="0" w:line="360" w:lineRule="auto"/>
        <w:ind w:firstLine="420"/>
        <w:rPr>
          <w:sz w:val="21"/>
          <w:szCs w:val="21"/>
        </w:rPr>
      </w:pPr>
      <w:r>
        <w:rPr>
          <w:rFonts w:hint="eastAsia"/>
          <w:sz w:val="21"/>
          <w:szCs w:val="21"/>
        </w:rPr>
        <w:t>（12）保守基金商业秘密，不泄露基金投资计划、投资意向等。除《基金法》、《基金合同》及其他有关规定另有规定外，在基金信息公开披露前应予保密，不向他人泄露，向审计、法律等外部专业顾问提供的情况除外；</w:t>
      </w:r>
    </w:p>
    <w:p>
      <w:pPr>
        <w:pStyle w:val="7"/>
        <w:spacing w:before="0" w:beforeAutospacing="0" w:after="0" w:afterAutospacing="0" w:line="360" w:lineRule="auto"/>
        <w:ind w:firstLine="420"/>
        <w:rPr>
          <w:sz w:val="21"/>
          <w:szCs w:val="21"/>
        </w:rPr>
      </w:pPr>
      <w:r>
        <w:rPr>
          <w:rFonts w:hint="eastAsia"/>
          <w:sz w:val="21"/>
          <w:szCs w:val="21"/>
        </w:rPr>
        <w:t>（13）按《基金合同》的约定确定基金收益分配方案，及时向基金份额持有人分配基金收益；</w:t>
      </w:r>
    </w:p>
    <w:p>
      <w:pPr>
        <w:pStyle w:val="7"/>
        <w:spacing w:before="0" w:beforeAutospacing="0" w:after="0" w:afterAutospacing="0" w:line="360" w:lineRule="auto"/>
        <w:ind w:firstLine="420"/>
        <w:rPr>
          <w:sz w:val="21"/>
          <w:szCs w:val="21"/>
        </w:rPr>
      </w:pPr>
      <w:r>
        <w:rPr>
          <w:rFonts w:hint="eastAsia"/>
          <w:sz w:val="21"/>
          <w:szCs w:val="21"/>
        </w:rPr>
        <w:t>（14）按规定受理申购与赎回申请，及时、足额支付赎回对价；</w:t>
      </w:r>
    </w:p>
    <w:p>
      <w:pPr>
        <w:pStyle w:val="7"/>
        <w:spacing w:before="0" w:beforeAutospacing="0" w:after="0" w:afterAutospacing="0" w:line="360" w:lineRule="auto"/>
        <w:ind w:firstLine="420"/>
        <w:rPr>
          <w:sz w:val="21"/>
          <w:szCs w:val="21"/>
        </w:rPr>
      </w:pPr>
      <w:r>
        <w:rPr>
          <w:rFonts w:hint="eastAsia"/>
          <w:sz w:val="21"/>
          <w:szCs w:val="21"/>
        </w:rPr>
        <w:t>（15）依据《基金法》、《基金合同》及其他有关规定召集基金份额持有人大会或配合基金托管人、基金份额持有人依法召集基金份额持有人大会；</w:t>
      </w:r>
    </w:p>
    <w:p>
      <w:pPr>
        <w:pStyle w:val="7"/>
        <w:spacing w:before="0" w:beforeAutospacing="0" w:after="0" w:afterAutospacing="0" w:line="360" w:lineRule="auto"/>
        <w:ind w:firstLine="420"/>
        <w:rPr>
          <w:sz w:val="21"/>
          <w:szCs w:val="21"/>
        </w:rPr>
      </w:pPr>
      <w:r>
        <w:rPr>
          <w:rFonts w:hint="eastAsia"/>
          <w:sz w:val="21"/>
          <w:szCs w:val="21"/>
        </w:rPr>
        <w:t>（16）按规定保存基金财产管理业务活动的会计账册、报表、记录和其他相关资料，保存期限不低于法定最低期限；</w:t>
      </w:r>
    </w:p>
    <w:p>
      <w:pPr>
        <w:pStyle w:val="7"/>
        <w:spacing w:before="0" w:beforeAutospacing="0" w:after="0" w:afterAutospacing="0" w:line="360" w:lineRule="auto"/>
        <w:ind w:firstLine="420"/>
        <w:rPr>
          <w:sz w:val="21"/>
          <w:szCs w:val="21"/>
        </w:rPr>
      </w:pPr>
      <w:r>
        <w:rPr>
          <w:rFonts w:hint="eastAsia"/>
          <w:sz w:val="21"/>
          <w:szCs w:val="21"/>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pPr>
        <w:pStyle w:val="7"/>
        <w:spacing w:before="0" w:beforeAutospacing="0" w:after="0" w:afterAutospacing="0" w:line="360" w:lineRule="auto"/>
        <w:ind w:firstLine="420"/>
        <w:rPr>
          <w:sz w:val="21"/>
          <w:szCs w:val="21"/>
        </w:rPr>
      </w:pPr>
      <w:r>
        <w:rPr>
          <w:rFonts w:hint="eastAsia"/>
          <w:sz w:val="21"/>
          <w:szCs w:val="21"/>
        </w:rPr>
        <w:t>（18）组织并参加基金财产清算小组，参与基金财产的保管、清理、估价、变现和分配；</w:t>
      </w:r>
    </w:p>
    <w:p>
      <w:pPr>
        <w:pStyle w:val="7"/>
        <w:spacing w:before="0" w:beforeAutospacing="0" w:after="0" w:afterAutospacing="0" w:line="360" w:lineRule="auto"/>
        <w:ind w:firstLine="420"/>
        <w:rPr>
          <w:sz w:val="21"/>
          <w:szCs w:val="21"/>
        </w:rPr>
      </w:pPr>
      <w:r>
        <w:rPr>
          <w:rFonts w:hint="eastAsia"/>
          <w:sz w:val="21"/>
          <w:szCs w:val="21"/>
        </w:rPr>
        <w:t>（19）面临解散、依法被撤销或者被依法宣告破产时，及时报告中国证监会，并通知基金托管人；</w:t>
      </w:r>
    </w:p>
    <w:p>
      <w:pPr>
        <w:pStyle w:val="7"/>
        <w:spacing w:before="0" w:beforeAutospacing="0" w:after="0" w:afterAutospacing="0" w:line="360" w:lineRule="auto"/>
        <w:ind w:firstLine="420"/>
        <w:rPr>
          <w:sz w:val="21"/>
          <w:szCs w:val="21"/>
        </w:rPr>
      </w:pPr>
      <w:r>
        <w:rPr>
          <w:rFonts w:hint="eastAsia"/>
          <w:sz w:val="21"/>
          <w:szCs w:val="21"/>
        </w:rPr>
        <w:t>（20）因违反《基金合同》导致基金财产的损失或损害基金份额持有人合法权益时，应当承担赔偿责任，其赔偿责任不因其退任而免除；</w:t>
      </w:r>
    </w:p>
    <w:p>
      <w:pPr>
        <w:pStyle w:val="7"/>
        <w:spacing w:before="0" w:beforeAutospacing="0" w:after="0" w:afterAutospacing="0" w:line="360" w:lineRule="auto"/>
        <w:ind w:firstLine="420"/>
        <w:rPr>
          <w:sz w:val="21"/>
          <w:szCs w:val="21"/>
        </w:rPr>
      </w:pPr>
      <w:r>
        <w:rPr>
          <w:rFonts w:hint="eastAsia"/>
          <w:sz w:val="21"/>
          <w:szCs w:val="21"/>
        </w:rPr>
        <w:t>（21）监督基金托管人按法律法规和《基金合同》规定履行自己的义务，基金托管人违反《基金合同》造成基金财产损失时，基金管理人应为基金份额持有人利益向基金托管人追偿；</w:t>
      </w:r>
    </w:p>
    <w:p>
      <w:pPr>
        <w:pStyle w:val="7"/>
        <w:spacing w:before="0" w:beforeAutospacing="0" w:after="0" w:afterAutospacing="0" w:line="360" w:lineRule="auto"/>
        <w:ind w:firstLine="420"/>
        <w:rPr>
          <w:sz w:val="21"/>
          <w:szCs w:val="21"/>
        </w:rPr>
      </w:pPr>
      <w:r>
        <w:rPr>
          <w:rFonts w:hint="eastAsia"/>
          <w:sz w:val="21"/>
          <w:szCs w:val="21"/>
        </w:rPr>
        <w:t>（22）当基金管理人将其义务委托第三方处理时，应当对第三方处理有关基金事务的行为承担责任；</w:t>
      </w:r>
    </w:p>
    <w:p>
      <w:pPr>
        <w:pStyle w:val="7"/>
        <w:spacing w:before="0" w:beforeAutospacing="0" w:after="0" w:afterAutospacing="0" w:line="360" w:lineRule="auto"/>
        <w:ind w:firstLine="420"/>
        <w:rPr>
          <w:sz w:val="21"/>
          <w:szCs w:val="21"/>
        </w:rPr>
      </w:pPr>
      <w:r>
        <w:rPr>
          <w:rFonts w:hint="eastAsia"/>
          <w:sz w:val="21"/>
          <w:szCs w:val="21"/>
        </w:rPr>
        <w:t>（23）以基金管理人名义，代表基金份额持有人利益行使诉讼权利或实施其他法律行为；</w:t>
      </w:r>
    </w:p>
    <w:p>
      <w:pPr>
        <w:pStyle w:val="7"/>
        <w:spacing w:before="0" w:beforeAutospacing="0" w:after="0" w:afterAutospacing="0" w:line="360" w:lineRule="auto"/>
        <w:ind w:firstLine="420"/>
        <w:rPr>
          <w:sz w:val="21"/>
          <w:szCs w:val="21"/>
        </w:rPr>
      </w:pPr>
      <w:r>
        <w:rPr>
          <w:rFonts w:hint="eastAsia"/>
          <w:sz w:val="21"/>
          <w:szCs w:val="21"/>
        </w:rPr>
        <w:t>（24）基金在募集期间未能达到基金的备案条件，《基金合同》不能生效，基金管理人承担全部募集费用，将已募集资金并加计银行同期活期存款利息在基金募集期结束后30日内退还基金认购人，对于基金募集期间网下股票认购所冻结的股票，发售代理机构应予以解冻；</w:t>
      </w:r>
    </w:p>
    <w:p>
      <w:pPr>
        <w:pStyle w:val="7"/>
        <w:spacing w:before="0" w:beforeAutospacing="0" w:after="0" w:afterAutospacing="0" w:line="360" w:lineRule="auto"/>
        <w:ind w:firstLine="420"/>
        <w:rPr>
          <w:sz w:val="21"/>
          <w:szCs w:val="21"/>
        </w:rPr>
      </w:pPr>
      <w:r>
        <w:rPr>
          <w:rFonts w:hint="eastAsia"/>
          <w:sz w:val="21"/>
          <w:szCs w:val="21"/>
        </w:rPr>
        <w:t>（25）执行生效的基金份额持有人大会的决议；</w:t>
      </w:r>
    </w:p>
    <w:p>
      <w:pPr>
        <w:pStyle w:val="7"/>
        <w:spacing w:before="0" w:beforeAutospacing="0" w:after="0" w:afterAutospacing="0" w:line="360" w:lineRule="auto"/>
        <w:ind w:firstLine="420"/>
        <w:rPr>
          <w:sz w:val="21"/>
          <w:szCs w:val="21"/>
        </w:rPr>
      </w:pPr>
      <w:r>
        <w:rPr>
          <w:rFonts w:hint="eastAsia"/>
          <w:sz w:val="21"/>
          <w:szCs w:val="21"/>
        </w:rPr>
        <w:t>（26）建立并保存基金份额持有人名册；</w:t>
      </w:r>
    </w:p>
    <w:p>
      <w:pPr>
        <w:pStyle w:val="7"/>
        <w:spacing w:before="0" w:beforeAutospacing="0" w:after="0" w:afterAutospacing="0" w:line="360" w:lineRule="auto"/>
        <w:ind w:firstLine="420"/>
        <w:rPr>
          <w:sz w:val="21"/>
          <w:szCs w:val="21"/>
        </w:rPr>
      </w:pPr>
      <w:r>
        <w:rPr>
          <w:rFonts w:hint="eastAsia"/>
          <w:sz w:val="21"/>
          <w:szCs w:val="21"/>
        </w:rPr>
        <w:t>（27）法律法规及中国证监会规定的和《基金合同》约定的其他义务。</w:t>
      </w:r>
    </w:p>
    <w:p>
      <w:pPr>
        <w:pStyle w:val="7"/>
        <w:spacing w:before="0" w:beforeAutospacing="0" w:after="0" w:afterAutospacing="0" w:line="360" w:lineRule="auto"/>
        <w:ind w:firstLine="420"/>
        <w:rPr>
          <w:sz w:val="21"/>
          <w:szCs w:val="21"/>
        </w:rPr>
      </w:pPr>
      <w:r>
        <w:rPr>
          <w:rFonts w:hint="eastAsia"/>
          <w:sz w:val="21"/>
          <w:szCs w:val="21"/>
        </w:rPr>
        <w:t>（三） 基金托管人的权利与义务</w:t>
      </w:r>
    </w:p>
    <w:p>
      <w:pPr>
        <w:pStyle w:val="7"/>
        <w:spacing w:before="0" w:beforeAutospacing="0" w:after="0" w:afterAutospacing="0" w:line="360" w:lineRule="auto"/>
        <w:ind w:firstLine="420"/>
        <w:rPr>
          <w:sz w:val="21"/>
          <w:szCs w:val="21"/>
        </w:rPr>
      </w:pPr>
      <w:r>
        <w:rPr>
          <w:rFonts w:hint="eastAsia"/>
          <w:sz w:val="21"/>
          <w:szCs w:val="21"/>
        </w:rPr>
        <w:t>1、根据《基金法》、《运作办法》及其他有关规定，基金托管人的权利包括但不限于：</w:t>
      </w:r>
    </w:p>
    <w:p>
      <w:pPr>
        <w:pStyle w:val="7"/>
        <w:spacing w:before="0" w:beforeAutospacing="0" w:after="0" w:afterAutospacing="0" w:line="360" w:lineRule="auto"/>
        <w:ind w:firstLine="420"/>
        <w:rPr>
          <w:sz w:val="21"/>
          <w:szCs w:val="21"/>
        </w:rPr>
      </w:pPr>
      <w:r>
        <w:rPr>
          <w:rFonts w:hint="eastAsia"/>
          <w:sz w:val="21"/>
          <w:szCs w:val="21"/>
        </w:rPr>
        <w:t>（1）自《基金合同》生效之日起，依法律法规和《基金合同》的规定安全保管基金财产；</w:t>
      </w:r>
    </w:p>
    <w:p>
      <w:pPr>
        <w:pStyle w:val="7"/>
        <w:spacing w:before="0" w:beforeAutospacing="0" w:after="0" w:afterAutospacing="0" w:line="360" w:lineRule="auto"/>
        <w:ind w:firstLine="420"/>
        <w:rPr>
          <w:sz w:val="21"/>
          <w:szCs w:val="21"/>
        </w:rPr>
      </w:pPr>
      <w:r>
        <w:rPr>
          <w:rFonts w:hint="eastAsia"/>
          <w:sz w:val="21"/>
          <w:szCs w:val="21"/>
        </w:rPr>
        <w:t>（2）依《基金合同》约定获得基金托管费以及法律法规规定或监管部门批准的其他费用；</w:t>
      </w:r>
    </w:p>
    <w:p>
      <w:pPr>
        <w:pStyle w:val="7"/>
        <w:spacing w:before="0" w:beforeAutospacing="0" w:after="0" w:afterAutospacing="0" w:line="360" w:lineRule="auto"/>
        <w:ind w:firstLine="420"/>
        <w:rPr>
          <w:sz w:val="21"/>
          <w:szCs w:val="21"/>
        </w:rPr>
      </w:pPr>
      <w:r>
        <w:rPr>
          <w:rFonts w:hint="eastAsia"/>
          <w:sz w:val="21"/>
          <w:szCs w:val="21"/>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pPr>
        <w:pStyle w:val="7"/>
        <w:spacing w:before="0" w:beforeAutospacing="0" w:after="0" w:afterAutospacing="0" w:line="360" w:lineRule="auto"/>
        <w:ind w:firstLine="420"/>
        <w:rPr>
          <w:sz w:val="21"/>
          <w:szCs w:val="21"/>
        </w:rPr>
      </w:pPr>
      <w:r>
        <w:rPr>
          <w:rFonts w:hint="eastAsia"/>
          <w:sz w:val="21"/>
          <w:szCs w:val="21"/>
        </w:rPr>
        <w:t>（4）根据相关市场规则，为基金开设资金账户、证券账户等投资所需账户，为基金办理证券、期货交易资金清算；</w:t>
      </w:r>
    </w:p>
    <w:p>
      <w:pPr>
        <w:pStyle w:val="7"/>
        <w:spacing w:before="0" w:beforeAutospacing="0" w:after="0" w:afterAutospacing="0" w:line="360" w:lineRule="auto"/>
        <w:ind w:firstLine="420"/>
        <w:rPr>
          <w:sz w:val="21"/>
          <w:szCs w:val="21"/>
        </w:rPr>
      </w:pPr>
      <w:r>
        <w:rPr>
          <w:rFonts w:hint="eastAsia"/>
          <w:sz w:val="21"/>
          <w:szCs w:val="21"/>
        </w:rPr>
        <w:t>（5）提议召开或召集基金份额持有人大会；</w:t>
      </w:r>
    </w:p>
    <w:p>
      <w:pPr>
        <w:pStyle w:val="7"/>
        <w:spacing w:before="0" w:beforeAutospacing="0" w:after="0" w:afterAutospacing="0" w:line="360" w:lineRule="auto"/>
        <w:ind w:firstLine="420"/>
        <w:rPr>
          <w:sz w:val="21"/>
          <w:szCs w:val="21"/>
        </w:rPr>
      </w:pPr>
      <w:r>
        <w:rPr>
          <w:rFonts w:hint="eastAsia"/>
          <w:sz w:val="21"/>
          <w:szCs w:val="21"/>
        </w:rPr>
        <w:t>（6）在基金管理人更换时，提名新的基金管理人；</w:t>
      </w:r>
    </w:p>
    <w:p>
      <w:pPr>
        <w:pStyle w:val="7"/>
        <w:spacing w:before="0" w:beforeAutospacing="0" w:after="0" w:afterAutospacing="0" w:line="360" w:lineRule="auto"/>
        <w:ind w:firstLine="420"/>
        <w:rPr>
          <w:sz w:val="21"/>
          <w:szCs w:val="21"/>
        </w:rPr>
      </w:pPr>
      <w:r>
        <w:rPr>
          <w:rFonts w:hint="eastAsia"/>
          <w:sz w:val="21"/>
          <w:szCs w:val="21"/>
        </w:rPr>
        <w:t>（7）法律法规及中国证监会规定的和《基金合同》约定的其他权利。</w:t>
      </w:r>
    </w:p>
    <w:p>
      <w:pPr>
        <w:pStyle w:val="7"/>
        <w:spacing w:before="0" w:beforeAutospacing="0" w:after="0" w:afterAutospacing="0" w:line="360" w:lineRule="auto"/>
        <w:ind w:firstLine="420"/>
        <w:rPr>
          <w:sz w:val="21"/>
          <w:szCs w:val="21"/>
        </w:rPr>
      </w:pPr>
      <w:r>
        <w:rPr>
          <w:rFonts w:hint="eastAsia"/>
          <w:sz w:val="21"/>
          <w:szCs w:val="21"/>
        </w:rPr>
        <w:t>2、根据《基金法》、《运作办法》及其他有关规定，基金托管人的义务包括但不限于：</w:t>
      </w:r>
    </w:p>
    <w:p>
      <w:pPr>
        <w:pStyle w:val="7"/>
        <w:spacing w:before="0" w:beforeAutospacing="0" w:after="0" w:afterAutospacing="0" w:line="360" w:lineRule="auto"/>
        <w:ind w:firstLine="420"/>
        <w:rPr>
          <w:sz w:val="21"/>
          <w:szCs w:val="21"/>
        </w:rPr>
      </w:pPr>
      <w:r>
        <w:rPr>
          <w:rFonts w:hint="eastAsia"/>
          <w:sz w:val="21"/>
          <w:szCs w:val="21"/>
        </w:rPr>
        <w:t>（1）以诚实信用、勤勉尽责的原则持有并安全保管基金财产；</w:t>
      </w:r>
    </w:p>
    <w:p>
      <w:pPr>
        <w:pStyle w:val="7"/>
        <w:spacing w:before="0" w:beforeAutospacing="0" w:after="0" w:afterAutospacing="0" w:line="360" w:lineRule="auto"/>
        <w:ind w:firstLine="420"/>
        <w:rPr>
          <w:sz w:val="21"/>
          <w:szCs w:val="21"/>
        </w:rPr>
      </w:pPr>
      <w:r>
        <w:rPr>
          <w:rFonts w:hint="eastAsia"/>
          <w:sz w:val="21"/>
          <w:szCs w:val="21"/>
        </w:rPr>
        <w:t>（2）设立专门的基金托管部门，具有符合要求的营业场所，配备足够的、合格的熟悉基金托管业务的专职人员，负责基金财产托管事宜；</w:t>
      </w:r>
    </w:p>
    <w:p>
      <w:pPr>
        <w:pStyle w:val="7"/>
        <w:spacing w:before="0" w:beforeAutospacing="0" w:after="0" w:afterAutospacing="0" w:line="360" w:lineRule="auto"/>
        <w:ind w:firstLine="420"/>
        <w:rPr>
          <w:sz w:val="21"/>
          <w:szCs w:val="21"/>
        </w:rPr>
      </w:pPr>
      <w:r>
        <w:rPr>
          <w:rFonts w:hint="eastAsia"/>
          <w:sz w:val="21"/>
          <w:szCs w:val="21"/>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pPr>
        <w:pStyle w:val="7"/>
        <w:spacing w:before="0" w:beforeAutospacing="0" w:after="0" w:afterAutospacing="0" w:line="360" w:lineRule="auto"/>
        <w:ind w:firstLine="420"/>
        <w:rPr>
          <w:sz w:val="21"/>
          <w:szCs w:val="21"/>
        </w:rPr>
      </w:pPr>
      <w:r>
        <w:rPr>
          <w:rFonts w:hint="eastAsia"/>
          <w:sz w:val="21"/>
          <w:szCs w:val="21"/>
        </w:rPr>
        <w:t>（4）除依据《基金法》、《基金合同》及其他有关规定外，不得利用基金财产为自己及任何第三人谋取利益，不得委托第三人托管基金财产；</w:t>
      </w:r>
    </w:p>
    <w:p>
      <w:pPr>
        <w:pStyle w:val="7"/>
        <w:spacing w:before="0" w:beforeAutospacing="0" w:after="0" w:afterAutospacing="0" w:line="360" w:lineRule="auto"/>
        <w:ind w:firstLine="420"/>
        <w:rPr>
          <w:sz w:val="21"/>
          <w:szCs w:val="21"/>
        </w:rPr>
      </w:pPr>
      <w:r>
        <w:rPr>
          <w:rFonts w:hint="eastAsia"/>
          <w:sz w:val="21"/>
          <w:szCs w:val="21"/>
        </w:rPr>
        <w:t>（5）保管由基金管理人代表基金签订的与基金有关的重大合同及有关凭证；</w:t>
      </w:r>
    </w:p>
    <w:p>
      <w:pPr>
        <w:pStyle w:val="7"/>
        <w:spacing w:before="0" w:beforeAutospacing="0" w:after="0" w:afterAutospacing="0" w:line="360" w:lineRule="auto"/>
        <w:ind w:firstLine="420"/>
        <w:rPr>
          <w:sz w:val="21"/>
          <w:szCs w:val="21"/>
        </w:rPr>
      </w:pPr>
      <w:r>
        <w:rPr>
          <w:rFonts w:hint="eastAsia"/>
          <w:sz w:val="21"/>
          <w:szCs w:val="21"/>
        </w:rPr>
        <w:t>（6）按规定开设基金财产的资金账户、证券账户等投资所需账户，按照《基金合同》的约定，根据基金管理人的投资指令，及时办理清算、交割事宜；</w:t>
      </w:r>
    </w:p>
    <w:p>
      <w:pPr>
        <w:pStyle w:val="7"/>
        <w:spacing w:before="0" w:beforeAutospacing="0" w:after="0" w:afterAutospacing="0" w:line="360" w:lineRule="auto"/>
        <w:ind w:firstLine="420"/>
        <w:rPr>
          <w:sz w:val="21"/>
          <w:szCs w:val="21"/>
        </w:rPr>
      </w:pPr>
      <w:r>
        <w:rPr>
          <w:rFonts w:hint="eastAsia"/>
          <w:sz w:val="21"/>
          <w:szCs w:val="21"/>
        </w:rPr>
        <w:t>（7）保守基金商业秘密，除《基金法》、《基金合同》及其他有关规定另有规定外，在基金信息公开披露前予以保密，向审计、法律等外部专业顾问提供的情况除外；</w:t>
      </w:r>
    </w:p>
    <w:p>
      <w:pPr>
        <w:pStyle w:val="7"/>
        <w:spacing w:before="0" w:beforeAutospacing="0" w:after="0" w:afterAutospacing="0" w:line="360" w:lineRule="auto"/>
        <w:ind w:firstLine="420"/>
        <w:rPr>
          <w:sz w:val="21"/>
          <w:szCs w:val="21"/>
        </w:rPr>
      </w:pPr>
      <w:r>
        <w:rPr>
          <w:rFonts w:hint="eastAsia"/>
          <w:sz w:val="21"/>
          <w:szCs w:val="21"/>
        </w:rPr>
        <w:t>（8）复核、审查基金管理人计算的基金资产净值、基金份额净值、基金份额申购、赎回对价；</w:t>
      </w:r>
    </w:p>
    <w:p>
      <w:pPr>
        <w:pStyle w:val="7"/>
        <w:spacing w:before="0" w:beforeAutospacing="0" w:after="0" w:afterAutospacing="0" w:line="360" w:lineRule="auto"/>
        <w:ind w:firstLine="420"/>
        <w:rPr>
          <w:sz w:val="21"/>
          <w:szCs w:val="21"/>
        </w:rPr>
      </w:pPr>
      <w:r>
        <w:rPr>
          <w:rFonts w:hint="eastAsia"/>
          <w:sz w:val="21"/>
          <w:szCs w:val="21"/>
        </w:rPr>
        <w:t>（9）办理与基金托管业务活动有关的信息披露事项；</w:t>
      </w:r>
    </w:p>
    <w:p>
      <w:pPr>
        <w:pStyle w:val="7"/>
        <w:spacing w:before="0" w:beforeAutospacing="0" w:after="0" w:afterAutospacing="0" w:line="360" w:lineRule="auto"/>
        <w:ind w:firstLine="420"/>
        <w:rPr>
          <w:sz w:val="21"/>
          <w:szCs w:val="21"/>
        </w:rPr>
      </w:pPr>
      <w:r>
        <w:rPr>
          <w:rFonts w:hint="eastAsia"/>
          <w:sz w:val="21"/>
          <w:szCs w:val="21"/>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pPr>
        <w:pStyle w:val="7"/>
        <w:spacing w:before="0" w:beforeAutospacing="0" w:after="0" w:afterAutospacing="0" w:line="360" w:lineRule="auto"/>
        <w:ind w:firstLine="420"/>
        <w:rPr>
          <w:sz w:val="21"/>
          <w:szCs w:val="21"/>
        </w:rPr>
      </w:pPr>
      <w:r>
        <w:rPr>
          <w:rFonts w:hint="eastAsia"/>
          <w:sz w:val="21"/>
          <w:szCs w:val="21"/>
        </w:rPr>
        <w:t>（11）保存基金托管业务活动的记录、账册、报表和其他相关资料，保存期限不低于法定最低期限；</w:t>
      </w:r>
    </w:p>
    <w:p>
      <w:pPr>
        <w:pStyle w:val="7"/>
        <w:spacing w:before="0" w:beforeAutospacing="0" w:after="0" w:afterAutospacing="0" w:line="360" w:lineRule="auto"/>
        <w:ind w:firstLine="420"/>
        <w:rPr>
          <w:sz w:val="21"/>
          <w:szCs w:val="21"/>
        </w:rPr>
      </w:pPr>
      <w:r>
        <w:rPr>
          <w:rFonts w:hint="eastAsia"/>
          <w:sz w:val="21"/>
          <w:szCs w:val="21"/>
        </w:rPr>
        <w:t>（12）从基金管理人或其委托的登记机构处接收并保存基金份额持有人名册；</w:t>
      </w:r>
    </w:p>
    <w:p>
      <w:pPr>
        <w:pStyle w:val="7"/>
        <w:spacing w:before="0" w:beforeAutospacing="0" w:after="0" w:afterAutospacing="0" w:line="360" w:lineRule="auto"/>
        <w:ind w:firstLine="420"/>
        <w:rPr>
          <w:sz w:val="21"/>
          <w:szCs w:val="21"/>
        </w:rPr>
      </w:pPr>
      <w:r>
        <w:rPr>
          <w:rFonts w:hint="eastAsia"/>
          <w:sz w:val="21"/>
          <w:szCs w:val="21"/>
        </w:rPr>
        <w:t>（13）按规定制作相关账册并与基金管理人核对；</w:t>
      </w:r>
    </w:p>
    <w:p>
      <w:pPr>
        <w:pStyle w:val="7"/>
        <w:spacing w:before="0" w:beforeAutospacing="0" w:after="0" w:afterAutospacing="0" w:line="360" w:lineRule="auto"/>
        <w:ind w:firstLine="420"/>
        <w:rPr>
          <w:sz w:val="21"/>
          <w:szCs w:val="21"/>
        </w:rPr>
      </w:pPr>
      <w:r>
        <w:rPr>
          <w:rFonts w:hint="eastAsia"/>
          <w:sz w:val="21"/>
          <w:szCs w:val="21"/>
        </w:rPr>
        <w:t>（14）依据基金管理人的指令或有关规定向基金份额持有人支付基金收益和赎回对价的现金部分；</w:t>
      </w:r>
    </w:p>
    <w:p>
      <w:pPr>
        <w:pStyle w:val="7"/>
        <w:spacing w:before="0" w:beforeAutospacing="0" w:after="0" w:afterAutospacing="0" w:line="360" w:lineRule="auto"/>
        <w:ind w:firstLine="420"/>
        <w:rPr>
          <w:sz w:val="21"/>
          <w:szCs w:val="21"/>
        </w:rPr>
      </w:pPr>
      <w:r>
        <w:rPr>
          <w:rFonts w:hint="eastAsia"/>
          <w:sz w:val="21"/>
          <w:szCs w:val="21"/>
        </w:rPr>
        <w:t>（15）依据《基金法》、《基金合同》及其他有关规定，召集基金份额持有人大会或配合基金管理人、基金份额持有人依法召集基金份额持有人大会；</w:t>
      </w:r>
    </w:p>
    <w:p>
      <w:pPr>
        <w:pStyle w:val="7"/>
        <w:spacing w:before="0" w:beforeAutospacing="0" w:after="0" w:afterAutospacing="0" w:line="360" w:lineRule="auto"/>
        <w:ind w:firstLine="420"/>
        <w:rPr>
          <w:sz w:val="21"/>
          <w:szCs w:val="21"/>
        </w:rPr>
      </w:pPr>
      <w:r>
        <w:rPr>
          <w:rFonts w:hint="eastAsia"/>
          <w:sz w:val="21"/>
          <w:szCs w:val="21"/>
        </w:rPr>
        <w:t>（16）按照法律法规和《基金合同》和托管协议的规定监督基金管理人的投资运作；</w:t>
      </w:r>
    </w:p>
    <w:p>
      <w:pPr>
        <w:pStyle w:val="7"/>
        <w:spacing w:before="0" w:beforeAutospacing="0" w:after="0" w:afterAutospacing="0" w:line="360" w:lineRule="auto"/>
        <w:ind w:firstLine="420"/>
        <w:rPr>
          <w:sz w:val="21"/>
          <w:szCs w:val="21"/>
        </w:rPr>
      </w:pPr>
      <w:r>
        <w:rPr>
          <w:rFonts w:hint="eastAsia"/>
          <w:sz w:val="21"/>
          <w:szCs w:val="21"/>
        </w:rPr>
        <w:t>（17）参加基金财产清算小组，参与基金财产的保管、清理、估价、变现和分配；</w:t>
      </w:r>
    </w:p>
    <w:p>
      <w:pPr>
        <w:pStyle w:val="7"/>
        <w:spacing w:before="0" w:beforeAutospacing="0" w:after="0" w:afterAutospacing="0" w:line="360" w:lineRule="auto"/>
        <w:ind w:firstLine="420"/>
        <w:rPr>
          <w:sz w:val="21"/>
          <w:szCs w:val="21"/>
        </w:rPr>
      </w:pPr>
      <w:r>
        <w:rPr>
          <w:rFonts w:hint="eastAsia"/>
          <w:sz w:val="21"/>
          <w:szCs w:val="21"/>
        </w:rPr>
        <w:t>（18）面临解散、依法被撤销或者被依法宣告破产时，及时报告中国证监会和银行业监督管理机构，并通知基金管理人；</w:t>
      </w:r>
    </w:p>
    <w:p>
      <w:pPr>
        <w:pStyle w:val="7"/>
        <w:spacing w:before="0" w:beforeAutospacing="0" w:after="0" w:afterAutospacing="0" w:line="360" w:lineRule="auto"/>
        <w:ind w:firstLine="420"/>
        <w:rPr>
          <w:sz w:val="21"/>
          <w:szCs w:val="21"/>
        </w:rPr>
      </w:pPr>
      <w:r>
        <w:rPr>
          <w:rFonts w:hint="eastAsia"/>
          <w:sz w:val="21"/>
          <w:szCs w:val="21"/>
        </w:rPr>
        <w:t>（19）因违反《基金合同》导致基金财产损失时，应承担赔偿责任，其赔偿责任不因其退任而免除；</w:t>
      </w:r>
    </w:p>
    <w:p>
      <w:pPr>
        <w:pStyle w:val="7"/>
        <w:spacing w:before="0" w:beforeAutospacing="0" w:after="0" w:afterAutospacing="0" w:line="360" w:lineRule="auto"/>
        <w:ind w:firstLine="420"/>
        <w:rPr>
          <w:sz w:val="21"/>
          <w:szCs w:val="21"/>
        </w:rPr>
      </w:pPr>
      <w:r>
        <w:rPr>
          <w:rFonts w:hint="eastAsia"/>
          <w:sz w:val="21"/>
          <w:szCs w:val="21"/>
        </w:rPr>
        <w:t>（20）按规定监督基金管理人按法律法规和《基金合同》规定履行自己的义务，基金管理人因违反《基金合同》造成基金财产损失时，应为基金份额持有人利益向基金管理人追偿；</w:t>
      </w:r>
    </w:p>
    <w:p>
      <w:pPr>
        <w:pStyle w:val="7"/>
        <w:spacing w:before="0" w:beforeAutospacing="0" w:after="0" w:afterAutospacing="0" w:line="360" w:lineRule="auto"/>
        <w:ind w:firstLine="420"/>
        <w:rPr>
          <w:sz w:val="21"/>
          <w:szCs w:val="21"/>
        </w:rPr>
      </w:pPr>
      <w:r>
        <w:rPr>
          <w:rFonts w:hint="eastAsia"/>
          <w:sz w:val="21"/>
          <w:szCs w:val="21"/>
        </w:rPr>
        <w:t>（21）执行生效的基金份额持有人大会的决议；</w:t>
      </w:r>
    </w:p>
    <w:p>
      <w:pPr>
        <w:pStyle w:val="7"/>
        <w:spacing w:before="0" w:beforeAutospacing="0" w:after="0" w:afterAutospacing="0" w:line="360" w:lineRule="auto"/>
        <w:ind w:firstLine="420"/>
        <w:rPr>
          <w:sz w:val="21"/>
          <w:szCs w:val="21"/>
        </w:rPr>
      </w:pPr>
      <w:r>
        <w:rPr>
          <w:rFonts w:hint="eastAsia"/>
          <w:sz w:val="21"/>
          <w:szCs w:val="21"/>
        </w:rPr>
        <w:t>（22）法律法规及中国证监会规定的和《基金合同》约定的其他义务。</w:t>
      </w:r>
    </w:p>
    <w:p>
      <w:pPr>
        <w:pStyle w:val="7"/>
        <w:spacing w:before="0" w:beforeAutospacing="0" w:after="0" w:afterAutospacing="0" w:line="360" w:lineRule="auto"/>
        <w:ind w:firstLine="420"/>
        <w:rPr>
          <w:sz w:val="21"/>
          <w:szCs w:val="21"/>
        </w:rPr>
      </w:pPr>
      <w:r>
        <w:rPr>
          <w:rStyle w:val="11"/>
          <w:rFonts w:hint="eastAsia"/>
          <w:sz w:val="21"/>
          <w:szCs w:val="21"/>
        </w:rPr>
        <w:t>二、基金份额持有人大会召集、议事及表决的程序和规则</w:t>
      </w:r>
    </w:p>
    <w:p>
      <w:pPr>
        <w:pStyle w:val="7"/>
        <w:spacing w:before="0" w:beforeAutospacing="0" w:after="0" w:afterAutospacing="0" w:line="360" w:lineRule="auto"/>
        <w:ind w:firstLine="420"/>
        <w:rPr>
          <w:sz w:val="21"/>
          <w:szCs w:val="21"/>
        </w:rPr>
      </w:pPr>
      <w:r>
        <w:rPr>
          <w:rFonts w:hint="eastAsia"/>
          <w:sz w:val="21"/>
          <w:szCs w:val="21"/>
        </w:rPr>
        <w:t>基金份额持有人大会由基金份额持有人组成，基金份额持有人的合法授权代表有权代表基金份额持有人出席会议并表决。基金份额持有人持有的每一基金份额拥有平等的投票权。</w:t>
      </w:r>
    </w:p>
    <w:p>
      <w:pPr>
        <w:pStyle w:val="7"/>
        <w:spacing w:before="0" w:beforeAutospacing="0" w:after="0" w:afterAutospacing="0" w:line="360" w:lineRule="auto"/>
        <w:ind w:firstLine="420"/>
        <w:rPr>
          <w:sz w:val="21"/>
          <w:szCs w:val="21"/>
        </w:rPr>
      </w:pPr>
      <w:r>
        <w:rPr>
          <w:rFonts w:hint="eastAsia"/>
          <w:sz w:val="21"/>
          <w:szCs w:val="21"/>
        </w:rPr>
        <w:t>若以本基金为目标ETF，且基金管理人和基金托管人与本基金基金管理人和基金托管人一致的联接基金的基金合同生效，鉴于本基金和联接基金的相关性，联接基金的基金份额持有人可以凭所持有的联接基金的基金份额直接出席本基金的基金份额持有人大会或者委派代表出席本基金的基金份额持有人大会并参与表决。在计算参会份额和票数时，联接基金基金份额持有人持有的享有表决权的参会份额数和表决票数为：在本基金基金份额持有人大会的权益登记日，联接基金持有本基金份额的总数乘以该持有人所持有的联接基金份额占联接基金总份额的比例，计算结果按照四舍五入的方法，保留到整数位。联接基金折算为本基金后的每一参会份额和本基金的每一参会份额拥有平等的投票权。</w:t>
      </w:r>
    </w:p>
    <w:p>
      <w:pPr>
        <w:pStyle w:val="7"/>
        <w:spacing w:before="0" w:beforeAutospacing="0" w:after="0" w:afterAutospacing="0" w:line="360" w:lineRule="auto"/>
        <w:ind w:firstLine="420"/>
        <w:rPr>
          <w:sz w:val="21"/>
          <w:szCs w:val="21"/>
        </w:rPr>
      </w:pPr>
      <w:r>
        <w:rPr>
          <w:rFonts w:hint="eastAsia"/>
          <w:sz w:val="21"/>
          <w:szCs w:val="21"/>
        </w:rPr>
        <w:t>联接基金的基金管理人不应以联接基金的名义代表联接基金的全体基金份额持有人以本基金的基金份额持有人的身份行使表决权，但可接受联接基金的特定基金份额持有人的委托以联接基金的基金份额持有人代理人的身份出席本基金的基金份额持有人大会并参与表决。</w:t>
      </w:r>
    </w:p>
    <w:p>
      <w:pPr>
        <w:pStyle w:val="7"/>
        <w:spacing w:before="0" w:beforeAutospacing="0" w:after="0" w:afterAutospacing="0" w:line="360" w:lineRule="auto"/>
        <w:ind w:firstLine="420"/>
        <w:rPr>
          <w:sz w:val="21"/>
          <w:szCs w:val="21"/>
        </w:rPr>
      </w:pPr>
      <w:r>
        <w:rPr>
          <w:rFonts w:hint="eastAsia"/>
          <w:sz w:val="21"/>
          <w:szCs w:val="21"/>
        </w:rPr>
        <w:t>联接基金的基金管理人代表联接基金的基金份额持有人提议召开或召集本基金份额持有人大会的，须先遵照联接基金基金合同的约定召开联接基金的基金份额持有人大会，联接基金的基金份额持有人大会决定提议召开或召集本基金份额持有人大会的，由联接基金的基金管理人代表联接基金的基金份额持有人提议召开或召集本基金份额持有人大会。</w:t>
      </w:r>
    </w:p>
    <w:p>
      <w:pPr>
        <w:pStyle w:val="7"/>
        <w:spacing w:before="0" w:beforeAutospacing="0" w:after="0" w:afterAutospacing="0" w:line="360" w:lineRule="auto"/>
        <w:ind w:firstLine="420"/>
        <w:rPr>
          <w:sz w:val="21"/>
          <w:szCs w:val="21"/>
        </w:rPr>
      </w:pPr>
      <w:r>
        <w:rPr>
          <w:rFonts w:hint="eastAsia"/>
          <w:sz w:val="21"/>
          <w:szCs w:val="21"/>
        </w:rPr>
        <w:t>本基金份额持有人大会不设日常机构。</w:t>
      </w:r>
    </w:p>
    <w:p>
      <w:pPr>
        <w:pStyle w:val="7"/>
        <w:spacing w:before="0" w:beforeAutospacing="0" w:after="0" w:afterAutospacing="0" w:line="360" w:lineRule="auto"/>
        <w:ind w:firstLine="420"/>
        <w:rPr>
          <w:sz w:val="21"/>
          <w:szCs w:val="21"/>
        </w:rPr>
      </w:pPr>
      <w:r>
        <w:rPr>
          <w:rFonts w:hint="eastAsia"/>
          <w:sz w:val="21"/>
          <w:szCs w:val="21"/>
        </w:rPr>
        <w:t>法律法规或监管机构对基金份额持有人大会另有规定的，从其规定。</w:t>
      </w:r>
    </w:p>
    <w:p>
      <w:pPr>
        <w:pStyle w:val="7"/>
        <w:spacing w:before="0" w:beforeAutospacing="0" w:after="0" w:afterAutospacing="0" w:line="360" w:lineRule="auto"/>
        <w:ind w:firstLine="420"/>
        <w:rPr>
          <w:sz w:val="21"/>
          <w:szCs w:val="21"/>
        </w:rPr>
      </w:pPr>
      <w:r>
        <w:rPr>
          <w:rFonts w:hint="eastAsia"/>
          <w:sz w:val="21"/>
          <w:szCs w:val="21"/>
        </w:rPr>
        <w:t>（一）召开事由</w:t>
      </w:r>
    </w:p>
    <w:p>
      <w:pPr>
        <w:pStyle w:val="7"/>
        <w:spacing w:before="0" w:beforeAutospacing="0" w:after="0" w:afterAutospacing="0" w:line="360" w:lineRule="auto"/>
        <w:ind w:firstLine="420"/>
        <w:rPr>
          <w:sz w:val="21"/>
          <w:szCs w:val="21"/>
        </w:rPr>
      </w:pPr>
      <w:r>
        <w:rPr>
          <w:rFonts w:hint="eastAsia"/>
          <w:sz w:val="21"/>
          <w:szCs w:val="21"/>
        </w:rPr>
        <w:t>1、除法律法规、中国证监会另有规定外，当出现或需要决定下列事由之一的，应当召开基金份额持有人大会：</w:t>
      </w:r>
    </w:p>
    <w:p>
      <w:pPr>
        <w:pStyle w:val="7"/>
        <w:spacing w:before="0" w:beforeAutospacing="0" w:after="0" w:afterAutospacing="0" w:line="360" w:lineRule="auto"/>
        <w:ind w:firstLine="420"/>
        <w:rPr>
          <w:sz w:val="21"/>
          <w:szCs w:val="21"/>
        </w:rPr>
      </w:pPr>
      <w:r>
        <w:rPr>
          <w:rFonts w:hint="eastAsia"/>
          <w:sz w:val="21"/>
          <w:szCs w:val="21"/>
        </w:rPr>
        <w:t>（1）终止《基金合同》，《基金合同》另有约定的除外；</w:t>
      </w:r>
    </w:p>
    <w:p>
      <w:pPr>
        <w:pStyle w:val="7"/>
        <w:spacing w:before="0" w:beforeAutospacing="0" w:after="0" w:afterAutospacing="0" w:line="360" w:lineRule="auto"/>
        <w:ind w:firstLine="420"/>
        <w:rPr>
          <w:sz w:val="21"/>
          <w:szCs w:val="21"/>
        </w:rPr>
      </w:pPr>
      <w:r>
        <w:rPr>
          <w:rFonts w:hint="eastAsia"/>
          <w:sz w:val="21"/>
          <w:szCs w:val="21"/>
        </w:rPr>
        <w:t>（2）更换基金管理人；</w:t>
      </w:r>
    </w:p>
    <w:p>
      <w:pPr>
        <w:pStyle w:val="7"/>
        <w:spacing w:before="0" w:beforeAutospacing="0" w:after="0" w:afterAutospacing="0" w:line="360" w:lineRule="auto"/>
        <w:ind w:firstLine="420"/>
        <w:rPr>
          <w:sz w:val="21"/>
          <w:szCs w:val="21"/>
        </w:rPr>
      </w:pPr>
      <w:r>
        <w:rPr>
          <w:rFonts w:hint="eastAsia"/>
          <w:sz w:val="21"/>
          <w:szCs w:val="21"/>
        </w:rPr>
        <w:t>（3）更换基金托管人；</w:t>
      </w:r>
    </w:p>
    <w:p>
      <w:pPr>
        <w:pStyle w:val="7"/>
        <w:spacing w:before="0" w:beforeAutospacing="0" w:after="0" w:afterAutospacing="0" w:line="360" w:lineRule="auto"/>
        <w:ind w:firstLine="420"/>
        <w:rPr>
          <w:sz w:val="21"/>
          <w:szCs w:val="21"/>
        </w:rPr>
      </w:pPr>
      <w:r>
        <w:rPr>
          <w:rFonts w:hint="eastAsia"/>
          <w:sz w:val="21"/>
          <w:szCs w:val="21"/>
        </w:rPr>
        <w:t>（4）转换基金运作方式；</w:t>
      </w:r>
    </w:p>
    <w:p>
      <w:pPr>
        <w:pStyle w:val="7"/>
        <w:spacing w:before="0" w:beforeAutospacing="0" w:after="0" w:afterAutospacing="0" w:line="360" w:lineRule="auto"/>
        <w:ind w:firstLine="420"/>
        <w:rPr>
          <w:sz w:val="21"/>
          <w:szCs w:val="21"/>
        </w:rPr>
      </w:pPr>
      <w:r>
        <w:rPr>
          <w:rFonts w:hint="eastAsia"/>
          <w:sz w:val="21"/>
          <w:szCs w:val="21"/>
        </w:rPr>
        <w:t>（5）调整基金管理人、基金托管人的报酬标准；</w:t>
      </w:r>
    </w:p>
    <w:p>
      <w:pPr>
        <w:pStyle w:val="7"/>
        <w:spacing w:before="0" w:beforeAutospacing="0" w:after="0" w:afterAutospacing="0" w:line="360" w:lineRule="auto"/>
        <w:ind w:firstLine="420"/>
        <w:rPr>
          <w:sz w:val="21"/>
          <w:szCs w:val="21"/>
        </w:rPr>
      </w:pPr>
      <w:r>
        <w:rPr>
          <w:rFonts w:hint="eastAsia"/>
          <w:sz w:val="21"/>
          <w:szCs w:val="21"/>
        </w:rPr>
        <w:t>（6）变更基金类别；</w:t>
      </w:r>
    </w:p>
    <w:p>
      <w:pPr>
        <w:pStyle w:val="7"/>
        <w:spacing w:before="0" w:beforeAutospacing="0" w:after="0" w:afterAutospacing="0" w:line="360" w:lineRule="auto"/>
        <w:ind w:firstLine="420"/>
        <w:rPr>
          <w:sz w:val="21"/>
          <w:szCs w:val="21"/>
        </w:rPr>
      </w:pPr>
      <w:r>
        <w:rPr>
          <w:rFonts w:hint="eastAsia"/>
          <w:sz w:val="21"/>
          <w:szCs w:val="21"/>
        </w:rPr>
        <w:t>（7）本基金与其他基金的合并；</w:t>
      </w:r>
    </w:p>
    <w:p>
      <w:pPr>
        <w:pStyle w:val="7"/>
        <w:spacing w:before="0" w:beforeAutospacing="0" w:after="0" w:afterAutospacing="0" w:line="360" w:lineRule="auto"/>
        <w:ind w:firstLine="420"/>
        <w:rPr>
          <w:sz w:val="21"/>
          <w:szCs w:val="21"/>
        </w:rPr>
      </w:pPr>
      <w:r>
        <w:rPr>
          <w:rFonts w:hint="eastAsia"/>
          <w:sz w:val="21"/>
          <w:szCs w:val="21"/>
        </w:rPr>
        <w:t>（8）变更基金投资目标、范围或策略；</w:t>
      </w:r>
    </w:p>
    <w:p>
      <w:pPr>
        <w:pStyle w:val="7"/>
        <w:spacing w:before="0" w:beforeAutospacing="0" w:after="0" w:afterAutospacing="0" w:line="360" w:lineRule="auto"/>
        <w:ind w:firstLine="420"/>
        <w:rPr>
          <w:sz w:val="21"/>
          <w:szCs w:val="21"/>
        </w:rPr>
      </w:pPr>
      <w:r>
        <w:rPr>
          <w:rFonts w:hint="eastAsia"/>
          <w:sz w:val="21"/>
          <w:szCs w:val="21"/>
        </w:rPr>
        <w:t>（9）变更基金份额持有人大会程序；</w:t>
      </w:r>
    </w:p>
    <w:p>
      <w:pPr>
        <w:pStyle w:val="7"/>
        <w:spacing w:before="0" w:beforeAutospacing="0" w:after="0" w:afterAutospacing="0" w:line="360" w:lineRule="auto"/>
        <w:ind w:firstLine="420"/>
        <w:rPr>
          <w:sz w:val="21"/>
          <w:szCs w:val="21"/>
        </w:rPr>
      </w:pPr>
      <w:r>
        <w:rPr>
          <w:rFonts w:hint="eastAsia"/>
          <w:sz w:val="21"/>
          <w:szCs w:val="21"/>
        </w:rPr>
        <w:t>（10）基金管理人或基金托管人要求召开基金份额持有人大会；</w:t>
      </w:r>
    </w:p>
    <w:p>
      <w:pPr>
        <w:pStyle w:val="7"/>
        <w:spacing w:before="0" w:beforeAutospacing="0" w:after="0" w:afterAutospacing="0" w:line="360" w:lineRule="auto"/>
        <w:ind w:firstLine="420"/>
        <w:rPr>
          <w:sz w:val="21"/>
          <w:szCs w:val="21"/>
        </w:rPr>
      </w:pPr>
      <w:r>
        <w:rPr>
          <w:rFonts w:hint="eastAsia"/>
          <w:sz w:val="21"/>
          <w:szCs w:val="21"/>
        </w:rPr>
        <w:t>（11）单独或合计持有本基金总份额10%以上（含10%）基金份额的基金份额持有人（以基金管理人收到提议当日的基金份额计算，下同）就同一事项书面要求召开基金份额持有人大会；</w:t>
      </w:r>
    </w:p>
    <w:p>
      <w:pPr>
        <w:pStyle w:val="7"/>
        <w:spacing w:before="0" w:beforeAutospacing="0" w:after="0" w:afterAutospacing="0" w:line="360" w:lineRule="auto"/>
        <w:ind w:firstLine="420"/>
        <w:rPr>
          <w:sz w:val="21"/>
          <w:szCs w:val="21"/>
        </w:rPr>
      </w:pPr>
      <w:r>
        <w:rPr>
          <w:rFonts w:hint="eastAsia"/>
          <w:sz w:val="21"/>
          <w:szCs w:val="21"/>
        </w:rPr>
        <w:t>（12）对基金合同当事人权利和义务产生重大影响的其他事项；</w:t>
      </w:r>
    </w:p>
    <w:p>
      <w:pPr>
        <w:pStyle w:val="7"/>
        <w:spacing w:before="0" w:beforeAutospacing="0" w:after="0" w:afterAutospacing="0" w:line="360" w:lineRule="auto"/>
        <w:ind w:firstLine="420"/>
        <w:rPr>
          <w:sz w:val="21"/>
          <w:szCs w:val="21"/>
        </w:rPr>
      </w:pPr>
      <w:r>
        <w:rPr>
          <w:rFonts w:hint="eastAsia"/>
          <w:sz w:val="21"/>
          <w:szCs w:val="21"/>
        </w:rPr>
        <w:t>（13）终止基金上市，但因基金不再具备上市条件而被上海证券交易所终止上市的除外；</w:t>
      </w:r>
    </w:p>
    <w:p>
      <w:pPr>
        <w:pStyle w:val="7"/>
        <w:spacing w:before="0" w:beforeAutospacing="0" w:after="0" w:afterAutospacing="0" w:line="360" w:lineRule="auto"/>
        <w:ind w:firstLine="420"/>
        <w:rPr>
          <w:sz w:val="21"/>
          <w:szCs w:val="21"/>
        </w:rPr>
      </w:pPr>
      <w:r>
        <w:rPr>
          <w:rFonts w:hint="eastAsia"/>
          <w:sz w:val="21"/>
          <w:szCs w:val="21"/>
        </w:rPr>
        <w:t>（14）法律法规、《基金合同》或中国证监会规定的其他应当召开基金份额持有人大会的事项。</w:t>
      </w:r>
    </w:p>
    <w:p>
      <w:pPr>
        <w:pStyle w:val="7"/>
        <w:spacing w:before="0" w:beforeAutospacing="0" w:after="0" w:afterAutospacing="0" w:line="360" w:lineRule="auto"/>
        <w:ind w:firstLine="420"/>
        <w:rPr>
          <w:sz w:val="21"/>
          <w:szCs w:val="21"/>
        </w:rPr>
      </w:pPr>
      <w:r>
        <w:rPr>
          <w:rFonts w:hint="eastAsia"/>
          <w:sz w:val="21"/>
          <w:szCs w:val="21"/>
        </w:rPr>
        <w:t>2、在法律法规规定和《基金合同》约定的范围内且对基金份额持有人利益无实质性不利影响的前提下，以下情况可由基金管理人和基金托管人协商后修改，不需召开基金份额持有人大会： </w:t>
      </w:r>
    </w:p>
    <w:p>
      <w:pPr>
        <w:pStyle w:val="7"/>
        <w:spacing w:before="0" w:beforeAutospacing="0" w:after="0" w:afterAutospacing="0" w:line="360" w:lineRule="auto"/>
        <w:ind w:firstLine="420"/>
        <w:rPr>
          <w:sz w:val="21"/>
          <w:szCs w:val="21"/>
        </w:rPr>
      </w:pPr>
      <w:r>
        <w:rPr>
          <w:rFonts w:hint="eastAsia"/>
          <w:sz w:val="21"/>
          <w:szCs w:val="21"/>
        </w:rPr>
        <w:t>（1）法律法规要求增加的基金费用的收取；</w:t>
      </w:r>
    </w:p>
    <w:p>
      <w:pPr>
        <w:pStyle w:val="7"/>
        <w:spacing w:before="0" w:beforeAutospacing="0" w:after="0" w:afterAutospacing="0" w:line="360" w:lineRule="auto"/>
        <w:ind w:firstLine="420"/>
        <w:rPr>
          <w:sz w:val="21"/>
          <w:szCs w:val="21"/>
        </w:rPr>
      </w:pPr>
      <w:r>
        <w:rPr>
          <w:rFonts w:hint="eastAsia"/>
          <w:sz w:val="21"/>
          <w:szCs w:val="21"/>
        </w:rPr>
        <w:t>（2）调整本基金的申购费率或变更收费方式或调整基金份额类别设置、对基金份额分类办法及规则进行调整；</w:t>
      </w:r>
    </w:p>
    <w:p>
      <w:pPr>
        <w:pStyle w:val="7"/>
        <w:spacing w:before="0" w:beforeAutospacing="0" w:after="0" w:afterAutospacing="0" w:line="360" w:lineRule="auto"/>
        <w:ind w:firstLine="420"/>
        <w:rPr>
          <w:sz w:val="21"/>
          <w:szCs w:val="21"/>
        </w:rPr>
      </w:pPr>
      <w:r>
        <w:rPr>
          <w:rFonts w:hint="eastAsia"/>
          <w:sz w:val="21"/>
          <w:szCs w:val="21"/>
        </w:rPr>
        <w:t>（3）因相应的法律法规、上海证券交易所或者登记机构的相关业务规则发生变动而应当对《基金合同》进行修改；</w:t>
      </w:r>
    </w:p>
    <w:p>
      <w:pPr>
        <w:pStyle w:val="7"/>
        <w:spacing w:before="0" w:beforeAutospacing="0" w:after="0" w:afterAutospacing="0" w:line="360" w:lineRule="auto"/>
        <w:ind w:firstLine="420"/>
        <w:rPr>
          <w:sz w:val="21"/>
          <w:szCs w:val="21"/>
        </w:rPr>
      </w:pPr>
      <w:r>
        <w:rPr>
          <w:rFonts w:hint="eastAsia"/>
          <w:sz w:val="21"/>
          <w:szCs w:val="21"/>
        </w:rPr>
        <w:t>（4）对《基金合同》的修改对基金份额持有人利益无实质性不利影响或修改不涉及《基金合同》当事人权利义务关系发生重大变化；</w:t>
      </w:r>
    </w:p>
    <w:p>
      <w:pPr>
        <w:pStyle w:val="7"/>
        <w:spacing w:before="0" w:beforeAutospacing="0" w:after="0" w:afterAutospacing="0" w:line="360" w:lineRule="auto"/>
        <w:ind w:firstLine="420"/>
        <w:rPr>
          <w:sz w:val="21"/>
          <w:szCs w:val="21"/>
        </w:rPr>
      </w:pPr>
      <w:r>
        <w:rPr>
          <w:rFonts w:hint="eastAsia"/>
          <w:sz w:val="21"/>
          <w:szCs w:val="21"/>
        </w:rPr>
        <w:t>（5）基金管理人、相关证券交易所和登记机构等调整有关基金申购、赎回、交易、转托管、非交易过户等业务的规则；</w:t>
      </w:r>
    </w:p>
    <w:p>
      <w:pPr>
        <w:pStyle w:val="7"/>
        <w:spacing w:before="0" w:beforeAutospacing="0" w:after="0" w:afterAutospacing="0" w:line="360" w:lineRule="auto"/>
        <w:ind w:firstLine="420"/>
        <w:rPr>
          <w:sz w:val="21"/>
          <w:szCs w:val="21"/>
        </w:rPr>
      </w:pPr>
      <w:r>
        <w:rPr>
          <w:rFonts w:hint="eastAsia"/>
          <w:sz w:val="21"/>
          <w:szCs w:val="21"/>
        </w:rPr>
        <w:t>（6）经履行相关程序后，基金推出新业务或服务；</w:t>
      </w:r>
    </w:p>
    <w:p>
      <w:pPr>
        <w:pStyle w:val="7"/>
        <w:spacing w:before="0" w:beforeAutospacing="0" w:after="0" w:afterAutospacing="0" w:line="360" w:lineRule="auto"/>
        <w:ind w:firstLine="420"/>
        <w:rPr>
          <w:sz w:val="21"/>
          <w:szCs w:val="21"/>
        </w:rPr>
      </w:pPr>
      <w:r>
        <w:rPr>
          <w:rFonts w:hint="eastAsia"/>
          <w:sz w:val="21"/>
          <w:szCs w:val="21"/>
        </w:rPr>
        <w:t>（7）调整基金的申购赎回方式及申购对价、赎回对价组成；调整申购赎回清单的内容，调整申购赎回清单计算和公告时间或频率；</w:t>
      </w:r>
    </w:p>
    <w:p>
      <w:pPr>
        <w:pStyle w:val="7"/>
        <w:spacing w:before="0" w:beforeAutospacing="0" w:after="0" w:afterAutospacing="0" w:line="360" w:lineRule="auto"/>
        <w:ind w:firstLine="420"/>
        <w:rPr>
          <w:sz w:val="21"/>
          <w:szCs w:val="21"/>
        </w:rPr>
      </w:pPr>
      <w:r>
        <w:rPr>
          <w:rFonts w:hint="eastAsia"/>
          <w:sz w:val="21"/>
          <w:szCs w:val="21"/>
        </w:rPr>
        <w:t>（8）按照法律法规和《基金合同》规定不需召开基金份额持有人大会的其他情形。</w:t>
      </w:r>
    </w:p>
    <w:p>
      <w:pPr>
        <w:pStyle w:val="7"/>
        <w:spacing w:before="0" w:beforeAutospacing="0" w:after="0" w:afterAutospacing="0" w:line="360" w:lineRule="auto"/>
        <w:ind w:firstLine="420"/>
        <w:rPr>
          <w:sz w:val="21"/>
          <w:szCs w:val="21"/>
        </w:rPr>
      </w:pPr>
      <w:r>
        <w:rPr>
          <w:rFonts w:hint="eastAsia"/>
          <w:sz w:val="21"/>
          <w:szCs w:val="21"/>
        </w:rPr>
        <w:t>（二）会议召集人及召集方式</w:t>
      </w:r>
    </w:p>
    <w:p>
      <w:pPr>
        <w:pStyle w:val="7"/>
        <w:spacing w:before="0" w:beforeAutospacing="0" w:after="0" w:afterAutospacing="0" w:line="360" w:lineRule="auto"/>
        <w:ind w:firstLine="420"/>
        <w:rPr>
          <w:sz w:val="21"/>
          <w:szCs w:val="21"/>
        </w:rPr>
      </w:pPr>
      <w:r>
        <w:rPr>
          <w:rFonts w:hint="eastAsia"/>
          <w:sz w:val="21"/>
          <w:szCs w:val="21"/>
        </w:rPr>
        <w:t>1、除法律法规规定或《基金合同》另有约定外，基金份额持有人大会由基金管理人召集。</w:t>
      </w:r>
    </w:p>
    <w:p>
      <w:pPr>
        <w:pStyle w:val="7"/>
        <w:spacing w:before="0" w:beforeAutospacing="0" w:after="0" w:afterAutospacing="0" w:line="360" w:lineRule="auto"/>
        <w:ind w:firstLine="420"/>
        <w:rPr>
          <w:sz w:val="21"/>
          <w:szCs w:val="21"/>
        </w:rPr>
      </w:pPr>
      <w:r>
        <w:rPr>
          <w:rFonts w:hint="eastAsia"/>
          <w:sz w:val="21"/>
          <w:szCs w:val="21"/>
        </w:rPr>
        <w:t>2、基金管理人未按规定召集或不能召集时，由基金托管人召集。</w:t>
      </w:r>
    </w:p>
    <w:p>
      <w:pPr>
        <w:pStyle w:val="7"/>
        <w:spacing w:before="0" w:beforeAutospacing="0" w:after="0" w:afterAutospacing="0" w:line="360" w:lineRule="auto"/>
        <w:ind w:firstLine="420"/>
        <w:rPr>
          <w:sz w:val="21"/>
          <w:szCs w:val="21"/>
        </w:rPr>
      </w:pPr>
      <w:r>
        <w:rPr>
          <w:rFonts w:hint="eastAsia"/>
          <w:sz w:val="21"/>
          <w:szCs w:val="21"/>
        </w:rPr>
        <w:t>3、基金托管人认为有必要召开基金份额持有人大会的，应当向基金管理人提出书面提议。基金管理人应当自收到书面提议之日起 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pPr>
        <w:pStyle w:val="7"/>
        <w:spacing w:before="0" w:beforeAutospacing="0" w:after="0" w:afterAutospacing="0" w:line="360" w:lineRule="auto"/>
        <w:ind w:firstLine="420"/>
        <w:rPr>
          <w:sz w:val="21"/>
          <w:szCs w:val="21"/>
        </w:rPr>
      </w:pPr>
      <w:r>
        <w:rPr>
          <w:rFonts w:hint="eastAsia"/>
          <w:sz w:val="21"/>
          <w:szCs w:val="21"/>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pPr>
        <w:pStyle w:val="7"/>
        <w:spacing w:before="0" w:beforeAutospacing="0" w:after="0" w:afterAutospacing="0" w:line="360" w:lineRule="auto"/>
        <w:ind w:firstLine="420"/>
        <w:rPr>
          <w:sz w:val="21"/>
          <w:szCs w:val="21"/>
        </w:rPr>
      </w:pPr>
      <w:r>
        <w:rPr>
          <w:rFonts w:hint="eastAsia"/>
          <w:sz w:val="21"/>
          <w:szCs w:val="21"/>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pPr>
        <w:pStyle w:val="7"/>
        <w:spacing w:before="0" w:beforeAutospacing="0" w:after="0" w:afterAutospacing="0" w:line="360" w:lineRule="auto"/>
        <w:ind w:firstLine="420"/>
        <w:rPr>
          <w:sz w:val="21"/>
          <w:szCs w:val="21"/>
        </w:rPr>
      </w:pPr>
      <w:r>
        <w:rPr>
          <w:rFonts w:hint="eastAsia"/>
          <w:sz w:val="21"/>
          <w:szCs w:val="21"/>
        </w:rPr>
        <w:t>6、基金份额持有人会议的召集人负责选择确定开会时间、地点、方式和权益登记日。</w:t>
      </w:r>
    </w:p>
    <w:p>
      <w:pPr>
        <w:pStyle w:val="7"/>
        <w:spacing w:before="0" w:beforeAutospacing="0" w:after="0" w:afterAutospacing="0" w:line="360" w:lineRule="auto"/>
        <w:ind w:firstLine="420"/>
        <w:rPr>
          <w:sz w:val="21"/>
          <w:szCs w:val="21"/>
        </w:rPr>
      </w:pPr>
      <w:r>
        <w:rPr>
          <w:rFonts w:hint="eastAsia"/>
          <w:sz w:val="21"/>
          <w:szCs w:val="21"/>
        </w:rPr>
        <w:t>（三）召开基金份额持有人大会的通知时间、通知内容、通知方式</w:t>
      </w:r>
    </w:p>
    <w:p>
      <w:pPr>
        <w:pStyle w:val="7"/>
        <w:spacing w:before="0" w:beforeAutospacing="0" w:after="0" w:afterAutospacing="0" w:line="360" w:lineRule="auto"/>
        <w:ind w:firstLine="420"/>
        <w:rPr>
          <w:sz w:val="21"/>
          <w:szCs w:val="21"/>
        </w:rPr>
      </w:pPr>
      <w:r>
        <w:rPr>
          <w:rFonts w:hint="eastAsia"/>
          <w:sz w:val="21"/>
          <w:szCs w:val="21"/>
        </w:rPr>
        <w:t>1、召开基金份额持有人大会，召集人应于会议召开前30日，在规定媒介公告。基金份额持有人大会通知应至少载明以下内容：</w:t>
      </w:r>
    </w:p>
    <w:p>
      <w:pPr>
        <w:pStyle w:val="7"/>
        <w:spacing w:before="0" w:beforeAutospacing="0" w:after="0" w:afterAutospacing="0" w:line="360" w:lineRule="auto"/>
        <w:ind w:firstLine="420"/>
        <w:rPr>
          <w:sz w:val="21"/>
          <w:szCs w:val="21"/>
        </w:rPr>
      </w:pPr>
      <w:r>
        <w:rPr>
          <w:rFonts w:hint="eastAsia"/>
          <w:sz w:val="21"/>
          <w:szCs w:val="21"/>
        </w:rPr>
        <w:t>（1）会议召开的时间、地点和会议形式；</w:t>
      </w:r>
    </w:p>
    <w:p>
      <w:pPr>
        <w:pStyle w:val="7"/>
        <w:spacing w:before="0" w:beforeAutospacing="0" w:after="0" w:afterAutospacing="0" w:line="360" w:lineRule="auto"/>
        <w:ind w:firstLine="420"/>
        <w:rPr>
          <w:sz w:val="21"/>
          <w:szCs w:val="21"/>
        </w:rPr>
      </w:pPr>
      <w:r>
        <w:rPr>
          <w:rFonts w:hint="eastAsia"/>
          <w:sz w:val="21"/>
          <w:szCs w:val="21"/>
        </w:rPr>
        <w:t>（2）会议拟审议的事项、议事程序和表决方式；</w:t>
      </w:r>
    </w:p>
    <w:p>
      <w:pPr>
        <w:pStyle w:val="7"/>
        <w:spacing w:before="0" w:beforeAutospacing="0" w:after="0" w:afterAutospacing="0" w:line="360" w:lineRule="auto"/>
        <w:ind w:firstLine="420"/>
        <w:rPr>
          <w:sz w:val="21"/>
          <w:szCs w:val="21"/>
        </w:rPr>
      </w:pPr>
      <w:r>
        <w:rPr>
          <w:rFonts w:hint="eastAsia"/>
          <w:sz w:val="21"/>
          <w:szCs w:val="21"/>
        </w:rPr>
        <w:t>（3）有权出席基金份额持有人大会的基金份额持有人的权益登记日；</w:t>
      </w:r>
    </w:p>
    <w:p>
      <w:pPr>
        <w:pStyle w:val="7"/>
        <w:spacing w:before="0" w:beforeAutospacing="0" w:after="0" w:afterAutospacing="0" w:line="360" w:lineRule="auto"/>
        <w:ind w:firstLine="420"/>
        <w:rPr>
          <w:sz w:val="21"/>
          <w:szCs w:val="21"/>
        </w:rPr>
      </w:pPr>
      <w:r>
        <w:rPr>
          <w:rFonts w:hint="eastAsia"/>
          <w:sz w:val="21"/>
          <w:szCs w:val="21"/>
        </w:rPr>
        <w:t>（4）授权委托证明的内容要求（包括但不限于代理人身份，代理权限和代理有效期限等）、送达时间和地点；</w:t>
      </w:r>
    </w:p>
    <w:p>
      <w:pPr>
        <w:pStyle w:val="7"/>
        <w:spacing w:before="0" w:beforeAutospacing="0" w:after="0" w:afterAutospacing="0" w:line="360" w:lineRule="auto"/>
        <w:ind w:firstLine="420"/>
        <w:rPr>
          <w:sz w:val="21"/>
          <w:szCs w:val="21"/>
        </w:rPr>
      </w:pPr>
      <w:r>
        <w:rPr>
          <w:rFonts w:hint="eastAsia"/>
          <w:sz w:val="21"/>
          <w:szCs w:val="21"/>
        </w:rPr>
        <w:t>（5）会务常设联系人姓名及联系电话；</w:t>
      </w:r>
    </w:p>
    <w:p>
      <w:pPr>
        <w:pStyle w:val="7"/>
        <w:spacing w:before="0" w:beforeAutospacing="0" w:after="0" w:afterAutospacing="0" w:line="360" w:lineRule="auto"/>
        <w:ind w:firstLine="420"/>
        <w:rPr>
          <w:sz w:val="21"/>
          <w:szCs w:val="21"/>
        </w:rPr>
      </w:pPr>
      <w:r>
        <w:rPr>
          <w:rFonts w:hint="eastAsia"/>
          <w:sz w:val="21"/>
          <w:szCs w:val="21"/>
        </w:rPr>
        <w:t>（6）出席会议者必须准备的文件和必须履行的手续；</w:t>
      </w:r>
    </w:p>
    <w:p>
      <w:pPr>
        <w:pStyle w:val="7"/>
        <w:spacing w:before="0" w:beforeAutospacing="0" w:after="0" w:afterAutospacing="0" w:line="360" w:lineRule="auto"/>
        <w:ind w:firstLine="420"/>
        <w:rPr>
          <w:sz w:val="21"/>
          <w:szCs w:val="21"/>
        </w:rPr>
      </w:pPr>
      <w:r>
        <w:rPr>
          <w:rFonts w:hint="eastAsia"/>
          <w:sz w:val="21"/>
          <w:szCs w:val="21"/>
        </w:rPr>
        <w:t>（7）召集人需要通知的其他事项。</w:t>
      </w:r>
    </w:p>
    <w:p>
      <w:pPr>
        <w:pStyle w:val="7"/>
        <w:spacing w:before="0" w:beforeAutospacing="0" w:after="0" w:afterAutospacing="0" w:line="360" w:lineRule="auto"/>
        <w:ind w:firstLine="420"/>
        <w:rPr>
          <w:sz w:val="21"/>
          <w:szCs w:val="21"/>
        </w:rPr>
      </w:pPr>
      <w:r>
        <w:rPr>
          <w:rFonts w:hint="eastAsia"/>
          <w:sz w:val="21"/>
          <w:szCs w:val="21"/>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pPr>
        <w:pStyle w:val="7"/>
        <w:spacing w:before="0" w:beforeAutospacing="0" w:after="0" w:afterAutospacing="0" w:line="360" w:lineRule="auto"/>
        <w:ind w:firstLine="420"/>
        <w:rPr>
          <w:sz w:val="21"/>
          <w:szCs w:val="21"/>
        </w:rPr>
      </w:pPr>
      <w:r>
        <w:rPr>
          <w:rFonts w:hint="eastAsia"/>
          <w:sz w:val="21"/>
          <w:szCs w:val="21"/>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pPr>
        <w:pStyle w:val="7"/>
        <w:spacing w:before="0" w:beforeAutospacing="0" w:after="0" w:afterAutospacing="0" w:line="360" w:lineRule="auto"/>
        <w:ind w:firstLine="420"/>
        <w:rPr>
          <w:sz w:val="21"/>
          <w:szCs w:val="21"/>
        </w:rPr>
      </w:pPr>
      <w:r>
        <w:rPr>
          <w:rFonts w:hint="eastAsia"/>
          <w:sz w:val="21"/>
          <w:szCs w:val="21"/>
        </w:rPr>
        <w:t>（四）基金份额持有人出席会议的方式</w:t>
      </w:r>
    </w:p>
    <w:p>
      <w:pPr>
        <w:pStyle w:val="7"/>
        <w:spacing w:before="0" w:beforeAutospacing="0" w:after="0" w:afterAutospacing="0" w:line="360" w:lineRule="auto"/>
        <w:ind w:firstLine="420"/>
        <w:rPr>
          <w:sz w:val="21"/>
          <w:szCs w:val="21"/>
        </w:rPr>
      </w:pPr>
      <w:r>
        <w:rPr>
          <w:rFonts w:hint="eastAsia"/>
          <w:sz w:val="21"/>
          <w:szCs w:val="21"/>
        </w:rPr>
        <w:t>基金份额持有人大会可通过现场开会方式、通讯开会方式或法律法规、监管机构允许的其他方式召开，会议的召开方式由会议召集人确定。</w:t>
      </w:r>
    </w:p>
    <w:p>
      <w:pPr>
        <w:pStyle w:val="7"/>
        <w:spacing w:before="0" w:beforeAutospacing="0" w:after="0" w:afterAutospacing="0" w:line="360" w:lineRule="auto"/>
        <w:ind w:firstLine="420"/>
        <w:rPr>
          <w:sz w:val="21"/>
          <w:szCs w:val="21"/>
        </w:rPr>
      </w:pPr>
      <w:r>
        <w:rPr>
          <w:rFonts w:hint="eastAsia"/>
          <w:sz w:val="21"/>
          <w:szCs w:val="21"/>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pPr>
        <w:pStyle w:val="7"/>
        <w:spacing w:before="0" w:beforeAutospacing="0" w:after="0" w:afterAutospacing="0" w:line="360" w:lineRule="auto"/>
        <w:ind w:firstLine="420"/>
        <w:rPr>
          <w:sz w:val="21"/>
          <w:szCs w:val="21"/>
        </w:rPr>
      </w:pPr>
      <w:r>
        <w:rPr>
          <w:rFonts w:hint="eastAsia"/>
          <w:sz w:val="21"/>
          <w:szCs w:val="21"/>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pPr>
        <w:pStyle w:val="7"/>
        <w:spacing w:before="0" w:beforeAutospacing="0" w:after="0" w:afterAutospacing="0" w:line="360" w:lineRule="auto"/>
        <w:ind w:firstLine="420"/>
        <w:rPr>
          <w:sz w:val="21"/>
          <w:szCs w:val="21"/>
        </w:rPr>
      </w:pPr>
      <w:r>
        <w:rPr>
          <w:rFonts w:hint="eastAsia"/>
          <w:sz w:val="21"/>
          <w:szCs w:val="21"/>
        </w:rPr>
        <w:t>（2）经核对，汇总到会者出示的在权益登记日持有基金份额的凭证显示，有效的基金份额不少于本基金在权益登记日基金总份额的二分之一（含二分之一）。</w:t>
      </w:r>
    </w:p>
    <w:p>
      <w:pPr>
        <w:pStyle w:val="7"/>
        <w:spacing w:before="0" w:beforeAutospacing="0" w:after="0" w:afterAutospacing="0" w:line="360" w:lineRule="auto"/>
        <w:ind w:firstLine="420"/>
        <w:rPr>
          <w:sz w:val="21"/>
          <w:szCs w:val="21"/>
        </w:rPr>
      </w:pPr>
      <w:r>
        <w:rPr>
          <w:rFonts w:hint="eastAsia"/>
          <w:sz w:val="21"/>
          <w:szCs w:val="21"/>
        </w:rPr>
        <w:t>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pPr>
        <w:pStyle w:val="7"/>
        <w:spacing w:before="0" w:beforeAutospacing="0" w:after="0" w:afterAutospacing="0" w:line="360" w:lineRule="auto"/>
        <w:ind w:firstLine="420"/>
        <w:rPr>
          <w:sz w:val="21"/>
          <w:szCs w:val="21"/>
        </w:rPr>
      </w:pPr>
      <w:r>
        <w:rPr>
          <w:rFonts w:hint="eastAsia"/>
          <w:sz w:val="21"/>
          <w:szCs w:val="21"/>
        </w:rPr>
        <w:t>2、通讯开会。通讯开会系指基金份额持有人将其对表决事项的投票以书面形式或基金份额持有人大会公告载明的其他方式在表决截止日以前送达至召集人指定的地址。通讯开会应以书面方式或基金份额持有人大会公告载明的其他方式进行表决。</w:t>
      </w:r>
    </w:p>
    <w:p>
      <w:pPr>
        <w:pStyle w:val="7"/>
        <w:spacing w:before="0" w:beforeAutospacing="0" w:after="0" w:afterAutospacing="0" w:line="360" w:lineRule="auto"/>
        <w:ind w:firstLine="420"/>
        <w:rPr>
          <w:sz w:val="21"/>
          <w:szCs w:val="21"/>
        </w:rPr>
      </w:pPr>
      <w:r>
        <w:rPr>
          <w:rFonts w:hint="eastAsia"/>
          <w:sz w:val="21"/>
          <w:szCs w:val="21"/>
        </w:rPr>
        <w:t>在同时符合以下条件时，通讯开会的方式视为有效：</w:t>
      </w:r>
    </w:p>
    <w:p>
      <w:pPr>
        <w:pStyle w:val="7"/>
        <w:spacing w:before="0" w:beforeAutospacing="0" w:after="0" w:afterAutospacing="0" w:line="360" w:lineRule="auto"/>
        <w:ind w:firstLine="420"/>
        <w:rPr>
          <w:sz w:val="21"/>
          <w:szCs w:val="21"/>
        </w:rPr>
      </w:pPr>
      <w:r>
        <w:rPr>
          <w:rFonts w:hint="eastAsia"/>
          <w:sz w:val="21"/>
          <w:szCs w:val="21"/>
        </w:rPr>
        <w:t>（1）会议召集人按《基金合同》约定公布会议通知后，在 2个工作日内连续公布相关提示性公告；</w:t>
      </w:r>
    </w:p>
    <w:p>
      <w:pPr>
        <w:pStyle w:val="7"/>
        <w:spacing w:before="0" w:beforeAutospacing="0" w:after="0" w:afterAutospacing="0" w:line="360" w:lineRule="auto"/>
        <w:ind w:firstLine="420"/>
        <w:rPr>
          <w:sz w:val="21"/>
          <w:szCs w:val="21"/>
        </w:rPr>
      </w:pPr>
      <w:r>
        <w:rPr>
          <w:rFonts w:hint="eastAsia"/>
          <w:sz w:val="21"/>
          <w:szCs w:val="21"/>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pPr>
        <w:pStyle w:val="7"/>
        <w:spacing w:before="0" w:beforeAutospacing="0" w:after="0" w:afterAutospacing="0" w:line="360" w:lineRule="auto"/>
        <w:ind w:firstLine="420"/>
        <w:rPr>
          <w:sz w:val="21"/>
          <w:szCs w:val="21"/>
        </w:rPr>
      </w:pPr>
      <w:r>
        <w:rPr>
          <w:rFonts w:hint="eastAsia"/>
          <w:sz w:val="21"/>
          <w:szCs w:val="21"/>
        </w:rPr>
        <w:t>（3）本人直接出具表决意见或授权他人代表出具表决意见的，基金份额持有人所持有的基金份额不小于在权益登记日基金总份额的二分之一（含二分之一）；</w:t>
      </w:r>
    </w:p>
    <w:p>
      <w:pPr>
        <w:pStyle w:val="7"/>
        <w:spacing w:before="0" w:beforeAutospacing="0" w:after="0" w:afterAutospacing="0" w:line="360" w:lineRule="auto"/>
        <w:ind w:firstLine="420"/>
        <w:rPr>
          <w:sz w:val="21"/>
          <w:szCs w:val="21"/>
        </w:rPr>
      </w:pPr>
      <w:r>
        <w:rPr>
          <w:rFonts w:hint="eastAsia"/>
          <w:sz w:val="21"/>
          <w:szCs w:val="21"/>
        </w:rPr>
        <w:t>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pPr>
        <w:pStyle w:val="7"/>
        <w:spacing w:before="0" w:beforeAutospacing="0" w:after="0" w:afterAutospacing="0" w:line="360" w:lineRule="auto"/>
        <w:ind w:firstLine="420"/>
        <w:rPr>
          <w:sz w:val="21"/>
          <w:szCs w:val="21"/>
        </w:rPr>
      </w:pPr>
      <w:r>
        <w:rPr>
          <w:rFonts w:hint="eastAsia"/>
          <w:sz w:val="21"/>
          <w:szCs w:val="21"/>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pPr>
        <w:pStyle w:val="7"/>
        <w:spacing w:before="0" w:beforeAutospacing="0" w:after="0" w:afterAutospacing="0" w:line="360" w:lineRule="auto"/>
        <w:ind w:firstLine="420"/>
        <w:rPr>
          <w:sz w:val="21"/>
          <w:szCs w:val="21"/>
        </w:rPr>
      </w:pPr>
      <w:r>
        <w:rPr>
          <w:rFonts w:hint="eastAsia"/>
          <w:sz w:val="21"/>
          <w:szCs w:val="21"/>
        </w:rPr>
        <w:t> 3、在法律法规或监管机构允许的情况下，经会议通知载明，本基金亦可采用网络、电话等其他非现场方式或者以非现场方式与现场方式结合的方式召开基金份额持有人大会，基金份额持有人可以采用书面、网络、电话、短信或其他方式进行表决，或者采用网络、电话或其他方式授权他人代为出席会议并表决，会议程序比照现场开会和通讯方式开会的程序进行。</w:t>
      </w:r>
    </w:p>
    <w:p>
      <w:pPr>
        <w:pStyle w:val="7"/>
        <w:spacing w:before="0" w:beforeAutospacing="0" w:after="0" w:afterAutospacing="0" w:line="360" w:lineRule="auto"/>
        <w:ind w:firstLine="420"/>
        <w:rPr>
          <w:sz w:val="21"/>
          <w:szCs w:val="21"/>
        </w:rPr>
      </w:pPr>
      <w:r>
        <w:rPr>
          <w:rFonts w:hint="eastAsia"/>
          <w:sz w:val="21"/>
          <w:szCs w:val="21"/>
        </w:rPr>
        <w:t>（五）议事内容与程序</w:t>
      </w:r>
    </w:p>
    <w:p>
      <w:pPr>
        <w:pStyle w:val="7"/>
        <w:spacing w:before="0" w:beforeAutospacing="0" w:after="0" w:afterAutospacing="0" w:line="360" w:lineRule="auto"/>
        <w:ind w:firstLine="420"/>
        <w:rPr>
          <w:sz w:val="21"/>
          <w:szCs w:val="21"/>
        </w:rPr>
      </w:pPr>
      <w:r>
        <w:rPr>
          <w:rFonts w:hint="eastAsia"/>
          <w:sz w:val="21"/>
          <w:szCs w:val="21"/>
        </w:rPr>
        <w:t>1、议事内容及提案权</w:t>
      </w:r>
    </w:p>
    <w:p>
      <w:pPr>
        <w:pStyle w:val="7"/>
        <w:spacing w:before="0" w:beforeAutospacing="0" w:after="0" w:afterAutospacing="0" w:line="360" w:lineRule="auto"/>
        <w:ind w:firstLine="420"/>
        <w:rPr>
          <w:sz w:val="21"/>
          <w:szCs w:val="21"/>
        </w:rPr>
      </w:pPr>
      <w:r>
        <w:rPr>
          <w:rFonts w:hint="eastAsia"/>
          <w:sz w:val="21"/>
          <w:szCs w:val="21"/>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pPr>
        <w:pStyle w:val="7"/>
        <w:spacing w:before="0" w:beforeAutospacing="0" w:after="0" w:afterAutospacing="0" w:line="360" w:lineRule="auto"/>
        <w:ind w:firstLine="420"/>
        <w:rPr>
          <w:sz w:val="21"/>
          <w:szCs w:val="21"/>
        </w:rPr>
      </w:pPr>
      <w:r>
        <w:rPr>
          <w:rFonts w:hint="eastAsia"/>
          <w:sz w:val="21"/>
          <w:szCs w:val="21"/>
        </w:rPr>
        <w:t>基金份额持有人大会的召集人发出召集会议的通知后，对原有提案的修改应当在基金份额持有人大会召开前及时公告。</w:t>
      </w:r>
    </w:p>
    <w:p>
      <w:pPr>
        <w:pStyle w:val="7"/>
        <w:spacing w:before="0" w:beforeAutospacing="0" w:after="0" w:afterAutospacing="0" w:line="360" w:lineRule="auto"/>
        <w:ind w:firstLine="420"/>
        <w:rPr>
          <w:sz w:val="21"/>
          <w:szCs w:val="21"/>
        </w:rPr>
      </w:pPr>
      <w:r>
        <w:rPr>
          <w:rFonts w:hint="eastAsia"/>
          <w:sz w:val="21"/>
          <w:szCs w:val="21"/>
        </w:rPr>
        <w:t>基金份额持有人大会不得对未事先公告的议事内容进行表决。</w:t>
      </w:r>
    </w:p>
    <w:p>
      <w:pPr>
        <w:pStyle w:val="7"/>
        <w:spacing w:before="0" w:beforeAutospacing="0" w:after="0" w:afterAutospacing="0" w:line="360" w:lineRule="auto"/>
        <w:ind w:firstLine="420"/>
        <w:rPr>
          <w:sz w:val="21"/>
          <w:szCs w:val="21"/>
        </w:rPr>
      </w:pPr>
      <w:r>
        <w:rPr>
          <w:rFonts w:hint="eastAsia"/>
          <w:sz w:val="21"/>
          <w:szCs w:val="21"/>
        </w:rPr>
        <w:t>2、议事程序</w:t>
      </w:r>
    </w:p>
    <w:p>
      <w:pPr>
        <w:pStyle w:val="7"/>
        <w:spacing w:before="0" w:beforeAutospacing="0" w:after="0" w:afterAutospacing="0" w:line="360" w:lineRule="auto"/>
        <w:ind w:firstLine="420"/>
        <w:rPr>
          <w:sz w:val="21"/>
          <w:szCs w:val="21"/>
        </w:rPr>
      </w:pPr>
      <w:r>
        <w:rPr>
          <w:rFonts w:hint="eastAsia"/>
          <w:sz w:val="21"/>
          <w:szCs w:val="21"/>
        </w:rPr>
        <w:t>（1）现场开会</w:t>
      </w:r>
    </w:p>
    <w:p>
      <w:pPr>
        <w:pStyle w:val="7"/>
        <w:spacing w:before="0" w:beforeAutospacing="0" w:after="0" w:afterAutospacing="0" w:line="360" w:lineRule="auto"/>
        <w:ind w:firstLine="420"/>
        <w:rPr>
          <w:sz w:val="21"/>
          <w:szCs w:val="21"/>
        </w:rPr>
      </w:pPr>
      <w:r>
        <w:rPr>
          <w:rFonts w:hint="eastAsia"/>
          <w:sz w:val="21"/>
          <w:szCs w:val="21"/>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pPr>
        <w:pStyle w:val="7"/>
        <w:spacing w:before="0" w:beforeAutospacing="0" w:after="0" w:afterAutospacing="0" w:line="360" w:lineRule="auto"/>
        <w:ind w:firstLine="420"/>
        <w:rPr>
          <w:sz w:val="21"/>
          <w:szCs w:val="21"/>
        </w:rPr>
      </w:pPr>
      <w:r>
        <w:rPr>
          <w:rFonts w:hint="eastAsia"/>
          <w:sz w:val="21"/>
          <w:szCs w:val="21"/>
        </w:rPr>
        <w:t>会议召集人应当制作出席会议人员的签名册。签名册载明参加会议人员姓名（或单位名称）、身份证明文件号码、持有或代表有表决权的基金份额、委托人姓名（或单位名称）和联系方式等事项。</w:t>
      </w:r>
    </w:p>
    <w:p>
      <w:pPr>
        <w:pStyle w:val="7"/>
        <w:spacing w:before="0" w:beforeAutospacing="0" w:after="0" w:afterAutospacing="0" w:line="360" w:lineRule="auto"/>
        <w:ind w:firstLine="420"/>
        <w:rPr>
          <w:sz w:val="21"/>
          <w:szCs w:val="21"/>
        </w:rPr>
      </w:pPr>
      <w:r>
        <w:rPr>
          <w:rFonts w:hint="eastAsia"/>
          <w:sz w:val="21"/>
          <w:szCs w:val="21"/>
        </w:rPr>
        <w:t>（2）通讯开会</w:t>
      </w:r>
    </w:p>
    <w:p>
      <w:pPr>
        <w:pStyle w:val="7"/>
        <w:spacing w:before="0" w:beforeAutospacing="0" w:after="0" w:afterAutospacing="0" w:line="360" w:lineRule="auto"/>
        <w:ind w:firstLine="420"/>
        <w:rPr>
          <w:sz w:val="21"/>
          <w:szCs w:val="21"/>
        </w:rPr>
      </w:pPr>
      <w:r>
        <w:rPr>
          <w:rFonts w:hint="eastAsia"/>
          <w:sz w:val="21"/>
          <w:szCs w:val="21"/>
        </w:rPr>
        <w:t>在通讯开会的情况下，首先由召集人提前30日公布提案，在所通知的表决截止日期后2个工作日内在公证机关监督下由召集人统计全部有效表决，在公证机关监督下形成决议。</w:t>
      </w:r>
    </w:p>
    <w:p>
      <w:pPr>
        <w:pStyle w:val="7"/>
        <w:spacing w:before="0" w:beforeAutospacing="0" w:after="0" w:afterAutospacing="0" w:line="360" w:lineRule="auto"/>
        <w:ind w:firstLine="420"/>
        <w:rPr>
          <w:sz w:val="21"/>
          <w:szCs w:val="21"/>
        </w:rPr>
      </w:pPr>
      <w:r>
        <w:rPr>
          <w:rFonts w:hint="eastAsia"/>
          <w:sz w:val="21"/>
          <w:szCs w:val="21"/>
        </w:rPr>
        <w:t>（六）表决</w:t>
      </w:r>
    </w:p>
    <w:p>
      <w:pPr>
        <w:pStyle w:val="7"/>
        <w:spacing w:before="0" w:beforeAutospacing="0" w:after="0" w:afterAutospacing="0" w:line="360" w:lineRule="auto"/>
        <w:ind w:firstLine="420"/>
        <w:rPr>
          <w:sz w:val="21"/>
          <w:szCs w:val="21"/>
        </w:rPr>
      </w:pPr>
      <w:r>
        <w:rPr>
          <w:rFonts w:hint="eastAsia"/>
          <w:sz w:val="21"/>
          <w:szCs w:val="21"/>
        </w:rPr>
        <w:t>基金份额持有人所持每份基金份额有一票表决权。</w:t>
      </w:r>
    </w:p>
    <w:p>
      <w:pPr>
        <w:pStyle w:val="7"/>
        <w:spacing w:before="0" w:beforeAutospacing="0" w:after="0" w:afterAutospacing="0" w:line="360" w:lineRule="auto"/>
        <w:ind w:firstLine="420"/>
        <w:rPr>
          <w:sz w:val="21"/>
          <w:szCs w:val="21"/>
        </w:rPr>
      </w:pPr>
      <w:r>
        <w:rPr>
          <w:rFonts w:hint="eastAsia"/>
          <w:sz w:val="21"/>
          <w:szCs w:val="21"/>
        </w:rPr>
        <w:t>基金份额持有人大会决议分为一般决议和特别决议：</w:t>
      </w:r>
    </w:p>
    <w:p>
      <w:pPr>
        <w:pStyle w:val="7"/>
        <w:spacing w:before="0" w:beforeAutospacing="0" w:after="0" w:afterAutospacing="0" w:line="360" w:lineRule="auto"/>
        <w:ind w:firstLine="420"/>
        <w:rPr>
          <w:sz w:val="21"/>
          <w:szCs w:val="21"/>
        </w:rPr>
      </w:pPr>
      <w:r>
        <w:rPr>
          <w:rFonts w:hint="eastAsia"/>
          <w:sz w:val="21"/>
          <w:szCs w:val="21"/>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pPr>
        <w:pStyle w:val="7"/>
        <w:spacing w:before="0" w:beforeAutospacing="0" w:after="0" w:afterAutospacing="0" w:line="360" w:lineRule="auto"/>
        <w:ind w:firstLine="420"/>
        <w:rPr>
          <w:sz w:val="21"/>
          <w:szCs w:val="21"/>
        </w:rPr>
      </w:pPr>
      <w:r>
        <w:rPr>
          <w:rFonts w:hint="eastAsia"/>
          <w:sz w:val="21"/>
          <w:szCs w:val="21"/>
        </w:rPr>
        <w:t>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w:t>
      </w:r>
    </w:p>
    <w:p>
      <w:pPr>
        <w:pStyle w:val="7"/>
        <w:spacing w:before="0" w:beforeAutospacing="0" w:after="0" w:afterAutospacing="0" w:line="360" w:lineRule="auto"/>
        <w:ind w:firstLine="420"/>
        <w:rPr>
          <w:sz w:val="21"/>
          <w:szCs w:val="21"/>
        </w:rPr>
      </w:pPr>
      <w:r>
        <w:rPr>
          <w:rFonts w:hint="eastAsia"/>
          <w:sz w:val="21"/>
          <w:szCs w:val="21"/>
        </w:rPr>
        <w:t>基金份额持有人大会采取记名方式进行投票表决。</w:t>
      </w:r>
    </w:p>
    <w:p>
      <w:pPr>
        <w:pStyle w:val="7"/>
        <w:spacing w:before="0" w:beforeAutospacing="0" w:after="0" w:afterAutospacing="0" w:line="360" w:lineRule="auto"/>
        <w:ind w:firstLine="420"/>
        <w:rPr>
          <w:sz w:val="21"/>
          <w:szCs w:val="21"/>
        </w:rPr>
      </w:pPr>
      <w:r>
        <w:rPr>
          <w:rFonts w:hint="eastAsia"/>
          <w:sz w:val="21"/>
          <w:szCs w:val="21"/>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pPr>
        <w:pStyle w:val="7"/>
        <w:spacing w:before="0" w:beforeAutospacing="0" w:after="0" w:afterAutospacing="0" w:line="360" w:lineRule="auto"/>
        <w:ind w:firstLine="420"/>
        <w:rPr>
          <w:sz w:val="21"/>
          <w:szCs w:val="21"/>
        </w:rPr>
      </w:pPr>
      <w:r>
        <w:rPr>
          <w:rFonts w:hint="eastAsia"/>
          <w:sz w:val="21"/>
          <w:szCs w:val="21"/>
        </w:rPr>
        <w:t>基金份额持有人大会的各项提案或同一项提案内并列的各项议题应当分开审议、逐项表决。</w:t>
      </w:r>
    </w:p>
    <w:p>
      <w:pPr>
        <w:pStyle w:val="7"/>
        <w:spacing w:before="0" w:beforeAutospacing="0" w:after="0" w:afterAutospacing="0" w:line="360" w:lineRule="auto"/>
        <w:ind w:firstLine="420"/>
        <w:rPr>
          <w:sz w:val="21"/>
          <w:szCs w:val="21"/>
        </w:rPr>
      </w:pPr>
      <w:r>
        <w:rPr>
          <w:rFonts w:hint="eastAsia"/>
          <w:sz w:val="21"/>
          <w:szCs w:val="21"/>
        </w:rPr>
        <w:t>（七）计票</w:t>
      </w:r>
    </w:p>
    <w:p>
      <w:pPr>
        <w:pStyle w:val="7"/>
        <w:spacing w:before="0" w:beforeAutospacing="0" w:after="0" w:afterAutospacing="0" w:line="360" w:lineRule="auto"/>
        <w:ind w:firstLine="420"/>
        <w:rPr>
          <w:sz w:val="21"/>
          <w:szCs w:val="21"/>
        </w:rPr>
      </w:pPr>
      <w:r>
        <w:rPr>
          <w:rFonts w:hint="eastAsia"/>
          <w:sz w:val="21"/>
          <w:szCs w:val="21"/>
        </w:rPr>
        <w:t>1、现场开会</w:t>
      </w:r>
    </w:p>
    <w:p>
      <w:pPr>
        <w:pStyle w:val="7"/>
        <w:spacing w:before="0" w:beforeAutospacing="0" w:after="0" w:afterAutospacing="0" w:line="360" w:lineRule="auto"/>
        <w:ind w:firstLine="420"/>
        <w:rPr>
          <w:sz w:val="21"/>
          <w:szCs w:val="21"/>
        </w:rPr>
      </w:pPr>
      <w:r>
        <w:rPr>
          <w:rFonts w:hint="eastAsia"/>
          <w:sz w:val="21"/>
          <w:szCs w:val="21"/>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pPr>
        <w:pStyle w:val="7"/>
        <w:spacing w:before="0" w:beforeAutospacing="0" w:after="0" w:afterAutospacing="0" w:line="360" w:lineRule="auto"/>
        <w:ind w:firstLine="420"/>
        <w:rPr>
          <w:sz w:val="21"/>
          <w:szCs w:val="21"/>
        </w:rPr>
      </w:pPr>
      <w:r>
        <w:rPr>
          <w:rFonts w:hint="eastAsia"/>
          <w:sz w:val="21"/>
          <w:szCs w:val="21"/>
        </w:rPr>
        <w:t>（2）监票人应当在基金份额持有人表决后立即进行清点并由大会主持人当场公布计票结果。</w:t>
      </w:r>
    </w:p>
    <w:p>
      <w:pPr>
        <w:pStyle w:val="7"/>
        <w:spacing w:before="0" w:beforeAutospacing="0" w:after="0" w:afterAutospacing="0" w:line="360" w:lineRule="auto"/>
        <w:ind w:firstLine="420"/>
        <w:rPr>
          <w:sz w:val="21"/>
          <w:szCs w:val="21"/>
        </w:rPr>
      </w:pPr>
      <w:r>
        <w:rPr>
          <w:rFonts w:hint="eastAsia"/>
          <w:sz w:val="21"/>
          <w:szCs w:val="21"/>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pPr>
        <w:pStyle w:val="7"/>
        <w:spacing w:before="0" w:beforeAutospacing="0" w:after="0" w:afterAutospacing="0" w:line="360" w:lineRule="auto"/>
        <w:ind w:firstLine="420"/>
        <w:rPr>
          <w:sz w:val="21"/>
          <w:szCs w:val="21"/>
        </w:rPr>
      </w:pPr>
      <w:r>
        <w:rPr>
          <w:rFonts w:hint="eastAsia"/>
          <w:sz w:val="21"/>
          <w:szCs w:val="21"/>
        </w:rPr>
        <w:t>（4）计票过程应由公证机关予以公证，基金管理人或基金托管人拒不出席大会的，不影响计票的效力。</w:t>
      </w:r>
    </w:p>
    <w:p>
      <w:pPr>
        <w:pStyle w:val="7"/>
        <w:spacing w:before="0" w:beforeAutospacing="0" w:after="0" w:afterAutospacing="0" w:line="360" w:lineRule="auto"/>
        <w:ind w:firstLine="420"/>
        <w:rPr>
          <w:sz w:val="21"/>
          <w:szCs w:val="21"/>
        </w:rPr>
      </w:pPr>
      <w:r>
        <w:rPr>
          <w:rFonts w:hint="eastAsia"/>
          <w:sz w:val="21"/>
          <w:szCs w:val="21"/>
        </w:rPr>
        <w:t>2、通讯开会</w:t>
      </w:r>
    </w:p>
    <w:p>
      <w:pPr>
        <w:pStyle w:val="7"/>
        <w:spacing w:before="0" w:beforeAutospacing="0" w:after="0" w:afterAutospacing="0" w:line="360" w:lineRule="auto"/>
        <w:ind w:firstLine="420"/>
        <w:rPr>
          <w:sz w:val="21"/>
          <w:szCs w:val="21"/>
        </w:rPr>
      </w:pPr>
      <w:r>
        <w:rPr>
          <w:rFonts w:hint="eastAsia"/>
          <w:sz w:val="21"/>
          <w:szCs w:val="21"/>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pPr>
        <w:pStyle w:val="7"/>
        <w:spacing w:before="0" w:beforeAutospacing="0" w:after="0" w:afterAutospacing="0" w:line="360" w:lineRule="auto"/>
        <w:ind w:firstLine="420"/>
        <w:rPr>
          <w:sz w:val="21"/>
          <w:szCs w:val="21"/>
        </w:rPr>
      </w:pPr>
      <w:r>
        <w:rPr>
          <w:rFonts w:hint="eastAsia"/>
          <w:sz w:val="21"/>
          <w:szCs w:val="21"/>
        </w:rPr>
        <w:t>（八）生效与公告</w:t>
      </w:r>
    </w:p>
    <w:p>
      <w:pPr>
        <w:pStyle w:val="7"/>
        <w:spacing w:before="0" w:beforeAutospacing="0" w:after="0" w:afterAutospacing="0" w:line="360" w:lineRule="auto"/>
        <w:ind w:firstLine="420"/>
        <w:rPr>
          <w:sz w:val="21"/>
          <w:szCs w:val="21"/>
        </w:rPr>
      </w:pPr>
      <w:r>
        <w:rPr>
          <w:rFonts w:hint="eastAsia"/>
          <w:sz w:val="21"/>
          <w:szCs w:val="21"/>
        </w:rPr>
        <w:t>基金份额持有人大会的决议，召集人应当自通过之日起5日内报中国证监会备案。</w:t>
      </w:r>
    </w:p>
    <w:p>
      <w:pPr>
        <w:pStyle w:val="7"/>
        <w:spacing w:before="0" w:beforeAutospacing="0" w:after="0" w:afterAutospacing="0" w:line="360" w:lineRule="auto"/>
        <w:ind w:firstLine="420"/>
        <w:rPr>
          <w:sz w:val="21"/>
          <w:szCs w:val="21"/>
        </w:rPr>
      </w:pPr>
      <w:r>
        <w:rPr>
          <w:rFonts w:hint="eastAsia"/>
          <w:sz w:val="21"/>
          <w:szCs w:val="21"/>
        </w:rPr>
        <w:t>基金份额持有人大会的决议自表决通过之日起生效。</w:t>
      </w:r>
    </w:p>
    <w:p>
      <w:pPr>
        <w:pStyle w:val="7"/>
        <w:spacing w:before="0" w:beforeAutospacing="0" w:after="0" w:afterAutospacing="0" w:line="360" w:lineRule="auto"/>
        <w:ind w:firstLine="420"/>
        <w:rPr>
          <w:sz w:val="21"/>
          <w:szCs w:val="21"/>
        </w:rPr>
      </w:pPr>
      <w:r>
        <w:rPr>
          <w:rFonts w:hint="eastAsia"/>
          <w:sz w:val="21"/>
          <w:szCs w:val="21"/>
        </w:rPr>
        <w:t>基金份额持有人大会决议自生效之日起依照《信息披露办法》在规定媒介上公告。如果采用通讯方式进行表决，在公告基金份额持有人大会决议时，必须将公证书全文、公证机构、公证员姓名等一同公告。</w:t>
      </w:r>
    </w:p>
    <w:p>
      <w:pPr>
        <w:pStyle w:val="7"/>
        <w:spacing w:before="0" w:beforeAutospacing="0" w:after="0" w:afterAutospacing="0" w:line="360" w:lineRule="auto"/>
        <w:ind w:firstLine="420"/>
        <w:rPr>
          <w:sz w:val="21"/>
          <w:szCs w:val="21"/>
        </w:rPr>
      </w:pPr>
      <w:r>
        <w:rPr>
          <w:rFonts w:hint="eastAsia"/>
          <w:sz w:val="21"/>
          <w:szCs w:val="21"/>
        </w:rPr>
        <w:t>基金管理人、基金托管人和基金份额持有人应当执行生效的基金份额持有人大会的决议。生效的基金份额持有人大会决议对全体基金份额持有人、基金管理人、基金托管人均有约束力。</w:t>
      </w:r>
    </w:p>
    <w:p>
      <w:pPr>
        <w:pStyle w:val="7"/>
        <w:spacing w:before="0" w:beforeAutospacing="0" w:after="0" w:afterAutospacing="0" w:line="360" w:lineRule="auto"/>
        <w:ind w:firstLine="420"/>
        <w:rPr>
          <w:sz w:val="21"/>
          <w:szCs w:val="21"/>
        </w:rPr>
      </w:pPr>
      <w:r>
        <w:rPr>
          <w:rFonts w:hint="eastAsia"/>
          <w:sz w:val="21"/>
          <w:szCs w:val="21"/>
        </w:rPr>
        <w:t>（九）本部分关于基金份额持有人大会召开事由、召开条件、议事程序、表决条件等规定，凡是直接引用法律法规的部分，如将来法律法规修改导致相关内容被取消或变更的，基金管理人与基金托管人协商一致并履行适当程序后，可直接对本部分内容进行修改和调整，无需召开基金份额持有人大会审议。</w:t>
      </w:r>
    </w:p>
    <w:p>
      <w:pPr>
        <w:pStyle w:val="7"/>
        <w:spacing w:before="0" w:beforeAutospacing="0" w:after="0" w:afterAutospacing="0" w:line="360" w:lineRule="auto"/>
        <w:ind w:firstLine="420"/>
        <w:rPr>
          <w:sz w:val="21"/>
          <w:szCs w:val="21"/>
        </w:rPr>
      </w:pPr>
      <w:r>
        <w:rPr>
          <w:rStyle w:val="11"/>
          <w:rFonts w:hint="eastAsia"/>
          <w:sz w:val="21"/>
          <w:szCs w:val="21"/>
        </w:rPr>
        <w:t>三、基金合同的变更、终止与基金财产的清算</w:t>
      </w:r>
    </w:p>
    <w:p>
      <w:pPr>
        <w:pStyle w:val="7"/>
        <w:spacing w:before="0" w:beforeAutospacing="0" w:after="0" w:afterAutospacing="0" w:line="360" w:lineRule="auto"/>
        <w:ind w:firstLine="420"/>
        <w:rPr>
          <w:sz w:val="21"/>
          <w:szCs w:val="21"/>
        </w:rPr>
      </w:pPr>
      <w:r>
        <w:rPr>
          <w:rFonts w:hint="eastAsia"/>
          <w:sz w:val="21"/>
          <w:szCs w:val="21"/>
        </w:rPr>
        <w:t>（一）《基金合同》的变更</w:t>
      </w:r>
    </w:p>
    <w:p>
      <w:pPr>
        <w:pStyle w:val="7"/>
        <w:spacing w:before="0" w:beforeAutospacing="0" w:after="0" w:afterAutospacing="0" w:line="360" w:lineRule="auto"/>
        <w:ind w:firstLine="420"/>
        <w:rPr>
          <w:sz w:val="21"/>
          <w:szCs w:val="21"/>
        </w:rPr>
      </w:pPr>
      <w:r>
        <w:rPr>
          <w:rFonts w:hint="eastAsia"/>
          <w:sz w:val="21"/>
          <w:szCs w:val="21"/>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并履行适当程序后变更并公告。</w:t>
      </w:r>
    </w:p>
    <w:p>
      <w:pPr>
        <w:pStyle w:val="7"/>
        <w:spacing w:before="0" w:beforeAutospacing="0" w:after="0" w:afterAutospacing="0" w:line="360" w:lineRule="auto"/>
        <w:ind w:firstLine="420"/>
        <w:rPr>
          <w:sz w:val="21"/>
          <w:szCs w:val="21"/>
        </w:rPr>
      </w:pPr>
      <w:r>
        <w:rPr>
          <w:rFonts w:hint="eastAsia"/>
          <w:sz w:val="21"/>
          <w:szCs w:val="21"/>
        </w:rPr>
        <w:t>2、关于《基金合同》变更的基金份额持有人大会决议自生效后方可执行，自决议生效后按规定在规定媒介公告。</w:t>
      </w:r>
    </w:p>
    <w:p>
      <w:pPr>
        <w:pStyle w:val="7"/>
        <w:spacing w:before="0" w:beforeAutospacing="0" w:after="0" w:afterAutospacing="0" w:line="360" w:lineRule="auto"/>
        <w:ind w:firstLine="420"/>
        <w:rPr>
          <w:sz w:val="21"/>
          <w:szCs w:val="21"/>
        </w:rPr>
      </w:pPr>
      <w:r>
        <w:rPr>
          <w:rFonts w:hint="eastAsia"/>
          <w:sz w:val="21"/>
          <w:szCs w:val="21"/>
        </w:rPr>
        <w:t>（二）《基金合同》的终止事由</w:t>
      </w:r>
    </w:p>
    <w:p>
      <w:pPr>
        <w:pStyle w:val="7"/>
        <w:spacing w:before="0" w:beforeAutospacing="0" w:after="0" w:afterAutospacing="0" w:line="360" w:lineRule="auto"/>
        <w:ind w:firstLine="420"/>
        <w:rPr>
          <w:sz w:val="21"/>
          <w:szCs w:val="21"/>
        </w:rPr>
      </w:pPr>
      <w:r>
        <w:rPr>
          <w:rFonts w:hint="eastAsia"/>
          <w:sz w:val="21"/>
          <w:szCs w:val="21"/>
        </w:rPr>
        <w:t>有下列情形之一的，经履行相关程序后，《基金合同》应当终止：</w:t>
      </w:r>
    </w:p>
    <w:p>
      <w:pPr>
        <w:pStyle w:val="7"/>
        <w:spacing w:before="0" w:beforeAutospacing="0" w:after="0" w:afterAutospacing="0" w:line="360" w:lineRule="auto"/>
        <w:ind w:firstLine="420"/>
        <w:rPr>
          <w:sz w:val="21"/>
          <w:szCs w:val="21"/>
        </w:rPr>
      </w:pPr>
      <w:r>
        <w:rPr>
          <w:rFonts w:hint="eastAsia"/>
          <w:sz w:val="21"/>
          <w:szCs w:val="21"/>
        </w:rPr>
        <w:t>1、基金份额持有人大会决定终止的；</w:t>
      </w:r>
    </w:p>
    <w:p>
      <w:pPr>
        <w:pStyle w:val="7"/>
        <w:spacing w:before="0" w:beforeAutospacing="0" w:after="0" w:afterAutospacing="0" w:line="360" w:lineRule="auto"/>
        <w:ind w:firstLine="420"/>
        <w:rPr>
          <w:sz w:val="21"/>
          <w:szCs w:val="21"/>
        </w:rPr>
      </w:pPr>
      <w:r>
        <w:rPr>
          <w:rFonts w:hint="eastAsia"/>
          <w:sz w:val="21"/>
          <w:szCs w:val="21"/>
        </w:rPr>
        <w:t>2、基金管理人、基金托管人职责终止，在6个月内没有新基金管理人、新基金托管人承接的；</w:t>
      </w:r>
    </w:p>
    <w:p>
      <w:pPr>
        <w:pStyle w:val="7"/>
        <w:spacing w:before="0" w:beforeAutospacing="0" w:after="0" w:afterAutospacing="0" w:line="360" w:lineRule="auto"/>
        <w:ind w:firstLine="420"/>
        <w:rPr>
          <w:sz w:val="21"/>
          <w:szCs w:val="21"/>
        </w:rPr>
      </w:pPr>
      <w:r>
        <w:rPr>
          <w:rFonts w:hint="eastAsia"/>
          <w:sz w:val="21"/>
          <w:szCs w:val="21"/>
        </w:rPr>
        <w:t>3、《基金合同》约定的其他情形；</w:t>
      </w:r>
    </w:p>
    <w:p>
      <w:pPr>
        <w:pStyle w:val="7"/>
        <w:spacing w:before="0" w:beforeAutospacing="0" w:after="0" w:afterAutospacing="0" w:line="360" w:lineRule="auto"/>
        <w:ind w:firstLine="420"/>
        <w:rPr>
          <w:sz w:val="21"/>
          <w:szCs w:val="21"/>
        </w:rPr>
      </w:pPr>
      <w:r>
        <w:rPr>
          <w:rFonts w:hint="eastAsia"/>
          <w:sz w:val="21"/>
          <w:szCs w:val="21"/>
        </w:rPr>
        <w:t>4、相关法律法规和中国证监会规定的其他情况。</w:t>
      </w:r>
    </w:p>
    <w:p>
      <w:pPr>
        <w:pStyle w:val="7"/>
        <w:spacing w:before="0" w:beforeAutospacing="0" w:after="0" w:afterAutospacing="0" w:line="360" w:lineRule="auto"/>
        <w:ind w:firstLine="420"/>
        <w:rPr>
          <w:sz w:val="21"/>
          <w:szCs w:val="21"/>
        </w:rPr>
      </w:pPr>
      <w:r>
        <w:rPr>
          <w:rFonts w:hint="eastAsia"/>
          <w:sz w:val="21"/>
          <w:szCs w:val="21"/>
        </w:rPr>
        <w:t>（三）基金财产的清算</w:t>
      </w:r>
    </w:p>
    <w:p>
      <w:pPr>
        <w:pStyle w:val="7"/>
        <w:spacing w:before="0" w:beforeAutospacing="0" w:after="0" w:afterAutospacing="0" w:line="360" w:lineRule="auto"/>
        <w:ind w:firstLine="420"/>
        <w:rPr>
          <w:sz w:val="21"/>
          <w:szCs w:val="21"/>
        </w:rPr>
      </w:pPr>
      <w:r>
        <w:rPr>
          <w:rFonts w:hint="eastAsia"/>
          <w:sz w:val="21"/>
          <w:szCs w:val="21"/>
        </w:rPr>
        <w:t>1、基金财产清算小组：自出现《基金合同》终止事由之日起30个工作日内成立基金财产清算小组，基金管理人组织基金财产清算小组并在中国证监会的监督下进行基金清算。</w:t>
      </w:r>
    </w:p>
    <w:p>
      <w:pPr>
        <w:pStyle w:val="7"/>
        <w:spacing w:before="0" w:beforeAutospacing="0" w:after="0" w:afterAutospacing="0" w:line="360" w:lineRule="auto"/>
        <w:ind w:firstLine="420"/>
        <w:rPr>
          <w:sz w:val="21"/>
          <w:szCs w:val="21"/>
        </w:rPr>
      </w:pPr>
      <w:r>
        <w:rPr>
          <w:rFonts w:hint="eastAsia"/>
          <w:sz w:val="21"/>
          <w:szCs w:val="21"/>
        </w:rPr>
        <w:t>2、在基金财产清算小组接管基金财产之前，基金管理人和基金托管人应按照《基金合同》和托管协议的规定继续履行保护基金财产安全的职责。</w:t>
      </w:r>
    </w:p>
    <w:p>
      <w:pPr>
        <w:pStyle w:val="7"/>
        <w:spacing w:before="0" w:beforeAutospacing="0" w:after="0" w:afterAutospacing="0" w:line="360" w:lineRule="auto"/>
        <w:ind w:firstLine="420"/>
        <w:rPr>
          <w:sz w:val="21"/>
          <w:szCs w:val="21"/>
        </w:rPr>
      </w:pPr>
      <w:r>
        <w:rPr>
          <w:rFonts w:hint="eastAsia"/>
          <w:sz w:val="21"/>
          <w:szCs w:val="21"/>
        </w:rPr>
        <w:t>3、基金财产清算小组组成：基金财产清算小组成员由基金管理人、基金托管人、符合《证券法》规定的注册会计师、律师以及中国证监会指定的人员组成。基金财产清算小组可以聘用必要的工作人员。</w:t>
      </w:r>
    </w:p>
    <w:p>
      <w:pPr>
        <w:pStyle w:val="7"/>
        <w:spacing w:before="0" w:beforeAutospacing="0" w:after="0" w:afterAutospacing="0" w:line="360" w:lineRule="auto"/>
        <w:ind w:firstLine="420"/>
        <w:rPr>
          <w:sz w:val="21"/>
          <w:szCs w:val="21"/>
        </w:rPr>
      </w:pPr>
      <w:r>
        <w:rPr>
          <w:rFonts w:hint="eastAsia"/>
          <w:sz w:val="21"/>
          <w:szCs w:val="21"/>
        </w:rPr>
        <w:t>4、基金财产清算小组职责：基金财产清算小组负责基金财产的保管、清理、估价、变现和分配。基金财产清算小组可以依法进行必要的民事活动。</w:t>
      </w:r>
    </w:p>
    <w:p>
      <w:pPr>
        <w:pStyle w:val="7"/>
        <w:spacing w:before="0" w:beforeAutospacing="0" w:after="0" w:afterAutospacing="0" w:line="360" w:lineRule="auto"/>
        <w:ind w:firstLine="420"/>
        <w:rPr>
          <w:sz w:val="21"/>
          <w:szCs w:val="21"/>
        </w:rPr>
      </w:pPr>
      <w:r>
        <w:rPr>
          <w:rFonts w:hint="eastAsia"/>
          <w:sz w:val="21"/>
          <w:szCs w:val="21"/>
        </w:rPr>
        <w:t>5、在基金财产清算过程中，基金管理人和基金托管人应各自履行职责，继续忠实、勤勉、尽责地履行基金合同和托管协议规定的义务，维护基金份额持有人的合法权益。</w:t>
      </w:r>
    </w:p>
    <w:p>
      <w:pPr>
        <w:pStyle w:val="7"/>
        <w:spacing w:before="0" w:beforeAutospacing="0" w:after="0" w:afterAutospacing="0" w:line="360" w:lineRule="auto"/>
        <w:ind w:firstLine="420"/>
        <w:rPr>
          <w:sz w:val="21"/>
          <w:szCs w:val="21"/>
        </w:rPr>
      </w:pPr>
      <w:r>
        <w:rPr>
          <w:rFonts w:hint="eastAsia"/>
          <w:sz w:val="21"/>
          <w:szCs w:val="21"/>
        </w:rPr>
        <w:t>6、基金财产清算程序：</w:t>
      </w:r>
    </w:p>
    <w:p>
      <w:pPr>
        <w:pStyle w:val="7"/>
        <w:spacing w:before="0" w:beforeAutospacing="0" w:after="0" w:afterAutospacing="0" w:line="360" w:lineRule="auto"/>
        <w:ind w:firstLine="420"/>
        <w:rPr>
          <w:sz w:val="21"/>
          <w:szCs w:val="21"/>
        </w:rPr>
      </w:pPr>
      <w:r>
        <w:rPr>
          <w:rFonts w:hint="eastAsia"/>
          <w:sz w:val="21"/>
          <w:szCs w:val="21"/>
        </w:rPr>
        <w:t>（1）《基金合同》终止情形出现时，由基金财产清算小组统一接管基金；</w:t>
      </w:r>
    </w:p>
    <w:p>
      <w:pPr>
        <w:pStyle w:val="7"/>
        <w:spacing w:before="0" w:beforeAutospacing="0" w:after="0" w:afterAutospacing="0" w:line="360" w:lineRule="auto"/>
        <w:ind w:firstLine="420"/>
        <w:rPr>
          <w:sz w:val="21"/>
          <w:szCs w:val="21"/>
        </w:rPr>
      </w:pPr>
      <w:r>
        <w:rPr>
          <w:rFonts w:hint="eastAsia"/>
          <w:sz w:val="21"/>
          <w:szCs w:val="21"/>
        </w:rPr>
        <w:t>（2）对基金财产和债权债务进行清理和确认；</w:t>
      </w:r>
    </w:p>
    <w:p>
      <w:pPr>
        <w:pStyle w:val="7"/>
        <w:spacing w:before="0" w:beforeAutospacing="0" w:after="0" w:afterAutospacing="0" w:line="360" w:lineRule="auto"/>
        <w:ind w:firstLine="420"/>
        <w:rPr>
          <w:sz w:val="21"/>
          <w:szCs w:val="21"/>
        </w:rPr>
      </w:pPr>
      <w:r>
        <w:rPr>
          <w:rFonts w:hint="eastAsia"/>
          <w:sz w:val="21"/>
          <w:szCs w:val="21"/>
        </w:rPr>
        <w:t>（3）对基金财产进行估值和变现；</w:t>
      </w:r>
    </w:p>
    <w:p>
      <w:pPr>
        <w:pStyle w:val="7"/>
        <w:spacing w:before="0" w:beforeAutospacing="0" w:after="0" w:afterAutospacing="0" w:line="360" w:lineRule="auto"/>
        <w:ind w:firstLine="420"/>
        <w:rPr>
          <w:sz w:val="21"/>
          <w:szCs w:val="21"/>
        </w:rPr>
      </w:pPr>
      <w:r>
        <w:rPr>
          <w:rFonts w:hint="eastAsia"/>
          <w:sz w:val="21"/>
          <w:szCs w:val="21"/>
        </w:rPr>
        <w:t>（4）制作清算报告；</w:t>
      </w:r>
    </w:p>
    <w:p>
      <w:pPr>
        <w:pStyle w:val="7"/>
        <w:spacing w:before="0" w:beforeAutospacing="0" w:after="0" w:afterAutospacing="0" w:line="360" w:lineRule="auto"/>
        <w:ind w:firstLine="420"/>
        <w:rPr>
          <w:sz w:val="21"/>
          <w:szCs w:val="21"/>
        </w:rPr>
      </w:pPr>
      <w:r>
        <w:rPr>
          <w:rFonts w:hint="eastAsia"/>
          <w:sz w:val="21"/>
          <w:szCs w:val="21"/>
        </w:rPr>
        <w:t>（5）聘请符合《证券法》规定的会计师事务所对清算报告进行外部审计，聘请律师事务所对清算报告出具法律意见书；</w:t>
      </w:r>
    </w:p>
    <w:p>
      <w:pPr>
        <w:pStyle w:val="7"/>
        <w:spacing w:before="0" w:beforeAutospacing="0" w:after="0" w:afterAutospacing="0" w:line="360" w:lineRule="auto"/>
        <w:ind w:firstLine="420"/>
        <w:rPr>
          <w:sz w:val="21"/>
          <w:szCs w:val="21"/>
        </w:rPr>
      </w:pPr>
      <w:r>
        <w:rPr>
          <w:rFonts w:hint="eastAsia"/>
          <w:sz w:val="21"/>
          <w:szCs w:val="21"/>
        </w:rPr>
        <w:t>（6）将清算报告报中国证监会备案并公告；</w:t>
      </w:r>
    </w:p>
    <w:p>
      <w:pPr>
        <w:pStyle w:val="7"/>
        <w:spacing w:before="0" w:beforeAutospacing="0" w:after="0" w:afterAutospacing="0" w:line="360" w:lineRule="auto"/>
        <w:ind w:firstLine="420"/>
        <w:rPr>
          <w:sz w:val="21"/>
          <w:szCs w:val="21"/>
        </w:rPr>
      </w:pPr>
      <w:r>
        <w:rPr>
          <w:rFonts w:hint="eastAsia"/>
          <w:sz w:val="21"/>
          <w:szCs w:val="21"/>
        </w:rPr>
        <w:t>（7）对基金剩余财产进行分配。</w:t>
      </w:r>
    </w:p>
    <w:p>
      <w:pPr>
        <w:pStyle w:val="7"/>
        <w:spacing w:before="0" w:beforeAutospacing="0" w:after="0" w:afterAutospacing="0" w:line="360" w:lineRule="auto"/>
        <w:ind w:firstLine="420"/>
        <w:rPr>
          <w:sz w:val="21"/>
          <w:szCs w:val="21"/>
        </w:rPr>
      </w:pPr>
      <w:r>
        <w:rPr>
          <w:rFonts w:hint="eastAsia"/>
          <w:sz w:val="21"/>
          <w:szCs w:val="21"/>
        </w:rPr>
        <w:t>7、基金财产清算的期限为6个月，但因本基金所持证券的流动性受到限制而不能及时变现的，清算期限相应顺延。</w:t>
      </w:r>
    </w:p>
    <w:p>
      <w:pPr>
        <w:pStyle w:val="7"/>
        <w:spacing w:before="0" w:beforeAutospacing="0" w:after="0" w:afterAutospacing="0" w:line="360" w:lineRule="auto"/>
        <w:ind w:firstLine="420"/>
        <w:rPr>
          <w:sz w:val="21"/>
          <w:szCs w:val="21"/>
        </w:rPr>
      </w:pPr>
      <w:r>
        <w:rPr>
          <w:rFonts w:hint="eastAsia"/>
          <w:sz w:val="21"/>
          <w:szCs w:val="21"/>
        </w:rPr>
        <w:t>（四）清算费用</w:t>
      </w:r>
    </w:p>
    <w:p>
      <w:pPr>
        <w:pStyle w:val="7"/>
        <w:spacing w:before="0" w:beforeAutospacing="0" w:after="0" w:afterAutospacing="0" w:line="360" w:lineRule="auto"/>
        <w:ind w:firstLine="420"/>
        <w:rPr>
          <w:sz w:val="21"/>
          <w:szCs w:val="21"/>
        </w:rPr>
      </w:pPr>
      <w:r>
        <w:rPr>
          <w:rFonts w:hint="eastAsia"/>
          <w:sz w:val="21"/>
          <w:szCs w:val="21"/>
        </w:rPr>
        <w:t>清算费用是指基金财产清算小组在进行基金财产清算过程中发生的所有合理费用，清算费用由基金财产清算小组优先从基金剩余财产中支付。</w:t>
      </w:r>
    </w:p>
    <w:p>
      <w:pPr>
        <w:pStyle w:val="7"/>
        <w:spacing w:before="0" w:beforeAutospacing="0" w:after="0" w:afterAutospacing="0" w:line="360" w:lineRule="auto"/>
        <w:ind w:firstLine="420"/>
        <w:rPr>
          <w:sz w:val="21"/>
          <w:szCs w:val="21"/>
        </w:rPr>
      </w:pPr>
      <w:r>
        <w:rPr>
          <w:rFonts w:hint="eastAsia"/>
          <w:sz w:val="21"/>
          <w:szCs w:val="21"/>
        </w:rPr>
        <w:t>（五）基金财产清算剩余资产的分配</w:t>
      </w:r>
    </w:p>
    <w:p>
      <w:pPr>
        <w:pStyle w:val="7"/>
        <w:spacing w:before="0" w:beforeAutospacing="0" w:after="0" w:afterAutospacing="0" w:line="360" w:lineRule="auto"/>
        <w:ind w:firstLine="420"/>
        <w:rPr>
          <w:sz w:val="21"/>
          <w:szCs w:val="21"/>
        </w:rPr>
      </w:pPr>
      <w:r>
        <w:rPr>
          <w:rFonts w:hint="eastAsia"/>
          <w:sz w:val="21"/>
          <w:szCs w:val="21"/>
        </w:rPr>
        <w:t>依据基金财产清算的分配方案，将基金财产清算后的全部剩余资产扣除基金财产清算费用、交纳所欠税款并清偿基金债务后，按基金份额持有人持有的基金份额比例进行分配。</w:t>
      </w:r>
    </w:p>
    <w:p>
      <w:pPr>
        <w:pStyle w:val="7"/>
        <w:spacing w:before="0" w:beforeAutospacing="0" w:after="0" w:afterAutospacing="0" w:line="360" w:lineRule="auto"/>
        <w:ind w:firstLine="420"/>
        <w:rPr>
          <w:sz w:val="21"/>
          <w:szCs w:val="21"/>
        </w:rPr>
      </w:pPr>
      <w:r>
        <w:rPr>
          <w:rFonts w:hint="eastAsia"/>
          <w:sz w:val="21"/>
          <w:szCs w:val="21"/>
        </w:rPr>
        <w:t>（六）基金财产清算的公告</w:t>
      </w:r>
    </w:p>
    <w:p>
      <w:pPr>
        <w:pStyle w:val="7"/>
        <w:spacing w:before="0" w:beforeAutospacing="0" w:after="0" w:afterAutospacing="0" w:line="360" w:lineRule="auto"/>
        <w:ind w:firstLine="420"/>
        <w:rPr>
          <w:sz w:val="21"/>
          <w:szCs w:val="21"/>
        </w:rPr>
      </w:pPr>
      <w:r>
        <w:rPr>
          <w:rFonts w:hint="eastAsia"/>
          <w:sz w:val="21"/>
          <w:szCs w:val="21"/>
        </w:rPr>
        <w:t>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pStyle w:val="7"/>
        <w:spacing w:before="0" w:beforeAutospacing="0" w:after="0" w:afterAutospacing="0" w:line="360" w:lineRule="auto"/>
        <w:ind w:firstLine="420"/>
        <w:rPr>
          <w:sz w:val="21"/>
          <w:szCs w:val="21"/>
        </w:rPr>
      </w:pPr>
      <w:r>
        <w:rPr>
          <w:rFonts w:hint="eastAsia"/>
          <w:sz w:val="21"/>
          <w:szCs w:val="21"/>
        </w:rPr>
        <w:t>（七）基金财产清算账册及文件的保存</w:t>
      </w:r>
    </w:p>
    <w:p>
      <w:pPr>
        <w:pStyle w:val="7"/>
        <w:spacing w:before="0" w:beforeAutospacing="0" w:after="0" w:afterAutospacing="0" w:line="360" w:lineRule="auto"/>
        <w:ind w:firstLine="420"/>
        <w:rPr>
          <w:sz w:val="21"/>
          <w:szCs w:val="21"/>
        </w:rPr>
      </w:pPr>
      <w:r>
        <w:rPr>
          <w:rFonts w:hint="eastAsia"/>
          <w:sz w:val="21"/>
          <w:szCs w:val="21"/>
        </w:rPr>
        <w:t>基金财产清算账册及有关文件由基金托管人保存，保存期限不低于法定最低期限。</w:t>
      </w:r>
    </w:p>
    <w:p>
      <w:pPr>
        <w:pStyle w:val="7"/>
        <w:spacing w:before="0" w:beforeAutospacing="0" w:after="0" w:afterAutospacing="0" w:line="360" w:lineRule="auto"/>
        <w:ind w:firstLine="420"/>
        <w:rPr>
          <w:sz w:val="21"/>
          <w:szCs w:val="21"/>
        </w:rPr>
      </w:pPr>
      <w:r>
        <w:rPr>
          <w:rStyle w:val="11"/>
          <w:rFonts w:hint="eastAsia"/>
          <w:sz w:val="21"/>
          <w:szCs w:val="21"/>
        </w:rPr>
        <w:t>四、争议的处理</w:t>
      </w:r>
    </w:p>
    <w:p>
      <w:pPr>
        <w:pStyle w:val="7"/>
        <w:spacing w:before="0" w:beforeAutospacing="0" w:after="0" w:afterAutospacing="0" w:line="360" w:lineRule="auto"/>
        <w:ind w:firstLine="420"/>
        <w:rPr>
          <w:sz w:val="21"/>
          <w:szCs w:val="21"/>
        </w:rPr>
      </w:pPr>
      <w:r>
        <w:rPr>
          <w:rFonts w:hint="eastAsia"/>
          <w:sz w:val="21"/>
          <w:szCs w:val="21"/>
        </w:rPr>
        <w:t>各方当事人同意，因《基金合同》而产生的或与《基金合同》有关的一切争议，如不愿或者不能通过协商、调解解决的，应将争议提交中国国际经济贸易仲裁委员会，按照中国国际经济贸易仲裁委员会届时有效的仲裁规则进行仲裁。仲裁地点为北京市。仲裁裁决是终局的，对各方当事人均有约束力。除非仲裁裁决另有规定，仲裁费由败诉方承担。</w:t>
      </w:r>
    </w:p>
    <w:p>
      <w:pPr>
        <w:pStyle w:val="7"/>
        <w:spacing w:before="0" w:beforeAutospacing="0" w:after="0" w:afterAutospacing="0" w:line="360" w:lineRule="auto"/>
        <w:ind w:firstLine="420"/>
        <w:rPr>
          <w:sz w:val="21"/>
          <w:szCs w:val="21"/>
        </w:rPr>
      </w:pPr>
      <w:r>
        <w:rPr>
          <w:rFonts w:hint="eastAsia"/>
          <w:sz w:val="21"/>
          <w:szCs w:val="21"/>
        </w:rPr>
        <w:t>争议处理期间，基金管理人、基金托管人应恪守基金管理人和基金托管人的职责，各自继续忠实、勤勉、尽责地履行基金合同和基金托管协议规定的义务，维护基金份额持有人的合法权益。</w:t>
      </w:r>
    </w:p>
    <w:p>
      <w:pPr>
        <w:pStyle w:val="7"/>
        <w:spacing w:before="0" w:beforeAutospacing="0" w:after="0" w:afterAutospacing="0" w:line="360" w:lineRule="auto"/>
        <w:ind w:firstLine="420"/>
        <w:rPr>
          <w:sz w:val="21"/>
          <w:szCs w:val="21"/>
        </w:rPr>
      </w:pPr>
      <w:r>
        <w:rPr>
          <w:rFonts w:hint="eastAsia"/>
          <w:sz w:val="21"/>
          <w:szCs w:val="21"/>
        </w:rPr>
        <w:t>《基金合同》受中国法律（为本基金合同之目的，在此不包括香港、澳门特别行政区和台湾地区法律）管辖并从其解释。</w:t>
      </w:r>
    </w:p>
    <w:p>
      <w:pPr>
        <w:pStyle w:val="7"/>
        <w:spacing w:before="0" w:beforeAutospacing="0" w:after="0" w:afterAutospacing="0" w:line="360" w:lineRule="auto"/>
        <w:ind w:firstLine="420"/>
        <w:rPr>
          <w:sz w:val="21"/>
          <w:szCs w:val="21"/>
        </w:rPr>
      </w:pPr>
      <w:r>
        <w:rPr>
          <w:rStyle w:val="11"/>
          <w:rFonts w:hint="eastAsia"/>
          <w:sz w:val="21"/>
          <w:szCs w:val="21"/>
        </w:rPr>
        <w:t>五、基金合同存放地和投资者取得合同的方式</w:t>
      </w:r>
    </w:p>
    <w:p>
      <w:pPr>
        <w:pStyle w:val="7"/>
        <w:spacing w:before="0" w:beforeAutospacing="0" w:after="0" w:afterAutospacing="0" w:line="360" w:lineRule="auto"/>
        <w:ind w:firstLine="420"/>
        <w:rPr>
          <w:sz w:val="21"/>
          <w:szCs w:val="21"/>
        </w:rPr>
      </w:pPr>
      <w:r>
        <w:rPr>
          <w:rFonts w:hint="eastAsia"/>
          <w:sz w:val="21"/>
          <w:szCs w:val="21"/>
        </w:rPr>
        <w:t>本基金合同可印制成册，供投资人在基金管理人、基金托管人、代销机构和登记机构办</w:t>
      </w:r>
      <w:bookmarkStart w:id="168" w:name="chapter_level1_24_71_section_1_end"/>
      <w:bookmarkEnd w:id="168"/>
      <w:r>
        <w:rPr>
          <w:rFonts w:hint="eastAsia"/>
          <w:sz w:val="21"/>
          <w:szCs w:val="21"/>
        </w:rPr>
        <w:t>公场所查阅。</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69" w:name="chapter_level1_25_72"/>
      <w:bookmarkStart w:id="170" w:name="_Toc214976559"/>
      <w:r>
        <w:rPr>
          <w:rFonts w:hint="eastAsia" w:ascii="宋体" w:hAnsi="宋体" w:eastAsia="宋体"/>
          <w:sz w:val="30"/>
        </w:rPr>
        <w:t>第二十一部分  基金托管协议的内容摘要</w:t>
      </w:r>
      <w:bookmarkEnd w:id="169"/>
      <w:bookmarkEnd w:id="170"/>
    </w:p>
    <w:p>
      <w:pPr>
        <w:pStyle w:val="7"/>
        <w:spacing w:before="0" w:beforeAutospacing="0" w:after="0" w:afterAutospacing="0" w:line="360" w:lineRule="auto"/>
        <w:ind w:firstLine="420"/>
        <w:rPr>
          <w:sz w:val="21"/>
          <w:szCs w:val="21"/>
        </w:rPr>
      </w:pPr>
      <w:bookmarkStart w:id="171" w:name="chapter_level1_25_72_section_1"/>
      <w:bookmarkEnd w:id="171"/>
      <w:r>
        <w:rPr>
          <w:rStyle w:val="11"/>
          <w:rFonts w:hint="eastAsia"/>
          <w:sz w:val="21"/>
          <w:szCs w:val="21"/>
        </w:rPr>
        <w:t>基金托管协议当事人</w:t>
      </w:r>
    </w:p>
    <w:p>
      <w:pPr>
        <w:pStyle w:val="7"/>
        <w:spacing w:before="0" w:beforeAutospacing="0" w:after="0" w:afterAutospacing="0" w:line="360" w:lineRule="auto"/>
        <w:ind w:firstLine="420"/>
        <w:rPr>
          <w:sz w:val="21"/>
          <w:szCs w:val="21"/>
        </w:rPr>
      </w:pPr>
      <w:r>
        <w:rPr>
          <w:rFonts w:hint="eastAsia"/>
          <w:sz w:val="21"/>
          <w:szCs w:val="21"/>
        </w:rPr>
        <w:t>（一）基金管理人</w:t>
      </w:r>
    </w:p>
    <w:p>
      <w:pPr>
        <w:pStyle w:val="7"/>
        <w:spacing w:before="0" w:beforeAutospacing="0" w:after="0" w:afterAutospacing="0" w:line="360" w:lineRule="auto"/>
        <w:ind w:firstLine="420"/>
        <w:rPr>
          <w:sz w:val="21"/>
          <w:szCs w:val="21"/>
        </w:rPr>
      </w:pPr>
      <w:r>
        <w:rPr>
          <w:rFonts w:hint="eastAsia"/>
          <w:sz w:val="21"/>
          <w:szCs w:val="21"/>
        </w:rPr>
        <w:t>名称：博时基金管理有限公司</w:t>
      </w:r>
    </w:p>
    <w:p>
      <w:pPr>
        <w:pStyle w:val="7"/>
        <w:spacing w:before="0" w:beforeAutospacing="0" w:after="0" w:afterAutospacing="0" w:line="360" w:lineRule="auto"/>
        <w:ind w:firstLine="420"/>
        <w:rPr>
          <w:sz w:val="21"/>
          <w:szCs w:val="21"/>
        </w:rPr>
      </w:pPr>
      <w:r>
        <w:rPr>
          <w:rFonts w:hint="eastAsia"/>
          <w:sz w:val="21"/>
          <w:szCs w:val="21"/>
        </w:rPr>
        <w:t>住所：深圳市福田区莲花街道福新社区益田路5999号基金大厦21层</w:t>
      </w:r>
    </w:p>
    <w:p>
      <w:pPr>
        <w:pStyle w:val="7"/>
        <w:spacing w:before="0" w:beforeAutospacing="0" w:after="0" w:afterAutospacing="0" w:line="360" w:lineRule="auto"/>
        <w:ind w:firstLine="420"/>
        <w:rPr>
          <w:rFonts w:hint="eastAsia" w:eastAsia="宋体"/>
          <w:sz w:val="21"/>
          <w:szCs w:val="21"/>
          <w:lang w:eastAsia="zh-CN"/>
        </w:rPr>
      </w:pPr>
      <w:r>
        <w:rPr>
          <w:rFonts w:hint="eastAsia"/>
          <w:sz w:val="21"/>
          <w:szCs w:val="21"/>
        </w:rPr>
        <w:t>法定代表人：</w:t>
      </w:r>
      <w:r>
        <w:rPr>
          <w:rFonts w:hint="eastAsia"/>
          <w:sz w:val="21"/>
          <w:szCs w:val="21"/>
          <w:lang w:eastAsia="zh-CN"/>
        </w:rPr>
        <w:t>张东</w:t>
      </w:r>
    </w:p>
    <w:p>
      <w:pPr>
        <w:pStyle w:val="7"/>
        <w:spacing w:before="0" w:beforeAutospacing="0" w:after="0" w:afterAutospacing="0" w:line="360" w:lineRule="auto"/>
        <w:ind w:firstLine="420"/>
        <w:rPr>
          <w:sz w:val="21"/>
          <w:szCs w:val="21"/>
        </w:rPr>
      </w:pPr>
      <w:r>
        <w:rPr>
          <w:rFonts w:hint="eastAsia"/>
          <w:sz w:val="21"/>
          <w:szCs w:val="21"/>
        </w:rPr>
        <w:t>成立时间：1998年7月13日</w:t>
      </w:r>
    </w:p>
    <w:p>
      <w:pPr>
        <w:pStyle w:val="7"/>
        <w:spacing w:before="0" w:beforeAutospacing="0" w:after="0" w:afterAutospacing="0" w:line="360" w:lineRule="auto"/>
        <w:ind w:firstLine="420"/>
        <w:rPr>
          <w:sz w:val="21"/>
          <w:szCs w:val="21"/>
        </w:rPr>
      </w:pPr>
      <w:r>
        <w:rPr>
          <w:rFonts w:hint="eastAsia"/>
          <w:sz w:val="21"/>
          <w:szCs w:val="21"/>
        </w:rPr>
        <w:t>批准设立机关及批准设立文号：中国证监会证监基字【1998】26号</w:t>
      </w:r>
    </w:p>
    <w:p>
      <w:pPr>
        <w:pStyle w:val="7"/>
        <w:spacing w:before="0" w:beforeAutospacing="0" w:after="0" w:afterAutospacing="0" w:line="360" w:lineRule="auto"/>
        <w:ind w:firstLine="420"/>
        <w:rPr>
          <w:sz w:val="21"/>
          <w:szCs w:val="21"/>
        </w:rPr>
      </w:pPr>
      <w:r>
        <w:rPr>
          <w:rFonts w:hint="eastAsia"/>
          <w:sz w:val="21"/>
          <w:szCs w:val="21"/>
        </w:rPr>
        <w:t>注册资本：2.5亿元人民币</w:t>
      </w:r>
    </w:p>
    <w:p>
      <w:pPr>
        <w:pStyle w:val="7"/>
        <w:spacing w:before="0" w:beforeAutospacing="0" w:after="0" w:afterAutospacing="0" w:line="360" w:lineRule="auto"/>
        <w:ind w:firstLine="420"/>
        <w:rPr>
          <w:sz w:val="21"/>
          <w:szCs w:val="21"/>
        </w:rPr>
      </w:pPr>
      <w:r>
        <w:rPr>
          <w:rFonts w:hint="eastAsia"/>
          <w:sz w:val="21"/>
          <w:szCs w:val="21"/>
        </w:rPr>
        <w:t>组织形式: 有限责任公司</w:t>
      </w:r>
    </w:p>
    <w:p>
      <w:pPr>
        <w:pStyle w:val="7"/>
        <w:spacing w:before="0" w:beforeAutospacing="0" w:after="0" w:afterAutospacing="0" w:line="360" w:lineRule="auto"/>
        <w:ind w:firstLine="420"/>
        <w:rPr>
          <w:sz w:val="21"/>
          <w:szCs w:val="21"/>
        </w:rPr>
      </w:pPr>
      <w:r>
        <w:rPr>
          <w:rFonts w:hint="eastAsia"/>
          <w:sz w:val="21"/>
          <w:szCs w:val="21"/>
        </w:rPr>
        <w:t>经营范围：基金募集；基金销售；资产管理；中国证监会许可的其他业务。</w:t>
      </w:r>
    </w:p>
    <w:p>
      <w:pPr>
        <w:pStyle w:val="7"/>
        <w:spacing w:before="0" w:beforeAutospacing="0" w:after="0" w:afterAutospacing="0" w:line="360" w:lineRule="auto"/>
        <w:ind w:firstLine="420"/>
        <w:rPr>
          <w:sz w:val="21"/>
          <w:szCs w:val="21"/>
        </w:rPr>
      </w:pPr>
      <w:r>
        <w:rPr>
          <w:rFonts w:hint="eastAsia"/>
          <w:sz w:val="21"/>
          <w:szCs w:val="21"/>
        </w:rPr>
        <w:t>存续期间：持续经营</w:t>
      </w:r>
    </w:p>
    <w:p>
      <w:pPr>
        <w:pStyle w:val="7"/>
        <w:spacing w:before="0" w:beforeAutospacing="0" w:after="0" w:afterAutospacing="0" w:line="360" w:lineRule="auto"/>
        <w:ind w:firstLine="420"/>
        <w:rPr>
          <w:sz w:val="21"/>
          <w:szCs w:val="21"/>
        </w:rPr>
      </w:pPr>
      <w:r>
        <w:rPr>
          <w:rFonts w:hint="eastAsia"/>
          <w:sz w:val="21"/>
          <w:szCs w:val="21"/>
        </w:rPr>
        <w:t>电话：0755-83169999</w:t>
      </w:r>
    </w:p>
    <w:p>
      <w:pPr>
        <w:pStyle w:val="7"/>
        <w:spacing w:before="0" w:beforeAutospacing="0" w:after="0" w:afterAutospacing="0" w:line="360" w:lineRule="auto"/>
        <w:ind w:firstLine="420"/>
        <w:rPr>
          <w:sz w:val="21"/>
          <w:szCs w:val="21"/>
        </w:rPr>
      </w:pPr>
      <w:r>
        <w:rPr>
          <w:rFonts w:hint="eastAsia"/>
          <w:sz w:val="21"/>
          <w:szCs w:val="21"/>
        </w:rPr>
        <w:t>传真：0755-83195140</w:t>
      </w:r>
    </w:p>
    <w:p>
      <w:pPr>
        <w:pStyle w:val="7"/>
        <w:spacing w:before="0" w:beforeAutospacing="0" w:after="0" w:afterAutospacing="0" w:line="360" w:lineRule="auto"/>
        <w:ind w:firstLine="420"/>
        <w:rPr>
          <w:sz w:val="21"/>
          <w:szCs w:val="21"/>
        </w:rPr>
      </w:pPr>
      <w:r>
        <w:rPr>
          <w:rFonts w:hint="eastAsia"/>
          <w:sz w:val="21"/>
          <w:szCs w:val="21"/>
        </w:rPr>
        <w:t>联系人：王济帆</w:t>
      </w:r>
    </w:p>
    <w:p>
      <w:pPr>
        <w:pStyle w:val="7"/>
        <w:spacing w:before="0" w:beforeAutospacing="0" w:after="0" w:afterAutospacing="0" w:line="360" w:lineRule="auto"/>
        <w:ind w:firstLine="420"/>
        <w:rPr>
          <w:sz w:val="21"/>
          <w:szCs w:val="21"/>
        </w:rPr>
      </w:pPr>
      <w:r>
        <w:rPr>
          <w:rFonts w:hint="eastAsia"/>
          <w:sz w:val="21"/>
          <w:szCs w:val="21"/>
        </w:rPr>
        <w:t>（二）基金托管人</w:t>
      </w:r>
    </w:p>
    <w:p>
      <w:pPr>
        <w:pStyle w:val="7"/>
        <w:spacing w:before="0" w:beforeAutospacing="0" w:after="0" w:afterAutospacing="0" w:line="360" w:lineRule="auto"/>
        <w:ind w:firstLine="420"/>
        <w:rPr>
          <w:sz w:val="21"/>
          <w:szCs w:val="21"/>
        </w:rPr>
      </w:pPr>
      <w:r>
        <w:rPr>
          <w:rFonts w:hint="eastAsia"/>
          <w:sz w:val="21"/>
          <w:szCs w:val="21"/>
        </w:rPr>
        <w:t>名称：中信银行股份有限公司</w:t>
      </w:r>
    </w:p>
    <w:p>
      <w:pPr>
        <w:pStyle w:val="7"/>
        <w:spacing w:before="0" w:beforeAutospacing="0" w:after="0" w:afterAutospacing="0" w:line="360" w:lineRule="auto"/>
        <w:ind w:firstLine="420"/>
        <w:rPr>
          <w:sz w:val="21"/>
          <w:szCs w:val="21"/>
        </w:rPr>
      </w:pPr>
      <w:r>
        <w:rPr>
          <w:rFonts w:hint="eastAsia"/>
          <w:sz w:val="21"/>
          <w:szCs w:val="21"/>
        </w:rPr>
        <w:t>住所：北京市朝阳区光华路10号院1号楼6-30层、32-42层</w:t>
      </w:r>
    </w:p>
    <w:p>
      <w:pPr>
        <w:pStyle w:val="7"/>
        <w:spacing w:before="0" w:beforeAutospacing="0" w:after="0" w:afterAutospacing="0" w:line="360" w:lineRule="auto"/>
        <w:ind w:firstLine="420"/>
        <w:rPr>
          <w:sz w:val="21"/>
          <w:szCs w:val="21"/>
        </w:rPr>
      </w:pPr>
      <w:r>
        <w:rPr>
          <w:rFonts w:hint="eastAsia"/>
          <w:sz w:val="21"/>
          <w:szCs w:val="21"/>
        </w:rPr>
        <w:t>法定代表人：方合英</w:t>
      </w:r>
    </w:p>
    <w:p>
      <w:pPr>
        <w:pStyle w:val="7"/>
        <w:spacing w:before="0" w:beforeAutospacing="0" w:after="0" w:afterAutospacing="0" w:line="360" w:lineRule="auto"/>
        <w:ind w:firstLine="420"/>
        <w:rPr>
          <w:sz w:val="21"/>
          <w:szCs w:val="21"/>
        </w:rPr>
      </w:pPr>
      <w:r>
        <w:rPr>
          <w:rFonts w:hint="eastAsia"/>
          <w:sz w:val="21"/>
          <w:szCs w:val="21"/>
        </w:rPr>
        <w:t>成立时间：1987年4月20日</w:t>
      </w:r>
    </w:p>
    <w:p>
      <w:pPr>
        <w:pStyle w:val="7"/>
        <w:spacing w:before="0" w:beforeAutospacing="0" w:after="0" w:afterAutospacing="0" w:line="360" w:lineRule="auto"/>
        <w:ind w:firstLine="420"/>
        <w:rPr>
          <w:sz w:val="21"/>
          <w:szCs w:val="21"/>
        </w:rPr>
      </w:pPr>
      <w:r>
        <w:rPr>
          <w:rFonts w:hint="eastAsia"/>
          <w:sz w:val="21"/>
          <w:szCs w:val="21"/>
        </w:rPr>
        <w:t>批准设立机关和批准设立文号：中华人民共和国国务院办公厅国办函[1987]14号</w:t>
      </w:r>
    </w:p>
    <w:p>
      <w:pPr>
        <w:pStyle w:val="7"/>
        <w:spacing w:before="0" w:beforeAutospacing="0" w:after="0" w:afterAutospacing="0" w:line="360" w:lineRule="auto"/>
        <w:ind w:firstLine="420"/>
        <w:rPr>
          <w:sz w:val="21"/>
          <w:szCs w:val="21"/>
        </w:rPr>
      </w:pPr>
      <w:r>
        <w:rPr>
          <w:rFonts w:hint="eastAsia"/>
          <w:sz w:val="21"/>
          <w:szCs w:val="21"/>
        </w:rPr>
        <w:t>基金托管业务批准文号：中国证监会证监基金字[2004]125号</w:t>
      </w:r>
    </w:p>
    <w:p>
      <w:pPr>
        <w:pStyle w:val="7"/>
        <w:spacing w:before="0" w:beforeAutospacing="0" w:after="0" w:afterAutospacing="0" w:line="360" w:lineRule="auto"/>
        <w:ind w:firstLine="420"/>
        <w:rPr>
          <w:sz w:val="21"/>
          <w:szCs w:val="21"/>
        </w:rPr>
      </w:pPr>
      <w:r>
        <w:rPr>
          <w:rFonts w:hint="eastAsia"/>
          <w:sz w:val="21"/>
          <w:szCs w:val="21"/>
        </w:rPr>
        <w:t>组织形式：股份有限公司</w:t>
      </w:r>
    </w:p>
    <w:p>
      <w:pPr>
        <w:pStyle w:val="7"/>
        <w:spacing w:before="0" w:beforeAutospacing="0" w:after="0" w:afterAutospacing="0" w:line="360" w:lineRule="auto"/>
        <w:ind w:firstLine="420"/>
        <w:rPr>
          <w:sz w:val="21"/>
          <w:szCs w:val="21"/>
        </w:rPr>
      </w:pPr>
      <w:r>
        <w:rPr>
          <w:rFonts w:hint="eastAsia"/>
          <w:sz w:val="21"/>
          <w:szCs w:val="21"/>
        </w:rPr>
        <w:t>注册资本：489.35亿元人民币</w:t>
      </w:r>
    </w:p>
    <w:p>
      <w:pPr>
        <w:pStyle w:val="7"/>
        <w:spacing w:before="0" w:beforeAutospacing="0" w:after="0" w:afterAutospacing="0" w:line="360" w:lineRule="auto"/>
        <w:ind w:firstLine="420"/>
        <w:rPr>
          <w:sz w:val="21"/>
          <w:szCs w:val="21"/>
        </w:rPr>
      </w:pPr>
      <w:r>
        <w:rPr>
          <w:rFonts w:hint="eastAsia"/>
          <w:sz w:val="21"/>
          <w:szCs w:val="21"/>
        </w:rPr>
        <w:t>存续期间：持续经营</w:t>
      </w:r>
    </w:p>
    <w:p>
      <w:pPr>
        <w:pStyle w:val="7"/>
        <w:spacing w:before="0" w:beforeAutospacing="0" w:after="0" w:afterAutospacing="0" w:line="360" w:lineRule="auto"/>
        <w:ind w:firstLine="420"/>
        <w:rPr>
          <w:sz w:val="21"/>
          <w:szCs w:val="21"/>
        </w:rPr>
      </w:pPr>
      <w:r>
        <w:rPr>
          <w:rFonts w:hint="eastAsia"/>
          <w:sz w:val="21"/>
          <w:szCs w:val="21"/>
        </w:rPr>
        <w:t>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业务。（市场主体依法自主选择经营项目，开展经营活动；依法须经批准的项目，经相关部门批准后依批准的内容开展经营活动；不得从事国家和本市产业政策禁止和限制类项目的经营活动。）</w:t>
      </w:r>
    </w:p>
    <w:p>
      <w:pPr>
        <w:pStyle w:val="7"/>
        <w:spacing w:before="0" w:beforeAutospacing="0" w:after="0" w:afterAutospacing="0" w:line="360" w:lineRule="auto"/>
        <w:ind w:firstLine="420"/>
        <w:rPr>
          <w:sz w:val="21"/>
          <w:szCs w:val="21"/>
        </w:rPr>
      </w:pPr>
      <w:r>
        <w:rPr>
          <w:rStyle w:val="11"/>
          <w:rFonts w:hint="eastAsia"/>
          <w:sz w:val="21"/>
          <w:szCs w:val="21"/>
        </w:rPr>
        <w:t>二、基金托管人对基金管理人的业务监督和核查</w:t>
      </w:r>
    </w:p>
    <w:p>
      <w:pPr>
        <w:pStyle w:val="7"/>
        <w:spacing w:before="0" w:beforeAutospacing="0" w:after="0" w:afterAutospacing="0" w:line="360" w:lineRule="auto"/>
        <w:ind w:firstLine="420"/>
        <w:rPr>
          <w:sz w:val="21"/>
          <w:szCs w:val="21"/>
        </w:rPr>
      </w:pPr>
      <w:r>
        <w:rPr>
          <w:rFonts w:hint="eastAsia"/>
          <w:sz w:val="21"/>
          <w:szCs w:val="21"/>
        </w:rPr>
        <w:t>（一）基金托管人对基金管理人的投资行为行使监督权</w:t>
      </w:r>
    </w:p>
    <w:p>
      <w:pPr>
        <w:pStyle w:val="7"/>
        <w:spacing w:before="0" w:beforeAutospacing="0" w:after="0" w:afterAutospacing="0" w:line="360" w:lineRule="auto"/>
        <w:ind w:firstLine="420"/>
        <w:rPr>
          <w:sz w:val="21"/>
          <w:szCs w:val="21"/>
        </w:rPr>
      </w:pPr>
      <w:r>
        <w:rPr>
          <w:rFonts w:hint="eastAsia"/>
          <w:sz w:val="21"/>
          <w:szCs w:val="21"/>
        </w:rPr>
        <w:t>1、基金托管人根据有关法律法规的规定和《基金合同》的约定，对下述基金投资范围、投资对象进行监督。</w:t>
      </w:r>
    </w:p>
    <w:p>
      <w:pPr>
        <w:pStyle w:val="7"/>
        <w:spacing w:before="0" w:beforeAutospacing="0" w:after="0" w:afterAutospacing="0" w:line="360" w:lineRule="auto"/>
        <w:ind w:firstLine="420"/>
        <w:rPr>
          <w:sz w:val="21"/>
          <w:szCs w:val="21"/>
        </w:rPr>
      </w:pPr>
      <w:r>
        <w:rPr>
          <w:rFonts w:hint="eastAsia"/>
          <w:sz w:val="21"/>
          <w:szCs w:val="21"/>
        </w:rPr>
        <w:t>本基金将投资于以下金融工具：</w:t>
      </w:r>
    </w:p>
    <w:p>
      <w:pPr>
        <w:pStyle w:val="7"/>
        <w:spacing w:before="0" w:beforeAutospacing="0" w:after="0" w:afterAutospacing="0" w:line="360" w:lineRule="auto"/>
        <w:ind w:firstLine="420"/>
        <w:rPr>
          <w:sz w:val="21"/>
          <w:szCs w:val="21"/>
        </w:rPr>
      </w:pPr>
      <w:r>
        <w:rPr>
          <w:rFonts w:hint="eastAsia"/>
          <w:sz w:val="21"/>
          <w:szCs w:val="21"/>
        </w:rPr>
        <w:t>本基金主要投资于标的指数成份股和备选成份股（含存托凭证）。</w:t>
      </w:r>
    </w:p>
    <w:p>
      <w:pPr>
        <w:pStyle w:val="7"/>
        <w:spacing w:before="0" w:beforeAutospacing="0" w:after="0" w:afterAutospacing="0" w:line="360" w:lineRule="auto"/>
        <w:ind w:firstLine="420"/>
        <w:rPr>
          <w:sz w:val="21"/>
          <w:szCs w:val="21"/>
        </w:rPr>
      </w:pPr>
      <w:r>
        <w:rPr>
          <w:rFonts w:hint="eastAsia"/>
          <w:sz w:val="21"/>
          <w:szCs w:val="21"/>
        </w:rPr>
        <w:t>为更好地实现基金的投资目标，本基金可能会少量投资于依法发行上市的非成份股（包括创业板及其他经中国证监会核准或注册上市的股票和存托凭证）、债券（包括国债、金融债、地方政府债、政府支持债券、政府支持机构债券、企业债、公司债、可转换债券（含可分离交易可转债）、可交换债券、央行票据、短期融资券、超短期融资券、中期票据等）、国债期货、股指期货、股票期权、货币市场工具（包括银行存款、同业存单等）、债券回购、资产支持证券以及法律法规或中国证监会允许基金投资的其他金融工具（但须符合中国证监会的相关规定）。</w:t>
      </w:r>
    </w:p>
    <w:p>
      <w:pPr>
        <w:pStyle w:val="7"/>
        <w:spacing w:before="0" w:beforeAutospacing="0" w:after="0" w:afterAutospacing="0" w:line="360" w:lineRule="auto"/>
        <w:ind w:firstLine="420"/>
        <w:rPr>
          <w:sz w:val="21"/>
          <w:szCs w:val="21"/>
        </w:rPr>
      </w:pPr>
      <w:r>
        <w:rPr>
          <w:rFonts w:hint="eastAsia"/>
          <w:sz w:val="21"/>
          <w:szCs w:val="21"/>
        </w:rPr>
        <w:t>本基金可根据法律法规的规定参与融资和转融通证券出借业务。</w:t>
      </w:r>
    </w:p>
    <w:p>
      <w:pPr>
        <w:pStyle w:val="7"/>
        <w:spacing w:before="0" w:beforeAutospacing="0" w:after="0" w:afterAutospacing="0" w:line="360" w:lineRule="auto"/>
        <w:ind w:firstLine="420"/>
        <w:rPr>
          <w:sz w:val="21"/>
          <w:szCs w:val="21"/>
        </w:rPr>
      </w:pPr>
      <w:r>
        <w:rPr>
          <w:rFonts w:hint="eastAsia"/>
          <w:sz w:val="21"/>
          <w:szCs w:val="21"/>
        </w:rPr>
        <w:t>如法律法规或中国证监会以后允许基金投资其他品种，本基金管理人在履行适当程序后，可以将其纳入本基金的投资范围。</w:t>
      </w:r>
    </w:p>
    <w:p>
      <w:pPr>
        <w:pStyle w:val="7"/>
        <w:spacing w:before="0" w:beforeAutospacing="0" w:after="0" w:afterAutospacing="0" w:line="360" w:lineRule="auto"/>
        <w:ind w:firstLine="420"/>
        <w:rPr>
          <w:sz w:val="21"/>
          <w:szCs w:val="21"/>
        </w:rPr>
      </w:pPr>
      <w:r>
        <w:rPr>
          <w:rFonts w:hint="eastAsia"/>
          <w:sz w:val="21"/>
          <w:szCs w:val="21"/>
        </w:rPr>
        <w:t>本基金投资于标的指数成份股和备选成份股（含存托凭证）的资产比例不低于基金资产净值的90%；本基金每个交易日日终在扣除股指期货、股票期权和国债期货合约需缴纳的交易保证金后，应当保持不低于交易保证金一倍的现金，其中现金不包括结算备付金、存出保证金、应收申购款等；股指期货、股票期权、国债期货及其他金融工具的投资比例依照法律法规或监管机构的规定执行。</w:t>
      </w:r>
    </w:p>
    <w:p>
      <w:pPr>
        <w:pStyle w:val="7"/>
        <w:spacing w:before="0" w:beforeAutospacing="0" w:after="0" w:afterAutospacing="0" w:line="360" w:lineRule="auto"/>
        <w:ind w:firstLine="420"/>
        <w:rPr>
          <w:sz w:val="21"/>
          <w:szCs w:val="21"/>
        </w:rPr>
      </w:pPr>
      <w:r>
        <w:rPr>
          <w:rFonts w:hint="eastAsia"/>
          <w:sz w:val="21"/>
          <w:szCs w:val="21"/>
        </w:rPr>
        <w:t>若法律法规的相关规定发生变更或监管机构允许，本基金管理人在履行适当程序后，可对上述资产配置比例进行调整。</w:t>
      </w:r>
    </w:p>
    <w:p>
      <w:pPr>
        <w:pStyle w:val="7"/>
        <w:spacing w:before="0" w:beforeAutospacing="0" w:after="0" w:afterAutospacing="0" w:line="360" w:lineRule="auto"/>
        <w:ind w:firstLine="420"/>
        <w:rPr>
          <w:sz w:val="21"/>
          <w:szCs w:val="21"/>
        </w:rPr>
      </w:pPr>
      <w:r>
        <w:rPr>
          <w:rFonts w:hint="eastAsia"/>
          <w:sz w:val="21"/>
          <w:szCs w:val="21"/>
        </w:rPr>
        <w:t>2、基金托管人根据有关法律法规的规定及《基金合同》的约定对下述基金投融资比例进行监督：</w:t>
      </w:r>
    </w:p>
    <w:p>
      <w:pPr>
        <w:pStyle w:val="7"/>
        <w:spacing w:before="0" w:beforeAutospacing="0" w:after="0" w:afterAutospacing="0" w:line="360" w:lineRule="auto"/>
        <w:ind w:firstLine="420"/>
        <w:rPr>
          <w:sz w:val="21"/>
          <w:szCs w:val="21"/>
        </w:rPr>
      </w:pPr>
      <w:r>
        <w:rPr>
          <w:rFonts w:hint="eastAsia"/>
          <w:sz w:val="21"/>
          <w:szCs w:val="21"/>
        </w:rPr>
        <w:t>（1）本基金投资于标的指数成份股和备选成份股（含存托凭证）的资产比例不低于基金资产净值的90%；</w:t>
      </w:r>
    </w:p>
    <w:p>
      <w:pPr>
        <w:pStyle w:val="7"/>
        <w:spacing w:before="0" w:beforeAutospacing="0" w:after="0" w:afterAutospacing="0" w:line="360" w:lineRule="auto"/>
        <w:ind w:firstLine="420"/>
        <w:rPr>
          <w:sz w:val="21"/>
          <w:szCs w:val="21"/>
        </w:rPr>
      </w:pPr>
      <w:r>
        <w:rPr>
          <w:rFonts w:hint="eastAsia"/>
          <w:sz w:val="21"/>
          <w:szCs w:val="21"/>
        </w:rPr>
        <w:t>（2）本基金每个交易日日终在扣除股指期货、股票期权和国债期货合约需缴纳的交易保证金后，应当保持不低于交易保证金一倍的现金，其中现金不包括结算备付金、存出保证金和应收申购款等；</w:t>
      </w:r>
    </w:p>
    <w:p>
      <w:pPr>
        <w:pStyle w:val="7"/>
        <w:spacing w:before="0" w:beforeAutospacing="0" w:after="0" w:afterAutospacing="0" w:line="360" w:lineRule="auto"/>
        <w:ind w:firstLine="420"/>
        <w:rPr>
          <w:sz w:val="21"/>
          <w:szCs w:val="21"/>
        </w:rPr>
      </w:pPr>
      <w:r>
        <w:rPr>
          <w:rFonts w:hint="eastAsia"/>
          <w:sz w:val="21"/>
          <w:szCs w:val="21"/>
        </w:rPr>
        <w:t>（3）本基金持有的全部资产支持证券，其市值不得超过基金资产净值的20％；</w:t>
      </w:r>
    </w:p>
    <w:p>
      <w:pPr>
        <w:pStyle w:val="7"/>
        <w:spacing w:before="0" w:beforeAutospacing="0" w:after="0" w:afterAutospacing="0" w:line="360" w:lineRule="auto"/>
        <w:ind w:firstLine="420"/>
        <w:rPr>
          <w:sz w:val="21"/>
          <w:szCs w:val="21"/>
        </w:rPr>
      </w:pPr>
      <w:r>
        <w:rPr>
          <w:rFonts w:hint="eastAsia"/>
          <w:sz w:val="21"/>
          <w:szCs w:val="21"/>
        </w:rPr>
        <w:t>（4）本基金投资于同一原始权益人的各类资产支持证券的比例，不得超过基金资产净值的10％；</w:t>
      </w:r>
    </w:p>
    <w:p>
      <w:pPr>
        <w:pStyle w:val="7"/>
        <w:spacing w:before="0" w:beforeAutospacing="0" w:after="0" w:afterAutospacing="0" w:line="360" w:lineRule="auto"/>
        <w:ind w:firstLine="420"/>
        <w:rPr>
          <w:sz w:val="21"/>
          <w:szCs w:val="21"/>
        </w:rPr>
      </w:pPr>
      <w:r>
        <w:rPr>
          <w:rFonts w:hint="eastAsia"/>
          <w:sz w:val="21"/>
          <w:szCs w:val="21"/>
        </w:rPr>
        <w:t>（5）本基金持有的同一(指同一信用级别)资产支持证券的比例，不得超过该资产支持证券规模的10％；</w:t>
      </w:r>
    </w:p>
    <w:p>
      <w:pPr>
        <w:pStyle w:val="7"/>
        <w:spacing w:before="0" w:beforeAutospacing="0" w:after="0" w:afterAutospacing="0" w:line="360" w:lineRule="auto"/>
        <w:ind w:firstLine="420"/>
        <w:rPr>
          <w:sz w:val="21"/>
          <w:szCs w:val="21"/>
        </w:rPr>
      </w:pPr>
      <w:r>
        <w:rPr>
          <w:rFonts w:hint="eastAsia"/>
          <w:sz w:val="21"/>
          <w:szCs w:val="21"/>
        </w:rPr>
        <w:t>（6）本基金管理人管理的全部基金投资于同一原始权益人的各类资产支持证券，不得超过其各类资产支持证券合计规模的10％；</w:t>
      </w:r>
    </w:p>
    <w:p>
      <w:pPr>
        <w:pStyle w:val="7"/>
        <w:spacing w:before="0" w:beforeAutospacing="0" w:after="0" w:afterAutospacing="0" w:line="360" w:lineRule="auto"/>
        <w:ind w:firstLine="420"/>
        <w:rPr>
          <w:sz w:val="21"/>
          <w:szCs w:val="21"/>
        </w:rPr>
      </w:pPr>
      <w:r>
        <w:rPr>
          <w:rFonts w:hint="eastAsia"/>
          <w:sz w:val="21"/>
          <w:szCs w:val="21"/>
        </w:rPr>
        <w:t>（7）本基金应投资于信用级别评级为BBB以上(含BBB)的资产支持证券。基金持有资产支持证券期间，如果其信用等级下降、不再符合投资标准，应在评级报告发布之日起3个月内予以全部卖出；</w:t>
      </w:r>
    </w:p>
    <w:p>
      <w:pPr>
        <w:pStyle w:val="7"/>
        <w:spacing w:before="0" w:beforeAutospacing="0" w:after="0" w:afterAutospacing="0" w:line="360" w:lineRule="auto"/>
        <w:ind w:firstLine="420"/>
        <w:rPr>
          <w:sz w:val="21"/>
          <w:szCs w:val="21"/>
        </w:rPr>
      </w:pPr>
      <w:r>
        <w:rPr>
          <w:rFonts w:hint="eastAsia"/>
          <w:sz w:val="21"/>
          <w:szCs w:val="21"/>
        </w:rPr>
        <w:t>（8）基金财产参与股票发行申购，本基金所申报的金额不超过本基金的总资产，本基金所申报的股票数量不超过拟发行股票公司本次发行股票的总量；</w:t>
      </w:r>
    </w:p>
    <w:p>
      <w:pPr>
        <w:pStyle w:val="7"/>
        <w:spacing w:before="0" w:beforeAutospacing="0" w:after="0" w:afterAutospacing="0" w:line="360" w:lineRule="auto"/>
        <w:ind w:firstLine="420"/>
        <w:rPr>
          <w:sz w:val="21"/>
          <w:szCs w:val="21"/>
        </w:rPr>
      </w:pPr>
      <w:r>
        <w:rPr>
          <w:rFonts w:hint="eastAsia"/>
          <w:sz w:val="21"/>
          <w:szCs w:val="21"/>
        </w:rPr>
        <w:t>（9）本基金资产总值不得超过基金资产净值的140%；</w:t>
      </w:r>
    </w:p>
    <w:p>
      <w:pPr>
        <w:pStyle w:val="7"/>
        <w:spacing w:before="0" w:beforeAutospacing="0" w:after="0" w:afterAutospacing="0" w:line="360" w:lineRule="auto"/>
        <w:ind w:firstLine="420"/>
        <w:rPr>
          <w:sz w:val="21"/>
          <w:szCs w:val="21"/>
        </w:rPr>
      </w:pPr>
      <w:r>
        <w:rPr>
          <w:rFonts w:hint="eastAsia"/>
          <w:sz w:val="21"/>
          <w:szCs w:val="21"/>
        </w:rPr>
        <w:t>（10）本基金参与融资的，在任何交易日日终，本基金持有的融资买入股票与其他有价证券市值之和，不得超过基金资产净值的95%；</w:t>
      </w:r>
    </w:p>
    <w:p>
      <w:pPr>
        <w:pStyle w:val="7"/>
        <w:spacing w:before="0" w:beforeAutospacing="0" w:after="0" w:afterAutospacing="0" w:line="360" w:lineRule="auto"/>
        <w:ind w:firstLine="420"/>
        <w:rPr>
          <w:sz w:val="21"/>
          <w:szCs w:val="21"/>
        </w:rPr>
      </w:pPr>
      <w:r>
        <w:rPr>
          <w:rFonts w:hint="eastAsia"/>
          <w:sz w:val="21"/>
          <w:szCs w:val="21"/>
        </w:rPr>
        <w:t>（11）本基金参与转融通证券出借交易应当符合以下要求：</w:t>
      </w:r>
    </w:p>
    <w:p>
      <w:pPr>
        <w:pStyle w:val="7"/>
        <w:spacing w:before="0" w:beforeAutospacing="0" w:after="0" w:afterAutospacing="0" w:line="360" w:lineRule="auto"/>
        <w:ind w:firstLine="420"/>
        <w:rPr>
          <w:sz w:val="21"/>
          <w:szCs w:val="21"/>
        </w:rPr>
      </w:pPr>
      <w:r>
        <w:rPr>
          <w:rFonts w:hint="eastAsia"/>
          <w:sz w:val="21"/>
          <w:szCs w:val="21"/>
        </w:rPr>
        <w:t>1）出借证券资产不得超过基金资产净值的30%，出借期限在10个交易日以上的出借证券应纳入《流动性风险管理规定》所述流动性受限证券的范围；</w:t>
      </w:r>
    </w:p>
    <w:p>
      <w:pPr>
        <w:pStyle w:val="7"/>
        <w:spacing w:before="0" w:beforeAutospacing="0" w:after="0" w:afterAutospacing="0" w:line="360" w:lineRule="auto"/>
        <w:ind w:firstLine="420"/>
        <w:rPr>
          <w:sz w:val="21"/>
          <w:szCs w:val="21"/>
        </w:rPr>
      </w:pPr>
      <w:r>
        <w:rPr>
          <w:rFonts w:hint="eastAsia"/>
          <w:sz w:val="21"/>
          <w:szCs w:val="21"/>
        </w:rPr>
        <w:t>2）参与出借业务的单只证券不得超过基金持有该证券总量的30%；</w:t>
      </w:r>
    </w:p>
    <w:p>
      <w:pPr>
        <w:pStyle w:val="7"/>
        <w:spacing w:before="0" w:beforeAutospacing="0" w:after="0" w:afterAutospacing="0" w:line="360" w:lineRule="auto"/>
        <w:ind w:firstLine="420"/>
        <w:rPr>
          <w:sz w:val="21"/>
          <w:szCs w:val="21"/>
        </w:rPr>
      </w:pPr>
      <w:r>
        <w:rPr>
          <w:rFonts w:hint="eastAsia"/>
          <w:sz w:val="21"/>
          <w:szCs w:val="21"/>
        </w:rPr>
        <w:t>3）最近6个月内日均基金资产净值不得低于2亿元；</w:t>
      </w:r>
    </w:p>
    <w:p>
      <w:pPr>
        <w:pStyle w:val="7"/>
        <w:spacing w:before="0" w:beforeAutospacing="0" w:after="0" w:afterAutospacing="0" w:line="360" w:lineRule="auto"/>
        <w:ind w:firstLine="420"/>
        <w:rPr>
          <w:sz w:val="21"/>
          <w:szCs w:val="21"/>
        </w:rPr>
      </w:pPr>
      <w:r>
        <w:rPr>
          <w:rFonts w:hint="eastAsia"/>
          <w:sz w:val="21"/>
          <w:szCs w:val="21"/>
        </w:rPr>
        <w:t>4）证券出借的平均剩余期限不得超过30天，平均剩余期限按照市值加权平均计算；</w:t>
      </w:r>
    </w:p>
    <w:p>
      <w:pPr>
        <w:pStyle w:val="7"/>
        <w:spacing w:before="0" w:beforeAutospacing="0" w:after="0" w:afterAutospacing="0" w:line="360" w:lineRule="auto"/>
        <w:ind w:firstLine="420"/>
        <w:rPr>
          <w:sz w:val="21"/>
          <w:szCs w:val="21"/>
        </w:rPr>
      </w:pPr>
      <w:r>
        <w:rPr>
          <w:rFonts w:hint="eastAsia"/>
          <w:sz w:val="21"/>
          <w:szCs w:val="21"/>
        </w:rPr>
        <w:t>因证券市场波动、上市公司合并、基金规模变动等基金管理人之外的因素致使基金投资不符合上述规定的，基金管理人不得新增出借业务；</w:t>
      </w:r>
    </w:p>
    <w:p>
      <w:pPr>
        <w:pStyle w:val="7"/>
        <w:spacing w:before="0" w:beforeAutospacing="0" w:after="0" w:afterAutospacing="0" w:line="360" w:lineRule="auto"/>
        <w:ind w:firstLine="420"/>
        <w:rPr>
          <w:sz w:val="21"/>
          <w:szCs w:val="21"/>
        </w:rPr>
      </w:pPr>
      <w:r>
        <w:rPr>
          <w:rFonts w:hint="eastAsia"/>
          <w:sz w:val="21"/>
          <w:szCs w:val="21"/>
        </w:rPr>
        <w:t>（12）本基金参与股指期货、国债期货交易的，应当依据下列标准建构组合：</w:t>
      </w:r>
    </w:p>
    <w:p>
      <w:pPr>
        <w:pStyle w:val="7"/>
        <w:spacing w:before="0" w:beforeAutospacing="0" w:after="0" w:afterAutospacing="0" w:line="360" w:lineRule="auto"/>
        <w:ind w:firstLine="420"/>
        <w:rPr>
          <w:sz w:val="21"/>
          <w:szCs w:val="21"/>
        </w:rPr>
      </w:pPr>
      <w:r>
        <w:rPr>
          <w:rFonts w:hint="eastAsia"/>
          <w:sz w:val="21"/>
          <w:szCs w:val="21"/>
        </w:rPr>
        <w:t>1）在任何交易日日终，持有的买入股指期货合约价值，不得超过基金资产净值的10%；在任何交易日日终，持有的买入国债期货合约价值，不得超过基金资产净值的15%；</w:t>
      </w:r>
    </w:p>
    <w:p>
      <w:pPr>
        <w:pStyle w:val="7"/>
        <w:spacing w:before="0" w:beforeAutospacing="0" w:after="0" w:afterAutospacing="0" w:line="360" w:lineRule="auto"/>
        <w:ind w:firstLine="420"/>
        <w:rPr>
          <w:sz w:val="21"/>
          <w:szCs w:val="21"/>
        </w:rPr>
      </w:pPr>
      <w:r>
        <w:rPr>
          <w:rFonts w:hint="eastAsia"/>
          <w:sz w:val="21"/>
          <w:szCs w:val="21"/>
        </w:rPr>
        <w:t>2）在任何交易日日终，持有的买入期货合约价值与有价证券市值之和，不得超过基金资产净值的100%，其中，有价证券指股票、债券（不含到期日在一年以内的政府债券）、资产支持证券、买入返售金融资产（不含质押式回购）等；</w:t>
      </w:r>
    </w:p>
    <w:p>
      <w:pPr>
        <w:pStyle w:val="7"/>
        <w:spacing w:before="0" w:beforeAutospacing="0" w:after="0" w:afterAutospacing="0" w:line="360" w:lineRule="auto"/>
        <w:ind w:firstLine="420"/>
        <w:rPr>
          <w:sz w:val="21"/>
          <w:szCs w:val="21"/>
        </w:rPr>
      </w:pPr>
      <w:r>
        <w:rPr>
          <w:rFonts w:hint="eastAsia"/>
          <w:sz w:val="21"/>
          <w:szCs w:val="21"/>
        </w:rPr>
        <w:t>3）在任何交易日日终，持有的卖出股指期货合约价值不得超过基金持有的股票总市值的20%；在任何交易日日终，持有的卖出国债期货合约价值不得超过基金持有的债券总市值的30%；</w:t>
      </w:r>
    </w:p>
    <w:p>
      <w:pPr>
        <w:pStyle w:val="7"/>
        <w:spacing w:before="0" w:beforeAutospacing="0" w:after="0" w:afterAutospacing="0" w:line="360" w:lineRule="auto"/>
        <w:ind w:firstLine="420"/>
        <w:rPr>
          <w:sz w:val="21"/>
          <w:szCs w:val="21"/>
        </w:rPr>
      </w:pPr>
      <w:r>
        <w:rPr>
          <w:rFonts w:hint="eastAsia"/>
          <w:sz w:val="21"/>
          <w:szCs w:val="21"/>
        </w:rPr>
        <w:t>4）在任何交易日内交易（不包括平仓）的股指期货合约的成交金额不得超过上一交易日基金资产净值的20%；在任何交易日内交易（不包括平仓）的国债期货合约的成交金额不得超过上一交易日基金资产净值的30%；</w:t>
      </w:r>
    </w:p>
    <w:p>
      <w:pPr>
        <w:pStyle w:val="7"/>
        <w:spacing w:before="0" w:beforeAutospacing="0" w:after="0" w:afterAutospacing="0" w:line="360" w:lineRule="auto"/>
        <w:ind w:firstLine="420"/>
        <w:rPr>
          <w:sz w:val="21"/>
          <w:szCs w:val="21"/>
        </w:rPr>
      </w:pPr>
      <w:r>
        <w:rPr>
          <w:rFonts w:hint="eastAsia"/>
          <w:sz w:val="21"/>
          <w:szCs w:val="21"/>
        </w:rPr>
        <w:t>5）本基金所持有的股票市值和买入、卖出股指期货合约价值，合计（轧差计算）应当符合基金合同关于股票投资比例有关约定；本基金所持有的债券（不含到期日在一年以内的政府债券）市值和买入、卖出国债期货合约价值，合计（轧差计算）应当符合基金合同关于债券投资比例的有关约定；</w:t>
      </w:r>
    </w:p>
    <w:p>
      <w:pPr>
        <w:pStyle w:val="7"/>
        <w:spacing w:before="0" w:beforeAutospacing="0" w:after="0" w:afterAutospacing="0" w:line="360" w:lineRule="auto"/>
        <w:ind w:firstLine="420"/>
        <w:rPr>
          <w:sz w:val="21"/>
          <w:szCs w:val="21"/>
        </w:rPr>
      </w:pPr>
      <w:r>
        <w:rPr>
          <w:rFonts w:hint="eastAsia"/>
          <w:sz w:val="21"/>
          <w:szCs w:val="21"/>
        </w:rPr>
        <w:t>（13）本基金投资股票期权应当符合以下要求：</w:t>
      </w:r>
    </w:p>
    <w:p>
      <w:pPr>
        <w:pStyle w:val="7"/>
        <w:spacing w:before="0" w:beforeAutospacing="0" w:after="0" w:afterAutospacing="0" w:line="360" w:lineRule="auto"/>
        <w:ind w:firstLine="420"/>
        <w:rPr>
          <w:sz w:val="21"/>
          <w:szCs w:val="21"/>
        </w:rPr>
      </w:pPr>
      <w:r>
        <w:rPr>
          <w:rFonts w:hint="eastAsia"/>
          <w:sz w:val="21"/>
          <w:szCs w:val="21"/>
        </w:rPr>
        <w:t>基金因未平仓的股票期权合约支付和收取的权利金总额不得超过基金资产净值的10%；开仓卖出认购股票期权的，应持有足额标的证券；开仓卖出认沽股票期权的，应持有合约行权所需的全额现金或交易所规则认可的可冲抵股票期权保证金的现金等价物；未平仓的股票期权合约面值不得超过基金资产净值的20%。其中，合约面值按照行权价乘以合约乘数计算；</w:t>
      </w:r>
    </w:p>
    <w:p>
      <w:pPr>
        <w:pStyle w:val="7"/>
        <w:spacing w:before="0" w:beforeAutospacing="0" w:after="0" w:afterAutospacing="0" w:line="360" w:lineRule="auto"/>
        <w:ind w:firstLine="420"/>
        <w:rPr>
          <w:sz w:val="21"/>
          <w:szCs w:val="21"/>
        </w:rPr>
      </w:pPr>
      <w:r>
        <w:rPr>
          <w:rFonts w:hint="eastAsia"/>
          <w:sz w:val="21"/>
          <w:szCs w:val="21"/>
        </w:rPr>
        <w:t>（14）本基金投资流通受限证券，基金管理人应制订严格的投资决策流程和风险控制制度，防范流动性风险、法律风险和操作风险等各种风险；</w:t>
      </w:r>
    </w:p>
    <w:p>
      <w:pPr>
        <w:pStyle w:val="7"/>
        <w:spacing w:before="0" w:beforeAutospacing="0" w:after="0" w:afterAutospacing="0" w:line="360" w:lineRule="auto"/>
        <w:ind w:firstLine="420"/>
        <w:rPr>
          <w:sz w:val="21"/>
          <w:szCs w:val="21"/>
        </w:rPr>
      </w:pPr>
      <w:r>
        <w:rPr>
          <w:rFonts w:hint="eastAsia"/>
          <w:sz w:val="21"/>
          <w:szCs w:val="21"/>
        </w:rPr>
        <w:t>（15）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pStyle w:val="7"/>
        <w:spacing w:before="0" w:beforeAutospacing="0" w:after="0" w:afterAutospacing="0" w:line="360" w:lineRule="auto"/>
        <w:ind w:firstLine="420"/>
        <w:rPr>
          <w:sz w:val="21"/>
          <w:szCs w:val="21"/>
        </w:rPr>
      </w:pPr>
      <w:r>
        <w:rPr>
          <w:rFonts w:hint="eastAsia"/>
          <w:sz w:val="21"/>
          <w:szCs w:val="21"/>
        </w:rPr>
        <w:t>（16）本基金与私募类证券资管产品及中国证监会认定的其他主体为交易对手开展逆回购交易的，可接受质押品的资质要求应当与基金合同约定的投资范围保持一致；</w:t>
      </w:r>
    </w:p>
    <w:p>
      <w:pPr>
        <w:pStyle w:val="7"/>
        <w:spacing w:before="0" w:beforeAutospacing="0" w:after="0" w:afterAutospacing="0" w:line="360" w:lineRule="auto"/>
        <w:ind w:firstLine="420"/>
        <w:rPr>
          <w:sz w:val="21"/>
          <w:szCs w:val="21"/>
        </w:rPr>
      </w:pPr>
      <w:r>
        <w:rPr>
          <w:rFonts w:hint="eastAsia"/>
          <w:sz w:val="21"/>
          <w:szCs w:val="21"/>
        </w:rPr>
        <w:t>（17）本基金投资存托凭证的比例限制依照境内上市交易的股票执行，与境内上市交易的股票合并计算；</w:t>
      </w:r>
    </w:p>
    <w:p>
      <w:pPr>
        <w:pStyle w:val="7"/>
        <w:spacing w:before="0" w:beforeAutospacing="0" w:after="0" w:afterAutospacing="0" w:line="360" w:lineRule="auto"/>
        <w:ind w:firstLine="420"/>
        <w:rPr>
          <w:sz w:val="21"/>
          <w:szCs w:val="21"/>
        </w:rPr>
      </w:pPr>
      <w:r>
        <w:rPr>
          <w:rFonts w:hint="eastAsia"/>
          <w:sz w:val="21"/>
          <w:szCs w:val="21"/>
        </w:rPr>
        <w:t>（18）法律法规及中国证监会规定的和《基金合同》约定的其他投资限制。</w:t>
      </w:r>
    </w:p>
    <w:p>
      <w:pPr>
        <w:pStyle w:val="7"/>
        <w:spacing w:before="0" w:beforeAutospacing="0" w:after="0" w:afterAutospacing="0" w:line="360" w:lineRule="auto"/>
        <w:ind w:firstLine="420"/>
        <w:rPr>
          <w:sz w:val="21"/>
          <w:szCs w:val="21"/>
        </w:rPr>
      </w:pPr>
      <w:r>
        <w:rPr>
          <w:rFonts w:hint="eastAsia"/>
          <w:sz w:val="21"/>
          <w:szCs w:val="21"/>
        </w:rPr>
        <w:t>除第（2）、（7）、（11）、（15）、（16）条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w:t>
      </w:r>
    </w:p>
    <w:p>
      <w:pPr>
        <w:pStyle w:val="7"/>
        <w:spacing w:before="0" w:beforeAutospacing="0" w:after="0" w:afterAutospacing="0" w:line="360" w:lineRule="auto"/>
        <w:ind w:firstLine="420"/>
        <w:rPr>
          <w:sz w:val="21"/>
          <w:szCs w:val="21"/>
        </w:rPr>
      </w:pPr>
      <w:r>
        <w:rPr>
          <w:rFonts w:hint="eastAsia"/>
          <w:sz w:val="21"/>
          <w:szCs w:val="21"/>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pPr>
        <w:pStyle w:val="7"/>
        <w:spacing w:before="0" w:beforeAutospacing="0" w:after="0" w:afterAutospacing="0" w:line="360" w:lineRule="auto"/>
        <w:ind w:firstLine="420"/>
        <w:rPr>
          <w:sz w:val="21"/>
          <w:szCs w:val="21"/>
        </w:rPr>
      </w:pPr>
      <w:r>
        <w:rPr>
          <w:rFonts w:hint="eastAsia"/>
          <w:sz w:val="21"/>
          <w:szCs w:val="21"/>
        </w:rPr>
        <w:t>法律法规或监管部门取消或调整上述限制，如适用于本基金，基金管理人在与基金托管人协商一致并履行适当程序后，则本基金投资不再受相关限制或按照调整后的规定执行。</w:t>
      </w:r>
    </w:p>
    <w:p>
      <w:pPr>
        <w:pStyle w:val="7"/>
        <w:spacing w:before="0" w:beforeAutospacing="0" w:after="0" w:afterAutospacing="0" w:line="360" w:lineRule="auto"/>
        <w:ind w:firstLine="420"/>
        <w:rPr>
          <w:sz w:val="21"/>
          <w:szCs w:val="21"/>
        </w:rPr>
      </w:pPr>
      <w:r>
        <w:rPr>
          <w:rFonts w:hint="eastAsia"/>
          <w:sz w:val="21"/>
          <w:szCs w:val="21"/>
        </w:rPr>
        <w:t>3、基金托管人根据有关法律法规的规定及《基金合同》的约定对下述基金投资禁止行为进行监督： </w:t>
      </w:r>
    </w:p>
    <w:p>
      <w:pPr>
        <w:pStyle w:val="7"/>
        <w:spacing w:before="0" w:beforeAutospacing="0" w:after="0" w:afterAutospacing="0" w:line="360" w:lineRule="auto"/>
        <w:ind w:firstLine="420"/>
        <w:rPr>
          <w:sz w:val="21"/>
          <w:szCs w:val="21"/>
        </w:rPr>
      </w:pPr>
      <w:r>
        <w:rPr>
          <w:rFonts w:hint="eastAsia"/>
          <w:sz w:val="21"/>
          <w:szCs w:val="21"/>
        </w:rPr>
        <w:t>根据法律法规的规定及《基金合同》的约定，本基金禁止从事下列行为：</w:t>
      </w:r>
    </w:p>
    <w:p>
      <w:pPr>
        <w:pStyle w:val="7"/>
        <w:spacing w:before="0" w:beforeAutospacing="0" w:after="0" w:afterAutospacing="0" w:line="360" w:lineRule="auto"/>
        <w:ind w:firstLine="420"/>
        <w:rPr>
          <w:sz w:val="21"/>
          <w:szCs w:val="21"/>
        </w:rPr>
      </w:pPr>
      <w:r>
        <w:rPr>
          <w:rFonts w:hint="eastAsia"/>
          <w:sz w:val="21"/>
          <w:szCs w:val="21"/>
        </w:rPr>
        <w:t>（1）承销证券；</w:t>
      </w:r>
    </w:p>
    <w:p>
      <w:pPr>
        <w:pStyle w:val="7"/>
        <w:spacing w:before="0" w:beforeAutospacing="0" w:after="0" w:afterAutospacing="0" w:line="360" w:lineRule="auto"/>
        <w:ind w:firstLine="420"/>
        <w:rPr>
          <w:sz w:val="21"/>
          <w:szCs w:val="21"/>
        </w:rPr>
      </w:pPr>
      <w:r>
        <w:rPr>
          <w:rFonts w:hint="eastAsia"/>
          <w:sz w:val="21"/>
          <w:szCs w:val="21"/>
        </w:rPr>
        <w:t>（2）违反规定向他人贷款或者提供担保；</w:t>
      </w:r>
    </w:p>
    <w:p>
      <w:pPr>
        <w:pStyle w:val="7"/>
        <w:spacing w:before="0" w:beforeAutospacing="0" w:after="0" w:afterAutospacing="0" w:line="360" w:lineRule="auto"/>
        <w:ind w:firstLine="420"/>
        <w:rPr>
          <w:sz w:val="21"/>
          <w:szCs w:val="21"/>
        </w:rPr>
      </w:pPr>
      <w:r>
        <w:rPr>
          <w:rFonts w:hint="eastAsia"/>
          <w:sz w:val="21"/>
          <w:szCs w:val="21"/>
        </w:rPr>
        <w:t>（3）从事承担无限责任的投资；</w:t>
      </w:r>
    </w:p>
    <w:p>
      <w:pPr>
        <w:pStyle w:val="7"/>
        <w:spacing w:before="0" w:beforeAutospacing="0" w:after="0" w:afterAutospacing="0" w:line="360" w:lineRule="auto"/>
        <w:ind w:firstLine="420"/>
        <w:rPr>
          <w:sz w:val="21"/>
          <w:szCs w:val="21"/>
        </w:rPr>
      </w:pPr>
      <w:r>
        <w:rPr>
          <w:rFonts w:hint="eastAsia"/>
          <w:sz w:val="21"/>
          <w:szCs w:val="21"/>
        </w:rPr>
        <w:t>（4）买卖其他基金份额，但是中国证监会另有规定的除外；</w:t>
      </w:r>
    </w:p>
    <w:p>
      <w:pPr>
        <w:pStyle w:val="7"/>
        <w:spacing w:before="0" w:beforeAutospacing="0" w:after="0" w:afterAutospacing="0" w:line="360" w:lineRule="auto"/>
        <w:ind w:firstLine="420"/>
        <w:rPr>
          <w:sz w:val="21"/>
          <w:szCs w:val="21"/>
        </w:rPr>
      </w:pPr>
      <w:r>
        <w:rPr>
          <w:rFonts w:hint="eastAsia"/>
          <w:sz w:val="21"/>
          <w:szCs w:val="21"/>
        </w:rPr>
        <w:t>（5）向其基金管理人、基金托管人出资；</w:t>
      </w:r>
    </w:p>
    <w:p>
      <w:pPr>
        <w:pStyle w:val="7"/>
        <w:spacing w:before="0" w:beforeAutospacing="0" w:after="0" w:afterAutospacing="0" w:line="360" w:lineRule="auto"/>
        <w:ind w:firstLine="420"/>
        <w:rPr>
          <w:sz w:val="21"/>
          <w:szCs w:val="21"/>
        </w:rPr>
      </w:pPr>
      <w:r>
        <w:rPr>
          <w:rFonts w:hint="eastAsia"/>
          <w:sz w:val="21"/>
          <w:szCs w:val="21"/>
        </w:rPr>
        <w:t>（6）从事内幕交易、操纵证券交易价格及其他不正当的证券交易活动；</w:t>
      </w:r>
    </w:p>
    <w:p>
      <w:pPr>
        <w:pStyle w:val="7"/>
        <w:spacing w:before="0" w:beforeAutospacing="0" w:after="0" w:afterAutospacing="0" w:line="360" w:lineRule="auto"/>
        <w:ind w:firstLine="420"/>
        <w:rPr>
          <w:sz w:val="21"/>
          <w:szCs w:val="21"/>
        </w:rPr>
      </w:pPr>
      <w:r>
        <w:rPr>
          <w:rFonts w:hint="eastAsia"/>
          <w:sz w:val="21"/>
          <w:szCs w:val="21"/>
        </w:rPr>
        <w:t>（7）法律、行政法规和中国证监会规定禁止的其他活动。</w:t>
      </w:r>
    </w:p>
    <w:p>
      <w:pPr>
        <w:pStyle w:val="7"/>
        <w:spacing w:before="0" w:beforeAutospacing="0" w:after="0" w:afterAutospacing="0" w:line="360" w:lineRule="auto"/>
        <w:ind w:firstLine="420"/>
        <w:rPr>
          <w:sz w:val="21"/>
          <w:szCs w:val="21"/>
        </w:rPr>
      </w:pPr>
      <w:r>
        <w:rPr>
          <w:rFonts w:hint="eastAsia"/>
          <w:sz w:val="21"/>
          <w:szCs w:val="21"/>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pStyle w:val="7"/>
        <w:spacing w:before="0" w:beforeAutospacing="0" w:after="0" w:afterAutospacing="0" w:line="360" w:lineRule="auto"/>
        <w:ind w:firstLine="420"/>
        <w:rPr>
          <w:sz w:val="21"/>
          <w:szCs w:val="21"/>
        </w:rPr>
      </w:pPr>
      <w:r>
        <w:rPr>
          <w:rFonts w:hint="eastAsia"/>
          <w:sz w:val="21"/>
          <w:szCs w:val="21"/>
        </w:rPr>
        <w:t>法律、行政法规或监管部门取消或调整上述限制，如适用于本基金，基金管理人在履行适当程序后，则本基金投资不再受相关限制或按照调整后的规定执行。</w:t>
      </w:r>
    </w:p>
    <w:p>
      <w:pPr>
        <w:pStyle w:val="7"/>
        <w:spacing w:before="0" w:beforeAutospacing="0" w:after="0" w:afterAutospacing="0" w:line="360" w:lineRule="auto"/>
        <w:ind w:firstLine="420"/>
        <w:rPr>
          <w:sz w:val="21"/>
          <w:szCs w:val="21"/>
        </w:rPr>
      </w:pPr>
      <w:r>
        <w:rPr>
          <w:rFonts w:hint="eastAsia"/>
          <w:sz w:val="21"/>
          <w:szCs w:val="21"/>
        </w:rPr>
        <w:t>4、基金托管人依据以下约定对基金管理人参与银行间债券市场投资进行监督。</w:t>
      </w:r>
    </w:p>
    <w:p>
      <w:pPr>
        <w:pStyle w:val="7"/>
        <w:spacing w:before="0" w:beforeAutospacing="0" w:after="0" w:afterAutospacing="0" w:line="360" w:lineRule="auto"/>
        <w:ind w:firstLine="420"/>
        <w:rPr>
          <w:sz w:val="21"/>
          <w:szCs w:val="21"/>
        </w:rPr>
      </w:pPr>
      <w:r>
        <w:rPr>
          <w:rFonts w:hint="eastAsia"/>
          <w:sz w:val="21"/>
          <w:szCs w:val="21"/>
        </w:rPr>
        <w:t>基金管理人参与银行间市场交易,应按照审慎的风险控制原则评估交易对手资信风险，并自主选择交易对手。基金托管人监督基金管理人是否按事前提供的银行间债券市场交易对手名单进行交易。基金管理人可以每半年对银行间债券市场交易对手名单进行更新，如基金管理人根据市场情况需要临时调整银行间债券市场交易对手名单，应向基金托管人说明理由，在与交易对手发生交易前与基金托管人协商解决。基金托管人向基金托管人发出回函后，被确认调整的名单开始生效，新名单生效前已与本次剔除的交易对手所进行但尚未结算的交易，仍应按照协议进行结算。基金管理人负责对交易对手的资信控制，按银行间债券市场的交易规则进行交易，基金托管人则根据银行间债券市场成交单对合同履行情况进行监督，但不承担交易对手不履行合同造成的损失。如基金托管人事后发现基金管理人没有按照事先约定的交易对手或交易方式进行交易时，基金托管人应及时提醒基金管理人，基金托管人不承担由此造成的相应损失和责任。</w:t>
      </w:r>
    </w:p>
    <w:p>
      <w:pPr>
        <w:pStyle w:val="7"/>
        <w:spacing w:before="0" w:beforeAutospacing="0" w:after="0" w:afterAutospacing="0" w:line="360" w:lineRule="auto"/>
        <w:ind w:firstLine="420"/>
        <w:rPr>
          <w:sz w:val="21"/>
          <w:szCs w:val="21"/>
        </w:rPr>
      </w:pPr>
      <w:r>
        <w:rPr>
          <w:rFonts w:hint="eastAsia"/>
          <w:sz w:val="21"/>
          <w:szCs w:val="21"/>
        </w:rPr>
        <w:t>基金管理人在银行间市场进行现券买卖和回购交易时，以DVP(券款对付)的交易结算方式进行交易。</w:t>
      </w:r>
    </w:p>
    <w:p>
      <w:pPr>
        <w:pStyle w:val="7"/>
        <w:spacing w:before="0" w:beforeAutospacing="0" w:after="0" w:afterAutospacing="0" w:line="360" w:lineRule="auto"/>
        <w:ind w:firstLine="420"/>
        <w:rPr>
          <w:sz w:val="21"/>
          <w:szCs w:val="21"/>
        </w:rPr>
      </w:pPr>
      <w:r>
        <w:rPr>
          <w:rFonts w:hint="eastAsia"/>
          <w:sz w:val="21"/>
          <w:szCs w:val="21"/>
        </w:rPr>
        <w:t>5、关于银行存款投资</w:t>
      </w:r>
    </w:p>
    <w:p>
      <w:pPr>
        <w:pStyle w:val="7"/>
        <w:spacing w:before="0" w:beforeAutospacing="0" w:after="0" w:afterAutospacing="0" w:line="360" w:lineRule="auto"/>
        <w:ind w:firstLine="420"/>
        <w:rPr>
          <w:sz w:val="21"/>
          <w:szCs w:val="21"/>
        </w:rPr>
      </w:pPr>
      <w:r>
        <w:rPr>
          <w:rFonts w:hint="eastAsia"/>
          <w:sz w:val="21"/>
          <w:szCs w:val="21"/>
        </w:rPr>
        <w:t>本基金投资银行存款的信用风险主要包括存款银行的信用等级、存款银行的支付能力等涉及到存款银行选择方面的风险。基金管理人应基于审慎原则评估存款银行信用风险并自主选择存款银行，基金托管人对此不予监督。因基金管理人违反上述原则给基金造成的损失，基金托管人不承担相应责任，相关损失由基金管理人先行承担。基金管理人履行先行赔付责任后，有权要求相关责任人进行赔偿，基金托管人应当予以必要的协助配合。基金托管人的职责仅限于督促基金管理人履行先行赔付责任。</w:t>
      </w:r>
    </w:p>
    <w:p>
      <w:pPr>
        <w:pStyle w:val="7"/>
        <w:spacing w:before="0" w:beforeAutospacing="0" w:after="0" w:afterAutospacing="0" w:line="360" w:lineRule="auto"/>
        <w:ind w:firstLine="420"/>
        <w:rPr>
          <w:sz w:val="21"/>
          <w:szCs w:val="21"/>
        </w:rPr>
      </w:pPr>
      <w:r>
        <w:rPr>
          <w:rFonts w:hint="eastAsia"/>
          <w:sz w:val="21"/>
          <w:szCs w:val="21"/>
        </w:rPr>
        <w:t>6、基金托管人对基金投资流通受限证券的监督</w:t>
      </w:r>
    </w:p>
    <w:p>
      <w:pPr>
        <w:pStyle w:val="7"/>
        <w:spacing w:before="0" w:beforeAutospacing="0" w:after="0" w:afterAutospacing="0" w:line="360" w:lineRule="auto"/>
        <w:ind w:firstLine="420"/>
        <w:rPr>
          <w:sz w:val="21"/>
          <w:szCs w:val="21"/>
        </w:rPr>
      </w:pPr>
      <w:r>
        <w:rPr>
          <w:rFonts w:hint="eastAsia"/>
          <w:sz w:val="21"/>
          <w:szCs w:val="21"/>
        </w:rPr>
        <w:t>（1）基金投资流通受限证券，应遵守《关于基金投资非公开发行股票等流通受限证券有关问题的通知》等有关法律法规规定。</w:t>
      </w:r>
    </w:p>
    <w:p>
      <w:pPr>
        <w:pStyle w:val="7"/>
        <w:spacing w:before="0" w:beforeAutospacing="0" w:after="0" w:afterAutospacing="0" w:line="360" w:lineRule="auto"/>
        <w:ind w:firstLine="420"/>
        <w:rPr>
          <w:sz w:val="21"/>
          <w:szCs w:val="21"/>
        </w:rPr>
      </w:pPr>
      <w:r>
        <w:rPr>
          <w:rFonts w:hint="eastAsia"/>
          <w:sz w:val="21"/>
          <w:szCs w:val="21"/>
        </w:rPr>
        <w:t>（2）流通受限证券，包括由《上市公司证券发行注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pPr>
        <w:pStyle w:val="7"/>
        <w:spacing w:before="0" w:beforeAutospacing="0" w:after="0" w:afterAutospacing="0" w:line="360" w:lineRule="auto"/>
        <w:ind w:firstLine="420"/>
        <w:rPr>
          <w:sz w:val="21"/>
          <w:szCs w:val="21"/>
        </w:rPr>
      </w:pPr>
      <w:r>
        <w:rPr>
          <w:rFonts w:hint="eastAsia"/>
          <w:sz w:val="21"/>
          <w:szCs w:val="21"/>
        </w:rPr>
        <w:t>（3）基金管理人应在基金首次投资流通受限证券前，向基金托管人提供经基金管理人董事会批准的有关基金投资流通受限证券的投资决策流程、风险控制制度。基金投资非公开发行股票，基金管理人还应提供基金管理人董事会批准的流动性风险处置预案。上述资料应包括但不限于基金投资流通受限证券的投资额度和投资比例控制情况。</w:t>
      </w:r>
    </w:p>
    <w:p>
      <w:pPr>
        <w:pStyle w:val="7"/>
        <w:spacing w:before="0" w:beforeAutospacing="0" w:after="0" w:afterAutospacing="0" w:line="360" w:lineRule="auto"/>
        <w:ind w:firstLine="420"/>
        <w:rPr>
          <w:sz w:val="21"/>
          <w:szCs w:val="21"/>
        </w:rPr>
      </w:pPr>
      <w:r>
        <w:rPr>
          <w:rFonts w:hint="eastAsia"/>
          <w:sz w:val="21"/>
          <w:szCs w:val="21"/>
        </w:rPr>
        <w:t>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w:t>
      </w:r>
    </w:p>
    <w:p>
      <w:pPr>
        <w:pStyle w:val="7"/>
        <w:spacing w:before="0" w:beforeAutospacing="0" w:after="0" w:afterAutospacing="0" w:line="360" w:lineRule="auto"/>
        <w:ind w:firstLine="420"/>
        <w:rPr>
          <w:sz w:val="21"/>
          <w:szCs w:val="21"/>
        </w:rPr>
      </w:pPr>
      <w:r>
        <w:rPr>
          <w:rFonts w:hint="eastAsia"/>
          <w:sz w:val="21"/>
          <w:szCs w:val="21"/>
        </w:rPr>
        <w:t>（4）基金投资流通受限证券前，基金管理人应向基金托管人提供符合法律法规要求的有关书面信息，包括但不限于拟发行证券主体的中国证监会批准文件、发行证券数量、发行价格、锁定期，基金拟认购的数量、价格、总成本、总成本占基金资产净值的比例、已持有流通受限证券市值占资产净值的比例、资金划付时间等。基金管理人应保证上述信息的真实、完整，并应至少于拟执行投资指令前两个工作日将上述信息书面发至基金托管人，保证基金托管人有足够的时间进行审核。</w:t>
      </w:r>
    </w:p>
    <w:p>
      <w:pPr>
        <w:pStyle w:val="7"/>
        <w:spacing w:before="0" w:beforeAutospacing="0" w:after="0" w:afterAutospacing="0" w:line="360" w:lineRule="auto"/>
        <w:ind w:firstLine="420"/>
        <w:rPr>
          <w:sz w:val="21"/>
          <w:szCs w:val="21"/>
        </w:rPr>
      </w:pPr>
      <w:r>
        <w:rPr>
          <w:rFonts w:hint="eastAsia"/>
          <w:sz w:val="21"/>
          <w:szCs w:val="21"/>
        </w:rPr>
        <w:t>（5）基金托管人应按照《关于基金投资非公开发行股票等流通受限证券有关问题的通知》规定，对基金管理人是否遵守法律法规进行监督，并审核基金管理人提供的有关书面信息。基金托管人认为上述资料可能导致基金出现风险的，有权要求基金管理人在投资流通受限证券前就该风险的消除或防范措施进行补充书面说明，并保留查看基金管理人风险管理部门就基金投资流通受限证券出具的风险评估报告等备查资料的权利。否则，基金托管人有权拒绝执行有关指令。因拒绝执行该指令造成基金财产损失的，基金托管人不承担相关责任，并有权报告中国证监会。</w:t>
      </w:r>
    </w:p>
    <w:p>
      <w:pPr>
        <w:pStyle w:val="7"/>
        <w:spacing w:before="0" w:beforeAutospacing="0" w:after="0" w:afterAutospacing="0" w:line="360" w:lineRule="auto"/>
        <w:ind w:firstLine="420"/>
        <w:rPr>
          <w:sz w:val="21"/>
          <w:szCs w:val="21"/>
        </w:rPr>
      </w:pPr>
      <w:r>
        <w:rPr>
          <w:rFonts w:hint="eastAsia"/>
          <w:sz w:val="21"/>
          <w:szCs w:val="21"/>
        </w:rPr>
        <w:t>如基金管理人和基金托管人无法达成一致，应及时上报中国证监会请求解决。如果基金托管人切实履行监督职责，则不承担相关责任。如果基金托管人没有切实履行监督职责，导致基金出现风险，基金托管人应承担连带责任。</w:t>
      </w:r>
    </w:p>
    <w:p>
      <w:pPr>
        <w:pStyle w:val="7"/>
        <w:spacing w:before="0" w:beforeAutospacing="0" w:after="0" w:afterAutospacing="0" w:line="360" w:lineRule="auto"/>
        <w:ind w:firstLine="420"/>
        <w:rPr>
          <w:sz w:val="21"/>
          <w:szCs w:val="21"/>
        </w:rPr>
      </w:pPr>
      <w:r>
        <w:rPr>
          <w:rFonts w:hint="eastAsia"/>
          <w:sz w:val="21"/>
          <w:szCs w:val="21"/>
        </w:rPr>
        <w:t>（二）投资监督范围的调整</w:t>
      </w:r>
    </w:p>
    <w:p>
      <w:pPr>
        <w:pStyle w:val="7"/>
        <w:spacing w:before="0" w:beforeAutospacing="0" w:after="0" w:afterAutospacing="0" w:line="360" w:lineRule="auto"/>
        <w:ind w:firstLine="420"/>
        <w:rPr>
          <w:sz w:val="21"/>
          <w:szCs w:val="21"/>
        </w:rPr>
      </w:pPr>
      <w:r>
        <w:rPr>
          <w:rFonts w:hint="eastAsia"/>
          <w:sz w:val="21"/>
          <w:szCs w:val="21"/>
        </w:rPr>
        <w:t>因法律法规、监管要求导致本基金投资事项调整的，基金管理人应提前通知基金托管人，并与基金托管人协商一致更新投资监督范围。基金管理人知晓基金托管人投资监督职责的履行受外部数据来源或系统开发等因素影响，基金管理人应为基金托管人系统调整预留所需的合理必要时间。</w:t>
      </w:r>
    </w:p>
    <w:p>
      <w:pPr>
        <w:pStyle w:val="7"/>
        <w:spacing w:before="0" w:beforeAutospacing="0" w:after="0" w:afterAutospacing="0" w:line="360" w:lineRule="auto"/>
        <w:ind w:firstLine="420"/>
        <w:rPr>
          <w:sz w:val="21"/>
          <w:szCs w:val="21"/>
        </w:rPr>
      </w:pPr>
      <w:r>
        <w:rPr>
          <w:rFonts w:hint="eastAsia"/>
          <w:sz w:val="21"/>
          <w:szCs w:val="21"/>
        </w:rPr>
        <w:t>（三）基金托管人应根据有关法律法规的规定及《基金合同》的约定，对基金资产净值计算、基金份额净值计算、应收资金到账、基金费用开支及收入确定、基金收益分配、相关信息披露、基金宣传推介材料中登载基金业绩表现数据等进行监督和核查。</w:t>
      </w:r>
    </w:p>
    <w:p>
      <w:pPr>
        <w:pStyle w:val="7"/>
        <w:spacing w:before="0" w:beforeAutospacing="0" w:after="0" w:afterAutospacing="0" w:line="360" w:lineRule="auto"/>
        <w:ind w:firstLine="420"/>
        <w:rPr>
          <w:sz w:val="21"/>
          <w:szCs w:val="21"/>
        </w:rPr>
      </w:pPr>
      <w:r>
        <w:rPr>
          <w:rFonts w:hint="eastAsia"/>
          <w:sz w:val="21"/>
          <w:szCs w:val="21"/>
        </w:rPr>
        <w:t>（四）基金托管人发现基金管理人的投资运作及其他运作违反《基金法》、《基金合同》、本协议有关规定时，应及时以书面形式通知基金管理人限期纠正，基金管理人收到通知后应在下一个工作日及时核对，并以书面形式向基金托管人发出回函，进行解释或举证。</w:t>
      </w:r>
    </w:p>
    <w:p>
      <w:pPr>
        <w:pStyle w:val="7"/>
        <w:spacing w:before="0" w:beforeAutospacing="0" w:after="0" w:afterAutospacing="0" w:line="360" w:lineRule="auto"/>
        <w:ind w:firstLine="420"/>
        <w:rPr>
          <w:sz w:val="21"/>
          <w:szCs w:val="21"/>
        </w:rPr>
      </w:pPr>
      <w:r>
        <w:rPr>
          <w:rFonts w:hint="eastAsia"/>
          <w:sz w:val="21"/>
          <w:szCs w:val="21"/>
        </w:rPr>
        <w:t>在限期内，基金托管人有权随时对通知事项进行复查，督促基金管理人改正。基金管理人对基金托管人通知的违规事项未能在限期内纠正的，基金托管人应报告中国证监会。基金托管人有义务要求基金管理人赔偿因其违反《基金合同》、本协议而致使投资者遭受的损失。</w:t>
      </w:r>
    </w:p>
    <w:p>
      <w:pPr>
        <w:pStyle w:val="7"/>
        <w:spacing w:before="0" w:beforeAutospacing="0" w:after="0" w:afterAutospacing="0" w:line="360" w:lineRule="auto"/>
        <w:ind w:firstLine="420"/>
        <w:rPr>
          <w:sz w:val="21"/>
          <w:szCs w:val="21"/>
        </w:rPr>
      </w:pPr>
      <w:r>
        <w:rPr>
          <w:rFonts w:hint="eastAsia"/>
          <w:sz w:val="21"/>
          <w:szCs w:val="21"/>
        </w:rPr>
        <w:t>对于依据交易程序尚未成交的且基金托管人在交易前能够监控的投资指令，基金托管人发现该投资指令违反相关法律法规规定或者违反《基金合同》约定的，应当视情况暂缓或拒绝执行，立即通知基金管理人，并向中国证监会报告。</w:t>
      </w:r>
    </w:p>
    <w:p>
      <w:pPr>
        <w:pStyle w:val="7"/>
        <w:spacing w:before="0" w:beforeAutospacing="0" w:after="0" w:afterAutospacing="0" w:line="360" w:lineRule="auto"/>
        <w:ind w:firstLine="420"/>
        <w:rPr>
          <w:sz w:val="21"/>
          <w:szCs w:val="21"/>
        </w:rPr>
      </w:pPr>
      <w:r>
        <w:rPr>
          <w:rFonts w:hint="eastAsia"/>
          <w:sz w:val="21"/>
          <w:szCs w:val="21"/>
        </w:rPr>
        <w:t>对于必须于估值完成后方可获知的监控指标或依据交易程序已经成交的投资指令，基金托管人发现该投资指令违反法律法规或者违反《基金合同》约定的，应当立即通知基金管理人，并报告中国证监会。</w:t>
      </w:r>
    </w:p>
    <w:p>
      <w:pPr>
        <w:pStyle w:val="7"/>
        <w:spacing w:before="0" w:beforeAutospacing="0" w:after="0" w:afterAutospacing="0" w:line="360" w:lineRule="auto"/>
        <w:ind w:firstLine="420"/>
        <w:rPr>
          <w:sz w:val="21"/>
          <w:szCs w:val="21"/>
        </w:rPr>
      </w:pPr>
      <w:r>
        <w:rPr>
          <w:rFonts w:hint="eastAsia"/>
          <w:sz w:val="21"/>
          <w:szCs w:val="21"/>
        </w:rPr>
        <w:t>基金管理人应积极配合和协助基金托管人的监督和核查，必须在规定时间内答复基金托管人并改正，就基金托管人的合理疑义进行解释或举证，对基金托管人按照法规要求需向中国证监会报送基金监督报告的，基金管理人应积极配合提供相关数据资料和制度等。</w:t>
      </w:r>
    </w:p>
    <w:p>
      <w:pPr>
        <w:pStyle w:val="7"/>
        <w:spacing w:before="0" w:beforeAutospacing="0" w:after="0" w:afterAutospacing="0" w:line="360" w:lineRule="auto"/>
        <w:ind w:firstLine="420"/>
        <w:rPr>
          <w:sz w:val="21"/>
          <w:szCs w:val="21"/>
        </w:rPr>
      </w:pPr>
      <w:r>
        <w:rPr>
          <w:rFonts w:hint="eastAsia"/>
          <w:sz w:val="21"/>
          <w:szCs w:val="21"/>
        </w:rPr>
        <w:t>基金托管人发现基金管理人有重大违规行为，应立即报告中国证监会，同时通知基金管理人限期纠正。</w:t>
      </w:r>
    </w:p>
    <w:p>
      <w:pPr>
        <w:pStyle w:val="7"/>
        <w:spacing w:before="0" w:beforeAutospacing="0" w:after="0" w:afterAutospacing="0" w:line="360" w:lineRule="auto"/>
        <w:ind w:firstLine="420"/>
        <w:rPr>
          <w:sz w:val="21"/>
          <w:szCs w:val="21"/>
        </w:rPr>
      </w:pPr>
      <w:r>
        <w:rPr>
          <w:rFonts w:hint="eastAsia"/>
          <w:sz w:val="21"/>
          <w:szCs w:val="21"/>
        </w:rPr>
        <w:t>基金管理人无正当理由，拒绝、阻挠基金托管人根据本协议约定行使监督权，或采取拖延、欺诈等手段妨碍基金托管人进行有效监督，情节严重或经基金托管人提出警告仍不改正的，基金托管人应报告中国证监会。</w:t>
      </w:r>
    </w:p>
    <w:p>
      <w:pPr>
        <w:pStyle w:val="7"/>
        <w:spacing w:before="0" w:beforeAutospacing="0" w:after="0" w:afterAutospacing="0" w:line="360" w:lineRule="auto"/>
        <w:ind w:firstLine="420"/>
        <w:rPr>
          <w:sz w:val="21"/>
          <w:szCs w:val="21"/>
        </w:rPr>
      </w:pPr>
      <w:r>
        <w:rPr>
          <w:rStyle w:val="11"/>
          <w:rFonts w:hint="eastAsia"/>
          <w:sz w:val="21"/>
          <w:szCs w:val="21"/>
        </w:rPr>
        <w:t>三、基金管理人对基金托管人的业务核查</w:t>
      </w:r>
    </w:p>
    <w:p>
      <w:pPr>
        <w:pStyle w:val="7"/>
        <w:spacing w:before="0" w:beforeAutospacing="0" w:after="0" w:afterAutospacing="0" w:line="360" w:lineRule="auto"/>
        <w:ind w:firstLine="420"/>
        <w:rPr>
          <w:sz w:val="21"/>
          <w:szCs w:val="21"/>
        </w:rPr>
      </w:pPr>
      <w:r>
        <w:rPr>
          <w:rFonts w:hint="eastAsia"/>
          <w:sz w:val="21"/>
          <w:szCs w:val="21"/>
        </w:rPr>
        <w:t>基金管理人对基金托管人履行托管职责情况进行核查，核查事项包括但不限于基金托管人安全保管基金财产、开设基金财产的资金账户和证券账户等投资所需账户、复核基金管理人计算的基金资产净值和基金份额净值、根据管理人指令办理清算交收、相关信息披露和监督基金投资运作等行为。</w:t>
      </w:r>
    </w:p>
    <w:p>
      <w:pPr>
        <w:pStyle w:val="7"/>
        <w:spacing w:before="0" w:beforeAutospacing="0" w:after="0" w:afterAutospacing="0" w:line="360" w:lineRule="auto"/>
        <w:ind w:firstLine="420"/>
        <w:rPr>
          <w:sz w:val="21"/>
          <w:szCs w:val="21"/>
        </w:rPr>
      </w:pPr>
      <w:r>
        <w:rPr>
          <w:rFonts w:hint="eastAsia"/>
          <w:sz w:val="21"/>
          <w:szCs w:val="21"/>
        </w:rPr>
        <w:t>基金管理人发现基金托管人擅自挪用基金财产、未对基金财产实行分账管理、无故未执行或无故延迟执行基金管理人资金划拨指令、泄露基金投资信息等违反《基金法》、《基金合同》、本协议及其他有关规定时，基金管理人应及时以书面形式通知基金托管人限期纠正，基金托管人收到通知后应在下一个工作日及时核对确认并以书面形式向基金管理人发出回函。在限期内，基金管理人有权随时对通知事项进行复查，督促基金托管人改正，并予协助配合。基金托管人对基金管理人通知的违规事项未能在限期内纠正的，基金管理人应报告中国证监会。基金管理人有义务要求基金托管人赔偿基金因此所遭受的损失。</w:t>
      </w:r>
    </w:p>
    <w:p>
      <w:pPr>
        <w:pStyle w:val="7"/>
        <w:spacing w:before="0" w:beforeAutospacing="0" w:after="0" w:afterAutospacing="0" w:line="360" w:lineRule="auto"/>
        <w:ind w:firstLine="420"/>
        <w:rPr>
          <w:sz w:val="21"/>
          <w:szCs w:val="21"/>
        </w:rPr>
      </w:pPr>
      <w:r>
        <w:rPr>
          <w:rFonts w:hint="eastAsia"/>
          <w:sz w:val="21"/>
          <w:szCs w:val="21"/>
        </w:rPr>
        <w:t>基金管理人发现基金托管人有重大违规行为，应立即报告中国证监会和银行业监督管理机构，同时通知基金托管人限期纠正。</w:t>
      </w:r>
    </w:p>
    <w:p>
      <w:pPr>
        <w:pStyle w:val="7"/>
        <w:spacing w:before="0" w:beforeAutospacing="0" w:after="0" w:afterAutospacing="0" w:line="360" w:lineRule="auto"/>
        <w:ind w:firstLine="420"/>
        <w:rPr>
          <w:sz w:val="21"/>
          <w:szCs w:val="21"/>
        </w:rPr>
      </w:pPr>
      <w:r>
        <w:rPr>
          <w:rFonts w:hint="eastAsia"/>
          <w:sz w:val="21"/>
          <w:szCs w:val="21"/>
        </w:rPr>
        <w:t>基金托管人应积极配合基金管理人的核查行为，包括但不限于：提交相关资料以供基金管理人核查托管财产的完整性和真实性，在规定时间内答复基金管理人并改正。</w:t>
      </w:r>
    </w:p>
    <w:p>
      <w:pPr>
        <w:pStyle w:val="7"/>
        <w:spacing w:before="0" w:beforeAutospacing="0" w:after="0" w:afterAutospacing="0" w:line="360" w:lineRule="auto"/>
        <w:ind w:firstLine="420"/>
        <w:rPr>
          <w:sz w:val="21"/>
          <w:szCs w:val="21"/>
        </w:rPr>
      </w:pPr>
      <w:r>
        <w:rPr>
          <w:rFonts w:hint="eastAsia"/>
          <w:sz w:val="21"/>
          <w:szCs w:val="21"/>
        </w:rPr>
        <w:t>基金托管人无正当理由，拒绝、阻挠基金管理人根据本协议约定行使监督权，或采取拖延、欺诈等手段妨碍基金管理人进行有效监督，情节严重或经基金管理人提出警告仍不改正的，基金管理人应报告中国证监会。</w:t>
      </w:r>
    </w:p>
    <w:p>
      <w:pPr>
        <w:pStyle w:val="7"/>
        <w:spacing w:before="0" w:beforeAutospacing="0" w:after="0" w:afterAutospacing="0" w:line="360" w:lineRule="auto"/>
        <w:ind w:firstLine="420"/>
        <w:rPr>
          <w:sz w:val="21"/>
          <w:szCs w:val="21"/>
        </w:rPr>
      </w:pPr>
      <w:r>
        <w:rPr>
          <w:rStyle w:val="11"/>
          <w:rFonts w:hint="eastAsia"/>
          <w:sz w:val="21"/>
          <w:szCs w:val="21"/>
        </w:rPr>
        <w:t>四、基金财产保管</w:t>
      </w:r>
    </w:p>
    <w:p>
      <w:pPr>
        <w:pStyle w:val="7"/>
        <w:spacing w:before="0" w:beforeAutospacing="0" w:after="0" w:afterAutospacing="0" w:line="360" w:lineRule="auto"/>
        <w:ind w:firstLine="420"/>
        <w:rPr>
          <w:sz w:val="21"/>
          <w:szCs w:val="21"/>
        </w:rPr>
      </w:pPr>
      <w:r>
        <w:rPr>
          <w:rFonts w:hint="eastAsia"/>
          <w:sz w:val="21"/>
          <w:szCs w:val="21"/>
        </w:rPr>
        <w:t>（一）基金财产保管的原则</w:t>
      </w:r>
    </w:p>
    <w:p>
      <w:pPr>
        <w:pStyle w:val="7"/>
        <w:spacing w:before="0" w:beforeAutospacing="0" w:after="0" w:afterAutospacing="0" w:line="360" w:lineRule="auto"/>
        <w:ind w:firstLine="420"/>
        <w:rPr>
          <w:sz w:val="21"/>
          <w:szCs w:val="21"/>
        </w:rPr>
      </w:pPr>
      <w:r>
        <w:rPr>
          <w:rFonts w:hint="eastAsia"/>
          <w:sz w:val="21"/>
          <w:szCs w:val="21"/>
        </w:rPr>
        <w:t>1、基金财产应独立于基金管理人、基金托管人的固有财产。</w:t>
      </w:r>
    </w:p>
    <w:p>
      <w:pPr>
        <w:pStyle w:val="7"/>
        <w:spacing w:before="0" w:beforeAutospacing="0" w:after="0" w:afterAutospacing="0" w:line="360" w:lineRule="auto"/>
        <w:ind w:firstLine="420"/>
        <w:rPr>
          <w:sz w:val="21"/>
          <w:szCs w:val="21"/>
        </w:rPr>
      </w:pPr>
      <w:r>
        <w:rPr>
          <w:rFonts w:hint="eastAsia"/>
          <w:sz w:val="21"/>
          <w:szCs w:val="21"/>
        </w:rPr>
        <w:t>2、基金托管人应安全保管基金财产。未经基金管理人的有效指令，不得自行运用、处分、分配基金的任何财产。</w:t>
      </w:r>
    </w:p>
    <w:p>
      <w:pPr>
        <w:pStyle w:val="7"/>
        <w:spacing w:before="0" w:beforeAutospacing="0" w:after="0" w:afterAutospacing="0" w:line="360" w:lineRule="auto"/>
        <w:ind w:firstLine="420"/>
        <w:rPr>
          <w:sz w:val="21"/>
          <w:szCs w:val="21"/>
        </w:rPr>
      </w:pPr>
      <w:r>
        <w:rPr>
          <w:rFonts w:hint="eastAsia"/>
          <w:sz w:val="21"/>
          <w:szCs w:val="21"/>
        </w:rPr>
        <w:t>3、基金托管人按照规定开设基金财产的资金账户和证券账户等投资所需账户。</w:t>
      </w:r>
    </w:p>
    <w:p>
      <w:pPr>
        <w:pStyle w:val="7"/>
        <w:spacing w:before="0" w:beforeAutospacing="0" w:after="0" w:afterAutospacing="0" w:line="360" w:lineRule="auto"/>
        <w:ind w:firstLine="420"/>
        <w:rPr>
          <w:sz w:val="21"/>
          <w:szCs w:val="21"/>
        </w:rPr>
      </w:pPr>
      <w:r>
        <w:rPr>
          <w:rFonts w:hint="eastAsia"/>
          <w:sz w:val="21"/>
          <w:szCs w:val="21"/>
        </w:rPr>
        <w:t>4、基金托管人对所托管的不同基金财产分别设置账户，与基金托管人的其他业务和其他基金的托管业务实行严格的分账管理，确保基金财产的完整与独立。</w:t>
      </w:r>
    </w:p>
    <w:p>
      <w:pPr>
        <w:pStyle w:val="7"/>
        <w:spacing w:before="0" w:beforeAutospacing="0" w:after="0" w:afterAutospacing="0" w:line="360" w:lineRule="auto"/>
        <w:ind w:firstLine="420"/>
        <w:rPr>
          <w:sz w:val="21"/>
          <w:szCs w:val="21"/>
        </w:rPr>
      </w:pPr>
      <w:r>
        <w:rPr>
          <w:rFonts w:hint="eastAsia"/>
          <w:sz w:val="21"/>
          <w:szCs w:val="21"/>
        </w:rPr>
        <w:t>5、对于因基金认（申）购、基金投资过程中产生的应收财产，应由基金管理人负责与有关当事人确定到账日期并通知基金托管人，到账日基金财产没有到达基金托管人处的，基金托管人应及时通知基金管理人采取措施进行催收。由此给基金造成损失的，基金管理人应负责向有关当事人追偿基金的损失，基金托管人予以必要的协助配合，但对此不承担责任。基金托管人仅对托管账户内的基金财产承担托管职责，对于该账户之外的财产或已从该托管账户支付出去的财产的损失不承担任何责任。</w:t>
      </w:r>
    </w:p>
    <w:p>
      <w:pPr>
        <w:pStyle w:val="7"/>
        <w:spacing w:before="0" w:beforeAutospacing="0" w:after="0" w:afterAutospacing="0" w:line="360" w:lineRule="auto"/>
        <w:ind w:firstLine="420"/>
        <w:rPr>
          <w:sz w:val="21"/>
          <w:szCs w:val="21"/>
        </w:rPr>
      </w:pPr>
      <w:r>
        <w:rPr>
          <w:rFonts w:hint="eastAsia"/>
          <w:sz w:val="21"/>
          <w:szCs w:val="21"/>
        </w:rPr>
        <w:t>（二）募集资金的验证</w:t>
      </w:r>
    </w:p>
    <w:p>
      <w:pPr>
        <w:pStyle w:val="7"/>
        <w:spacing w:before="0" w:beforeAutospacing="0" w:after="0" w:afterAutospacing="0" w:line="360" w:lineRule="auto"/>
        <w:ind w:firstLine="420"/>
        <w:rPr>
          <w:sz w:val="21"/>
          <w:szCs w:val="21"/>
        </w:rPr>
      </w:pPr>
      <w:r>
        <w:rPr>
          <w:rFonts w:hint="eastAsia"/>
          <w:sz w:val="21"/>
          <w:szCs w:val="21"/>
        </w:rPr>
        <w:t>募集期内销售机构按销售与服务代理协议的约定，将认购资金划入基金管理人在具有托管资格的商业银行开设的博时基金管理有限公司基金认购专户。该账户由基金管理人开立并管理。基金管理人按照法律法规的反洗钱要求，对投资人及其资金来源履行必要的反洗钱合规审查工作。基金募集期满或基金管理人决定停止基金发售，募集的基金份额总额、基金募集金额（含网下股票认购所募集的股票按基金合同约定的估值方法计算的价值）、基金份额持有人人数符合《基金法》、《运作办法》等有关规定后，由基金管理人聘请符合《中华人民共和国证券法》规定的会计师事务所进行验资，出具验资报告，出具的验资报告应由参加验资的2名以上（含2名）中国注册会计师签字有效。验资完成，基金管理人应将募集的属于本基金财产的全部资金划入基金托管人为基金开立的资产托管专户中，基金托管人在收到资金当日出具确认文件。</w:t>
      </w:r>
    </w:p>
    <w:p>
      <w:pPr>
        <w:pStyle w:val="7"/>
        <w:spacing w:before="0" w:beforeAutospacing="0" w:after="0" w:afterAutospacing="0" w:line="360" w:lineRule="auto"/>
        <w:ind w:firstLine="420"/>
        <w:rPr>
          <w:sz w:val="21"/>
          <w:szCs w:val="21"/>
        </w:rPr>
      </w:pPr>
      <w:r>
        <w:rPr>
          <w:rFonts w:hint="eastAsia"/>
          <w:sz w:val="21"/>
          <w:szCs w:val="21"/>
        </w:rPr>
        <w:t>若基金募集期限届满，未能达到《基金合同》生效的条件，由基金管理人按规定办理退款、股票解冻及返还事宜，基金托管人应提供充分协助。</w:t>
      </w:r>
    </w:p>
    <w:p>
      <w:pPr>
        <w:pStyle w:val="7"/>
        <w:spacing w:before="0" w:beforeAutospacing="0" w:after="0" w:afterAutospacing="0" w:line="360" w:lineRule="auto"/>
        <w:ind w:firstLine="420"/>
        <w:rPr>
          <w:sz w:val="21"/>
          <w:szCs w:val="21"/>
        </w:rPr>
      </w:pPr>
      <w:r>
        <w:rPr>
          <w:rFonts w:hint="eastAsia"/>
          <w:sz w:val="21"/>
          <w:szCs w:val="21"/>
        </w:rPr>
        <w:t>（三）基金的资产托管专户的开立和管理</w:t>
      </w:r>
    </w:p>
    <w:p>
      <w:pPr>
        <w:pStyle w:val="7"/>
        <w:spacing w:before="0" w:beforeAutospacing="0" w:after="0" w:afterAutospacing="0" w:line="360" w:lineRule="auto"/>
        <w:ind w:firstLine="420"/>
        <w:rPr>
          <w:sz w:val="21"/>
          <w:szCs w:val="21"/>
        </w:rPr>
      </w:pPr>
      <w:r>
        <w:rPr>
          <w:rFonts w:hint="eastAsia"/>
          <w:sz w:val="21"/>
          <w:szCs w:val="21"/>
        </w:rPr>
        <w:t>基金托管人以基金托管人、基金或基金托管人与基金联名等监管部门要求的名义，在其营业机构开设资产托管专户，保管基金的现金资产。该账户的开设和管理由基金托管人承担。本基金的一切货币收支活动，均需通过基金托管人的资产托管专户进行。</w:t>
      </w:r>
    </w:p>
    <w:p>
      <w:pPr>
        <w:pStyle w:val="7"/>
        <w:spacing w:before="0" w:beforeAutospacing="0" w:after="0" w:afterAutospacing="0" w:line="360" w:lineRule="auto"/>
        <w:ind w:firstLine="420"/>
        <w:rPr>
          <w:sz w:val="21"/>
          <w:szCs w:val="21"/>
        </w:rPr>
      </w:pPr>
      <w:r>
        <w:rPr>
          <w:rFonts w:hint="eastAsia"/>
          <w:sz w:val="21"/>
          <w:szCs w:val="21"/>
        </w:rPr>
        <w:t>资产托管专户的开立和使用，限于满足开展本基金业务的需要。基金托管人和基金管理人不得假借本基金的名义开立其他任何银行账户；亦不得使用基金的任何银行账户进行本基金业务以外的活动。</w:t>
      </w:r>
    </w:p>
    <w:p>
      <w:pPr>
        <w:pStyle w:val="7"/>
        <w:spacing w:before="0" w:beforeAutospacing="0" w:after="0" w:afterAutospacing="0" w:line="360" w:lineRule="auto"/>
        <w:ind w:firstLine="420"/>
        <w:rPr>
          <w:sz w:val="21"/>
          <w:szCs w:val="21"/>
        </w:rPr>
      </w:pPr>
      <w:r>
        <w:rPr>
          <w:rFonts w:hint="eastAsia"/>
          <w:sz w:val="21"/>
          <w:szCs w:val="21"/>
        </w:rPr>
        <w:t>资产托管专户的管理应符合人民币银行结算账户管理、利率管理等相关监管法规要求。</w:t>
      </w:r>
    </w:p>
    <w:p>
      <w:pPr>
        <w:pStyle w:val="7"/>
        <w:spacing w:before="0" w:beforeAutospacing="0" w:after="0" w:afterAutospacing="0" w:line="360" w:lineRule="auto"/>
        <w:ind w:firstLine="420"/>
        <w:rPr>
          <w:sz w:val="21"/>
          <w:szCs w:val="21"/>
        </w:rPr>
      </w:pPr>
      <w:r>
        <w:rPr>
          <w:rFonts w:hint="eastAsia"/>
          <w:sz w:val="21"/>
          <w:szCs w:val="21"/>
        </w:rPr>
        <w:t>（四）基金证券账户与证券交易资金账户的开设和管理</w:t>
      </w:r>
    </w:p>
    <w:p>
      <w:pPr>
        <w:pStyle w:val="7"/>
        <w:spacing w:before="0" w:beforeAutospacing="0" w:after="0" w:afterAutospacing="0" w:line="360" w:lineRule="auto"/>
        <w:ind w:firstLine="420"/>
        <w:rPr>
          <w:sz w:val="21"/>
          <w:szCs w:val="21"/>
        </w:rPr>
      </w:pPr>
      <w:r>
        <w:rPr>
          <w:rFonts w:hint="eastAsia"/>
          <w:sz w:val="21"/>
          <w:szCs w:val="21"/>
        </w:rPr>
        <w:t>基金托管人以基金托管人和本基金联名的方式在中国证券登记结算有限责任公司开设证券账户。</w:t>
      </w:r>
    </w:p>
    <w:p>
      <w:pPr>
        <w:pStyle w:val="7"/>
        <w:spacing w:before="0" w:beforeAutospacing="0" w:after="0" w:afterAutospacing="0" w:line="360" w:lineRule="auto"/>
        <w:ind w:firstLine="420"/>
        <w:rPr>
          <w:sz w:val="21"/>
          <w:szCs w:val="21"/>
        </w:rPr>
      </w:pPr>
      <w:r>
        <w:rPr>
          <w:rFonts w:hint="eastAsia"/>
          <w:sz w:val="21"/>
          <w:szCs w:val="21"/>
        </w:rPr>
        <w:t>基金证券账户的开立和使用，限于满足开展本基金业务的需要。基金托管人和基金管理人不得出借和未经对方同意擅自转让基金的任何证券账户；亦不得使用基金的任何账户进行本基金业务以外的活动。</w:t>
      </w:r>
    </w:p>
    <w:p>
      <w:pPr>
        <w:pStyle w:val="7"/>
        <w:spacing w:before="0" w:beforeAutospacing="0" w:after="0" w:afterAutospacing="0" w:line="360" w:lineRule="auto"/>
        <w:ind w:firstLine="420"/>
        <w:rPr>
          <w:sz w:val="21"/>
          <w:szCs w:val="21"/>
        </w:rPr>
      </w:pPr>
      <w:r>
        <w:rPr>
          <w:rFonts w:hint="eastAsia"/>
          <w:sz w:val="21"/>
          <w:szCs w:val="21"/>
        </w:rPr>
        <w:t>基金管理人以基金名义在基金管理人选择的证券经纪机构营业网点开立证券交易资金账户。证券经纪机构根据相关法律法规、规范性文件为本基金开立相关资金账户，并按照该证券经纪机构开户的流程和要求与基金管理人签订相关协议。</w:t>
      </w:r>
    </w:p>
    <w:p>
      <w:pPr>
        <w:pStyle w:val="7"/>
        <w:spacing w:before="0" w:beforeAutospacing="0" w:after="0" w:afterAutospacing="0" w:line="360" w:lineRule="auto"/>
        <w:ind w:firstLine="420"/>
        <w:rPr>
          <w:sz w:val="21"/>
          <w:szCs w:val="21"/>
        </w:rPr>
      </w:pPr>
      <w:r>
        <w:rPr>
          <w:rFonts w:hint="eastAsia"/>
          <w:sz w:val="21"/>
          <w:szCs w:val="21"/>
        </w:rPr>
        <w:t>交易所证券交易资金采用第三方存管模式，即用于证券交易结算资金全额存放在基金管理人为基金开立的证券交易资金账户中，场内的证券交易资金清算由基金管理人所选择的证券公司负责。基金托管人不负责办理场内的证券交易资金清算，也不负责保管证券交易资金账户内存放的资金。</w:t>
      </w:r>
    </w:p>
    <w:p>
      <w:pPr>
        <w:pStyle w:val="7"/>
        <w:spacing w:before="0" w:beforeAutospacing="0" w:after="0" w:afterAutospacing="0" w:line="360" w:lineRule="auto"/>
        <w:ind w:firstLine="420"/>
        <w:rPr>
          <w:sz w:val="21"/>
          <w:szCs w:val="21"/>
        </w:rPr>
      </w:pPr>
      <w:r>
        <w:rPr>
          <w:rFonts w:hint="eastAsia"/>
          <w:sz w:val="21"/>
          <w:szCs w:val="21"/>
        </w:rPr>
        <w:t>（五）债券托管账户的开立和管理</w:t>
      </w:r>
    </w:p>
    <w:p>
      <w:pPr>
        <w:pStyle w:val="7"/>
        <w:spacing w:before="0" w:beforeAutospacing="0" w:after="0" w:afterAutospacing="0" w:line="360" w:lineRule="auto"/>
        <w:ind w:firstLine="420"/>
        <w:rPr>
          <w:sz w:val="21"/>
          <w:szCs w:val="21"/>
        </w:rPr>
      </w:pPr>
      <w:r>
        <w:rPr>
          <w:rFonts w:hint="eastAsia"/>
          <w:sz w:val="21"/>
          <w:szCs w:val="21"/>
        </w:rPr>
        <w:t>1、《基金合同》生效后，基金管理人负责以基金的名义申请并取得进入全国银行间同业拆借市场的交易资格，并代表基金进行交易；基金托管人负责以基金的名义在中央国债登记结算有限责任公司和银行间市场清算所股份有限公司开设银行间债券市场债券托管账户和资金结算专户，并由基金托管人负责基金的债券的后台匹配及资金的清算。</w:t>
      </w:r>
    </w:p>
    <w:p>
      <w:pPr>
        <w:pStyle w:val="7"/>
        <w:spacing w:before="0" w:beforeAutospacing="0" w:after="0" w:afterAutospacing="0" w:line="360" w:lineRule="auto"/>
        <w:ind w:firstLine="420"/>
        <w:rPr>
          <w:sz w:val="21"/>
          <w:szCs w:val="21"/>
        </w:rPr>
      </w:pPr>
      <w:r>
        <w:rPr>
          <w:rFonts w:hint="eastAsia"/>
          <w:sz w:val="21"/>
          <w:szCs w:val="21"/>
        </w:rPr>
        <w:t>2、基金管理人和基金托管人应一起负责为基金对外签订全国银行间债券市场回购主协议，正本由基金托管人保管，基金管理人保存副本。</w:t>
      </w:r>
    </w:p>
    <w:p>
      <w:pPr>
        <w:pStyle w:val="7"/>
        <w:spacing w:before="0" w:beforeAutospacing="0" w:after="0" w:afterAutospacing="0" w:line="360" w:lineRule="auto"/>
        <w:ind w:firstLine="420"/>
        <w:rPr>
          <w:sz w:val="21"/>
          <w:szCs w:val="21"/>
        </w:rPr>
      </w:pPr>
      <w:r>
        <w:rPr>
          <w:rFonts w:hint="eastAsia"/>
          <w:sz w:val="21"/>
          <w:szCs w:val="21"/>
        </w:rPr>
        <w:t>（六）存款投资账户的开立和管理</w:t>
      </w:r>
    </w:p>
    <w:p>
      <w:pPr>
        <w:pStyle w:val="7"/>
        <w:spacing w:before="0" w:beforeAutospacing="0" w:after="0" w:afterAutospacing="0" w:line="360" w:lineRule="auto"/>
        <w:ind w:firstLine="420"/>
        <w:rPr>
          <w:sz w:val="21"/>
          <w:szCs w:val="21"/>
        </w:rPr>
      </w:pPr>
      <w:r>
        <w:rPr>
          <w:rFonts w:hint="eastAsia"/>
          <w:sz w:val="21"/>
          <w:szCs w:val="21"/>
        </w:rPr>
        <w:t>基金财产开展定期存款等银行存款投资前，基金管理人应以基金名义开立银行存款账户，存款账户名称同资产托管专户名称保持一致，该账户仅限向托管账户划拨存款本金及利息资金。开户时基金管理人须向存款银行预留基金托管人印鉴，如基金托管人需变更预留印鉴，基金管理人应通知并配合存款银行办理变更手续。</w:t>
      </w:r>
    </w:p>
    <w:p>
      <w:pPr>
        <w:pStyle w:val="7"/>
        <w:spacing w:before="0" w:beforeAutospacing="0" w:after="0" w:afterAutospacing="0" w:line="360" w:lineRule="auto"/>
        <w:ind w:firstLine="420"/>
        <w:rPr>
          <w:sz w:val="21"/>
          <w:szCs w:val="21"/>
        </w:rPr>
      </w:pPr>
      <w:r>
        <w:rPr>
          <w:rFonts w:hint="eastAsia"/>
          <w:sz w:val="21"/>
          <w:szCs w:val="21"/>
        </w:rPr>
        <w:t>基金管理人应按照双方约定，事先向基金托管人提供办理开户、存入、支取、变更等存款业务所需的经办人员身份证明信息等材料。如需在存款银行开通网上银行、电话银行、手机银行等功能，需经基金管理人、基金托管人双方确认同意。</w:t>
      </w:r>
    </w:p>
    <w:p>
      <w:pPr>
        <w:pStyle w:val="7"/>
        <w:spacing w:before="0" w:beforeAutospacing="0" w:after="0" w:afterAutospacing="0" w:line="360" w:lineRule="auto"/>
        <w:ind w:firstLine="420"/>
        <w:rPr>
          <w:sz w:val="21"/>
          <w:szCs w:val="21"/>
        </w:rPr>
      </w:pPr>
      <w:r>
        <w:rPr>
          <w:rFonts w:hint="eastAsia"/>
          <w:sz w:val="21"/>
          <w:szCs w:val="21"/>
        </w:rPr>
        <w:t>如需停止使用银行存款账户，基金管理人应联系基金托管人及时办理销户手续。</w:t>
      </w:r>
    </w:p>
    <w:p>
      <w:pPr>
        <w:pStyle w:val="7"/>
        <w:spacing w:before="0" w:beforeAutospacing="0" w:after="0" w:afterAutospacing="0" w:line="360" w:lineRule="auto"/>
        <w:ind w:firstLine="420"/>
        <w:rPr>
          <w:sz w:val="21"/>
          <w:szCs w:val="21"/>
        </w:rPr>
      </w:pPr>
      <w:r>
        <w:rPr>
          <w:rFonts w:hint="eastAsia"/>
          <w:sz w:val="21"/>
          <w:szCs w:val="21"/>
        </w:rPr>
        <w:t>（七）其他账户的开设和管理</w:t>
      </w:r>
    </w:p>
    <w:p>
      <w:pPr>
        <w:pStyle w:val="7"/>
        <w:spacing w:before="0" w:beforeAutospacing="0" w:after="0" w:afterAutospacing="0" w:line="360" w:lineRule="auto"/>
        <w:ind w:firstLine="420"/>
        <w:rPr>
          <w:sz w:val="21"/>
          <w:szCs w:val="21"/>
        </w:rPr>
      </w:pPr>
      <w:r>
        <w:rPr>
          <w:rFonts w:hint="eastAsia"/>
          <w:sz w:val="21"/>
          <w:szCs w:val="21"/>
        </w:rPr>
        <w:t>在本协议订立日之后，本基金被允许从事符合法律法规规定和《基金合同》约定的其他投资品种的投资业务时，如果涉及相关账户的开设和使用，由基金管理人协助托管人根据有关法律法规的规定和《基金合同》的约定，开立有关账户。该账户按有关规则使用并管理。</w:t>
      </w:r>
    </w:p>
    <w:p>
      <w:pPr>
        <w:pStyle w:val="7"/>
        <w:spacing w:before="0" w:beforeAutospacing="0" w:after="0" w:afterAutospacing="0" w:line="360" w:lineRule="auto"/>
        <w:ind w:firstLine="420"/>
        <w:rPr>
          <w:sz w:val="21"/>
          <w:szCs w:val="21"/>
        </w:rPr>
      </w:pPr>
      <w:r>
        <w:rPr>
          <w:rFonts w:hint="eastAsia"/>
          <w:sz w:val="21"/>
          <w:szCs w:val="21"/>
        </w:rPr>
        <w:t>（八）存款证实书等实物证券的保管</w:t>
      </w:r>
    </w:p>
    <w:p>
      <w:pPr>
        <w:pStyle w:val="7"/>
        <w:spacing w:before="0" w:beforeAutospacing="0" w:after="0" w:afterAutospacing="0" w:line="360" w:lineRule="auto"/>
        <w:ind w:firstLine="420"/>
        <w:rPr>
          <w:sz w:val="21"/>
          <w:szCs w:val="21"/>
        </w:rPr>
      </w:pPr>
      <w:r>
        <w:rPr>
          <w:rFonts w:hint="eastAsia"/>
          <w:sz w:val="21"/>
          <w:szCs w:val="21"/>
        </w:rPr>
        <w:t>基金管理人应将基金财产投资的有关实物证券交由基金托管人保管。基金管理人承诺对交接给基金托管人保管的有价凭证的真实性、完整性负责，基金托管人只负责对有价凭证进行保管，不负责对有价凭证真伪的辨别，不承担有价凭证对应存款的本金及收益的安全。属于基金托管人实际有效控制下的实物证券在基金托管人保管期间的毁损、灭失，由此产生的责任应由基金托管人承担。基金托管人对基金托管人以外机构实际有效控制或保管的证券不承担保管责任。</w:t>
      </w:r>
    </w:p>
    <w:p>
      <w:pPr>
        <w:pStyle w:val="7"/>
        <w:spacing w:before="0" w:beforeAutospacing="0" w:after="0" w:afterAutospacing="0" w:line="360" w:lineRule="auto"/>
        <w:ind w:firstLine="420"/>
        <w:rPr>
          <w:sz w:val="21"/>
          <w:szCs w:val="21"/>
        </w:rPr>
      </w:pPr>
      <w:r>
        <w:rPr>
          <w:rFonts w:hint="eastAsia"/>
          <w:sz w:val="21"/>
          <w:szCs w:val="21"/>
        </w:rPr>
        <w:t>基金投资银行存款的，由存款银行向基金管理人开具存款证实书，基金管理人与基金托管人应遵守以下特别约定：</w:t>
      </w:r>
    </w:p>
    <w:p>
      <w:pPr>
        <w:pStyle w:val="7"/>
        <w:spacing w:before="0" w:beforeAutospacing="0" w:after="0" w:afterAutospacing="0" w:line="360" w:lineRule="auto"/>
        <w:ind w:firstLine="420"/>
        <w:rPr>
          <w:sz w:val="21"/>
          <w:szCs w:val="21"/>
        </w:rPr>
      </w:pPr>
      <w:r>
        <w:rPr>
          <w:rFonts w:hint="eastAsia"/>
          <w:sz w:val="21"/>
          <w:szCs w:val="21"/>
        </w:rPr>
        <w:t>1、基金财产在开展银行存款投资业务前，基金管理人应根据基金托管人的要求，提供办理存款证实书出入库手续所需的经办人员身份信息等相关材料。如基金托管人对相关材料有异议，以邮件等书面形式通知基金管理人，基金托管人有权拒绝办理并不承担相应责任，基金管理人应采取措施核实并更正信息。</w:t>
      </w:r>
    </w:p>
    <w:p>
      <w:pPr>
        <w:pStyle w:val="7"/>
        <w:spacing w:before="0" w:beforeAutospacing="0" w:after="0" w:afterAutospacing="0" w:line="360" w:lineRule="auto"/>
        <w:ind w:firstLine="420"/>
        <w:rPr>
          <w:sz w:val="21"/>
          <w:szCs w:val="21"/>
        </w:rPr>
      </w:pPr>
      <w:r>
        <w:rPr>
          <w:rFonts w:hint="eastAsia"/>
          <w:sz w:val="21"/>
          <w:szCs w:val="21"/>
        </w:rPr>
        <w:t>2、基金管理人应通知存款银行及时与基金托管人办理存款证实书入库保管手续。如存款证实书要素与存款协议不符，在基金管理人与存款银行核实更正前，基金托管人有权拒绝办理入库手续。因发生自然灾害等不可抗力情况导致入库延误的，基金管理人应及时向基金托管人书面说明，并采取措施积极推动存款证实书入库，在完成入库前，由存款证实书持有方履行保管责任。</w:t>
      </w:r>
    </w:p>
    <w:p>
      <w:pPr>
        <w:pStyle w:val="7"/>
        <w:spacing w:before="0" w:beforeAutospacing="0" w:after="0" w:afterAutospacing="0" w:line="360" w:lineRule="auto"/>
        <w:ind w:firstLine="420"/>
        <w:rPr>
          <w:sz w:val="21"/>
          <w:szCs w:val="21"/>
        </w:rPr>
      </w:pPr>
      <w:r>
        <w:rPr>
          <w:rFonts w:hint="eastAsia"/>
          <w:sz w:val="21"/>
          <w:szCs w:val="21"/>
        </w:rPr>
        <w:t>3、存款到期前，基金管理人应及时与基金托管人办理存款证实书出库手续。如需提前支取，基金管理人应出具提前支取说明函。如需部分提前支取，应办理存款证实书置换，置换后新存款证实书除金额、编号、存款证实书开具日期外，其他核心要素与原存款证实书一致。</w:t>
      </w:r>
    </w:p>
    <w:p>
      <w:pPr>
        <w:pStyle w:val="7"/>
        <w:spacing w:before="0" w:beforeAutospacing="0" w:after="0" w:afterAutospacing="0" w:line="360" w:lineRule="auto"/>
        <w:ind w:firstLine="420"/>
        <w:rPr>
          <w:sz w:val="21"/>
          <w:szCs w:val="21"/>
        </w:rPr>
      </w:pPr>
      <w:r>
        <w:rPr>
          <w:rFonts w:hint="eastAsia"/>
          <w:sz w:val="21"/>
          <w:szCs w:val="21"/>
        </w:rPr>
        <w:t>4、存款到期后，如因自然灾害等不可抗力导致无法正常办理存款证实书出库手续的，基金管理人应在与存款银行的存款协议中就上述情况作出相应安排，并明确存款银行应将支取后的存款本息全部划转回基金资产托管专户。</w:t>
      </w:r>
    </w:p>
    <w:p>
      <w:pPr>
        <w:pStyle w:val="7"/>
        <w:spacing w:before="0" w:beforeAutospacing="0" w:after="0" w:afterAutospacing="0" w:line="360" w:lineRule="auto"/>
        <w:ind w:firstLine="420"/>
        <w:rPr>
          <w:sz w:val="21"/>
          <w:szCs w:val="21"/>
        </w:rPr>
      </w:pPr>
      <w:r>
        <w:rPr>
          <w:rFonts w:hint="eastAsia"/>
          <w:sz w:val="21"/>
          <w:szCs w:val="21"/>
        </w:rPr>
        <w:t>5、如存款证实书因非基金托管人原因出现毁损、灭失，或晚于存款到期日到达存款行等情形，导致存款无法被按时支取的，基金管理人应及时采取补救措施，基金托管人不承担相关责任，但应给予必要配合。存款证实书仅作为存款证实，不得设立担保或用于任何可能导致存款资金损失的其他用途。</w:t>
      </w:r>
    </w:p>
    <w:p>
      <w:pPr>
        <w:pStyle w:val="7"/>
        <w:spacing w:before="0" w:beforeAutospacing="0" w:after="0" w:afterAutospacing="0" w:line="360" w:lineRule="auto"/>
        <w:ind w:firstLine="420"/>
        <w:rPr>
          <w:sz w:val="21"/>
          <w:szCs w:val="21"/>
        </w:rPr>
      </w:pPr>
      <w:r>
        <w:rPr>
          <w:rFonts w:hint="eastAsia"/>
          <w:sz w:val="21"/>
          <w:szCs w:val="21"/>
        </w:rPr>
        <w:t>（九）与基金财产有关的重大合同的保管</w:t>
      </w:r>
    </w:p>
    <w:p>
      <w:pPr>
        <w:pStyle w:val="7"/>
        <w:spacing w:before="0" w:beforeAutospacing="0" w:after="0" w:afterAutospacing="0" w:line="360" w:lineRule="auto"/>
        <w:ind w:firstLine="420"/>
        <w:rPr>
          <w:sz w:val="21"/>
          <w:szCs w:val="21"/>
        </w:rPr>
      </w:pPr>
      <w:r>
        <w:rPr>
          <w:rFonts w:hint="eastAsia"/>
          <w:sz w:val="21"/>
          <w:szCs w:val="21"/>
        </w:rPr>
        <w:t>由基金管理人代表基金签署的与基金有关的重大合同的原件分别应由基金托管人、基金管理人保管。除本协议另有约定外，基金管理人在代表基金签署与基金有关的重大合同时应保证基金一方持有两份以上的正本，以便基金管理人和基金托管人至少各持有一份正本的原件。基金管理人在合同签署后5个工作日内通过专人送达、挂号邮寄等安全方式将合同原件送达基金托管人处。合同原件应存放于基金管理人和基金托管人各自文件保管部门，保管期限不少于法律法规规定的最低年限。</w:t>
      </w:r>
    </w:p>
    <w:p>
      <w:pPr>
        <w:pStyle w:val="7"/>
        <w:spacing w:before="0" w:beforeAutospacing="0" w:after="0" w:afterAutospacing="0" w:line="360" w:lineRule="auto"/>
        <w:ind w:firstLine="420"/>
        <w:rPr>
          <w:sz w:val="21"/>
          <w:szCs w:val="21"/>
        </w:rPr>
      </w:pPr>
      <w:r>
        <w:rPr>
          <w:rStyle w:val="11"/>
          <w:rFonts w:hint="eastAsia"/>
          <w:sz w:val="21"/>
          <w:szCs w:val="21"/>
        </w:rPr>
        <w:t>五、基金资产净值计算和会计核算</w:t>
      </w:r>
    </w:p>
    <w:p>
      <w:pPr>
        <w:pStyle w:val="7"/>
        <w:spacing w:before="0" w:beforeAutospacing="0" w:after="0" w:afterAutospacing="0" w:line="360" w:lineRule="auto"/>
        <w:ind w:firstLine="420"/>
        <w:rPr>
          <w:sz w:val="21"/>
          <w:szCs w:val="21"/>
        </w:rPr>
      </w:pPr>
      <w:r>
        <w:rPr>
          <w:rFonts w:hint="eastAsia"/>
          <w:sz w:val="21"/>
          <w:szCs w:val="21"/>
        </w:rPr>
        <w:t>（一）基金资产净值的计算</w:t>
      </w:r>
    </w:p>
    <w:p>
      <w:pPr>
        <w:pStyle w:val="7"/>
        <w:spacing w:before="0" w:beforeAutospacing="0" w:after="0" w:afterAutospacing="0" w:line="360" w:lineRule="auto"/>
        <w:ind w:firstLine="420"/>
        <w:rPr>
          <w:sz w:val="21"/>
          <w:szCs w:val="21"/>
        </w:rPr>
      </w:pPr>
      <w:r>
        <w:rPr>
          <w:rFonts w:hint="eastAsia"/>
          <w:sz w:val="21"/>
          <w:szCs w:val="21"/>
        </w:rPr>
        <w:t>1、基金资产净值的计算、复核的时间和程序</w:t>
      </w:r>
    </w:p>
    <w:p>
      <w:pPr>
        <w:pStyle w:val="7"/>
        <w:spacing w:before="0" w:beforeAutospacing="0" w:after="0" w:afterAutospacing="0" w:line="360" w:lineRule="auto"/>
        <w:ind w:firstLine="420"/>
        <w:rPr>
          <w:sz w:val="21"/>
          <w:szCs w:val="21"/>
        </w:rPr>
      </w:pPr>
      <w:r>
        <w:rPr>
          <w:rFonts w:hint="eastAsia"/>
          <w:sz w:val="21"/>
          <w:szCs w:val="21"/>
        </w:rPr>
        <w:t>基金资产净值是指基金资产总值减去负债后的价值。基金份额净值是指计算日基金资产净值除以该计算日基金份额总份额后的数值。基金份额净值的计算保留到小数点后4位，小数点后第5位四舍五入，由此产生的误差计入基金财产。基金管理人可以设立大额赎回情形下的净值精度应急调整机制。国家另有规定的，从其规定。</w:t>
      </w:r>
    </w:p>
    <w:p>
      <w:pPr>
        <w:pStyle w:val="7"/>
        <w:spacing w:before="0" w:beforeAutospacing="0" w:after="0" w:afterAutospacing="0" w:line="360" w:lineRule="auto"/>
        <w:ind w:firstLine="420"/>
        <w:rPr>
          <w:sz w:val="21"/>
          <w:szCs w:val="21"/>
        </w:rPr>
      </w:pPr>
      <w:r>
        <w:rPr>
          <w:rFonts w:hint="eastAsia"/>
          <w:sz w:val="21"/>
          <w:szCs w:val="21"/>
        </w:rPr>
        <w:t>基金管理人应每个工作日对基金资产估值。估值原则应符合《基金合同》、《证券投资基金会计核算业务指引》及其他法律、法规的规定。基金资产净值和基金份额净值由基金管理人负责计算，基金托管人复核。基金管理人应于每个工作日交易结束后计算当日的基金资产净值与基金份额资产净值，并以双方认可的方式发送给基金托管人。基金托管人对净值计算结果复核后以双方认可的方式发送给基金管理人，由基金管理人对基金净值予以公布。</w:t>
      </w:r>
    </w:p>
    <w:p>
      <w:pPr>
        <w:pStyle w:val="7"/>
        <w:spacing w:before="0" w:beforeAutospacing="0" w:after="0" w:afterAutospacing="0" w:line="360" w:lineRule="auto"/>
        <w:ind w:firstLine="420"/>
        <w:rPr>
          <w:sz w:val="21"/>
          <w:szCs w:val="21"/>
        </w:rPr>
      </w:pPr>
      <w:r>
        <w:rPr>
          <w:rFonts w:hint="eastAsia"/>
          <w:sz w:val="21"/>
          <w:szCs w:val="21"/>
        </w:rPr>
        <w:t>根据《基金法》，基金管理人计算并公告基金净值信息，基金托管人复核、审查基金管理人计算的基金净值信息。因此，本基金的会计责任方是基金管理人，就与本基金有关的会计问题，如经相关各方在平等基础上充分讨论后，仍无法达成一致的意见，按照基金管理人对基金资产净值的计算结果对外予以公布。法律法规以及监管部门有强制规定的，从其规定。如有新增事项，按国家最新规定估值。基金托管人对未达成一致意见的基金净值计算结果不承担任何责任，由此给基金份额持有人和基金造成的损失以及因该交易日基金资产净值计算顺延而引起的损失，由基金管理人负责赔付。</w:t>
      </w:r>
    </w:p>
    <w:p>
      <w:pPr>
        <w:pStyle w:val="7"/>
        <w:spacing w:before="0" w:beforeAutospacing="0" w:after="0" w:afterAutospacing="0" w:line="360" w:lineRule="auto"/>
        <w:ind w:firstLine="420"/>
        <w:rPr>
          <w:sz w:val="21"/>
          <w:szCs w:val="21"/>
        </w:rPr>
      </w:pPr>
      <w:r>
        <w:rPr>
          <w:rFonts w:hint="eastAsia"/>
          <w:sz w:val="21"/>
          <w:szCs w:val="21"/>
        </w:rPr>
        <w:t>（二）基金资产估值方法</w:t>
      </w:r>
    </w:p>
    <w:p>
      <w:pPr>
        <w:pStyle w:val="7"/>
        <w:spacing w:before="0" w:beforeAutospacing="0" w:after="0" w:afterAutospacing="0" w:line="360" w:lineRule="auto"/>
        <w:ind w:firstLine="420"/>
        <w:rPr>
          <w:sz w:val="21"/>
          <w:szCs w:val="21"/>
        </w:rPr>
      </w:pPr>
      <w:r>
        <w:rPr>
          <w:rFonts w:hint="eastAsia"/>
          <w:sz w:val="21"/>
          <w:szCs w:val="21"/>
        </w:rPr>
        <w:t>1、估值对象</w:t>
      </w:r>
    </w:p>
    <w:p>
      <w:pPr>
        <w:pStyle w:val="7"/>
        <w:spacing w:before="0" w:beforeAutospacing="0" w:after="0" w:afterAutospacing="0" w:line="360" w:lineRule="auto"/>
        <w:ind w:firstLine="420"/>
        <w:rPr>
          <w:sz w:val="21"/>
          <w:szCs w:val="21"/>
        </w:rPr>
      </w:pPr>
      <w:r>
        <w:rPr>
          <w:rFonts w:hint="eastAsia"/>
          <w:sz w:val="21"/>
          <w:szCs w:val="21"/>
        </w:rPr>
        <w:t>基金所拥有的股票（含存托凭证）、债券、股指期货合约、国债期货合约、股票期权合约和银行存款本息、应收款项、资产支持证券、其它投资等资产及负债。</w:t>
      </w:r>
    </w:p>
    <w:p>
      <w:pPr>
        <w:pStyle w:val="7"/>
        <w:spacing w:before="0" w:beforeAutospacing="0" w:after="0" w:afterAutospacing="0" w:line="360" w:lineRule="auto"/>
        <w:ind w:firstLine="420"/>
        <w:rPr>
          <w:sz w:val="21"/>
          <w:szCs w:val="21"/>
        </w:rPr>
      </w:pPr>
      <w:r>
        <w:rPr>
          <w:rFonts w:hint="eastAsia"/>
          <w:sz w:val="21"/>
          <w:szCs w:val="21"/>
        </w:rPr>
        <w:t>2、估值方法</w:t>
      </w:r>
    </w:p>
    <w:p>
      <w:pPr>
        <w:pStyle w:val="7"/>
        <w:spacing w:before="0" w:beforeAutospacing="0" w:after="0" w:afterAutospacing="0" w:line="360" w:lineRule="auto"/>
        <w:ind w:firstLine="420"/>
        <w:rPr>
          <w:sz w:val="21"/>
          <w:szCs w:val="21"/>
        </w:rPr>
      </w:pPr>
      <w:r>
        <w:rPr>
          <w:rFonts w:hint="eastAsia"/>
          <w:sz w:val="21"/>
          <w:szCs w:val="21"/>
        </w:rPr>
        <w:t>本基金的估值方法为：</w:t>
      </w:r>
    </w:p>
    <w:p>
      <w:pPr>
        <w:pStyle w:val="7"/>
        <w:spacing w:before="0" w:beforeAutospacing="0" w:after="0" w:afterAutospacing="0" w:line="360" w:lineRule="auto"/>
        <w:ind w:firstLine="420"/>
        <w:rPr>
          <w:sz w:val="21"/>
          <w:szCs w:val="21"/>
        </w:rPr>
      </w:pPr>
      <w:r>
        <w:rPr>
          <w:rFonts w:hint="eastAsia"/>
          <w:sz w:val="21"/>
          <w:szCs w:val="21"/>
        </w:rPr>
        <w:t>（1）交易所上市或挂牌转让的有价证券（包括股票等，基金合同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pPr>
        <w:pStyle w:val="7"/>
        <w:spacing w:before="0" w:beforeAutospacing="0" w:after="0" w:afterAutospacing="0" w:line="360" w:lineRule="auto"/>
        <w:ind w:firstLine="420"/>
        <w:rPr>
          <w:sz w:val="21"/>
          <w:szCs w:val="21"/>
        </w:rPr>
      </w:pPr>
      <w:r>
        <w:rPr>
          <w:rFonts w:hint="eastAsia"/>
          <w:sz w:val="21"/>
          <w:szCs w:val="21"/>
        </w:rPr>
        <w:t>（2）对于已上市或已挂牌转让的不含权固定收益品种，选取估值日第三方估值基准服务机构提供的相应品种当日的估值全价进行估值。</w:t>
      </w:r>
    </w:p>
    <w:p>
      <w:pPr>
        <w:pStyle w:val="7"/>
        <w:spacing w:before="0" w:beforeAutospacing="0" w:after="0" w:afterAutospacing="0" w:line="360" w:lineRule="auto"/>
        <w:ind w:firstLine="420"/>
        <w:rPr>
          <w:sz w:val="21"/>
          <w:szCs w:val="21"/>
        </w:rPr>
      </w:pPr>
      <w:r>
        <w:rPr>
          <w:rFonts w:hint="eastAsia"/>
          <w:sz w:val="21"/>
          <w:szCs w:val="21"/>
        </w:rPr>
        <w:t>（3）对于已上市或已挂牌转让的含权固定收益品种，选取估值日第三方估值基准服务机构提供的相应品种当日的唯一估值全价或推荐估值全价进行估值。</w:t>
      </w:r>
    </w:p>
    <w:p>
      <w:pPr>
        <w:pStyle w:val="7"/>
        <w:spacing w:before="0" w:beforeAutospacing="0" w:after="0" w:afterAutospacing="0" w:line="360" w:lineRule="auto"/>
        <w:ind w:firstLine="420"/>
        <w:rPr>
          <w:sz w:val="21"/>
          <w:szCs w:val="21"/>
        </w:rPr>
      </w:pPr>
      <w:r>
        <w:rPr>
          <w:rFonts w:hint="eastAsia"/>
          <w:sz w:val="21"/>
          <w:szCs w:val="21"/>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pPr>
        <w:pStyle w:val="7"/>
        <w:spacing w:before="0" w:beforeAutospacing="0" w:after="0" w:afterAutospacing="0" w:line="360" w:lineRule="auto"/>
        <w:ind w:firstLine="420"/>
        <w:rPr>
          <w:sz w:val="21"/>
          <w:szCs w:val="21"/>
        </w:rPr>
      </w:pPr>
      <w:r>
        <w:rPr>
          <w:rFonts w:hint="eastAsia"/>
          <w:sz w:val="21"/>
          <w:szCs w:val="21"/>
        </w:rPr>
        <w:t>（4）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pPr>
        <w:pStyle w:val="7"/>
        <w:spacing w:before="0" w:beforeAutospacing="0" w:after="0" w:afterAutospacing="0" w:line="360" w:lineRule="auto"/>
        <w:ind w:firstLine="420"/>
        <w:rPr>
          <w:sz w:val="21"/>
          <w:szCs w:val="21"/>
        </w:rPr>
      </w:pPr>
      <w:r>
        <w:rPr>
          <w:rFonts w:hint="eastAsia"/>
          <w:sz w:val="21"/>
          <w:szCs w:val="21"/>
        </w:rPr>
        <w:t>（5）对于未上市或未挂牌转让且不存在活跃市场的固定收益品种，应采用在当前情况下适用并且有足够可利用数据和其他信息支持的估值技术确定其公允价值。</w:t>
      </w:r>
    </w:p>
    <w:p>
      <w:pPr>
        <w:pStyle w:val="7"/>
        <w:spacing w:before="0" w:beforeAutospacing="0" w:after="0" w:afterAutospacing="0" w:line="360" w:lineRule="auto"/>
        <w:ind w:firstLine="420"/>
        <w:rPr>
          <w:sz w:val="21"/>
          <w:szCs w:val="21"/>
        </w:rPr>
      </w:pPr>
      <w:r>
        <w:rPr>
          <w:rFonts w:hint="eastAsia"/>
          <w:sz w:val="21"/>
          <w:szCs w:val="21"/>
        </w:rPr>
        <w:t>（6）处于未上市期间的有价证券应区分如下情况处理：</w:t>
      </w:r>
    </w:p>
    <w:p>
      <w:pPr>
        <w:pStyle w:val="7"/>
        <w:spacing w:before="0" w:beforeAutospacing="0" w:after="0" w:afterAutospacing="0" w:line="360" w:lineRule="auto"/>
        <w:ind w:firstLine="420"/>
        <w:rPr>
          <w:sz w:val="21"/>
          <w:szCs w:val="21"/>
        </w:rPr>
      </w:pPr>
      <w:r>
        <w:rPr>
          <w:rFonts w:hint="eastAsia"/>
          <w:sz w:val="21"/>
          <w:szCs w:val="21"/>
        </w:rPr>
        <w:t>1）送股、转增股、配股和公开增发的新股，按估值日在证券交易所挂牌的同一股票的估值方法估值；该日无交易的，以最近一日的市价（收盘价）估值；</w:t>
      </w:r>
    </w:p>
    <w:p>
      <w:pPr>
        <w:pStyle w:val="7"/>
        <w:spacing w:before="0" w:beforeAutospacing="0" w:after="0" w:afterAutospacing="0" w:line="360" w:lineRule="auto"/>
        <w:ind w:firstLine="420"/>
        <w:rPr>
          <w:sz w:val="21"/>
          <w:szCs w:val="21"/>
        </w:rPr>
      </w:pPr>
      <w:r>
        <w:rPr>
          <w:rFonts w:hint="eastAsia"/>
          <w:sz w:val="21"/>
          <w:szCs w:val="21"/>
        </w:rPr>
        <w:t>2）首次公开发行未上市的股票，采用估值技术确定公允价值，在估值技术难以可靠计量公允价值的情况下，按成本估值；</w:t>
      </w:r>
    </w:p>
    <w:p>
      <w:pPr>
        <w:pStyle w:val="7"/>
        <w:spacing w:before="0" w:beforeAutospacing="0" w:after="0" w:afterAutospacing="0" w:line="360" w:lineRule="auto"/>
        <w:ind w:firstLine="420"/>
        <w:rPr>
          <w:sz w:val="21"/>
          <w:szCs w:val="21"/>
        </w:rPr>
      </w:pPr>
      <w:r>
        <w:rPr>
          <w:rFonts w:hint="eastAsia"/>
          <w:sz w:val="21"/>
          <w:szCs w:val="21"/>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pPr>
        <w:pStyle w:val="7"/>
        <w:spacing w:before="0" w:beforeAutospacing="0" w:after="0" w:afterAutospacing="0" w:line="360" w:lineRule="auto"/>
        <w:ind w:firstLine="420"/>
        <w:rPr>
          <w:sz w:val="21"/>
          <w:szCs w:val="21"/>
        </w:rPr>
      </w:pPr>
      <w:r>
        <w:rPr>
          <w:rFonts w:hint="eastAsia"/>
          <w:sz w:val="21"/>
          <w:szCs w:val="21"/>
        </w:rPr>
        <w:t>（7）本基金投资存托凭证的估值核算，依照境内上市交易的股票执行。</w:t>
      </w:r>
    </w:p>
    <w:p>
      <w:pPr>
        <w:pStyle w:val="7"/>
        <w:spacing w:before="0" w:beforeAutospacing="0" w:after="0" w:afterAutospacing="0" w:line="360" w:lineRule="auto"/>
        <w:ind w:firstLine="420"/>
        <w:rPr>
          <w:sz w:val="21"/>
          <w:szCs w:val="21"/>
        </w:rPr>
      </w:pPr>
      <w:r>
        <w:rPr>
          <w:rFonts w:hint="eastAsia"/>
          <w:sz w:val="21"/>
          <w:szCs w:val="21"/>
        </w:rPr>
        <w:t>（8）同一证券同时在两个或两个以上市场交易的，按证券所处的市场分别估值。</w:t>
      </w:r>
    </w:p>
    <w:p>
      <w:pPr>
        <w:pStyle w:val="7"/>
        <w:spacing w:before="0" w:beforeAutospacing="0" w:after="0" w:afterAutospacing="0" w:line="360" w:lineRule="auto"/>
        <w:ind w:firstLine="420"/>
        <w:rPr>
          <w:sz w:val="21"/>
          <w:szCs w:val="21"/>
        </w:rPr>
      </w:pPr>
      <w:r>
        <w:rPr>
          <w:rFonts w:hint="eastAsia"/>
          <w:sz w:val="21"/>
          <w:szCs w:val="21"/>
        </w:rPr>
        <w:t>（9）本基金投资股指期货、国债期货合约，一般以估值当日结算价确定公允价值，估值当日无结算价的，且最近交易日后未发生影响公允价值计量的重大事件的，采用最近交易日结算价估值。</w:t>
      </w:r>
    </w:p>
    <w:p>
      <w:pPr>
        <w:pStyle w:val="7"/>
        <w:spacing w:before="0" w:beforeAutospacing="0" w:after="0" w:afterAutospacing="0" w:line="360" w:lineRule="auto"/>
        <w:ind w:firstLine="420"/>
        <w:rPr>
          <w:sz w:val="21"/>
          <w:szCs w:val="21"/>
        </w:rPr>
      </w:pPr>
      <w:r>
        <w:rPr>
          <w:rFonts w:hint="eastAsia"/>
          <w:sz w:val="21"/>
          <w:szCs w:val="21"/>
        </w:rPr>
        <w:t>（10）本基金投资股票期权，根据相关法律法规以及监管部门的规定估值。</w:t>
      </w:r>
    </w:p>
    <w:p>
      <w:pPr>
        <w:pStyle w:val="7"/>
        <w:spacing w:before="0" w:beforeAutospacing="0" w:after="0" w:afterAutospacing="0" w:line="360" w:lineRule="auto"/>
        <w:ind w:firstLine="420"/>
        <w:rPr>
          <w:sz w:val="21"/>
          <w:szCs w:val="21"/>
        </w:rPr>
      </w:pPr>
      <w:r>
        <w:rPr>
          <w:rFonts w:hint="eastAsia"/>
          <w:sz w:val="21"/>
          <w:szCs w:val="21"/>
        </w:rPr>
        <w:t>（11）本基金参与融资及转融通证券出借业务的，应参照法律法规及行业协会的相关规定进行估值。</w:t>
      </w:r>
    </w:p>
    <w:p>
      <w:pPr>
        <w:pStyle w:val="7"/>
        <w:spacing w:before="0" w:beforeAutospacing="0" w:after="0" w:afterAutospacing="0" w:line="360" w:lineRule="auto"/>
        <w:ind w:firstLine="420"/>
        <w:rPr>
          <w:sz w:val="21"/>
          <w:szCs w:val="21"/>
        </w:rPr>
      </w:pPr>
      <w:r>
        <w:rPr>
          <w:rFonts w:hint="eastAsia"/>
          <w:sz w:val="21"/>
          <w:szCs w:val="21"/>
        </w:rPr>
        <w:t>（12）如有确凿证据表明按上述方法进行估值不能客观反映其公允价值的，基金管理人可根据具体情况与基金托管人商定后，按最能反映公允价值的方法估值。</w:t>
      </w:r>
    </w:p>
    <w:p>
      <w:pPr>
        <w:pStyle w:val="7"/>
        <w:spacing w:before="0" w:beforeAutospacing="0" w:after="0" w:afterAutospacing="0" w:line="360" w:lineRule="auto"/>
        <w:ind w:firstLine="420"/>
        <w:rPr>
          <w:sz w:val="21"/>
          <w:szCs w:val="21"/>
        </w:rPr>
      </w:pPr>
      <w:r>
        <w:rPr>
          <w:rFonts w:hint="eastAsia"/>
          <w:sz w:val="21"/>
          <w:szCs w:val="21"/>
        </w:rPr>
        <w:t>（13）相关法律法规以及监管部门有强制规定的，从其规定。如有新增事项，按国家最新规定估值。</w:t>
      </w:r>
    </w:p>
    <w:p>
      <w:pPr>
        <w:pStyle w:val="7"/>
        <w:spacing w:before="0" w:beforeAutospacing="0" w:after="0" w:afterAutospacing="0" w:line="360" w:lineRule="auto"/>
        <w:ind w:firstLine="420"/>
        <w:rPr>
          <w:sz w:val="21"/>
          <w:szCs w:val="21"/>
        </w:rPr>
      </w:pPr>
      <w:r>
        <w:rPr>
          <w:rFonts w:hint="eastAsia"/>
          <w:sz w:val="21"/>
          <w:szCs w:val="21"/>
        </w:rPr>
        <w:t>如基金管理人或基金托管人发现基金估值违反基金合同订明的估值方法、程序及相关法律法规的规定或者未能充分维护基金份额持有人利益时，应立即通知对方，共同查明原因，双方协商解决。</w:t>
      </w:r>
    </w:p>
    <w:p>
      <w:pPr>
        <w:pStyle w:val="7"/>
        <w:spacing w:before="0" w:beforeAutospacing="0" w:after="0" w:afterAutospacing="0" w:line="360" w:lineRule="auto"/>
        <w:ind w:firstLine="420"/>
        <w:rPr>
          <w:sz w:val="21"/>
          <w:szCs w:val="21"/>
        </w:rPr>
      </w:pPr>
      <w:r>
        <w:rPr>
          <w:rFonts w:hint="eastAsia"/>
          <w:sz w:val="21"/>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pPr>
        <w:pStyle w:val="7"/>
        <w:spacing w:before="0" w:beforeAutospacing="0" w:after="0" w:afterAutospacing="0" w:line="360" w:lineRule="auto"/>
        <w:ind w:firstLine="420"/>
        <w:rPr>
          <w:sz w:val="21"/>
          <w:szCs w:val="21"/>
        </w:rPr>
      </w:pPr>
      <w:r>
        <w:rPr>
          <w:rFonts w:hint="eastAsia"/>
          <w:sz w:val="21"/>
          <w:szCs w:val="21"/>
        </w:rPr>
        <w:t>（三）估值差错处理</w:t>
      </w:r>
    </w:p>
    <w:p>
      <w:pPr>
        <w:pStyle w:val="7"/>
        <w:spacing w:before="0" w:beforeAutospacing="0" w:after="0" w:afterAutospacing="0" w:line="360" w:lineRule="auto"/>
        <w:ind w:firstLine="420"/>
        <w:rPr>
          <w:sz w:val="21"/>
          <w:szCs w:val="21"/>
        </w:rPr>
      </w:pPr>
      <w:r>
        <w:rPr>
          <w:rFonts w:hint="eastAsia"/>
          <w:sz w:val="21"/>
          <w:szCs w:val="21"/>
        </w:rPr>
        <w:t>因基金估值错误给投资者造成损失的应先由基金管理人承担，基金管理人对不应由其承担的责任，有权向过错人追偿。</w:t>
      </w:r>
    </w:p>
    <w:p>
      <w:pPr>
        <w:pStyle w:val="7"/>
        <w:spacing w:before="0" w:beforeAutospacing="0" w:after="0" w:afterAutospacing="0" w:line="360" w:lineRule="auto"/>
        <w:ind w:firstLine="420"/>
        <w:rPr>
          <w:sz w:val="21"/>
          <w:szCs w:val="21"/>
        </w:rPr>
      </w:pPr>
      <w:r>
        <w:rPr>
          <w:rFonts w:hint="eastAsia"/>
          <w:sz w:val="21"/>
          <w:szCs w:val="21"/>
        </w:rPr>
        <w:t>当基金管理人计算的基金资产净值、基金份额净值已由基金托管人复核确认后公告的，由此造成的投资者或基金的损失，应根据法律法规的规定对投资者或基金支付赔偿金，就实际向投资者或基金支付的赔偿金额，由基金管理人与基金托管人按照管理费率和托管费率的比例各自承担相应的责任。</w:t>
      </w:r>
    </w:p>
    <w:p>
      <w:pPr>
        <w:pStyle w:val="7"/>
        <w:spacing w:before="0" w:beforeAutospacing="0" w:after="0" w:afterAutospacing="0" w:line="360" w:lineRule="auto"/>
        <w:ind w:firstLine="420"/>
        <w:rPr>
          <w:sz w:val="21"/>
          <w:szCs w:val="21"/>
        </w:rPr>
      </w:pPr>
      <w:r>
        <w:rPr>
          <w:rFonts w:hint="eastAsia"/>
          <w:sz w:val="21"/>
          <w:szCs w:val="21"/>
        </w:rPr>
        <w:t>由于一方当事人提供的信息错误，另一方当事人在采取了必要合理的措施后仍不能发现该错误，进而导致基金资产净值、基金份额净值计算错误造成投资者或基金的损失，以及由此造成以后交易日基金资产净值、基金份额净值计算顺延错误而引起的投资者或基金的损失，由提供错误信息的当事人一方负责赔偿。</w:t>
      </w:r>
    </w:p>
    <w:p>
      <w:pPr>
        <w:pStyle w:val="7"/>
        <w:spacing w:before="0" w:beforeAutospacing="0" w:after="0" w:afterAutospacing="0" w:line="360" w:lineRule="auto"/>
        <w:ind w:firstLine="420"/>
        <w:rPr>
          <w:sz w:val="21"/>
          <w:szCs w:val="21"/>
        </w:rPr>
      </w:pPr>
      <w:r>
        <w:rPr>
          <w:rFonts w:hint="eastAsia"/>
          <w:sz w:val="21"/>
          <w:szCs w:val="21"/>
        </w:rPr>
        <w:t>基金管理人或基金托管人按估值方法的第（12）项进行估值时，所造成的误差不作为基金资产估值错误处理。</w:t>
      </w:r>
    </w:p>
    <w:p>
      <w:pPr>
        <w:pStyle w:val="7"/>
        <w:spacing w:before="0" w:beforeAutospacing="0" w:after="0" w:afterAutospacing="0" w:line="360" w:lineRule="auto"/>
        <w:ind w:firstLine="420"/>
        <w:rPr>
          <w:sz w:val="21"/>
          <w:szCs w:val="21"/>
        </w:rPr>
      </w:pPr>
      <w:r>
        <w:rPr>
          <w:rFonts w:hint="eastAsia"/>
          <w:sz w:val="21"/>
          <w:szCs w:val="21"/>
        </w:rPr>
        <w:t>由于不可抗力原因，或证券/期货交易所、指数编制机构及登记结算公司、证券、期货经营机构等机构发送的数据错误、遗漏等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w:t>
      </w:r>
    </w:p>
    <w:p>
      <w:pPr>
        <w:pStyle w:val="7"/>
        <w:spacing w:before="0" w:beforeAutospacing="0" w:after="0" w:afterAutospacing="0" w:line="360" w:lineRule="auto"/>
        <w:ind w:firstLine="420"/>
        <w:rPr>
          <w:sz w:val="21"/>
          <w:szCs w:val="21"/>
        </w:rPr>
      </w:pPr>
      <w:r>
        <w:rPr>
          <w:rFonts w:hint="eastAsia"/>
          <w:sz w:val="21"/>
          <w:szCs w:val="21"/>
        </w:rPr>
        <w:t>当基金管理人计算的基金净值信息与基金托管人的计算结果不一致时，相关各方应本着勤勉尽责的态度重新计算核对，如果最后仍无法达成一致，应以基金管理人的计算结果为准对外公布，由此造成的损失以及因该交易日基金净值信息计算顺延错误而引起的损失由基金管理人承担赔偿责任，基金托管人不负赔偿责任。</w:t>
      </w:r>
    </w:p>
    <w:p>
      <w:pPr>
        <w:pStyle w:val="7"/>
        <w:spacing w:before="0" w:beforeAutospacing="0" w:after="0" w:afterAutospacing="0" w:line="360" w:lineRule="auto"/>
        <w:ind w:firstLine="420"/>
        <w:rPr>
          <w:sz w:val="21"/>
          <w:szCs w:val="21"/>
        </w:rPr>
      </w:pPr>
      <w:r>
        <w:rPr>
          <w:rFonts w:hint="eastAsia"/>
          <w:sz w:val="21"/>
          <w:szCs w:val="21"/>
        </w:rPr>
        <w:t>（四）基金账册的建立</w:t>
      </w:r>
    </w:p>
    <w:p>
      <w:pPr>
        <w:pStyle w:val="7"/>
        <w:spacing w:before="0" w:beforeAutospacing="0" w:after="0" w:afterAutospacing="0" w:line="360" w:lineRule="auto"/>
        <w:ind w:firstLine="420"/>
        <w:rPr>
          <w:sz w:val="21"/>
          <w:szCs w:val="21"/>
        </w:rPr>
      </w:pPr>
      <w:r>
        <w:rPr>
          <w:rFonts w:hint="eastAsia"/>
          <w:sz w:val="21"/>
          <w:szCs w:val="21"/>
        </w:rPr>
        <w:t>基金管理人和基金托管人在《基金合同》生效后，应按照相关各方约定的同一记账方法和会计处理原则，分别独立地设置、登录和保管本基金的全套账册，对相关各方各自的账册定期进行核对，互相监督，以保证基金资产的安全。若双方对会计处理方法存在分歧，应以基金管理人的处理方法为准。</w:t>
      </w:r>
    </w:p>
    <w:p>
      <w:pPr>
        <w:pStyle w:val="7"/>
        <w:spacing w:before="0" w:beforeAutospacing="0" w:after="0" w:afterAutospacing="0" w:line="360" w:lineRule="auto"/>
        <w:ind w:firstLine="420"/>
        <w:rPr>
          <w:sz w:val="21"/>
          <w:szCs w:val="21"/>
        </w:rPr>
      </w:pPr>
      <w:r>
        <w:rPr>
          <w:rFonts w:hint="eastAsia"/>
          <w:sz w:val="21"/>
          <w:szCs w:val="21"/>
        </w:rPr>
        <w:t>经对账发现相关各方的账目存在不符的，基金管理人和基金托管人必须及时查明原因并纠正，保证相关各方平行登录的账册记录完全相符。若当日核对不符，暂时无法查找到错账的原因而影响到基金净值信息的计算和公告的，以基金管理人的账册为准。</w:t>
      </w:r>
    </w:p>
    <w:p>
      <w:pPr>
        <w:pStyle w:val="7"/>
        <w:spacing w:before="0" w:beforeAutospacing="0" w:after="0" w:afterAutospacing="0" w:line="360" w:lineRule="auto"/>
        <w:ind w:firstLine="420"/>
        <w:rPr>
          <w:sz w:val="21"/>
          <w:szCs w:val="21"/>
        </w:rPr>
      </w:pPr>
      <w:r>
        <w:rPr>
          <w:rFonts w:hint="eastAsia"/>
          <w:sz w:val="21"/>
          <w:szCs w:val="21"/>
        </w:rPr>
        <w:t>（五）基金招募说明书、定期报告的编制和复核</w:t>
      </w:r>
    </w:p>
    <w:p>
      <w:pPr>
        <w:pStyle w:val="7"/>
        <w:spacing w:before="0" w:beforeAutospacing="0" w:after="0" w:afterAutospacing="0" w:line="360" w:lineRule="auto"/>
        <w:ind w:firstLine="420"/>
        <w:rPr>
          <w:sz w:val="21"/>
          <w:szCs w:val="21"/>
        </w:rPr>
      </w:pPr>
      <w:r>
        <w:rPr>
          <w:rFonts w:hint="eastAsia"/>
          <w:sz w:val="21"/>
          <w:szCs w:val="21"/>
        </w:rPr>
        <w:t>基金财务报表由基金管理人和基金托管人每月分别独立编制。月度报表的编制，应于每月终了后5个工作日内完成。</w:t>
      </w:r>
    </w:p>
    <w:p>
      <w:pPr>
        <w:pStyle w:val="7"/>
        <w:spacing w:before="0" w:beforeAutospacing="0" w:after="0" w:afterAutospacing="0" w:line="360" w:lineRule="auto"/>
        <w:ind w:firstLine="420"/>
        <w:rPr>
          <w:sz w:val="21"/>
          <w:szCs w:val="21"/>
        </w:rPr>
      </w:pPr>
      <w:r>
        <w:rPr>
          <w:rFonts w:hint="eastAsia"/>
          <w:sz w:val="21"/>
          <w:szCs w:val="21"/>
        </w:rPr>
        <w:t>在《基金合同》生效后，基金招募说明书、基金产品资料概要的信息发生重大变更的，基金管理人应当在三个工作日内，更新基金的招募说明书、基金产品资料概要并登载在规定网站上，基金产品资料概要还应同时登载在基金销售机构网站或营业网点；基金招募说明书、基金产品资料概要其他信息发生变更的，基金管理人至少每年更新一次。基金终止运作的，基金管理人不再更新招募说明书、基金产品资料概要。基金管理人在每季度结束之日起15个工作日内完成季度报告编制并公告；在上半年结束之日起两个月内完成中期报告编制并公告；在会计年度结束之日起三个月内完成年度报告编制并公告。《基金合同》生效不足2个月的，基金管理人可以不编制当期季度报告、中期报告或者年度报告。</w:t>
      </w:r>
    </w:p>
    <w:p>
      <w:pPr>
        <w:pStyle w:val="7"/>
        <w:spacing w:before="0" w:beforeAutospacing="0" w:after="0" w:afterAutospacing="0" w:line="360" w:lineRule="auto"/>
        <w:ind w:firstLine="420"/>
        <w:rPr>
          <w:sz w:val="21"/>
          <w:szCs w:val="21"/>
        </w:rPr>
      </w:pPr>
      <w:r>
        <w:rPr>
          <w:rFonts w:hint="eastAsia"/>
          <w:sz w:val="21"/>
          <w:szCs w:val="21"/>
        </w:rPr>
        <w:t>基金管理人在5个工作日内完成月度报告，在月度报告完成当日，将有关报告提供基金托管人复核；基金托管人在3个工作日内进行复核，并将复核结果及时书面通知基金管理人。基金管理人在7个工作日内完成季度报告，在季度报告完成当日，将有关报告提供基金托管人复核，基金托管人在收到后7个工作日内进行复核，并将复核结果书面通知基金管理人。基金管理人在一个月内完成中期报告，在中期报告完成当日，将有关报告提供基金托管人复核，基金托管人在收到后一个月内进行复核，并将复核结果书面通知基金管理人。基金管理人在一个半月内完成年度报告，在年度报告完成当日，将有关报告提供基金托管人复核，基金托管人在收到后一个半月内复核，并将复核结果书面通知基金管理人。</w:t>
      </w:r>
    </w:p>
    <w:p>
      <w:pPr>
        <w:pStyle w:val="7"/>
        <w:spacing w:before="0" w:beforeAutospacing="0" w:after="0" w:afterAutospacing="0" w:line="360" w:lineRule="auto"/>
        <w:ind w:firstLine="420"/>
        <w:rPr>
          <w:sz w:val="21"/>
          <w:szCs w:val="21"/>
        </w:rPr>
      </w:pPr>
      <w:r>
        <w:rPr>
          <w:rFonts w:hint="eastAsia"/>
          <w:sz w:val="21"/>
          <w:szCs w:val="21"/>
        </w:rPr>
        <w:t>基金托管人在复核过程中，发现相关各方的报表存在不符时，基金管理人和基金托管人应共同查明原因，进行调整，调整以相关各方认可的账务处理方式为准。核对无误后，基金托管人在基金管理人提供的报告上加盖业务印鉴或者出具加盖托管业务部门公章的复核意见书或进行电子确认，相关各方各自留存一份。如果基金管理人与基金托管人不能于应当发布公告之日之前就相关报表达成一致，基金管理人有权按照其编制的报表对外发布公告，基金托管人有权就相关情况报证监会备案。</w:t>
      </w:r>
    </w:p>
    <w:p>
      <w:pPr>
        <w:pStyle w:val="7"/>
        <w:spacing w:before="0" w:beforeAutospacing="0" w:after="0" w:afterAutospacing="0" w:line="360" w:lineRule="auto"/>
        <w:ind w:firstLine="420"/>
        <w:rPr>
          <w:sz w:val="21"/>
          <w:szCs w:val="21"/>
        </w:rPr>
      </w:pPr>
      <w:r>
        <w:rPr>
          <w:rFonts w:hint="eastAsia"/>
          <w:sz w:val="21"/>
          <w:szCs w:val="21"/>
        </w:rPr>
        <w:t>基金托管人在对财务会计报告、季度报告、中期报告或年度报告复核完毕后，需盖章确认或出具相应的复核确认书或进行电子确认，以备有权机构对相关文件审核时提示。</w:t>
      </w:r>
    </w:p>
    <w:p>
      <w:pPr>
        <w:pStyle w:val="7"/>
        <w:spacing w:before="0" w:beforeAutospacing="0" w:after="0" w:afterAutospacing="0" w:line="360" w:lineRule="auto"/>
        <w:ind w:firstLine="420"/>
        <w:rPr>
          <w:sz w:val="21"/>
          <w:szCs w:val="21"/>
        </w:rPr>
      </w:pPr>
      <w:r>
        <w:rPr>
          <w:rStyle w:val="11"/>
          <w:rFonts w:hint="eastAsia"/>
          <w:sz w:val="21"/>
          <w:szCs w:val="21"/>
        </w:rPr>
        <w:t>六、基金份额持有人名册的保管</w:t>
      </w:r>
    </w:p>
    <w:p>
      <w:pPr>
        <w:pStyle w:val="7"/>
        <w:spacing w:before="0" w:beforeAutospacing="0" w:after="0" w:afterAutospacing="0" w:line="360" w:lineRule="auto"/>
        <w:ind w:firstLine="420"/>
        <w:rPr>
          <w:sz w:val="21"/>
          <w:szCs w:val="21"/>
        </w:rPr>
      </w:pPr>
      <w:r>
        <w:rPr>
          <w:rFonts w:hint="eastAsia"/>
          <w:sz w:val="21"/>
          <w:szCs w:val="21"/>
        </w:rPr>
        <w:t>基金管理人和基金托管人须分别妥善保管的基金份额持有人名册，包括《基金合同》生效日、《基金合同》终止日、基金份额持有人大会权益登记日、每年6月30日、12月31日的基金份额持有人名册。基金份额持有人名册的内容必须包括基金份额持有人的名称和持有的基金份额。</w:t>
      </w:r>
    </w:p>
    <w:p>
      <w:pPr>
        <w:pStyle w:val="7"/>
        <w:spacing w:before="0" w:beforeAutospacing="0" w:after="0" w:afterAutospacing="0" w:line="360" w:lineRule="auto"/>
        <w:ind w:firstLine="420"/>
        <w:rPr>
          <w:sz w:val="21"/>
          <w:szCs w:val="21"/>
        </w:rPr>
      </w:pPr>
      <w:r>
        <w:rPr>
          <w:rFonts w:hint="eastAsia"/>
          <w:sz w:val="21"/>
          <w:szCs w:val="21"/>
        </w:rPr>
        <w:t>基金份额持有人名册由基金的基金注册登记机构根据基金管理人的指令编制和保管，基金管理人和基金托管人应按照目前相关规则分别保管基金份额持有人名册。保管方式可以采用电子或文档的形式。基金份额登记机构的保存期限不少于法律法规规定的最低年限。</w:t>
      </w:r>
    </w:p>
    <w:p>
      <w:pPr>
        <w:pStyle w:val="7"/>
        <w:spacing w:before="0" w:beforeAutospacing="0" w:after="0" w:afterAutospacing="0" w:line="360" w:lineRule="auto"/>
        <w:ind w:firstLine="420"/>
        <w:rPr>
          <w:sz w:val="21"/>
          <w:szCs w:val="21"/>
        </w:rPr>
      </w:pPr>
      <w:r>
        <w:rPr>
          <w:rFonts w:hint="eastAsia"/>
          <w:sz w:val="21"/>
          <w:szCs w:val="21"/>
        </w:rPr>
        <w:t>基金管理人应当及时向基金托管人提交下列日期的基金份额持有人名册：《基金合同》生效日、《基金合同》终止日、基金份额持有人大会权益登记日、每年6月30日、每年12月31日的基金份额持有人名册。基金份额持有人名册的内容必须包括基金份额持有人的名称和持有的基金份额。其中每年12月31日的基金份额持有人名册应于下月前十个工作日内提交；《基金合同》生效日、《基金合同》终止日等涉及到基金重要事项日期的基金份额持有人名册应于发生日后十个工作日内提交。</w:t>
      </w:r>
    </w:p>
    <w:p>
      <w:pPr>
        <w:pStyle w:val="7"/>
        <w:spacing w:before="0" w:beforeAutospacing="0" w:after="0" w:afterAutospacing="0" w:line="360" w:lineRule="auto"/>
        <w:ind w:firstLine="420"/>
        <w:rPr>
          <w:sz w:val="21"/>
          <w:szCs w:val="21"/>
        </w:rPr>
      </w:pPr>
      <w:r>
        <w:rPr>
          <w:rFonts w:hint="eastAsia"/>
          <w:sz w:val="21"/>
          <w:szCs w:val="21"/>
        </w:rPr>
        <w:t>基金托管人以电子版形式妥善保管基金份额持有人名册，并定期刻成光盘备份，保存期限不少于法律法规规定的最低年限。基金托管人不得将所保管的基金份额持有人名册用于基金托管业务以外的其他用途，并应遵守保密义务。</w:t>
      </w:r>
    </w:p>
    <w:p>
      <w:pPr>
        <w:pStyle w:val="7"/>
        <w:spacing w:before="0" w:beforeAutospacing="0" w:after="0" w:afterAutospacing="0" w:line="360" w:lineRule="auto"/>
        <w:ind w:firstLine="420"/>
        <w:rPr>
          <w:sz w:val="21"/>
          <w:szCs w:val="21"/>
        </w:rPr>
      </w:pPr>
      <w:r>
        <w:rPr>
          <w:rFonts w:hint="eastAsia"/>
          <w:sz w:val="21"/>
          <w:szCs w:val="21"/>
        </w:rPr>
        <w:t>若基金管理人或基金托管人由于自身原因无法妥善保管基金份额持有人名册，应按有关法规规定各自承担相应的责任。</w:t>
      </w:r>
    </w:p>
    <w:p>
      <w:pPr>
        <w:pStyle w:val="7"/>
        <w:spacing w:before="0" w:beforeAutospacing="0" w:after="0" w:afterAutospacing="0" w:line="360" w:lineRule="auto"/>
        <w:ind w:firstLine="420"/>
        <w:rPr>
          <w:sz w:val="21"/>
          <w:szCs w:val="21"/>
        </w:rPr>
      </w:pPr>
      <w:r>
        <w:rPr>
          <w:rStyle w:val="11"/>
          <w:rFonts w:hint="eastAsia"/>
          <w:sz w:val="21"/>
          <w:szCs w:val="21"/>
        </w:rPr>
        <w:t>七、争议解决方式</w:t>
      </w:r>
    </w:p>
    <w:p>
      <w:pPr>
        <w:pStyle w:val="7"/>
        <w:spacing w:before="0" w:beforeAutospacing="0" w:after="0" w:afterAutospacing="0" w:line="360" w:lineRule="auto"/>
        <w:ind w:firstLine="420"/>
        <w:rPr>
          <w:sz w:val="21"/>
          <w:szCs w:val="21"/>
        </w:rPr>
      </w:pPr>
      <w:r>
        <w:rPr>
          <w:rFonts w:hint="eastAsia"/>
          <w:sz w:val="21"/>
          <w:szCs w:val="21"/>
        </w:rPr>
        <w:t>双方当事人同意，因本协议而产生的或与本协议有关的一切争议，除经友好协商可以解决的，应提交中国国际经济贸易仲裁委员会，根据该会当时有效的仲裁规则进行仲裁，仲裁的地点在北京市，仲裁裁决是终局性的并对双方均有约束力。除非仲裁裁决另有规定，仲裁费由败诉方承担。</w:t>
      </w:r>
    </w:p>
    <w:p>
      <w:pPr>
        <w:pStyle w:val="7"/>
        <w:spacing w:before="0" w:beforeAutospacing="0" w:after="0" w:afterAutospacing="0" w:line="360" w:lineRule="auto"/>
        <w:ind w:firstLine="420"/>
        <w:rPr>
          <w:sz w:val="21"/>
          <w:szCs w:val="21"/>
        </w:rPr>
      </w:pPr>
      <w:r>
        <w:rPr>
          <w:rFonts w:hint="eastAsia"/>
          <w:sz w:val="21"/>
          <w:szCs w:val="21"/>
        </w:rPr>
        <w:t>争议处理期间，双方当事人应恪守基金管理人和基金托管人职责，继续忠实、勤勉、尽责地履行《基金合同》和本协议约定的义务，维护基金份额持有人的合法权益。</w:t>
      </w:r>
    </w:p>
    <w:p>
      <w:pPr>
        <w:pStyle w:val="7"/>
        <w:spacing w:before="0" w:beforeAutospacing="0" w:after="0" w:afterAutospacing="0" w:line="360" w:lineRule="auto"/>
        <w:ind w:firstLine="420"/>
        <w:rPr>
          <w:sz w:val="21"/>
          <w:szCs w:val="21"/>
        </w:rPr>
      </w:pPr>
      <w:r>
        <w:rPr>
          <w:rFonts w:hint="eastAsia"/>
          <w:sz w:val="21"/>
          <w:szCs w:val="21"/>
        </w:rPr>
        <w:t>本协议受中国法律（为本协议之目的，在此不包括中国香港、中国澳门特别行政区和中国台湾地区法律）管辖并从其解释。</w:t>
      </w:r>
    </w:p>
    <w:p>
      <w:pPr>
        <w:pStyle w:val="7"/>
        <w:spacing w:before="0" w:beforeAutospacing="0" w:after="0" w:afterAutospacing="0" w:line="360" w:lineRule="auto"/>
        <w:ind w:firstLine="420"/>
        <w:rPr>
          <w:sz w:val="21"/>
          <w:szCs w:val="21"/>
        </w:rPr>
      </w:pPr>
      <w:r>
        <w:rPr>
          <w:rStyle w:val="11"/>
          <w:rFonts w:hint="eastAsia"/>
          <w:sz w:val="21"/>
          <w:szCs w:val="21"/>
        </w:rPr>
        <w:t>八、基金托管协议的变更、终止与基金财产的清算</w:t>
      </w:r>
    </w:p>
    <w:p>
      <w:pPr>
        <w:pStyle w:val="7"/>
        <w:spacing w:before="0" w:beforeAutospacing="0" w:after="0" w:afterAutospacing="0" w:line="360" w:lineRule="auto"/>
        <w:ind w:firstLine="420"/>
        <w:rPr>
          <w:sz w:val="21"/>
          <w:szCs w:val="21"/>
        </w:rPr>
      </w:pPr>
      <w:r>
        <w:rPr>
          <w:rFonts w:hint="eastAsia"/>
          <w:sz w:val="21"/>
          <w:szCs w:val="21"/>
        </w:rPr>
        <w:t>（一）托管协议的变更与终止</w:t>
      </w:r>
    </w:p>
    <w:p>
      <w:pPr>
        <w:pStyle w:val="7"/>
        <w:spacing w:before="0" w:beforeAutospacing="0" w:after="0" w:afterAutospacing="0" w:line="360" w:lineRule="auto"/>
        <w:ind w:firstLine="420"/>
        <w:rPr>
          <w:sz w:val="21"/>
          <w:szCs w:val="21"/>
        </w:rPr>
      </w:pPr>
      <w:r>
        <w:rPr>
          <w:rFonts w:hint="eastAsia"/>
          <w:sz w:val="21"/>
          <w:szCs w:val="21"/>
        </w:rPr>
        <w:t>1、托管协议的变更程序</w:t>
      </w:r>
    </w:p>
    <w:p>
      <w:pPr>
        <w:pStyle w:val="7"/>
        <w:spacing w:before="0" w:beforeAutospacing="0" w:after="0" w:afterAutospacing="0" w:line="360" w:lineRule="auto"/>
        <w:ind w:firstLine="420"/>
        <w:rPr>
          <w:sz w:val="21"/>
          <w:szCs w:val="21"/>
        </w:rPr>
      </w:pPr>
      <w:r>
        <w:rPr>
          <w:rFonts w:hint="eastAsia"/>
          <w:sz w:val="21"/>
          <w:szCs w:val="21"/>
        </w:rPr>
        <w:t>本协议双方当事人经协商一致并履行适当程序后，可以对协议的内容进行变更。变更后的托管协议，其内容不得与《基金合同》的约定有任何冲突。</w:t>
      </w:r>
    </w:p>
    <w:p>
      <w:pPr>
        <w:pStyle w:val="7"/>
        <w:spacing w:before="0" w:beforeAutospacing="0" w:after="0" w:afterAutospacing="0" w:line="360" w:lineRule="auto"/>
        <w:ind w:firstLine="420"/>
        <w:rPr>
          <w:sz w:val="21"/>
          <w:szCs w:val="21"/>
        </w:rPr>
      </w:pPr>
      <w:r>
        <w:rPr>
          <w:rFonts w:hint="eastAsia"/>
          <w:sz w:val="21"/>
          <w:szCs w:val="21"/>
        </w:rPr>
        <w:t>2、基金托管协议终止的情形</w:t>
      </w:r>
    </w:p>
    <w:p>
      <w:pPr>
        <w:pStyle w:val="7"/>
        <w:spacing w:before="0" w:beforeAutospacing="0" w:after="0" w:afterAutospacing="0" w:line="360" w:lineRule="auto"/>
        <w:ind w:firstLine="420"/>
        <w:rPr>
          <w:sz w:val="21"/>
          <w:szCs w:val="21"/>
        </w:rPr>
      </w:pPr>
      <w:r>
        <w:rPr>
          <w:rFonts w:hint="eastAsia"/>
          <w:sz w:val="21"/>
          <w:szCs w:val="21"/>
        </w:rPr>
        <w:t>发生以下情况，本协议终止：</w:t>
      </w:r>
    </w:p>
    <w:p>
      <w:pPr>
        <w:pStyle w:val="7"/>
        <w:spacing w:before="0" w:beforeAutospacing="0" w:after="0" w:afterAutospacing="0" w:line="360" w:lineRule="auto"/>
        <w:ind w:firstLine="420"/>
        <w:rPr>
          <w:sz w:val="21"/>
          <w:szCs w:val="21"/>
        </w:rPr>
      </w:pPr>
      <w:r>
        <w:rPr>
          <w:rFonts w:hint="eastAsia"/>
          <w:sz w:val="21"/>
          <w:szCs w:val="21"/>
        </w:rPr>
        <w:t>（1）《基金合同》终止；</w:t>
      </w:r>
    </w:p>
    <w:p>
      <w:pPr>
        <w:pStyle w:val="7"/>
        <w:spacing w:before="0" w:beforeAutospacing="0" w:after="0" w:afterAutospacing="0" w:line="360" w:lineRule="auto"/>
        <w:ind w:firstLine="420"/>
        <w:rPr>
          <w:sz w:val="21"/>
          <w:szCs w:val="21"/>
        </w:rPr>
      </w:pPr>
      <w:r>
        <w:rPr>
          <w:rFonts w:hint="eastAsia"/>
          <w:sz w:val="21"/>
          <w:szCs w:val="21"/>
        </w:rPr>
        <w:t>（2）基金托管人解散、依法被撤销、破产或有其他基金托管人接管基金资产；</w:t>
      </w:r>
    </w:p>
    <w:p>
      <w:pPr>
        <w:pStyle w:val="7"/>
        <w:spacing w:before="0" w:beforeAutospacing="0" w:after="0" w:afterAutospacing="0" w:line="360" w:lineRule="auto"/>
        <w:ind w:firstLine="420"/>
        <w:rPr>
          <w:sz w:val="21"/>
          <w:szCs w:val="21"/>
        </w:rPr>
      </w:pPr>
      <w:r>
        <w:rPr>
          <w:rFonts w:hint="eastAsia"/>
          <w:sz w:val="21"/>
          <w:szCs w:val="21"/>
        </w:rPr>
        <w:t>（3）基金管理人解散、依法被撤销、破产或有其他基金管理人接管基金管理权；</w:t>
      </w:r>
    </w:p>
    <w:p>
      <w:pPr>
        <w:pStyle w:val="7"/>
        <w:spacing w:before="0" w:beforeAutospacing="0" w:after="0" w:afterAutospacing="0" w:line="360" w:lineRule="auto"/>
        <w:ind w:firstLine="420"/>
        <w:rPr>
          <w:sz w:val="21"/>
          <w:szCs w:val="21"/>
        </w:rPr>
      </w:pPr>
      <w:r>
        <w:rPr>
          <w:rFonts w:hint="eastAsia"/>
          <w:sz w:val="21"/>
          <w:szCs w:val="21"/>
        </w:rPr>
        <w:t>（4）发生法律法规或《基金合同》规定的终止事项。</w:t>
      </w:r>
    </w:p>
    <w:p>
      <w:pPr>
        <w:pStyle w:val="7"/>
        <w:spacing w:before="0" w:beforeAutospacing="0" w:after="0" w:afterAutospacing="0" w:line="360" w:lineRule="auto"/>
        <w:ind w:firstLine="420"/>
        <w:rPr>
          <w:sz w:val="21"/>
          <w:szCs w:val="21"/>
        </w:rPr>
      </w:pPr>
      <w:r>
        <w:rPr>
          <w:rFonts w:hint="eastAsia"/>
          <w:sz w:val="21"/>
          <w:szCs w:val="21"/>
        </w:rPr>
        <w:t>（二）基金财产的清算</w:t>
      </w:r>
    </w:p>
    <w:p>
      <w:pPr>
        <w:pStyle w:val="7"/>
        <w:spacing w:before="0" w:beforeAutospacing="0" w:after="0" w:afterAutospacing="0" w:line="360" w:lineRule="auto"/>
        <w:ind w:firstLine="420"/>
        <w:rPr>
          <w:sz w:val="21"/>
          <w:szCs w:val="21"/>
        </w:rPr>
      </w:pPr>
      <w:r>
        <w:rPr>
          <w:rFonts w:hint="eastAsia"/>
          <w:sz w:val="21"/>
          <w:szCs w:val="21"/>
        </w:rPr>
        <w:t>1、基金财产清算小组：自出现《基金合同》终止事由之日起30个工作日内成立基金财产清算小组，基金管理人组织基金财产清算小组并在中国证监会的监督下进行基金清算。</w:t>
      </w:r>
    </w:p>
    <w:p>
      <w:pPr>
        <w:pStyle w:val="7"/>
        <w:spacing w:before="0" w:beforeAutospacing="0" w:after="0" w:afterAutospacing="0" w:line="360" w:lineRule="auto"/>
        <w:ind w:firstLine="420"/>
        <w:rPr>
          <w:sz w:val="21"/>
          <w:szCs w:val="21"/>
        </w:rPr>
      </w:pPr>
      <w:r>
        <w:rPr>
          <w:rFonts w:hint="eastAsia"/>
          <w:sz w:val="21"/>
          <w:szCs w:val="21"/>
        </w:rPr>
        <w:t>2、在基金财产清算小组接管基金财产之前，基金管理人和基金托管人应按照《基金合同》和本协议的规定继续履行保护基金财产安全的职责。</w:t>
      </w:r>
    </w:p>
    <w:p>
      <w:pPr>
        <w:pStyle w:val="7"/>
        <w:spacing w:before="0" w:beforeAutospacing="0" w:after="0" w:afterAutospacing="0" w:line="360" w:lineRule="auto"/>
        <w:ind w:firstLine="420"/>
        <w:rPr>
          <w:sz w:val="21"/>
          <w:szCs w:val="21"/>
        </w:rPr>
      </w:pPr>
      <w:r>
        <w:rPr>
          <w:rFonts w:hint="eastAsia"/>
          <w:sz w:val="21"/>
          <w:szCs w:val="21"/>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pPr>
        <w:pStyle w:val="7"/>
        <w:spacing w:before="0" w:beforeAutospacing="0" w:after="0" w:afterAutospacing="0" w:line="360" w:lineRule="auto"/>
        <w:ind w:firstLine="420"/>
        <w:rPr>
          <w:sz w:val="21"/>
          <w:szCs w:val="21"/>
        </w:rPr>
      </w:pPr>
      <w:r>
        <w:rPr>
          <w:rFonts w:hint="eastAsia"/>
          <w:sz w:val="21"/>
          <w:szCs w:val="21"/>
        </w:rPr>
        <w:t>4、基金财产清算小组职责：基金财产清算小组负责基金财产的保管、清理、估价、变现和分配。基金财产清算小组可以依法进行必要的民事活动。</w:t>
      </w:r>
    </w:p>
    <w:p>
      <w:pPr>
        <w:pStyle w:val="7"/>
        <w:spacing w:before="0" w:beforeAutospacing="0" w:after="0" w:afterAutospacing="0" w:line="360" w:lineRule="auto"/>
        <w:ind w:firstLine="420"/>
        <w:rPr>
          <w:sz w:val="21"/>
          <w:szCs w:val="21"/>
        </w:rPr>
      </w:pPr>
      <w:r>
        <w:rPr>
          <w:rFonts w:hint="eastAsia"/>
          <w:sz w:val="21"/>
          <w:szCs w:val="21"/>
        </w:rPr>
        <w:t>5、在基金财产清算过程中，基金管理人和基金托管人应各自履行职责，继续忠实、勤勉、尽责地履行基金合同和托管协议规定的义务，维护基金份额持有人的合法权益。</w:t>
      </w:r>
    </w:p>
    <w:p>
      <w:pPr>
        <w:pStyle w:val="7"/>
        <w:spacing w:before="0" w:beforeAutospacing="0" w:after="0" w:afterAutospacing="0" w:line="360" w:lineRule="auto"/>
        <w:ind w:firstLine="420"/>
        <w:rPr>
          <w:sz w:val="21"/>
          <w:szCs w:val="21"/>
        </w:rPr>
      </w:pPr>
      <w:r>
        <w:rPr>
          <w:rFonts w:hint="eastAsia"/>
          <w:sz w:val="21"/>
          <w:szCs w:val="21"/>
        </w:rPr>
        <w:t xml:space="preserve">6、基金财产清算程序： </w:t>
      </w:r>
    </w:p>
    <w:p>
      <w:pPr>
        <w:pStyle w:val="7"/>
        <w:spacing w:before="0" w:beforeAutospacing="0" w:after="0" w:afterAutospacing="0" w:line="360" w:lineRule="auto"/>
        <w:ind w:firstLine="420"/>
        <w:rPr>
          <w:sz w:val="21"/>
          <w:szCs w:val="21"/>
        </w:rPr>
      </w:pPr>
      <w:r>
        <w:rPr>
          <w:rFonts w:hint="eastAsia"/>
          <w:sz w:val="21"/>
          <w:szCs w:val="21"/>
        </w:rPr>
        <w:t>（1）《基金合同》终止情形出现时，由基金财产清算小组统一接管基金；</w:t>
      </w:r>
    </w:p>
    <w:p>
      <w:pPr>
        <w:pStyle w:val="7"/>
        <w:spacing w:before="0" w:beforeAutospacing="0" w:after="0" w:afterAutospacing="0" w:line="360" w:lineRule="auto"/>
        <w:ind w:firstLine="420"/>
        <w:rPr>
          <w:sz w:val="21"/>
          <w:szCs w:val="21"/>
        </w:rPr>
      </w:pPr>
      <w:r>
        <w:rPr>
          <w:rFonts w:hint="eastAsia"/>
          <w:sz w:val="21"/>
          <w:szCs w:val="21"/>
        </w:rPr>
        <w:t>（2）对基金财产和债权债务进行清理和确认；</w:t>
      </w:r>
    </w:p>
    <w:p>
      <w:pPr>
        <w:pStyle w:val="7"/>
        <w:spacing w:before="0" w:beforeAutospacing="0" w:after="0" w:afterAutospacing="0" w:line="360" w:lineRule="auto"/>
        <w:ind w:firstLine="420"/>
        <w:rPr>
          <w:sz w:val="21"/>
          <w:szCs w:val="21"/>
        </w:rPr>
      </w:pPr>
      <w:r>
        <w:rPr>
          <w:rFonts w:hint="eastAsia"/>
          <w:sz w:val="21"/>
          <w:szCs w:val="21"/>
        </w:rPr>
        <w:t>（3）对基金财产进行估值和变现；</w:t>
      </w:r>
    </w:p>
    <w:p>
      <w:pPr>
        <w:pStyle w:val="7"/>
        <w:spacing w:before="0" w:beforeAutospacing="0" w:after="0" w:afterAutospacing="0" w:line="360" w:lineRule="auto"/>
        <w:ind w:firstLine="420"/>
        <w:rPr>
          <w:sz w:val="21"/>
          <w:szCs w:val="21"/>
        </w:rPr>
      </w:pPr>
      <w:r>
        <w:rPr>
          <w:rFonts w:hint="eastAsia"/>
          <w:sz w:val="21"/>
          <w:szCs w:val="21"/>
        </w:rPr>
        <w:t>（4）制作清算报告；</w:t>
      </w:r>
    </w:p>
    <w:p>
      <w:pPr>
        <w:pStyle w:val="7"/>
        <w:spacing w:before="0" w:beforeAutospacing="0" w:after="0" w:afterAutospacing="0" w:line="360" w:lineRule="auto"/>
        <w:ind w:firstLine="420"/>
        <w:rPr>
          <w:sz w:val="21"/>
          <w:szCs w:val="21"/>
        </w:rPr>
      </w:pPr>
      <w:r>
        <w:rPr>
          <w:rFonts w:hint="eastAsia"/>
          <w:sz w:val="21"/>
          <w:szCs w:val="21"/>
        </w:rPr>
        <w:t>（5）聘请符合《中华人民共和国证券法》规定的会计师事务所对清算报告进行外部审计，聘请律师事务所对清算报告出具法律意见书；</w:t>
      </w:r>
    </w:p>
    <w:p>
      <w:pPr>
        <w:pStyle w:val="7"/>
        <w:spacing w:before="0" w:beforeAutospacing="0" w:after="0" w:afterAutospacing="0" w:line="360" w:lineRule="auto"/>
        <w:ind w:firstLine="420"/>
        <w:rPr>
          <w:sz w:val="21"/>
          <w:szCs w:val="21"/>
        </w:rPr>
      </w:pPr>
      <w:r>
        <w:rPr>
          <w:rFonts w:hint="eastAsia"/>
          <w:sz w:val="21"/>
          <w:szCs w:val="21"/>
        </w:rPr>
        <w:t>（6）将清算报告报中国证监会备案并公告；</w:t>
      </w:r>
    </w:p>
    <w:p>
      <w:pPr>
        <w:pStyle w:val="7"/>
        <w:spacing w:before="0" w:beforeAutospacing="0" w:after="0" w:afterAutospacing="0" w:line="360" w:lineRule="auto"/>
        <w:ind w:firstLine="420"/>
        <w:rPr>
          <w:sz w:val="21"/>
          <w:szCs w:val="21"/>
        </w:rPr>
      </w:pPr>
      <w:r>
        <w:rPr>
          <w:rFonts w:hint="eastAsia"/>
          <w:sz w:val="21"/>
          <w:szCs w:val="21"/>
        </w:rPr>
        <w:t>（7）对基金剩余财产进行分配。</w:t>
      </w:r>
    </w:p>
    <w:p>
      <w:pPr>
        <w:pStyle w:val="7"/>
        <w:spacing w:before="0" w:beforeAutospacing="0" w:after="0" w:afterAutospacing="0" w:line="360" w:lineRule="auto"/>
        <w:ind w:firstLine="420"/>
        <w:rPr>
          <w:sz w:val="21"/>
          <w:szCs w:val="21"/>
        </w:rPr>
      </w:pPr>
      <w:r>
        <w:rPr>
          <w:rFonts w:hint="eastAsia"/>
          <w:sz w:val="21"/>
          <w:szCs w:val="21"/>
        </w:rPr>
        <w:t>7、基金财产清算的期限为6个月，但因本基金所持证券的流动性受到限制而不能及时变现的，清算期限相应顺延。</w:t>
      </w:r>
    </w:p>
    <w:p>
      <w:pPr>
        <w:pStyle w:val="7"/>
        <w:spacing w:before="0" w:beforeAutospacing="0" w:after="0" w:afterAutospacing="0" w:line="360" w:lineRule="auto"/>
        <w:ind w:firstLine="420"/>
        <w:rPr>
          <w:sz w:val="21"/>
          <w:szCs w:val="21"/>
        </w:rPr>
      </w:pPr>
      <w:r>
        <w:rPr>
          <w:rFonts w:hint="eastAsia"/>
          <w:sz w:val="21"/>
          <w:szCs w:val="21"/>
        </w:rPr>
        <w:t>8、清算费用</w:t>
      </w:r>
    </w:p>
    <w:p>
      <w:pPr>
        <w:pStyle w:val="7"/>
        <w:spacing w:before="0" w:beforeAutospacing="0" w:after="0" w:afterAutospacing="0" w:line="360" w:lineRule="auto"/>
        <w:ind w:firstLine="420"/>
        <w:rPr>
          <w:sz w:val="21"/>
          <w:szCs w:val="21"/>
        </w:rPr>
      </w:pPr>
      <w:r>
        <w:rPr>
          <w:rFonts w:hint="eastAsia"/>
          <w:sz w:val="21"/>
          <w:szCs w:val="21"/>
        </w:rPr>
        <w:t>清算费用是指基金财产清算小组在进行基金财产清算过程中发生的所有合理费用，清算费用由基金财产清算小组优先从基金剩余财产中支付。</w:t>
      </w:r>
    </w:p>
    <w:p>
      <w:pPr>
        <w:pStyle w:val="7"/>
        <w:spacing w:before="0" w:beforeAutospacing="0" w:after="0" w:afterAutospacing="0" w:line="360" w:lineRule="auto"/>
        <w:ind w:firstLine="420"/>
        <w:rPr>
          <w:sz w:val="21"/>
          <w:szCs w:val="21"/>
        </w:rPr>
      </w:pPr>
      <w:r>
        <w:rPr>
          <w:rFonts w:hint="eastAsia"/>
          <w:sz w:val="21"/>
          <w:szCs w:val="21"/>
        </w:rPr>
        <w:t>9、基金财产按下列顺序清偿：</w:t>
      </w:r>
    </w:p>
    <w:p>
      <w:pPr>
        <w:pStyle w:val="7"/>
        <w:spacing w:before="0" w:beforeAutospacing="0" w:after="0" w:afterAutospacing="0" w:line="360" w:lineRule="auto"/>
        <w:ind w:firstLine="420"/>
        <w:rPr>
          <w:sz w:val="21"/>
          <w:szCs w:val="21"/>
        </w:rPr>
      </w:pPr>
      <w:r>
        <w:rPr>
          <w:rFonts w:hint="eastAsia"/>
          <w:sz w:val="21"/>
          <w:szCs w:val="21"/>
        </w:rPr>
        <w:t>(1)支付清算费用；</w:t>
      </w:r>
    </w:p>
    <w:p>
      <w:pPr>
        <w:pStyle w:val="7"/>
        <w:spacing w:before="0" w:beforeAutospacing="0" w:after="0" w:afterAutospacing="0" w:line="360" w:lineRule="auto"/>
        <w:ind w:firstLine="420"/>
        <w:rPr>
          <w:sz w:val="21"/>
          <w:szCs w:val="21"/>
        </w:rPr>
      </w:pPr>
      <w:r>
        <w:rPr>
          <w:rFonts w:hint="eastAsia"/>
          <w:sz w:val="21"/>
          <w:szCs w:val="21"/>
        </w:rPr>
        <w:t>(2)交纳所欠税款；</w:t>
      </w:r>
    </w:p>
    <w:p>
      <w:pPr>
        <w:pStyle w:val="7"/>
        <w:spacing w:before="0" w:beforeAutospacing="0" w:after="0" w:afterAutospacing="0" w:line="360" w:lineRule="auto"/>
        <w:ind w:firstLine="420"/>
        <w:rPr>
          <w:sz w:val="21"/>
          <w:szCs w:val="21"/>
        </w:rPr>
      </w:pPr>
      <w:r>
        <w:rPr>
          <w:rFonts w:hint="eastAsia"/>
          <w:sz w:val="21"/>
          <w:szCs w:val="21"/>
        </w:rPr>
        <w:t>(3)清偿基金债务；</w:t>
      </w:r>
    </w:p>
    <w:p>
      <w:pPr>
        <w:pStyle w:val="7"/>
        <w:spacing w:before="0" w:beforeAutospacing="0" w:after="0" w:afterAutospacing="0" w:line="360" w:lineRule="auto"/>
        <w:ind w:firstLine="420"/>
        <w:rPr>
          <w:sz w:val="21"/>
          <w:szCs w:val="21"/>
        </w:rPr>
      </w:pPr>
      <w:r>
        <w:rPr>
          <w:rFonts w:hint="eastAsia"/>
          <w:sz w:val="21"/>
          <w:szCs w:val="21"/>
        </w:rPr>
        <w:t>(4)按基金份额持有人持有的基金份额比例进行分配。</w:t>
      </w:r>
    </w:p>
    <w:p>
      <w:pPr>
        <w:pStyle w:val="7"/>
        <w:spacing w:before="0" w:beforeAutospacing="0" w:after="0" w:afterAutospacing="0" w:line="360" w:lineRule="auto"/>
        <w:ind w:firstLine="420"/>
        <w:rPr>
          <w:sz w:val="21"/>
          <w:szCs w:val="21"/>
        </w:rPr>
      </w:pPr>
      <w:r>
        <w:rPr>
          <w:rFonts w:hint="eastAsia"/>
          <w:sz w:val="21"/>
          <w:szCs w:val="21"/>
        </w:rPr>
        <w:t>基金财产未按前款(1)－(3)项规定清偿前，不分配给基金份额持有人。</w:t>
      </w:r>
    </w:p>
    <w:p>
      <w:pPr>
        <w:pStyle w:val="7"/>
        <w:spacing w:before="0" w:beforeAutospacing="0" w:after="0" w:afterAutospacing="0" w:line="360" w:lineRule="auto"/>
        <w:ind w:firstLine="420"/>
        <w:rPr>
          <w:sz w:val="21"/>
          <w:szCs w:val="21"/>
        </w:rPr>
      </w:pPr>
      <w:r>
        <w:rPr>
          <w:rFonts w:hint="eastAsia"/>
          <w:sz w:val="21"/>
          <w:szCs w:val="21"/>
        </w:rPr>
        <w:t>（三）基金财产清算的公告</w:t>
      </w:r>
    </w:p>
    <w:p>
      <w:pPr>
        <w:pStyle w:val="7"/>
        <w:spacing w:before="0" w:beforeAutospacing="0" w:after="0" w:afterAutospacing="0" w:line="360" w:lineRule="auto"/>
        <w:ind w:firstLine="420"/>
        <w:rPr>
          <w:sz w:val="21"/>
          <w:szCs w:val="21"/>
        </w:rPr>
      </w:pPr>
      <w:r>
        <w:rPr>
          <w:rFonts w:hint="eastAsia"/>
          <w:sz w:val="21"/>
          <w:szCs w:val="21"/>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pStyle w:val="7"/>
        <w:spacing w:before="0" w:beforeAutospacing="0" w:after="0" w:afterAutospacing="0" w:line="360" w:lineRule="auto"/>
        <w:ind w:firstLine="420"/>
        <w:rPr>
          <w:sz w:val="21"/>
          <w:szCs w:val="21"/>
        </w:rPr>
      </w:pPr>
      <w:r>
        <w:rPr>
          <w:rFonts w:hint="eastAsia"/>
          <w:sz w:val="21"/>
          <w:szCs w:val="21"/>
        </w:rPr>
        <w:t>（四）基金财产清算账册及文件的保存</w:t>
      </w:r>
    </w:p>
    <w:p>
      <w:pPr>
        <w:pStyle w:val="7"/>
        <w:spacing w:before="0" w:beforeAutospacing="0" w:after="0" w:afterAutospacing="0" w:line="360" w:lineRule="auto"/>
        <w:ind w:firstLine="420"/>
        <w:rPr>
          <w:sz w:val="21"/>
          <w:szCs w:val="21"/>
        </w:rPr>
      </w:pPr>
      <w:bookmarkStart w:id="172" w:name="chapter_level1_25_72_section_1_end"/>
      <w:bookmarkEnd w:id="172"/>
      <w:r>
        <w:rPr>
          <w:rFonts w:hint="eastAsia"/>
          <w:sz w:val="21"/>
          <w:szCs w:val="21"/>
        </w:rPr>
        <w:t>基金财产清算账册及有关文件由基金托管人保存，保存期限不低于法定最低期限。</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73" w:name="_Toc214976560"/>
      <w:bookmarkStart w:id="174" w:name="chapter_level1_26_75"/>
      <w:r>
        <w:rPr>
          <w:rFonts w:hint="eastAsia" w:ascii="宋体" w:hAnsi="宋体" w:eastAsia="宋体"/>
          <w:sz w:val="30"/>
        </w:rPr>
        <w:t>第二十二部分  对基金份额持有人的服务</w:t>
      </w:r>
      <w:bookmarkEnd w:id="173"/>
      <w:bookmarkEnd w:id="174"/>
    </w:p>
    <w:p>
      <w:pPr>
        <w:pStyle w:val="7"/>
        <w:spacing w:before="0" w:beforeAutospacing="0" w:after="0" w:afterAutospacing="0" w:line="360" w:lineRule="auto"/>
        <w:ind w:firstLine="420"/>
        <w:rPr>
          <w:sz w:val="21"/>
          <w:szCs w:val="21"/>
        </w:rPr>
      </w:pPr>
      <w:bookmarkStart w:id="175" w:name="chapter_level1_26_75_section_1"/>
      <w:bookmarkEnd w:id="175"/>
      <w:r>
        <w:rPr>
          <w:rFonts w:hint="eastAsia"/>
          <w:sz w:val="21"/>
          <w:szCs w:val="21"/>
        </w:rPr>
        <w:t>对本基金份额持有人的服务主要由基金管理人、发售代理机构、申购赎回代理券商提供。基金管理人承诺为基金份额持有人提供一系列的服务，以下是主要的服务内容。基金管理人根据基金份额持有人的需要和市场的变化，有权增加和修改服务项目。</w:t>
      </w:r>
    </w:p>
    <w:p>
      <w:pPr>
        <w:pStyle w:val="7"/>
        <w:spacing w:before="0" w:beforeAutospacing="0" w:after="0" w:afterAutospacing="0" w:line="360" w:lineRule="auto"/>
        <w:ind w:firstLine="420"/>
        <w:rPr>
          <w:sz w:val="21"/>
          <w:szCs w:val="21"/>
        </w:rPr>
      </w:pPr>
      <w:r>
        <w:rPr>
          <w:rFonts w:hint="eastAsia"/>
          <w:sz w:val="21"/>
          <w:szCs w:val="21"/>
        </w:rPr>
        <w:t>基金管理人提供的服务内容如下：</w:t>
      </w:r>
    </w:p>
    <w:p>
      <w:pPr>
        <w:pStyle w:val="7"/>
        <w:spacing w:before="0" w:beforeAutospacing="0" w:after="0" w:afterAutospacing="0" w:line="360" w:lineRule="auto"/>
        <w:ind w:firstLine="420"/>
        <w:rPr>
          <w:sz w:val="21"/>
          <w:szCs w:val="21"/>
        </w:rPr>
      </w:pPr>
      <w:r>
        <w:rPr>
          <w:rStyle w:val="11"/>
          <w:rFonts w:hint="eastAsia"/>
          <w:sz w:val="21"/>
          <w:szCs w:val="21"/>
        </w:rPr>
        <w:t>一、客户服务电话</w:t>
      </w:r>
    </w:p>
    <w:p>
      <w:pPr>
        <w:pStyle w:val="7"/>
        <w:spacing w:before="0" w:beforeAutospacing="0" w:after="0" w:afterAutospacing="0" w:line="360" w:lineRule="auto"/>
        <w:ind w:firstLine="420"/>
        <w:rPr>
          <w:sz w:val="21"/>
          <w:szCs w:val="21"/>
        </w:rPr>
      </w:pPr>
      <w:r>
        <w:rPr>
          <w:rFonts w:hint="eastAsia"/>
          <w:sz w:val="21"/>
          <w:szCs w:val="21"/>
        </w:rPr>
        <w:t>客户服务中心自动语音系统提供每周七天、每天24小时的自动语音服务和查询服务，客户可以通过电话查询基金份额净值。同时，客服中心提供工作日每天9:00-21:00、节假日（十一和春节除外）9:00-17:00 的电话人工服务。</w:t>
      </w:r>
    </w:p>
    <w:p>
      <w:pPr>
        <w:pStyle w:val="7"/>
        <w:spacing w:before="0" w:beforeAutospacing="0" w:after="0" w:afterAutospacing="0" w:line="360" w:lineRule="auto"/>
        <w:ind w:firstLine="420"/>
        <w:rPr>
          <w:sz w:val="21"/>
          <w:szCs w:val="21"/>
        </w:rPr>
      </w:pPr>
      <w:r>
        <w:rPr>
          <w:rFonts w:hint="eastAsia"/>
          <w:sz w:val="21"/>
          <w:szCs w:val="21"/>
        </w:rPr>
        <w:t>博时一线通：95105568（免长途话费）</w:t>
      </w:r>
    </w:p>
    <w:p>
      <w:pPr>
        <w:pStyle w:val="7"/>
        <w:spacing w:before="0" w:beforeAutospacing="0" w:after="0" w:afterAutospacing="0" w:line="360" w:lineRule="auto"/>
        <w:ind w:firstLine="420"/>
        <w:rPr>
          <w:sz w:val="21"/>
          <w:szCs w:val="21"/>
        </w:rPr>
      </w:pPr>
      <w:r>
        <w:rPr>
          <w:rStyle w:val="11"/>
          <w:rFonts w:hint="eastAsia"/>
          <w:sz w:val="21"/>
          <w:szCs w:val="21"/>
        </w:rPr>
        <w:t>二、网上客户服务中心</w:t>
      </w:r>
    </w:p>
    <w:p>
      <w:pPr>
        <w:pStyle w:val="7"/>
        <w:spacing w:before="0" w:beforeAutospacing="0" w:after="0" w:afterAutospacing="0" w:line="360" w:lineRule="auto"/>
        <w:ind w:firstLine="420"/>
        <w:rPr>
          <w:sz w:val="21"/>
          <w:szCs w:val="21"/>
        </w:rPr>
      </w:pPr>
      <w:r>
        <w:rPr>
          <w:rFonts w:hint="eastAsia"/>
          <w:sz w:val="21"/>
          <w:szCs w:val="21"/>
        </w:rPr>
        <w:t>网上客户服务为投资人提供查询服务、资讯服务以及在线咨询的平台。登陆网站后，投资人可以查询基金相关信息，享受资讯服务；投资人还可以使用“在线客服”功能进行在线咨询以及查询热点问题及其解答，并提交投诉与建议。</w:t>
      </w:r>
    </w:p>
    <w:p>
      <w:pPr>
        <w:pStyle w:val="7"/>
        <w:spacing w:before="0" w:beforeAutospacing="0" w:after="0" w:afterAutospacing="0" w:line="360" w:lineRule="auto"/>
        <w:ind w:firstLine="420"/>
        <w:rPr>
          <w:sz w:val="21"/>
          <w:szCs w:val="21"/>
        </w:rPr>
      </w:pPr>
      <w:r>
        <w:rPr>
          <w:rFonts w:hint="eastAsia"/>
          <w:sz w:val="21"/>
          <w:szCs w:val="21"/>
        </w:rPr>
        <w:t>基金管理人网址： www.bosera.com</w:t>
      </w:r>
    </w:p>
    <w:p>
      <w:pPr>
        <w:pStyle w:val="7"/>
        <w:spacing w:before="0" w:beforeAutospacing="0" w:after="0" w:afterAutospacing="0" w:line="360" w:lineRule="auto"/>
        <w:ind w:firstLine="420"/>
        <w:rPr>
          <w:sz w:val="21"/>
          <w:szCs w:val="21"/>
        </w:rPr>
      </w:pPr>
      <w:r>
        <w:rPr>
          <w:rFonts w:hint="eastAsia"/>
          <w:sz w:val="21"/>
          <w:szCs w:val="21"/>
        </w:rPr>
        <w:t>电子邮箱：service@bosera.com</w:t>
      </w:r>
    </w:p>
    <w:p>
      <w:pPr>
        <w:pStyle w:val="7"/>
        <w:spacing w:before="0" w:beforeAutospacing="0" w:after="0" w:afterAutospacing="0" w:line="360" w:lineRule="auto"/>
        <w:ind w:firstLine="420"/>
        <w:rPr>
          <w:sz w:val="21"/>
          <w:szCs w:val="21"/>
        </w:rPr>
      </w:pPr>
      <w:r>
        <w:rPr>
          <w:rStyle w:val="11"/>
          <w:rFonts w:hint="eastAsia"/>
          <w:sz w:val="21"/>
          <w:szCs w:val="21"/>
        </w:rPr>
        <w:t>三、客户投诉处理</w:t>
      </w:r>
    </w:p>
    <w:p>
      <w:pPr>
        <w:pStyle w:val="7"/>
        <w:spacing w:before="0" w:beforeAutospacing="0" w:after="0" w:afterAutospacing="0" w:line="360" w:lineRule="auto"/>
        <w:ind w:firstLine="420"/>
        <w:rPr>
          <w:sz w:val="21"/>
          <w:szCs w:val="21"/>
        </w:rPr>
      </w:pPr>
      <w:r>
        <w:rPr>
          <w:rFonts w:hint="eastAsia"/>
          <w:sz w:val="21"/>
          <w:szCs w:val="21"/>
        </w:rPr>
        <w:t>投资者可以通过博时基金网站、客服中心IVR自动语音留言、客服中心电话人工坐席、书信、电子邮件、传真等渠道对基金管理人提供的服务进行投诉。投资者还可以通过发售代理机构、申购赎回代理券商的服务电话对该代理机构提供的服务进行投诉。</w:t>
      </w:r>
    </w:p>
    <w:p>
      <w:pPr>
        <w:pStyle w:val="7"/>
        <w:spacing w:before="0" w:beforeAutospacing="0" w:after="0" w:afterAutospacing="0" w:line="360" w:lineRule="auto"/>
        <w:ind w:firstLine="420"/>
        <w:rPr>
          <w:sz w:val="21"/>
          <w:szCs w:val="21"/>
        </w:rPr>
      </w:pPr>
      <w:r>
        <w:rPr>
          <w:rStyle w:val="11"/>
          <w:rFonts w:hint="eastAsia"/>
          <w:sz w:val="21"/>
          <w:szCs w:val="21"/>
        </w:rPr>
        <w:t>如本招募说明书存在任何您/贵机构无法理解的内容，请通过上述方式联系基金管理人。</w:t>
      </w:r>
      <w:bookmarkStart w:id="176" w:name="chapter_level1_26_75_section_1_end"/>
      <w:bookmarkEnd w:id="176"/>
      <w:r>
        <w:rPr>
          <w:rStyle w:val="11"/>
          <w:rFonts w:hint="eastAsia"/>
          <w:sz w:val="21"/>
          <w:szCs w:val="21"/>
        </w:rPr>
        <w:t>请确保投资前，您/贵机构已经全面理解了本招募说明书。</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77" w:name="chapter_level1_27_3499"/>
      <w:bookmarkStart w:id="178" w:name="_Toc214976561"/>
      <w:r>
        <w:rPr>
          <w:rFonts w:hint="eastAsia" w:ascii="宋体" w:hAnsi="宋体" w:eastAsia="宋体"/>
          <w:sz w:val="30"/>
        </w:rPr>
        <w:t>第二十三部分 其他应披露的事项</w:t>
      </w:r>
      <w:bookmarkEnd w:id="177"/>
      <w:bookmarkEnd w:id="178"/>
    </w:p>
    <w:p>
      <w:pPr>
        <w:pStyle w:val="7"/>
        <w:spacing w:before="0" w:beforeAutospacing="0" w:after="0" w:afterAutospacing="0" w:line="360" w:lineRule="auto"/>
        <w:ind w:firstLine="420"/>
        <w:rPr>
          <w:sz w:val="21"/>
          <w:szCs w:val="21"/>
        </w:rPr>
      </w:pPr>
      <w:bookmarkStart w:id="179" w:name="chapter_level1_27_3499_section_1"/>
      <w:bookmarkEnd w:id="179"/>
      <w:bookmarkStart w:id="180" w:name="field_0_bsrevealinfo_1_start"/>
      <w:bookmarkEnd w:id="180"/>
      <w:r>
        <w:rPr>
          <w:rFonts w:hint="eastAsia"/>
          <w:sz w:val="21"/>
          <w:szCs w:val="21"/>
        </w:rPr>
        <w:t>（一）、2025年10月28日，我公司公告了《博时中证全指自由现金流交易型开放式指数证券投资基金2025年第3季度报告》；</w:t>
      </w:r>
    </w:p>
    <w:p>
      <w:pPr>
        <w:pStyle w:val="7"/>
        <w:spacing w:before="0" w:beforeAutospacing="0" w:after="0" w:afterAutospacing="0" w:line="360" w:lineRule="auto"/>
        <w:ind w:firstLine="420"/>
        <w:rPr>
          <w:sz w:val="21"/>
          <w:szCs w:val="21"/>
        </w:rPr>
      </w:pPr>
      <w:r>
        <w:rPr>
          <w:rFonts w:hint="eastAsia"/>
          <w:sz w:val="21"/>
          <w:szCs w:val="21"/>
        </w:rPr>
        <w:t>（二）、2025年10月16日，我公司公告了《博时基金管理有限公司关于高级管理人员变更的公告》；</w:t>
      </w:r>
    </w:p>
    <w:p>
      <w:pPr>
        <w:pStyle w:val="7"/>
        <w:spacing w:before="0" w:beforeAutospacing="0" w:after="0" w:afterAutospacing="0" w:line="360" w:lineRule="auto"/>
        <w:ind w:firstLine="420"/>
        <w:rPr>
          <w:sz w:val="21"/>
          <w:szCs w:val="21"/>
        </w:rPr>
      </w:pPr>
      <w:r>
        <w:rPr>
          <w:rFonts w:hint="eastAsia"/>
          <w:sz w:val="21"/>
          <w:szCs w:val="21"/>
        </w:rPr>
        <w:t>（三）、2025年9月4日，我公司公告了《博时基金管理有限公司关于旗下基金持有的长期停牌股票调整估值方法的公告》；</w:t>
      </w:r>
    </w:p>
    <w:p>
      <w:pPr>
        <w:pStyle w:val="7"/>
        <w:spacing w:before="0" w:beforeAutospacing="0" w:after="0" w:afterAutospacing="0" w:line="360" w:lineRule="auto"/>
        <w:ind w:firstLine="420"/>
        <w:rPr>
          <w:sz w:val="21"/>
          <w:szCs w:val="21"/>
        </w:rPr>
      </w:pPr>
      <w:r>
        <w:rPr>
          <w:rFonts w:hint="eastAsia"/>
          <w:sz w:val="21"/>
          <w:szCs w:val="21"/>
        </w:rPr>
        <w:t>（四）、2025年7月1日，我公司公告了《博时中证全指自由现金流交易型开放式指数证券投资基金基金产品资料概要更新》；</w:t>
      </w:r>
    </w:p>
    <w:p>
      <w:pPr>
        <w:pStyle w:val="7"/>
        <w:spacing w:before="0" w:beforeAutospacing="0" w:after="0" w:afterAutospacing="0" w:line="360" w:lineRule="auto"/>
        <w:ind w:firstLine="420"/>
        <w:rPr>
          <w:sz w:val="21"/>
          <w:szCs w:val="21"/>
        </w:rPr>
      </w:pPr>
      <w:r>
        <w:rPr>
          <w:rFonts w:hint="eastAsia"/>
          <w:sz w:val="21"/>
          <w:szCs w:val="21"/>
        </w:rPr>
        <w:t>（五）、2025年6月30日，我公司公告了《博时基金管理有限公司关于博时中证全指自由现金流交易型开放式指数证券投资基金的基金经理变更的公告》、《博时中证全指自由现金流交易型开放式指数证券投资基金招募说明书》；</w:t>
      </w:r>
    </w:p>
    <w:p>
      <w:pPr>
        <w:pStyle w:val="7"/>
        <w:spacing w:before="0" w:beforeAutospacing="0" w:after="0" w:afterAutospacing="0" w:line="360" w:lineRule="auto"/>
        <w:ind w:firstLine="420"/>
        <w:rPr>
          <w:sz w:val="21"/>
          <w:szCs w:val="21"/>
        </w:rPr>
      </w:pPr>
      <w:r>
        <w:rPr>
          <w:rFonts w:hint="eastAsia"/>
          <w:sz w:val="21"/>
          <w:szCs w:val="21"/>
        </w:rPr>
        <w:t>（六）、2025年6月26日，我公司公告了《博时中证全指自由现金流交易型开放式指数证券投资基金基金产品资料概要更新》；</w:t>
      </w:r>
    </w:p>
    <w:p>
      <w:pPr>
        <w:pStyle w:val="7"/>
        <w:spacing w:before="0" w:beforeAutospacing="0" w:after="0" w:afterAutospacing="0" w:line="360" w:lineRule="auto"/>
        <w:ind w:firstLine="420"/>
        <w:rPr>
          <w:sz w:val="21"/>
          <w:szCs w:val="21"/>
        </w:rPr>
      </w:pPr>
      <w:r>
        <w:rPr>
          <w:rFonts w:hint="eastAsia"/>
          <w:sz w:val="21"/>
          <w:szCs w:val="21"/>
        </w:rPr>
        <w:t>（七）、2025年6月6日，我公司公告了《博时基金管理有限公司关于旗下基金持有的长期停牌股票调整估值方法的公告-20250606》；</w:t>
      </w:r>
    </w:p>
    <w:p>
      <w:pPr>
        <w:pStyle w:val="7"/>
        <w:spacing w:before="0" w:beforeAutospacing="0" w:after="0" w:afterAutospacing="0" w:line="360" w:lineRule="auto"/>
        <w:ind w:firstLine="420"/>
        <w:rPr>
          <w:sz w:val="21"/>
          <w:szCs w:val="21"/>
        </w:rPr>
      </w:pPr>
      <w:r>
        <w:rPr>
          <w:rFonts w:hint="eastAsia"/>
          <w:sz w:val="21"/>
          <w:szCs w:val="21"/>
        </w:rPr>
        <w:t>（八）、2025年6月3日，我公司公告了《博时基金管理有限公司关于旗下基金持有的长期停牌股票调整估值方法的公告-20250603》；</w:t>
      </w:r>
    </w:p>
    <w:p>
      <w:pPr>
        <w:pStyle w:val="7"/>
        <w:spacing w:before="0" w:beforeAutospacing="0" w:after="0" w:afterAutospacing="0" w:line="360" w:lineRule="auto"/>
        <w:ind w:firstLine="420"/>
        <w:rPr>
          <w:sz w:val="21"/>
          <w:szCs w:val="21"/>
        </w:rPr>
      </w:pPr>
      <w:r>
        <w:rPr>
          <w:rFonts w:hint="eastAsia"/>
          <w:sz w:val="21"/>
          <w:szCs w:val="21"/>
        </w:rPr>
        <w:t>（九）、2025年5月29日，我公司公告了《关于博时中证全指自由现金流交易型开放式指数证券投资基金新增部分券商为申购、赎回代办券商的公告》；</w:t>
      </w:r>
    </w:p>
    <w:p>
      <w:pPr>
        <w:pStyle w:val="7"/>
        <w:spacing w:before="0" w:beforeAutospacing="0" w:after="0" w:afterAutospacing="0" w:line="360" w:lineRule="auto"/>
        <w:ind w:firstLine="420"/>
        <w:rPr>
          <w:sz w:val="21"/>
          <w:szCs w:val="21"/>
        </w:rPr>
      </w:pPr>
      <w:r>
        <w:rPr>
          <w:rFonts w:hint="eastAsia"/>
          <w:sz w:val="21"/>
          <w:szCs w:val="21"/>
        </w:rPr>
        <w:t>（十）、2025年5月22日，我公司公告了《博时中证全指自由现金流交易型开放式指数证券投资基金上市交易提示性公告》、《博时中证全指自由现金流交易型开放式指数证券投资基金基金产品资料概要更新》；</w:t>
      </w:r>
    </w:p>
    <w:p>
      <w:pPr>
        <w:pStyle w:val="7"/>
        <w:spacing w:before="0" w:beforeAutospacing="0" w:after="0" w:afterAutospacing="0" w:line="360" w:lineRule="auto"/>
        <w:ind w:firstLine="420"/>
        <w:rPr>
          <w:sz w:val="21"/>
          <w:szCs w:val="21"/>
        </w:rPr>
      </w:pPr>
      <w:r>
        <w:rPr>
          <w:rFonts w:hint="eastAsia"/>
          <w:sz w:val="21"/>
          <w:szCs w:val="21"/>
        </w:rPr>
        <w:t>（十一）、2025年5月19日，我公司公告了《博时中证全指自由现金流交易型开放式指数证券投资基金开放日常申购、赎回业务的公告》、《博时中证全指自由现金流交易型开放式指数证券投资基金上市交易公告书》；</w:t>
      </w:r>
    </w:p>
    <w:p>
      <w:pPr>
        <w:pStyle w:val="7"/>
        <w:spacing w:before="0" w:beforeAutospacing="0" w:after="0" w:afterAutospacing="0" w:line="360" w:lineRule="auto"/>
        <w:ind w:firstLine="420"/>
        <w:rPr>
          <w:sz w:val="21"/>
          <w:szCs w:val="21"/>
        </w:rPr>
      </w:pPr>
      <w:r>
        <w:rPr>
          <w:rFonts w:hint="eastAsia"/>
          <w:sz w:val="21"/>
          <w:szCs w:val="21"/>
        </w:rPr>
        <w:t>（十二）、2025年5月16日，我公司公告了《博时中证全指自由现金流交易型开放式指数证券投资基金基金产品资料概要更新》；</w:t>
      </w:r>
    </w:p>
    <w:p>
      <w:pPr>
        <w:pStyle w:val="7"/>
        <w:spacing w:before="0" w:beforeAutospacing="0" w:after="0" w:afterAutospacing="0" w:line="360" w:lineRule="auto"/>
        <w:ind w:firstLine="420"/>
        <w:rPr>
          <w:sz w:val="21"/>
          <w:szCs w:val="21"/>
        </w:rPr>
      </w:pPr>
      <w:r>
        <w:rPr>
          <w:rFonts w:hint="eastAsia"/>
          <w:sz w:val="21"/>
          <w:szCs w:val="21"/>
        </w:rPr>
        <w:t>（十三）、2025年5月15日，我公司公告了《博时中证全指自由现金流交易型开放式指数证券投资基金基金合同生效公告》；</w:t>
      </w:r>
    </w:p>
    <w:p>
      <w:pPr>
        <w:pStyle w:val="7"/>
        <w:spacing w:before="0" w:beforeAutospacing="0" w:after="0" w:afterAutospacing="0" w:line="360" w:lineRule="auto"/>
        <w:ind w:firstLine="420"/>
        <w:rPr>
          <w:sz w:val="21"/>
          <w:szCs w:val="21"/>
        </w:rPr>
      </w:pPr>
      <w:r>
        <w:rPr>
          <w:rFonts w:hint="eastAsia"/>
          <w:sz w:val="21"/>
          <w:szCs w:val="21"/>
        </w:rPr>
        <w:t>（十四）、2025年4月25日，我公司公告了《关于调整博时中证全指自由现金流交易型开放式指数证券投资基金募集期的公告》；</w:t>
      </w:r>
    </w:p>
    <w:p>
      <w:pPr>
        <w:pStyle w:val="7"/>
        <w:spacing w:before="0" w:beforeAutospacing="0" w:after="0" w:afterAutospacing="0" w:line="360" w:lineRule="auto"/>
        <w:ind w:firstLine="420"/>
        <w:rPr>
          <w:sz w:val="21"/>
          <w:szCs w:val="21"/>
        </w:rPr>
      </w:pPr>
      <w:r>
        <w:rPr>
          <w:rFonts w:hint="eastAsia"/>
          <w:sz w:val="21"/>
          <w:szCs w:val="21"/>
        </w:rPr>
        <w:t>（十五）、2025年4月10日，我公司公告了《博时中证全指自由现金流交易型开放式指数证券投资基金基金合同》、《博时中证全指自由现金流交易型开放式指数证券投资基金基金产品资料概要》、《博时中证全指自由现金流交易型开放式指数证券投资基金基金份额发售公告》、《博时中证全指自由现金流交易型开放式指数证券投资基金招募说明书》、《博</w:t>
      </w:r>
      <w:bookmarkStart w:id="181" w:name="chapter_level1_27_3499_section_1_end"/>
      <w:bookmarkEnd w:id="181"/>
      <w:r>
        <w:rPr>
          <w:rFonts w:hint="eastAsia"/>
          <w:sz w:val="21"/>
          <w:szCs w:val="21"/>
        </w:rPr>
        <w:t>时中证全指自由现金流交易型开放式指数证券投资基金托管协议》。</w:t>
      </w:r>
      <w:bookmarkStart w:id="182" w:name="field_0_bsrevealinfo_1_end"/>
      <w:bookmarkEnd w:id="182"/>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83" w:name="_Toc214976562"/>
      <w:bookmarkStart w:id="184" w:name="chapter_level1_28_77"/>
      <w:r>
        <w:rPr>
          <w:rFonts w:hint="eastAsia" w:ascii="宋体" w:hAnsi="宋体" w:eastAsia="宋体"/>
          <w:sz w:val="30"/>
        </w:rPr>
        <w:t>第二十四部分  招募说明书的存放及查阅方式</w:t>
      </w:r>
      <w:bookmarkEnd w:id="183"/>
      <w:bookmarkEnd w:id="184"/>
    </w:p>
    <w:p>
      <w:pPr>
        <w:pStyle w:val="7"/>
        <w:spacing w:before="0" w:beforeAutospacing="0" w:after="0" w:afterAutospacing="0" w:line="360" w:lineRule="auto"/>
        <w:ind w:firstLine="420"/>
        <w:rPr>
          <w:sz w:val="21"/>
          <w:szCs w:val="21"/>
        </w:rPr>
      </w:pPr>
      <w:bookmarkStart w:id="185" w:name="chapter_level1_28_77_section_1"/>
      <w:bookmarkEnd w:id="185"/>
      <w:r>
        <w:rPr>
          <w:rFonts w:hint="eastAsia"/>
          <w:sz w:val="21"/>
          <w:szCs w:val="21"/>
        </w:rPr>
        <w:t>招募说明书公布后，应当分别置备于基金管理人、基金托管人的住所和基金上市交易的证券交易所，供公众查阅、复制。投资人可在办公时间查阅；投资人在支付工本费后，可在合理时间内取得上述文件复制件或复印件。对投资人按此种方式所获得的文件及其复印件，基金管理人保证文本的内容与所公告的内容完全一致。</w:t>
      </w:r>
    </w:p>
    <w:p>
      <w:pPr>
        <w:pStyle w:val="7"/>
        <w:spacing w:before="0" w:beforeAutospacing="0" w:after="0" w:afterAutospacing="0" w:line="360" w:lineRule="auto"/>
        <w:ind w:firstLine="420"/>
        <w:rPr>
          <w:sz w:val="21"/>
          <w:szCs w:val="21"/>
        </w:rPr>
      </w:pPr>
      <w:bookmarkStart w:id="186" w:name="chapter_level1_28_77_section_1_end"/>
      <w:bookmarkEnd w:id="186"/>
      <w:r>
        <w:rPr>
          <w:rFonts w:hint="eastAsia"/>
          <w:sz w:val="21"/>
          <w:szCs w:val="21"/>
        </w:rPr>
        <w:t>投资人还可以直接登录基金管理人的网站（www.bosera.com）查阅和下载招募说明书。</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87" w:name="_Toc214976563"/>
      <w:bookmarkStart w:id="188" w:name="chapter_level1_29_332"/>
      <w:r>
        <w:rPr>
          <w:rFonts w:hint="eastAsia" w:ascii="宋体" w:hAnsi="宋体" w:eastAsia="宋体"/>
          <w:sz w:val="30"/>
        </w:rPr>
        <w:t>第二十五部分  备查文件</w:t>
      </w:r>
      <w:bookmarkEnd w:id="187"/>
      <w:bookmarkEnd w:id="188"/>
    </w:p>
    <w:p>
      <w:pPr>
        <w:pStyle w:val="7"/>
        <w:spacing w:before="0" w:beforeAutospacing="0" w:after="0" w:afterAutospacing="0" w:line="360" w:lineRule="auto"/>
        <w:ind w:firstLine="420"/>
        <w:rPr>
          <w:sz w:val="21"/>
          <w:szCs w:val="21"/>
        </w:rPr>
      </w:pPr>
      <w:bookmarkStart w:id="189" w:name="chapter_level1_29_332_section_1"/>
      <w:bookmarkEnd w:id="189"/>
      <w:r>
        <w:rPr>
          <w:rFonts w:hint="eastAsia"/>
          <w:sz w:val="21"/>
          <w:szCs w:val="21"/>
        </w:rPr>
        <w:t xml:space="preserve">以下备查文件存放在基金管理人的办公场所，在办公时间可供免费查阅。 </w:t>
      </w:r>
    </w:p>
    <w:p>
      <w:pPr>
        <w:pStyle w:val="7"/>
        <w:spacing w:before="0" w:beforeAutospacing="0" w:after="0" w:afterAutospacing="0" w:line="360" w:lineRule="auto"/>
        <w:ind w:firstLine="420"/>
        <w:rPr>
          <w:sz w:val="21"/>
          <w:szCs w:val="21"/>
        </w:rPr>
      </w:pPr>
      <w:r>
        <w:rPr>
          <w:rFonts w:hint="eastAsia"/>
          <w:sz w:val="21"/>
          <w:szCs w:val="21"/>
        </w:rPr>
        <w:t>（一）中国证监会准予</w:t>
      </w:r>
      <w:bookmarkStart w:id="190" w:name="field_0_productfullname_15"/>
      <w:r>
        <w:rPr>
          <w:rFonts w:hint="eastAsia"/>
          <w:sz w:val="21"/>
          <w:szCs w:val="21"/>
        </w:rPr>
        <w:t>博时中证全指自由现金流交易型开放式指数证券投资基金</w:t>
      </w:r>
      <w:bookmarkEnd w:id="190"/>
      <w:r>
        <w:rPr>
          <w:rFonts w:hint="eastAsia"/>
          <w:sz w:val="21"/>
          <w:szCs w:val="21"/>
        </w:rPr>
        <w:t xml:space="preserve">注册的文件 </w:t>
      </w:r>
    </w:p>
    <w:p>
      <w:pPr>
        <w:pStyle w:val="7"/>
        <w:spacing w:before="0" w:beforeAutospacing="0" w:after="0" w:afterAutospacing="0" w:line="360" w:lineRule="auto"/>
        <w:ind w:firstLine="420"/>
        <w:rPr>
          <w:sz w:val="21"/>
          <w:szCs w:val="21"/>
        </w:rPr>
      </w:pPr>
      <w:r>
        <w:rPr>
          <w:rFonts w:hint="eastAsia"/>
          <w:sz w:val="21"/>
          <w:szCs w:val="21"/>
        </w:rPr>
        <w:t>（二）《</w:t>
      </w:r>
      <w:bookmarkStart w:id="191" w:name="field_0_productfullname_16"/>
      <w:r>
        <w:rPr>
          <w:rFonts w:hint="eastAsia"/>
          <w:sz w:val="21"/>
          <w:szCs w:val="21"/>
        </w:rPr>
        <w:t>博时中证全指自由现金流交易型开放式指数证券投资基金</w:t>
      </w:r>
      <w:bookmarkEnd w:id="191"/>
      <w:r>
        <w:rPr>
          <w:rFonts w:hint="eastAsia"/>
          <w:sz w:val="21"/>
          <w:szCs w:val="21"/>
        </w:rPr>
        <w:t xml:space="preserve">基金合同》 </w:t>
      </w:r>
    </w:p>
    <w:p>
      <w:pPr>
        <w:pStyle w:val="7"/>
        <w:spacing w:before="0" w:beforeAutospacing="0" w:after="0" w:afterAutospacing="0" w:line="360" w:lineRule="auto"/>
        <w:ind w:firstLine="420"/>
        <w:rPr>
          <w:sz w:val="21"/>
          <w:szCs w:val="21"/>
        </w:rPr>
      </w:pPr>
      <w:r>
        <w:rPr>
          <w:rFonts w:hint="eastAsia"/>
          <w:sz w:val="21"/>
          <w:szCs w:val="21"/>
        </w:rPr>
        <w:t>（三）《</w:t>
      </w:r>
      <w:bookmarkStart w:id="192" w:name="field_0_productfullname_17"/>
      <w:r>
        <w:rPr>
          <w:rFonts w:hint="eastAsia"/>
          <w:sz w:val="21"/>
          <w:szCs w:val="21"/>
        </w:rPr>
        <w:t>博时中证全指自由现金流交易型开放式指数证券投资基金</w:t>
      </w:r>
      <w:bookmarkEnd w:id="192"/>
      <w:r>
        <w:rPr>
          <w:rFonts w:hint="eastAsia"/>
          <w:sz w:val="21"/>
          <w:szCs w:val="21"/>
        </w:rPr>
        <w:t xml:space="preserve">托管协议》 </w:t>
      </w:r>
    </w:p>
    <w:p>
      <w:pPr>
        <w:pStyle w:val="7"/>
        <w:spacing w:before="0" w:beforeAutospacing="0" w:after="0" w:afterAutospacing="0" w:line="360" w:lineRule="auto"/>
        <w:ind w:firstLine="420"/>
        <w:rPr>
          <w:sz w:val="21"/>
          <w:szCs w:val="21"/>
        </w:rPr>
      </w:pPr>
      <w:r>
        <w:rPr>
          <w:rFonts w:hint="eastAsia"/>
          <w:sz w:val="21"/>
          <w:szCs w:val="21"/>
        </w:rPr>
        <w:t xml:space="preserve">（四）基金管理人业务资格批件、营业执照 </w:t>
      </w:r>
    </w:p>
    <w:p>
      <w:pPr>
        <w:pStyle w:val="7"/>
        <w:spacing w:before="0" w:beforeAutospacing="0" w:after="0" w:afterAutospacing="0" w:line="360" w:lineRule="auto"/>
        <w:ind w:firstLine="420"/>
        <w:rPr>
          <w:sz w:val="21"/>
          <w:szCs w:val="21"/>
        </w:rPr>
      </w:pPr>
      <w:r>
        <w:rPr>
          <w:rFonts w:hint="eastAsia"/>
          <w:sz w:val="21"/>
          <w:szCs w:val="21"/>
        </w:rPr>
        <w:t xml:space="preserve">（五）基金托管人业务资格批件、营业执照 </w:t>
      </w:r>
    </w:p>
    <w:p>
      <w:pPr>
        <w:pStyle w:val="7"/>
        <w:spacing w:before="0" w:beforeAutospacing="0" w:after="0" w:afterAutospacing="0" w:line="360" w:lineRule="auto"/>
        <w:ind w:firstLine="420"/>
        <w:rPr>
          <w:sz w:val="21"/>
          <w:szCs w:val="21"/>
        </w:rPr>
      </w:pPr>
      <w:r>
        <w:rPr>
          <w:rFonts w:hint="eastAsia"/>
          <w:sz w:val="21"/>
          <w:szCs w:val="21"/>
        </w:rPr>
        <w:t xml:space="preserve">（六）法律意见书 </w:t>
      </w:r>
    </w:p>
    <w:p>
      <w:pPr>
        <w:pStyle w:val="7"/>
        <w:spacing w:before="0" w:beforeAutospacing="0" w:after="0" w:afterAutospacing="0" w:line="360" w:lineRule="auto"/>
        <w:ind w:firstLine="420"/>
        <w:rPr>
          <w:sz w:val="21"/>
          <w:szCs w:val="21"/>
        </w:rPr>
      </w:pPr>
      <w:r>
        <w:rPr>
          <w:rFonts w:hint="eastAsia"/>
          <w:sz w:val="21"/>
          <w:szCs w:val="21"/>
        </w:rPr>
        <w:t xml:space="preserve">（七）中国证监会要求的其他文件 </w:t>
      </w:r>
    </w:p>
    <w:p>
      <w:pPr>
        <w:pStyle w:val="7"/>
        <w:spacing w:before="0" w:beforeAutospacing="0" w:after="0" w:afterAutospacing="0" w:line="360" w:lineRule="auto"/>
        <w:ind w:firstLine="420"/>
        <w:rPr>
          <w:sz w:val="21"/>
          <w:szCs w:val="21"/>
        </w:rPr>
      </w:pPr>
      <w:bookmarkStart w:id="193" w:name="chapter_level1_29_332_section_1_end"/>
      <w:bookmarkEnd w:id="193"/>
      <w:r>
        <w:rPr>
          <w:rFonts w:hint="eastAsia"/>
          <w:sz w:val="21"/>
          <w:szCs w:val="21"/>
        </w:rPr>
        <w:t xml:space="preserve">查阅方式：投资者可在营业时间免费查阅，也可按工本费购买复印件。 </w:t>
      </w:r>
    </w:p>
    <w:p>
      <w:pPr>
        <w:pStyle w:val="7"/>
        <w:spacing w:before="0" w:beforeAutospacing="0" w:after="0" w:afterAutospacing="0" w:line="360" w:lineRule="auto"/>
        <w:ind w:firstLine="420"/>
        <w:rPr>
          <w:sz w:val="21"/>
          <w:szCs w:val="21"/>
        </w:rPr>
      </w:pPr>
      <w:bookmarkStart w:id="194" w:name="chapter_level1_29_332_section_2"/>
      <w:bookmarkEnd w:id="194"/>
    </w:p>
    <w:p>
      <w:pPr>
        <w:pStyle w:val="7"/>
        <w:spacing w:before="0" w:beforeAutospacing="0" w:after="0" w:afterAutospacing="0" w:line="360" w:lineRule="auto"/>
        <w:ind w:firstLine="420"/>
        <w:rPr>
          <w:sz w:val="21"/>
          <w:szCs w:val="21"/>
        </w:rPr>
      </w:pPr>
    </w:p>
    <w:p>
      <w:pPr>
        <w:pStyle w:val="7"/>
        <w:spacing w:before="0" w:beforeAutospacing="0" w:after="0" w:afterAutospacing="0" w:line="360" w:lineRule="auto"/>
        <w:ind w:firstLine="420"/>
        <w:rPr>
          <w:sz w:val="21"/>
          <w:szCs w:val="21"/>
        </w:rPr>
      </w:pPr>
    </w:p>
    <w:p>
      <w:pPr>
        <w:pStyle w:val="7"/>
        <w:spacing w:before="0" w:beforeAutospacing="0" w:after="0" w:afterAutospacing="0" w:line="360" w:lineRule="auto"/>
        <w:ind w:firstLine="420"/>
        <w:rPr>
          <w:sz w:val="21"/>
          <w:szCs w:val="21"/>
        </w:rPr>
      </w:pPr>
    </w:p>
    <w:p>
      <w:pPr>
        <w:pStyle w:val="7"/>
        <w:spacing w:before="0" w:beforeAutospacing="0" w:after="0" w:afterAutospacing="0" w:line="360" w:lineRule="auto"/>
        <w:ind w:firstLine="420"/>
        <w:jc w:val="right"/>
        <w:rPr>
          <w:sz w:val="21"/>
          <w:szCs w:val="21"/>
        </w:rPr>
      </w:pPr>
      <w:bookmarkStart w:id="195" w:name="field_0_managerorgfullname_1"/>
      <w:r>
        <w:rPr>
          <w:rFonts w:hint="eastAsia"/>
          <w:sz w:val="21"/>
          <w:szCs w:val="21"/>
        </w:rPr>
        <w:t>博时基金管理有限公司</w:t>
      </w:r>
      <w:bookmarkEnd w:id="195"/>
      <w:r>
        <w:rPr>
          <w:rFonts w:hint="eastAsia"/>
          <w:sz w:val="21"/>
          <w:szCs w:val="21"/>
        </w:rPr>
        <w:t xml:space="preserve">  </w:t>
      </w:r>
    </w:p>
    <w:p>
      <w:pPr>
        <w:pStyle w:val="7"/>
        <w:spacing w:before="0" w:beforeAutospacing="0" w:after="0" w:afterAutospacing="0" w:line="360" w:lineRule="auto"/>
        <w:ind w:firstLine="420"/>
        <w:jc w:val="right"/>
        <w:rPr>
          <w:sz w:val="21"/>
          <w:szCs w:val="21"/>
        </w:rPr>
      </w:pPr>
      <w:bookmarkStart w:id="196" w:name="chapter_level1_29_332_section_2_end"/>
      <w:bookmarkEnd w:id="196"/>
      <w:bookmarkStart w:id="197" w:name="field_0_commitmenttime_1"/>
      <w:r>
        <w:rPr>
          <w:sz w:val="21"/>
          <w:szCs w:val="21"/>
        </w:rPr>
        <w:t>202</w:t>
      </w:r>
      <w:r>
        <w:rPr>
          <w:rFonts w:hint="eastAsia"/>
          <w:sz w:val="21"/>
          <w:szCs w:val="21"/>
          <w:lang w:val="en-US" w:eastAsia="zh-CN"/>
        </w:rPr>
        <w:t>6</w:t>
      </w:r>
      <w:r>
        <w:rPr>
          <w:sz w:val="21"/>
          <w:szCs w:val="21"/>
        </w:rPr>
        <w:t>年</w:t>
      </w:r>
      <w:r>
        <w:rPr>
          <w:rFonts w:hint="eastAsia"/>
          <w:sz w:val="21"/>
          <w:szCs w:val="21"/>
          <w:lang w:val="en-US" w:eastAsia="zh-CN"/>
        </w:rPr>
        <w:t>5</w:t>
      </w:r>
      <w:r>
        <w:rPr>
          <w:sz w:val="21"/>
          <w:szCs w:val="21"/>
        </w:rPr>
        <w:t>月</w:t>
      </w:r>
      <w:r>
        <w:rPr>
          <w:rFonts w:hint="eastAsia"/>
          <w:sz w:val="21"/>
          <w:szCs w:val="21"/>
          <w:lang w:val="en-US" w:eastAsia="zh-CN"/>
        </w:rPr>
        <w:t>21</w:t>
      </w:r>
      <w:r>
        <w:rPr>
          <w:sz w:val="21"/>
          <w:szCs w:val="21"/>
        </w:rPr>
        <w:t>日</w:t>
      </w:r>
      <w:bookmarkEnd w:id="197"/>
      <w:r>
        <w:rPr>
          <w:rFonts w:hint="eastAsia"/>
          <w:sz w:val="21"/>
          <w:szCs w:val="21"/>
        </w:rPr>
        <w:t xml:space="preserve">  </w:t>
      </w:r>
    </w:p>
    <w:p>
      <w:pPr>
        <w:rPr>
          <w:rFonts w:ascii="宋体" w:hAnsi="宋体" w:eastAsia="宋体"/>
        </w:rPr>
      </w:pPr>
      <w:bookmarkStart w:id="198" w:name="end"/>
      <w:bookmarkEnd w:id="198"/>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142</w:t>
    </w:r>
    <w:r>
      <w:fldChar w:fldCharType="end"/>
    </w:r>
    <w:r>
      <w:rPr>
        <w:rFonts w:hint="eastAsia"/>
      </w:rPr>
      <w:t>页 共</w:t>
    </w:r>
    <w:r>
      <w:fldChar w:fldCharType="begin"/>
    </w:r>
    <w:r>
      <w:instrText xml:space="preserve"> NumPages \* MERGEFORMAT </w:instrText>
    </w:r>
    <w:r>
      <w:fldChar w:fldCharType="separate"/>
    </w:r>
    <w:r>
      <w:t>142</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pPr>
      <w:pStyle w:val="5"/>
      <w:jc w:val="right"/>
    </w:pPr>
    <w:r>
      <w:rPr>
        <w:rFonts w:hint="eastAsia"/>
      </w:rPr>
      <w:t>博时中证全指自由现金流交易型开放式指数证券投资基金更新招募说明书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5BF2"/>
    <w:rsid w:val="00023E5F"/>
    <w:rsid w:val="00895BF2"/>
    <w:rsid w:val="00FD61E4"/>
    <w:rsid w:val="0D8A1101"/>
    <w:rsid w:val="5D2C1012"/>
    <w:rsid w:val="62AE341A"/>
    <w:rsid w:val="7C437F2A"/>
    <w:rsid w:val="7CF156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semiHidden/>
    <w:unhideWhenUsed/>
    <w:qFormat/>
    <w:uiPriority w:val="99"/>
    <w:rPr>
      <w:sz w:val="18"/>
      <w:szCs w:val="18"/>
    </w:rPr>
  </w:style>
  <w:style w:type="paragraph" w:styleId="4">
    <w:name w:val="footer"/>
    <w:basedOn w:val="1"/>
    <w:link w:val="15"/>
    <w:unhideWhenUsed/>
    <w:qFormat/>
    <w:uiPriority w:val="99"/>
    <w:pPr>
      <w:tabs>
        <w:tab w:val="center" w:pos="4153"/>
        <w:tab w:val="right" w:pos="8306"/>
      </w:tabs>
      <w:snapToGrid w:val="0"/>
      <w:jc w:val="left"/>
    </w:pPr>
    <w:rPr>
      <w:sz w:val="18"/>
      <w:szCs w:val="18"/>
    </w:rPr>
  </w:style>
  <w:style w:type="paragraph" w:styleId="5">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oc 2"/>
    <w:basedOn w:val="1"/>
    <w:next w:val="1"/>
    <w:unhideWhenUsed/>
    <w:qFormat/>
    <w:uiPriority w:val="39"/>
    <w:pPr>
      <w:ind w:left="420" w:leftChars="200"/>
    </w:p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22"/>
    <w:rPr>
      <w:b/>
      <w:bCs/>
    </w:rPr>
  </w:style>
  <w:style w:type="character" w:styleId="12">
    <w:name w:val="Hyperlink"/>
    <w:basedOn w:val="10"/>
    <w:unhideWhenUsed/>
    <w:qFormat/>
    <w:uiPriority w:val="99"/>
    <w:rPr>
      <w:color w:val="0000FF" w:themeColor="hyperlink"/>
      <w:u w:val="single"/>
      <w14:textFill>
        <w14:solidFill>
          <w14:schemeClr w14:val="hlink"/>
        </w14:solidFill>
      </w14:textFill>
    </w:rPr>
  </w:style>
  <w:style w:type="character" w:customStyle="1" w:styleId="13">
    <w:name w:val="标题 2 Char"/>
    <w:basedOn w:val="10"/>
    <w:link w:val="2"/>
    <w:qFormat/>
    <w:uiPriority w:val="9"/>
    <w:rPr>
      <w:rFonts w:asciiTheme="majorHAnsi" w:hAnsiTheme="majorHAnsi" w:eastAsiaTheme="majorEastAsia" w:cstheme="majorBidi"/>
      <w:b/>
      <w:bCs/>
      <w:sz w:val="32"/>
      <w:szCs w:val="32"/>
    </w:rPr>
  </w:style>
  <w:style w:type="character" w:customStyle="1" w:styleId="14">
    <w:name w:val="页眉 Char"/>
    <w:basedOn w:val="10"/>
    <w:link w:val="5"/>
    <w:qFormat/>
    <w:uiPriority w:val="99"/>
    <w:rPr>
      <w:sz w:val="18"/>
      <w:szCs w:val="18"/>
    </w:rPr>
  </w:style>
  <w:style w:type="character" w:customStyle="1" w:styleId="15">
    <w:name w:val="页脚 Char"/>
    <w:basedOn w:val="10"/>
    <w:link w:val="4"/>
    <w:qFormat/>
    <w:uiPriority w:val="99"/>
    <w:rPr>
      <w:sz w:val="18"/>
      <w:szCs w:val="18"/>
    </w:rPr>
  </w:style>
  <w:style w:type="character" w:customStyle="1" w:styleId="16">
    <w:name w:val="批注框文本 Char"/>
    <w:basedOn w:val="10"/>
    <w:link w:val="3"/>
    <w:semiHidden/>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2.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141</Pages>
  <Words>16639</Words>
  <Characters>94847</Characters>
  <Lines>790</Lines>
  <Paragraphs>222</Paragraphs>
  <TotalTime>1</TotalTime>
  <ScaleCrop>false</ScaleCrop>
  <LinksUpToDate>false</LinksUpToDate>
  <CharactersWithSpaces>111264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2025-11-25T07:21:00Z</dcterms:created>
  <dc:creator>BSKMadminDev</dc:creator>
  <cp:lastModifiedBy>huangzw</cp:lastModifiedBy>
  <dcterms:modified xsi:type="dcterms:W3CDTF">2026-05-20T07:48:23Z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1D77038BBCD04F6EBE5432C531C99C95</vt:lpwstr>
  </property>
</Properties>
</file>