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bookmarkStart w:id="225" w:name="_GoBack"/>
      <w:bookmarkEnd w:id="225"/>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博时产业新动力灵活配置混合型发起式证券投资基金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中国工商银行股份有限公司</w:t>
      </w:r>
      <w:r>
        <w:rPr>
          <w:rFonts w:ascii="宋体" w:hAnsi="宋体" w:eastAsia="宋体"/>
          <w:b/>
          <w:sz w:val="30"/>
        </w:rPr>
        <w:br w:type="page"/>
      </w:r>
    </w:p>
    <w:p>
      <w:pPr>
        <w:pStyle w:val="2"/>
        <w:jc w:val="center"/>
        <w:rPr>
          <w:rFonts w:ascii="宋体" w:hAnsi="宋体" w:eastAsia="宋体"/>
          <w:sz w:val="30"/>
        </w:rPr>
      </w:pPr>
      <w:bookmarkStart w:id="0" w:name="_Toc207980069"/>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2014年11月24日</w:t>
      </w:r>
      <w:bookmarkEnd w:id="1"/>
      <w:r>
        <w:rPr>
          <w:rFonts w:hint="eastAsia"/>
          <w:sz w:val="21"/>
          <w:szCs w:val="21"/>
        </w:rPr>
        <w:t>中国证券监督管理委员会《关于准予</w:t>
      </w:r>
      <w:bookmarkStart w:id="2" w:name="field_0_productfullname_1"/>
      <w:r>
        <w:rPr>
          <w:rFonts w:hint="eastAsia"/>
          <w:sz w:val="21"/>
          <w:szCs w:val="21"/>
        </w:rPr>
        <w:t>博时产业新动力灵活配置混合型发起式证券投资基金</w:t>
      </w:r>
      <w:bookmarkEnd w:id="2"/>
      <w:r>
        <w:rPr>
          <w:rFonts w:hint="eastAsia"/>
          <w:sz w:val="21"/>
          <w:szCs w:val="21"/>
        </w:rPr>
        <w:t>注册的批复》（证监许可</w:t>
      </w:r>
      <w:bookmarkStart w:id="3" w:name="field_2343_lotnumber_1"/>
      <w:r>
        <w:rPr>
          <w:sz w:val="21"/>
          <w:szCs w:val="21"/>
        </w:rPr>
        <w:t>[2014]1251</w:t>
      </w:r>
      <w:bookmarkEnd w:id="3"/>
      <w:r>
        <w:rPr>
          <w:rFonts w:hint="eastAsia"/>
          <w:sz w:val="21"/>
          <w:szCs w:val="21"/>
        </w:rPr>
        <w:t>号）和2014年12月31日《关于</w:t>
      </w:r>
      <w:bookmarkStart w:id="4" w:name="field_0_productfullname_2"/>
      <w:r>
        <w:rPr>
          <w:rFonts w:hint="eastAsia"/>
          <w:sz w:val="21"/>
          <w:szCs w:val="21"/>
        </w:rPr>
        <w:t>博时产业新动力灵活配置混合型发起式证券投资基金</w:t>
      </w:r>
      <w:bookmarkEnd w:id="4"/>
      <w:r>
        <w:rPr>
          <w:rFonts w:hint="eastAsia"/>
          <w:sz w:val="21"/>
          <w:szCs w:val="21"/>
        </w:rPr>
        <w:t xml:space="preserve">募集时间安排的确认函》（证券基金机构监管部部函[2014]2165号）准予注册，进行募集。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 xml:space="preserve">5、本基金为发起式基金，在基金募集时，基金管理人使用公司固有资金参与认购本基金的金额不低于1000万元，认购的基金份额持有期限不低于三年。基金管理人认购的基金份额持有期限满三年后，基金管理人将根据自身情况决定是否继续持有，届时，基金管理人有可能赎回认购的本基金份额。另外，本基金的基金合同生效三年后（指基金合同生效之日起三年后的对应日），若基金资产净值低于两亿元的，基金合同自动终止。投资者将面临基金合同可能终止的不确定性风险。 </w:t>
      </w:r>
    </w:p>
    <w:p>
      <w:pPr>
        <w:pStyle w:val="7"/>
        <w:spacing w:before="0" w:beforeAutospacing="0" w:after="0" w:afterAutospacing="0" w:line="360" w:lineRule="auto"/>
        <w:ind w:firstLine="420"/>
        <w:rPr>
          <w:sz w:val="21"/>
          <w:szCs w:val="21"/>
        </w:rPr>
      </w:pPr>
      <w:r>
        <w:rPr>
          <w:rFonts w:hint="eastAsia"/>
          <w:sz w:val="21"/>
          <w:szCs w:val="21"/>
        </w:rPr>
        <w:t xml:space="preserve">6、本基金为混合型基金，预期风险和预期收益高于货币市场基金、债券型基金，低于股票型基金，属于证券投资基金中的中高风险/收益品种。 </w:t>
      </w:r>
    </w:p>
    <w:p>
      <w:pPr>
        <w:pStyle w:val="7"/>
        <w:spacing w:before="0" w:beforeAutospacing="0" w:after="0" w:afterAutospacing="0" w:line="360" w:lineRule="auto"/>
        <w:ind w:firstLine="420"/>
        <w:rPr>
          <w:sz w:val="21"/>
          <w:szCs w:val="21"/>
        </w:rPr>
      </w:pPr>
      <w:r>
        <w:rPr>
          <w:rFonts w:hint="eastAsia"/>
          <w:sz w:val="21"/>
          <w:szCs w:val="21"/>
        </w:rPr>
        <w:t xml:space="preserve">7、本基金的投资范围为具有良好流动性的金融工具，包括国内依法发行上市的股票（含主板、中小板、创业板及其他经中国证监会核准上市的股票、存托凭证等）、权证、股指期货、债券（含中小企业私募债）、货币市场工具、中期票据、现金以及法律法规或中国证监会允许基金投资的其他金融工具(但须符合中国证监会相关规定)。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8、基金的投资组合比例为：股票（含存托凭证）投资比例为基金资产的0%-95%，其中投资于具备产业创新动力、引领制造业发展趋势的股票比例不低于非现金基金资产的80%。本基金每个交易日日终在扣除股指期货合约需缴纳的交易保证金后，保持现金或者到期日在一年以内的政府债券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9、本基金初始募集面值为人民币</w:t>
      </w:r>
      <w:bookmarkStart w:id="5" w:name="field_2343_facevalue_1"/>
      <w:r>
        <w:rPr>
          <w:sz w:val="21"/>
          <w:szCs w:val="21"/>
        </w:rPr>
        <w:t>1.00</w:t>
      </w:r>
      <w:bookmarkEnd w:id="5"/>
      <w:r>
        <w:rPr>
          <w:rFonts w:hint="eastAsia"/>
          <w:sz w:val="21"/>
          <w:szCs w:val="21"/>
        </w:rPr>
        <w:t xml:space="preserve">元。在市场波动因素影响下，本基金净值可能低于初始面值，本基金投资者有可能出现亏损。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 xml:space="preserve">12、本招募说明书关于基金产品资料概要的编制、披露及更新等内容，将不晚于2020年9月1日起执行。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6"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7</w:t>
      </w:r>
      <w:r>
        <w:rPr>
          <w:sz w:val="21"/>
          <w:szCs w:val="21"/>
        </w:rPr>
        <w:t>日</w:t>
      </w:r>
      <w:bookmarkEnd w:id="6"/>
      <w:r>
        <w:rPr>
          <w:rFonts w:hint="eastAsia"/>
          <w:sz w:val="21"/>
          <w:szCs w:val="21"/>
        </w:rPr>
        <w:t>，有关财务数据和净值表现截止日为</w:t>
      </w:r>
      <w:bookmarkStart w:id="7" w:name="field_2343_financeendday_1"/>
      <w:r>
        <w:rPr>
          <w:sz w:val="21"/>
          <w:szCs w:val="21"/>
        </w:rPr>
        <w:t>2025年6月30日</w:t>
      </w:r>
      <w:bookmarkEnd w:id="7"/>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"_Toc207980069"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_Toc207980069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"_Toc207980070"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_Toc207980070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"_Toc207980071"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_Toc207980071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"_Toc207980072"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_Toc207980072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"_Toc207980073"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_Toc207980073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"_Toc207980074"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_Toc207980074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"_Toc207980075"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_Toc207980075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"_Toc207980076"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_Toc207980076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"_Toc207980077"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_Toc207980077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"_Toc207980078"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_Toc207980078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"_Toc207980079"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_Toc207980079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"_Toc207980080"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_Toc207980080 \h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"_Toc207980081"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_Toc207980081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"_Toc207980082"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_Toc207980082 \h </w:instrText>
      </w:r>
      <w:r>
        <w:rPr>
          <w:rFonts w:ascii="宋体" w:hAnsi="宋体" w:eastAsia="宋体"/>
        </w:rPr>
        <w:fldChar w:fldCharType="separate"/>
      </w:r>
      <w:r>
        <w:rPr>
          <w:rFonts w:ascii="宋体" w:hAnsi="宋体" w:eastAsia="宋体"/>
        </w:rPr>
        <w:t>105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"_Toc207980083"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_Toc207980083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"_Toc207980084"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_Toc207980084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"_Toc207980085"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_Toc207980085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"_Toc207980086"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_Toc207980086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"_Toc207980087"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_Toc207980087 \h </w:instrText>
      </w:r>
      <w:r>
        <w:rPr>
          <w:rFonts w:ascii="宋体" w:hAnsi="宋体" w:eastAsia="宋体"/>
        </w:rPr>
        <w:fldChar w:fldCharType="separate"/>
      </w:r>
      <w:r>
        <w:rPr>
          <w:rFonts w:ascii="宋体" w:hAnsi="宋体" w:eastAsia="宋体"/>
        </w:rPr>
        <w:t>122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"_Toc207980088"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_Toc207980088 \h </w:instrText>
      </w:r>
      <w:r>
        <w:rPr>
          <w:rFonts w:ascii="宋体" w:hAnsi="宋体" w:eastAsia="宋体"/>
        </w:rPr>
        <w:fldChar w:fldCharType="separate"/>
      </w:r>
      <w:r>
        <w:rPr>
          <w:rFonts w:ascii="宋体" w:hAnsi="宋体" w:eastAsia="宋体"/>
        </w:rPr>
        <w:t>137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"_Toc207980089"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_Toc207980089 \h </w:instrText>
      </w:r>
      <w:r>
        <w:rPr>
          <w:rFonts w:ascii="宋体" w:hAnsi="宋体" w:eastAsia="宋体"/>
        </w:rPr>
        <w:fldChar w:fldCharType="separate"/>
      </w:r>
      <w:r>
        <w:rPr>
          <w:rFonts w:ascii="宋体" w:hAnsi="宋体" w:eastAsia="宋体"/>
        </w:rPr>
        <w:t>155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"_Toc207980090"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_Toc207980090 \h </w:instrText>
      </w:r>
      <w:r>
        <w:rPr>
          <w:rFonts w:ascii="宋体" w:hAnsi="宋体" w:eastAsia="宋体"/>
        </w:rPr>
        <w:fldChar w:fldCharType="separate"/>
      </w:r>
      <w:r>
        <w:rPr>
          <w:rFonts w:ascii="宋体" w:hAnsi="宋体" w:eastAsia="宋体"/>
        </w:rPr>
        <w:t>158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"_Toc207980091"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_Toc207980091 \h </w:instrText>
      </w:r>
      <w:r>
        <w:rPr>
          <w:rFonts w:ascii="宋体" w:hAnsi="宋体" w:eastAsia="宋体"/>
        </w:rPr>
        <w:fldChar w:fldCharType="separate"/>
      </w:r>
      <w:r>
        <w:rPr>
          <w:rFonts w:ascii="宋体" w:hAnsi="宋体" w:eastAsia="宋体"/>
        </w:rPr>
        <w:t>160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"_Toc207980092"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_Toc207980092 \h </w:instrText>
      </w:r>
      <w:r>
        <w:rPr>
          <w:rFonts w:ascii="宋体" w:hAnsi="宋体" w:eastAsia="宋体"/>
        </w:rPr>
        <w:fldChar w:fldCharType="separate"/>
      </w:r>
      <w:r>
        <w:rPr>
          <w:rFonts w:ascii="宋体" w:hAnsi="宋体" w:eastAsia="宋体"/>
        </w:rPr>
        <w:t>161</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8" w:name="_Toc207980070"/>
      <w:bookmarkStart w:id="9" w:name="chapter_level1_3_2344"/>
      <w:r>
        <w:rPr>
          <w:rFonts w:hint="eastAsia" w:ascii="宋体" w:hAnsi="宋体" w:eastAsia="宋体"/>
          <w:sz w:val="30"/>
        </w:rPr>
        <w:t>第一部分  绪言</w:t>
      </w:r>
      <w:bookmarkEnd w:id="8"/>
      <w:bookmarkEnd w:id="9"/>
    </w:p>
    <w:p>
      <w:pPr>
        <w:pStyle w:val="7"/>
        <w:spacing w:before="0" w:beforeAutospacing="0" w:after="0" w:afterAutospacing="0" w:line="360" w:lineRule="auto"/>
        <w:ind w:firstLine="420"/>
        <w:rPr>
          <w:sz w:val="21"/>
          <w:szCs w:val="21"/>
        </w:rPr>
      </w:pPr>
      <w:bookmarkStart w:id="10" w:name="chapter_level1_3_2344_section_1"/>
      <w:bookmarkEnd w:id="10"/>
      <w:r>
        <w:rPr>
          <w:rFonts w:hint="eastAsia"/>
          <w:sz w:val="21"/>
          <w:szCs w:val="21"/>
        </w:rPr>
        <w:t>《</w:t>
      </w:r>
      <w:bookmarkStart w:id="11" w:name="field_0_productfullname_3"/>
      <w:r>
        <w:rPr>
          <w:rFonts w:hint="eastAsia"/>
          <w:sz w:val="21"/>
          <w:szCs w:val="21"/>
        </w:rPr>
        <w:t>博时产业新动力灵活配置混合型发起式证券投资基金</w:t>
      </w:r>
      <w:bookmarkEnd w:id="11"/>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2" w:name="field_0_productfullname_4"/>
      <w:r>
        <w:rPr>
          <w:rFonts w:hint="eastAsia"/>
          <w:sz w:val="21"/>
          <w:szCs w:val="21"/>
        </w:rPr>
        <w:t>博时产业新动力灵活配置混合型发起式证券投资基金</w:t>
      </w:r>
      <w:bookmarkEnd w:id="12"/>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13" w:name="field_0_productfullname_5"/>
      <w:r>
        <w:rPr>
          <w:rFonts w:hint="eastAsia"/>
          <w:sz w:val="21"/>
          <w:szCs w:val="21"/>
        </w:rPr>
        <w:t>博时产业新动力灵活配置混合型发起式证券投资基金</w:t>
      </w:r>
      <w:bookmarkEnd w:id="13"/>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4" w:name="field_0_productfullname_6"/>
      <w:r>
        <w:rPr>
          <w:rFonts w:hint="eastAsia"/>
          <w:sz w:val="21"/>
          <w:szCs w:val="21"/>
        </w:rPr>
        <w:t>博时产业新动力灵活配置混合型发起式证券投资基金</w:t>
      </w:r>
      <w:bookmarkEnd w:id="14"/>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5" w:name="chapter_level1_3_2344_section_1_end"/>
      <w:bookmarkEnd w:id="15"/>
      <w:r>
        <w:rPr>
          <w:rFonts w:hint="eastAsia"/>
          <w:sz w:val="21"/>
          <w:szCs w:val="21"/>
        </w:rPr>
        <w:t xml:space="preserve">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 w:name="_Toc207980071"/>
      <w:bookmarkStart w:id="17" w:name="chapter_level1_4_49"/>
      <w:r>
        <w:rPr>
          <w:rFonts w:hint="eastAsia" w:ascii="宋体" w:hAnsi="宋体" w:eastAsia="宋体"/>
          <w:sz w:val="30"/>
        </w:rPr>
        <w:t>第二部分  释义</w:t>
      </w:r>
      <w:bookmarkEnd w:id="16"/>
      <w:bookmarkEnd w:id="17"/>
    </w:p>
    <w:p>
      <w:pPr>
        <w:pStyle w:val="7"/>
        <w:spacing w:before="0" w:beforeAutospacing="0" w:after="0" w:afterAutospacing="0" w:line="360" w:lineRule="auto"/>
        <w:ind w:firstLine="420"/>
        <w:rPr>
          <w:sz w:val="21"/>
          <w:szCs w:val="21"/>
        </w:rPr>
      </w:pPr>
      <w:bookmarkStart w:id="18" w:name="chapter_level1_4_49_section_1"/>
      <w:bookmarkEnd w:id="18"/>
      <w:r>
        <w:rPr>
          <w:rFonts w:hint="eastAsia"/>
          <w:sz w:val="21"/>
          <w:szCs w:val="21"/>
        </w:rPr>
        <w:t xml:space="preserve">在本招募说明书中，除非文义另有所指，下列词语具有以下含义：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9" w:name="field_0_productfullname_7"/>
      <w:r>
        <w:rPr>
          <w:rFonts w:hint="eastAsia"/>
          <w:sz w:val="21"/>
          <w:szCs w:val="21"/>
        </w:rPr>
        <w:t>博时产业新动力灵活配置混合型发起式证券投资基金</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20" w:name="field_0_managerorgfullname_1"/>
      <w:r>
        <w:rPr>
          <w:rFonts w:hint="eastAsia"/>
          <w:sz w:val="21"/>
          <w:szCs w:val="21"/>
        </w:rPr>
        <w:t>博时基金管理有限公司</w:t>
      </w:r>
      <w:bookmarkEnd w:id="2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21" w:name="field_0_trustorgfullname_1"/>
      <w:r>
        <w:rPr>
          <w:rFonts w:hint="eastAsia"/>
          <w:sz w:val="21"/>
          <w:szCs w:val="21"/>
        </w:rPr>
        <w:t>中国工商银行股份有限公司</w:t>
      </w:r>
      <w:bookmarkEnd w:id="21"/>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22" w:name="field_0_productfullname_8"/>
      <w:r>
        <w:rPr>
          <w:rFonts w:hint="eastAsia"/>
          <w:sz w:val="21"/>
          <w:szCs w:val="21"/>
        </w:rPr>
        <w:t>博时产业新动力灵活配置混合型发起式证券投资基金</w:t>
      </w:r>
      <w:bookmarkEnd w:id="22"/>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3" w:name="field_0_productfullname_9"/>
      <w:r>
        <w:rPr>
          <w:rFonts w:hint="eastAsia"/>
          <w:sz w:val="21"/>
          <w:szCs w:val="21"/>
        </w:rPr>
        <w:t>博时产业新动力灵活配置混合型发起式证券投资基金</w:t>
      </w:r>
      <w:bookmarkEnd w:id="23"/>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4" w:name="field_0_productfullname_10"/>
      <w:r>
        <w:rPr>
          <w:rFonts w:hint="eastAsia"/>
          <w:sz w:val="21"/>
          <w:szCs w:val="21"/>
        </w:rPr>
        <w:t>博时产业新动力灵活配置混合型发起式证券投资基金</w:t>
      </w:r>
      <w:bookmarkEnd w:id="24"/>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5" w:name="field_0_productfullname_11"/>
      <w:r>
        <w:rPr>
          <w:rFonts w:hint="eastAsia"/>
          <w:sz w:val="21"/>
          <w:szCs w:val="21"/>
        </w:rPr>
        <w:t>博时产业新动力灵活配置混合型发起式证券投资基金</w:t>
      </w:r>
      <w:bookmarkEnd w:id="25"/>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6" w:name="field_0_productfullname_12"/>
      <w:r>
        <w:rPr>
          <w:rFonts w:hint="eastAsia"/>
          <w:sz w:val="21"/>
          <w:szCs w:val="21"/>
        </w:rPr>
        <w:t>博时产业新动力灵活配置混合型发起式证券投资基金</w:t>
      </w:r>
      <w:bookmarkEnd w:id="26"/>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并经2012年12月28日第十一届全国人民代表大会常务委员会第三十次会议修订，自2013年6月1日起实施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pPr>
        <w:pStyle w:val="7"/>
        <w:spacing w:before="0" w:beforeAutospacing="0" w:after="0" w:afterAutospacing="0" w:line="360" w:lineRule="auto"/>
        <w:ind w:firstLine="420"/>
        <w:rPr>
          <w:sz w:val="21"/>
          <w:szCs w:val="21"/>
        </w:rPr>
      </w:pPr>
      <w:r>
        <w:rPr>
          <w:rFonts w:hint="eastAsia"/>
          <w:sz w:val="21"/>
          <w:szCs w:val="21"/>
        </w:rPr>
        <w:t>25、直销机构：指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8" w:name="chapter_level1_4_49_section_1_end"/>
      <w:bookmarkEnd w:id="28"/>
      <w:r>
        <w:rPr>
          <w:rFonts w:hint="eastAsia"/>
          <w:sz w:val="21"/>
          <w:szCs w:val="21"/>
        </w:rPr>
        <w:t xml:space="preserve">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bookmarkStart w:id="29" w:name="chapter_level1_4_49_section_2"/>
      <w:bookmarkEnd w:id="29"/>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30" w:name="field_0_managerorgfullname_3"/>
      <w:r>
        <w:rPr>
          <w:rFonts w:hint="eastAsia"/>
          <w:sz w:val="21"/>
          <w:szCs w:val="21"/>
        </w:rPr>
        <w:t>博时基金管理有限公司</w:t>
      </w:r>
      <w:bookmarkEnd w:id="30"/>
      <w:r>
        <w:rPr>
          <w:rFonts w:hint="eastAsia"/>
          <w:sz w:val="21"/>
          <w:szCs w:val="21"/>
        </w:rPr>
        <w:t>或接受</w:t>
      </w:r>
      <w:bookmarkStart w:id="31" w:name="field_0_managerorgfullname_4"/>
      <w:r>
        <w:rPr>
          <w:rFonts w:hint="eastAsia"/>
          <w:sz w:val="21"/>
          <w:szCs w:val="21"/>
        </w:rPr>
        <w:t>博时基金管理有限公司</w:t>
      </w:r>
      <w:bookmarkEnd w:id="31"/>
      <w:r>
        <w:rPr>
          <w:rFonts w:hint="eastAsia"/>
          <w:sz w:val="21"/>
          <w:szCs w:val="21"/>
        </w:rPr>
        <w:t xml:space="preserve">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pPr>
        <w:pStyle w:val="7"/>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pPr>
        <w:pStyle w:val="7"/>
        <w:spacing w:before="0" w:beforeAutospacing="0" w:after="0" w:afterAutospacing="0" w:line="360" w:lineRule="auto"/>
        <w:ind w:firstLine="420"/>
        <w:rPr>
          <w:sz w:val="21"/>
          <w:szCs w:val="21"/>
        </w:rPr>
      </w:pPr>
      <w:r>
        <w:rPr>
          <w:rFonts w:hint="eastAsia"/>
          <w:sz w:val="21"/>
          <w:szCs w:val="21"/>
        </w:rPr>
        <w:t>40、《业务规则》：指《</w:t>
      </w:r>
      <w:bookmarkStart w:id="32" w:name="field_0_managerorgfullname_5"/>
      <w:r>
        <w:rPr>
          <w:rFonts w:hint="eastAsia"/>
          <w:sz w:val="21"/>
          <w:szCs w:val="21"/>
        </w:rPr>
        <w:t>博时基金管理有限公司</w:t>
      </w:r>
      <w:bookmarkEnd w:id="32"/>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3" w:name="field_49_mintredeemscale_1"/>
      <w:r>
        <w:rPr>
          <w:sz w:val="21"/>
          <w:szCs w:val="21"/>
        </w:rPr>
        <w:t>10</w:t>
      </w:r>
      <w:bookmarkEnd w:id="33"/>
      <w:r>
        <w:rPr>
          <w:rFonts w:hint="eastAsia"/>
          <w:sz w:val="21"/>
          <w:szCs w:val="21"/>
        </w:rPr>
        <w:t xml:space="preserve"> % </w:t>
      </w:r>
    </w:p>
    <w:p>
      <w:pPr>
        <w:pStyle w:val="7"/>
        <w:spacing w:before="0" w:beforeAutospacing="0" w:after="0" w:afterAutospacing="0" w:line="360" w:lineRule="auto"/>
        <w:ind w:firstLine="420"/>
        <w:rPr>
          <w:sz w:val="21"/>
          <w:szCs w:val="21"/>
        </w:rPr>
      </w:pPr>
      <w:r>
        <w:rPr>
          <w:rFonts w:hint="eastAsia"/>
          <w:sz w:val="21"/>
          <w:szCs w:val="21"/>
        </w:rPr>
        <w:t xml:space="preserve">48、元：指人民币元 </w:t>
      </w:r>
    </w:p>
    <w:p>
      <w:pPr>
        <w:pStyle w:val="7"/>
        <w:spacing w:before="0" w:beforeAutospacing="0" w:after="0" w:afterAutospacing="0" w:line="360" w:lineRule="auto"/>
        <w:ind w:firstLine="420"/>
        <w:rPr>
          <w:sz w:val="21"/>
          <w:szCs w:val="21"/>
        </w:rPr>
      </w:pPr>
      <w:r>
        <w:rPr>
          <w:rFonts w:hint="eastAsia"/>
          <w:sz w:val="21"/>
          <w:szCs w:val="21"/>
        </w:rPr>
        <w:t xml:space="preserve">49、基金收益：指基金投资所得红利、股息、债券利息、买卖证券价差、银行存款利息、已实现的其他合法收入及因运用基金财产带来的成本和费用的节约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50、基金资产总值：指基金拥有的各类有价证券、银行存款本息、基金应收申购款及其他资产的价值总和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56、发起资金：指基金管理人的股东资金、基金管理人固有资金、基金管理人高级管理人员或基金经理等人员参与认购的资金 </w:t>
      </w:r>
    </w:p>
    <w:p>
      <w:pPr>
        <w:pStyle w:val="7"/>
        <w:spacing w:before="0" w:beforeAutospacing="0" w:after="0" w:afterAutospacing="0" w:line="360" w:lineRule="auto"/>
        <w:ind w:firstLine="420"/>
        <w:rPr>
          <w:sz w:val="21"/>
          <w:szCs w:val="21"/>
        </w:rPr>
      </w:pPr>
      <w:r>
        <w:rPr>
          <w:rFonts w:hint="eastAsia"/>
          <w:sz w:val="21"/>
          <w:szCs w:val="21"/>
        </w:rPr>
        <w:t xml:space="preserve">57、发起资金提供方：指以发起资金认购本基金且承诺以发起资金认购的基金份额持有期限不少于3年的基金管理人股东、基金管理人、基金管理人高级管理人员或基金经理等人员 </w:t>
      </w:r>
    </w:p>
    <w:p>
      <w:pPr>
        <w:pStyle w:val="7"/>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59、基金份额分类：指本基金分设两类基金份额：A类基金份额和C类基金份额。两类基金份额分设不同的基金代码，分别计算基金份额净值，计算公式为计算日各类别基金资产净值除以计算日发售在外的该类别基金份额总数 </w:t>
      </w:r>
    </w:p>
    <w:p>
      <w:pPr>
        <w:pStyle w:val="7"/>
        <w:spacing w:before="0" w:beforeAutospacing="0" w:after="0" w:afterAutospacing="0" w:line="360" w:lineRule="auto"/>
        <w:ind w:firstLine="420"/>
        <w:rPr>
          <w:sz w:val="21"/>
          <w:szCs w:val="21"/>
        </w:rPr>
      </w:pPr>
      <w:r>
        <w:rPr>
          <w:rFonts w:hint="eastAsia"/>
          <w:sz w:val="21"/>
          <w:szCs w:val="21"/>
        </w:rPr>
        <w:t xml:space="preserve">60、A类基金份额：指在投资者申购时收取前端申购费用，在赎回时根据持有期限收取赎回费用的，但不从本类别基金资产中计提销售服务费的基金份额类别 </w:t>
      </w:r>
    </w:p>
    <w:p>
      <w:pPr>
        <w:pStyle w:val="7"/>
        <w:spacing w:before="0" w:beforeAutospacing="0" w:after="0" w:afterAutospacing="0" w:line="360" w:lineRule="auto"/>
        <w:ind w:firstLine="420"/>
        <w:rPr>
          <w:sz w:val="21"/>
          <w:szCs w:val="21"/>
        </w:rPr>
      </w:pPr>
      <w:r>
        <w:rPr>
          <w:rFonts w:hint="eastAsia"/>
          <w:sz w:val="21"/>
          <w:szCs w:val="21"/>
        </w:rPr>
        <w:t>61、C类基金份额：指在投资者申购时不收取前端申购费用，在赎回时根据持有期限收</w:t>
      </w:r>
      <w:bookmarkStart w:id="34" w:name="chapter_level1_4_49_section_2_end"/>
      <w:bookmarkEnd w:id="34"/>
      <w:r>
        <w:rPr>
          <w:rFonts w:hint="eastAsia"/>
          <w:sz w:val="21"/>
          <w:szCs w:val="21"/>
        </w:rPr>
        <w:t xml:space="preserve">取赎回费用，且从本类别基金资产中计提销售服务费的基金份额类别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5" w:name="_Toc207980072"/>
      <w:bookmarkStart w:id="36" w:name="chapter_level1_5_53"/>
      <w:r>
        <w:rPr>
          <w:rFonts w:hint="eastAsia" w:ascii="宋体" w:hAnsi="宋体" w:eastAsia="宋体"/>
          <w:sz w:val="30"/>
        </w:rPr>
        <w:t>第三部分  基金管理人</w:t>
      </w:r>
      <w:bookmarkEnd w:id="35"/>
      <w:bookmarkEnd w:id="36"/>
    </w:p>
    <w:p>
      <w:pPr>
        <w:pStyle w:val="7"/>
        <w:spacing w:before="0" w:beforeAutospacing="0" w:after="0" w:afterAutospacing="0" w:line="360" w:lineRule="auto"/>
        <w:ind w:firstLine="420"/>
        <w:rPr>
          <w:sz w:val="21"/>
          <w:szCs w:val="21"/>
          <w:highlight w:val="none"/>
        </w:rPr>
      </w:pPr>
      <w:bookmarkStart w:id="37" w:name="chapter_level1_5_53_section_1"/>
      <w:bookmarkEnd w:id="37"/>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38"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8"/>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3</w:t>
      </w:r>
      <w:r>
        <w:rPr>
          <w:rFonts w:hint="eastAsia"/>
          <w:sz w:val="21"/>
          <w:szCs w:val="21"/>
          <w:highlight w:val="none"/>
        </w:rPr>
        <w:t xml:space="preserve">、本基金基金经理 </w:t>
      </w:r>
    </w:p>
    <w:p>
      <w:pPr>
        <w:pStyle w:val="7"/>
        <w:spacing w:before="0" w:beforeAutospacing="0" w:after="0" w:afterAutospacing="0" w:line="360" w:lineRule="auto"/>
        <w:ind w:firstLine="420"/>
        <w:rPr>
          <w:rFonts w:hint="eastAsia"/>
          <w:sz w:val="21"/>
          <w:szCs w:val="21"/>
        </w:rPr>
      </w:pPr>
      <w:bookmarkStart w:id="39" w:name="field_0_fundmanagerresume_1_start"/>
      <w:bookmarkEnd w:id="39"/>
      <w:r>
        <w:rPr>
          <w:rFonts w:hint="eastAsia"/>
          <w:sz w:val="21"/>
          <w:szCs w:val="21"/>
        </w:rPr>
        <w:t>蔡滨先生，硕士。2001年起先后在上海振华职校、美国总统轮船（中国）有限公司、美国管理协会、平安证券工作。2009年加入博时基金管理有限公司。历任研究员、研究部资本品组组长、研究部副总经理兼资本品组组长、博时主题行业混合型证券投资基金（LOF）(2014年12月26日-2016年4月25日)、博时工业4.0主题股票型证券投资基金(2016年6月8日-2019年6月4日)的基金经理、权益投资成长组投资副总监、股票投资部副总经理（主持工作）、博时战略新兴产业混合型证券投资基金(2017年8月9日-2021年10月18日)、博时逆向投资混合型证券投资基金(2017年11月13日-2023年9月11日)、博时产业精选灵活配置混合型证券投资基金(2020年11月6日-2023年9月11日)、博时产业新趋势灵活配置混合型证券投资基金(2020年2月17日-2024年7月5日)的基金经理。现任权益投资三部投资总监兼博时产业新动力灵活配置混合型发起式证券投资基金(2015年1月26日—至今)、博时外延增长主题灵活配置混合型证券投资基金(2016年2月3日—至今)、博时荣享回报灵活配置定期开放混合型证券投资基金(2018年8月23日—至今)、博时产业慧选混合型证券投资基金(2021年3月23日—至今)、博时产业优选灵活配置混合型证券投资基金(2021年7月20日—至今)、博时研究精选一年持有期灵活配置混合型证券投资基金(2021年7月27日—至今)、博时优质鑫选一年持有期混合型证券投资</w:t>
      </w:r>
      <w:bookmarkStart w:id="40" w:name="chapter_level1_5_53_section_2_end"/>
      <w:bookmarkEnd w:id="40"/>
      <w:r>
        <w:rPr>
          <w:rFonts w:hint="eastAsia"/>
          <w:sz w:val="21"/>
          <w:szCs w:val="21"/>
        </w:rPr>
        <w:t>基金(2024年11月27日—至今)的基金经理。</w:t>
      </w:r>
      <w:bookmarkStart w:id="41" w:name="field_0_fundmanagerresume_1_end"/>
      <w:bookmarkEnd w:id="41"/>
    </w:p>
    <w:p>
      <w:pPr>
        <w:pStyle w:val="7"/>
        <w:spacing w:before="0" w:beforeAutospacing="0" w:after="0" w:afterAutospacing="0" w:line="360" w:lineRule="auto"/>
        <w:ind w:firstLine="420"/>
        <w:rPr>
          <w:sz w:val="21"/>
          <w:szCs w:val="21"/>
        </w:rPr>
      </w:pPr>
      <w:r>
        <w:rPr>
          <w:rFonts w:hint="eastAsia"/>
          <w:sz w:val="21"/>
          <w:szCs w:val="21"/>
        </w:rPr>
        <w:t>郭永升先生，硕士。2018年从上海交通大学硕士研究生毕业后加入博时基金管理有限公司，曾任研究员兼基金经理助理。现任博时先进制造混合型证券投资基金(2025年4月9日—至今)</w:t>
      </w:r>
      <w:r>
        <w:rPr>
          <w:rFonts w:hint="eastAsia"/>
          <w:sz w:val="21"/>
          <w:szCs w:val="21"/>
          <w:lang w:eastAsia="zh-CN"/>
        </w:rPr>
        <w:t>、</w:t>
      </w:r>
      <w:r>
        <w:rPr>
          <w:rFonts w:hint="eastAsia"/>
          <w:sz w:val="21"/>
          <w:szCs w:val="21"/>
        </w:rPr>
        <w:t>博时产业新动力灵活配置混合型发起式证券投资基金(20</w:t>
      </w:r>
      <w:r>
        <w:rPr>
          <w:rFonts w:hint="eastAsia"/>
          <w:sz w:val="21"/>
          <w:szCs w:val="21"/>
          <w:lang w:val="en-US" w:eastAsia="zh-CN"/>
        </w:rPr>
        <w:t>26</w:t>
      </w:r>
      <w:r>
        <w:rPr>
          <w:rFonts w:hint="eastAsia"/>
          <w:sz w:val="21"/>
          <w:szCs w:val="21"/>
        </w:rPr>
        <w:t>年</w:t>
      </w:r>
      <w:r>
        <w:rPr>
          <w:rFonts w:hint="eastAsia"/>
          <w:sz w:val="21"/>
          <w:szCs w:val="21"/>
          <w:lang w:val="en-US" w:eastAsia="zh-CN"/>
        </w:rPr>
        <w:t>5</w:t>
      </w:r>
      <w:r>
        <w:rPr>
          <w:rFonts w:hint="eastAsia"/>
          <w:sz w:val="21"/>
          <w:szCs w:val="21"/>
        </w:rPr>
        <w:t>月</w:t>
      </w:r>
      <w:r>
        <w:rPr>
          <w:rFonts w:hint="eastAsia"/>
          <w:sz w:val="21"/>
          <w:szCs w:val="21"/>
          <w:lang w:val="en-US" w:eastAsia="zh-CN"/>
        </w:rPr>
        <w:t>7</w:t>
      </w:r>
      <w:r>
        <w:rPr>
          <w:rFonts w:hint="eastAsia"/>
          <w:sz w:val="21"/>
          <w:szCs w:val="21"/>
        </w:rPr>
        <w:t>日—至今)的基金经理。</w:t>
      </w:r>
    </w:p>
    <w:p>
      <w:pPr>
        <w:pStyle w:val="7"/>
        <w:spacing w:before="0" w:beforeAutospacing="0" w:after="0" w:afterAutospacing="0" w:line="360" w:lineRule="auto"/>
        <w:ind w:firstLine="420"/>
        <w:rPr>
          <w:sz w:val="21"/>
          <w:szCs w:val="21"/>
        </w:rPr>
      </w:pPr>
      <w:bookmarkStart w:id="42" w:name="field_0_managerpersoninfo2_1_start"/>
      <w:bookmarkEnd w:id="42"/>
      <w:bookmarkStart w:id="43" w:name="chapter_level1_5_53_section_3"/>
      <w:bookmarkEnd w:id="43"/>
      <w:r>
        <w:rPr>
          <w:rFonts w:hint="eastAsia"/>
          <w:sz w:val="21"/>
          <w:szCs w:val="21"/>
          <w:lang w:val="en-US" w:eastAsia="zh-CN"/>
        </w:rPr>
        <w:t>4</w:t>
      </w:r>
      <w:r>
        <w:rPr>
          <w:rFonts w:hint="eastAsia"/>
          <w:sz w:val="21"/>
          <w:szCs w:val="21"/>
        </w:rPr>
        <w:t xml:space="preserve">、投资决策委员会成员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4" w:name="field_0_managerpersoninfo2_1_end"/>
      <w:bookmarkEnd w:id="44"/>
      <w:r>
        <w:rPr>
          <w:rFonts w:hint="eastAsia"/>
          <w:sz w:val="21"/>
          <w:szCs w:val="21"/>
        </w:rPr>
        <w:t xml:space="preserve">  </w:t>
      </w:r>
    </w:p>
    <w:p>
      <w:pPr>
        <w:pStyle w:val="7"/>
        <w:spacing w:before="0" w:beforeAutospacing="0" w:after="0" w:afterAutospacing="0" w:line="360" w:lineRule="auto"/>
        <w:ind w:firstLine="420"/>
        <w:rPr>
          <w:sz w:val="21"/>
          <w:szCs w:val="21"/>
        </w:rPr>
      </w:pPr>
      <w:bookmarkStart w:id="45" w:name="chapter_level1_5_53_section_4"/>
      <w:bookmarkEnd w:id="45"/>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6" w:name="_Toc207980073"/>
      <w:bookmarkStart w:id="47" w:name="chapter_level1_6_55"/>
      <w:r>
        <w:rPr>
          <w:rFonts w:hint="eastAsia" w:ascii="宋体" w:hAnsi="宋体" w:eastAsia="宋体"/>
          <w:sz w:val="30"/>
        </w:rPr>
        <w:t>第四部分  基金托管人</w:t>
      </w:r>
      <w:bookmarkEnd w:id="46"/>
      <w:bookmarkEnd w:id="47"/>
    </w:p>
    <w:p>
      <w:pPr>
        <w:pStyle w:val="7"/>
        <w:spacing w:before="0" w:beforeAutospacing="0" w:after="0" w:afterAutospacing="0" w:line="360" w:lineRule="auto"/>
        <w:ind w:firstLine="420"/>
        <w:rPr>
          <w:sz w:val="21"/>
          <w:szCs w:val="21"/>
        </w:rPr>
      </w:pPr>
      <w:bookmarkStart w:id="48" w:name="chapter_level1_6_55_section_1"/>
      <w:bookmarkEnd w:id="48"/>
      <w:bookmarkStart w:id="49" w:name="field_0_trustcompanyinfo_1_start"/>
      <w:bookmarkEnd w:id="49"/>
      <w:r>
        <w:rPr>
          <w:rFonts w:hint="eastAsia"/>
          <w:sz w:val="21"/>
          <w:szCs w:val="21"/>
        </w:rPr>
        <w:t xml:space="preserve">（一）基金托管人基本情况 </w:t>
      </w:r>
    </w:p>
    <w:p>
      <w:pPr>
        <w:pStyle w:val="7"/>
        <w:spacing w:before="0" w:beforeAutospacing="0" w:after="0" w:afterAutospacing="0" w:line="360" w:lineRule="auto"/>
        <w:ind w:firstLine="420"/>
        <w:rPr>
          <w:sz w:val="21"/>
          <w:szCs w:val="21"/>
        </w:rPr>
      </w:pPr>
      <w:r>
        <w:rPr>
          <w:rFonts w:hint="eastAsia"/>
          <w:sz w:val="21"/>
          <w:szCs w:val="21"/>
        </w:rPr>
        <w:t xml:space="preserve">名称：中国工商银行股份有限公司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注册地址：北京市西城区复兴门内大街55号 </w:t>
      </w:r>
    </w:p>
    <w:p>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pPr>
        <w:pStyle w:val="7"/>
        <w:spacing w:before="0" w:beforeAutospacing="0" w:after="0" w:afterAutospacing="0" w:line="360" w:lineRule="auto"/>
        <w:ind w:firstLine="420"/>
        <w:rPr>
          <w:sz w:val="21"/>
          <w:szCs w:val="21"/>
        </w:rPr>
      </w:pPr>
      <w:r>
        <w:rPr>
          <w:rFonts w:hint="eastAsia"/>
          <w:sz w:val="21"/>
          <w:szCs w:val="21"/>
        </w:rPr>
        <w:t xml:space="preserve">法定代表人： 廖林 </w:t>
      </w:r>
    </w:p>
    <w:p>
      <w:pPr>
        <w:pStyle w:val="7"/>
        <w:spacing w:before="0" w:beforeAutospacing="0" w:after="0" w:afterAutospacing="0" w:line="360" w:lineRule="auto"/>
        <w:ind w:firstLine="420"/>
        <w:rPr>
          <w:sz w:val="21"/>
          <w:szCs w:val="21"/>
        </w:rPr>
      </w:pPr>
      <w:r>
        <w:rPr>
          <w:rFonts w:hint="eastAsia"/>
          <w:sz w:val="21"/>
          <w:szCs w:val="21"/>
        </w:rPr>
        <w:t xml:space="preserve">注册资本：人民币35,640,625.7089万元 </w:t>
      </w:r>
    </w:p>
    <w:p>
      <w:pPr>
        <w:pStyle w:val="7"/>
        <w:spacing w:before="0" w:beforeAutospacing="0" w:after="0" w:afterAutospacing="0" w:line="360" w:lineRule="auto"/>
        <w:ind w:firstLine="420"/>
        <w:rPr>
          <w:sz w:val="21"/>
          <w:szCs w:val="21"/>
        </w:rPr>
      </w:pPr>
      <w:r>
        <w:rPr>
          <w:rFonts w:hint="eastAsia"/>
          <w:sz w:val="21"/>
          <w:szCs w:val="21"/>
        </w:rPr>
        <w:t xml:space="preserve">联系电话：010-66105799 </w:t>
      </w:r>
    </w:p>
    <w:p>
      <w:pPr>
        <w:pStyle w:val="7"/>
        <w:spacing w:before="0" w:beforeAutospacing="0" w:after="0" w:afterAutospacing="0" w:line="360" w:lineRule="auto"/>
        <w:ind w:firstLine="420"/>
        <w:rPr>
          <w:sz w:val="21"/>
          <w:szCs w:val="21"/>
        </w:rPr>
      </w:pPr>
      <w:r>
        <w:rPr>
          <w:rFonts w:hint="eastAsia"/>
          <w:sz w:val="21"/>
          <w:szCs w:val="21"/>
        </w:rPr>
        <w:t xml:space="preserve">联系人：郭明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截至2025年6月，中国工商银行资产托管部共有员工209人，平均年龄38岁，99%以上员工拥有大学本科以上学历，高管人员均拥有研究生以上学历或高级技术职称。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2025年6月，中国工商银行共托管证券投资基金1481只。自2003年以来，本行连续二十二年获得香港《亚洲货币》、英国《全球托管人》、香港《财资》、美国《环球金融》、内地《证券时报》、《上海证券报》等境内外权威财经媒体评选的109项最佳托管银行大奖；是获得奖项最多的国内托管银行，优良的服务品质获得国内外金融领域的持续</w:t>
      </w:r>
      <w:bookmarkStart w:id="50" w:name="chapter_level1_6_55_section_1_end"/>
      <w:bookmarkEnd w:id="50"/>
      <w:r>
        <w:rPr>
          <w:rFonts w:hint="eastAsia"/>
          <w:sz w:val="21"/>
          <w:szCs w:val="21"/>
        </w:rPr>
        <w:t xml:space="preserve">认可和广泛好评。 </w:t>
      </w:r>
      <w:bookmarkStart w:id="51" w:name="field_0_trustcompanyinfo_1_end"/>
      <w:bookmarkEnd w:id="51"/>
      <w:r>
        <w:rPr>
          <w:rFonts w:hint="eastAsia"/>
          <w:sz w:val="21"/>
          <w:szCs w:val="21"/>
        </w:rPr>
        <w:t xml:space="preserve">  </w:t>
      </w:r>
    </w:p>
    <w:p>
      <w:pPr>
        <w:pStyle w:val="7"/>
        <w:spacing w:before="0" w:beforeAutospacing="0" w:after="0" w:afterAutospacing="0" w:line="360" w:lineRule="auto"/>
        <w:ind w:firstLine="420"/>
        <w:rPr>
          <w:sz w:val="21"/>
          <w:szCs w:val="21"/>
        </w:rPr>
      </w:pPr>
      <w:bookmarkStart w:id="52" w:name="field_0_trustcontrollawinfo_1_start"/>
      <w:bookmarkEnd w:id="52"/>
      <w:bookmarkStart w:id="53" w:name="chapter_level1_6_55_section_2"/>
      <w:bookmarkEnd w:id="53"/>
      <w:r>
        <w:rPr>
          <w:rFonts w:hint="eastAsia"/>
          <w:sz w:val="21"/>
          <w:szCs w:val="21"/>
        </w:rPr>
        <w:t xml:space="preserve">（四）基金托管人的内部控制情况 </w:t>
      </w:r>
    </w:p>
    <w:p>
      <w:pPr>
        <w:pStyle w:val="7"/>
        <w:spacing w:before="0" w:beforeAutospacing="0" w:after="0" w:afterAutospacing="0" w:line="360" w:lineRule="auto"/>
        <w:ind w:firstLine="420"/>
        <w:rPr>
          <w:sz w:val="21"/>
          <w:szCs w:val="21"/>
        </w:rPr>
      </w:pPr>
      <w:r>
        <w:rPr>
          <w:rFonts w:hint="eastAsia"/>
          <w:sz w:val="21"/>
          <w:szCs w:val="21"/>
        </w:rPr>
        <w:t xml:space="preserve">中国工商银行资产托管部在风险管理的实操过程中根据国际公认的内部控制COSO准则从内部环境、风险评估、控制活动、信息与沟通、监督与评价五个方面构建起了托管业务内部风险控制体系，并纳入统一的风险管理体系。 </w:t>
      </w:r>
    </w:p>
    <w:p>
      <w:pPr>
        <w:pStyle w:val="7"/>
        <w:spacing w:before="0" w:beforeAutospacing="0" w:after="0" w:afterAutospacing="0" w:line="360" w:lineRule="auto"/>
        <w:ind w:firstLine="420"/>
        <w:rPr>
          <w:sz w:val="21"/>
          <w:szCs w:val="21"/>
        </w:rPr>
      </w:pPr>
      <w:r>
        <w:rPr>
          <w:rFonts w:hint="eastAsia"/>
          <w:sz w:val="21"/>
          <w:szCs w:val="21"/>
        </w:rPr>
        <w:t xml:space="preserve">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八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（1）资产托管业务经营管理合法合规； </w:t>
      </w:r>
    </w:p>
    <w:p>
      <w:pPr>
        <w:pStyle w:val="7"/>
        <w:spacing w:before="0" w:beforeAutospacing="0" w:after="0" w:afterAutospacing="0" w:line="360" w:lineRule="auto"/>
        <w:ind w:firstLine="420"/>
        <w:rPr>
          <w:sz w:val="21"/>
          <w:szCs w:val="21"/>
        </w:rPr>
      </w:pPr>
      <w:r>
        <w:rPr>
          <w:rFonts w:hint="eastAsia"/>
          <w:sz w:val="21"/>
          <w:szCs w:val="21"/>
        </w:rPr>
        <w:t xml:space="preserve">（2）促进实现资产托管业务发展战略和经营目标； </w:t>
      </w:r>
    </w:p>
    <w:p>
      <w:pPr>
        <w:pStyle w:val="7"/>
        <w:spacing w:before="0" w:beforeAutospacing="0" w:after="0" w:afterAutospacing="0" w:line="360" w:lineRule="auto"/>
        <w:ind w:firstLine="420"/>
        <w:rPr>
          <w:sz w:val="21"/>
          <w:szCs w:val="21"/>
        </w:rPr>
      </w:pPr>
      <w:r>
        <w:rPr>
          <w:rFonts w:hint="eastAsia"/>
          <w:sz w:val="21"/>
          <w:szCs w:val="21"/>
        </w:rPr>
        <w:t xml:space="preserve">（3）资产托管业务风险管理的有效性和资产安全； </w:t>
      </w:r>
    </w:p>
    <w:p>
      <w:pPr>
        <w:pStyle w:val="7"/>
        <w:spacing w:before="0" w:beforeAutospacing="0" w:after="0" w:afterAutospacing="0" w:line="360" w:lineRule="auto"/>
        <w:ind w:firstLine="420"/>
        <w:rPr>
          <w:sz w:val="21"/>
          <w:szCs w:val="21"/>
        </w:rPr>
      </w:pPr>
      <w:r>
        <w:rPr>
          <w:rFonts w:hint="eastAsia"/>
          <w:sz w:val="21"/>
          <w:szCs w:val="21"/>
        </w:rPr>
        <w:t xml:space="preserve">（4）提高资产托管经营效率和效果； </w:t>
      </w:r>
    </w:p>
    <w:p>
      <w:pPr>
        <w:pStyle w:val="7"/>
        <w:spacing w:before="0" w:beforeAutospacing="0" w:after="0" w:afterAutospacing="0" w:line="360" w:lineRule="auto"/>
        <w:ind w:firstLine="420"/>
        <w:rPr>
          <w:sz w:val="21"/>
          <w:szCs w:val="21"/>
        </w:rPr>
      </w:pPr>
      <w:r>
        <w:rPr>
          <w:rFonts w:hint="eastAsia"/>
          <w:sz w:val="21"/>
          <w:szCs w:val="21"/>
        </w:rPr>
        <w:t xml:space="preserve">（5）业务记录、会计信息和其他经营管理相关信息的真实、准确、完整、及时。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（1）全面性原则。资产托管业务内部控制应贯穿决策、执行和监督全过程，覆盖资产托管业务各项业务流程和管理活动，覆盖所有机构、部门和从业人员。 </w:t>
      </w:r>
    </w:p>
    <w:p>
      <w:pPr>
        <w:pStyle w:val="7"/>
        <w:spacing w:before="0" w:beforeAutospacing="0" w:after="0" w:afterAutospacing="0" w:line="360" w:lineRule="auto"/>
        <w:ind w:firstLine="420"/>
        <w:rPr>
          <w:sz w:val="21"/>
          <w:szCs w:val="21"/>
        </w:rPr>
      </w:pPr>
      <w:r>
        <w:rPr>
          <w:rFonts w:hint="eastAsia"/>
          <w:sz w:val="21"/>
          <w:szCs w:val="21"/>
        </w:rPr>
        <w:t xml:space="preserve">（2）重要性原则。资产托管业务内部控制应在全面控制基础上，关注重要业务事项、重点业务环节和高风险领域。 </w:t>
      </w:r>
    </w:p>
    <w:p>
      <w:pPr>
        <w:pStyle w:val="7"/>
        <w:spacing w:before="0" w:beforeAutospacing="0" w:after="0" w:afterAutospacing="0" w:line="360" w:lineRule="auto"/>
        <w:ind w:firstLine="420"/>
        <w:rPr>
          <w:sz w:val="21"/>
          <w:szCs w:val="21"/>
        </w:rPr>
      </w:pPr>
      <w:r>
        <w:rPr>
          <w:rFonts w:hint="eastAsia"/>
          <w:sz w:val="21"/>
          <w:szCs w:val="21"/>
        </w:rPr>
        <w:t xml:space="preserve">（3）制衡性原则。资产托管业务内部控制应在机构设置、权责分配及业务流程等方面形成相互制约、相互监督的机制，同时兼顾运营效率。 </w:t>
      </w:r>
    </w:p>
    <w:p>
      <w:pPr>
        <w:pStyle w:val="7"/>
        <w:spacing w:before="0" w:beforeAutospacing="0" w:after="0" w:afterAutospacing="0" w:line="360" w:lineRule="auto"/>
        <w:ind w:firstLine="420"/>
        <w:rPr>
          <w:sz w:val="21"/>
          <w:szCs w:val="21"/>
        </w:rPr>
      </w:pPr>
      <w:r>
        <w:rPr>
          <w:rFonts w:hint="eastAsia"/>
          <w:sz w:val="21"/>
          <w:szCs w:val="21"/>
        </w:rPr>
        <w:t xml:space="preserve">（4）适应性原则。资产托管业务内部控制应当与经营规模、业务范围和风险特点相适应，并进行动态调整，以合理成本实现内部控制目标。 </w:t>
      </w:r>
    </w:p>
    <w:p>
      <w:pPr>
        <w:pStyle w:val="7"/>
        <w:spacing w:before="0" w:beforeAutospacing="0" w:after="0" w:afterAutospacing="0" w:line="360" w:lineRule="auto"/>
        <w:ind w:firstLine="420"/>
        <w:rPr>
          <w:sz w:val="21"/>
          <w:szCs w:val="21"/>
        </w:rPr>
      </w:pPr>
      <w:r>
        <w:rPr>
          <w:rFonts w:hint="eastAsia"/>
          <w:sz w:val="21"/>
          <w:szCs w:val="21"/>
        </w:rPr>
        <w:t xml:space="preserve">（5）审慎性原则。资产托管业务内部控制应坚持风险为本、审慎经营的理念，设立机构或开展各项经营管理活动均应坚持内控优先。 </w:t>
      </w:r>
    </w:p>
    <w:p>
      <w:pPr>
        <w:pStyle w:val="7"/>
        <w:spacing w:before="0" w:beforeAutospacing="0" w:after="0" w:afterAutospacing="0" w:line="360" w:lineRule="auto"/>
        <w:ind w:firstLine="420"/>
        <w:rPr>
          <w:sz w:val="21"/>
          <w:szCs w:val="21"/>
        </w:rPr>
      </w:pPr>
      <w:r>
        <w:rPr>
          <w:rFonts w:hint="eastAsia"/>
          <w:sz w:val="21"/>
          <w:szCs w:val="21"/>
        </w:rPr>
        <w:t xml:space="preserve">（6）成本效益原则。资产托管业务内部控制应权衡实施成本与预期效益，以合理成本实现有效控制。 </w:t>
      </w:r>
    </w:p>
    <w:p>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资产托管业务内部控制纳入全行统一的内部控制体系。 </w:t>
      </w:r>
    </w:p>
    <w:p>
      <w:pPr>
        <w:pStyle w:val="7"/>
        <w:spacing w:before="0" w:beforeAutospacing="0" w:after="0" w:afterAutospacing="0" w:line="360" w:lineRule="auto"/>
        <w:ind w:firstLine="420"/>
        <w:rPr>
          <w:sz w:val="21"/>
          <w:szCs w:val="21"/>
        </w:rPr>
      </w:pPr>
      <w:r>
        <w:rPr>
          <w:rFonts w:hint="eastAsia"/>
          <w:sz w:val="21"/>
          <w:szCs w:val="21"/>
        </w:rPr>
        <w:t xml:space="preserve">（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 </w:t>
      </w:r>
    </w:p>
    <w:p>
      <w:pPr>
        <w:pStyle w:val="7"/>
        <w:spacing w:before="0" w:beforeAutospacing="0" w:after="0" w:afterAutospacing="0" w:line="360" w:lineRule="auto"/>
        <w:ind w:firstLine="420"/>
        <w:rPr>
          <w:sz w:val="21"/>
          <w:szCs w:val="21"/>
        </w:rPr>
      </w:pPr>
      <w:r>
        <w:rPr>
          <w:rFonts w:hint="eastAsia"/>
          <w:sz w:val="21"/>
          <w:szCs w:val="21"/>
        </w:rPr>
        <w:t xml:space="preserve">（2）总行内控合规部负责指导托管业务的内控管理工作，根据年度工作重点，定期或不定期在全行开展相关业务监督检查，将托管业务检查项目整合到全行业务监督检查工作中，将全行托管业务纳入内控评价体系。 </w:t>
      </w:r>
    </w:p>
    <w:p>
      <w:pPr>
        <w:pStyle w:val="7"/>
        <w:spacing w:before="0" w:beforeAutospacing="0" w:after="0" w:afterAutospacing="0" w:line="360" w:lineRule="auto"/>
        <w:ind w:firstLine="420"/>
        <w:rPr>
          <w:sz w:val="21"/>
          <w:szCs w:val="21"/>
        </w:rPr>
      </w:pPr>
      <w:r>
        <w:rPr>
          <w:rFonts w:hint="eastAsia"/>
          <w:sz w:val="21"/>
          <w:szCs w:val="21"/>
        </w:rPr>
        <w:t xml:space="preserve">（3）总行内部审计局负责对资产托管业务的审计与评价工作。 </w:t>
      </w:r>
    </w:p>
    <w:p>
      <w:pPr>
        <w:pStyle w:val="7"/>
        <w:spacing w:before="0" w:beforeAutospacing="0" w:after="0" w:afterAutospacing="0" w:line="360" w:lineRule="auto"/>
        <w:ind w:firstLine="420"/>
        <w:rPr>
          <w:sz w:val="21"/>
          <w:szCs w:val="21"/>
        </w:rPr>
      </w:pPr>
      <w:r>
        <w:rPr>
          <w:rFonts w:hint="eastAsia"/>
          <w:sz w:val="21"/>
          <w:szCs w:val="21"/>
        </w:rPr>
        <w:t xml:space="preserve">（4）一级（直属）分行资产托管业务部门作为内部控制的执行机构，负责组织开展本机构内部控制的日常运行及自查工作，及时整改、纠正、处理存在的问题。 </w:t>
      </w:r>
    </w:p>
    <w:p>
      <w:pPr>
        <w:pStyle w:val="7"/>
        <w:spacing w:before="0" w:beforeAutospacing="0" w:after="0" w:afterAutospacing="0" w:line="360" w:lineRule="auto"/>
        <w:ind w:firstLine="420"/>
        <w:rPr>
          <w:sz w:val="21"/>
          <w:szCs w:val="21"/>
        </w:rPr>
      </w:pPr>
      <w:r>
        <w:rPr>
          <w:rFonts w:hint="eastAsia"/>
          <w:sz w:val="21"/>
          <w:szCs w:val="21"/>
        </w:rPr>
        <w:t xml:space="preserve">4.内部控制措施 </w:t>
      </w:r>
    </w:p>
    <w:p>
      <w:pPr>
        <w:pStyle w:val="7"/>
        <w:spacing w:before="0" w:beforeAutospacing="0" w:after="0" w:afterAutospacing="0" w:line="360" w:lineRule="auto"/>
        <w:ind w:firstLine="420"/>
        <w:rPr>
          <w:sz w:val="21"/>
          <w:szCs w:val="21"/>
        </w:rPr>
      </w:pPr>
      <w:r>
        <w:rPr>
          <w:rFonts w:hint="eastAsia"/>
          <w:sz w:val="21"/>
          <w:szCs w:val="21"/>
        </w:rPr>
        <w:t xml:space="preserve">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环境、制度、流程、岗位职责、人员、授权、创新、合同、印章、服务质量、收费、反洗钱、防止利益冲突、业务连续性、考核、信息系统等全方面执行内部控制措施。 </w:t>
      </w:r>
    </w:p>
    <w:p>
      <w:pPr>
        <w:pStyle w:val="7"/>
        <w:spacing w:before="0" w:beforeAutospacing="0" w:after="0" w:afterAutospacing="0" w:line="360" w:lineRule="auto"/>
        <w:ind w:firstLine="420"/>
        <w:rPr>
          <w:sz w:val="21"/>
          <w:szCs w:val="21"/>
        </w:rPr>
      </w:pPr>
      <w:r>
        <w:rPr>
          <w:rFonts w:hint="eastAsia"/>
          <w:sz w:val="21"/>
          <w:szCs w:val="21"/>
        </w:rPr>
        <w:t xml:space="preserve">5.风险控制 </w:t>
      </w:r>
    </w:p>
    <w:p>
      <w:pPr>
        <w:pStyle w:val="7"/>
        <w:spacing w:before="0" w:beforeAutospacing="0" w:after="0" w:afterAutospacing="0" w:line="360" w:lineRule="auto"/>
        <w:ind w:firstLine="420"/>
        <w:rPr>
          <w:sz w:val="21"/>
          <w:szCs w:val="21"/>
        </w:rPr>
      </w:pPr>
      <w:r>
        <w:rPr>
          <w:rFonts w:hint="eastAsia"/>
          <w:sz w:val="21"/>
          <w:szCs w:val="21"/>
        </w:rPr>
        <w:t xml:space="preserve">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委员会机制、完善资产托管业务制度体系、加强资产托管业务队伍建设、科技赋能、建立健全应急灾备体系、建立审计发现问题整改台账、加强人员管理等措施，有效控制操作风险、合规风险、声誉风险、信息科技风险和次生风险。 </w:t>
      </w:r>
    </w:p>
    <w:p>
      <w:pPr>
        <w:pStyle w:val="7"/>
        <w:spacing w:before="0" w:beforeAutospacing="0" w:after="0" w:afterAutospacing="0" w:line="360" w:lineRule="auto"/>
        <w:ind w:firstLine="420"/>
        <w:rPr>
          <w:sz w:val="21"/>
          <w:szCs w:val="21"/>
        </w:rPr>
      </w:pPr>
      <w:r>
        <w:rPr>
          <w:rFonts w:hint="eastAsia"/>
          <w:sz w:val="21"/>
          <w:szCs w:val="21"/>
        </w:rPr>
        <w:t xml:space="preserve">6.业务连续性保障 </w:t>
      </w:r>
    </w:p>
    <w:p>
      <w:pPr>
        <w:pStyle w:val="7"/>
        <w:spacing w:before="0" w:beforeAutospacing="0" w:after="0" w:afterAutospacing="0" w:line="360" w:lineRule="auto"/>
        <w:ind w:firstLine="420"/>
        <w:rPr>
          <w:sz w:val="21"/>
          <w:szCs w:val="21"/>
        </w:rPr>
      </w:pPr>
      <w:r>
        <w:rPr>
          <w:rFonts w:hint="eastAsia"/>
          <w:sz w:val="21"/>
          <w:szCs w:val="21"/>
        </w:rPr>
        <w:t xml:space="preserve">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 </w:t>
      </w:r>
    </w:p>
    <w:p>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4" w:name="chapter_level1_6_55_section_2_end"/>
      <w:bookmarkEnd w:id="54"/>
      <w:r>
        <w:rPr>
          <w:rFonts w:hint="eastAsia"/>
          <w:sz w:val="21"/>
          <w:szCs w:val="21"/>
        </w:rPr>
        <w:t xml:space="preserve">理人限期纠正。 </w:t>
      </w:r>
      <w:bookmarkStart w:id="55" w:name="field_0_trustcontrollawinfo_1_end"/>
      <w:bookmarkEnd w:id="5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6" w:name="_Toc207980074"/>
      <w:bookmarkStart w:id="57" w:name="chapter_level1_7_56"/>
      <w:r>
        <w:rPr>
          <w:rFonts w:hint="eastAsia" w:ascii="宋体" w:hAnsi="宋体" w:eastAsia="宋体"/>
          <w:sz w:val="30"/>
        </w:rPr>
        <w:t>第五部分  相关服务机构</w:t>
      </w:r>
      <w:bookmarkEnd w:id="56"/>
      <w:bookmarkEnd w:id="57"/>
    </w:p>
    <w:p>
      <w:pPr>
        <w:pStyle w:val="7"/>
        <w:spacing w:before="0" w:beforeAutospacing="0" w:after="0" w:afterAutospacing="0" w:line="360" w:lineRule="auto"/>
        <w:ind w:firstLine="420"/>
        <w:rPr>
          <w:sz w:val="21"/>
          <w:szCs w:val="21"/>
        </w:rPr>
      </w:pPr>
      <w:bookmarkStart w:id="58" w:name="chapter_level1_7_56_section_1"/>
      <w:bookmarkEnd w:id="58"/>
      <w:r>
        <w:rPr>
          <w:rFonts w:hint="eastAsia"/>
          <w:b/>
          <w:bCs/>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59" w:name="field_0_marketcompanyinfo_1_start"/>
      <w:bookmarkEnd w:id="59"/>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0" w:name="chapter_level1_7_56_section_1_end"/>
      <w:bookmarkEnd w:id="60"/>
      <w:r>
        <w:rPr>
          <w:rFonts w:hint="eastAsia"/>
          <w:sz w:val="21"/>
          <w:szCs w:val="21"/>
        </w:rPr>
        <w:t xml:space="preserve">博时一线通：95105568（免长途话费） </w:t>
      </w:r>
      <w:bookmarkStart w:id="61" w:name="field_0_marketcompanyinfo_1_end"/>
      <w:bookmarkEnd w:id="61"/>
      <w:r>
        <w:rPr>
          <w:rFonts w:hint="eastAsia"/>
          <w:sz w:val="21"/>
          <w:szCs w:val="21"/>
        </w:rPr>
        <w:t xml:space="preserve">  </w:t>
      </w:r>
    </w:p>
    <w:p>
      <w:pPr>
        <w:pStyle w:val="7"/>
        <w:spacing w:before="0" w:beforeAutospacing="0" w:after="0" w:afterAutospacing="0" w:line="360" w:lineRule="auto"/>
        <w:ind w:firstLine="420"/>
        <w:rPr>
          <w:sz w:val="21"/>
          <w:szCs w:val="21"/>
        </w:rPr>
      </w:pPr>
      <w:bookmarkStart w:id="62" w:name="chapter_level1_7_56_section_2"/>
      <w:bookmarkEnd w:id="62"/>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3" w:name="field_0_allproxysaletables_1_start"/>
      <w:bookmarkEnd w:id="63"/>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廖林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010－66107914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http://www.icbc.com.cn/ </w:t>
            </w:r>
          </w:p>
        </w:tc>
      </w:tr>
    </w:tbl>
    <w:p>
      <w:pPr>
        <w:pStyle w:val="7"/>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葛海蛟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010-66594973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http://www.boc.cn/ </w:t>
            </w:r>
          </w:p>
        </w:tc>
      </w:tr>
    </w:tbl>
    <w:p>
      <w:pPr>
        <w:pStyle w:val="7"/>
        <w:spacing w:before="0" w:beforeAutospacing="0" w:after="0" w:afterAutospacing="0" w:line="360" w:lineRule="auto"/>
        <w:ind w:firstLine="420"/>
        <w:rPr>
          <w:sz w:val="21"/>
          <w:szCs w:val="21"/>
        </w:rPr>
      </w:pPr>
      <w:r>
        <w:rPr>
          <w:rFonts w:hint="eastAsia"/>
          <w:b/>
          <w:bCs/>
          <w:sz w:val="21"/>
          <w:szCs w:val="21"/>
        </w:rPr>
        <w:t>(3)中国建设银行股份有限公司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北京市西城区闹市口大街1号院1号楼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田国立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010－66275654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http://www.ccb.com/ </w:t>
            </w:r>
          </w:p>
        </w:tc>
      </w:tr>
    </w:tbl>
    <w:p>
      <w:pPr>
        <w:pStyle w:val="7"/>
        <w:spacing w:before="0" w:beforeAutospacing="0" w:after="0" w:afterAutospacing="0" w:line="360" w:lineRule="auto"/>
        <w:ind w:firstLine="420"/>
        <w:rPr>
          <w:sz w:val="21"/>
          <w:szCs w:val="21"/>
        </w:rPr>
      </w:pPr>
      <w:r>
        <w:rPr>
          <w:rFonts w:hint="eastAsia"/>
          <w:b/>
          <w:bCs/>
          <w:sz w:val="21"/>
          <w:szCs w:val="21"/>
        </w:rPr>
        <w:t>(4)交通银行股份有限公司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任德奇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021-58781234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021-58408483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http://www.bankcomm.com/ </w:t>
            </w:r>
          </w:p>
        </w:tc>
      </w:tr>
    </w:tbl>
    <w:p>
      <w:pPr>
        <w:pStyle w:val="7"/>
        <w:spacing w:before="0" w:beforeAutospacing="0" w:after="0" w:afterAutospacing="0" w:line="360" w:lineRule="auto"/>
        <w:ind w:firstLine="420"/>
        <w:rPr>
          <w:sz w:val="21"/>
          <w:szCs w:val="21"/>
        </w:rPr>
      </w:pPr>
      <w:r>
        <w:rPr>
          <w:rFonts w:hint="eastAsia"/>
          <w:b/>
          <w:bCs/>
          <w:sz w:val="21"/>
          <w:szCs w:val="21"/>
        </w:rPr>
        <w:t>(5)招商银行股份有限公司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http://www.cmbchina.com/ </w:t>
            </w:r>
          </w:p>
        </w:tc>
      </w:tr>
    </w:tbl>
    <w:p>
      <w:pPr>
        <w:pStyle w:val="7"/>
        <w:spacing w:before="0" w:beforeAutospacing="0" w:after="0" w:afterAutospacing="0" w:line="360" w:lineRule="auto"/>
        <w:ind w:firstLine="420"/>
        <w:rPr>
          <w:sz w:val="21"/>
          <w:szCs w:val="21"/>
        </w:rPr>
      </w:pPr>
      <w:r>
        <w:rPr>
          <w:rFonts w:hint="eastAsia"/>
          <w:b/>
          <w:bCs/>
          <w:sz w:val="21"/>
          <w:szCs w:val="21"/>
        </w:rPr>
        <w:t>(6)上海浦东发展银行股份有限公司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上海市中山东一路12号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上海市北京东路689号东银大厦25楼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郑杨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021－61618888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021－63602431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http://www.spdb.com.cn </w:t>
            </w:r>
          </w:p>
        </w:tc>
      </w:tr>
    </w:tbl>
    <w:p>
      <w:pPr>
        <w:pStyle w:val="7"/>
        <w:spacing w:before="0" w:beforeAutospacing="0" w:after="0" w:afterAutospacing="0" w:line="360" w:lineRule="auto"/>
        <w:ind w:firstLine="420"/>
        <w:rPr>
          <w:sz w:val="21"/>
          <w:szCs w:val="21"/>
        </w:rPr>
      </w:pPr>
      <w:r>
        <w:rPr>
          <w:rFonts w:hint="eastAsia"/>
          <w:b/>
          <w:bCs/>
          <w:sz w:val="21"/>
          <w:szCs w:val="21"/>
        </w:rPr>
        <w:t>(7)兴业银行股份有限公司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www.cib.com.cn </w:t>
            </w:r>
          </w:p>
        </w:tc>
      </w:tr>
    </w:tbl>
    <w:p>
      <w:pPr>
        <w:pStyle w:val="7"/>
        <w:spacing w:before="0" w:beforeAutospacing="0" w:after="0" w:afterAutospacing="0" w:line="360" w:lineRule="auto"/>
        <w:ind w:firstLine="420"/>
        <w:rPr>
          <w:sz w:val="21"/>
          <w:szCs w:val="21"/>
        </w:rPr>
      </w:pPr>
      <w:r>
        <w:rPr>
          <w:rFonts w:hint="eastAsia"/>
          <w:b/>
          <w:bCs/>
          <w:sz w:val="21"/>
          <w:szCs w:val="21"/>
        </w:rPr>
        <w:t>(8)中国邮政储蓄银行股份有限公司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张金良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010－68858117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http://www.psbc.com </w:t>
            </w:r>
          </w:p>
        </w:tc>
      </w:tr>
    </w:tbl>
    <w:p>
      <w:pPr>
        <w:pStyle w:val="7"/>
        <w:spacing w:before="0" w:beforeAutospacing="0" w:after="0" w:afterAutospacing="0" w:line="360" w:lineRule="auto"/>
        <w:ind w:firstLine="420"/>
        <w:rPr>
          <w:sz w:val="21"/>
          <w:szCs w:val="21"/>
        </w:rPr>
      </w:pPr>
      <w:r>
        <w:rPr>
          <w:rFonts w:hint="eastAsia"/>
          <w:b/>
          <w:bCs/>
          <w:sz w:val="21"/>
          <w:szCs w:val="21"/>
        </w:rPr>
        <w:t>(9)上海银行股份有限公司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中国（上海）自由贸易试验区银城中路168号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8621-68475888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8621-68476111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www.bosc.cn </w:t>
            </w:r>
          </w:p>
        </w:tc>
      </w:tr>
    </w:tbl>
    <w:p>
      <w:pPr>
        <w:pStyle w:val="7"/>
        <w:spacing w:before="0" w:beforeAutospacing="0" w:after="0" w:afterAutospacing="0" w:line="360" w:lineRule="auto"/>
        <w:ind w:firstLine="420"/>
        <w:rPr>
          <w:sz w:val="21"/>
          <w:szCs w:val="21"/>
        </w:rPr>
      </w:pPr>
      <w:r>
        <w:rPr>
          <w:rFonts w:hint="eastAsia"/>
          <w:b/>
          <w:bCs/>
          <w:sz w:val="21"/>
          <w:szCs w:val="21"/>
        </w:rPr>
        <w:t>(10)广发银行股份有限公司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020-38321497/020-38322566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020-38321676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4008308003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http://www.cgbchina.com.cn/ </w:t>
            </w:r>
          </w:p>
        </w:tc>
      </w:tr>
    </w:tbl>
    <w:p>
      <w:pPr>
        <w:pStyle w:val="7"/>
        <w:spacing w:before="0" w:beforeAutospacing="0" w:after="0" w:afterAutospacing="0" w:line="360" w:lineRule="auto"/>
        <w:ind w:firstLine="420"/>
        <w:rPr>
          <w:sz w:val="21"/>
          <w:szCs w:val="21"/>
        </w:rPr>
      </w:pPr>
      <w:r>
        <w:rPr>
          <w:rFonts w:hint="eastAsia"/>
          <w:b/>
          <w:bCs/>
          <w:sz w:val="21"/>
          <w:szCs w:val="21"/>
        </w:rPr>
        <w:t>(11)平安银行股份有限公司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谢永林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施艺帆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021-50979384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021-50979507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http://bank.pingan.com </w:t>
            </w:r>
          </w:p>
        </w:tc>
      </w:tr>
    </w:tbl>
    <w:p>
      <w:pPr>
        <w:pStyle w:val="7"/>
        <w:spacing w:before="0" w:beforeAutospacing="0" w:after="0" w:afterAutospacing="0" w:line="360" w:lineRule="auto"/>
        <w:ind w:firstLine="420"/>
        <w:rPr>
          <w:sz w:val="21"/>
          <w:szCs w:val="21"/>
        </w:rPr>
      </w:pPr>
      <w:r>
        <w:rPr>
          <w:rFonts w:hint="eastAsia"/>
          <w:b/>
          <w:bCs/>
          <w:sz w:val="21"/>
          <w:szCs w:val="21"/>
        </w:rPr>
        <w:t>(12)宁波银行股份有限公司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陆华裕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胡技勋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0574-89068340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0574-87050024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http://www.nbcb.com.cn </w:t>
            </w:r>
          </w:p>
        </w:tc>
      </w:tr>
    </w:tbl>
    <w:p>
      <w:pPr>
        <w:pStyle w:val="7"/>
        <w:spacing w:before="0" w:beforeAutospacing="0" w:after="0" w:afterAutospacing="0" w:line="360" w:lineRule="auto"/>
        <w:ind w:firstLine="420"/>
        <w:rPr>
          <w:sz w:val="21"/>
          <w:szCs w:val="21"/>
        </w:rPr>
      </w:pPr>
      <w:r>
        <w:rPr>
          <w:rFonts w:hint="eastAsia"/>
          <w:b/>
          <w:bCs/>
          <w:sz w:val="21"/>
          <w:szCs w:val="21"/>
        </w:rPr>
        <w:t>(13)上海农村商业银行股份有限公司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上海市浦东新区银城中路8号15-20楼、22-27楼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上海市浦东新区银城中路8号15-20楼、22-27楼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冀光恒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施传荣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021－38576666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021－50105124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021-962999;4006962999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http://www.srcb.com/ </w:t>
            </w:r>
          </w:p>
        </w:tc>
      </w:tr>
    </w:tbl>
    <w:p>
      <w:pPr>
        <w:pStyle w:val="7"/>
        <w:spacing w:before="0" w:beforeAutospacing="0" w:after="0" w:afterAutospacing="0" w:line="360" w:lineRule="auto"/>
        <w:ind w:firstLine="420"/>
        <w:rPr>
          <w:sz w:val="21"/>
          <w:szCs w:val="21"/>
        </w:rPr>
      </w:pPr>
      <w:r>
        <w:rPr>
          <w:rFonts w:hint="eastAsia"/>
          <w:b/>
          <w:bCs/>
          <w:sz w:val="21"/>
          <w:szCs w:val="21"/>
        </w:rPr>
        <w:t>(14)北京农村商业银行股份有限公司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王金山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鲁娟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010-89198762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010-89198678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http://www.bjrcb.com </w:t>
            </w:r>
          </w:p>
        </w:tc>
      </w:tr>
    </w:tbl>
    <w:p>
      <w:pPr>
        <w:pStyle w:val="7"/>
        <w:spacing w:before="0" w:beforeAutospacing="0" w:after="0" w:afterAutospacing="0" w:line="360" w:lineRule="auto"/>
        <w:ind w:firstLine="420"/>
        <w:rPr>
          <w:sz w:val="21"/>
          <w:szCs w:val="21"/>
        </w:rPr>
      </w:pPr>
      <w:r>
        <w:rPr>
          <w:rFonts w:hint="eastAsia"/>
          <w:b/>
          <w:bCs/>
          <w:sz w:val="21"/>
          <w:szCs w:val="21"/>
        </w:rPr>
        <w:t>(15)浙商银行股份有限公司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张达洋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毛真海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0571-87659546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0571-87659188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http://www.czbank.com </w:t>
            </w:r>
          </w:p>
        </w:tc>
      </w:tr>
    </w:tbl>
    <w:p>
      <w:pPr>
        <w:pStyle w:val="7"/>
        <w:spacing w:before="0" w:beforeAutospacing="0" w:after="0" w:afterAutospacing="0" w:line="360" w:lineRule="auto"/>
        <w:ind w:firstLine="420"/>
        <w:rPr>
          <w:sz w:val="21"/>
          <w:szCs w:val="21"/>
        </w:rPr>
      </w:pPr>
      <w:r>
        <w:rPr>
          <w:rFonts w:hint="eastAsia"/>
          <w:b/>
          <w:bCs/>
          <w:sz w:val="21"/>
          <w:szCs w:val="21"/>
        </w:rPr>
        <w:t>(16)东莞银行股份有限公司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卢国锋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朱杰霞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0769－27239605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0769－22117730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http://www.dongguanbank.cn </w:t>
            </w:r>
          </w:p>
        </w:tc>
      </w:tr>
    </w:tbl>
    <w:p>
      <w:pPr>
        <w:pStyle w:val="7"/>
        <w:spacing w:before="0" w:beforeAutospacing="0" w:after="0" w:afterAutospacing="0" w:line="360" w:lineRule="auto"/>
        <w:ind w:firstLine="420"/>
        <w:rPr>
          <w:sz w:val="21"/>
          <w:szCs w:val="21"/>
        </w:rPr>
      </w:pPr>
      <w:r>
        <w:rPr>
          <w:rFonts w:hint="eastAsia"/>
          <w:b/>
          <w:bCs/>
          <w:sz w:val="21"/>
          <w:szCs w:val="21"/>
        </w:rPr>
        <w:t>(17)杭州银行股份有限公司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陈震山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严峻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0571－85108195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0571－85106576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http://www.hzbank.com.cn </w:t>
            </w:r>
          </w:p>
        </w:tc>
      </w:tr>
    </w:tbl>
    <w:p>
      <w:pPr>
        <w:pStyle w:val="7"/>
        <w:spacing w:before="0" w:beforeAutospacing="0" w:after="0" w:afterAutospacing="0" w:line="360" w:lineRule="auto"/>
        <w:ind w:firstLine="420"/>
        <w:rPr>
          <w:sz w:val="21"/>
          <w:szCs w:val="21"/>
        </w:rPr>
      </w:pPr>
      <w:r>
        <w:rPr>
          <w:rFonts w:hint="eastAsia"/>
          <w:b/>
          <w:bCs/>
          <w:sz w:val="21"/>
          <w:szCs w:val="21"/>
        </w:rPr>
        <w:t>(18)南京银行股份有限公司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南京市白下区淮海路50号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南京市玄武区中山路288号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025－86775335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025－86775376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http://www.njcb.com.cn </w:t>
            </w:r>
          </w:p>
        </w:tc>
      </w:tr>
    </w:tbl>
    <w:p>
      <w:pPr>
        <w:pStyle w:val="7"/>
        <w:spacing w:before="0" w:beforeAutospacing="0" w:after="0" w:afterAutospacing="0" w:line="360" w:lineRule="auto"/>
        <w:ind w:firstLine="420"/>
        <w:rPr>
          <w:sz w:val="21"/>
          <w:szCs w:val="21"/>
        </w:rPr>
      </w:pPr>
      <w:r>
        <w:rPr>
          <w:rFonts w:hint="eastAsia"/>
          <w:b/>
          <w:bCs/>
          <w:sz w:val="21"/>
          <w:szCs w:val="21"/>
        </w:rPr>
        <w:t>(19)江苏银行股份有限公司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南京市洪武北路55号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南京市中华路26号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田春慧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025-58587018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025-58587038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http://www.jsbchina.cn </w:t>
            </w:r>
          </w:p>
        </w:tc>
      </w:tr>
    </w:tbl>
    <w:p>
      <w:pPr>
        <w:pStyle w:val="7"/>
        <w:spacing w:before="0" w:beforeAutospacing="0" w:after="0" w:afterAutospacing="0" w:line="360" w:lineRule="auto"/>
        <w:ind w:firstLine="420"/>
        <w:rPr>
          <w:sz w:val="21"/>
          <w:szCs w:val="21"/>
        </w:rPr>
      </w:pPr>
      <w:r>
        <w:rPr>
          <w:rFonts w:hint="eastAsia"/>
          <w:b/>
          <w:bCs/>
          <w:sz w:val="21"/>
          <w:szCs w:val="21"/>
        </w:rPr>
        <w:t>(20)渤海银行股份有限公司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天津市河东区海河东路218号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天津市河东区海河东路218号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李伏安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022-58316666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022-58316569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http://www.cbhb.com.cn </w:t>
            </w:r>
          </w:p>
        </w:tc>
      </w:tr>
    </w:tbl>
    <w:p>
      <w:pPr>
        <w:pStyle w:val="7"/>
        <w:spacing w:before="0" w:beforeAutospacing="0" w:after="0" w:afterAutospacing="0" w:line="360" w:lineRule="auto"/>
        <w:ind w:firstLine="420"/>
        <w:rPr>
          <w:sz w:val="21"/>
          <w:szCs w:val="21"/>
        </w:rPr>
      </w:pPr>
      <w:r>
        <w:rPr>
          <w:rFonts w:hint="eastAsia"/>
          <w:b/>
          <w:bCs/>
          <w:sz w:val="21"/>
          <w:szCs w:val="21"/>
        </w:rPr>
        <w:t>(21)江苏张家港农村商业银行股份有限公司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张家港市杨舍镇人民中路66号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张家港市杨舍镇人民中路66号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王自忠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0512-58236370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0512-58236370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0512-96065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http://www.zrcbank.com </w:t>
            </w:r>
          </w:p>
        </w:tc>
      </w:tr>
    </w:tbl>
    <w:p>
      <w:pPr>
        <w:pStyle w:val="7"/>
        <w:spacing w:before="0" w:beforeAutospacing="0" w:after="0" w:afterAutospacing="0" w:line="360" w:lineRule="auto"/>
        <w:ind w:firstLine="420"/>
        <w:rPr>
          <w:sz w:val="21"/>
          <w:szCs w:val="21"/>
        </w:rPr>
      </w:pPr>
      <w:r>
        <w:rPr>
          <w:rFonts w:hint="eastAsia"/>
          <w:b/>
          <w:bCs/>
          <w:sz w:val="21"/>
          <w:szCs w:val="21"/>
        </w:rPr>
        <w:t>(22)大连银行股份有限公司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辽宁省大连市中山区中山路88号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大连市中山区中山路88号天安国际大厦43楼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陈占维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0411-82311131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4006640099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http://www.bankofdl.com </w:t>
            </w:r>
          </w:p>
        </w:tc>
      </w:tr>
    </w:tbl>
    <w:p>
      <w:pPr>
        <w:pStyle w:val="7"/>
        <w:spacing w:before="0" w:beforeAutospacing="0" w:after="0" w:afterAutospacing="0" w:line="360" w:lineRule="auto"/>
        <w:ind w:firstLine="420"/>
        <w:rPr>
          <w:sz w:val="21"/>
          <w:szCs w:val="21"/>
        </w:rPr>
      </w:pPr>
      <w:r>
        <w:rPr>
          <w:rFonts w:hint="eastAsia"/>
          <w:b/>
          <w:bCs/>
          <w:sz w:val="21"/>
          <w:szCs w:val="21"/>
        </w:rPr>
        <w:t>(23)浙江民泰商业银行股份有限公司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浙江省温岭市太平街道三星大道168号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浙江省杭州市江干区丹桂街8号汉嘉国际1512室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江建法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沈斯诺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www.mintaibank.com </w:t>
            </w:r>
          </w:p>
        </w:tc>
      </w:tr>
    </w:tbl>
    <w:p>
      <w:pPr>
        <w:pStyle w:val="7"/>
        <w:spacing w:before="0" w:beforeAutospacing="0" w:after="0" w:afterAutospacing="0" w:line="360" w:lineRule="auto"/>
        <w:ind w:firstLine="420"/>
        <w:rPr>
          <w:sz w:val="21"/>
          <w:szCs w:val="21"/>
        </w:rPr>
      </w:pPr>
      <w:r>
        <w:rPr>
          <w:rFonts w:hint="eastAsia"/>
          <w:b/>
          <w:bCs/>
          <w:sz w:val="21"/>
          <w:szCs w:val="21"/>
        </w:rPr>
        <w:t>(24)重庆银行股份有限公司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重庆市渝中区邹容路153号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重庆市渝中区邹容路153号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甘为民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孔文超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023- 63792212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023- 63792412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96899（重庆）、400-70-96899（其他地区）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http://www.cqcbank.com </w:t>
            </w:r>
          </w:p>
        </w:tc>
      </w:tr>
    </w:tbl>
    <w:p>
      <w:pPr>
        <w:pStyle w:val="7"/>
        <w:spacing w:before="0" w:beforeAutospacing="0" w:after="0" w:afterAutospacing="0" w:line="360" w:lineRule="auto"/>
        <w:ind w:firstLine="420"/>
        <w:rPr>
          <w:sz w:val="21"/>
          <w:szCs w:val="21"/>
        </w:rPr>
      </w:pPr>
      <w:r>
        <w:rPr>
          <w:rFonts w:hint="eastAsia"/>
          <w:b/>
          <w:bCs/>
          <w:sz w:val="21"/>
          <w:szCs w:val="21"/>
        </w:rPr>
        <w:t>(25)东莞农村商业银行股份有限公司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广东省东莞市东城区鸿福东路2号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广东省东莞市东城区鸿福东路2号东莞农商银行大厦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王耀球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0769-22866270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0769-22866282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961122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http://www.drcbank.com/ </w:t>
            </w:r>
          </w:p>
        </w:tc>
      </w:tr>
    </w:tbl>
    <w:p>
      <w:pPr>
        <w:pStyle w:val="7"/>
        <w:spacing w:before="0" w:beforeAutospacing="0" w:after="0" w:afterAutospacing="0" w:line="360" w:lineRule="auto"/>
        <w:ind w:firstLine="420"/>
        <w:rPr>
          <w:sz w:val="21"/>
          <w:szCs w:val="21"/>
        </w:rPr>
      </w:pPr>
      <w:r>
        <w:rPr>
          <w:rFonts w:hint="eastAsia"/>
          <w:b/>
          <w:bCs/>
          <w:sz w:val="21"/>
          <w:szCs w:val="21"/>
        </w:rPr>
        <w:t>(26)河北银行股份有限公司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河北省石家庄市建设南大街21号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河北省石家庄市建设南大街21号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梅爱斌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0311-88627587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0311-88627027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http://www.hebbank.com </w:t>
            </w:r>
          </w:p>
        </w:tc>
      </w:tr>
    </w:tbl>
    <w:p>
      <w:pPr>
        <w:pStyle w:val="7"/>
        <w:spacing w:before="0" w:beforeAutospacing="0" w:after="0" w:afterAutospacing="0" w:line="360" w:lineRule="auto"/>
        <w:ind w:firstLine="420"/>
        <w:rPr>
          <w:sz w:val="21"/>
          <w:szCs w:val="21"/>
        </w:rPr>
      </w:pPr>
      <w:r>
        <w:rPr>
          <w:rFonts w:hint="eastAsia"/>
          <w:b/>
          <w:bCs/>
          <w:sz w:val="21"/>
          <w:szCs w:val="21"/>
        </w:rPr>
        <w:t>(27)嘉兴银行股份有限公司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顾晓光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0573-96528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http://www.jxccb.com/ </w:t>
            </w:r>
          </w:p>
        </w:tc>
      </w:tr>
    </w:tbl>
    <w:p>
      <w:pPr>
        <w:pStyle w:val="7"/>
        <w:spacing w:before="0" w:beforeAutospacing="0" w:after="0" w:afterAutospacing="0" w:line="360" w:lineRule="auto"/>
        <w:ind w:firstLine="420"/>
        <w:rPr>
          <w:sz w:val="21"/>
          <w:szCs w:val="21"/>
        </w:rPr>
      </w:pPr>
      <w:r>
        <w:rPr>
          <w:rFonts w:hint="eastAsia"/>
          <w:b/>
          <w:bCs/>
          <w:sz w:val="21"/>
          <w:szCs w:val="21"/>
        </w:rPr>
        <w:t>(28)广东顺德农村商业银行股份有限公司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广东省佛山市顺德区大良街道德和社区兴业路8号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广东省佛山市顺德区大良街道德和社区兴业路8号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姚真勇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胡健强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0757-22386489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0757-22388235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0757-2223388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www.sdebank.com </w:t>
            </w:r>
          </w:p>
        </w:tc>
      </w:tr>
    </w:tbl>
    <w:p>
      <w:pPr>
        <w:pStyle w:val="7"/>
        <w:spacing w:before="0" w:beforeAutospacing="0" w:after="0" w:afterAutospacing="0" w:line="360" w:lineRule="auto"/>
        <w:ind w:firstLine="420"/>
        <w:rPr>
          <w:sz w:val="21"/>
          <w:szCs w:val="21"/>
        </w:rPr>
      </w:pPr>
      <w:r>
        <w:rPr>
          <w:rFonts w:hint="eastAsia"/>
          <w:b/>
          <w:bCs/>
          <w:sz w:val="21"/>
          <w:szCs w:val="21"/>
        </w:rPr>
        <w:t>(29)江苏苏州农村商业银行股份有限公司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江苏省苏州市吴江区中山南路1777号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江苏省苏州市吴江区中山南路1777号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徐晓军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葛晓亮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0512-63969209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0512-63969209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www.szrcb.com </w:t>
            </w:r>
          </w:p>
        </w:tc>
      </w:tr>
    </w:tbl>
    <w:p>
      <w:pPr>
        <w:pStyle w:val="7"/>
        <w:spacing w:before="0" w:beforeAutospacing="0" w:after="0" w:afterAutospacing="0" w:line="360" w:lineRule="auto"/>
        <w:ind w:firstLine="420"/>
        <w:rPr>
          <w:sz w:val="21"/>
          <w:szCs w:val="21"/>
        </w:rPr>
      </w:pPr>
      <w:r>
        <w:rPr>
          <w:rFonts w:hint="eastAsia"/>
          <w:b/>
          <w:bCs/>
          <w:sz w:val="21"/>
          <w:szCs w:val="21"/>
        </w:rPr>
        <w:t>(30)西安银行股份有限公司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白智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4008696779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www.xacbank.com </w:t>
            </w:r>
          </w:p>
        </w:tc>
      </w:tr>
    </w:tbl>
    <w:p>
      <w:pPr>
        <w:pStyle w:val="7"/>
        <w:spacing w:before="0" w:beforeAutospacing="0" w:after="0" w:afterAutospacing="0" w:line="360" w:lineRule="auto"/>
        <w:ind w:firstLine="420"/>
        <w:rPr>
          <w:sz w:val="21"/>
          <w:szCs w:val="21"/>
        </w:rPr>
      </w:pPr>
      <w:r>
        <w:rPr>
          <w:rFonts w:hint="eastAsia"/>
          <w:b/>
          <w:bCs/>
          <w:sz w:val="21"/>
          <w:szCs w:val="21"/>
        </w:rPr>
        <w:t>(31)金华银行股份有限公司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浙江省金华市光南路668号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浙江省金华市光南路668号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徐雅清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徐晓峰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0579-83207775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0579-82178321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400-711-6668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http://www.jhccb.com.cn </w:t>
            </w:r>
          </w:p>
        </w:tc>
      </w:tr>
    </w:tbl>
    <w:p>
      <w:pPr>
        <w:pStyle w:val="7"/>
        <w:spacing w:before="0" w:beforeAutospacing="0" w:after="0" w:afterAutospacing="0" w:line="360" w:lineRule="auto"/>
        <w:ind w:firstLine="420"/>
        <w:rPr>
          <w:sz w:val="21"/>
          <w:szCs w:val="21"/>
        </w:rPr>
      </w:pPr>
      <w:r>
        <w:rPr>
          <w:rFonts w:hint="eastAsia"/>
          <w:b/>
          <w:bCs/>
          <w:sz w:val="21"/>
          <w:szCs w:val="21"/>
        </w:rPr>
        <w:t>(32)江苏江南农村商业银行股份有限公司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陆向阳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0519-80585939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0519-89995170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0519-96005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http://www.jnbank.com.cn </w:t>
            </w:r>
          </w:p>
        </w:tc>
      </w:tr>
    </w:tbl>
    <w:p>
      <w:pPr>
        <w:pStyle w:val="7"/>
        <w:spacing w:before="0" w:beforeAutospacing="0" w:after="0" w:afterAutospacing="0" w:line="360" w:lineRule="auto"/>
        <w:ind w:firstLine="420"/>
        <w:rPr>
          <w:sz w:val="21"/>
          <w:szCs w:val="21"/>
        </w:rPr>
      </w:pPr>
      <w:r>
        <w:rPr>
          <w:rFonts w:hint="eastAsia"/>
          <w:b/>
          <w:bCs/>
          <w:sz w:val="21"/>
          <w:szCs w:val="21"/>
        </w:rPr>
        <w:t>(33)长沙银行股份有限公司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赵小中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龙秀芳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0731-96511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www.bankofchangsha.com </w:t>
            </w:r>
          </w:p>
        </w:tc>
      </w:tr>
    </w:tbl>
    <w:p>
      <w:pPr>
        <w:pStyle w:val="7"/>
        <w:spacing w:before="0" w:beforeAutospacing="0" w:after="0" w:afterAutospacing="0" w:line="360" w:lineRule="auto"/>
        <w:ind w:firstLine="420"/>
        <w:rPr>
          <w:sz w:val="21"/>
          <w:szCs w:val="21"/>
        </w:rPr>
      </w:pPr>
      <w:r>
        <w:rPr>
          <w:rFonts w:hint="eastAsia"/>
          <w:b/>
          <w:bCs/>
          <w:sz w:val="21"/>
          <w:szCs w:val="21"/>
        </w:rPr>
        <w:t>(34)郑州银行股份有限公司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郑州市郑东新区商务外环路22号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郑州市郑东新区商务外环路22号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王天宇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焦明飞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0371-67009698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0371-67009097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http://www.zzbank.cn </w:t>
            </w:r>
          </w:p>
        </w:tc>
      </w:tr>
    </w:tbl>
    <w:p>
      <w:pPr>
        <w:pStyle w:val="7"/>
        <w:spacing w:before="0" w:beforeAutospacing="0" w:after="0" w:afterAutospacing="0" w:line="360" w:lineRule="auto"/>
        <w:ind w:firstLine="420"/>
        <w:rPr>
          <w:sz w:val="21"/>
          <w:szCs w:val="21"/>
        </w:rPr>
      </w:pPr>
      <w:r>
        <w:rPr>
          <w:rFonts w:hint="eastAsia"/>
          <w:b/>
          <w:bCs/>
          <w:sz w:val="21"/>
          <w:szCs w:val="21"/>
        </w:rPr>
        <w:t>(35)广州农村商业银行股份有限公司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广州市天河区珠江新城华夏路1号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广州市天河区珠江新城华夏路1号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王继康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020-28852675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020-28852675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www.grcbank.com </w:t>
            </w:r>
          </w:p>
        </w:tc>
      </w:tr>
    </w:tbl>
    <w:p>
      <w:pPr>
        <w:pStyle w:val="7"/>
        <w:spacing w:before="0" w:beforeAutospacing="0" w:after="0" w:afterAutospacing="0" w:line="360" w:lineRule="auto"/>
        <w:ind w:firstLine="420"/>
        <w:rPr>
          <w:sz w:val="21"/>
          <w:szCs w:val="21"/>
        </w:rPr>
      </w:pPr>
      <w:r>
        <w:rPr>
          <w:rFonts w:hint="eastAsia"/>
          <w:b/>
          <w:bCs/>
          <w:sz w:val="21"/>
          <w:szCs w:val="21"/>
        </w:rPr>
        <w:t>(36)成都农村商业银行股份有限公司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四川省成都市武侯区科华中路88号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四川省成都市武侯区科华中路88号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黄建军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028-85029649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028-85190961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http://www.cdrcb.com/ </w:t>
            </w:r>
          </w:p>
        </w:tc>
      </w:tr>
    </w:tbl>
    <w:p>
      <w:pPr>
        <w:pStyle w:val="7"/>
        <w:spacing w:before="0" w:beforeAutospacing="0" w:after="0" w:afterAutospacing="0" w:line="360" w:lineRule="auto"/>
        <w:ind w:firstLine="420"/>
        <w:rPr>
          <w:sz w:val="21"/>
          <w:szCs w:val="21"/>
        </w:rPr>
      </w:pPr>
      <w:r>
        <w:rPr>
          <w:rFonts w:hint="eastAsia"/>
          <w:b/>
          <w:bCs/>
          <w:sz w:val="21"/>
          <w:szCs w:val="21"/>
        </w:rPr>
        <w:t>(37)苏州银行股份有限公司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www.suzhoubank.com </w:t>
            </w:r>
          </w:p>
        </w:tc>
      </w:tr>
    </w:tbl>
    <w:p>
      <w:pPr>
        <w:pStyle w:val="7"/>
        <w:spacing w:before="0" w:beforeAutospacing="0" w:after="0" w:afterAutospacing="0" w:line="360" w:lineRule="auto"/>
        <w:ind w:firstLine="420"/>
        <w:rPr>
          <w:sz w:val="21"/>
          <w:szCs w:val="21"/>
        </w:rPr>
      </w:pPr>
      <w:r>
        <w:rPr>
          <w:rFonts w:hint="eastAsia"/>
          <w:b/>
          <w:bCs/>
          <w:sz w:val="21"/>
          <w:szCs w:val="21"/>
        </w:rPr>
        <w:t>(38)杭州联合农村商业银行股份有限公司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杭州市上城区建国中路99号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杭州市上城区建国中路99号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0571-87923324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0571-87923314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www.urcb.com </w:t>
            </w:r>
          </w:p>
        </w:tc>
      </w:tr>
    </w:tbl>
    <w:p>
      <w:pPr>
        <w:pStyle w:val="7"/>
        <w:spacing w:before="0" w:beforeAutospacing="0" w:after="0" w:afterAutospacing="0" w:line="360" w:lineRule="auto"/>
        <w:ind w:firstLine="420"/>
        <w:rPr>
          <w:sz w:val="21"/>
          <w:szCs w:val="21"/>
        </w:rPr>
      </w:pPr>
      <w:r>
        <w:rPr>
          <w:rFonts w:hint="eastAsia"/>
          <w:b/>
          <w:bCs/>
          <w:sz w:val="21"/>
          <w:szCs w:val="21"/>
        </w:rPr>
        <w:t>(39)威海银行股份有限公司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山东省威海市青岛北路137A号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济南市经十路11666号奥体金融中心D栋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孟东晓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杨童童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0531-68978175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0531-68978176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省内96636、境内4000096636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http://www.whccb.com/ </w:t>
            </w:r>
          </w:p>
        </w:tc>
      </w:tr>
    </w:tbl>
    <w:p>
      <w:pPr>
        <w:pStyle w:val="7"/>
        <w:spacing w:before="0" w:beforeAutospacing="0" w:after="0" w:afterAutospacing="0" w:line="360" w:lineRule="auto"/>
        <w:ind w:firstLine="420"/>
        <w:rPr>
          <w:sz w:val="21"/>
          <w:szCs w:val="21"/>
        </w:rPr>
      </w:pPr>
      <w:r>
        <w:rPr>
          <w:rFonts w:hint="eastAsia"/>
          <w:b/>
          <w:bCs/>
          <w:sz w:val="21"/>
          <w:szCs w:val="21"/>
        </w:rPr>
        <w:t>(40)四川天府银行股份有限公司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四川省南充市顺庆区涪江路1号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四川省南充市滨江中路一段97号26栋泰和尚渡南充市商业银行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黄光伟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李俊辉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0817-7118079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0817-7118322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400-16-96869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www.tf.cn </w:t>
            </w:r>
          </w:p>
        </w:tc>
      </w:tr>
    </w:tbl>
    <w:p>
      <w:pPr>
        <w:pStyle w:val="7"/>
        <w:spacing w:before="0" w:beforeAutospacing="0" w:after="0" w:afterAutospacing="0" w:line="360" w:lineRule="auto"/>
        <w:ind w:firstLine="420"/>
        <w:rPr>
          <w:sz w:val="21"/>
          <w:szCs w:val="21"/>
        </w:rPr>
      </w:pPr>
      <w:r>
        <w:rPr>
          <w:rFonts w:hint="eastAsia"/>
          <w:b/>
          <w:bCs/>
          <w:sz w:val="21"/>
          <w:szCs w:val="21"/>
        </w:rPr>
        <w:t>(41)富滇银行股份有限公司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云南省昆明市拓东路41号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云南省昆明市拓东路41号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 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杨翊琳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0871-63140324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0871-63194471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www.fudian-bank.com </w:t>
            </w:r>
          </w:p>
        </w:tc>
      </w:tr>
    </w:tbl>
    <w:p>
      <w:pPr>
        <w:pStyle w:val="7"/>
        <w:spacing w:before="0" w:beforeAutospacing="0" w:after="0" w:afterAutospacing="0" w:line="360" w:lineRule="auto"/>
        <w:ind w:firstLine="420"/>
        <w:rPr>
          <w:sz w:val="21"/>
          <w:szCs w:val="21"/>
        </w:rPr>
      </w:pPr>
      <w:r>
        <w:rPr>
          <w:rFonts w:hint="eastAsia"/>
          <w:b/>
          <w:bCs/>
          <w:sz w:val="21"/>
          <w:szCs w:val="21"/>
        </w:rPr>
        <w:t>(42)日照银行股份有限公司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日照市烟台路197号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日照市烟台路197号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杨宝峰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0633-8081626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0633-8081629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96588（日照）、400-68-96588（全国）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https://www.bankofrizhao.com.cn/ </w:t>
            </w:r>
          </w:p>
        </w:tc>
      </w:tr>
    </w:tbl>
    <w:p>
      <w:pPr>
        <w:pStyle w:val="7"/>
        <w:spacing w:before="0" w:beforeAutospacing="0" w:after="0" w:afterAutospacing="0" w:line="360" w:lineRule="auto"/>
        <w:ind w:firstLine="420"/>
        <w:rPr>
          <w:sz w:val="21"/>
          <w:szCs w:val="21"/>
        </w:rPr>
      </w:pPr>
      <w:r>
        <w:rPr>
          <w:rFonts w:hint="eastAsia"/>
          <w:b/>
          <w:bCs/>
          <w:sz w:val="21"/>
          <w:szCs w:val="21"/>
        </w:rPr>
        <w:t>(43)福建海峡银行股份有限公司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福建省福州市台江区江滨中大道358号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福州台江区江滨中大道358号福建海峡银行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吴白玫、张翠娟、黄钰雯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0591-87332762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0591-87330926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www.fjhxbank.com </w:t>
            </w:r>
          </w:p>
        </w:tc>
      </w:tr>
    </w:tbl>
    <w:p>
      <w:pPr>
        <w:pStyle w:val="7"/>
        <w:spacing w:before="0" w:beforeAutospacing="0" w:after="0" w:afterAutospacing="0" w:line="360" w:lineRule="auto"/>
        <w:ind w:firstLine="420"/>
        <w:rPr>
          <w:sz w:val="21"/>
          <w:szCs w:val="21"/>
        </w:rPr>
      </w:pPr>
      <w:r>
        <w:rPr>
          <w:rFonts w:hint="eastAsia"/>
          <w:b/>
          <w:bCs/>
          <w:sz w:val="21"/>
          <w:szCs w:val="21"/>
        </w:rPr>
        <w:t>(44)浙江绍兴瑞丰农村商业银行股份有限公司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俞俊海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孟建潮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0575-84788101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0575-84788134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400-889-6596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http://www.borf.cn </w:t>
            </w:r>
          </w:p>
        </w:tc>
      </w:tr>
    </w:tbl>
    <w:p>
      <w:pPr>
        <w:pStyle w:val="7"/>
        <w:spacing w:before="0" w:beforeAutospacing="0" w:after="0" w:afterAutospacing="0" w:line="360" w:lineRule="auto"/>
        <w:ind w:firstLine="420"/>
        <w:rPr>
          <w:sz w:val="21"/>
          <w:szCs w:val="21"/>
        </w:rPr>
      </w:pPr>
      <w:r>
        <w:rPr>
          <w:rFonts w:hint="eastAsia"/>
          <w:b/>
          <w:bCs/>
          <w:sz w:val="21"/>
          <w:szCs w:val="21"/>
        </w:rPr>
        <w:t>(45)广东南海农村商业银行股份有限公司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李宜心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郭顺子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0757-86266566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0757-86250627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www.nanhaibank.com </w:t>
            </w:r>
          </w:p>
        </w:tc>
      </w:tr>
    </w:tbl>
    <w:p>
      <w:pPr>
        <w:pStyle w:val="7"/>
        <w:spacing w:before="0" w:beforeAutospacing="0" w:after="0" w:afterAutospacing="0" w:line="360" w:lineRule="auto"/>
        <w:ind w:firstLine="420"/>
        <w:rPr>
          <w:sz w:val="21"/>
          <w:szCs w:val="21"/>
        </w:rPr>
      </w:pPr>
      <w:r>
        <w:rPr>
          <w:rFonts w:hint="eastAsia"/>
          <w:b/>
          <w:bCs/>
          <w:sz w:val="21"/>
          <w:szCs w:val="21"/>
        </w:rPr>
        <w:t>(46)广东华兴银行股份有限公司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广东省汕头市龙湖区黄山路28号四层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广东省广州市天河区金融城金硕一路3号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周泽荣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许悦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www.ghbank.com.cn </w:t>
            </w:r>
          </w:p>
        </w:tc>
      </w:tr>
    </w:tbl>
    <w:p>
      <w:pPr>
        <w:pStyle w:val="7"/>
        <w:spacing w:before="0" w:beforeAutospacing="0" w:after="0" w:afterAutospacing="0" w:line="360" w:lineRule="auto"/>
        <w:ind w:firstLine="420"/>
        <w:rPr>
          <w:sz w:val="21"/>
          <w:szCs w:val="21"/>
        </w:rPr>
      </w:pPr>
      <w:r>
        <w:rPr>
          <w:rFonts w:hint="eastAsia"/>
          <w:b/>
          <w:bCs/>
          <w:sz w:val="21"/>
          <w:szCs w:val="21"/>
        </w:rPr>
        <w:t>(47)天相投资顾问有限公司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北京市西城区金融街19号富凯大厦B座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北京市西城区新街口外大街28号C座5层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林义相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尹伶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010-66045529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010－66045500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010-66045678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http://www.txsec.com </w:t>
            </w:r>
          </w:p>
        </w:tc>
      </w:tr>
    </w:tbl>
    <w:p>
      <w:pPr>
        <w:pStyle w:val="7"/>
        <w:spacing w:before="0" w:beforeAutospacing="0" w:after="0" w:afterAutospacing="0" w:line="360" w:lineRule="auto"/>
        <w:ind w:firstLine="420"/>
        <w:rPr>
          <w:sz w:val="21"/>
          <w:szCs w:val="21"/>
        </w:rPr>
      </w:pPr>
      <w:r>
        <w:rPr>
          <w:rFonts w:hint="eastAsia"/>
          <w:b/>
          <w:bCs/>
          <w:sz w:val="21"/>
          <w:szCs w:val="21"/>
        </w:rPr>
        <w:t>(48)鼎信汇金（北京）投资管理有限公司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www.9ifund.com </w:t>
            </w:r>
          </w:p>
        </w:tc>
      </w:tr>
    </w:tbl>
    <w:p>
      <w:pPr>
        <w:pStyle w:val="7"/>
        <w:spacing w:before="0" w:beforeAutospacing="0" w:after="0" w:afterAutospacing="0" w:line="360" w:lineRule="auto"/>
        <w:ind w:firstLine="420"/>
        <w:rPr>
          <w:sz w:val="21"/>
          <w:szCs w:val="21"/>
        </w:rPr>
      </w:pPr>
      <w:r>
        <w:rPr>
          <w:rFonts w:hint="eastAsia"/>
          <w:b/>
          <w:bCs/>
          <w:sz w:val="21"/>
          <w:szCs w:val="21"/>
        </w:rPr>
        <w:t>(49)深圳市新兰德证券投资咨询有限公司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深圳市福田区梅林街道梅都社区中康路136号深圳新一代产业园2栋3703-A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4000661199-2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www.xinlande.com.cn </w:t>
            </w:r>
          </w:p>
        </w:tc>
      </w:tr>
    </w:tbl>
    <w:p>
      <w:pPr>
        <w:pStyle w:val="7"/>
        <w:spacing w:before="0" w:beforeAutospacing="0" w:after="0" w:afterAutospacing="0" w:line="360" w:lineRule="auto"/>
        <w:ind w:firstLine="420"/>
        <w:rPr>
          <w:sz w:val="21"/>
          <w:szCs w:val="21"/>
        </w:rPr>
      </w:pPr>
      <w:r>
        <w:rPr>
          <w:rFonts w:hint="eastAsia"/>
          <w:b/>
          <w:bCs/>
          <w:sz w:val="21"/>
          <w:szCs w:val="21"/>
        </w:rPr>
        <w:t>(50)厦门市鑫鼎盛控股有限公司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陈洪生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徐明静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0592-3122716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0592-8060771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400-918-0808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www.xds.com.cn </w:t>
            </w:r>
          </w:p>
        </w:tc>
      </w:tr>
    </w:tbl>
    <w:p>
      <w:pPr>
        <w:pStyle w:val="7"/>
        <w:spacing w:before="0" w:beforeAutospacing="0" w:after="0" w:afterAutospacing="0" w:line="360" w:lineRule="auto"/>
        <w:ind w:firstLine="420"/>
        <w:rPr>
          <w:sz w:val="21"/>
          <w:szCs w:val="21"/>
        </w:rPr>
      </w:pPr>
      <w:r>
        <w:rPr>
          <w:rFonts w:hint="eastAsia"/>
          <w:b/>
          <w:bCs/>
          <w:sz w:val="21"/>
          <w:szCs w:val="21"/>
        </w:rPr>
        <w:t>(51)江苏天鼎证券投资咨询有限公司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南京市秦淮区太平南路389号1002室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南京市鼓楼区平安里74号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金婷婷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黄丹昀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025-66001159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025-66001172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025-962155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www.tdtz888.com </w:t>
            </w:r>
          </w:p>
        </w:tc>
      </w:tr>
    </w:tbl>
    <w:p>
      <w:pPr>
        <w:pStyle w:val="7"/>
        <w:spacing w:before="0" w:beforeAutospacing="0" w:after="0" w:afterAutospacing="0" w:line="360" w:lineRule="auto"/>
        <w:ind w:firstLine="420"/>
        <w:rPr>
          <w:sz w:val="21"/>
          <w:szCs w:val="21"/>
        </w:rPr>
      </w:pPr>
      <w:r>
        <w:rPr>
          <w:rFonts w:hint="eastAsia"/>
          <w:b/>
          <w:bCs/>
          <w:sz w:val="21"/>
          <w:szCs w:val="21"/>
        </w:rPr>
        <w:t>(52)上海挖财基金销售有限公司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中国（上海）自由贸易试验区杨高南路799号5楼01、02、03室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上海市浦东新区杨高南路799号陆家嘴世纪金融广场3号楼5层01、02、03室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吕柳霞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021-50810687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021-58300279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021-50810673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http://wacaijijin.com/ </w:t>
            </w:r>
          </w:p>
        </w:tc>
      </w:tr>
    </w:tbl>
    <w:p>
      <w:pPr>
        <w:pStyle w:val="7"/>
        <w:spacing w:before="0" w:beforeAutospacing="0" w:after="0" w:afterAutospacing="0" w:line="360" w:lineRule="auto"/>
        <w:ind w:firstLine="420"/>
        <w:rPr>
          <w:sz w:val="21"/>
          <w:szCs w:val="21"/>
        </w:rPr>
      </w:pPr>
      <w:r>
        <w:rPr>
          <w:rFonts w:hint="eastAsia"/>
          <w:b/>
          <w:bCs/>
          <w:sz w:val="21"/>
          <w:szCs w:val="21"/>
        </w:rPr>
        <w:t>(53)大河财富基金销售有限公司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方凯鑫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0851-88405606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0851-88405599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0851-88235678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www.urainf.com </w:t>
            </w:r>
          </w:p>
        </w:tc>
      </w:tr>
    </w:tbl>
    <w:p>
      <w:pPr>
        <w:pStyle w:val="7"/>
        <w:spacing w:before="0" w:beforeAutospacing="0" w:after="0" w:afterAutospacing="0" w:line="360" w:lineRule="auto"/>
        <w:ind w:firstLine="420"/>
        <w:rPr>
          <w:sz w:val="21"/>
          <w:szCs w:val="21"/>
        </w:rPr>
      </w:pPr>
      <w:r>
        <w:rPr>
          <w:rFonts w:hint="eastAsia"/>
          <w:b/>
          <w:bCs/>
          <w:sz w:val="21"/>
          <w:szCs w:val="21"/>
        </w:rPr>
        <w:t>(54)腾安基金销售（深圳）有限公司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95017(拨通后转1再转8)；4000890555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(55)北京度小满基金销售有限公司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www.duxiaomanfund.com </w:t>
            </w:r>
          </w:p>
        </w:tc>
      </w:tr>
    </w:tbl>
    <w:p>
      <w:pPr>
        <w:pStyle w:val="7"/>
        <w:spacing w:before="0" w:beforeAutospacing="0" w:after="0" w:afterAutospacing="0" w:line="360" w:lineRule="auto"/>
        <w:ind w:firstLine="420"/>
        <w:rPr>
          <w:sz w:val="21"/>
          <w:szCs w:val="21"/>
        </w:rPr>
      </w:pPr>
      <w:r>
        <w:rPr>
          <w:rFonts w:hint="eastAsia"/>
          <w:b/>
          <w:bCs/>
          <w:sz w:val="21"/>
          <w:szCs w:val="21"/>
        </w:rPr>
        <w:t>(56)青岛意才基金销售有限公司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山东省青岛市市南区澳门路98号青岛海尔洲际酒店B座20层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山东省青岛市市南区澳门路98号青岛海尔洲际酒店B座20层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Giamberto Giraldo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0532-87071088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0532-97071099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400-612-3303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www.yitsai.com </w:t>
            </w:r>
          </w:p>
        </w:tc>
      </w:tr>
    </w:tbl>
    <w:p>
      <w:pPr>
        <w:pStyle w:val="7"/>
        <w:spacing w:before="0" w:beforeAutospacing="0" w:after="0" w:afterAutospacing="0" w:line="360" w:lineRule="auto"/>
        <w:ind w:firstLine="420"/>
        <w:rPr>
          <w:sz w:val="21"/>
          <w:szCs w:val="21"/>
        </w:rPr>
      </w:pPr>
      <w:r>
        <w:rPr>
          <w:rFonts w:hint="eastAsia"/>
          <w:b/>
          <w:bCs/>
          <w:sz w:val="21"/>
          <w:szCs w:val="21"/>
        </w:rPr>
        <w:t>(57)博时财富基金销售有限公司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(58)诺亚正行基金销售有限公司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(59)深圳众禄基金销售股份有限公司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https://www.zlfund.cn/ </w:t>
            </w:r>
          </w:p>
        </w:tc>
      </w:tr>
    </w:tbl>
    <w:p>
      <w:pPr>
        <w:pStyle w:val="7"/>
        <w:spacing w:before="0" w:beforeAutospacing="0" w:after="0" w:afterAutospacing="0" w:line="360" w:lineRule="auto"/>
        <w:ind w:firstLine="420"/>
        <w:rPr>
          <w:sz w:val="21"/>
          <w:szCs w:val="21"/>
        </w:rPr>
      </w:pPr>
      <w:r>
        <w:rPr>
          <w:rFonts w:hint="eastAsia"/>
          <w:b/>
          <w:bCs/>
          <w:sz w:val="21"/>
          <w:szCs w:val="21"/>
        </w:rPr>
        <w:t>(60)上海天天基金销售有限公司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(61)上海好买基金销售有限公司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(62)蚂蚁（杭州）基金销售有限公司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(63)上海长量基金销售有限公司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上海市浦东新区高翔路526号2幢220室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上海市浦东新区东方路1267号11层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张跃伟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敖玲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021-58788678-8201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021—58787698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400-820-2899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http://www.erichfund.com </w:t>
            </w:r>
          </w:p>
        </w:tc>
      </w:tr>
    </w:tbl>
    <w:p>
      <w:pPr>
        <w:pStyle w:val="7"/>
        <w:spacing w:before="0" w:beforeAutospacing="0" w:after="0" w:afterAutospacing="0" w:line="360" w:lineRule="auto"/>
        <w:ind w:firstLine="420"/>
        <w:rPr>
          <w:sz w:val="21"/>
          <w:szCs w:val="21"/>
        </w:rPr>
      </w:pPr>
      <w:r>
        <w:rPr>
          <w:rFonts w:hint="eastAsia"/>
          <w:b/>
          <w:bCs/>
          <w:sz w:val="21"/>
          <w:szCs w:val="21"/>
        </w:rPr>
        <w:t>(64)浙江同花顺基金销售有限公司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(65)北京展恒基金销售股份有限公司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北京市朝阳区安苑路11号西楼6层604、607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北京市朝阳区安苑路11号西楼6层604、607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闫振杰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宋晋荣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010-59601399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http://www.myfund.com </w:t>
            </w:r>
          </w:p>
        </w:tc>
      </w:tr>
    </w:tbl>
    <w:p>
      <w:pPr>
        <w:pStyle w:val="7"/>
        <w:spacing w:before="0" w:beforeAutospacing="0" w:after="0" w:afterAutospacing="0" w:line="360" w:lineRule="auto"/>
        <w:ind w:firstLine="420"/>
        <w:rPr>
          <w:sz w:val="21"/>
          <w:szCs w:val="21"/>
        </w:rPr>
      </w:pPr>
      <w:r>
        <w:rPr>
          <w:rFonts w:hint="eastAsia"/>
          <w:b/>
          <w:bCs/>
          <w:sz w:val="21"/>
          <w:szCs w:val="21"/>
        </w:rPr>
        <w:t>(66)上海利得基金销售有限公司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(67)嘉实财富管理有限公司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(68)北京创金启富基金销售有限公司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梁蓉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魏素清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010-63583991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www.5irich.com </w:t>
            </w:r>
          </w:p>
        </w:tc>
      </w:tr>
    </w:tbl>
    <w:p>
      <w:pPr>
        <w:pStyle w:val="7"/>
        <w:spacing w:before="0" w:beforeAutospacing="0" w:after="0" w:afterAutospacing="0" w:line="360" w:lineRule="auto"/>
        <w:ind w:firstLine="420"/>
        <w:rPr>
          <w:sz w:val="21"/>
          <w:szCs w:val="21"/>
        </w:rPr>
      </w:pPr>
      <w:r>
        <w:rPr>
          <w:rFonts w:hint="eastAsia"/>
          <w:b/>
          <w:bCs/>
          <w:sz w:val="21"/>
          <w:szCs w:val="21"/>
        </w:rPr>
        <w:t>(69)宜信普泽（北京）基金销售有限公司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http://www.yixinfund.com </w:t>
            </w:r>
          </w:p>
        </w:tc>
      </w:tr>
    </w:tbl>
    <w:p>
      <w:pPr>
        <w:pStyle w:val="7"/>
        <w:spacing w:before="0" w:beforeAutospacing="0" w:after="0" w:afterAutospacing="0" w:line="360" w:lineRule="auto"/>
        <w:ind w:firstLine="420"/>
        <w:rPr>
          <w:sz w:val="21"/>
          <w:szCs w:val="21"/>
        </w:rPr>
      </w:pPr>
      <w:r>
        <w:rPr>
          <w:rFonts w:hint="eastAsia"/>
          <w:b/>
          <w:bCs/>
          <w:sz w:val="21"/>
          <w:szCs w:val="21"/>
        </w:rPr>
        <w:t>(70)南京苏宁基金销售有限公司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www.snjijin.com </w:t>
            </w:r>
          </w:p>
        </w:tc>
      </w:tr>
    </w:tbl>
    <w:p>
      <w:pPr>
        <w:pStyle w:val="7"/>
        <w:spacing w:before="0" w:beforeAutospacing="0" w:after="0" w:afterAutospacing="0" w:line="360" w:lineRule="auto"/>
        <w:ind w:firstLine="420"/>
        <w:rPr>
          <w:sz w:val="21"/>
          <w:szCs w:val="21"/>
        </w:rPr>
      </w:pPr>
      <w:r>
        <w:rPr>
          <w:rFonts w:hint="eastAsia"/>
          <w:b/>
          <w:bCs/>
          <w:sz w:val="21"/>
          <w:szCs w:val="21"/>
        </w:rPr>
        <w:t>(71)浦领基金销售有限公司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010-59497361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400-012-5899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www.prolinkfund.com </w:t>
            </w:r>
          </w:p>
        </w:tc>
      </w:tr>
    </w:tbl>
    <w:p>
      <w:pPr>
        <w:pStyle w:val="7"/>
        <w:spacing w:before="0" w:beforeAutospacing="0" w:after="0" w:afterAutospacing="0" w:line="360" w:lineRule="auto"/>
        <w:ind w:firstLine="420"/>
        <w:rPr>
          <w:sz w:val="21"/>
          <w:szCs w:val="21"/>
        </w:rPr>
      </w:pPr>
      <w:r>
        <w:rPr>
          <w:rFonts w:hint="eastAsia"/>
          <w:b/>
          <w:bCs/>
          <w:sz w:val="21"/>
          <w:szCs w:val="21"/>
        </w:rPr>
        <w:t>(72)通华财富（上海）基金销售有限公司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上海市虹口区同丰路667弄107号201室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上海市浦东新区杨高南路799号陆家嘴世纪金融广场3号楼9楼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杨徐霆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021-60818249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021-60818280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400-101-9301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https://www.tonghuafund.com </w:t>
            </w:r>
          </w:p>
        </w:tc>
      </w:tr>
    </w:tbl>
    <w:p>
      <w:pPr>
        <w:pStyle w:val="7"/>
        <w:spacing w:before="0" w:beforeAutospacing="0" w:after="0" w:afterAutospacing="0" w:line="360" w:lineRule="auto"/>
        <w:ind w:firstLine="420"/>
        <w:rPr>
          <w:sz w:val="21"/>
          <w:szCs w:val="21"/>
        </w:rPr>
      </w:pPr>
      <w:r>
        <w:rPr>
          <w:rFonts w:hint="eastAsia"/>
          <w:b/>
          <w:bCs/>
          <w:sz w:val="21"/>
          <w:szCs w:val="21"/>
        </w:rPr>
        <w:t>(73)华源证券股份有限公司（鑫理财）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www.huayuanstock.com </w:t>
            </w:r>
          </w:p>
        </w:tc>
      </w:tr>
    </w:tbl>
    <w:p>
      <w:pPr>
        <w:pStyle w:val="7"/>
        <w:spacing w:before="0" w:beforeAutospacing="0" w:after="0" w:afterAutospacing="0" w:line="360" w:lineRule="auto"/>
        <w:ind w:firstLine="420"/>
        <w:rPr>
          <w:sz w:val="21"/>
          <w:szCs w:val="21"/>
        </w:rPr>
      </w:pPr>
      <w:r>
        <w:rPr>
          <w:rFonts w:hint="eastAsia"/>
          <w:b/>
          <w:bCs/>
          <w:sz w:val="21"/>
          <w:szCs w:val="21"/>
        </w:rPr>
        <w:t>(74)北京汇成基金销售有限公司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www.hcfunds.com </w:t>
            </w:r>
          </w:p>
        </w:tc>
      </w:tr>
    </w:tbl>
    <w:p>
      <w:pPr>
        <w:pStyle w:val="7"/>
        <w:spacing w:before="0" w:beforeAutospacing="0" w:after="0" w:afterAutospacing="0" w:line="360" w:lineRule="auto"/>
        <w:ind w:firstLine="420"/>
        <w:rPr>
          <w:sz w:val="21"/>
          <w:szCs w:val="21"/>
        </w:rPr>
      </w:pPr>
      <w:r>
        <w:rPr>
          <w:rFonts w:hint="eastAsia"/>
          <w:b/>
          <w:bCs/>
          <w:sz w:val="21"/>
          <w:szCs w:val="21"/>
        </w:rPr>
        <w:t>(75)一路财富（深圳）基金销售有限公司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深圳市前海深港合作区南山街道兴海大道3046号香江金融大厦2111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深圳市前海深港合作区南山街道兴海大道3046号香江金融大厦2111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吴雪秀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010-88312877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010-88312099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400-001-1566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http://www.yilucaifu.com </w:t>
            </w:r>
          </w:p>
        </w:tc>
      </w:tr>
    </w:tbl>
    <w:p>
      <w:pPr>
        <w:pStyle w:val="7"/>
        <w:spacing w:before="0" w:beforeAutospacing="0" w:after="0" w:afterAutospacing="0" w:line="360" w:lineRule="auto"/>
        <w:ind w:firstLine="420"/>
        <w:rPr>
          <w:sz w:val="21"/>
          <w:szCs w:val="21"/>
        </w:rPr>
      </w:pPr>
      <w:r>
        <w:rPr>
          <w:rFonts w:hint="eastAsia"/>
          <w:b/>
          <w:bCs/>
          <w:sz w:val="21"/>
          <w:szCs w:val="21"/>
        </w:rPr>
        <w:t>(76)北京钱景基金销售有限公司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赵荣春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010-57418829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010-57569671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400-893-6885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www.qianjing.com </w:t>
            </w:r>
          </w:p>
        </w:tc>
      </w:tr>
    </w:tbl>
    <w:p>
      <w:pPr>
        <w:pStyle w:val="7"/>
        <w:spacing w:before="0" w:beforeAutospacing="0" w:after="0" w:afterAutospacing="0" w:line="360" w:lineRule="auto"/>
        <w:ind w:firstLine="420"/>
        <w:rPr>
          <w:sz w:val="21"/>
          <w:szCs w:val="21"/>
        </w:rPr>
      </w:pPr>
      <w:r>
        <w:rPr>
          <w:rFonts w:hint="eastAsia"/>
          <w:b/>
          <w:bCs/>
          <w:sz w:val="21"/>
          <w:szCs w:val="21"/>
        </w:rPr>
        <w:t>(77)海银基金销售有限公司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中国（上海）自由贸易试验区银城中路8号401室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上海市浦东新区银城中路8号4楼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021-60206991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021-80133413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400-808-1016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www.fundhaiyin.com </w:t>
            </w:r>
          </w:p>
        </w:tc>
      </w:tr>
    </w:tbl>
    <w:p>
      <w:pPr>
        <w:pStyle w:val="7"/>
        <w:spacing w:before="0" w:beforeAutospacing="0" w:after="0" w:afterAutospacing="0" w:line="360" w:lineRule="auto"/>
        <w:ind w:firstLine="420"/>
        <w:rPr>
          <w:sz w:val="21"/>
          <w:szCs w:val="21"/>
        </w:rPr>
      </w:pPr>
      <w:r>
        <w:rPr>
          <w:rFonts w:hint="eastAsia"/>
          <w:b/>
          <w:bCs/>
          <w:sz w:val="21"/>
          <w:szCs w:val="21"/>
        </w:rPr>
        <w:t>(78)北京广源达信投资管理有限公司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北京市西城区新街口外大街28号C座6层605室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北京市朝阳区望京东园四区13号楼浦项中心B座19层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齐剑辉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王英俊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400-623-6060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010-82055860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400-623-6060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www.niuniufund.com </w:t>
            </w:r>
          </w:p>
        </w:tc>
      </w:tr>
    </w:tbl>
    <w:p>
      <w:pPr>
        <w:pStyle w:val="7"/>
        <w:spacing w:before="0" w:beforeAutospacing="0" w:after="0" w:afterAutospacing="0" w:line="360" w:lineRule="auto"/>
        <w:ind w:firstLine="420"/>
        <w:rPr>
          <w:sz w:val="21"/>
          <w:szCs w:val="21"/>
        </w:rPr>
      </w:pPr>
      <w:r>
        <w:rPr>
          <w:rFonts w:hint="eastAsia"/>
          <w:b/>
          <w:bCs/>
          <w:sz w:val="21"/>
          <w:szCs w:val="21"/>
        </w:rPr>
        <w:t>(79)天津国美基金销售有限公司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天津经济技术开发区南港工业区综合服务区办公楼D座二层202-124室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北京市朝阳区霄云路26号鹏润大厦B座19层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杨志涌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郭宝亮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010-59287061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010-59287825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400-111-0889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www.gomefund.com </w:t>
            </w:r>
          </w:p>
        </w:tc>
      </w:tr>
    </w:tbl>
    <w:p>
      <w:pPr>
        <w:pStyle w:val="7"/>
        <w:spacing w:before="0" w:beforeAutospacing="0" w:after="0" w:afterAutospacing="0" w:line="360" w:lineRule="auto"/>
        <w:ind w:firstLine="420"/>
        <w:rPr>
          <w:sz w:val="21"/>
          <w:szCs w:val="21"/>
        </w:rPr>
      </w:pPr>
      <w:r>
        <w:rPr>
          <w:rFonts w:hint="eastAsia"/>
          <w:b/>
          <w:bCs/>
          <w:sz w:val="21"/>
          <w:szCs w:val="21"/>
        </w:rPr>
        <w:t>(80)上海大智慧基金销售有限公司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021-20219988-35374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021-20219923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021-20292031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wg.com.cn </w:t>
            </w:r>
          </w:p>
        </w:tc>
      </w:tr>
    </w:tbl>
    <w:p>
      <w:pPr>
        <w:pStyle w:val="7"/>
        <w:spacing w:before="0" w:beforeAutospacing="0" w:after="0" w:afterAutospacing="0" w:line="360" w:lineRule="auto"/>
        <w:ind w:firstLine="420"/>
        <w:rPr>
          <w:sz w:val="21"/>
          <w:szCs w:val="21"/>
        </w:rPr>
      </w:pPr>
      <w:r>
        <w:rPr>
          <w:rFonts w:hint="eastAsia"/>
          <w:b/>
          <w:bCs/>
          <w:sz w:val="21"/>
          <w:szCs w:val="21"/>
        </w:rPr>
        <w:t>(81)北京新浪仓石基金销售有限公司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(82)北京辉腾汇富基金销售有限公司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北京市东城区朝阳门北大街8号富华大厦F座16层D室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北京市东城区朝阳门北大街8号富华大厦F座16层D室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彭雪琳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010-85610733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400-829-1218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http://www.htfund.com </w:t>
            </w:r>
          </w:p>
        </w:tc>
      </w:tr>
    </w:tbl>
    <w:p>
      <w:pPr>
        <w:pStyle w:val="7"/>
        <w:spacing w:before="0" w:beforeAutospacing="0" w:after="0" w:afterAutospacing="0" w:line="360" w:lineRule="auto"/>
        <w:ind w:firstLine="420"/>
        <w:rPr>
          <w:sz w:val="21"/>
          <w:szCs w:val="21"/>
        </w:rPr>
      </w:pPr>
      <w:r>
        <w:rPr>
          <w:rFonts w:hint="eastAsia"/>
          <w:b/>
          <w:bCs/>
          <w:sz w:val="21"/>
          <w:szCs w:val="21"/>
        </w:rPr>
        <w:t>(83)上海万得基金销售有限公司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(84)上海联泰基金销售有限公司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上海市普陀区兰溪路900弄15号526室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上海市虹口区溧阳路735号2幢3层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尹彬彬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兰敏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021-62680166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021-52975270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400-118-1188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www.66liantai.com </w:t>
            </w:r>
          </w:p>
        </w:tc>
      </w:tr>
    </w:tbl>
    <w:p>
      <w:pPr>
        <w:pStyle w:val="7"/>
        <w:spacing w:before="0" w:beforeAutospacing="0" w:after="0" w:afterAutospacing="0" w:line="360" w:lineRule="auto"/>
        <w:ind w:firstLine="420"/>
        <w:rPr>
          <w:sz w:val="21"/>
          <w:szCs w:val="21"/>
        </w:rPr>
      </w:pPr>
      <w:r>
        <w:rPr>
          <w:rFonts w:hint="eastAsia"/>
          <w:b/>
          <w:bCs/>
          <w:sz w:val="21"/>
          <w:szCs w:val="21"/>
        </w:rPr>
        <w:t>(85)上海汇付基金销售有限公司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上海市黄浦区中山南路100号19层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上海市黄浦区中山南路100号金外滩国际广场19层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冯修敏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黄敏儿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021-33323999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021-33323830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400-820-2819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www.hotjijin.com </w:t>
            </w:r>
          </w:p>
        </w:tc>
      </w:tr>
    </w:tbl>
    <w:p>
      <w:pPr>
        <w:pStyle w:val="7"/>
        <w:spacing w:before="0" w:beforeAutospacing="0" w:after="0" w:afterAutospacing="0" w:line="360" w:lineRule="auto"/>
        <w:ind w:firstLine="420"/>
        <w:rPr>
          <w:sz w:val="21"/>
          <w:szCs w:val="21"/>
        </w:rPr>
      </w:pPr>
      <w:r>
        <w:rPr>
          <w:rFonts w:hint="eastAsia"/>
          <w:b/>
          <w:bCs/>
          <w:sz w:val="21"/>
          <w:szCs w:val="21"/>
        </w:rPr>
        <w:t>(86)北京坤元基金销售有限公司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北京市石景山区古城大街特钢公司十一区（首特创业基地A座）八层816号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北京市朝阳区东三环中路7号院北京财富中心写字楼A座30层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杜福胜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时明莉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18310614941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010-85264522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4006498989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http://www.kunyuanfund.com </w:t>
            </w:r>
          </w:p>
        </w:tc>
      </w:tr>
    </w:tbl>
    <w:p>
      <w:pPr>
        <w:pStyle w:val="7"/>
        <w:spacing w:before="0" w:beforeAutospacing="0" w:after="0" w:afterAutospacing="0" w:line="360" w:lineRule="auto"/>
        <w:ind w:firstLine="420"/>
        <w:rPr>
          <w:sz w:val="21"/>
          <w:szCs w:val="21"/>
        </w:rPr>
      </w:pPr>
      <w:r>
        <w:rPr>
          <w:rFonts w:hint="eastAsia"/>
          <w:b/>
          <w:bCs/>
          <w:sz w:val="21"/>
          <w:szCs w:val="21"/>
        </w:rPr>
        <w:t>(87)江西正融基金销售有限公司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江西省南昌市高新开发区紫阳大道绿地新都会38栋商业楼2107室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江西省南昌市高新开发区紫阳大道绿地新都会38栋商业楼2107室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13879129841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0791-86692502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www.jxzrzg.com.cn </w:t>
            </w:r>
          </w:p>
        </w:tc>
      </w:tr>
    </w:tbl>
    <w:p>
      <w:pPr>
        <w:pStyle w:val="7"/>
        <w:spacing w:before="0" w:beforeAutospacing="0" w:after="0" w:afterAutospacing="0" w:line="360" w:lineRule="auto"/>
        <w:ind w:firstLine="420"/>
        <w:rPr>
          <w:sz w:val="21"/>
          <w:szCs w:val="21"/>
        </w:rPr>
      </w:pPr>
      <w:r>
        <w:rPr>
          <w:rFonts w:hint="eastAsia"/>
          <w:b/>
          <w:bCs/>
          <w:sz w:val="21"/>
          <w:szCs w:val="21"/>
        </w:rPr>
        <w:t>(88)上海基煜基金销售有限公司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(89)上海凯石财富基金销售有限公司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上海市黄浦区西藏南路765号602-115室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上海市黄浦区延安东路1号凯石大厦四楼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陈继武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李晓明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021-63333319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021-63332523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400-643-3389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www.vstonewealth.com </w:t>
            </w:r>
          </w:p>
        </w:tc>
      </w:tr>
    </w:tbl>
    <w:p>
      <w:pPr>
        <w:pStyle w:val="7"/>
        <w:spacing w:before="0" w:beforeAutospacing="0" w:after="0" w:afterAutospacing="0" w:line="360" w:lineRule="auto"/>
        <w:ind w:firstLine="420"/>
        <w:rPr>
          <w:sz w:val="21"/>
          <w:szCs w:val="21"/>
        </w:rPr>
      </w:pPr>
      <w:r>
        <w:rPr>
          <w:rFonts w:hint="eastAsia"/>
          <w:b/>
          <w:bCs/>
          <w:sz w:val="21"/>
          <w:szCs w:val="21"/>
        </w:rPr>
        <w:t>(90)上海中正达广基金销售有限公司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何源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021-33768132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021-33768132-802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4006767523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www.zhongzhengfund.com </w:t>
            </w:r>
          </w:p>
        </w:tc>
      </w:tr>
    </w:tbl>
    <w:p>
      <w:pPr>
        <w:pStyle w:val="7"/>
        <w:spacing w:before="0" w:beforeAutospacing="0" w:after="0" w:afterAutospacing="0" w:line="360" w:lineRule="auto"/>
        <w:ind w:firstLine="420"/>
        <w:rPr>
          <w:sz w:val="21"/>
          <w:szCs w:val="21"/>
        </w:rPr>
      </w:pPr>
      <w:r>
        <w:rPr>
          <w:rFonts w:hint="eastAsia"/>
          <w:b/>
          <w:bCs/>
          <w:sz w:val="21"/>
          <w:szCs w:val="21"/>
        </w:rPr>
        <w:t>(91)北京虹点基金销售有限公司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北京市朝阳区西大望路1号1号楼1603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北京市朝阳区工人体育馆北路甲2号盈科中心B座裙楼二层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董浩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于婷婷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010-56409010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010-56580660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400-618-0707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www.hongdianfund.com </w:t>
            </w:r>
          </w:p>
        </w:tc>
      </w:tr>
    </w:tbl>
    <w:p>
      <w:pPr>
        <w:pStyle w:val="7"/>
        <w:spacing w:before="0" w:beforeAutospacing="0" w:after="0" w:afterAutospacing="0" w:line="360" w:lineRule="auto"/>
        <w:ind w:firstLine="420"/>
        <w:rPr>
          <w:sz w:val="21"/>
          <w:szCs w:val="21"/>
        </w:rPr>
      </w:pPr>
      <w:r>
        <w:rPr>
          <w:rFonts w:hint="eastAsia"/>
          <w:b/>
          <w:bCs/>
          <w:sz w:val="21"/>
          <w:szCs w:val="21"/>
        </w:rPr>
        <w:t>(92)深圳新华信通基金销售有限公司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深圳市福田区深南大道2003号华嵘大厦710室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郭佶欣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15135080478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400-000-5767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www.xintongfund.com </w:t>
            </w:r>
          </w:p>
        </w:tc>
      </w:tr>
    </w:tbl>
    <w:p>
      <w:pPr>
        <w:pStyle w:val="7"/>
        <w:spacing w:before="0" w:beforeAutospacing="0" w:after="0" w:afterAutospacing="0" w:line="360" w:lineRule="auto"/>
        <w:ind w:firstLine="420"/>
        <w:rPr>
          <w:sz w:val="21"/>
          <w:szCs w:val="21"/>
        </w:rPr>
      </w:pPr>
      <w:r>
        <w:rPr>
          <w:rFonts w:hint="eastAsia"/>
          <w:b/>
          <w:bCs/>
          <w:sz w:val="21"/>
          <w:szCs w:val="21"/>
        </w:rPr>
        <w:t>(93)深圳富济基金销售有限公司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www.fujifund.cn </w:t>
            </w:r>
          </w:p>
        </w:tc>
      </w:tr>
    </w:tbl>
    <w:p>
      <w:pPr>
        <w:pStyle w:val="7"/>
        <w:spacing w:before="0" w:beforeAutospacing="0" w:after="0" w:afterAutospacing="0" w:line="360" w:lineRule="auto"/>
        <w:ind w:firstLine="420"/>
        <w:rPr>
          <w:sz w:val="21"/>
          <w:szCs w:val="21"/>
        </w:rPr>
      </w:pPr>
      <w:r>
        <w:rPr>
          <w:rFonts w:hint="eastAsia"/>
          <w:b/>
          <w:bCs/>
          <w:sz w:val="21"/>
          <w:szCs w:val="21"/>
        </w:rPr>
        <w:t>(94)上海陆金所基金销售有限公司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(95)珠海盈米基金销售有限公司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(96)和耕传承基金销售有限公司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www.hgccpb.com </w:t>
            </w:r>
          </w:p>
        </w:tc>
      </w:tr>
    </w:tbl>
    <w:p>
      <w:pPr>
        <w:pStyle w:val="7"/>
        <w:spacing w:before="0" w:beforeAutospacing="0" w:after="0" w:afterAutospacing="0" w:line="360" w:lineRule="auto"/>
        <w:ind w:firstLine="420"/>
        <w:rPr>
          <w:sz w:val="21"/>
          <w:szCs w:val="21"/>
        </w:rPr>
      </w:pPr>
      <w:r>
        <w:rPr>
          <w:rFonts w:hint="eastAsia"/>
          <w:b/>
          <w:bCs/>
          <w:sz w:val="21"/>
          <w:szCs w:val="21"/>
        </w:rPr>
        <w:t>(97)奕丰基金销售有限公司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 栋 201 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深圳市南山区海德三道航天科技广场A座17楼1703-04室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TEO WEE HOWE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叶健、左琴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0755-89460507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0755-21674453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400-684-0500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www.ifastps.com.cn </w:t>
            </w:r>
          </w:p>
        </w:tc>
      </w:tr>
    </w:tbl>
    <w:p>
      <w:pPr>
        <w:pStyle w:val="7"/>
        <w:spacing w:before="0" w:beforeAutospacing="0" w:after="0" w:afterAutospacing="0" w:line="360" w:lineRule="auto"/>
        <w:ind w:firstLine="420"/>
        <w:rPr>
          <w:sz w:val="21"/>
          <w:szCs w:val="21"/>
        </w:rPr>
      </w:pPr>
      <w:r>
        <w:rPr>
          <w:rFonts w:hint="eastAsia"/>
          <w:b/>
          <w:bCs/>
          <w:sz w:val="21"/>
          <w:szCs w:val="21"/>
        </w:rPr>
        <w:t>(98)中证金牛（北京）基金销售有限公司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北京市丰台区东管头1号2号楼2-45室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北京市西城区宣武门外大街甲1号环球财讯中心A座4层、5层  （邮寄填写4层）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吴志坚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焦金岩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010-63156530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010-63156532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www.jnlc.com </w:t>
            </w:r>
          </w:p>
        </w:tc>
      </w:tr>
    </w:tbl>
    <w:p>
      <w:pPr>
        <w:pStyle w:val="7"/>
        <w:spacing w:before="0" w:beforeAutospacing="0" w:after="0" w:afterAutospacing="0" w:line="360" w:lineRule="auto"/>
        <w:ind w:firstLine="420"/>
        <w:rPr>
          <w:sz w:val="21"/>
          <w:szCs w:val="21"/>
        </w:rPr>
      </w:pPr>
      <w:r>
        <w:rPr>
          <w:rFonts w:hint="eastAsia"/>
          <w:b/>
          <w:bCs/>
          <w:sz w:val="21"/>
          <w:szCs w:val="21"/>
        </w:rPr>
        <w:t>(99)北京懒猫基金销售有限公司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北京市石景山区石景山路31号院盛景国际广场3号楼1119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北京市朝阳区呼家楼安联大厦715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许现良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张苗苗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15110085067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010-87723200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400-150-0882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www.lanmao.com </w:t>
            </w:r>
          </w:p>
        </w:tc>
      </w:tr>
    </w:tbl>
    <w:p>
      <w:pPr>
        <w:pStyle w:val="7"/>
        <w:spacing w:before="0" w:beforeAutospacing="0" w:after="0" w:afterAutospacing="0" w:line="360" w:lineRule="auto"/>
        <w:ind w:firstLine="420"/>
        <w:rPr>
          <w:sz w:val="21"/>
          <w:szCs w:val="21"/>
        </w:rPr>
      </w:pPr>
      <w:r>
        <w:rPr>
          <w:rFonts w:hint="eastAsia"/>
          <w:b/>
          <w:bCs/>
          <w:sz w:val="21"/>
          <w:szCs w:val="21"/>
        </w:rPr>
        <w:t>(100)京东肯特瑞基金销售有限公司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(101)大连网金基金销售有限公司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0411-39027800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0411-39027888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400-089-9100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http://www.yibaijin.com/ </w:t>
            </w:r>
          </w:p>
        </w:tc>
      </w:tr>
    </w:tbl>
    <w:p>
      <w:pPr>
        <w:pStyle w:val="7"/>
        <w:spacing w:before="0" w:beforeAutospacing="0" w:after="0" w:afterAutospacing="0" w:line="360" w:lineRule="auto"/>
        <w:ind w:firstLine="420"/>
        <w:rPr>
          <w:sz w:val="21"/>
          <w:szCs w:val="21"/>
        </w:rPr>
      </w:pPr>
      <w:r>
        <w:rPr>
          <w:rFonts w:hint="eastAsia"/>
          <w:b/>
          <w:bCs/>
          <w:sz w:val="21"/>
          <w:szCs w:val="21"/>
        </w:rPr>
        <w:t>(102)深圳市金斧子基金销售有限公司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(103)北京雪球基金销售有限公司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(104)深圳市前海排排网基金销售有限责任公司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深圳市福田区沙嘴路尚美红树湾1号A座写字楼16楼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林丽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0755-82779746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400-666-7388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www.ppwfund.com </w:t>
            </w:r>
          </w:p>
        </w:tc>
      </w:tr>
    </w:tbl>
    <w:p>
      <w:pPr>
        <w:pStyle w:val="7"/>
        <w:spacing w:before="0" w:beforeAutospacing="0" w:after="0" w:afterAutospacing="0" w:line="360" w:lineRule="auto"/>
        <w:ind w:firstLine="420"/>
        <w:rPr>
          <w:sz w:val="21"/>
          <w:szCs w:val="21"/>
        </w:rPr>
      </w:pPr>
      <w:r>
        <w:rPr>
          <w:rFonts w:hint="eastAsia"/>
          <w:b/>
          <w:bCs/>
          <w:sz w:val="21"/>
          <w:szCs w:val="21"/>
        </w:rPr>
        <w:t>(105)深圳前海财厚基金销售有限公司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深圳市南山区深圳湾科技生态园三区11栋A座3608室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杨艳平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叶见云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0755-86575665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0755-26640652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4001286800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www.caiho.cn </w:t>
            </w:r>
          </w:p>
        </w:tc>
      </w:tr>
    </w:tbl>
    <w:p>
      <w:pPr>
        <w:pStyle w:val="7"/>
        <w:spacing w:before="0" w:beforeAutospacing="0" w:after="0" w:afterAutospacing="0" w:line="360" w:lineRule="auto"/>
        <w:ind w:firstLine="420"/>
        <w:rPr>
          <w:sz w:val="21"/>
          <w:szCs w:val="21"/>
        </w:rPr>
      </w:pPr>
      <w:r>
        <w:rPr>
          <w:rFonts w:hint="eastAsia"/>
          <w:b/>
          <w:bCs/>
          <w:sz w:val="21"/>
          <w:szCs w:val="21"/>
        </w:rPr>
        <w:t>(106)上海中欧财富基金销售有限公司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中国（上海）自由贸易试验区陆家嘴环路333号502室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上海市虹口区公平路18号8栋嘉昱大厦6层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刘弘义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15608193006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+86 21 35073616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021-68609700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https://www.zocaifu.com/ </w:t>
            </w:r>
          </w:p>
        </w:tc>
      </w:tr>
    </w:tbl>
    <w:p>
      <w:pPr>
        <w:pStyle w:val="7"/>
        <w:spacing w:before="0" w:beforeAutospacing="0" w:after="0" w:afterAutospacing="0" w:line="360" w:lineRule="auto"/>
        <w:ind w:firstLine="420"/>
        <w:rPr>
          <w:sz w:val="21"/>
          <w:szCs w:val="21"/>
        </w:rPr>
      </w:pPr>
      <w:r>
        <w:rPr>
          <w:rFonts w:hint="eastAsia"/>
          <w:b/>
          <w:bCs/>
          <w:sz w:val="21"/>
          <w:szCs w:val="21"/>
        </w:rPr>
        <w:t>(107)万家财富基金销售（天津）有限公司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天津自贸区（中心商务区）迎宾大道1988号滨海浙商大厦公寓2-2413室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北京市东城区朝阳门北大街9号泓晟国际中心16层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戴晓云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王茜蕊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010-59013895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021-38909798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021-38909613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http://www.wanjiawealth.com/ </w:t>
            </w:r>
          </w:p>
        </w:tc>
      </w:tr>
    </w:tbl>
    <w:p>
      <w:pPr>
        <w:pStyle w:val="7"/>
        <w:spacing w:before="0" w:beforeAutospacing="0" w:after="0" w:afterAutospacing="0" w:line="360" w:lineRule="auto"/>
        <w:ind w:firstLine="420"/>
        <w:rPr>
          <w:sz w:val="21"/>
          <w:szCs w:val="21"/>
        </w:rPr>
      </w:pPr>
      <w:r>
        <w:rPr>
          <w:rFonts w:hint="eastAsia"/>
          <w:b/>
          <w:bCs/>
          <w:sz w:val="21"/>
          <w:szCs w:val="21"/>
        </w:rPr>
        <w:t>(108)上海华夏财富投资管理有限公司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(109)洪泰财富（青岛）基金销售有限责任公司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山东省青岛市崂山区香港东路195号9号楼701室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山东省青岛市崂山区海尔路188号浦发银行大厦706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400-670-6863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www.hongtaiwealth.com </w:t>
            </w:r>
          </w:p>
        </w:tc>
      </w:tr>
    </w:tbl>
    <w:p>
      <w:pPr>
        <w:pStyle w:val="7"/>
        <w:spacing w:before="0" w:beforeAutospacing="0" w:after="0" w:afterAutospacing="0" w:line="360" w:lineRule="auto"/>
        <w:ind w:firstLine="420"/>
        <w:rPr>
          <w:sz w:val="21"/>
          <w:szCs w:val="21"/>
        </w:rPr>
      </w:pPr>
      <w:r>
        <w:rPr>
          <w:rFonts w:hint="eastAsia"/>
          <w:b/>
          <w:bCs/>
          <w:sz w:val="21"/>
          <w:szCs w:val="21"/>
        </w:rPr>
        <w:t>(110)中信建投期货有限公司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重庆市渝中区中山三路107号上站大楼平街11-B，名义层11-A，8-B4，9-B、C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重庆市渝中区中山三路107号皇冠大厦11楼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彭文德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023-89769637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023-86769629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400-8877-780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www.cfc108.com </w:t>
            </w:r>
          </w:p>
        </w:tc>
      </w:tr>
    </w:tbl>
    <w:p>
      <w:pPr>
        <w:pStyle w:val="7"/>
        <w:spacing w:before="0" w:beforeAutospacing="0" w:after="0" w:afterAutospacing="0" w:line="360" w:lineRule="auto"/>
        <w:ind w:firstLine="420"/>
        <w:rPr>
          <w:sz w:val="21"/>
          <w:szCs w:val="21"/>
        </w:rPr>
      </w:pPr>
      <w:r>
        <w:rPr>
          <w:rFonts w:hint="eastAsia"/>
          <w:b/>
          <w:bCs/>
          <w:sz w:val="21"/>
          <w:szCs w:val="21"/>
        </w:rPr>
        <w:t>(111)中信期货有限公司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(112)徽商期货有限责任公司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安徽省合肥市芜湖路258号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安徽省合肥市芜湖路258号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吴国华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杨彩格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0551-62865999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0551-62865899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400-887-8707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www.hsqh.net </w:t>
            </w:r>
          </w:p>
        </w:tc>
      </w:tr>
    </w:tbl>
    <w:p>
      <w:pPr>
        <w:pStyle w:val="7"/>
        <w:spacing w:before="0" w:beforeAutospacing="0" w:after="0" w:afterAutospacing="0" w:line="360" w:lineRule="auto"/>
        <w:ind w:firstLine="420"/>
        <w:rPr>
          <w:sz w:val="21"/>
          <w:szCs w:val="21"/>
        </w:rPr>
      </w:pPr>
      <w:r>
        <w:rPr>
          <w:rFonts w:hint="eastAsia"/>
          <w:b/>
          <w:bCs/>
          <w:sz w:val="21"/>
          <w:szCs w:val="21"/>
        </w:rPr>
        <w:t>(113)东海期货有限责任公司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江苏省常州市延陵西路23、25、27、29号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上海市浦东新区峨山路505号东方纯一大厦10楼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陈太康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戴文楠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021-68756991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021-68756991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www.qh168.com.cn </w:t>
            </w:r>
          </w:p>
        </w:tc>
      </w:tr>
    </w:tbl>
    <w:p>
      <w:pPr>
        <w:pStyle w:val="7"/>
        <w:spacing w:before="0" w:beforeAutospacing="0" w:after="0" w:afterAutospacing="0" w:line="360" w:lineRule="auto"/>
        <w:ind w:firstLine="420"/>
        <w:rPr>
          <w:sz w:val="21"/>
          <w:szCs w:val="21"/>
        </w:rPr>
      </w:pPr>
      <w:r>
        <w:rPr>
          <w:rFonts w:hint="eastAsia"/>
          <w:b/>
          <w:bCs/>
          <w:sz w:val="21"/>
          <w:szCs w:val="21"/>
        </w:rPr>
        <w:t>(114)苏豪弘业期货股份有限公司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南京市建邺区江东中路399号3幢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南京市建邺区江东中路399号3幢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储开荣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张苏怡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025-52278981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025-52278982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400-828-1288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www.ftol.com.cn </w:t>
            </w:r>
          </w:p>
        </w:tc>
      </w:tr>
    </w:tbl>
    <w:p>
      <w:pPr>
        <w:pStyle w:val="7"/>
        <w:spacing w:before="0" w:beforeAutospacing="0" w:after="0" w:afterAutospacing="0" w:line="360" w:lineRule="auto"/>
        <w:ind w:firstLine="420"/>
        <w:rPr>
          <w:sz w:val="21"/>
          <w:szCs w:val="21"/>
        </w:rPr>
      </w:pPr>
      <w:r>
        <w:rPr>
          <w:rFonts w:hint="eastAsia"/>
          <w:b/>
          <w:bCs/>
          <w:sz w:val="21"/>
          <w:szCs w:val="21"/>
        </w:rPr>
        <w:t>(115)大有期货有限公司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湖南省长沙市天心区芙蓉南路二段128号现代广场三、四楼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湖南省长沙市天心区芙蓉南路二段128号现代广场三、四楼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沈众辉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马科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0731-84409000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0731-84409009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400-636-5058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www.dayouf.com </w:t>
            </w:r>
          </w:p>
        </w:tc>
      </w:tr>
    </w:tbl>
    <w:p>
      <w:pPr>
        <w:pStyle w:val="7"/>
        <w:spacing w:before="0" w:beforeAutospacing="0" w:after="0" w:afterAutospacing="0" w:line="360" w:lineRule="auto"/>
        <w:ind w:firstLine="420"/>
        <w:rPr>
          <w:sz w:val="21"/>
          <w:szCs w:val="21"/>
        </w:rPr>
      </w:pPr>
      <w:r>
        <w:rPr>
          <w:rFonts w:hint="eastAsia"/>
          <w:b/>
          <w:bCs/>
          <w:sz w:val="21"/>
          <w:szCs w:val="21"/>
        </w:rPr>
        <w:t>(116)国泰海通证券股份有限公司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(117)中信建投证券股份有限公司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(118)国信证券股份有限公司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http://www.guosen.com.cn/ </w:t>
            </w:r>
          </w:p>
        </w:tc>
      </w:tr>
    </w:tbl>
    <w:p>
      <w:pPr>
        <w:pStyle w:val="7"/>
        <w:spacing w:before="0" w:beforeAutospacing="0" w:after="0" w:afterAutospacing="0" w:line="360" w:lineRule="auto"/>
        <w:ind w:firstLine="420"/>
        <w:rPr>
          <w:sz w:val="21"/>
          <w:szCs w:val="21"/>
        </w:rPr>
      </w:pPr>
      <w:r>
        <w:rPr>
          <w:rFonts w:hint="eastAsia"/>
          <w:b/>
          <w:bCs/>
          <w:sz w:val="21"/>
          <w:szCs w:val="21"/>
        </w:rPr>
        <w:t>(119)招商证券股份有限公司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(120)广发证券股份有限公司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(121)中信证券股份有限公司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(122)中国银河证券股份有限公司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(123)海通证券股份有限公司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(124)申万宏源证券有限公司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(125)兴业证券股份有限公司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福州市湖东路268号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上海市浦东民生路1199弄五道口广场1号楼21层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杨华辉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021-38565547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021－38565783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http://www.xyzq.com.cn/ </w:t>
            </w:r>
          </w:p>
        </w:tc>
      </w:tr>
    </w:tbl>
    <w:p>
      <w:pPr>
        <w:pStyle w:val="7"/>
        <w:spacing w:before="0" w:beforeAutospacing="0" w:after="0" w:afterAutospacing="0" w:line="360" w:lineRule="auto"/>
        <w:ind w:firstLine="420"/>
        <w:rPr>
          <w:sz w:val="21"/>
          <w:szCs w:val="21"/>
        </w:rPr>
      </w:pPr>
      <w:r>
        <w:rPr>
          <w:rFonts w:hint="eastAsia"/>
          <w:b/>
          <w:bCs/>
          <w:sz w:val="21"/>
          <w:szCs w:val="21"/>
        </w:rPr>
        <w:t>(126)长江证券股份有限公司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刘正斌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奚博宇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027-65799999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027-85481900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http://www.95579.com/ </w:t>
            </w:r>
          </w:p>
        </w:tc>
      </w:tr>
    </w:tbl>
    <w:p>
      <w:pPr>
        <w:pStyle w:val="7"/>
        <w:spacing w:before="0" w:beforeAutospacing="0" w:after="0" w:afterAutospacing="0" w:line="360" w:lineRule="auto"/>
        <w:ind w:firstLine="420"/>
        <w:rPr>
          <w:sz w:val="21"/>
          <w:szCs w:val="21"/>
        </w:rPr>
      </w:pPr>
      <w:r>
        <w:rPr>
          <w:rFonts w:hint="eastAsia"/>
          <w:b/>
          <w:bCs/>
          <w:sz w:val="21"/>
          <w:szCs w:val="21"/>
        </w:rPr>
        <w:t>(127)国投证券股份有限公司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王苏望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0755-82558266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http://www.sdicsc.com.cn </w:t>
            </w:r>
          </w:p>
        </w:tc>
      </w:tr>
    </w:tbl>
    <w:p>
      <w:pPr>
        <w:pStyle w:val="7"/>
        <w:spacing w:before="0" w:beforeAutospacing="0" w:after="0" w:afterAutospacing="0" w:line="360" w:lineRule="auto"/>
        <w:ind w:firstLine="420"/>
        <w:rPr>
          <w:sz w:val="21"/>
          <w:szCs w:val="21"/>
        </w:rPr>
      </w:pPr>
      <w:r>
        <w:rPr>
          <w:rFonts w:hint="eastAsia"/>
          <w:b/>
          <w:bCs/>
          <w:sz w:val="21"/>
          <w:szCs w:val="21"/>
        </w:rPr>
        <w:t>(128)西南证券股份有限公司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(129)万联证券股份有限公司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广州市天河区珠江东路11号18、19楼全层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广东省广州市天河区珠江东路13号高德置地广场E座12层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020-83988334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http://www.wlzq.cn </w:t>
            </w:r>
          </w:p>
        </w:tc>
      </w:tr>
    </w:tbl>
    <w:p>
      <w:pPr>
        <w:pStyle w:val="7"/>
        <w:spacing w:before="0" w:beforeAutospacing="0" w:after="0" w:afterAutospacing="0" w:line="360" w:lineRule="auto"/>
        <w:ind w:firstLine="420"/>
        <w:rPr>
          <w:sz w:val="21"/>
          <w:szCs w:val="21"/>
        </w:rPr>
      </w:pPr>
      <w:r>
        <w:rPr>
          <w:rFonts w:hint="eastAsia"/>
          <w:b/>
          <w:bCs/>
          <w:sz w:val="21"/>
          <w:szCs w:val="21"/>
        </w:rPr>
        <w:t>(130)国元证券股份有限公司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凤良志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0551－2272101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0551－2272100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全国统一热线4008888777，安徽省内热线96888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http://www.gyzq.com.cn </w:t>
            </w:r>
          </w:p>
        </w:tc>
      </w:tr>
    </w:tbl>
    <w:p>
      <w:pPr>
        <w:pStyle w:val="7"/>
        <w:spacing w:before="0" w:beforeAutospacing="0" w:after="0" w:afterAutospacing="0" w:line="360" w:lineRule="auto"/>
        <w:ind w:firstLine="420"/>
        <w:rPr>
          <w:sz w:val="21"/>
          <w:szCs w:val="21"/>
        </w:rPr>
      </w:pPr>
      <w:r>
        <w:rPr>
          <w:rFonts w:hint="eastAsia"/>
          <w:b/>
          <w:bCs/>
          <w:sz w:val="21"/>
          <w:szCs w:val="21"/>
        </w:rPr>
        <w:t>(131)渤海证券股份有限公司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天津经济技术开发区第二大街42号写字楼101室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天津市南开区宾水西道8号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安志勇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022-23861692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022－28451892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https://www.bhzq.com </w:t>
            </w:r>
          </w:p>
        </w:tc>
      </w:tr>
    </w:tbl>
    <w:p>
      <w:pPr>
        <w:pStyle w:val="7"/>
        <w:spacing w:before="0" w:beforeAutospacing="0" w:after="0" w:afterAutospacing="0" w:line="360" w:lineRule="auto"/>
        <w:ind w:firstLine="420"/>
        <w:rPr>
          <w:sz w:val="21"/>
          <w:szCs w:val="21"/>
        </w:rPr>
      </w:pPr>
      <w:r>
        <w:rPr>
          <w:rFonts w:hint="eastAsia"/>
          <w:b/>
          <w:bCs/>
          <w:sz w:val="21"/>
          <w:szCs w:val="21"/>
        </w:rPr>
        <w:t>(132)华泰证券股份有限公司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http://www.htsc.com.cn/ </w:t>
            </w:r>
          </w:p>
        </w:tc>
      </w:tr>
    </w:tbl>
    <w:p>
      <w:pPr>
        <w:pStyle w:val="7"/>
        <w:spacing w:before="0" w:beforeAutospacing="0" w:after="0" w:afterAutospacing="0" w:line="360" w:lineRule="auto"/>
        <w:ind w:firstLine="420"/>
        <w:rPr>
          <w:sz w:val="21"/>
          <w:szCs w:val="21"/>
        </w:rPr>
      </w:pPr>
      <w:r>
        <w:rPr>
          <w:rFonts w:hint="eastAsia"/>
          <w:b/>
          <w:bCs/>
          <w:sz w:val="21"/>
          <w:szCs w:val="21"/>
        </w:rPr>
        <w:t>(133)山西证券股份有限公司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王怡里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0351－8686659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0351－8686619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4006661618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http://www.i618.com.cn/ </w:t>
            </w:r>
          </w:p>
        </w:tc>
      </w:tr>
    </w:tbl>
    <w:p>
      <w:pPr>
        <w:pStyle w:val="7"/>
        <w:spacing w:before="0" w:beforeAutospacing="0" w:after="0" w:afterAutospacing="0" w:line="360" w:lineRule="auto"/>
        <w:ind w:firstLine="420"/>
        <w:rPr>
          <w:sz w:val="21"/>
          <w:szCs w:val="21"/>
        </w:rPr>
      </w:pPr>
      <w:r>
        <w:rPr>
          <w:rFonts w:hint="eastAsia"/>
          <w:b/>
          <w:bCs/>
          <w:sz w:val="21"/>
          <w:szCs w:val="21"/>
        </w:rPr>
        <w:t>(134)中信证券（山东）有限责任公司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(135)东吴证券股份有限公司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江苏省苏州市翠园路181号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江苏省苏州市星阳街5号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范力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陆晓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0512-62938521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0512－65588021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https://www.dwzq.com.cn </w:t>
            </w:r>
          </w:p>
        </w:tc>
      </w:tr>
    </w:tbl>
    <w:p>
      <w:pPr>
        <w:pStyle w:val="7"/>
        <w:spacing w:before="0" w:beforeAutospacing="0" w:after="0" w:afterAutospacing="0" w:line="360" w:lineRule="auto"/>
        <w:ind w:firstLine="420"/>
        <w:rPr>
          <w:sz w:val="21"/>
          <w:szCs w:val="21"/>
        </w:rPr>
      </w:pPr>
      <w:r>
        <w:rPr>
          <w:rFonts w:hint="eastAsia"/>
          <w:b/>
          <w:bCs/>
          <w:sz w:val="21"/>
          <w:szCs w:val="21"/>
        </w:rPr>
        <w:t>(136)信达证券股份有限公司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祝瑞敏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王薇安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010－83252170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010－63081344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http://www.cindasc.com </w:t>
            </w:r>
          </w:p>
        </w:tc>
      </w:tr>
    </w:tbl>
    <w:p>
      <w:pPr>
        <w:pStyle w:val="7"/>
        <w:spacing w:before="0" w:beforeAutospacing="0" w:after="0" w:afterAutospacing="0" w:line="360" w:lineRule="auto"/>
        <w:ind w:firstLine="420"/>
        <w:rPr>
          <w:sz w:val="21"/>
          <w:szCs w:val="21"/>
        </w:rPr>
      </w:pPr>
      <w:r>
        <w:rPr>
          <w:rFonts w:hint="eastAsia"/>
          <w:b/>
          <w:bCs/>
          <w:sz w:val="21"/>
          <w:szCs w:val="21"/>
        </w:rPr>
        <w:t>(137)方正证券股份有限公司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施华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010-56437060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0731-85832214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http://www.foundersc.com </w:t>
            </w:r>
          </w:p>
        </w:tc>
      </w:tr>
    </w:tbl>
    <w:p>
      <w:pPr>
        <w:pStyle w:val="7"/>
        <w:spacing w:before="0" w:beforeAutospacing="0" w:after="0" w:afterAutospacing="0" w:line="360" w:lineRule="auto"/>
        <w:ind w:firstLine="420"/>
        <w:rPr>
          <w:sz w:val="21"/>
          <w:szCs w:val="21"/>
        </w:rPr>
      </w:pPr>
      <w:r>
        <w:rPr>
          <w:rFonts w:hint="eastAsia"/>
          <w:b/>
          <w:bCs/>
          <w:sz w:val="21"/>
          <w:szCs w:val="21"/>
        </w:rPr>
        <w:t>(138)光大证券股份有限公司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刘秋明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021-22169089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021－22169134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4008888788；95525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http://www.ebscn.com/ </w:t>
            </w:r>
          </w:p>
        </w:tc>
      </w:tr>
    </w:tbl>
    <w:p>
      <w:pPr>
        <w:pStyle w:val="7"/>
        <w:spacing w:before="0" w:beforeAutospacing="0" w:after="0" w:afterAutospacing="0" w:line="360" w:lineRule="auto"/>
        <w:ind w:firstLine="420"/>
        <w:rPr>
          <w:sz w:val="21"/>
          <w:szCs w:val="21"/>
        </w:rPr>
      </w:pPr>
      <w:r>
        <w:rPr>
          <w:rFonts w:hint="eastAsia"/>
          <w:b/>
          <w:bCs/>
          <w:sz w:val="21"/>
          <w:szCs w:val="21"/>
        </w:rPr>
        <w:t>(139)中信证券华南股份有限公司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(140)东北证券股份有限公司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李福春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安岩岩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0431-85096517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0431-85096795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http://www.nesc.cn </w:t>
            </w:r>
          </w:p>
        </w:tc>
      </w:tr>
    </w:tbl>
    <w:p>
      <w:pPr>
        <w:pStyle w:val="7"/>
        <w:spacing w:before="0" w:beforeAutospacing="0" w:after="0" w:afterAutospacing="0" w:line="360" w:lineRule="auto"/>
        <w:ind w:firstLine="420"/>
        <w:rPr>
          <w:sz w:val="21"/>
          <w:szCs w:val="21"/>
        </w:rPr>
      </w:pPr>
      <w:r>
        <w:rPr>
          <w:rFonts w:hint="eastAsia"/>
          <w:b/>
          <w:bCs/>
          <w:sz w:val="21"/>
          <w:szCs w:val="21"/>
        </w:rPr>
        <w:t>(141)南京证券股份有限公司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李剑锋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025－52310569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025－52310586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http://www.njzq.com.cn </w:t>
            </w:r>
          </w:p>
        </w:tc>
      </w:tr>
    </w:tbl>
    <w:p>
      <w:pPr>
        <w:pStyle w:val="7"/>
        <w:spacing w:before="0" w:beforeAutospacing="0" w:after="0" w:afterAutospacing="0" w:line="360" w:lineRule="auto"/>
        <w:ind w:firstLine="420"/>
        <w:rPr>
          <w:sz w:val="21"/>
          <w:szCs w:val="21"/>
        </w:rPr>
      </w:pPr>
      <w:r>
        <w:rPr>
          <w:rFonts w:hint="eastAsia"/>
          <w:b/>
          <w:bCs/>
          <w:sz w:val="21"/>
          <w:szCs w:val="21"/>
        </w:rPr>
        <w:t>(142)上海证券有限责任公司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上海市黄浦区四川中路213号7楼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上海市黄浦区四川中路213号久事商务大厦7楼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李俊杰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魏熠珲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021-53686278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021-53686835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4008918918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https://www.shzq.com/ </w:t>
            </w:r>
          </w:p>
        </w:tc>
      </w:tr>
    </w:tbl>
    <w:p>
      <w:pPr>
        <w:pStyle w:val="7"/>
        <w:spacing w:before="0" w:beforeAutospacing="0" w:after="0" w:afterAutospacing="0" w:line="360" w:lineRule="auto"/>
        <w:ind w:firstLine="420"/>
        <w:rPr>
          <w:sz w:val="21"/>
          <w:szCs w:val="21"/>
        </w:rPr>
      </w:pPr>
      <w:r>
        <w:rPr>
          <w:rFonts w:hint="eastAsia"/>
          <w:b/>
          <w:bCs/>
          <w:sz w:val="21"/>
          <w:szCs w:val="21"/>
        </w:rPr>
        <w:t>(143)国联民生证券股份有限公司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无锡市县前东街168号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江苏省无锡市太湖新城金融一街8号国联金融大厦702室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顾伟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http://www.glsc.com.cn </w:t>
            </w:r>
          </w:p>
        </w:tc>
      </w:tr>
    </w:tbl>
    <w:p>
      <w:pPr>
        <w:pStyle w:val="7"/>
        <w:spacing w:before="0" w:beforeAutospacing="0" w:after="0" w:afterAutospacing="0" w:line="360" w:lineRule="auto"/>
        <w:ind w:firstLine="420"/>
        <w:rPr>
          <w:sz w:val="21"/>
          <w:szCs w:val="21"/>
        </w:rPr>
      </w:pPr>
      <w:r>
        <w:rPr>
          <w:rFonts w:hint="eastAsia"/>
          <w:b/>
          <w:bCs/>
          <w:sz w:val="21"/>
          <w:szCs w:val="21"/>
        </w:rPr>
        <w:t>(144)平安证券股份有限公司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(145)华安证券股份有限公司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安徽省合肥市政务文化新区天鹅湖路198号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安徽省合肥市南二环959号财智中心B1座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章宏韬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0551-65161821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0551－65161672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http://www.hazq.com/ </w:t>
            </w:r>
          </w:p>
        </w:tc>
      </w:tr>
    </w:tbl>
    <w:p>
      <w:pPr>
        <w:pStyle w:val="7"/>
        <w:spacing w:before="0" w:beforeAutospacing="0" w:after="0" w:afterAutospacing="0" w:line="360" w:lineRule="auto"/>
        <w:ind w:firstLine="420"/>
        <w:rPr>
          <w:sz w:val="21"/>
          <w:szCs w:val="21"/>
        </w:rPr>
      </w:pPr>
      <w:r>
        <w:rPr>
          <w:rFonts w:hint="eastAsia"/>
          <w:b/>
          <w:bCs/>
          <w:sz w:val="21"/>
          <w:szCs w:val="21"/>
        </w:rPr>
        <w:t>(146)财信证券股份有限公司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蔡一兵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0731-84403319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0731-84403439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0731-84403360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http://www.cfzq.com/ </w:t>
            </w:r>
          </w:p>
        </w:tc>
      </w:tr>
    </w:tbl>
    <w:p>
      <w:pPr>
        <w:pStyle w:val="7"/>
        <w:spacing w:before="0" w:beforeAutospacing="0" w:after="0" w:afterAutospacing="0" w:line="360" w:lineRule="auto"/>
        <w:ind w:firstLine="420"/>
        <w:rPr>
          <w:sz w:val="21"/>
          <w:szCs w:val="21"/>
        </w:rPr>
      </w:pPr>
      <w:r>
        <w:rPr>
          <w:rFonts w:hint="eastAsia"/>
          <w:b/>
          <w:bCs/>
          <w:sz w:val="21"/>
          <w:szCs w:val="21"/>
        </w:rPr>
        <w:t>(147)东莞证券股份有限公司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陈照星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叶玉琪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0769-22119351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0769-22115712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http://www.dgzq.com.cn </w:t>
            </w:r>
          </w:p>
        </w:tc>
      </w:tr>
    </w:tbl>
    <w:p>
      <w:pPr>
        <w:pStyle w:val="7"/>
        <w:spacing w:before="0" w:beforeAutospacing="0" w:after="0" w:afterAutospacing="0" w:line="360" w:lineRule="auto"/>
        <w:ind w:firstLine="420"/>
        <w:rPr>
          <w:sz w:val="21"/>
          <w:szCs w:val="21"/>
        </w:rPr>
      </w:pPr>
      <w:r>
        <w:rPr>
          <w:rFonts w:hint="eastAsia"/>
          <w:b/>
          <w:bCs/>
          <w:sz w:val="21"/>
          <w:szCs w:val="21"/>
        </w:rPr>
        <w:t>(148)恒泰证券股份有限公司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内蒙古呼和浩特市新城区海拉尔东街满世尚都办公商业综合楼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祝艳辉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熊丽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0471－4972675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http://www.cnht.com.cn/ </w:t>
            </w:r>
          </w:p>
        </w:tc>
      </w:tr>
    </w:tbl>
    <w:p>
      <w:pPr>
        <w:pStyle w:val="7"/>
        <w:spacing w:before="0" w:beforeAutospacing="0" w:after="0" w:afterAutospacing="0" w:line="360" w:lineRule="auto"/>
        <w:ind w:firstLine="420"/>
        <w:rPr>
          <w:sz w:val="21"/>
          <w:szCs w:val="21"/>
        </w:rPr>
      </w:pPr>
      <w:r>
        <w:rPr>
          <w:rFonts w:hint="eastAsia"/>
          <w:b/>
          <w:bCs/>
          <w:sz w:val="21"/>
          <w:szCs w:val="21"/>
        </w:rPr>
        <w:t>(149)华西证券股份有限公司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(150)申万宏源西部证券有限公司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(151)中泰证券股份有限公司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www.zts.com.cn </w:t>
            </w:r>
          </w:p>
        </w:tc>
      </w:tr>
    </w:tbl>
    <w:p>
      <w:pPr>
        <w:pStyle w:val="7"/>
        <w:spacing w:before="0" w:beforeAutospacing="0" w:after="0" w:afterAutospacing="0" w:line="360" w:lineRule="auto"/>
        <w:ind w:firstLine="420"/>
        <w:rPr>
          <w:sz w:val="21"/>
          <w:szCs w:val="21"/>
        </w:rPr>
      </w:pPr>
      <w:r>
        <w:rPr>
          <w:rFonts w:hint="eastAsia"/>
          <w:b/>
          <w:bCs/>
          <w:sz w:val="21"/>
          <w:szCs w:val="21"/>
        </w:rPr>
        <w:t>(152)第一创业证券股份有限公司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深圳市福田区福华一路115号投行大厦20楼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深圳市福田区福华一路115号投行大厦18楼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青美平措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单晶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0755-23838750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0755-25838701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http://www.firstcapital.com.cn/ </w:t>
            </w:r>
          </w:p>
        </w:tc>
      </w:tr>
    </w:tbl>
    <w:p>
      <w:pPr>
        <w:pStyle w:val="7"/>
        <w:spacing w:before="0" w:beforeAutospacing="0" w:after="0" w:afterAutospacing="0" w:line="360" w:lineRule="auto"/>
        <w:ind w:firstLine="420"/>
        <w:rPr>
          <w:sz w:val="21"/>
          <w:szCs w:val="21"/>
        </w:rPr>
      </w:pPr>
      <w:r>
        <w:rPr>
          <w:rFonts w:hint="eastAsia"/>
          <w:b/>
          <w:bCs/>
          <w:sz w:val="21"/>
          <w:szCs w:val="21"/>
        </w:rPr>
        <w:t>(153)华林证券股份有限公司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0755－82707855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0755－23613751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4001883888 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http://www.chinalin.com/ </w:t>
            </w:r>
          </w:p>
        </w:tc>
      </w:tr>
    </w:tbl>
    <w:p>
      <w:pPr>
        <w:pStyle w:val="7"/>
        <w:spacing w:before="0" w:beforeAutospacing="0" w:after="0" w:afterAutospacing="0" w:line="360" w:lineRule="auto"/>
        <w:ind w:firstLine="420"/>
        <w:rPr>
          <w:sz w:val="21"/>
          <w:szCs w:val="21"/>
        </w:rPr>
      </w:pPr>
      <w:r>
        <w:rPr>
          <w:rFonts w:hint="eastAsia"/>
          <w:b/>
          <w:bCs/>
          <w:sz w:val="21"/>
          <w:szCs w:val="21"/>
        </w:rPr>
        <w:t>(154)德邦证券股份有限公司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上海市普陀区曹杨路510号南半幢9楼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上海市浦东新区福山路500号城建国际中心26楼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武晓春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021-68761616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021-68767981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http://www.tebon.com.cn </w:t>
            </w:r>
          </w:p>
        </w:tc>
      </w:tr>
    </w:tbl>
    <w:p>
      <w:pPr>
        <w:pStyle w:val="7"/>
        <w:spacing w:before="0" w:beforeAutospacing="0" w:after="0" w:afterAutospacing="0" w:line="360" w:lineRule="auto"/>
        <w:ind w:firstLine="420"/>
        <w:rPr>
          <w:sz w:val="21"/>
          <w:szCs w:val="21"/>
        </w:rPr>
      </w:pPr>
      <w:r>
        <w:rPr>
          <w:rFonts w:hint="eastAsia"/>
          <w:b/>
          <w:bCs/>
          <w:sz w:val="21"/>
          <w:szCs w:val="21"/>
        </w:rPr>
        <w:t>(155)华福证券有限责任公司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福州市五四路157号新天地大厦7、8层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福州市五四路157号新天地大厦7至10层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黄金琳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021-20655183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0591－87383610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http://www.hfzq.com.cn </w:t>
            </w:r>
          </w:p>
        </w:tc>
      </w:tr>
    </w:tbl>
    <w:p>
      <w:pPr>
        <w:pStyle w:val="7"/>
        <w:spacing w:before="0" w:beforeAutospacing="0" w:after="0" w:afterAutospacing="0" w:line="360" w:lineRule="auto"/>
        <w:ind w:firstLine="420"/>
        <w:rPr>
          <w:sz w:val="21"/>
          <w:szCs w:val="21"/>
        </w:rPr>
      </w:pPr>
      <w:r>
        <w:rPr>
          <w:rFonts w:hint="eastAsia"/>
          <w:b/>
          <w:bCs/>
          <w:sz w:val="21"/>
          <w:szCs w:val="21"/>
        </w:rPr>
        <w:t>(156)中国国际金融股份有限公司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沈如军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任敏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010－65051156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http://www.cicc.com.cn/ </w:t>
            </w:r>
          </w:p>
        </w:tc>
      </w:tr>
    </w:tbl>
    <w:p>
      <w:pPr>
        <w:pStyle w:val="7"/>
        <w:spacing w:before="0" w:beforeAutospacing="0" w:after="0" w:afterAutospacing="0" w:line="360" w:lineRule="auto"/>
        <w:ind w:firstLine="420"/>
        <w:rPr>
          <w:sz w:val="21"/>
          <w:szCs w:val="21"/>
        </w:rPr>
      </w:pPr>
      <w:r>
        <w:rPr>
          <w:rFonts w:hint="eastAsia"/>
          <w:b/>
          <w:bCs/>
          <w:sz w:val="21"/>
          <w:szCs w:val="21"/>
        </w:rPr>
        <w:t>(157)五矿证券有限公司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深圳市南山区粤海街道海珠社区滨海大道3165号五矿金融大厦2401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深圳市南山区滨海大道与后海滨路交汇处滨海大道3165号五矿金融大厦（18-25层）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黄海洲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赵晓棋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0755-23375447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4001840028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http://www.wkzq.com.cn </w:t>
            </w:r>
          </w:p>
        </w:tc>
      </w:tr>
    </w:tbl>
    <w:p>
      <w:pPr>
        <w:pStyle w:val="7"/>
        <w:spacing w:before="0" w:beforeAutospacing="0" w:after="0" w:afterAutospacing="0" w:line="360" w:lineRule="auto"/>
        <w:ind w:firstLine="420"/>
        <w:rPr>
          <w:sz w:val="21"/>
          <w:szCs w:val="21"/>
        </w:rPr>
      </w:pPr>
      <w:r>
        <w:rPr>
          <w:rFonts w:hint="eastAsia"/>
          <w:b/>
          <w:bCs/>
          <w:sz w:val="21"/>
          <w:szCs w:val="21"/>
        </w:rPr>
        <w:t>(158)华鑫证券有限责任公司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深圳市福田区莲花街道福中社区深南大道2008号中国凤凰大厦1栋20C-1房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上海市黄浦区福州路666号6楼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021-54967656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021-64333051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95323,021-32109999,029-68918888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http://www.cfsc.com.cn </w:t>
            </w:r>
          </w:p>
        </w:tc>
      </w:tr>
    </w:tbl>
    <w:p>
      <w:pPr>
        <w:pStyle w:val="7"/>
        <w:spacing w:before="0" w:beforeAutospacing="0" w:after="0" w:afterAutospacing="0" w:line="360" w:lineRule="auto"/>
        <w:ind w:firstLine="420"/>
        <w:rPr>
          <w:sz w:val="21"/>
          <w:szCs w:val="21"/>
        </w:rPr>
      </w:pPr>
      <w:r>
        <w:rPr>
          <w:rFonts w:hint="eastAsia"/>
          <w:b/>
          <w:bCs/>
          <w:sz w:val="21"/>
          <w:szCs w:val="21"/>
        </w:rPr>
        <w:t>(159)中国中金财富证券有限公司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深圳市南山区粤海街道海珠社区科苑南路2666号中国华润大厦L4601-4608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深圳市福田区益田路与福中路交界处荣超商务中心A栋第18-21层及第04层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万玉琳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0755-82026907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0755-82026539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4006008008/95532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http://www.china-invs.cn/ </w:t>
            </w:r>
          </w:p>
        </w:tc>
      </w:tr>
    </w:tbl>
    <w:p>
      <w:pPr>
        <w:pStyle w:val="7"/>
        <w:spacing w:before="0" w:beforeAutospacing="0" w:after="0" w:afterAutospacing="0" w:line="360" w:lineRule="auto"/>
        <w:ind w:firstLine="420"/>
        <w:rPr>
          <w:sz w:val="21"/>
          <w:szCs w:val="21"/>
        </w:rPr>
      </w:pPr>
      <w:r>
        <w:rPr>
          <w:rFonts w:hint="eastAsia"/>
          <w:b/>
          <w:bCs/>
          <w:sz w:val="21"/>
          <w:szCs w:val="21"/>
        </w:rPr>
        <w:t>(160)东方财富证券股份有限公司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(161)江海证券有限公司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孙名扬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王金娇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0451-87765732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0451－82287211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http://www.jhzq.com.cn </w:t>
            </w:r>
          </w:p>
        </w:tc>
      </w:tr>
    </w:tbl>
    <w:p>
      <w:pPr>
        <w:pStyle w:val="7"/>
        <w:spacing w:before="0" w:beforeAutospacing="0" w:after="0" w:afterAutospacing="0" w:line="360" w:lineRule="auto"/>
        <w:ind w:firstLine="420"/>
        <w:rPr>
          <w:sz w:val="21"/>
          <w:szCs w:val="21"/>
        </w:rPr>
      </w:pPr>
      <w:r>
        <w:rPr>
          <w:rFonts w:hint="eastAsia"/>
          <w:b/>
          <w:bCs/>
          <w:sz w:val="21"/>
          <w:szCs w:val="21"/>
        </w:rPr>
        <w:t>(162)华源证券股份有限公司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青海省西宁市城中区西大街11号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北京市西城区金融大街7号英蓝国际金融中心D座5层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张晓黎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010-57672186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4006543218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http://www.tyzq.com.cn </w:t>
            </w:r>
          </w:p>
        </w:tc>
      </w:tr>
    </w:tbl>
    <w:p>
      <w:pPr>
        <w:pStyle w:val="7"/>
        <w:spacing w:before="0" w:beforeAutospacing="0" w:after="0" w:afterAutospacing="0" w:line="360" w:lineRule="auto"/>
        <w:ind w:firstLine="420"/>
        <w:rPr>
          <w:sz w:val="21"/>
          <w:szCs w:val="21"/>
        </w:rPr>
      </w:pPr>
      <w:r>
        <w:rPr>
          <w:rFonts w:hint="eastAsia"/>
          <w:b/>
          <w:bCs/>
          <w:sz w:val="21"/>
          <w:szCs w:val="21"/>
        </w:rPr>
        <w:t>(163)国金证券股份有限公司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(164)华宝证券股份有限公司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(165)爱建证券有限责任公司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中国（上海）自由贸易试验区世纪大道1600号1幢32楼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上海市浦东新区世纪大道1600号32楼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姚盛盛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021-32229888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021- 68728703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4001-962-502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http://www.ajzq.com </w:t>
            </w:r>
          </w:p>
        </w:tc>
      </w:tr>
    </w:tbl>
    <w:p>
      <w:pPr>
        <w:pStyle w:val="7"/>
        <w:spacing w:before="0" w:beforeAutospacing="0" w:after="0" w:afterAutospacing="0" w:line="360" w:lineRule="auto"/>
        <w:ind w:firstLine="420"/>
        <w:rPr>
          <w:sz w:val="21"/>
          <w:szCs w:val="21"/>
        </w:rPr>
      </w:pPr>
      <w:r>
        <w:rPr>
          <w:rFonts w:hint="eastAsia"/>
          <w:b/>
          <w:bCs/>
          <w:sz w:val="21"/>
          <w:szCs w:val="21"/>
        </w:rPr>
        <w:t>(166)英大证券有限责任公司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吴尔晖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0755-83007159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0755-83007034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4000-188-688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http://www.ydsc.com.cn </w:t>
            </w:r>
          </w:p>
        </w:tc>
      </w:tr>
    </w:tbl>
    <w:p>
      <w:pPr>
        <w:pStyle w:val="7"/>
        <w:spacing w:before="0" w:beforeAutospacing="0" w:after="0" w:afterAutospacing="0" w:line="360" w:lineRule="auto"/>
        <w:ind w:firstLine="420"/>
        <w:rPr>
          <w:sz w:val="21"/>
          <w:szCs w:val="21"/>
        </w:rPr>
      </w:pPr>
      <w:r>
        <w:rPr>
          <w:rFonts w:hint="eastAsia"/>
          <w:b/>
          <w:bCs/>
          <w:sz w:val="21"/>
          <w:szCs w:val="21"/>
        </w:rPr>
        <w:t>(167)财达证券股份有限公司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翟建强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刘亚静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0311-66006393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0311-66006249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http://www.S10000.com </w:t>
            </w:r>
          </w:p>
        </w:tc>
      </w:tr>
    </w:tbl>
    <w:p>
      <w:pPr>
        <w:pStyle w:val="7"/>
        <w:spacing w:before="0" w:beforeAutospacing="0" w:after="0" w:afterAutospacing="0" w:line="360" w:lineRule="auto"/>
        <w:ind w:firstLine="420"/>
        <w:rPr>
          <w:sz w:val="21"/>
          <w:szCs w:val="21"/>
        </w:rPr>
      </w:pPr>
      <w:r>
        <w:rPr>
          <w:rFonts w:hint="eastAsia"/>
          <w:b/>
          <w:bCs/>
          <w:sz w:val="21"/>
          <w:szCs w:val="21"/>
        </w:rPr>
        <w:t>(168)华创证券有限责任公司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贵州省贵阳市中华北路216号华创大厦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陶永泽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郭佳来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021-60762618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021-60762700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4008666689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http://www.hczq.com/ </w:t>
            </w:r>
          </w:p>
        </w:tc>
      </w:tr>
    </w:tbl>
    <w:p>
      <w:pPr>
        <w:pStyle w:val="7"/>
        <w:spacing w:before="0" w:beforeAutospacing="0" w:after="0" w:afterAutospacing="0" w:line="360" w:lineRule="auto"/>
        <w:ind w:firstLine="420"/>
        <w:rPr>
          <w:sz w:val="21"/>
          <w:szCs w:val="21"/>
        </w:rPr>
      </w:pPr>
      <w:r>
        <w:rPr>
          <w:rFonts w:hint="eastAsia"/>
          <w:b/>
          <w:bCs/>
          <w:sz w:val="21"/>
          <w:szCs w:val="21"/>
        </w:rPr>
        <w:t>(169)首创证券股份有限公司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北京市西城区德胜门外大街115号德胜尚城E座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北京市朝阳区安定路5号院北投投资大厦A座18层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毕劲松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010－81152418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010－81152982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www.sczq.com.cn </w:t>
            </w:r>
          </w:p>
        </w:tc>
      </w:tr>
    </w:tbl>
    <w:p>
      <w:pPr>
        <w:pStyle w:val="7"/>
        <w:spacing w:before="0" w:beforeAutospacing="0" w:after="0" w:afterAutospacing="0" w:line="360" w:lineRule="auto"/>
        <w:ind w:firstLine="420"/>
        <w:rPr>
          <w:sz w:val="21"/>
          <w:szCs w:val="21"/>
        </w:rPr>
      </w:pPr>
      <w:r>
        <w:rPr>
          <w:rFonts w:hint="eastAsia"/>
          <w:b/>
          <w:bCs/>
          <w:sz w:val="21"/>
          <w:szCs w:val="21"/>
        </w:rPr>
        <w:t>(170)太平洋证券股份有限公司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云南省昆明市青年路389号志远大厦18层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北京市西城区北展北街九号华远企业号D座三单元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李长伟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0871-68885858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0871-68898100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400-665-0999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http://www.tpyzq.com/ </w:t>
            </w:r>
          </w:p>
        </w:tc>
      </w:tr>
    </w:tbl>
    <w:p>
      <w:pPr>
        <w:pStyle w:val="7"/>
        <w:spacing w:before="0" w:beforeAutospacing="0" w:after="0" w:afterAutospacing="0" w:line="360" w:lineRule="auto"/>
        <w:ind w:firstLine="420"/>
        <w:rPr>
          <w:sz w:val="21"/>
          <w:szCs w:val="21"/>
        </w:rPr>
      </w:pPr>
      <w:r>
        <w:rPr>
          <w:rFonts w:hint="eastAsia"/>
          <w:b/>
          <w:bCs/>
          <w:sz w:val="21"/>
          <w:szCs w:val="21"/>
        </w:rPr>
        <w:t>(171)开源证券股份有限公司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029-88365809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86-29-88365835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95325 /400-860-8866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http://www.kysec.cn/ </w:t>
            </w:r>
          </w:p>
        </w:tc>
      </w:tr>
    </w:tbl>
    <w:p>
      <w:pPr>
        <w:pStyle w:val="7"/>
        <w:spacing w:before="0" w:beforeAutospacing="0" w:after="0" w:afterAutospacing="0" w:line="360" w:lineRule="auto"/>
        <w:ind w:firstLine="420"/>
        <w:rPr>
          <w:sz w:val="21"/>
          <w:szCs w:val="21"/>
        </w:rPr>
      </w:pPr>
      <w:r>
        <w:rPr>
          <w:rFonts w:hint="eastAsia"/>
          <w:b/>
          <w:bCs/>
          <w:sz w:val="21"/>
          <w:szCs w:val="21"/>
        </w:rPr>
        <w:t>(172)联储证券股份有限公司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吕春卫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张婉婷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010-86499765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0755-82075835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4006206868/010-56177851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http://www.lczq.com/ </w:t>
            </w:r>
          </w:p>
        </w:tc>
      </w:tr>
    </w:tbl>
    <w:p>
      <w:pPr>
        <w:pStyle w:val="7"/>
        <w:spacing w:before="0" w:beforeAutospacing="0" w:after="0" w:afterAutospacing="0" w:line="360" w:lineRule="auto"/>
        <w:ind w:firstLine="420"/>
        <w:rPr>
          <w:sz w:val="21"/>
          <w:szCs w:val="21"/>
        </w:rPr>
      </w:pPr>
      <w:r>
        <w:rPr>
          <w:rFonts w:hint="eastAsia"/>
          <w:b/>
          <w:bCs/>
          <w:sz w:val="21"/>
          <w:szCs w:val="21"/>
        </w:rPr>
        <w:t>(173)华瑞保险销售有限公司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www.huaruisales.com </w:t>
            </w:r>
          </w:p>
        </w:tc>
      </w:tr>
    </w:tbl>
    <w:p>
      <w:pPr>
        <w:pStyle w:val="7"/>
        <w:spacing w:before="0" w:beforeAutospacing="0" w:after="0" w:afterAutospacing="0" w:line="360" w:lineRule="auto"/>
        <w:ind w:firstLine="420"/>
        <w:rPr>
          <w:sz w:val="21"/>
          <w:szCs w:val="21"/>
        </w:rPr>
      </w:pPr>
      <w:r>
        <w:rPr>
          <w:rFonts w:hint="eastAsia"/>
          <w:b/>
          <w:bCs/>
          <w:sz w:val="21"/>
          <w:szCs w:val="21"/>
        </w:rPr>
        <w:t>(174)玄元保险代理有限公司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www.licaimofang.com </w:t>
            </w:r>
          </w:p>
        </w:tc>
      </w:tr>
    </w:tbl>
    <w:p>
      <w:pPr>
        <w:pStyle w:val="7"/>
        <w:spacing w:before="0" w:beforeAutospacing="0" w:after="0" w:afterAutospacing="0" w:line="360" w:lineRule="auto"/>
        <w:ind w:firstLine="420"/>
        <w:rPr>
          <w:sz w:val="21"/>
          <w:szCs w:val="21"/>
        </w:rPr>
      </w:pPr>
      <w:r>
        <w:rPr>
          <w:rFonts w:hint="eastAsia"/>
          <w:b/>
          <w:bCs/>
          <w:sz w:val="21"/>
          <w:szCs w:val="21"/>
        </w:rPr>
        <w:t>(175)阳光人寿保险股份有限公司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海南省三亚市迎宾路360-1号三亚阳光金融广场16层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北京市朝阳区朝外大街20号联合大厦701A室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010-59053660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010-85632773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http://fund.sinosig.com/ </w:t>
            </w:r>
          </w:p>
        </w:tc>
      </w:tr>
    </w:tbl>
    <w:p>
      <w:pPr>
        <w:pStyle w:val="7"/>
        <w:spacing w:before="0" w:beforeAutospacing="0" w:after="0" w:afterAutospacing="0" w:line="360" w:lineRule="auto"/>
        <w:ind w:firstLine="420"/>
        <w:rPr>
          <w:sz w:val="21"/>
          <w:szCs w:val="21"/>
        </w:rPr>
      </w:pPr>
      <w:r>
        <w:rPr>
          <w:rFonts w:hint="eastAsia"/>
          <w:b/>
          <w:bCs/>
          <w:sz w:val="21"/>
          <w:szCs w:val="21"/>
        </w:rPr>
        <w:t>(176)中国人寿保险股份有限公司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白涛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秦泽伟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010-63631539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010-66222276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www.e-chinalife.com </w:t>
            </w:r>
          </w:p>
        </w:tc>
      </w:tr>
    </w:tbl>
    <w:p>
      <w:pPr>
        <w:pStyle w:val="7"/>
        <w:spacing w:before="0" w:beforeAutospacing="0" w:after="0" w:afterAutospacing="0" w:line="360" w:lineRule="auto"/>
        <w:ind w:firstLine="420"/>
        <w:rPr>
          <w:sz w:val="21"/>
          <w:szCs w:val="21"/>
        </w:rPr>
      </w:pPr>
      <w:r>
        <w:rPr>
          <w:rFonts w:hint="eastAsia"/>
          <w:b/>
          <w:bCs/>
          <w:sz w:val="21"/>
          <w:szCs w:val="21"/>
        </w:rPr>
        <w:t>(177)锦州银行股份有限公司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魏学坤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吴舒钰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0416-4516095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0416-3220186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400-66-96178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www.jinzhoubank.com </w:t>
            </w:r>
          </w:p>
        </w:tc>
      </w:tr>
    </w:tbl>
    <w:p>
      <w:pPr>
        <w:pStyle w:val="7"/>
        <w:spacing w:before="0" w:beforeAutospacing="0" w:after="0" w:afterAutospacing="0" w:line="360" w:lineRule="auto"/>
        <w:ind w:firstLine="420"/>
        <w:rPr>
          <w:sz w:val="21"/>
          <w:szCs w:val="21"/>
        </w:rPr>
      </w:pPr>
      <w:r>
        <w:rPr>
          <w:rFonts w:hint="eastAsia"/>
          <w:b/>
          <w:bCs/>
          <w:sz w:val="21"/>
          <w:szCs w:val="21"/>
        </w:rPr>
        <w:t>(178)湖南银行股份有限公司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湖南省长沙市天心区湘江中路二段210号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湖南省长沙市天心区湘江中路二段210号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黄卫忠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张鹏君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0731-96599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0731-89828806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0731-96599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www.hunan-bank.com </w:t>
            </w:r>
          </w:p>
        </w:tc>
      </w:tr>
    </w:tbl>
    <w:p>
      <w:pPr>
        <w:pStyle w:val="7"/>
        <w:spacing w:before="0" w:beforeAutospacing="0" w:after="0" w:afterAutospacing="0" w:line="360" w:lineRule="auto"/>
        <w:ind w:firstLine="420"/>
        <w:rPr>
          <w:sz w:val="21"/>
          <w:szCs w:val="21"/>
        </w:rPr>
      </w:pPr>
      <w:r>
        <w:rPr>
          <w:rFonts w:hint="eastAsia"/>
          <w:b/>
          <w:bCs/>
          <w:sz w:val="21"/>
          <w:szCs w:val="21"/>
        </w:rPr>
        <w:t>(179)广东南粤银行股份有限公司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湛江经济技术开发区乐山路27号财富汇金融中心1层01、02号商铺、2层01号商铺、3层01号商铺、39-45层办公室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湛江经济技术开发区乐山大道60号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蒋丹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莫振辉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18617326417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www.gdnybank.com </w:t>
            </w:r>
          </w:p>
        </w:tc>
      </w:tr>
    </w:tbl>
    <w:p>
      <w:pPr>
        <w:pStyle w:val="7"/>
        <w:spacing w:before="0" w:beforeAutospacing="0" w:after="0" w:afterAutospacing="0" w:line="360" w:lineRule="auto"/>
        <w:ind w:firstLine="420"/>
        <w:rPr>
          <w:sz w:val="21"/>
          <w:szCs w:val="21"/>
        </w:rPr>
      </w:pPr>
      <w:r>
        <w:rPr>
          <w:rFonts w:hint="eastAsia"/>
          <w:b/>
          <w:bCs/>
          <w:sz w:val="21"/>
          <w:szCs w:val="21"/>
        </w:rPr>
        <w:t>(180)龙江银行股份有限公司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黑龙江省哈尔滨市道里区友谊路436号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黑龙江省哈尔滨市道里区友谊路436号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张建辉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闫勇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0451-85706107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0451-85706107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4006458888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www.lj-bank.com </w:t>
            </w:r>
          </w:p>
        </w:tc>
      </w:tr>
    </w:tbl>
    <w:p>
      <w:pPr>
        <w:pStyle w:val="7"/>
        <w:spacing w:before="0" w:beforeAutospacing="0" w:after="0" w:afterAutospacing="0" w:line="360" w:lineRule="auto"/>
        <w:ind w:firstLine="420"/>
        <w:rPr>
          <w:sz w:val="21"/>
          <w:szCs w:val="21"/>
        </w:rPr>
      </w:pPr>
      <w:r>
        <w:rPr>
          <w:rFonts w:hint="eastAsia"/>
          <w:b/>
          <w:bCs/>
          <w:sz w:val="21"/>
          <w:szCs w:val="21"/>
        </w:rPr>
        <w:t>(181)浙江乐清农村商业银行股份有限公司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浙江省乐清市城南街道伯乐西路99号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浙江省乐清市城南街道伯乐西路99号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高剑飞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金晓娇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0577-61566028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0577-61566063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96596 </w:t>
            </w:r>
          </w:p>
        </w:tc>
      </w:tr>
    </w:tbl>
    <w:p>
      <w:pPr>
        <w:pStyle w:val="7"/>
        <w:spacing w:before="0" w:beforeAutospacing="0" w:after="0" w:afterAutospacing="0" w:line="360" w:lineRule="auto"/>
        <w:ind w:firstLine="420"/>
        <w:rPr>
          <w:sz w:val="21"/>
          <w:szCs w:val="21"/>
        </w:rPr>
      </w:pPr>
      <w:r>
        <w:rPr>
          <w:rFonts w:hint="eastAsia"/>
          <w:b/>
          <w:bCs/>
          <w:sz w:val="21"/>
          <w:szCs w:val="21"/>
        </w:rPr>
        <w:t>(182)青岛农村商业银行股份有限公司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山东省青岛市崂山区秦岭路6号1号楼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山东省青岛市崂山区秦岭路6号1号楼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王锡峰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严菲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0532-66957360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0532-66957229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0532-96668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www.qrcb.com.cn </w:t>
            </w:r>
          </w:p>
        </w:tc>
      </w:tr>
    </w:tbl>
    <w:p>
      <w:pPr>
        <w:pStyle w:val="7"/>
        <w:spacing w:before="0" w:beforeAutospacing="0" w:after="0" w:afterAutospacing="0" w:line="360" w:lineRule="auto"/>
        <w:ind w:firstLine="420"/>
        <w:rPr>
          <w:sz w:val="21"/>
          <w:szCs w:val="21"/>
        </w:rPr>
      </w:pPr>
      <w:r>
        <w:rPr>
          <w:rFonts w:hint="eastAsia"/>
          <w:b/>
          <w:bCs/>
          <w:sz w:val="21"/>
          <w:szCs w:val="21"/>
        </w:rPr>
        <w:t>(183)深圳前海微众银行股份有限公司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广东省深圳市前海深港合作区前湾一路 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深圳市南山区沙河西路1819号深圳湾科技生态园7栋A座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顾敏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白冰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89959999-3306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http://www.webank.com/ </w:t>
            </w:r>
          </w:p>
        </w:tc>
      </w:tr>
    </w:tbl>
    <w:p>
      <w:pPr>
        <w:pStyle w:val="7"/>
        <w:spacing w:before="0" w:beforeAutospacing="0" w:after="0" w:afterAutospacing="0" w:line="360" w:lineRule="auto"/>
        <w:ind w:firstLine="420"/>
        <w:rPr>
          <w:sz w:val="21"/>
          <w:szCs w:val="21"/>
        </w:rPr>
      </w:pPr>
      <w:r>
        <w:rPr>
          <w:rFonts w:hint="eastAsia"/>
          <w:b/>
          <w:bCs/>
          <w:sz w:val="21"/>
          <w:szCs w:val="21"/>
        </w:rPr>
        <w:t>(184)桂林银行股份有限公司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陈林锴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0773-3879905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0773-3820180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400-86-96299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www.guilinbank.com.cn </w:t>
            </w:r>
          </w:p>
        </w:tc>
      </w:tr>
    </w:tbl>
    <w:p>
      <w:pPr>
        <w:pStyle w:val="7"/>
        <w:spacing w:before="0" w:beforeAutospacing="0" w:after="0" w:afterAutospacing="0" w:line="360" w:lineRule="auto"/>
        <w:ind w:firstLine="420"/>
        <w:rPr>
          <w:sz w:val="21"/>
          <w:szCs w:val="21"/>
        </w:rPr>
      </w:pPr>
      <w:r>
        <w:rPr>
          <w:rFonts w:hint="eastAsia"/>
          <w:b/>
          <w:bCs/>
          <w:sz w:val="21"/>
          <w:szCs w:val="21"/>
        </w:rPr>
        <w:t>(185)德州银行股份有限公司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山东省德州市三八东路1266号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山东省德州市三八东路1266号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孙玉芝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王方震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0534-2297326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0534-2297327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40084-96588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www.dzbchina.com </w:t>
            </w:r>
          </w:p>
        </w:tc>
      </w:tr>
    </w:tbl>
    <w:p>
      <w:pPr>
        <w:pStyle w:val="7"/>
        <w:spacing w:before="0" w:beforeAutospacing="0" w:after="0" w:afterAutospacing="0" w:line="360" w:lineRule="auto"/>
        <w:ind w:firstLine="420"/>
        <w:rPr>
          <w:sz w:val="21"/>
          <w:szCs w:val="21"/>
        </w:rPr>
      </w:pPr>
      <w:r>
        <w:rPr>
          <w:rFonts w:hint="eastAsia"/>
          <w:b/>
          <w:bCs/>
          <w:sz w:val="21"/>
          <w:szCs w:val="21"/>
        </w:rPr>
        <w:t>(186)云南红塔银行股份有限公司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云南省玉溪市东风南路2号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云南省昆明市盘龙区世博路低碳中心A座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李光林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马杰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0871-65236624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0871-65236614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0877-96522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www.ynhtbank.com </w:t>
            </w:r>
          </w:p>
        </w:tc>
      </w:tr>
    </w:tbl>
    <w:p>
      <w:pPr>
        <w:pStyle w:val="7"/>
        <w:spacing w:before="0" w:beforeAutospacing="0" w:after="0" w:afterAutospacing="0" w:line="360" w:lineRule="auto"/>
        <w:ind w:firstLine="420"/>
        <w:rPr>
          <w:sz w:val="21"/>
          <w:szCs w:val="21"/>
        </w:rPr>
      </w:pPr>
      <w:r>
        <w:rPr>
          <w:rFonts w:hint="eastAsia"/>
          <w:b/>
          <w:bCs/>
          <w:sz w:val="21"/>
          <w:szCs w:val="21"/>
        </w:rPr>
        <w:t>(187)中原银行股份有限公司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河南省郑州市郑东新区CBD商务外环路23号中科金座大厦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河南省郑州市郑东新区CBD商务外环路23号中科金座大厦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徐诺金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田力源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0371-61910219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0371-85519869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www.zybank.com.cn </w:t>
            </w:r>
          </w:p>
        </w:tc>
      </w:tr>
    </w:tbl>
    <w:p>
      <w:pPr>
        <w:pStyle w:val="7"/>
        <w:spacing w:before="0" w:beforeAutospacing="0" w:after="0" w:afterAutospacing="0" w:line="360" w:lineRule="auto"/>
        <w:ind w:firstLine="420"/>
        <w:rPr>
          <w:sz w:val="21"/>
          <w:szCs w:val="21"/>
        </w:rPr>
      </w:pPr>
      <w:r>
        <w:rPr>
          <w:rFonts w:hint="eastAsia"/>
          <w:b/>
          <w:bCs/>
          <w:sz w:val="21"/>
          <w:szCs w:val="21"/>
        </w:rPr>
        <w:t>(188)宁夏银行股份有限公司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宁夏银川市金凤区北京中路157号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宁夏银川市金凤区北京中路157号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沙建平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席文娇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0951-5058173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0951-5165256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400-809-6558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http://www.bankofnx.com.cn </w:t>
            </w:r>
          </w:p>
        </w:tc>
      </w:tr>
    </w:tbl>
    <w:p>
      <w:pPr>
        <w:pStyle w:val="7"/>
        <w:spacing w:before="0" w:beforeAutospacing="0" w:after="0" w:afterAutospacing="0" w:line="360" w:lineRule="auto"/>
        <w:ind w:firstLine="420"/>
        <w:rPr>
          <w:sz w:val="21"/>
          <w:szCs w:val="21"/>
        </w:rPr>
      </w:pPr>
      <w:r>
        <w:rPr>
          <w:rFonts w:hint="eastAsia"/>
          <w:b/>
          <w:bCs/>
          <w:sz w:val="21"/>
          <w:szCs w:val="21"/>
        </w:rPr>
        <w:t>(189)兰州银行股份有限公司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司艳春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0931-96799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www.lzbank.com </w:t>
            </w:r>
          </w:p>
        </w:tc>
      </w:tr>
    </w:tbl>
    <w:p>
      <w:pPr>
        <w:pStyle w:val="7"/>
        <w:spacing w:before="0" w:beforeAutospacing="0" w:after="0" w:afterAutospacing="0" w:line="360" w:lineRule="auto"/>
        <w:ind w:firstLine="420"/>
        <w:rPr>
          <w:sz w:val="21"/>
          <w:szCs w:val="21"/>
        </w:rPr>
      </w:pPr>
      <w:r>
        <w:rPr>
          <w:rFonts w:hint="eastAsia"/>
          <w:b/>
          <w:bCs/>
          <w:sz w:val="21"/>
          <w:szCs w:val="21"/>
        </w:rPr>
        <w:t>(190)佛山农村商业银行股份有限公司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佛山市禅城区华远东路5号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佛山市禅城区华远东路5号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谭伟湛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0757-83351275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0757-83212736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0757-96138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www.foshanbank.cn </w:t>
            </w:r>
          </w:p>
        </w:tc>
      </w:tr>
    </w:tbl>
    <w:p>
      <w:pPr>
        <w:pStyle w:val="7"/>
        <w:spacing w:before="0" w:beforeAutospacing="0" w:after="0" w:afterAutospacing="0" w:line="360" w:lineRule="auto"/>
        <w:ind w:firstLine="420"/>
        <w:rPr>
          <w:sz w:val="21"/>
          <w:szCs w:val="21"/>
        </w:rPr>
      </w:pPr>
      <w:r>
        <w:rPr>
          <w:rFonts w:hint="eastAsia"/>
          <w:b/>
          <w:bCs/>
          <w:sz w:val="21"/>
          <w:szCs w:val="21"/>
        </w:rPr>
        <w:t>(191)浙江温州瓯海农村商业银行股份有限公司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浙江省温州市瓯海区瓯海大道989号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浙江省温州市瓯海区瓯海大道989号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黄定表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夏娇容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0577-88330290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96596 </w:t>
            </w:r>
          </w:p>
        </w:tc>
      </w:tr>
    </w:tbl>
    <w:p>
      <w:pPr>
        <w:pStyle w:val="7"/>
        <w:spacing w:before="0" w:beforeAutospacing="0" w:after="0" w:afterAutospacing="0" w:line="360" w:lineRule="auto"/>
        <w:ind w:firstLine="420"/>
        <w:rPr>
          <w:sz w:val="21"/>
          <w:szCs w:val="21"/>
        </w:rPr>
      </w:pPr>
      <w:r>
        <w:rPr>
          <w:rFonts w:hint="eastAsia"/>
          <w:b/>
          <w:bCs/>
          <w:sz w:val="21"/>
          <w:szCs w:val="21"/>
        </w:rPr>
        <w:t>(192)九江银行股份有限公司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江西省九江市濂溪区长虹大道619号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江西省九江市濂溪区长虹大道619号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刘羡庭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刘心皓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0792-2190262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0792-8325029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www.jjccb.com </w:t>
            </w:r>
          </w:p>
        </w:tc>
      </w:tr>
    </w:tbl>
    <w:p>
      <w:pPr>
        <w:pStyle w:val="7"/>
        <w:spacing w:before="0" w:beforeAutospacing="0" w:after="0" w:afterAutospacing="0" w:line="360" w:lineRule="auto"/>
        <w:ind w:firstLine="420"/>
        <w:rPr>
          <w:sz w:val="21"/>
          <w:szCs w:val="21"/>
        </w:rPr>
      </w:pPr>
      <w:r>
        <w:rPr>
          <w:rFonts w:hint="eastAsia"/>
          <w:b/>
          <w:bCs/>
          <w:sz w:val="21"/>
          <w:szCs w:val="21"/>
        </w:rPr>
        <w:t>(193)贵州银行股份有限公司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杨明尚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张路楠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0851-88606775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96655（全省）4000696655（全国）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www.bgzchina.com </w:t>
            </w:r>
          </w:p>
        </w:tc>
      </w:tr>
    </w:tbl>
    <w:p>
      <w:pPr>
        <w:pStyle w:val="7"/>
        <w:spacing w:before="0" w:beforeAutospacing="0" w:after="0" w:afterAutospacing="0" w:line="360" w:lineRule="auto"/>
        <w:ind w:firstLine="420"/>
        <w:rPr>
          <w:sz w:val="21"/>
          <w:szCs w:val="21"/>
        </w:rPr>
      </w:pPr>
      <w:r>
        <w:rPr>
          <w:rFonts w:hint="eastAsia"/>
          <w:b/>
          <w:bCs/>
          <w:sz w:val="21"/>
          <w:szCs w:val="21"/>
        </w:rPr>
        <w:t>(194)中信百信银行股份有限公司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北京市朝阳区安定路5号院3号楼8层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北京市朝阳区安定路5号院3号楼6-11层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李如东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010-50925699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010-50925690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4008180100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www.aibank.com </w:t>
            </w:r>
          </w:p>
        </w:tc>
      </w:tr>
    </w:tbl>
    <w:p>
      <w:pPr>
        <w:rPr>
          <w:rFonts w:ascii="宋体" w:hAnsi="宋体" w:eastAsia="宋体"/>
          <w:sz w:val="24"/>
          <w:szCs w:val="24"/>
        </w:rPr>
      </w:pPr>
      <w:bookmarkStart w:id="64" w:name="field_0_allproxysaletables_1_end"/>
      <w:bookmarkEnd w:id="64"/>
      <w:r>
        <w:rPr>
          <w:rFonts w:ascii="宋体" w:hAnsi="宋体" w:eastAsia="宋体"/>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基金管理人可根据有关法律、法规的要求，选择其他符合要求的机构代理销售本基金，并在基金管理人网站公示。 </w:t>
      </w:r>
    </w:p>
    <w:p>
      <w:pPr>
        <w:pStyle w:val="7"/>
        <w:spacing w:before="0" w:beforeAutospacing="0" w:after="0" w:afterAutospacing="0" w:line="360" w:lineRule="auto"/>
        <w:ind w:firstLine="420"/>
        <w:rPr>
          <w:sz w:val="21"/>
          <w:szCs w:val="21"/>
        </w:rPr>
      </w:pPr>
      <w:r>
        <w:rPr>
          <w:rFonts w:hint="eastAsia"/>
          <w:sz w:val="21"/>
          <w:szCs w:val="21"/>
        </w:rPr>
        <w:t>基金销售机构的具体名单见基金份额发售公告，基金管理人可依据实际情况增减、变更</w:t>
      </w:r>
      <w:bookmarkStart w:id="65" w:name="chapter_level1_7_56_section_2_end"/>
      <w:bookmarkEnd w:id="65"/>
      <w:r>
        <w:rPr>
          <w:rFonts w:hint="eastAsia"/>
          <w:sz w:val="21"/>
          <w:szCs w:val="21"/>
        </w:rPr>
        <w:t xml:space="preserve">基金销售机构。 </w:t>
      </w:r>
    </w:p>
    <w:p>
      <w:pPr>
        <w:pStyle w:val="7"/>
        <w:spacing w:before="0" w:beforeAutospacing="0" w:after="0" w:afterAutospacing="0" w:line="360" w:lineRule="auto"/>
        <w:ind w:firstLine="420"/>
        <w:rPr>
          <w:sz w:val="21"/>
          <w:szCs w:val="21"/>
        </w:rPr>
      </w:pPr>
      <w:bookmarkStart w:id="66" w:name="chapter_level1_7_56_section_3"/>
      <w:bookmarkEnd w:id="66"/>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负责人：俞卫锋 </w:t>
      </w:r>
    </w:p>
    <w:p>
      <w:pPr>
        <w:pStyle w:val="7"/>
        <w:spacing w:before="0" w:beforeAutospacing="0" w:after="0" w:afterAutospacing="0" w:line="360" w:lineRule="auto"/>
        <w:ind w:firstLine="420"/>
        <w:rPr>
          <w:sz w:val="21"/>
          <w:szCs w:val="21"/>
        </w:rPr>
      </w:pPr>
      <w:r>
        <w:rPr>
          <w:rFonts w:hint="eastAsia"/>
          <w:sz w:val="21"/>
          <w:szCs w:val="21"/>
        </w:rPr>
        <w:t xml:space="preserve">电话： 021- 31358666 </w:t>
      </w:r>
    </w:p>
    <w:p>
      <w:pPr>
        <w:pStyle w:val="7"/>
        <w:spacing w:before="0" w:beforeAutospacing="0" w:after="0" w:afterAutospacing="0" w:line="360" w:lineRule="auto"/>
        <w:ind w:firstLine="420"/>
        <w:rPr>
          <w:sz w:val="21"/>
          <w:szCs w:val="21"/>
        </w:rPr>
      </w:pPr>
      <w:r>
        <w:rPr>
          <w:rFonts w:hint="eastAsia"/>
          <w:sz w:val="21"/>
          <w:szCs w:val="21"/>
        </w:rPr>
        <w:t xml:space="preserve">传真： 021- 31358600 </w:t>
      </w:r>
    </w:p>
    <w:p>
      <w:pPr>
        <w:pStyle w:val="7"/>
        <w:spacing w:before="0" w:beforeAutospacing="0" w:after="0" w:afterAutospacing="0" w:line="360" w:lineRule="auto"/>
        <w:ind w:firstLine="420"/>
        <w:rPr>
          <w:sz w:val="21"/>
          <w:szCs w:val="21"/>
        </w:rPr>
      </w:pPr>
      <w:r>
        <w:rPr>
          <w:rFonts w:hint="eastAsia"/>
          <w:sz w:val="21"/>
          <w:szCs w:val="21"/>
        </w:rPr>
        <w:t xml:space="preserve">联系人：安冬 </w:t>
      </w:r>
    </w:p>
    <w:p>
      <w:pPr>
        <w:pStyle w:val="7"/>
        <w:spacing w:before="0" w:beforeAutospacing="0" w:after="0" w:afterAutospacing="0" w:line="360" w:lineRule="auto"/>
        <w:ind w:firstLine="420"/>
        <w:rPr>
          <w:sz w:val="21"/>
          <w:szCs w:val="21"/>
        </w:rPr>
      </w:pPr>
      <w:r>
        <w:rPr>
          <w:rFonts w:hint="eastAsia"/>
          <w:sz w:val="21"/>
          <w:szCs w:val="21"/>
        </w:rPr>
        <w:t xml:space="preserve">经办律师：安冬、孙睿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69" w:name="field_0_accountingcompanyinfo_1_start"/>
      <w:bookmarkEnd w:id="69"/>
      <w:r>
        <w:rPr>
          <w:rFonts w:hint="eastAsia"/>
          <w:sz w:val="21"/>
          <w:szCs w:val="21"/>
        </w:rPr>
        <w:t xml:space="preserve">名称：容诚会计师事务所（特殊普通合伙）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pPr>
        <w:pStyle w:val="7"/>
        <w:spacing w:before="0" w:beforeAutospacing="0" w:after="0" w:afterAutospacing="0" w:line="360" w:lineRule="auto"/>
        <w:ind w:firstLine="420"/>
        <w:rPr>
          <w:sz w:val="21"/>
          <w:szCs w:val="21"/>
        </w:rPr>
      </w:pPr>
      <w:r>
        <w:rPr>
          <w:rFonts w:hint="eastAsia"/>
          <w:sz w:val="21"/>
          <w:szCs w:val="21"/>
        </w:rPr>
        <w:t xml:space="preserve">传真：010-66001392 </w:t>
      </w:r>
    </w:p>
    <w:p>
      <w:pPr>
        <w:pStyle w:val="7"/>
        <w:spacing w:before="0" w:beforeAutospacing="0" w:after="0" w:afterAutospacing="0" w:line="360" w:lineRule="auto"/>
        <w:ind w:firstLine="420"/>
        <w:rPr>
          <w:sz w:val="21"/>
          <w:szCs w:val="21"/>
        </w:rPr>
      </w:pPr>
      <w:r>
        <w:rPr>
          <w:rFonts w:hint="eastAsia"/>
          <w:sz w:val="21"/>
          <w:szCs w:val="21"/>
        </w:rPr>
        <w:t xml:space="preserve">联系人：吴琳杰 </w:t>
      </w:r>
    </w:p>
    <w:p>
      <w:pPr>
        <w:pStyle w:val="7"/>
        <w:spacing w:before="0" w:beforeAutospacing="0" w:after="0" w:afterAutospacing="0" w:line="360" w:lineRule="auto"/>
        <w:ind w:firstLine="420"/>
        <w:rPr>
          <w:sz w:val="21"/>
          <w:szCs w:val="21"/>
        </w:rPr>
      </w:pPr>
      <w:bookmarkStart w:id="70" w:name="chapter_level1_7_56_section_3_end"/>
      <w:bookmarkEnd w:id="70"/>
      <w:r>
        <w:rPr>
          <w:rFonts w:hint="eastAsia"/>
          <w:sz w:val="21"/>
          <w:szCs w:val="21"/>
        </w:rPr>
        <w:t xml:space="preserve">经办注册会计师：薛竞 吴琳杰 </w:t>
      </w:r>
      <w:bookmarkStart w:id="71" w:name="field_0_accountingcompanyinfo_1_end"/>
      <w:bookmarkEnd w:id="7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2" w:name="chapter_level1_9_58"/>
      <w:bookmarkStart w:id="73" w:name="_Toc207980075"/>
      <w:r>
        <w:rPr>
          <w:rFonts w:hint="eastAsia" w:ascii="宋体" w:hAnsi="宋体" w:eastAsia="宋体"/>
          <w:sz w:val="30"/>
        </w:rPr>
        <w:t>第六部分 基金的募集与基金合同的生效</w:t>
      </w:r>
      <w:bookmarkEnd w:id="72"/>
      <w:bookmarkEnd w:id="73"/>
    </w:p>
    <w:p>
      <w:pPr>
        <w:pStyle w:val="7"/>
        <w:spacing w:before="0" w:beforeAutospacing="0" w:after="0" w:afterAutospacing="0" w:line="360" w:lineRule="auto"/>
        <w:ind w:firstLine="420"/>
        <w:rPr>
          <w:sz w:val="21"/>
          <w:szCs w:val="21"/>
        </w:rPr>
      </w:pPr>
      <w:bookmarkStart w:id="74" w:name="chapter_level1_9_58_section_1"/>
      <w:bookmarkEnd w:id="74"/>
      <w:r>
        <w:rPr>
          <w:rStyle w:val="11"/>
          <w:rFonts w:hint="eastAsia"/>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基金管理人按照《基金法》、《运作办法》、《销售办法》、基金合同及其他有关规定募集本基金，并经中国证监会证监许可</w:t>
      </w:r>
      <w:bookmarkStart w:id="75" w:name="field_2343_lotnumber_2"/>
      <w:r>
        <w:rPr>
          <w:sz w:val="21"/>
          <w:szCs w:val="21"/>
        </w:rPr>
        <w:t>[2014]1251</w:t>
      </w:r>
      <w:bookmarkEnd w:id="75"/>
      <w:r>
        <w:rPr>
          <w:rFonts w:hint="eastAsia"/>
          <w:sz w:val="21"/>
          <w:szCs w:val="21"/>
        </w:rPr>
        <w:t>号文注册募集。募集期从</w:t>
      </w:r>
      <w:bookmarkStart w:id="76" w:name="field_58_raisebegindate_1"/>
      <w:r>
        <w:rPr>
          <w:sz w:val="21"/>
          <w:szCs w:val="21"/>
        </w:rPr>
        <w:t>2015年1月9日</w:t>
      </w:r>
      <w:bookmarkEnd w:id="76"/>
      <w:r>
        <w:rPr>
          <w:rFonts w:hint="eastAsia"/>
          <w:sz w:val="21"/>
          <w:szCs w:val="21"/>
        </w:rPr>
        <w:t>起至</w:t>
      </w:r>
      <w:bookmarkStart w:id="77" w:name="field_58_raiseenddate_1"/>
      <w:r>
        <w:rPr>
          <w:sz w:val="21"/>
          <w:szCs w:val="21"/>
        </w:rPr>
        <w:t>2015年1月22日</w:t>
      </w:r>
      <w:bookmarkEnd w:id="77"/>
      <w:r>
        <w:rPr>
          <w:rFonts w:hint="eastAsia"/>
          <w:sz w:val="21"/>
          <w:szCs w:val="21"/>
        </w:rPr>
        <w:t>止，共募集</w:t>
      </w:r>
      <w:bookmarkStart w:id="78" w:name="field_58_raisetotal_1"/>
      <w:r>
        <w:rPr>
          <w:sz w:val="21"/>
          <w:szCs w:val="21"/>
        </w:rPr>
        <w:t>2,371,474,753.32</w:t>
      </w:r>
      <w:bookmarkEnd w:id="78"/>
      <w:r>
        <w:rPr>
          <w:rFonts w:hint="eastAsia"/>
          <w:sz w:val="21"/>
          <w:szCs w:val="21"/>
        </w:rPr>
        <w:t>份基金份额，募集户数为</w:t>
      </w:r>
      <w:bookmarkStart w:id="79" w:name="field_58_effectivetotal_1"/>
      <w:r>
        <w:rPr>
          <w:sz w:val="21"/>
          <w:szCs w:val="21"/>
        </w:rPr>
        <w:t>21,471</w:t>
      </w:r>
      <w:bookmarkEnd w:id="79"/>
      <w:r>
        <w:rPr>
          <w:rFonts w:hint="eastAsia"/>
          <w:sz w:val="21"/>
          <w:szCs w:val="21"/>
        </w:rPr>
        <w:t xml:space="preserve">户。 </w:t>
      </w:r>
    </w:p>
    <w:p>
      <w:pPr>
        <w:pStyle w:val="7"/>
        <w:spacing w:before="0" w:beforeAutospacing="0" w:after="0" w:afterAutospacing="0" w:line="360" w:lineRule="auto"/>
        <w:ind w:firstLine="420"/>
        <w:rPr>
          <w:sz w:val="21"/>
          <w:szCs w:val="21"/>
        </w:rPr>
      </w:pPr>
      <w:r>
        <w:rPr>
          <w:rStyle w:val="11"/>
          <w:rFonts w:hint="eastAsia"/>
          <w:sz w:val="21"/>
          <w:szCs w:val="21"/>
        </w:rPr>
        <w:t>二、基金合同的生效</w:t>
      </w:r>
    </w:p>
    <w:p>
      <w:pPr>
        <w:pStyle w:val="7"/>
        <w:spacing w:before="0" w:beforeAutospacing="0" w:after="0" w:afterAutospacing="0" w:line="360" w:lineRule="auto"/>
        <w:ind w:firstLine="420"/>
        <w:rPr>
          <w:sz w:val="21"/>
          <w:szCs w:val="21"/>
        </w:rPr>
      </w:pPr>
      <w:bookmarkStart w:id="80" w:name="chapter_level1_9_58_section_1_end"/>
      <w:bookmarkEnd w:id="80"/>
      <w:r>
        <w:rPr>
          <w:rFonts w:hint="eastAsia"/>
          <w:sz w:val="21"/>
          <w:szCs w:val="21"/>
        </w:rPr>
        <w:t>本基金的基金合同已于</w:t>
      </w:r>
      <w:bookmarkStart w:id="81" w:name="field_0_foundday_1"/>
      <w:r>
        <w:rPr>
          <w:sz w:val="21"/>
          <w:szCs w:val="21"/>
        </w:rPr>
        <w:t>2015年1月26日</w:t>
      </w:r>
      <w:bookmarkEnd w:id="81"/>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2" w:name="chapter_level1_9_58_section_2"/>
      <w:bookmarkEnd w:id="82"/>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本基金的基金合同生效三年后（指基金合同生效之日起三年后的对应日），若基金资产净值低于两亿元的，基金合同自动终止。 </w:t>
      </w:r>
    </w:p>
    <w:p>
      <w:pPr>
        <w:pStyle w:val="7"/>
        <w:spacing w:before="0" w:beforeAutospacing="0" w:after="0" w:afterAutospacing="0" w:line="360" w:lineRule="auto"/>
        <w:ind w:firstLine="420"/>
        <w:rPr>
          <w:sz w:val="21"/>
          <w:szCs w:val="21"/>
        </w:rPr>
      </w:pPr>
      <w:r>
        <w:rPr>
          <w:rFonts w:hint="eastAsia"/>
          <w:sz w:val="21"/>
          <w:szCs w:val="21"/>
        </w:rPr>
        <w:t>本基金在基金合同生效三年后继续存续的，连续20个工作日出现基金份额持有人数量不满</w:t>
      </w:r>
      <w:bookmarkStart w:id="83" w:name="field_58_minsubnumber_1"/>
      <w:r>
        <w:rPr>
          <w:sz w:val="21"/>
          <w:szCs w:val="21"/>
        </w:rPr>
        <w:t>200</w:t>
      </w:r>
      <w:bookmarkEnd w:id="83"/>
      <w:r>
        <w:rPr>
          <w:rFonts w:hint="eastAsia"/>
          <w:sz w:val="21"/>
          <w:szCs w:val="21"/>
        </w:rPr>
        <w:t xml:space="preserve">人或者基金资产净值低于5000万元情形的，基金管理人应当在定期报告中予以披露。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份额持有人数量不满200人或者基金资产净值低于5000万元情形的，本基金将与基金管理人管理的其他混合型基金合并，无需召开基金份额持有人大会，但应向中国证监会报告。 </w:t>
      </w:r>
    </w:p>
    <w:p>
      <w:pPr>
        <w:pStyle w:val="7"/>
        <w:spacing w:before="0" w:beforeAutospacing="0" w:after="0" w:afterAutospacing="0" w:line="360" w:lineRule="auto"/>
        <w:ind w:firstLine="420"/>
        <w:rPr>
          <w:sz w:val="21"/>
          <w:szCs w:val="21"/>
        </w:rPr>
      </w:pPr>
      <w:bookmarkStart w:id="84" w:name="chapter_level1_9_58_section_2_end"/>
      <w:bookmarkEnd w:id="84"/>
      <w:r>
        <w:rPr>
          <w:rFonts w:hint="eastAsia"/>
          <w:sz w:val="21"/>
          <w:szCs w:val="21"/>
        </w:rPr>
        <w:t xml:space="preserve">法律法规另有规定时，从其规定。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5" w:name="chapter_level1_10_59"/>
      <w:bookmarkStart w:id="86" w:name="_Toc207980076"/>
      <w:r>
        <w:rPr>
          <w:rFonts w:hint="eastAsia" w:ascii="宋体" w:hAnsi="宋体" w:eastAsia="宋体"/>
          <w:sz w:val="30"/>
        </w:rPr>
        <w:t>第七部分  基金份额的申购与赎回</w:t>
      </w:r>
      <w:bookmarkEnd w:id="85"/>
      <w:bookmarkEnd w:id="86"/>
    </w:p>
    <w:p>
      <w:pPr>
        <w:pStyle w:val="7"/>
        <w:spacing w:before="0" w:beforeAutospacing="0" w:after="0" w:afterAutospacing="0" w:line="360" w:lineRule="auto"/>
        <w:ind w:firstLine="420"/>
        <w:rPr>
          <w:sz w:val="21"/>
          <w:szCs w:val="21"/>
        </w:rPr>
      </w:pPr>
      <w:bookmarkStart w:id="87" w:name="chapter_level1_10_59_section_1"/>
      <w:bookmarkEnd w:id="87"/>
      <w:r>
        <w:rPr>
          <w:rStyle w:val="11"/>
          <w:rFonts w:hint="eastAsia"/>
          <w:sz w:val="21"/>
          <w:szCs w:val="21"/>
        </w:rPr>
        <w:t>一、申购与赎回的场所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88" w:name="chapter_level1_10_59_section_1_end"/>
      <w:bookmarkEnd w:id="88"/>
      <w:r>
        <w:rPr>
          <w:rFonts w:hint="eastAsia"/>
          <w:sz w:val="21"/>
          <w:szCs w:val="21"/>
        </w:rPr>
        <w:t xml:space="preserve">办理基金份额的申购与赎回。 </w:t>
      </w:r>
    </w:p>
    <w:p>
      <w:pPr>
        <w:pStyle w:val="7"/>
        <w:spacing w:before="0" w:beforeAutospacing="0" w:after="0" w:afterAutospacing="0" w:line="360" w:lineRule="auto"/>
        <w:ind w:firstLine="420"/>
        <w:rPr>
          <w:sz w:val="21"/>
          <w:szCs w:val="21"/>
        </w:rPr>
      </w:pPr>
      <w:bookmarkStart w:id="89" w:name="chapter_level1_10_59_section_2"/>
      <w:bookmarkEnd w:id="89"/>
      <w:r>
        <w:rPr>
          <w:rStyle w:val="11"/>
          <w:rFonts w:hint="eastAsia"/>
          <w:sz w:val="21"/>
          <w:szCs w:val="21"/>
        </w:rPr>
        <w:t>二、申购与赎回办理的开放日及时间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 xml:space="preserve">本基金已于2015年3月5日起开放日常申购、赎回业务。 </w:t>
      </w:r>
    </w:p>
    <w:p>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0" w:name="chapter_level1_10_59_section_2_end"/>
      <w:bookmarkEnd w:id="90"/>
      <w:r>
        <w:rPr>
          <w:rFonts w:hint="eastAsia"/>
          <w:sz w:val="21"/>
          <w:szCs w:val="21"/>
        </w:rPr>
        <w:t xml:space="preserve">受的，其基金份额申购、赎回价格为该类别下一开放日基金份额申购、赎回的价格。 </w:t>
      </w:r>
    </w:p>
    <w:p>
      <w:pPr>
        <w:pStyle w:val="7"/>
        <w:spacing w:before="0" w:beforeAutospacing="0" w:after="0" w:afterAutospacing="0" w:line="360" w:lineRule="auto"/>
        <w:ind w:firstLine="420"/>
        <w:rPr>
          <w:sz w:val="21"/>
          <w:szCs w:val="21"/>
        </w:rPr>
      </w:pPr>
      <w:bookmarkStart w:id="91" w:name="chapter_level1_10_59_section_3"/>
      <w:bookmarkEnd w:id="91"/>
      <w:r>
        <w:rPr>
          <w:rFonts w:hint="eastAsia"/>
          <w:b/>
          <w:bCs/>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 xml:space="preserve">1、投资人通过销售机构申购本基金A类份额单笔最低申购金额为1.00元，即首次申购的最低金额为1.00元，追加申购最低金额为1.00元。投资人通过销售机构申购本基金C类份额单笔最低申购金额调整为10.00元，即首次申购的最低金额为10.00元，追加申购最低金额为10.00元。各销售机构在不低于上述规定的前提下，可根据自己的情况调整首次申购、定期定额投资的最低金额限制，投资人在销售机构办理相关业务时，需遵循销售机构的相关约定。 </w:t>
      </w:r>
    </w:p>
    <w:p>
      <w:pPr>
        <w:pStyle w:val="7"/>
        <w:spacing w:before="0" w:beforeAutospacing="0" w:after="0" w:afterAutospacing="0" w:line="360" w:lineRule="auto"/>
        <w:ind w:firstLine="420"/>
        <w:rPr>
          <w:sz w:val="21"/>
          <w:szCs w:val="21"/>
        </w:rPr>
      </w:pPr>
      <w:r>
        <w:rPr>
          <w:rFonts w:hint="eastAsia"/>
          <w:sz w:val="21"/>
          <w:szCs w:val="21"/>
        </w:rPr>
        <w:t xml:space="preserve">2、本基金A类份额的每个交易账户最低持有基金份额为1.00份，若某笔赎回导致单个交易账户的基金份额余额少于1.00份时，余额部分基金份额必须一同赎回，本基金A类份额的每个交易账户最低赎回份额为1.00份，本基金A类份额最低转换份额为1.00份。本基金C类份额的每个交易账户最低持有基金份额为10.00份，若某笔赎回导致单个交易账户的基金份额余额少于10.00份时，余额部分基金份额必须一同赎回，本基金C类份额的每个交易账户最低赎回份额为10.00份，本基金C类份额最低转换份额为10.00份。 </w:t>
      </w:r>
    </w:p>
    <w:p>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法律法规、监管机构另有规定或基金合同另有约定的除外； </w:t>
      </w:r>
    </w:p>
    <w:p>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成功后，基金管理人将在T＋7日(包括该日)内支付赎回款项。在发生巨额赎回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则申购款项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基金份额持有人递交赎回申请，赎回成立；登记机构确认赎回时，赎回生效。 </w:t>
      </w:r>
    </w:p>
    <w:p>
      <w:pPr>
        <w:pStyle w:val="7"/>
        <w:spacing w:before="0" w:beforeAutospacing="0" w:after="0" w:afterAutospacing="0" w:line="360" w:lineRule="auto"/>
        <w:ind w:firstLine="420"/>
        <w:rPr>
          <w:sz w:val="21"/>
          <w:szCs w:val="21"/>
        </w:rPr>
      </w:pPr>
      <w:r>
        <w:rPr>
          <w:rFonts w:hint="eastAsia"/>
          <w:b/>
          <w:bCs/>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pPr>
        <w:pStyle w:val="7"/>
        <w:spacing w:before="0" w:beforeAutospacing="0" w:after="0" w:afterAutospacing="0" w:line="360" w:lineRule="auto"/>
        <w:ind w:firstLine="420"/>
        <w:jc w:val="center"/>
        <w:rPr>
          <w:sz w:val="21"/>
          <w:szCs w:val="21"/>
        </w:rPr>
      </w:pPr>
      <w:r>
        <w:rPr>
          <w:rFonts w:hint="eastAsia"/>
          <w:sz w:val="21"/>
          <w:szCs w:val="21"/>
        </w:rPr>
        <w:t xml:space="preserve">表1：本基金份额的申购费率 </w:t>
      </w:r>
    </w:p>
    <w:tbl>
      <w:tblPr>
        <w:tblStyle w:val="9"/>
        <w:tblW w:w="7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2584"/>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认购/申购金额（M）  </w:t>
            </w:r>
          </w:p>
        </w:tc>
        <w:tc>
          <w:tcPr>
            <w:tcW w:w="2580" w:type="dxa"/>
            <w:shd w:val="clear" w:color="auto" w:fill="auto"/>
          </w:tcPr>
          <w:p>
            <w:pPr>
              <w:pStyle w:val="7"/>
              <w:ind w:firstLine="420"/>
              <w:jc w:val="center"/>
            </w:pPr>
            <w:r>
              <w:rPr>
                <w:rFonts w:hint="eastAsia"/>
                <w:b/>
                <w:bCs/>
              </w:rPr>
              <w:t>A类基金份额申购费率</w:t>
            </w:r>
          </w:p>
        </w:tc>
        <w:tc>
          <w:tcPr>
            <w:tcW w:w="2580" w:type="dxa"/>
            <w:shd w:val="clear" w:color="auto" w:fill="auto"/>
          </w:tcPr>
          <w:p>
            <w:pPr>
              <w:pStyle w:val="7"/>
              <w:ind w:firstLine="420"/>
              <w:jc w:val="center"/>
            </w:pPr>
            <w:r>
              <w:rPr>
                <w:rFonts w:hint="eastAsia"/>
                <w:b/>
                <w:bCs/>
              </w:rPr>
              <w:t>C类基金份额申购费率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M ＜ 50万元   </w:t>
            </w:r>
          </w:p>
        </w:tc>
        <w:tc>
          <w:tcPr>
            <w:tcW w:w="2580" w:type="dxa"/>
            <w:shd w:val="clear" w:color="auto" w:fill="auto"/>
          </w:tcPr>
          <w:p>
            <w:pPr>
              <w:pStyle w:val="7"/>
              <w:jc w:val="center"/>
            </w:pPr>
            <w:r>
              <w:rPr>
                <w:rFonts w:hint="eastAsia"/>
              </w:rPr>
              <w:t xml:space="preserve">1.50%   </w:t>
            </w:r>
          </w:p>
        </w:tc>
        <w:tc>
          <w:tcPr>
            <w:tcW w:w="2580" w:type="dxa"/>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50万元 ≤ M ＜ 100万元   </w:t>
            </w:r>
          </w:p>
        </w:tc>
        <w:tc>
          <w:tcPr>
            <w:tcW w:w="2580" w:type="dxa"/>
            <w:shd w:val="clear" w:color="auto" w:fill="auto"/>
          </w:tcPr>
          <w:p>
            <w:pPr>
              <w:pStyle w:val="7"/>
              <w:jc w:val="center"/>
            </w:pPr>
            <w:r>
              <w:rPr>
                <w:rFonts w:hint="eastAsia"/>
              </w:rPr>
              <w:t xml:space="preserve">1.00%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100万元 ≤ M ＜ 500万元   </w:t>
            </w:r>
          </w:p>
        </w:tc>
        <w:tc>
          <w:tcPr>
            <w:tcW w:w="2580" w:type="dxa"/>
            <w:shd w:val="clear" w:color="auto" w:fill="auto"/>
          </w:tcPr>
          <w:p>
            <w:pPr>
              <w:pStyle w:val="7"/>
              <w:jc w:val="center"/>
            </w:pPr>
            <w:r>
              <w:rPr>
                <w:rFonts w:hint="eastAsia"/>
              </w:rPr>
              <w:t xml:space="preserve">0.60%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M ≥ 500万元   </w:t>
            </w:r>
          </w:p>
        </w:tc>
        <w:tc>
          <w:tcPr>
            <w:tcW w:w="2580" w:type="dxa"/>
            <w:shd w:val="clear" w:color="auto" w:fill="auto"/>
          </w:tcPr>
          <w:p>
            <w:pPr>
              <w:pStyle w:val="7"/>
              <w:jc w:val="center"/>
            </w:pPr>
            <w:r>
              <w:rPr>
                <w:rFonts w:hint="eastAsia"/>
              </w:rPr>
              <w:t xml:space="preserve">1000元/笔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本基金的A类基金份额的申购费用由投资人承担，主要用于本基金的市场推广、销售、登记等各项费用，不列入基金财产。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pPr>
        <w:pStyle w:val="7"/>
        <w:spacing w:before="0" w:beforeAutospacing="0" w:after="0" w:afterAutospacing="0" w:line="360" w:lineRule="auto"/>
        <w:ind w:firstLine="420"/>
        <w:jc w:val="center"/>
        <w:rPr>
          <w:sz w:val="21"/>
          <w:szCs w:val="21"/>
        </w:rPr>
      </w:pPr>
      <w:r>
        <w:rPr>
          <w:rFonts w:hint="eastAsia"/>
          <w:sz w:val="21"/>
          <w:szCs w:val="21"/>
        </w:rPr>
        <w:t xml:space="preserve">表2：本基金的赎回费率 </w:t>
      </w:r>
    </w:p>
    <w:tbl>
      <w:tblPr>
        <w:tblStyle w:val="9"/>
        <w:tblW w:w="8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9"/>
        <w:gridCol w:w="2756"/>
        <w:gridCol w:w="2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pPr>
              <w:pStyle w:val="7"/>
              <w:ind w:firstLine="422"/>
            </w:pPr>
            <w:r>
              <w:rPr>
                <w:rFonts w:hint="eastAsia"/>
                <w:b/>
                <w:bCs/>
              </w:rPr>
              <w:t>持有基金份额期限（Y）</w:t>
            </w:r>
          </w:p>
        </w:tc>
        <w:tc>
          <w:tcPr>
            <w:tcW w:w="2760" w:type="dxa"/>
            <w:shd w:val="clear" w:color="auto" w:fill="auto"/>
          </w:tcPr>
          <w:p>
            <w:pPr>
              <w:pStyle w:val="7"/>
              <w:ind w:firstLine="18"/>
              <w:jc w:val="center"/>
            </w:pPr>
            <w:r>
              <w:rPr>
                <w:rFonts w:hint="eastAsia"/>
                <w:b/>
                <w:bCs/>
              </w:rPr>
              <w:t>A类基金份额赎回费率</w:t>
            </w:r>
          </w:p>
        </w:tc>
        <w:tc>
          <w:tcPr>
            <w:tcW w:w="2265" w:type="dxa"/>
            <w:shd w:val="clear" w:color="auto" w:fill="auto"/>
          </w:tcPr>
          <w:p>
            <w:pPr>
              <w:pStyle w:val="7"/>
              <w:jc w:val="center"/>
            </w:pPr>
            <w:r>
              <w:rPr>
                <w:rFonts w:hint="eastAsia"/>
                <w:b/>
                <w:bCs/>
              </w:rPr>
              <w:t>C类基金份额赎回费率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pPr>
              <w:pStyle w:val="7"/>
              <w:ind w:firstLine="420"/>
            </w:pPr>
            <w:r>
              <w:rPr>
                <w:rFonts w:hint="eastAsia"/>
              </w:rPr>
              <w:t xml:space="preserve">Y ＜7日  </w:t>
            </w:r>
          </w:p>
        </w:tc>
        <w:tc>
          <w:tcPr>
            <w:tcW w:w="2760" w:type="dxa"/>
            <w:shd w:val="clear" w:color="auto" w:fill="auto"/>
          </w:tcPr>
          <w:p>
            <w:pPr>
              <w:pStyle w:val="7"/>
              <w:ind w:firstLine="420"/>
            </w:pPr>
            <w:r>
              <w:rPr>
                <w:rFonts w:hint="eastAsia"/>
              </w:rPr>
              <w:t xml:space="preserve">1.50%  </w:t>
            </w:r>
          </w:p>
        </w:tc>
        <w:tc>
          <w:tcPr>
            <w:tcW w:w="2265" w:type="dxa"/>
            <w:shd w:val="clear" w:color="auto" w:fill="auto"/>
          </w:tcPr>
          <w:p>
            <w:pPr>
              <w:pStyle w:val="7"/>
              <w:jc w:val="center"/>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pPr>
              <w:pStyle w:val="7"/>
              <w:ind w:firstLine="420"/>
            </w:pPr>
            <w:r>
              <w:rPr>
                <w:rFonts w:hint="eastAsia"/>
              </w:rPr>
              <w:t xml:space="preserve">7日≤ Y＜30日  </w:t>
            </w:r>
          </w:p>
        </w:tc>
        <w:tc>
          <w:tcPr>
            <w:tcW w:w="2760" w:type="dxa"/>
            <w:shd w:val="clear" w:color="auto" w:fill="auto"/>
          </w:tcPr>
          <w:p>
            <w:pPr>
              <w:pStyle w:val="7"/>
              <w:ind w:firstLine="420"/>
            </w:pPr>
            <w:r>
              <w:rPr>
                <w:rFonts w:hint="eastAsia"/>
              </w:rPr>
              <w:t xml:space="preserve">0.75%  </w:t>
            </w:r>
          </w:p>
        </w:tc>
        <w:tc>
          <w:tcPr>
            <w:tcW w:w="2265" w:type="dxa"/>
            <w:shd w:val="clear" w:color="auto" w:fill="auto"/>
          </w:tcPr>
          <w:p>
            <w:pPr>
              <w:pStyle w:val="7"/>
              <w:ind w:firstLine="64"/>
              <w:jc w:val="center"/>
            </w:pPr>
            <w:r>
              <w:rPr>
                <w:rFonts w:hint="eastAsia"/>
              </w:rPr>
              <w:t xml:space="preserve">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pPr>
              <w:pStyle w:val="7"/>
              <w:ind w:firstLine="420"/>
            </w:pPr>
            <w:r>
              <w:rPr>
                <w:rFonts w:hint="eastAsia"/>
              </w:rPr>
              <w:t xml:space="preserve">30日≤ Y＜2年  </w:t>
            </w:r>
          </w:p>
        </w:tc>
        <w:tc>
          <w:tcPr>
            <w:tcW w:w="2760" w:type="dxa"/>
            <w:shd w:val="clear" w:color="auto" w:fill="auto"/>
          </w:tcPr>
          <w:p>
            <w:pPr>
              <w:pStyle w:val="7"/>
              <w:ind w:firstLine="420"/>
            </w:pPr>
            <w:r>
              <w:rPr>
                <w:rFonts w:hint="eastAsia"/>
              </w:rPr>
              <w:t xml:space="preserve">0.50%  </w:t>
            </w:r>
          </w:p>
        </w:tc>
        <w:tc>
          <w:tcPr>
            <w:tcW w:w="2265" w:type="dxa"/>
            <w:vMerge w:val="restart"/>
            <w:shd w:val="clear" w:color="auto" w:fill="auto"/>
          </w:tcPr>
          <w:p>
            <w:pPr>
              <w:pStyle w:val="7"/>
              <w:ind w:firstLine="64"/>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pPr>
              <w:pStyle w:val="7"/>
              <w:ind w:firstLine="420"/>
            </w:pPr>
            <w:r>
              <w:rPr>
                <w:rFonts w:hint="eastAsia"/>
              </w:rPr>
              <w:t xml:space="preserve">2年 ≤ Y ＜ 3年   </w:t>
            </w:r>
          </w:p>
        </w:tc>
        <w:tc>
          <w:tcPr>
            <w:tcW w:w="2760" w:type="dxa"/>
            <w:shd w:val="clear" w:color="auto" w:fill="auto"/>
          </w:tcPr>
          <w:p>
            <w:pPr>
              <w:pStyle w:val="7"/>
              <w:ind w:firstLine="420"/>
            </w:pPr>
            <w:r>
              <w:rPr>
                <w:rFonts w:hint="eastAsia"/>
              </w:rPr>
              <w:t xml:space="preserve">0.25%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pPr>
              <w:pStyle w:val="7"/>
              <w:ind w:firstLine="420"/>
            </w:pPr>
            <w:r>
              <w:rPr>
                <w:rFonts w:hint="eastAsia"/>
              </w:rPr>
              <w:t xml:space="preserve">Y ≥ 3年   </w:t>
            </w:r>
          </w:p>
        </w:tc>
        <w:tc>
          <w:tcPr>
            <w:tcW w:w="2760" w:type="dxa"/>
            <w:shd w:val="clear" w:color="auto" w:fill="auto"/>
          </w:tcPr>
          <w:p>
            <w:pPr>
              <w:pStyle w:val="7"/>
              <w:ind w:firstLine="420"/>
            </w:pPr>
            <w:r>
              <w:rPr>
                <w:rFonts w:hint="eastAsia"/>
              </w:rPr>
              <w:t xml:space="preserve">0.00%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注：1年指365日 </w:t>
      </w:r>
    </w:p>
    <w:p>
      <w:pPr>
        <w:pStyle w:val="7"/>
        <w:spacing w:before="0" w:beforeAutospacing="0" w:after="0" w:afterAutospacing="0" w:line="360" w:lineRule="auto"/>
        <w:ind w:firstLine="420"/>
        <w:rPr>
          <w:sz w:val="21"/>
          <w:szCs w:val="21"/>
        </w:rPr>
      </w:pPr>
      <w:r>
        <w:rPr>
          <w:rFonts w:hint="eastAsia"/>
          <w:sz w:val="21"/>
          <w:szCs w:val="21"/>
        </w:rPr>
        <w:t xml:space="preserve">来源：博时基金 </w:t>
      </w:r>
    </w:p>
    <w:p>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持续持有期少于30日的A类基金份额投资人收取的赎回费全额计入基金财产；对持续持有期少于3个月的A类基金份额投资人收取的赎回费，将不低于赎回费总额的75%计入基金财产；对持续持有期长于3个月但少于6个月的A类基金份额投资人收取的赎回费，将不低于赎回费总额的50%计入基金财产；对持续持有期长于6个月的A类基金份额投资人，将不低于赎回费总额的25%计入基金财产。对于持续持有少于30日的C类基金份额投资人收取的赎回费全额计入基金财产。未归入基金财产的部分用于支付登记费和其他必要的手续费。 </w:t>
      </w:r>
    </w:p>
    <w:p>
      <w:pPr>
        <w:pStyle w:val="7"/>
        <w:spacing w:before="0" w:beforeAutospacing="0" w:after="0" w:afterAutospacing="0" w:line="360" w:lineRule="auto"/>
        <w:ind w:firstLine="420"/>
        <w:rPr>
          <w:sz w:val="21"/>
          <w:szCs w:val="21"/>
        </w:rPr>
      </w:pPr>
      <w:r>
        <w:rPr>
          <w:rFonts w:hint="eastAsia"/>
          <w:sz w:val="21"/>
          <w:szCs w:val="21"/>
        </w:rPr>
        <w:t xml:space="preserve">赎回费持有期：对于每份申购份额，持有期指自该基金份额申购确认日至赎回确认日（不含该日）。 </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申购份额=申购金额/T日C类基金份额净值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pPr>
        <w:pStyle w:val="7"/>
        <w:spacing w:before="0" w:beforeAutospacing="0" w:after="0" w:afterAutospacing="0" w:line="360" w:lineRule="auto"/>
        <w:ind w:firstLine="420"/>
        <w:rPr>
          <w:sz w:val="21"/>
          <w:szCs w:val="21"/>
        </w:rPr>
      </w:pPr>
      <w:r>
        <w:rPr>
          <w:rFonts w:hint="eastAsia"/>
          <w:sz w:val="21"/>
          <w:szCs w:val="21"/>
        </w:rPr>
        <w:t xml:space="preserve"> 例1：假定T日A类基金份额净值为1.056元，某投资人本次申购本基金A类基金份额40万元，对应的本次申购费率为1.50%，该投资人可得到的A类基金份额为：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pPr>
        <w:pStyle w:val="7"/>
        <w:spacing w:before="0" w:beforeAutospacing="0" w:after="0" w:afterAutospacing="0" w:line="360" w:lineRule="auto"/>
        <w:ind w:firstLine="420"/>
        <w:rPr>
          <w:sz w:val="21"/>
          <w:szCs w:val="21"/>
        </w:rPr>
      </w:pPr>
      <w:r>
        <w:rPr>
          <w:rFonts w:hint="eastAsia"/>
          <w:sz w:val="21"/>
          <w:szCs w:val="21"/>
        </w:rPr>
        <w:t xml:space="preserve">申购费用=400,000-394,088.67＝5,911.33元 </w:t>
      </w:r>
    </w:p>
    <w:p>
      <w:pPr>
        <w:pStyle w:val="7"/>
        <w:spacing w:before="0" w:beforeAutospacing="0" w:after="0" w:afterAutospacing="0" w:line="360" w:lineRule="auto"/>
        <w:ind w:firstLine="420"/>
        <w:rPr>
          <w:sz w:val="21"/>
          <w:szCs w:val="21"/>
        </w:rPr>
      </w:pPr>
      <w:r>
        <w:rPr>
          <w:rFonts w:hint="eastAsia"/>
          <w:sz w:val="21"/>
          <w:szCs w:val="21"/>
        </w:rPr>
        <w:t xml:space="preserve">申购份额=394,088.67/1.056＝373,190.03份 </w:t>
      </w:r>
    </w:p>
    <w:p>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即：投资人投资40万元申购本基金A类基金份额，假定申购当日A类基金份额净值为1.056元，可得到373,190.03份A类基金份额。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例2：假定T日A类基金份额净值为1.056元，某投资人投资600万元申购本基金A类基金份额，其对应的申购费用为1000元，则其可得到的A类申购份额为：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申购份额＝5,999,000/1.056＝5,680,871.21份 </w:t>
      </w:r>
    </w:p>
    <w:p>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即，投资人投资600万元申购本基金A类基金份额，假定申购当日A类基金份额净值为1.056元，可得到5,680,871.21份A类基金份额。 </w:t>
      </w:r>
    </w:p>
    <w:p>
      <w:pPr>
        <w:pStyle w:val="7"/>
        <w:spacing w:before="0" w:beforeAutospacing="0" w:after="0" w:afterAutospacing="0" w:line="360" w:lineRule="auto"/>
        <w:ind w:firstLine="420"/>
        <w:rPr>
          <w:sz w:val="21"/>
          <w:szCs w:val="21"/>
        </w:rPr>
      </w:pPr>
      <w:r>
        <w:rPr>
          <w:rFonts w:hint="eastAsia"/>
          <w:sz w:val="21"/>
          <w:szCs w:val="21"/>
        </w:rPr>
        <w:t xml:space="preserve">例3：假定T日C类基金份额净值为1.056元，某投资人本次申购本基金C类基金份额40万元，则可得到的申购份额为：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申购份额＝400,000/1.056＝378,787.88份 </w:t>
      </w:r>
    </w:p>
    <w:p>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即：投资人投资40万元申购本基金C类基金份额，假定申购当日C类基金份额净值为1.056元，可得到378,787.88份C类基金份额。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 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赎回总金额=10,000×1.250=12,500.00 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 xml:space="preserve">3、本基金份额净值的计算，保留到小数点后3位，小数点后第4位四舍五入，由此产生的收益或损失由基金财产承担。T日的基金份额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4、申购份额余额的处理方式：申购的有效份额为净申购金额除以当日的基金份额净值，有效份额单位为份，上述计算结果均按四舍五入方法，保留到小数点后2位，由此产生的收益或损失由基金财产承担。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5、赎回金额的处理方式：赎回金额为按实际确认的有效赎回份额乘以当日基金份额净值并扣除相应的费用，赎回金额单位为元。上述计算结果均按四舍五入，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6、基金管理人可以在不违背法律法规规定及《基金合同》约定的情形下根据市场情况制定基金促销计划，针对投资者定期或不定期地开展基金促销活动。在基金促销活动期间，按相关监管部门要求履行必要手续后，基金管理人可以适当调低基金申购费率和基金赎回费率，并进行公告。 </w:t>
      </w:r>
    </w:p>
    <w:p>
      <w:pPr>
        <w:pStyle w:val="7"/>
        <w:spacing w:before="0" w:beforeAutospacing="0" w:after="0" w:afterAutospacing="0" w:line="360" w:lineRule="auto"/>
        <w:ind w:firstLine="420"/>
        <w:rPr>
          <w:sz w:val="21"/>
          <w:szCs w:val="21"/>
        </w:rPr>
      </w:pPr>
      <w:r>
        <w:rPr>
          <w:rFonts w:hint="eastAsia"/>
          <w:b/>
          <w:bCs/>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申购申请时，基金管理人应当根据有关规定进行公告。如果投资人的申购申请被拒绝，被拒绝的申购款项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5、发生继续接受赎回申请将损害现有基金份额持有人利益的情形时，基金管理人可暂停接受投资人的赎回申请。 </w:t>
      </w:r>
    </w:p>
    <w:p>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2" w:name="field_49_mintredeemscale_2"/>
      <w:r>
        <w:rPr>
          <w:sz w:val="21"/>
          <w:szCs w:val="21"/>
        </w:rPr>
        <w:t>10</w:t>
      </w:r>
      <w:bookmarkEnd w:id="92"/>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93" w:name="field_49_mintredeemscale_3"/>
      <w:r>
        <w:rPr>
          <w:sz w:val="21"/>
          <w:szCs w:val="21"/>
        </w:rPr>
        <w:t>10</w:t>
      </w:r>
      <w:bookmarkEnd w:id="93"/>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别的基金份额净值为基础计算赎回金额，以此类推，直到全部赎回为止。如投资人在提交赎回申请时未作明确选择，投资人未能赎回部分作自动延期赎回处理。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94" w:name="field_49_mintredeemscale_4"/>
      <w:r>
        <w:rPr>
          <w:sz w:val="21"/>
          <w:szCs w:val="21"/>
        </w:rPr>
        <w:t>10</w:t>
      </w:r>
      <w:bookmarkEnd w:id="94"/>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95" w:name="field_49_mintredeemscale_5"/>
      <w:r>
        <w:rPr>
          <w:sz w:val="21"/>
          <w:szCs w:val="21"/>
        </w:rPr>
        <w:t>10</w:t>
      </w:r>
      <w:bookmarkEnd w:id="95"/>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96" w:name="chapter_level1_10_59_section_3_end"/>
      <w:bookmarkEnd w:id="96"/>
      <w:r>
        <w:rPr>
          <w:rFonts w:hint="eastAsia"/>
          <w:sz w:val="21"/>
          <w:szCs w:val="21"/>
        </w:rPr>
        <w:t xml:space="preserve">开放的公告。 </w:t>
      </w:r>
    </w:p>
    <w:p>
      <w:pPr>
        <w:pStyle w:val="7"/>
        <w:spacing w:before="0" w:beforeAutospacing="0" w:after="0" w:afterAutospacing="0" w:line="360" w:lineRule="auto"/>
        <w:ind w:firstLine="420"/>
        <w:rPr>
          <w:sz w:val="21"/>
          <w:szCs w:val="21"/>
        </w:rPr>
      </w:pPr>
      <w:bookmarkStart w:id="97" w:name="chapter_level1_10_59_section_4"/>
      <w:bookmarkEnd w:id="97"/>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本基金已于2015年3月5日开放日常转换业务。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1、转换费用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2、业务规则 </w:t>
      </w:r>
    </w:p>
    <w:p>
      <w:pPr>
        <w:pStyle w:val="7"/>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（1）基金转换只能在同一销售机构进行。转换的两只基金必须都是该销售机构代理的同一基金管理人管理的、在同一登记机构处注册登记的基金。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换。 </w:t>
      </w:r>
    </w:p>
    <w:p>
      <w:pPr>
        <w:pStyle w:val="7"/>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（5）基金转换以申请当日基金份额净值为基础计算。投资人采用“份额转换”的原则提交申请。转出基金份额必须是可用份额，并遵循“先进先出”的原则。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3、暂停基金转换的情形及处理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（1）转换业务适用基金详见公告。 </w:t>
      </w:r>
    </w:p>
    <w:p>
      <w:pPr>
        <w:pStyle w:val="7"/>
        <w:spacing w:before="0" w:beforeAutospacing="0" w:after="0" w:afterAutospacing="0" w:line="360" w:lineRule="auto"/>
        <w:ind w:firstLine="420"/>
        <w:rPr>
          <w:sz w:val="21"/>
          <w:szCs w:val="21"/>
        </w:rPr>
      </w:pPr>
      <w:r>
        <w:rPr>
          <w:rFonts w:hint="eastAsia"/>
          <w:sz w:val="21"/>
          <w:szCs w:val="21"/>
        </w:rPr>
        <w:t xml:space="preserve">（2）本基金转换业务适用于可以销售包括本基金在内的两只以上（含两只），且基金登记机构为同一机构的博时旗下基金的销售机构。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（3）转换业务的收费计算公式及举例参见2010年3月16日刊登于本公司网站的《</w:t>
      </w:r>
      <w:bookmarkStart w:id="98" w:name="field_0_managerorgfullname_6"/>
      <w:r>
        <w:rPr>
          <w:rFonts w:hint="eastAsia"/>
          <w:sz w:val="21"/>
          <w:szCs w:val="21"/>
        </w:rPr>
        <w:t>博时基金管理有限公司</w:t>
      </w:r>
      <w:bookmarkEnd w:id="98"/>
      <w:r>
        <w:rPr>
          <w:rFonts w:hint="eastAsia"/>
          <w:sz w:val="21"/>
          <w:szCs w:val="21"/>
        </w:rPr>
        <w:t xml:space="preserve">关于旗下开放式基金转换业务的公告》。 </w:t>
      </w:r>
    </w:p>
    <w:p>
      <w:pPr>
        <w:pStyle w:val="7"/>
        <w:spacing w:before="0" w:beforeAutospacing="0" w:after="0" w:afterAutospacing="0" w:line="360" w:lineRule="auto"/>
        <w:ind w:firstLine="420"/>
        <w:rPr>
          <w:sz w:val="21"/>
          <w:szCs w:val="21"/>
        </w:rPr>
      </w:pPr>
      <w:bookmarkStart w:id="99" w:name="chapter_level1_10_59_section_4_end"/>
      <w:bookmarkEnd w:id="99"/>
      <w:r>
        <w:rPr>
          <w:rFonts w:hint="eastAsia"/>
          <w:sz w:val="21"/>
          <w:szCs w:val="21"/>
        </w:rPr>
        <w:t xml:space="preserve">（4）本公司管理基金的转换业务的解释权归本公司。 </w:t>
      </w:r>
    </w:p>
    <w:p>
      <w:pPr>
        <w:pStyle w:val="7"/>
        <w:spacing w:before="0" w:beforeAutospacing="0" w:after="0" w:afterAutospacing="0" w:line="360" w:lineRule="auto"/>
        <w:ind w:firstLine="420"/>
        <w:rPr>
          <w:sz w:val="21"/>
          <w:szCs w:val="21"/>
        </w:rPr>
      </w:pPr>
      <w:bookmarkStart w:id="100" w:name="chapter_level1_10_59_section_5"/>
      <w:bookmarkEnd w:id="100"/>
      <w:r>
        <w:rPr>
          <w:rStyle w:val="11"/>
          <w:rFonts w:hint="eastAsia"/>
          <w:sz w:val="21"/>
          <w:szCs w:val="21"/>
        </w:rPr>
        <w:t>十四、基金的非交易过户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十五、基金的转托管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1" w:name="chapter_level1_10_59_section_5_end"/>
      <w:bookmarkEnd w:id="101"/>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2" w:name="chapter_level1_10_59_section_6"/>
      <w:bookmarkEnd w:id="102"/>
      <w:r>
        <w:rPr>
          <w:rStyle w:val="11"/>
          <w:rFonts w:hint="eastAsia"/>
          <w:sz w:val="21"/>
          <w:szCs w:val="21"/>
        </w:rPr>
        <w:t>十六、定期定额投资计划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本基金已于2015年3月5日开放定期定额投资业务。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个人投资者、机构投资者、合格境外机构投资者以及法律法规或中国证监会允许购买证券投资基金的其他投资人。 </w:t>
      </w:r>
    </w:p>
    <w:p>
      <w:pPr>
        <w:pStyle w:val="7"/>
        <w:spacing w:before="0" w:beforeAutospacing="0" w:after="0" w:afterAutospacing="0" w:line="360" w:lineRule="auto"/>
        <w:ind w:firstLine="420"/>
        <w:rPr>
          <w:sz w:val="21"/>
          <w:szCs w:val="21"/>
        </w:rPr>
      </w:pPr>
      <w:r>
        <w:rPr>
          <w:rFonts w:hint="eastAsia"/>
          <w:sz w:val="21"/>
          <w:szCs w:val="21"/>
        </w:rPr>
        <w:t xml:space="preserve">2、定期定额投资费率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投资者须遵循各销售机构有关扣款日期的规定，并与销售机构约定每月扣款金额,但A类份额最低每次不少于人民币1元(含1元)，C类份额最低每次不少于人民币10元(含10元)。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（1）凡申请办理本基金“定期定额投资计划”的投资人须首先开立本公司开放式基金基金账户。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 xml:space="preserve">（2）本基金定期定额投资计划的每月实际扣款日即为基金申购申请日，并以该日（T日）的基金份额净值为基准计算申购份额。投资者可以从T+2日起通过本计划办理网点、致电博时公司客服电话或登录博时公司网站查询其每次申购申请的确认情况。申购份额将在确认成功后直接计入投资者的基金账户。 </w:t>
      </w:r>
    </w:p>
    <w:p>
      <w:pPr>
        <w:pStyle w:val="7"/>
        <w:spacing w:before="0" w:beforeAutospacing="0" w:after="0" w:afterAutospacing="0" w:line="360" w:lineRule="auto"/>
        <w:ind w:firstLine="420"/>
        <w:rPr>
          <w:sz w:val="21"/>
          <w:szCs w:val="21"/>
        </w:rPr>
      </w:pPr>
      <w:r>
        <w:rPr>
          <w:rFonts w:hint="eastAsia"/>
          <w:sz w:val="21"/>
          <w:szCs w:val="21"/>
        </w:rPr>
        <w:t>本公司网上直销交易已开通本基金的定期投资业务，详情可登录本公司网站www.bosera.com参阅《</w:t>
      </w:r>
      <w:bookmarkStart w:id="103" w:name="field_0_managerorgfullname_7"/>
      <w:r>
        <w:rPr>
          <w:rFonts w:hint="eastAsia"/>
          <w:sz w:val="21"/>
          <w:szCs w:val="21"/>
        </w:rPr>
        <w:t>博时基金管理有限公司</w:t>
      </w:r>
      <w:bookmarkEnd w:id="103"/>
      <w:r>
        <w:rPr>
          <w:rFonts w:hint="eastAsia"/>
          <w:sz w:val="21"/>
          <w:szCs w:val="21"/>
        </w:rPr>
        <w:t>开放式基金业务规则》、《</w:t>
      </w:r>
      <w:bookmarkStart w:id="104" w:name="field_0_managerorgfullname_8"/>
      <w:r>
        <w:rPr>
          <w:rFonts w:hint="eastAsia"/>
          <w:sz w:val="21"/>
          <w:szCs w:val="21"/>
        </w:rPr>
        <w:t>博时基金管理有限公司</w:t>
      </w:r>
      <w:bookmarkEnd w:id="104"/>
      <w:r>
        <w:rPr>
          <w:rFonts w:hint="eastAsia"/>
          <w:sz w:val="21"/>
          <w:szCs w:val="21"/>
        </w:rPr>
        <w:t>网上交易业务规则》、《</w:t>
      </w:r>
      <w:bookmarkStart w:id="105" w:name="field_0_managerorgfullname_9"/>
      <w:r>
        <w:rPr>
          <w:rFonts w:hint="eastAsia"/>
          <w:sz w:val="21"/>
          <w:szCs w:val="21"/>
        </w:rPr>
        <w:t>博时基金管理有限公司</w:t>
      </w:r>
      <w:bookmarkEnd w:id="105"/>
      <w:r>
        <w:rPr>
          <w:rFonts w:hint="eastAsia"/>
          <w:sz w:val="21"/>
          <w:szCs w:val="21"/>
        </w:rPr>
        <w:t>直销定期投资业务规则》等办理相关开</w:t>
      </w:r>
      <w:bookmarkStart w:id="106" w:name="chapter_level1_10_59_section_6_end"/>
      <w:bookmarkEnd w:id="106"/>
      <w:r>
        <w:rPr>
          <w:rFonts w:hint="eastAsia"/>
          <w:sz w:val="21"/>
          <w:szCs w:val="21"/>
        </w:rPr>
        <w:t xml:space="preserve">户、申购、赎回、基金转换、定期定额投资等业务。 </w:t>
      </w:r>
    </w:p>
    <w:p>
      <w:pPr>
        <w:pStyle w:val="7"/>
        <w:spacing w:before="0" w:beforeAutospacing="0" w:after="0" w:afterAutospacing="0" w:line="360" w:lineRule="auto"/>
        <w:ind w:firstLine="420"/>
        <w:rPr>
          <w:sz w:val="21"/>
          <w:szCs w:val="21"/>
        </w:rPr>
      </w:pPr>
      <w:bookmarkStart w:id="107" w:name="chapter_level1_10_59_section_7"/>
      <w:bookmarkEnd w:id="107"/>
      <w:r>
        <w:rPr>
          <w:rStyle w:val="11"/>
          <w:rFonts w:hint="eastAsia"/>
          <w:sz w:val="21"/>
          <w:szCs w:val="21"/>
        </w:rPr>
        <w:t>十七、基金份额的冻结和解冻</w:t>
      </w:r>
    </w:p>
    <w:p>
      <w:pPr>
        <w:pStyle w:val="7"/>
        <w:spacing w:before="0" w:beforeAutospacing="0" w:after="0" w:afterAutospacing="0" w:line="360" w:lineRule="auto"/>
        <w:ind w:firstLine="420"/>
        <w:rPr>
          <w:sz w:val="21"/>
          <w:szCs w:val="21"/>
        </w:rPr>
      </w:pPr>
      <w:r>
        <w:rPr>
          <w:rFonts w:hint="eastAsia"/>
          <w:sz w:val="21"/>
          <w:szCs w:val="21"/>
        </w:rPr>
        <w:t>基金登记机构只受理国家有权机关依法要求的基金份额的冻结与解冻，以及登记机构认</w:t>
      </w:r>
      <w:bookmarkStart w:id="108" w:name="chapter_level1_10_59_section_7_end"/>
      <w:bookmarkEnd w:id="108"/>
      <w:r>
        <w:rPr>
          <w:rFonts w:hint="eastAsia"/>
          <w:sz w:val="21"/>
          <w:szCs w:val="21"/>
        </w:rPr>
        <w:t xml:space="preserve">可、符合法律法规的其他情况下的冻结与解冻。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9" w:name="_Toc207980077"/>
      <w:bookmarkStart w:id="110" w:name="chapter_level1_11_60"/>
      <w:r>
        <w:rPr>
          <w:rFonts w:hint="eastAsia" w:ascii="宋体" w:hAnsi="宋体" w:eastAsia="宋体"/>
          <w:sz w:val="30"/>
        </w:rPr>
        <w:t>第八部分  基金的投资</w:t>
      </w:r>
      <w:bookmarkEnd w:id="109"/>
      <w:bookmarkEnd w:id="110"/>
    </w:p>
    <w:p>
      <w:pPr>
        <w:pStyle w:val="7"/>
        <w:spacing w:before="0" w:beforeAutospacing="0" w:after="0" w:afterAutospacing="0" w:line="360" w:lineRule="auto"/>
        <w:ind w:firstLine="420"/>
        <w:rPr>
          <w:sz w:val="21"/>
          <w:szCs w:val="21"/>
        </w:rPr>
      </w:pPr>
      <w:bookmarkStart w:id="111" w:name="chapter_level1_11_60_section_1"/>
      <w:bookmarkEnd w:id="111"/>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2" w:name="field_60_investmenttarget_1_start"/>
      <w:bookmarkEnd w:id="112"/>
      <w:r>
        <w:rPr>
          <w:rFonts w:hint="eastAsia"/>
          <w:sz w:val="21"/>
          <w:szCs w:val="21"/>
        </w:rPr>
        <w:t xml:space="preserve">本基金通过对符合或引领国内产业创新、制造业升级趋势的优质企业的深入研究，在严格控制估值风险及流动性风险的前提下，寻求基金资产的长期稳健增值。  </w:t>
      </w:r>
      <w:bookmarkStart w:id="113" w:name="field_60_investmenttarget_1_end"/>
      <w:bookmarkEnd w:id="113"/>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4" w:name="field_60_investmentrange_1_start"/>
      <w:bookmarkEnd w:id="114"/>
      <w:r>
        <w:rPr>
          <w:rFonts w:hint="eastAsia"/>
          <w:sz w:val="21"/>
          <w:szCs w:val="21"/>
        </w:rPr>
        <w:t xml:space="preserve">本基金的投资范围为具有良好流动性的金融工具，包括国内依法发行上市的股票（含主板、中小板、创业板及其他经中国证监会核准上市的股票、存托凭证等）、权证、股指期货、债券（含中小企业私募债）、货币市场工具、中期票据、现金以及法律法规或中国证监会允许基金投资的其他金融工具(但须符合中国证监会相关规定)。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含存托凭证）投资比例为基金资产的0%-95%，其中投资于具备产业创新动力、引领制造业发展趋势的股票（以下简称“产业新动力股票”）比例不低于非现金基金资产的80%。本基金每个交易日日终在扣除股指期货合约需缴纳的交易保证金后，保持现金或者到期日在一年以内的政府债券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如法律法规或监管机构以后允许基金投资其他品种，基金管理人在履行适当程序后，可以将其纳入投资范围。  </w:t>
      </w:r>
      <w:bookmarkStart w:id="115" w:name="field_60_investmentrange_1_end"/>
      <w:bookmarkEnd w:id="11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6" w:name="field_60_investmentstrategy_1_start"/>
      <w:bookmarkEnd w:id="116"/>
      <w:r>
        <w:rPr>
          <w:rFonts w:hint="eastAsia"/>
          <w:sz w:val="21"/>
          <w:szCs w:val="21"/>
        </w:rPr>
        <w:t xml:space="preserve">本基金投资策略分三个层次：首先是大类资产配置，即根据经济周期决定权益类证券和固定收益类证券的投资比例；其次是行业配置，即根据行业发展规律和内在逻辑，在不同行业之间进行动态配置；最后是个股选择策略和债券投资策略。 </w:t>
      </w:r>
    </w:p>
    <w:p>
      <w:pPr>
        <w:pStyle w:val="7"/>
        <w:spacing w:before="0" w:beforeAutospacing="0" w:after="0" w:afterAutospacing="0" w:line="360" w:lineRule="auto"/>
        <w:ind w:firstLine="420"/>
        <w:rPr>
          <w:sz w:val="21"/>
          <w:szCs w:val="21"/>
        </w:rPr>
      </w:pPr>
      <w:r>
        <w:rPr>
          <w:rFonts w:hint="eastAsia"/>
          <w:sz w:val="21"/>
          <w:szCs w:val="21"/>
        </w:rPr>
        <w:t xml:space="preserve">（一）资产配置策略 </w:t>
      </w:r>
    </w:p>
    <w:p>
      <w:pPr>
        <w:pStyle w:val="7"/>
        <w:spacing w:before="0" w:beforeAutospacing="0" w:after="0" w:afterAutospacing="0" w:line="360" w:lineRule="auto"/>
        <w:ind w:firstLine="420"/>
        <w:rPr>
          <w:sz w:val="21"/>
          <w:szCs w:val="21"/>
        </w:rPr>
      </w:pPr>
      <w:r>
        <w:rPr>
          <w:rFonts w:hint="eastAsia"/>
          <w:sz w:val="21"/>
          <w:szCs w:val="21"/>
        </w:rPr>
        <w:t xml:space="preserve">本基金的资产配置策略主要是基于对宏观经济周期运行规律的研究予以决策。 </w:t>
      </w:r>
    </w:p>
    <w:p>
      <w:pPr>
        <w:pStyle w:val="7"/>
        <w:spacing w:before="0" w:beforeAutospacing="0" w:after="0" w:afterAutospacing="0" w:line="360" w:lineRule="auto"/>
        <w:ind w:firstLine="420"/>
        <w:rPr>
          <w:sz w:val="21"/>
          <w:szCs w:val="21"/>
        </w:rPr>
      </w:pPr>
      <w:r>
        <w:rPr>
          <w:rFonts w:hint="eastAsia"/>
          <w:sz w:val="21"/>
          <w:szCs w:val="21"/>
        </w:rPr>
        <w:t xml:space="preserve">本基金将通过跟踪宏观经济变量（包括GDP增长率、CPI走势、M2的绝对水平和增长率、利率水平与走势等）以及国家财政、税收、货币、汇率各项政策，来判断经济周期目前的位置以及未来发展方向。 </w:t>
      </w:r>
    </w:p>
    <w:p>
      <w:pPr>
        <w:pStyle w:val="7"/>
        <w:spacing w:before="0" w:beforeAutospacing="0" w:after="0" w:afterAutospacing="0" w:line="360" w:lineRule="auto"/>
        <w:ind w:firstLine="420"/>
        <w:rPr>
          <w:sz w:val="21"/>
          <w:szCs w:val="21"/>
        </w:rPr>
      </w:pPr>
      <w:r>
        <w:rPr>
          <w:rFonts w:hint="eastAsia"/>
          <w:sz w:val="21"/>
          <w:szCs w:val="21"/>
        </w:rPr>
        <w:t xml:space="preserve">在经济周期各阶段，综合对各类宏观经济指标和市场指标的分析，本基金对大类资产进行配置的策略为：在经济复苏期和繁荣期超配股票资产；在经济衰退期和政策刺激阶段，超配债券等固定收益类资产，力争通过资产配置获得部分超额收益。 </w:t>
      </w:r>
    </w:p>
    <w:p>
      <w:pPr>
        <w:pStyle w:val="7"/>
        <w:spacing w:before="0" w:beforeAutospacing="0" w:after="0" w:afterAutospacing="0" w:line="360" w:lineRule="auto"/>
        <w:ind w:firstLine="420"/>
        <w:rPr>
          <w:sz w:val="21"/>
          <w:szCs w:val="21"/>
        </w:rPr>
      </w:pPr>
      <w:r>
        <w:rPr>
          <w:rFonts w:hint="eastAsia"/>
          <w:sz w:val="21"/>
          <w:szCs w:val="21"/>
        </w:rPr>
        <w:t xml:space="preserve">（二）股票投资策略 </w:t>
      </w:r>
    </w:p>
    <w:p>
      <w:pPr>
        <w:pStyle w:val="7"/>
        <w:spacing w:before="0" w:beforeAutospacing="0" w:after="0" w:afterAutospacing="0" w:line="360" w:lineRule="auto"/>
        <w:ind w:firstLine="420"/>
        <w:rPr>
          <w:sz w:val="21"/>
          <w:szCs w:val="21"/>
        </w:rPr>
      </w:pPr>
      <w:r>
        <w:rPr>
          <w:rFonts w:hint="eastAsia"/>
          <w:sz w:val="21"/>
          <w:szCs w:val="21"/>
        </w:rPr>
        <w:t xml:space="preserve">1、产业新动力股票的界定 </w:t>
      </w:r>
    </w:p>
    <w:p>
      <w:pPr>
        <w:pStyle w:val="7"/>
        <w:spacing w:before="0" w:beforeAutospacing="0" w:after="0" w:afterAutospacing="0" w:line="360" w:lineRule="auto"/>
        <w:ind w:firstLine="420"/>
        <w:rPr>
          <w:sz w:val="21"/>
          <w:szCs w:val="21"/>
        </w:rPr>
      </w:pPr>
      <w:r>
        <w:rPr>
          <w:rFonts w:hint="eastAsia"/>
          <w:sz w:val="21"/>
          <w:szCs w:val="21"/>
        </w:rPr>
        <w:t xml:space="preserve">本基金以发掘驱动并引领制造业发展，为产业创新提供动力的持续性投资机会为主要投资线索。本基金将此类驱动并引领制造业发展，为产业创新提供动力的公司定义为产业新动力公司。 </w:t>
      </w:r>
    </w:p>
    <w:p>
      <w:pPr>
        <w:pStyle w:val="7"/>
        <w:spacing w:before="0" w:beforeAutospacing="0" w:after="0" w:afterAutospacing="0" w:line="360" w:lineRule="auto"/>
        <w:ind w:firstLine="420"/>
        <w:rPr>
          <w:sz w:val="21"/>
          <w:szCs w:val="21"/>
        </w:rPr>
      </w:pPr>
      <w:r>
        <w:rPr>
          <w:rFonts w:hint="eastAsia"/>
          <w:sz w:val="21"/>
          <w:szCs w:val="21"/>
        </w:rPr>
        <w:t xml:space="preserve">本基金所指的产业新动力公司归属但不仅限于以下行业：机械（高端装备制造业、智能化设备、环保设备等）、国防军工、新能源、汽车、电气设备、新材料、电子信息设备、计算机设备、通信设备、医疗设备以及现代物流业等。相对于传统产业而言，该类公司持续吸收电子信息、计算机、机械、新材料等方面的高新技术成果及现代管理技术，并将这些技术综合应用于产品的研发设计、生产制造、在线检测、营销服务和管理过程，实现信息化、自动化、智能化、柔性化、生态化生产，取得了很好经济收益和市场效果。 </w:t>
      </w:r>
    </w:p>
    <w:p>
      <w:pPr>
        <w:pStyle w:val="7"/>
        <w:spacing w:before="0" w:beforeAutospacing="0" w:after="0" w:afterAutospacing="0" w:line="360" w:lineRule="auto"/>
        <w:ind w:firstLine="420"/>
        <w:rPr>
          <w:sz w:val="21"/>
          <w:szCs w:val="21"/>
        </w:rPr>
      </w:pPr>
      <w:r>
        <w:rPr>
          <w:rFonts w:hint="eastAsia"/>
          <w:sz w:val="21"/>
          <w:szCs w:val="21"/>
        </w:rPr>
        <w:t xml:space="preserve">2、行业筛选策略 </w:t>
      </w:r>
    </w:p>
    <w:p>
      <w:pPr>
        <w:pStyle w:val="7"/>
        <w:spacing w:before="0" w:beforeAutospacing="0" w:after="0" w:afterAutospacing="0" w:line="360" w:lineRule="auto"/>
        <w:ind w:firstLine="420"/>
        <w:rPr>
          <w:sz w:val="21"/>
          <w:szCs w:val="21"/>
        </w:rPr>
      </w:pPr>
      <w:r>
        <w:rPr>
          <w:rFonts w:hint="eastAsia"/>
          <w:sz w:val="21"/>
          <w:szCs w:val="21"/>
        </w:rPr>
        <w:t xml:space="preserve">本基金将综合经济周期阶段、政府产业政策、市场需求变化、行业生命周期阶段及竞争格局、技术水平及发展趋势等因素，进行股票资产在各细分子行业间的动态配置。 </w:t>
      </w:r>
    </w:p>
    <w:p>
      <w:pPr>
        <w:pStyle w:val="7"/>
        <w:spacing w:before="0" w:beforeAutospacing="0" w:after="0" w:afterAutospacing="0" w:line="360" w:lineRule="auto"/>
        <w:ind w:firstLine="420"/>
        <w:rPr>
          <w:sz w:val="21"/>
          <w:szCs w:val="21"/>
        </w:rPr>
      </w:pPr>
      <w:r>
        <w:rPr>
          <w:rFonts w:hint="eastAsia"/>
          <w:sz w:val="21"/>
          <w:szCs w:val="21"/>
        </w:rPr>
        <w:t xml:space="preserve">（1）经济周期阶段 </w:t>
      </w:r>
    </w:p>
    <w:p>
      <w:pPr>
        <w:pStyle w:val="7"/>
        <w:spacing w:before="0" w:beforeAutospacing="0" w:after="0" w:afterAutospacing="0" w:line="360" w:lineRule="auto"/>
        <w:ind w:firstLine="420"/>
        <w:rPr>
          <w:sz w:val="21"/>
          <w:szCs w:val="21"/>
        </w:rPr>
      </w:pPr>
      <w:r>
        <w:rPr>
          <w:rFonts w:hint="eastAsia"/>
          <w:sz w:val="21"/>
          <w:szCs w:val="21"/>
        </w:rPr>
        <w:t xml:space="preserve">本基金通过对当前经济在经济周期所处的阶段进行前瞻性分析，根据产业新动力行业在经济周期各阶段的预期表现，进行各细分子行业配置与调整。 </w:t>
      </w:r>
    </w:p>
    <w:p>
      <w:pPr>
        <w:pStyle w:val="7"/>
        <w:spacing w:before="0" w:beforeAutospacing="0" w:after="0" w:afterAutospacing="0" w:line="360" w:lineRule="auto"/>
        <w:ind w:firstLine="420"/>
        <w:rPr>
          <w:sz w:val="21"/>
          <w:szCs w:val="21"/>
        </w:rPr>
      </w:pPr>
      <w:r>
        <w:rPr>
          <w:rFonts w:hint="eastAsia"/>
          <w:sz w:val="21"/>
          <w:szCs w:val="21"/>
        </w:rPr>
        <w:t xml:space="preserve">（2）政府产业政策 </w:t>
      </w:r>
    </w:p>
    <w:p>
      <w:pPr>
        <w:pStyle w:val="7"/>
        <w:spacing w:before="0" w:beforeAutospacing="0" w:after="0" w:afterAutospacing="0" w:line="360" w:lineRule="auto"/>
        <w:ind w:firstLine="420"/>
        <w:rPr>
          <w:sz w:val="21"/>
          <w:szCs w:val="21"/>
        </w:rPr>
      </w:pPr>
      <w:r>
        <w:rPr>
          <w:rFonts w:hint="eastAsia"/>
          <w:sz w:val="21"/>
          <w:szCs w:val="21"/>
        </w:rPr>
        <w:t xml:space="preserve">本基金将密切跟踪产业新动力的产业政策，超额配置新产业政策受益最大的子行业。 </w:t>
      </w:r>
    </w:p>
    <w:p>
      <w:pPr>
        <w:pStyle w:val="7"/>
        <w:spacing w:before="0" w:beforeAutospacing="0" w:after="0" w:afterAutospacing="0" w:line="360" w:lineRule="auto"/>
        <w:ind w:firstLine="420"/>
        <w:rPr>
          <w:sz w:val="21"/>
          <w:szCs w:val="21"/>
        </w:rPr>
      </w:pPr>
      <w:r>
        <w:rPr>
          <w:rFonts w:hint="eastAsia"/>
          <w:sz w:val="21"/>
          <w:szCs w:val="21"/>
        </w:rPr>
        <w:t xml:space="preserve">（3）市场需求变化 </w:t>
      </w:r>
    </w:p>
    <w:p>
      <w:pPr>
        <w:pStyle w:val="7"/>
        <w:spacing w:before="0" w:beforeAutospacing="0" w:after="0" w:afterAutospacing="0" w:line="360" w:lineRule="auto"/>
        <w:ind w:firstLine="420"/>
        <w:rPr>
          <w:sz w:val="21"/>
          <w:szCs w:val="21"/>
        </w:rPr>
      </w:pPr>
      <w:r>
        <w:rPr>
          <w:rFonts w:hint="eastAsia"/>
          <w:sz w:val="21"/>
          <w:szCs w:val="21"/>
        </w:rPr>
        <w:t xml:space="preserve">本基金将重点投资市场需求稳定或保持较高增长的细分子行业。 </w:t>
      </w:r>
    </w:p>
    <w:p>
      <w:pPr>
        <w:pStyle w:val="7"/>
        <w:spacing w:before="0" w:beforeAutospacing="0" w:after="0" w:afterAutospacing="0" w:line="360" w:lineRule="auto"/>
        <w:ind w:firstLine="420"/>
        <w:rPr>
          <w:sz w:val="21"/>
          <w:szCs w:val="21"/>
        </w:rPr>
      </w:pPr>
      <w:r>
        <w:rPr>
          <w:rFonts w:hint="eastAsia"/>
          <w:sz w:val="21"/>
          <w:szCs w:val="21"/>
        </w:rPr>
        <w:t xml:space="preserve">（4）行业生命周期阶段及竞争格局 </w:t>
      </w:r>
    </w:p>
    <w:p>
      <w:pPr>
        <w:pStyle w:val="7"/>
        <w:spacing w:before="0" w:beforeAutospacing="0" w:after="0" w:afterAutospacing="0" w:line="360" w:lineRule="auto"/>
        <w:ind w:firstLine="420"/>
        <w:rPr>
          <w:sz w:val="21"/>
          <w:szCs w:val="21"/>
        </w:rPr>
      </w:pPr>
      <w:r>
        <w:rPr>
          <w:rFonts w:hint="eastAsia"/>
          <w:sz w:val="21"/>
          <w:szCs w:val="21"/>
        </w:rPr>
        <w:t xml:space="preserve">本基金将对各产业新动力子行业的生命周期进行动态分析，判断各子行业所处的生命周期阶段，重点投资处于高速成长期、行业进入壁垒较高、利润率稳定或提高的行业。 </w:t>
      </w:r>
    </w:p>
    <w:p>
      <w:pPr>
        <w:pStyle w:val="7"/>
        <w:spacing w:before="0" w:beforeAutospacing="0" w:after="0" w:afterAutospacing="0" w:line="360" w:lineRule="auto"/>
        <w:ind w:firstLine="420"/>
        <w:rPr>
          <w:sz w:val="21"/>
          <w:szCs w:val="21"/>
        </w:rPr>
      </w:pPr>
      <w:r>
        <w:rPr>
          <w:rFonts w:hint="eastAsia"/>
          <w:sz w:val="21"/>
          <w:szCs w:val="21"/>
        </w:rPr>
        <w:t xml:space="preserve">（5）技术水平及发展趋势 </w:t>
      </w:r>
    </w:p>
    <w:p>
      <w:pPr>
        <w:pStyle w:val="7"/>
        <w:spacing w:before="0" w:beforeAutospacing="0" w:after="0" w:afterAutospacing="0" w:line="360" w:lineRule="auto"/>
        <w:ind w:firstLine="420"/>
        <w:rPr>
          <w:sz w:val="21"/>
          <w:szCs w:val="21"/>
        </w:rPr>
      </w:pPr>
      <w:r>
        <w:rPr>
          <w:rFonts w:hint="eastAsia"/>
          <w:sz w:val="21"/>
          <w:szCs w:val="21"/>
        </w:rPr>
        <w:t xml:space="preserve">本基金将密切跟踪产业新动力各细分子行业的技术水平变化及其发展趋势，重点投资整体技术水平提高较快且发展趋势良好的子行业。 </w:t>
      </w:r>
    </w:p>
    <w:p>
      <w:pPr>
        <w:pStyle w:val="7"/>
        <w:spacing w:before="0" w:beforeAutospacing="0" w:after="0" w:afterAutospacing="0" w:line="360" w:lineRule="auto"/>
        <w:ind w:firstLine="420"/>
        <w:rPr>
          <w:sz w:val="21"/>
          <w:szCs w:val="21"/>
        </w:rPr>
      </w:pPr>
      <w:r>
        <w:rPr>
          <w:rFonts w:hint="eastAsia"/>
          <w:sz w:val="21"/>
          <w:szCs w:val="21"/>
        </w:rPr>
        <w:t xml:space="preserve">3、个股选择 </w:t>
      </w:r>
    </w:p>
    <w:p>
      <w:pPr>
        <w:pStyle w:val="7"/>
        <w:spacing w:before="0" w:beforeAutospacing="0" w:after="0" w:afterAutospacing="0" w:line="360" w:lineRule="auto"/>
        <w:ind w:firstLine="420"/>
        <w:rPr>
          <w:sz w:val="21"/>
          <w:szCs w:val="21"/>
        </w:rPr>
      </w:pPr>
      <w:r>
        <w:rPr>
          <w:rFonts w:hint="eastAsia"/>
          <w:sz w:val="21"/>
          <w:szCs w:val="21"/>
        </w:rPr>
        <w:t xml:space="preserve">在个股选择上，本基金采用定性与定量相结合的方式，自下而上，对产业新动力行业上市公司的投资价值进行综合评估，精选具有较强竞争优势的高成长上市公司作为投资标的。 </w:t>
      </w:r>
    </w:p>
    <w:p>
      <w:pPr>
        <w:pStyle w:val="7"/>
        <w:spacing w:before="0" w:beforeAutospacing="0" w:after="0" w:afterAutospacing="0" w:line="360" w:lineRule="auto"/>
        <w:ind w:firstLine="420"/>
        <w:rPr>
          <w:sz w:val="21"/>
          <w:szCs w:val="21"/>
        </w:rPr>
      </w:pPr>
      <w:r>
        <w:rPr>
          <w:rFonts w:hint="eastAsia"/>
          <w:sz w:val="21"/>
          <w:szCs w:val="21"/>
        </w:rPr>
        <w:t xml:space="preserve">（1）产品竞争力 </w:t>
      </w:r>
    </w:p>
    <w:p>
      <w:pPr>
        <w:pStyle w:val="7"/>
        <w:spacing w:before="0" w:beforeAutospacing="0" w:after="0" w:afterAutospacing="0" w:line="360" w:lineRule="auto"/>
        <w:ind w:firstLine="420"/>
        <w:rPr>
          <w:sz w:val="21"/>
          <w:szCs w:val="21"/>
        </w:rPr>
      </w:pPr>
      <w:r>
        <w:rPr>
          <w:rFonts w:hint="eastAsia"/>
          <w:sz w:val="21"/>
          <w:szCs w:val="21"/>
        </w:rPr>
        <w:t xml:space="preserve">本基金主要通过以下几个方面考察产业新动力上市公司的可投资性。一方面，考察产品竞争力。另一方面，考察企业的市场开发能力。 </w:t>
      </w:r>
    </w:p>
    <w:p>
      <w:pPr>
        <w:pStyle w:val="7"/>
        <w:spacing w:before="0" w:beforeAutospacing="0" w:after="0" w:afterAutospacing="0" w:line="360" w:lineRule="auto"/>
        <w:ind w:firstLine="420"/>
        <w:rPr>
          <w:sz w:val="21"/>
          <w:szCs w:val="21"/>
        </w:rPr>
      </w:pPr>
      <w:r>
        <w:rPr>
          <w:rFonts w:hint="eastAsia"/>
          <w:sz w:val="21"/>
          <w:szCs w:val="21"/>
        </w:rPr>
        <w:t xml:space="preserve">（2）产品生命周期 </w:t>
      </w:r>
    </w:p>
    <w:p>
      <w:pPr>
        <w:pStyle w:val="7"/>
        <w:spacing w:before="0" w:beforeAutospacing="0" w:after="0" w:afterAutospacing="0" w:line="360" w:lineRule="auto"/>
        <w:ind w:firstLine="420"/>
        <w:rPr>
          <w:sz w:val="21"/>
          <w:szCs w:val="21"/>
        </w:rPr>
      </w:pPr>
      <w:r>
        <w:rPr>
          <w:rFonts w:hint="eastAsia"/>
          <w:sz w:val="21"/>
          <w:szCs w:val="21"/>
        </w:rPr>
        <w:t xml:space="preserve">处于启动期和高速成长期的产品和企业通常表现为较高的利润率、较快的利润增长、市场份额的急剧上升。处于上述阶段的产业新动力上市公司是本基金的投资重点。 </w:t>
      </w:r>
    </w:p>
    <w:p>
      <w:pPr>
        <w:pStyle w:val="7"/>
        <w:spacing w:before="0" w:beforeAutospacing="0" w:after="0" w:afterAutospacing="0" w:line="360" w:lineRule="auto"/>
        <w:ind w:firstLine="420"/>
        <w:rPr>
          <w:sz w:val="21"/>
          <w:szCs w:val="21"/>
        </w:rPr>
      </w:pPr>
      <w:r>
        <w:rPr>
          <w:rFonts w:hint="eastAsia"/>
          <w:sz w:val="21"/>
          <w:szCs w:val="21"/>
        </w:rPr>
        <w:t xml:space="preserve">（3）企业管理团队的领导与创新能力 </w:t>
      </w:r>
    </w:p>
    <w:p>
      <w:pPr>
        <w:pStyle w:val="7"/>
        <w:spacing w:before="0" w:beforeAutospacing="0" w:after="0" w:afterAutospacing="0" w:line="360" w:lineRule="auto"/>
        <w:ind w:firstLine="420"/>
        <w:rPr>
          <w:sz w:val="21"/>
          <w:szCs w:val="21"/>
        </w:rPr>
      </w:pPr>
      <w:r>
        <w:rPr>
          <w:rFonts w:hint="eastAsia"/>
          <w:sz w:val="21"/>
          <w:szCs w:val="21"/>
        </w:rPr>
        <w:t xml:space="preserve">首先，需要考察团队是否具备新思想、新思维、接受现代新事物的心态；是否可以在技术的应用创新上领先；是否具备商业模式的创新等。其次，需要考察管理团队及管理结构是否可以为企业的和谐发展提供保证。 </w:t>
      </w:r>
    </w:p>
    <w:p>
      <w:pPr>
        <w:pStyle w:val="7"/>
        <w:spacing w:before="0" w:beforeAutospacing="0" w:after="0" w:afterAutospacing="0" w:line="360" w:lineRule="auto"/>
        <w:ind w:firstLine="420"/>
        <w:rPr>
          <w:sz w:val="21"/>
          <w:szCs w:val="21"/>
        </w:rPr>
      </w:pPr>
      <w:r>
        <w:rPr>
          <w:rFonts w:hint="eastAsia"/>
          <w:sz w:val="21"/>
          <w:szCs w:val="21"/>
        </w:rPr>
        <w:t xml:space="preserve">（4）企业经营业绩与财务指标分析  </w:t>
      </w:r>
    </w:p>
    <w:p>
      <w:pPr>
        <w:pStyle w:val="7"/>
        <w:spacing w:before="0" w:beforeAutospacing="0" w:after="0" w:afterAutospacing="0" w:line="360" w:lineRule="auto"/>
        <w:ind w:firstLine="420"/>
        <w:rPr>
          <w:sz w:val="21"/>
          <w:szCs w:val="21"/>
        </w:rPr>
      </w:pPr>
      <w:r>
        <w:rPr>
          <w:rFonts w:hint="eastAsia"/>
          <w:sz w:val="21"/>
          <w:szCs w:val="21"/>
        </w:rPr>
        <w:t xml:space="preserve">1）主营业务收入增长分析 </w:t>
      </w:r>
    </w:p>
    <w:p>
      <w:pPr>
        <w:pStyle w:val="7"/>
        <w:spacing w:before="0" w:beforeAutospacing="0" w:after="0" w:afterAutospacing="0" w:line="360" w:lineRule="auto"/>
        <w:ind w:firstLine="420"/>
        <w:rPr>
          <w:sz w:val="21"/>
          <w:szCs w:val="21"/>
        </w:rPr>
      </w:pPr>
      <w:r>
        <w:rPr>
          <w:rFonts w:hint="eastAsia"/>
          <w:sz w:val="21"/>
          <w:szCs w:val="21"/>
        </w:rPr>
        <w:t xml:space="preserve">主营业务收入的快速增长往往意味着市场占有率的上升，这是企业竞争力提高的重要标志，体现公司的持续成长能力。 </w:t>
      </w:r>
    </w:p>
    <w:p>
      <w:pPr>
        <w:pStyle w:val="7"/>
        <w:spacing w:before="0" w:beforeAutospacing="0" w:after="0" w:afterAutospacing="0" w:line="360" w:lineRule="auto"/>
        <w:ind w:firstLine="420"/>
        <w:rPr>
          <w:sz w:val="21"/>
          <w:szCs w:val="21"/>
        </w:rPr>
      </w:pPr>
      <w:r>
        <w:rPr>
          <w:rFonts w:hint="eastAsia"/>
          <w:sz w:val="21"/>
          <w:szCs w:val="21"/>
        </w:rPr>
        <w:t xml:space="preserve">2）EPS增长质量分析 </w:t>
      </w:r>
    </w:p>
    <w:p>
      <w:pPr>
        <w:pStyle w:val="7"/>
        <w:spacing w:before="0" w:beforeAutospacing="0" w:after="0" w:afterAutospacing="0" w:line="360" w:lineRule="auto"/>
        <w:ind w:firstLine="420"/>
        <w:rPr>
          <w:sz w:val="21"/>
          <w:szCs w:val="21"/>
        </w:rPr>
      </w:pPr>
      <w:r>
        <w:rPr>
          <w:rFonts w:hint="eastAsia"/>
          <w:sz w:val="21"/>
          <w:szCs w:val="21"/>
        </w:rPr>
        <w:t xml:space="preserve">本基金主要考虑EPS 增长的质量和可持续性，同时判断增长的原因与公司战略的吻合度。 </w:t>
      </w:r>
    </w:p>
    <w:p>
      <w:pPr>
        <w:pStyle w:val="7"/>
        <w:spacing w:before="0" w:beforeAutospacing="0" w:after="0" w:afterAutospacing="0" w:line="360" w:lineRule="auto"/>
        <w:ind w:firstLine="420"/>
        <w:rPr>
          <w:sz w:val="21"/>
          <w:szCs w:val="21"/>
        </w:rPr>
      </w:pPr>
      <w:r>
        <w:rPr>
          <w:rFonts w:hint="eastAsia"/>
          <w:sz w:val="21"/>
          <w:szCs w:val="21"/>
        </w:rPr>
        <w:t xml:space="preserve">3）成长性、估值与市场预期分析 </w:t>
      </w:r>
    </w:p>
    <w:p>
      <w:pPr>
        <w:pStyle w:val="7"/>
        <w:spacing w:before="0" w:beforeAutospacing="0" w:after="0" w:afterAutospacing="0" w:line="360" w:lineRule="auto"/>
        <w:ind w:firstLine="420"/>
        <w:rPr>
          <w:sz w:val="21"/>
          <w:szCs w:val="21"/>
        </w:rPr>
      </w:pPr>
      <w:r>
        <w:rPr>
          <w:rFonts w:hint="eastAsia"/>
          <w:sz w:val="21"/>
          <w:szCs w:val="21"/>
        </w:rPr>
        <w:t xml:space="preserve">本基金通过计算股票市场价格所隐含的成长性，然后通过基本面来判断前述成长性是否合理。同时，本基金通过关注卖方分析师的收益预测和评级变动跟踪股票估值水平的变化。 </w:t>
      </w:r>
    </w:p>
    <w:p>
      <w:pPr>
        <w:pStyle w:val="7"/>
        <w:spacing w:before="0" w:beforeAutospacing="0" w:after="0" w:afterAutospacing="0" w:line="360" w:lineRule="auto"/>
        <w:ind w:firstLine="420"/>
        <w:rPr>
          <w:sz w:val="21"/>
          <w:szCs w:val="21"/>
        </w:rPr>
      </w:pPr>
      <w:r>
        <w:rPr>
          <w:rFonts w:hint="eastAsia"/>
          <w:sz w:val="21"/>
          <w:szCs w:val="21"/>
        </w:rPr>
        <w:t xml:space="preserve">4）财务健康度分析 </w:t>
      </w:r>
    </w:p>
    <w:p>
      <w:pPr>
        <w:pStyle w:val="7"/>
        <w:spacing w:before="0" w:beforeAutospacing="0" w:after="0" w:afterAutospacing="0" w:line="360" w:lineRule="auto"/>
        <w:ind w:firstLine="420"/>
        <w:rPr>
          <w:sz w:val="21"/>
          <w:szCs w:val="21"/>
        </w:rPr>
      </w:pPr>
      <w:r>
        <w:rPr>
          <w:rFonts w:hint="eastAsia"/>
          <w:sz w:val="21"/>
          <w:szCs w:val="21"/>
        </w:rPr>
        <w:t xml:space="preserve">本基金通过研究财务数据，判别企业风险。重点关注的指标包括收益、市场比率、成长、效率和风险的五大类指标 </w:t>
      </w:r>
    </w:p>
    <w:p>
      <w:pPr>
        <w:pStyle w:val="7"/>
        <w:spacing w:before="0" w:beforeAutospacing="0" w:after="0" w:afterAutospacing="0" w:line="360" w:lineRule="auto"/>
        <w:ind w:firstLine="420"/>
        <w:rPr>
          <w:sz w:val="21"/>
          <w:szCs w:val="21"/>
        </w:rPr>
      </w:pPr>
      <w:r>
        <w:rPr>
          <w:rFonts w:hint="eastAsia"/>
          <w:sz w:val="21"/>
          <w:szCs w:val="21"/>
        </w:rPr>
        <w:t xml:space="preserve">（5）公司治理健康度分析 </w:t>
      </w:r>
    </w:p>
    <w:p>
      <w:pPr>
        <w:pStyle w:val="7"/>
        <w:spacing w:before="0" w:beforeAutospacing="0" w:after="0" w:afterAutospacing="0" w:line="360" w:lineRule="auto"/>
        <w:ind w:firstLine="420"/>
        <w:rPr>
          <w:sz w:val="21"/>
          <w:szCs w:val="21"/>
        </w:rPr>
      </w:pPr>
      <w:r>
        <w:rPr>
          <w:rFonts w:hint="eastAsia"/>
          <w:sz w:val="21"/>
          <w:szCs w:val="21"/>
        </w:rPr>
        <w:t xml:space="preserve">主要考察以下四个因素：1）关联交易；2）信息披露；3）股权与独立董事；4）管理层。 </w:t>
      </w:r>
    </w:p>
    <w:p>
      <w:pPr>
        <w:pStyle w:val="7"/>
        <w:spacing w:before="0" w:beforeAutospacing="0" w:after="0" w:afterAutospacing="0" w:line="360" w:lineRule="auto"/>
        <w:ind w:firstLine="420"/>
        <w:rPr>
          <w:sz w:val="21"/>
          <w:szCs w:val="21"/>
        </w:rPr>
      </w:pPr>
      <w:r>
        <w:rPr>
          <w:rFonts w:hint="eastAsia"/>
          <w:sz w:val="21"/>
          <w:szCs w:val="21"/>
        </w:rPr>
        <w:t xml:space="preserve">4、存托凭证投资策略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pPr>
        <w:pStyle w:val="7"/>
        <w:spacing w:before="0" w:beforeAutospacing="0" w:after="0" w:afterAutospacing="0" w:line="360" w:lineRule="auto"/>
        <w:ind w:firstLine="420"/>
        <w:rPr>
          <w:sz w:val="21"/>
          <w:szCs w:val="21"/>
        </w:rPr>
      </w:pPr>
      <w:r>
        <w:rPr>
          <w:rFonts w:hint="eastAsia"/>
          <w:sz w:val="21"/>
          <w:szCs w:val="21"/>
        </w:rPr>
        <w:t xml:space="preserve">（三）债券投资策略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本基金采用的债券投资策略包括：期限结构策略、信用策略、互换策略、息差策略、可转债策略等。 </w:t>
      </w:r>
    </w:p>
    <w:p>
      <w:pPr>
        <w:pStyle w:val="7"/>
        <w:spacing w:before="0" w:beforeAutospacing="0" w:after="0" w:afterAutospacing="0" w:line="360" w:lineRule="auto"/>
        <w:ind w:firstLine="420"/>
        <w:rPr>
          <w:sz w:val="21"/>
          <w:szCs w:val="21"/>
        </w:rPr>
      </w:pPr>
      <w:r>
        <w:rPr>
          <w:rFonts w:hint="eastAsia"/>
          <w:sz w:val="21"/>
          <w:szCs w:val="21"/>
        </w:rPr>
        <w:t xml:space="preserve">1、期限结构策略 </w:t>
      </w:r>
    </w:p>
    <w:p>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2、信用策略 </w:t>
      </w:r>
    </w:p>
    <w:p>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pPr>
        <w:pStyle w:val="7"/>
        <w:spacing w:before="0" w:beforeAutospacing="0" w:after="0" w:afterAutospacing="0" w:line="360" w:lineRule="auto"/>
        <w:ind w:firstLine="420"/>
        <w:rPr>
          <w:sz w:val="21"/>
          <w:szCs w:val="21"/>
        </w:rPr>
      </w:pPr>
      <w:r>
        <w:rPr>
          <w:rFonts w:hint="eastAsia"/>
          <w:sz w:val="21"/>
          <w:szCs w:val="21"/>
        </w:rPr>
        <w:t xml:space="preserve">3、互换策略 </w:t>
      </w:r>
    </w:p>
    <w:p>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不同券种在利息、违约风险、久期、流动性、税收和衍生条款等方面存在差别，投资管理人可以同时买入和卖出具有相近特性的两个或两个以上券种，赚取收益级差。 </w:t>
      </w:r>
    </w:p>
    <w:p>
      <w:pPr>
        <w:pStyle w:val="7"/>
        <w:spacing w:before="0" w:beforeAutospacing="0" w:after="0" w:afterAutospacing="0" w:line="360" w:lineRule="auto"/>
        <w:ind w:firstLine="420"/>
        <w:rPr>
          <w:sz w:val="21"/>
          <w:szCs w:val="21"/>
        </w:rPr>
      </w:pPr>
      <w:r>
        <w:rPr>
          <w:rFonts w:hint="eastAsia"/>
          <w:sz w:val="21"/>
          <w:szCs w:val="21"/>
        </w:rPr>
        <w:t xml:space="preserve">4、息差策略 </w:t>
      </w:r>
    </w:p>
    <w:p>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5、可转债投资策略 </w:t>
      </w:r>
    </w:p>
    <w:p>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pPr>
        <w:pStyle w:val="7"/>
        <w:spacing w:before="0" w:beforeAutospacing="0" w:after="0" w:afterAutospacing="0" w:line="360" w:lineRule="auto"/>
        <w:ind w:firstLine="420"/>
        <w:rPr>
          <w:sz w:val="21"/>
          <w:szCs w:val="21"/>
        </w:rPr>
      </w:pPr>
      <w:r>
        <w:rPr>
          <w:rFonts w:hint="eastAsia"/>
          <w:sz w:val="21"/>
          <w:szCs w:val="21"/>
        </w:rPr>
        <w:t xml:space="preserve">6、中小企业私募债券投资策略 </w:t>
      </w:r>
    </w:p>
    <w:p>
      <w:pPr>
        <w:pStyle w:val="7"/>
        <w:spacing w:before="0" w:beforeAutospacing="0" w:after="0" w:afterAutospacing="0" w:line="360" w:lineRule="auto"/>
        <w:ind w:firstLine="420"/>
        <w:rPr>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 </w:t>
      </w:r>
    </w:p>
    <w:p>
      <w:pPr>
        <w:pStyle w:val="7"/>
        <w:spacing w:before="0" w:beforeAutospacing="0" w:after="0" w:afterAutospacing="0" w:line="360" w:lineRule="auto"/>
        <w:ind w:firstLine="420"/>
        <w:rPr>
          <w:sz w:val="21"/>
          <w:szCs w:val="21"/>
        </w:rPr>
      </w:pPr>
      <w:r>
        <w:rPr>
          <w:rFonts w:hint="eastAsia"/>
          <w:sz w:val="21"/>
          <w:szCs w:val="21"/>
        </w:rPr>
        <w:t xml:space="preserve">（四）金融衍生品投资策略 </w:t>
      </w:r>
    </w:p>
    <w:p>
      <w:pPr>
        <w:pStyle w:val="7"/>
        <w:spacing w:before="0" w:beforeAutospacing="0" w:after="0" w:afterAutospacing="0" w:line="360" w:lineRule="auto"/>
        <w:ind w:firstLine="420"/>
        <w:rPr>
          <w:sz w:val="21"/>
          <w:szCs w:val="21"/>
        </w:rPr>
      </w:pPr>
      <w:r>
        <w:rPr>
          <w:rFonts w:hint="eastAsia"/>
          <w:sz w:val="21"/>
          <w:szCs w:val="21"/>
        </w:rPr>
        <w:t xml:space="preserve">1、权证投资策略 </w:t>
      </w:r>
    </w:p>
    <w:p>
      <w:pPr>
        <w:pStyle w:val="7"/>
        <w:spacing w:before="0" w:beforeAutospacing="0" w:after="0" w:afterAutospacing="0" w:line="360" w:lineRule="auto"/>
        <w:ind w:firstLine="420"/>
        <w:rPr>
          <w:sz w:val="21"/>
          <w:szCs w:val="21"/>
        </w:rPr>
      </w:pPr>
      <w:r>
        <w:rPr>
          <w:rFonts w:hint="eastAsia"/>
          <w:sz w:val="21"/>
          <w:szCs w:val="21"/>
        </w:rPr>
        <w:t xml:space="preserve">权证为本基金辅助性投资工具，投资原则为有利于基金资产增值、控制下跌风险、实现保值和锁定收益。本基金将主要投资满足成长和价值优选条件的公司发行的权证。 </w:t>
      </w:r>
    </w:p>
    <w:p>
      <w:pPr>
        <w:pStyle w:val="7"/>
        <w:spacing w:before="0" w:beforeAutospacing="0" w:after="0" w:afterAutospacing="0" w:line="360" w:lineRule="auto"/>
        <w:ind w:firstLine="420"/>
        <w:rPr>
          <w:sz w:val="21"/>
          <w:szCs w:val="21"/>
        </w:rPr>
      </w:pPr>
      <w:r>
        <w:rPr>
          <w:rFonts w:hint="eastAsia"/>
          <w:sz w:val="21"/>
          <w:szCs w:val="21"/>
        </w:rPr>
        <w:t xml:space="preserve">2、股指期货投资策略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本基金将根据风险管理的原则，以套期保值为目的，在风险可控的前提下，本着谨慎原则，参与股指期货的投资，以管理投资组合的系统性风险，改善组合的风险收益特性。 </w:t>
      </w:r>
    </w:p>
    <w:p>
      <w:pPr>
        <w:pStyle w:val="7"/>
        <w:spacing w:before="0" w:beforeAutospacing="0" w:after="0" w:afterAutospacing="0" w:line="360" w:lineRule="auto"/>
        <w:ind w:firstLine="420"/>
        <w:rPr>
          <w:sz w:val="21"/>
          <w:szCs w:val="21"/>
        </w:rPr>
      </w:pPr>
      <w:r>
        <w:rPr>
          <w:rFonts w:hint="eastAsia"/>
          <w:sz w:val="21"/>
          <w:szCs w:val="21"/>
        </w:rPr>
        <w:t>未来，随着中国证券市场投资工具的发展和丰富，在符合有关法律法规规定的前提下，</w:t>
      </w:r>
      <w:bookmarkStart w:id="117" w:name="chapter_level1_11_60_section_1_end"/>
      <w:bookmarkEnd w:id="117"/>
      <w:r>
        <w:rPr>
          <w:rFonts w:hint="eastAsia"/>
          <w:sz w:val="21"/>
          <w:szCs w:val="21"/>
        </w:rPr>
        <w:t xml:space="preserve">基金可相应调整和更新相关投资策略。 </w:t>
      </w:r>
      <w:bookmarkStart w:id="118" w:name="field_60_investmentstrategy_1_end"/>
      <w:bookmarkEnd w:id="118"/>
      <w:r>
        <w:rPr>
          <w:rFonts w:hint="eastAsia"/>
          <w:sz w:val="21"/>
          <w:szCs w:val="21"/>
        </w:rPr>
        <w:t xml:space="preserve">  </w:t>
      </w:r>
    </w:p>
    <w:p>
      <w:pPr>
        <w:pStyle w:val="7"/>
        <w:spacing w:before="0" w:beforeAutospacing="0" w:after="0" w:afterAutospacing="0" w:line="360" w:lineRule="auto"/>
        <w:ind w:firstLine="420"/>
        <w:rPr>
          <w:sz w:val="21"/>
          <w:szCs w:val="21"/>
        </w:rPr>
      </w:pPr>
      <w:bookmarkStart w:id="119" w:name="chapter_level1_11_60_section_2"/>
      <w:bookmarkEnd w:id="119"/>
      <w:r>
        <w:rPr>
          <w:rStyle w:val="11"/>
          <w:rFonts w:hint="eastAsia"/>
          <w:sz w:val="21"/>
          <w:szCs w:val="21"/>
        </w:rPr>
        <w:t>四、投资决策流程</w:t>
      </w:r>
    </w:p>
    <w:p>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7"/>
        <w:spacing w:before="0" w:beforeAutospacing="0" w:after="0" w:afterAutospacing="0" w:line="360" w:lineRule="auto"/>
        <w:ind w:firstLine="420"/>
        <w:rPr>
          <w:sz w:val="21"/>
          <w:szCs w:val="21"/>
        </w:rPr>
      </w:pPr>
      <w:r>
        <w:rPr>
          <w:rStyle w:val="11"/>
          <w:rFonts w:hint="eastAsia"/>
          <w:sz w:val="21"/>
          <w:szCs w:val="21"/>
        </w:rPr>
        <w:t>五、投资限制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（1）本基金股票（含存托凭证）投资比例为基金资产的0%-95%，其中，投资于产业新动力股票的资产占非现金基金资产的比例不低于80%；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（6）本基金持有的全部权证，其市值不得超过基金资产净值的3％；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（7）本基金管理人管理的全部基金持有的同一权证，不得超过该权证的10％； </w:t>
      </w:r>
    </w:p>
    <w:p>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 </w:t>
      </w:r>
    </w:p>
    <w:p>
      <w:pPr>
        <w:pStyle w:val="7"/>
        <w:spacing w:before="0" w:beforeAutospacing="0" w:after="0" w:afterAutospacing="0" w:line="360" w:lineRule="auto"/>
        <w:ind w:firstLine="420"/>
        <w:rPr>
          <w:sz w:val="21"/>
          <w:szCs w:val="21"/>
        </w:rPr>
      </w:pPr>
      <w:r>
        <w:rPr>
          <w:rFonts w:hint="eastAsia"/>
          <w:sz w:val="21"/>
          <w:szCs w:val="21"/>
        </w:rPr>
        <w:t xml:space="preserve">（9）本基金投资于同一原始权益人的各类资产支持证券的比例，不得超过基金资产净值的10％；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（10）本基金持有的全部资产支持证券，其市值不得超过基金资产净值的20％；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（11）本基金持有的同一(指同一信用级别)资产支持证券的比例，不得超过该资产支持证券规模的10％；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（12）本基金管理人管理的全部基金投资于同一原始权益人的各类资产支持证券，不得超过其各类资产支持证券合计规模的10％；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（13）本基金应投资于信用级别评级为BBB以上(含BBB)的资产支持证券。基金持有资产支持证券期间，如果其信用等级下降、不再符合投资标准，应在评级报告发布之日起3个月内予以全部卖出；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（14）基金财产参与股票发行申购，本基金所申报的金额不超过本基金的总资产，本基金所申报的股票数量不超过拟发行股票公司本次发行股票的总量；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（15）本基金投资流通受限证券，基金管理人应制订严格的投资决策流程和风险控制制度，防范流动性风险、法律风险和操作风险等各种风险； </w:t>
      </w:r>
    </w:p>
    <w:p>
      <w:pPr>
        <w:pStyle w:val="7"/>
        <w:spacing w:before="0" w:beforeAutospacing="0" w:after="0" w:afterAutospacing="0" w:line="360" w:lineRule="auto"/>
        <w:ind w:firstLine="420"/>
        <w:rPr>
          <w:sz w:val="21"/>
          <w:szCs w:val="21"/>
        </w:rPr>
      </w:pPr>
      <w:r>
        <w:rPr>
          <w:rFonts w:hint="eastAsia"/>
          <w:sz w:val="21"/>
          <w:szCs w:val="21"/>
        </w:rPr>
        <w:t xml:space="preserve">（16）本基金参与股指期货交易后，需遵守下列规定：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（17）本基金持有单只中小企业私募债券，其市值不得超过本基金资产净值的10%；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18）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pPr>
        <w:pStyle w:val="7"/>
        <w:spacing w:before="0" w:beforeAutospacing="0" w:after="0" w:afterAutospacing="0" w:line="360" w:lineRule="auto"/>
        <w:ind w:firstLine="420"/>
        <w:rPr>
          <w:sz w:val="21"/>
          <w:szCs w:val="21"/>
        </w:rPr>
      </w:pPr>
      <w:r>
        <w:rPr>
          <w:rFonts w:hint="eastAsia"/>
          <w:sz w:val="21"/>
          <w:szCs w:val="21"/>
        </w:rPr>
        <w:t xml:space="preserve">（19）本基金主动投资于流动性受限资产的市值合计不得超过本基金资产净值的15%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（20）本基金与私募类证券资管产品及中国证监会认定的其他主体为交易对手开展逆回购交易的，可接受质押品的资质要求应当与基金合同约定的投资范围保持一致；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13）、（19）、（20）项外，因证券、期货市场波动、上市公司合并、基金规模变动、股权分置改革中支付对价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法律、行政法规或监管部门取消上述禁止性规定，如适用于本基金，基金管理人在履行适当程序后，则本基金投资不再受相关限制。 </w:t>
      </w:r>
    </w:p>
    <w:p>
      <w:pPr>
        <w:pStyle w:val="7"/>
        <w:spacing w:before="0" w:beforeAutospacing="0" w:after="0" w:afterAutospacing="0" w:line="360" w:lineRule="auto"/>
        <w:ind w:firstLine="420"/>
        <w:rPr>
          <w:sz w:val="21"/>
          <w:szCs w:val="21"/>
        </w:rPr>
      </w:pPr>
      <w:bookmarkStart w:id="120" w:name="chapter_level1_11_60_section_2_end"/>
      <w:bookmarkEnd w:id="120"/>
      <w:r>
        <w:rPr>
          <w:rStyle w:val="11"/>
          <w:rFonts w:hint="eastAsia"/>
          <w:sz w:val="21"/>
          <w:szCs w:val="21"/>
        </w:rPr>
        <w:t>六、业绩比较基准</w:t>
      </w:r>
    </w:p>
    <w:p>
      <w:pPr>
        <w:pStyle w:val="7"/>
        <w:spacing w:before="0" w:beforeAutospacing="0" w:after="0" w:afterAutospacing="0" w:line="360" w:lineRule="auto"/>
        <w:ind w:firstLine="420"/>
        <w:rPr>
          <w:sz w:val="21"/>
          <w:szCs w:val="21"/>
        </w:rPr>
      </w:pPr>
      <w:bookmarkStart w:id="121" w:name="chapter_level1_11_60_section_3"/>
      <w:bookmarkEnd w:id="121"/>
      <w:r>
        <w:rPr>
          <w:rFonts w:hint="eastAsia"/>
          <w:sz w:val="21"/>
          <w:szCs w:val="21"/>
        </w:rPr>
        <w:t>本基金的业绩比较基准为：</w:t>
      </w:r>
      <w:bookmarkStart w:id="122" w:name="field_60_benchmark_1_start"/>
      <w:bookmarkEnd w:id="122"/>
      <w:r>
        <w:rPr>
          <w:rFonts w:hint="eastAsia"/>
          <w:sz w:val="21"/>
          <w:szCs w:val="21"/>
        </w:rPr>
        <w:t xml:space="preserve">中证全指工业指数收益率×70%+中国债券总指数收益率×30%。  </w:t>
      </w:r>
      <w:bookmarkStart w:id="123" w:name="field_60_benchmark_1_end"/>
      <w:bookmarkEnd w:id="123"/>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为混合型基金。在综合考虑了基金股票组合的构建、投资标的以及市场上可得的股票指数的编制方法后，本基金选择市场认同度较高、行业分类标准和指数编制方法较为科学的中证全指工业指数作为本基金股票组合的业绩比较基准。中证全指工业指数对创新产业股票具有较强的代表性，适合作为本基金股票部分的业绩比较基准。现金管理部分则采用中国债券总指数收益率作为业绩比较基准。 </w:t>
      </w:r>
    </w:p>
    <w:p>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本基金管理人可以依据维护投资者合法权益的原则，在与基金托管人协商一致并报中国证监会备案后，适当调整业绩比较基准并及时</w:t>
      </w:r>
      <w:bookmarkStart w:id="124" w:name="chapter_level1_11_60_section_3_end"/>
      <w:bookmarkEnd w:id="124"/>
      <w:r>
        <w:rPr>
          <w:rFonts w:hint="eastAsia"/>
          <w:sz w:val="21"/>
          <w:szCs w:val="21"/>
        </w:rPr>
        <w:t xml:space="preserve">公告，而无需召开基金份额持有人大会。 </w:t>
      </w:r>
    </w:p>
    <w:p>
      <w:pPr>
        <w:pStyle w:val="7"/>
        <w:spacing w:before="0" w:beforeAutospacing="0" w:after="0" w:afterAutospacing="0" w:line="360" w:lineRule="auto"/>
        <w:ind w:firstLine="420"/>
        <w:rPr>
          <w:sz w:val="21"/>
          <w:szCs w:val="21"/>
        </w:rPr>
      </w:pPr>
      <w:bookmarkStart w:id="125" w:name="chapter_level1_11_60_section_4"/>
      <w:bookmarkEnd w:id="125"/>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26" w:name="field_60_riskyield_1_start"/>
      <w:bookmarkEnd w:id="126"/>
      <w:r>
        <w:rPr>
          <w:rFonts w:hint="eastAsia"/>
          <w:sz w:val="21"/>
          <w:szCs w:val="21"/>
        </w:rPr>
        <w:t xml:space="preserve">本基金为混合型基金，预期风险和预期收益高于货币市场基金、债券型基金，低于股票型基金，属于证券投资基金中的中高风险/收益品种。  </w:t>
      </w:r>
      <w:bookmarkStart w:id="127" w:name="field_60_riskyield_1_end"/>
      <w:bookmarkEnd w:id="12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八、基金管理人代表基金行使股东权利和债权人权利的处理原则及方法 </w:t>
      </w:r>
    </w:p>
    <w:p>
      <w:pPr>
        <w:pStyle w:val="7"/>
        <w:spacing w:before="0" w:beforeAutospacing="0" w:after="0" w:afterAutospacing="0" w:line="360" w:lineRule="auto"/>
        <w:ind w:firstLine="420"/>
        <w:rPr>
          <w:sz w:val="21"/>
          <w:szCs w:val="21"/>
        </w:rPr>
      </w:pPr>
      <w:r>
        <w:rPr>
          <w:rFonts w:hint="eastAsia"/>
          <w:sz w:val="21"/>
          <w:szCs w:val="21"/>
        </w:rPr>
        <w:t xml:space="preserve">1、不谋求对上市公司的控股，不参与所投资上市公司的经营管理； </w:t>
      </w:r>
    </w:p>
    <w:p>
      <w:pPr>
        <w:pStyle w:val="7"/>
        <w:spacing w:before="0" w:beforeAutospacing="0" w:after="0" w:afterAutospacing="0" w:line="360" w:lineRule="auto"/>
        <w:ind w:firstLine="420"/>
        <w:rPr>
          <w:sz w:val="21"/>
          <w:szCs w:val="21"/>
        </w:rPr>
      </w:pPr>
      <w:r>
        <w:rPr>
          <w:rFonts w:hint="eastAsia"/>
          <w:sz w:val="21"/>
          <w:szCs w:val="21"/>
        </w:rPr>
        <w:t xml:space="preserve">2、基金管理人按照国家有关规定代表基金独立行使股东权利和债权人权利，保护基金份额持有人的利益；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3、有利于基金资产的安全与增值； </w:t>
      </w:r>
    </w:p>
    <w:p>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28" w:name="chapter_level1_11_60_section_4_end"/>
      <w:bookmarkEnd w:id="128"/>
      <w:r>
        <w:rPr>
          <w:rFonts w:hint="eastAsia"/>
          <w:sz w:val="21"/>
          <w:szCs w:val="21"/>
        </w:rPr>
        <w:t xml:space="preserve">不当利益。 </w:t>
      </w:r>
    </w:p>
    <w:p>
      <w:pPr>
        <w:pStyle w:val="7"/>
        <w:spacing w:before="0" w:beforeAutospacing="0" w:after="0" w:afterAutospacing="0" w:line="360" w:lineRule="auto"/>
        <w:ind w:firstLine="420"/>
        <w:rPr>
          <w:sz w:val="21"/>
          <w:szCs w:val="21"/>
        </w:rPr>
      </w:pPr>
      <w:bookmarkStart w:id="129" w:name="chapter_level1_11_60_section_5"/>
      <w:bookmarkEnd w:id="129"/>
      <w:bookmarkStart w:id="130" w:name="chapter_level1_11_60_section_5_end"/>
      <w:bookmarkEnd w:id="130"/>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bookmarkStart w:id="131" w:name="chapter_level1_11_60_section_6"/>
      <w:bookmarkEnd w:id="131"/>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基金托管人中国建设银行股份有限公司根据基金合同规定复核了本报告中的财务指标、净值表现和投资组合报告等内容，保证复核内容不存在虚假记载、误导性陈述或者重大遗漏。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2" w:name="field_2343_financeendday_2"/>
      <w:r>
        <w:rPr>
          <w:sz w:val="21"/>
          <w:szCs w:val="21"/>
        </w:rPr>
        <w:t>2025年6月30日</w:t>
      </w:r>
      <w:bookmarkEnd w:id="132"/>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33" w:name="field_0_fundportfolio_1_start"/>
      <w:bookmarkEnd w:id="133"/>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344,188,842.21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344,188,842.21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5,225,000.00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101,026,137.78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114,893.12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450,554,873.11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15,232,340.00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37,280,828.00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175,762,329.85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14,975,972.00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4,567,984.00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4,524,510.00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80,657,815.00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6,930,620.00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14,499.36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4,239,700.00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344,188,842.21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77.38</w:t>
            </w:r>
          </w:p>
        </w:tc>
      </w:tr>
    </w:tbl>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122"/>
        <w:gridCol w:w="1233"/>
        <w:gridCol w:w="1680"/>
        <w:gridCol w:w="2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105,680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26,654,609.60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601899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紫金矿业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1,160,100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22,621,950.00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000333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美的集团</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266,800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19,262,960.00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000651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格力电器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332,500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14,935,900.00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600036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招商银行</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297,900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13,688,505.00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600900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长江电力</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429,000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12,930,060.00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601318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中国平安</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230,300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12,777,044.00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601319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中国人保</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1,341,600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11,685,336.00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601601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中国太保</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303,100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11,369,281.00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300433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蓝思科技</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496,700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11,076,410.00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2.49</w:t>
            </w:r>
          </w:p>
        </w:tc>
      </w:tr>
    </w:tbl>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招商银行股份有限公司在报告编制前一年受到国家外汇管理局绍兴市分局、国家外汇管理局贵州省分局、国家金融监督管理总局四川监管局、国家金融监督管理总局山东监管局、深圳市市场监督管理局的处罚。紫金矿业集团股份有限公司在报告编制前一年受到上杭县住房和城乡建设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89,334.39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25,558.73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114,893.12</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34" w:name="chapter_level1_11_60_section_6_end"/>
      <w:bookmarkEnd w:id="134"/>
      <w:r>
        <w:rPr>
          <w:rFonts w:hint="eastAsia"/>
          <w:sz w:val="21"/>
          <w:szCs w:val="21"/>
        </w:rPr>
        <w:t>由于四舍五入的原因，分项之和与合计项之间可能存在尾差。</w:t>
      </w:r>
      <w:bookmarkStart w:id="135" w:name="field_0_fundportfolio_1_end"/>
      <w:bookmarkEnd w:id="13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6" w:name="chapter_level1_12_3500"/>
      <w:bookmarkStart w:id="137" w:name="_Toc207980078"/>
      <w:r>
        <w:rPr>
          <w:rFonts w:hint="eastAsia" w:ascii="宋体" w:hAnsi="宋体" w:eastAsia="宋体"/>
          <w:sz w:val="30"/>
        </w:rPr>
        <w:t>第九部分 基金的业绩</w:t>
      </w:r>
      <w:bookmarkEnd w:id="136"/>
      <w:bookmarkEnd w:id="137"/>
    </w:p>
    <w:p>
      <w:pPr>
        <w:pStyle w:val="7"/>
        <w:spacing w:before="0" w:beforeAutospacing="0" w:after="0" w:afterAutospacing="0" w:line="360" w:lineRule="auto"/>
        <w:ind w:firstLine="420"/>
        <w:rPr>
          <w:sz w:val="21"/>
          <w:szCs w:val="21"/>
        </w:rPr>
      </w:pPr>
      <w:bookmarkStart w:id="138" w:name="chapter_level1_12_3500_section_1"/>
      <w:bookmarkEnd w:id="13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39" w:name="field_0_indatatable_1_start"/>
      <w:bookmarkEnd w:id="139"/>
      <w:r>
        <w:rPr>
          <w:rFonts w:hint="eastAsia"/>
          <w:sz w:val="21"/>
          <w:szCs w:val="21"/>
        </w:rPr>
        <w:t>博时产业新动力混合A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2015.01.26-2015.12.31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37.60%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36.53%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-22.62%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59.81%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-14.78%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-4.58%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3.89%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2015.01.26-2025.06.30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159.30%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148.66%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0.20%</w:t>
            </w:r>
          </w:p>
        </w:tc>
      </w:tr>
    </w:tbl>
    <w:p>
      <w:pPr>
        <w:pStyle w:val="7"/>
        <w:spacing w:before="0" w:beforeAutospacing="0" w:after="0" w:afterAutospacing="0" w:line="360" w:lineRule="auto"/>
        <w:ind w:firstLine="420"/>
        <w:rPr>
          <w:sz w:val="21"/>
          <w:szCs w:val="21"/>
        </w:rPr>
      </w:pPr>
      <w:r>
        <w:rPr>
          <w:rFonts w:hint="eastAsia"/>
          <w:sz w:val="21"/>
          <w:szCs w:val="21"/>
        </w:rPr>
        <w:t>博时产业新动力混合C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2018.05.09-2018.12.31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-17.44%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38.41%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58.54%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-20.94%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-14.78%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-5.44%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2018.05.09-2025.06.30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51.55%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bl>
    <w:p>
      <w:pPr>
        <w:pStyle w:val="7"/>
        <w:spacing w:before="0" w:beforeAutospacing="0" w:after="0" w:afterAutospacing="0" w:line="360" w:lineRule="auto"/>
        <w:ind w:firstLine="420"/>
        <w:rPr>
          <w:sz w:val="21"/>
          <w:szCs w:val="21"/>
        </w:rPr>
      </w:pPr>
      <w:bookmarkStart w:id="140" w:name="field_0_indatatable_1_end"/>
      <w:bookmarkEnd w:id="140"/>
      <w:bookmarkStart w:id="141" w:name="chapter_level1_12_3500_section_1_end"/>
      <w:bookmarkEnd w:id="14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2" w:name="_Toc207980079"/>
      <w:bookmarkStart w:id="143" w:name="chapter_level1_13_62"/>
      <w:r>
        <w:rPr>
          <w:rFonts w:hint="eastAsia" w:ascii="宋体" w:hAnsi="宋体" w:eastAsia="宋体"/>
          <w:sz w:val="30"/>
        </w:rPr>
        <w:t>第十部分  基金的财产</w:t>
      </w:r>
      <w:bookmarkEnd w:id="142"/>
      <w:bookmarkEnd w:id="143"/>
    </w:p>
    <w:p>
      <w:pPr>
        <w:pStyle w:val="7"/>
        <w:spacing w:before="0" w:beforeAutospacing="0" w:after="0" w:afterAutospacing="0" w:line="360" w:lineRule="auto"/>
        <w:ind w:firstLine="420"/>
        <w:rPr>
          <w:sz w:val="21"/>
          <w:szCs w:val="21"/>
        </w:rPr>
      </w:pPr>
      <w:bookmarkStart w:id="144" w:name="chapter_level1_13_62_section_1"/>
      <w:bookmarkEnd w:id="144"/>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5" w:name="chapter_level1_13_62_section_1_end"/>
      <w:bookmarkEnd w:id="145"/>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6" w:name="chapter_level1_14_63"/>
      <w:bookmarkStart w:id="147" w:name="_Toc207980080"/>
      <w:r>
        <w:rPr>
          <w:rFonts w:hint="eastAsia" w:ascii="宋体" w:hAnsi="宋体" w:eastAsia="宋体"/>
          <w:sz w:val="30"/>
        </w:rPr>
        <w:t>第十一部分  基金资产的估值</w:t>
      </w:r>
      <w:bookmarkEnd w:id="146"/>
      <w:bookmarkEnd w:id="147"/>
    </w:p>
    <w:p>
      <w:pPr>
        <w:pStyle w:val="7"/>
        <w:spacing w:before="0" w:beforeAutospacing="0" w:after="0" w:afterAutospacing="0" w:line="360" w:lineRule="auto"/>
        <w:ind w:firstLine="420"/>
        <w:rPr>
          <w:sz w:val="21"/>
          <w:szCs w:val="21"/>
        </w:rPr>
      </w:pPr>
      <w:bookmarkStart w:id="148" w:name="chapter_level1_14_63_section_1"/>
      <w:bookmarkEnd w:id="148"/>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基金所拥有的股票、权证、债券和银行存款本息、股指期货合约、应收款项、其它投资等资产及负债。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 </w:t>
      </w:r>
    </w:p>
    <w:p>
      <w:pPr>
        <w:pStyle w:val="7"/>
        <w:spacing w:before="0" w:beforeAutospacing="0" w:after="0" w:afterAutospacing="0" w:line="360" w:lineRule="auto"/>
        <w:ind w:firstLine="420"/>
        <w:rPr>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6、中小企业私募债券，采用估值技术确定公允价值。在估值技术难以可靠计量公允价值的情况下，按成本估值。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8、相关法律法规以及监管部门有强制规定的，从其规定。如有新增事项，按国家最新规定估值。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49" w:name="chapter_level1_14_63_section_1_end"/>
      <w:bookmarkEnd w:id="149"/>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50" w:name="chapter_level1_14_63_section_2"/>
      <w:bookmarkEnd w:id="150"/>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1、各类基金份额净值是按照每个工作日闭市后，该类基金资产净值除以当日该类基金份额的余额数量计算，精确到</w:t>
      </w:r>
      <w:bookmarkStart w:id="151" w:name="field_63_netdecimalvalue_1"/>
      <w:r>
        <w:rPr>
          <w:sz w:val="21"/>
          <w:szCs w:val="21"/>
        </w:rPr>
        <w:t>0.001</w:t>
      </w:r>
      <w:bookmarkEnd w:id="151"/>
      <w:r>
        <w:rPr>
          <w:rFonts w:hint="eastAsia"/>
          <w:sz w:val="21"/>
          <w:szCs w:val="21"/>
        </w:rPr>
        <w:t xml:space="preserve">元，小数点后第4位四舍五入。国家另有规定的，从其规定。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2" w:name="field_63_netdecimal_1"/>
      <w:r>
        <w:rPr>
          <w:sz w:val="21"/>
          <w:szCs w:val="21"/>
        </w:rPr>
        <w:t>3</w:t>
      </w:r>
      <w:bookmarkEnd w:id="152"/>
      <w:r>
        <w:rPr>
          <w:rFonts w:hint="eastAsia"/>
          <w:sz w:val="21"/>
          <w:szCs w:val="21"/>
        </w:rPr>
        <w:t>位以内(含第</w:t>
      </w:r>
      <w:bookmarkStart w:id="153" w:name="field_63_netdecimal_2"/>
      <w:r>
        <w:rPr>
          <w:sz w:val="21"/>
          <w:szCs w:val="21"/>
        </w:rPr>
        <w:t>3</w:t>
      </w:r>
      <w:bookmarkEnd w:id="153"/>
      <w:r>
        <w:rPr>
          <w:rFonts w:hint="eastAsia"/>
          <w:sz w:val="21"/>
          <w:szCs w:val="21"/>
        </w:rPr>
        <w:t xml:space="preserve">位)发生估值错误时，视为基金份额净值错误。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开放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1、基金管理人或基金托管人按估值方法的第7项进行估值时，所造成的误差不作为基金资产估值错误处理。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w:t>
      </w:r>
      <w:bookmarkStart w:id="154" w:name="chapter_level1_14_63_section_2_end"/>
      <w:bookmarkEnd w:id="154"/>
      <w:r>
        <w:rPr>
          <w:rFonts w:hint="eastAsia"/>
          <w:sz w:val="21"/>
          <w:szCs w:val="21"/>
        </w:rPr>
        <w:t xml:space="preserve">的影响。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5" w:name="chapter_level1_15_64"/>
      <w:bookmarkStart w:id="156" w:name="_Toc207980081"/>
      <w:r>
        <w:rPr>
          <w:rFonts w:hint="eastAsia" w:ascii="宋体" w:hAnsi="宋体" w:eastAsia="宋体"/>
          <w:sz w:val="30"/>
        </w:rPr>
        <w:t>第十二部分  基金的收益分配</w:t>
      </w:r>
      <w:bookmarkEnd w:id="155"/>
      <w:bookmarkEnd w:id="156"/>
    </w:p>
    <w:p>
      <w:pPr>
        <w:pStyle w:val="7"/>
        <w:spacing w:before="0" w:beforeAutospacing="0" w:after="0" w:afterAutospacing="0" w:line="360" w:lineRule="auto"/>
        <w:ind w:firstLine="420"/>
        <w:rPr>
          <w:sz w:val="21"/>
          <w:szCs w:val="21"/>
        </w:rPr>
      </w:pPr>
      <w:bookmarkStart w:id="157" w:name="chapter_level1_15_64_section_1"/>
      <w:bookmarkEnd w:id="157"/>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3、本基金同一类别的每一基金份额享有同等分配权； </w:t>
      </w:r>
    </w:p>
    <w:p>
      <w:pPr>
        <w:pStyle w:val="7"/>
        <w:spacing w:before="0" w:beforeAutospacing="0" w:after="0" w:afterAutospacing="0" w:line="360" w:lineRule="auto"/>
        <w:ind w:firstLine="420"/>
        <w:rPr>
          <w:sz w:val="21"/>
          <w:szCs w:val="21"/>
        </w:rPr>
      </w:pPr>
      <w:bookmarkStart w:id="158" w:name="chapter_level1_15_64_section_1_end"/>
      <w:bookmarkEnd w:id="158"/>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bookmarkStart w:id="159" w:name="chapter_level1_15_64_section_2"/>
      <w:bookmarkEnd w:id="159"/>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其他手续费用时，基金登记机构可将基金份额持有人的现金红利自动转为相应类别基金份额。红利再投资的计算方法，依照《业务规则》执</w:t>
      </w:r>
      <w:bookmarkStart w:id="160" w:name="chapter_level1_15_64_section_2_end"/>
      <w:bookmarkEnd w:id="160"/>
      <w:r>
        <w:rPr>
          <w:rFonts w:hint="eastAsia"/>
          <w:sz w:val="21"/>
          <w:szCs w:val="21"/>
        </w:rPr>
        <w:t xml:space="preserve">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1" w:name="chapter_level1_16_65"/>
      <w:bookmarkStart w:id="162" w:name="_Toc207980082"/>
      <w:r>
        <w:rPr>
          <w:rFonts w:hint="eastAsia" w:ascii="宋体" w:hAnsi="宋体" w:eastAsia="宋体"/>
          <w:sz w:val="30"/>
        </w:rPr>
        <w:t>第十三部分  基金费用与税收</w:t>
      </w:r>
      <w:bookmarkEnd w:id="161"/>
      <w:bookmarkEnd w:id="162"/>
    </w:p>
    <w:p>
      <w:pPr>
        <w:pStyle w:val="7"/>
        <w:spacing w:before="0" w:beforeAutospacing="0" w:after="0" w:afterAutospacing="0" w:line="360" w:lineRule="auto"/>
        <w:ind w:firstLine="420"/>
        <w:rPr>
          <w:sz w:val="21"/>
          <w:szCs w:val="21"/>
        </w:rPr>
      </w:pPr>
      <w:bookmarkStart w:id="163" w:name="chapter_level1_16_65_section_1"/>
      <w:bookmarkEnd w:id="163"/>
      <w:r>
        <w:rPr>
          <w:rFonts w:hint="eastAsia"/>
          <w:b/>
          <w:bCs/>
          <w:sz w:val="21"/>
          <w:szCs w:val="21"/>
        </w:rPr>
        <w:t>一、与基金运作有关的费用</w:t>
      </w:r>
    </w:p>
    <w:p>
      <w:pPr>
        <w:pStyle w:val="7"/>
        <w:spacing w:before="0" w:beforeAutospacing="0" w:after="0" w:afterAutospacing="0" w:line="360" w:lineRule="auto"/>
        <w:ind w:firstLine="420"/>
        <w:rPr>
          <w:sz w:val="21"/>
          <w:szCs w:val="21"/>
        </w:rPr>
      </w:pPr>
      <w:r>
        <w:rPr>
          <w:rFonts w:hint="eastAsia"/>
          <w:b/>
          <w:bCs/>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5、《基金合同》生效后与基金相关的会计师费、律师费和诉讼费；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9、基金的开户费用、账户维护费用；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pPr>
        <w:pStyle w:val="7"/>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4" w:name="field_0_managementrate_1"/>
      <w:r>
        <w:rPr>
          <w:sz w:val="21"/>
          <w:szCs w:val="21"/>
        </w:rPr>
        <w:t>1.20</w:t>
      </w:r>
      <w:bookmarkEnd w:id="164"/>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5" w:name="field_0_managementrate_2"/>
      <w:r>
        <w:rPr>
          <w:sz w:val="21"/>
          <w:szCs w:val="21"/>
        </w:rPr>
        <w:t>1.20</w:t>
      </w:r>
      <w:bookmarkEnd w:id="165"/>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款指令，基金托管人复核后于次月前3个工作日内从基金财产中一次性支付给基金管理人。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6" w:name="field_0_trusteerate_1"/>
      <w:r>
        <w:rPr>
          <w:sz w:val="21"/>
          <w:szCs w:val="21"/>
        </w:rPr>
        <w:t>0.20</w:t>
      </w:r>
      <w:bookmarkEnd w:id="166"/>
      <w:r>
        <w:rPr>
          <w:rFonts w:hint="eastAsia"/>
          <w:sz w:val="21"/>
          <w:szCs w:val="21"/>
        </w:rPr>
        <w:t xml:space="preserve">%的年费率计提。托管费的计算方法如下：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7" w:name="field_0_trusteerate_2"/>
      <w:r>
        <w:rPr>
          <w:sz w:val="21"/>
          <w:szCs w:val="21"/>
        </w:rPr>
        <w:t>0.20</w:t>
      </w:r>
      <w:bookmarkEnd w:id="167"/>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款指令，基金托管人复核后于次月前3个工作日内从基金财产中一次性支取。若遇法定节假日、公休日等，支付日期顺延。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3、C类基金份额的销售服务费用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本基金A类基金份额不收取销售服务费，C类基金份额的销售服务费按前一日C类基金份额的基金资产净值的0.80%年费率计提。计算方法如下： </w:t>
      </w:r>
    </w:p>
    <w:p>
      <w:pPr>
        <w:pStyle w:val="7"/>
        <w:spacing w:before="0" w:beforeAutospacing="0" w:after="0" w:afterAutospacing="0" w:line="360" w:lineRule="auto"/>
        <w:ind w:firstLine="420"/>
        <w:rPr>
          <w:sz w:val="21"/>
          <w:szCs w:val="21"/>
        </w:rPr>
      </w:pPr>
      <w:r>
        <w:rPr>
          <w:rFonts w:hint="eastAsia"/>
          <w:sz w:val="21"/>
          <w:szCs w:val="21"/>
        </w:rPr>
        <w:t xml:space="preserve">H＝E×0.80%÷当年天数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H为每日应计提的C类基金份额销售服务费 </w:t>
      </w:r>
    </w:p>
    <w:p>
      <w:pPr>
        <w:pStyle w:val="7"/>
        <w:spacing w:before="0" w:beforeAutospacing="0" w:after="0" w:afterAutospacing="0" w:line="360" w:lineRule="auto"/>
        <w:ind w:firstLine="420"/>
        <w:rPr>
          <w:sz w:val="21"/>
          <w:szCs w:val="21"/>
        </w:rPr>
      </w:pPr>
      <w:r>
        <w:rPr>
          <w:rFonts w:hint="eastAsia"/>
          <w:sz w:val="21"/>
          <w:szCs w:val="21"/>
        </w:rPr>
        <w:t xml:space="preserve">E为前一日C类基金份额的基金资产净值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管理人向基金托管人发送基金托管费划款指令，基金托管人复核后于次月前3个工作日内从基金财产中一次性支付登记机构，由登记机构代付给销售机构。若遇法定节假日、公休日等，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Fonts w:hint="eastAsia"/>
          <w:b/>
          <w:bCs/>
          <w:sz w:val="21"/>
          <w:szCs w:val="21"/>
        </w:rPr>
        <w:t>二、</w:t>
      </w:r>
      <w:r>
        <w:rPr>
          <w:rFonts w:hint="eastAsia"/>
          <w:sz w:val="21"/>
          <w:szCs w:val="21"/>
        </w:rPr>
        <w:t xml:space="preserve">与销售有关的费用 </w:t>
      </w:r>
    </w:p>
    <w:p>
      <w:pPr>
        <w:pStyle w:val="7"/>
        <w:spacing w:before="0" w:beforeAutospacing="0" w:after="0" w:afterAutospacing="0" w:line="360" w:lineRule="auto"/>
        <w:ind w:firstLine="420"/>
        <w:rPr>
          <w:sz w:val="21"/>
          <w:szCs w:val="21"/>
        </w:rPr>
      </w:pPr>
      <w:r>
        <w:rPr>
          <w:rFonts w:hint="eastAsia"/>
          <w:sz w:val="21"/>
          <w:szCs w:val="21"/>
        </w:rPr>
        <w:t xml:space="preserve">1、本基金基金份额申购费率最高不超过5％，投资者可以多次申购本基金，申购费率按每笔申购申请单独计算。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pPr>
        <w:pStyle w:val="7"/>
        <w:spacing w:before="0" w:beforeAutospacing="0" w:after="0" w:afterAutospacing="0" w:line="360" w:lineRule="auto"/>
        <w:ind w:firstLine="420"/>
        <w:jc w:val="center"/>
        <w:rPr>
          <w:sz w:val="21"/>
          <w:szCs w:val="21"/>
        </w:rPr>
      </w:pPr>
      <w:r>
        <w:rPr>
          <w:rFonts w:hint="eastAsia"/>
          <w:sz w:val="21"/>
          <w:szCs w:val="21"/>
        </w:rPr>
        <w:t xml:space="preserve">表：本基金份额的申购费率 </w:t>
      </w:r>
    </w:p>
    <w:tbl>
      <w:tblPr>
        <w:tblStyle w:val="9"/>
        <w:tblW w:w="7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2584"/>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b/>
                <w:bCs/>
              </w:rPr>
              <w:t>认购/申购金额（M）</w:t>
            </w:r>
          </w:p>
        </w:tc>
        <w:tc>
          <w:tcPr>
            <w:tcW w:w="2580" w:type="dxa"/>
            <w:shd w:val="clear" w:color="auto" w:fill="auto"/>
          </w:tcPr>
          <w:p>
            <w:pPr>
              <w:pStyle w:val="7"/>
            </w:pPr>
            <w:r>
              <w:rPr>
                <w:rFonts w:hint="eastAsia"/>
                <w:b/>
                <w:bCs/>
              </w:rPr>
              <w:t>A类基金份额申购费率</w:t>
            </w:r>
          </w:p>
        </w:tc>
        <w:tc>
          <w:tcPr>
            <w:tcW w:w="2580" w:type="dxa"/>
            <w:shd w:val="clear" w:color="auto" w:fill="auto"/>
          </w:tcPr>
          <w:p>
            <w:pPr>
              <w:pStyle w:val="7"/>
            </w:pPr>
            <w:r>
              <w:rPr>
                <w:rFonts w:hint="eastAsia"/>
                <w:b/>
                <w:bCs/>
              </w:rPr>
              <w:t>C类基金份额申购费率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M ＜ 50万元   </w:t>
            </w:r>
          </w:p>
        </w:tc>
        <w:tc>
          <w:tcPr>
            <w:tcW w:w="2580" w:type="dxa"/>
            <w:shd w:val="clear" w:color="auto" w:fill="auto"/>
          </w:tcPr>
          <w:p>
            <w:pPr>
              <w:pStyle w:val="7"/>
              <w:jc w:val="center"/>
            </w:pPr>
            <w:r>
              <w:rPr>
                <w:rFonts w:hint="eastAsia"/>
              </w:rPr>
              <w:t xml:space="preserve">1.50%   </w:t>
            </w:r>
          </w:p>
        </w:tc>
        <w:tc>
          <w:tcPr>
            <w:tcW w:w="2580" w:type="dxa"/>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50万元 ≤ M ＜ 100万元   </w:t>
            </w:r>
          </w:p>
        </w:tc>
        <w:tc>
          <w:tcPr>
            <w:tcW w:w="2580" w:type="dxa"/>
            <w:shd w:val="clear" w:color="auto" w:fill="auto"/>
          </w:tcPr>
          <w:p>
            <w:pPr>
              <w:pStyle w:val="7"/>
              <w:jc w:val="center"/>
            </w:pPr>
            <w:r>
              <w:rPr>
                <w:rFonts w:hint="eastAsia"/>
              </w:rPr>
              <w:t xml:space="preserve">1.00%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100万元 ≤ M ＜ 500万元   </w:t>
            </w:r>
          </w:p>
        </w:tc>
        <w:tc>
          <w:tcPr>
            <w:tcW w:w="2580" w:type="dxa"/>
            <w:shd w:val="clear" w:color="auto" w:fill="auto"/>
          </w:tcPr>
          <w:p>
            <w:pPr>
              <w:pStyle w:val="7"/>
              <w:jc w:val="center"/>
            </w:pPr>
            <w:r>
              <w:rPr>
                <w:rFonts w:hint="eastAsia"/>
              </w:rPr>
              <w:t xml:space="preserve">0.60%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pPr>
              <w:pStyle w:val="7"/>
              <w:jc w:val="center"/>
            </w:pPr>
            <w:r>
              <w:rPr>
                <w:rFonts w:hint="eastAsia"/>
              </w:rPr>
              <w:t xml:space="preserve">M ≥ 500万元   </w:t>
            </w:r>
          </w:p>
        </w:tc>
        <w:tc>
          <w:tcPr>
            <w:tcW w:w="2580" w:type="dxa"/>
            <w:shd w:val="clear" w:color="auto" w:fill="auto"/>
          </w:tcPr>
          <w:p>
            <w:pPr>
              <w:pStyle w:val="7"/>
              <w:jc w:val="center"/>
            </w:pPr>
            <w:r>
              <w:rPr>
                <w:rFonts w:hint="eastAsia"/>
              </w:rPr>
              <w:t xml:space="preserve">1000元/笔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2、本基金基金份额赎回费率最高不超过5%。赎回费率见下表： </w:t>
      </w:r>
    </w:p>
    <w:p>
      <w:pPr>
        <w:pStyle w:val="7"/>
        <w:spacing w:before="0" w:beforeAutospacing="0" w:after="0" w:afterAutospacing="0" w:line="360" w:lineRule="auto"/>
        <w:ind w:firstLine="420"/>
        <w:jc w:val="center"/>
        <w:rPr>
          <w:sz w:val="21"/>
          <w:szCs w:val="21"/>
        </w:rPr>
      </w:pPr>
      <w:r>
        <w:rPr>
          <w:rFonts w:hint="eastAsia"/>
          <w:sz w:val="21"/>
          <w:szCs w:val="21"/>
        </w:rPr>
        <w:t xml:space="preserve">表：本基金的赎回费率表 </w:t>
      </w:r>
    </w:p>
    <w:tbl>
      <w:tblPr>
        <w:tblStyle w:val="9"/>
        <w:tblW w:w="6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2268"/>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pPr>
              <w:pStyle w:val="7"/>
            </w:pPr>
            <w:r>
              <w:rPr>
                <w:rFonts w:hint="eastAsia"/>
                <w:b/>
                <w:bCs/>
              </w:rPr>
              <w:t>持有基金份额期限（Y）</w:t>
            </w:r>
          </w:p>
        </w:tc>
        <w:tc>
          <w:tcPr>
            <w:tcW w:w="2265" w:type="dxa"/>
            <w:shd w:val="clear" w:color="auto" w:fill="auto"/>
          </w:tcPr>
          <w:p>
            <w:pPr>
              <w:pStyle w:val="7"/>
            </w:pPr>
            <w:r>
              <w:rPr>
                <w:rFonts w:hint="eastAsia"/>
                <w:b/>
                <w:bCs/>
              </w:rPr>
              <w:t>A类基金份额赎回费率</w:t>
            </w:r>
          </w:p>
        </w:tc>
        <w:tc>
          <w:tcPr>
            <w:tcW w:w="2265" w:type="dxa"/>
            <w:shd w:val="clear" w:color="auto" w:fill="auto"/>
          </w:tcPr>
          <w:p>
            <w:pPr>
              <w:pStyle w:val="7"/>
            </w:pPr>
            <w:r>
              <w:rPr>
                <w:rFonts w:hint="eastAsia"/>
                <w:b/>
                <w:bCs/>
              </w:rPr>
              <w:t>C类基金份额赎回费率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pPr>
              <w:pStyle w:val="7"/>
              <w:jc w:val="center"/>
            </w:pPr>
            <w:r>
              <w:rPr>
                <w:rFonts w:hint="eastAsia"/>
              </w:rPr>
              <w:t xml:space="preserve">Y ＜7日  </w:t>
            </w:r>
          </w:p>
        </w:tc>
        <w:tc>
          <w:tcPr>
            <w:tcW w:w="2265" w:type="dxa"/>
            <w:shd w:val="clear" w:color="auto" w:fill="auto"/>
          </w:tcPr>
          <w:p>
            <w:pPr>
              <w:pStyle w:val="7"/>
              <w:jc w:val="center"/>
            </w:pPr>
            <w:r>
              <w:rPr>
                <w:rFonts w:hint="eastAsia"/>
              </w:rPr>
              <w:t xml:space="preserve">1.50%  </w:t>
            </w:r>
          </w:p>
        </w:tc>
        <w:tc>
          <w:tcPr>
            <w:tcW w:w="2265" w:type="dxa"/>
            <w:shd w:val="clear" w:color="auto" w:fill="auto"/>
          </w:tcPr>
          <w:p>
            <w:pPr>
              <w:pStyle w:val="7"/>
              <w:jc w:val="center"/>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pPr>
              <w:pStyle w:val="7"/>
              <w:jc w:val="center"/>
            </w:pPr>
            <w:r>
              <w:rPr>
                <w:rFonts w:hint="eastAsia"/>
              </w:rPr>
              <w:t xml:space="preserve">7日≤ Y＜30日  </w:t>
            </w:r>
          </w:p>
        </w:tc>
        <w:tc>
          <w:tcPr>
            <w:tcW w:w="2265" w:type="dxa"/>
            <w:shd w:val="clear" w:color="auto" w:fill="auto"/>
          </w:tcPr>
          <w:p>
            <w:pPr>
              <w:pStyle w:val="7"/>
              <w:jc w:val="center"/>
            </w:pPr>
            <w:r>
              <w:rPr>
                <w:rFonts w:hint="eastAsia"/>
              </w:rPr>
              <w:t xml:space="preserve">0.75%  </w:t>
            </w:r>
          </w:p>
        </w:tc>
        <w:tc>
          <w:tcPr>
            <w:tcW w:w="2265" w:type="dxa"/>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pPr>
              <w:pStyle w:val="7"/>
              <w:jc w:val="center"/>
            </w:pPr>
            <w:r>
              <w:rPr>
                <w:rFonts w:hint="eastAsia"/>
              </w:rPr>
              <w:t xml:space="preserve">30日≤ Y＜2年  </w:t>
            </w:r>
          </w:p>
        </w:tc>
        <w:tc>
          <w:tcPr>
            <w:tcW w:w="2265" w:type="dxa"/>
            <w:shd w:val="clear" w:color="auto" w:fill="auto"/>
          </w:tcPr>
          <w:p>
            <w:pPr>
              <w:pStyle w:val="7"/>
              <w:jc w:val="center"/>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pPr>
              <w:pStyle w:val="7"/>
              <w:jc w:val="center"/>
            </w:pPr>
            <w:r>
              <w:rPr>
                <w:rFonts w:hint="eastAsia"/>
              </w:rPr>
              <w:t xml:space="preserve">2年 ≤ Y ＜ 3年  </w:t>
            </w:r>
          </w:p>
        </w:tc>
        <w:tc>
          <w:tcPr>
            <w:tcW w:w="2265" w:type="dxa"/>
            <w:shd w:val="clear" w:color="auto" w:fill="auto"/>
          </w:tcPr>
          <w:p>
            <w:pPr>
              <w:pStyle w:val="7"/>
              <w:jc w:val="center"/>
            </w:pPr>
            <w:r>
              <w:rPr>
                <w:rFonts w:hint="eastAsia"/>
              </w:rPr>
              <w:t xml:space="preserve">0.25%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pPr>
              <w:pStyle w:val="7"/>
              <w:jc w:val="center"/>
            </w:pPr>
            <w:r>
              <w:rPr>
                <w:rFonts w:hint="eastAsia"/>
              </w:rPr>
              <w:t xml:space="preserve">Y ≥ 3年  </w:t>
            </w:r>
          </w:p>
        </w:tc>
        <w:tc>
          <w:tcPr>
            <w:tcW w:w="2265" w:type="dxa"/>
            <w:shd w:val="clear" w:color="auto" w:fill="auto"/>
          </w:tcPr>
          <w:p>
            <w:pPr>
              <w:pStyle w:val="7"/>
              <w:jc w:val="center"/>
            </w:pPr>
            <w:r>
              <w:rPr>
                <w:rFonts w:hint="eastAsia"/>
              </w:rPr>
              <w:t xml:space="preserve">0.00%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注：1年指365日，一个月按30日计算    </w:t>
      </w:r>
    </w:p>
    <w:p>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持续持有期少于30日的投资人收取的赎回费全额计入基金财产；对持续持有期少于3个月的投资人收取的赎回费，将不低于赎回费总额的75%计入基金财产；对持续持有期长于3个月但少于6个月的投资人收取的赎回费，将不低于赎回费总额的50%计入基金财产；对持续持有期长于6个月的投资人，将不低于赎回费总额的25%计入基金财产，未归入基金财产的部分用于支付登记费和其他必要的手续费。 </w:t>
      </w:r>
    </w:p>
    <w:p>
      <w:pPr>
        <w:pStyle w:val="7"/>
        <w:spacing w:before="0" w:beforeAutospacing="0" w:after="0" w:afterAutospacing="0" w:line="360" w:lineRule="auto"/>
        <w:ind w:firstLine="420"/>
        <w:rPr>
          <w:sz w:val="21"/>
          <w:szCs w:val="21"/>
        </w:rPr>
      </w:pPr>
      <w:r>
        <w:rPr>
          <w:rFonts w:hint="eastAsia"/>
          <w:sz w:val="21"/>
          <w:szCs w:val="21"/>
        </w:rPr>
        <w:t xml:space="preserve">3、基金管理人可在法律法规允许的情况下，调整赎回份额的数量限制。基金管理人必须在调整实施前依照《信息披露办法》的有关规定进行公告并报中国证监会备案。基金管理人可以在基金合同约定的范围内调整赎回费率或收费方式，并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Fonts w:hint="eastAsia"/>
          <w:b/>
          <w:bCs/>
          <w:sz w:val="21"/>
          <w:szCs w:val="21"/>
        </w:rPr>
        <w:t>四、基金税收</w:t>
      </w:r>
    </w:p>
    <w:p>
      <w:pPr>
        <w:pStyle w:val="7"/>
        <w:spacing w:before="0" w:beforeAutospacing="0" w:after="0" w:afterAutospacing="0" w:line="360" w:lineRule="auto"/>
        <w:ind w:firstLine="420"/>
        <w:rPr>
          <w:sz w:val="21"/>
          <w:szCs w:val="21"/>
        </w:rPr>
      </w:pPr>
      <w:bookmarkStart w:id="168" w:name="chapter_level1_16_65_section_1_end"/>
      <w:bookmarkEnd w:id="168"/>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9" w:name="_Toc207980083"/>
      <w:bookmarkStart w:id="170" w:name="chapter_level1_17_66"/>
      <w:r>
        <w:rPr>
          <w:rFonts w:hint="eastAsia" w:ascii="宋体" w:hAnsi="宋体" w:eastAsia="宋体"/>
          <w:sz w:val="30"/>
        </w:rPr>
        <w:t>第十四部分  基金的会计与审计</w:t>
      </w:r>
      <w:bookmarkEnd w:id="169"/>
      <w:bookmarkEnd w:id="170"/>
    </w:p>
    <w:p>
      <w:pPr>
        <w:pStyle w:val="7"/>
        <w:spacing w:before="0" w:beforeAutospacing="0" w:after="0" w:afterAutospacing="0" w:line="360" w:lineRule="auto"/>
        <w:ind w:firstLine="420"/>
        <w:rPr>
          <w:sz w:val="21"/>
          <w:szCs w:val="21"/>
        </w:rPr>
      </w:pPr>
      <w:bookmarkStart w:id="171" w:name="chapter_level1_17_66_section_1"/>
      <w:bookmarkEnd w:id="171"/>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2" w:name="chapter_level1_17_66_section_1_end"/>
      <w:bookmarkEnd w:id="172"/>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3" w:name="_Toc207980084"/>
      <w:bookmarkStart w:id="174" w:name="chapter_level1_18_67"/>
      <w:r>
        <w:rPr>
          <w:rFonts w:hint="eastAsia" w:ascii="宋体" w:hAnsi="宋体" w:eastAsia="宋体"/>
          <w:sz w:val="30"/>
        </w:rPr>
        <w:t>第十五部分  基金的信息披露</w:t>
      </w:r>
      <w:bookmarkEnd w:id="173"/>
      <w:bookmarkEnd w:id="174"/>
    </w:p>
    <w:p>
      <w:pPr>
        <w:pStyle w:val="7"/>
        <w:spacing w:before="0" w:beforeAutospacing="0" w:after="0" w:afterAutospacing="0" w:line="360" w:lineRule="auto"/>
        <w:ind w:firstLine="420"/>
        <w:rPr>
          <w:sz w:val="21"/>
          <w:szCs w:val="21"/>
        </w:rPr>
      </w:pPr>
      <w:bookmarkStart w:id="175" w:name="chapter_level1_18_67_section_1"/>
      <w:bookmarkEnd w:id="175"/>
      <w:r>
        <w:rPr>
          <w:rStyle w:val="11"/>
          <w:rFonts w:hint="eastAsia"/>
          <w:sz w:val="21"/>
          <w:szCs w:val="21"/>
        </w:rPr>
        <w:t>一、本基金的信息披露应符合《基金法》、《运作办法》、《信息披露办法》、《基金合同》及其他有关规定。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bookmarkStart w:id="176" w:name="chapter_level1_18_67_section_1_end"/>
      <w:bookmarkEnd w:id="176"/>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77" w:name="chapter_level1_18_67_section_2"/>
      <w:bookmarkEnd w:id="177"/>
      <w:r>
        <w:rPr>
          <w:rStyle w:val="11"/>
          <w:rFonts w:hint="eastAsia"/>
          <w:sz w:val="21"/>
          <w:szCs w:val="21"/>
        </w:rPr>
        <w:t>五、公开披露的基金信息包括：</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各自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基金合同生效公告中将说明基金募集情况及发起资金提供方持有的基金份额、承诺持有的期限等情况。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基金管理人应在年度报告、中期报告、季度报告中分别披露基金管理人、基金管理人高级管理人员、基金经理等人员以及基金管理人股东持有基金的份额、期限及期间的变动情况。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16、任何一类基金份额净值计价错误达该类基金份额净值百分之零点五；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（十）投资股指期货相关公告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pPr>
        <w:pStyle w:val="7"/>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（十二）清算报告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bookmarkStart w:id="178" w:name="chapter_level1_18_67_section_2_end"/>
      <w:bookmarkEnd w:id="178"/>
      <w:r>
        <w:rPr>
          <w:rFonts w:hint="eastAsia"/>
          <w:sz w:val="21"/>
          <w:szCs w:val="21"/>
        </w:rPr>
        <w:t xml:space="preserve">（十三）中国证监会规定的其他信息。 </w:t>
      </w:r>
    </w:p>
    <w:p>
      <w:pPr>
        <w:pStyle w:val="7"/>
        <w:spacing w:before="0" w:beforeAutospacing="0" w:after="0" w:afterAutospacing="0" w:line="360" w:lineRule="auto"/>
        <w:ind w:firstLine="420"/>
        <w:rPr>
          <w:sz w:val="21"/>
          <w:szCs w:val="21"/>
        </w:rPr>
      </w:pPr>
      <w:bookmarkStart w:id="179" w:name="chapter_level1_18_67_section_3"/>
      <w:bookmarkEnd w:id="179"/>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80" w:name="chapter_level1_18_67_section_3_end"/>
      <w:bookmarkEnd w:id="180"/>
      <w:r>
        <w:rPr>
          <w:rFonts w:hint="eastAsia"/>
          <w:sz w:val="21"/>
          <w:szCs w:val="21"/>
        </w:rPr>
        <w:t xml:space="preserve">息置备于各自住所， 供社会公众查阅、复制。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1" w:name="chapter_level1_19_68"/>
      <w:bookmarkStart w:id="182" w:name="_Toc207980085"/>
      <w:r>
        <w:rPr>
          <w:rFonts w:hint="eastAsia" w:ascii="宋体" w:hAnsi="宋体" w:eastAsia="宋体"/>
          <w:sz w:val="30"/>
        </w:rPr>
        <w:t>第十六部分  风险揭示</w:t>
      </w:r>
      <w:bookmarkEnd w:id="181"/>
      <w:bookmarkEnd w:id="182"/>
    </w:p>
    <w:p>
      <w:pPr>
        <w:pStyle w:val="7"/>
        <w:spacing w:before="0" w:beforeAutospacing="0" w:after="0" w:afterAutospacing="0" w:line="360" w:lineRule="auto"/>
        <w:ind w:firstLine="420"/>
        <w:rPr>
          <w:sz w:val="21"/>
          <w:szCs w:val="21"/>
        </w:rPr>
      </w:pPr>
      <w:bookmarkStart w:id="183" w:name="chapter_level1_19_68_section_1"/>
      <w:bookmarkEnd w:id="183"/>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（1）基金申购、赎回的安排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本基金的股票（含存托凭证）投资比例为0%-95%，相对灵活的资产配置比例容易造成收益波动率大幅提升的风险。本基金为主题型基金，将80%以上的非现金基金资产投资于具备产业创新动力、引领制造业发展趋势的股票，该类股票的特定风险即成为本基金及投资者主要面对的特定投资风险。产业新动力股票的投资收益会受到宏观经济、政府产业政策、市场需求变化、行业波动和公司自身经营状况等因素的影响，可能存在所选投资标的的成长性与市场一致预期不符而造成个股价格表现低于预期的风险。因此，本基金所投资的产业新动力股票可能在一定时期内表现与其他未投资的股票不同，造成本基金的收益低于其他基金，或波动率高于其他基金或市场平均水平。此外，由于本基金还可以投资其它品种，这些品种的价格也可能因市场中的各类变化而出现一定幅度的波动，产生特定的风险，并影响到整体基金的投资收益。 </w:t>
      </w:r>
    </w:p>
    <w:p>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pPr>
        <w:pStyle w:val="7"/>
        <w:spacing w:before="0" w:beforeAutospacing="0" w:after="0" w:afterAutospacing="0" w:line="360" w:lineRule="auto"/>
        <w:ind w:firstLine="420"/>
        <w:rPr>
          <w:sz w:val="21"/>
          <w:szCs w:val="21"/>
        </w:rPr>
      </w:pPr>
      <w:r>
        <w:rPr>
          <w:rFonts w:hint="eastAsia"/>
          <w:sz w:val="21"/>
          <w:szCs w:val="21"/>
        </w:rPr>
        <w:t xml:space="preserve">本基金为发起式基金，在基金募集时，基金管理人使用公司固有资金参与认购本基金的金额不低于1000万元，认购的基金份额持有期限不低于三年。基金管理人认购的基金份额持有期限满三年后，基金管理人将根据自身情况决定是否继续持有，届时，基金管理人有可能赎回认购的本基金份额。另外，本基金的基金合同生效三年后（指基金合同生效之日起三年后的对应日），若基金资产净值低于两亿元的，基金合同自动终止。投资者将面临基金合同可能终止的不确定性风险。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2、除基金管理人直接办理本基金的销售外，本基金还通过中国工商银行等基金代销机</w:t>
      </w:r>
      <w:bookmarkStart w:id="184" w:name="chapter_level1_19_68_section_1_end"/>
      <w:bookmarkEnd w:id="184"/>
      <w:r>
        <w:rPr>
          <w:rFonts w:hint="eastAsia"/>
          <w:sz w:val="21"/>
          <w:szCs w:val="21"/>
        </w:rPr>
        <w:t xml:space="preserve">构代理销售，基金管理人与基金代销机构都不能保证其收益或本金安全。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5" w:name="_Toc207980086"/>
      <w:bookmarkStart w:id="186" w:name="chapter_level1_20_69"/>
      <w:r>
        <w:rPr>
          <w:rFonts w:hint="eastAsia" w:ascii="宋体" w:hAnsi="宋体" w:eastAsia="宋体"/>
          <w:sz w:val="30"/>
        </w:rPr>
        <w:t>第十七部分  基金合同的变更、终止与基金财产的清算</w:t>
      </w:r>
      <w:bookmarkEnd w:id="185"/>
      <w:bookmarkEnd w:id="186"/>
    </w:p>
    <w:p>
      <w:pPr>
        <w:pStyle w:val="7"/>
        <w:spacing w:before="0" w:beforeAutospacing="0" w:after="0" w:afterAutospacing="0" w:line="360" w:lineRule="auto"/>
        <w:ind w:firstLine="420"/>
        <w:rPr>
          <w:sz w:val="21"/>
          <w:szCs w:val="21"/>
        </w:rPr>
      </w:pPr>
      <w:bookmarkStart w:id="187" w:name="chapter_level1_20_69_section_1"/>
      <w:bookmarkEnd w:id="187"/>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3、本基金的基金合同生效三年后（指基金合同生效之日起三年后的对应日），若基金资产净值低于两亿元的，基金合同自动终止；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八、基金合并</w:t>
      </w:r>
    </w:p>
    <w:p>
      <w:pPr>
        <w:pStyle w:val="7"/>
        <w:spacing w:before="0" w:beforeAutospacing="0" w:after="0" w:afterAutospacing="0" w:line="360" w:lineRule="auto"/>
        <w:ind w:firstLine="420"/>
        <w:rPr>
          <w:sz w:val="21"/>
          <w:szCs w:val="21"/>
        </w:rPr>
      </w:pPr>
      <w:r>
        <w:rPr>
          <w:rFonts w:hint="eastAsia"/>
          <w:sz w:val="21"/>
          <w:szCs w:val="21"/>
        </w:rPr>
        <w:t xml:space="preserve">1、基金合并概述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份额持有人数量不满200人或者基金资产净值低于5000万元情形的，本基金将与基金管理人管理的其他混合型基金合并，无需召开基金份额持有人大会，但应向中国证监会报告。法律法规另有规定时，从其规定。 </w:t>
      </w:r>
    </w:p>
    <w:p>
      <w:pPr>
        <w:pStyle w:val="7"/>
        <w:spacing w:before="0" w:beforeAutospacing="0" w:after="0" w:afterAutospacing="0" w:line="360" w:lineRule="auto"/>
        <w:ind w:firstLine="420"/>
        <w:rPr>
          <w:sz w:val="21"/>
          <w:szCs w:val="21"/>
        </w:rPr>
      </w:pPr>
      <w:r>
        <w:rPr>
          <w:rFonts w:hint="eastAsia"/>
          <w:sz w:val="21"/>
          <w:szCs w:val="21"/>
        </w:rPr>
        <w:t xml:space="preserve">基金合并的方式包括但不限于本基金吸收合并其他基金、本基金被其他基金吸收合并等方式。本基金吸收合并其他基金时，其他基金终止，本基金存续；本基金被其他基金吸收合并时，其他基金存续，本基金终止。 </w:t>
      </w:r>
    </w:p>
    <w:p>
      <w:pPr>
        <w:pStyle w:val="7"/>
        <w:spacing w:before="0" w:beforeAutospacing="0" w:after="0" w:afterAutospacing="0" w:line="360" w:lineRule="auto"/>
        <w:ind w:firstLine="420"/>
        <w:rPr>
          <w:sz w:val="21"/>
          <w:szCs w:val="21"/>
        </w:rPr>
      </w:pPr>
      <w:r>
        <w:rPr>
          <w:rFonts w:hint="eastAsia"/>
          <w:sz w:val="21"/>
          <w:szCs w:val="21"/>
        </w:rPr>
        <w:t xml:space="preserve">2、基金合并导致本基金终止并清算时，由此产生的清算费用由本基金财产承担。 </w:t>
      </w:r>
    </w:p>
    <w:p>
      <w:pPr>
        <w:pStyle w:val="7"/>
        <w:spacing w:before="0" w:beforeAutospacing="0" w:after="0" w:afterAutospacing="0" w:line="360" w:lineRule="auto"/>
        <w:ind w:firstLine="420"/>
        <w:rPr>
          <w:sz w:val="21"/>
          <w:szCs w:val="21"/>
        </w:rPr>
      </w:pPr>
      <w:r>
        <w:rPr>
          <w:rFonts w:hint="eastAsia"/>
          <w:sz w:val="21"/>
          <w:szCs w:val="21"/>
        </w:rPr>
        <w:t xml:space="preserve">3、基金合并后的投资管理 </w:t>
      </w:r>
    </w:p>
    <w:p>
      <w:pPr>
        <w:pStyle w:val="7"/>
        <w:spacing w:before="0" w:beforeAutospacing="0" w:after="0" w:afterAutospacing="0" w:line="360" w:lineRule="auto"/>
        <w:ind w:firstLine="420"/>
        <w:rPr>
          <w:sz w:val="21"/>
          <w:szCs w:val="21"/>
        </w:rPr>
      </w:pPr>
      <w:r>
        <w:rPr>
          <w:rFonts w:hint="eastAsia"/>
          <w:sz w:val="21"/>
          <w:szCs w:val="21"/>
        </w:rPr>
        <w:t xml:space="preserve">本基金吸收合并其他基金的，本基金的投资管理将按基金合同约定保持不变。 </w:t>
      </w:r>
    </w:p>
    <w:p>
      <w:pPr>
        <w:pStyle w:val="7"/>
        <w:spacing w:before="0" w:beforeAutospacing="0" w:after="0" w:afterAutospacing="0" w:line="360" w:lineRule="auto"/>
        <w:ind w:firstLine="420"/>
        <w:rPr>
          <w:sz w:val="21"/>
          <w:szCs w:val="21"/>
        </w:rPr>
      </w:pPr>
      <w:r>
        <w:rPr>
          <w:rFonts w:hint="eastAsia"/>
          <w:sz w:val="21"/>
          <w:szCs w:val="21"/>
        </w:rPr>
        <w:t xml:space="preserve">本基金被其他基金吸收合并的，本基金的投资管理将按照其他基金基金合同的约定执行。 </w:t>
      </w:r>
    </w:p>
    <w:p>
      <w:pPr>
        <w:pStyle w:val="7"/>
        <w:spacing w:before="0" w:beforeAutospacing="0" w:after="0" w:afterAutospacing="0" w:line="360" w:lineRule="auto"/>
        <w:ind w:firstLine="420"/>
        <w:rPr>
          <w:sz w:val="21"/>
          <w:szCs w:val="21"/>
        </w:rPr>
      </w:pPr>
      <w:r>
        <w:rPr>
          <w:rFonts w:hint="eastAsia"/>
          <w:sz w:val="21"/>
          <w:szCs w:val="21"/>
        </w:rPr>
        <w:t xml:space="preserve">4、基金管理人与基金托管人应就基金合并事宜协商一致，并按照基金合同的约定具体实施，且无需经基金份额持有人大会审议批准。 </w:t>
      </w:r>
    </w:p>
    <w:p>
      <w:pPr>
        <w:pStyle w:val="7"/>
        <w:spacing w:before="0" w:beforeAutospacing="0" w:after="0" w:afterAutospacing="0" w:line="360" w:lineRule="auto"/>
        <w:ind w:firstLine="420"/>
        <w:rPr>
          <w:sz w:val="21"/>
          <w:szCs w:val="21"/>
        </w:rPr>
      </w:pPr>
      <w:r>
        <w:rPr>
          <w:rFonts w:hint="eastAsia"/>
          <w:sz w:val="21"/>
          <w:szCs w:val="21"/>
        </w:rPr>
        <w:t xml:space="preserve">5、基金合并完成后，基金管理人或新任基金管理人应按照《信息披露办法》的规定就合并后的基金情况予以公告，并报中国证监会备案。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6、基金合并失败后的处理方式出现下列情形之一的，本基金合并失败。本基金在合并失败后将终止，而无需召开基金份额持有人大会。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（1）其他基金的基金份额持有人大会未通过合并方案的； </w:t>
      </w:r>
    </w:p>
    <w:p>
      <w:pPr>
        <w:pStyle w:val="7"/>
        <w:spacing w:before="0" w:beforeAutospacing="0" w:after="0" w:afterAutospacing="0" w:line="360" w:lineRule="auto"/>
        <w:ind w:firstLine="420"/>
        <w:rPr>
          <w:sz w:val="21"/>
          <w:szCs w:val="21"/>
        </w:rPr>
      </w:pPr>
      <w:r>
        <w:rPr>
          <w:rFonts w:hint="eastAsia"/>
          <w:sz w:val="21"/>
          <w:szCs w:val="21"/>
        </w:rPr>
        <w:t xml:space="preserve">（2）因不可抗力等原因致使本基金合并失败的。 </w:t>
      </w:r>
    </w:p>
    <w:p>
      <w:pPr>
        <w:pStyle w:val="7"/>
        <w:spacing w:before="0" w:beforeAutospacing="0" w:after="0" w:afterAutospacing="0" w:line="360" w:lineRule="auto"/>
        <w:ind w:firstLine="420"/>
        <w:rPr>
          <w:sz w:val="21"/>
          <w:szCs w:val="21"/>
        </w:rPr>
      </w:pPr>
      <w:r>
        <w:rPr>
          <w:rStyle w:val="11"/>
          <w:rFonts w:hint="eastAsia"/>
          <w:sz w:val="21"/>
          <w:szCs w:val="21"/>
        </w:rPr>
        <w:t>九、本基金被其他基金吸收合并引起本基金基金合同终止的，本基金财产可不予变现和分配，并入其他基金资产中。本基金的债权债务由合并后的基金享有和承担。本基金清</w:t>
      </w:r>
      <w:bookmarkStart w:id="188" w:name="chapter_level1_20_69_section_1_end"/>
      <w:bookmarkEnd w:id="188"/>
      <w:r>
        <w:rPr>
          <w:rStyle w:val="11"/>
          <w:rFonts w:hint="eastAsia"/>
          <w:sz w:val="21"/>
          <w:szCs w:val="21"/>
        </w:rPr>
        <w:t>算的其他事项按照基金合同的其他约定执行。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9" w:name="_Toc207980087"/>
      <w:bookmarkStart w:id="190" w:name="chapter_level1_21_71"/>
      <w:r>
        <w:rPr>
          <w:rFonts w:hint="eastAsia" w:ascii="宋体" w:hAnsi="宋体" w:eastAsia="宋体"/>
          <w:sz w:val="30"/>
        </w:rPr>
        <w:t>第十八部分  基金合同的内容摘要</w:t>
      </w:r>
      <w:bookmarkEnd w:id="189"/>
      <w:bookmarkEnd w:id="190"/>
    </w:p>
    <w:p>
      <w:pPr>
        <w:pStyle w:val="7"/>
        <w:spacing w:before="0" w:beforeAutospacing="0" w:after="0" w:afterAutospacing="0" w:line="360" w:lineRule="auto"/>
        <w:ind w:firstLine="420"/>
        <w:rPr>
          <w:sz w:val="21"/>
          <w:szCs w:val="21"/>
        </w:rPr>
      </w:pPr>
      <w:bookmarkStart w:id="191" w:name="chapter_level1_21_71_section_1"/>
      <w:bookmarkEnd w:id="191"/>
      <w:r>
        <w:rPr>
          <w:rStyle w:val="11"/>
          <w:rFonts w:hint="eastAsia"/>
          <w:sz w:val="21"/>
          <w:szCs w:val="21"/>
        </w:rPr>
        <w:t>一、基金份额持有人、基金管理人和基金托管人的权利、义务 </w:t>
      </w:r>
    </w:p>
    <w:p>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（13）在法律法规允许的前提下，为基金的利益依法为基金进行融资、融券； </w:t>
      </w:r>
    </w:p>
    <w:p>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（15）选择、更换律师事务所、会计师事务所、证券经纪商、期货经纪机构或其他为基金提供服务的外部机构；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（4）根据相关市场规则，为基金开设资金账户、证券账户和期货账户等投资所需账户，为基金办理证券、期货交易资金清算；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（6）按规定开设基金财产的资金账户、证券账户和期货账户等投资所需账户，按照《基金合同》的约定，根据基金管理人的投资指令，及时办理清算、交割事宜；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（9）基金发起资金提供方使用发起资金认购的基金份额持有期限不少于3年； </w:t>
      </w:r>
    </w:p>
    <w:p>
      <w:pPr>
        <w:pStyle w:val="7"/>
        <w:spacing w:before="0" w:beforeAutospacing="0" w:after="0" w:afterAutospacing="0" w:line="360" w:lineRule="auto"/>
        <w:ind w:firstLine="420"/>
        <w:rPr>
          <w:sz w:val="21"/>
          <w:szCs w:val="21"/>
        </w:rPr>
      </w:pPr>
      <w:r>
        <w:rPr>
          <w:rFonts w:hint="eastAsia"/>
          <w:sz w:val="21"/>
          <w:szCs w:val="21"/>
        </w:rPr>
        <w:t xml:space="preserve">（10）法律法规及中国证监会规定的和《基金合同》约定的其他义务。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（1）终止《基金合同》，本基金合同另有约定的情形除外；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（5）本基金与其他基金的合并，本基金合同另有约定的情形除外； </w:t>
      </w:r>
    </w:p>
    <w:p>
      <w:pPr>
        <w:pStyle w:val="7"/>
        <w:spacing w:before="0" w:beforeAutospacing="0" w:after="0" w:afterAutospacing="0" w:line="360" w:lineRule="auto"/>
        <w:ind w:firstLine="420"/>
        <w:rPr>
          <w:sz w:val="21"/>
          <w:szCs w:val="21"/>
        </w:rPr>
      </w:pPr>
      <w:r>
        <w:rPr>
          <w:rFonts w:hint="eastAsia"/>
          <w:sz w:val="21"/>
          <w:szCs w:val="21"/>
        </w:rPr>
        <w:t xml:space="preserve">（6）调整基金管理人、基金托管人的报酬标准或提高销售服务费率； </w:t>
      </w:r>
    </w:p>
    <w:p>
      <w:pPr>
        <w:pStyle w:val="7"/>
        <w:spacing w:before="0" w:beforeAutospacing="0" w:after="0" w:afterAutospacing="0" w:line="360" w:lineRule="auto"/>
        <w:ind w:firstLine="420"/>
        <w:rPr>
          <w:sz w:val="21"/>
          <w:szCs w:val="21"/>
        </w:rPr>
      </w:pPr>
      <w:r>
        <w:rPr>
          <w:rFonts w:hint="eastAsia"/>
          <w:sz w:val="21"/>
          <w:szCs w:val="21"/>
        </w:rPr>
        <w:t xml:space="preserve">（7）变更基金类别；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（1）调低销售服务费率； </w:t>
      </w:r>
    </w:p>
    <w:p>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（3）在法律法规和《基金合同》规定的范围内调整本基金的申购费率、调低赎回费率或在对现有基金份额持有人利益无实质性不利影响的前提下变更收费方式，调整基金份额类别的设置；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（6）按照法律法规和《基金合同》规定不需召开基金份额持有人大会的以外的其他情形。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10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2、通讯开会。通讯开会系指基金份额持有人将其对表决事项的投票以书面形式在表决截至日以前送达至召集人指定的地址。通讯开会应以书面方式进行表决。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书面意见或授权他人代表出具书面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 </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3、本基金的基金合同生效三年后（指基金合同生效之日起三年后的对应日），若基金资产净值低于两亿元的，基金合同自动终止；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Fonts w:hint="eastAsia"/>
          <w:sz w:val="21"/>
          <w:szCs w:val="21"/>
        </w:rPr>
        <w:t xml:space="preserve">（八）基金合并 </w:t>
      </w:r>
    </w:p>
    <w:p>
      <w:pPr>
        <w:pStyle w:val="7"/>
        <w:spacing w:before="0" w:beforeAutospacing="0" w:after="0" w:afterAutospacing="0" w:line="360" w:lineRule="auto"/>
        <w:ind w:firstLine="420"/>
        <w:rPr>
          <w:sz w:val="21"/>
          <w:szCs w:val="21"/>
        </w:rPr>
      </w:pPr>
      <w:r>
        <w:rPr>
          <w:rFonts w:hint="eastAsia"/>
          <w:sz w:val="21"/>
          <w:szCs w:val="21"/>
        </w:rPr>
        <w:t xml:space="preserve">1、基金合并概述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份额持有人数量不满200人或者基金资产净值低于5000万元情形的，本基金将与基金管理人管理的其他混合型基金合并，无需召开基金份额持有人大会，但应向中国证监会报告。法律法规另有规定时，从其规定。 </w:t>
      </w:r>
    </w:p>
    <w:p>
      <w:pPr>
        <w:pStyle w:val="7"/>
        <w:spacing w:before="0" w:beforeAutospacing="0" w:after="0" w:afterAutospacing="0" w:line="360" w:lineRule="auto"/>
        <w:ind w:firstLine="420"/>
        <w:rPr>
          <w:sz w:val="21"/>
          <w:szCs w:val="21"/>
        </w:rPr>
      </w:pPr>
      <w:r>
        <w:rPr>
          <w:rFonts w:hint="eastAsia"/>
          <w:sz w:val="21"/>
          <w:szCs w:val="21"/>
        </w:rPr>
        <w:t xml:space="preserve">基金合并的方式包括但不限于本基金吸收合并其他基金、本基金被其他基金吸收合并等方式。本基金吸收合并其他基金时，其他基金终止，本基金存续；本基金被其他基金吸收合并时，其他基金存续，本基金终止。 </w:t>
      </w:r>
    </w:p>
    <w:p>
      <w:pPr>
        <w:pStyle w:val="7"/>
        <w:spacing w:before="0" w:beforeAutospacing="0" w:after="0" w:afterAutospacing="0" w:line="360" w:lineRule="auto"/>
        <w:ind w:firstLine="420"/>
        <w:rPr>
          <w:sz w:val="21"/>
          <w:szCs w:val="21"/>
        </w:rPr>
      </w:pPr>
      <w:r>
        <w:rPr>
          <w:rFonts w:hint="eastAsia"/>
          <w:sz w:val="21"/>
          <w:szCs w:val="21"/>
        </w:rPr>
        <w:t xml:space="preserve">2、基金合并导致本基金终止并清算时，由此产生的清算费用由本基金财产承担。 </w:t>
      </w:r>
    </w:p>
    <w:p>
      <w:pPr>
        <w:pStyle w:val="7"/>
        <w:spacing w:before="0" w:beforeAutospacing="0" w:after="0" w:afterAutospacing="0" w:line="360" w:lineRule="auto"/>
        <w:ind w:firstLine="420"/>
        <w:rPr>
          <w:sz w:val="21"/>
          <w:szCs w:val="21"/>
        </w:rPr>
      </w:pPr>
      <w:r>
        <w:rPr>
          <w:rFonts w:hint="eastAsia"/>
          <w:sz w:val="21"/>
          <w:szCs w:val="21"/>
        </w:rPr>
        <w:t xml:space="preserve">3、基金合并后的投资管理 </w:t>
      </w:r>
    </w:p>
    <w:p>
      <w:pPr>
        <w:pStyle w:val="7"/>
        <w:spacing w:before="0" w:beforeAutospacing="0" w:after="0" w:afterAutospacing="0" w:line="360" w:lineRule="auto"/>
        <w:ind w:firstLine="420"/>
        <w:rPr>
          <w:sz w:val="21"/>
          <w:szCs w:val="21"/>
        </w:rPr>
      </w:pPr>
      <w:r>
        <w:rPr>
          <w:rFonts w:hint="eastAsia"/>
          <w:sz w:val="21"/>
          <w:szCs w:val="21"/>
        </w:rPr>
        <w:t xml:space="preserve">本基金吸收合并其他基金的，本基金的投资管理将按本基金合同约定保持不变。 </w:t>
      </w:r>
    </w:p>
    <w:p>
      <w:pPr>
        <w:pStyle w:val="7"/>
        <w:spacing w:before="0" w:beforeAutospacing="0" w:after="0" w:afterAutospacing="0" w:line="360" w:lineRule="auto"/>
        <w:ind w:firstLine="420"/>
        <w:rPr>
          <w:sz w:val="21"/>
          <w:szCs w:val="21"/>
        </w:rPr>
      </w:pPr>
      <w:r>
        <w:rPr>
          <w:rFonts w:hint="eastAsia"/>
          <w:sz w:val="21"/>
          <w:szCs w:val="21"/>
        </w:rPr>
        <w:t xml:space="preserve">本基金被其他基金吸收合并的，本基金的投资管理将按照其他基金基金合同的约定执行。 </w:t>
      </w:r>
    </w:p>
    <w:p>
      <w:pPr>
        <w:pStyle w:val="7"/>
        <w:spacing w:before="0" w:beforeAutospacing="0" w:after="0" w:afterAutospacing="0" w:line="360" w:lineRule="auto"/>
        <w:ind w:firstLine="420"/>
        <w:rPr>
          <w:sz w:val="21"/>
          <w:szCs w:val="21"/>
        </w:rPr>
      </w:pPr>
      <w:r>
        <w:rPr>
          <w:rFonts w:hint="eastAsia"/>
          <w:sz w:val="21"/>
          <w:szCs w:val="21"/>
        </w:rPr>
        <w:t xml:space="preserve">4、基金管理人与基金托管人应就基金合并事宜协商一致，并按照本基金合同的约定具体实施，且无需经基金份额持有人大会审议批准。 </w:t>
      </w:r>
    </w:p>
    <w:p>
      <w:pPr>
        <w:pStyle w:val="7"/>
        <w:spacing w:before="0" w:beforeAutospacing="0" w:after="0" w:afterAutospacing="0" w:line="360" w:lineRule="auto"/>
        <w:ind w:firstLine="420"/>
        <w:rPr>
          <w:sz w:val="21"/>
          <w:szCs w:val="21"/>
        </w:rPr>
      </w:pPr>
      <w:r>
        <w:rPr>
          <w:rFonts w:hint="eastAsia"/>
          <w:sz w:val="21"/>
          <w:szCs w:val="21"/>
        </w:rPr>
        <w:t xml:space="preserve">5、基金合并完成后，基金管理人或新任基金管理人应按照《信息披露办法》的规定就合并后的基金情况予以公告，并报中国证监会备案。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6、基金合并失败后的处理方式出现下列情形之一的，本基金合并失败。本基金在合并失败后将终止，而无需召开基金份额持有人大会。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（1）其他基金的基金份额持有人大会未通过合并方案的； </w:t>
      </w:r>
    </w:p>
    <w:p>
      <w:pPr>
        <w:pStyle w:val="7"/>
        <w:spacing w:before="0" w:beforeAutospacing="0" w:after="0" w:afterAutospacing="0" w:line="360" w:lineRule="auto"/>
        <w:ind w:firstLine="420"/>
        <w:rPr>
          <w:sz w:val="21"/>
          <w:szCs w:val="21"/>
        </w:rPr>
      </w:pPr>
      <w:r>
        <w:rPr>
          <w:rFonts w:hint="eastAsia"/>
          <w:sz w:val="21"/>
          <w:szCs w:val="21"/>
        </w:rPr>
        <w:t xml:space="preserve">（2）因不可抗力等原因致使本基金合并失败的。 </w:t>
      </w:r>
    </w:p>
    <w:p>
      <w:pPr>
        <w:pStyle w:val="7"/>
        <w:spacing w:before="0" w:beforeAutospacing="0" w:after="0" w:afterAutospacing="0" w:line="360" w:lineRule="auto"/>
        <w:ind w:firstLine="420"/>
        <w:rPr>
          <w:sz w:val="21"/>
          <w:szCs w:val="21"/>
        </w:rPr>
      </w:pPr>
      <w:r>
        <w:rPr>
          <w:rFonts w:hint="eastAsia"/>
          <w:sz w:val="21"/>
          <w:szCs w:val="21"/>
        </w:rPr>
        <w:t xml:space="preserve">（九）本基金被其他基金吸收合并引起本基金基金合同终止的，本基金财产可不予变现和分配，并入其他基金资产中。本基金的债权债务由合并后的基金享有和承担。本基金清算的其他事项按照基金合同的其他约定执行。 </w:t>
      </w:r>
    </w:p>
    <w:p>
      <w:pPr>
        <w:pStyle w:val="7"/>
        <w:spacing w:before="0" w:beforeAutospacing="0" w:after="0" w:afterAutospacing="0" w:line="360" w:lineRule="auto"/>
        <w:ind w:firstLine="420"/>
        <w:rPr>
          <w:sz w:val="21"/>
          <w:szCs w:val="21"/>
        </w:rPr>
      </w:pPr>
      <w:r>
        <w:rPr>
          <w:rStyle w:val="11"/>
          <w:rFonts w:hint="eastAsia"/>
          <w:sz w:val="21"/>
          <w:szCs w:val="21"/>
        </w:rPr>
        <w:t>四、争议解决方式 </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《基金合同》受中国法律管辖。 </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 </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2" w:name="chapter_level1_21_71_section_1_end"/>
      <w:bookmarkEnd w:id="192"/>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3" w:name="_Toc207980088"/>
      <w:bookmarkStart w:id="194" w:name="chapter_level1_22_72"/>
      <w:r>
        <w:rPr>
          <w:rFonts w:hint="eastAsia" w:ascii="宋体" w:hAnsi="宋体" w:eastAsia="宋体"/>
          <w:sz w:val="30"/>
        </w:rPr>
        <w:t>第十九部分  基金托管协议的内容摘要</w:t>
      </w:r>
      <w:bookmarkEnd w:id="193"/>
      <w:bookmarkEnd w:id="194"/>
    </w:p>
    <w:p>
      <w:pPr>
        <w:pStyle w:val="7"/>
        <w:spacing w:before="0" w:beforeAutospacing="0" w:after="0" w:afterAutospacing="0" w:line="360" w:lineRule="auto"/>
        <w:ind w:firstLine="420"/>
        <w:rPr>
          <w:sz w:val="21"/>
          <w:szCs w:val="21"/>
        </w:rPr>
      </w:pPr>
      <w:bookmarkStart w:id="195" w:name="chapter_level1_22_72_section_1"/>
      <w:bookmarkEnd w:id="195"/>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名称： </w:t>
      </w:r>
      <w:bookmarkStart w:id="196" w:name="field_0_managerorgfullname_10"/>
      <w:r>
        <w:rPr>
          <w:rFonts w:hint="eastAsia"/>
          <w:sz w:val="21"/>
          <w:szCs w:val="21"/>
        </w:rPr>
        <w:t>博时基金管理有限公司</w:t>
      </w:r>
      <w:bookmarkEnd w:id="19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 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经营范围：基金募集；基金销售；资产管理；中国证监会许可的其他业务 </w:t>
      </w:r>
    </w:p>
    <w:p>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pPr>
        <w:pStyle w:val="7"/>
        <w:spacing w:before="0" w:beforeAutospacing="0" w:after="0" w:afterAutospacing="0" w:line="360" w:lineRule="auto"/>
        <w:ind w:firstLine="420"/>
        <w:rPr>
          <w:sz w:val="21"/>
          <w:szCs w:val="21"/>
        </w:rPr>
      </w:pPr>
      <w:r>
        <w:rPr>
          <w:rFonts w:hint="eastAsia"/>
          <w:sz w:val="21"/>
          <w:szCs w:val="21"/>
        </w:rPr>
        <w:t xml:space="preserve">联系人：   韩强 </w:t>
      </w:r>
    </w:p>
    <w:p>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197" w:name="field_0_trustorgfullname_2"/>
      <w:r>
        <w:rPr>
          <w:rFonts w:hint="eastAsia"/>
          <w:sz w:val="21"/>
          <w:szCs w:val="21"/>
        </w:rPr>
        <w:t>中国工商银行股份有限公司</w:t>
      </w:r>
      <w:bookmarkEnd w:id="19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住所：北京市西城区复兴门内大街55号（100032） </w:t>
      </w:r>
    </w:p>
    <w:p>
      <w:pPr>
        <w:pStyle w:val="7"/>
        <w:spacing w:before="0" w:beforeAutospacing="0" w:after="0" w:afterAutospacing="0" w:line="360" w:lineRule="auto"/>
        <w:ind w:firstLine="420"/>
        <w:rPr>
          <w:sz w:val="21"/>
          <w:szCs w:val="21"/>
        </w:rPr>
      </w:pPr>
      <w:r>
        <w:rPr>
          <w:rFonts w:hint="eastAsia"/>
          <w:sz w:val="21"/>
          <w:szCs w:val="21"/>
        </w:rPr>
        <w:t xml:space="preserve">法定代表人：陈四清 </w:t>
      </w:r>
    </w:p>
    <w:p>
      <w:pPr>
        <w:pStyle w:val="7"/>
        <w:spacing w:before="0" w:beforeAutospacing="0" w:after="0" w:afterAutospacing="0" w:line="360" w:lineRule="auto"/>
        <w:ind w:firstLine="420"/>
        <w:rPr>
          <w:sz w:val="21"/>
          <w:szCs w:val="21"/>
        </w:rPr>
      </w:pPr>
      <w:r>
        <w:rPr>
          <w:rFonts w:hint="eastAsia"/>
          <w:sz w:val="21"/>
          <w:szCs w:val="21"/>
        </w:rPr>
        <w:t xml:space="preserve">联系电话：010-66105799 </w:t>
      </w:r>
    </w:p>
    <w:p>
      <w:pPr>
        <w:pStyle w:val="7"/>
        <w:spacing w:before="0" w:beforeAutospacing="0" w:after="0" w:afterAutospacing="0" w:line="360" w:lineRule="auto"/>
        <w:ind w:firstLine="420"/>
        <w:rPr>
          <w:sz w:val="21"/>
          <w:szCs w:val="21"/>
        </w:rPr>
      </w:pPr>
      <w:r>
        <w:rPr>
          <w:rFonts w:hint="eastAsia"/>
          <w:sz w:val="21"/>
          <w:szCs w:val="21"/>
        </w:rPr>
        <w:t xml:space="preserve">联系人：郭明 </w:t>
      </w:r>
    </w:p>
    <w:p>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注册资本：人民币35,640,625.7089万元 </w:t>
      </w:r>
    </w:p>
    <w:p>
      <w:pPr>
        <w:pStyle w:val="7"/>
        <w:spacing w:before="0" w:beforeAutospacing="0" w:after="0" w:afterAutospacing="0" w:line="360" w:lineRule="auto"/>
        <w:ind w:firstLine="420"/>
        <w:rPr>
          <w:sz w:val="21"/>
          <w:szCs w:val="21"/>
        </w:rPr>
      </w:pPr>
      <w:r>
        <w:rPr>
          <w:rFonts w:hint="eastAsia"/>
          <w:sz w:val="21"/>
          <w:szCs w:val="21"/>
        </w:rPr>
        <w:t xml:space="preserve">批准设立机关和设立文号：国务院《关于中国人民银行专门行使中央银行职能的决定》（国发[1983]146号）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 </w:t>
      </w:r>
    </w:p>
    <w:p>
      <w:pPr>
        <w:pStyle w:val="7"/>
        <w:spacing w:before="0" w:beforeAutospacing="0" w:after="0" w:afterAutospacing="0" w:line="360" w:lineRule="auto"/>
        <w:ind w:firstLine="420"/>
        <w:rPr>
          <w:sz w:val="21"/>
          <w:szCs w:val="21"/>
        </w:rPr>
      </w:pPr>
      <w:r>
        <w:rPr>
          <w:rFonts w:hint="eastAsia"/>
          <w:sz w:val="21"/>
          <w:szCs w:val="21"/>
        </w:rPr>
        <w:t xml:space="preserve">本基金将投资于以下金融工具：国内依法发行上市的股票（含主板、中小板、创业板及其他经中国证监会核准上市的股票、存托凭证等）、权证、股指期货、债券（含中小企业私募债）、货币市场工具、中期票据、现金以及法律法规或中国证监会允许基金投资的其他金融工具(但须符合中国证监会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本基金不得投资于相关法律、法规、部门规章及《基金合同》禁止投资的投资工具。 </w:t>
      </w:r>
    </w:p>
    <w:p>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2、基金托管人根据有关法律法规的规定及《基金合同》的约定对下述基金投融资比例进行监督： </w:t>
      </w:r>
    </w:p>
    <w:p>
      <w:pPr>
        <w:pStyle w:val="7"/>
        <w:spacing w:before="0" w:beforeAutospacing="0" w:after="0" w:afterAutospacing="0" w:line="360" w:lineRule="auto"/>
        <w:ind w:firstLine="420"/>
        <w:rPr>
          <w:sz w:val="21"/>
          <w:szCs w:val="21"/>
        </w:rPr>
      </w:pPr>
      <w:r>
        <w:rPr>
          <w:rFonts w:hint="eastAsia"/>
          <w:sz w:val="21"/>
          <w:szCs w:val="21"/>
        </w:rPr>
        <w:t xml:space="preserve">（1）按法律法规的规定及《基金合同》的约定，本基金的投资资产配置比例为： </w:t>
      </w:r>
    </w:p>
    <w:p>
      <w:pPr>
        <w:pStyle w:val="7"/>
        <w:spacing w:before="0" w:beforeAutospacing="0" w:after="0" w:afterAutospacing="0" w:line="360" w:lineRule="auto"/>
        <w:ind w:firstLine="420"/>
        <w:rPr>
          <w:sz w:val="21"/>
          <w:szCs w:val="21"/>
        </w:rPr>
      </w:pPr>
      <w:r>
        <w:rPr>
          <w:rFonts w:hint="eastAsia"/>
          <w:sz w:val="21"/>
          <w:szCs w:val="21"/>
        </w:rPr>
        <w:t xml:space="preserve">股票（含存托凭证）投资比例为基金资产的0%-95%，其中投资于具备产业创新动力、引领制造业发展趋势的股票（以下简称“产业新动力股票”）比例不低于非现金基金资产的80%。本基金每个交易日日终在扣除股指期货合约需缴纳的交易保证金后，保持现金或者到期日在一年以内的政府债券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（2）根据法律法规的规定及《基金合同》的约定，本基金投资组合遵循以下投资限制： </w:t>
      </w:r>
    </w:p>
    <w:p>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1）本基金股票（含存托凭证）投资比例为基金资产的0%-95%，其中，投资于产业新动力股票的资产占非现金基金资产的比例不低于80%；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4）本基金管理人管理且由基金托管人托管的全部基金持有一家公司发行的证券（含存托凭证），不超过该证券的10％；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6）本基金持有的全部权证，其市值不得超过基金资产净值的3％；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7）本基金管理人管理且由基金托管人托管的全部基金持有的同一权证，不得超过该权证的10％； </w:t>
      </w:r>
    </w:p>
    <w:p>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 </w:t>
      </w:r>
    </w:p>
    <w:p>
      <w:pPr>
        <w:pStyle w:val="7"/>
        <w:spacing w:before="0" w:beforeAutospacing="0" w:after="0" w:afterAutospacing="0" w:line="360" w:lineRule="auto"/>
        <w:ind w:firstLine="420"/>
        <w:rPr>
          <w:sz w:val="21"/>
          <w:szCs w:val="21"/>
        </w:rPr>
      </w:pPr>
      <w:r>
        <w:rPr>
          <w:rFonts w:hint="eastAsia"/>
          <w:sz w:val="21"/>
          <w:szCs w:val="21"/>
        </w:rPr>
        <w:t xml:space="preserve">9）本基金投资于同一原始权益人的各类资产支持证券的比例，不得超过基金资产净值的10％；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10）本基金持有的全部资产支持证券，其市值不得超过基金资产净值的20％；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11）本基金持有的同一(指同一信用级别)资产支持证券的比例，不得超过该资产支持证券规模的10％；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12）本基金管理人管理且由基金托管人托管的全部基金投资于同一原始权益人的各类资产支持证券，不得超过其各类资产支持证券合计规模的10％；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13）本基金应投资于信用级别评级为BBB以上(含BBB)的资产支持证券。基金持有资产支持证券期间，如果其信用等级下降、不再符合投资标准，应在评级报告发布之日起3个月内予以全部卖出；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14）基金财产参与股票发行申购，本基金所申报的金额不超过本基金的总资产，本基金所申报的股票数量不超过拟发行股票公司本次发行股票的总量；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15）本基金投资流通受限证券，基金管理人应制订严格的投资决策流程和风险控制制度，防范流动性风险、法律风险和操作风险等各种风险； </w:t>
      </w:r>
    </w:p>
    <w:p>
      <w:pPr>
        <w:pStyle w:val="7"/>
        <w:spacing w:before="0" w:beforeAutospacing="0" w:after="0" w:afterAutospacing="0" w:line="360" w:lineRule="auto"/>
        <w:ind w:firstLine="420"/>
        <w:rPr>
          <w:sz w:val="21"/>
          <w:szCs w:val="21"/>
        </w:rPr>
      </w:pPr>
      <w:r>
        <w:rPr>
          <w:rFonts w:hint="eastAsia"/>
          <w:sz w:val="21"/>
          <w:szCs w:val="21"/>
        </w:rPr>
        <w:t xml:space="preserve">16）本基金参与股指期货交易后，需遵守下列规定： </w:t>
      </w:r>
    </w:p>
    <w:p>
      <w:pPr>
        <w:pStyle w:val="7"/>
        <w:spacing w:before="0" w:beforeAutospacing="0" w:after="0" w:afterAutospacing="0" w:line="360" w:lineRule="auto"/>
        <w:ind w:firstLine="420"/>
        <w:rPr>
          <w:sz w:val="21"/>
          <w:szCs w:val="21"/>
        </w:rPr>
      </w:pPr>
      <w:r>
        <w:rPr>
          <w:rFonts w:hint="eastAsia"/>
          <w:sz w:val="21"/>
          <w:szCs w:val="21"/>
        </w:rPr>
        <w:t xml:space="preserve">① 本基金在任何交易日日终，持有的买入股指期货合约价值，不得超过基金资产净值的10%；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② 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③ 本基金在任何交易日日终，持有的卖出期货合约价值不得超过基金持有的股票总市值的20%； </w:t>
      </w:r>
    </w:p>
    <w:p>
      <w:pPr>
        <w:pStyle w:val="7"/>
        <w:spacing w:before="0" w:beforeAutospacing="0" w:after="0" w:afterAutospacing="0" w:line="360" w:lineRule="auto"/>
        <w:ind w:firstLine="420"/>
        <w:rPr>
          <w:sz w:val="21"/>
          <w:szCs w:val="21"/>
        </w:rPr>
      </w:pPr>
      <w:r>
        <w:rPr>
          <w:rFonts w:hint="eastAsia"/>
          <w:sz w:val="21"/>
          <w:szCs w:val="21"/>
        </w:rPr>
        <w:t xml:space="preserve">④ 本基金在任何交易日内交易（不包括平仓）的股指期货合约的成交金额不得超过上一交易日基金资产净值的20%； </w:t>
      </w:r>
    </w:p>
    <w:p>
      <w:pPr>
        <w:pStyle w:val="7"/>
        <w:spacing w:before="0" w:beforeAutospacing="0" w:after="0" w:afterAutospacing="0" w:line="360" w:lineRule="auto"/>
        <w:ind w:firstLine="420"/>
        <w:rPr>
          <w:sz w:val="21"/>
          <w:szCs w:val="21"/>
        </w:rPr>
      </w:pPr>
      <w:r>
        <w:rPr>
          <w:rFonts w:hint="eastAsia"/>
          <w:sz w:val="21"/>
          <w:szCs w:val="21"/>
        </w:rPr>
        <w:t xml:space="preserve">⑤ 本基金所持有的股票市值和买入、卖出股指期货合约价值，合计（轧差计算）应当符合《基金合同》关于股票投资比例的有关规定；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17）本基金持有单只中小企业私募债券，其市值不得超过本基金资产净值的10%；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18）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pPr>
        <w:pStyle w:val="7"/>
        <w:spacing w:before="0" w:beforeAutospacing="0" w:after="0" w:afterAutospacing="0" w:line="360" w:lineRule="auto"/>
        <w:ind w:firstLine="420"/>
        <w:rPr>
          <w:sz w:val="21"/>
          <w:szCs w:val="21"/>
        </w:rPr>
      </w:pPr>
      <w:r>
        <w:rPr>
          <w:rFonts w:hint="eastAsia"/>
          <w:sz w:val="21"/>
          <w:szCs w:val="21"/>
        </w:rPr>
        <w:t xml:space="preserve">19）本基金主动投资于流动性受限资产的市值合计不得超过本基金资产净值的15%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pPr>
        <w:pStyle w:val="7"/>
        <w:spacing w:before="0" w:beforeAutospacing="0" w:after="0" w:afterAutospacing="0" w:line="360" w:lineRule="auto"/>
        <w:ind w:firstLine="420"/>
        <w:rPr>
          <w:sz w:val="21"/>
          <w:szCs w:val="21"/>
        </w:rPr>
      </w:pPr>
      <w:r>
        <w:rPr>
          <w:rFonts w:hint="eastAsia"/>
          <w:sz w:val="21"/>
          <w:szCs w:val="21"/>
        </w:rPr>
        <w:t xml:space="preserve">（3）基金管理人应将拟投的产业新动力上市公司股票池的具体范围提供给基金托管人。 </w:t>
      </w:r>
    </w:p>
    <w:p>
      <w:pPr>
        <w:pStyle w:val="7"/>
        <w:spacing w:before="0" w:beforeAutospacing="0" w:after="0" w:afterAutospacing="0" w:line="360" w:lineRule="auto"/>
        <w:ind w:firstLine="420"/>
        <w:rPr>
          <w:sz w:val="21"/>
          <w:szCs w:val="21"/>
        </w:rPr>
      </w:pPr>
      <w:r>
        <w:rPr>
          <w:rFonts w:hint="eastAsia"/>
          <w:sz w:val="21"/>
          <w:szCs w:val="21"/>
        </w:rPr>
        <w:t xml:space="preserve">（4）法规允许的基金投资比例调整期限 </w:t>
      </w:r>
    </w:p>
    <w:p>
      <w:pPr>
        <w:pStyle w:val="7"/>
        <w:spacing w:before="0" w:beforeAutospacing="0" w:after="0" w:afterAutospacing="0" w:line="360" w:lineRule="auto"/>
        <w:ind w:firstLine="420"/>
        <w:rPr>
          <w:sz w:val="21"/>
          <w:szCs w:val="21"/>
        </w:rPr>
      </w:pPr>
      <w:r>
        <w:rPr>
          <w:rFonts w:hint="eastAsia"/>
          <w:sz w:val="21"/>
          <w:szCs w:val="21"/>
        </w:rPr>
        <w:t xml:space="preserve">除上述（2）的第2）、13）、19）项外，由于证券、期货市场波动、上市公司合并或基金规模变动、股权分置改革中支付对价等基金管理人之外的原因导致的投资组合不符合上述约定的比例，不在限制之内，但基金管理人应在10个交易日内进行调整，以达到规定的投资比例限制要求，但中国证监会规定的特殊情形除外。法律法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基金管理人应在出现可预见资产规模大幅变动的情况下，至少提前2个工作日正式向基金托管人发函说明基金可能变动规模和公司应对措施，便于托管人实施交易监督。 </w:t>
      </w:r>
    </w:p>
    <w:p>
      <w:pPr>
        <w:pStyle w:val="7"/>
        <w:spacing w:before="0" w:beforeAutospacing="0" w:after="0" w:afterAutospacing="0" w:line="360" w:lineRule="auto"/>
        <w:ind w:firstLine="420"/>
        <w:rPr>
          <w:sz w:val="21"/>
          <w:szCs w:val="21"/>
        </w:rPr>
      </w:pPr>
      <w:r>
        <w:rPr>
          <w:rFonts w:hint="eastAsia"/>
          <w:sz w:val="21"/>
          <w:szCs w:val="21"/>
        </w:rPr>
        <w:t xml:space="preserve">（5）本基金可以按照国家的有关规定进行融资融券。 </w:t>
      </w:r>
    </w:p>
    <w:p>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3、基金托管人根据有关法律法规的规定及《基金合同》的约定对下述基金投资禁止行为进行监督：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如法律法规或监管部门取消上述禁止性规定，如适用于本基金，基金管理人在履行适当程序后可不受上述规定的限制。 </w:t>
      </w:r>
    </w:p>
    <w:p>
      <w:pPr>
        <w:pStyle w:val="7"/>
        <w:spacing w:before="0" w:beforeAutospacing="0" w:after="0" w:afterAutospacing="0" w:line="360" w:lineRule="auto"/>
        <w:ind w:firstLine="420"/>
        <w:rPr>
          <w:sz w:val="21"/>
          <w:szCs w:val="21"/>
        </w:rPr>
      </w:pPr>
      <w:r>
        <w:rPr>
          <w:rFonts w:hint="eastAsia"/>
          <w:sz w:val="21"/>
          <w:szCs w:val="21"/>
        </w:rPr>
        <w:t xml:space="preserve">4、基金托管人依据有关法律法规的规定和《基金合同》的约定对基金管理人参与银行间债券市场进行监督。 </w:t>
      </w:r>
    </w:p>
    <w:p>
      <w:pPr>
        <w:pStyle w:val="7"/>
        <w:spacing w:before="0" w:beforeAutospacing="0" w:after="0" w:afterAutospacing="0" w:line="360" w:lineRule="auto"/>
        <w:ind w:firstLine="420"/>
        <w:rPr>
          <w:sz w:val="21"/>
          <w:szCs w:val="21"/>
        </w:rPr>
      </w:pPr>
      <w:r>
        <w:rPr>
          <w:rFonts w:hint="eastAsia"/>
          <w:sz w:val="21"/>
          <w:szCs w:val="21"/>
        </w:rPr>
        <w:t xml:space="preserve">（1）基金托管人按以下方式对基金管理人参与银行间市场交易的交易对手资信风险控制措施进行监督。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向基金托管人提供符合法律法规及行业标准的银行间市场交易对手的名单，并按照审慎的风险控制原则在该名单中约定各交易对手所适用的交易结算方式。基金托管人在收到名单后2个工作日内回函确认收到该名单。基金管理人应定期或不定期对银行间市场现券及回购交易对手的名单进行更新，名单中增加或减少银行间市场交易对手时须提前书面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 </w:t>
      </w:r>
    </w:p>
    <w:p>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（2）基金托管人对于基金管理人参与银行间市场交易的交易方式的控制 </w:t>
      </w:r>
    </w:p>
    <w:p>
      <w:pPr>
        <w:pStyle w:val="7"/>
        <w:spacing w:before="0" w:beforeAutospacing="0" w:after="0" w:afterAutospacing="0" w:line="360" w:lineRule="auto"/>
        <w:ind w:firstLine="420"/>
        <w:rPr>
          <w:sz w:val="21"/>
          <w:szCs w:val="21"/>
        </w:rPr>
      </w:pPr>
      <w:r>
        <w:rPr>
          <w:rFonts w:hint="eastAsia"/>
          <w:sz w:val="21"/>
          <w:szCs w:val="21"/>
        </w:rPr>
        <w:t xml:space="preserve">基金管理人在银行间市场进行现券买卖和回购交易时，需按交易对手名单中约定的该交易对手所适用的交易结算方式进行交易。如果基金托管人发现基金管理人没有按照事先约定的交易方式进行交易时，基金托管人应及时提醒基金管理人与交易对手重新确定交易方式，经提醒后仍未改正时造成基金资产损失的，基金托管人不承担责任。 </w:t>
      </w:r>
    </w:p>
    <w:p>
      <w:pPr>
        <w:pStyle w:val="7"/>
        <w:spacing w:before="0" w:beforeAutospacing="0" w:after="0" w:afterAutospacing="0" w:line="360" w:lineRule="auto"/>
        <w:ind w:firstLine="420"/>
        <w:rPr>
          <w:sz w:val="21"/>
          <w:szCs w:val="21"/>
        </w:rPr>
      </w:pPr>
      <w:r>
        <w:rPr>
          <w:rFonts w:hint="eastAsia"/>
          <w:sz w:val="21"/>
          <w:szCs w:val="21"/>
        </w:rPr>
        <w:t xml:space="preserve">（3）基金管理人参与银行间市场交易的核心交易对手为中国工商银行、中国银行、中国建设银行、中国农业银行和交通银行，基金管理人在通知基金托管人后，可以根据当时的市场情况调整核心交易对手名单。基金管理人有责任控制交易对手的资信风险，在与核心交易对手以外的交易对手进行交易时，由于交易对手资信风险引起的损失先由基金管理人承担，其后有权要求相关责任人进行赔偿。基金托管人的监督责任仅限于根据已提供的名单，审核交易对手是否在名单内列明。 </w:t>
      </w:r>
    </w:p>
    <w:p>
      <w:pPr>
        <w:pStyle w:val="7"/>
        <w:spacing w:before="0" w:beforeAutospacing="0" w:after="0" w:afterAutospacing="0" w:line="360" w:lineRule="auto"/>
        <w:ind w:firstLine="420"/>
        <w:rPr>
          <w:sz w:val="21"/>
          <w:szCs w:val="21"/>
        </w:rPr>
      </w:pPr>
      <w:r>
        <w:rPr>
          <w:rFonts w:hint="eastAsia"/>
          <w:sz w:val="21"/>
          <w:szCs w:val="21"/>
        </w:rPr>
        <w:t xml:space="preserve">5、基金托管人对基金管理人选择存款银行进行监督。 </w:t>
      </w:r>
    </w:p>
    <w:p>
      <w:pPr>
        <w:pStyle w:val="7"/>
        <w:spacing w:before="0" w:beforeAutospacing="0" w:after="0" w:afterAutospacing="0" w:line="360" w:lineRule="auto"/>
        <w:ind w:firstLine="420"/>
        <w:rPr>
          <w:sz w:val="21"/>
          <w:szCs w:val="21"/>
        </w:rPr>
      </w:pPr>
      <w:r>
        <w:rPr>
          <w:rFonts w:hint="eastAsia"/>
          <w:sz w:val="21"/>
          <w:szCs w:val="21"/>
        </w:rPr>
        <w:t xml:space="preserve">本基金投资银行存款的信用风险主要包括存款银行的信用等级、存款银行的支付能力等涉及到存款银行选择方面的风险。本基金核心存款银行名单为中国工商银行、中国银行、中国建设银行、中国农业银行和交通银行。基金管理人在通知基金托管人后，可以根据当时的市场情况对于核心存款银行名单进行调整。基金托管人的监督责任仅限于根据已提供的名单，审核核心存款银行是否在名单内列明。 </w:t>
      </w:r>
    </w:p>
    <w:p>
      <w:pPr>
        <w:pStyle w:val="7"/>
        <w:spacing w:before="0" w:beforeAutospacing="0" w:after="0" w:afterAutospacing="0" w:line="360" w:lineRule="auto"/>
        <w:ind w:firstLine="420"/>
        <w:rPr>
          <w:sz w:val="21"/>
          <w:szCs w:val="21"/>
        </w:rPr>
      </w:pPr>
      <w:r>
        <w:rPr>
          <w:rFonts w:hint="eastAsia"/>
          <w:sz w:val="21"/>
          <w:szCs w:val="21"/>
        </w:rPr>
        <w:t xml:space="preserve">本基金投资除核心存款银行以外的银行存款出现由于存款银行信用风险而造成的损失时，先由基金管理人负责赔偿，之后有权要求相关责任人进行赔偿。 </w:t>
      </w:r>
    </w:p>
    <w:p>
      <w:pPr>
        <w:pStyle w:val="7"/>
        <w:spacing w:before="0" w:beforeAutospacing="0" w:after="0" w:afterAutospacing="0" w:line="360" w:lineRule="auto"/>
        <w:ind w:firstLine="420"/>
        <w:rPr>
          <w:sz w:val="21"/>
          <w:szCs w:val="21"/>
        </w:rPr>
      </w:pPr>
      <w:r>
        <w:rPr>
          <w:rFonts w:hint="eastAsia"/>
          <w:sz w:val="21"/>
          <w:szCs w:val="21"/>
        </w:rPr>
        <w:t xml:space="preserve">6、基金托管人对基金投资流通受限证券的监督 </w:t>
      </w:r>
    </w:p>
    <w:p>
      <w:pPr>
        <w:pStyle w:val="7"/>
        <w:spacing w:before="0" w:beforeAutospacing="0" w:after="0" w:afterAutospacing="0" w:line="360" w:lineRule="auto"/>
        <w:ind w:firstLine="420"/>
        <w:rPr>
          <w:sz w:val="21"/>
          <w:szCs w:val="21"/>
        </w:rPr>
      </w:pPr>
      <w:r>
        <w:rPr>
          <w:rFonts w:hint="eastAsia"/>
          <w:sz w:val="21"/>
          <w:szCs w:val="21"/>
        </w:rPr>
        <w:t xml:space="preserve">（1）基金投资流通受限证券，应遵守《关于规范基金投资非公开发行证券行为的紧急通知》、《关于基金投资非公开发行股票等流通受限证券有关问题的通知》等有关法律法规规定。 </w:t>
      </w:r>
    </w:p>
    <w:p>
      <w:pPr>
        <w:pStyle w:val="7"/>
        <w:spacing w:before="0" w:beforeAutospacing="0" w:after="0" w:afterAutospacing="0" w:line="360" w:lineRule="auto"/>
        <w:ind w:firstLine="420"/>
        <w:rPr>
          <w:sz w:val="21"/>
          <w:szCs w:val="21"/>
        </w:rPr>
      </w:pPr>
      <w:r>
        <w:rPr>
          <w:rFonts w:hint="eastAsia"/>
          <w:sz w:val="21"/>
          <w:szCs w:val="21"/>
        </w:rPr>
        <w:t xml:space="preserve">（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pPr>
        <w:pStyle w:val="7"/>
        <w:spacing w:before="0" w:beforeAutospacing="0" w:after="0" w:afterAutospacing="0" w:line="360" w:lineRule="auto"/>
        <w:ind w:firstLine="420"/>
        <w:rPr>
          <w:sz w:val="21"/>
          <w:szCs w:val="21"/>
        </w:rPr>
      </w:pPr>
      <w:r>
        <w:rPr>
          <w:rFonts w:hint="eastAsia"/>
          <w:sz w:val="21"/>
          <w:szCs w:val="21"/>
        </w:rPr>
        <w:t xml:space="preserve">（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pPr>
        <w:pStyle w:val="7"/>
        <w:spacing w:before="0" w:beforeAutospacing="0" w:after="0" w:afterAutospacing="0" w:line="360" w:lineRule="auto"/>
        <w:ind w:firstLine="420"/>
        <w:rPr>
          <w:sz w:val="21"/>
          <w:szCs w:val="21"/>
        </w:rPr>
      </w:pPr>
      <w:r>
        <w:rPr>
          <w:rFonts w:hint="eastAsia"/>
          <w:sz w:val="21"/>
          <w:szCs w:val="21"/>
        </w:rPr>
        <w:t xml:space="preserve">（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 </w:t>
      </w:r>
    </w:p>
    <w:p>
      <w:pPr>
        <w:pStyle w:val="7"/>
        <w:spacing w:before="0" w:beforeAutospacing="0" w:after="0" w:afterAutospacing="0" w:line="360" w:lineRule="auto"/>
        <w:ind w:firstLine="420"/>
        <w:rPr>
          <w:sz w:val="21"/>
          <w:szCs w:val="21"/>
        </w:rPr>
      </w:pPr>
      <w:r>
        <w:rPr>
          <w:rFonts w:hint="eastAsia"/>
          <w:sz w:val="21"/>
          <w:szCs w:val="21"/>
        </w:rPr>
        <w:t xml:space="preserve">（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如基金管理人和基金托管人无法达成一致，应及时上报中国证监会请求解决。如果基金托管人切实履行监督职责，则不承担任何责任。如果基金托管人没有切实履行监督职责，导致基金出现风险，基金托管人应承担连带责任。 </w:t>
      </w:r>
    </w:p>
    <w:p>
      <w:pPr>
        <w:pStyle w:val="7"/>
        <w:spacing w:before="0" w:beforeAutospacing="0" w:after="0" w:afterAutospacing="0" w:line="360" w:lineRule="auto"/>
        <w:ind w:firstLine="420"/>
        <w:rPr>
          <w:sz w:val="21"/>
          <w:szCs w:val="21"/>
        </w:rPr>
      </w:pPr>
      <w:r>
        <w:rPr>
          <w:rFonts w:hint="eastAsia"/>
          <w:sz w:val="21"/>
          <w:szCs w:val="21"/>
        </w:rPr>
        <w:t xml:space="preserve">7、基金托管人对基金从事重大关联交易的监督：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遵守《公开募集证券投资基金运作管理办法》，应当符合基金的投资目标和投资策略，遵循持有人利益优先原则，防范利益冲突，建立健全内部审批机制和评估机制，按照市场公平合理价格执行。相关交易必须事先得到基金托管人的同意，并按照法律法规予以披露。 </w:t>
      </w:r>
    </w:p>
    <w:p>
      <w:pPr>
        <w:pStyle w:val="7"/>
        <w:spacing w:before="0" w:beforeAutospacing="0" w:after="0" w:afterAutospacing="0" w:line="360" w:lineRule="auto"/>
        <w:ind w:firstLine="420"/>
        <w:rPr>
          <w:sz w:val="21"/>
          <w:szCs w:val="21"/>
        </w:rPr>
      </w:pPr>
      <w:r>
        <w:rPr>
          <w:rFonts w:hint="eastAsia"/>
          <w:sz w:val="21"/>
          <w:szCs w:val="21"/>
        </w:rPr>
        <w:t xml:space="preserve">如果基金托管人切实履行监督职责，则不承担任何责任。如果基金托管人没有切实履行监督职责，导致基金出现风险，基金托管人应承担连带责任。 </w:t>
      </w:r>
    </w:p>
    <w:p>
      <w:pPr>
        <w:pStyle w:val="7"/>
        <w:spacing w:before="0" w:beforeAutospacing="0" w:after="0" w:afterAutospacing="0" w:line="360" w:lineRule="auto"/>
        <w:ind w:firstLine="420"/>
        <w:rPr>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三）基金托管人发现基金管理人的投资运作及其他运作违反《基金法》、《基金合同》、基金托管协议有关规定时，应及时以书面形式通知基金管理人限期纠正，基金管理人收到通知后应在下一个工作日及时核对，并以书面形式向基金托管人发出回函，进行解释或举证。 </w:t>
      </w:r>
    </w:p>
    <w:p>
      <w:pPr>
        <w:pStyle w:val="7"/>
        <w:spacing w:before="0" w:beforeAutospacing="0" w:after="0" w:afterAutospacing="0" w:line="360" w:lineRule="auto"/>
        <w:ind w:firstLine="420"/>
        <w:rPr>
          <w:sz w:val="21"/>
          <w:szCs w:val="21"/>
        </w:rPr>
      </w:pPr>
      <w:r>
        <w:rPr>
          <w:rFonts w:hint="eastAsia"/>
          <w:sz w:val="21"/>
          <w:szCs w:val="21"/>
        </w:rPr>
        <w:t xml:space="preserve">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 </w:t>
      </w:r>
    </w:p>
    <w:p>
      <w:pPr>
        <w:pStyle w:val="7"/>
        <w:spacing w:before="0" w:beforeAutospacing="0" w:after="0" w:afterAutospacing="0" w:line="360" w:lineRule="auto"/>
        <w:ind w:firstLine="420"/>
        <w:rPr>
          <w:sz w:val="21"/>
          <w:szCs w:val="21"/>
        </w:rPr>
      </w:pPr>
      <w:r>
        <w:rPr>
          <w:rFonts w:hint="eastAsia"/>
          <w:sz w:val="21"/>
          <w:szCs w:val="21"/>
        </w:rPr>
        <w:t xml:space="preserve">对于依据交易程序尚未成交的且基金托管人在交易前能够监控的投资指令，基金托管人发现该投资指令违反关法律法规规定或者违反《基金合同》约定的，应当拒绝执行，立即通知基金管理人，并向中国证监会报告。 </w:t>
      </w:r>
    </w:p>
    <w:p>
      <w:pPr>
        <w:pStyle w:val="7"/>
        <w:spacing w:before="0" w:beforeAutospacing="0" w:after="0" w:afterAutospacing="0" w:line="360" w:lineRule="auto"/>
        <w:ind w:firstLine="420"/>
        <w:rPr>
          <w:sz w:val="21"/>
          <w:szCs w:val="21"/>
        </w:rPr>
      </w:pPr>
      <w:r>
        <w:rPr>
          <w:rFonts w:hint="eastAsia"/>
          <w:sz w:val="21"/>
          <w:szCs w:val="21"/>
        </w:rPr>
        <w:t xml:space="preserve">对于必须于估值完成后方可获知的监控指标或依据交易程序已经成交的投资指令，基金托管人发现该投资指令违反法律法规或者违反《基金合同》约定的，应当立即通知基金管理人，并报告中国证监会。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基金托管人发现基金管理人有重大违规行为，应立即报告中国证监会，同时通知基金管理人限期纠正。 </w:t>
      </w:r>
    </w:p>
    <w:p>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基金托管人根据本协议规定行使监督权，或采取拖延、欺诈等手段妨碍基金托管人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三、基金管理人对基金托管人的业务监督、核查</w:t>
      </w:r>
    </w:p>
    <w:p>
      <w:pPr>
        <w:pStyle w:val="7"/>
        <w:spacing w:before="0" w:beforeAutospacing="0" w:after="0" w:afterAutospacing="0" w:line="360" w:lineRule="auto"/>
        <w:ind w:firstLine="420"/>
        <w:rPr>
          <w:sz w:val="21"/>
          <w:szCs w:val="21"/>
        </w:rPr>
      </w:pPr>
      <w:r>
        <w:rPr>
          <w:rFonts w:hint="eastAsia"/>
          <w:sz w:val="21"/>
          <w:szCs w:val="21"/>
        </w:rPr>
        <w:t xml:space="preserve">基金管理人对基金托管人履行托管职责情况进行核查，核查事项包括但不限于基金托管人安全保管基金财产、开设基金财产的资金账户、证券账户、债券托管账户和期货账户等投资所需账户，复核基金管理人计算的基金资产净值和各类基金份额净值、根据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 </w:t>
      </w:r>
    </w:p>
    <w:p>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基金管理人发现基金托管人有重大违规行为，应立即报告中国证监会和银行业监督管理机构，同时通知基金托管人限期纠正。 </w:t>
      </w:r>
    </w:p>
    <w:p>
      <w:pPr>
        <w:pStyle w:val="7"/>
        <w:spacing w:before="0" w:beforeAutospacing="0" w:after="0" w:afterAutospacing="0" w:line="360" w:lineRule="auto"/>
        <w:ind w:firstLine="420"/>
        <w:rPr>
          <w:sz w:val="21"/>
          <w:szCs w:val="21"/>
        </w:rPr>
      </w:pPr>
      <w:r>
        <w:rPr>
          <w:rFonts w:hint="eastAsia"/>
          <w:sz w:val="21"/>
          <w:szCs w:val="21"/>
        </w:rPr>
        <w:t xml:space="preserve">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基金管理人根据本协议规定行使监督权，或采取拖延、欺诈等手段妨碍基金管理人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2、基金托管人应安全保管基金财产。未经基金管理人的正当指令，不得自行运用、处分、分配基金的任何财产。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3、基金托管人按照规定开设基金财产的资金账户、证券账户、债券托管账户和期货账户等投资所需账户。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4、基金托管人对所托管的不同基金财产分别设置账户，与基金托管人的其他业务和其他基金的托管业务实行严格的分账管理，确保基金财产的完整与独立。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  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 </w:t>
      </w:r>
    </w:p>
    <w:p>
      <w:pPr>
        <w:pStyle w:val="7"/>
        <w:spacing w:before="0" w:beforeAutospacing="0" w:after="0" w:afterAutospacing="0" w:line="360" w:lineRule="auto"/>
        <w:ind w:firstLine="420"/>
        <w:rPr>
          <w:sz w:val="21"/>
          <w:szCs w:val="21"/>
        </w:rPr>
      </w:pPr>
      <w:r>
        <w:rPr>
          <w:rFonts w:hint="eastAsia"/>
          <w:sz w:val="21"/>
          <w:szCs w:val="21"/>
        </w:rPr>
        <w:t xml:space="preserve">（二）募集资金的验证 </w:t>
      </w:r>
    </w:p>
    <w:p>
      <w:pPr>
        <w:pStyle w:val="7"/>
        <w:spacing w:before="0" w:beforeAutospacing="0" w:after="0" w:afterAutospacing="0" w:line="360" w:lineRule="auto"/>
        <w:ind w:firstLine="420"/>
        <w:rPr>
          <w:sz w:val="21"/>
          <w:szCs w:val="21"/>
        </w:rPr>
      </w:pPr>
      <w:r>
        <w:rPr>
          <w:rFonts w:hint="eastAsia"/>
          <w:sz w:val="21"/>
          <w:szCs w:val="21"/>
        </w:rPr>
        <w:t>募集期内销售机构按销售与服务代理协议的约定，将认购资金划入基金管理人在具有托管资格的商业银行开设的</w:t>
      </w:r>
      <w:bookmarkStart w:id="198" w:name="field_0_managerorgfullname_11"/>
      <w:r>
        <w:rPr>
          <w:rFonts w:hint="eastAsia"/>
          <w:sz w:val="21"/>
          <w:szCs w:val="21"/>
        </w:rPr>
        <w:t>博时基金管理有限公司</w:t>
      </w:r>
      <w:bookmarkEnd w:id="198"/>
      <w:r>
        <w:rPr>
          <w:rFonts w:hint="eastAsia"/>
          <w:sz w:val="21"/>
          <w:szCs w:val="21"/>
        </w:rPr>
        <w:t xml:space="preserve">基金认购专户。该账户由基金管理人开立并管理。基金募集期满，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验资完成，基金管理人应将募集的属于本基金财产的全部资金扣除相关费用后划入基金托管人为基金开立的资产托管专户中，基金托管人在收到资金当日出具确认文件。 </w:t>
      </w:r>
    </w:p>
    <w:p>
      <w:pPr>
        <w:pStyle w:val="7"/>
        <w:spacing w:before="0" w:beforeAutospacing="0" w:after="0" w:afterAutospacing="0" w:line="360" w:lineRule="auto"/>
        <w:ind w:firstLine="420"/>
        <w:rPr>
          <w:sz w:val="21"/>
          <w:szCs w:val="21"/>
        </w:rPr>
      </w:pPr>
      <w:r>
        <w:rPr>
          <w:rFonts w:hint="eastAsia"/>
          <w:sz w:val="21"/>
          <w:szCs w:val="21"/>
        </w:rPr>
        <w:t xml:space="preserve">若基金募集期限届满，未能达到《基金合同》生效的条件，由基金管理人按规定办理退款事宜。 </w:t>
      </w:r>
    </w:p>
    <w:p>
      <w:pPr>
        <w:pStyle w:val="7"/>
        <w:spacing w:before="0" w:beforeAutospacing="0" w:after="0" w:afterAutospacing="0" w:line="360" w:lineRule="auto"/>
        <w:ind w:firstLine="420"/>
        <w:rPr>
          <w:sz w:val="21"/>
          <w:szCs w:val="21"/>
        </w:rPr>
      </w:pPr>
      <w:r>
        <w:rPr>
          <w:rFonts w:hint="eastAsia"/>
          <w:sz w:val="21"/>
          <w:szCs w:val="21"/>
        </w:rPr>
        <w:t xml:space="preserve">（三）基金的银行账户的开立和管理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基金托管人以基金托管人的名义在其营业机构开设资产托管专户，保管基金的银行存款。该账户的开设和管理由基金托管人承担。本基金的一切货币收支活动，均需通过基金托管人的资产托管专户进行。 </w:t>
      </w:r>
    </w:p>
    <w:p>
      <w:pPr>
        <w:pStyle w:val="7"/>
        <w:spacing w:before="0" w:beforeAutospacing="0" w:after="0" w:afterAutospacing="0" w:line="360" w:lineRule="auto"/>
        <w:ind w:firstLine="420"/>
        <w:rPr>
          <w:sz w:val="21"/>
          <w:szCs w:val="21"/>
        </w:rPr>
      </w:pPr>
      <w:r>
        <w:rPr>
          <w:rFonts w:hint="eastAsia"/>
          <w:sz w:val="21"/>
          <w:szCs w:val="21"/>
        </w:rPr>
        <w:t xml:space="preserve">资产托管专户的开立和使用，限于满足开展本基金业务的需要。基金托管人和基金管理人不得假借本基金的名义开立其他任何银行账户；亦不得使用基金的任何银行账户进行本基金业务以外的活动。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资产托管专户的管理应符合《中华人民共和国票据法》《人民币银行结算账户管理办法》、《现金管理暂行条例》、《人民币利率管理规定》、《利率管理暂行规定》、《关于大额现金支付管理的通知》、《支付结算办法》以及银行业监督管理机构的其他规定。 </w:t>
      </w:r>
    </w:p>
    <w:p>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（四）基金证券账户与证券交易资金账户的开设和管理 </w:t>
      </w:r>
    </w:p>
    <w:p>
      <w:pPr>
        <w:pStyle w:val="7"/>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基金托管人以基金托管人和本基金联名的方式在中国证券登记结算有限公司上海分公司/深圳分公司开设证券账户。 </w:t>
      </w:r>
    </w:p>
    <w:p>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基金托管人以基金托管人的名义在中国证券登记结算有限责任公司上海分公司/深圳分公司开立基金证券交易资金账户，用于证券清算。 </w:t>
      </w:r>
    </w:p>
    <w:p>
      <w:pPr>
        <w:pStyle w:val="7"/>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自营账户，并由基金托管人负责基金的债券的后台匹配及资金的清算。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2、基金管理人和基金托管人应一起负责为基金对外签订全国银行间债券市场回购主协议，正本由基金托管人保管，基金管理人保存副本。 </w:t>
      </w:r>
    </w:p>
    <w:p>
      <w:pPr>
        <w:pStyle w:val="7"/>
        <w:spacing w:before="0" w:beforeAutospacing="0" w:after="0" w:afterAutospacing="0" w:line="360" w:lineRule="auto"/>
        <w:ind w:firstLine="420"/>
        <w:rPr>
          <w:sz w:val="21"/>
          <w:szCs w:val="21"/>
        </w:rPr>
      </w:pPr>
      <w:r>
        <w:rPr>
          <w:rFonts w:hint="eastAsia"/>
          <w:sz w:val="21"/>
          <w:szCs w:val="21"/>
        </w:rPr>
        <w:t xml:space="preserve">（六）其他账户的开设和管理 </w:t>
      </w:r>
    </w:p>
    <w:p>
      <w:pPr>
        <w:pStyle w:val="7"/>
        <w:spacing w:before="0" w:beforeAutospacing="0" w:after="0" w:afterAutospacing="0" w:line="360" w:lineRule="auto"/>
        <w:ind w:firstLine="420"/>
        <w:rPr>
          <w:sz w:val="21"/>
          <w:szCs w:val="21"/>
        </w:rPr>
      </w:pPr>
      <w:r>
        <w:rPr>
          <w:rFonts w:hint="eastAsia"/>
          <w:sz w:val="21"/>
          <w:szCs w:val="21"/>
        </w:rPr>
        <w:t xml:space="preserve">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pPr>
        <w:pStyle w:val="7"/>
        <w:spacing w:before="0" w:beforeAutospacing="0" w:after="0" w:afterAutospacing="0" w:line="360" w:lineRule="auto"/>
        <w:ind w:firstLine="420"/>
        <w:rPr>
          <w:sz w:val="21"/>
          <w:szCs w:val="21"/>
        </w:rPr>
      </w:pPr>
      <w:r>
        <w:rPr>
          <w:rFonts w:hint="eastAsia"/>
          <w:sz w:val="21"/>
          <w:szCs w:val="21"/>
        </w:rPr>
        <w:t xml:space="preserve">（七）基金财产投资的有关实物证券、银行定期存款存单等有价凭证的保管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 </w:t>
      </w:r>
    </w:p>
    <w:p>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 </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 </w:t>
      </w:r>
    </w:p>
    <w:p>
      <w:pPr>
        <w:pStyle w:val="7"/>
        <w:spacing w:before="0" w:beforeAutospacing="0" w:after="0" w:afterAutospacing="0" w:line="360" w:lineRule="auto"/>
        <w:ind w:firstLine="420"/>
        <w:rPr>
          <w:sz w:val="21"/>
          <w:szCs w:val="21"/>
        </w:rPr>
      </w:pPr>
      <w:r>
        <w:rPr>
          <w:rFonts w:hint="eastAsia"/>
          <w:sz w:val="21"/>
          <w:szCs w:val="21"/>
        </w:rPr>
        <w:t xml:space="preserve">1、基金资产净值的计算、复核的时间和程序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各类基金份额净值是指计算日该类基金资产净值除以该计算日该类基金总份额后的数值。基金份额净值的计算保留到小数点后3位，小数点后第4位四舍五入，由此产生的误差计入基金财产。 </w:t>
      </w:r>
    </w:p>
    <w:p>
      <w:pPr>
        <w:pStyle w:val="7"/>
        <w:spacing w:before="0" w:beforeAutospacing="0" w:after="0" w:afterAutospacing="0" w:line="360" w:lineRule="auto"/>
        <w:ind w:firstLine="420"/>
        <w:rPr>
          <w:sz w:val="21"/>
          <w:szCs w:val="21"/>
        </w:rPr>
      </w:pPr>
      <w:r>
        <w:rPr>
          <w:rFonts w:hint="eastAsia"/>
          <w:sz w:val="21"/>
          <w:szCs w:val="21"/>
        </w:rPr>
        <w:t xml:space="preserve">基金管理人应每工作日对基金资产估值，但基金管理人根据法律法规或基金合同的规定暂停估值时除外。估值原则应符合《基金合同》、《证券投资基金会计核算办法》及其他法律、法规的规定。基金资产净值和各类基金份额净值由基金管理人负责计算，基金托管人复核。基金管理人应于每个工作日交易结束后计算当日的基金资产净值、基金份额净值并以双方认可的方式发送给基金托管人。基金托管人对净值计算结果复核后以双方认可的方式发送给基金管理人，由基金管理人按约定对基金净值予以公布。 </w:t>
      </w:r>
    </w:p>
    <w:p>
      <w:pPr>
        <w:pStyle w:val="7"/>
        <w:spacing w:before="0" w:beforeAutospacing="0" w:after="0" w:afterAutospacing="0" w:line="360" w:lineRule="auto"/>
        <w:ind w:firstLine="420"/>
        <w:rPr>
          <w:sz w:val="21"/>
          <w:szCs w:val="21"/>
        </w:rPr>
      </w:pPr>
      <w:r>
        <w:rPr>
          <w:rFonts w:hint="eastAsia"/>
          <w:sz w:val="21"/>
          <w:szCs w:val="21"/>
        </w:rPr>
        <w:t xml:space="preserve">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（二）基金资产估值方法 </w:t>
      </w:r>
    </w:p>
    <w:p>
      <w:pPr>
        <w:pStyle w:val="7"/>
        <w:spacing w:before="0" w:beforeAutospacing="0" w:after="0" w:afterAutospacing="0" w:line="360" w:lineRule="auto"/>
        <w:ind w:firstLine="420"/>
        <w:rPr>
          <w:sz w:val="21"/>
          <w:szCs w:val="21"/>
        </w:rPr>
      </w:pPr>
      <w:r>
        <w:rPr>
          <w:rFonts w:hint="eastAsia"/>
          <w:sz w:val="21"/>
          <w:szCs w:val="21"/>
        </w:rPr>
        <w:t xml:space="preserve">1、估值对象 </w:t>
      </w:r>
    </w:p>
    <w:p>
      <w:pPr>
        <w:pStyle w:val="7"/>
        <w:spacing w:before="0" w:beforeAutospacing="0" w:after="0" w:afterAutospacing="0" w:line="360" w:lineRule="auto"/>
        <w:ind w:firstLine="420"/>
        <w:rPr>
          <w:sz w:val="21"/>
          <w:szCs w:val="21"/>
        </w:rPr>
      </w:pPr>
      <w:r>
        <w:rPr>
          <w:rFonts w:hint="eastAsia"/>
          <w:sz w:val="21"/>
          <w:szCs w:val="21"/>
        </w:rPr>
        <w:t xml:space="preserve">基金所拥有的股票、债券、权证和银行存款本息、股指期货合约、应收款项、其它投资等资产及负债。 </w:t>
      </w:r>
    </w:p>
    <w:p>
      <w:pPr>
        <w:pStyle w:val="7"/>
        <w:spacing w:before="0" w:beforeAutospacing="0" w:after="0" w:afterAutospacing="0" w:line="360" w:lineRule="auto"/>
        <w:ind w:firstLine="420"/>
        <w:rPr>
          <w:sz w:val="21"/>
          <w:szCs w:val="21"/>
        </w:rPr>
      </w:pPr>
      <w:r>
        <w:rPr>
          <w:rFonts w:hint="eastAsia"/>
          <w:sz w:val="21"/>
          <w:szCs w:val="21"/>
        </w:rPr>
        <w:t xml:space="preserve">2、估值方法 </w:t>
      </w:r>
    </w:p>
    <w:p>
      <w:pPr>
        <w:pStyle w:val="7"/>
        <w:spacing w:before="0" w:beforeAutospacing="0" w:after="0" w:afterAutospacing="0" w:line="360" w:lineRule="auto"/>
        <w:ind w:firstLine="420"/>
        <w:rPr>
          <w:sz w:val="21"/>
          <w:szCs w:val="21"/>
        </w:rPr>
      </w:pPr>
      <w:r>
        <w:rPr>
          <w:rFonts w:hint="eastAsia"/>
          <w:sz w:val="21"/>
          <w:szCs w:val="21"/>
        </w:rPr>
        <w:t xml:space="preserve">本基金的估值方法为：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①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②交易所上市实行净价交易的债券按估值日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④交易所上市不存在活跃市场的有价证券，采用估值技术确定公允价值。交易所上市的资产支持证券，采用估值技术确定公允价值，在估值技术难以可靠计量公允价值的情况下，按成本估值。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①送股、转增股、配股和公开增发的新股，按估值日在证券交易所挂牌的同一股票的估值方法估值；该日无交易的，以最近一日的市价（收盘价）估值；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②首次公开发行未上市的股票、债券和权证，采用估值技术确定公允价值，在估值技术难以可靠计量公允价值的情况下，按成本估值；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③首次公开发行有明确锁定期的股票，同一股票在交易所上市后，按交易所上市的同一股票的估值方法估值；非公开发行有明确锁定期的股票，按监管机构或行业协会有关规定确定公允价值。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（4）因持有股票而享有的配股权，采用估值技术确定公允价值，在估值技术难以可靠计量公允价值的情况下，按成本估值。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（6）本基金投资股指期货合约，一般以估值当日结算价进行估值，估值当日无结算价的，且最近交易日后经济环境未发生重大变化的，采用最近交易日结算价估值。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（7）中小企业私募债券，采用估值技术确定公允价值。在估值技术难以可靠计量公允价值的情况下，按成本估值。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（三）估值差错处理 </w:t>
      </w:r>
    </w:p>
    <w:p>
      <w:pPr>
        <w:pStyle w:val="7"/>
        <w:spacing w:before="0" w:beforeAutospacing="0" w:after="0" w:afterAutospacing="0" w:line="360" w:lineRule="auto"/>
        <w:ind w:firstLine="420"/>
        <w:rPr>
          <w:sz w:val="21"/>
          <w:szCs w:val="21"/>
        </w:rPr>
      </w:pPr>
      <w:r>
        <w:rPr>
          <w:rFonts w:hint="eastAsia"/>
          <w:sz w:val="21"/>
          <w:szCs w:val="21"/>
        </w:rPr>
        <w:t xml:space="preserve">因基金估值错误给投资者造成损失的应先由基金管理人承担，基金管理人对不应由其承担的责任，有权向过错人追偿。 </w:t>
      </w:r>
    </w:p>
    <w:p>
      <w:pPr>
        <w:pStyle w:val="7"/>
        <w:spacing w:before="0" w:beforeAutospacing="0" w:after="0" w:afterAutospacing="0" w:line="360" w:lineRule="auto"/>
        <w:ind w:firstLine="420"/>
        <w:rPr>
          <w:sz w:val="21"/>
          <w:szCs w:val="21"/>
        </w:rPr>
      </w:pPr>
      <w:r>
        <w:rPr>
          <w:rFonts w:hint="eastAsia"/>
          <w:sz w:val="21"/>
          <w:szCs w:val="21"/>
        </w:rPr>
        <w:t xml:space="preserve">当基金管理人计算的基金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 </w:t>
      </w:r>
    </w:p>
    <w:p>
      <w:pPr>
        <w:pStyle w:val="7"/>
        <w:spacing w:before="0" w:beforeAutospacing="0" w:after="0" w:afterAutospacing="0" w:line="360" w:lineRule="auto"/>
        <w:ind w:firstLine="420"/>
        <w:rPr>
          <w:sz w:val="21"/>
          <w:szCs w:val="21"/>
        </w:rPr>
      </w:pPr>
      <w:r>
        <w:rPr>
          <w:rFonts w:hint="eastAsia"/>
          <w:sz w:val="21"/>
          <w:szCs w:val="21"/>
        </w:rPr>
        <w:t xml:space="preserve">当基金管理人计算的基金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 </w:t>
      </w:r>
    </w:p>
    <w:p>
      <w:pPr>
        <w:pStyle w:val="7"/>
        <w:spacing w:before="0" w:beforeAutospacing="0" w:after="0" w:afterAutospacing="0" w:line="360" w:lineRule="auto"/>
        <w:ind w:firstLine="420"/>
        <w:rPr>
          <w:sz w:val="21"/>
          <w:szCs w:val="21"/>
        </w:rPr>
      </w:pPr>
      <w:r>
        <w:rPr>
          <w:rFonts w:hint="eastAsia"/>
          <w:sz w:val="21"/>
          <w:szCs w:val="21"/>
        </w:rPr>
        <w:t xml:space="preserve">（四）特殊情况的处理方法 </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sz w:val="21"/>
          <w:szCs w:val="21"/>
        </w:rPr>
        <w:t xml:space="preserve">（五）基金账册的建立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pPr>
        <w:pStyle w:val="7"/>
        <w:spacing w:before="0" w:beforeAutospacing="0" w:after="0" w:afterAutospacing="0" w:line="360" w:lineRule="auto"/>
        <w:ind w:firstLine="420"/>
        <w:rPr>
          <w:sz w:val="21"/>
          <w:szCs w:val="21"/>
        </w:rPr>
      </w:pPr>
      <w:r>
        <w:rPr>
          <w:rFonts w:hint="eastAsia"/>
          <w:sz w:val="21"/>
          <w:szCs w:val="21"/>
        </w:rPr>
        <w:t xml:space="preserve">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（六）基金定期报告的编制和复核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指定网站上；基金招募说明书、基金产品资料概要其他信息发生变更的，基金管理人至少每年更新一次。基金终止运作的，基金管理人不再更新招募说明书、基金产品资料概要。基金管理人在每个季度结束之日起15个工作日内完成季度报告编制并公告；在会计年度半年终了后两个月内完成中期报告编制并公告；在会计年度结束后三个月内完成年度报告编制并公告。 </w:t>
      </w:r>
    </w:p>
    <w:p>
      <w:pPr>
        <w:pStyle w:val="7"/>
        <w:spacing w:before="0" w:beforeAutospacing="0" w:after="0" w:afterAutospacing="0" w:line="360" w:lineRule="auto"/>
        <w:ind w:firstLine="420"/>
        <w:rPr>
          <w:sz w:val="21"/>
          <w:szCs w:val="21"/>
        </w:rPr>
      </w:pPr>
      <w:r>
        <w:rPr>
          <w:rFonts w:hint="eastAsia"/>
          <w:sz w:val="21"/>
          <w:szCs w:val="21"/>
        </w:rPr>
        <w:t xml:space="preserve">基金管理人在7个工作日内完成季度报告，在季度报告完成当日，将有关报告提供基金托管人复核，基金托管人在收到后7个工作日内进行复核，并将复核结果书面通知基金管理人。基金管理人在30日内完成中期报告，在中期报告完成当日，将有关报告提供基金托管人复核，基金托管人在收到后30日内进行复核，并将复核结果书面通知基金管理人。基金管理人在45日内完成年度报告，在年度报告完成当日，将有关报告提供基金托管人复核，基金托管人在收到后45日内复核，并将复核结果书面通知基金管理人。 </w:t>
      </w:r>
    </w:p>
    <w:p>
      <w:pPr>
        <w:pStyle w:val="7"/>
        <w:spacing w:before="0" w:beforeAutospacing="0" w:after="0" w:afterAutospacing="0" w:line="360" w:lineRule="auto"/>
        <w:ind w:firstLine="420"/>
        <w:rPr>
          <w:sz w:val="21"/>
          <w:szCs w:val="21"/>
        </w:rPr>
      </w:pPr>
      <w:r>
        <w:rPr>
          <w:rFonts w:hint="eastAsia"/>
          <w:sz w:val="21"/>
          <w:szCs w:val="21"/>
        </w:rPr>
        <w:t xml:space="preserve">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 </w:t>
      </w:r>
    </w:p>
    <w:p>
      <w:pPr>
        <w:pStyle w:val="7"/>
        <w:spacing w:before="0" w:beforeAutospacing="0" w:after="0" w:afterAutospacing="0" w:line="360" w:lineRule="auto"/>
        <w:ind w:firstLine="420"/>
        <w:rPr>
          <w:sz w:val="21"/>
          <w:szCs w:val="21"/>
        </w:rPr>
      </w:pPr>
      <w:r>
        <w:rPr>
          <w:rFonts w:hint="eastAsia"/>
          <w:sz w:val="21"/>
          <w:szCs w:val="21"/>
        </w:rPr>
        <w:t xml:space="preserve">基金托管人在对财务会计报告、中期报告或年度报告复核完毕后，需盖章确认或出具相应的复核确认书，以备有权机构对相关文件审核时提示。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 </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 </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由基金的基金登记机构根据基金管理人的指令编制和保管，基金管理人和基金托管人应按照目前相关规则分别保管基金份额持有人名册。保管方式可以采用电子或文档的形式。保管期限为15年。 </w:t>
      </w:r>
    </w:p>
    <w:p>
      <w:pPr>
        <w:pStyle w:val="7"/>
        <w:spacing w:before="0" w:beforeAutospacing="0" w:after="0" w:afterAutospacing="0" w:line="360" w:lineRule="auto"/>
        <w:ind w:firstLine="420"/>
        <w:rPr>
          <w:sz w:val="21"/>
          <w:szCs w:val="21"/>
        </w:rPr>
      </w:pPr>
      <w:r>
        <w:rPr>
          <w:rFonts w:hint="eastAsia"/>
          <w:sz w:val="21"/>
          <w:szCs w:val="21"/>
        </w:rPr>
        <w:t xml:space="preserve">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 </w:t>
      </w:r>
    </w:p>
    <w:p>
      <w:pPr>
        <w:pStyle w:val="7"/>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基金托管人以电子版形式妥善保管基金份额持有人名册，并定期刻成光盘备份，保存期限为15年。基金托管人不得将所保管的基金份额持有人名册用于基金托管业务以外的其他用途，并应遵守保密义务。 </w:t>
      </w:r>
    </w:p>
    <w:p>
      <w:pPr>
        <w:pStyle w:val="7"/>
        <w:spacing w:before="0" w:beforeAutospacing="0" w:after="0" w:afterAutospacing="0" w:line="360" w:lineRule="auto"/>
        <w:ind w:firstLine="420"/>
        <w:rPr>
          <w:sz w:val="21"/>
          <w:szCs w:val="21"/>
        </w:rPr>
      </w:pPr>
      <w:r>
        <w:rPr>
          <w:rFonts w:hint="eastAsia"/>
          <w:sz w:val="21"/>
          <w:szCs w:val="21"/>
        </w:rPr>
        <w:t xml:space="preserve">若基金管理人或基金托管人由于自身原因无法妥善保管基金份额持有人名册，应按有关法规规定各自承担相应的责任。 </w:t>
      </w:r>
    </w:p>
    <w:p>
      <w:pPr>
        <w:pStyle w:val="7"/>
        <w:spacing w:before="0" w:beforeAutospacing="0" w:after="0" w:afterAutospacing="0" w:line="360" w:lineRule="auto"/>
        <w:ind w:firstLine="420"/>
        <w:rPr>
          <w:sz w:val="21"/>
          <w:szCs w:val="21"/>
        </w:rPr>
      </w:pPr>
      <w:r>
        <w:rPr>
          <w:rStyle w:val="11"/>
          <w:rFonts w:hint="eastAsia"/>
          <w:sz w:val="21"/>
          <w:szCs w:val="21"/>
        </w:rPr>
        <w:t>七、争议解决方式 </w:t>
      </w:r>
    </w:p>
    <w:p>
      <w:pPr>
        <w:pStyle w:val="7"/>
        <w:spacing w:before="0" w:beforeAutospacing="0" w:after="0" w:afterAutospacing="0" w:line="360" w:lineRule="auto"/>
        <w:ind w:firstLine="420"/>
        <w:rPr>
          <w:sz w:val="21"/>
          <w:szCs w:val="21"/>
        </w:rPr>
      </w:pPr>
      <w:r>
        <w:rPr>
          <w:rFonts w:hint="eastAsia"/>
          <w:sz w:val="21"/>
          <w:szCs w:val="21"/>
        </w:rPr>
        <w:t xml:space="preserve">相关各方当事人同意，因本协议而产生的或与本协议有关的一切争议，如经不愿或者不能通过协商、调解解决的，任何一方均有权将争议提交中国国际经济贸易仲裁委员会根据该会当时有效的仲裁规则进行仲裁，仲裁的地点在北京市，仲裁裁决是终局性的并对相关各方均有约束力，仲裁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争议处理期间，相关各方当事人应恪守基金管理人和基金托管人职责，继续忠实、勤勉、尽责地履行《基金合同》和托管协议规定的义务，维护基金份额持有人的合法权益。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本协议受中国法律管辖。 </w:t>
      </w:r>
    </w:p>
    <w:p>
      <w:pPr>
        <w:pStyle w:val="7"/>
        <w:spacing w:before="0" w:beforeAutospacing="0" w:after="0" w:afterAutospacing="0" w:line="360" w:lineRule="auto"/>
        <w:ind w:firstLine="420"/>
        <w:rPr>
          <w:sz w:val="21"/>
          <w:szCs w:val="21"/>
        </w:rPr>
      </w:pPr>
      <w:r>
        <w:rPr>
          <w:rStyle w:val="11"/>
          <w:rFonts w:hint="eastAsia"/>
          <w:sz w:val="21"/>
          <w:szCs w:val="21"/>
        </w:rPr>
        <w:t>八、托管协议的修改与终止 </w:t>
      </w:r>
    </w:p>
    <w:p>
      <w:pPr>
        <w:pStyle w:val="7"/>
        <w:spacing w:before="0" w:beforeAutospacing="0" w:after="0" w:afterAutospacing="0" w:line="360" w:lineRule="auto"/>
        <w:ind w:firstLine="420"/>
        <w:rPr>
          <w:sz w:val="21"/>
          <w:szCs w:val="21"/>
        </w:rPr>
      </w:pPr>
      <w:r>
        <w:rPr>
          <w:rFonts w:hint="eastAsia"/>
          <w:sz w:val="21"/>
          <w:szCs w:val="21"/>
        </w:rPr>
        <w:t xml:space="preserve">（一）托管协议的变更与终止 </w:t>
      </w:r>
    </w:p>
    <w:p>
      <w:pPr>
        <w:pStyle w:val="7"/>
        <w:spacing w:before="0" w:beforeAutospacing="0" w:after="0" w:afterAutospacing="0" w:line="360" w:lineRule="auto"/>
        <w:ind w:firstLine="420"/>
        <w:rPr>
          <w:sz w:val="21"/>
          <w:szCs w:val="21"/>
        </w:rPr>
      </w:pPr>
      <w:r>
        <w:rPr>
          <w:rFonts w:hint="eastAsia"/>
          <w:sz w:val="21"/>
          <w:szCs w:val="21"/>
        </w:rPr>
        <w:t xml:space="preserve">1、托管协议的变更程序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本协议双方当事人经协商一致，可以对协议的内容进行变更。变更后的托管协议，其内容不得与《基金合同》的规定有任何冲突。基金托管协议的变更报中国证监会备案。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2、基金托管协议终止的情形 </w:t>
      </w:r>
    </w:p>
    <w:p>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（2）基金托管人解散、依法被撤销、破产或有其他基金托管人接管基金资产；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（3）基金管理人解散、依法被撤销、破产或有其他基金管理人接管基金管理权；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（二）基金财产的清算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2、在基金财产清算小组接管基金财产之前，基金管理人和基金托管人应按照《基金合同》和本托管协议的规定继续履行保护基金财产安全的职责。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（1）《基金合同》终止后，由基金财产清算小组统一接管基金；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（6）将清算报告报告中国证监会备案并公告；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 </w:t>
      </w:r>
    </w:p>
    <w:p>
      <w:pPr>
        <w:pStyle w:val="7"/>
        <w:spacing w:before="0" w:beforeAutospacing="0" w:after="0" w:afterAutospacing="0" w:line="360" w:lineRule="auto"/>
        <w:ind w:firstLine="420"/>
        <w:rPr>
          <w:sz w:val="21"/>
          <w:szCs w:val="21"/>
        </w:rPr>
      </w:pPr>
      <w:r>
        <w:rPr>
          <w:rFonts w:hint="eastAsia"/>
          <w:sz w:val="21"/>
          <w:szCs w:val="21"/>
        </w:rPr>
        <w:t xml:space="preserve">6、清算费用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清算费用是指基金清算小组在进行基金清算过程中发生的所有合理费用，清算费用由基金清算小组优先从基金财产中支付。 </w:t>
      </w:r>
    </w:p>
    <w:p>
      <w:pPr>
        <w:pStyle w:val="7"/>
        <w:spacing w:before="0" w:beforeAutospacing="0" w:after="0" w:afterAutospacing="0" w:line="360" w:lineRule="auto"/>
        <w:ind w:firstLine="420"/>
        <w:rPr>
          <w:sz w:val="21"/>
          <w:szCs w:val="21"/>
        </w:rPr>
      </w:pPr>
      <w:r>
        <w:rPr>
          <w:rFonts w:hint="eastAsia"/>
          <w:sz w:val="21"/>
          <w:szCs w:val="21"/>
        </w:rPr>
        <w:t xml:space="preserve">7、基金财产按下列顺序清偿： </w:t>
      </w:r>
    </w:p>
    <w:p>
      <w:pPr>
        <w:pStyle w:val="7"/>
        <w:spacing w:before="0" w:beforeAutospacing="0" w:after="0" w:afterAutospacing="0" w:line="360" w:lineRule="auto"/>
        <w:ind w:firstLine="420"/>
        <w:rPr>
          <w:sz w:val="21"/>
          <w:szCs w:val="21"/>
        </w:rPr>
      </w:pPr>
      <w:r>
        <w:rPr>
          <w:rFonts w:hint="eastAsia"/>
          <w:sz w:val="21"/>
          <w:szCs w:val="21"/>
        </w:rPr>
        <w:t xml:space="preserve">（1）支付清算费用； </w:t>
      </w:r>
    </w:p>
    <w:p>
      <w:pPr>
        <w:pStyle w:val="7"/>
        <w:spacing w:before="0" w:beforeAutospacing="0" w:after="0" w:afterAutospacing="0" w:line="360" w:lineRule="auto"/>
        <w:ind w:firstLine="420"/>
        <w:rPr>
          <w:sz w:val="21"/>
          <w:szCs w:val="21"/>
        </w:rPr>
      </w:pPr>
      <w:r>
        <w:rPr>
          <w:rFonts w:hint="eastAsia"/>
          <w:sz w:val="21"/>
          <w:szCs w:val="21"/>
        </w:rPr>
        <w:t xml:space="preserve">（2）交纳所欠税款； </w:t>
      </w:r>
    </w:p>
    <w:p>
      <w:pPr>
        <w:pStyle w:val="7"/>
        <w:spacing w:before="0" w:beforeAutospacing="0" w:after="0" w:afterAutospacing="0" w:line="360" w:lineRule="auto"/>
        <w:ind w:firstLine="420"/>
        <w:rPr>
          <w:sz w:val="21"/>
          <w:szCs w:val="21"/>
        </w:rPr>
      </w:pPr>
      <w:r>
        <w:rPr>
          <w:rFonts w:hint="eastAsia"/>
          <w:sz w:val="21"/>
          <w:szCs w:val="21"/>
        </w:rPr>
        <w:t xml:space="preserve">（3）清偿基金债务； </w:t>
      </w:r>
    </w:p>
    <w:p>
      <w:pPr>
        <w:pStyle w:val="7"/>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pPr>
        <w:pStyle w:val="7"/>
        <w:spacing w:before="0" w:beforeAutospacing="0" w:after="0" w:afterAutospacing="0" w:line="360" w:lineRule="auto"/>
        <w:ind w:firstLine="420"/>
        <w:rPr>
          <w:sz w:val="21"/>
          <w:szCs w:val="21"/>
        </w:rPr>
      </w:pPr>
      <w:r>
        <w:rPr>
          <w:rFonts w:hint="eastAsia"/>
          <w:sz w:val="21"/>
          <w:szCs w:val="21"/>
        </w:rPr>
        <w:t xml:space="preserve">（三）基金财产清算的公告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合同》终止并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（四）基金财产清算账册及文件的保存 </w:t>
      </w:r>
    </w:p>
    <w:p>
      <w:pPr>
        <w:pStyle w:val="7"/>
        <w:spacing w:before="0" w:beforeAutospacing="0" w:after="0" w:afterAutospacing="0" w:line="360" w:lineRule="auto"/>
        <w:ind w:firstLine="420"/>
        <w:rPr>
          <w:sz w:val="21"/>
          <w:szCs w:val="21"/>
        </w:rPr>
      </w:pPr>
      <w:bookmarkStart w:id="199" w:name="chapter_level1_22_72_section_1_end"/>
      <w:bookmarkEnd w:id="199"/>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0" w:name="_Toc207980089"/>
      <w:bookmarkStart w:id="201" w:name="chapter_level1_23_75"/>
      <w:r>
        <w:rPr>
          <w:rFonts w:hint="eastAsia" w:ascii="宋体" w:hAnsi="宋体" w:eastAsia="宋体"/>
          <w:sz w:val="30"/>
        </w:rPr>
        <w:t>第二十部分  对基金份额持有人的服务</w:t>
      </w:r>
      <w:bookmarkEnd w:id="200"/>
      <w:bookmarkEnd w:id="201"/>
    </w:p>
    <w:p>
      <w:pPr>
        <w:pStyle w:val="7"/>
        <w:spacing w:before="0" w:beforeAutospacing="0" w:after="0" w:afterAutospacing="0" w:line="360" w:lineRule="auto"/>
        <w:ind w:firstLine="420"/>
        <w:rPr>
          <w:sz w:val="21"/>
          <w:szCs w:val="21"/>
        </w:rPr>
      </w:pPr>
      <w:bookmarkStart w:id="202" w:name="chapter_level1_23_75_section_1"/>
      <w:bookmarkEnd w:id="20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3" w:name="chapter_level1_23_75_section_1_end"/>
      <w:bookmarkEnd w:id="203"/>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4" w:name="chapter_level1_24_3499"/>
      <w:bookmarkStart w:id="205" w:name="_Toc207980090"/>
      <w:r>
        <w:rPr>
          <w:rFonts w:hint="eastAsia" w:ascii="宋体" w:hAnsi="宋体" w:eastAsia="宋体"/>
          <w:sz w:val="30"/>
        </w:rPr>
        <w:t>第二十一部分 其他应披露的事项</w:t>
      </w:r>
      <w:bookmarkEnd w:id="204"/>
      <w:bookmarkEnd w:id="205"/>
    </w:p>
    <w:p>
      <w:pPr>
        <w:pStyle w:val="7"/>
        <w:spacing w:before="0" w:beforeAutospacing="0" w:after="0" w:afterAutospacing="0" w:line="360" w:lineRule="auto"/>
        <w:ind w:firstLine="420"/>
        <w:rPr>
          <w:sz w:val="21"/>
          <w:szCs w:val="21"/>
        </w:rPr>
      </w:pPr>
      <w:bookmarkStart w:id="206" w:name="field_0_bsrevealinfo_1_start"/>
      <w:bookmarkEnd w:id="206"/>
      <w:bookmarkStart w:id="207" w:name="chapter_level1_24_3499_section_1"/>
      <w:bookmarkEnd w:id="207"/>
      <w:r>
        <w:rPr>
          <w:rFonts w:hint="eastAsia"/>
          <w:sz w:val="21"/>
          <w:szCs w:val="21"/>
        </w:rPr>
        <w:t>（一）、2025年8月29日，我公司公告了《博时产业新动力灵活配置混合型发起式证券投资基金2025年中期报告》；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pPr>
        <w:pStyle w:val="7"/>
        <w:spacing w:before="0" w:beforeAutospacing="0" w:after="0" w:afterAutospacing="0" w:line="360" w:lineRule="auto"/>
        <w:ind w:firstLine="420"/>
        <w:rPr>
          <w:sz w:val="21"/>
          <w:szCs w:val="21"/>
        </w:rPr>
      </w:pPr>
      <w:r>
        <w:rPr>
          <w:rFonts w:hint="eastAsia"/>
          <w:sz w:val="21"/>
          <w:szCs w:val="21"/>
        </w:rPr>
        <w:t>（三）、2025年7月21日，我公司公告了《博时产业新动力灵活配置混合型发起式证券投资基金2025年第2季度报告》；</w:t>
      </w:r>
    </w:p>
    <w:p>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产业新动力灵活配置混合型发起式证券投资基金（博时产业新动力混合A）基金产品资料概要更新》、《博时产业新动力灵活配置混合型发起式证券投资基金（博时产业新动力混合C）基金产品资料概要更新》；</w:t>
      </w:r>
    </w:p>
    <w:p>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（七）、2025年4月22日，我公司公告了《博时产业新动力灵活配置混合型发起式证券投资基金2025年第1季度报告》；</w:t>
      </w:r>
    </w:p>
    <w:p>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（九）、2025年3月31日，我公司公告了《博时基金管理有限公司旗下公募基金通过证券公司证券交易及佣金支付情况（2024年度）》、《博时产业新动力灵活配置混合型发起式证券投资基金2024年年度报告》；</w:t>
      </w:r>
    </w:p>
    <w:p>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（十一）、2025年1月22日，我公司公告了《博时产业新动力灵活配置混合型发起式证券投资基金2024年第4季度报告》；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（十七）、2024年10月25日，我公司公告了《博时产业新动力灵活配置混合型发起式证券投资基金2024年第3季度报告》；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（十八）、2024年9月30日，我公司公告了《博时产业新动力灵活配置混合型发起式证券投资基金更新招募说明书》；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08" w:name="chapter_level1_24_3499_section_1_end"/>
      <w:bookmarkEnd w:id="208"/>
      <w:r>
        <w:rPr>
          <w:rFonts w:hint="eastAsia"/>
          <w:sz w:val="21"/>
          <w:szCs w:val="21"/>
        </w:rPr>
        <w:t>变更的公告》。</w:t>
      </w:r>
      <w:bookmarkStart w:id="209" w:name="field_0_bsrevealinfo_1_end"/>
      <w:bookmarkEnd w:id="20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0" w:name="chapter_level1_25_77"/>
      <w:bookmarkStart w:id="211" w:name="_Toc207980091"/>
      <w:r>
        <w:rPr>
          <w:rFonts w:hint="eastAsia" w:ascii="宋体" w:hAnsi="宋体" w:eastAsia="宋体"/>
          <w:sz w:val="30"/>
        </w:rPr>
        <w:t>第二十二部分  招募说明书存放及查阅方式</w:t>
      </w:r>
      <w:bookmarkEnd w:id="210"/>
      <w:bookmarkEnd w:id="211"/>
    </w:p>
    <w:p>
      <w:pPr>
        <w:pStyle w:val="7"/>
        <w:spacing w:before="0" w:beforeAutospacing="0" w:after="0" w:afterAutospacing="0" w:line="360" w:lineRule="auto"/>
        <w:ind w:firstLine="420"/>
        <w:rPr>
          <w:sz w:val="21"/>
          <w:szCs w:val="21"/>
        </w:rPr>
      </w:pPr>
      <w:bookmarkStart w:id="212" w:name="chapter_level1_25_77_section_1"/>
      <w:bookmarkEnd w:id="212"/>
      <w:r>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13" w:name="chapter_level1_25_77_section_1_end"/>
      <w:bookmarkEnd w:id="213"/>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4" w:name="chapter_level1_26_332"/>
      <w:bookmarkStart w:id="215" w:name="_Toc207980092"/>
      <w:r>
        <w:rPr>
          <w:rFonts w:hint="eastAsia" w:ascii="宋体" w:hAnsi="宋体" w:eastAsia="宋体"/>
          <w:sz w:val="30"/>
        </w:rPr>
        <w:t>第二十三部分  备查文件</w:t>
      </w:r>
      <w:bookmarkEnd w:id="214"/>
      <w:bookmarkEnd w:id="215"/>
    </w:p>
    <w:p>
      <w:pPr>
        <w:pStyle w:val="7"/>
        <w:spacing w:before="0" w:beforeAutospacing="0" w:after="0" w:afterAutospacing="0" w:line="360" w:lineRule="auto"/>
        <w:ind w:firstLine="420"/>
        <w:rPr>
          <w:sz w:val="21"/>
          <w:szCs w:val="21"/>
        </w:rPr>
      </w:pPr>
      <w:bookmarkStart w:id="216" w:name="chapter_level1_26_332_section_1"/>
      <w:bookmarkEnd w:id="216"/>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17" w:name="field_0_productfullname_13"/>
      <w:r>
        <w:rPr>
          <w:rFonts w:hint="eastAsia"/>
          <w:sz w:val="21"/>
          <w:szCs w:val="21"/>
        </w:rPr>
        <w:t>博时产业新动力灵活配置混合型发起式证券投资基金</w:t>
      </w:r>
      <w:bookmarkEnd w:id="217"/>
      <w:r>
        <w:rPr>
          <w:rFonts w:hint="eastAsia"/>
          <w:sz w:val="21"/>
          <w:szCs w:val="21"/>
        </w:rPr>
        <w:t xml:space="preserve">募集的文件 </w:t>
      </w:r>
    </w:p>
    <w:p>
      <w:pPr>
        <w:pStyle w:val="7"/>
        <w:spacing w:before="0" w:beforeAutospacing="0" w:after="0" w:afterAutospacing="0" w:line="360" w:lineRule="auto"/>
        <w:ind w:firstLine="420"/>
        <w:rPr>
          <w:sz w:val="21"/>
          <w:szCs w:val="21"/>
        </w:rPr>
      </w:pPr>
      <w:r>
        <w:rPr>
          <w:rFonts w:hint="eastAsia"/>
          <w:sz w:val="21"/>
          <w:szCs w:val="21"/>
        </w:rPr>
        <w:t>（二）《</w:t>
      </w:r>
      <w:bookmarkStart w:id="218" w:name="field_0_productfullname_14"/>
      <w:r>
        <w:rPr>
          <w:rFonts w:hint="eastAsia"/>
          <w:sz w:val="21"/>
          <w:szCs w:val="21"/>
        </w:rPr>
        <w:t>博时产业新动力灵活配置混合型发起式证券投资基金</w:t>
      </w:r>
      <w:bookmarkEnd w:id="218"/>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19" w:name="field_0_productfullname_15"/>
      <w:r>
        <w:rPr>
          <w:rFonts w:hint="eastAsia"/>
          <w:sz w:val="21"/>
          <w:szCs w:val="21"/>
        </w:rPr>
        <w:t>博时产业新动力灵活配置混合型发起式证券投资基金</w:t>
      </w:r>
      <w:bookmarkEnd w:id="219"/>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0" w:name="field_0_productfullname_16"/>
      <w:r>
        <w:rPr>
          <w:rFonts w:hint="eastAsia"/>
          <w:sz w:val="21"/>
          <w:szCs w:val="21"/>
        </w:rPr>
        <w:t>博时产业新动力灵活配置混合型发起式证券投资基金</w:t>
      </w:r>
      <w:bookmarkEnd w:id="220"/>
      <w:r>
        <w:rPr>
          <w:rFonts w:hint="eastAsia"/>
          <w:sz w:val="21"/>
          <w:szCs w:val="21"/>
        </w:rPr>
        <w:t xml:space="preserve">之法律意见书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21" w:name="field_0_managerorgfullname_12"/>
      <w:r>
        <w:rPr>
          <w:rFonts w:hint="eastAsia"/>
          <w:sz w:val="21"/>
          <w:szCs w:val="21"/>
        </w:rPr>
        <w:t>博时基金管理有限公司</w:t>
      </w:r>
      <w:bookmarkEnd w:id="221"/>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22" w:name="chapter_level1_26_332_section_1_end"/>
      <w:bookmarkEnd w:id="222"/>
      <w:bookmarkStart w:id="22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7</w:t>
      </w:r>
      <w:r>
        <w:rPr>
          <w:sz w:val="21"/>
          <w:szCs w:val="21"/>
        </w:rPr>
        <w:t>日</w:t>
      </w:r>
      <w:bookmarkEnd w:id="223"/>
      <w:r>
        <w:rPr>
          <w:rFonts w:hint="eastAsia"/>
          <w:sz w:val="21"/>
          <w:szCs w:val="21"/>
        </w:rPr>
        <w:t xml:space="preserve">  </w:t>
      </w:r>
    </w:p>
    <w:p>
      <w:pPr>
        <w:rPr>
          <w:rFonts w:ascii="宋体" w:hAnsi="宋体" w:eastAsia="宋体"/>
        </w:rPr>
      </w:pPr>
      <w:bookmarkStart w:id="224" w:name="end"/>
      <w:bookmarkEnd w:id="22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162</w:t>
    </w:r>
    <w:r>
      <w:fldChar w:fldCharType="end"/>
    </w:r>
    <w:r>
      <w:rPr>
        <w:rFonts w:hint="eastAsia"/>
      </w:rPr>
      <w:t>页 共</w:t>
    </w:r>
    <w:r>
      <w:fldChar w:fldCharType="begin"/>
    </w:r>
    <w:r>
      <w:instrText xml:space="preserve"> NumPages \* MERGEFORMAT </w:instrText>
    </w:r>
    <w:r>
      <w:fldChar w:fldCharType="separate"/>
    </w:r>
    <w:r>
      <w:t>162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博时产业新动力灵活配置混合型发起式证券投资基金更新招募说明书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6E"/>
    <w:rsid w:val="00BC4437"/>
    <w:rsid w:val="00D8506E"/>
    <w:rsid w:val="00EB64AA"/>
    <w:rsid w:val="0F437AC8"/>
    <w:rsid w:val="179F43FD"/>
    <w:rsid w:val="1DCD25A3"/>
    <w:rsid w:val="2F376383"/>
    <w:rsid w:val="30F3257E"/>
    <w:rsid w:val="5FD5165F"/>
    <w:rsid w:val="71052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uiPriority w:val="39"/>
    <w:pPr>
      <w:ind w:left="420" w:leftChars="200"/>
    </w:p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161</Pages>
  <Words>19043</Words>
  <Characters>108548</Characters>
  <Lines>904</Lines>
  <Paragraphs>254</Paragraphs>
  <TotalTime>1</TotalTime>
  <ScaleCrop>false</ScaleCrop>
  <LinksUpToDate>false</LinksUpToDate>
  <CharactersWithSpaces>127337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2025-09-05T07:54:00Z</dcterms:created>
  <dc:creator>BSKMadminDev</dc:creator>
  <cp:lastModifiedBy>huangzw</cp:lastModifiedBy>
  <dcterms:modified xsi:type="dcterms:W3CDTF">2026-05-06T06:46:25Z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D69EAD843B10426FB7D987CAE14B06D7</vt:lpwstr>
  </property>
</Properties>
</file>