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9A925C"/>
    <w:p w14:paraId="53D7B531">
      <w:pPr>
        <w:spacing w:line="360" w:lineRule="auto"/>
        <w:jc w:val="center"/>
        <w:rPr>
          <w:rFonts w:hint="eastAsia" w:ascii="宋体" w:hAnsi="宋体" w:eastAsia="宋体"/>
          <w:b/>
          <w:sz w:val="28"/>
        </w:rPr>
      </w:pPr>
      <w:r>
        <w:rPr>
          <w:rFonts w:hint="eastAsia" w:ascii="宋体" w:hAnsi="宋体" w:eastAsia="宋体"/>
          <w:b/>
          <w:sz w:val="28"/>
        </w:rPr>
        <w:t>博时基金管理有限公司关于博时稳欣39个月定期开放债券型证券投资基金基金份额持有人大会表决结果暨决议生效的公告</w:t>
      </w:r>
    </w:p>
    <w:p w14:paraId="5A2A8720">
      <w:pPr>
        <w:spacing w:line="360" w:lineRule="auto"/>
        <w:jc w:val="center"/>
        <w:rPr>
          <w:rFonts w:ascii="宋体" w:hAnsi="宋体" w:eastAsia="宋体"/>
          <w:b/>
          <w:sz w:val="28"/>
        </w:rPr>
      </w:pPr>
    </w:p>
    <w:p w14:paraId="7E7B02F3">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根据《中华人民共和国证券投资基金法》、《公开募集证券投资基金运作管理办法》和《</w:t>
      </w:r>
      <w:r>
        <w:rPr>
          <w:rStyle w:val="7"/>
          <w:rFonts w:hint="eastAsia"/>
          <w:i w:val="0"/>
          <w:iCs w:val="0"/>
          <w:sz w:val="21"/>
          <w:szCs w:val="21"/>
          <w:u w:val="none"/>
        </w:rPr>
        <w:t>博时稳欣39个月定期开放债券型证券投资基金</w:t>
      </w:r>
      <w:r>
        <w:rPr>
          <w:rFonts w:hint="eastAsia"/>
          <w:i w:val="0"/>
          <w:iCs w:val="0"/>
          <w:sz w:val="21"/>
          <w:szCs w:val="21"/>
          <w:u w:val="none"/>
        </w:rPr>
        <w:t>基金合同》（以下简称“《基金合同》”）的有关规定，现将博时基金管理有限公司（以下简称“基金管理人”）旗下</w:t>
      </w:r>
      <w:r>
        <w:rPr>
          <w:rStyle w:val="7"/>
          <w:rFonts w:hint="eastAsia"/>
          <w:i w:val="0"/>
          <w:iCs w:val="0"/>
          <w:sz w:val="21"/>
          <w:szCs w:val="21"/>
          <w:u w:val="none"/>
        </w:rPr>
        <w:t>博时稳欣39个月定期开放债券型证券投资基金</w:t>
      </w:r>
      <w:r>
        <w:rPr>
          <w:rFonts w:hint="eastAsia"/>
          <w:i w:val="0"/>
          <w:iCs w:val="0"/>
          <w:sz w:val="21"/>
          <w:szCs w:val="21"/>
          <w:u w:val="none"/>
        </w:rPr>
        <w:t xml:space="preserve">（以下简称“本基金”）基金份额持有人大会的决议及相关事项公告如下： </w:t>
      </w:r>
    </w:p>
    <w:p w14:paraId="6E370C36">
      <w:pPr>
        <w:pStyle w:val="2"/>
        <w:spacing w:before="400" w:after="0" w:line="360" w:lineRule="auto"/>
        <w:ind w:firstLine="422" w:firstLineChars="200"/>
        <w:rPr>
          <w:rFonts w:hint="eastAsia" w:ascii="宋体" w:hAnsi="宋体" w:eastAsia="宋体"/>
          <w:i w:val="0"/>
          <w:iCs w:val="0"/>
          <w:sz w:val="21"/>
          <w:u w:val="none"/>
        </w:rPr>
      </w:pPr>
      <w:r>
        <w:rPr>
          <w:rFonts w:hint="eastAsia" w:ascii="宋体" w:hAnsi="宋体" w:eastAsia="宋体"/>
          <w:i w:val="0"/>
          <w:iCs w:val="0"/>
          <w:sz w:val="21"/>
          <w:u w:val="none"/>
        </w:rPr>
        <w:t>一、本次基金份额持有人大会会议情况</w:t>
      </w:r>
    </w:p>
    <w:p w14:paraId="0429B1B6">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本基金以通讯方式召开了基金份额持有人大会，会议审议了《</w:t>
      </w:r>
      <w:r>
        <w:rPr>
          <w:rStyle w:val="7"/>
          <w:rFonts w:hint="eastAsia"/>
          <w:i w:val="0"/>
          <w:iCs w:val="0"/>
          <w:sz w:val="21"/>
          <w:szCs w:val="21"/>
          <w:u w:val="none"/>
        </w:rPr>
        <w:t>关于博时稳欣39个月定期开放债券型证券投资基金修改基金合同条款的议案</w:t>
      </w:r>
      <w:r>
        <w:rPr>
          <w:rFonts w:hint="eastAsia"/>
          <w:i w:val="0"/>
          <w:iCs w:val="0"/>
          <w:sz w:val="21"/>
          <w:szCs w:val="21"/>
          <w:u w:val="none"/>
        </w:rPr>
        <w:t>》（以下简称“本次会议议案”），并由参加会议的基金份额持有人对本次会议议案进行表决。大会投票表决时间从</w:t>
      </w:r>
      <w:r>
        <w:rPr>
          <w:rStyle w:val="7"/>
          <w:rFonts w:hint="eastAsia"/>
          <w:i w:val="0"/>
          <w:iCs w:val="0"/>
          <w:sz w:val="21"/>
          <w:szCs w:val="21"/>
          <w:u w:val="none"/>
        </w:rPr>
        <w:t>2026年7月3日</w:t>
      </w:r>
      <w:r>
        <w:rPr>
          <w:rFonts w:hint="eastAsia"/>
          <w:i w:val="0"/>
          <w:iCs w:val="0"/>
          <w:sz w:val="21"/>
          <w:szCs w:val="21"/>
          <w:u w:val="none"/>
        </w:rPr>
        <w:t>起，至</w:t>
      </w:r>
      <w:r>
        <w:rPr>
          <w:rStyle w:val="7"/>
          <w:rFonts w:hint="eastAsia"/>
          <w:i w:val="0"/>
          <w:iCs w:val="0"/>
          <w:sz w:val="21"/>
          <w:szCs w:val="21"/>
          <w:u w:val="none"/>
        </w:rPr>
        <w:t>2026年8月3日</w:t>
      </w:r>
      <w:r>
        <w:rPr>
          <w:rFonts w:hint="eastAsia"/>
          <w:i w:val="0"/>
          <w:iCs w:val="0"/>
          <w:sz w:val="21"/>
          <w:szCs w:val="21"/>
          <w:u w:val="none"/>
        </w:rPr>
        <w:t xml:space="preserve">17：00止（送达时间以基金管理人收到表决票时间为准）。 </w:t>
      </w:r>
    </w:p>
    <w:p w14:paraId="27EB7B18">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截至本次基金份额持有人大会权益登记日</w:t>
      </w:r>
      <w:r>
        <w:rPr>
          <w:rStyle w:val="7"/>
          <w:rFonts w:hint="eastAsia"/>
          <w:i w:val="0"/>
          <w:iCs w:val="0"/>
          <w:sz w:val="21"/>
          <w:szCs w:val="21"/>
          <w:u w:val="none"/>
        </w:rPr>
        <w:t>2026年7月3日</w:t>
      </w:r>
      <w:r>
        <w:rPr>
          <w:rFonts w:hint="eastAsia"/>
          <w:i w:val="0"/>
          <w:iCs w:val="0"/>
          <w:sz w:val="21"/>
          <w:szCs w:val="21"/>
          <w:u w:val="none"/>
        </w:rPr>
        <w:t>，本基金总份额为</w:t>
      </w:r>
      <w:r>
        <w:rPr>
          <w:rStyle w:val="7"/>
          <w:rFonts w:hint="eastAsia"/>
          <w:i w:val="0"/>
          <w:iCs w:val="0"/>
          <w:sz w:val="21"/>
          <w:szCs w:val="21"/>
          <w:u w:val="none"/>
        </w:rPr>
        <w:t>15,515,586,433.34</w:t>
      </w:r>
      <w:r>
        <w:rPr>
          <w:rFonts w:hint="eastAsia"/>
          <w:i w:val="0"/>
          <w:iCs w:val="0"/>
          <w:sz w:val="21"/>
          <w:szCs w:val="21"/>
          <w:u w:val="none"/>
        </w:rPr>
        <w:t>份。本次基金份额持有人大会中，参与表决的基金份额持有人及代理人所代表的基金份额为</w:t>
      </w:r>
      <w:r>
        <w:rPr>
          <w:rStyle w:val="7"/>
          <w:rFonts w:hint="eastAsia"/>
          <w:i w:val="0"/>
          <w:iCs w:val="0"/>
          <w:sz w:val="21"/>
          <w:szCs w:val="21"/>
          <w:u w:val="none"/>
        </w:rPr>
        <w:t>7,869,956,210.98</w:t>
      </w:r>
      <w:r>
        <w:rPr>
          <w:rFonts w:hint="eastAsia"/>
          <w:i w:val="0"/>
          <w:iCs w:val="0"/>
          <w:sz w:val="21"/>
          <w:szCs w:val="21"/>
          <w:u w:val="none"/>
        </w:rPr>
        <w:t>份，占权益登记日基金总份额的</w:t>
      </w:r>
      <w:r>
        <w:rPr>
          <w:rStyle w:val="7"/>
          <w:rFonts w:hint="eastAsia"/>
          <w:i w:val="0"/>
          <w:iCs w:val="0"/>
          <w:sz w:val="21"/>
          <w:szCs w:val="21"/>
          <w:u w:val="none"/>
        </w:rPr>
        <w:t>50.72</w:t>
      </w:r>
      <w:r>
        <w:rPr>
          <w:rFonts w:hint="eastAsia"/>
          <w:i w:val="0"/>
          <w:iCs w:val="0"/>
          <w:sz w:val="21"/>
          <w:szCs w:val="21"/>
          <w:u w:val="none"/>
        </w:rPr>
        <w:t>%。其中同意票所代表的基金份额为</w:t>
      </w:r>
      <w:r>
        <w:rPr>
          <w:rStyle w:val="7"/>
          <w:rFonts w:hint="eastAsia"/>
          <w:i w:val="0"/>
          <w:iCs w:val="0"/>
          <w:sz w:val="21"/>
          <w:szCs w:val="21"/>
          <w:u w:val="none"/>
        </w:rPr>
        <w:t>7,869,956,210.98</w:t>
      </w:r>
      <w:r>
        <w:rPr>
          <w:rFonts w:hint="eastAsia"/>
          <w:i w:val="0"/>
          <w:iCs w:val="0"/>
          <w:sz w:val="21"/>
          <w:szCs w:val="21"/>
          <w:u w:val="none"/>
        </w:rPr>
        <w:t>份，占参与表决的基金份额持有人及代理人所代表的基金份额总数的</w:t>
      </w:r>
      <w:r>
        <w:rPr>
          <w:rStyle w:val="7"/>
          <w:rFonts w:hint="eastAsia"/>
          <w:i w:val="0"/>
          <w:iCs w:val="0"/>
          <w:sz w:val="21"/>
          <w:szCs w:val="21"/>
          <w:u w:val="none"/>
        </w:rPr>
        <w:t>100.00</w:t>
      </w:r>
      <w:r>
        <w:rPr>
          <w:rFonts w:hint="eastAsia"/>
          <w:i w:val="0"/>
          <w:iCs w:val="0"/>
          <w:sz w:val="21"/>
          <w:szCs w:val="21"/>
          <w:u w:val="none"/>
        </w:rPr>
        <w:t>%；反对票所代表的基金份额为</w:t>
      </w:r>
      <w:r>
        <w:rPr>
          <w:rStyle w:val="7"/>
          <w:rFonts w:hint="eastAsia"/>
          <w:i w:val="0"/>
          <w:iCs w:val="0"/>
          <w:sz w:val="21"/>
          <w:szCs w:val="21"/>
          <w:u w:val="none"/>
        </w:rPr>
        <w:t>0.00</w:t>
      </w:r>
      <w:r>
        <w:rPr>
          <w:rFonts w:hint="eastAsia"/>
          <w:i w:val="0"/>
          <w:iCs w:val="0"/>
          <w:sz w:val="21"/>
          <w:szCs w:val="21"/>
          <w:u w:val="none"/>
        </w:rPr>
        <w:t>份，占参与表决的基金份额持有人及代理人所代表的基金份额总数的</w:t>
      </w:r>
      <w:r>
        <w:rPr>
          <w:rStyle w:val="7"/>
          <w:rFonts w:hint="eastAsia"/>
          <w:i w:val="0"/>
          <w:iCs w:val="0"/>
          <w:sz w:val="21"/>
          <w:szCs w:val="21"/>
          <w:u w:val="none"/>
        </w:rPr>
        <w:t>0.00</w:t>
      </w:r>
      <w:r>
        <w:rPr>
          <w:rFonts w:hint="eastAsia"/>
          <w:i w:val="0"/>
          <w:iCs w:val="0"/>
          <w:sz w:val="21"/>
          <w:szCs w:val="21"/>
          <w:u w:val="none"/>
        </w:rPr>
        <w:t>%；弃权票所代表的基金份额为</w:t>
      </w:r>
      <w:r>
        <w:rPr>
          <w:rStyle w:val="7"/>
          <w:rFonts w:hint="eastAsia"/>
          <w:i w:val="0"/>
          <w:iCs w:val="0"/>
          <w:sz w:val="21"/>
          <w:szCs w:val="21"/>
          <w:u w:val="none"/>
        </w:rPr>
        <w:t>0.00</w:t>
      </w:r>
      <w:r>
        <w:rPr>
          <w:rFonts w:hint="eastAsia"/>
          <w:i w:val="0"/>
          <w:iCs w:val="0"/>
          <w:sz w:val="21"/>
          <w:szCs w:val="21"/>
          <w:u w:val="none"/>
        </w:rPr>
        <w:t>份，占参与表决的基金份额持有人及代理人所代表的基金份额总数的</w:t>
      </w:r>
      <w:r>
        <w:rPr>
          <w:rStyle w:val="7"/>
          <w:rFonts w:hint="eastAsia"/>
          <w:i w:val="0"/>
          <w:iCs w:val="0"/>
          <w:sz w:val="21"/>
          <w:szCs w:val="21"/>
          <w:u w:val="none"/>
        </w:rPr>
        <w:t>0.00</w:t>
      </w:r>
      <w:r>
        <w:rPr>
          <w:rFonts w:hint="eastAsia"/>
          <w:i w:val="0"/>
          <w:iCs w:val="0"/>
          <w:sz w:val="21"/>
          <w:szCs w:val="21"/>
          <w:u w:val="none"/>
        </w:rPr>
        <w:t xml:space="preserve">%。 </w:t>
      </w:r>
    </w:p>
    <w:p w14:paraId="27857161">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参与表决的基金份额持有人及其代理人所代表的</w:t>
      </w:r>
      <w:r>
        <w:rPr>
          <w:rStyle w:val="7"/>
          <w:rFonts w:hint="eastAsia"/>
          <w:i w:val="0"/>
          <w:iCs w:val="0"/>
          <w:sz w:val="21"/>
          <w:szCs w:val="21"/>
          <w:u w:val="none"/>
        </w:rPr>
        <w:t>7,869,956,210.98</w:t>
      </w:r>
      <w:r>
        <w:rPr>
          <w:rFonts w:hint="eastAsia"/>
          <w:i w:val="0"/>
          <w:iCs w:val="0"/>
          <w:sz w:val="21"/>
          <w:szCs w:val="21"/>
          <w:u w:val="none"/>
        </w:rPr>
        <w:t>份有效的基金份额（超过权益登记日基金总份额的50%）对本次会议议案进行了审议，其中同意票所代表的基金份额为</w:t>
      </w:r>
      <w:r>
        <w:rPr>
          <w:rStyle w:val="7"/>
          <w:rFonts w:hint="eastAsia"/>
          <w:i w:val="0"/>
          <w:iCs w:val="0"/>
          <w:sz w:val="21"/>
          <w:szCs w:val="21"/>
          <w:u w:val="none"/>
        </w:rPr>
        <w:t>7,869,956,210.98</w:t>
      </w:r>
      <w:r>
        <w:rPr>
          <w:rFonts w:hint="eastAsia"/>
          <w:i w:val="0"/>
          <w:iCs w:val="0"/>
          <w:sz w:val="21"/>
          <w:szCs w:val="21"/>
          <w:u w:val="none"/>
        </w:rPr>
        <w:t>份，占参与表决的基金份额持有人及代理人所代表的基金份额总数的</w:t>
      </w:r>
      <w:r>
        <w:rPr>
          <w:rStyle w:val="7"/>
          <w:rFonts w:hint="eastAsia"/>
          <w:i w:val="0"/>
          <w:iCs w:val="0"/>
          <w:sz w:val="21"/>
          <w:szCs w:val="21"/>
          <w:u w:val="none"/>
        </w:rPr>
        <w:t>100.00</w:t>
      </w:r>
      <w:r>
        <w:rPr>
          <w:rFonts w:hint="eastAsia"/>
          <w:i w:val="0"/>
          <w:iCs w:val="0"/>
          <w:sz w:val="21"/>
          <w:szCs w:val="21"/>
          <w:u w:val="none"/>
        </w:rPr>
        <w:t xml:space="preserve">%，同意本次会议议案的基金份额符合《中华人民共和国证券投资基金法》、《公开募集证券投资基金运作管理办法》和《基金合同》的有关规定，本次会议议案有效通过。 </w:t>
      </w:r>
    </w:p>
    <w:p w14:paraId="531ECE2C">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此次基金份额持有人大会的计票于</w:t>
      </w:r>
      <w:r>
        <w:rPr>
          <w:rStyle w:val="7"/>
          <w:rFonts w:hint="eastAsia"/>
          <w:i w:val="0"/>
          <w:iCs w:val="0"/>
          <w:sz w:val="21"/>
          <w:szCs w:val="21"/>
          <w:u w:val="none"/>
        </w:rPr>
        <w:t>2026年8月4日</w:t>
      </w:r>
      <w:r>
        <w:rPr>
          <w:rFonts w:hint="eastAsia"/>
          <w:i w:val="0"/>
          <w:iCs w:val="0"/>
          <w:sz w:val="21"/>
          <w:szCs w:val="21"/>
          <w:u w:val="none"/>
        </w:rPr>
        <w:t>在本基金的托管人</w:t>
      </w:r>
      <w:r>
        <w:rPr>
          <w:rStyle w:val="7"/>
          <w:rFonts w:hint="eastAsia"/>
          <w:i w:val="0"/>
          <w:iCs w:val="0"/>
          <w:sz w:val="21"/>
          <w:szCs w:val="21"/>
          <w:u w:val="none"/>
        </w:rPr>
        <w:t>上海浦东发展银行股份有限公司</w:t>
      </w:r>
      <w:r>
        <w:rPr>
          <w:rFonts w:hint="eastAsia"/>
          <w:i w:val="0"/>
          <w:iCs w:val="0"/>
          <w:sz w:val="21"/>
          <w:szCs w:val="21"/>
          <w:u w:val="none"/>
        </w:rPr>
        <w:t>授权代表的监督下进行，并由北京市长安公证处公证员对计票过程及结果进行了公证。本次持有人大会的公证费10,000元，律师费</w:t>
      </w:r>
      <w:r>
        <w:rPr>
          <w:rFonts w:hint="eastAsia"/>
          <w:i w:val="0"/>
          <w:iCs w:val="0"/>
          <w:sz w:val="21"/>
          <w:szCs w:val="21"/>
          <w:u w:val="none"/>
          <w:lang w:val="en-US" w:eastAsia="zh-CN"/>
        </w:rPr>
        <w:t>20</w:t>
      </w:r>
      <w:r>
        <w:rPr>
          <w:rFonts w:hint="eastAsia"/>
          <w:i w:val="0"/>
          <w:iCs w:val="0"/>
          <w:sz w:val="21"/>
          <w:szCs w:val="21"/>
          <w:u w:val="none"/>
        </w:rPr>
        <w:t>,</w:t>
      </w:r>
      <w:r>
        <w:rPr>
          <w:rFonts w:hint="eastAsia"/>
          <w:i w:val="0"/>
          <w:iCs w:val="0"/>
          <w:sz w:val="21"/>
          <w:szCs w:val="21"/>
          <w:u w:val="none"/>
          <w:lang w:val="en-US" w:eastAsia="zh-CN"/>
        </w:rPr>
        <w:t>000</w:t>
      </w:r>
      <w:r>
        <w:rPr>
          <w:rFonts w:hint="eastAsia"/>
          <w:i w:val="0"/>
          <w:iCs w:val="0"/>
          <w:sz w:val="21"/>
          <w:szCs w:val="21"/>
          <w:u w:val="none"/>
        </w:rPr>
        <w:t>元，合计</w:t>
      </w:r>
      <w:r>
        <w:rPr>
          <w:rFonts w:hint="eastAsia"/>
          <w:i w:val="0"/>
          <w:iCs w:val="0"/>
          <w:sz w:val="21"/>
          <w:szCs w:val="21"/>
          <w:u w:val="none"/>
          <w:lang w:val="en-US" w:eastAsia="zh-CN"/>
        </w:rPr>
        <w:t>30</w:t>
      </w:r>
      <w:r>
        <w:rPr>
          <w:rFonts w:hint="eastAsia"/>
          <w:i w:val="0"/>
          <w:iCs w:val="0"/>
          <w:sz w:val="21"/>
          <w:szCs w:val="21"/>
          <w:u w:val="none"/>
        </w:rPr>
        <w:t>,</w:t>
      </w:r>
      <w:r>
        <w:rPr>
          <w:rFonts w:hint="eastAsia"/>
          <w:i w:val="0"/>
          <w:iCs w:val="0"/>
          <w:sz w:val="21"/>
          <w:szCs w:val="21"/>
          <w:u w:val="none"/>
          <w:lang w:val="en-US" w:eastAsia="zh-CN"/>
        </w:rPr>
        <w:t>000</w:t>
      </w:r>
      <w:r>
        <w:rPr>
          <w:rFonts w:hint="eastAsia"/>
          <w:i w:val="0"/>
          <w:iCs w:val="0"/>
          <w:sz w:val="21"/>
          <w:szCs w:val="21"/>
          <w:u w:val="none"/>
        </w:rPr>
        <w:t>元，由基金资产承担。</w:t>
      </w:r>
    </w:p>
    <w:p w14:paraId="2879DA9D">
      <w:pPr>
        <w:pStyle w:val="2"/>
        <w:spacing w:before="400" w:after="0" w:line="360" w:lineRule="auto"/>
        <w:ind w:firstLine="422" w:firstLineChars="200"/>
        <w:rPr>
          <w:rFonts w:hint="eastAsia" w:ascii="宋体" w:hAnsi="宋体" w:eastAsia="宋体"/>
          <w:i w:val="0"/>
          <w:iCs w:val="0"/>
          <w:sz w:val="21"/>
          <w:u w:val="none"/>
        </w:rPr>
      </w:pPr>
      <w:r>
        <w:rPr>
          <w:rFonts w:hint="eastAsia" w:ascii="宋体" w:hAnsi="宋体" w:eastAsia="宋体"/>
          <w:i w:val="0"/>
          <w:iCs w:val="0"/>
          <w:sz w:val="21"/>
          <w:u w:val="none"/>
        </w:rPr>
        <w:t>二、本次基金份额持有人大会决议的生效</w:t>
      </w:r>
    </w:p>
    <w:p w14:paraId="24475B10">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根据《公开募集证券投资基金运作管理办法》的规定，基金份额持有人大会决定的事项自表决通过之日起生效。本次基金份额持有人大会于</w:t>
      </w:r>
      <w:r>
        <w:rPr>
          <w:rStyle w:val="7"/>
          <w:rFonts w:hint="eastAsia"/>
          <w:i w:val="0"/>
          <w:iCs w:val="0"/>
          <w:sz w:val="21"/>
          <w:szCs w:val="21"/>
          <w:u w:val="none"/>
        </w:rPr>
        <w:t>2026年8月4日</w:t>
      </w:r>
      <w:r>
        <w:rPr>
          <w:rFonts w:hint="eastAsia"/>
          <w:i w:val="0"/>
          <w:iCs w:val="0"/>
          <w:sz w:val="21"/>
          <w:szCs w:val="21"/>
          <w:u w:val="none"/>
        </w:rPr>
        <w:t xml:space="preserve">表决通过了本次会议议案，本次大会决议自该日起生效。基金管理人将自该日起五日内将表决通过的事项报中国证券监督管理委员会备案。 </w:t>
      </w:r>
    </w:p>
    <w:p w14:paraId="37BC2A42">
      <w:pPr>
        <w:pStyle w:val="2"/>
        <w:spacing w:before="400" w:after="0" w:line="360" w:lineRule="auto"/>
        <w:ind w:firstLine="422" w:firstLineChars="200"/>
        <w:rPr>
          <w:i w:val="0"/>
          <w:iCs w:val="0"/>
          <w:sz w:val="21"/>
          <w:szCs w:val="21"/>
          <w:u w:val="none"/>
        </w:rPr>
      </w:pPr>
      <w:r>
        <w:rPr>
          <w:rFonts w:hint="eastAsia" w:ascii="宋体" w:hAnsi="宋体" w:eastAsia="宋体"/>
          <w:i w:val="0"/>
          <w:iCs w:val="0"/>
          <w:sz w:val="21"/>
          <w:u w:val="none"/>
        </w:rPr>
        <w:t>三、基金份额持有人大会决议相关事项的实施情况</w:t>
      </w:r>
    </w:p>
    <w:p w14:paraId="165A5B24">
      <w:pPr>
        <w:pStyle w:val="4"/>
        <w:spacing w:before="0" w:beforeAutospacing="0" w:after="0" w:afterAutospacing="0" w:line="360" w:lineRule="auto"/>
        <w:ind w:firstLine="420"/>
        <w:jc w:val="both"/>
        <w:rPr>
          <w:rFonts w:hint="eastAsia"/>
          <w:b/>
          <w:bCs/>
          <w:i w:val="0"/>
          <w:iCs w:val="0"/>
          <w:sz w:val="21"/>
          <w:szCs w:val="21"/>
          <w:u w:val="none"/>
        </w:rPr>
      </w:pPr>
      <w:r>
        <w:rPr>
          <w:rFonts w:hint="eastAsia"/>
          <w:b/>
          <w:bCs/>
          <w:i w:val="0"/>
          <w:iCs w:val="0"/>
          <w:sz w:val="21"/>
          <w:szCs w:val="21"/>
          <w:u w:val="none"/>
        </w:rPr>
        <w:t xml:space="preserve">（一）对基金合同的主要修订  </w:t>
      </w:r>
    </w:p>
    <w:tbl>
      <w:tblPr>
        <w:tblStyle w:val="5"/>
        <w:tblW w:w="0" w:type="auto"/>
        <w:tblCellSpacing w:w="0" w:type="dxa"/>
        <w:tblInd w:w="0" w:type="dxa"/>
        <w:tblLayout w:type="autofit"/>
        <w:tblCellMar>
          <w:top w:w="15" w:type="dxa"/>
          <w:left w:w="15" w:type="dxa"/>
          <w:bottom w:w="15" w:type="dxa"/>
          <w:right w:w="15" w:type="dxa"/>
        </w:tblCellMar>
      </w:tblPr>
      <w:tblGrid>
        <w:gridCol w:w="1481"/>
        <w:gridCol w:w="6895"/>
      </w:tblGrid>
      <w:tr w14:paraId="51CEB3EB">
        <w:tblPrEx>
          <w:tblCellMar>
            <w:top w:w="15" w:type="dxa"/>
            <w:left w:w="15" w:type="dxa"/>
            <w:bottom w:w="15" w:type="dxa"/>
            <w:right w:w="15" w:type="dxa"/>
          </w:tblCellMar>
        </w:tblPrEx>
        <w:trPr>
          <w:tblCellSpacing w:w="0" w:type="dxa"/>
        </w:trPr>
        <w:tc>
          <w:tcPr>
            <w:tcW w:w="1500" w:type="dxa"/>
            <w:tcBorders>
              <w:top w:val="single" w:color="auto" w:sz="8" w:space="0"/>
              <w:left w:val="single" w:color="auto" w:sz="8" w:space="0"/>
              <w:bottom w:val="single" w:color="auto" w:sz="8" w:space="0"/>
              <w:right w:val="single" w:color="auto" w:sz="8" w:space="0"/>
            </w:tcBorders>
          </w:tcPr>
          <w:p w14:paraId="3C3AC375">
            <w:pPr>
              <w:rPr>
                <w:rFonts w:ascii="宋体" w:hAnsi="宋体" w:eastAsia="宋体" w:cs="宋体"/>
                <w:i w:val="0"/>
                <w:iCs w:val="0"/>
                <w:sz w:val="24"/>
                <w:szCs w:val="24"/>
                <w:u w:val="none"/>
              </w:rPr>
            </w:pPr>
            <w:r>
              <w:rPr>
                <w:rFonts w:hint="eastAsia"/>
                <w:i w:val="0"/>
                <w:iCs w:val="0"/>
                <w:u w:val="none"/>
              </w:rPr>
              <w:t xml:space="preserve">章节  </w:t>
            </w:r>
          </w:p>
        </w:tc>
        <w:tc>
          <w:tcPr>
            <w:tcW w:w="7020" w:type="dxa"/>
            <w:tcBorders>
              <w:top w:val="single" w:color="auto" w:sz="8" w:space="0"/>
              <w:left w:val="single" w:color="auto" w:sz="8" w:space="0"/>
              <w:bottom w:val="single" w:color="auto" w:sz="8" w:space="0"/>
              <w:right w:val="single" w:color="auto" w:sz="8" w:space="0"/>
            </w:tcBorders>
          </w:tcPr>
          <w:p w14:paraId="72B7805C">
            <w:pPr>
              <w:rPr>
                <w:rFonts w:ascii="宋体" w:hAnsi="宋体" w:eastAsia="宋体" w:cs="宋体"/>
                <w:i w:val="0"/>
                <w:iCs w:val="0"/>
                <w:sz w:val="24"/>
                <w:szCs w:val="24"/>
                <w:u w:val="none"/>
              </w:rPr>
            </w:pPr>
            <w:r>
              <w:rPr>
                <w:rFonts w:hint="eastAsia"/>
                <w:i w:val="0"/>
                <w:iCs w:val="0"/>
                <w:u w:val="none"/>
              </w:rPr>
              <w:t xml:space="preserve">修改内容  </w:t>
            </w:r>
          </w:p>
        </w:tc>
      </w:tr>
      <w:tr w14:paraId="289BC6A8">
        <w:tblPrEx>
          <w:tblCellMar>
            <w:top w:w="15" w:type="dxa"/>
            <w:left w:w="15" w:type="dxa"/>
            <w:bottom w:w="15" w:type="dxa"/>
            <w:right w:w="15" w:type="dxa"/>
          </w:tblCellMar>
        </w:tblPrEx>
        <w:trPr>
          <w:tblCellSpacing w:w="0" w:type="dxa"/>
        </w:trPr>
        <w:tc>
          <w:tcPr>
            <w:tcW w:w="1500" w:type="dxa"/>
            <w:tcBorders>
              <w:top w:val="single" w:color="auto" w:sz="8" w:space="0"/>
              <w:left w:val="single" w:color="auto" w:sz="8" w:space="0"/>
              <w:bottom w:val="single" w:color="auto" w:sz="8" w:space="0"/>
              <w:right w:val="single" w:color="auto" w:sz="8" w:space="0"/>
            </w:tcBorders>
          </w:tcPr>
          <w:p w14:paraId="13E85341">
            <w:pPr>
              <w:rPr>
                <w:rFonts w:ascii="宋体" w:hAnsi="宋体" w:eastAsia="宋体" w:cs="宋体"/>
                <w:i w:val="0"/>
                <w:iCs w:val="0"/>
                <w:sz w:val="24"/>
                <w:szCs w:val="24"/>
                <w:u w:val="none"/>
              </w:rPr>
            </w:pPr>
            <w:r>
              <w:rPr>
                <w:rFonts w:hint="eastAsia"/>
                <w:i w:val="0"/>
                <w:iCs w:val="0"/>
                <w:u w:val="none"/>
              </w:rPr>
              <w:t xml:space="preserve">第二部分 释义  </w:t>
            </w:r>
          </w:p>
        </w:tc>
        <w:tc>
          <w:tcPr>
            <w:tcW w:w="7020" w:type="dxa"/>
            <w:tcBorders>
              <w:top w:val="single" w:color="auto" w:sz="8" w:space="0"/>
              <w:left w:val="single" w:color="auto" w:sz="8" w:space="0"/>
              <w:bottom w:val="single" w:color="auto" w:sz="8" w:space="0"/>
              <w:right w:val="single" w:color="auto" w:sz="8" w:space="0"/>
            </w:tcBorders>
          </w:tcPr>
          <w:p w14:paraId="3487D726">
            <w:pPr>
              <w:rPr>
                <w:rFonts w:ascii="宋体" w:hAnsi="宋体" w:eastAsia="宋体" w:cs="宋体"/>
                <w:i w:val="0"/>
                <w:iCs w:val="0"/>
                <w:sz w:val="24"/>
                <w:szCs w:val="24"/>
                <w:u w:val="none"/>
              </w:rPr>
            </w:pPr>
            <w:r>
              <w:rPr>
                <w:rFonts w:hint="eastAsia"/>
                <w:i w:val="0"/>
                <w:iCs w:val="0"/>
                <w:u w:val="none"/>
              </w:rPr>
              <w:t xml:space="preserve">将“40、开放期：指自封闭期结束之日后第一个工作日起（含该日）5至20个工作日，具体期间由基金管理人在封闭期结束前公告说明，但在开放期内，基金管理人有权延长开放期时间并公告，但开放期最长不可超过20个工作日。...” 修改为 “40、开放期：指自封闭期结束之日后第一个工作日起（含该日）1至20个工作日，具体期间由基金管理人在封闭期结束前公告说明，但在开放期内，基金管理人有权延长开放期时间并公告，但开放期最长不可超过20个工作日。...”  </w:t>
            </w:r>
          </w:p>
        </w:tc>
      </w:tr>
      <w:tr w14:paraId="42F6A3B2">
        <w:tblPrEx>
          <w:tblCellMar>
            <w:top w:w="15" w:type="dxa"/>
            <w:left w:w="15" w:type="dxa"/>
            <w:bottom w:w="15" w:type="dxa"/>
            <w:right w:w="15" w:type="dxa"/>
          </w:tblCellMar>
        </w:tblPrEx>
        <w:trPr>
          <w:tblCellSpacing w:w="0" w:type="dxa"/>
        </w:trPr>
        <w:tc>
          <w:tcPr>
            <w:tcW w:w="1500" w:type="dxa"/>
            <w:tcBorders>
              <w:top w:val="single" w:color="auto" w:sz="8" w:space="0"/>
              <w:left w:val="single" w:color="auto" w:sz="8" w:space="0"/>
              <w:bottom w:val="single" w:color="auto" w:sz="8" w:space="0"/>
              <w:right w:val="single" w:color="auto" w:sz="8" w:space="0"/>
            </w:tcBorders>
          </w:tcPr>
          <w:p w14:paraId="182EC39C">
            <w:pPr>
              <w:rPr>
                <w:rFonts w:ascii="宋体" w:hAnsi="宋体" w:eastAsia="宋体" w:cs="宋体"/>
                <w:i w:val="0"/>
                <w:iCs w:val="0"/>
                <w:sz w:val="24"/>
                <w:szCs w:val="24"/>
                <w:u w:val="none"/>
              </w:rPr>
            </w:pPr>
            <w:r>
              <w:rPr>
                <w:rFonts w:hint="eastAsia"/>
                <w:i w:val="0"/>
                <w:iCs w:val="0"/>
                <w:u w:val="none"/>
              </w:rPr>
              <w:t xml:space="preserve">第三部分 基金的基本情况  </w:t>
            </w:r>
          </w:p>
        </w:tc>
        <w:tc>
          <w:tcPr>
            <w:tcW w:w="7020" w:type="dxa"/>
            <w:tcBorders>
              <w:top w:val="single" w:color="auto" w:sz="8" w:space="0"/>
              <w:left w:val="single" w:color="auto" w:sz="8" w:space="0"/>
              <w:bottom w:val="single" w:color="auto" w:sz="8" w:space="0"/>
              <w:right w:val="single" w:color="auto" w:sz="8" w:space="0"/>
            </w:tcBorders>
          </w:tcPr>
          <w:p w14:paraId="742E4AC1">
            <w:pPr>
              <w:rPr>
                <w:rFonts w:ascii="宋体" w:hAnsi="宋体" w:eastAsia="宋体" w:cs="宋体"/>
                <w:i w:val="0"/>
                <w:iCs w:val="0"/>
                <w:sz w:val="24"/>
                <w:szCs w:val="24"/>
                <w:u w:val="none"/>
              </w:rPr>
            </w:pPr>
            <w:r>
              <w:rPr>
                <w:rFonts w:hint="eastAsia"/>
                <w:i w:val="0"/>
                <w:iCs w:val="0"/>
                <w:u w:val="none"/>
              </w:rPr>
              <w:t xml:space="preserve">将“...每一个封闭期结束后，本基金即进入开放期，开放期的期限为自封闭期结束之日后第一个工作日起（含该日）五至二十个工作日，具体期间由基金管理人在封闭期结束前公告说明，但在开放期内，基金管理人有权延长开放期时间并公告，但开放期最长不可超过二十个工作日。...” 修改为 “...每一个封闭期结束后，本基金即进入开放期，开放期的期限为自封闭期结束之日后第一个工作日起（含该日）1至20个工作日，具体期间由基金管理人在封闭期结束前公告说明，但在开放期内，基金管理人有权延长开放期时间并公告，但开放期最长不可超过20个工作日。...”  </w:t>
            </w:r>
          </w:p>
        </w:tc>
      </w:tr>
      <w:tr w14:paraId="052C7D09">
        <w:tblPrEx>
          <w:tblCellMar>
            <w:top w:w="15" w:type="dxa"/>
            <w:left w:w="15" w:type="dxa"/>
            <w:bottom w:w="15" w:type="dxa"/>
            <w:right w:w="15" w:type="dxa"/>
          </w:tblCellMar>
        </w:tblPrEx>
        <w:trPr>
          <w:tblCellSpacing w:w="0" w:type="dxa"/>
        </w:trPr>
        <w:tc>
          <w:tcPr>
            <w:tcW w:w="1500" w:type="dxa"/>
            <w:tcBorders>
              <w:top w:val="single" w:color="auto" w:sz="8" w:space="0"/>
              <w:left w:val="single" w:color="auto" w:sz="8" w:space="0"/>
              <w:bottom w:val="single" w:color="auto" w:sz="8" w:space="0"/>
              <w:right w:val="single" w:color="auto" w:sz="8" w:space="0"/>
            </w:tcBorders>
          </w:tcPr>
          <w:p w14:paraId="20F5BAC5">
            <w:pPr>
              <w:rPr>
                <w:rFonts w:ascii="宋体" w:hAnsi="宋体" w:eastAsia="宋体" w:cs="宋体"/>
                <w:i w:val="0"/>
                <w:iCs w:val="0"/>
                <w:sz w:val="24"/>
                <w:szCs w:val="24"/>
                <w:u w:val="none"/>
              </w:rPr>
            </w:pPr>
            <w:r>
              <w:rPr>
                <w:rFonts w:hint="eastAsia"/>
                <w:i w:val="0"/>
                <w:iCs w:val="0"/>
                <w:u w:val="none"/>
              </w:rPr>
              <w:t xml:space="preserve">第六部分 基金份额的申购与赎回  </w:t>
            </w:r>
          </w:p>
        </w:tc>
        <w:tc>
          <w:tcPr>
            <w:tcW w:w="7020" w:type="dxa"/>
            <w:tcBorders>
              <w:top w:val="single" w:color="auto" w:sz="8" w:space="0"/>
              <w:left w:val="single" w:color="auto" w:sz="8" w:space="0"/>
              <w:bottom w:val="single" w:color="auto" w:sz="8" w:space="0"/>
              <w:right w:val="single" w:color="auto" w:sz="8" w:space="0"/>
            </w:tcBorders>
          </w:tcPr>
          <w:p w14:paraId="0393BA0F">
            <w:pPr>
              <w:rPr>
                <w:rFonts w:ascii="宋体" w:hAnsi="宋体" w:eastAsia="宋体" w:cs="宋体"/>
                <w:i w:val="0"/>
                <w:iCs w:val="0"/>
                <w:sz w:val="24"/>
                <w:szCs w:val="24"/>
                <w:u w:val="none"/>
              </w:rPr>
            </w:pPr>
            <w:r>
              <w:rPr>
                <w:rFonts w:hint="eastAsia"/>
                <w:i w:val="0"/>
                <w:iCs w:val="0"/>
                <w:u w:val="none"/>
              </w:rPr>
              <w:t xml:space="preserve">将“除法律法规或基金合同另有约定外，本基金每个封闭期结束之后第一个工作日起（含该日）进入开放期，开放期的期限为自封闭期结束之日后第一个工作日起（含该日）5至20个工作日，...” 修改为 “除法律法规或基金合同另有约定外，本基金每个封闭期结束之后第一个工作日起（含该日）进入开放期，开放期的期限为自封闭期结束之日后第一个工作日起（含该日）1至20个工作日，...”  </w:t>
            </w:r>
          </w:p>
        </w:tc>
      </w:tr>
      <w:tr w14:paraId="7AF6BFF0">
        <w:tblPrEx>
          <w:tblCellMar>
            <w:top w:w="15" w:type="dxa"/>
            <w:left w:w="15" w:type="dxa"/>
            <w:bottom w:w="15" w:type="dxa"/>
            <w:right w:w="15" w:type="dxa"/>
          </w:tblCellMar>
        </w:tblPrEx>
        <w:trPr>
          <w:tblCellSpacing w:w="0" w:type="dxa"/>
        </w:trPr>
        <w:tc>
          <w:tcPr>
            <w:tcW w:w="1500" w:type="dxa"/>
            <w:tcBorders>
              <w:top w:val="single" w:color="auto" w:sz="8" w:space="0"/>
              <w:left w:val="single" w:color="auto" w:sz="8" w:space="0"/>
              <w:bottom w:val="single" w:color="auto" w:sz="8" w:space="0"/>
              <w:right w:val="single" w:color="auto" w:sz="8" w:space="0"/>
            </w:tcBorders>
          </w:tcPr>
          <w:p w14:paraId="10D71AF8">
            <w:pPr>
              <w:rPr>
                <w:rFonts w:ascii="宋体" w:hAnsi="宋体" w:eastAsia="宋体" w:cs="宋体"/>
                <w:i w:val="0"/>
                <w:iCs w:val="0"/>
                <w:sz w:val="24"/>
                <w:szCs w:val="24"/>
                <w:u w:val="none"/>
              </w:rPr>
            </w:pPr>
            <w:r>
              <w:rPr>
                <w:rFonts w:hint="eastAsia"/>
                <w:i w:val="0"/>
                <w:iCs w:val="0"/>
                <w:u w:val="none"/>
              </w:rPr>
              <w:t xml:space="preserve">第十二部分  基金的投资  </w:t>
            </w:r>
          </w:p>
        </w:tc>
        <w:tc>
          <w:tcPr>
            <w:tcW w:w="7020" w:type="dxa"/>
            <w:tcBorders>
              <w:top w:val="single" w:color="auto" w:sz="8" w:space="0"/>
              <w:left w:val="single" w:color="auto" w:sz="8" w:space="0"/>
              <w:bottom w:val="single" w:color="auto" w:sz="8" w:space="0"/>
              <w:right w:val="single" w:color="auto" w:sz="8" w:space="0"/>
            </w:tcBorders>
          </w:tcPr>
          <w:p w14:paraId="36B76DB0">
            <w:pPr>
              <w:rPr>
                <w:rFonts w:ascii="宋体" w:hAnsi="宋体" w:eastAsia="宋体" w:cs="宋体"/>
                <w:i w:val="0"/>
                <w:iCs w:val="0"/>
                <w:sz w:val="24"/>
                <w:szCs w:val="24"/>
                <w:u w:val="none"/>
              </w:rPr>
            </w:pPr>
            <w:r>
              <w:rPr>
                <w:rFonts w:hint="eastAsia"/>
                <w:i w:val="0"/>
                <w:iCs w:val="0"/>
                <w:u w:val="none"/>
              </w:rPr>
              <w:t xml:space="preserve">删除“ 本基金进入全国银行间同业市场进行债券回购的资金余额不得超过基金资产净值的40%；进入全国银行间同业市场进行债券回购的最长期限为1年，债券回购到期后不得展期；” 相关序号依次调整。  </w:t>
            </w:r>
          </w:p>
        </w:tc>
      </w:tr>
    </w:tbl>
    <w:p w14:paraId="05DE4FF8">
      <w:pPr>
        <w:pStyle w:val="4"/>
        <w:spacing w:before="0" w:beforeAutospacing="0" w:after="0" w:afterAutospacing="0" w:line="360" w:lineRule="auto"/>
        <w:ind w:firstLine="420"/>
        <w:jc w:val="both"/>
        <w:rPr>
          <w:rFonts w:hint="eastAsia"/>
          <w:b/>
          <w:bCs/>
          <w:i w:val="0"/>
          <w:iCs w:val="0"/>
          <w:sz w:val="21"/>
          <w:szCs w:val="21"/>
          <w:u w:val="none"/>
        </w:rPr>
      </w:pPr>
      <w:r>
        <w:rPr>
          <w:rFonts w:hint="eastAsia"/>
          <w:b/>
          <w:bCs/>
          <w:i w:val="0"/>
          <w:iCs w:val="0"/>
          <w:sz w:val="21"/>
          <w:szCs w:val="21"/>
          <w:u w:val="none"/>
        </w:rPr>
        <w:t>（二）《博时稳欣39个月定期开放债券型证券投资基金招募说明书》、《博时稳欣39个月定期开放债券型证券投资基金托管协议》将根据以上的修订内容进行相应修改，并按规定更新，同时更新基金管理人</w:t>
      </w:r>
      <w:r>
        <w:rPr>
          <w:rFonts w:hint="eastAsia"/>
          <w:b/>
          <w:bCs/>
          <w:i w:val="0"/>
          <w:iCs w:val="0"/>
          <w:sz w:val="21"/>
          <w:szCs w:val="21"/>
          <w:u w:val="none"/>
          <w:lang w:eastAsia="zh-CN"/>
        </w:rPr>
        <w:t>、</w:t>
      </w:r>
      <w:r>
        <w:rPr>
          <w:rFonts w:hint="eastAsia"/>
          <w:b/>
          <w:bCs/>
          <w:i w:val="0"/>
          <w:iCs w:val="0"/>
          <w:sz w:val="21"/>
          <w:szCs w:val="21"/>
          <w:u w:val="none"/>
          <w:lang w:val="en-US" w:eastAsia="zh-CN"/>
        </w:rPr>
        <w:t>基金托管人</w:t>
      </w:r>
      <w:r>
        <w:rPr>
          <w:rFonts w:hint="eastAsia"/>
          <w:b/>
          <w:bCs/>
          <w:i w:val="0"/>
          <w:iCs w:val="0"/>
          <w:sz w:val="21"/>
          <w:szCs w:val="21"/>
          <w:u w:val="none"/>
        </w:rPr>
        <w:t>信息。</w:t>
      </w:r>
      <w:bookmarkStart w:id="0" w:name="_GoBack"/>
      <w:bookmarkEnd w:id="0"/>
    </w:p>
    <w:p w14:paraId="1A47B475">
      <w:pPr>
        <w:pStyle w:val="4"/>
        <w:spacing w:before="0" w:beforeAutospacing="0" w:after="0" w:afterAutospacing="0" w:line="360" w:lineRule="auto"/>
        <w:ind w:firstLine="420"/>
        <w:jc w:val="both"/>
        <w:rPr>
          <w:rFonts w:hint="eastAsia"/>
          <w:b/>
          <w:bCs/>
          <w:i w:val="0"/>
          <w:iCs w:val="0"/>
          <w:sz w:val="21"/>
          <w:szCs w:val="21"/>
          <w:u w:val="none"/>
        </w:rPr>
      </w:pPr>
      <w:r>
        <w:rPr>
          <w:rFonts w:hint="eastAsia"/>
          <w:b/>
          <w:bCs/>
          <w:i w:val="0"/>
          <w:iCs w:val="0"/>
          <w:sz w:val="21"/>
          <w:szCs w:val="21"/>
          <w:u w:val="none"/>
        </w:rPr>
        <w:t>（三）修改后的执行</w:t>
      </w:r>
    </w:p>
    <w:p w14:paraId="22B61B86">
      <w:pPr>
        <w:pStyle w:val="4"/>
        <w:spacing w:before="0" w:beforeAutospacing="0" w:after="0" w:afterAutospacing="0" w:line="360" w:lineRule="auto"/>
        <w:ind w:firstLine="420"/>
        <w:jc w:val="both"/>
        <w:rPr>
          <w:rFonts w:hint="eastAsia"/>
          <w:b w:val="0"/>
          <w:bCs w:val="0"/>
          <w:i w:val="0"/>
          <w:iCs w:val="0"/>
          <w:sz w:val="21"/>
          <w:szCs w:val="21"/>
          <w:u w:val="none"/>
        </w:rPr>
      </w:pPr>
      <w:r>
        <w:rPr>
          <w:rFonts w:hint="eastAsia"/>
          <w:b w:val="0"/>
          <w:bCs w:val="0"/>
          <w:i w:val="0"/>
          <w:iCs w:val="0"/>
          <w:sz w:val="21"/>
          <w:szCs w:val="21"/>
          <w:u w:val="none"/>
        </w:rPr>
        <w:t xml:space="preserve">自2026年8月5日起，修改后的《博时稳欣39个月定期开放债券型证券投资基金基金合同》生效，本基金将按修改后的《博时稳欣39个月定期开放债券型证券投资基金基金合同》、《博时稳欣39个月定期开放债券型证券投资基金托管协议》和《博时稳欣39个月定期开放债券型证券投资基金招募说明书》执行。  </w:t>
      </w:r>
    </w:p>
    <w:p w14:paraId="6A1DA2BB">
      <w:pPr>
        <w:pStyle w:val="2"/>
        <w:spacing w:before="400" w:after="0" w:line="360" w:lineRule="auto"/>
        <w:ind w:firstLine="422" w:firstLineChars="200"/>
        <w:rPr>
          <w:rFonts w:hint="eastAsia" w:ascii="宋体" w:hAnsi="宋体" w:eastAsia="宋体"/>
          <w:i w:val="0"/>
          <w:iCs w:val="0"/>
          <w:sz w:val="21"/>
          <w:u w:val="none"/>
        </w:rPr>
      </w:pPr>
      <w:r>
        <w:rPr>
          <w:rFonts w:hint="eastAsia" w:ascii="宋体" w:hAnsi="宋体" w:eastAsia="宋体"/>
          <w:i w:val="0"/>
          <w:iCs w:val="0"/>
          <w:sz w:val="21"/>
          <w:u w:val="none"/>
        </w:rPr>
        <w:t>四、备查文件</w:t>
      </w:r>
    </w:p>
    <w:p w14:paraId="6B3AA349">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1、《博时基金管理有限公司关于以通讯方式召开</w:t>
      </w:r>
      <w:r>
        <w:rPr>
          <w:rStyle w:val="7"/>
          <w:rFonts w:hint="eastAsia"/>
          <w:i w:val="0"/>
          <w:iCs w:val="0"/>
          <w:sz w:val="21"/>
          <w:szCs w:val="21"/>
          <w:u w:val="none"/>
        </w:rPr>
        <w:t>博时稳欣39个月定期开放债券型证券投资基金</w:t>
      </w:r>
      <w:r>
        <w:rPr>
          <w:rFonts w:hint="eastAsia"/>
          <w:i w:val="0"/>
          <w:iCs w:val="0"/>
          <w:sz w:val="21"/>
          <w:szCs w:val="21"/>
          <w:u w:val="none"/>
        </w:rPr>
        <w:t xml:space="preserve">基金份额持有人大会的公告》 </w:t>
      </w:r>
    </w:p>
    <w:p w14:paraId="3AF6F741">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2、《博时基金管理有限公司关于以通讯方式召开</w:t>
      </w:r>
      <w:r>
        <w:rPr>
          <w:rStyle w:val="7"/>
          <w:rFonts w:hint="eastAsia"/>
          <w:i w:val="0"/>
          <w:iCs w:val="0"/>
          <w:sz w:val="21"/>
          <w:szCs w:val="21"/>
          <w:u w:val="none"/>
        </w:rPr>
        <w:t>博时稳欣39个月定期开放债券型证券投资基金</w:t>
      </w:r>
      <w:r>
        <w:rPr>
          <w:rFonts w:hint="eastAsia"/>
          <w:i w:val="0"/>
          <w:iCs w:val="0"/>
          <w:sz w:val="21"/>
          <w:szCs w:val="21"/>
          <w:u w:val="none"/>
        </w:rPr>
        <w:t xml:space="preserve">基金份额持有人大会的第一次提示性公告》 </w:t>
      </w:r>
    </w:p>
    <w:p w14:paraId="6F01B7AD">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3、《博时基金管理有限公司关于以通讯方式召开</w:t>
      </w:r>
      <w:r>
        <w:rPr>
          <w:rStyle w:val="7"/>
          <w:rFonts w:hint="eastAsia"/>
          <w:i w:val="0"/>
          <w:iCs w:val="0"/>
          <w:sz w:val="21"/>
          <w:szCs w:val="21"/>
          <w:u w:val="none"/>
        </w:rPr>
        <w:t>博时稳欣39个月定期开放债券型证券投资基金</w:t>
      </w:r>
      <w:r>
        <w:rPr>
          <w:rFonts w:hint="eastAsia"/>
          <w:i w:val="0"/>
          <w:iCs w:val="0"/>
          <w:sz w:val="21"/>
          <w:szCs w:val="21"/>
          <w:u w:val="none"/>
        </w:rPr>
        <w:t xml:space="preserve">基金份额持有人大会的第二次提示性公告》 </w:t>
      </w:r>
    </w:p>
    <w:p w14:paraId="476BA00B">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4、北京市长安公证处出具的公证书 </w:t>
      </w:r>
    </w:p>
    <w:p w14:paraId="79621320">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5、</w:t>
      </w:r>
      <w:r>
        <w:rPr>
          <w:rStyle w:val="7"/>
          <w:rFonts w:hint="eastAsia"/>
          <w:i w:val="0"/>
          <w:iCs w:val="0"/>
          <w:sz w:val="21"/>
          <w:szCs w:val="21"/>
          <w:u w:val="none"/>
        </w:rPr>
        <w:t>上海源泰律师事务所</w:t>
      </w:r>
      <w:r>
        <w:rPr>
          <w:rFonts w:hint="eastAsia"/>
          <w:i w:val="0"/>
          <w:iCs w:val="0"/>
          <w:sz w:val="21"/>
          <w:szCs w:val="21"/>
          <w:u w:val="none"/>
        </w:rPr>
        <w:t xml:space="preserve">出具的法律意见 </w:t>
      </w:r>
    </w:p>
    <w:p w14:paraId="21964BF2">
      <w:pPr>
        <w:pStyle w:val="4"/>
        <w:spacing w:before="0" w:beforeAutospacing="0" w:after="0" w:afterAutospacing="0" w:line="360" w:lineRule="auto"/>
        <w:ind w:firstLine="420"/>
        <w:jc w:val="both"/>
        <w:rPr>
          <w:rFonts w:hint="eastAsia"/>
          <w:sz w:val="21"/>
          <w:szCs w:val="21"/>
        </w:rPr>
      </w:pPr>
    </w:p>
    <w:p w14:paraId="4E0CB404">
      <w:pPr>
        <w:pStyle w:val="4"/>
        <w:spacing w:before="0" w:beforeAutospacing="0" w:after="0" w:afterAutospacing="0" w:line="360" w:lineRule="auto"/>
        <w:ind w:firstLine="420"/>
        <w:jc w:val="both"/>
        <w:rPr>
          <w:rFonts w:hint="eastAsia"/>
          <w:sz w:val="21"/>
          <w:szCs w:val="21"/>
        </w:rPr>
      </w:pPr>
      <w:r>
        <w:rPr>
          <w:rFonts w:hint="eastAsia"/>
          <w:sz w:val="21"/>
          <w:szCs w:val="21"/>
        </w:rPr>
        <w:t xml:space="preserve">特此公告。 </w:t>
      </w:r>
    </w:p>
    <w:p w14:paraId="41C95A0A">
      <w:pPr>
        <w:pStyle w:val="4"/>
        <w:spacing w:before="0" w:beforeAutospacing="0" w:after="0" w:afterAutospacing="0" w:line="360" w:lineRule="auto"/>
        <w:ind w:firstLine="420"/>
        <w:jc w:val="both"/>
        <w:rPr>
          <w:sz w:val="21"/>
          <w:szCs w:val="21"/>
        </w:rPr>
      </w:pPr>
    </w:p>
    <w:p w14:paraId="71EAF8AA">
      <w:pPr>
        <w:pStyle w:val="4"/>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551874AA">
      <w:pPr>
        <w:pStyle w:val="4"/>
        <w:spacing w:before="0" w:beforeAutospacing="0" w:after="0" w:afterAutospacing="0" w:line="360" w:lineRule="auto"/>
        <w:ind w:firstLine="420"/>
        <w:jc w:val="right"/>
        <w:rPr>
          <w:sz w:val="21"/>
          <w:szCs w:val="21"/>
        </w:rPr>
      </w:pPr>
      <w:r>
        <w:rPr>
          <w:sz w:val="21"/>
          <w:szCs w:val="21"/>
        </w:rPr>
        <w:t>2026年8月5日</w:t>
      </w:r>
    </w:p>
    <w:p w14:paraId="131D0E49">
      <w:pPr>
        <w:rPr>
          <w:sz w:val="21"/>
          <w:szCs w:val="21"/>
        </w:rPr>
      </w:pPr>
      <w:r>
        <w:rPr>
          <w:sz w:val="21"/>
          <w:szCs w:val="21"/>
        </w:rPr>
        <w:br w:type="page"/>
      </w:r>
    </w:p>
    <w:p w14:paraId="06B56273">
      <w:pPr>
        <w:sectPr>
          <w:pgSz w:w="11906" w:h="16838"/>
          <w:pgMar w:top="1440" w:right="1800" w:bottom="1440" w:left="1800" w:header="851" w:footer="992" w:gutter="0"/>
          <w:cols w:space="720" w:num="1"/>
          <w:docGrid w:type="lines" w:linePitch="312" w:charSpace="0"/>
        </w:sectPr>
      </w:pPr>
      <w:r>
        <w:drawing>
          <wp:anchor distT="0" distB="0" distL="114300" distR="114300" simplePos="0" relativeHeight="251662336" behindDoc="0" locked="0" layoutInCell="1" allowOverlap="1">
            <wp:simplePos x="0" y="0"/>
            <wp:positionH relativeFrom="page">
              <wp:posOffset>0</wp:posOffset>
            </wp:positionH>
            <wp:positionV relativeFrom="page">
              <wp:posOffset>0</wp:posOffset>
            </wp:positionV>
            <wp:extent cx="7559675" cy="10692130"/>
            <wp:effectExtent l="0" t="0" r="0" b="0"/>
            <wp:wrapNone/>
            <wp:docPr id="1" name="图片 4"/>
            <wp:cNvGraphicFramePr/>
            <a:graphic xmlns:a="http://schemas.openxmlformats.org/drawingml/2006/main">
              <a:graphicData uri="http://schemas.openxmlformats.org/drawingml/2006/picture">
                <pic:pic xmlns:pic="http://schemas.openxmlformats.org/drawingml/2006/picture">
                  <pic:nvPicPr>
                    <pic:cNvPr id="1" name="图片 4"/>
                    <pic:cNvPicPr/>
                  </pic:nvPicPr>
                  <pic:blipFill>
                    <a:blip r:embed="rId4"/>
                    <a:stretch>
                      <a:fillRect/>
                    </a:stretch>
                  </pic:blipFill>
                  <pic:spPr>
                    <a:xfrm>
                      <a:off x="0" y="0"/>
                      <a:ext cx="7559675" cy="10692130"/>
                    </a:xfrm>
                    <a:prstGeom prst="rect">
                      <a:avLst/>
                    </a:prstGeom>
                    <a:noFill/>
                    <a:ln>
                      <a:noFill/>
                    </a:ln>
                  </pic:spPr>
                </pic:pic>
              </a:graphicData>
            </a:graphic>
          </wp:anchor>
        </w:drawing>
      </w:r>
    </w:p>
    <w:p w14:paraId="0849928C">
      <w:pPr>
        <w:sectPr>
          <w:pgSz w:w="11906" w:h="16838"/>
          <w:pgMar w:top="1440" w:right="1800" w:bottom="1440" w:left="1800" w:header="851" w:footer="992" w:gutter="0"/>
          <w:cols w:space="720" w:num="1"/>
          <w:docGrid w:type="lines" w:linePitch="312" w:charSpace="0"/>
        </w:sectPr>
      </w:pPr>
      <w:r>
        <w:drawing>
          <wp:anchor distT="0" distB="0" distL="114300" distR="114300" simplePos="0" relativeHeight="251661312" behindDoc="0" locked="0" layoutInCell="1" allowOverlap="1">
            <wp:simplePos x="0" y="0"/>
            <wp:positionH relativeFrom="page">
              <wp:posOffset>0</wp:posOffset>
            </wp:positionH>
            <wp:positionV relativeFrom="page">
              <wp:posOffset>0</wp:posOffset>
            </wp:positionV>
            <wp:extent cx="7559675" cy="10692130"/>
            <wp:effectExtent l="0" t="0" r="0" b="0"/>
            <wp:wrapNone/>
            <wp:docPr id="2" name="图片 3"/>
            <wp:cNvGraphicFramePr/>
            <a:graphic xmlns:a="http://schemas.openxmlformats.org/drawingml/2006/main">
              <a:graphicData uri="http://schemas.openxmlformats.org/drawingml/2006/picture">
                <pic:pic xmlns:pic="http://schemas.openxmlformats.org/drawingml/2006/picture">
                  <pic:nvPicPr>
                    <pic:cNvPr id="2" name="图片 3"/>
                    <pic:cNvPicPr/>
                  </pic:nvPicPr>
                  <pic:blipFill>
                    <a:blip r:embed="rId5"/>
                    <a:stretch>
                      <a:fillRect/>
                    </a:stretch>
                  </pic:blipFill>
                  <pic:spPr>
                    <a:xfrm>
                      <a:off x="0" y="0"/>
                      <a:ext cx="7559675" cy="10692130"/>
                    </a:xfrm>
                    <a:prstGeom prst="rect">
                      <a:avLst/>
                    </a:prstGeom>
                    <a:noFill/>
                    <a:ln>
                      <a:noFill/>
                    </a:ln>
                  </pic:spPr>
                </pic:pic>
              </a:graphicData>
            </a:graphic>
          </wp:anchor>
        </w:drawing>
      </w:r>
    </w:p>
    <w:p w14:paraId="57FDA548">
      <w:pPr>
        <w:sectPr>
          <w:pgSz w:w="11906" w:h="16838"/>
          <w:pgMar w:top="1440" w:right="1800" w:bottom="1440" w:left="1800" w:header="851" w:footer="992" w:gutter="0"/>
          <w:cols w:space="720" w:num="1"/>
          <w:docGrid w:type="lines" w:linePitch="312" w:charSpace="0"/>
        </w:sectPr>
      </w:pPr>
      <w:r>
        <w:drawing>
          <wp:anchor distT="0" distB="0" distL="114300" distR="114300" simplePos="0" relativeHeight="251660288" behindDoc="0" locked="0" layoutInCell="1" allowOverlap="1">
            <wp:simplePos x="0" y="0"/>
            <wp:positionH relativeFrom="page">
              <wp:posOffset>0</wp:posOffset>
            </wp:positionH>
            <wp:positionV relativeFrom="page">
              <wp:posOffset>0</wp:posOffset>
            </wp:positionV>
            <wp:extent cx="7557135" cy="10692130"/>
            <wp:effectExtent l="0" t="0" r="0" b="0"/>
            <wp:wrapNone/>
            <wp:docPr id="4" name="图片 2"/>
            <wp:cNvGraphicFramePr/>
            <a:graphic xmlns:a="http://schemas.openxmlformats.org/drawingml/2006/main">
              <a:graphicData uri="http://schemas.openxmlformats.org/drawingml/2006/picture">
                <pic:pic xmlns:pic="http://schemas.openxmlformats.org/drawingml/2006/picture">
                  <pic:nvPicPr>
                    <pic:cNvPr id="4" name="图片 2"/>
                    <pic:cNvPicPr/>
                  </pic:nvPicPr>
                  <pic:blipFill>
                    <a:blip r:embed="rId6"/>
                    <a:stretch>
                      <a:fillRect/>
                    </a:stretch>
                  </pic:blipFill>
                  <pic:spPr>
                    <a:xfrm>
                      <a:off x="0" y="0"/>
                      <a:ext cx="7557135" cy="10692130"/>
                    </a:xfrm>
                    <a:prstGeom prst="rect">
                      <a:avLst/>
                    </a:prstGeom>
                    <a:noFill/>
                    <a:ln>
                      <a:noFill/>
                    </a:ln>
                  </pic:spPr>
                </pic:pic>
              </a:graphicData>
            </a:graphic>
          </wp:anchor>
        </w:drawing>
      </w:r>
    </w:p>
    <w:p w14:paraId="697C1BAA">
      <w:r>
        <w:drawing>
          <wp:anchor distT="0" distB="0" distL="114300" distR="114300" simplePos="0" relativeHeight="251659264" behindDoc="0" locked="0" layoutInCell="1" allowOverlap="1">
            <wp:simplePos x="0" y="0"/>
            <wp:positionH relativeFrom="page">
              <wp:posOffset>0</wp:posOffset>
            </wp:positionH>
            <wp:positionV relativeFrom="page">
              <wp:posOffset>0</wp:posOffset>
            </wp:positionV>
            <wp:extent cx="7560310" cy="10683240"/>
            <wp:effectExtent l="0" t="0" r="0" b="0"/>
            <wp:wrapNone/>
            <wp:docPr id="3" name="图片 1"/>
            <wp:cNvGraphicFramePr/>
            <a:graphic xmlns:a="http://schemas.openxmlformats.org/drawingml/2006/main">
              <a:graphicData uri="http://schemas.openxmlformats.org/drawingml/2006/picture">
                <pic:pic xmlns:pic="http://schemas.openxmlformats.org/drawingml/2006/picture">
                  <pic:nvPicPr>
                    <pic:cNvPr id="3" name="图片 1"/>
                    <pic:cNvPicPr/>
                  </pic:nvPicPr>
                  <pic:blipFill>
                    <a:blip r:embed="rId7"/>
                    <a:stretch>
                      <a:fillRect/>
                    </a:stretch>
                  </pic:blipFill>
                  <pic:spPr>
                    <a:xfrm>
                      <a:off x="0" y="0"/>
                      <a:ext cx="7560310" cy="10683240"/>
                    </a:xfrm>
                    <a:prstGeom prst="rect">
                      <a:avLst/>
                    </a:prstGeom>
                    <a:noFill/>
                    <a:ln>
                      <a:noFill/>
                    </a:ln>
                  </pic:spPr>
                </pic:pic>
              </a:graphicData>
            </a:graphic>
          </wp:anchor>
        </w:drawing>
      </w:r>
    </w:p>
    <w:p w14:paraId="17629BF7">
      <w:pPr>
        <w:pStyle w:val="4"/>
        <w:spacing w:before="0" w:beforeAutospacing="0" w:after="0" w:afterAutospacing="0" w:line="360" w:lineRule="auto"/>
        <w:jc w:val="both"/>
        <w:rPr>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71C6"/>
    <w:rsid w:val="003760F2"/>
    <w:rsid w:val="004971C6"/>
    <w:rsid w:val="04B60D3D"/>
    <w:rsid w:val="315C542C"/>
    <w:rsid w:val="34C96E61"/>
    <w:rsid w:val="4B944ECA"/>
    <w:rsid w:val="511C1CCF"/>
    <w:rsid w:val="57767F2C"/>
    <w:rsid w:val="59196215"/>
    <w:rsid w:val="63FE7E55"/>
    <w:rsid w:val="66AB58DE"/>
    <w:rsid w:val="72374BF5"/>
    <w:rsid w:val="795A3068"/>
    <w:rsid w:val="796614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8"/>
    <w:unhideWhenUsed/>
    <w:qFormat/>
    <w:uiPriority w:val="9"/>
    <w:pPr>
      <w:keepNext/>
      <w:keepLines/>
      <w:spacing w:before="260" w:after="260" w:line="416" w:lineRule="auto"/>
      <w:outlineLvl w:val="2"/>
    </w:pPr>
    <w:rPr>
      <w:b/>
      <w:bCs/>
      <w:sz w:val="32"/>
      <w:szCs w:val="32"/>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7">
    <w:name w:val="Emphasis"/>
    <w:basedOn w:val="6"/>
    <w:qFormat/>
    <w:uiPriority w:val="20"/>
    <w:rPr>
      <w:i/>
      <w:iCs/>
    </w:rPr>
  </w:style>
  <w:style w:type="character" w:customStyle="1" w:styleId="8">
    <w:name w:val="标题 3 Char"/>
    <w:basedOn w:val="6"/>
    <w:link w:val="2"/>
    <w:qFormat/>
    <w:uiPriority w:val="9"/>
    <w:rPr>
      <w:b/>
      <w:bCs/>
      <w:sz w:val="32"/>
      <w:szCs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4.emf"/><Relationship Id="rId6" Type="http://schemas.openxmlformats.org/officeDocument/2006/relationships/image" Target="media/image3.emf"/><Relationship Id="rId5" Type="http://schemas.openxmlformats.org/officeDocument/2006/relationships/image" Target="media/image2.emf"/><Relationship Id="rId4" Type="http://schemas.openxmlformats.org/officeDocument/2006/relationships/image" Target="media/image1.emf"/><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7</Pages>
  <Words>386</Words>
  <Characters>2203</Characters>
  <Lines>18</Lines>
  <Paragraphs>5</Paragraphs>
  <TotalTime>0</TotalTime>
  <ScaleCrop>false</ScaleCrop>
  <LinksUpToDate>false</LinksUpToDate>
  <CharactersWithSpaces>2584</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2026-07-28T09:44:00Z</dcterms:created>
  <dc:creator>BSKMadminDev</dc:creator>
  <cp:lastModifiedBy>xiaolw1</cp:lastModifiedBy>
  <dcterms:modified xsi:type="dcterms:W3CDTF">2026-08-04T08:14:21Z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42D7C6334D4C424B8E0BC3CC93675C73</vt:lpwstr>
  </property>
</Properties>
</file>