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73BB2C6">
      <w:bookmarkStart w:id="0" w:name="_GoBack"/>
      <w:bookmarkEnd w:id="0"/>
    </w:p>
    <w:p w14:paraId="235563D1">
      <w:pPr>
        <w:jc w:val="center"/>
        <w:rPr>
          <w:rFonts w:hint="eastAsia" w:ascii="宋体" w:hAnsi="宋体" w:eastAsia="宋体"/>
          <w:b/>
          <w:sz w:val="30"/>
        </w:rPr>
      </w:pPr>
      <w:r>
        <w:rPr>
          <w:rFonts w:hint="eastAsia" w:ascii="宋体" w:hAnsi="宋体" w:eastAsia="宋体"/>
          <w:b/>
          <w:sz w:val="30"/>
        </w:rPr>
        <w:t>博时聚润纯债债券型证券投资基金恢复大额申购、转换转入、定期定额投资业务公告</w:t>
      </w:r>
    </w:p>
    <w:p w14:paraId="58C6975B">
      <w:pPr>
        <w:jc w:val="center"/>
        <w:rPr>
          <w:rFonts w:ascii="宋体" w:hAnsi="宋体" w:eastAsia="宋体"/>
          <w:b/>
          <w:sz w:val="24"/>
        </w:rPr>
      </w:pPr>
      <w:r>
        <w:rPr>
          <w:rFonts w:hint="eastAsia" w:ascii="宋体" w:hAnsi="宋体" w:eastAsia="宋体"/>
          <w:b/>
          <w:sz w:val="24"/>
        </w:rPr>
        <w:t>公告送出日期：</w:t>
      </w:r>
      <w:r>
        <w:rPr>
          <w:rFonts w:ascii="宋体" w:hAnsi="宋体" w:eastAsia="宋体"/>
          <w:b/>
          <w:sz w:val="24"/>
        </w:rPr>
        <w:t>2026年7月28日</w:t>
      </w:r>
    </w:p>
    <w:p w14:paraId="49EAAB39">
      <w:pPr>
        <w:jc w:val="center"/>
        <w:rPr>
          <w:rFonts w:ascii="宋体" w:hAnsi="宋体" w:eastAsia="宋体"/>
          <w:b/>
          <w:sz w:val="24"/>
        </w:rPr>
      </w:pPr>
    </w:p>
    <w:p w14:paraId="5B7D82EF">
      <w:pPr>
        <w:pStyle w:val="2"/>
        <w:rPr>
          <w:rFonts w:ascii="宋体" w:hAnsi="宋体" w:eastAsia="宋体"/>
          <w:sz w:val="24"/>
        </w:rPr>
      </w:pPr>
      <w:r>
        <w:rPr>
          <w:rFonts w:ascii="宋体" w:hAnsi="宋体" w:eastAsia="宋体"/>
          <w:sz w:val="24"/>
        </w:rPr>
        <w:t>1、公告基本信息</w:t>
      </w: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30"/>
        <w:gridCol w:w="2130"/>
        <w:gridCol w:w="2131"/>
        <w:gridCol w:w="2131"/>
      </w:tblGrid>
      <w:tr w14:paraId="443DE2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0" w:type="dxa"/>
            <w:gridSpan w:val="2"/>
            <w:vAlign w:val="center"/>
          </w:tcPr>
          <w:p w14:paraId="47174630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基金名称</w:t>
            </w:r>
          </w:p>
        </w:tc>
        <w:tc>
          <w:tcPr>
            <w:tcW w:w="4262" w:type="dxa"/>
            <w:gridSpan w:val="2"/>
            <w:vAlign w:val="center"/>
          </w:tcPr>
          <w:p w14:paraId="42E2E7B4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博时聚润纯债债券型证券投资基金</w:t>
            </w:r>
          </w:p>
        </w:tc>
      </w:tr>
      <w:tr w14:paraId="6AB631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0" w:type="dxa"/>
            <w:gridSpan w:val="2"/>
            <w:vAlign w:val="center"/>
          </w:tcPr>
          <w:p w14:paraId="3B673539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基金简称</w:t>
            </w:r>
          </w:p>
        </w:tc>
        <w:tc>
          <w:tcPr>
            <w:tcW w:w="4262" w:type="dxa"/>
            <w:gridSpan w:val="2"/>
            <w:vAlign w:val="center"/>
          </w:tcPr>
          <w:p w14:paraId="144FE6A8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博时聚润纯债债券</w:t>
            </w:r>
          </w:p>
        </w:tc>
      </w:tr>
      <w:tr w14:paraId="3C2380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0" w:type="dxa"/>
            <w:gridSpan w:val="2"/>
            <w:vAlign w:val="center"/>
          </w:tcPr>
          <w:p w14:paraId="75835F93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基金主代码</w:t>
            </w:r>
          </w:p>
        </w:tc>
        <w:tc>
          <w:tcPr>
            <w:tcW w:w="4262" w:type="dxa"/>
            <w:gridSpan w:val="2"/>
            <w:vAlign w:val="center"/>
          </w:tcPr>
          <w:p w14:paraId="08F58147">
            <w:pPr>
              <w:rPr>
                <w:rFonts w:ascii="宋体" w:hAnsi="宋体" w:eastAsia="宋体"/>
                <w:sz w:val="24"/>
              </w:rPr>
            </w:pPr>
            <w:r>
              <w:rPr>
                <w:rFonts w:ascii="宋体" w:hAnsi="宋体" w:eastAsia="宋体"/>
                <w:sz w:val="24"/>
              </w:rPr>
              <w:t>002930</w:t>
            </w:r>
          </w:p>
        </w:tc>
      </w:tr>
      <w:tr w14:paraId="5E965F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0" w:type="dxa"/>
            <w:gridSpan w:val="2"/>
            <w:vAlign w:val="center"/>
          </w:tcPr>
          <w:p w14:paraId="6A841B68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基金管理人名称</w:t>
            </w:r>
          </w:p>
        </w:tc>
        <w:tc>
          <w:tcPr>
            <w:tcW w:w="4262" w:type="dxa"/>
            <w:gridSpan w:val="2"/>
            <w:vAlign w:val="center"/>
          </w:tcPr>
          <w:p w14:paraId="78C08EE6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博时基金管理有限公司</w:t>
            </w:r>
          </w:p>
        </w:tc>
      </w:tr>
      <w:tr w14:paraId="21C3B4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0" w:type="dxa"/>
            <w:gridSpan w:val="2"/>
            <w:vAlign w:val="center"/>
          </w:tcPr>
          <w:p w14:paraId="52A66018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公告依据</w:t>
            </w:r>
          </w:p>
        </w:tc>
        <w:tc>
          <w:tcPr>
            <w:tcW w:w="4262" w:type="dxa"/>
            <w:gridSpan w:val="2"/>
            <w:vAlign w:val="center"/>
          </w:tcPr>
          <w:p w14:paraId="3E396AA3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根据有关法律法规及《博时聚润纯债债券型证券投资基金基金合同》、《博时聚润纯债债券型证券投资基金招募说明书》等的规定</w:t>
            </w:r>
          </w:p>
        </w:tc>
      </w:tr>
      <w:tr w14:paraId="1EDEBD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Merge w:val="restart"/>
            <w:vAlign w:val="center"/>
          </w:tcPr>
          <w:p w14:paraId="0EB1CE85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恢复相关业务的日期及原因说明</w:t>
            </w:r>
          </w:p>
        </w:tc>
        <w:tc>
          <w:tcPr>
            <w:tcW w:w="2130" w:type="dxa"/>
            <w:vAlign w:val="center"/>
          </w:tcPr>
          <w:p w14:paraId="26877D14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恢复大额申购起始日</w:t>
            </w:r>
          </w:p>
        </w:tc>
        <w:tc>
          <w:tcPr>
            <w:tcW w:w="4262" w:type="dxa"/>
            <w:gridSpan w:val="2"/>
            <w:vAlign w:val="center"/>
          </w:tcPr>
          <w:p w14:paraId="41AD2E7A">
            <w:pPr>
              <w:rPr>
                <w:rFonts w:ascii="宋体" w:hAnsi="宋体" w:eastAsia="宋体"/>
                <w:sz w:val="24"/>
              </w:rPr>
            </w:pPr>
            <w:r>
              <w:rPr>
                <w:rFonts w:ascii="宋体" w:hAnsi="宋体" w:eastAsia="宋体"/>
                <w:sz w:val="24"/>
              </w:rPr>
              <w:t>2026年7月29日</w:t>
            </w:r>
          </w:p>
        </w:tc>
      </w:tr>
      <w:tr w14:paraId="24E1BA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Merge w:val="continue"/>
            <w:vAlign w:val="center"/>
          </w:tcPr>
          <w:p w14:paraId="2C11A82C"/>
        </w:tc>
        <w:tc>
          <w:tcPr>
            <w:tcW w:w="2130" w:type="dxa"/>
            <w:vAlign w:val="center"/>
          </w:tcPr>
          <w:p w14:paraId="0A7B6CB3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恢复大额转换转入起始日</w:t>
            </w:r>
          </w:p>
        </w:tc>
        <w:tc>
          <w:tcPr>
            <w:tcW w:w="4262" w:type="dxa"/>
            <w:gridSpan w:val="2"/>
            <w:vAlign w:val="center"/>
          </w:tcPr>
          <w:p w14:paraId="76C32C2A">
            <w:pPr>
              <w:rPr>
                <w:rFonts w:ascii="宋体" w:hAnsi="宋体" w:eastAsia="宋体"/>
                <w:sz w:val="24"/>
              </w:rPr>
            </w:pPr>
            <w:r>
              <w:rPr>
                <w:rFonts w:ascii="宋体" w:hAnsi="宋体" w:eastAsia="宋体"/>
                <w:sz w:val="24"/>
              </w:rPr>
              <w:t>2026年7月29日</w:t>
            </w:r>
          </w:p>
        </w:tc>
      </w:tr>
      <w:tr w14:paraId="27471E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Merge w:val="continue"/>
            <w:vAlign w:val="center"/>
          </w:tcPr>
          <w:p w14:paraId="2FC4654B"/>
        </w:tc>
        <w:tc>
          <w:tcPr>
            <w:tcW w:w="2130" w:type="dxa"/>
            <w:vAlign w:val="center"/>
          </w:tcPr>
          <w:p w14:paraId="08E3DEBC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恢复大额定期定额投资起始日</w:t>
            </w:r>
          </w:p>
        </w:tc>
        <w:tc>
          <w:tcPr>
            <w:tcW w:w="4262" w:type="dxa"/>
            <w:gridSpan w:val="2"/>
            <w:vAlign w:val="center"/>
          </w:tcPr>
          <w:p w14:paraId="385A161C">
            <w:pPr>
              <w:rPr>
                <w:rFonts w:ascii="宋体" w:hAnsi="宋体" w:eastAsia="宋体"/>
                <w:sz w:val="24"/>
              </w:rPr>
            </w:pPr>
            <w:r>
              <w:rPr>
                <w:rFonts w:ascii="宋体" w:hAnsi="宋体" w:eastAsia="宋体"/>
                <w:sz w:val="24"/>
              </w:rPr>
              <w:t>2026年7月29日</w:t>
            </w:r>
          </w:p>
        </w:tc>
      </w:tr>
      <w:tr w14:paraId="45D055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Merge w:val="continue"/>
            <w:vAlign w:val="center"/>
          </w:tcPr>
          <w:p w14:paraId="2B557DCB"/>
        </w:tc>
        <w:tc>
          <w:tcPr>
            <w:tcW w:w="2130" w:type="dxa"/>
            <w:vAlign w:val="center"/>
          </w:tcPr>
          <w:p w14:paraId="478481C1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恢复大额申购、转换转入、定期定额投资的原因说明</w:t>
            </w:r>
          </w:p>
        </w:tc>
        <w:tc>
          <w:tcPr>
            <w:tcW w:w="4262" w:type="dxa"/>
            <w:gridSpan w:val="2"/>
            <w:vAlign w:val="center"/>
          </w:tcPr>
          <w:p w14:paraId="32650463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为满足广大投资者的投资需求</w:t>
            </w:r>
          </w:p>
        </w:tc>
      </w:tr>
      <w:tr w14:paraId="147707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0" w:type="dxa"/>
            <w:gridSpan w:val="2"/>
            <w:vAlign w:val="center"/>
          </w:tcPr>
          <w:p w14:paraId="6DEF9175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下属分级基金的基金简称</w:t>
            </w:r>
          </w:p>
        </w:tc>
        <w:tc>
          <w:tcPr>
            <w:tcW w:w="2131" w:type="dxa"/>
            <w:vAlign w:val="center"/>
          </w:tcPr>
          <w:p w14:paraId="644C0254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博时聚润纯债债券</w:t>
            </w:r>
            <w:r>
              <w:rPr>
                <w:rFonts w:ascii="宋体" w:hAnsi="宋体" w:eastAsia="宋体"/>
                <w:sz w:val="24"/>
              </w:rPr>
              <w:t>A</w:t>
            </w:r>
          </w:p>
        </w:tc>
        <w:tc>
          <w:tcPr>
            <w:tcW w:w="2131" w:type="dxa"/>
            <w:vAlign w:val="center"/>
          </w:tcPr>
          <w:p w14:paraId="3D36ED8D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博时聚润纯债债券</w:t>
            </w:r>
            <w:r>
              <w:rPr>
                <w:rFonts w:ascii="宋体" w:hAnsi="宋体" w:eastAsia="宋体"/>
                <w:sz w:val="24"/>
              </w:rPr>
              <w:t>C</w:t>
            </w:r>
          </w:p>
        </w:tc>
      </w:tr>
      <w:tr w14:paraId="4D8A1E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0" w:type="dxa"/>
            <w:gridSpan w:val="2"/>
            <w:vAlign w:val="center"/>
          </w:tcPr>
          <w:p w14:paraId="7FD0283D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下属分级基金的交易代码</w:t>
            </w:r>
          </w:p>
        </w:tc>
        <w:tc>
          <w:tcPr>
            <w:tcW w:w="2131" w:type="dxa"/>
            <w:vAlign w:val="center"/>
          </w:tcPr>
          <w:p w14:paraId="54D14AA3">
            <w:pPr>
              <w:rPr>
                <w:rFonts w:ascii="宋体" w:hAnsi="宋体" w:eastAsia="宋体"/>
                <w:sz w:val="24"/>
              </w:rPr>
            </w:pPr>
            <w:r>
              <w:rPr>
                <w:rFonts w:ascii="宋体" w:hAnsi="宋体" w:eastAsia="宋体"/>
                <w:sz w:val="24"/>
              </w:rPr>
              <w:t>002930</w:t>
            </w:r>
          </w:p>
        </w:tc>
        <w:tc>
          <w:tcPr>
            <w:tcW w:w="2131" w:type="dxa"/>
            <w:vAlign w:val="center"/>
          </w:tcPr>
          <w:p w14:paraId="0B3EC612">
            <w:pPr>
              <w:rPr>
                <w:rFonts w:ascii="宋体" w:hAnsi="宋体" w:eastAsia="宋体"/>
                <w:sz w:val="24"/>
              </w:rPr>
            </w:pPr>
            <w:r>
              <w:rPr>
                <w:rFonts w:ascii="宋体" w:hAnsi="宋体" w:eastAsia="宋体"/>
                <w:sz w:val="24"/>
              </w:rPr>
              <w:t>020960</w:t>
            </w:r>
          </w:p>
        </w:tc>
      </w:tr>
      <w:tr w14:paraId="3CCACD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0" w:type="dxa"/>
            <w:gridSpan w:val="2"/>
            <w:vAlign w:val="center"/>
          </w:tcPr>
          <w:p w14:paraId="33324F77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该分级基金是否恢复大额申购、转换转入、定期定额投资</w:t>
            </w:r>
          </w:p>
        </w:tc>
        <w:tc>
          <w:tcPr>
            <w:tcW w:w="2131" w:type="dxa"/>
            <w:vAlign w:val="center"/>
          </w:tcPr>
          <w:p w14:paraId="131ADE90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是</w:t>
            </w:r>
          </w:p>
        </w:tc>
        <w:tc>
          <w:tcPr>
            <w:tcW w:w="2131" w:type="dxa"/>
            <w:vAlign w:val="center"/>
          </w:tcPr>
          <w:p w14:paraId="5BB50B0C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是</w:t>
            </w:r>
          </w:p>
        </w:tc>
      </w:tr>
    </w:tbl>
    <w:p w14:paraId="0D57A81D"/>
    <w:p w14:paraId="2DEF415F">
      <w:pPr>
        <w:pStyle w:val="2"/>
        <w:rPr>
          <w:rFonts w:hint="eastAsia" w:ascii="宋体" w:hAnsi="宋体" w:eastAsia="宋体"/>
          <w:sz w:val="24"/>
        </w:rPr>
      </w:pPr>
      <w:r>
        <w:rPr>
          <w:rFonts w:hint="eastAsia" w:ascii="宋体" w:hAnsi="宋体" w:eastAsia="宋体"/>
          <w:sz w:val="24"/>
        </w:rPr>
        <w:t>2、其他需要提示的事项</w:t>
      </w:r>
    </w:p>
    <w:p w14:paraId="57F8C0E5">
      <w:pPr>
        <w:pStyle w:val="3"/>
        <w:spacing w:before="0" w:beforeAutospacing="0" w:after="0" w:afterAutospacing="0" w:line="360" w:lineRule="auto"/>
        <w:ind w:firstLine="420"/>
      </w:pPr>
      <w:r>
        <w:rPr>
          <w:rFonts w:hint="eastAsia"/>
        </w:rPr>
        <w:t xml:space="preserve">（1）自2026年7月29日起，本基金恢复办理大额申购、转换转入、定期定额投资业务。 </w:t>
      </w:r>
    </w:p>
    <w:p w14:paraId="1B6E58FE">
      <w:pPr>
        <w:pStyle w:val="3"/>
        <w:spacing w:before="0" w:beforeAutospacing="0" w:after="0" w:afterAutospacing="0" w:line="360" w:lineRule="auto"/>
        <w:ind w:firstLine="420"/>
        <w:rPr>
          <w:rFonts w:hint="eastAsia"/>
        </w:rPr>
      </w:pPr>
      <w:r>
        <w:rPr>
          <w:rFonts w:hint="eastAsia"/>
        </w:rPr>
        <w:t xml:space="preserve">（2）如有疑问，请拨打博时一线通：95105568（免长途话费）或登录本公司网站https://www.bosera.com获取相关信息。 </w:t>
      </w:r>
    </w:p>
    <w:p w14:paraId="15A685F4">
      <w:pPr>
        <w:pStyle w:val="3"/>
        <w:spacing w:before="0" w:beforeAutospacing="0" w:after="0" w:afterAutospacing="0" w:line="360" w:lineRule="auto"/>
        <w:ind w:firstLine="420"/>
        <w:rPr>
          <w:rFonts w:hint="eastAsia"/>
        </w:rPr>
      </w:pPr>
      <w:r>
        <w:rPr>
          <w:rFonts w:hint="eastAsia"/>
        </w:rPr>
        <w:t xml:space="preserve">（3）风险提示：本基金管理人承诺诚实信用地管理和运用基金财产，但不保证基金一定盈利，也不保证最低收益。基金的过往业绩并不代表其未来表现。投资有风险，敬请投资人认真阅读基金的相关法律文件，并选择适合自身风险承受能力的投资品种进行投资。 </w:t>
      </w:r>
    </w:p>
    <w:p w14:paraId="1B7F69F6">
      <w:pPr>
        <w:pStyle w:val="3"/>
        <w:spacing w:before="0" w:beforeAutospacing="0" w:after="0" w:afterAutospacing="0" w:line="360" w:lineRule="auto"/>
        <w:ind w:firstLine="420"/>
        <w:rPr>
          <w:rFonts w:hint="eastAsia"/>
        </w:rPr>
      </w:pPr>
      <w:r>
        <w:rPr>
          <w:rFonts w:hint="eastAsia"/>
        </w:rPr>
        <w:t xml:space="preserve">特此公告。 </w:t>
      </w:r>
    </w:p>
    <w:p w14:paraId="25526399">
      <w:pPr>
        <w:pStyle w:val="3"/>
        <w:spacing w:before="0" w:beforeAutospacing="0" w:after="0" w:afterAutospacing="0" w:line="360" w:lineRule="auto"/>
        <w:ind w:firstLine="420"/>
      </w:pPr>
    </w:p>
    <w:p w14:paraId="75DD559B">
      <w:pPr>
        <w:pStyle w:val="3"/>
        <w:spacing w:before="0" w:beforeAutospacing="0" w:after="0" w:afterAutospacing="0" w:line="360" w:lineRule="auto"/>
        <w:ind w:firstLine="420"/>
      </w:pPr>
    </w:p>
    <w:p w14:paraId="51A5E08C">
      <w:pPr>
        <w:pStyle w:val="3"/>
        <w:spacing w:before="0" w:beforeAutospacing="0" w:after="0" w:afterAutospacing="0" w:line="360" w:lineRule="auto"/>
        <w:ind w:firstLine="420"/>
      </w:pPr>
    </w:p>
    <w:p w14:paraId="01011EA9">
      <w:pPr>
        <w:pStyle w:val="3"/>
        <w:spacing w:before="0" w:beforeAutospacing="0" w:after="0" w:afterAutospacing="0" w:line="360" w:lineRule="auto"/>
        <w:ind w:firstLine="420"/>
        <w:jc w:val="right"/>
        <w:rPr>
          <w:rFonts w:hint="eastAsia"/>
        </w:rPr>
      </w:pPr>
      <w:r>
        <w:rPr>
          <w:rFonts w:hint="eastAsia"/>
        </w:rPr>
        <w:t>博时基金管理有限公司</w:t>
      </w:r>
    </w:p>
    <w:p w14:paraId="621FAECB">
      <w:pPr>
        <w:pStyle w:val="3"/>
        <w:spacing w:before="0" w:beforeAutospacing="0" w:after="0" w:afterAutospacing="0" w:line="360" w:lineRule="auto"/>
        <w:ind w:firstLine="420"/>
        <w:jc w:val="right"/>
      </w:pPr>
      <w:r>
        <w:t>2026年7月28日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46AA"/>
    <w:rsid w:val="007046AA"/>
    <w:rsid w:val="00A61682"/>
    <w:rsid w:val="7D984F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3"/>
    <w:basedOn w:val="1"/>
    <w:next w:val="1"/>
    <w:link w:val="7"/>
    <w:unhideWhenUsed/>
    <w:qFormat/>
    <w:uiPriority w:val="9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6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unhideWhenUsed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table" w:styleId="5">
    <w:name w:val="Table Grid"/>
    <w:basedOn w:val="4"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7">
    <w:name w:val="标题 3 Char"/>
    <w:basedOn w:val="6"/>
    <w:link w:val="2"/>
    <w:uiPriority w:val="9"/>
    <w:rPr>
      <w:b/>
      <w:bCs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mycompany</Company>
  <Pages>2</Pages>
  <Words>104</Words>
  <Characters>596</Characters>
  <Lines>4</Lines>
  <Paragraphs>1</Paragraphs>
  <TotalTime>0</TotalTime>
  <ScaleCrop>false</ScaleCrop>
  <LinksUpToDate>false</LinksUpToDate>
  <CharactersWithSpaces>699</CharactersWithSpaces>
  <Application>WPS Office_12.8.2.19795_F1E327BC-269C-435d-A152-05C5408002CA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2026-07-27T01:04:00Z</dcterms:created>
  <dc:creator>BSKMadminDev</dc:creator>
  <cp:lastModifiedBy>panan</cp:lastModifiedBy>
  <dcterms:modified xsi:type="dcterms:W3CDTF">2026-07-27T01:05:13Z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2052-12.8.2.19795</vt:lpwstr>
  </property>
  <property fmtid="{D5CDD505-2E9C-101B-9397-08002B2CF9AE}" pid="3" name="ICV">
    <vt:lpwstr>7C5E08D3F57D49A59D065D47DAD26DBA_13</vt:lpwstr>
  </property>
</Properties>
</file>