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spacing w:line="360" w:lineRule="auto"/>
        <w:jc w:val="center"/>
        <w:rPr>
          <w:rFonts w:eastAsia="黑体"/>
          <w:sz w:val="44"/>
        </w:rPr>
      </w:pPr>
      <w:bookmarkStart w:id="0" w:name="_Toc360786949"/>
      <w:bookmarkStart w:id="1" w:name="_Toc360195350"/>
      <w:bookmarkStart w:id="2" w:name="_Toc360794402"/>
      <w:bookmarkStart w:id="3" w:name="_Toc360191555"/>
      <w:bookmarkStart w:id="4" w:name="_Toc360793492"/>
      <w:bookmarkStart w:id="5" w:name="_Toc360195006"/>
      <w:bookmarkStart w:id="6" w:name="_Toc360192746"/>
      <w:bookmarkStart w:id="7" w:name="_Toc360194761"/>
      <w:bookmarkStart w:id="8" w:name="_Toc360794094"/>
      <w:bookmarkStart w:id="9" w:name="_Toc360787431"/>
    </w:p>
    <w:p>
      <w:pPr>
        <w:spacing w:line="360" w:lineRule="auto"/>
        <w:jc w:val="center"/>
        <w:rPr>
          <w:rFonts w:eastAsia="黑体"/>
          <w:sz w:val="44"/>
        </w:rPr>
      </w:pPr>
    </w:p>
    <w:p>
      <w:pPr>
        <w:spacing w:line="360" w:lineRule="auto"/>
        <w:jc w:val="center"/>
        <w:rPr>
          <w:rFonts w:eastAsia="黑体"/>
          <w:sz w:val="44"/>
        </w:rPr>
      </w:pPr>
    </w:p>
    <w:p>
      <w:pPr>
        <w:spacing w:line="360" w:lineRule="auto"/>
        <w:jc w:val="center"/>
        <w:rPr>
          <w:rFonts w:eastAsia="黑体"/>
          <w:sz w:val="44"/>
        </w:rPr>
      </w:pPr>
    </w:p>
    <w:p>
      <w:pPr>
        <w:spacing w:line="360" w:lineRule="auto"/>
        <w:jc w:val="center"/>
        <w:rPr>
          <w:rFonts w:eastAsia="黑体"/>
          <w:sz w:val="44"/>
        </w:rPr>
      </w:pPr>
    </w:p>
    <w:p>
      <w:pPr>
        <w:spacing w:line="360" w:lineRule="auto"/>
        <w:jc w:val="center"/>
        <w:rPr>
          <w:rFonts w:ascii="宋体" w:hAnsi="宋体"/>
          <w:b/>
          <w:sz w:val="44"/>
        </w:rPr>
      </w:pPr>
      <w:bookmarkStart w:id="10" w:name="_Toc375295971"/>
      <w:r>
        <w:rPr>
          <w:rFonts w:hint="eastAsia" w:ascii="宋体" w:hAnsi="宋体"/>
          <w:b/>
          <w:sz w:val="44"/>
        </w:rPr>
        <w:t>博时国证粮食产业指数型发起式证券投资基金招募说明书</w:t>
      </w:r>
      <w:bookmarkEnd w:id="0"/>
      <w:bookmarkEnd w:id="1"/>
      <w:bookmarkEnd w:id="2"/>
      <w:bookmarkEnd w:id="3"/>
      <w:bookmarkEnd w:id="4"/>
      <w:bookmarkEnd w:id="5"/>
      <w:bookmarkEnd w:id="6"/>
      <w:bookmarkEnd w:id="7"/>
      <w:bookmarkEnd w:id="8"/>
      <w:bookmarkEnd w:id="9"/>
      <w:bookmarkEnd w:id="10"/>
    </w:p>
    <w:p>
      <w:pPr>
        <w:spacing w:line="360" w:lineRule="auto"/>
        <w:jc w:val="center"/>
        <w:rPr>
          <w:rFonts w:ascii="宋体" w:hAnsi="宋体"/>
          <w:b/>
          <w:sz w:val="44"/>
        </w:rPr>
      </w:pPr>
    </w:p>
    <w:p>
      <w:pPr>
        <w:spacing w:line="360" w:lineRule="auto"/>
        <w:rPr>
          <w:rFonts w:ascii="宋体" w:hAnsi="宋体"/>
          <w:b/>
          <w:sz w:val="44"/>
        </w:rPr>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tabs>
          <w:tab w:val="left" w:pos="540"/>
        </w:tabs>
        <w:adjustRightInd w:val="0"/>
        <w:snapToGrid w:val="0"/>
        <w:spacing w:line="360" w:lineRule="auto"/>
        <w:ind w:firstLine="600" w:firstLineChars="200"/>
        <w:jc w:val="center"/>
        <w:rPr>
          <w:rFonts w:ascii="仿宋_GB2312" w:hAnsi="宋体" w:eastAsia="仿宋_GB2312" w:cs="Arial"/>
          <w:sz w:val="30"/>
          <w:szCs w:val="30"/>
        </w:rPr>
      </w:pPr>
    </w:p>
    <w:p>
      <w:pPr>
        <w:tabs>
          <w:tab w:val="left" w:pos="540"/>
        </w:tabs>
        <w:adjustRightInd w:val="0"/>
        <w:snapToGrid w:val="0"/>
        <w:spacing w:line="360" w:lineRule="auto"/>
        <w:jc w:val="center"/>
        <w:rPr>
          <w:rFonts w:ascii="宋体" w:hAnsi="宋体" w:cs="Arial"/>
          <w:b/>
          <w:sz w:val="30"/>
          <w:szCs w:val="30"/>
        </w:rPr>
      </w:pPr>
      <w:r>
        <w:rPr>
          <w:rFonts w:hint="eastAsia" w:ascii="宋体" w:hAnsi="宋体" w:cs="Arial"/>
          <w:b/>
          <w:sz w:val="30"/>
          <w:szCs w:val="30"/>
        </w:rPr>
        <w:t>基金管理人：博时基金管理有限公司</w:t>
      </w:r>
    </w:p>
    <w:p>
      <w:pPr>
        <w:tabs>
          <w:tab w:val="left" w:pos="540"/>
        </w:tabs>
        <w:adjustRightInd w:val="0"/>
        <w:snapToGrid w:val="0"/>
        <w:spacing w:line="360" w:lineRule="auto"/>
        <w:jc w:val="center"/>
        <w:rPr>
          <w:rFonts w:ascii="宋体" w:hAnsi="宋体" w:cs="Arial"/>
          <w:b/>
          <w:sz w:val="30"/>
          <w:szCs w:val="30"/>
        </w:rPr>
      </w:pPr>
      <w:r>
        <w:rPr>
          <w:rFonts w:hint="eastAsia" w:ascii="宋体" w:hAnsi="宋体" w:cs="Arial"/>
          <w:b/>
          <w:sz w:val="30"/>
          <w:szCs w:val="30"/>
        </w:rPr>
        <w:t>基金托管人：兴业银行股份有限公司</w:t>
      </w:r>
    </w:p>
    <w:p>
      <w:pPr>
        <w:pStyle w:val="35"/>
        <w:snapToGrid w:val="0"/>
        <w:spacing w:line="360" w:lineRule="auto"/>
        <w:ind w:firstLine="0"/>
        <w:rPr>
          <w:rFonts w:hint="default" w:ascii="Times New Roman"/>
          <w:sz w:val="21"/>
        </w:rPr>
      </w:pPr>
    </w:p>
    <w:p>
      <w:pPr>
        <w:snapToGrid w:val="0"/>
        <w:spacing w:line="360" w:lineRule="auto"/>
        <w:jc w:val="center"/>
        <w:rPr>
          <w:sz w:val="30"/>
        </w:rPr>
      </w:pPr>
      <w:r>
        <w:rPr>
          <w:sz w:val="30"/>
        </w:rPr>
        <w:br w:type="page"/>
      </w:r>
    </w:p>
    <w:p>
      <w:pPr>
        <w:pStyle w:val="3"/>
        <w:numPr>
          <w:ilvl w:val="0"/>
          <w:numId w:val="0"/>
        </w:numPr>
        <w:snapToGrid w:val="0"/>
        <w:spacing w:before="0" w:after="0" w:line="360" w:lineRule="auto"/>
        <w:ind w:left="420"/>
        <w:jc w:val="center"/>
      </w:pPr>
      <w:bookmarkStart w:id="11" w:name="_Toc13393"/>
      <w:bookmarkStart w:id="12" w:name="_Toc92740283"/>
      <w:bookmarkStart w:id="13" w:name="_Toc30960"/>
      <w:r>
        <w:rPr>
          <w:rFonts w:hint="eastAsia"/>
        </w:rPr>
        <w:t>重要提示</w:t>
      </w:r>
      <w:bookmarkEnd w:id="11"/>
      <w:bookmarkEnd w:id="12"/>
      <w:bookmarkEnd w:id="13"/>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本基金经中国证券监督管理委员会（以下简称“中国证监会”）202</w:t>
      </w:r>
      <w:r>
        <w:rPr>
          <w:rFonts w:hint="eastAsia" w:ascii="宋体" w:hAnsi="宋体" w:cs="宋体"/>
          <w:szCs w:val="21"/>
          <w:lang w:val="en-US" w:eastAsia="zh-CN"/>
        </w:rPr>
        <w:t>4</w:t>
      </w:r>
      <w:r>
        <w:rPr>
          <w:rFonts w:hint="eastAsia" w:ascii="宋体" w:hAnsi="宋体" w:cs="宋体"/>
          <w:szCs w:val="21"/>
        </w:rPr>
        <w:t>年</w:t>
      </w:r>
      <w:r>
        <w:rPr>
          <w:rFonts w:hint="eastAsia" w:ascii="宋体" w:hAnsi="宋体" w:cs="宋体"/>
          <w:szCs w:val="21"/>
          <w:lang w:val="en-US" w:eastAsia="zh-CN"/>
        </w:rPr>
        <w:t>1</w:t>
      </w:r>
      <w:r>
        <w:rPr>
          <w:rFonts w:hint="eastAsia" w:ascii="宋体" w:hAnsi="宋体" w:cs="宋体"/>
          <w:szCs w:val="21"/>
        </w:rPr>
        <w:t>月</w:t>
      </w:r>
      <w:r>
        <w:rPr>
          <w:rFonts w:hint="eastAsia" w:ascii="宋体" w:hAnsi="宋体" w:cs="宋体"/>
          <w:szCs w:val="21"/>
          <w:lang w:val="en-US" w:eastAsia="zh-CN"/>
        </w:rPr>
        <w:t>12</w:t>
      </w:r>
      <w:r>
        <w:rPr>
          <w:rFonts w:hint="eastAsia" w:ascii="宋体" w:hAnsi="宋体" w:cs="宋体"/>
          <w:szCs w:val="21"/>
        </w:rPr>
        <w:t>日</w:t>
      </w:r>
      <w:r>
        <w:rPr>
          <w:rFonts w:hint="eastAsia" w:ascii="宋体" w:hAnsi="宋体" w:cs="宋体"/>
          <w:kern w:val="0"/>
          <w:szCs w:val="21"/>
        </w:rPr>
        <w:t>证监许可</w:t>
      </w:r>
      <w:r>
        <w:rPr>
          <w:rFonts w:hint="eastAsia" w:ascii="宋体" w:hAnsi="宋体" w:cs="宋体"/>
          <w:kern w:val="0"/>
          <w:szCs w:val="21"/>
          <w:lang w:eastAsia="zh-CN"/>
        </w:rPr>
        <w:t>【</w:t>
      </w:r>
      <w:r>
        <w:rPr>
          <w:rFonts w:hint="eastAsia" w:ascii="宋体" w:hAnsi="宋体" w:cs="宋体"/>
          <w:kern w:val="0"/>
          <w:szCs w:val="21"/>
          <w:lang w:val="en-US" w:eastAsia="zh-CN"/>
        </w:rPr>
        <w:t>2024</w:t>
      </w:r>
      <w:r>
        <w:rPr>
          <w:rFonts w:hint="eastAsia" w:ascii="宋体" w:hAnsi="宋体" w:cs="宋体"/>
          <w:kern w:val="0"/>
          <w:szCs w:val="21"/>
          <w:lang w:eastAsia="zh-CN"/>
        </w:rPr>
        <w:t>】</w:t>
      </w:r>
      <w:r>
        <w:rPr>
          <w:rFonts w:hint="eastAsia" w:ascii="宋体" w:hAnsi="宋体" w:cs="宋体"/>
          <w:kern w:val="0"/>
          <w:szCs w:val="21"/>
          <w:lang w:val="en-US" w:eastAsia="zh-CN"/>
        </w:rPr>
        <w:t>70</w:t>
      </w:r>
      <w:r>
        <w:rPr>
          <w:rFonts w:hint="eastAsia" w:ascii="宋体" w:hAnsi="宋体" w:cs="宋体"/>
          <w:kern w:val="0"/>
          <w:szCs w:val="21"/>
        </w:rPr>
        <w:t>号</w:t>
      </w:r>
      <w:r>
        <w:rPr>
          <w:rFonts w:hint="eastAsia" w:ascii="宋体" w:hAnsi="宋体" w:cs="宋体"/>
          <w:szCs w:val="21"/>
        </w:rPr>
        <w:t>文注册募集。基金管理人保证招募说明书的内容真实、准确、完整。本招募说明书经中国证监会注册，但中国证监会对本基金募集的注册，并不表明其对本基金的投资价值、市场前景和收益做出实质性判断或保证，也不表明投资于本基金没有风险。</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本基金投资于证券市场，基金净值会因为证券市场波动等因素产生波动，投资人在投资本基金前，应全面了解本基金的产品特性，充分考虑自身的风险承受能力，并承担基金投资中出现的各类风险，包括：因政治、经济、社会等环境因素对证券价格产生影响而形成的系统性风险，个别证券特有的非系统性风险，由于基金投资人连续大量赎回基金产生的流动性风险，基金管理人在基金管理实施过程中产生的基金管理风险，本基金的特定风险等。</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本基金属于股票型基金，其预期收益及预期风险水平高于混合型基金、债券型基金与货币市场基金。本基金为被动式投资的股票型指数基金，跟踪国证粮食产业指数，其风险收益特征与标的指数所表征的市场组合的风险收益特征相似。本基金如果投资港股通标的股票，需承担汇率风险以及境外市场的风险。</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本基金为指数基金，投资者投资于本基金面临跟踪误差控制未达约定目标、指数编制机构停止服务、成份股停牌或退市等潜在风险，具体风险详见本招募说明书“风险揭示”部分。</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本基金的标的指数为国证粮食产业指数，编制方案如下：</w:t>
      </w:r>
    </w:p>
    <w:p>
      <w:pPr>
        <w:numPr>
          <w:ilvl w:val="255"/>
          <w:numId w:val="0"/>
        </w:numPr>
        <w:snapToGrid w:val="0"/>
        <w:spacing w:line="360" w:lineRule="auto"/>
        <w:ind w:firstLine="420" w:firstLineChars="200"/>
        <w:rPr>
          <w:rFonts w:ascii="宋体" w:hAnsi="宋体" w:cs="宋体"/>
          <w:szCs w:val="21"/>
        </w:rPr>
      </w:pPr>
      <w:bookmarkStart w:id="14" w:name="_Hlk114650018"/>
      <w:r>
        <w:rPr>
          <w:rFonts w:hint="eastAsia" w:ascii="宋体" w:hAnsi="宋体" w:cs="宋体"/>
          <w:szCs w:val="21"/>
        </w:rPr>
        <w:t>（1）代码与名称</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指数名称：国证粮食产业指数</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指数简称：国证粮食</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英文名称：CNI Grain Industry Index</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英文简称：CNI Grain</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指数代码：399365</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（2）选样空间</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满足下列条件的A股和红筹企业发行的存托凭证：</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1.非ST、*ST证券；</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2.科创板证券、北交所证券上市时间超过1年；其他证券上市时间超过6个月；</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3.公司最近一年无重大违规、财务报告无重大问题；</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4.公司最近一年经营无异常、无重大亏损；</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5.考察期内证券价格无异常波动；</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6.公司业务范畴属于粮食产业，包括农资产品（种子、化肥、农药、农业机械）、粮食种植、农田水利、粮油加工及产品贸易等领域。</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（3）选样方法</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首先，计算入围选样空间证券在最近半年的日均成交金额和日均总市值；</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其次，剔除选样空间内最近半年的日均成交金额排名位于后20%的证券；</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然后，对选样空间剩余证券按照最近半年的日均总市值从高到低排序，选取前50名证券作为指数样本。</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（4）指数计算</w:t>
      </w:r>
    </w:p>
    <w:p>
      <w:pPr>
        <w:numPr>
          <w:ilvl w:val="255"/>
          <w:numId w:val="0"/>
        </w:numPr>
        <w:snapToGrid w:val="0"/>
        <w:spacing w:line="360" w:lineRule="auto"/>
        <w:ind w:firstLine="420" w:firstLineChars="200"/>
        <w:rPr>
          <w:rFonts w:ascii="宋体" w:hAnsi="宋体" w:cs="宋体"/>
          <w:szCs w:val="21"/>
        </w:rPr>
      </w:pPr>
      <w:r>
        <w:rPr>
          <w:rFonts w:ascii="宋体" w:hAnsi="宋体" w:cs="宋体"/>
          <w:szCs w:val="21"/>
        </w:rPr>
        <w:t>指数采用派氏加权法，依据下列公式逐日连锁实时计算：</w:t>
      </w:r>
    </w:p>
    <w:p>
      <w:pPr>
        <w:numPr>
          <w:ilvl w:val="255"/>
          <w:numId w:val="0"/>
        </w:numPr>
        <w:snapToGrid w:val="0"/>
        <w:spacing w:line="360" w:lineRule="auto"/>
        <w:ind w:firstLine="420" w:firstLineChars="200"/>
        <w:rPr>
          <w:rFonts w:ascii="宋体" w:hAnsi="宋体" w:cs="宋体"/>
          <w:szCs w:val="21"/>
        </w:rPr>
      </w:pPr>
      <w:r>
        <w:rPr>
          <w:rFonts w:ascii="宋体" w:hAnsi="宋体" w:cs="宋体"/>
          <w:szCs w:val="21"/>
        </w:rPr>
        <w:t>实时指数=上一交易日收市指数×Σ(样本实时成交价×样本权数×权重调整因子)</w:t>
      </w:r>
      <w:r>
        <w:rPr>
          <w:rFonts w:hint="eastAsia" w:ascii="宋体" w:hAnsi="宋体" w:cs="宋体"/>
          <w:szCs w:val="21"/>
        </w:rPr>
        <w:t>/Σ(样本上一交易日收市价×样本权数×权重调整因子）</w:t>
      </w:r>
    </w:p>
    <w:p>
      <w:pPr>
        <w:numPr>
          <w:ilvl w:val="255"/>
          <w:numId w:val="0"/>
        </w:numPr>
        <w:snapToGrid w:val="0"/>
        <w:spacing w:line="360" w:lineRule="auto"/>
        <w:ind w:firstLine="420" w:firstLineChars="200"/>
        <w:rPr>
          <w:rFonts w:ascii="宋体" w:hAnsi="宋体" w:cs="宋体"/>
          <w:szCs w:val="21"/>
        </w:rPr>
      </w:pPr>
      <w:r>
        <w:rPr>
          <w:rFonts w:ascii="宋体" w:hAnsi="宋体" w:cs="宋体"/>
          <w:szCs w:val="21"/>
        </w:rPr>
        <w:t>在指数计算中，设置权重调整因子，基于样本公司的主营业务类型将样本分为两档，种子和粮食种植领域对应样本的自由流通市值调整系数为1，权重上限为15%；其他领域对应样本的自由流通市值调整系数为0.5，权重上限为5%。同时，前五大权重样本合计权重不超过60%。</w:t>
      </w:r>
    </w:p>
    <w:p>
      <w:pPr>
        <w:numPr>
          <w:ilvl w:val="255"/>
          <w:numId w:val="0"/>
        </w:numPr>
        <w:snapToGrid w:val="0"/>
        <w:spacing w:line="360" w:lineRule="auto"/>
        <w:ind w:firstLine="420" w:firstLineChars="200"/>
        <w:rPr>
          <w:rFonts w:ascii="宋体" w:hAnsi="宋体" w:cs="宋体"/>
          <w:szCs w:val="21"/>
        </w:rPr>
      </w:pPr>
      <w:r>
        <w:rPr>
          <w:rFonts w:ascii="宋体" w:hAnsi="宋体" w:cs="宋体"/>
          <w:szCs w:val="21"/>
        </w:rPr>
        <w:t>有关标的指数具体编制方案及成份股信息详见深圳证券信息有限公司官方网站，网址：http://www.cnindex.com.cn。</w:t>
      </w:r>
    </w:p>
    <w:bookmarkEnd w:id="14"/>
    <w:p>
      <w:pPr>
        <w:numPr>
          <w:ilvl w:val="0"/>
          <w:numId w:val="0"/>
        </w:numPr>
        <w:snapToGrid w:val="0"/>
        <w:spacing w:line="360" w:lineRule="auto"/>
        <w:ind w:firstLine="420" w:firstLineChars="0"/>
        <w:rPr>
          <w:rFonts w:ascii="宋体" w:hAnsi="宋体" w:cs="宋体"/>
          <w:szCs w:val="21"/>
        </w:rPr>
      </w:pPr>
      <w:r>
        <w:rPr>
          <w:rFonts w:hint="eastAsia" w:ascii="宋体" w:hAnsi="宋体" w:cs="宋体"/>
          <w:szCs w:val="21"/>
        </w:rPr>
        <w:t>本基金主要投资于标的指数成份股和备选成份股（含存托凭证）。为更好地实现基金的投资目标，本基金可能会少量投资于成分股以外具有良好流动性的金融工具，包括国内依法发行上市的股票、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w:t>
      </w:r>
    </w:p>
    <w:p>
      <w:pPr>
        <w:numPr>
          <w:ilvl w:val="0"/>
          <w:numId w:val="0"/>
        </w:numPr>
        <w:snapToGrid w:val="0"/>
        <w:spacing w:line="360" w:lineRule="auto"/>
        <w:ind w:firstLine="420" w:firstLineChars="0"/>
        <w:rPr>
          <w:rFonts w:ascii="宋体" w:hAnsi="宋体" w:cs="宋体"/>
          <w:szCs w:val="21"/>
        </w:rPr>
      </w:pPr>
      <w:r>
        <w:rPr>
          <w:rFonts w:hint="eastAsia" w:ascii="宋体" w:hAnsi="宋体" w:cs="宋体"/>
          <w:szCs w:val="21"/>
        </w:rPr>
        <w:t>本基金可投资港股通标的股票，若本基金资产投资于港股通标的股票，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w:t>
      </w:r>
      <w:r>
        <w:rPr>
          <w:rFonts w:ascii="宋体" w:hAnsi="宋体" w:cs="宋体"/>
          <w:szCs w:val="21"/>
        </w:rPr>
        <w:t>不连贯可能带来</w:t>
      </w:r>
      <w:r>
        <w:rPr>
          <w:rFonts w:hint="eastAsia" w:ascii="宋体" w:hAnsi="宋体" w:cs="宋体"/>
          <w:szCs w:val="21"/>
        </w:rPr>
        <w:t>的风险（在内地开市香港休市的情形下，港股通不能正常交易，港股不能及时卖出，可能带来一定的流动性风险）等。因此本基金可能会选择将部分基金资产投资于港股通标的股票，但基金资产并非必然投资港股通标的股票。</w:t>
      </w:r>
    </w:p>
    <w:p>
      <w:pPr>
        <w:numPr>
          <w:ilvl w:val="255"/>
          <w:numId w:val="0"/>
        </w:numPr>
        <w:snapToGrid w:val="0"/>
        <w:spacing w:line="360" w:lineRule="auto"/>
        <w:ind w:firstLine="420" w:firstLineChars="200"/>
        <w:rPr>
          <w:rFonts w:ascii="宋体" w:hAnsi="宋体" w:cs="宋体"/>
          <w:szCs w:val="21"/>
          <w:highlight w:val="none"/>
        </w:rPr>
      </w:pPr>
      <w:r>
        <w:rPr>
          <w:rFonts w:hint="eastAsia" w:ascii="宋体" w:hAnsi="宋体" w:cs="宋体"/>
          <w:szCs w:val="21"/>
        </w:rPr>
        <w:t>本基金可投资资产支持证券（ABS）。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w:t>
      </w:r>
      <w:r>
        <w:rPr>
          <w:rFonts w:hint="eastAsia" w:ascii="宋体" w:hAnsi="宋体" w:cs="宋体"/>
          <w:szCs w:val="21"/>
          <w:highlight w:val="none"/>
        </w:rPr>
        <w:t>导致的流动性风险等。</w:t>
      </w:r>
    </w:p>
    <w:p>
      <w:pPr>
        <w:numPr>
          <w:ilvl w:val="255"/>
          <w:numId w:val="0"/>
        </w:num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本基金可投资股指期货、国债期货。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w:t>
      </w:r>
    </w:p>
    <w:p>
      <w:pPr>
        <w:numPr>
          <w:ilvl w:val="255"/>
          <w:numId w:val="0"/>
        </w:numPr>
        <w:snapToGrid w:val="0"/>
        <w:spacing w:line="360" w:lineRule="auto"/>
        <w:ind w:firstLine="420" w:firstLineChars="200"/>
        <w:rPr>
          <w:highlight w:val="none"/>
        </w:rPr>
      </w:pPr>
      <w:r>
        <w:rPr>
          <w:rFonts w:hint="eastAsia" w:ascii="宋体" w:hAnsi="宋体" w:cs="宋体"/>
          <w:szCs w:val="21"/>
          <w:highlight w:val="none"/>
        </w:rPr>
        <w:t>本基金可参与股票期权交易，以套期保值为主要目的，若参与股票期权交易，可能面临</w:t>
      </w:r>
      <w:r>
        <w:rPr>
          <w:rFonts w:hint="eastAsia"/>
          <w:highlight w:val="none"/>
        </w:rPr>
        <w:t>流动性风险、价格风险、操作风险</w:t>
      </w:r>
      <w:r>
        <w:rPr>
          <w:rFonts w:hint="eastAsia" w:ascii="宋体" w:hAnsi="宋体" w:cs="宋体"/>
          <w:szCs w:val="21"/>
          <w:highlight w:val="none"/>
        </w:rPr>
        <w:t>等。</w:t>
      </w:r>
    </w:p>
    <w:p>
      <w:pPr>
        <w:numPr>
          <w:ilvl w:val="255"/>
          <w:numId w:val="0"/>
        </w:num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基金可根据法律法规的规定参与融资及转融通证券出借业务。本基金将在充分考虑风险和收益特征的基础上，审慎参与融资及转融通证券出借业务。投资者需承担相应的风险。</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highlight w:val="none"/>
        </w:rPr>
        <w:t>本基金的投资范围包括存托凭证，除与其他仅投资于境内市场股票的基金所面临的共同风险外，本基金还将面临存托凭证价格大幅波动甚至出现较大</w:t>
      </w:r>
      <w:r>
        <w:rPr>
          <w:rFonts w:hint="eastAsia" w:ascii="宋体" w:hAnsi="宋体" w:cs="宋体"/>
          <w:szCs w:val="21"/>
        </w:rPr>
        <w:t>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本基金为发起式基金，本基金的基金合同生效之日起三年后的对应日，若基金资产净值低于两亿元的，本基金将根据基金合同的约定进行基金财产清算并终止，无需召开基金份额持有人大会审议，且不得通过召开基金份额持有人大会的方式延续基金合同。</w:t>
      </w:r>
      <w:bookmarkStart w:id="15" w:name="_Hlk114651616"/>
      <w:r>
        <w:rPr>
          <w:rFonts w:hint="eastAsia" w:ascii="宋体" w:hAnsi="宋体" w:cs="宋体"/>
          <w:szCs w:val="21"/>
        </w:rPr>
        <w:t>本基金在基金合同生效三年后继续存续的，基金存续期内，连续50个工作日出现基金份额持有人数量不满200人或者基金资产净值低于5000万元情形的，本基金将根据基金合同的约定进行基金财产清算并终止，且无需召开基金份额持有人大会，同时基金管理人应履行相关的监管报告和信息披露程序</w:t>
      </w:r>
      <w:bookmarkEnd w:id="15"/>
      <w:r>
        <w:rPr>
          <w:rFonts w:hint="eastAsia" w:ascii="宋体" w:hAnsi="宋体" w:cs="宋体"/>
          <w:szCs w:val="21"/>
        </w:rPr>
        <w:t>。因此本基金有面临自动清算的风险。</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当本基金持有特定资产且存在或潜在大额赎回申请时，基金管理人履行相应程序后，可以启用侧袋机制，具体详见基金合同和本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本基金以1.00元初始面值募集基金份额，在市场波动等因素的影响下，基金投资有可能出现亏损或基金份额净值低于初始面值。</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基金的过往业绩并不预示其未来表现。基金管理人管理的其他基金的业绩并不构成新基金业绩表现的保证。</w:t>
      </w:r>
    </w:p>
    <w:p>
      <w:pPr>
        <w:numPr>
          <w:ilvl w:val="255"/>
          <w:numId w:val="0"/>
        </w:numPr>
        <w:snapToGrid w:val="0"/>
        <w:spacing w:line="360" w:lineRule="auto"/>
        <w:ind w:firstLine="420" w:firstLineChars="200"/>
        <w:rPr>
          <w:rFonts w:ascii="宋体" w:hAnsi="宋体" w:cs="宋体"/>
          <w:szCs w:val="21"/>
        </w:rPr>
      </w:pPr>
      <w:r>
        <w:rPr>
          <w:rFonts w:hint="eastAsia" w:ascii="宋体" w:hAnsi="宋体" w:cs="宋体"/>
          <w:szCs w:val="21"/>
        </w:rPr>
        <w:t>基金管理人依照恪尽职守、诚实信用、谨慎勤勉的原则管理和运用基金财产，但不保证基金一定盈利，也不保证最低收益。基金管理人提醒投资者基金投资的“买者自负”原则，在作出投资决策后，基金运营状况与基金净值变化引致的投资风险，由投资者自行承担。</w:t>
      </w:r>
    </w:p>
    <w:p>
      <w:pPr>
        <w:pStyle w:val="163"/>
        <w:rPr>
          <w:rFonts w:ascii="宋体" w:hAnsi="宋体"/>
        </w:rPr>
        <w:sectPr>
          <w:headerReference r:id="rId4" w:type="first"/>
          <w:headerReference r:id="rId3" w:type="default"/>
          <w:pgSz w:w="11906" w:h="16838"/>
          <w:pgMar w:top="1440" w:right="1800" w:bottom="1440" w:left="1800" w:header="851" w:footer="992" w:gutter="0"/>
          <w:pgNumType w:start="0"/>
          <w:cols w:space="425" w:num="1"/>
          <w:docGrid w:type="lines" w:linePitch="312" w:charSpace="0"/>
        </w:sectPr>
      </w:pPr>
    </w:p>
    <w:p>
      <w:pPr>
        <w:snapToGrid w:val="0"/>
        <w:spacing w:line="360" w:lineRule="auto"/>
        <w:jc w:val="center"/>
        <w:rPr>
          <w:sz w:val="32"/>
        </w:rPr>
      </w:pPr>
      <w:r>
        <w:rPr>
          <w:sz w:val="32"/>
          <w:lang w:val="zh-CN"/>
        </w:rPr>
        <w:t>目</w:t>
      </w:r>
      <w:r>
        <w:rPr>
          <w:rFonts w:hint="eastAsia"/>
          <w:sz w:val="32"/>
          <w:lang w:val="zh-CN"/>
        </w:rPr>
        <w:t xml:space="preserve"> </w:t>
      </w:r>
      <w:r>
        <w:rPr>
          <w:sz w:val="32"/>
          <w:lang w:val="zh-CN"/>
        </w:rPr>
        <w:t>录</w:t>
      </w:r>
    </w:p>
    <w:p>
      <w:pPr>
        <w:pStyle w:val="36"/>
        <w:tabs>
          <w:tab w:val="right" w:leader="dot" w:pos="8306"/>
          <w:tab w:val="clear" w:pos="840"/>
          <w:tab w:val="clear" w:pos="1560"/>
          <w:tab w:val="clear" w:pos="8296"/>
        </w:tabs>
      </w:pPr>
      <w:r>
        <w:rPr>
          <w:rFonts w:asciiTheme="minorEastAsia" w:hAnsiTheme="minorEastAsia" w:eastAsiaTheme="minorEastAsia"/>
        </w:rPr>
        <w:fldChar w:fldCharType="begin"/>
      </w:r>
      <w:r>
        <w:rPr>
          <w:rFonts w:asciiTheme="minorEastAsia" w:hAnsiTheme="minorEastAsia" w:eastAsiaTheme="minorEastAsia"/>
        </w:rPr>
        <w:instrText xml:space="preserve"> TOC \o "1-3" \h \z \u </w:instrText>
      </w:r>
      <w:r>
        <w:rPr>
          <w:rFonts w:asciiTheme="minorEastAsia" w:hAnsiTheme="minorEastAsia" w:eastAsiaTheme="minorEastAsia"/>
        </w:rPr>
        <w:fldChar w:fldCharType="separate"/>
      </w:r>
      <w:r>
        <w:fldChar w:fldCharType="begin"/>
      </w:r>
      <w:r>
        <w:instrText xml:space="preserve"> HYPERLINK \l "_Toc30960" </w:instrText>
      </w:r>
      <w:r>
        <w:fldChar w:fldCharType="separate"/>
      </w:r>
      <w:r>
        <w:rPr>
          <w:rFonts w:hint="eastAsia"/>
        </w:rPr>
        <w:t>重要提示</w:t>
      </w:r>
      <w:r>
        <w:tab/>
      </w:r>
      <w:r>
        <w:fldChar w:fldCharType="begin"/>
      </w:r>
      <w:r>
        <w:instrText xml:space="preserve"> PAGEREF _Toc30960 \h </w:instrText>
      </w:r>
      <w:r>
        <w:fldChar w:fldCharType="separate"/>
      </w:r>
      <w:r>
        <w:t>1</w:t>
      </w:r>
      <w:r>
        <w:fldChar w:fldCharType="end"/>
      </w:r>
      <w:r>
        <w:fldChar w:fldCharType="end"/>
      </w:r>
    </w:p>
    <w:p>
      <w:pPr>
        <w:pStyle w:val="36"/>
        <w:tabs>
          <w:tab w:val="right" w:leader="dot" w:pos="8306"/>
          <w:tab w:val="clear" w:pos="840"/>
          <w:tab w:val="clear" w:pos="1560"/>
          <w:tab w:val="clear" w:pos="8296"/>
        </w:tabs>
      </w:pPr>
      <w:r>
        <w:fldChar w:fldCharType="begin"/>
      </w:r>
      <w:r>
        <w:instrText xml:space="preserve"> HYPERLINK \l "_Toc3979" </w:instrText>
      </w:r>
      <w:r>
        <w:fldChar w:fldCharType="separate"/>
      </w:r>
      <w:r>
        <w:t xml:space="preserve">第一部分 </w:t>
      </w:r>
      <w:r>
        <w:rPr>
          <w:rFonts w:hint="eastAsia"/>
        </w:rPr>
        <w:t>绪言</w:t>
      </w:r>
      <w:r>
        <w:tab/>
      </w:r>
      <w:r>
        <w:fldChar w:fldCharType="begin"/>
      </w:r>
      <w:r>
        <w:instrText xml:space="preserve"> PAGEREF _Toc3979 \h </w:instrText>
      </w:r>
      <w:r>
        <w:fldChar w:fldCharType="separate"/>
      </w:r>
      <w:r>
        <w:t>1</w:t>
      </w:r>
      <w:r>
        <w:fldChar w:fldCharType="end"/>
      </w:r>
      <w:r>
        <w:fldChar w:fldCharType="end"/>
      </w:r>
    </w:p>
    <w:p>
      <w:pPr>
        <w:pStyle w:val="36"/>
        <w:tabs>
          <w:tab w:val="right" w:leader="dot" w:pos="8306"/>
          <w:tab w:val="clear" w:pos="840"/>
          <w:tab w:val="clear" w:pos="1560"/>
          <w:tab w:val="clear" w:pos="8296"/>
        </w:tabs>
      </w:pPr>
      <w:r>
        <w:fldChar w:fldCharType="begin"/>
      </w:r>
      <w:r>
        <w:instrText xml:space="preserve"> HYPERLINK \l "_Toc15497" </w:instrText>
      </w:r>
      <w:r>
        <w:fldChar w:fldCharType="separate"/>
      </w:r>
      <w:r>
        <w:t xml:space="preserve">第二部分 </w:t>
      </w:r>
      <w:r>
        <w:rPr>
          <w:rFonts w:hint="eastAsia"/>
        </w:rPr>
        <w:t>释义</w:t>
      </w:r>
      <w:r>
        <w:tab/>
      </w:r>
      <w:r>
        <w:fldChar w:fldCharType="begin"/>
      </w:r>
      <w:r>
        <w:instrText xml:space="preserve"> PAGEREF _Toc15497 \h </w:instrText>
      </w:r>
      <w:r>
        <w:fldChar w:fldCharType="separate"/>
      </w:r>
      <w:r>
        <w:t>2</w:t>
      </w:r>
      <w:r>
        <w:fldChar w:fldCharType="end"/>
      </w:r>
      <w:r>
        <w:fldChar w:fldCharType="end"/>
      </w:r>
    </w:p>
    <w:p>
      <w:pPr>
        <w:pStyle w:val="36"/>
        <w:tabs>
          <w:tab w:val="right" w:leader="dot" w:pos="8306"/>
          <w:tab w:val="clear" w:pos="840"/>
          <w:tab w:val="clear" w:pos="1560"/>
          <w:tab w:val="clear" w:pos="8296"/>
        </w:tabs>
      </w:pPr>
      <w:r>
        <w:fldChar w:fldCharType="begin"/>
      </w:r>
      <w:r>
        <w:instrText xml:space="preserve"> HYPERLINK \l "_Toc8332" </w:instrText>
      </w:r>
      <w:r>
        <w:fldChar w:fldCharType="separate"/>
      </w:r>
      <w:r>
        <w:t xml:space="preserve">第三部分 </w:t>
      </w:r>
      <w:r>
        <w:rPr>
          <w:rFonts w:hint="eastAsia"/>
        </w:rPr>
        <w:t>基金管理人</w:t>
      </w:r>
      <w:r>
        <w:tab/>
      </w:r>
      <w:r>
        <w:fldChar w:fldCharType="begin"/>
      </w:r>
      <w:r>
        <w:instrText xml:space="preserve"> PAGEREF _Toc8332 \h </w:instrText>
      </w:r>
      <w:r>
        <w:fldChar w:fldCharType="separate"/>
      </w:r>
      <w:r>
        <w:t>7</w:t>
      </w:r>
      <w:r>
        <w:fldChar w:fldCharType="end"/>
      </w:r>
      <w:r>
        <w:fldChar w:fldCharType="end"/>
      </w:r>
    </w:p>
    <w:p>
      <w:pPr>
        <w:pStyle w:val="36"/>
        <w:tabs>
          <w:tab w:val="right" w:leader="dot" w:pos="8306"/>
          <w:tab w:val="clear" w:pos="840"/>
          <w:tab w:val="clear" w:pos="1560"/>
          <w:tab w:val="clear" w:pos="8296"/>
        </w:tabs>
      </w:pPr>
      <w:r>
        <w:fldChar w:fldCharType="begin"/>
      </w:r>
      <w:r>
        <w:instrText xml:space="preserve"> HYPERLINK \l "_Toc15161" </w:instrText>
      </w:r>
      <w:r>
        <w:fldChar w:fldCharType="separate"/>
      </w:r>
      <w:r>
        <w:t>第四部分 基金托管人</w:t>
      </w:r>
      <w:r>
        <w:tab/>
      </w:r>
      <w:r>
        <w:fldChar w:fldCharType="begin"/>
      </w:r>
      <w:r>
        <w:instrText xml:space="preserve"> PAGEREF _Toc15161 \h </w:instrText>
      </w:r>
      <w:r>
        <w:fldChar w:fldCharType="separate"/>
      </w:r>
      <w:r>
        <w:t>19</w:t>
      </w:r>
      <w:r>
        <w:fldChar w:fldCharType="end"/>
      </w:r>
      <w:r>
        <w:fldChar w:fldCharType="end"/>
      </w:r>
    </w:p>
    <w:p>
      <w:pPr>
        <w:pStyle w:val="36"/>
        <w:tabs>
          <w:tab w:val="right" w:leader="dot" w:pos="8306"/>
          <w:tab w:val="clear" w:pos="840"/>
          <w:tab w:val="clear" w:pos="1560"/>
          <w:tab w:val="clear" w:pos="8296"/>
        </w:tabs>
      </w:pPr>
      <w:r>
        <w:fldChar w:fldCharType="begin"/>
      </w:r>
      <w:r>
        <w:instrText xml:space="preserve"> HYPERLINK \l "_Toc16386" </w:instrText>
      </w:r>
      <w:r>
        <w:fldChar w:fldCharType="separate"/>
      </w:r>
      <w:r>
        <w:t xml:space="preserve">第五部分 </w:t>
      </w:r>
      <w:r>
        <w:rPr>
          <w:rFonts w:hint="eastAsia"/>
        </w:rPr>
        <w:t>相关服务机构</w:t>
      </w:r>
      <w:r>
        <w:tab/>
      </w:r>
      <w:r>
        <w:fldChar w:fldCharType="begin"/>
      </w:r>
      <w:r>
        <w:instrText xml:space="preserve"> PAGEREF _Toc16386 \h </w:instrText>
      </w:r>
      <w:r>
        <w:fldChar w:fldCharType="separate"/>
      </w:r>
      <w:r>
        <w:t>22</w:t>
      </w:r>
      <w:r>
        <w:fldChar w:fldCharType="end"/>
      </w:r>
      <w:r>
        <w:fldChar w:fldCharType="end"/>
      </w:r>
    </w:p>
    <w:p>
      <w:pPr>
        <w:pStyle w:val="36"/>
        <w:tabs>
          <w:tab w:val="right" w:leader="dot" w:pos="8306"/>
          <w:tab w:val="clear" w:pos="840"/>
          <w:tab w:val="clear" w:pos="1560"/>
          <w:tab w:val="clear" w:pos="8296"/>
        </w:tabs>
      </w:pPr>
      <w:r>
        <w:fldChar w:fldCharType="begin"/>
      </w:r>
      <w:r>
        <w:instrText xml:space="preserve"> HYPERLINK \l "_Toc30825" </w:instrText>
      </w:r>
      <w:r>
        <w:fldChar w:fldCharType="separate"/>
      </w:r>
      <w:r>
        <w:t xml:space="preserve">第六部分 </w:t>
      </w:r>
      <w:r>
        <w:rPr>
          <w:rFonts w:hint="eastAsia"/>
        </w:rPr>
        <w:t>基金的发售</w:t>
      </w:r>
      <w:r>
        <w:tab/>
      </w:r>
      <w:r>
        <w:fldChar w:fldCharType="begin"/>
      </w:r>
      <w:r>
        <w:instrText xml:space="preserve"> PAGEREF _Toc30825 \h </w:instrText>
      </w:r>
      <w:r>
        <w:fldChar w:fldCharType="separate"/>
      </w:r>
      <w:r>
        <w:t>24</w:t>
      </w:r>
      <w:r>
        <w:fldChar w:fldCharType="end"/>
      </w:r>
      <w:r>
        <w:fldChar w:fldCharType="end"/>
      </w:r>
    </w:p>
    <w:p>
      <w:pPr>
        <w:pStyle w:val="36"/>
        <w:tabs>
          <w:tab w:val="right" w:leader="dot" w:pos="8306"/>
          <w:tab w:val="clear" w:pos="840"/>
          <w:tab w:val="clear" w:pos="1560"/>
          <w:tab w:val="clear" w:pos="8296"/>
        </w:tabs>
      </w:pPr>
      <w:r>
        <w:fldChar w:fldCharType="begin"/>
      </w:r>
      <w:r>
        <w:instrText xml:space="preserve"> HYPERLINK \l "_Toc27487" </w:instrText>
      </w:r>
      <w:r>
        <w:fldChar w:fldCharType="separate"/>
      </w:r>
      <w:r>
        <w:t>第七部分 基金</w:t>
      </w:r>
      <w:r>
        <w:rPr>
          <w:rFonts w:hint="eastAsia"/>
        </w:rPr>
        <w:t>合同的生效</w:t>
      </w:r>
      <w:r>
        <w:tab/>
      </w:r>
      <w:r>
        <w:fldChar w:fldCharType="begin"/>
      </w:r>
      <w:r>
        <w:instrText xml:space="preserve"> PAGEREF _Toc27487 \h </w:instrText>
      </w:r>
      <w:r>
        <w:fldChar w:fldCharType="separate"/>
      </w:r>
      <w:r>
        <w:t>28</w:t>
      </w:r>
      <w:r>
        <w:fldChar w:fldCharType="end"/>
      </w:r>
      <w:r>
        <w:fldChar w:fldCharType="end"/>
      </w:r>
    </w:p>
    <w:p>
      <w:pPr>
        <w:pStyle w:val="36"/>
        <w:tabs>
          <w:tab w:val="right" w:leader="dot" w:pos="8306"/>
          <w:tab w:val="clear" w:pos="840"/>
          <w:tab w:val="clear" w:pos="1560"/>
          <w:tab w:val="clear" w:pos="8296"/>
        </w:tabs>
      </w:pPr>
      <w:r>
        <w:fldChar w:fldCharType="begin"/>
      </w:r>
      <w:r>
        <w:instrText xml:space="preserve"> HYPERLINK \l "_Toc11434" </w:instrText>
      </w:r>
      <w:r>
        <w:fldChar w:fldCharType="separate"/>
      </w:r>
      <w:r>
        <w:t xml:space="preserve">第八部分 </w:t>
      </w:r>
      <w:r>
        <w:rPr>
          <w:rFonts w:hint="eastAsia"/>
        </w:rPr>
        <w:t>基金份额的申购赎回</w:t>
      </w:r>
      <w:r>
        <w:tab/>
      </w:r>
      <w:r>
        <w:fldChar w:fldCharType="begin"/>
      </w:r>
      <w:r>
        <w:instrText xml:space="preserve"> PAGEREF _Toc11434 \h </w:instrText>
      </w:r>
      <w:r>
        <w:fldChar w:fldCharType="separate"/>
      </w:r>
      <w:r>
        <w:t>29</w:t>
      </w:r>
      <w:r>
        <w:fldChar w:fldCharType="end"/>
      </w:r>
      <w:r>
        <w:fldChar w:fldCharType="end"/>
      </w:r>
    </w:p>
    <w:p>
      <w:pPr>
        <w:pStyle w:val="36"/>
        <w:tabs>
          <w:tab w:val="right" w:leader="dot" w:pos="8306"/>
          <w:tab w:val="clear" w:pos="840"/>
          <w:tab w:val="clear" w:pos="1560"/>
          <w:tab w:val="clear" w:pos="8296"/>
        </w:tabs>
      </w:pPr>
      <w:r>
        <w:fldChar w:fldCharType="begin"/>
      </w:r>
      <w:r>
        <w:instrText xml:space="preserve"> HYPERLINK \l "_Toc3636" </w:instrText>
      </w:r>
      <w:r>
        <w:fldChar w:fldCharType="separate"/>
      </w:r>
      <w:r>
        <w:t xml:space="preserve">第九部分 </w:t>
      </w:r>
      <w:r>
        <w:rPr>
          <w:rFonts w:hint="eastAsia"/>
        </w:rPr>
        <w:t>基金的投资</w:t>
      </w:r>
      <w:r>
        <w:tab/>
      </w:r>
      <w:r>
        <w:fldChar w:fldCharType="begin"/>
      </w:r>
      <w:r>
        <w:instrText xml:space="preserve"> PAGEREF _Toc3636 \h </w:instrText>
      </w:r>
      <w:r>
        <w:fldChar w:fldCharType="separate"/>
      </w:r>
      <w:r>
        <w:t>38</w:t>
      </w:r>
      <w:r>
        <w:fldChar w:fldCharType="end"/>
      </w:r>
      <w:r>
        <w:fldChar w:fldCharType="end"/>
      </w:r>
    </w:p>
    <w:p>
      <w:pPr>
        <w:pStyle w:val="36"/>
        <w:tabs>
          <w:tab w:val="right" w:leader="dot" w:pos="8306"/>
          <w:tab w:val="clear" w:pos="840"/>
          <w:tab w:val="clear" w:pos="1560"/>
          <w:tab w:val="clear" w:pos="8296"/>
        </w:tabs>
      </w:pPr>
      <w:r>
        <w:fldChar w:fldCharType="begin"/>
      </w:r>
      <w:r>
        <w:instrText xml:space="preserve"> HYPERLINK \l "_Toc23939" </w:instrText>
      </w:r>
      <w:r>
        <w:fldChar w:fldCharType="separate"/>
      </w:r>
      <w:r>
        <w:t xml:space="preserve">第十部分 </w:t>
      </w:r>
      <w:r>
        <w:rPr>
          <w:rFonts w:hint="eastAsia"/>
        </w:rPr>
        <w:t>基金的财产</w:t>
      </w:r>
      <w:r>
        <w:tab/>
      </w:r>
      <w:r>
        <w:fldChar w:fldCharType="begin"/>
      </w:r>
      <w:r>
        <w:instrText xml:space="preserve"> PAGEREF _Toc23939 \h </w:instrText>
      </w:r>
      <w:r>
        <w:fldChar w:fldCharType="separate"/>
      </w:r>
      <w:r>
        <w:t>45</w:t>
      </w:r>
      <w:r>
        <w:fldChar w:fldCharType="end"/>
      </w:r>
      <w:r>
        <w:fldChar w:fldCharType="end"/>
      </w:r>
    </w:p>
    <w:p>
      <w:pPr>
        <w:pStyle w:val="36"/>
        <w:tabs>
          <w:tab w:val="right" w:leader="dot" w:pos="8306"/>
          <w:tab w:val="clear" w:pos="840"/>
          <w:tab w:val="clear" w:pos="1560"/>
          <w:tab w:val="clear" w:pos="8296"/>
        </w:tabs>
      </w:pPr>
      <w:r>
        <w:fldChar w:fldCharType="begin"/>
      </w:r>
      <w:r>
        <w:instrText xml:space="preserve"> HYPERLINK \l "_Toc10045" </w:instrText>
      </w:r>
      <w:r>
        <w:fldChar w:fldCharType="separate"/>
      </w:r>
      <w:r>
        <w:t xml:space="preserve">第十一部分 </w:t>
      </w:r>
      <w:r>
        <w:rPr>
          <w:rFonts w:hint="eastAsia"/>
        </w:rPr>
        <w:t>基金资产估值</w:t>
      </w:r>
      <w:r>
        <w:tab/>
      </w:r>
      <w:r>
        <w:fldChar w:fldCharType="begin"/>
      </w:r>
      <w:r>
        <w:instrText xml:space="preserve"> PAGEREF _Toc10045 \h </w:instrText>
      </w:r>
      <w:r>
        <w:fldChar w:fldCharType="separate"/>
      </w:r>
      <w:r>
        <w:t>46</w:t>
      </w:r>
      <w:r>
        <w:fldChar w:fldCharType="end"/>
      </w:r>
      <w:r>
        <w:fldChar w:fldCharType="end"/>
      </w:r>
    </w:p>
    <w:p>
      <w:pPr>
        <w:pStyle w:val="36"/>
        <w:tabs>
          <w:tab w:val="right" w:leader="dot" w:pos="8306"/>
          <w:tab w:val="clear" w:pos="840"/>
          <w:tab w:val="clear" w:pos="1560"/>
          <w:tab w:val="clear" w:pos="8296"/>
        </w:tabs>
      </w:pPr>
      <w:r>
        <w:fldChar w:fldCharType="begin"/>
      </w:r>
      <w:r>
        <w:instrText xml:space="preserve"> HYPERLINK \l "_Toc10445" </w:instrText>
      </w:r>
      <w:r>
        <w:fldChar w:fldCharType="separate"/>
      </w:r>
      <w:r>
        <w:t xml:space="preserve">第十二部分 </w:t>
      </w:r>
      <w:r>
        <w:rPr>
          <w:rFonts w:hint="eastAsia"/>
        </w:rPr>
        <w:t>基金的收益与分配</w:t>
      </w:r>
      <w:r>
        <w:tab/>
      </w:r>
      <w:r>
        <w:fldChar w:fldCharType="begin"/>
      </w:r>
      <w:r>
        <w:instrText xml:space="preserve"> PAGEREF _Toc10445 \h </w:instrText>
      </w:r>
      <w:r>
        <w:fldChar w:fldCharType="separate"/>
      </w:r>
      <w:r>
        <w:t>51</w:t>
      </w:r>
      <w:r>
        <w:fldChar w:fldCharType="end"/>
      </w:r>
      <w:r>
        <w:fldChar w:fldCharType="end"/>
      </w:r>
    </w:p>
    <w:p>
      <w:pPr>
        <w:pStyle w:val="36"/>
        <w:tabs>
          <w:tab w:val="right" w:leader="dot" w:pos="8306"/>
          <w:tab w:val="clear" w:pos="840"/>
          <w:tab w:val="clear" w:pos="1560"/>
          <w:tab w:val="clear" w:pos="8296"/>
        </w:tabs>
      </w:pPr>
      <w:r>
        <w:fldChar w:fldCharType="begin"/>
      </w:r>
      <w:r>
        <w:instrText xml:space="preserve"> HYPERLINK \l "_Toc14032" </w:instrText>
      </w:r>
      <w:r>
        <w:fldChar w:fldCharType="separate"/>
      </w:r>
      <w:r>
        <w:t xml:space="preserve">第十三部分 </w:t>
      </w:r>
      <w:r>
        <w:rPr>
          <w:rFonts w:hint="eastAsia"/>
        </w:rPr>
        <w:t>基金的费用与税收</w:t>
      </w:r>
      <w:r>
        <w:tab/>
      </w:r>
      <w:r>
        <w:fldChar w:fldCharType="begin"/>
      </w:r>
      <w:r>
        <w:instrText xml:space="preserve"> PAGEREF _Toc14032 \h </w:instrText>
      </w:r>
      <w:r>
        <w:fldChar w:fldCharType="separate"/>
      </w:r>
      <w:r>
        <w:t>53</w:t>
      </w:r>
      <w:r>
        <w:fldChar w:fldCharType="end"/>
      </w:r>
      <w:r>
        <w:fldChar w:fldCharType="end"/>
      </w:r>
    </w:p>
    <w:p>
      <w:pPr>
        <w:pStyle w:val="36"/>
        <w:tabs>
          <w:tab w:val="right" w:leader="dot" w:pos="8306"/>
          <w:tab w:val="clear" w:pos="840"/>
          <w:tab w:val="clear" w:pos="1560"/>
          <w:tab w:val="clear" w:pos="8296"/>
        </w:tabs>
      </w:pPr>
      <w:r>
        <w:fldChar w:fldCharType="begin"/>
      </w:r>
      <w:r>
        <w:instrText xml:space="preserve"> HYPERLINK \l "_Toc2015" </w:instrText>
      </w:r>
      <w:r>
        <w:fldChar w:fldCharType="separate"/>
      </w:r>
      <w:r>
        <w:t xml:space="preserve">第十四部分 </w:t>
      </w:r>
      <w:r>
        <w:rPr>
          <w:rFonts w:hint="eastAsia"/>
        </w:rPr>
        <w:t>基金的会计与审计</w:t>
      </w:r>
      <w:r>
        <w:tab/>
      </w:r>
      <w:r>
        <w:fldChar w:fldCharType="begin"/>
      </w:r>
      <w:r>
        <w:instrText xml:space="preserve"> PAGEREF _Toc2015 \h </w:instrText>
      </w:r>
      <w:r>
        <w:fldChar w:fldCharType="separate"/>
      </w:r>
      <w:r>
        <w:t>56</w:t>
      </w:r>
      <w:r>
        <w:fldChar w:fldCharType="end"/>
      </w:r>
      <w:r>
        <w:fldChar w:fldCharType="end"/>
      </w:r>
    </w:p>
    <w:p>
      <w:pPr>
        <w:pStyle w:val="36"/>
        <w:tabs>
          <w:tab w:val="right" w:leader="dot" w:pos="8306"/>
          <w:tab w:val="clear" w:pos="840"/>
          <w:tab w:val="clear" w:pos="1560"/>
          <w:tab w:val="clear" w:pos="8296"/>
        </w:tabs>
      </w:pPr>
      <w:r>
        <w:fldChar w:fldCharType="begin"/>
      </w:r>
      <w:r>
        <w:instrText xml:space="preserve"> HYPERLINK \l "_Toc18910" </w:instrText>
      </w:r>
      <w:r>
        <w:fldChar w:fldCharType="separate"/>
      </w:r>
      <w:r>
        <w:t xml:space="preserve">第十五部分 </w:t>
      </w:r>
      <w:r>
        <w:rPr>
          <w:rFonts w:hint="eastAsia"/>
        </w:rPr>
        <w:t>基金的信息披露</w:t>
      </w:r>
      <w:r>
        <w:tab/>
      </w:r>
      <w:r>
        <w:fldChar w:fldCharType="begin"/>
      </w:r>
      <w:r>
        <w:instrText xml:space="preserve"> PAGEREF _Toc18910 \h </w:instrText>
      </w:r>
      <w:r>
        <w:fldChar w:fldCharType="separate"/>
      </w:r>
      <w:r>
        <w:t>57</w:t>
      </w:r>
      <w:r>
        <w:fldChar w:fldCharType="end"/>
      </w:r>
      <w:r>
        <w:fldChar w:fldCharType="end"/>
      </w:r>
    </w:p>
    <w:p>
      <w:pPr>
        <w:pStyle w:val="36"/>
        <w:tabs>
          <w:tab w:val="right" w:leader="dot" w:pos="8306"/>
          <w:tab w:val="clear" w:pos="840"/>
          <w:tab w:val="clear" w:pos="1560"/>
          <w:tab w:val="clear" w:pos="8296"/>
        </w:tabs>
      </w:pPr>
      <w:r>
        <w:fldChar w:fldCharType="begin"/>
      </w:r>
      <w:r>
        <w:instrText xml:space="preserve"> HYPERLINK \l "_Toc12557" </w:instrText>
      </w:r>
      <w:r>
        <w:fldChar w:fldCharType="separate"/>
      </w:r>
      <w:r>
        <w:t xml:space="preserve">第十六部分 </w:t>
      </w:r>
      <w:r>
        <w:rPr>
          <w:rFonts w:hint="eastAsia"/>
        </w:rPr>
        <w:t>侧袋机制</w:t>
      </w:r>
      <w:r>
        <w:tab/>
      </w:r>
      <w:r>
        <w:fldChar w:fldCharType="begin"/>
      </w:r>
      <w:r>
        <w:instrText xml:space="preserve"> PAGEREF _Toc12557 \h </w:instrText>
      </w:r>
      <w:r>
        <w:fldChar w:fldCharType="separate"/>
      </w:r>
      <w:r>
        <w:t>63</w:t>
      </w:r>
      <w:r>
        <w:fldChar w:fldCharType="end"/>
      </w:r>
      <w:r>
        <w:fldChar w:fldCharType="end"/>
      </w:r>
    </w:p>
    <w:p>
      <w:pPr>
        <w:pStyle w:val="36"/>
        <w:tabs>
          <w:tab w:val="right" w:leader="dot" w:pos="8306"/>
          <w:tab w:val="clear" w:pos="840"/>
          <w:tab w:val="clear" w:pos="1560"/>
          <w:tab w:val="clear" w:pos="8296"/>
        </w:tabs>
      </w:pPr>
      <w:r>
        <w:fldChar w:fldCharType="begin"/>
      </w:r>
      <w:r>
        <w:instrText xml:space="preserve"> HYPERLINK \l "_Toc19943" </w:instrText>
      </w:r>
      <w:r>
        <w:fldChar w:fldCharType="separate"/>
      </w:r>
      <w:r>
        <w:t xml:space="preserve">第十七部分 </w:t>
      </w:r>
      <w:r>
        <w:rPr>
          <w:rFonts w:hint="eastAsia"/>
        </w:rPr>
        <w:t>风险揭示</w:t>
      </w:r>
      <w:r>
        <w:tab/>
      </w:r>
      <w:r>
        <w:fldChar w:fldCharType="begin"/>
      </w:r>
      <w:r>
        <w:instrText xml:space="preserve"> PAGEREF _Toc19943 \h </w:instrText>
      </w:r>
      <w:r>
        <w:fldChar w:fldCharType="separate"/>
      </w:r>
      <w:r>
        <w:t>67</w:t>
      </w:r>
      <w:r>
        <w:fldChar w:fldCharType="end"/>
      </w:r>
      <w:r>
        <w:fldChar w:fldCharType="end"/>
      </w:r>
    </w:p>
    <w:p>
      <w:pPr>
        <w:pStyle w:val="36"/>
        <w:tabs>
          <w:tab w:val="right" w:leader="dot" w:pos="8306"/>
          <w:tab w:val="clear" w:pos="840"/>
          <w:tab w:val="clear" w:pos="1560"/>
          <w:tab w:val="clear" w:pos="8296"/>
        </w:tabs>
      </w:pPr>
      <w:r>
        <w:fldChar w:fldCharType="begin"/>
      </w:r>
      <w:r>
        <w:instrText xml:space="preserve"> HYPERLINK \l "_Toc12885" </w:instrText>
      </w:r>
      <w:r>
        <w:fldChar w:fldCharType="separate"/>
      </w:r>
      <w:r>
        <w:rPr>
          <w:rFonts w:ascii="黑体"/>
        </w:rPr>
        <w:t xml:space="preserve">第十八部分 </w:t>
      </w:r>
      <w:r>
        <w:rPr>
          <w:rFonts w:hint="eastAsia"/>
        </w:rPr>
        <w:t>基金合同的变更、终止和基金财产的清算</w:t>
      </w:r>
      <w:r>
        <w:tab/>
      </w:r>
      <w:r>
        <w:fldChar w:fldCharType="begin"/>
      </w:r>
      <w:r>
        <w:instrText xml:space="preserve"> PAGEREF _Toc12885 \h </w:instrText>
      </w:r>
      <w:r>
        <w:fldChar w:fldCharType="separate"/>
      </w:r>
      <w:r>
        <w:t>77</w:t>
      </w:r>
      <w:r>
        <w:fldChar w:fldCharType="end"/>
      </w:r>
      <w:r>
        <w:fldChar w:fldCharType="end"/>
      </w:r>
    </w:p>
    <w:p>
      <w:pPr>
        <w:pStyle w:val="36"/>
        <w:tabs>
          <w:tab w:val="right" w:leader="dot" w:pos="8306"/>
          <w:tab w:val="clear" w:pos="840"/>
          <w:tab w:val="clear" w:pos="1560"/>
          <w:tab w:val="clear" w:pos="8296"/>
        </w:tabs>
      </w:pPr>
      <w:r>
        <w:fldChar w:fldCharType="begin"/>
      </w:r>
      <w:r>
        <w:instrText xml:space="preserve"> HYPERLINK \l "_Toc32137" </w:instrText>
      </w:r>
      <w:r>
        <w:fldChar w:fldCharType="separate"/>
      </w:r>
      <w:r>
        <w:t xml:space="preserve">第十九部分 </w:t>
      </w:r>
      <w:r>
        <w:rPr>
          <w:rFonts w:hint="eastAsia"/>
        </w:rPr>
        <w:t>基金合同的内容摘要</w:t>
      </w:r>
      <w:r>
        <w:tab/>
      </w:r>
      <w:r>
        <w:fldChar w:fldCharType="begin"/>
      </w:r>
      <w:r>
        <w:instrText xml:space="preserve"> PAGEREF _Toc32137 \h </w:instrText>
      </w:r>
      <w:r>
        <w:fldChar w:fldCharType="separate"/>
      </w:r>
      <w:r>
        <w:t>79</w:t>
      </w:r>
      <w:r>
        <w:fldChar w:fldCharType="end"/>
      </w:r>
      <w:r>
        <w:fldChar w:fldCharType="end"/>
      </w:r>
    </w:p>
    <w:p>
      <w:pPr>
        <w:pStyle w:val="36"/>
        <w:tabs>
          <w:tab w:val="right" w:leader="dot" w:pos="8306"/>
          <w:tab w:val="clear" w:pos="840"/>
          <w:tab w:val="clear" w:pos="1560"/>
          <w:tab w:val="clear" w:pos="8296"/>
        </w:tabs>
      </w:pPr>
      <w:r>
        <w:fldChar w:fldCharType="begin"/>
      </w:r>
      <w:r>
        <w:instrText xml:space="preserve"> HYPERLINK \l "_Toc30246" </w:instrText>
      </w:r>
      <w:r>
        <w:fldChar w:fldCharType="separate"/>
      </w:r>
      <w:r>
        <w:t xml:space="preserve">第二十部分 </w:t>
      </w:r>
      <w:r>
        <w:rPr>
          <w:rFonts w:hint="eastAsia"/>
        </w:rPr>
        <w:t>基金托管协议的内容摘要</w:t>
      </w:r>
      <w:r>
        <w:tab/>
      </w:r>
      <w:r>
        <w:fldChar w:fldCharType="begin"/>
      </w:r>
      <w:r>
        <w:instrText xml:space="preserve"> PAGEREF _Toc30246 \h </w:instrText>
      </w:r>
      <w:r>
        <w:fldChar w:fldCharType="separate"/>
      </w:r>
      <w:r>
        <w:t>94</w:t>
      </w:r>
      <w:r>
        <w:fldChar w:fldCharType="end"/>
      </w:r>
      <w:r>
        <w:fldChar w:fldCharType="end"/>
      </w:r>
    </w:p>
    <w:p>
      <w:pPr>
        <w:pStyle w:val="36"/>
        <w:tabs>
          <w:tab w:val="right" w:leader="dot" w:pos="8306"/>
          <w:tab w:val="clear" w:pos="840"/>
          <w:tab w:val="clear" w:pos="1560"/>
          <w:tab w:val="clear" w:pos="8296"/>
        </w:tabs>
      </w:pPr>
      <w:r>
        <w:fldChar w:fldCharType="begin"/>
      </w:r>
      <w:r>
        <w:instrText xml:space="preserve"> HYPERLINK \l "_Toc29334" </w:instrText>
      </w:r>
      <w:r>
        <w:fldChar w:fldCharType="separate"/>
      </w:r>
      <w:r>
        <w:rPr>
          <w:rFonts w:asciiTheme="minorEastAsia" w:hAnsiTheme="minorEastAsia" w:eastAsiaTheme="minorEastAsia"/>
        </w:rPr>
        <w:t xml:space="preserve">第二十一部分 </w:t>
      </w:r>
      <w:r>
        <w:rPr>
          <w:rFonts w:hint="eastAsia" w:asciiTheme="minorEastAsia" w:hAnsiTheme="minorEastAsia" w:eastAsiaTheme="minorEastAsia"/>
        </w:rPr>
        <w:t>基金份额持有人服务</w:t>
      </w:r>
      <w:r>
        <w:tab/>
      </w:r>
      <w:r>
        <w:fldChar w:fldCharType="begin"/>
      </w:r>
      <w:r>
        <w:instrText xml:space="preserve"> PAGEREF _Toc29334 \h </w:instrText>
      </w:r>
      <w:r>
        <w:fldChar w:fldCharType="separate"/>
      </w:r>
      <w:r>
        <w:t>110</w:t>
      </w:r>
      <w:r>
        <w:fldChar w:fldCharType="end"/>
      </w:r>
      <w:r>
        <w:fldChar w:fldCharType="end"/>
      </w:r>
    </w:p>
    <w:p>
      <w:pPr>
        <w:pStyle w:val="36"/>
        <w:tabs>
          <w:tab w:val="right" w:leader="dot" w:pos="8306"/>
          <w:tab w:val="clear" w:pos="840"/>
          <w:tab w:val="clear" w:pos="1560"/>
          <w:tab w:val="clear" w:pos="8296"/>
        </w:tabs>
      </w:pPr>
      <w:r>
        <w:fldChar w:fldCharType="begin"/>
      </w:r>
      <w:r>
        <w:instrText xml:space="preserve"> HYPERLINK \l "_Toc11170" </w:instrText>
      </w:r>
      <w:r>
        <w:fldChar w:fldCharType="separate"/>
      </w:r>
      <w:r>
        <w:t xml:space="preserve">第二十二部分 </w:t>
      </w:r>
      <w:r>
        <w:rPr>
          <w:rFonts w:hint="eastAsia"/>
        </w:rPr>
        <w:t>其他应披露事项</w:t>
      </w:r>
      <w:r>
        <w:tab/>
      </w:r>
      <w:r>
        <w:fldChar w:fldCharType="begin"/>
      </w:r>
      <w:r>
        <w:instrText xml:space="preserve"> PAGEREF _Toc11170 \h </w:instrText>
      </w:r>
      <w:r>
        <w:fldChar w:fldCharType="separate"/>
      </w:r>
      <w:r>
        <w:t>112</w:t>
      </w:r>
      <w:r>
        <w:fldChar w:fldCharType="end"/>
      </w:r>
      <w:r>
        <w:fldChar w:fldCharType="end"/>
      </w:r>
    </w:p>
    <w:p>
      <w:pPr>
        <w:pStyle w:val="36"/>
        <w:tabs>
          <w:tab w:val="right" w:leader="dot" w:pos="8306"/>
          <w:tab w:val="clear" w:pos="840"/>
          <w:tab w:val="clear" w:pos="1560"/>
          <w:tab w:val="clear" w:pos="8296"/>
        </w:tabs>
      </w:pPr>
      <w:r>
        <w:fldChar w:fldCharType="begin"/>
      </w:r>
      <w:r>
        <w:instrText xml:space="preserve"> HYPERLINK \l "_Toc4567" </w:instrText>
      </w:r>
      <w:r>
        <w:fldChar w:fldCharType="separate"/>
      </w:r>
      <w:r>
        <w:t xml:space="preserve">第二十三部分 </w:t>
      </w:r>
      <w:r>
        <w:rPr>
          <w:rFonts w:hint="eastAsia"/>
        </w:rPr>
        <w:t>招募说明书存放及其查阅方式</w:t>
      </w:r>
      <w:r>
        <w:tab/>
      </w:r>
      <w:r>
        <w:fldChar w:fldCharType="begin"/>
      </w:r>
      <w:r>
        <w:instrText xml:space="preserve"> PAGEREF _Toc4567 \h </w:instrText>
      </w:r>
      <w:r>
        <w:fldChar w:fldCharType="separate"/>
      </w:r>
      <w:r>
        <w:t>113</w:t>
      </w:r>
      <w:r>
        <w:fldChar w:fldCharType="end"/>
      </w:r>
      <w:r>
        <w:fldChar w:fldCharType="end"/>
      </w:r>
    </w:p>
    <w:p>
      <w:pPr>
        <w:pStyle w:val="36"/>
        <w:tabs>
          <w:tab w:val="right" w:leader="dot" w:pos="8306"/>
          <w:tab w:val="clear" w:pos="840"/>
          <w:tab w:val="clear" w:pos="1560"/>
          <w:tab w:val="clear" w:pos="8296"/>
        </w:tabs>
      </w:pPr>
      <w:r>
        <w:fldChar w:fldCharType="begin"/>
      </w:r>
      <w:r>
        <w:instrText xml:space="preserve"> HYPERLINK \l "_Toc5593" </w:instrText>
      </w:r>
      <w:r>
        <w:fldChar w:fldCharType="separate"/>
      </w:r>
      <w:r>
        <w:t>第二十四部分 备查文件</w:t>
      </w:r>
      <w:r>
        <w:tab/>
      </w:r>
      <w:r>
        <w:fldChar w:fldCharType="begin"/>
      </w:r>
      <w:r>
        <w:instrText xml:space="preserve"> PAGEREF _Toc5593 \h </w:instrText>
      </w:r>
      <w:r>
        <w:fldChar w:fldCharType="separate"/>
      </w:r>
      <w:r>
        <w:t>114</w:t>
      </w:r>
      <w:r>
        <w:fldChar w:fldCharType="end"/>
      </w:r>
      <w:r>
        <w:fldChar w:fldCharType="end"/>
      </w:r>
    </w:p>
    <w:p>
      <w:pPr>
        <w:spacing w:line="360" w:lineRule="auto"/>
      </w:pPr>
      <w:r>
        <w:rPr>
          <w:rFonts w:asciiTheme="minorEastAsia" w:hAnsiTheme="minorEastAsia" w:eastAsiaTheme="minorEastAsia"/>
        </w:rPr>
        <w:fldChar w:fldCharType="end"/>
      </w:r>
    </w:p>
    <w:p>
      <w:pPr>
        <w:pStyle w:val="163"/>
        <w:rPr>
          <w:rFonts w:ascii="宋体" w:hAnsi="宋体"/>
        </w:rPr>
        <w:sectPr>
          <w:pgSz w:w="11906" w:h="16838"/>
          <w:pgMar w:top="1440" w:right="1800" w:bottom="1440" w:left="1800" w:header="851" w:footer="992" w:gutter="0"/>
          <w:pgNumType w:start="0"/>
          <w:cols w:space="425" w:num="1"/>
          <w:titlePg/>
          <w:docGrid w:type="lines" w:linePitch="312" w:charSpace="0"/>
        </w:sectPr>
      </w:pPr>
    </w:p>
    <w:p>
      <w:pPr>
        <w:pStyle w:val="3"/>
        <w:numPr>
          <w:ilvl w:val="0"/>
          <w:numId w:val="25"/>
        </w:numPr>
        <w:snapToGrid w:val="0"/>
        <w:spacing w:before="0" w:after="0" w:line="360" w:lineRule="auto"/>
        <w:jc w:val="center"/>
      </w:pPr>
      <w:bookmarkStart w:id="16" w:name="_Toc360794511"/>
      <w:bookmarkStart w:id="17" w:name="_Toc362455178"/>
      <w:bookmarkStart w:id="18" w:name="_Toc360793493"/>
      <w:bookmarkStart w:id="19" w:name="_Toc411872023"/>
      <w:bookmarkStart w:id="20" w:name="_Toc215629791"/>
      <w:bookmarkStart w:id="21" w:name="_Toc350789211"/>
      <w:bookmarkStart w:id="22" w:name="_Toc360793845"/>
      <w:bookmarkStart w:id="23" w:name="_Toc360794095"/>
      <w:bookmarkStart w:id="24" w:name="_Toc360794403"/>
      <w:bookmarkStart w:id="25" w:name="_Toc375295972"/>
      <w:bookmarkStart w:id="26" w:name="_Toc3979"/>
      <w:bookmarkStart w:id="27" w:name="_Toc29692"/>
      <w:bookmarkStart w:id="28" w:name="_Toc4917378"/>
      <w:bookmarkStart w:id="29" w:name="_Toc73936074"/>
      <w:bookmarkStart w:id="30" w:name="_Toc80103054"/>
      <w:bookmarkStart w:id="31" w:name="_Toc454720091"/>
      <w:bookmarkStart w:id="32" w:name="_Toc10604981"/>
      <w:bookmarkStart w:id="33" w:name="_Toc79132642"/>
      <w:r>
        <w:rPr>
          <w:rFonts w:hint="eastAsia"/>
        </w:rPr>
        <w:t>绪言</w:t>
      </w:r>
      <w:bookmarkEnd w:id="16"/>
      <w:bookmarkEnd w:id="17"/>
      <w:bookmarkEnd w:id="18"/>
      <w:bookmarkEnd w:id="19"/>
      <w:bookmarkEnd w:id="20"/>
      <w:bookmarkEnd w:id="21"/>
      <w:bookmarkEnd w:id="22"/>
      <w:bookmarkEnd w:id="23"/>
      <w:bookmarkEnd w:id="24"/>
      <w:bookmarkEnd w:id="25"/>
      <w:bookmarkEnd w:id="26"/>
      <w:bookmarkEnd w:id="27"/>
    </w:p>
    <w:bookmarkEnd w:id="28"/>
    <w:bookmarkEnd w:id="29"/>
    <w:bookmarkEnd w:id="30"/>
    <w:bookmarkEnd w:id="31"/>
    <w:bookmarkEnd w:id="32"/>
    <w:bookmarkEnd w:id="33"/>
    <w:p>
      <w:pPr>
        <w:pStyle w:val="163"/>
        <w:rPr>
          <w:rFonts w:ascii="宋体" w:hAnsi="宋体" w:cs="宋体"/>
        </w:rPr>
      </w:pPr>
      <w:r>
        <w:rPr>
          <w:rFonts w:hint="eastAsia" w:ascii="宋体" w:hAnsi="宋体" w:cs="宋体"/>
        </w:rPr>
        <w:t>《博时国证粮食产业指数型发起式证券投资基金招募说明书》（以下简称“招募说明书”或“本招募说明书”）依据</w:t>
      </w:r>
      <w:r>
        <w:rPr>
          <w:rFonts w:hint="eastAsia" w:ascii="宋体" w:hAnsi="宋体" w:cs="宋体"/>
          <w:kern w:val="0"/>
        </w:rPr>
        <w:t>《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以下简称“《指数基金指引》”）</w:t>
      </w:r>
      <w:r>
        <w:rPr>
          <w:rFonts w:hint="eastAsia" w:ascii="宋体" w:hAnsi="宋体" w:cs="宋体"/>
        </w:rPr>
        <w:t>以及《博时国证粮食产业指数型发起式证券投资基金基金合同》（以下简称“《基金合同》”）编写。</w:t>
      </w:r>
    </w:p>
    <w:p>
      <w:pPr>
        <w:pStyle w:val="163"/>
        <w:rPr>
          <w:rFonts w:ascii="宋体" w:hAnsi="宋体" w:cs="宋体"/>
        </w:rPr>
      </w:pPr>
      <w:r>
        <w:rPr>
          <w:rFonts w:hint="eastAsia" w:ascii="宋体" w:hAnsi="宋体" w:cs="宋体"/>
        </w:rPr>
        <w:t>本招募说明书阐述了博时国证粮食产业指数型发起式证券投资基金（以下简称“基金”或“本基金”）的投资目标、策略、风险、费率等与投资人投资决策有关的必要事项，投资人在作出投资决策前应仔细阅读本招募说明书。</w:t>
      </w:r>
    </w:p>
    <w:p>
      <w:pPr>
        <w:pStyle w:val="163"/>
        <w:rPr>
          <w:rFonts w:ascii="宋体" w:hAnsi="宋体" w:cs="宋体"/>
        </w:rPr>
      </w:pPr>
      <w:r>
        <w:rPr>
          <w:rFonts w:hint="eastAsia" w:ascii="宋体" w:hAnsi="宋体" w:cs="宋体"/>
        </w:rPr>
        <w:t>基金管理人承诺本招募说明书不存在任何虚假记载、误导性陈述或者重大遗漏，并对其真实性、准确性、完整性承担法律责任。</w:t>
      </w:r>
    </w:p>
    <w:p>
      <w:pPr>
        <w:pStyle w:val="163"/>
        <w:rPr>
          <w:rFonts w:ascii="宋体" w:hAnsi="宋体" w:cs="宋体"/>
        </w:rPr>
      </w:pPr>
      <w:r>
        <w:rPr>
          <w:rFonts w:hint="eastAsia" w:ascii="宋体" w:hAnsi="宋体" w:cs="宋体"/>
        </w:rPr>
        <w:t>本基金是根据本招募说明书所载明的资料申请募集的。本基金管理人没有委托或授权任何其他人提供未在本招募说明书中载明的信息，或对本招募说明书作任何解释或者说明。</w:t>
      </w:r>
    </w:p>
    <w:p>
      <w:pPr>
        <w:snapToGrid w:val="0"/>
        <w:spacing w:line="360" w:lineRule="auto"/>
        <w:ind w:firstLine="420" w:firstLineChars="200"/>
        <w:rPr>
          <w:rFonts w:ascii="宋体" w:hAnsi="宋体" w:cs="宋体"/>
          <w:szCs w:val="21"/>
        </w:rPr>
      </w:pPr>
      <w:r>
        <w:rPr>
          <w:rFonts w:hint="eastAsia" w:ascii="宋体" w:hAnsi="宋体" w:cs="宋体"/>
          <w:szCs w:val="21"/>
        </w:rPr>
        <w:t>本招募说明书根据本基金的基金合同编写，并经中国证监会注册。基金合同是约定基金合同当事人之间权利、义务的法律文件。基金投资人自依基金合同取得基金份额，即成为基金份额持有人和本基金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snapToGrid w:val="0"/>
        <w:spacing w:line="360" w:lineRule="auto"/>
        <w:ind w:firstLine="420" w:firstLineChars="200"/>
        <w:rPr>
          <w:color w:val="000000"/>
          <w:szCs w:val="23"/>
        </w:rPr>
        <w:sectPr>
          <w:footerReference r:id="rId6" w:type="first"/>
          <w:footerReference r:id="rId5" w:type="default"/>
          <w:pgSz w:w="11906" w:h="16838"/>
          <w:pgMar w:top="1440" w:right="1800" w:bottom="1440" w:left="1800" w:header="851" w:footer="992" w:gutter="0"/>
          <w:pgNumType w:start="1"/>
          <w:cols w:space="425" w:num="1"/>
          <w:titlePg/>
          <w:docGrid w:type="lines" w:linePitch="312" w:charSpace="0"/>
        </w:sectPr>
      </w:pPr>
    </w:p>
    <w:p>
      <w:pPr>
        <w:pStyle w:val="3"/>
        <w:numPr>
          <w:ilvl w:val="0"/>
          <w:numId w:val="25"/>
        </w:numPr>
        <w:snapToGrid w:val="0"/>
        <w:spacing w:before="0" w:after="0" w:line="360" w:lineRule="auto"/>
        <w:jc w:val="center"/>
      </w:pPr>
      <w:bookmarkStart w:id="34" w:name="_Toc369510008"/>
      <w:bookmarkStart w:id="35" w:name="_Toc411872024"/>
      <w:bookmarkStart w:id="36" w:name="_Toc375295973"/>
      <w:bookmarkStart w:id="37" w:name="_Toc335899833"/>
      <w:bookmarkStart w:id="38" w:name="_Toc336606227"/>
      <w:bookmarkStart w:id="39" w:name="_Toc11063"/>
      <w:bookmarkStart w:id="40" w:name="_Toc332013110"/>
      <w:bookmarkStart w:id="41" w:name="_Toc15497"/>
      <w:bookmarkStart w:id="42" w:name="_Toc327902623"/>
      <w:r>
        <w:rPr>
          <w:rFonts w:hint="eastAsia"/>
        </w:rPr>
        <w:t>释义</w:t>
      </w:r>
      <w:bookmarkEnd w:id="34"/>
      <w:bookmarkEnd w:id="35"/>
      <w:bookmarkEnd w:id="36"/>
      <w:bookmarkEnd w:id="37"/>
      <w:bookmarkEnd w:id="38"/>
      <w:bookmarkEnd w:id="39"/>
      <w:bookmarkEnd w:id="40"/>
      <w:bookmarkEnd w:id="41"/>
      <w:bookmarkEnd w:id="42"/>
    </w:p>
    <w:p>
      <w:pPr>
        <w:pStyle w:val="163"/>
        <w:ind w:left="420" w:firstLine="0" w:firstLineChars="0"/>
        <w:rPr>
          <w:rFonts w:ascii="宋体" w:hAnsi="宋体" w:cs="宋体"/>
          <w:bCs/>
        </w:rPr>
      </w:pPr>
      <w:r>
        <w:rPr>
          <w:rFonts w:hint="eastAsia" w:ascii="宋体" w:hAnsi="宋体" w:cs="宋体"/>
        </w:rPr>
        <w:t xml:space="preserve">在本招募说明书中，除非文意另有所指，下列词语或简称具有如下含义： </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1、基金或本基金：指博时国证粮食产业指数型发起式证券投资基金</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2、基金管理人：指博时基金管理有限公司</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3、基金托管人：指兴业银行股份有限公司</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4、基金合同：指《博时国证粮食产业指数型发起式证券投资基金基金合同》及对基金合同的任何有效修订和补充</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5、托管协议：指基金管理人与基金托管人就本基金签订之《博时国证粮食产业指数型发起式证券投资基金托管协议》及对该托管协议的任何有效修订和补充</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6、招募说明书或本招募说明书：指《博时国证粮食产业指数型发起式证券投资基金招募说明书》及其更新</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7、基金份额发售公告：指《博时国证粮食产业指数型发起式证券投资基金基金份额发售公告》</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8、基金产品资料概要：指《博时国证粮食产业指数型发起式证券投资基金基金产品资料概要》及其更新</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9、法律法规：指中国现行有效并公布实施的法律、行政法规、规范性文件</w:t>
      </w:r>
      <w:r>
        <w:rPr>
          <w:rFonts w:ascii="宋体" w:hAnsi="宋体" w:cs="宋体"/>
          <w:kern w:val="0"/>
          <w:szCs w:val="21"/>
        </w:rPr>
        <w:t>、</w:t>
      </w:r>
      <w:r>
        <w:rPr>
          <w:rFonts w:hint="eastAsia" w:ascii="宋体" w:hAnsi="宋体" w:cs="宋体"/>
          <w:kern w:val="0"/>
          <w:szCs w:val="21"/>
        </w:rPr>
        <w:t>司法解释、行政规章以及其他对基金合同当事人有约束力的决定、决议、通知等</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10、《基金法》：指2003年10月28日经第十届全国人民代表大会常务委员会第五次会议通过，经2012年12月28日第十一届全国人民代表大会常务委员会第30 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11、《销售办法》：指中国证监会2020年8月28日颁布、同年10月1日实施的《公开募集证券投资基金销售机构监督管理办法》及颁布机关对其不时做出的修订</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12、《信息披露办法》：指中国证监会2019年7月26日颁布、同年9月1日实施，并经2020年3月20日中国证监会《关于修改部分证券期货规章的决定》修改的《公开募集证券投资基金信息披露管理办法》及颁布机关对其不时做出的修订</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13、《运作办法》：指中国证监会2014年7月7日颁布、同年8月8日实施的《公开募集证券投资基金运作管理办法》及颁布机关对其不时做出的修订</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14、《流动性风险管理规定》：指中国证监会2017年8月31日颁布、同年10月1日实施的《公开募集开放式证券投资基金流动性风险管理规定》及颁布机关对其不时做出的修订</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15、中国证监会：指中国证券监督管理委员会</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16、银行业监督管理机构：指中国人民银行和/或国家金融监督管理总局</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17、基金合同当事人：指受基金合同约束，根据基金合同享有权利并承担义务的法律主体，包括基金管理人、基金托管人和基金份额持有人</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18、个人投资者：指依据有关法律法规规定可投资于证券投资基金的自然人</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19、机构投资者：指依法可以投资证券投资基金的、在中华人民共和国境内合法登记并存续或经有关政府部门批准设立并存续的企业法人、事业法人、社会团体或其他组织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20、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21、投资人、投资者：指个人投资者、机构投资者、合格境外投资者、发起资金提供方以及法律法规或中国证监会允许购买证券投资基金的其他投资人的合称</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22、基金份额持有人：指依基金合同和招募说明书合法取得基金份额的投资人</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23、基金销售业务：指基金管理人或销售机构宣传推介基金，发售基金份额，办理基金份额的申购、赎回、转换、转托管及定期定额投资等业务</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24、销售机构：指博时基金管理有限公司以及符合《销售办法》和中国证监会规定的其他条件，取得基金销售业务资格并与基金管理人签订了基金销售服务协议，办理基金销售业务的机构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26、登记机构：指办理登记业务的机构。本基金的登记机构为博时基金管理有限公司</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27、基金账户：指登记机构为投资人开立的、记录其持有的、基金管理人所管理的基金份额余额及其变动情况的账户</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28、基金交易账户：指销售机构为投资人开立的、记录投资人通过该销售机构办理认购、申购、赎回、转换、转托管及定期定额投资等业务而引起的基金份额变动及结余情况的账户</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29、基金合同生效日：指基金募集达到法律法规规定及基金合同规定的条件，基金管理人向中国证监会办理基金备案手续完毕，并获得中国证监会书面确认的日期</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30、基金合同终止日：指基金合同规定的基金合同终止事由出现后，基金财产清算完毕，清算结果报中国证监会备案并予以公告的日期</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31、基金募集期：指自基金份额发售之日起至发售结束之日止的期间，最长不得超过3个月</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32、存续期：指基金合同生效至终止之间的不定期期限</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33、工作日：指上海证券交易所、深圳证券交易所及相关期货交易所的正常交易日</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34、T日：指销售机构在规定时间受理投资人申购、赎回或其他业务申请的开放日</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35、T+n日：指自T日起第n个工作日（不包含T日），n为自然数</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36、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37、开放时间：指开放日基金接受申购、赎回或其他交易的时间段</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38、《业务规则》：指《博时基金管理有限公司开放式基金业务规则》，是规范基金管理人所管理的开放式证券投资基金登记方面的业务规则，由基金管理人、销售机构和投资人共同遵守</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39、认购：指在基金募集期内，投资人根据基金合同和招募说明书的规定，申请购买基金份额的行为</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40、申购：指基金合同生效后，投资人根据基金合同和招募说明书的规定，申请购买基金份额的行为</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41、赎回：指基金合同生效后，基金份额持有人按基金合同和招募说明书规定的条件，要求将基金份额兑换为现金的行为</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42、基金转换：指基金份额持有人按照基金合同和基金管理人届时有效公告规定的条件，申请将其持有基金管理人管理的、某一基金的基金份额转换为基金管理人管理的其他基金基金份额的行为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43、转托管：指基金份额持有人在本基金的不同销售机构之间实施的变更所持基金份额销售机构的操作</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44、定期定额投资计划：指投资人通过有关销售机构提出申请，约定每期申购日、扣款金额及扣款方式，由销售机构于每期约定扣款日在投资人指定银行账户内自动完成扣款及受理基金申购申请的一种投资方式</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45、巨额赎回：指本基金单个开放日，基金净赎回申请（赎回申请份额总数加上基金转换中转出申请份额总数后扣除申购申请份额总数及基金转换中转入申请份额总数后的余额）超过上一</w:t>
      </w:r>
      <w:r>
        <w:rPr>
          <w:rFonts w:hint="eastAsia" w:ascii="宋体" w:hAnsi="宋体" w:cs="宋体"/>
          <w:kern w:val="0"/>
          <w:szCs w:val="21"/>
          <w:lang w:eastAsia="zh-Hans"/>
        </w:rPr>
        <w:t>工作</w:t>
      </w:r>
      <w:r>
        <w:rPr>
          <w:rFonts w:hint="eastAsia" w:ascii="宋体" w:hAnsi="宋体" w:cs="宋体"/>
          <w:kern w:val="0"/>
          <w:szCs w:val="21"/>
        </w:rPr>
        <w:t>日基金总份额的10%</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46、元：指人民币元</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47、基金收益：指基金投资所得红利、股息、债券利息、买卖证券价差、证券持有期间的公允价值变动、银行存款利息、已实现的其他合法收入及因运用基金财产带来的成本和费用的节约</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48、基金资产总值：指基金拥有的各类有价证券、银行存款本息、基金应收款项及其他资产的价值总和</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49、基金资产净值：指基金资产总值减去基金负债后的价值</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50、基金份额净值：指计算日基金资产净值除以计算日基金份额总数</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51、基金资产估值：指计算评估基金资产和负债的价值，以确定基金资产净值和基金份额净值的过程</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52、基金份额分类：指本基金分设两类基金份额：A类基金份额和C类基金份额。两类基金份额分设不同的基金代码，分别计算基金份额净值，计算公式为计算日各类别基金资产净值除以计算日发售在外的该类别基金份额总数</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53、A类基金份额：指在投资者认购、申购时收取认购、申购费用，在赎回时根据持有期限收取赎回费用，但不从本类别基金资产中计提销售服务费的基金份额类别</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54、C类基金份额：指在投资者认购、申购时不收取认购、申购费用，在赎回时根据持有期限收取赎回费用，且从本类别基金资产中计提销售服务费的基金份额类别</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55、销售服务费：指从基金财产中计提的，用于本基金市场推广、销售以及基金份额持有人服务的费用</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56、港股通：指内地投资者委托内地证券公司，经由证券交易所或经中国证监会认可的机构设立的证券交易服务公司，向香港联合交易所有限公司进行申报，买卖规定范围内的香港联合交易所上市的股票</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58、摆动定价机制：指当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59、转融通证券出借业务：指基金以一定的费率通过证券交易所综合业务平台向中国证券金融股份有限公司（以下简称证券金融公司）出借证券，证券金融公司到期归还所借证券及相应权益补偿并支付费用的业务</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60、规定媒介：指符合中国证监会规定条件的用以进行信息披露的全国性报刊及《信息披露办法》规定的互联网网站（包括基金管理人网站、基金托管人网站、中国证监会基金电子披露网站）等媒介</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6</w:t>
      </w:r>
      <w:r>
        <w:rPr>
          <w:rFonts w:ascii="宋体" w:hAnsi="宋体" w:cs="宋体"/>
          <w:kern w:val="0"/>
          <w:szCs w:val="21"/>
        </w:rPr>
        <w:t>1</w:t>
      </w:r>
      <w:r>
        <w:rPr>
          <w:rFonts w:hint="eastAsia" w:ascii="宋体" w:hAnsi="宋体" w:cs="宋体"/>
          <w:kern w:val="0"/>
          <w:szCs w:val="21"/>
        </w:rPr>
        <w:t>、中国法律：指中华人民共和国法律，就基金合同而言，不包括香港特别行政区、澳门特别行政区和台湾地区法律</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62、不可抗力：指基金合同当事人不能预见、不能避免且不能克服的客观事件</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63、《指数基金指引》：指中国证监会2021年1月22日颁布、同年2月1日实施的《公开募集证券投资基金运作指引第3号——指数基金指引》及颁布机关对其不时做出的修订</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64、发起资金：指基金管理人的股东资金、基金管理人固有资金、基金管理人高级管理人员或基金经理（指基金管理人员工中依法具有基金经理资格者，包括但可能不限于本基金的基金经理，下同）等人员参与认购的资金</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65、发起资金提供方：指以发起资金认购本基金且承诺以发起资金认购的基金份额持有期限不少于3年的基金管理人股东、基金管理人、基金管理人的高级管理人员及基金经理等人员</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66、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pacing w:line="360" w:lineRule="auto"/>
        <w:ind w:firstLine="420" w:firstLineChars="200"/>
        <w:rPr>
          <w:rFonts w:ascii="宋体" w:hAnsi="宋体" w:cs="宋体"/>
          <w:kern w:val="0"/>
          <w:szCs w:val="21"/>
        </w:rPr>
      </w:pPr>
      <w:r>
        <w:rPr>
          <w:rFonts w:hint="eastAsia" w:ascii="宋体" w:hAnsi="宋体" w:cs="宋体"/>
          <w:kern w:val="0"/>
          <w:szCs w:val="21"/>
        </w:rPr>
        <w:t>67、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pPr>
        <w:widowControl/>
        <w:jc w:val="left"/>
        <w:rPr>
          <w:rFonts w:ascii="宋体" w:hAnsi="宋体" w:cs="宋体"/>
          <w:kern w:val="0"/>
          <w:szCs w:val="21"/>
        </w:rPr>
      </w:pPr>
      <w:r>
        <w:rPr>
          <w:rFonts w:ascii="宋体" w:hAnsi="宋体" w:cs="宋体"/>
          <w:kern w:val="0"/>
          <w:szCs w:val="21"/>
        </w:rPr>
        <w:br w:type="page"/>
      </w:r>
    </w:p>
    <w:p>
      <w:pPr>
        <w:autoSpaceDE w:val="0"/>
        <w:autoSpaceDN w:val="0"/>
        <w:adjustRightInd w:val="0"/>
        <w:spacing w:line="360" w:lineRule="auto"/>
        <w:ind w:firstLine="420" w:firstLineChars="200"/>
        <w:rPr>
          <w:rFonts w:ascii="宋体" w:hAnsi="宋体" w:cs="宋体"/>
          <w:kern w:val="0"/>
          <w:szCs w:val="21"/>
        </w:rPr>
      </w:pPr>
    </w:p>
    <w:p>
      <w:pPr>
        <w:pStyle w:val="3"/>
        <w:numPr>
          <w:ilvl w:val="0"/>
          <w:numId w:val="25"/>
        </w:numPr>
        <w:snapToGrid w:val="0"/>
        <w:spacing w:before="0" w:after="0" w:line="360" w:lineRule="auto"/>
        <w:jc w:val="center"/>
      </w:pPr>
      <w:bookmarkStart w:id="43" w:name="_Toc411872025"/>
      <w:bookmarkStart w:id="44" w:name="_Toc8332"/>
      <w:bookmarkStart w:id="45" w:name="_Toc369510009"/>
      <w:bookmarkStart w:id="46" w:name="_Toc335899834"/>
      <w:bookmarkStart w:id="47" w:name="_Toc336606228"/>
      <w:bookmarkStart w:id="48" w:name="_Toc375295974"/>
      <w:bookmarkStart w:id="49" w:name="_Toc24896"/>
      <w:bookmarkStart w:id="50" w:name="_Toc327902624"/>
      <w:bookmarkStart w:id="51" w:name="_Toc332013111"/>
      <w:r>
        <w:rPr>
          <w:rFonts w:hint="eastAsia"/>
        </w:rPr>
        <w:t>基金管理人</w:t>
      </w:r>
      <w:bookmarkEnd w:id="43"/>
      <w:bookmarkEnd w:id="44"/>
      <w:bookmarkEnd w:id="45"/>
      <w:bookmarkEnd w:id="46"/>
      <w:bookmarkEnd w:id="47"/>
      <w:bookmarkEnd w:id="48"/>
      <w:bookmarkEnd w:id="49"/>
      <w:bookmarkEnd w:id="50"/>
      <w:bookmarkEnd w:id="51"/>
    </w:p>
    <w:p>
      <w:pPr>
        <w:tabs>
          <w:tab w:val="left" w:pos="3780"/>
        </w:tabs>
        <w:autoSpaceDE w:val="0"/>
        <w:autoSpaceDN w:val="0"/>
        <w:adjustRightInd w:val="0"/>
        <w:snapToGrid w:val="0"/>
        <w:spacing w:line="360" w:lineRule="auto"/>
        <w:ind w:firstLine="420" w:firstLineChars="200"/>
        <w:textAlignment w:val="bottom"/>
        <w:rPr>
          <w:rFonts w:ascii="宋体" w:hAnsi="宋体"/>
          <w:kern w:val="0"/>
          <w:szCs w:val="21"/>
        </w:rPr>
      </w:pPr>
      <w:bookmarkStart w:id="52" w:name="_Toc238013747"/>
      <w:bookmarkEnd w:id="52"/>
      <w:bookmarkStart w:id="53" w:name="_Toc524923215"/>
    </w:p>
    <w:p>
      <w:pPr>
        <w:pStyle w:val="39"/>
        <w:spacing w:before="0" w:beforeAutospacing="0" w:after="0" w:afterAutospacing="0" w:line="360" w:lineRule="auto"/>
        <w:ind w:firstLine="420"/>
        <w:rPr>
          <w:sz w:val="21"/>
          <w:szCs w:val="21"/>
        </w:rPr>
      </w:pPr>
      <w:r>
        <w:rPr>
          <w:rStyle w:val="46"/>
          <w:rFonts w:hint="eastAsia"/>
          <w:sz w:val="21"/>
          <w:szCs w:val="21"/>
        </w:rPr>
        <w:t>一、基金管理人概况</w:t>
      </w:r>
    </w:p>
    <w:p>
      <w:pPr>
        <w:spacing w:line="360" w:lineRule="auto"/>
        <w:ind w:firstLine="420" w:firstLineChars="200"/>
        <w:rPr>
          <w:rFonts w:ascii="宋体" w:hAnsi="宋体" w:cs="宋体"/>
          <w:szCs w:val="21"/>
        </w:rPr>
      </w:pPr>
      <w:bookmarkStart w:id="54" w:name="field_0_managercompanyinfo_1_start"/>
      <w:bookmarkEnd w:id="54"/>
      <w:r>
        <w:rPr>
          <w:rFonts w:hint="eastAsia" w:ascii="宋体" w:hAnsi="宋体" w:cs="宋体"/>
          <w:szCs w:val="21"/>
        </w:rPr>
        <w:t>名称：博时基金管理有限公司</w:t>
      </w:r>
    </w:p>
    <w:p>
      <w:pPr>
        <w:spacing w:line="360" w:lineRule="auto"/>
        <w:ind w:firstLine="420" w:firstLineChars="200"/>
        <w:rPr>
          <w:rFonts w:ascii="宋体" w:hAnsi="宋体" w:cs="宋体"/>
          <w:szCs w:val="21"/>
        </w:rPr>
      </w:pPr>
      <w:r>
        <w:rPr>
          <w:rFonts w:hint="eastAsia" w:ascii="宋体" w:hAnsi="宋体" w:cs="宋体"/>
          <w:szCs w:val="21"/>
        </w:rPr>
        <w:t>住所：深圳市福田区莲花街道福新社区益田路5999号基金大厦21层</w:t>
      </w:r>
    </w:p>
    <w:p>
      <w:pPr>
        <w:spacing w:line="360" w:lineRule="auto"/>
        <w:ind w:firstLine="420" w:firstLineChars="200"/>
        <w:rPr>
          <w:rFonts w:ascii="宋体" w:hAnsi="宋体" w:cs="宋体"/>
          <w:szCs w:val="21"/>
        </w:rPr>
      </w:pPr>
      <w:r>
        <w:rPr>
          <w:rFonts w:hint="eastAsia" w:ascii="宋体" w:hAnsi="宋体" w:cs="宋体"/>
          <w:szCs w:val="21"/>
        </w:rPr>
        <w:t>办公地址：广东省深圳市福田区益田路5999号基金大厦21层</w:t>
      </w:r>
    </w:p>
    <w:p>
      <w:pPr>
        <w:spacing w:line="360" w:lineRule="auto"/>
        <w:ind w:firstLine="420" w:firstLineChars="200"/>
        <w:rPr>
          <w:rFonts w:ascii="宋体" w:hAnsi="宋体" w:cs="宋体"/>
          <w:szCs w:val="21"/>
        </w:rPr>
      </w:pPr>
      <w:r>
        <w:rPr>
          <w:rFonts w:hint="eastAsia" w:ascii="宋体" w:hAnsi="宋体" w:cs="宋体"/>
          <w:szCs w:val="21"/>
        </w:rPr>
        <w:t>法定代表人：江向阳</w:t>
      </w:r>
    </w:p>
    <w:p>
      <w:pPr>
        <w:spacing w:line="360" w:lineRule="auto"/>
        <w:ind w:firstLine="420" w:firstLineChars="200"/>
        <w:rPr>
          <w:rFonts w:ascii="宋体" w:hAnsi="宋体" w:cs="宋体"/>
          <w:szCs w:val="21"/>
        </w:rPr>
      </w:pPr>
      <w:r>
        <w:rPr>
          <w:rFonts w:hint="eastAsia" w:ascii="宋体" w:hAnsi="宋体" w:cs="宋体"/>
          <w:szCs w:val="21"/>
        </w:rPr>
        <w:t>成立时间：1998年7月13日</w:t>
      </w:r>
    </w:p>
    <w:p>
      <w:pPr>
        <w:spacing w:line="360" w:lineRule="auto"/>
        <w:ind w:firstLine="420" w:firstLineChars="200"/>
        <w:rPr>
          <w:rFonts w:ascii="宋体" w:hAnsi="宋体" w:cs="宋体"/>
          <w:szCs w:val="21"/>
        </w:rPr>
      </w:pPr>
      <w:r>
        <w:rPr>
          <w:rFonts w:hint="eastAsia" w:ascii="宋体" w:hAnsi="宋体" w:cs="宋体"/>
          <w:szCs w:val="21"/>
        </w:rPr>
        <w:t>注册资本：2.5亿元人民币</w:t>
      </w:r>
    </w:p>
    <w:p>
      <w:pPr>
        <w:spacing w:line="360" w:lineRule="auto"/>
        <w:ind w:firstLine="420" w:firstLineChars="200"/>
        <w:rPr>
          <w:rFonts w:ascii="宋体" w:hAnsi="宋体" w:cs="宋体"/>
          <w:szCs w:val="21"/>
        </w:rPr>
      </w:pPr>
      <w:r>
        <w:rPr>
          <w:rFonts w:hint="eastAsia" w:ascii="宋体" w:hAnsi="宋体" w:cs="宋体"/>
          <w:szCs w:val="21"/>
        </w:rPr>
        <w:t>存续期间：持续经营</w:t>
      </w:r>
    </w:p>
    <w:p>
      <w:pPr>
        <w:spacing w:line="360" w:lineRule="auto"/>
        <w:ind w:firstLine="420" w:firstLineChars="200"/>
        <w:rPr>
          <w:rFonts w:ascii="宋体" w:hAnsi="宋体" w:cs="宋体"/>
          <w:szCs w:val="21"/>
        </w:rPr>
      </w:pPr>
      <w:r>
        <w:rPr>
          <w:rFonts w:hint="eastAsia" w:ascii="宋体" w:hAnsi="宋体" w:cs="宋体"/>
          <w:szCs w:val="21"/>
        </w:rPr>
        <w:t>联系人：王济帆</w:t>
      </w:r>
    </w:p>
    <w:p>
      <w:pPr>
        <w:spacing w:line="360" w:lineRule="auto"/>
        <w:ind w:firstLine="420" w:firstLineChars="200"/>
        <w:rPr>
          <w:rFonts w:ascii="宋体" w:hAnsi="宋体" w:cs="宋体"/>
          <w:szCs w:val="21"/>
        </w:rPr>
      </w:pPr>
      <w:r>
        <w:rPr>
          <w:rFonts w:hint="eastAsia" w:ascii="宋体" w:hAnsi="宋体" w:cs="宋体"/>
          <w:szCs w:val="21"/>
        </w:rPr>
        <w:t>联系电话：（0755）8316 9999</w:t>
      </w:r>
    </w:p>
    <w:p>
      <w:pPr>
        <w:pStyle w:val="39"/>
        <w:spacing w:before="0" w:beforeAutospacing="0" w:after="0" w:afterAutospacing="0" w:line="360" w:lineRule="auto"/>
        <w:ind w:firstLine="420"/>
        <w:rPr>
          <w:sz w:val="21"/>
          <w:szCs w:val="21"/>
        </w:rPr>
      </w:pPr>
      <w:r>
        <w:rPr>
          <w:rFonts w:hint="eastAsia"/>
          <w:sz w:val="21"/>
          <w:szCs w:val="21"/>
        </w:rPr>
        <w:t>博时基金管理有限公司（以下简称“公司”）经中国证监会证监基字[1998]26号文批准设立。目前公司股东为招商证券股份有限公司，持有股份49%；中国长城资产管理公司，持有股份25%；天津港（集团）有限公司，持有股份6％；上海汇华实业有限公司，持有股份12％；上海盛业股权投资基金有限公司，持有股份6％；浙江省国贸集团资产经营有限公司，持有股份2%。注册资本为2.5亿元人民币。</w:t>
      </w:r>
    </w:p>
    <w:p>
      <w:pPr>
        <w:pStyle w:val="39"/>
        <w:spacing w:before="0" w:beforeAutospacing="0" w:after="0" w:afterAutospacing="0" w:line="360" w:lineRule="auto"/>
        <w:ind w:firstLine="420"/>
        <w:rPr>
          <w:sz w:val="21"/>
          <w:szCs w:val="21"/>
        </w:rPr>
      </w:pPr>
      <w:r>
        <w:rPr>
          <w:rFonts w:hint="eastAsia"/>
          <w:sz w:val="21"/>
          <w:szCs w:val="21"/>
        </w:rPr>
        <w:t>公司设立了投资决策委员会。投资决策委员会负责指导基金资产的运作、确定基本的投资策略和投资组合的原则。</w:t>
      </w:r>
    </w:p>
    <w:p>
      <w:pPr>
        <w:pStyle w:val="39"/>
        <w:spacing w:before="0" w:beforeAutospacing="0" w:after="0" w:afterAutospacing="0" w:line="360" w:lineRule="auto"/>
        <w:ind w:firstLine="420"/>
        <w:rPr>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p>
    <w:p>
      <w:pPr>
        <w:pStyle w:val="39"/>
        <w:spacing w:before="0" w:beforeAutospacing="0" w:after="0" w:afterAutospacing="0" w:line="360" w:lineRule="auto"/>
        <w:ind w:firstLine="420"/>
        <w:rPr>
          <w:sz w:val="21"/>
          <w:szCs w:val="21"/>
        </w:rPr>
      </w:pPr>
      <w:r>
        <w:rPr>
          <w:rStyle w:val="46"/>
          <w:rFonts w:hint="eastAsia"/>
          <w:sz w:val="21"/>
          <w:szCs w:val="21"/>
        </w:rPr>
        <w:t>二、主要成员情况</w:t>
      </w:r>
    </w:p>
    <w:p>
      <w:pPr>
        <w:pStyle w:val="39"/>
        <w:spacing w:before="0" w:beforeAutospacing="0" w:after="0" w:afterAutospacing="0" w:line="360" w:lineRule="auto"/>
        <w:ind w:firstLine="420"/>
        <w:rPr>
          <w:sz w:val="21"/>
          <w:szCs w:val="21"/>
        </w:rPr>
      </w:pPr>
      <w:r>
        <w:rPr>
          <w:rFonts w:hint="eastAsia"/>
          <w:sz w:val="21"/>
          <w:szCs w:val="21"/>
        </w:rPr>
        <w:t>1、基金管理人董事会成员</w:t>
      </w:r>
    </w:p>
    <w:p>
      <w:pPr>
        <w:pStyle w:val="39"/>
        <w:spacing w:before="0" w:beforeAutospacing="0" w:after="0" w:afterAutospacing="0" w:line="360" w:lineRule="auto"/>
        <w:ind w:firstLine="420"/>
        <w:rPr>
          <w:sz w:val="21"/>
          <w:szCs w:val="21"/>
        </w:rPr>
      </w:pPr>
      <w:r>
        <w:rPr>
          <w:rFonts w:hint="eastAsia"/>
          <w:sz w:val="21"/>
          <w:szCs w:val="21"/>
        </w:rPr>
        <w:t>江向阳先生，博士。中共党员，南开大学国际金融博士，清华大学金融媒体EMBA。1986-1990年就读于北京师范大学信息与情报学系，获学士学位；1994-1997年就读于中国政法大学研究生院，获法学硕士学位；2003-2006年，就读于南开大学国际经济研究所，获国际金融博士学位。1997年8月至2014年12月就职于中国证监会，历任办公厅、党办副主任兼新闻办（网信办）主任；中国证监会办公厅副巡视员；中国证监会深圳专员办处长、副专员；中国证监会期货监管部副处长、处长。2015年1月至7月，任招商局金融集团副总经理、博时基金管理有限公司党委副书记。2015年7月至2020年10月任博时基金管理有限公司总经理。自2020年1月9日至2020年4月15日代为履行博时基金董事长职务。自2020年4月1日起任博时基金管理有限公司党委书记。自2020年4月15日起，任博时基金管理有限公司董事长。自2023年11月10日起，代为履行博时基金管理有限公司总经理职务。</w:t>
      </w:r>
    </w:p>
    <w:p>
      <w:pPr>
        <w:pStyle w:val="39"/>
        <w:spacing w:before="0" w:beforeAutospacing="0" w:after="0" w:afterAutospacing="0" w:line="360" w:lineRule="auto"/>
        <w:ind w:firstLine="420"/>
        <w:rPr>
          <w:sz w:val="21"/>
          <w:szCs w:val="21"/>
        </w:rPr>
      </w:pPr>
      <w:r>
        <w:rPr>
          <w:rFonts w:hint="eastAsia"/>
          <w:sz w:val="21"/>
          <w:szCs w:val="21"/>
        </w:rPr>
        <w:t>余志良先生，会计师。本科毕业于厦门大学会计学系，获管理学学士学位，研究生毕业于香港中文大学，获金融工商管理硕士（FMBA）。现任招商局集团有限公司财务部（产权部）副部长。历任招商局蛇口工业区控股股份有限公司董事会秘书、总经理助理、财务管理部总经理，招商局置地有限公司总经理，招商局地产控股股份有限公司厦门公司财务总监、瑞嘉投资实业有限公司财务总监。</w:t>
      </w:r>
    </w:p>
    <w:p>
      <w:pPr>
        <w:pStyle w:val="39"/>
        <w:spacing w:before="0" w:beforeAutospacing="0" w:after="0" w:afterAutospacing="0" w:line="360" w:lineRule="auto"/>
        <w:ind w:firstLine="420"/>
        <w:rPr>
          <w:sz w:val="21"/>
          <w:szCs w:val="21"/>
        </w:rPr>
      </w:pPr>
      <w:r>
        <w:rPr>
          <w:rFonts w:hint="eastAsia"/>
          <w:sz w:val="21"/>
          <w:szCs w:val="21"/>
        </w:rPr>
        <w:t>马伯寅先生，博士。分别于1997年7月、2001年7月、2010年1月在北京大学法学院获得法学学士学位、法学硕士学位和法学博士学位。自1997年7月至2004年9月，就职于北京大学团委，分别任干部、宣传部部长、副书记；2004年9月至2014年4月，就职于中国保险监督管理委员会，分别任党委组织部组织处副处级干部、党委组织部组织处副处长、党委组织部组织处处长；2010年3月至2011年8月任中国保险监督管理委员会驻中华保险风险处置工作组成员、广深工作组组长，中华财产保险股份公司党委委员、副总经理。2014年4月至2015年10月任中国保险监督管理委员会青岛监管局党委委员、副局长；2015年10月至2018年9月任中国保险监督管理委员会办公厅副巡视员；2016年8月至2018年9月任深圳市政府副秘书长（挂职）；2018年9月至2019年2月任招商局金融集团有限公司党委委员、副总经理；2018年9月至2022年9月任招商局金融事业群/平台党委委员、执行委员会执行委员（常务）；2022年9月至今招商局金融控股有限公司党委委员、副总经理、首席合规官。</w:t>
      </w:r>
    </w:p>
    <w:p>
      <w:pPr>
        <w:pStyle w:val="39"/>
        <w:spacing w:before="0" w:beforeAutospacing="0" w:after="0" w:afterAutospacing="0" w:line="360" w:lineRule="auto"/>
        <w:ind w:firstLine="420"/>
        <w:rPr>
          <w:sz w:val="21"/>
          <w:szCs w:val="21"/>
        </w:rPr>
      </w:pPr>
      <w:r>
        <w:rPr>
          <w:rFonts w:hint="eastAsia"/>
          <w:sz w:val="21"/>
          <w:szCs w:val="21"/>
        </w:rPr>
        <w:t>赵文武先生，中共党员，硕士。1991年10月至2009年4月，于合肥百货大楼股份有限公司任职，历任董事会秘书、董事、总经理助理、副总经理；2009年4月至2010年6月，任合肥百货大楼集团股份有限公司董事、副董事长、党委副书记、总经理；2010年6月至2015年2月，任合肥市国有资产控股有限公司董事、总经理、党委副书记，同时兼任安徽国风集团有限公司、安徽国风塑业股份有限公司党委书记、董事长；2015年2月至2018年2月，任合肥市产业投资控股（集团）有限公司董事、党委副书记、总经理;2019年2月至2021年1月，任长城国融投资管理有限公司董事、党委委员、副总经理；2021年1月至今，任中国长城资产管理股份有限公司资产经营六部副总经理。</w:t>
      </w:r>
    </w:p>
    <w:p>
      <w:pPr>
        <w:pStyle w:val="39"/>
        <w:spacing w:before="0" w:beforeAutospacing="0" w:after="0" w:afterAutospacing="0" w:line="360" w:lineRule="auto"/>
        <w:ind w:firstLine="420"/>
        <w:rPr>
          <w:sz w:val="21"/>
          <w:szCs w:val="21"/>
        </w:rPr>
      </w:pPr>
      <w:r>
        <w:rPr>
          <w:rFonts w:hint="eastAsia"/>
          <w:sz w:val="21"/>
          <w:szCs w:val="21"/>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pPr>
        <w:pStyle w:val="39"/>
        <w:spacing w:before="0" w:beforeAutospacing="0" w:after="0" w:afterAutospacing="0" w:line="360" w:lineRule="auto"/>
        <w:ind w:firstLine="420"/>
        <w:rPr>
          <w:sz w:val="21"/>
          <w:szCs w:val="21"/>
        </w:rPr>
      </w:pPr>
      <w:r>
        <w:rPr>
          <w:rFonts w:hint="eastAsia"/>
          <w:sz w:val="21"/>
          <w:szCs w:val="21"/>
        </w:rPr>
        <w:t>姜立军先生，1955年生，会计师，工商管理硕士（MBA）。1974年12月参加工作，历任中国远洋运输总公司财务处科员、中国-坦桑尼亚联合海运服务公司财务部经理、日本中铃海运服务公司财务部经理、中远（英国）公司财务部经理、香港益丰船务公司财务部经理、香港-佛罗伦租箱公司（香港上市公司）副总经理、中远太平洋有限公司（香港上市公司）副总经理、中远日本公司财务部长和营业副本部长、中远集装箱运输有限公司副总会计师等职。2002年8月至2008年7月，任中远航运股份有限公司（A股上市公司）首席执行官、董事。2008年8月至2011年12月，任中远投资（新加坡）有限公司（新加坡上市公司）总裁、董事会副主席、中远控股（新加坡）有限公司总裁；并任新加坡中资企业协会会长。2011年11月至2015年12月，任中国远洋控股股份有限公司执行（A+H上市公司）执行董事、总经理。2012年2月至2015年12月，兼任中国上市公司协会副监事长、天津上市公司协会副会长；2014年9月至2015年12月，兼任中国上市公司协会监事会专业委员会副主任委员。自2017年11月3日起，任博时基金管理有限公司独立董事。</w:t>
      </w:r>
    </w:p>
    <w:p>
      <w:pPr>
        <w:pStyle w:val="39"/>
        <w:spacing w:before="0" w:beforeAutospacing="0" w:after="0" w:afterAutospacing="0" w:line="360" w:lineRule="auto"/>
        <w:ind w:firstLine="420"/>
        <w:rPr>
          <w:sz w:val="21"/>
          <w:szCs w:val="21"/>
        </w:rPr>
      </w:pPr>
      <w:r>
        <w:rPr>
          <w:rFonts w:hint="eastAsia"/>
          <w:sz w:val="21"/>
          <w:szCs w:val="21"/>
        </w:rPr>
        <w:t>赵如冰先生，1956年生，教授级高级工程师，国际金融专业经济学硕士研究生。赵如冰先生历任葛洲坝水力发电厂工程师、高级工程师、葛洲坝二江电厂电气分厂主任、书记；1989年7月至1991年10月任葛洲坝至上海正负50万伏超高压直流输电换流站书记兼站长，主持参加了我国第一条直流输电工程的安装调试和运行。1991年10月至1995年12月任厂办公室主任兼外事办公室主任。1995年12月至1999年12月，赵如冰先生任华能南方开发公司党组书记、总经理，兼任中国华能集团董事、深圳南山热电股份有限公司（上市公司代码0037）副董事长、长城证券有限责任公司副董事长、深圳华能电讯有限公司董事长。2000年1月至2004年7月，华能南方公司被国家电力公司重组后，任华能房地产开发公司副总经理，长城证券有限责任公司副董事长。2004年7月至2009年3月，赵如冰先生任华能房地产开发公司党组书记、总经理。2009年12月至2016年8月, 赵如冰先生任景顺长城基金管理公司董事长、景顺长城资产管理（深圳）公司董事长兼长城证券公司党委副书记。2016年8月至2020年3月, 赵如冰先生任阳光资产管理股份有限公司副董事长；2016年8月至今,任西南证券、百隆东方独立董事，2020年3月至今深圳市深粮控股股份有限公司独立董事。自2017年11月3日起，任博时基金管理有限公司独立董事。</w:t>
      </w:r>
    </w:p>
    <w:p>
      <w:pPr>
        <w:pStyle w:val="39"/>
        <w:spacing w:before="0" w:beforeAutospacing="0" w:after="0" w:afterAutospacing="0" w:line="360" w:lineRule="auto"/>
        <w:ind w:firstLine="420"/>
        <w:rPr>
          <w:sz w:val="21"/>
          <w:szCs w:val="21"/>
        </w:rPr>
      </w:pPr>
      <w:r>
        <w:rPr>
          <w:rFonts w:hint="eastAsia"/>
          <w:sz w:val="21"/>
          <w:szCs w:val="21"/>
        </w:rPr>
        <w:t>宋子洲先生，1960年生，中国保险资产管理业协会金融科技委员会主任委员。历任中国人寿保险公司稽核部制度处处长、资金运用部财会监督处处长、资金运用中心副总经理，中国人寿资产管理有限公司风险管理及合规部总监、首席风险官、副总裁。从事保险资金投资管理工作20余年，在保险资产管理公司的投资、运营、风险管理等方面积累了丰富的经验。自2020年12月8日起，任博时基金管理有限公司独立董事。</w:t>
      </w:r>
    </w:p>
    <w:p>
      <w:pPr>
        <w:pStyle w:val="39"/>
        <w:spacing w:before="0" w:beforeAutospacing="0" w:after="0" w:afterAutospacing="0" w:line="360" w:lineRule="auto"/>
        <w:ind w:firstLine="420"/>
        <w:rPr>
          <w:sz w:val="21"/>
          <w:szCs w:val="21"/>
        </w:rPr>
      </w:pPr>
      <w:r>
        <w:rPr>
          <w:rFonts w:hint="eastAsia"/>
          <w:sz w:val="21"/>
          <w:szCs w:val="21"/>
        </w:rPr>
        <w:t>2、基金管理人监事会成员</w:t>
      </w:r>
    </w:p>
    <w:p>
      <w:pPr>
        <w:pStyle w:val="39"/>
        <w:spacing w:before="0" w:beforeAutospacing="0" w:after="0" w:afterAutospacing="0" w:line="360" w:lineRule="auto"/>
        <w:ind w:firstLine="420"/>
        <w:rPr>
          <w:sz w:val="21"/>
          <w:szCs w:val="21"/>
        </w:rPr>
      </w:pPr>
      <w:r>
        <w:rPr>
          <w:rFonts w:hint="eastAsia"/>
          <w:sz w:val="21"/>
          <w:szCs w:val="21"/>
        </w:rPr>
        <w:t>张日忠先生，硕士，会计师、英国特许会计师。先后在中央财经大学获得学士学位、在The University of Westminster获得硕士学位。自1991年7月起加入招商局集团，先后任招商局集团财务部文员，副主任、主任、总经理助理，招商局控股（英国）有限公司财务总监，招商局集团财务部副总经理，招商局国际有限公司（招商局港口）财务总监、纪委书记、副总经理、党委副书记，招商局投资发展有限公司总经理、党委书记，招商局资本管理有限责任公司总经理、CEO、党委书记。2021年8月至今，任招商局投资发展有限公司总经理。</w:t>
      </w:r>
    </w:p>
    <w:p>
      <w:pPr>
        <w:pStyle w:val="39"/>
        <w:spacing w:before="0" w:beforeAutospacing="0" w:after="0" w:afterAutospacing="0" w:line="360" w:lineRule="auto"/>
        <w:ind w:firstLine="420"/>
        <w:rPr>
          <w:sz w:val="21"/>
          <w:szCs w:val="21"/>
        </w:rPr>
      </w:pPr>
      <w:r>
        <w:rPr>
          <w:rFonts w:hint="eastAsia"/>
          <w:sz w:val="21"/>
          <w:szCs w:val="21"/>
        </w:rPr>
        <w:t>蒋伟先生，硕士。2011年3月至2017年5月就职于中国长城资产管理公司，分别任办公室外事处一级业务员、业务副主管、业务主管。2017年5月至2020年7月就职于长城罗斯基金管理有限公司任行政总监/执行董事。2020年7月至今任中国长城资产管理有限公司资产经营三部副高级经理（处室负责人）。</w:t>
      </w:r>
    </w:p>
    <w:p>
      <w:pPr>
        <w:pStyle w:val="39"/>
        <w:spacing w:before="0" w:beforeAutospacing="0" w:after="0" w:afterAutospacing="0" w:line="360" w:lineRule="auto"/>
        <w:ind w:firstLine="420"/>
        <w:rPr>
          <w:sz w:val="21"/>
          <w:szCs w:val="21"/>
        </w:rPr>
      </w:pPr>
      <w:r>
        <w:rPr>
          <w:rFonts w:hint="eastAsia"/>
          <w:sz w:val="21"/>
          <w:szCs w:val="21"/>
        </w:rPr>
        <w:t>赵兴利先生，硕士。1987年至1995年就职于天津港务局计财处。1995年至2012年5月先后任天津港贸易公司财务科科长、天津港（集团）公司委派货运公司会计主管、华夏人寿保险股份有限公司财务部总经理、天津港财务有限公司常务副总经理。2012年5月至2020年6月就职于天津港（集团）有限公司金融事业部副部长，天津港（集团）有限公司计财部副部长。2020年6月至今任天津港（集团）有限公司专职董监事。自2013年3月起，任博时基金管理有限公司监事。</w:t>
      </w:r>
    </w:p>
    <w:p>
      <w:pPr>
        <w:pStyle w:val="39"/>
        <w:spacing w:before="0" w:beforeAutospacing="0" w:after="0" w:afterAutospacing="0" w:line="360" w:lineRule="auto"/>
        <w:ind w:firstLine="420"/>
        <w:rPr>
          <w:sz w:val="21"/>
          <w:szCs w:val="21"/>
        </w:rPr>
      </w:pPr>
      <w:r>
        <w:rPr>
          <w:rFonts w:hint="eastAsia"/>
          <w:sz w:val="21"/>
          <w:szCs w:val="21"/>
        </w:rPr>
        <w:t>严斌先生，硕士。1997年7月起先后在华侨城集团公司、博时基金管理有限公司工作。现任博时基金管理有限公司财务部总经理。自2015年5月起，任博时基金管理有限公司监事。</w:t>
      </w:r>
    </w:p>
    <w:p>
      <w:pPr>
        <w:pStyle w:val="39"/>
        <w:spacing w:before="0" w:beforeAutospacing="0" w:after="0" w:afterAutospacing="0" w:line="360" w:lineRule="auto"/>
        <w:ind w:firstLine="420"/>
        <w:rPr>
          <w:sz w:val="21"/>
          <w:szCs w:val="21"/>
        </w:rPr>
      </w:pPr>
      <w:r>
        <w:rPr>
          <w:rFonts w:hint="eastAsia"/>
          <w:sz w:val="21"/>
          <w:szCs w:val="21"/>
        </w:rPr>
        <w:t>黄健斌先生，工商管理硕士。1995年起先后在广发证券有限公司、广发基金管理有限责任公司投资管理部、中银国际基金管理有限公司基金管理部工作。2005年加入博时基金管理公司，历任固定收益部基金经理、博时平衡配置混合型基金基金经理、固定收益部副总经理、社保组合投资经理、固定收益部总经理、固定收益总部董事总经理、年金投资部总经理、公司总经理助理。现任公司首席资产配置官兼社保组合投资经理。自2016年3月18日起，担任博时基金管理有限公司监事。</w:t>
      </w:r>
    </w:p>
    <w:p>
      <w:pPr>
        <w:pStyle w:val="39"/>
        <w:spacing w:before="0" w:beforeAutospacing="0" w:after="0" w:afterAutospacing="0" w:line="360" w:lineRule="auto"/>
        <w:ind w:firstLine="420"/>
        <w:rPr>
          <w:sz w:val="21"/>
          <w:szCs w:val="21"/>
        </w:rPr>
      </w:pPr>
      <w:r>
        <w:rPr>
          <w:rFonts w:hint="eastAsia"/>
          <w:sz w:val="21"/>
          <w:szCs w:val="21"/>
        </w:rPr>
        <w:t>车宏原先生，工学硕士。1985年至1989年在四川大学计算机系学习，获得学士学位。1989年至1992年在清华大学计算机系学习，获得硕士学位。1992年至1995年深圳市天元金融电子有限公司任技术部负责人，1995年至2000年在中国农业银行总行南方软件开发中心担任副总工程师，2001年至2003年在太极华清信息系统有限公司担任副总经理，2003年至2014年在景顺长城基金管理有限公司担任信息技术总监，2014年至2015年任中财国信（深圳）有限公司总经理，2015年至今担任博时基金管理有限公司信息技术部总经理。</w:t>
      </w:r>
    </w:p>
    <w:p>
      <w:pPr>
        <w:pStyle w:val="39"/>
        <w:spacing w:before="0" w:beforeAutospacing="0" w:after="0" w:afterAutospacing="0" w:line="360" w:lineRule="auto"/>
        <w:ind w:firstLine="420"/>
        <w:rPr>
          <w:sz w:val="21"/>
          <w:szCs w:val="21"/>
        </w:rPr>
      </w:pPr>
      <w:r>
        <w:rPr>
          <w:rFonts w:hint="eastAsia"/>
          <w:sz w:val="21"/>
          <w:szCs w:val="21"/>
        </w:rPr>
        <w:t>3、高级管理人员</w:t>
      </w:r>
    </w:p>
    <w:p>
      <w:pPr>
        <w:pStyle w:val="39"/>
        <w:spacing w:before="0" w:beforeAutospacing="0" w:after="0" w:afterAutospacing="0" w:line="360" w:lineRule="auto"/>
        <w:ind w:firstLine="420"/>
        <w:rPr>
          <w:sz w:val="21"/>
          <w:szCs w:val="21"/>
        </w:rPr>
      </w:pPr>
      <w:r>
        <w:rPr>
          <w:rFonts w:hint="eastAsia"/>
          <w:sz w:val="21"/>
          <w:szCs w:val="21"/>
        </w:rPr>
        <w:t>江向阳先生，简历同上。</w:t>
      </w:r>
    </w:p>
    <w:p>
      <w:pPr>
        <w:pStyle w:val="39"/>
        <w:spacing w:before="0" w:beforeAutospacing="0" w:after="0" w:afterAutospacing="0" w:line="360" w:lineRule="auto"/>
        <w:ind w:firstLine="420"/>
        <w:rPr>
          <w:sz w:val="21"/>
          <w:szCs w:val="21"/>
        </w:rPr>
      </w:pPr>
      <w:r>
        <w:rPr>
          <w:rFonts w:hint="eastAsia"/>
          <w:sz w:val="21"/>
          <w:szCs w:val="21"/>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p>
    <w:p>
      <w:pPr>
        <w:pStyle w:val="39"/>
        <w:spacing w:before="0" w:beforeAutospacing="0" w:after="0" w:afterAutospacing="0" w:line="360" w:lineRule="auto"/>
        <w:ind w:firstLine="420"/>
        <w:rPr>
          <w:sz w:val="21"/>
          <w:szCs w:val="21"/>
        </w:rPr>
      </w:pPr>
      <w:r>
        <w:rPr>
          <w:rFonts w:hint="eastAsia"/>
          <w:sz w:val="21"/>
          <w:szCs w:val="21"/>
        </w:rPr>
        <w:t>王德英先生，硕士，副总经理。1995年起先后在北京清华计算机公司任开发部经理、清华紫光股份公司CAD与信息事业部任总工程师。2000年加入博时基金管理有限公司，历任行政管理部副经理，电脑部副经理、信息技术部总经理。现任公司副总经理、首席信息官，主管IT、指数与量化投资、养老金、基金零售等工作，兼任博时财富基金销售有限公司董事长、博时资本管理有限公司董事。</w:t>
      </w:r>
    </w:p>
    <w:p>
      <w:pPr>
        <w:pStyle w:val="39"/>
        <w:spacing w:before="0" w:beforeAutospacing="0" w:after="0" w:afterAutospacing="0" w:line="360" w:lineRule="auto"/>
        <w:ind w:firstLine="420"/>
        <w:rPr>
          <w:sz w:val="21"/>
          <w:szCs w:val="21"/>
        </w:rPr>
      </w:pPr>
      <w:r>
        <w:rPr>
          <w:rFonts w:hint="eastAsia"/>
          <w:sz w:val="21"/>
          <w:szCs w:val="21"/>
        </w:rPr>
        <w:t>徐卫先生，硕士，副总经理。1993年起先后在深圳市证券管理办公室、中国证监会、摩根士丹利华鑫基金工作。2015年6月加入博时基金管理有限公司，现任公司副总经理，兼博时资本管理有限公司董事、博时财富基金销售有限公司董事。</w:t>
      </w:r>
    </w:p>
    <w:p>
      <w:pPr>
        <w:tabs>
          <w:tab w:val="left" w:pos="3780"/>
        </w:tabs>
        <w:autoSpaceDE w:val="0"/>
        <w:autoSpaceDN w:val="0"/>
        <w:adjustRightInd w:val="0"/>
        <w:snapToGrid w:val="0"/>
        <w:spacing w:before="0" w:beforeAutospacing="0" w:after="0" w:afterAutospacing="0" w:line="360" w:lineRule="auto"/>
        <w:ind w:firstLine="420" w:firstLineChars="200"/>
        <w:textAlignment w:val="bottom"/>
        <w:rPr>
          <w:rFonts w:hint="eastAsia" w:ascii="宋体" w:hAnsi="宋体" w:eastAsia="宋体" w:cs="宋体"/>
          <w:kern w:val="0"/>
          <w:sz w:val="21"/>
          <w:szCs w:val="21"/>
        </w:rPr>
      </w:pPr>
      <w:r>
        <w:rPr>
          <w:rFonts w:hint="eastAsia" w:ascii="宋体" w:hAnsi="宋体" w:eastAsia="宋体" w:cs="宋体"/>
          <w:kern w:val="0"/>
          <w:sz w:val="21"/>
          <w:szCs w:val="21"/>
        </w:rPr>
        <w:t>孙麒清女士，商法学硕士，督察长。曾供职于广东深港律师事务所。2002年加入博时基金管理有限公司，历任监察法律部法律顾问、监察法律部总经理。现任公司督察长，兼任博时资本管理有限公司副董事长、博时财富基金销售有限公司董事。  </w:t>
      </w:r>
      <w:bookmarkStart w:id="55" w:name="field_0_managerpersoninfo_1_end"/>
      <w:bookmarkEnd w:id="55"/>
      <w:r>
        <w:rPr>
          <w:rFonts w:hint="eastAsia" w:ascii="宋体" w:hAnsi="宋体" w:eastAsia="宋体" w:cs="宋体"/>
          <w:kern w:val="0"/>
          <w:sz w:val="21"/>
          <w:szCs w:val="21"/>
        </w:rPr>
        <w:t xml:space="preserve">  </w:t>
      </w:r>
    </w:p>
    <w:p>
      <w:pPr>
        <w:spacing w:line="360" w:lineRule="auto"/>
        <w:ind w:firstLine="420" w:firstLineChars="200"/>
        <w:rPr>
          <w:rFonts w:ascii="宋体" w:hAnsi="宋体" w:cs="宋体"/>
          <w:kern w:val="0"/>
          <w:szCs w:val="21"/>
        </w:rPr>
      </w:pPr>
      <w:r>
        <w:rPr>
          <w:rFonts w:hint="eastAsia" w:ascii="宋体" w:hAnsi="宋体" w:cs="宋体"/>
          <w:kern w:val="0"/>
          <w:szCs w:val="21"/>
        </w:rPr>
        <w:t>4、本基金基金经理</w:t>
      </w:r>
    </w:p>
    <w:p>
      <w:pPr>
        <w:spacing w:line="360" w:lineRule="auto"/>
        <w:ind w:firstLine="420" w:firstLineChars="0"/>
        <w:jc w:val="left"/>
        <w:rPr>
          <w:rFonts w:hint="eastAsia" w:ascii="宋体" w:hAnsi="宋体" w:eastAsia="宋体" w:cs="宋体"/>
          <w:kern w:val="0"/>
          <w:szCs w:val="21"/>
        </w:rPr>
      </w:pPr>
      <w:r>
        <w:rPr>
          <w:rFonts w:hint="eastAsia" w:ascii="宋体" w:hAnsi="宋体" w:eastAsia="宋体" w:cs="宋体"/>
          <w:kern w:val="0"/>
          <w:szCs w:val="21"/>
        </w:rPr>
        <w:t>王祥先生，学士。2006年起先后在中粮期货、工商银行总行工作。2015年加入博时基金管理有限公司。曾任基金经理助理。现任上证自然资源交易型开放式指数证券投资基金(2016年11月2日—至今)、博时黄金交易型开放式证券投资基金(2016年11月2日—至今)、博时黄金交易型开放式证券投资基金联接基金(2016年11月2日—至今)、博时上证自然资源交易型开放式指数证券投资基金联接基金(2016年11月2日—至今)、博时中证光伏产业指数证券投资基金(2022年8月16日—至今)、博时中证疫苗与生物技术交易型开放式指数证券投资基金(2022年11月8日—至今)、博时中证农业主题指数型发起式证券投资基金(2022年12月13日—至今)、博时中证有色金属矿业主题指数证券投资基金(2023年5月16日—至今)、博时标普石油天然气勘探及生产精选行业指数型发起式证券投资基金（QDII）(2023年9月5日—至今)的基金经理。</w:t>
      </w:r>
    </w:p>
    <w:p>
      <w:pPr>
        <w:spacing w:line="360" w:lineRule="auto"/>
        <w:ind w:firstLine="420" w:firstLineChars="0"/>
        <w:jc w:val="left"/>
        <w:rPr>
          <w:rFonts w:hint="eastAsia" w:ascii="宋体" w:hAnsi="宋体" w:eastAsia="宋体" w:cs="宋体"/>
          <w:kern w:val="0"/>
          <w:szCs w:val="21"/>
        </w:rPr>
      </w:pPr>
      <w:r>
        <w:rPr>
          <w:rFonts w:hint="eastAsia" w:ascii="宋体" w:hAnsi="宋体" w:eastAsia="宋体" w:cs="宋体"/>
          <w:kern w:val="0"/>
          <w:szCs w:val="21"/>
        </w:rPr>
        <w:t>5、投资决策委员会成员</w:t>
      </w:r>
    </w:p>
    <w:p>
      <w:pPr>
        <w:spacing w:line="360" w:lineRule="auto"/>
        <w:ind w:firstLine="420" w:firstLineChars="0"/>
        <w:jc w:val="left"/>
        <w:rPr>
          <w:rFonts w:ascii="宋体" w:hAnsi="宋体" w:eastAsia="宋体" w:cs="宋体"/>
          <w:kern w:val="0"/>
          <w:szCs w:val="21"/>
        </w:rPr>
      </w:pPr>
      <w:r>
        <w:rPr>
          <w:rFonts w:hint="eastAsia" w:ascii="宋体" w:hAnsi="宋体" w:eastAsia="宋体" w:cs="宋体"/>
          <w:kern w:val="0"/>
          <w:szCs w:val="21"/>
        </w:rPr>
        <w:t xml:space="preserve">公司董事长江向阳先生。 </w:t>
      </w:r>
    </w:p>
    <w:p>
      <w:pPr>
        <w:spacing w:line="360" w:lineRule="auto"/>
        <w:ind w:firstLine="420" w:firstLineChars="0"/>
        <w:jc w:val="left"/>
        <w:rPr>
          <w:rFonts w:ascii="宋体" w:hAnsi="宋体" w:eastAsia="宋体" w:cs="宋体"/>
          <w:kern w:val="0"/>
          <w:szCs w:val="21"/>
        </w:rPr>
      </w:pPr>
      <w:r>
        <w:rPr>
          <w:rFonts w:hint="eastAsia" w:ascii="宋体" w:hAnsi="宋体" w:eastAsia="宋体" w:cs="宋体"/>
          <w:kern w:val="0"/>
          <w:szCs w:val="21"/>
        </w:rPr>
        <w:t xml:space="preserve">公司首席资产配置官黄健斌先生。 </w:t>
      </w:r>
    </w:p>
    <w:p>
      <w:pPr>
        <w:spacing w:line="360" w:lineRule="auto"/>
        <w:ind w:firstLine="420" w:firstLineChars="0"/>
        <w:jc w:val="left"/>
        <w:rPr>
          <w:rFonts w:ascii="宋体" w:hAnsi="宋体" w:eastAsia="宋体" w:cs="宋体"/>
          <w:color w:val="FF0000"/>
          <w:kern w:val="0"/>
          <w:szCs w:val="21"/>
        </w:rPr>
      </w:pPr>
      <w:r>
        <w:rPr>
          <w:rFonts w:hint="eastAsia" w:ascii="宋体" w:hAnsi="宋体" w:eastAsia="宋体" w:cs="宋体"/>
          <w:kern w:val="0"/>
          <w:szCs w:val="21"/>
        </w:rPr>
        <w:t>公司投资决策委员会专职委员于善辉先生。</w:t>
      </w:r>
    </w:p>
    <w:p>
      <w:pPr>
        <w:spacing w:line="360" w:lineRule="auto"/>
        <w:ind w:firstLine="420" w:firstLineChars="0"/>
        <w:jc w:val="left"/>
        <w:rPr>
          <w:rFonts w:ascii="宋体" w:hAnsi="宋体" w:eastAsia="宋体" w:cs="宋体"/>
          <w:kern w:val="0"/>
          <w:szCs w:val="21"/>
        </w:rPr>
      </w:pPr>
      <w:r>
        <w:rPr>
          <w:rFonts w:hint="eastAsia" w:ascii="宋体" w:hAnsi="宋体" w:eastAsia="宋体" w:cs="宋体"/>
          <w:kern w:val="0"/>
          <w:szCs w:val="21"/>
        </w:rPr>
        <w:t xml:space="preserve">公司首席基金经理过钧先生。 </w:t>
      </w:r>
    </w:p>
    <w:p>
      <w:pPr>
        <w:spacing w:line="360" w:lineRule="auto"/>
        <w:ind w:firstLine="420" w:firstLineChars="0"/>
        <w:jc w:val="left"/>
        <w:rPr>
          <w:rFonts w:ascii="宋体" w:hAnsi="宋体" w:eastAsia="宋体" w:cs="宋体"/>
          <w:kern w:val="0"/>
          <w:szCs w:val="21"/>
        </w:rPr>
      </w:pPr>
      <w:r>
        <w:rPr>
          <w:rFonts w:hint="eastAsia" w:ascii="宋体" w:hAnsi="宋体" w:eastAsia="宋体" w:cs="宋体"/>
          <w:kern w:val="0"/>
          <w:szCs w:val="21"/>
        </w:rPr>
        <w:t xml:space="preserve">公司首席投资官兼权益投研一体化总监、权益投资四部总经理、境外投资部总经理曾鹏先生。 </w:t>
      </w:r>
    </w:p>
    <w:p>
      <w:pPr>
        <w:spacing w:line="360" w:lineRule="auto"/>
        <w:ind w:firstLine="420" w:firstLineChars="0"/>
        <w:jc w:val="left"/>
        <w:rPr>
          <w:rFonts w:ascii="宋体" w:hAnsi="宋体" w:eastAsia="宋体" w:cs="宋体"/>
          <w:kern w:val="0"/>
          <w:szCs w:val="21"/>
        </w:rPr>
      </w:pPr>
      <w:r>
        <w:rPr>
          <w:rFonts w:hint="eastAsia" w:ascii="宋体" w:hAnsi="宋体" w:eastAsia="宋体" w:cs="宋体"/>
          <w:kern w:val="0"/>
          <w:szCs w:val="21"/>
        </w:rPr>
        <w:t xml:space="preserve">权益投资三部总经理兼权益投资三部投资总监蔡滨先生。 </w:t>
      </w:r>
    </w:p>
    <w:p>
      <w:pPr>
        <w:spacing w:line="360" w:lineRule="auto"/>
        <w:ind w:firstLine="420" w:firstLineChars="0"/>
        <w:jc w:val="left"/>
        <w:rPr>
          <w:rFonts w:ascii="宋体" w:hAnsi="宋体" w:eastAsia="宋体" w:cs="宋体"/>
          <w:kern w:val="0"/>
          <w:szCs w:val="21"/>
          <w:highlight w:val="none"/>
        </w:rPr>
      </w:pPr>
      <w:r>
        <w:rPr>
          <w:rFonts w:hint="eastAsia" w:ascii="宋体" w:hAnsi="宋体" w:eastAsia="宋体" w:cs="宋体"/>
          <w:kern w:val="0"/>
          <w:szCs w:val="21"/>
          <w:highlight w:val="none"/>
        </w:rPr>
        <w:t xml:space="preserve">董事总经理兼年金投资部总经理、年金投资部投资总监杨帆先生。 </w:t>
      </w:r>
    </w:p>
    <w:p>
      <w:pPr>
        <w:spacing w:line="360" w:lineRule="auto"/>
        <w:ind w:firstLine="420" w:firstLineChars="0"/>
        <w:jc w:val="left"/>
        <w:rPr>
          <w:rFonts w:ascii="宋体" w:hAnsi="宋体" w:eastAsia="宋体" w:cs="宋体"/>
          <w:kern w:val="0"/>
          <w:szCs w:val="21"/>
          <w:highlight w:val="none"/>
        </w:rPr>
      </w:pPr>
      <w:r>
        <w:rPr>
          <w:rFonts w:hint="eastAsia" w:ascii="宋体" w:hAnsi="宋体" w:eastAsia="宋体" w:cs="宋体"/>
          <w:kern w:val="0"/>
          <w:szCs w:val="21"/>
          <w:highlight w:val="none"/>
        </w:rPr>
        <w:t xml:space="preserve">行业研究部总经理魏立先生。 </w:t>
      </w:r>
    </w:p>
    <w:p>
      <w:pPr>
        <w:spacing w:line="360" w:lineRule="auto"/>
        <w:ind w:firstLine="420" w:firstLineChars="0"/>
        <w:jc w:val="left"/>
        <w:rPr>
          <w:rFonts w:ascii="宋体" w:hAnsi="宋体" w:eastAsia="宋体" w:cs="宋体"/>
          <w:kern w:val="0"/>
          <w:szCs w:val="21"/>
        </w:rPr>
      </w:pPr>
      <w:r>
        <w:rPr>
          <w:rFonts w:hint="eastAsia" w:ascii="宋体" w:hAnsi="宋体" w:eastAsia="宋体" w:cs="宋体"/>
          <w:kern w:val="0"/>
          <w:szCs w:val="21"/>
          <w:highlight w:val="none"/>
        </w:rPr>
        <w:t>宏观策略部总经理兼行业研究部研究总监金晟哲先生。</w:t>
      </w:r>
      <w:r>
        <w:rPr>
          <w:rFonts w:hint="eastAsia" w:ascii="宋体" w:hAnsi="宋体" w:eastAsia="宋体" w:cs="宋体"/>
          <w:kern w:val="0"/>
          <w:szCs w:val="21"/>
        </w:rPr>
        <w:t xml:space="preserve"> </w:t>
      </w:r>
    </w:p>
    <w:p>
      <w:pPr>
        <w:autoSpaceDE/>
        <w:autoSpaceDN/>
        <w:adjustRightInd/>
        <w:snapToGrid/>
        <w:spacing w:line="360" w:lineRule="auto"/>
        <w:ind w:firstLine="420" w:firstLineChars="0"/>
        <w:jc w:val="left"/>
        <w:textAlignment w:val="auto"/>
        <w:rPr>
          <w:rFonts w:ascii="宋体" w:hAnsi="宋体" w:cs="宋体"/>
          <w:szCs w:val="21"/>
        </w:rPr>
      </w:pPr>
      <w:r>
        <w:rPr>
          <w:rFonts w:hint="eastAsia" w:ascii="宋体" w:hAnsi="宋体" w:eastAsia="宋体" w:cs="宋体"/>
          <w:kern w:val="0"/>
          <w:szCs w:val="21"/>
        </w:rPr>
        <w:t xml:space="preserve">指数与量化投资部投资总监赵云阳先生。 </w:t>
      </w:r>
      <w:r>
        <w:rPr>
          <w:rFonts w:hint="eastAsia" w:ascii="宋体" w:hAnsi="宋体"/>
          <w:kern w:val="0"/>
          <w:szCs w:val="21"/>
        </w:rPr>
        <w:t xml:space="preserve"> </w:t>
      </w:r>
    </w:p>
    <w:p>
      <w:pPr>
        <w:widowControl/>
        <w:numPr>
          <w:ilvl w:val="255"/>
          <w:numId w:val="0"/>
        </w:numPr>
        <w:spacing w:line="360" w:lineRule="auto"/>
        <w:ind w:firstLine="420"/>
        <w:rPr>
          <w:rFonts w:ascii="宋体" w:hAnsi="宋体" w:cs="宋体"/>
          <w:szCs w:val="21"/>
        </w:rPr>
      </w:pPr>
      <w:r>
        <w:rPr>
          <w:rFonts w:hint="eastAsia" w:ascii="宋体" w:hAnsi="宋体" w:cs="宋体"/>
          <w:szCs w:val="21"/>
        </w:rPr>
        <w:t>6、上述人员之间均不存在近亲属关系。</w:t>
      </w:r>
    </w:p>
    <w:p>
      <w:pPr>
        <w:pStyle w:val="15"/>
        <w:autoSpaceDE w:val="0"/>
        <w:autoSpaceDN w:val="0"/>
        <w:adjustRightInd w:val="0"/>
        <w:snapToGrid w:val="0"/>
        <w:spacing w:line="360" w:lineRule="auto"/>
        <w:rPr>
          <w:rFonts w:ascii="宋体" w:hAnsi="宋体" w:cs="宋体"/>
          <w:b/>
          <w:szCs w:val="21"/>
        </w:rPr>
      </w:pPr>
      <w:r>
        <w:rPr>
          <w:rFonts w:hint="eastAsia" w:ascii="宋体" w:hAnsi="宋体" w:cs="宋体"/>
          <w:b/>
          <w:szCs w:val="21"/>
        </w:rPr>
        <w:t>三、基金管理人的职责</w:t>
      </w:r>
    </w:p>
    <w:p>
      <w:pPr>
        <w:pStyle w:val="39"/>
        <w:spacing w:before="0" w:beforeAutospacing="0" w:after="0" w:afterAutospacing="0" w:line="360" w:lineRule="auto"/>
        <w:ind w:firstLine="420"/>
        <w:rPr>
          <w:sz w:val="21"/>
          <w:szCs w:val="21"/>
        </w:rPr>
      </w:pPr>
      <w:bookmarkStart w:id="56" w:name="_Hlk114652329"/>
      <w:r>
        <w:rPr>
          <w:rFonts w:hint="eastAsia"/>
          <w:sz w:val="21"/>
          <w:szCs w:val="21"/>
        </w:rPr>
        <w:t xml:space="preserve">1、依法募集资金，办理或者委托经中国证监会认定的其他机构代为办理基金份额的发售、申购、赎回和登记事宜； </w:t>
      </w:r>
    </w:p>
    <w:p>
      <w:pPr>
        <w:pStyle w:val="39"/>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39"/>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39"/>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39"/>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39"/>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39"/>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39"/>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pPr>
        <w:pStyle w:val="39"/>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39"/>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39"/>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39"/>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 </w:t>
      </w:r>
    </w:p>
    <w:p>
      <w:pPr>
        <w:pStyle w:val="39"/>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39"/>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39"/>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39"/>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16、按规定保存基金财产管理业务活动的会计账册、报表、记录和其他相关资料，保存期限不低于法律法规规定的最低期限； </w:t>
      </w:r>
    </w:p>
    <w:p>
      <w:pPr>
        <w:pStyle w:val="39"/>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39"/>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39"/>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39"/>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39"/>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39"/>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39"/>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39"/>
        <w:spacing w:before="0" w:beforeAutospacing="0" w:after="0" w:afterAutospacing="0" w:line="360" w:lineRule="auto"/>
        <w:ind w:firstLine="420"/>
        <w:rPr>
          <w:sz w:val="21"/>
          <w:szCs w:val="21"/>
        </w:rPr>
      </w:pPr>
      <w:r>
        <w:rPr>
          <w:rFonts w:hint="eastAsia"/>
          <w:sz w:val="21"/>
          <w:szCs w:val="21"/>
        </w:rPr>
        <w:t xml:space="preserve">24、基金在募集期间未能达到基金的备案条件，《基金合同》不能生效，基金管理人承担全部募集费用，将已募集资金并加计银行同期活期存款利息在基金募集期结束后30日内退还基金认购人； </w:t>
      </w:r>
    </w:p>
    <w:p>
      <w:pPr>
        <w:pStyle w:val="39"/>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pPr>
        <w:pStyle w:val="39"/>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pPr>
        <w:pStyle w:val="39"/>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bookmarkEnd w:id="56"/>
    <w:p>
      <w:pPr>
        <w:pStyle w:val="39"/>
        <w:spacing w:before="0" w:beforeAutospacing="0" w:after="0" w:afterAutospacing="0" w:line="360" w:lineRule="auto"/>
        <w:ind w:firstLine="420"/>
        <w:rPr>
          <w:sz w:val="21"/>
          <w:szCs w:val="21"/>
        </w:rPr>
      </w:pPr>
      <w:r>
        <w:rPr>
          <w:rStyle w:val="46"/>
          <w:rFonts w:hint="eastAsia"/>
          <w:sz w:val="21"/>
          <w:szCs w:val="21"/>
        </w:rPr>
        <w:t>四、基金管理人的承诺</w:t>
      </w:r>
    </w:p>
    <w:p>
      <w:pPr>
        <w:pStyle w:val="39"/>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pPr>
        <w:pStyle w:val="39"/>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pPr>
        <w:pStyle w:val="39"/>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pPr>
        <w:pStyle w:val="39"/>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pPr>
        <w:pStyle w:val="39"/>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pPr>
        <w:pStyle w:val="39"/>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pPr>
        <w:pStyle w:val="39"/>
        <w:spacing w:before="0" w:beforeAutospacing="0" w:after="0" w:afterAutospacing="0" w:line="360" w:lineRule="auto"/>
        <w:ind w:firstLine="420"/>
        <w:rPr>
          <w:sz w:val="21"/>
          <w:szCs w:val="21"/>
        </w:rPr>
      </w:pPr>
      <w:r>
        <w:rPr>
          <w:rFonts w:hint="eastAsia"/>
          <w:sz w:val="21"/>
          <w:szCs w:val="21"/>
        </w:rPr>
        <w:t xml:space="preserve">（5）侵占、挪用基金财产； </w:t>
      </w:r>
    </w:p>
    <w:p>
      <w:pPr>
        <w:pStyle w:val="39"/>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pPr>
        <w:pStyle w:val="39"/>
        <w:spacing w:before="0" w:beforeAutospacing="0" w:after="0" w:afterAutospacing="0" w:line="360" w:lineRule="auto"/>
        <w:ind w:firstLine="420"/>
        <w:rPr>
          <w:sz w:val="21"/>
          <w:szCs w:val="21"/>
        </w:rPr>
      </w:pPr>
      <w:r>
        <w:rPr>
          <w:rFonts w:hint="eastAsia"/>
          <w:sz w:val="21"/>
          <w:szCs w:val="21"/>
        </w:rPr>
        <w:t xml:space="preserve">（7）玩忽职守，不按照规定履行职责； </w:t>
      </w:r>
    </w:p>
    <w:p>
      <w:pPr>
        <w:pStyle w:val="39"/>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pPr>
        <w:pStyle w:val="39"/>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pPr>
        <w:pStyle w:val="39"/>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pPr>
        <w:pStyle w:val="39"/>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pPr>
        <w:pStyle w:val="39"/>
        <w:spacing w:before="0" w:beforeAutospacing="0" w:after="0" w:afterAutospacing="0" w:line="360" w:lineRule="auto"/>
        <w:ind w:firstLine="420"/>
        <w:rPr>
          <w:sz w:val="21"/>
          <w:szCs w:val="21"/>
        </w:rPr>
      </w:pPr>
      <w:r>
        <w:rPr>
          <w:rStyle w:val="46"/>
          <w:rFonts w:hint="eastAsia"/>
          <w:sz w:val="21"/>
          <w:szCs w:val="21"/>
        </w:rPr>
        <w:t>五、基金经理承诺</w:t>
      </w:r>
    </w:p>
    <w:p>
      <w:pPr>
        <w:pStyle w:val="39"/>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pPr>
        <w:pStyle w:val="39"/>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pPr>
        <w:pStyle w:val="39"/>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pPr>
        <w:pStyle w:val="39"/>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pPr>
        <w:pStyle w:val="39"/>
        <w:spacing w:before="0" w:beforeAutospacing="0" w:after="0" w:afterAutospacing="0" w:line="360" w:lineRule="auto"/>
        <w:ind w:firstLine="420"/>
        <w:rPr>
          <w:sz w:val="21"/>
          <w:szCs w:val="21"/>
        </w:rPr>
      </w:pPr>
      <w:r>
        <w:rPr>
          <w:rStyle w:val="46"/>
          <w:rFonts w:hint="eastAsia"/>
          <w:sz w:val="21"/>
          <w:szCs w:val="21"/>
        </w:rPr>
        <w:t>六、基金管理人的内部控制制度</w:t>
      </w:r>
    </w:p>
    <w:p>
      <w:pPr>
        <w:pStyle w:val="39"/>
        <w:spacing w:before="0" w:beforeAutospacing="0" w:after="0" w:afterAutospacing="0" w:line="360" w:lineRule="auto"/>
        <w:ind w:firstLine="420"/>
        <w:rPr>
          <w:sz w:val="21"/>
          <w:szCs w:val="21"/>
        </w:rPr>
      </w:pPr>
      <w:r>
        <w:rPr>
          <w:rFonts w:hint="eastAsia"/>
          <w:sz w:val="21"/>
          <w:szCs w:val="21"/>
        </w:rPr>
        <w:t xml:space="preserve">1、风险管理的原则 </w:t>
      </w:r>
    </w:p>
    <w:p>
      <w:pPr>
        <w:pStyle w:val="39"/>
        <w:spacing w:before="0" w:beforeAutospacing="0" w:after="0" w:afterAutospacing="0" w:line="360" w:lineRule="auto"/>
        <w:ind w:firstLine="420"/>
        <w:rPr>
          <w:sz w:val="21"/>
          <w:szCs w:val="21"/>
        </w:rPr>
      </w:pPr>
      <w:r>
        <w:rPr>
          <w:rFonts w:hint="eastAsia"/>
          <w:sz w:val="21"/>
          <w:szCs w:val="21"/>
        </w:rPr>
        <w:t xml:space="preserve">（1）全面性原则 </w:t>
      </w:r>
    </w:p>
    <w:p>
      <w:pPr>
        <w:pStyle w:val="39"/>
        <w:spacing w:before="0" w:beforeAutospacing="0" w:after="0" w:afterAutospacing="0" w:line="360" w:lineRule="auto"/>
        <w:ind w:firstLine="420"/>
        <w:rPr>
          <w:sz w:val="21"/>
          <w:szCs w:val="21"/>
        </w:rPr>
      </w:pPr>
      <w:r>
        <w:rPr>
          <w:rFonts w:hint="eastAsia"/>
          <w:sz w:val="21"/>
          <w:szCs w:val="21"/>
        </w:rPr>
        <w:t xml:space="preserve">公司风险管理必须覆盖公司的所有部门和岗位，渗透各项业务过程和业务环节。 </w:t>
      </w:r>
    </w:p>
    <w:p>
      <w:pPr>
        <w:pStyle w:val="39"/>
        <w:spacing w:before="0" w:beforeAutospacing="0" w:after="0" w:afterAutospacing="0" w:line="360" w:lineRule="auto"/>
        <w:ind w:firstLine="420"/>
        <w:rPr>
          <w:sz w:val="21"/>
          <w:szCs w:val="21"/>
        </w:rPr>
      </w:pPr>
      <w:r>
        <w:rPr>
          <w:rFonts w:hint="eastAsia"/>
          <w:sz w:val="21"/>
          <w:szCs w:val="21"/>
        </w:rPr>
        <w:t xml:space="preserve">（2）独立性原则 </w:t>
      </w:r>
    </w:p>
    <w:p>
      <w:pPr>
        <w:pStyle w:val="39"/>
        <w:spacing w:before="0" w:beforeAutospacing="0" w:after="0" w:afterAutospacing="0" w:line="360" w:lineRule="auto"/>
        <w:ind w:firstLine="420"/>
        <w:rPr>
          <w:sz w:val="21"/>
          <w:szCs w:val="21"/>
        </w:rPr>
      </w:pPr>
      <w:r>
        <w:rPr>
          <w:rFonts w:hint="eastAsia"/>
          <w:sz w:val="21"/>
          <w:szCs w:val="21"/>
        </w:rPr>
        <w:t xml:space="preserve">公司设立独立的监察部，监察部保持高度的独立性和权威性，负责对公司各部门风险控制工作进行稽核和检查。 </w:t>
      </w:r>
    </w:p>
    <w:p>
      <w:pPr>
        <w:pStyle w:val="39"/>
        <w:spacing w:before="0" w:beforeAutospacing="0" w:after="0" w:afterAutospacing="0" w:line="360" w:lineRule="auto"/>
        <w:ind w:firstLine="420"/>
        <w:rPr>
          <w:sz w:val="21"/>
          <w:szCs w:val="21"/>
        </w:rPr>
      </w:pPr>
      <w:r>
        <w:rPr>
          <w:rFonts w:hint="eastAsia"/>
          <w:sz w:val="21"/>
          <w:szCs w:val="21"/>
        </w:rPr>
        <w:t xml:space="preserve">（3）相互制约原则 </w:t>
      </w:r>
    </w:p>
    <w:p>
      <w:pPr>
        <w:pStyle w:val="39"/>
        <w:spacing w:before="0" w:beforeAutospacing="0" w:after="0" w:afterAutospacing="0" w:line="360" w:lineRule="auto"/>
        <w:ind w:firstLine="420"/>
        <w:rPr>
          <w:sz w:val="21"/>
          <w:szCs w:val="21"/>
        </w:rPr>
      </w:pPr>
      <w:r>
        <w:rPr>
          <w:rFonts w:hint="eastAsia"/>
          <w:sz w:val="21"/>
          <w:szCs w:val="21"/>
        </w:rPr>
        <w:t xml:space="preserve">公司及各部门在内部组织结构的设计上要形成一种相互制约的机制，建立不同岗位之间的制衡体系。 </w:t>
      </w:r>
    </w:p>
    <w:p>
      <w:pPr>
        <w:pStyle w:val="39"/>
        <w:spacing w:before="0" w:beforeAutospacing="0" w:after="0" w:afterAutospacing="0" w:line="360" w:lineRule="auto"/>
        <w:ind w:firstLine="420"/>
        <w:rPr>
          <w:sz w:val="21"/>
          <w:szCs w:val="21"/>
        </w:rPr>
      </w:pPr>
      <w:r>
        <w:rPr>
          <w:rFonts w:hint="eastAsia"/>
          <w:sz w:val="21"/>
          <w:szCs w:val="21"/>
        </w:rPr>
        <w:t xml:space="preserve">（4）定性和定量相结合原则 </w:t>
      </w:r>
    </w:p>
    <w:p>
      <w:pPr>
        <w:pStyle w:val="39"/>
        <w:spacing w:before="0" w:beforeAutospacing="0" w:after="0" w:afterAutospacing="0" w:line="360" w:lineRule="auto"/>
        <w:ind w:firstLine="420"/>
        <w:rPr>
          <w:sz w:val="21"/>
          <w:szCs w:val="21"/>
        </w:rPr>
      </w:pPr>
      <w:r>
        <w:rPr>
          <w:rFonts w:hint="eastAsia"/>
          <w:sz w:val="21"/>
          <w:szCs w:val="21"/>
        </w:rPr>
        <w:t xml:space="preserve">建立完备的风险管理指标体系，使风险管理更具客观性和操作性。 </w:t>
      </w:r>
    </w:p>
    <w:p>
      <w:pPr>
        <w:pStyle w:val="39"/>
        <w:spacing w:before="0" w:beforeAutospacing="0" w:after="0" w:afterAutospacing="0" w:line="360" w:lineRule="auto"/>
        <w:ind w:firstLine="420"/>
        <w:rPr>
          <w:sz w:val="21"/>
          <w:szCs w:val="21"/>
        </w:rPr>
      </w:pPr>
      <w:r>
        <w:rPr>
          <w:rFonts w:hint="eastAsia"/>
          <w:sz w:val="21"/>
          <w:szCs w:val="21"/>
        </w:rPr>
        <w:t xml:space="preserve">2、风险管理和内部风险控制体系结构 </w:t>
      </w:r>
    </w:p>
    <w:p>
      <w:pPr>
        <w:pStyle w:val="39"/>
        <w:spacing w:before="0" w:beforeAutospacing="0" w:after="0" w:afterAutospacing="0" w:line="360" w:lineRule="auto"/>
        <w:ind w:firstLine="420"/>
        <w:rPr>
          <w:sz w:val="21"/>
          <w:szCs w:val="21"/>
        </w:rPr>
      </w:pPr>
      <w:r>
        <w:rPr>
          <w:rFonts w:hint="eastAsia"/>
          <w:sz w:val="21"/>
          <w:szCs w:val="21"/>
        </w:rPr>
        <w:t xml:space="preserve">公司的风险管理体系结构是一个分工明确、相互牵制的组织结构，由最高管理层对风险管理负最终责任，各个业务部门负责本部门的风险评估和监控，监察部负责监察公司的风险管理措施的执行。具体而言，包括如下组成部分： </w:t>
      </w:r>
    </w:p>
    <w:p>
      <w:pPr>
        <w:pStyle w:val="39"/>
        <w:spacing w:before="0" w:beforeAutospacing="0" w:after="0" w:afterAutospacing="0" w:line="360" w:lineRule="auto"/>
        <w:ind w:firstLine="420"/>
        <w:rPr>
          <w:sz w:val="21"/>
          <w:szCs w:val="21"/>
        </w:rPr>
      </w:pPr>
      <w:r>
        <w:rPr>
          <w:rFonts w:hint="eastAsia"/>
          <w:sz w:val="21"/>
          <w:szCs w:val="21"/>
        </w:rPr>
        <w:t xml:space="preserve">（1）董事会 </w:t>
      </w:r>
    </w:p>
    <w:p>
      <w:pPr>
        <w:pStyle w:val="39"/>
        <w:spacing w:before="0" w:beforeAutospacing="0" w:after="0" w:afterAutospacing="0" w:line="360" w:lineRule="auto"/>
        <w:ind w:firstLine="420"/>
        <w:rPr>
          <w:sz w:val="21"/>
          <w:szCs w:val="21"/>
        </w:rPr>
      </w:pPr>
      <w:r>
        <w:rPr>
          <w:rFonts w:hint="eastAsia"/>
          <w:sz w:val="21"/>
          <w:szCs w:val="21"/>
        </w:rPr>
        <w:t xml:space="preserve">负责制定公司的风险管理政策，对风险管理负完全的和最终的责任。 </w:t>
      </w:r>
    </w:p>
    <w:p>
      <w:pPr>
        <w:pStyle w:val="39"/>
        <w:spacing w:before="0" w:beforeAutospacing="0" w:after="0" w:afterAutospacing="0" w:line="360" w:lineRule="auto"/>
        <w:ind w:firstLine="420"/>
        <w:rPr>
          <w:sz w:val="21"/>
          <w:szCs w:val="21"/>
        </w:rPr>
      </w:pPr>
      <w:r>
        <w:rPr>
          <w:rFonts w:hint="eastAsia"/>
          <w:sz w:val="21"/>
          <w:szCs w:val="21"/>
        </w:rPr>
        <w:t xml:space="preserve">（2）风险管理委员会 </w:t>
      </w:r>
    </w:p>
    <w:p>
      <w:pPr>
        <w:pStyle w:val="39"/>
        <w:spacing w:before="0" w:beforeAutospacing="0" w:after="0" w:afterAutospacing="0" w:line="360" w:lineRule="auto"/>
        <w:ind w:firstLine="420"/>
        <w:rPr>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pPr>
        <w:pStyle w:val="39"/>
        <w:spacing w:before="0" w:beforeAutospacing="0" w:after="0" w:afterAutospacing="0" w:line="360" w:lineRule="auto"/>
        <w:ind w:firstLine="420"/>
        <w:rPr>
          <w:sz w:val="21"/>
          <w:szCs w:val="21"/>
        </w:rPr>
      </w:pPr>
      <w:r>
        <w:rPr>
          <w:rFonts w:hint="eastAsia"/>
          <w:sz w:val="21"/>
          <w:szCs w:val="21"/>
        </w:rPr>
        <w:t xml:space="preserve">（3）督察长 </w:t>
      </w:r>
    </w:p>
    <w:p>
      <w:pPr>
        <w:pStyle w:val="39"/>
        <w:spacing w:before="0" w:beforeAutospacing="0" w:after="0" w:afterAutospacing="0" w:line="360" w:lineRule="auto"/>
        <w:ind w:firstLine="420"/>
        <w:rPr>
          <w:sz w:val="21"/>
          <w:szCs w:val="21"/>
        </w:rPr>
      </w:pPr>
      <w:r>
        <w:rPr>
          <w:rFonts w:hint="eastAsia"/>
          <w:sz w:val="21"/>
          <w:szCs w:val="21"/>
        </w:rPr>
        <w:t xml:space="preserve">独立行使督察权利；直接对董事会负责；按季向风险管理委员会提交独立的风险管理报告和风险管理建议。 </w:t>
      </w:r>
    </w:p>
    <w:p>
      <w:pPr>
        <w:pStyle w:val="39"/>
        <w:spacing w:before="0" w:beforeAutospacing="0" w:after="0" w:afterAutospacing="0" w:line="360" w:lineRule="auto"/>
        <w:ind w:firstLine="420"/>
        <w:rPr>
          <w:sz w:val="21"/>
          <w:szCs w:val="21"/>
        </w:rPr>
      </w:pPr>
      <w:r>
        <w:rPr>
          <w:rFonts w:hint="eastAsia"/>
          <w:sz w:val="21"/>
          <w:szCs w:val="21"/>
        </w:rPr>
        <w:t xml:space="preserve">（4）监察法律部 </w:t>
      </w:r>
    </w:p>
    <w:p>
      <w:pPr>
        <w:pStyle w:val="39"/>
        <w:spacing w:before="0" w:beforeAutospacing="0" w:after="0" w:afterAutospacing="0" w:line="360" w:lineRule="auto"/>
        <w:ind w:firstLine="420"/>
        <w:rPr>
          <w:sz w:val="21"/>
          <w:szCs w:val="21"/>
        </w:rPr>
      </w:pPr>
      <w:r>
        <w:rPr>
          <w:rFonts w:hint="eastAsia"/>
          <w:sz w:val="21"/>
          <w:szCs w:val="21"/>
        </w:rPr>
        <w:t xml:space="preserve">监察法律部负责对公司风险管理政策和措施的执行情况进行监察，并为每一个部门的风险管理系统的发展提供协助，使公司在一种风险管理和控制的环境中实现业务目标。 </w:t>
      </w:r>
    </w:p>
    <w:p>
      <w:pPr>
        <w:pStyle w:val="39"/>
        <w:spacing w:before="0" w:beforeAutospacing="0" w:after="0" w:afterAutospacing="0" w:line="360" w:lineRule="auto"/>
        <w:ind w:firstLine="420"/>
        <w:rPr>
          <w:sz w:val="21"/>
          <w:szCs w:val="21"/>
        </w:rPr>
      </w:pPr>
      <w:r>
        <w:rPr>
          <w:rFonts w:hint="eastAsia"/>
          <w:sz w:val="21"/>
          <w:szCs w:val="21"/>
        </w:rPr>
        <w:t xml:space="preserve">（5）风险管理部 </w:t>
      </w:r>
    </w:p>
    <w:p>
      <w:pPr>
        <w:pStyle w:val="39"/>
        <w:spacing w:before="0" w:beforeAutospacing="0" w:after="0" w:afterAutospacing="0" w:line="360" w:lineRule="auto"/>
        <w:ind w:firstLine="420"/>
        <w:rPr>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pPr>
        <w:pStyle w:val="39"/>
        <w:spacing w:before="0" w:beforeAutospacing="0" w:after="0" w:afterAutospacing="0" w:line="360" w:lineRule="auto"/>
        <w:ind w:firstLine="420"/>
        <w:rPr>
          <w:sz w:val="21"/>
          <w:szCs w:val="21"/>
        </w:rPr>
      </w:pPr>
      <w:r>
        <w:rPr>
          <w:rFonts w:hint="eastAsia"/>
          <w:sz w:val="21"/>
          <w:szCs w:val="21"/>
        </w:rPr>
        <w:t xml:space="preserve">（6）业务部门 </w:t>
      </w:r>
    </w:p>
    <w:p>
      <w:pPr>
        <w:pStyle w:val="39"/>
        <w:spacing w:before="0" w:beforeAutospacing="0" w:after="0" w:afterAutospacing="0" w:line="360" w:lineRule="auto"/>
        <w:ind w:firstLine="420"/>
        <w:rPr>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pPr>
        <w:pStyle w:val="39"/>
        <w:spacing w:before="0" w:beforeAutospacing="0" w:after="0" w:afterAutospacing="0" w:line="360" w:lineRule="auto"/>
        <w:ind w:firstLine="420"/>
        <w:rPr>
          <w:sz w:val="21"/>
          <w:szCs w:val="21"/>
        </w:rPr>
      </w:pPr>
      <w:r>
        <w:rPr>
          <w:rFonts w:hint="eastAsia"/>
          <w:sz w:val="21"/>
          <w:szCs w:val="21"/>
        </w:rPr>
        <w:t xml:space="preserve">3、风险管理和内部风险控制的措施 </w:t>
      </w:r>
    </w:p>
    <w:p>
      <w:pPr>
        <w:pStyle w:val="39"/>
        <w:spacing w:before="0" w:beforeAutospacing="0" w:after="0" w:afterAutospacing="0" w:line="360" w:lineRule="auto"/>
        <w:ind w:firstLine="420"/>
        <w:rPr>
          <w:sz w:val="21"/>
          <w:szCs w:val="21"/>
        </w:rPr>
      </w:pPr>
      <w:r>
        <w:rPr>
          <w:rFonts w:hint="eastAsia"/>
          <w:sz w:val="21"/>
          <w:szCs w:val="21"/>
        </w:rPr>
        <w:t xml:space="preserve">（1）建立内控结构，完善内控制度 </w:t>
      </w:r>
    </w:p>
    <w:p>
      <w:pPr>
        <w:pStyle w:val="39"/>
        <w:spacing w:before="0" w:beforeAutospacing="0" w:after="0" w:afterAutospacing="0" w:line="360" w:lineRule="auto"/>
        <w:ind w:firstLine="420"/>
        <w:rPr>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pPr>
        <w:pStyle w:val="39"/>
        <w:spacing w:before="0" w:beforeAutospacing="0" w:after="0" w:afterAutospacing="0" w:line="360" w:lineRule="auto"/>
        <w:ind w:firstLine="420"/>
        <w:rPr>
          <w:sz w:val="21"/>
          <w:szCs w:val="21"/>
        </w:rPr>
      </w:pPr>
      <w:r>
        <w:rPr>
          <w:rFonts w:hint="eastAsia"/>
          <w:sz w:val="21"/>
          <w:szCs w:val="21"/>
        </w:rPr>
        <w:t xml:space="preserve">（2）建立相互分离、相互制衡的内控机制 </w:t>
      </w:r>
    </w:p>
    <w:p>
      <w:pPr>
        <w:pStyle w:val="39"/>
        <w:spacing w:before="0" w:beforeAutospacing="0" w:after="0" w:afterAutospacing="0" w:line="360" w:lineRule="auto"/>
        <w:ind w:firstLine="420"/>
        <w:rPr>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pPr>
        <w:pStyle w:val="39"/>
        <w:spacing w:before="0" w:beforeAutospacing="0" w:after="0" w:afterAutospacing="0" w:line="360" w:lineRule="auto"/>
        <w:ind w:firstLine="420"/>
        <w:rPr>
          <w:sz w:val="21"/>
          <w:szCs w:val="21"/>
        </w:rPr>
      </w:pPr>
      <w:r>
        <w:rPr>
          <w:rFonts w:hint="eastAsia"/>
          <w:sz w:val="21"/>
          <w:szCs w:val="21"/>
        </w:rPr>
        <w:t xml:space="preserve">（3）建立、健全岗位责任制 </w:t>
      </w:r>
    </w:p>
    <w:p>
      <w:pPr>
        <w:pStyle w:val="39"/>
        <w:spacing w:before="0" w:beforeAutospacing="0" w:after="0" w:afterAutospacing="0" w:line="360" w:lineRule="auto"/>
        <w:ind w:firstLine="420"/>
        <w:rPr>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pPr>
        <w:pStyle w:val="39"/>
        <w:spacing w:before="0" w:beforeAutospacing="0" w:after="0" w:afterAutospacing="0" w:line="360" w:lineRule="auto"/>
        <w:ind w:firstLine="420"/>
        <w:rPr>
          <w:sz w:val="21"/>
          <w:szCs w:val="21"/>
        </w:rPr>
      </w:pPr>
      <w:r>
        <w:rPr>
          <w:rFonts w:hint="eastAsia"/>
          <w:sz w:val="21"/>
          <w:szCs w:val="21"/>
        </w:rPr>
        <w:t xml:space="preserve">（4）建立风险分类、识别、评估、报告、提示程序 </w:t>
      </w:r>
    </w:p>
    <w:p>
      <w:pPr>
        <w:pStyle w:val="39"/>
        <w:spacing w:before="0" w:beforeAutospacing="0" w:after="0" w:afterAutospacing="0" w:line="360" w:lineRule="auto"/>
        <w:ind w:firstLine="420"/>
        <w:rPr>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pPr>
        <w:pStyle w:val="39"/>
        <w:spacing w:before="0" w:beforeAutospacing="0" w:after="0" w:afterAutospacing="0" w:line="360" w:lineRule="auto"/>
        <w:ind w:firstLine="420"/>
        <w:rPr>
          <w:sz w:val="21"/>
          <w:szCs w:val="21"/>
        </w:rPr>
      </w:pPr>
      <w:r>
        <w:rPr>
          <w:rFonts w:hint="eastAsia"/>
          <w:sz w:val="21"/>
          <w:szCs w:val="21"/>
        </w:rPr>
        <w:t xml:space="preserve">（5）建立有效的内部监控系统 </w:t>
      </w:r>
    </w:p>
    <w:p>
      <w:pPr>
        <w:pStyle w:val="39"/>
        <w:spacing w:before="0" w:beforeAutospacing="0" w:after="0" w:afterAutospacing="0" w:line="360" w:lineRule="auto"/>
        <w:ind w:firstLine="420"/>
        <w:rPr>
          <w:sz w:val="21"/>
          <w:szCs w:val="21"/>
        </w:rPr>
      </w:pPr>
      <w:r>
        <w:rPr>
          <w:rFonts w:hint="eastAsia"/>
          <w:sz w:val="21"/>
          <w:szCs w:val="21"/>
        </w:rPr>
        <w:t xml:space="preserve">建立了足够、有效的内部监控系统，如电脑预警系统、投资监控系统，对可能出现的各种风险进行全面和实时的监控。 </w:t>
      </w:r>
    </w:p>
    <w:p>
      <w:pPr>
        <w:pStyle w:val="39"/>
        <w:spacing w:before="0" w:beforeAutospacing="0" w:after="0" w:afterAutospacing="0" w:line="360" w:lineRule="auto"/>
        <w:ind w:firstLine="420"/>
        <w:rPr>
          <w:sz w:val="21"/>
          <w:szCs w:val="21"/>
        </w:rPr>
      </w:pPr>
      <w:r>
        <w:rPr>
          <w:rFonts w:hint="eastAsia"/>
          <w:sz w:val="21"/>
          <w:szCs w:val="21"/>
        </w:rPr>
        <w:t xml:space="preserve">（6）使用数量化的风险管理手段 </w:t>
      </w:r>
    </w:p>
    <w:p>
      <w:pPr>
        <w:pStyle w:val="39"/>
        <w:spacing w:before="0" w:beforeAutospacing="0" w:after="0" w:afterAutospacing="0" w:line="360" w:lineRule="auto"/>
        <w:ind w:firstLine="420"/>
        <w:rPr>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pPr>
        <w:pStyle w:val="39"/>
        <w:spacing w:before="0" w:beforeAutospacing="0" w:after="0" w:afterAutospacing="0" w:line="360" w:lineRule="auto"/>
        <w:ind w:firstLine="420"/>
        <w:rPr>
          <w:sz w:val="21"/>
          <w:szCs w:val="21"/>
        </w:rPr>
      </w:pPr>
      <w:r>
        <w:rPr>
          <w:rFonts w:hint="eastAsia"/>
          <w:sz w:val="21"/>
          <w:szCs w:val="21"/>
        </w:rPr>
        <w:t xml:space="preserve">（7）提供足够的培训 </w:t>
      </w:r>
    </w:p>
    <w:p>
      <w:pPr>
        <w:pStyle w:val="39"/>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57" w:name="chapter_level1_5_53_section_4_end"/>
      <w:bookmarkEnd w:id="57"/>
      <w:r>
        <w:rPr>
          <w:rFonts w:hint="eastAsia"/>
          <w:sz w:val="21"/>
          <w:szCs w:val="21"/>
        </w:rPr>
        <w:t xml:space="preserve">控制风险。 </w:t>
      </w:r>
    </w:p>
    <w:p>
      <w:pPr>
        <w:widowControl/>
        <w:adjustRightInd w:val="0"/>
        <w:snapToGrid w:val="0"/>
        <w:spacing w:line="360" w:lineRule="auto"/>
        <w:ind w:firstLine="420" w:firstLineChars="200"/>
        <w:rPr>
          <w:rFonts w:ascii="宋体" w:hAnsi="宋体" w:cs="宋体"/>
          <w:szCs w:val="21"/>
        </w:rPr>
        <w:sectPr>
          <w:footerReference r:id="rId7" w:type="first"/>
          <w:pgSz w:w="11906" w:h="16838"/>
          <w:pgMar w:top="1440" w:right="1800" w:bottom="1440" w:left="1800" w:header="851" w:footer="992" w:gutter="0"/>
          <w:cols w:space="425" w:num="1"/>
          <w:titlePg/>
          <w:docGrid w:type="lines" w:linePitch="312" w:charSpace="0"/>
        </w:sectPr>
      </w:pPr>
      <w:bookmarkStart w:id="58" w:name="_Toc214873593"/>
      <w:bookmarkStart w:id="59" w:name="_Toc408483999"/>
    </w:p>
    <w:p>
      <w:pPr>
        <w:pStyle w:val="3"/>
        <w:numPr>
          <w:ilvl w:val="0"/>
          <w:numId w:val="25"/>
        </w:numPr>
        <w:snapToGrid w:val="0"/>
        <w:spacing w:before="0" w:after="0" w:line="360" w:lineRule="auto"/>
        <w:jc w:val="center"/>
      </w:pPr>
      <w:bookmarkStart w:id="60" w:name="_Toc12457"/>
      <w:bookmarkStart w:id="61" w:name="_Toc15161"/>
      <w:r>
        <w:t>基金托管人</w:t>
      </w:r>
      <w:bookmarkEnd w:id="53"/>
      <w:bookmarkEnd w:id="58"/>
      <w:bookmarkEnd w:id="59"/>
      <w:bookmarkEnd w:id="60"/>
      <w:bookmarkEnd w:id="61"/>
    </w:p>
    <w:p>
      <w:pPr>
        <w:widowControl/>
        <w:spacing w:line="360" w:lineRule="auto"/>
        <w:ind w:firstLine="422" w:firstLineChars="200"/>
        <w:rPr>
          <w:rFonts w:ascii="宋体" w:hAnsi="宋体" w:cs="宋体"/>
          <w:b/>
          <w:bCs/>
          <w:szCs w:val="21"/>
        </w:rPr>
      </w:pPr>
      <w:r>
        <w:rPr>
          <w:rFonts w:hint="eastAsia" w:ascii="宋体" w:hAnsi="宋体" w:cs="宋体"/>
          <w:b/>
          <w:bCs/>
          <w:szCs w:val="21"/>
        </w:rPr>
        <w:t>一、基金托管人基本情况</w:t>
      </w:r>
    </w:p>
    <w:p>
      <w:pPr>
        <w:widowControl/>
        <w:spacing w:line="360" w:lineRule="auto"/>
        <w:ind w:firstLine="420" w:firstLineChars="200"/>
        <w:rPr>
          <w:rFonts w:ascii="宋体" w:hAnsi="宋体" w:cs="宋体"/>
          <w:szCs w:val="21"/>
        </w:rPr>
      </w:pPr>
      <w:r>
        <w:rPr>
          <w:rFonts w:hint="eastAsia" w:ascii="宋体" w:hAnsi="宋体" w:cs="宋体"/>
          <w:szCs w:val="21"/>
        </w:rPr>
        <w:t>1、基本情况</w:t>
      </w:r>
    </w:p>
    <w:p>
      <w:pPr>
        <w:widowControl/>
        <w:spacing w:line="360" w:lineRule="auto"/>
        <w:ind w:firstLine="420" w:firstLineChars="200"/>
        <w:rPr>
          <w:rFonts w:ascii="宋体" w:hAnsi="宋体" w:cs="宋体"/>
          <w:szCs w:val="21"/>
        </w:rPr>
      </w:pPr>
      <w:r>
        <w:rPr>
          <w:rFonts w:hint="eastAsia" w:ascii="宋体" w:hAnsi="宋体" w:cs="宋体"/>
          <w:szCs w:val="21"/>
        </w:rPr>
        <w:t>名称：兴业银行股份有限公司</w:t>
      </w:r>
    </w:p>
    <w:p>
      <w:pPr>
        <w:widowControl/>
        <w:spacing w:line="360" w:lineRule="auto"/>
        <w:ind w:firstLine="420" w:firstLineChars="200"/>
        <w:rPr>
          <w:rFonts w:ascii="宋体" w:hAnsi="宋体" w:cs="宋体"/>
          <w:szCs w:val="21"/>
        </w:rPr>
      </w:pPr>
      <w:r>
        <w:rPr>
          <w:rFonts w:hint="eastAsia" w:ascii="宋体" w:hAnsi="宋体" w:cs="宋体"/>
          <w:szCs w:val="21"/>
        </w:rPr>
        <w:t>注册地址：福建省福州市台江区江滨中大道398号兴业银行大厦</w:t>
      </w:r>
    </w:p>
    <w:p>
      <w:pPr>
        <w:widowControl/>
        <w:spacing w:line="360" w:lineRule="auto"/>
        <w:ind w:firstLine="420" w:firstLineChars="200"/>
        <w:rPr>
          <w:rFonts w:ascii="宋体" w:hAnsi="宋体" w:cs="宋体"/>
          <w:szCs w:val="21"/>
        </w:rPr>
      </w:pPr>
      <w:r>
        <w:rPr>
          <w:rFonts w:hint="eastAsia" w:ascii="宋体" w:hAnsi="宋体" w:cs="宋体"/>
          <w:szCs w:val="21"/>
        </w:rPr>
        <w:t>办公地址：上海市银城路167号</w:t>
      </w:r>
    </w:p>
    <w:p>
      <w:pPr>
        <w:widowControl/>
        <w:spacing w:line="360" w:lineRule="auto"/>
        <w:ind w:firstLine="420" w:firstLineChars="200"/>
        <w:rPr>
          <w:rFonts w:ascii="宋体" w:hAnsi="宋体" w:cs="宋体"/>
          <w:szCs w:val="21"/>
        </w:rPr>
      </w:pPr>
      <w:r>
        <w:rPr>
          <w:rFonts w:hint="eastAsia" w:ascii="宋体" w:hAnsi="宋体" w:cs="宋体"/>
          <w:szCs w:val="21"/>
        </w:rPr>
        <w:t>邮政编码：200120</w:t>
      </w:r>
    </w:p>
    <w:p>
      <w:pPr>
        <w:widowControl/>
        <w:spacing w:line="360" w:lineRule="auto"/>
        <w:ind w:firstLine="420" w:firstLineChars="200"/>
        <w:rPr>
          <w:rFonts w:ascii="宋体" w:hAnsi="宋体" w:cs="宋体"/>
          <w:szCs w:val="21"/>
        </w:rPr>
      </w:pPr>
      <w:r>
        <w:rPr>
          <w:rFonts w:hint="eastAsia" w:ascii="宋体" w:hAnsi="宋体" w:cs="宋体"/>
          <w:szCs w:val="21"/>
        </w:rPr>
        <w:t xml:space="preserve">法定代表人：吕家进 </w:t>
      </w:r>
    </w:p>
    <w:p>
      <w:pPr>
        <w:widowControl/>
        <w:spacing w:line="360" w:lineRule="auto"/>
        <w:ind w:firstLine="420" w:firstLineChars="200"/>
        <w:rPr>
          <w:rFonts w:ascii="宋体" w:hAnsi="宋体" w:cs="宋体"/>
          <w:szCs w:val="21"/>
        </w:rPr>
      </w:pPr>
      <w:r>
        <w:rPr>
          <w:rFonts w:hint="eastAsia" w:ascii="宋体" w:hAnsi="宋体" w:cs="宋体"/>
          <w:szCs w:val="21"/>
        </w:rPr>
        <w:t>成立日期：1988年8月22日</w:t>
      </w:r>
    </w:p>
    <w:p>
      <w:pPr>
        <w:widowControl/>
        <w:spacing w:line="360" w:lineRule="auto"/>
        <w:ind w:firstLine="420" w:firstLineChars="200"/>
        <w:rPr>
          <w:rFonts w:ascii="宋体" w:hAnsi="宋体" w:cs="宋体"/>
          <w:szCs w:val="21"/>
        </w:rPr>
      </w:pPr>
      <w:r>
        <w:rPr>
          <w:rFonts w:hint="eastAsia" w:ascii="宋体" w:hAnsi="宋体" w:cs="宋体"/>
          <w:szCs w:val="21"/>
        </w:rPr>
        <w:t>批准设立机关和批准设立文号：中国人民银行总行，银复[1988]347号</w:t>
      </w:r>
    </w:p>
    <w:p>
      <w:pPr>
        <w:widowControl/>
        <w:spacing w:line="360" w:lineRule="auto"/>
        <w:ind w:firstLine="420" w:firstLineChars="200"/>
        <w:rPr>
          <w:rFonts w:ascii="宋体" w:hAnsi="宋体" w:cs="宋体"/>
          <w:szCs w:val="21"/>
        </w:rPr>
      </w:pPr>
      <w:r>
        <w:rPr>
          <w:rFonts w:hint="eastAsia" w:ascii="宋体" w:hAnsi="宋体" w:cs="宋体"/>
          <w:szCs w:val="21"/>
        </w:rPr>
        <w:t>基金托管业务批准文号：中国证监会证监基金字[2005]74号</w:t>
      </w:r>
    </w:p>
    <w:p>
      <w:pPr>
        <w:widowControl/>
        <w:spacing w:line="360" w:lineRule="auto"/>
        <w:ind w:firstLine="420" w:firstLineChars="200"/>
        <w:rPr>
          <w:rFonts w:ascii="宋体" w:hAnsi="宋体" w:cs="宋体"/>
          <w:szCs w:val="21"/>
        </w:rPr>
      </w:pPr>
      <w:r>
        <w:rPr>
          <w:rFonts w:hint="eastAsia" w:ascii="宋体" w:hAnsi="宋体" w:cs="宋体"/>
          <w:szCs w:val="21"/>
        </w:rPr>
        <w:t>组织形式：股份有限公司</w:t>
      </w:r>
    </w:p>
    <w:p>
      <w:pPr>
        <w:widowControl/>
        <w:spacing w:line="360" w:lineRule="auto"/>
        <w:ind w:firstLine="420" w:firstLineChars="200"/>
        <w:rPr>
          <w:rFonts w:ascii="宋体" w:hAnsi="宋体" w:cs="宋体"/>
          <w:szCs w:val="21"/>
        </w:rPr>
      </w:pPr>
      <w:r>
        <w:rPr>
          <w:rFonts w:hint="eastAsia" w:ascii="宋体" w:hAnsi="宋体" w:cs="宋体"/>
          <w:szCs w:val="21"/>
        </w:rPr>
        <w:t>注册资本：207.74亿元人民币</w:t>
      </w:r>
    </w:p>
    <w:p>
      <w:pPr>
        <w:widowControl/>
        <w:spacing w:line="360" w:lineRule="auto"/>
        <w:ind w:firstLine="420" w:firstLineChars="200"/>
        <w:rPr>
          <w:rFonts w:ascii="宋体" w:hAnsi="宋体" w:cs="宋体"/>
          <w:szCs w:val="21"/>
        </w:rPr>
      </w:pPr>
      <w:r>
        <w:rPr>
          <w:rFonts w:hint="eastAsia" w:ascii="宋体" w:hAnsi="宋体" w:cs="宋体"/>
          <w:szCs w:val="21"/>
        </w:rPr>
        <w:t>存续期间：持续经营</w:t>
      </w:r>
    </w:p>
    <w:p>
      <w:pPr>
        <w:widowControl/>
        <w:spacing w:line="360" w:lineRule="auto"/>
        <w:ind w:firstLine="420" w:firstLineChars="200"/>
        <w:rPr>
          <w:rFonts w:ascii="宋体" w:hAnsi="宋体" w:cs="宋体"/>
          <w:szCs w:val="21"/>
        </w:rPr>
      </w:pPr>
      <w:r>
        <w:rPr>
          <w:rFonts w:hint="eastAsia" w:ascii="宋体" w:hAnsi="宋体" w:cs="宋体"/>
          <w:szCs w:val="21"/>
        </w:rPr>
        <w:t>2、发展概况及财务状况</w:t>
      </w:r>
    </w:p>
    <w:p>
      <w:pPr>
        <w:widowControl/>
        <w:spacing w:line="360" w:lineRule="auto"/>
        <w:ind w:firstLine="420" w:firstLineChars="200"/>
        <w:rPr>
          <w:rFonts w:ascii="宋体" w:hAnsi="宋体" w:cs="宋体"/>
          <w:szCs w:val="21"/>
        </w:rPr>
      </w:pPr>
      <w:r>
        <w:rPr>
          <w:rFonts w:hint="eastAsia" w:ascii="宋体" w:hAnsi="宋体" w:cs="宋体"/>
          <w:szCs w:val="21"/>
        </w:rPr>
        <w:t>兴业银行成立于1988年8月，是经国务院、中国人民银行批准成立的首批股份制商业银行之一，总行设在福建省福州市，2007年2月5日正式在上海证券交易所挂牌上市（股票代码：601166），注册资本207.74亿元。截至2022年12月31日，兴业银行资产总额达9.27万亿元，实现营业收入2223.74亿元，同比增长0.51%，全年实现归属于母公司股东的净利润913.77亿元。</w:t>
      </w:r>
    </w:p>
    <w:p>
      <w:pPr>
        <w:widowControl/>
        <w:spacing w:line="360" w:lineRule="auto"/>
        <w:ind w:firstLine="420" w:firstLineChars="200"/>
        <w:rPr>
          <w:rFonts w:ascii="宋体" w:hAnsi="宋体" w:cs="宋体"/>
          <w:szCs w:val="21"/>
        </w:rPr>
      </w:pPr>
      <w:r>
        <w:rPr>
          <w:rFonts w:hint="eastAsia" w:ascii="宋体" w:hAnsi="宋体" w:cs="宋体"/>
          <w:szCs w:val="21"/>
        </w:rPr>
        <w:t>开业三十多年来，兴业银行始终坚持“真诚服务，相伴成长”的经营理念，致力于为客户提供全面、优质、高效的金融服务。</w:t>
      </w:r>
    </w:p>
    <w:p>
      <w:pPr>
        <w:widowControl/>
        <w:spacing w:line="360" w:lineRule="auto"/>
        <w:ind w:firstLine="422" w:firstLineChars="200"/>
        <w:rPr>
          <w:rFonts w:ascii="宋体" w:hAnsi="宋体" w:cs="宋体"/>
          <w:b/>
          <w:bCs/>
          <w:szCs w:val="21"/>
        </w:rPr>
      </w:pPr>
      <w:r>
        <w:rPr>
          <w:rFonts w:hint="eastAsia" w:ascii="宋体" w:hAnsi="宋体" w:cs="宋体"/>
          <w:b/>
          <w:bCs/>
          <w:szCs w:val="21"/>
        </w:rPr>
        <w:t>二、托管业务部部门设置及员工情况</w:t>
      </w:r>
    </w:p>
    <w:p>
      <w:pPr>
        <w:widowControl/>
        <w:spacing w:line="360" w:lineRule="auto"/>
        <w:ind w:firstLine="420" w:firstLineChars="200"/>
        <w:rPr>
          <w:rFonts w:ascii="宋体" w:hAnsi="宋体" w:cs="宋体"/>
          <w:szCs w:val="21"/>
        </w:rPr>
      </w:pPr>
      <w:r>
        <w:rPr>
          <w:rFonts w:hint="eastAsia" w:ascii="宋体" w:hAnsi="宋体" w:cs="宋体"/>
          <w:szCs w:val="21"/>
        </w:rPr>
        <w:t>兴业银行股份有限公司总行设资产托管部，下设综合管理处、基金证券业务处、信托保险业务处、理财私募业务处、产品管理处、稽核监察处、投资监督管理处、运行管理处等处室，共有员工100余人，业务岗位人员均具有基金从业资格。</w:t>
      </w:r>
    </w:p>
    <w:p>
      <w:pPr>
        <w:widowControl/>
        <w:spacing w:line="360" w:lineRule="auto"/>
        <w:ind w:firstLine="422" w:firstLineChars="200"/>
        <w:rPr>
          <w:rFonts w:ascii="宋体" w:hAnsi="宋体" w:cs="宋体"/>
          <w:b/>
          <w:bCs/>
          <w:szCs w:val="21"/>
        </w:rPr>
      </w:pPr>
      <w:r>
        <w:rPr>
          <w:rFonts w:hint="eastAsia" w:ascii="宋体" w:hAnsi="宋体" w:cs="宋体"/>
          <w:b/>
          <w:bCs/>
          <w:szCs w:val="21"/>
        </w:rPr>
        <w:t>三、基金托管业务经营情况</w:t>
      </w:r>
    </w:p>
    <w:p>
      <w:pPr>
        <w:widowControl/>
        <w:spacing w:line="360" w:lineRule="auto"/>
        <w:ind w:firstLine="420" w:firstLineChars="200"/>
        <w:rPr>
          <w:rFonts w:ascii="宋体" w:hAnsi="宋体" w:cs="宋体"/>
          <w:szCs w:val="21"/>
        </w:rPr>
      </w:pPr>
      <w:r>
        <w:rPr>
          <w:rFonts w:hint="eastAsia" w:ascii="宋体" w:hAnsi="宋体" w:cs="宋体"/>
          <w:szCs w:val="21"/>
        </w:rPr>
        <w:t>兴业银行股份有限公司于2005年4月26日取得基金托管资格。基金托管业务批准文号：证监基金字[2005]74号。截至2023年3月31日，兴业银行共托管证券投资基金647只，托管基金的基金资产净值合计22201.71亿元，基金份额合计21435.58亿份。</w:t>
      </w:r>
    </w:p>
    <w:p>
      <w:pPr>
        <w:widowControl/>
        <w:spacing w:line="360" w:lineRule="auto"/>
        <w:ind w:firstLine="422" w:firstLineChars="200"/>
        <w:rPr>
          <w:rFonts w:ascii="宋体" w:hAnsi="宋体" w:cs="宋体"/>
          <w:b/>
          <w:bCs/>
          <w:szCs w:val="21"/>
        </w:rPr>
      </w:pPr>
      <w:r>
        <w:rPr>
          <w:rFonts w:hint="eastAsia" w:ascii="宋体" w:hAnsi="宋体" w:cs="宋体"/>
          <w:b/>
          <w:bCs/>
          <w:szCs w:val="21"/>
        </w:rPr>
        <w:t>四、基金托管人的内部控制制度</w:t>
      </w:r>
    </w:p>
    <w:p>
      <w:pPr>
        <w:widowControl/>
        <w:spacing w:line="360" w:lineRule="auto"/>
        <w:ind w:firstLine="420" w:firstLineChars="200"/>
        <w:rPr>
          <w:rFonts w:ascii="宋体" w:hAnsi="宋体" w:cs="宋体"/>
          <w:szCs w:val="21"/>
        </w:rPr>
      </w:pPr>
      <w:r>
        <w:rPr>
          <w:rFonts w:hint="eastAsia" w:ascii="宋体" w:hAnsi="宋体" w:cs="宋体"/>
          <w:szCs w:val="21"/>
        </w:rPr>
        <w:t>1、内部控制目标</w:t>
      </w:r>
    </w:p>
    <w:p>
      <w:pPr>
        <w:widowControl/>
        <w:spacing w:line="360" w:lineRule="auto"/>
        <w:ind w:firstLine="420" w:firstLineChars="200"/>
        <w:rPr>
          <w:rFonts w:ascii="宋体" w:hAnsi="宋体" w:cs="宋体"/>
          <w:szCs w:val="21"/>
        </w:rPr>
      </w:pPr>
      <w:r>
        <w:rPr>
          <w:rFonts w:hint="eastAsia" w:ascii="宋体" w:hAnsi="宋体" w:cs="宋体"/>
          <w:szCs w:val="21"/>
        </w:rPr>
        <w:t>严格遵守国家有关托管业务的法律法规、行业监管规章和行内有关管理规定，守法经营、规范运作、严格监察，确保业务的稳健运行，保证基金资产的安全完整，确保有关信息的真实、准确、完整、及时，保护基金份额持有人的合法权益。</w:t>
      </w:r>
    </w:p>
    <w:p>
      <w:pPr>
        <w:widowControl/>
        <w:spacing w:line="360" w:lineRule="auto"/>
        <w:ind w:firstLine="420" w:firstLineChars="200"/>
        <w:rPr>
          <w:rFonts w:ascii="宋体" w:hAnsi="宋体" w:cs="宋体"/>
          <w:szCs w:val="21"/>
        </w:rPr>
      </w:pPr>
      <w:r>
        <w:rPr>
          <w:rFonts w:hint="eastAsia" w:ascii="宋体" w:hAnsi="宋体" w:cs="宋体"/>
          <w:szCs w:val="21"/>
        </w:rPr>
        <w:t>2、内部控制组织结构</w:t>
      </w:r>
    </w:p>
    <w:p>
      <w:pPr>
        <w:widowControl/>
        <w:spacing w:line="360" w:lineRule="auto"/>
        <w:ind w:firstLine="420" w:firstLineChars="200"/>
        <w:rPr>
          <w:rFonts w:ascii="宋体" w:hAnsi="宋体" w:cs="宋体"/>
          <w:szCs w:val="21"/>
        </w:rPr>
      </w:pPr>
      <w:r>
        <w:rPr>
          <w:rFonts w:hint="eastAsia" w:ascii="宋体" w:hAnsi="宋体" w:cs="宋体"/>
          <w:szCs w:val="21"/>
        </w:rPr>
        <w:t>兴业银行基金托管业务内部控制组织架构由总行内部控制委员会、总行风险管理部门、总行审计部、总行资产托管部、总行运营管理部及分行托管运营机构共同组成。各级内部控制组织依照本行相关制度对本行托管业务风险管理和内部控制实施管理。</w:t>
      </w:r>
    </w:p>
    <w:p>
      <w:pPr>
        <w:widowControl/>
        <w:spacing w:line="360" w:lineRule="auto"/>
        <w:ind w:firstLine="420" w:firstLineChars="200"/>
        <w:rPr>
          <w:rFonts w:ascii="宋体" w:hAnsi="宋体" w:cs="宋体"/>
          <w:szCs w:val="21"/>
        </w:rPr>
      </w:pPr>
      <w:r>
        <w:rPr>
          <w:rFonts w:hint="eastAsia" w:ascii="宋体" w:hAnsi="宋体" w:cs="宋体"/>
          <w:szCs w:val="21"/>
        </w:rPr>
        <w:t>3、内部控制原则</w:t>
      </w:r>
    </w:p>
    <w:p>
      <w:pPr>
        <w:widowControl/>
        <w:spacing w:line="360" w:lineRule="auto"/>
        <w:ind w:firstLine="420" w:firstLineChars="200"/>
        <w:rPr>
          <w:rFonts w:ascii="宋体" w:hAnsi="宋体" w:cs="宋体"/>
          <w:szCs w:val="21"/>
        </w:rPr>
      </w:pPr>
      <w:r>
        <w:rPr>
          <w:rFonts w:hint="eastAsia" w:ascii="宋体" w:hAnsi="宋体" w:cs="宋体"/>
          <w:szCs w:val="21"/>
        </w:rPr>
        <w:t>1）全面性原则：内部控制贯穿资产托管业务的全过程，覆盖各项业务和产品，以及从事资产托管业务的各机构和从业人员；</w:t>
      </w:r>
    </w:p>
    <w:p>
      <w:pPr>
        <w:widowControl/>
        <w:spacing w:line="360" w:lineRule="auto"/>
        <w:ind w:firstLine="420" w:firstLineChars="200"/>
        <w:rPr>
          <w:rFonts w:ascii="宋体" w:hAnsi="宋体" w:cs="宋体"/>
          <w:szCs w:val="21"/>
        </w:rPr>
      </w:pPr>
      <w:r>
        <w:rPr>
          <w:rFonts w:hint="eastAsia" w:ascii="宋体" w:hAnsi="宋体" w:cs="宋体"/>
          <w:szCs w:val="21"/>
        </w:rPr>
        <w:t>2）重要性原则：内部控制应当在全面控制的基础上，关注重要业务事项和高风险领域；</w:t>
      </w:r>
    </w:p>
    <w:p>
      <w:pPr>
        <w:widowControl/>
        <w:spacing w:line="360" w:lineRule="auto"/>
        <w:ind w:firstLine="420" w:firstLineChars="200"/>
        <w:rPr>
          <w:rFonts w:ascii="宋体" w:hAnsi="宋体" w:cs="宋体"/>
          <w:szCs w:val="21"/>
        </w:rPr>
      </w:pPr>
      <w:r>
        <w:rPr>
          <w:rFonts w:hint="eastAsia" w:ascii="宋体" w:hAnsi="宋体" w:cs="宋体"/>
          <w:szCs w:val="21"/>
        </w:rPr>
        <w:t>3）独立性原则：开展托管业务的部门和岗位的设置应权责分明、相对独立、相互制衡；</w:t>
      </w:r>
    </w:p>
    <w:p>
      <w:pPr>
        <w:widowControl/>
        <w:spacing w:line="360" w:lineRule="auto"/>
        <w:ind w:firstLine="420" w:firstLineChars="200"/>
        <w:rPr>
          <w:rFonts w:ascii="宋体" w:hAnsi="宋体" w:cs="宋体"/>
          <w:szCs w:val="21"/>
        </w:rPr>
      </w:pPr>
      <w:r>
        <w:rPr>
          <w:rFonts w:hint="eastAsia" w:ascii="宋体" w:hAnsi="宋体" w:cs="宋体"/>
          <w:szCs w:val="21"/>
        </w:rPr>
        <w:t>4）审慎性原则：内控与风险管理必须以防范风险，保证托管资产的安全与完整为出发点，“内控优先”，“制度优先”，审慎发展资产托管业务；</w:t>
      </w:r>
    </w:p>
    <w:p>
      <w:pPr>
        <w:widowControl/>
        <w:spacing w:line="360" w:lineRule="auto"/>
        <w:ind w:firstLine="420" w:firstLineChars="200"/>
        <w:rPr>
          <w:rFonts w:ascii="宋体" w:hAnsi="宋体" w:cs="宋体"/>
          <w:szCs w:val="21"/>
        </w:rPr>
      </w:pPr>
      <w:r>
        <w:rPr>
          <w:rFonts w:hint="eastAsia" w:ascii="宋体" w:hAnsi="宋体" w:cs="宋体"/>
          <w:szCs w:val="21"/>
        </w:rPr>
        <w:t>5）制衡性原则：内部控制应当在治理结构、机构设置及权责分配、业务流程等方面形成相互制约、相互监督，同时兼顾运营效率；</w:t>
      </w:r>
    </w:p>
    <w:p>
      <w:pPr>
        <w:widowControl/>
        <w:spacing w:line="360" w:lineRule="auto"/>
        <w:ind w:firstLine="420" w:firstLineChars="200"/>
        <w:rPr>
          <w:rFonts w:ascii="宋体" w:hAnsi="宋体" w:cs="宋体"/>
          <w:szCs w:val="21"/>
        </w:rPr>
      </w:pPr>
      <w:r>
        <w:rPr>
          <w:rFonts w:hint="eastAsia" w:ascii="宋体" w:hAnsi="宋体" w:cs="宋体"/>
          <w:szCs w:val="21"/>
        </w:rPr>
        <w:t>6）适应性原则：内部控制体系应同所处的环境相适应，以合理的成本实现内控目标，内部制度的制订应当具有前瞻性，并应当根据国家政策、法律及经营管理的需要，适时进行相应修改和完善；内部控制存在的问题应当能够得到及时反馈和纠正；</w:t>
      </w:r>
    </w:p>
    <w:p>
      <w:pPr>
        <w:widowControl/>
        <w:spacing w:line="360" w:lineRule="auto"/>
        <w:ind w:firstLine="420" w:firstLineChars="200"/>
        <w:rPr>
          <w:rFonts w:ascii="宋体" w:hAnsi="宋体" w:cs="宋体"/>
          <w:szCs w:val="21"/>
        </w:rPr>
      </w:pPr>
      <w:r>
        <w:rPr>
          <w:rFonts w:hint="eastAsia" w:ascii="宋体" w:hAnsi="宋体" w:cs="宋体"/>
          <w:szCs w:val="21"/>
        </w:rPr>
        <w:t>7）成本效益原则：内部控制应当权衡实施成本与预期效益，以适当的成本实现有效控制。</w:t>
      </w:r>
    </w:p>
    <w:p>
      <w:pPr>
        <w:widowControl/>
        <w:spacing w:line="360" w:lineRule="auto"/>
        <w:ind w:firstLine="420" w:firstLineChars="200"/>
        <w:rPr>
          <w:rFonts w:ascii="宋体" w:hAnsi="宋体" w:cs="宋体"/>
          <w:szCs w:val="21"/>
        </w:rPr>
      </w:pPr>
      <w:r>
        <w:rPr>
          <w:rFonts w:hint="eastAsia" w:ascii="宋体" w:hAnsi="宋体" w:cs="宋体"/>
          <w:szCs w:val="21"/>
        </w:rPr>
        <w:t>4、内部控制制度及措施</w:t>
      </w:r>
    </w:p>
    <w:p>
      <w:pPr>
        <w:widowControl/>
        <w:spacing w:line="360" w:lineRule="auto"/>
        <w:ind w:firstLine="420" w:firstLineChars="200"/>
        <w:rPr>
          <w:rFonts w:ascii="宋体" w:hAnsi="宋体" w:cs="宋体"/>
          <w:szCs w:val="21"/>
        </w:rPr>
      </w:pPr>
      <w:r>
        <w:rPr>
          <w:rFonts w:hint="eastAsia" w:ascii="宋体" w:hAnsi="宋体" w:cs="宋体"/>
          <w:szCs w:val="21"/>
        </w:rPr>
        <w:t>1）制度建设：建立了明确的岗位职责、科学的业务流程、详细的操作手册、严格的人员行为规范等一系列规章制度。</w:t>
      </w:r>
    </w:p>
    <w:p>
      <w:pPr>
        <w:widowControl/>
        <w:spacing w:line="360" w:lineRule="auto"/>
        <w:ind w:firstLine="420" w:firstLineChars="200"/>
        <w:rPr>
          <w:rFonts w:ascii="宋体" w:hAnsi="宋体" w:cs="宋体"/>
          <w:szCs w:val="21"/>
        </w:rPr>
      </w:pPr>
      <w:r>
        <w:rPr>
          <w:rFonts w:hint="eastAsia" w:ascii="宋体" w:hAnsi="宋体" w:cs="宋体"/>
          <w:szCs w:val="21"/>
        </w:rPr>
        <w:t>2）建立健全的组织管理结构：前后台分离，不同部门、岗位相互牵制。</w:t>
      </w:r>
    </w:p>
    <w:p>
      <w:pPr>
        <w:widowControl/>
        <w:spacing w:line="360" w:lineRule="auto"/>
        <w:ind w:firstLine="420" w:firstLineChars="200"/>
        <w:rPr>
          <w:rFonts w:ascii="宋体" w:hAnsi="宋体" w:cs="宋体"/>
          <w:szCs w:val="21"/>
        </w:rPr>
      </w:pPr>
      <w:r>
        <w:rPr>
          <w:rFonts w:hint="eastAsia" w:ascii="宋体" w:hAnsi="宋体" w:cs="宋体"/>
          <w:szCs w:val="21"/>
        </w:rPr>
        <w:t>3）风险识别与评估：稽核监察处指导业务处室进行风险识别、评估，制定并实施风险控制措施。</w:t>
      </w:r>
    </w:p>
    <w:p>
      <w:pPr>
        <w:widowControl/>
        <w:spacing w:line="360" w:lineRule="auto"/>
        <w:ind w:firstLine="420" w:firstLineChars="200"/>
        <w:rPr>
          <w:rFonts w:ascii="宋体" w:hAnsi="宋体" w:cs="宋体"/>
          <w:szCs w:val="21"/>
        </w:rPr>
      </w:pPr>
      <w:r>
        <w:rPr>
          <w:rFonts w:hint="eastAsia" w:ascii="宋体" w:hAnsi="宋体" w:cs="宋体"/>
          <w:szCs w:val="21"/>
        </w:rPr>
        <w:t>4）相对独立的业务操作空间：业务操作区相对独立，实施门禁管理和音像监控。</w:t>
      </w:r>
    </w:p>
    <w:p>
      <w:pPr>
        <w:widowControl/>
        <w:spacing w:line="360" w:lineRule="auto"/>
        <w:ind w:firstLine="420" w:firstLineChars="200"/>
        <w:rPr>
          <w:rFonts w:ascii="宋体" w:hAnsi="宋体" w:cs="宋体"/>
          <w:szCs w:val="21"/>
        </w:rPr>
      </w:pPr>
      <w:r>
        <w:rPr>
          <w:rFonts w:hint="eastAsia" w:ascii="宋体" w:hAnsi="宋体" w:cs="宋体"/>
          <w:szCs w:val="21"/>
        </w:rPr>
        <w:t>5）人员管理：进行定期的业务与职业道德培训，使员工树立风险防范与控制理念，并签订承诺书。</w:t>
      </w:r>
    </w:p>
    <w:p>
      <w:pPr>
        <w:widowControl/>
        <w:spacing w:line="360" w:lineRule="auto"/>
        <w:ind w:firstLine="420" w:firstLineChars="200"/>
        <w:rPr>
          <w:rFonts w:ascii="宋体" w:hAnsi="宋体" w:cs="宋体"/>
          <w:szCs w:val="21"/>
        </w:rPr>
      </w:pPr>
      <w:r>
        <w:rPr>
          <w:rFonts w:hint="eastAsia" w:ascii="宋体" w:hAnsi="宋体" w:cs="宋体"/>
          <w:szCs w:val="21"/>
        </w:rPr>
        <w:t>6）应急预案：制定完备的《应急预案》，并组织员工定期演练；建立异地灾备中心，保证业务不中断。</w:t>
      </w:r>
    </w:p>
    <w:p>
      <w:pPr>
        <w:widowControl/>
        <w:spacing w:line="360" w:lineRule="auto"/>
        <w:ind w:firstLine="422" w:firstLineChars="200"/>
        <w:rPr>
          <w:rFonts w:ascii="宋体" w:hAnsi="宋体" w:cs="宋体"/>
          <w:b/>
          <w:bCs/>
          <w:szCs w:val="21"/>
        </w:rPr>
      </w:pPr>
      <w:r>
        <w:rPr>
          <w:rFonts w:hint="eastAsia" w:ascii="宋体" w:hAnsi="宋体" w:cs="宋体"/>
          <w:b/>
          <w:bCs/>
          <w:szCs w:val="21"/>
        </w:rPr>
        <w:t>五、基金托管人对基金管理人运作基金进行监督的方法和程序</w:t>
      </w:r>
    </w:p>
    <w:p>
      <w:pPr>
        <w:widowControl/>
        <w:spacing w:line="360" w:lineRule="auto"/>
        <w:ind w:firstLine="420" w:firstLineChars="200"/>
        <w:rPr>
          <w:rFonts w:ascii="宋体" w:hAnsi="宋体" w:cs="宋体"/>
          <w:szCs w:val="21"/>
        </w:rPr>
      </w:pPr>
      <w:r>
        <w:rPr>
          <w:rFonts w:hint="eastAsia" w:ascii="宋体" w:hAnsi="宋体" w:cs="宋体"/>
          <w:szCs w:val="21"/>
        </w:rPr>
        <w:t>基金托管人负有对基金管理人的投资运作行使监督权的职责。根据《基金法》、《运作办法》、基金合同及其他有关规定，托管人对基金的投资对象和范围、投资组合比例、投资限制、费用的计提和支付方式、基金会计核算、基金资产估值和基金净值的计算、收益分配、申购赎回以及其他有关基金投资和运作的事项，对基金管理人进行业务监督、核查。</w:t>
      </w:r>
    </w:p>
    <w:p>
      <w:pPr>
        <w:widowControl/>
        <w:spacing w:line="360" w:lineRule="auto"/>
        <w:ind w:firstLine="420" w:firstLineChars="200"/>
        <w:rPr>
          <w:rFonts w:ascii="宋体" w:hAnsi="宋体" w:cs="宋体"/>
          <w:szCs w:val="21"/>
        </w:rPr>
      </w:pPr>
      <w:r>
        <w:rPr>
          <w:rFonts w:hint="eastAsia" w:ascii="宋体" w:hAnsi="宋体" w:cs="宋体"/>
          <w:szCs w:val="21"/>
        </w:rPr>
        <w:t>基金托管人发现基金管理人有违反《基金法》、《运作办法》、基金合同和有关法律法规规定的行为，应及时以书面形式通知基金管理人限期纠正，基金管理人收到通知后应及时核对并以书面形式对基金托管人发出回函。在限期内，基金托管人有权随时对通知事项进行复查，督促基金管理人改正。基金管理人对基金托管人通知的违规事项未能在限期内纠正的，基金托管人应报告中国证监会。基金托管人发现基金管理人有重大违规行为，立即报告中国证监会，同时，通知基金管理人限期纠正，并将纠正结果报告中国证监会。</w:t>
      </w:r>
    </w:p>
    <w:p>
      <w:pPr>
        <w:widowControl/>
        <w:spacing w:line="360" w:lineRule="auto"/>
        <w:ind w:firstLine="420" w:firstLineChars="200"/>
        <w:rPr>
          <w:rFonts w:ascii="宋体" w:hAnsi="宋体" w:cs="宋体"/>
          <w:szCs w:val="21"/>
        </w:rPr>
      </w:pPr>
      <w:r>
        <w:rPr>
          <w:rFonts w:hint="eastAsia" w:ascii="宋体" w:hAnsi="宋体" w:cs="宋体"/>
          <w:szCs w:val="21"/>
        </w:rPr>
        <w:t>基金托管人发现基金管理人的指令违反法律、行政法规和其他有关规定，或者违反基金合同约定的，应当拒绝执行，立即通知基金管理人，并及时向中国证监会报告。</w:t>
      </w:r>
    </w:p>
    <w:p>
      <w:pPr>
        <w:widowControl/>
        <w:spacing w:line="360" w:lineRule="auto"/>
        <w:ind w:firstLine="420" w:firstLineChars="200"/>
        <w:rPr>
          <w:rFonts w:ascii="宋体" w:hAnsi="宋体" w:cs="宋体"/>
          <w:szCs w:val="21"/>
        </w:rPr>
      </w:pPr>
      <w:r>
        <w:rPr>
          <w:rFonts w:hint="eastAsia" w:ascii="宋体" w:hAnsi="宋体" w:cs="宋体"/>
          <w:szCs w:val="21"/>
        </w:rPr>
        <w:t>基金托管人发现基金管理人依据交易程序已经生效的投资指令违反法律、行政法规和其他有关规定，或者违反基金合同约定的，应当立即通知基金管理人，并及时向中国证监会报告。</w:t>
      </w:r>
    </w:p>
    <w:p>
      <w:pPr>
        <w:widowControl/>
        <w:spacing w:line="360" w:lineRule="auto"/>
        <w:jc w:val="left"/>
        <w:rPr>
          <w:color w:val="000000"/>
        </w:rPr>
        <w:sectPr>
          <w:footerReference r:id="rId9" w:type="first"/>
          <w:footerReference r:id="rId8" w:type="default"/>
          <w:pgSz w:w="11906" w:h="16838"/>
          <w:pgMar w:top="1440" w:right="1800" w:bottom="1440" w:left="1800" w:header="851" w:footer="992" w:gutter="0"/>
          <w:cols w:space="425" w:num="1"/>
          <w:titlePg/>
          <w:docGrid w:type="lines" w:linePitch="312" w:charSpace="0"/>
        </w:sectPr>
      </w:pPr>
    </w:p>
    <w:p>
      <w:pPr>
        <w:pStyle w:val="3"/>
        <w:numPr>
          <w:ilvl w:val="0"/>
          <w:numId w:val="25"/>
        </w:numPr>
        <w:snapToGrid w:val="0"/>
        <w:spacing w:before="0" w:after="0" w:line="360" w:lineRule="auto"/>
        <w:jc w:val="center"/>
      </w:pPr>
      <w:bookmarkStart w:id="62" w:name="_Toc411872027"/>
      <w:bookmarkStart w:id="63" w:name="_Toc336606230"/>
      <w:bookmarkStart w:id="64" w:name="_Toc327902626"/>
      <w:bookmarkStart w:id="65" w:name="_Toc16386"/>
      <w:bookmarkStart w:id="66" w:name="_Toc369510011"/>
      <w:bookmarkStart w:id="67" w:name="_Toc335899836"/>
      <w:bookmarkStart w:id="68" w:name="_Toc375295976"/>
      <w:bookmarkStart w:id="69" w:name="_Toc332013113"/>
      <w:bookmarkStart w:id="70" w:name="_Toc8145"/>
      <w:r>
        <w:rPr>
          <w:rFonts w:hint="eastAsia"/>
        </w:rPr>
        <w:t>相关服务机构</w:t>
      </w:r>
      <w:bookmarkEnd w:id="62"/>
      <w:bookmarkEnd w:id="63"/>
      <w:bookmarkEnd w:id="64"/>
      <w:bookmarkEnd w:id="65"/>
      <w:bookmarkEnd w:id="66"/>
      <w:bookmarkEnd w:id="67"/>
      <w:bookmarkEnd w:id="68"/>
      <w:bookmarkEnd w:id="69"/>
      <w:bookmarkEnd w:id="70"/>
    </w:p>
    <w:p>
      <w:pPr>
        <w:pStyle w:val="163"/>
        <w:ind w:firstLine="422"/>
        <w:rPr>
          <w:b/>
        </w:rPr>
      </w:pPr>
      <w:r>
        <w:rPr>
          <w:rFonts w:hint="eastAsia"/>
          <w:b/>
        </w:rPr>
        <w:t>一、基金份额销售机构</w:t>
      </w:r>
    </w:p>
    <w:p>
      <w:pPr>
        <w:adjustRightInd w:val="0"/>
        <w:snapToGrid w:val="0"/>
        <w:spacing w:line="360" w:lineRule="auto"/>
        <w:ind w:firstLine="420" w:firstLineChars="200"/>
        <w:rPr>
          <w:rFonts w:cs="Arial" w:asciiTheme="minorEastAsia" w:hAnsiTheme="minorEastAsia" w:eastAsiaTheme="minorEastAsia"/>
        </w:rPr>
      </w:pPr>
      <w:r>
        <w:rPr>
          <w:rFonts w:hint="eastAsia" w:cs="Arial" w:asciiTheme="minorEastAsia" w:hAnsiTheme="minorEastAsia" w:eastAsiaTheme="minorEastAsia"/>
        </w:rPr>
        <w:t>1、直销机构</w:t>
      </w:r>
    </w:p>
    <w:p>
      <w:pPr>
        <w:adjustRightInd w:val="0"/>
        <w:snapToGrid w:val="0"/>
        <w:spacing w:line="360" w:lineRule="auto"/>
        <w:ind w:firstLine="420" w:firstLineChars="200"/>
        <w:rPr>
          <w:rFonts w:cs="Arial" w:asciiTheme="minorEastAsia" w:hAnsiTheme="minorEastAsia" w:eastAsiaTheme="minorEastAsia"/>
        </w:rPr>
      </w:pPr>
      <w:r>
        <w:rPr>
          <w:rFonts w:hint="eastAsia" w:cs="Arial" w:asciiTheme="minorEastAsia" w:hAnsiTheme="minorEastAsia" w:eastAsiaTheme="minorEastAsia"/>
        </w:rPr>
        <w:t>博时基金管理有限公司</w:t>
      </w:r>
      <w:bookmarkStart w:id="71" w:name="_Hlk83213314"/>
      <w:r>
        <w:rPr>
          <w:rFonts w:hint="eastAsia" w:cs="Arial" w:asciiTheme="minorEastAsia" w:hAnsiTheme="minorEastAsia" w:eastAsiaTheme="minorEastAsia"/>
        </w:rPr>
        <w:t>北京直销中心</w:t>
      </w:r>
      <w:bookmarkEnd w:id="71"/>
    </w:p>
    <w:p>
      <w:pPr>
        <w:adjustRightInd w:val="0"/>
        <w:snapToGrid w:val="0"/>
        <w:spacing w:line="360" w:lineRule="auto"/>
        <w:ind w:firstLine="420" w:firstLineChars="200"/>
        <w:rPr>
          <w:rFonts w:cs="Arial" w:asciiTheme="minorEastAsia" w:hAnsiTheme="minorEastAsia" w:eastAsiaTheme="minorEastAsia"/>
        </w:rPr>
      </w:pPr>
      <w:r>
        <w:rPr>
          <w:rFonts w:hint="eastAsia" w:cs="Arial" w:asciiTheme="minorEastAsia" w:hAnsiTheme="minorEastAsia" w:eastAsiaTheme="minorEastAsia"/>
        </w:rPr>
        <w:t>名称：博时基金管理有限公司北京直销中心</w:t>
      </w:r>
    </w:p>
    <w:p>
      <w:pPr>
        <w:adjustRightInd w:val="0"/>
        <w:snapToGrid w:val="0"/>
        <w:spacing w:line="360" w:lineRule="auto"/>
        <w:ind w:firstLine="420" w:firstLineChars="200"/>
        <w:rPr>
          <w:rFonts w:cs="Arial" w:asciiTheme="minorEastAsia" w:hAnsiTheme="minorEastAsia" w:eastAsiaTheme="minorEastAsia"/>
        </w:rPr>
      </w:pPr>
      <w:r>
        <w:rPr>
          <w:rFonts w:hint="eastAsia" w:cs="Arial" w:asciiTheme="minorEastAsia" w:hAnsiTheme="minorEastAsia" w:eastAsiaTheme="minorEastAsia"/>
        </w:rPr>
        <w:t>地址：北京市东城区建国门内大街8号中粮广场C座609</w:t>
      </w:r>
    </w:p>
    <w:p>
      <w:pPr>
        <w:adjustRightInd w:val="0"/>
        <w:snapToGrid w:val="0"/>
        <w:spacing w:line="360" w:lineRule="auto"/>
        <w:ind w:firstLine="420" w:firstLineChars="200"/>
        <w:rPr>
          <w:rFonts w:cs="Arial" w:asciiTheme="minorEastAsia" w:hAnsiTheme="minorEastAsia" w:eastAsiaTheme="minorEastAsia"/>
        </w:rPr>
      </w:pPr>
      <w:r>
        <w:rPr>
          <w:rFonts w:hint="eastAsia" w:cs="Arial" w:asciiTheme="minorEastAsia" w:hAnsiTheme="minorEastAsia" w:eastAsiaTheme="minorEastAsia"/>
        </w:rPr>
        <w:t>电话：010-65187055</w:t>
      </w:r>
    </w:p>
    <w:p>
      <w:pPr>
        <w:adjustRightInd w:val="0"/>
        <w:snapToGrid w:val="0"/>
        <w:spacing w:line="360" w:lineRule="auto"/>
        <w:ind w:firstLine="420" w:firstLineChars="200"/>
        <w:rPr>
          <w:rFonts w:cs="Arial" w:asciiTheme="minorEastAsia" w:hAnsiTheme="minorEastAsia" w:eastAsiaTheme="minorEastAsia"/>
        </w:rPr>
      </w:pPr>
      <w:r>
        <w:rPr>
          <w:rFonts w:hint="eastAsia" w:cs="Arial" w:asciiTheme="minorEastAsia" w:hAnsiTheme="minorEastAsia" w:eastAsiaTheme="minorEastAsia"/>
        </w:rPr>
        <w:t>传真：010-65187032</w:t>
      </w:r>
    </w:p>
    <w:p>
      <w:pPr>
        <w:adjustRightInd w:val="0"/>
        <w:snapToGrid w:val="0"/>
        <w:spacing w:line="360" w:lineRule="auto"/>
        <w:ind w:firstLine="420" w:firstLineChars="200"/>
        <w:rPr>
          <w:rFonts w:cs="Arial" w:asciiTheme="minorEastAsia" w:hAnsiTheme="minorEastAsia" w:eastAsiaTheme="minorEastAsia"/>
        </w:rPr>
      </w:pPr>
      <w:r>
        <w:rPr>
          <w:rFonts w:hint="eastAsia" w:cs="Arial" w:asciiTheme="minorEastAsia" w:hAnsiTheme="minorEastAsia" w:eastAsiaTheme="minorEastAsia"/>
        </w:rPr>
        <w:t>联系人：韩明亮</w:t>
      </w:r>
    </w:p>
    <w:p>
      <w:pPr>
        <w:adjustRightInd w:val="0"/>
        <w:snapToGrid w:val="0"/>
        <w:spacing w:line="360" w:lineRule="auto"/>
        <w:ind w:firstLine="420" w:firstLineChars="200"/>
        <w:rPr>
          <w:rFonts w:cs="Arial" w:asciiTheme="minorEastAsia" w:hAnsiTheme="minorEastAsia" w:eastAsiaTheme="minorEastAsia"/>
        </w:rPr>
      </w:pPr>
      <w:r>
        <w:rPr>
          <w:rFonts w:hint="eastAsia" w:cs="Arial" w:asciiTheme="minorEastAsia" w:hAnsiTheme="minorEastAsia" w:eastAsiaTheme="minorEastAsia"/>
        </w:rPr>
        <w:t>博时一线通：95105568（免长途话费）</w:t>
      </w:r>
    </w:p>
    <w:p>
      <w:pPr>
        <w:adjustRightInd w:val="0"/>
        <w:snapToGrid w:val="0"/>
        <w:spacing w:line="360" w:lineRule="auto"/>
        <w:ind w:firstLine="420" w:firstLineChars="200"/>
        <w:rPr>
          <w:rFonts w:cs="Arial" w:asciiTheme="minorEastAsia" w:hAnsiTheme="minorEastAsia" w:eastAsiaTheme="minorEastAsia"/>
        </w:rPr>
      </w:pPr>
      <w:r>
        <w:rPr>
          <w:rFonts w:hint="eastAsia" w:cs="Arial" w:asciiTheme="minorEastAsia" w:hAnsiTheme="minorEastAsia" w:eastAsiaTheme="minorEastAsia"/>
        </w:rPr>
        <w:t>2、基金管理人可根据有关法律法规的要求，选择其他符合要求的机构销售本基金，并在基金管理人网站公示。</w:t>
      </w:r>
    </w:p>
    <w:p>
      <w:pPr>
        <w:snapToGrid w:val="0"/>
        <w:spacing w:line="360" w:lineRule="auto"/>
        <w:ind w:firstLine="420" w:firstLineChars="200"/>
        <w:rPr>
          <w:rFonts w:ascii="宋体" w:hAnsi="宋体" w:cs="Arial"/>
        </w:rPr>
      </w:pPr>
      <w:r>
        <w:rPr>
          <w:rFonts w:hint="eastAsia" w:cs="Arial" w:asciiTheme="minorEastAsia" w:hAnsiTheme="minorEastAsia" w:eastAsiaTheme="minorEastAsia"/>
        </w:rPr>
        <w:t>基金销售机构的具体名单见基金份额发售公告及基金管理人网站，基金管理人可依据实际情况增减、变更基金销售机构，并在基金管理人网站公示。</w:t>
      </w:r>
    </w:p>
    <w:p>
      <w:pPr>
        <w:pStyle w:val="163"/>
        <w:ind w:firstLine="422"/>
        <w:rPr>
          <w:b/>
        </w:rPr>
      </w:pPr>
      <w:r>
        <w:rPr>
          <w:rFonts w:hint="eastAsia"/>
          <w:b/>
        </w:rPr>
        <w:t>二、登记机构</w:t>
      </w:r>
    </w:p>
    <w:p>
      <w:pPr>
        <w:snapToGrid w:val="0"/>
        <w:spacing w:line="360" w:lineRule="auto"/>
        <w:ind w:firstLine="420" w:firstLineChars="200"/>
        <w:rPr>
          <w:rFonts w:ascii="宋体" w:hAnsi="宋体" w:cs="Arial"/>
        </w:rPr>
      </w:pPr>
      <w:r>
        <w:rPr>
          <w:rFonts w:ascii="宋体" w:hAnsi="宋体" w:cs="Arial"/>
        </w:rPr>
        <w:t>名称：博时基金管理有限公司</w:t>
      </w:r>
    </w:p>
    <w:p>
      <w:pPr>
        <w:snapToGrid w:val="0"/>
        <w:spacing w:line="360" w:lineRule="auto"/>
        <w:ind w:firstLine="420" w:firstLineChars="200"/>
        <w:rPr>
          <w:rFonts w:ascii="宋体" w:hAnsi="宋体" w:cs="Arial"/>
        </w:rPr>
      </w:pPr>
      <w:r>
        <w:rPr>
          <w:rFonts w:ascii="宋体" w:hAnsi="宋体" w:cs="Arial"/>
        </w:rPr>
        <w:t>住所：</w:t>
      </w:r>
      <w:r>
        <w:rPr>
          <w:rFonts w:hint="eastAsia" w:ascii="宋体" w:hAnsi="宋体" w:cs="Arial"/>
        </w:rPr>
        <w:t>深圳市福田区莲花街道福新社区益田路5999号基金大厦21层</w:t>
      </w:r>
    </w:p>
    <w:p>
      <w:pPr>
        <w:snapToGrid w:val="0"/>
        <w:spacing w:line="360" w:lineRule="auto"/>
        <w:ind w:firstLine="420" w:firstLineChars="200"/>
        <w:rPr>
          <w:rFonts w:ascii="宋体" w:hAnsi="宋体" w:cs="Arial"/>
        </w:rPr>
      </w:pPr>
      <w:r>
        <w:rPr>
          <w:rFonts w:hint="eastAsia" w:ascii="宋体" w:hAnsi="宋体" w:cs="Arial"/>
        </w:rPr>
        <w:t>办公地址：北京市东城区建国门内大街8号中粮广场C座6层609</w:t>
      </w:r>
    </w:p>
    <w:p>
      <w:pPr>
        <w:snapToGrid w:val="0"/>
        <w:spacing w:line="360" w:lineRule="auto"/>
        <w:ind w:firstLine="420" w:firstLineChars="200"/>
        <w:rPr>
          <w:rFonts w:ascii="宋体" w:hAnsi="宋体" w:cs="Arial"/>
        </w:rPr>
      </w:pPr>
      <w:r>
        <w:rPr>
          <w:rFonts w:hint="eastAsia" w:ascii="宋体" w:hAnsi="宋体" w:cs="Arial"/>
        </w:rPr>
        <w:t>法定代表人：江向阳</w:t>
      </w:r>
    </w:p>
    <w:p>
      <w:pPr>
        <w:adjustRightInd w:val="0"/>
        <w:snapToGrid w:val="0"/>
        <w:spacing w:line="360" w:lineRule="auto"/>
        <w:ind w:firstLine="420" w:firstLineChars="200"/>
        <w:rPr>
          <w:rFonts w:ascii="宋体" w:hAnsi="宋体" w:cs="Arial"/>
        </w:rPr>
      </w:pPr>
      <w:r>
        <w:rPr>
          <w:rFonts w:hint="eastAsia" w:ascii="宋体" w:hAnsi="宋体" w:cs="Arial"/>
        </w:rPr>
        <w:t>电话：010-65171166</w:t>
      </w:r>
    </w:p>
    <w:p>
      <w:pPr>
        <w:adjustRightInd w:val="0"/>
        <w:snapToGrid w:val="0"/>
        <w:spacing w:line="360" w:lineRule="auto"/>
        <w:ind w:firstLine="420" w:firstLineChars="200"/>
        <w:rPr>
          <w:rFonts w:ascii="宋体" w:hAnsi="宋体" w:cs="Arial"/>
        </w:rPr>
      </w:pPr>
      <w:r>
        <w:rPr>
          <w:rFonts w:hint="eastAsia" w:ascii="宋体" w:hAnsi="宋体" w:cs="Arial"/>
        </w:rPr>
        <w:t>传真：010-65187068</w:t>
      </w:r>
    </w:p>
    <w:p>
      <w:pPr>
        <w:adjustRightInd w:val="0"/>
        <w:snapToGrid w:val="0"/>
        <w:spacing w:line="360" w:lineRule="auto"/>
        <w:ind w:firstLine="420" w:firstLineChars="200"/>
        <w:rPr>
          <w:rFonts w:hint="eastAsia" w:ascii="Arial" w:hAnsi="Arial" w:eastAsia="宋体" w:cs="Arial"/>
          <w:lang w:val="en-US" w:eastAsia="zh-CN"/>
        </w:rPr>
      </w:pPr>
      <w:r>
        <w:rPr>
          <w:rFonts w:hint="eastAsia" w:ascii="宋体" w:hAnsi="宋体" w:cs="Arial"/>
        </w:rPr>
        <w:t>联系人：</w:t>
      </w:r>
      <w:r>
        <w:rPr>
          <w:rFonts w:hint="eastAsia" w:ascii="宋体" w:hAnsi="宋体" w:cs="Arial"/>
          <w:lang w:val="en-US" w:eastAsia="zh-CN"/>
        </w:rPr>
        <w:t>佀方方</w:t>
      </w:r>
    </w:p>
    <w:p>
      <w:pPr>
        <w:pStyle w:val="163"/>
        <w:ind w:firstLine="422"/>
        <w:rPr>
          <w:b/>
        </w:rPr>
      </w:pPr>
      <w:r>
        <w:rPr>
          <w:rFonts w:hint="eastAsia"/>
          <w:b/>
        </w:rPr>
        <w:t>三、出具法律意见书的律师事务所</w:t>
      </w:r>
    </w:p>
    <w:p>
      <w:pPr>
        <w:snapToGrid w:val="0"/>
        <w:spacing w:line="360" w:lineRule="auto"/>
        <w:ind w:firstLine="420" w:firstLineChars="200"/>
        <w:rPr>
          <w:rFonts w:cs="Arial" w:asciiTheme="minorEastAsia" w:hAnsiTheme="minorEastAsia" w:eastAsiaTheme="minorEastAsia"/>
          <w:color w:val="000000"/>
          <w:kern w:val="0"/>
          <w:szCs w:val="21"/>
          <w:lang w:eastAsia="zh-Hans"/>
        </w:rPr>
      </w:pPr>
      <w:r>
        <w:rPr>
          <w:rFonts w:hint="eastAsia" w:cs="Arial" w:asciiTheme="minorEastAsia" w:hAnsiTheme="minorEastAsia" w:eastAsiaTheme="minorEastAsia"/>
          <w:color w:val="000000"/>
          <w:kern w:val="0"/>
          <w:szCs w:val="21"/>
        </w:rPr>
        <w:t>名称：</w:t>
      </w:r>
      <w:r>
        <w:rPr>
          <w:rFonts w:hint="eastAsia" w:cs="Arial" w:asciiTheme="minorEastAsia" w:hAnsiTheme="minorEastAsia" w:eastAsiaTheme="minorEastAsia"/>
          <w:color w:val="000000"/>
          <w:kern w:val="0"/>
          <w:szCs w:val="21"/>
          <w:lang w:eastAsia="zh-Hans"/>
        </w:rPr>
        <w:t>上海源泰律师事务所</w:t>
      </w:r>
    </w:p>
    <w:p>
      <w:pPr>
        <w:snapToGrid w:val="0"/>
        <w:spacing w:line="360" w:lineRule="auto"/>
        <w:ind w:firstLine="420" w:firstLineChars="200"/>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注册地址：上海市浦东新区浦东南路256号华夏银行大厦14楼</w:t>
      </w:r>
    </w:p>
    <w:p>
      <w:pPr>
        <w:snapToGrid w:val="0"/>
        <w:spacing w:line="360" w:lineRule="auto"/>
        <w:ind w:firstLine="420" w:firstLineChars="200"/>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办公地址：上海市浦东新区浦东南路256号华夏银行大厦14楼</w:t>
      </w:r>
    </w:p>
    <w:p>
      <w:pPr>
        <w:snapToGrid w:val="0"/>
        <w:spacing w:line="360" w:lineRule="auto"/>
        <w:ind w:firstLine="420" w:firstLineChars="200"/>
        <w:rPr>
          <w:rFonts w:cs="Arial" w:asciiTheme="minorEastAsia" w:hAnsiTheme="minorEastAsia" w:eastAsiaTheme="minorEastAsia"/>
          <w:color w:val="000000"/>
          <w:kern w:val="0"/>
          <w:szCs w:val="21"/>
          <w:lang w:eastAsia="zh-Hans"/>
        </w:rPr>
      </w:pPr>
      <w:r>
        <w:rPr>
          <w:rFonts w:hint="eastAsia" w:cs="Arial" w:asciiTheme="minorEastAsia" w:hAnsiTheme="minorEastAsia" w:eastAsiaTheme="minorEastAsia"/>
          <w:color w:val="000000"/>
          <w:kern w:val="0"/>
          <w:szCs w:val="21"/>
        </w:rPr>
        <w:t>负责人：</w:t>
      </w:r>
      <w:r>
        <w:rPr>
          <w:rFonts w:hint="eastAsia" w:cs="Arial" w:asciiTheme="minorEastAsia" w:hAnsiTheme="minorEastAsia" w:eastAsiaTheme="minorEastAsia"/>
          <w:color w:val="000000"/>
          <w:kern w:val="0"/>
          <w:szCs w:val="21"/>
          <w:lang w:eastAsia="zh-Hans"/>
        </w:rPr>
        <w:t>廖海</w:t>
      </w:r>
    </w:p>
    <w:p>
      <w:pPr>
        <w:snapToGrid w:val="0"/>
        <w:spacing w:line="360" w:lineRule="auto"/>
        <w:ind w:firstLine="420" w:firstLineChars="200"/>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电话：021-51150298</w:t>
      </w:r>
    </w:p>
    <w:p>
      <w:pPr>
        <w:snapToGrid w:val="0"/>
        <w:spacing w:line="360" w:lineRule="auto"/>
        <w:ind w:firstLine="420" w:firstLineChars="200"/>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传真：021-51150298</w:t>
      </w:r>
    </w:p>
    <w:p>
      <w:pPr>
        <w:snapToGrid w:val="0"/>
        <w:spacing w:line="360" w:lineRule="auto"/>
        <w:ind w:firstLine="420" w:firstLineChars="200"/>
        <w:rPr>
          <w:rFonts w:cs="Arial" w:asciiTheme="minorEastAsia" w:hAnsiTheme="minorEastAsia" w:eastAsiaTheme="minorEastAsia"/>
          <w:color w:val="000000"/>
          <w:kern w:val="0"/>
          <w:szCs w:val="21"/>
          <w:lang w:eastAsia="zh-Hans"/>
        </w:rPr>
      </w:pPr>
      <w:r>
        <w:rPr>
          <w:rFonts w:hint="eastAsia" w:cs="Arial" w:asciiTheme="minorEastAsia" w:hAnsiTheme="minorEastAsia" w:eastAsiaTheme="minorEastAsia"/>
          <w:color w:val="000000"/>
          <w:kern w:val="0"/>
          <w:szCs w:val="21"/>
        </w:rPr>
        <w:t>联系人：</w:t>
      </w:r>
      <w:r>
        <w:rPr>
          <w:rFonts w:hint="eastAsia" w:cs="Arial" w:asciiTheme="minorEastAsia" w:hAnsiTheme="minorEastAsia" w:eastAsiaTheme="minorEastAsia"/>
          <w:color w:val="000000"/>
          <w:kern w:val="0"/>
          <w:szCs w:val="21"/>
          <w:lang w:eastAsia="zh-Hans"/>
        </w:rPr>
        <w:t>廖海</w:t>
      </w:r>
    </w:p>
    <w:p>
      <w:pPr>
        <w:snapToGrid w:val="0"/>
        <w:spacing w:line="360" w:lineRule="auto"/>
        <w:ind w:firstLine="420" w:firstLineChars="200"/>
        <w:rPr>
          <w:rFonts w:cs="Arial" w:asciiTheme="minorEastAsia" w:hAnsiTheme="minorEastAsia" w:eastAsiaTheme="minorEastAsia"/>
          <w:color w:val="000000"/>
          <w:kern w:val="0"/>
          <w:szCs w:val="21"/>
          <w:lang w:eastAsia="zh-Hans"/>
        </w:rPr>
      </w:pPr>
      <w:r>
        <w:rPr>
          <w:rFonts w:hint="eastAsia" w:cs="Arial" w:asciiTheme="minorEastAsia" w:hAnsiTheme="minorEastAsia" w:eastAsiaTheme="minorEastAsia"/>
          <w:color w:val="000000"/>
          <w:kern w:val="0"/>
          <w:szCs w:val="21"/>
        </w:rPr>
        <w:t>经办律师：</w:t>
      </w:r>
      <w:r>
        <w:rPr>
          <w:rFonts w:hint="eastAsia" w:cs="Arial" w:asciiTheme="minorEastAsia" w:hAnsiTheme="minorEastAsia" w:eastAsiaTheme="minorEastAsia"/>
          <w:color w:val="000000"/>
          <w:kern w:val="0"/>
          <w:szCs w:val="21"/>
          <w:lang w:eastAsia="zh-Hans"/>
        </w:rPr>
        <w:t>廖海</w:t>
      </w:r>
      <w:r>
        <w:rPr>
          <w:rFonts w:cs="Arial" w:asciiTheme="minorEastAsia" w:hAnsiTheme="minorEastAsia" w:eastAsiaTheme="minorEastAsia"/>
          <w:color w:val="000000"/>
          <w:kern w:val="0"/>
          <w:szCs w:val="21"/>
          <w:lang w:eastAsia="zh-Hans"/>
        </w:rPr>
        <w:t>、</w:t>
      </w:r>
      <w:r>
        <w:rPr>
          <w:rFonts w:hint="eastAsia" w:cs="Arial" w:asciiTheme="minorEastAsia" w:hAnsiTheme="minorEastAsia" w:eastAsiaTheme="minorEastAsia"/>
          <w:color w:val="000000"/>
          <w:kern w:val="0"/>
          <w:szCs w:val="21"/>
          <w:lang w:eastAsia="zh-Hans"/>
        </w:rPr>
        <w:t>刘佳</w:t>
      </w:r>
    </w:p>
    <w:p>
      <w:pPr>
        <w:pStyle w:val="163"/>
        <w:ind w:firstLine="422"/>
        <w:rPr>
          <w:b/>
        </w:rPr>
      </w:pPr>
      <w:r>
        <w:rPr>
          <w:rFonts w:hint="eastAsia"/>
          <w:b/>
        </w:rPr>
        <w:t>四、会计师事务所和经办注册会计师</w:t>
      </w:r>
    </w:p>
    <w:p>
      <w:pPr>
        <w:numPr>
          <w:ilvl w:val="12"/>
          <w:numId w:val="0"/>
        </w:numPr>
        <w:snapToGrid w:val="0"/>
        <w:spacing w:line="360" w:lineRule="auto"/>
        <w:ind w:firstLine="420" w:firstLineChars="200"/>
        <w:rPr>
          <w:rFonts w:ascii="宋体" w:hAnsi="宋体" w:cs="Arial"/>
          <w:kern w:val="0"/>
          <w:szCs w:val="21"/>
        </w:rPr>
      </w:pPr>
      <w:r>
        <w:rPr>
          <w:rFonts w:hint="eastAsia" w:ascii="宋体" w:hAnsi="宋体" w:cs="Arial"/>
          <w:kern w:val="0"/>
          <w:szCs w:val="21"/>
        </w:rPr>
        <w:t>本基金的法定验资机构和年度财务报表及其他规定事项的审计机构为安永华明会计师事务所（特殊普通合伙）</w:t>
      </w:r>
    </w:p>
    <w:p>
      <w:pPr>
        <w:numPr>
          <w:ilvl w:val="12"/>
          <w:numId w:val="0"/>
        </w:numPr>
        <w:snapToGrid w:val="0"/>
        <w:spacing w:line="360" w:lineRule="auto"/>
        <w:ind w:firstLine="420" w:firstLineChars="200"/>
        <w:rPr>
          <w:rFonts w:ascii="宋体" w:hAnsi="宋体" w:cs="Arial"/>
          <w:kern w:val="0"/>
          <w:szCs w:val="21"/>
        </w:rPr>
      </w:pPr>
      <w:r>
        <w:rPr>
          <w:rFonts w:hint="eastAsia" w:ascii="宋体" w:hAnsi="宋体" w:cs="Arial"/>
          <w:kern w:val="0"/>
          <w:szCs w:val="21"/>
        </w:rPr>
        <w:t>名称：安永华明会计师事务所（特殊普通合伙）</w:t>
      </w:r>
    </w:p>
    <w:p>
      <w:pPr>
        <w:numPr>
          <w:ilvl w:val="12"/>
          <w:numId w:val="0"/>
        </w:numPr>
        <w:snapToGrid w:val="0"/>
        <w:spacing w:line="360" w:lineRule="auto"/>
        <w:ind w:firstLine="420" w:firstLineChars="200"/>
        <w:rPr>
          <w:rFonts w:ascii="宋体" w:hAnsi="宋体" w:cs="Arial"/>
          <w:kern w:val="0"/>
          <w:szCs w:val="21"/>
        </w:rPr>
      </w:pPr>
      <w:r>
        <w:rPr>
          <w:rFonts w:hint="eastAsia" w:ascii="宋体" w:hAnsi="宋体" w:cs="Arial"/>
          <w:kern w:val="0"/>
          <w:szCs w:val="21"/>
        </w:rPr>
        <w:t>住所： 北京市东城区东长安街1号东方广场安永大楼17层01-12室</w:t>
      </w:r>
    </w:p>
    <w:p>
      <w:pPr>
        <w:numPr>
          <w:ilvl w:val="12"/>
          <w:numId w:val="0"/>
        </w:numPr>
        <w:snapToGrid w:val="0"/>
        <w:spacing w:line="360" w:lineRule="auto"/>
        <w:ind w:firstLine="420" w:firstLineChars="200"/>
        <w:rPr>
          <w:rFonts w:ascii="宋体" w:hAnsi="宋体" w:cs="Arial"/>
          <w:kern w:val="0"/>
          <w:szCs w:val="21"/>
        </w:rPr>
      </w:pPr>
      <w:r>
        <w:rPr>
          <w:rFonts w:hint="eastAsia" w:ascii="宋体" w:hAnsi="宋体" w:cs="Arial"/>
          <w:kern w:val="0"/>
          <w:szCs w:val="21"/>
        </w:rPr>
        <w:t>办公地址：北京市东城区东长安街1号东方广场安永大楼17层01-12室</w:t>
      </w:r>
    </w:p>
    <w:p>
      <w:pPr>
        <w:numPr>
          <w:ilvl w:val="12"/>
          <w:numId w:val="0"/>
        </w:numPr>
        <w:snapToGrid w:val="0"/>
        <w:spacing w:line="360" w:lineRule="auto"/>
        <w:ind w:firstLine="420" w:firstLineChars="200"/>
        <w:rPr>
          <w:rFonts w:ascii="宋体" w:hAnsi="宋体" w:cs="Arial"/>
          <w:kern w:val="0"/>
          <w:szCs w:val="21"/>
        </w:rPr>
      </w:pPr>
      <w:r>
        <w:rPr>
          <w:rFonts w:hint="eastAsia" w:ascii="宋体" w:hAnsi="宋体" w:cs="Arial"/>
          <w:kern w:val="0"/>
          <w:szCs w:val="21"/>
        </w:rPr>
        <w:t>执行事务合伙人：毛鞍宁</w:t>
      </w:r>
    </w:p>
    <w:p>
      <w:pPr>
        <w:numPr>
          <w:ilvl w:val="12"/>
          <w:numId w:val="0"/>
        </w:numPr>
        <w:snapToGrid w:val="0"/>
        <w:spacing w:line="360" w:lineRule="auto"/>
        <w:ind w:firstLine="420" w:firstLineChars="200"/>
        <w:rPr>
          <w:rFonts w:ascii="宋体" w:hAnsi="宋体" w:cs="Arial"/>
          <w:kern w:val="0"/>
          <w:szCs w:val="21"/>
        </w:rPr>
      </w:pPr>
      <w:r>
        <w:rPr>
          <w:rFonts w:hint="eastAsia" w:ascii="宋体" w:hAnsi="宋体" w:cs="Arial"/>
          <w:kern w:val="0"/>
          <w:szCs w:val="21"/>
        </w:rPr>
        <w:t>联系电话：（010）58153000</w:t>
      </w:r>
    </w:p>
    <w:p>
      <w:pPr>
        <w:numPr>
          <w:ilvl w:val="12"/>
          <w:numId w:val="0"/>
        </w:numPr>
        <w:snapToGrid w:val="0"/>
        <w:spacing w:line="360" w:lineRule="auto"/>
        <w:ind w:firstLine="420" w:firstLineChars="200"/>
        <w:rPr>
          <w:rFonts w:ascii="宋体" w:hAnsi="宋体" w:cs="Arial"/>
          <w:kern w:val="0"/>
          <w:szCs w:val="21"/>
        </w:rPr>
      </w:pPr>
      <w:r>
        <w:rPr>
          <w:rFonts w:hint="eastAsia" w:ascii="宋体" w:hAnsi="宋体" w:cs="Arial"/>
          <w:kern w:val="0"/>
          <w:szCs w:val="21"/>
        </w:rPr>
        <w:t>传真电话：（010）85188298</w:t>
      </w:r>
    </w:p>
    <w:p>
      <w:pPr>
        <w:numPr>
          <w:ilvl w:val="12"/>
          <w:numId w:val="0"/>
        </w:numPr>
        <w:snapToGrid w:val="0"/>
        <w:spacing w:line="360" w:lineRule="auto"/>
        <w:ind w:firstLine="420" w:firstLineChars="200"/>
        <w:rPr>
          <w:rFonts w:ascii="宋体" w:hAnsi="宋体" w:cs="Arial"/>
          <w:kern w:val="0"/>
          <w:szCs w:val="21"/>
        </w:rPr>
      </w:pPr>
      <w:r>
        <w:rPr>
          <w:rFonts w:hint="eastAsia" w:ascii="宋体" w:hAnsi="宋体" w:cs="Arial"/>
          <w:kern w:val="0"/>
          <w:szCs w:val="21"/>
        </w:rPr>
        <w:t>经办注册会计师：蒋燕华、朱燕</w:t>
      </w:r>
    </w:p>
    <w:p>
      <w:pPr>
        <w:numPr>
          <w:ilvl w:val="12"/>
          <w:numId w:val="0"/>
        </w:numPr>
        <w:snapToGrid w:val="0"/>
        <w:spacing w:line="360" w:lineRule="auto"/>
        <w:ind w:firstLine="420" w:firstLineChars="200"/>
        <w:rPr>
          <w:rFonts w:ascii="宋体" w:hAnsi="宋体" w:cs="Arial"/>
          <w:kern w:val="0"/>
          <w:szCs w:val="21"/>
        </w:rPr>
      </w:pPr>
      <w:r>
        <w:rPr>
          <w:rFonts w:hint="eastAsia" w:ascii="宋体" w:hAnsi="宋体" w:cs="Arial"/>
          <w:kern w:val="0"/>
          <w:szCs w:val="21"/>
        </w:rPr>
        <w:t>联系人：朱燕</w:t>
      </w:r>
    </w:p>
    <w:p>
      <w:pPr>
        <w:pStyle w:val="163"/>
        <w:rPr>
          <w:color w:val="000000"/>
        </w:rPr>
        <w:sectPr>
          <w:footerReference r:id="rId11" w:type="first"/>
          <w:footerReference r:id="rId10" w:type="default"/>
          <w:pgSz w:w="11906" w:h="16838"/>
          <w:pgMar w:top="1440" w:right="1800" w:bottom="1440" w:left="1800" w:header="851" w:footer="992" w:gutter="0"/>
          <w:cols w:space="425" w:num="1"/>
          <w:titlePg/>
          <w:docGrid w:type="lines" w:linePitch="312" w:charSpace="0"/>
        </w:sectPr>
      </w:pPr>
      <w:bookmarkStart w:id="260" w:name="_GoBack"/>
      <w:bookmarkEnd w:id="260"/>
    </w:p>
    <w:p>
      <w:pPr>
        <w:pStyle w:val="3"/>
        <w:numPr>
          <w:ilvl w:val="0"/>
          <w:numId w:val="25"/>
        </w:numPr>
        <w:snapToGrid w:val="0"/>
        <w:spacing w:before="0" w:after="0" w:line="360" w:lineRule="auto"/>
        <w:jc w:val="center"/>
      </w:pPr>
      <w:bookmarkStart w:id="72" w:name="_Toc332013115"/>
      <w:bookmarkStart w:id="73" w:name="_Toc369510013"/>
      <w:bookmarkStart w:id="74" w:name="_Toc411872029"/>
      <w:bookmarkStart w:id="75" w:name="_Toc30825"/>
      <w:bookmarkStart w:id="76" w:name="_Toc335899838"/>
      <w:bookmarkStart w:id="77" w:name="_Toc336606232"/>
      <w:bookmarkStart w:id="78" w:name="_Toc25691"/>
      <w:bookmarkStart w:id="79" w:name="_Toc375295978"/>
      <w:bookmarkStart w:id="80" w:name="_Toc327902629"/>
      <w:r>
        <w:rPr>
          <w:rFonts w:hint="eastAsia"/>
        </w:rPr>
        <w:t>基金的发售</w:t>
      </w:r>
      <w:bookmarkEnd w:id="72"/>
      <w:bookmarkEnd w:id="73"/>
      <w:bookmarkEnd w:id="74"/>
      <w:bookmarkEnd w:id="75"/>
      <w:bookmarkEnd w:id="76"/>
      <w:bookmarkEnd w:id="77"/>
      <w:bookmarkEnd w:id="78"/>
      <w:bookmarkEnd w:id="79"/>
      <w:bookmarkEnd w:id="80"/>
    </w:p>
    <w:p>
      <w:pPr>
        <w:autoSpaceDE w:val="0"/>
        <w:autoSpaceDN w:val="0"/>
        <w:adjustRightInd w:val="0"/>
        <w:snapToGrid w:val="0"/>
        <w:spacing w:line="360" w:lineRule="auto"/>
        <w:ind w:firstLine="420" w:firstLineChars="200"/>
        <w:rPr>
          <w:rFonts w:ascii="宋体" w:hAnsi="宋体" w:cs="Arial"/>
          <w:szCs w:val="21"/>
        </w:rPr>
      </w:pPr>
      <w:r>
        <w:rPr>
          <w:rFonts w:ascii="宋体" w:hAnsi="宋体" w:cs="Arial"/>
          <w:szCs w:val="21"/>
        </w:rPr>
        <w:t>基金管理人按照《基金法》、《运作办法》、《销售办法》、基金合同及其他有关规定募集本基金，并于</w:t>
      </w:r>
      <w:r>
        <w:rPr>
          <w:rFonts w:hint="eastAsia" w:ascii="宋体" w:hAnsi="宋体" w:cs="Arial"/>
          <w:szCs w:val="21"/>
        </w:rPr>
        <w:t>202</w:t>
      </w:r>
      <w:r>
        <w:rPr>
          <w:rFonts w:hint="eastAsia" w:ascii="宋体" w:hAnsi="宋体" w:cs="Arial"/>
          <w:szCs w:val="21"/>
          <w:lang w:val="en-US" w:eastAsia="zh-CN"/>
        </w:rPr>
        <w:t>4</w:t>
      </w:r>
      <w:r>
        <w:rPr>
          <w:rFonts w:hint="eastAsia" w:ascii="宋体" w:hAnsi="宋体" w:cs="Arial"/>
          <w:szCs w:val="21"/>
        </w:rPr>
        <w:t>年</w:t>
      </w:r>
      <w:r>
        <w:rPr>
          <w:rFonts w:hint="eastAsia" w:ascii="宋体" w:hAnsi="宋体" w:cs="Arial"/>
          <w:szCs w:val="21"/>
          <w:lang w:val="en-US" w:eastAsia="zh-CN"/>
        </w:rPr>
        <w:t>1</w:t>
      </w:r>
      <w:r>
        <w:rPr>
          <w:rFonts w:hint="eastAsia" w:ascii="宋体" w:hAnsi="宋体" w:cs="Arial"/>
          <w:szCs w:val="21"/>
        </w:rPr>
        <w:t>月</w:t>
      </w:r>
      <w:r>
        <w:rPr>
          <w:rFonts w:hint="eastAsia" w:ascii="宋体" w:hAnsi="宋体" w:cs="Arial"/>
          <w:szCs w:val="21"/>
          <w:lang w:val="en-US" w:eastAsia="zh-CN"/>
        </w:rPr>
        <w:t>12</w:t>
      </w:r>
      <w:r>
        <w:rPr>
          <w:rFonts w:hint="eastAsia" w:ascii="宋体" w:hAnsi="宋体" w:cs="Arial"/>
          <w:szCs w:val="21"/>
        </w:rPr>
        <w:t>日</w:t>
      </w:r>
      <w:r>
        <w:rPr>
          <w:rFonts w:ascii="宋体" w:hAnsi="宋体" w:cs="Arial"/>
          <w:szCs w:val="21"/>
        </w:rPr>
        <w:t>经</w:t>
      </w:r>
      <w:r>
        <w:rPr>
          <w:rFonts w:ascii="宋体" w:hAnsi="宋体" w:cs="Arial"/>
          <w:kern w:val="0"/>
          <w:szCs w:val="21"/>
        </w:rPr>
        <w:t>中国证监会</w:t>
      </w:r>
      <w:r>
        <w:rPr>
          <w:rFonts w:hint="eastAsia" w:ascii="宋体" w:hAnsi="宋体" w:cs="Arial"/>
          <w:kern w:val="0"/>
          <w:szCs w:val="21"/>
        </w:rPr>
        <w:t>证监许可</w:t>
      </w:r>
      <w:r>
        <w:rPr>
          <w:rFonts w:hint="eastAsia" w:ascii="宋体" w:hAnsi="宋体" w:cs="Arial"/>
          <w:kern w:val="0"/>
          <w:szCs w:val="21"/>
          <w:lang w:eastAsia="zh-CN"/>
        </w:rPr>
        <w:t>【</w:t>
      </w:r>
      <w:r>
        <w:rPr>
          <w:rFonts w:hint="eastAsia" w:ascii="宋体" w:hAnsi="宋体" w:cs="Arial"/>
          <w:kern w:val="0"/>
          <w:szCs w:val="21"/>
          <w:lang w:val="en-US" w:eastAsia="zh-CN"/>
        </w:rPr>
        <w:t>2024</w:t>
      </w:r>
      <w:r>
        <w:rPr>
          <w:rFonts w:hint="eastAsia" w:ascii="宋体" w:hAnsi="宋体" w:cs="Arial"/>
          <w:kern w:val="0"/>
          <w:szCs w:val="21"/>
          <w:lang w:eastAsia="zh-CN"/>
        </w:rPr>
        <w:t>】</w:t>
      </w:r>
      <w:r>
        <w:rPr>
          <w:rFonts w:hint="eastAsia" w:ascii="宋体" w:hAnsi="宋体" w:cs="Arial"/>
          <w:kern w:val="0"/>
          <w:szCs w:val="21"/>
          <w:lang w:val="en-US" w:eastAsia="zh-CN"/>
        </w:rPr>
        <w:t>70</w:t>
      </w:r>
      <w:r>
        <w:rPr>
          <w:rFonts w:hint="eastAsia" w:ascii="宋体" w:hAnsi="宋体" w:cs="Arial"/>
          <w:kern w:val="0"/>
          <w:szCs w:val="21"/>
        </w:rPr>
        <w:t>号</w:t>
      </w:r>
      <w:r>
        <w:rPr>
          <w:rFonts w:ascii="宋体" w:hAnsi="宋体" w:cs="Arial"/>
          <w:kern w:val="0"/>
          <w:szCs w:val="21"/>
        </w:rPr>
        <w:t>文</w:t>
      </w:r>
      <w:r>
        <w:rPr>
          <w:rFonts w:hint="eastAsia" w:ascii="宋体" w:hAnsi="宋体" w:cs="Arial"/>
          <w:szCs w:val="21"/>
        </w:rPr>
        <w:t>准予</w:t>
      </w:r>
      <w:r>
        <w:rPr>
          <w:rFonts w:ascii="宋体" w:hAnsi="宋体" w:cs="Arial"/>
          <w:szCs w:val="21"/>
        </w:rPr>
        <w:t>募集</w:t>
      </w:r>
      <w:r>
        <w:rPr>
          <w:rFonts w:hint="eastAsia" w:ascii="宋体" w:hAnsi="宋体" w:cs="Arial"/>
          <w:szCs w:val="21"/>
        </w:rPr>
        <w:t>注册</w:t>
      </w:r>
      <w:r>
        <w:rPr>
          <w:rFonts w:ascii="宋体" w:hAnsi="宋体" w:cs="Arial"/>
          <w:szCs w:val="21"/>
        </w:rPr>
        <w:t>。</w:t>
      </w:r>
    </w:p>
    <w:p>
      <w:pPr>
        <w:adjustRightInd w:val="0"/>
        <w:snapToGrid w:val="0"/>
        <w:spacing w:line="360" w:lineRule="auto"/>
        <w:ind w:firstLine="424" w:firstLineChars="201"/>
        <w:rPr>
          <w:rFonts w:ascii="Arial" w:hAnsi="Arial"/>
          <w:b/>
          <w:kern w:val="0"/>
        </w:rPr>
      </w:pPr>
      <w:r>
        <w:rPr>
          <w:rFonts w:hint="eastAsia" w:ascii="Arial" w:hAnsi="Arial"/>
          <w:b/>
          <w:kern w:val="0"/>
        </w:rPr>
        <w:t>一、基金的名称</w:t>
      </w:r>
      <w:r>
        <w:rPr>
          <w:rFonts w:ascii="Arial" w:hAnsi="Arial"/>
          <w:b/>
          <w:kern w:val="0"/>
        </w:rPr>
        <w:t xml:space="preserve"> </w:t>
      </w:r>
    </w:p>
    <w:p>
      <w:pPr>
        <w:adjustRightInd w:val="0"/>
        <w:snapToGrid w:val="0"/>
        <w:spacing w:line="360" w:lineRule="auto"/>
        <w:ind w:firstLine="422" w:firstLineChars="201"/>
        <w:rPr>
          <w:rFonts w:ascii="Arial" w:hAnsi="Arial"/>
          <w:kern w:val="0"/>
        </w:rPr>
      </w:pPr>
      <w:r>
        <w:rPr>
          <w:rFonts w:hint="eastAsia" w:ascii="Arial" w:hAnsi="Arial"/>
          <w:kern w:val="0"/>
        </w:rPr>
        <w:t>博时国证粮食产业指数型发起式证券投资基金</w:t>
      </w:r>
    </w:p>
    <w:p>
      <w:pPr>
        <w:adjustRightInd w:val="0"/>
        <w:snapToGrid w:val="0"/>
        <w:spacing w:line="360" w:lineRule="auto"/>
        <w:ind w:firstLine="424" w:firstLineChars="201"/>
        <w:rPr>
          <w:rFonts w:ascii="Arial" w:hAnsi="Arial"/>
          <w:b/>
          <w:kern w:val="0"/>
        </w:rPr>
      </w:pPr>
      <w:r>
        <w:rPr>
          <w:rFonts w:hint="eastAsia" w:ascii="Arial" w:hAnsi="Arial"/>
          <w:b/>
          <w:kern w:val="0"/>
        </w:rPr>
        <w:t>二、基金的类别</w:t>
      </w:r>
      <w:r>
        <w:rPr>
          <w:rFonts w:ascii="Arial" w:hAnsi="Arial"/>
          <w:b/>
          <w:kern w:val="0"/>
        </w:rPr>
        <w:t xml:space="preserve"> </w:t>
      </w:r>
    </w:p>
    <w:p>
      <w:pPr>
        <w:adjustRightInd w:val="0"/>
        <w:snapToGrid w:val="0"/>
        <w:spacing w:line="360" w:lineRule="auto"/>
        <w:ind w:firstLine="422" w:firstLineChars="201"/>
        <w:rPr>
          <w:rFonts w:ascii="Arial" w:hAnsi="Arial"/>
          <w:kern w:val="0"/>
        </w:rPr>
      </w:pPr>
      <w:r>
        <w:rPr>
          <w:rFonts w:hint="eastAsia" w:cs="Arial" w:asciiTheme="minorEastAsia" w:hAnsiTheme="minorEastAsia" w:eastAsiaTheme="minorEastAsia"/>
          <w:szCs w:val="21"/>
        </w:rPr>
        <w:t>股票型证券投资基金</w:t>
      </w:r>
      <w:r>
        <w:rPr>
          <w:rFonts w:ascii="Arial" w:hAnsi="Arial"/>
          <w:kern w:val="0"/>
        </w:rPr>
        <w:t xml:space="preserve"> </w:t>
      </w:r>
    </w:p>
    <w:p>
      <w:pPr>
        <w:adjustRightInd w:val="0"/>
        <w:snapToGrid w:val="0"/>
        <w:spacing w:line="360" w:lineRule="auto"/>
        <w:ind w:firstLine="424" w:firstLineChars="201"/>
        <w:rPr>
          <w:rFonts w:ascii="Arial" w:hAnsi="Arial"/>
          <w:b/>
          <w:kern w:val="0"/>
        </w:rPr>
      </w:pPr>
      <w:r>
        <w:rPr>
          <w:rFonts w:hint="eastAsia" w:ascii="Arial" w:hAnsi="Arial"/>
          <w:b/>
          <w:kern w:val="0"/>
        </w:rPr>
        <w:t>三、基金的运作方式</w:t>
      </w:r>
      <w:r>
        <w:rPr>
          <w:rFonts w:ascii="Arial" w:hAnsi="Arial"/>
          <w:b/>
          <w:kern w:val="0"/>
        </w:rPr>
        <w:t xml:space="preserve"> </w:t>
      </w:r>
    </w:p>
    <w:p>
      <w:pPr>
        <w:adjustRightInd w:val="0"/>
        <w:snapToGrid w:val="0"/>
        <w:spacing w:line="360" w:lineRule="auto"/>
        <w:ind w:firstLine="422" w:firstLineChars="201"/>
        <w:rPr>
          <w:rFonts w:ascii="Arial" w:hAnsi="Arial"/>
          <w:kern w:val="0"/>
        </w:rPr>
      </w:pPr>
      <w:r>
        <w:rPr>
          <w:rFonts w:hint="eastAsia" w:asciiTheme="minorEastAsia" w:hAnsiTheme="minorEastAsia" w:eastAsiaTheme="minorEastAsia"/>
        </w:rPr>
        <w:t>契约型</w:t>
      </w:r>
      <w:r>
        <w:rPr>
          <w:rFonts w:hint="eastAsia" w:asciiTheme="minorEastAsia" w:hAnsiTheme="minorEastAsia"/>
        </w:rPr>
        <w:t>开放式</w:t>
      </w:r>
      <w:r>
        <w:rPr>
          <w:rFonts w:ascii="Arial" w:hAnsi="Arial"/>
          <w:kern w:val="0"/>
        </w:rPr>
        <w:t xml:space="preserve"> </w:t>
      </w:r>
    </w:p>
    <w:p>
      <w:pPr>
        <w:adjustRightInd w:val="0"/>
        <w:snapToGrid w:val="0"/>
        <w:spacing w:line="360" w:lineRule="auto"/>
        <w:ind w:firstLine="424" w:firstLineChars="201"/>
        <w:rPr>
          <w:rFonts w:ascii="Arial" w:hAnsi="Arial"/>
          <w:b/>
          <w:kern w:val="0"/>
        </w:rPr>
      </w:pPr>
      <w:r>
        <w:rPr>
          <w:rFonts w:hint="eastAsia" w:ascii="Arial" w:hAnsi="Arial"/>
          <w:b/>
          <w:kern w:val="0"/>
        </w:rPr>
        <w:t>四、基金的标的指数</w:t>
      </w:r>
      <w:r>
        <w:rPr>
          <w:rFonts w:ascii="Arial" w:hAnsi="Arial"/>
          <w:b/>
          <w:kern w:val="0"/>
        </w:rPr>
        <w:t xml:space="preserve"> </w:t>
      </w:r>
    </w:p>
    <w:p>
      <w:pPr>
        <w:adjustRightInd w:val="0"/>
        <w:snapToGrid w:val="0"/>
        <w:spacing w:line="360" w:lineRule="auto"/>
        <w:ind w:firstLine="422" w:firstLineChars="201"/>
        <w:rPr>
          <w:rFonts w:ascii="Arial" w:hAnsi="Arial"/>
          <w:kern w:val="0"/>
        </w:rPr>
      </w:pPr>
      <w:r>
        <w:rPr>
          <w:rFonts w:hint="eastAsia" w:ascii="Arial" w:hAnsi="Arial"/>
          <w:kern w:val="0"/>
        </w:rPr>
        <w:t>本基金的标的指数为国证粮食产业指数</w:t>
      </w:r>
    </w:p>
    <w:p>
      <w:pPr>
        <w:adjustRightInd w:val="0"/>
        <w:snapToGrid w:val="0"/>
        <w:spacing w:line="360" w:lineRule="auto"/>
        <w:ind w:firstLine="424" w:firstLineChars="201"/>
        <w:rPr>
          <w:rFonts w:ascii="Arial" w:hAnsi="Arial"/>
          <w:b/>
          <w:kern w:val="0"/>
        </w:rPr>
      </w:pPr>
      <w:r>
        <w:rPr>
          <w:rFonts w:hint="eastAsia" w:ascii="Arial" w:hAnsi="Arial"/>
          <w:b/>
          <w:kern w:val="0"/>
        </w:rPr>
        <w:t>五、基金存续期限</w:t>
      </w:r>
      <w:r>
        <w:rPr>
          <w:rFonts w:ascii="Arial" w:hAnsi="Arial"/>
          <w:b/>
          <w:kern w:val="0"/>
        </w:rPr>
        <w:t xml:space="preserve"> </w:t>
      </w:r>
    </w:p>
    <w:p>
      <w:pPr>
        <w:adjustRightInd w:val="0"/>
        <w:snapToGrid w:val="0"/>
        <w:spacing w:line="360" w:lineRule="auto"/>
        <w:ind w:firstLine="422" w:firstLineChars="201"/>
        <w:rPr>
          <w:rFonts w:ascii="Arial" w:hAnsi="Arial"/>
          <w:kern w:val="0"/>
        </w:rPr>
      </w:pPr>
      <w:r>
        <w:rPr>
          <w:rFonts w:hint="eastAsia" w:ascii="Arial" w:hAnsi="Arial"/>
          <w:kern w:val="0"/>
        </w:rPr>
        <w:t>不定期</w:t>
      </w:r>
      <w:r>
        <w:rPr>
          <w:rFonts w:ascii="Arial" w:hAnsi="Arial"/>
          <w:kern w:val="0"/>
        </w:rPr>
        <w:t xml:space="preserve"> </w:t>
      </w:r>
    </w:p>
    <w:p>
      <w:pPr>
        <w:adjustRightInd w:val="0"/>
        <w:snapToGrid w:val="0"/>
        <w:spacing w:line="360" w:lineRule="auto"/>
        <w:ind w:firstLine="424" w:firstLineChars="201"/>
        <w:rPr>
          <w:rFonts w:ascii="Arial" w:hAnsi="Arial" w:cs="Arial"/>
          <w:b/>
          <w:kern w:val="0"/>
          <w:szCs w:val="21"/>
        </w:rPr>
      </w:pPr>
      <w:r>
        <w:rPr>
          <w:rFonts w:hint="eastAsia" w:ascii="Arial" w:hAnsi="Arial"/>
          <w:b/>
          <w:kern w:val="0"/>
        </w:rPr>
        <w:t>六、</w:t>
      </w:r>
      <w:r>
        <w:rPr>
          <w:rFonts w:hint="eastAsia" w:ascii="Arial" w:hAnsi="Arial" w:cs="Arial"/>
          <w:b/>
          <w:kern w:val="0"/>
          <w:szCs w:val="21"/>
        </w:rPr>
        <w:t>基金份额类别设置</w:t>
      </w:r>
    </w:p>
    <w:p>
      <w:pPr>
        <w:spacing w:line="360" w:lineRule="auto"/>
        <w:ind w:firstLine="420" w:firstLineChars="200"/>
        <w:rPr>
          <w:rFonts w:ascii="宋体" w:cs="宋体"/>
          <w:kern w:val="0"/>
          <w:szCs w:val="21"/>
        </w:rPr>
      </w:pPr>
      <w:bookmarkStart w:id="81" w:name="_Hlk114652856"/>
      <w:r>
        <w:rPr>
          <w:rFonts w:hint="eastAsia" w:ascii="宋体" w:cs="宋体"/>
          <w:kern w:val="0"/>
          <w:szCs w:val="21"/>
        </w:rPr>
        <w:t>本基金根据认购/申购费用、销售服务费收取方式的不同，将基金份额分为不同的类别。在投资者认购、申购时收取认购、申购费用，在赎回时根据持有期限收取赎回费用，但不从本类别基金资产中计提销售服务费的基金份额，称为A类基金份额；在投资者认购、申购时不收取认购、申购费用，在赎回时根据持有期限收取赎回费用，且从本类别基金资产中计提销售服务费的基金份额，称为C类基金份额。</w:t>
      </w:r>
    </w:p>
    <w:p>
      <w:pPr>
        <w:spacing w:line="360" w:lineRule="auto"/>
        <w:ind w:firstLine="420" w:firstLineChars="200"/>
        <w:rPr>
          <w:rFonts w:ascii="宋体" w:cs="宋体"/>
          <w:kern w:val="0"/>
          <w:szCs w:val="21"/>
        </w:rPr>
      </w:pPr>
      <w:r>
        <w:rPr>
          <w:rFonts w:hint="eastAsia" w:ascii="宋体" w:cs="宋体"/>
          <w:kern w:val="0"/>
          <w:szCs w:val="21"/>
        </w:rPr>
        <w:t>本基金A类基金份额和C类基金份额分别设置代码。本基金A类基金份额和C类基金份额将分别计算基金份额净值，计算公式为计算日各类别基金资产净值除以计算日发售在外的该类别基金份额总数。</w:t>
      </w:r>
    </w:p>
    <w:p>
      <w:pPr>
        <w:spacing w:line="360" w:lineRule="auto"/>
        <w:ind w:firstLine="420" w:firstLineChars="200"/>
        <w:rPr>
          <w:rFonts w:ascii="宋体" w:cs="宋体"/>
          <w:kern w:val="0"/>
          <w:szCs w:val="21"/>
        </w:rPr>
      </w:pPr>
      <w:r>
        <w:rPr>
          <w:rFonts w:hint="eastAsia" w:ascii="宋体" w:cs="宋体"/>
          <w:kern w:val="0"/>
          <w:szCs w:val="21"/>
        </w:rPr>
        <w:t>投资者可自行选择认购、申购的基金份额类别。</w:t>
      </w:r>
    </w:p>
    <w:p>
      <w:pPr>
        <w:spacing w:line="360" w:lineRule="auto"/>
        <w:ind w:firstLine="420" w:firstLineChars="200"/>
        <w:rPr>
          <w:rFonts w:ascii="宋体" w:cs="宋体"/>
          <w:kern w:val="0"/>
          <w:szCs w:val="21"/>
        </w:rPr>
      </w:pPr>
      <w:r>
        <w:rPr>
          <w:rFonts w:hint="eastAsia" w:ascii="宋体" w:cs="宋体"/>
          <w:kern w:val="0"/>
          <w:szCs w:val="21"/>
        </w:rPr>
        <w:t>在不违反法律法规、基金合同的约定以及对基金份额持有人利益无实质性不利影响的情况下，经与基金托管人协商一致，基金管理人可调整基金份额类别设置、对基金份额分类办法及规则进行调整并在调整实施之日前依照《信息披露办法》的有关规定在规定媒介上公告，不需要召开基金份额持有人大会。</w:t>
      </w:r>
    </w:p>
    <w:bookmarkEnd w:id="81"/>
    <w:p>
      <w:pPr>
        <w:adjustRightInd w:val="0"/>
        <w:snapToGrid w:val="0"/>
        <w:spacing w:line="360" w:lineRule="auto"/>
        <w:ind w:firstLine="424" w:firstLineChars="201"/>
        <w:rPr>
          <w:rFonts w:ascii="Arial" w:hAnsi="Arial"/>
          <w:b/>
          <w:kern w:val="0"/>
        </w:rPr>
      </w:pPr>
      <w:r>
        <w:rPr>
          <w:rFonts w:hint="eastAsia" w:ascii="Arial" w:hAnsi="Arial"/>
          <w:b/>
          <w:kern w:val="0"/>
        </w:rPr>
        <w:t>七、基金份额的发售时间、发售方式、发售对象</w:t>
      </w:r>
      <w:r>
        <w:rPr>
          <w:rFonts w:ascii="Arial" w:hAnsi="Arial"/>
          <w:b/>
          <w:kern w:val="0"/>
        </w:rPr>
        <w:t xml:space="preserve"> </w:t>
      </w:r>
    </w:p>
    <w:p>
      <w:pPr>
        <w:adjustRightInd w:val="0"/>
        <w:snapToGrid w:val="0"/>
        <w:spacing w:line="360" w:lineRule="auto"/>
        <w:ind w:firstLine="422" w:firstLineChars="201"/>
        <w:rPr>
          <w:rFonts w:asciiTheme="minorEastAsia" w:hAnsiTheme="minorEastAsia" w:eastAsiaTheme="minorEastAsia"/>
          <w:kern w:val="0"/>
        </w:rPr>
      </w:pPr>
      <w:r>
        <w:rPr>
          <w:rFonts w:hint="eastAsia" w:asciiTheme="minorEastAsia" w:hAnsiTheme="minorEastAsia" w:eastAsiaTheme="minorEastAsia"/>
          <w:kern w:val="0"/>
        </w:rPr>
        <w:t>1、发售时间</w:t>
      </w:r>
    </w:p>
    <w:p>
      <w:pPr>
        <w:adjustRightInd w:val="0"/>
        <w:snapToGrid w:val="0"/>
        <w:spacing w:line="360" w:lineRule="auto"/>
        <w:ind w:firstLine="422" w:firstLineChars="201"/>
        <w:rPr>
          <w:rFonts w:asciiTheme="minorEastAsia" w:hAnsiTheme="minorEastAsia" w:eastAsiaTheme="minorEastAsia"/>
          <w:kern w:val="0"/>
        </w:rPr>
      </w:pPr>
      <w:r>
        <w:rPr>
          <w:rFonts w:hint="eastAsia" w:asciiTheme="minorEastAsia" w:hAnsiTheme="minorEastAsia" w:eastAsiaTheme="minorEastAsia"/>
          <w:kern w:val="0"/>
        </w:rPr>
        <w:t>自基金份额发售之日起最长不得超过3个月，具体发售时间见基金份额发售公告。</w:t>
      </w:r>
    </w:p>
    <w:p>
      <w:pPr>
        <w:adjustRightInd w:val="0"/>
        <w:snapToGrid w:val="0"/>
        <w:spacing w:line="360" w:lineRule="auto"/>
        <w:ind w:firstLine="422" w:firstLineChars="201"/>
        <w:rPr>
          <w:rFonts w:asciiTheme="minorEastAsia" w:hAnsiTheme="minorEastAsia" w:eastAsiaTheme="minorEastAsia"/>
          <w:kern w:val="0"/>
        </w:rPr>
      </w:pPr>
      <w:r>
        <w:rPr>
          <w:rFonts w:hint="eastAsia" w:asciiTheme="minorEastAsia" w:hAnsiTheme="minorEastAsia" w:eastAsiaTheme="minorEastAsia"/>
          <w:kern w:val="0"/>
        </w:rPr>
        <w:t>2、发售方式</w:t>
      </w:r>
    </w:p>
    <w:p>
      <w:pPr>
        <w:adjustRightInd w:val="0"/>
        <w:snapToGrid w:val="0"/>
        <w:spacing w:line="360" w:lineRule="auto"/>
        <w:ind w:firstLine="422" w:firstLineChars="201"/>
        <w:rPr>
          <w:rFonts w:asciiTheme="minorEastAsia" w:hAnsiTheme="minorEastAsia" w:eastAsiaTheme="minorEastAsia"/>
          <w:kern w:val="0"/>
        </w:rPr>
      </w:pPr>
      <w:r>
        <w:rPr>
          <w:rFonts w:hint="eastAsia" w:asciiTheme="minorEastAsia" w:hAnsiTheme="minorEastAsia" w:eastAsiaTheme="minorEastAsia"/>
          <w:kern w:val="0"/>
        </w:rPr>
        <w:t>通过各销售机构的基金销售网点公开发售，各销售机构的具体名单见基金份额发售公告以及基金管理人网站。</w:t>
      </w:r>
    </w:p>
    <w:p>
      <w:pPr>
        <w:adjustRightInd w:val="0"/>
        <w:snapToGrid w:val="0"/>
        <w:spacing w:line="360" w:lineRule="auto"/>
        <w:ind w:firstLine="422" w:firstLineChars="201"/>
        <w:rPr>
          <w:rFonts w:asciiTheme="minorEastAsia" w:hAnsiTheme="minorEastAsia" w:eastAsiaTheme="minorEastAsia"/>
          <w:kern w:val="0"/>
        </w:rPr>
      </w:pPr>
      <w:r>
        <w:rPr>
          <w:rFonts w:hint="eastAsia" w:asciiTheme="minorEastAsia" w:hAnsiTheme="minorEastAsia" w:eastAsiaTheme="minorEastAsia"/>
          <w:kern w:val="0"/>
        </w:rPr>
        <w:t>3、发售对象</w:t>
      </w:r>
    </w:p>
    <w:p>
      <w:pPr>
        <w:adjustRightInd w:val="0"/>
        <w:snapToGrid w:val="0"/>
        <w:spacing w:line="360" w:lineRule="auto"/>
        <w:ind w:firstLine="422" w:firstLineChars="201"/>
        <w:rPr>
          <w:rFonts w:ascii="Arial" w:hAnsi="Arial"/>
          <w:kern w:val="0"/>
          <w:szCs w:val="21"/>
        </w:rPr>
      </w:pPr>
      <w:r>
        <w:rPr>
          <w:rFonts w:hint="eastAsia" w:cs="宋体" w:asciiTheme="minorEastAsia" w:hAnsiTheme="minorEastAsia" w:eastAsiaTheme="minorEastAsia"/>
          <w:kern w:val="0"/>
          <w:szCs w:val="21"/>
        </w:rPr>
        <w:t>符合法律法规规定的可投资于证券投资基金的个人投资者、机构投资者、合格境外投资者、发起资金提供方以及法律法规或中国证监会允许购买证券投资基金的其他投资人。</w:t>
      </w:r>
    </w:p>
    <w:p>
      <w:pPr>
        <w:adjustRightInd w:val="0"/>
        <w:snapToGrid w:val="0"/>
        <w:spacing w:line="360" w:lineRule="auto"/>
        <w:ind w:firstLine="424" w:firstLineChars="201"/>
        <w:rPr>
          <w:rFonts w:ascii="Arial" w:hAnsi="Arial"/>
          <w:b/>
          <w:kern w:val="0"/>
        </w:rPr>
      </w:pPr>
      <w:r>
        <w:rPr>
          <w:rFonts w:hint="eastAsia" w:ascii="Arial" w:hAnsi="Arial"/>
          <w:b/>
          <w:kern w:val="0"/>
        </w:rPr>
        <w:t>八、基金的发售面值、认购价格和认购费用</w:t>
      </w:r>
      <w:r>
        <w:rPr>
          <w:rFonts w:ascii="Arial" w:hAnsi="Arial"/>
          <w:b/>
          <w:kern w:val="0"/>
        </w:rPr>
        <w:t xml:space="preserve"> </w:t>
      </w:r>
    </w:p>
    <w:p>
      <w:pPr>
        <w:adjustRightInd w:val="0"/>
        <w:snapToGrid w:val="0"/>
        <w:spacing w:line="360" w:lineRule="auto"/>
        <w:ind w:firstLine="422" w:firstLineChars="201"/>
        <w:rPr>
          <w:rFonts w:ascii="宋体" w:hAnsi="宋体"/>
          <w:kern w:val="0"/>
        </w:rPr>
      </w:pPr>
      <w:r>
        <w:rPr>
          <w:rFonts w:ascii="宋体" w:hAnsi="宋体"/>
          <w:kern w:val="0"/>
        </w:rPr>
        <w:t>1</w:t>
      </w:r>
      <w:r>
        <w:rPr>
          <w:rFonts w:hint="eastAsia" w:ascii="宋体" w:hAnsi="宋体"/>
          <w:kern w:val="0"/>
        </w:rPr>
        <w:t>．发售面值：人民币</w:t>
      </w:r>
      <w:r>
        <w:rPr>
          <w:rFonts w:ascii="宋体" w:hAnsi="宋体"/>
          <w:kern w:val="0"/>
        </w:rPr>
        <w:t>1</w:t>
      </w:r>
      <w:r>
        <w:rPr>
          <w:rFonts w:hint="eastAsia" w:ascii="宋体" w:hAnsi="宋体"/>
          <w:kern w:val="0"/>
        </w:rPr>
        <w:t>.</w:t>
      </w:r>
      <w:r>
        <w:rPr>
          <w:rFonts w:ascii="宋体" w:hAnsi="宋体"/>
          <w:kern w:val="0"/>
        </w:rPr>
        <w:t>00</w:t>
      </w:r>
      <w:r>
        <w:rPr>
          <w:rFonts w:hint="eastAsia" w:ascii="宋体" w:hAnsi="宋体"/>
          <w:kern w:val="0"/>
        </w:rPr>
        <w:t>元</w:t>
      </w:r>
      <w:r>
        <w:rPr>
          <w:rFonts w:ascii="宋体" w:hAnsi="宋体"/>
          <w:kern w:val="0"/>
        </w:rPr>
        <w:t xml:space="preserve"> </w:t>
      </w:r>
    </w:p>
    <w:p>
      <w:pPr>
        <w:adjustRightInd w:val="0"/>
        <w:snapToGrid w:val="0"/>
        <w:spacing w:line="360" w:lineRule="auto"/>
        <w:ind w:firstLine="422" w:firstLineChars="201"/>
        <w:rPr>
          <w:rFonts w:ascii="宋体" w:hAnsi="宋体"/>
          <w:kern w:val="0"/>
        </w:rPr>
      </w:pPr>
      <w:r>
        <w:rPr>
          <w:rFonts w:ascii="宋体" w:hAnsi="宋体"/>
          <w:kern w:val="0"/>
        </w:rPr>
        <w:t>2</w:t>
      </w:r>
      <w:r>
        <w:rPr>
          <w:rFonts w:hint="eastAsia" w:ascii="宋体" w:hAnsi="宋体"/>
          <w:kern w:val="0"/>
        </w:rPr>
        <w:t>．认购费用：</w:t>
      </w:r>
    </w:p>
    <w:p>
      <w:pPr>
        <w:adjustRightInd w:val="0"/>
        <w:snapToGrid w:val="0"/>
        <w:spacing w:line="360" w:lineRule="auto"/>
        <w:ind w:firstLine="422" w:firstLineChars="201"/>
        <w:rPr>
          <w:rFonts w:ascii="宋体" w:hAnsi="宋体"/>
          <w:kern w:val="0"/>
        </w:rPr>
      </w:pPr>
      <w:r>
        <w:rPr>
          <w:rFonts w:hint="eastAsia" w:ascii="宋体" w:hAnsi="宋体"/>
          <w:kern w:val="0"/>
        </w:rPr>
        <w:t>本基金A类基金份额在认购时收取基金认购费用。C类基金份额不收取认购费用。</w:t>
      </w:r>
    </w:p>
    <w:p>
      <w:pPr>
        <w:adjustRightInd w:val="0"/>
        <w:snapToGrid w:val="0"/>
        <w:spacing w:line="360" w:lineRule="auto"/>
        <w:ind w:firstLine="422" w:firstLineChars="201"/>
        <w:rPr>
          <w:rFonts w:ascii="宋体" w:hAnsi="宋体"/>
          <w:kern w:val="0"/>
        </w:rPr>
      </w:pPr>
      <w:r>
        <w:rPr>
          <w:rFonts w:ascii="宋体" w:hAnsi="宋体"/>
          <w:kern w:val="0"/>
        </w:rPr>
        <w:t>本基金</w:t>
      </w:r>
      <w:r>
        <w:rPr>
          <w:rFonts w:hint="eastAsia" w:ascii="宋体" w:hAnsi="宋体"/>
          <w:kern w:val="0"/>
        </w:rPr>
        <w:t>的认购费率</w:t>
      </w:r>
      <w:r>
        <w:rPr>
          <w:rFonts w:ascii="宋体" w:hAnsi="宋体"/>
          <w:kern w:val="0"/>
        </w:rPr>
        <w:t>如下表所</w:t>
      </w:r>
      <w:r>
        <w:rPr>
          <w:rFonts w:hint="eastAsia" w:ascii="宋体" w:hAnsi="宋体"/>
          <w:kern w:val="0"/>
        </w:rPr>
        <w:t>示：</w:t>
      </w:r>
    </w:p>
    <w:p>
      <w:pPr>
        <w:snapToGrid w:val="0"/>
        <w:spacing w:line="360" w:lineRule="auto"/>
        <w:jc w:val="center"/>
        <w:rPr>
          <w:rFonts w:ascii="宋体" w:hAnsi="宋体" w:cs="Arial"/>
        </w:rPr>
      </w:pPr>
      <w:r>
        <w:rPr>
          <w:rFonts w:hint="eastAsia" w:ascii="宋体" w:hAnsi="宋体" w:cs="Arial"/>
        </w:rPr>
        <w:t>表1：本基金认购费率结构</w:t>
      </w:r>
    </w:p>
    <w:tbl>
      <w:tblPr>
        <w:tblStyle w:val="43"/>
        <w:tblW w:w="5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1"/>
        <w:gridCol w:w="1417"/>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551" w:type="dxa"/>
            <w:vAlign w:val="center"/>
          </w:tcPr>
          <w:p>
            <w:pPr>
              <w:jc w:val="center"/>
              <w:rPr>
                <w:rFonts w:ascii="宋体" w:hAnsi="宋体" w:cs="Arial"/>
                <w:color w:val="000000"/>
                <w:szCs w:val="21"/>
              </w:rPr>
            </w:pPr>
            <w:r>
              <w:rPr>
                <w:rFonts w:hint="eastAsia" w:ascii="宋体" w:hAnsi="宋体" w:cs="Arial"/>
                <w:color w:val="000000"/>
                <w:szCs w:val="21"/>
              </w:rPr>
              <w:t>认</w:t>
            </w:r>
            <w:r>
              <w:rPr>
                <w:rFonts w:ascii="宋体" w:hAnsi="宋体" w:cs="Arial"/>
                <w:color w:val="000000"/>
                <w:szCs w:val="21"/>
              </w:rPr>
              <w:t>购金额（M）</w:t>
            </w:r>
          </w:p>
        </w:tc>
        <w:tc>
          <w:tcPr>
            <w:tcW w:w="1417" w:type="dxa"/>
            <w:vAlign w:val="center"/>
          </w:tcPr>
          <w:p>
            <w:pPr>
              <w:jc w:val="center"/>
              <w:rPr>
                <w:rFonts w:ascii="宋体" w:hAnsi="宋体" w:cs="Arial"/>
                <w:color w:val="000000"/>
                <w:szCs w:val="21"/>
              </w:rPr>
            </w:pPr>
            <w:r>
              <w:rPr>
                <w:rFonts w:hint="eastAsia" w:ascii="宋体" w:hAnsi="宋体" w:cs="Arial"/>
                <w:color w:val="000000"/>
                <w:szCs w:val="21"/>
              </w:rPr>
              <w:t>A类份额认购</w:t>
            </w:r>
            <w:r>
              <w:rPr>
                <w:rFonts w:ascii="宋体" w:hAnsi="宋体" w:cs="Arial"/>
                <w:color w:val="000000"/>
                <w:szCs w:val="21"/>
              </w:rPr>
              <w:t>费率</w:t>
            </w:r>
          </w:p>
        </w:tc>
        <w:tc>
          <w:tcPr>
            <w:tcW w:w="1417" w:type="dxa"/>
          </w:tcPr>
          <w:p>
            <w:pPr>
              <w:jc w:val="center"/>
              <w:rPr>
                <w:rFonts w:ascii="宋体" w:hAnsi="宋体" w:cs="Arial"/>
                <w:color w:val="000000"/>
                <w:szCs w:val="21"/>
              </w:rPr>
            </w:pPr>
            <w:r>
              <w:rPr>
                <w:rFonts w:hint="eastAsia" w:ascii="宋体" w:hAnsi="宋体" w:cs="Arial"/>
                <w:color w:val="000000"/>
                <w:szCs w:val="21"/>
              </w:rPr>
              <w:t>C类份额认购费率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551" w:type="dxa"/>
            <w:vAlign w:val="center"/>
          </w:tcPr>
          <w:p>
            <w:pPr>
              <w:jc w:val="center"/>
              <w:rPr>
                <w:rFonts w:ascii="宋体" w:hAnsi="宋体" w:cs="Arial"/>
                <w:color w:val="000000"/>
                <w:szCs w:val="21"/>
              </w:rPr>
            </w:pPr>
            <w:r>
              <w:rPr>
                <w:rFonts w:ascii="宋体" w:hAnsi="宋体" w:cs="Arial"/>
                <w:color w:val="000000"/>
                <w:szCs w:val="21"/>
              </w:rPr>
              <w:t>M &lt;</w:t>
            </w:r>
            <w:r>
              <w:rPr>
                <w:rFonts w:hint="eastAsia" w:ascii="宋体" w:hAnsi="宋体" w:cs="Arial"/>
                <w:color w:val="000000"/>
                <w:szCs w:val="21"/>
              </w:rPr>
              <w:t>10</w:t>
            </w:r>
            <w:r>
              <w:rPr>
                <w:rFonts w:ascii="宋体" w:hAnsi="宋体" w:cs="Arial"/>
                <w:color w:val="000000"/>
                <w:szCs w:val="21"/>
              </w:rPr>
              <w:t>0万元</w:t>
            </w:r>
          </w:p>
        </w:tc>
        <w:tc>
          <w:tcPr>
            <w:tcW w:w="1417" w:type="dxa"/>
            <w:vAlign w:val="center"/>
          </w:tcPr>
          <w:p>
            <w:pPr>
              <w:jc w:val="center"/>
              <w:rPr>
                <w:rFonts w:ascii="宋体" w:hAnsi="宋体" w:cs="Arial"/>
                <w:color w:val="000000"/>
                <w:szCs w:val="21"/>
              </w:rPr>
            </w:pPr>
            <w:r>
              <w:rPr>
                <w:rFonts w:hint="eastAsia" w:ascii="宋体" w:hAnsi="宋体" w:cs="Arial"/>
                <w:color w:val="000000"/>
                <w:szCs w:val="21"/>
              </w:rPr>
              <w:t>0</w:t>
            </w:r>
            <w:r>
              <w:rPr>
                <w:rFonts w:ascii="宋体" w:hAnsi="宋体" w:cs="Arial"/>
                <w:color w:val="000000"/>
                <w:szCs w:val="21"/>
              </w:rPr>
              <w:t>.</w:t>
            </w:r>
            <w:r>
              <w:rPr>
                <w:rFonts w:hint="eastAsia" w:ascii="宋体" w:hAnsi="宋体" w:cs="Arial"/>
                <w:color w:val="000000"/>
                <w:szCs w:val="21"/>
              </w:rPr>
              <w:t>80</w:t>
            </w:r>
            <w:r>
              <w:rPr>
                <w:rFonts w:ascii="宋体" w:hAnsi="宋体" w:cs="Arial"/>
                <w:color w:val="000000"/>
                <w:szCs w:val="21"/>
              </w:rPr>
              <w:t>%</w:t>
            </w:r>
          </w:p>
        </w:tc>
        <w:tc>
          <w:tcPr>
            <w:tcW w:w="1417" w:type="dxa"/>
            <w:vMerge w:val="restart"/>
            <w:vAlign w:val="center"/>
          </w:tcPr>
          <w:p>
            <w:pPr>
              <w:jc w:val="center"/>
              <w:rPr>
                <w:rFonts w:ascii="宋体" w:hAnsi="宋体" w:cs="Arial"/>
                <w:color w:val="000000"/>
                <w:szCs w:val="21"/>
              </w:rPr>
            </w:pPr>
            <w:r>
              <w:rPr>
                <w:rFonts w:hint="eastAsia" w:ascii="宋体" w:hAnsi="宋体" w:cs="Arial"/>
                <w:color w:val="000000"/>
                <w:szCs w:val="21"/>
              </w:rPr>
              <w:t>0</w:t>
            </w:r>
            <w:r>
              <w:rPr>
                <w:rFonts w:ascii="宋体" w:hAnsi="宋体" w:cs="Arial"/>
                <w:color w:val="000000"/>
                <w:szCs w:val="21"/>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551" w:type="dxa"/>
            <w:vAlign w:val="center"/>
          </w:tcPr>
          <w:p>
            <w:pPr>
              <w:jc w:val="center"/>
              <w:rPr>
                <w:rFonts w:ascii="宋体" w:hAnsi="宋体" w:cs="Arial"/>
                <w:color w:val="000000"/>
                <w:szCs w:val="21"/>
              </w:rPr>
            </w:pPr>
            <w:r>
              <w:rPr>
                <w:rFonts w:hint="eastAsia" w:ascii="宋体" w:hAnsi="宋体" w:cs="Arial"/>
                <w:color w:val="000000"/>
                <w:szCs w:val="21"/>
              </w:rPr>
              <w:t>10</w:t>
            </w:r>
            <w:r>
              <w:rPr>
                <w:rFonts w:ascii="宋体" w:hAnsi="宋体" w:cs="Arial"/>
                <w:color w:val="000000"/>
                <w:szCs w:val="21"/>
              </w:rPr>
              <w:t>0万元</w:t>
            </w:r>
            <w:r>
              <w:rPr>
                <w:rFonts w:hint="eastAsia" w:ascii="宋体" w:hAnsi="宋体" w:cs="Arial"/>
                <w:color w:val="000000"/>
                <w:szCs w:val="21"/>
              </w:rPr>
              <w:t xml:space="preserve"> </w:t>
            </w:r>
            <w:r>
              <w:rPr>
                <w:rFonts w:ascii="宋体" w:hAnsi="宋体" w:cs="Arial"/>
                <w:color w:val="000000"/>
                <w:szCs w:val="21"/>
              </w:rPr>
              <w:t>≤</w:t>
            </w:r>
            <w:r>
              <w:rPr>
                <w:rFonts w:hint="eastAsia" w:ascii="宋体" w:hAnsi="宋体" w:cs="Arial"/>
                <w:color w:val="000000"/>
                <w:szCs w:val="21"/>
              </w:rPr>
              <w:t xml:space="preserve"> </w:t>
            </w:r>
            <w:r>
              <w:rPr>
                <w:rFonts w:ascii="宋体" w:hAnsi="宋体" w:cs="Arial"/>
                <w:color w:val="000000"/>
                <w:szCs w:val="21"/>
              </w:rPr>
              <w:t>M &lt;</w:t>
            </w:r>
            <w:r>
              <w:rPr>
                <w:rFonts w:hint="eastAsia" w:ascii="宋体" w:hAnsi="宋体" w:cs="Arial"/>
                <w:color w:val="000000"/>
                <w:szCs w:val="21"/>
              </w:rPr>
              <w:t>3</w:t>
            </w:r>
            <w:r>
              <w:rPr>
                <w:rFonts w:ascii="宋体" w:hAnsi="宋体" w:cs="Arial"/>
                <w:color w:val="000000"/>
                <w:szCs w:val="21"/>
              </w:rPr>
              <w:t>00万元</w:t>
            </w:r>
          </w:p>
        </w:tc>
        <w:tc>
          <w:tcPr>
            <w:tcW w:w="1417" w:type="dxa"/>
            <w:vAlign w:val="center"/>
          </w:tcPr>
          <w:p>
            <w:pPr>
              <w:jc w:val="center"/>
              <w:rPr>
                <w:rFonts w:ascii="宋体" w:hAnsi="宋体" w:cs="Arial"/>
                <w:color w:val="000000"/>
                <w:szCs w:val="21"/>
              </w:rPr>
            </w:pPr>
            <w:r>
              <w:rPr>
                <w:rFonts w:ascii="宋体" w:hAnsi="宋体" w:cs="Arial"/>
                <w:color w:val="000000"/>
                <w:szCs w:val="21"/>
              </w:rPr>
              <w:t>0.</w:t>
            </w:r>
            <w:r>
              <w:rPr>
                <w:rFonts w:hint="eastAsia" w:ascii="宋体" w:hAnsi="宋体" w:cs="Arial"/>
                <w:color w:val="000000"/>
                <w:szCs w:val="21"/>
              </w:rPr>
              <w:t>40</w:t>
            </w:r>
            <w:r>
              <w:rPr>
                <w:rFonts w:ascii="宋体" w:hAnsi="宋体" w:cs="Arial"/>
                <w:color w:val="000000"/>
                <w:szCs w:val="21"/>
              </w:rPr>
              <w:t>%</w:t>
            </w:r>
          </w:p>
        </w:tc>
        <w:tc>
          <w:tcPr>
            <w:tcW w:w="1417" w:type="dxa"/>
            <w:vMerge w:val="continue"/>
          </w:tcPr>
          <w:p>
            <w:pPr>
              <w:jc w:val="center"/>
              <w:rPr>
                <w:rFonts w:ascii="宋体" w:hAnsi="宋体" w:cs="Arial"/>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551" w:type="dxa"/>
            <w:vAlign w:val="center"/>
          </w:tcPr>
          <w:p>
            <w:pPr>
              <w:jc w:val="center"/>
              <w:rPr>
                <w:rFonts w:ascii="宋体" w:hAnsi="宋体" w:cs="Arial"/>
                <w:color w:val="000000"/>
                <w:szCs w:val="21"/>
              </w:rPr>
            </w:pPr>
            <w:r>
              <w:rPr>
                <w:rFonts w:ascii="宋体" w:hAnsi="宋体" w:cs="Arial"/>
                <w:color w:val="000000"/>
                <w:szCs w:val="21"/>
              </w:rPr>
              <w:t>M ≥</w:t>
            </w:r>
            <w:r>
              <w:rPr>
                <w:rFonts w:hint="eastAsia" w:ascii="宋体" w:hAnsi="宋体" w:cs="Arial"/>
                <w:color w:val="000000"/>
                <w:szCs w:val="21"/>
              </w:rPr>
              <w:t>3</w:t>
            </w:r>
            <w:r>
              <w:rPr>
                <w:rFonts w:ascii="宋体" w:hAnsi="宋体" w:cs="Arial"/>
                <w:color w:val="000000"/>
                <w:szCs w:val="21"/>
              </w:rPr>
              <w:t>00万元</w:t>
            </w:r>
          </w:p>
        </w:tc>
        <w:tc>
          <w:tcPr>
            <w:tcW w:w="1417" w:type="dxa"/>
            <w:vAlign w:val="center"/>
          </w:tcPr>
          <w:p>
            <w:pPr>
              <w:jc w:val="center"/>
              <w:rPr>
                <w:rFonts w:ascii="宋体" w:hAnsi="宋体" w:cs="Arial"/>
                <w:color w:val="000000"/>
                <w:szCs w:val="21"/>
              </w:rPr>
            </w:pPr>
            <w:r>
              <w:rPr>
                <w:rFonts w:ascii="宋体" w:hAnsi="宋体" w:cs="Arial"/>
                <w:color w:val="000000"/>
                <w:szCs w:val="21"/>
              </w:rPr>
              <w:t>每笔</w:t>
            </w:r>
            <w:r>
              <w:rPr>
                <w:rFonts w:hint="eastAsia" w:ascii="宋体" w:hAnsi="宋体" w:cs="Arial"/>
                <w:color w:val="000000"/>
                <w:szCs w:val="21"/>
              </w:rPr>
              <w:t>300</w:t>
            </w:r>
            <w:r>
              <w:rPr>
                <w:rFonts w:ascii="宋体" w:hAnsi="宋体" w:cs="Arial"/>
                <w:color w:val="000000"/>
                <w:szCs w:val="21"/>
              </w:rPr>
              <w:t>元</w:t>
            </w:r>
          </w:p>
        </w:tc>
        <w:tc>
          <w:tcPr>
            <w:tcW w:w="1417" w:type="dxa"/>
            <w:vMerge w:val="continue"/>
          </w:tcPr>
          <w:p>
            <w:pPr>
              <w:jc w:val="center"/>
              <w:rPr>
                <w:rFonts w:ascii="宋体" w:hAnsi="宋体" w:cs="Arial"/>
                <w:color w:val="000000"/>
                <w:szCs w:val="21"/>
              </w:rPr>
            </w:pPr>
          </w:p>
        </w:tc>
      </w:tr>
    </w:tbl>
    <w:p>
      <w:pPr>
        <w:adjustRightInd w:val="0"/>
        <w:snapToGrid w:val="0"/>
        <w:spacing w:before="156" w:beforeLines="50" w:line="360" w:lineRule="auto"/>
        <w:ind w:firstLine="420" w:firstLineChars="200"/>
        <w:rPr>
          <w:rFonts w:ascii="宋体" w:hAnsi="宋体"/>
          <w:kern w:val="0"/>
        </w:rPr>
      </w:pPr>
      <w:r>
        <w:rPr>
          <w:rFonts w:hint="eastAsia" w:ascii="宋体" w:hAnsi="宋体"/>
          <w:kern w:val="0"/>
        </w:rPr>
        <w:t>基金管理人可以针对特定投资人（如养老金客户等）开展费率优惠活动，具体见基金管理人相关公告。</w:t>
      </w:r>
    </w:p>
    <w:p>
      <w:pPr>
        <w:adjustRightInd w:val="0"/>
        <w:snapToGrid w:val="0"/>
        <w:spacing w:before="156" w:beforeLines="50" w:line="360" w:lineRule="auto"/>
        <w:ind w:firstLine="420" w:firstLineChars="200"/>
        <w:rPr>
          <w:rFonts w:ascii="宋体" w:hAnsi="宋体"/>
          <w:kern w:val="0"/>
        </w:rPr>
      </w:pPr>
      <w:r>
        <w:rPr>
          <w:rFonts w:hint="eastAsia" w:ascii="宋体" w:hAnsi="宋体"/>
          <w:kern w:val="0"/>
        </w:rPr>
        <w:t>3、认购份额的计算</w:t>
      </w:r>
    </w:p>
    <w:p>
      <w:pPr>
        <w:adjustRightInd w:val="0"/>
        <w:snapToGrid w:val="0"/>
        <w:spacing w:line="360" w:lineRule="auto"/>
        <w:ind w:firstLine="420" w:firstLineChars="200"/>
        <w:rPr>
          <w:rFonts w:ascii="宋体" w:hAnsi="宋体"/>
          <w:kern w:val="0"/>
        </w:rPr>
      </w:pPr>
      <w:r>
        <w:rPr>
          <w:rFonts w:hint="eastAsia" w:ascii="宋体" w:hAnsi="宋体"/>
          <w:kern w:val="0"/>
        </w:rPr>
        <w:t>（1）本基金A类基金份额的认购份额的计算公式为：</w:t>
      </w:r>
    </w:p>
    <w:p>
      <w:pPr>
        <w:adjustRightInd w:val="0"/>
        <w:snapToGrid w:val="0"/>
        <w:spacing w:line="360" w:lineRule="auto"/>
        <w:ind w:firstLine="420" w:firstLineChars="200"/>
        <w:rPr>
          <w:rFonts w:ascii="宋体" w:hAnsi="宋体"/>
          <w:kern w:val="0"/>
        </w:rPr>
      </w:pPr>
      <w:r>
        <w:rPr>
          <w:rFonts w:hint="eastAsia" w:ascii="宋体" w:hAnsi="宋体"/>
          <w:kern w:val="0"/>
        </w:rPr>
        <w:t>1）认购费用适用比例费率的情形下：</w:t>
      </w:r>
    </w:p>
    <w:p>
      <w:pPr>
        <w:adjustRightInd w:val="0"/>
        <w:snapToGrid w:val="0"/>
        <w:spacing w:line="360" w:lineRule="auto"/>
        <w:ind w:firstLine="420" w:firstLineChars="200"/>
        <w:rPr>
          <w:rFonts w:ascii="宋体" w:hAnsi="宋体"/>
          <w:kern w:val="0"/>
        </w:rPr>
      </w:pPr>
      <w:r>
        <w:rPr>
          <w:rFonts w:hint="eastAsia" w:ascii="宋体" w:hAnsi="宋体"/>
          <w:kern w:val="0"/>
        </w:rPr>
        <w:t>净认购金额＝认购金额/（1＋认购费率）</w:t>
      </w:r>
    </w:p>
    <w:p>
      <w:pPr>
        <w:adjustRightInd w:val="0"/>
        <w:snapToGrid w:val="0"/>
        <w:spacing w:line="360" w:lineRule="auto"/>
        <w:ind w:firstLine="420" w:firstLineChars="200"/>
        <w:rPr>
          <w:rFonts w:ascii="宋体" w:hAnsi="宋体"/>
          <w:kern w:val="0"/>
        </w:rPr>
      </w:pPr>
      <w:r>
        <w:rPr>
          <w:rFonts w:hint="eastAsia" w:ascii="宋体" w:hAnsi="宋体"/>
          <w:kern w:val="0"/>
        </w:rPr>
        <w:t>认购费用＝认购金额－净认购金额</w:t>
      </w:r>
    </w:p>
    <w:p>
      <w:pPr>
        <w:adjustRightInd w:val="0"/>
        <w:snapToGrid w:val="0"/>
        <w:spacing w:line="360" w:lineRule="auto"/>
        <w:ind w:firstLine="420" w:firstLineChars="200"/>
        <w:rPr>
          <w:rFonts w:ascii="宋体" w:hAnsi="宋体"/>
          <w:kern w:val="0"/>
        </w:rPr>
      </w:pPr>
      <w:r>
        <w:rPr>
          <w:rFonts w:hint="eastAsia" w:ascii="宋体" w:hAnsi="宋体"/>
          <w:kern w:val="0"/>
        </w:rPr>
        <w:t>认购份额＝（净认购金额＋认购期间利息）/A类基金份额发售面值</w:t>
      </w:r>
    </w:p>
    <w:p>
      <w:pPr>
        <w:adjustRightInd w:val="0"/>
        <w:snapToGrid w:val="0"/>
        <w:spacing w:line="360" w:lineRule="auto"/>
        <w:ind w:firstLine="420" w:firstLineChars="200"/>
        <w:rPr>
          <w:rFonts w:ascii="宋体" w:hAnsi="宋体"/>
          <w:kern w:val="0"/>
        </w:rPr>
      </w:pPr>
      <w:r>
        <w:rPr>
          <w:rFonts w:hint="eastAsia" w:ascii="宋体" w:hAnsi="宋体"/>
          <w:kern w:val="0"/>
        </w:rPr>
        <w:t>2）认购费用适用固定金额的情形下：</w:t>
      </w:r>
    </w:p>
    <w:p>
      <w:pPr>
        <w:adjustRightInd w:val="0"/>
        <w:snapToGrid w:val="0"/>
        <w:spacing w:line="360" w:lineRule="auto"/>
        <w:ind w:firstLine="420" w:firstLineChars="200"/>
        <w:rPr>
          <w:rFonts w:ascii="宋体" w:hAnsi="宋体"/>
          <w:kern w:val="0"/>
        </w:rPr>
      </w:pPr>
      <w:r>
        <w:rPr>
          <w:rFonts w:hint="eastAsia" w:ascii="宋体" w:hAnsi="宋体"/>
          <w:kern w:val="0"/>
        </w:rPr>
        <w:t>认购费用＝固定金额</w:t>
      </w:r>
    </w:p>
    <w:p>
      <w:pPr>
        <w:adjustRightInd w:val="0"/>
        <w:snapToGrid w:val="0"/>
        <w:spacing w:line="360" w:lineRule="auto"/>
        <w:ind w:firstLine="420" w:firstLineChars="200"/>
        <w:rPr>
          <w:rFonts w:ascii="宋体" w:hAnsi="宋体"/>
          <w:kern w:val="0"/>
        </w:rPr>
      </w:pPr>
      <w:r>
        <w:rPr>
          <w:rFonts w:hint="eastAsia" w:ascii="宋体" w:hAnsi="宋体"/>
          <w:kern w:val="0"/>
        </w:rPr>
        <w:t>净认购金额＝认购金额-认购费用</w:t>
      </w:r>
    </w:p>
    <w:p>
      <w:pPr>
        <w:adjustRightInd w:val="0"/>
        <w:snapToGrid w:val="0"/>
        <w:spacing w:line="360" w:lineRule="auto"/>
        <w:ind w:firstLine="420" w:firstLineChars="200"/>
        <w:rPr>
          <w:rFonts w:ascii="宋体" w:hAnsi="宋体"/>
          <w:kern w:val="0"/>
        </w:rPr>
      </w:pPr>
      <w:r>
        <w:rPr>
          <w:rFonts w:hint="eastAsia" w:ascii="宋体" w:hAnsi="宋体"/>
          <w:kern w:val="0"/>
        </w:rPr>
        <w:t>认购份额＝（净认购金额＋认购期间利息）/A类基金份额发售面值</w:t>
      </w:r>
    </w:p>
    <w:p>
      <w:pPr>
        <w:adjustRightInd w:val="0"/>
        <w:snapToGrid w:val="0"/>
        <w:spacing w:line="360" w:lineRule="auto"/>
        <w:ind w:firstLine="420" w:firstLineChars="200"/>
        <w:rPr>
          <w:rFonts w:ascii="宋体" w:hAnsi="宋体"/>
          <w:kern w:val="0"/>
        </w:rPr>
      </w:pPr>
      <w:r>
        <w:rPr>
          <w:rFonts w:hint="eastAsia" w:ascii="宋体" w:hAnsi="宋体"/>
          <w:kern w:val="0"/>
        </w:rPr>
        <w:t>（2）本基金C类基金份额的认购份额的计算公式为：</w:t>
      </w:r>
    </w:p>
    <w:p>
      <w:pPr>
        <w:adjustRightInd w:val="0"/>
        <w:snapToGrid w:val="0"/>
        <w:spacing w:line="360" w:lineRule="auto"/>
        <w:ind w:firstLine="420" w:firstLineChars="200"/>
        <w:rPr>
          <w:rFonts w:ascii="宋体" w:hAnsi="宋体"/>
          <w:kern w:val="0"/>
        </w:rPr>
      </w:pPr>
      <w:r>
        <w:rPr>
          <w:rFonts w:hint="eastAsia" w:ascii="宋体" w:hAnsi="宋体"/>
          <w:kern w:val="0"/>
        </w:rPr>
        <w:t>认购份额=（认购金额＋认购期间利息）/C类基金份额发售面值</w:t>
      </w:r>
    </w:p>
    <w:p>
      <w:pPr>
        <w:adjustRightInd w:val="0"/>
        <w:snapToGrid w:val="0"/>
        <w:spacing w:line="360" w:lineRule="auto"/>
        <w:ind w:firstLine="420" w:firstLineChars="200"/>
        <w:rPr>
          <w:rFonts w:ascii="宋体" w:hAnsi="宋体"/>
          <w:kern w:val="0"/>
        </w:rPr>
      </w:pPr>
      <w:r>
        <w:rPr>
          <w:rFonts w:hint="eastAsia" w:ascii="宋体" w:hAnsi="宋体"/>
          <w:kern w:val="0"/>
        </w:rPr>
        <w:t>4、计算举例</w:t>
      </w:r>
    </w:p>
    <w:p>
      <w:pPr>
        <w:adjustRightInd w:val="0"/>
        <w:snapToGrid w:val="0"/>
        <w:spacing w:line="360" w:lineRule="auto"/>
        <w:ind w:firstLine="420" w:firstLineChars="200"/>
        <w:rPr>
          <w:rFonts w:ascii="宋体" w:hAnsi="宋体"/>
          <w:kern w:val="0"/>
        </w:rPr>
      </w:pPr>
      <w:r>
        <w:rPr>
          <w:rFonts w:hint="eastAsia" w:ascii="宋体" w:hAnsi="宋体"/>
          <w:kern w:val="0"/>
        </w:rPr>
        <w:t>例1：某投资人投资1,000万元认购本基金A类基金份额，假设其认购资金的利息为550元，其对应的认购费用为300元，则其可得到的认购份额为：</w:t>
      </w:r>
    </w:p>
    <w:p>
      <w:pPr>
        <w:adjustRightInd w:val="0"/>
        <w:snapToGrid w:val="0"/>
        <w:spacing w:line="360" w:lineRule="auto"/>
        <w:ind w:firstLine="420" w:firstLineChars="200"/>
        <w:rPr>
          <w:rFonts w:ascii="宋体" w:hAnsi="宋体"/>
          <w:kern w:val="0"/>
        </w:rPr>
      </w:pPr>
      <w:r>
        <w:rPr>
          <w:rFonts w:hint="eastAsia" w:ascii="宋体" w:hAnsi="宋体"/>
          <w:kern w:val="0"/>
        </w:rPr>
        <w:t>认购费用＝300.00元</w:t>
      </w:r>
    </w:p>
    <w:p>
      <w:pPr>
        <w:adjustRightInd w:val="0"/>
        <w:snapToGrid w:val="0"/>
        <w:spacing w:line="360" w:lineRule="auto"/>
        <w:ind w:firstLine="420" w:firstLineChars="200"/>
        <w:rPr>
          <w:rFonts w:ascii="宋体" w:hAnsi="宋体"/>
          <w:kern w:val="0"/>
        </w:rPr>
      </w:pPr>
      <w:r>
        <w:rPr>
          <w:rFonts w:hint="eastAsia" w:ascii="宋体" w:hAnsi="宋体"/>
          <w:kern w:val="0"/>
        </w:rPr>
        <w:t>净认购金额＝10,000,000.00－300.00＝9,999,700.00元</w:t>
      </w:r>
    </w:p>
    <w:p>
      <w:pPr>
        <w:adjustRightInd w:val="0"/>
        <w:snapToGrid w:val="0"/>
        <w:spacing w:line="360" w:lineRule="auto"/>
        <w:ind w:firstLine="420" w:firstLineChars="200"/>
        <w:rPr>
          <w:rFonts w:ascii="宋体" w:hAnsi="宋体"/>
          <w:kern w:val="0"/>
        </w:rPr>
      </w:pPr>
      <w:r>
        <w:rPr>
          <w:rFonts w:hint="eastAsia" w:ascii="宋体" w:hAnsi="宋体"/>
          <w:kern w:val="0"/>
        </w:rPr>
        <w:t>认购份额＝（9,999,700.00 + 550.00）/1.00＝</w:t>
      </w:r>
      <w:r>
        <w:rPr>
          <w:rFonts w:ascii="宋体" w:hAnsi="宋体"/>
          <w:kern w:val="0"/>
        </w:rPr>
        <w:t>10</w:t>
      </w:r>
      <w:r>
        <w:rPr>
          <w:rFonts w:hint="eastAsia" w:ascii="宋体" w:hAnsi="宋体"/>
          <w:kern w:val="0"/>
        </w:rPr>
        <w:t>,</w:t>
      </w:r>
      <w:r>
        <w:rPr>
          <w:rFonts w:ascii="宋体" w:hAnsi="宋体"/>
          <w:kern w:val="0"/>
        </w:rPr>
        <w:t>000</w:t>
      </w:r>
      <w:r>
        <w:rPr>
          <w:rFonts w:hint="eastAsia" w:ascii="宋体" w:hAnsi="宋体"/>
          <w:kern w:val="0"/>
        </w:rPr>
        <w:t>,</w:t>
      </w:r>
      <w:r>
        <w:rPr>
          <w:rFonts w:ascii="宋体" w:hAnsi="宋体"/>
          <w:kern w:val="0"/>
        </w:rPr>
        <w:t>250</w:t>
      </w:r>
      <w:r>
        <w:rPr>
          <w:rFonts w:hint="eastAsia" w:ascii="宋体" w:hAnsi="宋体"/>
          <w:kern w:val="0"/>
        </w:rPr>
        <w:t>.00份</w:t>
      </w:r>
    </w:p>
    <w:p>
      <w:pPr>
        <w:adjustRightInd w:val="0"/>
        <w:snapToGrid w:val="0"/>
        <w:spacing w:line="360" w:lineRule="auto"/>
        <w:ind w:firstLine="420" w:firstLineChars="200"/>
        <w:rPr>
          <w:rFonts w:ascii="宋体" w:hAnsi="宋体"/>
          <w:kern w:val="0"/>
        </w:rPr>
      </w:pPr>
      <w:r>
        <w:rPr>
          <w:rFonts w:hint="eastAsia" w:ascii="宋体" w:hAnsi="宋体"/>
          <w:kern w:val="0"/>
        </w:rPr>
        <w:t>即：该投资人投资1,000万元认购本基金A类基金份额，假设其认购资金的利息为550元，则其可得到</w:t>
      </w:r>
      <w:r>
        <w:rPr>
          <w:rFonts w:ascii="宋体" w:hAnsi="宋体"/>
          <w:kern w:val="0"/>
        </w:rPr>
        <w:t>10</w:t>
      </w:r>
      <w:r>
        <w:rPr>
          <w:rFonts w:hint="eastAsia" w:ascii="宋体" w:hAnsi="宋体"/>
          <w:kern w:val="0"/>
        </w:rPr>
        <w:t>,</w:t>
      </w:r>
      <w:r>
        <w:rPr>
          <w:rFonts w:ascii="宋体" w:hAnsi="宋体"/>
          <w:kern w:val="0"/>
        </w:rPr>
        <w:t>000</w:t>
      </w:r>
      <w:r>
        <w:rPr>
          <w:rFonts w:hint="eastAsia" w:ascii="宋体" w:hAnsi="宋体"/>
          <w:kern w:val="0"/>
        </w:rPr>
        <w:t>,</w:t>
      </w:r>
      <w:r>
        <w:rPr>
          <w:rFonts w:ascii="宋体" w:hAnsi="宋体"/>
          <w:kern w:val="0"/>
        </w:rPr>
        <w:t>250</w:t>
      </w:r>
      <w:r>
        <w:rPr>
          <w:rFonts w:hint="eastAsia" w:ascii="宋体" w:hAnsi="宋体"/>
          <w:kern w:val="0"/>
        </w:rPr>
        <w:t>.00份A类基金份额。</w:t>
      </w:r>
    </w:p>
    <w:p>
      <w:pPr>
        <w:adjustRightInd w:val="0"/>
        <w:snapToGrid w:val="0"/>
        <w:spacing w:line="360" w:lineRule="auto"/>
        <w:ind w:firstLine="420" w:firstLineChars="200"/>
        <w:rPr>
          <w:rFonts w:ascii="宋体" w:hAnsi="宋体"/>
          <w:kern w:val="0"/>
        </w:rPr>
      </w:pPr>
      <w:r>
        <w:rPr>
          <w:rFonts w:hint="eastAsia" w:ascii="宋体" w:hAnsi="宋体"/>
          <w:kern w:val="0"/>
        </w:rPr>
        <w:t>例2：某投资人投资1,000万元认购本基金C类基金份额，假设其认购资金的利息为550元，其对应的认购费用为0元，则其可得到的认购份额为：</w:t>
      </w:r>
    </w:p>
    <w:p>
      <w:pPr>
        <w:adjustRightInd w:val="0"/>
        <w:snapToGrid w:val="0"/>
        <w:spacing w:line="360" w:lineRule="auto"/>
        <w:ind w:firstLine="420" w:firstLineChars="200"/>
        <w:rPr>
          <w:rFonts w:ascii="宋体" w:hAnsi="宋体"/>
          <w:kern w:val="0"/>
        </w:rPr>
      </w:pPr>
      <w:r>
        <w:rPr>
          <w:rFonts w:hint="eastAsia" w:ascii="宋体" w:hAnsi="宋体"/>
          <w:kern w:val="0"/>
        </w:rPr>
        <w:t>认购份额＝（10,000,000.00+550</w:t>
      </w:r>
      <w:r>
        <w:rPr>
          <w:rFonts w:ascii="宋体" w:hAnsi="宋体"/>
          <w:kern w:val="0"/>
        </w:rPr>
        <w:t>.00</w:t>
      </w:r>
      <w:r>
        <w:rPr>
          <w:rFonts w:hint="eastAsia" w:ascii="宋体" w:hAnsi="宋体"/>
          <w:kern w:val="0"/>
        </w:rPr>
        <w:t>）/1.00＝10,000,550.00份</w:t>
      </w:r>
    </w:p>
    <w:p>
      <w:pPr>
        <w:adjustRightInd w:val="0"/>
        <w:snapToGrid w:val="0"/>
        <w:spacing w:line="360" w:lineRule="auto"/>
        <w:ind w:firstLine="420" w:firstLineChars="200"/>
        <w:rPr>
          <w:rFonts w:ascii="宋体" w:hAnsi="宋体"/>
          <w:kern w:val="0"/>
        </w:rPr>
      </w:pPr>
      <w:r>
        <w:rPr>
          <w:rFonts w:hint="eastAsia" w:ascii="宋体" w:hAnsi="宋体"/>
          <w:kern w:val="0"/>
        </w:rPr>
        <w:t>即：该投资人投资1,000万元认购本基金C类基金份额，假设其认购资金的利息为550元，则其可得到10,000,550.00份C类基金份额。</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5、募集期利息的处理方式</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有效认购款项在募集期间产生的利息将折算为基金份额归基金份额持有人所有，其中利息转份额的具体数额以登记机构的记录为准。</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6、认购份额余额的处理方式</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认购份额的计算保留到小数点后两位，小数点两位以后的部分四舍五入，由此误差产生的收益或损失由基金财产承担。</w:t>
      </w:r>
    </w:p>
    <w:p>
      <w:pPr>
        <w:adjustRightInd w:val="0"/>
        <w:snapToGrid w:val="0"/>
        <w:spacing w:line="360" w:lineRule="auto"/>
        <w:ind w:firstLine="422" w:firstLineChars="200"/>
        <w:rPr>
          <w:rFonts w:ascii="宋体" w:hAnsi="宋体" w:cs="Arial"/>
          <w:b/>
          <w:szCs w:val="21"/>
        </w:rPr>
      </w:pPr>
      <w:r>
        <w:rPr>
          <w:rFonts w:hint="eastAsia" w:ascii="宋体" w:hAnsi="宋体" w:cs="Arial"/>
          <w:b/>
          <w:szCs w:val="21"/>
        </w:rPr>
        <w:t>九、首次募集规模上限</w:t>
      </w:r>
    </w:p>
    <w:p>
      <w:pPr>
        <w:adjustRightInd w:val="0"/>
        <w:snapToGrid w:val="0"/>
        <w:spacing w:line="360" w:lineRule="auto"/>
        <w:ind w:firstLine="420" w:firstLineChars="200"/>
        <w:rPr>
          <w:rFonts w:ascii="宋体" w:hAnsi="宋体" w:cs="Arial"/>
          <w:szCs w:val="21"/>
        </w:rPr>
      </w:pPr>
      <w:bookmarkStart w:id="82" w:name="_Hlk114653055"/>
      <w:r>
        <w:rPr>
          <w:rFonts w:hint="eastAsia" w:ascii="宋体" w:hAnsi="宋体" w:cs="Arial"/>
          <w:szCs w:val="21"/>
        </w:rPr>
        <w:t>本基金可设置首次募集规模上限，具体募集上限及规模控制的方案详见基金份额发售公告或基金管理人届时发布的相关公告。若本基金设置首次募集规模上限，基金合同生效后不受首次募集规模的限制。</w:t>
      </w:r>
    </w:p>
    <w:bookmarkEnd w:id="82"/>
    <w:p>
      <w:pPr>
        <w:adjustRightInd w:val="0"/>
        <w:snapToGrid w:val="0"/>
        <w:spacing w:line="360" w:lineRule="auto"/>
        <w:ind w:firstLine="424" w:firstLineChars="201"/>
        <w:rPr>
          <w:rFonts w:ascii="宋体" w:hAnsi="宋体"/>
          <w:b/>
          <w:kern w:val="0"/>
        </w:rPr>
      </w:pPr>
      <w:r>
        <w:rPr>
          <w:rFonts w:hint="eastAsia" w:ascii="宋体" w:hAnsi="宋体"/>
          <w:b/>
          <w:kern w:val="0"/>
        </w:rPr>
        <w:t>十、投资人对基金份额的认购</w:t>
      </w:r>
      <w:r>
        <w:rPr>
          <w:rFonts w:ascii="宋体" w:hAnsi="宋体"/>
          <w:b/>
          <w:kern w:val="0"/>
        </w:rPr>
        <w:t xml:space="preserve"> </w:t>
      </w:r>
    </w:p>
    <w:p>
      <w:pPr>
        <w:adjustRightInd w:val="0"/>
        <w:snapToGrid w:val="0"/>
        <w:spacing w:line="360" w:lineRule="auto"/>
        <w:ind w:firstLine="422" w:firstLineChars="201"/>
        <w:rPr>
          <w:rFonts w:ascii="宋体" w:hAnsi="宋体"/>
          <w:kern w:val="0"/>
        </w:rPr>
      </w:pPr>
      <w:r>
        <w:rPr>
          <w:rFonts w:ascii="宋体" w:hAnsi="宋体"/>
          <w:kern w:val="0"/>
        </w:rPr>
        <w:t>1</w:t>
      </w:r>
      <w:r>
        <w:rPr>
          <w:rFonts w:hint="eastAsia" w:ascii="宋体" w:hAnsi="宋体"/>
          <w:kern w:val="0"/>
        </w:rPr>
        <w:t>．本基金的认购时间安排、认购者认购应提交的文件和办理的手续请详细查阅本基金的基金份额发售公告。</w:t>
      </w:r>
      <w:r>
        <w:rPr>
          <w:rFonts w:ascii="宋体" w:hAnsi="宋体"/>
          <w:kern w:val="0"/>
        </w:rPr>
        <w:t xml:space="preserve"> </w:t>
      </w:r>
    </w:p>
    <w:p>
      <w:pPr>
        <w:adjustRightInd w:val="0"/>
        <w:snapToGrid w:val="0"/>
        <w:spacing w:line="360" w:lineRule="auto"/>
        <w:ind w:firstLine="422" w:firstLineChars="201"/>
        <w:rPr>
          <w:rFonts w:ascii="宋体" w:hAnsi="宋体"/>
          <w:kern w:val="0"/>
        </w:rPr>
      </w:pPr>
      <w:r>
        <w:rPr>
          <w:rFonts w:ascii="宋体" w:hAnsi="宋体"/>
          <w:kern w:val="0"/>
        </w:rPr>
        <w:t>2</w:t>
      </w:r>
      <w:r>
        <w:rPr>
          <w:rFonts w:hint="eastAsia" w:ascii="宋体" w:hAnsi="宋体"/>
          <w:kern w:val="0"/>
        </w:rPr>
        <w:t>．认购方式</w:t>
      </w:r>
      <w:r>
        <w:rPr>
          <w:rFonts w:ascii="宋体" w:hAnsi="宋体"/>
          <w:kern w:val="0"/>
        </w:rPr>
        <w:t xml:space="preserve"> </w:t>
      </w:r>
    </w:p>
    <w:p>
      <w:pPr>
        <w:adjustRightInd w:val="0"/>
        <w:snapToGrid w:val="0"/>
        <w:spacing w:line="360" w:lineRule="auto"/>
        <w:ind w:firstLine="422" w:firstLineChars="201"/>
        <w:rPr>
          <w:rFonts w:ascii="宋体" w:hAnsi="宋体"/>
          <w:kern w:val="0"/>
        </w:rPr>
      </w:pPr>
      <w:r>
        <w:rPr>
          <w:rFonts w:hint="eastAsia" w:ascii="宋体" w:hAnsi="宋体"/>
          <w:kern w:val="0"/>
        </w:rPr>
        <w:t>本基金认购采取金额认购的方式。</w:t>
      </w:r>
      <w:r>
        <w:rPr>
          <w:rFonts w:ascii="宋体" w:hAnsi="宋体"/>
          <w:kern w:val="0"/>
        </w:rPr>
        <w:t xml:space="preserve"> </w:t>
      </w:r>
    </w:p>
    <w:p>
      <w:pPr>
        <w:adjustRightInd w:val="0"/>
        <w:snapToGrid w:val="0"/>
        <w:spacing w:line="360" w:lineRule="auto"/>
        <w:ind w:firstLine="422" w:firstLineChars="201"/>
        <w:rPr>
          <w:rFonts w:ascii="宋体" w:hAnsi="宋体"/>
          <w:kern w:val="0"/>
        </w:rPr>
      </w:pPr>
      <w:r>
        <w:rPr>
          <w:rFonts w:hint="eastAsia" w:ascii="宋体" w:hAnsi="宋体"/>
          <w:kern w:val="0"/>
        </w:rPr>
        <w:t>（</w:t>
      </w:r>
      <w:r>
        <w:rPr>
          <w:rFonts w:ascii="宋体" w:hAnsi="宋体"/>
          <w:kern w:val="0"/>
        </w:rPr>
        <w:t>1</w:t>
      </w:r>
      <w:r>
        <w:rPr>
          <w:rFonts w:hint="eastAsia" w:ascii="宋体" w:hAnsi="宋体"/>
          <w:kern w:val="0"/>
        </w:rPr>
        <w:t>）投资者认购时，需按销售机构规定的方式全额缴款。</w:t>
      </w:r>
      <w:r>
        <w:rPr>
          <w:rFonts w:ascii="宋体" w:hAnsi="宋体"/>
          <w:kern w:val="0"/>
        </w:rPr>
        <w:t xml:space="preserve"> </w:t>
      </w:r>
    </w:p>
    <w:p>
      <w:pPr>
        <w:adjustRightInd w:val="0"/>
        <w:snapToGrid w:val="0"/>
        <w:spacing w:line="360" w:lineRule="auto"/>
        <w:ind w:firstLine="422" w:firstLineChars="201"/>
        <w:rPr>
          <w:rFonts w:ascii="宋体" w:hAnsi="宋体"/>
          <w:kern w:val="0"/>
        </w:rPr>
      </w:pPr>
      <w:r>
        <w:rPr>
          <w:rFonts w:hint="eastAsia" w:ascii="宋体" w:hAnsi="宋体"/>
          <w:kern w:val="0"/>
        </w:rPr>
        <w:t>（</w:t>
      </w:r>
      <w:r>
        <w:rPr>
          <w:rFonts w:ascii="宋体" w:hAnsi="宋体"/>
          <w:kern w:val="0"/>
        </w:rPr>
        <w:t>2</w:t>
      </w:r>
      <w:r>
        <w:rPr>
          <w:rFonts w:hint="eastAsia" w:ascii="宋体" w:hAnsi="宋体"/>
          <w:kern w:val="0"/>
        </w:rPr>
        <w:t>）投资者在募集期内可以多次认购基金份额，A类基金份额的认购费按每笔该类基金份额认购申请单独计算，但已受理的认购申请不允许撤销。</w:t>
      </w:r>
      <w:r>
        <w:rPr>
          <w:rFonts w:ascii="宋体" w:hAnsi="宋体"/>
          <w:kern w:val="0"/>
        </w:rPr>
        <w:t xml:space="preserve"> </w:t>
      </w:r>
    </w:p>
    <w:p>
      <w:pPr>
        <w:adjustRightInd w:val="0"/>
        <w:snapToGrid w:val="0"/>
        <w:spacing w:line="360" w:lineRule="auto"/>
        <w:ind w:firstLine="422" w:firstLineChars="201"/>
        <w:rPr>
          <w:rFonts w:ascii="宋体" w:hAnsi="宋体"/>
          <w:kern w:val="0"/>
        </w:rPr>
      </w:pPr>
      <w:r>
        <w:rPr>
          <w:rFonts w:ascii="宋体" w:hAnsi="宋体"/>
          <w:kern w:val="0"/>
        </w:rPr>
        <w:t>3</w:t>
      </w:r>
      <w:r>
        <w:rPr>
          <w:rFonts w:hint="eastAsia" w:ascii="宋体" w:hAnsi="宋体"/>
          <w:kern w:val="0"/>
        </w:rPr>
        <w:t>．认购确认</w:t>
      </w:r>
      <w:r>
        <w:rPr>
          <w:rFonts w:ascii="宋体" w:hAnsi="宋体"/>
          <w:kern w:val="0"/>
        </w:rPr>
        <w:t xml:space="preserve"> </w:t>
      </w:r>
    </w:p>
    <w:p>
      <w:pPr>
        <w:adjustRightInd w:val="0"/>
        <w:snapToGrid w:val="0"/>
        <w:spacing w:line="360" w:lineRule="auto"/>
        <w:ind w:firstLine="422" w:firstLineChars="201"/>
        <w:rPr>
          <w:rFonts w:ascii="宋体" w:hAnsi="宋体"/>
          <w:kern w:val="0"/>
        </w:rPr>
      </w:pPr>
      <w:bookmarkStart w:id="83" w:name="_Hlk114653116"/>
      <w:r>
        <w:rPr>
          <w:rFonts w:hint="eastAsia" w:ascii="宋体" w:hAnsi="宋体"/>
          <w:kern w:val="0"/>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此产生的投资者任何损失由投资者自行承担</w:t>
      </w:r>
      <w:bookmarkEnd w:id="83"/>
      <w:r>
        <w:rPr>
          <w:rFonts w:hint="eastAsia" w:ascii="宋体" w:hAnsi="宋体"/>
          <w:kern w:val="0"/>
        </w:rPr>
        <w:t>。</w:t>
      </w:r>
    </w:p>
    <w:p>
      <w:pPr>
        <w:adjustRightInd w:val="0"/>
        <w:snapToGrid w:val="0"/>
        <w:spacing w:line="360" w:lineRule="auto"/>
        <w:ind w:firstLine="422" w:firstLineChars="201"/>
        <w:rPr>
          <w:rFonts w:ascii="宋体" w:hAnsi="宋体"/>
          <w:kern w:val="0"/>
        </w:rPr>
      </w:pPr>
      <w:r>
        <w:rPr>
          <w:rFonts w:ascii="宋体" w:hAnsi="宋体"/>
          <w:kern w:val="0"/>
        </w:rPr>
        <w:t>4</w:t>
      </w:r>
      <w:r>
        <w:rPr>
          <w:rFonts w:hint="eastAsia" w:ascii="宋体" w:hAnsi="宋体"/>
          <w:kern w:val="0"/>
        </w:rPr>
        <w:t>．认购限制</w:t>
      </w:r>
      <w:r>
        <w:rPr>
          <w:rFonts w:ascii="宋体" w:hAnsi="宋体"/>
          <w:kern w:val="0"/>
        </w:rPr>
        <w:t xml:space="preserve"> </w:t>
      </w:r>
    </w:p>
    <w:p>
      <w:pPr>
        <w:tabs>
          <w:tab w:val="left" w:pos="1134"/>
        </w:tabs>
        <w:adjustRightInd w:val="0"/>
        <w:snapToGrid w:val="0"/>
        <w:spacing w:line="360" w:lineRule="auto"/>
        <w:ind w:firstLine="420" w:firstLineChars="200"/>
        <w:rPr>
          <w:rFonts w:ascii="宋体" w:hAnsi="宋体" w:cs="Arial"/>
          <w:color w:val="000000"/>
          <w:szCs w:val="21"/>
        </w:rPr>
      </w:pPr>
      <w:r>
        <w:rPr>
          <w:rFonts w:hint="eastAsia" w:ascii="宋体" w:hAnsi="宋体" w:cs="Arial"/>
          <w:color w:val="000000"/>
          <w:szCs w:val="21"/>
        </w:rPr>
        <w:t>投资人A类基金份额或C类基金份额</w:t>
      </w:r>
      <w:r>
        <w:rPr>
          <w:rFonts w:ascii="宋体" w:hAnsi="宋体" w:cs="Arial"/>
          <w:color w:val="000000"/>
          <w:szCs w:val="21"/>
        </w:rPr>
        <w:t>首次最低认购金额不低于</w:t>
      </w:r>
      <w:r>
        <w:rPr>
          <w:rFonts w:hint="eastAsia" w:ascii="宋体" w:hAnsi="宋体" w:cs="Arial"/>
          <w:color w:val="000000"/>
          <w:szCs w:val="21"/>
        </w:rPr>
        <w:t>1.00</w:t>
      </w:r>
      <w:r>
        <w:rPr>
          <w:rFonts w:ascii="宋体" w:hAnsi="宋体" w:cs="Arial"/>
          <w:color w:val="000000"/>
          <w:szCs w:val="21"/>
        </w:rPr>
        <w:t>元</w:t>
      </w:r>
      <w:r>
        <w:rPr>
          <w:rFonts w:hint="eastAsia" w:ascii="宋体" w:hAnsi="宋体" w:cs="Arial"/>
          <w:color w:val="000000"/>
          <w:szCs w:val="21"/>
        </w:rPr>
        <w:t>（含认购费）</w:t>
      </w:r>
      <w:r>
        <w:rPr>
          <w:rFonts w:ascii="宋体" w:hAnsi="宋体" w:cs="Arial"/>
          <w:color w:val="000000"/>
          <w:szCs w:val="21"/>
        </w:rPr>
        <w:t>，追加</w:t>
      </w:r>
      <w:r>
        <w:rPr>
          <w:rFonts w:hint="eastAsia" w:ascii="宋体" w:hAnsi="宋体" w:cs="Arial"/>
          <w:color w:val="000000"/>
          <w:szCs w:val="21"/>
        </w:rPr>
        <w:t>认购单笔</w:t>
      </w:r>
      <w:r>
        <w:rPr>
          <w:rFonts w:ascii="宋体" w:hAnsi="宋体" w:cs="Arial"/>
          <w:color w:val="000000"/>
          <w:szCs w:val="21"/>
        </w:rPr>
        <w:t>最低金额为</w:t>
      </w:r>
      <w:r>
        <w:rPr>
          <w:rFonts w:hint="eastAsia" w:ascii="宋体" w:hAnsi="宋体" w:cs="Arial"/>
          <w:color w:val="000000"/>
          <w:szCs w:val="21"/>
        </w:rPr>
        <w:t>1.00</w:t>
      </w:r>
      <w:r>
        <w:rPr>
          <w:rFonts w:ascii="宋体" w:hAnsi="宋体" w:cs="Arial"/>
          <w:color w:val="000000"/>
          <w:szCs w:val="21"/>
        </w:rPr>
        <w:t>元</w:t>
      </w:r>
      <w:r>
        <w:rPr>
          <w:rFonts w:hint="eastAsia" w:ascii="宋体" w:hAnsi="宋体" w:cs="Arial"/>
          <w:color w:val="000000"/>
          <w:szCs w:val="21"/>
        </w:rPr>
        <w:t>（含认购费）</w:t>
      </w:r>
      <w:r>
        <w:rPr>
          <w:rFonts w:ascii="宋体" w:hAnsi="宋体" w:cs="Arial"/>
          <w:color w:val="000000"/>
          <w:szCs w:val="21"/>
        </w:rPr>
        <w:t>，详情请见</w:t>
      </w:r>
      <w:r>
        <w:rPr>
          <w:rFonts w:hint="eastAsia" w:ascii="宋体" w:hAnsi="宋体" w:cs="Arial"/>
          <w:color w:val="000000"/>
          <w:szCs w:val="21"/>
        </w:rPr>
        <w:t>各</w:t>
      </w:r>
      <w:r>
        <w:rPr>
          <w:rFonts w:ascii="宋体" w:hAnsi="宋体" w:cs="Arial"/>
          <w:color w:val="000000"/>
          <w:szCs w:val="21"/>
        </w:rPr>
        <w:t>销售机构公告。</w:t>
      </w:r>
      <w:r>
        <w:rPr>
          <w:rFonts w:hint="eastAsia" w:ascii="Arial" w:hAnsi="Arial" w:cs="Arial"/>
          <w:color w:val="000000"/>
          <w:szCs w:val="21"/>
        </w:rPr>
        <w:t>募集期间的单个投资人的累计认购金额不受限制。</w:t>
      </w:r>
    </w:p>
    <w:p>
      <w:pPr>
        <w:tabs>
          <w:tab w:val="left" w:pos="1134"/>
        </w:tabs>
        <w:adjustRightInd w:val="0"/>
        <w:snapToGrid w:val="0"/>
        <w:spacing w:line="360" w:lineRule="auto"/>
        <w:ind w:firstLine="420" w:firstLineChars="200"/>
        <w:rPr>
          <w:rFonts w:ascii="宋体" w:hAnsi="宋体" w:cs="Arial"/>
          <w:color w:val="000000"/>
          <w:szCs w:val="21"/>
        </w:rPr>
      </w:pPr>
      <w:r>
        <w:rPr>
          <w:rFonts w:hint="eastAsia" w:ascii="宋体" w:hAnsi="宋体" w:cs="Arial"/>
          <w:color w:val="000000"/>
          <w:szCs w:val="21"/>
        </w:rPr>
        <w:t>如发生末日比例确认，认购申请确认不受最低认购数量的限制。</w:t>
      </w:r>
    </w:p>
    <w:p>
      <w:pPr>
        <w:tabs>
          <w:tab w:val="left" w:pos="1134"/>
        </w:tabs>
        <w:adjustRightInd w:val="0"/>
        <w:snapToGrid w:val="0"/>
        <w:spacing w:line="360" w:lineRule="auto"/>
        <w:ind w:firstLine="420" w:firstLineChars="200"/>
        <w:rPr>
          <w:rFonts w:ascii="宋体" w:hAnsi="宋体" w:cs="Arial"/>
          <w:color w:val="000000"/>
          <w:szCs w:val="21"/>
        </w:rPr>
      </w:pPr>
      <w:r>
        <w:rPr>
          <w:rFonts w:hint="eastAsia" w:ascii="宋体" w:hAnsi="宋体" w:cs="Arial"/>
          <w:color w:val="000000"/>
          <w:szCs w:val="21"/>
        </w:rPr>
        <w:t>单一投资者（基金管理人、基金管理人高级管理人员或基金经理等人员作为发起资金提供方的除外）持有本基金份额集中度不得达到或者超过50%，对于可能导致单一投资者持有基金份额的比例达到或者超过50%，或者变相规避50%集中度的情形，基金管理人有权拒绝该等全部或者部分认购申请。法律法规、监管机构另有规定或基金合同另有约定的除外。</w:t>
      </w:r>
    </w:p>
    <w:p>
      <w:pPr>
        <w:adjustRightInd w:val="0"/>
        <w:snapToGrid w:val="0"/>
        <w:spacing w:line="360" w:lineRule="auto"/>
        <w:ind w:firstLine="424" w:firstLineChars="201"/>
        <w:rPr>
          <w:rFonts w:ascii="宋体" w:hAnsi="宋体" w:cs="宋体"/>
          <w:b/>
          <w:bCs/>
          <w:color w:val="000000"/>
          <w:kern w:val="0"/>
          <w:szCs w:val="21"/>
        </w:rPr>
      </w:pPr>
      <w:r>
        <w:rPr>
          <w:rFonts w:hint="eastAsia" w:ascii="宋体" w:hAnsi="宋体" w:cs="宋体"/>
          <w:b/>
          <w:bCs/>
          <w:color w:val="000000"/>
          <w:kern w:val="0"/>
          <w:szCs w:val="21"/>
        </w:rPr>
        <w:t>十一、基金募集期间募集的资金存入专门账户，在基金募集行为结束前，任何人不得动用。</w:t>
      </w:r>
    </w:p>
    <w:p>
      <w:pPr>
        <w:adjustRightInd w:val="0"/>
        <w:snapToGrid w:val="0"/>
        <w:spacing w:line="360" w:lineRule="auto"/>
        <w:ind w:firstLine="422" w:firstLineChars="201"/>
        <w:rPr>
          <w:rFonts w:ascii="宋体" w:hAnsi="Arial" w:cs="宋体"/>
          <w:color w:val="000000"/>
          <w:kern w:val="0"/>
          <w:szCs w:val="21"/>
        </w:rPr>
      </w:pPr>
    </w:p>
    <w:p>
      <w:pPr>
        <w:adjustRightInd w:val="0"/>
        <w:snapToGrid w:val="0"/>
        <w:spacing w:line="360" w:lineRule="auto"/>
        <w:ind w:firstLine="424" w:firstLineChars="201"/>
        <w:rPr>
          <w:rFonts w:ascii="宋体" w:hAnsi="Arial" w:cs="宋体"/>
          <w:b/>
          <w:bCs/>
          <w:color w:val="000000"/>
          <w:kern w:val="0"/>
          <w:szCs w:val="21"/>
        </w:rPr>
      </w:pPr>
      <w:r>
        <w:rPr>
          <w:rFonts w:hint="eastAsia" w:ascii="宋体" w:hAnsi="Arial" w:cs="宋体"/>
          <w:b/>
          <w:bCs/>
          <w:color w:val="000000"/>
          <w:kern w:val="0"/>
          <w:szCs w:val="21"/>
        </w:rPr>
        <w:t>十二、发起资金的认购</w:t>
      </w:r>
    </w:p>
    <w:p>
      <w:pPr>
        <w:adjustRightInd w:val="0"/>
        <w:snapToGrid w:val="0"/>
        <w:spacing w:line="360" w:lineRule="auto"/>
        <w:ind w:firstLine="422" w:firstLineChars="201"/>
        <w:rPr>
          <w:rFonts w:ascii="宋体" w:hAnsi="Arial" w:cs="宋体"/>
          <w:color w:val="000000"/>
          <w:kern w:val="0"/>
          <w:szCs w:val="21"/>
        </w:rPr>
      </w:pPr>
      <w:r>
        <w:rPr>
          <w:rFonts w:hint="eastAsia" w:ascii="宋体" w:hAnsi="Arial" w:cs="宋体"/>
          <w:color w:val="000000"/>
          <w:kern w:val="0"/>
          <w:szCs w:val="21"/>
        </w:rPr>
        <w:t>发起资金提供方认购金额不低于1,000万元人民币（不含认购费用），认购的基金份额持有期限自基金合同生效日起不少于三年，法律法规和监管机构另有规定的除外。</w:t>
      </w:r>
    </w:p>
    <w:p>
      <w:pPr>
        <w:adjustRightInd w:val="0"/>
        <w:snapToGrid w:val="0"/>
        <w:spacing w:line="360" w:lineRule="auto"/>
        <w:ind w:firstLine="422" w:firstLineChars="201"/>
        <w:rPr>
          <w:rFonts w:ascii="宋体" w:hAnsi="Arial" w:cs="宋体"/>
          <w:color w:val="000000"/>
          <w:kern w:val="0"/>
          <w:szCs w:val="21"/>
        </w:rPr>
      </w:pPr>
      <w:r>
        <w:rPr>
          <w:rFonts w:hint="eastAsia" w:ascii="宋体" w:hAnsi="Arial" w:cs="宋体"/>
          <w:color w:val="000000"/>
          <w:kern w:val="0"/>
          <w:szCs w:val="21"/>
        </w:rPr>
        <w:t>本基金发起资金的认购情况见基金管理人届时发布的公告。</w:t>
      </w:r>
    </w:p>
    <w:p>
      <w:pPr>
        <w:adjustRightInd w:val="0"/>
        <w:snapToGrid w:val="0"/>
        <w:spacing w:line="360" w:lineRule="auto"/>
        <w:ind w:firstLine="422" w:firstLineChars="201"/>
        <w:rPr>
          <w:rFonts w:ascii="宋体" w:hAnsi="Arial" w:cs="宋体"/>
          <w:color w:val="000000"/>
          <w:kern w:val="0"/>
          <w:szCs w:val="21"/>
        </w:rPr>
      </w:pPr>
    </w:p>
    <w:p>
      <w:pPr>
        <w:adjustRightInd w:val="0"/>
        <w:snapToGrid w:val="0"/>
        <w:spacing w:line="360" w:lineRule="auto"/>
        <w:ind w:firstLine="424" w:firstLineChars="201"/>
        <w:rPr>
          <w:rFonts w:ascii="宋体" w:hAnsi="Arial" w:cs="宋体"/>
          <w:b/>
          <w:color w:val="000000"/>
          <w:kern w:val="0"/>
          <w:szCs w:val="21"/>
        </w:rPr>
      </w:pPr>
      <w:r>
        <w:rPr>
          <w:rFonts w:hint="eastAsia" w:ascii="宋体" w:hAnsi="Arial" w:cs="宋体"/>
          <w:b/>
          <w:color w:val="000000"/>
          <w:kern w:val="0"/>
          <w:szCs w:val="21"/>
        </w:rPr>
        <w:t>十三、未来条件许可情况下的基金模式转换</w:t>
      </w:r>
    </w:p>
    <w:p>
      <w:pPr>
        <w:adjustRightInd w:val="0"/>
        <w:snapToGrid w:val="0"/>
        <w:spacing w:line="360" w:lineRule="auto"/>
        <w:ind w:firstLine="422" w:firstLineChars="201"/>
        <w:rPr>
          <w:rFonts w:ascii="宋体" w:hAnsi="Arial" w:cs="宋体"/>
          <w:color w:val="000000"/>
          <w:kern w:val="0"/>
          <w:szCs w:val="21"/>
        </w:rPr>
        <w:sectPr>
          <w:footerReference r:id="rId13" w:type="first"/>
          <w:footerReference r:id="rId12" w:type="default"/>
          <w:pgSz w:w="11906" w:h="16838"/>
          <w:pgMar w:top="1440" w:right="1800" w:bottom="1440" w:left="1800" w:header="851" w:footer="992" w:gutter="0"/>
          <w:cols w:space="425" w:num="1"/>
          <w:titlePg/>
          <w:docGrid w:type="lines" w:linePitch="312" w:charSpace="0"/>
        </w:sectPr>
      </w:pPr>
      <w:r>
        <w:rPr>
          <w:rFonts w:hint="eastAsia" w:ascii="宋体" w:hAnsi="Arial" w:cs="宋体"/>
          <w:color w:val="000000"/>
          <w:kern w:val="0"/>
          <w:szCs w:val="21"/>
        </w:rPr>
        <w:t>若将来本基金管理人推出投资同一标的指数的交易型开放式指数证券投资基金（ETF），则基金管理人有权在履行适当程序后使本基金转换为该基金的联接基金，并相应修改基金合同，届时无需召开基金份额持有人大会但须报中国证监会备案并提前公告。</w:t>
      </w:r>
    </w:p>
    <w:p>
      <w:pPr>
        <w:pStyle w:val="3"/>
        <w:numPr>
          <w:ilvl w:val="0"/>
          <w:numId w:val="25"/>
        </w:numPr>
        <w:snapToGrid w:val="0"/>
        <w:spacing w:before="0" w:after="0" w:line="360" w:lineRule="auto"/>
        <w:jc w:val="center"/>
      </w:pPr>
      <w:r>
        <w:t xml:space="preserve"> </w:t>
      </w:r>
      <w:bookmarkStart w:id="84" w:name="_Toc27487"/>
      <w:bookmarkStart w:id="85" w:name="_Toc8745"/>
      <w:r>
        <w:t>基金</w:t>
      </w:r>
      <w:r>
        <w:rPr>
          <w:rFonts w:hint="eastAsia"/>
        </w:rPr>
        <w:t>合同的生效</w:t>
      </w:r>
      <w:bookmarkEnd w:id="84"/>
      <w:bookmarkEnd w:id="85"/>
    </w:p>
    <w:p>
      <w:pPr>
        <w:autoSpaceDE w:val="0"/>
        <w:autoSpaceDN w:val="0"/>
        <w:adjustRightInd w:val="0"/>
        <w:snapToGrid w:val="0"/>
        <w:spacing w:line="360" w:lineRule="auto"/>
        <w:ind w:firstLine="422" w:firstLineChars="200"/>
        <w:rPr>
          <w:rFonts w:ascii="Arial" w:hAnsi="宋体" w:cs="Arial"/>
          <w:b/>
          <w:szCs w:val="21"/>
        </w:rPr>
      </w:pPr>
    </w:p>
    <w:p>
      <w:pPr>
        <w:autoSpaceDE w:val="0"/>
        <w:autoSpaceDN w:val="0"/>
        <w:adjustRightInd w:val="0"/>
        <w:snapToGrid w:val="0"/>
        <w:spacing w:line="360" w:lineRule="auto"/>
        <w:ind w:firstLine="422" w:firstLineChars="200"/>
        <w:rPr>
          <w:rFonts w:ascii="Arial" w:hAnsi="宋体" w:cs="Arial"/>
          <w:b/>
          <w:szCs w:val="21"/>
        </w:rPr>
      </w:pPr>
      <w:bookmarkStart w:id="86" w:name="_Hlk114653499"/>
      <w:r>
        <w:rPr>
          <w:rFonts w:ascii="Arial" w:hAnsi="宋体" w:cs="Arial"/>
          <w:b/>
          <w:szCs w:val="21"/>
        </w:rPr>
        <w:t>一、基金备案的条件</w:t>
      </w:r>
    </w:p>
    <w:p>
      <w:pPr>
        <w:autoSpaceDE w:val="0"/>
        <w:autoSpaceDN w:val="0"/>
        <w:adjustRightInd w:val="0"/>
        <w:snapToGrid w:val="0"/>
        <w:spacing w:line="360" w:lineRule="auto"/>
        <w:ind w:firstLine="420" w:firstLineChars="200"/>
        <w:rPr>
          <w:rFonts w:ascii="宋体" w:hAnsi="宋体" w:cs="宋体"/>
          <w:szCs w:val="21"/>
        </w:rPr>
      </w:pPr>
      <w:r>
        <w:rPr>
          <w:rFonts w:hint="eastAsia" w:ascii="宋体" w:hAnsi="宋体" w:cs="宋体"/>
          <w:szCs w:val="21"/>
        </w:rPr>
        <w:t>本基金自基金份额发售之日起3个月内，在发起资金提供方认购本基金的金额不少于1,000万元人民币（不含认购费用）且承诺持有期限自基金合同生效日起不少于3年的条件下，基金募集期届满或者基金管理人依据法律法规及招募说明书可以决定停止基金发售，并在10日内聘请法定验资机构验资，验资报告需对发起资金提供方及其持有份额进行专门说明。基金管理人自收到验资报告之日起10日内，向中国证监会办理基金备案手续。</w:t>
      </w:r>
    </w:p>
    <w:p>
      <w:pPr>
        <w:autoSpaceDE w:val="0"/>
        <w:autoSpaceDN w:val="0"/>
        <w:adjustRightInd w:val="0"/>
        <w:snapToGrid w:val="0"/>
        <w:spacing w:line="360" w:lineRule="auto"/>
        <w:ind w:firstLine="420" w:firstLineChars="200"/>
        <w:rPr>
          <w:rFonts w:ascii="宋体" w:hAnsi="宋体" w:cs="宋体"/>
          <w:szCs w:val="21"/>
        </w:rPr>
      </w:pPr>
      <w:r>
        <w:rPr>
          <w:rFonts w:hint="eastAsia" w:ascii="宋体" w:hAnsi="宋体" w:cs="宋体"/>
          <w:szCs w:val="21"/>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w:t>
      </w:r>
    </w:p>
    <w:p>
      <w:pPr>
        <w:autoSpaceDE w:val="0"/>
        <w:autoSpaceDN w:val="0"/>
        <w:adjustRightInd w:val="0"/>
        <w:snapToGrid w:val="0"/>
        <w:spacing w:line="360" w:lineRule="auto"/>
        <w:ind w:firstLine="420" w:firstLineChars="200"/>
        <w:rPr>
          <w:rFonts w:ascii="宋体" w:hAnsi="宋体" w:cs="宋体"/>
          <w:szCs w:val="21"/>
        </w:rPr>
      </w:pPr>
      <w:r>
        <w:rPr>
          <w:rFonts w:hint="eastAsia" w:ascii="宋体" w:hAnsi="宋体" w:cs="宋体"/>
          <w:szCs w:val="21"/>
        </w:rPr>
        <w:t>基金管理人应将基金募集期间募集的资金存入专门账户，在基金募集行为结束前，任何人不得动用。</w:t>
      </w:r>
    </w:p>
    <w:p>
      <w:pPr>
        <w:autoSpaceDE w:val="0"/>
        <w:autoSpaceDN w:val="0"/>
        <w:adjustRightInd w:val="0"/>
        <w:snapToGrid w:val="0"/>
        <w:spacing w:line="360" w:lineRule="auto"/>
        <w:ind w:firstLine="422" w:firstLineChars="200"/>
        <w:rPr>
          <w:rFonts w:ascii="Arial" w:hAnsi="宋体" w:cs="Arial"/>
          <w:b/>
          <w:szCs w:val="21"/>
        </w:rPr>
      </w:pPr>
      <w:r>
        <w:rPr>
          <w:rFonts w:hint="eastAsia" w:ascii="Arial" w:hAnsi="宋体" w:cs="Arial"/>
          <w:b/>
          <w:szCs w:val="21"/>
        </w:rPr>
        <w:t>二、基金合同不能生效时募集资金的处理方式</w:t>
      </w:r>
    </w:p>
    <w:p>
      <w:pPr>
        <w:autoSpaceDE w:val="0"/>
        <w:autoSpaceDN w:val="0"/>
        <w:adjustRightInd w:val="0"/>
        <w:snapToGrid w:val="0"/>
        <w:spacing w:line="360" w:lineRule="auto"/>
        <w:ind w:firstLine="420" w:firstLineChars="200"/>
        <w:rPr>
          <w:rFonts w:ascii="宋体" w:hAnsi="宋体" w:cs="宋体"/>
          <w:szCs w:val="21"/>
        </w:rPr>
      </w:pPr>
      <w:r>
        <w:rPr>
          <w:rFonts w:hint="eastAsia" w:ascii="宋体" w:hAnsi="宋体" w:cs="宋体"/>
          <w:szCs w:val="21"/>
        </w:rPr>
        <w:t>如果募集期限届满，未满足基金备案条件，基金管理人应当承担下列责任：</w:t>
      </w:r>
    </w:p>
    <w:p>
      <w:pPr>
        <w:autoSpaceDE w:val="0"/>
        <w:autoSpaceDN w:val="0"/>
        <w:adjustRightInd w:val="0"/>
        <w:snapToGrid w:val="0"/>
        <w:spacing w:line="360" w:lineRule="auto"/>
        <w:ind w:firstLine="420" w:firstLineChars="200"/>
        <w:rPr>
          <w:rFonts w:ascii="宋体" w:hAnsi="宋体" w:cs="宋体"/>
          <w:szCs w:val="21"/>
        </w:rPr>
      </w:pPr>
      <w:r>
        <w:rPr>
          <w:rFonts w:hint="eastAsia" w:ascii="宋体" w:hAnsi="宋体" w:cs="宋体"/>
          <w:szCs w:val="21"/>
        </w:rPr>
        <w:t>1、以其固有财产承担因募集行为而产生的债务和费用；</w:t>
      </w:r>
    </w:p>
    <w:p>
      <w:pPr>
        <w:autoSpaceDE w:val="0"/>
        <w:autoSpaceDN w:val="0"/>
        <w:adjustRightInd w:val="0"/>
        <w:snapToGrid w:val="0"/>
        <w:spacing w:line="360" w:lineRule="auto"/>
        <w:ind w:firstLine="420" w:firstLineChars="200"/>
        <w:rPr>
          <w:rFonts w:ascii="宋体" w:hAnsi="宋体" w:cs="宋体"/>
          <w:szCs w:val="21"/>
        </w:rPr>
      </w:pPr>
      <w:r>
        <w:rPr>
          <w:rFonts w:hint="eastAsia" w:ascii="宋体" w:hAnsi="宋体" w:cs="宋体"/>
          <w:szCs w:val="21"/>
        </w:rPr>
        <w:t>2、在基金募集期限届满后30日内返还投资者已交纳的款项，并加计银行同期活期存款利息；</w:t>
      </w:r>
    </w:p>
    <w:p>
      <w:pPr>
        <w:autoSpaceDE w:val="0"/>
        <w:autoSpaceDN w:val="0"/>
        <w:adjustRightInd w:val="0"/>
        <w:snapToGrid w:val="0"/>
        <w:spacing w:line="360" w:lineRule="auto"/>
        <w:ind w:firstLine="420" w:firstLineChars="200"/>
        <w:rPr>
          <w:rFonts w:ascii="宋体" w:hAnsi="宋体" w:cs="宋体"/>
          <w:szCs w:val="21"/>
        </w:rPr>
      </w:pPr>
      <w:r>
        <w:rPr>
          <w:rFonts w:hint="eastAsia" w:ascii="宋体" w:hAnsi="宋体" w:cs="宋体"/>
          <w:szCs w:val="21"/>
        </w:rPr>
        <w:t>3、如基金募集失败，基金管理人、基金托管人及销售机构不得请求报酬。基金管理人、基金托管人和销售机构为基金募集支付之一切费用应由各方各自承担。</w:t>
      </w:r>
    </w:p>
    <w:p>
      <w:pPr>
        <w:autoSpaceDE w:val="0"/>
        <w:autoSpaceDN w:val="0"/>
        <w:adjustRightInd w:val="0"/>
        <w:snapToGrid w:val="0"/>
        <w:spacing w:line="360" w:lineRule="auto"/>
        <w:ind w:firstLine="422" w:firstLineChars="200"/>
        <w:rPr>
          <w:rFonts w:ascii="Arial" w:hAnsi="宋体" w:cs="Arial"/>
          <w:b/>
          <w:szCs w:val="21"/>
        </w:rPr>
      </w:pPr>
      <w:r>
        <w:rPr>
          <w:rFonts w:hint="eastAsia" w:ascii="Arial" w:hAnsi="宋体" w:cs="Arial"/>
          <w:b/>
          <w:szCs w:val="21"/>
        </w:rPr>
        <w:t>三、基金存续期内的基金份额持有人数量和资产规模</w:t>
      </w:r>
    </w:p>
    <w:p>
      <w:pPr>
        <w:spacing w:line="360" w:lineRule="auto"/>
        <w:ind w:firstLine="420"/>
        <w:rPr>
          <w:rFonts w:ascii="宋体"/>
          <w:szCs w:val="21"/>
        </w:rPr>
      </w:pPr>
      <w:r>
        <w:rPr>
          <w:rFonts w:hint="eastAsia" w:ascii="宋体"/>
          <w:szCs w:val="21"/>
        </w:rPr>
        <w:t>本基金的基金合同生效之日起三年后的对应日，若基金资产净值低于两亿元的，本基金将根据基金合同的约定进行基金财产清算并终止，无需召开基金份额持有人大会审议，且不得通过召开基金份额持有人大会的方式延续基金合同。若届时的法律法规或中国证监会规定发生变化，上述终止规定被取消、更改或补充时，则本基金可以参照届时有效的法律法规或中国证监会规定执行。</w:t>
      </w:r>
    </w:p>
    <w:p>
      <w:pPr>
        <w:spacing w:line="360" w:lineRule="auto"/>
        <w:ind w:firstLine="420"/>
        <w:rPr>
          <w:rFonts w:ascii="宋体"/>
          <w:szCs w:val="21"/>
        </w:rPr>
      </w:pPr>
      <w:r>
        <w:rPr>
          <w:rFonts w:hint="eastAsia" w:ascii="宋体"/>
          <w:szCs w:val="21"/>
        </w:rPr>
        <w:t>本基金在基金合同生效三年后继续存续的，基金存续期内，连续20个工作日出现基金份额持有人数量不满200人或者基金资产净值低于5000万元情形的，基金管理人应当在定期报告中予以披露；连续50个工作日出现前述情形的，本基金将根据基金合同的约定进行基金财产清算并终止，且无需召开基金份额持有人大会，同时基金管理人应履行相关的监管报告和信息披露程序。</w:t>
      </w:r>
    </w:p>
    <w:p>
      <w:pPr>
        <w:spacing w:line="360" w:lineRule="auto"/>
        <w:ind w:firstLine="420"/>
        <w:rPr>
          <w:rFonts w:ascii="宋体"/>
          <w:szCs w:val="21"/>
        </w:rPr>
        <w:sectPr>
          <w:footerReference r:id="rId14" w:type="first"/>
          <w:pgSz w:w="11906" w:h="16838"/>
          <w:pgMar w:top="1440" w:right="1800" w:bottom="1440" w:left="1800" w:header="851" w:footer="992" w:gutter="0"/>
          <w:cols w:space="425" w:num="1"/>
          <w:titlePg/>
          <w:docGrid w:type="lines" w:linePitch="312" w:charSpace="0"/>
        </w:sectPr>
      </w:pPr>
      <w:r>
        <w:rPr>
          <w:rFonts w:hint="eastAsia" w:ascii="宋体"/>
          <w:szCs w:val="21"/>
        </w:rPr>
        <w:t>法律法规或中国证监会另有规定时，从其规定。</w:t>
      </w:r>
      <w:bookmarkEnd w:id="86"/>
    </w:p>
    <w:p>
      <w:pPr>
        <w:pStyle w:val="3"/>
        <w:numPr>
          <w:ilvl w:val="0"/>
          <w:numId w:val="25"/>
        </w:numPr>
        <w:snapToGrid w:val="0"/>
        <w:spacing w:before="0" w:after="0" w:line="360" w:lineRule="auto"/>
        <w:jc w:val="center"/>
      </w:pPr>
      <w:bookmarkStart w:id="87" w:name="_Toc332013118"/>
      <w:bookmarkStart w:id="88" w:name="_Toc11434"/>
      <w:bookmarkStart w:id="89" w:name="_Toc336606235"/>
      <w:bookmarkStart w:id="90" w:name="_Toc375295981"/>
      <w:bookmarkStart w:id="91" w:name="_Toc335899841"/>
      <w:bookmarkStart w:id="92" w:name="_Toc327902631"/>
      <w:bookmarkStart w:id="93" w:name="_Toc411872030"/>
      <w:bookmarkStart w:id="94" w:name="_Toc16941"/>
      <w:bookmarkStart w:id="95" w:name="_Toc369510016"/>
      <w:r>
        <w:rPr>
          <w:rFonts w:hint="eastAsia"/>
        </w:rPr>
        <w:t>基金份额的申购赎回</w:t>
      </w:r>
      <w:bookmarkEnd w:id="87"/>
      <w:bookmarkEnd w:id="88"/>
      <w:bookmarkEnd w:id="89"/>
      <w:bookmarkEnd w:id="90"/>
      <w:bookmarkEnd w:id="91"/>
      <w:bookmarkEnd w:id="92"/>
      <w:bookmarkEnd w:id="93"/>
      <w:bookmarkEnd w:id="94"/>
      <w:bookmarkEnd w:id="95"/>
    </w:p>
    <w:p>
      <w:pPr>
        <w:pStyle w:val="163"/>
        <w:ind w:firstLine="422"/>
        <w:rPr>
          <w:b/>
        </w:rPr>
      </w:pPr>
    </w:p>
    <w:p>
      <w:pPr>
        <w:pStyle w:val="163"/>
        <w:ind w:firstLine="422"/>
        <w:rPr>
          <w:b/>
        </w:rPr>
      </w:pPr>
      <w:bookmarkStart w:id="96" w:name="_Hlk114653532"/>
      <w:r>
        <w:rPr>
          <w:b/>
        </w:rPr>
        <w:t>一、申购和赎回场所</w:t>
      </w:r>
    </w:p>
    <w:p>
      <w:pPr>
        <w:adjustRightInd w:val="0"/>
        <w:snapToGrid w:val="0"/>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本基金的申购与赎回将通过销售机构进行。具体的销售机构将由基金管理人在招募说明书或基金管理人网站公示。基金管理人可根据情况变更或增减销售机构。基金投资者应当在销售机构办理基金销售业务的营业场所或按销售机构提供的其他方式办理基金份额的申购与赎回。</w:t>
      </w:r>
    </w:p>
    <w:p>
      <w:pPr>
        <w:pStyle w:val="163"/>
        <w:ind w:firstLine="422"/>
        <w:rPr>
          <w:b/>
        </w:rPr>
      </w:pPr>
      <w:r>
        <w:rPr>
          <w:b/>
        </w:rPr>
        <w:t>二、申购和赎回的开放日及时间</w:t>
      </w:r>
    </w:p>
    <w:p>
      <w:pPr>
        <w:pStyle w:val="163"/>
        <w:rPr>
          <w:rFonts w:asciiTheme="minorEastAsia" w:hAnsiTheme="minorEastAsia" w:eastAsiaTheme="minorEastAsia"/>
        </w:rPr>
      </w:pPr>
      <w:r>
        <w:rPr>
          <w:rFonts w:hint="eastAsia" w:asciiTheme="minorEastAsia" w:hAnsiTheme="minorEastAsia" w:eastAsiaTheme="minorEastAsia"/>
        </w:rPr>
        <w:t>1、开放日及开放时间</w:t>
      </w:r>
    </w:p>
    <w:p>
      <w:pPr>
        <w:pStyle w:val="163"/>
        <w:rPr>
          <w:rFonts w:asciiTheme="minorEastAsia" w:hAnsiTheme="minorEastAsia" w:eastAsiaTheme="minorEastAsia"/>
        </w:rPr>
      </w:pPr>
      <w:r>
        <w:rPr>
          <w:rFonts w:hint="eastAsia" w:asciiTheme="minorEastAsia" w:hAnsiTheme="minorEastAsia" w:eastAsiaTheme="minorEastAsia"/>
        </w:rPr>
        <w:t>投资人在开放日办理基金份额的申购和赎回，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w:t>
      </w:r>
    </w:p>
    <w:p>
      <w:pPr>
        <w:pStyle w:val="163"/>
        <w:rPr>
          <w:rFonts w:asciiTheme="minorEastAsia" w:hAnsiTheme="minorEastAsia" w:eastAsiaTheme="minorEastAsia"/>
        </w:rPr>
      </w:pPr>
      <w:r>
        <w:rPr>
          <w:rFonts w:hint="eastAsia" w:asciiTheme="minorEastAsia" w:hAnsiTheme="minorEastAsia" w:eastAsiaTheme="minorEastAsia"/>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pPr>
        <w:pStyle w:val="163"/>
        <w:rPr>
          <w:rFonts w:asciiTheme="minorEastAsia" w:hAnsiTheme="minorEastAsia" w:eastAsiaTheme="minorEastAsia"/>
        </w:rPr>
      </w:pPr>
      <w:r>
        <w:rPr>
          <w:rFonts w:hint="eastAsia" w:asciiTheme="minorEastAsia" w:hAnsiTheme="minorEastAsia" w:eastAsiaTheme="minorEastAsia"/>
        </w:rPr>
        <w:t>2、申购、赎回开始日及业务办理时间</w:t>
      </w:r>
    </w:p>
    <w:p>
      <w:pPr>
        <w:pStyle w:val="163"/>
        <w:rPr>
          <w:rFonts w:asciiTheme="minorEastAsia" w:hAnsiTheme="minorEastAsia" w:eastAsiaTheme="minorEastAsia"/>
        </w:rPr>
      </w:pPr>
      <w:r>
        <w:rPr>
          <w:rFonts w:hint="eastAsia" w:asciiTheme="minorEastAsia" w:hAnsiTheme="minorEastAsia" w:eastAsiaTheme="minorEastAsia"/>
        </w:rPr>
        <w:t>基金管理人可根据实际情况依法决定本基金开始办理申购的具体日期，具体业务办理时间在申购开始公告中规定。</w:t>
      </w:r>
    </w:p>
    <w:p>
      <w:pPr>
        <w:pStyle w:val="163"/>
        <w:rPr>
          <w:rFonts w:asciiTheme="minorEastAsia" w:hAnsiTheme="minorEastAsia" w:eastAsiaTheme="minorEastAsia"/>
        </w:rPr>
      </w:pPr>
      <w:r>
        <w:rPr>
          <w:rFonts w:hint="eastAsia" w:asciiTheme="minorEastAsia" w:hAnsiTheme="minorEastAsia" w:eastAsiaTheme="minorEastAsia"/>
        </w:rPr>
        <w:t>基金管理人自基金合同生效之日起不超过3个月开始办理赎回，具体业务办理时间在赎回开始公告中规定。</w:t>
      </w:r>
    </w:p>
    <w:p>
      <w:pPr>
        <w:pStyle w:val="163"/>
        <w:rPr>
          <w:rFonts w:asciiTheme="minorEastAsia" w:hAnsiTheme="minorEastAsia" w:eastAsiaTheme="minorEastAsia"/>
        </w:rPr>
      </w:pPr>
      <w:r>
        <w:rPr>
          <w:rFonts w:hint="eastAsia" w:asciiTheme="minorEastAsia" w:hAnsiTheme="minorEastAsia" w:eastAsiaTheme="minorEastAsia"/>
        </w:rPr>
        <w:t>在确定申购开始与赎回开始时间后，基金管理人应在申购、赎回开放日前依照《信息披露办法》的有关规定在规定媒介上公告申购与赎回的开始时间。</w:t>
      </w:r>
    </w:p>
    <w:p>
      <w:pPr>
        <w:pStyle w:val="163"/>
        <w:rPr>
          <w:rFonts w:asciiTheme="minorEastAsia" w:hAnsiTheme="minorEastAsia" w:eastAsiaTheme="minorEastAsia"/>
        </w:rPr>
      </w:pPr>
      <w:r>
        <w:rPr>
          <w:rFonts w:hint="eastAsia" w:asciiTheme="minorEastAsia" w:hAnsiTheme="minorEastAsia" w:eastAsiaTheme="minorEastAsia"/>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该类别基金份额申购、赎回的价格。</w:t>
      </w:r>
    </w:p>
    <w:p>
      <w:pPr>
        <w:pStyle w:val="163"/>
        <w:ind w:firstLine="422"/>
        <w:rPr>
          <w:b/>
        </w:rPr>
      </w:pPr>
      <w:r>
        <w:rPr>
          <w:b/>
        </w:rPr>
        <w:t>三、申购与赎回的原则</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1、“未知价”原则，即申购、赎回价格以申请当日收市后计算的该类别基金份额净值为基准进行计算；</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2、“金额申购、份额赎回”原则，即申购以金额申请，赎回以份额申请；</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3、当日的申购与赎回申请可以在基金管理人规定的时间以内撤销；</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4、赎回遵循“先进先出”原则，即按照投资人认购、申购的先后次序进行顺序赎回；</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5、办理申购、赎回业务时，应当遵循基金份额持有人利益优先原则，确保投资者的合法权益不受损害并得到公平对待。</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基金管理人可在不违反法律法规的情况下，对上述原则进行调整。基金管理人必须在新规则开始实施前依照《信息披露办法》的有关规定在规定媒介上公告。</w:t>
      </w:r>
    </w:p>
    <w:p>
      <w:pPr>
        <w:pStyle w:val="163"/>
        <w:ind w:firstLine="422"/>
        <w:rPr>
          <w:b/>
        </w:rPr>
      </w:pPr>
      <w:r>
        <w:rPr>
          <w:b/>
        </w:rPr>
        <w:t>四、申购与赎回的程序</w:t>
      </w:r>
    </w:p>
    <w:p>
      <w:pPr>
        <w:pStyle w:val="163"/>
      </w:pPr>
      <w:r>
        <w:rPr>
          <w:rFonts w:hint="eastAsia"/>
        </w:rPr>
        <w:t>1、申购和赎回的申请方式</w:t>
      </w:r>
    </w:p>
    <w:p>
      <w:pPr>
        <w:pStyle w:val="163"/>
      </w:pPr>
      <w:r>
        <w:rPr>
          <w:rFonts w:hint="eastAsia"/>
        </w:rPr>
        <w:t>投资人必须根据销售机构规定的程序，在开放日的具体业务办理时间内提出申购或赎回的申请。</w:t>
      </w:r>
    </w:p>
    <w:p>
      <w:pPr>
        <w:pStyle w:val="163"/>
      </w:pPr>
      <w:r>
        <w:rPr>
          <w:rFonts w:hint="eastAsia"/>
        </w:rPr>
        <w:t>2、申购和赎回的款项支付</w:t>
      </w:r>
    </w:p>
    <w:p>
      <w:pPr>
        <w:pStyle w:val="163"/>
      </w:pPr>
      <w:r>
        <w:rPr>
          <w:rFonts w:hint="eastAsia"/>
        </w:rPr>
        <w:t>投资人申购基金份额时，必须全额交付申购款项，投资人全额交付申购款项，申购成立；基金份额登记机构确认基金份额时，申购生效。</w:t>
      </w:r>
    </w:p>
    <w:p>
      <w:pPr>
        <w:pStyle w:val="163"/>
      </w:pPr>
      <w:r>
        <w:rPr>
          <w:rFonts w:hint="eastAsia"/>
        </w:rPr>
        <w:t>基金份额持有人递交赎回申请，赎回成立；基金份额登记机构确认赎回时，赎回生效。</w:t>
      </w:r>
    </w:p>
    <w:p>
      <w:pPr>
        <w:pStyle w:val="163"/>
      </w:pPr>
      <w:r>
        <w:rPr>
          <w:rFonts w:hint="eastAsia"/>
        </w:rPr>
        <w:t>投资者的赎回申请生效后，基金管理人将在T＋7日（包括该日）内支付赎回款项。在发生巨额赎回或基金合同载明的其他暂停赎回或延缓支付赎回款项的情形时，款项的支付办法参照基金合同有关条款处理。</w:t>
      </w:r>
    </w:p>
    <w:p>
      <w:pPr>
        <w:pStyle w:val="163"/>
      </w:pPr>
      <w:r>
        <w:rPr>
          <w:rFonts w:hint="eastAsia"/>
        </w:rPr>
        <w:t>遇交易所或交易市场数据传输延迟、通讯系统故障、银行数据交换系统故障、港股通交易系统故障、港股通资金交收规则限制或其他非基金管理人及基金托管人所能控制的因素影响业务处理流程，则赎回款项划付时间相应顺延。</w:t>
      </w:r>
    </w:p>
    <w:p>
      <w:pPr>
        <w:pStyle w:val="163"/>
      </w:pPr>
      <w:r>
        <w:rPr>
          <w:rFonts w:hint="eastAsia"/>
        </w:rPr>
        <w:t>3、申购和赎回申请的确认</w:t>
      </w:r>
    </w:p>
    <w:p>
      <w:pPr>
        <w:pStyle w:val="163"/>
      </w:pPr>
      <w:r>
        <w:rPr>
          <w:rFonts w:hint="eastAsia"/>
        </w:rPr>
        <w:t>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w:t>
      </w:r>
    </w:p>
    <w:p>
      <w:pPr>
        <w:pStyle w:val="163"/>
      </w:pPr>
      <w:r>
        <w:rPr>
          <w:rFonts w:hint="eastAsia"/>
        </w:rPr>
        <w:t>基金销售机构受理申请并不代表该申请一定成功，而仅代表销售机构确实接收到该申请。申购和赎回申请的确认以基金登记机构的确认结果为准。对于申购、赎回申请的确认情况，投资者应及时查询。</w:t>
      </w:r>
    </w:p>
    <w:p>
      <w:pPr>
        <w:pStyle w:val="163"/>
      </w:pPr>
      <w:r>
        <w:rPr>
          <w:rFonts w:hint="eastAsia"/>
        </w:rPr>
        <w:t>基金管理人可以在不违反法律法规和基金合同的范围内，对上述业务办理时间进行调整，并在调整实施前依照《信息披露办法》的有关规定在规定媒介上公告。</w:t>
      </w:r>
    </w:p>
    <w:bookmarkEnd w:id="96"/>
    <w:p>
      <w:pPr>
        <w:pStyle w:val="163"/>
        <w:ind w:firstLine="422"/>
        <w:rPr>
          <w:b/>
        </w:rPr>
      </w:pPr>
      <w:r>
        <w:rPr>
          <w:b/>
        </w:rPr>
        <w:t>五、申购和赎回的数量限制</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本基金A类基金份额或C类基金份额首次申购和单笔追加申购的最低金额均为1.00元（含申购费），各销售机构在符合上述规定的前提下，可根据情况调高首次申购和单笔追加申购的最低金额，具体以销售机构公布的为准，投资人需遵循销售机构的相关规定。</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2、每个交易账户最低持有A类基金份额或C类基金份额余额为1.00份，若某笔赎回导致单个交易账户的A类基金份额或C类基金份额余额少于1.00份时，该类别基金份额余额部分必须一同赎回。</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投资者通过销售机构赎回基金份额时，本基金单笔赎回申请不得低于1.00份，若投资者单个交易账户持有的基金份额余额不足1.00份，将不受此限制，但投资者在提交赎回申请时须全部赎回。各销售机构在符合上述规定的前提下，可根据自己的情况调整单笔赎回申请限制，具体以销售机构公布的为准，投资者需遵循销售机构的相关规定。</w:t>
      </w:r>
    </w:p>
    <w:p>
      <w:pPr>
        <w:pStyle w:val="163"/>
      </w:pPr>
      <w:r>
        <w:rPr>
          <w:rFonts w:hint="eastAsia"/>
        </w:rPr>
        <w:t>4、本基金不对单个投资人累计持有的基金份额上限进行限制，但需要符合法律法规、监管机构的规定及基金合同的约定。基金管理人可以规定单个投资者累计持有的基金份额数量限制，具体规定见更新的招募说明书或相关公告</w:t>
      </w:r>
      <w:r>
        <w:t>。</w:t>
      </w:r>
    </w:p>
    <w:p>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5</w:t>
      </w:r>
      <w:r>
        <w:rPr>
          <w:rFonts w:hint="eastAsia" w:asciiTheme="minorEastAsia" w:hAnsiTheme="minorEastAsia" w:eastAsiaTheme="minorEastAsia"/>
        </w:rPr>
        <w:t>、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更新的招募说明书或相关公告。</w:t>
      </w:r>
    </w:p>
    <w:p>
      <w:pPr>
        <w:adjustRightInd w:val="0"/>
        <w:snapToGrid w:val="0"/>
        <w:spacing w:line="360" w:lineRule="auto"/>
        <w:ind w:firstLine="420" w:firstLineChars="200"/>
      </w:pPr>
      <w:r>
        <w:rPr>
          <w:rFonts w:asciiTheme="minorEastAsia" w:hAnsiTheme="minorEastAsia" w:eastAsiaTheme="minorEastAsia"/>
        </w:rPr>
        <w:t>6</w:t>
      </w:r>
      <w:r>
        <w:rPr>
          <w:rFonts w:hint="eastAsia" w:asciiTheme="minorEastAsia" w:hAnsiTheme="minorEastAsia" w:eastAsiaTheme="minorEastAsia"/>
        </w:rPr>
        <w:t>、基金管理人可在不违反法律法规的情况下，调整上述规定申购金额和赎回份额等数量限制。基金管理人必须在调整实施前依照《信息披露办法》的有关规定在规定媒介上公告。</w:t>
      </w:r>
    </w:p>
    <w:p>
      <w:pPr>
        <w:pStyle w:val="163"/>
        <w:ind w:firstLine="422"/>
        <w:rPr>
          <w:rFonts w:asciiTheme="minorEastAsia" w:hAnsiTheme="minorEastAsia" w:eastAsiaTheme="minorEastAsia"/>
          <w:b/>
        </w:rPr>
      </w:pPr>
      <w:r>
        <w:rPr>
          <w:rFonts w:asciiTheme="minorEastAsia" w:hAnsiTheme="minorEastAsia" w:eastAsiaTheme="minorEastAsia"/>
          <w:b/>
        </w:rPr>
        <w:t>六、</w:t>
      </w:r>
      <w:r>
        <w:rPr>
          <w:rFonts w:hint="eastAsia" w:asciiTheme="minorEastAsia" w:hAnsiTheme="minorEastAsia" w:eastAsiaTheme="minorEastAsia"/>
          <w:b/>
        </w:rPr>
        <w:t>申购费用和赎回费用</w:t>
      </w:r>
    </w:p>
    <w:p>
      <w:pPr>
        <w:pStyle w:val="163"/>
        <w:ind w:firstLine="452"/>
        <w:rPr>
          <w:rFonts w:asciiTheme="minorEastAsia" w:hAnsiTheme="minorEastAsia" w:eastAsiaTheme="minorEastAsia"/>
        </w:rPr>
      </w:pPr>
      <w:r>
        <w:rPr>
          <w:rFonts w:hint="eastAsia" w:asciiTheme="minorEastAsia" w:hAnsiTheme="minorEastAsia" w:eastAsiaTheme="minorEastAsia"/>
          <w:spacing w:val="8"/>
        </w:rPr>
        <w:t>1、</w:t>
      </w:r>
      <w:r>
        <w:rPr>
          <w:rFonts w:hint="eastAsia" w:asciiTheme="minorEastAsia" w:hAnsiTheme="minorEastAsia" w:eastAsiaTheme="minorEastAsia"/>
        </w:rPr>
        <w:t>本基金</w:t>
      </w:r>
      <w:r>
        <w:rPr>
          <w:rFonts w:asciiTheme="minorEastAsia" w:hAnsiTheme="minorEastAsia" w:eastAsiaTheme="minorEastAsia"/>
        </w:rPr>
        <w:t>A</w:t>
      </w:r>
      <w:r>
        <w:rPr>
          <w:rFonts w:hint="eastAsia" w:asciiTheme="minorEastAsia" w:hAnsiTheme="minorEastAsia" w:eastAsiaTheme="minorEastAsia"/>
        </w:rPr>
        <w:t>类基金份额在申购时收取基金申购费用；</w:t>
      </w:r>
      <w:r>
        <w:rPr>
          <w:rFonts w:asciiTheme="minorEastAsia" w:hAnsiTheme="minorEastAsia" w:eastAsiaTheme="minorEastAsia"/>
        </w:rPr>
        <w:t>C</w:t>
      </w:r>
      <w:r>
        <w:rPr>
          <w:rFonts w:hint="eastAsia" w:asciiTheme="minorEastAsia" w:hAnsiTheme="minorEastAsia" w:eastAsiaTheme="minorEastAsia"/>
        </w:rPr>
        <w:t>类基金份额不收取申购费用。本基金申购费用用于本基金的市场推广、销售、登记等募集期间发生的各项费用，不列入基金财产。</w:t>
      </w:r>
      <w:r>
        <w:rPr>
          <w:rFonts w:asciiTheme="minorEastAsia" w:hAnsiTheme="minorEastAsia" w:eastAsiaTheme="minorEastAsia"/>
        </w:rPr>
        <w:t>本基金</w:t>
      </w:r>
      <w:r>
        <w:rPr>
          <w:rFonts w:hint="eastAsia" w:asciiTheme="minorEastAsia" w:hAnsiTheme="minorEastAsia" w:eastAsiaTheme="minorEastAsia"/>
        </w:rPr>
        <w:t>各类基金份额的申购费率</w:t>
      </w:r>
      <w:r>
        <w:rPr>
          <w:rFonts w:asciiTheme="minorEastAsia" w:hAnsiTheme="minorEastAsia" w:eastAsiaTheme="minorEastAsia"/>
        </w:rPr>
        <w:t>如下表所</w:t>
      </w:r>
      <w:r>
        <w:rPr>
          <w:rFonts w:hint="eastAsia" w:asciiTheme="minorEastAsia" w:hAnsiTheme="minorEastAsia" w:eastAsiaTheme="minorEastAsia"/>
        </w:rPr>
        <w:t>示：</w:t>
      </w:r>
    </w:p>
    <w:tbl>
      <w:tblPr>
        <w:tblStyle w:val="43"/>
        <w:tblW w:w="6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1"/>
        <w:gridCol w:w="2085"/>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551" w:type="dxa"/>
            <w:vAlign w:val="center"/>
          </w:tcPr>
          <w:p>
            <w:pPr>
              <w:jc w:val="center"/>
              <w:rPr>
                <w:rFonts w:ascii="宋体" w:hAnsi="宋体" w:cs="Arial"/>
                <w:color w:val="000000"/>
                <w:szCs w:val="21"/>
              </w:rPr>
            </w:pPr>
            <w:r>
              <w:rPr>
                <w:rFonts w:ascii="宋体" w:hAnsi="宋体" w:cs="Arial"/>
                <w:color w:val="000000"/>
                <w:szCs w:val="21"/>
              </w:rPr>
              <w:t>申购金额（M）</w:t>
            </w:r>
          </w:p>
        </w:tc>
        <w:tc>
          <w:tcPr>
            <w:tcW w:w="2085" w:type="dxa"/>
            <w:vAlign w:val="center"/>
          </w:tcPr>
          <w:p>
            <w:pPr>
              <w:jc w:val="center"/>
              <w:rPr>
                <w:rFonts w:ascii="宋体" w:hAnsi="宋体" w:cs="Arial"/>
                <w:color w:val="000000"/>
                <w:szCs w:val="21"/>
              </w:rPr>
            </w:pPr>
            <w:r>
              <w:rPr>
                <w:rFonts w:hint="eastAsia" w:ascii="宋体" w:hAnsi="宋体" w:cs="Arial"/>
                <w:color w:val="000000"/>
                <w:szCs w:val="21"/>
              </w:rPr>
              <w:t>A类份额申购</w:t>
            </w:r>
            <w:r>
              <w:rPr>
                <w:rFonts w:ascii="宋体" w:hAnsi="宋体" w:cs="Arial"/>
                <w:color w:val="000000"/>
                <w:szCs w:val="21"/>
              </w:rPr>
              <w:t>费率</w:t>
            </w:r>
          </w:p>
        </w:tc>
        <w:tc>
          <w:tcPr>
            <w:tcW w:w="2126" w:type="dxa"/>
          </w:tcPr>
          <w:p>
            <w:pPr>
              <w:jc w:val="center"/>
              <w:rPr>
                <w:rFonts w:ascii="宋体" w:hAnsi="宋体" w:cs="Arial"/>
                <w:color w:val="000000"/>
                <w:szCs w:val="21"/>
              </w:rPr>
            </w:pPr>
            <w:r>
              <w:rPr>
                <w:rFonts w:hint="eastAsia" w:ascii="宋体" w:hAnsi="宋体" w:cs="Arial"/>
                <w:color w:val="000000"/>
                <w:szCs w:val="21"/>
              </w:rPr>
              <w:t>C类份额申购费率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551" w:type="dxa"/>
            <w:vAlign w:val="center"/>
          </w:tcPr>
          <w:p>
            <w:pPr>
              <w:jc w:val="center"/>
              <w:rPr>
                <w:rFonts w:ascii="宋体" w:hAnsi="宋体" w:cs="Arial"/>
                <w:color w:val="000000"/>
                <w:szCs w:val="21"/>
              </w:rPr>
            </w:pPr>
            <w:r>
              <w:rPr>
                <w:rFonts w:ascii="宋体" w:hAnsi="宋体" w:cs="Arial"/>
                <w:color w:val="000000"/>
                <w:szCs w:val="21"/>
              </w:rPr>
              <w:t>M</w:t>
            </w:r>
            <w:r>
              <w:rPr>
                <w:rFonts w:hint="eastAsia" w:ascii="宋体" w:hAnsi="宋体" w:cs="Arial"/>
                <w:color w:val="000000"/>
                <w:szCs w:val="21"/>
              </w:rPr>
              <w:t>＜10</w:t>
            </w:r>
            <w:r>
              <w:rPr>
                <w:rFonts w:ascii="宋体" w:hAnsi="宋体" w:cs="Arial"/>
                <w:color w:val="000000"/>
                <w:szCs w:val="21"/>
              </w:rPr>
              <w:t>0万元</w:t>
            </w:r>
          </w:p>
        </w:tc>
        <w:tc>
          <w:tcPr>
            <w:tcW w:w="2085" w:type="dxa"/>
            <w:vAlign w:val="center"/>
          </w:tcPr>
          <w:p>
            <w:pPr>
              <w:jc w:val="center"/>
              <w:rPr>
                <w:rFonts w:ascii="宋体" w:hAnsi="宋体" w:cs="Arial"/>
                <w:color w:val="000000"/>
                <w:szCs w:val="21"/>
              </w:rPr>
            </w:pPr>
            <w:r>
              <w:rPr>
                <w:rFonts w:hint="eastAsia" w:ascii="宋体" w:hAnsi="宋体" w:cs="Arial"/>
                <w:color w:val="000000"/>
                <w:szCs w:val="21"/>
              </w:rPr>
              <w:t>1</w:t>
            </w:r>
            <w:r>
              <w:rPr>
                <w:rFonts w:ascii="宋体" w:hAnsi="宋体" w:cs="Arial"/>
                <w:color w:val="000000"/>
                <w:szCs w:val="21"/>
              </w:rPr>
              <w:t>.</w:t>
            </w:r>
            <w:r>
              <w:rPr>
                <w:rFonts w:hint="eastAsia" w:ascii="宋体" w:hAnsi="宋体" w:cs="Arial"/>
                <w:color w:val="000000"/>
                <w:szCs w:val="21"/>
              </w:rPr>
              <w:t>00</w:t>
            </w:r>
            <w:r>
              <w:rPr>
                <w:rFonts w:ascii="宋体" w:hAnsi="宋体" w:cs="Arial"/>
                <w:color w:val="000000"/>
                <w:szCs w:val="21"/>
              </w:rPr>
              <w:t>%</w:t>
            </w:r>
          </w:p>
        </w:tc>
        <w:tc>
          <w:tcPr>
            <w:tcW w:w="2126" w:type="dxa"/>
            <w:vMerge w:val="restart"/>
            <w:vAlign w:val="center"/>
          </w:tcPr>
          <w:p>
            <w:pPr>
              <w:jc w:val="center"/>
              <w:rPr>
                <w:rFonts w:ascii="宋体" w:hAnsi="宋体" w:cs="Arial"/>
                <w:color w:val="000000"/>
                <w:szCs w:val="21"/>
              </w:rPr>
            </w:pPr>
            <w:r>
              <w:rPr>
                <w:rFonts w:hint="eastAsia" w:ascii="宋体" w:hAnsi="宋体" w:cs="Arial"/>
                <w:color w:val="000000"/>
                <w:szCs w:val="21"/>
              </w:rPr>
              <w:t>0</w:t>
            </w:r>
            <w:r>
              <w:rPr>
                <w:rFonts w:ascii="宋体" w:hAnsi="宋体" w:cs="Arial"/>
                <w:color w:val="000000"/>
                <w:szCs w:val="21"/>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551" w:type="dxa"/>
            <w:vAlign w:val="center"/>
          </w:tcPr>
          <w:p>
            <w:pPr>
              <w:jc w:val="center"/>
              <w:rPr>
                <w:rFonts w:ascii="宋体" w:hAnsi="宋体" w:cs="Arial"/>
                <w:color w:val="000000"/>
                <w:szCs w:val="21"/>
              </w:rPr>
            </w:pPr>
            <w:r>
              <w:rPr>
                <w:rFonts w:hint="eastAsia" w:ascii="宋体" w:hAnsi="宋体" w:cs="Arial"/>
                <w:color w:val="000000"/>
                <w:szCs w:val="21"/>
              </w:rPr>
              <w:t>10</w:t>
            </w:r>
            <w:r>
              <w:rPr>
                <w:rFonts w:ascii="宋体" w:hAnsi="宋体" w:cs="Arial"/>
                <w:color w:val="000000"/>
                <w:szCs w:val="21"/>
              </w:rPr>
              <w:t>0万元</w:t>
            </w:r>
            <w:r>
              <w:rPr>
                <w:rFonts w:hint="eastAsia" w:ascii="宋体" w:hAnsi="宋体" w:cs="Arial"/>
                <w:color w:val="000000"/>
                <w:szCs w:val="21"/>
              </w:rPr>
              <w:t>≤</w:t>
            </w:r>
            <w:r>
              <w:rPr>
                <w:rFonts w:ascii="宋体" w:hAnsi="宋体" w:cs="Arial"/>
                <w:color w:val="000000"/>
                <w:szCs w:val="21"/>
              </w:rPr>
              <w:t>M</w:t>
            </w:r>
            <w:r>
              <w:rPr>
                <w:rFonts w:hint="eastAsia" w:ascii="宋体" w:hAnsi="宋体" w:cs="Arial"/>
                <w:color w:val="000000"/>
                <w:szCs w:val="21"/>
              </w:rPr>
              <w:t>＜3</w:t>
            </w:r>
            <w:r>
              <w:rPr>
                <w:rFonts w:ascii="宋体" w:hAnsi="宋体" w:cs="Arial"/>
                <w:color w:val="000000"/>
                <w:szCs w:val="21"/>
              </w:rPr>
              <w:t>00万元</w:t>
            </w:r>
          </w:p>
        </w:tc>
        <w:tc>
          <w:tcPr>
            <w:tcW w:w="2085" w:type="dxa"/>
          </w:tcPr>
          <w:p>
            <w:pPr>
              <w:jc w:val="center"/>
              <w:rPr>
                <w:rFonts w:ascii="宋体" w:hAnsi="宋体" w:cs="Arial"/>
                <w:color w:val="000000"/>
                <w:szCs w:val="21"/>
              </w:rPr>
            </w:pPr>
            <w:r>
              <w:rPr>
                <w:rFonts w:ascii="宋体" w:hAnsi="宋体" w:cs="Arial"/>
                <w:color w:val="000000"/>
                <w:szCs w:val="21"/>
              </w:rPr>
              <w:t>0.</w:t>
            </w:r>
            <w:r>
              <w:rPr>
                <w:rFonts w:hint="eastAsia" w:ascii="宋体" w:hAnsi="宋体" w:cs="Arial"/>
                <w:color w:val="000000"/>
                <w:szCs w:val="21"/>
              </w:rPr>
              <w:t>50</w:t>
            </w:r>
            <w:r>
              <w:rPr>
                <w:rFonts w:ascii="宋体" w:hAnsi="宋体" w:cs="Arial"/>
                <w:color w:val="000000"/>
                <w:szCs w:val="21"/>
              </w:rPr>
              <w:t>%</w:t>
            </w:r>
          </w:p>
        </w:tc>
        <w:tc>
          <w:tcPr>
            <w:tcW w:w="2126" w:type="dxa"/>
            <w:vMerge w:val="continue"/>
          </w:tcPr>
          <w:p>
            <w:pPr>
              <w:jc w:val="center"/>
              <w:rPr>
                <w:rFonts w:ascii="宋体" w:hAnsi="宋体" w:cs="Arial"/>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551" w:type="dxa"/>
            <w:vAlign w:val="center"/>
          </w:tcPr>
          <w:p>
            <w:pPr>
              <w:jc w:val="center"/>
              <w:rPr>
                <w:rFonts w:ascii="宋体" w:hAnsi="宋体" w:cs="Arial"/>
                <w:color w:val="000000"/>
                <w:szCs w:val="21"/>
              </w:rPr>
            </w:pPr>
            <w:r>
              <w:rPr>
                <w:rFonts w:ascii="宋体" w:hAnsi="宋体" w:cs="Arial"/>
                <w:color w:val="000000"/>
                <w:szCs w:val="21"/>
              </w:rPr>
              <w:t>M</w:t>
            </w:r>
            <w:r>
              <w:rPr>
                <w:rFonts w:hint="eastAsia" w:ascii="宋体" w:hAnsi="宋体" w:cs="Arial"/>
                <w:color w:val="000000"/>
                <w:szCs w:val="21"/>
              </w:rPr>
              <w:t>≥3</w:t>
            </w:r>
            <w:r>
              <w:rPr>
                <w:rFonts w:ascii="宋体" w:hAnsi="宋体" w:cs="Arial"/>
                <w:color w:val="000000"/>
                <w:szCs w:val="21"/>
              </w:rPr>
              <w:t>00万元</w:t>
            </w:r>
          </w:p>
        </w:tc>
        <w:tc>
          <w:tcPr>
            <w:tcW w:w="2085" w:type="dxa"/>
            <w:vAlign w:val="center"/>
          </w:tcPr>
          <w:p>
            <w:pPr>
              <w:jc w:val="center"/>
              <w:rPr>
                <w:rFonts w:ascii="宋体" w:hAnsi="宋体" w:cs="Arial"/>
                <w:color w:val="000000"/>
                <w:szCs w:val="21"/>
              </w:rPr>
            </w:pPr>
            <w:r>
              <w:rPr>
                <w:rFonts w:ascii="宋体" w:hAnsi="宋体" w:cs="Arial"/>
                <w:color w:val="000000"/>
                <w:szCs w:val="21"/>
              </w:rPr>
              <w:t>每笔</w:t>
            </w:r>
            <w:r>
              <w:rPr>
                <w:rFonts w:hint="eastAsia" w:ascii="宋体" w:hAnsi="宋体" w:cs="Arial"/>
                <w:color w:val="000000"/>
                <w:szCs w:val="21"/>
              </w:rPr>
              <w:t>300</w:t>
            </w:r>
            <w:r>
              <w:rPr>
                <w:rFonts w:ascii="宋体" w:hAnsi="宋体" w:cs="Arial"/>
                <w:color w:val="000000"/>
                <w:szCs w:val="21"/>
              </w:rPr>
              <w:t>元</w:t>
            </w:r>
          </w:p>
        </w:tc>
        <w:tc>
          <w:tcPr>
            <w:tcW w:w="2126" w:type="dxa"/>
            <w:vMerge w:val="continue"/>
          </w:tcPr>
          <w:p>
            <w:pPr>
              <w:jc w:val="center"/>
              <w:rPr>
                <w:rFonts w:ascii="宋体" w:hAnsi="宋体" w:cs="Arial"/>
                <w:color w:val="000000"/>
                <w:szCs w:val="21"/>
              </w:rPr>
            </w:pPr>
          </w:p>
        </w:tc>
      </w:tr>
    </w:tbl>
    <w:p>
      <w:pPr>
        <w:pStyle w:val="163"/>
        <w:spacing w:before="156" w:beforeLines="50"/>
      </w:pPr>
      <w:r>
        <w:rPr>
          <w:rFonts w:hint="eastAsia"/>
        </w:rPr>
        <w:t>2、赎回费用</w:t>
      </w:r>
    </w:p>
    <w:p>
      <w:pPr>
        <w:pStyle w:val="163"/>
      </w:pPr>
      <w:r>
        <w:rPr>
          <w:rFonts w:hint="eastAsia"/>
        </w:rPr>
        <w:t>本基金的</w:t>
      </w:r>
      <w:r>
        <w:t>A</w:t>
      </w:r>
      <w:r>
        <w:rPr>
          <w:rFonts w:hint="eastAsia"/>
        </w:rPr>
        <w:t>类基金份额和</w:t>
      </w:r>
      <w:r>
        <w:t>C</w:t>
      </w:r>
      <w:r>
        <w:rPr>
          <w:rFonts w:hint="eastAsia"/>
        </w:rPr>
        <w:t>类基金份额赎回费率随申请份额持有时间增加而递减。具体如下表所示：</w:t>
      </w:r>
    </w:p>
    <w:tbl>
      <w:tblPr>
        <w:tblStyle w:val="43"/>
        <w:tblW w:w="6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551"/>
        <w:gridCol w:w="1801"/>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tcPr>
          <w:p>
            <w:pPr>
              <w:jc w:val="center"/>
              <w:rPr>
                <w:rFonts w:ascii="宋体" w:hAnsi="宋体" w:cs="Calibri"/>
                <w:szCs w:val="21"/>
              </w:rPr>
            </w:pPr>
            <w:r>
              <w:rPr>
                <w:rFonts w:hint="eastAsia" w:ascii="宋体" w:hAnsi="宋体"/>
              </w:rPr>
              <w:t>持有基金份额期限（Y）</w:t>
            </w:r>
          </w:p>
        </w:tc>
        <w:tc>
          <w:tcPr>
            <w:tcW w:w="1801" w:type="dxa"/>
            <w:tcMar>
              <w:top w:w="0" w:type="dxa"/>
              <w:left w:w="108" w:type="dxa"/>
              <w:bottom w:w="0" w:type="dxa"/>
              <w:right w:w="108" w:type="dxa"/>
            </w:tcMar>
          </w:tcPr>
          <w:p>
            <w:pPr>
              <w:jc w:val="center"/>
              <w:rPr>
                <w:rFonts w:ascii="宋体" w:hAnsi="宋体" w:cs="Calibri"/>
                <w:szCs w:val="21"/>
              </w:rPr>
            </w:pPr>
            <w:r>
              <w:rPr>
                <w:rFonts w:ascii="宋体" w:hAnsi="宋体"/>
              </w:rPr>
              <w:t>A类</w:t>
            </w:r>
            <w:r>
              <w:rPr>
                <w:rFonts w:hint="eastAsia" w:ascii="宋体" w:hAnsi="宋体"/>
              </w:rPr>
              <w:t>份额赎回费率</w:t>
            </w:r>
          </w:p>
        </w:tc>
        <w:tc>
          <w:tcPr>
            <w:tcW w:w="1843" w:type="dxa"/>
            <w:tcMar>
              <w:top w:w="0" w:type="dxa"/>
              <w:left w:w="108" w:type="dxa"/>
              <w:bottom w:w="0" w:type="dxa"/>
              <w:right w:w="108" w:type="dxa"/>
            </w:tcMar>
          </w:tcPr>
          <w:p>
            <w:pPr>
              <w:jc w:val="center"/>
              <w:rPr>
                <w:rFonts w:ascii="宋体" w:hAnsi="宋体" w:cs="Calibri"/>
                <w:szCs w:val="21"/>
              </w:rPr>
            </w:pPr>
            <w:r>
              <w:rPr>
                <w:rFonts w:ascii="宋体" w:hAnsi="宋体"/>
              </w:rPr>
              <w:t>C类</w:t>
            </w:r>
            <w:r>
              <w:rPr>
                <w:rFonts w:hint="eastAsia" w:ascii="宋体" w:hAnsi="宋体"/>
              </w:rPr>
              <w:t>份额赎回费率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tcPr>
          <w:p>
            <w:pPr>
              <w:jc w:val="center"/>
              <w:rPr>
                <w:rFonts w:ascii="宋体" w:hAnsi="宋体" w:cs="Calibri"/>
                <w:szCs w:val="21"/>
              </w:rPr>
            </w:pPr>
            <w:r>
              <w:rPr>
                <w:rFonts w:hint="eastAsia" w:ascii="宋体" w:hAnsi="宋体"/>
              </w:rPr>
              <w:t>Y＜</w:t>
            </w:r>
            <w:r>
              <w:rPr>
                <w:rFonts w:ascii="宋体" w:hAnsi="宋体"/>
              </w:rPr>
              <w:t>7</w:t>
            </w:r>
            <w:r>
              <w:rPr>
                <w:rFonts w:hint="eastAsia" w:ascii="宋体" w:hAnsi="宋体"/>
              </w:rPr>
              <w:t>日</w:t>
            </w:r>
          </w:p>
        </w:tc>
        <w:tc>
          <w:tcPr>
            <w:tcW w:w="1801" w:type="dxa"/>
            <w:tcMar>
              <w:top w:w="0" w:type="dxa"/>
              <w:left w:w="108" w:type="dxa"/>
              <w:bottom w:w="0" w:type="dxa"/>
              <w:right w:w="108" w:type="dxa"/>
            </w:tcMar>
          </w:tcPr>
          <w:p>
            <w:pPr>
              <w:jc w:val="center"/>
              <w:rPr>
                <w:rFonts w:ascii="宋体" w:hAnsi="宋体" w:cs="Calibri"/>
                <w:szCs w:val="21"/>
              </w:rPr>
            </w:pPr>
            <w:r>
              <w:rPr>
                <w:rFonts w:ascii="宋体" w:hAnsi="宋体"/>
              </w:rPr>
              <w:t>1.50%</w:t>
            </w:r>
          </w:p>
        </w:tc>
        <w:tc>
          <w:tcPr>
            <w:tcW w:w="1843" w:type="dxa"/>
            <w:tcMar>
              <w:top w:w="0" w:type="dxa"/>
              <w:left w:w="108" w:type="dxa"/>
              <w:bottom w:w="0" w:type="dxa"/>
              <w:right w:w="108" w:type="dxa"/>
            </w:tcMar>
            <w:vAlign w:val="center"/>
          </w:tcPr>
          <w:p>
            <w:pPr>
              <w:jc w:val="center"/>
              <w:rPr>
                <w:rFonts w:ascii="宋体" w:hAnsi="宋体" w:cs="Calibri"/>
                <w:szCs w:val="21"/>
              </w:rPr>
            </w:pPr>
            <w:r>
              <w:rPr>
                <w:rFonts w:ascii="宋体" w:hAnsi="宋体"/>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4" w:hRule="atLeast"/>
          <w:jc w:val="center"/>
        </w:trPr>
        <w:tc>
          <w:tcPr>
            <w:tcW w:w="2551" w:type="dxa"/>
            <w:tcMar>
              <w:top w:w="0" w:type="dxa"/>
              <w:left w:w="108" w:type="dxa"/>
              <w:bottom w:w="0" w:type="dxa"/>
              <w:right w:w="108" w:type="dxa"/>
            </w:tcMar>
          </w:tcPr>
          <w:p>
            <w:pPr>
              <w:jc w:val="center"/>
              <w:rPr>
                <w:rFonts w:ascii="宋体" w:hAnsi="宋体" w:cs="Calibri"/>
                <w:szCs w:val="21"/>
              </w:rPr>
            </w:pPr>
            <w:r>
              <w:rPr>
                <w:rFonts w:hint="eastAsia" w:ascii="宋体" w:hAnsi="宋体"/>
              </w:rPr>
              <w:t>Y≥</w:t>
            </w:r>
            <w:r>
              <w:rPr>
                <w:rFonts w:ascii="宋体" w:hAnsi="宋体"/>
              </w:rPr>
              <w:t>7</w:t>
            </w:r>
            <w:r>
              <w:rPr>
                <w:rFonts w:hint="eastAsia" w:ascii="宋体" w:hAnsi="宋体"/>
              </w:rPr>
              <w:t>日</w:t>
            </w:r>
          </w:p>
        </w:tc>
        <w:tc>
          <w:tcPr>
            <w:tcW w:w="1801" w:type="dxa"/>
            <w:tcMar>
              <w:top w:w="0" w:type="dxa"/>
              <w:left w:w="108" w:type="dxa"/>
              <w:bottom w:w="0" w:type="dxa"/>
              <w:right w:w="108" w:type="dxa"/>
            </w:tcMar>
          </w:tcPr>
          <w:p>
            <w:pPr>
              <w:jc w:val="center"/>
              <w:rPr>
                <w:rFonts w:ascii="宋体" w:hAnsi="宋体" w:cs="Calibri"/>
                <w:szCs w:val="21"/>
              </w:rPr>
            </w:pPr>
            <w:r>
              <w:rPr>
                <w:rFonts w:ascii="宋体" w:hAnsi="宋体"/>
              </w:rPr>
              <w:t>0.00%</w:t>
            </w:r>
          </w:p>
        </w:tc>
        <w:tc>
          <w:tcPr>
            <w:tcW w:w="1843" w:type="dxa"/>
            <w:tcMar>
              <w:top w:w="0" w:type="dxa"/>
              <w:left w:w="108" w:type="dxa"/>
              <w:bottom w:w="0" w:type="dxa"/>
              <w:right w:w="108" w:type="dxa"/>
            </w:tcMar>
            <w:vAlign w:val="center"/>
          </w:tcPr>
          <w:p>
            <w:pPr>
              <w:jc w:val="center"/>
              <w:rPr>
                <w:rFonts w:ascii="宋体" w:hAnsi="宋体"/>
              </w:rPr>
            </w:pPr>
            <w:r>
              <w:rPr>
                <w:rFonts w:ascii="宋体" w:hAnsi="宋体"/>
              </w:rPr>
              <w:t>0.00%</w:t>
            </w:r>
          </w:p>
        </w:tc>
      </w:tr>
    </w:tbl>
    <w:p>
      <w:pPr>
        <w:adjustRightInd w:val="0"/>
        <w:snapToGrid w:val="0"/>
        <w:spacing w:before="156" w:beforeLines="50" w:line="360" w:lineRule="auto"/>
        <w:ind w:firstLine="420"/>
        <w:rPr>
          <w:szCs w:val="21"/>
        </w:rPr>
      </w:pPr>
      <w:r>
        <w:rPr>
          <w:rFonts w:hint="eastAsia" w:ascii="宋体" w:hAnsi="宋体" w:cs="Arial"/>
          <w:szCs w:val="21"/>
        </w:rPr>
        <w:t>本基金赎回费用由赎回基金份额的基金份额持有人承担</w:t>
      </w:r>
      <w:r>
        <w:rPr>
          <w:rFonts w:ascii="Arial" w:hAnsi="Arial" w:cs="Arial"/>
          <w:color w:val="333333"/>
          <w:szCs w:val="21"/>
          <w:shd w:val="clear" w:color="auto" w:fill="FFFFFF"/>
        </w:rPr>
        <w:t>，在基金份额持有人赎回基金份额时收取</w:t>
      </w:r>
      <w:r>
        <w:rPr>
          <w:rFonts w:hint="eastAsia" w:ascii="宋体" w:hAnsi="宋体" w:cs="Arial"/>
          <w:szCs w:val="21"/>
        </w:rPr>
        <w:t>。</w:t>
      </w:r>
      <w:r>
        <w:rPr>
          <w:rFonts w:hint="eastAsia"/>
          <w:szCs w:val="21"/>
        </w:rPr>
        <w:t>本基金对持续持有期在7日以内的投资人收取的赎回费，全额计入基金资产。</w:t>
      </w:r>
    </w:p>
    <w:p>
      <w:pPr>
        <w:pStyle w:val="163"/>
      </w:pPr>
      <w:r>
        <w:rPr>
          <w:rFonts w:hint="eastAsia"/>
        </w:rPr>
        <w:t>3、基金管理人可以针对特定投资人（如养老金客户等）开展费率优惠活动，具体见基金管理人相关公告。</w:t>
      </w:r>
    </w:p>
    <w:p>
      <w:pPr>
        <w:pStyle w:val="163"/>
      </w:pPr>
      <w:r>
        <w:t>4</w:t>
      </w:r>
      <w:r>
        <w:rPr>
          <w:rFonts w:hint="eastAsia"/>
        </w:rPr>
        <w:t>、基金管理人可以在《基金合同》约定的范围内调整费率或收费方式，并最迟应于新的费率或收费方式实施日前依照《信息披露办法》的有关规定在规定媒介上公告。</w:t>
      </w:r>
    </w:p>
    <w:p>
      <w:pPr>
        <w:pStyle w:val="163"/>
      </w:pPr>
      <w:r>
        <w:t>5</w:t>
      </w:r>
      <w:r>
        <w:rPr>
          <w:rFonts w:hint="eastAsia"/>
        </w:rPr>
        <w:t>、基金管理人可以在不违背法律法规规定及基金合同约定并对现有份额持有人利益无实质性不利影响的情况下，根据市场情况制定基金促销计划，定期或不定期地开展基金促销活动。在基金促销活动期间，基金管理人可以按中国证监会要求履行必要手续后，对基金投资者适当调低基金申购费率、赎回费率和销售服务费率。</w:t>
      </w:r>
    </w:p>
    <w:p>
      <w:pPr>
        <w:pStyle w:val="163"/>
      </w:pPr>
      <w:r>
        <w:t>6</w:t>
      </w:r>
      <w:r>
        <w:rPr>
          <w:rFonts w:hint="eastAsia"/>
        </w:rPr>
        <w:t>、当本基金发生大额申购或赎回情形时，基金管理人可以采用摆动定价机制以确保基金估值的公平性。具体处理原则与操作规范遵循相关法律法规以及监管部门、自律规则的规定。</w:t>
      </w:r>
    </w:p>
    <w:p>
      <w:pPr>
        <w:pStyle w:val="163"/>
        <w:ind w:firstLine="422"/>
        <w:rPr>
          <w:b/>
        </w:rPr>
      </w:pPr>
      <w:r>
        <w:rPr>
          <w:rFonts w:hint="eastAsia"/>
          <w:b/>
        </w:rPr>
        <w:t>七、申购份额与赎回金额的计算</w:t>
      </w:r>
    </w:p>
    <w:p>
      <w:pPr>
        <w:pStyle w:val="163"/>
      </w:pPr>
      <w:r>
        <w:t>1、本基金申购份额的计算方式</w:t>
      </w:r>
    </w:p>
    <w:p>
      <w:pPr>
        <w:pStyle w:val="163"/>
      </w:pPr>
      <w:r>
        <w:rPr>
          <w:rFonts w:hint="eastAsia"/>
        </w:rPr>
        <w:t>（1）A类基金份额</w:t>
      </w:r>
    </w:p>
    <w:p>
      <w:pPr>
        <w:pStyle w:val="163"/>
      </w:pPr>
      <w:r>
        <w:rPr>
          <w:rFonts w:hint="eastAsia"/>
        </w:rPr>
        <w:t>申购费用适用比例费率时：</w:t>
      </w:r>
    </w:p>
    <w:p>
      <w:pPr>
        <w:pStyle w:val="163"/>
      </w:pPr>
      <w:r>
        <w:rPr>
          <w:rFonts w:hint="eastAsia"/>
        </w:rPr>
        <w:t>净申购金额</w:t>
      </w:r>
      <w:r>
        <w:t>＝</w:t>
      </w:r>
      <w:r>
        <w:rPr>
          <w:rFonts w:hint="eastAsia"/>
        </w:rPr>
        <w:t>申购金额</w:t>
      </w:r>
      <w:r>
        <w:t>/</w:t>
      </w:r>
      <w:r>
        <w:rPr>
          <w:rFonts w:hint="eastAsia"/>
        </w:rPr>
        <w:t>（</w:t>
      </w:r>
      <w:r>
        <w:t>1＋</w:t>
      </w:r>
      <w:r>
        <w:rPr>
          <w:rFonts w:hint="eastAsia"/>
        </w:rPr>
        <w:t>申购费率）</w:t>
      </w:r>
    </w:p>
    <w:p>
      <w:pPr>
        <w:pStyle w:val="163"/>
      </w:pPr>
      <w:r>
        <w:rPr>
          <w:rFonts w:hint="eastAsia"/>
        </w:rPr>
        <w:t>申购费用</w:t>
      </w:r>
      <w:r>
        <w:t>＝</w:t>
      </w:r>
      <w:r>
        <w:rPr>
          <w:rFonts w:hint="eastAsia"/>
        </w:rPr>
        <w:t>申购金额</w:t>
      </w:r>
      <w:r>
        <w:t>－</w:t>
      </w:r>
      <w:r>
        <w:rPr>
          <w:rFonts w:hint="eastAsia"/>
        </w:rPr>
        <w:t>净申购金额</w:t>
      </w:r>
    </w:p>
    <w:p>
      <w:pPr>
        <w:pStyle w:val="163"/>
      </w:pPr>
      <w:r>
        <w:rPr>
          <w:rFonts w:hint="eastAsia"/>
        </w:rPr>
        <w:t>申购份额</w:t>
      </w:r>
      <w:r>
        <w:t>＝</w:t>
      </w:r>
      <w:r>
        <w:rPr>
          <w:rFonts w:hint="eastAsia"/>
        </w:rPr>
        <w:t>净申购金额</w:t>
      </w:r>
      <w:r>
        <w:t>/</w:t>
      </w:r>
      <w:r>
        <w:rPr>
          <w:rFonts w:hint="eastAsia"/>
        </w:rPr>
        <w:t>申购当日A类基金份额净值</w:t>
      </w:r>
    </w:p>
    <w:p>
      <w:pPr>
        <w:pStyle w:val="163"/>
      </w:pPr>
      <w:r>
        <w:rPr>
          <w:rFonts w:hint="eastAsia"/>
        </w:rPr>
        <w:t>申购费用适用固定金额时：</w:t>
      </w:r>
    </w:p>
    <w:p>
      <w:pPr>
        <w:pStyle w:val="163"/>
      </w:pPr>
      <w:r>
        <w:rPr>
          <w:rFonts w:hint="eastAsia"/>
        </w:rPr>
        <w:t>申购费用</w:t>
      </w:r>
      <w:r>
        <w:t>＝</w:t>
      </w:r>
      <w:r>
        <w:rPr>
          <w:rFonts w:hint="eastAsia"/>
        </w:rPr>
        <w:t>固定金额</w:t>
      </w:r>
    </w:p>
    <w:p>
      <w:pPr>
        <w:pStyle w:val="163"/>
      </w:pPr>
      <w:r>
        <w:rPr>
          <w:rFonts w:hint="eastAsia"/>
        </w:rPr>
        <w:t>净申购金额</w:t>
      </w:r>
      <w:r>
        <w:t>＝</w:t>
      </w:r>
      <w:r>
        <w:rPr>
          <w:rFonts w:hint="eastAsia"/>
        </w:rPr>
        <w:t>申购金额</w:t>
      </w:r>
      <w:r>
        <w:t>－</w:t>
      </w:r>
      <w:r>
        <w:rPr>
          <w:rFonts w:hint="eastAsia"/>
        </w:rPr>
        <w:t>申购费用</w:t>
      </w:r>
    </w:p>
    <w:p>
      <w:pPr>
        <w:pStyle w:val="163"/>
      </w:pPr>
      <w:r>
        <w:rPr>
          <w:rFonts w:hint="eastAsia"/>
        </w:rPr>
        <w:t>申购份额</w:t>
      </w:r>
      <w:r>
        <w:t>＝</w:t>
      </w:r>
      <w:r>
        <w:rPr>
          <w:rFonts w:hint="eastAsia"/>
        </w:rPr>
        <w:t>净申购金额</w:t>
      </w:r>
      <w:r>
        <w:t>/</w:t>
      </w:r>
      <w:r>
        <w:rPr>
          <w:rFonts w:hint="eastAsia"/>
        </w:rPr>
        <w:t>申购当日A类基金份额净值</w:t>
      </w:r>
    </w:p>
    <w:p>
      <w:pPr>
        <w:pStyle w:val="163"/>
      </w:pPr>
      <w:r>
        <w:rPr>
          <w:rFonts w:hint="eastAsia"/>
        </w:rPr>
        <w:t>上述</w:t>
      </w:r>
      <w:r>
        <w:t>计算结果均按照四舍五入方法，保留</w:t>
      </w:r>
      <w:r>
        <w:rPr>
          <w:rFonts w:hint="eastAsia"/>
        </w:rPr>
        <w:t>到</w:t>
      </w:r>
      <w:r>
        <w:t>小数点后两位，由此</w:t>
      </w:r>
      <w:r>
        <w:rPr>
          <w:rFonts w:hint="eastAsia"/>
        </w:rPr>
        <w:t>产生的收益或损失由基金财产承担</w:t>
      </w:r>
      <w:r>
        <w:t>。</w:t>
      </w:r>
    </w:p>
    <w:p>
      <w:pPr>
        <w:pStyle w:val="163"/>
      </w:pPr>
      <w:r>
        <w:rPr>
          <w:rFonts w:hint="eastAsia"/>
        </w:rPr>
        <w:t xml:space="preserve">（2）C类基金份额 </w:t>
      </w:r>
    </w:p>
    <w:p>
      <w:pPr>
        <w:pStyle w:val="163"/>
      </w:pPr>
      <w:r>
        <w:rPr>
          <w:rFonts w:hint="eastAsia"/>
        </w:rPr>
        <w:t xml:space="preserve">申购份额=申购金额/申购当日C类基金份额净值 </w:t>
      </w:r>
    </w:p>
    <w:p>
      <w:pPr>
        <w:pStyle w:val="163"/>
      </w:pPr>
      <w:r>
        <w:rPr>
          <w:rFonts w:hint="eastAsia"/>
        </w:rPr>
        <w:t>上述计算结果均按照四舍五入方法，保留到小数点后两位，由此产生的收益或损失由基金财产承担。</w:t>
      </w:r>
    </w:p>
    <w:p>
      <w:pPr>
        <w:pStyle w:val="163"/>
      </w:pPr>
      <w:r>
        <w:t>例</w:t>
      </w:r>
      <w:r>
        <w:rPr>
          <w:rFonts w:hint="eastAsia"/>
        </w:rPr>
        <w:t>1</w:t>
      </w:r>
      <w:r>
        <w:t>：假定T日</w:t>
      </w:r>
      <w:r>
        <w:rPr>
          <w:rFonts w:hint="eastAsia"/>
        </w:rPr>
        <w:t>A类</w:t>
      </w:r>
      <w:r>
        <w:t>基金份额净值为</w:t>
      </w:r>
      <w:r>
        <w:rPr>
          <w:rFonts w:hint="eastAsia"/>
        </w:rPr>
        <w:t>1.0160</w:t>
      </w:r>
      <w:r>
        <w:t>元，某投资</w:t>
      </w:r>
      <w:r>
        <w:rPr>
          <w:rFonts w:hint="eastAsia"/>
        </w:rPr>
        <w:t>人</w:t>
      </w:r>
      <w:r>
        <w:t>本次</w:t>
      </w:r>
      <w:r>
        <w:rPr>
          <w:rFonts w:hint="eastAsia"/>
        </w:rPr>
        <w:t>通过</w:t>
      </w:r>
      <w:r>
        <w:t>申购本基金</w:t>
      </w:r>
      <w:r>
        <w:rPr>
          <w:rFonts w:hint="eastAsia"/>
        </w:rPr>
        <w:t>A类</w:t>
      </w:r>
      <w:r>
        <w:t>基金份额</w:t>
      </w:r>
      <w:r>
        <w:rPr>
          <w:rFonts w:hint="eastAsia"/>
        </w:rPr>
        <w:t>10</w:t>
      </w:r>
      <w:r>
        <w:t>万元，对应的本次申购费率为1.00%，该投资</w:t>
      </w:r>
      <w:r>
        <w:rPr>
          <w:rFonts w:hint="eastAsia"/>
        </w:rPr>
        <w:t>人</w:t>
      </w:r>
      <w:r>
        <w:t>可得到的</w:t>
      </w:r>
      <w:r>
        <w:rPr>
          <w:rFonts w:hint="eastAsia"/>
        </w:rPr>
        <w:t>A类</w:t>
      </w:r>
      <w:r>
        <w:t>基金份额为：</w:t>
      </w:r>
    </w:p>
    <w:p>
      <w:pPr>
        <w:pStyle w:val="163"/>
      </w:pPr>
      <w:r>
        <w:t>净申购金额＝100</w:t>
      </w:r>
      <w:r>
        <w:rPr>
          <w:rFonts w:hint="eastAsia"/>
        </w:rPr>
        <w:t>,</w:t>
      </w:r>
      <w:r>
        <w:t>000/ (1＋1.00%)＝99</w:t>
      </w:r>
      <w:r>
        <w:rPr>
          <w:rFonts w:hint="eastAsia"/>
        </w:rPr>
        <w:t>,</w:t>
      </w:r>
      <w:r>
        <w:t>009.90 元</w:t>
      </w:r>
    </w:p>
    <w:p>
      <w:pPr>
        <w:pStyle w:val="163"/>
      </w:pPr>
      <w:r>
        <w:t>申购费用＝100</w:t>
      </w:r>
      <w:r>
        <w:rPr>
          <w:rFonts w:hint="eastAsia"/>
        </w:rPr>
        <w:t>,</w:t>
      </w:r>
      <w:r>
        <w:t>000－99</w:t>
      </w:r>
      <w:r>
        <w:rPr>
          <w:rFonts w:hint="eastAsia"/>
        </w:rPr>
        <w:t>,</w:t>
      </w:r>
      <w:r>
        <w:t xml:space="preserve">009.90 </w:t>
      </w:r>
      <w:r>
        <w:rPr>
          <w:rFonts w:hint="eastAsia"/>
        </w:rPr>
        <w:t>=</w:t>
      </w:r>
      <w:r>
        <w:t>990.10元</w:t>
      </w:r>
    </w:p>
    <w:p>
      <w:pPr>
        <w:pStyle w:val="163"/>
      </w:pPr>
      <w:r>
        <w:t>申购份额＝99</w:t>
      </w:r>
      <w:r>
        <w:rPr>
          <w:rFonts w:hint="eastAsia"/>
        </w:rPr>
        <w:t>,</w:t>
      </w:r>
      <w:r>
        <w:t>009.90 /1.016</w:t>
      </w:r>
      <w:r>
        <w:rPr>
          <w:rFonts w:hint="eastAsia"/>
        </w:rPr>
        <w:t>0</w:t>
      </w:r>
      <w:r>
        <w:t>＝97</w:t>
      </w:r>
      <w:r>
        <w:rPr>
          <w:rFonts w:hint="eastAsia"/>
        </w:rPr>
        <w:t>,</w:t>
      </w:r>
      <w:r>
        <w:t>450.69份</w:t>
      </w:r>
    </w:p>
    <w:p>
      <w:pPr>
        <w:pStyle w:val="163"/>
      </w:pPr>
      <w:r>
        <w:t>即：投资者投资</w:t>
      </w:r>
      <w:r>
        <w:rPr>
          <w:rFonts w:hint="eastAsia"/>
        </w:rPr>
        <w:t>10</w:t>
      </w:r>
      <w:r>
        <w:t>万元申购本基金</w:t>
      </w:r>
      <w:r>
        <w:rPr>
          <w:rFonts w:hint="eastAsia"/>
        </w:rPr>
        <w:t>A类</w:t>
      </w:r>
      <w:r>
        <w:t>基金份额，假定申购当日</w:t>
      </w:r>
      <w:r>
        <w:rPr>
          <w:rFonts w:hint="eastAsia"/>
        </w:rPr>
        <w:t>A类</w:t>
      </w:r>
      <w:r>
        <w:t>基金份额净值为</w:t>
      </w:r>
      <w:r>
        <w:rPr>
          <w:rFonts w:hint="eastAsia"/>
        </w:rPr>
        <w:t>1.0160</w:t>
      </w:r>
      <w:r>
        <w:t>元，可得到97</w:t>
      </w:r>
      <w:r>
        <w:rPr>
          <w:rFonts w:hint="eastAsia"/>
        </w:rPr>
        <w:t>,</w:t>
      </w:r>
      <w:r>
        <w:t>450.69份</w:t>
      </w:r>
      <w:r>
        <w:rPr>
          <w:rFonts w:hint="eastAsia"/>
        </w:rPr>
        <w:t>A类</w:t>
      </w:r>
      <w:r>
        <w:t>基金份额。</w:t>
      </w:r>
    </w:p>
    <w:p>
      <w:pPr>
        <w:pStyle w:val="163"/>
      </w:pPr>
      <w:r>
        <w:rPr>
          <w:rFonts w:hint="eastAsia"/>
        </w:rPr>
        <w:t>例2：假设某投资者投资10万元申购本基金C类基金份额，申购当日本基金C类基金份额净值为1.0600元，则可得到的申购份额为：</w:t>
      </w:r>
    </w:p>
    <w:p>
      <w:pPr>
        <w:pStyle w:val="163"/>
      </w:pPr>
      <w:r>
        <w:rPr>
          <w:rFonts w:hint="eastAsia"/>
        </w:rPr>
        <w:t>申购份额＝100,000/1.0600＝94,339.62份</w:t>
      </w:r>
    </w:p>
    <w:p>
      <w:pPr>
        <w:pStyle w:val="163"/>
      </w:pPr>
      <w:r>
        <w:rPr>
          <w:rFonts w:hint="eastAsia"/>
        </w:rPr>
        <w:t>即：投资者投资10万元申购本基金C类基金份额，假设申购当日本基金C类基金份额净值为1.0600元，则其可得到94,339.62份C类基金份额。</w:t>
      </w:r>
    </w:p>
    <w:p>
      <w:pPr>
        <w:pStyle w:val="163"/>
      </w:pPr>
      <w:r>
        <w:t>2、赎回金额的计算方式：</w:t>
      </w:r>
    </w:p>
    <w:p>
      <w:pPr>
        <w:pStyle w:val="163"/>
      </w:pPr>
      <w:r>
        <w:rPr>
          <w:rFonts w:hint="eastAsia"/>
        </w:rPr>
        <w:t>赎回总金额=赎回份额×T日该类基金份额净值</w:t>
      </w:r>
    </w:p>
    <w:p>
      <w:pPr>
        <w:pStyle w:val="163"/>
      </w:pPr>
      <w:r>
        <w:rPr>
          <w:rFonts w:hint="eastAsia"/>
        </w:rPr>
        <w:t>赎回费用=赎回总金额×赎回费率</w:t>
      </w:r>
    </w:p>
    <w:p>
      <w:pPr>
        <w:pStyle w:val="163"/>
      </w:pPr>
      <w:r>
        <w:rPr>
          <w:rFonts w:hint="eastAsia"/>
        </w:rPr>
        <w:t>净赎回金额=赎回总金额—赎回费用</w:t>
      </w:r>
    </w:p>
    <w:p>
      <w:pPr>
        <w:pStyle w:val="163"/>
      </w:pPr>
      <w:r>
        <w:rPr>
          <w:rFonts w:hint="eastAsia"/>
        </w:rPr>
        <w:t>上述计算结果均按四舍五入方法，保留到小数点后2位，由此产生的收益或损失由基金财产承担。</w:t>
      </w:r>
    </w:p>
    <w:p>
      <w:pPr>
        <w:pStyle w:val="163"/>
      </w:pPr>
      <w:r>
        <w:rPr>
          <w:rFonts w:hint="eastAsia"/>
        </w:rPr>
        <w:t>例3：某投资者赎回本基金A类基金份额1万份，持有时间为1年，对应的赎回费率为0%，假设赎回当日A类基金份额净值是1.2500元，则其可得到的赎回金额为：</w:t>
      </w:r>
    </w:p>
    <w:p>
      <w:pPr>
        <w:pStyle w:val="163"/>
      </w:pPr>
      <w:r>
        <w:rPr>
          <w:rFonts w:hint="eastAsia"/>
        </w:rPr>
        <w:t>赎回总金额=10,000×1.2500=12,500.00元</w:t>
      </w:r>
    </w:p>
    <w:p>
      <w:pPr>
        <w:pStyle w:val="163"/>
      </w:pPr>
      <w:r>
        <w:rPr>
          <w:rFonts w:hint="eastAsia"/>
        </w:rPr>
        <w:t>赎回费用=12,500.00×0%=0.00元</w:t>
      </w:r>
    </w:p>
    <w:p>
      <w:pPr>
        <w:pStyle w:val="163"/>
      </w:pPr>
      <w:r>
        <w:rPr>
          <w:rFonts w:hint="eastAsia"/>
        </w:rPr>
        <w:t>净赎回金额=12,500.00-0.00=12,500.00元</w:t>
      </w:r>
    </w:p>
    <w:p>
      <w:pPr>
        <w:pStyle w:val="163"/>
      </w:pPr>
      <w:r>
        <w:rPr>
          <w:rFonts w:hint="eastAsia"/>
        </w:rPr>
        <w:t>即：投资者赎回本基金A类基金份额1万份，持有时间为1年，假设赎回当日A类基金份额净值是1.250</w:t>
      </w:r>
      <w:r>
        <w:t>0</w:t>
      </w:r>
      <w:r>
        <w:rPr>
          <w:rFonts w:hint="eastAsia"/>
        </w:rPr>
        <w:t>元，则其可得到的赎回金额为12</w:t>
      </w:r>
      <w:r>
        <w:t>,</w:t>
      </w:r>
      <w:r>
        <w:rPr>
          <w:rFonts w:hint="eastAsia"/>
        </w:rPr>
        <w:t>500.00元。</w:t>
      </w:r>
    </w:p>
    <w:p>
      <w:pPr>
        <w:pStyle w:val="163"/>
      </w:pPr>
      <w:r>
        <w:rPr>
          <w:rFonts w:hint="eastAsia"/>
        </w:rPr>
        <w:t>3、</w:t>
      </w:r>
      <w:r>
        <w:rPr>
          <w:rFonts w:hint="eastAsia" w:asciiTheme="minorEastAsia" w:hAnsiTheme="minorEastAsia" w:eastAsiaTheme="minorEastAsia"/>
        </w:rPr>
        <w:t>本基金</w:t>
      </w:r>
      <w:r>
        <w:rPr>
          <w:rFonts w:asciiTheme="minorEastAsia" w:hAnsiTheme="minorEastAsia" w:eastAsiaTheme="minorEastAsia"/>
        </w:rPr>
        <w:t>A</w:t>
      </w:r>
      <w:r>
        <w:rPr>
          <w:rFonts w:hint="eastAsia" w:asciiTheme="minorEastAsia" w:hAnsiTheme="minorEastAsia" w:eastAsiaTheme="minorEastAsia"/>
        </w:rPr>
        <w:t>类基金份额和</w:t>
      </w:r>
      <w:r>
        <w:rPr>
          <w:rFonts w:asciiTheme="minorEastAsia" w:hAnsiTheme="minorEastAsia" w:eastAsiaTheme="minorEastAsia"/>
        </w:rPr>
        <w:t>C</w:t>
      </w:r>
      <w:r>
        <w:rPr>
          <w:rFonts w:hint="eastAsia" w:asciiTheme="minorEastAsia" w:hAnsiTheme="minorEastAsia" w:eastAsiaTheme="minorEastAsia"/>
        </w:rPr>
        <w:t>类基金份额分别设置代码，分别计算和公告各类基金份额净值和各类基金份额累计净值。</w:t>
      </w:r>
      <w:r>
        <w:rPr>
          <w:rFonts w:hint="eastAsia"/>
        </w:rPr>
        <w:t>本基金</w:t>
      </w:r>
      <w:r>
        <w:rPr>
          <w:rFonts w:hint="eastAsia" w:asciiTheme="minorEastAsia" w:hAnsiTheme="minorEastAsia" w:eastAsiaTheme="minorEastAsia"/>
        </w:rPr>
        <w:t>各类</w:t>
      </w:r>
      <w:r>
        <w:rPr>
          <w:rFonts w:hint="eastAsia"/>
        </w:rPr>
        <w:t>基金份额净值的计算，均保留到小数点后4位，小数点后第5位四舍五入，由此产生的收益或损失由基金财产承担。T日的</w:t>
      </w:r>
      <w:r>
        <w:rPr>
          <w:rFonts w:hint="eastAsia" w:asciiTheme="minorEastAsia" w:hAnsiTheme="minorEastAsia" w:eastAsiaTheme="minorEastAsia"/>
        </w:rPr>
        <w:t>各类</w:t>
      </w:r>
      <w:r>
        <w:rPr>
          <w:rFonts w:hint="eastAsia"/>
        </w:rPr>
        <w:t>基金份额净值在当天收市后计算，并按基金合同的约定进行公告。遇特殊情况，经履行适当程序，可以适当延迟计算或公告。</w:t>
      </w:r>
    </w:p>
    <w:p>
      <w:pPr>
        <w:pStyle w:val="163"/>
        <w:ind w:firstLine="422"/>
        <w:rPr>
          <w:b/>
        </w:rPr>
      </w:pPr>
      <w:r>
        <w:rPr>
          <w:rFonts w:hint="eastAsia"/>
          <w:b/>
        </w:rPr>
        <w:t>八、申购和赎回的登记</w:t>
      </w:r>
    </w:p>
    <w:p>
      <w:pPr>
        <w:pStyle w:val="163"/>
      </w:pPr>
      <w:r>
        <w:rPr>
          <w:rFonts w:hint="eastAsia"/>
        </w:rPr>
        <w:t>投资人申购基金成功后，基金登记机构在T+1日为投资人登记权益并办理登记手续，投资人自T+2日（含该日）后有权赎回该部分基金份额。</w:t>
      </w:r>
    </w:p>
    <w:p>
      <w:pPr>
        <w:pStyle w:val="163"/>
      </w:pPr>
      <w:r>
        <w:rPr>
          <w:rFonts w:hint="eastAsia"/>
        </w:rPr>
        <w:t>投资人赎回基金成功后，基金登记机构在T+1日为投资人办理扣除权益的登记手续。</w:t>
      </w:r>
    </w:p>
    <w:p>
      <w:pPr>
        <w:pStyle w:val="163"/>
      </w:pPr>
      <w:r>
        <w:rPr>
          <w:rFonts w:hint="eastAsia"/>
        </w:rPr>
        <w:t>基金管理人可以在不违反法律法规的范围内，对上述登记办理时间进行调整，但不得实质影响投资人的合法权益，并最迟于实施前依照《信息披露办法》的有关规定在规定媒介公告。</w:t>
      </w:r>
    </w:p>
    <w:p>
      <w:pPr>
        <w:pStyle w:val="163"/>
        <w:ind w:firstLine="422"/>
        <w:rPr>
          <w:b/>
        </w:rPr>
      </w:pPr>
      <w:bookmarkStart w:id="97" w:name="_Hlk114654605"/>
      <w:r>
        <w:rPr>
          <w:rFonts w:hint="eastAsia"/>
          <w:b/>
        </w:rPr>
        <w:t>九、</w:t>
      </w:r>
      <w:r>
        <w:rPr>
          <w:b/>
        </w:rPr>
        <w:t>拒绝或暂停申购的情形</w:t>
      </w:r>
    </w:p>
    <w:p>
      <w:pPr>
        <w:pStyle w:val="163"/>
        <w:rPr>
          <w:rFonts w:asciiTheme="minorEastAsia" w:hAnsiTheme="minorEastAsia" w:eastAsiaTheme="minorEastAsia"/>
        </w:rPr>
      </w:pPr>
      <w:r>
        <w:rPr>
          <w:rFonts w:hint="eastAsia" w:asciiTheme="minorEastAsia" w:hAnsiTheme="minorEastAsia" w:eastAsiaTheme="minorEastAsia"/>
        </w:rPr>
        <w:t>发生下列情况时，基金管理人可拒绝或暂停接受投资人的申购申请：</w:t>
      </w:r>
    </w:p>
    <w:p>
      <w:pPr>
        <w:pStyle w:val="163"/>
        <w:rPr>
          <w:rFonts w:asciiTheme="minorEastAsia" w:hAnsiTheme="minorEastAsia" w:eastAsiaTheme="minorEastAsia"/>
        </w:rPr>
      </w:pPr>
      <w:r>
        <w:rPr>
          <w:rFonts w:hint="eastAsia" w:asciiTheme="minorEastAsia" w:hAnsiTheme="minorEastAsia" w:eastAsiaTheme="minorEastAsia"/>
        </w:rPr>
        <w:t>1、因不可抗力导致基金无法正常运作。</w:t>
      </w:r>
    </w:p>
    <w:p>
      <w:pPr>
        <w:pStyle w:val="163"/>
        <w:rPr>
          <w:rFonts w:asciiTheme="minorEastAsia" w:hAnsiTheme="minorEastAsia" w:eastAsiaTheme="minorEastAsia"/>
        </w:rPr>
      </w:pPr>
      <w:r>
        <w:rPr>
          <w:rFonts w:hint="eastAsia" w:asciiTheme="minorEastAsia" w:hAnsiTheme="minorEastAsia" w:eastAsiaTheme="minorEastAsia"/>
        </w:rPr>
        <w:t>2、发生基金合同规定的暂停基金资产估值情况时。</w:t>
      </w:r>
    </w:p>
    <w:p>
      <w:pPr>
        <w:pStyle w:val="163"/>
        <w:rPr>
          <w:rFonts w:asciiTheme="minorEastAsia" w:hAnsiTheme="minorEastAsia" w:eastAsiaTheme="minorEastAsia"/>
        </w:rPr>
      </w:pPr>
      <w:r>
        <w:rPr>
          <w:rFonts w:hint="eastAsia" w:asciiTheme="minorEastAsia" w:hAnsiTheme="minorEastAsia" w:eastAsiaTheme="minorEastAsia"/>
        </w:rPr>
        <w:t>3、证券、期货交易所或外汇市场交易时间非正常停市，导致基金管理人无法计算当日基金资产净值。</w:t>
      </w:r>
    </w:p>
    <w:p>
      <w:pPr>
        <w:pStyle w:val="163"/>
        <w:rPr>
          <w:rFonts w:asciiTheme="minorEastAsia" w:hAnsiTheme="minorEastAsia" w:eastAsiaTheme="minorEastAsia"/>
        </w:rPr>
      </w:pPr>
      <w:r>
        <w:rPr>
          <w:rFonts w:hint="eastAsia" w:asciiTheme="minorEastAsia" w:hAnsiTheme="minorEastAsia" w:eastAsiaTheme="minorEastAsia"/>
        </w:rPr>
        <w:t>4、基金管理人接受某笔或某些申购申请可能会影响或损害现有基金份额持有人利益或对存量基金份额持有人利益构成潜在重大不利影响时。</w:t>
      </w:r>
    </w:p>
    <w:p>
      <w:pPr>
        <w:pStyle w:val="163"/>
        <w:rPr>
          <w:rFonts w:asciiTheme="minorEastAsia" w:hAnsiTheme="minorEastAsia" w:eastAsiaTheme="minorEastAsia"/>
        </w:rPr>
      </w:pPr>
      <w:r>
        <w:rPr>
          <w:rFonts w:hint="eastAsia" w:asciiTheme="minorEastAsia" w:hAnsiTheme="minorEastAsia" w:eastAsiaTheme="minorEastAsia"/>
        </w:rPr>
        <w:t>5、基金资产规模过大，使基金管理人无法找到合适的投资品种，或其他可能对基金业绩产生负面影响，或发生其他损害现有基金份额持有人利益的情形。</w:t>
      </w:r>
    </w:p>
    <w:p>
      <w:pPr>
        <w:pStyle w:val="163"/>
        <w:rPr>
          <w:rFonts w:asciiTheme="minorEastAsia" w:hAnsiTheme="minorEastAsia" w:eastAsiaTheme="minorEastAsia"/>
        </w:rPr>
      </w:pPr>
      <w:r>
        <w:rPr>
          <w:rFonts w:hint="eastAsia" w:asciiTheme="minorEastAsia" w:hAnsiTheme="minorEastAsia" w:eastAsiaTheme="minorEastAsia"/>
        </w:rPr>
        <w:t>6、基金管理人、基金托管人、销售机构或登记机构的技术故障等异常情况导致基金销售系统、基金注册登记系统或基金会计系统无法正常运行。</w:t>
      </w:r>
    </w:p>
    <w:p>
      <w:pPr>
        <w:pStyle w:val="163"/>
        <w:rPr>
          <w:rFonts w:asciiTheme="minorEastAsia" w:hAnsiTheme="minorEastAsia" w:eastAsiaTheme="minorEastAsia"/>
        </w:rPr>
      </w:pPr>
      <w:r>
        <w:rPr>
          <w:rFonts w:hint="eastAsia" w:asciiTheme="minorEastAsia" w:hAnsiTheme="minorEastAsia" w:eastAsiaTheme="minorEastAsia"/>
        </w:rPr>
        <w:t>7、当特定资产占前一估值日基金资产净值50%以上的，经与基金托管人协商确认后，基金管理人应当暂停接受基金申购申请。</w:t>
      </w:r>
    </w:p>
    <w:p>
      <w:pPr>
        <w:pStyle w:val="163"/>
        <w:rPr>
          <w:rFonts w:asciiTheme="minorEastAsia" w:hAnsiTheme="minorEastAsia" w:eastAsiaTheme="minorEastAsia"/>
        </w:rPr>
      </w:pPr>
      <w:r>
        <w:rPr>
          <w:rFonts w:hint="eastAsia" w:asciiTheme="minorEastAsia" w:hAnsiTheme="minorEastAsia" w:eastAsiaTheme="minorEastAsia"/>
        </w:rPr>
        <w:t>8、基金管理人接受某笔或者某些申购申请有可能导致单一投资者持有基金份额的比例达到或者超过50%，或者变相规避50%集中度的情形时。</w:t>
      </w:r>
    </w:p>
    <w:p>
      <w:pPr>
        <w:pStyle w:val="163"/>
        <w:rPr>
          <w:rFonts w:asciiTheme="minorEastAsia" w:hAnsiTheme="minorEastAsia" w:eastAsiaTheme="minorEastAsia"/>
        </w:rPr>
      </w:pPr>
      <w:r>
        <w:rPr>
          <w:rFonts w:hint="eastAsia" w:asciiTheme="minorEastAsia" w:hAnsiTheme="minorEastAsia" w:eastAsiaTheme="minorEastAsia"/>
        </w:rPr>
        <w:t>9、港股通的业务规则发生重大变化时。</w:t>
      </w:r>
    </w:p>
    <w:p>
      <w:pPr>
        <w:pStyle w:val="163"/>
        <w:rPr>
          <w:rFonts w:asciiTheme="minorEastAsia" w:hAnsiTheme="minorEastAsia" w:eastAsiaTheme="minorEastAsia"/>
        </w:rPr>
      </w:pPr>
      <w:r>
        <w:rPr>
          <w:rFonts w:hint="eastAsia" w:asciiTheme="minorEastAsia" w:hAnsiTheme="minorEastAsia" w:eastAsiaTheme="minorEastAsia"/>
        </w:rPr>
        <w:t>10、法律法规规定或中国证监会认定的其他情形。</w:t>
      </w:r>
    </w:p>
    <w:p>
      <w:pPr>
        <w:pStyle w:val="163"/>
        <w:rPr>
          <w:rFonts w:asciiTheme="minorEastAsia" w:hAnsiTheme="minorEastAsia" w:eastAsiaTheme="minorEastAsia"/>
        </w:rPr>
      </w:pPr>
      <w:r>
        <w:rPr>
          <w:rFonts w:hint="eastAsia" w:asciiTheme="minorEastAsia" w:hAnsiTheme="minorEastAsia" w:eastAsiaTheme="minorEastAsia"/>
        </w:rPr>
        <w:t>发生上述第1、2、3、5、6、7、9、10项暂停申购情形之一且基金管理人决定暂停接受投资人的申购申请时，基金管理人应当根据有关规定在规定媒介上刊登暂停申购公告。如果投资人的申购申请被全部或部分拒绝，被拒绝的申购款项本金将退还给投资人。在暂停申购的情况消除时，基金管理人应及时恢复申购业务的办理。</w:t>
      </w:r>
    </w:p>
    <w:p>
      <w:pPr>
        <w:pStyle w:val="163"/>
        <w:ind w:firstLine="422"/>
        <w:rPr>
          <w:b/>
        </w:rPr>
      </w:pPr>
      <w:bookmarkStart w:id="98" w:name="_Hlt70481650"/>
      <w:bookmarkEnd w:id="98"/>
      <w:r>
        <w:rPr>
          <w:rFonts w:hint="eastAsia"/>
          <w:b/>
        </w:rPr>
        <w:t>十、</w:t>
      </w:r>
      <w:r>
        <w:rPr>
          <w:b/>
        </w:rPr>
        <w:t>暂停赎回或延缓支付赎回款项的情形</w:t>
      </w:r>
    </w:p>
    <w:p>
      <w:pPr>
        <w:pStyle w:val="163"/>
      </w:pPr>
      <w:r>
        <w:rPr>
          <w:rFonts w:hint="eastAsia"/>
        </w:rPr>
        <w:t>发生下列情形时，基金管理人可暂停接受投资人的赎回申请或延缓支付赎回款项：</w:t>
      </w:r>
    </w:p>
    <w:p>
      <w:pPr>
        <w:pStyle w:val="163"/>
      </w:pPr>
      <w:r>
        <w:rPr>
          <w:rFonts w:hint="eastAsia"/>
        </w:rPr>
        <w:t>1、因不可抗力导致基金管理人不能支付赎回款项。</w:t>
      </w:r>
    </w:p>
    <w:p>
      <w:pPr>
        <w:pStyle w:val="163"/>
      </w:pPr>
      <w:r>
        <w:rPr>
          <w:rFonts w:hint="eastAsia"/>
        </w:rPr>
        <w:t>2、发生基金合同规定的暂停基金资产估值情况时。</w:t>
      </w:r>
    </w:p>
    <w:p>
      <w:pPr>
        <w:pStyle w:val="163"/>
      </w:pPr>
      <w:r>
        <w:rPr>
          <w:rFonts w:hint="eastAsia"/>
        </w:rPr>
        <w:t>3、证券、期货交易所或外汇市场交易时间非正常停市，导致基金管理人无法计算当日基金资产净值。</w:t>
      </w:r>
    </w:p>
    <w:p>
      <w:pPr>
        <w:pStyle w:val="163"/>
      </w:pPr>
      <w:r>
        <w:rPr>
          <w:rFonts w:hint="eastAsia"/>
        </w:rPr>
        <w:t>4、连续两个或两个以上开放日发生巨额赎回。</w:t>
      </w:r>
    </w:p>
    <w:p>
      <w:pPr>
        <w:pStyle w:val="163"/>
      </w:pPr>
      <w:r>
        <w:rPr>
          <w:rFonts w:hint="eastAsia"/>
        </w:rPr>
        <w:t>5、发生继续接受赎回申请将损害现有基金份额持有人利益的情形时，基金管理人可暂停接受基金份额持有人的赎回申请。</w:t>
      </w:r>
    </w:p>
    <w:p>
      <w:pPr>
        <w:pStyle w:val="163"/>
      </w:pPr>
      <w:r>
        <w:rPr>
          <w:rFonts w:hint="eastAsia"/>
        </w:rPr>
        <w:t>6、当特定资产占前一估值日基金资产净值50%以上的，经与基金托管人协商确认后，基金管理人应当延缓支付赎回款项或暂停接受基金赎回申请。</w:t>
      </w:r>
    </w:p>
    <w:p>
      <w:pPr>
        <w:pStyle w:val="163"/>
      </w:pPr>
      <w:r>
        <w:rPr>
          <w:rFonts w:hint="eastAsia"/>
        </w:rPr>
        <w:t>7、法律法规规定或中国证监会认定的其他情形。</w:t>
      </w:r>
    </w:p>
    <w:p>
      <w:pPr>
        <w:pStyle w:val="163"/>
      </w:pPr>
      <w:r>
        <w:rPr>
          <w:rFonts w:hint="eastAsia"/>
        </w:rPr>
        <w:t>发生上述情形之一（第4项除外）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pStyle w:val="163"/>
        <w:ind w:firstLine="422"/>
        <w:rPr>
          <w:b/>
        </w:rPr>
      </w:pPr>
      <w:r>
        <w:rPr>
          <w:rFonts w:hint="eastAsia"/>
          <w:b/>
        </w:rPr>
        <w:t>十一、</w:t>
      </w:r>
      <w:r>
        <w:rPr>
          <w:b/>
        </w:rPr>
        <w:t>巨额赎回的情形及处理方式</w:t>
      </w:r>
    </w:p>
    <w:p>
      <w:pPr>
        <w:pStyle w:val="163"/>
      </w:pPr>
      <w:r>
        <w:rPr>
          <w:rFonts w:hint="eastAsia"/>
        </w:rPr>
        <w:t>1、巨额赎回的认定</w:t>
      </w:r>
    </w:p>
    <w:p>
      <w:pPr>
        <w:pStyle w:val="163"/>
      </w:pPr>
      <w:r>
        <w:rPr>
          <w:rFonts w:hint="eastAsia"/>
        </w:rPr>
        <w:t>若本基金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w:t>
      </w:r>
    </w:p>
    <w:p>
      <w:pPr>
        <w:pStyle w:val="163"/>
      </w:pPr>
      <w:r>
        <w:rPr>
          <w:rFonts w:hint="eastAsia"/>
        </w:rPr>
        <w:t>2、巨额赎回的处理方式</w:t>
      </w:r>
    </w:p>
    <w:p>
      <w:pPr>
        <w:pStyle w:val="163"/>
      </w:pPr>
      <w:r>
        <w:rPr>
          <w:rFonts w:hint="eastAsia"/>
        </w:rPr>
        <w:t>当基金出现巨额赎回时，基金管理人可以根据基金当时的资产组合状况决定全额赎回、部分延期赎回或暂停赎回。</w:t>
      </w:r>
    </w:p>
    <w:p>
      <w:pPr>
        <w:pStyle w:val="163"/>
      </w:pPr>
      <w:r>
        <w:rPr>
          <w:rFonts w:hint="eastAsia"/>
        </w:rPr>
        <w:t>（1）全额赎回：当基金管理人认为有能力支付投资人的全部赎回申请时，按正常赎回程序执行。</w:t>
      </w:r>
    </w:p>
    <w:p>
      <w:pPr>
        <w:pStyle w:val="163"/>
      </w:pPr>
      <w:r>
        <w:rPr>
          <w:rFonts w:hint="eastAsia"/>
        </w:rPr>
        <w:t>（2）部分延期赎回：当基金管理人认为支付投资人的赎回申请有困难或认为因支付投资人的赎回申请而进行的财产变现可能会对基金资产净值造成较大波动时，基金管理人在当日接受赎回比例不低于上一工作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w:t>
      </w:r>
    </w:p>
    <w:p>
      <w:pPr>
        <w:pStyle w:val="163"/>
      </w:pPr>
      <w:r>
        <w:rPr>
          <w:rFonts w:hint="eastAsia"/>
        </w:rPr>
        <w:t>（3）本基金发生巨额赎回时，对于单个基金份额持有人当日赎回申请超过上一工作日基金总份额10%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工作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w:t>
      </w:r>
    </w:p>
    <w:p>
      <w:pPr>
        <w:pStyle w:val="163"/>
      </w:pPr>
      <w:r>
        <w:rPr>
          <w:rFonts w:hint="eastAsia"/>
        </w:rPr>
        <w:t>（4）暂停赎回：连续2个开放日以上（含2个开放日）发生巨额赎回，如基金管理人认为有必要，可暂停接受基金的赎回申请；已经接受的赎回申请可以延缓支付赎回款项，但不得超过20个工作日，并应当在规定媒介上进行公告。</w:t>
      </w:r>
    </w:p>
    <w:p>
      <w:pPr>
        <w:pStyle w:val="163"/>
      </w:pPr>
      <w:r>
        <w:rPr>
          <w:rFonts w:hint="eastAsia"/>
        </w:rPr>
        <w:t>3、巨额赎回的公告</w:t>
      </w:r>
    </w:p>
    <w:p>
      <w:pPr>
        <w:pStyle w:val="163"/>
      </w:pPr>
      <w:r>
        <w:rPr>
          <w:rFonts w:hint="eastAsia"/>
        </w:rPr>
        <w:t>当发生上述巨额赎回并延期办理时，基金管理人应当通过邮寄、传真或者招募说明书规定的其他方式在3个交易日内通知基金份额持有人，说明有关处理方法，并在2日内在规定媒介上刊登公告。</w:t>
      </w:r>
    </w:p>
    <w:p>
      <w:pPr>
        <w:pStyle w:val="163"/>
        <w:ind w:firstLine="422"/>
        <w:rPr>
          <w:b/>
        </w:rPr>
      </w:pPr>
      <w:r>
        <w:rPr>
          <w:b/>
        </w:rPr>
        <w:t>十</w:t>
      </w:r>
      <w:r>
        <w:rPr>
          <w:rFonts w:hint="eastAsia"/>
          <w:b/>
        </w:rPr>
        <w:t>二、</w:t>
      </w:r>
      <w:r>
        <w:rPr>
          <w:b/>
        </w:rPr>
        <w:t>暂停申购或赎回的公告和重新开放申购或赎回的公告</w:t>
      </w:r>
    </w:p>
    <w:p>
      <w:pPr>
        <w:pStyle w:val="163"/>
        <w:rPr>
          <w:rFonts w:ascii="宋体" w:hAnsi="宋体"/>
          <w:bCs/>
        </w:rPr>
      </w:pPr>
      <w:r>
        <w:rPr>
          <w:rFonts w:ascii="宋体" w:hAnsi="宋体"/>
          <w:bCs/>
        </w:rPr>
        <w:t>1</w:t>
      </w:r>
      <w:r>
        <w:rPr>
          <w:rFonts w:hint="eastAsia" w:ascii="宋体" w:hAnsi="宋体"/>
          <w:bCs/>
        </w:rPr>
        <w:t>、发生上述暂停申购或赎回情况的，基金管理人应在规定期限内在规定媒介上刊登暂停公告。</w:t>
      </w:r>
    </w:p>
    <w:p>
      <w:pPr>
        <w:pStyle w:val="163"/>
        <w:rPr>
          <w:rFonts w:ascii="宋体" w:hAnsi="宋体"/>
          <w:bCs/>
        </w:rPr>
      </w:pPr>
      <w:r>
        <w:rPr>
          <w:rFonts w:hint="eastAsia" w:ascii="宋体" w:hAnsi="宋体"/>
          <w:bCs/>
        </w:rPr>
        <w:t>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pPr>
        <w:pStyle w:val="163"/>
      </w:pPr>
      <w:r>
        <w:rPr>
          <w:rFonts w:hint="eastAsia" w:ascii="宋体" w:hAnsi="宋体"/>
          <w:bCs/>
        </w:rPr>
        <w:t>3、上述暂停申购或赎回情况消除的，基金管理人应于重新开放日公布最近1个开放日各类基金份额净值。</w:t>
      </w:r>
    </w:p>
    <w:p>
      <w:pPr>
        <w:pStyle w:val="163"/>
        <w:ind w:firstLine="422"/>
        <w:rPr>
          <w:b/>
        </w:rPr>
      </w:pPr>
      <w:r>
        <w:rPr>
          <w:b/>
        </w:rPr>
        <w:t>十</w:t>
      </w:r>
      <w:r>
        <w:rPr>
          <w:rFonts w:hint="eastAsia"/>
          <w:b/>
        </w:rPr>
        <w:t>三、</w:t>
      </w:r>
      <w:r>
        <w:rPr>
          <w:b/>
        </w:rPr>
        <w:t>基金转换</w:t>
      </w:r>
    </w:p>
    <w:p>
      <w:pPr>
        <w:pStyle w:val="163"/>
      </w:pPr>
      <w:r>
        <w:rPr>
          <w:rFonts w:hint="eastAsia" w:ascii="宋体" w:hAnsi="宋体"/>
          <w:bCs/>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pPr>
        <w:pStyle w:val="163"/>
        <w:ind w:firstLine="422"/>
        <w:rPr>
          <w:b/>
          <w:szCs w:val="24"/>
        </w:rPr>
      </w:pPr>
      <w:r>
        <w:rPr>
          <w:rFonts w:hint="eastAsia"/>
          <w:b/>
          <w:szCs w:val="24"/>
        </w:rPr>
        <w:t>十四、基金份额的转让</w:t>
      </w:r>
    </w:p>
    <w:p>
      <w:pPr>
        <w:pStyle w:val="163"/>
        <w:rPr>
          <w:szCs w:val="24"/>
        </w:rPr>
      </w:pPr>
      <w:r>
        <w:rPr>
          <w:rFonts w:hint="eastAsia"/>
          <w:szCs w:val="24"/>
        </w:rPr>
        <w:t>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pStyle w:val="163"/>
        <w:ind w:firstLine="422"/>
        <w:rPr>
          <w:b/>
          <w:szCs w:val="24"/>
        </w:rPr>
      </w:pPr>
      <w:r>
        <w:rPr>
          <w:rFonts w:hint="eastAsia"/>
          <w:b/>
          <w:szCs w:val="24"/>
        </w:rPr>
        <w:t>十五、基金的非交易过户</w:t>
      </w:r>
    </w:p>
    <w:p>
      <w:pPr>
        <w:pStyle w:val="163"/>
        <w:rPr>
          <w:szCs w:val="24"/>
        </w:rPr>
      </w:pPr>
      <w:r>
        <w:rPr>
          <w:rFonts w:hint="eastAsia"/>
          <w:szCs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pStyle w:val="163"/>
        <w:rPr>
          <w:szCs w:val="24"/>
        </w:rPr>
      </w:pPr>
      <w:r>
        <w:rPr>
          <w:rFonts w:hint="eastAsia"/>
          <w:szCs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pStyle w:val="163"/>
        <w:ind w:firstLine="422"/>
        <w:rPr>
          <w:b/>
          <w:szCs w:val="24"/>
        </w:rPr>
      </w:pPr>
      <w:r>
        <w:rPr>
          <w:rFonts w:hint="eastAsia"/>
          <w:b/>
          <w:szCs w:val="24"/>
        </w:rPr>
        <w:t>十六、基金的转托管</w:t>
      </w:r>
    </w:p>
    <w:p>
      <w:pPr>
        <w:pStyle w:val="163"/>
        <w:rPr>
          <w:szCs w:val="24"/>
        </w:rPr>
      </w:pPr>
      <w:r>
        <w:rPr>
          <w:rFonts w:hint="eastAsia"/>
          <w:szCs w:val="24"/>
        </w:rPr>
        <w:t>基金份额持有人可办理已持有基金份额在不同销售机构之间的转托管，基金销售机构可以按照规定的标准收取转托管费。</w:t>
      </w:r>
    </w:p>
    <w:p>
      <w:pPr>
        <w:pStyle w:val="163"/>
        <w:ind w:firstLine="422"/>
        <w:rPr>
          <w:b/>
          <w:szCs w:val="24"/>
        </w:rPr>
      </w:pPr>
      <w:r>
        <w:rPr>
          <w:rFonts w:hint="eastAsia"/>
          <w:b/>
          <w:szCs w:val="24"/>
        </w:rPr>
        <w:t>十七、定期定额投资计划</w:t>
      </w:r>
    </w:p>
    <w:p>
      <w:pPr>
        <w:pStyle w:val="163"/>
        <w:rPr>
          <w:szCs w:val="24"/>
        </w:rPr>
      </w:pPr>
      <w:r>
        <w:rPr>
          <w:rFonts w:hint="eastAsia"/>
          <w:szCs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pPr>
        <w:pStyle w:val="163"/>
        <w:ind w:firstLine="422"/>
        <w:rPr>
          <w:b/>
          <w:szCs w:val="24"/>
        </w:rPr>
      </w:pPr>
      <w:r>
        <w:rPr>
          <w:rFonts w:hint="eastAsia"/>
          <w:b/>
          <w:szCs w:val="24"/>
        </w:rPr>
        <w:t>十八、基金份额的冻结、解冻与质押</w:t>
      </w:r>
    </w:p>
    <w:p>
      <w:pPr>
        <w:pStyle w:val="163"/>
        <w:rPr>
          <w:szCs w:val="24"/>
        </w:rPr>
      </w:pPr>
      <w:r>
        <w:rPr>
          <w:rFonts w:hint="eastAsia"/>
          <w:szCs w:val="24"/>
        </w:rPr>
        <w:t>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对基金份额持有人无实质不利影响的前提下，如相关法律法规允许，基金管理人履行相关程序后可办理基金份额的质押业务或其他基金业务，基金管理人将制定和实施相应的业务规则。</w:t>
      </w:r>
    </w:p>
    <w:p>
      <w:pPr>
        <w:pStyle w:val="163"/>
        <w:ind w:firstLine="422"/>
        <w:rPr>
          <w:b/>
          <w:szCs w:val="24"/>
        </w:rPr>
      </w:pPr>
      <w:r>
        <w:rPr>
          <w:rFonts w:hint="eastAsia"/>
          <w:b/>
          <w:szCs w:val="24"/>
        </w:rPr>
        <w:t>十九、实施侧袋机制期间本基金的申购与赎回</w:t>
      </w:r>
    </w:p>
    <w:p>
      <w:pPr>
        <w:pStyle w:val="163"/>
        <w:rPr>
          <w:rFonts w:asciiTheme="minorEastAsia" w:hAnsiTheme="minorEastAsia" w:eastAsiaTheme="minorEastAsia"/>
        </w:rPr>
      </w:pPr>
      <w:r>
        <w:rPr>
          <w:rFonts w:hint="eastAsia"/>
          <w:szCs w:val="24"/>
        </w:rPr>
        <w:t>本基金实施侧袋机制的，本基金的申购和赎回安排详见招募说明书“侧袋机制”部分的规定或相关公告。</w:t>
      </w:r>
    </w:p>
    <w:bookmarkEnd w:id="97"/>
    <w:p>
      <w:pPr>
        <w:snapToGrid w:val="0"/>
        <w:spacing w:line="360" w:lineRule="auto"/>
        <w:ind w:firstLine="420" w:firstLineChars="200"/>
        <w:sectPr>
          <w:footerReference r:id="rId16" w:type="first"/>
          <w:footerReference r:id="rId15" w:type="default"/>
          <w:pgSz w:w="11906" w:h="16838"/>
          <w:pgMar w:top="1440" w:right="1800" w:bottom="1440" w:left="1800" w:header="851" w:footer="992" w:gutter="0"/>
          <w:cols w:space="425" w:num="1"/>
          <w:titlePg/>
          <w:docGrid w:type="lines" w:linePitch="312" w:charSpace="0"/>
        </w:sectPr>
      </w:pPr>
    </w:p>
    <w:p>
      <w:pPr>
        <w:pStyle w:val="3"/>
        <w:numPr>
          <w:ilvl w:val="0"/>
          <w:numId w:val="25"/>
        </w:numPr>
        <w:snapToGrid w:val="0"/>
        <w:spacing w:before="0" w:after="0" w:line="360" w:lineRule="auto"/>
        <w:jc w:val="center"/>
      </w:pPr>
      <w:bookmarkStart w:id="99" w:name="_Toc332013119"/>
      <w:bookmarkStart w:id="100" w:name="_Toc336606236"/>
      <w:bookmarkStart w:id="101" w:name="_Toc3636"/>
      <w:bookmarkStart w:id="102" w:name="_Toc8902"/>
      <w:bookmarkStart w:id="103" w:name="_Toc335899842"/>
      <w:bookmarkStart w:id="104" w:name="_Toc369510017"/>
      <w:bookmarkStart w:id="105" w:name="_Toc375295982"/>
      <w:bookmarkStart w:id="106" w:name="_Toc411872031"/>
      <w:r>
        <w:rPr>
          <w:rFonts w:hint="eastAsia"/>
        </w:rPr>
        <w:t>基金的投资</w:t>
      </w:r>
      <w:bookmarkEnd w:id="99"/>
      <w:bookmarkEnd w:id="100"/>
      <w:bookmarkEnd w:id="101"/>
      <w:bookmarkEnd w:id="102"/>
      <w:bookmarkEnd w:id="103"/>
      <w:bookmarkEnd w:id="104"/>
      <w:bookmarkEnd w:id="105"/>
      <w:bookmarkEnd w:id="106"/>
    </w:p>
    <w:p>
      <w:pPr>
        <w:pStyle w:val="163"/>
        <w:ind w:firstLine="422"/>
        <w:rPr>
          <w:b/>
        </w:rPr>
      </w:pPr>
      <w:bookmarkStart w:id="107" w:name="_Hlk114654704"/>
      <w:r>
        <w:rPr>
          <w:b/>
        </w:rPr>
        <w:t>一、投资目标</w:t>
      </w:r>
    </w:p>
    <w:p>
      <w:pPr>
        <w:adjustRightInd w:val="0"/>
        <w:snapToGrid w:val="0"/>
        <w:spacing w:line="360" w:lineRule="auto"/>
        <w:ind w:firstLine="420" w:firstLineChars="200"/>
        <w:rPr>
          <w:rFonts w:asciiTheme="minorEastAsia" w:hAnsiTheme="minorEastAsia" w:eastAsiaTheme="minorEastAsia"/>
          <w:szCs w:val="21"/>
        </w:rPr>
      </w:pPr>
      <w:r>
        <w:rPr>
          <w:rFonts w:hint="eastAsia" w:ascii="宋体" w:cs="宋体"/>
          <w:kern w:val="0"/>
          <w:szCs w:val="21"/>
        </w:rPr>
        <w:t>紧密跟踪标的指数，追求跟踪偏离度和跟踪误差的最小化。在正常情况下，本基金力争控制投资组合的净值增长率与业绩比较基准之间的预期日均跟踪偏离度的绝对值小于0.35%，预期年化跟踪误差不超过4%。</w:t>
      </w:r>
    </w:p>
    <w:p>
      <w:pPr>
        <w:pStyle w:val="163"/>
        <w:ind w:firstLine="422"/>
        <w:rPr>
          <w:b/>
        </w:rPr>
      </w:pPr>
      <w:r>
        <w:rPr>
          <w:rFonts w:hint="eastAsia"/>
          <w:b/>
        </w:rPr>
        <w:t xml:space="preserve"> </w:t>
      </w:r>
      <w:r>
        <w:rPr>
          <w:b/>
        </w:rPr>
        <w:t>二、投资范围</w:t>
      </w:r>
    </w:p>
    <w:p>
      <w:pPr>
        <w:pStyle w:val="163"/>
      </w:pPr>
      <w:r>
        <w:rPr>
          <w:rFonts w:hint="eastAsia"/>
        </w:rPr>
        <w:t>本基金主要投资于标的指数成份股和备选成份股（含存托凭证）。</w:t>
      </w:r>
    </w:p>
    <w:p>
      <w:pPr>
        <w:pStyle w:val="163"/>
      </w:pPr>
      <w:r>
        <w:rPr>
          <w:rFonts w:hint="eastAsia"/>
        </w:rPr>
        <w:t>为更好地实现基金的投资目标，本基金可能会少量投资于依法发行上市的非成份股（包括主板、创业板及其他经中国证监会核准或注册上市的股票、存托凭证）、港股通标的股票、债券（包括国债、金融债、地方政府债、政府支持机构债券、企业债、公司债、可转换债券（含可分离交易可转债的纯债部分）、可交换债券、央行票据、短期融资券、超短期融资券、中期票据）、资产支持证券、衍生工具（包括股指期货、国债期货、股票期权）、债券回购、货币市场工具（包括银行存款、同业存单）以及法律法规或中国证监会允许基金投资的其他金融工具（但须符合中国证监会的相关规定）。</w:t>
      </w:r>
    </w:p>
    <w:p>
      <w:pPr>
        <w:pStyle w:val="163"/>
      </w:pPr>
      <w:r>
        <w:rPr>
          <w:rFonts w:hint="eastAsia"/>
        </w:rPr>
        <w:t>本基金可根据法律法规的规定参与融资及转融通证券出借业务。未来在法律法规允许的前提下，本基金可根据相关法律法规规定参与融券业务。</w:t>
      </w:r>
    </w:p>
    <w:p>
      <w:pPr>
        <w:pStyle w:val="163"/>
      </w:pPr>
      <w:r>
        <w:rPr>
          <w:rFonts w:hint="eastAsia"/>
        </w:rPr>
        <w:t>本基金根据相关法律法规或中国证监会要求履行适当程序后，还可以投资于法律法规或中国证监会未来允许基金投资的其他金融工具。</w:t>
      </w:r>
    </w:p>
    <w:p>
      <w:pPr>
        <w:pStyle w:val="163"/>
      </w:pPr>
      <w:r>
        <w:rPr>
          <w:rFonts w:hint="eastAsia"/>
        </w:rPr>
        <w:t>本基金的股票资产投资比例不低于基金资产的90%，其中投资于标的指数成份股和备选成份股的资产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w:t>
      </w:r>
    </w:p>
    <w:p>
      <w:pPr>
        <w:pStyle w:val="163"/>
      </w:pPr>
      <w:r>
        <w:rPr>
          <w:rFonts w:hint="eastAsia"/>
        </w:rPr>
        <w:t>若法律法规的相关规定发生变更或监管机构允许，本基金管理人在履行适当程序后，可对上述资产配置比例进行调整。</w:t>
      </w:r>
    </w:p>
    <w:p>
      <w:pPr>
        <w:pStyle w:val="163"/>
        <w:ind w:firstLine="422"/>
        <w:rPr>
          <w:b/>
        </w:rPr>
      </w:pPr>
      <w:r>
        <w:rPr>
          <w:b/>
        </w:rPr>
        <w:t>三、投资策略</w:t>
      </w:r>
    </w:p>
    <w:p>
      <w:pPr>
        <w:pStyle w:val="163"/>
        <w:rPr>
          <w:rFonts w:ascii="宋体" w:hAnsi="宋体"/>
          <w:szCs w:val="24"/>
        </w:rPr>
      </w:pPr>
      <w:r>
        <w:rPr>
          <w:rFonts w:hint="eastAsia" w:ascii="宋体" w:hAnsi="宋体"/>
          <w:szCs w:val="24"/>
        </w:rPr>
        <w:t>1、组合复制策略</w:t>
      </w:r>
    </w:p>
    <w:p>
      <w:pPr>
        <w:pStyle w:val="163"/>
        <w:rPr>
          <w:rFonts w:ascii="宋体" w:hAnsi="宋体"/>
          <w:szCs w:val="24"/>
        </w:rPr>
      </w:pPr>
      <w:r>
        <w:rPr>
          <w:rFonts w:hint="eastAsia" w:ascii="宋体" w:hAnsi="宋体"/>
          <w:szCs w:val="24"/>
        </w:rPr>
        <w:t>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1）法律法规的限制；（2）标的指数成份股流动性严重不足；（3）标的指数的成份股长期停牌；（4）其它合理原因导致本基金管理人对标的指数的跟踪构成严重制约等。</w:t>
      </w:r>
    </w:p>
    <w:p>
      <w:pPr>
        <w:pStyle w:val="163"/>
        <w:rPr>
          <w:rFonts w:ascii="宋体" w:hAnsi="宋体"/>
          <w:szCs w:val="24"/>
        </w:rPr>
      </w:pPr>
      <w:r>
        <w:rPr>
          <w:rFonts w:hint="eastAsia" w:ascii="宋体" w:hAnsi="宋体"/>
          <w:szCs w:val="24"/>
        </w:rPr>
        <w:t>在正常情况下，本基金力争控制投资组合的净值增长率与业绩比较基准之间的预期日均跟踪偏离度的绝对值小于0.35%，预期年化跟踪误差不超过4%。如因标的指数编制规则调整等其他原因，导致基金日均跟踪偏离度和跟踪误差变大，基金管理人应采取合理措施，避免日均跟踪偏离度和跟踪误差的进一步扩大。</w:t>
      </w:r>
    </w:p>
    <w:p>
      <w:pPr>
        <w:pStyle w:val="163"/>
        <w:rPr>
          <w:rFonts w:ascii="宋体" w:hAnsi="宋体"/>
          <w:szCs w:val="24"/>
        </w:rPr>
      </w:pPr>
      <w:r>
        <w:rPr>
          <w:rFonts w:hint="eastAsia" w:ascii="宋体" w:hAnsi="宋体"/>
          <w:szCs w:val="24"/>
        </w:rPr>
        <w:t>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pPr>
        <w:pStyle w:val="163"/>
        <w:rPr>
          <w:rFonts w:ascii="宋体" w:hAnsi="宋体"/>
          <w:szCs w:val="24"/>
        </w:rPr>
      </w:pPr>
      <w:r>
        <w:rPr>
          <w:rFonts w:hint="eastAsia" w:ascii="宋体" w:hAnsi="宋体"/>
          <w:szCs w:val="24"/>
        </w:rPr>
        <w:t>为了实现更好的跟踪标的指数的目的，基金管理人还将综合考虑标的指数成份股的数量、流动性、投资限制、交易费用及成本，以及税务及其他监管限制，决定是否采用抽样复制的策略。对于复制方法的变更，本基金管理人需在方法变更前按规定在规定媒介公告，并阐明变更复制方法的原因。</w:t>
      </w:r>
    </w:p>
    <w:p>
      <w:pPr>
        <w:pStyle w:val="163"/>
        <w:rPr>
          <w:rFonts w:ascii="宋体" w:hAnsi="宋体"/>
          <w:szCs w:val="24"/>
        </w:rPr>
      </w:pPr>
      <w:r>
        <w:rPr>
          <w:rFonts w:hint="eastAsia" w:ascii="宋体" w:hAnsi="宋体"/>
          <w:szCs w:val="24"/>
        </w:rPr>
        <w:t>2、债券（除可转换债券和可交换债券）投资策略</w:t>
      </w:r>
    </w:p>
    <w:p>
      <w:pPr>
        <w:pStyle w:val="163"/>
        <w:rPr>
          <w:rFonts w:ascii="宋体" w:hAnsi="宋体"/>
          <w:szCs w:val="24"/>
        </w:rPr>
      </w:pPr>
      <w:r>
        <w:rPr>
          <w:rFonts w:hint="eastAsia" w:ascii="宋体" w:hAnsi="宋体"/>
          <w:szCs w:val="24"/>
        </w:rPr>
        <w:t>本基金债券投资组合将着重考虑基金的流动性管理及策略性投资的需要进行配置。债券投资的目的是保证基金资产流动性，有效利用基金资产，提高基金资产的投资收益。</w:t>
      </w:r>
    </w:p>
    <w:p>
      <w:pPr>
        <w:pStyle w:val="163"/>
        <w:rPr>
          <w:rFonts w:ascii="宋体" w:hAnsi="宋体"/>
          <w:szCs w:val="24"/>
        </w:rPr>
      </w:pPr>
      <w:r>
        <w:rPr>
          <w:rFonts w:hint="eastAsia" w:ascii="宋体" w:hAnsi="宋体"/>
          <w:szCs w:val="24"/>
        </w:rPr>
        <w:t>3、港股通标的股票投资策略</w:t>
      </w:r>
    </w:p>
    <w:p>
      <w:pPr>
        <w:pStyle w:val="163"/>
        <w:rPr>
          <w:rFonts w:ascii="宋体" w:hAnsi="宋体"/>
          <w:szCs w:val="24"/>
        </w:rPr>
      </w:pPr>
      <w:r>
        <w:rPr>
          <w:rFonts w:hint="eastAsia" w:ascii="宋体" w:hAnsi="宋体"/>
          <w:szCs w:val="24"/>
        </w:rPr>
        <w:t>在特殊情况下，本基金将少量投资于港股通标的股票以进行替代复制。对于同时有A股、H股的指数成份公司，如果该公司A股长期停牌，组合无法买入该股票时，可以买入该公司H股进行替代。</w:t>
      </w:r>
    </w:p>
    <w:p>
      <w:pPr>
        <w:pStyle w:val="163"/>
        <w:rPr>
          <w:rFonts w:ascii="宋体" w:hAnsi="宋体"/>
          <w:szCs w:val="24"/>
        </w:rPr>
      </w:pPr>
      <w:r>
        <w:rPr>
          <w:rFonts w:hint="eastAsia" w:ascii="宋体" w:hAnsi="宋体"/>
          <w:szCs w:val="24"/>
        </w:rPr>
        <w:t>4、资产支持证券的投资策略</w:t>
      </w:r>
    </w:p>
    <w:p>
      <w:pPr>
        <w:pStyle w:val="163"/>
        <w:rPr>
          <w:rFonts w:ascii="宋体" w:hAnsi="宋体"/>
          <w:szCs w:val="24"/>
        </w:rPr>
      </w:pPr>
      <w:r>
        <w:rPr>
          <w:rFonts w:hint="eastAsia" w:ascii="宋体" w:hAnsi="宋体"/>
          <w:szCs w:val="24"/>
        </w:rPr>
        <w:t>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w:t>
      </w:r>
    </w:p>
    <w:p>
      <w:pPr>
        <w:pStyle w:val="163"/>
        <w:rPr>
          <w:rFonts w:ascii="宋体" w:hAnsi="宋体"/>
          <w:szCs w:val="24"/>
        </w:rPr>
      </w:pPr>
      <w:r>
        <w:rPr>
          <w:rFonts w:hint="eastAsia" w:ascii="宋体" w:hAnsi="宋体"/>
          <w:szCs w:val="24"/>
        </w:rPr>
        <w:t>5、可转换债券和可交换债券投资策略</w:t>
      </w:r>
    </w:p>
    <w:p>
      <w:pPr>
        <w:pStyle w:val="163"/>
        <w:rPr>
          <w:rFonts w:ascii="宋体" w:hAnsi="宋体"/>
          <w:szCs w:val="24"/>
        </w:rPr>
      </w:pPr>
      <w:r>
        <w:rPr>
          <w:rFonts w:hint="eastAsia" w:ascii="宋体" w:hAnsi="宋体"/>
          <w:szCs w:val="24"/>
        </w:rPr>
        <w:t>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w:t>
      </w:r>
    </w:p>
    <w:p>
      <w:pPr>
        <w:pStyle w:val="163"/>
        <w:rPr>
          <w:rFonts w:ascii="宋体" w:hAnsi="宋体"/>
          <w:szCs w:val="24"/>
        </w:rPr>
      </w:pPr>
      <w:r>
        <w:rPr>
          <w:rFonts w:hint="eastAsia" w:ascii="宋体" w:hAnsi="宋体"/>
          <w:szCs w:val="24"/>
        </w:rPr>
        <w:t>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w:t>
      </w:r>
    </w:p>
    <w:p>
      <w:pPr>
        <w:pStyle w:val="163"/>
        <w:rPr>
          <w:rFonts w:ascii="宋体" w:hAnsi="宋体"/>
          <w:szCs w:val="24"/>
        </w:rPr>
      </w:pPr>
      <w:r>
        <w:rPr>
          <w:rFonts w:hint="eastAsia" w:ascii="宋体" w:hAnsi="宋体"/>
          <w:szCs w:val="24"/>
        </w:rPr>
        <w:t>6、衍生品投资策略</w:t>
      </w:r>
    </w:p>
    <w:p>
      <w:pPr>
        <w:pStyle w:val="163"/>
        <w:rPr>
          <w:rFonts w:ascii="宋体" w:hAnsi="宋体"/>
          <w:szCs w:val="24"/>
        </w:rPr>
      </w:pPr>
      <w:r>
        <w:rPr>
          <w:rFonts w:hint="eastAsia" w:ascii="宋体" w:hAnsi="宋体"/>
          <w:szCs w:val="24"/>
        </w:rPr>
        <w:t>（1）股指期货、国债期货投资策略</w:t>
      </w:r>
    </w:p>
    <w:p>
      <w:pPr>
        <w:pStyle w:val="163"/>
        <w:rPr>
          <w:rFonts w:ascii="宋体" w:hAnsi="宋体"/>
          <w:szCs w:val="24"/>
        </w:rPr>
      </w:pPr>
      <w:r>
        <w:rPr>
          <w:rFonts w:hint="eastAsia" w:ascii="宋体" w:hAnsi="宋体"/>
          <w:szCs w:val="24"/>
        </w:rPr>
        <w:t>本基金投资股指期货将根据风险管理的原则，以套期保值为目的，力争利用股指期货的杠杆作用，降低股票仓位频繁调整的交易成本和跟踪误差，达到有效跟踪标的指数的目的。</w:t>
      </w:r>
    </w:p>
    <w:p>
      <w:pPr>
        <w:pStyle w:val="163"/>
        <w:rPr>
          <w:rFonts w:ascii="宋体" w:hAnsi="宋体"/>
          <w:szCs w:val="24"/>
        </w:rPr>
      </w:pPr>
      <w:r>
        <w:rPr>
          <w:rFonts w:hint="eastAsia" w:ascii="宋体" w:hAnsi="宋体"/>
          <w:szCs w:val="24"/>
        </w:rPr>
        <w:t>本基金将根据风险管理的原则，以套期保值为目的，在风险可控的前提下，本着谨慎原则，参与国债期货的投资，改善组合的风险收益特性。</w:t>
      </w:r>
    </w:p>
    <w:p>
      <w:pPr>
        <w:pStyle w:val="163"/>
        <w:rPr>
          <w:rFonts w:ascii="宋体" w:hAnsi="宋体"/>
          <w:szCs w:val="24"/>
        </w:rPr>
      </w:pPr>
      <w:r>
        <w:rPr>
          <w:rFonts w:hint="eastAsia" w:ascii="宋体" w:hAnsi="宋体"/>
          <w:szCs w:val="24"/>
        </w:rPr>
        <w:t>（2）股票期权投资策略</w:t>
      </w:r>
    </w:p>
    <w:p>
      <w:pPr>
        <w:pStyle w:val="163"/>
        <w:rPr>
          <w:rFonts w:ascii="宋体" w:hAnsi="宋体"/>
          <w:szCs w:val="24"/>
        </w:rPr>
      </w:pPr>
      <w:r>
        <w:rPr>
          <w:rFonts w:hint="eastAsia" w:ascii="宋体" w:hAnsi="宋体"/>
          <w:szCs w:val="24"/>
        </w:rPr>
        <w:t>本基金将按照风险管理的原则，以套期保值为主要目的参与股票期权交易。本基金将结合投资目标、比例限制、风险收益特征以及法律法规的相关限定和要求，确定参与股票期权交易的投资时机和投资比例。</w:t>
      </w:r>
    </w:p>
    <w:p>
      <w:pPr>
        <w:pStyle w:val="163"/>
        <w:rPr>
          <w:rFonts w:ascii="宋体" w:hAnsi="宋体"/>
          <w:szCs w:val="24"/>
        </w:rPr>
      </w:pPr>
      <w:r>
        <w:rPr>
          <w:rFonts w:hint="eastAsia" w:ascii="宋体" w:hAnsi="宋体"/>
          <w:szCs w:val="24"/>
        </w:rPr>
        <w:t>7、融资及转融通证券出借业务投资策略</w:t>
      </w:r>
    </w:p>
    <w:p>
      <w:pPr>
        <w:pStyle w:val="163"/>
        <w:rPr>
          <w:rFonts w:ascii="宋体" w:hAnsi="宋体"/>
          <w:szCs w:val="24"/>
        </w:rPr>
      </w:pPr>
      <w:r>
        <w:rPr>
          <w:rFonts w:hint="eastAsia" w:ascii="宋体" w:hAnsi="宋体"/>
          <w:szCs w:val="24"/>
        </w:rPr>
        <w:t>本基金将在充分考虑风险和收益特征的基础上，审慎参与融资及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未来在法律法规允许的前提下，本基金将依据法律法规的相关规定参与融券业务。</w:t>
      </w:r>
    </w:p>
    <w:p>
      <w:pPr>
        <w:pStyle w:val="163"/>
        <w:rPr>
          <w:rFonts w:ascii="宋体" w:hAnsi="宋体"/>
          <w:szCs w:val="24"/>
        </w:rPr>
      </w:pPr>
      <w:r>
        <w:rPr>
          <w:rFonts w:hint="eastAsia" w:ascii="宋体" w:hAnsi="宋体"/>
          <w:szCs w:val="24"/>
        </w:rPr>
        <w:t>8、存托凭证投资策略</w:t>
      </w:r>
    </w:p>
    <w:p>
      <w:pPr>
        <w:pStyle w:val="163"/>
        <w:rPr>
          <w:rFonts w:ascii="宋体" w:hAnsi="宋体"/>
          <w:szCs w:val="24"/>
        </w:rPr>
      </w:pPr>
      <w:r>
        <w:rPr>
          <w:rFonts w:hint="eastAsia" w:ascii="宋体" w:hAnsi="宋体"/>
          <w:szCs w:val="24"/>
        </w:rPr>
        <w:t>本基金将根据本基金的投资目标，基于对基础证券投资价值的深入研究判断，进行存托凭证的投资。</w:t>
      </w:r>
    </w:p>
    <w:p>
      <w:pPr>
        <w:adjustRightInd w:val="0"/>
        <w:snapToGrid w:val="0"/>
        <w:spacing w:line="360" w:lineRule="auto"/>
        <w:ind w:firstLine="420" w:firstLineChars="200"/>
        <w:rPr>
          <w:rFonts w:ascii="宋体" w:hAnsi="宋体"/>
        </w:rPr>
      </w:pPr>
      <w:r>
        <w:rPr>
          <w:rFonts w:hint="eastAsia" w:ascii="宋体" w:hAnsi="宋体"/>
        </w:rPr>
        <w:t>未来，随着投资工具的发展和丰富，本基金可在不改变投资目标的前提下，相应调整和更新相关投资策略，并在更新的招募说明书中公告。</w:t>
      </w:r>
    </w:p>
    <w:p>
      <w:pPr>
        <w:pStyle w:val="163"/>
        <w:ind w:firstLine="422"/>
        <w:rPr>
          <w:b/>
        </w:rPr>
      </w:pPr>
      <w:r>
        <w:rPr>
          <w:rFonts w:hint="eastAsia"/>
          <w:b/>
        </w:rPr>
        <w:t>四</w:t>
      </w:r>
      <w:r>
        <w:rPr>
          <w:b/>
        </w:rPr>
        <w:t>、投资限制</w:t>
      </w:r>
    </w:p>
    <w:p>
      <w:pPr>
        <w:pStyle w:val="163"/>
        <w:rPr>
          <w:rFonts w:asciiTheme="minorEastAsia" w:hAnsiTheme="minorEastAsia" w:eastAsiaTheme="minorEastAsia"/>
        </w:rPr>
      </w:pPr>
      <w:r>
        <w:rPr>
          <w:rFonts w:hint="eastAsia" w:asciiTheme="minorEastAsia" w:hAnsiTheme="minorEastAsia" w:eastAsiaTheme="minorEastAsia"/>
        </w:rPr>
        <w:t>1、组合限制</w:t>
      </w:r>
    </w:p>
    <w:p>
      <w:pPr>
        <w:pStyle w:val="163"/>
        <w:rPr>
          <w:rFonts w:asciiTheme="minorEastAsia" w:hAnsiTheme="minorEastAsia" w:eastAsiaTheme="minorEastAsia"/>
        </w:rPr>
      </w:pPr>
      <w:r>
        <w:rPr>
          <w:rFonts w:hint="eastAsia" w:asciiTheme="minorEastAsia" w:hAnsiTheme="minorEastAsia" w:eastAsiaTheme="minorEastAsia"/>
        </w:rPr>
        <w:t>基金的投资组合应遵循以下限制：</w:t>
      </w:r>
    </w:p>
    <w:p>
      <w:pPr>
        <w:pStyle w:val="163"/>
        <w:rPr>
          <w:rFonts w:asciiTheme="minorEastAsia" w:hAnsiTheme="minorEastAsia" w:eastAsiaTheme="minorEastAsia"/>
        </w:rPr>
      </w:pPr>
      <w:r>
        <w:rPr>
          <w:rFonts w:hint="eastAsia" w:asciiTheme="minorEastAsia" w:hAnsiTheme="minorEastAsia" w:eastAsiaTheme="minorEastAsia"/>
        </w:rPr>
        <w:t>（1）本基金的股票资产投资比例不低于基金资产的90%，其中投资于标的指数成份股和备选成份股的资产不低于非现金基金资产的80%，投资港股通标的股票的比例不超过本基金股票资产的10%；</w:t>
      </w:r>
    </w:p>
    <w:p>
      <w:pPr>
        <w:pStyle w:val="163"/>
        <w:rPr>
          <w:rFonts w:asciiTheme="minorEastAsia" w:hAnsiTheme="minorEastAsia" w:eastAsiaTheme="minorEastAsia"/>
        </w:rPr>
      </w:pPr>
      <w:r>
        <w:rPr>
          <w:rFonts w:hint="eastAsia" w:asciiTheme="minorEastAsia" w:hAnsiTheme="minorEastAsia" w:eastAsiaTheme="minorEastAsia"/>
        </w:rPr>
        <w:t>（2）每个交易日日终在扣除股指期货、股票期权和国债期货合约需缴纳的交易保证金后，保持不低于基金资产净值5%的现金或者到期日在一年以内的政府债券，其中现金不包括结算备付金、存出保证金和应收申购款等；</w:t>
      </w:r>
    </w:p>
    <w:p>
      <w:pPr>
        <w:pStyle w:val="163"/>
        <w:rPr>
          <w:rFonts w:asciiTheme="minorEastAsia" w:hAnsiTheme="minorEastAsia" w:eastAsiaTheme="minorEastAsia"/>
        </w:rPr>
      </w:pPr>
      <w:r>
        <w:rPr>
          <w:rFonts w:hint="eastAsia" w:asciiTheme="minorEastAsia" w:hAnsiTheme="minorEastAsia" w:eastAsiaTheme="minorEastAsia"/>
        </w:rPr>
        <w:t>（3）本基金资产总值不得超过基金资产净值的140%；</w:t>
      </w:r>
    </w:p>
    <w:p>
      <w:pPr>
        <w:pStyle w:val="163"/>
        <w:rPr>
          <w:rFonts w:asciiTheme="minorEastAsia" w:hAnsiTheme="minorEastAsia" w:eastAsiaTheme="minorEastAsia"/>
        </w:rPr>
      </w:pPr>
      <w:r>
        <w:rPr>
          <w:rFonts w:hint="eastAsia" w:asciiTheme="minorEastAsia" w:hAnsiTheme="minorEastAsia" w:eastAsiaTheme="minorEastAsia"/>
        </w:rPr>
        <w:t>（4）本基金投资于同一原始权益人的各类资产支持证券的比例，不得超过基金资产净值的10%；</w:t>
      </w:r>
    </w:p>
    <w:p>
      <w:pPr>
        <w:pStyle w:val="163"/>
        <w:rPr>
          <w:rFonts w:asciiTheme="minorEastAsia" w:hAnsiTheme="minorEastAsia" w:eastAsiaTheme="minorEastAsia"/>
        </w:rPr>
      </w:pPr>
      <w:r>
        <w:rPr>
          <w:rFonts w:hint="eastAsia" w:asciiTheme="minorEastAsia" w:hAnsiTheme="minorEastAsia" w:eastAsiaTheme="minorEastAsia"/>
        </w:rPr>
        <w:t>（5）本基金持有的全部资产支持证券，其市值不得超过基金资产净值的20%；</w:t>
      </w:r>
    </w:p>
    <w:p>
      <w:pPr>
        <w:pStyle w:val="163"/>
        <w:rPr>
          <w:rFonts w:asciiTheme="minorEastAsia" w:hAnsiTheme="minorEastAsia" w:eastAsiaTheme="minorEastAsia"/>
        </w:rPr>
      </w:pPr>
      <w:r>
        <w:rPr>
          <w:rFonts w:hint="eastAsia" w:asciiTheme="minorEastAsia" w:hAnsiTheme="minorEastAsia" w:eastAsiaTheme="minorEastAsia"/>
        </w:rPr>
        <w:t>（6）本基金持有的同一(指同一信用级别)资产支持证券的比例，不得超过该资产支持证券规模的10%；</w:t>
      </w:r>
    </w:p>
    <w:p>
      <w:pPr>
        <w:pStyle w:val="163"/>
        <w:rPr>
          <w:rFonts w:asciiTheme="minorEastAsia" w:hAnsiTheme="minorEastAsia" w:eastAsiaTheme="minorEastAsia"/>
        </w:rPr>
      </w:pPr>
      <w:r>
        <w:rPr>
          <w:rFonts w:hint="eastAsia" w:asciiTheme="minorEastAsia" w:hAnsiTheme="minorEastAsia" w:eastAsiaTheme="minorEastAsia"/>
        </w:rPr>
        <w:t>（7）本基金管理人管理的全部基金投资于同一原始权益人的各类资产支持证券，不得超过其各类资产支持证券合计规模的10%；</w:t>
      </w:r>
    </w:p>
    <w:p>
      <w:pPr>
        <w:pStyle w:val="163"/>
        <w:rPr>
          <w:rFonts w:asciiTheme="minorEastAsia" w:hAnsiTheme="minorEastAsia" w:eastAsiaTheme="minorEastAsia"/>
        </w:rPr>
      </w:pPr>
      <w:r>
        <w:rPr>
          <w:rFonts w:hint="eastAsia" w:asciiTheme="minorEastAsia" w:hAnsiTheme="minorEastAsia" w:eastAsiaTheme="minorEastAsia"/>
        </w:rPr>
        <w:t>（8）本基金应投资于信用级别评级为BBB以上(含BBB)的资产支持证券。基金持有资产支持证券期间，如果其信用等级下降、不再符合投资标准，应在评级报告发布之日起3个月内予以全部卖出；</w:t>
      </w:r>
    </w:p>
    <w:p>
      <w:pPr>
        <w:pStyle w:val="163"/>
        <w:rPr>
          <w:rFonts w:asciiTheme="minorEastAsia" w:hAnsiTheme="minorEastAsia" w:eastAsiaTheme="minorEastAsia"/>
        </w:rPr>
      </w:pPr>
      <w:r>
        <w:rPr>
          <w:rFonts w:hint="eastAsia" w:asciiTheme="minorEastAsia" w:hAnsiTheme="minorEastAsia" w:eastAsiaTheme="minorEastAsia"/>
        </w:rPr>
        <w:t>（9）基金财产参与股票发行申购，本基金所申报的金额不超过本基金的总资产，本基金所申报的股票数量不超过拟发行股票公司本次发行股票的总量；</w:t>
      </w:r>
    </w:p>
    <w:p>
      <w:pPr>
        <w:pStyle w:val="163"/>
        <w:rPr>
          <w:rFonts w:asciiTheme="minorEastAsia" w:hAnsiTheme="minorEastAsia" w:eastAsiaTheme="minorEastAsia"/>
        </w:rPr>
      </w:pPr>
      <w:r>
        <w:rPr>
          <w:rFonts w:hint="eastAsia" w:asciiTheme="minorEastAsia" w:hAnsiTheme="minorEastAsia" w:eastAsiaTheme="minorEastAsia"/>
        </w:rPr>
        <w:t>（10）本基金参与融资的，在任何交易日日终，本基金融资买入股票与其他有价证券市值之和，不得超过基金资产净值的95%；</w:t>
      </w:r>
    </w:p>
    <w:p>
      <w:pPr>
        <w:pStyle w:val="163"/>
        <w:rPr>
          <w:rFonts w:asciiTheme="minorEastAsia" w:hAnsiTheme="minorEastAsia" w:eastAsiaTheme="minorEastAsia"/>
        </w:rPr>
      </w:pPr>
      <w:r>
        <w:rPr>
          <w:rFonts w:hint="eastAsia" w:asciiTheme="minorEastAsia" w:hAnsiTheme="minorEastAsia" w:eastAsiaTheme="minorEastAsia"/>
        </w:rPr>
        <w:t>（11）本基金投资于股指期货和国债期货，还应遵循如下投资组合限制：</w:t>
      </w:r>
    </w:p>
    <w:p>
      <w:pPr>
        <w:pStyle w:val="163"/>
        <w:rPr>
          <w:rFonts w:asciiTheme="minorEastAsia" w:hAnsiTheme="minorEastAsia" w:eastAsiaTheme="minorEastAsia"/>
        </w:rPr>
      </w:pPr>
      <w:r>
        <w:rPr>
          <w:rFonts w:hint="eastAsia" w:asciiTheme="minorEastAsia" w:hAnsiTheme="minorEastAsia" w:eastAsiaTheme="minorEastAsia"/>
        </w:rPr>
        <w:t>1）在任何交易日日终，本基金持有的买入股指期货合约价值不超过基金资产净值的10%；在任何交易日日终，持有的买入国债期货合约价值，不得超过基金资产净值15%；</w:t>
      </w:r>
    </w:p>
    <w:p>
      <w:pPr>
        <w:pStyle w:val="163"/>
        <w:rPr>
          <w:rFonts w:asciiTheme="minorEastAsia" w:hAnsiTheme="minorEastAsia" w:eastAsiaTheme="minorEastAsia"/>
        </w:rPr>
      </w:pPr>
      <w:r>
        <w:rPr>
          <w:rFonts w:hint="eastAsia" w:asciiTheme="minorEastAsia" w:hAnsiTheme="minorEastAsia" w:eastAsiaTheme="minorEastAsia"/>
        </w:rPr>
        <w:t>2）在任何交易日日终，持有的卖出股指期货合约价值不超过基金持有的股票总市值的20%；在任何交易日日终，持有的卖出国债期货合约价值不得超过基金持有的债券总市值的30%；</w:t>
      </w:r>
    </w:p>
    <w:p>
      <w:pPr>
        <w:pStyle w:val="163"/>
        <w:rPr>
          <w:rFonts w:asciiTheme="minorEastAsia" w:hAnsiTheme="minorEastAsia" w:eastAsiaTheme="minorEastAsia"/>
        </w:rPr>
      </w:pPr>
      <w:r>
        <w:rPr>
          <w:rFonts w:hint="eastAsia" w:asciiTheme="minorEastAsia" w:hAnsiTheme="minorEastAsia" w:eastAsiaTheme="minorEastAsia"/>
        </w:rPr>
        <w:t>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w:t>
      </w:r>
    </w:p>
    <w:p>
      <w:pPr>
        <w:pStyle w:val="163"/>
        <w:rPr>
          <w:rFonts w:asciiTheme="minorEastAsia" w:hAnsiTheme="minorEastAsia" w:eastAsiaTheme="minorEastAsia"/>
        </w:rPr>
      </w:pPr>
      <w:r>
        <w:rPr>
          <w:rFonts w:hint="eastAsia" w:asciiTheme="minorEastAsia" w:hAnsiTheme="minorEastAsia" w:eastAsiaTheme="minorEastAsia"/>
        </w:rPr>
        <w:t>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w:t>
      </w:r>
    </w:p>
    <w:p>
      <w:pPr>
        <w:pStyle w:val="163"/>
        <w:rPr>
          <w:rFonts w:asciiTheme="minorEastAsia" w:hAnsiTheme="minorEastAsia" w:eastAsiaTheme="minorEastAsia"/>
        </w:rPr>
      </w:pPr>
      <w:r>
        <w:rPr>
          <w:rFonts w:hint="eastAsia" w:asciiTheme="minorEastAsia" w:hAnsiTheme="minorEastAsia" w:eastAsiaTheme="minorEastAsia"/>
        </w:rPr>
        <w:t>5）本基金在任何交易日内交易（不包括平仓）的股指期货合约的成交金额不得超过上一交易日基金资产净值的20%；在任何交易日内交易（不包括平仓）的国债期货合约的成交金额不得超过上一交易日基金资产净值的30%；</w:t>
      </w:r>
    </w:p>
    <w:p>
      <w:pPr>
        <w:pStyle w:val="163"/>
        <w:rPr>
          <w:rFonts w:asciiTheme="minorEastAsia" w:hAnsiTheme="minorEastAsia" w:eastAsiaTheme="minorEastAsia"/>
        </w:rPr>
      </w:pPr>
      <w:r>
        <w:rPr>
          <w:rFonts w:hint="eastAsia" w:asciiTheme="minorEastAsia" w:hAnsiTheme="minorEastAsia" w:eastAsiaTheme="minorEastAsia"/>
        </w:rPr>
        <w:t>（12）本基金投资于股票期权，还应遵循如下投资组合限制：</w:t>
      </w:r>
    </w:p>
    <w:p>
      <w:pPr>
        <w:pStyle w:val="163"/>
        <w:rPr>
          <w:rFonts w:asciiTheme="minorEastAsia" w:hAnsiTheme="minorEastAsia" w:eastAsiaTheme="minorEastAsia"/>
        </w:rPr>
      </w:pPr>
      <w:r>
        <w:rPr>
          <w:rFonts w:hint="eastAsia" w:asciiTheme="minorEastAsia" w:hAnsiTheme="minorEastAsia" w:eastAsiaTheme="minorEastAsia"/>
        </w:rPr>
        <w:t>1）因未平仓的期权合约支付和收取的权利金总额不得超过基金资产净值的10%；</w:t>
      </w:r>
    </w:p>
    <w:p>
      <w:pPr>
        <w:pStyle w:val="163"/>
        <w:rPr>
          <w:rFonts w:asciiTheme="minorEastAsia" w:hAnsiTheme="minorEastAsia" w:eastAsiaTheme="minorEastAsia"/>
        </w:rPr>
      </w:pPr>
      <w:r>
        <w:rPr>
          <w:rFonts w:hint="eastAsia" w:asciiTheme="minorEastAsia" w:hAnsiTheme="minorEastAsia" w:eastAsiaTheme="minorEastAsia"/>
        </w:rPr>
        <w:t>2）开仓卖出认购期权的，应持有足额标的证券；开仓卖出认沽期权的，应持有合约行权所需的全额现金或交易所规则认可的可冲抵期权保证金的现金等价物；</w:t>
      </w:r>
    </w:p>
    <w:p>
      <w:pPr>
        <w:pStyle w:val="163"/>
        <w:rPr>
          <w:rFonts w:asciiTheme="minorEastAsia" w:hAnsiTheme="minorEastAsia" w:eastAsiaTheme="minorEastAsia"/>
        </w:rPr>
      </w:pPr>
      <w:r>
        <w:rPr>
          <w:rFonts w:hint="eastAsia" w:asciiTheme="minorEastAsia" w:hAnsiTheme="minorEastAsia" w:eastAsiaTheme="minorEastAsia"/>
        </w:rPr>
        <w:t>3）未平仓的期权合约面值不得超过基金资产净值的20%。其中，合约面值按照行权价乘以合约乘数计算；</w:t>
      </w:r>
    </w:p>
    <w:p>
      <w:pPr>
        <w:pStyle w:val="163"/>
        <w:rPr>
          <w:rFonts w:asciiTheme="minorEastAsia" w:hAnsiTheme="minorEastAsia" w:eastAsiaTheme="minorEastAsia"/>
        </w:rPr>
      </w:pPr>
      <w:r>
        <w:rPr>
          <w:rFonts w:hint="eastAsia" w:asciiTheme="minorEastAsia" w:hAnsiTheme="minorEastAsia" w:eastAsiaTheme="minorEastAsia"/>
        </w:rPr>
        <w:t>（13）本基金参与转融通证券出借业务，需遵守下列投资限制：</w:t>
      </w:r>
    </w:p>
    <w:p>
      <w:pPr>
        <w:pStyle w:val="163"/>
        <w:rPr>
          <w:rFonts w:asciiTheme="minorEastAsia" w:hAnsiTheme="minorEastAsia" w:eastAsiaTheme="minorEastAsia"/>
        </w:rPr>
      </w:pPr>
      <w:r>
        <w:rPr>
          <w:rFonts w:hint="eastAsia" w:asciiTheme="minorEastAsia" w:hAnsiTheme="minorEastAsia" w:eastAsiaTheme="minorEastAsia"/>
        </w:rPr>
        <w:t>1）出借证券资产不得超过基金资产净值的30%，出借期限在10 个交易日以上的出借证券应纳入《流动性风险管理规定》所述流动性受限证券的范围；</w:t>
      </w:r>
    </w:p>
    <w:p>
      <w:pPr>
        <w:pStyle w:val="163"/>
        <w:rPr>
          <w:rFonts w:asciiTheme="minorEastAsia" w:hAnsiTheme="minorEastAsia" w:eastAsiaTheme="minorEastAsia"/>
        </w:rPr>
      </w:pPr>
      <w:r>
        <w:rPr>
          <w:rFonts w:hint="eastAsia" w:asciiTheme="minorEastAsia" w:hAnsiTheme="minorEastAsia" w:eastAsiaTheme="minorEastAsia"/>
        </w:rPr>
        <w:t>2）参与出借业务的单只证券不得超过本基金持有该证券总量的50%；</w:t>
      </w:r>
    </w:p>
    <w:p>
      <w:pPr>
        <w:pStyle w:val="163"/>
        <w:rPr>
          <w:rFonts w:asciiTheme="minorEastAsia" w:hAnsiTheme="minorEastAsia" w:eastAsiaTheme="minorEastAsia"/>
        </w:rPr>
      </w:pPr>
      <w:r>
        <w:rPr>
          <w:rFonts w:hint="eastAsia" w:asciiTheme="minorEastAsia" w:hAnsiTheme="minorEastAsia" w:eastAsiaTheme="minorEastAsia"/>
        </w:rPr>
        <w:t>3）最近6个月内日均基金资产净值不得低于2亿元；</w:t>
      </w:r>
    </w:p>
    <w:p>
      <w:pPr>
        <w:pStyle w:val="163"/>
        <w:rPr>
          <w:rFonts w:asciiTheme="minorEastAsia" w:hAnsiTheme="minorEastAsia" w:eastAsiaTheme="minorEastAsia"/>
        </w:rPr>
      </w:pPr>
      <w:r>
        <w:rPr>
          <w:rFonts w:hint="eastAsia" w:asciiTheme="minorEastAsia" w:hAnsiTheme="minorEastAsia" w:eastAsiaTheme="minorEastAsia"/>
        </w:rPr>
        <w:t>4）证券出借的平均剩余期限不得超过30天，平均剩余期限按照市值加权平均计算；</w:t>
      </w:r>
    </w:p>
    <w:p>
      <w:pPr>
        <w:pStyle w:val="163"/>
        <w:rPr>
          <w:rFonts w:asciiTheme="minorEastAsia" w:hAnsiTheme="minorEastAsia" w:eastAsiaTheme="minorEastAsia"/>
        </w:rPr>
      </w:pPr>
      <w:r>
        <w:rPr>
          <w:rFonts w:hint="eastAsia" w:asciiTheme="minorEastAsia" w:hAnsiTheme="minorEastAsia" w:eastAsiaTheme="minorEastAsia"/>
        </w:rPr>
        <w:t>因证券市场波动、上市公司合并、基金规模变动等基金管理人之外的因素致使基金投资不符合上述规定的，基金管理人不得新增出借业务；</w:t>
      </w:r>
    </w:p>
    <w:p>
      <w:pPr>
        <w:pStyle w:val="163"/>
        <w:rPr>
          <w:rFonts w:asciiTheme="minorEastAsia" w:hAnsiTheme="minorEastAsia" w:eastAsiaTheme="minorEastAsia"/>
        </w:rPr>
      </w:pPr>
      <w:r>
        <w:rPr>
          <w:rFonts w:hint="eastAsia" w:asciiTheme="minorEastAsia" w:hAnsiTheme="minorEastAsia" w:eastAsiaTheme="minorEastAsia"/>
        </w:rPr>
        <w:t>（14）本基金主动投资于流动性受限资产的市值合计不得超过本基金资产净值的15%；</w:t>
      </w:r>
    </w:p>
    <w:p>
      <w:pPr>
        <w:pStyle w:val="163"/>
        <w:rPr>
          <w:rFonts w:asciiTheme="minorEastAsia" w:hAnsiTheme="minorEastAsia" w:eastAsiaTheme="minorEastAsia"/>
        </w:rPr>
      </w:pPr>
      <w:r>
        <w:rPr>
          <w:rFonts w:hint="eastAsia" w:asciiTheme="minorEastAsia" w:hAnsiTheme="minorEastAsia" w:eastAsiaTheme="minorEastAsia"/>
        </w:rPr>
        <w:t>因证券市场波动、上市公司股票停牌、基金规模变动等基金管理人之外的因素致使基金不符合该比例限制的，基金管理人不得主动新增流动性受限资产的投资；</w:t>
      </w:r>
    </w:p>
    <w:p>
      <w:pPr>
        <w:pStyle w:val="163"/>
        <w:rPr>
          <w:rFonts w:asciiTheme="minorEastAsia" w:hAnsiTheme="minorEastAsia" w:eastAsiaTheme="minorEastAsia"/>
        </w:rPr>
      </w:pPr>
      <w:r>
        <w:rPr>
          <w:rFonts w:hint="eastAsia" w:asciiTheme="minorEastAsia" w:hAnsiTheme="minorEastAsia" w:eastAsiaTheme="minorEastAsia"/>
        </w:rPr>
        <w:t>（15）本基金与私募类证券资管产品及中国证监会认定的其他主体为交易对手开展逆回购交易的，可接受质押品的资质要求应当与基金合同约定的投资范围保持一致；</w:t>
      </w:r>
    </w:p>
    <w:p>
      <w:pPr>
        <w:pStyle w:val="163"/>
        <w:rPr>
          <w:rFonts w:asciiTheme="minorEastAsia" w:hAnsiTheme="minorEastAsia" w:eastAsiaTheme="minorEastAsia"/>
        </w:rPr>
      </w:pPr>
      <w:r>
        <w:rPr>
          <w:rFonts w:hint="eastAsia" w:asciiTheme="minorEastAsia" w:hAnsiTheme="minorEastAsia" w:eastAsiaTheme="minorEastAsia"/>
        </w:rPr>
        <w:t>（16）本基金投资存托凭证的比例限制依照境内上市交易的股票执行，与境内上市交易的股票合并计算；</w:t>
      </w:r>
    </w:p>
    <w:p>
      <w:pPr>
        <w:pStyle w:val="163"/>
        <w:rPr>
          <w:rFonts w:asciiTheme="minorEastAsia" w:hAnsiTheme="minorEastAsia" w:eastAsiaTheme="minorEastAsia"/>
        </w:rPr>
      </w:pPr>
      <w:r>
        <w:rPr>
          <w:rFonts w:hint="eastAsia" w:asciiTheme="minorEastAsia" w:hAnsiTheme="minorEastAsia" w:eastAsiaTheme="minorEastAsia"/>
        </w:rPr>
        <w:t>（17）相关法律法规以及监管部门规定的和基金合同约定的其它投资比例限制。</w:t>
      </w:r>
    </w:p>
    <w:p>
      <w:pPr>
        <w:pStyle w:val="163"/>
        <w:rPr>
          <w:rFonts w:asciiTheme="minorEastAsia" w:hAnsiTheme="minorEastAsia" w:eastAsiaTheme="minorEastAsia"/>
        </w:rPr>
      </w:pPr>
      <w:r>
        <w:rPr>
          <w:rFonts w:hint="eastAsia" w:asciiTheme="minorEastAsia" w:hAnsiTheme="minorEastAsia" w:eastAsiaTheme="minorEastAsia"/>
        </w:rPr>
        <w:t>除上述第（2）、（8）、（13）、（14）、（15）项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pPr>
        <w:pStyle w:val="163"/>
        <w:rPr>
          <w:rFonts w:asciiTheme="minorEastAsia" w:hAnsiTheme="minorEastAsia" w:eastAsiaTheme="minorEastAsia"/>
        </w:rPr>
      </w:pPr>
      <w:r>
        <w:rPr>
          <w:rFonts w:hint="eastAsia" w:asciiTheme="minorEastAsia" w:hAnsiTheme="minorEastAsia" w:eastAsiaTheme="minorEastAsia"/>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pStyle w:val="163"/>
        <w:rPr>
          <w:rFonts w:asciiTheme="minorEastAsia" w:hAnsiTheme="minorEastAsia" w:eastAsiaTheme="minorEastAsia"/>
        </w:rPr>
      </w:pPr>
      <w:r>
        <w:rPr>
          <w:rFonts w:hint="eastAsia" w:asciiTheme="minorEastAsia" w:hAnsiTheme="minorEastAsia" w:eastAsiaTheme="minorEastAsia"/>
        </w:rPr>
        <w:t>法律法规或监管部门取消或变更上述限制，如适用于本基金，基金管理人在履行适当程序后，则本基金投资不再受相关限制，或以变更后的规定为准。</w:t>
      </w:r>
    </w:p>
    <w:p>
      <w:pPr>
        <w:pStyle w:val="163"/>
        <w:rPr>
          <w:rFonts w:asciiTheme="minorEastAsia" w:hAnsiTheme="minorEastAsia" w:eastAsiaTheme="minorEastAsia"/>
        </w:rPr>
      </w:pPr>
      <w:r>
        <w:rPr>
          <w:rFonts w:hint="eastAsia" w:asciiTheme="minorEastAsia" w:hAnsiTheme="minorEastAsia" w:eastAsiaTheme="minorEastAsia"/>
        </w:rPr>
        <w:t>2、禁止行为</w:t>
      </w:r>
    </w:p>
    <w:p>
      <w:pPr>
        <w:pStyle w:val="163"/>
        <w:rPr>
          <w:rFonts w:asciiTheme="minorEastAsia" w:hAnsiTheme="minorEastAsia" w:eastAsiaTheme="minorEastAsia"/>
        </w:rPr>
      </w:pPr>
      <w:r>
        <w:rPr>
          <w:rFonts w:hint="eastAsia" w:asciiTheme="minorEastAsia" w:hAnsiTheme="minorEastAsia" w:eastAsiaTheme="minorEastAsia"/>
        </w:rPr>
        <w:t>为维护基金份额持有人的合法权益，基金财产不得用于下列投资或者活动：</w:t>
      </w:r>
    </w:p>
    <w:p>
      <w:pPr>
        <w:pStyle w:val="163"/>
        <w:rPr>
          <w:rFonts w:asciiTheme="minorEastAsia" w:hAnsiTheme="minorEastAsia" w:eastAsiaTheme="minorEastAsia"/>
        </w:rPr>
      </w:pPr>
      <w:r>
        <w:rPr>
          <w:rFonts w:hint="eastAsia" w:asciiTheme="minorEastAsia" w:hAnsiTheme="minorEastAsia" w:eastAsiaTheme="minorEastAsia"/>
        </w:rPr>
        <w:t>（1）承销证券；</w:t>
      </w:r>
    </w:p>
    <w:p>
      <w:pPr>
        <w:pStyle w:val="163"/>
        <w:rPr>
          <w:rFonts w:asciiTheme="minorEastAsia" w:hAnsiTheme="minorEastAsia" w:eastAsiaTheme="minorEastAsia"/>
        </w:rPr>
      </w:pPr>
      <w:r>
        <w:rPr>
          <w:rFonts w:hint="eastAsia" w:asciiTheme="minorEastAsia" w:hAnsiTheme="minorEastAsia" w:eastAsiaTheme="minorEastAsia"/>
        </w:rPr>
        <w:t>（2）违反规定向他人贷款或者提供担保；</w:t>
      </w:r>
    </w:p>
    <w:p>
      <w:pPr>
        <w:pStyle w:val="163"/>
        <w:rPr>
          <w:rFonts w:asciiTheme="minorEastAsia" w:hAnsiTheme="minorEastAsia" w:eastAsiaTheme="minorEastAsia"/>
        </w:rPr>
      </w:pPr>
      <w:r>
        <w:rPr>
          <w:rFonts w:hint="eastAsia" w:asciiTheme="minorEastAsia" w:hAnsiTheme="minorEastAsia" w:eastAsiaTheme="minorEastAsia"/>
        </w:rPr>
        <w:t>（3）从事承担无限责任的投资；</w:t>
      </w:r>
    </w:p>
    <w:p>
      <w:pPr>
        <w:pStyle w:val="163"/>
        <w:rPr>
          <w:rFonts w:asciiTheme="minorEastAsia" w:hAnsiTheme="minorEastAsia" w:eastAsiaTheme="minorEastAsia"/>
        </w:rPr>
      </w:pPr>
      <w:r>
        <w:rPr>
          <w:rFonts w:hint="eastAsia" w:asciiTheme="minorEastAsia" w:hAnsiTheme="minorEastAsia" w:eastAsiaTheme="minorEastAsia"/>
        </w:rPr>
        <w:t>（4）买卖其他基金份额，但是中国证监会另有规定的除外；</w:t>
      </w:r>
    </w:p>
    <w:p>
      <w:pPr>
        <w:pStyle w:val="163"/>
        <w:rPr>
          <w:rFonts w:asciiTheme="minorEastAsia" w:hAnsiTheme="minorEastAsia" w:eastAsiaTheme="minorEastAsia"/>
        </w:rPr>
      </w:pPr>
      <w:r>
        <w:rPr>
          <w:rFonts w:hint="eastAsia" w:asciiTheme="minorEastAsia" w:hAnsiTheme="minorEastAsia" w:eastAsiaTheme="minorEastAsia"/>
        </w:rPr>
        <w:t>（5）向其基金管理人、基金托管人出资；</w:t>
      </w:r>
    </w:p>
    <w:p>
      <w:pPr>
        <w:pStyle w:val="163"/>
        <w:rPr>
          <w:rFonts w:asciiTheme="minorEastAsia" w:hAnsiTheme="minorEastAsia" w:eastAsiaTheme="minorEastAsia"/>
        </w:rPr>
      </w:pPr>
      <w:r>
        <w:rPr>
          <w:rFonts w:hint="eastAsia" w:asciiTheme="minorEastAsia" w:hAnsiTheme="minorEastAsia" w:eastAsiaTheme="minorEastAsia"/>
        </w:rPr>
        <w:t>（6）从事内幕交易、操纵证券交易价格及其他不正当的证券交易活动；</w:t>
      </w:r>
    </w:p>
    <w:p>
      <w:pPr>
        <w:pStyle w:val="163"/>
        <w:rPr>
          <w:rFonts w:asciiTheme="minorEastAsia" w:hAnsiTheme="minorEastAsia" w:eastAsiaTheme="minorEastAsia"/>
        </w:rPr>
      </w:pPr>
      <w:r>
        <w:rPr>
          <w:rFonts w:hint="eastAsia" w:asciiTheme="minorEastAsia" w:hAnsiTheme="minorEastAsia" w:eastAsiaTheme="minorEastAsia"/>
        </w:rPr>
        <w:t>（7）法律、行政法规和中国证监会规定禁止的其他活动。</w:t>
      </w:r>
    </w:p>
    <w:p>
      <w:pPr>
        <w:pStyle w:val="163"/>
        <w:rPr>
          <w:rFonts w:asciiTheme="minorEastAsia" w:hAnsiTheme="minorEastAsia" w:eastAsiaTheme="minorEastAsia"/>
        </w:rPr>
      </w:pPr>
      <w:r>
        <w:rPr>
          <w:rFonts w:hint="eastAsia" w:asciiTheme="minorEastAsia" w:hAnsiTheme="minorEastAsia" w:eastAsiaTheme="minorEastAsia"/>
        </w:rPr>
        <w:t>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履行信息披露义务。重大关联交易应提交基金管理人董事会审议，并经过三分之二以上的独立董事通过。基金管理人董事会应至少每半年对关联交易事项进行审查。</w:t>
      </w:r>
    </w:p>
    <w:p>
      <w:pPr>
        <w:pStyle w:val="163"/>
        <w:rPr>
          <w:rFonts w:asciiTheme="minorEastAsia" w:hAnsiTheme="minorEastAsia" w:eastAsiaTheme="minorEastAsia"/>
        </w:rPr>
      </w:pPr>
      <w:r>
        <w:rPr>
          <w:rFonts w:hint="eastAsia" w:asciiTheme="minorEastAsia" w:hAnsiTheme="minorEastAsia" w:eastAsiaTheme="minorEastAsia"/>
        </w:rPr>
        <w:t>法律、行政法规或监管部门变更或取消上述规定，在履行适当程序后，本基金可按变更后的规定执行或不受上述规定的限制。</w:t>
      </w:r>
    </w:p>
    <w:p>
      <w:pPr>
        <w:pStyle w:val="163"/>
        <w:ind w:firstLine="422"/>
        <w:rPr>
          <w:b/>
        </w:rPr>
      </w:pPr>
      <w:r>
        <w:rPr>
          <w:rFonts w:hint="eastAsia"/>
          <w:b/>
        </w:rPr>
        <w:t>五</w:t>
      </w:r>
      <w:r>
        <w:rPr>
          <w:b/>
        </w:rPr>
        <w:t>、</w:t>
      </w:r>
      <w:r>
        <w:rPr>
          <w:rFonts w:hint="eastAsia"/>
          <w:b/>
        </w:rPr>
        <w:t>标的指数与</w:t>
      </w:r>
      <w:r>
        <w:rPr>
          <w:b/>
        </w:rPr>
        <w:t>业绩比较基准</w:t>
      </w:r>
    </w:p>
    <w:p>
      <w:pPr>
        <w:pStyle w:val="163"/>
        <w:rPr>
          <w:rFonts w:ascii="宋体" w:cs="宋体"/>
          <w:kern w:val="0"/>
        </w:rPr>
      </w:pPr>
      <w:r>
        <w:rPr>
          <w:rFonts w:hint="eastAsia" w:ascii="宋体" w:cs="宋体"/>
          <w:kern w:val="0"/>
        </w:rPr>
        <w:t>本基金的标的指数为：国证粮食产业指数。</w:t>
      </w:r>
    </w:p>
    <w:p>
      <w:pPr>
        <w:pStyle w:val="163"/>
        <w:rPr>
          <w:rFonts w:ascii="宋体" w:cs="宋体"/>
          <w:kern w:val="0"/>
        </w:rPr>
      </w:pPr>
      <w:r>
        <w:rPr>
          <w:rFonts w:hint="eastAsia" w:ascii="宋体" w:cs="宋体"/>
          <w:kern w:val="0"/>
        </w:rPr>
        <w:t>本基金业绩比较基准为：国证粮食产业指数收益率×95%+银行活期存款利率(税后)×5%。</w:t>
      </w:r>
    </w:p>
    <w:p>
      <w:pPr>
        <w:pStyle w:val="163"/>
        <w:rPr>
          <w:rFonts w:ascii="宋体" w:cs="宋体"/>
          <w:kern w:val="0"/>
        </w:rPr>
      </w:pPr>
      <w:r>
        <w:rPr>
          <w:rFonts w:hint="eastAsia" w:ascii="宋体" w:cs="宋体"/>
          <w:kern w:val="0"/>
        </w:rPr>
        <w:t>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更换基金标的指数、转换运作方式、与其他基金合并或者终止基金合同等，并在6个月内召集基金份额持有人大会进行表决。</w:t>
      </w:r>
    </w:p>
    <w:p>
      <w:pPr>
        <w:adjustRightInd w:val="0"/>
        <w:snapToGrid w:val="0"/>
        <w:spacing w:line="360" w:lineRule="auto"/>
        <w:ind w:firstLine="369" w:firstLineChars="176"/>
        <w:rPr>
          <w:rFonts w:ascii="宋体" w:cs="宋体"/>
          <w:kern w:val="0"/>
          <w:szCs w:val="21"/>
        </w:rPr>
      </w:pPr>
      <w:r>
        <w:rPr>
          <w:rFonts w:hint="eastAsia" w:ascii="宋体" w:cs="宋体"/>
          <w:kern w:val="0"/>
        </w:rPr>
        <w:t>自指数编制机构停止标的指数的编制及发布至解决方案确定期间，基金管理人应按照指数编制机构提供的最近一个交易日的指数信息遵循基金份额持有人利益优先原则维持基金投资运作。</w:t>
      </w:r>
    </w:p>
    <w:p>
      <w:pPr>
        <w:pStyle w:val="163"/>
        <w:ind w:firstLine="422"/>
        <w:rPr>
          <w:b/>
        </w:rPr>
      </w:pPr>
      <w:r>
        <w:rPr>
          <w:rFonts w:hint="eastAsia"/>
          <w:b/>
        </w:rPr>
        <w:t>六</w:t>
      </w:r>
      <w:r>
        <w:rPr>
          <w:b/>
        </w:rPr>
        <w:t>、风险收益特征</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属于股票型基金，其预期收益及预期风险水平高于混合型基金、债券型基金与货币市场基金。本基金为被动式投资的股票型指数基金，跟踪国证粮食产业指数，其风险收益特征与标的指数所表征的市场组合的风险收益特征相似。本基金如果投资港股通标的股票，需承担汇率风险以及境外市场的风险。</w:t>
      </w:r>
    </w:p>
    <w:p>
      <w:pPr>
        <w:pStyle w:val="163"/>
        <w:ind w:firstLine="422"/>
        <w:rPr>
          <w:b/>
        </w:rPr>
      </w:pPr>
      <w:r>
        <w:rPr>
          <w:rFonts w:hint="eastAsia"/>
          <w:b/>
        </w:rPr>
        <w:t>七、基金管理人代表基金行使股东或债权人权利的处理原则及方法</w:t>
      </w:r>
    </w:p>
    <w:p>
      <w:pPr>
        <w:pStyle w:val="163"/>
      </w:pPr>
      <w:r>
        <w:rPr>
          <w:rFonts w:hint="eastAsia"/>
        </w:rPr>
        <w:t xml:space="preserve">1、基金管理人按照国家有关规定代表基金独立行使股东或债权人权利，保护基金份额持有人的利益； </w:t>
      </w:r>
    </w:p>
    <w:p>
      <w:pPr>
        <w:pStyle w:val="163"/>
      </w:pPr>
      <w:r>
        <w:rPr>
          <w:rFonts w:hint="eastAsia"/>
        </w:rPr>
        <w:t xml:space="preserve">2、不谋求对上市公司的控股； </w:t>
      </w:r>
    </w:p>
    <w:p>
      <w:pPr>
        <w:pStyle w:val="163"/>
      </w:pPr>
      <w:r>
        <w:rPr>
          <w:rFonts w:hint="eastAsia"/>
        </w:rPr>
        <w:t xml:space="preserve">3、有利于基金财产的安全与增值； </w:t>
      </w:r>
    </w:p>
    <w:p>
      <w:pPr>
        <w:pStyle w:val="163"/>
      </w:pPr>
      <w:r>
        <w:rPr>
          <w:rFonts w:hint="eastAsia"/>
        </w:rPr>
        <w:t>4、不通过关联交易为自身、雇员、授权代理人或任何存在利害关系的第三人牟取任何不当利益。</w:t>
      </w:r>
    </w:p>
    <w:p>
      <w:pPr>
        <w:pStyle w:val="163"/>
        <w:ind w:firstLine="422"/>
        <w:rPr>
          <w:rFonts w:asciiTheme="minorEastAsia" w:hAnsiTheme="minorEastAsia" w:eastAsiaTheme="minorEastAsia"/>
          <w:b/>
        </w:rPr>
      </w:pPr>
      <w:r>
        <w:rPr>
          <w:rFonts w:hint="eastAsia" w:asciiTheme="minorEastAsia" w:hAnsiTheme="minorEastAsia" w:eastAsiaTheme="minorEastAsia"/>
          <w:b/>
        </w:rPr>
        <w:t>八、侧袋机制的实施和投资运作安排</w:t>
      </w:r>
    </w:p>
    <w:p>
      <w:pPr>
        <w:pStyle w:val="163"/>
        <w:rPr>
          <w:rFonts w:asciiTheme="minorEastAsia" w:hAnsiTheme="minorEastAsia" w:eastAsiaTheme="minorEastAsia"/>
        </w:rPr>
      </w:pPr>
      <w:r>
        <w:rPr>
          <w:rFonts w:hint="eastAsia" w:asciiTheme="minorEastAsia" w:hAnsiTheme="minorEastAsia" w:eastAsiaTheme="minorEastAsia"/>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pPr>
        <w:pStyle w:val="163"/>
        <w:rPr>
          <w:rFonts w:asciiTheme="minorEastAsia" w:hAnsiTheme="minorEastAsia" w:eastAsiaTheme="minorEastAsia"/>
        </w:rPr>
      </w:pPr>
      <w:r>
        <w:rPr>
          <w:rFonts w:hint="eastAsia" w:asciiTheme="minorEastAsia" w:hAnsiTheme="minorEastAsia" w:eastAsiaTheme="minorEastAsia"/>
        </w:rPr>
        <w:t>侧袋机制实施期间，本部分约定的投资组合比例、投资策略、组合限制、业绩比较基准、风险收益特征等约定仅适用于主袋账户。</w:t>
      </w:r>
    </w:p>
    <w:p>
      <w:pPr>
        <w:pStyle w:val="163"/>
        <w:rPr>
          <w:rFonts w:asciiTheme="minorEastAsia" w:hAnsiTheme="minorEastAsia" w:eastAsiaTheme="minorEastAsia"/>
        </w:rPr>
      </w:pPr>
      <w:r>
        <w:rPr>
          <w:rFonts w:hint="eastAsia" w:asciiTheme="minorEastAsia" w:hAnsiTheme="minorEastAsia" w:eastAsiaTheme="minorEastAsia"/>
        </w:rPr>
        <w:t>侧袋账户的实施条件、实施程序、运作安排、投资安排、特定资产的处置变现和支付等对投资者权益有重大影响的事项详见本招募说明书</w:t>
      </w:r>
      <w:r>
        <w:rPr>
          <w:rFonts w:hint="eastAsia"/>
          <w:szCs w:val="24"/>
        </w:rPr>
        <w:t>“侧袋机制”部分</w:t>
      </w:r>
      <w:r>
        <w:rPr>
          <w:rFonts w:hint="eastAsia" w:asciiTheme="minorEastAsia" w:hAnsiTheme="minorEastAsia" w:eastAsiaTheme="minorEastAsia"/>
        </w:rPr>
        <w:t>的规定。</w:t>
      </w:r>
      <w:bookmarkStart w:id="108" w:name="_Toc327902632"/>
      <w:bookmarkStart w:id="109" w:name="_Toc336606237"/>
      <w:bookmarkStart w:id="110" w:name="_Toc332013120"/>
      <w:bookmarkStart w:id="111" w:name="_Toc335899843"/>
    </w:p>
    <w:bookmarkEnd w:id="107"/>
    <w:p>
      <w:pPr>
        <w:snapToGrid w:val="0"/>
        <w:spacing w:line="360" w:lineRule="auto"/>
        <w:ind w:firstLine="420" w:firstLineChars="200"/>
        <w:rPr>
          <w:rFonts w:ascii="宋体" w:hAnsi="宋体"/>
          <w:bCs/>
          <w:szCs w:val="21"/>
        </w:rPr>
        <w:sectPr>
          <w:footerReference r:id="rId18" w:type="first"/>
          <w:footerReference r:id="rId17" w:type="default"/>
          <w:pgSz w:w="11906" w:h="16838"/>
          <w:pgMar w:top="1440" w:right="1800" w:bottom="1440" w:left="1800" w:header="851" w:footer="992" w:gutter="0"/>
          <w:cols w:space="425" w:num="1"/>
          <w:titlePg/>
          <w:docGrid w:type="lines" w:linePitch="312" w:charSpace="0"/>
        </w:sectPr>
      </w:pPr>
    </w:p>
    <w:p>
      <w:pPr>
        <w:pStyle w:val="3"/>
        <w:numPr>
          <w:ilvl w:val="0"/>
          <w:numId w:val="25"/>
        </w:numPr>
        <w:snapToGrid w:val="0"/>
        <w:spacing w:before="0" w:after="0" w:line="360" w:lineRule="auto"/>
        <w:jc w:val="center"/>
      </w:pPr>
      <w:bookmarkStart w:id="112" w:name="_Toc375295983"/>
      <w:bookmarkStart w:id="113" w:name="_Toc369510018"/>
      <w:bookmarkStart w:id="114" w:name="_Toc23939"/>
      <w:bookmarkStart w:id="115" w:name="_Toc411872032"/>
      <w:bookmarkStart w:id="116" w:name="_Toc6206"/>
      <w:r>
        <w:rPr>
          <w:rFonts w:hint="eastAsia"/>
        </w:rPr>
        <w:t>基金的财产</w:t>
      </w:r>
      <w:bookmarkEnd w:id="108"/>
      <w:bookmarkEnd w:id="109"/>
      <w:bookmarkEnd w:id="110"/>
      <w:bookmarkEnd w:id="111"/>
      <w:bookmarkEnd w:id="112"/>
      <w:bookmarkEnd w:id="113"/>
      <w:bookmarkEnd w:id="114"/>
      <w:bookmarkEnd w:id="115"/>
      <w:bookmarkEnd w:id="116"/>
    </w:p>
    <w:p>
      <w:pPr>
        <w:widowControl/>
        <w:snapToGrid w:val="0"/>
        <w:spacing w:line="360" w:lineRule="auto"/>
        <w:ind w:firstLine="422" w:firstLineChars="200"/>
        <w:jc w:val="left"/>
        <w:rPr>
          <w:rFonts w:ascii="宋体"/>
          <w:b/>
          <w:bCs/>
          <w:color w:val="000000"/>
          <w:szCs w:val="21"/>
        </w:rPr>
      </w:pPr>
      <w:bookmarkStart w:id="117" w:name="_Hlk114654760"/>
      <w:r>
        <w:rPr>
          <w:rFonts w:hint="eastAsia" w:ascii="宋体"/>
          <w:b/>
          <w:bCs/>
          <w:color w:val="000000"/>
          <w:szCs w:val="21"/>
        </w:rPr>
        <w:t>一、基金资产总值</w:t>
      </w:r>
    </w:p>
    <w:p>
      <w:pPr>
        <w:widowControl/>
        <w:snapToGrid w:val="0"/>
        <w:spacing w:line="360" w:lineRule="auto"/>
        <w:ind w:firstLine="420" w:firstLineChars="200"/>
        <w:jc w:val="left"/>
        <w:rPr>
          <w:rFonts w:ascii="宋体"/>
          <w:color w:val="000000"/>
          <w:szCs w:val="21"/>
        </w:rPr>
      </w:pPr>
      <w:r>
        <w:rPr>
          <w:rFonts w:hint="eastAsia" w:ascii="宋体"/>
          <w:color w:val="000000"/>
          <w:szCs w:val="21"/>
        </w:rPr>
        <w:t>基金资产总值是指基金拥有的各类有价证券、银行存款本息、基金应收款项及其他资产的价值总和。</w:t>
      </w:r>
    </w:p>
    <w:p>
      <w:pPr>
        <w:widowControl/>
        <w:snapToGrid w:val="0"/>
        <w:spacing w:line="360" w:lineRule="auto"/>
        <w:ind w:firstLine="422" w:firstLineChars="200"/>
        <w:jc w:val="left"/>
        <w:rPr>
          <w:rFonts w:ascii="宋体"/>
          <w:b/>
          <w:bCs/>
          <w:color w:val="000000"/>
          <w:szCs w:val="21"/>
        </w:rPr>
      </w:pPr>
      <w:r>
        <w:rPr>
          <w:rFonts w:hint="eastAsia" w:ascii="宋体"/>
          <w:b/>
          <w:bCs/>
          <w:color w:val="000000"/>
          <w:szCs w:val="21"/>
        </w:rPr>
        <w:t>二、基金资产净值</w:t>
      </w:r>
    </w:p>
    <w:p>
      <w:pPr>
        <w:widowControl/>
        <w:snapToGrid w:val="0"/>
        <w:spacing w:line="360" w:lineRule="auto"/>
        <w:ind w:firstLine="420" w:firstLineChars="200"/>
        <w:jc w:val="left"/>
        <w:rPr>
          <w:rFonts w:ascii="宋体"/>
          <w:color w:val="000000"/>
          <w:szCs w:val="21"/>
        </w:rPr>
      </w:pPr>
      <w:r>
        <w:rPr>
          <w:rFonts w:hint="eastAsia" w:ascii="宋体"/>
          <w:color w:val="000000"/>
          <w:szCs w:val="21"/>
        </w:rPr>
        <w:t>基金资产净值是指基金资产总值减去基金负债后的价值。</w:t>
      </w:r>
    </w:p>
    <w:p>
      <w:pPr>
        <w:widowControl/>
        <w:snapToGrid w:val="0"/>
        <w:spacing w:line="360" w:lineRule="auto"/>
        <w:ind w:firstLine="422" w:firstLineChars="200"/>
        <w:jc w:val="left"/>
        <w:rPr>
          <w:rFonts w:ascii="宋体"/>
          <w:b/>
          <w:bCs/>
          <w:color w:val="000000"/>
          <w:szCs w:val="21"/>
        </w:rPr>
      </w:pPr>
      <w:r>
        <w:rPr>
          <w:rFonts w:hint="eastAsia" w:ascii="宋体"/>
          <w:b/>
          <w:bCs/>
          <w:color w:val="000000"/>
          <w:szCs w:val="21"/>
        </w:rPr>
        <w:t>三、基金财产的账户</w:t>
      </w:r>
    </w:p>
    <w:p>
      <w:pPr>
        <w:widowControl/>
        <w:snapToGrid w:val="0"/>
        <w:spacing w:line="360" w:lineRule="auto"/>
        <w:ind w:firstLine="420" w:firstLineChars="200"/>
        <w:jc w:val="left"/>
        <w:rPr>
          <w:rFonts w:ascii="宋体"/>
          <w:color w:val="000000"/>
          <w:szCs w:val="21"/>
        </w:rPr>
      </w:pPr>
      <w:r>
        <w:rPr>
          <w:rFonts w:hint="eastAsia" w:ascii="宋体"/>
          <w:color w:val="000000"/>
          <w:szCs w:val="21"/>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widowControl/>
        <w:snapToGrid w:val="0"/>
        <w:spacing w:line="360" w:lineRule="auto"/>
        <w:ind w:firstLine="422" w:firstLineChars="200"/>
        <w:jc w:val="left"/>
        <w:rPr>
          <w:rFonts w:ascii="宋体"/>
          <w:b/>
          <w:bCs/>
          <w:color w:val="000000"/>
          <w:szCs w:val="21"/>
        </w:rPr>
      </w:pPr>
      <w:r>
        <w:rPr>
          <w:rFonts w:hint="eastAsia" w:ascii="宋体"/>
          <w:b/>
          <w:bCs/>
          <w:color w:val="000000"/>
          <w:szCs w:val="21"/>
        </w:rPr>
        <w:t>四、基金财产的保管和处分</w:t>
      </w:r>
    </w:p>
    <w:p>
      <w:pPr>
        <w:widowControl/>
        <w:snapToGrid w:val="0"/>
        <w:spacing w:line="360" w:lineRule="auto"/>
        <w:ind w:firstLine="420" w:firstLineChars="200"/>
        <w:jc w:val="left"/>
        <w:rPr>
          <w:rFonts w:ascii="宋体"/>
          <w:color w:val="000000"/>
          <w:szCs w:val="21"/>
        </w:rPr>
      </w:pPr>
      <w:r>
        <w:rPr>
          <w:rFonts w:hint="eastAsia" w:ascii="宋体"/>
          <w:color w:val="000000"/>
          <w:szCs w:val="21"/>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widowControl/>
        <w:snapToGrid w:val="0"/>
        <w:spacing w:line="360" w:lineRule="auto"/>
        <w:ind w:firstLine="420" w:firstLineChars="200"/>
        <w:jc w:val="left"/>
        <w:rPr>
          <w:rFonts w:ascii="宋体"/>
          <w:color w:val="000000"/>
          <w:szCs w:val="21"/>
        </w:rPr>
        <w:sectPr>
          <w:footerReference r:id="rId19" w:type="first"/>
          <w:pgSz w:w="11906" w:h="16838"/>
          <w:pgMar w:top="1440" w:right="1800" w:bottom="1440" w:left="1800" w:header="851" w:footer="992" w:gutter="0"/>
          <w:cols w:space="425" w:num="1"/>
          <w:titlePg/>
          <w:docGrid w:type="lines" w:linePitch="312" w:charSpace="0"/>
        </w:sectPr>
      </w:pPr>
      <w:r>
        <w:rPr>
          <w:rFonts w:hint="eastAsia" w:ascii="宋体"/>
          <w:color w:val="000000"/>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bookmarkEnd w:id="117"/>
    </w:p>
    <w:p>
      <w:pPr>
        <w:pStyle w:val="3"/>
        <w:numPr>
          <w:ilvl w:val="0"/>
          <w:numId w:val="25"/>
        </w:numPr>
        <w:snapToGrid w:val="0"/>
        <w:spacing w:before="0" w:after="0" w:line="360" w:lineRule="auto"/>
        <w:jc w:val="center"/>
      </w:pPr>
      <w:bookmarkStart w:id="118" w:name="_Toc336606238"/>
      <w:bookmarkStart w:id="119" w:name="_Toc375295984"/>
      <w:bookmarkStart w:id="120" w:name="_Toc9855"/>
      <w:bookmarkStart w:id="121" w:name="_Toc327902633"/>
      <w:bookmarkStart w:id="122" w:name="_Toc411872033"/>
      <w:bookmarkStart w:id="123" w:name="_Toc332013121"/>
      <w:bookmarkStart w:id="124" w:name="_Toc335899844"/>
      <w:bookmarkStart w:id="125" w:name="_Toc10045"/>
      <w:bookmarkStart w:id="126" w:name="_Toc369510019"/>
      <w:r>
        <w:rPr>
          <w:rFonts w:hint="eastAsia"/>
        </w:rPr>
        <w:t>基金资产估值</w:t>
      </w:r>
      <w:bookmarkEnd w:id="118"/>
      <w:bookmarkEnd w:id="119"/>
      <w:bookmarkEnd w:id="120"/>
      <w:bookmarkEnd w:id="121"/>
      <w:bookmarkEnd w:id="122"/>
      <w:bookmarkEnd w:id="123"/>
      <w:bookmarkEnd w:id="124"/>
      <w:bookmarkEnd w:id="125"/>
      <w:bookmarkEnd w:id="126"/>
    </w:p>
    <w:p>
      <w:pPr>
        <w:tabs>
          <w:tab w:val="left" w:pos="3780"/>
        </w:tabs>
        <w:autoSpaceDE w:val="0"/>
        <w:autoSpaceDN w:val="0"/>
        <w:adjustRightInd w:val="0"/>
        <w:snapToGrid w:val="0"/>
        <w:spacing w:line="360" w:lineRule="auto"/>
        <w:ind w:firstLine="424" w:firstLineChars="201"/>
        <w:textAlignment w:val="bottom"/>
        <w:rPr>
          <w:rFonts w:ascii="Arial" w:hAnsi="Arial" w:cs="Arial"/>
          <w:b/>
          <w:bCs/>
          <w:kern w:val="0"/>
          <w:szCs w:val="21"/>
        </w:rPr>
      </w:pPr>
      <w:bookmarkStart w:id="127" w:name="_Hlk114654797"/>
      <w:r>
        <w:rPr>
          <w:rFonts w:hint="eastAsia" w:ascii="Arial" w:hAnsi="Arial" w:cs="Arial"/>
          <w:b/>
          <w:bCs/>
          <w:kern w:val="0"/>
          <w:szCs w:val="21"/>
        </w:rPr>
        <w:t>一、估值日</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本基金的估值日为本基金相关的证券交易场所的交易日以及国家法律法规规定需要对外披露基金净值的非交易日。</w:t>
      </w:r>
    </w:p>
    <w:p>
      <w:pPr>
        <w:tabs>
          <w:tab w:val="left" w:pos="3780"/>
        </w:tabs>
        <w:autoSpaceDE w:val="0"/>
        <w:autoSpaceDN w:val="0"/>
        <w:adjustRightInd w:val="0"/>
        <w:snapToGrid w:val="0"/>
        <w:spacing w:line="360" w:lineRule="auto"/>
        <w:ind w:firstLine="424" w:firstLineChars="201"/>
        <w:textAlignment w:val="bottom"/>
        <w:rPr>
          <w:rFonts w:ascii="Arial" w:hAnsi="Arial" w:cs="Arial"/>
          <w:b/>
          <w:bCs/>
          <w:kern w:val="0"/>
          <w:szCs w:val="21"/>
        </w:rPr>
      </w:pPr>
      <w:r>
        <w:rPr>
          <w:rFonts w:hint="eastAsia" w:ascii="Arial" w:hAnsi="Arial" w:cs="Arial"/>
          <w:b/>
          <w:bCs/>
          <w:kern w:val="0"/>
          <w:szCs w:val="21"/>
        </w:rPr>
        <w:t>二、估值对象</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基金所拥有的股票（含存托凭证）、股指期货合约、国债期货合约、股票期权合约、债券和银行存款本息、应收款项、资产支持证券、其它投资等资产及负债。</w:t>
      </w:r>
    </w:p>
    <w:p>
      <w:pPr>
        <w:tabs>
          <w:tab w:val="left" w:pos="3780"/>
        </w:tabs>
        <w:autoSpaceDE w:val="0"/>
        <w:autoSpaceDN w:val="0"/>
        <w:adjustRightInd w:val="0"/>
        <w:snapToGrid w:val="0"/>
        <w:spacing w:line="360" w:lineRule="auto"/>
        <w:ind w:firstLine="424" w:firstLineChars="201"/>
        <w:textAlignment w:val="bottom"/>
        <w:rPr>
          <w:rFonts w:ascii="Arial" w:hAnsi="Arial" w:cs="Arial"/>
          <w:b/>
          <w:bCs/>
          <w:kern w:val="0"/>
          <w:szCs w:val="21"/>
        </w:rPr>
      </w:pPr>
      <w:r>
        <w:rPr>
          <w:rFonts w:hint="eastAsia" w:ascii="Arial" w:hAnsi="Arial" w:cs="Arial"/>
          <w:b/>
          <w:bCs/>
          <w:kern w:val="0"/>
          <w:szCs w:val="21"/>
        </w:rPr>
        <w:t>三、估值原则</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基金管理人在确定相关金融资产和金融负债的公允价值时，应符合《企业会计准则》、监管部门有关规定。</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（三）如经济环境发生重大变化或证券发行人发生影响证券价格的重大事件，使潜在估值调整对前一估值日的基金资产净值的影响在0.25%以上的，应对估值进行调整并确定公允价值。</w:t>
      </w:r>
    </w:p>
    <w:p>
      <w:pPr>
        <w:tabs>
          <w:tab w:val="left" w:pos="3780"/>
        </w:tabs>
        <w:autoSpaceDE w:val="0"/>
        <w:autoSpaceDN w:val="0"/>
        <w:adjustRightInd w:val="0"/>
        <w:snapToGrid w:val="0"/>
        <w:spacing w:line="360" w:lineRule="auto"/>
        <w:ind w:firstLine="424" w:firstLineChars="201"/>
        <w:textAlignment w:val="bottom"/>
        <w:rPr>
          <w:rFonts w:ascii="Arial" w:hAnsi="Arial" w:cs="Arial"/>
          <w:b/>
          <w:bCs/>
          <w:kern w:val="0"/>
          <w:szCs w:val="21"/>
        </w:rPr>
      </w:pPr>
      <w:r>
        <w:rPr>
          <w:rFonts w:hint="eastAsia" w:ascii="Arial" w:hAnsi="Arial" w:cs="Arial"/>
          <w:b/>
          <w:bCs/>
          <w:kern w:val="0"/>
          <w:szCs w:val="21"/>
        </w:rPr>
        <w:t>四、估值方法</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1、证券交易所上市的有价证券的估值</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（2）交易所市场上市交易或挂牌转让的固定收益品种（基金合同另有约定的除外），选取估值日第三方估值机构提供的相应品种对应的估值净价估值，具体估值机构由基金管理人与基金托管人共同确定；</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交易所上市实行全价交易的固定收益品种（可转换债券除外），选取第三方估值机构提供的估值全价减去估值全价中所含的固定收益品种（税后）应收利息得到的净价进行估值；</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（4）交易所上市不存在活跃市场的有价证券，采用估值技术确定公允价值。</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2、处于未上市期间的有价证券应区分如下情况处理：</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（1）送股、转增股、配股和公开增发的新股，按估值日在证券交易所挂牌的同一股票的估值方法估值；该日无交易的，以最近一日的市价（收盘价）估值；</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（2）首次公开发行未上市的股票，采用估值技术确定公允价值，在估值技术难以可靠计量公允价值的情况下，按成本估值；</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3、本基金投资存托凭证的估值核算，依照境内上市交易的股票执行。</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4、银行间的有价证券的估值</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（1）对银行间市场上不含权的固定收益品种，按照第三方估值机构提供的相应品种当日的估值净价确定公允价值；</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2）对银行间市场上含权的固定收益品种，按照第三方估值机构提供的相应品种当日的唯一估值净价或推荐估值净价确定公允价值。对于含投资人回售权的固定收益品种，回售登记期截止日（含当日）后未行使回售权的按照长待偿期所对应的价格进行估值；</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（3）对银行间市场未上市，且第三方估值机构未提供估值价格的债券，采用当前情况下适用并且有足够可利用数据和其他信息支持的估值技术确定其公允价值。</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5、资产支持证券的估值</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（1）交易所上市的资产支持证券，按估值日第三方估值机构提供的价格估值。</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（2）对全国银行间市场上的资产支持证券，按照第三方估值机构提供的相应品种当日的估值净价确定公允价值。</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6、同一证券同时在两个或两个以上市场交易的，按证券所处的市场分别估值。</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7、本基金投资股指期货合约、国债期货合约，一般以估值当日结算价进行估值，估值当日无结算价的，且最近交易日后经济环境未发生重大变化的，采用最近交易日结算价估值。</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8、本基金投资股票期权，根据相关法律法规以及监管部门的规定估值。</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9、本基金参与融资或转融通证券出借业务的，应参照行业协会的相关规定进行估值，确保估值的公允性。</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10、汇率</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本基金外币资产价值计算中，涉及主要货币对人民币汇率的，应当以基金估值日中国人民银行或其授权机构公布的人民币汇率中间价为准。</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11、如有确凿证据表明按上述方法进行估值不能客观反映其公允价值的，基金管理人可根据具体情况与基金托管人商定后，按最能反映公允价值的价格估值。</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12、当发生大额申购或赎回情形时，基金管理人可以采用摆动定价机制，以确保基金估值的公平性。具体处理原则与操作规范遵循相关法律法规以及监管部门、自律规则的规定。</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13、相关法律法规以及监管部门有强制规定的，从其规定。如有新增事项，按国家最新规定估值。</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如基金管理人或基金托管人发现基金估值违反基金合同订明的估值方法、程序及相关法律法规的规定或者未能充分维护基金份额持有人利益时，应立即通知对方，共同查明原因，双方协商解决。</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pPr>
        <w:tabs>
          <w:tab w:val="left" w:pos="3780"/>
        </w:tabs>
        <w:autoSpaceDE w:val="0"/>
        <w:autoSpaceDN w:val="0"/>
        <w:adjustRightInd w:val="0"/>
        <w:snapToGrid w:val="0"/>
        <w:spacing w:line="360" w:lineRule="auto"/>
        <w:ind w:firstLine="424" w:firstLineChars="201"/>
        <w:textAlignment w:val="bottom"/>
        <w:rPr>
          <w:rFonts w:ascii="Arial" w:hAnsi="Arial" w:cs="Arial"/>
          <w:b/>
          <w:bCs/>
          <w:kern w:val="0"/>
          <w:szCs w:val="21"/>
        </w:rPr>
      </w:pPr>
      <w:r>
        <w:rPr>
          <w:rFonts w:hint="eastAsia" w:ascii="Arial" w:hAnsi="Arial" w:cs="Arial"/>
          <w:b/>
          <w:bCs/>
          <w:kern w:val="0"/>
          <w:szCs w:val="21"/>
        </w:rPr>
        <w:t>五、估值程序</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1、各类基金份额净值是按照每个工作日闭市后，各类基金份额的基金资产净值除以当日该类基金份额的余额数量计算，均精确到0.0001元，小数点后第5位四舍五入。基金管理人可以设立大额赎回情形下的净值精度应急调整机制。国家另有规定的，从其规定。</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基金管理人于每个工作日计算基金资产净值及各类基金份额净值，并按规定公告。</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w:t>
      </w:r>
    </w:p>
    <w:p>
      <w:pPr>
        <w:tabs>
          <w:tab w:val="left" w:pos="3780"/>
        </w:tabs>
        <w:autoSpaceDE w:val="0"/>
        <w:autoSpaceDN w:val="0"/>
        <w:adjustRightInd w:val="0"/>
        <w:snapToGrid w:val="0"/>
        <w:spacing w:line="360" w:lineRule="auto"/>
        <w:ind w:firstLine="424" w:firstLineChars="201"/>
        <w:textAlignment w:val="bottom"/>
        <w:rPr>
          <w:rFonts w:ascii="Arial" w:hAnsi="Arial" w:cs="Arial"/>
          <w:b/>
          <w:bCs/>
          <w:kern w:val="0"/>
          <w:szCs w:val="21"/>
        </w:rPr>
      </w:pPr>
      <w:r>
        <w:rPr>
          <w:rFonts w:hint="eastAsia" w:ascii="Arial" w:hAnsi="Arial" w:cs="Arial"/>
          <w:b/>
          <w:bCs/>
          <w:kern w:val="0"/>
          <w:szCs w:val="21"/>
        </w:rPr>
        <w:t>六、估值错误的处理</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基金管理人和基金托管人将采取必要、适当、合理的措施确保基金资产估值的准确性、及时性。当任一类基金份额净值小数点后4位以内(含第4位)发生估值错误时，视为该类基金份额净值错误。</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基金合同的当事人应按照以下约定处理：</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1、估值错误类型</w:t>
      </w:r>
      <w:r>
        <w:rPr>
          <w:rFonts w:hint="eastAsia" w:ascii="Arial" w:hAnsi="Arial" w:cs="Arial"/>
          <w:kern w:val="0"/>
          <w:szCs w:val="21"/>
        </w:rPr>
        <w:tab/>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上述估值错误的主要类型包括但不限于：资料申报差错、数据传输差错、数据计算差错、系统故障差错、下达指令差错等。</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2、估值错误处理原则</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（2）估值错误的责任方对有关当事人的直接损失负责，不对间接损失负责，并且仅对估值错误的有关直接当事人负责，不对第三方负责。</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（4）估值错误调整采用尽量恢复至假设未发生估值错误的正确情形的方式。</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3、估值错误处理程序</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估值错误被发现后，有关的当事人应当及时进行处理，处理的程序如下：</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（1）查明估值错误发生的原因，列明所有的当事人，并根据估值错误发生的原因确定估值错误的责任方；</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（2）根据估值错误处理原则或当事人协商的方法对因估值错误造成的损失进行评估；</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（3）根据估值错误处理原则或当事人协商的方法由估值错误的责任方进行更正和赔偿损失；</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（4）根据估值错误处理的方法，需要修改基金登记机构交易数据的，由基金登记机构进行更正，并就估值错误的更正向有关当事人进行确认。</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4、基金份额净值估值错误处理的方法如下：</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（1）基金份额净值计算出现错误时，基金管理人应当立即予以纠正，通报基金托管人，并采取合理的措施防止损失进一步扩大。</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（2）错误偏差达到该类基金份额净值的0.25%时，基金管理人应当通报基金托管人并报中国证监会备案；错误偏差达到该类基金份额净值的0.5%时，基金管理人应当公告，并报中国证监会备案。</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（3）基金管理人和基金托管人由于各自技术系统设置而产生的净值计算尾差，以基金管理人计算结果为准。</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（4）前述内容如法律法规或监管机关另有规定的，从其规定处理。如果行业另有通行做法，基金管理人、基金托管人应本着平等和保护基金份额持有人利益的原则进行协商。</w:t>
      </w:r>
    </w:p>
    <w:p>
      <w:pPr>
        <w:tabs>
          <w:tab w:val="left" w:pos="3780"/>
        </w:tabs>
        <w:autoSpaceDE w:val="0"/>
        <w:autoSpaceDN w:val="0"/>
        <w:adjustRightInd w:val="0"/>
        <w:snapToGrid w:val="0"/>
        <w:spacing w:line="360" w:lineRule="auto"/>
        <w:ind w:firstLine="424" w:firstLineChars="201"/>
        <w:textAlignment w:val="bottom"/>
        <w:rPr>
          <w:rFonts w:ascii="Arial" w:hAnsi="Arial" w:cs="Arial"/>
          <w:b/>
          <w:bCs/>
          <w:kern w:val="0"/>
          <w:szCs w:val="21"/>
        </w:rPr>
      </w:pPr>
      <w:r>
        <w:rPr>
          <w:rFonts w:hint="eastAsia" w:ascii="Arial" w:hAnsi="Arial" w:cs="Arial"/>
          <w:b/>
          <w:bCs/>
          <w:kern w:val="0"/>
          <w:szCs w:val="21"/>
        </w:rPr>
        <w:t>七、暂停估值的情形</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1、基金投资所涉及的证券、期货交易市场或外汇市场遇法定节假日或因其他原因暂停营业时；</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2、因不可抗力致使基金管理人、基金托管人无法准确评估基金资产价值时；</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3、当特定资产占前一估值日基金资产净值50%以上的，经与基金托管人协商确认后，基金管理人应当暂停估值；</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4、法律法规规定、中国证监会和基金合同认定的其它情形。</w:t>
      </w:r>
    </w:p>
    <w:p>
      <w:pPr>
        <w:tabs>
          <w:tab w:val="left" w:pos="3780"/>
        </w:tabs>
        <w:autoSpaceDE w:val="0"/>
        <w:autoSpaceDN w:val="0"/>
        <w:adjustRightInd w:val="0"/>
        <w:snapToGrid w:val="0"/>
        <w:spacing w:line="360" w:lineRule="auto"/>
        <w:ind w:firstLine="424" w:firstLineChars="201"/>
        <w:textAlignment w:val="bottom"/>
        <w:rPr>
          <w:rFonts w:ascii="Arial" w:hAnsi="Arial" w:cs="Arial"/>
          <w:b/>
          <w:bCs/>
          <w:kern w:val="0"/>
          <w:szCs w:val="21"/>
        </w:rPr>
      </w:pPr>
      <w:r>
        <w:rPr>
          <w:rFonts w:hint="eastAsia" w:ascii="Arial" w:hAnsi="Arial" w:cs="Arial"/>
          <w:b/>
          <w:bCs/>
          <w:kern w:val="0"/>
          <w:szCs w:val="21"/>
        </w:rPr>
        <w:t>八、基金净值的确认</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w:t>
      </w:r>
    </w:p>
    <w:p>
      <w:pPr>
        <w:tabs>
          <w:tab w:val="left" w:pos="3780"/>
        </w:tabs>
        <w:autoSpaceDE w:val="0"/>
        <w:autoSpaceDN w:val="0"/>
        <w:adjustRightInd w:val="0"/>
        <w:snapToGrid w:val="0"/>
        <w:spacing w:line="360" w:lineRule="auto"/>
        <w:ind w:firstLine="424" w:firstLineChars="201"/>
        <w:textAlignment w:val="bottom"/>
        <w:rPr>
          <w:rFonts w:ascii="Arial" w:hAnsi="Arial" w:cs="Arial"/>
          <w:b/>
          <w:bCs/>
          <w:kern w:val="0"/>
          <w:szCs w:val="21"/>
        </w:rPr>
      </w:pPr>
      <w:r>
        <w:rPr>
          <w:rFonts w:hint="eastAsia" w:ascii="Arial" w:hAnsi="Arial" w:cs="Arial"/>
          <w:b/>
          <w:bCs/>
          <w:kern w:val="0"/>
          <w:szCs w:val="21"/>
        </w:rPr>
        <w:t>九、特殊情况的处理</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1、基金管理人或基金托管人按估值方法的第11项进行估值时，所造成的误差不作为基金资产估值错误处理。</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2、由于不可抗力原因，或由于证券、期货交易所或登记结算公司及存款银行等第三方机构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pPr>
        <w:tabs>
          <w:tab w:val="left" w:pos="3780"/>
        </w:tabs>
        <w:autoSpaceDE w:val="0"/>
        <w:autoSpaceDN w:val="0"/>
        <w:adjustRightInd w:val="0"/>
        <w:snapToGrid w:val="0"/>
        <w:spacing w:line="360" w:lineRule="auto"/>
        <w:ind w:firstLine="424" w:firstLineChars="201"/>
        <w:textAlignment w:val="bottom"/>
        <w:rPr>
          <w:rFonts w:ascii="Arial" w:hAnsi="Arial" w:cs="Arial"/>
          <w:b/>
          <w:bCs/>
          <w:kern w:val="0"/>
          <w:szCs w:val="21"/>
        </w:rPr>
      </w:pPr>
      <w:r>
        <w:rPr>
          <w:rFonts w:hint="eastAsia" w:ascii="Arial" w:hAnsi="Arial" w:cs="Arial"/>
          <w:b/>
          <w:bCs/>
          <w:kern w:val="0"/>
          <w:szCs w:val="21"/>
        </w:rPr>
        <w:t>十、实施侧袋机制期间的基金资产估值</w:t>
      </w:r>
    </w:p>
    <w:p>
      <w:pPr>
        <w:adjustRightInd w:val="0"/>
        <w:snapToGrid w:val="0"/>
        <w:spacing w:line="360" w:lineRule="auto"/>
        <w:ind w:firstLine="422" w:firstLineChars="201"/>
        <w:sectPr>
          <w:footerReference r:id="rId21" w:type="first"/>
          <w:footerReference r:id="rId20" w:type="default"/>
          <w:pgSz w:w="11906" w:h="16838"/>
          <w:pgMar w:top="1440" w:right="1800" w:bottom="1440" w:left="1800" w:header="851" w:footer="992" w:gutter="0"/>
          <w:cols w:space="425" w:num="1"/>
          <w:titlePg/>
          <w:docGrid w:type="lines" w:linePitch="312" w:charSpace="0"/>
        </w:sectPr>
      </w:pPr>
      <w:r>
        <w:rPr>
          <w:rFonts w:hint="eastAsia" w:ascii="Arial" w:hAnsi="Arial" w:cs="Arial"/>
          <w:kern w:val="0"/>
          <w:szCs w:val="21"/>
        </w:rPr>
        <w:t>本基金实施侧袋机制的，应根据本部分的约定对主袋账户资产进行估值并披露主袋账户的基金净值信息，暂停披露侧袋账户基金净值信息。</w:t>
      </w:r>
      <w:bookmarkEnd w:id="127"/>
    </w:p>
    <w:p>
      <w:pPr>
        <w:pStyle w:val="3"/>
        <w:numPr>
          <w:ilvl w:val="0"/>
          <w:numId w:val="25"/>
        </w:numPr>
        <w:snapToGrid w:val="0"/>
        <w:spacing w:before="0" w:after="0" w:line="360" w:lineRule="auto"/>
        <w:jc w:val="center"/>
      </w:pPr>
      <w:bookmarkStart w:id="128" w:name="_Toc411872034"/>
      <w:bookmarkStart w:id="129" w:name="_Toc327902634"/>
      <w:bookmarkStart w:id="130" w:name="_Toc335899845"/>
      <w:bookmarkStart w:id="131" w:name="_Toc10445"/>
      <w:bookmarkStart w:id="132" w:name="_Toc21104"/>
      <w:bookmarkStart w:id="133" w:name="_Toc332013122"/>
      <w:bookmarkStart w:id="134" w:name="_Toc336606239"/>
      <w:bookmarkStart w:id="135" w:name="_Toc369510020"/>
      <w:bookmarkStart w:id="136" w:name="_Toc375295985"/>
      <w:r>
        <w:rPr>
          <w:rFonts w:hint="eastAsia"/>
        </w:rPr>
        <w:t>基金的收益与分配</w:t>
      </w:r>
      <w:bookmarkEnd w:id="128"/>
      <w:bookmarkEnd w:id="129"/>
      <w:bookmarkEnd w:id="130"/>
      <w:bookmarkEnd w:id="131"/>
      <w:bookmarkEnd w:id="132"/>
      <w:bookmarkEnd w:id="133"/>
      <w:bookmarkEnd w:id="134"/>
      <w:bookmarkEnd w:id="135"/>
      <w:bookmarkEnd w:id="136"/>
    </w:p>
    <w:p>
      <w:pPr>
        <w:snapToGrid w:val="0"/>
        <w:spacing w:line="360" w:lineRule="auto"/>
        <w:ind w:firstLine="474" w:firstLineChars="225"/>
        <w:rPr>
          <w:b/>
          <w:szCs w:val="21"/>
        </w:rPr>
      </w:pPr>
      <w:bookmarkStart w:id="137" w:name="_Hlk114654837"/>
      <w:r>
        <w:rPr>
          <w:rFonts w:hint="eastAsia"/>
          <w:b/>
          <w:szCs w:val="21"/>
        </w:rPr>
        <w:t>一、基金利润的构成</w:t>
      </w:r>
    </w:p>
    <w:p>
      <w:pPr>
        <w:snapToGrid w:val="0"/>
        <w:spacing w:line="360" w:lineRule="auto"/>
        <w:ind w:firstLine="472" w:firstLineChars="225"/>
        <w:rPr>
          <w:bCs/>
          <w:szCs w:val="21"/>
        </w:rPr>
      </w:pPr>
      <w:r>
        <w:rPr>
          <w:rFonts w:hint="eastAsia"/>
          <w:bCs/>
          <w:szCs w:val="21"/>
        </w:rPr>
        <w:t>基金利润指基金利息收入、投资收益、公允价值变动收益和其他收入扣除相关费用后的余额，基金已实现收益指基金利润减去公允价值变动收益后的余额。</w:t>
      </w:r>
    </w:p>
    <w:p>
      <w:pPr>
        <w:snapToGrid w:val="0"/>
        <w:spacing w:line="360" w:lineRule="auto"/>
        <w:ind w:firstLine="474" w:firstLineChars="225"/>
        <w:rPr>
          <w:b/>
          <w:szCs w:val="21"/>
        </w:rPr>
      </w:pPr>
      <w:r>
        <w:rPr>
          <w:rFonts w:hint="eastAsia"/>
          <w:b/>
          <w:szCs w:val="21"/>
        </w:rPr>
        <w:t>二、基金可供分配利润</w:t>
      </w:r>
    </w:p>
    <w:p>
      <w:pPr>
        <w:snapToGrid w:val="0"/>
        <w:spacing w:line="360" w:lineRule="auto"/>
        <w:ind w:firstLine="472" w:firstLineChars="225"/>
        <w:rPr>
          <w:bCs/>
          <w:szCs w:val="21"/>
        </w:rPr>
      </w:pPr>
      <w:r>
        <w:rPr>
          <w:rFonts w:hint="eastAsia"/>
          <w:bCs/>
          <w:szCs w:val="21"/>
        </w:rPr>
        <w:t>基金可供分配利润指截至收益分配基准日基金未分配利润与未分配利润中已实现收益的孰低数。</w:t>
      </w:r>
    </w:p>
    <w:p>
      <w:pPr>
        <w:snapToGrid w:val="0"/>
        <w:spacing w:line="360" w:lineRule="auto"/>
        <w:ind w:firstLine="474" w:firstLineChars="225"/>
        <w:rPr>
          <w:b/>
          <w:szCs w:val="21"/>
        </w:rPr>
      </w:pPr>
      <w:r>
        <w:rPr>
          <w:rFonts w:hint="eastAsia"/>
          <w:b/>
          <w:szCs w:val="21"/>
        </w:rPr>
        <w:t>三、基金收益分配原则</w:t>
      </w:r>
    </w:p>
    <w:p>
      <w:pPr>
        <w:snapToGrid w:val="0"/>
        <w:spacing w:line="360" w:lineRule="auto"/>
        <w:ind w:firstLine="472" w:firstLineChars="225"/>
        <w:rPr>
          <w:bCs/>
          <w:szCs w:val="21"/>
        </w:rPr>
      </w:pPr>
      <w:r>
        <w:rPr>
          <w:rFonts w:hint="eastAsia"/>
          <w:bCs/>
          <w:szCs w:val="21"/>
        </w:rPr>
        <w:t>1、由于本基金A类基金份额不收取销售服务费，而C类基金份额收取销售服务费，各基金份额类别对应的可供分配利润将有所不同，本基金同一类别的每一基金份额享有同等分配权；</w:t>
      </w:r>
    </w:p>
    <w:p>
      <w:pPr>
        <w:snapToGrid w:val="0"/>
        <w:spacing w:line="360" w:lineRule="auto"/>
        <w:ind w:firstLine="472" w:firstLineChars="225"/>
        <w:rPr>
          <w:bCs/>
          <w:szCs w:val="21"/>
        </w:rPr>
      </w:pPr>
      <w:r>
        <w:rPr>
          <w:rFonts w:hint="eastAsia"/>
          <w:bCs/>
          <w:szCs w:val="21"/>
        </w:rPr>
        <w:t>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pPr>
        <w:snapToGrid w:val="0"/>
        <w:spacing w:line="360" w:lineRule="auto"/>
        <w:ind w:firstLine="472" w:firstLineChars="225"/>
        <w:rPr>
          <w:bCs/>
          <w:szCs w:val="21"/>
        </w:rPr>
      </w:pPr>
      <w:r>
        <w:rPr>
          <w:rFonts w:hint="eastAsia"/>
          <w:bCs/>
          <w:szCs w:val="21"/>
        </w:rPr>
        <w:t>3、基金收益分配后各类基金份额净值不能低于面值，即基金收益分配基准日的各类基金份额净值减去每单位该类基金份额收益分配金额后不能低于面值；</w:t>
      </w:r>
    </w:p>
    <w:p>
      <w:pPr>
        <w:snapToGrid w:val="0"/>
        <w:spacing w:line="360" w:lineRule="auto"/>
        <w:ind w:firstLine="472" w:firstLineChars="225"/>
        <w:rPr>
          <w:bCs/>
          <w:szCs w:val="21"/>
        </w:rPr>
      </w:pPr>
      <w:r>
        <w:rPr>
          <w:rFonts w:hint="eastAsia"/>
          <w:bCs/>
          <w:szCs w:val="21"/>
        </w:rPr>
        <w:t>4、法律法规或监管机关另有规定的，从其规定。</w:t>
      </w:r>
    </w:p>
    <w:p>
      <w:pPr>
        <w:snapToGrid w:val="0"/>
        <w:spacing w:line="360" w:lineRule="auto"/>
        <w:ind w:firstLine="472" w:firstLineChars="225"/>
        <w:rPr>
          <w:bCs/>
          <w:szCs w:val="21"/>
        </w:rPr>
      </w:pPr>
      <w:r>
        <w:rPr>
          <w:rFonts w:hint="eastAsia"/>
          <w:bCs/>
          <w:szCs w:val="21"/>
        </w:rPr>
        <w:t>在不违反法律法规及基金合同约定，并对基金份额持有人利益无实质不利影响的前提下，基金管理人经与基金托管人协商一致后，可对基金收益分配原则和支付方式进行调整，不需召开基金份额持有人大会。</w:t>
      </w:r>
    </w:p>
    <w:p>
      <w:pPr>
        <w:snapToGrid w:val="0"/>
        <w:spacing w:line="360" w:lineRule="auto"/>
        <w:ind w:firstLine="474" w:firstLineChars="225"/>
        <w:rPr>
          <w:b/>
          <w:szCs w:val="21"/>
        </w:rPr>
      </w:pPr>
      <w:r>
        <w:rPr>
          <w:rFonts w:hint="eastAsia"/>
          <w:b/>
          <w:szCs w:val="21"/>
        </w:rPr>
        <w:t>四、收益分配方案</w:t>
      </w:r>
    </w:p>
    <w:p>
      <w:pPr>
        <w:snapToGrid w:val="0"/>
        <w:spacing w:line="360" w:lineRule="auto"/>
        <w:ind w:firstLine="472" w:firstLineChars="225"/>
        <w:rPr>
          <w:bCs/>
          <w:szCs w:val="21"/>
        </w:rPr>
      </w:pPr>
      <w:r>
        <w:rPr>
          <w:rFonts w:hint="eastAsia"/>
          <w:bCs/>
          <w:szCs w:val="21"/>
        </w:rPr>
        <w:t>基金收益分配方案中应载明截至收益分配基准日的可供分配利润、基金收益分配对象、分配时间、分配数额及比例、分配方式等内容。</w:t>
      </w:r>
    </w:p>
    <w:p>
      <w:pPr>
        <w:snapToGrid w:val="0"/>
        <w:spacing w:line="360" w:lineRule="auto"/>
        <w:ind w:firstLine="474" w:firstLineChars="225"/>
        <w:rPr>
          <w:b/>
          <w:szCs w:val="21"/>
        </w:rPr>
      </w:pPr>
      <w:r>
        <w:rPr>
          <w:rFonts w:hint="eastAsia"/>
          <w:b/>
          <w:szCs w:val="21"/>
        </w:rPr>
        <w:t>五、收益分配方案的确定、公告与实施</w:t>
      </w:r>
    </w:p>
    <w:p>
      <w:pPr>
        <w:snapToGrid w:val="0"/>
        <w:spacing w:line="360" w:lineRule="auto"/>
        <w:ind w:firstLine="472" w:firstLineChars="225"/>
        <w:rPr>
          <w:bCs/>
          <w:szCs w:val="21"/>
        </w:rPr>
      </w:pPr>
      <w:r>
        <w:rPr>
          <w:rFonts w:hint="eastAsia"/>
          <w:bCs/>
          <w:szCs w:val="21"/>
        </w:rPr>
        <w:t>本基金收益分配方案由基金管理人拟定，并由基金托管人复核，按规定在规定媒介公告。</w:t>
      </w:r>
    </w:p>
    <w:p>
      <w:pPr>
        <w:snapToGrid w:val="0"/>
        <w:spacing w:line="360" w:lineRule="auto"/>
        <w:ind w:firstLine="474" w:firstLineChars="225"/>
        <w:rPr>
          <w:b/>
          <w:szCs w:val="21"/>
        </w:rPr>
      </w:pPr>
      <w:r>
        <w:rPr>
          <w:rFonts w:hint="eastAsia"/>
          <w:b/>
          <w:szCs w:val="21"/>
        </w:rPr>
        <w:t>六、基金收益分配中发生的费用</w:t>
      </w:r>
    </w:p>
    <w:p>
      <w:pPr>
        <w:snapToGrid w:val="0"/>
        <w:spacing w:line="360" w:lineRule="auto"/>
        <w:ind w:firstLine="472" w:firstLineChars="225"/>
        <w:rPr>
          <w:bCs/>
          <w:szCs w:val="21"/>
        </w:rPr>
      </w:pPr>
      <w:r>
        <w:rPr>
          <w:rFonts w:hint="eastAsia"/>
          <w:bCs/>
          <w:szCs w:val="21"/>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pPr>
        <w:snapToGrid w:val="0"/>
        <w:spacing w:line="360" w:lineRule="auto"/>
        <w:ind w:firstLine="474" w:firstLineChars="225"/>
        <w:rPr>
          <w:b/>
          <w:szCs w:val="21"/>
        </w:rPr>
      </w:pPr>
      <w:r>
        <w:rPr>
          <w:rFonts w:hint="eastAsia"/>
          <w:b/>
          <w:szCs w:val="21"/>
        </w:rPr>
        <w:t>七、实施侧袋机制期间的收益分配</w:t>
      </w:r>
    </w:p>
    <w:p>
      <w:pPr>
        <w:snapToGrid w:val="0"/>
        <w:spacing w:line="360" w:lineRule="auto"/>
        <w:ind w:firstLine="472" w:firstLineChars="225"/>
        <w:rPr>
          <w:bCs/>
          <w:szCs w:val="21"/>
        </w:rPr>
      </w:pPr>
      <w:r>
        <w:rPr>
          <w:rFonts w:hint="eastAsia"/>
          <w:bCs/>
          <w:szCs w:val="21"/>
        </w:rPr>
        <w:t>本基金实施侧袋机制的，侧袋账户不进行收益分配，详见本招募说明书</w:t>
      </w:r>
      <w:r>
        <w:rPr>
          <w:rFonts w:hint="eastAsia"/>
        </w:rPr>
        <w:t>“侧袋机制”部分</w:t>
      </w:r>
      <w:r>
        <w:rPr>
          <w:rFonts w:hint="eastAsia"/>
          <w:bCs/>
          <w:szCs w:val="21"/>
        </w:rPr>
        <w:t>的规定。</w:t>
      </w:r>
    </w:p>
    <w:bookmarkEnd w:id="137"/>
    <w:p>
      <w:pPr>
        <w:snapToGrid w:val="0"/>
        <w:spacing w:line="360" w:lineRule="auto"/>
        <w:ind w:firstLine="472" w:firstLineChars="225"/>
        <w:rPr>
          <w:rFonts w:ascii="宋体"/>
          <w:bCs/>
          <w:szCs w:val="21"/>
        </w:rPr>
        <w:sectPr>
          <w:footerReference r:id="rId22" w:type="first"/>
          <w:pgSz w:w="11906" w:h="16838"/>
          <w:pgMar w:top="1440" w:right="1800" w:bottom="1440" w:left="1800" w:header="851" w:footer="992" w:gutter="0"/>
          <w:cols w:space="425" w:num="1"/>
          <w:titlePg/>
          <w:docGrid w:type="lines" w:linePitch="312" w:charSpace="0"/>
        </w:sectPr>
      </w:pPr>
    </w:p>
    <w:p>
      <w:pPr>
        <w:pStyle w:val="3"/>
        <w:numPr>
          <w:ilvl w:val="0"/>
          <w:numId w:val="25"/>
        </w:numPr>
        <w:snapToGrid w:val="0"/>
        <w:spacing w:before="0" w:after="0" w:line="360" w:lineRule="auto"/>
        <w:jc w:val="center"/>
      </w:pPr>
      <w:bookmarkStart w:id="138" w:name="_Toc375295986"/>
      <w:bookmarkStart w:id="139" w:name="_Toc335899846"/>
      <w:bookmarkStart w:id="140" w:name="_Toc369510021"/>
      <w:bookmarkStart w:id="141" w:name="_Toc336606240"/>
      <w:bookmarkStart w:id="142" w:name="_Toc411872035"/>
      <w:bookmarkStart w:id="143" w:name="_Toc8813"/>
      <w:bookmarkStart w:id="144" w:name="_Toc327902635"/>
      <w:bookmarkStart w:id="145" w:name="_Toc14032"/>
      <w:bookmarkStart w:id="146" w:name="_Toc332013123"/>
      <w:r>
        <w:rPr>
          <w:rFonts w:hint="eastAsia"/>
        </w:rPr>
        <w:t>基金的费用与税收</w:t>
      </w:r>
      <w:bookmarkEnd w:id="138"/>
      <w:bookmarkEnd w:id="139"/>
      <w:bookmarkEnd w:id="140"/>
      <w:bookmarkEnd w:id="141"/>
      <w:bookmarkEnd w:id="142"/>
      <w:bookmarkEnd w:id="143"/>
      <w:bookmarkEnd w:id="144"/>
      <w:bookmarkEnd w:id="145"/>
      <w:bookmarkEnd w:id="146"/>
    </w:p>
    <w:p>
      <w:pPr>
        <w:autoSpaceDE w:val="0"/>
        <w:autoSpaceDN w:val="0"/>
        <w:adjustRightInd w:val="0"/>
        <w:spacing w:line="360" w:lineRule="auto"/>
        <w:ind w:firstLine="422" w:firstLineChars="200"/>
        <w:jc w:val="left"/>
        <w:rPr>
          <w:rFonts w:cs="宋体" w:asciiTheme="minorEastAsia" w:hAnsiTheme="minorEastAsia"/>
          <w:b/>
          <w:bCs/>
          <w:kern w:val="0"/>
          <w:szCs w:val="21"/>
        </w:rPr>
      </w:pPr>
      <w:bookmarkStart w:id="147" w:name="_Hlk114654877"/>
      <w:r>
        <w:rPr>
          <w:rFonts w:hint="eastAsia" w:cs="宋体" w:asciiTheme="minorEastAsia" w:hAnsiTheme="minorEastAsia"/>
          <w:b/>
          <w:bCs/>
          <w:kern w:val="0"/>
          <w:szCs w:val="21"/>
        </w:rPr>
        <w:t>一、基金费用的种类</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1、基金管理人的管理费；</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2、基金托管人的托管费；</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3、C类基金份额的销售服务费；</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4、基金合同生效后与基金相关的信息披露费用，法律法规、中国证监会另有规定的除外；</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5、基金合同生效后与基金相关的会计师费、公证费、律师费、诉讼费和仲裁费；</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6、基金份额持有人大会费用；</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7、基金的证券、期货、期权交易费用；</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8、基金的银行汇划费用；</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9、账户开户费用、账户维护费用；</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10、因投资港股通标的股票而产生的各项合理费用；</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11、按照国家有关规定和基金合同约定，可以在基金财产中列支的其他费用。</w:t>
      </w:r>
    </w:p>
    <w:p>
      <w:pPr>
        <w:autoSpaceDE w:val="0"/>
        <w:autoSpaceDN w:val="0"/>
        <w:adjustRightInd w:val="0"/>
        <w:spacing w:line="360" w:lineRule="auto"/>
        <w:ind w:firstLine="422" w:firstLineChars="200"/>
        <w:jc w:val="left"/>
        <w:rPr>
          <w:rFonts w:cs="宋体" w:asciiTheme="minorEastAsia" w:hAnsiTheme="minorEastAsia"/>
          <w:b/>
          <w:bCs/>
          <w:kern w:val="0"/>
          <w:szCs w:val="21"/>
        </w:rPr>
      </w:pPr>
      <w:r>
        <w:rPr>
          <w:rFonts w:hint="eastAsia" w:cs="宋体" w:asciiTheme="minorEastAsia" w:hAnsiTheme="minorEastAsia"/>
          <w:b/>
          <w:bCs/>
          <w:kern w:val="0"/>
          <w:szCs w:val="21"/>
        </w:rPr>
        <w:t>二、基金费用计提方法、计提标准和支付方式</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 xml:space="preserve">1、基金管理人的管理费 </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本基金的管理费按前一日基金资产净值的0.50%年费率计提。管理费的计算方法如下：</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H＝E×0.50%÷当年实际天数</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H为每日应计提的基金管理费</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E为前一日的基金资产净值</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基金管理费每日计提，逐日累计至每月月末，按月支付，经基金管理人与基金托管人双方核对无误后，基金托管人按照与基金管理人协商一致的方式于次月月初5个工作日内从基金财产中一次性支付给基金管理人。若遇法定节假日、公休假或不可抗力等，支付日期顺延。</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2、基金托管人的托管费</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本基金的托管费按前一日基金资产净值的0.10%年费率计提。托管费的计算方法如下：</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H＝E×0.10%÷当年实际天数</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H为每日应计提的基金托管费</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E为前一日的基金资产净值</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基金托管费每日计提，逐日累计至每月月末，按月支付，经基金管理人与基金托管人双方核对无误后，基金托管人按照与基金管理人协商一致的方式于次月月初5个工作日内从基金财产中一次性支付给基金托管人。若遇法定节假日、公休假或不可抗力等，支付日期顺延。</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3、C类份额的销售服务费</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本基金A类基金份额不收取销售服务费，C类基金份额的销售服务费年费率为0.30%。</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 xml:space="preserve">本基金销售服务费按前一日C类基金资产净值的0.30%年费率计提。计算方法如下： </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 xml:space="preserve">H＝E×0.30%÷当年实际天数 </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H为C类基金份额每日应计提的销售服务费</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E为C类基金份额前一日基金资产净值</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基金销售服务费每日计提，逐日累计至每月月末，按月支付，经基金管理人与基金托管人双方核对无误后，基金托管人按照与基金管理人协商一致的方式于次月月初5个工作日内从基金财产中一次性支付给销售机构。若遇法定节假日、公休假或不可抗力等，支付日期顺延。</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上述“一、基金费用的种类”中第4－11项费用，根据有关法规及相应协议规定，按费用实际支出金额列入当期费用，由基金托管人从基金财产中支付。</w:t>
      </w:r>
    </w:p>
    <w:p>
      <w:pPr>
        <w:autoSpaceDE w:val="0"/>
        <w:autoSpaceDN w:val="0"/>
        <w:adjustRightInd w:val="0"/>
        <w:spacing w:line="360" w:lineRule="auto"/>
        <w:ind w:firstLine="422" w:firstLineChars="200"/>
        <w:jc w:val="left"/>
        <w:rPr>
          <w:rFonts w:cs="宋体" w:asciiTheme="minorEastAsia" w:hAnsiTheme="minorEastAsia"/>
          <w:b/>
          <w:bCs/>
          <w:kern w:val="0"/>
          <w:szCs w:val="21"/>
        </w:rPr>
      </w:pPr>
      <w:r>
        <w:rPr>
          <w:rFonts w:hint="eastAsia" w:cs="宋体" w:asciiTheme="minorEastAsia" w:hAnsiTheme="minorEastAsia"/>
          <w:b/>
          <w:bCs/>
          <w:kern w:val="0"/>
          <w:szCs w:val="21"/>
        </w:rPr>
        <w:t>三、不列入基金费用的项目</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下列费用不列入基金费用：</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1、基金管理人和基金托管人因未履行或未完全履行义务导致的费用支出或基金财产的损失；</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2、基金管理人和基金托管人处理与基金运作无关的事项发生的费用；</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3、指数许可使用费</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本基金按照基金管理人与标的指数许可方所签订的指数使用许可协议中所规定的指数许可使用费计提方法支付指数许可使用费，该指数许可使用费由基金管理人承担，不得从基金财产中列支。</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如果指数许可使用费的计算方法、费率、支付方式和费用承担方等发生调整，本基金将采用调整后的方法或费率计算指数许可使用费；</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4、《基金合同》生效前的相关费用；</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5、其他根据相关法律法规及中国证监会的有关规定不得列入基金费用的项目。</w:t>
      </w:r>
    </w:p>
    <w:p>
      <w:pPr>
        <w:autoSpaceDE w:val="0"/>
        <w:autoSpaceDN w:val="0"/>
        <w:adjustRightInd w:val="0"/>
        <w:spacing w:line="360" w:lineRule="auto"/>
        <w:ind w:firstLine="422" w:firstLineChars="200"/>
        <w:jc w:val="left"/>
        <w:rPr>
          <w:rFonts w:cs="宋体" w:asciiTheme="minorEastAsia" w:hAnsiTheme="minorEastAsia"/>
          <w:b/>
          <w:bCs/>
          <w:kern w:val="0"/>
          <w:szCs w:val="21"/>
        </w:rPr>
      </w:pPr>
      <w:r>
        <w:rPr>
          <w:rFonts w:hint="eastAsia" w:cs="宋体" w:asciiTheme="minorEastAsia" w:hAnsiTheme="minorEastAsia"/>
          <w:b/>
          <w:bCs/>
          <w:kern w:val="0"/>
          <w:szCs w:val="21"/>
        </w:rPr>
        <w:t>四、实施侧袋机制期间的基金费用</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本基金实施侧袋机制的，与侧袋账户有关的费用可以从侧袋账户中列支，但应待侧袋账户资产变现后方可列支，有关费用可酌情收取或减免，但不得收取管理费，详见本招募说明书</w:t>
      </w:r>
      <w:r>
        <w:rPr>
          <w:rFonts w:hint="eastAsia"/>
        </w:rPr>
        <w:t>“侧袋机制”部分</w:t>
      </w:r>
      <w:r>
        <w:rPr>
          <w:rFonts w:hint="eastAsia" w:cs="宋体" w:asciiTheme="minorEastAsia" w:hAnsiTheme="minorEastAsia"/>
          <w:kern w:val="0"/>
          <w:szCs w:val="21"/>
        </w:rPr>
        <w:t>的规定。</w:t>
      </w:r>
    </w:p>
    <w:p>
      <w:pPr>
        <w:autoSpaceDE w:val="0"/>
        <w:autoSpaceDN w:val="0"/>
        <w:adjustRightInd w:val="0"/>
        <w:spacing w:line="360" w:lineRule="auto"/>
        <w:ind w:firstLine="422" w:firstLineChars="200"/>
        <w:jc w:val="left"/>
        <w:rPr>
          <w:rFonts w:cs="宋体" w:asciiTheme="minorEastAsia" w:hAnsiTheme="minorEastAsia"/>
          <w:b/>
          <w:bCs/>
          <w:kern w:val="0"/>
          <w:szCs w:val="21"/>
        </w:rPr>
      </w:pPr>
      <w:r>
        <w:rPr>
          <w:rFonts w:hint="eastAsia" w:cs="宋体" w:asciiTheme="minorEastAsia" w:hAnsiTheme="minorEastAsia"/>
          <w:b/>
          <w:bCs/>
          <w:kern w:val="0"/>
          <w:szCs w:val="21"/>
        </w:rPr>
        <w:t>五、基金税收</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基金运作过程中涉及的各纳税主体，其纳税义务按国家税收法律、法规执行。基金财产投资的相关税收，由基金份额持有人承担，基金管理人或者其他扣缴义务人按照国家有关税收征收的规定代扣代缴。</w:t>
      </w:r>
    </w:p>
    <w:p>
      <w:pPr>
        <w:adjustRightInd w:val="0"/>
        <w:snapToGrid w:val="0"/>
        <w:spacing w:line="360" w:lineRule="auto"/>
        <w:ind w:firstLine="420" w:firstLineChars="200"/>
        <w:rPr>
          <w:rFonts w:asciiTheme="minorEastAsia" w:hAnsiTheme="minorEastAsia" w:eastAsiaTheme="minorEastAsia"/>
        </w:rPr>
        <w:sectPr>
          <w:footerReference r:id="rId24" w:type="first"/>
          <w:footerReference r:id="rId23" w:type="default"/>
          <w:pgSz w:w="11906" w:h="16838"/>
          <w:pgMar w:top="1440" w:right="1800" w:bottom="1440" w:left="1800" w:header="851" w:footer="992" w:gutter="0"/>
          <w:cols w:space="425" w:num="1"/>
          <w:titlePg/>
          <w:docGrid w:type="lines" w:linePitch="312" w:charSpace="0"/>
        </w:sectPr>
      </w:pPr>
      <w:r>
        <w:rPr>
          <w:rFonts w:hint="eastAsia" w:cs="宋体" w:asciiTheme="minorEastAsia" w:hAnsiTheme="minorEastAsia"/>
          <w:kern w:val="0"/>
          <w:szCs w:val="21"/>
        </w:rPr>
        <w:t>本基金支付给基金管理人、基金托管人的各项费用均为含税价格，具体税率适用中国税务主管机关的规定。</w:t>
      </w:r>
      <w:bookmarkEnd w:id="147"/>
    </w:p>
    <w:p>
      <w:pPr>
        <w:pStyle w:val="3"/>
        <w:numPr>
          <w:ilvl w:val="0"/>
          <w:numId w:val="25"/>
        </w:numPr>
        <w:snapToGrid w:val="0"/>
        <w:spacing w:before="0" w:after="0" w:line="360" w:lineRule="auto"/>
        <w:jc w:val="center"/>
      </w:pPr>
      <w:bookmarkStart w:id="148" w:name="_Toc335899847"/>
      <w:bookmarkStart w:id="149" w:name="_Toc332013124"/>
      <w:bookmarkStart w:id="150" w:name="_Toc369510022"/>
      <w:bookmarkStart w:id="151" w:name="_Toc327902636"/>
      <w:bookmarkStart w:id="152" w:name="_Toc336606241"/>
      <w:bookmarkStart w:id="153" w:name="_Toc2015"/>
      <w:bookmarkStart w:id="154" w:name="_Toc28470"/>
      <w:bookmarkStart w:id="155" w:name="_Toc411872036"/>
      <w:bookmarkStart w:id="156" w:name="_Toc375295987"/>
      <w:r>
        <w:rPr>
          <w:rFonts w:hint="eastAsia"/>
        </w:rPr>
        <w:t>基金的会计与审计</w:t>
      </w:r>
      <w:bookmarkEnd w:id="148"/>
      <w:bookmarkEnd w:id="149"/>
      <w:bookmarkEnd w:id="150"/>
      <w:bookmarkEnd w:id="151"/>
      <w:bookmarkEnd w:id="152"/>
      <w:bookmarkEnd w:id="153"/>
      <w:bookmarkEnd w:id="154"/>
      <w:bookmarkEnd w:id="155"/>
      <w:bookmarkEnd w:id="156"/>
    </w:p>
    <w:p>
      <w:pPr>
        <w:snapToGrid w:val="0"/>
        <w:spacing w:line="360" w:lineRule="auto"/>
        <w:ind w:firstLine="422" w:firstLineChars="200"/>
        <w:rPr>
          <w:rFonts w:ascii="宋体" w:hAnsi="宋体"/>
          <w:b/>
          <w:bCs/>
          <w:szCs w:val="21"/>
        </w:rPr>
      </w:pPr>
      <w:bookmarkStart w:id="157" w:name="_Hlk114654921"/>
      <w:r>
        <w:rPr>
          <w:rFonts w:hint="eastAsia" w:ascii="宋体" w:hAnsi="宋体"/>
          <w:b/>
          <w:bCs/>
          <w:szCs w:val="21"/>
        </w:rPr>
        <w:t>一、基金会计政策</w:t>
      </w:r>
    </w:p>
    <w:p>
      <w:pPr>
        <w:snapToGrid w:val="0"/>
        <w:spacing w:line="360" w:lineRule="auto"/>
        <w:ind w:firstLine="420" w:firstLineChars="200"/>
        <w:rPr>
          <w:rFonts w:ascii="宋体" w:hAnsi="宋体"/>
          <w:bCs/>
          <w:szCs w:val="21"/>
        </w:rPr>
      </w:pPr>
      <w:r>
        <w:rPr>
          <w:rFonts w:hint="eastAsia" w:ascii="宋体" w:hAnsi="宋体"/>
          <w:bCs/>
          <w:szCs w:val="21"/>
        </w:rPr>
        <w:t>1、基金管理人为本基金的基金会计责任方；</w:t>
      </w:r>
    </w:p>
    <w:p>
      <w:pPr>
        <w:snapToGrid w:val="0"/>
        <w:spacing w:line="360" w:lineRule="auto"/>
        <w:ind w:firstLine="420" w:firstLineChars="200"/>
        <w:rPr>
          <w:rFonts w:ascii="宋体" w:hAnsi="宋体"/>
          <w:bCs/>
          <w:szCs w:val="21"/>
        </w:rPr>
      </w:pPr>
      <w:r>
        <w:rPr>
          <w:rFonts w:hint="eastAsia" w:ascii="宋体" w:hAnsi="宋体"/>
          <w:bCs/>
          <w:szCs w:val="21"/>
        </w:rPr>
        <w:t>2、基金的会计年度为公历年度的1月1日至12月31日；基金首次募集的会计年度按如下原则：如果《基金合同》生效少于2个月，可以并入下一个会计年度披露；</w:t>
      </w:r>
    </w:p>
    <w:p>
      <w:pPr>
        <w:snapToGrid w:val="0"/>
        <w:spacing w:line="360" w:lineRule="auto"/>
        <w:ind w:firstLine="420" w:firstLineChars="200"/>
        <w:rPr>
          <w:rFonts w:ascii="宋体" w:hAnsi="宋体"/>
          <w:bCs/>
          <w:szCs w:val="21"/>
        </w:rPr>
      </w:pPr>
      <w:r>
        <w:rPr>
          <w:rFonts w:hint="eastAsia" w:ascii="宋体" w:hAnsi="宋体"/>
          <w:bCs/>
          <w:szCs w:val="21"/>
        </w:rPr>
        <w:t>3、基金核算以人民币为记账本位币，以人民币元为记账单位；</w:t>
      </w:r>
    </w:p>
    <w:p>
      <w:pPr>
        <w:snapToGrid w:val="0"/>
        <w:spacing w:line="360" w:lineRule="auto"/>
        <w:ind w:firstLine="420" w:firstLineChars="200"/>
        <w:rPr>
          <w:rFonts w:ascii="宋体" w:hAnsi="宋体"/>
          <w:bCs/>
          <w:szCs w:val="21"/>
        </w:rPr>
      </w:pPr>
      <w:r>
        <w:rPr>
          <w:rFonts w:hint="eastAsia" w:ascii="宋体" w:hAnsi="宋体"/>
          <w:bCs/>
          <w:szCs w:val="21"/>
        </w:rPr>
        <w:t>4、会计制度执行国家有关会计制度；</w:t>
      </w:r>
    </w:p>
    <w:p>
      <w:pPr>
        <w:snapToGrid w:val="0"/>
        <w:spacing w:line="360" w:lineRule="auto"/>
        <w:ind w:firstLine="420" w:firstLineChars="200"/>
        <w:rPr>
          <w:rFonts w:ascii="宋体" w:hAnsi="宋体"/>
          <w:bCs/>
          <w:szCs w:val="21"/>
        </w:rPr>
      </w:pPr>
      <w:r>
        <w:rPr>
          <w:rFonts w:hint="eastAsia" w:ascii="宋体" w:hAnsi="宋体"/>
          <w:bCs/>
          <w:szCs w:val="21"/>
        </w:rPr>
        <w:t>5、本基金独立建账、独立核算；</w:t>
      </w:r>
    </w:p>
    <w:p>
      <w:pPr>
        <w:snapToGrid w:val="0"/>
        <w:spacing w:line="360" w:lineRule="auto"/>
        <w:ind w:firstLine="420" w:firstLineChars="200"/>
        <w:rPr>
          <w:rFonts w:ascii="宋体" w:hAnsi="宋体"/>
          <w:bCs/>
          <w:szCs w:val="21"/>
        </w:rPr>
      </w:pPr>
      <w:r>
        <w:rPr>
          <w:rFonts w:hint="eastAsia" w:ascii="宋体" w:hAnsi="宋体"/>
          <w:bCs/>
          <w:szCs w:val="21"/>
        </w:rPr>
        <w:t>6、基金管理人及基金托管人各自保留完整的会计账目、凭证并进行日常的会计核算，按照有关规定编制基金会计报表；</w:t>
      </w:r>
    </w:p>
    <w:p>
      <w:pPr>
        <w:snapToGrid w:val="0"/>
        <w:spacing w:line="360" w:lineRule="auto"/>
        <w:ind w:firstLine="420" w:firstLineChars="200"/>
        <w:rPr>
          <w:rFonts w:ascii="宋体" w:hAnsi="宋体"/>
          <w:bCs/>
          <w:szCs w:val="21"/>
        </w:rPr>
      </w:pPr>
      <w:r>
        <w:rPr>
          <w:rFonts w:hint="eastAsia" w:ascii="宋体" w:hAnsi="宋体"/>
          <w:bCs/>
          <w:szCs w:val="21"/>
        </w:rPr>
        <w:t>7、基金托管人每月与基金管理人就基金的会计核算、报表编制等进行核对并以书面方式确认。</w:t>
      </w:r>
    </w:p>
    <w:p>
      <w:pPr>
        <w:snapToGrid w:val="0"/>
        <w:spacing w:line="360" w:lineRule="auto"/>
        <w:ind w:firstLine="422" w:firstLineChars="200"/>
        <w:rPr>
          <w:rFonts w:ascii="宋体" w:hAnsi="宋体"/>
          <w:b/>
          <w:bCs/>
          <w:szCs w:val="21"/>
        </w:rPr>
      </w:pPr>
      <w:r>
        <w:rPr>
          <w:rFonts w:hint="eastAsia" w:ascii="宋体" w:hAnsi="宋体"/>
          <w:b/>
          <w:bCs/>
          <w:szCs w:val="21"/>
        </w:rPr>
        <w:t>二、基金的年度审计</w:t>
      </w:r>
    </w:p>
    <w:p>
      <w:pPr>
        <w:snapToGrid w:val="0"/>
        <w:spacing w:line="360" w:lineRule="auto"/>
        <w:ind w:firstLine="420" w:firstLineChars="200"/>
        <w:rPr>
          <w:rFonts w:ascii="宋体" w:hAnsi="宋体"/>
          <w:bCs/>
          <w:szCs w:val="21"/>
        </w:rPr>
      </w:pPr>
      <w:r>
        <w:rPr>
          <w:rFonts w:hint="eastAsia" w:ascii="宋体" w:hAnsi="宋体"/>
          <w:bCs/>
          <w:szCs w:val="21"/>
        </w:rPr>
        <w:t>1、基金管理人聘请与基金管理人、基金托管人相互独立且符合《中华人民共和国证券法》规定的会计师事务所及其注册会计师对本基金的年度财务报表进行审计。</w:t>
      </w:r>
    </w:p>
    <w:p>
      <w:pPr>
        <w:snapToGrid w:val="0"/>
        <w:spacing w:line="360" w:lineRule="auto"/>
        <w:ind w:firstLine="420" w:firstLineChars="200"/>
        <w:rPr>
          <w:rFonts w:ascii="宋体" w:hAnsi="宋体"/>
          <w:bCs/>
          <w:szCs w:val="21"/>
        </w:rPr>
      </w:pPr>
      <w:r>
        <w:rPr>
          <w:rFonts w:hint="eastAsia" w:ascii="宋体" w:hAnsi="宋体"/>
          <w:bCs/>
          <w:szCs w:val="21"/>
        </w:rPr>
        <w:t>2、会计师事务所更换经办注册会计师，应事先征得基金管理人同意。</w:t>
      </w:r>
    </w:p>
    <w:p>
      <w:pPr>
        <w:adjustRightInd w:val="0"/>
        <w:snapToGrid w:val="0"/>
        <w:spacing w:line="360" w:lineRule="auto"/>
        <w:ind w:firstLine="420" w:firstLineChars="200"/>
        <w:rPr>
          <w:color w:val="000000"/>
        </w:rPr>
        <w:sectPr>
          <w:footerReference r:id="rId25" w:type="first"/>
          <w:pgSz w:w="11906" w:h="16838"/>
          <w:pgMar w:top="1440" w:right="1800" w:bottom="1440" w:left="1800" w:header="851" w:footer="992" w:gutter="0"/>
          <w:cols w:space="425" w:num="1"/>
          <w:titlePg/>
          <w:docGrid w:type="lines" w:linePitch="312" w:charSpace="0"/>
        </w:sectPr>
      </w:pPr>
      <w:r>
        <w:rPr>
          <w:rFonts w:hint="eastAsia" w:ascii="宋体" w:hAnsi="宋体"/>
          <w:bCs/>
          <w:szCs w:val="21"/>
        </w:rPr>
        <w:t>3、基金管理人认为有充足理由更换会计师事务所，须通报基金托管人。更换会计师事务所需按规定在规定媒介公告。</w:t>
      </w:r>
      <w:bookmarkEnd w:id="157"/>
    </w:p>
    <w:p>
      <w:pPr>
        <w:pStyle w:val="3"/>
        <w:numPr>
          <w:ilvl w:val="0"/>
          <w:numId w:val="25"/>
        </w:numPr>
        <w:snapToGrid w:val="0"/>
        <w:spacing w:before="0" w:after="0" w:line="360" w:lineRule="auto"/>
        <w:jc w:val="center"/>
      </w:pPr>
      <w:bookmarkStart w:id="158" w:name="_Toc375295988"/>
      <w:bookmarkStart w:id="159" w:name="_Toc18910"/>
      <w:bookmarkStart w:id="160" w:name="_Toc327902637"/>
      <w:bookmarkStart w:id="161" w:name="_Toc27149"/>
      <w:bookmarkStart w:id="162" w:name="_Toc369510023"/>
      <w:bookmarkStart w:id="163" w:name="_Toc411872037"/>
      <w:bookmarkStart w:id="164" w:name="_Toc332013125"/>
      <w:bookmarkStart w:id="165" w:name="_Toc336606242"/>
      <w:bookmarkStart w:id="166" w:name="_Toc335899848"/>
      <w:r>
        <w:rPr>
          <w:rFonts w:hint="eastAsia"/>
        </w:rPr>
        <w:t>基金的信息披露</w:t>
      </w:r>
      <w:bookmarkEnd w:id="158"/>
      <w:bookmarkEnd w:id="159"/>
      <w:bookmarkEnd w:id="160"/>
      <w:bookmarkEnd w:id="161"/>
      <w:bookmarkEnd w:id="162"/>
      <w:bookmarkEnd w:id="163"/>
      <w:bookmarkEnd w:id="164"/>
      <w:bookmarkEnd w:id="165"/>
      <w:bookmarkEnd w:id="166"/>
    </w:p>
    <w:p>
      <w:pPr>
        <w:adjustRightInd w:val="0"/>
        <w:snapToGrid w:val="0"/>
        <w:spacing w:line="360" w:lineRule="auto"/>
        <w:ind w:firstLine="422" w:firstLineChars="200"/>
        <w:rPr>
          <w:rFonts w:ascii="宋体" w:hAnsi="宋体"/>
          <w:b/>
          <w:bCs/>
          <w:szCs w:val="21"/>
        </w:rPr>
      </w:pPr>
      <w:bookmarkStart w:id="167" w:name="_Hlk114654954"/>
      <w:r>
        <w:rPr>
          <w:rFonts w:hint="eastAsia" w:ascii="宋体" w:hAnsi="宋体"/>
          <w:b/>
          <w:bCs/>
          <w:szCs w:val="21"/>
        </w:rPr>
        <w:t>一、本基金的信息披露应符合《基金法》、《运作办法》、《信息披露办法》、《流动性风险管理规定》、《基金合同》及其他有关规定。相关法律法规关于信息披露的规定发生变化时，本基金从其最新规定。</w:t>
      </w:r>
    </w:p>
    <w:p>
      <w:pPr>
        <w:adjustRightInd w:val="0"/>
        <w:snapToGrid w:val="0"/>
        <w:spacing w:line="360" w:lineRule="auto"/>
        <w:ind w:firstLine="422" w:firstLineChars="200"/>
        <w:rPr>
          <w:rFonts w:ascii="宋体" w:hAnsi="宋体"/>
          <w:b/>
          <w:bCs/>
          <w:szCs w:val="21"/>
        </w:rPr>
      </w:pPr>
      <w:r>
        <w:rPr>
          <w:rFonts w:hint="eastAsia" w:ascii="宋体" w:hAnsi="宋体"/>
          <w:b/>
          <w:bCs/>
          <w:szCs w:val="21"/>
        </w:rPr>
        <w:t>二、信息披露义务人</w:t>
      </w:r>
    </w:p>
    <w:p>
      <w:pPr>
        <w:adjustRightInd w:val="0"/>
        <w:snapToGrid w:val="0"/>
        <w:spacing w:line="360" w:lineRule="auto"/>
        <w:ind w:firstLine="480" w:firstLineChars="200"/>
        <w:rPr>
          <w:rFonts w:ascii="宋体" w:hAnsi="宋体"/>
          <w:bCs/>
          <w:sz w:val="24"/>
        </w:rPr>
      </w:pPr>
      <w:r>
        <w:rPr>
          <w:rFonts w:hint="eastAsia" w:ascii="宋体" w:hAnsi="宋体"/>
          <w:bCs/>
          <w:sz w:val="24"/>
        </w:rPr>
        <w:t>本基金信息披露义务人包括基金管理人、基金托管人、召集基金份额持有人大会的基金份额持有人等法律法规和中国证监会规定的自然人、法人和非法人组织。</w:t>
      </w:r>
    </w:p>
    <w:p>
      <w:pPr>
        <w:adjustRightInd w:val="0"/>
        <w:snapToGrid w:val="0"/>
        <w:spacing w:line="360" w:lineRule="auto"/>
        <w:ind w:firstLine="480" w:firstLineChars="200"/>
        <w:rPr>
          <w:rFonts w:ascii="宋体" w:hAnsi="宋体"/>
          <w:bCs/>
          <w:sz w:val="24"/>
        </w:rPr>
      </w:pPr>
      <w:r>
        <w:rPr>
          <w:rFonts w:hint="eastAsia" w:ascii="宋体" w:hAnsi="宋体"/>
          <w:bCs/>
          <w:sz w:val="24"/>
        </w:rPr>
        <w:t>本基金信息披露义务人以保护基金份额持有人利益为根本出发点，按照法律法规和中国证监会的规定披露基金信息，并保证所披露信息的真实性、准确性、完整性、及时性、简明性和易得性。</w:t>
      </w:r>
    </w:p>
    <w:p>
      <w:pPr>
        <w:adjustRightInd w:val="0"/>
        <w:snapToGrid w:val="0"/>
        <w:spacing w:line="360" w:lineRule="auto"/>
        <w:ind w:firstLine="480" w:firstLineChars="200"/>
        <w:rPr>
          <w:rFonts w:ascii="宋体" w:hAnsi="宋体"/>
          <w:bCs/>
          <w:sz w:val="24"/>
        </w:rPr>
      </w:pPr>
      <w:r>
        <w:rPr>
          <w:rFonts w:hint="eastAsia" w:ascii="宋体" w:hAnsi="宋体"/>
          <w:bCs/>
          <w:sz w:val="24"/>
        </w:rPr>
        <w:t>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w:t>
      </w:r>
    </w:p>
    <w:p>
      <w:pPr>
        <w:adjustRightInd w:val="0"/>
        <w:snapToGrid w:val="0"/>
        <w:spacing w:line="360" w:lineRule="auto"/>
        <w:ind w:firstLine="422" w:firstLineChars="200"/>
        <w:rPr>
          <w:rFonts w:ascii="宋体" w:hAnsi="宋体"/>
          <w:b/>
          <w:bCs/>
          <w:szCs w:val="21"/>
        </w:rPr>
      </w:pPr>
      <w:r>
        <w:rPr>
          <w:rFonts w:hint="eastAsia" w:ascii="宋体" w:hAnsi="宋体"/>
          <w:b/>
          <w:bCs/>
          <w:szCs w:val="21"/>
        </w:rPr>
        <w:t>三、本基金信息披露义务人承诺公开披露的基金信息，不得有下列行为：</w:t>
      </w:r>
    </w:p>
    <w:p>
      <w:pPr>
        <w:adjustRightInd w:val="0"/>
        <w:snapToGrid w:val="0"/>
        <w:spacing w:line="360" w:lineRule="auto"/>
        <w:ind w:firstLine="480" w:firstLineChars="200"/>
        <w:rPr>
          <w:rFonts w:cs="宋体" w:asciiTheme="minorEastAsia" w:hAnsiTheme="minorEastAsia"/>
          <w:kern w:val="0"/>
          <w:sz w:val="24"/>
        </w:rPr>
      </w:pPr>
      <w:r>
        <w:rPr>
          <w:rFonts w:hint="eastAsia" w:cs="宋体" w:asciiTheme="minorEastAsia" w:hAnsiTheme="minorEastAsia"/>
          <w:kern w:val="0"/>
          <w:sz w:val="24"/>
        </w:rPr>
        <w:t>1、虚假记载、误导性陈述或者重大遗漏；</w:t>
      </w:r>
    </w:p>
    <w:p>
      <w:pPr>
        <w:adjustRightInd w:val="0"/>
        <w:snapToGrid w:val="0"/>
        <w:spacing w:line="360" w:lineRule="auto"/>
        <w:ind w:firstLine="480" w:firstLineChars="200"/>
        <w:rPr>
          <w:rFonts w:cs="宋体" w:asciiTheme="minorEastAsia" w:hAnsiTheme="minorEastAsia"/>
          <w:kern w:val="0"/>
          <w:sz w:val="24"/>
        </w:rPr>
      </w:pPr>
      <w:r>
        <w:rPr>
          <w:rFonts w:hint="eastAsia" w:cs="宋体" w:asciiTheme="minorEastAsia" w:hAnsiTheme="minorEastAsia"/>
          <w:kern w:val="0"/>
          <w:sz w:val="24"/>
        </w:rPr>
        <w:t>2、对证券投资业绩进行预测；</w:t>
      </w:r>
    </w:p>
    <w:p>
      <w:pPr>
        <w:adjustRightInd w:val="0"/>
        <w:snapToGrid w:val="0"/>
        <w:spacing w:line="360" w:lineRule="auto"/>
        <w:ind w:firstLine="480" w:firstLineChars="200"/>
        <w:rPr>
          <w:rFonts w:cs="宋体" w:asciiTheme="minorEastAsia" w:hAnsiTheme="minorEastAsia"/>
          <w:kern w:val="0"/>
          <w:sz w:val="24"/>
        </w:rPr>
      </w:pPr>
      <w:r>
        <w:rPr>
          <w:rFonts w:hint="eastAsia" w:cs="宋体" w:asciiTheme="minorEastAsia" w:hAnsiTheme="minorEastAsia"/>
          <w:kern w:val="0"/>
          <w:sz w:val="24"/>
        </w:rPr>
        <w:t>3、违规承诺收益或者承担损失；</w:t>
      </w:r>
    </w:p>
    <w:p>
      <w:pPr>
        <w:adjustRightInd w:val="0"/>
        <w:snapToGrid w:val="0"/>
        <w:spacing w:line="360" w:lineRule="auto"/>
        <w:ind w:firstLine="480" w:firstLineChars="200"/>
        <w:rPr>
          <w:rFonts w:cs="宋体" w:asciiTheme="minorEastAsia" w:hAnsiTheme="minorEastAsia"/>
          <w:kern w:val="0"/>
          <w:sz w:val="24"/>
        </w:rPr>
      </w:pPr>
      <w:r>
        <w:rPr>
          <w:rFonts w:hint="eastAsia" w:cs="宋体" w:asciiTheme="minorEastAsia" w:hAnsiTheme="minorEastAsia"/>
          <w:kern w:val="0"/>
          <w:sz w:val="24"/>
        </w:rPr>
        <w:t>4、诋毁其他基金管理人、基金托管人或者基金销售机构；</w:t>
      </w:r>
    </w:p>
    <w:p>
      <w:pPr>
        <w:adjustRightInd w:val="0"/>
        <w:snapToGrid w:val="0"/>
        <w:spacing w:line="360" w:lineRule="auto"/>
        <w:ind w:firstLine="480" w:firstLineChars="200"/>
        <w:rPr>
          <w:rFonts w:cs="宋体" w:asciiTheme="minorEastAsia" w:hAnsiTheme="minorEastAsia"/>
          <w:kern w:val="0"/>
          <w:sz w:val="24"/>
        </w:rPr>
      </w:pPr>
      <w:r>
        <w:rPr>
          <w:rFonts w:hint="eastAsia" w:cs="宋体" w:asciiTheme="minorEastAsia" w:hAnsiTheme="minorEastAsia"/>
          <w:kern w:val="0"/>
          <w:sz w:val="24"/>
        </w:rPr>
        <w:t>5、登载任何自然人、法人和非法人组织的祝贺性、恭维性或推荐性文字；</w:t>
      </w:r>
    </w:p>
    <w:p>
      <w:pPr>
        <w:autoSpaceDE w:val="0"/>
        <w:autoSpaceDN w:val="0"/>
        <w:adjustRightInd w:val="0"/>
        <w:spacing w:line="360" w:lineRule="auto"/>
        <w:ind w:firstLine="480" w:firstLineChars="200"/>
        <w:jc w:val="left"/>
        <w:rPr>
          <w:rFonts w:cs="宋体" w:asciiTheme="minorEastAsia" w:hAnsiTheme="minorEastAsia"/>
          <w:kern w:val="0"/>
          <w:sz w:val="24"/>
        </w:rPr>
      </w:pPr>
      <w:r>
        <w:rPr>
          <w:rFonts w:hint="eastAsia" w:cs="宋体" w:asciiTheme="minorEastAsia" w:hAnsiTheme="minorEastAsia"/>
          <w:kern w:val="0"/>
          <w:sz w:val="24"/>
        </w:rPr>
        <w:t>6、中国证监会禁止的其他行为。</w:t>
      </w:r>
    </w:p>
    <w:p>
      <w:pPr>
        <w:adjustRightInd w:val="0"/>
        <w:snapToGrid w:val="0"/>
        <w:spacing w:line="360" w:lineRule="auto"/>
        <w:ind w:firstLine="422" w:firstLineChars="200"/>
        <w:rPr>
          <w:rFonts w:ascii="宋体" w:hAnsi="宋体"/>
          <w:b/>
          <w:bCs/>
          <w:szCs w:val="21"/>
        </w:rPr>
      </w:pPr>
      <w:r>
        <w:rPr>
          <w:rFonts w:hint="eastAsia" w:ascii="宋体" w:hAnsi="宋体"/>
          <w:b/>
          <w:bCs/>
          <w:szCs w:val="21"/>
        </w:rPr>
        <w:t>四、本基金公开披露的信息应采用中文文本。如同时采用外文文本的，基金信息披露义务人应保证不同文本的内容一致。不同文本之间发生歧义的，以中文文本为准。</w:t>
      </w:r>
    </w:p>
    <w:p>
      <w:pPr>
        <w:adjustRightInd w:val="0"/>
        <w:snapToGrid w:val="0"/>
        <w:spacing w:line="360" w:lineRule="auto"/>
        <w:ind w:firstLine="420" w:firstLineChars="200"/>
        <w:rPr>
          <w:rFonts w:ascii="宋体" w:hAnsi="宋体"/>
          <w:bCs/>
          <w:szCs w:val="21"/>
        </w:rPr>
      </w:pPr>
      <w:r>
        <w:rPr>
          <w:rFonts w:hint="eastAsia" w:ascii="宋体" w:hAnsi="宋体"/>
          <w:bCs/>
          <w:szCs w:val="21"/>
        </w:rPr>
        <w:t>本基金公开披露的信息采用阿拉伯数字；除特别说明外，货币单位为人民币元。</w:t>
      </w:r>
    </w:p>
    <w:p>
      <w:pPr>
        <w:adjustRightInd w:val="0"/>
        <w:snapToGrid w:val="0"/>
        <w:spacing w:line="360" w:lineRule="auto"/>
        <w:ind w:firstLine="422" w:firstLineChars="200"/>
        <w:rPr>
          <w:rFonts w:ascii="宋体" w:hAnsi="宋体"/>
          <w:b/>
          <w:bCs/>
          <w:szCs w:val="21"/>
        </w:rPr>
      </w:pPr>
      <w:r>
        <w:rPr>
          <w:rFonts w:hint="eastAsia" w:ascii="宋体" w:hAnsi="宋体"/>
          <w:b/>
          <w:bCs/>
          <w:szCs w:val="21"/>
        </w:rPr>
        <w:t>五、公开披露的基金信息</w:t>
      </w:r>
    </w:p>
    <w:p>
      <w:pPr>
        <w:adjustRightInd w:val="0"/>
        <w:snapToGrid w:val="0"/>
        <w:spacing w:line="360" w:lineRule="auto"/>
        <w:ind w:firstLine="420" w:firstLineChars="200"/>
        <w:rPr>
          <w:rFonts w:ascii="宋体" w:hAnsi="宋体"/>
          <w:bCs/>
          <w:szCs w:val="21"/>
        </w:rPr>
      </w:pPr>
      <w:r>
        <w:rPr>
          <w:rFonts w:hint="eastAsia" w:ascii="宋体" w:hAnsi="宋体"/>
          <w:bCs/>
          <w:szCs w:val="21"/>
        </w:rPr>
        <w:t>公开披露的基金信息包括：</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（一）基金招募说明书、基金产品资料概要、《基金合同》、基金托管协议</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1、《基金合同》是界定《基金合同》当事人的各项权利、义务关系，明确基金份额持有人大会召开的规则及具体程序，说明基金产品的特性等涉及基金投资者重大利益的事项的法律文件。</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2、基金招募说明书应当最大限度地披露影响基金投资者决策的全部事项，说明基金认购、申购和赎回安排、基金投资、基金产品特性、风险揭示、信息披露及基金份额持有人服务等内容。</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产品资料概要是基金招募说明书的摘要文件，用于向投资者提供简明的基金概要信息。基金管理人应当依照法律法规和中国证监会的规定编制、披露与更新基金产品资料概要。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基金终止运作的，除基金合同另有约定外，基金管理人可以不再更新基金招募说明书和基金产品资料概要。</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3、基金托管协议是界定基金托管人和基金管理人在基金财产保管及基金运作监督等活动中的权利、义务关系的法律文件。</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4、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（二）基金份额发售公告</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基金管理人应当就基金份额发售的具体事宜编制基金份额发售公告，并在披露招募说明书的当日登载于规定媒介上。</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（三）《基金合同》生效公告</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基金管理人应当在收到中国证监会确认文件的次日在规定报刊和规定网站上登载《基金合同》生效公告。</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（四）基金净值信息</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《基金合同》生效后，在开始办理基金份额申购或者赎回前，基金管理人应当至少每周在规定网站公告一次各类基金份额净值和各类基金份额累计净值。</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在开始办理基金份额申购或者赎回后，基金管理人应当在不晚于每个开放日的次日，通过规定网站、基金销售机构网站或者营业网点披露开放日的各类基金份额净值和各类基金份额累计净值。</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基金管理人应当在不晚于半年度和年度最后一日的次日， 在规定网站公告半年度和年度最后一日各类基金份额净值和各类基金份额累计净值。</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（五）基金份额申购、赎回价格</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基金管理人应当在《基金合同》、招募说明书等信息披露文件上载明基金份额申购、赎回价格的计算方式及有关申购、赎回费率，并保证投资者能够在基金销售机构网站或者营业网点查阅或者复制前述信息资料。</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（六）基金定期报告，包括基金年度报告、基金中期报告和基金季度报告（含资产组合季度报告）</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应当在每年结束之日起三个月内，编制完成基金年度报告，将年度报告登载于规定网站上，并将年度报告提示性公告登载在规定报刊上。基金年度报告中的财务会计报告应当经过符合《中华人民共和国证券法》规定的会计师事务所审计。</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基金管理人应当在上半年结束之日起两个月内，编制完成基金中期报告，将中期报告登载在规定网站上，并将中期报告提示性公告登载在规定报刊上。</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基金管理人应当在季度结束之日起15个工作日内，编制完成基金季度报告，将季度报告登载在规定网站上，并将季度报告提示性公告登载在规定报刊上。</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《基金合同》生效不足2个月的，基金管理人可以不编制当期季度报告、中期报告或者年度报告。</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基金管理人应当在基金年度报告和中期报告中披露基金组合资产情况及其流动性风险分析等。</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（七）临时报告</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本基金发生重大事件，有关信息披露义务人应当按规定编制临时报告书，并登载在规定报刊和规定网站上。</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前款所称重大事件，是指可能对基金份额持有人权益或者基金份额的价格产生重大影响的下列事件：</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1、基金份额持有人大会的召开及决定的事项；</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2、《基金合同》终止、基金清算；</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3、转换基金运作方式、基金合并；</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4、更换基金管理人、基金托管人；</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5、基金管理人委托基金服务机构代为办理基金的份额登记、核算、估值等事项，基金托管人委托基金服务机构代为办理基金的核算、估值、复核等事项；</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6、基金管理人、基金托管人的法定名称、住所发生变更；</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7、基金管理人变更持有百分之五以上股权的股东、变更基金管理人的实际控制人；</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8、基金募集期延长或提前结束募集；</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9、基金管理人高级管理人员、基金经理和基金托管人专门基金托管部门负责人发生变动；</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10、基金管理人的董事在最近12个月内变更超过百分之五十；</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11、基金管理人、基金托管人专门基金托管部门的主要业务人员在最近12个月内变动超过百分之三十；</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xml:space="preserve">12、涉及基金管理业务、基金财产、基金托管业务的诉讼或仲裁； </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13、基金管理人或其高级管理人员、基金经理因基金管理业务相关行为受到重大行政处罚、刑事处罚，基金托管人或其专门基金托管部门负责人因基金托管业务相关行为受到重大行政处罚、刑事处罚；</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14、基金管理人运用基金财产买卖基金管理人、基金托管人及其控股股东、实际控制人或者与其有重大利害关系的公司发行的证券或者承销期内承销的证券，或者从事其他重大关联交易事项，中国证监会另有规定的情形除外；</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15、基金收益分配事项；</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16、管理费、托管费、销售服务费、申购费、赎回费等费用计提标准、计提方式和费率发生变更；</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17、任一类基金份额净值计价错误达该类基金份额净值百分之零点五；</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18、基金改聘会计师事务所；</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19、更换基金登记机构；</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20、本基金开始办理申购、赎回；</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21、本基金发生巨额赎回并延期办理；</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22、本基金连续发生巨额赎回并暂停接受赎回申请或延缓支付赎回款项；</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23、本基金暂停接受申购、赎回申请或重新接受申购、赎回申请；</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24、发生涉及基金申购、赎回事项调整或潜在影响投资者赎回等重大事项时；</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25、基金管理人采用摆动定价机制进行估值；</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26、调整基金份额类别的设置；</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27、基金推出新业务或服务；</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28、《基金合同》生效三年后继续存续的，连续30个工作日、40个工作日及45个工作日出现基金份额持有人数量不满二百人或者基金资产净值低于五千万元情形的；</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29、基金信息披露义务人认为可能对基金份额持有人权益或者基金份额的价格产生重大影响的其他事项或中国证监会规定的和基金合同约定的其他事项。</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（八）澄清公告</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（九）清算报告</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基金终止运作的，基金管理人应当依法组织基金财产清算小组对基金财产进行清算并作出清算报告。基金财产清算小组应当将清算报告登载在规定网站上，并将清算报告提示性公告登载在规定报刊上。</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（十）基金份额持有人大会决议</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基金份额持有人大会决定的事项，应当依法报中国证监会备案，并予以公告。</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（十一）投资股指期货、国债期货、股票期权的信息披露</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应当在基金季度报告、基金中期报告、基金年度报告等定期报告和招募说明书（更新）等文件中披露股指期货、国债期货、股票期权交易情况，包括交易政策、持仓情况、损益情况、风险指标等，并充分揭示股指期货、国债期货、股票期权交易对基金总体风险的影响以及是否符合既定的投资政策和投资目标等。</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（十二）投资资产支持证券的信息披露</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（十三）投资港股通标的股票的信息披露</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（十四）投资非公开发行股票的信息披露</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基金管理人应在基金投资非公开发行股票后两个交易日内，在中国证监会规定媒介披露所投资非公开发行股票的名称、数量、总成本、账面价值，以及总成本和账面价值占基金资产净值的比例、锁定期等信息。</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（十五）参与融资和转融通证券出借业务的信息披露</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本基金参与转融通证券出借业务的，基金管理人应当在基金定期报告等文件中就报告期内发生的重大关联交易事项做详细说明。</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未来在法律法规允许的前提下，本基金可依据法律法规的相关规定参与融券业务，并相应履行信披义务。</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（十六）实施侧袋机制期间的信息披露</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本基金实施侧袋机制的，相关信息披露义务人应当根据法律法规、基金合同和招募说明书的规定进行信息披露，详见招募说明书</w:t>
      </w:r>
      <w:r>
        <w:rPr>
          <w:rFonts w:hint="eastAsia"/>
        </w:rPr>
        <w:t>“侧袋机制”部分</w:t>
      </w:r>
      <w:r>
        <w:rPr>
          <w:rFonts w:hint="eastAsia" w:cs="宋体" w:asciiTheme="minorEastAsia" w:hAnsiTheme="minorEastAsia" w:eastAsiaTheme="minorEastAsia"/>
          <w:kern w:val="0"/>
          <w:szCs w:val="21"/>
        </w:rPr>
        <w:t>的规定。</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（十七）发起资金认购份额报告</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应当按照相关法律法规的规定，在基金合同生效公告、基金年度报告、中期报告、季度报告中分别披露基金管理人固有资金、基金管理人股东、基金管理人高级管理人员或基金经理等持有基金的份额、期限及期间的变动情况。</w:t>
      </w:r>
    </w:p>
    <w:p>
      <w:pPr>
        <w:adjustRightInd w:val="0"/>
        <w:snapToGrid w:val="0"/>
        <w:spacing w:line="360" w:lineRule="auto"/>
        <w:ind w:firstLine="420" w:firstLineChars="200"/>
        <w:rPr>
          <w:rFonts w:asciiTheme="minorEastAsia" w:hAnsiTheme="minorEastAsia" w:eastAsiaTheme="minorEastAsia"/>
          <w:bCs/>
          <w:szCs w:val="21"/>
        </w:rPr>
      </w:pPr>
      <w:r>
        <w:rPr>
          <w:rFonts w:hint="eastAsia" w:cs="宋体" w:asciiTheme="minorEastAsia" w:hAnsiTheme="minorEastAsia" w:eastAsiaTheme="minorEastAsia"/>
          <w:kern w:val="0"/>
          <w:szCs w:val="21"/>
        </w:rPr>
        <w:t>（十八）中国证监会规定的其他信息</w:t>
      </w:r>
    </w:p>
    <w:p>
      <w:pPr>
        <w:adjustRightInd w:val="0"/>
        <w:snapToGrid w:val="0"/>
        <w:spacing w:line="360" w:lineRule="auto"/>
        <w:ind w:firstLine="422" w:firstLineChars="200"/>
        <w:rPr>
          <w:rFonts w:ascii="宋体" w:hAnsi="宋体"/>
          <w:b/>
          <w:bCs/>
          <w:szCs w:val="21"/>
        </w:rPr>
      </w:pPr>
      <w:r>
        <w:rPr>
          <w:rFonts w:hint="eastAsia" w:ascii="宋体" w:hAnsi="宋体"/>
          <w:b/>
          <w:bCs/>
          <w:szCs w:val="21"/>
        </w:rPr>
        <w:t>六、信息披露事务管理</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基金管理人、基金托管人应当建立健全信息披露管理制度，指定专门部门及高级管理人员负责管理信息披露事务。</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基金信息披露义务人公开披露基金信息，应当符合中国证监会相关基金信息披露内容与格式准则等法规的规定。</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基金管理人、基金托管人应当在规定媒介中选择披露信息的媒介。</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基金管理人、基金托管人应当向中国证监会基金电子披露网站报送拟披露的基金信息，并保证相关报送信息的真实、准确、完整、及时。</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基金管理人、基金托管人除依法在规定媒介上披露信息外，还可以根据需要在其他公共媒介披露信息，但是其他公共媒介不得早于规定媒介披露信息，并且在不同媒介上披露同一信息的内容应当一致。</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为基金信息披露义务人公开披露的基金信息出具审计报告、法律意见书的专业机构，应当制作工作底稿，并将相关档案至少保存到《基金合同》终止后10年。</w:t>
      </w:r>
    </w:p>
    <w:p>
      <w:pPr>
        <w:autoSpaceDE w:val="0"/>
        <w:autoSpaceDN w:val="0"/>
        <w:adjustRightInd w:val="0"/>
        <w:spacing w:line="360" w:lineRule="auto"/>
        <w:ind w:firstLine="422" w:firstLineChars="200"/>
        <w:jc w:val="left"/>
        <w:rPr>
          <w:rFonts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七、信息披露文件的存放与查阅</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依法必须披露的信息发布后，基金管理人、基金托管人应当按照相关法律法规规定将信息置备于公司住所，以供社会公众查阅、复制。</w:t>
      </w:r>
    </w:p>
    <w:p>
      <w:pPr>
        <w:autoSpaceDE w:val="0"/>
        <w:autoSpaceDN w:val="0"/>
        <w:adjustRightInd w:val="0"/>
        <w:spacing w:line="360" w:lineRule="auto"/>
        <w:ind w:firstLine="422" w:firstLineChars="200"/>
        <w:jc w:val="left"/>
        <w:rPr>
          <w:rFonts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八、暂停或延迟信息披露的情形</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1、不可抗力；</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2、发生暂停估值的情形；</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sectPr>
          <w:footerReference r:id="rId26" w:type="first"/>
          <w:pgSz w:w="11906" w:h="16838"/>
          <w:pgMar w:top="1440" w:right="1800" w:bottom="1440" w:left="1800" w:header="851" w:footer="992" w:gutter="0"/>
          <w:cols w:space="425" w:num="1"/>
          <w:titlePg/>
          <w:docGrid w:type="lines" w:linePitch="312" w:charSpace="0"/>
        </w:sectPr>
      </w:pPr>
      <w:r>
        <w:rPr>
          <w:rFonts w:hint="eastAsia" w:cs="宋体" w:asciiTheme="minorEastAsia" w:hAnsiTheme="minorEastAsia" w:eastAsiaTheme="minorEastAsia"/>
          <w:kern w:val="0"/>
          <w:szCs w:val="21"/>
        </w:rPr>
        <w:t>3、法律法规规定、中国证监会或基金合同认定的其他情形。</w:t>
      </w:r>
      <w:bookmarkEnd w:id="167"/>
    </w:p>
    <w:p>
      <w:pPr>
        <w:pStyle w:val="3"/>
        <w:numPr>
          <w:ilvl w:val="0"/>
          <w:numId w:val="25"/>
        </w:numPr>
        <w:snapToGrid w:val="0"/>
        <w:spacing w:before="0" w:after="0" w:line="360" w:lineRule="auto"/>
        <w:jc w:val="center"/>
      </w:pPr>
      <w:bookmarkStart w:id="168" w:name="_Toc20386"/>
      <w:bookmarkStart w:id="169" w:name="_Toc12557"/>
      <w:r>
        <w:rPr>
          <w:rFonts w:hint="eastAsia"/>
        </w:rPr>
        <w:t>侧袋机制</w:t>
      </w:r>
      <w:bookmarkEnd w:id="168"/>
      <w:bookmarkEnd w:id="169"/>
    </w:p>
    <w:p>
      <w:pPr>
        <w:autoSpaceDE w:val="0"/>
        <w:autoSpaceDN w:val="0"/>
        <w:adjustRightInd w:val="0"/>
        <w:spacing w:line="360" w:lineRule="auto"/>
        <w:ind w:firstLine="422" w:firstLineChars="200"/>
        <w:jc w:val="left"/>
        <w:rPr>
          <w:rFonts w:asciiTheme="minorEastAsia" w:hAnsiTheme="minorEastAsia" w:eastAsiaTheme="minorEastAsia"/>
          <w:b/>
          <w:bCs/>
          <w:szCs w:val="21"/>
        </w:rPr>
      </w:pPr>
      <w:r>
        <w:rPr>
          <w:rFonts w:hint="eastAsia" w:asciiTheme="minorEastAsia" w:hAnsiTheme="minorEastAsia" w:eastAsiaTheme="minorEastAsia"/>
          <w:b/>
          <w:bCs/>
          <w:szCs w:val="21"/>
        </w:rPr>
        <w:t>一、侧袋机制的实施条件、实施程序和特定资产范围</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基金管理人应当在启用侧袋机制当日报中国证监会及公司所在地中国证监会派出机构备案。</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pPr>
        <w:autoSpaceDE w:val="0"/>
        <w:autoSpaceDN w:val="0"/>
        <w:adjustRightInd w:val="0"/>
        <w:spacing w:line="360" w:lineRule="auto"/>
        <w:ind w:firstLine="422" w:firstLineChars="200"/>
        <w:jc w:val="left"/>
        <w:rPr>
          <w:rFonts w:asciiTheme="minorEastAsia" w:hAnsiTheme="minorEastAsia" w:eastAsiaTheme="minorEastAsia"/>
          <w:b/>
          <w:bCs/>
          <w:szCs w:val="21"/>
        </w:rPr>
      </w:pPr>
      <w:r>
        <w:rPr>
          <w:rFonts w:hint="eastAsia" w:asciiTheme="minorEastAsia" w:hAnsiTheme="minorEastAsia" w:eastAsiaTheme="minorEastAsia"/>
          <w:b/>
          <w:bCs/>
          <w:szCs w:val="21"/>
        </w:rPr>
        <w:t>二、侧袋机制实施期间的基金运作安排</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（一）基金份额的申购与赎回</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1、侧袋机制实施期间，基金管理人不办理侧袋账户份额的申购、赎回和转换。基金份额持有人申请申购、赎回或转换侧袋账户份额的，该申购、赎回或转换申请将被拒绝。</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2、当特定资产占前一估值日基金资产净值50%以上的，经与基金托管人协商确认后，基金管理人应当暂停基金估值，并暂停接受基金申购赎回申请或延缓支付赎回款项。</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3、基金管理人依法保障主袋账户份额持有人享有基金合同约定的赎回权利，并根据主袋账户运作情况合理确定申购事项，具体事项届时由基金管理人在相关公告中规定。</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对于启用侧袋机制当日收到的赎回申请，基金管理人仅办理主袋账户的赎回申请并支付赎回款项。在启用侧袋机制当日收到的申购申请，视为投资者对侧袋机制启用后的主袋账户提交的申购申请。</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（二）基金份额的登记</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启用侧袋机制当日，基金管理人和基金服务机构将以基金份额持有人的原有账户份额为基础，确认相应侧袋账户持有人名册和份额。</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侧袋账户资产完全清算后，基金管理人将注销侧袋账户。</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（三）基金的投资及业绩</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侧袋机制实施期间，本基金的各项投资运作指标和基金业绩指标应当以主袋账户资产为基准。基金管理人不得在侧袋账户中进行除特定资产处置变现以外的其他投资操作。</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基金管理人、基金服务机构在展示基金业绩时，将就前述情况进行充分的解释说明，避免引起投资者误解。</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基金管理人原则上应当在侧袋机制启用后20个交易日内完成对主袋账户投资组合的调整，但因资产流动性受限等中国证监会规定的情形除外。</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（四）基金的估值</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侧袋机制实施期间，基金管理人将对侧袋账户单独设置账套，实行独立核算。如果本基金同时存在多个侧袋账户，不同侧袋账户将分开进行核算。侧袋账户的会计核算应符合《企业会计准则》的相关要求。</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（五）基金的费用</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侧袋机制实施期间，侧袋账户资产不收取管理费。如法律法规或监管机构对于侧袋账户资产托管费的收取另有规定的，以法律法规或监管机构最新要求为准。因启用侧袋机制产生的咨询、审计费用等由基金管理人承担。</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基金管理人可以将与侧袋账户有关的费用从侧袋账户资产中列支，但应待特定资产变现后方可列支。</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（六）基金的收益分配</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侧袋机制实施期间，在主袋账户份额满足基金合同收益分配条件的情形下，基金管理人可对主袋账户份额进行收益分配。侧袋账户份额不再适用基金合同的收益与分配条款。</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（七）基金的信息披露</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1、基金净值信息</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侧袋机制实施期间，基金管理人应当暂停披露侧袋账户的基金净值信息。</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2、定期报告</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侧袋机制实施期间，基金定期报告中的基金会计报表仅需针对主袋账户进行编制。侧袋账户相关信息在定期报告中单独进行披露，包括但不限于：</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（1）侧袋账户的基金代码、基金名称、侧袋账户成立日期等基本信息；</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（2）侧袋账户的初始资产、初始负债；</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（3）特定资产的名称、代码、发行人等基本信息；</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（4）报告期内的特定资产处置进展情况、与处置特定资产相关的费用情况及其他与特定资产状况相关的信息；</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（5）可根据特定资产处置进展情况披露特定资产的可变现净值或净值参考区间，该净值或净值区间并不代表特定资产最终的变现价格，不作为基金管理人对特定资产最终变现价格的承诺；</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（6）可能对投资者利益存在重大影响的其他情况及相关风险提示。</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3、临时报告</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基金管理人在启用侧袋机制、处置特定资产、终止侧袋机制以及发生其他可能对投资者利益产生重大影响的事项后应及时发布临时公告。</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启用侧袋机制的临时公告内容应当包括启用原因及程序、特定资产流动性和估值情况、对投资者申购赎回的影响、风险提示等重要信息。</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（八）特定资产处置清算</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（九）侧袋的审计</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基金管理人应当在启用侧袋机制和终止侧袋机制后，及时聘请符合《中华人民共和国证券法》规定的会计师事务所进行审计并披露专项审计意见，具体如下：</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基金管理人应当在启用侧袋机制时，就特定资产认定的相关事宜取得符合《中华人民共和国证券法》规定的会计师事务所的专业意见。</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基金管理人应当在启用侧袋机制后五个工作日内，聘请于侧袋机制启用日发表意见的会计师事务所针对侧袋机制启用日本基金持有的特定资产情况出具专项审计意见，内容应包含侧袋账户的初始资产、份额、净资产等信息。</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会计师事务所对基金年度报告进行审计时，应对报告期间基金侧袋机制运行相关的会计核算和年报披露，执行适当程序并发表审计意见。</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当侧袋账户资产全部完成变现后，基金管理人应参照基金清算报告的相关要求，聘请符合《中华人民共和国证券法》规定的会计师事务所对侧袋账户进行审计并披露专项审计意见。</w:t>
      </w:r>
    </w:p>
    <w:p>
      <w:pPr>
        <w:autoSpaceDE w:val="0"/>
        <w:autoSpaceDN w:val="0"/>
        <w:adjustRightInd w:val="0"/>
        <w:spacing w:line="360" w:lineRule="auto"/>
        <w:ind w:firstLine="422" w:firstLineChars="200"/>
        <w:jc w:val="left"/>
        <w:rPr>
          <w:rFonts w:asciiTheme="minorEastAsia" w:hAnsiTheme="minorEastAsia" w:eastAsiaTheme="minorEastAsia"/>
          <w:b/>
          <w:bCs/>
          <w:szCs w:val="21"/>
        </w:rPr>
      </w:pPr>
      <w:r>
        <w:rPr>
          <w:rFonts w:hint="eastAsia" w:asciiTheme="minorEastAsia" w:hAnsiTheme="minorEastAsia" w:eastAsiaTheme="minorEastAsia"/>
          <w:b/>
          <w:bCs/>
          <w:szCs w:val="21"/>
        </w:rPr>
        <w:t>三、本部分关于侧袋机制的相关规定，凡是直接引用法律法规的部分，如将来法律法规修改导致相关内容被取消或变更的，或将来法律法规针对侧袋机制的内容有进一步规定的，基金管理人经与基金托管人协商一致并履行适当程序后，在对基金份额持有人利益无实质性不利影响的前提下，可直接对本部分内容进行修改、调整或补充，无需召开基金份额持有人大会审议。</w:t>
      </w:r>
    </w:p>
    <w:p>
      <w:pPr>
        <w:widowControl/>
        <w:snapToGrid w:val="0"/>
        <w:spacing w:line="360" w:lineRule="auto"/>
        <w:sectPr>
          <w:footerReference r:id="rId27" w:type="first"/>
          <w:pgSz w:w="11906" w:h="16838"/>
          <w:pgMar w:top="1440" w:right="1800" w:bottom="1440" w:left="1800" w:header="851" w:footer="992" w:gutter="0"/>
          <w:cols w:space="425" w:num="1"/>
          <w:titlePg/>
          <w:docGrid w:type="lines" w:linePitch="312" w:charSpace="0"/>
        </w:sectPr>
      </w:pPr>
    </w:p>
    <w:p>
      <w:pPr>
        <w:pStyle w:val="3"/>
        <w:numPr>
          <w:ilvl w:val="0"/>
          <w:numId w:val="25"/>
        </w:numPr>
        <w:snapToGrid w:val="0"/>
        <w:spacing w:before="0" w:after="0" w:line="360" w:lineRule="auto"/>
        <w:jc w:val="center"/>
      </w:pPr>
      <w:bookmarkStart w:id="170" w:name="_Toc369510024"/>
      <w:bookmarkStart w:id="171" w:name="_Toc327902638"/>
      <w:bookmarkStart w:id="172" w:name="_Toc19943"/>
      <w:bookmarkStart w:id="173" w:name="_Toc375295989"/>
      <w:bookmarkStart w:id="174" w:name="_Toc336606243"/>
      <w:bookmarkStart w:id="175" w:name="_Toc28555"/>
      <w:bookmarkStart w:id="176" w:name="_Toc411872038"/>
      <w:bookmarkStart w:id="177" w:name="_Toc335899849"/>
      <w:bookmarkStart w:id="178" w:name="_Toc332013126"/>
      <w:r>
        <w:rPr>
          <w:rFonts w:hint="eastAsia"/>
        </w:rPr>
        <w:t>风险揭示</w:t>
      </w:r>
      <w:bookmarkEnd w:id="170"/>
      <w:bookmarkEnd w:id="171"/>
      <w:bookmarkEnd w:id="172"/>
      <w:bookmarkEnd w:id="173"/>
      <w:bookmarkEnd w:id="174"/>
      <w:bookmarkEnd w:id="175"/>
      <w:bookmarkEnd w:id="176"/>
      <w:bookmarkEnd w:id="177"/>
      <w:bookmarkEnd w:id="178"/>
    </w:p>
    <w:p>
      <w:pPr>
        <w:adjustRightInd w:val="0"/>
        <w:snapToGrid w:val="0"/>
        <w:spacing w:line="360" w:lineRule="auto"/>
        <w:ind w:firstLine="454" w:firstLineChars="200"/>
        <w:rPr>
          <w:rFonts w:ascii="Arial" w:hAnsi="Arial"/>
          <w:b/>
          <w:spacing w:val="8"/>
          <w:szCs w:val="21"/>
        </w:rPr>
      </w:pPr>
      <w:r>
        <w:rPr>
          <w:rFonts w:ascii="Arial" w:hAnsi="Arial"/>
          <w:b/>
          <w:spacing w:val="8"/>
          <w:szCs w:val="21"/>
        </w:rPr>
        <w:t>一、投资于本基金的主要风险</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1、市场风险</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证券市场价格受到经济因素、政治因素、投资心理和交易制度等各种因素的影响，导致基金收益水平变化而产生风险，主要包括：</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（1）政策风险。因国家宏观政策（如货币政策、财政政策、行业政策、地区发展政策等）发生变化，导致市场价格波动而产生风险。</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（2）经济周期风险。随经济运行的周期性变化，证券市场的收益水平也呈周期性变化。</w:t>
      </w:r>
      <w:r>
        <w:rPr>
          <w:rFonts w:hint="eastAsia" w:ascii="宋体" w:hAnsi="宋体"/>
          <w:spacing w:val="8"/>
          <w:szCs w:val="21"/>
        </w:rPr>
        <w:t>本</w:t>
      </w:r>
      <w:r>
        <w:rPr>
          <w:rFonts w:ascii="宋体" w:hAnsi="宋体"/>
          <w:spacing w:val="8"/>
          <w:szCs w:val="21"/>
        </w:rPr>
        <w:t>基金</w:t>
      </w:r>
      <w:r>
        <w:rPr>
          <w:rFonts w:hint="eastAsia" w:ascii="宋体" w:hAnsi="宋体"/>
          <w:spacing w:val="8"/>
          <w:szCs w:val="21"/>
        </w:rPr>
        <w:t>主要</w:t>
      </w:r>
      <w:r>
        <w:rPr>
          <w:rFonts w:ascii="宋体" w:hAnsi="宋体"/>
          <w:spacing w:val="8"/>
          <w:szCs w:val="21"/>
        </w:rPr>
        <w:t>投资于</w:t>
      </w:r>
      <w:r>
        <w:rPr>
          <w:rFonts w:hint="eastAsia" w:ascii="宋体" w:hAnsi="宋体"/>
          <w:spacing w:val="8"/>
          <w:szCs w:val="21"/>
        </w:rPr>
        <w:t>股票</w:t>
      </w:r>
      <w:r>
        <w:rPr>
          <w:rFonts w:ascii="宋体" w:hAnsi="宋体"/>
          <w:spacing w:val="8"/>
          <w:szCs w:val="21"/>
        </w:rPr>
        <w:t>，收益水平也会随之变化，从而产生风险。</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3）利率风险。利率直接影响着债券的价格和收益率，影响着企业的融资成本和利润。基金投资于债券，其收益水平会受到利率变化的影响。在利率上升时，基金持有的债券价格下降，如基金组合久期较长，则将造成基金资产的损失。</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w:t>
      </w:r>
      <w:r>
        <w:rPr>
          <w:rFonts w:hint="eastAsia" w:ascii="宋体" w:hAnsi="宋体"/>
          <w:spacing w:val="8"/>
          <w:szCs w:val="21"/>
        </w:rPr>
        <w:t>4</w:t>
      </w:r>
      <w:r>
        <w:rPr>
          <w:rFonts w:ascii="宋体" w:hAnsi="宋体"/>
          <w:spacing w:val="8"/>
          <w:szCs w:val="21"/>
        </w:rPr>
        <w:t>）购买力风险。基金的利润将主要通过现金形式来分配，而现金可能因为通货膨胀的影响而导致购买力下降，从而使基金的实际收益下降。</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w:t>
      </w:r>
      <w:r>
        <w:rPr>
          <w:rFonts w:hint="eastAsia" w:ascii="宋体" w:hAnsi="宋体"/>
          <w:spacing w:val="8"/>
          <w:szCs w:val="21"/>
        </w:rPr>
        <w:t>5</w:t>
      </w:r>
      <w:r>
        <w:rPr>
          <w:rFonts w:ascii="宋体" w:hAnsi="宋体"/>
          <w:spacing w:val="8"/>
          <w:szCs w:val="21"/>
        </w:rPr>
        <w:t>）再投资风险。再投资风险反映了利率下降对固定收益证券利息收入再投资收益的影响，这与利率上升所带来的价格风险（即利率风险）互为消长。具体为当利率下降时，基金从投资的固定收益证券所得的利息收入进行再投资时，将获得比以前较少的收益率，这将对基金的净值增长率产生影响。</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w:t>
      </w:r>
      <w:r>
        <w:rPr>
          <w:rFonts w:hint="eastAsia" w:ascii="宋体" w:hAnsi="宋体"/>
          <w:spacing w:val="8"/>
          <w:szCs w:val="21"/>
        </w:rPr>
        <w:t>6</w:t>
      </w:r>
      <w:r>
        <w:rPr>
          <w:rFonts w:ascii="宋体" w:hAnsi="宋体"/>
          <w:spacing w:val="8"/>
          <w:szCs w:val="21"/>
        </w:rPr>
        <w:t>）信用风险。基金所投资债券的发行人如出现违约、无法支付到期本息，或由于债券发行人信用等级降低导致债券价格下降，将造成基金资产损失。</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w:t>
      </w:r>
      <w:r>
        <w:rPr>
          <w:rFonts w:hint="eastAsia" w:ascii="宋体" w:hAnsi="宋体"/>
          <w:spacing w:val="8"/>
          <w:szCs w:val="21"/>
        </w:rPr>
        <w:t>7</w:t>
      </w:r>
      <w:r>
        <w:rPr>
          <w:rFonts w:ascii="宋体" w:hAnsi="宋体"/>
          <w:spacing w:val="8"/>
          <w:szCs w:val="21"/>
        </w:rPr>
        <w:t>）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w:t>
      </w:r>
      <w:r>
        <w:rPr>
          <w:rFonts w:ascii="宋体" w:hAnsi="宋体"/>
          <w:spacing w:val="8"/>
          <w:szCs w:val="21"/>
        </w:rPr>
        <w:t>8</w:t>
      </w:r>
      <w:r>
        <w:rPr>
          <w:rFonts w:hint="eastAsia" w:ascii="宋体" w:hAnsi="宋体"/>
          <w:spacing w:val="8"/>
          <w:szCs w:val="21"/>
        </w:rPr>
        <w:t>）上市公司经营风险。上市公司的经营状况受多种因素影响，如管理能力、财务状况、市场前景、行业竞争、人员素质等都会导致公司盈利发生变化。如果本基金所投资的上市公司盈利下降，其股票价格可能会下跌，或能够用于分配的利润减少，导致本基金投资收益减少。</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2、管理风险</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基金运作过程中由于基金投资策略、人为因素、管理系统设置不当造成操作失误或</w:t>
      </w:r>
      <w:r>
        <w:rPr>
          <w:rFonts w:hint="eastAsia" w:ascii="宋体" w:hAnsi="宋体"/>
          <w:spacing w:val="8"/>
          <w:szCs w:val="21"/>
        </w:rPr>
        <w:t>基金管理人</w:t>
      </w:r>
      <w:r>
        <w:rPr>
          <w:rFonts w:ascii="宋体" w:hAnsi="宋体"/>
          <w:spacing w:val="8"/>
          <w:szCs w:val="21"/>
        </w:rPr>
        <w:t>内部失控而可能产生的损失。管理风险包括：</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（1）决策风险：指基金投资的投资策略制定、投资决策执行和投资绩效监督检查过程中，由于决策失误而给基金资产造成的可能的损失；</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（2）操作风险：指基金投资决策执行中，由于投资指令不明晰、交易操作失误等人为因素而可能导致的损失；</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（3）技术风险：是指</w:t>
      </w:r>
      <w:r>
        <w:rPr>
          <w:rFonts w:hint="eastAsia" w:ascii="宋体" w:hAnsi="宋体"/>
          <w:spacing w:val="8"/>
          <w:szCs w:val="21"/>
        </w:rPr>
        <w:t>基金管理人</w:t>
      </w:r>
      <w:r>
        <w:rPr>
          <w:rFonts w:ascii="宋体" w:hAnsi="宋体"/>
          <w:spacing w:val="8"/>
          <w:szCs w:val="21"/>
        </w:rPr>
        <w:t>管理信息系统设置不当等因素而可能造成的损失。</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3</w:t>
      </w:r>
      <w:r>
        <w:rPr>
          <w:rFonts w:ascii="宋体" w:hAnsi="宋体"/>
          <w:spacing w:val="8"/>
          <w:szCs w:val="21"/>
        </w:rPr>
        <w:t>、流动性风险</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流动性风险是指因证券市场交易量不足，导致证券不能迅速、低成本地变现的风险。流动性风险还包括基金出现巨额赎回，致使没有足够的现金应付赎回支付所引致的风险。</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（1）基金申购、赎回安排</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（2）拟投资市场、行业及资产的流动性风险评估</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本基金的投资市场主要为证券交易所、全国银行间债券市场等流动性较好的规范型交易场所，主要投资对象为具有良好流动性的金融工具（包括国内依法发行上市的股票、债券和货币市场工具等），同时本基金基于分散投资的原则在行业和个券方面未有高集中度的特征，综合评估在正常市场环境下本基金的流动性风险适中。</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（3）巨额赎回情形下的流动性风险管理措施</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基金出现巨额赎回情形下，基金管理人可以根据基金当时的资产组合状况或巨额赎回份额占比情况决定全额赎回、部分延期赎回或暂停赎回。同时，如本基金单个基金份额持有人在单个开放日申请赎回基金份额超过基金总份额一定比例以上的，基金管理人有权对其采取延期办理赎回申请的措施。</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（4）实施备用的流动性风险管理工具的情形、程序及对投资者的潜在影响</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暂停基金估值、摆动定价机制、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当本基金启用侧袋机制时，实施侧袋机制期间，侧袋账户份额将停止披露基金净值信息，并不得办理申购、赎回和转换。因特定资产的变现时间具有不确定性，最终变现价格也具有不确定性并且有可能大幅低于启用侧袋机制时的特定资产的估值，基金份额持有人可能因此面临损失。</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4</w:t>
      </w:r>
      <w:r>
        <w:rPr>
          <w:rFonts w:ascii="宋体" w:hAnsi="宋体"/>
          <w:spacing w:val="8"/>
          <w:szCs w:val="21"/>
        </w:rPr>
        <w:t>、合规性风险</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指基金管理或运作过程中，违反国家法律、法规的规定，或者基金投资违反法规及基金合同有关规定的风险。</w:t>
      </w:r>
    </w:p>
    <w:p>
      <w:pPr>
        <w:pStyle w:val="163"/>
        <w:ind w:firstLine="422"/>
        <w:rPr>
          <w:rFonts w:ascii="宋体" w:hAnsi="宋体"/>
          <w:b/>
        </w:rPr>
      </w:pPr>
      <w:r>
        <w:rPr>
          <w:rFonts w:hint="eastAsia" w:ascii="宋体" w:hAnsi="宋体"/>
          <w:b/>
        </w:rPr>
        <w:t>二、本基金特有的风险</w:t>
      </w:r>
    </w:p>
    <w:p>
      <w:pPr>
        <w:pStyle w:val="163"/>
        <w:rPr>
          <w:rFonts w:ascii="宋体" w:hAnsi="宋体"/>
        </w:rPr>
      </w:pPr>
      <w:r>
        <w:rPr>
          <w:rFonts w:hint="eastAsia" w:ascii="宋体" w:hAnsi="宋体"/>
        </w:rPr>
        <w:t>1、被动投资的风险</w:t>
      </w:r>
    </w:p>
    <w:p>
      <w:pPr>
        <w:pStyle w:val="163"/>
        <w:rPr>
          <w:rFonts w:ascii="宋体" w:hAnsi="宋体"/>
        </w:rPr>
      </w:pPr>
      <w:r>
        <w:rPr>
          <w:rFonts w:hint="eastAsia" w:ascii="宋体" w:hAnsi="宋体"/>
        </w:rPr>
        <w:t>（1）标的指数的风险</w:t>
      </w:r>
    </w:p>
    <w:p>
      <w:pPr>
        <w:pStyle w:val="163"/>
        <w:rPr>
          <w:rFonts w:ascii="宋体" w:hAnsi="宋体"/>
        </w:rPr>
      </w:pPr>
      <w:r>
        <w:rPr>
          <w:rFonts w:hint="eastAsia" w:ascii="宋体" w:hAnsi="宋体"/>
        </w:rPr>
        <w:t>即标的指数因为编制方法的缺陷有可能导致标的指数的表现与总体市场表现存在差异，因标的指数编制方法的不成熟也可能导致指数调整较大，增加基金投资成本，并有可能因此而增加跟踪误差，影响投资收益。</w:t>
      </w:r>
    </w:p>
    <w:p>
      <w:pPr>
        <w:pStyle w:val="163"/>
        <w:rPr>
          <w:rFonts w:ascii="宋体" w:hAnsi="宋体"/>
        </w:rPr>
      </w:pPr>
      <w:r>
        <w:rPr>
          <w:rFonts w:hint="eastAsia" w:ascii="宋体" w:hAnsi="宋体"/>
        </w:rPr>
        <w:t>（</w:t>
      </w:r>
      <w:r>
        <w:rPr>
          <w:rFonts w:ascii="宋体" w:hAnsi="宋体"/>
        </w:rPr>
        <w:t>2</w:t>
      </w:r>
      <w:r>
        <w:rPr>
          <w:rFonts w:hint="eastAsia" w:ascii="宋体" w:hAnsi="宋体"/>
        </w:rPr>
        <w:t>）标的指数下跌的风险</w:t>
      </w:r>
    </w:p>
    <w:p>
      <w:pPr>
        <w:pStyle w:val="163"/>
        <w:rPr>
          <w:rFonts w:ascii="宋体" w:hAnsi="宋体"/>
        </w:rPr>
      </w:pPr>
      <w:r>
        <w:rPr>
          <w:rFonts w:hint="eastAsia" w:ascii="宋体" w:hAnsi="宋体"/>
        </w:rPr>
        <w:t>本基金绝大部分基金资产将用于跟踪标的指数，业绩表现将会随着标的指数的波动而波动；同时本基金在多数情况下将维持较高的股票仓位，在股票市场下跌的过程中，可能面临基金净值与标的指数同步下跌的风险。</w:t>
      </w:r>
    </w:p>
    <w:p>
      <w:pPr>
        <w:pStyle w:val="163"/>
        <w:rPr>
          <w:rFonts w:ascii="宋体" w:hAnsi="宋体"/>
        </w:rPr>
      </w:pPr>
      <w:r>
        <w:rPr>
          <w:rFonts w:hint="eastAsia" w:ascii="宋体" w:hAnsi="宋体"/>
        </w:rPr>
        <w:t>（3）跟踪偏离的风险</w:t>
      </w:r>
    </w:p>
    <w:p>
      <w:pPr>
        <w:pStyle w:val="163"/>
        <w:rPr>
          <w:rFonts w:ascii="宋体" w:hAnsi="宋体"/>
        </w:rPr>
      </w:pPr>
      <w:r>
        <w:rPr>
          <w:rFonts w:hint="eastAsia" w:ascii="宋体" w:hAnsi="宋体"/>
        </w:rPr>
        <w:t>本基金投资组合收益率可能由于标的指数调整成份股或变更编制方法、成份股派发现金红利、流动性风险（成份股停牌、摘牌或流动性差等原因使本基金无法及时调整投资组合或承担较大的冲击成本）、本基金的运营费用（证券投资中的交易成本、基金管理费、托管费等）、债券投资等原因导致基金的收益率与业绩比较基准收益率发生较大偏离。</w:t>
      </w:r>
    </w:p>
    <w:p>
      <w:pPr>
        <w:pStyle w:val="163"/>
        <w:rPr>
          <w:rFonts w:ascii="宋体" w:hAnsi="宋体"/>
        </w:rPr>
      </w:pPr>
      <w:r>
        <w:rPr>
          <w:rFonts w:hint="eastAsia" w:ascii="宋体" w:hAnsi="宋体"/>
        </w:rPr>
        <w:t>（</w:t>
      </w:r>
      <w:r>
        <w:rPr>
          <w:rFonts w:ascii="宋体" w:hAnsi="宋体"/>
        </w:rPr>
        <w:t>4</w:t>
      </w:r>
      <w:r>
        <w:rPr>
          <w:rFonts w:hint="eastAsia" w:ascii="宋体" w:hAnsi="宋体"/>
        </w:rPr>
        <w:t>）标的指数变更的风险</w:t>
      </w:r>
    </w:p>
    <w:p>
      <w:pPr>
        <w:pStyle w:val="163"/>
        <w:rPr>
          <w:rFonts w:ascii="宋体" w:hAnsi="宋体"/>
        </w:rPr>
      </w:pPr>
      <w:r>
        <w:rPr>
          <w:rFonts w:hint="eastAsia" w:ascii="宋体" w:hAnsi="宋体"/>
        </w:rPr>
        <w:t>根据基金合同的规定，因标的指数的编制与发布等原因，导致原标的指数不宜继续作为本基金的投资标的指数及业绩比较基准，本基金可能变更标的指数，基金的投资组合将随之调整，基金的收益风险特征可能发生变化，投资者还须承担投资组合调整所带来的风险与成本。</w:t>
      </w:r>
    </w:p>
    <w:p>
      <w:pPr>
        <w:pStyle w:val="163"/>
        <w:rPr>
          <w:rFonts w:ascii="宋体" w:hAnsi="宋体"/>
        </w:rPr>
      </w:pPr>
      <w:r>
        <w:rPr>
          <w:rFonts w:hint="eastAsia" w:ascii="宋体" w:hAnsi="宋体"/>
        </w:rPr>
        <w:t>（5）指数编制机构停止服务的风险</w:t>
      </w:r>
    </w:p>
    <w:p>
      <w:pPr>
        <w:pStyle w:val="163"/>
        <w:rPr>
          <w:rFonts w:ascii="宋体" w:hAnsi="宋体"/>
        </w:rPr>
      </w:pPr>
      <w:r>
        <w:rPr>
          <w:rFonts w:hint="eastAsia" w:ascii="宋体" w:hAnsi="宋体"/>
        </w:rPr>
        <w:t>本基金的标的指数由指数编制机构发布并管理和维护，未来指数编制机构可能由于各种原因停止对指数的管理和维护，本基金将根据基金合同的约定</w:t>
      </w:r>
      <w:bookmarkStart w:id="179" w:name="_Hlk114655388"/>
      <w:r>
        <w:rPr>
          <w:rFonts w:hint="eastAsia" w:ascii="宋体" w:hAnsi="宋体"/>
        </w:rPr>
        <w:t>自该情形发生之日起十个工作日内向中国证监会报告并提出解决方案，如更换基金标的指数、转换运作方式、与其他基金合并或者终止基金合同等，并在6个月内召集基金份额持有人大会进行表决。</w:t>
      </w:r>
      <w:bookmarkEnd w:id="179"/>
      <w:r>
        <w:rPr>
          <w:rFonts w:hint="eastAsia" w:ascii="宋体" w:hAnsi="宋体"/>
        </w:rPr>
        <w:t>因此，投资人将面临更换基金标的指数、转换运作方式、与其他基金合并或者终止基金合同等风险。</w:t>
      </w:r>
    </w:p>
    <w:p>
      <w:pPr>
        <w:pStyle w:val="163"/>
        <w:rPr>
          <w:rFonts w:ascii="宋体" w:hAnsi="宋体"/>
        </w:rPr>
      </w:pPr>
      <w:r>
        <w:rPr>
          <w:rFonts w:hint="eastAsia" w:ascii="宋体" w:hAnsi="宋体"/>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pPr>
        <w:pStyle w:val="163"/>
        <w:rPr>
          <w:rFonts w:ascii="宋体" w:hAnsi="宋体"/>
        </w:rPr>
      </w:pPr>
      <w:r>
        <w:rPr>
          <w:rFonts w:hint="eastAsia" w:ascii="宋体" w:hAnsi="宋体"/>
        </w:rPr>
        <w:t>（6）成份股停牌的风险</w:t>
      </w:r>
    </w:p>
    <w:p>
      <w:pPr>
        <w:pStyle w:val="163"/>
        <w:rPr>
          <w:rFonts w:ascii="宋体" w:hAnsi="宋体"/>
        </w:rPr>
      </w:pPr>
      <w:r>
        <w:rPr>
          <w:rFonts w:hint="eastAsia" w:ascii="宋体" w:hAnsi="宋体"/>
        </w:rPr>
        <w:t>标的指数成份股可能因各种原因临时或长期停牌，发生成份股停牌时可能面临如下风险：</w:t>
      </w:r>
    </w:p>
    <w:p>
      <w:pPr>
        <w:pStyle w:val="163"/>
        <w:rPr>
          <w:rFonts w:ascii="宋体" w:hAnsi="宋体"/>
        </w:rPr>
      </w:pPr>
      <w:r>
        <w:rPr>
          <w:rFonts w:ascii="宋体" w:hAnsi="宋体"/>
        </w:rPr>
        <w:t>1</w:t>
      </w:r>
      <w:r>
        <w:rPr>
          <w:rFonts w:hint="eastAsia" w:ascii="宋体" w:hAnsi="宋体"/>
        </w:rPr>
        <w:t>）基金可能因无法及时调整投资组合而导致跟踪偏离度和跟踪误差扩大。</w:t>
      </w:r>
    </w:p>
    <w:p>
      <w:pPr>
        <w:pStyle w:val="163"/>
        <w:rPr>
          <w:rFonts w:ascii="宋体" w:hAnsi="宋体"/>
        </w:rPr>
      </w:pPr>
      <w:r>
        <w:rPr>
          <w:rFonts w:ascii="宋体" w:hAnsi="宋体"/>
        </w:rPr>
        <w:t>2</w:t>
      </w:r>
      <w:r>
        <w:rPr>
          <w:rFonts w:hint="eastAsia" w:ascii="宋体" w:hAnsi="宋体"/>
        </w:rPr>
        <w:t>）在极端情况下，标的指数成份股可能大面积停牌，基金可能无法及时卖出成份股以获取足额的符合要求的赎回款项，由此基金管理人可能采取延缓支付赎回款项或者暂停赎回的措施，投资者将面临无法按时获得赎回款项或者无法赎回全部或部分基金份额的风险。</w:t>
      </w:r>
    </w:p>
    <w:p>
      <w:pPr>
        <w:pStyle w:val="163"/>
        <w:rPr>
          <w:rFonts w:ascii="宋体" w:hAnsi="宋体"/>
        </w:rPr>
      </w:pPr>
      <w:r>
        <w:rPr>
          <w:rFonts w:hint="eastAsia" w:ascii="宋体" w:hAnsi="宋体"/>
        </w:rPr>
        <w:t>（7）成份股退市的风险</w:t>
      </w:r>
    </w:p>
    <w:p>
      <w:pPr>
        <w:pStyle w:val="163"/>
        <w:rPr>
          <w:rFonts w:ascii="宋体" w:hAnsi="宋体"/>
          <w:highlight w:val="none"/>
        </w:rPr>
      </w:pPr>
      <w:r>
        <w:rPr>
          <w:rFonts w:hint="eastAsia" w:ascii="宋体" w:hAnsi="宋体"/>
        </w:rPr>
        <w:t>标的指数成份股发生明显负面事件面临退市风险，且指数编制机构暂未作出调整的，基金管理人将按照基金份额持有人利益优先的原则，综合考虑成份股的退市风险、其在指数中的权重以</w:t>
      </w:r>
      <w:r>
        <w:rPr>
          <w:rFonts w:hint="eastAsia" w:ascii="宋体" w:hAnsi="宋体"/>
          <w:highlight w:val="none"/>
        </w:rPr>
        <w:t>及对跟踪误差的影响，据此制定成份股替代策略，并对投资组合进行相应调整。</w:t>
      </w:r>
    </w:p>
    <w:p>
      <w:pPr>
        <w:pStyle w:val="163"/>
        <w:rPr>
          <w:rFonts w:ascii="宋体" w:hAnsi="宋体"/>
          <w:highlight w:val="none"/>
        </w:rPr>
      </w:pPr>
      <w:r>
        <w:rPr>
          <w:rFonts w:hint="eastAsia" w:ascii="宋体" w:hAnsi="宋体"/>
          <w:highlight w:val="none"/>
        </w:rPr>
        <w:t>（8）跟踪误差控制未达约定目标的风险</w:t>
      </w:r>
    </w:p>
    <w:p>
      <w:pPr>
        <w:pStyle w:val="163"/>
        <w:rPr>
          <w:rFonts w:hint="eastAsia" w:ascii="宋体" w:hAnsi="宋体"/>
          <w:highlight w:val="none"/>
        </w:rPr>
      </w:pPr>
      <w:r>
        <w:rPr>
          <w:rFonts w:hint="eastAsia" w:ascii="宋体" w:hAnsi="宋体"/>
          <w:highlight w:val="none"/>
        </w:rPr>
        <w:t>本基金力争控制投资组合的净值增长率与业绩比较基准之间的预期日均跟踪偏离度的绝对值小于0.35%，预期年化跟踪误差不超过4%，但因标的指数编制规则调整或其他因素可能导致跟踪误差超过上述范围，本基金净值表现与指数价格走势可能发生较大偏离。</w:t>
      </w:r>
    </w:p>
    <w:p>
      <w:pPr>
        <w:pStyle w:val="163"/>
        <w:rPr>
          <w:rFonts w:ascii="宋体" w:hAnsi="宋体"/>
          <w:highlight w:val="none"/>
        </w:rPr>
      </w:pPr>
      <w:r>
        <w:rPr>
          <w:rFonts w:hint="eastAsia" w:ascii="宋体" w:hAnsi="宋体"/>
          <w:highlight w:val="none"/>
        </w:rPr>
        <w:t>2、股指期货投资风险</w:t>
      </w:r>
    </w:p>
    <w:p>
      <w:pPr>
        <w:pStyle w:val="163"/>
        <w:rPr>
          <w:rFonts w:hint="default" w:ascii="宋体" w:hAnsi="宋体"/>
          <w:highlight w:val="none"/>
          <w:lang w:val="en-US" w:eastAsia="zh-CN"/>
        </w:rPr>
      </w:pPr>
      <w:r>
        <w:rPr>
          <w:rFonts w:hint="eastAsia" w:ascii="宋体" w:hAnsi="宋体"/>
          <w:highlight w:val="none"/>
          <w:lang w:val="en-US" w:eastAsia="zh-CN"/>
        </w:rPr>
        <w:t>本基金的投资范围包括股指期货，股指期货的主要风险包括，杠杆风险、基差风险、合约展期风险、模型风险和强制平仓风险等。</w:t>
      </w:r>
    </w:p>
    <w:p>
      <w:pPr>
        <w:pStyle w:val="163"/>
        <w:rPr>
          <w:rFonts w:ascii="宋体" w:hAnsi="宋体"/>
          <w:highlight w:val="none"/>
        </w:rPr>
      </w:pPr>
      <w:r>
        <w:rPr>
          <w:rFonts w:hint="eastAsia" w:ascii="宋体" w:hAnsi="宋体"/>
          <w:highlight w:val="none"/>
        </w:rPr>
        <w:t>（1）杠杆风险</w:t>
      </w:r>
    </w:p>
    <w:p>
      <w:pPr>
        <w:pStyle w:val="163"/>
        <w:rPr>
          <w:rFonts w:ascii="宋体" w:hAnsi="宋体"/>
          <w:highlight w:val="none"/>
        </w:rPr>
      </w:pPr>
      <w:r>
        <w:rPr>
          <w:rFonts w:hint="eastAsia" w:ascii="宋体" w:hAnsi="宋体"/>
          <w:highlight w:val="none"/>
        </w:rPr>
        <w:t>股指期货投资具有高杠杆特性，因此会放大基础资产所产生的盈利或损失，加大本基金收益的波动性。</w:t>
      </w:r>
    </w:p>
    <w:p>
      <w:pPr>
        <w:pStyle w:val="163"/>
        <w:rPr>
          <w:rFonts w:ascii="宋体" w:hAnsi="宋体"/>
          <w:highlight w:val="none"/>
        </w:rPr>
      </w:pPr>
      <w:r>
        <w:rPr>
          <w:rFonts w:hint="eastAsia" w:ascii="宋体" w:hAnsi="宋体"/>
          <w:highlight w:val="none"/>
        </w:rPr>
        <w:t>（2）基差风险</w:t>
      </w:r>
    </w:p>
    <w:p>
      <w:pPr>
        <w:pStyle w:val="163"/>
        <w:rPr>
          <w:rFonts w:ascii="宋体" w:hAnsi="宋体"/>
          <w:highlight w:val="none"/>
        </w:rPr>
      </w:pPr>
      <w:r>
        <w:rPr>
          <w:rFonts w:hint="eastAsia" w:ascii="宋体" w:hAnsi="宋体"/>
          <w:highlight w:val="none"/>
        </w:rPr>
        <w:t>基差是指股票指数现货价格与股指期货价格之间的差额。若本基金运作中出现基差波动不确定性加大、基差向不利方向变动等情况，则可能对本基金投资产生影响。</w:t>
      </w:r>
    </w:p>
    <w:p>
      <w:pPr>
        <w:pStyle w:val="163"/>
        <w:rPr>
          <w:rFonts w:ascii="宋体" w:hAnsi="宋体"/>
          <w:highlight w:val="none"/>
        </w:rPr>
      </w:pPr>
      <w:r>
        <w:rPr>
          <w:rFonts w:hint="eastAsia" w:ascii="宋体" w:hAnsi="宋体"/>
          <w:highlight w:val="none"/>
        </w:rPr>
        <w:t>（3）合约展期风险</w:t>
      </w:r>
    </w:p>
    <w:p>
      <w:pPr>
        <w:pStyle w:val="163"/>
        <w:rPr>
          <w:rFonts w:ascii="宋体" w:hAnsi="宋体"/>
          <w:highlight w:val="none"/>
        </w:rPr>
      </w:pPr>
      <w:r>
        <w:rPr>
          <w:rFonts w:hint="eastAsia" w:ascii="宋体" w:hAnsi="宋体"/>
          <w:highlight w:val="none"/>
        </w:rPr>
        <w:t>本基金所投资的期货合约主要包括股指期货当月和近月合约。当基金所持有的合约临近交割期限，即需要向较远月份的合约进行展期，展期过程中可能发生价差损失以及交易成本损失，将对投资收益产生影响。</w:t>
      </w:r>
    </w:p>
    <w:p>
      <w:pPr>
        <w:pStyle w:val="163"/>
        <w:rPr>
          <w:rFonts w:ascii="宋体" w:hAnsi="宋体"/>
          <w:highlight w:val="none"/>
        </w:rPr>
      </w:pPr>
      <w:r>
        <w:rPr>
          <w:rFonts w:hint="eastAsia" w:ascii="宋体" w:hAnsi="宋体"/>
          <w:highlight w:val="none"/>
        </w:rPr>
        <w:t>（4）模型风险</w:t>
      </w:r>
    </w:p>
    <w:p>
      <w:pPr>
        <w:pStyle w:val="163"/>
        <w:rPr>
          <w:rFonts w:hint="eastAsia" w:ascii="宋体" w:hAnsi="宋体"/>
          <w:highlight w:val="none"/>
        </w:rPr>
      </w:pPr>
      <w:r>
        <w:rPr>
          <w:rFonts w:hint="eastAsia" w:ascii="宋体" w:hAnsi="宋体"/>
          <w:highlight w:val="none"/>
        </w:rPr>
        <w:t>股指期货合约属于虚拟投资品种，投资过程中需要通过模型进行风险定价，当投资人员使用了错误模型或者选择了不当的参数，会导致对风险或交易价格的估计错误而造成损失，损害本基金的投资收益。</w:t>
      </w:r>
    </w:p>
    <w:p>
      <w:pPr>
        <w:pStyle w:val="163"/>
        <w:numPr>
          <w:ilvl w:val="0"/>
          <w:numId w:val="26"/>
        </w:numPr>
        <w:rPr>
          <w:rFonts w:hint="eastAsia" w:ascii="宋体" w:hAnsi="宋体"/>
          <w:highlight w:val="none"/>
          <w:lang w:val="en-US" w:eastAsia="zh-CN"/>
        </w:rPr>
      </w:pPr>
      <w:r>
        <w:rPr>
          <w:rFonts w:hint="eastAsia" w:ascii="宋体" w:hAnsi="宋体"/>
          <w:highlight w:val="none"/>
          <w:lang w:val="en-US" w:eastAsia="zh-CN"/>
        </w:rPr>
        <w:t>强制平仓的风险</w:t>
      </w:r>
    </w:p>
    <w:p>
      <w:pPr>
        <w:pStyle w:val="163"/>
        <w:rPr>
          <w:rFonts w:hint="eastAsia" w:ascii="宋体" w:hAnsi="宋体"/>
          <w:highlight w:val="none"/>
          <w:lang w:val="en-US" w:eastAsia="zh-CN"/>
        </w:rPr>
      </w:pPr>
      <w:r>
        <w:rPr>
          <w:rFonts w:hint="eastAsia" w:ascii="宋体" w:hAnsi="宋体"/>
          <w:highlight w:val="none"/>
          <w:lang w:val="en-US" w:eastAsia="zh-CN"/>
        </w:rPr>
        <w:t>股指期货采用每日无负债结算制度，如果没有在规定的时间内补足保证金，按规定将被强制平仓，可能给投资带来重大损失。</w:t>
      </w:r>
    </w:p>
    <w:p>
      <w:pPr>
        <w:pStyle w:val="163"/>
        <w:rPr>
          <w:rFonts w:ascii="宋体" w:hAnsi="宋体"/>
          <w:highlight w:val="none"/>
        </w:rPr>
      </w:pPr>
      <w:r>
        <w:rPr>
          <w:rFonts w:hint="eastAsia" w:ascii="宋体" w:hAnsi="宋体"/>
          <w:highlight w:val="none"/>
        </w:rPr>
        <w:t>3、国债期货投资风险</w:t>
      </w:r>
    </w:p>
    <w:p>
      <w:pPr>
        <w:pStyle w:val="163"/>
        <w:ind w:firstLineChars="0"/>
        <w:rPr>
          <w:rFonts w:ascii="宋体" w:hAnsi="宋体"/>
          <w:highlight w:val="none"/>
        </w:rPr>
      </w:pPr>
      <w:r>
        <w:rPr>
          <w:rFonts w:hint="eastAsia" w:ascii="宋体" w:hAnsi="宋体"/>
          <w:highlight w:val="none"/>
        </w:rPr>
        <w:t>本基金的一部分资产将可能投资于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w:t>
      </w:r>
    </w:p>
    <w:p>
      <w:pPr>
        <w:pStyle w:val="163"/>
        <w:rPr>
          <w:rFonts w:ascii="宋体" w:hAnsi="宋体"/>
          <w:highlight w:val="none"/>
        </w:rPr>
      </w:pPr>
      <w:r>
        <w:rPr>
          <w:rFonts w:hint="eastAsia" w:ascii="宋体" w:hAnsi="宋体"/>
          <w:highlight w:val="none"/>
        </w:rPr>
        <w:t>4、股票期权投资风险</w:t>
      </w:r>
    </w:p>
    <w:p>
      <w:pPr>
        <w:pStyle w:val="163"/>
        <w:rPr>
          <w:rFonts w:ascii="宋体" w:hAnsi="宋体"/>
          <w:highlight w:val="none"/>
        </w:rPr>
      </w:pPr>
      <w:r>
        <w:rPr>
          <w:rFonts w:hint="eastAsia" w:ascii="宋体" w:hAnsi="宋体"/>
          <w:highlight w:val="none"/>
          <w:lang w:val="en-US" w:eastAsia="zh-CN"/>
        </w:rPr>
        <w:t>（1）</w:t>
      </w:r>
      <w:r>
        <w:rPr>
          <w:rFonts w:hint="eastAsia" w:ascii="宋体" w:hAnsi="宋体"/>
          <w:highlight w:val="none"/>
        </w:rPr>
        <w:t>流动性风险：由于股票期权合约众多，交易较为分散，股票期权市场的流动性一般较期货市场要低，尤其是深度实值和虚值的股票期权，成交量稀少，持有这些股票期权的投资者容易遇到无法成交、平仓出局的局面。</w:t>
      </w:r>
    </w:p>
    <w:p>
      <w:pPr>
        <w:pStyle w:val="163"/>
        <w:rPr>
          <w:rFonts w:ascii="宋体" w:hAnsi="宋体"/>
          <w:highlight w:val="none"/>
        </w:rPr>
      </w:pPr>
      <w:r>
        <w:rPr>
          <w:rFonts w:hint="eastAsia" w:ascii="宋体" w:hAnsi="宋体"/>
          <w:highlight w:val="none"/>
          <w:lang w:eastAsia="zh-CN"/>
        </w:rPr>
        <w:t>（</w:t>
      </w:r>
      <w:r>
        <w:rPr>
          <w:rFonts w:hint="eastAsia" w:ascii="宋体" w:hAnsi="宋体"/>
          <w:highlight w:val="none"/>
          <w:lang w:val="en-US" w:eastAsia="zh-CN"/>
        </w:rPr>
        <w:t>2</w:t>
      </w:r>
      <w:r>
        <w:rPr>
          <w:rFonts w:hint="eastAsia" w:ascii="宋体" w:hAnsi="宋体"/>
          <w:highlight w:val="none"/>
          <w:lang w:eastAsia="zh-CN"/>
        </w:rPr>
        <w:t>）</w:t>
      </w:r>
      <w:r>
        <w:rPr>
          <w:rFonts w:hint="eastAsia" w:ascii="宋体" w:hAnsi="宋体"/>
          <w:highlight w:val="none"/>
        </w:rPr>
        <w:t>价格风险：股票期权买方的价格风险即为他所付出的权利金，风险具有确定性。股票期权卖方的价格风险不定，不过其所收取的权利金可以提供相应保护，当发生亏损时，可以抵消部分损失。</w:t>
      </w:r>
    </w:p>
    <w:p>
      <w:pPr>
        <w:pStyle w:val="163"/>
        <w:rPr>
          <w:rFonts w:hint="eastAsia" w:ascii="宋体" w:hAnsi="宋体"/>
          <w:highlight w:val="none"/>
        </w:rPr>
      </w:pPr>
      <w:r>
        <w:rPr>
          <w:rFonts w:hint="eastAsia" w:ascii="宋体" w:hAnsi="宋体"/>
          <w:highlight w:val="none"/>
          <w:lang w:eastAsia="zh-CN"/>
        </w:rPr>
        <w:t>（</w:t>
      </w:r>
      <w:r>
        <w:rPr>
          <w:rFonts w:hint="eastAsia" w:ascii="宋体" w:hAnsi="宋体"/>
          <w:highlight w:val="none"/>
          <w:lang w:val="en-US" w:eastAsia="zh-CN"/>
        </w:rPr>
        <w:t>3</w:t>
      </w:r>
      <w:r>
        <w:rPr>
          <w:rFonts w:hint="eastAsia" w:ascii="宋体" w:hAnsi="宋体"/>
          <w:highlight w:val="none"/>
          <w:lang w:eastAsia="zh-CN"/>
        </w:rPr>
        <w:t>）</w:t>
      </w:r>
      <w:r>
        <w:rPr>
          <w:rFonts w:hint="eastAsia" w:ascii="宋体" w:hAnsi="宋体"/>
          <w:highlight w:val="none"/>
        </w:rPr>
        <w:t>操作风险：操作风险是指由于管理不善或者制度执行出现问题等原因所导致的风险。股票期权作为一种衍生品，虽然可以用来管理风险，但若使用不当，也会产生巨额损失。</w:t>
      </w:r>
    </w:p>
    <w:p>
      <w:pPr>
        <w:pStyle w:val="163"/>
        <w:rPr>
          <w:rFonts w:ascii="宋体" w:hAnsi="宋体"/>
          <w:highlight w:val="none"/>
        </w:rPr>
      </w:pPr>
      <w:r>
        <w:rPr>
          <w:rFonts w:ascii="宋体" w:hAnsi="宋体"/>
          <w:highlight w:val="none"/>
        </w:rPr>
        <w:t>5</w:t>
      </w:r>
      <w:r>
        <w:rPr>
          <w:rFonts w:hint="eastAsia" w:ascii="宋体" w:hAnsi="宋体"/>
          <w:highlight w:val="none"/>
        </w:rPr>
        <w:t>、资产支持证券（ABS）的投资风险</w:t>
      </w:r>
    </w:p>
    <w:p>
      <w:pPr>
        <w:pStyle w:val="163"/>
        <w:rPr>
          <w:rFonts w:ascii="宋体" w:hAnsi="宋体"/>
        </w:rPr>
      </w:pPr>
      <w:r>
        <w:rPr>
          <w:rFonts w:hint="eastAsia" w:ascii="宋体" w:hAnsi="宋体"/>
          <w:highlight w:val="none"/>
        </w:rPr>
        <w:t>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w:t>
      </w:r>
      <w:r>
        <w:rPr>
          <w:rFonts w:hint="eastAsia" w:ascii="宋体" w:hAnsi="宋体"/>
        </w:rPr>
        <w:t>致的流动性风险等。</w:t>
      </w:r>
    </w:p>
    <w:p>
      <w:pPr>
        <w:pStyle w:val="163"/>
        <w:rPr>
          <w:rFonts w:ascii="宋体" w:hAnsi="宋体"/>
        </w:rPr>
      </w:pPr>
      <w:r>
        <w:rPr>
          <w:rFonts w:ascii="宋体" w:hAnsi="宋体"/>
        </w:rPr>
        <w:t>6</w:t>
      </w:r>
      <w:r>
        <w:rPr>
          <w:rFonts w:hint="eastAsia" w:ascii="宋体" w:hAnsi="宋体"/>
        </w:rPr>
        <w:t>、港股通机制下，港股投资风险</w:t>
      </w:r>
    </w:p>
    <w:p>
      <w:pPr>
        <w:pStyle w:val="163"/>
        <w:rPr>
          <w:rFonts w:ascii="宋体" w:hAnsi="宋体"/>
        </w:rPr>
      </w:pPr>
      <w:r>
        <w:rPr>
          <w:rFonts w:hint="eastAsia" w:ascii="宋体" w:hAnsi="宋体"/>
        </w:rPr>
        <w:t>本基金可少量投资港股通标的股票，除与其他投资于内地市场股票的基金所面临的共同风险外，本基金还面临港股通机制下因投资环境、投资者结构、投资标的构成、市场制度以及交易规则等差异所带来的特有风险，包括但不限于：</w:t>
      </w:r>
    </w:p>
    <w:p>
      <w:pPr>
        <w:pStyle w:val="163"/>
        <w:rPr>
          <w:rFonts w:ascii="宋体" w:hAnsi="宋体"/>
        </w:rPr>
      </w:pPr>
      <w:r>
        <w:rPr>
          <w:rFonts w:hint="eastAsia" w:ascii="宋体" w:hAnsi="宋体"/>
        </w:rPr>
        <w:t>（1）市场联动的风险</w:t>
      </w:r>
    </w:p>
    <w:p>
      <w:pPr>
        <w:pStyle w:val="163"/>
        <w:rPr>
          <w:rFonts w:ascii="宋体" w:hAnsi="宋体"/>
        </w:rPr>
      </w:pPr>
      <w:r>
        <w:rPr>
          <w:rFonts w:hint="eastAsia" w:ascii="宋体" w:hAnsi="宋体"/>
        </w:rPr>
        <w:t>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同时，在特殊情况下，本基金将少量投资于港股通标的股票以进行替代复制。对于同时有A股、H股的指数成份公司，如果该公司A股长期停牌，组合无法买入该股票时，可以买入该公司H股进行替代。当同一公司A股和H股股价及走势出现大幅偏离时可能导致组合跟踪误差扩大。</w:t>
      </w:r>
    </w:p>
    <w:p>
      <w:pPr>
        <w:pStyle w:val="163"/>
        <w:rPr>
          <w:rFonts w:ascii="宋体" w:hAnsi="宋体"/>
        </w:rPr>
      </w:pPr>
      <w:r>
        <w:rPr>
          <w:rFonts w:hint="eastAsia" w:ascii="宋体" w:hAnsi="宋体"/>
        </w:rPr>
        <w:t>（2）股价波动的风险</w:t>
      </w:r>
    </w:p>
    <w:p>
      <w:pPr>
        <w:pStyle w:val="163"/>
        <w:rPr>
          <w:rFonts w:ascii="宋体" w:hAnsi="宋体"/>
        </w:rPr>
      </w:pPr>
      <w:r>
        <w:rPr>
          <w:rFonts w:hint="eastAsia" w:ascii="宋体" w:hAnsi="宋体"/>
        </w:rPr>
        <w:t>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w:t>
      </w:r>
    </w:p>
    <w:p>
      <w:pPr>
        <w:pStyle w:val="163"/>
        <w:rPr>
          <w:rFonts w:ascii="宋体" w:hAnsi="宋体"/>
        </w:rPr>
      </w:pPr>
      <w:r>
        <w:rPr>
          <w:rFonts w:hint="eastAsia" w:ascii="宋体" w:hAnsi="宋体"/>
        </w:rPr>
        <w:t>（3）汇率风险</w:t>
      </w:r>
    </w:p>
    <w:p>
      <w:pPr>
        <w:pStyle w:val="163"/>
        <w:rPr>
          <w:rFonts w:ascii="宋体" w:hAnsi="宋体"/>
        </w:rPr>
      </w:pPr>
      <w:r>
        <w:rPr>
          <w:rFonts w:hint="eastAsia" w:ascii="宋体" w:hAnsi="宋体"/>
        </w:rPr>
        <w:t>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w:t>
      </w:r>
    </w:p>
    <w:p>
      <w:pPr>
        <w:pStyle w:val="163"/>
        <w:rPr>
          <w:rFonts w:ascii="宋体" w:hAnsi="宋体"/>
        </w:rPr>
      </w:pPr>
      <w:r>
        <w:rPr>
          <w:rFonts w:hint="eastAsia" w:ascii="宋体" w:hAnsi="宋体"/>
        </w:rPr>
        <w:t>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w:t>
      </w:r>
    </w:p>
    <w:p>
      <w:pPr>
        <w:pStyle w:val="163"/>
        <w:rPr>
          <w:rFonts w:ascii="宋体" w:hAnsi="宋体"/>
        </w:rPr>
      </w:pPr>
      <w:r>
        <w:rPr>
          <w:rFonts w:hint="eastAsia" w:ascii="宋体" w:hAnsi="宋体"/>
        </w:rPr>
        <w:t>（4）港股通额度限制</w:t>
      </w:r>
    </w:p>
    <w:p>
      <w:pPr>
        <w:pStyle w:val="163"/>
        <w:rPr>
          <w:rFonts w:ascii="宋体" w:hAnsi="宋体"/>
        </w:rPr>
      </w:pPr>
      <w:r>
        <w:rPr>
          <w:rFonts w:hint="eastAsia" w:ascii="宋体" w:hAnsi="宋体"/>
        </w:rPr>
        <w:t>现行的港股通规则，对港股通设有每日额度上限的限制；本基金可能因为港股通市场每日额度不足，而不能买入看好之投资标的进而错失投资机会的风险。</w:t>
      </w:r>
    </w:p>
    <w:p>
      <w:pPr>
        <w:pStyle w:val="163"/>
        <w:rPr>
          <w:rFonts w:ascii="宋体" w:hAnsi="宋体"/>
        </w:rPr>
      </w:pPr>
      <w:r>
        <w:rPr>
          <w:rFonts w:hint="eastAsia" w:ascii="宋体" w:hAnsi="宋体"/>
        </w:rPr>
        <w:t>（5）港股通可投资标的范围调整带来的风险</w:t>
      </w:r>
    </w:p>
    <w:p>
      <w:pPr>
        <w:pStyle w:val="163"/>
        <w:rPr>
          <w:rFonts w:ascii="宋体" w:hAnsi="宋体"/>
        </w:rPr>
      </w:pPr>
      <w:r>
        <w:rPr>
          <w:rFonts w:hint="eastAsia" w:ascii="宋体" w:hAnsi="宋体"/>
        </w:rPr>
        <w:t>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w:t>
      </w:r>
    </w:p>
    <w:p>
      <w:pPr>
        <w:pStyle w:val="163"/>
        <w:rPr>
          <w:rFonts w:ascii="宋体" w:hAnsi="宋体"/>
        </w:rPr>
      </w:pPr>
      <w:r>
        <w:rPr>
          <w:rFonts w:hint="eastAsia" w:ascii="宋体" w:hAnsi="宋体"/>
        </w:rPr>
        <w:t>（6）港股通交易日设定的风险</w:t>
      </w:r>
    </w:p>
    <w:p>
      <w:pPr>
        <w:pStyle w:val="163"/>
        <w:rPr>
          <w:rFonts w:ascii="宋体" w:hAnsi="宋体"/>
        </w:rPr>
      </w:pPr>
      <w:r>
        <w:rPr>
          <w:rFonts w:hint="eastAsia" w:ascii="宋体" w:hAnsi="宋体"/>
        </w:rPr>
        <w:t>根据现行的港股通规则，只有内地与香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w:t>
      </w:r>
    </w:p>
    <w:p>
      <w:pPr>
        <w:pStyle w:val="163"/>
        <w:rPr>
          <w:rFonts w:ascii="宋体" w:hAnsi="宋体"/>
        </w:rPr>
      </w:pPr>
      <w:r>
        <w:rPr>
          <w:rFonts w:hint="eastAsia" w:ascii="宋体" w:hAnsi="宋体"/>
        </w:rPr>
        <w:t>（7）交收制度带来的基金流动性风险</w:t>
      </w:r>
    </w:p>
    <w:p>
      <w:pPr>
        <w:pStyle w:val="163"/>
        <w:rPr>
          <w:rFonts w:ascii="宋体" w:hAnsi="宋体"/>
        </w:rPr>
      </w:pPr>
      <w:r>
        <w:rPr>
          <w:rFonts w:hint="eastAsia" w:ascii="宋体" w:hAnsi="宋体"/>
        </w:rPr>
        <w:t>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w:t>
      </w:r>
    </w:p>
    <w:p>
      <w:pPr>
        <w:pStyle w:val="163"/>
        <w:rPr>
          <w:rFonts w:ascii="宋体" w:hAnsi="宋体"/>
        </w:rPr>
      </w:pPr>
      <w:r>
        <w:rPr>
          <w:rFonts w:hint="eastAsia" w:ascii="宋体" w:hAnsi="宋体"/>
        </w:rPr>
        <w:t>（8）港股通下对公司行为的处理规则带来的风险</w:t>
      </w:r>
    </w:p>
    <w:p>
      <w:pPr>
        <w:pStyle w:val="163"/>
        <w:rPr>
          <w:rFonts w:ascii="宋体" w:hAnsi="宋体"/>
        </w:rPr>
      </w:pPr>
      <w:r>
        <w:rPr>
          <w:rFonts w:hint="eastAsia" w:ascii="宋体" w:hAnsi="宋体"/>
        </w:rPr>
        <w:t>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w:t>
      </w:r>
    </w:p>
    <w:p>
      <w:pPr>
        <w:pStyle w:val="163"/>
        <w:rPr>
          <w:rFonts w:ascii="宋体" w:hAnsi="宋体"/>
        </w:rPr>
      </w:pPr>
      <w:r>
        <w:rPr>
          <w:rFonts w:hint="eastAsia" w:ascii="宋体" w:hAnsi="宋体"/>
        </w:rPr>
        <w:t>本基金存在因上述规则，利益得不到最大化甚至受损的风险。</w:t>
      </w:r>
    </w:p>
    <w:p>
      <w:pPr>
        <w:pStyle w:val="163"/>
        <w:rPr>
          <w:rFonts w:ascii="宋体" w:hAnsi="宋体"/>
        </w:rPr>
      </w:pPr>
      <w:r>
        <w:rPr>
          <w:rFonts w:hint="eastAsia" w:ascii="宋体" w:hAnsi="宋体"/>
        </w:rPr>
        <w:t>（9）香港联合交易所停牌、退市等制度性差异带来的风险</w:t>
      </w:r>
    </w:p>
    <w:p>
      <w:pPr>
        <w:pStyle w:val="163"/>
        <w:rPr>
          <w:rFonts w:ascii="宋体" w:hAnsi="宋体"/>
        </w:rPr>
      </w:pPr>
      <w:r>
        <w:rPr>
          <w:rFonts w:hint="eastAsia" w:ascii="宋体" w:hAnsi="宋体"/>
        </w:rPr>
        <w:t>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w:t>
      </w:r>
    </w:p>
    <w:p>
      <w:pPr>
        <w:pStyle w:val="163"/>
        <w:rPr>
          <w:rFonts w:ascii="宋体" w:hAnsi="宋体"/>
        </w:rPr>
      </w:pPr>
      <w:r>
        <w:rPr>
          <w:rFonts w:hint="eastAsia" w:ascii="宋体" w:hAnsi="宋体"/>
        </w:rPr>
        <w:t>因该等制度性差异，本基金可能存在因所持个股遭遇非预期性的停牌甚至退市而给基金带来损失的风险。</w:t>
      </w:r>
    </w:p>
    <w:p>
      <w:pPr>
        <w:pStyle w:val="163"/>
        <w:rPr>
          <w:rFonts w:ascii="宋体" w:hAnsi="宋体"/>
        </w:rPr>
      </w:pPr>
      <w:r>
        <w:rPr>
          <w:rFonts w:hint="eastAsia" w:ascii="宋体" w:hAnsi="宋体"/>
        </w:rPr>
        <w:t>（10）港股通规则变动带来的风险</w:t>
      </w:r>
    </w:p>
    <w:p>
      <w:pPr>
        <w:pStyle w:val="163"/>
        <w:rPr>
          <w:rFonts w:ascii="宋体" w:hAnsi="宋体"/>
        </w:rPr>
      </w:pPr>
      <w:r>
        <w:rPr>
          <w:rFonts w:hint="eastAsia" w:ascii="宋体" w:hAnsi="宋体"/>
        </w:rPr>
        <w:t>本基金是在港股通机制和规则下参与香港联交所证券的投资，受港股通规则的限制和影响；本基金存在因港股通规则变动而带来基金投资受阻或所持资产组合价值发生波动的风险。</w:t>
      </w:r>
    </w:p>
    <w:p>
      <w:pPr>
        <w:pStyle w:val="163"/>
        <w:rPr>
          <w:rFonts w:ascii="宋体" w:hAnsi="宋体"/>
        </w:rPr>
      </w:pPr>
      <w:r>
        <w:rPr>
          <w:rFonts w:hint="eastAsia" w:ascii="宋体" w:hAnsi="宋体"/>
        </w:rPr>
        <w:t>（11）其他可能的风险</w:t>
      </w:r>
    </w:p>
    <w:p>
      <w:pPr>
        <w:pStyle w:val="163"/>
        <w:rPr>
          <w:rFonts w:ascii="宋体" w:hAnsi="宋体"/>
        </w:rPr>
      </w:pPr>
      <w:r>
        <w:rPr>
          <w:rFonts w:hint="eastAsia" w:ascii="宋体" w:hAnsi="宋体"/>
        </w:rPr>
        <w:t>除上述显著风险外，本基金参与港股通投资，还可能面临的其他风险，包括但不限于：</w:t>
      </w:r>
    </w:p>
    <w:p>
      <w:pPr>
        <w:pStyle w:val="163"/>
        <w:rPr>
          <w:rFonts w:ascii="宋体" w:hAnsi="宋体"/>
        </w:rPr>
      </w:pPr>
      <w:r>
        <w:rPr>
          <w:rFonts w:hint="eastAsia" w:ascii="宋体" w:hAnsi="宋体"/>
        </w:rPr>
        <w:t>1）除因股票交易而发生的佣金、交易征费、交易费、交易系统费、印花税、过户费等税费外，在不进行交易时也可能要继续缴纳证券组合费等项费用，本基金存在因费用估算不准而导致账户透支的风险；</w:t>
      </w:r>
    </w:p>
    <w:p>
      <w:pPr>
        <w:pStyle w:val="163"/>
        <w:rPr>
          <w:rFonts w:ascii="宋体" w:hAnsi="宋体"/>
        </w:rPr>
      </w:pPr>
      <w:r>
        <w:rPr>
          <w:rFonts w:hint="eastAsia" w:ascii="宋体" w:hAnsi="宋体"/>
        </w:rPr>
        <w:t>2）在香港市场，部分中小市值港股成交量则相对较少，流动性较为缺乏，本基金投资此类股票可能因缺乏交易对手而面临个股流动性风险；</w:t>
      </w:r>
    </w:p>
    <w:p>
      <w:pPr>
        <w:pStyle w:val="163"/>
        <w:rPr>
          <w:rFonts w:ascii="宋体" w:hAnsi="宋体"/>
        </w:rPr>
      </w:pPr>
      <w:r>
        <w:rPr>
          <w:rFonts w:hint="eastAsia" w:ascii="宋体" w:hAnsi="宋体"/>
        </w:rPr>
        <w:t>3）在本基金参与港股通交易中若香港联交所与内地交易所的证券交易服务公司之间的报盘系统或者通信链路出现故障，可能导致15分钟以上不能申报和撤销申报的交易中断风险；</w:t>
      </w:r>
    </w:p>
    <w:p>
      <w:pPr>
        <w:pStyle w:val="163"/>
        <w:rPr>
          <w:rFonts w:ascii="宋体" w:hAnsi="宋体"/>
        </w:rPr>
      </w:pPr>
      <w:r>
        <w:rPr>
          <w:rFonts w:hint="eastAsia" w:ascii="宋体" w:hAnsi="宋体"/>
        </w:rPr>
        <w:t>4）存在港股通香港结算机构因极端情况下无法交付证券和资金的结算风险；另外港股通境内结算实施分级结算原则，本基金可能面临 以下风险：①因结算参与人未完成与中国结算的集中交收，导致本基金应收资金或证券被暂不交付或处置；②结算参与人对本基金出现交收违约导致本基金未能取得应收证券或资金；③结算参与人向中国结算发送的有关本基金的证券划付指令有误的导致本基金权益受损；④其他因结算参与人未遵守相关业务规则导致本基金利益受到损害的情况。</w:t>
      </w:r>
    </w:p>
    <w:p>
      <w:pPr>
        <w:pStyle w:val="163"/>
        <w:rPr>
          <w:rFonts w:ascii="宋体" w:hAnsi="宋体"/>
        </w:rPr>
      </w:pPr>
      <w:r>
        <w:rPr>
          <w:rFonts w:hint="eastAsia" w:ascii="宋体" w:hAnsi="宋体"/>
        </w:rPr>
        <w:t>本基金可根据投资策略需要或不同配置地市场环境的变化，选择将部分基金资产投资于港股或选择不将基金资产投资于港股，基金资产并非必然投资港股。</w:t>
      </w:r>
    </w:p>
    <w:p>
      <w:pPr>
        <w:pStyle w:val="163"/>
        <w:rPr>
          <w:rFonts w:ascii="宋体" w:hAnsi="宋体"/>
        </w:rPr>
      </w:pPr>
      <w:r>
        <w:rPr>
          <w:rFonts w:ascii="宋体" w:hAnsi="宋体"/>
        </w:rPr>
        <w:t>7</w:t>
      </w:r>
      <w:r>
        <w:rPr>
          <w:rFonts w:hint="eastAsia" w:ascii="宋体" w:hAnsi="宋体"/>
        </w:rPr>
        <w:t>、新股申购风险</w:t>
      </w:r>
    </w:p>
    <w:p>
      <w:pPr>
        <w:pStyle w:val="163"/>
        <w:rPr>
          <w:rFonts w:ascii="宋体" w:hAnsi="宋体"/>
        </w:rPr>
      </w:pPr>
      <w:r>
        <w:rPr>
          <w:rFonts w:hint="eastAsia" w:ascii="宋体" w:hAnsi="宋体"/>
        </w:rPr>
        <w:t>本基金可参与新股申购，新股发行政策、新股发行机制等影响新股发行的因素变动将会影响本基金的风险收益水平；新股配售比例、中签率的不确定性，或其他发售方式的不确定性以及上市后市场表现的不确定性使得本基金的投资收益不确定性有增加的风险。</w:t>
      </w:r>
    </w:p>
    <w:p>
      <w:pPr>
        <w:pStyle w:val="163"/>
        <w:rPr>
          <w:rFonts w:ascii="宋体" w:hAnsi="宋体"/>
        </w:rPr>
      </w:pPr>
      <w:r>
        <w:rPr>
          <w:rFonts w:hint="eastAsia" w:ascii="宋体" w:hAnsi="宋体"/>
        </w:rPr>
        <w:t>8、融资及转融通证券出借业务的主要风险</w:t>
      </w:r>
    </w:p>
    <w:p>
      <w:pPr>
        <w:pStyle w:val="163"/>
        <w:rPr>
          <w:rFonts w:ascii="宋体" w:hAnsi="宋体"/>
        </w:rPr>
      </w:pPr>
      <w:r>
        <w:rPr>
          <w:rFonts w:hint="eastAsia" w:ascii="宋体" w:hAnsi="宋体"/>
        </w:rPr>
        <w:t>（1）流动性风险</w:t>
      </w:r>
    </w:p>
    <w:p>
      <w:pPr>
        <w:pStyle w:val="163"/>
        <w:rPr>
          <w:rFonts w:ascii="宋体" w:hAnsi="宋体"/>
        </w:rPr>
      </w:pPr>
      <w:r>
        <w:rPr>
          <w:rFonts w:hint="eastAsia" w:ascii="宋体" w:hAnsi="宋体"/>
        </w:rPr>
        <w:t>出借人在出借证券后，除与借入人协商一致可提前了结的情形外，其他情形无法在合约到期前提前收回出借证券。当委托人拟赎回安排与投资人策略安排之间存在期限偏离，或当市场变化导致投资人员策略显著调整与前期合约期限安排不匹配时，可能存在由于出借证券无法及时收回并变现而导致的流动性风险。</w:t>
      </w:r>
    </w:p>
    <w:p>
      <w:pPr>
        <w:pStyle w:val="163"/>
        <w:rPr>
          <w:rFonts w:ascii="宋体" w:hAnsi="宋体"/>
        </w:rPr>
      </w:pPr>
      <w:r>
        <w:rPr>
          <w:rFonts w:hint="eastAsia" w:ascii="宋体" w:hAnsi="宋体"/>
        </w:rPr>
        <w:t>（2）交易对手违约风险</w:t>
      </w:r>
    </w:p>
    <w:p>
      <w:pPr>
        <w:pStyle w:val="163"/>
        <w:rPr>
          <w:rFonts w:ascii="宋体" w:hAnsi="宋体"/>
        </w:rPr>
      </w:pPr>
      <w:r>
        <w:rPr>
          <w:rFonts w:hint="eastAsia" w:ascii="宋体" w:hAnsi="宋体"/>
        </w:rPr>
        <w:t>存在由于交易对手违约而导致证券到期不能按时或足额归还、相应权益补偿和借券费用不能支付等交易对手违约风险。</w:t>
      </w:r>
    </w:p>
    <w:p>
      <w:pPr>
        <w:pStyle w:val="163"/>
        <w:rPr>
          <w:rFonts w:ascii="宋体" w:hAnsi="宋体"/>
        </w:rPr>
      </w:pPr>
      <w:r>
        <w:rPr>
          <w:rFonts w:hint="eastAsia" w:ascii="宋体" w:hAnsi="宋体"/>
        </w:rPr>
        <w:t>（3）市场风险</w:t>
      </w:r>
    </w:p>
    <w:p>
      <w:pPr>
        <w:pStyle w:val="163"/>
        <w:rPr>
          <w:rFonts w:ascii="宋体" w:hAnsi="宋体"/>
        </w:rPr>
      </w:pPr>
      <w:r>
        <w:rPr>
          <w:rFonts w:hint="eastAsia" w:ascii="宋体" w:hAnsi="宋体"/>
        </w:rPr>
        <w:t>转融通出借收益按照证券当日收市后市值、融出日（或展期日）费率和实际出借天数计算，因此可能面临证券市值波动、费率变动而导致的市场风险。</w:t>
      </w:r>
    </w:p>
    <w:p>
      <w:pPr>
        <w:pStyle w:val="163"/>
        <w:rPr>
          <w:rFonts w:ascii="宋体" w:hAnsi="宋体"/>
        </w:rPr>
      </w:pPr>
      <w:r>
        <w:rPr>
          <w:rFonts w:hint="eastAsia" w:ascii="宋体" w:hAnsi="宋体"/>
        </w:rPr>
        <w:t>（4）提前或延迟了结风险</w:t>
      </w:r>
    </w:p>
    <w:p>
      <w:pPr>
        <w:pStyle w:val="163"/>
        <w:rPr>
          <w:rFonts w:ascii="宋体" w:hAnsi="宋体"/>
        </w:rPr>
      </w:pPr>
      <w:r>
        <w:rPr>
          <w:rFonts w:hint="eastAsia" w:ascii="宋体" w:hAnsi="宋体"/>
        </w:rPr>
        <w:t>证券出借期间，如发生标的证券范围调整、标的证券暂停交易、标的证券对应的上市公司被以终止上市为目的进行收购、终止上市等情况，可能面临合约提前了结或延迟了结的风险。</w:t>
      </w:r>
    </w:p>
    <w:p>
      <w:pPr>
        <w:pStyle w:val="163"/>
        <w:rPr>
          <w:rFonts w:ascii="宋体" w:hAnsi="宋体"/>
        </w:rPr>
      </w:pPr>
      <w:r>
        <w:rPr>
          <w:rFonts w:hint="eastAsia" w:ascii="宋体" w:hAnsi="宋体"/>
        </w:rPr>
        <w:t>（5）跟踪误差风险</w:t>
      </w:r>
    </w:p>
    <w:p>
      <w:pPr>
        <w:pStyle w:val="163"/>
        <w:rPr>
          <w:rFonts w:ascii="宋体" w:hAnsi="宋体"/>
        </w:rPr>
      </w:pPr>
      <w:r>
        <w:rPr>
          <w:rFonts w:hint="eastAsia" w:ascii="宋体" w:hAnsi="宋体"/>
        </w:rPr>
        <w:t>对于指数型组合，当组合发生大额赎回或市场大幅波动时，存在由于转融通出借证券无法提前了结并变现，单一股票占比被动上升而导致组合跟踪误差扩大的风险。</w:t>
      </w:r>
    </w:p>
    <w:p>
      <w:pPr>
        <w:pStyle w:val="163"/>
        <w:rPr>
          <w:rFonts w:ascii="宋体" w:hAnsi="宋体"/>
        </w:rPr>
      </w:pPr>
      <w:r>
        <w:rPr>
          <w:rFonts w:hint="eastAsia" w:ascii="宋体" w:hAnsi="宋体"/>
        </w:rPr>
        <w:t>（6）杠杆效应放大风险</w:t>
      </w:r>
    </w:p>
    <w:p>
      <w:pPr>
        <w:pStyle w:val="163"/>
        <w:rPr>
          <w:rFonts w:ascii="宋体" w:hAnsi="宋体"/>
        </w:rPr>
      </w:pPr>
      <w:r>
        <w:rPr>
          <w:rFonts w:hint="eastAsia" w:ascii="宋体" w:hAnsi="宋体"/>
        </w:rPr>
        <w:t>投资者通过融资及转融通证券出借业务可以扩大交易额度，利用较少资本来获取较大利润，这必然也放大了风险。投资者将股票作为担保品进行融资时，既需要承担原有的股票价格变化带来的风险，又得承担新投资股票带来的风险，还得支付相应的利息或费用，如判断失误或操作不当，会加大亏损。</w:t>
      </w:r>
    </w:p>
    <w:p>
      <w:pPr>
        <w:pStyle w:val="163"/>
        <w:rPr>
          <w:rFonts w:ascii="宋体" w:hAnsi="宋体"/>
        </w:rPr>
      </w:pPr>
      <w:r>
        <w:rPr>
          <w:rFonts w:hint="eastAsia" w:ascii="宋体" w:hAnsi="宋体"/>
        </w:rPr>
        <w:t>（7）担保能力及限制交易风险</w:t>
      </w:r>
    </w:p>
    <w:p>
      <w:pPr>
        <w:pStyle w:val="163"/>
        <w:rPr>
          <w:rFonts w:ascii="宋体" w:hAnsi="宋体"/>
        </w:rPr>
      </w:pPr>
      <w:r>
        <w:rPr>
          <w:rFonts w:hint="eastAsia" w:ascii="宋体" w:hAnsi="宋体"/>
        </w:rPr>
        <w:t>单只或全部证券被暂停融资及转融通证券出借业务、投资者账户被暂停或取消融资及转融通证券出借业务资格等，这些影响可能给投资者造成经济损失。此外，投资者也可能面临由于自身维持担保比例低于融资及转融通证券出借业务合同约定的担保要求，且未能及时补充担保物，导致信用账户交易受到限制，从而造成经济损失。</w:t>
      </w:r>
    </w:p>
    <w:p>
      <w:pPr>
        <w:pStyle w:val="163"/>
        <w:rPr>
          <w:rFonts w:ascii="宋体" w:hAnsi="宋体"/>
        </w:rPr>
      </w:pPr>
      <w:r>
        <w:rPr>
          <w:rFonts w:hint="eastAsia" w:ascii="宋体" w:hAnsi="宋体"/>
        </w:rPr>
        <w:t>（8）强制平仓风险</w:t>
      </w:r>
    </w:p>
    <w:p>
      <w:pPr>
        <w:pStyle w:val="163"/>
        <w:rPr>
          <w:rFonts w:ascii="宋体" w:hAnsi="宋体"/>
        </w:rPr>
      </w:pPr>
      <w:r>
        <w:rPr>
          <w:rFonts w:hint="eastAsia" w:ascii="宋体" w:hAnsi="宋体"/>
        </w:rPr>
        <w:t>投资者在从事融资交易及转融通证券出借业务期间，如果不能按照约定的期限清偿债务，或上市证券价格波动，导致日终清算后维持担保比例低于警戒线，且不能按照约定追加担保物时，将面临担保物被证券公司强制平仓的风险，由此可能给投资者造成经济损失。</w:t>
      </w:r>
    </w:p>
    <w:p>
      <w:pPr>
        <w:pStyle w:val="163"/>
        <w:rPr>
          <w:rFonts w:ascii="宋体" w:hAnsi="宋体"/>
        </w:rPr>
      </w:pPr>
      <w:r>
        <w:rPr>
          <w:rFonts w:hint="eastAsia" w:ascii="宋体" w:hAnsi="宋体"/>
        </w:rPr>
        <w:t>（9）操作风险</w:t>
      </w:r>
    </w:p>
    <w:p>
      <w:pPr>
        <w:pStyle w:val="163"/>
        <w:rPr>
          <w:rFonts w:ascii="宋体" w:hAnsi="宋体"/>
        </w:rPr>
      </w:pPr>
      <w:r>
        <w:rPr>
          <w:rFonts w:hint="eastAsia" w:ascii="宋体" w:hAnsi="宋体"/>
        </w:rPr>
        <w:t>融资交易和转融通业务具体实施过程中，在投资决策、交易等环节，可能面临由于操作人员操作失误、系统不完善等原因引发的操作风险。</w:t>
      </w:r>
    </w:p>
    <w:p>
      <w:pPr>
        <w:pStyle w:val="163"/>
        <w:rPr>
          <w:rFonts w:ascii="宋体" w:hAnsi="宋体"/>
        </w:rPr>
      </w:pPr>
      <w:r>
        <w:rPr>
          <w:rFonts w:hint="eastAsia" w:ascii="宋体" w:hAnsi="宋体"/>
        </w:rPr>
        <w:t>（10）法律合规风险</w:t>
      </w:r>
    </w:p>
    <w:p>
      <w:pPr>
        <w:pStyle w:val="163"/>
        <w:rPr>
          <w:rFonts w:ascii="宋体" w:hAnsi="宋体"/>
        </w:rPr>
      </w:pPr>
      <w:r>
        <w:rPr>
          <w:rFonts w:hint="eastAsia" w:ascii="宋体" w:hAnsi="宋体"/>
        </w:rPr>
        <w:t>在融资交易和转融通证券出借过程中，存在由于标的证券价格波动导致组合合规指标超标且无法进行调整的风险，以及在业务开展过程中发生操纵价格、利益输送等法律合规风险。</w:t>
      </w:r>
    </w:p>
    <w:p>
      <w:pPr>
        <w:pStyle w:val="163"/>
        <w:rPr>
          <w:rFonts w:ascii="宋体" w:hAnsi="宋体"/>
        </w:rPr>
      </w:pPr>
      <w:r>
        <w:rPr>
          <w:rFonts w:hint="eastAsia" w:ascii="宋体" w:hAnsi="宋体"/>
        </w:rPr>
        <w:t>9、投资于存托凭证的风险</w:t>
      </w:r>
    </w:p>
    <w:p>
      <w:pPr>
        <w:pStyle w:val="163"/>
        <w:rPr>
          <w:rFonts w:ascii="宋体" w:hAnsi="宋体"/>
        </w:rPr>
      </w:pPr>
      <w:r>
        <w:rPr>
          <w:rFonts w:hint="eastAsia" w:ascii="宋体" w:hAnsi="宋体"/>
        </w:rPr>
        <w:t>本基金的投资范围包括存托凭证，除与其他仅投资于境内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pStyle w:val="163"/>
        <w:rPr>
          <w:rFonts w:ascii="宋体" w:hAnsi="宋体"/>
        </w:rPr>
      </w:pPr>
      <w:r>
        <w:rPr>
          <w:rFonts w:ascii="宋体" w:hAnsi="宋体"/>
        </w:rPr>
        <w:t>10</w:t>
      </w:r>
      <w:r>
        <w:rPr>
          <w:rFonts w:hint="eastAsia" w:ascii="宋体" w:hAnsi="宋体"/>
        </w:rPr>
        <w:t>、自动清算的风险</w:t>
      </w:r>
    </w:p>
    <w:p>
      <w:pPr>
        <w:pStyle w:val="163"/>
        <w:rPr>
          <w:rFonts w:ascii="宋体" w:hAnsi="宋体" w:cs="宋体"/>
        </w:rPr>
      </w:pPr>
      <w:r>
        <w:rPr>
          <w:rFonts w:hint="eastAsia" w:ascii="宋体" w:hAnsi="宋体" w:cs="宋体"/>
        </w:rPr>
        <w:t>本基金的基金合同生效之日起三年后的对应日，若基金资产净值低于两亿元的，本基金将根据基金合同的约定进行基金财产清算并终止，无需召开基金份额持有人大会审议，且不得通过召开基金份额持有人大会的方式延续基金合同。</w:t>
      </w:r>
    </w:p>
    <w:p>
      <w:pPr>
        <w:pStyle w:val="163"/>
        <w:rPr>
          <w:rFonts w:ascii="宋体" w:hAnsi="宋体" w:cs="宋体"/>
        </w:rPr>
      </w:pPr>
      <w:r>
        <w:rPr>
          <w:rFonts w:hint="eastAsia" w:ascii="宋体" w:hAnsi="宋体" w:cs="宋体"/>
        </w:rPr>
        <w:t>本基金在基金合同生效三年后继续存续的，基金存续期内，连续</w:t>
      </w:r>
      <w:r>
        <w:rPr>
          <w:rFonts w:ascii="宋体" w:hAnsi="宋体" w:cs="宋体"/>
        </w:rPr>
        <w:t>5</w:t>
      </w:r>
      <w:r>
        <w:rPr>
          <w:rFonts w:hint="eastAsia" w:ascii="宋体" w:hAnsi="宋体" w:cs="宋体"/>
        </w:rPr>
        <w:t>0个工作日出现基金份额持有人数量不满200人或者基金资产净值低于5000万元情形的，本基金将根据基金合同的约定进行基金财产清算并终止，且无需召开基金份额持有人大会，同时基金管理人应履行相关的监管报告和信息披露程序。</w:t>
      </w:r>
    </w:p>
    <w:p>
      <w:pPr>
        <w:pStyle w:val="163"/>
        <w:rPr>
          <w:rFonts w:ascii="宋体" w:hAnsi="宋体" w:cs="宋体"/>
        </w:rPr>
      </w:pPr>
      <w:r>
        <w:rPr>
          <w:rFonts w:hint="eastAsia" w:ascii="宋体" w:hAnsi="宋体" w:cs="宋体"/>
        </w:rPr>
        <w:t>因此本基金有面临自动清算的风险。</w:t>
      </w:r>
    </w:p>
    <w:p>
      <w:pPr>
        <w:pStyle w:val="163"/>
        <w:ind w:firstLine="422"/>
        <w:rPr>
          <w:rFonts w:ascii="宋体" w:hAnsi="宋体"/>
          <w:b/>
        </w:rPr>
      </w:pPr>
      <w:r>
        <w:rPr>
          <w:rFonts w:hint="eastAsia" w:ascii="宋体" w:hAnsi="宋体"/>
          <w:b/>
        </w:rPr>
        <w:t>三、本基金法律文件风险收益特征表述与销售机构基金风险评价可能不一致的风险</w:t>
      </w:r>
    </w:p>
    <w:p>
      <w:pPr>
        <w:pStyle w:val="163"/>
        <w:rPr>
          <w:rFonts w:ascii="宋体" w:hAnsi="宋体"/>
          <w:b/>
        </w:rPr>
      </w:pPr>
      <w:r>
        <w:rPr>
          <w:rFonts w:hint="eastAsia" w:ascii="宋体" w:hAnsi="宋体"/>
          <w:b w:val="0"/>
          <w:bCs/>
        </w:rPr>
        <w:t>本基金法律文件投资章节有关风险收益特征的表述是基于投资范围、投资比例、证券市场普遍规律等做出的概述性描述，代表了一般市场情况下本基金的长期风险收益特征。销售机构</w:t>
      </w:r>
      <w:r>
        <w:rPr>
          <w:rFonts w:ascii="宋体" w:hAnsi="宋体"/>
          <w:bCs/>
        </w:rPr>
        <w:t>（</w:t>
      </w:r>
      <w:r>
        <w:rPr>
          <w:rFonts w:hint="eastAsia" w:ascii="宋体" w:hAnsi="宋体"/>
          <w:b w:val="0"/>
          <w:bCs/>
        </w:rPr>
        <w:t>包括基金管理人直销机构和其他销售机构</w:t>
      </w:r>
      <w:r>
        <w:rPr>
          <w:rFonts w:ascii="宋体" w:hAnsi="宋体"/>
          <w:bCs/>
        </w:rPr>
        <w:t>）</w:t>
      </w:r>
      <w:r>
        <w:rPr>
          <w:rFonts w:hint="eastAsia" w:ascii="宋体" w:hAnsi="宋体"/>
          <w:b w:val="0"/>
          <w:bCs/>
        </w:rPr>
        <w:t>根据相关法律法规对本基金进行风险评价，不同的销售机构采用的评价方法也不同，因此销售机构的风险等级评价与基金法律文件中风险收益特征的表述可能存在不同，投资人在购买本基金时需按照销售机构的要求完成风险承受能力与产品风险之间的匹配检验。</w:t>
      </w:r>
    </w:p>
    <w:p>
      <w:pPr>
        <w:pStyle w:val="163"/>
        <w:ind w:firstLine="422"/>
        <w:rPr>
          <w:rFonts w:ascii="宋体" w:hAnsi="宋体"/>
          <w:b/>
        </w:rPr>
      </w:pPr>
      <w:r>
        <w:rPr>
          <w:rFonts w:hint="eastAsia" w:ascii="宋体" w:hAnsi="宋体"/>
          <w:b/>
          <w:lang w:eastAsia="zh-Hans"/>
        </w:rPr>
        <w:t>四</w:t>
      </w:r>
      <w:r>
        <w:rPr>
          <w:rFonts w:hint="eastAsia" w:ascii="宋体" w:hAnsi="宋体"/>
          <w:b/>
        </w:rPr>
        <w:t>、其他风险</w:t>
      </w:r>
    </w:p>
    <w:p>
      <w:pPr>
        <w:pStyle w:val="163"/>
        <w:rPr>
          <w:rFonts w:ascii="宋体" w:hAnsi="宋体"/>
        </w:rPr>
      </w:pPr>
      <w:r>
        <w:rPr>
          <w:rFonts w:ascii="宋体" w:hAnsi="宋体"/>
        </w:rPr>
        <w:t>1</w:t>
      </w:r>
      <w:r>
        <w:rPr>
          <w:rFonts w:hint="eastAsia" w:ascii="宋体" w:hAnsi="宋体"/>
        </w:rPr>
        <w:t>、因技术因素而产生的风险，如电脑系统不可靠产生的风险；</w:t>
      </w:r>
    </w:p>
    <w:p>
      <w:pPr>
        <w:pStyle w:val="163"/>
        <w:rPr>
          <w:rFonts w:ascii="宋体" w:hAnsi="宋体"/>
        </w:rPr>
      </w:pPr>
      <w:r>
        <w:rPr>
          <w:rFonts w:ascii="宋体" w:hAnsi="宋体"/>
        </w:rPr>
        <w:t>2</w:t>
      </w:r>
      <w:r>
        <w:rPr>
          <w:rFonts w:hint="eastAsia" w:ascii="宋体" w:hAnsi="宋体"/>
        </w:rPr>
        <w:t>、因业务快速发展而在制度建设、人员配备、内控制度建立等不完善而产生的风险；</w:t>
      </w:r>
    </w:p>
    <w:p>
      <w:pPr>
        <w:pStyle w:val="163"/>
        <w:rPr>
          <w:rFonts w:ascii="宋体" w:hAnsi="宋体"/>
        </w:rPr>
      </w:pPr>
      <w:r>
        <w:rPr>
          <w:rFonts w:ascii="宋体" w:hAnsi="宋体"/>
        </w:rPr>
        <w:t>3</w:t>
      </w:r>
      <w:r>
        <w:rPr>
          <w:rFonts w:hint="eastAsia" w:ascii="宋体" w:hAnsi="宋体"/>
        </w:rPr>
        <w:t>、因人为因素而产生的风险、如内幕交易、欺诈行为等产生的风险；</w:t>
      </w:r>
    </w:p>
    <w:p>
      <w:pPr>
        <w:pStyle w:val="163"/>
        <w:rPr>
          <w:rFonts w:ascii="宋体" w:hAnsi="宋体"/>
        </w:rPr>
      </w:pPr>
      <w:r>
        <w:rPr>
          <w:rFonts w:ascii="宋体" w:hAnsi="宋体"/>
        </w:rPr>
        <w:t>4</w:t>
      </w:r>
      <w:r>
        <w:rPr>
          <w:rFonts w:hint="eastAsia" w:ascii="宋体" w:hAnsi="宋体"/>
        </w:rPr>
        <w:t>、对主要业务人员如基金经理的依赖而可能产生的风险；</w:t>
      </w:r>
    </w:p>
    <w:p>
      <w:pPr>
        <w:pStyle w:val="163"/>
        <w:rPr>
          <w:rFonts w:ascii="宋体" w:hAnsi="宋体"/>
        </w:rPr>
      </w:pPr>
      <w:r>
        <w:rPr>
          <w:rFonts w:ascii="宋体" w:hAnsi="宋体"/>
        </w:rPr>
        <w:t>5</w:t>
      </w:r>
      <w:r>
        <w:rPr>
          <w:rFonts w:hint="eastAsia" w:ascii="宋体" w:hAnsi="宋体"/>
        </w:rPr>
        <w:t>、因业务竞争压力可能产生的风险；</w:t>
      </w:r>
    </w:p>
    <w:p>
      <w:pPr>
        <w:pStyle w:val="163"/>
        <w:rPr>
          <w:rFonts w:ascii="宋体" w:hAnsi="宋体"/>
        </w:rPr>
      </w:pPr>
      <w:r>
        <w:rPr>
          <w:rFonts w:ascii="宋体" w:hAnsi="宋体"/>
        </w:rPr>
        <w:t>6</w:t>
      </w:r>
      <w:r>
        <w:rPr>
          <w:rFonts w:hint="eastAsia" w:ascii="宋体" w:hAnsi="宋体"/>
        </w:rPr>
        <w:t>、不可抗力可能导致基金资产的损失，影响基金收益水平，从而带来风险；</w:t>
      </w:r>
    </w:p>
    <w:p>
      <w:pPr>
        <w:pStyle w:val="163"/>
        <w:rPr>
          <w:rFonts w:ascii="宋体" w:hAnsi="宋体"/>
        </w:rPr>
      </w:pPr>
      <w:r>
        <w:rPr>
          <w:rFonts w:ascii="宋体" w:hAnsi="宋体"/>
        </w:rPr>
        <w:t>7</w:t>
      </w:r>
      <w:r>
        <w:rPr>
          <w:rFonts w:hint="eastAsia" w:ascii="宋体" w:hAnsi="宋体"/>
        </w:rPr>
        <w:t>、其他意外导致的风险。</w:t>
      </w:r>
    </w:p>
    <w:p>
      <w:pPr>
        <w:pStyle w:val="163"/>
        <w:ind w:firstLine="422"/>
        <w:rPr>
          <w:rFonts w:ascii="宋体" w:hAnsi="宋体"/>
          <w:b/>
        </w:rPr>
      </w:pPr>
      <w:r>
        <w:rPr>
          <w:rFonts w:hint="eastAsia" w:ascii="宋体" w:hAnsi="宋体"/>
          <w:b/>
          <w:lang w:eastAsia="zh-Hans"/>
        </w:rPr>
        <w:t>五</w:t>
      </w:r>
      <w:r>
        <w:rPr>
          <w:rFonts w:ascii="宋体" w:hAnsi="宋体"/>
          <w:b/>
        </w:rPr>
        <w:t>、声明</w:t>
      </w:r>
    </w:p>
    <w:p>
      <w:pPr>
        <w:pStyle w:val="163"/>
        <w:rPr>
          <w:rFonts w:ascii="宋体" w:hAnsi="宋体"/>
        </w:rPr>
      </w:pPr>
      <w:r>
        <w:rPr>
          <w:rFonts w:ascii="宋体" w:hAnsi="宋体"/>
        </w:rPr>
        <w:t>1、投资者投资于本基金，须自行承担投资风险；</w:t>
      </w:r>
    </w:p>
    <w:p>
      <w:pPr>
        <w:snapToGrid w:val="0"/>
        <w:spacing w:line="360" w:lineRule="auto"/>
        <w:ind w:firstLine="420" w:firstLineChars="200"/>
        <w:rPr>
          <w:rFonts w:hAnsi="宋体"/>
          <w:szCs w:val="21"/>
        </w:rPr>
        <w:sectPr>
          <w:footerReference r:id="rId28" w:type="first"/>
          <w:pgSz w:w="11906" w:h="16838"/>
          <w:pgMar w:top="1440" w:right="1800" w:bottom="1440" w:left="1800" w:header="851" w:footer="992" w:gutter="0"/>
          <w:cols w:space="425" w:num="1"/>
          <w:titlePg/>
          <w:docGrid w:type="lines" w:linePitch="312" w:charSpace="0"/>
        </w:sectPr>
      </w:pPr>
      <w:r>
        <w:rPr>
          <w:rFonts w:ascii="宋体" w:hAnsi="宋体"/>
        </w:rPr>
        <w:t>2、除基金管理人直接办理本基金的销售外，本基金还通过基金</w:t>
      </w:r>
      <w:r>
        <w:rPr>
          <w:rFonts w:hint="eastAsia" w:ascii="宋体" w:hAnsi="宋体"/>
        </w:rPr>
        <w:t>销售</w:t>
      </w:r>
      <w:r>
        <w:rPr>
          <w:rFonts w:ascii="宋体" w:hAnsi="宋体"/>
        </w:rPr>
        <w:t>机构代理销售，基金管理人与基金代销机构都不能保证其收益或本金安全</w:t>
      </w:r>
      <w:r>
        <w:rPr>
          <w:rFonts w:hint="eastAsia" w:ascii="宋体" w:hAnsi="宋体"/>
        </w:rPr>
        <w:t>。</w:t>
      </w:r>
    </w:p>
    <w:p>
      <w:pPr>
        <w:pStyle w:val="3"/>
        <w:numPr>
          <w:ilvl w:val="0"/>
          <w:numId w:val="25"/>
        </w:numPr>
        <w:snapToGrid w:val="0"/>
        <w:spacing w:before="0" w:after="0" w:line="360" w:lineRule="auto"/>
        <w:jc w:val="center"/>
        <w:rPr>
          <w:rFonts w:ascii="黑体"/>
          <w:color w:val="000000"/>
        </w:rPr>
      </w:pPr>
      <w:bookmarkStart w:id="180" w:name="_Toc327902639"/>
      <w:bookmarkStart w:id="181" w:name="_Toc25864"/>
      <w:bookmarkStart w:id="182" w:name="_Toc12885"/>
      <w:bookmarkStart w:id="183" w:name="_Toc369510025"/>
      <w:bookmarkStart w:id="184" w:name="_Toc332013127"/>
      <w:bookmarkStart w:id="185" w:name="_Toc375295990"/>
      <w:bookmarkStart w:id="186" w:name="_Toc411872039"/>
      <w:bookmarkStart w:id="187" w:name="_Toc335899850"/>
      <w:bookmarkStart w:id="188" w:name="_Toc336606244"/>
      <w:r>
        <w:rPr>
          <w:rFonts w:hint="eastAsia"/>
        </w:rPr>
        <w:t>基金合同的变更、终止和基金财产的清算</w:t>
      </w:r>
      <w:bookmarkEnd w:id="180"/>
      <w:bookmarkEnd w:id="181"/>
      <w:bookmarkEnd w:id="182"/>
      <w:bookmarkEnd w:id="183"/>
      <w:bookmarkEnd w:id="184"/>
      <w:bookmarkEnd w:id="185"/>
      <w:bookmarkEnd w:id="186"/>
      <w:bookmarkEnd w:id="187"/>
      <w:bookmarkEnd w:id="188"/>
    </w:p>
    <w:p>
      <w:pPr>
        <w:adjustRightInd w:val="0"/>
        <w:snapToGrid w:val="0"/>
        <w:spacing w:line="360" w:lineRule="auto"/>
        <w:ind w:firstLine="422" w:firstLineChars="200"/>
        <w:rPr>
          <w:rFonts w:asciiTheme="minorEastAsia" w:hAnsiTheme="minorEastAsia" w:eastAsiaTheme="minorEastAsia"/>
          <w:b/>
          <w:bCs/>
        </w:rPr>
      </w:pPr>
      <w:bookmarkStart w:id="189" w:name="_Hlk114654994"/>
      <w:r>
        <w:rPr>
          <w:rFonts w:hint="eastAsia" w:asciiTheme="minorEastAsia" w:hAnsiTheme="minorEastAsia" w:eastAsiaTheme="minorEastAsia"/>
          <w:b/>
          <w:bCs/>
        </w:rPr>
        <w:t>一、《基金合同》的变更</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2、关于《基金合同》变更的基金份额持有人大会决议自生效后方可执行，自决议生效后按规定在规定媒介公告。</w:t>
      </w:r>
    </w:p>
    <w:p>
      <w:pPr>
        <w:adjustRightInd w:val="0"/>
        <w:snapToGrid w:val="0"/>
        <w:spacing w:line="360" w:lineRule="auto"/>
        <w:ind w:firstLine="422" w:firstLineChars="200"/>
        <w:rPr>
          <w:rFonts w:asciiTheme="minorEastAsia" w:hAnsiTheme="minorEastAsia" w:eastAsiaTheme="minorEastAsia"/>
          <w:b/>
          <w:bCs/>
        </w:rPr>
      </w:pPr>
      <w:r>
        <w:rPr>
          <w:rFonts w:hint="eastAsia" w:asciiTheme="minorEastAsia" w:hAnsiTheme="minorEastAsia" w:eastAsiaTheme="minorEastAsia"/>
          <w:b/>
          <w:bCs/>
        </w:rPr>
        <w:t>二、《基金合同》的终止事由</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有下列情形之一的，经履行相关程序后，《基金合同》应当终止：</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1、基金份额持有人大会决定终止的；</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2、基金管理人、基金托管人职责终止，在6个月内没有新基金管理人、新基金托管人承接的；</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3、《基金合同》约定的其他情形；</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4、相关法律法规和中国证监会规定的其他情况。</w:t>
      </w:r>
    </w:p>
    <w:p>
      <w:pPr>
        <w:adjustRightInd w:val="0"/>
        <w:snapToGrid w:val="0"/>
        <w:spacing w:line="360" w:lineRule="auto"/>
        <w:ind w:firstLine="422" w:firstLineChars="200"/>
        <w:rPr>
          <w:rFonts w:asciiTheme="minorEastAsia" w:hAnsiTheme="minorEastAsia" w:eastAsiaTheme="minorEastAsia"/>
          <w:b/>
          <w:bCs/>
        </w:rPr>
      </w:pPr>
      <w:r>
        <w:rPr>
          <w:rFonts w:hint="eastAsia" w:asciiTheme="minorEastAsia" w:hAnsiTheme="minorEastAsia" w:eastAsiaTheme="minorEastAsia"/>
          <w:b/>
          <w:bCs/>
        </w:rPr>
        <w:t>三、基金财产的清算</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1、基金财产清算小组：自出现《基金合同》终止事由之日起30个工作日内由基金管理人发起成立基金财产清算小组，基金管理人组织基金财产清算小组并在中国证监会的监督下进行基金清算。</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2、在基金财产清算小组接管基金财产之前，基金管理人和基金托管人应按照《基金合同》和托管协议的规定继续履行保护基金财产安全的职责。</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4、基金财产清算小组职责：基金财产清算小组负责基金财产的保管、清理、估价、变现和分配。基金财产清算小组可以依法进行必要的民事活动。</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5、在基金财产清算过程中，基金管理人和基金托管人应各自履行职责，继续忠实、勤勉、尽责地履行基金合同和托管协议规定的义务，维护基金份额持有人的合法权益。</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6、基金财产清算程序：</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（1）《基金合同》终止情形出现时，由基金财产清算小组统一接管基金；</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（2）对基金财产和债权债务进行清理和确认；</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（3）对基金财产进行估值和变现；</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（4）制作清算报告；</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（5）聘请会计师事务所对清算报告进行外部审计，聘请律师事务所对清算报告出具法律意见书；</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（6）将清算报告报中国证监会备案并公告；</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（7）对基金剩余财产进行分配。</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7、基金财产清算的期限为6个月，但因本基金所持证券的流动性受到限制而不能及时变现的，清算期限可相应顺延。</w:t>
      </w:r>
    </w:p>
    <w:p>
      <w:pPr>
        <w:adjustRightInd w:val="0"/>
        <w:snapToGrid w:val="0"/>
        <w:spacing w:line="360" w:lineRule="auto"/>
        <w:ind w:firstLine="422" w:firstLineChars="200"/>
        <w:rPr>
          <w:rFonts w:asciiTheme="minorEastAsia" w:hAnsiTheme="minorEastAsia" w:eastAsiaTheme="minorEastAsia"/>
          <w:b/>
          <w:bCs/>
        </w:rPr>
      </w:pPr>
      <w:r>
        <w:rPr>
          <w:rFonts w:hint="eastAsia" w:asciiTheme="minorEastAsia" w:hAnsiTheme="minorEastAsia" w:eastAsiaTheme="minorEastAsia"/>
          <w:b/>
          <w:bCs/>
        </w:rPr>
        <w:t>四、清算费用</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清算费用是指基金财产清算小组在进行基金清算过程中发生的所有合理费用，清算费用由基金财产清算小组优先从基金剩余财产中支付。</w:t>
      </w:r>
    </w:p>
    <w:p>
      <w:pPr>
        <w:adjustRightInd w:val="0"/>
        <w:snapToGrid w:val="0"/>
        <w:spacing w:line="360" w:lineRule="auto"/>
        <w:ind w:firstLine="422" w:firstLineChars="200"/>
        <w:rPr>
          <w:rFonts w:asciiTheme="minorEastAsia" w:hAnsiTheme="minorEastAsia" w:eastAsiaTheme="minorEastAsia"/>
          <w:b/>
          <w:bCs/>
        </w:rPr>
      </w:pPr>
      <w:r>
        <w:rPr>
          <w:rFonts w:hint="eastAsia" w:asciiTheme="minorEastAsia" w:hAnsiTheme="minorEastAsia" w:eastAsiaTheme="minorEastAsia"/>
          <w:b/>
          <w:bCs/>
        </w:rPr>
        <w:t>五、基金财产清算剩余资产的分配</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依据基金财产清算的分配方案，将基金财产清算后的全部剩余资产扣除基金财产清算费用、交纳所欠税款并清偿基金债务后，按基金份额持有人持有的各类基金份额比例进行分配。</w:t>
      </w:r>
    </w:p>
    <w:p>
      <w:pPr>
        <w:adjustRightInd w:val="0"/>
        <w:snapToGrid w:val="0"/>
        <w:spacing w:line="360" w:lineRule="auto"/>
        <w:ind w:firstLine="422" w:firstLineChars="200"/>
        <w:rPr>
          <w:rFonts w:asciiTheme="minorEastAsia" w:hAnsiTheme="minorEastAsia" w:eastAsiaTheme="minorEastAsia"/>
          <w:b/>
          <w:bCs/>
        </w:rPr>
      </w:pPr>
      <w:r>
        <w:rPr>
          <w:rFonts w:hint="eastAsia" w:asciiTheme="minorEastAsia" w:hAnsiTheme="minorEastAsia" w:eastAsiaTheme="minorEastAsia"/>
          <w:b/>
          <w:bCs/>
        </w:rPr>
        <w:t>六、基金财产清算的公告</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djustRightInd w:val="0"/>
        <w:snapToGrid w:val="0"/>
        <w:spacing w:line="360" w:lineRule="auto"/>
        <w:ind w:firstLine="422" w:firstLineChars="200"/>
        <w:rPr>
          <w:rFonts w:asciiTheme="minorEastAsia" w:hAnsiTheme="minorEastAsia" w:eastAsiaTheme="minorEastAsia"/>
          <w:b/>
          <w:bCs/>
        </w:rPr>
      </w:pPr>
      <w:r>
        <w:rPr>
          <w:rFonts w:hint="eastAsia" w:asciiTheme="minorEastAsia" w:hAnsiTheme="minorEastAsia" w:eastAsiaTheme="minorEastAsia"/>
          <w:b/>
          <w:bCs/>
        </w:rPr>
        <w:t>七、基金财产清算账册及文件的保存</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基金财产清算账册及有关文件由基金托管人保存，保存期限不低于法律法规规定的最低期限。</w:t>
      </w:r>
    </w:p>
    <w:p>
      <w:pPr>
        <w:adjustRightInd w:val="0"/>
        <w:snapToGrid w:val="0"/>
        <w:spacing w:line="360" w:lineRule="auto"/>
        <w:ind w:firstLine="422" w:firstLineChars="200"/>
        <w:rPr>
          <w:rFonts w:asciiTheme="minorEastAsia" w:hAnsiTheme="minorEastAsia" w:eastAsiaTheme="minorEastAsia"/>
          <w:b/>
          <w:bCs/>
        </w:rPr>
      </w:pPr>
      <w:r>
        <w:rPr>
          <w:rFonts w:hint="eastAsia" w:asciiTheme="minorEastAsia" w:hAnsiTheme="minorEastAsia" w:eastAsiaTheme="minorEastAsia"/>
          <w:b/>
          <w:bCs/>
        </w:rPr>
        <w:t>八、基金合并</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本基金与其他基金的合并应当按照法律法规规定的程序进行。</w:t>
      </w:r>
    </w:p>
    <w:bookmarkEnd w:id="189"/>
    <w:p>
      <w:pPr>
        <w:widowControl/>
        <w:snapToGrid w:val="0"/>
        <w:spacing w:line="360" w:lineRule="auto"/>
        <w:jc w:val="left"/>
        <w:rPr>
          <w:color w:val="000000"/>
        </w:rPr>
        <w:sectPr>
          <w:footerReference r:id="rId29" w:type="first"/>
          <w:pgSz w:w="11906" w:h="16838"/>
          <w:pgMar w:top="1440" w:right="1800" w:bottom="1440" w:left="1800" w:header="851" w:footer="992" w:gutter="0"/>
          <w:cols w:space="425" w:num="1"/>
          <w:titlePg/>
          <w:docGrid w:type="lines" w:linePitch="312" w:charSpace="0"/>
        </w:sectPr>
      </w:pPr>
    </w:p>
    <w:p>
      <w:pPr>
        <w:pStyle w:val="3"/>
        <w:numPr>
          <w:ilvl w:val="0"/>
          <w:numId w:val="25"/>
        </w:numPr>
        <w:snapToGrid w:val="0"/>
        <w:spacing w:before="0" w:after="0" w:line="360" w:lineRule="auto"/>
        <w:jc w:val="center"/>
      </w:pPr>
      <w:bookmarkStart w:id="190" w:name="_Toc327902640"/>
      <w:bookmarkStart w:id="191" w:name="_Toc332013128"/>
      <w:bookmarkStart w:id="192" w:name="_Toc336606245"/>
      <w:bookmarkStart w:id="193" w:name="_Toc335899851"/>
      <w:bookmarkStart w:id="194" w:name="_Toc375295991"/>
      <w:bookmarkStart w:id="195" w:name="_Toc411872040"/>
      <w:bookmarkStart w:id="196" w:name="_Toc32137"/>
      <w:bookmarkStart w:id="197" w:name="_Toc28504"/>
      <w:bookmarkStart w:id="198" w:name="_Toc369510026"/>
      <w:r>
        <w:rPr>
          <w:rFonts w:hint="eastAsia"/>
        </w:rPr>
        <w:t>基金合同的内容摘要</w:t>
      </w:r>
      <w:bookmarkEnd w:id="190"/>
      <w:bookmarkEnd w:id="191"/>
      <w:bookmarkEnd w:id="192"/>
      <w:bookmarkEnd w:id="193"/>
      <w:bookmarkEnd w:id="194"/>
      <w:bookmarkEnd w:id="195"/>
      <w:bookmarkEnd w:id="196"/>
      <w:bookmarkEnd w:id="197"/>
      <w:bookmarkEnd w:id="198"/>
    </w:p>
    <w:p>
      <w:pPr>
        <w:adjustRightInd w:val="0"/>
        <w:snapToGrid w:val="0"/>
        <w:spacing w:line="360" w:lineRule="auto"/>
        <w:ind w:firstLine="426" w:firstLineChars="202"/>
        <w:rPr>
          <w:rFonts w:asciiTheme="minorEastAsia" w:hAnsiTheme="minorEastAsia" w:eastAsiaTheme="minorEastAsia"/>
          <w:szCs w:val="21"/>
        </w:rPr>
      </w:pPr>
      <w:bookmarkStart w:id="199" w:name="_Hlk114658654"/>
      <w:r>
        <w:rPr>
          <w:rFonts w:hint="eastAsia" w:asciiTheme="minorEastAsia" w:hAnsiTheme="minorEastAsia" w:eastAsiaTheme="minorEastAsia"/>
          <w:b/>
          <w:bCs/>
          <w:szCs w:val="21"/>
        </w:rPr>
        <w:t>一、基金份额持有人、基金管理人和基金托管人的权利、义务</w:t>
      </w:r>
    </w:p>
    <w:p>
      <w:pPr>
        <w:adjustRightInd w:val="0"/>
        <w:snapToGrid w:val="0"/>
        <w:spacing w:line="360" w:lineRule="auto"/>
        <w:ind w:firstLine="424" w:firstLineChars="202"/>
        <w:rPr>
          <w:rFonts w:asciiTheme="minorEastAsia" w:hAnsiTheme="minorEastAsia" w:eastAsiaTheme="minorEastAsia"/>
          <w:szCs w:val="21"/>
        </w:rPr>
      </w:pPr>
      <w:r>
        <w:rPr>
          <w:rFonts w:hint="eastAsia" w:asciiTheme="minorEastAsia" w:hAnsiTheme="minorEastAsia" w:eastAsiaTheme="minorEastAsia"/>
          <w:szCs w:val="21"/>
        </w:rPr>
        <w:t>（一）基金管理人的权利与义务</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1、根据《基金法》、《运作办法》及其他有关规定，基金管理人的权利包括但不限于：</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（1）依法募集资金；</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（2）自《基金合同》生效之日起，根据法律法规和《基金合同》独立运用并管理基金财产；</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（3）依照《基金合同》收取基金管理费以及法律法规规定或中国证监会批准的其他费用；</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（4）销售基金份额；</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（5）按照规定召集基金份额持有人大会；</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（6）依据《基金合同》及有关法律规定监督基金托管人，如认为基金托管人违反了《基金合同》及国家有关法律规定，应呈报中国证监会和其他监管部门，并采取必要措施保护基金投资者的利益；</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（7）在基金托管人更换时，提名新的基金托管人；</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 xml:space="preserve">（8）选择、更换基金销售机构，对基金销售机构的相关行为进行监督和处理； </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 xml:space="preserve">（9）担任或委托其他符合条件的机构担任基金登记机构办理基金登记业务并获得《基金合同》规定的费用； </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（10）依据《基金合同》及有关法律规定决定基金收益的分配方案；</w:t>
      </w:r>
      <w:r>
        <w:rPr>
          <w:rFonts w:hint="eastAsia" w:asciiTheme="minorEastAsia" w:hAnsiTheme="minorEastAsia" w:eastAsiaTheme="minorEastAsia"/>
        </w:rPr>
        <w:tab/>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 xml:space="preserve">（11）在《基金合同》约定的范围内，拒绝或暂停受理申购、赎回与转换申请； </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（12）依照法律法规为基金的利益对被投资公司行使股东权利，为基金的利益行使因基金财产投资于证券所产生的权利；</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（13）在法律法规</w:t>
      </w:r>
      <w:r>
        <w:rPr>
          <w:rFonts w:hint="eastAsia" w:asciiTheme="minorEastAsia" w:hAnsiTheme="minorEastAsia" w:eastAsiaTheme="minorEastAsia"/>
          <w:lang w:eastAsia="zh-Hans"/>
        </w:rPr>
        <w:t>允许</w:t>
      </w:r>
      <w:r>
        <w:rPr>
          <w:rFonts w:hint="eastAsia" w:asciiTheme="minorEastAsia" w:hAnsiTheme="minorEastAsia" w:eastAsiaTheme="minorEastAsia"/>
        </w:rPr>
        <w:t>的前提下，为基金的利益依法为基金进行融资及转融通证券出借业务；</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（14）以基金管理人的名义，代表基金份额持有人的利益行使诉讼权利或者实施其他法律行为；</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（15）选择、更换律师事务所、会计师事务所、证券、期货经纪商或其他为基金提供服务的外部机构；</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（16）在符合有关法律、法规的前提下，制订和调整有关基金认购、申购、赎回、转换、定期定额投资和非交易过户等业务规则；</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（17）法律法规及中国证监会规定的和《基金合同》约定的其他权利。</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2、根据《基金法》、《运作办法》及其他有关规定，基金管理人的义务包括但不限于：</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（1）依法募集资金，办理或者委托经中国证监会认定的其他机构代为办理基金份额的发售、申购、赎回和登记事宜；</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（2）办理基金备案手续；</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（3）自《基金合同》生效之日起，以诚实信用、谨慎勤勉的原则管理和运用基金财产；</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（4）配备足够的具有专业资格的人员进行基金投资分析、决策，以专业化的经营方式管理和运作基金财产；</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（5）建立健全内部风险控制、监察与稽核、财务管理及人事管理等制度，保证所管理的基金财产和基金管理人的财产相互独立，对所管理的不同基金分别管理，分别记账，进行证券投资；</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（6）除依据《基金法》、《基金合同》及其他有关规定外，不得利用基金财产为自己及任何第三人谋取利益，不得委托第三人运作基金财产；</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（7）依法接受基金托管人的监督；</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（8）采取适当合理的措施使计算基金份额认购、申购、赎回和注销价格的方法符合《基金合同》等法律文件的规定，按有关规定计算并公告基金净值信息，确定基金份额申购、赎回的价格；</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（9）进行基金会计核算并编制基金财务会计报告；</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（10）编制季度报告、中期报告和年度报告；</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（11）严格按照《基金法》、《基金合同》及其他有关规定，履行信息披露及报告义务；</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（13）按《基金合同》的约定确定基金收益分配方案，及时向基金份额持有人分配基金收益；</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（14）按规定受理申购与赎回申请，及时、足额支付赎回款项；</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（15）依据《基金法》、《基金合同》及其他有关规定召集基金份额持有人大会或配合基金托管人、基金份额持有人依法召集基金份额持有人大会；</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（16）按规定保存基金财产管理业务活动的会计账册、报表、记录和其他相关资料，保存期限不低于法律法规规定的最低期限；</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（18）组织并参加基金财产清算小组，参与基金财产的保管、清理、估价、变现和分配；</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（19）面临解散、依法被撤销或者被依法宣告破产时，及时报告中国证监会并通知基金托管人；</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（20）因违反《基金合同》导致基金财产的损失或损害基金份额持有人合法权益时，应当承担赔偿责任，其赔偿责任不因其退任而免除；</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（21）监督基金托管人按法律法规和《基金合同》规定履行自己的义务，基金托管人违反《基金合同》造成基金财产损失时，基金管理人应为基金份额持有人利益向基金托管人追偿；</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（22）当基金管理人将其义务委托第三方处理时，应当对第三方处理有关基金事务的行为承担责任；</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（23）以基金管理人名义，代表基金份额持有人利益行使诉讼权利或实施其他法律行为；</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（24）基金在募集期间未能达到基金的备案条件，《基金合同》不能生效，基金管理人承担全部募集费用，将已募集资金并加计银行同期活期存款利息在基金募集期结束后30日内退还基金认购人；</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（25）执行生效的基金份额持有人大会的决议；</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（26）建立并保存基金份额持有人名册；</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（27）法律法规及中国证监会规定的和《基金合同》约定的其他义务。</w:t>
      </w:r>
    </w:p>
    <w:p>
      <w:pPr>
        <w:adjustRightInd w:val="0"/>
        <w:snapToGrid w:val="0"/>
        <w:spacing w:line="360" w:lineRule="auto"/>
        <w:ind w:firstLine="424" w:firstLineChars="202"/>
        <w:rPr>
          <w:rFonts w:asciiTheme="minorEastAsia" w:hAnsiTheme="minorEastAsia" w:eastAsiaTheme="minorEastAsia"/>
          <w:szCs w:val="21"/>
        </w:rPr>
      </w:pPr>
      <w:r>
        <w:rPr>
          <w:rFonts w:hint="eastAsia" w:asciiTheme="minorEastAsia" w:hAnsiTheme="minorEastAsia" w:eastAsiaTheme="minorEastAsia"/>
          <w:szCs w:val="21"/>
        </w:rPr>
        <w:t>（二）基金托管人的权利与义务</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1、根据《基金法》、《运作办法》及其他有关规定，基金托管人的权利包括但不限于：</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（1）自《基金合同》生效之日起，依法律法规和《基金合同》的规定安全保管基金财产；</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（2）依《基金合同》约定获得基金托管费以及法律法规规定或监管部门批准的其他费用；</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（4）根据相关市场规则，为基金开设托管账户、证券账户等投资所需账户，为基金办理证券、期货交易资金清算；</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（5）提议召开或召集基金份额持有人大会；</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（6）在基金管理人更换时，提名新的基金管理人；</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（7）法律法规及中国证监会规定的和《基金合同》约定的其他权利。</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2、根据《基金法》、《运作办法》及其他有关规定，基金托管人的义务包括但不限于：</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（1）以诚实信用、勤勉尽责的原则持有并安全保管基金财产；</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（2）设立专门的基金托管部门，具有符合要求的营业场所，配备足够的、合格的熟悉基金托管业务的专职人员，负责基金财产托管事宜；</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（4）除依据《基金法》、《基金合同》及其他有关规定外，不得利用基金财产为自己及任何第三人谋取利益，不得委托第三人托管基金财产；</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（5）保管由基金管理人代表基金签订的与基金有关的重大合同及有关凭证；</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（6）按规定开设基金财产的托管账户和证券账户等投资所需账户，按照《基金合同》的约定，根据基金管理人的投资指令，及时办理清算、交割事宜；</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7）保守基金商业秘密，除《基金法》、《基金合同》及其他有关规定另有规定外，在基金信息公开披露前予以保密，不得向他人泄露，但因监管机构、司法机关等有权机关要求，或因审计、法律等外部专业顾问提供服务需要提供的情况除外；</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（8）复核、审查基金管理人计算的基金资产净值、各类基金份额净值、基金份额申购、赎回价格；</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（9）办理与基金托管业务活动有关的信息披露事项；</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（11）保存基金托管业务活动的记录、账册、报表和其他相关资料不低于法律法规规定的最低期限；</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（12）保存基金份额持有人名册；</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（13）按规定制作相关账册并与基金管理人核对；</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（14）依据基金管理人的指令或有关规定向基金份额持有人支付基金收益和赎回款项；</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（15）依据《基金法》、《基金合同》及其他有关规定，召集基金份额持有人大会或配合基金管理人、基金份额持有人依法召集基金份额持有人大会；</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（16）按照法律法规和《基金合同》的规定监督基金管理人的投资运作；</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（17）参加基金财产清算小组，参与基金财产的保管、清理、估价、变现和分配；</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（18）面临解散、依法被撤销或者被依法宣告破产时，及时报告中国证监会和银行业监督管理机构，并通知基金管理人；</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（19）因违反《基金合同》导致基金财产损失时，应承担赔偿责任，其赔偿责任不因其退任而免除；</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（20）按规定监督基金管理人按法律法规和《基金合同》规定履行自己的义务，基金管理人因违反《基金合同》造成基金财产损失时，应为基金份额持有人利益向基金管理人追偿；</w:t>
      </w:r>
    </w:p>
    <w:p>
      <w:pPr>
        <w:adjustRightInd w:val="0"/>
        <w:snapToGrid w:val="0"/>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（21）执行生效的基金份额持有人大会的决议；</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（22）法律法规及中国证监会规定的和《基金合同》约定的其他义务。</w:t>
      </w:r>
    </w:p>
    <w:p>
      <w:pPr>
        <w:autoSpaceDE w:val="0"/>
        <w:autoSpaceDN w:val="0"/>
        <w:adjustRightInd w:val="0"/>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rPr>
        <w:t>（三）基金份额持有人的</w:t>
      </w:r>
      <w:r>
        <w:rPr>
          <w:rFonts w:hint="eastAsia" w:asciiTheme="minorEastAsia" w:hAnsiTheme="minorEastAsia" w:eastAsiaTheme="minorEastAsia"/>
          <w:szCs w:val="21"/>
        </w:rPr>
        <w:t>权利与义务</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除法律法规另有规定或本基金合同另有约定外，同一类别每份基金份额具有同等的合法权益。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1、根据《基金法》、《运作办法》及其他有关规定，基金份额持有人的权利包括但不限于：</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（1）分享基金财产收益；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（2）参与分配清算后的剩余基金财产；</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（3）依法转让或者申请赎回其持有的基金份额；</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（4）按照规定要求召开基金份额持有人大会或者召集基金份额持有人大会；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（5）出席或者委派代表出席基金份额持有人大会，对基金份额持有人大会审议事项行使表决权；</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（6）查阅或者复制公开披露的基金信息资料；</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（7）监督基金管理人的投资运作；</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（8）对基金管理人、基金托管人、基金服务机构损害其合法权益的行为依法提起诉讼或仲裁；</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（9）法律法规及中国证监会规定的和《基金合同》约定的其他权利。</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2、根据《基金法》、《运作办法》及其他有关规定，基金份额持有人的义务包括但不限于：</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（1）认真阅读并遵守《基金合同》、招募说明书等信息披露文件；</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（2）了解所投资基金产品，了解自身风险承受能力，自主判断基金的投资价值，自主做出投资决策，自行承担投资风险；</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（3）关注基金信息披露，及时行使权利和履行义务；</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（4）交纳基金认购、申购款项及法律法规和《基金合同》所规定的费用；</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（5）在其持有的基金份额范围内，承担基金亏损或者《基金合同》终止的有限责任；</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（6）不从事任何有损基金及其他《基金合同》当事人合法权益的活动；</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（7）执行生效的基金份额持有人大会的决议；</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（8）返还在基金交易过程中因任何原因获得的不当得利；</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（9）发起资金提供方持有认购的基金份额不少于3年，法律法规或监管机构另有规定的除外；</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（10）法律法规及中国证监会规定的和《基金合同》约定的其他义务。</w:t>
      </w:r>
    </w:p>
    <w:p>
      <w:pPr>
        <w:autoSpaceDE w:val="0"/>
        <w:autoSpaceDN w:val="0"/>
        <w:adjustRightInd w:val="0"/>
        <w:spacing w:line="360" w:lineRule="auto"/>
        <w:ind w:firstLine="422" w:firstLineChars="200"/>
        <w:rPr>
          <w:rFonts w:asciiTheme="minorEastAsia" w:hAnsiTheme="minorEastAsia" w:eastAsiaTheme="minorEastAsia"/>
          <w:b/>
        </w:rPr>
      </w:pPr>
      <w:r>
        <w:rPr>
          <w:rFonts w:hint="eastAsia" w:asciiTheme="minorEastAsia" w:hAnsiTheme="minorEastAsia" w:eastAsiaTheme="minorEastAsia"/>
          <w:b/>
        </w:rPr>
        <w:t>二、基金份额持有人大会召集、议事及表决的程序和规则</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本基金份额持有人大会不设日常机构。</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（一）召开事由</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1、除法律法规和中国证监会另有规定或《基金合同》另有约定外，当出现或需要决定下列事由之一的，应当召开基金份额持有人大会：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（1）终止《基金合同》；</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（2）更换基金管理人；</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（3）更换基金托管人；</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（4）转换基金运作方式；</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（5）调整基金管理人、基金托管人的报酬标准或提高销售服务费率；</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（6）变更基金类别；</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（7）本基金与其他基金的合并；</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（8）变更基金投资目标、范围或策略；</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（9）变更基金份额持有人大会程序；</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（10）基金管理人或基金托管人要求召开基金份额持有人大会；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（12）对基金合同当事人权利和义务产生重大影响的其他事项；</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（13）法律法规、《基金合同》或中国证监会规定的其他应当召开基金份额持有人大会的事项。</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2、在法律法规规定和《基金合同》约定的范围内且对基金份额持有人利益无实质性不利影响的前提下，以下情况可由基金管理人和基金托管人协商后修改，不需召开基金份额持有人大会：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（1）法律法规要求增加的基金费用的收取；</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（2）调整本基金的申购费率、调低赎回费率、调低销售服务费率或变更收费方式，调整基金份额类别设置、对基金份额分类办法及规则进行调整；</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（3）因相应的法律法规发生变动而应当对《基金合同》进行修改；</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（4）对《基金合同》的修改对基金份额持有人利益无实质性不利影响或修改不涉及《基金合同》当事人权利义务关系发生重大变化；</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（5）基金管理人、登记机构、基金销售机构调整有关申购、赎回、转换、基金交易、非交易过户、转托管等业务规则；</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（6）履行相关程序后，基金推出新业务或服务；</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（7）按照法律法规和《基金合同》规定不需召开基金份额持有人大会的其他情形。</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（二）会议召集人及召集方式</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1、除法律法规规定或《基金合同》另有约定外，基金份额持有人大会由基金管理人召集。</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2、基金管理人未按规定召集或不能召集时，由基金托管人召集。</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6、基金份额持有人会议的召集人负责选择确定开会时间、地点、方式和权益登记日。</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（三）召开基金份额持有人大会的通知时间、通知内容、通知方式</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1、召开基金份额持有人大会，召集人应于会议召开前30日，在规定媒介公告。基金份额持有人大会通知应至少载明以下内容：</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（1）会议召开的时间、地点和会议形式；</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（2）会议拟审议的事项、议事程序和表决方式；</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（3）有权出席基金份额持有人大会的基金份额持有人的权益登记日；</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（4）授权委托证明的内容要求（包括但不限于代理人身份，代理权限和代理有效期限等）、送达时间和地点；</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（5）会务常设联系人姓名及联系电话；</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（6）出席会议者必须准备的文件和必须履行的手续；</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（7）召集人需要通知的其他事项。</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（四）基金份额持有人出席会议的方式</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基金份额持有人大会可通过现场开会方式、通讯开会方式或法律法规、监管机构允许的其他方式召开，会议的召开方式由会议召集人确定。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在同时符合以下条件时，通讯开会的方式视为有效：</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（1）会议召集人按《基金合同》约定公布会议通知后，在2个工作日内连续公布相关提示性公告；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（五）议事内容与程序</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1、议事内容及提案权</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基金份额持有人大会的召集人发出召集会议的通知后，对原有提案的修改应当在基金份额持有人大会召开前及时公告。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基金份额持有人大会不得对未事先公告的议事内容进行表决。</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2、议事程序</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（1）现场开会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（2）通讯开会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（六）表决</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基金份额持有人所持每份基金份额有一票表决权。</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基金份额持有人大会决议分为一般决议和特别决议：</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基金份额持有人大会采取记名方式进行投票表决。</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基金份额持有人大会的各项提案或同一项提案内并列的各项议题应当分开审议、逐项表决。</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（七）计票</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1、现场开会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（2）监票人应当在基金份额持有人表决后立即进行清点并由大会主持人当场公布计票结果。</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（4）计票过程应由公证机关予以公证，基金管理人或基金托管人拒不出席大会的，不影响计票的效力。</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2、通讯开会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（八）生效与公告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基金份额持有人大会的决议，召集人应当自通过之日起5日内报中国证监会备案。</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基金份额持有人大会的决议自表决通过之日起生效。</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基金份额持有人大会决议自生效之日起按规定在规定媒介上公告。如果采用通讯方式进行表决，在公告基金份额持有人大会决议时，必须将公证书全文、公证机构、公证员姓名等一同公告。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（九）实施侧袋机制期间基金份额持有人大会的特殊约定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1、基金份额持有人行使提议权、召集权、提名权所需单独或合计代表相关基金份额10%以上（含10%）；</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2、现场开会的到会者在权益登记日代表的基金份额不少于本基金在权益登记日相关基金份额的二分之一（含二分之一）；</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5、现场开会由出席大会的基金份额持有人和代理人所持表决权的50%以上（含50%）选举产生一名基金份额持有人作为该次基金份额持有人大会的主持人；</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6、一般决议须经参加大会的基金份额持有人或其代理人所持表决权的二分之一以上（含二分之一）通过；</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7、特别决议应当经参加大会的基金份额持有人或其代理人所持表决权的三分之二以上（含三分之二）通过。</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侧袋机制实施期间，基金份额持有人大会审议事项涉及主袋账户和侧袋账户的，应分别由主袋账户、侧袋账户的基金份额持有人进行表决，同一主侧袋账户内的同一类别每份基金份额具有平等的表决权。表决事项未涉及侧袋账户的，侧袋账户份额无表决权。</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侧袋机制实施期间，关于基金份额持有人大会的相关规定以本节特殊约定内容为准，本节没有规定的适用上文相关约定。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pPr>
        <w:autoSpaceDE w:val="0"/>
        <w:autoSpaceDN w:val="0"/>
        <w:adjustRightInd w:val="0"/>
        <w:spacing w:line="360" w:lineRule="auto"/>
        <w:ind w:firstLine="422" w:firstLineChars="200"/>
        <w:rPr>
          <w:rFonts w:asciiTheme="minorEastAsia" w:hAnsiTheme="minorEastAsia" w:eastAsiaTheme="minorEastAsia"/>
          <w:b/>
        </w:rPr>
      </w:pPr>
      <w:r>
        <w:rPr>
          <w:rFonts w:hint="eastAsia" w:asciiTheme="minorEastAsia" w:hAnsiTheme="minorEastAsia" w:eastAsiaTheme="minorEastAsia"/>
          <w:b/>
        </w:rPr>
        <w:t>三、基金合同的变更、终止与基金财产的清算</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（一）《基金合同》的变更</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2、关于《基金合同》变更的基金份额持有人大会决议自生效后方可执行，自决议生效后按规定在规定媒介公告。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（二）《基金合同》的终止事由</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有下列情形之一的，经履行相关程序后，《基金合同》应当终止：</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1、基金份额持有人大会决定终止的；</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2、基金管理人、基金托管人职责终止，在6个月内没有新基金管理人、新基金托管人承接的；</w:t>
      </w:r>
    </w:p>
    <w:p>
      <w:pPr>
        <w:autoSpaceDE w:val="0"/>
        <w:autoSpaceDN w:val="0"/>
        <w:adjustRightIn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、《基金合同》约定的其他情形；</w:t>
      </w:r>
    </w:p>
    <w:p>
      <w:pPr>
        <w:autoSpaceDE w:val="0"/>
        <w:autoSpaceDN w:val="0"/>
        <w:adjustRightIn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w:t>
      </w:r>
      <w:r>
        <w:rPr>
          <w:rFonts w:hint="eastAsia" w:asciiTheme="minorEastAsia" w:hAnsiTheme="minorEastAsia" w:eastAsiaTheme="minorEastAsia"/>
        </w:rPr>
        <w:t>、相关法律法规和中国证监会规定的其他情况。</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（三）基金财产的清算</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1、基金财产清算小组：自出现《基金合同》终止事由之日起30个工作日内由基金管理人发起成立基金财产清算小组，基金管理人组织基金财产清算小组并在中国证监会的监督下进行基金清算。</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2、在基金财产清算小组接管基金财产之前，基金管理人和基金托管人应按照《基金合同》和托管协议的规定继续履行保护基金财产安全的职责。</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4、基金财产清算小组职责：基金财产清算小组负责基金财产的保管、清理、估价、变现和分配。基金财产清算小组可以依法进行必要的民事活动。</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5、在基金财产清算过程中，基金管理人和基金托管人应各自履行职责，继续忠实、勤勉、尽责地履行基金合同和托管协议规定的义务，维护基金份额持有人的合法权益。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6、基金财产清算程序：</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（1）《基金合同》终止情形出现时，由基金财产清算小组统一接管基金；</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（2）对基金财产和债权债务进行清理和确认；</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（3）对基金财产进行估值和变现；</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（4）制作清算报告；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（5）聘请会计师事务所对清算报告进行外部审计，聘请律师事务所对清算报告出具法律意见书；</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（6）将清算报告报中国证监会备案并公告；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（7）对基金剩余财产进行分配。</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7、基金财产清算的期限为6个月，但因本基金所持证券的流动性受到限制而不能及时变现的，清算期限可相应顺延。</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（四）清算费用</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清算费用是指基金财产清算小组在进行基金清算过程中发生的所有合理费用，清算费用由基金财产清算小组优先从基金剩余财产中支付。</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（五）基金财产清算剩余资产的分配</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依据基金财产清算的分配方案，将基金财产清算后的全部剩余资产扣除基金财产清算费用、交纳所欠税款并清偿基金债务后，按基金份额持有人持有的各类基金份额比例进行分配。</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（六）基金财产清算的公告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（七）基金财产清算账册及文件的保存</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基金财产清算账册及有关文件由基金托管人保存，保存期限不低于法律法规规定的最低期限。</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（八）基金合并</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本基金与其他基金的合并应当按照法律法规规定的程序进行。</w:t>
      </w:r>
    </w:p>
    <w:p>
      <w:pPr>
        <w:autoSpaceDE w:val="0"/>
        <w:autoSpaceDN w:val="0"/>
        <w:adjustRightInd w:val="0"/>
        <w:spacing w:line="360" w:lineRule="auto"/>
        <w:ind w:firstLine="422" w:firstLineChars="200"/>
        <w:rPr>
          <w:rFonts w:asciiTheme="minorEastAsia" w:hAnsiTheme="minorEastAsia" w:eastAsiaTheme="minorEastAsia"/>
          <w:b/>
          <w:lang w:eastAsia="zh-Hans"/>
        </w:rPr>
      </w:pPr>
      <w:r>
        <w:rPr>
          <w:rFonts w:hint="eastAsia" w:asciiTheme="minorEastAsia" w:hAnsiTheme="minorEastAsia" w:eastAsiaTheme="minorEastAsia"/>
          <w:b/>
        </w:rPr>
        <w:t>四、争议的处理</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各方当事人同意，因《基金合同》而产生的或与《基金合同》有关的一切争议，如不愿或者不能通过协商、调解解决的，应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争议处理期间，基金管理人、基金托管人应恪守基金管理人和基金托管人的职责，各自继续忠实、勤勉、尽责地履行基金合同和基金托管协议规定的义务，维护基金份额持有人的合法权益。</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《基金合同》受中国法律（为本基金合同之目的，在此不包括香港、澳门特别行政区和台湾地区法律）管辖并从其解释。</w:t>
      </w:r>
    </w:p>
    <w:p>
      <w:pPr>
        <w:autoSpaceDE w:val="0"/>
        <w:autoSpaceDN w:val="0"/>
        <w:adjustRightInd w:val="0"/>
        <w:spacing w:line="360" w:lineRule="auto"/>
        <w:ind w:firstLine="422" w:firstLineChars="200"/>
        <w:rPr>
          <w:rFonts w:asciiTheme="minorEastAsia" w:hAnsiTheme="minorEastAsia" w:eastAsiaTheme="minorEastAsia"/>
          <w:b/>
        </w:rPr>
      </w:pPr>
      <w:r>
        <w:rPr>
          <w:rFonts w:hint="eastAsia" w:asciiTheme="minorEastAsia" w:hAnsiTheme="minorEastAsia" w:eastAsiaTheme="minorEastAsia"/>
          <w:b/>
        </w:rPr>
        <w:t>五、基金合同存放地和投资者取得合同的方式</w:t>
      </w:r>
    </w:p>
    <w:p>
      <w:pPr>
        <w:adjustRightInd w:val="0"/>
        <w:snapToGrid w:val="0"/>
        <w:spacing w:before="156" w:beforeLines="50" w:line="360" w:lineRule="auto"/>
        <w:ind w:firstLine="420" w:firstLineChars="200"/>
        <w:rPr>
          <w:rFonts w:ascii="宋体"/>
          <w:color w:val="000000"/>
          <w:szCs w:val="21"/>
        </w:rPr>
        <w:sectPr>
          <w:footerReference r:id="rId30" w:type="first"/>
          <w:pgSz w:w="11906" w:h="16838"/>
          <w:pgMar w:top="1440" w:right="1800" w:bottom="1440" w:left="1800" w:header="851" w:footer="992" w:gutter="0"/>
          <w:cols w:space="425" w:num="1"/>
          <w:titlePg/>
          <w:docGrid w:type="lines" w:linePitch="312" w:charSpace="0"/>
        </w:sectPr>
      </w:pPr>
      <w:r>
        <w:rPr>
          <w:rFonts w:hint="eastAsia" w:asciiTheme="minorEastAsia" w:hAnsiTheme="minorEastAsia" w:eastAsiaTheme="minorEastAsia"/>
        </w:rPr>
        <w:t>《基金合同》可印制成册，供投资者在基金管理人、基金托管人、销售机构的办公场所和营业场所查阅</w:t>
      </w:r>
      <w:bookmarkEnd w:id="199"/>
      <w:r>
        <w:rPr>
          <w:rFonts w:hint="eastAsia" w:asciiTheme="minorEastAsia" w:hAnsiTheme="minorEastAsia" w:eastAsiaTheme="minorEastAsia"/>
        </w:rPr>
        <w:t>。</w:t>
      </w:r>
    </w:p>
    <w:p>
      <w:pPr>
        <w:pStyle w:val="3"/>
        <w:numPr>
          <w:ilvl w:val="0"/>
          <w:numId w:val="25"/>
        </w:numPr>
        <w:snapToGrid w:val="0"/>
        <w:spacing w:before="0" w:after="0" w:line="360" w:lineRule="auto"/>
        <w:jc w:val="center"/>
      </w:pPr>
      <w:bookmarkStart w:id="200" w:name="_Toc4286"/>
      <w:bookmarkStart w:id="201" w:name="_Toc375295992"/>
      <w:bookmarkStart w:id="202" w:name="_Toc336606246"/>
      <w:bookmarkStart w:id="203" w:name="_Toc335899852"/>
      <w:bookmarkStart w:id="204" w:name="_Toc411872041"/>
      <w:bookmarkStart w:id="205" w:name="_Toc369510027"/>
      <w:bookmarkStart w:id="206" w:name="_Toc30246"/>
      <w:bookmarkStart w:id="207" w:name="_Toc327902641"/>
      <w:bookmarkStart w:id="208" w:name="_Toc332013129"/>
      <w:r>
        <w:rPr>
          <w:rFonts w:hint="eastAsia"/>
        </w:rPr>
        <w:t>基金托管协议的内容摘要</w:t>
      </w:r>
      <w:bookmarkEnd w:id="200"/>
      <w:bookmarkEnd w:id="201"/>
      <w:bookmarkEnd w:id="202"/>
      <w:bookmarkEnd w:id="203"/>
      <w:bookmarkEnd w:id="204"/>
      <w:bookmarkEnd w:id="205"/>
      <w:bookmarkEnd w:id="206"/>
      <w:bookmarkEnd w:id="207"/>
      <w:bookmarkEnd w:id="208"/>
    </w:p>
    <w:p>
      <w:pPr>
        <w:snapToGrid w:val="0"/>
        <w:spacing w:line="360" w:lineRule="auto"/>
        <w:ind w:firstLine="422" w:firstLineChars="200"/>
        <w:rPr>
          <w:rFonts w:asciiTheme="minorEastAsia" w:hAnsiTheme="minorEastAsia" w:eastAsiaTheme="minorEastAsia"/>
          <w:b/>
          <w:color w:val="000000"/>
          <w:szCs w:val="21"/>
        </w:rPr>
      </w:pPr>
      <w:bookmarkStart w:id="209" w:name="_Hlk114658707"/>
      <w:r>
        <w:rPr>
          <w:rFonts w:hint="eastAsia" w:asciiTheme="minorEastAsia" w:hAnsiTheme="minorEastAsia" w:eastAsiaTheme="minorEastAsia"/>
          <w:b/>
          <w:color w:val="000000"/>
          <w:szCs w:val="21"/>
        </w:rPr>
        <w:t>一、基金托管协议当事人</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（一）基金管理人</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名称：博时基金管理有限公司</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注册地址：深圳市福田区莲花街道福新社区益田路5999号基金大厦21层</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办公地址：广东省深圳市福田区益田路5999号基金大厦21层</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邮政编码：518040</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法定代表人：江向阳</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成立日期：1998年7月13日</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批准设立机关及批准设立文号：中国证监会证监基字【1998】26号</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组织形式：有限责任公司</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注册资本：2.5亿元人民币</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存续期间：持续经营</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经营范围：基金募集；基金销售；资产管理以及中国证监会许可的其它业务</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（二）基金托管人</w:t>
      </w:r>
    </w:p>
    <w:p>
      <w:pPr>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名称：兴业银行股份有限公司</w:t>
      </w:r>
    </w:p>
    <w:p>
      <w:pPr>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住所：福建省福州市台江区江滨中大道398号兴业银行大厦</w:t>
      </w:r>
    </w:p>
    <w:p>
      <w:pPr>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法定代表人：吕家进</w:t>
      </w:r>
    </w:p>
    <w:p>
      <w:pPr>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成立时间：1988年8月22日</w:t>
      </w:r>
    </w:p>
    <w:p>
      <w:pPr>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基金托管业务批准文号：证监基金字[2005]74号</w:t>
      </w:r>
    </w:p>
    <w:p>
      <w:pPr>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组织形式：股份有限公司</w:t>
      </w:r>
    </w:p>
    <w:p>
      <w:pPr>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注册资本：207.74亿元人民币</w:t>
      </w:r>
    </w:p>
    <w:p>
      <w:pPr>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存续期间：持续经营</w:t>
      </w:r>
    </w:p>
    <w:p>
      <w:pPr>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批准设立机关及批准设立文号:中国人民银行总行,银复[1988]347号</w:t>
      </w:r>
    </w:p>
    <w:p>
      <w:pPr>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经营范围：吸收公众存款；发放短期、中期和长期贷款；办理国内外结算；办理票据承兑与贴现；发行金融债券；代理发行、代理兑付、承销政府债券；买卖政府债券、金融债券；代理发行股票以外的有价证券；买卖、代理买卖股票以外的有价证券；资产托管业务；从事同业拆借；买卖、代理买卖外汇；结汇、售汇业务；从事银行卡业务；提供信用证服务及担保；代理收付款项及代理保险业务；提供保管箱服务；财务顾问、资信调查、咨询、见证业务；经中国银行业监督管理机构批准的其他业务; 保险兼业代理业务；黄金及其制品进出口；公募证券投资基金销售；证券投资基金托管。（依法须经批准的项目，经相关部门批准后方可开展经营活动，经营项目以相关部门批准文件或许可证件为准）</w:t>
      </w:r>
    </w:p>
    <w:p>
      <w:pPr>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电话： 021-62677777</w:t>
      </w:r>
    </w:p>
    <w:p>
      <w:pPr>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传真： 021-62159217</w:t>
      </w:r>
    </w:p>
    <w:p>
      <w:pPr>
        <w:snapToGrid w:val="0"/>
        <w:spacing w:line="360" w:lineRule="auto"/>
        <w:ind w:firstLine="422" w:firstLineChars="200"/>
        <w:rPr>
          <w:rFonts w:cs="Arial" w:asciiTheme="minorEastAsia" w:hAnsiTheme="minorEastAsia" w:eastAsiaTheme="minorEastAsia"/>
          <w:b/>
          <w:szCs w:val="21"/>
        </w:rPr>
      </w:pPr>
      <w:r>
        <w:rPr>
          <w:rFonts w:hint="eastAsia" w:cs="Arial" w:asciiTheme="minorEastAsia" w:hAnsiTheme="minorEastAsia" w:eastAsiaTheme="minorEastAsia"/>
          <w:b/>
          <w:szCs w:val="21"/>
        </w:rPr>
        <w:t>二、基金托管人对基金管理人的业务监督和核查</w:t>
      </w:r>
    </w:p>
    <w:p>
      <w:pPr>
        <w:snapToGrid w:val="0"/>
        <w:spacing w:line="360" w:lineRule="auto"/>
        <w:ind w:firstLine="420" w:firstLineChars="200"/>
        <w:rPr>
          <w:rFonts w:ascii="宋体" w:hAnsi="宋体" w:cs="Arial"/>
          <w:szCs w:val="21"/>
        </w:rPr>
      </w:pPr>
      <w:r>
        <w:rPr>
          <w:rFonts w:hint="eastAsia" w:ascii="宋体" w:hAnsi="宋体" w:cs="Arial"/>
          <w:szCs w:val="21"/>
        </w:rPr>
        <w:t>（一）基金托管人对基金管理人的投资行为行使监督权</w:t>
      </w:r>
    </w:p>
    <w:p>
      <w:pPr>
        <w:snapToGrid w:val="0"/>
        <w:spacing w:line="360" w:lineRule="auto"/>
        <w:ind w:firstLine="420" w:firstLineChars="200"/>
        <w:rPr>
          <w:rFonts w:ascii="宋体" w:hAnsi="宋体" w:cs="Arial"/>
          <w:szCs w:val="21"/>
        </w:rPr>
      </w:pPr>
      <w:r>
        <w:rPr>
          <w:rFonts w:hint="eastAsia" w:ascii="宋体" w:hAnsi="宋体" w:cs="Arial"/>
          <w:szCs w:val="21"/>
        </w:rPr>
        <w:t>1、基金托管人根据有关法律法规的规定和《基金合同》的约定，对下述基金投资范围、投资对象进行监督。</w:t>
      </w:r>
    </w:p>
    <w:p>
      <w:pPr>
        <w:snapToGrid w:val="0"/>
        <w:spacing w:line="360" w:lineRule="auto"/>
        <w:ind w:firstLine="420" w:firstLineChars="200"/>
        <w:rPr>
          <w:rFonts w:ascii="宋体" w:hAnsi="宋体" w:cs="Arial"/>
          <w:szCs w:val="21"/>
        </w:rPr>
      </w:pPr>
      <w:r>
        <w:rPr>
          <w:rFonts w:hint="eastAsia" w:ascii="宋体" w:hAnsi="宋体" w:cs="Arial"/>
          <w:szCs w:val="21"/>
        </w:rPr>
        <w:t>本基金主要投资于标的指数成份股和备选成份股（含存托凭证）。</w:t>
      </w:r>
    </w:p>
    <w:p>
      <w:pPr>
        <w:snapToGrid w:val="0"/>
        <w:spacing w:line="360" w:lineRule="auto"/>
        <w:ind w:firstLine="420" w:firstLineChars="200"/>
        <w:rPr>
          <w:rFonts w:ascii="宋体" w:hAnsi="宋体" w:cs="Arial"/>
          <w:szCs w:val="21"/>
        </w:rPr>
      </w:pPr>
      <w:r>
        <w:rPr>
          <w:rFonts w:hint="eastAsia" w:ascii="宋体" w:hAnsi="宋体" w:cs="Arial"/>
          <w:szCs w:val="21"/>
        </w:rPr>
        <w:t>为更好地实现基金的投资目标，本基金可能会少量投资于依法发行上市的非成份股（包括主板、创业板及其他经中国证监会核准或注册上市的股票、存托凭证）、港股通标的股票、债券（包括国债、金融债、地方政府债、政府支持机构债券、企业债、公司债、可转换债券（含可分离交易可转债的纯债部分）、可交换债券、央行票据、短期融资券、超短期融资券、中期票据）、资产支持证券、衍生工具（包括股指期货、国债期货、股票期权）、债券回购、货币市场工具（包括银行存款、同业存单）以及法律法规或中国证监会允许基金投资的其他金融工具（但须符合中国证监会的相关规定）。</w:t>
      </w:r>
    </w:p>
    <w:p>
      <w:pPr>
        <w:snapToGrid w:val="0"/>
        <w:spacing w:line="360" w:lineRule="auto"/>
        <w:ind w:firstLine="420" w:firstLineChars="200"/>
        <w:rPr>
          <w:rFonts w:ascii="宋体" w:hAnsi="宋体" w:cs="Arial"/>
          <w:szCs w:val="21"/>
        </w:rPr>
      </w:pPr>
      <w:r>
        <w:rPr>
          <w:rFonts w:hint="eastAsia" w:ascii="宋体" w:hAnsi="宋体" w:cs="Arial"/>
          <w:szCs w:val="21"/>
        </w:rPr>
        <w:t>本基金可根据法律法规的规定参与融资及转融通证券出借业务。未来在法律法规允许的前提下，本基金可根据相关法律法规规定参与融券业务。</w:t>
      </w:r>
    </w:p>
    <w:p>
      <w:pPr>
        <w:snapToGrid w:val="0"/>
        <w:spacing w:line="360" w:lineRule="auto"/>
        <w:ind w:firstLine="420" w:firstLineChars="200"/>
        <w:rPr>
          <w:rFonts w:ascii="宋体" w:hAnsi="宋体" w:cs="Arial"/>
          <w:szCs w:val="21"/>
        </w:rPr>
      </w:pPr>
      <w:r>
        <w:rPr>
          <w:rFonts w:hint="eastAsia" w:ascii="宋体" w:hAnsi="宋体" w:cs="Arial"/>
          <w:szCs w:val="21"/>
        </w:rPr>
        <w:t>本基金根据相关法律法规或中国证监会要求履行适当程序后，还可以投资于法律法规或中国证监会未来允许基金投资的其他金融工具。</w:t>
      </w:r>
    </w:p>
    <w:p>
      <w:pPr>
        <w:snapToGrid w:val="0"/>
        <w:spacing w:line="360" w:lineRule="auto"/>
        <w:ind w:firstLine="420" w:firstLineChars="200"/>
        <w:rPr>
          <w:rFonts w:ascii="宋体" w:hAnsi="宋体" w:cs="Arial"/>
          <w:szCs w:val="21"/>
        </w:rPr>
      </w:pPr>
      <w:r>
        <w:rPr>
          <w:rFonts w:hint="eastAsia" w:ascii="宋体" w:hAnsi="宋体" w:cs="Arial"/>
          <w:szCs w:val="21"/>
        </w:rPr>
        <w:t>本基金的股票资产投资比例不低于基金资产的90%，其中投资于标的指数成份股和备选成份股的资产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w:t>
      </w:r>
    </w:p>
    <w:p>
      <w:pPr>
        <w:snapToGrid w:val="0"/>
        <w:spacing w:line="360" w:lineRule="auto"/>
        <w:ind w:firstLine="420" w:firstLineChars="200"/>
        <w:rPr>
          <w:rFonts w:ascii="宋体" w:hAnsi="宋体" w:cs="Arial"/>
          <w:szCs w:val="21"/>
        </w:rPr>
      </w:pPr>
      <w:r>
        <w:rPr>
          <w:rFonts w:hint="eastAsia" w:ascii="宋体" w:hAnsi="宋体" w:cs="Arial"/>
          <w:szCs w:val="21"/>
        </w:rPr>
        <w:t>若法律法规的相关规定发生变更或监管机构允许，本基金管理人在履行适当程序后，可对上述资产配置比例进行调整。</w:t>
      </w:r>
    </w:p>
    <w:p>
      <w:pPr>
        <w:snapToGrid w:val="0"/>
        <w:spacing w:line="360" w:lineRule="auto"/>
        <w:ind w:firstLine="420" w:firstLineChars="200"/>
        <w:rPr>
          <w:rFonts w:ascii="宋体" w:hAnsi="宋体" w:cs="Arial"/>
          <w:szCs w:val="21"/>
        </w:rPr>
      </w:pPr>
      <w:r>
        <w:rPr>
          <w:rFonts w:hint="eastAsia" w:ascii="宋体" w:hAnsi="宋体" w:cs="Arial"/>
          <w:szCs w:val="21"/>
        </w:rPr>
        <w:t>2、基金托管人根据有关法律法规的规定及《基金合同》的约定对下述基金投资比例进行监督：</w:t>
      </w:r>
    </w:p>
    <w:p>
      <w:pPr>
        <w:snapToGrid w:val="0"/>
        <w:spacing w:line="360" w:lineRule="auto"/>
        <w:ind w:firstLine="420" w:firstLineChars="200"/>
        <w:rPr>
          <w:rFonts w:ascii="宋体" w:hAnsi="宋体" w:cs="Arial"/>
          <w:szCs w:val="21"/>
        </w:rPr>
      </w:pPr>
      <w:r>
        <w:rPr>
          <w:rFonts w:hint="eastAsia" w:ascii="宋体" w:hAnsi="宋体" w:cs="Arial"/>
          <w:szCs w:val="21"/>
        </w:rPr>
        <w:t>按法律法规的规定及《基金合同》的约定，本基金的投资组合比例应符合以下规定：</w:t>
      </w:r>
    </w:p>
    <w:p>
      <w:pPr>
        <w:snapToGrid w:val="0"/>
        <w:spacing w:line="360" w:lineRule="auto"/>
        <w:ind w:firstLine="420" w:firstLineChars="200"/>
        <w:rPr>
          <w:rFonts w:ascii="宋体" w:hAnsi="宋体" w:cs="Arial"/>
          <w:szCs w:val="21"/>
        </w:rPr>
      </w:pPr>
      <w:r>
        <w:rPr>
          <w:rFonts w:hint="eastAsia" w:ascii="宋体" w:hAnsi="宋体" w:cs="Arial"/>
          <w:szCs w:val="21"/>
        </w:rPr>
        <w:t>（1）本基金的股票资产投资比例不低于基金资产的90%，其中投资于标的指数成份股和备选成份股的资产不低于非现金基金资产的80%，投资港股通标的股票的比例不超过本基金股票资产的10%；</w:t>
      </w:r>
    </w:p>
    <w:p>
      <w:pPr>
        <w:snapToGrid w:val="0"/>
        <w:spacing w:line="360" w:lineRule="auto"/>
        <w:ind w:firstLine="420" w:firstLineChars="200"/>
        <w:rPr>
          <w:rFonts w:ascii="宋体" w:hAnsi="宋体" w:cs="Arial"/>
          <w:szCs w:val="21"/>
        </w:rPr>
      </w:pPr>
      <w:r>
        <w:rPr>
          <w:rFonts w:hint="eastAsia" w:ascii="宋体" w:hAnsi="宋体" w:cs="Arial"/>
          <w:szCs w:val="21"/>
        </w:rPr>
        <w:t>（2）每个交易日日终在扣除股指期货、股票期权和国债期货合约需缴纳的交易保证金后，保持不低于基金资产净值5%的现金或者到期日在一年以内的政府债券，其中现金不包括结算备付金、存出保证金和应收申购款等；</w:t>
      </w:r>
    </w:p>
    <w:p>
      <w:pPr>
        <w:snapToGrid w:val="0"/>
        <w:spacing w:line="360" w:lineRule="auto"/>
        <w:ind w:firstLine="420" w:firstLineChars="200"/>
        <w:rPr>
          <w:rFonts w:ascii="宋体" w:hAnsi="宋体" w:cs="Arial"/>
          <w:szCs w:val="21"/>
        </w:rPr>
      </w:pPr>
      <w:r>
        <w:rPr>
          <w:rFonts w:hint="eastAsia" w:ascii="宋体" w:hAnsi="宋体" w:cs="Arial"/>
          <w:szCs w:val="21"/>
        </w:rPr>
        <w:t>（3）本基金资产总值不得超过基金资产净值的140%；</w:t>
      </w:r>
    </w:p>
    <w:p>
      <w:pPr>
        <w:snapToGrid w:val="0"/>
        <w:spacing w:line="360" w:lineRule="auto"/>
        <w:ind w:firstLine="420" w:firstLineChars="200"/>
        <w:rPr>
          <w:rFonts w:ascii="宋体" w:hAnsi="宋体" w:cs="Arial"/>
          <w:szCs w:val="21"/>
        </w:rPr>
      </w:pPr>
      <w:r>
        <w:rPr>
          <w:rFonts w:hint="eastAsia" w:ascii="宋体" w:hAnsi="宋体" w:cs="Arial"/>
          <w:szCs w:val="21"/>
        </w:rPr>
        <w:t>（4）本基金投资于同一原始权益人的各类资产支持证券的比例，不得超过基金资产净值的10%；</w:t>
      </w:r>
    </w:p>
    <w:p>
      <w:pPr>
        <w:snapToGrid w:val="0"/>
        <w:spacing w:line="360" w:lineRule="auto"/>
        <w:ind w:firstLine="420" w:firstLineChars="200"/>
        <w:rPr>
          <w:rFonts w:ascii="宋体" w:hAnsi="宋体" w:cs="Arial"/>
          <w:szCs w:val="21"/>
        </w:rPr>
      </w:pPr>
      <w:r>
        <w:rPr>
          <w:rFonts w:hint="eastAsia" w:ascii="宋体" w:hAnsi="宋体" w:cs="Arial"/>
          <w:szCs w:val="21"/>
        </w:rPr>
        <w:t>（5）本基金持有的全部资产支持证券，其市值不得超过基金资产净值的20%；</w:t>
      </w:r>
    </w:p>
    <w:p>
      <w:pPr>
        <w:snapToGrid w:val="0"/>
        <w:spacing w:line="360" w:lineRule="auto"/>
        <w:ind w:firstLine="420" w:firstLineChars="200"/>
        <w:rPr>
          <w:rFonts w:ascii="宋体" w:hAnsi="宋体" w:cs="Arial"/>
          <w:szCs w:val="21"/>
        </w:rPr>
      </w:pPr>
      <w:r>
        <w:rPr>
          <w:rFonts w:hint="eastAsia" w:ascii="宋体" w:hAnsi="宋体" w:cs="Arial"/>
          <w:szCs w:val="21"/>
        </w:rPr>
        <w:t>（6）本基金持有的同一(指同一信用级别)资产支持证券的比例，不得超过该资产支持证券规模的10%；</w:t>
      </w:r>
    </w:p>
    <w:p>
      <w:pPr>
        <w:snapToGrid w:val="0"/>
        <w:spacing w:line="360" w:lineRule="auto"/>
        <w:ind w:firstLine="420" w:firstLineChars="200"/>
        <w:rPr>
          <w:rFonts w:ascii="宋体" w:hAnsi="宋体" w:cs="Arial"/>
          <w:szCs w:val="21"/>
        </w:rPr>
      </w:pPr>
      <w:r>
        <w:rPr>
          <w:rFonts w:hint="eastAsia" w:ascii="宋体" w:hAnsi="宋体" w:cs="Arial"/>
          <w:szCs w:val="21"/>
        </w:rPr>
        <w:t>（7）本基金管理人管理的全部基金投资于同一原始权益人的各类资产支持证券，不得超过其各类资产支持证券合计规模的10%；</w:t>
      </w:r>
    </w:p>
    <w:p>
      <w:pPr>
        <w:snapToGrid w:val="0"/>
        <w:spacing w:line="360" w:lineRule="auto"/>
        <w:ind w:firstLine="420" w:firstLineChars="200"/>
        <w:rPr>
          <w:rFonts w:ascii="宋体" w:hAnsi="宋体" w:cs="Arial"/>
          <w:szCs w:val="21"/>
        </w:rPr>
      </w:pPr>
      <w:r>
        <w:rPr>
          <w:rFonts w:hint="eastAsia" w:ascii="宋体" w:hAnsi="宋体" w:cs="Arial"/>
          <w:szCs w:val="21"/>
        </w:rPr>
        <w:t>（8）本基金应投资于信用级别评级为BBB以上(含BBB)的资产支持证券。基金持有资产支持证券期间，如果其信用等级下降、不再符合投资标准，应在评级报告发布之日起3个月内予以全部卖出；</w:t>
      </w:r>
    </w:p>
    <w:p>
      <w:pPr>
        <w:snapToGrid w:val="0"/>
        <w:spacing w:line="360" w:lineRule="auto"/>
        <w:ind w:firstLine="420" w:firstLineChars="200"/>
        <w:rPr>
          <w:rFonts w:ascii="宋体" w:hAnsi="宋体" w:cs="Arial"/>
          <w:szCs w:val="21"/>
        </w:rPr>
      </w:pPr>
      <w:r>
        <w:rPr>
          <w:rFonts w:hint="eastAsia" w:ascii="宋体" w:hAnsi="宋体" w:cs="Arial"/>
          <w:szCs w:val="21"/>
        </w:rPr>
        <w:t>（9）基金财产参与股票发行申购，本基金所申报的金额不超过本基金的总资产，本基金所申报的股票数量不超过拟发行股票公司本次发行股票的总量；</w:t>
      </w:r>
    </w:p>
    <w:p>
      <w:pPr>
        <w:snapToGrid w:val="0"/>
        <w:spacing w:line="360" w:lineRule="auto"/>
        <w:ind w:firstLine="420" w:firstLineChars="200"/>
        <w:rPr>
          <w:rFonts w:ascii="宋体" w:hAnsi="宋体" w:cs="Arial"/>
          <w:szCs w:val="21"/>
        </w:rPr>
      </w:pPr>
      <w:r>
        <w:rPr>
          <w:rFonts w:hint="eastAsia" w:ascii="宋体" w:hAnsi="宋体" w:cs="Arial"/>
          <w:szCs w:val="21"/>
        </w:rPr>
        <w:t>（10）本基金参与融资的，在任何交易日日终，本基金融资买入股票与其他有价证券市值之和，不得超过基金资产净值的95%；</w:t>
      </w:r>
    </w:p>
    <w:p>
      <w:pPr>
        <w:snapToGrid w:val="0"/>
        <w:spacing w:line="360" w:lineRule="auto"/>
        <w:ind w:firstLine="420" w:firstLineChars="200"/>
        <w:rPr>
          <w:rFonts w:ascii="宋体" w:hAnsi="宋体" w:cs="Arial"/>
          <w:szCs w:val="21"/>
        </w:rPr>
      </w:pPr>
      <w:r>
        <w:rPr>
          <w:rFonts w:hint="eastAsia" w:ascii="宋体" w:hAnsi="宋体" w:cs="Arial"/>
          <w:szCs w:val="21"/>
        </w:rPr>
        <w:t>（11）本基金投资于股指期货和国债期货，还应遵循如下投资组合限制：</w:t>
      </w:r>
    </w:p>
    <w:p>
      <w:pPr>
        <w:snapToGrid w:val="0"/>
        <w:spacing w:line="360" w:lineRule="auto"/>
        <w:ind w:firstLine="420" w:firstLineChars="200"/>
        <w:rPr>
          <w:rFonts w:ascii="宋体" w:hAnsi="宋体" w:cs="Arial"/>
          <w:szCs w:val="21"/>
        </w:rPr>
      </w:pPr>
      <w:r>
        <w:rPr>
          <w:rFonts w:hint="eastAsia" w:ascii="宋体" w:hAnsi="宋体" w:cs="Arial"/>
          <w:szCs w:val="21"/>
        </w:rPr>
        <w:t>1）在任何交易日日终，本基金持有的买入股指期货合约价值不超过基金资产净值的10%；在任何交易日日终，持有的买入国债期货合约价值，不得超过基金资产净值15%；</w:t>
      </w:r>
    </w:p>
    <w:p>
      <w:pPr>
        <w:snapToGrid w:val="0"/>
        <w:spacing w:line="360" w:lineRule="auto"/>
        <w:ind w:firstLine="420" w:firstLineChars="200"/>
        <w:rPr>
          <w:rFonts w:ascii="宋体" w:hAnsi="宋体" w:cs="Arial"/>
          <w:szCs w:val="21"/>
        </w:rPr>
      </w:pPr>
      <w:r>
        <w:rPr>
          <w:rFonts w:hint="eastAsia" w:ascii="宋体" w:hAnsi="宋体" w:cs="Arial"/>
          <w:szCs w:val="21"/>
        </w:rPr>
        <w:t>2）在任何交易日日终，持有的卖出股指期货合约价值不超过基金持有的股票总市值的20%；在任何交易日日终，持有的卖出国债期货合约价值不得超过基金持有的债券总市值的30%；</w:t>
      </w:r>
    </w:p>
    <w:p>
      <w:pPr>
        <w:snapToGrid w:val="0"/>
        <w:spacing w:line="360" w:lineRule="auto"/>
        <w:ind w:firstLine="420" w:firstLineChars="200"/>
        <w:rPr>
          <w:rFonts w:ascii="宋体" w:hAnsi="宋体" w:cs="Arial"/>
          <w:szCs w:val="21"/>
        </w:rPr>
      </w:pPr>
      <w:r>
        <w:rPr>
          <w:rFonts w:hint="eastAsia" w:ascii="宋体" w:hAnsi="宋体" w:cs="Arial"/>
          <w:szCs w:val="21"/>
        </w:rPr>
        <w:t>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w:t>
      </w:r>
    </w:p>
    <w:p>
      <w:pPr>
        <w:snapToGrid w:val="0"/>
        <w:spacing w:line="360" w:lineRule="auto"/>
        <w:ind w:firstLine="420" w:firstLineChars="200"/>
        <w:rPr>
          <w:rFonts w:ascii="宋体" w:hAnsi="宋体" w:cs="Arial"/>
          <w:szCs w:val="21"/>
        </w:rPr>
      </w:pPr>
      <w:r>
        <w:rPr>
          <w:rFonts w:hint="eastAsia" w:ascii="宋体" w:hAnsi="宋体" w:cs="Arial"/>
          <w:szCs w:val="21"/>
        </w:rPr>
        <w:t>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w:t>
      </w:r>
    </w:p>
    <w:p>
      <w:pPr>
        <w:snapToGrid w:val="0"/>
        <w:spacing w:line="360" w:lineRule="auto"/>
        <w:ind w:firstLine="420" w:firstLineChars="200"/>
        <w:rPr>
          <w:rFonts w:ascii="宋体" w:hAnsi="宋体" w:cs="Arial"/>
          <w:szCs w:val="21"/>
        </w:rPr>
      </w:pPr>
      <w:r>
        <w:rPr>
          <w:rFonts w:hint="eastAsia" w:ascii="宋体" w:hAnsi="宋体" w:cs="Arial"/>
          <w:szCs w:val="21"/>
        </w:rPr>
        <w:t>5）本基金在任何交易日内交易（不包括平仓）的股指期货合约的成交金额不得超过上一交易日基金资产净值的20%；在任何交易日内交易（不包括平仓）的国债期货合约的成交金额不得超过上一交易日基金资产净值的30%；</w:t>
      </w:r>
    </w:p>
    <w:p>
      <w:pPr>
        <w:snapToGrid w:val="0"/>
        <w:spacing w:line="360" w:lineRule="auto"/>
        <w:ind w:firstLine="420" w:firstLineChars="200"/>
        <w:rPr>
          <w:rFonts w:ascii="宋体" w:hAnsi="宋体" w:cs="Arial"/>
          <w:szCs w:val="21"/>
        </w:rPr>
      </w:pPr>
      <w:r>
        <w:rPr>
          <w:rFonts w:hint="eastAsia" w:ascii="宋体" w:hAnsi="宋体" w:cs="Arial"/>
          <w:szCs w:val="21"/>
        </w:rPr>
        <w:t>（12）本基金投资于股票期权，还应遵循如下投资组合限制：</w:t>
      </w:r>
    </w:p>
    <w:p>
      <w:pPr>
        <w:snapToGrid w:val="0"/>
        <w:spacing w:line="360" w:lineRule="auto"/>
        <w:ind w:firstLine="420" w:firstLineChars="200"/>
        <w:rPr>
          <w:rFonts w:ascii="宋体" w:hAnsi="宋体" w:cs="Arial"/>
          <w:szCs w:val="21"/>
        </w:rPr>
      </w:pPr>
      <w:r>
        <w:rPr>
          <w:rFonts w:hint="eastAsia" w:ascii="宋体" w:hAnsi="宋体" w:cs="Arial"/>
          <w:szCs w:val="21"/>
        </w:rPr>
        <w:t>1）因未平仓的期权合约支付和收取的权利金总额不得超过基金资产净值的10%；</w:t>
      </w:r>
    </w:p>
    <w:p>
      <w:pPr>
        <w:snapToGrid w:val="0"/>
        <w:spacing w:line="360" w:lineRule="auto"/>
        <w:ind w:firstLine="420" w:firstLineChars="200"/>
        <w:rPr>
          <w:rFonts w:ascii="宋体" w:hAnsi="宋体" w:cs="Arial"/>
          <w:szCs w:val="21"/>
        </w:rPr>
      </w:pPr>
      <w:r>
        <w:rPr>
          <w:rFonts w:hint="eastAsia" w:ascii="宋体" w:hAnsi="宋体" w:cs="Arial"/>
          <w:szCs w:val="21"/>
        </w:rPr>
        <w:t>2）开仓卖出认购期权的，应持有足额标的证券；开仓卖出认沽期权的，应持有合约行权所需的全额现金或交易所规则认可的可冲抵期权保证金的现金等价物；</w:t>
      </w:r>
    </w:p>
    <w:p>
      <w:pPr>
        <w:snapToGrid w:val="0"/>
        <w:spacing w:line="360" w:lineRule="auto"/>
        <w:ind w:firstLine="420" w:firstLineChars="200"/>
        <w:rPr>
          <w:rFonts w:ascii="宋体" w:hAnsi="宋体" w:cs="Arial"/>
          <w:szCs w:val="21"/>
        </w:rPr>
      </w:pPr>
      <w:r>
        <w:rPr>
          <w:rFonts w:hint="eastAsia" w:ascii="宋体" w:hAnsi="宋体" w:cs="Arial"/>
          <w:szCs w:val="21"/>
        </w:rPr>
        <w:t>3）未平仓的期权合约面值不得超过基金资产净值的20%。其中，合约面值按照行权价乘以合约乘数计算；</w:t>
      </w:r>
    </w:p>
    <w:p>
      <w:pPr>
        <w:snapToGrid w:val="0"/>
        <w:spacing w:line="360" w:lineRule="auto"/>
        <w:ind w:firstLine="420" w:firstLineChars="200"/>
        <w:rPr>
          <w:rFonts w:ascii="宋体" w:hAnsi="宋体" w:cs="Arial"/>
          <w:szCs w:val="21"/>
        </w:rPr>
      </w:pPr>
      <w:r>
        <w:rPr>
          <w:rFonts w:hint="eastAsia" w:ascii="宋体" w:hAnsi="宋体" w:cs="Arial"/>
          <w:szCs w:val="21"/>
        </w:rPr>
        <w:t>（13）本基金参与转融通证券出借业务，需遵守下列投资限制：</w:t>
      </w:r>
    </w:p>
    <w:p>
      <w:pPr>
        <w:snapToGrid w:val="0"/>
        <w:spacing w:line="360" w:lineRule="auto"/>
        <w:ind w:firstLine="420" w:firstLineChars="200"/>
        <w:rPr>
          <w:rFonts w:ascii="宋体" w:hAnsi="宋体" w:cs="Arial"/>
          <w:szCs w:val="21"/>
        </w:rPr>
      </w:pPr>
      <w:r>
        <w:rPr>
          <w:rFonts w:hint="eastAsia" w:ascii="宋体" w:hAnsi="宋体" w:cs="Arial"/>
          <w:szCs w:val="21"/>
        </w:rPr>
        <w:t>1）出借证券资产不得超过基金资产净值的30%，出借期限在10 个交易日以上的出借证券应纳入《流动性风险管理规定》所述流动性受限证券的范围；</w:t>
      </w:r>
    </w:p>
    <w:p>
      <w:pPr>
        <w:snapToGrid w:val="0"/>
        <w:spacing w:line="360" w:lineRule="auto"/>
        <w:ind w:firstLine="420" w:firstLineChars="200"/>
        <w:rPr>
          <w:rFonts w:ascii="宋体" w:hAnsi="宋体" w:cs="Arial"/>
          <w:szCs w:val="21"/>
        </w:rPr>
      </w:pPr>
      <w:r>
        <w:rPr>
          <w:rFonts w:hint="eastAsia" w:ascii="宋体" w:hAnsi="宋体" w:cs="Arial"/>
          <w:szCs w:val="21"/>
        </w:rPr>
        <w:t>2）参与出借业务的单只证券不得超过本基金持有该证券总量的50%；</w:t>
      </w:r>
    </w:p>
    <w:p>
      <w:pPr>
        <w:snapToGrid w:val="0"/>
        <w:spacing w:line="360" w:lineRule="auto"/>
        <w:ind w:firstLine="420" w:firstLineChars="200"/>
        <w:rPr>
          <w:rFonts w:ascii="宋体" w:hAnsi="宋体" w:cs="Arial"/>
          <w:szCs w:val="21"/>
        </w:rPr>
      </w:pPr>
      <w:r>
        <w:rPr>
          <w:rFonts w:hint="eastAsia" w:ascii="宋体" w:hAnsi="宋体" w:cs="Arial"/>
          <w:szCs w:val="21"/>
        </w:rPr>
        <w:t>3）最近6个月内日均基金资产净值不得低于2亿元；</w:t>
      </w:r>
    </w:p>
    <w:p>
      <w:pPr>
        <w:snapToGrid w:val="0"/>
        <w:spacing w:line="360" w:lineRule="auto"/>
        <w:ind w:firstLine="420" w:firstLineChars="200"/>
        <w:rPr>
          <w:rFonts w:ascii="宋体" w:hAnsi="宋体" w:cs="Arial"/>
          <w:szCs w:val="21"/>
        </w:rPr>
      </w:pPr>
      <w:r>
        <w:rPr>
          <w:rFonts w:hint="eastAsia" w:ascii="宋体" w:hAnsi="宋体" w:cs="Arial"/>
          <w:szCs w:val="21"/>
        </w:rPr>
        <w:t>4）证券出借的平均剩余期限不得超过30天，平均剩余期限按照市值加权平均计算；</w:t>
      </w:r>
    </w:p>
    <w:p>
      <w:pPr>
        <w:snapToGrid w:val="0"/>
        <w:spacing w:line="360" w:lineRule="auto"/>
        <w:ind w:firstLine="420" w:firstLineChars="200"/>
        <w:rPr>
          <w:rFonts w:ascii="宋体" w:hAnsi="宋体" w:cs="Arial"/>
          <w:szCs w:val="21"/>
        </w:rPr>
      </w:pPr>
      <w:r>
        <w:rPr>
          <w:rFonts w:hint="eastAsia" w:ascii="宋体" w:hAnsi="宋体" w:cs="Arial"/>
          <w:szCs w:val="21"/>
        </w:rPr>
        <w:t>因证券市场波动、上市公司合并、基金规模变动等基金管理人之外的因素致使基金投资不符合上述规定的，基金管理人不得新增出借业务；</w:t>
      </w:r>
    </w:p>
    <w:p>
      <w:pPr>
        <w:snapToGrid w:val="0"/>
        <w:spacing w:line="360" w:lineRule="auto"/>
        <w:ind w:firstLine="420" w:firstLineChars="200"/>
        <w:rPr>
          <w:rFonts w:ascii="宋体" w:hAnsi="宋体" w:cs="Arial"/>
          <w:szCs w:val="21"/>
        </w:rPr>
      </w:pPr>
      <w:r>
        <w:rPr>
          <w:rFonts w:hint="eastAsia" w:ascii="宋体" w:hAnsi="宋体" w:cs="Arial"/>
          <w:szCs w:val="21"/>
        </w:rPr>
        <w:t>（14）本基金主动投资于流动性受限资产的市值合计不得超过本基金资产净值的15%；</w:t>
      </w:r>
    </w:p>
    <w:p>
      <w:pPr>
        <w:snapToGrid w:val="0"/>
        <w:spacing w:line="360" w:lineRule="auto"/>
        <w:ind w:firstLine="420" w:firstLineChars="200"/>
        <w:rPr>
          <w:rFonts w:ascii="宋体" w:hAnsi="宋体" w:cs="Arial"/>
          <w:szCs w:val="21"/>
        </w:rPr>
      </w:pPr>
      <w:r>
        <w:rPr>
          <w:rFonts w:hint="eastAsia" w:ascii="宋体" w:hAnsi="宋体" w:cs="Arial"/>
          <w:szCs w:val="21"/>
        </w:rPr>
        <w:t>因证券市场波动、上市公司股票停牌、基金规模变动等基金管理人之外的因素致使基金不符合该比例限制的，基金管理人不得主动新增流动性受限资产的投资；</w:t>
      </w:r>
    </w:p>
    <w:p>
      <w:pPr>
        <w:snapToGrid w:val="0"/>
        <w:spacing w:line="360" w:lineRule="auto"/>
        <w:ind w:firstLine="420" w:firstLineChars="200"/>
        <w:rPr>
          <w:rFonts w:ascii="宋体" w:hAnsi="宋体" w:cs="Arial"/>
          <w:szCs w:val="21"/>
        </w:rPr>
      </w:pPr>
      <w:r>
        <w:rPr>
          <w:rFonts w:hint="eastAsia" w:ascii="宋体" w:hAnsi="宋体" w:cs="Arial"/>
          <w:szCs w:val="21"/>
        </w:rPr>
        <w:t>（15）本基金与私募类证券资管产品及中国证监会认定的其他主体为交易对手开展逆回购交易的，可接受质押品的资质要求应当与基金合同约定的投资范围保持一致；</w:t>
      </w:r>
    </w:p>
    <w:p>
      <w:pPr>
        <w:snapToGrid w:val="0"/>
        <w:spacing w:line="360" w:lineRule="auto"/>
        <w:ind w:firstLine="420" w:firstLineChars="200"/>
        <w:rPr>
          <w:rFonts w:ascii="宋体" w:hAnsi="宋体" w:cs="Arial"/>
          <w:szCs w:val="21"/>
        </w:rPr>
      </w:pPr>
      <w:r>
        <w:rPr>
          <w:rFonts w:hint="eastAsia" w:ascii="宋体" w:hAnsi="宋体" w:cs="Arial"/>
          <w:szCs w:val="21"/>
        </w:rPr>
        <w:t>（16）本基金投资存托凭证的比例限制依照境内上市交易的股票执行，与境内上市交易的股票合并计算；</w:t>
      </w:r>
    </w:p>
    <w:p>
      <w:pPr>
        <w:snapToGrid w:val="0"/>
        <w:spacing w:line="360" w:lineRule="auto"/>
        <w:ind w:firstLine="420" w:firstLineChars="200"/>
        <w:rPr>
          <w:rFonts w:ascii="宋体" w:hAnsi="宋体" w:cs="Arial"/>
          <w:szCs w:val="21"/>
        </w:rPr>
      </w:pPr>
      <w:r>
        <w:rPr>
          <w:rFonts w:hint="eastAsia" w:ascii="宋体" w:hAnsi="宋体" w:cs="Arial"/>
          <w:szCs w:val="21"/>
        </w:rPr>
        <w:t>（17）相关法律法规以及监管部门规定的和基金合同约定的其它投资比例限制。</w:t>
      </w:r>
    </w:p>
    <w:p>
      <w:pPr>
        <w:snapToGrid w:val="0"/>
        <w:spacing w:line="360" w:lineRule="auto"/>
        <w:ind w:firstLine="420" w:firstLineChars="200"/>
        <w:rPr>
          <w:rFonts w:ascii="宋体" w:hAnsi="宋体" w:cs="Arial"/>
          <w:szCs w:val="21"/>
        </w:rPr>
      </w:pPr>
      <w:r>
        <w:rPr>
          <w:rFonts w:hint="eastAsia" w:ascii="宋体" w:hAnsi="宋体" w:cs="Arial"/>
          <w:szCs w:val="21"/>
        </w:rPr>
        <w:t>除上述第（2）、（8）、（13）、（14）、（15）项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pPr>
        <w:snapToGrid w:val="0"/>
        <w:spacing w:line="360" w:lineRule="auto"/>
        <w:ind w:firstLine="420" w:firstLineChars="200"/>
        <w:rPr>
          <w:rFonts w:ascii="宋体" w:hAnsi="宋体" w:cs="Arial"/>
          <w:szCs w:val="21"/>
        </w:rPr>
      </w:pPr>
      <w:r>
        <w:rPr>
          <w:rFonts w:hint="eastAsia" w:ascii="宋体" w:hAnsi="宋体" w:cs="Arial"/>
          <w:szCs w:val="21"/>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snapToGrid w:val="0"/>
        <w:spacing w:line="360" w:lineRule="auto"/>
        <w:ind w:firstLine="420" w:firstLineChars="200"/>
        <w:rPr>
          <w:rFonts w:ascii="宋体" w:hAnsi="宋体" w:cs="Arial"/>
          <w:szCs w:val="21"/>
        </w:rPr>
      </w:pPr>
      <w:r>
        <w:rPr>
          <w:rFonts w:hint="eastAsia" w:ascii="宋体" w:hAnsi="宋体" w:cs="Arial"/>
          <w:szCs w:val="21"/>
        </w:rPr>
        <w:t>法律法规或监管部门取消或变更上述限制，如适用于本基金，基金管理人在履行适当程序后，则本基金投资不再受相关限制，或以变更后的规定为准。</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3、基金托管人根据有关法律法规的规定及《基金合同》的约定，对下述基金投资禁止行为进行监督。基金托管人通过事后监督方式对基金管理人基金投资禁止行为进行监督。 </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（1）承销证券；</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（2）违反规定向他人贷款或者提供担保；</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（3）从事承担无限责任的投资；</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（4）买卖其他基金份额，但是中国证监会另有规定的除外；</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（5）向其基金管理人、基金托管人出资；</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（6）从事内幕交易、操纵证券交易价格及其他不正当的证券交易活动；</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（7）法律、行政法规和中国证监会规定禁止的其他活动。</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法律、行政法规或监管部门取消或变更上述规定，在履行适当程序后，则本基金投资不再受相关限制或以变更后的规定为准。</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二）根据法律法规有关基金从事的关联交易的规定，基金管理人和基金托管人应事先相互提供与本机构有控股关系的股东、实际控制人或者与其有其他重大利害关系的公司名单及有关关联方发行的证券名单，加盖公章并书面提交，并确保所提供的关联交易名单的真实性、完整性、全面性。基金管理人及基金托管人有责任保管真实、完整、全面的关联交易名单，并负责及时更新该名单。名单变更后基金管理人或基金托管人应及时发送另一方，另一方于2个工作日内进行回函确认已知名单的变更。一方收到另一方书面确认后，新的关联交易名单开始生效。</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（三）基金托管人根据有关法律法规的规定及基金合同的约定，对基金管理人参与银行间债券市场进行监督。</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如基金管理人在基金投资运作之前未向基金托管人提供银行间债券市场交易对手名单的，视为基金管理人认可全市场交易对手。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负责对交易对手的资信控制，按银行间债券市场的交易规则进行交易，基金托管人不承担由此造成的相应法律责任及损失。若未履约的交易对手在基金托管人与基金管理人确定的时间前仍未承担违约责任及其他相关法律责任的，基金管理人有权向相关交易对手追偿，基金托管人应予以必要的协助与配合。基金托管人根据银行间债券市场成交单对本基金银行间债券交易的交易对手及其结算方式进行监督。如基金托管人事后发现基金管理人没有按照事先约定的交易对手或交易方式进行交易时，基金托管人应及时书面或以双方认可的其他方式提醒基金管理人，经提醒后仍未改正时造成基金财产损失的，基金托管人不承担由此造成的相应损失和责任。如果基金托管人未能切实履行监督职责，导致基金出现风险或造成基金资产损失的，基金托管人应承担相应责任。</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四）基金管理人、基金托管人应当与存款银行建立定期对账机制，确保基金银行存款业务账目及核算的真实、准确。基金管理人应当按照有关法规规定，与基金托管人、存款机构签订相关书面协议。基金托管人应根据有关相关法规及协议对基金银行存款业务进行监督与核查，严格审查、复核相关协议、账户资料、投资指令、存款证实书等有关文件，切实履行托管职责。</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基金管理人与基金托管人在开展基金存款业务时，应严格遵守《基金法》、《运作办法》等有关法律法规，以及国家有关账户管理、利率管理、支付结算等的各项规定。</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基金投资银行存款的，基金管理人应根据法律法规的规定及基金合同的约定，确定符合条件的所有存款银行的名单，并及时提供给基金托管人，基金托管人应据以对基金投资银行存款的交易对手是否符合有关规定进行监督。如基金管理人在基金投资运作之前未向基金托管人提供存款银行名单的，视为基金管理人认可所有银行。</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基金托管人不对定期存款提前支取的损失承担责任。</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（五）基金托管人根据有关法律法规的规定及基金合同的约定，对基金参与转融通证券出借业务进行监督。</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运用基金财产参与转融通证券出借业务，应当遵守审慎经营原则，配备技术系统和专业人员，制定科学合理的投资策略和风险管理制度，完善业务流程，有效防范和控制风险，切实维护基金财产的安全和基金份额持有人合法权益。基金托管人应当加强对基金参与转融通证券出借业务的监督和复核，切实维护基金财产的安全和基金份额持有人合法权益。</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六）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七）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如果基金托管人未能切实履行监督职责，导致基金出现风险或造成基金资产损失的，基金托管人应承担相应责任。</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八）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九）若基金托管人发现基金管理人依据交易程序已经生效的指令违反法律、行政法规和其他有关规定，或者违反基金合同约定的，应当立即以书面或以双方认可的其他方式通知基金管理人，由此造成的相应损失由基金管理人承担。</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十）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十一）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基金托管人依照相关法律法规的规定和基金合同的约定，对侧袋机制启用、特定资产处置和信息披露等方面进行复核和监督。侧袋机制实施期间的具体规则依照相关法律法规的规定和基金合同的约定执行。</w:t>
      </w:r>
    </w:p>
    <w:p>
      <w:pPr>
        <w:adjustRightInd w:val="0"/>
        <w:snapToGrid w:val="0"/>
        <w:spacing w:line="360" w:lineRule="auto"/>
        <w:ind w:firstLine="480"/>
        <w:rPr>
          <w:rFonts w:cs="Arial" w:asciiTheme="minorEastAsia" w:hAnsiTheme="minorEastAsia" w:eastAsiaTheme="minorEastAsia"/>
          <w:b/>
          <w:szCs w:val="21"/>
        </w:rPr>
      </w:pPr>
      <w:r>
        <w:rPr>
          <w:rFonts w:hint="eastAsia" w:cs="Arial" w:asciiTheme="minorEastAsia" w:hAnsiTheme="minorEastAsia" w:eastAsiaTheme="minorEastAsia"/>
          <w:b/>
          <w:szCs w:val="21"/>
        </w:rPr>
        <w:t>三、基金管理人对基金托管人的业务核查</w:t>
      </w:r>
    </w:p>
    <w:p>
      <w:pPr>
        <w:adjustRightInd w:val="0"/>
        <w:snapToGrid w:val="0"/>
        <w:spacing w:line="360" w:lineRule="auto"/>
        <w:ind w:firstLine="480"/>
        <w:rPr>
          <w:rFonts w:cs="Arial" w:asciiTheme="minorEastAsia" w:hAnsiTheme="minorEastAsia" w:eastAsiaTheme="minorEastAsia"/>
          <w:kern w:val="0"/>
          <w:szCs w:val="21"/>
        </w:rPr>
      </w:pPr>
      <w:bookmarkStart w:id="210" w:name="_Toc278986832"/>
      <w:bookmarkStart w:id="211" w:name="_Toc288639817"/>
      <w:bookmarkStart w:id="212" w:name="_Toc286319595"/>
      <w:bookmarkStart w:id="213" w:name="_Toc278986892"/>
      <w:bookmarkStart w:id="214" w:name="_Toc287014244"/>
      <w:bookmarkStart w:id="215" w:name="_Toc278986607"/>
      <w:r>
        <w:rPr>
          <w:rFonts w:hint="eastAsia" w:cs="Arial" w:asciiTheme="minorEastAsia" w:hAnsiTheme="minorEastAsia" w:eastAsiaTheme="minorEastAsia"/>
          <w:kern w:val="0"/>
          <w:szCs w:val="21"/>
        </w:rPr>
        <w:t>根据有关法律法规、《基金合同》及本协议规定，基金管理人对基金托管人履行托管职责情况进行核查，核查事项包括但不限于基金托管人安全保管基金财产、开设基金财产的资金账户、证券账户及投资所需的其他账户、复核基金管理人计算的基金资产净值和基金份额净值、根据基金管理人指令办理清算交收、相关信息披露和监督基金投资运作等行为。</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基金管理人发现基金托管人擅自挪用基金财产、未对基金财产实行分账管理、无故未执行或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说明违规原因及纠正期限，并保证在规定期限内及时改正。在限期内，基金管理人有权随时对通知事项进行复查，督促基金托管人改正，并予协助配合。基金托管人对基金管理人通知的违规事项未能在限期内纠正的，基金管理人应报告中国证监会。基金管理人有义务要求基金托管人赔偿基金因此所遭受的损失。</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基金管理人发现基金托管人有重大违规行为，应立即报告中国证监会和银行业监督管理机构，同时通知基金托管人限期纠正。</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基金管理人基于正当合理理由可定期和不定期地对基金托管人保管的基金财产进行核查。基金托管人应积极配合基金管理人的核查行为，包括但不限于：提交相关资料以供基金管理人核查托管财产的完整性和真实性，在规定时间内答复基金管理人并改正。</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pPr>
        <w:spacing w:line="360" w:lineRule="auto"/>
        <w:ind w:firstLine="422" w:firstLineChars="200"/>
        <w:rPr>
          <w:rFonts w:ascii="Arial" w:hAnsi="Arial" w:cs="Arial"/>
          <w:b/>
          <w:szCs w:val="21"/>
        </w:rPr>
      </w:pPr>
      <w:r>
        <w:rPr>
          <w:rFonts w:ascii="Arial" w:hAnsi="Arial" w:cs="Arial"/>
          <w:b/>
          <w:szCs w:val="21"/>
        </w:rPr>
        <w:t>四、基金财产的保管</w:t>
      </w:r>
      <w:bookmarkEnd w:id="210"/>
      <w:bookmarkEnd w:id="211"/>
      <w:bookmarkEnd w:id="212"/>
      <w:bookmarkEnd w:id="213"/>
      <w:bookmarkEnd w:id="214"/>
      <w:bookmarkEnd w:id="215"/>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（一）基金财产保管的原则</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1、基金财产应独立于基金管理人、基金托管人的固有财产。</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2、基金托管人应安全保管基金财产。未经基金管理人的正当指令，不得自行运用、处分、分配基金的任何财产。</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3、基金托管人按照规定开设基金财产的资金账户、证券账户及投资所需的其他账户。</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4、基金托管人对所托管的不同基金财产分别设置账户、独立核算，与基金托管人的其他业务和其他基金的托管业务实行严格的分账管理，确保基金财产的完整与独立。</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5、对于因基金认（申）购、基金投资过程中产生的应收财产，应由基金管理人负责与有关当事人确定到账日期并通知基金托管人，到账日基金财产没有到达基金托管人处的，基金托管人应及时通知并有义务配合基金管理人采取措施进行催收。由此给基金造成损失的，基金管理人应负责向有关当事人追偿基金的损失，基金托管人应予以必要的协助与配合，但基金托管人对此不承担相应责任。</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6、基金托管人对因为基金管理人投资产生的存放或存管在基金托管人以外机构的基金财产，或交由证券公司负责清算交收的基金资产及其收益，由于该等机构或该机构会员单位等本协议当事人外第三方的欺诈、疏忽、过失或破产等原因给基金财产造成的损失等不承担责任。</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7、除依据法律法规和《基金合同》的规定外，基金托管人不得委托第三人托管基金财产。</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（二）基金募集期间及募集资金的验资</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1、基金募集期间募集的资金应存于基金管理人开立的“基金募集专户”。该账户由基金管理人开立并管理。</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2、基金募集期满或基金停止募集时，发起资金的认购金额、发起资金提供方及其承诺的持有期限符合《基金法》、《运作办法》等有关规定后，基金管理人应将属于基金财产的全部资金划入基金托管人开立的基金银行账户，同时在规定时间内，聘请具有符合《中华人民共和国证券法》规定的会计师事务所进行验资，出具验资报告，验资报告需对发起资金提供方及其持有份额进行专门说明。出具的验资报告由参加验资的2名或2名以上中国注册会计师签字方为有效。</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3、若基金募集期限届满，未能达到《基金合同》生效的条件，由基金管理人按规定办理退款等事宜，基金托管人应提供充分协助。</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（三）基金的银行账户的开立和管理</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1、基金托管人为本基金单独开立托管资金账户。托管资金账户的名称应当包含本基金名称，具体名称以实际开立为准。本基金的一切货币收支活动，包括但不限于投资、支付赎回金额、支付现金红利、收取申购款，均需通过该托管资金账户进行。</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2、基金托管专户的开立和使用，限于满足开展本基金业务的需要。基金托管人和基金管理人不得假借本基金的名义开立其他任何银行账户；亦不得使用基金的任何银行账户进行本基金业务以外的活动。</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3、基金托管专户的管理应符合《人民币银行结算账户管理办法》、《现金管理暂行条例》、《人民币利率管理规定》、《利率管理暂行规定》、《支付结算办法》以及银行业监督管理机构的其他规定。</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（四）基金证券账户、证券交易资金账户及结算备付金账户的开设和管理</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1、基金托管人以基金托管人和本基金联名的方式在中国证券登记结算有限责任公司开设证券账户。</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2、基金托管人以基金托管人的名义在中国证券登记结算有限责任公司开立基金证券交易资金账户，用于证券清算。</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3、基金托管人以基金托管人名义在中国证券登记结算有限责任公司开立托管人结算备付金账户，用于所托管产品的证券资金清算。结算备付金、结算互保基金、交收价差资金等的收取按照中国证券登记结算有限责任公司的规定执行。</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4、基金证券账户的开立和使用，限于满足开展本基金业务的需要。基金托管人和基金管理人不得出借和未经对方书面同意擅自转让基金的任何证券账户；亦不得使用基金的任何证券账户进行本基金业务以外的活动。</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5、基金证券账户的开立由基金托管人负责，账户资产的管理和运用由基金管理人负责。</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（五）定期存款账户</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基金财产投资定期存款的，基金管理人还需按照法规规定，与存款机构签订相关书面协议。</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本基金投资定期存款在存款机构开立的银行账户，包括实体或虚拟账户，其预留印鉴经各方商议后预留。对于任何的定期存款投资，基金管理人都必须和存款机构签订定期存款协议，约定双方的权利和义务，该协议作为划款指令附件。该协议中必须有如下明确条款：“存款证实书不得被质押或以任何方式被抵押，并不得用于转让和背书；本息到期归还或提前支取的所有款项必须划至托管专户（明确户名、开户行、账号等），不得划入其他任何账户”。如定期存款协议中未体现前述条款，基金托管人有权拒绝定期存款投资的划款指令。在取得存款证实书后，基金托管人保管证实书正本。基金管理人应该在合理的时间内进行定期存款的投资和支取事宜，若基金管理人提前支取或部分提前支取定期存款，若产生息差（即本基金已计提的资金利息和提前支取时收到的资金利息差额），该息差的处理方法由基金管理人和基金托管人双方协商解决。</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（六）债券托管账户的开立和管理</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基金合同》生效后，基金管理人负责以基金的名义申请并取得进入全国银行间同业拆借市场的交易资格，并代表基金进行交易；基金托管人负责以基金的名义在中央国债登记结算有限责任公司和银行间债券市场清算所股份有限公司开设银行间债券市场债券托管账户，并代表基金进行债券和资金的清算。</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（七）其他账户的开设和管理</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1、在本托管协议订立日之后，本基金被允许从事符合法律法规规定和《基金合同》约定的其他投资品种的投资业务时，如果涉及相关账户的开设和使用，由基金管理人协助托管人根据有关法律法规的规定和《基金合同》的约定，开立有关账户。该账户按有关规则使用并管理。</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2、法律法规等有关规定对相关账户的开立和管理另有规定的，从其规定办理。</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（八）基金财产投资的有关有价凭证等的保管</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基金财产投资的有关实物证券等有价凭证由基金托管人存放于基金托管人的保管库，也可存入中央国债登记结算有限责任公司、银行间市场清算所股份有限公司、或中国证券登记结算有限责任公司或票据营业中心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实物证券不承担保管责任。</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（九）与基金财产有关的重大合同的保管</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由基金管理人代表基金签署的与基金财产有关的重大合同的原件分别应由基金托管人、基金管理人保管，相关业务程序另有限制的除外。除本协议另有规定外，基金管理人代表基金签署的与基金财产有关的重大合同应保证基金管理人和基金托管人至少各持有一份正本的原件。基金管理人应在重大合同签署后及时以加密方式将重大合同传真给基金托管人，并在三十个工作日内将正本送达基金托管人处。因基金管理人发送的合同传真件与事后送达的合同原件不一致所造成的后果，由基金管理人负责。重大合同的保管期限不低于法律法规规定的最低期限。</w:t>
      </w:r>
    </w:p>
    <w:p>
      <w:pPr>
        <w:adjustRightInd w:val="0"/>
        <w:snapToGrid w:val="0"/>
        <w:spacing w:line="360" w:lineRule="auto"/>
        <w:ind w:firstLine="48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对于无法取得二份以上的正本的，基金管理人应向基金托管人提供加盖授权业务章的合同传真件，未经双方协商或未在合同约定范围内，合同原件不得转移。</w:t>
      </w:r>
    </w:p>
    <w:p>
      <w:pPr>
        <w:adjustRightInd w:val="0"/>
        <w:snapToGrid w:val="0"/>
        <w:spacing w:line="360" w:lineRule="auto"/>
        <w:ind w:firstLine="480"/>
        <w:rPr>
          <w:rFonts w:cs="Arial" w:asciiTheme="minorEastAsia" w:hAnsiTheme="minorEastAsia" w:eastAsiaTheme="minorEastAsia"/>
          <w:b/>
          <w:szCs w:val="21"/>
        </w:rPr>
      </w:pPr>
      <w:r>
        <w:rPr>
          <w:rFonts w:hint="eastAsia" w:cs="Arial" w:asciiTheme="minorEastAsia" w:hAnsiTheme="minorEastAsia" w:eastAsiaTheme="minorEastAsia"/>
          <w:b/>
          <w:szCs w:val="21"/>
        </w:rPr>
        <w:t>五、基金资产净值计算、估值和会计核算</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（一）基金资产净值的计算、复核的时间和程序</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基金资产净值是指基金资产总值减去基金负债后的价值。</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基金管理人应于每个工作日对基金财产估值，但基金管理人根据法律法规或基金合同的规定暂停估值时除外。估值原则应符合《基金合同》、《证券投资基金会计核算业务指引》及其他法律、法规的规定。基金资产净值和各类基金份额净值由基金管理人负责计算，基金托管人复核。基金管理人应于每个工作日交易结束后计算当日的基金资产净值和各类基金份额净值并以双方认可的方式发送给基金托管人。基金托管人对净值计算结果复核后以双方认可的方式发送给基金管理人，由基金管理人对基金净值信息予以公布。</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（二）基金资产估值方法</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1、估值对象</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基金所拥有的股票（含存托凭证）、股指期货合约、国债期货合约、股票期权合约、债券和银行存款本息、应收款项、资产支持证券、其它投资等资产及负债。</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2、估值方法</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（1）证券交易所上市的有价证券的估值</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2）交易所市场上市交易或挂牌转让的固定收益品种（基金合同另有约定的除外），选取估值日第三方估值机构提供的相应品种对应的估值净价估值，具体估值机构由基金管理人与基金托管人共同确定；</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交易所上市实行全价交易的固定收益品种（可转换债券除外），选取第三方估值机构提供的估值全价减去估值全价中所含的固定收益品种（税后）应收利息得到的净价进行估值；</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4）交易所上市不存在活跃市场的有价证券，采用估值技术确定公允价值。</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（2）处于未上市期间的有价证券应区分如下情况处理：</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1）送股、转增股、配股和公开增发的新股，按估值日在证券交易所挂牌的同一股票的估值方法估值；该日无交易的，以最近一日的市价（收盘价）估值；</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2）首次公开发行未上市的股票，采用估值技术确定公允价值，在估值技术难以可靠计量公允价值的情况下，按成本估值；</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（3）本基金投资存托凭证的估值核算，依照境内上市交易的股票执行。</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（4）银行间的有价证券的估值</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1）对银行间市场上不含权的固定收益品种，按照第三方估值机构提供的相应品种当日的估值净价确定公允价值；</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2）对银行间市场上含权的固定收益品种，按照第三方估值机构提供的相应品种当日的唯一估值净价或推荐估值净价确定公允价值。对于含投资人回售权的固定收益品种，回售登记期截止日（含当日）后未行使回售权的按照长待偿期所对应的价格进行估值；</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3）对银行间市场未上市，且第三方估值机构未提供估值价格的债券，采用当前情况下适用并且有足够可利用数据和其他信息支持的估值技术确定其公允价值。</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（5）资产支持证券的估值</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1）交易所上市的资产支持证券，按估值日第三方估值机构提供的价格估值。</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2）对全国银行间市场上的资产支持证券，按照第三方估值机构提供的相应品种当日的估值净价确定公允价值。</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（6）同一证券同时在两个或两个以上市场交易的，按证券所处的市场分别估值。</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（7）本基金投资股指期货合约、国债期货合约，一般以估值当日结算价进行估值，估值当日无结算价的，且最近交易日后经济环境未发生重大变化的，采用最近交易日结算价估值。</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（8）本基金投资股票期权，根据相关法律法规以及监管部门的规定估值。</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（9）本基金参与融资或转融通证券出借业务的，应参照行业协会的相关规定进行估值，确保估值的公允性。</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（10）汇率</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本基金外币资产价值计算中，涉及主要货币对人民币汇率的，应当以基金估值日中国人民银行或其授权机构公布的人民币汇率中间价为准。</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（11）如有确凿证据表明按上述方法进行估值不能客观反映其公允价值的，基金管理人可根据具体情况与基金托管人商定后，按最能反映公允价值的价格估值。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（12）当发生大额申购或赎回情形时，基金管理人可以采用摆动定价机制，以确保基金估值的公平性。具体处理原则与操作规范遵循相关法律法规以及监管部门、自律规则的规定。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（13）相关法律法规以及监管部门有强制规定的，从其规定。如有新增事项，按国家最新规定估值。</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3、估值程序</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1）各类基金份额净值是按照每个工作日闭市后，各类基金份额的基金资产净值除以当日该类基金份额的余额数量计算，均精确到0.0001元，小数点后第5位四舍五入。基金管理人可以设立大额赎回情形下的净值精度应急调整机制。国家另有规定的，从其规定。</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基金管理人于每个工作日计算基金资产净值及各类基金份额净值，并按规定公告。</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4、估值错误的处理</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基金管理人和基金托管人将采取必要、适当、合理的措施确保基金资产估值的准确性、及时性。当任一类基金份额净值小数点后4位以内(含第4位)发生估值错误时，视为该类基金份额净值错误。</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基金合同的当事人应按照以下约定处理：</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（1）估值错误类型</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上述估值错误的主要类型包括但不限于：资料申报差错、数据传输差错、数据计算差错、系统故障差错、下达指令差错等。</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（2）估值错误处理原则</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2）估值错误的责任方对有关当事人的直接损失负责，不对间接损失负责，并且仅对估值错误的有关直接当事人负责，不对第三方负责。</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4）估值错误调整采用尽量恢复至假设未发生估值错误的正确情形的方式。</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（3）估值错误处理程序</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估值错误被发现后，有关的当事人应当及时进行处理，处理的程序如下：</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1）查明估值错误发生的原因，列明所有的当事人，并根据估值错误发生的原因确定估值错误的责任方；</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2）根据估值错误处理原则或当事人协商的方法对因估值错误造成的损失进行评估；</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3）根据估值错误处理原则或当事人协商的方法由估值错误的责任方进行更正和赔偿损失；</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（4）基金份额净值估值错误处理的方法如下：</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1）基金份额净值计算出现错误时，基金管理人应当立即予以纠正，通报基金托管人，并采取合理的措施防止损失进一步扩大。</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2）错误偏差达到该类基金份额净值的0.25%时，基金管理人应当通报基金托管人并报中国证监会备案；错误偏差达到该类基金份额净值的0.5%时，基金管理人应当公告，并报中国证监会备案。</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3）基金管理人和基金托管人由于各自技术系统设置而产生的净值计算尾差，以基金管理人计算结果为准。</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4）前述内容如法律法规或监管机关另有规定的，从其规定处理。如果行业另有通行做法，基金管理人、基金托管人应本着平等和保护基金份额持有人利益的原则进行协商。</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5、暂停估值的情形</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（1）基金投资所涉及的证券、期货交易市场或外汇市场遇法定节假日或因其他原因暂停营业时；</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（2）因不可抗力致使基金管理人、基金托管人无法准确评估基金资产价值时；</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（3）当特定资产占前一估值日基金资产净值50%以上的，经与基金托管人协商确认后，基金管理人应当暂停估值；</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（4）法律法规规定、中国证监会和基金合同认定的其它情形。</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6、基金净值的确认</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 xml:space="preserve">7、特殊情形的处理 </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（1）基金管理人或基金托管人按估值方法的第</w:t>
      </w:r>
      <w:r>
        <w:rPr>
          <w:rFonts w:cs="Arial" w:asciiTheme="minorEastAsia" w:hAnsiTheme="minorEastAsia" w:eastAsiaTheme="minorEastAsia"/>
          <w:kern w:val="0"/>
          <w:szCs w:val="21"/>
        </w:rPr>
        <w:t>（</w:t>
      </w:r>
      <w:r>
        <w:rPr>
          <w:rFonts w:hint="eastAsia" w:cs="Arial" w:asciiTheme="minorEastAsia" w:hAnsiTheme="minorEastAsia" w:eastAsiaTheme="minorEastAsia"/>
          <w:kern w:val="0"/>
          <w:szCs w:val="21"/>
        </w:rPr>
        <w:t>11</w:t>
      </w:r>
      <w:r>
        <w:rPr>
          <w:rFonts w:cs="Arial" w:asciiTheme="minorEastAsia" w:hAnsiTheme="minorEastAsia" w:eastAsiaTheme="minorEastAsia"/>
          <w:kern w:val="0"/>
          <w:szCs w:val="21"/>
        </w:rPr>
        <w:t>）</w:t>
      </w:r>
      <w:r>
        <w:rPr>
          <w:rFonts w:hint="eastAsia" w:cs="Arial" w:asciiTheme="minorEastAsia" w:hAnsiTheme="minorEastAsia" w:eastAsiaTheme="minorEastAsia"/>
          <w:kern w:val="0"/>
          <w:szCs w:val="21"/>
        </w:rPr>
        <w:t>项进行估值时，所造成的误差不作为基金资产估值错误处理。</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2）由于不可抗力原因，或由于证券、期货交易所或登记结算公司及存款银行等第三方机构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（三）基金账册的建立</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基金管理人和基金托管人在《基金合同》生效后，应按照双方约定的同一记账方法和会计处理原则，分别独立地设置、记录和保管本基金的全套账册，对双方各自的账册定期进行核对，互相监督，以保证基金资产的安全。若双方对会计处理方法存在分歧，应以基金管理人的处理方法为准。</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经对账发现双方的账目存在不符的，基金管理人和基金托管人必须及时查明原因并纠正，保证双方平行登录的账册记录完全相符。若当日核对不符，暂时无法查找到错账的原因而影响到基金净值信息的计算和公告的，以基金管理人的账册为准。</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（四）基金定期报告的编制和复核</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基金管理人应当在每月结束后5个工作日内完成月度报表的编制；在季度结束之日起15个工作日内完成基金季度报告的编制；在上半年结束之日起两个月内完成基金中期报告的编制；在每年结束之日起三个月内完成基金年度报告的编制。基金年度报告中的财务会计报告应当经过符合《中华人民共和国证券法》规定的会计师事务所审计。基金合同生效不足两个月的，基金管理人可以不编制当期季度报告、中期报告或者年度报告。</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基金托管人在复核过程中，发现双方的报表存在不符时，基金管理人和基金托管人应共同查明原因，进行调整，调整以双方认可的账务处理方式为准。核对无误后，基金托管人在基金管理人提供的报告上加盖业务印鉴或者出具加盖托管业务部门公章的复核意见书，双方各自留存一份。</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基金托管人在对财务会计报告、中期报告或年度报告复核完毕后，需盖章确认或出具相应的复核确认书或进行电子确认，以备有权机构对相关文件审核时提示。</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（五）实施侧袋机制期间的基金资产估值</w:t>
      </w:r>
    </w:p>
    <w:p>
      <w:pPr>
        <w:autoSpaceDE w:val="0"/>
        <w:autoSpaceDN w:val="0"/>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本基金实施侧袋机制的，应根据本部分的约定对主袋账户资产进行估值并披露主袋账户的基金净值信息，暂停披露侧袋账户基金净值信息。</w:t>
      </w:r>
    </w:p>
    <w:p>
      <w:pPr>
        <w:autoSpaceDE w:val="0"/>
        <w:autoSpaceDN w:val="0"/>
        <w:adjustRightInd w:val="0"/>
        <w:snapToGrid w:val="0"/>
        <w:spacing w:line="360" w:lineRule="auto"/>
        <w:ind w:firstLine="424" w:firstLineChars="201"/>
        <w:jc w:val="left"/>
        <w:rPr>
          <w:rFonts w:asciiTheme="minorEastAsia" w:hAnsiTheme="minorEastAsia" w:eastAsiaTheme="minorEastAsia"/>
          <w:b/>
          <w:kern w:val="0"/>
          <w:szCs w:val="21"/>
        </w:rPr>
      </w:pPr>
      <w:r>
        <w:rPr>
          <w:rFonts w:hint="eastAsia" w:asciiTheme="minorEastAsia" w:hAnsiTheme="minorEastAsia" w:eastAsiaTheme="minorEastAsia"/>
          <w:b/>
          <w:kern w:val="0"/>
          <w:szCs w:val="21"/>
        </w:rPr>
        <w:t>六、基金份额持有人名册的保管</w:t>
      </w:r>
    </w:p>
    <w:p>
      <w:pPr>
        <w:adjustRightInd w:val="0"/>
        <w:snapToGrid w:val="0"/>
        <w:spacing w:line="360" w:lineRule="auto"/>
        <w:ind w:firstLine="420" w:firstLineChars="200"/>
        <w:rPr>
          <w:rFonts w:hAnsi="宋体"/>
        </w:rPr>
      </w:pPr>
      <w:r>
        <w:rPr>
          <w:rFonts w:hint="eastAsia" w:hAnsi="宋体"/>
        </w:rPr>
        <w:t>基金管理人和基金托管人须分别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w:t>
      </w:r>
    </w:p>
    <w:p>
      <w:pPr>
        <w:adjustRightInd w:val="0"/>
        <w:snapToGrid w:val="0"/>
        <w:spacing w:line="360" w:lineRule="auto"/>
        <w:ind w:firstLine="420" w:firstLineChars="200"/>
        <w:rPr>
          <w:rFonts w:hAnsi="宋体"/>
        </w:rPr>
      </w:pPr>
      <w:r>
        <w:rPr>
          <w:rFonts w:hint="eastAsia" w:hAnsi="宋体"/>
        </w:rPr>
        <w:t>基金份额持有人名册由基金的登记机构根据基金管理人的指令编制和保管，基金管理人和基金托管人应按照目前相关规则分别保管基金份额持有人名册。保管方式可以采用电子或文档的形式。保管期限不低于法律法规规定的最低期限。</w:t>
      </w:r>
    </w:p>
    <w:p>
      <w:pPr>
        <w:adjustRightInd w:val="0"/>
        <w:snapToGrid w:val="0"/>
        <w:spacing w:line="360" w:lineRule="auto"/>
        <w:ind w:firstLine="420" w:firstLineChars="200"/>
        <w:rPr>
          <w:rFonts w:hAnsi="宋体"/>
        </w:rPr>
      </w:pPr>
      <w:r>
        <w:rPr>
          <w:rFonts w:hint="eastAsia" w:hAnsi="宋体"/>
        </w:rPr>
        <w:t>基金管理人应当及时向基金托管人提交下列日期的基金份额持有人名册：《基金合同》生效日、《基金合同》终止日、基金份额持有人大会权益登记日、每年6月30日、每年12月31日的基金份额持有人名册。基金份额持有人名册的内容必须包括基金份额持有人的名称和持有的基金份额。其中每年12月31日的基金份额持有人名册应于下月前十个工作日内提交；《基金合同》生效日、《基金合同》终止日、基金份额持有人大会权益登记日等涉及到基金重要事项日期的基金份额持有人名册应于发生日后十个工作日内提交。</w:t>
      </w:r>
    </w:p>
    <w:p>
      <w:pPr>
        <w:adjustRightInd w:val="0"/>
        <w:snapToGrid w:val="0"/>
        <w:spacing w:line="360" w:lineRule="auto"/>
        <w:ind w:firstLine="420" w:firstLineChars="200"/>
        <w:rPr>
          <w:rFonts w:hAnsi="宋体"/>
        </w:rPr>
      </w:pPr>
      <w:r>
        <w:rPr>
          <w:rFonts w:hint="eastAsia" w:hAnsi="宋体"/>
        </w:rPr>
        <w:t>基金托管人以电子版形式妥善保管基金份额持有人名册，并定期刻成光盘备份，保存期限不低于法律法规规定的最低期限。基金托管人不得将所保管的基金份额持有人名册用于基金托管业务以外的其他用途，并应遵守保密义务。</w:t>
      </w:r>
    </w:p>
    <w:p>
      <w:pPr>
        <w:adjustRightInd w:val="0"/>
        <w:snapToGrid w:val="0"/>
        <w:spacing w:line="360" w:lineRule="auto"/>
        <w:ind w:firstLine="420" w:firstLineChars="200"/>
        <w:rPr>
          <w:rFonts w:hAnsi="宋体"/>
        </w:rPr>
      </w:pPr>
      <w:r>
        <w:rPr>
          <w:rFonts w:hint="eastAsia" w:hAnsi="宋体"/>
        </w:rPr>
        <w:t>若基金管理人或基金托管人由于自身原因无法妥善保管基金份额持有人名册，应按有关法规规定各自承担相应的责任</w:t>
      </w:r>
      <w:r>
        <w:rPr>
          <w:rFonts w:hAnsi="宋体"/>
        </w:rPr>
        <w:t>。</w:t>
      </w:r>
    </w:p>
    <w:p>
      <w:pPr>
        <w:adjustRightInd w:val="0"/>
        <w:snapToGrid w:val="0"/>
        <w:spacing w:line="360" w:lineRule="auto"/>
        <w:ind w:firstLine="422" w:firstLineChars="200"/>
        <w:rPr>
          <w:rFonts w:hAnsi="宋体"/>
          <w:b/>
          <w:bCs/>
        </w:rPr>
      </w:pPr>
      <w:r>
        <w:rPr>
          <w:rFonts w:hint="eastAsia" w:hAnsi="宋体"/>
          <w:b/>
          <w:bCs/>
        </w:rPr>
        <w:t>七、争议解决方式</w:t>
      </w:r>
    </w:p>
    <w:p>
      <w:pPr>
        <w:adjustRightInd w:val="0"/>
        <w:snapToGrid w:val="0"/>
        <w:spacing w:line="360" w:lineRule="auto"/>
        <w:ind w:firstLine="422" w:firstLineChars="200"/>
        <w:rPr>
          <w:rFonts w:hAnsi="宋体"/>
          <w:b/>
          <w:bCs/>
          <w:i/>
          <w:iCs/>
        </w:rPr>
      </w:pPr>
      <w:r>
        <w:rPr>
          <w:rFonts w:hint="eastAsia" w:hAnsi="宋体"/>
          <w:b/>
          <w:bCs/>
          <w:i/>
          <w:iCs/>
        </w:rPr>
        <w:t>双方当事人同意，因本协议而产生的或与本协议有关的一切争议如不愿或者不能通过协商、调解解决的，应将争议提交深圳国际仲裁院（深圳仲裁委员会），根据该会当时有效的仲裁规则进行仲裁，仲裁的地点在深圳市，仲裁裁决是终局的，并对相关各方当事人均有约束力。除非仲裁裁决另有规定，仲裁费用、律师费用由败诉方承担。</w:t>
      </w:r>
    </w:p>
    <w:p>
      <w:pPr>
        <w:adjustRightInd w:val="0"/>
        <w:snapToGrid w:val="0"/>
        <w:spacing w:line="360" w:lineRule="auto"/>
        <w:ind w:firstLine="422" w:firstLineChars="200"/>
        <w:rPr>
          <w:rFonts w:hAnsi="宋体"/>
          <w:b/>
          <w:bCs/>
          <w:i/>
          <w:iCs/>
        </w:rPr>
      </w:pPr>
      <w:r>
        <w:rPr>
          <w:rFonts w:hint="eastAsia" w:hAnsi="宋体"/>
          <w:b/>
          <w:bCs/>
          <w:i/>
          <w:iCs/>
        </w:rPr>
        <w:t>争议处理期间，双方当事人应恪守基金管理人和基金托管人职责，各自继续忠实、勤勉、尽责地履行基金合同和托管协议规定的义务，维护基金份额持有人的合法权益。</w:t>
      </w:r>
    </w:p>
    <w:p>
      <w:pPr>
        <w:adjustRightInd w:val="0"/>
        <w:snapToGrid w:val="0"/>
        <w:spacing w:line="360" w:lineRule="auto"/>
        <w:ind w:firstLine="422" w:firstLineChars="200"/>
        <w:rPr>
          <w:rFonts w:hAnsi="宋体"/>
          <w:b/>
          <w:bCs/>
          <w:i/>
          <w:iCs/>
        </w:rPr>
      </w:pPr>
      <w:r>
        <w:rPr>
          <w:rFonts w:hint="eastAsia" w:hAnsi="宋体"/>
          <w:b/>
          <w:bCs/>
          <w:i/>
          <w:iCs/>
        </w:rPr>
        <w:t>本协议受中国法律（为本托管协议之目的，在此不包括香港、澳门特别行政区和台湾地区法律）管辖并从其解释。</w:t>
      </w:r>
    </w:p>
    <w:p>
      <w:pPr>
        <w:adjustRightInd w:val="0"/>
        <w:snapToGrid w:val="0"/>
        <w:spacing w:line="360" w:lineRule="auto"/>
        <w:ind w:firstLine="422" w:firstLineChars="200"/>
        <w:rPr>
          <w:rFonts w:hAnsi="宋体"/>
          <w:b/>
          <w:bCs/>
        </w:rPr>
      </w:pPr>
      <w:r>
        <w:rPr>
          <w:rFonts w:hint="eastAsia" w:hAnsi="宋体"/>
          <w:b/>
          <w:bCs/>
        </w:rPr>
        <w:t>八、托管协议的变更、终止与基金财产的清算</w:t>
      </w:r>
    </w:p>
    <w:p>
      <w:pPr>
        <w:autoSpaceDE w:val="0"/>
        <w:autoSpaceDN w:val="0"/>
        <w:adjustRightInd w:val="0"/>
        <w:snapToGrid w:val="0"/>
        <w:spacing w:line="360" w:lineRule="auto"/>
        <w:ind w:firstLine="422" w:firstLineChars="201"/>
        <w:jc w:val="left"/>
        <w:rPr>
          <w:rFonts w:ascii="宋体" w:hAnsi="宋体"/>
          <w:bCs/>
          <w:szCs w:val="21"/>
        </w:rPr>
      </w:pPr>
      <w:r>
        <w:rPr>
          <w:rFonts w:hint="eastAsia" w:ascii="宋体" w:hAnsi="宋体"/>
          <w:bCs/>
          <w:szCs w:val="21"/>
        </w:rPr>
        <w:t>（一）托管协议的变更与终止</w:t>
      </w:r>
    </w:p>
    <w:p>
      <w:pPr>
        <w:autoSpaceDE w:val="0"/>
        <w:autoSpaceDN w:val="0"/>
        <w:adjustRightInd w:val="0"/>
        <w:snapToGrid w:val="0"/>
        <w:spacing w:line="360" w:lineRule="auto"/>
        <w:ind w:firstLine="422" w:firstLineChars="201"/>
        <w:jc w:val="left"/>
        <w:rPr>
          <w:rFonts w:ascii="宋体" w:hAnsi="宋体"/>
          <w:bCs/>
          <w:szCs w:val="21"/>
        </w:rPr>
      </w:pPr>
      <w:r>
        <w:rPr>
          <w:rFonts w:hint="eastAsia" w:ascii="宋体" w:hAnsi="宋体"/>
          <w:bCs/>
          <w:szCs w:val="21"/>
        </w:rPr>
        <w:t>1、托管协议的变更程序</w:t>
      </w:r>
    </w:p>
    <w:p>
      <w:pPr>
        <w:autoSpaceDE w:val="0"/>
        <w:autoSpaceDN w:val="0"/>
        <w:adjustRightInd w:val="0"/>
        <w:snapToGrid w:val="0"/>
        <w:spacing w:line="360" w:lineRule="auto"/>
        <w:ind w:firstLine="422" w:firstLineChars="201"/>
        <w:jc w:val="left"/>
        <w:rPr>
          <w:rFonts w:ascii="宋体" w:hAnsi="宋体"/>
          <w:bCs/>
          <w:szCs w:val="21"/>
        </w:rPr>
      </w:pPr>
      <w:r>
        <w:rPr>
          <w:rFonts w:hint="eastAsia" w:ascii="宋体" w:hAnsi="宋体"/>
          <w:bCs/>
          <w:szCs w:val="21"/>
        </w:rPr>
        <w:t>本协议双方当事人经协商一致，可以对协议的内容进行变更。变更后的托管协议，其内容不得与《基金合同》的规定有任何冲突。</w:t>
      </w:r>
    </w:p>
    <w:p>
      <w:pPr>
        <w:autoSpaceDE w:val="0"/>
        <w:autoSpaceDN w:val="0"/>
        <w:adjustRightInd w:val="0"/>
        <w:snapToGrid w:val="0"/>
        <w:spacing w:line="360" w:lineRule="auto"/>
        <w:ind w:firstLine="422" w:firstLineChars="201"/>
        <w:jc w:val="left"/>
        <w:rPr>
          <w:rFonts w:ascii="宋体" w:hAnsi="宋体"/>
          <w:bCs/>
          <w:szCs w:val="21"/>
        </w:rPr>
      </w:pPr>
      <w:r>
        <w:rPr>
          <w:rFonts w:hint="eastAsia" w:ascii="宋体" w:hAnsi="宋体"/>
          <w:bCs/>
          <w:szCs w:val="21"/>
        </w:rPr>
        <w:t>2、基金托管协议终止的情形</w:t>
      </w:r>
    </w:p>
    <w:p>
      <w:pPr>
        <w:autoSpaceDE w:val="0"/>
        <w:autoSpaceDN w:val="0"/>
        <w:adjustRightInd w:val="0"/>
        <w:snapToGrid w:val="0"/>
        <w:spacing w:line="360" w:lineRule="auto"/>
        <w:ind w:firstLine="422" w:firstLineChars="201"/>
        <w:jc w:val="left"/>
        <w:rPr>
          <w:rFonts w:ascii="宋体" w:hAnsi="宋体"/>
          <w:bCs/>
          <w:szCs w:val="21"/>
        </w:rPr>
      </w:pPr>
      <w:r>
        <w:rPr>
          <w:rFonts w:hint="eastAsia" w:ascii="宋体" w:hAnsi="宋体"/>
          <w:bCs/>
          <w:szCs w:val="21"/>
        </w:rPr>
        <w:t>发生以下情况，本托管协议在履行适当程序后终止：</w:t>
      </w:r>
    </w:p>
    <w:p>
      <w:pPr>
        <w:autoSpaceDE w:val="0"/>
        <w:autoSpaceDN w:val="0"/>
        <w:adjustRightInd w:val="0"/>
        <w:snapToGrid w:val="0"/>
        <w:spacing w:line="360" w:lineRule="auto"/>
        <w:ind w:firstLine="422" w:firstLineChars="201"/>
        <w:jc w:val="left"/>
        <w:rPr>
          <w:rFonts w:ascii="宋体" w:hAnsi="宋体"/>
          <w:bCs/>
          <w:szCs w:val="21"/>
        </w:rPr>
      </w:pPr>
      <w:r>
        <w:rPr>
          <w:rFonts w:hint="eastAsia" w:ascii="宋体" w:hAnsi="宋体"/>
          <w:bCs/>
          <w:szCs w:val="21"/>
        </w:rPr>
        <w:t>（1）《基金合同》终止；</w:t>
      </w:r>
    </w:p>
    <w:p>
      <w:pPr>
        <w:autoSpaceDE w:val="0"/>
        <w:autoSpaceDN w:val="0"/>
        <w:adjustRightInd w:val="0"/>
        <w:snapToGrid w:val="0"/>
        <w:spacing w:line="360" w:lineRule="auto"/>
        <w:ind w:firstLine="422" w:firstLineChars="201"/>
        <w:jc w:val="left"/>
        <w:rPr>
          <w:rFonts w:ascii="宋体" w:hAnsi="宋体"/>
          <w:bCs/>
          <w:szCs w:val="21"/>
        </w:rPr>
      </w:pPr>
      <w:r>
        <w:rPr>
          <w:rFonts w:hint="eastAsia" w:ascii="宋体" w:hAnsi="宋体"/>
          <w:bCs/>
          <w:szCs w:val="21"/>
        </w:rPr>
        <w:t>（2）发生法律法规或《基金合同》规定的终止事项。</w:t>
      </w:r>
    </w:p>
    <w:p>
      <w:pPr>
        <w:autoSpaceDE w:val="0"/>
        <w:autoSpaceDN w:val="0"/>
        <w:adjustRightInd w:val="0"/>
        <w:snapToGrid w:val="0"/>
        <w:spacing w:line="360" w:lineRule="auto"/>
        <w:ind w:firstLine="422" w:firstLineChars="201"/>
        <w:jc w:val="left"/>
        <w:rPr>
          <w:rFonts w:ascii="宋体" w:hAnsi="宋体"/>
          <w:bCs/>
          <w:szCs w:val="21"/>
        </w:rPr>
      </w:pPr>
      <w:r>
        <w:rPr>
          <w:rFonts w:hint="eastAsia" w:ascii="宋体" w:hAnsi="宋体"/>
          <w:bCs/>
          <w:szCs w:val="21"/>
        </w:rPr>
        <w:t>（二）基金财产的清算</w:t>
      </w:r>
    </w:p>
    <w:p>
      <w:pPr>
        <w:autoSpaceDE w:val="0"/>
        <w:autoSpaceDN w:val="0"/>
        <w:adjustRightInd w:val="0"/>
        <w:snapToGrid w:val="0"/>
        <w:spacing w:line="360" w:lineRule="auto"/>
        <w:ind w:firstLine="422" w:firstLineChars="201"/>
        <w:jc w:val="left"/>
        <w:rPr>
          <w:rFonts w:ascii="宋体" w:hAnsi="宋体"/>
          <w:bCs/>
          <w:szCs w:val="21"/>
        </w:rPr>
      </w:pPr>
      <w:r>
        <w:rPr>
          <w:rFonts w:hint="eastAsia" w:ascii="宋体" w:hAnsi="宋体"/>
          <w:bCs/>
          <w:szCs w:val="21"/>
        </w:rPr>
        <w:t>1、基金财产清算小组：自出现《基金合同》终止事由之日起30个工作日内成立基金财产清算小组，基金管理人组织基金财产清算小组并在中国证监会的监督下进行基金清算。</w:t>
      </w:r>
    </w:p>
    <w:p>
      <w:pPr>
        <w:autoSpaceDE w:val="0"/>
        <w:autoSpaceDN w:val="0"/>
        <w:adjustRightInd w:val="0"/>
        <w:snapToGrid w:val="0"/>
        <w:spacing w:line="360" w:lineRule="auto"/>
        <w:ind w:firstLine="422" w:firstLineChars="201"/>
        <w:jc w:val="left"/>
        <w:rPr>
          <w:rFonts w:ascii="宋体" w:hAnsi="宋体"/>
          <w:bCs/>
          <w:szCs w:val="21"/>
        </w:rPr>
      </w:pPr>
      <w:r>
        <w:rPr>
          <w:rFonts w:hint="eastAsia" w:ascii="宋体" w:hAnsi="宋体"/>
          <w:bCs/>
          <w:szCs w:val="21"/>
        </w:rPr>
        <w:t>2、在基金财产清算小组接管基金财产之前，基金管理人和基金托管人应按照《基金合同》和托管协议的规定继续履行保护基金财产安全的职责。</w:t>
      </w:r>
    </w:p>
    <w:p>
      <w:pPr>
        <w:autoSpaceDE w:val="0"/>
        <w:autoSpaceDN w:val="0"/>
        <w:adjustRightInd w:val="0"/>
        <w:snapToGrid w:val="0"/>
        <w:spacing w:line="360" w:lineRule="auto"/>
        <w:ind w:firstLine="422" w:firstLineChars="201"/>
        <w:jc w:val="left"/>
        <w:rPr>
          <w:rFonts w:ascii="宋体" w:hAnsi="宋体"/>
          <w:bCs/>
          <w:szCs w:val="21"/>
        </w:rPr>
      </w:pPr>
      <w:r>
        <w:rPr>
          <w:rFonts w:hint="eastAsia" w:ascii="宋体" w:hAnsi="宋体"/>
          <w:bCs/>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22" w:firstLineChars="201"/>
        <w:jc w:val="left"/>
        <w:rPr>
          <w:rFonts w:ascii="宋体" w:hAnsi="宋体"/>
          <w:bCs/>
          <w:szCs w:val="21"/>
        </w:rPr>
      </w:pPr>
      <w:r>
        <w:rPr>
          <w:rFonts w:hint="eastAsia" w:ascii="宋体" w:hAnsi="宋体"/>
          <w:bCs/>
          <w:szCs w:val="21"/>
        </w:rPr>
        <w:t>4、基金财产清算小组职责：基金财产清算小组负责基金财产的保管、清理、估价、变现和分配。基金财产清算小组可以依法进行必要的民事活动。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22" w:firstLineChars="201"/>
        <w:jc w:val="left"/>
        <w:rPr>
          <w:rFonts w:ascii="宋体" w:hAnsi="宋体"/>
          <w:bCs/>
          <w:szCs w:val="21"/>
        </w:rPr>
      </w:pPr>
      <w:r>
        <w:rPr>
          <w:rFonts w:hint="eastAsia" w:ascii="宋体" w:hAnsi="宋体"/>
          <w:bCs/>
          <w:szCs w:val="21"/>
        </w:rPr>
        <w:t>5、在基金财产清算过程中，基金管理人和基金托管人应各自履行职责，继续忠实、勤勉、尽责地履行基金合同和托管协议规定的义务，维护基金份额持有人的合法权益。</w:t>
      </w:r>
    </w:p>
    <w:p>
      <w:pPr>
        <w:autoSpaceDE w:val="0"/>
        <w:autoSpaceDN w:val="0"/>
        <w:adjustRightInd w:val="0"/>
        <w:snapToGrid w:val="0"/>
        <w:spacing w:line="360" w:lineRule="auto"/>
        <w:ind w:firstLine="422" w:firstLineChars="201"/>
        <w:jc w:val="left"/>
        <w:rPr>
          <w:rFonts w:ascii="宋体" w:hAnsi="宋体"/>
          <w:bCs/>
          <w:szCs w:val="21"/>
        </w:rPr>
      </w:pPr>
      <w:r>
        <w:rPr>
          <w:rFonts w:hint="eastAsia" w:ascii="宋体" w:hAnsi="宋体"/>
          <w:bCs/>
          <w:szCs w:val="21"/>
        </w:rPr>
        <w:t>6、基金财产清算程序：</w:t>
      </w:r>
    </w:p>
    <w:p>
      <w:pPr>
        <w:autoSpaceDE w:val="0"/>
        <w:autoSpaceDN w:val="0"/>
        <w:adjustRightInd w:val="0"/>
        <w:snapToGrid w:val="0"/>
        <w:spacing w:line="360" w:lineRule="auto"/>
        <w:ind w:firstLine="422" w:firstLineChars="201"/>
        <w:jc w:val="left"/>
        <w:rPr>
          <w:rFonts w:ascii="宋体" w:hAnsi="宋体"/>
          <w:bCs/>
          <w:szCs w:val="21"/>
        </w:rPr>
      </w:pPr>
      <w:r>
        <w:rPr>
          <w:rFonts w:hint="eastAsia" w:ascii="宋体" w:hAnsi="宋体"/>
          <w:bCs/>
          <w:szCs w:val="21"/>
        </w:rPr>
        <w:t>（1）《基金合同》终止情形出现时，由基金财产清算小组统一接管基金；</w:t>
      </w:r>
    </w:p>
    <w:p>
      <w:pPr>
        <w:autoSpaceDE w:val="0"/>
        <w:autoSpaceDN w:val="0"/>
        <w:adjustRightInd w:val="0"/>
        <w:snapToGrid w:val="0"/>
        <w:spacing w:line="360" w:lineRule="auto"/>
        <w:ind w:firstLine="422" w:firstLineChars="201"/>
        <w:jc w:val="left"/>
        <w:rPr>
          <w:rFonts w:ascii="宋体" w:hAnsi="宋体"/>
          <w:bCs/>
          <w:szCs w:val="21"/>
        </w:rPr>
      </w:pPr>
      <w:r>
        <w:rPr>
          <w:rFonts w:hint="eastAsia" w:ascii="宋体" w:hAnsi="宋体"/>
          <w:bCs/>
          <w:szCs w:val="21"/>
        </w:rPr>
        <w:t>（2）对基金财产和债权债务进行清理和确认；</w:t>
      </w:r>
    </w:p>
    <w:p>
      <w:pPr>
        <w:autoSpaceDE w:val="0"/>
        <w:autoSpaceDN w:val="0"/>
        <w:adjustRightInd w:val="0"/>
        <w:snapToGrid w:val="0"/>
        <w:spacing w:line="360" w:lineRule="auto"/>
        <w:ind w:firstLine="422" w:firstLineChars="201"/>
        <w:jc w:val="left"/>
        <w:rPr>
          <w:rFonts w:ascii="宋体" w:hAnsi="宋体"/>
          <w:bCs/>
          <w:szCs w:val="21"/>
        </w:rPr>
      </w:pPr>
      <w:r>
        <w:rPr>
          <w:rFonts w:hint="eastAsia" w:ascii="宋体" w:hAnsi="宋体"/>
          <w:bCs/>
          <w:szCs w:val="21"/>
        </w:rPr>
        <w:t>（3）对基金财产进行估值和变现；</w:t>
      </w:r>
    </w:p>
    <w:p>
      <w:pPr>
        <w:autoSpaceDE w:val="0"/>
        <w:autoSpaceDN w:val="0"/>
        <w:adjustRightInd w:val="0"/>
        <w:snapToGrid w:val="0"/>
        <w:spacing w:line="360" w:lineRule="auto"/>
        <w:ind w:firstLine="422" w:firstLineChars="201"/>
        <w:jc w:val="left"/>
        <w:rPr>
          <w:rFonts w:ascii="宋体" w:hAnsi="宋体"/>
          <w:bCs/>
          <w:szCs w:val="21"/>
        </w:rPr>
      </w:pPr>
      <w:r>
        <w:rPr>
          <w:rFonts w:hint="eastAsia" w:ascii="宋体" w:hAnsi="宋体"/>
          <w:bCs/>
          <w:szCs w:val="21"/>
        </w:rPr>
        <w:t>（4）制作清算报告；</w:t>
      </w:r>
    </w:p>
    <w:p>
      <w:pPr>
        <w:autoSpaceDE w:val="0"/>
        <w:autoSpaceDN w:val="0"/>
        <w:adjustRightInd w:val="0"/>
        <w:snapToGrid w:val="0"/>
        <w:spacing w:line="360" w:lineRule="auto"/>
        <w:ind w:firstLine="422" w:firstLineChars="201"/>
        <w:jc w:val="left"/>
        <w:rPr>
          <w:rFonts w:ascii="宋体" w:hAnsi="宋体"/>
          <w:bCs/>
          <w:szCs w:val="21"/>
        </w:rPr>
      </w:pPr>
      <w:r>
        <w:rPr>
          <w:rFonts w:hint="eastAsia" w:ascii="宋体" w:hAnsi="宋体"/>
          <w:bCs/>
          <w:szCs w:val="21"/>
        </w:rPr>
        <w:t>（5）聘请会计师事务所对清算报告进行外部审计，聘请律师事务所对清算报告出具法律意见书；</w:t>
      </w:r>
    </w:p>
    <w:p>
      <w:pPr>
        <w:autoSpaceDE w:val="0"/>
        <w:autoSpaceDN w:val="0"/>
        <w:adjustRightInd w:val="0"/>
        <w:snapToGrid w:val="0"/>
        <w:spacing w:line="360" w:lineRule="auto"/>
        <w:ind w:firstLine="422" w:firstLineChars="201"/>
        <w:jc w:val="left"/>
        <w:rPr>
          <w:rFonts w:ascii="宋体" w:hAnsi="宋体"/>
          <w:bCs/>
          <w:szCs w:val="21"/>
        </w:rPr>
      </w:pPr>
      <w:r>
        <w:rPr>
          <w:rFonts w:hint="eastAsia" w:ascii="宋体" w:hAnsi="宋体"/>
          <w:bCs/>
          <w:szCs w:val="21"/>
        </w:rPr>
        <w:t>（6）将清算报告报中国证监会备案并公告；</w:t>
      </w:r>
    </w:p>
    <w:p>
      <w:pPr>
        <w:autoSpaceDE w:val="0"/>
        <w:autoSpaceDN w:val="0"/>
        <w:adjustRightInd w:val="0"/>
        <w:snapToGrid w:val="0"/>
        <w:spacing w:line="360" w:lineRule="auto"/>
        <w:ind w:firstLine="422" w:firstLineChars="201"/>
        <w:jc w:val="left"/>
        <w:rPr>
          <w:rFonts w:ascii="宋体" w:hAnsi="宋体"/>
          <w:bCs/>
          <w:szCs w:val="21"/>
        </w:rPr>
      </w:pPr>
      <w:r>
        <w:rPr>
          <w:rFonts w:hint="eastAsia" w:ascii="宋体" w:hAnsi="宋体"/>
          <w:bCs/>
          <w:szCs w:val="21"/>
        </w:rPr>
        <w:t>（7）对基金剩余财产进行分配。</w:t>
      </w:r>
    </w:p>
    <w:p>
      <w:pPr>
        <w:autoSpaceDE w:val="0"/>
        <w:autoSpaceDN w:val="0"/>
        <w:adjustRightInd w:val="0"/>
        <w:snapToGrid w:val="0"/>
        <w:spacing w:line="360" w:lineRule="auto"/>
        <w:ind w:firstLine="422" w:firstLineChars="201"/>
        <w:jc w:val="left"/>
        <w:rPr>
          <w:rFonts w:ascii="宋体" w:hAnsi="宋体"/>
          <w:bCs/>
          <w:szCs w:val="21"/>
        </w:rPr>
      </w:pPr>
      <w:r>
        <w:rPr>
          <w:rFonts w:hint="eastAsia" w:ascii="宋体" w:hAnsi="宋体"/>
          <w:bCs/>
          <w:szCs w:val="21"/>
        </w:rPr>
        <w:t>7、基金财产清算的期限为6个月，但因本基金所持证券的流动性受到限制而不能及时变现的，清算期限可相应顺延。</w:t>
      </w:r>
    </w:p>
    <w:p>
      <w:pPr>
        <w:autoSpaceDE w:val="0"/>
        <w:autoSpaceDN w:val="0"/>
        <w:adjustRightInd w:val="0"/>
        <w:snapToGrid w:val="0"/>
        <w:spacing w:line="360" w:lineRule="auto"/>
        <w:ind w:firstLine="422" w:firstLineChars="201"/>
        <w:jc w:val="left"/>
        <w:rPr>
          <w:rFonts w:ascii="宋体" w:hAnsi="宋体"/>
          <w:bCs/>
          <w:szCs w:val="21"/>
        </w:rPr>
      </w:pPr>
      <w:r>
        <w:rPr>
          <w:rFonts w:hint="eastAsia" w:ascii="宋体" w:hAnsi="宋体"/>
          <w:bCs/>
          <w:szCs w:val="21"/>
        </w:rPr>
        <w:t>（三）基金财产清算的公告</w:t>
      </w:r>
    </w:p>
    <w:p>
      <w:pPr>
        <w:autoSpaceDE w:val="0"/>
        <w:autoSpaceDN w:val="0"/>
        <w:adjustRightInd w:val="0"/>
        <w:snapToGrid w:val="0"/>
        <w:spacing w:line="360" w:lineRule="auto"/>
        <w:ind w:firstLine="422" w:firstLineChars="201"/>
        <w:jc w:val="left"/>
        <w:rPr>
          <w:rFonts w:ascii="宋体" w:hAnsi="宋体"/>
          <w:bCs/>
          <w:szCs w:val="21"/>
        </w:rPr>
      </w:pPr>
      <w:r>
        <w:rPr>
          <w:rFonts w:hint="eastAsia" w:ascii="宋体" w:hAnsi="宋体"/>
          <w:bCs/>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22" w:firstLineChars="201"/>
        <w:jc w:val="left"/>
        <w:rPr>
          <w:rFonts w:ascii="宋体" w:hAnsi="宋体"/>
          <w:bCs/>
          <w:szCs w:val="21"/>
        </w:rPr>
      </w:pPr>
      <w:r>
        <w:rPr>
          <w:rFonts w:hint="eastAsia" w:ascii="宋体" w:hAnsi="宋体"/>
          <w:bCs/>
          <w:szCs w:val="21"/>
        </w:rPr>
        <w:t>（四）基金财产清算账册及文件的保存</w:t>
      </w:r>
    </w:p>
    <w:p>
      <w:pPr>
        <w:autoSpaceDE w:val="0"/>
        <w:autoSpaceDN w:val="0"/>
        <w:adjustRightInd w:val="0"/>
        <w:snapToGrid w:val="0"/>
        <w:spacing w:line="360" w:lineRule="auto"/>
        <w:ind w:firstLine="422" w:firstLineChars="201"/>
        <w:jc w:val="left"/>
        <w:rPr>
          <w:rFonts w:ascii="宋体" w:hAnsi="宋体"/>
          <w:bCs/>
          <w:szCs w:val="21"/>
        </w:rPr>
        <w:sectPr>
          <w:footerReference r:id="rId31" w:type="first"/>
          <w:pgSz w:w="11906" w:h="16838"/>
          <w:pgMar w:top="1440" w:right="1800" w:bottom="1440" w:left="1800" w:header="851" w:footer="992" w:gutter="0"/>
          <w:cols w:space="425" w:num="1"/>
          <w:titlePg/>
          <w:docGrid w:type="lines" w:linePitch="312" w:charSpace="0"/>
        </w:sectPr>
      </w:pPr>
      <w:r>
        <w:rPr>
          <w:rFonts w:hint="eastAsia" w:ascii="宋体" w:hAnsi="宋体"/>
          <w:bCs/>
          <w:szCs w:val="21"/>
        </w:rPr>
        <w:t>基金财产清算账册及有关文件由基金托管人保存，保存期限不低于法律法规规定的最低期限。</w:t>
      </w:r>
      <w:bookmarkEnd w:id="209"/>
    </w:p>
    <w:p>
      <w:pPr>
        <w:pStyle w:val="3"/>
        <w:numPr>
          <w:ilvl w:val="0"/>
          <w:numId w:val="25"/>
        </w:numPr>
        <w:snapToGrid w:val="0"/>
        <w:spacing w:before="0" w:after="0" w:line="360" w:lineRule="auto"/>
        <w:jc w:val="center"/>
        <w:rPr>
          <w:rFonts w:asciiTheme="minorEastAsia" w:hAnsiTheme="minorEastAsia" w:eastAsiaTheme="minorEastAsia"/>
        </w:rPr>
      </w:pPr>
      <w:bookmarkStart w:id="216" w:name="_Toc332013130"/>
      <w:bookmarkStart w:id="217" w:name="_Toc369510028"/>
      <w:bookmarkStart w:id="218" w:name="_Toc29334"/>
      <w:bookmarkStart w:id="219" w:name="_Toc411872042"/>
      <w:bookmarkStart w:id="220" w:name="_Toc336606247"/>
      <w:bookmarkStart w:id="221" w:name="_Toc375295993"/>
      <w:bookmarkStart w:id="222" w:name="_Toc327902642"/>
      <w:bookmarkStart w:id="223" w:name="_Toc335899853"/>
      <w:bookmarkStart w:id="224" w:name="_Toc10616"/>
      <w:r>
        <w:rPr>
          <w:rFonts w:hint="eastAsia" w:asciiTheme="minorEastAsia" w:hAnsiTheme="minorEastAsia" w:eastAsiaTheme="minorEastAsia"/>
        </w:rPr>
        <w:t>基金份额持有人服务</w:t>
      </w:r>
      <w:bookmarkEnd w:id="216"/>
      <w:bookmarkEnd w:id="217"/>
      <w:bookmarkEnd w:id="218"/>
      <w:bookmarkEnd w:id="219"/>
      <w:bookmarkEnd w:id="220"/>
      <w:bookmarkEnd w:id="221"/>
      <w:bookmarkEnd w:id="222"/>
      <w:bookmarkEnd w:id="223"/>
      <w:bookmarkEnd w:id="224"/>
    </w:p>
    <w:p>
      <w:pPr>
        <w:autoSpaceDE w:val="0"/>
        <w:autoSpaceDN w:val="0"/>
        <w:adjustRightInd w:val="0"/>
        <w:snapToGrid w:val="0"/>
        <w:spacing w:line="360" w:lineRule="auto"/>
        <w:ind w:firstLine="420" w:firstLineChars="200"/>
        <w:rPr>
          <w:rFonts w:asciiTheme="minorEastAsia" w:hAnsiTheme="minorEastAsia" w:eastAsiaTheme="minorEastAsia"/>
          <w:spacing w:val="8"/>
          <w:szCs w:val="21"/>
        </w:rPr>
      </w:pPr>
      <w:r>
        <w:rPr>
          <w:rFonts w:hint="eastAsia" w:asciiTheme="minorEastAsia" w:hAnsiTheme="minorEastAsia" w:eastAsiaTheme="minorEastAsia"/>
          <w:szCs w:val="21"/>
        </w:rPr>
        <w:t>对本基金份额持有人的服务主要由基金管理人、基金销售机构提供。</w:t>
      </w:r>
      <w:r>
        <w:rPr>
          <w:rFonts w:asciiTheme="minorEastAsia" w:hAnsiTheme="minorEastAsia" w:eastAsiaTheme="minorEastAsia"/>
          <w:spacing w:val="8"/>
          <w:szCs w:val="21"/>
        </w:rPr>
        <w:t>基金管理人承诺为基金份额持有人提供一系列的服务</w:t>
      </w:r>
      <w:r>
        <w:rPr>
          <w:rFonts w:hint="eastAsia" w:asciiTheme="minorEastAsia" w:hAnsiTheme="minorEastAsia" w:eastAsiaTheme="minorEastAsia"/>
          <w:spacing w:val="8"/>
          <w:szCs w:val="21"/>
        </w:rPr>
        <w:t>，</w:t>
      </w:r>
      <w:r>
        <w:rPr>
          <w:rFonts w:asciiTheme="minorEastAsia" w:hAnsiTheme="minorEastAsia" w:eastAsiaTheme="minorEastAsia"/>
          <w:spacing w:val="8"/>
          <w:szCs w:val="21"/>
        </w:rPr>
        <w:t>根据基金份额持有人的需要和市场的变化，有权增加或变更服务项目</w:t>
      </w:r>
      <w:r>
        <w:rPr>
          <w:rFonts w:hint="eastAsia" w:asciiTheme="minorEastAsia" w:hAnsiTheme="minorEastAsia" w:eastAsiaTheme="minorEastAsia"/>
          <w:spacing w:val="8"/>
          <w:szCs w:val="21"/>
        </w:rPr>
        <w:t>，</w:t>
      </w:r>
      <w:r>
        <w:rPr>
          <w:rFonts w:asciiTheme="minorEastAsia" w:hAnsiTheme="minorEastAsia" w:eastAsiaTheme="minorEastAsia"/>
          <w:spacing w:val="8"/>
          <w:szCs w:val="21"/>
        </w:rPr>
        <w:t>主要服务内容如下：</w:t>
      </w:r>
    </w:p>
    <w:p>
      <w:pPr>
        <w:adjustRightInd w:val="0"/>
        <w:snapToGrid w:val="0"/>
        <w:spacing w:line="360" w:lineRule="auto"/>
        <w:ind w:firstLine="422" w:firstLineChars="200"/>
        <w:rPr>
          <w:rFonts w:cs="Arial" w:asciiTheme="minorEastAsia" w:hAnsiTheme="minorEastAsia" w:eastAsiaTheme="minorEastAsia"/>
          <w:b/>
          <w:bCs/>
          <w:szCs w:val="21"/>
        </w:rPr>
      </w:pPr>
      <w:r>
        <w:rPr>
          <w:rFonts w:cs="Arial" w:asciiTheme="minorEastAsia" w:hAnsiTheme="minorEastAsia" w:eastAsiaTheme="minorEastAsia"/>
          <w:b/>
          <w:bCs/>
          <w:szCs w:val="21"/>
        </w:rPr>
        <w:t>一、持有人交易资料的寄送服务</w:t>
      </w:r>
    </w:p>
    <w:p>
      <w:pPr>
        <w:autoSpaceDE w:val="0"/>
        <w:autoSpaceDN w:val="0"/>
        <w:adjustRightInd w:val="0"/>
        <w:snapToGrid w:val="0"/>
        <w:spacing w:line="360" w:lineRule="auto"/>
        <w:ind w:firstLine="452" w:firstLineChars="200"/>
        <w:rPr>
          <w:rFonts w:asciiTheme="minorEastAsia" w:hAnsiTheme="minorEastAsia" w:eastAsiaTheme="minorEastAsia"/>
        </w:rPr>
      </w:pPr>
      <w:r>
        <w:rPr>
          <w:rFonts w:asciiTheme="minorEastAsia" w:hAnsiTheme="minorEastAsia" w:eastAsiaTheme="minorEastAsia"/>
          <w:spacing w:val="8"/>
          <w:szCs w:val="21"/>
        </w:rPr>
        <w:t>1、</w:t>
      </w:r>
      <w:r>
        <w:rPr>
          <w:rFonts w:hint="eastAsia" w:asciiTheme="minorEastAsia" w:hAnsiTheme="minorEastAsia" w:eastAsiaTheme="minorEastAsia"/>
        </w:rPr>
        <w:t>交易确认单</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基金合同生效后正常开放期，</w:t>
      </w:r>
      <w:r>
        <w:rPr>
          <w:rFonts w:asciiTheme="minorEastAsia" w:hAnsiTheme="minorEastAsia" w:eastAsiaTheme="minorEastAsia"/>
          <w:spacing w:val="8"/>
          <w:szCs w:val="21"/>
        </w:rPr>
        <w:t>每次交易结束后，投资者可在T+2个工作日后通过销售机构的</w:t>
      </w:r>
      <w:r>
        <w:rPr>
          <w:rFonts w:hint="eastAsia" w:asciiTheme="minorEastAsia" w:hAnsiTheme="minorEastAsia" w:eastAsiaTheme="minorEastAsia"/>
          <w:szCs w:val="21"/>
        </w:rPr>
        <w:t>网点柜台或以销售机构规定的其他方式</w:t>
      </w:r>
      <w:r>
        <w:rPr>
          <w:rFonts w:asciiTheme="minorEastAsia" w:hAnsiTheme="minorEastAsia" w:eastAsiaTheme="minorEastAsia"/>
          <w:spacing w:val="8"/>
          <w:szCs w:val="21"/>
        </w:rPr>
        <w:t>查询和打印交易确认单，或在T+1个工作日后通</w:t>
      </w:r>
      <w:r>
        <w:rPr>
          <w:rFonts w:hint="eastAsia" w:asciiTheme="minorEastAsia" w:hAnsiTheme="minorEastAsia" w:eastAsiaTheme="minorEastAsia"/>
          <w:spacing w:val="8"/>
          <w:szCs w:val="21"/>
        </w:rPr>
        <w:t>过</w:t>
      </w:r>
      <w:r>
        <w:rPr>
          <w:rFonts w:asciiTheme="minorEastAsia" w:hAnsiTheme="minorEastAsia" w:eastAsiaTheme="minorEastAsia"/>
          <w:spacing w:val="8"/>
          <w:szCs w:val="21"/>
        </w:rPr>
        <w:t>博时一线通电话、博时网</w:t>
      </w:r>
      <w:r>
        <w:rPr>
          <w:rFonts w:hint="eastAsia" w:asciiTheme="minorEastAsia" w:hAnsiTheme="minorEastAsia" w:eastAsiaTheme="minorEastAsia"/>
          <w:spacing w:val="8"/>
          <w:szCs w:val="21"/>
        </w:rPr>
        <w:t>站</w:t>
      </w:r>
      <w:r>
        <w:rPr>
          <w:rFonts w:asciiTheme="minorEastAsia" w:hAnsiTheme="minorEastAsia" w:eastAsiaTheme="minorEastAsia"/>
          <w:spacing w:val="8"/>
          <w:szCs w:val="21"/>
        </w:rPr>
        <w:t>查询交易确认情况。基金管理人不向投资者寄送交易确认单。</w:t>
      </w:r>
    </w:p>
    <w:p>
      <w:pPr>
        <w:autoSpaceDE w:val="0"/>
        <w:autoSpaceDN w:val="0"/>
        <w:adjustRightInd w:val="0"/>
        <w:snapToGrid w:val="0"/>
        <w:spacing w:line="360" w:lineRule="auto"/>
        <w:ind w:firstLine="452" w:firstLineChars="200"/>
        <w:rPr>
          <w:rFonts w:asciiTheme="minorEastAsia" w:hAnsiTheme="minorEastAsia" w:eastAsiaTheme="minorEastAsia"/>
        </w:rPr>
      </w:pPr>
      <w:r>
        <w:rPr>
          <w:rFonts w:asciiTheme="minorEastAsia" w:hAnsiTheme="minorEastAsia" w:eastAsiaTheme="minorEastAsia"/>
          <w:spacing w:val="8"/>
          <w:szCs w:val="21"/>
        </w:rPr>
        <w:t>2、</w:t>
      </w:r>
      <w:r>
        <w:rPr>
          <w:rFonts w:asciiTheme="minorEastAsia" w:hAnsiTheme="minorEastAsia" w:eastAsiaTheme="minorEastAsia"/>
        </w:rPr>
        <w:t>电子</w:t>
      </w:r>
      <w:r>
        <w:rPr>
          <w:rFonts w:hint="eastAsia" w:asciiTheme="minorEastAsia" w:hAnsiTheme="minorEastAsia" w:eastAsiaTheme="minorEastAsia"/>
        </w:rPr>
        <w:t>对账单</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asciiTheme="minorEastAsia" w:hAnsiTheme="minorEastAsia" w:eastAsiaTheme="minorEastAsia"/>
          <w:spacing w:val="8"/>
          <w:szCs w:val="21"/>
        </w:rPr>
        <w:t>每月结束后，基金管理人向所有订阅电子邮件对账单的投资者发送电子邮件对账单。</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asciiTheme="minorEastAsia" w:hAnsiTheme="minorEastAsia" w:eastAsiaTheme="minorEastAsia"/>
          <w:spacing w:val="8"/>
          <w:szCs w:val="21"/>
        </w:rPr>
        <w:t>投资者可以登录基金管理人网站（http://www.bosera.com）自助订阅；或发送</w:t>
      </w:r>
      <w:r>
        <w:rPr>
          <w:rFonts w:hint="eastAsia" w:asciiTheme="minorEastAsia" w:hAnsiTheme="minorEastAsia" w:eastAsiaTheme="minorEastAsia"/>
          <w:spacing w:val="8"/>
          <w:szCs w:val="21"/>
        </w:rPr>
        <w:t>“</w:t>
      </w:r>
      <w:r>
        <w:rPr>
          <w:rFonts w:asciiTheme="minorEastAsia" w:hAnsiTheme="minorEastAsia" w:eastAsiaTheme="minorEastAsia"/>
          <w:spacing w:val="8"/>
          <w:szCs w:val="21"/>
        </w:rPr>
        <w:t>订阅电子对账单</w:t>
      </w:r>
      <w:r>
        <w:rPr>
          <w:rFonts w:hint="eastAsia" w:asciiTheme="minorEastAsia" w:hAnsiTheme="minorEastAsia" w:eastAsiaTheme="minorEastAsia"/>
          <w:spacing w:val="8"/>
          <w:szCs w:val="21"/>
        </w:rPr>
        <w:t>”</w:t>
      </w:r>
      <w:r>
        <w:rPr>
          <w:rFonts w:asciiTheme="minorEastAsia" w:hAnsiTheme="minorEastAsia" w:eastAsiaTheme="minorEastAsia"/>
          <w:spacing w:val="8"/>
          <w:szCs w:val="21"/>
        </w:rPr>
        <w:t>邮件到客服邮箱</w:t>
      </w:r>
      <w:r>
        <w:fldChar w:fldCharType="begin"/>
      </w:r>
      <w:r>
        <w:instrText xml:space="preserve"> HYPERLINK "mailto:service@bosera.com" </w:instrText>
      </w:r>
      <w:r>
        <w:fldChar w:fldCharType="separate"/>
      </w:r>
      <w:r>
        <w:rPr>
          <w:rFonts w:asciiTheme="minorEastAsia" w:hAnsiTheme="minorEastAsia" w:eastAsiaTheme="minorEastAsia"/>
          <w:spacing w:val="8"/>
          <w:szCs w:val="21"/>
        </w:rPr>
        <w:t>service@bosera</w:t>
      </w:r>
      <w:r>
        <w:rPr>
          <w:rFonts w:hint="eastAsia" w:asciiTheme="minorEastAsia" w:hAnsiTheme="minorEastAsia" w:eastAsiaTheme="minorEastAsia"/>
          <w:spacing w:val="8"/>
          <w:szCs w:val="21"/>
        </w:rPr>
        <w:t>.</w:t>
      </w:r>
      <w:r>
        <w:rPr>
          <w:rFonts w:asciiTheme="minorEastAsia" w:hAnsiTheme="minorEastAsia" w:eastAsiaTheme="minorEastAsia"/>
          <w:spacing w:val="8"/>
          <w:szCs w:val="21"/>
        </w:rPr>
        <w:t>com</w:t>
      </w:r>
      <w:r>
        <w:rPr>
          <w:rFonts w:asciiTheme="minorEastAsia" w:hAnsiTheme="minorEastAsia" w:eastAsiaTheme="minorEastAsia"/>
          <w:spacing w:val="8"/>
          <w:szCs w:val="21"/>
        </w:rPr>
        <w:fldChar w:fldCharType="end"/>
      </w:r>
      <w:r>
        <w:rPr>
          <w:rFonts w:asciiTheme="minorEastAsia" w:hAnsiTheme="minorEastAsia" w:eastAsiaTheme="minorEastAsia"/>
          <w:spacing w:val="8"/>
          <w:szCs w:val="21"/>
        </w:rPr>
        <w:t>；也可直接拨打博时一线通95105568（免长途话费）订阅。</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由于投资者提供的电子邮箱不详、错误、未及时变更或通讯故障、延误等原因有可能造成对账单无法按时或准确送达。因上述原因无法正常收取对账单的投资者，敬请及时通过本</w:t>
      </w:r>
      <w:r>
        <w:rPr>
          <w:rFonts w:asciiTheme="minorEastAsia" w:hAnsiTheme="minorEastAsia" w:eastAsiaTheme="minorEastAsia"/>
          <w:spacing w:val="8"/>
          <w:szCs w:val="21"/>
        </w:rPr>
        <w:t>基金管理人</w:t>
      </w:r>
      <w:r>
        <w:rPr>
          <w:rFonts w:hint="eastAsia" w:asciiTheme="minorEastAsia" w:hAnsiTheme="minorEastAsia" w:eastAsiaTheme="minorEastAsia"/>
          <w:spacing w:val="8"/>
          <w:szCs w:val="21"/>
        </w:rPr>
        <w:t>网站，或拨打</w:t>
      </w:r>
      <w:r>
        <w:rPr>
          <w:rFonts w:asciiTheme="minorEastAsia" w:hAnsiTheme="minorEastAsia" w:eastAsiaTheme="minorEastAsia"/>
          <w:spacing w:val="8"/>
          <w:szCs w:val="21"/>
        </w:rPr>
        <w:t>博时一线通</w:t>
      </w:r>
      <w:r>
        <w:rPr>
          <w:rFonts w:hint="eastAsia" w:asciiTheme="minorEastAsia" w:hAnsiTheme="minorEastAsia" w:eastAsiaTheme="minorEastAsia"/>
          <w:spacing w:val="8"/>
          <w:szCs w:val="21"/>
        </w:rPr>
        <w:t>客服电话查询、核对、变更您的预留联系方式。</w:t>
      </w:r>
    </w:p>
    <w:p>
      <w:pPr>
        <w:adjustRightInd w:val="0"/>
        <w:snapToGrid w:val="0"/>
        <w:spacing w:line="360" w:lineRule="auto"/>
        <w:ind w:firstLine="420" w:firstLineChars="200"/>
        <w:rPr>
          <w:rFonts w:cs="Arial" w:asciiTheme="minorEastAsia" w:hAnsiTheme="minorEastAsia" w:eastAsiaTheme="minorEastAsia"/>
          <w:b/>
          <w:bCs/>
          <w:szCs w:val="21"/>
        </w:rPr>
      </w:pPr>
      <w:r>
        <w:rPr>
          <w:rFonts w:hint="eastAsia" w:cs="Arial" w:asciiTheme="minorEastAsia" w:hAnsiTheme="minorEastAsia" w:eastAsiaTheme="minorEastAsia"/>
        </w:rPr>
        <w:t>二</w:t>
      </w:r>
      <w:r>
        <w:rPr>
          <w:rFonts w:cs="Arial" w:asciiTheme="minorEastAsia" w:hAnsiTheme="minorEastAsia" w:eastAsiaTheme="minorEastAsia"/>
          <w:b/>
          <w:bCs/>
          <w:szCs w:val="21"/>
        </w:rPr>
        <w:t>、网上</w:t>
      </w:r>
      <w:r>
        <w:rPr>
          <w:rFonts w:hint="eastAsia" w:cs="Arial" w:asciiTheme="minorEastAsia" w:hAnsiTheme="minorEastAsia" w:eastAsiaTheme="minorEastAsia"/>
          <w:b/>
          <w:bCs/>
          <w:szCs w:val="21"/>
        </w:rPr>
        <w:t>理财</w:t>
      </w:r>
      <w:r>
        <w:rPr>
          <w:rFonts w:cs="Arial" w:asciiTheme="minorEastAsia" w:hAnsiTheme="minorEastAsia" w:eastAsiaTheme="minorEastAsia"/>
          <w:b/>
          <w:bCs/>
          <w:szCs w:val="21"/>
        </w:rPr>
        <w:t>服务</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asciiTheme="minorEastAsia" w:hAnsiTheme="minorEastAsia" w:eastAsiaTheme="minorEastAsia"/>
          <w:spacing w:val="8"/>
          <w:szCs w:val="21"/>
        </w:rPr>
        <w:t>通过基金管理人网站，投资者可获得如下服务：</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asciiTheme="minorEastAsia" w:hAnsiTheme="minorEastAsia" w:eastAsiaTheme="minorEastAsia"/>
          <w:spacing w:val="8"/>
          <w:szCs w:val="21"/>
        </w:rPr>
        <w:t>1、</w:t>
      </w:r>
      <w:r>
        <w:rPr>
          <w:rFonts w:hint="eastAsia" w:asciiTheme="minorEastAsia" w:hAnsiTheme="minorEastAsia" w:eastAsiaTheme="minorEastAsia"/>
          <w:spacing w:val="8"/>
          <w:szCs w:val="21"/>
        </w:rPr>
        <w:t>自助开户交易</w:t>
      </w:r>
    </w:p>
    <w:p>
      <w:pPr>
        <w:autoSpaceDE w:val="0"/>
        <w:autoSpaceDN w:val="0"/>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投资者可</w:t>
      </w:r>
      <w:r>
        <w:rPr>
          <w:rFonts w:hint="eastAsia" w:asciiTheme="minorEastAsia" w:hAnsiTheme="minorEastAsia" w:eastAsiaTheme="minorEastAsia"/>
          <w:spacing w:val="8"/>
          <w:szCs w:val="21"/>
        </w:rPr>
        <w:t>登录</w:t>
      </w:r>
      <w:r>
        <w:rPr>
          <w:rFonts w:hint="eastAsia" w:asciiTheme="minorEastAsia" w:hAnsiTheme="minorEastAsia" w:eastAsiaTheme="minorEastAsia"/>
        </w:rPr>
        <w:t>基金管理人网站网上交易系统，</w:t>
      </w:r>
      <w:r>
        <w:rPr>
          <w:rFonts w:hint="eastAsia" w:asciiTheme="minorEastAsia" w:hAnsiTheme="minorEastAsia" w:eastAsiaTheme="minorEastAsia"/>
          <w:spacing w:val="8"/>
          <w:szCs w:val="21"/>
        </w:rPr>
        <w:t>与基金管理人达成电子交易的相关协议，接受基金管理人有关服务条款并办理相关手续后，即可自助开户并进行网上交易，如</w:t>
      </w:r>
      <w:r>
        <w:rPr>
          <w:rFonts w:hint="eastAsia" w:asciiTheme="minorEastAsia" w:hAnsiTheme="minorEastAsia" w:eastAsiaTheme="minorEastAsia"/>
        </w:rPr>
        <w:t>基金认/申购、定投、转换、赎回、赎回转申购及</w:t>
      </w:r>
      <w:r>
        <w:rPr>
          <w:rFonts w:hint="eastAsia" w:asciiTheme="minorEastAsia" w:hAnsiTheme="minorEastAsia" w:eastAsiaTheme="minorEastAsia"/>
          <w:spacing w:val="8"/>
          <w:szCs w:val="21"/>
        </w:rPr>
        <w:t>分红方式变更</w:t>
      </w:r>
      <w:r>
        <w:rPr>
          <w:rFonts w:hint="eastAsia" w:asciiTheme="minorEastAsia" w:hAnsiTheme="minorEastAsia" w:eastAsiaTheme="minorEastAsia"/>
        </w:rPr>
        <w:t>等。</w:t>
      </w:r>
      <w:r>
        <w:rPr>
          <w:rFonts w:hint="eastAsia" w:asciiTheme="minorEastAsia" w:hAnsiTheme="minorEastAsia" w:eastAsiaTheme="minorEastAsia"/>
          <w:spacing w:val="8"/>
          <w:szCs w:val="21"/>
        </w:rPr>
        <w:t>具体业务办理情况及业务规则请登录基金管理人网站查询。</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2</w:t>
      </w:r>
      <w:r>
        <w:rPr>
          <w:rFonts w:asciiTheme="minorEastAsia" w:hAnsiTheme="minorEastAsia" w:eastAsiaTheme="minorEastAsia"/>
          <w:spacing w:val="8"/>
          <w:szCs w:val="21"/>
        </w:rPr>
        <w:t>、</w:t>
      </w:r>
      <w:r>
        <w:rPr>
          <w:rFonts w:hint="eastAsia" w:asciiTheme="minorEastAsia" w:hAnsiTheme="minorEastAsia" w:eastAsiaTheme="minorEastAsia"/>
          <w:spacing w:val="8"/>
          <w:szCs w:val="21"/>
        </w:rPr>
        <w:t>查询服务</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投资者可以通过</w:t>
      </w:r>
      <w:r>
        <w:rPr>
          <w:rFonts w:asciiTheme="minorEastAsia" w:hAnsiTheme="minorEastAsia" w:eastAsiaTheme="minorEastAsia"/>
          <w:spacing w:val="8"/>
          <w:szCs w:val="21"/>
        </w:rPr>
        <w:t>基金管理人</w:t>
      </w:r>
      <w:r>
        <w:rPr>
          <w:rFonts w:hint="eastAsia" w:asciiTheme="minorEastAsia" w:hAnsiTheme="minorEastAsia" w:eastAsiaTheme="minorEastAsia"/>
          <w:spacing w:val="8"/>
          <w:szCs w:val="21"/>
        </w:rPr>
        <w:t>网站查询所持有基金的基金份额、交易记录等信息，同时可以修改基金账户信息等基本资料。</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3</w:t>
      </w:r>
      <w:r>
        <w:rPr>
          <w:rFonts w:asciiTheme="minorEastAsia" w:hAnsiTheme="minorEastAsia" w:eastAsiaTheme="minorEastAsia"/>
          <w:spacing w:val="8"/>
          <w:szCs w:val="21"/>
        </w:rPr>
        <w:t>、</w:t>
      </w:r>
      <w:r>
        <w:rPr>
          <w:rFonts w:hint="eastAsia" w:asciiTheme="minorEastAsia" w:hAnsiTheme="minorEastAsia" w:eastAsiaTheme="minorEastAsia"/>
          <w:spacing w:val="8"/>
          <w:szCs w:val="21"/>
        </w:rPr>
        <w:t>信息资讯服务</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asciiTheme="minorEastAsia" w:hAnsiTheme="minorEastAsia" w:eastAsiaTheme="minorEastAsia"/>
          <w:spacing w:val="8"/>
          <w:szCs w:val="21"/>
        </w:rPr>
        <w:t>投资者可</w:t>
      </w:r>
      <w:r>
        <w:rPr>
          <w:rFonts w:hint="eastAsia" w:asciiTheme="minorEastAsia" w:hAnsiTheme="minorEastAsia" w:eastAsiaTheme="minorEastAsia"/>
          <w:spacing w:val="8"/>
          <w:szCs w:val="21"/>
        </w:rPr>
        <w:t>以利用</w:t>
      </w:r>
      <w:r>
        <w:rPr>
          <w:rFonts w:asciiTheme="minorEastAsia" w:hAnsiTheme="minorEastAsia" w:eastAsiaTheme="minorEastAsia"/>
          <w:spacing w:val="8"/>
          <w:szCs w:val="21"/>
        </w:rPr>
        <w:t>基金管理人网站获取基金和基金管理人各类信息，包括基金法律文件、基金管理人最新动态、热点问题等。</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4</w:t>
      </w:r>
      <w:r>
        <w:rPr>
          <w:rFonts w:asciiTheme="minorEastAsia" w:hAnsiTheme="minorEastAsia" w:eastAsiaTheme="minorEastAsia"/>
          <w:spacing w:val="8"/>
          <w:szCs w:val="21"/>
        </w:rPr>
        <w:t>、</w:t>
      </w:r>
      <w:r>
        <w:rPr>
          <w:rFonts w:hint="eastAsia" w:asciiTheme="minorEastAsia" w:hAnsiTheme="minorEastAsia" w:eastAsiaTheme="minorEastAsia"/>
          <w:spacing w:val="8"/>
          <w:szCs w:val="21"/>
        </w:rPr>
        <w:t>在线客服</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asciiTheme="minorEastAsia" w:hAnsiTheme="minorEastAsia" w:eastAsiaTheme="minorEastAsia"/>
          <w:spacing w:val="8"/>
          <w:szCs w:val="21"/>
        </w:rPr>
        <w:t>投资者</w:t>
      </w:r>
      <w:r>
        <w:rPr>
          <w:rFonts w:hint="eastAsia" w:asciiTheme="minorEastAsia" w:hAnsiTheme="minorEastAsia" w:eastAsiaTheme="minorEastAsia"/>
          <w:spacing w:val="8"/>
          <w:szCs w:val="21"/>
        </w:rPr>
        <w:t>可以通过</w:t>
      </w:r>
      <w:r>
        <w:rPr>
          <w:rFonts w:asciiTheme="minorEastAsia" w:hAnsiTheme="minorEastAsia" w:eastAsiaTheme="minorEastAsia"/>
          <w:spacing w:val="8"/>
          <w:szCs w:val="21"/>
        </w:rPr>
        <w:t>基金管理人</w:t>
      </w:r>
      <w:r>
        <w:rPr>
          <w:rFonts w:hint="eastAsia" w:asciiTheme="minorEastAsia" w:hAnsiTheme="minorEastAsia" w:eastAsiaTheme="minorEastAsia"/>
          <w:spacing w:val="8"/>
          <w:szCs w:val="21"/>
        </w:rPr>
        <w:t>网站首页</w:t>
      </w:r>
      <w:r>
        <w:rPr>
          <w:rFonts w:asciiTheme="minorEastAsia" w:hAnsiTheme="minorEastAsia" w:eastAsiaTheme="minorEastAsia"/>
          <w:spacing w:val="8"/>
          <w:szCs w:val="21"/>
        </w:rPr>
        <w:t>“</w:t>
      </w:r>
      <w:r>
        <w:rPr>
          <w:rFonts w:hint="eastAsia" w:asciiTheme="minorEastAsia" w:hAnsiTheme="minorEastAsia" w:eastAsiaTheme="minorEastAsia"/>
          <w:spacing w:val="8"/>
          <w:szCs w:val="21"/>
        </w:rPr>
        <w:t>在线客服</w:t>
      </w:r>
      <w:r>
        <w:rPr>
          <w:rFonts w:asciiTheme="minorEastAsia" w:hAnsiTheme="minorEastAsia" w:eastAsiaTheme="minorEastAsia"/>
          <w:spacing w:val="8"/>
          <w:szCs w:val="21"/>
        </w:rPr>
        <w:t>”</w:t>
      </w:r>
      <w:r>
        <w:rPr>
          <w:rFonts w:hint="eastAsia" w:asciiTheme="minorEastAsia" w:hAnsiTheme="minorEastAsia" w:eastAsiaTheme="minorEastAsia"/>
          <w:spacing w:val="8"/>
          <w:szCs w:val="21"/>
        </w:rPr>
        <w:t>功能进行在线咨询。也可以</w:t>
      </w:r>
      <w:r>
        <w:rPr>
          <w:rFonts w:asciiTheme="minorEastAsia" w:hAnsiTheme="minorEastAsia" w:eastAsiaTheme="minorEastAsia"/>
          <w:spacing w:val="8"/>
          <w:szCs w:val="21"/>
        </w:rPr>
        <w:t>在</w:t>
      </w:r>
      <w:r>
        <w:rPr>
          <w:rFonts w:hint="eastAsia" w:asciiTheme="minorEastAsia" w:hAnsiTheme="minorEastAsia" w:eastAsiaTheme="minorEastAsia"/>
          <w:spacing w:val="8"/>
          <w:szCs w:val="21"/>
        </w:rPr>
        <w:t>“</w:t>
      </w:r>
      <w:r>
        <w:rPr>
          <w:rFonts w:asciiTheme="minorEastAsia" w:hAnsiTheme="minorEastAsia" w:eastAsiaTheme="minorEastAsia"/>
          <w:spacing w:val="8"/>
          <w:szCs w:val="21"/>
        </w:rPr>
        <w:t>您问我答</w:t>
      </w:r>
      <w:r>
        <w:rPr>
          <w:rFonts w:hint="eastAsia" w:asciiTheme="minorEastAsia" w:hAnsiTheme="minorEastAsia" w:eastAsiaTheme="minorEastAsia"/>
          <w:spacing w:val="8"/>
          <w:szCs w:val="21"/>
        </w:rPr>
        <w:t>”</w:t>
      </w:r>
      <w:r>
        <w:rPr>
          <w:rFonts w:asciiTheme="minorEastAsia" w:hAnsiTheme="minorEastAsia" w:eastAsiaTheme="minorEastAsia"/>
          <w:spacing w:val="8"/>
          <w:szCs w:val="21"/>
        </w:rPr>
        <w:t>栏目中，直接提出有关本基金的问题和建议</w:t>
      </w:r>
      <w:r>
        <w:rPr>
          <w:rFonts w:hint="eastAsia" w:asciiTheme="minorEastAsia" w:hAnsiTheme="minorEastAsia" w:eastAsiaTheme="minorEastAsia"/>
          <w:spacing w:val="8"/>
          <w:szCs w:val="21"/>
        </w:rPr>
        <w:t>。</w:t>
      </w:r>
    </w:p>
    <w:p>
      <w:pPr>
        <w:adjustRightInd w:val="0"/>
        <w:snapToGrid w:val="0"/>
        <w:spacing w:line="360" w:lineRule="auto"/>
        <w:ind w:firstLine="422" w:firstLineChars="200"/>
        <w:rPr>
          <w:rFonts w:cs="Arial" w:asciiTheme="minorEastAsia" w:hAnsiTheme="minorEastAsia" w:eastAsiaTheme="minorEastAsia"/>
          <w:b/>
          <w:bCs/>
          <w:szCs w:val="21"/>
        </w:rPr>
      </w:pPr>
      <w:r>
        <w:rPr>
          <w:rFonts w:hint="eastAsia" w:cs="Arial" w:asciiTheme="minorEastAsia" w:hAnsiTheme="minorEastAsia" w:eastAsiaTheme="minorEastAsia"/>
          <w:b/>
          <w:bCs/>
          <w:szCs w:val="21"/>
        </w:rPr>
        <w:t>三</w:t>
      </w:r>
      <w:r>
        <w:rPr>
          <w:rFonts w:cs="Arial" w:asciiTheme="minorEastAsia" w:hAnsiTheme="minorEastAsia" w:eastAsiaTheme="minorEastAsia"/>
          <w:b/>
          <w:bCs/>
          <w:szCs w:val="21"/>
        </w:rPr>
        <w:t>、</w:t>
      </w:r>
      <w:r>
        <w:rPr>
          <w:rFonts w:hint="eastAsia" w:cs="Arial" w:asciiTheme="minorEastAsia" w:hAnsiTheme="minorEastAsia" w:eastAsiaTheme="minorEastAsia"/>
          <w:b/>
          <w:bCs/>
          <w:szCs w:val="21"/>
        </w:rPr>
        <w:t>短信</w:t>
      </w:r>
      <w:r>
        <w:rPr>
          <w:rFonts w:cs="Arial" w:asciiTheme="minorEastAsia" w:hAnsiTheme="minorEastAsia" w:eastAsiaTheme="minorEastAsia"/>
          <w:b/>
          <w:bCs/>
          <w:szCs w:val="21"/>
        </w:rPr>
        <w:t>服务</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基金管理人向订制短信服务的基金份额持有人提供相应短信服务。</w:t>
      </w:r>
    </w:p>
    <w:p>
      <w:pPr>
        <w:adjustRightInd w:val="0"/>
        <w:snapToGrid w:val="0"/>
        <w:spacing w:line="360" w:lineRule="auto"/>
        <w:ind w:firstLine="422" w:firstLineChars="200"/>
        <w:rPr>
          <w:rFonts w:cs="Arial" w:asciiTheme="minorEastAsia" w:hAnsiTheme="minorEastAsia" w:eastAsiaTheme="minorEastAsia"/>
          <w:b/>
          <w:bCs/>
          <w:szCs w:val="21"/>
        </w:rPr>
      </w:pPr>
      <w:r>
        <w:rPr>
          <w:rFonts w:hint="eastAsia" w:cs="Arial" w:asciiTheme="minorEastAsia" w:hAnsiTheme="minorEastAsia" w:eastAsiaTheme="minorEastAsia"/>
          <w:b/>
          <w:bCs/>
          <w:szCs w:val="21"/>
        </w:rPr>
        <w:t>四</w:t>
      </w:r>
      <w:r>
        <w:rPr>
          <w:rFonts w:cs="Arial" w:asciiTheme="minorEastAsia" w:hAnsiTheme="minorEastAsia" w:eastAsiaTheme="minorEastAsia"/>
          <w:b/>
          <w:bCs/>
          <w:szCs w:val="21"/>
        </w:rPr>
        <w:t>、</w:t>
      </w:r>
      <w:r>
        <w:rPr>
          <w:rFonts w:hint="eastAsia" w:cs="Arial" w:asciiTheme="minorEastAsia" w:hAnsiTheme="minorEastAsia" w:eastAsiaTheme="minorEastAsia"/>
          <w:b/>
          <w:bCs/>
          <w:szCs w:val="21"/>
        </w:rPr>
        <w:t>电子邮件</w:t>
      </w:r>
      <w:r>
        <w:rPr>
          <w:rFonts w:cs="Arial" w:asciiTheme="minorEastAsia" w:hAnsiTheme="minorEastAsia" w:eastAsiaTheme="minorEastAsia"/>
          <w:b/>
          <w:bCs/>
          <w:szCs w:val="21"/>
        </w:rPr>
        <w:t>服务</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基金管理人为投资者提供电子邮件方式的业务咨询、投诉受理、</w:t>
      </w:r>
      <w:r>
        <w:rPr>
          <w:rFonts w:asciiTheme="minorEastAsia" w:hAnsiTheme="minorEastAsia" w:eastAsiaTheme="minorEastAsia"/>
          <w:spacing w:val="8"/>
          <w:szCs w:val="21"/>
        </w:rPr>
        <w:t>基金份额净值</w:t>
      </w:r>
      <w:r>
        <w:rPr>
          <w:rFonts w:hint="eastAsia" w:asciiTheme="minorEastAsia" w:hAnsiTheme="minorEastAsia" w:eastAsiaTheme="minorEastAsia"/>
          <w:spacing w:val="8"/>
          <w:szCs w:val="21"/>
        </w:rPr>
        <w:t>等服务。</w:t>
      </w:r>
    </w:p>
    <w:p>
      <w:pPr>
        <w:adjustRightInd w:val="0"/>
        <w:snapToGrid w:val="0"/>
        <w:spacing w:line="360" w:lineRule="auto"/>
        <w:ind w:firstLine="422" w:firstLineChars="200"/>
        <w:rPr>
          <w:rFonts w:cs="Arial" w:asciiTheme="minorEastAsia" w:hAnsiTheme="minorEastAsia" w:eastAsiaTheme="minorEastAsia"/>
          <w:b/>
          <w:bCs/>
          <w:szCs w:val="21"/>
        </w:rPr>
      </w:pPr>
      <w:r>
        <w:rPr>
          <w:rFonts w:hint="eastAsia" w:cs="Arial" w:asciiTheme="minorEastAsia" w:hAnsiTheme="minorEastAsia" w:eastAsiaTheme="minorEastAsia"/>
          <w:b/>
          <w:bCs/>
          <w:szCs w:val="21"/>
        </w:rPr>
        <w:t>五</w:t>
      </w:r>
      <w:r>
        <w:rPr>
          <w:rFonts w:cs="Arial" w:asciiTheme="minorEastAsia" w:hAnsiTheme="minorEastAsia" w:eastAsiaTheme="minorEastAsia"/>
          <w:b/>
          <w:bCs/>
          <w:szCs w:val="21"/>
        </w:rPr>
        <w:t>、</w:t>
      </w:r>
      <w:r>
        <w:rPr>
          <w:rFonts w:hint="eastAsia" w:cs="Arial" w:asciiTheme="minorEastAsia" w:hAnsiTheme="minorEastAsia" w:eastAsiaTheme="minorEastAsia"/>
          <w:b/>
          <w:bCs/>
          <w:szCs w:val="21"/>
        </w:rPr>
        <w:t>手机理财</w:t>
      </w:r>
      <w:r>
        <w:rPr>
          <w:rFonts w:cs="Arial" w:asciiTheme="minorEastAsia" w:hAnsiTheme="minorEastAsia" w:eastAsiaTheme="minorEastAsia"/>
          <w:b/>
          <w:bCs/>
          <w:szCs w:val="21"/>
        </w:rPr>
        <w:t>服务</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投资者通过手机博时移动版直销网上交易系统（</w:t>
      </w:r>
      <w:r>
        <w:rPr>
          <w:rFonts w:asciiTheme="minorEastAsia" w:hAnsiTheme="minorEastAsia" w:eastAsiaTheme="minorEastAsia"/>
          <w:spacing w:val="8"/>
          <w:szCs w:val="21"/>
        </w:rPr>
        <w:t>http://</w:t>
      </w:r>
      <w:r>
        <w:rPr>
          <w:rFonts w:hint="eastAsia" w:asciiTheme="minorEastAsia" w:hAnsiTheme="minorEastAsia" w:eastAsiaTheme="minorEastAsia"/>
          <w:spacing w:val="8"/>
          <w:szCs w:val="21"/>
        </w:rPr>
        <w:t>m</w:t>
      </w:r>
      <w:r>
        <w:rPr>
          <w:rFonts w:asciiTheme="minorEastAsia" w:hAnsiTheme="minorEastAsia" w:eastAsiaTheme="minorEastAsia"/>
          <w:spacing w:val="8"/>
          <w:szCs w:val="21"/>
        </w:rPr>
        <w:t>.bosera.com</w:t>
      </w:r>
      <w:r>
        <w:rPr>
          <w:rFonts w:hint="eastAsia" w:asciiTheme="minorEastAsia" w:hAnsiTheme="minorEastAsia" w:eastAsiaTheme="minorEastAsia"/>
          <w:spacing w:val="8"/>
          <w:szCs w:val="21"/>
        </w:rPr>
        <w:t>）和博时App版直销网上交易系统，可以使用基金理财所需的基金交易、理财查询、账户管理、信息资讯等功能和服务。</w:t>
      </w:r>
    </w:p>
    <w:p>
      <w:pPr>
        <w:adjustRightInd w:val="0"/>
        <w:snapToGrid w:val="0"/>
        <w:spacing w:line="360" w:lineRule="auto"/>
        <w:ind w:firstLine="422" w:firstLineChars="200"/>
        <w:rPr>
          <w:rFonts w:cs="Arial" w:asciiTheme="minorEastAsia" w:hAnsiTheme="minorEastAsia" w:eastAsiaTheme="minorEastAsia"/>
          <w:b/>
          <w:bCs/>
          <w:szCs w:val="21"/>
        </w:rPr>
      </w:pPr>
      <w:r>
        <w:rPr>
          <w:rFonts w:hint="eastAsia" w:cs="Arial" w:asciiTheme="minorEastAsia" w:hAnsiTheme="minorEastAsia" w:eastAsiaTheme="minorEastAsia"/>
          <w:b/>
          <w:bCs/>
          <w:szCs w:val="21"/>
        </w:rPr>
        <w:t>六</w:t>
      </w:r>
      <w:r>
        <w:rPr>
          <w:rFonts w:cs="Arial" w:asciiTheme="minorEastAsia" w:hAnsiTheme="minorEastAsia" w:eastAsiaTheme="minorEastAsia"/>
          <w:b/>
          <w:bCs/>
          <w:szCs w:val="21"/>
        </w:rPr>
        <w:t>、</w:t>
      </w:r>
      <w:r>
        <w:rPr>
          <w:rFonts w:hint="eastAsia" w:cs="Arial" w:asciiTheme="minorEastAsia" w:hAnsiTheme="minorEastAsia" w:eastAsiaTheme="minorEastAsia"/>
          <w:b/>
          <w:bCs/>
          <w:szCs w:val="21"/>
        </w:rPr>
        <w:t>信息订阅</w:t>
      </w:r>
      <w:r>
        <w:rPr>
          <w:rFonts w:cs="Arial" w:asciiTheme="minorEastAsia" w:hAnsiTheme="minorEastAsia" w:eastAsiaTheme="minorEastAsia"/>
          <w:b/>
          <w:bCs/>
          <w:szCs w:val="21"/>
        </w:rPr>
        <w:t>服务</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投资者可以通过</w:t>
      </w:r>
      <w:r>
        <w:rPr>
          <w:rFonts w:asciiTheme="minorEastAsia" w:hAnsiTheme="minorEastAsia" w:eastAsiaTheme="minorEastAsia"/>
          <w:spacing w:val="8"/>
          <w:szCs w:val="21"/>
        </w:rPr>
        <w:t>基金管理人</w:t>
      </w:r>
      <w:r>
        <w:rPr>
          <w:rFonts w:hint="eastAsia" w:asciiTheme="minorEastAsia" w:hAnsiTheme="minorEastAsia" w:eastAsiaTheme="minorEastAsia"/>
          <w:spacing w:val="8"/>
          <w:szCs w:val="21"/>
        </w:rPr>
        <w:t>网站、客服中心提交信息订制的申请，</w:t>
      </w:r>
      <w:r>
        <w:rPr>
          <w:rFonts w:asciiTheme="minorEastAsia" w:hAnsiTheme="minorEastAsia" w:eastAsiaTheme="minorEastAsia"/>
          <w:spacing w:val="8"/>
          <w:szCs w:val="21"/>
        </w:rPr>
        <w:t>基金管理人</w:t>
      </w:r>
      <w:r>
        <w:rPr>
          <w:rFonts w:hint="eastAsia" w:asciiTheme="minorEastAsia" w:hAnsiTheme="minorEastAsia" w:eastAsiaTheme="minorEastAsia"/>
          <w:spacing w:val="8"/>
          <w:szCs w:val="21"/>
        </w:rPr>
        <w:t>将以电子邮件、手机短信的形式定期为投资者发送所订制的信息。</w:t>
      </w:r>
    </w:p>
    <w:p>
      <w:pPr>
        <w:adjustRightInd w:val="0"/>
        <w:snapToGrid w:val="0"/>
        <w:spacing w:line="360" w:lineRule="auto"/>
        <w:ind w:firstLine="422" w:firstLineChars="200"/>
        <w:rPr>
          <w:rFonts w:cs="Arial" w:asciiTheme="minorEastAsia" w:hAnsiTheme="minorEastAsia" w:eastAsiaTheme="minorEastAsia"/>
          <w:b/>
          <w:bCs/>
          <w:szCs w:val="21"/>
        </w:rPr>
      </w:pPr>
      <w:r>
        <w:rPr>
          <w:rFonts w:hint="eastAsia" w:cs="Arial" w:asciiTheme="minorEastAsia" w:hAnsiTheme="minorEastAsia" w:eastAsiaTheme="minorEastAsia"/>
          <w:b/>
          <w:bCs/>
          <w:szCs w:val="21"/>
        </w:rPr>
        <w:t>七</w:t>
      </w:r>
      <w:r>
        <w:rPr>
          <w:rFonts w:cs="Arial" w:asciiTheme="minorEastAsia" w:hAnsiTheme="minorEastAsia" w:eastAsiaTheme="minorEastAsia"/>
          <w:b/>
          <w:bCs/>
          <w:szCs w:val="21"/>
        </w:rPr>
        <w:t>、</w:t>
      </w:r>
      <w:r>
        <w:rPr>
          <w:rFonts w:hint="eastAsia" w:cs="Arial" w:asciiTheme="minorEastAsia" w:hAnsiTheme="minorEastAsia" w:eastAsiaTheme="minorEastAsia"/>
          <w:b/>
          <w:bCs/>
          <w:szCs w:val="21"/>
        </w:rPr>
        <w:t>电话理财</w:t>
      </w:r>
      <w:r>
        <w:rPr>
          <w:rFonts w:cs="Arial" w:asciiTheme="minorEastAsia" w:hAnsiTheme="minorEastAsia" w:eastAsiaTheme="minorEastAsia"/>
          <w:b/>
          <w:bCs/>
          <w:szCs w:val="21"/>
        </w:rPr>
        <w:t>服务</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投资者拨打</w:t>
      </w:r>
      <w:r>
        <w:rPr>
          <w:rFonts w:asciiTheme="minorEastAsia" w:hAnsiTheme="minorEastAsia" w:eastAsiaTheme="minorEastAsia"/>
          <w:spacing w:val="8"/>
          <w:szCs w:val="21"/>
        </w:rPr>
        <w:t>博时一线通：95105568（免长途</w:t>
      </w:r>
      <w:r>
        <w:rPr>
          <w:rFonts w:hint="eastAsia" w:asciiTheme="minorEastAsia" w:hAnsiTheme="minorEastAsia" w:eastAsiaTheme="minorEastAsia"/>
          <w:spacing w:val="8"/>
          <w:szCs w:val="21"/>
        </w:rPr>
        <w:t>话</w:t>
      </w:r>
      <w:r>
        <w:rPr>
          <w:rFonts w:asciiTheme="minorEastAsia" w:hAnsiTheme="minorEastAsia" w:eastAsiaTheme="minorEastAsia"/>
          <w:spacing w:val="8"/>
          <w:szCs w:val="21"/>
        </w:rPr>
        <w:t>费）</w:t>
      </w:r>
      <w:r>
        <w:rPr>
          <w:rFonts w:hint="eastAsia" w:asciiTheme="minorEastAsia" w:hAnsiTheme="minorEastAsia" w:eastAsiaTheme="minorEastAsia"/>
          <w:spacing w:val="8"/>
          <w:szCs w:val="21"/>
        </w:rPr>
        <w:t>可享有</w:t>
      </w:r>
      <w:r>
        <w:rPr>
          <w:rFonts w:asciiTheme="minorEastAsia" w:hAnsiTheme="minorEastAsia" w:eastAsiaTheme="minorEastAsia"/>
          <w:spacing w:val="8"/>
          <w:szCs w:val="21"/>
        </w:rPr>
        <w:t>投资理财交易的一站式</w:t>
      </w:r>
      <w:r>
        <w:rPr>
          <w:rFonts w:hint="eastAsia" w:asciiTheme="minorEastAsia" w:hAnsiTheme="minorEastAsia" w:eastAsiaTheme="minorEastAsia"/>
          <w:spacing w:val="8"/>
          <w:szCs w:val="21"/>
        </w:rPr>
        <w:t>综合服务：</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asciiTheme="minorEastAsia" w:hAnsiTheme="minorEastAsia" w:eastAsiaTheme="minorEastAsia"/>
          <w:spacing w:val="8"/>
          <w:szCs w:val="21"/>
        </w:rPr>
        <w:t>1、自助</w:t>
      </w:r>
      <w:r>
        <w:rPr>
          <w:rFonts w:hint="eastAsia" w:asciiTheme="minorEastAsia" w:hAnsiTheme="minorEastAsia" w:eastAsiaTheme="minorEastAsia"/>
          <w:spacing w:val="8"/>
          <w:szCs w:val="21"/>
        </w:rPr>
        <w:t>语音服务：</w:t>
      </w:r>
      <w:r>
        <w:rPr>
          <w:rFonts w:asciiTheme="minorEastAsia" w:hAnsiTheme="minorEastAsia" w:eastAsiaTheme="minorEastAsia"/>
          <w:spacing w:val="8"/>
          <w:szCs w:val="21"/>
        </w:rPr>
        <w:t>基金管理人自助语音</w:t>
      </w:r>
      <w:r>
        <w:rPr>
          <w:rFonts w:hint="eastAsia" w:asciiTheme="minorEastAsia" w:hAnsiTheme="minorEastAsia" w:eastAsiaTheme="minorEastAsia"/>
          <w:spacing w:val="8"/>
          <w:szCs w:val="21"/>
        </w:rPr>
        <w:t>系统提供</w:t>
      </w:r>
      <w:r>
        <w:rPr>
          <w:rFonts w:asciiTheme="minorEastAsia" w:hAnsiTheme="minorEastAsia" w:eastAsiaTheme="minorEastAsia"/>
          <w:spacing w:val="8"/>
          <w:szCs w:val="21"/>
        </w:rPr>
        <w:t>7</w:t>
      </w:r>
      <w:r>
        <w:rPr>
          <w:rFonts w:hint="eastAsia" w:asciiTheme="minorEastAsia" w:hAnsiTheme="minorEastAsia" w:eastAsiaTheme="minorEastAsia"/>
          <w:spacing w:val="8"/>
          <w:szCs w:val="21"/>
        </w:rPr>
        <w:t>×</w:t>
      </w:r>
      <w:r>
        <w:rPr>
          <w:rFonts w:asciiTheme="minorEastAsia" w:hAnsiTheme="minorEastAsia" w:eastAsiaTheme="minorEastAsia"/>
          <w:spacing w:val="8"/>
          <w:szCs w:val="21"/>
        </w:rPr>
        <w:t>24</w:t>
      </w:r>
      <w:r>
        <w:rPr>
          <w:rFonts w:hint="eastAsia" w:asciiTheme="minorEastAsia" w:hAnsiTheme="minorEastAsia" w:eastAsiaTheme="minorEastAsia"/>
          <w:spacing w:val="8"/>
          <w:szCs w:val="21"/>
        </w:rPr>
        <w:t>小时的全天候服务，投资者可以自助查询账户余额、交易情况、基金净值等信息，也可以进行直销交易、密码修改、传真索取等操作。</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2、电话交易服务：基金管理人直销投资者可通过博时一线通电话交易平台在线办理基金的赎回、变更分红方式、撤单等直销交易业务。</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3</w:t>
      </w:r>
      <w:r>
        <w:rPr>
          <w:rFonts w:asciiTheme="minorEastAsia" w:hAnsiTheme="minorEastAsia" w:eastAsiaTheme="minorEastAsia"/>
          <w:spacing w:val="8"/>
          <w:szCs w:val="21"/>
        </w:rPr>
        <w:t>、</w:t>
      </w:r>
      <w:r>
        <w:rPr>
          <w:rFonts w:hint="eastAsia" w:asciiTheme="minorEastAsia" w:hAnsiTheme="minorEastAsia" w:eastAsiaTheme="minorEastAsia"/>
          <w:spacing w:val="8"/>
          <w:szCs w:val="21"/>
        </w:rPr>
        <w:t>人工电话服务：</w:t>
      </w:r>
      <w:r>
        <w:rPr>
          <w:rFonts w:asciiTheme="minorEastAsia" w:hAnsiTheme="minorEastAsia" w:eastAsiaTheme="minorEastAsia"/>
          <w:spacing w:val="8"/>
          <w:szCs w:val="21"/>
        </w:rPr>
        <w:t>投资者</w:t>
      </w:r>
      <w:r>
        <w:rPr>
          <w:rFonts w:hint="eastAsia" w:asciiTheme="minorEastAsia" w:hAnsiTheme="minorEastAsia" w:eastAsiaTheme="minorEastAsia"/>
          <w:spacing w:val="8"/>
          <w:szCs w:val="21"/>
        </w:rPr>
        <w:t>可以获得</w:t>
      </w:r>
      <w:r>
        <w:rPr>
          <w:rFonts w:asciiTheme="minorEastAsia" w:hAnsiTheme="minorEastAsia" w:eastAsiaTheme="minorEastAsia"/>
          <w:spacing w:val="8"/>
          <w:szCs w:val="21"/>
        </w:rPr>
        <w:t>业务咨询、信息查询、资料修改、投诉受理</w:t>
      </w:r>
      <w:r>
        <w:rPr>
          <w:rFonts w:hint="eastAsia" w:asciiTheme="minorEastAsia" w:hAnsiTheme="minorEastAsia" w:eastAsiaTheme="minorEastAsia"/>
          <w:spacing w:val="8"/>
          <w:szCs w:val="21"/>
        </w:rPr>
        <w:t>、信息订制、账户诊断</w:t>
      </w:r>
      <w:r>
        <w:rPr>
          <w:rFonts w:asciiTheme="minorEastAsia" w:hAnsiTheme="minorEastAsia" w:eastAsiaTheme="minorEastAsia"/>
          <w:spacing w:val="8"/>
          <w:szCs w:val="21"/>
        </w:rPr>
        <w:t>等服务</w:t>
      </w:r>
      <w:r>
        <w:rPr>
          <w:rFonts w:hint="eastAsia" w:asciiTheme="minorEastAsia" w:hAnsiTheme="minorEastAsia" w:eastAsiaTheme="minorEastAsia"/>
          <w:spacing w:val="8"/>
          <w:szCs w:val="21"/>
        </w:rPr>
        <w:t>。</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4、电话留言服务：非人工服务时间或线路繁忙时，投资者可进行电话留言。</w:t>
      </w:r>
    </w:p>
    <w:p>
      <w:pPr>
        <w:adjustRightInd w:val="0"/>
        <w:snapToGrid w:val="0"/>
        <w:spacing w:line="360" w:lineRule="auto"/>
        <w:ind w:firstLine="422" w:firstLineChars="200"/>
        <w:rPr>
          <w:rFonts w:cs="Arial" w:asciiTheme="minorEastAsia" w:hAnsiTheme="minorEastAsia" w:eastAsiaTheme="minorEastAsia"/>
          <w:b/>
          <w:bCs/>
          <w:szCs w:val="21"/>
        </w:rPr>
      </w:pPr>
      <w:r>
        <w:rPr>
          <w:rFonts w:hint="eastAsia" w:cs="Arial" w:asciiTheme="minorEastAsia" w:hAnsiTheme="minorEastAsia" w:eastAsiaTheme="minorEastAsia"/>
          <w:b/>
          <w:bCs/>
          <w:szCs w:val="21"/>
        </w:rPr>
        <w:t>八</w:t>
      </w:r>
      <w:r>
        <w:rPr>
          <w:rFonts w:cs="Arial" w:asciiTheme="minorEastAsia" w:hAnsiTheme="minorEastAsia" w:eastAsiaTheme="minorEastAsia"/>
          <w:b/>
          <w:bCs/>
          <w:szCs w:val="21"/>
        </w:rPr>
        <w:t>、</w:t>
      </w:r>
      <w:r>
        <w:rPr>
          <w:rFonts w:hint="eastAsia" w:cs="Arial" w:asciiTheme="minorEastAsia" w:hAnsiTheme="minorEastAsia" w:eastAsiaTheme="minorEastAsia"/>
          <w:b/>
          <w:bCs/>
          <w:szCs w:val="21"/>
        </w:rPr>
        <w:t>基金管理人联系方式</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公司</w:t>
      </w:r>
      <w:r>
        <w:rPr>
          <w:rFonts w:asciiTheme="minorEastAsia" w:hAnsiTheme="minorEastAsia" w:eastAsiaTheme="minorEastAsia"/>
          <w:spacing w:val="8"/>
          <w:szCs w:val="21"/>
        </w:rPr>
        <w:t xml:space="preserve">网址： www.bosera.com </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asciiTheme="minorEastAsia" w:hAnsiTheme="minorEastAsia" w:eastAsiaTheme="minorEastAsia"/>
          <w:spacing w:val="8"/>
          <w:szCs w:val="21"/>
        </w:rPr>
        <w:t>电子信箱：</w:t>
      </w:r>
      <w:r>
        <w:fldChar w:fldCharType="begin"/>
      </w:r>
      <w:r>
        <w:instrText xml:space="preserve"> HYPERLINK "mailto:service@bosera.com" </w:instrText>
      </w:r>
      <w:r>
        <w:fldChar w:fldCharType="separate"/>
      </w:r>
      <w:r>
        <w:rPr>
          <w:rFonts w:asciiTheme="minorEastAsia" w:hAnsiTheme="minorEastAsia" w:eastAsiaTheme="minorEastAsia"/>
          <w:spacing w:val="8"/>
          <w:szCs w:val="21"/>
        </w:rPr>
        <w:t>service@bosera.com</w:t>
      </w:r>
      <w:r>
        <w:rPr>
          <w:rFonts w:asciiTheme="minorEastAsia" w:hAnsiTheme="minorEastAsia" w:eastAsiaTheme="minorEastAsia"/>
          <w:spacing w:val="8"/>
          <w:szCs w:val="21"/>
        </w:rPr>
        <w:fldChar w:fldCharType="end"/>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asciiTheme="minorEastAsia" w:hAnsiTheme="minorEastAsia" w:eastAsiaTheme="minorEastAsia"/>
          <w:spacing w:val="8"/>
          <w:szCs w:val="21"/>
        </w:rPr>
        <w:t>博时一线通</w:t>
      </w:r>
      <w:r>
        <w:rPr>
          <w:rFonts w:hint="eastAsia" w:asciiTheme="minorEastAsia" w:hAnsiTheme="minorEastAsia" w:eastAsiaTheme="minorEastAsia"/>
          <w:spacing w:val="8"/>
          <w:szCs w:val="21"/>
        </w:rPr>
        <w:t>客服电话：</w:t>
      </w:r>
      <w:r>
        <w:rPr>
          <w:rFonts w:asciiTheme="minorEastAsia" w:hAnsiTheme="minorEastAsia" w:eastAsiaTheme="minorEastAsia"/>
          <w:spacing w:val="8"/>
          <w:szCs w:val="21"/>
        </w:rPr>
        <w:t>95105568（免长途话费）</w:t>
      </w:r>
    </w:p>
    <w:p>
      <w:pPr>
        <w:autoSpaceDE w:val="0"/>
        <w:autoSpaceDN w:val="0"/>
        <w:adjustRightInd w:val="0"/>
        <w:snapToGrid w:val="0"/>
        <w:spacing w:line="360" w:lineRule="auto"/>
        <w:ind w:firstLine="424" w:firstLineChars="201"/>
        <w:jc w:val="left"/>
        <w:rPr>
          <w:rFonts w:cs="Arial" w:asciiTheme="minorEastAsia" w:hAnsiTheme="minorEastAsia" w:eastAsiaTheme="minorEastAsia"/>
          <w:b/>
          <w:bCs/>
          <w:szCs w:val="21"/>
        </w:rPr>
        <w:sectPr>
          <w:footerReference r:id="rId32" w:type="first"/>
          <w:pgSz w:w="11906" w:h="16838"/>
          <w:pgMar w:top="1440" w:right="1800" w:bottom="1440" w:left="1800" w:header="851" w:footer="992" w:gutter="0"/>
          <w:cols w:space="425" w:num="1"/>
          <w:titlePg/>
          <w:docGrid w:type="lines" w:linePitch="312" w:charSpace="0"/>
        </w:sectPr>
      </w:pPr>
      <w:r>
        <w:rPr>
          <w:rFonts w:hint="eastAsia" w:cs="Arial" w:asciiTheme="minorEastAsia" w:hAnsiTheme="minorEastAsia" w:eastAsiaTheme="minorEastAsia"/>
          <w:b/>
          <w:bCs/>
          <w:szCs w:val="21"/>
        </w:rPr>
        <w:t>九、如本招募说明书存在任何您/贵机构无法理解的内容，请通过上述方式联系基金管理人。请确保投资前，您/贵机构已经全面理解了本招募说明书。</w:t>
      </w:r>
    </w:p>
    <w:p>
      <w:pPr>
        <w:pStyle w:val="3"/>
        <w:numPr>
          <w:ilvl w:val="0"/>
          <w:numId w:val="25"/>
        </w:numPr>
        <w:snapToGrid w:val="0"/>
        <w:spacing w:before="0" w:after="0" w:line="360" w:lineRule="auto"/>
        <w:jc w:val="center"/>
      </w:pPr>
      <w:bookmarkStart w:id="225" w:name="_Toc327902643"/>
      <w:bookmarkStart w:id="226" w:name="_Toc411872043"/>
      <w:bookmarkStart w:id="227" w:name="_Toc375295994"/>
      <w:bookmarkStart w:id="228" w:name="_Toc11170"/>
      <w:bookmarkStart w:id="229" w:name="_Toc335899854"/>
      <w:bookmarkStart w:id="230" w:name="_Toc28342"/>
      <w:bookmarkStart w:id="231" w:name="_Toc369510029"/>
      <w:bookmarkStart w:id="232" w:name="_Toc336606248"/>
      <w:bookmarkStart w:id="233" w:name="_Toc332013131"/>
      <w:r>
        <w:rPr>
          <w:rFonts w:hint="eastAsia"/>
        </w:rPr>
        <w:t>其他应披露事项</w:t>
      </w:r>
      <w:bookmarkEnd w:id="225"/>
      <w:bookmarkEnd w:id="226"/>
      <w:bookmarkEnd w:id="227"/>
      <w:bookmarkEnd w:id="228"/>
      <w:bookmarkEnd w:id="229"/>
      <w:bookmarkEnd w:id="230"/>
      <w:bookmarkEnd w:id="231"/>
      <w:bookmarkEnd w:id="232"/>
      <w:bookmarkEnd w:id="233"/>
    </w:p>
    <w:p>
      <w:pPr>
        <w:pStyle w:val="163"/>
        <w:sectPr>
          <w:pgSz w:w="11906" w:h="16838"/>
          <w:pgMar w:top="1440" w:right="1800" w:bottom="1440" w:left="1800" w:header="851" w:footer="992" w:gutter="0"/>
          <w:cols w:space="425" w:num="1"/>
          <w:titlePg/>
          <w:docGrid w:type="lines" w:linePitch="312" w:charSpace="0"/>
        </w:sectPr>
      </w:pPr>
      <w:r>
        <w:rPr>
          <w:rFonts w:hint="eastAsia"/>
        </w:rPr>
        <w:t>本基金暂无其他应披露事项。《基金合同》如有未尽事宜，由《基金合同》当事人各方按有关法律法规协商解决。</w:t>
      </w:r>
    </w:p>
    <w:p>
      <w:pPr>
        <w:pStyle w:val="3"/>
        <w:numPr>
          <w:ilvl w:val="0"/>
          <w:numId w:val="25"/>
        </w:numPr>
        <w:snapToGrid w:val="0"/>
        <w:spacing w:before="0" w:after="0" w:line="360" w:lineRule="auto"/>
        <w:jc w:val="center"/>
      </w:pPr>
      <w:bookmarkStart w:id="234" w:name="_Toc369510065"/>
      <w:bookmarkEnd w:id="234"/>
      <w:bookmarkStart w:id="235" w:name="_Toc369509969"/>
      <w:bookmarkEnd w:id="235"/>
      <w:bookmarkStart w:id="236" w:name="_Toc369510064"/>
      <w:bookmarkEnd w:id="236"/>
      <w:bookmarkStart w:id="237" w:name="_Toc369510004"/>
      <w:bookmarkEnd w:id="237"/>
      <w:bookmarkStart w:id="238" w:name="_Toc369510030"/>
      <w:bookmarkEnd w:id="238"/>
      <w:bookmarkStart w:id="239" w:name="_Toc369510003"/>
      <w:bookmarkEnd w:id="239"/>
      <w:bookmarkStart w:id="240" w:name="_Toc7720"/>
      <w:bookmarkStart w:id="241" w:name="_Toc327902644"/>
      <w:bookmarkStart w:id="242" w:name="_Toc332013132"/>
      <w:bookmarkStart w:id="243" w:name="_Toc336606249"/>
      <w:bookmarkStart w:id="244" w:name="_Toc335899855"/>
      <w:bookmarkStart w:id="245" w:name="_Toc369510066"/>
      <w:bookmarkStart w:id="246" w:name="_Toc375295995"/>
      <w:bookmarkStart w:id="247" w:name="_Toc411872044"/>
      <w:bookmarkStart w:id="248" w:name="_Toc4567"/>
      <w:r>
        <w:rPr>
          <w:rFonts w:hint="eastAsia"/>
        </w:rPr>
        <w:t>招募说明书存放及其查阅方式</w:t>
      </w:r>
      <w:bookmarkEnd w:id="240"/>
      <w:bookmarkEnd w:id="241"/>
      <w:bookmarkEnd w:id="242"/>
      <w:bookmarkEnd w:id="243"/>
      <w:bookmarkEnd w:id="244"/>
      <w:bookmarkEnd w:id="245"/>
      <w:bookmarkEnd w:id="246"/>
      <w:bookmarkEnd w:id="247"/>
      <w:bookmarkEnd w:id="248"/>
    </w:p>
    <w:p>
      <w:pPr>
        <w:pStyle w:val="163"/>
      </w:pPr>
      <w:r>
        <w:rPr>
          <w:rFonts w:hint="eastAsia"/>
        </w:rPr>
        <w:t>本招募说明书存放在本基金管理人、基金托管人、基金销售机构的住所，投资人可在办公时间免费查阅；也可按工本费购买本招募说明书复制件或复印件，但应以招募说明书正本为准。</w:t>
      </w:r>
    </w:p>
    <w:p>
      <w:pPr>
        <w:pStyle w:val="15"/>
        <w:snapToGrid w:val="0"/>
        <w:spacing w:line="360" w:lineRule="auto"/>
        <w:ind w:firstLine="422"/>
        <w:rPr>
          <w:b/>
          <w:bCs/>
          <w:color w:val="000000"/>
          <w:szCs w:val="24"/>
        </w:rPr>
        <w:sectPr>
          <w:footerReference r:id="rId33" w:type="first"/>
          <w:pgSz w:w="11906" w:h="16838"/>
          <w:pgMar w:top="1440" w:right="1800" w:bottom="1440" w:left="1800" w:header="851" w:footer="992" w:gutter="0"/>
          <w:cols w:space="425" w:num="1"/>
          <w:titlePg/>
          <w:docGrid w:type="lines" w:linePitch="312" w:charSpace="0"/>
        </w:sectPr>
      </w:pPr>
      <w:r>
        <w:rPr>
          <w:rFonts w:hint="eastAsia"/>
        </w:rPr>
        <w:t>基金管理人和基金托管人保证文本的内容与所公告的内容完全一致。</w:t>
      </w:r>
    </w:p>
    <w:p>
      <w:pPr>
        <w:pStyle w:val="3"/>
        <w:numPr>
          <w:ilvl w:val="0"/>
          <w:numId w:val="25"/>
        </w:numPr>
        <w:snapToGrid w:val="0"/>
        <w:spacing w:before="0" w:after="0" w:line="360" w:lineRule="auto"/>
        <w:jc w:val="center"/>
      </w:pPr>
      <w:bookmarkStart w:id="249" w:name="_Toc335232710"/>
      <w:bookmarkStart w:id="250" w:name="_Toc317088556"/>
      <w:bookmarkStart w:id="251" w:name="_Toc5593"/>
      <w:bookmarkStart w:id="252" w:name="_Toc320887661"/>
      <w:bookmarkStart w:id="253" w:name="_Toc317088167"/>
      <w:bookmarkStart w:id="254" w:name="_Toc465240490"/>
      <w:bookmarkStart w:id="255" w:name="_Toc386115319"/>
      <w:bookmarkStart w:id="256" w:name="_Toc500791414"/>
      <w:bookmarkStart w:id="257" w:name="_Toc530223199"/>
      <w:bookmarkStart w:id="258" w:name="_Toc214873623"/>
      <w:bookmarkStart w:id="259" w:name="_Toc18948"/>
      <w:r>
        <w:t>备查文件</w:t>
      </w:r>
      <w:bookmarkEnd w:id="249"/>
      <w:bookmarkEnd w:id="250"/>
      <w:bookmarkEnd w:id="251"/>
      <w:bookmarkEnd w:id="252"/>
      <w:bookmarkEnd w:id="253"/>
      <w:bookmarkEnd w:id="254"/>
      <w:bookmarkEnd w:id="255"/>
      <w:bookmarkEnd w:id="256"/>
      <w:bookmarkEnd w:id="257"/>
      <w:bookmarkEnd w:id="258"/>
      <w:bookmarkEnd w:id="259"/>
    </w:p>
    <w:p>
      <w:pPr>
        <w:autoSpaceDE w:val="0"/>
        <w:autoSpaceDN w:val="0"/>
        <w:adjustRightInd w:val="0"/>
        <w:snapToGrid w:val="0"/>
        <w:spacing w:before="156" w:beforeLines="50" w:line="360" w:lineRule="auto"/>
        <w:ind w:firstLine="420" w:firstLineChars="200"/>
        <w:rPr>
          <w:color w:val="000000"/>
          <w:kern w:val="0"/>
          <w:szCs w:val="21"/>
        </w:rPr>
      </w:pPr>
      <w:r>
        <w:rPr>
          <w:color w:val="000000"/>
          <w:kern w:val="0"/>
          <w:szCs w:val="21"/>
        </w:rPr>
        <w:t>以下备查文件存放在基金管理人的办公场所，在办公时间可供免费查阅。</w:t>
      </w:r>
    </w:p>
    <w:p>
      <w:pPr>
        <w:autoSpaceDE w:val="0"/>
        <w:autoSpaceDN w:val="0"/>
        <w:adjustRightInd w:val="0"/>
        <w:snapToGrid w:val="0"/>
        <w:spacing w:line="360" w:lineRule="auto"/>
        <w:ind w:firstLine="420" w:firstLineChars="200"/>
        <w:rPr>
          <w:color w:val="000000"/>
          <w:kern w:val="0"/>
          <w:szCs w:val="21"/>
        </w:rPr>
      </w:pPr>
      <w:r>
        <w:rPr>
          <w:color w:val="000000"/>
          <w:kern w:val="0"/>
          <w:szCs w:val="21"/>
        </w:rPr>
        <w:t>（一）中国证监会准予</w:t>
      </w:r>
      <w:r>
        <w:rPr>
          <w:rFonts w:hint="eastAsia"/>
          <w:color w:val="000000"/>
          <w:kern w:val="0"/>
          <w:szCs w:val="21"/>
        </w:rPr>
        <w:t>博时国证粮食产业指数型发起式证券投资基金</w:t>
      </w:r>
      <w:r>
        <w:rPr>
          <w:color w:val="000000"/>
          <w:kern w:val="0"/>
          <w:szCs w:val="21"/>
        </w:rPr>
        <w:t>注册的文件</w:t>
      </w:r>
    </w:p>
    <w:p>
      <w:pPr>
        <w:autoSpaceDE w:val="0"/>
        <w:autoSpaceDN w:val="0"/>
        <w:adjustRightInd w:val="0"/>
        <w:snapToGrid w:val="0"/>
        <w:spacing w:line="360" w:lineRule="auto"/>
        <w:ind w:firstLine="420" w:firstLineChars="200"/>
        <w:rPr>
          <w:color w:val="000000"/>
          <w:kern w:val="0"/>
          <w:szCs w:val="21"/>
        </w:rPr>
      </w:pPr>
      <w:r>
        <w:rPr>
          <w:color w:val="000000"/>
          <w:kern w:val="0"/>
          <w:szCs w:val="21"/>
        </w:rPr>
        <w:t>（二）《</w:t>
      </w:r>
      <w:r>
        <w:rPr>
          <w:rFonts w:hint="eastAsia"/>
          <w:color w:val="000000"/>
          <w:kern w:val="0"/>
          <w:szCs w:val="21"/>
        </w:rPr>
        <w:t>博时国证粮食产业指数型发起式证券投资基金</w:t>
      </w:r>
      <w:r>
        <w:rPr>
          <w:color w:val="000000"/>
          <w:kern w:val="0"/>
          <w:szCs w:val="21"/>
        </w:rPr>
        <w:t>基金合同》</w:t>
      </w:r>
    </w:p>
    <w:p>
      <w:pPr>
        <w:autoSpaceDE w:val="0"/>
        <w:autoSpaceDN w:val="0"/>
        <w:adjustRightInd w:val="0"/>
        <w:snapToGrid w:val="0"/>
        <w:spacing w:line="360" w:lineRule="auto"/>
        <w:ind w:firstLine="420" w:firstLineChars="200"/>
        <w:rPr>
          <w:color w:val="000000"/>
          <w:kern w:val="0"/>
          <w:szCs w:val="21"/>
        </w:rPr>
      </w:pPr>
      <w:r>
        <w:rPr>
          <w:color w:val="000000"/>
          <w:kern w:val="0"/>
          <w:szCs w:val="21"/>
        </w:rPr>
        <w:t>（三）《</w:t>
      </w:r>
      <w:r>
        <w:rPr>
          <w:rFonts w:hint="eastAsia"/>
          <w:color w:val="000000"/>
          <w:kern w:val="0"/>
          <w:szCs w:val="21"/>
        </w:rPr>
        <w:t>博时国证粮食产业指数型发起式证券投资基金</w:t>
      </w:r>
      <w:r>
        <w:rPr>
          <w:color w:val="000000"/>
          <w:kern w:val="0"/>
          <w:szCs w:val="21"/>
        </w:rPr>
        <w:t>托管协议》</w:t>
      </w:r>
    </w:p>
    <w:p>
      <w:pPr>
        <w:autoSpaceDE w:val="0"/>
        <w:autoSpaceDN w:val="0"/>
        <w:adjustRightInd w:val="0"/>
        <w:snapToGrid w:val="0"/>
        <w:spacing w:line="360" w:lineRule="auto"/>
        <w:ind w:firstLine="420" w:firstLineChars="200"/>
        <w:rPr>
          <w:color w:val="000000"/>
          <w:kern w:val="0"/>
          <w:szCs w:val="21"/>
        </w:rPr>
      </w:pPr>
      <w:r>
        <w:rPr>
          <w:color w:val="000000"/>
          <w:kern w:val="0"/>
          <w:szCs w:val="21"/>
        </w:rPr>
        <w:t>（四）基金管理人业务资格批件、营业执照</w:t>
      </w:r>
    </w:p>
    <w:p>
      <w:pPr>
        <w:autoSpaceDE w:val="0"/>
        <w:autoSpaceDN w:val="0"/>
        <w:adjustRightInd w:val="0"/>
        <w:snapToGrid w:val="0"/>
        <w:spacing w:line="360" w:lineRule="auto"/>
        <w:ind w:firstLine="420" w:firstLineChars="200"/>
        <w:rPr>
          <w:color w:val="000000"/>
          <w:kern w:val="0"/>
          <w:szCs w:val="21"/>
        </w:rPr>
      </w:pPr>
      <w:r>
        <w:rPr>
          <w:color w:val="000000"/>
          <w:kern w:val="0"/>
          <w:szCs w:val="21"/>
        </w:rPr>
        <w:t>（五）基金托管人业务资格批件、营业执照</w:t>
      </w:r>
    </w:p>
    <w:p>
      <w:pPr>
        <w:autoSpaceDE w:val="0"/>
        <w:autoSpaceDN w:val="0"/>
        <w:adjustRightInd w:val="0"/>
        <w:snapToGrid w:val="0"/>
        <w:spacing w:line="360" w:lineRule="auto"/>
        <w:ind w:firstLine="420" w:firstLineChars="200"/>
        <w:rPr>
          <w:color w:val="000000"/>
          <w:kern w:val="0"/>
          <w:szCs w:val="21"/>
        </w:rPr>
      </w:pPr>
      <w:r>
        <w:rPr>
          <w:color w:val="000000"/>
          <w:kern w:val="0"/>
          <w:szCs w:val="21"/>
        </w:rPr>
        <w:t>（六）法律意见书</w:t>
      </w:r>
    </w:p>
    <w:p>
      <w:pPr>
        <w:autoSpaceDE w:val="0"/>
        <w:autoSpaceDN w:val="0"/>
        <w:adjustRightInd w:val="0"/>
        <w:snapToGrid w:val="0"/>
        <w:spacing w:line="360" w:lineRule="auto"/>
        <w:ind w:firstLine="420" w:firstLineChars="200"/>
        <w:rPr>
          <w:color w:val="000000"/>
          <w:kern w:val="0"/>
          <w:szCs w:val="21"/>
        </w:rPr>
      </w:pPr>
      <w:r>
        <w:rPr>
          <w:color w:val="000000"/>
          <w:kern w:val="0"/>
          <w:szCs w:val="21"/>
        </w:rPr>
        <w:t>（七）中国证监会要求的其他文件</w:t>
      </w:r>
    </w:p>
    <w:p>
      <w:pPr>
        <w:autoSpaceDE w:val="0"/>
        <w:autoSpaceDN w:val="0"/>
        <w:adjustRightInd w:val="0"/>
        <w:snapToGrid w:val="0"/>
        <w:spacing w:line="360" w:lineRule="auto"/>
        <w:ind w:firstLine="420" w:firstLineChars="200"/>
        <w:rPr>
          <w:color w:val="000000"/>
          <w:kern w:val="0"/>
          <w:szCs w:val="21"/>
        </w:rPr>
      </w:pPr>
      <w:r>
        <w:rPr>
          <w:color w:val="000000"/>
          <w:kern w:val="0"/>
          <w:szCs w:val="21"/>
        </w:rPr>
        <w:t>查阅方式：投资者可在营业时间免费查阅，也可按工本费购买复印件。</w:t>
      </w:r>
    </w:p>
    <w:p>
      <w:pPr>
        <w:autoSpaceDE w:val="0"/>
        <w:autoSpaceDN w:val="0"/>
        <w:adjustRightInd w:val="0"/>
        <w:snapToGrid w:val="0"/>
        <w:spacing w:line="360" w:lineRule="auto"/>
        <w:ind w:firstLine="420" w:firstLineChars="200"/>
        <w:rPr>
          <w:color w:val="000000"/>
          <w:kern w:val="0"/>
          <w:szCs w:val="21"/>
        </w:rPr>
      </w:pPr>
    </w:p>
    <w:p>
      <w:pPr>
        <w:autoSpaceDE w:val="0"/>
        <w:autoSpaceDN w:val="0"/>
        <w:adjustRightInd w:val="0"/>
        <w:snapToGrid w:val="0"/>
        <w:spacing w:line="360" w:lineRule="auto"/>
        <w:ind w:firstLine="420" w:firstLineChars="200"/>
        <w:rPr>
          <w:color w:val="000000"/>
          <w:kern w:val="0"/>
          <w:szCs w:val="21"/>
        </w:rPr>
      </w:pPr>
    </w:p>
    <w:p>
      <w:pPr>
        <w:autoSpaceDE w:val="0"/>
        <w:autoSpaceDN w:val="0"/>
        <w:adjustRightInd w:val="0"/>
        <w:snapToGrid w:val="0"/>
        <w:spacing w:line="360" w:lineRule="auto"/>
        <w:ind w:firstLine="420" w:firstLineChars="200"/>
        <w:jc w:val="right"/>
        <w:rPr>
          <w:color w:val="000000"/>
          <w:kern w:val="0"/>
          <w:szCs w:val="21"/>
        </w:rPr>
      </w:pPr>
      <w:r>
        <w:rPr>
          <w:szCs w:val="20"/>
        </w:rPr>
        <w:t xml:space="preserve">   </w:t>
      </w:r>
      <w:r>
        <w:rPr>
          <w:rFonts w:hint="eastAsia"/>
          <w:szCs w:val="20"/>
        </w:rPr>
        <w:t xml:space="preserve">                                        </w:t>
      </w:r>
      <w:r>
        <w:rPr>
          <w:szCs w:val="20"/>
        </w:rPr>
        <w:tab/>
      </w:r>
      <w:r>
        <w:rPr>
          <w:rFonts w:hint="eastAsia"/>
          <w:szCs w:val="20"/>
        </w:rPr>
        <w:t xml:space="preserve">     </w:t>
      </w:r>
      <w:r>
        <w:rPr>
          <w:rFonts w:hint="eastAsia"/>
          <w:color w:val="000000"/>
          <w:kern w:val="0"/>
          <w:szCs w:val="21"/>
        </w:rPr>
        <w:t xml:space="preserve">      </w:t>
      </w:r>
      <w:r>
        <w:rPr>
          <w:color w:val="000000"/>
          <w:kern w:val="0"/>
          <w:szCs w:val="21"/>
        </w:rPr>
        <w:t>博时基金管理有限公司</w:t>
      </w:r>
    </w:p>
    <w:p>
      <w:pPr>
        <w:autoSpaceDE w:val="0"/>
        <w:autoSpaceDN w:val="0"/>
        <w:adjustRightInd w:val="0"/>
        <w:snapToGrid w:val="0"/>
        <w:spacing w:line="360" w:lineRule="auto"/>
        <w:ind w:firstLine="6615" w:firstLineChars="3150"/>
        <w:jc w:val="right"/>
        <w:rPr>
          <w:rFonts w:hint="eastAsia"/>
          <w:color w:val="000000"/>
          <w:kern w:val="0"/>
          <w:szCs w:val="21"/>
        </w:rPr>
      </w:pPr>
      <w:r>
        <w:rPr>
          <w:rFonts w:hint="eastAsia"/>
          <w:color w:val="000000"/>
          <w:kern w:val="0"/>
          <w:szCs w:val="21"/>
        </w:rPr>
        <w:t>202</w:t>
      </w:r>
      <w:r>
        <w:rPr>
          <w:rFonts w:hint="eastAsia"/>
          <w:color w:val="000000"/>
          <w:kern w:val="0"/>
          <w:szCs w:val="21"/>
          <w:lang w:val="en-US" w:eastAsia="zh-CN"/>
        </w:rPr>
        <w:t>4</w:t>
      </w:r>
      <w:r>
        <w:rPr>
          <w:rFonts w:hint="eastAsia"/>
          <w:color w:val="000000"/>
          <w:kern w:val="0"/>
          <w:szCs w:val="21"/>
        </w:rPr>
        <w:t>年</w:t>
      </w:r>
      <w:r>
        <w:rPr>
          <w:rFonts w:hint="eastAsia"/>
          <w:color w:val="000000"/>
          <w:kern w:val="0"/>
          <w:szCs w:val="21"/>
          <w:lang w:val="en-US" w:eastAsia="zh-CN"/>
        </w:rPr>
        <w:t>3</w:t>
      </w:r>
      <w:r>
        <w:rPr>
          <w:rFonts w:hint="eastAsia"/>
          <w:color w:val="000000"/>
          <w:kern w:val="0"/>
          <w:szCs w:val="21"/>
        </w:rPr>
        <w:t>月</w:t>
      </w:r>
      <w:r>
        <w:rPr>
          <w:rFonts w:hint="eastAsia"/>
          <w:color w:val="000000"/>
          <w:kern w:val="0"/>
          <w:szCs w:val="21"/>
          <w:lang w:val="en-US" w:eastAsia="zh-CN"/>
        </w:rPr>
        <w:t>15</w:t>
      </w:r>
      <w:r>
        <w:rPr>
          <w:rFonts w:hint="eastAsia"/>
          <w:color w:val="000000"/>
          <w:kern w:val="0"/>
          <w:szCs w:val="21"/>
        </w:rPr>
        <w:t>日</w:t>
      </w:r>
    </w:p>
    <w:p>
      <w:pPr>
        <w:rPr>
          <w:rFonts w:hint="eastAsia"/>
          <w:color w:val="000000"/>
          <w:kern w:val="0"/>
          <w:szCs w:val="21"/>
        </w:rPr>
      </w:pPr>
    </w:p>
    <w:sectPr>
      <w:footerReference r:id="rId35" w:type="first"/>
      <w:headerReference r:id="rId34" w:type="default"/>
      <w:pgSz w:w="11906" w:h="16838"/>
      <w:pgMar w:top="1440" w:right="1800" w:bottom="1440" w:left="1800"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Arial Unicode MS">
    <w:altName w:val="Malgun Gothic Semilight"/>
    <w:panose1 w:val="020B0604020202020204"/>
    <w:charset w:val="86"/>
    <w:family w:val="swiss"/>
    <w:pitch w:val="default"/>
    <w:sig w:usb0="00000000" w:usb1="00000000" w:usb2="0000003F" w:usb3="00000000" w:csb0="003F01FF" w:csb1="00000000"/>
  </w:font>
  <w:font w:name="方正黑体简体">
    <w:panose1 w:val="02000000000000000000"/>
    <w:charset w:val="86"/>
    <w:family w:val="script"/>
    <w:pitch w:val="default"/>
    <w:sig w:usb0="A00002BF" w:usb1="184F6CFA" w:usb2="00000012" w:usb3="00000000" w:csb0="00040001" w:csb1="00000000"/>
  </w:font>
  <w:font w:name="五">
    <w:altName w:val="宋体"/>
    <w:panose1 w:val="00000000000000000000"/>
    <w:charset w:val="86"/>
    <w:family w:val="auto"/>
    <w:pitch w:val="default"/>
    <w:sig w:usb0="00000000" w:usb1="00000000" w:usb2="00000010" w:usb3="00000000" w:csb0="00040000" w:csb1="00000000"/>
  </w:font>
  <w:font w:name="pingfang sc">
    <w:altName w:val="宋体"/>
    <w:panose1 w:val="00000000000000000000"/>
    <w:charset w:val="86"/>
    <w:family w:val="auto"/>
    <w:pitch w:val="default"/>
    <w:sig w:usb0="00000000" w:usb1="00000000" w:usb2="00000000" w:usb3="00000000" w:csb0="00160000" w:csb1="00000000"/>
  </w:font>
  <w:font w:name="Helvetica Neue">
    <w:altName w:val="Times New Roman"/>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icrosoft JhengHei UI">
    <w:panose1 w:val="020B0604030504040204"/>
    <w:charset w:val="88"/>
    <w:family w:val="auto"/>
    <w:pitch w:val="default"/>
    <w:sig w:usb0="000002A7" w:usb1="28CF4400" w:usb2="00000016" w:usb3="00000000" w:csb0="00100009" w:csb1="00000000"/>
  </w:font>
  <w:font w:name="Malgun Gothic Semilight">
    <w:panose1 w:val="020B0502040204020203"/>
    <w:charset w:val="86"/>
    <w:family w:val="auto"/>
    <w:pitch w:val="default"/>
    <w:sig w:usb0="900002AF" w:usb1="01D77CFB" w:usb2="00000012" w:usb3="00000000" w:csb0="203E01BD" w:csb1="D7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wnAOg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8JwDoKwIAAFcEAAAOAAAAAAAAAAEAIAAAAB8BAABkcnMvZTJvRG9jLnhtbFBLBQYAAAAABgAG&#10;AFkBAAC8BQ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qU6g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UalOoKwIAAFcEAAAOAAAAAAAAAAEAIAAAAB8BAABkcnMvZTJvRG9jLnhtbFBLBQYAAAAABgAG&#10;AFkBAAC8BQ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1</w:t>
                    </w:r>
                    <w:r>
                      <w:fldChar w:fldCharType="end"/>
                    </w:r>
                  </w:p>
                </w:txbxContent>
              </v:textbox>
            </v:shape>
          </w:pict>
        </mc:Fallback>
      </mc:AlternateContent>
    </w:r>
  </w:p>
  <w:p>
    <w:pPr>
      <w:pStyle w:val="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2MmrI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l69oUQzhYqffnw/&#10;/Xw4/fpGcAaBWutniLu3iAzdO9OhbYZzj8PIu6ucil8wIvBD3uNFXtEFwuOl6WQ6zeHi8A0b4GeP&#10;163z4b0wikSjoA71S7Kyw8aHPnQIidm0WTdSphpKTVqQeP02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DYyasiwCAABXBAAADgAAAAAAAAABACAAAAAfAQAAZHJzL2Uyb0RvYy54bWxQSwUGAAAAAAYA&#10;BgBZAQAAvQ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XByfI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6DbLwlY/WB6h&#10;o3jerg4BAiZdoyidEr1W6LdUmX42YkP/uU9RT/+D5S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pcHJ8iwCAABXBAAADgAAAAAAAAABACAAAAAfAQAAZHJzL2Uyb0RvYy54bWxQSwUGAAAAAAYA&#10;BgBZAQAAvQ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0XPDI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dFzwyKwIAAFcEAAAOAAAAAAAAAAEAIAAAAB8BAABkcnMvZTJvRG9jLnhtbFBLBQYAAAAABgAG&#10;AFkBAAC8BQ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Vab3I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l69pUQzhYqffnw/&#10;/Xw4/fpGcAaBWutniLu3iAzdO9OhbYZzj8PIu6ucil8wIvBD3uNFXtEFwuOl6WQ6zeHi8A0b4GeP&#10;163z4b0wikSjoA71S7Kyw8aHPnQIidm0WTdSphpKTVqQeP0m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9VpvciwCAABXBAAADgAAAAAAAAABACAAAAAfAQAAZHJzL2Uyb0RvYy54bWxQSwUGAAAAAAYA&#10;BgBZAQAAvQ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brwc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v268HKwIAAFcEAAAOAAAAAAAAAAEAIAAAAB8BAABkcnMvZTJvRG9jLnhtbFBLBQYAAAAABgAG&#10;AFkBAAC8BQ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W/Ec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l69pUQzhYqffnw/&#10;/Xw4/fpGcAaBWutniLu3iAzdO9OhbYZzj8PIu6ucil8wIvBD3uNFXtEFwuOl6WQ6zeHi8A0b4GeP&#10;163z4b0wikSjoA71S7Kyw8aHPnQIidm0WTdSphpKTVqQeP0m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x5b8RywCAABXBAAADgAAAAAAAAABACAAAAAfAQAAZHJzL2Uyb0RvYy54bWxQSwUGAAAAAAYA&#10;BgBZAQAAvQ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vE67A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6FJJopVPz04/vp&#10;58Pp1zeCMwjUWj9D3L1FZOjemQ5tM5x7HEbeXeVU/IIRgR9Yx4u8oguEx0vTyXSaw8XhGzbAzx6v&#10;W+fDe2EUiUZBHeqXZGWHjQ996BASs2mzbqRMNZSatAW9ev0m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e8TrsCwCAABXBAAADgAAAAAAAAABACAAAAAfAQAAZHJzL2Uyb0RvYy54bWxQSwUGAAAAAAYA&#10;BgBZAQAAvQ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24</w:t>
                    </w:r>
                    <w:r>
                      <w:fldChar w:fldCharType="end"/>
                    </w:r>
                  </w:p>
                </w:txbxContent>
              </v:textbox>
            </v:shape>
          </w:pict>
        </mc:Fallback>
      </mc:AlternateContent>
    </w:r>
  </w:p>
  <w:p>
    <w:pPr>
      <w:pStyle w:val="3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OJuPAsAgAAVwQAAA4AAABkcnMvZTJvRG9jLnhtbK1UzY7TMBC+I/EO&#10;lu80aRFLVT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4m48CwCAABXBAAADgAAAAAAAAABACAAAAAfAQAAZHJzL2Uyb0RvYy54bWxQSwUGAAAAAAYA&#10;BgBZAQAAvQ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tfTTAt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6dUKKZQsVPP76f&#10;fj6cfn0jOINArfUzxN1bRIbunenQNsO5x2Hk3VVOxS8YEfgh7/Eir+gC4fHSdDKd5nBx+IYN8LPH&#10;69b58F4YRaJRUIf6JVnZYeNDHzqExGzarBspUw2lJm1Br16/y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CtfTTAtAgAAVwQAAA4AAAAAAAAAAQAgAAAAHwEAAGRycy9lMm9Eb2MueG1sUEsFBgAAAAAG&#10;AAYAWQEAAL4FA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MSHnAtAgAAVwQAAA4AAABkcnMvZTJvRG9jLnhtbK1UzY7TMBC+I/EO&#10;lu80aVcs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b56n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IMSHnAtAgAAVwQAAA4AAAAAAAAAAQAgAAAAHwEAAGRycy9lMm9Eb2MueG1sUEsFBgAAAAAG&#10;AAYAWQEAAL4FA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29</w:t>
                    </w:r>
                    <w:r>
                      <w:fldChar w:fldCharType="end"/>
                    </w:r>
                  </w:p>
                </w:txbxContent>
              </v:textbox>
            </v:shape>
          </w:pict>
        </mc:Fallback>
      </mc:AlternateContent>
    </w:r>
  </w:p>
  <w:p>
    <w:pPr>
      <w:pStyle w:val="3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Jr012otAgAAVwQAAA4AAAAAAAAAAQAgAAAAHwEAAGRycy9lMm9Eb2MueG1sUEsFBgAAAAAG&#10;AAYAWQEAAL4FA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5hCotAgAAV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DK5hCotAgAAVwQAAA4AAAAAAAAAAQAgAAAAHwEAAGRycy9lMm9Eb2MueG1sUEsFBgAAAAAG&#10;AAYAWQEAAL4FA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38</w:t>
                    </w:r>
                    <w:r>
                      <w:fldChar w:fldCharType="end"/>
                    </w:r>
                  </w:p>
                </w:txbxContent>
              </v:textbox>
            </v:shape>
          </w:pict>
        </mc:Fallback>
      </mc:AlternateContent>
    </w:r>
  </w:p>
  <w:p>
    <w:pPr>
      <w:pStyle w:val="3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pvceotAgAAVw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6DbLwlbvLI/Q&#10;UTxvV8cAAVtdoyidEr1W6Le2Mv1sxIb+c99GPf4Pl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pvceotAgAAVwQAAA4AAAAAAAAAAQAgAAAAHwEAAGRycy9lMm9Eb2MueG1sUEsFBgAAAAAG&#10;AAYAWQEAAL4FA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IiIqotAgAAV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GIiIqotAgAAVwQAAA4AAAAAAAAAAQAgAAAAHwEAAGRycy9lMm9Eb2MueG1sUEsFBgAAAAAG&#10;AAYAWQEAAL4FA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ij4t8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Pi3ywCAABXBAAADgAAAAAAAAABACAAAAAfAQAAZHJzL2Uyb0RvYy54bWxQSwUGAAAAAAYA&#10;BgBZAQAAvQ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46</w:t>
                    </w:r>
                    <w:r>
                      <w:fldChar w:fldCharType="end"/>
                    </w:r>
                  </w:p>
                </w:txbxContent>
              </v:textbox>
            </v:shape>
          </w:pict>
        </mc:Fallback>
      </mc:AlternateContent>
    </w:r>
  </w:p>
  <w:p>
    <w:pPr>
      <w:pStyle w:val="3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FDusZ8tAgAAVwQAAA4AAAAAAAAAAQAgAAAAHwEAAGRycy9lMm9Eb2MueG1sUEsFBgAAAAAG&#10;AAYAWQEAAL4FA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B+RKA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gfkSgKwIAAFcEAAAOAAAAAAAAAAEAIAAAAB8BAABkcnMvZTJvRG9jLnhtbFBLBQYAAAAABgAG&#10;AFkBAAC8BQ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zF+A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Wx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IMxfgKwIAAFcEAAAOAAAAAAAAAAEAIAAAAB8BAABkcnMvZTJvRG9jLnhtbFBLBQYAAAAABgAG&#10;AFkBAAC8BQ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53</w:t>
                    </w:r>
                    <w:r>
                      <w:fldChar w:fldCharType="end"/>
                    </w:r>
                  </w:p>
                </w:txbxContent>
              </v:textbox>
            </v:shape>
          </w:pict>
        </mc:Fallback>
      </mc:AlternateContent>
    </w:r>
  </w:p>
  <w:p>
    <w:pPr>
      <w:pStyle w:val="3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Dl4iA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8OXiICwCAABXBAAADgAAAAAAAAABACAAAAAfAQAAZHJzL2Uyb0RvYy54bWxQSwUGAAAAAAYA&#10;BgBZAQAAvQ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osWA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ZFSWaKVT8/OP7&#10;+efv869vBGcQqLF+jrgHi8jQvjMt2mY49ziMvNvSqfgFIwI/5D1d5BVtIDxemk1nszFcHL5hA/zs&#10;6bp1PrwXRpFo5NShfklWdtz60IUOITGbNptaylRDqUmT0+urt+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FiosWAtAgAAVwQAAA4AAAAAAAAAAQAgAAAAHwEAAGRycy9lMm9Eb2MueG1sUEsFBgAAAAAG&#10;AAYAWQEAAL4FA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FOeHot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fUKKZQsVPP76f&#10;fj6cfn0jOINArfUzxN1bRIbunenQNsO5x2Hk3VVOxS8YEfgh7/Eir+gC4fHSdDKd5nBx+IYN8LPH&#10;69b58F4YRaJRUIf6JVnZYeNDHzqExGzarBspUw2lJm1Br16/z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EFOeHotAgAAVwQAAA4AAAAAAAAAAQAgAAAAHwEAAGRycy9lMm9Eb2MueG1sUEsFBgAAAAAG&#10;AAYAWQEAAL4FA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kDKzo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ZF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kDKzotAgAAVwQAAA4AAAAAAAAAAQAgAAAAHwEAAGRycy9lMm9Eb2MueG1sUEsFBgAAAAAG&#10;AAYAWQEAAL4FA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V3vos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EdXe+iwCAABXBAAADgAAAAAAAAABACAAAAAfAQAAZHJzL2Uyb0RvYy54bWxQSwUGAAAAAAYA&#10;BgBZAQAAvQ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7" name="文本框 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mYjbot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fUqKZQsVPP76f&#10;fj6cfn0jOINArfUzxN1bRIbunenQNsO5x2Hk3VVOxS8YEfgh7/Eir+gC4fHSdDKd5nBx+IYN8LPH&#10;69b58F4YRaJRUIf6JVnZYeNDHzqExGzarBspUw2lJm1Br16/y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LmYjbotAgAAVwQAAA4AAAAAAAAAAQAgAAAAHwEAAGRycy9lMm9Eb2MueG1sUEsFBgAAAAAG&#10;AAYAWQEAAL4FA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8" name="文本框 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91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ZTc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IxlNzywCAABXBAAADgAAAAAAAAABACAAAAAfAQAAZHJzL2Uyb0RvYy54bWxQSwUGAAAAAAYA&#10;BgBZAQAAvQ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91</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108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tUHo8t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fUqKZQsVPP76f&#10;fj6cfn0jOINArfUzxN1bRIbunenQNsO5x2Hk3VVOxS8YEfgh7/Eir+gC4fHSdDKd5nBx+IYN8LPH&#10;69b58F4YRaJRUIf6JVnZYeNDHzqExGzarBspUw2lJm1Br16/y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ItUHo8tAgAAVwQAAA4AAAAAAAAAAQAgAAAAHwEAAGRycy9lMm9Eb2MueG1sUEsFBgAAAAAG&#10;AAYAWQEAAL4FA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108</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0" name="文本框 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111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GCXg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6FJJopVPz04/vp&#10;58Pp1zeCMwjUWj9D3L1FZOjemQ5tM5x7HEbeXeVU/IIRgR9Yx4u8oguEx0vTyXSaw8XhGzbAzx6v&#10;W+fDe2EUiUZBHeqXZGWHjQ996BASs2mzbqRMNZSatAW9ev0m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wYJeCwCAABXBAAADgAAAAAAAAABACAAAAAfAQAAZHJzL2Uyb0RvYy54bWxQSwUGAAAAAAYA&#10;BgBZAQAAvQ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111</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112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9LWjgsAgAAVwQAAA4AAABkcnMvZTJvRG9jLnhtbK1UzY7TMBC+I/EO&#10;lu80aRGrUj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0taOCwCAABXBAAADgAAAAAAAAABACAAAAAfAQAAZHJzL2Uyb0RvYy54bWxQSwUGAAAAAAYA&#10;BgBZAQAAvQ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112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right"/>
      <w:rPr>
        <w:rFonts w:ascii="宋体" w:hAnsi="宋体" w:cs="Arial"/>
        <w:kern w:val="0"/>
      </w:rPr>
    </w:pPr>
    <w:r>
      <w:rPr>
        <w:rFonts w:hint="eastAsia" w:ascii="宋体" w:hAnsi="宋体" w:cs="Arial"/>
        <w:kern w:val="0"/>
      </w:rPr>
      <w:t>博时国证粮食产业指数型发起式证券投资基金招募说明书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right"/>
    </w:pPr>
    <w:r>
      <w:rPr>
        <w:rFonts w:hint="eastAsia" w:ascii="宋体" w:hAnsi="宋体" w:cs="Arial"/>
        <w:kern w:val="0"/>
      </w:rPr>
      <w:t>博时国证粮食产业指数型发起式证券投资基金招募说明书</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jc w:val="right"/>
      <w:rPr>
        <w:rFonts w:ascii="宋体" w:hAnsi="宋体" w:cs="Arial"/>
        <w:kern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7EB274"/>
    <w:multiLevelType w:val="singleLevel"/>
    <w:tmpl w:val="DA7EB274"/>
    <w:lvl w:ilvl="0" w:tentative="0">
      <w:start w:val="5"/>
      <w:numFmt w:val="decimal"/>
      <w:suff w:val="nothing"/>
      <w:lvlText w:val="（%1）"/>
      <w:lvlJc w:val="left"/>
    </w:lvl>
  </w:abstractNum>
  <w:abstractNum w:abstractNumId="1">
    <w:nsid w:val="00000001"/>
    <w:multiLevelType w:val="singleLevel"/>
    <w:tmpl w:val="00000001"/>
    <w:lvl w:ilvl="0" w:tentative="0">
      <w:start w:val="1"/>
      <w:numFmt w:val="bullet"/>
      <w:pStyle w:val="140"/>
      <w:lvlText w:val=""/>
      <w:lvlJc w:val="left"/>
      <w:pPr>
        <w:tabs>
          <w:tab w:val="left" w:pos="360"/>
        </w:tabs>
        <w:ind w:left="360" w:hanging="360"/>
      </w:pPr>
      <w:rPr>
        <w:rFonts w:hint="default" w:ascii="Symbol" w:hAnsi="Symbol"/>
        <w:color w:val="auto"/>
      </w:rPr>
    </w:lvl>
  </w:abstractNum>
  <w:abstractNum w:abstractNumId="2">
    <w:nsid w:val="044209E7"/>
    <w:multiLevelType w:val="multilevel"/>
    <w:tmpl w:val="044209E7"/>
    <w:lvl w:ilvl="0" w:tentative="0">
      <w:start w:val="1"/>
      <w:numFmt w:val="decimal"/>
      <w:pStyle w:val="93"/>
      <w:suff w:val="nothing"/>
      <w:lvlText w:val="Appendix %1"/>
      <w:lvlJc w:val="left"/>
      <w:pPr>
        <w:ind w:left="0" w:firstLine="0"/>
      </w:pPr>
      <w:rPr>
        <w:b/>
        <w:i w:val="0"/>
      </w:rPr>
    </w:lvl>
    <w:lvl w:ilvl="1" w:tentative="0">
      <w:start w:val="1"/>
      <w:numFmt w:val="decimal"/>
      <w:pStyle w:val="95"/>
      <w:suff w:val="nothing"/>
      <w:lvlText w:val="Part %2"/>
      <w:lvlJc w:val="left"/>
      <w:pPr>
        <w:ind w:left="0" w:firstLine="0"/>
      </w:pPr>
      <w:rPr>
        <w:b/>
        <w:i w:val="0"/>
      </w:rPr>
    </w:lvl>
    <w:lvl w:ilvl="2" w:tentative="0">
      <w:start w:val="1"/>
      <w:numFmt w:val="none"/>
      <w:lvlRestart w:val="0"/>
      <w:suff w:val="nothing"/>
      <w:lvlText w:val=""/>
      <w:lvlJc w:val="left"/>
      <w:pPr>
        <w:ind w:left="0" w:firstLine="0"/>
      </w:pPr>
    </w:lvl>
    <w:lvl w:ilvl="3" w:tentative="0">
      <w:start w:val="1"/>
      <w:numFmt w:val="none"/>
      <w:lvlRestart w:val="0"/>
      <w:suff w:val="nothing"/>
      <w:lvlText w:val=""/>
      <w:lvlJc w:val="left"/>
      <w:pPr>
        <w:ind w:left="0" w:firstLine="0"/>
      </w:pPr>
    </w:lvl>
    <w:lvl w:ilvl="4" w:tentative="0">
      <w:start w:val="1"/>
      <w:numFmt w:val="none"/>
      <w:lvlRestart w:val="0"/>
      <w:suff w:val="nothing"/>
      <w:lvlText w:val=""/>
      <w:lvlJc w:val="left"/>
      <w:pPr>
        <w:ind w:left="0" w:firstLine="0"/>
      </w:pPr>
    </w:lvl>
    <w:lvl w:ilvl="5" w:tentative="0">
      <w:start w:val="1"/>
      <w:numFmt w:val="none"/>
      <w:lvlRestart w:val="0"/>
      <w:suff w:val="nothing"/>
      <w:lvlText w:val=""/>
      <w:lvlJc w:val="left"/>
      <w:pPr>
        <w:ind w:left="0" w:firstLine="0"/>
      </w:pPr>
    </w:lvl>
    <w:lvl w:ilvl="6" w:tentative="0">
      <w:start w:val="1"/>
      <w:numFmt w:val="none"/>
      <w:lvlRestart w:val="0"/>
      <w:suff w:val="nothing"/>
      <w:lvlText w:val=""/>
      <w:lvlJc w:val="left"/>
      <w:pPr>
        <w:ind w:left="0" w:firstLine="0"/>
      </w:pPr>
    </w:lvl>
    <w:lvl w:ilvl="7" w:tentative="0">
      <w:start w:val="1"/>
      <w:numFmt w:val="none"/>
      <w:lvlRestart w:val="0"/>
      <w:suff w:val="nothing"/>
      <w:lvlText w:val=""/>
      <w:lvlJc w:val="left"/>
      <w:pPr>
        <w:ind w:left="0" w:firstLine="0"/>
      </w:pPr>
    </w:lvl>
    <w:lvl w:ilvl="8" w:tentative="0">
      <w:start w:val="1"/>
      <w:numFmt w:val="none"/>
      <w:lvlRestart w:val="0"/>
      <w:suff w:val="nothing"/>
      <w:lvlText w:val=""/>
      <w:lvlJc w:val="left"/>
      <w:pPr>
        <w:ind w:left="0" w:firstLine="0"/>
      </w:pPr>
    </w:lvl>
  </w:abstractNum>
  <w:abstractNum w:abstractNumId="3">
    <w:nsid w:val="096C2ACA"/>
    <w:multiLevelType w:val="singleLevel"/>
    <w:tmpl w:val="096C2ACA"/>
    <w:lvl w:ilvl="0" w:tentative="0">
      <w:start w:val="2"/>
      <w:numFmt w:val="japaneseCounting"/>
      <w:pStyle w:val="60"/>
      <w:lvlText w:val="（%1）"/>
      <w:lvlJc w:val="left"/>
      <w:pPr>
        <w:tabs>
          <w:tab w:val="left" w:pos="870"/>
        </w:tabs>
        <w:ind w:left="870" w:hanging="870"/>
      </w:pPr>
    </w:lvl>
  </w:abstractNum>
  <w:abstractNum w:abstractNumId="4">
    <w:nsid w:val="0B101077"/>
    <w:multiLevelType w:val="singleLevel"/>
    <w:tmpl w:val="0B101077"/>
    <w:lvl w:ilvl="0" w:tentative="0">
      <w:start w:val="1"/>
      <w:numFmt w:val="decimal"/>
      <w:pStyle w:val="12"/>
      <w:lvlText w:val="%1)"/>
      <w:lvlJc w:val="left"/>
      <w:pPr>
        <w:tabs>
          <w:tab w:val="left" w:pos="720"/>
        </w:tabs>
        <w:ind w:left="720" w:hanging="360"/>
      </w:pPr>
    </w:lvl>
  </w:abstractNum>
  <w:abstractNum w:abstractNumId="5">
    <w:nsid w:val="10F37ADE"/>
    <w:multiLevelType w:val="multilevel"/>
    <w:tmpl w:val="10F37ADE"/>
    <w:lvl w:ilvl="0" w:tentative="0">
      <w:start w:val="1"/>
      <w:numFmt w:val="decimal"/>
      <w:pStyle w:val="124"/>
      <w:lvlText w:val="%1."/>
      <w:lvlJc w:val="left"/>
      <w:pPr>
        <w:tabs>
          <w:tab w:val="left" w:pos="720"/>
        </w:tabs>
        <w:ind w:left="720" w:hanging="720"/>
      </w:pPr>
    </w:lvl>
    <w:lvl w:ilvl="1" w:tentative="0">
      <w:start w:val="1"/>
      <w:numFmt w:val="lowerLetter"/>
      <w:lvlText w:val="(%2)"/>
      <w:lvlJc w:val="left"/>
      <w:pPr>
        <w:tabs>
          <w:tab w:val="left" w:pos="720"/>
        </w:tabs>
        <w:ind w:left="720" w:hanging="720"/>
      </w:pPr>
    </w:lvl>
    <w:lvl w:ilvl="2" w:tentative="0">
      <w:start w:val="1"/>
      <w:numFmt w:val="lowerRoman"/>
      <w:lvlText w:val="(%3)"/>
      <w:lvlJc w:val="left"/>
      <w:pPr>
        <w:tabs>
          <w:tab w:val="left" w:pos="1440"/>
        </w:tabs>
        <w:ind w:left="1440" w:hanging="720"/>
      </w:pPr>
    </w:lvl>
    <w:lvl w:ilvl="3" w:tentative="0">
      <w:start w:val="1"/>
      <w:numFmt w:val="upperLetter"/>
      <w:lvlText w:val="(%4)"/>
      <w:lvlJc w:val="left"/>
      <w:pPr>
        <w:tabs>
          <w:tab w:val="left" w:pos="2160"/>
        </w:tabs>
        <w:ind w:left="2160" w:hanging="720"/>
      </w:pPr>
    </w:lvl>
    <w:lvl w:ilvl="4" w:tentative="0">
      <w:start w:val="1"/>
      <w:numFmt w:val="upperRoman"/>
      <w:lvlText w:val="%5."/>
      <w:lvlJc w:val="left"/>
      <w:pPr>
        <w:tabs>
          <w:tab w:val="left" w:pos="2880"/>
        </w:tabs>
        <w:ind w:left="2880" w:hanging="720"/>
      </w:pPr>
    </w:lvl>
    <w:lvl w:ilvl="5" w:tentative="0">
      <w:start w:val="1"/>
      <w:numFmt w:val="lowerLetter"/>
      <w:lvlText w:val="(%6)"/>
      <w:lvlJc w:val="left"/>
      <w:pPr>
        <w:tabs>
          <w:tab w:val="left" w:pos="1440"/>
        </w:tabs>
        <w:ind w:left="1440" w:hanging="720"/>
      </w:pPr>
    </w:lvl>
    <w:lvl w:ilvl="6" w:tentative="0">
      <w:start w:val="1"/>
      <w:numFmt w:val="lowerRoman"/>
      <w:lvlText w:val="(%7)"/>
      <w:lvlJc w:val="left"/>
      <w:pPr>
        <w:tabs>
          <w:tab w:val="left" w:pos="2160"/>
        </w:tabs>
        <w:ind w:left="2160" w:hanging="720"/>
      </w:pPr>
    </w:lvl>
    <w:lvl w:ilvl="7" w:tentative="0">
      <w:start w:val="1"/>
      <w:numFmt w:val="upperLetter"/>
      <w:lvlText w:val="(%8)"/>
      <w:lvlJc w:val="left"/>
      <w:pPr>
        <w:tabs>
          <w:tab w:val="left" w:pos="2880"/>
        </w:tabs>
        <w:ind w:left="2880" w:hanging="720"/>
      </w:pPr>
    </w:lvl>
    <w:lvl w:ilvl="8" w:tentative="0">
      <w:start w:val="1"/>
      <w:numFmt w:val="upperRoman"/>
      <w:lvlText w:val="%9."/>
      <w:lvlJc w:val="left"/>
      <w:pPr>
        <w:tabs>
          <w:tab w:val="left" w:pos="3600"/>
        </w:tabs>
        <w:ind w:left="3600" w:hanging="720"/>
      </w:pPr>
    </w:lvl>
  </w:abstractNum>
  <w:abstractNum w:abstractNumId="6">
    <w:nsid w:val="13B718D4"/>
    <w:multiLevelType w:val="multilevel"/>
    <w:tmpl w:val="13B718D4"/>
    <w:lvl w:ilvl="0" w:tentative="0">
      <w:start w:val="1"/>
      <w:numFmt w:val="decimal"/>
      <w:pStyle w:val="137"/>
      <w:lvlText w:val="（%1）"/>
      <w:lvlJc w:val="center"/>
      <w:pPr>
        <w:tabs>
          <w:tab w:val="left" w:pos="648"/>
        </w:tabs>
        <w:ind w:left="0" w:firstLine="288"/>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1B0661F6"/>
    <w:multiLevelType w:val="singleLevel"/>
    <w:tmpl w:val="1B0661F6"/>
    <w:lvl w:ilvl="0" w:tentative="0">
      <w:start w:val="1"/>
      <w:numFmt w:val="bullet"/>
      <w:pStyle w:val="125"/>
      <w:lvlText w:val=""/>
      <w:lvlJc w:val="left"/>
      <w:pPr>
        <w:tabs>
          <w:tab w:val="left" w:pos="720"/>
        </w:tabs>
        <w:ind w:left="720" w:hanging="720"/>
      </w:pPr>
      <w:rPr>
        <w:rFonts w:hint="default" w:ascii="Symbol" w:hAnsi="Symbol"/>
      </w:rPr>
    </w:lvl>
  </w:abstractNum>
  <w:abstractNum w:abstractNumId="8">
    <w:nsid w:val="31FA6DE9"/>
    <w:multiLevelType w:val="singleLevel"/>
    <w:tmpl w:val="31FA6DE9"/>
    <w:lvl w:ilvl="0" w:tentative="0">
      <w:start w:val="1"/>
      <w:numFmt w:val="bullet"/>
      <w:pStyle w:val="83"/>
      <w:lvlText w:val=""/>
      <w:lvlJc w:val="left"/>
      <w:pPr>
        <w:tabs>
          <w:tab w:val="left" w:pos="720"/>
        </w:tabs>
        <w:ind w:left="720" w:hanging="720"/>
      </w:pPr>
      <w:rPr>
        <w:rFonts w:hint="default" w:ascii="Symbol" w:hAnsi="Symbol"/>
      </w:rPr>
    </w:lvl>
  </w:abstractNum>
  <w:abstractNum w:abstractNumId="9">
    <w:nsid w:val="36063A36"/>
    <w:multiLevelType w:val="singleLevel"/>
    <w:tmpl w:val="36063A36"/>
    <w:lvl w:ilvl="0" w:tentative="0">
      <w:start w:val="1"/>
      <w:numFmt w:val="bullet"/>
      <w:pStyle w:val="17"/>
      <w:lvlText w:val=""/>
      <w:lvlJc w:val="left"/>
      <w:pPr>
        <w:tabs>
          <w:tab w:val="left" w:pos="720"/>
        </w:tabs>
        <w:ind w:left="720" w:hanging="360"/>
      </w:pPr>
      <w:rPr>
        <w:rFonts w:hint="default" w:ascii="Wingdings" w:hAnsi="Wingdings"/>
      </w:rPr>
    </w:lvl>
  </w:abstractNum>
  <w:abstractNum w:abstractNumId="10">
    <w:nsid w:val="38014636"/>
    <w:multiLevelType w:val="multilevel"/>
    <w:tmpl w:val="38014636"/>
    <w:lvl w:ilvl="0" w:tentative="0">
      <w:start w:val="1"/>
      <w:numFmt w:val="chineseCountingThousand"/>
      <w:lvlText w:val="第%1部分"/>
      <w:lvlJc w:val="left"/>
      <w:pPr>
        <w:tabs>
          <w:tab w:val="left" w:pos="420"/>
        </w:tabs>
        <w:ind w:left="420" w:hanging="4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3D0E7D39"/>
    <w:multiLevelType w:val="multilevel"/>
    <w:tmpl w:val="3D0E7D39"/>
    <w:lvl w:ilvl="0" w:tentative="0">
      <w:start w:val="1"/>
      <w:numFmt w:val="decimal"/>
      <w:pStyle w:val="97"/>
      <w:suff w:val="nothing"/>
      <w:lvlText w:val="Schedule %1"/>
      <w:lvlJc w:val="left"/>
      <w:pPr>
        <w:ind w:left="0" w:firstLine="0"/>
      </w:pPr>
      <w:rPr>
        <w:b/>
        <w:i w:val="0"/>
      </w:rPr>
    </w:lvl>
    <w:lvl w:ilvl="1" w:tentative="0">
      <w:start w:val="1"/>
      <w:numFmt w:val="decimal"/>
      <w:pStyle w:val="99"/>
      <w:suff w:val="nothing"/>
      <w:lvlText w:val="Part %2"/>
      <w:lvlJc w:val="left"/>
      <w:pPr>
        <w:ind w:left="0" w:firstLine="0"/>
      </w:pPr>
      <w:rPr>
        <w:b/>
        <w:i w:val="0"/>
      </w:rPr>
    </w:lvl>
    <w:lvl w:ilvl="2" w:tentative="0">
      <w:start w:val="1"/>
      <w:numFmt w:val="none"/>
      <w:lvlRestart w:val="0"/>
      <w:suff w:val="nothing"/>
      <w:lvlText w:val=""/>
      <w:lvlJc w:val="left"/>
      <w:pPr>
        <w:ind w:left="0" w:firstLine="0"/>
      </w:pPr>
    </w:lvl>
    <w:lvl w:ilvl="3" w:tentative="0">
      <w:start w:val="1"/>
      <w:numFmt w:val="none"/>
      <w:lvlRestart w:val="0"/>
      <w:suff w:val="nothing"/>
      <w:lvlText w:val=""/>
      <w:lvlJc w:val="left"/>
      <w:pPr>
        <w:ind w:left="0" w:firstLine="0"/>
      </w:pPr>
    </w:lvl>
    <w:lvl w:ilvl="4" w:tentative="0">
      <w:start w:val="1"/>
      <w:numFmt w:val="none"/>
      <w:lvlRestart w:val="0"/>
      <w:suff w:val="nothing"/>
      <w:lvlText w:val=""/>
      <w:lvlJc w:val="left"/>
      <w:pPr>
        <w:ind w:left="0" w:firstLine="0"/>
      </w:pPr>
    </w:lvl>
    <w:lvl w:ilvl="5" w:tentative="0">
      <w:start w:val="1"/>
      <w:numFmt w:val="none"/>
      <w:lvlRestart w:val="0"/>
      <w:suff w:val="nothing"/>
      <w:lvlText w:val=""/>
      <w:lvlJc w:val="left"/>
      <w:pPr>
        <w:ind w:left="0" w:firstLine="0"/>
      </w:pPr>
    </w:lvl>
    <w:lvl w:ilvl="6" w:tentative="0">
      <w:start w:val="1"/>
      <w:numFmt w:val="none"/>
      <w:lvlRestart w:val="0"/>
      <w:suff w:val="nothing"/>
      <w:lvlText w:val=""/>
      <w:lvlJc w:val="left"/>
      <w:pPr>
        <w:ind w:left="0" w:firstLine="0"/>
      </w:pPr>
    </w:lvl>
    <w:lvl w:ilvl="7" w:tentative="0">
      <w:start w:val="1"/>
      <w:numFmt w:val="none"/>
      <w:lvlRestart w:val="0"/>
      <w:suff w:val="nothing"/>
      <w:lvlText w:val=""/>
      <w:lvlJc w:val="left"/>
      <w:pPr>
        <w:ind w:left="0" w:firstLine="0"/>
      </w:pPr>
    </w:lvl>
    <w:lvl w:ilvl="8" w:tentative="0">
      <w:start w:val="1"/>
      <w:numFmt w:val="none"/>
      <w:lvlRestart w:val="0"/>
      <w:suff w:val="nothing"/>
      <w:lvlText w:val=""/>
      <w:lvlJc w:val="left"/>
      <w:pPr>
        <w:ind w:left="0" w:firstLine="0"/>
      </w:pPr>
    </w:lvl>
  </w:abstractNum>
  <w:abstractNum w:abstractNumId="12">
    <w:nsid w:val="3DAC2829"/>
    <w:multiLevelType w:val="singleLevel"/>
    <w:tmpl w:val="3DAC2829"/>
    <w:lvl w:ilvl="0" w:tentative="0">
      <w:start w:val="1"/>
      <w:numFmt w:val="decimal"/>
      <w:pStyle w:val="75"/>
      <w:lvlText w:val="(%1)"/>
      <w:lvlJc w:val="left"/>
      <w:pPr>
        <w:tabs>
          <w:tab w:val="left" w:pos="907"/>
        </w:tabs>
        <w:ind w:left="907" w:hanging="482"/>
      </w:pPr>
    </w:lvl>
  </w:abstractNum>
  <w:abstractNum w:abstractNumId="13">
    <w:nsid w:val="3E29759A"/>
    <w:multiLevelType w:val="multilevel"/>
    <w:tmpl w:val="3E29759A"/>
    <w:lvl w:ilvl="0" w:tentative="0">
      <w:start w:val="1"/>
      <w:numFmt w:val="decimal"/>
      <w:pStyle w:val="112"/>
      <w:lvlText w:val="%1."/>
      <w:lvlJc w:val="left"/>
      <w:pPr>
        <w:tabs>
          <w:tab w:val="left" w:pos="720"/>
        </w:tabs>
        <w:ind w:left="720" w:hanging="720"/>
      </w:pPr>
    </w:lvl>
    <w:lvl w:ilvl="1" w:tentative="0">
      <w:start w:val="1"/>
      <w:numFmt w:val="decimal"/>
      <w:pStyle w:val="113"/>
      <w:lvlText w:val="%1.%2"/>
      <w:lvlJc w:val="left"/>
      <w:pPr>
        <w:tabs>
          <w:tab w:val="left" w:pos="720"/>
        </w:tabs>
        <w:ind w:left="720" w:hanging="720"/>
      </w:pPr>
    </w:lvl>
    <w:lvl w:ilvl="2" w:tentative="0">
      <w:start w:val="1"/>
      <w:numFmt w:val="lowerLetter"/>
      <w:pStyle w:val="114"/>
      <w:lvlText w:val="(%3)"/>
      <w:lvlJc w:val="left"/>
      <w:pPr>
        <w:tabs>
          <w:tab w:val="left" w:pos="720"/>
        </w:tabs>
        <w:ind w:left="720" w:hanging="720"/>
      </w:pPr>
    </w:lvl>
    <w:lvl w:ilvl="3" w:tentative="0">
      <w:start w:val="1"/>
      <w:numFmt w:val="lowerLetter"/>
      <w:lvlText w:val="(%4)"/>
      <w:lvlJc w:val="left"/>
      <w:pPr>
        <w:tabs>
          <w:tab w:val="left" w:pos="1440"/>
        </w:tabs>
        <w:ind w:left="1440" w:hanging="720"/>
      </w:pPr>
    </w:lvl>
    <w:lvl w:ilvl="4" w:tentative="0">
      <w:start w:val="1"/>
      <w:numFmt w:val="lowerRoman"/>
      <w:lvlText w:val="(%5)"/>
      <w:lvlJc w:val="left"/>
      <w:pPr>
        <w:tabs>
          <w:tab w:val="left" w:pos="1440"/>
        </w:tabs>
        <w:ind w:left="1440" w:hanging="720"/>
      </w:pPr>
    </w:lvl>
    <w:lvl w:ilvl="5" w:tentative="0">
      <w:start w:val="1"/>
      <w:numFmt w:val="lowerRoman"/>
      <w:lvlText w:val="(%6)"/>
      <w:lvlJc w:val="left"/>
      <w:pPr>
        <w:tabs>
          <w:tab w:val="left" w:pos="2160"/>
        </w:tabs>
        <w:ind w:left="2160" w:hanging="720"/>
      </w:pPr>
    </w:lvl>
    <w:lvl w:ilvl="6" w:tentative="0">
      <w:start w:val="1"/>
      <w:numFmt w:val="upperLetter"/>
      <w:lvlText w:val="(%7)"/>
      <w:lvlJc w:val="left"/>
      <w:pPr>
        <w:tabs>
          <w:tab w:val="left" w:pos="2160"/>
        </w:tabs>
        <w:ind w:left="2160" w:hanging="720"/>
      </w:pPr>
    </w:lvl>
    <w:lvl w:ilvl="7" w:tentative="0">
      <w:start w:val="1"/>
      <w:numFmt w:val="upperLetter"/>
      <w:lvlText w:val="(%8)"/>
      <w:lvlJc w:val="left"/>
      <w:pPr>
        <w:tabs>
          <w:tab w:val="left" w:pos="2880"/>
        </w:tabs>
        <w:ind w:left="2880" w:hanging="720"/>
      </w:pPr>
    </w:lvl>
    <w:lvl w:ilvl="8" w:tentative="0">
      <w:start w:val="1"/>
      <w:numFmt w:val="upperRoman"/>
      <w:lvlText w:val="%9."/>
      <w:lvlJc w:val="left"/>
      <w:pPr>
        <w:tabs>
          <w:tab w:val="left" w:pos="3600"/>
        </w:tabs>
        <w:ind w:left="3600" w:hanging="720"/>
      </w:pPr>
    </w:lvl>
  </w:abstractNum>
  <w:abstractNum w:abstractNumId="14">
    <w:nsid w:val="41F230E7"/>
    <w:multiLevelType w:val="singleLevel"/>
    <w:tmpl w:val="41F230E7"/>
    <w:lvl w:ilvl="0" w:tentative="0">
      <w:start w:val="1"/>
      <w:numFmt w:val="bullet"/>
      <w:pStyle w:val="127"/>
      <w:lvlText w:val=""/>
      <w:lvlJc w:val="left"/>
      <w:pPr>
        <w:tabs>
          <w:tab w:val="left" w:pos="720"/>
        </w:tabs>
        <w:ind w:left="720" w:hanging="720"/>
      </w:pPr>
      <w:rPr>
        <w:rFonts w:hint="default" w:ascii="Wingdings" w:hAnsi="Wingdings"/>
      </w:rPr>
    </w:lvl>
  </w:abstractNum>
  <w:abstractNum w:abstractNumId="15">
    <w:nsid w:val="475B3203"/>
    <w:multiLevelType w:val="multilevel"/>
    <w:tmpl w:val="475B3203"/>
    <w:lvl w:ilvl="0" w:tentative="0">
      <w:start w:val="1"/>
      <w:numFmt w:val="none"/>
      <w:pStyle w:val="81"/>
      <w:suff w:val="nothing"/>
      <w:lvlText w:val=""/>
      <w:lvlJc w:val="left"/>
      <w:pPr>
        <w:ind w:left="1260" w:firstLine="0"/>
      </w:pPr>
    </w:lvl>
    <w:lvl w:ilvl="1" w:tentative="0">
      <w:start w:val="1"/>
      <w:numFmt w:val="none"/>
      <w:pStyle w:val="101"/>
      <w:suff w:val="nothing"/>
      <w:lvlText w:val=""/>
      <w:lvlJc w:val="left"/>
      <w:pPr>
        <w:ind w:left="1980" w:firstLine="0"/>
      </w:pPr>
    </w:lvl>
    <w:lvl w:ilvl="2" w:tentative="0">
      <w:start w:val="1"/>
      <w:numFmt w:val="none"/>
      <w:pStyle w:val="102"/>
      <w:suff w:val="nothing"/>
      <w:lvlText w:val=""/>
      <w:lvlJc w:val="left"/>
      <w:pPr>
        <w:ind w:left="2700" w:firstLine="0"/>
      </w:pPr>
    </w:lvl>
    <w:lvl w:ilvl="3" w:tentative="0">
      <w:start w:val="1"/>
      <w:numFmt w:val="none"/>
      <w:pStyle w:val="103"/>
      <w:suff w:val="nothing"/>
      <w:lvlText w:val=""/>
      <w:lvlJc w:val="left"/>
      <w:pPr>
        <w:ind w:left="3420" w:firstLine="0"/>
      </w:pPr>
    </w:lvl>
    <w:lvl w:ilvl="4" w:tentative="0">
      <w:start w:val="1"/>
      <w:numFmt w:val="none"/>
      <w:pStyle w:val="104"/>
      <w:suff w:val="nothing"/>
      <w:lvlText w:val=""/>
      <w:lvlJc w:val="left"/>
      <w:pPr>
        <w:ind w:left="4140" w:firstLine="0"/>
      </w:pPr>
    </w:lvl>
    <w:lvl w:ilvl="5" w:tentative="0">
      <w:start w:val="1"/>
      <w:numFmt w:val="none"/>
      <w:pStyle w:val="105"/>
      <w:suff w:val="nothing"/>
      <w:lvlText w:val=""/>
      <w:lvlJc w:val="left"/>
      <w:pPr>
        <w:ind w:left="4860" w:firstLine="0"/>
      </w:pPr>
    </w:lvl>
    <w:lvl w:ilvl="6" w:tentative="0">
      <w:start w:val="1"/>
      <w:numFmt w:val="none"/>
      <w:pStyle w:val="106"/>
      <w:suff w:val="nothing"/>
      <w:lvlText w:val=""/>
      <w:lvlJc w:val="left"/>
      <w:pPr>
        <w:ind w:left="5580" w:firstLine="0"/>
      </w:pPr>
    </w:lvl>
    <w:lvl w:ilvl="7" w:tentative="0">
      <w:start w:val="1"/>
      <w:numFmt w:val="none"/>
      <w:pStyle w:val="107"/>
      <w:suff w:val="nothing"/>
      <w:lvlText w:val=""/>
      <w:lvlJc w:val="left"/>
      <w:pPr>
        <w:ind w:left="6300" w:firstLine="0"/>
      </w:pPr>
    </w:lvl>
    <w:lvl w:ilvl="8" w:tentative="0">
      <w:start w:val="1"/>
      <w:numFmt w:val="none"/>
      <w:pStyle w:val="108"/>
      <w:suff w:val="nothing"/>
      <w:lvlText w:val=""/>
      <w:lvlJc w:val="left"/>
      <w:pPr>
        <w:ind w:left="7020" w:firstLine="0"/>
      </w:pPr>
    </w:lvl>
  </w:abstractNum>
  <w:abstractNum w:abstractNumId="16">
    <w:nsid w:val="47B238E7"/>
    <w:multiLevelType w:val="multilevel"/>
    <w:tmpl w:val="47B238E7"/>
    <w:lvl w:ilvl="0" w:tentative="0">
      <w:start w:val="1"/>
      <w:numFmt w:val="decimal"/>
      <w:pStyle w:val="115"/>
      <w:lvlText w:val="%1."/>
      <w:lvlJc w:val="left"/>
      <w:pPr>
        <w:tabs>
          <w:tab w:val="left" w:pos="720"/>
        </w:tabs>
        <w:ind w:left="720" w:hanging="720"/>
      </w:pPr>
    </w:lvl>
    <w:lvl w:ilvl="1" w:tentative="0">
      <w:start w:val="1"/>
      <w:numFmt w:val="decimal"/>
      <w:pStyle w:val="116"/>
      <w:lvlText w:val="%1.%2"/>
      <w:lvlJc w:val="left"/>
      <w:pPr>
        <w:tabs>
          <w:tab w:val="left" w:pos="720"/>
        </w:tabs>
        <w:ind w:left="720" w:hanging="720"/>
      </w:pPr>
    </w:lvl>
    <w:lvl w:ilvl="2" w:tentative="0">
      <w:start w:val="1"/>
      <w:numFmt w:val="lowerLetter"/>
      <w:lvlText w:val="(%3)"/>
      <w:lvlJc w:val="left"/>
      <w:pPr>
        <w:tabs>
          <w:tab w:val="left" w:pos="720"/>
        </w:tabs>
        <w:ind w:left="720" w:hanging="720"/>
      </w:pPr>
    </w:lvl>
    <w:lvl w:ilvl="3" w:tentative="0">
      <w:start w:val="1"/>
      <w:numFmt w:val="lowerLetter"/>
      <w:lvlText w:val="(%4)"/>
      <w:lvlJc w:val="left"/>
      <w:pPr>
        <w:tabs>
          <w:tab w:val="left" w:pos="1440"/>
        </w:tabs>
        <w:ind w:left="1440" w:hanging="720"/>
      </w:pPr>
    </w:lvl>
    <w:lvl w:ilvl="4" w:tentative="0">
      <w:start w:val="1"/>
      <w:numFmt w:val="lowerRoman"/>
      <w:lvlText w:val="(%5)"/>
      <w:lvlJc w:val="left"/>
      <w:pPr>
        <w:tabs>
          <w:tab w:val="left" w:pos="1440"/>
        </w:tabs>
        <w:ind w:left="1440" w:hanging="720"/>
      </w:pPr>
    </w:lvl>
    <w:lvl w:ilvl="5" w:tentative="0">
      <w:start w:val="1"/>
      <w:numFmt w:val="lowerRoman"/>
      <w:lvlText w:val="(%6)"/>
      <w:lvlJc w:val="left"/>
      <w:pPr>
        <w:tabs>
          <w:tab w:val="left" w:pos="2160"/>
        </w:tabs>
        <w:ind w:left="2160" w:hanging="720"/>
      </w:pPr>
    </w:lvl>
    <w:lvl w:ilvl="6" w:tentative="0">
      <w:start w:val="1"/>
      <w:numFmt w:val="upperLetter"/>
      <w:lvlText w:val="(%7)"/>
      <w:lvlJc w:val="left"/>
      <w:pPr>
        <w:tabs>
          <w:tab w:val="left" w:pos="2160"/>
        </w:tabs>
        <w:ind w:left="2160" w:hanging="720"/>
      </w:pPr>
    </w:lvl>
    <w:lvl w:ilvl="7" w:tentative="0">
      <w:start w:val="1"/>
      <w:numFmt w:val="upperLetter"/>
      <w:lvlText w:val="(%8)"/>
      <w:lvlJc w:val="left"/>
      <w:pPr>
        <w:tabs>
          <w:tab w:val="left" w:pos="2880"/>
        </w:tabs>
        <w:ind w:left="2880" w:hanging="720"/>
      </w:pPr>
    </w:lvl>
    <w:lvl w:ilvl="8" w:tentative="0">
      <w:start w:val="1"/>
      <w:numFmt w:val="upperRoman"/>
      <w:lvlText w:val="%9."/>
      <w:lvlJc w:val="left"/>
      <w:pPr>
        <w:tabs>
          <w:tab w:val="left" w:pos="3600"/>
        </w:tabs>
        <w:ind w:left="3600" w:hanging="720"/>
      </w:pPr>
    </w:lvl>
  </w:abstractNum>
  <w:abstractNum w:abstractNumId="17">
    <w:nsid w:val="49C66851"/>
    <w:multiLevelType w:val="multilevel"/>
    <w:tmpl w:val="49C66851"/>
    <w:lvl w:ilvl="0" w:tentative="0">
      <w:start w:val="1"/>
      <w:numFmt w:val="decimal"/>
      <w:pStyle w:val="88"/>
      <w:suff w:val="nothing"/>
      <w:lvlText w:val="Annex %1"/>
      <w:lvlJc w:val="left"/>
      <w:pPr>
        <w:ind w:left="0" w:firstLine="0"/>
      </w:pPr>
      <w:rPr>
        <w:b/>
        <w:i w:val="0"/>
      </w:rPr>
    </w:lvl>
    <w:lvl w:ilvl="1" w:tentative="0">
      <w:start w:val="1"/>
      <w:numFmt w:val="decimal"/>
      <w:pStyle w:val="91"/>
      <w:suff w:val="nothing"/>
      <w:lvlText w:val="Part %2"/>
      <w:lvlJc w:val="left"/>
      <w:pPr>
        <w:ind w:left="0" w:firstLine="0"/>
      </w:pPr>
      <w:rPr>
        <w:b/>
        <w:i w:val="0"/>
      </w:rPr>
    </w:lvl>
    <w:lvl w:ilvl="2" w:tentative="0">
      <w:start w:val="1"/>
      <w:numFmt w:val="none"/>
      <w:lvlRestart w:val="0"/>
      <w:suff w:val="nothing"/>
      <w:lvlText w:val=""/>
      <w:lvlJc w:val="left"/>
      <w:pPr>
        <w:ind w:left="0" w:firstLine="0"/>
      </w:pPr>
    </w:lvl>
    <w:lvl w:ilvl="3" w:tentative="0">
      <w:start w:val="1"/>
      <w:numFmt w:val="none"/>
      <w:lvlRestart w:val="0"/>
      <w:suff w:val="nothing"/>
      <w:lvlText w:val=""/>
      <w:lvlJc w:val="left"/>
      <w:pPr>
        <w:ind w:left="0" w:firstLine="0"/>
      </w:pPr>
    </w:lvl>
    <w:lvl w:ilvl="4" w:tentative="0">
      <w:start w:val="1"/>
      <w:numFmt w:val="none"/>
      <w:lvlRestart w:val="0"/>
      <w:suff w:val="nothing"/>
      <w:lvlText w:val=""/>
      <w:lvlJc w:val="left"/>
      <w:pPr>
        <w:ind w:left="0" w:firstLine="0"/>
      </w:pPr>
    </w:lvl>
    <w:lvl w:ilvl="5" w:tentative="0">
      <w:start w:val="1"/>
      <w:numFmt w:val="none"/>
      <w:lvlRestart w:val="0"/>
      <w:suff w:val="nothing"/>
      <w:lvlText w:val=""/>
      <w:lvlJc w:val="left"/>
      <w:pPr>
        <w:ind w:left="0" w:firstLine="0"/>
      </w:pPr>
    </w:lvl>
    <w:lvl w:ilvl="6" w:tentative="0">
      <w:start w:val="1"/>
      <w:numFmt w:val="none"/>
      <w:lvlRestart w:val="0"/>
      <w:suff w:val="nothing"/>
      <w:lvlText w:val=""/>
      <w:lvlJc w:val="left"/>
      <w:pPr>
        <w:ind w:left="0" w:firstLine="0"/>
      </w:pPr>
    </w:lvl>
    <w:lvl w:ilvl="7" w:tentative="0">
      <w:start w:val="1"/>
      <w:numFmt w:val="none"/>
      <w:lvlRestart w:val="0"/>
      <w:suff w:val="nothing"/>
      <w:lvlText w:val=""/>
      <w:lvlJc w:val="left"/>
      <w:pPr>
        <w:ind w:left="0" w:firstLine="0"/>
      </w:pPr>
    </w:lvl>
    <w:lvl w:ilvl="8" w:tentative="0">
      <w:start w:val="1"/>
      <w:numFmt w:val="none"/>
      <w:lvlRestart w:val="0"/>
      <w:suff w:val="nothing"/>
      <w:lvlText w:val=""/>
      <w:lvlJc w:val="left"/>
      <w:pPr>
        <w:ind w:left="0" w:firstLine="0"/>
      </w:pPr>
    </w:lvl>
  </w:abstractNum>
  <w:abstractNum w:abstractNumId="18">
    <w:nsid w:val="4CFE7B09"/>
    <w:multiLevelType w:val="multilevel"/>
    <w:tmpl w:val="4CFE7B09"/>
    <w:lvl w:ilvl="0" w:tentative="0">
      <w:start w:val="1"/>
      <w:numFmt w:val="decimal"/>
      <w:pStyle w:val="86"/>
      <w:lvlText w:val="(%1)"/>
      <w:lvlJc w:val="left"/>
      <w:pPr>
        <w:tabs>
          <w:tab w:val="left" w:pos="720"/>
        </w:tabs>
        <w:ind w:left="720" w:hanging="720"/>
      </w:pPr>
    </w:lvl>
    <w:lvl w:ilvl="1" w:tentative="0">
      <w:start w:val="1"/>
      <w:numFmt w:val="none"/>
      <w:lvlRestart w:val="0"/>
      <w:suff w:val="nothing"/>
      <w:lvlText w:val=""/>
      <w:lvlJc w:val="left"/>
      <w:pPr>
        <w:ind w:left="0" w:firstLine="0"/>
      </w:pPr>
    </w:lvl>
    <w:lvl w:ilvl="2" w:tentative="0">
      <w:start w:val="1"/>
      <w:numFmt w:val="none"/>
      <w:lvlRestart w:val="0"/>
      <w:suff w:val="nothing"/>
      <w:lvlText w:val=""/>
      <w:lvlJc w:val="left"/>
      <w:pPr>
        <w:ind w:left="0" w:firstLine="0"/>
      </w:pPr>
    </w:lvl>
    <w:lvl w:ilvl="3" w:tentative="0">
      <w:start w:val="1"/>
      <w:numFmt w:val="none"/>
      <w:lvlRestart w:val="0"/>
      <w:suff w:val="nothing"/>
      <w:lvlText w:val=""/>
      <w:lvlJc w:val="left"/>
      <w:pPr>
        <w:ind w:left="0" w:firstLine="0"/>
      </w:pPr>
    </w:lvl>
    <w:lvl w:ilvl="4" w:tentative="0">
      <w:start w:val="1"/>
      <w:numFmt w:val="none"/>
      <w:lvlRestart w:val="0"/>
      <w:suff w:val="nothing"/>
      <w:lvlText w:val=""/>
      <w:lvlJc w:val="left"/>
      <w:pPr>
        <w:ind w:left="0" w:firstLine="0"/>
      </w:pPr>
    </w:lvl>
    <w:lvl w:ilvl="5" w:tentative="0">
      <w:start w:val="1"/>
      <w:numFmt w:val="none"/>
      <w:lvlRestart w:val="0"/>
      <w:suff w:val="nothing"/>
      <w:lvlText w:val=""/>
      <w:lvlJc w:val="left"/>
      <w:pPr>
        <w:ind w:left="0" w:firstLine="0"/>
      </w:pPr>
    </w:lvl>
    <w:lvl w:ilvl="6" w:tentative="0">
      <w:start w:val="1"/>
      <w:numFmt w:val="none"/>
      <w:lvlRestart w:val="0"/>
      <w:suff w:val="nothing"/>
      <w:lvlText w:val=""/>
      <w:lvlJc w:val="left"/>
      <w:pPr>
        <w:ind w:left="0" w:firstLine="0"/>
      </w:pPr>
    </w:lvl>
    <w:lvl w:ilvl="7" w:tentative="0">
      <w:start w:val="1"/>
      <w:numFmt w:val="none"/>
      <w:lvlRestart w:val="0"/>
      <w:suff w:val="nothing"/>
      <w:lvlText w:val=""/>
      <w:lvlJc w:val="left"/>
      <w:pPr>
        <w:ind w:left="0" w:firstLine="0"/>
      </w:pPr>
    </w:lvl>
    <w:lvl w:ilvl="8" w:tentative="0">
      <w:start w:val="1"/>
      <w:numFmt w:val="none"/>
      <w:lvlRestart w:val="0"/>
      <w:suff w:val="nothing"/>
      <w:lvlText w:val=""/>
      <w:lvlJc w:val="left"/>
      <w:pPr>
        <w:ind w:left="0" w:firstLine="0"/>
      </w:pPr>
    </w:lvl>
  </w:abstractNum>
  <w:abstractNum w:abstractNumId="19">
    <w:nsid w:val="4E4B4E3E"/>
    <w:multiLevelType w:val="multilevel"/>
    <w:tmpl w:val="4E4B4E3E"/>
    <w:lvl w:ilvl="0" w:tentative="0">
      <w:start w:val="1"/>
      <w:numFmt w:val="decimal"/>
      <w:pStyle w:val="117"/>
      <w:lvlText w:val="%1."/>
      <w:lvlJc w:val="left"/>
      <w:pPr>
        <w:tabs>
          <w:tab w:val="left" w:pos="720"/>
        </w:tabs>
        <w:ind w:left="720" w:hanging="720"/>
      </w:pPr>
    </w:lvl>
    <w:lvl w:ilvl="1" w:tentative="0">
      <w:start w:val="1"/>
      <w:numFmt w:val="decimal"/>
      <w:pStyle w:val="119"/>
      <w:lvlText w:val="%1.%2"/>
      <w:lvlJc w:val="left"/>
      <w:pPr>
        <w:tabs>
          <w:tab w:val="left" w:pos="720"/>
        </w:tabs>
        <w:ind w:left="720" w:hanging="720"/>
      </w:pPr>
    </w:lvl>
    <w:lvl w:ilvl="2" w:tentative="0">
      <w:start w:val="1"/>
      <w:numFmt w:val="lowerLetter"/>
      <w:pStyle w:val="120"/>
      <w:lvlText w:val="(%3)"/>
      <w:lvlJc w:val="left"/>
      <w:pPr>
        <w:tabs>
          <w:tab w:val="left" w:pos="1440"/>
        </w:tabs>
        <w:ind w:left="1440" w:hanging="720"/>
      </w:pPr>
    </w:lvl>
    <w:lvl w:ilvl="3" w:tentative="0">
      <w:start w:val="1"/>
      <w:numFmt w:val="lowerRoman"/>
      <w:pStyle w:val="121"/>
      <w:lvlText w:val="(%4)"/>
      <w:lvlJc w:val="left"/>
      <w:pPr>
        <w:tabs>
          <w:tab w:val="left" w:pos="2160"/>
        </w:tabs>
        <w:ind w:left="2160" w:hanging="720"/>
      </w:pPr>
    </w:lvl>
    <w:lvl w:ilvl="4" w:tentative="0">
      <w:start w:val="1"/>
      <w:numFmt w:val="upperLetter"/>
      <w:pStyle w:val="122"/>
      <w:lvlText w:val="(%5)"/>
      <w:lvlJc w:val="left"/>
      <w:pPr>
        <w:tabs>
          <w:tab w:val="left" w:pos="2880"/>
        </w:tabs>
        <w:ind w:left="2880" w:hanging="720"/>
      </w:pPr>
    </w:lvl>
    <w:lvl w:ilvl="5" w:tentative="0">
      <w:start w:val="1"/>
      <w:numFmt w:val="upperRoman"/>
      <w:pStyle w:val="123"/>
      <w:lvlText w:val="%6."/>
      <w:lvlJc w:val="left"/>
      <w:pPr>
        <w:tabs>
          <w:tab w:val="left" w:pos="3600"/>
        </w:tabs>
        <w:ind w:left="3600" w:hanging="720"/>
      </w:pPr>
    </w:lvl>
    <w:lvl w:ilvl="6" w:tentative="0">
      <w:start w:val="1"/>
      <w:numFmt w:val="none"/>
      <w:lvlRestart w:val="0"/>
      <w:suff w:val="nothing"/>
      <w:lvlText w:val=""/>
      <w:lvlJc w:val="left"/>
      <w:pPr>
        <w:ind w:left="0" w:firstLine="0"/>
      </w:pPr>
    </w:lvl>
    <w:lvl w:ilvl="7" w:tentative="0">
      <w:start w:val="1"/>
      <w:numFmt w:val="none"/>
      <w:lvlRestart w:val="0"/>
      <w:suff w:val="nothing"/>
      <w:lvlText w:val=""/>
      <w:lvlJc w:val="left"/>
      <w:pPr>
        <w:ind w:left="0" w:firstLine="0"/>
      </w:pPr>
    </w:lvl>
    <w:lvl w:ilvl="8" w:tentative="0">
      <w:start w:val="1"/>
      <w:numFmt w:val="none"/>
      <w:lvlRestart w:val="0"/>
      <w:suff w:val="nothing"/>
      <w:lvlText w:val=""/>
      <w:lvlJc w:val="left"/>
      <w:pPr>
        <w:ind w:left="0" w:firstLine="0"/>
      </w:pPr>
    </w:lvl>
  </w:abstractNum>
  <w:abstractNum w:abstractNumId="20">
    <w:nsid w:val="547D73EE"/>
    <w:multiLevelType w:val="multilevel"/>
    <w:tmpl w:val="547D73EE"/>
    <w:lvl w:ilvl="0" w:tentative="0">
      <w:start w:val="1"/>
      <w:numFmt w:val="decimal"/>
      <w:pStyle w:val="156"/>
      <w:suff w:val="space"/>
      <w:lvlText w:val="§%1"/>
      <w:lvlJc w:val="left"/>
      <w:pPr>
        <w:ind w:left="425" w:hanging="425"/>
      </w:pPr>
      <w:rPr>
        <w:rFonts w:hint="eastAsia"/>
      </w:rPr>
    </w:lvl>
    <w:lvl w:ilvl="1" w:tentative="0">
      <w:start w:val="1"/>
      <w:numFmt w:val="decimal"/>
      <w:pStyle w:val="157"/>
      <w:suff w:val="space"/>
      <w:lvlText w:val="%1.%2"/>
      <w:lvlJc w:val="left"/>
      <w:pPr>
        <w:ind w:left="454" w:hanging="454"/>
      </w:pPr>
      <w:rPr>
        <w:rFonts w:hint="eastAsia"/>
      </w:rPr>
    </w:lvl>
    <w:lvl w:ilvl="2" w:tentative="0">
      <w:start w:val="1"/>
      <w:numFmt w:val="decimal"/>
      <w:pStyle w:val="158"/>
      <w:lvlText w:val="%3."/>
      <w:lvlJc w:val="left"/>
      <w:pPr>
        <w:ind w:left="624" w:hanging="624"/>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14:shadow w14:blurRad="0" w14:dist="0" w14:dir="0" w14:sx="0" w14:sy="0" w14:kx="0" w14:ky="0" w14:algn="none">
          <w14:srgbClr w14:val="000000"/>
        </w14:shadow>
      </w:rPr>
    </w:lvl>
    <w:lvl w:ilvl="3" w:tentative="0">
      <w:start w:val="1"/>
      <w:numFmt w:val="decimal"/>
      <w:pStyle w:val="159"/>
      <w:suff w:val="space"/>
      <w:lvlText w:val="%1.%2.%3.%4"/>
      <w:lvlJc w:val="left"/>
      <w:pPr>
        <w:ind w:left="794" w:hanging="794"/>
      </w:pPr>
      <w:rPr>
        <w:rFonts w:hint="eastAsia"/>
      </w:rPr>
    </w:lvl>
    <w:lvl w:ilvl="4" w:tentative="0">
      <w:start w:val="1"/>
      <w:numFmt w:val="decimal"/>
      <w:pStyle w:val="160"/>
      <w:suff w:val="space"/>
      <w:lvlText w:val="%1.%2.%3.%4.%5"/>
      <w:lvlJc w:val="left"/>
      <w:pPr>
        <w:ind w:left="1021" w:hanging="1021"/>
      </w:pPr>
      <w:rPr>
        <w:rFonts w:hint="eastAsia"/>
      </w:rPr>
    </w:lvl>
    <w:lvl w:ilvl="5" w:tentative="0">
      <w:start w:val="1"/>
      <w:numFmt w:val="decimal"/>
      <w:pStyle w:val="16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1">
    <w:nsid w:val="62830D10"/>
    <w:multiLevelType w:val="multilevel"/>
    <w:tmpl w:val="62830D10"/>
    <w:lvl w:ilvl="0" w:tentative="0">
      <w:start w:val="1"/>
      <w:numFmt w:val="upperLetter"/>
      <w:pStyle w:val="87"/>
      <w:lvlText w:val="(%1)"/>
      <w:lvlJc w:val="left"/>
      <w:pPr>
        <w:tabs>
          <w:tab w:val="left" w:pos="720"/>
        </w:tabs>
        <w:ind w:left="720" w:hanging="720"/>
      </w:pPr>
    </w:lvl>
    <w:lvl w:ilvl="1" w:tentative="0">
      <w:start w:val="1"/>
      <w:numFmt w:val="none"/>
      <w:lvlRestart w:val="0"/>
      <w:suff w:val="nothing"/>
      <w:lvlText w:val=""/>
      <w:lvlJc w:val="left"/>
      <w:pPr>
        <w:ind w:left="0" w:firstLine="0"/>
      </w:pPr>
    </w:lvl>
    <w:lvl w:ilvl="2" w:tentative="0">
      <w:start w:val="1"/>
      <w:numFmt w:val="none"/>
      <w:lvlRestart w:val="0"/>
      <w:suff w:val="nothing"/>
      <w:lvlText w:val=""/>
      <w:lvlJc w:val="left"/>
      <w:pPr>
        <w:ind w:left="0" w:firstLine="0"/>
      </w:pPr>
    </w:lvl>
    <w:lvl w:ilvl="3" w:tentative="0">
      <w:start w:val="1"/>
      <w:numFmt w:val="none"/>
      <w:lvlRestart w:val="0"/>
      <w:suff w:val="nothing"/>
      <w:lvlText w:val=""/>
      <w:lvlJc w:val="left"/>
      <w:pPr>
        <w:ind w:left="0" w:firstLine="0"/>
      </w:pPr>
    </w:lvl>
    <w:lvl w:ilvl="4" w:tentative="0">
      <w:start w:val="1"/>
      <w:numFmt w:val="none"/>
      <w:lvlRestart w:val="0"/>
      <w:suff w:val="nothing"/>
      <w:lvlText w:val=""/>
      <w:lvlJc w:val="left"/>
      <w:pPr>
        <w:ind w:left="0" w:firstLine="0"/>
      </w:pPr>
    </w:lvl>
    <w:lvl w:ilvl="5" w:tentative="0">
      <w:start w:val="1"/>
      <w:numFmt w:val="none"/>
      <w:lvlRestart w:val="0"/>
      <w:suff w:val="nothing"/>
      <w:lvlText w:val=""/>
      <w:lvlJc w:val="left"/>
      <w:pPr>
        <w:ind w:left="0" w:firstLine="0"/>
      </w:pPr>
    </w:lvl>
    <w:lvl w:ilvl="6" w:tentative="0">
      <w:start w:val="1"/>
      <w:numFmt w:val="none"/>
      <w:lvlRestart w:val="0"/>
      <w:suff w:val="nothing"/>
      <w:lvlText w:val=""/>
      <w:lvlJc w:val="left"/>
      <w:pPr>
        <w:ind w:left="0" w:firstLine="0"/>
      </w:pPr>
    </w:lvl>
    <w:lvl w:ilvl="7" w:tentative="0">
      <w:start w:val="1"/>
      <w:numFmt w:val="none"/>
      <w:lvlRestart w:val="0"/>
      <w:suff w:val="nothing"/>
      <w:lvlText w:val=""/>
      <w:lvlJc w:val="left"/>
      <w:pPr>
        <w:ind w:left="0" w:firstLine="0"/>
      </w:pPr>
    </w:lvl>
    <w:lvl w:ilvl="8" w:tentative="0">
      <w:start w:val="1"/>
      <w:numFmt w:val="none"/>
      <w:lvlRestart w:val="0"/>
      <w:suff w:val="nothing"/>
      <w:lvlText w:val=""/>
      <w:lvlJc w:val="left"/>
      <w:pPr>
        <w:ind w:left="0" w:firstLine="0"/>
      </w:pPr>
    </w:lvl>
  </w:abstractNum>
  <w:abstractNum w:abstractNumId="22">
    <w:nsid w:val="65164B80"/>
    <w:multiLevelType w:val="multilevel"/>
    <w:tmpl w:val="65164B80"/>
    <w:lvl w:ilvl="0" w:tentative="0">
      <w:start w:val="1"/>
      <w:numFmt w:val="decimal"/>
      <w:pStyle w:val="2"/>
      <w:lvlText w:val="%1"/>
      <w:lvlJc w:val="left"/>
      <w:pPr>
        <w:tabs>
          <w:tab w:val="left" w:pos="3835"/>
        </w:tabs>
        <w:ind w:left="3835" w:hanging="432"/>
      </w:pPr>
    </w:lvl>
    <w:lvl w:ilvl="1" w:tentative="0">
      <w:start w:val="1"/>
      <w:numFmt w:val="chineseCountingThousand"/>
      <w:pStyle w:val="3"/>
      <w:lvlText w:val="%2、"/>
      <w:lvlJc w:val="left"/>
      <w:pPr>
        <w:tabs>
          <w:tab w:val="left" w:pos="1002"/>
        </w:tabs>
        <w:ind w:left="1002" w:hanging="576"/>
      </w:pPr>
      <w:rPr>
        <w:b/>
        <w:sz w:val="32"/>
        <w:szCs w:val="32"/>
      </w:rPr>
    </w:lvl>
    <w:lvl w:ilvl="2" w:tentative="0">
      <w:start w:val="1"/>
      <w:numFmt w:val="decimal"/>
      <w:pStyle w:val="4"/>
      <w:lvlText w:val="%1.%2.%3"/>
      <w:lvlJc w:val="left"/>
      <w:pPr>
        <w:tabs>
          <w:tab w:val="left" w:pos="720"/>
        </w:tabs>
        <w:ind w:left="720" w:hanging="720"/>
      </w:pPr>
    </w:lvl>
    <w:lvl w:ilvl="3" w:tentative="0">
      <w:start w:val="1"/>
      <w:numFmt w:val="decimal"/>
      <w:pStyle w:val="5"/>
      <w:lvlText w:val="%1.%2.%3.%4"/>
      <w:lvlJc w:val="left"/>
      <w:pPr>
        <w:tabs>
          <w:tab w:val="left" w:pos="864"/>
        </w:tabs>
        <w:ind w:left="864" w:hanging="864"/>
      </w:pPr>
    </w:lvl>
    <w:lvl w:ilvl="4" w:tentative="0">
      <w:start w:val="1"/>
      <w:numFmt w:val="decimal"/>
      <w:pStyle w:val="6"/>
      <w:lvlText w:val="%1.%2.%3.%4.%5"/>
      <w:lvlJc w:val="left"/>
      <w:pPr>
        <w:tabs>
          <w:tab w:val="left" w:pos="1008"/>
        </w:tabs>
        <w:ind w:left="1008" w:hanging="1008"/>
      </w:pPr>
    </w:lvl>
    <w:lvl w:ilvl="5" w:tentative="0">
      <w:start w:val="1"/>
      <w:numFmt w:val="decimal"/>
      <w:pStyle w:val="7"/>
      <w:lvlText w:val="%1.%2.%3.%4.%5.%6"/>
      <w:lvlJc w:val="left"/>
      <w:pPr>
        <w:tabs>
          <w:tab w:val="left" w:pos="1152"/>
        </w:tabs>
        <w:ind w:left="1152" w:hanging="1152"/>
      </w:pPr>
    </w:lvl>
    <w:lvl w:ilvl="6" w:tentative="0">
      <w:start w:val="1"/>
      <w:numFmt w:val="decimal"/>
      <w:pStyle w:val="8"/>
      <w:lvlText w:val="%1.%2.%3.%4.%5.%6.%7"/>
      <w:lvlJc w:val="left"/>
      <w:pPr>
        <w:tabs>
          <w:tab w:val="left" w:pos="1296"/>
        </w:tabs>
        <w:ind w:left="1296" w:hanging="1296"/>
      </w:pPr>
    </w:lvl>
    <w:lvl w:ilvl="7" w:tentative="0">
      <w:start w:val="1"/>
      <w:numFmt w:val="decimal"/>
      <w:pStyle w:val="9"/>
      <w:lvlText w:val="%1.%2.%3.%4.%5.%6.%7.%8"/>
      <w:lvlJc w:val="left"/>
      <w:pPr>
        <w:tabs>
          <w:tab w:val="left" w:pos="1440"/>
        </w:tabs>
        <w:ind w:left="1440" w:hanging="1440"/>
      </w:pPr>
    </w:lvl>
    <w:lvl w:ilvl="8" w:tentative="0">
      <w:start w:val="1"/>
      <w:numFmt w:val="decimal"/>
      <w:pStyle w:val="10"/>
      <w:lvlText w:val="%1.%2.%3.%4.%5.%6.%7.%8.%9"/>
      <w:lvlJc w:val="left"/>
      <w:pPr>
        <w:tabs>
          <w:tab w:val="left" w:pos="1584"/>
        </w:tabs>
        <w:ind w:left="1584" w:hanging="1584"/>
      </w:pPr>
    </w:lvl>
  </w:abstractNum>
  <w:abstractNum w:abstractNumId="23">
    <w:nsid w:val="6F025FAA"/>
    <w:multiLevelType w:val="multilevel"/>
    <w:tmpl w:val="6F025FAA"/>
    <w:lvl w:ilvl="0" w:tentative="0">
      <w:start w:val="1"/>
      <w:numFmt w:val="none"/>
      <w:pStyle w:val="84"/>
      <w:suff w:val="nothing"/>
      <w:lvlText w:val=""/>
      <w:lvlJc w:val="left"/>
      <w:pPr>
        <w:ind w:left="720" w:firstLine="0"/>
      </w:pPr>
      <w:rPr>
        <w:rFonts w:ascii="Times New Roman" w:hAnsi="Times New Roman"/>
        <w:b/>
        <w:i w:val="0"/>
        <w:caps/>
        <w:smallCaps w:val="0"/>
        <w:sz w:val="22"/>
      </w:rPr>
    </w:lvl>
    <w:lvl w:ilvl="1" w:tentative="0">
      <w:start w:val="1"/>
      <w:numFmt w:val="none"/>
      <w:pStyle w:val="85"/>
      <w:suff w:val="nothing"/>
      <w:lvlText w:val=""/>
      <w:lvlJc w:val="left"/>
      <w:pPr>
        <w:ind w:left="720" w:firstLine="0"/>
      </w:pPr>
      <w:rPr>
        <w:rFonts w:ascii="Times New Roman" w:hAnsi="Times New Roman"/>
        <w:b/>
        <w:i w:val="0"/>
        <w:caps w:val="0"/>
        <w:smallCaps w:val="0"/>
        <w:sz w:val="22"/>
      </w:rPr>
    </w:lvl>
    <w:lvl w:ilvl="2" w:tentative="0">
      <w:start w:val="1"/>
      <w:numFmt w:val="lowerLetter"/>
      <w:lvlText w:val="(%3)"/>
      <w:lvlJc w:val="left"/>
      <w:pPr>
        <w:tabs>
          <w:tab w:val="left" w:pos="1440"/>
        </w:tabs>
        <w:ind w:left="1440" w:hanging="720"/>
      </w:pPr>
      <w:rPr>
        <w:rFonts w:ascii="Times New Roman" w:hAnsi="Times New Roman"/>
        <w:b w:val="0"/>
        <w:i w:val="0"/>
        <w:sz w:val="22"/>
      </w:rPr>
    </w:lvl>
    <w:lvl w:ilvl="3" w:tentative="0">
      <w:start w:val="1"/>
      <w:numFmt w:val="lowerRoman"/>
      <w:lvlText w:val="(%4)"/>
      <w:lvlJc w:val="left"/>
      <w:pPr>
        <w:tabs>
          <w:tab w:val="left" w:pos="1440"/>
        </w:tabs>
        <w:ind w:left="1440" w:hanging="720"/>
      </w:pPr>
      <w:rPr>
        <w:rFonts w:ascii="Times New Roman" w:hAnsi="Times New Roman"/>
        <w:b w:val="0"/>
        <w:i w:val="0"/>
        <w:sz w:val="22"/>
      </w:rPr>
    </w:lvl>
    <w:lvl w:ilvl="4" w:tentative="0">
      <w:start w:val="1"/>
      <w:numFmt w:val="lowerLetter"/>
      <w:lvlText w:val="(%5)"/>
      <w:lvlJc w:val="left"/>
      <w:pPr>
        <w:tabs>
          <w:tab w:val="left" w:pos="2160"/>
        </w:tabs>
        <w:ind w:left="2160" w:hanging="720"/>
      </w:pPr>
      <w:rPr>
        <w:rFonts w:ascii="Times New Roman" w:hAnsi="Times New Roman"/>
        <w:b w:val="0"/>
        <w:i w:val="0"/>
        <w:sz w:val="22"/>
      </w:rPr>
    </w:lvl>
    <w:lvl w:ilvl="5" w:tentative="0">
      <w:start w:val="1"/>
      <w:numFmt w:val="lowerRoman"/>
      <w:lvlText w:val="(%6)"/>
      <w:lvlJc w:val="left"/>
      <w:pPr>
        <w:tabs>
          <w:tab w:val="left" w:pos="2160"/>
        </w:tabs>
        <w:ind w:left="2160" w:hanging="720"/>
      </w:pPr>
      <w:rPr>
        <w:rFonts w:ascii="Times New Roman" w:hAnsi="Times New Roman"/>
        <w:b w:val="0"/>
        <w:i w:val="0"/>
        <w:sz w:val="22"/>
      </w:rPr>
    </w:lvl>
    <w:lvl w:ilvl="6" w:tentative="0">
      <w:start w:val="1"/>
      <w:numFmt w:val="upperLetter"/>
      <w:lvlText w:val="(%7)"/>
      <w:lvlJc w:val="left"/>
      <w:pPr>
        <w:tabs>
          <w:tab w:val="left" w:pos="2160"/>
        </w:tabs>
        <w:ind w:left="2160" w:hanging="720"/>
      </w:pPr>
    </w:lvl>
    <w:lvl w:ilvl="7" w:tentative="0">
      <w:start w:val="1"/>
      <w:numFmt w:val="decimal"/>
      <w:lvlText w:val="(%8)"/>
      <w:lvlJc w:val="left"/>
      <w:pPr>
        <w:tabs>
          <w:tab w:val="left" w:pos="1440"/>
        </w:tabs>
        <w:ind w:left="1440" w:hanging="720"/>
      </w:pPr>
      <w:rPr>
        <w:rFonts w:ascii="Times New Roman" w:hAnsi="Times New Roman"/>
        <w:b w:val="0"/>
        <w:i w:val="0"/>
        <w:sz w:val="22"/>
      </w:rPr>
    </w:lvl>
    <w:lvl w:ilvl="8" w:tentative="0">
      <w:start w:val="1"/>
      <w:numFmt w:val="decimal"/>
      <w:lvlText w:val="(%9)"/>
      <w:lvlJc w:val="left"/>
      <w:pPr>
        <w:tabs>
          <w:tab w:val="left" w:pos="2160"/>
        </w:tabs>
        <w:ind w:left="2160" w:hanging="720"/>
      </w:pPr>
      <w:rPr>
        <w:rFonts w:ascii="Times New Roman" w:hAnsi="Times New Roman"/>
        <w:b w:val="0"/>
        <w:i w:val="0"/>
        <w:sz w:val="22"/>
      </w:rPr>
    </w:lvl>
  </w:abstractNum>
  <w:abstractNum w:abstractNumId="24">
    <w:nsid w:val="6F8D3D7A"/>
    <w:multiLevelType w:val="singleLevel"/>
    <w:tmpl w:val="6F8D3D7A"/>
    <w:lvl w:ilvl="0" w:tentative="0">
      <w:start w:val="1"/>
      <w:numFmt w:val="bullet"/>
      <w:pStyle w:val="126"/>
      <w:lvlText w:val=""/>
      <w:lvlJc w:val="left"/>
      <w:pPr>
        <w:tabs>
          <w:tab w:val="left" w:pos="720"/>
        </w:tabs>
        <w:ind w:left="720" w:hanging="720"/>
      </w:pPr>
      <w:rPr>
        <w:rFonts w:hint="default" w:ascii="Symbol" w:hAnsi="Symbol"/>
      </w:rPr>
    </w:lvl>
  </w:abstractNum>
  <w:abstractNum w:abstractNumId="25">
    <w:nsid w:val="761544F7"/>
    <w:multiLevelType w:val="multilevel"/>
    <w:tmpl w:val="761544F7"/>
    <w:lvl w:ilvl="0" w:tentative="0">
      <w:start w:val="1"/>
      <w:numFmt w:val="decimal"/>
      <w:pStyle w:val="109"/>
      <w:lvlText w:val="%1."/>
      <w:lvlJc w:val="left"/>
      <w:pPr>
        <w:tabs>
          <w:tab w:val="left" w:pos="720"/>
        </w:tabs>
        <w:ind w:left="720" w:hanging="720"/>
      </w:pPr>
    </w:lvl>
    <w:lvl w:ilvl="1" w:tentative="0">
      <w:start w:val="1"/>
      <w:numFmt w:val="decimal"/>
      <w:pStyle w:val="110"/>
      <w:lvlText w:val="%1.%2"/>
      <w:lvlJc w:val="left"/>
      <w:pPr>
        <w:tabs>
          <w:tab w:val="left" w:pos="720"/>
        </w:tabs>
        <w:ind w:left="720" w:hanging="720"/>
      </w:pPr>
    </w:lvl>
    <w:lvl w:ilvl="2" w:tentative="0">
      <w:start w:val="1"/>
      <w:numFmt w:val="lowerLetter"/>
      <w:pStyle w:val="111"/>
      <w:lvlText w:val="(%3)"/>
      <w:lvlJc w:val="left"/>
      <w:pPr>
        <w:tabs>
          <w:tab w:val="left" w:pos="720"/>
        </w:tabs>
        <w:ind w:left="720" w:hanging="720"/>
      </w:pPr>
    </w:lvl>
    <w:lvl w:ilvl="3" w:tentative="0">
      <w:start w:val="1"/>
      <w:numFmt w:val="lowerLetter"/>
      <w:lvlText w:val="(%4)"/>
      <w:lvlJc w:val="left"/>
      <w:pPr>
        <w:tabs>
          <w:tab w:val="left" w:pos="1440"/>
        </w:tabs>
        <w:ind w:left="1440" w:hanging="720"/>
      </w:pPr>
    </w:lvl>
    <w:lvl w:ilvl="4" w:tentative="0">
      <w:start w:val="1"/>
      <w:numFmt w:val="lowerRoman"/>
      <w:lvlText w:val="(%5)"/>
      <w:lvlJc w:val="left"/>
      <w:pPr>
        <w:tabs>
          <w:tab w:val="left" w:pos="1440"/>
        </w:tabs>
        <w:ind w:left="1440" w:hanging="720"/>
      </w:pPr>
    </w:lvl>
    <w:lvl w:ilvl="5" w:tentative="0">
      <w:start w:val="1"/>
      <w:numFmt w:val="lowerRoman"/>
      <w:lvlText w:val="(%6)"/>
      <w:lvlJc w:val="left"/>
      <w:pPr>
        <w:tabs>
          <w:tab w:val="left" w:pos="2160"/>
        </w:tabs>
        <w:ind w:left="2160" w:hanging="720"/>
      </w:pPr>
    </w:lvl>
    <w:lvl w:ilvl="6" w:tentative="0">
      <w:start w:val="1"/>
      <w:numFmt w:val="upperLetter"/>
      <w:lvlText w:val="(%7)"/>
      <w:lvlJc w:val="left"/>
      <w:pPr>
        <w:tabs>
          <w:tab w:val="left" w:pos="2160"/>
        </w:tabs>
        <w:ind w:left="2160" w:hanging="720"/>
      </w:pPr>
    </w:lvl>
    <w:lvl w:ilvl="7" w:tentative="0">
      <w:start w:val="1"/>
      <w:numFmt w:val="upperLetter"/>
      <w:lvlText w:val="(%8)"/>
      <w:lvlJc w:val="left"/>
      <w:pPr>
        <w:tabs>
          <w:tab w:val="left" w:pos="2880"/>
        </w:tabs>
        <w:ind w:left="2880" w:hanging="720"/>
      </w:pPr>
    </w:lvl>
    <w:lvl w:ilvl="8" w:tentative="0">
      <w:start w:val="1"/>
      <w:numFmt w:val="upperRoman"/>
      <w:lvlText w:val="%9."/>
      <w:lvlJc w:val="left"/>
      <w:pPr>
        <w:tabs>
          <w:tab w:val="left" w:pos="3600"/>
        </w:tabs>
        <w:ind w:left="3600" w:hanging="720"/>
      </w:pPr>
    </w:lvl>
  </w:abstractNum>
  <w:num w:numId="1">
    <w:abstractNumId w:val="22"/>
  </w:num>
  <w:num w:numId="2">
    <w:abstractNumId w:val="4"/>
  </w:num>
  <w:num w:numId="3">
    <w:abstractNumId w:val="9"/>
  </w:num>
  <w:num w:numId="4">
    <w:abstractNumId w:val="3"/>
    <w:lvlOverride w:ilvl="0">
      <w:startOverride w:val="2"/>
    </w:lvlOverride>
  </w:num>
  <w:num w:numId="5">
    <w:abstractNumId w:val="12"/>
    <w:lvlOverride w:ilvl="0">
      <w:startOverride w:val="1"/>
    </w:lvlOverride>
  </w:num>
  <w:num w:numId="6">
    <w:abstractNumId w:val="15"/>
  </w:num>
  <w:num w:numId="7">
    <w:abstractNumId w:val="8"/>
  </w:num>
  <w:num w:numId="8">
    <w:abstractNumId w:val="23"/>
  </w:num>
  <w:num w:numId="9">
    <w:abstractNumId w:val="18"/>
  </w:num>
  <w:num w:numId="10">
    <w:abstractNumId w:val="21"/>
  </w:num>
  <w:num w:numId="11">
    <w:abstractNumId w:val="17"/>
  </w:num>
  <w:num w:numId="12">
    <w:abstractNumId w:val="2"/>
  </w:num>
  <w:num w:numId="13">
    <w:abstractNumId w:val="11"/>
  </w:num>
  <w:num w:numId="14">
    <w:abstractNumId w:val="25"/>
  </w:num>
  <w:num w:numId="15">
    <w:abstractNumId w:val="13"/>
  </w:num>
  <w:num w:numId="16">
    <w:abstractNumId w:val="16"/>
  </w:num>
  <w:num w:numId="17">
    <w:abstractNumId w:val="19"/>
  </w:num>
  <w:num w:numId="18">
    <w:abstractNumId w:val="5"/>
  </w:num>
  <w:num w:numId="19">
    <w:abstractNumId w:val="7"/>
  </w:num>
  <w:num w:numId="20">
    <w:abstractNumId w:val="24"/>
  </w:num>
  <w:num w:numId="21">
    <w:abstractNumId w:val="14"/>
  </w:num>
  <w:num w:numId="22">
    <w:abstractNumId w:val="6"/>
  </w:num>
  <w:num w:numId="23">
    <w:abstractNumId w:val="1"/>
  </w:num>
  <w:num w:numId="24">
    <w:abstractNumId w:val="20"/>
  </w:num>
  <w:num w:numId="25">
    <w:abstractNumId w:val="10"/>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hideSpellingErrors/>
  <w:doNotTrackFormatting/>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0AF"/>
    <w:rsid w:val="000016D0"/>
    <w:rsid w:val="00001D4D"/>
    <w:rsid w:val="00002277"/>
    <w:rsid w:val="00002366"/>
    <w:rsid w:val="00003032"/>
    <w:rsid w:val="00004BCB"/>
    <w:rsid w:val="00004BEE"/>
    <w:rsid w:val="00005370"/>
    <w:rsid w:val="00005576"/>
    <w:rsid w:val="00007B98"/>
    <w:rsid w:val="00013905"/>
    <w:rsid w:val="000140A2"/>
    <w:rsid w:val="00014ACD"/>
    <w:rsid w:val="0001512B"/>
    <w:rsid w:val="00015EB1"/>
    <w:rsid w:val="00021F9B"/>
    <w:rsid w:val="00024450"/>
    <w:rsid w:val="00025C37"/>
    <w:rsid w:val="00030288"/>
    <w:rsid w:val="00030B51"/>
    <w:rsid w:val="00030FE2"/>
    <w:rsid w:val="00031872"/>
    <w:rsid w:val="000318BE"/>
    <w:rsid w:val="000346FE"/>
    <w:rsid w:val="00034DEE"/>
    <w:rsid w:val="00035158"/>
    <w:rsid w:val="0003534E"/>
    <w:rsid w:val="00035684"/>
    <w:rsid w:val="00035DDC"/>
    <w:rsid w:val="000370EA"/>
    <w:rsid w:val="00040470"/>
    <w:rsid w:val="0004048E"/>
    <w:rsid w:val="00040D06"/>
    <w:rsid w:val="00041051"/>
    <w:rsid w:val="000415E2"/>
    <w:rsid w:val="00042AE1"/>
    <w:rsid w:val="00043A5D"/>
    <w:rsid w:val="00047107"/>
    <w:rsid w:val="000474FB"/>
    <w:rsid w:val="00047D65"/>
    <w:rsid w:val="00050171"/>
    <w:rsid w:val="00051075"/>
    <w:rsid w:val="00051C43"/>
    <w:rsid w:val="00052BE0"/>
    <w:rsid w:val="00053D9C"/>
    <w:rsid w:val="00054F0A"/>
    <w:rsid w:val="0005677A"/>
    <w:rsid w:val="00056FF4"/>
    <w:rsid w:val="00061638"/>
    <w:rsid w:val="000624BF"/>
    <w:rsid w:val="000649F4"/>
    <w:rsid w:val="00064EE8"/>
    <w:rsid w:val="000669E8"/>
    <w:rsid w:val="00066F49"/>
    <w:rsid w:val="00067552"/>
    <w:rsid w:val="00067A69"/>
    <w:rsid w:val="000711F1"/>
    <w:rsid w:val="0007164F"/>
    <w:rsid w:val="00072C9B"/>
    <w:rsid w:val="0007319F"/>
    <w:rsid w:val="000732BD"/>
    <w:rsid w:val="000752D0"/>
    <w:rsid w:val="00075CE3"/>
    <w:rsid w:val="000776E7"/>
    <w:rsid w:val="00077F0C"/>
    <w:rsid w:val="00081022"/>
    <w:rsid w:val="00081237"/>
    <w:rsid w:val="00081CAB"/>
    <w:rsid w:val="000830F7"/>
    <w:rsid w:val="0008332F"/>
    <w:rsid w:val="000837B3"/>
    <w:rsid w:val="00083836"/>
    <w:rsid w:val="00085296"/>
    <w:rsid w:val="0008787D"/>
    <w:rsid w:val="000901CE"/>
    <w:rsid w:val="0009065E"/>
    <w:rsid w:val="0009482D"/>
    <w:rsid w:val="00094A5B"/>
    <w:rsid w:val="000950F8"/>
    <w:rsid w:val="000959C8"/>
    <w:rsid w:val="00095D26"/>
    <w:rsid w:val="000A0B03"/>
    <w:rsid w:val="000A0B24"/>
    <w:rsid w:val="000A1953"/>
    <w:rsid w:val="000A32F7"/>
    <w:rsid w:val="000A427B"/>
    <w:rsid w:val="000A44D5"/>
    <w:rsid w:val="000A4665"/>
    <w:rsid w:val="000A491E"/>
    <w:rsid w:val="000A64B9"/>
    <w:rsid w:val="000B14A4"/>
    <w:rsid w:val="000B2FF8"/>
    <w:rsid w:val="000B4154"/>
    <w:rsid w:val="000B7235"/>
    <w:rsid w:val="000B72D0"/>
    <w:rsid w:val="000C1E4A"/>
    <w:rsid w:val="000C2A3E"/>
    <w:rsid w:val="000C5584"/>
    <w:rsid w:val="000C5E97"/>
    <w:rsid w:val="000D0A62"/>
    <w:rsid w:val="000D2540"/>
    <w:rsid w:val="000D2664"/>
    <w:rsid w:val="000D2AEF"/>
    <w:rsid w:val="000D2EEA"/>
    <w:rsid w:val="000D3174"/>
    <w:rsid w:val="000D3B12"/>
    <w:rsid w:val="000D4803"/>
    <w:rsid w:val="000D607C"/>
    <w:rsid w:val="000D7044"/>
    <w:rsid w:val="000E1308"/>
    <w:rsid w:val="000E1FA2"/>
    <w:rsid w:val="000E23F0"/>
    <w:rsid w:val="000E2960"/>
    <w:rsid w:val="000E3050"/>
    <w:rsid w:val="000E3631"/>
    <w:rsid w:val="000E401D"/>
    <w:rsid w:val="000E51FE"/>
    <w:rsid w:val="000E71DB"/>
    <w:rsid w:val="000E77AF"/>
    <w:rsid w:val="000E78DF"/>
    <w:rsid w:val="000F1C9C"/>
    <w:rsid w:val="000F1E06"/>
    <w:rsid w:val="000F43E8"/>
    <w:rsid w:val="000F6082"/>
    <w:rsid w:val="000F71A6"/>
    <w:rsid w:val="000F7A57"/>
    <w:rsid w:val="00100906"/>
    <w:rsid w:val="00100FBF"/>
    <w:rsid w:val="001017D1"/>
    <w:rsid w:val="00101FE1"/>
    <w:rsid w:val="00102316"/>
    <w:rsid w:val="001030C1"/>
    <w:rsid w:val="001045E8"/>
    <w:rsid w:val="0010501C"/>
    <w:rsid w:val="0011150A"/>
    <w:rsid w:val="00113531"/>
    <w:rsid w:val="00114BED"/>
    <w:rsid w:val="0011575E"/>
    <w:rsid w:val="001163E9"/>
    <w:rsid w:val="00116F0D"/>
    <w:rsid w:val="00117A38"/>
    <w:rsid w:val="00120BB6"/>
    <w:rsid w:val="00120FA0"/>
    <w:rsid w:val="00121089"/>
    <w:rsid w:val="00121DE3"/>
    <w:rsid w:val="00122BF8"/>
    <w:rsid w:val="00123208"/>
    <w:rsid w:val="00124747"/>
    <w:rsid w:val="00125558"/>
    <w:rsid w:val="0012717C"/>
    <w:rsid w:val="00127DDC"/>
    <w:rsid w:val="001311F4"/>
    <w:rsid w:val="00131C69"/>
    <w:rsid w:val="0013243F"/>
    <w:rsid w:val="0013244E"/>
    <w:rsid w:val="001331C1"/>
    <w:rsid w:val="001340EE"/>
    <w:rsid w:val="0013466D"/>
    <w:rsid w:val="00134B42"/>
    <w:rsid w:val="00135472"/>
    <w:rsid w:val="001354B7"/>
    <w:rsid w:val="001358BC"/>
    <w:rsid w:val="0013614A"/>
    <w:rsid w:val="00136B53"/>
    <w:rsid w:val="0013720B"/>
    <w:rsid w:val="001373DE"/>
    <w:rsid w:val="0014041A"/>
    <w:rsid w:val="0014046E"/>
    <w:rsid w:val="00143846"/>
    <w:rsid w:val="001442DE"/>
    <w:rsid w:val="00145130"/>
    <w:rsid w:val="0014657E"/>
    <w:rsid w:val="00146E03"/>
    <w:rsid w:val="00151B71"/>
    <w:rsid w:val="001523BE"/>
    <w:rsid w:val="00152510"/>
    <w:rsid w:val="00154B51"/>
    <w:rsid w:val="0015637C"/>
    <w:rsid w:val="00160E8D"/>
    <w:rsid w:val="0016163A"/>
    <w:rsid w:val="00161735"/>
    <w:rsid w:val="0016364B"/>
    <w:rsid w:val="00164CBC"/>
    <w:rsid w:val="0016583C"/>
    <w:rsid w:val="0016786E"/>
    <w:rsid w:val="001715EC"/>
    <w:rsid w:val="00171AFE"/>
    <w:rsid w:val="00171B7B"/>
    <w:rsid w:val="00173882"/>
    <w:rsid w:val="00173A1A"/>
    <w:rsid w:val="001742FD"/>
    <w:rsid w:val="00174510"/>
    <w:rsid w:val="001767E6"/>
    <w:rsid w:val="0017689F"/>
    <w:rsid w:val="0017750C"/>
    <w:rsid w:val="001776B3"/>
    <w:rsid w:val="00181398"/>
    <w:rsid w:val="00181803"/>
    <w:rsid w:val="00183617"/>
    <w:rsid w:val="00184E44"/>
    <w:rsid w:val="001867F7"/>
    <w:rsid w:val="00191393"/>
    <w:rsid w:val="001917D8"/>
    <w:rsid w:val="001926D2"/>
    <w:rsid w:val="00193C3D"/>
    <w:rsid w:val="00194376"/>
    <w:rsid w:val="00197246"/>
    <w:rsid w:val="0019767B"/>
    <w:rsid w:val="001978F0"/>
    <w:rsid w:val="001A11F6"/>
    <w:rsid w:val="001A3B75"/>
    <w:rsid w:val="001A56C1"/>
    <w:rsid w:val="001A5CDF"/>
    <w:rsid w:val="001A6310"/>
    <w:rsid w:val="001A6F2E"/>
    <w:rsid w:val="001B25CD"/>
    <w:rsid w:val="001B27D0"/>
    <w:rsid w:val="001B32B3"/>
    <w:rsid w:val="001B3374"/>
    <w:rsid w:val="001B3674"/>
    <w:rsid w:val="001B385E"/>
    <w:rsid w:val="001B4AAB"/>
    <w:rsid w:val="001B7CFA"/>
    <w:rsid w:val="001C13D1"/>
    <w:rsid w:val="001C2AD0"/>
    <w:rsid w:val="001C2C8A"/>
    <w:rsid w:val="001C3756"/>
    <w:rsid w:val="001C4D92"/>
    <w:rsid w:val="001C54D5"/>
    <w:rsid w:val="001C7902"/>
    <w:rsid w:val="001C79D3"/>
    <w:rsid w:val="001C7D7E"/>
    <w:rsid w:val="001D0080"/>
    <w:rsid w:val="001D1068"/>
    <w:rsid w:val="001D14A7"/>
    <w:rsid w:val="001D30EF"/>
    <w:rsid w:val="001D324F"/>
    <w:rsid w:val="001D6E6A"/>
    <w:rsid w:val="001E020A"/>
    <w:rsid w:val="001E0849"/>
    <w:rsid w:val="001E2DF1"/>
    <w:rsid w:val="001E323E"/>
    <w:rsid w:val="001E32EC"/>
    <w:rsid w:val="001E4FCA"/>
    <w:rsid w:val="001E517D"/>
    <w:rsid w:val="001E560A"/>
    <w:rsid w:val="001E6171"/>
    <w:rsid w:val="001F017D"/>
    <w:rsid w:val="001F04E7"/>
    <w:rsid w:val="001F0BFF"/>
    <w:rsid w:val="001F1057"/>
    <w:rsid w:val="001F2027"/>
    <w:rsid w:val="001F22C5"/>
    <w:rsid w:val="001F2647"/>
    <w:rsid w:val="001F3E63"/>
    <w:rsid w:val="001F430A"/>
    <w:rsid w:val="001F434A"/>
    <w:rsid w:val="001F441B"/>
    <w:rsid w:val="001F5250"/>
    <w:rsid w:val="001F585A"/>
    <w:rsid w:val="001F5D88"/>
    <w:rsid w:val="001F66A9"/>
    <w:rsid w:val="001F693E"/>
    <w:rsid w:val="001F6B54"/>
    <w:rsid w:val="001F6D57"/>
    <w:rsid w:val="001F7FEE"/>
    <w:rsid w:val="00200475"/>
    <w:rsid w:val="002016A8"/>
    <w:rsid w:val="0020287D"/>
    <w:rsid w:val="00202C0F"/>
    <w:rsid w:val="002034E0"/>
    <w:rsid w:val="0020352B"/>
    <w:rsid w:val="00203D2A"/>
    <w:rsid w:val="00204E1C"/>
    <w:rsid w:val="002056D4"/>
    <w:rsid w:val="00205886"/>
    <w:rsid w:val="002060CF"/>
    <w:rsid w:val="00206EB2"/>
    <w:rsid w:val="00207DA1"/>
    <w:rsid w:val="0021144C"/>
    <w:rsid w:val="002125F1"/>
    <w:rsid w:val="0021395E"/>
    <w:rsid w:val="0021401C"/>
    <w:rsid w:val="002147AD"/>
    <w:rsid w:val="00215ADC"/>
    <w:rsid w:val="00216429"/>
    <w:rsid w:val="002222C2"/>
    <w:rsid w:val="00222588"/>
    <w:rsid w:val="00225A2C"/>
    <w:rsid w:val="00226055"/>
    <w:rsid w:val="002306CC"/>
    <w:rsid w:val="00232633"/>
    <w:rsid w:val="002327EF"/>
    <w:rsid w:val="002330FE"/>
    <w:rsid w:val="00233B17"/>
    <w:rsid w:val="002340C7"/>
    <w:rsid w:val="00234DD9"/>
    <w:rsid w:val="00235671"/>
    <w:rsid w:val="00236705"/>
    <w:rsid w:val="002369FF"/>
    <w:rsid w:val="00237FA8"/>
    <w:rsid w:val="00241E29"/>
    <w:rsid w:val="002436D6"/>
    <w:rsid w:val="0024375A"/>
    <w:rsid w:val="00245BE7"/>
    <w:rsid w:val="00246009"/>
    <w:rsid w:val="00246894"/>
    <w:rsid w:val="00246FBF"/>
    <w:rsid w:val="00252A54"/>
    <w:rsid w:val="00252D4E"/>
    <w:rsid w:val="00252DE0"/>
    <w:rsid w:val="002545B3"/>
    <w:rsid w:val="0025483F"/>
    <w:rsid w:val="00256197"/>
    <w:rsid w:val="002563E3"/>
    <w:rsid w:val="00262076"/>
    <w:rsid w:val="00262129"/>
    <w:rsid w:val="002627A0"/>
    <w:rsid w:val="0026395C"/>
    <w:rsid w:val="00263F9F"/>
    <w:rsid w:val="002642C0"/>
    <w:rsid w:val="00264B03"/>
    <w:rsid w:val="00265437"/>
    <w:rsid w:val="0026602B"/>
    <w:rsid w:val="002661E9"/>
    <w:rsid w:val="0026719E"/>
    <w:rsid w:val="002671C7"/>
    <w:rsid w:val="00270113"/>
    <w:rsid w:val="0027035C"/>
    <w:rsid w:val="002729BC"/>
    <w:rsid w:val="00273A7E"/>
    <w:rsid w:val="0027572F"/>
    <w:rsid w:val="002758BD"/>
    <w:rsid w:val="00275C61"/>
    <w:rsid w:val="002769FE"/>
    <w:rsid w:val="0027737D"/>
    <w:rsid w:val="0028080D"/>
    <w:rsid w:val="00280E9C"/>
    <w:rsid w:val="0028106B"/>
    <w:rsid w:val="002814E0"/>
    <w:rsid w:val="002816E3"/>
    <w:rsid w:val="00281BE6"/>
    <w:rsid w:val="0028207A"/>
    <w:rsid w:val="0028324A"/>
    <w:rsid w:val="00287F03"/>
    <w:rsid w:val="002906D0"/>
    <w:rsid w:val="00291170"/>
    <w:rsid w:val="00291817"/>
    <w:rsid w:val="0029227C"/>
    <w:rsid w:val="0029414D"/>
    <w:rsid w:val="0029487B"/>
    <w:rsid w:val="00295C29"/>
    <w:rsid w:val="00296372"/>
    <w:rsid w:val="002A01D4"/>
    <w:rsid w:val="002A04C2"/>
    <w:rsid w:val="002A161A"/>
    <w:rsid w:val="002A3053"/>
    <w:rsid w:val="002A5B86"/>
    <w:rsid w:val="002A609C"/>
    <w:rsid w:val="002A63F8"/>
    <w:rsid w:val="002A69B4"/>
    <w:rsid w:val="002A6DE5"/>
    <w:rsid w:val="002A74C7"/>
    <w:rsid w:val="002A7C41"/>
    <w:rsid w:val="002B2048"/>
    <w:rsid w:val="002B2074"/>
    <w:rsid w:val="002B2633"/>
    <w:rsid w:val="002B556C"/>
    <w:rsid w:val="002B5C12"/>
    <w:rsid w:val="002B6601"/>
    <w:rsid w:val="002C2727"/>
    <w:rsid w:val="002C3654"/>
    <w:rsid w:val="002C3AFC"/>
    <w:rsid w:val="002C422B"/>
    <w:rsid w:val="002C4755"/>
    <w:rsid w:val="002C5151"/>
    <w:rsid w:val="002C592B"/>
    <w:rsid w:val="002C5CF3"/>
    <w:rsid w:val="002C6F53"/>
    <w:rsid w:val="002D036A"/>
    <w:rsid w:val="002D31B6"/>
    <w:rsid w:val="002D485E"/>
    <w:rsid w:val="002D587D"/>
    <w:rsid w:val="002D5AB8"/>
    <w:rsid w:val="002D5DFC"/>
    <w:rsid w:val="002D782D"/>
    <w:rsid w:val="002E12A1"/>
    <w:rsid w:val="002E13B4"/>
    <w:rsid w:val="002E1C9A"/>
    <w:rsid w:val="002E1FB5"/>
    <w:rsid w:val="002E237C"/>
    <w:rsid w:val="002E26AA"/>
    <w:rsid w:val="002E3F07"/>
    <w:rsid w:val="002E45CB"/>
    <w:rsid w:val="002E5167"/>
    <w:rsid w:val="002E65B7"/>
    <w:rsid w:val="002F04F5"/>
    <w:rsid w:val="002F0ECD"/>
    <w:rsid w:val="002F1890"/>
    <w:rsid w:val="002F2524"/>
    <w:rsid w:val="002F33DE"/>
    <w:rsid w:val="002F36B6"/>
    <w:rsid w:val="002F392F"/>
    <w:rsid w:val="002F3D57"/>
    <w:rsid w:val="002F3D75"/>
    <w:rsid w:val="002F5627"/>
    <w:rsid w:val="002F5BE2"/>
    <w:rsid w:val="002F5EBF"/>
    <w:rsid w:val="002F6030"/>
    <w:rsid w:val="002F6372"/>
    <w:rsid w:val="002F64DA"/>
    <w:rsid w:val="002F7083"/>
    <w:rsid w:val="002F7E45"/>
    <w:rsid w:val="00300CD2"/>
    <w:rsid w:val="003024FF"/>
    <w:rsid w:val="0030338C"/>
    <w:rsid w:val="00303FAC"/>
    <w:rsid w:val="00304563"/>
    <w:rsid w:val="00306819"/>
    <w:rsid w:val="003068FA"/>
    <w:rsid w:val="00306BE2"/>
    <w:rsid w:val="00306DAD"/>
    <w:rsid w:val="00307D79"/>
    <w:rsid w:val="00311078"/>
    <w:rsid w:val="003128D9"/>
    <w:rsid w:val="003135A6"/>
    <w:rsid w:val="003140BB"/>
    <w:rsid w:val="00316E5D"/>
    <w:rsid w:val="00316E7A"/>
    <w:rsid w:val="003175E9"/>
    <w:rsid w:val="0032225D"/>
    <w:rsid w:val="00322693"/>
    <w:rsid w:val="003232B0"/>
    <w:rsid w:val="0032374D"/>
    <w:rsid w:val="00324602"/>
    <w:rsid w:val="00324A0F"/>
    <w:rsid w:val="00325DF0"/>
    <w:rsid w:val="00326927"/>
    <w:rsid w:val="00327061"/>
    <w:rsid w:val="00327561"/>
    <w:rsid w:val="003304DD"/>
    <w:rsid w:val="003306B3"/>
    <w:rsid w:val="00330750"/>
    <w:rsid w:val="003323EE"/>
    <w:rsid w:val="0033258B"/>
    <w:rsid w:val="00332B51"/>
    <w:rsid w:val="003334B5"/>
    <w:rsid w:val="00335A4D"/>
    <w:rsid w:val="00336A40"/>
    <w:rsid w:val="003372B4"/>
    <w:rsid w:val="00337396"/>
    <w:rsid w:val="003376ED"/>
    <w:rsid w:val="00337C60"/>
    <w:rsid w:val="003439C0"/>
    <w:rsid w:val="0034407A"/>
    <w:rsid w:val="00344210"/>
    <w:rsid w:val="00344559"/>
    <w:rsid w:val="00350E6D"/>
    <w:rsid w:val="00352A28"/>
    <w:rsid w:val="00352DDC"/>
    <w:rsid w:val="003535D0"/>
    <w:rsid w:val="0035513C"/>
    <w:rsid w:val="0035698B"/>
    <w:rsid w:val="00361E0F"/>
    <w:rsid w:val="003620E1"/>
    <w:rsid w:val="00362AE6"/>
    <w:rsid w:val="0036449D"/>
    <w:rsid w:val="003678DD"/>
    <w:rsid w:val="00367977"/>
    <w:rsid w:val="003708FD"/>
    <w:rsid w:val="00373753"/>
    <w:rsid w:val="003740C6"/>
    <w:rsid w:val="00375286"/>
    <w:rsid w:val="00376574"/>
    <w:rsid w:val="00377248"/>
    <w:rsid w:val="003803CA"/>
    <w:rsid w:val="00383912"/>
    <w:rsid w:val="00383FCF"/>
    <w:rsid w:val="00384736"/>
    <w:rsid w:val="00384ED8"/>
    <w:rsid w:val="00385229"/>
    <w:rsid w:val="00387D4F"/>
    <w:rsid w:val="003916B8"/>
    <w:rsid w:val="00392A38"/>
    <w:rsid w:val="0039304B"/>
    <w:rsid w:val="00395FFC"/>
    <w:rsid w:val="003A1AC4"/>
    <w:rsid w:val="003A1B27"/>
    <w:rsid w:val="003A1C49"/>
    <w:rsid w:val="003A3720"/>
    <w:rsid w:val="003A40EB"/>
    <w:rsid w:val="003A5371"/>
    <w:rsid w:val="003A7C32"/>
    <w:rsid w:val="003A7D6A"/>
    <w:rsid w:val="003B0EEF"/>
    <w:rsid w:val="003B145E"/>
    <w:rsid w:val="003B17E5"/>
    <w:rsid w:val="003B4E98"/>
    <w:rsid w:val="003B55A0"/>
    <w:rsid w:val="003B5F0D"/>
    <w:rsid w:val="003B6189"/>
    <w:rsid w:val="003B7A9F"/>
    <w:rsid w:val="003B7D9B"/>
    <w:rsid w:val="003C10E9"/>
    <w:rsid w:val="003C1D2F"/>
    <w:rsid w:val="003C297B"/>
    <w:rsid w:val="003C316C"/>
    <w:rsid w:val="003C35F4"/>
    <w:rsid w:val="003C3FDE"/>
    <w:rsid w:val="003C4105"/>
    <w:rsid w:val="003C48CA"/>
    <w:rsid w:val="003C512F"/>
    <w:rsid w:val="003C523F"/>
    <w:rsid w:val="003C64D0"/>
    <w:rsid w:val="003C6BAF"/>
    <w:rsid w:val="003D1B11"/>
    <w:rsid w:val="003D2118"/>
    <w:rsid w:val="003D283D"/>
    <w:rsid w:val="003D30EB"/>
    <w:rsid w:val="003D3709"/>
    <w:rsid w:val="003D728E"/>
    <w:rsid w:val="003D768B"/>
    <w:rsid w:val="003D7838"/>
    <w:rsid w:val="003E1F54"/>
    <w:rsid w:val="003E3B1A"/>
    <w:rsid w:val="003E5D7E"/>
    <w:rsid w:val="003E603A"/>
    <w:rsid w:val="003E70B9"/>
    <w:rsid w:val="003E72EA"/>
    <w:rsid w:val="003F04D2"/>
    <w:rsid w:val="003F1440"/>
    <w:rsid w:val="003F1B09"/>
    <w:rsid w:val="003F40BC"/>
    <w:rsid w:val="003F4D39"/>
    <w:rsid w:val="003F5365"/>
    <w:rsid w:val="003F5366"/>
    <w:rsid w:val="003F62E8"/>
    <w:rsid w:val="003F71C2"/>
    <w:rsid w:val="003F7E78"/>
    <w:rsid w:val="00400FBA"/>
    <w:rsid w:val="00401CF1"/>
    <w:rsid w:val="0040676C"/>
    <w:rsid w:val="00411784"/>
    <w:rsid w:val="004124B5"/>
    <w:rsid w:val="0041352F"/>
    <w:rsid w:val="00414BD0"/>
    <w:rsid w:val="0041544E"/>
    <w:rsid w:val="00415A46"/>
    <w:rsid w:val="00415DCB"/>
    <w:rsid w:val="004178DD"/>
    <w:rsid w:val="00417B98"/>
    <w:rsid w:val="0042032E"/>
    <w:rsid w:val="00421D4E"/>
    <w:rsid w:val="004230A0"/>
    <w:rsid w:val="0042479B"/>
    <w:rsid w:val="00424ABB"/>
    <w:rsid w:val="00425E96"/>
    <w:rsid w:val="00427600"/>
    <w:rsid w:val="004302E2"/>
    <w:rsid w:val="00431194"/>
    <w:rsid w:val="00431699"/>
    <w:rsid w:val="004321D2"/>
    <w:rsid w:val="00434063"/>
    <w:rsid w:val="004343DC"/>
    <w:rsid w:val="00434669"/>
    <w:rsid w:val="00434D9C"/>
    <w:rsid w:val="0043606A"/>
    <w:rsid w:val="004364DA"/>
    <w:rsid w:val="004426CF"/>
    <w:rsid w:val="00442864"/>
    <w:rsid w:val="00442CF8"/>
    <w:rsid w:val="004438B2"/>
    <w:rsid w:val="00443B28"/>
    <w:rsid w:val="00443B7A"/>
    <w:rsid w:val="00444B5A"/>
    <w:rsid w:val="00444D5E"/>
    <w:rsid w:val="00446DB5"/>
    <w:rsid w:val="00451FEB"/>
    <w:rsid w:val="00452AB0"/>
    <w:rsid w:val="0045526F"/>
    <w:rsid w:val="0045791E"/>
    <w:rsid w:val="004610D4"/>
    <w:rsid w:val="004626C6"/>
    <w:rsid w:val="00464A10"/>
    <w:rsid w:val="00464EED"/>
    <w:rsid w:val="00464F3F"/>
    <w:rsid w:val="0046544D"/>
    <w:rsid w:val="004656BF"/>
    <w:rsid w:val="00465A38"/>
    <w:rsid w:val="00465DC6"/>
    <w:rsid w:val="00466B8E"/>
    <w:rsid w:val="00467EA0"/>
    <w:rsid w:val="004707A5"/>
    <w:rsid w:val="00470AC0"/>
    <w:rsid w:val="0047251E"/>
    <w:rsid w:val="004732C2"/>
    <w:rsid w:val="00473A57"/>
    <w:rsid w:val="00482F98"/>
    <w:rsid w:val="0048384B"/>
    <w:rsid w:val="00483A7B"/>
    <w:rsid w:val="00484FC6"/>
    <w:rsid w:val="0048712B"/>
    <w:rsid w:val="00487155"/>
    <w:rsid w:val="00490573"/>
    <w:rsid w:val="00491C42"/>
    <w:rsid w:val="00497646"/>
    <w:rsid w:val="00497D32"/>
    <w:rsid w:val="004A07A3"/>
    <w:rsid w:val="004A0D80"/>
    <w:rsid w:val="004A2527"/>
    <w:rsid w:val="004A28D2"/>
    <w:rsid w:val="004A3D7E"/>
    <w:rsid w:val="004A4EB6"/>
    <w:rsid w:val="004A5F0A"/>
    <w:rsid w:val="004A6054"/>
    <w:rsid w:val="004A6656"/>
    <w:rsid w:val="004A6EB2"/>
    <w:rsid w:val="004B0CFB"/>
    <w:rsid w:val="004B15B0"/>
    <w:rsid w:val="004B16C7"/>
    <w:rsid w:val="004B1D34"/>
    <w:rsid w:val="004B1F82"/>
    <w:rsid w:val="004B20CE"/>
    <w:rsid w:val="004B2793"/>
    <w:rsid w:val="004B3E0D"/>
    <w:rsid w:val="004B3F48"/>
    <w:rsid w:val="004B686C"/>
    <w:rsid w:val="004B6B3E"/>
    <w:rsid w:val="004C0399"/>
    <w:rsid w:val="004C0CAB"/>
    <w:rsid w:val="004C442F"/>
    <w:rsid w:val="004C4653"/>
    <w:rsid w:val="004C4C43"/>
    <w:rsid w:val="004C4F64"/>
    <w:rsid w:val="004C55C3"/>
    <w:rsid w:val="004C59AE"/>
    <w:rsid w:val="004C62E4"/>
    <w:rsid w:val="004C79E6"/>
    <w:rsid w:val="004C7F50"/>
    <w:rsid w:val="004D04DD"/>
    <w:rsid w:val="004D071F"/>
    <w:rsid w:val="004D1744"/>
    <w:rsid w:val="004D1C03"/>
    <w:rsid w:val="004D38F4"/>
    <w:rsid w:val="004D41FE"/>
    <w:rsid w:val="004D4CA4"/>
    <w:rsid w:val="004E06BA"/>
    <w:rsid w:val="004E0CCA"/>
    <w:rsid w:val="004E29A6"/>
    <w:rsid w:val="004E2CA4"/>
    <w:rsid w:val="004E30B1"/>
    <w:rsid w:val="004E31CE"/>
    <w:rsid w:val="004E344D"/>
    <w:rsid w:val="004E40E1"/>
    <w:rsid w:val="004E41CA"/>
    <w:rsid w:val="004E5CF3"/>
    <w:rsid w:val="004E5DEC"/>
    <w:rsid w:val="004F09E3"/>
    <w:rsid w:val="004F2778"/>
    <w:rsid w:val="004F2C21"/>
    <w:rsid w:val="004F30FD"/>
    <w:rsid w:val="004F39A9"/>
    <w:rsid w:val="004F7D23"/>
    <w:rsid w:val="0050045D"/>
    <w:rsid w:val="005039CD"/>
    <w:rsid w:val="0050665C"/>
    <w:rsid w:val="00506DF2"/>
    <w:rsid w:val="0051039A"/>
    <w:rsid w:val="00510850"/>
    <w:rsid w:val="00512F47"/>
    <w:rsid w:val="00512F92"/>
    <w:rsid w:val="00514B2F"/>
    <w:rsid w:val="00515197"/>
    <w:rsid w:val="0051656A"/>
    <w:rsid w:val="00517D28"/>
    <w:rsid w:val="005208FA"/>
    <w:rsid w:val="005238FC"/>
    <w:rsid w:val="00523989"/>
    <w:rsid w:val="00523BA8"/>
    <w:rsid w:val="0052552B"/>
    <w:rsid w:val="00526D11"/>
    <w:rsid w:val="00530470"/>
    <w:rsid w:val="005306AA"/>
    <w:rsid w:val="005309E6"/>
    <w:rsid w:val="00532776"/>
    <w:rsid w:val="005330E8"/>
    <w:rsid w:val="0053321E"/>
    <w:rsid w:val="0053359E"/>
    <w:rsid w:val="005371A8"/>
    <w:rsid w:val="0053791B"/>
    <w:rsid w:val="00543A0A"/>
    <w:rsid w:val="00544088"/>
    <w:rsid w:val="00544384"/>
    <w:rsid w:val="0054533E"/>
    <w:rsid w:val="00545FB9"/>
    <w:rsid w:val="0054667B"/>
    <w:rsid w:val="00550BB8"/>
    <w:rsid w:val="0055216C"/>
    <w:rsid w:val="005526B4"/>
    <w:rsid w:val="00552C5D"/>
    <w:rsid w:val="005532A5"/>
    <w:rsid w:val="00554F5C"/>
    <w:rsid w:val="00554FB5"/>
    <w:rsid w:val="00557DDE"/>
    <w:rsid w:val="0056018B"/>
    <w:rsid w:val="00561D22"/>
    <w:rsid w:val="00562228"/>
    <w:rsid w:val="00562800"/>
    <w:rsid w:val="00563600"/>
    <w:rsid w:val="00566C1F"/>
    <w:rsid w:val="005671C8"/>
    <w:rsid w:val="00571551"/>
    <w:rsid w:val="0057417B"/>
    <w:rsid w:val="00574412"/>
    <w:rsid w:val="0057695E"/>
    <w:rsid w:val="00576C15"/>
    <w:rsid w:val="00577BDB"/>
    <w:rsid w:val="005809FC"/>
    <w:rsid w:val="00582399"/>
    <w:rsid w:val="0058348B"/>
    <w:rsid w:val="00583A7E"/>
    <w:rsid w:val="00584A08"/>
    <w:rsid w:val="00593E51"/>
    <w:rsid w:val="00594889"/>
    <w:rsid w:val="00596443"/>
    <w:rsid w:val="005969FA"/>
    <w:rsid w:val="005A18A9"/>
    <w:rsid w:val="005A25ED"/>
    <w:rsid w:val="005A29DA"/>
    <w:rsid w:val="005A2EEB"/>
    <w:rsid w:val="005A3CD4"/>
    <w:rsid w:val="005A61CD"/>
    <w:rsid w:val="005A66C7"/>
    <w:rsid w:val="005A6733"/>
    <w:rsid w:val="005A6CBD"/>
    <w:rsid w:val="005B0B15"/>
    <w:rsid w:val="005B18BA"/>
    <w:rsid w:val="005B2767"/>
    <w:rsid w:val="005B2ADE"/>
    <w:rsid w:val="005B330C"/>
    <w:rsid w:val="005B336E"/>
    <w:rsid w:val="005B36FE"/>
    <w:rsid w:val="005B3730"/>
    <w:rsid w:val="005B3F32"/>
    <w:rsid w:val="005B4058"/>
    <w:rsid w:val="005B6050"/>
    <w:rsid w:val="005B6DCF"/>
    <w:rsid w:val="005B726C"/>
    <w:rsid w:val="005B785F"/>
    <w:rsid w:val="005B7A4A"/>
    <w:rsid w:val="005B7A53"/>
    <w:rsid w:val="005C06D6"/>
    <w:rsid w:val="005C0F54"/>
    <w:rsid w:val="005C33C8"/>
    <w:rsid w:val="005C347C"/>
    <w:rsid w:val="005C487F"/>
    <w:rsid w:val="005C4998"/>
    <w:rsid w:val="005C7346"/>
    <w:rsid w:val="005D359C"/>
    <w:rsid w:val="005D3E9E"/>
    <w:rsid w:val="005D5594"/>
    <w:rsid w:val="005D5788"/>
    <w:rsid w:val="005D7224"/>
    <w:rsid w:val="005D74D7"/>
    <w:rsid w:val="005E0026"/>
    <w:rsid w:val="005E07CB"/>
    <w:rsid w:val="005E0953"/>
    <w:rsid w:val="005E1DE4"/>
    <w:rsid w:val="005E2017"/>
    <w:rsid w:val="005E2EFF"/>
    <w:rsid w:val="005E57A4"/>
    <w:rsid w:val="005E6E69"/>
    <w:rsid w:val="005E74AB"/>
    <w:rsid w:val="005E773D"/>
    <w:rsid w:val="005F0955"/>
    <w:rsid w:val="005F307E"/>
    <w:rsid w:val="005F42B3"/>
    <w:rsid w:val="005F44E3"/>
    <w:rsid w:val="005F4FF6"/>
    <w:rsid w:val="005F5B83"/>
    <w:rsid w:val="005F7CC6"/>
    <w:rsid w:val="006009F7"/>
    <w:rsid w:val="00600AA2"/>
    <w:rsid w:val="00601B9D"/>
    <w:rsid w:val="006035CB"/>
    <w:rsid w:val="00607536"/>
    <w:rsid w:val="0061018C"/>
    <w:rsid w:val="006105C3"/>
    <w:rsid w:val="006108E1"/>
    <w:rsid w:val="0061137C"/>
    <w:rsid w:val="00613E59"/>
    <w:rsid w:val="006140BF"/>
    <w:rsid w:val="00614573"/>
    <w:rsid w:val="00614DE8"/>
    <w:rsid w:val="006203C0"/>
    <w:rsid w:val="00620AC9"/>
    <w:rsid w:val="00620E6D"/>
    <w:rsid w:val="006216D7"/>
    <w:rsid w:val="00623635"/>
    <w:rsid w:val="00623A36"/>
    <w:rsid w:val="00623E0E"/>
    <w:rsid w:val="00625074"/>
    <w:rsid w:val="00625527"/>
    <w:rsid w:val="00625D31"/>
    <w:rsid w:val="00626136"/>
    <w:rsid w:val="006269B5"/>
    <w:rsid w:val="00626C74"/>
    <w:rsid w:val="00630ADC"/>
    <w:rsid w:val="00631617"/>
    <w:rsid w:val="00631F34"/>
    <w:rsid w:val="006324E8"/>
    <w:rsid w:val="00632D5F"/>
    <w:rsid w:val="00636062"/>
    <w:rsid w:val="00636CB5"/>
    <w:rsid w:val="006401C3"/>
    <w:rsid w:val="00640440"/>
    <w:rsid w:val="00640D02"/>
    <w:rsid w:val="00642877"/>
    <w:rsid w:val="00646012"/>
    <w:rsid w:val="00646FFE"/>
    <w:rsid w:val="00650EFD"/>
    <w:rsid w:val="00651622"/>
    <w:rsid w:val="00652C15"/>
    <w:rsid w:val="00653E1D"/>
    <w:rsid w:val="00654D3C"/>
    <w:rsid w:val="00657454"/>
    <w:rsid w:val="006574E0"/>
    <w:rsid w:val="00660225"/>
    <w:rsid w:val="00660662"/>
    <w:rsid w:val="006608CE"/>
    <w:rsid w:val="0066098D"/>
    <w:rsid w:val="0066117B"/>
    <w:rsid w:val="0066186A"/>
    <w:rsid w:val="00663021"/>
    <w:rsid w:val="0066495F"/>
    <w:rsid w:val="00665AD2"/>
    <w:rsid w:val="00666C81"/>
    <w:rsid w:val="00667811"/>
    <w:rsid w:val="006679B7"/>
    <w:rsid w:val="00667F28"/>
    <w:rsid w:val="00670924"/>
    <w:rsid w:val="006727D1"/>
    <w:rsid w:val="00672FD4"/>
    <w:rsid w:val="0067301E"/>
    <w:rsid w:val="00673667"/>
    <w:rsid w:val="0067380E"/>
    <w:rsid w:val="00674404"/>
    <w:rsid w:val="00674538"/>
    <w:rsid w:val="00680350"/>
    <w:rsid w:val="00680F74"/>
    <w:rsid w:val="00681875"/>
    <w:rsid w:val="006823E2"/>
    <w:rsid w:val="00683808"/>
    <w:rsid w:val="0068446E"/>
    <w:rsid w:val="00684A0F"/>
    <w:rsid w:val="00685455"/>
    <w:rsid w:val="00686E5B"/>
    <w:rsid w:val="0069000D"/>
    <w:rsid w:val="00690EE4"/>
    <w:rsid w:val="00691AE5"/>
    <w:rsid w:val="0069226C"/>
    <w:rsid w:val="006932B7"/>
    <w:rsid w:val="006938AD"/>
    <w:rsid w:val="00693C9C"/>
    <w:rsid w:val="0069470F"/>
    <w:rsid w:val="00695F09"/>
    <w:rsid w:val="006A01B8"/>
    <w:rsid w:val="006A07A3"/>
    <w:rsid w:val="006A0A1D"/>
    <w:rsid w:val="006A1593"/>
    <w:rsid w:val="006A218E"/>
    <w:rsid w:val="006A29CA"/>
    <w:rsid w:val="006A2AEA"/>
    <w:rsid w:val="006A44D4"/>
    <w:rsid w:val="006A48F1"/>
    <w:rsid w:val="006A5882"/>
    <w:rsid w:val="006A69CF"/>
    <w:rsid w:val="006B0411"/>
    <w:rsid w:val="006B0A2D"/>
    <w:rsid w:val="006B1361"/>
    <w:rsid w:val="006B2E56"/>
    <w:rsid w:val="006B4076"/>
    <w:rsid w:val="006B4F71"/>
    <w:rsid w:val="006B6220"/>
    <w:rsid w:val="006B788D"/>
    <w:rsid w:val="006B7C98"/>
    <w:rsid w:val="006C004C"/>
    <w:rsid w:val="006C0338"/>
    <w:rsid w:val="006C15D7"/>
    <w:rsid w:val="006C1A7D"/>
    <w:rsid w:val="006C1D12"/>
    <w:rsid w:val="006C25D6"/>
    <w:rsid w:val="006C2E94"/>
    <w:rsid w:val="006C35DB"/>
    <w:rsid w:val="006C4970"/>
    <w:rsid w:val="006C4D8A"/>
    <w:rsid w:val="006C568E"/>
    <w:rsid w:val="006D0EC5"/>
    <w:rsid w:val="006D13A5"/>
    <w:rsid w:val="006D13B7"/>
    <w:rsid w:val="006D2439"/>
    <w:rsid w:val="006D332D"/>
    <w:rsid w:val="006D356A"/>
    <w:rsid w:val="006D3B94"/>
    <w:rsid w:val="006D457A"/>
    <w:rsid w:val="006D46B1"/>
    <w:rsid w:val="006D5473"/>
    <w:rsid w:val="006D554B"/>
    <w:rsid w:val="006D5BFA"/>
    <w:rsid w:val="006D715C"/>
    <w:rsid w:val="006D7EBF"/>
    <w:rsid w:val="006E0925"/>
    <w:rsid w:val="006E17A5"/>
    <w:rsid w:val="006E17CE"/>
    <w:rsid w:val="006E1FA3"/>
    <w:rsid w:val="006E24A7"/>
    <w:rsid w:val="006E28C5"/>
    <w:rsid w:val="006E4CDA"/>
    <w:rsid w:val="006E4F98"/>
    <w:rsid w:val="006E58ED"/>
    <w:rsid w:val="006E6F5E"/>
    <w:rsid w:val="006E7A46"/>
    <w:rsid w:val="006F0887"/>
    <w:rsid w:val="006F244E"/>
    <w:rsid w:val="006F31A7"/>
    <w:rsid w:val="006F381D"/>
    <w:rsid w:val="006F4846"/>
    <w:rsid w:val="006F61A4"/>
    <w:rsid w:val="006F66F6"/>
    <w:rsid w:val="006F6B1B"/>
    <w:rsid w:val="006F6F30"/>
    <w:rsid w:val="006F7486"/>
    <w:rsid w:val="0070003E"/>
    <w:rsid w:val="00700529"/>
    <w:rsid w:val="007015BC"/>
    <w:rsid w:val="00703BD0"/>
    <w:rsid w:val="0070400B"/>
    <w:rsid w:val="007045B7"/>
    <w:rsid w:val="00711D9A"/>
    <w:rsid w:val="00711DF7"/>
    <w:rsid w:val="007125B9"/>
    <w:rsid w:val="0071331F"/>
    <w:rsid w:val="007145DB"/>
    <w:rsid w:val="00715266"/>
    <w:rsid w:val="0071540E"/>
    <w:rsid w:val="0071552B"/>
    <w:rsid w:val="0071584C"/>
    <w:rsid w:val="00717207"/>
    <w:rsid w:val="00717286"/>
    <w:rsid w:val="00717647"/>
    <w:rsid w:val="00717BC4"/>
    <w:rsid w:val="00720D16"/>
    <w:rsid w:val="00721B9F"/>
    <w:rsid w:val="00722BAB"/>
    <w:rsid w:val="00723CB9"/>
    <w:rsid w:val="007248CE"/>
    <w:rsid w:val="00724D58"/>
    <w:rsid w:val="0073231E"/>
    <w:rsid w:val="00733160"/>
    <w:rsid w:val="00734F8C"/>
    <w:rsid w:val="007353EE"/>
    <w:rsid w:val="007365A2"/>
    <w:rsid w:val="00737DCD"/>
    <w:rsid w:val="007415EA"/>
    <w:rsid w:val="0074180C"/>
    <w:rsid w:val="00741A2F"/>
    <w:rsid w:val="00742EE3"/>
    <w:rsid w:val="007441D7"/>
    <w:rsid w:val="007457D1"/>
    <w:rsid w:val="007466EA"/>
    <w:rsid w:val="0075011B"/>
    <w:rsid w:val="007504CA"/>
    <w:rsid w:val="00752157"/>
    <w:rsid w:val="00752C6B"/>
    <w:rsid w:val="00753B4D"/>
    <w:rsid w:val="00753DB3"/>
    <w:rsid w:val="007552D3"/>
    <w:rsid w:val="00756293"/>
    <w:rsid w:val="00757D83"/>
    <w:rsid w:val="00760EAE"/>
    <w:rsid w:val="00761340"/>
    <w:rsid w:val="00761F47"/>
    <w:rsid w:val="00762EF4"/>
    <w:rsid w:val="007639ED"/>
    <w:rsid w:val="00763E57"/>
    <w:rsid w:val="007644C7"/>
    <w:rsid w:val="00765B31"/>
    <w:rsid w:val="00766785"/>
    <w:rsid w:val="00766EFD"/>
    <w:rsid w:val="00767A9E"/>
    <w:rsid w:val="007702BF"/>
    <w:rsid w:val="00770C68"/>
    <w:rsid w:val="007726FA"/>
    <w:rsid w:val="00774137"/>
    <w:rsid w:val="00774D9D"/>
    <w:rsid w:val="007752C0"/>
    <w:rsid w:val="0077555F"/>
    <w:rsid w:val="00776366"/>
    <w:rsid w:val="00776772"/>
    <w:rsid w:val="0077695F"/>
    <w:rsid w:val="007770B7"/>
    <w:rsid w:val="00781038"/>
    <w:rsid w:val="00781460"/>
    <w:rsid w:val="00781A36"/>
    <w:rsid w:val="00781C89"/>
    <w:rsid w:val="00782899"/>
    <w:rsid w:val="00783BD5"/>
    <w:rsid w:val="0078616D"/>
    <w:rsid w:val="00787033"/>
    <w:rsid w:val="007879AA"/>
    <w:rsid w:val="00790783"/>
    <w:rsid w:val="00790F5C"/>
    <w:rsid w:val="00790F8A"/>
    <w:rsid w:val="00792745"/>
    <w:rsid w:val="007959D0"/>
    <w:rsid w:val="0079688D"/>
    <w:rsid w:val="007A1CDE"/>
    <w:rsid w:val="007A27D6"/>
    <w:rsid w:val="007A2AFA"/>
    <w:rsid w:val="007A438F"/>
    <w:rsid w:val="007B2ACB"/>
    <w:rsid w:val="007B3C13"/>
    <w:rsid w:val="007B3E2B"/>
    <w:rsid w:val="007B6C2F"/>
    <w:rsid w:val="007B7E96"/>
    <w:rsid w:val="007B7F18"/>
    <w:rsid w:val="007C2E84"/>
    <w:rsid w:val="007C301F"/>
    <w:rsid w:val="007C4165"/>
    <w:rsid w:val="007C5DBB"/>
    <w:rsid w:val="007C6EB5"/>
    <w:rsid w:val="007C737A"/>
    <w:rsid w:val="007D0C39"/>
    <w:rsid w:val="007D0C93"/>
    <w:rsid w:val="007D1361"/>
    <w:rsid w:val="007D1BC6"/>
    <w:rsid w:val="007D2BE4"/>
    <w:rsid w:val="007D3034"/>
    <w:rsid w:val="007D4725"/>
    <w:rsid w:val="007D5186"/>
    <w:rsid w:val="007D66C0"/>
    <w:rsid w:val="007D6EBC"/>
    <w:rsid w:val="007E16F4"/>
    <w:rsid w:val="007E2023"/>
    <w:rsid w:val="007E3048"/>
    <w:rsid w:val="007E38E6"/>
    <w:rsid w:val="007E3903"/>
    <w:rsid w:val="007E45FB"/>
    <w:rsid w:val="007E498D"/>
    <w:rsid w:val="007E71D7"/>
    <w:rsid w:val="007F1019"/>
    <w:rsid w:val="007F19B5"/>
    <w:rsid w:val="007F20AF"/>
    <w:rsid w:val="007F2183"/>
    <w:rsid w:val="007F3DD2"/>
    <w:rsid w:val="007F4AB1"/>
    <w:rsid w:val="007F60B2"/>
    <w:rsid w:val="00800283"/>
    <w:rsid w:val="008022CE"/>
    <w:rsid w:val="008026FA"/>
    <w:rsid w:val="00802DE1"/>
    <w:rsid w:val="008036F6"/>
    <w:rsid w:val="008047DC"/>
    <w:rsid w:val="00804FA9"/>
    <w:rsid w:val="00805787"/>
    <w:rsid w:val="00805E6E"/>
    <w:rsid w:val="0080771E"/>
    <w:rsid w:val="00810030"/>
    <w:rsid w:val="008107E2"/>
    <w:rsid w:val="00812DE7"/>
    <w:rsid w:val="008134BC"/>
    <w:rsid w:val="00814D1A"/>
    <w:rsid w:val="00815C4F"/>
    <w:rsid w:val="008200CC"/>
    <w:rsid w:val="008220CD"/>
    <w:rsid w:val="00824225"/>
    <w:rsid w:val="00826272"/>
    <w:rsid w:val="00827BC8"/>
    <w:rsid w:val="0083030C"/>
    <w:rsid w:val="00833581"/>
    <w:rsid w:val="00834A31"/>
    <w:rsid w:val="00834C1F"/>
    <w:rsid w:val="00835548"/>
    <w:rsid w:val="00835E55"/>
    <w:rsid w:val="00836CDA"/>
    <w:rsid w:val="00837A00"/>
    <w:rsid w:val="00841D4C"/>
    <w:rsid w:val="00841DB6"/>
    <w:rsid w:val="00841F1D"/>
    <w:rsid w:val="0084207B"/>
    <w:rsid w:val="0084291F"/>
    <w:rsid w:val="00843383"/>
    <w:rsid w:val="008437CD"/>
    <w:rsid w:val="00845B60"/>
    <w:rsid w:val="008462CB"/>
    <w:rsid w:val="00846383"/>
    <w:rsid w:val="008505D8"/>
    <w:rsid w:val="00851B9A"/>
    <w:rsid w:val="00852311"/>
    <w:rsid w:val="008523DC"/>
    <w:rsid w:val="008526C8"/>
    <w:rsid w:val="00852C5E"/>
    <w:rsid w:val="008533E0"/>
    <w:rsid w:val="00853D62"/>
    <w:rsid w:val="00854D5A"/>
    <w:rsid w:val="00855498"/>
    <w:rsid w:val="008564DB"/>
    <w:rsid w:val="00856D51"/>
    <w:rsid w:val="0085793A"/>
    <w:rsid w:val="0086022B"/>
    <w:rsid w:val="00860904"/>
    <w:rsid w:val="008619D6"/>
    <w:rsid w:val="00861C97"/>
    <w:rsid w:val="008622FF"/>
    <w:rsid w:val="00866071"/>
    <w:rsid w:val="00872779"/>
    <w:rsid w:val="00874012"/>
    <w:rsid w:val="00874C1F"/>
    <w:rsid w:val="008753A2"/>
    <w:rsid w:val="00876435"/>
    <w:rsid w:val="00880AAD"/>
    <w:rsid w:val="00880B7C"/>
    <w:rsid w:val="0088121F"/>
    <w:rsid w:val="00882BCD"/>
    <w:rsid w:val="0088328B"/>
    <w:rsid w:val="00884576"/>
    <w:rsid w:val="008864FD"/>
    <w:rsid w:val="00886885"/>
    <w:rsid w:val="00886F75"/>
    <w:rsid w:val="00887A94"/>
    <w:rsid w:val="00891166"/>
    <w:rsid w:val="00891DAF"/>
    <w:rsid w:val="0089324D"/>
    <w:rsid w:val="00893313"/>
    <w:rsid w:val="0089644B"/>
    <w:rsid w:val="0089698A"/>
    <w:rsid w:val="008A0A09"/>
    <w:rsid w:val="008A1B66"/>
    <w:rsid w:val="008A25AD"/>
    <w:rsid w:val="008A3F4E"/>
    <w:rsid w:val="008A47CB"/>
    <w:rsid w:val="008A6A06"/>
    <w:rsid w:val="008B22AA"/>
    <w:rsid w:val="008B5910"/>
    <w:rsid w:val="008B5F6D"/>
    <w:rsid w:val="008B616D"/>
    <w:rsid w:val="008B6CAA"/>
    <w:rsid w:val="008B6D0A"/>
    <w:rsid w:val="008B723B"/>
    <w:rsid w:val="008B76DB"/>
    <w:rsid w:val="008B77EA"/>
    <w:rsid w:val="008C20D6"/>
    <w:rsid w:val="008C2119"/>
    <w:rsid w:val="008C3AB6"/>
    <w:rsid w:val="008C5BC5"/>
    <w:rsid w:val="008C6615"/>
    <w:rsid w:val="008C6723"/>
    <w:rsid w:val="008C6A98"/>
    <w:rsid w:val="008C7133"/>
    <w:rsid w:val="008D114E"/>
    <w:rsid w:val="008D2159"/>
    <w:rsid w:val="008D2CBF"/>
    <w:rsid w:val="008D4871"/>
    <w:rsid w:val="008D4D5A"/>
    <w:rsid w:val="008D6825"/>
    <w:rsid w:val="008E055D"/>
    <w:rsid w:val="008E136A"/>
    <w:rsid w:val="008E24FE"/>
    <w:rsid w:val="008E2682"/>
    <w:rsid w:val="008E26EC"/>
    <w:rsid w:val="008E2CCF"/>
    <w:rsid w:val="008E2F71"/>
    <w:rsid w:val="008E3261"/>
    <w:rsid w:val="008E3444"/>
    <w:rsid w:val="008E42FD"/>
    <w:rsid w:val="008E488D"/>
    <w:rsid w:val="008E4A89"/>
    <w:rsid w:val="008E575C"/>
    <w:rsid w:val="008E6E9F"/>
    <w:rsid w:val="008F5418"/>
    <w:rsid w:val="008F6BED"/>
    <w:rsid w:val="008F6E65"/>
    <w:rsid w:val="008F76CD"/>
    <w:rsid w:val="0090153C"/>
    <w:rsid w:val="00901555"/>
    <w:rsid w:val="0090423D"/>
    <w:rsid w:val="00904BBF"/>
    <w:rsid w:val="009055E2"/>
    <w:rsid w:val="0090733E"/>
    <w:rsid w:val="00907B42"/>
    <w:rsid w:val="00912961"/>
    <w:rsid w:val="00916042"/>
    <w:rsid w:val="00916525"/>
    <w:rsid w:val="00917C53"/>
    <w:rsid w:val="00917E19"/>
    <w:rsid w:val="009233DC"/>
    <w:rsid w:val="00924C06"/>
    <w:rsid w:val="00924E9E"/>
    <w:rsid w:val="0092580F"/>
    <w:rsid w:val="009268EB"/>
    <w:rsid w:val="009312A3"/>
    <w:rsid w:val="00931417"/>
    <w:rsid w:val="00931A25"/>
    <w:rsid w:val="0093268B"/>
    <w:rsid w:val="009333B0"/>
    <w:rsid w:val="00933E3E"/>
    <w:rsid w:val="0093474D"/>
    <w:rsid w:val="00935BBD"/>
    <w:rsid w:val="00936F13"/>
    <w:rsid w:val="00937A2D"/>
    <w:rsid w:val="00937D99"/>
    <w:rsid w:val="0094056C"/>
    <w:rsid w:val="00941DCD"/>
    <w:rsid w:val="00941EFD"/>
    <w:rsid w:val="00942199"/>
    <w:rsid w:val="00942902"/>
    <w:rsid w:val="00942F39"/>
    <w:rsid w:val="00943282"/>
    <w:rsid w:val="0094476A"/>
    <w:rsid w:val="00945CAD"/>
    <w:rsid w:val="0094796E"/>
    <w:rsid w:val="009504F9"/>
    <w:rsid w:val="00950BFF"/>
    <w:rsid w:val="00950CC3"/>
    <w:rsid w:val="009520D0"/>
    <w:rsid w:val="0095323B"/>
    <w:rsid w:val="00953F34"/>
    <w:rsid w:val="00953FF2"/>
    <w:rsid w:val="00954083"/>
    <w:rsid w:val="009554DC"/>
    <w:rsid w:val="0095580B"/>
    <w:rsid w:val="00955AE7"/>
    <w:rsid w:val="009565D6"/>
    <w:rsid w:val="00956833"/>
    <w:rsid w:val="00956F64"/>
    <w:rsid w:val="00957298"/>
    <w:rsid w:val="009605B2"/>
    <w:rsid w:val="00963724"/>
    <w:rsid w:val="00964BDB"/>
    <w:rsid w:val="00964D70"/>
    <w:rsid w:val="00966086"/>
    <w:rsid w:val="00966880"/>
    <w:rsid w:val="00966992"/>
    <w:rsid w:val="00971AA0"/>
    <w:rsid w:val="00972516"/>
    <w:rsid w:val="009726DD"/>
    <w:rsid w:val="009739F0"/>
    <w:rsid w:val="00974BB6"/>
    <w:rsid w:val="00975711"/>
    <w:rsid w:val="0097600E"/>
    <w:rsid w:val="00976281"/>
    <w:rsid w:val="00980003"/>
    <w:rsid w:val="00980E31"/>
    <w:rsid w:val="00982287"/>
    <w:rsid w:val="009836AF"/>
    <w:rsid w:val="009841C5"/>
    <w:rsid w:val="00984E8B"/>
    <w:rsid w:val="00990CC4"/>
    <w:rsid w:val="00990E5E"/>
    <w:rsid w:val="00993013"/>
    <w:rsid w:val="009936AA"/>
    <w:rsid w:val="00993830"/>
    <w:rsid w:val="00993949"/>
    <w:rsid w:val="00995C06"/>
    <w:rsid w:val="009965E8"/>
    <w:rsid w:val="009A0839"/>
    <w:rsid w:val="009A0A03"/>
    <w:rsid w:val="009A280D"/>
    <w:rsid w:val="009A3FA8"/>
    <w:rsid w:val="009A6250"/>
    <w:rsid w:val="009A6A57"/>
    <w:rsid w:val="009A7F23"/>
    <w:rsid w:val="009B4035"/>
    <w:rsid w:val="009B4045"/>
    <w:rsid w:val="009B4D0B"/>
    <w:rsid w:val="009B5068"/>
    <w:rsid w:val="009B5412"/>
    <w:rsid w:val="009B67A6"/>
    <w:rsid w:val="009C0DB8"/>
    <w:rsid w:val="009C139E"/>
    <w:rsid w:val="009C19D1"/>
    <w:rsid w:val="009C1C2A"/>
    <w:rsid w:val="009C5125"/>
    <w:rsid w:val="009C735A"/>
    <w:rsid w:val="009D1816"/>
    <w:rsid w:val="009D48D7"/>
    <w:rsid w:val="009D4D0C"/>
    <w:rsid w:val="009D71A1"/>
    <w:rsid w:val="009E06D5"/>
    <w:rsid w:val="009E25E1"/>
    <w:rsid w:val="009E4DB5"/>
    <w:rsid w:val="009E590F"/>
    <w:rsid w:val="009E6FDB"/>
    <w:rsid w:val="009F019B"/>
    <w:rsid w:val="009F1BA3"/>
    <w:rsid w:val="009F20D3"/>
    <w:rsid w:val="009F2282"/>
    <w:rsid w:val="009F2A8C"/>
    <w:rsid w:val="009F450B"/>
    <w:rsid w:val="009F4E6C"/>
    <w:rsid w:val="009F5406"/>
    <w:rsid w:val="009F60FC"/>
    <w:rsid w:val="009F6CD2"/>
    <w:rsid w:val="00A01490"/>
    <w:rsid w:val="00A021B0"/>
    <w:rsid w:val="00A029E4"/>
    <w:rsid w:val="00A03A5A"/>
    <w:rsid w:val="00A04CBC"/>
    <w:rsid w:val="00A0581E"/>
    <w:rsid w:val="00A060F5"/>
    <w:rsid w:val="00A06434"/>
    <w:rsid w:val="00A06900"/>
    <w:rsid w:val="00A06F36"/>
    <w:rsid w:val="00A073B3"/>
    <w:rsid w:val="00A07EDA"/>
    <w:rsid w:val="00A11DCC"/>
    <w:rsid w:val="00A132A7"/>
    <w:rsid w:val="00A136D6"/>
    <w:rsid w:val="00A143A3"/>
    <w:rsid w:val="00A1496C"/>
    <w:rsid w:val="00A1564D"/>
    <w:rsid w:val="00A177E8"/>
    <w:rsid w:val="00A179B1"/>
    <w:rsid w:val="00A17C1D"/>
    <w:rsid w:val="00A17F69"/>
    <w:rsid w:val="00A221FF"/>
    <w:rsid w:val="00A2333F"/>
    <w:rsid w:val="00A258BF"/>
    <w:rsid w:val="00A300D1"/>
    <w:rsid w:val="00A31D77"/>
    <w:rsid w:val="00A340A3"/>
    <w:rsid w:val="00A3443A"/>
    <w:rsid w:val="00A357A2"/>
    <w:rsid w:val="00A35B87"/>
    <w:rsid w:val="00A364B5"/>
    <w:rsid w:val="00A37456"/>
    <w:rsid w:val="00A3749E"/>
    <w:rsid w:val="00A374AA"/>
    <w:rsid w:val="00A374F2"/>
    <w:rsid w:val="00A3767B"/>
    <w:rsid w:val="00A37C26"/>
    <w:rsid w:val="00A40044"/>
    <w:rsid w:val="00A40514"/>
    <w:rsid w:val="00A408ED"/>
    <w:rsid w:val="00A40A84"/>
    <w:rsid w:val="00A40D2D"/>
    <w:rsid w:val="00A40ED0"/>
    <w:rsid w:val="00A433C1"/>
    <w:rsid w:val="00A44F2D"/>
    <w:rsid w:val="00A45802"/>
    <w:rsid w:val="00A51E50"/>
    <w:rsid w:val="00A5285B"/>
    <w:rsid w:val="00A53C93"/>
    <w:rsid w:val="00A53D18"/>
    <w:rsid w:val="00A5414C"/>
    <w:rsid w:val="00A56493"/>
    <w:rsid w:val="00A579E3"/>
    <w:rsid w:val="00A60523"/>
    <w:rsid w:val="00A63D96"/>
    <w:rsid w:val="00A64F6E"/>
    <w:rsid w:val="00A659BC"/>
    <w:rsid w:val="00A65F55"/>
    <w:rsid w:val="00A66287"/>
    <w:rsid w:val="00A665E8"/>
    <w:rsid w:val="00A70991"/>
    <w:rsid w:val="00A713E7"/>
    <w:rsid w:val="00A71AB4"/>
    <w:rsid w:val="00A75027"/>
    <w:rsid w:val="00A761EF"/>
    <w:rsid w:val="00A76F98"/>
    <w:rsid w:val="00A77835"/>
    <w:rsid w:val="00A77A5C"/>
    <w:rsid w:val="00A80480"/>
    <w:rsid w:val="00A81E75"/>
    <w:rsid w:val="00A8296E"/>
    <w:rsid w:val="00A83D35"/>
    <w:rsid w:val="00A85248"/>
    <w:rsid w:val="00A857AF"/>
    <w:rsid w:val="00A866A9"/>
    <w:rsid w:val="00A86AD4"/>
    <w:rsid w:val="00A86FFF"/>
    <w:rsid w:val="00A87188"/>
    <w:rsid w:val="00A87C1D"/>
    <w:rsid w:val="00A91908"/>
    <w:rsid w:val="00A9254D"/>
    <w:rsid w:val="00A92CD1"/>
    <w:rsid w:val="00A92F02"/>
    <w:rsid w:val="00A948FA"/>
    <w:rsid w:val="00A95C75"/>
    <w:rsid w:val="00A96A35"/>
    <w:rsid w:val="00A9790F"/>
    <w:rsid w:val="00AA14EE"/>
    <w:rsid w:val="00AA16B9"/>
    <w:rsid w:val="00AA1F5A"/>
    <w:rsid w:val="00AA3A2B"/>
    <w:rsid w:val="00AA411D"/>
    <w:rsid w:val="00AA4C18"/>
    <w:rsid w:val="00AB0F9C"/>
    <w:rsid w:val="00AB1745"/>
    <w:rsid w:val="00AB17FB"/>
    <w:rsid w:val="00AB5244"/>
    <w:rsid w:val="00AB660C"/>
    <w:rsid w:val="00AC15B1"/>
    <w:rsid w:val="00AC1EE3"/>
    <w:rsid w:val="00AC3325"/>
    <w:rsid w:val="00AC4113"/>
    <w:rsid w:val="00AC68E8"/>
    <w:rsid w:val="00AC7E68"/>
    <w:rsid w:val="00AD1CF1"/>
    <w:rsid w:val="00AD1FA2"/>
    <w:rsid w:val="00AD1FEA"/>
    <w:rsid w:val="00AD3A72"/>
    <w:rsid w:val="00AD4109"/>
    <w:rsid w:val="00AD512B"/>
    <w:rsid w:val="00AD5231"/>
    <w:rsid w:val="00AD57B2"/>
    <w:rsid w:val="00AD6787"/>
    <w:rsid w:val="00AE02FF"/>
    <w:rsid w:val="00AE303B"/>
    <w:rsid w:val="00AE3260"/>
    <w:rsid w:val="00AE4006"/>
    <w:rsid w:val="00AE56F4"/>
    <w:rsid w:val="00AE5F7B"/>
    <w:rsid w:val="00AE6716"/>
    <w:rsid w:val="00AE7D92"/>
    <w:rsid w:val="00AF17A2"/>
    <w:rsid w:val="00AF3CA0"/>
    <w:rsid w:val="00AF564D"/>
    <w:rsid w:val="00AF5940"/>
    <w:rsid w:val="00AF5993"/>
    <w:rsid w:val="00AF7C5C"/>
    <w:rsid w:val="00B00179"/>
    <w:rsid w:val="00B0038D"/>
    <w:rsid w:val="00B01BA2"/>
    <w:rsid w:val="00B01ED9"/>
    <w:rsid w:val="00B03B2B"/>
    <w:rsid w:val="00B03B31"/>
    <w:rsid w:val="00B03D29"/>
    <w:rsid w:val="00B03D7D"/>
    <w:rsid w:val="00B0414C"/>
    <w:rsid w:val="00B051AA"/>
    <w:rsid w:val="00B0667B"/>
    <w:rsid w:val="00B067CC"/>
    <w:rsid w:val="00B10EBB"/>
    <w:rsid w:val="00B116D1"/>
    <w:rsid w:val="00B20A9A"/>
    <w:rsid w:val="00B224E9"/>
    <w:rsid w:val="00B23FF0"/>
    <w:rsid w:val="00B245F8"/>
    <w:rsid w:val="00B2518F"/>
    <w:rsid w:val="00B2565E"/>
    <w:rsid w:val="00B2637F"/>
    <w:rsid w:val="00B26895"/>
    <w:rsid w:val="00B27887"/>
    <w:rsid w:val="00B30D8F"/>
    <w:rsid w:val="00B347F9"/>
    <w:rsid w:val="00B35329"/>
    <w:rsid w:val="00B359FE"/>
    <w:rsid w:val="00B370DD"/>
    <w:rsid w:val="00B40509"/>
    <w:rsid w:val="00B4149E"/>
    <w:rsid w:val="00B41EDD"/>
    <w:rsid w:val="00B44406"/>
    <w:rsid w:val="00B44E7D"/>
    <w:rsid w:val="00B45DCE"/>
    <w:rsid w:val="00B465F3"/>
    <w:rsid w:val="00B4681F"/>
    <w:rsid w:val="00B51493"/>
    <w:rsid w:val="00B524D9"/>
    <w:rsid w:val="00B53393"/>
    <w:rsid w:val="00B54F71"/>
    <w:rsid w:val="00B5509F"/>
    <w:rsid w:val="00B558EE"/>
    <w:rsid w:val="00B56A46"/>
    <w:rsid w:val="00B57B6A"/>
    <w:rsid w:val="00B60E9D"/>
    <w:rsid w:val="00B61A48"/>
    <w:rsid w:val="00B639BA"/>
    <w:rsid w:val="00B65070"/>
    <w:rsid w:val="00B65C00"/>
    <w:rsid w:val="00B65F8A"/>
    <w:rsid w:val="00B66785"/>
    <w:rsid w:val="00B66BEE"/>
    <w:rsid w:val="00B66FC9"/>
    <w:rsid w:val="00B67285"/>
    <w:rsid w:val="00B67E8A"/>
    <w:rsid w:val="00B702F7"/>
    <w:rsid w:val="00B709E3"/>
    <w:rsid w:val="00B71E32"/>
    <w:rsid w:val="00B72B26"/>
    <w:rsid w:val="00B72D73"/>
    <w:rsid w:val="00B74243"/>
    <w:rsid w:val="00B77822"/>
    <w:rsid w:val="00B8038C"/>
    <w:rsid w:val="00B8135C"/>
    <w:rsid w:val="00B81533"/>
    <w:rsid w:val="00B81597"/>
    <w:rsid w:val="00B8242F"/>
    <w:rsid w:val="00B83968"/>
    <w:rsid w:val="00B84DAF"/>
    <w:rsid w:val="00B85796"/>
    <w:rsid w:val="00B86ABC"/>
    <w:rsid w:val="00B86F2F"/>
    <w:rsid w:val="00B90722"/>
    <w:rsid w:val="00B90DC6"/>
    <w:rsid w:val="00B90E6E"/>
    <w:rsid w:val="00B94C43"/>
    <w:rsid w:val="00B95C0B"/>
    <w:rsid w:val="00B9725E"/>
    <w:rsid w:val="00BA094B"/>
    <w:rsid w:val="00BA3933"/>
    <w:rsid w:val="00BA43AB"/>
    <w:rsid w:val="00BA44B2"/>
    <w:rsid w:val="00BA5E69"/>
    <w:rsid w:val="00BA6FBC"/>
    <w:rsid w:val="00BB01E8"/>
    <w:rsid w:val="00BB05EC"/>
    <w:rsid w:val="00BB29B7"/>
    <w:rsid w:val="00BB2C15"/>
    <w:rsid w:val="00BB30F6"/>
    <w:rsid w:val="00BB3A52"/>
    <w:rsid w:val="00BB3DC9"/>
    <w:rsid w:val="00BB42AF"/>
    <w:rsid w:val="00BB4576"/>
    <w:rsid w:val="00BB471D"/>
    <w:rsid w:val="00BB5274"/>
    <w:rsid w:val="00BB5289"/>
    <w:rsid w:val="00BB5607"/>
    <w:rsid w:val="00BB6726"/>
    <w:rsid w:val="00BC123F"/>
    <w:rsid w:val="00BC13B9"/>
    <w:rsid w:val="00BC14F3"/>
    <w:rsid w:val="00BC42BC"/>
    <w:rsid w:val="00BC47D6"/>
    <w:rsid w:val="00BC67C9"/>
    <w:rsid w:val="00BC6A63"/>
    <w:rsid w:val="00BD040B"/>
    <w:rsid w:val="00BD231B"/>
    <w:rsid w:val="00BD4118"/>
    <w:rsid w:val="00BD435E"/>
    <w:rsid w:val="00BD4D44"/>
    <w:rsid w:val="00BD508F"/>
    <w:rsid w:val="00BD5565"/>
    <w:rsid w:val="00BD57C4"/>
    <w:rsid w:val="00BD59D0"/>
    <w:rsid w:val="00BD5B79"/>
    <w:rsid w:val="00BD73E1"/>
    <w:rsid w:val="00BE02EA"/>
    <w:rsid w:val="00BE037E"/>
    <w:rsid w:val="00BE0F61"/>
    <w:rsid w:val="00BE1FD3"/>
    <w:rsid w:val="00BE20FF"/>
    <w:rsid w:val="00BE2234"/>
    <w:rsid w:val="00BE2B91"/>
    <w:rsid w:val="00BE4561"/>
    <w:rsid w:val="00BE512A"/>
    <w:rsid w:val="00BE55A4"/>
    <w:rsid w:val="00BE5948"/>
    <w:rsid w:val="00BE5C93"/>
    <w:rsid w:val="00BE62D8"/>
    <w:rsid w:val="00BE7EA6"/>
    <w:rsid w:val="00BF0DCA"/>
    <w:rsid w:val="00BF256F"/>
    <w:rsid w:val="00BF3015"/>
    <w:rsid w:val="00BF4E9A"/>
    <w:rsid w:val="00BF60D3"/>
    <w:rsid w:val="00C000E8"/>
    <w:rsid w:val="00C00118"/>
    <w:rsid w:val="00C004BD"/>
    <w:rsid w:val="00C0153F"/>
    <w:rsid w:val="00C01BE8"/>
    <w:rsid w:val="00C02C77"/>
    <w:rsid w:val="00C03092"/>
    <w:rsid w:val="00C03205"/>
    <w:rsid w:val="00C03688"/>
    <w:rsid w:val="00C051B3"/>
    <w:rsid w:val="00C059DD"/>
    <w:rsid w:val="00C05AB7"/>
    <w:rsid w:val="00C06AD8"/>
    <w:rsid w:val="00C11D9D"/>
    <w:rsid w:val="00C1218F"/>
    <w:rsid w:val="00C125E3"/>
    <w:rsid w:val="00C12B7D"/>
    <w:rsid w:val="00C12D24"/>
    <w:rsid w:val="00C15F44"/>
    <w:rsid w:val="00C163EE"/>
    <w:rsid w:val="00C1664D"/>
    <w:rsid w:val="00C16EFB"/>
    <w:rsid w:val="00C16F48"/>
    <w:rsid w:val="00C204F4"/>
    <w:rsid w:val="00C21883"/>
    <w:rsid w:val="00C223E9"/>
    <w:rsid w:val="00C23415"/>
    <w:rsid w:val="00C23D16"/>
    <w:rsid w:val="00C23FAC"/>
    <w:rsid w:val="00C24517"/>
    <w:rsid w:val="00C24A03"/>
    <w:rsid w:val="00C24C43"/>
    <w:rsid w:val="00C262D5"/>
    <w:rsid w:val="00C26E96"/>
    <w:rsid w:val="00C27525"/>
    <w:rsid w:val="00C27BD9"/>
    <w:rsid w:val="00C3028C"/>
    <w:rsid w:val="00C30663"/>
    <w:rsid w:val="00C3536A"/>
    <w:rsid w:val="00C35A0A"/>
    <w:rsid w:val="00C37968"/>
    <w:rsid w:val="00C40996"/>
    <w:rsid w:val="00C40A1C"/>
    <w:rsid w:val="00C40B69"/>
    <w:rsid w:val="00C427B8"/>
    <w:rsid w:val="00C42829"/>
    <w:rsid w:val="00C45E26"/>
    <w:rsid w:val="00C47BCA"/>
    <w:rsid w:val="00C50393"/>
    <w:rsid w:val="00C5051B"/>
    <w:rsid w:val="00C50ACF"/>
    <w:rsid w:val="00C50F77"/>
    <w:rsid w:val="00C51333"/>
    <w:rsid w:val="00C5167D"/>
    <w:rsid w:val="00C51CFE"/>
    <w:rsid w:val="00C534FD"/>
    <w:rsid w:val="00C55834"/>
    <w:rsid w:val="00C56CC8"/>
    <w:rsid w:val="00C57303"/>
    <w:rsid w:val="00C613CC"/>
    <w:rsid w:val="00C61D1E"/>
    <w:rsid w:val="00C61DCA"/>
    <w:rsid w:val="00C623B4"/>
    <w:rsid w:val="00C6380E"/>
    <w:rsid w:val="00C638FB"/>
    <w:rsid w:val="00C63CB8"/>
    <w:rsid w:val="00C65246"/>
    <w:rsid w:val="00C656C0"/>
    <w:rsid w:val="00C65C99"/>
    <w:rsid w:val="00C674BC"/>
    <w:rsid w:val="00C67F1C"/>
    <w:rsid w:val="00C70FC0"/>
    <w:rsid w:val="00C7108B"/>
    <w:rsid w:val="00C71C2E"/>
    <w:rsid w:val="00C72A9F"/>
    <w:rsid w:val="00C72AB0"/>
    <w:rsid w:val="00C74179"/>
    <w:rsid w:val="00C74EE2"/>
    <w:rsid w:val="00C75192"/>
    <w:rsid w:val="00C75956"/>
    <w:rsid w:val="00C771CF"/>
    <w:rsid w:val="00C775EE"/>
    <w:rsid w:val="00C77AA8"/>
    <w:rsid w:val="00C81B5A"/>
    <w:rsid w:val="00C8251C"/>
    <w:rsid w:val="00C82B70"/>
    <w:rsid w:val="00C83D15"/>
    <w:rsid w:val="00C851A6"/>
    <w:rsid w:val="00C85781"/>
    <w:rsid w:val="00C8580D"/>
    <w:rsid w:val="00C8580E"/>
    <w:rsid w:val="00C874EE"/>
    <w:rsid w:val="00C90356"/>
    <w:rsid w:val="00C917A7"/>
    <w:rsid w:val="00C939FD"/>
    <w:rsid w:val="00C946D5"/>
    <w:rsid w:val="00C95228"/>
    <w:rsid w:val="00C979D9"/>
    <w:rsid w:val="00CA026A"/>
    <w:rsid w:val="00CA31CE"/>
    <w:rsid w:val="00CA4F9D"/>
    <w:rsid w:val="00CA596E"/>
    <w:rsid w:val="00CA5AFC"/>
    <w:rsid w:val="00CA6399"/>
    <w:rsid w:val="00CB005A"/>
    <w:rsid w:val="00CB19B3"/>
    <w:rsid w:val="00CB2228"/>
    <w:rsid w:val="00CB2C0F"/>
    <w:rsid w:val="00CB338B"/>
    <w:rsid w:val="00CB385E"/>
    <w:rsid w:val="00CB409F"/>
    <w:rsid w:val="00CB4171"/>
    <w:rsid w:val="00CB4A3A"/>
    <w:rsid w:val="00CB688F"/>
    <w:rsid w:val="00CB7381"/>
    <w:rsid w:val="00CC111F"/>
    <w:rsid w:val="00CC141B"/>
    <w:rsid w:val="00CC19DB"/>
    <w:rsid w:val="00CC21F0"/>
    <w:rsid w:val="00CC3518"/>
    <w:rsid w:val="00CC454D"/>
    <w:rsid w:val="00CC5C00"/>
    <w:rsid w:val="00CD092A"/>
    <w:rsid w:val="00CD1928"/>
    <w:rsid w:val="00CD3434"/>
    <w:rsid w:val="00CD5CDC"/>
    <w:rsid w:val="00CD5DF1"/>
    <w:rsid w:val="00CD635B"/>
    <w:rsid w:val="00CD69EB"/>
    <w:rsid w:val="00CD7581"/>
    <w:rsid w:val="00CE2D00"/>
    <w:rsid w:val="00CE2DAD"/>
    <w:rsid w:val="00CE365F"/>
    <w:rsid w:val="00CE3A46"/>
    <w:rsid w:val="00CE3AD8"/>
    <w:rsid w:val="00CE4CF2"/>
    <w:rsid w:val="00CE4FB0"/>
    <w:rsid w:val="00CE7F32"/>
    <w:rsid w:val="00CF0DEC"/>
    <w:rsid w:val="00CF0E76"/>
    <w:rsid w:val="00CF1BCA"/>
    <w:rsid w:val="00CF230D"/>
    <w:rsid w:val="00CF6743"/>
    <w:rsid w:val="00D00CE7"/>
    <w:rsid w:val="00D01795"/>
    <w:rsid w:val="00D018D6"/>
    <w:rsid w:val="00D02001"/>
    <w:rsid w:val="00D02ACD"/>
    <w:rsid w:val="00D03CCA"/>
    <w:rsid w:val="00D03F5C"/>
    <w:rsid w:val="00D043B3"/>
    <w:rsid w:val="00D05A30"/>
    <w:rsid w:val="00D07447"/>
    <w:rsid w:val="00D07715"/>
    <w:rsid w:val="00D101B1"/>
    <w:rsid w:val="00D12C00"/>
    <w:rsid w:val="00D135AF"/>
    <w:rsid w:val="00D135F5"/>
    <w:rsid w:val="00D14007"/>
    <w:rsid w:val="00D1406C"/>
    <w:rsid w:val="00D148EE"/>
    <w:rsid w:val="00D156CA"/>
    <w:rsid w:val="00D15BEB"/>
    <w:rsid w:val="00D16F4E"/>
    <w:rsid w:val="00D239B5"/>
    <w:rsid w:val="00D23EE3"/>
    <w:rsid w:val="00D24112"/>
    <w:rsid w:val="00D255B0"/>
    <w:rsid w:val="00D26186"/>
    <w:rsid w:val="00D268C7"/>
    <w:rsid w:val="00D27DC1"/>
    <w:rsid w:val="00D303A8"/>
    <w:rsid w:val="00D30D79"/>
    <w:rsid w:val="00D31C6A"/>
    <w:rsid w:val="00D32562"/>
    <w:rsid w:val="00D32776"/>
    <w:rsid w:val="00D32C97"/>
    <w:rsid w:val="00D337B0"/>
    <w:rsid w:val="00D34D79"/>
    <w:rsid w:val="00D36519"/>
    <w:rsid w:val="00D36871"/>
    <w:rsid w:val="00D37BEC"/>
    <w:rsid w:val="00D37DE6"/>
    <w:rsid w:val="00D4024E"/>
    <w:rsid w:val="00D41443"/>
    <w:rsid w:val="00D4450B"/>
    <w:rsid w:val="00D46551"/>
    <w:rsid w:val="00D46CFA"/>
    <w:rsid w:val="00D47244"/>
    <w:rsid w:val="00D473DB"/>
    <w:rsid w:val="00D479FA"/>
    <w:rsid w:val="00D504A8"/>
    <w:rsid w:val="00D5425D"/>
    <w:rsid w:val="00D543DA"/>
    <w:rsid w:val="00D54BBE"/>
    <w:rsid w:val="00D56E34"/>
    <w:rsid w:val="00D605BE"/>
    <w:rsid w:val="00D60BEA"/>
    <w:rsid w:val="00D60C0B"/>
    <w:rsid w:val="00D61866"/>
    <w:rsid w:val="00D61CAB"/>
    <w:rsid w:val="00D6228C"/>
    <w:rsid w:val="00D62785"/>
    <w:rsid w:val="00D632C6"/>
    <w:rsid w:val="00D6443C"/>
    <w:rsid w:val="00D65135"/>
    <w:rsid w:val="00D6525A"/>
    <w:rsid w:val="00D65ECD"/>
    <w:rsid w:val="00D71C85"/>
    <w:rsid w:val="00D7296B"/>
    <w:rsid w:val="00D7319E"/>
    <w:rsid w:val="00D737C2"/>
    <w:rsid w:val="00D73F73"/>
    <w:rsid w:val="00D74420"/>
    <w:rsid w:val="00D745D0"/>
    <w:rsid w:val="00D74F2F"/>
    <w:rsid w:val="00D76072"/>
    <w:rsid w:val="00D76665"/>
    <w:rsid w:val="00D76B16"/>
    <w:rsid w:val="00D76DBC"/>
    <w:rsid w:val="00D77495"/>
    <w:rsid w:val="00D777F2"/>
    <w:rsid w:val="00D81783"/>
    <w:rsid w:val="00D818AE"/>
    <w:rsid w:val="00D8207C"/>
    <w:rsid w:val="00D82DE3"/>
    <w:rsid w:val="00D83C26"/>
    <w:rsid w:val="00D86155"/>
    <w:rsid w:val="00D90040"/>
    <w:rsid w:val="00D9076F"/>
    <w:rsid w:val="00D90BF5"/>
    <w:rsid w:val="00D92C18"/>
    <w:rsid w:val="00D938CD"/>
    <w:rsid w:val="00D9484F"/>
    <w:rsid w:val="00DA022A"/>
    <w:rsid w:val="00DA078B"/>
    <w:rsid w:val="00DA19A1"/>
    <w:rsid w:val="00DA1C0A"/>
    <w:rsid w:val="00DA2A62"/>
    <w:rsid w:val="00DA31B5"/>
    <w:rsid w:val="00DA4DE5"/>
    <w:rsid w:val="00DA52C5"/>
    <w:rsid w:val="00DA5652"/>
    <w:rsid w:val="00DA5C08"/>
    <w:rsid w:val="00DA5EF3"/>
    <w:rsid w:val="00DA66EE"/>
    <w:rsid w:val="00DA6BAF"/>
    <w:rsid w:val="00DB32D4"/>
    <w:rsid w:val="00DB3BBB"/>
    <w:rsid w:val="00DB5218"/>
    <w:rsid w:val="00DB5AE1"/>
    <w:rsid w:val="00DB7D49"/>
    <w:rsid w:val="00DC019C"/>
    <w:rsid w:val="00DC2C31"/>
    <w:rsid w:val="00DC31F2"/>
    <w:rsid w:val="00DC378F"/>
    <w:rsid w:val="00DC3A6F"/>
    <w:rsid w:val="00DC62FA"/>
    <w:rsid w:val="00DC633B"/>
    <w:rsid w:val="00DC6FC8"/>
    <w:rsid w:val="00DC7442"/>
    <w:rsid w:val="00DD01E0"/>
    <w:rsid w:val="00DD1165"/>
    <w:rsid w:val="00DD3D74"/>
    <w:rsid w:val="00DD43E3"/>
    <w:rsid w:val="00DD4704"/>
    <w:rsid w:val="00DD5529"/>
    <w:rsid w:val="00DD5785"/>
    <w:rsid w:val="00DD584E"/>
    <w:rsid w:val="00DD59D1"/>
    <w:rsid w:val="00DD613C"/>
    <w:rsid w:val="00DE1C6C"/>
    <w:rsid w:val="00DE228C"/>
    <w:rsid w:val="00DE2E0C"/>
    <w:rsid w:val="00DE409B"/>
    <w:rsid w:val="00DE523B"/>
    <w:rsid w:val="00DE6A71"/>
    <w:rsid w:val="00DE73A2"/>
    <w:rsid w:val="00DE77AB"/>
    <w:rsid w:val="00DF0890"/>
    <w:rsid w:val="00DF1228"/>
    <w:rsid w:val="00DF2C11"/>
    <w:rsid w:val="00DF44DB"/>
    <w:rsid w:val="00DF5913"/>
    <w:rsid w:val="00DF61DA"/>
    <w:rsid w:val="00DF6BEA"/>
    <w:rsid w:val="00DF7B98"/>
    <w:rsid w:val="00E00365"/>
    <w:rsid w:val="00E0071A"/>
    <w:rsid w:val="00E00B54"/>
    <w:rsid w:val="00E02B55"/>
    <w:rsid w:val="00E05982"/>
    <w:rsid w:val="00E05983"/>
    <w:rsid w:val="00E05A0D"/>
    <w:rsid w:val="00E061C2"/>
    <w:rsid w:val="00E06E03"/>
    <w:rsid w:val="00E0755D"/>
    <w:rsid w:val="00E10429"/>
    <w:rsid w:val="00E10A14"/>
    <w:rsid w:val="00E12D5C"/>
    <w:rsid w:val="00E133F8"/>
    <w:rsid w:val="00E13AF3"/>
    <w:rsid w:val="00E14B80"/>
    <w:rsid w:val="00E15516"/>
    <w:rsid w:val="00E15C02"/>
    <w:rsid w:val="00E16793"/>
    <w:rsid w:val="00E21357"/>
    <w:rsid w:val="00E2184B"/>
    <w:rsid w:val="00E228B0"/>
    <w:rsid w:val="00E22E3C"/>
    <w:rsid w:val="00E239C4"/>
    <w:rsid w:val="00E23D96"/>
    <w:rsid w:val="00E245B0"/>
    <w:rsid w:val="00E24ABA"/>
    <w:rsid w:val="00E24B77"/>
    <w:rsid w:val="00E33536"/>
    <w:rsid w:val="00E34E50"/>
    <w:rsid w:val="00E35111"/>
    <w:rsid w:val="00E35F01"/>
    <w:rsid w:val="00E3662C"/>
    <w:rsid w:val="00E37269"/>
    <w:rsid w:val="00E375C5"/>
    <w:rsid w:val="00E42095"/>
    <w:rsid w:val="00E42220"/>
    <w:rsid w:val="00E42D81"/>
    <w:rsid w:val="00E42F20"/>
    <w:rsid w:val="00E44A25"/>
    <w:rsid w:val="00E44AC9"/>
    <w:rsid w:val="00E44D90"/>
    <w:rsid w:val="00E4534B"/>
    <w:rsid w:val="00E45449"/>
    <w:rsid w:val="00E4627C"/>
    <w:rsid w:val="00E50207"/>
    <w:rsid w:val="00E51BCA"/>
    <w:rsid w:val="00E54E34"/>
    <w:rsid w:val="00E55078"/>
    <w:rsid w:val="00E551D4"/>
    <w:rsid w:val="00E559A7"/>
    <w:rsid w:val="00E55AEC"/>
    <w:rsid w:val="00E5666C"/>
    <w:rsid w:val="00E56A07"/>
    <w:rsid w:val="00E6018B"/>
    <w:rsid w:val="00E6031F"/>
    <w:rsid w:val="00E60416"/>
    <w:rsid w:val="00E64808"/>
    <w:rsid w:val="00E655A4"/>
    <w:rsid w:val="00E6766C"/>
    <w:rsid w:val="00E70EFC"/>
    <w:rsid w:val="00E71326"/>
    <w:rsid w:val="00E72846"/>
    <w:rsid w:val="00E72F38"/>
    <w:rsid w:val="00E75590"/>
    <w:rsid w:val="00E75665"/>
    <w:rsid w:val="00E763AA"/>
    <w:rsid w:val="00E76774"/>
    <w:rsid w:val="00E77160"/>
    <w:rsid w:val="00E77788"/>
    <w:rsid w:val="00E80DF3"/>
    <w:rsid w:val="00E81BEB"/>
    <w:rsid w:val="00E82C46"/>
    <w:rsid w:val="00E85AC1"/>
    <w:rsid w:val="00E8683A"/>
    <w:rsid w:val="00E87511"/>
    <w:rsid w:val="00E876E8"/>
    <w:rsid w:val="00E90694"/>
    <w:rsid w:val="00E9201F"/>
    <w:rsid w:val="00E92739"/>
    <w:rsid w:val="00E9491C"/>
    <w:rsid w:val="00E94BA8"/>
    <w:rsid w:val="00E95146"/>
    <w:rsid w:val="00E954B3"/>
    <w:rsid w:val="00E95E99"/>
    <w:rsid w:val="00E96253"/>
    <w:rsid w:val="00E979DE"/>
    <w:rsid w:val="00E97B7F"/>
    <w:rsid w:val="00EA0F11"/>
    <w:rsid w:val="00EA2AF4"/>
    <w:rsid w:val="00EA342C"/>
    <w:rsid w:val="00EA5E36"/>
    <w:rsid w:val="00EA66C0"/>
    <w:rsid w:val="00EA6A2C"/>
    <w:rsid w:val="00EA7500"/>
    <w:rsid w:val="00EB2C39"/>
    <w:rsid w:val="00EB2EB0"/>
    <w:rsid w:val="00EB5E64"/>
    <w:rsid w:val="00EC2ED3"/>
    <w:rsid w:val="00EC47DB"/>
    <w:rsid w:val="00EC53A2"/>
    <w:rsid w:val="00EC5E81"/>
    <w:rsid w:val="00ED1621"/>
    <w:rsid w:val="00ED165D"/>
    <w:rsid w:val="00ED16C8"/>
    <w:rsid w:val="00ED2ABB"/>
    <w:rsid w:val="00ED3928"/>
    <w:rsid w:val="00ED3ED6"/>
    <w:rsid w:val="00ED7964"/>
    <w:rsid w:val="00EE0DA9"/>
    <w:rsid w:val="00EE1B2D"/>
    <w:rsid w:val="00EE3B20"/>
    <w:rsid w:val="00EE3D62"/>
    <w:rsid w:val="00EE476E"/>
    <w:rsid w:val="00EE7982"/>
    <w:rsid w:val="00EF0961"/>
    <w:rsid w:val="00EF3990"/>
    <w:rsid w:val="00EF46A4"/>
    <w:rsid w:val="00EF480C"/>
    <w:rsid w:val="00EF5ABD"/>
    <w:rsid w:val="00EF69C7"/>
    <w:rsid w:val="00F01F30"/>
    <w:rsid w:val="00F0261C"/>
    <w:rsid w:val="00F04033"/>
    <w:rsid w:val="00F047F3"/>
    <w:rsid w:val="00F04BD5"/>
    <w:rsid w:val="00F04EF0"/>
    <w:rsid w:val="00F10C07"/>
    <w:rsid w:val="00F121C1"/>
    <w:rsid w:val="00F12779"/>
    <w:rsid w:val="00F1390D"/>
    <w:rsid w:val="00F13C4A"/>
    <w:rsid w:val="00F144B2"/>
    <w:rsid w:val="00F14FEC"/>
    <w:rsid w:val="00F15B31"/>
    <w:rsid w:val="00F15E22"/>
    <w:rsid w:val="00F16C26"/>
    <w:rsid w:val="00F179C9"/>
    <w:rsid w:val="00F20582"/>
    <w:rsid w:val="00F21AD9"/>
    <w:rsid w:val="00F21CB3"/>
    <w:rsid w:val="00F21E60"/>
    <w:rsid w:val="00F22899"/>
    <w:rsid w:val="00F230B6"/>
    <w:rsid w:val="00F233C8"/>
    <w:rsid w:val="00F23ECF"/>
    <w:rsid w:val="00F242D7"/>
    <w:rsid w:val="00F245A0"/>
    <w:rsid w:val="00F24807"/>
    <w:rsid w:val="00F2566E"/>
    <w:rsid w:val="00F261C5"/>
    <w:rsid w:val="00F262CE"/>
    <w:rsid w:val="00F2733F"/>
    <w:rsid w:val="00F32E13"/>
    <w:rsid w:val="00F33534"/>
    <w:rsid w:val="00F337FC"/>
    <w:rsid w:val="00F33DCF"/>
    <w:rsid w:val="00F3624D"/>
    <w:rsid w:val="00F36548"/>
    <w:rsid w:val="00F36857"/>
    <w:rsid w:val="00F368D1"/>
    <w:rsid w:val="00F40AA1"/>
    <w:rsid w:val="00F40C89"/>
    <w:rsid w:val="00F4295A"/>
    <w:rsid w:val="00F44B5E"/>
    <w:rsid w:val="00F46ABE"/>
    <w:rsid w:val="00F4776B"/>
    <w:rsid w:val="00F5016D"/>
    <w:rsid w:val="00F50315"/>
    <w:rsid w:val="00F5034C"/>
    <w:rsid w:val="00F507E1"/>
    <w:rsid w:val="00F508B4"/>
    <w:rsid w:val="00F51432"/>
    <w:rsid w:val="00F516F5"/>
    <w:rsid w:val="00F53B13"/>
    <w:rsid w:val="00F543C7"/>
    <w:rsid w:val="00F544D1"/>
    <w:rsid w:val="00F54AAB"/>
    <w:rsid w:val="00F60CED"/>
    <w:rsid w:val="00F6218A"/>
    <w:rsid w:val="00F62A26"/>
    <w:rsid w:val="00F63289"/>
    <w:rsid w:val="00F63CB6"/>
    <w:rsid w:val="00F65025"/>
    <w:rsid w:val="00F67FD5"/>
    <w:rsid w:val="00F70573"/>
    <w:rsid w:val="00F70F2E"/>
    <w:rsid w:val="00F711A3"/>
    <w:rsid w:val="00F713B0"/>
    <w:rsid w:val="00F7365F"/>
    <w:rsid w:val="00F74DA1"/>
    <w:rsid w:val="00F752A2"/>
    <w:rsid w:val="00F76358"/>
    <w:rsid w:val="00F76CCE"/>
    <w:rsid w:val="00F80A0B"/>
    <w:rsid w:val="00F8218E"/>
    <w:rsid w:val="00F82CA6"/>
    <w:rsid w:val="00F837CA"/>
    <w:rsid w:val="00F8535C"/>
    <w:rsid w:val="00F862A6"/>
    <w:rsid w:val="00F86D91"/>
    <w:rsid w:val="00F87D83"/>
    <w:rsid w:val="00F87EF2"/>
    <w:rsid w:val="00F902FD"/>
    <w:rsid w:val="00F9161F"/>
    <w:rsid w:val="00F91E4A"/>
    <w:rsid w:val="00F93502"/>
    <w:rsid w:val="00F93C23"/>
    <w:rsid w:val="00F94045"/>
    <w:rsid w:val="00F943ED"/>
    <w:rsid w:val="00F95192"/>
    <w:rsid w:val="00F95BDC"/>
    <w:rsid w:val="00FA00E1"/>
    <w:rsid w:val="00FA01ED"/>
    <w:rsid w:val="00FA03CA"/>
    <w:rsid w:val="00FA1197"/>
    <w:rsid w:val="00FA1A89"/>
    <w:rsid w:val="00FA1D03"/>
    <w:rsid w:val="00FA2649"/>
    <w:rsid w:val="00FA2F52"/>
    <w:rsid w:val="00FA3961"/>
    <w:rsid w:val="00FA4611"/>
    <w:rsid w:val="00FA49DA"/>
    <w:rsid w:val="00FA644F"/>
    <w:rsid w:val="00FB13FD"/>
    <w:rsid w:val="00FB23E3"/>
    <w:rsid w:val="00FB2A46"/>
    <w:rsid w:val="00FB338F"/>
    <w:rsid w:val="00FB3737"/>
    <w:rsid w:val="00FB46E0"/>
    <w:rsid w:val="00FB7687"/>
    <w:rsid w:val="00FB77A0"/>
    <w:rsid w:val="00FC06DD"/>
    <w:rsid w:val="00FC2E8A"/>
    <w:rsid w:val="00FC31F5"/>
    <w:rsid w:val="00FC427C"/>
    <w:rsid w:val="00FC464E"/>
    <w:rsid w:val="00FC50B3"/>
    <w:rsid w:val="00FC573C"/>
    <w:rsid w:val="00FC5D35"/>
    <w:rsid w:val="00FC6AC1"/>
    <w:rsid w:val="00FD04F2"/>
    <w:rsid w:val="00FD0868"/>
    <w:rsid w:val="00FD0B13"/>
    <w:rsid w:val="00FD2AB9"/>
    <w:rsid w:val="00FD33BD"/>
    <w:rsid w:val="00FD5C2E"/>
    <w:rsid w:val="00FD6935"/>
    <w:rsid w:val="00FD6B70"/>
    <w:rsid w:val="00FE00AD"/>
    <w:rsid w:val="00FE0B3D"/>
    <w:rsid w:val="00FE0CAD"/>
    <w:rsid w:val="00FE1726"/>
    <w:rsid w:val="00FE27D2"/>
    <w:rsid w:val="00FE373F"/>
    <w:rsid w:val="00FE49FC"/>
    <w:rsid w:val="00FE53B0"/>
    <w:rsid w:val="00FE7AE8"/>
    <w:rsid w:val="00FF342A"/>
    <w:rsid w:val="00FF35D4"/>
    <w:rsid w:val="00FF385A"/>
    <w:rsid w:val="00FF483E"/>
    <w:rsid w:val="00FF5BA0"/>
    <w:rsid w:val="01F201BE"/>
    <w:rsid w:val="022C15DB"/>
    <w:rsid w:val="02B3368D"/>
    <w:rsid w:val="03F94C7B"/>
    <w:rsid w:val="04F94871"/>
    <w:rsid w:val="055A3013"/>
    <w:rsid w:val="05B70BBC"/>
    <w:rsid w:val="05D02ED6"/>
    <w:rsid w:val="0600266F"/>
    <w:rsid w:val="061471CE"/>
    <w:rsid w:val="06495E9A"/>
    <w:rsid w:val="075B7FC2"/>
    <w:rsid w:val="07F2537D"/>
    <w:rsid w:val="09417621"/>
    <w:rsid w:val="095A0C5C"/>
    <w:rsid w:val="0A3D180F"/>
    <w:rsid w:val="0B335991"/>
    <w:rsid w:val="0B6856A9"/>
    <w:rsid w:val="0B722F10"/>
    <w:rsid w:val="0C1E2363"/>
    <w:rsid w:val="0C58641C"/>
    <w:rsid w:val="0D3A3E29"/>
    <w:rsid w:val="0D4140A9"/>
    <w:rsid w:val="0E1A7433"/>
    <w:rsid w:val="102D798C"/>
    <w:rsid w:val="10F003DD"/>
    <w:rsid w:val="11F37163"/>
    <w:rsid w:val="11F523DA"/>
    <w:rsid w:val="131765B2"/>
    <w:rsid w:val="135B245A"/>
    <w:rsid w:val="13E53204"/>
    <w:rsid w:val="14EE5A53"/>
    <w:rsid w:val="16340C33"/>
    <w:rsid w:val="16C01D7B"/>
    <w:rsid w:val="18D664A4"/>
    <w:rsid w:val="1A1E58F6"/>
    <w:rsid w:val="1A385E64"/>
    <w:rsid w:val="1A611D02"/>
    <w:rsid w:val="1A89791C"/>
    <w:rsid w:val="1B1B5189"/>
    <w:rsid w:val="1B45171E"/>
    <w:rsid w:val="1C4315CB"/>
    <w:rsid w:val="1C582BE6"/>
    <w:rsid w:val="1D6C4F3C"/>
    <w:rsid w:val="1DAC3DFC"/>
    <w:rsid w:val="1DF77393"/>
    <w:rsid w:val="1E873B1B"/>
    <w:rsid w:val="1EB62253"/>
    <w:rsid w:val="1EE970A9"/>
    <w:rsid w:val="1EEB22C1"/>
    <w:rsid w:val="21BA084C"/>
    <w:rsid w:val="21C00211"/>
    <w:rsid w:val="25B80142"/>
    <w:rsid w:val="28865017"/>
    <w:rsid w:val="293C257C"/>
    <w:rsid w:val="29E1482F"/>
    <w:rsid w:val="2A072701"/>
    <w:rsid w:val="2AE930F5"/>
    <w:rsid w:val="2DDB8FB6"/>
    <w:rsid w:val="2FFBD847"/>
    <w:rsid w:val="319310DF"/>
    <w:rsid w:val="32BD12F8"/>
    <w:rsid w:val="32DB394E"/>
    <w:rsid w:val="34531CE3"/>
    <w:rsid w:val="34564689"/>
    <w:rsid w:val="34F12579"/>
    <w:rsid w:val="362D0A86"/>
    <w:rsid w:val="368350C3"/>
    <w:rsid w:val="36AA082C"/>
    <w:rsid w:val="36EC7BD6"/>
    <w:rsid w:val="373735EA"/>
    <w:rsid w:val="393B62D2"/>
    <w:rsid w:val="3A466F17"/>
    <w:rsid w:val="3ACC1178"/>
    <w:rsid w:val="3BC832D0"/>
    <w:rsid w:val="3BFF7D3D"/>
    <w:rsid w:val="3C0E33B1"/>
    <w:rsid w:val="3CA17080"/>
    <w:rsid w:val="3EEA24C6"/>
    <w:rsid w:val="3FC46849"/>
    <w:rsid w:val="403B3DF0"/>
    <w:rsid w:val="40552834"/>
    <w:rsid w:val="419E25C2"/>
    <w:rsid w:val="42805F2B"/>
    <w:rsid w:val="43854DD3"/>
    <w:rsid w:val="4458540B"/>
    <w:rsid w:val="46B678F3"/>
    <w:rsid w:val="486E38F1"/>
    <w:rsid w:val="49290E1E"/>
    <w:rsid w:val="494370CD"/>
    <w:rsid w:val="4A15381C"/>
    <w:rsid w:val="4BBC5E4F"/>
    <w:rsid w:val="4CDD2184"/>
    <w:rsid w:val="4D170188"/>
    <w:rsid w:val="4D622CA8"/>
    <w:rsid w:val="4DDD2929"/>
    <w:rsid w:val="519641CC"/>
    <w:rsid w:val="522B6B75"/>
    <w:rsid w:val="5562537B"/>
    <w:rsid w:val="566B2DBD"/>
    <w:rsid w:val="568860A4"/>
    <w:rsid w:val="569F5874"/>
    <w:rsid w:val="571C5E5C"/>
    <w:rsid w:val="571D4EDF"/>
    <w:rsid w:val="57210DDD"/>
    <w:rsid w:val="58ED21BA"/>
    <w:rsid w:val="599B6730"/>
    <w:rsid w:val="59A10D76"/>
    <w:rsid w:val="5A377AC5"/>
    <w:rsid w:val="5A564F00"/>
    <w:rsid w:val="5A5A16CF"/>
    <w:rsid w:val="5BC25F13"/>
    <w:rsid w:val="5BF1A0C1"/>
    <w:rsid w:val="5C125344"/>
    <w:rsid w:val="5C820D1C"/>
    <w:rsid w:val="5CD74B59"/>
    <w:rsid w:val="5E214250"/>
    <w:rsid w:val="5F080A25"/>
    <w:rsid w:val="601A41C9"/>
    <w:rsid w:val="609D35F7"/>
    <w:rsid w:val="614A46C6"/>
    <w:rsid w:val="61F5227D"/>
    <w:rsid w:val="6244E420"/>
    <w:rsid w:val="62FB499E"/>
    <w:rsid w:val="65DB55EF"/>
    <w:rsid w:val="65F96B62"/>
    <w:rsid w:val="699C6066"/>
    <w:rsid w:val="6A1A43EA"/>
    <w:rsid w:val="6AC3795F"/>
    <w:rsid w:val="6B7600D7"/>
    <w:rsid w:val="6E0658CC"/>
    <w:rsid w:val="71C27370"/>
    <w:rsid w:val="71C902C3"/>
    <w:rsid w:val="71F77488"/>
    <w:rsid w:val="72046A37"/>
    <w:rsid w:val="72083CED"/>
    <w:rsid w:val="7327795C"/>
    <w:rsid w:val="75480B5A"/>
    <w:rsid w:val="756061D8"/>
    <w:rsid w:val="759C3D48"/>
    <w:rsid w:val="75FD1C54"/>
    <w:rsid w:val="762F7615"/>
    <w:rsid w:val="76605D39"/>
    <w:rsid w:val="76FBFEE5"/>
    <w:rsid w:val="77DF1CEC"/>
    <w:rsid w:val="77E653AC"/>
    <w:rsid w:val="79030B6B"/>
    <w:rsid w:val="7AFD02F4"/>
    <w:rsid w:val="7BDD5DC2"/>
    <w:rsid w:val="7D2E0C9A"/>
    <w:rsid w:val="7EFE2697"/>
    <w:rsid w:val="7F273B65"/>
    <w:rsid w:val="7F332767"/>
    <w:rsid w:val="7F3B5754"/>
    <w:rsid w:val="7FF62FFB"/>
    <w:rsid w:val="7FFD9287"/>
    <w:rsid w:val="7FFF14C0"/>
    <w:rsid w:val="7FFF4C41"/>
    <w:rsid w:val="7FFFD811"/>
    <w:rsid w:val="CDD79FE1"/>
    <w:rsid w:val="D95F451D"/>
    <w:rsid w:val="ED2FEFB5"/>
    <w:rsid w:val="ED730984"/>
    <w:rsid w:val="F5BD15C3"/>
    <w:rsid w:val="F95FE90A"/>
    <w:rsid w:val="FC7F65F1"/>
    <w:rsid w:val="FCD667ED"/>
    <w:rsid w:val="FECF7AA1"/>
    <w:rsid w:val="FFCDF2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0" w:name="envelope address"/>
    <w:lsdException w:uiPriority="0" w:name="envelope return"/>
    <w:lsdException w:uiPriority="0" w:name="footnote reference"/>
    <w:lsdException w:qFormat="1" w:uiPriority="99" w:semiHidden="0" w:name="annotation reference"/>
    <w:lsdException w:uiPriority="99" w:name="line number"/>
    <w:lsdException w:uiPriority="0" w:name="page number"/>
    <w:lsdException w:uiPriority="99" w:name="endnote reference"/>
    <w:lsdException w:qFormat="1" w:unhideWhenUsed="0" w:uiPriority="0" w:semiHidden="0" w:name="endnote text"/>
    <w:lsdException w:uiPriority="0" w:name="table of authorities"/>
    <w:lsdException w:uiPriority="99" w:name="macro"/>
    <w:lsdException w:uiPriority="0" w:name="toa heading"/>
    <w:lsdException w:qFormat="1" w:unhideWhenUsed="0" w:uiPriority="0" w:semiHidden="0" w:name="List"/>
    <w:lsdException w:qFormat="1" w:unhideWhenUsed="0" w:uiPriority="0" w:semiHidden="0" w:name="List Bullet"/>
    <w:lsdException w:qFormat="1" w:unhideWhenUsed="0" w:uiPriority="0"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iPriority="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1"/>
    <w:qFormat/>
    <w:uiPriority w:val="0"/>
    <w:pPr>
      <w:keepNext/>
      <w:keepLines/>
      <w:numPr>
        <w:ilvl w:val="0"/>
        <w:numId w:val="1"/>
      </w:numPr>
      <w:spacing w:before="340" w:after="330" w:line="576" w:lineRule="auto"/>
      <w:outlineLvl w:val="0"/>
    </w:pPr>
    <w:rPr>
      <w:b/>
      <w:bCs/>
      <w:kern w:val="44"/>
      <w:sz w:val="44"/>
      <w:szCs w:val="44"/>
    </w:rPr>
  </w:style>
  <w:style w:type="paragraph" w:styleId="3">
    <w:name w:val="heading 2"/>
    <w:basedOn w:val="1"/>
    <w:next w:val="1"/>
    <w:link w:val="52"/>
    <w:qFormat/>
    <w:uiPriority w:val="0"/>
    <w:pPr>
      <w:keepNext/>
      <w:keepLines/>
      <w:numPr>
        <w:ilvl w:val="1"/>
        <w:numId w:val="1"/>
      </w:numPr>
      <w:spacing w:before="260" w:after="260" w:line="415" w:lineRule="auto"/>
      <w:outlineLvl w:val="1"/>
    </w:pPr>
    <w:rPr>
      <w:rFonts w:ascii="Arial" w:hAnsi="Arial" w:eastAsia="黑体"/>
      <w:b/>
      <w:bCs/>
      <w:sz w:val="32"/>
      <w:szCs w:val="32"/>
    </w:rPr>
  </w:style>
  <w:style w:type="paragraph" w:styleId="4">
    <w:name w:val="heading 3"/>
    <w:basedOn w:val="1"/>
    <w:next w:val="1"/>
    <w:link w:val="53"/>
    <w:qFormat/>
    <w:uiPriority w:val="0"/>
    <w:pPr>
      <w:keepNext/>
      <w:keepLines/>
      <w:numPr>
        <w:ilvl w:val="2"/>
        <w:numId w:val="1"/>
      </w:numPr>
      <w:spacing w:before="260" w:after="260" w:line="415" w:lineRule="auto"/>
      <w:outlineLvl w:val="2"/>
    </w:pPr>
    <w:rPr>
      <w:b/>
      <w:bCs/>
      <w:sz w:val="32"/>
      <w:szCs w:val="32"/>
    </w:rPr>
  </w:style>
  <w:style w:type="paragraph" w:styleId="5">
    <w:name w:val="heading 4"/>
    <w:basedOn w:val="1"/>
    <w:next w:val="1"/>
    <w:link w:val="54"/>
    <w:qFormat/>
    <w:uiPriority w:val="0"/>
    <w:pPr>
      <w:keepNext/>
      <w:keepLines/>
      <w:numPr>
        <w:ilvl w:val="3"/>
        <w:numId w:val="1"/>
      </w:numPr>
      <w:autoSpaceDE w:val="0"/>
      <w:autoSpaceDN w:val="0"/>
      <w:adjustRightInd w:val="0"/>
      <w:spacing w:before="280" w:after="290" w:line="374" w:lineRule="auto"/>
      <w:outlineLvl w:val="3"/>
    </w:pPr>
    <w:rPr>
      <w:rFonts w:ascii="Arial" w:hAnsi="Arial" w:eastAsia="黑体"/>
      <w:b/>
      <w:kern w:val="0"/>
      <w:sz w:val="28"/>
      <w:szCs w:val="20"/>
    </w:rPr>
  </w:style>
  <w:style w:type="paragraph" w:styleId="6">
    <w:name w:val="heading 5"/>
    <w:basedOn w:val="1"/>
    <w:next w:val="1"/>
    <w:link w:val="55"/>
    <w:qFormat/>
    <w:uiPriority w:val="0"/>
    <w:pPr>
      <w:keepNext/>
      <w:keepLines/>
      <w:numPr>
        <w:ilvl w:val="4"/>
        <w:numId w:val="1"/>
      </w:numPr>
      <w:autoSpaceDE w:val="0"/>
      <w:autoSpaceDN w:val="0"/>
      <w:adjustRightInd w:val="0"/>
      <w:spacing w:before="280" w:after="290" w:line="374" w:lineRule="auto"/>
      <w:outlineLvl w:val="4"/>
    </w:pPr>
    <w:rPr>
      <w:rFonts w:hint="eastAsia" w:ascii="宋体"/>
      <w:b/>
      <w:kern w:val="0"/>
      <w:sz w:val="28"/>
      <w:szCs w:val="20"/>
    </w:rPr>
  </w:style>
  <w:style w:type="paragraph" w:styleId="7">
    <w:name w:val="heading 6"/>
    <w:basedOn w:val="1"/>
    <w:next w:val="1"/>
    <w:link w:val="56"/>
    <w:qFormat/>
    <w:uiPriority w:val="0"/>
    <w:pPr>
      <w:keepNext/>
      <w:keepLines/>
      <w:numPr>
        <w:ilvl w:val="5"/>
        <w:numId w:val="1"/>
      </w:numPr>
      <w:autoSpaceDE w:val="0"/>
      <w:autoSpaceDN w:val="0"/>
      <w:adjustRightInd w:val="0"/>
      <w:spacing w:before="240" w:after="64" w:line="319" w:lineRule="auto"/>
      <w:outlineLvl w:val="5"/>
    </w:pPr>
    <w:rPr>
      <w:rFonts w:ascii="Arial" w:hAnsi="Arial" w:eastAsia="黑体"/>
      <w:b/>
      <w:kern w:val="0"/>
      <w:sz w:val="24"/>
      <w:szCs w:val="20"/>
    </w:rPr>
  </w:style>
  <w:style w:type="paragraph" w:styleId="8">
    <w:name w:val="heading 7"/>
    <w:basedOn w:val="1"/>
    <w:next w:val="1"/>
    <w:link w:val="57"/>
    <w:qFormat/>
    <w:uiPriority w:val="0"/>
    <w:pPr>
      <w:keepNext/>
      <w:keepLines/>
      <w:numPr>
        <w:ilvl w:val="6"/>
        <w:numId w:val="1"/>
      </w:numPr>
      <w:autoSpaceDE w:val="0"/>
      <w:autoSpaceDN w:val="0"/>
      <w:adjustRightInd w:val="0"/>
      <w:spacing w:before="240" w:after="64" w:line="319" w:lineRule="auto"/>
      <w:outlineLvl w:val="6"/>
    </w:pPr>
    <w:rPr>
      <w:rFonts w:hint="eastAsia" w:ascii="宋体"/>
      <w:b/>
      <w:kern w:val="0"/>
      <w:sz w:val="24"/>
      <w:szCs w:val="20"/>
    </w:rPr>
  </w:style>
  <w:style w:type="paragraph" w:styleId="9">
    <w:name w:val="heading 8"/>
    <w:basedOn w:val="1"/>
    <w:next w:val="1"/>
    <w:link w:val="58"/>
    <w:qFormat/>
    <w:uiPriority w:val="0"/>
    <w:pPr>
      <w:keepNext/>
      <w:keepLines/>
      <w:numPr>
        <w:ilvl w:val="7"/>
        <w:numId w:val="1"/>
      </w:numPr>
      <w:autoSpaceDE w:val="0"/>
      <w:autoSpaceDN w:val="0"/>
      <w:adjustRightInd w:val="0"/>
      <w:spacing w:before="240" w:after="64" w:line="319" w:lineRule="auto"/>
      <w:outlineLvl w:val="7"/>
    </w:pPr>
    <w:rPr>
      <w:rFonts w:ascii="Arial" w:hAnsi="Arial" w:eastAsia="黑体"/>
      <w:kern w:val="0"/>
      <w:sz w:val="24"/>
      <w:szCs w:val="20"/>
    </w:rPr>
  </w:style>
  <w:style w:type="paragraph" w:styleId="10">
    <w:name w:val="heading 9"/>
    <w:basedOn w:val="1"/>
    <w:next w:val="1"/>
    <w:link w:val="59"/>
    <w:qFormat/>
    <w:uiPriority w:val="0"/>
    <w:pPr>
      <w:keepNext/>
      <w:keepLines/>
      <w:numPr>
        <w:ilvl w:val="8"/>
        <w:numId w:val="1"/>
      </w:numPr>
      <w:autoSpaceDE w:val="0"/>
      <w:autoSpaceDN w:val="0"/>
      <w:adjustRightInd w:val="0"/>
      <w:spacing w:before="240" w:after="64" w:line="319" w:lineRule="auto"/>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E-mail Signature"/>
    <w:basedOn w:val="1"/>
    <w:link w:val="134"/>
    <w:qFormat/>
    <w:uiPriority w:val="0"/>
    <w:pPr>
      <w:widowControl/>
    </w:pPr>
    <w:rPr>
      <w:kern w:val="0"/>
      <w:szCs w:val="21"/>
    </w:rPr>
  </w:style>
  <w:style w:type="paragraph" w:styleId="12">
    <w:name w:val="List Number"/>
    <w:basedOn w:val="13"/>
    <w:qFormat/>
    <w:uiPriority w:val="0"/>
    <w:pPr>
      <w:numPr>
        <w:ilvl w:val="0"/>
        <w:numId w:val="2"/>
      </w:numPr>
      <w:ind w:right="720"/>
    </w:pPr>
  </w:style>
  <w:style w:type="paragraph" w:styleId="13">
    <w:name w:val="List"/>
    <w:basedOn w:val="14"/>
    <w:qFormat/>
    <w:uiPriority w:val="0"/>
    <w:pPr>
      <w:widowControl/>
      <w:spacing w:after="240" w:line="240" w:lineRule="atLeast"/>
      <w:ind w:left="720" w:hanging="360"/>
      <w:jc w:val="left"/>
    </w:pPr>
    <w:rPr>
      <w:rFonts w:eastAsia="PMingLiU"/>
      <w:kern w:val="0"/>
      <w:szCs w:val="20"/>
      <w:lang w:eastAsia="en-US"/>
    </w:rPr>
  </w:style>
  <w:style w:type="paragraph" w:styleId="14">
    <w:name w:val="Body Text"/>
    <w:basedOn w:val="1"/>
    <w:link w:val="66"/>
    <w:qFormat/>
    <w:uiPriority w:val="0"/>
    <w:pPr>
      <w:spacing w:line="360" w:lineRule="auto"/>
    </w:pPr>
    <w:rPr>
      <w:sz w:val="24"/>
    </w:rPr>
  </w:style>
  <w:style w:type="paragraph" w:styleId="15">
    <w:name w:val="Normal Indent"/>
    <w:basedOn w:val="1"/>
    <w:qFormat/>
    <w:uiPriority w:val="99"/>
    <w:pPr>
      <w:ind w:firstLine="420"/>
    </w:pPr>
    <w:rPr>
      <w:szCs w:val="20"/>
    </w:rPr>
  </w:style>
  <w:style w:type="paragraph" w:styleId="16">
    <w:name w:val="caption"/>
    <w:basedOn w:val="1"/>
    <w:next w:val="1"/>
    <w:qFormat/>
    <w:uiPriority w:val="0"/>
    <w:pPr>
      <w:adjustRightInd w:val="0"/>
      <w:spacing w:before="152" w:after="160" w:line="360" w:lineRule="auto"/>
      <w:ind w:firstLine="567" w:firstLineChars="200"/>
    </w:pPr>
    <w:rPr>
      <w:rFonts w:ascii="Arial" w:hAnsi="Arial" w:eastAsia="黑体"/>
      <w:sz w:val="24"/>
      <w:szCs w:val="20"/>
    </w:rPr>
  </w:style>
  <w:style w:type="paragraph" w:styleId="17">
    <w:name w:val="List Bullet"/>
    <w:basedOn w:val="13"/>
    <w:qFormat/>
    <w:uiPriority w:val="0"/>
    <w:pPr>
      <w:numPr>
        <w:ilvl w:val="0"/>
        <w:numId w:val="3"/>
      </w:numPr>
      <w:ind w:right="720"/>
    </w:pPr>
  </w:style>
  <w:style w:type="paragraph" w:styleId="18">
    <w:name w:val="Document Map"/>
    <w:basedOn w:val="1"/>
    <w:link w:val="73"/>
    <w:qFormat/>
    <w:uiPriority w:val="0"/>
    <w:pPr>
      <w:shd w:val="clear" w:color="auto" w:fill="000080"/>
    </w:pPr>
  </w:style>
  <w:style w:type="paragraph" w:styleId="19">
    <w:name w:val="annotation text"/>
    <w:basedOn w:val="1"/>
    <w:link w:val="62"/>
    <w:qFormat/>
    <w:uiPriority w:val="99"/>
    <w:pPr>
      <w:jc w:val="left"/>
    </w:pPr>
    <w:rPr>
      <w:sz w:val="24"/>
      <w:szCs w:val="20"/>
    </w:rPr>
  </w:style>
  <w:style w:type="paragraph" w:styleId="20">
    <w:name w:val="Salutation"/>
    <w:basedOn w:val="1"/>
    <w:next w:val="1"/>
    <w:link w:val="153"/>
    <w:qFormat/>
    <w:uiPriority w:val="0"/>
  </w:style>
  <w:style w:type="paragraph" w:styleId="21">
    <w:name w:val="Body Text 3"/>
    <w:basedOn w:val="1"/>
    <w:link w:val="70"/>
    <w:qFormat/>
    <w:uiPriority w:val="0"/>
    <w:pPr>
      <w:autoSpaceDE w:val="0"/>
      <w:autoSpaceDN w:val="0"/>
      <w:adjustRightInd w:val="0"/>
      <w:spacing w:after="120" w:line="360" w:lineRule="auto"/>
    </w:pPr>
    <w:rPr>
      <w:kern w:val="0"/>
      <w:sz w:val="24"/>
      <w:szCs w:val="20"/>
      <w:u w:val="single"/>
    </w:rPr>
  </w:style>
  <w:style w:type="paragraph" w:styleId="22">
    <w:name w:val="Body Text Indent"/>
    <w:basedOn w:val="1"/>
    <w:link w:val="67"/>
    <w:qFormat/>
    <w:uiPriority w:val="0"/>
    <w:pPr>
      <w:autoSpaceDE w:val="0"/>
      <w:autoSpaceDN w:val="0"/>
      <w:adjustRightInd w:val="0"/>
      <w:spacing w:after="120" w:line="440" w:lineRule="atLeast"/>
      <w:ind w:firstLine="539"/>
    </w:pPr>
    <w:rPr>
      <w:rFonts w:hint="eastAsia" w:ascii="宋体"/>
      <w:kern w:val="0"/>
      <w:sz w:val="24"/>
      <w:szCs w:val="20"/>
    </w:rPr>
  </w:style>
  <w:style w:type="paragraph" w:styleId="23">
    <w:name w:val="toc 3"/>
    <w:basedOn w:val="1"/>
    <w:next w:val="1"/>
    <w:qFormat/>
    <w:uiPriority w:val="39"/>
    <w:pPr>
      <w:ind w:left="420"/>
      <w:jc w:val="left"/>
    </w:pPr>
    <w:rPr>
      <w:szCs w:val="21"/>
    </w:rPr>
  </w:style>
  <w:style w:type="paragraph" w:styleId="24">
    <w:name w:val="Plain Text"/>
    <w:basedOn w:val="1"/>
    <w:link w:val="74"/>
    <w:qFormat/>
    <w:uiPriority w:val="0"/>
    <w:rPr>
      <w:rFonts w:hint="eastAsia" w:ascii="宋体" w:hAnsi="Courier New"/>
      <w:szCs w:val="20"/>
    </w:rPr>
  </w:style>
  <w:style w:type="paragraph" w:styleId="25">
    <w:name w:val="Date"/>
    <w:basedOn w:val="1"/>
    <w:next w:val="1"/>
    <w:link w:val="68"/>
    <w:qFormat/>
    <w:uiPriority w:val="0"/>
    <w:pPr>
      <w:ind w:left="2500" w:leftChars="2500"/>
    </w:pPr>
    <w:rPr>
      <w:rFonts w:hint="eastAsia" w:ascii="宋体" w:hAnsi="宋体" w:eastAsia="仿宋_GB2312"/>
      <w:sz w:val="28"/>
    </w:rPr>
  </w:style>
  <w:style w:type="paragraph" w:styleId="26">
    <w:name w:val="Body Text Indent 2"/>
    <w:basedOn w:val="1"/>
    <w:link w:val="71"/>
    <w:qFormat/>
    <w:uiPriority w:val="0"/>
    <w:pPr>
      <w:spacing w:line="360" w:lineRule="auto"/>
      <w:ind w:firstLine="560" w:firstLineChars="200"/>
    </w:pPr>
    <w:rPr>
      <w:rFonts w:eastAsia="仿宋_GB2312"/>
      <w:sz w:val="28"/>
    </w:rPr>
  </w:style>
  <w:style w:type="paragraph" w:styleId="27">
    <w:name w:val="endnote text"/>
    <w:basedOn w:val="28"/>
    <w:link w:val="129"/>
    <w:qFormat/>
    <w:uiPriority w:val="0"/>
    <w:pPr>
      <w:spacing w:line="240" w:lineRule="auto"/>
      <w:ind w:left="720" w:hanging="720"/>
    </w:pPr>
    <w:rPr>
      <w:sz w:val="16"/>
    </w:rPr>
  </w:style>
  <w:style w:type="paragraph" w:customStyle="1" w:styleId="28">
    <w:name w:val="AONormal"/>
    <w:qFormat/>
    <w:uiPriority w:val="0"/>
    <w:pPr>
      <w:spacing w:line="260" w:lineRule="atLeast"/>
    </w:pPr>
    <w:rPr>
      <w:rFonts w:ascii="Times New Roman" w:hAnsi="Times New Roman" w:eastAsia="宋体" w:cs="Times New Roman"/>
      <w:sz w:val="22"/>
      <w:szCs w:val="22"/>
      <w:lang w:val="en-GB" w:eastAsia="en-US" w:bidi="ar-SA"/>
    </w:rPr>
  </w:style>
  <w:style w:type="paragraph" w:styleId="29">
    <w:name w:val="Balloon Text"/>
    <w:basedOn w:val="1"/>
    <w:link w:val="76"/>
    <w:qFormat/>
    <w:uiPriority w:val="99"/>
    <w:rPr>
      <w:sz w:val="18"/>
      <w:szCs w:val="18"/>
    </w:rPr>
  </w:style>
  <w:style w:type="paragraph" w:styleId="30">
    <w:name w:val="footer"/>
    <w:basedOn w:val="1"/>
    <w:link w:val="64"/>
    <w:qFormat/>
    <w:uiPriority w:val="99"/>
    <w:pPr>
      <w:tabs>
        <w:tab w:val="center" w:pos="4153"/>
        <w:tab w:val="right" w:pos="8306"/>
      </w:tabs>
      <w:snapToGrid w:val="0"/>
      <w:jc w:val="left"/>
    </w:pPr>
    <w:rPr>
      <w:sz w:val="18"/>
      <w:szCs w:val="18"/>
    </w:rPr>
  </w:style>
  <w:style w:type="paragraph" w:styleId="31">
    <w:name w:val="header"/>
    <w:basedOn w:val="1"/>
    <w:link w:val="63"/>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510"/>
        <w:tab w:val="left" w:pos="709"/>
        <w:tab w:val="right" w:leader="dot" w:pos="8296"/>
      </w:tabs>
      <w:spacing w:line="276" w:lineRule="auto"/>
      <w:ind w:firstLine="207" w:firstLineChars="98"/>
      <w:jc w:val="center"/>
    </w:pPr>
    <w:rPr>
      <w:rFonts w:ascii="宋体" w:hAnsi="宋体"/>
      <w:b/>
      <w:bCs/>
      <w:color w:val="000000"/>
    </w:rPr>
  </w:style>
  <w:style w:type="paragraph" w:styleId="33">
    <w:name w:val="Subtitle"/>
    <w:basedOn w:val="3"/>
    <w:next w:val="4"/>
    <w:link w:val="142"/>
    <w:qFormat/>
    <w:uiPriority w:val="0"/>
    <w:pPr>
      <w:numPr>
        <w:ilvl w:val="0"/>
        <w:numId w:val="0"/>
      </w:numPr>
      <w:spacing w:before="240" w:after="60" w:line="312" w:lineRule="auto"/>
      <w:jc w:val="left"/>
    </w:pPr>
    <w:rPr>
      <w:rFonts w:ascii="Cambria" w:hAnsi="Cambria" w:eastAsia="宋体"/>
      <w:bCs w:val="0"/>
      <w:kern w:val="28"/>
      <w:sz w:val="24"/>
    </w:rPr>
  </w:style>
  <w:style w:type="paragraph" w:styleId="34">
    <w:name w:val="footnote text"/>
    <w:basedOn w:val="1"/>
    <w:link w:val="61"/>
    <w:qFormat/>
    <w:uiPriority w:val="0"/>
    <w:pPr>
      <w:snapToGrid w:val="0"/>
      <w:jc w:val="left"/>
    </w:pPr>
    <w:rPr>
      <w:sz w:val="18"/>
      <w:szCs w:val="18"/>
    </w:rPr>
  </w:style>
  <w:style w:type="paragraph" w:styleId="35">
    <w:name w:val="Body Text Indent 3"/>
    <w:basedOn w:val="1"/>
    <w:link w:val="72"/>
    <w:qFormat/>
    <w:uiPriority w:val="0"/>
    <w:pPr>
      <w:spacing w:line="400" w:lineRule="atLeast"/>
      <w:ind w:firstLine="600"/>
    </w:pPr>
    <w:rPr>
      <w:rFonts w:hint="eastAsia" w:ascii="宋体"/>
      <w:sz w:val="28"/>
      <w:szCs w:val="20"/>
    </w:rPr>
  </w:style>
  <w:style w:type="paragraph" w:styleId="36">
    <w:name w:val="toc 2"/>
    <w:basedOn w:val="1"/>
    <w:next w:val="1"/>
    <w:qFormat/>
    <w:uiPriority w:val="39"/>
    <w:pPr>
      <w:tabs>
        <w:tab w:val="left" w:pos="840"/>
        <w:tab w:val="left" w:pos="1560"/>
        <w:tab w:val="right" w:leader="dot" w:pos="8296"/>
      </w:tabs>
      <w:spacing w:line="276" w:lineRule="auto"/>
      <w:ind w:left="210"/>
      <w:jc w:val="left"/>
    </w:pPr>
  </w:style>
  <w:style w:type="paragraph" w:styleId="37">
    <w:name w:val="Body Text 2"/>
    <w:basedOn w:val="1"/>
    <w:link w:val="69"/>
    <w:qFormat/>
    <w:uiPriority w:val="0"/>
    <w:rPr>
      <w:sz w:val="28"/>
      <w:szCs w:val="20"/>
    </w:rPr>
  </w:style>
  <w:style w:type="paragraph" w:styleId="38">
    <w:name w:val="HTML Preformatted"/>
    <w:basedOn w:val="1"/>
    <w:link w:val="13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s="Arial Unicode MS"/>
      <w:kern w:val="0"/>
      <w:sz w:val="20"/>
      <w:szCs w:val="20"/>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Title"/>
    <w:basedOn w:val="1"/>
    <w:link w:val="65"/>
    <w:qFormat/>
    <w:uiPriority w:val="0"/>
    <w:pPr>
      <w:spacing w:before="240" w:after="60" w:line="360" w:lineRule="auto"/>
      <w:ind w:firstLine="425"/>
      <w:jc w:val="center"/>
      <w:outlineLvl w:val="0"/>
    </w:pPr>
    <w:rPr>
      <w:rFonts w:ascii="Arial" w:hAnsi="Arial"/>
      <w:b/>
      <w:sz w:val="32"/>
      <w:szCs w:val="20"/>
    </w:rPr>
  </w:style>
  <w:style w:type="paragraph" w:styleId="41">
    <w:name w:val="annotation subject"/>
    <w:basedOn w:val="19"/>
    <w:next w:val="19"/>
    <w:link w:val="78"/>
    <w:qFormat/>
    <w:uiPriority w:val="0"/>
    <w:rPr>
      <w:b/>
      <w:bCs/>
      <w:sz w:val="21"/>
      <w:szCs w:val="24"/>
    </w:rPr>
  </w:style>
  <w:style w:type="paragraph" w:styleId="42">
    <w:name w:val="Body Text First Indent"/>
    <w:basedOn w:val="14"/>
    <w:link w:val="135"/>
    <w:qFormat/>
    <w:uiPriority w:val="0"/>
    <w:pPr>
      <w:spacing w:after="120" w:line="240" w:lineRule="auto"/>
      <w:ind w:firstLine="420" w:firstLineChars="100"/>
    </w:pPr>
  </w:style>
  <w:style w:type="table" w:styleId="44">
    <w:name w:val="Table Grid"/>
    <w:basedOn w:val="4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basedOn w:val="45"/>
    <w:qFormat/>
    <w:uiPriority w:val="22"/>
    <w:rPr>
      <w:b/>
      <w:bCs/>
    </w:rPr>
  </w:style>
  <w:style w:type="character" w:styleId="47">
    <w:name w:val="FollowedHyperlink"/>
    <w:basedOn w:val="45"/>
    <w:semiHidden/>
    <w:unhideWhenUsed/>
    <w:qFormat/>
    <w:uiPriority w:val="0"/>
    <w:rPr>
      <w:color w:val="800080" w:themeColor="followedHyperlink"/>
      <w:u w:val="single"/>
      <w14:textFill>
        <w14:solidFill>
          <w14:schemeClr w14:val="folHlink"/>
        </w14:solidFill>
      </w14:textFill>
    </w:rPr>
  </w:style>
  <w:style w:type="character" w:styleId="48">
    <w:name w:val="Emphasis"/>
    <w:basedOn w:val="45"/>
    <w:qFormat/>
    <w:uiPriority w:val="0"/>
    <w:rPr>
      <w:i/>
      <w:iCs/>
    </w:rPr>
  </w:style>
  <w:style w:type="character" w:styleId="49">
    <w:name w:val="Hyperlink"/>
    <w:basedOn w:val="45"/>
    <w:unhideWhenUsed/>
    <w:qFormat/>
    <w:uiPriority w:val="99"/>
    <w:rPr>
      <w:color w:val="0000FF"/>
      <w:u w:val="single"/>
    </w:rPr>
  </w:style>
  <w:style w:type="character" w:styleId="50">
    <w:name w:val="annotation reference"/>
    <w:basedOn w:val="45"/>
    <w:unhideWhenUsed/>
    <w:qFormat/>
    <w:uiPriority w:val="99"/>
    <w:rPr>
      <w:sz w:val="21"/>
      <w:szCs w:val="21"/>
    </w:rPr>
  </w:style>
  <w:style w:type="character" w:customStyle="1" w:styleId="51">
    <w:name w:val="标题 1 字符"/>
    <w:basedOn w:val="45"/>
    <w:link w:val="2"/>
    <w:qFormat/>
    <w:uiPriority w:val="0"/>
    <w:rPr>
      <w:rFonts w:ascii="Times New Roman" w:hAnsi="Times New Roman"/>
      <w:b/>
      <w:bCs/>
      <w:kern w:val="44"/>
      <w:sz w:val="44"/>
      <w:szCs w:val="44"/>
    </w:rPr>
  </w:style>
  <w:style w:type="character" w:customStyle="1" w:styleId="52">
    <w:name w:val="标题 2 字符"/>
    <w:basedOn w:val="45"/>
    <w:link w:val="3"/>
    <w:qFormat/>
    <w:uiPriority w:val="0"/>
    <w:rPr>
      <w:rFonts w:ascii="Arial" w:hAnsi="Arial" w:eastAsia="黑体"/>
      <w:b/>
      <w:bCs/>
      <w:kern w:val="2"/>
      <w:sz w:val="32"/>
      <w:szCs w:val="32"/>
    </w:rPr>
  </w:style>
  <w:style w:type="character" w:customStyle="1" w:styleId="53">
    <w:name w:val="标题 3 字符"/>
    <w:basedOn w:val="45"/>
    <w:link w:val="4"/>
    <w:qFormat/>
    <w:uiPriority w:val="0"/>
    <w:rPr>
      <w:rFonts w:ascii="Times New Roman" w:hAnsi="Times New Roman"/>
      <w:b/>
      <w:bCs/>
      <w:kern w:val="2"/>
      <w:sz w:val="32"/>
      <w:szCs w:val="32"/>
    </w:rPr>
  </w:style>
  <w:style w:type="character" w:customStyle="1" w:styleId="54">
    <w:name w:val="标题 4 字符"/>
    <w:basedOn w:val="45"/>
    <w:link w:val="5"/>
    <w:qFormat/>
    <w:uiPriority w:val="0"/>
    <w:rPr>
      <w:rFonts w:ascii="Arial" w:hAnsi="Arial" w:eastAsia="黑体"/>
      <w:b/>
      <w:sz w:val="28"/>
    </w:rPr>
  </w:style>
  <w:style w:type="character" w:customStyle="1" w:styleId="55">
    <w:name w:val="标题 5 字符"/>
    <w:basedOn w:val="45"/>
    <w:link w:val="6"/>
    <w:qFormat/>
    <w:uiPriority w:val="0"/>
    <w:rPr>
      <w:rFonts w:ascii="宋体" w:hAnsi="Times New Roman"/>
      <w:b/>
      <w:sz w:val="28"/>
    </w:rPr>
  </w:style>
  <w:style w:type="character" w:customStyle="1" w:styleId="56">
    <w:name w:val="标题 6 字符"/>
    <w:basedOn w:val="45"/>
    <w:link w:val="7"/>
    <w:qFormat/>
    <w:uiPriority w:val="0"/>
    <w:rPr>
      <w:rFonts w:ascii="Arial" w:hAnsi="Arial" w:eastAsia="黑体"/>
      <w:b/>
      <w:sz w:val="24"/>
    </w:rPr>
  </w:style>
  <w:style w:type="character" w:customStyle="1" w:styleId="57">
    <w:name w:val="标题 7 字符"/>
    <w:basedOn w:val="45"/>
    <w:link w:val="8"/>
    <w:qFormat/>
    <w:uiPriority w:val="0"/>
    <w:rPr>
      <w:rFonts w:ascii="宋体" w:hAnsi="Times New Roman"/>
      <w:b/>
      <w:sz w:val="24"/>
    </w:rPr>
  </w:style>
  <w:style w:type="character" w:customStyle="1" w:styleId="58">
    <w:name w:val="标题 8 字符"/>
    <w:basedOn w:val="45"/>
    <w:link w:val="9"/>
    <w:qFormat/>
    <w:uiPriority w:val="0"/>
    <w:rPr>
      <w:rFonts w:ascii="Arial" w:hAnsi="Arial" w:eastAsia="黑体"/>
      <w:sz w:val="24"/>
    </w:rPr>
  </w:style>
  <w:style w:type="character" w:customStyle="1" w:styleId="59">
    <w:name w:val="标题 9 字符"/>
    <w:basedOn w:val="45"/>
    <w:link w:val="10"/>
    <w:qFormat/>
    <w:uiPriority w:val="0"/>
    <w:rPr>
      <w:rFonts w:ascii="Arial" w:hAnsi="Arial" w:eastAsia="黑体"/>
      <w:sz w:val="21"/>
    </w:rPr>
  </w:style>
  <w:style w:type="paragraph" w:customStyle="1" w:styleId="60">
    <w:name w:val="默认段落字体 Para Char"/>
    <w:basedOn w:val="1"/>
    <w:qFormat/>
    <w:uiPriority w:val="0"/>
    <w:pPr>
      <w:numPr>
        <w:ilvl w:val="0"/>
        <w:numId w:val="4"/>
      </w:numPr>
      <w:tabs>
        <w:tab w:val="left" w:pos="360"/>
        <w:tab w:val="clear" w:pos="870"/>
      </w:tabs>
      <w:ind w:left="0" w:firstLine="0"/>
    </w:pPr>
    <w:rPr>
      <w:sz w:val="24"/>
    </w:rPr>
  </w:style>
  <w:style w:type="character" w:customStyle="1" w:styleId="61">
    <w:name w:val="脚注文本 字符"/>
    <w:basedOn w:val="45"/>
    <w:link w:val="34"/>
    <w:qFormat/>
    <w:uiPriority w:val="0"/>
    <w:rPr>
      <w:rFonts w:ascii="Times New Roman" w:hAnsi="Times New Roman" w:eastAsia="宋体" w:cs="Times New Roman"/>
      <w:sz w:val="18"/>
      <w:szCs w:val="18"/>
    </w:rPr>
  </w:style>
  <w:style w:type="character" w:customStyle="1" w:styleId="62">
    <w:name w:val="批注文字 字符"/>
    <w:basedOn w:val="45"/>
    <w:link w:val="19"/>
    <w:qFormat/>
    <w:uiPriority w:val="99"/>
    <w:rPr>
      <w:rFonts w:ascii="Times New Roman" w:hAnsi="Times New Roman" w:eastAsia="宋体" w:cs="Times New Roman"/>
      <w:sz w:val="24"/>
      <w:szCs w:val="20"/>
    </w:rPr>
  </w:style>
  <w:style w:type="character" w:customStyle="1" w:styleId="63">
    <w:name w:val="页眉 字符"/>
    <w:basedOn w:val="45"/>
    <w:link w:val="31"/>
    <w:qFormat/>
    <w:uiPriority w:val="0"/>
    <w:rPr>
      <w:rFonts w:ascii="Times New Roman" w:hAnsi="Times New Roman" w:eastAsia="宋体" w:cs="Times New Roman"/>
      <w:sz w:val="18"/>
      <w:szCs w:val="18"/>
    </w:rPr>
  </w:style>
  <w:style w:type="character" w:customStyle="1" w:styleId="64">
    <w:name w:val="页脚 字符"/>
    <w:basedOn w:val="45"/>
    <w:link w:val="30"/>
    <w:qFormat/>
    <w:uiPriority w:val="99"/>
    <w:rPr>
      <w:rFonts w:ascii="Times New Roman" w:hAnsi="Times New Roman" w:eastAsia="宋体" w:cs="Times New Roman"/>
      <w:sz w:val="18"/>
      <w:szCs w:val="18"/>
    </w:rPr>
  </w:style>
  <w:style w:type="character" w:customStyle="1" w:styleId="65">
    <w:name w:val="标题 字符"/>
    <w:basedOn w:val="45"/>
    <w:link w:val="40"/>
    <w:qFormat/>
    <w:uiPriority w:val="0"/>
    <w:rPr>
      <w:rFonts w:ascii="Arial" w:hAnsi="Arial" w:eastAsia="宋体" w:cs="Times New Roman"/>
      <w:b/>
      <w:sz w:val="32"/>
      <w:szCs w:val="20"/>
    </w:rPr>
  </w:style>
  <w:style w:type="character" w:customStyle="1" w:styleId="66">
    <w:name w:val="正文文本 字符"/>
    <w:basedOn w:val="45"/>
    <w:link w:val="14"/>
    <w:qFormat/>
    <w:uiPriority w:val="0"/>
    <w:rPr>
      <w:rFonts w:ascii="Times New Roman" w:hAnsi="Times New Roman" w:eastAsia="宋体" w:cs="Times New Roman"/>
      <w:sz w:val="24"/>
      <w:szCs w:val="24"/>
    </w:rPr>
  </w:style>
  <w:style w:type="character" w:customStyle="1" w:styleId="67">
    <w:name w:val="正文文本缩进 字符"/>
    <w:basedOn w:val="45"/>
    <w:link w:val="22"/>
    <w:qFormat/>
    <w:uiPriority w:val="0"/>
    <w:rPr>
      <w:rFonts w:ascii="宋体" w:hAnsi="Times New Roman" w:eastAsia="宋体" w:cs="Times New Roman"/>
      <w:kern w:val="0"/>
      <w:sz w:val="24"/>
      <w:szCs w:val="20"/>
    </w:rPr>
  </w:style>
  <w:style w:type="character" w:customStyle="1" w:styleId="68">
    <w:name w:val="日期 字符"/>
    <w:basedOn w:val="45"/>
    <w:link w:val="25"/>
    <w:qFormat/>
    <w:uiPriority w:val="0"/>
    <w:rPr>
      <w:rFonts w:ascii="宋体" w:hAnsi="宋体" w:eastAsia="仿宋_GB2312" w:cs="Times New Roman"/>
      <w:sz w:val="28"/>
      <w:szCs w:val="24"/>
    </w:rPr>
  </w:style>
  <w:style w:type="character" w:customStyle="1" w:styleId="69">
    <w:name w:val="正文文本 2 字符"/>
    <w:basedOn w:val="45"/>
    <w:link w:val="37"/>
    <w:qFormat/>
    <w:uiPriority w:val="0"/>
    <w:rPr>
      <w:rFonts w:ascii="Times New Roman" w:hAnsi="Times New Roman" w:eastAsia="宋体" w:cs="Times New Roman"/>
      <w:sz w:val="28"/>
      <w:szCs w:val="20"/>
    </w:rPr>
  </w:style>
  <w:style w:type="character" w:customStyle="1" w:styleId="70">
    <w:name w:val="正文文本 3 字符"/>
    <w:basedOn w:val="45"/>
    <w:link w:val="21"/>
    <w:qFormat/>
    <w:uiPriority w:val="0"/>
    <w:rPr>
      <w:rFonts w:ascii="Times New Roman" w:hAnsi="Times New Roman" w:eastAsia="宋体" w:cs="Times New Roman"/>
      <w:kern w:val="0"/>
      <w:sz w:val="24"/>
      <w:szCs w:val="20"/>
      <w:u w:val="single"/>
    </w:rPr>
  </w:style>
  <w:style w:type="character" w:customStyle="1" w:styleId="71">
    <w:name w:val="正文文本缩进 2 字符"/>
    <w:basedOn w:val="45"/>
    <w:link w:val="26"/>
    <w:qFormat/>
    <w:uiPriority w:val="0"/>
    <w:rPr>
      <w:rFonts w:ascii="Times New Roman" w:hAnsi="Times New Roman" w:eastAsia="仿宋_GB2312" w:cs="Times New Roman"/>
      <w:sz w:val="28"/>
      <w:szCs w:val="24"/>
    </w:rPr>
  </w:style>
  <w:style w:type="character" w:customStyle="1" w:styleId="72">
    <w:name w:val="正文文本缩进 3 字符"/>
    <w:basedOn w:val="45"/>
    <w:link w:val="35"/>
    <w:qFormat/>
    <w:uiPriority w:val="0"/>
    <w:rPr>
      <w:rFonts w:ascii="宋体" w:hAnsi="Times New Roman" w:eastAsia="宋体" w:cs="Times New Roman"/>
      <w:sz w:val="28"/>
      <w:szCs w:val="20"/>
    </w:rPr>
  </w:style>
  <w:style w:type="character" w:customStyle="1" w:styleId="73">
    <w:name w:val="文档结构图 字符"/>
    <w:basedOn w:val="45"/>
    <w:link w:val="18"/>
    <w:qFormat/>
    <w:uiPriority w:val="0"/>
    <w:rPr>
      <w:rFonts w:ascii="Times New Roman" w:hAnsi="Times New Roman" w:eastAsia="宋体" w:cs="Times New Roman"/>
      <w:szCs w:val="24"/>
      <w:shd w:val="clear" w:color="auto" w:fill="000080"/>
    </w:rPr>
  </w:style>
  <w:style w:type="character" w:customStyle="1" w:styleId="74">
    <w:name w:val="纯文本 字符"/>
    <w:basedOn w:val="45"/>
    <w:link w:val="24"/>
    <w:qFormat/>
    <w:uiPriority w:val="0"/>
    <w:rPr>
      <w:rFonts w:ascii="宋体" w:hAnsi="Courier New" w:eastAsia="宋体" w:cs="Times New Roman"/>
      <w:szCs w:val="20"/>
    </w:rPr>
  </w:style>
  <w:style w:type="paragraph" w:customStyle="1" w:styleId="75">
    <w:name w:val="列表2"/>
    <w:basedOn w:val="1"/>
    <w:next w:val="40"/>
    <w:qFormat/>
    <w:uiPriority w:val="0"/>
    <w:pPr>
      <w:numPr>
        <w:ilvl w:val="0"/>
        <w:numId w:val="5"/>
      </w:numPr>
      <w:spacing w:line="360" w:lineRule="auto"/>
    </w:pPr>
    <w:rPr>
      <w:szCs w:val="20"/>
    </w:rPr>
  </w:style>
  <w:style w:type="character" w:customStyle="1" w:styleId="76">
    <w:name w:val="批注框文本 字符"/>
    <w:basedOn w:val="45"/>
    <w:link w:val="29"/>
    <w:qFormat/>
    <w:uiPriority w:val="99"/>
    <w:rPr>
      <w:rFonts w:ascii="Times New Roman" w:hAnsi="Times New Roman" w:eastAsia="宋体" w:cs="Times New Roman"/>
      <w:sz w:val="18"/>
      <w:szCs w:val="18"/>
    </w:rPr>
  </w:style>
  <w:style w:type="paragraph" w:customStyle="1" w:styleId="77">
    <w:name w:val="列表3"/>
    <w:basedOn w:val="1"/>
    <w:qFormat/>
    <w:uiPriority w:val="0"/>
    <w:pPr>
      <w:spacing w:line="360" w:lineRule="auto"/>
    </w:pPr>
    <w:rPr>
      <w:rFonts w:hint="eastAsia" w:ascii="宋体"/>
      <w:szCs w:val="20"/>
    </w:rPr>
  </w:style>
  <w:style w:type="character" w:customStyle="1" w:styleId="78">
    <w:name w:val="批注主题 字符"/>
    <w:basedOn w:val="62"/>
    <w:link w:val="41"/>
    <w:qFormat/>
    <w:uiPriority w:val="0"/>
    <w:rPr>
      <w:rFonts w:ascii="Times New Roman" w:hAnsi="Times New Roman" w:eastAsia="宋体" w:cs="Times New Roman"/>
      <w:b/>
      <w:bCs/>
      <w:sz w:val="24"/>
      <w:szCs w:val="24"/>
    </w:rPr>
  </w:style>
  <w:style w:type="character" w:customStyle="1" w:styleId="79">
    <w:name w:val="read"/>
    <w:basedOn w:val="45"/>
    <w:qFormat/>
    <w:uiPriority w:val="0"/>
  </w:style>
  <w:style w:type="paragraph" w:customStyle="1" w:styleId="80">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81">
    <w:name w:val="AODocTxt"/>
    <w:basedOn w:val="82"/>
    <w:qFormat/>
    <w:uiPriority w:val="0"/>
    <w:pPr>
      <w:numPr>
        <w:ilvl w:val="0"/>
        <w:numId w:val="6"/>
      </w:numPr>
    </w:pPr>
  </w:style>
  <w:style w:type="paragraph" w:customStyle="1" w:styleId="82">
    <w:name w:val="AOBodyTxt"/>
    <w:basedOn w:val="28"/>
    <w:next w:val="81"/>
    <w:qFormat/>
    <w:uiPriority w:val="0"/>
    <w:pPr>
      <w:spacing w:before="240"/>
    </w:pPr>
  </w:style>
  <w:style w:type="paragraph" w:customStyle="1" w:styleId="83">
    <w:name w:val="AOBullet"/>
    <w:basedOn w:val="82"/>
    <w:qFormat/>
    <w:uiPriority w:val="0"/>
    <w:pPr>
      <w:numPr>
        <w:ilvl w:val="0"/>
        <w:numId w:val="7"/>
      </w:numPr>
      <w:tabs>
        <w:tab w:val="clear" w:pos="720"/>
      </w:tabs>
    </w:pPr>
  </w:style>
  <w:style w:type="paragraph" w:customStyle="1" w:styleId="84">
    <w:name w:val="AODefHead"/>
    <w:basedOn w:val="82"/>
    <w:next w:val="85"/>
    <w:qFormat/>
    <w:uiPriority w:val="0"/>
    <w:pPr>
      <w:numPr>
        <w:ilvl w:val="0"/>
        <w:numId w:val="8"/>
      </w:numPr>
      <w:outlineLvl w:val="5"/>
    </w:pPr>
  </w:style>
  <w:style w:type="paragraph" w:customStyle="1" w:styleId="85">
    <w:name w:val="AODefPara"/>
    <w:basedOn w:val="84"/>
    <w:qFormat/>
    <w:uiPriority w:val="0"/>
    <w:pPr>
      <w:numPr>
        <w:ilvl w:val="1"/>
      </w:numPr>
      <w:tabs>
        <w:tab w:val="left" w:pos="992"/>
      </w:tabs>
      <w:ind w:left="992" w:hanging="992"/>
      <w:outlineLvl w:val="6"/>
    </w:pPr>
  </w:style>
  <w:style w:type="paragraph" w:customStyle="1" w:styleId="86">
    <w:name w:val="AO(1)"/>
    <w:basedOn w:val="82"/>
    <w:next w:val="81"/>
    <w:qFormat/>
    <w:uiPriority w:val="0"/>
    <w:pPr>
      <w:numPr>
        <w:ilvl w:val="0"/>
        <w:numId w:val="9"/>
      </w:numPr>
      <w:tabs>
        <w:tab w:val="clear" w:pos="720"/>
      </w:tabs>
    </w:pPr>
  </w:style>
  <w:style w:type="paragraph" w:customStyle="1" w:styleId="87">
    <w:name w:val="AO(A)"/>
    <w:basedOn w:val="82"/>
    <w:next w:val="81"/>
    <w:qFormat/>
    <w:uiPriority w:val="0"/>
    <w:pPr>
      <w:numPr>
        <w:ilvl w:val="0"/>
        <w:numId w:val="10"/>
      </w:numPr>
      <w:tabs>
        <w:tab w:val="clear" w:pos="720"/>
      </w:tabs>
    </w:pPr>
  </w:style>
  <w:style w:type="paragraph" w:customStyle="1" w:styleId="88">
    <w:name w:val="AOAnxHead"/>
    <w:basedOn w:val="89"/>
    <w:next w:val="90"/>
    <w:qFormat/>
    <w:uiPriority w:val="0"/>
    <w:pPr>
      <w:pageBreakBefore/>
      <w:numPr>
        <w:ilvl w:val="0"/>
        <w:numId w:val="11"/>
      </w:numPr>
      <w:outlineLvl w:val="0"/>
    </w:pPr>
  </w:style>
  <w:style w:type="paragraph" w:customStyle="1" w:styleId="89">
    <w:name w:val="AOAttachments"/>
    <w:basedOn w:val="82"/>
    <w:next w:val="81"/>
    <w:qFormat/>
    <w:uiPriority w:val="0"/>
    <w:pPr>
      <w:jc w:val="center"/>
    </w:pPr>
    <w:rPr>
      <w:caps/>
    </w:rPr>
  </w:style>
  <w:style w:type="paragraph" w:customStyle="1" w:styleId="90">
    <w:name w:val="AOAnxTitle"/>
    <w:basedOn w:val="89"/>
    <w:next w:val="81"/>
    <w:qFormat/>
    <w:uiPriority w:val="0"/>
    <w:pPr>
      <w:outlineLvl w:val="1"/>
    </w:pPr>
    <w:rPr>
      <w:b/>
    </w:rPr>
  </w:style>
  <w:style w:type="paragraph" w:customStyle="1" w:styleId="91">
    <w:name w:val="AOAnxPartHead"/>
    <w:basedOn w:val="88"/>
    <w:next w:val="92"/>
    <w:qFormat/>
    <w:uiPriority w:val="0"/>
    <w:pPr>
      <w:pageBreakBefore w:val="0"/>
      <w:numPr>
        <w:ilvl w:val="1"/>
      </w:numPr>
      <w:tabs>
        <w:tab w:val="left" w:pos="1440"/>
      </w:tabs>
      <w:ind w:left="1440" w:hanging="360"/>
    </w:pPr>
  </w:style>
  <w:style w:type="paragraph" w:customStyle="1" w:styleId="92">
    <w:name w:val="AOAnxPartTitle"/>
    <w:basedOn w:val="90"/>
    <w:next w:val="81"/>
    <w:qFormat/>
    <w:uiPriority w:val="0"/>
  </w:style>
  <w:style w:type="paragraph" w:customStyle="1" w:styleId="93">
    <w:name w:val="AOAppHead"/>
    <w:basedOn w:val="89"/>
    <w:next w:val="94"/>
    <w:qFormat/>
    <w:uiPriority w:val="0"/>
    <w:pPr>
      <w:pageBreakBefore/>
      <w:numPr>
        <w:ilvl w:val="0"/>
        <w:numId w:val="12"/>
      </w:numPr>
      <w:outlineLvl w:val="0"/>
    </w:pPr>
  </w:style>
  <w:style w:type="paragraph" w:customStyle="1" w:styleId="94">
    <w:name w:val="AOAppTitle"/>
    <w:basedOn w:val="89"/>
    <w:next w:val="81"/>
    <w:qFormat/>
    <w:uiPriority w:val="0"/>
    <w:pPr>
      <w:outlineLvl w:val="1"/>
    </w:pPr>
    <w:rPr>
      <w:b/>
    </w:rPr>
  </w:style>
  <w:style w:type="paragraph" w:customStyle="1" w:styleId="95">
    <w:name w:val="AOAppPartHead"/>
    <w:basedOn w:val="93"/>
    <w:next w:val="96"/>
    <w:qFormat/>
    <w:uiPriority w:val="0"/>
    <w:pPr>
      <w:pageBreakBefore w:val="0"/>
      <w:numPr>
        <w:ilvl w:val="1"/>
      </w:numPr>
      <w:tabs>
        <w:tab w:val="left" w:pos="840"/>
      </w:tabs>
      <w:ind w:left="840" w:hanging="420"/>
    </w:pPr>
  </w:style>
  <w:style w:type="paragraph" w:customStyle="1" w:styleId="96">
    <w:name w:val="AOAppPartTitle"/>
    <w:basedOn w:val="94"/>
    <w:next w:val="81"/>
    <w:qFormat/>
    <w:uiPriority w:val="0"/>
  </w:style>
  <w:style w:type="paragraph" w:customStyle="1" w:styleId="97">
    <w:name w:val="AOSchHead"/>
    <w:basedOn w:val="89"/>
    <w:next w:val="98"/>
    <w:qFormat/>
    <w:uiPriority w:val="0"/>
    <w:pPr>
      <w:pageBreakBefore/>
      <w:numPr>
        <w:ilvl w:val="0"/>
        <w:numId w:val="13"/>
      </w:numPr>
      <w:outlineLvl w:val="0"/>
    </w:pPr>
  </w:style>
  <w:style w:type="paragraph" w:customStyle="1" w:styleId="98">
    <w:name w:val="AOSchTitle"/>
    <w:basedOn w:val="89"/>
    <w:next w:val="81"/>
    <w:qFormat/>
    <w:uiPriority w:val="0"/>
    <w:pPr>
      <w:outlineLvl w:val="1"/>
    </w:pPr>
    <w:rPr>
      <w:b/>
    </w:rPr>
  </w:style>
  <w:style w:type="paragraph" w:customStyle="1" w:styleId="99">
    <w:name w:val="AOSchPartHead"/>
    <w:basedOn w:val="97"/>
    <w:next w:val="100"/>
    <w:qFormat/>
    <w:uiPriority w:val="0"/>
    <w:pPr>
      <w:pageBreakBefore w:val="0"/>
      <w:numPr>
        <w:ilvl w:val="1"/>
      </w:numPr>
      <w:tabs>
        <w:tab w:val="left" w:pos="780"/>
      </w:tabs>
      <w:ind w:firstLine="420"/>
    </w:pPr>
  </w:style>
  <w:style w:type="paragraph" w:customStyle="1" w:styleId="100">
    <w:name w:val="AOSchPartTitle"/>
    <w:basedOn w:val="98"/>
    <w:next w:val="81"/>
    <w:qFormat/>
    <w:uiPriority w:val="0"/>
  </w:style>
  <w:style w:type="paragraph" w:customStyle="1" w:styleId="101">
    <w:name w:val="AODocTxtL1"/>
    <w:basedOn w:val="81"/>
    <w:qFormat/>
    <w:uiPriority w:val="0"/>
    <w:pPr>
      <w:numPr>
        <w:ilvl w:val="1"/>
      </w:numPr>
      <w:tabs>
        <w:tab w:val="left" w:pos="780"/>
      </w:tabs>
      <w:ind w:left="0" w:firstLine="420"/>
    </w:pPr>
  </w:style>
  <w:style w:type="paragraph" w:customStyle="1" w:styleId="102">
    <w:name w:val="AODocTxtL2"/>
    <w:basedOn w:val="81"/>
    <w:qFormat/>
    <w:uiPriority w:val="0"/>
    <w:pPr>
      <w:numPr>
        <w:ilvl w:val="2"/>
      </w:numPr>
      <w:tabs>
        <w:tab w:val="left" w:pos="2160"/>
      </w:tabs>
      <w:ind w:left="2160" w:hanging="360"/>
    </w:pPr>
  </w:style>
  <w:style w:type="paragraph" w:customStyle="1" w:styleId="103">
    <w:name w:val="AODocTxtL3"/>
    <w:basedOn w:val="81"/>
    <w:qFormat/>
    <w:uiPriority w:val="0"/>
    <w:pPr>
      <w:numPr>
        <w:ilvl w:val="3"/>
      </w:numPr>
      <w:tabs>
        <w:tab w:val="left" w:pos="2880"/>
      </w:tabs>
      <w:ind w:left="2880" w:hanging="360"/>
    </w:pPr>
  </w:style>
  <w:style w:type="paragraph" w:customStyle="1" w:styleId="104">
    <w:name w:val="AODocTxtL4"/>
    <w:basedOn w:val="81"/>
    <w:qFormat/>
    <w:uiPriority w:val="0"/>
    <w:pPr>
      <w:numPr>
        <w:ilvl w:val="4"/>
      </w:numPr>
      <w:tabs>
        <w:tab w:val="left" w:pos="3600"/>
      </w:tabs>
      <w:ind w:left="3600" w:hanging="360"/>
    </w:pPr>
  </w:style>
  <w:style w:type="paragraph" w:customStyle="1" w:styleId="105">
    <w:name w:val="AODocTxtL5"/>
    <w:basedOn w:val="81"/>
    <w:qFormat/>
    <w:uiPriority w:val="0"/>
    <w:pPr>
      <w:numPr>
        <w:ilvl w:val="5"/>
      </w:numPr>
      <w:tabs>
        <w:tab w:val="left" w:pos="4320"/>
      </w:tabs>
      <w:ind w:left="4320" w:hanging="360"/>
    </w:pPr>
  </w:style>
  <w:style w:type="paragraph" w:customStyle="1" w:styleId="106">
    <w:name w:val="AODocTxtL6"/>
    <w:basedOn w:val="81"/>
    <w:qFormat/>
    <w:uiPriority w:val="0"/>
    <w:pPr>
      <w:numPr>
        <w:ilvl w:val="6"/>
      </w:numPr>
      <w:tabs>
        <w:tab w:val="left" w:pos="5040"/>
      </w:tabs>
      <w:ind w:left="5040" w:hanging="360"/>
    </w:pPr>
  </w:style>
  <w:style w:type="paragraph" w:customStyle="1" w:styleId="107">
    <w:name w:val="AODocTxtL7"/>
    <w:basedOn w:val="81"/>
    <w:qFormat/>
    <w:uiPriority w:val="0"/>
    <w:pPr>
      <w:numPr>
        <w:ilvl w:val="7"/>
      </w:numPr>
      <w:tabs>
        <w:tab w:val="left" w:pos="5760"/>
      </w:tabs>
      <w:ind w:left="5760" w:hanging="360"/>
    </w:pPr>
  </w:style>
  <w:style w:type="paragraph" w:customStyle="1" w:styleId="108">
    <w:name w:val="AODocTxtL8"/>
    <w:basedOn w:val="81"/>
    <w:qFormat/>
    <w:uiPriority w:val="0"/>
    <w:pPr>
      <w:numPr>
        <w:ilvl w:val="8"/>
      </w:numPr>
      <w:tabs>
        <w:tab w:val="left" w:pos="6480"/>
      </w:tabs>
      <w:ind w:left="6480" w:hanging="360"/>
    </w:pPr>
  </w:style>
  <w:style w:type="paragraph" w:customStyle="1" w:styleId="109">
    <w:name w:val="AOGenNum1"/>
    <w:basedOn w:val="82"/>
    <w:next w:val="110"/>
    <w:qFormat/>
    <w:uiPriority w:val="0"/>
    <w:pPr>
      <w:keepNext/>
      <w:numPr>
        <w:ilvl w:val="0"/>
        <w:numId w:val="14"/>
      </w:numPr>
    </w:pPr>
    <w:rPr>
      <w:b/>
      <w:caps/>
    </w:rPr>
  </w:style>
  <w:style w:type="paragraph" w:customStyle="1" w:styleId="110">
    <w:name w:val="AOGenNum1Para"/>
    <w:basedOn w:val="109"/>
    <w:next w:val="111"/>
    <w:qFormat/>
    <w:uiPriority w:val="0"/>
    <w:pPr>
      <w:numPr>
        <w:ilvl w:val="1"/>
      </w:numPr>
      <w:tabs>
        <w:tab w:val="left" w:pos="1588"/>
        <w:tab w:val="clear" w:pos="720"/>
      </w:tabs>
      <w:ind w:left="1588" w:hanging="737"/>
    </w:pPr>
    <w:rPr>
      <w:caps w:val="0"/>
    </w:rPr>
  </w:style>
  <w:style w:type="paragraph" w:customStyle="1" w:styleId="111">
    <w:name w:val="AOGenNum1List"/>
    <w:basedOn w:val="109"/>
    <w:qFormat/>
    <w:uiPriority w:val="0"/>
    <w:pPr>
      <w:keepNext w:val="0"/>
      <w:numPr>
        <w:ilvl w:val="2"/>
      </w:numPr>
      <w:tabs>
        <w:tab w:val="left" w:pos="851"/>
        <w:tab w:val="clear" w:pos="720"/>
      </w:tabs>
      <w:ind w:left="851" w:hanging="431"/>
    </w:pPr>
    <w:rPr>
      <w:b w:val="0"/>
      <w:caps w:val="0"/>
    </w:rPr>
  </w:style>
  <w:style w:type="paragraph" w:customStyle="1" w:styleId="112">
    <w:name w:val="AOGenNum2"/>
    <w:basedOn w:val="82"/>
    <w:next w:val="113"/>
    <w:qFormat/>
    <w:uiPriority w:val="0"/>
    <w:pPr>
      <w:keepNext/>
      <w:numPr>
        <w:ilvl w:val="0"/>
        <w:numId w:val="15"/>
      </w:numPr>
    </w:pPr>
    <w:rPr>
      <w:b/>
    </w:rPr>
  </w:style>
  <w:style w:type="paragraph" w:customStyle="1" w:styleId="113">
    <w:name w:val="AOGenNum2Para"/>
    <w:basedOn w:val="112"/>
    <w:next w:val="114"/>
    <w:qFormat/>
    <w:uiPriority w:val="0"/>
    <w:pPr>
      <w:keepNext w:val="0"/>
      <w:numPr>
        <w:ilvl w:val="1"/>
      </w:numPr>
      <w:tabs>
        <w:tab w:val="left" w:pos="1588"/>
        <w:tab w:val="clear" w:pos="720"/>
      </w:tabs>
      <w:ind w:left="1588" w:hanging="737"/>
    </w:pPr>
    <w:rPr>
      <w:b w:val="0"/>
    </w:rPr>
  </w:style>
  <w:style w:type="paragraph" w:customStyle="1" w:styleId="114">
    <w:name w:val="AOGenNum2List"/>
    <w:basedOn w:val="112"/>
    <w:qFormat/>
    <w:uiPriority w:val="0"/>
    <w:pPr>
      <w:keepNext w:val="0"/>
      <w:numPr>
        <w:ilvl w:val="2"/>
      </w:numPr>
      <w:tabs>
        <w:tab w:val="left" w:pos="1021"/>
        <w:tab w:val="clear" w:pos="720"/>
      </w:tabs>
      <w:ind w:left="1021" w:hanging="601"/>
    </w:pPr>
    <w:rPr>
      <w:b w:val="0"/>
    </w:rPr>
  </w:style>
  <w:style w:type="paragraph" w:customStyle="1" w:styleId="115">
    <w:name w:val="AOGenNum3"/>
    <w:basedOn w:val="82"/>
    <w:next w:val="116"/>
    <w:qFormat/>
    <w:uiPriority w:val="0"/>
    <w:pPr>
      <w:numPr>
        <w:ilvl w:val="0"/>
        <w:numId w:val="16"/>
      </w:numPr>
    </w:pPr>
  </w:style>
  <w:style w:type="paragraph" w:customStyle="1" w:styleId="116">
    <w:name w:val="AOGenNum3List"/>
    <w:basedOn w:val="115"/>
    <w:qFormat/>
    <w:uiPriority w:val="0"/>
    <w:pPr>
      <w:numPr>
        <w:ilvl w:val="1"/>
      </w:numPr>
      <w:tabs>
        <w:tab w:val="left" w:pos="840"/>
        <w:tab w:val="clear" w:pos="720"/>
      </w:tabs>
      <w:ind w:left="840" w:hanging="420"/>
    </w:pPr>
  </w:style>
  <w:style w:type="paragraph" w:customStyle="1" w:styleId="117">
    <w:name w:val="AOHead1"/>
    <w:basedOn w:val="118"/>
    <w:next w:val="101"/>
    <w:qFormat/>
    <w:uiPriority w:val="0"/>
    <w:pPr>
      <w:keepNext/>
      <w:numPr>
        <w:ilvl w:val="0"/>
        <w:numId w:val="17"/>
      </w:numPr>
      <w:outlineLvl w:val="0"/>
    </w:pPr>
    <w:rPr>
      <w:b/>
      <w:caps/>
      <w:kern w:val="28"/>
    </w:rPr>
  </w:style>
  <w:style w:type="paragraph" w:customStyle="1" w:styleId="118">
    <w:name w:val="AOHeadings"/>
    <w:basedOn w:val="82"/>
    <w:next w:val="81"/>
    <w:qFormat/>
    <w:uiPriority w:val="0"/>
  </w:style>
  <w:style w:type="paragraph" w:customStyle="1" w:styleId="119">
    <w:name w:val="AOHead2"/>
    <w:basedOn w:val="118"/>
    <w:next w:val="101"/>
    <w:qFormat/>
    <w:uiPriority w:val="0"/>
    <w:pPr>
      <w:keepNext/>
      <w:numPr>
        <w:ilvl w:val="1"/>
        <w:numId w:val="17"/>
      </w:numPr>
      <w:outlineLvl w:val="1"/>
    </w:pPr>
    <w:rPr>
      <w:b/>
    </w:rPr>
  </w:style>
  <w:style w:type="paragraph" w:customStyle="1" w:styleId="120">
    <w:name w:val="AOHead3"/>
    <w:basedOn w:val="118"/>
    <w:next w:val="102"/>
    <w:qFormat/>
    <w:uiPriority w:val="0"/>
    <w:pPr>
      <w:numPr>
        <w:ilvl w:val="2"/>
        <w:numId w:val="17"/>
      </w:numPr>
      <w:outlineLvl w:val="2"/>
    </w:pPr>
  </w:style>
  <w:style w:type="paragraph" w:customStyle="1" w:styleId="121">
    <w:name w:val="AOHead4"/>
    <w:basedOn w:val="118"/>
    <w:next w:val="103"/>
    <w:qFormat/>
    <w:uiPriority w:val="0"/>
    <w:pPr>
      <w:numPr>
        <w:ilvl w:val="3"/>
        <w:numId w:val="17"/>
      </w:numPr>
      <w:outlineLvl w:val="3"/>
    </w:pPr>
  </w:style>
  <w:style w:type="paragraph" w:customStyle="1" w:styleId="122">
    <w:name w:val="AOHead5"/>
    <w:basedOn w:val="118"/>
    <w:next w:val="104"/>
    <w:qFormat/>
    <w:uiPriority w:val="0"/>
    <w:pPr>
      <w:numPr>
        <w:ilvl w:val="4"/>
        <w:numId w:val="17"/>
      </w:numPr>
      <w:outlineLvl w:val="4"/>
    </w:pPr>
  </w:style>
  <w:style w:type="paragraph" w:customStyle="1" w:styleId="123">
    <w:name w:val="AOHead6"/>
    <w:basedOn w:val="118"/>
    <w:next w:val="105"/>
    <w:qFormat/>
    <w:uiPriority w:val="0"/>
    <w:pPr>
      <w:numPr>
        <w:ilvl w:val="5"/>
        <w:numId w:val="17"/>
      </w:numPr>
      <w:outlineLvl w:val="5"/>
    </w:pPr>
  </w:style>
  <w:style w:type="paragraph" w:customStyle="1" w:styleId="124">
    <w:name w:val="AOListNumber"/>
    <w:basedOn w:val="82"/>
    <w:qFormat/>
    <w:uiPriority w:val="0"/>
    <w:pPr>
      <w:numPr>
        <w:ilvl w:val="0"/>
        <w:numId w:val="18"/>
      </w:numPr>
      <w:tabs>
        <w:tab w:val="clear" w:pos="720"/>
      </w:tabs>
    </w:pPr>
  </w:style>
  <w:style w:type="paragraph" w:customStyle="1" w:styleId="125">
    <w:name w:val="AOBullet2"/>
    <w:basedOn w:val="83"/>
    <w:qFormat/>
    <w:uiPriority w:val="0"/>
    <w:pPr>
      <w:numPr>
        <w:numId w:val="19"/>
      </w:numPr>
      <w:tabs>
        <w:tab w:val="left" w:pos="720"/>
        <w:tab w:val="left" w:pos="1280"/>
      </w:tabs>
      <w:spacing w:before="120"/>
      <w:ind w:left="1280"/>
    </w:pPr>
  </w:style>
  <w:style w:type="paragraph" w:customStyle="1" w:styleId="126">
    <w:name w:val="AOBullet3"/>
    <w:basedOn w:val="82"/>
    <w:qFormat/>
    <w:uiPriority w:val="0"/>
    <w:pPr>
      <w:numPr>
        <w:ilvl w:val="0"/>
        <w:numId w:val="20"/>
      </w:numPr>
      <w:tabs>
        <w:tab w:val="clear" w:pos="720"/>
      </w:tabs>
      <w:spacing w:before="120"/>
    </w:pPr>
  </w:style>
  <w:style w:type="paragraph" w:customStyle="1" w:styleId="127">
    <w:name w:val="AOBullet4"/>
    <w:basedOn w:val="82"/>
    <w:qFormat/>
    <w:uiPriority w:val="0"/>
    <w:pPr>
      <w:numPr>
        <w:ilvl w:val="0"/>
        <w:numId w:val="21"/>
      </w:numPr>
      <w:spacing w:before="120"/>
    </w:pPr>
  </w:style>
  <w:style w:type="paragraph" w:customStyle="1" w:styleId="128">
    <w:name w:val="正文所"/>
    <w:basedOn w:val="1"/>
    <w:qFormat/>
    <w:uiPriority w:val="0"/>
    <w:pPr>
      <w:spacing w:line="360" w:lineRule="auto"/>
      <w:ind w:firstLine="420" w:firstLineChars="200"/>
    </w:pPr>
  </w:style>
  <w:style w:type="character" w:customStyle="1" w:styleId="129">
    <w:name w:val="尾注文本 字符"/>
    <w:basedOn w:val="45"/>
    <w:link w:val="27"/>
    <w:qFormat/>
    <w:uiPriority w:val="0"/>
    <w:rPr>
      <w:rFonts w:ascii="Times New Roman" w:hAnsi="Times New Roman" w:eastAsia="宋体" w:cs="Times New Roman"/>
      <w:kern w:val="0"/>
      <w:sz w:val="16"/>
      <w:lang w:val="en-GB" w:eastAsia="en-US"/>
    </w:rPr>
  </w:style>
  <w:style w:type="character" w:customStyle="1" w:styleId="130">
    <w:name w:val="HTML 预设格式 字符"/>
    <w:basedOn w:val="45"/>
    <w:link w:val="38"/>
    <w:qFormat/>
    <w:uiPriority w:val="0"/>
    <w:rPr>
      <w:rFonts w:ascii="Arial Unicode MS" w:hAnsi="Arial Unicode MS" w:eastAsia="Arial Unicode MS" w:cs="Arial Unicode MS"/>
      <w:kern w:val="0"/>
      <w:sz w:val="20"/>
      <w:szCs w:val="20"/>
    </w:rPr>
  </w:style>
  <w:style w:type="paragraph" w:customStyle="1" w:styleId="131">
    <w:name w:val="Char"/>
    <w:basedOn w:val="1"/>
    <w:qFormat/>
    <w:uiPriority w:val="0"/>
    <w:pPr>
      <w:tabs>
        <w:tab w:val="left" w:pos="360"/>
      </w:tabs>
      <w:spacing w:line="560" w:lineRule="exact"/>
    </w:pPr>
    <w:rPr>
      <w:rFonts w:ascii="方正黑体简体" w:eastAsia="方正黑体简体"/>
      <w:sz w:val="30"/>
      <w:szCs w:val="30"/>
    </w:rPr>
  </w:style>
  <w:style w:type="paragraph" w:customStyle="1" w:styleId="132">
    <w:name w:val="修订1"/>
    <w:hidden/>
    <w:qFormat/>
    <w:uiPriority w:val="99"/>
    <w:rPr>
      <w:rFonts w:ascii="Times New Roman" w:hAnsi="Times New Roman" w:eastAsia="宋体" w:cs="Times New Roman"/>
      <w:kern w:val="2"/>
      <w:sz w:val="21"/>
      <w:szCs w:val="24"/>
      <w:lang w:val="en-US" w:eastAsia="zh-CN" w:bidi="ar-SA"/>
    </w:rPr>
  </w:style>
  <w:style w:type="paragraph" w:customStyle="1" w:styleId="133">
    <w:name w:val="TOC 标题1"/>
    <w:basedOn w:val="2"/>
    <w:next w:val="1"/>
    <w:qFormat/>
    <w:uiPriority w:val="39"/>
    <w:pPr>
      <w:widowControl/>
      <w:numPr>
        <w:numId w:val="0"/>
      </w:numPr>
      <w:spacing w:before="480" w:after="0" w:line="276" w:lineRule="auto"/>
      <w:jc w:val="left"/>
      <w:outlineLvl w:val="9"/>
    </w:pPr>
    <w:rPr>
      <w:rFonts w:ascii="Cambria" w:hAnsi="Cambria"/>
      <w:color w:val="365F91"/>
      <w:kern w:val="0"/>
      <w:sz w:val="28"/>
      <w:szCs w:val="28"/>
    </w:rPr>
  </w:style>
  <w:style w:type="character" w:customStyle="1" w:styleId="134">
    <w:name w:val="电子邮件签名 字符"/>
    <w:basedOn w:val="45"/>
    <w:link w:val="11"/>
    <w:qFormat/>
    <w:uiPriority w:val="0"/>
    <w:rPr>
      <w:rFonts w:ascii="Times New Roman" w:hAnsi="Times New Roman" w:eastAsia="宋体" w:cs="Times New Roman"/>
      <w:kern w:val="0"/>
      <w:szCs w:val="21"/>
    </w:rPr>
  </w:style>
  <w:style w:type="character" w:customStyle="1" w:styleId="135">
    <w:name w:val="正文文本首行缩进 字符"/>
    <w:basedOn w:val="66"/>
    <w:link w:val="42"/>
    <w:qFormat/>
    <w:uiPriority w:val="0"/>
    <w:rPr>
      <w:rFonts w:ascii="Times New Roman" w:hAnsi="Times New Roman" w:eastAsia="宋体" w:cs="Times New Roman"/>
      <w:sz w:val="24"/>
      <w:szCs w:val="24"/>
    </w:rPr>
  </w:style>
  <w:style w:type="character" w:customStyle="1" w:styleId="136">
    <w:name w:val="正文首行缩进 Char1"/>
    <w:basedOn w:val="66"/>
    <w:qFormat/>
    <w:uiPriority w:val="0"/>
    <w:rPr>
      <w:rFonts w:ascii="Times New Roman" w:hAnsi="Times New Roman" w:eastAsia="宋体" w:cs="Times New Roman"/>
      <w:sz w:val="24"/>
      <w:szCs w:val="24"/>
    </w:rPr>
  </w:style>
  <w:style w:type="paragraph" w:customStyle="1" w:styleId="137">
    <w:name w:val="编号正文2"/>
    <w:basedOn w:val="1"/>
    <w:qFormat/>
    <w:uiPriority w:val="0"/>
    <w:pPr>
      <w:numPr>
        <w:ilvl w:val="0"/>
        <w:numId w:val="22"/>
      </w:numPr>
      <w:autoSpaceDE w:val="0"/>
      <w:autoSpaceDN w:val="0"/>
      <w:adjustRightInd w:val="0"/>
      <w:spacing w:after="120" w:line="300" w:lineRule="auto"/>
    </w:pPr>
    <w:rPr>
      <w:rFonts w:ascii="宋体"/>
      <w:kern w:val="0"/>
      <w:szCs w:val="20"/>
    </w:rPr>
  </w:style>
  <w:style w:type="paragraph" w:customStyle="1" w:styleId="138">
    <w:name w:val="c_"/>
    <w:qFormat/>
    <w:uiPriority w:val="0"/>
    <w:pPr>
      <w:widowControl w:val="0"/>
      <w:autoSpaceDE w:val="0"/>
      <w:autoSpaceDN w:val="0"/>
      <w:adjustRightInd w:val="0"/>
      <w:jc w:val="both"/>
    </w:pPr>
    <w:rPr>
      <w:rFonts w:ascii="五" w:hAnsi="Times New Roman" w:eastAsia="五" w:cs="Times New Roman"/>
      <w:sz w:val="24"/>
      <w:lang w:val="en-US" w:eastAsia="zh-CN" w:bidi="ar-SA"/>
    </w:rPr>
  </w:style>
  <w:style w:type="paragraph" w:styleId="139">
    <w:name w:val="List Paragraph"/>
    <w:basedOn w:val="1"/>
    <w:qFormat/>
    <w:uiPriority w:val="34"/>
    <w:pPr>
      <w:ind w:firstLine="420" w:firstLineChars="200"/>
    </w:pPr>
  </w:style>
  <w:style w:type="paragraph" w:customStyle="1" w:styleId="140">
    <w:name w:val="List_bullet"/>
    <w:basedOn w:val="1"/>
    <w:qFormat/>
    <w:uiPriority w:val="0"/>
    <w:pPr>
      <w:widowControl/>
      <w:numPr>
        <w:ilvl w:val="0"/>
        <w:numId w:val="23"/>
      </w:numPr>
      <w:jc w:val="left"/>
    </w:pPr>
    <w:rPr>
      <w:kern w:val="0"/>
      <w:sz w:val="24"/>
      <w:szCs w:val="20"/>
    </w:rPr>
  </w:style>
  <w:style w:type="paragraph" w:customStyle="1" w:styleId="141">
    <w:name w:val="msonormal1"/>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142">
    <w:name w:val="副标题 字符"/>
    <w:basedOn w:val="45"/>
    <w:link w:val="33"/>
    <w:qFormat/>
    <w:uiPriority w:val="0"/>
    <w:rPr>
      <w:rFonts w:ascii="Cambria" w:hAnsi="Cambria" w:eastAsia="宋体" w:cs="Times New Roman"/>
      <w:b/>
      <w:kern w:val="28"/>
      <w:sz w:val="24"/>
      <w:szCs w:val="32"/>
    </w:rPr>
  </w:style>
  <w:style w:type="paragraph" w:customStyle="1" w:styleId="143">
    <w:name w:val="次标题"/>
    <w:basedOn w:val="4"/>
    <w:next w:val="1"/>
    <w:qFormat/>
    <w:uiPriority w:val="0"/>
    <w:pPr>
      <w:numPr>
        <w:ilvl w:val="0"/>
        <w:numId w:val="0"/>
      </w:numPr>
      <w:spacing w:line="416" w:lineRule="auto"/>
      <w:jc w:val="left"/>
    </w:pPr>
    <w:rPr>
      <w:rFonts w:ascii="宋体" w:hAnsi="宋体"/>
      <w:sz w:val="24"/>
      <w:szCs w:val="24"/>
    </w:rPr>
  </w:style>
  <w:style w:type="paragraph" w:customStyle="1" w:styleId="144">
    <w:name w:val="Char Char Char1"/>
    <w:basedOn w:val="1"/>
    <w:qFormat/>
    <w:uiPriority w:val="0"/>
    <w:rPr>
      <w:szCs w:val="20"/>
    </w:rPr>
  </w:style>
  <w:style w:type="character" w:customStyle="1" w:styleId="145">
    <w:name w:val="z-窗体顶端 字符"/>
    <w:basedOn w:val="45"/>
    <w:link w:val="146"/>
    <w:qFormat/>
    <w:uiPriority w:val="99"/>
    <w:rPr>
      <w:rFonts w:ascii="Arial" w:hAnsi="Arial" w:eastAsia="宋体" w:cs="Arial"/>
      <w:vanish/>
      <w:kern w:val="0"/>
      <w:sz w:val="16"/>
      <w:szCs w:val="16"/>
    </w:rPr>
  </w:style>
  <w:style w:type="paragraph" w:customStyle="1" w:styleId="146">
    <w:name w:val="z-窗体顶端1"/>
    <w:basedOn w:val="1"/>
    <w:next w:val="1"/>
    <w:link w:val="145"/>
    <w:qFormat/>
    <w:uiPriority w:val="99"/>
    <w:pPr>
      <w:widowControl/>
      <w:pBdr>
        <w:bottom w:val="single" w:color="auto" w:sz="6" w:space="1"/>
      </w:pBdr>
      <w:jc w:val="center"/>
    </w:pPr>
    <w:rPr>
      <w:rFonts w:ascii="Arial" w:hAnsi="Arial" w:cs="Arial"/>
      <w:vanish/>
      <w:kern w:val="0"/>
      <w:sz w:val="16"/>
      <w:szCs w:val="16"/>
    </w:rPr>
  </w:style>
  <w:style w:type="character" w:customStyle="1" w:styleId="147">
    <w:name w:val="z-窗体底端 字符"/>
    <w:basedOn w:val="45"/>
    <w:link w:val="148"/>
    <w:qFormat/>
    <w:uiPriority w:val="99"/>
    <w:rPr>
      <w:rFonts w:ascii="Arial" w:hAnsi="Arial" w:eastAsia="宋体" w:cs="Arial"/>
      <w:vanish/>
      <w:kern w:val="0"/>
      <w:sz w:val="16"/>
      <w:szCs w:val="16"/>
    </w:rPr>
  </w:style>
  <w:style w:type="paragraph" w:customStyle="1" w:styleId="148">
    <w:name w:val="z-窗体底端1"/>
    <w:basedOn w:val="1"/>
    <w:next w:val="1"/>
    <w:link w:val="147"/>
    <w:qFormat/>
    <w:uiPriority w:val="99"/>
    <w:pPr>
      <w:widowControl/>
      <w:pBdr>
        <w:top w:val="single" w:color="auto" w:sz="6" w:space="1"/>
      </w:pBdr>
      <w:jc w:val="center"/>
    </w:pPr>
    <w:rPr>
      <w:rFonts w:ascii="Arial" w:hAnsi="Arial" w:cs="Arial"/>
      <w:vanish/>
      <w:kern w:val="0"/>
      <w:sz w:val="16"/>
      <w:szCs w:val="16"/>
    </w:rPr>
  </w:style>
  <w:style w:type="paragraph" w:styleId="149">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150">
    <w:name w:val="不明显强调1"/>
    <w:basedOn w:val="45"/>
    <w:qFormat/>
    <w:uiPriority w:val="19"/>
    <w:rPr>
      <w:i/>
      <w:iCs/>
      <w:color w:val="808080"/>
    </w:rPr>
  </w:style>
  <w:style w:type="character" w:customStyle="1" w:styleId="151">
    <w:name w:val="明显强调1"/>
    <w:basedOn w:val="45"/>
    <w:qFormat/>
    <w:uiPriority w:val="21"/>
    <w:rPr>
      <w:b/>
      <w:bCs/>
      <w:i/>
      <w:iCs/>
      <w:color w:val="4F81BD"/>
    </w:rPr>
  </w:style>
  <w:style w:type="paragraph" w:customStyle="1" w:styleId="152">
    <w:name w:val="修订11"/>
    <w:hidden/>
    <w:semiHidden/>
    <w:qFormat/>
    <w:uiPriority w:val="0"/>
    <w:rPr>
      <w:rFonts w:ascii="Times New Roman" w:hAnsi="Times New Roman" w:eastAsia="宋体" w:cs="Times New Roman"/>
      <w:kern w:val="2"/>
      <w:sz w:val="21"/>
      <w:szCs w:val="24"/>
      <w:lang w:val="en-US" w:eastAsia="zh-CN" w:bidi="ar-SA"/>
    </w:rPr>
  </w:style>
  <w:style w:type="character" w:customStyle="1" w:styleId="153">
    <w:name w:val="称呼 字符"/>
    <w:basedOn w:val="45"/>
    <w:link w:val="20"/>
    <w:qFormat/>
    <w:uiPriority w:val="0"/>
    <w:rPr>
      <w:rFonts w:ascii="Times New Roman" w:hAnsi="Times New Roman" w:eastAsia="宋体" w:cs="Times New Roman"/>
      <w:szCs w:val="24"/>
    </w:rPr>
  </w:style>
  <w:style w:type="paragraph" w:customStyle="1" w:styleId="154">
    <w:name w:val="无间隔1"/>
    <w:link w:val="155"/>
    <w:qFormat/>
    <w:uiPriority w:val="0"/>
    <w:rPr>
      <w:rFonts w:ascii="Calibri" w:hAnsi="Calibri" w:eastAsia="宋体" w:cs="Times New Roman"/>
      <w:sz w:val="22"/>
      <w:szCs w:val="22"/>
      <w:lang w:val="en-US" w:eastAsia="zh-CN" w:bidi="ar-SA"/>
    </w:rPr>
  </w:style>
  <w:style w:type="character" w:customStyle="1" w:styleId="155">
    <w:name w:val="No Spacing Char"/>
    <w:basedOn w:val="45"/>
    <w:link w:val="154"/>
    <w:qFormat/>
    <w:locked/>
    <w:uiPriority w:val="0"/>
    <w:rPr>
      <w:sz w:val="22"/>
      <w:szCs w:val="22"/>
      <w:lang w:val="en-US" w:eastAsia="zh-CN" w:bidi="ar-SA"/>
    </w:rPr>
  </w:style>
  <w:style w:type="paragraph" w:customStyle="1" w:styleId="156">
    <w:name w:val="XBRLTitle1"/>
    <w:basedOn w:val="2"/>
    <w:next w:val="3"/>
    <w:qFormat/>
    <w:uiPriority w:val="0"/>
    <w:pPr>
      <w:numPr>
        <w:numId w:val="24"/>
      </w:numPr>
      <w:spacing w:beforeLines="50" w:afterLines="50" w:line="240" w:lineRule="auto"/>
      <w:jc w:val="center"/>
    </w:pPr>
    <w:rPr>
      <w:rFonts w:ascii="Cambria" w:hAnsi="Cambria"/>
      <w:sz w:val="28"/>
    </w:rPr>
  </w:style>
  <w:style w:type="paragraph" w:customStyle="1" w:styleId="157">
    <w:name w:val="XBRLTitle2"/>
    <w:basedOn w:val="33"/>
    <w:next w:val="5"/>
    <w:qFormat/>
    <w:uiPriority w:val="0"/>
    <w:pPr>
      <w:numPr>
        <w:ilvl w:val="1"/>
        <w:numId w:val="24"/>
      </w:numPr>
      <w:spacing w:beforeLines="50" w:afterLines="50" w:line="240" w:lineRule="auto"/>
    </w:pPr>
    <w:rPr>
      <w:bCs/>
    </w:rPr>
  </w:style>
  <w:style w:type="paragraph" w:customStyle="1" w:styleId="158">
    <w:name w:val="XBRLTitle3"/>
    <w:basedOn w:val="33"/>
    <w:next w:val="5"/>
    <w:qFormat/>
    <w:uiPriority w:val="0"/>
    <w:pPr>
      <w:numPr>
        <w:ilvl w:val="2"/>
        <w:numId w:val="24"/>
      </w:numPr>
      <w:spacing w:beforeLines="50" w:afterLines="50" w:line="240" w:lineRule="auto"/>
      <w:outlineLvl w:val="9"/>
    </w:pPr>
    <w:rPr>
      <w:bCs/>
    </w:rPr>
  </w:style>
  <w:style w:type="paragraph" w:customStyle="1" w:styleId="159">
    <w:name w:val="XBRLTitle4"/>
    <w:basedOn w:val="33"/>
    <w:next w:val="5"/>
    <w:qFormat/>
    <w:uiPriority w:val="0"/>
    <w:pPr>
      <w:numPr>
        <w:ilvl w:val="3"/>
        <w:numId w:val="24"/>
      </w:numPr>
      <w:spacing w:beforeLines="50" w:afterLines="50" w:line="240" w:lineRule="auto"/>
      <w:outlineLvl w:val="9"/>
    </w:pPr>
    <w:rPr>
      <w:bCs/>
    </w:rPr>
  </w:style>
  <w:style w:type="paragraph" w:customStyle="1" w:styleId="160">
    <w:name w:val="XBRLTitle5"/>
    <w:basedOn w:val="33"/>
    <w:next w:val="5"/>
    <w:qFormat/>
    <w:uiPriority w:val="0"/>
    <w:pPr>
      <w:numPr>
        <w:ilvl w:val="4"/>
        <w:numId w:val="24"/>
      </w:numPr>
      <w:spacing w:beforeLines="50" w:afterLines="50" w:line="240" w:lineRule="auto"/>
      <w:outlineLvl w:val="9"/>
    </w:pPr>
    <w:rPr>
      <w:bCs/>
    </w:rPr>
  </w:style>
  <w:style w:type="paragraph" w:customStyle="1" w:styleId="161">
    <w:name w:val="XBRLTitle6"/>
    <w:basedOn w:val="33"/>
    <w:next w:val="5"/>
    <w:qFormat/>
    <w:uiPriority w:val="0"/>
    <w:pPr>
      <w:numPr>
        <w:ilvl w:val="5"/>
        <w:numId w:val="24"/>
      </w:numPr>
      <w:spacing w:beforeLines="50" w:afterLines="50" w:line="240" w:lineRule="auto"/>
      <w:outlineLvl w:val="9"/>
    </w:pPr>
    <w:rPr>
      <w:bCs/>
    </w:rPr>
  </w:style>
  <w:style w:type="paragraph" w:customStyle="1" w:styleId="162">
    <w:name w:val="纯文本1"/>
    <w:basedOn w:val="1"/>
    <w:qFormat/>
    <w:uiPriority w:val="0"/>
    <w:rPr>
      <w:rFonts w:ascii="宋体" w:hAnsi="Courier New"/>
      <w:szCs w:val="20"/>
    </w:rPr>
  </w:style>
  <w:style w:type="paragraph" w:customStyle="1" w:styleId="163">
    <w:name w:val="HD正文"/>
    <w:basedOn w:val="1"/>
    <w:qFormat/>
    <w:uiPriority w:val="0"/>
    <w:pPr>
      <w:snapToGrid w:val="0"/>
      <w:spacing w:line="360" w:lineRule="auto"/>
      <w:ind w:firstLine="420" w:firstLineChars="200"/>
    </w:pPr>
    <w:rPr>
      <w:szCs w:val="21"/>
    </w:rPr>
  </w:style>
  <w:style w:type="paragraph" w:customStyle="1" w:styleId="164">
    <w:name w:val="正文s"/>
    <w:basedOn w:val="22"/>
    <w:qFormat/>
    <w:uiPriority w:val="0"/>
    <w:pPr>
      <w:autoSpaceDE/>
      <w:autoSpaceDN/>
      <w:adjustRightInd/>
      <w:spacing w:after="0" w:line="360" w:lineRule="auto"/>
      <w:ind w:firstLine="560" w:firstLineChars="200"/>
    </w:pPr>
    <w:rPr>
      <w:rFonts w:hint="default" w:hAnsi="宋体"/>
      <w:kern w:val="2"/>
      <w:sz w:val="28"/>
      <w:szCs w:val="18"/>
    </w:rPr>
  </w:style>
  <w:style w:type="paragraph" w:customStyle="1" w:styleId="165">
    <w:name w:val="列表1"/>
    <w:basedOn w:val="1"/>
    <w:next w:val="1"/>
    <w:qFormat/>
    <w:uiPriority w:val="0"/>
    <w:pPr>
      <w:tabs>
        <w:tab w:val="left" w:pos="757"/>
      </w:tabs>
      <w:spacing w:line="360" w:lineRule="auto"/>
      <w:ind w:firstLine="397"/>
    </w:pPr>
    <w:rPr>
      <w:szCs w:val="20"/>
    </w:rPr>
  </w:style>
  <w:style w:type="paragraph" w:customStyle="1" w:styleId="166">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167">
    <w:name w:val="修订3"/>
    <w:hidden/>
    <w:semiHidden/>
    <w:qFormat/>
    <w:uiPriority w:val="99"/>
    <w:rPr>
      <w:rFonts w:ascii="Times New Roman" w:hAnsi="Times New Roman" w:eastAsia="宋体" w:cs="Times New Roman"/>
      <w:kern w:val="2"/>
      <w:sz w:val="21"/>
      <w:szCs w:val="24"/>
      <w:lang w:val="en-US" w:eastAsia="zh-CN" w:bidi="ar-SA"/>
    </w:rPr>
  </w:style>
  <w:style w:type="paragraph" w:customStyle="1" w:styleId="168">
    <w:name w:val="修订4"/>
    <w:hidden/>
    <w:semiHidden/>
    <w:qFormat/>
    <w:uiPriority w:val="99"/>
    <w:rPr>
      <w:rFonts w:ascii="Times New Roman" w:hAnsi="Times New Roman" w:eastAsia="宋体" w:cs="Times New Roman"/>
      <w:kern w:val="2"/>
      <w:sz w:val="21"/>
      <w:szCs w:val="24"/>
      <w:lang w:val="en-US" w:eastAsia="zh-CN" w:bidi="ar-SA"/>
    </w:rPr>
  </w:style>
  <w:style w:type="paragraph" w:customStyle="1" w:styleId="169">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170">
    <w:name w:val="p1"/>
    <w:basedOn w:val="1"/>
    <w:qFormat/>
    <w:uiPriority w:val="0"/>
    <w:pPr>
      <w:jc w:val="left"/>
    </w:pPr>
    <w:rPr>
      <w:rFonts w:ascii="pingfang sc" w:hAnsi="pingfang sc" w:eastAsia="pingfang sc"/>
      <w:kern w:val="0"/>
      <w:sz w:val="26"/>
      <w:szCs w:val="26"/>
    </w:rPr>
  </w:style>
  <w:style w:type="character" w:customStyle="1" w:styleId="171">
    <w:name w:val="s1"/>
    <w:basedOn w:val="45"/>
    <w:qFormat/>
    <w:uiPriority w:val="0"/>
    <w:rPr>
      <w:rFonts w:ascii="Helvetica Neue" w:hAnsi="Helvetica Neue" w:eastAsia="Helvetica Neue" w:cs="Helvetica Neue"/>
      <w:sz w:val="26"/>
      <w:szCs w:val="26"/>
    </w:rPr>
  </w:style>
  <w:style w:type="paragraph" w:customStyle="1" w:styleId="172">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9" Type="http://schemas.openxmlformats.org/officeDocument/2006/relationships/fontTable" Target="fontTable.xml"/><Relationship Id="rId38" Type="http://schemas.openxmlformats.org/officeDocument/2006/relationships/numbering" Target="numbering.xml"/><Relationship Id="rId37" Type="http://schemas.openxmlformats.org/officeDocument/2006/relationships/customXml" Target="../customXml/item1.xml"/><Relationship Id="rId36" Type="http://schemas.openxmlformats.org/officeDocument/2006/relationships/theme" Target="theme/theme1.xml"/><Relationship Id="rId35" Type="http://schemas.openxmlformats.org/officeDocument/2006/relationships/footer" Target="footer30.xml"/><Relationship Id="rId34" Type="http://schemas.openxmlformats.org/officeDocument/2006/relationships/header" Target="header3.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header" Target="header1.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122</Pages>
  <Words>15522</Words>
  <Characters>88477</Characters>
  <Lines>737</Lines>
  <Paragraphs>207</Paragraphs>
  <TotalTime>0</TotalTime>
  <ScaleCrop>false</ScaleCrop>
  <LinksUpToDate>false</LinksUpToDate>
  <CharactersWithSpaces>103792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2023-08-03T05:31:00Z</dcterms:created>
  <dc:creator>陈艳群</dc:creator>
  <cp:lastModifiedBy>fuxj</cp:lastModifiedBy>
  <cp:lastPrinted>2022-01-17T14:54:00Z</cp:lastPrinted>
  <dcterms:modified xsi:type="dcterms:W3CDTF">2024-03-14T08:09:21Z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897CF852045548FF8B282E46C893E75C</vt:lpwstr>
  </property>
</Properties>
</file>