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7B0994">
      <w:pPr>
        <w:spacing w:beforeLines="0" w:afterLines="0"/>
        <w:jc w:val="center"/>
        <w:rPr>
          <w:rFonts w:hint="default" w:ascii="宋体" w:hAnsi="宋体" w:eastAsia="宋体" w:cstheme="minorBidi"/>
          <w:b/>
          <w:sz w:val="30"/>
          <w:szCs w:val="22"/>
          <w:lang w:val="en-US" w:eastAsia="zh-CN" w:bidi="ar-SA"/>
        </w:rPr>
      </w:pPr>
      <w:r>
        <w:rPr>
          <w:rFonts w:hint="default" w:ascii="宋体" w:hAnsi="宋体" w:eastAsia="宋体" w:cstheme="minorBidi"/>
          <w:b/>
          <w:sz w:val="30"/>
          <w:szCs w:val="22"/>
          <w:lang w:val="en-US" w:eastAsia="zh-CN" w:bidi="ar-SA"/>
        </w:rPr>
        <w:t>关于博时裕通纯债3个月定期开放债券型发起式证券投资基金提前结束开放期并进入下一封闭期的公告</w:t>
      </w:r>
    </w:p>
    <w:p w14:paraId="7360C6E3">
      <w:pPr>
        <w:jc w:val="center"/>
        <w:rPr>
          <w:rFonts w:hint="eastAsia" w:ascii="宋体" w:hAnsi="宋体" w:eastAsia="宋体"/>
          <w:b/>
          <w:sz w:val="24"/>
          <w:lang w:eastAsia="zh-CN"/>
        </w:rPr>
      </w:pPr>
      <w:r>
        <w:rPr>
          <w:rFonts w:hint="eastAsia" w:ascii="宋体" w:hAnsi="宋体" w:eastAsia="宋体"/>
          <w:b/>
          <w:sz w:val="24"/>
        </w:rPr>
        <w:t>公告送出时间：</w:t>
      </w:r>
      <w:r>
        <w:rPr>
          <w:rFonts w:hint="eastAsia" w:ascii="宋体" w:hAnsi="宋体"/>
          <w:b/>
          <w:sz w:val="24"/>
          <w:lang w:eastAsia="zh-CN"/>
        </w:rPr>
        <w:t>202</w:t>
      </w:r>
      <w:r>
        <w:rPr>
          <w:rFonts w:hint="eastAsia" w:ascii="宋体" w:hAnsi="宋体"/>
          <w:b/>
          <w:sz w:val="24"/>
          <w:lang w:val="en-US" w:eastAsia="zh-CN"/>
        </w:rPr>
        <w:t>6</w:t>
      </w:r>
      <w:r>
        <w:rPr>
          <w:rFonts w:hint="eastAsia" w:ascii="宋体" w:hAnsi="宋体"/>
          <w:b/>
          <w:sz w:val="24"/>
          <w:lang w:eastAsia="zh-CN"/>
        </w:rPr>
        <w:t>年</w:t>
      </w:r>
      <w:r>
        <w:rPr>
          <w:rFonts w:hint="eastAsia" w:ascii="宋体" w:hAnsi="宋体"/>
          <w:b/>
          <w:sz w:val="24"/>
          <w:lang w:val="en-US" w:eastAsia="zh-CN"/>
        </w:rPr>
        <w:t>9</w:t>
      </w:r>
      <w:r>
        <w:rPr>
          <w:rFonts w:hint="eastAsia" w:ascii="宋体" w:hAnsi="宋体"/>
          <w:b/>
          <w:sz w:val="24"/>
          <w:lang w:eastAsia="zh-CN"/>
        </w:rPr>
        <w:t>月2</w:t>
      </w:r>
      <w:r>
        <w:rPr>
          <w:rFonts w:hint="eastAsia" w:ascii="宋体" w:hAnsi="宋体"/>
          <w:b/>
          <w:sz w:val="24"/>
          <w:lang w:val="en-US" w:eastAsia="zh-CN"/>
        </w:rPr>
        <w:t>9</w:t>
      </w:r>
      <w:r>
        <w:rPr>
          <w:rFonts w:hint="eastAsia" w:ascii="宋体" w:hAnsi="宋体"/>
          <w:b/>
          <w:sz w:val="24"/>
          <w:lang w:eastAsia="zh-CN"/>
        </w:rPr>
        <w:t>日</w:t>
      </w:r>
    </w:p>
    <w:p w14:paraId="20DE80AB">
      <w:pPr>
        <w:keepNext w:val="0"/>
        <w:keepLines w:val="0"/>
        <w:pageBreakBefore w:val="0"/>
        <w:widowControl/>
        <w:kinsoku/>
        <w:wordWrap/>
        <w:overflowPunct/>
        <w:topLinePunct w:val="0"/>
        <w:autoSpaceDE/>
        <w:autoSpaceDN/>
        <w:bidi w:val="0"/>
        <w:adjustRightInd/>
        <w:snapToGrid/>
        <w:spacing w:beforeLines="0" w:afterLines="0" w:line="360" w:lineRule="auto"/>
        <w:jc w:val="center"/>
        <w:textAlignment w:val="auto"/>
        <w:rPr>
          <w:rFonts w:hint="default" w:ascii="宋体" w:hAnsi="宋体" w:eastAsia="宋体" w:cstheme="minorBidi"/>
          <w:b/>
          <w:sz w:val="30"/>
          <w:szCs w:val="22"/>
          <w:lang w:val="en-US" w:eastAsia="zh-CN" w:bidi="ar-SA"/>
        </w:rPr>
      </w:pPr>
    </w:p>
    <w:p w14:paraId="4A6C393B">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jc w:val="left"/>
        <w:textAlignment w:val="auto"/>
        <w:rPr>
          <w:rFonts w:hint="default" w:ascii="宋体" w:hAnsi="宋体" w:eastAsia="宋体" w:cs="宋体"/>
          <w:kern w:val="0"/>
          <w:sz w:val="24"/>
          <w:szCs w:val="24"/>
          <w:highlight w:val="none"/>
          <w:lang w:val="en-US" w:eastAsia="zh-CN" w:bidi="ar-SA"/>
        </w:rPr>
      </w:pPr>
      <w:r>
        <w:rPr>
          <w:rFonts w:hint="default" w:ascii="宋体" w:hAnsi="宋体" w:eastAsia="宋体" w:cs="宋体"/>
          <w:kern w:val="0"/>
          <w:sz w:val="24"/>
          <w:szCs w:val="24"/>
          <w:lang w:val="en-US" w:eastAsia="zh-CN" w:bidi="ar-SA"/>
        </w:rPr>
        <w:t>根据</w:t>
      </w:r>
      <w:r>
        <w:rPr>
          <w:rFonts w:hint="eastAsia" w:ascii="宋体" w:hAnsi="宋体" w:eastAsia="宋体" w:cs="宋体"/>
          <w:kern w:val="0"/>
          <w:sz w:val="24"/>
          <w:szCs w:val="24"/>
          <w:lang w:val="en-US" w:eastAsia="zh-CN" w:bidi="ar-SA"/>
        </w:rPr>
        <w:t>202</w:t>
      </w:r>
      <w:r>
        <w:rPr>
          <w:rFonts w:hint="eastAsia" w:ascii="宋体" w:hAnsi="宋体" w:cs="宋体"/>
          <w:kern w:val="0"/>
          <w:sz w:val="24"/>
          <w:szCs w:val="24"/>
          <w:lang w:val="en-US" w:eastAsia="zh-CN" w:bidi="ar-SA"/>
        </w:rPr>
        <w:t>6</w:t>
      </w:r>
      <w:r>
        <w:rPr>
          <w:rFonts w:hint="eastAsia" w:ascii="宋体" w:hAnsi="宋体" w:eastAsia="宋体" w:cs="宋体"/>
          <w:kern w:val="0"/>
          <w:sz w:val="24"/>
          <w:szCs w:val="24"/>
          <w:lang w:val="en-US" w:eastAsia="zh-CN" w:bidi="ar-SA"/>
        </w:rPr>
        <w:t>年</w:t>
      </w:r>
      <w:r>
        <w:rPr>
          <w:rFonts w:hint="eastAsia" w:ascii="宋体" w:hAnsi="宋体" w:cs="宋体"/>
          <w:kern w:val="0"/>
          <w:sz w:val="24"/>
          <w:szCs w:val="24"/>
          <w:lang w:val="en-US" w:eastAsia="zh-CN" w:bidi="ar-SA"/>
        </w:rPr>
        <w:t>8</w:t>
      </w:r>
      <w:r>
        <w:rPr>
          <w:rFonts w:hint="eastAsia" w:ascii="宋体" w:hAnsi="宋体" w:eastAsia="宋体" w:cs="宋体"/>
          <w:kern w:val="0"/>
          <w:sz w:val="24"/>
          <w:szCs w:val="24"/>
          <w:lang w:val="en-US" w:eastAsia="zh-CN" w:bidi="ar-SA"/>
        </w:rPr>
        <w:t>月</w:t>
      </w:r>
      <w:r>
        <w:rPr>
          <w:rFonts w:hint="eastAsia" w:ascii="宋体" w:hAnsi="宋体" w:cs="宋体"/>
          <w:kern w:val="0"/>
          <w:sz w:val="24"/>
          <w:szCs w:val="24"/>
          <w:lang w:val="en-US" w:eastAsia="zh-CN" w:bidi="ar-SA"/>
        </w:rPr>
        <w:t>29</w:t>
      </w:r>
      <w:r>
        <w:rPr>
          <w:rFonts w:hint="default" w:ascii="宋体" w:hAnsi="宋体" w:eastAsia="宋体" w:cs="宋体"/>
          <w:kern w:val="0"/>
          <w:sz w:val="24"/>
          <w:szCs w:val="24"/>
          <w:lang w:val="en-US" w:eastAsia="zh-CN" w:bidi="ar-SA"/>
        </w:rPr>
        <w:t>日发布的《博时裕通纯债3个月定期开放债券型发起式证券投资基金开放申购、赎回、转换业务公告》，</w:t>
      </w:r>
      <w:r>
        <w:rPr>
          <w:rFonts w:hint="eastAsia" w:ascii="宋体" w:hAnsi="宋体" w:cs="宋体"/>
          <w:kern w:val="0"/>
          <w:sz w:val="24"/>
          <w:szCs w:val="24"/>
          <w:lang w:val="en-US" w:eastAsia="zh-CN" w:bidi="ar-SA"/>
        </w:rPr>
        <w:t>博时裕通纯债3个月定期开放债券型发起式证券投资基金</w:t>
      </w:r>
      <w:r>
        <w:rPr>
          <w:rFonts w:hint="default" w:ascii="宋体" w:hAnsi="宋体" w:eastAsia="宋体" w:cs="宋体"/>
          <w:kern w:val="0"/>
          <w:sz w:val="24"/>
          <w:szCs w:val="24"/>
          <w:lang w:val="en-US" w:eastAsia="zh-CN" w:bidi="ar-SA"/>
        </w:rPr>
        <w:t>（以下简称“本基金”）原定“2026年9月2日至2026年9月30日为本基金</w:t>
      </w:r>
      <w:r>
        <w:rPr>
          <w:rFonts w:hint="eastAsia" w:ascii="宋体" w:hAnsi="宋体" w:eastAsia="宋体" w:cs="宋体"/>
          <w:kern w:val="0"/>
          <w:sz w:val="24"/>
          <w:szCs w:val="24"/>
          <w:lang w:val="en-US" w:eastAsia="zh-CN" w:bidi="ar-SA"/>
        </w:rPr>
        <w:t>本次</w:t>
      </w:r>
      <w:r>
        <w:rPr>
          <w:rFonts w:hint="default" w:ascii="宋体" w:hAnsi="宋体" w:eastAsia="宋体" w:cs="宋体"/>
          <w:kern w:val="0"/>
          <w:sz w:val="24"/>
          <w:szCs w:val="24"/>
          <w:highlight w:val="none"/>
          <w:lang w:val="en-US" w:eastAsia="zh-CN" w:bidi="ar-SA"/>
        </w:rPr>
        <w:t>开放期，即在开放期内接受办理本基金份额的申购、赎回、转换业务</w:t>
      </w:r>
      <w:r>
        <w:rPr>
          <w:rFonts w:hint="eastAsia" w:ascii="宋体" w:hAnsi="宋体" w:cs="宋体"/>
          <w:kern w:val="0"/>
          <w:sz w:val="24"/>
          <w:szCs w:val="24"/>
          <w:highlight w:val="none"/>
          <w:lang w:val="en-US" w:eastAsia="zh-CN" w:bidi="ar-SA"/>
        </w:rPr>
        <w:t>。</w:t>
      </w:r>
      <w:r>
        <w:rPr>
          <w:rFonts w:hint="default" w:ascii="宋体" w:hAnsi="宋体" w:eastAsia="宋体" w:cs="宋体"/>
          <w:kern w:val="0"/>
          <w:sz w:val="24"/>
          <w:szCs w:val="24"/>
          <w:highlight w:val="none"/>
          <w:lang w:val="en-US" w:eastAsia="zh-CN" w:bidi="ar-SA"/>
        </w:rPr>
        <w:t>”</w:t>
      </w:r>
    </w:p>
    <w:p w14:paraId="4907A682">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jc w:val="left"/>
        <w:textAlignment w:val="auto"/>
        <w:rPr>
          <w:rFonts w:hint="default" w:ascii="宋体" w:hAnsi="宋体" w:eastAsia="宋体" w:cs="宋体"/>
          <w:kern w:val="0"/>
          <w:sz w:val="24"/>
          <w:szCs w:val="24"/>
          <w:lang w:val="en-US" w:eastAsia="zh-CN" w:bidi="ar-SA"/>
        </w:rPr>
      </w:pPr>
      <w:r>
        <w:rPr>
          <w:rFonts w:hint="default" w:ascii="宋体" w:hAnsi="宋体" w:eastAsia="宋体" w:cs="宋体"/>
          <w:kern w:val="0"/>
          <w:sz w:val="24"/>
          <w:szCs w:val="24"/>
          <w:highlight w:val="none"/>
          <w:lang w:val="en-US" w:eastAsia="zh-CN" w:bidi="ar-SA"/>
        </w:rPr>
        <w:t>为了更好的保护持有人利益，保障基金平稳运作，根据《中华人民共和国证券投资</w:t>
      </w:r>
      <w:r>
        <w:rPr>
          <w:rFonts w:hint="default" w:ascii="宋体" w:hAnsi="宋体" w:eastAsia="宋体" w:cs="宋体"/>
          <w:kern w:val="0"/>
          <w:sz w:val="24"/>
          <w:szCs w:val="24"/>
          <w:lang w:val="en-US" w:eastAsia="zh-CN" w:bidi="ar-SA"/>
        </w:rPr>
        <w:t>基金法》、《公开募集证券投资基金运作管理办法》以及《</w:t>
      </w:r>
      <w:r>
        <w:rPr>
          <w:rFonts w:hint="eastAsia" w:ascii="宋体" w:hAnsi="宋体" w:cs="宋体"/>
          <w:kern w:val="0"/>
          <w:sz w:val="24"/>
          <w:szCs w:val="24"/>
          <w:lang w:val="en-US" w:eastAsia="zh-CN" w:bidi="ar-SA"/>
        </w:rPr>
        <w:t>博时裕通纯债3个月定期开放债券型发起式证券投资基金</w:t>
      </w:r>
      <w:r>
        <w:rPr>
          <w:rFonts w:hint="default" w:ascii="宋体" w:hAnsi="宋体" w:eastAsia="宋体" w:cs="宋体"/>
          <w:kern w:val="0"/>
          <w:sz w:val="24"/>
          <w:szCs w:val="24"/>
          <w:lang w:val="en-US" w:eastAsia="zh-CN" w:bidi="ar-SA"/>
        </w:rPr>
        <w:t>基金合同》、《</w:t>
      </w:r>
      <w:r>
        <w:rPr>
          <w:rFonts w:hint="eastAsia" w:ascii="宋体" w:hAnsi="宋体" w:cs="宋体"/>
          <w:kern w:val="0"/>
          <w:sz w:val="24"/>
          <w:szCs w:val="24"/>
          <w:lang w:val="en-US" w:eastAsia="zh-CN" w:bidi="ar-SA"/>
        </w:rPr>
        <w:t>博时裕通纯债3个月定期开放债券型发起式证券投资基金</w:t>
      </w:r>
      <w:r>
        <w:rPr>
          <w:rFonts w:hint="default" w:ascii="宋体" w:hAnsi="宋体" w:eastAsia="宋体" w:cs="宋体"/>
          <w:kern w:val="0"/>
          <w:sz w:val="24"/>
          <w:szCs w:val="24"/>
          <w:lang w:val="en-US" w:eastAsia="zh-CN" w:bidi="ar-SA"/>
        </w:rPr>
        <w:t>招募说明书》的有关规定，本基金管理人</w:t>
      </w:r>
      <w:r>
        <w:rPr>
          <w:rFonts w:hint="eastAsia" w:ascii="宋体" w:hAnsi="宋体" w:eastAsia="宋体" w:cs="宋体"/>
          <w:kern w:val="0"/>
          <w:sz w:val="24"/>
          <w:szCs w:val="24"/>
          <w:lang w:val="en-US" w:eastAsia="zh-CN" w:bidi="ar-SA"/>
        </w:rPr>
        <w:t>博时基金管理有限公司</w:t>
      </w:r>
      <w:r>
        <w:rPr>
          <w:rFonts w:hint="default" w:ascii="宋体" w:hAnsi="宋体" w:eastAsia="宋体" w:cs="宋体"/>
          <w:kern w:val="0"/>
          <w:sz w:val="24"/>
          <w:szCs w:val="24"/>
          <w:lang w:val="en-US" w:eastAsia="zh-CN" w:bidi="ar-SA"/>
        </w:rPr>
        <w:t>（以下简称“本公司”）决定于</w:t>
      </w:r>
      <w:r>
        <w:rPr>
          <w:rFonts w:hint="eastAsia" w:ascii="宋体" w:hAnsi="宋体" w:eastAsia="宋体" w:cs="宋体"/>
          <w:kern w:val="0"/>
          <w:sz w:val="24"/>
          <w:szCs w:val="24"/>
          <w:lang w:val="en-US" w:eastAsia="zh-CN" w:bidi="ar-SA"/>
        </w:rPr>
        <w:t>202</w:t>
      </w:r>
      <w:r>
        <w:rPr>
          <w:rFonts w:hint="eastAsia" w:ascii="宋体" w:hAnsi="宋体" w:cs="宋体"/>
          <w:kern w:val="0"/>
          <w:sz w:val="24"/>
          <w:szCs w:val="24"/>
          <w:lang w:val="en-US" w:eastAsia="zh-CN" w:bidi="ar-SA"/>
        </w:rPr>
        <w:t>6</w:t>
      </w:r>
      <w:r>
        <w:rPr>
          <w:rFonts w:hint="eastAsia" w:ascii="宋体" w:hAnsi="宋体" w:eastAsia="宋体" w:cs="宋体"/>
          <w:kern w:val="0"/>
          <w:sz w:val="24"/>
          <w:szCs w:val="24"/>
          <w:lang w:val="en-US" w:eastAsia="zh-CN" w:bidi="ar-SA"/>
        </w:rPr>
        <w:t>年</w:t>
      </w:r>
      <w:r>
        <w:rPr>
          <w:rFonts w:hint="eastAsia" w:ascii="宋体" w:hAnsi="宋体" w:cs="宋体"/>
          <w:kern w:val="0"/>
          <w:sz w:val="24"/>
          <w:szCs w:val="24"/>
          <w:lang w:val="en-US" w:eastAsia="zh-CN" w:bidi="ar-SA"/>
        </w:rPr>
        <w:t>9</w:t>
      </w:r>
      <w:r>
        <w:rPr>
          <w:rFonts w:hint="eastAsia" w:ascii="宋体" w:hAnsi="宋体" w:eastAsia="宋体" w:cs="宋体"/>
          <w:kern w:val="0"/>
          <w:sz w:val="24"/>
          <w:szCs w:val="24"/>
          <w:lang w:val="en-US" w:eastAsia="zh-CN" w:bidi="ar-SA"/>
        </w:rPr>
        <w:t>月</w:t>
      </w:r>
      <w:r>
        <w:rPr>
          <w:rFonts w:hint="eastAsia" w:ascii="宋体" w:hAnsi="宋体" w:cs="宋体"/>
          <w:kern w:val="0"/>
          <w:sz w:val="24"/>
          <w:szCs w:val="24"/>
          <w:lang w:val="en-US" w:eastAsia="zh-CN" w:bidi="ar-SA"/>
        </w:rPr>
        <w:t>29</w:t>
      </w:r>
      <w:r>
        <w:rPr>
          <w:rFonts w:hint="eastAsia" w:ascii="宋体" w:hAnsi="宋体" w:eastAsia="宋体" w:cs="宋体"/>
          <w:kern w:val="0"/>
          <w:sz w:val="24"/>
          <w:szCs w:val="24"/>
          <w:lang w:val="en-US" w:eastAsia="zh-CN" w:bidi="ar-SA"/>
        </w:rPr>
        <w:t>日</w:t>
      </w:r>
      <w:r>
        <w:rPr>
          <w:rFonts w:hint="default" w:ascii="宋体" w:hAnsi="宋体" w:eastAsia="宋体" w:cs="宋体"/>
          <w:kern w:val="0"/>
          <w:sz w:val="24"/>
          <w:szCs w:val="24"/>
          <w:lang w:val="en-US" w:eastAsia="zh-CN" w:bidi="ar-SA"/>
        </w:rPr>
        <w:t>提前结束本基金的申购、赎回</w:t>
      </w:r>
      <w:r>
        <w:rPr>
          <w:rFonts w:hint="eastAsia" w:ascii="宋体" w:hAnsi="宋体" w:cs="宋体"/>
          <w:kern w:val="0"/>
          <w:sz w:val="24"/>
          <w:szCs w:val="24"/>
          <w:lang w:val="en-US" w:eastAsia="zh-CN" w:bidi="ar-SA"/>
        </w:rPr>
        <w:t>、转换</w:t>
      </w:r>
      <w:r>
        <w:rPr>
          <w:rFonts w:hint="default" w:ascii="宋体" w:hAnsi="宋体" w:eastAsia="宋体" w:cs="宋体"/>
          <w:kern w:val="0"/>
          <w:sz w:val="24"/>
          <w:szCs w:val="24"/>
          <w:lang w:val="en-US" w:eastAsia="zh-CN" w:bidi="ar-SA"/>
        </w:rPr>
        <w:t>业务，2026年9月29日15：00以后暂停接受办理本基金的申购</w:t>
      </w:r>
      <w:bookmarkStart w:id="0" w:name="_GoBack"/>
      <w:bookmarkEnd w:id="0"/>
      <w:r>
        <w:rPr>
          <w:rFonts w:hint="default" w:ascii="宋体" w:hAnsi="宋体" w:eastAsia="宋体" w:cs="宋体"/>
          <w:kern w:val="0"/>
          <w:sz w:val="24"/>
          <w:szCs w:val="24"/>
          <w:lang w:val="en-US" w:eastAsia="zh-CN" w:bidi="ar-SA"/>
        </w:rPr>
        <w:t>、赎回、转换业务并自</w:t>
      </w:r>
      <w:r>
        <w:rPr>
          <w:rFonts w:hint="eastAsia" w:ascii="宋体" w:hAnsi="宋体" w:cs="宋体"/>
          <w:kern w:val="0"/>
          <w:sz w:val="24"/>
          <w:szCs w:val="24"/>
          <w:lang w:val="en-US" w:eastAsia="zh-CN" w:bidi="ar-SA"/>
        </w:rPr>
        <w:t>2026年9月30日（含该日）</w:t>
      </w:r>
      <w:r>
        <w:rPr>
          <w:rFonts w:hint="eastAsia" w:ascii="宋体" w:hAnsi="宋体" w:eastAsia="宋体" w:cs="宋体"/>
          <w:kern w:val="0"/>
          <w:sz w:val="24"/>
          <w:szCs w:val="24"/>
          <w:lang w:val="en-US" w:eastAsia="zh-CN" w:bidi="ar-SA"/>
        </w:rPr>
        <w:t>起</w:t>
      </w:r>
      <w:r>
        <w:rPr>
          <w:rFonts w:hint="default" w:ascii="宋体" w:hAnsi="宋体" w:eastAsia="宋体" w:cs="宋体"/>
          <w:kern w:val="0"/>
          <w:sz w:val="24"/>
          <w:szCs w:val="24"/>
          <w:lang w:val="en-US" w:eastAsia="zh-CN" w:bidi="ar-SA"/>
        </w:rPr>
        <w:t>进入下一个封闭期。本基金在封闭期内不办理申购、赎回</w:t>
      </w:r>
      <w:r>
        <w:rPr>
          <w:rFonts w:hint="eastAsia" w:ascii="宋体" w:hAnsi="宋体" w:cs="宋体"/>
          <w:kern w:val="0"/>
          <w:sz w:val="24"/>
          <w:szCs w:val="24"/>
          <w:lang w:val="en-US" w:eastAsia="zh-CN" w:bidi="ar-SA"/>
        </w:rPr>
        <w:t>、转换</w:t>
      </w:r>
      <w:r>
        <w:rPr>
          <w:rFonts w:hint="default" w:ascii="宋体" w:hAnsi="宋体" w:eastAsia="宋体" w:cs="宋体"/>
          <w:kern w:val="0"/>
          <w:sz w:val="24"/>
          <w:szCs w:val="24"/>
          <w:lang w:val="en-US" w:eastAsia="zh-CN" w:bidi="ar-SA"/>
        </w:rPr>
        <w:t>业务。</w:t>
      </w:r>
    </w:p>
    <w:p w14:paraId="23E094D2">
      <w:pPr>
        <w:keepNext w:val="0"/>
        <w:keepLines w:val="0"/>
        <w:pageBreakBefore w:val="0"/>
        <w:widowControl/>
        <w:kinsoku/>
        <w:wordWrap/>
        <w:overflowPunct/>
        <w:topLinePunct w:val="0"/>
        <w:autoSpaceDE/>
        <w:autoSpaceDN/>
        <w:bidi w:val="0"/>
        <w:adjustRightInd/>
        <w:snapToGrid/>
        <w:spacing w:beforeLines="0" w:afterLines="0" w:line="360" w:lineRule="auto"/>
        <w:jc w:val="left"/>
        <w:textAlignment w:val="auto"/>
        <w:rPr>
          <w:rFonts w:hint="default" w:ascii="宋体" w:hAnsi="宋体" w:eastAsia="宋体" w:cs="宋体"/>
          <w:kern w:val="0"/>
          <w:sz w:val="24"/>
          <w:szCs w:val="24"/>
          <w:lang w:val="en-US" w:eastAsia="zh-CN" w:bidi="ar-SA"/>
        </w:rPr>
      </w:pPr>
    </w:p>
    <w:p w14:paraId="30B2C67D">
      <w:pPr>
        <w:keepNext w:val="0"/>
        <w:keepLines w:val="0"/>
        <w:pageBreakBefore w:val="0"/>
        <w:widowControl/>
        <w:kinsoku/>
        <w:wordWrap/>
        <w:overflowPunct/>
        <w:topLinePunct w:val="0"/>
        <w:autoSpaceDE/>
        <w:autoSpaceDN/>
        <w:bidi w:val="0"/>
        <w:adjustRightInd/>
        <w:snapToGrid/>
        <w:spacing w:beforeLines="0" w:afterLines="0" w:line="360" w:lineRule="auto"/>
        <w:jc w:val="left"/>
        <w:textAlignment w:val="auto"/>
        <w:rPr>
          <w:rFonts w:hint="default" w:ascii="宋体" w:hAnsi="宋体" w:eastAsia="宋体" w:cs="宋体"/>
          <w:kern w:val="0"/>
          <w:sz w:val="24"/>
          <w:szCs w:val="24"/>
          <w:lang w:val="en-US" w:eastAsia="zh-CN" w:bidi="ar-SA"/>
        </w:rPr>
      </w:pPr>
      <w:r>
        <w:rPr>
          <w:rFonts w:hint="default" w:ascii="宋体" w:hAnsi="宋体" w:eastAsia="宋体" w:cs="宋体"/>
          <w:kern w:val="0"/>
          <w:sz w:val="24"/>
          <w:szCs w:val="24"/>
          <w:lang w:val="en-US" w:eastAsia="zh-CN" w:bidi="ar-SA"/>
        </w:rPr>
        <w:t>重要提示：</w:t>
      </w:r>
    </w:p>
    <w:p w14:paraId="2DE90368">
      <w:pPr>
        <w:keepNext w:val="0"/>
        <w:keepLines w:val="0"/>
        <w:pageBreakBefore w:val="0"/>
        <w:widowControl/>
        <w:kinsoku/>
        <w:wordWrap/>
        <w:overflowPunct/>
        <w:topLinePunct w:val="0"/>
        <w:autoSpaceDE/>
        <w:autoSpaceDN/>
        <w:bidi w:val="0"/>
        <w:adjustRightInd/>
        <w:snapToGrid/>
        <w:spacing w:beforeLines="0" w:afterLines="0" w:line="360" w:lineRule="auto"/>
        <w:jc w:val="center"/>
        <w:textAlignment w:val="auto"/>
        <w:rPr>
          <w:rFonts w:hint="default" w:ascii="宋体" w:hAnsi="宋体" w:eastAsia="宋体" w:cs="宋体"/>
          <w:kern w:val="0"/>
          <w:sz w:val="24"/>
          <w:szCs w:val="24"/>
          <w:lang w:val="en-US" w:eastAsia="zh-CN" w:bidi="ar-SA"/>
        </w:rPr>
      </w:pPr>
      <w:r>
        <w:rPr>
          <w:rFonts w:hint="eastAsia" w:ascii="宋体" w:hAnsi="宋体" w:cs="宋体"/>
          <w:kern w:val="0"/>
          <w:sz w:val="24"/>
          <w:szCs w:val="24"/>
          <w:lang w:val="en-US" w:eastAsia="zh-CN" w:bidi="ar-SA"/>
        </w:rPr>
        <w:t>1、</w:t>
      </w:r>
      <w:r>
        <w:rPr>
          <w:rFonts w:hint="default" w:ascii="宋体" w:hAnsi="宋体" w:eastAsia="宋体" w:cs="宋体"/>
          <w:kern w:val="0"/>
          <w:sz w:val="24"/>
          <w:szCs w:val="24"/>
          <w:lang w:val="en-US" w:eastAsia="zh-CN" w:bidi="ar-SA"/>
        </w:rPr>
        <w:t>本公告仅对本基金本次提前结束开放期并进入下一封闭期的有关事项予以说明。投资者欲了解本基金的详细情况，请仔细阅读本基金《基金合同》和《招募说明书》</w:t>
      </w:r>
      <w:r>
        <w:rPr>
          <w:rFonts w:hint="eastAsia" w:ascii="宋体" w:hAnsi="宋体" w:cs="宋体"/>
          <w:kern w:val="0"/>
          <w:sz w:val="24"/>
          <w:szCs w:val="24"/>
          <w:lang w:val="en-US" w:eastAsia="zh-CN" w:bidi="ar-SA"/>
        </w:rPr>
        <w:t>。</w:t>
      </w:r>
    </w:p>
    <w:p w14:paraId="6DFD6E1F">
      <w:pPr>
        <w:keepNext w:val="0"/>
        <w:keepLines w:val="0"/>
        <w:pageBreakBefore w:val="0"/>
        <w:widowControl/>
        <w:kinsoku/>
        <w:wordWrap/>
        <w:overflowPunct/>
        <w:topLinePunct w:val="0"/>
        <w:autoSpaceDE/>
        <w:autoSpaceDN/>
        <w:bidi w:val="0"/>
        <w:adjustRightInd/>
        <w:snapToGrid/>
        <w:spacing w:beforeLines="0" w:afterLines="0" w:line="360" w:lineRule="auto"/>
        <w:jc w:val="left"/>
        <w:textAlignment w:val="auto"/>
        <w:rPr>
          <w:rFonts w:hint="default" w:ascii="宋体" w:hAnsi="宋体" w:eastAsia="宋体" w:cs="宋体"/>
          <w:kern w:val="0"/>
          <w:sz w:val="24"/>
          <w:szCs w:val="24"/>
          <w:lang w:val="en-US" w:eastAsia="zh-CN" w:bidi="ar-SA"/>
        </w:rPr>
      </w:pPr>
      <w:r>
        <w:rPr>
          <w:rFonts w:hint="default" w:ascii="宋体" w:hAnsi="宋体" w:eastAsia="宋体" w:cs="宋体"/>
          <w:kern w:val="0"/>
          <w:sz w:val="24"/>
          <w:szCs w:val="24"/>
          <w:lang w:val="en-US" w:eastAsia="zh-CN" w:bidi="ar-SA"/>
        </w:rPr>
        <w:t xml:space="preserve">2、如有疑问，请拨打博时一线通：95105568（免长途话费）或登录本公司网站www.bosera.com获取相关信息。 </w:t>
      </w:r>
    </w:p>
    <w:p w14:paraId="1F2DAA0C">
      <w:pPr>
        <w:keepNext w:val="0"/>
        <w:keepLines w:val="0"/>
        <w:pageBreakBefore w:val="0"/>
        <w:widowControl/>
        <w:kinsoku/>
        <w:wordWrap/>
        <w:overflowPunct/>
        <w:topLinePunct w:val="0"/>
        <w:autoSpaceDE/>
        <w:autoSpaceDN/>
        <w:bidi w:val="0"/>
        <w:adjustRightInd/>
        <w:snapToGrid/>
        <w:spacing w:beforeLines="0" w:afterLines="0" w:line="360" w:lineRule="auto"/>
        <w:jc w:val="left"/>
        <w:textAlignment w:val="auto"/>
        <w:rPr>
          <w:rFonts w:hint="default" w:ascii="宋体" w:hAnsi="宋体" w:eastAsia="宋体" w:cs="宋体"/>
          <w:kern w:val="0"/>
          <w:sz w:val="24"/>
          <w:szCs w:val="24"/>
          <w:lang w:val="en-US" w:eastAsia="zh-CN" w:bidi="ar-SA"/>
        </w:rPr>
      </w:pPr>
    </w:p>
    <w:p w14:paraId="1605E303">
      <w:pPr>
        <w:keepNext w:val="0"/>
        <w:keepLines w:val="0"/>
        <w:pageBreakBefore w:val="0"/>
        <w:widowControl/>
        <w:kinsoku/>
        <w:wordWrap/>
        <w:overflowPunct/>
        <w:topLinePunct w:val="0"/>
        <w:autoSpaceDE/>
        <w:autoSpaceDN/>
        <w:bidi w:val="0"/>
        <w:adjustRightInd/>
        <w:snapToGrid/>
        <w:spacing w:beforeLines="0" w:afterLines="0" w:line="360" w:lineRule="auto"/>
        <w:jc w:val="left"/>
        <w:textAlignment w:val="auto"/>
        <w:rPr>
          <w:rFonts w:hint="default" w:ascii="宋体" w:hAnsi="宋体" w:eastAsia="宋体" w:cs="宋体"/>
          <w:kern w:val="0"/>
          <w:sz w:val="24"/>
          <w:szCs w:val="24"/>
          <w:lang w:val="en-US" w:eastAsia="zh-CN" w:bidi="ar-SA"/>
        </w:rPr>
      </w:pPr>
      <w:r>
        <w:rPr>
          <w:rFonts w:hint="default" w:ascii="宋体" w:hAnsi="宋体" w:eastAsia="宋体" w:cs="宋体"/>
          <w:kern w:val="0"/>
          <w:sz w:val="24"/>
          <w:szCs w:val="24"/>
          <w:lang w:val="en-US" w:eastAsia="zh-CN" w:bidi="ar-SA"/>
        </w:rPr>
        <w:t xml:space="preserve">风险提示：本基金管理人承诺诚实信用地管理和运用基金财产，但不保证基金一定盈利，也不保证最低收益。基金的过往业绩并不代表其未来表现。投资有风险，敬请投资人认真阅读基金的相关法律文件，并选择适合自身风险承受能力的投资品种进行投资。 </w:t>
      </w:r>
    </w:p>
    <w:p w14:paraId="4DE2620D">
      <w:pPr>
        <w:keepNext w:val="0"/>
        <w:keepLines w:val="0"/>
        <w:pageBreakBefore w:val="0"/>
        <w:widowControl/>
        <w:kinsoku/>
        <w:wordWrap/>
        <w:overflowPunct/>
        <w:topLinePunct w:val="0"/>
        <w:autoSpaceDE/>
        <w:autoSpaceDN/>
        <w:bidi w:val="0"/>
        <w:adjustRightInd/>
        <w:snapToGrid/>
        <w:spacing w:beforeLines="0" w:afterLines="0" w:line="360" w:lineRule="auto"/>
        <w:jc w:val="left"/>
        <w:textAlignment w:val="auto"/>
        <w:rPr>
          <w:rFonts w:hint="default" w:ascii="宋体" w:hAnsi="宋体" w:eastAsia="宋体" w:cs="宋体"/>
          <w:kern w:val="0"/>
          <w:sz w:val="24"/>
          <w:szCs w:val="24"/>
          <w:lang w:val="en-US" w:eastAsia="zh-CN" w:bidi="ar-SA"/>
        </w:rPr>
      </w:pPr>
    </w:p>
    <w:p w14:paraId="4E70CC9E">
      <w:pPr>
        <w:keepNext w:val="0"/>
        <w:keepLines w:val="0"/>
        <w:pageBreakBefore w:val="0"/>
        <w:widowControl/>
        <w:kinsoku/>
        <w:wordWrap/>
        <w:overflowPunct/>
        <w:topLinePunct w:val="0"/>
        <w:autoSpaceDE/>
        <w:autoSpaceDN/>
        <w:bidi w:val="0"/>
        <w:adjustRightInd/>
        <w:snapToGrid/>
        <w:spacing w:beforeLines="0" w:afterLines="0" w:line="360" w:lineRule="auto"/>
        <w:jc w:val="left"/>
        <w:textAlignment w:val="auto"/>
        <w:rPr>
          <w:rFonts w:hint="default" w:ascii="宋体" w:hAnsi="宋体" w:eastAsia="宋体" w:cs="宋体"/>
          <w:kern w:val="0"/>
          <w:sz w:val="24"/>
          <w:szCs w:val="24"/>
          <w:lang w:val="en-US" w:eastAsia="zh-CN" w:bidi="ar-SA"/>
        </w:rPr>
      </w:pPr>
      <w:r>
        <w:rPr>
          <w:rFonts w:hint="default" w:ascii="宋体" w:hAnsi="宋体" w:eastAsia="宋体" w:cs="宋体"/>
          <w:kern w:val="0"/>
          <w:sz w:val="24"/>
          <w:szCs w:val="24"/>
          <w:lang w:val="en-US" w:eastAsia="zh-CN" w:bidi="ar-SA"/>
        </w:rPr>
        <w:t>特此公告。</w:t>
      </w:r>
    </w:p>
    <w:p w14:paraId="34374D22">
      <w:pPr>
        <w:keepNext w:val="0"/>
        <w:keepLines w:val="0"/>
        <w:pageBreakBefore w:val="0"/>
        <w:widowControl/>
        <w:kinsoku/>
        <w:wordWrap/>
        <w:overflowPunct/>
        <w:topLinePunct w:val="0"/>
        <w:autoSpaceDE/>
        <w:autoSpaceDN/>
        <w:bidi w:val="0"/>
        <w:adjustRightInd/>
        <w:snapToGrid/>
        <w:spacing w:beforeLines="0" w:afterLines="0" w:line="360" w:lineRule="auto"/>
        <w:jc w:val="both"/>
        <w:textAlignment w:val="auto"/>
        <w:rPr>
          <w:rFonts w:hint="eastAsia" w:ascii="宋体" w:hAnsi="宋体" w:eastAsia="宋体" w:cs="宋体"/>
          <w:kern w:val="0"/>
          <w:sz w:val="24"/>
          <w:szCs w:val="24"/>
          <w:lang w:val="en-US" w:eastAsia="zh-CN" w:bidi="ar-SA"/>
        </w:rPr>
      </w:pPr>
    </w:p>
    <w:p w14:paraId="362600B1">
      <w:pPr>
        <w:keepNext w:val="0"/>
        <w:keepLines w:val="0"/>
        <w:pageBreakBefore w:val="0"/>
        <w:widowControl/>
        <w:kinsoku/>
        <w:wordWrap/>
        <w:overflowPunct/>
        <w:topLinePunct w:val="0"/>
        <w:autoSpaceDE/>
        <w:autoSpaceDN/>
        <w:bidi w:val="0"/>
        <w:adjustRightInd/>
        <w:snapToGrid/>
        <w:spacing w:beforeLines="0" w:afterLines="0" w:line="360" w:lineRule="auto"/>
        <w:jc w:val="right"/>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博时基金管理有限公司</w:t>
      </w:r>
    </w:p>
    <w:p w14:paraId="419556C2">
      <w:pPr>
        <w:keepNext w:val="0"/>
        <w:keepLines w:val="0"/>
        <w:pageBreakBefore w:val="0"/>
        <w:widowControl/>
        <w:kinsoku/>
        <w:wordWrap/>
        <w:overflowPunct/>
        <w:topLinePunct w:val="0"/>
        <w:autoSpaceDE/>
        <w:autoSpaceDN/>
        <w:bidi w:val="0"/>
        <w:adjustRightInd/>
        <w:snapToGrid/>
        <w:spacing w:line="360" w:lineRule="auto"/>
        <w:jc w:val="right"/>
        <w:textAlignment w:val="auto"/>
        <w:rPr>
          <w:rFonts w:hint="eastAsia" w:ascii="宋体" w:hAnsi="宋体" w:eastAsia="宋体" w:cs="宋体"/>
          <w:kern w:val="0"/>
          <w:sz w:val="24"/>
          <w:szCs w:val="24"/>
          <w:lang w:val="en-US" w:eastAsia="zh-CN" w:bidi="ar-SA"/>
        </w:rPr>
      </w:pPr>
      <w:r>
        <w:rPr>
          <w:rFonts w:hint="eastAsia" w:ascii="宋体" w:hAnsi="宋体" w:cs="宋体"/>
          <w:kern w:val="0"/>
          <w:sz w:val="24"/>
          <w:szCs w:val="24"/>
          <w:lang w:val="en-US" w:eastAsia="zh-CN" w:bidi="ar-SA"/>
        </w:rPr>
        <w:t>2026年9月29日</w:t>
      </w:r>
    </w:p>
    <w:sectPr>
      <w:pgSz w:w="11906" w:h="17338"/>
      <w:pgMar w:top="1981" w:right="1212" w:bottom="1440" w:left="1529" w:header="720" w:footer="720" w:gutter="0"/>
      <w:lnNumType w:countBy="0" w:distance="36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6C3163B"/>
    <w:rsid w:val="082E3A04"/>
    <w:rsid w:val="097B6FD0"/>
    <w:rsid w:val="1CCC54B8"/>
    <w:rsid w:val="48D73516"/>
    <w:rsid w:val="4BDC009E"/>
    <w:rsid w:val="504C15FB"/>
    <w:rsid w:val="5862022F"/>
    <w:rsid w:val="7839797C"/>
    <w:rsid w:val="795F53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eastAsia="宋体" w:asciiTheme="minorHAnsi" w:hAnsiTheme="minorHAnsi" w:cstheme="minorBidi"/>
      <w:kern w:val="2"/>
      <w:sz w:val="21"/>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customStyle="1" w:styleId="5">
    <w:name w:val="Default"/>
    <w:unhideWhenUsed/>
    <w:qFormat/>
    <w:uiPriority w:val="99"/>
    <w:pPr>
      <w:widowControl w:val="0"/>
      <w:autoSpaceDE w:val="0"/>
      <w:autoSpaceDN w:val="0"/>
      <w:adjustRightInd w:val="0"/>
      <w:spacing w:beforeLines="0" w:afterLines="0"/>
    </w:pPr>
    <w:rPr>
      <w:rFonts w:hint="default" w:ascii="宋体" w:hAnsi="宋体" w:eastAsia="宋体" w:cstheme="minorBidi"/>
      <w:color w:val="00000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16</TotalTime>
  <ScaleCrop>false</ScaleCrop>
  <LinksUpToDate>false</LinksUpToDate>
  <CharactersWithSpaces>0</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2022-09-07T02:36:00Z</dcterms:created>
  <dc:creator>panan</dc:creator>
  <cp:lastModifiedBy>panan</cp:lastModifiedBy>
  <dcterms:modified xsi:type="dcterms:W3CDTF">2026-09-29T07:06:10Z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F2E6F830D0354A639D026CCCDF644B2B_13</vt:lpwstr>
  </property>
</Properties>
</file>