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博时创业板交易型开放式指数证券投资基金联接基金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交通银行股份有限公司</w:t>
      </w:r>
      <w:r>
        <w:rPr>
          <w:rFonts w:ascii="宋体" w:hAnsi="宋体" w:eastAsia="宋体"/>
          <w:b/>
          <w:sz w:val="30"/>
        </w:rPr>
        <w:br w:type="page"/>
      </w:r>
    </w:p>
    <w:p>
      <w:pPr>
        <w:pStyle w:val="2"/>
        <w:jc w:val="center"/>
        <w:rPr>
          <w:rFonts w:ascii="宋体" w:hAnsi="宋体" w:eastAsia="宋体"/>
          <w:sz w:val="30"/>
        </w:rPr>
      </w:pPr>
      <w:bookmarkStart w:id="0" w:name="_Toc207979124"/>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bookmarkStart w:id="1" w:name="field_0_productfullname_1"/>
      <w:r>
        <w:rPr>
          <w:rFonts w:hint="eastAsia"/>
          <w:sz w:val="21"/>
          <w:szCs w:val="21"/>
        </w:rPr>
        <w:t>博时创业板交易型开放式指数证券投资基金联接基金</w:t>
      </w:r>
      <w:bookmarkEnd w:id="1"/>
      <w:r>
        <w:rPr>
          <w:rFonts w:hint="eastAsia"/>
          <w:sz w:val="21"/>
          <w:szCs w:val="21"/>
        </w:rPr>
        <w:t>由深证基本面200交易型开放式指数证券投资基金联接基金转型而来。2018年12月3日，以通讯方式召开的深证基本面200交易型开放式指数证券投资基金联接基金基金份额持有人大会审议并通过了《关于修改深证基本面200交易型开放式指数证券投资基金联接基金基金合同有关事项的议案》，内容包括深证基本面200交易型开放式指数证券投资基金联接基金变更名称、修改基金投资标的指数、修改基金投资范围、修订基金合同等事项。自2018年12月10日起，《深证基本面200交易型开放式指数证券投资基金</w:t>
      </w:r>
      <w:bookmarkStart w:id="204" w:name="_GoBack"/>
      <w:bookmarkEnd w:id="204"/>
      <w:r>
        <w:rPr>
          <w:rFonts w:hint="eastAsia"/>
          <w:sz w:val="21"/>
          <w:szCs w:val="21"/>
        </w:rPr>
        <w:t>联接基金基金合同》失效且《</w:t>
      </w:r>
      <w:bookmarkStart w:id="2" w:name="field_0_productfullname_2"/>
      <w:r>
        <w:rPr>
          <w:rFonts w:hint="eastAsia"/>
          <w:sz w:val="21"/>
          <w:szCs w:val="21"/>
        </w:rPr>
        <w:t>博时创业板交易型开放式指数证券投资基金联接基金</w:t>
      </w:r>
      <w:bookmarkEnd w:id="2"/>
      <w:r>
        <w:rPr>
          <w:rFonts w:hint="eastAsia"/>
          <w:sz w:val="21"/>
          <w:szCs w:val="21"/>
        </w:rPr>
        <w:t xml:space="preserve">基金合同》同时生效。  </w:t>
      </w:r>
    </w:p>
    <w:p>
      <w:pPr>
        <w:pStyle w:val="7"/>
        <w:spacing w:before="0" w:beforeAutospacing="0" w:after="0" w:afterAutospacing="0" w:line="360" w:lineRule="auto"/>
        <w:ind w:firstLine="420"/>
        <w:rPr>
          <w:sz w:val="21"/>
          <w:szCs w:val="21"/>
        </w:rPr>
      </w:pPr>
      <w:r>
        <w:rPr>
          <w:rFonts w:hint="eastAsia"/>
          <w:sz w:val="21"/>
          <w:szCs w:val="21"/>
        </w:rPr>
        <w:t xml:space="preserve">基金管理人保证招募说明书的内容真实、准确、完整。本招募说明书经中国证监会备案，但并不表明其对本基金的价值和收益做出实质性判断或保证，也不表明投资于本基金没有风险。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本基金目标ETF标的指数为创业板指数，编制方案如下：  </w:t>
      </w:r>
    </w:p>
    <w:p>
      <w:pPr>
        <w:pStyle w:val="7"/>
        <w:spacing w:before="0" w:beforeAutospacing="0" w:after="0" w:afterAutospacing="0" w:line="360" w:lineRule="auto"/>
        <w:ind w:firstLine="420"/>
        <w:rPr>
          <w:sz w:val="21"/>
          <w:szCs w:val="21"/>
        </w:rPr>
      </w:pPr>
      <w:r>
        <w:rPr>
          <w:rFonts w:hint="eastAsia"/>
          <w:sz w:val="21"/>
          <w:szCs w:val="21"/>
        </w:rPr>
        <w:t xml:space="preserve">（1）样本空间    </w:t>
      </w:r>
    </w:p>
    <w:p>
      <w:pPr>
        <w:pStyle w:val="7"/>
        <w:spacing w:before="0" w:beforeAutospacing="0" w:after="0" w:afterAutospacing="0" w:line="360" w:lineRule="auto"/>
        <w:ind w:firstLine="420"/>
        <w:rPr>
          <w:sz w:val="21"/>
          <w:szCs w:val="21"/>
        </w:rPr>
      </w:pPr>
      <w:r>
        <w:rPr>
          <w:rFonts w:hint="eastAsia"/>
          <w:sz w:val="21"/>
          <w:szCs w:val="21"/>
        </w:rPr>
        <w:t xml:space="preserve">在深圳证券交易所创业板上市交易且满足下列条件的所有A股：  </w:t>
      </w:r>
    </w:p>
    <w:p>
      <w:pPr>
        <w:pStyle w:val="7"/>
        <w:spacing w:before="0" w:beforeAutospacing="0" w:after="0" w:afterAutospacing="0" w:line="360" w:lineRule="auto"/>
        <w:ind w:firstLine="420"/>
        <w:rPr>
          <w:sz w:val="21"/>
          <w:szCs w:val="21"/>
        </w:rPr>
      </w:pPr>
      <w:r>
        <w:rPr>
          <w:rFonts w:hint="eastAsia"/>
          <w:sz w:val="21"/>
          <w:szCs w:val="21"/>
        </w:rPr>
        <w:t xml:space="preserve">a. 非 ST、*ST 股票；  </w:t>
      </w:r>
    </w:p>
    <w:p>
      <w:pPr>
        <w:pStyle w:val="7"/>
        <w:spacing w:before="0" w:beforeAutospacing="0" w:after="0" w:afterAutospacing="0" w:line="360" w:lineRule="auto"/>
        <w:ind w:firstLine="420"/>
        <w:rPr>
          <w:sz w:val="21"/>
          <w:szCs w:val="21"/>
        </w:rPr>
      </w:pPr>
      <w:r>
        <w:rPr>
          <w:rFonts w:hint="eastAsia"/>
          <w:sz w:val="21"/>
          <w:szCs w:val="21"/>
        </w:rPr>
        <w:t xml:space="preserve">b. 上市时间超过 6 个月，A 股总市值排名位于深圳市场前1%的股票除外；  </w:t>
      </w:r>
    </w:p>
    <w:p>
      <w:pPr>
        <w:pStyle w:val="7"/>
        <w:spacing w:before="0" w:beforeAutospacing="0" w:after="0" w:afterAutospacing="0" w:line="360" w:lineRule="auto"/>
        <w:ind w:firstLine="420"/>
        <w:rPr>
          <w:sz w:val="21"/>
          <w:szCs w:val="21"/>
        </w:rPr>
      </w:pPr>
      <w:r>
        <w:rPr>
          <w:rFonts w:hint="eastAsia"/>
          <w:sz w:val="21"/>
          <w:szCs w:val="21"/>
        </w:rPr>
        <w:t xml:space="preserve">c. 公司最近一年无重大违规、财务报告无重大问题； </w:t>
      </w:r>
    </w:p>
    <w:p>
      <w:pPr>
        <w:pStyle w:val="7"/>
        <w:spacing w:before="0" w:beforeAutospacing="0" w:after="0" w:afterAutospacing="0" w:line="360" w:lineRule="auto"/>
        <w:ind w:firstLine="420"/>
        <w:rPr>
          <w:sz w:val="21"/>
          <w:szCs w:val="21"/>
        </w:rPr>
      </w:pPr>
      <w:r>
        <w:rPr>
          <w:rFonts w:hint="eastAsia"/>
          <w:sz w:val="21"/>
          <w:szCs w:val="21"/>
        </w:rPr>
        <w:t xml:space="preserve">d. 公司最近一年经营无异常、无重大亏损； </w:t>
      </w:r>
    </w:p>
    <w:p>
      <w:pPr>
        <w:pStyle w:val="7"/>
        <w:spacing w:before="0" w:beforeAutospacing="0" w:after="0" w:afterAutospacing="0" w:line="360" w:lineRule="auto"/>
        <w:ind w:firstLine="420"/>
        <w:rPr>
          <w:sz w:val="21"/>
          <w:szCs w:val="21"/>
        </w:rPr>
      </w:pPr>
      <w:r>
        <w:rPr>
          <w:rFonts w:hint="eastAsia"/>
          <w:sz w:val="21"/>
          <w:szCs w:val="21"/>
        </w:rPr>
        <w:t xml:space="preserve">e. 考察期内股价无异常波动。 </w:t>
      </w:r>
    </w:p>
    <w:p>
      <w:pPr>
        <w:pStyle w:val="7"/>
        <w:spacing w:before="0" w:beforeAutospacing="0" w:after="0" w:afterAutospacing="0" w:line="360" w:lineRule="auto"/>
        <w:ind w:firstLine="420"/>
        <w:rPr>
          <w:sz w:val="21"/>
          <w:szCs w:val="21"/>
        </w:rPr>
      </w:pPr>
      <w:r>
        <w:rPr>
          <w:rFonts w:hint="eastAsia"/>
          <w:sz w:val="21"/>
          <w:szCs w:val="21"/>
        </w:rPr>
        <w:t xml:space="preserve">（2）选样方法    </w:t>
      </w:r>
    </w:p>
    <w:p>
      <w:pPr>
        <w:pStyle w:val="7"/>
        <w:spacing w:before="0" w:beforeAutospacing="0" w:after="0" w:afterAutospacing="0" w:line="360" w:lineRule="auto"/>
        <w:ind w:firstLine="420"/>
        <w:rPr>
          <w:sz w:val="21"/>
          <w:szCs w:val="21"/>
        </w:rPr>
      </w:pPr>
      <w:r>
        <w:rPr>
          <w:rFonts w:hint="eastAsia"/>
          <w:sz w:val="21"/>
          <w:szCs w:val="21"/>
        </w:rPr>
        <w:t xml:space="preserve">首先，计算入围选样空间股票在最近半年的A股日均总市值和 A 股日均成交金额；  </w:t>
      </w:r>
    </w:p>
    <w:p>
      <w:pPr>
        <w:pStyle w:val="7"/>
        <w:spacing w:before="0" w:beforeAutospacing="0" w:after="0" w:afterAutospacing="0" w:line="360" w:lineRule="auto"/>
        <w:ind w:firstLine="420"/>
        <w:rPr>
          <w:sz w:val="21"/>
          <w:szCs w:val="21"/>
        </w:rPr>
      </w:pPr>
      <w:r>
        <w:rPr>
          <w:rFonts w:hint="eastAsia"/>
          <w:sz w:val="21"/>
          <w:szCs w:val="21"/>
        </w:rPr>
        <w:t xml:space="preserve">其次，对入围股票在最近半年的A 股日均成交金额按从高到低排序，剔除排名后 10%的股票，剔除国证ESG评级在B级以下的股票；  </w:t>
      </w:r>
    </w:p>
    <w:p>
      <w:pPr>
        <w:pStyle w:val="7"/>
        <w:spacing w:before="0" w:beforeAutospacing="0" w:after="0" w:afterAutospacing="0" w:line="360" w:lineRule="auto"/>
        <w:ind w:firstLine="420"/>
        <w:rPr>
          <w:sz w:val="21"/>
          <w:szCs w:val="21"/>
        </w:rPr>
      </w:pPr>
      <w:r>
        <w:rPr>
          <w:rFonts w:hint="eastAsia"/>
          <w:sz w:val="21"/>
          <w:szCs w:val="21"/>
        </w:rPr>
        <w:t xml:space="preserve">然后，对选样空间剩余股票按照最近半年的A股日均总市值从高到低排序，选取前 100 名股票构成指数样本股。在排名相似的情况下，优先选取行业代表性强、盈利记录良好的上市公司股票作为样本股。    </w:t>
      </w:r>
    </w:p>
    <w:p>
      <w:pPr>
        <w:pStyle w:val="7"/>
        <w:spacing w:before="0" w:beforeAutospacing="0" w:after="0" w:afterAutospacing="0" w:line="360" w:lineRule="auto"/>
        <w:ind w:firstLine="420"/>
        <w:rPr>
          <w:sz w:val="21"/>
          <w:szCs w:val="21"/>
        </w:rPr>
      </w:pPr>
      <w:r>
        <w:rPr>
          <w:rFonts w:hint="eastAsia"/>
          <w:sz w:val="21"/>
          <w:szCs w:val="21"/>
        </w:rPr>
        <w:t xml:space="preserve">（3）指数计算    </w:t>
      </w:r>
    </w:p>
    <w:p>
      <w:pPr>
        <w:pStyle w:val="7"/>
        <w:spacing w:before="0" w:beforeAutospacing="0" w:after="0" w:afterAutospacing="0" w:line="360" w:lineRule="auto"/>
        <w:ind w:firstLine="420"/>
        <w:rPr>
          <w:sz w:val="21"/>
          <w:szCs w:val="21"/>
        </w:rPr>
      </w:pPr>
      <w:r>
        <w:rPr>
          <w:rFonts w:hint="eastAsia"/>
          <w:sz w:val="21"/>
          <w:szCs w:val="21"/>
        </w:rPr>
        <w:t xml:space="preserve">创业板指数采用派氏加权法，依据下列公式逐日连锁实时计算：    </w:t>
      </w:r>
    </w:p>
    <w:p>
      <w:pPr>
        <w:pStyle w:val="7"/>
        <w:spacing w:before="0" w:beforeAutospacing="0" w:after="0" w:afterAutospacing="0" w:line="360" w:lineRule="auto"/>
        <w:ind w:firstLine="420"/>
        <w:rPr>
          <w:sz w:val="21"/>
          <w:szCs w:val="21"/>
        </w:rPr>
      </w:pPr>
      <w:r>
        <w:rPr>
          <w:rFonts w:hint="eastAsia"/>
          <w:sz w:val="21"/>
          <w:szCs w:val="21"/>
        </w:rPr>
        <w:t xml:space="preserve">实时指数=上一交易日收市指数×Σ（样本股实时成交价× 样本股权数×权重调整因子）/Σ（样本股上一交易日收市价× 样本股权数×权重调整因子）    </w:t>
      </w:r>
    </w:p>
    <w:p>
      <w:pPr>
        <w:pStyle w:val="7"/>
        <w:spacing w:before="0" w:beforeAutospacing="0" w:after="0" w:afterAutospacing="0" w:line="360" w:lineRule="auto"/>
        <w:ind w:firstLine="420"/>
        <w:rPr>
          <w:sz w:val="21"/>
          <w:szCs w:val="21"/>
        </w:rPr>
      </w:pPr>
      <w:r>
        <w:rPr>
          <w:rFonts w:hint="eastAsia"/>
          <w:sz w:val="21"/>
          <w:szCs w:val="21"/>
        </w:rPr>
        <w:t xml:space="preserve">样本股：指纳入指数计算范围的股票。    </w:t>
      </w:r>
    </w:p>
    <w:p>
      <w:pPr>
        <w:pStyle w:val="7"/>
        <w:spacing w:before="0" w:beforeAutospacing="0" w:after="0" w:afterAutospacing="0" w:line="360" w:lineRule="auto"/>
        <w:ind w:firstLine="420"/>
        <w:rPr>
          <w:sz w:val="21"/>
          <w:szCs w:val="21"/>
        </w:rPr>
      </w:pPr>
      <w:r>
        <w:rPr>
          <w:rFonts w:hint="eastAsia"/>
          <w:sz w:val="21"/>
          <w:szCs w:val="21"/>
        </w:rPr>
        <w:t xml:space="preserve">样本股权数：为样本股的自由流通量，分子项和分母项的权数相同。    </w:t>
      </w:r>
    </w:p>
    <w:p>
      <w:pPr>
        <w:pStyle w:val="7"/>
        <w:spacing w:before="0" w:beforeAutospacing="0" w:after="0" w:afterAutospacing="0" w:line="360" w:lineRule="auto"/>
        <w:ind w:firstLine="420"/>
        <w:rPr>
          <w:sz w:val="21"/>
          <w:szCs w:val="21"/>
        </w:rPr>
      </w:pPr>
      <w:r>
        <w:rPr>
          <w:rFonts w:hint="eastAsia"/>
          <w:sz w:val="21"/>
          <w:szCs w:val="21"/>
        </w:rPr>
        <w:t xml:space="preserve">自由流通量：上市公司实际可供交易的流通股数量，它是无限售条件股份剔除“持股比例超过5%的下列三类股东及其一致行动人所持有的无限售条件股份”后的流通股数量：①国有（法人）股东；②战略投资者；③公司创建者、家族或公司高管人员。   </w:t>
      </w:r>
    </w:p>
    <w:p>
      <w:pPr>
        <w:pStyle w:val="7"/>
        <w:spacing w:before="0" w:beforeAutospacing="0" w:after="0" w:afterAutospacing="0" w:line="360" w:lineRule="auto"/>
        <w:ind w:firstLine="420"/>
        <w:rPr>
          <w:sz w:val="21"/>
          <w:szCs w:val="21"/>
        </w:rPr>
      </w:pPr>
      <w:r>
        <w:rPr>
          <w:rFonts w:hint="eastAsia"/>
          <w:sz w:val="21"/>
          <w:szCs w:val="21"/>
        </w:rPr>
        <w:t xml:space="preserve">自由流通市值：股票价格乘以自由流通量。    </w:t>
      </w:r>
    </w:p>
    <w:p>
      <w:pPr>
        <w:pStyle w:val="7"/>
        <w:spacing w:before="0" w:beforeAutospacing="0" w:after="0" w:afterAutospacing="0" w:line="360" w:lineRule="auto"/>
        <w:ind w:firstLine="420"/>
        <w:rPr>
          <w:sz w:val="21"/>
          <w:szCs w:val="21"/>
        </w:rPr>
      </w:pPr>
      <w:r>
        <w:rPr>
          <w:rFonts w:hint="eastAsia"/>
          <w:sz w:val="21"/>
          <w:szCs w:val="21"/>
        </w:rPr>
        <w:t xml:space="preserve">分子项：为样本股实时自由流通市值之和。    </w:t>
      </w:r>
    </w:p>
    <w:p>
      <w:pPr>
        <w:pStyle w:val="7"/>
        <w:spacing w:before="0" w:beforeAutospacing="0" w:after="0" w:afterAutospacing="0" w:line="360" w:lineRule="auto"/>
        <w:ind w:firstLine="420"/>
        <w:rPr>
          <w:sz w:val="21"/>
          <w:szCs w:val="21"/>
        </w:rPr>
      </w:pPr>
      <w:r>
        <w:rPr>
          <w:rFonts w:hint="eastAsia"/>
          <w:sz w:val="21"/>
          <w:szCs w:val="21"/>
        </w:rPr>
        <w:t xml:space="preserve">分母项：为样本股上一交易日收市自由流通市值之和。    </w:t>
      </w:r>
    </w:p>
    <w:p>
      <w:pPr>
        <w:pStyle w:val="7"/>
        <w:spacing w:before="0" w:beforeAutospacing="0" w:after="0" w:afterAutospacing="0" w:line="360" w:lineRule="auto"/>
        <w:ind w:firstLine="420"/>
        <w:rPr>
          <w:sz w:val="21"/>
          <w:szCs w:val="21"/>
        </w:rPr>
      </w:pPr>
      <w:r>
        <w:rPr>
          <w:rFonts w:hint="eastAsia"/>
          <w:sz w:val="21"/>
          <w:szCs w:val="21"/>
        </w:rPr>
        <w:t xml:space="preserve">股票价格选取：以样本股集合竞价的开市价计算开市指数，以样本股的实时成交价计算实时指数，以样本股的收市价计算收市指数。样本股当日无成交的，取上一交易日收市价。样本股暂停交易的，取最近成交价。   </w:t>
      </w:r>
    </w:p>
    <w:p>
      <w:pPr>
        <w:pStyle w:val="7"/>
        <w:spacing w:before="0" w:beforeAutospacing="0" w:after="0" w:afterAutospacing="0" w:line="360" w:lineRule="auto"/>
        <w:ind w:firstLine="420"/>
        <w:rPr>
          <w:sz w:val="21"/>
          <w:szCs w:val="21"/>
        </w:rPr>
      </w:pPr>
      <w:r>
        <w:rPr>
          <w:rFonts w:hint="eastAsia"/>
          <w:sz w:val="21"/>
          <w:szCs w:val="21"/>
        </w:rPr>
        <w:t xml:space="preserve">有关标的指数具体编制方案及成份股信息详见国证指数有限公司网站，网址：http://www.cnindex.com.cn/。  </w:t>
      </w:r>
    </w:p>
    <w:p>
      <w:pPr>
        <w:pStyle w:val="7"/>
        <w:spacing w:before="0" w:beforeAutospacing="0" w:after="0" w:afterAutospacing="0" w:line="360" w:lineRule="auto"/>
        <w:ind w:firstLine="420"/>
        <w:rPr>
          <w:sz w:val="21"/>
          <w:szCs w:val="21"/>
        </w:rPr>
      </w:pPr>
      <w:r>
        <w:rPr>
          <w:rFonts w:hint="eastAsia"/>
          <w:sz w:val="21"/>
          <w:szCs w:val="21"/>
        </w:rPr>
        <w:t xml:space="preserve">本基金投资于证券市场，基金净值会因为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详见招募说明书“风险揭示”章节等。本基金是指数基金，其特定风险包括标的指数回报与股票市场平均回报偏离的风险、标的指数波动的风险、基金投资组合回报与标的指数回报偏离的风险、标的指数变更的风险等。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7"/>
        <w:spacing w:before="0" w:beforeAutospacing="0" w:after="0" w:afterAutospacing="0" w:line="360" w:lineRule="auto"/>
        <w:ind w:firstLine="420"/>
        <w:rPr>
          <w:sz w:val="21"/>
          <w:szCs w:val="21"/>
        </w:rPr>
      </w:pPr>
      <w:r>
        <w:rPr>
          <w:rFonts w:hint="eastAsia"/>
          <w:sz w:val="21"/>
          <w:szCs w:val="21"/>
        </w:rPr>
        <w:t xml:space="preserve">本基金投资对象是具有良好流动性的金融工具，包括目标ETF、国内依法发行上市的股票（含存托凭证）、权证、股指期货、期权、债券、货币市场工具、资产支持证券等，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投资有风险，投资人认购（或申购）基金时应认真阅读本基金的《招募说明书》及《基金合同》等信息披露文件，自主判断基金的投资价值，自主做出投资决策，全面认识本基金的风险收益特征和产品特性，并充分考虑自身的风险承受能力，理性判断市场，谨慎做出投资决策。  </w:t>
      </w:r>
    </w:p>
    <w:p>
      <w:pPr>
        <w:pStyle w:val="7"/>
        <w:spacing w:before="0" w:beforeAutospacing="0" w:after="0" w:afterAutospacing="0" w:line="360" w:lineRule="auto"/>
        <w:ind w:firstLine="420"/>
        <w:rPr>
          <w:sz w:val="21"/>
          <w:szCs w:val="21"/>
        </w:rPr>
      </w:pPr>
      <w:r>
        <w:rPr>
          <w:rFonts w:hint="eastAsia"/>
          <w:sz w:val="21"/>
          <w:szCs w:val="21"/>
        </w:rPr>
        <w:t xml:space="preserve">基金的过往业绩并不预示其未来表现。  </w:t>
      </w:r>
    </w:p>
    <w:p>
      <w:pPr>
        <w:pStyle w:val="7"/>
        <w:spacing w:before="0" w:beforeAutospacing="0" w:after="0" w:afterAutospacing="0" w:line="360" w:lineRule="auto"/>
        <w:ind w:firstLine="420"/>
        <w:rPr>
          <w:sz w:val="21"/>
          <w:szCs w:val="21"/>
        </w:rPr>
      </w:pPr>
      <w:r>
        <w:rPr>
          <w:rFonts w:hint="eastAsia"/>
          <w:sz w:val="21"/>
          <w:szCs w:val="21"/>
        </w:rPr>
        <w:t xml:space="preserve">基金管理人依照恪尽职守、诚实信用、谨慎勤勉的原则管理和运用基金资产，但不保证基金一定盈利，也不保证最低收益。本基金的过往业绩及其净值高低并不预示其未来业绩表现；基金管理人管理的其他基金的业绩也不构成对本基金业绩表现的保证。基金管理人提醒投资人基金投资的“买者自负”原则，在作出投资决策后，基金运营状况与基金净值变化引致的投资风险，由投资人自行负担。  </w:t>
      </w:r>
    </w:p>
    <w:p>
      <w:pPr>
        <w:pStyle w:val="7"/>
        <w:spacing w:before="0" w:beforeAutospacing="0" w:after="0" w:afterAutospacing="0" w:line="360" w:lineRule="auto"/>
        <w:ind w:firstLine="420"/>
        <w:rPr>
          <w:sz w:val="21"/>
          <w:szCs w:val="21"/>
        </w:rPr>
      </w:pPr>
      <w:r>
        <w:rPr>
          <w:rFonts w:hint="eastAsia"/>
          <w:sz w:val="21"/>
          <w:szCs w:val="21"/>
        </w:rPr>
        <w:t xml:space="preserve">Y类基金份额的申赎安排、资金账户管理等事项还应当遵守国家关于个人养老金账户管理的规定。投资人通过个人养老金资金账户申购本基金Y类基金份额，在向投资人充分披露的情况下，为鼓励投资人在个人养老金领取期长期领取，基金管理人可设置定期分红、定期支付、定额赎回等机制；基金管理人亦可对运作方式、持有期限、投资策略、估值方法、申赎转换等方面做出其他安排。具体见更新的招募说明书及相关公告。  </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2025年8月31日</w:t>
      </w:r>
      <w:bookmarkEnd w:id="3"/>
      <w:r>
        <w:rPr>
          <w:rFonts w:hint="eastAsia"/>
          <w:sz w:val="21"/>
          <w:szCs w:val="21"/>
        </w:rPr>
        <w:t>，有关财务数据和净值表现截止日为</w:t>
      </w:r>
      <w:bookmarkStart w:id="4" w:name="field_2343_financeendday_1"/>
      <w:r>
        <w:rPr>
          <w:sz w:val="21"/>
          <w:szCs w:val="21"/>
        </w:rPr>
        <w:t>2025年6月30日</w:t>
      </w:r>
      <w:bookmarkEnd w:id="4"/>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"_Toc207979124"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_Toc207979124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"_Toc207979125"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_Toc207979125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"_Toc207979126"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_Toc207979126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"_Toc207979127"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_Toc207979127 \h </w:instrText>
      </w:r>
      <w:r>
        <w:rPr>
          <w:rFonts w:ascii="宋体" w:hAnsi="宋体" w:eastAsia="宋体"/>
        </w:rPr>
        <w:fldChar w:fldCharType="separate"/>
      </w:r>
      <w:r>
        <w:rPr>
          <w:rFonts w:ascii="宋体" w:hAnsi="宋体" w:eastAsia="宋体"/>
        </w:rPr>
        <w:t>13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"_Toc207979128"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_Toc207979128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"_Toc207979129"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_Toc207979129 \h </w:instrText>
      </w:r>
      <w:r>
        <w:rPr>
          <w:rFonts w:ascii="宋体" w:hAnsi="宋体" w:eastAsia="宋体"/>
        </w:rPr>
        <w:fldChar w:fldCharType="separate"/>
      </w:r>
      <w:r>
        <w:rPr>
          <w:rFonts w:ascii="宋体" w:hAnsi="宋体" w:eastAsia="宋体"/>
        </w:rPr>
        <w:t>28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"_Toc207979130"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基金的历史沿革和存续</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_Toc207979130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"_Toc207979131"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_Toc207979131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"_Toc207979132"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_Toc207979132 \h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"_Toc207979133"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_Toc207979133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"_Toc207979134"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_Toc207979134 \h </w:instrText>
      </w:r>
      <w:r>
        <w:rPr>
          <w:rFonts w:ascii="宋体" w:hAnsi="宋体" w:eastAsia="宋体"/>
        </w:rPr>
        <w:fldChar w:fldCharType="separate"/>
      </w:r>
      <w:r>
        <w:rPr>
          <w:rFonts w:ascii="宋体" w:hAnsi="宋体" w:eastAsia="宋体"/>
        </w:rPr>
        <w:t>99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"_Toc207979135"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_Toc207979135 \h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"_Toc207979136"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_Toc207979136 \h </w:instrText>
      </w:r>
      <w:r>
        <w:rPr>
          <w:rFonts w:ascii="宋体" w:hAnsi="宋体" w:eastAsia="宋体"/>
        </w:rPr>
        <w:fldChar w:fldCharType="separate"/>
      </w:r>
      <w:r>
        <w:rPr>
          <w:rFonts w:ascii="宋体" w:hAnsi="宋体" w:eastAsia="宋体"/>
        </w:rPr>
        <w:t>105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"_Toc207979137"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_Toc207979137 \h </w:instrText>
      </w:r>
      <w:r>
        <w:rPr>
          <w:rFonts w:ascii="宋体" w:hAnsi="宋体" w:eastAsia="宋体"/>
        </w:rPr>
        <w:fldChar w:fldCharType="separate"/>
      </w:r>
      <w:r>
        <w:rPr>
          <w:rFonts w:ascii="宋体" w:hAnsi="宋体" w:eastAsia="宋体"/>
        </w:rPr>
        <w:t>107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"_Toc207979138"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_Toc207979138 \h </w:instrText>
      </w:r>
      <w:r>
        <w:rPr>
          <w:rFonts w:ascii="宋体" w:hAnsi="宋体" w:eastAsia="宋体"/>
        </w:rPr>
        <w:fldChar w:fldCharType="separate"/>
      </w:r>
      <w:r>
        <w:rPr>
          <w:rFonts w:ascii="宋体" w:hAnsi="宋体" w:eastAsia="宋体"/>
        </w:rPr>
        <w:t>110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"_Toc207979139"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_Toc207979139 \h </w:instrText>
      </w:r>
      <w:r>
        <w:rPr>
          <w:rFonts w:ascii="宋体" w:hAnsi="宋体" w:eastAsia="宋体"/>
        </w:rPr>
        <w:fldChar w:fldCharType="separate"/>
      </w:r>
      <w:r>
        <w:rPr>
          <w:rFonts w:ascii="宋体" w:hAnsi="宋体" w:eastAsia="宋体"/>
        </w:rPr>
        <w:t>111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"_Toc207979140"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_Toc207979140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"_Toc207979141"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_Toc207979141 \h </w:instrText>
      </w:r>
      <w:r>
        <w:rPr>
          <w:rFonts w:ascii="宋体" w:hAnsi="宋体" w:eastAsia="宋体"/>
        </w:rPr>
        <w:fldChar w:fldCharType="separate"/>
      </w:r>
      <w:r>
        <w:rPr>
          <w:rFonts w:ascii="宋体" w:hAnsi="宋体" w:eastAsia="宋体"/>
        </w:rPr>
        <w:t>123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"_Toc207979142"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_Toc207979142 \h </w:instrText>
      </w:r>
      <w:r>
        <w:rPr>
          <w:rFonts w:ascii="宋体" w:hAnsi="宋体" w:eastAsia="宋体"/>
        </w:rPr>
        <w:fldChar w:fldCharType="separate"/>
      </w:r>
      <w:r>
        <w:rPr>
          <w:rFonts w:ascii="宋体" w:hAnsi="宋体" w:eastAsia="宋体"/>
        </w:rPr>
        <w:t>125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"_Toc207979143"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_Toc207979143 \h </w:instrText>
      </w:r>
      <w:r>
        <w:rPr>
          <w:rFonts w:ascii="宋体" w:hAnsi="宋体" w:eastAsia="宋体"/>
        </w:rPr>
        <w:fldChar w:fldCharType="separate"/>
      </w:r>
      <w:r>
        <w:rPr>
          <w:rFonts w:ascii="宋体" w:hAnsi="宋体" w:eastAsia="宋体"/>
        </w:rPr>
        <w:t>141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"_Toc207979144"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_Toc207979144 \h </w:instrText>
      </w:r>
      <w:r>
        <w:rPr>
          <w:rFonts w:ascii="宋体" w:hAnsi="宋体" w:eastAsia="宋体"/>
        </w:rPr>
        <w:fldChar w:fldCharType="separate"/>
      </w:r>
      <w:r>
        <w:rPr>
          <w:rFonts w:ascii="宋体" w:hAnsi="宋体" w:eastAsia="宋体"/>
        </w:rPr>
        <w:t>158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"_Toc207979145"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_Toc207979145 \h </w:instrText>
      </w:r>
      <w:r>
        <w:rPr>
          <w:rFonts w:ascii="宋体" w:hAnsi="宋体" w:eastAsia="宋体"/>
        </w:rPr>
        <w:fldChar w:fldCharType="separate"/>
      </w:r>
      <w:r>
        <w:rPr>
          <w:rFonts w:ascii="宋体" w:hAnsi="宋体" w:eastAsia="宋体"/>
        </w:rPr>
        <w:t>161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"_Toc207979146"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_Toc207979146 \h </w:instrText>
      </w:r>
      <w:r>
        <w:rPr>
          <w:rFonts w:ascii="宋体" w:hAnsi="宋体" w:eastAsia="宋体"/>
        </w:rPr>
        <w:fldChar w:fldCharType="separate"/>
      </w:r>
      <w:r>
        <w:rPr>
          <w:rFonts w:ascii="宋体" w:hAnsi="宋体" w:eastAsia="宋体"/>
        </w:rPr>
        <w:t>164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"_Toc207979147"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_Toc207979147 \h </w:instrText>
      </w:r>
      <w:r>
        <w:rPr>
          <w:rFonts w:ascii="宋体" w:hAnsi="宋体" w:eastAsia="宋体"/>
        </w:rPr>
        <w:fldChar w:fldCharType="separate"/>
      </w:r>
      <w:r>
        <w:rPr>
          <w:rFonts w:ascii="宋体" w:hAnsi="宋体" w:eastAsia="宋体"/>
        </w:rPr>
        <w:t>165</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5" w:name="_Toc207979125"/>
      <w:bookmarkStart w:id="6" w:name="chapter_level1_3_2344"/>
      <w:r>
        <w:rPr>
          <w:rFonts w:hint="eastAsia" w:ascii="宋体" w:hAnsi="宋体" w:eastAsia="宋体"/>
          <w:sz w:val="30"/>
        </w:rPr>
        <w:t>第一部分  绪言</w:t>
      </w:r>
      <w:bookmarkEnd w:id="5"/>
      <w:bookmarkEnd w:id="6"/>
    </w:p>
    <w:p>
      <w:pPr>
        <w:pStyle w:val="7"/>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 xml:space="preserve">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个人养老金投资公开募集证券投资基金业务管理暂行规定》（以下简称“《个人养老金基金暂行规定》”） </w:t>
      </w:r>
    </w:p>
    <w:p>
      <w:pPr>
        <w:rPr>
          <w:rFonts w:ascii="宋体" w:hAnsi="宋体" w:eastAsia="宋体"/>
          <w:sz w:val="24"/>
          <w:szCs w:val="24"/>
        </w:rPr>
      </w:pPr>
      <w:r>
        <w:rPr>
          <w:rFonts w:ascii="宋体" w:hAnsi="宋体" w:eastAsia="宋体"/>
        </w:rPr>
        <w:t>以及《</w:t>
      </w:r>
      <w:bookmarkStart w:id="8" w:name="field_0_productfullname_3"/>
      <w:r>
        <w:rPr>
          <w:rFonts w:hint="eastAsia" w:ascii="宋体" w:hAnsi="宋体" w:eastAsia="宋体"/>
        </w:rPr>
        <w:t>博时创业板交易型开放式指数证券投资基金联接基金</w:t>
      </w:r>
      <w:bookmarkEnd w:id="8"/>
      <w:r>
        <w:rPr>
          <w:rFonts w:ascii="宋体" w:hAnsi="宋体" w:eastAsia="宋体"/>
        </w:rPr>
        <w:t xml:space="preserve">基金合同》编写。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资人</w:t>
      </w:r>
      <w:bookmarkStart w:id="9" w:name="chapter_level1_3_2344_section_1_end"/>
      <w:bookmarkEnd w:id="9"/>
      <w:r>
        <w:rPr>
          <w:rFonts w:hint="eastAsia"/>
          <w:sz w:val="21"/>
          <w:szCs w:val="21"/>
        </w:rPr>
        <w:t xml:space="preserve">欲了解基金份额持有人的权利和义务，应详细查阅基金合同。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 w:name="chapter_level1_4_49"/>
      <w:bookmarkStart w:id="11" w:name="_Toc207979126"/>
      <w:r>
        <w:rPr>
          <w:rFonts w:hint="eastAsia" w:ascii="宋体" w:hAnsi="宋体" w:eastAsia="宋体"/>
          <w:sz w:val="30"/>
        </w:rPr>
        <w:t>第二部分  释义</w:t>
      </w:r>
      <w:bookmarkEnd w:id="10"/>
      <w:bookmarkEnd w:id="11"/>
    </w:p>
    <w:p>
      <w:pPr>
        <w:pStyle w:val="7"/>
        <w:spacing w:before="0" w:beforeAutospacing="0" w:after="0" w:afterAutospacing="0" w:line="360" w:lineRule="auto"/>
        <w:ind w:firstLine="420"/>
        <w:rPr>
          <w:sz w:val="21"/>
          <w:szCs w:val="21"/>
        </w:rPr>
      </w:pPr>
      <w:bookmarkStart w:id="12" w:name="chapter_level1_4_49_section_1"/>
      <w:bookmarkEnd w:id="12"/>
      <w:r>
        <w:rPr>
          <w:rFonts w:hint="eastAsia"/>
          <w:sz w:val="21"/>
          <w:szCs w:val="21"/>
        </w:rPr>
        <w:t xml:space="preserve">《招募说明书》中除非文意另有所指，下列词语具有如下含义：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3" w:name="field_0_productfullname_4"/>
      <w:r>
        <w:rPr>
          <w:rFonts w:hint="eastAsia"/>
          <w:sz w:val="21"/>
          <w:szCs w:val="21"/>
        </w:rPr>
        <w:t>博时创业板交易型开放式指数证券投资基金联接基金</w:t>
      </w:r>
      <w:bookmarkEnd w:id="13"/>
      <w:r>
        <w:rPr>
          <w:rFonts w:hint="eastAsia"/>
          <w:sz w:val="21"/>
          <w:szCs w:val="21"/>
        </w:rPr>
        <w:t xml:space="preserve">，本基金由博时深证基本面200交易型开放式指数证券投资基金联接基金转型而来； </w:t>
      </w:r>
    </w:p>
    <w:p>
      <w:pPr>
        <w:pStyle w:val="7"/>
        <w:spacing w:before="0" w:beforeAutospacing="0" w:after="0" w:afterAutospacing="0" w:line="360" w:lineRule="auto"/>
        <w:ind w:firstLine="420"/>
        <w:rPr>
          <w:sz w:val="21"/>
          <w:szCs w:val="21"/>
        </w:rPr>
      </w:pPr>
      <w:r>
        <w:rPr>
          <w:rFonts w:hint="eastAsia"/>
          <w:sz w:val="21"/>
          <w:szCs w:val="21"/>
        </w:rPr>
        <w:t>2、基金合同：指《</w:t>
      </w:r>
      <w:bookmarkStart w:id="14" w:name="field_0_productfullname_5"/>
      <w:r>
        <w:rPr>
          <w:rFonts w:hint="eastAsia"/>
          <w:sz w:val="21"/>
          <w:szCs w:val="21"/>
        </w:rPr>
        <w:t>博时创业板交易型开放式指数证券投资基金联接基金</w:t>
      </w:r>
      <w:bookmarkEnd w:id="14"/>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3、招募说明书或本招募说明书：指《</w:t>
      </w:r>
      <w:bookmarkStart w:id="15" w:name="field_0_productfullname_6"/>
      <w:r>
        <w:rPr>
          <w:rFonts w:hint="eastAsia"/>
          <w:sz w:val="21"/>
          <w:szCs w:val="21"/>
        </w:rPr>
        <w:t>博时创业板交易型开放式指数证券投资基金联接基金</w:t>
      </w:r>
      <w:bookmarkEnd w:id="15"/>
      <w:r>
        <w:rPr>
          <w:rFonts w:hint="eastAsia"/>
          <w:sz w:val="21"/>
          <w:szCs w:val="21"/>
        </w:rPr>
        <w:t xml:space="preserve">招募说明书》及更新；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4、基金产品资料概要：指《博时创业板交易型开放式指数证券投资基金联接基金  基金产品资料概要》及其更新；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6" w:name="field_0_productfullname_7"/>
      <w:r>
        <w:rPr>
          <w:rFonts w:hint="eastAsia"/>
          <w:sz w:val="21"/>
          <w:szCs w:val="21"/>
        </w:rPr>
        <w:t>博时创业板交易型开放式指数证券投资基金联接基金</w:t>
      </w:r>
      <w:bookmarkEnd w:id="16"/>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6、业务规则：指《</w:t>
      </w:r>
      <w:bookmarkStart w:id="17" w:name="field_0_managerorgfullname_1"/>
      <w:r>
        <w:rPr>
          <w:rFonts w:hint="eastAsia"/>
          <w:sz w:val="21"/>
          <w:szCs w:val="21"/>
        </w:rPr>
        <w:t>博时基金管理有限公司</w:t>
      </w:r>
      <w:bookmarkEnd w:id="17"/>
      <w:r>
        <w:rPr>
          <w:rFonts w:hint="eastAsia"/>
          <w:sz w:val="21"/>
          <w:szCs w:val="21"/>
        </w:rPr>
        <w:t xml:space="preserve">开放式基金业务规则》； </w:t>
      </w:r>
    </w:p>
    <w:p>
      <w:pPr>
        <w:pStyle w:val="7"/>
        <w:spacing w:before="0" w:beforeAutospacing="0" w:after="0" w:afterAutospacing="0" w:line="360" w:lineRule="auto"/>
        <w:ind w:firstLine="420"/>
        <w:rPr>
          <w:sz w:val="21"/>
          <w:szCs w:val="21"/>
        </w:rPr>
      </w:pPr>
      <w:r>
        <w:rPr>
          <w:rFonts w:hint="eastAsia"/>
          <w:sz w:val="21"/>
          <w:szCs w:val="21"/>
        </w:rPr>
        <w:t xml:space="preserve">7、中国证监会：指中国证券监督管理委员会；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8、中国银监会：指中国银行业监督管理委员会； </w:t>
      </w:r>
    </w:p>
    <w:p>
      <w:pPr>
        <w:pStyle w:val="7"/>
        <w:spacing w:before="0" w:beforeAutospacing="0" w:after="0" w:afterAutospacing="0" w:line="360" w:lineRule="auto"/>
        <w:ind w:firstLine="420"/>
        <w:rPr>
          <w:sz w:val="21"/>
          <w:szCs w:val="21"/>
        </w:rPr>
      </w:pPr>
      <w:r>
        <w:rPr>
          <w:rFonts w:hint="eastAsia"/>
          <w:sz w:val="21"/>
          <w:szCs w:val="21"/>
        </w:rPr>
        <w:t xml:space="preserve">9、《基金法》：指2003年10月28日经第十届全国人民代表大会常务委员会第五次会议通过，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10、《运作办法》：指中国证监会2014年7月7日颁布、同年8月8日实施的《公开募集证券投资基金运作管理办法》及颁布机关对其不时做出的修订；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12、《信息披露办法》：指中国证监会2019年7月26日颁布，同年9月1日起实施的《公开募集证券投资基金信息披露管理办法》； </w:t>
      </w:r>
    </w:p>
    <w:p>
      <w:pPr>
        <w:pStyle w:val="7"/>
        <w:spacing w:before="0" w:beforeAutospacing="0" w:after="0" w:afterAutospacing="0" w:line="360" w:lineRule="auto"/>
        <w:ind w:firstLine="420"/>
        <w:rPr>
          <w:sz w:val="21"/>
          <w:szCs w:val="21"/>
        </w:rPr>
      </w:pPr>
      <w:r>
        <w:rPr>
          <w:rFonts w:hint="eastAsia"/>
          <w:sz w:val="21"/>
          <w:szCs w:val="21"/>
        </w:rPr>
        <w:t xml:space="preserve">13、《流动性风险管理规定》：指中国证监会2017年8月31日颁布、同年10月1日实施的《公开募集开放式证券投资基金流动性风险管理规定》及颁布机关对其不时做出的修订；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14、元：指人民币元； </w:t>
      </w:r>
    </w:p>
    <w:p>
      <w:pPr>
        <w:pStyle w:val="7"/>
        <w:spacing w:before="0" w:beforeAutospacing="0" w:after="0" w:afterAutospacing="0" w:line="360" w:lineRule="auto"/>
        <w:ind w:firstLine="420"/>
        <w:rPr>
          <w:sz w:val="21"/>
          <w:szCs w:val="21"/>
        </w:rPr>
      </w:pPr>
      <w:r>
        <w:rPr>
          <w:rFonts w:hint="eastAsia"/>
          <w:sz w:val="21"/>
          <w:szCs w:val="21"/>
        </w:rPr>
        <w:t>15</w:t>
      </w:r>
      <w:r>
        <w:rPr>
          <w:rFonts w:hint="eastAsia"/>
          <w:sz w:val="21"/>
          <w:szCs w:val="21"/>
          <w:lang w:eastAsia="zh-CN"/>
        </w:rPr>
        <w:t>、</w:t>
      </w:r>
      <w:r>
        <w:rPr>
          <w:rFonts w:hint="eastAsia"/>
          <w:sz w:val="21"/>
          <w:szCs w:val="21"/>
        </w:rPr>
        <w:t xml:space="preserve">《指数基金指引》：指中国证监会2021年1月22日颁布、同年2月1日实施的《公开募集证券投资基金运作指引第3号——指数基金指引》及颁布机关对其不时做出的修订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16、《个人养老金基金暂行规定》：指中国证监会2022年11月4日颁布实施的《个人养老金投资公开募集证券投资基金业务管理暂行规定》及颁布机关对其不时做出的修订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17、基金合同当事人：指受基金合同约束，根据基金合同享受权利并承担义务的法律主体，包括基金管理人、基金托管人和基金份额持有人；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18、基金管理人：指</w:t>
      </w:r>
      <w:bookmarkStart w:id="18" w:name="field_0_managerorgfullname_2"/>
      <w:r>
        <w:rPr>
          <w:rFonts w:hint="eastAsia"/>
          <w:sz w:val="21"/>
          <w:szCs w:val="21"/>
        </w:rPr>
        <w:t>博时基金管理有限公司</w:t>
      </w:r>
      <w:bookmarkEnd w:id="1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19、基金托管人：指</w:t>
      </w:r>
      <w:bookmarkStart w:id="19" w:name="field_0_trustorgfullname_1"/>
      <w:r>
        <w:rPr>
          <w:rFonts w:hint="eastAsia"/>
          <w:sz w:val="21"/>
          <w:szCs w:val="21"/>
        </w:rPr>
        <w:t>交通银行股份有限公司</w:t>
      </w:r>
      <w:bookmarkEnd w:id="19"/>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20、基金份额持有人：指依照法律法规、招募说明书和基金合同合法取得基金份额的投资人；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21、注册登记业务：指本基金登记、存管、过户、清算和交收业务，具体内容包括投资人基金账户管理、基金份额注册登记、清算和结算、基金销售业务确认、代理发放红利、建立并保管基金份额持有人名册等； </w:t>
      </w:r>
    </w:p>
    <w:p>
      <w:pPr>
        <w:pStyle w:val="7"/>
        <w:spacing w:before="0" w:beforeAutospacing="0" w:after="0" w:afterAutospacing="0" w:line="360" w:lineRule="auto"/>
        <w:ind w:firstLine="420"/>
        <w:rPr>
          <w:sz w:val="21"/>
          <w:szCs w:val="21"/>
        </w:rPr>
      </w:pPr>
      <w:r>
        <w:rPr>
          <w:rFonts w:hint="eastAsia"/>
          <w:sz w:val="21"/>
          <w:szCs w:val="21"/>
        </w:rPr>
        <w:t>22、登记机构：指办理基金注册登记业务的机构，本基金的登记机构为</w:t>
      </w:r>
      <w:bookmarkStart w:id="20" w:name="field_0_managerorgfullname_3"/>
      <w:r>
        <w:rPr>
          <w:rFonts w:hint="eastAsia"/>
          <w:sz w:val="21"/>
          <w:szCs w:val="21"/>
        </w:rPr>
        <w:t>博时基金管理有限公司</w:t>
      </w:r>
      <w:bookmarkEnd w:id="20"/>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23、投资人：指个人投资者、机构投资者、合格境外机构投资者和法律法规或中国证监会允许购买开放式证券投资基金的其他投资者； </w:t>
      </w:r>
    </w:p>
    <w:p>
      <w:pPr>
        <w:pStyle w:val="7"/>
        <w:spacing w:before="0" w:beforeAutospacing="0" w:after="0" w:afterAutospacing="0" w:line="360" w:lineRule="auto"/>
        <w:ind w:firstLine="420"/>
        <w:rPr>
          <w:sz w:val="21"/>
          <w:szCs w:val="21"/>
        </w:rPr>
      </w:pPr>
      <w:r>
        <w:rPr>
          <w:rFonts w:hint="eastAsia"/>
          <w:sz w:val="21"/>
          <w:szCs w:val="21"/>
        </w:rPr>
        <w:t xml:space="preserve">24、个人投资者：指依据中华人民共和国有关法律法规及其他有关规定可以投资于开放式证券投资基金的自然人； </w:t>
      </w:r>
    </w:p>
    <w:p>
      <w:pPr>
        <w:pStyle w:val="7"/>
        <w:spacing w:before="0" w:beforeAutospacing="0" w:after="0" w:afterAutospacing="0" w:line="360" w:lineRule="auto"/>
        <w:ind w:firstLine="420"/>
        <w:rPr>
          <w:sz w:val="21"/>
          <w:szCs w:val="21"/>
        </w:rPr>
      </w:pPr>
      <w:r>
        <w:rPr>
          <w:rFonts w:hint="eastAsia"/>
          <w:sz w:val="21"/>
          <w:szCs w:val="21"/>
        </w:rPr>
        <w:t xml:space="preserve">25、机构投资者：指在中国境内合法注册登记或经有权政府部门批准设立和有效存续并依法可以投资证券投资基金的企业法人、事业法人、社会团体或其它组织； </w:t>
      </w:r>
    </w:p>
    <w:p>
      <w:pPr>
        <w:pStyle w:val="7"/>
        <w:spacing w:before="0" w:beforeAutospacing="0" w:after="0" w:afterAutospacing="0" w:line="360" w:lineRule="auto"/>
        <w:ind w:firstLine="420"/>
        <w:rPr>
          <w:sz w:val="21"/>
          <w:szCs w:val="21"/>
        </w:rPr>
      </w:pPr>
      <w:r>
        <w:rPr>
          <w:rFonts w:hint="eastAsia"/>
          <w:sz w:val="21"/>
          <w:szCs w:val="21"/>
        </w:rPr>
        <w:t xml:space="preserve">26、合格境外机构投资者：指符合法律法规规定，经中国证监会批准可以投资于中国证券市场，并取得国家外汇管理局额度批准的中国境外的机构投资者； </w:t>
      </w:r>
    </w:p>
    <w:p>
      <w:pPr>
        <w:pStyle w:val="7"/>
        <w:spacing w:before="0" w:beforeAutospacing="0" w:after="0" w:afterAutospacing="0" w:line="360" w:lineRule="auto"/>
        <w:ind w:firstLine="420"/>
        <w:rPr>
          <w:sz w:val="21"/>
          <w:szCs w:val="21"/>
        </w:rPr>
      </w:pPr>
      <w:r>
        <w:rPr>
          <w:rFonts w:hint="eastAsia"/>
          <w:sz w:val="21"/>
          <w:szCs w:val="21"/>
        </w:rPr>
        <w:t xml:space="preserve">27、基金合同生效日：指《博时深证100交易型开放式指数证券投资基金联接基金基金合同》生效日，原《博时深证基本面200交易型开放式指数证券投资基金联接基金基金合同》自同一日起失效； </w:t>
      </w:r>
    </w:p>
    <w:p>
      <w:pPr>
        <w:pStyle w:val="7"/>
        <w:spacing w:before="0" w:beforeAutospacing="0" w:after="0" w:afterAutospacing="0" w:line="360" w:lineRule="auto"/>
        <w:ind w:firstLine="420"/>
        <w:rPr>
          <w:sz w:val="21"/>
          <w:szCs w:val="21"/>
        </w:rPr>
      </w:pPr>
      <w:bookmarkStart w:id="21" w:name="chapter_level1_4_49_section_1_end"/>
      <w:bookmarkEnd w:id="21"/>
      <w:r>
        <w:rPr>
          <w:rFonts w:hint="eastAsia"/>
          <w:sz w:val="21"/>
          <w:szCs w:val="21"/>
        </w:rPr>
        <w:t xml:space="preserve">28、存续期：指基金合同生效至终止之间的不定期期限； </w:t>
      </w:r>
    </w:p>
    <w:p>
      <w:pPr>
        <w:pStyle w:val="7"/>
        <w:spacing w:before="0" w:beforeAutospacing="0" w:after="0" w:afterAutospacing="0" w:line="360" w:lineRule="auto"/>
        <w:ind w:firstLine="420"/>
        <w:rPr>
          <w:sz w:val="21"/>
          <w:szCs w:val="21"/>
        </w:rPr>
      </w:pPr>
      <w:bookmarkStart w:id="22" w:name="chapter_level1_4_49_section_2"/>
      <w:bookmarkEnd w:id="22"/>
      <w:r>
        <w:rPr>
          <w:rFonts w:hint="eastAsia"/>
          <w:sz w:val="21"/>
          <w:szCs w:val="21"/>
        </w:rPr>
        <w:t xml:space="preserve">29、工作日：指上海证券交易所和深圳证券交易所的正常交易日；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30、申购：指基金合同生效后，投资人根据基金合同和招募说明书的规定申请购买基金份额的行为；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31、赎回：指基金合同生效后，基金份额持有人按基金合同规定的条件要求卖出本基金份额的行为； </w:t>
      </w:r>
    </w:p>
    <w:p>
      <w:pPr>
        <w:pStyle w:val="7"/>
        <w:spacing w:before="0" w:beforeAutospacing="0" w:after="0" w:afterAutospacing="0" w:line="360" w:lineRule="auto"/>
        <w:ind w:firstLine="420"/>
        <w:rPr>
          <w:sz w:val="21"/>
          <w:szCs w:val="21"/>
        </w:rPr>
      </w:pPr>
      <w:r>
        <w:rPr>
          <w:rFonts w:hint="eastAsia"/>
          <w:sz w:val="21"/>
          <w:szCs w:val="21"/>
        </w:rPr>
        <w:t xml:space="preserve">32、巨额赎回：指在本基金单个开放日内，基金净赎回申请份额（基金赎回申请总份额扣除申购申请总份额之余额）与净转出申请份额（基金转出申请总份额扣除转入申请总份额之余额）之和超过上一开放日本基金总份额10%的情形； </w:t>
      </w:r>
    </w:p>
    <w:p>
      <w:pPr>
        <w:pStyle w:val="7"/>
        <w:spacing w:before="0" w:beforeAutospacing="0" w:after="0" w:afterAutospacing="0" w:line="360" w:lineRule="auto"/>
        <w:ind w:firstLine="420"/>
        <w:rPr>
          <w:sz w:val="21"/>
          <w:szCs w:val="21"/>
        </w:rPr>
      </w:pPr>
      <w:r>
        <w:rPr>
          <w:rFonts w:hint="eastAsia"/>
          <w:sz w:val="21"/>
          <w:szCs w:val="21"/>
        </w:rPr>
        <w:t xml:space="preserve">33、基金转换：指基金份额持有人按照基金合同和基金管理人届时有效的业务规则进行的本基金份额与基金管理人管理的、由同一登记机构办理注册登记的其他基金份额间的转换行为； </w:t>
      </w:r>
    </w:p>
    <w:p>
      <w:pPr>
        <w:pStyle w:val="7"/>
        <w:spacing w:before="0" w:beforeAutospacing="0" w:after="0" w:afterAutospacing="0" w:line="360" w:lineRule="auto"/>
        <w:ind w:firstLine="420"/>
        <w:rPr>
          <w:sz w:val="21"/>
          <w:szCs w:val="21"/>
        </w:rPr>
      </w:pPr>
      <w:r>
        <w:rPr>
          <w:rFonts w:hint="eastAsia"/>
          <w:sz w:val="21"/>
          <w:szCs w:val="21"/>
        </w:rPr>
        <w:t xml:space="preserve">34、转托管：指基金份额持有人将其基金账户内的同一基金的基金份额从一个交易账户转入另一交易账户的行为； </w:t>
      </w:r>
    </w:p>
    <w:p>
      <w:pPr>
        <w:pStyle w:val="7"/>
        <w:spacing w:before="0" w:beforeAutospacing="0" w:after="0" w:afterAutospacing="0" w:line="360" w:lineRule="auto"/>
        <w:ind w:firstLine="420"/>
        <w:rPr>
          <w:sz w:val="21"/>
          <w:szCs w:val="21"/>
        </w:rPr>
      </w:pPr>
      <w:r>
        <w:rPr>
          <w:rFonts w:hint="eastAsia"/>
          <w:sz w:val="21"/>
          <w:szCs w:val="21"/>
        </w:rPr>
        <w:t>35、直销机构：指</w:t>
      </w:r>
      <w:bookmarkStart w:id="23" w:name="field_0_managerorgfullname_4"/>
      <w:r>
        <w:rPr>
          <w:rFonts w:hint="eastAsia"/>
          <w:sz w:val="21"/>
          <w:szCs w:val="21"/>
        </w:rPr>
        <w:t>博时基金管理有限公司</w:t>
      </w:r>
      <w:bookmarkEnd w:id="23"/>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36、代销机构：指接受基金管理人委托代为办理本基金申购、赎回和其他基金业务的具有基金代销业务资格的机构； </w:t>
      </w:r>
    </w:p>
    <w:p>
      <w:pPr>
        <w:pStyle w:val="7"/>
        <w:spacing w:before="0" w:beforeAutospacing="0" w:after="0" w:afterAutospacing="0" w:line="360" w:lineRule="auto"/>
        <w:ind w:firstLine="420"/>
        <w:rPr>
          <w:sz w:val="21"/>
          <w:szCs w:val="21"/>
        </w:rPr>
      </w:pPr>
      <w:r>
        <w:rPr>
          <w:rFonts w:hint="eastAsia"/>
          <w:sz w:val="21"/>
          <w:szCs w:val="21"/>
        </w:rPr>
        <w:t xml:space="preserve">37、销售机构：指基金管理人及本基金代销机构； </w:t>
      </w:r>
    </w:p>
    <w:p>
      <w:pPr>
        <w:pStyle w:val="7"/>
        <w:spacing w:before="0" w:beforeAutospacing="0" w:after="0" w:afterAutospacing="0" w:line="360" w:lineRule="auto"/>
        <w:ind w:firstLine="420"/>
        <w:rPr>
          <w:sz w:val="21"/>
          <w:szCs w:val="21"/>
        </w:rPr>
      </w:pPr>
      <w:r>
        <w:rPr>
          <w:rFonts w:hint="eastAsia"/>
          <w:sz w:val="21"/>
          <w:szCs w:val="21"/>
        </w:rPr>
        <w:t xml:space="preserve">38、基金销售网点：指基金管理人的直销中心及基金代销机构的代销网点； </w:t>
      </w:r>
    </w:p>
    <w:p>
      <w:pPr>
        <w:pStyle w:val="7"/>
        <w:spacing w:before="0" w:beforeAutospacing="0" w:after="0" w:afterAutospacing="0" w:line="360" w:lineRule="auto"/>
        <w:ind w:firstLine="420"/>
        <w:rPr>
          <w:sz w:val="21"/>
          <w:szCs w:val="21"/>
        </w:rPr>
      </w:pPr>
      <w:r>
        <w:rPr>
          <w:rFonts w:hint="eastAsia"/>
          <w:sz w:val="21"/>
          <w:szCs w:val="21"/>
        </w:rPr>
        <w:t xml:space="preserve">39、指定媒介：指中国证监会指定的用以进行信息披露的全国性报刊及指定互联网网站（包括基金管理人网站、基金托管人网站、中国证监会基金电子披露网站）等媒介；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 xml:space="preserve">40、基金账户：指登记机构为基金投资人开立的记录其持有的由该登记机构办理注册登记的基金份额余额及其变动情况的账户；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41、交易账户：指销售机构为基金投资人开立的记录其持有的由该销售机构办理申购、赎回、转换及转托管等业务的基金份额余额及其变动情况的账户；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42、开放日：指基金管理人办理基金份额申购、赎回或其他业务的日期； </w:t>
      </w:r>
    </w:p>
    <w:p>
      <w:pPr>
        <w:pStyle w:val="7"/>
        <w:spacing w:before="0" w:beforeAutospacing="0" w:after="0" w:afterAutospacing="0" w:line="360" w:lineRule="auto"/>
        <w:ind w:firstLine="420"/>
        <w:rPr>
          <w:sz w:val="21"/>
          <w:szCs w:val="21"/>
        </w:rPr>
      </w:pPr>
      <w:r>
        <w:rPr>
          <w:rFonts w:hint="eastAsia"/>
          <w:sz w:val="21"/>
          <w:szCs w:val="21"/>
        </w:rPr>
        <w:t xml:space="preserve">43、T日：指销售机构在规定时间内受理投资人申购、赎回或其他业务申请的日期； </w:t>
      </w:r>
    </w:p>
    <w:p>
      <w:pPr>
        <w:pStyle w:val="7"/>
        <w:spacing w:before="0" w:beforeAutospacing="0" w:after="0" w:afterAutospacing="0" w:line="360" w:lineRule="auto"/>
        <w:ind w:firstLine="420"/>
        <w:rPr>
          <w:sz w:val="21"/>
          <w:szCs w:val="21"/>
        </w:rPr>
      </w:pPr>
      <w:r>
        <w:rPr>
          <w:rFonts w:hint="eastAsia"/>
          <w:sz w:val="21"/>
          <w:szCs w:val="21"/>
        </w:rPr>
        <w:t xml:space="preserve">44、T＋n日：指T日起（不包括T日）的第n个工作日； </w:t>
      </w:r>
    </w:p>
    <w:p>
      <w:pPr>
        <w:pStyle w:val="7"/>
        <w:spacing w:before="0" w:beforeAutospacing="0" w:after="0" w:afterAutospacing="0" w:line="360" w:lineRule="auto"/>
        <w:ind w:firstLine="420"/>
        <w:rPr>
          <w:sz w:val="21"/>
          <w:szCs w:val="21"/>
        </w:rPr>
      </w:pPr>
      <w:r>
        <w:rPr>
          <w:rFonts w:hint="eastAsia"/>
          <w:sz w:val="21"/>
          <w:szCs w:val="21"/>
        </w:rPr>
        <w:t xml:space="preserve">45、基金收益：指基金管理人运用基金资产投资所得股票红利、股息、债券利息、买卖证券价差、银行存款利息和其他合法收入以及因运用基金财产带来的成本或费用的节约； </w:t>
      </w:r>
    </w:p>
    <w:p>
      <w:pPr>
        <w:pStyle w:val="7"/>
        <w:spacing w:before="0" w:beforeAutospacing="0" w:after="0" w:afterAutospacing="0" w:line="360" w:lineRule="auto"/>
        <w:ind w:firstLine="420"/>
        <w:rPr>
          <w:sz w:val="21"/>
          <w:szCs w:val="21"/>
        </w:rPr>
      </w:pPr>
      <w:r>
        <w:rPr>
          <w:rFonts w:hint="eastAsia"/>
          <w:sz w:val="21"/>
          <w:szCs w:val="21"/>
        </w:rPr>
        <w:t xml:space="preserve">46、基金资产总值：基金资产总值是指本基金拥有的各类有价证券及票据价值、银行存款本息、债券的应计利息、基金应收的申购基金款、缴存的保证金以及其他投资所形成的价值总和； </w:t>
      </w:r>
    </w:p>
    <w:p>
      <w:pPr>
        <w:pStyle w:val="7"/>
        <w:spacing w:before="0" w:beforeAutospacing="0" w:after="0" w:afterAutospacing="0" w:line="360" w:lineRule="auto"/>
        <w:ind w:firstLine="420"/>
        <w:rPr>
          <w:sz w:val="21"/>
          <w:szCs w:val="21"/>
        </w:rPr>
      </w:pPr>
      <w:r>
        <w:rPr>
          <w:rFonts w:hint="eastAsia"/>
          <w:sz w:val="21"/>
          <w:szCs w:val="21"/>
        </w:rPr>
        <w:t xml:space="preserve">47、基金资产净值：指基金资产总值减去基金负债后的价值；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48、基金份额净值：指计算日基金资产净值除以计算日基金份额余额总数后得出的基金份额的资产净值； </w:t>
      </w:r>
    </w:p>
    <w:p>
      <w:pPr>
        <w:pStyle w:val="7"/>
        <w:spacing w:before="0" w:beforeAutospacing="0" w:after="0" w:afterAutospacing="0" w:line="360" w:lineRule="auto"/>
        <w:ind w:firstLine="420"/>
        <w:rPr>
          <w:sz w:val="21"/>
          <w:szCs w:val="21"/>
        </w:rPr>
      </w:pPr>
      <w:r>
        <w:rPr>
          <w:rFonts w:hint="eastAsia"/>
          <w:sz w:val="21"/>
          <w:szCs w:val="21"/>
        </w:rPr>
        <w:t xml:space="preserve">49、基金资产估值：指计算评估基金资产和负债的价值，以确定基金资产净值和基金份额净值的过程； </w:t>
      </w:r>
    </w:p>
    <w:p>
      <w:pPr>
        <w:pStyle w:val="7"/>
        <w:spacing w:before="0" w:beforeAutospacing="0" w:after="0" w:afterAutospacing="0" w:line="360" w:lineRule="auto"/>
        <w:ind w:firstLine="420"/>
        <w:rPr>
          <w:sz w:val="21"/>
          <w:szCs w:val="21"/>
        </w:rPr>
      </w:pPr>
      <w:r>
        <w:rPr>
          <w:rFonts w:hint="eastAsia"/>
          <w:sz w:val="21"/>
          <w:szCs w:val="21"/>
        </w:rPr>
        <w:t xml:space="preserve">50、法律法规：指中华人民共和国现行有效的法律、行政法规、部门规章及其他规范性文件以及对其做出的不时修改和补充； </w:t>
      </w:r>
    </w:p>
    <w:p>
      <w:pPr>
        <w:pStyle w:val="7"/>
        <w:spacing w:before="0" w:beforeAutospacing="0" w:after="0" w:afterAutospacing="0" w:line="360" w:lineRule="auto"/>
        <w:ind w:firstLine="420"/>
        <w:rPr>
          <w:sz w:val="21"/>
          <w:szCs w:val="21"/>
        </w:rPr>
      </w:pPr>
      <w:r>
        <w:rPr>
          <w:rFonts w:hint="eastAsia"/>
          <w:sz w:val="21"/>
          <w:szCs w:val="21"/>
        </w:rPr>
        <w:t xml:space="preserve">51、标的指数：指深圳证券信息有限公司编制并发布的创业板指数及其未来可能发生的变更； </w:t>
      </w:r>
    </w:p>
    <w:p>
      <w:pPr>
        <w:pStyle w:val="7"/>
        <w:spacing w:before="0" w:beforeAutospacing="0" w:after="0" w:afterAutospacing="0" w:line="360" w:lineRule="auto"/>
        <w:ind w:firstLine="420"/>
        <w:rPr>
          <w:sz w:val="21"/>
          <w:szCs w:val="21"/>
        </w:rPr>
      </w:pPr>
      <w:r>
        <w:rPr>
          <w:rFonts w:hint="eastAsia"/>
          <w:sz w:val="21"/>
          <w:szCs w:val="21"/>
        </w:rPr>
        <w:t xml:space="preserve">52、联接基金：指本基金，即将绝大部分基金财产投资于博时创业板交易型开放式指数证券投资基金（目标ETF），紧密跟踪标的指数表现，追求跟踪偏离度和跟踪误差最小化，采用开放式运作方式的基金； </w:t>
      </w:r>
    </w:p>
    <w:p>
      <w:pPr>
        <w:pStyle w:val="7"/>
        <w:spacing w:before="0" w:beforeAutospacing="0" w:after="0" w:afterAutospacing="0" w:line="360" w:lineRule="auto"/>
        <w:ind w:firstLine="420"/>
        <w:rPr>
          <w:sz w:val="21"/>
          <w:szCs w:val="21"/>
        </w:rPr>
      </w:pPr>
      <w:r>
        <w:rPr>
          <w:rFonts w:hint="eastAsia"/>
          <w:sz w:val="21"/>
          <w:szCs w:val="21"/>
        </w:rPr>
        <w:t xml:space="preserve">53、A类基金份额：在投资者申购时收取申购费用，在赎回时根据持有期限收取赎回费用，但不从本类别基金资产中计提销售服务费的基金份额，称为A类基金份额； </w:t>
      </w:r>
    </w:p>
    <w:p>
      <w:pPr>
        <w:pStyle w:val="7"/>
        <w:spacing w:before="0" w:beforeAutospacing="0" w:after="0" w:afterAutospacing="0" w:line="360" w:lineRule="auto"/>
        <w:ind w:firstLine="420"/>
        <w:rPr>
          <w:sz w:val="21"/>
          <w:szCs w:val="21"/>
        </w:rPr>
      </w:pPr>
      <w:r>
        <w:rPr>
          <w:rFonts w:hint="eastAsia"/>
          <w:sz w:val="21"/>
          <w:szCs w:val="21"/>
        </w:rPr>
        <w:t xml:space="preserve">54、C类基金份额、E类基金份额：在投资者申购时不收取申购费用，从本类别基金资产中计提销售服务费，赎回时根据持有期限收取赎回费用的基金份额；  </w:t>
      </w:r>
    </w:p>
    <w:p>
      <w:pPr>
        <w:pStyle w:val="7"/>
        <w:spacing w:before="0" w:beforeAutospacing="0" w:after="0" w:afterAutospacing="0" w:line="360" w:lineRule="auto"/>
        <w:ind w:firstLine="420"/>
        <w:rPr>
          <w:sz w:val="21"/>
          <w:szCs w:val="21"/>
        </w:rPr>
      </w:pPr>
      <w:r>
        <w:rPr>
          <w:rFonts w:hint="eastAsia"/>
          <w:sz w:val="21"/>
          <w:szCs w:val="21"/>
        </w:rPr>
        <w:t xml:space="preserve">55、Y类基金份额：指根据《个人养老金基金暂行规定》设置，通过个人养老金账户投资的基金份额类别，该份额类别不收取销售服务费。 </w:t>
      </w:r>
    </w:p>
    <w:p>
      <w:pPr>
        <w:pStyle w:val="7"/>
        <w:spacing w:before="0" w:beforeAutospacing="0" w:after="0" w:afterAutospacing="0" w:line="360" w:lineRule="auto"/>
        <w:ind w:firstLine="420"/>
        <w:rPr>
          <w:sz w:val="21"/>
          <w:szCs w:val="21"/>
        </w:rPr>
      </w:pPr>
      <w:r>
        <w:rPr>
          <w:rFonts w:hint="eastAsia"/>
          <w:sz w:val="21"/>
          <w:szCs w:val="21"/>
        </w:rPr>
        <w:t xml:space="preserve">56、目标ETF：指博时创业板交易型开放式指数证券投资基金； </w:t>
      </w:r>
    </w:p>
    <w:p>
      <w:pPr>
        <w:pStyle w:val="7"/>
        <w:spacing w:before="0" w:beforeAutospacing="0" w:after="0" w:afterAutospacing="0" w:line="360" w:lineRule="auto"/>
        <w:ind w:firstLine="420"/>
        <w:rPr>
          <w:sz w:val="21"/>
          <w:szCs w:val="21"/>
        </w:rPr>
      </w:pPr>
      <w:r>
        <w:rPr>
          <w:rFonts w:hint="eastAsia"/>
          <w:sz w:val="21"/>
          <w:szCs w:val="21"/>
        </w:rPr>
        <w:t xml:space="preserve">57、不可抗力：指无法预见、无法避免、无法克服的任何事件和因素； </w:t>
      </w:r>
    </w:p>
    <w:p>
      <w:pPr>
        <w:pStyle w:val="7"/>
        <w:spacing w:before="0" w:beforeAutospacing="0" w:after="0" w:afterAutospacing="0" w:line="360" w:lineRule="auto"/>
        <w:ind w:firstLine="420"/>
        <w:rPr>
          <w:sz w:val="21"/>
          <w:szCs w:val="21"/>
        </w:rPr>
      </w:pPr>
      <w:r>
        <w:rPr>
          <w:rFonts w:hint="eastAsia"/>
          <w:sz w:val="21"/>
          <w:szCs w:val="21"/>
        </w:rPr>
        <w:t xml:space="preserve">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pPr>
        <w:widowControl/>
        <w:jc w:val="left"/>
        <w:rPr>
          <w:rFonts w:ascii="宋体" w:hAnsi="宋体" w:eastAsia="宋体"/>
        </w:rPr>
      </w:pPr>
      <w:bookmarkStart w:id="24" w:name="chapter_level1_4_49_section_2_end"/>
      <w:bookmarkEnd w:id="24"/>
      <w:r>
        <w:rPr>
          <w:rFonts w:ascii="宋体" w:hAnsi="宋体" w:eastAsia="宋体"/>
        </w:rPr>
        <w:br w:type="page"/>
      </w:r>
    </w:p>
    <w:p>
      <w:pPr>
        <w:pStyle w:val="2"/>
        <w:jc w:val="center"/>
        <w:rPr>
          <w:rFonts w:ascii="宋体" w:hAnsi="宋体" w:eastAsia="宋体"/>
          <w:sz w:val="30"/>
        </w:rPr>
      </w:pPr>
      <w:bookmarkStart w:id="25" w:name="_Toc207979127"/>
      <w:bookmarkStart w:id="26" w:name="chapter_level1_5_53"/>
      <w:r>
        <w:rPr>
          <w:rFonts w:hint="eastAsia" w:ascii="宋体" w:hAnsi="宋体" w:eastAsia="宋体"/>
          <w:sz w:val="30"/>
        </w:rPr>
        <w:t>第三部分  基金管理人</w:t>
      </w:r>
      <w:bookmarkEnd w:id="25"/>
      <w:bookmarkEnd w:id="26"/>
    </w:p>
    <w:p>
      <w:pPr>
        <w:pStyle w:val="7"/>
        <w:spacing w:before="0" w:beforeAutospacing="0" w:after="0" w:afterAutospacing="0" w:line="360" w:lineRule="auto"/>
        <w:ind w:firstLine="420"/>
        <w:rPr>
          <w:sz w:val="21"/>
          <w:szCs w:val="21"/>
        </w:rPr>
      </w:pPr>
      <w:bookmarkStart w:id="27" w:name="chapter_level1_5_53_section_1"/>
      <w:bookmarkEnd w:id="27"/>
      <w:r>
        <w:rPr>
          <w:rStyle w:val="11"/>
          <w:rFonts w:hint="eastAsia"/>
          <w:sz w:val="21"/>
          <w:szCs w:val="21"/>
        </w:rPr>
        <w:t>一、基金管理人概况</w:t>
      </w:r>
    </w:p>
    <w:p>
      <w:pPr>
        <w:pStyle w:val="7"/>
        <w:spacing w:before="0" w:beforeAutospacing="0" w:after="0" w:afterAutospacing="0" w:line="360" w:lineRule="auto"/>
        <w:ind w:firstLine="420"/>
        <w:rPr>
          <w:sz w:val="21"/>
          <w:szCs w:val="21"/>
        </w:rPr>
      </w:pPr>
      <w:bookmarkStart w:id="28" w:name="field_0_managercompanyinfo_1_start"/>
      <w:bookmarkEnd w:id="28"/>
      <w:r>
        <w:rPr>
          <w:rFonts w:hint="eastAsia"/>
          <w:sz w:val="21"/>
          <w:szCs w:val="21"/>
        </w:rPr>
        <w:t xml:space="preserve">名称： 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pPr>
        <w:pStyle w:val="7"/>
        <w:spacing w:before="0" w:beforeAutospacing="0" w:after="0" w:afterAutospacing="0" w:line="360" w:lineRule="auto"/>
        <w:ind w:firstLine="420"/>
        <w:rPr>
          <w:sz w:val="21"/>
          <w:szCs w:val="21"/>
        </w:rPr>
      </w:pPr>
      <w:r>
        <w:rPr>
          <w:rFonts w:hint="eastAsia"/>
          <w:sz w:val="21"/>
          <w:szCs w:val="21"/>
        </w:rPr>
        <w:t xml:space="preserve">联系人：   王济帆 </w:t>
      </w:r>
    </w:p>
    <w:p>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29" w:name="field_0_managercompanyinfo_1_end"/>
      <w:bookmarkEnd w:id="29"/>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二、主要成员情况</w:t>
      </w:r>
    </w:p>
    <w:p>
      <w:pPr>
        <w:pStyle w:val="7"/>
        <w:spacing w:before="0" w:beforeAutospacing="0" w:after="0" w:afterAutospacing="0" w:line="360" w:lineRule="auto"/>
        <w:ind w:firstLine="420"/>
        <w:rPr>
          <w:sz w:val="21"/>
          <w:szCs w:val="21"/>
        </w:rPr>
      </w:pPr>
      <w:bookmarkStart w:id="30" w:name="field_0_managerpersoninfo_1_start"/>
      <w:bookmarkEnd w:id="30"/>
      <w:r>
        <w:rPr>
          <w:rFonts w:hint="eastAsia"/>
          <w:sz w:val="21"/>
          <w:szCs w:val="21"/>
        </w:rPr>
        <w:t xml:space="preserve">1、基金管理人董事会成员 </w:t>
      </w:r>
    </w:p>
    <w:p>
      <w:pPr>
        <w:pStyle w:val="7"/>
        <w:spacing w:before="0" w:beforeAutospacing="0" w:after="0" w:afterAutospacing="0" w:line="360" w:lineRule="auto"/>
        <w:ind w:firstLine="420"/>
        <w:rPr>
          <w:sz w:val="21"/>
          <w:szCs w:val="21"/>
        </w:rPr>
      </w:pPr>
      <w:r>
        <w:rPr>
          <w:rFonts w:hint="eastAsia"/>
          <w:sz w:val="21"/>
          <w:szCs w:val="21"/>
        </w:rPr>
        <w:t xml:space="preserve">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2023年11月10日至2024年5月24日代为履行博时基金管理有限公司总经理职务。自2020年4月1日起任博时基金管理有限公司党委书记。自2020年4月15日起，任博时基金管理有限公司董事长。 </w:t>
      </w:r>
    </w:p>
    <w:p>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pPr>
        <w:pStyle w:val="7"/>
        <w:spacing w:before="0" w:beforeAutospacing="0" w:after="0" w:afterAutospacing="0" w:line="360" w:lineRule="auto"/>
        <w:ind w:firstLine="420"/>
        <w:rPr>
          <w:sz w:val="21"/>
          <w:szCs w:val="21"/>
        </w:rPr>
      </w:pPr>
      <w:r>
        <w:rPr>
          <w:rFonts w:hint="eastAsia"/>
          <w:sz w:val="21"/>
          <w:szCs w:val="21"/>
        </w:rPr>
        <w:t xml:space="preserve">张东先生，硕士，总经理。1989年至2024年先后在中国银行、招商银行从事零售金融、财富业务和财务会计等工作。2024年加入博时基金管理有限公司，现任公司总经理。自2024年7月5日起，任博时基金管理有限公司董事。 </w:t>
      </w:r>
    </w:p>
    <w:p>
      <w:pPr>
        <w:pStyle w:val="7"/>
        <w:spacing w:before="0" w:beforeAutospacing="0" w:after="0" w:afterAutospacing="0" w:line="360" w:lineRule="auto"/>
        <w:ind w:firstLine="420"/>
        <w:rPr>
          <w:sz w:val="21"/>
          <w:szCs w:val="21"/>
        </w:rPr>
      </w:pPr>
      <w:r>
        <w:rPr>
          <w:rFonts w:hint="eastAsia"/>
          <w:sz w:val="21"/>
          <w:szCs w:val="21"/>
        </w:rPr>
        <w:t xml:space="preserve">罗立女士，毕业于中央财经大学经济学院，获经济学硕士学位，美国注册管理会计师，香港证券及投资学会高级从业资格，高级经济师。现任招商局集团财务部（产权部）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 </w:t>
      </w:r>
    </w:p>
    <w:p>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pPr>
        <w:pStyle w:val="7"/>
        <w:spacing w:before="0" w:beforeAutospacing="0" w:after="0" w:afterAutospacing="0" w:line="360" w:lineRule="auto"/>
        <w:ind w:firstLine="420"/>
        <w:rPr>
          <w:sz w:val="21"/>
          <w:szCs w:val="21"/>
        </w:rPr>
      </w:pPr>
      <w:r>
        <w:rPr>
          <w:rFonts w:hint="eastAsia"/>
          <w:sz w:val="21"/>
          <w:szCs w:val="21"/>
        </w:rPr>
        <w:t xml:space="preserve">2、基金管理人监事会成员 </w:t>
      </w:r>
    </w:p>
    <w:p>
      <w:pPr>
        <w:pStyle w:val="7"/>
        <w:spacing w:before="0" w:beforeAutospacing="0" w:after="0" w:afterAutospacing="0" w:line="360" w:lineRule="auto"/>
        <w:ind w:firstLine="420"/>
        <w:rPr>
          <w:sz w:val="21"/>
          <w:szCs w:val="21"/>
        </w:rPr>
      </w:pPr>
      <w:r>
        <w:rPr>
          <w:rFonts w:hint="eastAsia"/>
          <w:sz w:val="21"/>
          <w:szCs w:val="21"/>
        </w:rPr>
        <w:t xml:space="preserve">胡艳君女士，经济师。本科毕业于中南财经政法大学财税系，取得学士学位；后取得中国财政科学研究院硕士学位。现任招商局集团有限公司财务部（产权部）副部长。历任招商局集团财务部总监，曾就职国家财政部。 </w:t>
      </w:r>
    </w:p>
    <w:p>
      <w:pPr>
        <w:pStyle w:val="7"/>
        <w:spacing w:before="0" w:beforeAutospacing="0" w:after="0" w:afterAutospacing="0" w:line="360" w:lineRule="auto"/>
        <w:ind w:firstLine="420"/>
        <w:rPr>
          <w:sz w:val="21"/>
          <w:szCs w:val="21"/>
        </w:rPr>
      </w:pPr>
      <w:r>
        <w:rPr>
          <w:rFonts w:hint="eastAsia"/>
          <w:sz w:val="21"/>
          <w:szCs w:val="21"/>
        </w:rPr>
        <w:t xml:space="preserve">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 </w:t>
      </w:r>
    </w:p>
    <w:p>
      <w:pPr>
        <w:pStyle w:val="7"/>
        <w:spacing w:before="0" w:beforeAutospacing="0" w:after="0" w:afterAutospacing="0" w:line="360" w:lineRule="auto"/>
        <w:ind w:firstLine="420"/>
        <w:rPr>
          <w:rFonts w:hint="eastAsia"/>
          <w:sz w:val="21"/>
          <w:szCs w:val="21"/>
        </w:rPr>
      </w:pPr>
      <w:r>
        <w:rPr>
          <w:rFonts w:hint="eastAsia"/>
          <w:sz w:val="21"/>
          <w:szCs w:val="21"/>
        </w:rPr>
        <w:t>冯春宝先生，硕士。2006年至2009年于天津港生活服务中心国际物流分总司任综合管理员；2009年至2017年就职于天津港（集团）有限公司，历任办公室公文文书、招商部综合科综合管理员、副科长；招商一部综合科副科长、科长；2017年至2023年就职于天津港经济技术合作有限公司，历任股权管理部部长、投资管理部部长、投资运营部经理、党委副书记、副总经理；2023年至今就职于天津津港产业发展有限公司，曾任党委副书记，现任天津津港产业发展有限公司副总经理，天津港（集团）有限公司多元经营管理中心主任（兼）。</w:t>
      </w:r>
    </w:p>
    <w:p>
      <w:pPr>
        <w:pStyle w:val="7"/>
        <w:spacing w:before="0" w:beforeAutospacing="0" w:after="0" w:afterAutospacing="0" w:line="360" w:lineRule="auto"/>
        <w:ind w:firstLine="420"/>
        <w:rPr>
          <w:sz w:val="21"/>
          <w:szCs w:val="21"/>
        </w:rPr>
      </w:pPr>
      <w:r>
        <w:rPr>
          <w:rFonts w:hint="eastAsia"/>
          <w:sz w:val="21"/>
          <w:szCs w:val="21"/>
        </w:rPr>
        <w:t xml:space="preserve">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 </w:t>
      </w:r>
    </w:p>
    <w:p>
      <w:pPr>
        <w:pStyle w:val="7"/>
        <w:spacing w:before="0" w:beforeAutospacing="0" w:after="0" w:afterAutospacing="0" w:line="360" w:lineRule="auto"/>
        <w:ind w:firstLine="420"/>
        <w:rPr>
          <w:sz w:val="21"/>
          <w:szCs w:val="21"/>
        </w:rPr>
      </w:pPr>
      <w:r>
        <w:rPr>
          <w:rFonts w:hint="eastAsia"/>
          <w:sz w:val="21"/>
          <w:szCs w:val="21"/>
        </w:rPr>
        <w:t xml:space="preserve">严斌先生，硕士。1997年7月起先后在华侨城集团公司、博时基金管理有限公司工作。现任博时基金管理有限公司提质增效办主任。自2015年5月起，任博时基金管理有限公司监事。 </w:t>
      </w:r>
    </w:p>
    <w:p>
      <w:pPr>
        <w:pStyle w:val="7"/>
        <w:spacing w:before="0" w:beforeAutospacing="0" w:after="0" w:afterAutospacing="0" w:line="360" w:lineRule="auto"/>
        <w:ind w:firstLine="420"/>
        <w:rPr>
          <w:sz w:val="21"/>
          <w:szCs w:val="21"/>
        </w:rPr>
      </w:pPr>
      <w:r>
        <w:rPr>
          <w:rFonts w:hint="eastAsia"/>
          <w:sz w:val="21"/>
          <w:szCs w:val="21"/>
        </w:rPr>
        <w:t xml:space="preserve">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任登记清算部总经理。2024年3月7日起任审计部总经理。 </w:t>
      </w:r>
    </w:p>
    <w:p>
      <w:pPr>
        <w:pStyle w:val="7"/>
        <w:spacing w:before="0" w:beforeAutospacing="0" w:after="0" w:afterAutospacing="0" w:line="360" w:lineRule="auto"/>
        <w:ind w:firstLine="420"/>
        <w:rPr>
          <w:sz w:val="21"/>
          <w:szCs w:val="21"/>
        </w:rPr>
      </w:pPr>
      <w:r>
        <w:rPr>
          <w:rFonts w:hint="eastAsia"/>
          <w:sz w:val="21"/>
          <w:szCs w:val="21"/>
        </w:rPr>
        <w:t xml:space="preserve">3、高级管理人员 </w:t>
      </w:r>
    </w:p>
    <w:p>
      <w:pPr>
        <w:pStyle w:val="7"/>
        <w:spacing w:before="0" w:beforeAutospacing="0" w:after="0" w:afterAutospacing="0" w:line="360" w:lineRule="auto"/>
        <w:ind w:firstLine="420"/>
        <w:rPr>
          <w:sz w:val="21"/>
          <w:szCs w:val="21"/>
        </w:rPr>
      </w:pPr>
      <w:r>
        <w:rPr>
          <w:rFonts w:hint="eastAsia"/>
          <w:sz w:val="21"/>
          <w:szCs w:val="21"/>
        </w:rPr>
        <w:t xml:space="preserve">江向阳先生，简历同上。 </w:t>
      </w:r>
    </w:p>
    <w:p>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财富基金销售有限公司董事。 </w:t>
      </w:r>
    </w:p>
    <w:p>
      <w:pPr>
        <w:pStyle w:val="7"/>
        <w:spacing w:before="0" w:beforeAutospacing="0" w:after="0" w:afterAutospacing="0" w:line="360" w:lineRule="auto"/>
        <w:ind w:firstLine="420"/>
        <w:rPr>
          <w:sz w:val="21"/>
          <w:szCs w:val="21"/>
        </w:rPr>
      </w:pPr>
      <w:r>
        <w:rPr>
          <w:rFonts w:hint="eastAsia"/>
          <w:sz w:val="21"/>
          <w:szCs w:val="21"/>
        </w:rPr>
        <w:t xml:space="preserve">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等工作，兼任博时财富基金销售有限公司董事长和博时资本管理有限公司董事长。 </w:t>
      </w:r>
    </w:p>
    <w:p>
      <w:pPr>
        <w:pStyle w:val="7"/>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31" w:name="chapter_level1_5_53_section_1_end"/>
      <w:bookmarkEnd w:id="31"/>
      <w:r>
        <w:rPr>
          <w:rFonts w:hint="eastAsia"/>
          <w:sz w:val="21"/>
          <w:szCs w:val="21"/>
        </w:rPr>
        <w:t xml:space="preserve">资产管理有限公司合规总监。2024年加入博时基金管理有限公司，现任公司督察长。 </w:t>
      </w:r>
      <w:bookmarkStart w:id="32" w:name="field_0_managerpersoninfo_1_end"/>
      <w:bookmarkEnd w:id="32"/>
      <w:r>
        <w:rPr>
          <w:rFonts w:hint="eastAsia"/>
          <w:sz w:val="21"/>
          <w:szCs w:val="21"/>
        </w:rPr>
        <w:t xml:space="preserve">  </w:t>
      </w:r>
    </w:p>
    <w:p>
      <w:pPr>
        <w:pStyle w:val="7"/>
        <w:spacing w:before="0" w:beforeAutospacing="0" w:after="0" w:afterAutospacing="0" w:line="360" w:lineRule="auto"/>
        <w:ind w:firstLine="420"/>
        <w:rPr>
          <w:sz w:val="21"/>
          <w:szCs w:val="21"/>
        </w:rPr>
      </w:pPr>
      <w:bookmarkStart w:id="33" w:name="chapter_level1_5_53_section_2"/>
      <w:bookmarkEnd w:id="33"/>
      <w:r>
        <w:rPr>
          <w:rFonts w:hint="eastAsia"/>
          <w:sz w:val="21"/>
          <w:szCs w:val="21"/>
        </w:rPr>
        <w:t xml:space="preserve">4、本基金基金经理 </w:t>
      </w:r>
    </w:p>
    <w:p>
      <w:pPr>
        <w:pStyle w:val="7"/>
        <w:spacing w:before="0" w:beforeAutospacing="0" w:after="0" w:afterAutospacing="0" w:line="360" w:lineRule="auto"/>
        <w:ind w:firstLine="420"/>
        <w:rPr>
          <w:sz w:val="21"/>
          <w:szCs w:val="21"/>
        </w:rPr>
      </w:pPr>
      <w:bookmarkStart w:id="34" w:name="field_0_fundmanagerresume_1_start"/>
      <w:bookmarkEnd w:id="34"/>
      <w:r>
        <w:rPr>
          <w:rFonts w:hint="eastAsia"/>
          <w:sz w:val="21"/>
          <w:szCs w:val="21"/>
        </w:rPr>
        <w:t>尹浩先生，硕士。2012年起先后在华宝证券、国金证券工作。2015年加入博时基金管理有限公司。历任高级研究员、高级研究员兼基金经理助理、博时上证超级大盘交易型开放式指数证券投资基金联接基金(2019年10月11日-2023年3月8日)、上证超级大盘交易型开放式指数证券投资基金(2019年10月11日-2023年3月8日)、博时中证5G产业50交易型开放式指数证券投资基金发起式联接基金(2021年7月14日-2024年8月17日)、博时中证科创创业50交易型开放式指数证券投资基金发起式联接基金(2021年11月30日-2025年1月15日)、博时中证A100指数型证券投资基金(2024年12月25日-2025年6月23日)的基金经理。现任博时创业板交易型开放式指数证券投资基金(2019年10月11日—至今)、博时创业板交易型开放式指数证券投资基金联接基金(2019年10月11日—至今)、博时中证5G产业50交易型开放式指数证券投资基金(2020年3月27日—至今)、博时中证新能源汽车交易型开放式指数证券投资基金(2020年12月10日—至今)、博时中证智能消费主题交易型开放式指数证券投资基金(2020年12月30日—至今)、博时中证新能源交易型开放式指数证券投资基金(2021年7月15日—至今)、博时中证科创创业50交易型开放式指数证券投资基金(2021年8月19日—至今)、博时中证金融科技主题交易型开放式指数证券投资基金(2021年9月24日—至今)、博时国证龙头家电交易型开放式指数证券投资基金(2021年12月13日—至今)、博时中证湖北新旧动能转换交易型开放式指数证券投资基金(2021年12月29日—至今)、博时中证全指电力公用事业交易型开放式指数证券投资基金(2022年7月1日—至今)、博时中证成渝地区双城经济圈成份交易型开放式指数证券投资基金(2022年8月15日—至今)、博时中证全指电力公用事业交易型开放式指数证券投资基金发起式联接基金(2023年1月6日—至今)、博时中证新能源交易型开放式指数证券投资基金发起式联接基金(2023年11月28日—至今)、博时中证软件服务指数型发起式证券投资基金(2023年12月26日—至今)、博时中证半导体产业交易型开放式指数证券投资基金(2024年4月8日—至今)、博时国证龙头家电交易型开放式指数证券投资基金发起式联接基金(2024年5月28日—至今)、博时中证A100交易型开放式指数证券投资基金(2025年6月16日—至今)、博时中证金融科技主题交易型开放式指数证券投资基金联接基金(2025年6月19日—至今)、博时中证A100交易型开放式指数证券投资基金联接基金(2025年6月24日—至今)的基金经理。</w:t>
      </w:r>
      <w:bookmarkStart w:id="35" w:name="field_0_fundmanagerresume_1_end"/>
      <w:bookmarkEnd w:id="35"/>
      <w:r>
        <w:rPr>
          <w:rFonts w:hint="eastAsia"/>
          <w:sz w:val="21"/>
          <w:szCs w:val="21"/>
        </w:rPr>
        <w:t xml:space="preserve">  </w:t>
      </w:r>
    </w:p>
    <w:p>
      <w:pPr>
        <w:pStyle w:val="7"/>
        <w:spacing w:before="0" w:beforeAutospacing="0" w:after="0" w:afterAutospacing="0" w:line="360" w:lineRule="auto"/>
        <w:ind w:firstLine="420"/>
        <w:rPr>
          <w:sz w:val="21"/>
          <w:szCs w:val="21"/>
        </w:rPr>
      </w:pPr>
      <w:bookmarkStart w:id="36" w:name="field_0_fundmanagershis_1_start"/>
      <w:bookmarkEnd w:id="36"/>
      <w:r>
        <w:rPr>
          <w:rFonts w:hint="eastAsia"/>
          <w:sz w:val="21"/>
          <w:szCs w:val="21"/>
        </w:rPr>
        <w:t>本基金历任基金经理：王政（2011年6月10日-2012年11月13</w:t>
      </w:r>
      <w:bookmarkStart w:id="37" w:name="chapter_level1_5_53_section_2_end"/>
      <w:bookmarkEnd w:id="37"/>
      <w:r>
        <w:rPr>
          <w:rFonts w:hint="eastAsia"/>
          <w:sz w:val="21"/>
          <w:szCs w:val="21"/>
        </w:rPr>
        <w:t>日）、赵云阳（2012年11月13日-2019年10月11日）。</w:t>
      </w:r>
      <w:bookmarkStart w:id="38" w:name="field_0_fundmanagershis_1_end"/>
      <w:bookmarkEnd w:id="38"/>
      <w:r>
        <w:rPr>
          <w:rFonts w:hint="eastAsia"/>
          <w:sz w:val="21"/>
          <w:szCs w:val="21"/>
        </w:rPr>
        <w:t xml:space="preserve">  </w:t>
      </w:r>
    </w:p>
    <w:p>
      <w:pPr>
        <w:pStyle w:val="7"/>
        <w:spacing w:before="0" w:beforeAutospacing="0" w:after="0" w:afterAutospacing="0" w:line="360" w:lineRule="auto"/>
        <w:ind w:firstLine="420"/>
        <w:rPr>
          <w:sz w:val="21"/>
          <w:szCs w:val="21"/>
        </w:rPr>
      </w:pPr>
      <w:bookmarkStart w:id="39" w:name="chapter_level1_5_53_section_3"/>
      <w:bookmarkEnd w:id="39"/>
      <w:bookmarkStart w:id="40" w:name="field_0_managerpersoninfo2_1_start"/>
      <w:bookmarkEnd w:id="40"/>
      <w:r>
        <w:rPr>
          <w:rFonts w:hint="eastAsia"/>
          <w:sz w:val="21"/>
          <w:szCs w:val="21"/>
        </w:rPr>
        <w:t xml:space="preserve">5、投资决策委员会成员 </w:t>
      </w:r>
    </w:p>
    <w:p>
      <w:pPr>
        <w:pStyle w:val="7"/>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pPr>
        <w:pStyle w:val="7"/>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pPr>
        <w:pStyle w:val="7"/>
        <w:spacing w:before="0" w:beforeAutospacing="0" w:after="0" w:afterAutospacing="0" w:line="360" w:lineRule="auto"/>
        <w:ind w:firstLine="420"/>
        <w:rPr>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sz w:val="21"/>
          <w:szCs w:val="21"/>
        </w:rPr>
      </w:pPr>
      <w:r>
        <w:rPr>
          <w:rFonts w:hint="eastAsia"/>
          <w:sz w:val="21"/>
          <w:szCs w:val="21"/>
        </w:rPr>
        <w:t xml:space="preserve">首席投资官兼权益投研一体化总监、权益投资四部总经理、境外投资部总经理曾鹏先生。 </w:t>
      </w:r>
    </w:p>
    <w:p>
      <w:pPr>
        <w:pStyle w:val="7"/>
        <w:spacing w:before="0" w:beforeAutospacing="0" w:after="0" w:afterAutospacing="0" w:line="360" w:lineRule="auto"/>
        <w:ind w:firstLine="420"/>
        <w:rPr>
          <w:sz w:val="21"/>
          <w:szCs w:val="21"/>
        </w:rPr>
      </w:pPr>
      <w:r>
        <w:rPr>
          <w:rFonts w:hint="eastAsia"/>
          <w:sz w:val="21"/>
          <w:szCs w:val="21"/>
        </w:rPr>
        <w:t xml:space="preserve">权益投资三部总经理兼权益投资三部投资总监蔡滨先生。 </w:t>
      </w:r>
    </w:p>
    <w:p>
      <w:pPr>
        <w:pStyle w:val="7"/>
        <w:spacing w:before="0" w:beforeAutospacing="0" w:after="0" w:afterAutospacing="0" w:line="360" w:lineRule="auto"/>
        <w:ind w:firstLine="420"/>
        <w:rPr>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sz w:val="21"/>
          <w:szCs w:val="21"/>
        </w:rPr>
      </w:pPr>
      <w:r>
        <w:rPr>
          <w:rFonts w:hint="eastAsia"/>
          <w:sz w:val="21"/>
          <w:szCs w:val="21"/>
        </w:rPr>
        <w:t xml:space="preserve">宏观策略部总经理兼行业研究部研究总监金晟哲先生。 </w:t>
      </w:r>
    </w:p>
    <w:p>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bookmarkStart w:id="41" w:name="chapter_level1_5_53_section_3_end"/>
      <w:bookmarkEnd w:id="41"/>
      <w:r>
        <w:rPr>
          <w:rFonts w:hint="eastAsia"/>
          <w:sz w:val="21"/>
          <w:szCs w:val="21"/>
        </w:rPr>
        <w:t xml:space="preserve">6、上述人员之间均不存在近亲属关系。 </w:t>
      </w:r>
      <w:bookmarkStart w:id="42" w:name="field_0_managerpersoninfo2_1_end"/>
      <w:bookmarkEnd w:id="42"/>
      <w:r>
        <w:rPr>
          <w:rFonts w:hint="eastAsia"/>
          <w:sz w:val="21"/>
          <w:szCs w:val="21"/>
        </w:rPr>
        <w:t xml:space="preserve">  </w:t>
      </w:r>
    </w:p>
    <w:p>
      <w:pPr>
        <w:pStyle w:val="7"/>
        <w:spacing w:before="0" w:beforeAutospacing="0" w:after="0" w:afterAutospacing="0" w:line="360" w:lineRule="auto"/>
        <w:ind w:firstLine="420"/>
        <w:rPr>
          <w:sz w:val="21"/>
          <w:szCs w:val="21"/>
        </w:rPr>
      </w:pPr>
      <w:bookmarkStart w:id="43" w:name="chapter_level1_5_53_section_4"/>
      <w:bookmarkEnd w:id="43"/>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rFonts w:hint="eastAsia"/>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7"/>
        <w:spacing w:before="0" w:beforeAutospacing="0" w:after="0" w:afterAutospacing="0" w:line="360" w:lineRule="auto"/>
        <w:ind w:firstLine="420"/>
        <w:rPr>
          <w:rFonts w:hint="eastAsia"/>
          <w:sz w:val="21"/>
          <w:szCs w:val="21"/>
        </w:rPr>
      </w:pPr>
    </w:p>
    <w:p>
      <w:pPr>
        <w:pStyle w:val="2"/>
        <w:jc w:val="center"/>
        <w:rPr>
          <w:rFonts w:ascii="宋体" w:hAnsi="宋体" w:eastAsia="宋体"/>
          <w:sz w:val="30"/>
        </w:rPr>
      </w:pPr>
      <w:bookmarkStart w:id="44" w:name="_Toc207979128"/>
      <w:bookmarkStart w:id="45" w:name="chapter_level1_6_55"/>
      <w:r>
        <w:rPr>
          <w:rFonts w:hint="eastAsia" w:ascii="宋体" w:hAnsi="宋体" w:eastAsia="宋体"/>
          <w:sz w:val="30"/>
        </w:rPr>
        <w:t>第四部分  基金托管人</w:t>
      </w:r>
      <w:bookmarkEnd w:id="44"/>
      <w:bookmarkEnd w:id="45"/>
    </w:p>
    <w:p>
      <w:pPr>
        <w:pStyle w:val="7"/>
        <w:spacing w:before="0" w:beforeAutospacing="0" w:after="0" w:afterAutospacing="0" w:line="360" w:lineRule="auto"/>
        <w:ind w:firstLine="420"/>
        <w:rPr>
          <w:sz w:val="21"/>
          <w:szCs w:val="21"/>
        </w:rPr>
      </w:pPr>
      <w:bookmarkStart w:id="46" w:name="chapter_level1_6_55_section_1"/>
      <w:bookmarkEnd w:id="46"/>
      <w:bookmarkStart w:id="47" w:name="field_0_trustcompanyinfo_1_start"/>
      <w:bookmarkEnd w:id="47"/>
      <w:r>
        <w:rPr>
          <w:rFonts w:hint="eastAsia"/>
          <w:sz w:val="21"/>
          <w:szCs w:val="21"/>
        </w:rPr>
        <w:t xml:space="preserve">一、基金托管人基本情况 </w:t>
      </w:r>
    </w:p>
    <w:p>
      <w:pPr>
        <w:pStyle w:val="7"/>
        <w:spacing w:before="0" w:beforeAutospacing="0" w:after="0" w:afterAutospacing="0" w:line="360" w:lineRule="auto"/>
        <w:ind w:firstLine="420"/>
        <w:rPr>
          <w:sz w:val="21"/>
          <w:szCs w:val="21"/>
        </w:rPr>
      </w:pPr>
      <w:r>
        <w:rPr>
          <w:rFonts w:hint="eastAsia"/>
          <w:sz w:val="21"/>
          <w:szCs w:val="21"/>
        </w:rPr>
        <w:t xml:space="preserve">（一）基金托管人概况 </w:t>
      </w:r>
    </w:p>
    <w:p>
      <w:pPr>
        <w:pStyle w:val="7"/>
        <w:spacing w:before="0" w:beforeAutospacing="0" w:after="0" w:afterAutospacing="0" w:line="360" w:lineRule="auto"/>
        <w:ind w:firstLine="420"/>
        <w:rPr>
          <w:sz w:val="21"/>
          <w:szCs w:val="21"/>
        </w:rPr>
      </w:pPr>
      <w:r>
        <w:rPr>
          <w:rFonts w:hint="eastAsia"/>
          <w:sz w:val="21"/>
          <w:szCs w:val="21"/>
        </w:rPr>
        <w:t xml:space="preserve">公司法定中文名称：交通银行股份有限公司（简称：交通银行） </w:t>
      </w:r>
    </w:p>
    <w:p>
      <w:pPr>
        <w:pStyle w:val="7"/>
        <w:spacing w:before="0" w:beforeAutospacing="0" w:after="0" w:afterAutospacing="0" w:line="360" w:lineRule="auto"/>
        <w:ind w:firstLine="420"/>
        <w:rPr>
          <w:sz w:val="21"/>
          <w:szCs w:val="21"/>
        </w:rPr>
      </w:pPr>
      <w:r>
        <w:rPr>
          <w:rFonts w:hint="eastAsia"/>
          <w:sz w:val="21"/>
          <w:szCs w:val="21"/>
        </w:rPr>
        <w:t xml:space="preserve">公司法定英文名称：BANK OF COMMUNICATIONS CO.,Ltd. </w:t>
      </w:r>
    </w:p>
    <w:p>
      <w:pPr>
        <w:pStyle w:val="7"/>
        <w:spacing w:before="0" w:beforeAutospacing="0" w:after="0" w:afterAutospacing="0" w:line="360" w:lineRule="auto"/>
        <w:ind w:firstLine="420"/>
        <w:rPr>
          <w:sz w:val="21"/>
          <w:szCs w:val="21"/>
        </w:rPr>
      </w:pPr>
      <w:r>
        <w:rPr>
          <w:rFonts w:hint="eastAsia"/>
          <w:sz w:val="21"/>
          <w:szCs w:val="21"/>
        </w:rPr>
        <w:t xml:space="preserve">法定代表人：任德奇 </w:t>
      </w:r>
    </w:p>
    <w:p>
      <w:pPr>
        <w:pStyle w:val="7"/>
        <w:spacing w:before="0" w:beforeAutospacing="0" w:after="0" w:afterAutospacing="0" w:line="360" w:lineRule="auto"/>
        <w:ind w:firstLine="420"/>
        <w:rPr>
          <w:sz w:val="21"/>
          <w:szCs w:val="21"/>
        </w:rPr>
      </w:pPr>
      <w:r>
        <w:rPr>
          <w:rFonts w:hint="eastAsia"/>
          <w:sz w:val="21"/>
          <w:szCs w:val="21"/>
        </w:rPr>
        <w:t xml:space="preserve">住   所：中国（上海）自由贸易试验区银城中路188号 </w:t>
      </w:r>
    </w:p>
    <w:p>
      <w:pPr>
        <w:pStyle w:val="7"/>
        <w:spacing w:before="0" w:beforeAutospacing="0" w:after="0" w:afterAutospacing="0" w:line="360" w:lineRule="auto"/>
        <w:ind w:firstLine="420"/>
        <w:rPr>
          <w:sz w:val="21"/>
          <w:szCs w:val="21"/>
        </w:rPr>
      </w:pPr>
      <w:r>
        <w:rPr>
          <w:rFonts w:hint="eastAsia"/>
          <w:sz w:val="21"/>
          <w:szCs w:val="21"/>
        </w:rPr>
        <w:t xml:space="preserve">办公地址：上海市长宁区仙霞路18号 </w:t>
      </w:r>
    </w:p>
    <w:p>
      <w:pPr>
        <w:pStyle w:val="7"/>
        <w:spacing w:before="0" w:beforeAutospacing="0" w:after="0" w:afterAutospacing="0" w:line="360" w:lineRule="auto"/>
        <w:ind w:firstLine="420"/>
        <w:rPr>
          <w:sz w:val="21"/>
          <w:szCs w:val="21"/>
        </w:rPr>
      </w:pPr>
      <w:r>
        <w:rPr>
          <w:rFonts w:hint="eastAsia"/>
          <w:sz w:val="21"/>
          <w:szCs w:val="21"/>
        </w:rPr>
        <w:t xml:space="preserve">邮政编码：200336 </w:t>
      </w:r>
    </w:p>
    <w:p>
      <w:pPr>
        <w:pStyle w:val="7"/>
        <w:spacing w:before="0" w:beforeAutospacing="0" w:after="0" w:afterAutospacing="0" w:line="360" w:lineRule="auto"/>
        <w:ind w:firstLine="420"/>
        <w:rPr>
          <w:sz w:val="21"/>
          <w:szCs w:val="21"/>
        </w:rPr>
      </w:pPr>
      <w:r>
        <w:rPr>
          <w:rFonts w:hint="eastAsia"/>
          <w:sz w:val="21"/>
          <w:szCs w:val="21"/>
        </w:rPr>
        <w:t xml:space="preserve">注册时间：1987年3月30日 </w:t>
      </w:r>
    </w:p>
    <w:p>
      <w:pPr>
        <w:pStyle w:val="7"/>
        <w:spacing w:before="0" w:beforeAutospacing="0" w:after="0" w:afterAutospacing="0" w:line="360" w:lineRule="auto"/>
        <w:ind w:firstLine="420"/>
        <w:rPr>
          <w:sz w:val="21"/>
          <w:szCs w:val="21"/>
        </w:rPr>
      </w:pPr>
      <w:r>
        <w:rPr>
          <w:rFonts w:hint="eastAsia"/>
          <w:sz w:val="21"/>
          <w:szCs w:val="21"/>
        </w:rPr>
        <w:t xml:space="preserve">注册资本：742.63亿元 </w:t>
      </w:r>
    </w:p>
    <w:p>
      <w:pPr>
        <w:pStyle w:val="7"/>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基金托管资格批文及文号：中国证监会证监基字[1998]25号 </w:t>
      </w:r>
    </w:p>
    <w:p>
      <w:pPr>
        <w:pStyle w:val="7"/>
        <w:spacing w:before="0" w:beforeAutospacing="0" w:after="0" w:afterAutospacing="0" w:line="360" w:lineRule="auto"/>
        <w:ind w:firstLine="420"/>
        <w:rPr>
          <w:sz w:val="21"/>
          <w:szCs w:val="21"/>
        </w:rPr>
      </w:pPr>
      <w:r>
        <w:rPr>
          <w:rFonts w:hint="eastAsia"/>
          <w:sz w:val="21"/>
          <w:szCs w:val="21"/>
        </w:rPr>
        <w:t xml:space="preserve">联系人：方圆 </w:t>
      </w:r>
    </w:p>
    <w:p>
      <w:pPr>
        <w:pStyle w:val="7"/>
        <w:spacing w:before="0" w:beforeAutospacing="0" w:after="0" w:afterAutospacing="0" w:line="360" w:lineRule="auto"/>
        <w:ind w:firstLine="420"/>
        <w:rPr>
          <w:sz w:val="21"/>
          <w:szCs w:val="21"/>
        </w:rPr>
      </w:pPr>
      <w:r>
        <w:rPr>
          <w:rFonts w:hint="eastAsia"/>
          <w:sz w:val="21"/>
          <w:szCs w:val="21"/>
        </w:rPr>
        <w:t xml:space="preserve">电 话：95559 </w:t>
      </w:r>
    </w:p>
    <w:p>
      <w:pPr>
        <w:pStyle w:val="7"/>
        <w:spacing w:before="0" w:beforeAutospacing="0" w:after="0" w:afterAutospacing="0" w:line="360" w:lineRule="auto"/>
        <w:ind w:firstLine="420"/>
        <w:rPr>
          <w:sz w:val="21"/>
          <w:szCs w:val="21"/>
        </w:rPr>
      </w:pPr>
      <w:r>
        <w:rPr>
          <w:rFonts w:hint="eastAsia"/>
          <w:sz w:val="21"/>
          <w:szCs w:val="21"/>
        </w:rPr>
        <w:t xml:space="preserve">交通银行始建于1908年，是中国历史最悠久的银行之一，也是近代中国的发钞行之一。1987年重新组建后的交通银行正式对外营业，成为中国第一家全国性的国有股份制商业银行，总部设在上海。2005年6月交通银行在香港联合交易所挂牌上市，2007年5月在上海证券交易所挂牌上市。交通银行连续16年跻身《财富》(FORTUNE)世界500强，营业收入排名第154位；列《银行家》(The Banker)杂志全球千家大银行一级资本排名第9位。 </w:t>
      </w:r>
    </w:p>
    <w:p>
      <w:pPr>
        <w:pStyle w:val="7"/>
        <w:spacing w:before="0" w:beforeAutospacing="0" w:after="0" w:afterAutospacing="0" w:line="360" w:lineRule="auto"/>
        <w:ind w:firstLine="420"/>
        <w:rPr>
          <w:sz w:val="21"/>
          <w:szCs w:val="21"/>
        </w:rPr>
      </w:pPr>
      <w:r>
        <w:rPr>
          <w:rFonts w:hint="eastAsia"/>
          <w:sz w:val="21"/>
          <w:szCs w:val="21"/>
        </w:rPr>
        <w:t xml:space="preserve">截至2025年3月31日，交通银行资产总额为人民币15.29万亿元。2025年一季度，交通银行实现净利润(归属于母公司股东)人民币253.72亿元。 </w:t>
      </w:r>
    </w:p>
    <w:p>
      <w:pPr>
        <w:pStyle w:val="7"/>
        <w:spacing w:before="0" w:beforeAutospacing="0" w:after="0" w:afterAutospacing="0" w:line="360" w:lineRule="auto"/>
        <w:ind w:firstLine="420"/>
        <w:rPr>
          <w:sz w:val="21"/>
          <w:szCs w:val="21"/>
        </w:rPr>
      </w:pPr>
      <w:r>
        <w:rPr>
          <w:rFonts w:hint="eastAsia"/>
          <w:sz w:val="21"/>
          <w:szCs w:val="21"/>
        </w:rPr>
        <w:t xml:space="preserve">交通银行总行设资产托管部/资产托管业务发展中心（下文简称“托管部/托管发展中心”）。现有员工具有多年基金、证券和银行的从业经验，具备基金从业资格，以及经济师、会计师、工程师和律师等中高级专业技术职称，员工的学历层次较高，专业分布合理，职业技能优良，职业道德素质过硬，是一支诚实勤勉、积极进取、开拓创新、奋发向上的资产托管从业人员队伍。 </w:t>
      </w:r>
    </w:p>
    <w:p>
      <w:pPr>
        <w:pStyle w:val="7"/>
        <w:spacing w:before="0" w:beforeAutospacing="0" w:after="0" w:afterAutospacing="0" w:line="360" w:lineRule="auto"/>
        <w:ind w:firstLine="420"/>
        <w:rPr>
          <w:sz w:val="21"/>
          <w:szCs w:val="21"/>
        </w:rPr>
      </w:pPr>
      <w:r>
        <w:rPr>
          <w:rFonts w:hint="eastAsia"/>
          <w:sz w:val="21"/>
          <w:szCs w:val="21"/>
        </w:rPr>
        <w:t xml:space="preserve">（二）主要人员情况 </w:t>
      </w:r>
    </w:p>
    <w:p>
      <w:pPr>
        <w:pStyle w:val="7"/>
        <w:spacing w:before="0" w:beforeAutospacing="0" w:after="0" w:afterAutospacing="0" w:line="360" w:lineRule="auto"/>
        <w:ind w:firstLine="420"/>
        <w:rPr>
          <w:sz w:val="21"/>
          <w:szCs w:val="21"/>
        </w:rPr>
      </w:pPr>
      <w:r>
        <w:rPr>
          <w:rFonts w:hint="eastAsia"/>
          <w:sz w:val="21"/>
          <w:szCs w:val="21"/>
        </w:rPr>
        <w:t xml:space="preserve">任德奇先生，董事长、执行董事，高级经济师。 </w:t>
      </w:r>
    </w:p>
    <w:p>
      <w:pPr>
        <w:pStyle w:val="7"/>
        <w:spacing w:before="0" w:beforeAutospacing="0" w:after="0" w:afterAutospacing="0" w:line="360" w:lineRule="auto"/>
        <w:ind w:firstLine="420"/>
        <w:rPr>
          <w:sz w:val="21"/>
          <w:szCs w:val="21"/>
        </w:rPr>
      </w:pPr>
      <w:r>
        <w:rPr>
          <w:rFonts w:hint="eastAsia"/>
          <w:sz w:val="21"/>
          <w:szCs w:val="21"/>
        </w:rPr>
        <w:t xml:space="preserve">任先生2020年1月起任本行董事长（其中：2019年12月至2020年7月代为履行行长职责）、执行董事，2018年8月至2020年1月任本行副董事长（其中：2019年4月至2020年1月代为履行董事长职责）、执行董事，2018年8月至2019年12月任本行行长；2016年12月至2018年6月任中国银行执行董事、副行长，其中：2015年10月至2018年6月兼任中银香港（控股）有限公司非执行董事，2016年9月至2018年6月兼任中国银行上海人民币交易业务总部总裁；2014年7月至2016年11月任中国银行副行长，2003年8月至2014年5月历任中国建设银行信贷审批部副总经理、风险监控部总经理、授信管理部总经理、湖北省分行行长、风险管理部总经理；1988年7月至2003年8月先后在中国建设银行岳阳长岭支行、岳阳市中心支行、岳阳分行，中国建设银行信贷管理委员会办公室、信贷风险管理部工作。任先生1988年于清华大学获工学硕士学位。 </w:t>
      </w:r>
    </w:p>
    <w:p>
      <w:pPr>
        <w:pStyle w:val="7"/>
        <w:spacing w:before="0" w:beforeAutospacing="0" w:after="0" w:afterAutospacing="0" w:line="360" w:lineRule="auto"/>
        <w:ind w:firstLine="420"/>
        <w:rPr>
          <w:sz w:val="21"/>
          <w:szCs w:val="21"/>
        </w:rPr>
      </w:pPr>
      <w:r>
        <w:rPr>
          <w:rFonts w:hint="eastAsia"/>
          <w:sz w:val="21"/>
          <w:szCs w:val="21"/>
        </w:rPr>
        <w:t xml:space="preserve">张宝江先生，副董事长、执行董事、行长，高级经济师。 </w:t>
      </w:r>
    </w:p>
    <w:p>
      <w:pPr>
        <w:pStyle w:val="7"/>
        <w:spacing w:before="0" w:beforeAutospacing="0" w:after="0" w:afterAutospacing="0" w:line="360" w:lineRule="auto"/>
        <w:ind w:firstLine="420"/>
        <w:rPr>
          <w:sz w:val="21"/>
          <w:szCs w:val="21"/>
        </w:rPr>
      </w:pPr>
      <w:r>
        <w:rPr>
          <w:rFonts w:hint="eastAsia"/>
          <w:sz w:val="21"/>
          <w:szCs w:val="21"/>
        </w:rPr>
        <w:t xml:space="preserve">张先生2024年6月起任本行行长；曾任中国农业发展银行副行长，安徽省分行行长，总行办公室主任，陕西省分行副行长，总行政策研究室副主任（主持工作）、办公室副主任、研究室副主任等职务。张先生于1998年于中央党校研究生院获经济学硕士学位，2004年于中央党校研究生院获经济学博士学位。 </w:t>
      </w:r>
    </w:p>
    <w:p>
      <w:pPr>
        <w:pStyle w:val="7"/>
        <w:spacing w:before="0" w:beforeAutospacing="0" w:after="0" w:afterAutospacing="0" w:line="360" w:lineRule="auto"/>
        <w:ind w:firstLine="420"/>
        <w:rPr>
          <w:sz w:val="21"/>
          <w:szCs w:val="21"/>
        </w:rPr>
      </w:pPr>
      <w:r>
        <w:rPr>
          <w:rFonts w:hint="eastAsia"/>
          <w:sz w:val="21"/>
          <w:szCs w:val="21"/>
        </w:rPr>
        <w:t xml:space="preserve">徐铁先生，资产托管部/资产托管业务发展中心总经理。 </w:t>
      </w:r>
    </w:p>
    <w:p>
      <w:pPr>
        <w:pStyle w:val="7"/>
        <w:spacing w:before="0" w:beforeAutospacing="0" w:after="0" w:afterAutospacing="0" w:line="360" w:lineRule="auto"/>
        <w:ind w:firstLine="420"/>
        <w:rPr>
          <w:sz w:val="21"/>
          <w:szCs w:val="21"/>
        </w:rPr>
      </w:pPr>
      <w:r>
        <w:rPr>
          <w:rFonts w:hint="eastAsia"/>
          <w:sz w:val="21"/>
          <w:szCs w:val="21"/>
        </w:rPr>
        <w:t xml:space="preserve">徐铁先生2022年4月起任本行资产托管部总经理；2014年12月至2022年4月任本行资产托管部副总经理；2000年7月至2014年12月，历任交通银行资产托管部客户经理、保险与养老金部副高级经理、高级经理、保险保障业务部高级经理、总经理助理。徐先生2000年于复旦大学获经济学硕士学位。 </w:t>
      </w:r>
    </w:p>
    <w:p>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pPr>
        <w:pStyle w:val="7"/>
        <w:spacing w:before="0" w:beforeAutospacing="0" w:after="0" w:afterAutospacing="0" w:line="360" w:lineRule="auto"/>
        <w:ind w:firstLine="420"/>
        <w:rPr>
          <w:sz w:val="21"/>
          <w:szCs w:val="21"/>
        </w:rPr>
      </w:pPr>
      <w:r>
        <w:rPr>
          <w:rFonts w:hint="eastAsia"/>
          <w:sz w:val="21"/>
          <w:szCs w:val="21"/>
        </w:rPr>
        <w:t>截至2025年3月31日，交通银行共托管证券投资基金854只。此外，交通银行还托管了基金公司特定客户资产管理计划、证券公司客户资产管理计划、理财产品、信托计划、私募投资基金、保险资金、全国社保基金、基本养老保险基金、划转国有资本充实社保基金、养老保障管理产品、企业年金基金、职业年金基金、企业年金养老金产品、期货公司资产管理计划、QFI证券投资资产、QDII证券投资资产、RQDII证券投资资产、QDIE、QDLP和QFLP</w:t>
      </w:r>
      <w:bookmarkStart w:id="48" w:name="chapter_level1_6_55_section_1_end"/>
      <w:bookmarkEnd w:id="48"/>
      <w:r>
        <w:rPr>
          <w:rFonts w:hint="eastAsia"/>
          <w:sz w:val="21"/>
          <w:szCs w:val="21"/>
        </w:rPr>
        <w:t xml:space="preserve">等产品。 </w:t>
      </w:r>
      <w:bookmarkStart w:id="49" w:name="field_0_trustcompanyinfo_1_end"/>
      <w:bookmarkEnd w:id="49"/>
      <w:r>
        <w:rPr>
          <w:rFonts w:hint="eastAsia"/>
          <w:sz w:val="21"/>
          <w:szCs w:val="21"/>
        </w:rPr>
        <w:t xml:space="preserve">  </w:t>
      </w:r>
    </w:p>
    <w:p>
      <w:pPr>
        <w:pStyle w:val="7"/>
        <w:spacing w:before="0" w:beforeAutospacing="0" w:after="0" w:afterAutospacing="0" w:line="360" w:lineRule="auto"/>
        <w:ind w:firstLine="420"/>
        <w:rPr>
          <w:sz w:val="21"/>
          <w:szCs w:val="21"/>
        </w:rPr>
      </w:pPr>
      <w:bookmarkStart w:id="50" w:name="field_0_trustcontrollawinfo_1_start"/>
      <w:bookmarkEnd w:id="50"/>
      <w:bookmarkStart w:id="51" w:name="chapter_level1_6_55_section_2"/>
      <w:bookmarkEnd w:id="51"/>
      <w:r>
        <w:rPr>
          <w:rFonts w:hint="eastAsia"/>
          <w:sz w:val="21"/>
          <w:szCs w:val="21"/>
        </w:rPr>
        <w:t xml:space="preserve">二、基金托管人的内部控制制度 </w:t>
      </w:r>
    </w:p>
    <w:p>
      <w:pPr>
        <w:pStyle w:val="7"/>
        <w:spacing w:before="0" w:beforeAutospacing="0" w:after="0" w:afterAutospacing="0" w:line="360" w:lineRule="auto"/>
        <w:ind w:firstLine="420"/>
        <w:rPr>
          <w:sz w:val="21"/>
          <w:szCs w:val="21"/>
        </w:rPr>
      </w:pPr>
      <w:r>
        <w:rPr>
          <w:rFonts w:hint="eastAsia"/>
          <w:sz w:val="21"/>
          <w:szCs w:val="21"/>
        </w:rPr>
        <w:t xml:space="preserve">（一）内部控制目标 </w:t>
      </w:r>
    </w:p>
    <w:p>
      <w:pPr>
        <w:pStyle w:val="7"/>
        <w:spacing w:before="0" w:beforeAutospacing="0" w:after="0" w:afterAutospacing="0" w:line="360" w:lineRule="auto"/>
        <w:ind w:firstLine="420"/>
        <w:rPr>
          <w:sz w:val="21"/>
          <w:szCs w:val="21"/>
        </w:rPr>
      </w:pPr>
      <w:r>
        <w:rPr>
          <w:rFonts w:hint="eastAsia"/>
          <w:sz w:val="21"/>
          <w:szCs w:val="21"/>
        </w:rPr>
        <w:t xml:space="preserve">交通银行严格遵守国家法律法规、行业规章及行内相关管理规定，加强内部管理，托管部/托管发展中心业务制度健全并确保贯彻执行各项规章，通过对各种风险的识别、评估、控制及缓释，有效地实现对各项业务的风险管控，确保业务稳健运行，保护基金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（二）内部控制原则 </w:t>
      </w:r>
    </w:p>
    <w:p>
      <w:pPr>
        <w:pStyle w:val="7"/>
        <w:spacing w:before="0" w:beforeAutospacing="0" w:after="0" w:afterAutospacing="0" w:line="360" w:lineRule="auto"/>
        <w:ind w:firstLine="420"/>
        <w:rPr>
          <w:sz w:val="21"/>
          <w:szCs w:val="21"/>
        </w:rPr>
      </w:pPr>
      <w:r>
        <w:rPr>
          <w:rFonts w:hint="eastAsia"/>
          <w:sz w:val="21"/>
          <w:szCs w:val="21"/>
        </w:rPr>
        <w:t xml:space="preserve">1、合法性原则：托管部/托管发展中心制定的各项制度符合国家法律法规及监管机构的监管要求，并贯穿于托管业务经营管理活动始终。 </w:t>
      </w:r>
    </w:p>
    <w:p>
      <w:pPr>
        <w:pStyle w:val="7"/>
        <w:spacing w:before="0" w:beforeAutospacing="0" w:after="0" w:afterAutospacing="0" w:line="360" w:lineRule="auto"/>
        <w:ind w:firstLine="420"/>
        <w:rPr>
          <w:sz w:val="21"/>
          <w:szCs w:val="21"/>
        </w:rPr>
      </w:pPr>
      <w:r>
        <w:rPr>
          <w:rFonts w:hint="eastAsia"/>
          <w:sz w:val="21"/>
          <w:szCs w:val="21"/>
        </w:rPr>
        <w:t xml:space="preserve">2、全面性原则：托管部/托管发展中心建立各二级部自我监控和风险合规部风险管控的内部控制机制，覆盖各项业务、各个部门和各级人员，并渗透到决策、执行、监督、反馈等各个经营环节，建立全面的风险管理监督机制。 </w:t>
      </w:r>
    </w:p>
    <w:p>
      <w:pPr>
        <w:pStyle w:val="7"/>
        <w:spacing w:before="0" w:beforeAutospacing="0" w:after="0" w:afterAutospacing="0" w:line="360" w:lineRule="auto"/>
        <w:ind w:firstLine="420"/>
        <w:rPr>
          <w:sz w:val="21"/>
          <w:szCs w:val="21"/>
        </w:rPr>
      </w:pPr>
      <w:r>
        <w:rPr>
          <w:rFonts w:hint="eastAsia"/>
          <w:sz w:val="21"/>
          <w:szCs w:val="21"/>
        </w:rPr>
        <w:t xml:space="preserve">3、独立性原则：托管部/托管发展中心独立负责受托基金资产的保管，保证基金资产与交通银行的自有资产相互独立，对不同的受托基金资产分别设置账户，独立核算，分账管理。 </w:t>
      </w:r>
    </w:p>
    <w:p>
      <w:pPr>
        <w:pStyle w:val="7"/>
        <w:spacing w:before="0" w:beforeAutospacing="0" w:after="0" w:afterAutospacing="0" w:line="360" w:lineRule="auto"/>
        <w:ind w:firstLine="420"/>
        <w:rPr>
          <w:sz w:val="21"/>
          <w:szCs w:val="21"/>
        </w:rPr>
      </w:pPr>
      <w:r>
        <w:rPr>
          <w:rFonts w:hint="eastAsia"/>
          <w:sz w:val="21"/>
          <w:szCs w:val="21"/>
        </w:rPr>
        <w:t xml:space="preserve">4、制衡性原则：托管部/托管发展中心贯彻适当授权、相互制约的原则，从组织架构的设置上确保各二级部和各岗位权责分明、相互制约，并通过有效的相互制衡措施消除内部控制中的盲点。 </w:t>
      </w:r>
    </w:p>
    <w:p>
      <w:pPr>
        <w:pStyle w:val="7"/>
        <w:spacing w:before="0" w:beforeAutospacing="0" w:after="0" w:afterAutospacing="0" w:line="360" w:lineRule="auto"/>
        <w:ind w:firstLine="420"/>
        <w:rPr>
          <w:sz w:val="21"/>
          <w:szCs w:val="21"/>
        </w:rPr>
      </w:pPr>
      <w:r>
        <w:rPr>
          <w:rFonts w:hint="eastAsia"/>
          <w:sz w:val="21"/>
          <w:szCs w:val="21"/>
        </w:rPr>
        <w:t xml:space="preserve">5、有效性原则：托管部/托管发展中心在岗位、业务二级部和风险合规部三级内控管理模式的基础上，形成科学合理的内部控制决策机制、执行机制和监督机制，通过行之有效的控制流程、控制措施，建立合理的内控程序，保障各项内控管理目标被有效执行。 </w:t>
      </w:r>
    </w:p>
    <w:p>
      <w:pPr>
        <w:pStyle w:val="7"/>
        <w:spacing w:before="0" w:beforeAutospacing="0" w:after="0" w:afterAutospacing="0" w:line="360" w:lineRule="auto"/>
        <w:ind w:firstLine="420"/>
        <w:rPr>
          <w:sz w:val="21"/>
          <w:szCs w:val="21"/>
        </w:rPr>
      </w:pPr>
      <w:r>
        <w:rPr>
          <w:rFonts w:hint="eastAsia"/>
          <w:sz w:val="21"/>
          <w:szCs w:val="21"/>
        </w:rPr>
        <w:t xml:space="preserve">6、效益性原则：托管部/托管发展中心内部控制与基金托管规模、业务范围和业务运作环节的风险控制要求相适应，尽量降低经营运作成本，以合理的控制成本实现最佳的内部控制目标。 </w:t>
      </w:r>
    </w:p>
    <w:p>
      <w:pPr>
        <w:pStyle w:val="7"/>
        <w:spacing w:before="0" w:beforeAutospacing="0" w:after="0" w:afterAutospacing="0" w:line="360" w:lineRule="auto"/>
        <w:ind w:firstLine="420"/>
        <w:rPr>
          <w:sz w:val="21"/>
          <w:szCs w:val="21"/>
        </w:rPr>
      </w:pPr>
      <w:r>
        <w:rPr>
          <w:rFonts w:hint="eastAsia"/>
          <w:sz w:val="21"/>
          <w:szCs w:val="21"/>
        </w:rPr>
        <w:t xml:space="preserve">（三）内部控制制度及措施 </w:t>
      </w:r>
    </w:p>
    <w:p>
      <w:pPr>
        <w:pStyle w:val="7"/>
        <w:spacing w:before="0" w:beforeAutospacing="0" w:after="0" w:afterAutospacing="0" w:line="360" w:lineRule="auto"/>
        <w:ind w:firstLine="420"/>
        <w:rPr>
          <w:sz w:val="21"/>
          <w:szCs w:val="21"/>
        </w:rPr>
      </w:pPr>
      <w:r>
        <w:rPr>
          <w:rFonts w:hint="eastAsia"/>
          <w:sz w:val="21"/>
          <w:szCs w:val="21"/>
        </w:rPr>
        <w:t xml:space="preserve">根据《证券投资基金法》、《中华人民共和国商业银行法》、《商业银行资产托管业务指引》等法律法规，托管部/托管发展中心制定了一整套严密、完整的证券投资基金托管管理规章制度，确保基金托管业务运行的规范、安全、高效，包括《交通银行资产托管业务管理办法》、《交通银行资产托管业务风险管理办法》、《交通银行资产托管业务商业秘密管理规定》、《交通银行资产托管业务从业人员行为规范》、《交通银行资产托管业务运营档案管理办法》等，并根据市场变化和基金业务的发展不断加以完善。做到业务分工科学合理，技术系统管理规范，业务管理制度健全，核心作业区实行封闭管理，落实各项安全隔离措施，相关信息披露由专人负责。  </w:t>
      </w:r>
    </w:p>
    <w:p>
      <w:pPr>
        <w:pStyle w:val="7"/>
        <w:spacing w:before="0" w:beforeAutospacing="0" w:after="0" w:afterAutospacing="0" w:line="360" w:lineRule="auto"/>
        <w:ind w:firstLine="420"/>
        <w:rPr>
          <w:sz w:val="21"/>
          <w:szCs w:val="21"/>
        </w:rPr>
      </w:pPr>
      <w:r>
        <w:rPr>
          <w:rFonts w:hint="eastAsia"/>
          <w:sz w:val="21"/>
          <w:szCs w:val="21"/>
        </w:rPr>
        <w:t xml:space="preserve">托管部/托管发展中心通过对基金托管业务各环节的事前揭示、事中控制和事后检查措施实现全流程、全链条的风险管理，聘请国际著名会计师事务所对基金托管业务运行进行国际标准的内部控制评审。 </w:t>
      </w:r>
    </w:p>
    <w:p>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交通银行作为基金托管人，根据《证券投资基金法》、《公开募集证券投资基金运作管理办法》和有关证券法规的规定，对基金的投资对象、基金资产的投资组合比例、基金资产的核算、基金资产净值的计算、基金管理人报酬的计提和支付、基金托管人报酬的计提和支付、基金的申购资金的到账与赎回资金的划付、基金收益分配等行为的合规性进行监督和核查。 </w:t>
      </w:r>
    </w:p>
    <w:p>
      <w:pPr>
        <w:pStyle w:val="7"/>
        <w:spacing w:before="0" w:beforeAutospacing="0" w:after="0" w:afterAutospacing="0" w:line="360" w:lineRule="auto"/>
        <w:ind w:firstLine="420"/>
        <w:rPr>
          <w:sz w:val="21"/>
          <w:szCs w:val="21"/>
        </w:rPr>
      </w:pPr>
      <w:r>
        <w:rPr>
          <w:rFonts w:hint="eastAsia"/>
          <w:sz w:val="21"/>
          <w:szCs w:val="21"/>
        </w:rPr>
        <w:t xml:space="preserve">交通银行作为基金托管人，发现基金管理人有违反《证券投资基金法》、《公开募集证券投资基金运作管理办法》等有关证券法规和《基金合同》的行为，及时通知基金管理人予以纠正，基金管理人收到通知后及时确认并进行调整。交通银行有权对通知事项进行复查，督促基金管理人改正。基金管理人对交通银行通知的违规事项未能及时纠正的，交通银行按规定报告中国证监会。 </w:t>
      </w:r>
    </w:p>
    <w:p>
      <w:pPr>
        <w:pStyle w:val="7"/>
        <w:spacing w:before="0" w:beforeAutospacing="0" w:after="0" w:afterAutospacing="0" w:line="360" w:lineRule="auto"/>
        <w:ind w:firstLine="420"/>
        <w:rPr>
          <w:sz w:val="21"/>
          <w:szCs w:val="21"/>
        </w:rPr>
      </w:pPr>
      <w:r>
        <w:rPr>
          <w:rFonts w:hint="eastAsia"/>
          <w:sz w:val="21"/>
          <w:szCs w:val="21"/>
        </w:rPr>
        <w:t>交通银行作为基金托管人，发现基金管理人有重大违规行为，按规定报告中国证监会，</w:t>
      </w:r>
      <w:bookmarkStart w:id="52" w:name="chapter_level1_6_55_section_2_end"/>
      <w:bookmarkEnd w:id="52"/>
      <w:r>
        <w:rPr>
          <w:rFonts w:hint="eastAsia"/>
          <w:sz w:val="21"/>
          <w:szCs w:val="21"/>
        </w:rPr>
        <w:t xml:space="preserve">同时通知基金管理人限期纠正。 </w:t>
      </w:r>
      <w:bookmarkStart w:id="53" w:name="field_0_trustcontrollawinfo_1_end"/>
      <w:bookmarkEnd w:id="53"/>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4" w:name="chapter_level1_7_56"/>
      <w:bookmarkStart w:id="55" w:name="_Toc207979129"/>
      <w:r>
        <w:rPr>
          <w:rFonts w:hint="eastAsia" w:ascii="宋体" w:hAnsi="宋体" w:eastAsia="宋体"/>
          <w:sz w:val="30"/>
        </w:rPr>
        <w:t>第五部分  相关服务机构</w:t>
      </w:r>
      <w:bookmarkEnd w:id="54"/>
      <w:bookmarkEnd w:id="55"/>
    </w:p>
    <w:p>
      <w:pPr>
        <w:pStyle w:val="7"/>
        <w:spacing w:before="0" w:beforeAutospacing="0" w:after="0" w:afterAutospacing="0" w:line="360" w:lineRule="auto"/>
        <w:ind w:firstLine="420"/>
        <w:rPr>
          <w:sz w:val="21"/>
          <w:szCs w:val="21"/>
        </w:rPr>
      </w:pPr>
      <w:bookmarkStart w:id="56" w:name="chapter_level1_7_56_section_1"/>
      <w:bookmarkEnd w:id="56"/>
      <w:r>
        <w:rPr>
          <w:rFonts w:hint="eastAsia"/>
          <w:b/>
          <w:bCs/>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57" w:name="field_0_marketcompanyinfo_1_start"/>
      <w:bookmarkEnd w:id="57"/>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58" w:name="chapter_level1_7_56_section_1_end"/>
      <w:bookmarkEnd w:id="58"/>
      <w:r>
        <w:rPr>
          <w:rFonts w:hint="eastAsia"/>
          <w:sz w:val="21"/>
          <w:szCs w:val="21"/>
        </w:rPr>
        <w:t xml:space="preserve">博时一线通：95105568（免长途话费） </w:t>
      </w:r>
      <w:bookmarkStart w:id="59" w:name="field_0_marketcompanyinfo_1_end"/>
      <w:bookmarkEnd w:id="59"/>
      <w:r>
        <w:rPr>
          <w:rFonts w:hint="eastAsia"/>
          <w:sz w:val="21"/>
          <w:szCs w:val="21"/>
        </w:rPr>
        <w:t xml:space="preserve">  </w:t>
      </w:r>
    </w:p>
    <w:p>
      <w:pPr>
        <w:pStyle w:val="7"/>
        <w:spacing w:before="0" w:beforeAutospacing="0" w:after="0" w:afterAutospacing="0" w:line="360" w:lineRule="auto"/>
        <w:ind w:firstLine="420"/>
        <w:rPr>
          <w:sz w:val="21"/>
          <w:szCs w:val="21"/>
        </w:rPr>
      </w:pPr>
      <w:bookmarkStart w:id="60" w:name="chapter_level1_7_56_section_2"/>
      <w:bookmarkEnd w:id="60"/>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61" w:name="field_0_allproxysaletables_1_start"/>
      <w:bookmarkEnd w:id="61"/>
      <w:r>
        <w:rPr>
          <w:rFonts w:hint="eastAsia"/>
          <w:b/>
          <w:bCs/>
          <w:sz w:val="21"/>
          <w:szCs w:val="21"/>
        </w:rPr>
        <w:t>(1)中国农业银行股份有限公司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北京市东城区建国门内大街69号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北京市东城区建国门内大街69号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谷澍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http://www.abchina.com </w:t>
            </w:r>
          </w:p>
        </w:tc>
      </w:tr>
    </w:tbl>
    <w:p>
      <w:pPr>
        <w:pStyle w:val="7"/>
        <w:spacing w:before="0" w:beforeAutospacing="0" w:after="0" w:afterAutospacing="0" w:line="360" w:lineRule="auto"/>
        <w:ind w:firstLine="420"/>
        <w:rPr>
          <w:sz w:val="21"/>
          <w:szCs w:val="21"/>
        </w:rPr>
      </w:pPr>
      <w:r>
        <w:rPr>
          <w:rFonts w:hint="eastAsia"/>
          <w:b/>
          <w:bCs/>
          <w:sz w:val="21"/>
          <w:szCs w:val="21"/>
        </w:rPr>
        <w:t>(2)中国银行股份有限公司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北京市西城区复兴门内大街1号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北京市西城区复兴门内大街1号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葛海蛟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高越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010-66594973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http://www.boc.cn/ </w:t>
            </w:r>
          </w:p>
        </w:tc>
      </w:tr>
    </w:tbl>
    <w:p>
      <w:pPr>
        <w:pStyle w:val="7"/>
        <w:spacing w:before="0" w:beforeAutospacing="0" w:after="0" w:afterAutospacing="0" w:line="360" w:lineRule="auto"/>
        <w:ind w:firstLine="420"/>
        <w:rPr>
          <w:sz w:val="21"/>
          <w:szCs w:val="21"/>
        </w:rPr>
      </w:pPr>
      <w:r>
        <w:rPr>
          <w:rFonts w:hint="eastAsia"/>
          <w:b/>
          <w:bCs/>
          <w:sz w:val="21"/>
          <w:szCs w:val="21"/>
        </w:rPr>
        <w:t>(3)中国建设银行股份有限公司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北京市西城区金融大街25号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北京市西城区闹市口大街1号院1号楼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田国立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010－66275654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http://www.ccb.com/ </w:t>
            </w:r>
          </w:p>
        </w:tc>
      </w:tr>
    </w:tbl>
    <w:p>
      <w:pPr>
        <w:pStyle w:val="7"/>
        <w:spacing w:before="0" w:beforeAutospacing="0" w:after="0" w:afterAutospacing="0" w:line="360" w:lineRule="auto"/>
        <w:ind w:firstLine="420"/>
        <w:rPr>
          <w:sz w:val="21"/>
          <w:szCs w:val="21"/>
        </w:rPr>
      </w:pPr>
      <w:r>
        <w:rPr>
          <w:rFonts w:hint="eastAsia"/>
          <w:b/>
          <w:bCs/>
          <w:sz w:val="21"/>
          <w:szCs w:val="21"/>
        </w:rPr>
        <w:t>(4)交通银行股份有限公司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中国（上海）自由贸易试验区银城中路188号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中国（上海）自由贸易试验区银城中路188号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任德奇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高天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021-58781234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021-58408483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http://www.bankcomm.com/ </w:t>
            </w:r>
          </w:p>
        </w:tc>
      </w:tr>
    </w:tbl>
    <w:p>
      <w:pPr>
        <w:pStyle w:val="7"/>
        <w:spacing w:before="0" w:beforeAutospacing="0" w:after="0" w:afterAutospacing="0" w:line="360" w:lineRule="auto"/>
        <w:ind w:firstLine="420"/>
        <w:rPr>
          <w:sz w:val="21"/>
          <w:szCs w:val="21"/>
        </w:rPr>
      </w:pPr>
      <w:r>
        <w:rPr>
          <w:rFonts w:hint="eastAsia"/>
          <w:b/>
          <w:bCs/>
          <w:sz w:val="21"/>
          <w:szCs w:val="21"/>
        </w:rPr>
        <w:t>(5)招商银行股份有限公司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缪建民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季平伟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0755－83198888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0755－83195049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http://www.cmbchina.com/ </w:t>
            </w:r>
          </w:p>
        </w:tc>
      </w:tr>
    </w:tbl>
    <w:p>
      <w:pPr>
        <w:pStyle w:val="7"/>
        <w:spacing w:before="0" w:beforeAutospacing="0" w:after="0" w:afterAutospacing="0" w:line="360" w:lineRule="auto"/>
        <w:ind w:firstLine="420"/>
        <w:rPr>
          <w:sz w:val="21"/>
          <w:szCs w:val="21"/>
        </w:rPr>
      </w:pPr>
      <w:r>
        <w:rPr>
          <w:rFonts w:hint="eastAsia"/>
          <w:b/>
          <w:bCs/>
          <w:sz w:val="21"/>
          <w:szCs w:val="21"/>
        </w:rPr>
        <w:t>(6)中信银行股份有限公司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北京市东城区朝阳门北大街8号富华大厦C座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北京市东城区朝阳门北大街9号文化大厦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朱鹤新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王晓琳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010－89937325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http://bank.ecitic.com/ </w:t>
            </w:r>
          </w:p>
        </w:tc>
      </w:tr>
    </w:tbl>
    <w:p>
      <w:pPr>
        <w:pStyle w:val="7"/>
        <w:spacing w:before="0" w:beforeAutospacing="0" w:after="0" w:afterAutospacing="0" w:line="360" w:lineRule="auto"/>
        <w:ind w:firstLine="420"/>
        <w:rPr>
          <w:sz w:val="21"/>
          <w:szCs w:val="21"/>
        </w:rPr>
      </w:pPr>
      <w:r>
        <w:rPr>
          <w:rFonts w:hint="eastAsia"/>
          <w:b/>
          <w:bCs/>
          <w:sz w:val="21"/>
          <w:szCs w:val="21"/>
        </w:rPr>
        <w:t>(7)上海浦东发展银行股份有限公司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上海市中山东一路12号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上海市北京东路689号东银大厦25楼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郑杨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021－61618888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021－63602431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http://www.spdb.com.cn </w:t>
            </w:r>
          </w:p>
        </w:tc>
      </w:tr>
    </w:tbl>
    <w:p>
      <w:pPr>
        <w:pStyle w:val="7"/>
        <w:spacing w:before="0" w:beforeAutospacing="0" w:after="0" w:afterAutospacing="0" w:line="360" w:lineRule="auto"/>
        <w:ind w:firstLine="420"/>
        <w:rPr>
          <w:sz w:val="21"/>
          <w:szCs w:val="21"/>
        </w:rPr>
      </w:pPr>
      <w:r>
        <w:rPr>
          <w:rFonts w:hint="eastAsia"/>
          <w:b/>
          <w:bCs/>
          <w:sz w:val="21"/>
          <w:szCs w:val="21"/>
        </w:rPr>
        <w:t>(8)兴业银行股份有限公司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福州市湖东路154号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上海市江宁路168号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吕家进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021-52629999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www.cib.com.cn </w:t>
            </w:r>
          </w:p>
        </w:tc>
      </w:tr>
    </w:tbl>
    <w:p>
      <w:pPr>
        <w:pStyle w:val="7"/>
        <w:spacing w:before="0" w:beforeAutospacing="0" w:after="0" w:afterAutospacing="0" w:line="360" w:lineRule="auto"/>
        <w:ind w:firstLine="420"/>
        <w:rPr>
          <w:sz w:val="21"/>
          <w:szCs w:val="21"/>
        </w:rPr>
      </w:pPr>
      <w:r>
        <w:rPr>
          <w:rFonts w:hint="eastAsia"/>
          <w:b/>
          <w:bCs/>
          <w:sz w:val="21"/>
          <w:szCs w:val="21"/>
        </w:rPr>
        <w:t>(9)中国民生银行股份有限公司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北京市西城区复兴门内大街2号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北京市西城区复兴门内大街2号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高迎欣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王继伟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010－58560666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010－57092611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http://www.cmbc.com.cn/ </w:t>
            </w:r>
          </w:p>
        </w:tc>
      </w:tr>
    </w:tbl>
    <w:p>
      <w:pPr>
        <w:pStyle w:val="7"/>
        <w:spacing w:before="0" w:beforeAutospacing="0" w:after="0" w:afterAutospacing="0" w:line="360" w:lineRule="auto"/>
        <w:ind w:firstLine="420"/>
        <w:rPr>
          <w:sz w:val="21"/>
          <w:szCs w:val="21"/>
        </w:rPr>
      </w:pPr>
      <w:r>
        <w:rPr>
          <w:rFonts w:hint="eastAsia"/>
          <w:b/>
          <w:bCs/>
          <w:sz w:val="21"/>
          <w:szCs w:val="21"/>
        </w:rPr>
        <w:t>(10)中国邮政储蓄银行股份有限公司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张金良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010－68858117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http://www.psbc.com </w:t>
            </w:r>
          </w:p>
        </w:tc>
      </w:tr>
    </w:tbl>
    <w:p>
      <w:pPr>
        <w:pStyle w:val="7"/>
        <w:spacing w:before="0" w:beforeAutospacing="0" w:after="0" w:afterAutospacing="0" w:line="360" w:lineRule="auto"/>
        <w:ind w:firstLine="420"/>
        <w:rPr>
          <w:sz w:val="21"/>
          <w:szCs w:val="21"/>
        </w:rPr>
      </w:pPr>
      <w:r>
        <w:rPr>
          <w:rFonts w:hint="eastAsia"/>
          <w:b/>
          <w:bCs/>
          <w:sz w:val="21"/>
          <w:szCs w:val="21"/>
        </w:rPr>
        <w:t>(11)北京银行股份有限公司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5"/>
        <w:gridCol w:w="61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北京市西城区金融大街甲17号首层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北京市西城区金融大街丙17号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张东宁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周黎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010－66226045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http://www.bankofbeijing.com.cn/ </w:t>
            </w:r>
          </w:p>
        </w:tc>
      </w:tr>
    </w:tbl>
    <w:p>
      <w:pPr>
        <w:pStyle w:val="7"/>
        <w:spacing w:before="0" w:beforeAutospacing="0" w:after="0" w:afterAutospacing="0" w:line="360" w:lineRule="auto"/>
        <w:ind w:firstLine="420"/>
        <w:rPr>
          <w:sz w:val="21"/>
          <w:szCs w:val="21"/>
        </w:rPr>
      </w:pPr>
      <w:r>
        <w:rPr>
          <w:rFonts w:hint="eastAsia"/>
          <w:b/>
          <w:bCs/>
          <w:sz w:val="21"/>
          <w:szCs w:val="21"/>
        </w:rPr>
        <w:t>(12)华夏银行股份有限公司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北京市东城区建国门内大街22号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北京市东城区建国门内大街22号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李民吉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郑鹏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010－85238667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010－85238680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http://www.hxb.com.cn/ </w:t>
            </w:r>
          </w:p>
        </w:tc>
      </w:tr>
    </w:tbl>
    <w:p>
      <w:pPr>
        <w:pStyle w:val="7"/>
        <w:spacing w:before="0" w:beforeAutospacing="0" w:after="0" w:afterAutospacing="0" w:line="360" w:lineRule="auto"/>
        <w:ind w:firstLine="420"/>
        <w:rPr>
          <w:sz w:val="21"/>
          <w:szCs w:val="21"/>
        </w:rPr>
      </w:pPr>
      <w:r>
        <w:rPr>
          <w:rFonts w:hint="eastAsia"/>
          <w:b/>
          <w:bCs/>
          <w:sz w:val="21"/>
          <w:szCs w:val="21"/>
        </w:rPr>
        <w:t>(13)广发银行股份有限公司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广州市越秀区东风东路713号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广州市越秀区东风东路713号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020-38321497/020-38322566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020-38321676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4008308003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http://www.cgbchina.com.cn/ </w:t>
            </w:r>
          </w:p>
        </w:tc>
      </w:tr>
    </w:tbl>
    <w:p>
      <w:pPr>
        <w:pStyle w:val="7"/>
        <w:spacing w:before="0" w:beforeAutospacing="0" w:after="0" w:afterAutospacing="0" w:line="360" w:lineRule="auto"/>
        <w:ind w:firstLine="420"/>
        <w:rPr>
          <w:sz w:val="21"/>
          <w:szCs w:val="21"/>
        </w:rPr>
      </w:pPr>
      <w:r>
        <w:rPr>
          <w:rFonts w:hint="eastAsia"/>
          <w:b/>
          <w:bCs/>
          <w:sz w:val="21"/>
          <w:szCs w:val="21"/>
        </w:rPr>
        <w:t>(14)平安银行股份有限公司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谢永林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施艺帆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021-50979384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021-50979507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http://bank.pingan.com </w:t>
            </w:r>
          </w:p>
        </w:tc>
      </w:tr>
    </w:tbl>
    <w:p>
      <w:pPr>
        <w:pStyle w:val="7"/>
        <w:spacing w:before="0" w:beforeAutospacing="0" w:after="0" w:afterAutospacing="0" w:line="360" w:lineRule="auto"/>
        <w:ind w:firstLine="420"/>
        <w:rPr>
          <w:sz w:val="21"/>
          <w:szCs w:val="21"/>
        </w:rPr>
      </w:pPr>
      <w:r>
        <w:rPr>
          <w:rFonts w:hint="eastAsia"/>
          <w:b/>
          <w:bCs/>
          <w:sz w:val="21"/>
          <w:szCs w:val="21"/>
        </w:rPr>
        <w:t>(15)宁波银行股份有限公司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宁波市鄞州区宁南南路700号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宁波市鄞州区宁南南路700号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陆华裕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胡技勋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0574-89068340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0574-87050024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http://www.nbcb.com.cn </w:t>
            </w:r>
          </w:p>
        </w:tc>
      </w:tr>
    </w:tbl>
    <w:p>
      <w:pPr>
        <w:pStyle w:val="7"/>
        <w:spacing w:before="0" w:beforeAutospacing="0" w:after="0" w:afterAutospacing="0" w:line="360" w:lineRule="auto"/>
        <w:ind w:firstLine="420"/>
        <w:rPr>
          <w:sz w:val="21"/>
          <w:szCs w:val="21"/>
        </w:rPr>
      </w:pPr>
      <w:r>
        <w:rPr>
          <w:rFonts w:hint="eastAsia"/>
          <w:b/>
          <w:bCs/>
          <w:sz w:val="21"/>
          <w:szCs w:val="21"/>
        </w:rPr>
        <w:t>(16)上海农村商业银行股份有限公司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上海市浦东新区银城中路8号15-20楼、22-27楼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上海市浦东新区银城中路8号15-20楼、22-27楼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冀光恒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施传荣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021－38576666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021－50105124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021-962999;4006962999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http://www.srcb.com/ </w:t>
            </w:r>
          </w:p>
        </w:tc>
      </w:tr>
    </w:tbl>
    <w:p>
      <w:pPr>
        <w:pStyle w:val="7"/>
        <w:spacing w:before="0" w:beforeAutospacing="0" w:after="0" w:afterAutospacing="0" w:line="360" w:lineRule="auto"/>
        <w:ind w:firstLine="420"/>
        <w:rPr>
          <w:sz w:val="21"/>
          <w:szCs w:val="21"/>
        </w:rPr>
      </w:pPr>
      <w:r>
        <w:rPr>
          <w:rFonts w:hint="eastAsia"/>
          <w:b/>
          <w:bCs/>
          <w:sz w:val="21"/>
          <w:szCs w:val="21"/>
        </w:rPr>
        <w:t>(17)北京农村商业银行股份有限公司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王金山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鲁娟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010-89198762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010-89198678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http://www.bjrcb.com </w:t>
            </w:r>
          </w:p>
        </w:tc>
      </w:tr>
    </w:tbl>
    <w:p>
      <w:pPr>
        <w:pStyle w:val="7"/>
        <w:spacing w:before="0" w:beforeAutospacing="0" w:after="0" w:afterAutospacing="0" w:line="360" w:lineRule="auto"/>
        <w:ind w:firstLine="420"/>
        <w:rPr>
          <w:sz w:val="21"/>
          <w:szCs w:val="21"/>
        </w:rPr>
      </w:pPr>
      <w:r>
        <w:rPr>
          <w:rFonts w:hint="eastAsia"/>
          <w:b/>
          <w:bCs/>
          <w:sz w:val="21"/>
          <w:szCs w:val="21"/>
        </w:rPr>
        <w:t>(18)徽商银行股份有限公司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合肥市安庆路79号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合肥市安庆路79号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王晓昕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叶卓伟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0551-2667635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0551-2667857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4008896588(安徽省外)、96588(安徽省内)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http://www.hsbank.com.cn </w:t>
            </w:r>
          </w:p>
        </w:tc>
      </w:tr>
    </w:tbl>
    <w:p>
      <w:pPr>
        <w:pStyle w:val="7"/>
        <w:spacing w:before="0" w:beforeAutospacing="0" w:after="0" w:afterAutospacing="0" w:line="360" w:lineRule="auto"/>
        <w:ind w:firstLine="420"/>
        <w:rPr>
          <w:sz w:val="21"/>
          <w:szCs w:val="21"/>
        </w:rPr>
      </w:pPr>
      <w:r>
        <w:rPr>
          <w:rFonts w:hint="eastAsia"/>
          <w:b/>
          <w:bCs/>
          <w:sz w:val="21"/>
          <w:szCs w:val="21"/>
        </w:rPr>
        <w:t>(19)浙商银行股份有限公司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浙江省杭州市庆春路288号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浙江省杭州市庆春路288号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张达洋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毛真海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0571-87659546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0571-87659188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http://www.czbank.com </w:t>
            </w:r>
          </w:p>
        </w:tc>
      </w:tr>
    </w:tbl>
    <w:p>
      <w:pPr>
        <w:pStyle w:val="7"/>
        <w:spacing w:before="0" w:beforeAutospacing="0" w:after="0" w:afterAutospacing="0" w:line="360" w:lineRule="auto"/>
        <w:ind w:firstLine="420"/>
        <w:rPr>
          <w:sz w:val="21"/>
          <w:szCs w:val="21"/>
        </w:rPr>
      </w:pPr>
      <w:r>
        <w:rPr>
          <w:rFonts w:hint="eastAsia"/>
          <w:b/>
          <w:bCs/>
          <w:sz w:val="21"/>
          <w:szCs w:val="21"/>
        </w:rPr>
        <w:t>(20)东莞银行股份有限公司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东莞市莞城区体育路21号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东莞市莞城区体育路21号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卢国锋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朱杰霞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0769－27239605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0769－22117730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http://www.dongguanbank.cn </w:t>
            </w:r>
          </w:p>
        </w:tc>
      </w:tr>
    </w:tbl>
    <w:p>
      <w:pPr>
        <w:pStyle w:val="7"/>
        <w:spacing w:before="0" w:beforeAutospacing="0" w:after="0" w:afterAutospacing="0" w:line="360" w:lineRule="auto"/>
        <w:ind w:firstLine="420"/>
        <w:rPr>
          <w:sz w:val="21"/>
          <w:szCs w:val="21"/>
        </w:rPr>
      </w:pPr>
      <w:r>
        <w:rPr>
          <w:rFonts w:hint="eastAsia"/>
          <w:b/>
          <w:bCs/>
          <w:sz w:val="21"/>
          <w:szCs w:val="21"/>
        </w:rPr>
        <w:t>(21)杭州银行股份有限公司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杭州市庆春路46号杭州银行大厦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杭州市庆春路46号杭州银行大厦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陈震山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严峻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0571－85108195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0571－85106576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http://www.hzbank.com.cn </w:t>
            </w:r>
          </w:p>
        </w:tc>
      </w:tr>
    </w:tbl>
    <w:p>
      <w:pPr>
        <w:pStyle w:val="7"/>
        <w:spacing w:before="0" w:beforeAutospacing="0" w:after="0" w:afterAutospacing="0" w:line="360" w:lineRule="auto"/>
        <w:ind w:firstLine="420"/>
        <w:rPr>
          <w:sz w:val="21"/>
          <w:szCs w:val="21"/>
        </w:rPr>
      </w:pPr>
      <w:r>
        <w:rPr>
          <w:rFonts w:hint="eastAsia"/>
          <w:b/>
          <w:bCs/>
          <w:sz w:val="21"/>
          <w:szCs w:val="21"/>
        </w:rPr>
        <w:t>(22)南京银行股份有限公司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南京市白下区淮海路50号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南京市玄武区中山路288号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025－86775335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025－86775376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http://www.njcb.com.cn </w:t>
            </w:r>
          </w:p>
        </w:tc>
      </w:tr>
    </w:tbl>
    <w:p>
      <w:pPr>
        <w:pStyle w:val="7"/>
        <w:spacing w:before="0" w:beforeAutospacing="0" w:after="0" w:afterAutospacing="0" w:line="360" w:lineRule="auto"/>
        <w:ind w:firstLine="420"/>
        <w:rPr>
          <w:sz w:val="21"/>
          <w:szCs w:val="21"/>
        </w:rPr>
      </w:pPr>
      <w:r>
        <w:rPr>
          <w:rFonts w:hint="eastAsia"/>
          <w:b/>
          <w:bCs/>
          <w:sz w:val="21"/>
          <w:szCs w:val="21"/>
        </w:rPr>
        <w:t>(23)温州银行股份有限公司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浙江省温州市鹿城区会展路1316号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浙江省温州市鹿城区会展路1316号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陈宏强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蔡鹏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0577-88997296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（0577）96699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http://www.wzbank.cn </w:t>
            </w:r>
          </w:p>
        </w:tc>
      </w:tr>
    </w:tbl>
    <w:p>
      <w:pPr>
        <w:pStyle w:val="7"/>
        <w:spacing w:before="0" w:beforeAutospacing="0" w:after="0" w:afterAutospacing="0" w:line="360" w:lineRule="auto"/>
        <w:ind w:firstLine="420"/>
        <w:rPr>
          <w:sz w:val="21"/>
          <w:szCs w:val="21"/>
        </w:rPr>
      </w:pPr>
      <w:r>
        <w:rPr>
          <w:rFonts w:hint="eastAsia"/>
          <w:b/>
          <w:bCs/>
          <w:sz w:val="21"/>
          <w:szCs w:val="21"/>
        </w:rPr>
        <w:t>(24)汉口银行股份有限公司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江汉区建设大道933号武汉商业银行大厦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武汉市江汉区建设大道933号武汉商业银行大厦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陈新民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张晓欢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027-82656924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027-82656099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96558（武汉）；40060-96558（全国）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http://www.hkbchina.com </w:t>
            </w:r>
          </w:p>
        </w:tc>
      </w:tr>
    </w:tbl>
    <w:p>
      <w:pPr>
        <w:pStyle w:val="7"/>
        <w:spacing w:before="0" w:beforeAutospacing="0" w:after="0" w:afterAutospacing="0" w:line="360" w:lineRule="auto"/>
        <w:ind w:firstLine="420"/>
        <w:rPr>
          <w:sz w:val="21"/>
          <w:szCs w:val="21"/>
        </w:rPr>
      </w:pPr>
      <w:r>
        <w:rPr>
          <w:rFonts w:hint="eastAsia"/>
          <w:b/>
          <w:bCs/>
          <w:sz w:val="21"/>
          <w:szCs w:val="21"/>
        </w:rPr>
        <w:t>(25)江苏银行股份有限公司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南京市洪武北路55号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南京市中华路26号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夏平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田春慧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025-58587018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025-58587038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http://www.jsbchina.cn </w:t>
            </w:r>
          </w:p>
        </w:tc>
      </w:tr>
    </w:tbl>
    <w:p>
      <w:pPr>
        <w:pStyle w:val="7"/>
        <w:spacing w:before="0" w:beforeAutospacing="0" w:after="0" w:afterAutospacing="0" w:line="360" w:lineRule="auto"/>
        <w:ind w:firstLine="420"/>
        <w:rPr>
          <w:sz w:val="21"/>
          <w:szCs w:val="21"/>
        </w:rPr>
      </w:pPr>
      <w:r>
        <w:rPr>
          <w:rFonts w:hint="eastAsia"/>
          <w:b/>
          <w:bCs/>
          <w:sz w:val="21"/>
          <w:szCs w:val="21"/>
        </w:rPr>
        <w:t>(26)江苏张家港农村商业银行股份有限公司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张家港市杨舍镇人民中路66号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张家港市杨舍镇人民中路66号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王自忠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0512-58236370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0512-58236370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0512-96065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http://www.zrcbank.com </w:t>
            </w:r>
          </w:p>
        </w:tc>
      </w:tr>
    </w:tbl>
    <w:p>
      <w:pPr>
        <w:pStyle w:val="7"/>
        <w:spacing w:before="0" w:beforeAutospacing="0" w:after="0" w:afterAutospacing="0" w:line="360" w:lineRule="auto"/>
        <w:ind w:firstLine="420"/>
        <w:rPr>
          <w:sz w:val="21"/>
          <w:szCs w:val="21"/>
        </w:rPr>
      </w:pPr>
      <w:r>
        <w:rPr>
          <w:rFonts w:hint="eastAsia"/>
          <w:b/>
          <w:bCs/>
          <w:sz w:val="21"/>
          <w:szCs w:val="21"/>
        </w:rPr>
        <w:t>(27)深圳农村商业银行股份有限公司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深圳市宝安区新安街道海旺社区海秀路2028号农商银行大厦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深圳市宝安区新安街道海旺社区海秀路2028号农商银行大厦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李光安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马登魁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0755-25189619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0755-25188785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961200，4001961200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http://www.4001961200.com </w:t>
            </w:r>
          </w:p>
        </w:tc>
      </w:tr>
    </w:tbl>
    <w:p>
      <w:pPr>
        <w:pStyle w:val="7"/>
        <w:spacing w:before="0" w:beforeAutospacing="0" w:after="0" w:afterAutospacing="0" w:line="360" w:lineRule="auto"/>
        <w:ind w:firstLine="420"/>
        <w:rPr>
          <w:sz w:val="21"/>
          <w:szCs w:val="21"/>
        </w:rPr>
      </w:pPr>
      <w:r>
        <w:rPr>
          <w:rFonts w:hint="eastAsia"/>
          <w:b/>
          <w:bCs/>
          <w:sz w:val="21"/>
          <w:szCs w:val="21"/>
        </w:rPr>
        <w:t>(28)烟台银行股份有限公司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山东省烟台市芝罘区海港路25号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山东省烟台市芝罘区海港路25号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叶文君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王淑华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0535-6699660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0535-6699884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4008-311-777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http://www.yantaibank.net/ </w:t>
            </w:r>
          </w:p>
        </w:tc>
      </w:tr>
    </w:tbl>
    <w:p>
      <w:pPr>
        <w:pStyle w:val="7"/>
        <w:spacing w:before="0" w:beforeAutospacing="0" w:after="0" w:afterAutospacing="0" w:line="360" w:lineRule="auto"/>
        <w:ind w:firstLine="420"/>
        <w:rPr>
          <w:sz w:val="21"/>
          <w:szCs w:val="21"/>
        </w:rPr>
      </w:pPr>
      <w:r>
        <w:rPr>
          <w:rFonts w:hint="eastAsia"/>
          <w:b/>
          <w:bCs/>
          <w:sz w:val="21"/>
          <w:szCs w:val="21"/>
        </w:rPr>
        <w:t>(29)大连银行股份有限公司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辽宁省大连市中山区中山路88号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大连市中山区中山路88号天安国际大厦43楼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陈占维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朱珠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0411-82311131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4006640099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http://www.bankofdl.com </w:t>
            </w:r>
          </w:p>
        </w:tc>
      </w:tr>
    </w:tbl>
    <w:p>
      <w:pPr>
        <w:pStyle w:val="7"/>
        <w:spacing w:before="0" w:beforeAutospacing="0" w:after="0" w:afterAutospacing="0" w:line="360" w:lineRule="auto"/>
        <w:ind w:firstLine="420"/>
        <w:rPr>
          <w:sz w:val="21"/>
          <w:szCs w:val="21"/>
        </w:rPr>
      </w:pPr>
      <w:r>
        <w:rPr>
          <w:rFonts w:hint="eastAsia"/>
          <w:b/>
          <w:bCs/>
          <w:sz w:val="21"/>
          <w:szCs w:val="21"/>
        </w:rPr>
        <w:t>(30)东莞农村商业银行股份有限公司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广东省东莞市东城区鸿福东路2号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广东省东莞市东城区鸿福东路2号东莞农商银行大厦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王耀球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0769-22866270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0769-22866282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961122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http://www.drcbank.com/ </w:t>
            </w:r>
          </w:p>
        </w:tc>
      </w:tr>
    </w:tbl>
    <w:p>
      <w:pPr>
        <w:pStyle w:val="7"/>
        <w:spacing w:before="0" w:beforeAutospacing="0" w:after="0" w:afterAutospacing="0" w:line="360" w:lineRule="auto"/>
        <w:ind w:firstLine="420"/>
        <w:rPr>
          <w:sz w:val="21"/>
          <w:szCs w:val="21"/>
        </w:rPr>
      </w:pPr>
      <w:r>
        <w:rPr>
          <w:rFonts w:hint="eastAsia"/>
          <w:b/>
          <w:bCs/>
          <w:sz w:val="21"/>
          <w:szCs w:val="21"/>
        </w:rPr>
        <w:t>(31)嘉兴银行股份有限公司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嘉兴市昌盛南路1001号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嘉兴市昌盛南路1001号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顾晓光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0573-82099660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0573-82099660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0573-96528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http://www.jxccb.com/ </w:t>
            </w:r>
          </w:p>
        </w:tc>
      </w:tr>
    </w:tbl>
    <w:p>
      <w:pPr>
        <w:pStyle w:val="7"/>
        <w:spacing w:before="0" w:beforeAutospacing="0" w:after="0" w:afterAutospacing="0" w:line="360" w:lineRule="auto"/>
        <w:ind w:firstLine="420"/>
        <w:rPr>
          <w:sz w:val="21"/>
          <w:szCs w:val="21"/>
        </w:rPr>
      </w:pPr>
      <w:r>
        <w:rPr>
          <w:rFonts w:hint="eastAsia"/>
          <w:b/>
          <w:bCs/>
          <w:sz w:val="21"/>
          <w:szCs w:val="21"/>
        </w:rPr>
        <w:t>(32)广州银行股份有限公司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广州市天河区珠江东路30号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广州市天河区珠江东路30号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黄子励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020-28302955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020-28302000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96699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www.gzcb.com.cn </w:t>
            </w:r>
          </w:p>
        </w:tc>
      </w:tr>
    </w:tbl>
    <w:p>
      <w:pPr>
        <w:pStyle w:val="7"/>
        <w:spacing w:before="0" w:beforeAutospacing="0" w:after="0" w:afterAutospacing="0" w:line="360" w:lineRule="auto"/>
        <w:ind w:firstLine="420"/>
        <w:rPr>
          <w:sz w:val="21"/>
          <w:szCs w:val="21"/>
        </w:rPr>
      </w:pPr>
      <w:r>
        <w:rPr>
          <w:rFonts w:hint="eastAsia"/>
          <w:b/>
          <w:bCs/>
          <w:sz w:val="21"/>
          <w:szCs w:val="21"/>
        </w:rPr>
        <w:t>(33)江苏常熟农村商业银行股份有限公司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江苏省常熟市新世纪大道58号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江苏省常熟市新世纪大道58号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宋建明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马勋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0512-52909125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0512-52909122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400-996-2000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http://www.csrcbank.com </w:t>
            </w:r>
          </w:p>
        </w:tc>
      </w:tr>
    </w:tbl>
    <w:p>
      <w:pPr>
        <w:pStyle w:val="7"/>
        <w:spacing w:before="0" w:beforeAutospacing="0" w:after="0" w:afterAutospacing="0" w:line="360" w:lineRule="auto"/>
        <w:ind w:firstLine="420"/>
        <w:rPr>
          <w:sz w:val="21"/>
          <w:szCs w:val="21"/>
        </w:rPr>
      </w:pPr>
      <w:r>
        <w:rPr>
          <w:rFonts w:hint="eastAsia"/>
          <w:b/>
          <w:bCs/>
          <w:sz w:val="21"/>
          <w:szCs w:val="21"/>
        </w:rPr>
        <w:t>(34)广东顺德农村商业银行股份有限公司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广东省佛山市顺德区大良街道德和社区兴业路8号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广东省佛山市顺德区大良街道德和社区兴业路8号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姚真勇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胡健强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0757-22386489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0757-22388235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0757-2223388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www.sdebank.com </w:t>
            </w:r>
          </w:p>
        </w:tc>
      </w:tr>
    </w:tbl>
    <w:p>
      <w:pPr>
        <w:pStyle w:val="7"/>
        <w:spacing w:before="0" w:beforeAutospacing="0" w:after="0" w:afterAutospacing="0" w:line="360" w:lineRule="auto"/>
        <w:ind w:firstLine="420"/>
        <w:rPr>
          <w:sz w:val="21"/>
          <w:szCs w:val="21"/>
        </w:rPr>
      </w:pPr>
      <w:r>
        <w:rPr>
          <w:rFonts w:hint="eastAsia"/>
          <w:b/>
          <w:bCs/>
          <w:sz w:val="21"/>
          <w:szCs w:val="21"/>
        </w:rPr>
        <w:t>(35)重庆农村商业银行股份有限公司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重庆市江北区洋河东路10号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重庆市江北区洋河东路10号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刘建忠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范亮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023-67637962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966866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www.cqrcb.com </w:t>
            </w:r>
          </w:p>
        </w:tc>
      </w:tr>
    </w:tbl>
    <w:p>
      <w:pPr>
        <w:pStyle w:val="7"/>
        <w:spacing w:before="0" w:beforeAutospacing="0" w:after="0" w:afterAutospacing="0" w:line="360" w:lineRule="auto"/>
        <w:ind w:firstLine="420"/>
        <w:rPr>
          <w:sz w:val="21"/>
          <w:szCs w:val="21"/>
        </w:rPr>
      </w:pPr>
      <w:r>
        <w:rPr>
          <w:rFonts w:hint="eastAsia"/>
          <w:b/>
          <w:bCs/>
          <w:sz w:val="21"/>
          <w:szCs w:val="21"/>
        </w:rPr>
        <w:t>(36)西安银行股份有限公司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西安市高新路60号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西安市高新路60号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白智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029-88992881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029-88992881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4008696779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www.xacbank.com </w:t>
            </w:r>
          </w:p>
        </w:tc>
      </w:tr>
    </w:tbl>
    <w:p>
      <w:pPr>
        <w:pStyle w:val="7"/>
        <w:spacing w:before="0" w:beforeAutospacing="0" w:after="0" w:afterAutospacing="0" w:line="360" w:lineRule="auto"/>
        <w:ind w:firstLine="420"/>
        <w:rPr>
          <w:sz w:val="21"/>
          <w:szCs w:val="21"/>
        </w:rPr>
      </w:pPr>
      <w:r>
        <w:rPr>
          <w:rFonts w:hint="eastAsia"/>
          <w:b/>
          <w:bCs/>
          <w:sz w:val="21"/>
          <w:szCs w:val="21"/>
        </w:rPr>
        <w:t>(37)金华银行股份有限公司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浙江省金华市光南路668号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浙江省金华市光南路668号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徐雅清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徐晓峰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0579-83207775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0579-82178321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400-711-6668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http://www.jhccb.com.cn </w:t>
            </w:r>
          </w:p>
        </w:tc>
      </w:tr>
    </w:tbl>
    <w:p>
      <w:pPr>
        <w:pStyle w:val="7"/>
        <w:spacing w:before="0" w:beforeAutospacing="0" w:after="0" w:afterAutospacing="0" w:line="360" w:lineRule="auto"/>
        <w:ind w:firstLine="420"/>
        <w:rPr>
          <w:sz w:val="21"/>
          <w:szCs w:val="21"/>
        </w:rPr>
      </w:pPr>
      <w:r>
        <w:rPr>
          <w:rFonts w:hint="eastAsia"/>
          <w:b/>
          <w:bCs/>
          <w:sz w:val="21"/>
          <w:szCs w:val="21"/>
        </w:rPr>
        <w:t>(38)江苏江南农村商业银行股份有限公司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常州市武进区延政中路9号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常州市武进区延政中路9号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陆向阳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0519-80585939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0519-89995170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0519-96005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http://www.jnbank.com.cn </w:t>
            </w:r>
          </w:p>
        </w:tc>
      </w:tr>
    </w:tbl>
    <w:p>
      <w:pPr>
        <w:pStyle w:val="7"/>
        <w:spacing w:before="0" w:beforeAutospacing="0" w:after="0" w:afterAutospacing="0" w:line="360" w:lineRule="auto"/>
        <w:ind w:firstLine="420"/>
        <w:rPr>
          <w:sz w:val="21"/>
          <w:szCs w:val="21"/>
        </w:rPr>
      </w:pPr>
      <w:r>
        <w:rPr>
          <w:rFonts w:hint="eastAsia"/>
          <w:b/>
          <w:bCs/>
          <w:sz w:val="21"/>
          <w:szCs w:val="21"/>
        </w:rPr>
        <w:t>(39)长沙银行股份有限公司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长沙市岳麓区滨江路53号楷林商务中心B座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长沙市岳麓区滨江路53号楷林商务中心B座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赵小中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龙秀芳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0731-89736223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0731-89736223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0731-96511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www.bankofchangsha.com </w:t>
            </w:r>
          </w:p>
        </w:tc>
      </w:tr>
    </w:tbl>
    <w:p>
      <w:pPr>
        <w:pStyle w:val="7"/>
        <w:spacing w:before="0" w:beforeAutospacing="0" w:after="0" w:afterAutospacing="0" w:line="360" w:lineRule="auto"/>
        <w:ind w:firstLine="420"/>
        <w:rPr>
          <w:sz w:val="21"/>
          <w:szCs w:val="21"/>
        </w:rPr>
      </w:pPr>
      <w:r>
        <w:rPr>
          <w:rFonts w:hint="eastAsia"/>
          <w:b/>
          <w:bCs/>
          <w:sz w:val="21"/>
          <w:szCs w:val="21"/>
        </w:rPr>
        <w:t>(40)江苏江阴农村商业银行股份有限公司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江苏省江阴市澄江中路1号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江苏省江阴市澄江中路1号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曹龙华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18121517600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0510-86811617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0510-96078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http://www.jybank.com.cn/ </w:t>
            </w:r>
          </w:p>
        </w:tc>
      </w:tr>
    </w:tbl>
    <w:p>
      <w:pPr>
        <w:pStyle w:val="7"/>
        <w:spacing w:before="0" w:beforeAutospacing="0" w:after="0" w:afterAutospacing="0" w:line="360" w:lineRule="auto"/>
        <w:ind w:firstLine="420"/>
        <w:rPr>
          <w:sz w:val="21"/>
          <w:szCs w:val="21"/>
        </w:rPr>
      </w:pPr>
      <w:r>
        <w:rPr>
          <w:rFonts w:hint="eastAsia"/>
          <w:b/>
          <w:bCs/>
          <w:sz w:val="21"/>
          <w:szCs w:val="21"/>
        </w:rPr>
        <w:t>(41)郑州银行股份有限公司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郑州市郑东新区商务外环路22号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郑州市郑东新区商务外环路22号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王天宇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焦明飞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0371-67009698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0371-67009097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http://www.zzbank.cn </w:t>
            </w:r>
          </w:p>
        </w:tc>
      </w:tr>
    </w:tbl>
    <w:p>
      <w:pPr>
        <w:pStyle w:val="7"/>
        <w:spacing w:before="0" w:beforeAutospacing="0" w:after="0" w:afterAutospacing="0" w:line="360" w:lineRule="auto"/>
        <w:ind w:firstLine="420"/>
        <w:rPr>
          <w:sz w:val="21"/>
          <w:szCs w:val="21"/>
        </w:rPr>
      </w:pPr>
      <w:r>
        <w:rPr>
          <w:rFonts w:hint="eastAsia"/>
          <w:b/>
          <w:bCs/>
          <w:sz w:val="21"/>
          <w:szCs w:val="21"/>
        </w:rPr>
        <w:t>(42)吉林银行股份有限公司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吉林省长春市经开区东南湖大路1817号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吉林省长春市经开区东南湖大路1817号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唐国兴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0431-84999543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0431-84999543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4008896666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http://www.jlbank.com.cn </w:t>
            </w:r>
          </w:p>
        </w:tc>
      </w:tr>
    </w:tbl>
    <w:p>
      <w:pPr>
        <w:pStyle w:val="7"/>
        <w:spacing w:before="0" w:beforeAutospacing="0" w:after="0" w:afterAutospacing="0" w:line="360" w:lineRule="auto"/>
        <w:ind w:firstLine="420"/>
        <w:rPr>
          <w:sz w:val="21"/>
          <w:szCs w:val="21"/>
        </w:rPr>
      </w:pPr>
      <w:r>
        <w:rPr>
          <w:rFonts w:hint="eastAsia"/>
          <w:b/>
          <w:bCs/>
          <w:sz w:val="21"/>
          <w:szCs w:val="21"/>
        </w:rPr>
        <w:t>(43)苏州银行股份有限公司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崔庆军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0512-69868373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0512-69868370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96067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www.suzhoubank.com </w:t>
            </w:r>
          </w:p>
        </w:tc>
      </w:tr>
    </w:tbl>
    <w:p>
      <w:pPr>
        <w:pStyle w:val="7"/>
        <w:spacing w:before="0" w:beforeAutospacing="0" w:after="0" w:afterAutospacing="0" w:line="360" w:lineRule="auto"/>
        <w:ind w:firstLine="420"/>
        <w:rPr>
          <w:sz w:val="21"/>
          <w:szCs w:val="21"/>
        </w:rPr>
      </w:pPr>
      <w:r>
        <w:rPr>
          <w:rFonts w:hint="eastAsia"/>
          <w:b/>
          <w:bCs/>
          <w:sz w:val="21"/>
          <w:szCs w:val="21"/>
        </w:rPr>
        <w:t>(44)威海银行股份有限公司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山东省威海市青岛北路137A号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济南市经十路11666号奥体金融中心D栋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孟东晓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杨童童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0531-68978175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0531-68978176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省内96636、境内4000096636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http://www.whccb.com/ </w:t>
            </w:r>
          </w:p>
        </w:tc>
      </w:tr>
    </w:tbl>
    <w:p>
      <w:pPr>
        <w:pStyle w:val="7"/>
        <w:spacing w:before="0" w:beforeAutospacing="0" w:after="0" w:afterAutospacing="0" w:line="360" w:lineRule="auto"/>
        <w:ind w:firstLine="420"/>
        <w:rPr>
          <w:sz w:val="21"/>
          <w:szCs w:val="21"/>
        </w:rPr>
      </w:pPr>
      <w:r>
        <w:rPr>
          <w:rFonts w:hint="eastAsia"/>
          <w:b/>
          <w:bCs/>
          <w:sz w:val="21"/>
          <w:szCs w:val="21"/>
        </w:rPr>
        <w:t>(45)四川天府银行股份有限公司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四川省南充市顺庆区涪江路1号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四川省南充市滨江中路一段97号26栋泰和尚渡南充市商业银行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黄光伟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李俊辉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0817-7118079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0817-7118322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400-16-96869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www.tf.cn </w:t>
            </w:r>
          </w:p>
        </w:tc>
      </w:tr>
    </w:tbl>
    <w:p>
      <w:pPr>
        <w:pStyle w:val="7"/>
        <w:spacing w:before="0" w:beforeAutospacing="0" w:after="0" w:afterAutospacing="0" w:line="360" w:lineRule="auto"/>
        <w:ind w:firstLine="420"/>
        <w:rPr>
          <w:sz w:val="21"/>
          <w:szCs w:val="21"/>
        </w:rPr>
      </w:pPr>
      <w:r>
        <w:rPr>
          <w:rFonts w:hint="eastAsia"/>
          <w:b/>
          <w:bCs/>
          <w:sz w:val="21"/>
          <w:szCs w:val="21"/>
        </w:rPr>
        <w:t>(46)长安银行股份有限公司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陕西省西安市高新区高新四路13号1幢1单元10101室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陕西省西安市高新区高新四路13号1幢1单元10101室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张全明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029-88609646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（029）96669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Http://www.ccabchina.com/ </w:t>
            </w:r>
          </w:p>
        </w:tc>
      </w:tr>
    </w:tbl>
    <w:p>
      <w:pPr>
        <w:pStyle w:val="7"/>
        <w:spacing w:before="0" w:beforeAutospacing="0" w:after="0" w:afterAutospacing="0" w:line="360" w:lineRule="auto"/>
        <w:ind w:firstLine="420"/>
        <w:rPr>
          <w:sz w:val="21"/>
          <w:szCs w:val="21"/>
        </w:rPr>
      </w:pPr>
      <w:r>
        <w:rPr>
          <w:rFonts w:hint="eastAsia"/>
          <w:b/>
          <w:bCs/>
          <w:sz w:val="21"/>
          <w:szCs w:val="21"/>
        </w:rPr>
        <w:t>(47)汇丰银行（中国）有限公司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上海市世纪大道8号上海国金中心汇丰银行大楼22层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上海市世纪大道8号上海国金中心汇丰银行大楼22层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廖宜建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NA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021-38883888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021-23208550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卓越理财热线400-820-8828；运筹理财热线400-820-8878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https://www.hsbc.com.cn/ </w:t>
            </w:r>
          </w:p>
        </w:tc>
      </w:tr>
    </w:tbl>
    <w:p>
      <w:pPr>
        <w:pStyle w:val="7"/>
        <w:spacing w:before="0" w:beforeAutospacing="0" w:after="0" w:afterAutospacing="0" w:line="360" w:lineRule="auto"/>
        <w:ind w:firstLine="420"/>
        <w:rPr>
          <w:sz w:val="21"/>
          <w:szCs w:val="21"/>
        </w:rPr>
      </w:pPr>
      <w:r>
        <w:rPr>
          <w:rFonts w:hint="eastAsia"/>
          <w:b/>
          <w:bCs/>
          <w:sz w:val="21"/>
          <w:szCs w:val="21"/>
        </w:rPr>
        <w:t>(48)富滇银行股份有限公司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云南省昆明市拓东路41号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云南省昆明市拓东路41号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夏 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杨翊琳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0871-63140324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0871-63194471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4008896533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www.fudian-bank.com </w:t>
            </w:r>
          </w:p>
        </w:tc>
      </w:tr>
    </w:tbl>
    <w:p>
      <w:pPr>
        <w:pStyle w:val="7"/>
        <w:spacing w:before="0" w:beforeAutospacing="0" w:after="0" w:afterAutospacing="0" w:line="360" w:lineRule="auto"/>
        <w:ind w:firstLine="420"/>
        <w:rPr>
          <w:sz w:val="21"/>
          <w:szCs w:val="21"/>
        </w:rPr>
      </w:pPr>
      <w:r>
        <w:rPr>
          <w:rFonts w:hint="eastAsia"/>
          <w:b/>
          <w:bCs/>
          <w:sz w:val="21"/>
          <w:szCs w:val="21"/>
        </w:rPr>
        <w:t>(49)浙江绍兴瑞丰农村商业银行股份有限公司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浙江绍兴柯桥笛扬路1363号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浙江绍兴柯桥笛扬路1363号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俞俊海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孟建潮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0575-84788101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0575-84788134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400-889-6596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http://www.borf.cn </w:t>
            </w:r>
          </w:p>
        </w:tc>
      </w:tr>
    </w:tbl>
    <w:p>
      <w:pPr>
        <w:pStyle w:val="7"/>
        <w:spacing w:before="0" w:beforeAutospacing="0" w:after="0" w:afterAutospacing="0" w:line="360" w:lineRule="auto"/>
        <w:ind w:firstLine="420"/>
        <w:rPr>
          <w:sz w:val="21"/>
          <w:szCs w:val="21"/>
        </w:rPr>
      </w:pPr>
      <w:r>
        <w:rPr>
          <w:rFonts w:hint="eastAsia"/>
          <w:b/>
          <w:bCs/>
          <w:sz w:val="21"/>
          <w:szCs w:val="21"/>
        </w:rPr>
        <w:t>(50)广东南海农村商业银行股份有限公司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佛山市南海区桂城街道南海大道北26号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佛山市南海区桂城街道南海大道北26号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李宜心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郭顺子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0757-86266566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0757-86250627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www.nanhaibank.com </w:t>
            </w:r>
          </w:p>
        </w:tc>
      </w:tr>
    </w:tbl>
    <w:p>
      <w:pPr>
        <w:pStyle w:val="7"/>
        <w:spacing w:before="0" w:beforeAutospacing="0" w:after="0" w:afterAutospacing="0" w:line="360" w:lineRule="auto"/>
        <w:ind w:firstLine="420"/>
        <w:rPr>
          <w:sz w:val="21"/>
          <w:szCs w:val="21"/>
        </w:rPr>
      </w:pPr>
      <w:r>
        <w:rPr>
          <w:rFonts w:hint="eastAsia"/>
          <w:b/>
          <w:bCs/>
          <w:sz w:val="21"/>
          <w:szCs w:val="21"/>
        </w:rPr>
        <w:t>(51)天相投资顾问有限公司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北京市西城区金融街19号富凯大厦B座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北京市西城区新街口外大街28号C座5层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林义相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尹伶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010-66045529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010－66045500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010-66045678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http://www.txsec.com </w:t>
            </w:r>
          </w:p>
        </w:tc>
      </w:tr>
    </w:tbl>
    <w:p>
      <w:pPr>
        <w:pStyle w:val="7"/>
        <w:spacing w:before="0" w:beforeAutospacing="0" w:after="0" w:afterAutospacing="0" w:line="360" w:lineRule="auto"/>
        <w:ind w:firstLine="420"/>
        <w:rPr>
          <w:sz w:val="21"/>
          <w:szCs w:val="21"/>
        </w:rPr>
      </w:pPr>
      <w:r>
        <w:rPr>
          <w:rFonts w:hint="eastAsia"/>
          <w:b/>
          <w:bCs/>
          <w:sz w:val="21"/>
          <w:szCs w:val="21"/>
        </w:rPr>
        <w:t>(52)鼎信汇金（北京）投资管理有限公司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齐凌峰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010-84489488-8702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010-82086110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400-158-5050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www.9ifund.com </w:t>
            </w:r>
          </w:p>
        </w:tc>
      </w:tr>
    </w:tbl>
    <w:p>
      <w:pPr>
        <w:pStyle w:val="7"/>
        <w:spacing w:before="0" w:beforeAutospacing="0" w:after="0" w:afterAutospacing="0" w:line="360" w:lineRule="auto"/>
        <w:ind w:firstLine="420"/>
        <w:rPr>
          <w:sz w:val="21"/>
          <w:szCs w:val="21"/>
        </w:rPr>
      </w:pPr>
      <w:r>
        <w:rPr>
          <w:rFonts w:hint="eastAsia"/>
          <w:b/>
          <w:bCs/>
          <w:sz w:val="21"/>
          <w:szCs w:val="21"/>
        </w:rPr>
        <w:t>(53)深圳市新兰德证券投资咨询有限公司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深圳市福田区梅林街道梅都社区中康路136号深圳新一代产业园2栋3703-A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北京市西城区宣武门外大街28号富卓大厦A座6层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010-58325388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010-58325300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4000661199-2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www.xinlande.com.cn </w:t>
            </w:r>
          </w:p>
        </w:tc>
      </w:tr>
    </w:tbl>
    <w:p>
      <w:pPr>
        <w:pStyle w:val="7"/>
        <w:spacing w:before="0" w:beforeAutospacing="0" w:after="0" w:afterAutospacing="0" w:line="360" w:lineRule="auto"/>
        <w:ind w:firstLine="420"/>
        <w:rPr>
          <w:sz w:val="21"/>
          <w:szCs w:val="21"/>
        </w:rPr>
      </w:pPr>
      <w:r>
        <w:rPr>
          <w:rFonts w:hint="eastAsia"/>
          <w:b/>
          <w:bCs/>
          <w:sz w:val="21"/>
          <w:szCs w:val="21"/>
        </w:rPr>
        <w:t>(54)和讯信息科技有限公司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张紫薇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0755-82721122-8625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0755-82029055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400-920-0022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http://Licaike.hexun.com </w:t>
            </w:r>
          </w:p>
        </w:tc>
      </w:tr>
    </w:tbl>
    <w:p>
      <w:pPr>
        <w:pStyle w:val="7"/>
        <w:spacing w:before="0" w:beforeAutospacing="0" w:after="0" w:afterAutospacing="0" w:line="360" w:lineRule="auto"/>
        <w:ind w:firstLine="420"/>
        <w:rPr>
          <w:sz w:val="21"/>
          <w:szCs w:val="21"/>
        </w:rPr>
      </w:pPr>
      <w:r>
        <w:rPr>
          <w:rFonts w:hint="eastAsia"/>
          <w:b/>
          <w:bCs/>
          <w:sz w:val="21"/>
          <w:szCs w:val="21"/>
        </w:rPr>
        <w:t>(55)厦门市鑫鼎盛控股有限公司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厦门市思明区鹭江道2号厦门第一广场1501-1504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厦门市思明区鹭江道2号厦门第一广场1501-1504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陈洪生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徐明静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0592-3122716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0592-8060771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400-918-0808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www.xds.com.cn </w:t>
            </w:r>
          </w:p>
        </w:tc>
      </w:tr>
    </w:tbl>
    <w:p>
      <w:pPr>
        <w:pStyle w:val="7"/>
        <w:spacing w:before="0" w:beforeAutospacing="0" w:after="0" w:afterAutospacing="0" w:line="360" w:lineRule="auto"/>
        <w:ind w:firstLine="420"/>
        <w:rPr>
          <w:sz w:val="21"/>
          <w:szCs w:val="21"/>
        </w:rPr>
      </w:pPr>
      <w:r>
        <w:rPr>
          <w:rFonts w:hint="eastAsia"/>
          <w:b/>
          <w:bCs/>
          <w:sz w:val="21"/>
          <w:szCs w:val="21"/>
        </w:rPr>
        <w:t>(56)江苏天鼎证券投资咨询有限公司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南京市秦淮区太平南路389号1002室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南京市鼓楼区平安里74号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金婷婷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黄丹昀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025-66001159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025-66001172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025-962155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www.tdtz888.com </w:t>
            </w:r>
          </w:p>
        </w:tc>
      </w:tr>
    </w:tbl>
    <w:p>
      <w:pPr>
        <w:pStyle w:val="7"/>
        <w:spacing w:before="0" w:beforeAutospacing="0" w:after="0" w:afterAutospacing="0" w:line="360" w:lineRule="auto"/>
        <w:ind w:firstLine="420"/>
        <w:rPr>
          <w:sz w:val="21"/>
          <w:szCs w:val="21"/>
        </w:rPr>
      </w:pPr>
      <w:r>
        <w:rPr>
          <w:rFonts w:hint="eastAsia"/>
          <w:b/>
          <w:bCs/>
          <w:sz w:val="21"/>
          <w:szCs w:val="21"/>
        </w:rPr>
        <w:t>(57)大河财富基金销售有限公司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贵州省贵阳市南明区新华路110-134号富中国际广场1栋20层1、2号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贵州省贵阳市南明区新华路110-134号富中国际广场1栋20层1、2号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方凯鑫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0851-88405606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0851-88405599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0851-88235678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www.urainf.com </w:t>
            </w:r>
          </w:p>
        </w:tc>
      </w:tr>
    </w:tbl>
    <w:p>
      <w:pPr>
        <w:pStyle w:val="7"/>
        <w:spacing w:before="0" w:beforeAutospacing="0" w:after="0" w:afterAutospacing="0" w:line="360" w:lineRule="auto"/>
        <w:ind w:firstLine="420"/>
        <w:rPr>
          <w:sz w:val="21"/>
          <w:szCs w:val="21"/>
        </w:rPr>
      </w:pPr>
      <w:r>
        <w:rPr>
          <w:rFonts w:hint="eastAsia"/>
          <w:b/>
          <w:bCs/>
          <w:sz w:val="21"/>
          <w:szCs w:val="21"/>
        </w:rPr>
        <w:t>(58)众惠基金销售有限公司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贵州省贵阳市观山湖区长岭北路贵阳国际金融中心二期商务区第C4栋30层1号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贵州省贵阳市观山湖区长岭北路贵阳国际金融中心二期商务区第C4栋30层1号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卢安军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兰显勋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0851-82209888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0851-86909950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400-839-1818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www.zhfundsales.com </w:t>
            </w:r>
          </w:p>
        </w:tc>
      </w:tr>
    </w:tbl>
    <w:p>
      <w:pPr>
        <w:pStyle w:val="7"/>
        <w:spacing w:before="0" w:beforeAutospacing="0" w:after="0" w:afterAutospacing="0" w:line="360" w:lineRule="auto"/>
        <w:ind w:firstLine="420"/>
        <w:rPr>
          <w:sz w:val="21"/>
          <w:szCs w:val="21"/>
        </w:rPr>
      </w:pPr>
      <w:r>
        <w:rPr>
          <w:rFonts w:hint="eastAsia"/>
          <w:b/>
          <w:bCs/>
          <w:sz w:val="21"/>
          <w:szCs w:val="21"/>
        </w:rPr>
        <w:t>(59)腾安基金销售（深圳）有限公司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深圳市南山区海天二路33号腾讯滨海大厦15层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刘明军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谭广锋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0755-86013399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95017(拨通后转1再转8)；4000890555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https://www.txfund.com/ </w:t>
            </w:r>
          </w:p>
        </w:tc>
      </w:tr>
    </w:tbl>
    <w:p>
      <w:pPr>
        <w:pStyle w:val="7"/>
        <w:spacing w:before="0" w:beforeAutospacing="0" w:after="0" w:afterAutospacing="0" w:line="360" w:lineRule="auto"/>
        <w:ind w:firstLine="420"/>
        <w:rPr>
          <w:sz w:val="21"/>
          <w:szCs w:val="21"/>
        </w:rPr>
      </w:pPr>
      <w:r>
        <w:rPr>
          <w:rFonts w:hint="eastAsia"/>
          <w:b/>
          <w:bCs/>
          <w:sz w:val="21"/>
          <w:szCs w:val="21"/>
        </w:rPr>
        <w:t>(60)北京度小满基金销售有限公司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北京市海淀区西北旺东路10号院西区4号楼1层103室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北京市海淀区西北旺东路10号院西区4号楼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葛新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010-59403028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010-59403027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95055-4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www.duxiaomanfund.com </w:t>
            </w:r>
          </w:p>
        </w:tc>
      </w:tr>
    </w:tbl>
    <w:p>
      <w:pPr>
        <w:pStyle w:val="7"/>
        <w:spacing w:before="0" w:beforeAutospacing="0" w:after="0" w:afterAutospacing="0" w:line="360" w:lineRule="auto"/>
        <w:ind w:firstLine="420"/>
        <w:rPr>
          <w:sz w:val="21"/>
          <w:szCs w:val="21"/>
        </w:rPr>
      </w:pPr>
      <w:r>
        <w:rPr>
          <w:rFonts w:hint="eastAsia"/>
          <w:b/>
          <w:bCs/>
          <w:sz w:val="21"/>
          <w:szCs w:val="21"/>
        </w:rPr>
        <w:t>(61)博时财富基金销售有限公司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(62)诺亚正行基金销售有限公司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上海市虹口区飞虹路360弄9号6层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上海市闵行区申滨南路1226号诺亚财富中心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吴卫国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黄欣文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021-38602377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021-38509777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http://www.noah-fund.com </w:t>
            </w:r>
          </w:p>
        </w:tc>
      </w:tr>
    </w:tbl>
    <w:p>
      <w:pPr>
        <w:pStyle w:val="7"/>
        <w:spacing w:before="0" w:beforeAutospacing="0" w:after="0" w:afterAutospacing="0" w:line="360" w:lineRule="auto"/>
        <w:ind w:firstLine="420"/>
        <w:rPr>
          <w:sz w:val="21"/>
          <w:szCs w:val="21"/>
        </w:rPr>
      </w:pPr>
      <w:r>
        <w:rPr>
          <w:rFonts w:hint="eastAsia"/>
          <w:b/>
          <w:bCs/>
          <w:sz w:val="21"/>
          <w:szCs w:val="21"/>
        </w:rPr>
        <w:t>(63)深圳众禄基金销售股份有限公司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薛峰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童彩平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0755-33227950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0755-33227951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400-678-8887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https://www.zlfund.cn/ </w:t>
            </w:r>
          </w:p>
        </w:tc>
      </w:tr>
    </w:tbl>
    <w:p>
      <w:pPr>
        <w:pStyle w:val="7"/>
        <w:spacing w:before="0" w:beforeAutospacing="0" w:after="0" w:afterAutospacing="0" w:line="360" w:lineRule="auto"/>
        <w:ind w:firstLine="420"/>
        <w:rPr>
          <w:sz w:val="21"/>
          <w:szCs w:val="21"/>
        </w:rPr>
      </w:pPr>
      <w:r>
        <w:rPr>
          <w:rFonts w:hint="eastAsia"/>
          <w:b/>
          <w:bCs/>
          <w:sz w:val="21"/>
          <w:szCs w:val="21"/>
        </w:rPr>
        <w:t>(64)上海天天基金销售有限公司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(65)上海好买基金销售有限公司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上海市虹口区场中路685弄37号4号楼449室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上海市浦东新区浦东南路1118号鄂尔多斯国际大厦903～906室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杨文斌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021-20613610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400-700-9665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http://www.howbuy.com </w:t>
            </w:r>
          </w:p>
        </w:tc>
      </w:tr>
    </w:tbl>
    <w:p>
      <w:pPr>
        <w:pStyle w:val="7"/>
        <w:spacing w:before="0" w:beforeAutospacing="0" w:after="0" w:afterAutospacing="0" w:line="360" w:lineRule="auto"/>
        <w:ind w:firstLine="420"/>
        <w:rPr>
          <w:sz w:val="21"/>
          <w:szCs w:val="21"/>
        </w:rPr>
      </w:pPr>
      <w:r>
        <w:rPr>
          <w:rFonts w:hint="eastAsia"/>
          <w:b/>
          <w:bCs/>
          <w:sz w:val="21"/>
          <w:szCs w:val="21"/>
        </w:rPr>
        <w:t>(66)蚂蚁（杭州）基金销售有限公司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(67)上海长量基金销售有限公司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上海市浦东新区高翔路526号2幢220室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上海市浦东新区东方路1267号11层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张跃伟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敖玲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021-58788678-8201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021—58787698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400-820-2899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http://www.erichfund.com </w:t>
            </w:r>
          </w:p>
        </w:tc>
      </w:tr>
    </w:tbl>
    <w:p>
      <w:pPr>
        <w:pStyle w:val="7"/>
        <w:spacing w:before="0" w:beforeAutospacing="0" w:after="0" w:afterAutospacing="0" w:line="360" w:lineRule="auto"/>
        <w:ind w:firstLine="420"/>
        <w:rPr>
          <w:sz w:val="21"/>
          <w:szCs w:val="21"/>
        </w:rPr>
      </w:pPr>
      <w:r>
        <w:rPr>
          <w:rFonts w:hint="eastAsia"/>
          <w:b/>
          <w:bCs/>
          <w:sz w:val="21"/>
          <w:szCs w:val="21"/>
        </w:rPr>
        <w:t>(68)浙江同花顺基金销售有限公司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(69)北京展恒基金销售股份有限公司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北京市朝阳区安苑路11号西楼6层604、607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北京市朝阳区安苑路11号西楼6层604、607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闫振杰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宋晋荣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010-59601399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http://www.myfund.com </w:t>
            </w:r>
          </w:p>
        </w:tc>
      </w:tr>
    </w:tbl>
    <w:p>
      <w:pPr>
        <w:pStyle w:val="7"/>
        <w:spacing w:before="0" w:beforeAutospacing="0" w:after="0" w:afterAutospacing="0" w:line="360" w:lineRule="auto"/>
        <w:ind w:firstLine="420"/>
        <w:rPr>
          <w:sz w:val="21"/>
          <w:szCs w:val="21"/>
        </w:rPr>
      </w:pPr>
      <w:r>
        <w:rPr>
          <w:rFonts w:hint="eastAsia"/>
          <w:b/>
          <w:bCs/>
          <w:sz w:val="21"/>
          <w:szCs w:val="21"/>
        </w:rPr>
        <w:t>(70)上海利得基金销售有限公司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(71)北京创金启富基金销售有限公司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北京市西城区白纸坊东街2号院6号楼712室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北京市西城区白纸坊东街2号院6号楼712室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梁蓉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魏素清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010-66154828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010-63583991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010-66154828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www.5irich.com </w:t>
            </w:r>
          </w:p>
        </w:tc>
      </w:tr>
    </w:tbl>
    <w:p>
      <w:pPr>
        <w:pStyle w:val="7"/>
        <w:spacing w:before="0" w:beforeAutospacing="0" w:after="0" w:afterAutospacing="0" w:line="360" w:lineRule="auto"/>
        <w:ind w:firstLine="420"/>
        <w:rPr>
          <w:sz w:val="21"/>
          <w:szCs w:val="21"/>
        </w:rPr>
      </w:pPr>
      <w:r>
        <w:rPr>
          <w:rFonts w:hint="eastAsia"/>
          <w:b/>
          <w:bCs/>
          <w:sz w:val="21"/>
          <w:szCs w:val="21"/>
        </w:rPr>
        <w:t>(72)泛华普益基金销售有限公司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于海锋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邓鹏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028-66980977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028-82000996-805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028-84252474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www.puyiwm.com </w:t>
            </w:r>
          </w:p>
        </w:tc>
      </w:tr>
    </w:tbl>
    <w:p>
      <w:pPr>
        <w:pStyle w:val="7"/>
        <w:spacing w:before="0" w:beforeAutospacing="0" w:after="0" w:afterAutospacing="0" w:line="360" w:lineRule="auto"/>
        <w:ind w:firstLine="420"/>
        <w:rPr>
          <w:sz w:val="21"/>
          <w:szCs w:val="21"/>
        </w:rPr>
      </w:pPr>
      <w:r>
        <w:rPr>
          <w:rFonts w:hint="eastAsia"/>
          <w:b/>
          <w:bCs/>
          <w:sz w:val="21"/>
          <w:szCs w:val="21"/>
        </w:rPr>
        <w:t>(73)宜信普泽（北京）基金销售有限公司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北京市朝阳区建国路88号9号楼15层1809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北京市朝阳区建国路88号SOHO现代城C座18层1809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戎兵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程刚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010-52855713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010-85894285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400-609-9200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http://www.yixinfund.com </w:t>
            </w:r>
          </w:p>
        </w:tc>
      </w:tr>
    </w:tbl>
    <w:p>
      <w:pPr>
        <w:pStyle w:val="7"/>
        <w:spacing w:before="0" w:beforeAutospacing="0" w:after="0" w:afterAutospacing="0" w:line="360" w:lineRule="auto"/>
        <w:ind w:firstLine="420"/>
        <w:rPr>
          <w:sz w:val="21"/>
          <w:szCs w:val="21"/>
        </w:rPr>
      </w:pPr>
      <w:r>
        <w:rPr>
          <w:rFonts w:hint="eastAsia"/>
          <w:b/>
          <w:bCs/>
          <w:sz w:val="21"/>
          <w:szCs w:val="21"/>
        </w:rPr>
        <w:t>(74)浦领基金销售有限公司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北京市朝阳区建国路乙118号16层1611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北京市朝阳区建国路乙118号16层1611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010-59497361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400-012-5899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www.prolinkfund.com </w:t>
            </w:r>
          </w:p>
        </w:tc>
      </w:tr>
    </w:tbl>
    <w:p>
      <w:pPr>
        <w:pStyle w:val="7"/>
        <w:spacing w:before="0" w:beforeAutospacing="0" w:after="0" w:afterAutospacing="0" w:line="360" w:lineRule="auto"/>
        <w:ind w:firstLine="420"/>
        <w:rPr>
          <w:sz w:val="21"/>
          <w:szCs w:val="21"/>
        </w:rPr>
      </w:pPr>
      <w:r>
        <w:rPr>
          <w:rFonts w:hint="eastAsia"/>
          <w:b/>
          <w:bCs/>
          <w:sz w:val="21"/>
          <w:szCs w:val="21"/>
        </w:rPr>
        <w:t>(75)北京增财基金销售有限公司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北京市西城区南礼士路66号1号楼12层1208号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北京市西城区南礼士路66号建威大厦1208室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王昌庆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罗细安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010-67000988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010-67000988-6000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400-001-8811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http://www.zcvc.com.cn </w:t>
            </w:r>
          </w:p>
        </w:tc>
      </w:tr>
    </w:tbl>
    <w:p>
      <w:pPr>
        <w:pStyle w:val="7"/>
        <w:spacing w:before="0" w:beforeAutospacing="0" w:after="0" w:afterAutospacing="0" w:line="360" w:lineRule="auto"/>
        <w:ind w:firstLine="420"/>
        <w:rPr>
          <w:sz w:val="21"/>
          <w:szCs w:val="21"/>
        </w:rPr>
      </w:pPr>
      <w:r>
        <w:rPr>
          <w:rFonts w:hint="eastAsia"/>
          <w:b/>
          <w:bCs/>
          <w:sz w:val="21"/>
          <w:szCs w:val="21"/>
        </w:rPr>
        <w:t>(76)深圳腾元基金销售有限公司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曾革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鄢萌莎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0755-33376922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0755-33065516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400-990-8600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www.tenyuanfund.com </w:t>
            </w:r>
          </w:p>
        </w:tc>
      </w:tr>
    </w:tbl>
    <w:p>
      <w:pPr>
        <w:pStyle w:val="7"/>
        <w:spacing w:before="0" w:beforeAutospacing="0" w:after="0" w:afterAutospacing="0" w:line="360" w:lineRule="auto"/>
        <w:ind w:firstLine="420"/>
        <w:rPr>
          <w:sz w:val="21"/>
          <w:szCs w:val="21"/>
        </w:rPr>
      </w:pPr>
      <w:r>
        <w:rPr>
          <w:rFonts w:hint="eastAsia"/>
          <w:b/>
          <w:bCs/>
          <w:sz w:val="21"/>
          <w:szCs w:val="21"/>
        </w:rPr>
        <w:t>(77)华源证券股份有限公司（鑫理财）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青海省西宁市南川工业园区创业路108号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湖北省武汉市江汉区万松街道青年路278号中海中心32F-34F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丛瑞丰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15069421014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www.huayuanstock.com </w:t>
            </w:r>
          </w:p>
        </w:tc>
      </w:tr>
    </w:tbl>
    <w:p>
      <w:pPr>
        <w:pStyle w:val="7"/>
        <w:spacing w:before="0" w:beforeAutospacing="0" w:after="0" w:afterAutospacing="0" w:line="360" w:lineRule="auto"/>
        <w:ind w:firstLine="420"/>
        <w:rPr>
          <w:sz w:val="21"/>
          <w:szCs w:val="21"/>
        </w:rPr>
      </w:pPr>
      <w:r>
        <w:rPr>
          <w:rFonts w:hint="eastAsia"/>
          <w:b/>
          <w:bCs/>
          <w:sz w:val="21"/>
          <w:szCs w:val="21"/>
        </w:rPr>
        <w:t>(78)北京汇成基金销售有限公司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王伟刚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丁向坤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010-56282140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010-62680827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010-63158805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www.hcfunds.com </w:t>
            </w:r>
          </w:p>
        </w:tc>
      </w:tr>
    </w:tbl>
    <w:p>
      <w:pPr>
        <w:pStyle w:val="7"/>
        <w:spacing w:before="0" w:beforeAutospacing="0" w:after="0" w:afterAutospacing="0" w:line="360" w:lineRule="auto"/>
        <w:ind w:firstLine="420"/>
        <w:rPr>
          <w:sz w:val="21"/>
          <w:szCs w:val="21"/>
        </w:rPr>
      </w:pPr>
      <w:r>
        <w:rPr>
          <w:rFonts w:hint="eastAsia"/>
          <w:b/>
          <w:bCs/>
          <w:sz w:val="21"/>
          <w:szCs w:val="21"/>
        </w:rPr>
        <w:t>(79)一路财富（深圳）基金销售有限公司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深圳市前海深港合作区南山街道兴海大道3046号香江金融大厦2111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深圳市前海深港合作区南山街道兴海大道3046号香江金融大厦2111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吴雪秀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010-88312877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010-88312099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400-001-1566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http://www.yilucaifu.com </w:t>
            </w:r>
          </w:p>
        </w:tc>
      </w:tr>
    </w:tbl>
    <w:p>
      <w:pPr>
        <w:pStyle w:val="7"/>
        <w:spacing w:before="0" w:beforeAutospacing="0" w:after="0" w:afterAutospacing="0" w:line="360" w:lineRule="auto"/>
        <w:ind w:firstLine="420"/>
        <w:rPr>
          <w:sz w:val="21"/>
          <w:szCs w:val="21"/>
        </w:rPr>
      </w:pPr>
      <w:r>
        <w:rPr>
          <w:rFonts w:hint="eastAsia"/>
          <w:b/>
          <w:bCs/>
          <w:sz w:val="21"/>
          <w:szCs w:val="21"/>
        </w:rPr>
        <w:t>(80)北京钱景基金销售有限公司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北京市海淀区丹棱街6号1幢9层1008-1012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赵荣春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010-57418829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010-57569671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400-893-6885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www.qianjing.com </w:t>
            </w:r>
          </w:p>
        </w:tc>
      </w:tr>
    </w:tbl>
    <w:p>
      <w:pPr>
        <w:pStyle w:val="7"/>
        <w:spacing w:before="0" w:beforeAutospacing="0" w:after="0" w:afterAutospacing="0" w:line="360" w:lineRule="auto"/>
        <w:ind w:firstLine="420"/>
        <w:rPr>
          <w:sz w:val="21"/>
          <w:szCs w:val="21"/>
        </w:rPr>
      </w:pPr>
      <w:r>
        <w:rPr>
          <w:rFonts w:hint="eastAsia"/>
          <w:b/>
          <w:bCs/>
          <w:sz w:val="21"/>
          <w:szCs w:val="21"/>
        </w:rPr>
        <w:t>(81)北京新浪仓石基金销售有限公司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www.xincai.com </w:t>
            </w:r>
          </w:p>
        </w:tc>
      </w:tr>
    </w:tbl>
    <w:p>
      <w:pPr>
        <w:pStyle w:val="7"/>
        <w:spacing w:before="0" w:beforeAutospacing="0" w:after="0" w:afterAutospacing="0" w:line="360" w:lineRule="auto"/>
        <w:ind w:firstLine="420"/>
        <w:rPr>
          <w:sz w:val="21"/>
          <w:szCs w:val="21"/>
        </w:rPr>
      </w:pPr>
      <w:r>
        <w:rPr>
          <w:rFonts w:hint="eastAsia"/>
          <w:b/>
          <w:bCs/>
          <w:sz w:val="21"/>
          <w:szCs w:val="21"/>
        </w:rPr>
        <w:t>(82)北京加和基金销售有限公司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北京市西城区车公庄大街4号5号楼1层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北京市西城区车公庄大街4号北礼士路甲129号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徐福星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陈莹莹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010-68998820-8306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010-88381550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400-600-0030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www.bzfunds.com </w:t>
            </w:r>
          </w:p>
        </w:tc>
      </w:tr>
    </w:tbl>
    <w:p>
      <w:pPr>
        <w:pStyle w:val="7"/>
        <w:spacing w:before="0" w:beforeAutospacing="0" w:after="0" w:afterAutospacing="0" w:line="360" w:lineRule="auto"/>
        <w:ind w:firstLine="420"/>
        <w:rPr>
          <w:sz w:val="21"/>
          <w:szCs w:val="21"/>
        </w:rPr>
      </w:pPr>
      <w:r>
        <w:rPr>
          <w:rFonts w:hint="eastAsia"/>
          <w:b/>
          <w:bCs/>
          <w:sz w:val="21"/>
          <w:szCs w:val="21"/>
        </w:rPr>
        <w:t>(83)上海万得基金销售有限公司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www.520fund.com.cn </w:t>
            </w:r>
          </w:p>
        </w:tc>
      </w:tr>
    </w:tbl>
    <w:p>
      <w:pPr>
        <w:pStyle w:val="7"/>
        <w:spacing w:before="0" w:beforeAutospacing="0" w:after="0" w:afterAutospacing="0" w:line="360" w:lineRule="auto"/>
        <w:ind w:firstLine="420"/>
        <w:rPr>
          <w:sz w:val="21"/>
          <w:szCs w:val="21"/>
        </w:rPr>
      </w:pPr>
      <w:r>
        <w:rPr>
          <w:rFonts w:hint="eastAsia"/>
          <w:b/>
          <w:bCs/>
          <w:sz w:val="21"/>
          <w:szCs w:val="21"/>
        </w:rPr>
        <w:t>(84)上海汇付基金销售有限公司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上海市黄浦区中山南路100号19层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上海市黄浦区中山南路100号金外滩国际广场19层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冯修敏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黄敏儿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021-33323999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021-33323830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400-820-2819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www.hotjijin.com </w:t>
            </w:r>
          </w:p>
        </w:tc>
      </w:tr>
    </w:tbl>
    <w:p>
      <w:pPr>
        <w:pStyle w:val="7"/>
        <w:spacing w:before="0" w:beforeAutospacing="0" w:after="0" w:afterAutospacing="0" w:line="360" w:lineRule="auto"/>
        <w:ind w:firstLine="420"/>
        <w:rPr>
          <w:sz w:val="21"/>
          <w:szCs w:val="21"/>
        </w:rPr>
      </w:pPr>
      <w:r>
        <w:rPr>
          <w:rFonts w:hint="eastAsia"/>
          <w:b/>
          <w:bCs/>
          <w:sz w:val="21"/>
          <w:szCs w:val="21"/>
        </w:rPr>
        <w:t>(85)上海基煜基金销售有限公司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(86)上海中正达广基金销售有限公司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上海市龙兰路277号1号楼1203、1204室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上海市龙兰路277号1号楼1203、1204室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何源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021-33768132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021-33768132-802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4006767523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www.zhongzhengfund.com </w:t>
            </w:r>
          </w:p>
        </w:tc>
      </w:tr>
    </w:tbl>
    <w:p>
      <w:pPr>
        <w:pStyle w:val="7"/>
        <w:spacing w:before="0" w:beforeAutospacing="0" w:after="0" w:afterAutospacing="0" w:line="360" w:lineRule="auto"/>
        <w:ind w:firstLine="420"/>
        <w:rPr>
          <w:sz w:val="21"/>
          <w:szCs w:val="21"/>
        </w:rPr>
      </w:pPr>
      <w:r>
        <w:rPr>
          <w:rFonts w:hint="eastAsia"/>
          <w:b/>
          <w:bCs/>
          <w:sz w:val="21"/>
          <w:szCs w:val="21"/>
        </w:rPr>
        <w:t>(87)深圳新华信通基金销售有限公司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深圳市福田区深南大道2003号华嵘大厦710室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郭佶欣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15135080478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400-000-5767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www.xintongfund.com </w:t>
            </w:r>
          </w:p>
        </w:tc>
      </w:tr>
    </w:tbl>
    <w:p>
      <w:pPr>
        <w:pStyle w:val="7"/>
        <w:spacing w:before="0" w:beforeAutospacing="0" w:after="0" w:afterAutospacing="0" w:line="360" w:lineRule="auto"/>
        <w:ind w:firstLine="420"/>
        <w:rPr>
          <w:sz w:val="21"/>
          <w:szCs w:val="21"/>
        </w:rPr>
      </w:pPr>
      <w:r>
        <w:rPr>
          <w:rFonts w:hint="eastAsia"/>
          <w:b/>
          <w:bCs/>
          <w:sz w:val="21"/>
          <w:szCs w:val="21"/>
        </w:rPr>
        <w:t>(88)深圳富济基金销售有限公司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祝中村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曾瑶敏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0755-83999926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www.fujifund.cn </w:t>
            </w:r>
          </w:p>
        </w:tc>
      </w:tr>
    </w:tbl>
    <w:p>
      <w:pPr>
        <w:pStyle w:val="7"/>
        <w:spacing w:before="0" w:beforeAutospacing="0" w:after="0" w:afterAutospacing="0" w:line="360" w:lineRule="auto"/>
        <w:ind w:firstLine="420"/>
        <w:rPr>
          <w:sz w:val="21"/>
          <w:szCs w:val="21"/>
        </w:rPr>
      </w:pPr>
      <w:r>
        <w:rPr>
          <w:rFonts w:hint="eastAsia"/>
          <w:b/>
          <w:bCs/>
          <w:sz w:val="21"/>
          <w:szCs w:val="21"/>
        </w:rPr>
        <w:t>(89)上海陆金所基金销售有限公司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www.lufunds.com </w:t>
            </w:r>
          </w:p>
        </w:tc>
      </w:tr>
    </w:tbl>
    <w:p>
      <w:pPr>
        <w:pStyle w:val="7"/>
        <w:spacing w:before="0" w:beforeAutospacing="0" w:after="0" w:afterAutospacing="0" w:line="360" w:lineRule="auto"/>
        <w:ind w:firstLine="420"/>
        <w:rPr>
          <w:sz w:val="21"/>
          <w:szCs w:val="21"/>
        </w:rPr>
      </w:pPr>
      <w:r>
        <w:rPr>
          <w:rFonts w:hint="eastAsia"/>
          <w:b/>
          <w:bCs/>
          <w:sz w:val="21"/>
          <w:szCs w:val="21"/>
        </w:rPr>
        <w:t>(90)珠海盈米基金销售有限公司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(91)和耕传承基金销售有限公司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温丽燕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董亚芳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0371-85518396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0371-85518397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400-0555-671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www.hgccpb.com </w:t>
            </w:r>
          </w:p>
        </w:tc>
      </w:tr>
    </w:tbl>
    <w:p>
      <w:pPr>
        <w:pStyle w:val="7"/>
        <w:spacing w:before="0" w:beforeAutospacing="0" w:after="0" w:afterAutospacing="0" w:line="360" w:lineRule="auto"/>
        <w:ind w:firstLine="420"/>
        <w:rPr>
          <w:sz w:val="21"/>
          <w:szCs w:val="21"/>
        </w:rPr>
      </w:pPr>
      <w:r>
        <w:rPr>
          <w:rFonts w:hint="eastAsia"/>
          <w:b/>
          <w:bCs/>
          <w:sz w:val="21"/>
          <w:szCs w:val="21"/>
        </w:rPr>
        <w:t>(92)京东肯特瑞基金销售有限公司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http://jr.jd.com/ </w:t>
            </w:r>
          </w:p>
        </w:tc>
      </w:tr>
    </w:tbl>
    <w:p>
      <w:pPr>
        <w:pStyle w:val="7"/>
        <w:spacing w:before="0" w:beforeAutospacing="0" w:after="0" w:afterAutospacing="0" w:line="360" w:lineRule="auto"/>
        <w:ind w:firstLine="420"/>
        <w:rPr>
          <w:sz w:val="21"/>
          <w:szCs w:val="21"/>
        </w:rPr>
      </w:pPr>
      <w:r>
        <w:rPr>
          <w:rFonts w:hint="eastAsia"/>
          <w:b/>
          <w:bCs/>
          <w:sz w:val="21"/>
          <w:szCs w:val="21"/>
        </w:rPr>
        <w:t>(93)北京雪球基金销售有限公司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danjuanapp.com </w:t>
            </w:r>
          </w:p>
        </w:tc>
      </w:tr>
    </w:tbl>
    <w:p>
      <w:pPr>
        <w:pStyle w:val="7"/>
        <w:spacing w:before="0" w:beforeAutospacing="0" w:after="0" w:afterAutospacing="0" w:line="360" w:lineRule="auto"/>
        <w:ind w:firstLine="420"/>
        <w:rPr>
          <w:sz w:val="21"/>
          <w:szCs w:val="21"/>
        </w:rPr>
      </w:pPr>
      <w:r>
        <w:rPr>
          <w:rFonts w:hint="eastAsia"/>
          <w:b/>
          <w:bCs/>
          <w:sz w:val="21"/>
          <w:szCs w:val="21"/>
        </w:rPr>
        <w:t>(94)深圳市前海排排网基金销售有限责任公司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深圳市福田区沙嘴路尚美红树湾1号A座写字楼16楼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林丽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0755-82779746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400-666-7388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www.ppwfund.com </w:t>
            </w:r>
          </w:p>
        </w:tc>
      </w:tr>
    </w:tbl>
    <w:p>
      <w:pPr>
        <w:pStyle w:val="7"/>
        <w:spacing w:before="0" w:beforeAutospacing="0" w:after="0" w:afterAutospacing="0" w:line="360" w:lineRule="auto"/>
        <w:ind w:firstLine="420"/>
        <w:rPr>
          <w:sz w:val="21"/>
          <w:szCs w:val="21"/>
        </w:rPr>
      </w:pPr>
      <w:r>
        <w:rPr>
          <w:rFonts w:hint="eastAsia"/>
          <w:b/>
          <w:bCs/>
          <w:sz w:val="21"/>
          <w:szCs w:val="21"/>
        </w:rPr>
        <w:t>(95)深圳前海财厚基金销售有限公司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深圳市南山区深圳湾科技生态园三区11栋A座3608室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杨艳平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叶见云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0755-86575665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0755-26640652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4001286800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www.caiho.cn </w:t>
            </w:r>
          </w:p>
        </w:tc>
      </w:tr>
    </w:tbl>
    <w:p>
      <w:pPr>
        <w:pStyle w:val="7"/>
        <w:spacing w:before="0" w:beforeAutospacing="0" w:after="0" w:afterAutospacing="0" w:line="360" w:lineRule="auto"/>
        <w:ind w:firstLine="420"/>
        <w:rPr>
          <w:sz w:val="21"/>
          <w:szCs w:val="21"/>
        </w:rPr>
      </w:pPr>
      <w:r>
        <w:rPr>
          <w:rFonts w:hint="eastAsia"/>
          <w:b/>
          <w:bCs/>
          <w:sz w:val="21"/>
          <w:szCs w:val="21"/>
        </w:rPr>
        <w:t>(96)上海中欧财富基金销售有限公司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中国（上海）自由贸易试验区陆家嘴环路333号502室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上海市虹口区公平路18号8栋嘉昱大厦6层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刘弘义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15608193006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+86 21 35073616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021-68609700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https://www.zocaifu.com/ </w:t>
            </w:r>
          </w:p>
        </w:tc>
      </w:tr>
    </w:tbl>
    <w:p>
      <w:pPr>
        <w:pStyle w:val="7"/>
        <w:spacing w:before="0" w:beforeAutospacing="0" w:after="0" w:afterAutospacing="0" w:line="360" w:lineRule="auto"/>
        <w:ind w:firstLine="420"/>
        <w:rPr>
          <w:sz w:val="21"/>
          <w:szCs w:val="21"/>
        </w:rPr>
      </w:pPr>
      <w:r>
        <w:rPr>
          <w:rFonts w:hint="eastAsia"/>
          <w:b/>
          <w:bCs/>
          <w:sz w:val="21"/>
          <w:szCs w:val="21"/>
        </w:rPr>
        <w:t>(97)上海华夏财富投资管理有限公司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https://www.amcfortune.com/ </w:t>
            </w:r>
          </w:p>
        </w:tc>
      </w:tr>
    </w:tbl>
    <w:p>
      <w:pPr>
        <w:pStyle w:val="7"/>
        <w:spacing w:before="0" w:beforeAutospacing="0" w:after="0" w:afterAutospacing="0" w:line="360" w:lineRule="auto"/>
        <w:ind w:firstLine="420"/>
        <w:rPr>
          <w:sz w:val="21"/>
          <w:szCs w:val="21"/>
        </w:rPr>
      </w:pPr>
      <w:r>
        <w:rPr>
          <w:rFonts w:hint="eastAsia"/>
          <w:b/>
          <w:bCs/>
          <w:sz w:val="21"/>
          <w:szCs w:val="21"/>
        </w:rPr>
        <w:t>(98)洪泰财富（青岛）基金销售有限责任公司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山东省青岛市崂山区香港东路195号9号楼701室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山东省青岛市崂山区海尔路188号浦发银行大厦706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任淑桢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任淑桢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0532-66728591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0532-66728591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400-670-6863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www.hongtaiwealth.com </w:t>
            </w:r>
          </w:p>
        </w:tc>
      </w:tr>
    </w:tbl>
    <w:p>
      <w:pPr>
        <w:pStyle w:val="7"/>
        <w:spacing w:before="0" w:beforeAutospacing="0" w:after="0" w:afterAutospacing="0" w:line="360" w:lineRule="auto"/>
        <w:ind w:firstLine="420"/>
        <w:rPr>
          <w:sz w:val="21"/>
          <w:szCs w:val="21"/>
        </w:rPr>
      </w:pPr>
      <w:r>
        <w:rPr>
          <w:rFonts w:hint="eastAsia"/>
          <w:b/>
          <w:bCs/>
          <w:sz w:val="21"/>
          <w:szCs w:val="21"/>
        </w:rPr>
        <w:t>(99)中国国际期货股份有限公司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北京市朝阳区建国门外光华路14号1幢1层、2层、9层、11层、12层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北京市朝阳区麦子店西路3号新恒基国际大厦15层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010-59539864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95162、400-8888-160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http://www.cifco.net </w:t>
            </w:r>
          </w:p>
        </w:tc>
      </w:tr>
    </w:tbl>
    <w:p>
      <w:pPr>
        <w:pStyle w:val="7"/>
        <w:spacing w:before="0" w:beforeAutospacing="0" w:after="0" w:afterAutospacing="0" w:line="360" w:lineRule="auto"/>
        <w:ind w:firstLine="420"/>
        <w:rPr>
          <w:sz w:val="21"/>
          <w:szCs w:val="21"/>
        </w:rPr>
      </w:pPr>
      <w:r>
        <w:rPr>
          <w:rFonts w:hint="eastAsia"/>
          <w:b/>
          <w:bCs/>
          <w:sz w:val="21"/>
          <w:szCs w:val="21"/>
        </w:rPr>
        <w:t>(100)中信期货有限公司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梁美娜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021-80365243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021-60819988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400-990-8826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www.citicsf.com </w:t>
            </w:r>
          </w:p>
        </w:tc>
      </w:tr>
    </w:tbl>
    <w:p>
      <w:pPr>
        <w:pStyle w:val="7"/>
        <w:spacing w:before="0" w:beforeAutospacing="0" w:after="0" w:afterAutospacing="0" w:line="360" w:lineRule="auto"/>
        <w:ind w:firstLine="420"/>
        <w:rPr>
          <w:sz w:val="21"/>
          <w:szCs w:val="21"/>
        </w:rPr>
      </w:pPr>
      <w:r>
        <w:rPr>
          <w:rFonts w:hint="eastAsia"/>
          <w:b/>
          <w:bCs/>
          <w:sz w:val="21"/>
          <w:szCs w:val="21"/>
        </w:rPr>
        <w:t>(101)银河期货有限公司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北京市朝阳区建国门外大街8号楼31层2702单元31012室、33层2902单元33010室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上海市虹口区东大名路501号白玉兰广场28楼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杨青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符伟鸣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021-65789129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021-65789001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400-886-7799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www.yhqh.com.cn </w:t>
            </w:r>
          </w:p>
        </w:tc>
      </w:tr>
    </w:tbl>
    <w:p>
      <w:pPr>
        <w:pStyle w:val="7"/>
        <w:spacing w:before="0" w:beforeAutospacing="0" w:after="0" w:afterAutospacing="0" w:line="360" w:lineRule="auto"/>
        <w:ind w:firstLine="420"/>
        <w:rPr>
          <w:sz w:val="21"/>
          <w:szCs w:val="21"/>
        </w:rPr>
      </w:pPr>
      <w:r>
        <w:rPr>
          <w:rFonts w:hint="eastAsia"/>
          <w:b/>
          <w:bCs/>
          <w:sz w:val="21"/>
          <w:szCs w:val="21"/>
        </w:rPr>
        <w:t>(102)国泰海通证券股份有限公司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中国（上海）自由贸易试验区商城路618号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上海市静安区南京西路768号国泰君安大厦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钟伟镇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021-38670666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95521/4008888666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https://www.gtht.com </w:t>
            </w:r>
          </w:p>
        </w:tc>
      </w:tr>
    </w:tbl>
    <w:p>
      <w:pPr>
        <w:pStyle w:val="7"/>
        <w:spacing w:before="0" w:beforeAutospacing="0" w:after="0" w:afterAutospacing="0" w:line="360" w:lineRule="auto"/>
        <w:ind w:firstLine="420"/>
        <w:rPr>
          <w:sz w:val="21"/>
          <w:szCs w:val="21"/>
        </w:rPr>
      </w:pPr>
      <w:r>
        <w:rPr>
          <w:rFonts w:hint="eastAsia"/>
          <w:b/>
          <w:bCs/>
          <w:sz w:val="21"/>
          <w:szCs w:val="21"/>
        </w:rPr>
        <w:t>(103)中信建投证券股份有限公司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北京市朝阳区安立路66号4号楼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北京市朝阳区光华路10号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陈海静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010-65608231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010－65182261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4008888108/95587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http://www.csc108.com/ </w:t>
            </w:r>
          </w:p>
        </w:tc>
      </w:tr>
    </w:tbl>
    <w:p>
      <w:pPr>
        <w:pStyle w:val="7"/>
        <w:spacing w:before="0" w:beforeAutospacing="0" w:after="0" w:afterAutospacing="0" w:line="360" w:lineRule="auto"/>
        <w:ind w:firstLine="420"/>
        <w:rPr>
          <w:sz w:val="21"/>
          <w:szCs w:val="21"/>
        </w:rPr>
      </w:pPr>
      <w:r>
        <w:rPr>
          <w:rFonts w:hint="eastAsia"/>
          <w:b/>
          <w:bCs/>
          <w:sz w:val="21"/>
          <w:szCs w:val="21"/>
        </w:rPr>
        <w:t>(104)国信证券股份有限公司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深圳市罗湖区红岭中路1012号国信证券大厦十六层至二十六层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深圳市福田区福华一路125号国信金融大厦37楼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张纳沙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于智勇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0755-81981259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0755-82133952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http://www.guosen.com.cn/ </w:t>
            </w:r>
          </w:p>
        </w:tc>
      </w:tr>
    </w:tbl>
    <w:p>
      <w:pPr>
        <w:pStyle w:val="7"/>
        <w:spacing w:before="0" w:beforeAutospacing="0" w:after="0" w:afterAutospacing="0" w:line="360" w:lineRule="auto"/>
        <w:ind w:firstLine="420"/>
        <w:rPr>
          <w:sz w:val="21"/>
          <w:szCs w:val="21"/>
        </w:rPr>
      </w:pPr>
      <w:r>
        <w:rPr>
          <w:rFonts w:hint="eastAsia"/>
          <w:b/>
          <w:bCs/>
          <w:sz w:val="21"/>
          <w:szCs w:val="21"/>
        </w:rPr>
        <w:t>(105)招商证券股份有限公司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深圳市福田区福华一路111号招商证券大厦23楼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霍达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业清扬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0755-83081954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0755-83734343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http://www.cmschina.com/ </w:t>
            </w:r>
          </w:p>
        </w:tc>
      </w:tr>
    </w:tbl>
    <w:p>
      <w:pPr>
        <w:pStyle w:val="7"/>
        <w:spacing w:before="0" w:beforeAutospacing="0" w:after="0" w:afterAutospacing="0" w:line="360" w:lineRule="auto"/>
        <w:ind w:firstLine="420"/>
        <w:rPr>
          <w:sz w:val="21"/>
          <w:szCs w:val="21"/>
        </w:rPr>
      </w:pPr>
      <w:r>
        <w:rPr>
          <w:rFonts w:hint="eastAsia"/>
          <w:b/>
          <w:bCs/>
          <w:sz w:val="21"/>
          <w:szCs w:val="21"/>
        </w:rPr>
        <w:t>(106)广发证券股份有限公司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广州市黄埔区中新广州知识城腾飞一街2号618室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广州市天河区马场路26号广发证券大厦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林传辉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020－87555888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020－87555305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95575、020-95575或致电各地营业网点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http://www.gf.com.cn/ </w:t>
            </w:r>
          </w:p>
        </w:tc>
      </w:tr>
    </w:tbl>
    <w:p>
      <w:pPr>
        <w:pStyle w:val="7"/>
        <w:spacing w:before="0" w:beforeAutospacing="0" w:after="0" w:afterAutospacing="0" w:line="360" w:lineRule="auto"/>
        <w:ind w:firstLine="420"/>
        <w:rPr>
          <w:sz w:val="21"/>
          <w:szCs w:val="21"/>
        </w:rPr>
      </w:pPr>
      <w:r>
        <w:rPr>
          <w:rFonts w:hint="eastAsia"/>
          <w:b/>
          <w:bCs/>
          <w:sz w:val="21"/>
          <w:szCs w:val="21"/>
        </w:rPr>
        <w:t>(107)中信证券股份有限公司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广东省深圳市福田区中心三路8号卓越时代广场（二期）北座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北京朝阳区新源南路6号京城大厦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张佑君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杜杰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010-60833889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010－84865560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http://www.cs.ecitic.com/ </w:t>
            </w:r>
          </w:p>
        </w:tc>
      </w:tr>
    </w:tbl>
    <w:p>
      <w:pPr>
        <w:pStyle w:val="7"/>
        <w:spacing w:before="0" w:beforeAutospacing="0" w:after="0" w:afterAutospacing="0" w:line="360" w:lineRule="auto"/>
        <w:ind w:firstLine="420"/>
        <w:rPr>
          <w:sz w:val="21"/>
          <w:szCs w:val="21"/>
        </w:rPr>
      </w:pPr>
      <w:r>
        <w:rPr>
          <w:rFonts w:hint="eastAsia"/>
          <w:b/>
          <w:bCs/>
          <w:sz w:val="21"/>
          <w:szCs w:val="21"/>
        </w:rPr>
        <w:t>(108)中国银河证券股份有限公司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北京市丰台区西营街8号院1号楼7至18层101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北京市丰台区西营街8号院1号楼青海金融大厦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010-80928123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4008-888-888或95551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 www.chinastock.com.cn/ </w:t>
            </w:r>
          </w:p>
        </w:tc>
      </w:tr>
    </w:tbl>
    <w:p>
      <w:pPr>
        <w:pStyle w:val="7"/>
        <w:spacing w:before="0" w:beforeAutospacing="0" w:after="0" w:afterAutospacing="0" w:line="360" w:lineRule="auto"/>
        <w:ind w:firstLine="420"/>
        <w:rPr>
          <w:sz w:val="21"/>
          <w:szCs w:val="21"/>
        </w:rPr>
      </w:pPr>
      <w:r>
        <w:rPr>
          <w:rFonts w:hint="eastAsia"/>
          <w:b/>
          <w:bCs/>
          <w:sz w:val="21"/>
          <w:szCs w:val="21"/>
        </w:rPr>
        <w:t>(109)海通证券股份有限公司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上海市淮海中路98号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上海市广东路689号海通证券大厦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周杰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李笑鸣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021-23219275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021－63602722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http://www.htsec.com/ </w:t>
            </w:r>
          </w:p>
        </w:tc>
      </w:tr>
    </w:tbl>
    <w:p>
      <w:pPr>
        <w:pStyle w:val="7"/>
        <w:spacing w:before="0" w:beforeAutospacing="0" w:after="0" w:afterAutospacing="0" w:line="360" w:lineRule="auto"/>
        <w:ind w:firstLine="420"/>
        <w:rPr>
          <w:sz w:val="21"/>
          <w:szCs w:val="21"/>
        </w:rPr>
      </w:pPr>
      <w:r>
        <w:rPr>
          <w:rFonts w:hint="eastAsia"/>
          <w:b/>
          <w:bCs/>
          <w:sz w:val="21"/>
          <w:szCs w:val="21"/>
        </w:rPr>
        <w:t>(110)申万宏源证券有限公司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上海市徐汇区长乐路989号45层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上海市徐汇区长乐路989号世纪商贸广场45层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021-33388999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021-33388224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(111)兴业证券股份有限公司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福州市湖东路268号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上海市浦东民生路1199弄五道口广场1号楼21层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杨华辉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021-38565547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021－38565783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http://www.xyzq.com.cn/ </w:t>
            </w:r>
          </w:p>
        </w:tc>
      </w:tr>
    </w:tbl>
    <w:p>
      <w:pPr>
        <w:pStyle w:val="7"/>
        <w:spacing w:before="0" w:beforeAutospacing="0" w:after="0" w:afterAutospacing="0" w:line="360" w:lineRule="auto"/>
        <w:ind w:firstLine="420"/>
        <w:rPr>
          <w:sz w:val="21"/>
          <w:szCs w:val="21"/>
        </w:rPr>
      </w:pPr>
      <w:r>
        <w:rPr>
          <w:rFonts w:hint="eastAsia"/>
          <w:b/>
          <w:bCs/>
          <w:sz w:val="21"/>
          <w:szCs w:val="21"/>
        </w:rPr>
        <w:t>(112)长江证券股份有限公司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刘正斌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奚博宇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027-65799999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027-85481900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http://www.95579.com/ </w:t>
            </w:r>
          </w:p>
        </w:tc>
      </w:tr>
    </w:tbl>
    <w:p>
      <w:pPr>
        <w:pStyle w:val="7"/>
        <w:spacing w:before="0" w:beforeAutospacing="0" w:after="0" w:afterAutospacing="0" w:line="360" w:lineRule="auto"/>
        <w:ind w:firstLine="420"/>
        <w:rPr>
          <w:sz w:val="21"/>
          <w:szCs w:val="21"/>
        </w:rPr>
      </w:pPr>
      <w:r>
        <w:rPr>
          <w:rFonts w:hint="eastAsia"/>
          <w:b/>
          <w:bCs/>
          <w:sz w:val="21"/>
          <w:szCs w:val="21"/>
        </w:rPr>
        <w:t>(113)国投证券股份有限公司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王苏望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0755-82558266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http://www.sdicsc.com.cn </w:t>
            </w:r>
          </w:p>
        </w:tc>
      </w:tr>
    </w:tbl>
    <w:p>
      <w:pPr>
        <w:pStyle w:val="7"/>
        <w:spacing w:before="0" w:beforeAutospacing="0" w:after="0" w:afterAutospacing="0" w:line="360" w:lineRule="auto"/>
        <w:ind w:firstLine="420"/>
        <w:rPr>
          <w:sz w:val="21"/>
          <w:szCs w:val="21"/>
        </w:rPr>
      </w:pPr>
      <w:r>
        <w:rPr>
          <w:rFonts w:hint="eastAsia"/>
          <w:b/>
          <w:bCs/>
          <w:sz w:val="21"/>
          <w:szCs w:val="21"/>
        </w:rPr>
        <w:t>(114)西南证券股份有限公司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杨雨松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宋涧乔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023-67747414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023-63786212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4008096096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http://www.swsc.com.cn </w:t>
            </w:r>
          </w:p>
        </w:tc>
      </w:tr>
    </w:tbl>
    <w:p>
      <w:pPr>
        <w:pStyle w:val="7"/>
        <w:spacing w:before="0" w:beforeAutospacing="0" w:after="0" w:afterAutospacing="0" w:line="360" w:lineRule="auto"/>
        <w:ind w:firstLine="420"/>
        <w:rPr>
          <w:sz w:val="21"/>
          <w:szCs w:val="21"/>
        </w:rPr>
      </w:pPr>
      <w:r>
        <w:rPr>
          <w:rFonts w:hint="eastAsia"/>
          <w:b/>
          <w:bCs/>
          <w:sz w:val="21"/>
          <w:szCs w:val="21"/>
        </w:rPr>
        <w:t>(115)万联证券股份有限公司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广州市天河区珠江东路11号18、19楼全层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广东省广州市天河区珠江东路13号高德置地广场E座12层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020-83988334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http://www.wlzq.cn </w:t>
            </w:r>
          </w:p>
        </w:tc>
      </w:tr>
    </w:tbl>
    <w:p>
      <w:pPr>
        <w:pStyle w:val="7"/>
        <w:spacing w:before="0" w:beforeAutospacing="0" w:after="0" w:afterAutospacing="0" w:line="360" w:lineRule="auto"/>
        <w:ind w:firstLine="420"/>
        <w:rPr>
          <w:sz w:val="21"/>
          <w:szCs w:val="21"/>
        </w:rPr>
      </w:pPr>
      <w:r>
        <w:rPr>
          <w:rFonts w:hint="eastAsia"/>
          <w:b/>
          <w:bCs/>
          <w:sz w:val="21"/>
          <w:szCs w:val="21"/>
        </w:rPr>
        <w:t>(116)国元证券股份有限公司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安徽省合肥市寿春路179号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安徽省合肥市寿春路179号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凤良志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0551－2272101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0551－2272100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全国统一热线4008888777，安徽省内热线96888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http://www.gyzq.com.cn </w:t>
            </w:r>
          </w:p>
        </w:tc>
      </w:tr>
    </w:tbl>
    <w:p>
      <w:pPr>
        <w:pStyle w:val="7"/>
        <w:spacing w:before="0" w:beforeAutospacing="0" w:after="0" w:afterAutospacing="0" w:line="360" w:lineRule="auto"/>
        <w:ind w:firstLine="420"/>
        <w:rPr>
          <w:sz w:val="21"/>
          <w:szCs w:val="21"/>
        </w:rPr>
      </w:pPr>
      <w:r>
        <w:rPr>
          <w:rFonts w:hint="eastAsia"/>
          <w:b/>
          <w:bCs/>
          <w:sz w:val="21"/>
          <w:szCs w:val="21"/>
        </w:rPr>
        <w:t>(117)渤海证券股份有限公司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天津经济技术开发区第二大街42号写字楼101室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天津市南开区宾水西道8号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安志勇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022-23861692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022－28451892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https://www.bhzq.com </w:t>
            </w:r>
          </w:p>
        </w:tc>
      </w:tr>
    </w:tbl>
    <w:p>
      <w:pPr>
        <w:pStyle w:val="7"/>
        <w:spacing w:before="0" w:beforeAutospacing="0" w:after="0" w:afterAutospacing="0" w:line="360" w:lineRule="auto"/>
        <w:ind w:firstLine="420"/>
        <w:rPr>
          <w:sz w:val="21"/>
          <w:szCs w:val="21"/>
        </w:rPr>
      </w:pPr>
      <w:r>
        <w:rPr>
          <w:rFonts w:hint="eastAsia"/>
          <w:b/>
          <w:bCs/>
          <w:sz w:val="21"/>
          <w:szCs w:val="21"/>
        </w:rPr>
        <w:t>(118)华泰证券股份有限公司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南京市江东中路228号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南京市建邺区江东中路228号华泰证券广场、深圳市福田区益田路5999号基金大厦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0755-22660831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http://www.htsc.com.cn/ </w:t>
            </w:r>
          </w:p>
        </w:tc>
      </w:tr>
    </w:tbl>
    <w:p>
      <w:pPr>
        <w:pStyle w:val="7"/>
        <w:spacing w:before="0" w:beforeAutospacing="0" w:after="0" w:afterAutospacing="0" w:line="360" w:lineRule="auto"/>
        <w:ind w:firstLine="420"/>
        <w:rPr>
          <w:sz w:val="21"/>
          <w:szCs w:val="21"/>
        </w:rPr>
      </w:pPr>
      <w:r>
        <w:rPr>
          <w:rFonts w:hint="eastAsia"/>
          <w:b/>
          <w:bCs/>
          <w:sz w:val="21"/>
          <w:szCs w:val="21"/>
        </w:rPr>
        <w:t>(119)山西证券股份有限公司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太原市府西街69号山西国际贸易中心东塔楼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太原市府西街69号山西国际贸易中心东塔楼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王怡里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0351－8686659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0351－8686619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4006661618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http://www.i618.com.cn/ </w:t>
            </w:r>
          </w:p>
        </w:tc>
      </w:tr>
    </w:tbl>
    <w:p>
      <w:pPr>
        <w:pStyle w:val="7"/>
        <w:spacing w:before="0" w:beforeAutospacing="0" w:after="0" w:afterAutospacing="0" w:line="360" w:lineRule="auto"/>
        <w:ind w:firstLine="420"/>
        <w:rPr>
          <w:sz w:val="21"/>
          <w:szCs w:val="21"/>
        </w:rPr>
      </w:pPr>
      <w:r>
        <w:rPr>
          <w:rFonts w:hint="eastAsia"/>
          <w:b/>
          <w:bCs/>
          <w:sz w:val="21"/>
          <w:szCs w:val="21"/>
        </w:rPr>
        <w:t>(120)中信证券（山东）有限责任公司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青岛市崂山区深圳路222号1号楼2001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青岛市市南区东海西路28号龙翔广场东座5层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肖海峰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赵如意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0532-85725062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sd.citics.com </w:t>
            </w:r>
          </w:p>
        </w:tc>
      </w:tr>
    </w:tbl>
    <w:p>
      <w:pPr>
        <w:pStyle w:val="7"/>
        <w:spacing w:before="0" w:beforeAutospacing="0" w:after="0" w:afterAutospacing="0" w:line="360" w:lineRule="auto"/>
        <w:ind w:firstLine="420"/>
        <w:rPr>
          <w:sz w:val="21"/>
          <w:szCs w:val="21"/>
        </w:rPr>
      </w:pPr>
      <w:r>
        <w:rPr>
          <w:rFonts w:hint="eastAsia"/>
          <w:b/>
          <w:bCs/>
          <w:sz w:val="21"/>
          <w:szCs w:val="21"/>
        </w:rPr>
        <w:t>(121)东兴证券股份有限公司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北京市西城区金融大街5号（新盛大厦）12、15层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北京市西城区金融大街5号新盛大厦B座12-15层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魏庆华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郑旷怡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010-66559039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010-66555133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http://www.dxzq.net </w:t>
            </w:r>
          </w:p>
        </w:tc>
      </w:tr>
    </w:tbl>
    <w:p>
      <w:pPr>
        <w:pStyle w:val="7"/>
        <w:spacing w:before="0" w:beforeAutospacing="0" w:after="0" w:afterAutospacing="0" w:line="360" w:lineRule="auto"/>
        <w:ind w:firstLine="420"/>
        <w:rPr>
          <w:sz w:val="21"/>
          <w:szCs w:val="21"/>
        </w:rPr>
      </w:pPr>
      <w:r>
        <w:rPr>
          <w:rFonts w:hint="eastAsia"/>
          <w:b/>
          <w:bCs/>
          <w:sz w:val="21"/>
          <w:szCs w:val="21"/>
        </w:rPr>
        <w:t>(122)东吴证券股份有限公司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江苏省苏州市翠园路181号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江苏省苏州市星阳街5号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范力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陆晓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0512-62938521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0512－65588021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https://www.dwzq.com.cn </w:t>
            </w:r>
          </w:p>
        </w:tc>
      </w:tr>
    </w:tbl>
    <w:p>
      <w:pPr>
        <w:pStyle w:val="7"/>
        <w:spacing w:before="0" w:beforeAutospacing="0" w:after="0" w:afterAutospacing="0" w:line="360" w:lineRule="auto"/>
        <w:ind w:firstLine="420"/>
        <w:rPr>
          <w:sz w:val="21"/>
          <w:szCs w:val="21"/>
        </w:rPr>
      </w:pPr>
      <w:r>
        <w:rPr>
          <w:rFonts w:hint="eastAsia"/>
          <w:b/>
          <w:bCs/>
          <w:sz w:val="21"/>
          <w:szCs w:val="21"/>
        </w:rPr>
        <w:t>(123)信达证券股份有限公司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北京市西城区闹市口大街9号院1号楼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北京市西城区闹市口大街9号院1号楼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祝瑞敏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王薇安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010－83252170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010－63081344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http://www.cindasc.com </w:t>
            </w:r>
          </w:p>
        </w:tc>
      </w:tr>
    </w:tbl>
    <w:p>
      <w:pPr>
        <w:pStyle w:val="7"/>
        <w:spacing w:before="0" w:beforeAutospacing="0" w:after="0" w:afterAutospacing="0" w:line="360" w:lineRule="auto"/>
        <w:ind w:firstLine="420"/>
        <w:rPr>
          <w:sz w:val="21"/>
          <w:szCs w:val="21"/>
        </w:rPr>
      </w:pPr>
      <w:r>
        <w:rPr>
          <w:rFonts w:hint="eastAsia"/>
          <w:b/>
          <w:bCs/>
          <w:sz w:val="21"/>
          <w:szCs w:val="21"/>
        </w:rPr>
        <w:t>(124)东方证券股份有限公司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上海市中山南路318号2号楼22层－29层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上海市中山南路318号2号楼21层－29层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金文忠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朱琼玉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021-63325888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021－63326729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http://www.dfzq.com.cn </w:t>
            </w:r>
          </w:p>
        </w:tc>
      </w:tr>
    </w:tbl>
    <w:p>
      <w:pPr>
        <w:pStyle w:val="7"/>
        <w:spacing w:before="0" w:beforeAutospacing="0" w:after="0" w:afterAutospacing="0" w:line="360" w:lineRule="auto"/>
        <w:ind w:firstLine="420"/>
        <w:rPr>
          <w:sz w:val="21"/>
          <w:szCs w:val="21"/>
        </w:rPr>
      </w:pPr>
      <w:r>
        <w:rPr>
          <w:rFonts w:hint="eastAsia"/>
          <w:b/>
          <w:bCs/>
          <w:sz w:val="21"/>
          <w:szCs w:val="21"/>
        </w:rPr>
        <w:t>(125)方正证券股份有限公司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湖南长沙芙蓉中路2段华侨国际大厦22-24层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湖南长沙芙蓉中路2段华侨国际大厦22-24层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施华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010-56437060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0731-85832214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http://www.foundersc.com </w:t>
            </w:r>
          </w:p>
        </w:tc>
      </w:tr>
    </w:tbl>
    <w:p>
      <w:pPr>
        <w:pStyle w:val="7"/>
        <w:spacing w:before="0" w:beforeAutospacing="0" w:after="0" w:afterAutospacing="0" w:line="360" w:lineRule="auto"/>
        <w:ind w:firstLine="420"/>
        <w:rPr>
          <w:sz w:val="21"/>
          <w:szCs w:val="21"/>
        </w:rPr>
      </w:pPr>
      <w:r>
        <w:rPr>
          <w:rFonts w:hint="eastAsia"/>
          <w:b/>
          <w:bCs/>
          <w:sz w:val="21"/>
          <w:szCs w:val="21"/>
        </w:rPr>
        <w:t>(126)长城证券股份有限公司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深圳市深南大道6008号特区报业大厦16、17层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深圳市深南大道6008号特区报业大厦14、16、17层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丁益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沈晓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0755-83464734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0755－83515567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4006666888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http://www.cgws.com </w:t>
            </w:r>
          </w:p>
        </w:tc>
      </w:tr>
    </w:tbl>
    <w:p>
      <w:pPr>
        <w:pStyle w:val="7"/>
        <w:spacing w:before="0" w:beforeAutospacing="0" w:after="0" w:afterAutospacing="0" w:line="360" w:lineRule="auto"/>
        <w:ind w:firstLine="420"/>
        <w:rPr>
          <w:sz w:val="21"/>
          <w:szCs w:val="21"/>
        </w:rPr>
      </w:pPr>
      <w:r>
        <w:rPr>
          <w:rFonts w:hint="eastAsia"/>
          <w:b/>
          <w:bCs/>
          <w:sz w:val="21"/>
          <w:szCs w:val="21"/>
        </w:rPr>
        <w:t>(127)光大证券股份有限公司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刘秋明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李芳芳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021-22169089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021－22169134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4008888788；95525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http://www.ebscn.com/ </w:t>
            </w:r>
          </w:p>
        </w:tc>
      </w:tr>
    </w:tbl>
    <w:p>
      <w:pPr>
        <w:pStyle w:val="7"/>
        <w:spacing w:before="0" w:beforeAutospacing="0" w:after="0" w:afterAutospacing="0" w:line="360" w:lineRule="auto"/>
        <w:ind w:firstLine="420"/>
        <w:rPr>
          <w:sz w:val="21"/>
          <w:szCs w:val="21"/>
        </w:rPr>
      </w:pPr>
      <w:r>
        <w:rPr>
          <w:rFonts w:hint="eastAsia"/>
          <w:b/>
          <w:bCs/>
          <w:sz w:val="21"/>
          <w:szCs w:val="21"/>
        </w:rPr>
        <w:t>(128)中信证券华南股份有限公司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陈可可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郭杏燕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020-88836999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020-88836984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http://www.gzs.com.cn </w:t>
            </w:r>
          </w:p>
        </w:tc>
      </w:tr>
    </w:tbl>
    <w:p>
      <w:pPr>
        <w:pStyle w:val="7"/>
        <w:spacing w:before="0" w:beforeAutospacing="0" w:after="0" w:afterAutospacing="0" w:line="360" w:lineRule="auto"/>
        <w:ind w:firstLine="420"/>
        <w:rPr>
          <w:sz w:val="21"/>
          <w:szCs w:val="21"/>
        </w:rPr>
      </w:pPr>
      <w:r>
        <w:rPr>
          <w:rFonts w:hint="eastAsia"/>
          <w:b/>
          <w:bCs/>
          <w:sz w:val="21"/>
          <w:szCs w:val="21"/>
        </w:rPr>
        <w:t>(129)东北证券股份有限公司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李福春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安岩岩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0431-85096517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0431-85096795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http://www.nesc.cn </w:t>
            </w:r>
          </w:p>
        </w:tc>
      </w:tr>
    </w:tbl>
    <w:p>
      <w:pPr>
        <w:pStyle w:val="7"/>
        <w:spacing w:before="0" w:beforeAutospacing="0" w:after="0" w:afterAutospacing="0" w:line="360" w:lineRule="auto"/>
        <w:ind w:firstLine="420"/>
        <w:rPr>
          <w:sz w:val="21"/>
          <w:szCs w:val="21"/>
        </w:rPr>
      </w:pPr>
      <w:r>
        <w:rPr>
          <w:rFonts w:hint="eastAsia"/>
          <w:b/>
          <w:bCs/>
          <w:sz w:val="21"/>
          <w:szCs w:val="21"/>
        </w:rPr>
        <w:t>(130)南京证券股份有限公司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李剑锋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025－52310569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025－52310586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4008285888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http://www.njzq.com.cn </w:t>
            </w:r>
          </w:p>
        </w:tc>
      </w:tr>
    </w:tbl>
    <w:p>
      <w:pPr>
        <w:pStyle w:val="7"/>
        <w:spacing w:before="0" w:beforeAutospacing="0" w:after="0" w:afterAutospacing="0" w:line="360" w:lineRule="auto"/>
        <w:ind w:firstLine="420"/>
        <w:rPr>
          <w:sz w:val="21"/>
          <w:szCs w:val="21"/>
        </w:rPr>
      </w:pPr>
      <w:r>
        <w:rPr>
          <w:rFonts w:hint="eastAsia"/>
          <w:b/>
          <w:bCs/>
          <w:sz w:val="21"/>
          <w:szCs w:val="21"/>
        </w:rPr>
        <w:t>(131)上海证券有限责任公司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上海市黄浦区四川中路213号7楼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上海市黄浦区四川中路213号久事商务大厦7楼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李俊杰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魏熠珲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021-53686278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021-53686835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4008918918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https://www.shzq.com/ </w:t>
            </w:r>
          </w:p>
        </w:tc>
      </w:tr>
    </w:tbl>
    <w:p>
      <w:pPr>
        <w:pStyle w:val="7"/>
        <w:spacing w:before="0" w:beforeAutospacing="0" w:after="0" w:afterAutospacing="0" w:line="360" w:lineRule="auto"/>
        <w:ind w:firstLine="420"/>
        <w:rPr>
          <w:sz w:val="21"/>
          <w:szCs w:val="21"/>
        </w:rPr>
      </w:pPr>
      <w:r>
        <w:rPr>
          <w:rFonts w:hint="eastAsia"/>
          <w:b/>
          <w:bCs/>
          <w:sz w:val="21"/>
          <w:szCs w:val="21"/>
        </w:rPr>
        <w:t>(132)诚通证券股份有限公司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北京市朝阳区东三环北路27号楼12层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北京市朝阳区东三环北路27号楼12层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010-83561146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www.cctgsc.com.cn </w:t>
            </w:r>
          </w:p>
        </w:tc>
      </w:tr>
    </w:tbl>
    <w:p>
      <w:pPr>
        <w:pStyle w:val="7"/>
        <w:spacing w:before="0" w:beforeAutospacing="0" w:after="0" w:afterAutospacing="0" w:line="360" w:lineRule="auto"/>
        <w:ind w:firstLine="420"/>
        <w:rPr>
          <w:sz w:val="21"/>
          <w:szCs w:val="21"/>
        </w:rPr>
      </w:pPr>
      <w:r>
        <w:rPr>
          <w:rFonts w:hint="eastAsia"/>
          <w:b/>
          <w:bCs/>
          <w:sz w:val="21"/>
          <w:szCs w:val="21"/>
        </w:rPr>
        <w:t>(133)大同证券有限责任公司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山西省大同市平城区迎宾街15号桐城中央21层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山西省太原市小店区长治路111号山西世贸中心A座F12、F13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董祥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薛津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0351－4130322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0351-7219891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4007121212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www.dtsbc.com.cn </w:t>
            </w:r>
          </w:p>
        </w:tc>
      </w:tr>
    </w:tbl>
    <w:p>
      <w:pPr>
        <w:pStyle w:val="7"/>
        <w:spacing w:before="0" w:beforeAutospacing="0" w:after="0" w:afterAutospacing="0" w:line="360" w:lineRule="auto"/>
        <w:ind w:firstLine="420"/>
        <w:rPr>
          <w:sz w:val="21"/>
          <w:szCs w:val="21"/>
        </w:rPr>
      </w:pPr>
      <w:r>
        <w:rPr>
          <w:rFonts w:hint="eastAsia"/>
          <w:b/>
          <w:bCs/>
          <w:sz w:val="21"/>
          <w:szCs w:val="21"/>
        </w:rPr>
        <w:t>(134)国联民生证券股份有限公司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无锡市县前东街168号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江苏省无锡市太湖新城金融一街8号国联金融大厦702室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顾伟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http://www.glsc.com.cn </w:t>
            </w:r>
          </w:p>
        </w:tc>
      </w:tr>
    </w:tbl>
    <w:p>
      <w:pPr>
        <w:pStyle w:val="7"/>
        <w:spacing w:before="0" w:beforeAutospacing="0" w:after="0" w:afterAutospacing="0" w:line="360" w:lineRule="auto"/>
        <w:ind w:firstLine="420"/>
        <w:rPr>
          <w:sz w:val="21"/>
          <w:szCs w:val="21"/>
        </w:rPr>
      </w:pPr>
      <w:r>
        <w:rPr>
          <w:rFonts w:hint="eastAsia"/>
          <w:b/>
          <w:bCs/>
          <w:sz w:val="21"/>
          <w:szCs w:val="21"/>
        </w:rPr>
        <w:t>(135)浙商证券股份有限公司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浙江省杭州市江干区五星路201号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浙江省杭州市江干区四季青街道五星路201号浙商证券5楼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吴承根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沈高亮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0571-87902239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0571－87901913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http://www.stocke.com.cn/ </w:t>
            </w:r>
          </w:p>
        </w:tc>
      </w:tr>
    </w:tbl>
    <w:p>
      <w:pPr>
        <w:pStyle w:val="7"/>
        <w:spacing w:before="0" w:beforeAutospacing="0" w:after="0" w:afterAutospacing="0" w:line="360" w:lineRule="auto"/>
        <w:ind w:firstLine="420"/>
        <w:rPr>
          <w:sz w:val="21"/>
          <w:szCs w:val="21"/>
        </w:rPr>
      </w:pPr>
      <w:r>
        <w:rPr>
          <w:rFonts w:hint="eastAsia"/>
          <w:b/>
          <w:bCs/>
          <w:sz w:val="21"/>
          <w:szCs w:val="21"/>
        </w:rPr>
        <w:t>(136)平安证券股份有限公司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何之江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021-38632136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0755－82400862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0755-22628888/95511-8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http:www.stock.pingan.com </w:t>
            </w:r>
          </w:p>
        </w:tc>
      </w:tr>
    </w:tbl>
    <w:p>
      <w:pPr>
        <w:pStyle w:val="7"/>
        <w:spacing w:before="0" w:beforeAutospacing="0" w:after="0" w:afterAutospacing="0" w:line="360" w:lineRule="auto"/>
        <w:ind w:firstLine="420"/>
        <w:rPr>
          <w:sz w:val="21"/>
          <w:szCs w:val="21"/>
        </w:rPr>
      </w:pPr>
      <w:r>
        <w:rPr>
          <w:rFonts w:hint="eastAsia"/>
          <w:b/>
          <w:bCs/>
          <w:sz w:val="21"/>
          <w:szCs w:val="21"/>
        </w:rPr>
        <w:t>(137)华安证券股份有限公司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安徽省合肥市政务文化新区天鹅湖路198号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安徽省合肥市南二环959号财智中心B1座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章宏韬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0551-65161821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0551－65161672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http://www.hazq.com/ </w:t>
            </w:r>
          </w:p>
        </w:tc>
      </w:tr>
    </w:tbl>
    <w:p>
      <w:pPr>
        <w:pStyle w:val="7"/>
        <w:spacing w:before="0" w:beforeAutospacing="0" w:after="0" w:afterAutospacing="0" w:line="360" w:lineRule="auto"/>
        <w:ind w:firstLine="420"/>
        <w:rPr>
          <w:sz w:val="21"/>
          <w:szCs w:val="21"/>
        </w:rPr>
      </w:pPr>
      <w:r>
        <w:rPr>
          <w:rFonts w:hint="eastAsia"/>
          <w:b/>
          <w:bCs/>
          <w:sz w:val="21"/>
          <w:szCs w:val="21"/>
        </w:rPr>
        <w:t>(138)国海证券股份有限公司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广西桂林市辅星路13号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深圳市福田区竹子林四路光大银行大厦3楼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张雅锋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武斌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0755－83707413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0755－83700205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4008888100（全国），96100（广西）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http://www.ghzq.com.cn </w:t>
            </w:r>
          </w:p>
        </w:tc>
      </w:tr>
    </w:tbl>
    <w:p>
      <w:pPr>
        <w:pStyle w:val="7"/>
        <w:spacing w:before="0" w:beforeAutospacing="0" w:after="0" w:afterAutospacing="0" w:line="360" w:lineRule="auto"/>
        <w:ind w:firstLine="420"/>
        <w:rPr>
          <w:sz w:val="21"/>
          <w:szCs w:val="21"/>
        </w:rPr>
      </w:pPr>
      <w:r>
        <w:rPr>
          <w:rFonts w:hint="eastAsia"/>
          <w:b/>
          <w:bCs/>
          <w:sz w:val="21"/>
          <w:szCs w:val="21"/>
        </w:rPr>
        <w:t>(139)财信证券股份有限公司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长沙市芙蓉中路二段80号顺天国际财富中心26楼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长沙市芙蓉中路二段80号顺天国际财富中心26楼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蔡一兵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0731-84403319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0731-84403439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0731-84403360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http://www.cfzq.com/ </w:t>
            </w:r>
          </w:p>
        </w:tc>
      </w:tr>
    </w:tbl>
    <w:p>
      <w:pPr>
        <w:pStyle w:val="7"/>
        <w:spacing w:before="0" w:beforeAutospacing="0" w:after="0" w:afterAutospacing="0" w:line="360" w:lineRule="auto"/>
        <w:ind w:firstLine="420"/>
        <w:rPr>
          <w:sz w:val="21"/>
          <w:szCs w:val="21"/>
        </w:rPr>
      </w:pPr>
      <w:r>
        <w:rPr>
          <w:rFonts w:hint="eastAsia"/>
          <w:b/>
          <w:bCs/>
          <w:sz w:val="21"/>
          <w:szCs w:val="21"/>
        </w:rPr>
        <w:t>(140)东莞证券股份有限公司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陈照星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叶玉琪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0769-22119351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0769-22115712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http://www.dgzq.com.cn </w:t>
            </w:r>
          </w:p>
        </w:tc>
      </w:tr>
    </w:tbl>
    <w:p>
      <w:pPr>
        <w:pStyle w:val="7"/>
        <w:spacing w:before="0" w:beforeAutospacing="0" w:after="0" w:afterAutospacing="0" w:line="360" w:lineRule="auto"/>
        <w:ind w:firstLine="420"/>
        <w:rPr>
          <w:sz w:val="21"/>
          <w:szCs w:val="21"/>
        </w:rPr>
      </w:pPr>
      <w:r>
        <w:rPr>
          <w:rFonts w:hint="eastAsia"/>
          <w:b/>
          <w:bCs/>
          <w:sz w:val="21"/>
          <w:szCs w:val="21"/>
        </w:rPr>
        <w:t>(141)中原证券股份有限公司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郑州市郑东新区商务外环路10号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郑州市郑东新区商务外环路10号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鲁智礼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李盼盼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0371-69099882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0371--65585665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http://www.ccnew.com/ </w:t>
            </w:r>
          </w:p>
        </w:tc>
      </w:tr>
    </w:tbl>
    <w:p>
      <w:pPr>
        <w:pStyle w:val="7"/>
        <w:spacing w:before="0" w:beforeAutospacing="0" w:after="0" w:afterAutospacing="0" w:line="360" w:lineRule="auto"/>
        <w:ind w:firstLine="420"/>
        <w:rPr>
          <w:sz w:val="21"/>
          <w:szCs w:val="21"/>
        </w:rPr>
      </w:pPr>
      <w:r>
        <w:rPr>
          <w:rFonts w:hint="eastAsia"/>
          <w:b/>
          <w:bCs/>
          <w:sz w:val="21"/>
          <w:szCs w:val="21"/>
        </w:rPr>
        <w:t>(142)东海证券股份有限公司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江苏省常州延陵西路23号投资广场18层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上海市浦东新区东方路1928号东海证券大厦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钱俊文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王一彦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021-20333333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021-50498825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95531; 4008888588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http://www.longone.com.cn </w:t>
            </w:r>
          </w:p>
        </w:tc>
      </w:tr>
    </w:tbl>
    <w:p>
      <w:pPr>
        <w:pStyle w:val="7"/>
        <w:spacing w:before="0" w:beforeAutospacing="0" w:after="0" w:afterAutospacing="0" w:line="360" w:lineRule="auto"/>
        <w:ind w:firstLine="420"/>
        <w:rPr>
          <w:sz w:val="21"/>
          <w:szCs w:val="21"/>
        </w:rPr>
      </w:pPr>
      <w:r>
        <w:rPr>
          <w:rFonts w:hint="eastAsia"/>
          <w:b/>
          <w:bCs/>
          <w:sz w:val="21"/>
          <w:szCs w:val="21"/>
        </w:rPr>
        <w:t>(143)中银国际证券股份有限公司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 中国上海浦东银城中路200号中银大厦39-40层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上海市浦东新区银城中路200号中银大厦39层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宁敏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王炜哲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021-20328531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021－50372474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4006208888；021-61195566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http://www.bocichina.com </w:t>
            </w:r>
          </w:p>
        </w:tc>
      </w:tr>
    </w:tbl>
    <w:p>
      <w:pPr>
        <w:pStyle w:val="7"/>
        <w:spacing w:before="0" w:beforeAutospacing="0" w:after="0" w:afterAutospacing="0" w:line="360" w:lineRule="auto"/>
        <w:ind w:firstLine="420"/>
        <w:rPr>
          <w:sz w:val="21"/>
          <w:szCs w:val="21"/>
        </w:rPr>
      </w:pPr>
      <w:r>
        <w:rPr>
          <w:rFonts w:hint="eastAsia"/>
          <w:b/>
          <w:bCs/>
          <w:sz w:val="21"/>
          <w:szCs w:val="21"/>
        </w:rPr>
        <w:t>(144)恒泰证券股份有限公司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内蒙古呼和浩特市新城区海拉尔东街满世尚都办公商业综合楼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祝艳辉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熊丽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0471－4972675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http://www.cnht.com.cn/ </w:t>
            </w:r>
          </w:p>
        </w:tc>
      </w:tr>
    </w:tbl>
    <w:p>
      <w:pPr>
        <w:pStyle w:val="7"/>
        <w:spacing w:before="0" w:beforeAutospacing="0" w:after="0" w:afterAutospacing="0" w:line="360" w:lineRule="auto"/>
        <w:ind w:firstLine="420"/>
        <w:rPr>
          <w:sz w:val="21"/>
          <w:szCs w:val="21"/>
        </w:rPr>
      </w:pPr>
      <w:r>
        <w:rPr>
          <w:rFonts w:hint="eastAsia"/>
          <w:b/>
          <w:bCs/>
          <w:sz w:val="21"/>
          <w:szCs w:val="21"/>
        </w:rPr>
        <w:t>(145)国盛证券有限责任公司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江西省南昌市新建区子实路1589号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江西省南昌市红谷滩新区凤凰中大道1115号北京银行大厦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刘朝东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占文驰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0791－86283372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0791－6289395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https://www.gszq.com/ </w:t>
            </w:r>
          </w:p>
        </w:tc>
      </w:tr>
    </w:tbl>
    <w:p>
      <w:pPr>
        <w:pStyle w:val="7"/>
        <w:spacing w:before="0" w:beforeAutospacing="0" w:after="0" w:afterAutospacing="0" w:line="360" w:lineRule="auto"/>
        <w:ind w:firstLine="420"/>
        <w:rPr>
          <w:sz w:val="21"/>
          <w:szCs w:val="21"/>
        </w:rPr>
      </w:pPr>
      <w:r>
        <w:rPr>
          <w:rFonts w:hint="eastAsia"/>
          <w:b/>
          <w:bCs/>
          <w:sz w:val="21"/>
          <w:szCs w:val="21"/>
        </w:rPr>
        <w:t>(146)华西证券股份有限公司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杨炯洋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赵静静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010-58124967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028-86150040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https://www.hx168.com.cn/ </w:t>
            </w:r>
          </w:p>
        </w:tc>
      </w:tr>
    </w:tbl>
    <w:p>
      <w:pPr>
        <w:pStyle w:val="7"/>
        <w:spacing w:before="0" w:beforeAutospacing="0" w:after="0" w:afterAutospacing="0" w:line="360" w:lineRule="auto"/>
        <w:ind w:firstLine="420"/>
        <w:rPr>
          <w:sz w:val="21"/>
          <w:szCs w:val="21"/>
        </w:rPr>
      </w:pPr>
      <w:r>
        <w:rPr>
          <w:rFonts w:hint="eastAsia"/>
          <w:b/>
          <w:bCs/>
          <w:sz w:val="21"/>
          <w:szCs w:val="21"/>
        </w:rPr>
        <w:t>(147)申万宏源西部证券有限公司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王献军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0991-2307105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010-88085195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95523或4008895523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(148)中泰证券股份有限公司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济南市市中区经七路86号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山东省济南市市中区经七路86号证券大厦2309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张峰源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021-20315719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www.zts.com.cn </w:t>
            </w:r>
          </w:p>
        </w:tc>
      </w:tr>
    </w:tbl>
    <w:p>
      <w:pPr>
        <w:pStyle w:val="7"/>
        <w:spacing w:before="0" w:beforeAutospacing="0" w:after="0" w:afterAutospacing="0" w:line="360" w:lineRule="auto"/>
        <w:ind w:firstLine="420"/>
        <w:rPr>
          <w:sz w:val="21"/>
          <w:szCs w:val="21"/>
        </w:rPr>
      </w:pPr>
      <w:r>
        <w:rPr>
          <w:rFonts w:hint="eastAsia"/>
          <w:b/>
          <w:bCs/>
          <w:sz w:val="21"/>
          <w:szCs w:val="21"/>
        </w:rPr>
        <w:t>(149)世纪证券有限责任公司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深圳市前海深港合作区南山街道桂湾五路128号前海深港基金小镇对冲基金中心406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广东省深圳市福田区福田街道金田路2026号能源大厦北塔23-25楼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徐玲娟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0755-83199599-9135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0755－83199545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4008323000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http://www.csco.com.cn/ </w:t>
            </w:r>
          </w:p>
        </w:tc>
      </w:tr>
    </w:tbl>
    <w:p>
      <w:pPr>
        <w:pStyle w:val="7"/>
        <w:spacing w:before="0" w:beforeAutospacing="0" w:after="0" w:afterAutospacing="0" w:line="360" w:lineRule="auto"/>
        <w:ind w:firstLine="420"/>
        <w:rPr>
          <w:sz w:val="21"/>
          <w:szCs w:val="21"/>
        </w:rPr>
      </w:pPr>
      <w:r>
        <w:rPr>
          <w:rFonts w:hint="eastAsia"/>
          <w:b/>
          <w:bCs/>
          <w:sz w:val="21"/>
          <w:szCs w:val="21"/>
        </w:rPr>
        <w:t>(150)第一创业证券股份有限公司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深圳市福田区福华一路115号投行大厦20楼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深圳市福田区福华一路115号投行大厦18楼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青美平措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单晶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0755-23838750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0755-25838701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http://www.firstcapital.com.cn/ </w:t>
            </w:r>
          </w:p>
        </w:tc>
      </w:tr>
    </w:tbl>
    <w:p>
      <w:pPr>
        <w:pStyle w:val="7"/>
        <w:spacing w:before="0" w:beforeAutospacing="0" w:after="0" w:afterAutospacing="0" w:line="360" w:lineRule="auto"/>
        <w:ind w:firstLine="420"/>
        <w:rPr>
          <w:sz w:val="21"/>
          <w:szCs w:val="21"/>
        </w:rPr>
      </w:pPr>
      <w:r>
        <w:rPr>
          <w:rFonts w:hint="eastAsia"/>
          <w:b/>
          <w:bCs/>
          <w:sz w:val="21"/>
          <w:szCs w:val="21"/>
        </w:rPr>
        <w:t>(151)中航证券有限公司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江西省南昌市红谷滩红谷中大道1619号南昌国际金融大厦A栋41层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江西省南昌市红谷滩红谷中大道1619号南昌国际金融大厦A栋41层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丛中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王丹妮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0791-6768763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0791-6789414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400-8866-567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http://www.avicsec.com/ </w:t>
            </w:r>
          </w:p>
        </w:tc>
      </w:tr>
    </w:tbl>
    <w:p>
      <w:pPr>
        <w:pStyle w:val="7"/>
        <w:spacing w:before="0" w:beforeAutospacing="0" w:after="0" w:afterAutospacing="0" w:line="360" w:lineRule="auto"/>
        <w:ind w:firstLine="420"/>
        <w:rPr>
          <w:sz w:val="21"/>
          <w:szCs w:val="21"/>
        </w:rPr>
      </w:pPr>
      <w:r>
        <w:rPr>
          <w:rFonts w:hint="eastAsia"/>
          <w:b/>
          <w:bCs/>
          <w:sz w:val="21"/>
          <w:szCs w:val="21"/>
        </w:rPr>
        <w:t>(152)华林证券股份有限公司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深圳市福田区民田路178号华融大厦5、6楼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深圳市福田区民田路178号华融大厦5、6楼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0755－82707855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0755－23613751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4001883888 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http://www.chinalin.com/ </w:t>
            </w:r>
          </w:p>
        </w:tc>
      </w:tr>
    </w:tbl>
    <w:p>
      <w:pPr>
        <w:pStyle w:val="7"/>
        <w:spacing w:before="0" w:beforeAutospacing="0" w:after="0" w:afterAutospacing="0" w:line="360" w:lineRule="auto"/>
        <w:ind w:firstLine="420"/>
        <w:rPr>
          <w:sz w:val="21"/>
          <w:szCs w:val="21"/>
        </w:rPr>
      </w:pPr>
      <w:r>
        <w:rPr>
          <w:rFonts w:hint="eastAsia"/>
          <w:b/>
          <w:bCs/>
          <w:sz w:val="21"/>
          <w:szCs w:val="21"/>
        </w:rPr>
        <w:t>(153)德邦证券股份有限公司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上海市普陀区曹杨路510号南半幢9楼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上海市浦东新区福山路500号城建国际中心26楼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武晓春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021-68761616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021-68767981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http://www.tebon.com.cn </w:t>
            </w:r>
          </w:p>
        </w:tc>
      </w:tr>
    </w:tbl>
    <w:p>
      <w:pPr>
        <w:pStyle w:val="7"/>
        <w:spacing w:before="0" w:beforeAutospacing="0" w:after="0" w:afterAutospacing="0" w:line="360" w:lineRule="auto"/>
        <w:ind w:firstLine="420"/>
        <w:rPr>
          <w:sz w:val="21"/>
          <w:szCs w:val="21"/>
        </w:rPr>
      </w:pPr>
      <w:r>
        <w:rPr>
          <w:rFonts w:hint="eastAsia"/>
          <w:b/>
          <w:bCs/>
          <w:sz w:val="21"/>
          <w:szCs w:val="21"/>
        </w:rPr>
        <w:t>(154)西部证券股份有限公司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陕西省西安市新城区东新街319号8幢10000室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西安市新城区东新街319号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徐朝晖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张吉安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029-87211668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029-87406117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http://www.west95582.com/ </w:t>
            </w:r>
          </w:p>
        </w:tc>
      </w:tr>
    </w:tbl>
    <w:p>
      <w:pPr>
        <w:pStyle w:val="7"/>
        <w:spacing w:before="0" w:beforeAutospacing="0" w:after="0" w:afterAutospacing="0" w:line="360" w:lineRule="auto"/>
        <w:ind w:firstLine="420"/>
        <w:rPr>
          <w:sz w:val="21"/>
          <w:szCs w:val="21"/>
        </w:rPr>
      </w:pPr>
      <w:r>
        <w:rPr>
          <w:rFonts w:hint="eastAsia"/>
          <w:b/>
          <w:bCs/>
          <w:sz w:val="21"/>
          <w:szCs w:val="21"/>
        </w:rPr>
        <w:t>(155)华福证券有限责任公司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福州市五四路157号新天地大厦7、8层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福州市五四路157号新天地大厦7至10层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黄金琳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021-20655183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0591－87383610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http://www.hfzq.com.cn </w:t>
            </w:r>
          </w:p>
        </w:tc>
      </w:tr>
    </w:tbl>
    <w:p>
      <w:pPr>
        <w:pStyle w:val="7"/>
        <w:spacing w:before="0" w:beforeAutospacing="0" w:after="0" w:afterAutospacing="0" w:line="360" w:lineRule="auto"/>
        <w:ind w:firstLine="420"/>
        <w:rPr>
          <w:sz w:val="21"/>
          <w:szCs w:val="21"/>
        </w:rPr>
      </w:pPr>
      <w:r>
        <w:rPr>
          <w:rFonts w:hint="eastAsia"/>
          <w:b/>
          <w:bCs/>
          <w:sz w:val="21"/>
          <w:szCs w:val="21"/>
        </w:rPr>
        <w:t>(156)华龙证券股份有限公司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兰州市城关区东岗西路638号兰州财富中心21楼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甘肃省兰州市城关区东岗西路638号财富大厦19楼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祁建邦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0931-4890208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0931-4890628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https://www.hlzq.com/ </w:t>
            </w:r>
          </w:p>
        </w:tc>
      </w:tr>
    </w:tbl>
    <w:p>
      <w:pPr>
        <w:pStyle w:val="7"/>
        <w:spacing w:before="0" w:beforeAutospacing="0" w:after="0" w:afterAutospacing="0" w:line="360" w:lineRule="auto"/>
        <w:ind w:firstLine="420"/>
        <w:rPr>
          <w:sz w:val="21"/>
          <w:szCs w:val="21"/>
        </w:rPr>
      </w:pPr>
      <w:r>
        <w:rPr>
          <w:rFonts w:hint="eastAsia"/>
          <w:b/>
          <w:bCs/>
          <w:sz w:val="21"/>
          <w:szCs w:val="21"/>
        </w:rPr>
        <w:t>(157)中国国际金融股份有限公司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中国北京建国门外大街1号 国贸大厦2座28层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中国北京建国门外大街1号 国贸大厦2座28层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沈如军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任敏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010－65051166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010－65051156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010-65051166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http://www.cicc.com.cn/ </w:t>
            </w:r>
          </w:p>
        </w:tc>
      </w:tr>
    </w:tbl>
    <w:p>
      <w:pPr>
        <w:pStyle w:val="7"/>
        <w:spacing w:before="0" w:beforeAutospacing="0" w:after="0" w:afterAutospacing="0" w:line="360" w:lineRule="auto"/>
        <w:ind w:firstLine="420"/>
        <w:rPr>
          <w:sz w:val="21"/>
          <w:szCs w:val="21"/>
        </w:rPr>
      </w:pPr>
      <w:r>
        <w:rPr>
          <w:rFonts w:hint="eastAsia"/>
          <w:b/>
          <w:bCs/>
          <w:sz w:val="21"/>
          <w:szCs w:val="21"/>
        </w:rPr>
        <w:t>(158)财通证券股份有限公司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杭州市解放路111号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浙江省杭州市天目山路198号财通双冠大厦西楼1201室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陆建强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蔡还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0571-87789160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0571－85071387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95336（上海地区962336）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http://www.ctsec.com </w:t>
            </w:r>
          </w:p>
        </w:tc>
      </w:tr>
    </w:tbl>
    <w:p>
      <w:pPr>
        <w:pStyle w:val="7"/>
        <w:spacing w:before="0" w:beforeAutospacing="0" w:after="0" w:afterAutospacing="0" w:line="360" w:lineRule="auto"/>
        <w:ind w:firstLine="420"/>
        <w:rPr>
          <w:sz w:val="21"/>
          <w:szCs w:val="21"/>
        </w:rPr>
      </w:pPr>
      <w:r>
        <w:rPr>
          <w:rFonts w:hint="eastAsia"/>
          <w:b/>
          <w:bCs/>
          <w:sz w:val="21"/>
          <w:szCs w:val="21"/>
        </w:rPr>
        <w:t>(159)五矿证券有限公司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深圳市南山区粤海街道海珠社区滨海大道3165号五矿金融大厦2401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深圳市南山区滨海大道与后海滨路交汇处滨海大道3165号五矿金融大厦（18-25层）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黄海洲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赵晓棋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0755-23375447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4001840028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http://www.wkzq.com.cn </w:t>
            </w:r>
          </w:p>
        </w:tc>
      </w:tr>
    </w:tbl>
    <w:p>
      <w:pPr>
        <w:pStyle w:val="7"/>
        <w:spacing w:before="0" w:beforeAutospacing="0" w:after="0" w:afterAutospacing="0" w:line="360" w:lineRule="auto"/>
        <w:ind w:firstLine="420"/>
        <w:rPr>
          <w:sz w:val="21"/>
          <w:szCs w:val="21"/>
        </w:rPr>
      </w:pPr>
      <w:r>
        <w:rPr>
          <w:rFonts w:hint="eastAsia"/>
          <w:b/>
          <w:bCs/>
          <w:sz w:val="21"/>
          <w:szCs w:val="21"/>
        </w:rPr>
        <w:t>(160)华鑫证券有限责任公司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深圳市福田区莲花街道福中社区深南大道2008号中国凤凰大厦1栋20C-1房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上海市黄浦区福州路666号6楼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俞洋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021-54967656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021-64333051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95323,021-32109999,029-68918888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http://www.cfsc.com.cn </w:t>
            </w:r>
          </w:p>
        </w:tc>
      </w:tr>
    </w:tbl>
    <w:p>
      <w:pPr>
        <w:pStyle w:val="7"/>
        <w:spacing w:before="0" w:beforeAutospacing="0" w:after="0" w:afterAutospacing="0" w:line="360" w:lineRule="auto"/>
        <w:ind w:firstLine="420"/>
        <w:rPr>
          <w:sz w:val="21"/>
          <w:szCs w:val="21"/>
        </w:rPr>
      </w:pPr>
      <w:r>
        <w:rPr>
          <w:rFonts w:hint="eastAsia"/>
          <w:b/>
          <w:bCs/>
          <w:sz w:val="21"/>
          <w:szCs w:val="21"/>
        </w:rPr>
        <w:t>(161)中国中金财富证券有限公司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深圳市南山区粤海街道海珠社区科苑南路2666号中国华润大厦L4601-4608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深圳市福田区益田路与福中路交界处荣超商务中心A栋第18-21层及第04层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高涛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万玉琳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0755-82026907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0755-82026539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4006008008/95532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http://www.china-invs.cn/ </w:t>
            </w:r>
          </w:p>
        </w:tc>
      </w:tr>
    </w:tbl>
    <w:p>
      <w:pPr>
        <w:pStyle w:val="7"/>
        <w:spacing w:before="0" w:beforeAutospacing="0" w:after="0" w:afterAutospacing="0" w:line="360" w:lineRule="auto"/>
        <w:ind w:firstLine="420"/>
        <w:rPr>
          <w:sz w:val="21"/>
          <w:szCs w:val="21"/>
        </w:rPr>
      </w:pPr>
      <w:r>
        <w:rPr>
          <w:rFonts w:hint="eastAsia"/>
          <w:b/>
          <w:bCs/>
          <w:sz w:val="21"/>
          <w:szCs w:val="21"/>
        </w:rPr>
        <w:t>(162)中山证券有限责任公司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深圳市南山区创业路1777号海信南方大厦21、22层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深圳市南山区创业路1777号海信南方大厦21、22层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李永湖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罗艺琳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0755-82943755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0755-82960582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http://www.zszq.com </w:t>
            </w:r>
          </w:p>
        </w:tc>
      </w:tr>
    </w:tbl>
    <w:p>
      <w:pPr>
        <w:pStyle w:val="7"/>
        <w:spacing w:before="0" w:beforeAutospacing="0" w:after="0" w:afterAutospacing="0" w:line="360" w:lineRule="auto"/>
        <w:ind w:firstLine="420"/>
        <w:rPr>
          <w:sz w:val="21"/>
          <w:szCs w:val="21"/>
        </w:rPr>
      </w:pPr>
      <w:r>
        <w:rPr>
          <w:rFonts w:hint="eastAsia"/>
          <w:b/>
          <w:bCs/>
          <w:sz w:val="21"/>
          <w:szCs w:val="21"/>
        </w:rPr>
        <w:t>(163)东方财富证券股份有限公司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西藏自治区拉萨市柳梧新区国际总部城10栋楼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上海市徐汇区宛平南路88号金座东方财富大厦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付佳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021-23586603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021-23586860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http://www.18.cn </w:t>
            </w:r>
          </w:p>
        </w:tc>
      </w:tr>
    </w:tbl>
    <w:p>
      <w:pPr>
        <w:pStyle w:val="7"/>
        <w:spacing w:before="0" w:beforeAutospacing="0" w:after="0" w:afterAutospacing="0" w:line="360" w:lineRule="auto"/>
        <w:ind w:firstLine="420"/>
        <w:rPr>
          <w:sz w:val="21"/>
          <w:szCs w:val="21"/>
        </w:rPr>
      </w:pPr>
      <w:r>
        <w:rPr>
          <w:rFonts w:hint="eastAsia"/>
          <w:b/>
          <w:bCs/>
          <w:sz w:val="21"/>
          <w:szCs w:val="21"/>
        </w:rPr>
        <w:t>(164)国融证券股份有限公司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内蒙古自治区呼和浩特市武川县腾飞大道1号四楼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北京市西城区宣武门西大街甲129号金隅大厦16层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张智河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胡俊珂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010-83991428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010 88086637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 0471-6919911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http://www.grzq.com/ </w:t>
            </w:r>
          </w:p>
        </w:tc>
      </w:tr>
    </w:tbl>
    <w:p>
      <w:pPr>
        <w:pStyle w:val="7"/>
        <w:spacing w:before="0" w:beforeAutospacing="0" w:after="0" w:afterAutospacing="0" w:line="360" w:lineRule="auto"/>
        <w:ind w:firstLine="420"/>
        <w:rPr>
          <w:sz w:val="21"/>
          <w:szCs w:val="21"/>
        </w:rPr>
      </w:pPr>
      <w:r>
        <w:rPr>
          <w:rFonts w:hint="eastAsia"/>
          <w:b/>
          <w:bCs/>
          <w:sz w:val="21"/>
          <w:szCs w:val="21"/>
        </w:rPr>
        <w:t>(165)粤开证券股份有限公司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广州市黄埔区科学大道60号开发区控股中心19、21、22、23层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广州市黄埔区科学大道60号开发区控股中心19、21、22、23层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郭川舟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彭莲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0755-83331195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http://www.ykzq.com </w:t>
            </w:r>
          </w:p>
        </w:tc>
      </w:tr>
    </w:tbl>
    <w:p>
      <w:pPr>
        <w:pStyle w:val="7"/>
        <w:spacing w:before="0" w:beforeAutospacing="0" w:after="0" w:afterAutospacing="0" w:line="360" w:lineRule="auto"/>
        <w:ind w:firstLine="420"/>
        <w:rPr>
          <w:sz w:val="21"/>
          <w:szCs w:val="21"/>
        </w:rPr>
      </w:pPr>
      <w:r>
        <w:rPr>
          <w:rFonts w:hint="eastAsia"/>
          <w:b/>
          <w:bCs/>
          <w:sz w:val="21"/>
          <w:szCs w:val="21"/>
        </w:rPr>
        <w:t>(166)江海证券有限公司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黑龙江省哈尔滨市香坊区赣水路56号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孙名扬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王金娇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0451-87765732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0451－82287211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http://www.jhzq.com.cn </w:t>
            </w:r>
          </w:p>
        </w:tc>
      </w:tr>
    </w:tbl>
    <w:p>
      <w:pPr>
        <w:pStyle w:val="7"/>
        <w:spacing w:before="0" w:beforeAutospacing="0" w:after="0" w:afterAutospacing="0" w:line="360" w:lineRule="auto"/>
        <w:ind w:firstLine="420"/>
        <w:rPr>
          <w:sz w:val="21"/>
          <w:szCs w:val="21"/>
        </w:rPr>
      </w:pPr>
      <w:r>
        <w:rPr>
          <w:rFonts w:hint="eastAsia"/>
          <w:b/>
          <w:bCs/>
          <w:sz w:val="21"/>
          <w:szCs w:val="21"/>
        </w:rPr>
        <w:t>(167)华源证券股份有限公司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青海省西宁市城中区西大街11号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北京市西城区金融大街7号英蓝国际金融中心D座5层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张晓黎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010-57672186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4006543218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http://www.tyzq.com.cn </w:t>
            </w:r>
          </w:p>
        </w:tc>
      </w:tr>
    </w:tbl>
    <w:p>
      <w:pPr>
        <w:pStyle w:val="7"/>
        <w:spacing w:before="0" w:beforeAutospacing="0" w:after="0" w:afterAutospacing="0" w:line="360" w:lineRule="auto"/>
        <w:ind w:firstLine="420"/>
        <w:rPr>
          <w:sz w:val="21"/>
          <w:szCs w:val="21"/>
        </w:rPr>
      </w:pPr>
      <w:r>
        <w:rPr>
          <w:rFonts w:hint="eastAsia"/>
          <w:b/>
          <w:bCs/>
          <w:sz w:val="21"/>
          <w:szCs w:val="21"/>
        </w:rPr>
        <w:t>(168)国金证券股份有限公司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冉云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贾鹏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028-86690057、028-86690058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028-86690126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4006-600109/95310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http://www.gjzq.com.cn </w:t>
            </w:r>
          </w:p>
        </w:tc>
      </w:tr>
    </w:tbl>
    <w:p>
      <w:pPr>
        <w:pStyle w:val="7"/>
        <w:spacing w:before="0" w:beforeAutospacing="0" w:after="0" w:afterAutospacing="0" w:line="360" w:lineRule="auto"/>
        <w:ind w:firstLine="420"/>
        <w:rPr>
          <w:sz w:val="21"/>
          <w:szCs w:val="21"/>
        </w:rPr>
      </w:pPr>
      <w:r>
        <w:rPr>
          <w:rFonts w:hint="eastAsia"/>
          <w:b/>
          <w:bCs/>
          <w:sz w:val="21"/>
          <w:szCs w:val="21"/>
        </w:rPr>
        <w:t>(169)华宝证券股份有限公司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刘加海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刘闻川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021-68777222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021－68777822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4008209898;021-38929908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http://www.cnhbstock.com </w:t>
            </w:r>
          </w:p>
        </w:tc>
      </w:tr>
    </w:tbl>
    <w:p>
      <w:pPr>
        <w:pStyle w:val="7"/>
        <w:spacing w:before="0" w:beforeAutospacing="0" w:after="0" w:afterAutospacing="0" w:line="360" w:lineRule="auto"/>
        <w:ind w:firstLine="420"/>
        <w:rPr>
          <w:sz w:val="21"/>
          <w:szCs w:val="21"/>
        </w:rPr>
      </w:pPr>
      <w:r>
        <w:rPr>
          <w:rFonts w:hint="eastAsia"/>
          <w:b/>
          <w:bCs/>
          <w:sz w:val="21"/>
          <w:szCs w:val="21"/>
        </w:rPr>
        <w:t>(170)长城国瑞证券有限公司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厦门市思明区深田路46号深田国际大厦20楼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厦门市思明区深田路46号深田国际大厦20楼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布前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010-68080680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0592-2079228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0592-5163588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http://www.xmzq.cn </w:t>
            </w:r>
          </w:p>
        </w:tc>
      </w:tr>
    </w:tbl>
    <w:p>
      <w:pPr>
        <w:pStyle w:val="7"/>
        <w:spacing w:before="0" w:beforeAutospacing="0" w:after="0" w:afterAutospacing="0" w:line="360" w:lineRule="auto"/>
        <w:ind w:firstLine="420"/>
        <w:rPr>
          <w:sz w:val="21"/>
          <w:szCs w:val="21"/>
        </w:rPr>
      </w:pPr>
      <w:r>
        <w:rPr>
          <w:rFonts w:hint="eastAsia"/>
          <w:b/>
          <w:bCs/>
          <w:sz w:val="21"/>
          <w:szCs w:val="21"/>
        </w:rPr>
        <w:t>(171)爱建证券有限责任公司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中国（上海）自由贸易试验区世纪大道1600号1幢32楼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上海市浦东新区世纪大道1600号32楼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姚盛盛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021-32229888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021- 68728703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4001-962-502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http://www.ajzq.com </w:t>
            </w:r>
          </w:p>
        </w:tc>
      </w:tr>
    </w:tbl>
    <w:p>
      <w:pPr>
        <w:pStyle w:val="7"/>
        <w:spacing w:before="0" w:beforeAutospacing="0" w:after="0" w:afterAutospacing="0" w:line="360" w:lineRule="auto"/>
        <w:ind w:firstLine="420"/>
        <w:rPr>
          <w:sz w:val="21"/>
          <w:szCs w:val="21"/>
        </w:rPr>
      </w:pPr>
      <w:r>
        <w:rPr>
          <w:rFonts w:hint="eastAsia"/>
          <w:b/>
          <w:bCs/>
          <w:sz w:val="21"/>
          <w:szCs w:val="21"/>
        </w:rPr>
        <w:t>(172)英大证券有限责任公司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深圳市福田区深南中路华能大厦三十、三十一层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深圳市福田区深南中路华能大厦三十、三十一层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吴尔晖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0755-83007159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0755-83007034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4000-188-688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http://www.ydsc.com.cn </w:t>
            </w:r>
          </w:p>
        </w:tc>
      </w:tr>
    </w:tbl>
    <w:p>
      <w:pPr>
        <w:pStyle w:val="7"/>
        <w:spacing w:before="0" w:beforeAutospacing="0" w:after="0" w:afterAutospacing="0" w:line="360" w:lineRule="auto"/>
        <w:ind w:firstLine="420"/>
        <w:rPr>
          <w:sz w:val="21"/>
          <w:szCs w:val="21"/>
        </w:rPr>
      </w:pPr>
      <w:r>
        <w:rPr>
          <w:rFonts w:hint="eastAsia"/>
          <w:b/>
          <w:bCs/>
          <w:sz w:val="21"/>
          <w:szCs w:val="21"/>
        </w:rPr>
        <w:t>(173)国新证券股份有限公司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北京市西城区车公庄大街4号2幢1层A2112室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北京市朝阳区朝阳门北大街18号中国人保寿险大厦12层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张海文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孙燕波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010-85556048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http://www.crsec.com.cn </w:t>
            </w:r>
          </w:p>
        </w:tc>
      </w:tr>
    </w:tbl>
    <w:p>
      <w:pPr>
        <w:pStyle w:val="7"/>
        <w:spacing w:before="0" w:beforeAutospacing="0" w:after="0" w:afterAutospacing="0" w:line="360" w:lineRule="auto"/>
        <w:ind w:firstLine="420"/>
        <w:rPr>
          <w:sz w:val="21"/>
          <w:szCs w:val="21"/>
        </w:rPr>
      </w:pPr>
      <w:r>
        <w:rPr>
          <w:rFonts w:hint="eastAsia"/>
          <w:b/>
          <w:bCs/>
          <w:sz w:val="21"/>
          <w:szCs w:val="21"/>
        </w:rPr>
        <w:t>(174)财达证券股份有限公司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河北省石家庄市桥西区自强路35号庄家金融大厦23至26层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河北省石家庄市桥西区自强路35号庄家金融大厦23至26层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翟建强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刘亚静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0311-66006393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0311-66006249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4006128888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http://www.S10000.com </w:t>
            </w:r>
          </w:p>
        </w:tc>
      </w:tr>
    </w:tbl>
    <w:p>
      <w:pPr>
        <w:pStyle w:val="7"/>
        <w:spacing w:before="0" w:beforeAutospacing="0" w:after="0" w:afterAutospacing="0" w:line="360" w:lineRule="auto"/>
        <w:ind w:firstLine="420"/>
        <w:rPr>
          <w:sz w:val="21"/>
          <w:szCs w:val="21"/>
        </w:rPr>
      </w:pPr>
      <w:r>
        <w:rPr>
          <w:rFonts w:hint="eastAsia"/>
          <w:b/>
          <w:bCs/>
          <w:sz w:val="21"/>
          <w:szCs w:val="21"/>
        </w:rPr>
        <w:t>(175)华创证券有限责任公司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贵州省贵阳市中华北路216号华创大厦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陶永泽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郭佳来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021-60762618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021-60762700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4008666689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http://www.hczq.com/ </w:t>
            </w:r>
          </w:p>
        </w:tc>
      </w:tr>
    </w:tbl>
    <w:p>
      <w:pPr>
        <w:pStyle w:val="7"/>
        <w:spacing w:before="0" w:beforeAutospacing="0" w:after="0" w:afterAutospacing="0" w:line="360" w:lineRule="auto"/>
        <w:ind w:firstLine="420"/>
        <w:rPr>
          <w:sz w:val="21"/>
          <w:szCs w:val="21"/>
        </w:rPr>
      </w:pPr>
      <w:r>
        <w:rPr>
          <w:rFonts w:hint="eastAsia"/>
          <w:b/>
          <w:bCs/>
          <w:sz w:val="21"/>
          <w:szCs w:val="21"/>
        </w:rPr>
        <w:t>(176)万和证券股份有限公司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海南省海口市南沙路49号通信广场二楼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深圳市福田区深南大道7028号时代科技大厦20层西厅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甘卫斌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0755-82830333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0755-25170093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4008-882-882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http://www.vanho.cn </w:t>
            </w:r>
          </w:p>
        </w:tc>
      </w:tr>
    </w:tbl>
    <w:p>
      <w:pPr>
        <w:pStyle w:val="7"/>
        <w:spacing w:before="0" w:beforeAutospacing="0" w:after="0" w:afterAutospacing="0" w:line="360" w:lineRule="auto"/>
        <w:ind w:firstLine="420"/>
        <w:rPr>
          <w:sz w:val="21"/>
          <w:szCs w:val="21"/>
        </w:rPr>
      </w:pPr>
      <w:r>
        <w:rPr>
          <w:rFonts w:hint="eastAsia"/>
          <w:b/>
          <w:bCs/>
          <w:sz w:val="21"/>
          <w:szCs w:val="21"/>
        </w:rPr>
        <w:t>(177)首创证券股份有限公司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北京市西城区德胜门外大街115号德胜尚城E座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北京市朝阳区安定路5号院北投投资大厦A座18层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毕劲松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010－81152418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010－81152982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www.sczq.com.cn </w:t>
            </w:r>
          </w:p>
        </w:tc>
      </w:tr>
    </w:tbl>
    <w:p>
      <w:pPr>
        <w:pStyle w:val="7"/>
        <w:spacing w:before="0" w:beforeAutospacing="0" w:after="0" w:afterAutospacing="0" w:line="360" w:lineRule="auto"/>
        <w:ind w:firstLine="420"/>
        <w:rPr>
          <w:sz w:val="21"/>
          <w:szCs w:val="21"/>
        </w:rPr>
      </w:pPr>
      <w:r>
        <w:rPr>
          <w:rFonts w:hint="eastAsia"/>
          <w:b/>
          <w:bCs/>
          <w:sz w:val="21"/>
          <w:szCs w:val="21"/>
        </w:rPr>
        <w:t>(178)太平洋证券股份有限公司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云南省昆明市青年路389号志远大厦18层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北京市西城区北展北街九号华远企业号D座三单元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李长伟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0871-68885858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0871-68898100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400-665-0999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http://www.tpyzq.com/ </w:t>
            </w:r>
          </w:p>
        </w:tc>
      </w:tr>
    </w:tbl>
    <w:p>
      <w:pPr>
        <w:pStyle w:val="7"/>
        <w:spacing w:before="0" w:beforeAutospacing="0" w:after="0" w:afterAutospacing="0" w:line="360" w:lineRule="auto"/>
        <w:ind w:firstLine="420"/>
        <w:rPr>
          <w:sz w:val="21"/>
          <w:szCs w:val="21"/>
        </w:rPr>
      </w:pPr>
      <w:r>
        <w:rPr>
          <w:rFonts w:hint="eastAsia"/>
          <w:b/>
          <w:bCs/>
          <w:sz w:val="21"/>
          <w:szCs w:val="21"/>
        </w:rPr>
        <w:t>(179)开源证券股份有限公司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陕西省西安市高新区锦业路1号都市之门B座5层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陕西省西安市高新区锦业路1号都市之门B座5层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029-88365809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86-29-88365835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95325 /400-860-8866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http://www.kysec.cn/ </w:t>
            </w:r>
          </w:p>
        </w:tc>
      </w:tr>
    </w:tbl>
    <w:p>
      <w:pPr>
        <w:pStyle w:val="7"/>
        <w:spacing w:before="0" w:beforeAutospacing="0" w:after="0" w:afterAutospacing="0" w:line="360" w:lineRule="auto"/>
        <w:ind w:firstLine="420"/>
        <w:rPr>
          <w:sz w:val="21"/>
          <w:szCs w:val="21"/>
        </w:rPr>
      </w:pPr>
      <w:r>
        <w:rPr>
          <w:rFonts w:hint="eastAsia"/>
          <w:b/>
          <w:bCs/>
          <w:sz w:val="21"/>
          <w:szCs w:val="21"/>
        </w:rPr>
        <w:t>(180)联储证券股份有限公司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深圳市福田区华强北路圣廷苑酒店B座26楼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吕春卫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张婉婷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010-86499765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0755-82075835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4006206868/010-56177851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http://www.lczq.com/ </w:t>
            </w:r>
          </w:p>
        </w:tc>
      </w:tr>
    </w:tbl>
    <w:p>
      <w:pPr>
        <w:pStyle w:val="7"/>
        <w:spacing w:before="0" w:beforeAutospacing="0" w:after="0" w:afterAutospacing="0" w:line="360" w:lineRule="auto"/>
        <w:ind w:firstLine="420"/>
        <w:rPr>
          <w:sz w:val="21"/>
          <w:szCs w:val="21"/>
        </w:rPr>
      </w:pPr>
      <w:r>
        <w:rPr>
          <w:rFonts w:hint="eastAsia"/>
          <w:b/>
          <w:bCs/>
          <w:sz w:val="21"/>
          <w:szCs w:val="21"/>
        </w:rPr>
        <w:t>(181)华瑞保险销售有限公司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上海市嘉定区南翔镇众仁路399号运通星财富广场1号楼B座13、14层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上海市浦东区向城路288号国华金融大厦8楼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路昊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张爽爽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021-68595976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021-68595766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4001115818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www.huaruisales.com </w:t>
            </w:r>
          </w:p>
        </w:tc>
      </w:tr>
    </w:tbl>
    <w:p>
      <w:pPr>
        <w:pStyle w:val="7"/>
        <w:spacing w:before="0" w:beforeAutospacing="0" w:after="0" w:afterAutospacing="0" w:line="360" w:lineRule="auto"/>
        <w:ind w:firstLine="420"/>
        <w:rPr>
          <w:sz w:val="21"/>
          <w:szCs w:val="21"/>
        </w:rPr>
      </w:pPr>
      <w:r>
        <w:rPr>
          <w:rFonts w:hint="eastAsia"/>
          <w:b/>
          <w:bCs/>
          <w:sz w:val="21"/>
          <w:szCs w:val="21"/>
        </w:rPr>
        <w:t>(182)玄元保险代理有限公司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马永谙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卢亚博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4000808208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www.licaimofang.com </w:t>
            </w:r>
          </w:p>
        </w:tc>
      </w:tr>
    </w:tbl>
    <w:p>
      <w:pPr>
        <w:pStyle w:val="7"/>
        <w:spacing w:before="0" w:beforeAutospacing="0" w:after="0" w:afterAutospacing="0" w:line="360" w:lineRule="auto"/>
        <w:ind w:firstLine="420"/>
        <w:rPr>
          <w:sz w:val="21"/>
          <w:szCs w:val="21"/>
        </w:rPr>
      </w:pPr>
      <w:r>
        <w:rPr>
          <w:rFonts w:hint="eastAsia"/>
          <w:b/>
          <w:bCs/>
          <w:sz w:val="21"/>
          <w:szCs w:val="21"/>
        </w:rPr>
        <w:t>(183)阳光人寿保险股份有限公司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海南省三亚市迎宾路360-1号三亚阳光金融广场16层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北京市朝阳区朝外大街20号联合大厦701A室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010-59053660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010-85632773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http://fund.sinosig.com/ </w:t>
            </w:r>
          </w:p>
        </w:tc>
      </w:tr>
    </w:tbl>
    <w:p>
      <w:pPr>
        <w:pStyle w:val="7"/>
        <w:spacing w:before="0" w:beforeAutospacing="0" w:after="0" w:afterAutospacing="0" w:line="360" w:lineRule="auto"/>
        <w:ind w:firstLine="420"/>
        <w:rPr>
          <w:sz w:val="21"/>
          <w:szCs w:val="21"/>
        </w:rPr>
      </w:pPr>
      <w:r>
        <w:rPr>
          <w:rFonts w:hint="eastAsia"/>
          <w:b/>
          <w:bCs/>
          <w:sz w:val="21"/>
          <w:szCs w:val="21"/>
        </w:rPr>
        <w:t>(184)中宏人寿保险有限公司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6"/>
        <w:gridCol w:w="6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中国（上海）自由贸易试验区世纪大道88号金茂大厦6楼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中国（上海）自由贸易试验区世纪大道88号金茂大厦6楼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何达德 (Michael Edward Huddart)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傅其灏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021-20698888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021-50491110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http://www.manulife-sinochem.com/ </w:t>
            </w:r>
          </w:p>
        </w:tc>
      </w:tr>
    </w:tbl>
    <w:p>
      <w:pPr>
        <w:pStyle w:val="7"/>
        <w:spacing w:before="0" w:beforeAutospacing="0" w:after="0" w:afterAutospacing="0" w:line="360" w:lineRule="auto"/>
        <w:ind w:firstLine="420"/>
        <w:rPr>
          <w:sz w:val="21"/>
          <w:szCs w:val="21"/>
        </w:rPr>
      </w:pPr>
      <w:r>
        <w:rPr>
          <w:rFonts w:hint="eastAsia"/>
          <w:b/>
          <w:bCs/>
          <w:sz w:val="21"/>
          <w:szCs w:val="21"/>
        </w:rPr>
        <w:t>(185)中国人寿保险股份有限公司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中国北京市西城区金融大街16号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中国北京市西城区金融大街16号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白涛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秦泽伟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010-63631539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010-66222276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www.e-chinalife.com </w:t>
            </w:r>
          </w:p>
        </w:tc>
      </w:tr>
    </w:tbl>
    <w:p>
      <w:pPr>
        <w:pStyle w:val="7"/>
        <w:spacing w:before="0" w:beforeAutospacing="0" w:after="0" w:afterAutospacing="0" w:line="360" w:lineRule="auto"/>
        <w:ind w:firstLine="420"/>
        <w:rPr>
          <w:sz w:val="21"/>
          <w:szCs w:val="21"/>
        </w:rPr>
      </w:pPr>
      <w:r>
        <w:rPr>
          <w:rFonts w:hint="eastAsia"/>
          <w:b/>
          <w:bCs/>
          <w:sz w:val="21"/>
          <w:szCs w:val="21"/>
        </w:rPr>
        <w:t>(186)泉州银行股份有限公司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泉州市丰泽区泉泰路266号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泉州市丰泽区泉泰路266号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林阳发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骆剑峰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0595-22551071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0595-22505215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400-889-6312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www.qzccbank.com </w:t>
            </w:r>
          </w:p>
        </w:tc>
      </w:tr>
    </w:tbl>
    <w:p>
      <w:pPr>
        <w:pStyle w:val="7"/>
        <w:spacing w:before="0" w:beforeAutospacing="0" w:after="0" w:afterAutospacing="0" w:line="360" w:lineRule="auto"/>
        <w:ind w:firstLine="420"/>
        <w:rPr>
          <w:sz w:val="21"/>
          <w:szCs w:val="21"/>
        </w:rPr>
      </w:pPr>
      <w:r>
        <w:rPr>
          <w:rFonts w:hint="eastAsia"/>
          <w:b/>
          <w:bCs/>
          <w:sz w:val="21"/>
          <w:szCs w:val="21"/>
        </w:rPr>
        <w:t>(187)锦州银行股份有限公司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辽宁省锦州市科技路68号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辽宁省锦州市科技路68号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魏学坤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吴舒钰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0416-4516095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0416-3220186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400-66-96178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www.jinzhoubank.com </w:t>
            </w:r>
          </w:p>
        </w:tc>
      </w:tr>
    </w:tbl>
    <w:p>
      <w:pPr>
        <w:pStyle w:val="7"/>
        <w:spacing w:before="0" w:beforeAutospacing="0" w:after="0" w:afterAutospacing="0" w:line="360" w:lineRule="auto"/>
        <w:ind w:firstLine="420"/>
        <w:rPr>
          <w:sz w:val="21"/>
          <w:szCs w:val="21"/>
        </w:rPr>
      </w:pPr>
      <w:r>
        <w:rPr>
          <w:rFonts w:hint="eastAsia"/>
          <w:b/>
          <w:bCs/>
          <w:sz w:val="21"/>
          <w:szCs w:val="21"/>
        </w:rPr>
        <w:t>(188)浙江泰隆商业银行股份有限公司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浙江省台州市路桥区南官大道188号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浙江省杭州市望江东路59号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95347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0571-87788818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http://www.zjtlcb.com/ </w:t>
            </w:r>
          </w:p>
        </w:tc>
      </w:tr>
    </w:tbl>
    <w:p>
      <w:pPr>
        <w:pStyle w:val="7"/>
        <w:spacing w:before="0" w:beforeAutospacing="0" w:after="0" w:afterAutospacing="0" w:line="360" w:lineRule="auto"/>
        <w:ind w:firstLine="420"/>
        <w:rPr>
          <w:sz w:val="21"/>
          <w:szCs w:val="21"/>
        </w:rPr>
      </w:pPr>
      <w:r>
        <w:rPr>
          <w:rFonts w:hint="eastAsia"/>
          <w:b/>
          <w:bCs/>
          <w:sz w:val="21"/>
          <w:szCs w:val="21"/>
        </w:rPr>
        <w:t>(189)青岛农村商业银行股份有限公司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山东省青岛市崂山区秦岭路6号1号楼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山东省青岛市崂山区秦岭路6号1号楼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王锡峰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严菲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0532-66957360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0532-66957229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0532-96668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www.qrcb.com.cn </w:t>
            </w:r>
          </w:p>
        </w:tc>
      </w:tr>
    </w:tbl>
    <w:p>
      <w:pPr>
        <w:pStyle w:val="7"/>
        <w:spacing w:before="0" w:beforeAutospacing="0" w:after="0" w:afterAutospacing="0" w:line="360" w:lineRule="auto"/>
        <w:ind w:firstLine="420"/>
        <w:rPr>
          <w:sz w:val="21"/>
          <w:szCs w:val="21"/>
        </w:rPr>
      </w:pPr>
      <w:r>
        <w:rPr>
          <w:rFonts w:hint="eastAsia"/>
          <w:b/>
          <w:bCs/>
          <w:sz w:val="21"/>
          <w:szCs w:val="21"/>
        </w:rPr>
        <w:t>(190)深圳前海微众银行股份有限公司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广东省深圳市前海深港合作区前湾一路 1号A栋201室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深圳市南山区沙河西路1819号深圳湾科技生态园7栋A座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顾敏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白冰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89959999-3306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http://www.webank.com/ </w:t>
            </w:r>
          </w:p>
        </w:tc>
      </w:tr>
    </w:tbl>
    <w:p>
      <w:pPr>
        <w:pStyle w:val="7"/>
        <w:spacing w:before="0" w:beforeAutospacing="0" w:after="0" w:afterAutospacing="0" w:line="360" w:lineRule="auto"/>
        <w:ind w:firstLine="420"/>
        <w:rPr>
          <w:sz w:val="21"/>
          <w:szCs w:val="21"/>
        </w:rPr>
      </w:pPr>
      <w:r>
        <w:rPr>
          <w:rFonts w:hint="eastAsia"/>
          <w:b/>
          <w:bCs/>
          <w:sz w:val="21"/>
          <w:szCs w:val="21"/>
        </w:rPr>
        <w:t>(191)桂林银行股份有限公司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桂林市临桂区公园北路8号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桂林市临桂区公园北路8号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陈林锴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0773-3879905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0773-3820180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400-86-96299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www.guilinbank.com.cn </w:t>
            </w:r>
          </w:p>
        </w:tc>
      </w:tr>
    </w:tbl>
    <w:p>
      <w:pPr>
        <w:pStyle w:val="7"/>
        <w:spacing w:before="0" w:beforeAutospacing="0" w:after="0" w:afterAutospacing="0" w:line="360" w:lineRule="auto"/>
        <w:ind w:firstLine="420"/>
        <w:rPr>
          <w:sz w:val="21"/>
          <w:szCs w:val="21"/>
        </w:rPr>
      </w:pPr>
      <w:r>
        <w:rPr>
          <w:rFonts w:hint="eastAsia"/>
          <w:b/>
          <w:bCs/>
          <w:sz w:val="21"/>
          <w:szCs w:val="21"/>
        </w:rPr>
        <w:t>(192)浙江义乌农村商业银行股份有限公司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浙江省义乌市福田街道城北路677号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浙江省义乌市福田街道城北路677号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吴志良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余剑双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0579-85562583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0579-85562713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0579-85562583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http://ywbank.com/ </w:t>
            </w:r>
          </w:p>
        </w:tc>
      </w:tr>
    </w:tbl>
    <w:p>
      <w:pPr>
        <w:pStyle w:val="7"/>
        <w:spacing w:before="0" w:beforeAutospacing="0" w:after="0" w:afterAutospacing="0" w:line="360" w:lineRule="auto"/>
        <w:ind w:firstLine="420"/>
        <w:rPr>
          <w:sz w:val="21"/>
          <w:szCs w:val="21"/>
        </w:rPr>
      </w:pPr>
      <w:r>
        <w:rPr>
          <w:rFonts w:hint="eastAsia"/>
          <w:b/>
          <w:bCs/>
          <w:sz w:val="21"/>
          <w:szCs w:val="21"/>
        </w:rPr>
        <w:t>(193)兰州银行股份有限公司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甘肃省兰州市城关区酒泉路211号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甘肃省兰州市城关区酒泉路211号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司艳春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0931-4600239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0931-4600239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0931-96799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www.lzbank.com </w:t>
            </w:r>
          </w:p>
        </w:tc>
      </w:tr>
    </w:tbl>
    <w:p>
      <w:pPr>
        <w:pStyle w:val="7"/>
        <w:spacing w:before="0" w:beforeAutospacing="0" w:after="0" w:afterAutospacing="0" w:line="360" w:lineRule="auto"/>
        <w:ind w:firstLine="420"/>
        <w:rPr>
          <w:sz w:val="21"/>
          <w:szCs w:val="21"/>
        </w:rPr>
      </w:pPr>
      <w:r>
        <w:rPr>
          <w:rFonts w:hint="eastAsia"/>
          <w:b/>
          <w:bCs/>
          <w:sz w:val="21"/>
          <w:szCs w:val="21"/>
        </w:rPr>
        <w:t>(194)厦门国际银行股份有限公司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厦门市思明区鹭江道8-10号国际银行大厦1-6层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厦门市思明区鹭江道8-10号国际银行大厦1-6层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王晓健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郭景波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0592-2078888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0592-2100752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www.xib.com.cn </w:t>
            </w:r>
          </w:p>
        </w:tc>
      </w:tr>
    </w:tbl>
    <w:p>
      <w:pPr>
        <w:pStyle w:val="7"/>
        <w:spacing w:before="0" w:beforeAutospacing="0" w:after="0" w:afterAutospacing="0" w:line="360" w:lineRule="auto"/>
        <w:ind w:firstLine="420"/>
        <w:rPr>
          <w:sz w:val="21"/>
          <w:szCs w:val="21"/>
        </w:rPr>
      </w:pPr>
      <w:r>
        <w:rPr>
          <w:rFonts w:hint="eastAsia"/>
          <w:b/>
          <w:bCs/>
          <w:sz w:val="21"/>
          <w:szCs w:val="21"/>
        </w:rPr>
        <w:t>(195)贵州银行股份有限公司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贵州省贵阳市观山湖区永昌路9号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贵州省贵阳市观山湖区永昌路9号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杨明尚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张路楠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0851-88606775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96655（全省）4000696655（全国）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www.bgzchina.com </w:t>
            </w:r>
          </w:p>
        </w:tc>
      </w:tr>
    </w:tbl>
    <w:p>
      <w:pPr>
        <w:pStyle w:val="7"/>
        <w:spacing w:before="0" w:beforeAutospacing="0" w:after="0" w:afterAutospacing="0" w:line="360" w:lineRule="auto"/>
        <w:ind w:firstLine="420"/>
        <w:rPr>
          <w:sz w:val="21"/>
          <w:szCs w:val="21"/>
        </w:rPr>
      </w:pPr>
      <w:r>
        <w:rPr>
          <w:rFonts w:hint="eastAsia"/>
          <w:b/>
          <w:bCs/>
          <w:sz w:val="21"/>
          <w:szCs w:val="21"/>
        </w:rPr>
        <w:t>(196)中信百信银行股份有限公司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北京市朝阳区安定路5号院3号楼8层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北京市朝阳区安定路5号院3号楼6-11层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李如东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010-50925699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010-50925690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4008180100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www.aibank.com </w:t>
            </w:r>
          </w:p>
        </w:tc>
      </w:tr>
    </w:tbl>
    <w:p>
      <w:pPr>
        <w:rPr>
          <w:rFonts w:ascii="宋体" w:hAnsi="宋体" w:eastAsia="宋体"/>
          <w:sz w:val="24"/>
          <w:szCs w:val="24"/>
        </w:rPr>
      </w:pPr>
      <w:bookmarkStart w:id="62" w:name="field_0_allproxysaletables_1_end"/>
      <w:bookmarkEnd w:id="62"/>
      <w:r>
        <w:rPr>
          <w:rFonts w:ascii="宋体" w:hAnsi="宋体" w:eastAsia="宋体"/>
        </w:rPr>
        <w:t xml:space="preserve">  </w:t>
      </w:r>
    </w:p>
    <w:p>
      <w:pPr>
        <w:pStyle w:val="7"/>
        <w:spacing w:before="0" w:beforeAutospacing="0" w:after="0" w:afterAutospacing="0" w:line="360" w:lineRule="auto"/>
        <w:ind w:firstLine="420"/>
        <w:rPr>
          <w:sz w:val="21"/>
          <w:szCs w:val="21"/>
        </w:rPr>
      </w:pPr>
      <w:bookmarkStart w:id="63" w:name="chapter_level1_7_56_section_2_end"/>
      <w:bookmarkEnd w:id="63"/>
    </w:p>
    <w:p>
      <w:pPr>
        <w:pStyle w:val="7"/>
        <w:spacing w:before="0" w:beforeAutospacing="0" w:after="0" w:afterAutospacing="0" w:line="360" w:lineRule="auto"/>
        <w:ind w:firstLine="420"/>
        <w:rPr>
          <w:sz w:val="21"/>
          <w:szCs w:val="21"/>
        </w:rPr>
      </w:pPr>
      <w:bookmarkStart w:id="64" w:name="chapter_level1_7_56_section_3"/>
      <w:bookmarkEnd w:id="64"/>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65" w:name="field_0_registercompanyinfo_1_start"/>
      <w:bookmarkEnd w:id="65"/>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6" w:name="field_0_registercompanyinfo_1_end"/>
      <w:bookmarkEnd w:id="66"/>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负责人：俞卫锋 </w:t>
      </w:r>
    </w:p>
    <w:p>
      <w:pPr>
        <w:pStyle w:val="7"/>
        <w:spacing w:before="0" w:beforeAutospacing="0" w:after="0" w:afterAutospacing="0" w:line="360" w:lineRule="auto"/>
        <w:ind w:firstLine="420"/>
        <w:rPr>
          <w:sz w:val="21"/>
          <w:szCs w:val="21"/>
        </w:rPr>
      </w:pPr>
      <w:r>
        <w:rPr>
          <w:rFonts w:hint="eastAsia"/>
          <w:sz w:val="21"/>
          <w:szCs w:val="21"/>
        </w:rPr>
        <w:t xml:space="preserve">电话：021-31358666 </w:t>
      </w:r>
    </w:p>
    <w:p>
      <w:pPr>
        <w:pStyle w:val="7"/>
        <w:spacing w:before="0" w:beforeAutospacing="0" w:after="0" w:afterAutospacing="0" w:line="360" w:lineRule="auto"/>
        <w:ind w:firstLine="420"/>
        <w:rPr>
          <w:sz w:val="21"/>
          <w:szCs w:val="21"/>
        </w:rPr>
      </w:pPr>
      <w:r>
        <w:rPr>
          <w:rFonts w:hint="eastAsia"/>
          <w:sz w:val="21"/>
          <w:szCs w:val="21"/>
        </w:rPr>
        <w:t xml:space="preserve">传真：021-31358600 </w:t>
      </w:r>
    </w:p>
    <w:p>
      <w:pPr>
        <w:pStyle w:val="7"/>
        <w:spacing w:before="0" w:beforeAutospacing="0" w:after="0" w:afterAutospacing="0" w:line="360" w:lineRule="auto"/>
        <w:ind w:firstLine="420"/>
        <w:rPr>
          <w:sz w:val="21"/>
          <w:szCs w:val="21"/>
        </w:rPr>
      </w:pPr>
      <w:r>
        <w:rPr>
          <w:rFonts w:hint="eastAsia"/>
          <w:sz w:val="21"/>
          <w:szCs w:val="21"/>
        </w:rPr>
        <w:t xml:space="preserve">联系人：安冬 </w:t>
      </w:r>
    </w:p>
    <w:p>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bookmarkStart w:id="67" w:name="field_0_accountingcompanyinfo_1_start"/>
      <w:bookmarkEnd w:id="67"/>
      <w:r>
        <w:rPr>
          <w:rFonts w:hint="eastAsia"/>
          <w:sz w:val="21"/>
          <w:szCs w:val="21"/>
        </w:rPr>
        <w:t xml:space="preserve">名称：容诚会计师事务所（特殊普通合伙）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pPr>
        <w:pStyle w:val="7"/>
        <w:spacing w:before="0" w:beforeAutospacing="0" w:after="0" w:afterAutospacing="0" w:line="360" w:lineRule="auto"/>
        <w:ind w:firstLine="420"/>
        <w:rPr>
          <w:sz w:val="21"/>
          <w:szCs w:val="21"/>
        </w:rPr>
      </w:pPr>
      <w:r>
        <w:rPr>
          <w:rFonts w:hint="eastAsia"/>
          <w:sz w:val="21"/>
          <w:szCs w:val="21"/>
        </w:rPr>
        <w:t xml:space="preserve">传真：010-66001392 </w:t>
      </w:r>
    </w:p>
    <w:p>
      <w:pPr>
        <w:pStyle w:val="7"/>
        <w:spacing w:before="0" w:beforeAutospacing="0" w:after="0" w:afterAutospacing="0" w:line="360" w:lineRule="auto"/>
        <w:ind w:firstLine="420"/>
        <w:rPr>
          <w:sz w:val="21"/>
          <w:szCs w:val="21"/>
        </w:rPr>
      </w:pPr>
      <w:r>
        <w:rPr>
          <w:rFonts w:hint="eastAsia"/>
          <w:sz w:val="21"/>
          <w:szCs w:val="21"/>
        </w:rPr>
        <w:t xml:space="preserve">联系人：吴琳杰 </w:t>
      </w:r>
    </w:p>
    <w:p>
      <w:pPr>
        <w:pStyle w:val="7"/>
        <w:spacing w:before="0" w:beforeAutospacing="0" w:after="0" w:afterAutospacing="0" w:line="360" w:lineRule="auto"/>
        <w:ind w:firstLine="420"/>
        <w:rPr>
          <w:sz w:val="21"/>
          <w:szCs w:val="21"/>
        </w:rPr>
      </w:pPr>
      <w:bookmarkStart w:id="68" w:name="chapter_level1_7_56_section_3_end"/>
      <w:bookmarkEnd w:id="68"/>
      <w:r>
        <w:rPr>
          <w:rFonts w:hint="eastAsia"/>
          <w:sz w:val="21"/>
          <w:szCs w:val="21"/>
        </w:rPr>
        <w:t xml:space="preserve">经办注册会计师：薛竞 吴琳杰 </w:t>
      </w:r>
      <w:bookmarkStart w:id="69" w:name="field_0_accountingcompanyinfo_1_end"/>
      <w:bookmarkEnd w:id="6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0" w:name="_Toc207979130"/>
      <w:bookmarkStart w:id="71" w:name="chapter_level1_9_58"/>
      <w:r>
        <w:rPr>
          <w:rFonts w:hint="eastAsia" w:ascii="宋体" w:hAnsi="宋体" w:eastAsia="宋体"/>
          <w:sz w:val="30"/>
        </w:rPr>
        <w:t>第六部分 基金的历史沿革和存续</w:t>
      </w:r>
      <w:bookmarkEnd w:id="70"/>
      <w:bookmarkEnd w:id="71"/>
    </w:p>
    <w:p>
      <w:pPr>
        <w:pStyle w:val="7"/>
        <w:spacing w:before="0" w:beforeAutospacing="0" w:after="0" w:afterAutospacing="0" w:line="360" w:lineRule="auto"/>
        <w:ind w:firstLine="420"/>
        <w:rPr>
          <w:sz w:val="21"/>
          <w:szCs w:val="21"/>
        </w:rPr>
      </w:pPr>
      <w:bookmarkStart w:id="72" w:name="chapter_level1_9_58_section_1"/>
      <w:bookmarkEnd w:id="72"/>
      <w:r>
        <w:rPr>
          <w:rStyle w:val="11"/>
          <w:rFonts w:hint="eastAsia"/>
          <w:sz w:val="21"/>
          <w:szCs w:val="21"/>
        </w:rPr>
        <w:t>一、基金的历史沿革</w:t>
      </w:r>
    </w:p>
    <w:p>
      <w:pPr>
        <w:pStyle w:val="7"/>
        <w:spacing w:before="0" w:beforeAutospacing="0" w:after="0" w:afterAutospacing="0" w:line="360" w:lineRule="auto"/>
        <w:ind w:firstLine="420"/>
        <w:rPr>
          <w:sz w:val="21"/>
          <w:szCs w:val="21"/>
        </w:rPr>
      </w:pPr>
      <w:bookmarkStart w:id="73" w:name="field_0_productfullname_8"/>
      <w:r>
        <w:rPr>
          <w:rFonts w:hint="eastAsia"/>
          <w:sz w:val="21"/>
          <w:szCs w:val="21"/>
        </w:rPr>
        <w:t>博时创业板交易型开放式指数证券投资基金联接基金</w:t>
      </w:r>
      <w:bookmarkEnd w:id="73"/>
      <w:r>
        <w:rPr>
          <w:rFonts w:hint="eastAsia"/>
          <w:sz w:val="21"/>
          <w:szCs w:val="21"/>
        </w:rPr>
        <w:t>由博时深证基本面200交易型开放式指数证券投资基金联接基金转型而来。博时深证基本面200交易型开放式指数证券投资基金联接基金经中国证监会证监许可[2011]498号文核准募集，基金管理人为</w:t>
      </w:r>
      <w:bookmarkStart w:id="74" w:name="field_0_managerorgfullname_5"/>
      <w:r>
        <w:rPr>
          <w:rFonts w:hint="eastAsia"/>
          <w:sz w:val="21"/>
          <w:szCs w:val="21"/>
        </w:rPr>
        <w:t>博时基金管理有限公司</w:t>
      </w:r>
      <w:bookmarkEnd w:id="74"/>
      <w:r>
        <w:rPr>
          <w:rFonts w:hint="eastAsia"/>
          <w:sz w:val="21"/>
          <w:szCs w:val="21"/>
        </w:rPr>
        <w:t>，基金托管人为</w:t>
      </w:r>
      <w:bookmarkStart w:id="75" w:name="field_0_trustorgfullname_2"/>
      <w:r>
        <w:rPr>
          <w:rFonts w:hint="eastAsia"/>
          <w:sz w:val="21"/>
          <w:szCs w:val="21"/>
        </w:rPr>
        <w:t>交通银行股份有限公司</w:t>
      </w:r>
      <w:bookmarkEnd w:id="75"/>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博时深证基本面200交易型开放式指数证券投资基金联接基金自2011年5月3日起至2011年6月3日公开募集，募集结束后基金管理人向中国证监会办理备案手续。经中国证监会书面确认，《博时深证基本面200交易型开放式指数证券投资基金联接基金基金合同》于2011年6月10日生效。 </w:t>
      </w:r>
    </w:p>
    <w:p>
      <w:pPr>
        <w:pStyle w:val="7"/>
        <w:spacing w:before="0" w:beforeAutospacing="0" w:after="0" w:afterAutospacing="0" w:line="360" w:lineRule="auto"/>
        <w:ind w:firstLine="420"/>
        <w:rPr>
          <w:sz w:val="21"/>
          <w:szCs w:val="21"/>
        </w:rPr>
      </w:pPr>
      <w:r>
        <w:rPr>
          <w:rFonts w:hint="eastAsia"/>
          <w:sz w:val="21"/>
          <w:szCs w:val="21"/>
        </w:rPr>
        <w:t>2018年12月3日，以通讯方式召开的博时深证基本面200交易型开放式指数证券投资基金联接基金基金份额持有人大会审议并通过了《关于修改博时深证基本面200交易型开放式指数证券投资基金联接基金基金合同有关事项的议案》，内容包括博时深证基本面200交易型开放式指数证券投资基金联接基金变更名称、修改基金投资标的指数、修改基金投资范围、修订基金合同等事项。自2018年12月10日起，《博时深证基本面200交易型开放式指数证券投资基金联接基金基金合同》失效且《</w:t>
      </w:r>
      <w:bookmarkStart w:id="76" w:name="field_0_productfullname_9"/>
      <w:r>
        <w:rPr>
          <w:rFonts w:hint="eastAsia"/>
          <w:sz w:val="21"/>
          <w:szCs w:val="21"/>
        </w:rPr>
        <w:t>博时创业板交易型开放式指数证券投资基金联接基金</w:t>
      </w:r>
      <w:bookmarkEnd w:id="76"/>
      <w:r>
        <w:rPr>
          <w:rFonts w:hint="eastAsia"/>
          <w:sz w:val="21"/>
          <w:szCs w:val="21"/>
        </w:rPr>
        <w:t xml:space="preserve">基金合同》同时生效。 </w:t>
      </w:r>
    </w:p>
    <w:p>
      <w:pPr>
        <w:pStyle w:val="7"/>
        <w:spacing w:before="0" w:beforeAutospacing="0" w:after="0" w:afterAutospacing="0" w:line="360" w:lineRule="auto"/>
        <w:ind w:firstLine="420"/>
        <w:rPr>
          <w:sz w:val="21"/>
          <w:szCs w:val="21"/>
        </w:rPr>
      </w:pPr>
      <w:bookmarkStart w:id="77" w:name="chapter_level1_9_58_section_2"/>
      <w:bookmarkEnd w:id="77"/>
      <w:r>
        <w:rPr>
          <w:rStyle w:val="11"/>
          <w:rFonts w:hint="eastAsia"/>
          <w:sz w:val="21"/>
          <w:szCs w:val="21"/>
        </w:rPr>
        <w:t>二、基金存续期内的基金份额持有人数量和资产规模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 xml:space="preserve">《基金合同》生效后，若连续二十个工作日出现基金份额持有人数量不满二百人或者基金资产净值低于五千万元情形的，基金管理人应当在定期报告中予以披露；连续六十个工作日出现前述情形的，基金管理人应当向中国证监会报告并提出解决方案，如转换运作方式、与其他基金合并或者终止基金合同等，并召开基金份额持有人大会进行表决。 </w:t>
      </w:r>
    </w:p>
    <w:p>
      <w:pPr>
        <w:pStyle w:val="7"/>
        <w:spacing w:before="0" w:beforeAutospacing="0" w:after="0" w:afterAutospacing="0" w:line="360" w:lineRule="auto"/>
        <w:ind w:firstLine="420"/>
        <w:rPr>
          <w:sz w:val="21"/>
          <w:szCs w:val="21"/>
        </w:rPr>
      </w:pPr>
      <w:bookmarkStart w:id="78" w:name="chapter_level1_9_58_section_2_end"/>
      <w:bookmarkEnd w:id="78"/>
      <w:r>
        <w:rPr>
          <w:rFonts w:hint="eastAsia"/>
          <w:sz w:val="21"/>
          <w:szCs w:val="21"/>
        </w:rPr>
        <w:t xml:space="preserve">法律法规另有规定时，从其规定。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9" w:name="_Toc207979131"/>
      <w:bookmarkStart w:id="80" w:name="chapter_level1_10_59"/>
      <w:r>
        <w:rPr>
          <w:rFonts w:hint="eastAsia" w:ascii="宋体" w:hAnsi="宋体" w:eastAsia="宋体"/>
          <w:sz w:val="30"/>
        </w:rPr>
        <w:t>第七部分  基金份额的申购与赎回</w:t>
      </w:r>
      <w:bookmarkEnd w:id="79"/>
      <w:bookmarkEnd w:id="80"/>
    </w:p>
    <w:p>
      <w:pPr>
        <w:pStyle w:val="7"/>
        <w:spacing w:before="0" w:beforeAutospacing="0" w:after="0" w:afterAutospacing="0" w:line="360" w:lineRule="auto"/>
        <w:ind w:firstLine="420"/>
        <w:rPr>
          <w:sz w:val="21"/>
          <w:szCs w:val="21"/>
        </w:rPr>
      </w:pPr>
      <w:bookmarkStart w:id="81" w:name="chapter_level1_10_59_section_1"/>
      <w:bookmarkEnd w:id="81"/>
      <w:r>
        <w:rPr>
          <w:rStyle w:val="11"/>
          <w:rFonts w:hint="eastAsia"/>
          <w:sz w:val="21"/>
          <w:szCs w:val="21"/>
        </w:rPr>
        <w:t>一、申购和赎回场所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相关公告中列明。基金管理人可根据情况变更或增减销售机构，并在基金管理人网站公示。基金投资人应当在销售机构办理基金销售业务的营业场所或按销售机构提供的其他方式办理基金份额的申购与赎回。若基金管理人或其指定的销售机构开通电话、传真或网上等交易方式，投</w:t>
      </w:r>
      <w:bookmarkStart w:id="82" w:name="chapter_level1_10_59_section_1_end"/>
      <w:bookmarkEnd w:id="82"/>
      <w:r>
        <w:rPr>
          <w:rFonts w:hint="eastAsia"/>
          <w:sz w:val="21"/>
          <w:szCs w:val="21"/>
        </w:rPr>
        <w:t xml:space="preserve">资人可以通过上述方式进行申购与赎回。 </w:t>
      </w:r>
    </w:p>
    <w:p>
      <w:pPr>
        <w:pStyle w:val="7"/>
        <w:spacing w:before="0" w:beforeAutospacing="0" w:after="0" w:afterAutospacing="0" w:line="360" w:lineRule="auto"/>
        <w:ind w:firstLine="420"/>
        <w:rPr>
          <w:sz w:val="21"/>
          <w:szCs w:val="21"/>
        </w:rPr>
      </w:pPr>
      <w:bookmarkStart w:id="83" w:name="chapter_level1_10_59_section_2"/>
      <w:bookmarkEnd w:id="83"/>
      <w:r>
        <w:rPr>
          <w:rStyle w:val="11"/>
          <w:rFonts w:hint="eastAsia"/>
          <w:sz w:val="21"/>
          <w:szCs w:val="21"/>
        </w:rPr>
        <w:t>二、申购和赎回的开放日及时间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r>
        <w:rPr>
          <w:rFonts w:hint="eastAsia"/>
          <w:sz w:val="21"/>
          <w:szCs w:val="21"/>
        </w:rPr>
        <w:t xml:space="preserve">基金管理人自基金合同生效之日起不超过三个月开始办理申购，具体业务办理时间在申购开始公告中规定。 </w:t>
      </w:r>
    </w:p>
    <w:p>
      <w:pPr>
        <w:pStyle w:val="7"/>
        <w:spacing w:before="0" w:beforeAutospacing="0" w:after="0" w:afterAutospacing="0" w:line="360" w:lineRule="auto"/>
        <w:ind w:firstLine="420"/>
        <w:rPr>
          <w:sz w:val="21"/>
          <w:szCs w:val="21"/>
        </w:rPr>
      </w:pPr>
      <w:r>
        <w:rPr>
          <w:rFonts w:hint="eastAsia"/>
          <w:sz w:val="21"/>
          <w:szCs w:val="21"/>
        </w:rPr>
        <w:t xml:space="preserve">基金管理人自基金合同生效之日起不超过三个月开始办理赎回，具体业务办理时间在赎回开始公告中规定。 </w:t>
      </w:r>
    </w:p>
    <w:p>
      <w:pPr>
        <w:pStyle w:val="7"/>
        <w:spacing w:before="0" w:beforeAutospacing="0" w:after="0" w:afterAutospacing="0" w:line="360" w:lineRule="auto"/>
        <w:ind w:firstLine="420"/>
        <w:rPr>
          <w:sz w:val="21"/>
          <w:szCs w:val="21"/>
        </w:rPr>
      </w:pPr>
      <w:r>
        <w:rPr>
          <w:rFonts w:hint="eastAsia"/>
          <w:sz w:val="21"/>
          <w:szCs w:val="21"/>
        </w:rPr>
        <w:t xml:space="preserve">在确定申购开始与赎回开始时间后，基金管理人应在申购、赎回开放日前依照《信息披露办法》的有关规定在指定媒介上公告申购与赎回的开始时间。 </w:t>
      </w:r>
    </w:p>
    <w:p>
      <w:pPr>
        <w:pStyle w:val="7"/>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基金管理人不得在基金合同约定之外的日期或者时间办理基金份额的申购、赎回或者转换。投资人在基金合同约定之外的日期和时间提出申购、赎回或转换申请且登记机构确认接</w:t>
      </w:r>
      <w:bookmarkStart w:id="84" w:name="chapter_level1_10_59_section_2_end"/>
      <w:bookmarkEnd w:id="84"/>
      <w:r>
        <w:rPr>
          <w:rFonts w:hint="eastAsia"/>
          <w:sz w:val="21"/>
          <w:szCs w:val="21"/>
        </w:rPr>
        <w:t xml:space="preserve">受的，其基金份额申购、赎回价格为下一开放日该类基金份额申购、赎回的价格。 </w:t>
      </w:r>
    </w:p>
    <w:p>
      <w:pPr>
        <w:pStyle w:val="7"/>
        <w:spacing w:before="0" w:beforeAutospacing="0" w:after="0" w:afterAutospacing="0" w:line="360" w:lineRule="auto"/>
        <w:ind w:firstLine="420"/>
        <w:rPr>
          <w:sz w:val="21"/>
          <w:szCs w:val="21"/>
        </w:rPr>
      </w:pPr>
      <w:bookmarkStart w:id="85" w:name="chapter_level1_10_59_section_3"/>
      <w:bookmarkEnd w:id="85"/>
      <w:r>
        <w:rPr>
          <w:rStyle w:val="11"/>
          <w:rFonts w:hint="eastAsia"/>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基金管理人可在法律法规允许的情况下，对上述原则进行调整。基金管理人必须在新规则开始实施前依照《信息披露办法》的有关规定在指定媒介上公告。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在规定的时间内全额交付申购款项，否则所提交的申购申请不成立。投资人在提交赎回申请时须持有足够的基金份额余额，否则所提交的赎回申请不成立。投资人交付申购款项，申购成立；登记机构确认基金份额时，申购生效。基金份额持有人递交赎回申请，赎回成立；登记机构确认赎回时，赎回生效。 </w:t>
      </w:r>
    </w:p>
    <w:p>
      <w:pPr>
        <w:pStyle w:val="7"/>
        <w:spacing w:before="0" w:beforeAutospacing="0" w:after="0" w:afterAutospacing="0" w:line="360" w:lineRule="auto"/>
        <w:ind w:firstLine="420"/>
        <w:rPr>
          <w:sz w:val="21"/>
          <w:szCs w:val="21"/>
        </w:rPr>
      </w:pPr>
      <w:r>
        <w:rPr>
          <w:rFonts w:hint="eastAsia"/>
          <w:sz w:val="21"/>
          <w:szCs w:val="21"/>
        </w:rPr>
        <w:t xml:space="preserve">投资人赎回申请生效后，基金管理人将在T＋7日(包括该日)内支付赎回款项。如遇证券、期货交易所或交易市场数据传输延迟、通讯系统故障、银行数据交换系统故障或其他非基金管理人及基金托管人所能控制的因素影响了业务流程，则赎回款项划付时间相应顺延。在发生巨额赎回或基金合同约定的其他暂停赎回或延缓支付赎回款项的情形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投资人通过个人养老金资金账户申购本基金Y类基金份额，Y类基金份额赎回等款项将转入个人养老金资金账户，投资人未达到领取基本养老金年龄或者政策规定的其他领取条件时不可领取个人养老金。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人应及时查询并妥善行使合法权利。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pPr>
        <w:pStyle w:val="7"/>
        <w:spacing w:before="0" w:beforeAutospacing="0" w:after="0" w:afterAutospacing="0" w:line="360" w:lineRule="auto"/>
        <w:ind w:firstLine="420"/>
        <w:rPr>
          <w:sz w:val="21"/>
          <w:szCs w:val="21"/>
        </w:rPr>
      </w:pPr>
      <w:r>
        <w:rPr>
          <w:rStyle w:val="11"/>
          <w:rFonts w:hint="eastAsia"/>
          <w:sz w:val="21"/>
          <w:szCs w:val="21"/>
        </w:rPr>
        <w:t>五、申购和赎回的数量限制</w:t>
      </w:r>
    </w:p>
    <w:p>
      <w:pPr>
        <w:pStyle w:val="7"/>
        <w:spacing w:before="0" w:beforeAutospacing="0" w:after="0" w:afterAutospacing="0" w:line="360" w:lineRule="auto"/>
        <w:ind w:firstLine="420"/>
        <w:rPr>
          <w:sz w:val="21"/>
          <w:szCs w:val="21"/>
        </w:rPr>
      </w:pPr>
      <w:r>
        <w:rPr>
          <w:rFonts w:hint="eastAsia"/>
          <w:sz w:val="21"/>
          <w:szCs w:val="21"/>
        </w:rPr>
        <w:t xml:space="preserve">1、本基金各类基金份额首次申购和追加申购的最低金额均为1元，各销售机构在符合上述规定的前提下，可根据情况调高首次申购和追加申购的最低金额，具体以销售机构公布的为准，投资人需遵循销售机构的相关规定。   </w:t>
      </w:r>
    </w:p>
    <w:p>
      <w:pPr>
        <w:pStyle w:val="7"/>
        <w:spacing w:before="0" w:beforeAutospacing="0" w:after="0" w:afterAutospacing="0" w:line="360" w:lineRule="auto"/>
        <w:ind w:firstLine="420"/>
        <w:rPr>
          <w:sz w:val="21"/>
          <w:szCs w:val="21"/>
        </w:rPr>
      </w:pPr>
      <w:r>
        <w:rPr>
          <w:rFonts w:hint="eastAsia"/>
          <w:sz w:val="21"/>
          <w:szCs w:val="21"/>
        </w:rPr>
        <w:t xml:space="preserve">2、每个交易账户最低持有各类基金份额余额为1份，若某笔赎回导致单个交易账户的该类基金份额少于1份时，该类别基金份额余额部分必须一同赎回；   </w:t>
      </w:r>
    </w:p>
    <w:p>
      <w:pPr>
        <w:pStyle w:val="7"/>
        <w:spacing w:before="0" w:beforeAutospacing="0" w:after="0" w:afterAutospacing="0" w:line="360" w:lineRule="auto"/>
        <w:ind w:firstLine="420"/>
        <w:rPr>
          <w:sz w:val="21"/>
          <w:szCs w:val="21"/>
        </w:rPr>
      </w:pPr>
      <w:r>
        <w:rPr>
          <w:rFonts w:hint="eastAsia"/>
          <w:sz w:val="21"/>
          <w:szCs w:val="21"/>
        </w:rPr>
        <w:t xml:space="preserve">3、投资者通过销售机构赎回基金份额时，本基金单笔赎回申请不得低于1份，若投资者单个交易账户持有的基金份额余额不足1份，将不受此限制，但投资者在提交赎回申请时须全部赎回。各销售机构在符合上述规定的前提下，可根据自己的情况调整单笔赎回申请限制，具体以销售机构公布的为准，投资者需遵循销售机构的相关规定。 </w:t>
      </w:r>
    </w:p>
    <w:p>
      <w:pPr>
        <w:pStyle w:val="7"/>
        <w:spacing w:before="0" w:beforeAutospacing="0" w:after="0" w:afterAutospacing="0" w:line="360" w:lineRule="auto"/>
        <w:ind w:firstLine="420"/>
        <w:rPr>
          <w:sz w:val="21"/>
          <w:szCs w:val="21"/>
        </w:rPr>
      </w:pPr>
      <w:r>
        <w:rPr>
          <w:rFonts w:hint="eastAsia"/>
          <w:sz w:val="21"/>
          <w:szCs w:val="21"/>
        </w:rPr>
        <w:t xml:space="preserve">4、本基金不对单个投资人累计持有的基金份额上限进行限制。 </w:t>
      </w:r>
    </w:p>
    <w:p>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 </w:t>
      </w:r>
    </w:p>
    <w:p>
      <w:pPr>
        <w:pStyle w:val="7"/>
        <w:spacing w:before="0" w:beforeAutospacing="0" w:after="0" w:afterAutospacing="0" w:line="360" w:lineRule="auto"/>
        <w:ind w:firstLine="420"/>
        <w:rPr>
          <w:sz w:val="21"/>
          <w:szCs w:val="21"/>
        </w:rPr>
      </w:pPr>
      <w:r>
        <w:rPr>
          <w:rFonts w:hint="eastAsia"/>
          <w:sz w:val="21"/>
          <w:szCs w:val="21"/>
        </w:rPr>
        <w:t xml:space="preserve">6、基金管理人可针对Y类基金份额豁免申购限制，具体请参见相关公告。 </w:t>
      </w:r>
    </w:p>
    <w:p>
      <w:pPr>
        <w:pStyle w:val="7"/>
        <w:spacing w:before="0" w:beforeAutospacing="0" w:after="0" w:afterAutospacing="0" w:line="360" w:lineRule="auto"/>
        <w:ind w:firstLine="420"/>
        <w:rPr>
          <w:sz w:val="21"/>
          <w:szCs w:val="21"/>
        </w:rPr>
      </w:pPr>
      <w:r>
        <w:rPr>
          <w:rFonts w:hint="eastAsia"/>
          <w:sz w:val="21"/>
          <w:szCs w:val="21"/>
        </w:rPr>
        <w:t xml:space="preserve">7、基金管理人可在法律法规允许的情况下，调整上述规定申购金额和赎回份额的数量限制。基金管理人必须在调整实施前依照《信息披露办法》的有关规定在指定媒介上公告。 </w:t>
      </w:r>
    </w:p>
    <w:p>
      <w:pPr>
        <w:pStyle w:val="7"/>
        <w:spacing w:before="0" w:beforeAutospacing="0" w:after="0" w:afterAutospacing="0" w:line="360" w:lineRule="auto"/>
        <w:ind w:firstLine="420"/>
        <w:rPr>
          <w:sz w:val="21"/>
          <w:szCs w:val="21"/>
        </w:rPr>
      </w:pPr>
      <w:r>
        <w:rPr>
          <w:rFonts w:hint="eastAsia"/>
          <w:b/>
          <w:bCs/>
          <w:sz w:val="21"/>
          <w:szCs w:val="21"/>
        </w:rPr>
        <w:t>六、申购费用和赎回费用</w:t>
      </w:r>
    </w:p>
    <w:p>
      <w:pPr>
        <w:pStyle w:val="7"/>
        <w:spacing w:before="0" w:beforeAutospacing="0" w:after="0" w:afterAutospacing="0" w:line="360" w:lineRule="auto"/>
        <w:ind w:firstLine="420"/>
        <w:rPr>
          <w:sz w:val="21"/>
          <w:szCs w:val="21"/>
        </w:rPr>
      </w:pPr>
      <w:r>
        <w:rPr>
          <w:rFonts w:hint="eastAsia"/>
          <w:sz w:val="21"/>
          <w:szCs w:val="21"/>
        </w:rPr>
        <w:t xml:space="preserve">1、本基金A类、Y类基金份额在申购时收取基金申购费用；C类、E类基金份额不收取申购费用。本基金申购费用用于本基金的市场推广、销售、登记等募集期间发生的各项费用，不列入基金财产。本基金在申购时收取申购费用，并对通过直销中心申购本基金的养老金客户与除此之外的其他投资者实施差别的申购费率。   </w:t>
      </w:r>
    </w:p>
    <w:p>
      <w:pPr>
        <w:pStyle w:val="7"/>
        <w:spacing w:before="0" w:beforeAutospacing="0" w:after="0" w:afterAutospacing="0" w:line="360" w:lineRule="auto"/>
        <w:ind w:firstLine="420"/>
        <w:rPr>
          <w:sz w:val="21"/>
          <w:szCs w:val="21"/>
        </w:rPr>
      </w:pPr>
      <w:r>
        <w:rPr>
          <w:rFonts w:hint="eastAsia"/>
          <w:sz w:val="21"/>
          <w:szCs w:val="21"/>
        </w:rPr>
        <w:t xml:space="preserve">（1）对于通过基金管理人的直销中心申购本基金的养老金客户，各类基金份额的申购费率如下表所示：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2"/>
        <w:gridCol w:w="2166"/>
        <w:gridCol w:w="2166"/>
        <w:gridCol w:w="2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pStyle w:val="7"/>
            </w:pPr>
            <w:r>
              <w:rPr>
                <w:rFonts w:hint="eastAsia"/>
              </w:rPr>
              <w:t xml:space="preserve">购买金额（M）     </w:t>
            </w:r>
          </w:p>
        </w:tc>
        <w:tc>
          <w:tcPr>
            <w:tcW w:w="0" w:type="auto"/>
            <w:shd w:val="clear" w:color="auto" w:fill="auto"/>
          </w:tcPr>
          <w:p>
            <w:pPr>
              <w:pStyle w:val="7"/>
            </w:pPr>
            <w:r>
              <w:rPr>
                <w:rFonts w:hint="eastAsia"/>
              </w:rPr>
              <w:t xml:space="preserve">A类基金份额申购费率     </w:t>
            </w:r>
          </w:p>
        </w:tc>
        <w:tc>
          <w:tcPr>
            <w:tcW w:w="0" w:type="auto"/>
            <w:shd w:val="clear" w:color="auto" w:fill="auto"/>
          </w:tcPr>
          <w:p>
            <w:pPr>
              <w:pStyle w:val="7"/>
            </w:pPr>
            <w:r>
              <w:rPr>
                <w:rFonts w:hint="eastAsia"/>
              </w:rPr>
              <w:t xml:space="preserve">C类基金份额申购费率     </w:t>
            </w:r>
          </w:p>
        </w:tc>
        <w:tc>
          <w:tcPr>
            <w:tcW w:w="0" w:type="auto"/>
            <w:shd w:val="clear" w:color="auto" w:fill="auto"/>
          </w:tcPr>
          <w:p>
            <w:pPr>
              <w:pStyle w:val="7"/>
            </w:pPr>
            <w:r>
              <w:rPr>
                <w:rFonts w:hint="eastAsia"/>
              </w:rPr>
              <w:t xml:space="preserve">E类基金份额申购费率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M＜100万     </w:t>
            </w:r>
          </w:p>
        </w:tc>
        <w:tc>
          <w:tcPr>
            <w:tcW w:w="0" w:type="auto"/>
            <w:shd w:val="clear" w:color="auto" w:fill="auto"/>
          </w:tcPr>
          <w:p>
            <w:pPr>
              <w:pStyle w:val="7"/>
            </w:pPr>
            <w:r>
              <w:rPr>
                <w:rFonts w:hint="eastAsia"/>
              </w:rPr>
              <w:t xml:space="preserve">0.08%     </w:t>
            </w:r>
          </w:p>
        </w:tc>
        <w:tc>
          <w:tcPr>
            <w:tcW w:w="0" w:type="auto"/>
            <w:vMerge w:val="restart"/>
            <w:shd w:val="clear" w:color="auto" w:fill="auto"/>
          </w:tcPr>
          <w:p>
            <w:pPr>
              <w:pStyle w:val="7"/>
            </w:pPr>
            <w:r>
              <w:rPr>
                <w:rFonts w:hint="eastAsia"/>
              </w:rPr>
              <w:t xml:space="preserve">0.00%     </w:t>
            </w:r>
          </w:p>
        </w:tc>
        <w:tc>
          <w:tcPr>
            <w:tcW w:w="0" w:type="auto"/>
            <w:vMerge w:val="restart"/>
            <w:shd w:val="clear" w:color="auto" w:fill="auto"/>
          </w:tcPr>
          <w:p>
            <w:pPr>
              <w:pStyle w:val="7"/>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100万≤M＜500万     </w:t>
            </w:r>
          </w:p>
        </w:tc>
        <w:tc>
          <w:tcPr>
            <w:tcW w:w="0" w:type="auto"/>
            <w:shd w:val="clear" w:color="auto" w:fill="auto"/>
          </w:tcPr>
          <w:p>
            <w:pPr>
              <w:pStyle w:val="7"/>
            </w:pPr>
            <w:r>
              <w:rPr>
                <w:rFonts w:hint="eastAsia"/>
              </w:rPr>
              <w:t xml:space="preserve">0.03%     </w:t>
            </w:r>
          </w:p>
        </w:tc>
        <w:tc>
          <w:tcPr>
            <w:tcW w:w="0" w:type="auto"/>
            <w:vMerge w:val="continue"/>
            <w:shd w:val="clear" w:color="auto" w:fill="auto"/>
          </w:tcPr>
          <w:p>
            <w:pPr>
              <w:rPr>
                <w:rFonts w:ascii="宋体" w:hAnsi="宋体" w:eastAsia="宋体" w:cs="宋体"/>
                <w:sz w:val="24"/>
                <w:szCs w:val="24"/>
              </w:rPr>
            </w:pP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M≥500万     </w:t>
            </w:r>
          </w:p>
        </w:tc>
        <w:tc>
          <w:tcPr>
            <w:tcW w:w="0" w:type="auto"/>
            <w:shd w:val="clear" w:color="auto" w:fill="auto"/>
          </w:tcPr>
          <w:p>
            <w:pPr>
              <w:pStyle w:val="7"/>
            </w:pPr>
            <w:r>
              <w:rPr>
                <w:rFonts w:hint="eastAsia"/>
              </w:rPr>
              <w:t xml:space="preserve">每笔100元     </w:t>
            </w:r>
          </w:p>
        </w:tc>
        <w:tc>
          <w:tcPr>
            <w:tcW w:w="0" w:type="auto"/>
            <w:vMerge w:val="continue"/>
            <w:shd w:val="clear" w:color="auto" w:fill="auto"/>
          </w:tcPr>
          <w:p>
            <w:pPr>
              <w:rPr>
                <w:rFonts w:ascii="宋体" w:hAnsi="宋体" w:eastAsia="宋体" w:cs="宋体"/>
                <w:sz w:val="24"/>
                <w:szCs w:val="24"/>
              </w:rPr>
            </w:pP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养老金客户指基本养老基金与依法成立的养老计划筹集的资金及其投资运营收益形成的补充养老基金，包括全国社会保障基金、可以投资基金的地方社会保障基金、企业年金单一计划以及集合计划。如将来出现经养老基金监管部门认可的新的养老基金类型，基金管理人可在招募说明书更新时或发布临时公告将其纳入养老金客户范围，并按规定向中国证监会备案。    </w:t>
      </w:r>
    </w:p>
    <w:p>
      <w:pPr>
        <w:pStyle w:val="7"/>
        <w:spacing w:before="0" w:beforeAutospacing="0" w:after="0" w:afterAutospacing="0" w:line="360" w:lineRule="auto"/>
        <w:ind w:firstLine="420"/>
        <w:rPr>
          <w:sz w:val="21"/>
          <w:szCs w:val="21"/>
        </w:rPr>
      </w:pPr>
      <w:r>
        <w:rPr>
          <w:rFonts w:hint="eastAsia"/>
          <w:sz w:val="21"/>
          <w:szCs w:val="21"/>
        </w:rPr>
        <w:t xml:space="preserve">（2）除上述养老金客户外，对于本基金的其他投资者，各类基金份额的申购费率如下表所示：     </w:t>
      </w:r>
    </w:p>
    <w:tbl>
      <w:tblPr>
        <w:tblStyle w:val="9"/>
        <w:tblW w:w="86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6"/>
        <w:gridCol w:w="1853"/>
        <w:gridCol w:w="1853"/>
        <w:gridCol w:w="1853"/>
        <w:gridCol w:w="1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购买金额（M）     </w:t>
            </w:r>
          </w:p>
        </w:tc>
        <w:tc>
          <w:tcPr>
            <w:tcW w:w="2115" w:type="dxa"/>
            <w:shd w:val="clear" w:color="auto" w:fill="auto"/>
          </w:tcPr>
          <w:p>
            <w:pPr>
              <w:pStyle w:val="7"/>
            </w:pPr>
            <w:r>
              <w:rPr>
                <w:rFonts w:hint="eastAsia"/>
              </w:rPr>
              <w:t xml:space="preserve">A类基金份额申购费率     </w:t>
            </w:r>
          </w:p>
        </w:tc>
        <w:tc>
          <w:tcPr>
            <w:tcW w:w="2115" w:type="dxa"/>
            <w:shd w:val="clear" w:color="auto" w:fill="auto"/>
          </w:tcPr>
          <w:p>
            <w:pPr>
              <w:pStyle w:val="7"/>
            </w:pPr>
            <w:r>
              <w:rPr>
                <w:rFonts w:hint="eastAsia"/>
              </w:rPr>
              <w:t xml:space="preserve">C类基金份额申购费率     </w:t>
            </w:r>
          </w:p>
        </w:tc>
        <w:tc>
          <w:tcPr>
            <w:tcW w:w="2115" w:type="dxa"/>
            <w:shd w:val="clear" w:color="auto" w:fill="auto"/>
          </w:tcPr>
          <w:p>
            <w:pPr>
              <w:pStyle w:val="7"/>
            </w:pPr>
            <w:r>
              <w:rPr>
                <w:rFonts w:hint="eastAsia"/>
              </w:rPr>
              <w:t xml:space="preserve">E类基金份额申购费率    </w:t>
            </w:r>
          </w:p>
        </w:tc>
        <w:tc>
          <w:tcPr>
            <w:tcW w:w="2115" w:type="dxa"/>
            <w:shd w:val="clear" w:color="auto" w:fill="auto"/>
          </w:tcPr>
          <w:p>
            <w:pPr>
              <w:pStyle w:val="7"/>
            </w:pPr>
            <w:r>
              <w:rPr>
                <w:rFonts w:hint="eastAsia"/>
              </w:rPr>
              <w:t xml:space="preserve">Y类基金份额申购费率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M＜100万元     </w:t>
            </w:r>
          </w:p>
        </w:tc>
        <w:tc>
          <w:tcPr>
            <w:tcW w:w="2115" w:type="dxa"/>
            <w:shd w:val="clear" w:color="auto" w:fill="auto"/>
          </w:tcPr>
          <w:p>
            <w:pPr>
              <w:pStyle w:val="7"/>
            </w:pPr>
            <w:r>
              <w:rPr>
                <w:rFonts w:hint="eastAsia"/>
              </w:rPr>
              <w:t xml:space="preserve">0.80%     </w:t>
            </w:r>
          </w:p>
        </w:tc>
        <w:tc>
          <w:tcPr>
            <w:tcW w:w="2115" w:type="dxa"/>
            <w:vMerge w:val="restart"/>
            <w:shd w:val="clear" w:color="auto" w:fill="auto"/>
          </w:tcPr>
          <w:p>
            <w:pPr>
              <w:pStyle w:val="7"/>
            </w:pPr>
            <w:r>
              <w:rPr>
                <w:rFonts w:hint="eastAsia"/>
              </w:rPr>
              <w:t xml:space="preserve">0.00%     </w:t>
            </w:r>
          </w:p>
        </w:tc>
        <w:tc>
          <w:tcPr>
            <w:tcW w:w="2115" w:type="dxa"/>
            <w:vMerge w:val="restart"/>
            <w:shd w:val="clear" w:color="auto" w:fill="auto"/>
          </w:tcPr>
          <w:p>
            <w:pPr>
              <w:pStyle w:val="7"/>
            </w:pPr>
            <w:r>
              <w:rPr>
                <w:rFonts w:hint="eastAsia"/>
              </w:rPr>
              <w:t xml:space="preserve">0.00%     </w:t>
            </w:r>
          </w:p>
        </w:tc>
        <w:tc>
          <w:tcPr>
            <w:tcW w:w="2115" w:type="dxa"/>
            <w:shd w:val="clear" w:color="auto" w:fill="auto"/>
          </w:tcPr>
          <w:p>
            <w:pPr>
              <w:pStyle w:val="7"/>
            </w:pPr>
            <w:r>
              <w:rPr>
                <w:rFonts w:hint="eastAsia"/>
              </w:rPr>
              <w:t xml:space="preserve">0.80%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pStyle w:val="7"/>
            </w:pPr>
            <w:r>
              <w:rPr>
                <w:rFonts w:hint="eastAsia"/>
              </w:rPr>
              <w:t xml:space="preserve">100万元≤M＜500万元     </w:t>
            </w:r>
          </w:p>
        </w:tc>
        <w:tc>
          <w:tcPr>
            <w:tcW w:w="2115" w:type="dxa"/>
            <w:shd w:val="clear" w:color="auto" w:fill="auto"/>
          </w:tcPr>
          <w:p>
            <w:pPr>
              <w:pStyle w:val="7"/>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c>
          <w:tcPr>
            <w:tcW w:w="0" w:type="auto"/>
            <w:vMerge w:val="continue"/>
            <w:shd w:val="clear" w:color="auto" w:fill="auto"/>
          </w:tcPr>
          <w:p>
            <w:pPr>
              <w:rPr>
                <w:rFonts w:ascii="宋体" w:hAnsi="宋体" w:eastAsia="宋体" w:cs="宋体"/>
                <w:sz w:val="24"/>
                <w:szCs w:val="24"/>
              </w:rPr>
            </w:pPr>
          </w:p>
        </w:tc>
        <w:tc>
          <w:tcPr>
            <w:tcW w:w="2115" w:type="dxa"/>
            <w:shd w:val="clear" w:color="auto" w:fill="auto"/>
          </w:tcPr>
          <w:p>
            <w:pPr>
              <w:pStyle w:val="7"/>
            </w:pPr>
            <w:r>
              <w:rPr>
                <w:rFonts w:hint="eastAsia"/>
              </w:rPr>
              <w:t xml:space="preserve">0.30%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M≥500万元     </w:t>
            </w:r>
          </w:p>
        </w:tc>
        <w:tc>
          <w:tcPr>
            <w:tcW w:w="2115" w:type="dxa"/>
            <w:shd w:val="clear" w:color="auto" w:fill="auto"/>
          </w:tcPr>
          <w:p>
            <w:pPr>
              <w:pStyle w:val="7"/>
            </w:pPr>
            <w:r>
              <w:rPr>
                <w:rFonts w:hint="eastAsia"/>
              </w:rPr>
              <w:t xml:space="preserve">1000元/笔     </w:t>
            </w:r>
          </w:p>
        </w:tc>
        <w:tc>
          <w:tcPr>
            <w:tcW w:w="0" w:type="auto"/>
            <w:vMerge w:val="continue"/>
            <w:shd w:val="clear" w:color="auto" w:fill="auto"/>
          </w:tcPr>
          <w:p>
            <w:pPr>
              <w:rPr>
                <w:rFonts w:ascii="宋体" w:hAnsi="宋体" w:eastAsia="宋体" w:cs="宋体"/>
                <w:sz w:val="24"/>
                <w:szCs w:val="24"/>
              </w:rPr>
            </w:pPr>
          </w:p>
        </w:tc>
        <w:tc>
          <w:tcPr>
            <w:tcW w:w="0" w:type="auto"/>
            <w:vMerge w:val="continue"/>
            <w:shd w:val="clear" w:color="auto" w:fill="auto"/>
          </w:tcPr>
          <w:p>
            <w:pPr>
              <w:rPr>
                <w:rFonts w:ascii="宋体" w:hAnsi="宋体" w:eastAsia="宋体" w:cs="宋体"/>
                <w:sz w:val="24"/>
                <w:szCs w:val="24"/>
              </w:rPr>
            </w:pPr>
          </w:p>
        </w:tc>
        <w:tc>
          <w:tcPr>
            <w:tcW w:w="2115" w:type="dxa"/>
            <w:shd w:val="clear" w:color="auto" w:fill="auto"/>
          </w:tcPr>
          <w:p>
            <w:pPr>
              <w:pStyle w:val="7"/>
            </w:pPr>
            <w:r>
              <w:rPr>
                <w:rFonts w:hint="eastAsia"/>
              </w:rPr>
              <w:t xml:space="preserve">1000元/笔  </w:t>
            </w:r>
          </w:p>
        </w:tc>
      </w:tr>
    </w:tbl>
    <w:p>
      <w:pPr>
        <w:pStyle w:val="7"/>
        <w:spacing w:before="0" w:beforeAutospacing="0" w:after="0" w:afterAutospacing="0" w:line="360" w:lineRule="auto"/>
        <w:ind w:firstLine="420"/>
        <w:rPr>
          <w:sz w:val="21"/>
          <w:szCs w:val="21"/>
        </w:rPr>
      </w:pPr>
      <w:r>
        <w:rPr>
          <w:rFonts w:hint="eastAsia"/>
          <w:sz w:val="21"/>
          <w:szCs w:val="21"/>
        </w:rPr>
        <w:t xml:space="preserve">2、赎回费用 </w:t>
      </w:r>
    </w:p>
    <w:p>
      <w:pPr>
        <w:pStyle w:val="7"/>
        <w:spacing w:before="0" w:beforeAutospacing="0" w:after="0" w:afterAutospacing="0" w:line="360" w:lineRule="auto"/>
        <w:ind w:firstLine="420"/>
        <w:rPr>
          <w:sz w:val="21"/>
          <w:szCs w:val="21"/>
        </w:rPr>
      </w:pPr>
      <w:r>
        <w:rPr>
          <w:rFonts w:hint="eastAsia"/>
          <w:sz w:val="21"/>
          <w:szCs w:val="21"/>
        </w:rPr>
        <w:t xml:space="preserve">本基金的各类基金份额赎回费率随申请份额持有时间增加而递减。具体如下表所示（其中1个月指30天）：     </w:t>
      </w:r>
    </w:p>
    <w:tbl>
      <w:tblPr>
        <w:tblStyle w:val="9"/>
        <w:tblW w:w="8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6"/>
        <w:gridCol w:w="1857"/>
        <w:gridCol w:w="1857"/>
        <w:gridCol w:w="1857"/>
        <w:gridCol w:w="1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申请份额持有时间（N）     </w:t>
            </w:r>
          </w:p>
        </w:tc>
        <w:tc>
          <w:tcPr>
            <w:tcW w:w="2115" w:type="dxa"/>
            <w:shd w:val="clear" w:color="auto" w:fill="auto"/>
          </w:tcPr>
          <w:p>
            <w:pPr>
              <w:pStyle w:val="7"/>
            </w:pPr>
            <w:r>
              <w:rPr>
                <w:rFonts w:hint="eastAsia"/>
              </w:rPr>
              <w:t xml:space="preserve">A类基金份额赎回费率     </w:t>
            </w:r>
          </w:p>
        </w:tc>
        <w:tc>
          <w:tcPr>
            <w:tcW w:w="2115" w:type="dxa"/>
            <w:shd w:val="clear" w:color="auto" w:fill="auto"/>
          </w:tcPr>
          <w:p>
            <w:pPr>
              <w:pStyle w:val="7"/>
            </w:pPr>
            <w:r>
              <w:rPr>
                <w:rFonts w:hint="eastAsia"/>
              </w:rPr>
              <w:t xml:space="preserve">C类基金份额赎回费率     </w:t>
            </w:r>
          </w:p>
        </w:tc>
        <w:tc>
          <w:tcPr>
            <w:tcW w:w="2115" w:type="dxa"/>
            <w:shd w:val="clear" w:color="auto" w:fill="auto"/>
          </w:tcPr>
          <w:p>
            <w:pPr>
              <w:pStyle w:val="7"/>
            </w:pPr>
            <w:r>
              <w:rPr>
                <w:rFonts w:hint="eastAsia"/>
              </w:rPr>
              <w:t xml:space="preserve">E类基金份额赎回费率    </w:t>
            </w:r>
          </w:p>
        </w:tc>
        <w:tc>
          <w:tcPr>
            <w:tcW w:w="2115" w:type="dxa"/>
            <w:shd w:val="clear" w:color="auto" w:fill="auto"/>
          </w:tcPr>
          <w:p>
            <w:pPr>
              <w:pStyle w:val="7"/>
            </w:pPr>
            <w:r>
              <w:rPr>
                <w:rFonts w:hint="eastAsia"/>
              </w:rPr>
              <w:t xml:space="preserve">Y类基金份额赎回费率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N&lt;7日     </w:t>
            </w:r>
          </w:p>
        </w:tc>
        <w:tc>
          <w:tcPr>
            <w:tcW w:w="2115" w:type="dxa"/>
            <w:shd w:val="clear" w:color="auto" w:fill="auto"/>
          </w:tcPr>
          <w:p>
            <w:pPr>
              <w:pStyle w:val="7"/>
            </w:pPr>
            <w:r>
              <w:rPr>
                <w:rFonts w:hint="eastAsia"/>
              </w:rPr>
              <w:t xml:space="preserve">1.50%     </w:t>
            </w:r>
          </w:p>
        </w:tc>
        <w:tc>
          <w:tcPr>
            <w:tcW w:w="2115" w:type="dxa"/>
            <w:shd w:val="clear" w:color="auto" w:fill="auto"/>
          </w:tcPr>
          <w:p>
            <w:pPr>
              <w:pStyle w:val="7"/>
            </w:pPr>
            <w:r>
              <w:rPr>
                <w:rFonts w:hint="eastAsia"/>
              </w:rPr>
              <w:t xml:space="preserve">1.50%     </w:t>
            </w:r>
          </w:p>
        </w:tc>
        <w:tc>
          <w:tcPr>
            <w:tcW w:w="2115" w:type="dxa"/>
            <w:shd w:val="clear" w:color="auto" w:fill="auto"/>
          </w:tcPr>
          <w:p>
            <w:pPr>
              <w:pStyle w:val="7"/>
            </w:pPr>
            <w:r>
              <w:rPr>
                <w:rFonts w:hint="eastAsia"/>
              </w:rPr>
              <w:t xml:space="preserve">1.50%    </w:t>
            </w:r>
          </w:p>
        </w:tc>
        <w:tc>
          <w:tcPr>
            <w:tcW w:w="2115" w:type="dxa"/>
            <w:shd w:val="clear" w:color="auto" w:fill="auto"/>
          </w:tcPr>
          <w:p>
            <w:pPr>
              <w:pStyle w:val="7"/>
            </w:pPr>
            <w:r>
              <w:rPr>
                <w:rFonts w:hint="eastAsia"/>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7日≤N＜30天     </w:t>
            </w:r>
          </w:p>
        </w:tc>
        <w:tc>
          <w:tcPr>
            <w:tcW w:w="2115" w:type="dxa"/>
            <w:shd w:val="clear" w:color="auto" w:fill="auto"/>
          </w:tcPr>
          <w:p>
            <w:pPr>
              <w:pStyle w:val="7"/>
            </w:pPr>
            <w:r>
              <w:rPr>
                <w:rFonts w:hint="eastAsia"/>
              </w:rPr>
              <w:t xml:space="preserve">0.50%     </w:t>
            </w:r>
          </w:p>
        </w:tc>
        <w:tc>
          <w:tcPr>
            <w:tcW w:w="2115" w:type="dxa"/>
            <w:shd w:val="clear" w:color="auto" w:fill="auto"/>
          </w:tcPr>
          <w:p>
            <w:pPr>
              <w:pStyle w:val="7"/>
            </w:pPr>
            <w:r>
              <w:rPr>
                <w:rFonts w:hint="eastAsia"/>
              </w:rPr>
              <w:t xml:space="preserve">0.50%     </w:t>
            </w:r>
          </w:p>
        </w:tc>
        <w:tc>
          <w:tcPr>
            <w:tcW w:w="2115" w:type="dxa"/>
            <w:shd w:val="clear" w:color="auto" w:fill="auto"/>
          </w:tcPr>
          <w:p>
            <w:pPr>
              <w:pStyle w:val="7"/>
            </w:pPr>
            <w:r>
              <w:rPr>
                <w:rFonts w:hint="eastAsia"/>
              </w:rPr>
              <w:t xml:space="preserve">0.00%    </w:t>
            </w:r>
          </w:p>
        </w:tc>
        <w:tc>
          <w:tcPr>
            <w:tcW w:w="2115" w:type="dxa"/>
            <w:shd w:val="clear" w:color="auto" w:fill="auto"/>
          </w:tcPr>
          <w:p>
            <w:pPr>
              <w:pStyle w:val="7"/>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30天≤N＜6个月     </w:t>
            </w:r>
          </w:p>
        </w:tc>
        <w:tc>
          <w:tcPr>
            <w:tcW w:w="2115" w:type="dxa"/>
            <w:shd w:val="clear" w:color="auto" w:fill="auto"/>
          </w:tcPr>
          <w:p>
            <w:pPr>
              <w:pStyle w:val="7"/>
            </w:pPr>
            <w:r>
              <w:rPr>
                <w:rFonts w:hint="eastAsia"/>
              </w:rPr>
              <w:t xml:space="preserve">0.50%     </w:t>
            </w:r>
          </w:p>
        </w:tc>
        <w:tc>
          <w:tcPr>
            <w:tcW w:w="2115" w:type="dxa"/>
            <w:shd w:val="clear" w:color="auto" w:fill="auto"/>
          </w:tcPr>
          <w:p>
            <w:pPr>
              <w:pStyle w:val="7"/>
            </w:pPr>
            <w:r>
              <w:rPr>
                <w:rFonts w:hint="eastAsia"/>
              </w:rPr>
              <w:t xml:space="preserve">0.00%     </w:t>
            </w:r>
          </w:p>
        </w:tc>
        <w:tc>
          <w:tcPr>
            <w:tcW w:w="2115" w:type="dxa"/>
            <w:shd w:val="clear" w:color="auto" w:fill="auto"/>
          </w:tcPr>
          <w:p>
            <w:pPr>
              <w:pStyle w:val="7"/>
            </w:pPr>
            <w:r>
              <w:rPr>
                <w:rFonts w:hint="eastAsia"/>
              </w:rPr>
              <w:t xml:space="preserve">0.00%     </w:t>
            </w:r>
          </w:p>
        </w:tc>
        <w:tc>
          <w:tcPr>
            <w:tcW w:w="2115" w:type="dxa"/>
            <w:shd w:val="clear" w:color="auto" w:fill="auto"/>
          </w:tcPr>
          <w:p>
            <w:pPr>
              <w:pStyle w:val="7"/>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pPr>
            <w:r>
              <w:rPr>
                <w:rFonts w:hint="eastAsia"/>
              </w:rPr>
              <w:t xml:space="preserve">N≥6个月     </w:t>
            </w:r>
          </w:p>
        </w:tc>
        <w:tc>
          <w:tcPr>
            <w:tcW w:w="2115" w:type="dxa"/>
            <w:shd w:val="clear" w:color="auto" w:fill="auto"/>
          </w:tcPr>
          <w:p>
            <w:pPr>
              <w:pStyle w:val="7"/>
            </w:pPr>
            <w:r>
              <w:rPr>
                <w:rFonts w:hint="eastAsia"/>
              </w:rPr>
              <w:t xml:space="preserve">0.00%     </w:t>
            </w:r>
          </w:p>
        </w:tc>
        <w:tc>
          <w:tcPr>
            <w:tcW w:w="2115" w:type="dxa"/>
            <w:shd w:val="clear" w:color="auto" w:fill="auto"/>
          </w:tcPr>
          <w:p>
            <w:pPr>
              <w:pStyle w:val="7"/>
            </w:pPr>
            <w:r>
              <w:rPr>
                <w:rFonts w:hint="eastAsia"/>
              </w:rPr>
              <w:t xml:space="preserve">0.00%     </w:t>
            </w:r>
          </w:p>
        </w:tc>
        <w:tc>
          <w:tcPr>
            <w:tcW w:w="2115" w:type="dxa"/>
            <w:shd w:val="clear" w:color="auto" w:fill="auto"/>
          </w:tcPr>
          <w:p>
            <w:pPr>
              <w:pStyle w:val="7"/>
            </w:pPr>
            <w:r>
              <w:rPr>
                <w:rFonts w:hint="eastAsia"/>
              </w:rPr>
              <w:t xml:space="preserve">0.00%     </w:t>
            </w:r>
          </w:p>
        </w:tc>
        <w:tc>
          <w:tcPr>
            <w:tcW w:w="2115" w:type="dxa"/>
            <w:shd w:val="clear" w:color="auto" w:fill="auto"/>
          </w:tcPr>
          <w:p>
            <w:pPr>
              <w:pStyle w:val="7"/>
            </w:pPr>
            <w:r>
              <w:rPr>
                <w:rFonts w:hint="eastAsia"/>
              </w:rPr>
              <w:t xml:space="preserve">0.00%  </w:t>
            </w:r>
          </w:p>
        </w:tc>
      </w:tr>
    </w:tbl>
    <w:p>
      <w:pPr>
        <w:pStyle w:val="7"/>
        <w:spacing w:before="0" w:beforeAutospacing="0" w:after="0" w:afterAutospacing="0" w:line="360" w:lineRule="auto"/>
        <w:ind w:firstLine="420"/>
        <w:rPr>
          <w:sz w:val="21"/>
          <w:szCs w:val="21"/>
        </w:rPr>
      </w:pPr>
      <w:r>
        <w:rPr>
          <w:rFonts w:hint="eastAsia"/>
          <w:sz w:val="21"/>
          <w:szCs w:val="21"/>
        </w:rPr>
        <w:t>对于每份申购份额，持有期指自该基金份额申购确认日至赎回确认日（不含该日）。</w:t>
      </w:r>
    </w:p>
    <w:p>
      <w:pPr>
        <w:pStyle w:val="7"/>
        <w:spacing w:before="0" w:beforeAutospacing="0" w:after="0" w:afterAutospacing="0" w:line="360" w:lineRule="auto"/>
        <w:ind w:firstLine="420"/>
        <w:rPr>
          <w:sz w:val="21"/>
          <w:szCs w:val="21"/>
        </w:rPr>
      </w:pPr>
      <w:r>
        <w:rPr>
          <w:rFonts w:hint="eastAsia"/>
          <w:sz w:val="21"/>
          <w:szCs w:val="21"/>
        </w:rPr>
        <w:t xml:space="preserve">本基金的赎回费用由基金份额持有人承担，在基金份额持有人赎回基金份额时收取。对于持有7日以内的基金份额持有人收取的赎回费100%计入基金财产，对于持有7日以上的基金份额持有人收取的赎回费用不低于25%计入基金财产，未归入基金财产的部分用于支付登记费和其他必要的手续费。   </w:t>
      </w:r>
    </w:p>
    <w:p>
      <w:pPr>
        <w:pStyle w:val="7"/>
        <w:spacing w:before="0" w:beforeAutospacing="0" w:after="0" w:afterAutospacing="0" w:line="360" w:lineRule="auto"/>
        <w:ind w:firstLine="420"/>
        <w:rPr>
          <w:sz w:val="21"/>
          <w:szCs w:val="21"/>
        </w:rPr>
      </w:pPr>
      <w:r>
        <w:rPr>
          <w:rFonts w:hint="eastAsia"/>
          <w:sz w:val="21"/>
          <w:szCs w:val="21"/>
        </w:rPr>
        <w:t xml:space="preserve">3、基金管理人可针对Y类基金份额豁免申购限制，具体请参见相关公告。基金管理人可以在《基金合同》约定的范围内调整费率或收费方式，并最迟应于新的费率或收费方式实施日前依照《信息披露办法》的有关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的申购费率、赎回费率和销售服务费率。  </w:t>
      </w:r>
    </w:p>
    <w:p>
      <w:pPr>
        <w:pStyle w:val="7"/>
        <w:spacing w:before="0" w:beforeAutospacing="0" w:after="0" w:afterAutospacing="0" w:line="360" w:lineRule="auto"/>
        <w:ind w:firstLine="420"/>
        <w:rPr>
          <w:sz w:val="21"/>
          <w:szCs w:val="21"/>
        </w:rPr>
      </w:pPr>
      <w:r>
        <w:rPr>
          <w:rFonts w:hint="eastAsia"/>
          <w:b/>
          <w:bCs/>
          <w:sz w:val="21"/>
          <w:szCs w:val="21"/>
        </w:rPr>
        <w:t>七、申购份额与赎回金额的计算</w:t>
      </w:r>
    </w:p>
    <w:p>
      <w:pPr>
        <w:pStyle w:val="7"/>
        <w:spacing w:before="0" w:beforeAutospacing="0" w:after="0" w:afterAutospacing="0" w:line="360" w:lineRule="auto"/>
        <w:ind w:firstLine="420"/>
        <w:rPr>
          <w:sz w:val="21"/>
          <w:szCs w:val="21"/>
        </w:rPr>
      </w:pPr>
      <w:r>
        <w:rPr>
          <w:rFonts w:hint="eastAsia"/>
          <w:sz w:val="21"/>
          <w:szCs w:val="21"/>
        </w:rPr>
        <w:t xml:space="preserve">1、本基金申购份额的计算方式 </w:t>
      </w:r>
    </w:p>
    <w:p>
      <w:pPr>
        <w:pStyle w:val="7"/>
        <w:spacing w:before="0" w:beforeAutospacing="0" w:after="0" w:afterAutospacing="0" w:line="360" w:lineRule="auto"/>
        <w:ind w:firstLine="420"/>
        <w:rPr>
          <w:sz w:val="21"/>
          <w:szCs w:val="21"/>
        </w:rPr>
      </w:pPr>
      <w:r>
        <w:rPr>
          <w:rFonts w:hint="eastAsia"/>
          <w:sz w:val="21"/>
          <w:szCs w:val="21"/>
        </w:rPr>
        <w:t xml:space="preserve">（1）A类、Y类基金份额     </w:t>
      </w:r>
    </w:p>
    <w:p>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例1：假定T日A类基金份额净值为1.0560元，某投资人申购本基金A类基金份额40万元，对应的申购费率为0.80%，该投资人可得到的A类基金份额为：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净申购金额=400,000/（1+0.80%）＝396,825.40元     </w:t>
      </w:r>
    </w:p>
    <w:p>
      <w:pPr>
        <w:pStyle w:val="7"/>
        <w:spacing w:before="0" w:beforeAutospacing="0" w:after="0" w:afterAutospacing="0" w:line="360" w:lineRule="auto"/>
        <w:ind w:firstLine="420"/>
        <w:rPr>
          <w:sz w:val="21"/>
          <w:szCs w:val="21"/>
        </w:rPr>
      </w:pPr>
      <w:r>
        <w:rPr>
          <w:rFonts w:hint="eastAsia"/>
          <w:sz w:val="21"/>
          <w:szCs w:val="21"/>
        </w:rPr>
        <w:t xml:space="preserve">申购费用=400,000-396,825.40＝3,174.60元     </w:t>
      </w:r>
    </w:p>
    <w:p>
      <w:pPr>
        <w:pStyle w:val="7"/>
        <w:spacing w:before="0" w:beforeAutospacing="0" w:after="0" w:afterAutospacing="0" w:line="360" w:lineRule="auto"/>
        <w:ind w:firstLine="420"/>
        <w:rPr>
          <w:sz w:val="21"/>
          <w:szCs w:val="21"/>
        </w:rPr>
      </w:pPr>
      <w:r>
        <w:rPr>
          <w:rFonts w:hint="eastAsia"/>
          <w:sz w:val="21"/>
          <w:szCs w:val="21"/>
        </w:rPr>
        <w:t xml:space="preserve">申购份额=396,825.40/1.0560＝375,781.63份    </w:t>
      </w:r>
    </w:p>
    <w:p>
      <w:pPr>
        <w:pStyle w:val="7"/>
        <w:spacing w:before="0" w:beforeAutospacing="0" w:after="0" w:afterAutospacing="0" w:line="360" w:lineRule="auto"/>
        <w:ind w:firstLine="420"/>
        <w:rPr>
          <w:sz w:val="21"/>
          <w:szCs w:val="21"/>
        </w:rPr>
      </w:pPr>
      <w:r>
        <w:rPr>
          <w:rFonts w:hint="eastAsia"/>
          <w:sz w:val="21"/>
          <w:szCs w:val="21"/>
        </w:rPr>
        <w:t xml:space="preserve">即：该投资人投资40万元申购本基金A类基金份额，假定申购当日A类基金份额净值为1.0560元，可得到375,781.63份A类基金份额。    </w:t>
      </w:r>
    </w:p>
    <w:p>
      <w:pPr>
        <w:pStyle w:val="7"/>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例2：假定T日A类基金份额净值为1.0560元，某投资人投资600万元申购本基金A类基金份额，其对应的申购费用为1000元，则其可得到的A类基金份额为：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申购费用＝1,000元    </w:t>
      </w:r>
    </w:p>
    <w:p>
      <w:pPr>
        <w:pStyle w:val="7"/>
        <w:spacing w:before="0" w:beforeAutospacing="0" w:after="0" w:afterAutospacing="0" w:line="360" w:lineRule="auto"/>
        <w:ind w:firstLine="420"/>
        <w:rPr>
          <w:sz w:val="21"/>
          <w:szCs w:val="21"/>
        </w:rPr>
      </w:pPr>
      <w:r>
        <w:rPr>
          <w:rFonts w:hint="eastAsia"/>
          <w:sz w:val="21"/>
          <w:szCs w:val="21"/>
        </w:rPr>
        <w:t xml:space="preserve">净申购金额＝6,000,000－1,000＝5,999,000.00元    </w:t>
      </w:r>
    </w:p>
    <w:p>
      <w:pPr>
        <w:pStyle w:val="7"/>
        <w:spacing w:before="0" w:beforeAutospacing="0" w:after="0" w:afterAutospacing="0" w:line="360" w:lineRule="auto"/>
        <w:ind w:firstLine="420"/>
        <w:rPr>
          <w:sz w:val="21"/>
          <w:szCs w:val="21"/>
        </w:rPr>
      </w:pPr>
      <w:r>
        <w:rPr>
          <w:rFonts w:hint="eastAsia"/>
          <w:sz w:val="21"/>
          <w:szCs w:val="21"/>
        </w:rPr>
        <w:t xml:space="preserve">申购份额＝5,999,000.00/1.0560＝5,680,871.21份    </w:t>
      </w:r>
    </w:p>
    <w:p>
      <w:pPr>
        <w:pStyle w:val="7"/>
        <w:spacing w:before="0" w:beforeAutospacing="0" w:after="0" w:afterAutospacing="0" w:line="360" w:lineRule="auto"/>
        <w:ind w:firstLine="420"/>
        <w:rPr>
          <w:sz w:val="21"/>
          <w:szCs w:val="21"/>
        </w:rPr>
      </w:pPr>
      <w:r>
        <w:rPr>
          <w:rFonts w:hint="eastAsia"/>
          <w:sz w:val="21"/>
          <w:szCs w:val="21"/>
        </w:rPr>
        <w:t xml:space="preserve">即：该投资人投资600万元申购本基金A类基金份额，假定申购当日A类基金份额净值为1.0560元，可得到5,680,871.21份A类基金份额。    </w:t>
      </w:r>
    </w:p>
    <w:p>
      <w:pPr>
        <w:pStyle w:val="7"/>
        <w:spacing w:before="0" w:beforeAutospacing="0" w:after="0" w:afterAutospacing="0" w:line="360" w:lineRule="auto"/>
        <w:ind w:firstLine="420"/>
        <w:rPr>
          <w:sz w:val="21"/>
          <w:szCs w:val="21"/>
        </w:rPr>
      </w:pPr>
      <w:r>
        <w:rPr>
          <w:rFonts w:hint="eastAsia"/>
          <w:sz w:val="21"/>
          <w:szCs w:val="21"/>
        </w:rPr>
        <w:t xml:space="preserve">（2）C类、E类基金份额     </w:t>
      </w:r>
    </w:p>
    <w:p>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例3：假设某投资者投资10万元申购本基金C类基金份额，申购当日本基金C类基金份额净值为1.0600元，则可得到的申购份额为：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本基金的净赎回金额为赎回金额扣减赎回费用。采用“份额赎回”方式，赎回价格以T日的基金份额净值为基准进行计算，其中：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赎回总金额＝赎回份额×T日该类基金份额的基金份额净值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净赎回金额＝赎回金额－赎回费用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例4：假设某投资者赎回本基金10,000份A类基金份额，持有时间为三年，对应的赎回费率为0.00%，假设赎回当日A类基金份额净值是1.2500元，则其可得到的赎回金额为：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赎回总金额=10,000×1.250=12,500.00元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赎回费用=12,500.00×0%=0.00元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净赎回金额=12,500.00-0=12,500.00元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即：投资者赎回本基金1,0000份A类基金份额，持有时间为三年，假设赎回当日A类基金份额净值是1.2500元，则其可得到的赎回金额为12,500.00元。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 xml:space="preserve">3、基金份额净值的计算 </w:t>
      </w:r>
    </w:p>
    <w:p>
      <w:pPr>
        <w:pStyle w:val="7"/>
        <w:spacing w:before="0" w:beforeAutospacing="0" w:after="0" w:afterAutospacing="0" w:line="360" w:lineRule="auto"/>
        <w:ind w:firstLine="420"/>
        <w:rPr>
          <w:sz w:val="21"/>
          <w:szCs w:val="21"/>
        </w:rPr>
      </w:pPr>
      <w:r>
        <w:rPr>
          <w:rFonts w:hint="eastAsia"/>
          <w:sz w:val="21"/>
          <w:szCs w:val="21"/>
        </w:rPr>
        <w:t xml:space="preserve">本基金各类基金份额分别设置代码，分别计算和公告各类基金份额净值和各类基金份额累计净值。本基金各类基金份额净值的计算，保留到小数点后4位，小数点后第5位四舍五入，由此产生的收益或损失由基金财产承担。T日的基金份额净值在当天收市后计算，并按照基金合同约定公告。遇特殊情况，经中国证监会同意，可以适当延迟计算或公告。  </w:t>
      </w:r>
    </w:p>
    <w:p>
      <w:pPr>
        <w:pStyle w:val="7"/>
        <w:spacing w:before="0" w:beforeAutospacing="0" w:after="0" w:afterAutospacing="0" w:line="360" w:lineRule="auto"/>
        <w:ind w:firstLine="420"/>
        <w:rPr>
          <w:sz w:val="21"/>
          <w:szCs w:val="21"/>
        </w:rPr>
      </w:pPr>
      <w:r>
        <w:rPr>
          <w:rFonts w:hint="eastAsia"/>
          <w:b/>
          <w:bCs/>
          <w:sz w:val="21"/>
          <w:szCs w:val="21"/>
        </w:rPr>
        <w:t>八、申购和赎回的登记</w:t>
      </w:r>
    </w:p>
    <w:p>
      <w:pPr>
        <w:pStyle w:val="7"/>
        <w:spacing w:before="0" w:beforeAutospacing="0" w:after="0" w:afterAutospacing="0" w:line="360" w:lineRule="auto"/>
        <w:ind w:firstLine="420"/>
        <w:rPr>
          <w:sz w:val="21"/>
          <w:szCs w:val="21"/>
        </w:rPr>
      </w:pPr>
      <w:r>
        <w:rPr>
          <w:rFonts w:hint="eastAsia"/>
          <w:sz w:val="21"/>
          <w:szCs w:val="21"/>
        </w:rPr>
        <w:t xml:space="preserve">投资人申购基金成功后，基金登记机构在T+1日为投资人登记权益并办理登记手续，投资人自T+2日（含该日）后有权赎回该部分基金份额。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投资人赎回基金成功后，基金登记机构在T+1日为投资人办理扣除权益的登记手续。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基金管理人可以在法律法规允许的范围内，对上述登记办理时间进行调整，但不得实质影响投资人的合法权益，并最迟于实施前依照《信息披露办法》的有关规定在指定媒介公告。  </w:t>
      </w:r>
    </w:p>
    <w:p>
      <w:pPr>
        <w:pStyle w:val="7"/>
        <w:spacing w:before="0" w:beforeAutospacing="0" w:after="0" w:afterAutospacing="0" w:line="360" w:lineRule="auto"/>
        <w:ind w:firstLine="420"/>
        <w:rPr>
          <w:sz w:val="21"/>
          <w:szCs w:val="21"/>
        </w:rPr>
      </w:pPr>
      <w:r>
        <w:rPr>
          <w:rFonts w:hint="eastAsia"/>
          <w:b/>
          <w:bCs/>
          <w:sz w:val="21"/>
          <w:szCs w:val="21"/>
        </w:rPr>
        <w:t>九、拒绝或暂停申购的情形</w:t>
      </w:r>
    </w:p>
    <w:p>
      <w:pPr>
        <w:pStyle w:val="7"/>
        <w:spacing w:before="0" w:beforeAutospacing="0" w:after="0" w:afterAutospacing="0" w:line="360" w:lineRule="auto"/>
        <w:ind w:firstLine="420"/>
        <w:rPr>
          <w:sz w:val="21"/>
          <w:szCs w:val="21"/>
        </w:rPr>
      </w:pPr>
      <w:r>
        <w:rPr>
          <w:rFonts w:hint="eastAsia"/>
          <w:sz w:val="21"/>
          <w:szCs w:val="21"/>
        </w:rPr>
        <w:t xml:space="preserve">在如下情况下，基金管理人可以拒绝或暂停接受投资人就本基金或某一类基金份额的申购申请：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1、因不可抗力导致基金无法正常运作或基金管理人无法接受投资人的申购申请。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2、证券、期货交易场所在交易时间内非正常停市，导致基金管理人无法计算当日基金资产净值。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4、基金资产规模过大，使基金管理人无法找到合适的投资品种，或其他可能对基金业绩产生负面影响，从而损害现有基金份额持有人的利益的情形。 </w:t>
      </w:r>
    </w:p>
    <w:p>
      <w:pPr>
        <w:pStyle w:val="7"/>
        <w:spacing w:before="0" w:beforeAutospacing="0" w:after="0" w:afterAutospacing="0" w:line="360" w:lineRule="auto"/>
        <w:ind w:firstLine="420"/>
        <w:rPr>
          <w:sz w:val="21"/>
          <w:szCs w:val="21"/>
        </w:rPr>
      </w:pPr>
      <w:r>
        <w:rPr>
          <w:rFonts w:hint="eastAsia"/>
          <w:sz w:val="21"/>
          <w:szCs w:val="21"/>
        </w:rPr>
        <w:t xml:space="preserve">5、基金管理人有正当理由认为接受某笔或某些申购申请可能会影响或损害其他基金份额持有人利益或对存量基金份额持有人利益构成潜在重大不利影响时。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6、所投资的目标ETF暂停估值，导致基金管理人无法计算当日基金资产净值。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7、所投资的目标ETF暂停申购或二级市场交易停牌。 </w:t>
      </w:r>
    </w:p>
    <w:p>
      <w:pPr>
        <w:pStyle w:val="7"/>
        <w:spacing w:before="0" w:beforeAutospacing="0" w:after="0" w:afterAutospacing="0" w:line="360" w:lineRule="auto"/>
        <w:ind w:firstLine="420"/>
        <w:rPr>
          <w:sz w:val="21"/>
          <w:szCs w:val="21"/>
        </w:rPr>
      </w:pPr>
      <w:r>
        <w:rPr>
          <w:rFonts w:hint="eastAsia"/>
          <w:sz w:val="21"/>
          <w:szCs w:val="21"/>
        </w:rPr>
        <w:t xml:space="preserve">8、所投资的目标ETF暂停赎回时。 </w:t>
      </w:r>
    </w:p>
    <w:p>
      <w:pPr>
        <w:pStyle w:val="7"/>
        <w:spacing w:before="0" w:beforeAutospacing="0" w:after="0" w:afterAutospacing="0" w:line="360" w:lineRule="auto"/>
        <w:ind w:firstLine="420"/>
        <w:rPr>
          <w:sz w:val="21"/>
          <w:szCs w:val="21"/>
        </w:rPr>
      </w:pPr>
      <w:r>
        <w:rPr>
          <w:rFonts w:hint="eastAsia"/>
          <w:sz w:val="21"/>
          <w:szCs w:val="21"/>
        </w:rPr>
        <w:t xml:space="preserve">9、当前一估值日基金资产净值50%以上的资产出现无可参考的活跃市场价格且采用估值技术仍导致公允价值存在重大不确定性时，经与基金托管人协商确认后，基金管理人应当暂停接受基金申购申请。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10、当发生本基金被移出中国证监会个人养老金基金名录的情形，基金管理人将暂停办理Y类基金份额的申购。  </w:t>
      </w:r>
    </w:p>
    <w:p>
      <w:pPr>
        <w:pStyle w:val="7"/>
        <w:spacing w:before="0" w:beforeAutospacing="0" w:after="0" w:afterAutospacing="0" w:line="360" w:lineRule="auto"/>
        <w:ind w:firstLine="420"/>
        <w:rPr>
          <w:sz w:val="21"/>
          <w:szCs w:val="21"/>
        </w:rPr>
      </w:pPr>
      <w:r>
        <w:rPr>
          <w:rFonts w:hint="eastAsia"/>
          <w:sz w:val="21"/>
          <w:szCs w:val="21"/>
        </w:rPr>
        <w:t xml:space="preserve">11、法律法规规定或中国证监会认定的其他情形。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1-4、6-10项情形时，基金管理人应根据有关规定在指定媒介上刊登暂停申购公告。如果投资人的申购申请被拒绝，被拒绝的申购款项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Fonts w:hint="eastAsia"/>
          <w:b/>
          <w:bCs/>
          <w:sz w:val="21"/>
          <w:szCs w:val="21"/>
        </w:rPr>
        <w:t>十、暂停赎回或延缓支付赎回款项的情形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7"/>
        <w:spacing w:before="0" w:beforeAutospacing="0" w:after="0" w:afterAutospacing="0" w:line="360" w:lineRule="auto"/>
        <w:ind w:firstLine="420"/>
        <w:rPr>
          <w:sz w:val="21"/>
          <w:szCs w:val="21"/>
        </w:rPr>
      </w:pPr>
      <w:r>
        <w:rPr>
          <w:rFonts w:hint="eastAsia"/>
          <w:sz w:val="21"/>
          <w:szCs w:val="21"/>
        </w:rPr>
        <w:t xml:space="preserve">5、所投资的目标ETF暂停估值，导致基金管理人无法计算当日基金资产净值；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6、投资的目标ETF暂停赎回或二级市场交易停牌或延缓支付赎回对价时； </w:t>
      </w:r>
    </w:p>
    <w:p>
      <w:pPr>
        <w:pStyle w:val="7"/>
        <w:spacing w:before="0" w:beforeAutospacing="0" w:after="0" w:afterAutospacing="0" w:line="360" w:lineRule="auto"/>
        <w:ind w:firstLine="420"/>
        <w:rPr>
          <w:sz w:val="21"/>
          <w:szCs w:val="21"/>
        </w:rPr>
      </w:pPr>
      <w:r>
        <w:rPr>
          <w:rFonts w:hint="eastAsia"/>
          <w:sz w:val="21"/>
          <w:szCs w:val="21"/>
        </w:rPr>
        <w:t xml:space="preserve">7、发生继续接受赎回申请将损害现有基金份额持有人利益的情形时； </w:t>
      </w:r>
    </w:p>
    <w:p>
      <w:pPr>
        <w:pStyle w:val="7"/>
        <w:spacing w:before="0" w:beforeAutospacing="0" w:after="0" w:afterAutospacing="0" w:line="360" w:lineRule="auto"/>
        <w:ind w:firstLine="420"/>
        <w:rPr>
          <w:sz w:val="21"/>
          <w:szCs w:val="21"/>
        </w:rPr>
      </w:pPr>
      <w:r>
        <w:rPr>
          <w:rFonts w:hint="eastAsia"/>
          <w:sz w:val="21"/>
          <w:szCs w:val="21"/>
        </w:rPr>
        <w:t xml:space="preserve">8、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接受赎回申请或延缓支付赎回款项时，基金管理人应按规定报中国证监会备案，已确认的赎回申请，基金管理人应足额支付；如暂时不能足额支付，基金管理人可对赎回款项进行延缓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Fonts w:hint="eastAsia"/>
          <w:b/>
          <w:bCs/>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 xml:space="preserve">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 xml:space="preserve">（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pPr>
        <w:pStyle w:val="7"/>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开放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指定媒介上进行公告。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pPr>
        <w:pStyle w:val="7"/>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2、上述暂停申购或赎回情况消除的，基金管理人应于重新开放日公布最近1个开放日各类基金份额的基金份额净值。 </w:t>
      </w:r>
    </w:p>
    <w:p>
      <w:pPr>
        <w:pStyle w:val="7"/>
        <w:spacing w:before="0" w:beforeAutospacing="0" w:after="0" w:afterAutospacing="0" w:line="360" w:lineRule="auto"/>
        <w:ind w:firstLine="420"/>
        <w:rPr>
          <w:sz w:val="21"/>
          <w:szCs w:val="21"/>
        </w:rPr>
      </w:pPr>
      <w:r>
        <w:rPr>
          <w:rFonts w:hint="eastAsia"/>
          <w:sz w:val="21"/>
          <w:szCs w:val="21"/>
        </w:rPr>
        <w:t>3、基金管理人可以根据暂停申购或赎回的时间，依照《信息披露办法》的有关规定，最迟于重新开放日在指定媒介上刊登重新开放申购或赎回的公告；也可以根据实际情况在暂</w:t>
      </w:r>
      <w:bookmarkStart w:id="86" w:name="chapter_level1_10_59_section_3_end"/>
      <w:bookmarkEnd w:id="86"/>
      <w:r>
        <w:rPr>
          <w:rFonts w:hint="eastAsia"/>
          <w:sz w:val="21"/>
          <w:szCs w:val="21"/>
        </w:rPr>
        <w:t xml:space="preserve">停公告中明确重新开放申购或赎回的时间，届时不再另行发布重新开放的公告。  </w:t>
      </w:r>
    </w:p>
    <w:p>
      <w:pPr>
        <w:pStyle w:val="7"/>
        <w:spacing w:before="0" w:beforeAutospacing="0" w:after="0" w:afterAutospacing="0" w:line="360" w:lineRule="auto"/>
        <w:ind w:firstLine="420"/>
        <w:rPr>
          <w:sz w:val="21"/>
          <w:szCs w:val="21"/>
        </w:rPr>
      </w:pPr>
      <w:bookmarkStart w:id="87" w:name="chapter_level1_10_59_section_4"/>
      <w:bookmarkEnd w:id="87"/>
      <w:r>
        <w:rPr>
          <w:rFonts w:hint="eastAsia"/>
          <w:b/>
          <w:bCs/>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w:t>
      </w:r>
      <w:bookmarkStart w:id="88" w:name="chapter_level1_10_59_section_4_end"/>
      <w:bookmarkEnd w:id="88"/>
      <w:r>
        <w:rPr>
          <w:rFonts w:hint="eastAsia"/>
          <w:sz w:val="21"/>
          <w:szCs w:val="21"/>
        </w:rPr>
        <w:t xml:space="preserve">构。  </w:t>
      </w:r>
    </w:p>
    <w:p>
      <w:pPr>
        <w:pStyle w:val="7"/>
        <w:spacing w:before="0" w:beforeAutospacing="0" w:after="0" w:afterAutospacing="0" w:line="360" w:lineRule="auto"/>
        <w:ind w:firstLine="420"/>
        <w:rPr>
          <w:sz w:val="21"/>
          <w:szCs w:val="21"/>
        </w:rPr>
      </w:pPr>
      <w:bookmarkStart w:id="89" w:name="chapter_level1_10_59_section_5"/>
      <w:bookmarkEnd w:id="89"/>
      <w:r>
        <w:rPr>
          <w:rStyle w:val="11"/>
          <w:rFonts w:hint="eastAsia"/>
          <w:sz w:val="21"/>
          <w:szCs w:val="21"/>
        </w:rPr>
        <w:t>十四、基金的非交易过户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他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Fonts w:hint="eastAsia"/>
          <w:sz w:val="21"/>
          <w:szCs w:val="21"/>
        </w:rPr>
        <w:t xml:space="preserve">基金管理人、基金销售机构办理Y类基金份额继承等事项的，应当通过份额赎回方式办理，个人养老金相关制度另有规定的除外。  </w:t>
      </w:r>
    </w:p>
    <w:p>
      <w:pPr>
        <w:pStyle w:val="7"/>
        <w:spacing w:before="0" w:beforeAutospacing="0" w:after="0" w:afterAutospacing="0" w:line="360" w:lineRule="auto"/>
        <w:ind w:firstLine="420"/>
        <w:rPr>
          <w:sz w:val="21"/>
          <w:szCs w:val="21"/>
        </w:rPr>
      </w:pPr>
      <w:r>
        <w:rPr>
          <w:rStyle w:val="11"/>
          <w:rFonts w:hint="eastAsia"/>
          <w:sz w:val="21"/>
          <w:szCs w:val="21"/>
        </w:rPr>
        <w:t>十五、基金的转托管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90" w:name="chapter_level1_10_59_section_5_end"/>
      <w:bookmarkEnd w:id="90"/>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91" w:name="chapter_level1_10_59_section_6"/>
      <w:bookmarkEnd w:id="91"/>
      <w:r>
        <w:rPr>
          <w:rStyle w:val="11"/>
          <w:rFonts w:hint="eastAsia"/>
          <w:sz w:val="21"/>
          <w:szCs w:val="21"/>
        </w:rPr>
        <w:t>十六、定期定额投资计划</w:t>
      </w:r>
    </w:p>
    <w:p>
      <w:pPr>
        <w:pStyle w:val="7"/>
        <w:spacing w:before="0" w:beforeAutospacing="0" w:after="0" w:afterAutospacing="0" w:line="360" w:lineRule="auto"/>
        <w:ind w:firstLine="420"/>
        <w:rPr>
          <w:sz w:val="21"/>
          <w:szCs w:val="21"/>
        </w:rPr>
      </w:pPr>
      <w:r>
        <w:rPr>
          <w:rFonts w:hint="eastAsia"/>
          <w:sz w:val="21"/>
          <w:szCs w:val="21"/>
        </w:rPr>
        <w:t>定期定额投资计划，是指投资者通过有关销售机构提出申请，约定每期扣款日、扣款金额及扣款方式，由销售机构于每期约定扣款日在投资者指定银行账户内自动完成扣款及基金</w:t>
      </w:r>
      <w:bookmarkStart w:id="92" w:name="chapter_level1_10_59_section_6_end"/>
      <w:bookmarkEnd w:id="92"/>
      <w:r>
        <w:rPr>
          <w:rFonts w:hint="eastAsia"/>
          <w:sz w:val="21"/>
          <w:szCs w:val="21"/>
        </w:rPr>
        <w:t xml:space="preserve">申购申请的一种投资方式。 </w:t>
      </w:r>
    </w:p>
    <w:p>
      <w:pPr>
        <w:pStyle w:val="7"/>
        <w:spacing w:before="0" w:beforeAutospacing="0" w:after="0" w:afterAutospacing="0" w:line="360" w:lineRule="auto"/>
        <w:ind w:firstLine="420"/>
        <w:rPr>
          <w:sz w:val="21"/>
          <w:szCs w:val="21"/>
        </w:rPr>
      </w:pPr>
      <w:bookmarkStart w:id="93" w:name="chapter_level1_10_59_section_7"/>
      <w:bookmarkEnd w:id="93"/>
      <w:r>
        <w:rPr>
          <w:rStyle w:val="11"/>
          <w:rFonts w:hint="eastAsia"/>
          <w:sz w:val="21"/>
          <w:szCs w:val="21"/>
        </w:rPr>
        <w:t>十七、基金的冻结和解冻与质押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另有规定的除外。 </w:t>
      </w:r>
    </w:p>
    <w:p>
      <w:pPr>
        <w:pStyle w:val="7"/>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pPr>
        <w:pStyle w:val="7"/>
        <w:spacing w:before="0" w:beforeAutospacing="0" w:after="0" w:afterAutospacing="0" w:line="360" w:lineRule="auto"/>
        <w:ind w:firstLine="420"/>
        <w:rPr>
          <w:sz w:val="21"/>
          <w:szCs w:val="21"/>
        </w:rPr>
      </w:pPr>
      <w:r>
        <w:rPr>
          <w:rStyle w:val="11"/>
          <w:rFonts w:hint="eastAsia"/>
          <w:sz w:val="21"/>
          <w:szCs w:val="21"/>
        </w:rPr>
        <w:t>十八、基金份额的转让</w:t>
      </w:r>
    </w:p>
    <w:p>
      <w:pPr>
        <w:pStyle w:val="7"/>
        <w:spacing w:before="0" w:beforeAutospacing="0" w:after="0" w:afterAutospacing="0" w:line="360" w:lineRule="auto"/>
        <w:ind w:firstLine="420"/>
        <w:rPr>
          <w:sz w:val="21"/>
          <w:szCs w:val="21"/>
        </w:rPr>
      </w:pPr>
      <w:r>
        <w:rPr>
          <w:rFonts w:hint="eastAsia"/>
          <w:sz w:val="21"/>
          <w:szCs w:val="21"/>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w:t>
      </w:r>
      <w:bookmarkStart w:id="94" w:name="chapter_level1_10_59_section_7_end"/>
      <w:bookmarkEnd w:id="94"/>
      <w:r>
        <w:rPr>
          <w:rFonts w:hint="eastAsia"/>
          <w:sz w:val="21"/>
          <w:szCs w:val="21"/>
        </w:rPr>
        <w:t xml:space="preserve">人公告的业务规则办理基金份额转让业务。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95" w:name="chapter_level1_11_60"/>
      <w:bookmarkStart w:id="96" w:name="_Toc207979132"/>
      <w:r>
        <w:rPr>
          <w:rFonts w:hint="eastAsia" w:ascii="宋体" w:hAnsi="宋体" w:eastAsia="宋体"/>
          <w:sz w:val="30"/>
        </w:rPr>
        <w:t>第八部分  基金的投资</w:t>
      </w:r>
      <w:bookmarkEnd w:id="95"/>
      <w:bookmarkEnd w:id="96"/>
    </w:p>
    <w:p>
      <w:pPr>
        <w:pStyle w:val="7"/>
        <w:spacing w:before="0" w:beforeAutospacing="0" w:after="0" w:afterAutospacing="0" w:line="360" w:lineRule="auto"/>
        <w:ind w:firstLine="420"/>
        <w:rPr>
          <w:sz w:val="21"/>
          <w:szCs w:val="21"/>
        </w:rPr>
      </w:pPr>
      <w:bookmarkStart w:id="97" w:name="chapter_level1_11_60_section_1"/>
      <w:bookmarkEnd w:id="97"/>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98" w:name="field_60_investmenttarget_1_start"/>
      <w:bookmarkEnd w:id="98"/>
      <w:r>
        <w:rPr>
          <w:rFonts w:hint="eastAsia"/>
          <w:sz w:val="21"/>
          <w:szCs w:val="21"/>
        </w:rPr>
        <w:t xml:space="preserve">通过主要投资于目标ETF，紧密跟踪标的指数即创业板指数的表现，追求跟踪偏离度和跟踪误差的最小化。  </w:t>
      </w:r>
      <w:bookmarkStart w:id="99" w:name="field_60_investmenttarget_1_end"/>
      <w:bookmarkEnd w:id="99"/>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00" w:name="field_60_investmentrange_1_start"/>
      <w:bookmarkEnd w:id="100"/>
      <w:r>
        <w:rPr>
          <w:rFonts w:hint="eastAsia"/>
          <w:sz w:val="21"/>
          <w:szCs w:val="21"/>
        </w:rPr>
        <w:t xml:space="preserve">本基金主要投资于目标ETF、标的指数即创业板指数成份股和备选成份股票（含存托凭证）、国内依法发行上市的非成份股（包括中小板、创业板及其他经中国证监会核准上市的股票、存托凭证）、债券、货币市场工具、权证、股指期货、期权、资产支持证券以及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投资于目标ETF的资产比例不低于基金资产净值的90%，权证、股指期货及其他金融工具的投资比例依照法律法规或监管机构的规定执行。每个交易日日终在扣除股指期货合约需缴纳的交易保证金后，对现金或者到期日在一年以内的政府债券的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如法律法规或监管机构以后允许基金投资的其他品种，基金管理人在履行适当程序后，可以将其纳入投资范围。  </w:t>
      </w:r>
      <w:bookmarkStart w:id="101" w:name="field_60_investmentrange_1_end"/>
      <w:bookmarkEnd w:id="101"/>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02" w:name="field_60_investmentstrategy_1_start"/>
      <w:bookmarkEnd w:id="102"/>
      <w:r>
        <w:rPr>
          <w:rFonts w:hint="eastAsia"/>
          <w:sz w:val="21"/>
          <w:szCs w:val="21"/>
        </w:rPr>
        <w:t xml:space="preserve">本基金主要投资于目标ETF，方便特定的客户群通过本基金投资目标ETF。本基金不参与目标ETF的投资管理。 </w:t>
      </w:r>
    </w:p>
    <w:p>
      <w:pPr>
        <w:pStyle w:val="7"/>
        <w:spacing w:before="0" w:beforeAutospacing="0" w:after="0" w:afterAutospacing="0" w:line="360" w:lineRule="auto"/>
        <w:ind w:firstLine="420"/>
        <w:rPr>
          <w:sz w:val="21"/>
          <w:szCs w:val="21"/>
        </w:rPr>
      </w:pPr>
      <w:r>
        <w:rPr>
          <w:rFonts w:hint="eastAsia"/>
          <w:sz w:val="21"/>
          <w:szCs w:val="21"/>
        </w:rPr>
        <w:t xml:space="preserve">1、资产配置策略 </w:t>
      </w:r>
    </w:p>
    <w:p>
      <w:pPr>
        <w:pStyle w:val="7"/>
        <w:spacing w:before="0" w:beforeAutospacing="0" w:after="0" w:afterAutospacing="0" w:line="360" w:lineRule="auto"/>
        <w:ind w:firstLine="420"/>
        <w:rPr>
          <w:sz w:val="21"/>
          <w:szCs w:val="21"/>
        </w:rPr>
      </w:pPr>
      <w:r>
        <w:rPr>
          <w:rFonts w:hint="eastAsia"/>
          <w:sz w:val="21"/>
          <w:szCs w:val="21"/>
        </w:rPr>
        <w:t xml:space="preserve">为实现投资目标，本基金将以不低于基金资产净值90%的资产投资于目标ETF，其余资产可投资于标的指数成份股（含存托凭证）、备选成份股（含存托凭证）、国内依法发行上市的非成份股（包括中小板、创业板及其他经中国证监会核准上市的股票、存托凭证）、债券、货币市场工具、权证、股指期货、期权、资产支持证券以及法律法规或中国证监会允许基金投资的其他金融工具（但须符合中国证监会的相关规定），其目的是为了使本基金在保障日常申购赎回的前提下，更好地跟踪标的指数。 </w:t>
      </w:r>
    </w:p>
    <w:p>
      <w:pPr>
        <w:pStyle w:val="7"/>
        <w:spacing w:before="0" w:beforeAutospacing="0" w:after="0" w:afterAutospacing="0" w:line="360" w:lineRule="auto"/>
        <w:ind w:firstLine="420"/>
        <w:rPr>
          <w:sz w:val="21"/>
          <w:szCs w:val="21"/>
        </w:rPr>
      </w:pPr>
      <w:r>
        <w:rPr>
          <w:rFonts w:hint="eastAsia"/>
          <w:sz w:val="21"/>
          <w:szCs w:val="21"/>
        </w:rPr>
        <w:t xml:space="preserve">在正常市场情况下，本基金力争净值增长率与业绩比较基准收益率之间的年跟踪误差不超过4%。如因指数编制规则调整或其他因素导致跟踪偏离度和跟踪误差超过上述范围，基金管理人应采取合理措施避免跟踪偏离度、跟踪误差进一步扩大。 </w:t>
      </w:r>
    </w:p>
    <w:p>
      <w:pPr>
        <w:pStyle w:val="7"/>
        <w:spacing w:before="0" w:beforeAutospacing="0" w:after="0" w:afterAutospacing="0" w:line="360" w:lineRule="auto"/>
        <w:ind w:firstLine="420"/>
        <w:rPr>
          <w:sz w:val="21"/>
          <w:szCs w:val="21"/>
        </w:rPr>
      </w:pPr>
      <w:r>
        <w:rPr>
          <w:rFonts w:hint="eastAsia"/>
          <w:sz w:val="21"/>
          <w:szCs w:val="21"/>
        </w:rPr>
        <w:t xml:space="preserve">2、基金投资策略 </w:t>
      </w:r>
    </w:p>
    <w:p>
      <w:pPr>
        <w:pStyle w:val="7"/>
        <w:spacing w:before="0" w:beforeAutospacing="0" w:after="0" w:afterAutospacing="0" w:line="360" w:lineRule="auto"/>
        <w:ind w:firstLine="420"/>
        <w:rPr>
          <w:sz w:val="21"/>
          <w:szCs w:val="21"/>
        </w:rPr>
      </w:pPr>
      <w:r>
        <w:rPr>
          <w:rFonts w:hint="eastAsia"/>
          <w:sz w:val="21"/>
          <w:szCs w:val="21"/>
        </w:rPr>
        <w:t xml:space="preserve">（1）投资组合的构建 </w:t>
      </w:r>
    </w:p>
    <w:p>
      <w:pPr>
        <w:pStyle w:val="7"/>
        <w:spacing w:before="0" w:beforeAutospacing="0" w:after="0" w:afterAutospacing="0" w:line="360" w:lineRule="auto"/>
        <w:ind w:firstLine="420"/>
        <w:rPr>
          <w:sz w:val="21"/>
          <w:szCs w:val="21"/>
        </w:rPr>
      </w:pPr>
      <w:r>
        <w:rPr>
          <w:rFonts w:hint="eastAsia"/>
          <w:sz w:val="21"/>
          <w:szCs w:val="21"/>
        </w:rPr>
        <w:t xml:space="preserve">基金合同生效后，本基金将主要按照标的指数成份股的基准权重构建股票组合，并在建仓期内将股票组合换购成目标ETF，使本基金投资于目标ETF的比例不低于基金资产净值的90%。 </w:t>
      </w:r>
    </w:p>
    <w:p>
      <w:pPr>
        <w:pStyle w:val="7"/>
        <w:spacing w:before="0" w:beforeAutospacing="0" w:after="0" w:afterAutospacing="0" w:line="360" w:lineRule="auto"/>
        <w:ind w:firstLine="420"/>
        <w:rPr>
          <w:sz w:val="21"/>
          <w:szCs w:val="21"/>
        </w:rPr>
      </w:pPr>
      <w:r>
        <w:rPr>
          <w:rFonts w:hint="eastAsia"/>
          <w:sz w:val="21"/>
          <w:szCs w:val="21"/>
        </w:rPr>
        <w:t xml:space="preserve">（2）投资组合的投资方式 </w:t>
      </w:r>
    </w:p>
    <w:p>
      <w:pPr>
        <w:pStyle w:val="7"/>
        <w:spacing w:before="0" w:beforeAutospacing="0" w:after="0" w:afterAutospacing="0" w:line="360" w:lineRule="auto"/>
        <w:ind w:firstLine="420"/>
        <w:rPr>
          <w:sz w:val="21"/>
          <w:szCs w:val="21"/>
        </w:rPr>
      </w:pPr>
      <w:r>
        <w:rPr>
          <w:rFonts w:hint="eastAsia"/>
          <w:sz w:val="21"/>
          <w:szCs w:val="21"/>
        </w:rPr>
        <w:t xml:space="preserve">本基金投资目标ETF的方式如下： </w:t>
      </w:r>
    </w:p>
    <w:p>
      <w:pPr>
        <w:pStyle w:val="7"/>
        <w:spacing w:before="0" w:beforeAutospacing="0" w:after="0" w:afterAutospacing="0" w:line="360" w:lineRule="auto"/>
        <w:ind w:firstLine="420"/>
        <w:rPr>
          <w:sz w:val="21"/>
          <w:szCs w:val="21"/>
        </w:rPr>
      </w:pPr>
      <w:r>
        <w:rPr>
          <w:rFonts w:hint="eastAsia"/>
          <w:sz w:val="21"/>
          <w:szCs w:val="21"/>
        </w:rPr>
        <w:t xml:space="preserve">1）申购和赎回：目标ETF开放申购赎回后，以股票组合进行申购赎回或者按照目标ETF法律文件的约定以其他方式申赎目标ETF。 </w:t>
      </w:r>
    </w:p>
    <w:p>
      <w:pPr>
        <w:pStyle w:val="7"/>
        <w:spacing w:before="0" w:beforeAutospacing="0" w:after="0" w:afterAutospacing="0" w:line="360" w:lineRule="auto"/>
        <w:ind w:firstLine="420"/>
        <w:rPr>
          <w:sz w:val="21"/>
          <w:szCs w:val="21"/>
        </w:rPr>
      </w:pPr>
      <w:r>
        <w:rPr>
          <w:rFonts w:hint="eastAsia"/>
          <w:sz w:val="21"/>
          <w:szCs w:val="21"/>
        </w:rPr>
        <w:t xml:space="preserve">2）二级市场方式：目标ETF上市交易后，在二级市场进行目标ETF份额的交易。本基金投资于目标ETF的方式以申购和赎回为主，但在目标ETF二级市场流动性较好的情况下，为了更好地实现本基金的投资目标，减小与标的指数的跟踪偏离度和跟踪误差，也可以通过二级市场交易买卖目标ETF。 </w:t>
      </w:r>
    </w:p>
    <w:p>
      <w:pPr>
        <w:pStyle w:val="7"/>
        <w:spacing w:before="0" w:beforeAutospacing="0" w:after="0" w:afterAutospacing="0" w:line="360" w:lineRule="auto"/>
        <w:ind w:firstLine="420"/>
        <w:rPr>
          <w:sz w:val="21"/>
          <w:szCs w:val="21"/>
        </w:rPr>
      </w:pPr>
      <w:r>
        <w:rPr>
          <w:rFonts w:hint="eastAsia"/>
          <w:sz w:val="21"/>
          <w:szCs w:val="21"/>
        </w:rPr>
        <w:t xml:space="preserve">3）特殊申购：在目标ETF开放日常申购赎回前，本基金可以用现金特殊申购目标ETF基金份额，申购价格以特殊申购日目标ETF的基金份额净值为基准计算，不收取申购费用。 </w:t>
      </w:r>
    </w:p>
    <w:p>
      <w:pPr>
        <w:pStyle w:val="7"/>
        <w:spacing w:before="0" w:beforeAutospacing="0" w:after="0" w:afterAutospacing="0" w:line="360" w:lineRule="auto"/>
        <w:ind w:firstLine="420"/>
        <w:rPr>
          <w:sz w:val="21"/>
          <w:szCs w:val="21"/>
        </w:rPr>
      </w:pPr>
      <w:r>
        <w:rPr>
          <w:rFonts w:hint="eastAsia"/>
          <w:sz w:val="21"/>
          <w:szCs w:val="21"/>
        </w:rPr>
        <w:t xml:space="preserve">当目标ETF申购、赎回或交易模式进行了变更或调整，本基金也将作相应的变更或调整，无须召开基金份额持有人大会。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3、成份股、备选成份股投资策略投资管理程序 </w:t>
      </w:r>
    </w:p>
    <w:p>
      <w:pPr>
        <w:pStyle w:val="7"/>
        <w:spacing w:before="0" w:beforeAutospacing="0" w:after="0" w:afterAutospacing="0" w:line="360" w:lineRule="auto"/>
        <w:ind w:firstLine="420"/>
        <w:rPr>
          <w:sz w:val="21"/>
          <w:szCs w:val="21"/>
        </w:rPr>
      </w:pPr>
      <w:r>
        <w:rPr>
          <w:rFonts w:hint="eastAsia"/>
          <w:sz w:val="21"/>
          <w:szCs w:val="21"/>
        </w:rPr>
        <w:t xml:space="preserve">本基金对成份股、备选成份股的投资目的是为准备构建股票组合以申购目标ETF。因此对可投资于成份股、备选成份股的资金头寸，主要采取完全复制策略，即完全按照标的指数的成份股组成及其权重构建基金股票投资组合，并根据标的指数成份股及其权重的变动而进行相应调整。但在因特殊情况（如流动性不足等）导致无法获得足够数量的股票时，基金管理人将搭配使用其他合理方法进行适当的替代。 </w:t>
      </w:r>
    </w:p>
    <w:p>
      <w:pPr>
        <w:pStyle w:val="7"/>
        <w:spacing w:before="0" w:beforeAutospacing="0" w:after="0" w:afterAutospacing="0" w:line="360" w:lineRule="auto"/>
        <w:ind w:firstLine="420"/>
        <w:rPr>
          <w:sz w:val="21"/>
          <w:szCs w:val="21"/>
        </w:rPr>
      </w:pPr>
      <w:r>
        <w:rPr>
          <w:rFonts w:hint="eastAsia"/>
          <w:sz w:val="21"/>
          <w:szCs w:val="21"/>
        </w:rPr>
        <w:t xml:space="preserve">4、债券投资策略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本基金债券投资组合将着重考虑基金的流动性管理及策略性投资的需要，选取到期日在一年以内的政府债券进行配置。债券投资者的目的是保证基金资产流动性，有效利用基金资产，提高基金资产的投资收益。 </w:t>
      </w:r>
    </w:p>
    <w:p>
      <w:pPr>
        <w:pStyle w:val="7"/>
        <w:spacing w:before="0" w:beforeAutospacing="0" w:after="0" w:afterAutospacing="0" w:line="360" w:lineRule="auto"/>
        <w:ind w:firstLine="420"/>
        <w:rPr>
          <w:sz w:val="21"/>
          <w:szCs w:val="21"/>
        </w:rPr>
      </w:pPr>
      <w:r>
        <w:rPr>
          <w:rFonts w:hint="eastAsia"/>
          <w:sz w:val="21"/>
          <w:szCs w:val="21"/>
        </w:rPr>
        <w:t xml:space="preserve">5、衍生品投资策略 </w:t>
      </w:r>
    </w:p>
    <w:p>
      <w:pPr>
        <w:pStyle w:val="7"/>
        <w:spacing w:before="0" w:beforeAutospacing="0" w:after="0" w:afterAutospacing="0" w:line="360" w:lineRule="auto"/>
        <w:ind w:firstLine="420"/>
        <w:rPr>
          <w:sz w:val="21"/>
          <w:szCs w:val="21"/>
        </w:rPr>
      </w:pPr>
      <w:r>
        <w:rPr>
          <w:rFonts w:hint="eastAsia"/>
          <w:sz w:val="21"/>
          <w:szCs w:val="21"/>
        </w:rPr>
        <w:t xml:space="preserve">（1）权证投资策略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本基金将通过对权证标的证券的基本面研究，结合多种定价模型，根据基金资产组合情况适度进行权证投资。 </w:t>
      </w:r>
    </w:p>
    <w:p>
      <w:pPr>
        <w:pStyle w:val="7"/>
        <w:spacing w:before="0" w:beforeAutospacing="0" w:after="0" w:afterAutospacing="0" w:line="360" w:lineRule="auto"/>
        <w:ind w:firstLine="420"/>
        <w:rPr>
          <w:sz w:val="21"/>
          <w:szCs w:val="21"/>
        </w:rPr>
      </w:pPr>
      <w:r>
        <w:rPr>
          <w:rFonts w:hint="eastAsia"/>
          <w:sz w:val="21"/>
          <w:szCs w:val="21"/>
        </w:rPr>
        <w:t xml:space="preserve">（2）股指期货投资策略 </w:t>
      </w:r>
    </w:p>
    <w:p>
      <w:pPr>
        <w:pStyle w:val="7"/>
        <w:spacing w:before="0" w:beforeAutospacing="0" w:after="0" w:afterAutospacing="0" w:line="360" w:lineRule="auto"/>
        <w:ind w:firstLine="420"/>
        <w:rPr>
          <w:sz w:val="21"/>
          <w:szCs w:val="21"/>
        </w:rPr>
      </w:pPr>
      <w:r>
        <w:rPr>
          <w:rFonts w:hint="eastAsia"/>
          <w:sz w:val="21"/>
          <w:szCs w:val="21"/>
        </w:rPr>
        <w:t xml:space="preserve">本基金投资股指期货将根据风险管理的原则，以套期保值为目的，力争利用股指期货的杠杆作用，降低股票仓位频繁调整的交易成本和跟踪误差，达到有效跟踪标的指数的目的。 </w:t>
      </w:r>
    </w:p>
    <w:p>
      <w:pPr>
        <w:pStyle w:val="7"/>
        <w:spacing w:before="0" w:beforeAutospacing="0" w:after="0" w:afterAutospacing="0" w:line="360" w:lineRule="auto"/>
        <w:ind w:firstLine="420"/>
        <w:rPr>
          <w:sz w:val="21"/>
          <w:szCs w:val="21"/>
        </w:rPr>
      </w:pPr>
      <w:r>
        <w:rPr>
          <w:rFonts w:hint="eastAsia"/>
          <w:sz w:val="21"/>
          <w:szCs w:val="21"/>
        </w:rPr>
        <w:t xml:space="preserve">（3）期权投资策略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本基金将按照风险管理的原则，以套期保值为主要目的参与期权交易。本基金将结合投资目标、比例限制、风险收益特征以及法律法规的相关限定和要求，确定参与期权交易的投资时机和投资比例。 </w:t>
      </w:r>
    </w:p>
    <w:p>
      <w:pPr>
        <w:pStyle w:val="7"/>
        <w:spacing w:before="0" w:beforeAutospacing="0" w:after="0" w:afterAutospacing="0" w:line="360" w:lineRule="auto"/>
        <w:ind w:firstLine="420"/>
        <w:rPr>
          <w:sz w:val="21"/>
          <w:szCs w:val="21"/>
        </w:rPr>
      </w:pPr>
      <w:r>
        <w:rPr>
          <w:rFonts w:hint="eastAsia"/>
          <w:sz w:val="21"/>
          <w:szCs w:val="21"/>
        </w:rPr>
        <w:t xml:space="preserve">本基金投资期权，基金管理人将根据审慎原则，建立期权交易决策部门或小组，授权特定的管理人员负责期权的投资审批事项，以防范期权投资的风险。 </w:t>
      </w:r>
    </w:p>
    <w:p>
      <w:pPr>
        <w:pStyle w:val="7"/>
        <w:spacing w:before="0" w:beforeAutospacing="0" w:after="0" w:afterAutospacing="0" w:line="360" w:lineRule="auto"/>
        <w:ind w:firstLine="420"/>
        <w:rPr>
          <w:sz w:val="21"/>
          <w:szCs w:val="21"/>
        </w:rPr>
      </w:pPr>
      <w:r>
        <w:rPr>
          <w:rFonts w:hint="eastAsia"/>
          <w:sz w:val="21"/>
          <w:szCs w:val="21"/>
        </w:rPr>
        <w:t xml:space="preserve">6、存托凭证投资策略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bookmarkStart w:id="103" w:name="field_60_investmentstrategy_1_end"/>
      <w:bookmarkEnd w:id="103"/>
      <w:bookmarkStart w:id="104" w:name="chapter_level1_11_60_section_1_end"/>
      <w:bookmarkEnd w:id="104"/>
      <w:r>
        <w:rPr>
          <w:rFonts w:hint="eastAsia"/>
          <w:sz w:val="21"/>
          <w:szCs w:val="21"/>
        </w:rPr>
        <w:t xml:space="preserve">  </w:t>
      </w:r>
    </w:p>
    <w:p>
      <w:pPr>
        <w:pStyle w:val="7"/>
        <w:spacing w:before="0" w:beforeAutospacing="0" w:after="0" w:afterAutospacing="0" w:line="360" w:lineRule="auto"/>
        <w:ind w:firstLine="420"/>
        <w:rPr>
          <w:sz w:val="21"/>
          <w:szCs w:val="21"/>
        </w:rPr>
      </w:pPr>
      <w:bookmarkStart w:id="105" w:name="chapter_level1_11_60_section_2"/>
      <w:bookmarkEnd w:id="105"/>
      <w:r>
        <w:rPr>
          <w:rStyle w:val="11"/>
          <w:rFonts w:hint="eastAsia"/>
          <w:sz w:val="21"/>
          <w:szCs w:val="21"/>
        </w:rPr>
        <w:t>四、投资决策依据和流程</w:t>
      </w:r>
    </w:p>
    <w:p>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2、宏观策略部基于自上而下的研究为本基金提供建议；研究部行业研究员为行业研究与分析提供支持；固定收益部数量及信用分析员为固定收益类投资决策提供依据； </w:t>
      </w:r>
    </w:p>
    <w:p>
      <w:pPr>
        <w:pStyle w:val="7"/>
        <w:spacing w:before="0" w:beforeAutospacing="0" w:after="0" w:afterAutospacing="0" w:line="360" w:lineRule="auto"/>
        <w:ind w:firstLine="420"/>
        <w:rPr>
          <w:sz w:val="21"/>
          <w:szCs w:val="21"/>
        </w:rPr>
      </w:pPr>
      <w:r>
        <w:rPr>
          <w:rFonts w:hint="eastAsia"/>
          <w:sz w:val="21"/>
          <w:szCs w:val="21"/>
        </w:rPr>
        <w:t xml:space="preserve">3、固定收益部定期召开投资例会，根据投资决策委员会的决定，结合市场和个券的变化，制定具体的投资策略； </w:t>
      </w:r>
    </w:p>
    <w:p>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pPr>
        <w:pStyle w:val="7"/>
        <w:spacing w:before="0" w:beforeAutospacing="0" w:after="0" w:afterAutospacing="0" w:line="360" w:lineRule="auto"/>
        <w:ind w:firstLine="420"/>
        <w:rPr>
          <w:sz w:val="21"/>
          <w:szCs w:val="21"/>
        </w:rPr>
      </w:pPr>
      <w:r>
        <w:rPr>
          <w:rFonts w:hint="eastAsia"/>
          <w:sz w:val="21"/>
          <w:szCs w:val="21"/>
        </w:rPr>
        <w:t xml:space="preserve">9、当标的指数成份股发生明显负面事件面临退市风险，且指数编制机构暂未作出调整的，基金管理人应当按照持有人利益优先的原则，综合考虑成份股的退市风险、其在指数中的权重以及对跟踪误差的影响，据此制定成份股替代策略，并对投资组合进行调整。 </w:t>
      </w:r>
    </w:p>
    <w:p>
      <w:pPr>
        <w:pStyle w:val="7"/>
        <w:spacing w:before="0" w:beforeAutospacing="0" w:after="0" w:afterAutospacing="0" w:line="360" w:lineRule="auto"/>
        <w:ind w:firstLine="420"/>
        <w:rPr>
          <w:sz w:val="21"/>
          <w:szCs w:val="21"/>
        </w:rPr>
      </w:pPr>
      <w:r>
        <w:rPr>
          <w:rStyle w:val="11"/>
          <w:rFonts w:hint="eastAsia"/>
          <w:sz w:val="21"/>
          <w:szCs w:val="21"/>
        </w:rPr>
        <w:t>五、投资限制</w:t>
      </w:r>
    </w:p>
    <w:p>
      <w:pPr>
        <w:pStyle w:val="7"/>
        <w:spacing w:before="0" w:beforeAutospacing="0" w:after="0" w:afterAutospacing="0" w:line="360" w:lineRule="auto"/>
        <w:ind w:firstLine="420"/>
        <w:rPr>
          <w:sz w:val="21"/>
          <w:szCs w:val="21"/>
        </w:rPr>
      </w:pPr>
      <w:r>
        <w:rPr>
          <w:rFonts w:hint="eastAsia"/>
          <w:sz w:val="21"/>
          <w:szCs w:val="21"/>
        </w:rPr>
        <w:t xml:space="preserve">1、基金投资组合比例限制 </w:t>
      </w:r>
    </w:p>
    <w:p>
      <w:pPr>
        <w:pStyle w:val="7"/>
        <w:spacing w:before="0" w:beforeAutospacing="0" w:after="0" w:afterAutospacing="0" w:line="360" w:lineRule="auto"/>
        <w:ind w:firstLine="420"/>
        <w:rPr>
          <w:sz w:val="21"/>
          <w:szCs w:val="21"/>
        </w:rPr>
      </w:pPr>
      <w:r>
        <w:rPr>
          <w:rFonts w:hint="eastAsia"/>
          <w:sz w:val="21"/>
          <w:szCs w:val="21"/>
        </w:rPr>
        <w:t xml:space="preserve">（1）本基金持有一家公司发行的证券（含存托凭证），其市值不超过基金资产净值的10%；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（2）本基金与基金管理人管理的其他基金持有一家公司发行的证券（含存托凭证）总和，不超过该证券的10%； </w:t>
      </w:r>
    </w:p>
    <w:p>
      <w:pPr>
        <w:pStyle w:val="7"/>
        <w:spacing w:before="0" w:beforeAutospacing="0" w:after="0" w:afterAutospacing="0" w:line="360" w:lineRule="auto"/>
        <w:ind w:firstLine="420"/>
        <w:rPr>
          <w:sz w:val="21"/>
          <w:szCs w:val="21"/>
        </w:rPr>
      </w:pPr>
      <w:r>
        <w:rPr>
          <w:rFonts w:hint="eastAsia"/>
          <w:sz w:val="21"/>
          <w:szCs w:val="21"/>
        </w:rPr>
        <w:t xml:space="preserve">（3）本基金投资于目标ETF的资产比例不低于基金资产净值的90%； </w:t>
      </w:r>
    </w:p>
    <w:p>
      <w:pPr>
        <w:pStyle w:val="7"/>
        <w:spacing w:before="0" w:beforeAutospacing="0" w:after="0" w:afterAutospacing="0" w:line="360" w:lineRule="auto"/>
        <w:ind w:firstLine="420"/>
        <w:rPr>
          <w:sz w:val="21"/>
          <w:szCs w:val="21"/>
        </w:rPr>
      </w:pPr>
      <w:r>
        <w:rPr>
          <w:rFonts w:hint="eastAsia"/>
          <w:sz w:val="21"/>
          <w:szCs w:val="21"/>
        </w:rPr>
        <w:t xml:space="preserve">（4）本基金参与股票发行申购，所申报的金额不超过本基金总资产，本基金所申报的股票数量不超过拟发行股票公司本次发行股票的总量；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（5）在全国银行间同业市场中的债券回购最长期限为1年，债券回购到期后不展期；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（6）在银行间市场进行债券回购融入的资金余额不超过基金资产净值的40%； </w:t>
      </w:r>
    </w:p>
    <w:p>
      <w:pPr>
        <w:pStyle w:val="7"/>
        <w:spacing w:before="0" w:beforeAutospacing="0" w:after="0" w:afterAutospacing="0" w:line="360" w:lineRule="auto"/>
        <w:ind w:firstLine="420"/>
        <w:rPr>
          <w:sz w:val="21"/>
          <w:szCs w:val="21"/>
        </w:rPr>
      </w:pPr>
      <w:r>
        <w:rPr>
          <w:rFonts w:hint="eastAsia"/>
          <w:sz w:val="21"/>
          <w:szCs w:val="21"/>
        </w:rPr>
        <w:t xml:space="preserve">（7）每个交易日日终在扣除股指期货合约需缴纳的交易保证金后，基金的投资组合中保留的现金或者到期日在一年以内的政府债券的比例合计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8）本基金在任何交易日买入权证的总金额，不得超过上一交易日基金资产净值的0.5%；本基金持有的全部权证，其市值不得超过基金资产净值的3%；本基金管理人管理的全部基金持有的同一权证，不得超过该权证的10%； </w:t>
      </w:r>
    </w:p>
    <w:p>
      <w:pPr>
        <w:pStyle w:val="7"/>
        <w:spacing w:before="0" w:beforeAutospacing="0" w:after="0" w:afterAutospacing="0" w:line="360" w:lineRule="auto"/>
        <w:ind w:firstLine="420"/>
        <w:rPr>
          <w:sz w:val="21"/>
          <w:szCs w:val="21"/>
        </w:rPr>
      </w:pPr>
      <w:r>
        <w:rPr>
          <w:rFonts w:hint="eastAsia"/>
          <w:sz w:val="21"/>
          <w:szCs w:val="21"/>
        </w:rPr>
        <w:t xml:space="preserve">（9）本基金持有的同一（指同一信用级别）资产支持证券的比例，不得超过该资产支持证券规模的10%；本基金投资于同一原始权益人的各类资产支持证券的比例，不得超过基金资产净值的10%；本基金管理人管理的全部证券投资基金投资于同一原始权益人的各类资产支持证券，不得超过其各类资产支持证券合计规模的10%；本基金持有的全部资产支持证券，其市值不得超过基金资产净值的20%，中国证监会规定的特殊品种除外。本基金持有资产支持证券期间，如果其信用等级下降、不再符合投资标准，将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（10）流通受限证券投资遵照有关法律法规及中国证监会的规定执行； </w:t>
      </w:r>
    </w:p>
    <w:p>
      <w:pPr>
        <w:pStyle w:val="7"/>
        <w:spacing w:before="0" w:beforeAutospacing="0" w:after="0" w:afterAutospacing="0" w:line="360" w:lineRule="auto"/>
        <w:ind w:firstLine="420"/>
        <w:rPr>
          <w:sz w:val="21"/>
          <w:szCs w:val="21"/>
        </w:rPr>
      </w:pPr>
      <w:r>
        <w:rPr>
          <w:rFonts w:hint="eastAsia"/>
          <w:sz w:val="21"/>
          <w:szCs w:val="21"/>
        </w:rPr>
        <w:t xml:space="preserve">（11）本基金参与股指期货交易后，依据下列标准建构组合： </w:t>
      </w:r>
    </w:p>
    <w:p>
      <w:pPr>
        <w:pStyle w:val="7"/>
        <w:spacing w:before="0" w:beforeAutospacing="0" w:after="0" w:afterAutospacing="0" w:line="360" w:lineRule="auto"/>
        <w:ind w:firstLine="420"/>
        <w:rPr>
          <w:sz w:val="21"/>
          <w:szCs w:val="21"/>
        </w:rPr>
      </w:pPr>
      <w:r>
        <w:rPr>
          <w:rFonts w:hint="eastAsia"/>
          <w:sz w:val="21"/>
          <w:szCs w:val="21"/>
        </w:rPr>
        <w:t xml:space="preserve">在任何交易日日终，持有的买入股指期货合约价值，不得超过基金资产净值的10%；在任何交易日日终，持有的买入期货合约价值与有价证券市值之和，不得超过基金资产净值的95%，其中，有价证券指股票、债券（不含到期日在一年以内的政府债券）、权证、资产支持证券、买入返售金融资产（不含质押式回购）等；在任何交易日日终，持有的卖出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13）基金因未平仓的期权合约支付和收取的权利金总额不得超过基金资产净值的10%；开仓卖出认购期权的，应持有足额标的证券；开仓卖出认沽期权的，应持有合约行权所需的全额现金或交易所规则认可的可冲抵期权保证金的现金等价物；未平仓的期权合约面值不得超过基金资产净值的20%。其中，合约面值按照行权价乘以合约乘数计算； </w:t>
      </w:r>
    </w:p>
    <w:p>
      <w:pPr>
        <w:pStyle w:val="7"/>
        <w:spacing w:before="0" w:beforeAutospacing="0" w:after="0" w:afterAutospacing="0" w:line="360" w:lineRule="auto"/>
        <w:ind w:firstLine="420"/>
        <w:rPr>
          <w:sz w:val="21"/>
          <w:szCs w:val="21"/>
        </w:rPr>
      </w:pPr>
      <w:r>
        <w:rPr>
          <w:rFonts w:hint="eastAsia"/>
          <w:sz w:val="21"/>
          <w:szCs w:val="21"/>
        </w:rPr>
        <w:t xml:space="preserve">（14）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pPr>
        <w:pStyle w:val="7"/>
        <w:spacing w:before="0" w:beforeAutospacing="0" w:after="0" w:afterAutospacing="0" w:line="360" w:lineRule="auto"/>
        <w:ind w:firstLine="420"/>
        <w:rPr>
          <w:sz w:val="21"/>
          <w:szCs w:val="21"/>
        </w:rPr>
      </w:pPr>
      <w:r>
        <w:rPr>
          <w:rFonts w:hint="eastAsia"/>
          <w:sz w:val="21"/>
          <w:szCs w:val="21"/>
        </w:rPr>
        <w:t xml:space="preserve">（15）本基金主动投资于流动性受限资产的市值合计不得超过本基金资产净值的15%； </w:t>
      </w:r>
    </w:p>
    <w:p>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（17）法律、法规、基金合同及中国证监会规定的其他比例限制。 </w:t>
      </w:r>
    </w:p>
    <w:p>
      <w:pPr>
        <w:pStyle w:val="7"/>
        <w:spacing w:before="0" w:beforeAutospacing="0" w:after="0" w:afterAutospacing="0" w:line="360" w:lineRule="auto"/>
        <w:ind w:firstLine="420"/>
        <w:rPr>
          <w:sz w:val="21"/>
          <w:szCs w:val="21"/>
        </w:rPr>
      </w:pPr>
      <w:r>
        <w:rPr>
          <w:rFonts w:hint="eastAsia"/>
          <w:sz w:val="21"/>
          <w:szCs w:val="21"/>
        </w:rPr>
        <w:t xml:space="preserve">如果法律法规对基金合同约定投资组合比例限制进行变更的，以变更后的规定为准。法律法规或监管部门取消上述限制，如适用于本基金，则本基金投资不再受相关限制。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3个月内使基金的投资组合比例符合基金合同的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除第（7）项、第（9）项中“本基金持有资产支持证券期间，如果其信用等级下降、不再符合投资标准，将在评级报告发布之日起3个月内予以全部卖出”的投资限制、第（15）、（16）项及法律法规或基金合同另有规定外，由于证券、期货市场波动、上市公司合并、基金规模变动、标的指数成份股调整、标的指数成份股流动性限制、目标ETF暂停申购、赎回或二级市场交易停牌等基金管理人之外的因素导致基金投资不符合上述约定比例的，基金管理人应在10个交易日内进行调整，以达到标准，法律法规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2、禁止用本基金财产从事以下行为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（4）投资除目标ETF外的其他基金份额，但是中国证监会另有规定的除外；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（5）向本基金的基金管理人、基金托管人出资；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法律、行政法规或监管部门取消上述限制，如适用于本基金，则本基金投资不再受相关限制。 </w:t>
      </w:r>
    </w:p>
    <w:p>
      <w:pPr>
        <w:pStyle w:val="7"/>
        <w:spacing w:before="0" w:beforeAutospacing="0" w:after="0" w:afterAutospacing="0" w:line="360" w:lineRule="auto"/>
        <w:ind w:firstLine="420"/>
        <w:rPr>
          <w:sz w:val="21"/>
          <w:szCs w:val="21"/>
        </w:rPr>
      </w:pPr>
      <w:r>
        <w:rPr>
          <w:rStyle w:val="11"/>
          <w:rFonts w:hint="eastAsia"/>
          <w:sz w:val="21"/>
          <w:szCs w:val="21"/>
        </w:rPr>
        <w:t>六、标的指数</w:t>
      </w:r>
    </w:p>
    <w:p>
      <w:pPr>
        <w:pStyle w:val="7"/>
        <w:spacing w:before="0" w:beforeAutospacing="0" w:after="0" w:afterAutospacing="0" w:line="360" w:lineRule="auto"/>
        <w:ind w:firstLine="420"/>
        <w:rPr>
          <w:sz w:val="21"/>
          <w:szCs w:val="21"/>
        </w:rPr>
      </w:pPr>
      <w:r>
        <w:rPr>
          <w:rFonts w:hint="eastAsia"/>
          <w:sz w:val="21"/>
          <w:szCs w:val="21"/>
        </w:rPr>
        <w:t xml:space="preserve">创业板指数。 </w:t>
      </w:r>
    </w:p>
    <w:p>
      <w:pPr>
        <w:pStyle w:val="7"/>
        <w:spacing w:before="0" w:beforeAutospacing="0" w:after="0" w:afterAutospacing="0" w:line="360" w:lineRule="auto"/>
        <w:ind w:firstLine="420"/>
        <w:rPr>
          <w:sz w:val="21"/>
          <w:szCs w:val="21"/>
        </w:rPr>
      </w:pPr>
      <w:r>
        <w:rPr>
          <w:rFonts w:hint="eastAsia"/>
          <w:sz w:val="21"/>
          <w:szCs w:val="21"/>
        </w:rPr>
        <w:t xml:space="preserve">如果目标ETF变更其标的指数，或者深圳证券信息有限公司变更或停止创业板指数的编制及发布，或者创业板指数被其他指数所替代，或者由于指数编制方法等重大变更导致创业板指数不宜继续作为目标基金的标的指数，或者证券市场有其他代表性更强、更适合于本基金投资的指数推出，本基金管理人可以依据审慎性原则和维护基金份额持有人合法权益的原则，在取得基金托管人的同意并履行适当程序后，更换本基金的标的指数和投资对象；并依据目标ETF的标的指数、市场代表性、流动性、与原指数的相关性等诸多因素选择确定新的标的指数。 </w:t>
      </w:r>
    </w:p>
    <w:p>
      <w:pPr>
        <w:pStyle w:val="7"/>
        <w:spacing w:before="0" w:beforeAutospacing="0" w:after="0" w:afterAutospacing="0" w:line="360" w:lineRule="auto"/>
        <w:ind w:firstLine="420"/>
        <w:rPr>
          <w:sz w:val="21"/>
          <w:szCs w:val="21"/>
        </w:rPr>
      </w:pPr>
      <w:bookmarkStart w:id="106" w:name="chapter_level1_11_60_section_2_end"/>
      <w:bookmarkEnd w:id="106"/>
      <w:r>
        <w:rPr>
          <w:rStyle w:val="11"/>
          <w:rFonts w:hint="eastAsia"/>
          <w:sz w:val="21"/>
          <w:szCs w:val="21"/>
        </w:rPr>
        <w:t>七、业绩比较基准</w:t>
      </w:r>
    </w:p>
    <w:p>
      <w:pPr>
        <w:pStyle w:val="7"/>
        <w:spacing w:before="0" w:beforeAutospacing="0" w:after="0" w:afterAutospacing="0" w:line="360" w:lineRule="auto"/>
        <w:ind w:firstLine="420"/>
        <w:rPr>
          <w:sz w:val="21"/>
          <w:szCs w:val="21"/>
        </w:rPr>
      </w:pPr>
      <w:bookmarkStart w:id="107" w:name="chapter_level1_11_60_section_3"/>
      <w:bookmarkEnd w:id="107"/>
      <w:bookmarkStart w:id="108" w:name="field_60_benchmark_1_start"/>
      <w:bookmarkEnd w:id="108"/>
      <w:r>
        <w:rPr>
          <w:rFonts w:hint="eastAsia"/>
          <w:sz w:val="21"/>
          <w:szCs w:val="21"/>
        </w:rPr>
        <w:t xml:space="preserve">创业板指数收益率×95%+银行活期存款税后利率×5%  </w:t>
      </w:r>
      <w:bookmarkStart w:id="109" w:name="field_60_benchmark_1_end"/>
      <w:bookmarkEnd w:id="109"/>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除法律法规、监管机构另有规定或基金合同另有规定除外，基金管理人应当自该情形发生之日起十个工作日内向中国证监会报告并提出解决方案，如更换基金标的指数、转换运作方式、与其他基金合并或者终止基金合同等，并在6个月内召集基金份额持有人大会进行表决。 </w:t>
      </w:r>
    </w:p>
    <w:p>
      <w:pPr>
        <w:pStyle w:val="7"/>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w:t>
      </w:r>
      <w:bookmarkStart w:id="110" w:name="chapter_level1_11_60_section_3_end"/>
      <w:bookmarkEnd w:id="110"/>
      <w:r>
        <w:rPr>
          <w:rFonts w:hint="eastAsia"/>
          <w:sz w:val="21"/>
          <w:szCs w:val="21"/>
        </w:rPr>
        <w:t xml:space="preserve">投资运作。  </w:t>
      </w:r>
    </w:p>
    <w:p>
      <w:pPr>
        <w:pStyle w:val="7"/>
        <w:spacing w:before="0" w:beforeAutospacing="0" w:after="0" w:afterAutospacing="0" w:line="360" w:lineRule="auto"/>
        <w:ind w:firstLine="420"/>
        <w:rPr>
          <w:sz w:val="21"/>
          <w:szCs w:val="21"/>
        </w:rPr>
      </w:pPr>
      <w:bookmarkStart w:id="111" w:name="chapter_level1_11_60_section_4"/>
      <w:bookmarkEnd w:id="111"/>
      <w:r>
        <w:rPr>
          <w:rStyle w:val="11"/>
          <w:rFonts w:hint="eastAsia"/>
          <w:sz w:val="21"/>
          <w:szCs w:val="21"/>
        </w:rPr>
        <w:t>八、风险收益特征</w:t>
      </w:r>
    </w:p>
    <w:p>
      <w:pPr>
        <w:pStyle w:val="7"/>
        <w:spacing w:before="0" w:beforeAutospacing="0" w:after="0" w:afterAutospacing="0" w:line="360" w:lineRule="auto"/>
        <w:ind w:firstLine="420"/>
        <w:rPr>
          <w:sz w:val="21"/>
          <w:szCs w:val="21"/>
        </w:rPr>
      </w:pPr>
      <w:bookmarkStart w:id="112" w:name="field_60_riskyield_1_start"/>
      <w:bookmarkEnd w:id="112"/>
      <w:r>
        <w:rPr>
          <w:rFonts w:hint="eastAsia"/>
          <w:sz w:val="21"/>
          <w:szCs w:val="21"/>
        </w:rPr>
        <w:t xml:space="preserve">本基金为股票型基金，其长期平均风险和预期收益水平高于混合型基金、债券型基金与货币市场基金。本基金为ETF联接基金，通过投资于目标ETF跟踪标的指数表现，具有与标的指数以及标的指数所代表的证券市场相似的风险收益特征。  </w:t>
      </w:r>
      <w:bookmarkStart w:id="113" w:name="field_60_riskyield_1_end"/>
      <w:bookmarkEnd w:id="113"/>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九、基金管理人代表基金行使权利的处理原则及方法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1、不谋求对上市公司的控股，不参与所投资上市公司的经营管理 </w:t>
      </w:r>
    </w:p>
    <w:p>
      <w:pPr>
        <w:pStyle w:val="7"/>
        <w:spacing w:before="0" w:beforeAutospacing="0" w:after="0" w:afterAutospacing="0" w:line="360" w:lineRule="auto"/>
        <w:ind w:firstLine="420"/>
        <w:rPr>
          <w:sz w:val="21"/>
          <w:szCs w:val="21"/>
        </w:rPr>
      </w:pPr>
      <w:r>
        <w:rPr>
          <w:rFonts w:hint="eastAsia"/>
          <w:sz w:val="21"/>
          <w:szCs w:val="21"/>
        </w:rPr>
        <w:t xml:space="preserve">2、有利于基金资产的安全与增值； </w:t>
      </w:r>
    </w:p>
    <w:p>
      <w:pPr>
        <w:pStyle w:val="7"/>
        <w:spacing w:before="0" w:beforeAutospacing="0" w:after="0" w:afterAutospacing="0" w:line="360" w:lineRule="auto"/>
        <w:ind w:firstLine="420"/>
        <w:rPr>
          <w:sz w:val="21"/>
          <w:szCs w:val="21"/>
        </w:rPr>
      </w:pPr>
      <w:r>
        <w:rPr>
          <w:rFonts w:hint="eastAsia"/>
          <w:sz w:val="21"/>
          <w:szCs w:val="21"/>
        </w:rPr>
        <w:t>3、基金管理人按照国家有关规定代表基金独立行使债权人权利，保护基金份额持有人</w:t>
      </w:r>
      <w:bookmarkStart w:id="114" w:name="chapter_level1_11_60_section_4_end"/>
      <w:bookmarkEnd w:id="114"/>
      <w:r>
        <w:rPr>
          <w:rFonts w:hint="eastAsia"/>
          <w:sz w:val="21"/>
          <w:szCs w:val="21"/>
        </w:rPr>
        <w:t xml:space="preserve">的利益。 </w:t>
      </w:r>
    </w:p>
    <w:p>
      <w:pPr>
        <w:pStyle w:val="7"/>
        <w:spacing w:before="0" w:beforeAutospacing="0" w:after="0" w:afterAutospacing="0" w:line="360" w:lineRule="auto"/>
        <w:ind w:firstLine="420"/>
        <w:rPr>
          <w:sz w:val="21"/>
          <w:szCs w:val="21"/>
        </w:rPr>
      </w:pPr>
      <w:bookmarkStart w:id="115" w:name="chapter_level1_11_60_section_5"/>
      <w:bookmarkEnd w:id="115"/>
      <w:bookmarkStart w:id="116" w:name="chapter_level1_11_60_section_5_end"/>
      <w:bookmarkEnd w:id="116"/>
      <w:r>
        <w:rPr>
          <w:rStyle w:val="11"/>
          <w:rFonts w:hint="eastAsia"/>
          <w:sz w:val="21"/>
          <w:szCs w:val="21"/>
        </w:rPr>
        <w:t>十、基金投资组合报告</w:t>
      </w:r>
    </w:p>
    <w:p>
      <w:pPr>
        <w:pStyle w:val="7"/>
        <w:spacing w:before="0" w:beforeAutospacing="0" w:after="0" w:afterAutospacing="0" w:line="360" w:lineRule="auto"/>
        <w:ind w:firstLine="420"/>
        <w:rPr>
          <w:sz w:val="21"/>
          <w:szCs w:val="21"/>
        </w:rPr>
      </w:pPr>
      <w:bookmarkStart w:id="117" w:name="chapter_level1_11_60_section_6"/>
      <w:bookmarkEnd w:id="117"/>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18" w:name="field_2343_financeendday_2"/>
      <w:r>
        <w:rPr>
          <w:sz w:val="21"/>
          <w:szCs w:val="21"/>
        </w:rPr>
        <w:t>2025年6月30日</w:t>
      </w:r>
      <w:bookmarkEnd w:id="118"/>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19" w:name="field_0_fundportfolio_1_start"/>
      <w:bookmarkEnd w:id="119"/>
      <w:r>
        <w:rPr>
          <w:rStyle w:val="11"/>
          <w:rFonts w:hint="eastAsia"/>
          <w:sz w:val="21"/>
          <w:szCs w:val="21"/>
        </w:rPr>
        <w:t>1 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477,116.41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477,116.41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1,753,626,004.13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94.33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5,569,881.64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5,569,881.64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90,808,084.47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8,547,137.87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1,859,028,224.52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2期末投资目标基金明细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4"/>
        <w:gridCol w:w="1045"/>
        <w:gridCol w:w="817"/>
        <w:gridCol w:w="1306"/>
        <w:gridCol w:w="1306"/>
        <w:gridCol w:w="1896"/>
        <w:gridCol w:w="1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基金名称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基金类型</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运作方式</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管理人</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博时创业板ETF</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指数型基金</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交易型开放式指数基金</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博时基金管理有限公司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1,753,626,004.13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94.92</w:t>
            </w:r>
          </w:p>
        </w:tc>
      </w:tr>
    </w:tbl>
    <w:p>
      <w:pPr>
        <w:pStyle w:val="7"/>
        <w:spacing w:before="0" w:beforeAutospacing="0" w:after="0" w:afterAutospacing="0" w:line="360" w:lineRule="auto"/>
        <w:ind w:firstLine="420"/>
        <w:rPr>
          <w:sz w:val="21"/>
          <w:szCs w:val="21"/>
        </w:rPr>
      </w:pPr>
      <w:r>
        <w:rPr>
          <w:rStyle w:val="11"/>
          <w:rFonts w:hint="eastAsia"/>
          <w:sz w:val="21"/>
          <w:szCs w:val="21"/>
        </w:rPr>
        <w:t>3 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3.1报告期末按行业分类的境内股票投资组合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12"/>
        <w:gridCol w:w="1677"/>
        <w:gridCol w:w="2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17,080.00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398,440.03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20,943.60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17,296.50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2,250.00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pPr>
              <w:rPr>
                <w:rFonts w:ascii="宋体" w:hAnsi="宋体" w:eastAsia="宋体" w:cs="宋体"/>
                <w:sz w:val="24"/>
                <w:szCs w:val="24"/>
              </w:rPr>
            </w:pPr>
            <w:r>
              <w:rPr>
                <w:rFonts w:hint="eastAsia" w:ascii="宋体" w:hAnsi="宋体" w:eastAsia="宋体"/>
              </w:rPr>
              <w:t>教育</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10,433.28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10,673.00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pPr>
              <w:rPr>
                <w:rFonts w:ascii="宋体" w:hAnsi="宋体" w:eastAsia="宋体" w:cs="宋体"/>
                <w:sz w:val="24"/>
                <w:szCs w:val="24"/>
              </w:rPr>
            </w:pPr>
            <w:r>
              <w:rPr>
                <w:rFonts w:hint="eastAsia" w:ascii="宋体" w:hAnsi="宋体" w:eastAsia="宋体"/>
              </w:rPr>
              <w:t>综合</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477,116.41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0.03</w:t>
            </w:r>
          </w:p>
        </w:tc>
      </w:tr>
    </w:tbl>
    <w:p>
      <w:pPr>
        <w:pStyle w:val="7"/>
        <w:spacing w:before="0" w:beforeAutospacing="0" w:after="0" w:afterAutospacing="0" w:line="360" w:lineRule="auto"/>
        <w:ind w:firstLine="420"/>
        <w:rPr>
          <w:sz w:val="21"/>
          <w:szCs w:val="21"/>
        </w:rPr>
      </w:pPr>
      <w:r>
        <w:rPr>
          <w:rStyle w:val="11"/>
          <w:rFonts w:hint="eastAsia"/>
          <w:sz w:val="21"/>
          <w:szCs w:val="21"/>
        </w:rPr>
        <w:t>3.2报告期末按行业分类的港股通投资股票投资组合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4 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100,888.00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300760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迈瑞医疗</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44,950.00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300274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阳光电源</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420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28,463.40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300124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汇川技术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25,828.00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300308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中际旭创</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20,420.40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300502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新易盛</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17,782.80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300498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温氏股份</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17,080.00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300476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胜宏科技</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13,438.00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300782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卓胜微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11,419.20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300347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泰格医药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10,664.00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bl>
    <w:p>
      <w:pPr>
        <w:pStyle w:val="7"/>
        <w:spacing w:before="0" w:beforeAutospacing="0" w:after="0" w:afterAutospacing="0" w:line="360" w:lineRule="auto"/>
        <w:ind w:firstLine="420"/>
        <w:rPr>
          <w:sz w:val="21"/>
          <w:szCs w:val="21"/>
        </w:rPr>
      </w:pPr>
      <w:r>
        <w:rPr>
          <w:rStyle w:val="11"/>
          <w:rFonts w:hint="eastAsia"/>
          <w:sz w:val="21"/>
          <w:szCs w:val="21"/>
        </w:rPr>
        <w:t>5 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659"/>
        <w:gridCol w:w="1864"/>
        <w:gridCol w:w="3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5,569,881.64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5,569,881.64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0.30</w:t>
            </w:r>
          </w:p>
        </w:tc>
      </w:tr>
    </w:tbl>
    <w:p>
      <w:pPr>
        <w:pStyle w:val="7"/>
        <w:spacing w:before="0" w:beforeAutospacing="0" w:after="0" w:afterAutospacing="0" w:line="360" w:lineRule="auto"/>
        <w:ind w:firstLine="420"/>
        <w:rPr>
          <w:sz w:val="21"/>
          <w:szCs w:val="21"/>
        </w:rPr>
      </w:pPr>
      <w:r>
        <w:rPr>
          <w:rStyle w:val="11"/>
          <w:rFonts w:hint="eastAsia"/>
          <w:sz w:val="21"/>
          <w:szCs w:val="21"/>
        </w:rPr>
        <w:t>6 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079"/>
        <w:gridCol w:w="1187"/>
        <w:gridCol w:w="1294"/>
        <w:gridCol w:w="1509"/>
        <w:gridCol w:w="2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019749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24国债15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55,000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5,569,881.64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0.30</w:t>
            </w:r>
          </w:p>
        </w:tc>
      </w:tr>
    </w:tbl>
    <w:p>
      <w:pPr>
        <w:pStyle w:val="7"/>
        <w:spacing w:before="0" w:beforeAutospacing="0" w:after="0" w:afterAutospacing="0" w:line="360" w:lineRule="auto"/>
        <w:ind w:firstLine="420"/>
        <w:rPr>
          <w:sz w:val="21"/>
          <w:szCs w:val="21"/>
        </w:rPr>
      </w:pPr>
      <w:r>
        <w:rPr>
          <w:rStyle w:val="11"/>
          <w:rFonts w:hint="eastAsia"/>
          <w:sz w:val="21"/>
          <w:szCs w:val="21"/>
        </w:rPr>
        <w:t>7　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9报告期末按公允价值占基金资产净值比例大小排序的前五名权证投资明细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 报告期末本基金投资的股指期货持仓和损益明细 </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10.2 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11报告期末本基金投资的国债期货交易情况说明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11.1 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11.2 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12投资组合报告附注</w:t>
      </w:r>
    </w:p>
    <w:p>
      <w:pPr>
        <w:pStyle w:val="7"/>
        <w:spacing w:before="0" w:beforeAutospacing="0" w:after="0" w:afterAutospacing="0" w:line="360" w:lineRule="auto"/>
        <w:ind w:firstLine="420"/>
        <w:rPr>
          <w:sz w:val="21"/>
          <w:szCs w:val="21"/>
        </w:rPr>
      </w:pPr>
      <w:r>
        <w:rPr>
          <w:rStyle w:val="11"/>
          <w:rFonts w:hint="eastAsia"/>
          <w:sz w:val="21"/>
          <w:szCs w:val="21"/>
        </w:rPr>
        <w:t>12.1基金投资前十名证券的发行主体被监管部门立案调查或编制日前一年内受到公开谴责、处罚的投资决策程序说明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胜宏科技(惠州)股份有限公司在报告编制前一年受到中华人民共和国梅沙海关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12.2 报告期内基金投资的前十名股票中，没有投资超出基金合同规定备选股票库之外的股票。本基金管理人从制度和流程上要求股票必须先入库再买入。</w:t>
      </w:r>
    </w:p>
    <w:p>
      <w:pPr>
        <w:pStyle w:val="7"/>
        <w:spacing w:before="0" w:beforeAutospacing="0" w:after="0" w:afterAutospacing="0" w:line="360" w:lineRule="auto"/>
        <w:ind w:firstLine="420"/>
        <w:rPr>
          <w:sz w:val="21"/>
          <w:szCs w:val="21"/>
        </w:rPr>
      </w:pPr>
      <w:r>
        <w:rPr>
          <w:rStyle w:val="11"/>
          <w:rFonts w:hint="eastAsia"/>
          <w:sz w:val="21"/>
          <w:szCs w:val="21"/>
        </w:rPr>
        <w:t>12.3其他资产构成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68,126.41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6,431,844.50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2,047,166.96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8,547,137.87</w:t>
            </w:r>
          </w:p>
        </w:tc>
      </w:tr>
    </w:tbl>
    <w:p>
      <w:pPr>
        <w:pStyle w:val="7"/>
        <w:spacing w:before="0" w:beforeAutospacing="0" w:after="0" w:afterAutospacing="0" w:line="360" w:lineRule="auto"/>
        <w:ind w:firstLine="420"/>
        <w:rPr>
          <w:sz w:val="21"/>
          <w:szCs w:val="21"/>
        </w:rPr>
      </w:pPr>
      <w:r>
        <w:rPr>
          <w:rStyle w:val="11"/>
          <w:rFonts w:hint="eastAsia"/>
          <w:sz w:val="21"/>
          <w:szCs w:val="21"/>
        </w:rPr>
        <w:t>12.4报告期末持有的处于转股期的可转换债券明细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12.5报告期末前十名股票中存在流通受限情况的说明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pPr>
        <w:pStyle w:val="7"/>
        <w:spacing w:before="0" w:beforeAutospacing="0" w:after="0" w:afterAutospacing="0" w:line="360" w:lineRule="auto"/>
        <w:ind w:firstLine="420"/>
        <w:rPr>
          <w:sz w:val="21"/>
          <w:szCs w:val="21"/>
        </w:rPr>
      </w:pPr>
      <w:r>
        <w:rPr>
          <w:rStyle w:val="11"/>
          <w:rFonts w:hint="eastAsia"/>
          <w:sz w:val="21"/>
          <w:szCs w:val="21"/>
        </w:rPr>
        <w:t>12.6投资组合报告附注的其他文字描述部分</w:t>
      </w:r>
    </w:p>
    <w:p>
      <w:pPr>
        <w:pStyle w:val="7"/>
        <w:spacing w:before="0" w:beforeAutospacing="0" w:after="0" w:afterAutospacing="0" w:line="360" w:lineRule="auto"/>
        <w:ind w:firstLine="420"/>
        <w:rPr>
          <w:sz w:val="21"/>
          <w:szCs w:val="21"/>
        </w:rPr>
      </w:pPr>
      <w:bookmarkStart w:id="120" w:name="chapter_level1_11_60_section_6_end"/>
      <w:bookmarkEnd w:id="120"/>
      <w:r>
        <w:rPr>
          <w:rFonts w:hint="eastAsia"/>
          <w:sz w:val="21"/>
          <w:szCs w:val="21"/>
        </w:rPr>
        <w:t>由于四舍五入的原因，分项之和与合计项之间可能存在尾差。</w:t>
      </w:r>
      <w:bookmarkStart w:id="121" w:name="field_0_fundportfolio_1_end"/>
      <w:bookmarkEnd w:id="121"/>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2" w:name="chapter_level1_12_3500"/>
      <w:bookmarkStart w:id="123" w:name="_Toc207979133"/>
      <w:r>
        <w:rPr>
          <w:rFonts w:hint="eastAsia" w:ascii="宋体" w:hAnsi="宋体" w:eastAsia="宋体"/>
          <w:sz w:val="30"/>
        </w:rPr>
        <w:t>第九部分 基金的业绩</w:t>
      </w:r>
      <w:bookmarkEnd w:id="122"/>
      <w:bookmarkEnd w:id="123"/>
    </w:p>
    <w:p>
      <w:pPr>
        <w:pStyle w:val="7"/>
        <w:spacing w:before="0" w:beforeAutospacing="0" w:after="0" w:afterAutospacing="0" w:line="360" w:lineRule="auto"/>
        <w:ind w:firstLine="420"/>
        <w:rPr>
          <w:sz w:val="21"/>
          <w:szCs w:val="21"/>
        </w:rPr>
      </w:pPr>
      <w:bookmarkStart w:id="124" w:name="chapter_level1_12_3500_section_1"/>
      <w:bookmarkEnd w:id="124"/>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r>
        <w:rPr>
          <w:rFonts w:hint="eastAsia"/>
          <w:sz w:val="21"/>
          <w:szCs w:val="21"/>
        </w:rPr>
        <w:t xml:space="preserve">1.转型前：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84"/>
        <w:gridCol w:w="1050"/>
        <w:gridCol w:w="816"/>
        <w:gridCol w:w="1050"/>
        <w:gridCol w:w="816"/>
        <w:gridCol w:w="1050"/>
        <w:gridCol w:w="1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left="17"/>
              <w:jc w:val="center"/>
            </w:pPr>
            <w:r>
              <w:rPr>
                <w:rFonts w:hint="eastAsia"/>
              </w:rPr>
              <w:t xml:space="preserve">期  间  </w:t>
            </w:r>
          </w:p>
        </w:tc>
        <w:tc>
          <w:tcPr>
            <w:tcW w:w="0" w:type="auto"/>
            <w:shd w:val="clear" w:color="auto" w:fill="auto"/>
          </w:tcPr>
          <w:p>
            <w:pPr>
              <w:pStyle w:val="7"/>
              <w:ind w:left="17"/>
              <w:jc w:val="center"/>
            </w:pPr>
            <w:r>
              <w:rPr>
                <w:rFonts w:hint="eastAsia"/>
              </w:rPr>
              <w:t xml:space="preserve">①净值增长率  </w:t>
            </w:r>
          </w:p>
        </w:tc>
        <w:tc>
          <w:tcPr>
            <w:tcW w:w="0" w:type="auto"/>
            <w:shd w:val="clear" w:color="auto" w:fill="auto"/>
          </w:tcPr>
          <w:p>
            <w:pPr>
              <w:pStyle w:val="7"/>
              <w:ind w:left="17"/>
              <w:jc w:val="center"/>
            </w:pPr>
            <w:r>
              <w:rPr>
                <w:rFonts w:hint="eastAsia"/>
              </w:rPr>
              <w:t xml:space="preserve">②净值增长率标准差  </w:t>
            </w:r>
          </w:p>
        </w:tc>
        <w:tc>
          <w:tcPr>
            <w:tcW w:w="0" w:type="auto"/>
            <w:shd w:val="clear" w:color="auto" w:fill="auto"/>
          </w:tcPr>
          <w:p>
            <w:pPr>
              <w:pStyle w:val="7"/>
              <w:ind w:left="17"/>
              <w:jc w:val="center"/>
            </w:pPr>
            <w:r>
              <w:rPr>
                <w:rFonts w:hint="eastAsia"/>
              </w:rPr>
              <w:t xml:space="preserve">③业绩比较基准收益率  </w:t>
            </w:r>
          </w:p>
        </w:tc>
        <w:tc>
          <w:tcPr>
            <w:tcW w:w="0" w:type="auto"/>
            <w:shd w:val="clear" w:color="auto" w:fill="auto"/>
          </w:tcPr>
          <w:p>
            <w:pPr>
              <w:pStyle w:val="7"/>
              <w:ind w:left="17"/>
              <w:jc w:val="center"/>
            </w:pPr>
            <w:r>
              <w:rPr>
                <w:rFonts w:hint="eastAsia"/>
              </w:rPr>
              <w:t xml:space="preserve">④业绩比较基准收益率标准差  </w:t>
            </w:r>
          </w:p>
        </w:tc>
        <w:tc>
          <w:tcPr>
            <w:tcW w:w="0" w:type="auto"/>
            <w:shd w:val="clear" w:color="auto" w:fill="auto"/>
          </w:tcPr>
          <w:p>
            <w:pPr>
              <w:pStyle w:val="7"/>
              <w:ind w:left="17"/>
              <w:jc w:val="center"/>
            </w:pPr>
            <w:r>
              <w:rPr>
                <w:rFonts w:hint="eastAsia"/>
              </w:rPr>
              <w:t xml:space="preserve">①-③  </w:t>
            </w:r>
          </w:p>
        </w:tc>
        <w:tc>
          <w:tcPr>
            <w:tcW w:w="0" w:type="auto"/>
            <w:shd w:val="clear" w:color="auto" w:fill="auto"/>
          </w:tcPr>
          <w:p>
            <w:pPr>
              <w:pStyle w:val="7"/>
              <w:ind w:left="17"/>
              <w:jc w:val="center"/>
            </w:pPr>
            <w:r>
              <w:rPr>
                <w:rFonts w:hint="eastAsia"/>
              </w:rPr>
              <w:t xml:space="preserve">②-④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left="17"/>
              <w:jc w:val="center"/>
            </w:pPr>
            <w:r>
              <w:rPr>
                <w:rFonts w:hint="eastAsia"/>
              </w:rPr>
              <w:t xml:space="preserve">2011.06.10-2011.12.31 </w:t>
            </w:r>
          </w:p>
        </w:tc>
        <w:tc>
          <w:tcPr>
            <w:tcW w:w="0" w:type="auto"/>
            <w:shd w:val="clear" w:color="auto" w:fill="auto"/>
          </w:tcPr>
          <w:p>
            <w:pPr>
              <w:pStyle w:val="7"/>
              <w:ind w:left="17"/>
              <w:jc w:val="center"/>
            </w:pPr>
            <w:r>
              <w:rPr>
                <w:rFonts w:hint="eastAsia"/>
              </w:rPr>
              <w:t xml:space="preserve">-27.63% </w:t>
            </w:r>
          </w:p>
        </w:tc>
        <w:tc>
          <w:tcPr>
            <w:tcW w:w="0" w:type="auto"/>
            <w:shd w:val="clear" w:color="auto" w:fill="auto"/>
          </w:tcPr>
          <w:p>
            <w:pPr>
              <w:pStyle w:val="7"/>
              <w:ind w:left="17"/>
              <w:jc w:val="center"/>
            </w:pPr>
            <w:r>
              <w:rPr>
                <w:rFonts w:hint="eastAsia"/>
              </w:rPr>
              <w:t xml:space="preserve">1.23% </w:t>
            </w:r>
          </w:p>
        </w:tc>
        <w:tc>
          <w:tcPr>
            <w:tcW w:w="0" w:type="auto"/>
            <w:shd w:val="clear" w:color="auto" w:fill="auto"/>
          </w:tcPr>
          <w:p>
            <w:pPr>
              <w:pStyle w:val="7"/>
              <w:ind w:left="17"/>
              <w:jc w:val="center"/>
            </w:pPr>
            <w:r>
              <w:rPr>
                <w:rFonts w:hint="eastAsia"/>
              </w:rPr>
              <w:t xml:space="preserve">-24.19% </w:t>
            </w:r>
          </w:p>
        </w:tc>
        <w:tc>
          <w:tcPr>
            <w:tcW w:w="0" w:type="auto"/>
            <w:shd w:val="clear" w:color="auto" w:fill="auto"/>
          </w:tcPr>
          <w:p>
            <w:pPr>
              <w:pStyle w:val="7"/>
              <w:ind w:left="17"/>
              <w:jc w:val="center"/>
            </w:pPr>
            <w:r>
              <w:rPr>
                <w:rFonts w:hint="eastAsia"/>
              </w:rPr>
              <w:t xml:space="preserve">1.35% </w:t>
            </w:r>
          </w:p>
        </w:tc>
        <w:tc>
          <w:tcPr>
            <w:tcW w:w="0" w:type="auto"/>
            <w:shd w:val="clear" w:color="auto" w:fill="auto"/>
          </w:tcPr>
          <w:p>
            <w:pPr>
              <w:pStyle w:val="7"/>
              <w:ind w:left="17"/>
              <w:jc w:val="center"/>
            </w:pPr>
            <w:r>
              <w:rPr>
                <w:rFonts w:hint="eastAsia"/>
              </w:rPr>
              <w:t xml:space="preserve">-3.44% </w:t>
            </w:r>
          </w:p>
        </w:tc>
        <w:tc>
          <w:tcPr>
            <w:tcW w:w="0" w:type="auto"/>
            <w:shd w:val="clear" w:color="auto" w:fill="auto"/>
          </w:tcPr>
          <w:p>
            <w:pPr>
              <w:pStyle w:val="7"/>
              <w:ind w:left="17"/>
              <w:jc w:val="center"/>
            </w:pPr>
            <w:r>
              <w:rPr>
                <w:rFonts w:hint="eastAsia"/>
              </w:rPr>
              <w:t xml:space="preserve">-0.12%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left="17"/>
              <w:jc w:val="center"/>
            </w:pPr>
            <w:r>
              <w:rPr>
                <w:rFonts w:hint="eastAsia"/>
              </w:rPr>
              <w:t xml:space="preserve">2012.01.01-2012.12.31 </w:t>
            </w:r>
          </w:p>
        </w:tc>
        <w:tc>
          <w:tcPr>
            <w:tcW w:w="0" w:type="auto"/>
            <w:shd w:val="clear" w:color="auto" w:fill="auto"/>
          </w:tcPr>
          <w:p>
            <w:pPr>
              <w:pStyle w:val="7"/>
              <w:ind w:left="17"/>
              <w:jc w:val="center"/>
            </w:pPr>
            <w:r>
              <w:rPr>
                <w:rFonts w:hint="eastAsia"/>
              </w:rPr>
              <w:t xml:space="preserve">0.66% </w:t>
            </w:r>
          </w:p>
        </w:tc>
        <w:tc>
          <w:tcPr>
            <w:tcW w:w="0" w:type="auto"/>
            <w:shd w:val="clear" w:color="auto" w:fill="auto"/>
          </w:tcPr>
          <w:p>
            <w:pPr>
              <w:pStyle w:val="7"/>
              <w:ind w:left="17"/>
              <w:jc w:val="center"/>
            </w:pPr>
            <w:r>
              <w:rPr>
                <w:rFonts w:hint="eastAsia"/>
              </w:rPr>
              <w:t xml:space="preserve">1.31% </w:t>
            </w:r>
          </w:p>
        </w:tc>
        <w:tc>
          <w:tcPr>
            <w:tcW w:w="0" w:type="auto"/>
            <w:shd w:val="clear" w:color="auto" w:fill="auto"/>
          </w:tcPr>
          <w:p>
            <w:pPr>
              <w:pStyle w:val="7"/>
              <w:ind w:left="17"/>
              <w:jc w:val="center"/>
            </w:pPr>
            <w:r>
              <w:rPr>
                <w:rFonts w:hint="eastAsia"/>
              </w:rPr>
              <w:t xml:space="preserve">1.06% </w:t>
            </w:r>
          </w:p>
        </w:tc>
        <w:tc>
          <w:tcPr>
            <w:tcW w:w="0" w:type="auto"/>
            <w:shd w:val="clear" w:color="auto" w:fill="auto"/>
          </w:tcPr>
          <w:p>
            <w:pPr>
              <w:pStyle w:val="7"/>
              <w:ind w:left="17"/>
              <w:jc w:val="center"/>
            </w:pPr>
            <w:r>
              <w:rPr>
                <w:rFonts w:hint="eastAsia"/>
              </w:rPr>
              <w:t xml:space="preserve">1.34% </w:t>
            </w:r>
          </w:p>
        </w:tc>
        <w:tc>
          <w:tcPr>
            <w:tcW w:w="0" w:type="auto"/>
            <w:shd w:val="clear" w:color="auto" w:fill="auto"/>
          </w:tcPr>
          <w:p>
            <w:pPr>
              <w:pStyle w:val="7"/>
              <w:ind w:left="17"/>
              <w:jc w:val="center"/>
            </w:pPr>
            <w:r>
              <w:rPr>
                <w:rFonts w:hint="eastAsia"/>
              </w:rPr>
              <w:t xml:space="preserve">-0.40% </w:t>
            </w:r>
          </w:p>
        </w:tc>
        <w:tc>
          <w:tcPr>
            <w:tcW w:w="0" w:type="auto"/>
            <w:shd w:val="clear" w:color="auto" w:fill="auto"/>
          </w:tcPr>
          <w:p>
            <w:pPr>
              <w:pStyle w:val="7"/>
              <w:ind w:left="17"/>
              <w:jc w:val="center"/>
            </w:pPr>
            <w:r>
              <w:rPr>
                <w:rFonts w:hint="eastAsia"/>
              </w:rPr>
              <w:t xml:space="preserve">-0.03%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left="17"/>
              <w:jc w:val="center"/>
            </w:pPr>
            <w:r>
              <w:rPr>
                <w:rFonts w:hint="eastAsia"/>
              </w:rPr>
              <w:t xml:space="preserve">2013.01.01-2013.12.31 </w:t>
            </w:r>
          </w:p>
        </w:tc>
        <w:tc>
          <w:tcPr>
            <w:tcW w:w="0" w:type="auto"/>
            <w:shd w:val="clear" w:color="auto" w:fill="auto"/>
          </w:tcPr>
          <w:p>
            <w:pPr>
              <w:pStyle w:val="7"/>
              <w:ind w:left="17"/>
              <w:jc w:val="center"/>
            </w:pPr>
            <w:r>
              <w:rPr>
                <w:rFonts w:hint="eastAsia"/>
              </w:rPr>
              <w:t xml:space="preserve">-3.61% </w:t>
            </w:r>
          </w:p>
        </w:tc>
        <w:tc>
          <w:tcPr>
            <w:tcW w:w="0" w:type="auto"/>
            <w:shd w:val="clear" w:color="auto" w:fill="auto"/>
          </w:tcPr>
          <w:p>
            <w:pPr>
              <w:pStyle w:val="7"/>
              <w:ind w:left="17"/>
              <w:jc w:val="center"/>
            </w:pPr>
            <w:r>
              <w:rPr>
                <w:rFonts w:hint="eastAsia"/>
              </w:rPr>
              <w:t xml:space="preserve">1.34% </w:t>
            </w:r>
          </w:p>
        </w:tc>
        <w:tc>
          <w:tcPr>
            <w:tcW w:w="0" w:type="auto"/>
            <w:shd w:val="clear" w:color="auto" w:fill="auto"/>
          </w:tcPr>
          <w:p>
            <w:pPr>
              <w:pStyle w:val="7"/>
              <w:ind w:left="17"/>
              <w:jc w:val="center"/>
            </w:pPr>
            <w:r>
              <w:rPr>
                <w:rFonts w:hint="eastAsia"/>
              </w:rPr>
              <w:t xml:space="preserve">-3.59% </w:t>
            </w:r>
          </w:p>
        </w:tc>
        <w:tc>
          <w:tcPr>
            <w:tcW w:w="0" w:type="auto"/>
            <w:shd w:val="clear" w:color="auto" w:fill="auto"/>
          </w:tcPr>
          <w:p>
            <w:pPr>
              <w:pStyle w:val="7"/>
              <w:ind w:left="17"/>
              <w:jc w:val="center"/>
            </w:pPr>
            <w:r>
              <w:rPr>
                <w:rFonts w:hint="eastAsia"/>
              </w:rPr>
              <w:t xml:space="preserve">1.35% </w:t>
            </w:r>
          </w:p>
        </w:tc>
        <w:tc>
          <w:tcPr>
            <w:tcW w:w="0" w:type="auto"/>
            <w:shd w:val="clear" w:color="auto" w:fill="auto"/>
          </w:tcPr>
          <w:p>
            <w:pPr>
              <w:pStyle w:val="7"/>
              <w:ind w:left="17"/>
              <w:jc w:val="center"/>
            </w:pPr>
            <w:r>
              <w:rPr>
                <w:rFonts w:hint="eastAsia"/>
              </w:rPr>
              <w:t xml:space="preserve">-0.02% </w:t>
            </w:r>
          </w:p>
        </w:tc>
        <w:tc>
          <w:tcPr>
            <w:tcW w:w="0" w:type="auto"/>
            <w:shd w:val="clear" w:color="auto" w:fill="auto"/>
          </w:tcPr>
          <w:p>
            <w:pPr>
              <w:pStyle w:val="7"/>
              <w:ind w:left="17"/>
              <w:jc w:val="center"/>
            </w:pPr>
            <w:r>
              <w:rPr>
                <w:rFonts w:hint="eastAsia"/>
              </w:rPr>
              <w:t xml:space="preserve">-0.01%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left="17"/>
              <w:jc w:val="center"/>
            </w:pPr>
            <w:r>
              <w:rPr>
                <w:rFonts w:hint="eastAsia"/>
              </w:rPr>
              <w:t xml:space="preserve">2014.01.01-2014.12.31 </w:t>
            </w:r>
          </w:p>
        </w:tc>
        <w:tc>
          <w:tcPr>
            <w:tcW w:w="0" w:type="auto"/>
            <w:shd w:val="clear" w:color="auto" w:fill="auto"/>
          </w:tcPr>
          <w:p>
            <w:pPr>
              <w:pStyle w:val="7"/>
              <w:ind w:left="17"/>
              <w:jc w:val="center"/>
            </w:pPr>
            <w:r>
              <w:rPr>
                <w:rFonts w:hint="eastAsia"/>
              </w:rPr>
              <w:t xml:space="preserve">46.48% </w:t>
            </w:r>
          </w:p>
        </w:tc>
        <w:tc>
          <w:tcPr>
            <w:tcW w:w="0" w:type="auto"/>
            <w:shd w:val="clear" w:color="auto" w:fill="auto"/>
          </w:tcPr>
          <w:p>
            <w:pPr>
              <w:pStyle w:val="7"/>
              <w:ind w:left="17"/>
              <w:jc w:val="center"/>
            </w:pPr>
            <w:r>
              <w:rPr>
                <w:rFonts w:hint="eastAsia"/>
              </w:rPr>
              <w:t xml:space="preserve">1.16% </w:t>
            </w:r>
          </w:p>
        </w:tc>
        <w:tc>
          <w:tcPr>
            <w:tcW w:w="0" w:type="auto"/>
            <w:shd w:val="clear" w:color="auto" w:fill="auto"/>
          </w:tcPr>
          <w:p>
            <w:pPr>
              <w:pStyle w:val="7"/>
              <w:ind w:left="17"/>
              <w:jc w:val="center"/>
            </w:pPr>
            <w:r>
              <w:rPr>
                <w:rFonts w:hint="eastAsia"/>
              </w:rPr>
              <w:t xml:space="preserve">46.53% </w:t>
            </w:r>
          </w:p>
        </w:tc>
        <w:tc>
          <w:tcPr>
            <w:tcW w:w="0" w:type="auto"/>
            <w:shd w:val="clear" w:color="auto" w:fill="auto"/>
          </w:tcPr>
          <w:p>
            <w:pPr>
              <w:pStyle w:val="7"/>
              <w:ind w:left="17"/>
              <w:jc w:val="center"/>
            </w:pPr>
            <w:r>
              <w:rPr>
                <w:rFonts w:hint="eastAsia"/>
              </w:rPr>
              <w:t xml:space="preserve">1.17% </w:t>
            </w:r>
          </w:p>
        </w:tc>
        <w:tc>
          <w:tcPr>
            <w:tcW w:w="0" w:type="auto"/>
            <w:shd w:val="clear" w:color="auto" w:fill="auto"/>
          </w:tcPr>
          <w:p>
            <w:pPr>
              <w:pStyle w:val="7"/>
              <w:ind w:left="17"/>
              <w:jc w:val="center"/>
            </w:pPr>
            <w:r>
              <w:rPr>
                <w:rFonts w:hint="eastAsia"/>
              </w:rPr>
              <w:t xml:space="preserve">-0.05% </w:t>
            </w:r>
          </w:p>
        </w:tc>
        <w:tc>
          <w:tcPr>
            <w:tcW w:w="0" w:type="auto"/>
            <w:shd w:val="clear" w:color="auto" w:fill="auto"/>
          </w:tcPr>
          <w:p>
            <w:pPr>
              <w:pStyle w:val="7"/>
              <w:ind w:left="17"/>
              <w:jc w:val="center"/>
            </w:pPr>
            <w:r>
              <w:rPr>
                <w:rFonts w:hint="eastAsia"/>
              </w:rPr>
              <w:t xml:space="preserve">-0.01%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left="17"/>
              <w:jc w:val="center"/>
            </w:pPr>
            <w:r>
              <w:rPr>
                <w:rFonts w:hint="eastAsia"/>
              </w:rPr>
              <w:t xml:space="preserve">2015.01.01-2015.12.31 </w:t>
            </w:r>
          </w:p>
        </w:tc>
        <w:tc>
          <w:tcPr>
            <w:tcW w:w="0" w:type="auto"/>
            <w:shd w:val="clear" w:color="auto" w:fill="auto"/>
          </w:tcPr>
          <w:p>
            <w:pPr>
              <w:pStyle w:val="7"/>
              <w:ind w:left="17"/>
              <w:jc w:val="center"/>
            </w:pPr>
            <w:r>
              <w:rPr>
                <w:rFonts w:hint="eastAsia"/>
              </w:rPr>
              <w:t xml:space="preserve">25.74% </w:t>
            </w:r>
          </w:p>
        </w:tc>
        <w:tc>
          <w:tcPr>
            <w:tcW w:w="0" w:type="auto"/>
            <w:shd w:val="clear" w:color="auto" w:fill="auto"/>
          </w:tcPr>
          <w:p>
            <w:pPr>
              <w:pStyle w:val="7"/>
              <w:ind w:left="17"/>
              <w:jc w:val="center"/>
            </w:pPr>
            <w:r>
              <w:rPr>
                <w:rFonts w:hint="eastAsia"/>
              </w:rPr>
              <w:t xml:space="preserve">2.30% </w:t>
            </w:r>
          </w:p>
        </w:tc>
        <w:tc>
          <w:tcPr>
            <w:tcW w:w="0" w:type="auto"/>
            <w:shd w:val="clear" w:color="auto" w:fill="auto"/>
          </w:tcPr>
          <w:p>
            <w:pPr>
              <w:pStyle w:val="7"/>
              <w:ind w:left="17"/>
              <w:jc w:val="center"/>
            </w:pPr>
            <w:r>
              <w:rPr>
                <w:rFonts w:hint="eastAsia"/>
              </w:rPr>
              <w:t xml:space="preserve">23.85% </w:t>
            </w:r>
          </w:p>
        </w:tc>
        <w:tc>
          <w:tcPr>
            <w:tcW w:w="0" w:type="auto"/>
            <w:shd w:val="clear" w:color="auto" w:fill="auto"/>
          </w:tcPr>
          <w:p>
            <w:pPr>
              <w:pStyle w:val="7"/>
              <w:ind w:left="17"/>
              <w:jc w:val="center"/>
            </w:pPr>
            <w:r>
              <w:rPr>
                <w:rFonts w:hint="eastAsia"/>
              </w:rPr>
              <w:t xml:space="preserve">2.43% </w:t>
            </w:r>
          </w:p>
        </w:tc>
        <w:tc>
          <w:tcPr>
            <w:tcW w:w="0" w:type="auto"/>
            <w:shd w:val="clear" w:color="auto" w:fill="auto"/>
          </w:tcPr>
          <w:p>
            <w:pPr>
              <w:pStyle w:val="7"/>
              <w:ind w:left="17"/>
              <w:jc w:val="center"/>
            </w:pPr>
            <w:r>
              <w:rPr>
                <w:rFonts w:hint="eastAsia"/>
              </w:rPr>
              <w:t xml:space="preserve">1.89% </w:t>
            </w:r>
          </w:p>
        </w:tc>
        <w:tc>
          <w:tcPr>
            <w:tcW w:w="0" w:type="auto"/>
            <w:shd w:val="clear" w:color="auto" w:fill="auto"/>
          </w:tcPr>
          <w:p>
            <w:pPr>
              <w:pStyle w:val="7"/>
              <w:ind w:left="17"/>
              <w:jc w:val="center"/>
            </w:pPr>
            <w:r>
              <w:rPr>
                <w:rFonts w:hint="eastAsia"/>
              </w:rPr>
              <w:t xml:space="preserve">-0.13%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left="17"/>
            </w:pPr>
            <w:r>
              <w:rPr>
                <w:rFonts w:hint="eastAsia"/>
              </w:rPr>
              <w:t xml:space="preserve">2016.01.01-2016.12.31 </w:t>
            </w:r>
          </w:p>
        </w:tc>
        <w:tc>
          <w:tcPr>
            <w:tcW w:w="0" w:type="auto"/>
            <w:shd w:val="clear" w:color="auto" w:fill="auto"/>
          </w:tcPr>
          <w:p>
            <w:pPr>
              <w:pStyle w:val="7"/>
              <w:ind w:left="17"/>
              <w:jc w:val="center"/>
            </w:pPr>
            <w:r>
              <w:rPr>
                <w:rFonts w:hint="eastAsia"/>
              </w:rPr>
              <w:t xml:space="preserve">-7.87% </w:t>
            </w:r>
          </w:p>
        </w:tc>
        <w:tc>
          <w:tcPr>
            <w:tcW w:w="0" w:type="auto"/>
            <w:shd w:val="clear" w:color="auto" w:fill="auto"/>
          </w:tcPr>
          <w:p>
            <w:pPr>
              <w:pStyle w:val="7"/>
              <w:ind w:left="17"/>
              <w:jc w:val="center"/>
            </w:pPr>
            <w:r>
              <w:rPr>
                <w:rFonts w:hint="eastAsia"/>
              </w:rPr>
              <w:t xml:space="preserve">1.35% </w:t>
            </w:r>
          </w:p>
        </w:tc>
        <w:tc>
          <w:tcPr>
            <w:tcW w:w="0" w:type="auto"/>
            <w:shd w:val="clear" w:color="auto" w:fill="auto"/>
          </w:tcPr>
          <w:p>
            <w:pPr>
              <w:pStyle w:val="7"/>
              <w:ind w:left="17"/>
              <w:jc w:val="center"/>
            </w:pPr>
            <w:r>
              <w:rPr>
                <w:rFonts w:hint="eastAsia"/>
              </w:rPr>
              <w:t xml:space="preserve">-5.67% </w:t>
            </w:r>
          </w:p>
        </w:tc>
        <w:tc>
          <w:tcPr>
            <w:tcW w:w="0" w:type="auto"/>
            <w:shd w:val="clear" w:color="auto" w:fill="auto"/>
          </w:tcPr>
          <w:p>
            <w:pPr>
              <w:pStyle w:val="7"/>
              <w:ind w:left="17"/>
              <w:jc w:val="center"/>
            </w:pPr>
            <w:r>
              <w:rPr>
                <w:rFonts w:hint="eastAsia"/>
              </w:rPr>
              <w:t xml:space="preserve">1.40% </w:t>
            </w:r>
          </w:p>
        </w:tc>
        <w:tc>
          <w:tcPr>
            <w:tcW w:w="0" w:type="auto"/>
            <w:shd w:val="clear" w:color="auto" w:fill="auto"/>
          </w:tcPr>
          <w:p>
            <w:pPr>
              <w:pStyle w:val="7"/>
              <w:ind w:left="17"/>
              <w:jc w:val="center"/>
            </w:pPr>
            <w:r>
              <w:rPr>
                <w:rFonts w:hint="eastAsia"/>
              </w:rPr>
              <w:t xml:space="preserve">-2.20% </w:t>
            </w:r>
          </w:p>
        </w:tc>
        <w:tc>
          <w:tcPr>
            <w:tcW w:w="0" w:type="auto"/>
            <w:shd w:val="clear" w:color="auto" w:fill="auto"/>
          </w:tcPr>
          <w:p>
            <w:pPr>
              <w:pStyle w:val="7"/>
              <w:ind w:left="17"/>
              <w:jc w:val="center"/>
            </w:pPr>
            <w:r>
              <w:rPr>
                <w:rFonts w:hint="eastAsia"/>
              </w:rPr>
              <w:t xml:space="preserve">-0.05%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left="17"/>
              <w:jc w:val="center"/>
            </w:pPr>
            <w:r>
              <w:rPr>
                <w:rFonts w:hint="eastAsia"/>
              </w:rPr>
              <w:t xml:space="preserve">2017.01.01-2017.12.31 </w:t>
            </w:r>
          </w:p>
        </w:tc>
        <w:tc>
          <w:tcPr>
            <w:tcW w:w="0" w:type="auto"/>
            <w:shd w:val="clear" w:color="auto" w:fill="auto"/>
          </w:tcPr>
          <w:p>
            <w:pPr>
              <w:pStyle w:val="7"/>
              <w:ind w:left="17"/>
              <w:jc w:val="center"/>
            </w:pPr>
            <w:r>
              <w:rPr>
                <w:rFonts w:hint="eastAsia"/>
              </w:rPr>
              <w:t xml:space="preserve">25.75% </w:t>
            </w:r>
          </w:p>
        </w:tc>
        <w:tc>
          <w:tcPr>
            <w:tcW w:w="0" w:type="auto"/>
            <w:shd w:val="clear" w:color="auto" w:fill="auto"/>
          </w:tcPr>
          <w:p>
            <w:pPr>
              <w:pStyle w:val="7"/>
              <w:ind w:left="17"/>
              <w:jc w:val="center"/>
            </w:pPr>
            <w:r>
              <w:rPr>
                <w:rFonts w:hint="eastAsia"/>
              </w:rPr>
              <w:t xml:space="preserve">0.83% </w:t>
            </w:r>
          </w:p>
        </w:tc>
        <w:tc>
          <w:tcPr>
            <w:tcW w:w="0" w:type="auto"/>
            <w:shd w:val="clear" w:color="auto" w:fill="auto"/>
          </w:tcPr>
          <w:p>
            <w:pPr>
              <w:pStyle w:val="7"/>
              <w:ind w:left="17"/>
              <w:jc w:val="center"/>
            </w:pPr>
            <w:r>
              <w:rPr>
                <w:rFonts w:hint="eastAsia"/>
              </w:rPr>
              <w:t xml:space="preserve">27.38% </w:t>
            </w:r>
          </w:p>
        </w:tc>
        <w:tc>
          <w:tcPr>
            <w:tcW w:w="0" w:type="auto"/>
            <w:shd w:val="clear" w:color="auto" w:fill="auto"/>
          </w:tcPr>
          <w:p>
            <w:pPr>
              <w:pStyle w:val="7"/>
              <w:ind w:left="17"/>
              <w:jc w:val="center"/>
            </w:pPr>
            <w:r>
              <w:rPr>
                <w:rFonts w:hint="eastAsia"/>
              </w:rPr>
              <w:t xml:space="preserve">0.85% </w:t>
            </w:r>
          </w:p>
        </w:tc>
        <w:tc>
          <w:tcPr>
            <w:tcW w:w="0" w:type="auto"/>
            <w:shd w:val="clear" w:color="auto" w:fill="auto"/>
          </w:tcPr>
          <w:p>
            <w:pPr>
              <w:pStyle w:val="7"/>
              <w:ind w:left="17"/>
              <w:jc w:val="center"/>
            </w:pPr>
            <w:r>
              <w:rPr>
                <w:rFonts w:hint="eastAsia"/>
              </w:rPr>
              <w:t xml:space="preserve">-1.63% </w:t>
            </w:r>
          </w:p>
        </w:tc>
        <w:tc>
          <w:tcPr>
            <w:tcW w:w="0" w:type="auto"/>
            <w:shd w:val="clear" w:color="auto" w:fill="auto"/>
          </w:tcPr>
          <w:p>
            <w:pPr>
              <w:pStyle w:val="7"/>
              <w:ind w:left="17"/>
              <w:jc w:val="center"/>
            </w:pPr>
            <w:r>
              <w:rPr>
                <w:rFonts w:hint="eastAsia"/>
              </w:rPr>
              <w:t xml:space="preserve">-0.02%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left="17"/>
              <w:jc w:val="center"/>
            </w:pPr>
            <w:r>
              <w:rPr>
                <w:rFonts w:hint="eastAsia"/>
              </w:rPr>
              <w:t xml:space="preserve">2018.01.01-2018.12.09 </w:t>
            </w:r>
          </w:p>
        </w:tc>
        <w:tc>
          <w:tcPr>
            <w:tcW w:w="0" w:type="auto"/>
            <w:shd w:val="clear" w:color="auto" w:fill="auto"/>
          </w:tcPr>
          <w:p>
            <w:pPr>
              <w:pStyle w:val="7"/>
              <w:ind w:left="17"/>
              <w:jc w:val="center"/>
            </w:pPr>
            <w:r>
              <w:rPr>
                <w:rFonts w:hint="eastAsia"/>
              </w:rPr>
              <w:t xml:space="preserve">-24.05% </w:t>
            </w:r>
          </w:p>
        </w:tc>
        <w:tc>
          <w:tcPr>
            <w:tcW w:w="0" w:type="auto"/>
            <w:shd w:val="clear" w:color="auto" w:fill="auto"/>
          </w:tcPr>
          <w:p>
            <w:pPr>
              <w:pStyle w:val="7"/>
              <w:jc w:val="center"/>
            </w:pPr>
            <w:r>
              <w:rPr>
                <w:rFonts w:hint="eastAsia"/>
              </w:rPr>
              <w:t xml:space="preserve">1.40% </w:t>
            </w:r>
          </w:p>
        </w:tc>
        <w:tc>
          <w:tcPr>
            <w:tcW w:w="0" w:type="auto"/>
            <w:shd w:val="clear" w:color="auto" w:fill="auto"/>
          </w:tcPr>
          <w:p>
            <w:pPr>
              <w:pStyle w:val="7"/>
              <w:jc w:val="center"/>
            </w:pPr>
            <w:r>
              <w:rPr>
                <w:rFonts w:hint="eastAsia"/>
              </w:rPr>
              <w:t xml:space="preserve">-23.51% </w:t>
            </w:r>
          </w:p>
        </w:tc>
        <w:tc>
          <w:tcPr>
            <w:tcW w:w="0" w:type="auto"/>
            <w:shd w:val="clear" w:color="auto" w:fill="auto"/>
          </w:tcPr>
          <w:p>
            <w:pPr>
              <w:pStyle w:val="7"/>
              <w:jc w:val="center"/>
            </w:pPr>
            <w:r>
              <w:rPr>
                <w:rFonts w:hint="eastAsia"/>
              </w:rPr>
              <w:t xml:space="preserve">1.43% </w:t>
            </w:r>
          </w:p>
        </w:tc>
        <w:tc>
          <w:tcPr>
            <w:tcW w:w="0" w:type="auto"/>
            <w:shd w:val="clear" w:color="auto" w:fill="auto"/>
          </w:tcPr>
          <w:p>
            <w:pPr>
              <w:pStyle w:val="7"/>
              <w:ind w:left="17"/>
              <w:jc w:val="center"/>
            </w:pPr>
            <w:r>
              <w:rPr>
                <w:rFonts w:hint="eastAsia"/>
              </w:rPr>
              <w:t xml:space="preserve">-0.54% </w:t>
            </w:r>
          </w:p>
        </w:tc>
        <w:tc>
          <w:tcPr>
            <w:tcW w:w="0" w:type="auto"/>
            <w:shd w:val="clear" w:color="auto" w:fill="auto"/>
          </w:tcPr>
          <w:p>
            <w:pPr>
              <w:pStyle w:val="7"/>
              <w:ind w:left="17"/>
              <w:jc w:val="center"/>
            </w:pPr>
            <w:r>
              <w:rPr>
                <w:rFonts w:hint="eastAsia"/>
              </w:rPr>
              <w:t xml:space="preserve">-0.03%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pStyle w:val="7"/>
              <w:ind w:left="17"/>
              <w:jc w:val="center"/>
            </w:pPr>
            <w:r>
              <w:rPr>
                <w:rFonts w:hint="eastAsia"/>
              </w:rPr>
              <w:t xml:space="preserve">2011.06.10-2018.12.09 </w:t>
            </w:r>
          </w:p>
        </w:tc>
        <w:tc>
          <w:tcPr>
            <w:tcW w:w="0" w:type="auto"/>
            <w:shd w:val="clear" w:color="auto" w:fill="auto"/>
          </w:tcPr>
          <w:p>
            <w:pPr>
              <w:pStyle w:val="7"/>
              <w:jc w:val="center"/>
            </w:pPr>
            <w:r>
              <w:rPr>
                <w:rFonts w:hint="eastAsia"/>
              </w:rPr>
              <w:t xml:space="preserve">13.80% </w:t>
            </w:r>
          </w:p>
        </w:tc>
        <w:tc>
          <w:tcPr>
            <w:tcW w:w="0" w:type="auto"/>
            <w:shd w:val="clear" w:color="auto" w:fill="auto"/>
          </w:tcPr>
          <w:p>
            <w:pPr>
              <w:pStyle w:val="7"/>
              <w:jc w:val="center"/>
            </w:pPr>
            <w:r>
              <w:rPr>
                <w:rFonts w:hint="eastAsia"/>
              </w:rPr>
              <w:t xml:space="preserve">1.43% </w:t>
            </w:r>
          </w:p>
        </w:tc>
        <w:tc>
          <w:tcPr>
            <w:tcW w:w="0" w:type="auto"/>
            <w:shd w:val="clear" w:color="auto" w:fill="auto"/>
          </w:tcPr>
          <w:p>
            <w:pPr>
              <w:pStyle w:val="7"/>
              <w:jc w:val="center"/>
            </w:pPr>
            <w:r>
              <w:rPr>
                <w:rFonts w:hint="eastAsia"/>
              </w:rPr>
              <w:t xml:space="preserve">23.19% </w:t>
            </w:r>
          </w:p>
        </w:tc>
        <w:tc>
          <w:tcPr>
            <w:tcW w:w="0" w:type="auto"/>
            <w:shd w:val="clear" w:color="auto" w:fill="auto"/>
          </w:tcPr>
          <w:p>
            <w:pPr>
              <w:pStyle w:val="7"/>
              <w:jc w:val="center"/>
            </w:pPr>
            <w:r>
              <w:rPr>
                <w:rFonts w:hint="eastAsia"/>
              </w:rPr>
              <w:t xml:space="preserve">1.48% </w:t>
            </w:r>
          </w:p>
        </w:tc>
        <w:tc>
          <w:tcPr>
            <w:tcW w:w="0" w:type="auto"/>
            <w:shd w:val="clear" w:color="auto" w:fill="auto"/>
          </w:tcPr>
          <w:p>
            <w:pPr>
              <w:pStyle w:val="7"/>
              <w:jc w:val="center"/>
            </w:pPr>
            <w:r>
              <w:rPr>
                <w:rFonts w:hint="eastAsia"/>
              </w:rPr>
              <w:t xml:space="preserve">-9.39% </w:t>
            </w:r>
          </w:p>
        </w:tc>
        <w:tc>
          <w:tcPr>
            <w:tcW w:w="0" w:type="auto"/>
            <w:shd w:val="clear" w:color="auto" w:fill="auto"/>
          </w:tcPr>
          <w:p>
            <w:pPr>
              <w:pStyle w:val="7"/>
              <w:jc w:val="center"/>
            </w:pPr>
            <w:r>
              <w:rPr>
                <w:rFonts w:hint="eastAsia"/>
              </w:rPr>
              <w:t xml:space="preserve">-0.05% </w:t>
            </w:r>
          </w:p>
        </w:tc>
      </w:tr>
    </w:tbl>
    <w:p>
      <w:pPr>
        <w:pStyle w:val="7"/>
        <w:spacing w:before="0" w:beforeAutospacing="0" w:after="0" w:afterAutospacing="0" w:line="360" w:lineRule="auto"/>
        <w:ind w:firstLine="420"/>
        <w:rPr>
          <w:sz w:val="21"/>
          <w:szCs w:val="21"/>
        </w:rPr>
      </w:pPr>
      <w:r>
        <w:rPr>
          <w:rFonts w:hint="eastAsia"/>
          <w:sz w:val="21"/>
          <w:szCs w:val="21"/>
        </w:rPr>
        <w:t xml:space="preserve">2转型后： </w:t>
      </w:r>
    </w:p>
    <w:p>
      <w:pPr>
        <w:pStyle w:val="7"/>
        <w:spacing w:before="0" w:beforeAutospacing="0" w:after="0" w:afterAutospacing="0" w:line="360" w:lineRule="auto"/>
        <w:ind w:firstLine="420"/>
        <w:rPr>
          <w:sz w:val="21"/>
          <w:szCs w:val="21"/>
        </w:rPr>
      </w:pPr>
      <w:bookmarkStart w:id="125" w:name="field_0_indatatable_1_start"/>
      <w:bookmarkEnd w:id="125"/>
      <w:r>
        <w:rPr>
          <w:rFonts w:hint="eastAsia"/>
          <w:sz w:val="21"/>
          <w:szCs w:val="21"/>
        </w:rPr>
        <w:t>博时创业板ETF联接A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2018.12.10-2018.12.31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-6.42%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41.45%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63.26%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1.98%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11.60%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-26.95%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-17.85%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12.92%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2018.12.10-2025.06.30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65.23%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58.95%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bl>
    <w:p>
      <w:pPr>
        <w:pStyle w:val="7"/>
        <w:spacing w:before="0" w:beforeAutospacing="0" w:after="0" w:afterAutospacing="0" w:line="360" w:lineRule="auto"/>
        <w:ind w:firstLine="420"/>
        <w:rPr>
          <w:sz w:val="21"/>
          <w:szCs w:val="21"/>
        </w:rPr>
      </w:pPr>
      <w:r>
        <w:rPr>
          <w:rFonts w:hint="eastAsia"/>
          <w:sz w:val="21"/>
          <w:szCs w:val="21"/>
        </w:rPr>
        <w:t>博时创业板ETF联接C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2018.12.24-2018.12.31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39.79%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41.45%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63.22%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1.94%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11.60%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-26.97%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-27.99%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-17.87%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12.92%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2018.12.24-2025.06.30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74.82%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67.34%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bl>
    <w:p>
      <w:pPr>
        <w:pStyle w:val="7"/>
        <w:spacing w:before="0" w:beforeAutospacing="0" w:after="0" w:afterAutospacing="0" w:line="360" w:lineRule="auto"/>
        <w:ind w:firstLine="420"/>
        <w:rPr>
          <w:sz w:val="21"/>
          <w:szCs w:val="21"/>
        </w:rPr>
      </w:pPr>
      <w:r>
        <w:rPr>
          <w:rFonts w:hint="eastAsia"/>
          <w:sz w:val="21"/>
          <w:szCs w:val="21"/>
        </w:rPr>
        <w:t>博时创业板ETF联接E</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2023.09.25-2023.12.31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12.92%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2023.09.25-2025.06.30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8.00%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bl>
    <w:p>
      <w:pPr>
        <w:pStyle w:val="7"/>
        <w:spacing w:before="0" w:beforeAutospacing="0" w:after="0" w:afterAutospacing="0" w:line="360" w:lineRule="auto"/>
        <w:ind w:firstLine="420"/>
        <w:rPr>
          <w:sz w:val="21"/>
          <w:szCs w:val="21"/>
        </w:rPr>
      </w:pPr>
      <w:r>
        <w:rPr>
          <w:rFonts w:hint="eastAsia"/>
          <w:sz w:val="21"/>
          <w:szCs w:val="21"/>
        </w:rPr>
        <w:t>博时创业板ETF联接Y</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4"/>
        <w:gridCol w:w="1062"/>
        <w:gridCol w:w="1192"/>
        <w:gridCol w:w="1260"/>
        <w:gridCol w:w="741"/>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2024.12.16-2024.12.31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-3.88%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2024.12.16-2025.06.30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-3.39%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bl>
    <w:p>
      <w:pPr>
        <w:pStyle w:val="7"/>
        <w:spacing w:before="0" w:beforeAutospacing="0" w:after="0" w:afterAutospacing="0" w:line="360" w:lineRule="auto"/>
        <w:ind w:firstLine="420"/>
        <w:rPr>
          <w:sz w:val="21"/>
          <w:szCs w:val="21"/>
        </w:rPr>
      </w:pPr>
      <w:bookmarkStart w:id="126" w:name="chapter_level1_12_3500_section_1_end"/>
      <w:bookmarkEnd w:id="126"/>
      <w:bookmarkStart w:id="127" w:name="field_0_indatatable_1_end"/>
      <w:bookmarkEnd w:id="127"/>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8" w:name="_Toc207979134"/>
      <w:bookmarkStart w:id="129" w:name="chapter_level1_13_62"/>
      <w:r>
        <w:rPr>
          <w:rFonts w:hint="eastAsia" w:ascii="宋体" w:hAnsi="宋体" w:eastAsia="宋体"/>
          <w:sz w:val="30"/>
        </w:rPr>
        <w:t>第十部分  基金的财产</w:t>
      </w:r>
      <w:bookmarkEnd w:id="128"/>
      <w:bookmarkEnd w:id="129"/>
    </w:p>
    <w:p>
      <w:pPr>
        <w:pStyle w:val="7"/>
        <w:spacing w:before="0" w:beforeAutospacing="0" w:after="0" w:afterAutospacing="0" w:line="360" w:lineRule="auto"/>
        <w:ind w:firstLine="420"/>
        <w:rPr>
          <w:sz w:val="21"/>
          <w:szCs w:val="21"/>
        </w:rPr>
      </w:pPr>
      <w:bookmarkStart w:id="130" w:name="chapter_level1_13_62_section_1"/>
      <w:bookmarkEnd w:id="130"/>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基金资产总值是指购买的各类证券及票据价值、银行存款本息和基金应收的申购基金款以及其他投资所形成的价值总和。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1" w:name="chapter_level1_13_62_section_1_end"/>
      <w:bookmarkEnd w:id="131"/>
      <w:r>
        <w:rPr>
          <w:rFonts w:hint="eastAsia"/>
          <w:sz w:val="21"/>
          <w:szCs w:val="21"/>
        </w:rPr>
        <w:t xml:space="preserve">得相互抵销。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2" w:name="_Toc207979135"/>
      <w:bookmarkStart w:id="133" w:name="chapter_level1_14_63"/>
      <w:r>
        <w:rPr>
          <w:rFonts w:hint="eastAsia" w:ascii="宋体" w:hAnsi="宋体" w:eastAsia="宋体"/>
          <w:sz w:val="30"/>
        </w:rPr>
        <w:t>第十一部分  基金资产的估值</w:t>
      </w:r>
      <w:bookmarkEnd w:id="132"/>
      <w:bookmarkEnd w:id="133"/>
    </w:p>
    <w:p>
      <w:pPr>
        <w:pStyle w:val="7"/>
        <w:spacing w:before="0" w:beforeAutospacing="0" w:after="0" w:afterAutospacing="0" w:line="360" w:lineRule="auto"/>
        <w:ind w:firstLine="420"/>
        <w:rPr>
          <w:sz w:val="21"/>
          <w:szCs w:val="21"/>
        </w:rPr>
      </w:pPr>
      <w:bookmarkStart w:id="134" w:name="chapter_level1_14_63_section_1"/>
      <w:bookmarkEnd w:id="134"/>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基金所拥有的目标ETF份额、股票、权证、债券、股指期货合约、期权合约和银行存款本息、应收款项、其它投资等资产及负债。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或参考同业价格，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（2）交易所上市交易或挂牌转让的固定收益品种（本合同另有规定的除外），选取估值日第三方估值机构提供的相应品种对应的估值净价估值，具体估值机构由基金管理人与基金托管人另行协商约定；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（1）送股、转增股、配股和公开增发的新股，按估值日在证券交易所挂牌的同一股票的市价（收盘价）估值；该日无交易的，以最近一日的市价（收盘价）估值；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（3）首次公开发行有明确锁定期的股票，同一股票在交易所上市后，按交易所上市的同一股票的市价（收盘价）估值；非公开发行有明确锁定期的股票，按监管机构或行业协会有关规定确定公允价值；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3、本基金投资股指期货合约，一般以估值当日结算价进行估值，估值当日无结算价的，且最近交易日后经济环境未发生重大变化的，采用最近交易日结算价估值。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4、全国银行间债券市场交易的债券、资产支持证券等固定收益品种，采用估值技术确定公允价值；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6、本基金持有的目标ETF份额以其当日份额净值估值，当日无份额净值的，以最近工作日的份额净值估值； </w:t>
      </w:r>
    </w:p>
    <w:p>
      <w:pPr>
        <w:pStyle w:val="7"/>
        <w:spacing w:before="0" w:beforeAutospacing="0" w:after="0" w:afterAutospacing="0" w:line="360" w:lineRule="auto"/>
        <w:ind w:firstLine="420"/>
        <w:rPr>
          <w:sz w:val="21"/>
          <w:szCs w:val="21"/>
        </w:rPr>
      </w:pPr>
      <w:r>
        <w:rPr>
          <w:rFonts w:hint="eastAsia"/>
          <w:sz w:val="21"/>
          <w:szCs w:val="21"/>
        </w:rPr>
        <w:t xml:space="preserve">7、本基金投资期权，根据相关法律法规以及监管部门的规定估值。 </w:t>
      </w:r>
    </w:p>
    <w:p>
      <w:pPr>
        <w:pStyle w:val="7"/>
        <w:spacing w:before="0" w:beforeAutospacing="0" w:after="0" w:afterAutospacing="0" w:line="360" w:lineRule="auto"/>
        <w:ind w:firstLine="420"/>
        <w:rPr>
          <w:sz w:val="21"/>
          <w:szCs w:val="21"/>
        </w:rPr>
      </w:pPr>
      <w:r>
        <w:rPr>
          <w:rFonts w:hint="eastAsia"/>
          <w:sz w:val="21"/>
          <w:szCs w:val="21"/>
        </w:rPr>
        <w:t xml:space="preserve">8、本基金投资存托凭证的估值核算，依照境内上市交易的股票执行。  </w:t>
      </w:r>
    </w:p>
    <w:p>
      <w:pPr>
        <w:pStyle w:val="7"/>
        <w:spacing w:before="0" w:beforeAutospacing="0" w:after="0" w:afterAutospacing="0" w:line="360" w:lineRule="auto"/>
        <w:ind w:firstLine="420"/>
        <w:rPr>
          <w:sz w:val="21"/>
          <w:szCs w:val="21"/>
        </w:rPr>
      </w:pPr>
      <w:r>
        <w:rPr>
          <w:rFonts w:hint="eastAsia"/>
          <w:sz w:val="21"/>
          <w:szCs w:val="21"/>
        </w:rPr>
        <w:t xml:space="preserve">9、如有确凿证据表明按上述方法进行估值不能客观反映其公允价值的，基金管理人可根据具体情况与基金托管人商定后，按最能反映公允价值的方法估值； </w:t>
      </w:r>
    </w:p>
    <w:p>
      <w:pPr>
        <w:pStyle w:val="7"/>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发现基金估值违反《基金合同》订明的估值方法、程序以及相关法律法规的规定或者未能充分维护基金份额持有人利益时，发现方应及时通知对方，以约定的方法、程序和相关法律法规的规定进行估值，以维护基金份额持有人的利益。 </w:t>
      </w:r>
    </w:p>
    <w:p>
      <w:pPr>
        <w:pStyle w:val="7"/>
        <w:spacing w:before="0" w:beforeAutospacing="0" w:after="0" w:afterAutospacing="0" w:line="360" w:lineRule="auto"/>
        <w:ind w:firstLine="420"/>
        <w:rPr>
          <w:sz w:val="21"/>
          <w:szCs w:val="21"/>
        </w:rPr>
      </w:pPr>
      <w:r>
        <w:rPr>
          <w:rFonts w:hint="eastAsia"/>
          <w:sz w:val="21"/>
          <w:szCs w:val="21"/>
        </w:rPr>
        <w:t>根据《基金法》，本基金的基金会计责任方由基金管理人担任。因此，就与本基金有关的会计问题，如经相关各方在平等基础上充分讨论后，仍无法达成一致的意见，基金管理人</w:t>
      </w:r>
      <w:bookmarkStart w:id="135" w:name="chapter_level1_14_63_section_1_end"/>
      <w:bookmarkEnd w:id="135"/>
      <w:r>
        <w:rPr>
          <w:rFonts w:hint="eastAsia"/>
          <w:sz w:val="21"/>
          <w:szCs w:val="21"/>
        </w:rPr>
        <w:t xml:space="preserve">有权按照其对基金净值的计算结果对外予以公布。 </w:t>
      </w:r>
    </w:p>
    <w:p>
      <w:pPr>
        <w:pStyle w:val="7"/>
        <w:spacing w:before="0" w:beforeAutospacing="0" w:after="0" w:afterAutospacing="0" w:line="360" w:lineRule="auto"/>
        <w:ind w:firstLine="420"/>
        <w:rPr>
          <w:sz w:val="21"/>
          <w:szCs w:val="21"/>
        </w:rPr>
      </w:pPr>
      <w:bookmarkStart w:id="136" w:name="chapter_level1_14_63_section_2"/>
      <w:bookmarkEnd w:id="136"/>
      <w:r>
        <w:rPr>
          <w:rFonts w:hint="eastAsia"/>
          <w:b/>
          <w:bCs/>
          <w:sz w:val="21"/>
          <w:szCs w:val="21"/>
        </w:rPr>
        <w:t>四、估值程序</w:t>
      </w:r>
    </w:p>
    <w:p>
      <w:pPr>
        <w:pStyle w:val="7"/>
        <w:spacing w:before="0" w:beforeAutospacing="0" w:after="0" w:afterAutospacing="0" w:line="360" w:lineRule="auto"/>
        <w:ind w:firstLine="420"/>
        <w:rPr>
          <w:sz w:val="21"/>
          <w:szCs w:val="21"/>
        </w:rPr>
      </w:pPr>
      <w:r>
        <w:rPr>
          <w:rFonts w:hint="eastAsia"/>
          <w:sz w:val="21"/>
          <w:szCs w:val="21"/>
        </w:rPr>
        <w:t xml:space="preserve">基金日常估值由基金管理人同基金托管人一同进行。每个工作日计算基金资产净值及各类基金份额净值，并按规定公告。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每个工作日对基金资产估值，各类基金份额净值由基金管理人完成估值后，将估值结果以书面形式报给基金托管人，基金托管人按基金合同规定的估值方法、时间、程序进行复核，基金托管人复核无误后签章返回给基金管理人。月末、年中和年末估值复核与基金会计账目的核对同时进行。 </w:t>
      </w:r>
    </w:p>
    <w:p>
      <w:pPr>
        <w:pStyle w:val="7"/>
        <w:spacing w:before="0" w:beforeAutospacing="0" w:after="0" w:afterAutospacing="0" w:line="360" w:lineRule="auto"/>
        <w:ind w:firstLine="420"/>
        <w:rPr>
          <w:sz w:val="21"/>
          <w:szCs w:val="21"/>
        </w:rPr>
      </w:pPr>
      <w:r>
        <w:rPr>
          <w:rStyle w:val="11"/>
          <w:rFonts w:hint="eastAsia"/>
          <w:sz w:val="21"/>
          <w:szCs w:val="21"/>
        </w:rPr>
        <w:t>五、估值错误的处理</w:t>
      </w:r>
    </w:p>
    <w:p>
      <w:pPr>
        <w:pStyle w:val="7"/>
        <w:spacing w:before="0" w:beforeAutospacing="0" w:after="0" w:afterAutospacing="0" w:line="360" w:lineRule="auto"/>
        <w:ind w:firstLine="420"/>
        <w:rPr>
          <w:sz w:val="21"/>
          <w:szCs w:val="21"/>
        </w:rPr>
      </w:pPr>
      <w:r>
        <w:rPr>
          <w:rFonts w:hint="eastAsia"/>
          <w:sz w:val="21"/>
          <w:szCs w:val="21"/>
        </w:rPr>
        <w:t xml:space="preserve">1、当基金财产的估值导致基金份额净值小数点后四位内（含第四位）发生差错时，视为基金份额净值估值错误。基金管理人和基金托管人将采取必要、适当、合理的措施确保基金财产估值的准确性、及时性。当估值或基金份额净值计价出现错误时，基金管理人应当立即予以纠正，并采取合理的措施防止损失进一步扩大；当计价错误达到或超过基金份额净值的0.25%时，基金管理人应通报基金托管人，并报告中国证监会；计价错误达到基金份额净值的0.5%时，基金管理人应通报基金托管人，按基金合同的规定进行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2、差错类型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基金托管人、登记机构、销售机构或投资人自身的原因造成差错，导致其他当事人遭受损失的，责任人应当对由于该差错遭受损失的当事人（“受损方”）按下述“差错处理原则”给予赔偿。 </w:t>
      </w:r>
    </w:p>
    <w:p>
      <w:pPr>
        <w:pStyle w:val="7"/>
        <w:spacing w:before="0" w:beforeAutospacing="0" w:after="0" w:afterAutospacing="0" w:line="360" w:lineRule="auto"/>
        <w:ind w:firstLine="420"/>
        <w:rPr>
          <w:sz w:val="21"/>
          <w:szCs w:val="21"/>
        </w:rPr>
      </w:pPr>
      <w:r>
        <w:rPr>
          <w:rFonts w:hint="eastAsia"/>
          <w:sz w:val="21"/>
          <w:szCs w:val="21"/>
        </w:rPr>
        <w:t xml:space="preserve">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 </w:t>
      </w:r>
    </w:p>
    <w:p>
      <w:pPr>
        <w:pStyle w:val="7"/>
        <w:spacing w:before="0" w:beforeAutospacing="0" w:after="0" w:afterAutospacing="0" w:line="360" w:lineRule="auto"/>
        <w:ind w:firstLine="420"/>
        <w:rPr>
          <w:sz w:val="21"/>
          <w:szCs w:val="21"/>
        </w:rPr>
      </w:pPr>
      <w:r>
        <w:rPr>
          <w:rFonts w:hint="eastAsia"/>
          <w:sz w:val="21"/>
          <w:szCs w:val="21"/>
        </w:rPr>
        <w:t xml:space="preserve">因不可抗力原因出现差错的当事人不对其他当事人承担赔偿责任，但因该差错取得不当得利的当事人仍应负有返还不当得利的义务。 </w:t>
      </w:r>
    </w:p>
    <w:p>
      <w:pPr>
        <w:pStyle w:val="7"/>
        <w:spacing w:before="0" w:beforeAutospacing="0" w:after="0" w:afterAutospacing="0" w:line="360" w:lineRule="auto"/>
        <w:ind w:firstLine="420"/>
        <w:rPr>
          <w:sz w:val="21"/>
          <w:szCs w:val="21"/>
        </w:rPr>
      </w:pPr>
      <w:r>
        <w:rPr>
          <w:rFonts w:hint="eastAsia"/>
          <w:sz w:val="21"/>
          <w:szCs w:val="21"/>
        </w:rPr>
        <w:t xml:space="preserve">3、差错处理原则 </w:t>
      </w:r>
    </w:p>
    <w:p>
      <w:pPr>
        <w:pStyle w:val="7"/>
        <w:spacing w:before="0" w:beforeAutospacing="0" w:after="0" w:afterAutospacing="0" w:line="360" w:lineRule="auto"/>
        <w:ind w:firstLine="420"/>
        <w:rPr>
          <w:sz w:val="21"/>
          <w:szCs w:val="21"/>
        </w:rPr>
      </w:pPr>
      <w:r>
        <w:rPr>
          <w:rFonts w:hint="eastAsia"/>
          <w:sz w:val="21"/>
          <w:szCs w:val="21"/>
        </w:rPr>
        <w:t xml:space="preserve">因基金估值错误给投资人造成损失的应由基金管理人和基金托管人依照法律法规的规定予以承担。基金管理人或基金托管人对不应由其承担的责任，有权向责任人追偿。追偿过程中产生的有关费用，应列入基金费用，从基金资产中列支。基金合同的当事人应将按照以下约定的原则处理基金估值差错。 </w:t>
      </w:r>
    </w:p>
    <w:p>
      <w:pPr>
        <w:pStyle w:val="7"/>
        <w:spacing w:before="0" w:beforeAutospacing="0" w:after="0" w:afterAutospacing="0" w:line="360" w:lineRule="auto"/>
        <w:ind w:firstLine="420"/>
        <w:rPr>
          <w:sz w:val="21"/>
          <w:szCs w:val="21"/>
        </w:rPr>
      </w:pPr>
      <w:r>
        <w:rPr>
          <w:rFonts w:hint="eastAsia"/>
          <w:sz w:val="21"/>
          <w:szCs w:val="21"/>
        </w:rPr>
        <w:t xml:space="preserve">（1）差错已发生，但尚未给当事人造成损失时，差错责任方应及时协调各方，及时进行更正，因更正差错发生的费用由差错责任方承担；由于差错责任方未及时更正已产生的差错，给当事人造成损失的，由差错责任方对直接损失承担赔偿责任；若差错责任方已经积极协调，并且有协助义务的当事人有足够的时间进行更正而未更正，由此造成或扩大的损失由差错责任方和未更正方依法分别各自承担相应的赔偿责任。差错责任方应对更正的情况向有关当事人进行确认，确保差错已得到更正； </w:t>
      </w:r>
    </w:p>
    <w:p>
      <w:pPr>
        <w:pStyle w:val="7"/>
        <w:spacing w:before="0" w:beforeAutospacing="0" w:after="0" w:afterAutospacing="0" w:line="360" w:lineRule="auto"/>
        <w:ind w:firstLine="420"/>
        <w:rPr>
          <w:sz w:val="21"/>
          <w:szCs w:val="21"/>
        </w:rPr>
      </w:pPr>
      <w:r>
        <w:rPr>
          <w:rFonts w:hint="eastAsia"/>
          <w:sz w:val="21"/>
          <w:szCs w:val="21"/>
        </w:rPr>
        <w:t xml:space="preserve">（2）差错的责任方对可能导致有关当事人的直接损失负责，不对间接损失负责，并且仅对差错的有关直接当事人负责，不对第三方负责；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 </w:t>
      </w:r>
    </w:p>
    <w:p>
      <w:pPr>
        <w:pStyle w:val="7"/>
        <w:spacing w:before="0" w:beforeAutospacing="0" w:after="0" w:afterAutospacing="0" w:line="360" w:lineRule="auto"/>
        <w:ind w:firstLine="420"/>
        <w:rPr>
          <w:sz w:val="21"/>
          <w:szCs w:val="21"/>
        </w:rPr>
      </w:pPr>
      <w:r>
        <w:rPr>
          <w:rFonts w:hint="eastAsia"/>
          <w:sz w:val="21"/>
          <w:szCs w:val="21"/>
        </w:rPr>
        <w:t xml:space="preserve">（4）差错调整采用尽量恢复至假设未发生差错的正确情形的方式；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5）如果因基金管理人原因造成基金财产损失时，基金托管人应为基金的利益向基金管理人追偿，如果因基金托管人原因造成基金财产损失时，基金管理人应为基金的利益向基金托管人追偿。除基金管理人和托管人之外的第三方造成基金财产的损失，由基金管理人负责向差错方追偿； </w:t>
      </w:r>
    </w:p>
    <w:p>
      <w:pPr>
        <w:pStyle w:val="7"/>
        <w:spacing w:before="0" w:beforeAutospacing="0" w:after="0" w:afterAutospacing="0" w:line="360" w:lineRule="auto"/>
        <w:ind w:firstLine="420"/>
        <w:rPr>
          <w:sz w:val="21"/>
          <w:szCs w:val="21"/>
        </w:rPr>
      </w:pPr>
      <w:r>
        <w:rPr>
          <w:rFonts w:hint="eastAsia"/>
          <w:sz w:val="21"/>
          <w:szCs w:val="21"/>
        </w:rPr>
        <w:t xml:space="preserve">（6）如果出现差错的当事人未按规定对受损方进行赔偿，并且依据法律、行政法规、基金合同或其他规定，基金管理人或基金托管人自行或依据法院判决、仲裁裁决对受损方承担了赔偿责任，则基金管理人或基金托管人有权向出现差错的当事人进行追索，并有权要求其赔偿或补偿由此发生的费用和遭受的直接损失； </w:t>
      </w:r>
    </w:p>
    <w:p>
      <w:pPr>
        <w:pStyle w:val="7"/>
        <w:spacing w:before="0" w:beforeAutospacing="0" w:after="0" w:afterAutospacing="0" w:line="360" w:lineRule="auto"/>
        <w:ind w:firstLine="420"/>
        <w:rPr>
          <w:sz w:val="21"/>
          <w:szCs w:val="21"/>
        </w:rPr>
      </w:pPr>
      <w:r>
        <w:rPr>
          <w:rFonts w:hint="eastAsia"/>
          <w:sz w:val="21"/>
          <w:szCs w:val="21"/>
        </w:rPr>
        <w:t xml:space="preserve">（7）按法律法规规定的其他原则处理差错。 </w:t>
      </w:r>
    </w:p>
    <w:p>
      <w:pPr>
        <w:pStyle w:val="7"/>
        <w:spacing w:before="0" w:beforeAutospacing="0" w:after="0" w:afterAutospacing="0" w:line="360" w:lineRule="auto"/>
        <w:ind w:firstLine="420"/>
        <w:rPr>
          <w:sz w:val="21"/>
          <w:szCs w:val="21"/>
        </w:rPr>
      </w:pPr>
      <w:r>
        <w:rPr>
          <w:rFonts w:hint="eastAsia"/>
          <w:sz w:val="21"/>
          <w:szCs w:val="21"/>
        </w:rPr>
        <w:t xml:space="preserve">4、差错处理程序 </w:t>
      </w:r>
    </w:p>
    <w:p>
      <w:pPr>
        <w:pStyle w:val="7"/>
        <w:spacing w:before="0" w:beforeAutospacing="0" w:after="0" w:afterAutospacing="0" w:line="360" w:lineRule="auto"/>
        <w:ind w:firstLine="420"/>
        <w:rPr>
          <w:sz w:val="21"/>
          <w:szCs w:val="21"/>
        </w:rPr>
      </w:pPr>
      <w:r>
        <w:rPr>
          <w:rFonts w:hint="eastAsia"/>
          <w:sz w:val="21"/>
          <w:szCs w:val="21"/>
        </w:rPr>
        <w:t xml:space="preserve">差错被发现后，有关的当事人应当及时进行处理，处理的程序如下：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（1）查明差错发生的原因，列明所有当事人，根据差错发生的原因确定差错责任方； </w:t>
      </w:r>
    </w:p>
    <w:p>
      <w:pPr>
        <w:pStyle w:val="7"/>
        <w:spacing w:before="0" w:beforeAutospacing="0" w:after="0" w:afterAutospacing="0" w:line="360" w:lineRule="auto"/>
        <w:ind w:firstLine="420"/>
        <w:rPr>
          <w:sz w:val="21"/>
          <w:szCs w:val="21"/>
        </w:rPr>
      </w:pPr>
      <w:r>
        <w:rPr>
          <w:rFonts w:hint="eastAsia"/>
          <w:sz w:val="21"/>
          <w:szCs w:val="21"/>
        </w:rPr>
        <w:t xml:space="preserve">（2）根据差错处理原则或当事人协商的方法对因差错造成的损失进行评估；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（3）根据差错处理原则或当事人协商的方法由差错的责任方进行更正和赔偿损失；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（4）根据差错处理的方法，需要修改基金登记机构的交易数据的，由基金登记机构进行更正，并就差错的更正向有关当事人进行确认；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5）基金管理人及基金托管人计价错误达到或超过基金份额净值的0.25%时，基金管理人应通报基金托管人，并报告中国证监会；计价错误达到基金份额净值的0.5%时，基金管理人应通报基金托管人，按基金合同的规定进行公告，并报中国证监会备案。 </w:t>
      </w:r>
    </w:p>
    <w:p>
      <w:pPr>
        <w:pStyle w:val="7"/>
        <w:spacing w:before="0" w:beforeAutospacing="0" w:after="0" w:afterAutospacing="0" w:line="360" w:lineRule="auto"/>
        <w:ind w:firstLine="420"/>
        <w:rPr>
          <w:sz w:val="21"/>
          <w:szCs w:val="21"/>
        </w:rPr>
      </w:pPr>
      <w:r>
        <w:rPr>
          <w:rStyle w:val="11"/>
          <w:rFonts w:hint="eastAsia"/>
          <w:sz w:val="21"/>
          <w:szCs w:val="21"/>
        </w:rPr>
        <w:t>六、暂停估值的情形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1、基金投资所涉及的证券、期货交易所遇法定节假日或因其他原因暂停营业时；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2、因不可抗力或其他情形致使基金管理人、托管人无法准确评估基金财产价值时； </w:t>
      </w:r>
    </w:p>
    <w:p>
      <w:pPr>
        <w:pStyle w:val="7"/>
        <w:spacing w:before="0" w:beforeAutospacing="0" w:after="0" w:afterAutospacing="0" w:line="360" w:lineRule="auto"/>
        <w:ind w:firstLine="420"/>
        <w:rPr>
          <w:sz w:val="21"/>
          <w:szCs w:val="21"/>
        </w:rPr>
      </w:pPr>
      <w:r>
        <w:rPr>
          <w:rFonts w:hint="eastAsia"/>
          <w:sz w:val="21"/>
          <w:szCs w:val="21"/>
        </w:rPr>
        <w:t xml:space="preserve">3、占基金相当比例的投资品种的估值出现重大转变，而基金管理人为保障基金份额持有人的利益，决定延迟估值时； </w:t>
      </w:r>
    </w:p>
    <w:p>
      <w:pPr>
        <w:pStyle w:val="7"/>
        <w:spacing w:before="0" w:beforeAutospacing="0" w:after="0" w:afterAutospacing="0" w:line="360" w:lineRule="auto"/>
        <w:ind w:firstLine="420"/>
        <w:rPr>
          <w:sz w:val="21"/>
          <w:szCs w:val="21"/>
        </w:rPr>
      </w:pPr>
      <w:r>
        <w:rPr>
          <w:rFonts w:hint="eastAsia"/>
          <w:sz w:val="21"/>
          <w:szCs w:val="21"/>
        </w:rPr>
        <w:t xml:space="preserve">4、所投资的目标ETF暂停估值时； </w:t>
      </w:r>
    </w:p>
    <w:p>
      <w:pPr>
        <w:pStyle w:val="7"/>
        <w:spacing w:before="0" w:beforeAutospacing="0" w:after="0" w:afterAutospacing="0" w:line="360" w:lineRule="auto"/>
        <w:ind w:firstLine="420"/>
        <w:rPr>
          <w:sz w:val="21"/>
          <w:szCs w:val="21"/>
        </w:rPr>
      </w:pPr>
      <w:r>
        <w:rPr>
          <w:rFonts w:hint="eastAsia"/>
          <w:sz w:val="21"/>
          <w:szCs w:val="21"/>
        </w:rPr>
        <w:t xml:space="preserve">5、当前一估值日基金资产净值50%以上的资产出现无可参考的活跃市场价格且采用估值技术仍导致公允价值存在重大不确定性时，经与基金托管人协商一致的，应当暂停估值； </w:t>
      </w:r>
    </w:p>
    <w:p>
      <w:pPr>
        <w:pStyle w:val="7"/>
        <w:spacing w:before="0" w:beforeAutospacing="0" w:after="0" w:afterAutospacing="0" w:line="360" w:lineRule="auto"/>
        <w:ind w:firstLine="420"/>
        <w:rPr>
          <w:sz w:val="21"/>
          <w:szCs w:val="21"/>
        </w:rPr>
      </w:pPr>
      <w:r>
        <w:rPr>
          <w:rFonts w:hint="eastAsia"/>
          <w:sz w:val="21"/>
          <w:szCs w:val="21"/>
        </w:rPr>
        <w:t xml:space="preserve">6、中国证监会和基金合同认定的其他情形。 </w:t>
      </w:r>
    </w:p>
    <w:p>
      <w:pPr>
        <w:pStyle w:val="7"/>
        <w:spacing w:before="0" w:beforeAutospacing="0" w:after="0" w:afterAutospacing="0" w:line="360" w:lineRule="auto"/>
        <w:ind w:firstLine="420"/>
        <w:rPr>
          <w:sz w:val="21"/>
          <w:szCs w:val="21"/>
        </w:rPr>
      </w:pPr>
      <w:r>
        <w:rPr>
          <w:rStyle w:val="11"/>
          <w:rFonts w:hint="eastAsia"/>
          <w:sz w:val="21"/>
          <w:szCs w:val="21"/>
        </w:rPr>
        <w:t>七、基金份额净值的计算</w:t>
      </w:r>
    </w:p>
    <w:p>
      <w:pPr>
        <w:pStyle w:val="7"/>
        <w:spacing w:before="0" w:beforeAutospacing="0" w:after="0" w:afterAutospacing="0" w:line="360" w:lineRule="auto"/>
        <w:ind w:firstLine="420"/>
        <w:rPr>
          <w:sz w:val="21"/>
          <w:szCs w:val="21"/>
        </w:rPr>
      </w:pPr>
      <w:r>
        <w:rPr>
          <w:rFonts w:hint="eastAsia"/>
          <w:sz w:val="21"/>
          <w:szCs w:val="21"/>
        </w:rPr>
        <w:t xml:space="preserve">T日该类基金份额净值＝T日该类基金资产净值/T日该类基金总份额余额 </w:t>
      </w:r>
    </w:p>
    <w:p>
      <w:pPr>
        <w:pStyle w:val="7"/>
        <w:spacing w:before="0" w:beforeAutospacing="0" w:after="0" w:afterAutospacing="0" w:line="360" w:lineRule="auto"/>
        <w:ind w:firstLine="420"/>
        <w:rPr>
          <w:sz w:val="21"/>
          <w:szCs w:val="21"/>
        </w:rPr>
      </w:pPr>
      <w:r>
        <w:rPr>
          <w:rFonts w:hint="eastAsia"/>
          <w:sz w:val="21"/>
          <w:szCs w:val="21"/>
        </w:rPr>
        <w:t xml:space="preserve">各类基金份额净值的计算，精确到0.0001元，小数点后第五位四舍五入。国家另有规定的，从其规定。 </w:t>
      </w:r>
    </w:p>
    <w:p>
      <w:pPr>
        <w:pStyle w:val="7"/>
        <w:spacing w:before="0" w:beforeAutospacing="0" w:after="0" w:afterAutospacing="0" w:line="360" w:lineRule="auto"/>
        <w:ind w:firstLine="420"/>
        <w:rPr>
          <w:sz w:val="21"/>
          <w:szCs w:val="21"/>
        </w:rPr>
      </w:pPr>
      <w:r>
        <w:rPr>
          <w:rStyle w:val="11"/>
          <w:rFonts w:hint="eastAsia"/>
          <w:sz w:val="21"/>
          <w:szCs w:val="21"/>
        </w:rPr>
        <w:t>八、特殊情况的处理</w:t>
      </w:r>
    </w:p>
    <w:p>
      <w:pPr>
        <w:pStyle w:val="7"/>
        <w:spacing w:before="0" w:beforeAutospacing="0" w:after="0" w:afterAutospacing="0" w:line="360" w:lineRule="auto"/>
        <w:ind w:firstLine="420"/>
        <w:rPr>
          <w:sz w:val="21"/>
          <w:szCs w:val="21"/>
        </w:rPr>
      </w:pPr>
      <w:r>
        <w:rPr>
          <w:rFonts w:hint="eastAsia"/>
          <w:sz w:val="21"/>
          <w:szCs w:val="21"/>
        </w:rPr>
        <w:t xml:space="preserve">1、基金管理人按估值方法的第9项进行估值时，所造成的误差不作为基金份额净值错误处理。 </w:t>
      </w:r>
    </w:p>
    <w:p>
      <w:pPr>
        <w:pStyle w:val="7"/>
        <w:spacing w:before="0" w:beforeAutospacing="0" w:after="0" w:afterAutospacing="0" w:line="360" w:lineRule="auto"/>
        <w:ind w:firstLine="420"/>
        <w:rPr>
          <w:sz w:val="21"/>
          <w:szCs w:val="21"/>
        </w:rPr>
      </w:pPr>
      <w:r>
        <w:rPr>
          <w:rFonts w:hint="eastAsia"/>
          <w:sz w:val="21"/>
          <w:szCs w:val="21"/>
        </w:rPr>
        <w:t>2、由于不可抗力原因，或由于证券、期货交易所及登记结算公司发送的数据错误等原因，基金管理人和基金托管人虽然已经采取必要、适当、合理的措施进行检查，但未能发现错误的，由此造成的基金财产估值错误，基金管理人和基金托管人可以免除赔偿责任。但基</w:t>
      </w:r>
      <w:bookmarkStart w:id="137" w:name="chapter_level1_14_63_section_2_end"/>
      <w:bookmarkEnd w:id="137"/>
      <w:r>
        <w:rPr>
          <w:rFonts w:hint="eastAsia"/>
          <w:sz w:val="21"/>
          <w:szCs w:val="21"/>
        </w:rPr>
        <w:t xml:space="preserve">金管理人、基金托管人应当积极采取必要的措施消除或减轻由此造成的影响。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8" w:name="chapter_level1_15_64"/>
      <w:bookmarkStart w:id="139" w:name="_Toc207979136"/>
      <w:r>
        <w:rPr>
          <w:rFonts w:hint="eastAsia" w:ascii="宋体" w:hAnsi="宋体" w:eastAsia="宋体"/>
          <w:sz w:val="30"/>
        </w:rPr>
        <w:t>第十二部分  基金的收益分配</w:t>
      </w:r>
      <w:bookmarkEnd w:id="138"/>
      <w:bookmarkEnd w:id="139"/>
    </w:p>
    <w:p>
      <w:pPr>
        <w:pStyle w:val="7"/>
        <w:spacing w:before="0" w:beforeAutospacing="0" w:after="0" w:afterAutospacing="0" w:line="360" w:lineRule="auto"/>
        <w:ind w:firstLine="420"/>
        <w:rPr>
          <w:sz w:val="21"/>
          <w:szCs w:val="21"/>
        </w:rPr>
      </w:pPr>
      <w:bookmarkStart w:id="140" w:name="chapter_level1_15_64_section_1"/>
      <w:bookmarkEnd w:id="140"/>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A类、C类和E类基金份额投资者可选择现金红利或将现金红利自动转为相应类别的基金份额进行再投资；若投资者不选择，本基金A类、C类和E类基金份额默认的收益分配方式是现金分红； 本基金Y类基金份额收益分配方式仅为红利再投资； </w:t>
      </w:r>
    </w:p>
    <w:p>
      <w:pPr>
        <w:pStyle w:val="7"/>
        <w:spacing w:before="0" w:beforeAutospacing="0" w:after="0" w:afterAutospacing="0" w:line="360" w:lineRule="auto"/>
        <w:ind w:firstLine="420"/>
        <w:rPr>
          <w:sz w:val="21"/>
          <w:szCs w:val="21"/>
        </w:rPr>
      </w:pPr>
      <w:r>
        <w:rPr>
          <w:rFonts w:hint="eastAsia"/>
          <w:sz w:val="21"/>
          <w:szCs w:val="21"/>
        </w:rPr>
        <w:t xml:space="preserve">2、基金收益分配后基金份额净值不能低于面值，即基金收益分配基准日的基金份额净值减去每单位基金份额收益分配金额后不能低于面值；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3、同一类别每一基金份额享有同等分配权；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7"/>
        <w:spacing w:before="0" w:beforeAutospacing="0" w:after="0" w:afterAutospacing="0" w:line="360" w:lineRule="auto"/>
        <w:ind w:firstLine="420"/>
        <w:rPr>
          <w:sz w:val="21"/>
          <w:szCs w:val="21"/>
        </w:rPr>
      </w:pPr>
      <w:r>
        <w:rPr>
          <w:rFonts w:hint="eastAsia"/>
          <w:sz w:val="21"/>
          <w:szCs w:val="21"/>
        </w:rPr>
        <w:t>在不违反法律法规且对基金份额持有人利益无实质性不利影响的前提下，基金管理人可</w:t>
      </w:r>
      <w:bookmarkStart w:id="141" w:name="chapter_level1_15_64_section_1_end"/>
      <w:bookmarkEnd w:id="141"/>
      <w:r>
        <w:rPr>
          <w:rFonts w:hint="eastAsia"/>
          <w:sz w:val="21"/>
          <w:szCs w:val="21"/>
        </w:rPr>
        <w:t xml:space="preserve">对基金收益分配的有关业务规则进行调整，并及时公告。 </w:t>
      </w:r>
    </w:p>
    <w:p>
      <w:pPr>
        <w:pStyle w:val="7"/>
        <w:spacing w:before="0" w:beforeAutospacing="0" w:after="0" w:afterAutospacing="0" w:line="360" w:lineRule="auto"/>
        <w:ind w:firstLine="420"/>
        <w:rPr>
          <w:sz w:val="21"/>
          <w:szCs w:val="21"/>
        </w:rPr>
      </w:pPr>
      <w:bookmarkStart w:id="142" w:name="chapter_level1_15_64_section_2"/>
      <w:bookmarkEnd w:id="142"/>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基金收益分配方案中载明收益分配基准日以及该日的可供分配利润、基金收益分配对象、分配原则、分配时间、分配数额及比例、分配方式、支付方式及有关手续费等内容。 </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基金收益分配方案由基金管理人拟定，并由基金托管人核实后确定，依照《信息披露办法》的有关规定在指定媒介公告。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收益分配时发生的银行转账等手续费用由基金份额持有人自行承担。当基金份额持有人的现金红利小于一定金额，不足于支付银行转账或其他手续费用时，基金登记机构可将基金份额持有人的现金红利按权益登记日除权后的相应类别的基金份额净值自动转为基金份</w:t>
      </w:r>
      <w:bookmarkStart w:id="143" w:name="chapter_level1_15_64_section_2_end"/>
      <w:bookmarkEnd w:id="143"/>
      <w:r>
        <w:rPr>
          <w:rFonts w:hint="eastAsia"/>
          <w:sz w:val="21"/>
          <w:szCs w:val="21"/>
        </w:rPr>
        <w:t xml:space="preserve">额。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4" w:name="chapter_level1_16_65"/>
      <w:bookmarkStart w:id="145" w:name="_Toc207979137"/>
      <w:r>
        <w:rPr>
          <w:rFonts w:hint="eastAsia" w:ascii="宋体" w:hAnsi="宋体" w:eastAsia="宋体"/>
          <w:sz w:val="30"/>
        </w:rPr>
        <w:t>第十三部分  基金费用与税收</w:t>
      </w:r>
      <w:bookmarkEnd w:id="144"/>
      <w:bookmarkEnd w:id="145"/>
    </w:p>
    <w:p>
      <w:pPr>
        <w:pStyle w:val="7"/>
        <w:spacing w:before="0" w:beforeAutospacing="0" w:after="0" w:afterAutospacing="0" w:line="360" w:lineRule="auto"/>
        <w:ind w:firstLine="420"/>
        <w:rPr>
          <w:sz w:val="21"/>
          <w:szCs w:val="21"/>
        </w:rPr>
      </w:pPr>
      <w:bookmarkStart w:id="146" w:name="chapter_level1_16_65_section_1"/>
      <w:bookmarkEnd w:id="146"/>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3、C类、E类基金份额的销售服务费；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4、基金的证券、期货交易费用； </w:t>
      </w:r>
    </w:p>
    <w:p>
      <w:pPr>
        <w:pStyle w:val="7"/>
        <w:spacing w:before="0" w:beforeAutospacing="0" w:after="0" w:afterAutospacing="0" w:line="360" w:lineRule="auto"/>
        <w:ind w:firstLine="420"/>
        <w:rPr>
          <w:sz w:val="21"/>
          <w:szCs w:val="21"/>
        </w:rPr>
      </w:pPr>
      <w:r>
        <w:rPr>
          <w:rFonts w:hint="eastAsia"/>
          <w:sz w:val="21"/>
          <w:szCs w:val="21"/>
        </w:rPr>
        <w:t xml:space="preserve">5、基金合同生效以后的与基金相关的信息披露费用，法律法规、中国证监会另有规定的除外；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7、基金合同生效以后的与基金相关的会计师费、律师费和诉讼费； </w:t>
      </w:r>
    </w:p>
    <w:p>
      <w:pPr>
        <w:pStyle w:val="7"/>
        <w:spacing w:before="0" w:beforeAutospacing="0" w:after="0" w:afterAutospacing="0" w:line="360" w:lineRule="auto"/>
        <w:ind w:firstLine="420"/>
        <w:rPr>
          <w:sz w:val="21"/>
          <w:szCs w:val="21"/>
        </w:rPr>
      </w:pPr>
      <w:r>
        <w:rPr>
          <w:rFonts w:hint="eastAsia"/>
          <w:sz w:val="21"/>
          <w:szCs w:val="21"/>
        </w:rPr>
        <w:t xml:space="preserve">8、基金银行汇划费用、账户开户费用及账户维护费用； </w:t>
      </w:r>
    </w:p>
    <w:p>
      <w:pPr>
        <w:pStyle w:val="7"/>
        <w:spacing w:before="0" w:beforeAutospacing="0" w:after="0" w:afterAutospacing="0" w:line="360" w:lineRule="auto"/>
        <w:ind w:firstLine="420"/>
        <w:rPr>
          <w:sz w:val="21"/>
          <w:szCs w:val="21"/>
        </w:rPr>
      </w:pPr>
      <w:r>
        <w:rPr>
          <w:rFonts w:hint="eastAsia"/>
          <w:sz w:val="21"/>
          <w:szCs w:val="21"/>
        </w:rPr>
        <w:t xml:space="preserve">9、按照国家有关规定可以列入的其他费用。 </w:t>
      </w:r>
    </w:p>
    <w:p>
      <w:pPr>
        <w:pStyle w:val="7"/>
        <w:spacing w:before="0" w:beforeAutospacing="0" w:after="0" w:afterAutospacing="0" w:line="360" w:lineRule="auto"/>
        <w:ind w:firstLine="420"/>
        <w:rPr>
          <w:sz w:val="21"/>
          <w:szCs w:val="21"/>
        </w:rPr>
      </w:pPr>
      <w:r>
        <w:rPr>
          <w:rFonts w:hint="eastAsia"/>
          <w:sz w:val="21"/>
          <w:szCs w:val="21"/>
        </w:rPr>
        <w:t xml:space="preserve">上述费用从基金财产中支付。 </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本基金的管理费率为年费率</w:t>
      </w:r>
      <w:bookmarkStart w:id="147" w:name="field_0_managementrate_1"/>
      <w:r>
        <w:rPr>
          <w:sz w:val="21"/>
          <w:szCs w:val="21"/>
        </w:rPr>
        <w:t>0.15</w:t>
      </w:r>
      <w:bookmarkEnd w:id="14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在通常情况下，基金管理费按前一日基金资产净值的年费率计提。计算方法如下： </w:t>
      </w:r>
    </w:p>
    <w:p>
      <w:pPr>
        <w:pStyle w:val="7"/>
        <w:spacing w:before="0" w:beforeAutospacing="0" w:after="0" w:afterAutospacing="0" w:line="360" w:lineRule="auto"/>
        <w:ind w:firstLine="420"/>
        <w:rPr>
          <w:sz w:val="21"/>
          <w:szCs w:val="21"/>
        </w:rPr>
      </w:pPr>
      <w:r>
        <w:rPr>
          <w:rFonts w:hint="eastAsia"/>
          <w:sz w:val="21"/>
          <w:szCs w:val="21"/>
        </w:rPr>
        <w:t xml:space="preserve">H＝E×年管理费率÷当年天数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基金管理人对本基金投资组合中投资于目标ETF部分的基金资产净值不计提基金管理费。 </w:t>
      </w:r>
    </w:p>
    <w:p>
      <w:pPr>
        <w:pStyle w:val="7"/>
        <w:spacing w:before="0" w:beforeAutospacing="0" w:after="0" w:afterAutospacing="0" w:line="360" w:lineRule="auto"/>
        <w:ind w:firstLine="420"/>
        <w:rPr>
          <w:sz w:val="21"/>
          <w:szCs w:val="21"/>
        </w:rPr>
      </w:pPr>
      <w:r>
        <w:rPr>
          <w:rFonts w:hint="eastAsia"/>
          <w:sz w:val="21"/>
          <w:szCs w:val="21"/>
        </w:rPr>
        <w:t xml:space="preserve">前一日的基金资产净值为已扣除本基金投资于目标ETF部分基金资产净值后的净额，金额为负时以零计。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个月月末，按月支付。由基金托管人根据与基金管理人核对一致的财务数据，基金托管人复核后自动于次月首日起5个工作日内按照指定的账户路径进行资金支付。若遇法定节假日、公休假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2、基金托管人的基金托管费 </w:t>
      </w:r>
    </w:p>
    <w:p>
      <w:pPr>
        <w:pStyle w:val="7"/>
        <w:spacing w:before="0" w:beforeAutospacing="0" w:after="0" w:afterAutospacing="0" w:line="360" w:lineRule="auto"/>
        <w:ind w:firstLine="420"/>
        <w:rPr>
          <w:sz w:val="21"/>
          <w:szCs w:val="21"/>
        </w:rPr>
      </w:pPr>
      <w:r>
        <w:rPr>
          <w:rFonts w:hint="eastAsia"/>
          <w:sz w:val="21"/>
          <w:szCs w:val="21"/>
        </w:rPr>
        <w:t>本基金的托管费率为年费率</w:t>
      </w:r>
      <w:bookmarkStart w:id="148" w:name="field_0_trusteerate_1"/>
      <w:r>
        <w:rPr>
          <w:sz w:val="21"/>
          <w:szCs w:val="21"/>
        </w:rPr>
        <w:t>0.05</w:t>
      </w:r>
      <w:bookmarkEnd w:id="14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在通常情况下，基金托管费按前一日基金资产净值的年费率计提。计算方法如下： </w:t>
      </w:r>
    </w:p>
    <w:p>
      <w:pPr>
        <w:pStyle w:val="7"/>
        <w:spacing w:before="0" w:beforeAutospacing="0" w:after="0" w:afterAutospacing="0" w:line="360" w:lineRule="auto"/>
        <w:ind w:firstLine="420"/>
        <w:rPr>
          <w:sz w:val="21"/>
          <w:szCs w:val="21"/>
        </w:rPr>
      </w:pPr>
      <w:r>
        <w:rPr>
          <w:rFonts w:hint="eastAsia"/>
          <w:sz w:val="21"/>
          <w:szCs w:val="21"/>
        </w:rPr>
        <w:t xml:space="preserve">H＝E×年托管费率÷当年天数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基金托管人对本基金投资组合中投资于目标ETF部分的基金资产净值不计提基金托管费。 </w:t>
      </w:r>
    </w:p>
    <w:p>
      <w:pPr>
        <w:pStyle w:val="7"/>
        <w:spacing w:before="0" w:beforeAutospacing="0" w:after="0" w:afterAutospacing="0" w:line="360" w:lineRule="auto"/>
        <w:ind w:firstLine="420"/>
        <w:rPr>
          <w:sz w:val="21"/>
          <w:szCs w:val="21"/>
        </w:rPr>
      </w:pPr>
      <w:r>
        <w:rPr>
          <w:rFonts w:hint="eastAsia"/>
          <w:sz w:val="21"/>
          <w:szCs w:val="21"/>
        </w:rPr>
        <w:t xml:space="preserve">前一日的基金资产净值为已扣除本基金投资于目标ETF部分基金资产净值后的净额，金额为负时以零计。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个月月末，按月支付。由基金托管人根据与基金管理人核对一致的财务数据，基金托管人复核后于次月首日起5个工作日内按照指定的账户路径进行资金支付。若遇法定节假日、公休假等，支付日期顺延。 </w:t>
      </w:r>
    </w:p>
    <w:p>
      <w:pPr>
        <w:pStyle w:val="7"/>
        <w:spacing w:before="0" w:beforeAutospacing="0" w:after="0" w:afterAutospacing="0" w:line="360" w:lineRule="auto"/>
        <w:ind w:firstLine="420"/>
        <w:rPr>
          <w:sz w:val="21"/>
          <w:szCs w:val="21"/>
        </w:rPr>
      </w:pPr>
      <w:r>
        <w:rPr>
          <w:rFonts w:hint="eastAsia"/>
          <w:sz w:val="21"/>
          <w:szCs w:val="21"/>
        </w:rPr>
        <w:t xml:space="preserve">3、销售服务费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本基金A类基金份额、Y类基金份额不收取销售服务费，C类基金份额的销售服务费年费率为0.10%，E类基金份额的销售服务费年费率为0.10%。 </w:t>
      </w:r>
    </w:p>
    <w:p>
      <w:pPr>
        <w:pStyle w:val="7"/>
        <w:spacing w:before="0" w:beforeAutospacing="0" w:after="0" w:afterAutospacing="0" w:line="360" w:lineRule="auto"/>
        <w:ind w:firstLine="420"/>
        <w:rPr>
          <w:sz w:val="21"/>
          <w:szCs w:val="21"/>
        </w:rPr>
      </w:pPr>
      <w:r>
        <w:rPr>
          <w:rFonts w:hint="eastAsia"/>
          <w:sz w:val="21"/>
          <w:szCs w:val="21"/>
        </w:rPr>
        <w:t xml:space="preserve">（1）本基金C类基金份额的销售服务费按前一日C类基金份额的基金资产净值的0.10%年费率计提。计算方法如下：   </w:t>
      </w:r>
    </w:p>
    <w:p>
      <w:pPr>
        <w:pStyle w:val="7"/>
        <w:spacing w:before="0" w:beforeAutospacing="0" w:after="0" w:afterAutospacing="0" w:line="360" w:lineRule="auto"/>
        <w:ind w:firstLine="420"/>
        <w:rPr>
          <w:sz w:val="21"/>
          <w:szCs w:val="21"/>
        </w:rPr>
      </w:pPr>
      <w:r>
        <w:rPr>
          <w:rFonts w:hint="eastAsia"/>
          <w:sz w:val="21"/>
          <w:szCs w:val="21"/>
        </w:rPr>
        <w:t xml:space="preserve">H=E×0.10%÷当年天数 </w:t>
      </w:r>
    </w:p>
    <w:p>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pPr>
        <w:pStyle w:val="7"/>
        <w:spacing w:before="0" w:beforeAutospacing="0" w:after="0" w:afterAutospacing="0" w:line="360" w:lineRule="auto"/>
        <w:ind w:firstLine="420"/>
        <w:rPr>
          <w:sz w:val="21"/>
          <w:szCs w:val="21"/>
        </w:rPr>
      </w:pPr>
      <w:r>
        <w:rPr>
          <w:rFonts w:hint="eastAsia"/>
          <w:sz w:val="21"/>
          <w:szCs w:val="21"/>
        </w:rPr>
        <w:t xml:space="preserve">销售机构对本基金投资组合中投资于目标ETF部分的基金资产净值不计提销售服务费。  </w:t>
      </w:r>
    </w:p>
    <w:p>
      <w:pPr>
        <w:pStyle w:val="7"/>
        <w:spacing w:before="0" w:beforeAutospacing="0" w:after="0" w:afterAutospacing="0" w:line="360" w:lineRule="auto"/>
        <w:ind w:firstLine="420"/>
        <w:rPr>
          <w:sz w:val="21"/>
          <w:szCs w:val="21"/>
        </w:rPr>
      </w:pPr>
      <w:r>
        <w:rPr>
          <w:rFonts w:hint="eastAsia"/>
          <w:sz w:val="21"/>
          <w:szCs w:val="21"/>
        </w:rPr>
        <w:t xml:space="preserve">前一日的基金资产净值为已扣除本基金投资于目标ETF部分基金资产净值后的净额，金额为负时以零计。   </w:t>
      </w:r>
    </w:p>
    <w:p>
      <w:pPr>
        <w:pStyle w:val="7"/>
        <w:spacing w:before="0" w:beforeAutospacing="0" w:after="0" w:afterAutospacing="0" w:line="360" w:lineRule="auto"/>
        <w:ind w:firstLine="420"/>
        <w:rPr>
          <w:sz w:val="21"/>
          <w:szCs w:val="21"/>
        </w:rPr>
      </w:pPr>
      <w:r>
        <w:rPr>
          <w:rFonts w:hint="eastAsia"/>
          <w:sz w:val="21"/>
          <w:szCs w:val="21"/>
        </w:rPr>
        <w:t xml:space="preserve">C类基金份额的销售服务费每日计提，逐日累计至每个月月末，按月支付。由基金托管人根据与基金管理人核对一致的财务数据，基金托管人复核后于次月首日起5个工作日内从基金资产中一次性支付给登记机构，由登记机构代付给销售机构。若遇法定节假日、公休假等，支付日期顺延。 </w:t>
      </w:r>
    </w:p>
    <w:p>
      <w:pPr>
        <w:pStyle w:val="7"/>
        <w:spacing w:before="0" w:beforeAutospacing="0" w:after="0" w:afterAutospacing="0" w:line="360" w:lineRule="auto"/>
        <w:ind w:firstLine="420"/>
        <w:rPr>
          <w:sz w:val="21"/>
          <w:szCs w:val="21"/>
        </w:rPr>
      </w:pPr>
      <w:r>
        <w:rPr>
          <w:rFonts w:hint="eastAsia"/>
          <w:sz w:val="21"/>
          <w:szCs w:val="21"/>
        </w:rPr>
        <w:t xml:space="preserve">（2）本基金E类基金份额的销售服务费按前一日E类基金份额的基金资产净值的0.10%年费率计提。计算方法如下：  </w:t>
      </w:r>
    </w:p>
    <w:p>
      <w:pPr>
        <w:pStyle w:val="7"/>
        <w:spacing w:before="0" w:beforeAutospacing="0" w:after="0" w:afterAutospacing="0" w:line="360" w:lineRule="auto"/>
        <w:ind w:firstLine="420"/>
        <w:rPr>
          <w:sz w:val="21"/>
          <w:szCs w:val="21"/>
        </w:rPr>
      </w:pPr>
      <w:r>
        <w:rPr>
          <w:rFonts w:hint="eastAsia"/>
          <w:sz w:val="21"/>
          <w:szCs w:val="21"/>
        </w:rPr>
        <w:t xml:space="preserve">H＝E×0.10%÷当年天数 </w:t>
      </w:r>
    </w:p>
    <w:p>
      <w:pPr>
        <w:pStyle w:val="7"/>
        <w:spacing w:before="0" w:beforeAutospacing="0" w:after="0" w:afterAutospacing="0" w:line="360" w:lineRule="auto"/>
        <w:ind w:firstLine="420"/>
        <w:rPr>
          <w:sz w:val="21"/>
          <w:szCs w:val="21"/>
        </w:rPr>
      </w:pPr>
      <w:r>
        <w:rPr>
          <w:rFonts w:hint="eastAsia"/>
          <w:sz w:val="21"/>
          <w:szCs w:val="21"/>
        </w:rPr>
        <w:t xml:space="preserve">H为E类基金份额每日应计提的销售服务费 </w:t>
      </w:r>
    </w:p>
    <w:p>
      <w:pPr>
        <w:pStyle w:val="7"/>
        <w:spacing w:before="0" w:beforeAutospacing="0" w:after="0" w:afterAutospacing="0" w:line="360" w:lineRule="auto"/>
        <w:ind w:firstLine="420"/>
        <w:rPr>
          <w:sz w:val="21"/>
          <w:szCs w:val="21"/>
        </w:rPr>
      </w:pPr>
      <w:r>
        <w:rPr>
          <w:rFonts w:hint="eastAsia"/>
          <w:sz w:val="21"/>
          <w:szCs w:val="21"/>
        </w:rPr>
        <w:t xml:space="preserve">E为E类基金份额前一日基金资产净值 </w:t>
      </w:r>
    </w:p>
    <w:p>
      <w:pPr>
        <w:pStyle w:val="7"/>
        <w:spacing w:before="0" w:beforeAutospacing="0" w:after="0" w:afterAutospacing="0" w:line="360" w:lineRule="auto"/>
        <w:ind w:firstLine="420"/>
        <w:rPr>
          <w:sz w:val="21"/>
          <w:szCs w:val="21"/>
        </w:rPr>
      </w:pPr>
      <w:r>
        <w:rPr>
          <w:rFonts w:hint="eastAsia"/>
          <w:sz w:val="21"/>
          <w:szCs w:val="21"/>
        </w:rPr>
        <w:t xml:space="preserve">E类基金份额的销售服务费每日计提，逐日累计至每个月月末，按月支付。由基金托管人根据与基金管理人核对一致的财务数据，基金托管人复核后于次月首日起5个工作日内从基金资产中一次性支付给登记机构，由登记机构代付给销售机构。若遇法定节假日、公休假等，支付日期顺延。 </w:t>
      </w:r>
    </w:p>
    <w:p>
      <w:pPr>
        <w:pStyle w:val="7"/>
        <w:spacing w:before="0" w:beforeAutospacing="0" w:after="0" w:afterAutospacing="0" w:line="360" w:lineRule="auto"/>
        <w:ind w:firstLine="420"/>
        <w:rPr>
          <w:sz w:val="21"/>
          <w:szCs w:val="21"/>
        </w:rPr>
      </w:pPr>
      <w:r>
        <w:rPr>
          <w:rFonts w:hint="eastAsia"/>
          <w:sz w:val="21"/>
          <w:szCs w:val="21"/>
        </w:rPr>
        <w:t xml:space="preserve">4、除管理费、托管费和销售服务费之外的基金费用由基金管理人和基金托管人根据有关法规及相应协议的规定，列入或摊入当期基金费用。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基金管理人和基金托管人因未履行或未完全履行义务导致的费用支出或基金财产的损失，以及处理与基金运作无关的事项发生的费用等不列入基金费用。基金合同生效之前的律师费、会计师费和信息披露费用等不得从基金财产中列支。 </w:t>
      </w:r>
    </w:p>
    <w:p>
      <w:pPr>
        <w:pStyle w:val="7"/>
        <w:spacing w:before="0" w:beforeAutospacing="0" w:after="0" w:afterAutospacing="0" w:line="360" w:lineRule="auto"/>
        <w:ind w:firstLine="420"/>
        <w:rPr>
          <w:sz w:val="21"/>
          <w:szCs w:val="21"/>
        </w:rPr>
      </w:pPr>
      <w:r>
        <w:rPr>
          <w:rStyle w:val="11"/>
          <w:rFonts w:hint="eastAsia"/>
          <w:sz w:val="21"/>
          <w:szCs w:val="21"/>
        </w:rPr>
        <w:t>四、其他费用</w:t>
      </w:r>
    </w:p>
    <w:p>
      <w:pPr>
        <w:pStyle w:val="7"/>
        <w:spacing w:before="0" w:beforeAutospacing="0" w:after="0" w:afterAutospacing="0" w:line="360" w:lineRule="auto"/>
        <w:ind w:firstLine="420"/>
        <w:rPr>
          <w:sz w:val="21"/>
          <w:szCs w:val="21"/>
        </w:rPr>
      </w:pPr>
      <w:r>
        <w:rPr>
          <w:rFonts w:hint="eastAsia"/>
          <w:sz w:val="21"/>
          <w:szCs w:val="21"/>
        </w:rPr>
        <w:t xml:space="preserve">按照国家有关规定和基金合同约定，基金管理人可以在基金财产中列支其他的费用，并按照相关的法律法规的规定进行公告或备案。 </w:t>
      </w:r>
    </w:p>
    <w:p>
      <w:pPr>
        <w:pStyle w:val="7"/>
        <w:spacing w:before="0" w:beforeAutospacing="0" w:after="0" w:afterAutospacing="0" w:line="360" w:lineRule="auto"/>
        <w:ind w:firstLine="420"/>
        <w:rPr>
          <w:sz w:val="21"/>
          <w:szCs w:val="21"/>
        </w:rPr>
      </w:pPr>
      <w:r>
        <w:rPr>
          <w:rStyle w:val="11"/>
          <w:rFonts w:hint="eastAsia"/>
          <w:sz w:val="21"/>
          <w:szCs w:val="21"/>
        </w:rPr>
        <w:t>五、税收</w:t>
      </w:r>
    </w:p>
    <w:p>
      <w:pPr>
        <w:pStyle w:val="7"/>
        <w:spacing w:before="0" w:beforeAutospacing="0" w:after="0" w:afterAutospacing="0" w:line="360" w:lineRule="auto"/>
        <w:ind w:firstLine="420"/>
        <w:rPr>
          <w:sz w:val="21"/>
          <w:szCs w:val="21"/>
        </w:rPr>
      </w:pPr>
      <w:bookmarkStart w:id="149" w:name="chapter_level1_16_65_section_1_end"/>
      <w:bookmarkEnd w:id="149"/>
      <w:r>
        <w:rPr>
          <w:rFonts w:hint="eastAsia"/>
          <w:sz w:val="21"/>
          <w:szCs w:val="21"/>
        </w:rPr>
        <w:t xml:space="preserve">本基金运作过程中涉及的各纳税主体，依照国家法律法规的规定履行纳税义务。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0" w:name="chapter_level1_17_66"/>
      <w:bookmarkStart w:id="151" w:name="_Toc207979138"/>
      <w:r>
        <w:rPr>
          <w:rFonts w:hint="eastAsia" w:ascii="宋体" w:hAnsi="宋体" w:eastAsia="宋体"/>
          <w:sz w:val="30"/>
        </w:rPr>
        <w:t>第十四部分  基金的会计与审计</w:t>
      </w:r>
      <w:bookmarkEnd w:id="150"/>
      <w:bookmarkEnd w:id="151"/>
    </w:p>
    <w:p>
      <w:pPr>
        <w:pStyle w:val="7"/>
        <w:spacing w:before="0" w:beforeAutospacing="0" w:after="0" w:afterAutospacing="0" w:line="360" w:lineRule="auto"/>
        <w:ind w:firstLine="420"/>
        <w:rPr>
          <w:sz w:val="21"/>
          <w:szCs w:val="21"/>
        </w:rPr>
      </w:pPr>
      <w:bookmarkStart w:id="152" w:name="chapter_level1_17_66_section_1"/>
      <w:bookmarkEnd w:id="152"/>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 </w:t>
      </w:r>
    </w:p>
    <w:p>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7"/>
        <w:spacing w:before="0" w:beforeAutospacing="0" w:after="0" w:afterAutospacing="0" w:line="360" w:lineRule="auto"/>
        <w:ind w:firstLine="420"/>
        <w:rPr>
          <w:sz w:val="21"/>
          <w:szCs w:val="21"/>
        </w:rPr>
      </w:pPr>
      <w:r>
        <w:rPr>
          <w:rFonts w:hint="eastAsia"/>
          <w:sz w:val="21"/>
          <w:szCs w:val="21"/>
        </w:rPr>
        <w:t xml:space="preserve">6、基金管理人应保留完整的会计账目、凭证并进行日常的会计核算，按照有关规定编制基金会计报表； </w:t>
      </w:r>
    </w:p>
    <w:p>
      <w:pPr>
        <w:pStyle w:val="7"/>
        <w:spacing w:before="0" w:beforeAutospacing="0" w:after="0" w:afterAutospacing="0" w:line="360" w:lineRule="auto"/>
        <w:ind w:firstLine="420"/>
        <w:rPr>
          <w:sz w:val="21"/>
          <w:szCs w:val="21"/>
        </w:rPr>
      </w:pPr>
      <w:r>
        <w:rPr>
          <w:rFonts w:hint="eastAsia"/>
          <w:sz w:val="21"/>
          <w:szCs w:val="21"/>
        </w:rPr>
        <w:t xml:space="preserve">7、基金托管人定期与基金管理人就基金的会计核算、报表编制等进行核对并以书面方式确认。 </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1、基金管理人聘请与基金管理人、基金托管人相互独立的具有证券、期货相关业务资格的会计师事务所及其注册会计师对本基金的年度财务报表及其他规定事项进行审计。 </w:t>
      </w:r>
    </w:p>
    <w:p>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2、会计师事务所更换经办注册会计师，应事先征得基金管理人和基金托管人同意。 </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3、基金管理人认为有充足理由更换会计师事务所，须通报基金托管人并报中国证监会</w:t>
      </w:r>
      <w:bookmarkStart w:id="153" w:name="chapter_level1_17_66_section_1_end"/>
      <w:bookmarkEnd w:id="153"/>
      <w:r>
        <w:rPr>
          <w:rFonts w:hint="eastAsia"/>
          <w:sz w:val="21"/>
          <w:szCs w:val="21"/>
        </w:rPr>
        <w:t xml:space="preserve">备案。更换会计师事务所需按照《信息披露办法》的有关规定在指定媒介公告。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4" w:name="chapter_level1_18_67"/>
      <w:bookmarkStart w:id="155" w:name="_Toc207979139"/>
      <w:r>
        <w:rPr>
          <w:rFonts w:hint="eastAsia" w:ascii="宋体" w:hAnsi="宋体" w:eastAsia="宋体"/>
          <w:sz w:val="30"/>
        </w:rPr>
        <w:t>第十五部分  基金的信息披露</w:t>
      </w:r>
      <w:bookmarkEnd w:id="154"/>
      <w:bookmarkEnd w:id="155"/>
    </w:p>
    <w:p>
      <w:pPr>
        <w:pStyle w:val="7"/>
        <w:spacing w:before="0" w:beforeAutospacing="0" w:after="0" w:afterAutospacing="0" w:line="360" w:lineRule="auto"/>
        <w:ind w:firstLine="420"/>
        <w:rPr>
          <w:sz w:val="21"/>
          <w:szCs w:val="21"/>
        </w:rPr>
      </w:pPr>
      <w:bookmarkStart w:id="156" w:name="chapter_level1_18_67_section_1"/>
      <w:bookmarkEnd w:id="156"/>
      <w:r>
        <w:rPr>
          <w:rStyle w:val="11"/>
          <w:rFonts w:hint="eastAsia"/>
          <w:sz w:val="21"/>
          <w:szCs w:val="21"/>
        </w:rPr>
        <w:t>一、本基金的信息披露应符合《基金法》、《运作办法》、《信息披露办法》、《基金合同》及其他有关规定。</w:t>
      </w:r>
    </w:p>
    <w:p>
      <w:pPr>
        <w:pStyle w:val="7"/>
        <w:spacing w:before="0" w:beforeAutospacing="0" w:after="0" w:afterAutospacing="0" w:line="360" w:lineRule="auto"/>
        <w:ind w:firstLine="420"/>
        <w:rPr>
          <w:sz w:val="21"/>
          <w:szCs w:val="21"/>
        </w:rPr>
      </w:pPr>
      <w:r>
        <w:rPr>
          <w:rStyle w:val="11"/>
          <w:rFonts w:hint="eastAsia"/>
          <w:sz w:val="21"/>
          <w:szCs w:val="21"/>
        </w:rPr>
        <w:t>二、信息披露义务人</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Fonts w:hint="eastAsia"/>
          <w:sz w:val="21"/>
          <w:szCs w:val="21"/>
        </w:rPr>
        <w:t xml:space="preserve">当出现下述情况时，基金管理人和基金托管人可暂停或延迟披露基金相关信息： </w:t>
      </w:r>
    </w:p>
    <w:p>
      <w:pPr>
        <w:pStyle w:val="7"/>
        <w:spacing w:before="0" w:beforeAutospacing="0" w:after="0" w:afterAutospacing="0" w:line="360" w:lineRule="auto"/>
        <w:ind w:firstLine="420"/>
        <w:rPr>
          <w:sz w:val="21"/>
          <w:szCs w:val="21"/>
        </w:rPr>
      </w:pPr>
      <w:r>
        <w:rPr>
          <w:rFonts w:hint="eastAsia"/>
          <w:sz w:val="21"/>
          <w:szCs w:val="21"/>
        </w:rPr>
        <w:t xml:space="preserve">（1）不可抗力； </w:t>
      </w:r>
    </w:p>
    <w:p>
      <w:pPr>
        <w:pStyle w:val="7"/>
        <w:spacing w:before="0" w:beforeAutospacing="0" w:after="0" w:afterAutospacing="0" w:line="360" w:lineRule="auto"/>
        <w:ind w:firstLine="420"/>
        <w:rPr>
          <w:sz w:val="21"/>
          <w:szCs w:val="21"/>
        </w:rPr>
      </w:pPr>
      <w:r>
        <w:rPr>
          <w:rFonts w:hint="eastAsia"/>
          <w:sz w:val="21"/>
          <w:szCs w:val="21"/>
        </w:rPr>
        <w:t xml:space="preserve">（2）发生暂停估值的情形； </w:t>
      </w:r>
    </w:p>
    <w:p>
      <w:pPr>
        <w:pStyle w:val="7"/>
        <w:spacing w:before="0" w:beforeAutospacing="0" w:after="0" w:afterAutospacing="0" w:line="360" w:lineRule="auto"/>
        <w:ind w:firstLine="420"/>
        <w:rPr>
          <w:sz w:val="21"/>
          <w:szCs w:val="21"/>
        </w:rPr>
      </w:pPr>
      <w:r>
        <w:rPr>
          <w:rFonts w:hint="eastAsia"/>
          <w:sz w:val="21"/>
          <w:szCs w:val="21"/>
        </w:rPr>
        <w:t xml:space="preserve">（3）法律法规、基金合同或中国证监会规定的情况。 </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pPr>
        <w:pStyle w:val="7"/>
        <w:spacing w:before="0" w:beforeAutospacing="0" w:after="0" w:afterAutospacing="0" w:line="360" w:lineRule="auto"/>
        <w:ind w:firstLine="420"/>
        <w:rPr>
          <w:sz w:val="21"/>
          <w:szCs w:val="21"/>
        </w:rPr>
      </w:pPr>
      <w:bookmarkStart w:id="157" w:name="chapter_level1_18_67_section_1_end"/>
      <w:bookmarkEnd w:id="157"/>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bookmarkStart w:id="158" w:name="chapter_level1_18_67_section_2"/>
      <w:bookmarkEnd w:id="158"/>
      <w:r>
        <w:rPr>
          <w:rStyle w:val="11"/>
          <w:rFonts w:hint="eastAsia"/>
          <w:sz w:val="21"/>
          <w:szCs w:val="21"/>
        </w:rPr>
        <w:t>五、公开披露的基金信息</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5、基金募集申请经中国证监会注册后，基金管理人在基金份额发售的3日前，将基金招募说明书、《基金合同》摘要、《基金合同》、基金托管协议登载在指定媒介上。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（四）基金净值信息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在开始办理基金份额申购或者赎回后，基金管理人应当在不晚于每个开放日的次日，通过其指定网站、基金销售机构网站或营业网点披露开放日的基金份额净值和基金份额累计净值。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基金管理人应在不晚于半年度和年度最后一日的次日，在指定网站披露半年度和年度最后一日的基金份额净值和基金份额累计净值。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本基金持续运作过程中，应当在基金年度报告和中期报告中披露基金组合资产情况及其流动性风险分析等。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（七）临时报告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7"/>
        <w:spacing w:before="0" w:beforeAutospacing="0" w:after="0" w:afterAutospacing="0" w:line="360" w:lineRule="auto"/>
        <w:ind w:firstLine="420"/>
        <w:rPr>
          <w:sz w:val="21"/>
          <w:szCs w:val="21"/>
        </w:rPr>
      </w:pPr>
      <w:r>
        <w:rPr>
          <w:rFonts w:hint="eastAsia"/>
          <w:sz w:val="21"/>
          <w:szCs w:val="21"/>
        </w:rPr>
        <w:t xml:space="preserve">8、基金管理人的高级管理人员、基金经理和基金托管人专门基金托管部门负责人发生变动；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9、基金管理人的董事在最近12个月内变更超过百分之五十，基金管理人、基金托管人专门基金托管部门的主要业务人员在最近12个月内变动超过百分之三十；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10、涉及基金财产、基金管理业务、基金托管业务的诉讼或仲裁；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11、基金管理人或其高级管理人员、基金经理因基金管理业务相关行为受到重大行政处罚、刑事处罚，基金托管人或其专门基金托管部门负责人因基金托管业务相关行为受到重大行政处罚、刑事处罚；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12、基金管理人运用基金财产买卖基金管理人、基金托管人及其控股股东、 </w:t>
      </w:r>
    </w:p>
    <w:p>
      <w:pPr>
        <w:pStyle w:val="7"/>
        <w:spacing w:before="0" w:beforeAutospacing="0" w:after="0" w:afterAutospacing="0" w:line="360" w:lineRule="auto"/>
        <w:ind w:firstLine="420"/>
        <w:rPr>
          <w:sz w:val="21"/>
          <w:szCs w:val="21"/>
        </w:rPr>
      </w:pPr>
      <w:r>
        <w:rPr>
          <w:rFonts w:hint="eastAsia"/>
          <w:sz w:val="21"/>
          <w:szCs w:val="21"/>
        </w:rPr>
        <w:t xml:space="preserve">实际控制人或者与其有重大利害关系的公司发行的证券或者承销期内承销的证券，或者从事其他重大关联交易事项，中国证监会另有规定的除外；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13、基金收益分配事项；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14、管理费、托管费、销售服务费、申购费、赎回费等费用计提标准、计提方式和费率发生变更；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15、基金份额净值计价错误达基金份额净值0.5%； </w:t>
      </w:r>
    </w:p>
    <w:p>
      <w:pPr>
        <w:pStyle w:val="7"/>
        <w:spacing w:before="0" w:beforeAutospacing="0" w:after="0" w:afterAutospacing="0" w:line="360" w:lineRule="auto"/>
        <w:ind w:firstLine="420"/>
        <w:rPr>
          <w:sz w:val="21"/>
          <w:szCs w:val="21"/>
        </w:rPr>
      </w:pPr>
      <w:r>
        <w:rPr>
          <w:rFonts w:hint="eastAsia"/>
          <w:sz w:val="21"/>
          <w:szCs w:val="21"/>
        </w:rPr>
        <w:t xml:space="preserve">16、本基金开始办理申购、赎回； </w:t>
      </w:r>
    </w:p>
    <w:p>
      <w:pPr>
        <w:pStyle w:val="7"/>
        <w:spacing w:before="0" w:beforeAutospacing="0" w:after="0" w:afterAutospacing="0" w:line="360" w:lineRule="auto"/>
        <w:ind w:firstLine="420"/>
        <w:rPr>
          <w:sz w:val="21"/>
          <w:szCs w:val="21"/>
        </w:rPr>
      </w:pPr>
      <w:r>
        <w:rPr>
          <w:rFonts w:hint="eastAsia"/>
          <w:sz w:val="21"/>
          <w:szCs w:val="21"/>
        </w:rPr>
        <w:t xml:space="preserve">17、本基金发生巨额赎回并延期办理； </w:t>
      </w:r>
    </w:p>
    <w:p>
      <w:pPr>
        <w:pStyle w:val="7"/>
        <w:spacing w:before="0" w:beforeAutospacing="0" w:after="0" w:afterAutospacing="0" w:line="360" w:lineRule="auto"/>
        <w:ind w:firstLine="420"/>
        <w:rPr>
          <w:sz w:val="21"/>
          <w:szCs w:val="21"/>
        </w:rPr>
      </w:pPr>
      <w:r>
        <w:rPr>
          <w:rFonts w:hint="eastAsia"/>
          <w:sz w:val="21"/>
          <w:szCs w:val="21"/>
        </w:rPr>
        <w:t xml:space="preserve">18、本基金连续发生巨额赎回并暂停接受赎回申请或延缓支付赎回款项；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19、本基金或某一基金份额暂停接受申购、赎回申请或重新接受申购、赎回申请；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20、发生涉及本基金申购、赎回事项调整或潜在影响投资者赎回等重大事项时；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21、基金信息披露义务人认为可能对基金份额持有人权益或者基金份额的价格产生重大影响的其他事项或中国证监会规定的其他事项。 </w:t>
      </w:r>
    </w:p>
    <w:p>
      <w:pPr>
        <w:pStyle w:val="7"/>
        <w:spacing w:before="0" w:beforeAutospacing="0" w:after="0" w:afterAutospacing="0" w:line="360" w:lineRule="auto"/>
        <w:ind w:firstLine="420"/>
        <w:rPr>
          <w:sz w:val="21"/>
          <w:szCs w:val="21"/>
        </w:rPr>
      </w:pPr>
      <w:r>
        <w:rPr>
          <w:rFonts w:hint="eastAsia"/>
          <w:sz w:val="21"/>
          <w:szCs w:val="21"/>
        </w:rPr>
        <w:t xml:space="preserve">（八）澄清公告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内，任何公共媒体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（十一）中小企业私募债券的投资情况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   </w:t>
      </w:r>
    </w:p>
    <w:p>
      <w:pPr>
        <w:pStyle w:val="7"/>
        <w:spacing w:before="0" w:beforeAutospacing="0" w:after="0" w:afterAutospacing="0" w:line="360" w:lineRule="auto"/>
        <w:ind w:firstLine="420"/>
        <w:rPr>
          <w:sz w:val="21"/>
          <w:szCs w:val="21"/>
        </w:rPr>
      </w:pPr>
      <w:r>
        <w:rPr>
          <w:rFonts w:hint="eastAsia"/>
          <w:sz w:val="21"/>
          <w:szCs w:val="21"/>
        </w:rPr>
        <w:t xml:space="preserve">（十二）资产支持证券的投资情况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bookmarkStart w:id="159" w:name="chapter_level1_18_67_section_2_end"/>
      <w:bookmarkEnd w:id="159"/>
      <w:r>
        <w:rPr>
          <w:rFonts w:hint="eastAsia"/>
          <w:sz w:val="21"/>
          <w:szCs w:val="21"/>
        </w:rPr>
        <w:t xml:space="preserve">（十三）中国证监会规定的其他信息。 </w:t>
      </w:r>
    </w:p>
    <w:p>
      <w:pPr>
        <w:pStyle w:val="7"/>
        <w:spacing w:before="0" w:beforeAutospacing="0" w:after="0" w:afterAutospacing="0" w:line="360" w:lineRule="auto"/>
        <w:ind w:firstLine="420"/>
        <w:rPr>
          <w:sz w:val="21"/>
          <w:szCs w:val="21"/>
        </w:rPr>
      </w:pPr>
      <w:bookmarkStart w:id="160" w:name="chapter_level1_18_67_section_3"/>
      <w:bookmarkEnd w:id="160"/>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w:t>
      </w:r>
      <w:bookmarkStart w:id="161" w:name="chapter_level1_18_67_section_3_end"/>
      <w:bookmarkEnd w:id="161"/>
      <w:r>
        <w:rPr>
          <w:rFonts w:hint="eastAsia"/>
          <w:sz w:val="21"/>
          <w:szCs w:val="21"/>
        </w:rPr>
        <w:t xml:space="preserve">息置备于公司住所，供社会公众查阅、复制。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2" w:name="_Toc207979140"/>
      <w:bookmarkStart w:id="163" w:name="chapter_level1_19_68"/>
      <w:r>
        <w:rPr>
          <w:rFonts w:hint="eastAsia" w:ascii="宋体" w:hAnsi="宋体" w:eastAsia="宋体"/>
          <w:sz w:val="30"/>
        </w:rPr>
        <w:t>第十六部分  风险揭示</w:t>
      </w:r>
      <w:bookmarkEnd w:id="162"/>
      <w:bookmarkEnd w:id="163"/>
    </w:p>
    <w:p>
      <w:pPr>
        <w:pStyle w:val="7"/>
        <w:spacing w:before="0" w:beforeAutospacing="0" w:after="0" w:afterAutospacing="0" w:line="360" w:lineRule="auto"/>
        <w:ind w:firstLine="420"/>
        <w:rPr>
          <w:sz w:val="21"/>
          <w:szCs w:val="21"/>
        </w:rPr>
      </w:pPr>
      <w:bookmarkStart w:id="164" w:name="chapter_level1_19_68_section_1"/>
      <w:bookmarkEnd w:id="164"/>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 xml:space="preserve">1、市场风险 </w:t>
      </w:r>
    </w:p>
    <w:p>
      <w:pPr>
        <w:pStyle w:val="7"/>
        <w:spacing w:before="0" w:beforeAutospacing="0" w:after="0" w:afterAutospacing="0" w:line="360" w:lineRule="auto"/>
        <w:ind w:firstLine="420"/>
        <w:rPr>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7"/>
        <w:spacing w:before="0" w:beforeAutospacing="0" w:after="0" w:afterAutospacing="0" w:line="360" w:lineRule="auto"/>
        <w:ind w:firstLine="420"/>
        <w:rPr>
          <w:sz w:val="21"/>
          <w:szCs w:val="21"/>
        </w:rPr>
      </w:pPr>
      <w:r>
        <w:rPr>
          <w:rFonts w:hint="eastAsia"/>
          <w:sz w:val="21"/>
          <w:szCs w:val="21"/>
        </w:rPr>
        <w:t xml:space="preserve">（2）经济周期风险。随经济运行的周期性变化，证券市场的收益水平也呈周期性变化。基金投资于债券，收益水平也会随之变化，从而产生风险。 </w:t>
      </w:r>
    </w:p>
    <w:p>
      <w:pPr>
        <w:pStyle w:val="7"/>
        <w:spacing w:before="0" w:beforeAutospacing="0" w:after="0" w:afterAutospacing="0" w:line="360" w:lineRule="auto"/>
        <w:ind w:firstLine="420"/>
        <w:rPr>
          <w:sz w:val="21"/>
          <w:szCs w:val="21"/>
        </w:rPr>
      </w:pPr>
      <w:r>
        <w:rPr>
          <w:rFonts w:hint="eastAsia"/>
          <w:sz w:val="21"/>
          <w:szCs w:val="21"/>
        </w:rPr>
        <w:t xml:space="preserve">（3）利率风险。利率直接影响着债券的价格和收益率，影响着企业的融资成本和利润。基金投资于债券，其收益水平会受到利率变化的影响。在利率上升时，基金持有的债券价格下降，如基金组合久期较长，则将造成基金资产的损失。 </w:t>
      </w:r>
    </w:p>
    <w:p>
      <w:pPr>
        <w:pStyle w:val="7"/>
        <w:spacing w:before="0" w:beforeAutospacing="0" w:after="0" w:afterAutospacing="0" w:line="360" w:lineRule="auto"/>
        <w:ind w:firstLine="420"/>
        <w:rPr>
          <w:sz w:val="21"/>
          <w:szCs w:val="21"/>
        </w:rPr>
      </w:pPr>
      <w:r>
        <w:rPr>
          <w:rFonts w:hint="eastAsia"/>
          <w:sz w:val="21"/>
          <w:szCs w:val="21"/>
        </w:rPr>
        <w:t xml:space="preserve">（4）购买力风险。基金的利润将主要通过现金形式来分配，而现金可能因为通货膨胀的影响而导致购买力下降，从而使基金的实际收益下降。 </w:t>
      </w:r>
    </w:p>
    <w:p>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 </w:t>
      </w:r>
    </w:p>
    <w:p>
      <w:pPr>
        <w:pStyle w:val="7"/>
        <w:spacing w:before="0" w:beforeAutospacing="0" w:after="0" w:afterAutospacing="0" w:line="360" w:lineRule="auto"/>
        <w:ind w:firstLine="420"/>
        <w:rPr>
          <w:sz w:val="21"/>
          <w:szCs w:val="21"/>
        </w:rPr>
      </w:pPr>
      <w:r>
        <w:rPr>
          <w:rFonts w:hint="eastAsia"/>
          <w:sz w:val="21"/>
          <w:szCs w:val="21"/>
        </w:rPr>
        <w:t xml:space="preserve">（6）信用风险。基金所投资债券的发行人如出现违约、无法支付到期本息，或由于债券发行人信用等级降低导致债券价格下降，将造成基金资产损失。 </w:t>
      </w:r>
    </w:p>
    <w:p>
      <w:pPr>
        <w:pStyle w:val="7"/>
        <w:spacing w:before="0" w:beforeAutospacing="0" w:after="0" w:afterAutospacing="0" w:line="360" w:lineRule="auto"/>
        <w:ind w:firstLine="420"/>
        <w:rPr>
          <w:sz w:val="21"/>
          <w:szCs w:val="21"/>
        </w:rPr>
      </w:pPr>
      <w:r>
        <w:rPr>
          <w:rFonts w:hint="eastAsia"/>
          <w:sz w:val="21"/>
          <w:szCs w:val="21"/>
        </w:rPr>
        <w:t xml:space="preserve">（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 </w:t>
      </w:r>
    </w:p>
    <w:p>
      <w:pPr>
        <w:pStyle w:val="7"/>
        <w:spacing w:before="0" w:beforeAutospacing="0" w:after="0" w:afterAutospacing="0" w:line="360" w:lineRule="auto"/>
        <w:ind w:firstLine="420"/>
        <w:rPr>
          <w:sz w:val="21"/>
          <w:szCs w:val="21"/>
        </w:rPr>
      </w:pPr>
      <w:r>
        <w:rPr>
          <w:rFonts w:hint="eastAsia"/>
          <w:sz w:val="21"/>
          <w:szCs w:val="21"/>
        </w:rPr>
        <w:t xml:space="preserve">2、管理风险 </w:t>
      </w:r>
    </w:p>
    <w:p>
      <w:pPr>
        <w:pStyle w:val="7"/>
        <w:spacing w:before="0" w:beforeAutospacing="0" w:after="0" w:afterAutospacing="0" w:line="360" w:lineRule="auto"/>
        <w:ind w:firstLine="420"/>
        <w:rPr>
          <w:sz w:val="21"/>
          <w:szCs w:val="21"/>
        </w:rPr>
      </w:pPr>
      <w:r>
        <w:rPr>
          <w:rFonts w:hint="eastAsia"/>
          <w:sz w:val="21"/>
          <w:szCs w:val="21"/>
        </w:rPr>
        <w:t xml:space="preserve">基金运作过程中由于基金投资策略、人为因素、管理系统设置不当造成操作失误或基金管理人内部失控而可能产生的损失。管理风险包括： </w:t>
      </w:r>
    </w:p>
    <w:p>
      <w:pPr>
        <w:pStyle w:val="7"/>
        <w:spacing w:before="0" w:beforeAutospacing="0" w:after="0" w:afterAutospacing="0" w:line="360" w:lineRule="auto"/>
        <w:ind w:firstLine="420"/>
        <w:rPr>
          <w:sz w:val="21"/>
          <w:szCs w:val="21"/>
        </w:rPr>
      </w:pPr>
      <w:r>
        <w:rPr>
          <w:rFonts w:hint="eastAsia"/>
          <w:sz w:val="21"/>
          <w:szCs w:val="21"/>
        </w:rPr>
        <w:t xml:space="preserve">（1）决策风险：指基金投资的投资策略制定、投资决策执行和投资绩效监督检查过程中，由于决策失误而给基金资产造成的可能的损失； </w:t>
      </w:r>
    </w:p>
    <w:p>
      <w:pPr>
        <w:pStyle w:val="7"/>
        <w:spacing w:before="0" w:beforeAutospacing="0" w:after="0" w:afterAutospacing="0" w:line="360" w:lineRule="auto"/>
        <w:ind w:firstLine="420"/>
        <w:rPr>
          <w:sz w:val="21"/>
          <w:szCs w:val="21"/>
        </w:rPr>
      </w:pPr>
      <w:r>
        <w:rPr>
          <w:rFonts w:hint="eastAsia"/>
          <w:sz w:val="21"/>
          <w:szCs w:val="21"/>
        </w:rPr>
        <w:t xml:space="preserve">（2）操作风险：指基金投资决策执行中，由于投资指令不明晰、交易操作失误等人为因素而可能导致的损失； </w:t>
      </w:r>
    </w:p>
    <w:p>
      <w:pPr>
        <w:pStyle w:val="7"/>
        <w:spacing w:before="0" w:beforeAutospacing="0" w:after="0" w:afterAutospacing="0" w:line="360" w:lineRule="auto"/>
        <w:ind w:firstLine="420"/>
        <w:rPr>
          <w:sz w:val="21"/>
          <w:szCs w:val="21"/>
        </w:rPr>
      </w:pPr>
      <w:r>
        <w:rPr>
          <w:rFonts w:hint="eastAsia"/>
          <w:sz w:val="21"/>
          <w:szCs w:val="21"/>
        </w:rPr>
        <w:t xml:space="preserve">（3）技术风险：是指基金管理人管理信息系统设置不当等因素而可能造成的损失。 </w:t>
      </w:r>
    </w:p>
    <w:p>
      <w:pPr>
        <w:pStyle w:val="7"/>
        <w:spacing w:before="0" w:beforeAutospacing="0" w:after="0" w:afterAutospacing="0" w:line="360" w:lineRule="auto"/>
        <w:ind w:firstLine="420"/>
        <w:rPr>
          <w:sz w:val="21"/>
          <w:szCs w:val="21"/>
        </w:rPr>
      </w:pPr>
      <w:r>
        <w:rPr>
          <w:rFonts w:hint="eastAsia"/>
          <w:sz w:val="21"/>
          <w:szCs w:val="21"/>
        </w:rPr>
        <w:t xml:space="preserve">3、流动性风险 </w:t>
      </w:r>
    </w:p>
    <w:p>
      <w:pPr>
        <w:pStyle w:val="7"/>
        <w:spacing w:before="0" w:beforeAutospacing="0" w:after="0" w:afterAutospacing="0" w:line="360" w:lineRule="auto"/>
        <w:ind w:firstLine="420"/>
        <w:rPr>
          <w:sz w:val="21"/>
          <w:szCs w:val="21"/>
        </w:rPr>
      </w:pPr>
      <w:r>
        <w:rPr>
          <w:rFonts w:hint="eastAsia"/>
          <w:sz w:val="21"/>
          <w:szCs w:val="21"/>
        </w:rPr>
        <w:t xml:space="preserve">在开放式基金交易过程中，可能会发生巨额赎回的情形。巨额赎回可能会产生基金仓位调整的困难，导致流动性风险，甚至影响基金份额净值。 </w:t>
      </w:r>
    </w:p>
    <w:p>
      <w:pPr>
        <w:pStyle w:val="7"/>
        <w:spacing w:before="0" w:beforeAutospacing="0" w:after="0" w:afterAutospacing="0" w:line="360" w:lineRule="auto"/>
        <w:ind w:firstLine="420"/>
        <w:rPr>
          <w:sz w:val="21"/>
          <w:szCs w:val="21"/>
        </w:rPr>
      </w:pPr>
      <w:r>
        <w:rPr>
          <w:rFonts w:hint="eastAsia"/>
          <w:sz w:val="21"/>
          <w:szCs w:val="21"/>
        </w:rPr>
        <w:t xml:space="preserve">（1）拟投资市场、行业及资产的流动性风险评估 </w:t>
      </w:r>
    </w:p>
    <w:p>
      <w:pPr>
        <w:pStyle w:val="7"/>
        <w:spacing w:before="0" w:beforeAutospacing="0" w:after="0" w:afterAutospacing="0" w:line="360" w:lineRule="auto"/>
        <w:ind w:firstLine="420"/>
        <w:rPr>
          <w:sz w:val="21"/>
          <w:szCs w:val="21"/>
        </w:rPr>
      </w:pPr>
      <w:r>
        <w:rPr>
          <w:rFonts w:hint="eastAsia"/>
          <w:sz w:val="21"/>
          <w:szCs w:val="21"/>
        </w:rPr>
        <w:t xml:space="preserve">本基金投资对象是具有良好流动性的金融工具，包括目标ETF、国内依法发行上市的股票、权证、股指期货、期权、债券、货币市场工具、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综合评估在正常市场环境下本基金的流动性风险适中。 </w:t>
      </w:r>
    </w:p>
    <w:p>
      <w:pPr>
        <w:pStyle w:val="7"/>
        <w:spacing w:before="0" w:beforeAutospacing="0" w:after="0" w:afterAutospacing="0" w:line="360" w:lineRule="auto"/>
        <w:ind w:firstLine="420"/>
        <w:rPr>
          <w:sz w:val="21"/>
          <w:szCs w:val="21"/>
        </w:rPr>
      </w:pPr>
      <w:r>
        <w:rPr>
          <w:rFonts w:hint="eastAsia"/>
          <w:sz w:val="21"/>
          <w:szCs w:val="21"/>
        </w:rPr>
        <w:t xml:space="preserve">（2）实施备用的流动性风险管理工具的情形、程序及对投资者的潜在影响 </w:t>
      </w:r>
    </w:p>
    <w:p>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7"/>
        <w:spacing w:before="0" w:beforeAutospacing="0" w:after="0" w:afterAutospacing="0" w:line="360" w:lineRule="auto"/>
        <w:ind w:firstLine="420"/>
        <w:rPr>
          <w:sz w:val="21"/>
          <w:szCs w:val="21"/>
        </w:rPr>
      </w:pPr>
      <w:r>
        <w:rPr>
          <w:rFonts w:hint="eastAsia"/>
          <w:sz w:val="21"/>
          <w:szCs w:val="21"/>
        </w:rPr>
        <w:t xml:space="preserve">本基金基于客户集中度控制和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 xml:space="preserve">（4）基金申购、赎回安排 </w:t>
      </w:r>
    </w:p>
    <w:p>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 xml:space="preserve">4、合规性风险 </w:t>
      </w:r>
    </w:p>
    <w:p>
      <w:pPr>
        <w:pStyle w:val="7"/>
        <w:spacing w:before="0" w:beforeAutospacing="0" w:after="0" w:afterAutospacing="0" w:line="360" w:lineRule="auto"/>
        <w:ind w:firstLine="420"/>
        <w:rPr>
          <w:sz w:val="21"/>
          <w:szCs w:val="21"/>
        </w:rPr>
      </w:pPr>
      <w:r>
        <w:rPr>
          <w:rFonts w:hint="eastAsia"/>
          <w:sz w:val="21"/>
          <w:szCs w:val="21"/>
        </w:rPr>
        <w:t xml:space="preserve">指基金管理或运作过程中，违反国家法律、法规的规定，或者基金投资违反法规及基金合同有关规定的风险。 </w:t>
      </w:r>
    </w:p>
    <w:p>
      <w:pPr>
        <w:pStyle w:val="7"/>
        <w:spacing w:before="0" w:beforeAutospacing="0" w:after="0" w:afterAutospacing="0" w:line="360" w:lineRule="auto"/>
        <w:ind w:firstLine="420"/>
        <w:rPr>
          <w:sz w:val="21"/>
          <w:szCs w:val="21"/>
        </w:rPr>
      </w:pPr>
      <w:r>
        <w:rPr>
          <w:rStyle w:val="11"/>
          <w:rFonts w:hint="eastAsia"/>
          <w:sz w:val="21"/>
          <w:szCs w:val="21"/>
        </w:rPr>
        <w:t>二、本基金特有的风险</w:t>
      </w:r>
    </w:p>
    <w:p>
      <w:pPr>
        <w:pStyle w:val="7"/>
        <w:spacing w:before="0" w:beforeAutospacing="0" w:after="0" w:afterAutospacing="0" w:line="360" w:lineRule="auto"/>
        <w:ind w:firstLine="420"/>
        <w:rPr>
          <w:sz w:val="21"/>
          <w:szCs w:val="21"/>
        </w:rPr>
      </w:pPr>
      <w:r>
        <w:rPr>
          <w:rFonts w:hint="eastAsia"/>
          <w:sz w:val="21"/>
          <w:szCs w:val="21"/>
        </w:rPr>
        <w:t xml:space="preserve">1、标的指数的风险：即标的指数因为编制方法的缺陷有可能导致标的指数的表现与总体市场表现存在差异，因标的指数编制方法的不成熟也可能导致指数调整较大，增加基金投资成本，并有可能因此而增加跟踪误差，影响投资收益。 </w:t>
      </w:r>
    </w:p>
    <w:p>
      <w:pPr>
        <w:pStyle w:val="7"/>
        <w:spacing w:before="0" w:beforeAutospacing="0" w:after="0" w:afterAutospacing="0" w:line="360" w:lineRule="auto"/>
        <w:ind w:firstLine="420"/>
        <w:rPr>
          <w:sz w:val="21"/>
          <w:szCs w:val="21"/>
        </w:rPr>
      </w:pPr>
      <w:r>
        <w:rPr>
          <w:rFonts w:hint="eastAsia"/>
          <w:sz w:val="21"/>
          <w:szCs w:val="21"/>
        </w:rPr>
        <w:t xml:space="preserve">2、标的指数波动的风险：标的指数成份股的价格可能受到政治因素、经济因素、上市公司状况、投资人心理和交易制度等各种因素的影响而波动，导致指数波动，从而使基金收益水平发生变化，产生风险。 </w:t>
      </w:r>
    </w:p>
    <w:p>
      <w:pPr>
        <w:pStyle w:val="7"/>
        <w:spacing w:before="0" w:beforeAutospacing="0" w:after="0" w:afterAutospacing="0" w:line="360" w:lineRule="auto"/>
        <w:ind w:firstLine="420"/>
        <w:rPr>
          <w:sz w:val="21"/>
          <w:szCs w:val="21"/>
        </w:rPr>
      </w:pPr>
      <w:r>
        <w:rPr>
          <w:rFonts w:hint="eastAsia"/>
          <w:sz w:val="21"/>
          <w:szCs w:val="21"/>
        </w:rPr>
        <w:t xml:space="preserve">3、标的指数变更的风险 </w:t>
      </w:r>
    </w:p>
    <w:p>
      <w:pPr>
        <w:pStyle w:val="7"/>
        <w:spacing w:before="0" w:beforeAutospacing="0" w:after="0" w:afterAutospacing="0" w:line="360" w:lineRule="auto"/>
        <w:ind w:firstLine="420"/>
        <w:rPr>
          <w:sz w:val="21"/>
          <w:szCs w:val="21"/>
        </w:rPr>
      </w:pPr>
      <w:r>
        <w:rPr>
          <w:rFonts w:hint="eastAsia"/>
          <w:sz w:val="21"/>
          <w:szCs w:val="21"/>
        </w:rPr>
        <w:t xml:space="preserve">根据基金合同的规定，因标的指数的编制与发布等原因，导致原标的指数不宜继续作为本基金的投资标的指数及业绩比较基准，本基金可能变更标的指数，基金的投资组合随之调整，基金收益风险特征可能发生变化，投资人需承担投资组合调整所带来的风险与成本。 </w:t>
      </w:r>
    </w:p>
    <w:p>
      <w:pPr>
        <w:pStyle w:val="7"/>
        <w:spacing w:before="0" w:beforeAutospacing="0" w:after="0" w:afterAutospacing="0" w:line="360" w:lineRule="auto"/>
        <w:ind w:firstLine="420"/>
        <w:rPr>
          <w:sz w:val="21"/>
          <w:szCs w:val="21"/>
        </w:rPr>
      </w:pPr>
      <w:r>
        <w:rPr>
          <w:rFonts w:hint="eastAsia"/>
          <w:sz w:val="21"/>
          <w:szCs w:val="21"/>
        </w:rPr>
        <w:t xml:space="preserve">4、指数编制机构停止服务的风险 </w:t>
      </w:r>
    </w:p>
    <w:p>
      <w:pPr>
        <w:pStyle w:val="7"/>
        <w:spacing w:before="0" w:beforeAutospacing="0" w:after="0" w:afterAutospacing="0" w:line="360" w:lineRule="auto"/>
        <w:ind w:firstLine="420"/>
        <w:rPr>
          <w:sz w:val="21"/>
          <w:szCs w:val="21"/>
        </w:rPr>
      </w:pPr>
      <w:r>
        <w:rPr>
          <w:rFonts w:hint="eastAsia"/>
          <w:sz w:val="21"/>
          <w:szCs w:val="21"/>
        </w:rPr>
        <w:t xml:space="preserve">本基金的标的指数由指数编制机构发布并管理和维护，未来指数编制机构可能由于各种原因停止对指数的管理和维护，本基金将根据基金合同的约定自该情形发生之日起十个工作日向中国证监会报告并提出解决方案，如更换基金标的指数、转换运作方式，与其他基金合并、或者终止基金合同等，并在6个月内召集基金份额持有人大会进行表决。因此，投资人将面临更换基金标的指数、转换运作方式，与其他基金合并、或者终止基金合同等风险。 </w:t>
      </w:r>
    </w:p>
    <w:p>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  </w:t>
      </w:r>
    </w:p>
    <w:p>
      <w:pPr>
        <w:pStyle w:val="7"/>
        <w:spacing w:before="0" w:beforeAutospacing="0" w:after="0" w:afterAutospacing="0" w:line="360" w:lineRule="auto"/>
        <w:ind w:firstLine="420"/>
        <w:rPr>
          <w:sz w:val="21"/>
          <w:szCs w:val="21"/>
        </w:rPr>
      </w:pPr>
      <w:r>
        <w:rPr>
          <w:rFonts w:hint="eastAsia"/>
          <w:sz w:val="21"/>
          <w:szCs w:val="21"/>
        </w:rPr>
        <w:t xml:space="preserve">5、投资于目标ETF基金带来的风险 </w:t>
      </w:r>
    </w:p>
    <w:p>
      <w:pPr>
        <w:pStyle w:val="7"/>
        <w:spacing w:before="0" w:beforeAutospacing="0" w:after="0" w:afterAutospacing="0" w:line="360" w:lineRule="auto"/>
        <w:ind w:firstLine="420"/>
        <w:rPr>
          <w:sz w:val="21"/>
          <w:szCs w:val="21"/>
        </w:rPr>
      </w:pPr>
      <w:r>
        <w:rPr>
          <w:rFonts w:hint="eastAsia"/>
          <w:sz w:val="21"/>
          <w:szCs w:val="21"/>
        </w:rPr>
        <w:t xml:space="preserve">由于主要投资于目标ETF，所以本基金会面临诸如目标ETF的管理风险与操作风险、目标ETF基金份额二级市场交易价格折溢价的风险、目标ETF的技术风险等风险。 </w:t>
      </w:r>
    </w:p>
    <w:p>
      <w:pPr>
        <w:pStyle w:val="7"/>
        <w:spacing w:before="0" w:beforeAutospacing="0" w:after="0" w:afterAutospacing="0" w:line="360" w:lineRule="auto"/>
        <w:ind w:firstLine="420"/>
        <w:rPr>
          <w:sz w:val="21"/>
          <w:szCs w:val="21"/>
        </w:rPr>
      </w:pPr>
      <w:r>
        <w:rPr>
          <w:rFonts w:hint="eastAsia"/>
          <w:sz w:val="21"/>
          <w:szCs w:val="21"/>
        </w:rPr>
        <w:t xml:space="preserve">6、期权风险： </w:t>
      </w:r>
    </w:p>
    <w:p>
      <w:pPr>
        <w:pStyle w:val="7"/>
        <w:spacing w:before="0" w:beforeAutospacing="0" w:after="0" w:afterAutospacing="0" w:line="360" w:lineRule="auto"/>
        <w:ind w:firstLine="420"/>
        <w:rPr>
          <w:sz w:val="21"/>
          <w:szCs w:val="21"/>
        </w:rPr>
      </w:pPr>
      <w:r>
        <w:rPr>
          <w:rFonts w:hint="eastAsia"/>
          <w:sz w:val="21"/>
          <w:szCs w:val="21"/>
        </w:rPr>
        <w:t xml:space="preserve">流动性风险：由于期权合约众多，交易较为分散，期权市场的流动性一般较期货市场要低，尤其是深度实值和虚值的期权，成交量稀少，持有这些期权的投资者容易遇到无法成交、平仓出局的局面。 </w:t>
      </w:r>
    </w:p>
    <w:p>
      <w:pPr>
        <w:pStyle w:val="7"/>
        <w:spacing w:before="0" w:beforeAutospacing="0" w:after="0" w:afterAutospacing="0" w:line="360" w:lineRule="auto"/>
        <w:ind w:firstLine="420"/>
        <w:rPr>
          <w:sz w:val="21"/>
          <w:szCs w:val="21"/>
        </w:rPr>
      </w:pPr>
      <w:r>
        <w:rPr>
          <w:rFonts w:hint="eastAsia"/>
          <w:sz w:val="21"/>
          <w:szCs w:val="21"/>
        </w:rPr>
        <w:t xml:space="preserve">价格风险：期权买方的价格风险即为他所付出的权利金，风险具有确定性。期权卖方的价格风险不定，不过其所收取的权利金可以提供相应保护，当发生亏损时，可以抵消部分损失。 </w:t>
      </w:r>
    </w:p>
    <w:p>
      <w:pPr>
        <w:pStyle w:val="7"/>
        <w:spacing w:before="0" w:beforeAutospacing="0" w:after="0" w:afterAutospacing="0" w:line="360" w:lineRule="auto"/>
        <w:ind w:firstLine="420"/>
        <w:rPr>
          <w:sz w:val="21"/>
          <w:szCs w:val="21"/>
        </w:rPr>
      </w:pPr>
      <w:r>
        <w:rPr>
          <w:rFonts w:hint="eastAsia"/>
          <w:sz w:val="21"/>
          <w:szCs w:val="21"/>
        </w:rPr>
        <w:t xml:space="preserve">操作风险：操作风险是指由于管理不善或者制度执行出现问题等原因所导致的风险。期权作为一种衍生品，虽然可以用来管理风险，但若使用不当，也会产生巨额损失。 </w:t>
      </w:r>
    </w:p>
    <w:p>
      <w:pPr>
        <w:pStyle w:val="7"/>
        <w:spacing w:before="0" w:beforeAutospacing="0" w:after="0" w:afterAutospacing="0" w:line="360" w:lineRule="auto"/>
        <w:ind w:firstLine="420"/>
        <w:rPr>
          <w:sz w:val="21"/>
          <w:szCs w:val="21"/>
        </w:rPr>
      </w:pPr>
      <w:r>
        <w:rPr>
          <w:rFonts w:hint="eastAsia"/>
          <w:sz w:val="21"/>
          <w:szCs w:val="21"/>
        </w:rPr>
        <w:t xml:space="preserve">7、投资于资产支持证券的风险 </w:t>
      </w:r>
    </w:p>
    <w:p>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pPr>
        <w:pStyle w:val="7"/>
        <w:spacing w:before="0" w:beforeAutospacing="0" w:after="0" w:afterAutospacing="0" w:line="360" w:lineRule="auto"/>
        <w:ind w:firstLine="420"/>
        <w:rPr>
          <w:sz w:val="21"/>
          <w:szCs w:val="21"/>
        </w:rPr>
      </w:pPr>
      <w:r>
        <w:rPr>
          <w:rFonts w:hint="eastAsia"/>
          <w:sz w:val="21"/>
          <w:szCs w:val="21"/>
        </w:rPr>
        <w:t xml:space="preserve">8、投资股指期货的风险 </w:t>
      </w:r>
    </w:p>
    <w:p>
      <w:pPr>
        <w:pStyle w:val="7"/>
        <w:spacing w:before="0" w:beforeAutospacing="0" w:after="0" w:afterAutospacing="0" w:line="360" w:lineRule="auto"/>
        <w:ind w:firstLine="420"/>
        <w:rPr>
          <w:sz w:val="21"/>
          <w:szCs w:val="21"/>
        </w:rPr>
      </w:pPr>
      <w:r>
        <w:rPr>
          <w:rFonts w:hint="eastAsia"/>
          <w:sz w:val="21"/>
          <w:szCs w:val="21"/>
        </w:rPr>
        <w:t xml:space="preserve">本基金可投资于股指期货，股指期货作为一种金融衍生品，主要存在以下风险： </w:t>
      </w:r>
    </w:p>
    <w:p>
      <w:pPr>
        <w:pStyle w:val="7"/>
        <w:spacing w:before="0" w:beforeAutospacing="0" w:after="0" w:afterAutospacing="0" w:line="360" w:lineRule="auto"/>
        <w:ind w:firstLine="420"/>
        <w:rPr>
          <w:sz w:val="21"/>
          <w:szCs w:val="21"/>
        </w:rPr>
      </w:pPr>
      <w:r>
        <w:rPr>
          <w:rFonts w:hint="eastAsia"/>
          <w:sz w:val="21"/>
          <w:szCs w:val="21"/>
        </w:rPr>
        <w:t xml:space="preserve">1）市场风险：是指由于股指期货价格变动而给投资人带来的风险。 </w:t>
      </w:r>
    </w:p>
    <w:p>
      <w:pPr>
        <w:pStyle w:val="7"/>
        <w:spacing w:before="0" w:beforeAutospacing="0" w:after="0" w:afterAutospacing="0" w:line="360" w:lineRule="auto"/>
        <w:ind w:firstLine="420"/>
        <w:rPr>
          <w:sz w:val="21"/>
          <w:szCs w:val="21"/>
        </w:rPr>
      </w:pPr>
      <w:r>
        <w:rPr>
          <w:rFonts w:hint="eastAsia"/>
          <w:sz w:val="21"/>
          <w:szCs w:val="21"/>
        </w:rPr>
        <w:t xml:space="preserve">2）流动性风险：是指由于股指期货合约无法及时变现所带来的风险。 </w:t>
      </w:r>
    </w:p>
    <w:p>
      <w:pPr>
        <w:pStyle w:val="7"/>
        <w:spacing w:before="0" w:beforeAutospacing="0" w:after="0" w:afterAutospacing="0" w:line="360" w:lineRule="auto"/>
        <w:ind w:firstLine="420"/>
        <w:rPr>
          <w:sz w:val="21"/>
          <w:szCs w:val="21"/>
        </w:rPr>
      </w:pPr>
      <w:r>
        <w:rPr>
          <w:rFonts w:hint="eastAsia"/>
          <w:sz w:val="21"/>
          <w:szCs w:val="21"/>
        </w:rPr>
        <w:t xml:space="preserve">3）基差风险：是指股指期货合约价格和标的指数价格之间的价格差的波动所造成的风险。 </w:t>
      </w:r>
    </w:p>
    <w:p>
      <w:pPr>
        <w:pStyle w:val="7"/>
        <w:spacing w:before="0" w:beforeAutospacing="0" w:after="0" w:afterAutospacing="0" w:line="360" w:lineRule="auto"/>
        <w:ind w:firstLine="420"/>
        <w:rPr>
          <w:sz w:val="21"/>
          <w:szCs w:val="21"/>
        </w:rPr>
      </w:pPr>
      <w:r>
        <w:rPr>
          <w:rFonts w:hint="eastAsia"/>
          <w:sz w:val="21"/>
          <w:szCs w:val="21"/>
        </w:rPr>
        <w:t xml:space="preserve">4）保证金风险：是指由于无法及时筹措资金满足建立或者维持股指期货合约头寸所要求的保证金而带来的风险。 </w:t>
      </w:r>
    </w:p>
    <w:p>
      <w:pPr>
        <w:pStyle w:val="7"/>
        <w:spacing w:before="0" w:beforeAutospacing="0" w:after="0" w:afterAutospacing="0" w:line="360" w:lineRule="auto"/>
        <w:ind w:firstLine="420"/>
        <w:rPr>
          <w:sz w:val="21"/>
          <w:szCs w:val="21"/>
        </w:rPr>
      </w:pPr>
      <w:r>
        <w:rPr>
          <w:rFonts w:hint="eastAsia"/>
          <w:sz w:val="21"/>
          <w:szCs w:val="21"/>
        </w:rPr>
        <w:t xml:space="preserve">5）杠杆风险：因股指期货采用保证金交易而存在杠杆，基金财产可能因此产生更大的收益波动。 </w:t>
      </w:r>
    </w:p>
    <w:p>
      <w:pPr>
        <w:pStyle w:val="7"/>
        <w:spacing w:before="0" w:beforeAutospacing="0" w:after="0" w:afterAutospacing="0" w:line="360" w:lineRule="auto"/>
        <w:ind w:firstLine="420"/>
        <w:rPr>
          <w:sz w:val="21"/>
          <w:szCs w:val="21"/>
        </w:rPr>
      </w:pPr>
      <w:r>
        <w:rPr>
          <w:rFonts w:hint="eastAsia"/>
          <w:sz w:val="21"/>
          <w:szCs w:val="21"/>
        </w:rPr>
        <w:t xml:space="preserve">6）信用风险：是指期货经纪公司违约而产生损失的风险。 </w:t>
      </w:r>
    </w:p>
    <w:p>
      <w:pPr>
        <w:pStyle w:val="7"/>
        <w:spacing w:before="0" w:beforeAutospacing="0" w:after="0" w:afterAutospacing="0" w:line="360" w:lineRule="auto"/>
        <w:ind w:firstLine="420"/>
        <w:rPr>
          <w:sz w:val="21"/>
          <w:szCs w:val="21"/>
        </w:rPr>
      </w:pPr>
      <w:r>
        <w:rPr>
          <w:rFonts w:hint="eastAsia"/>
          <w:sz w:val="21"/>
          <w:szCs w:val="21"/>
        </w:rPr>
        <w:t xml:space="preserve">7）操作风险：是指由于内部流程的不完善，业务人员出现差错或者疏漏，或者系统出现故障等原因造成损失的风险。 </w:t>
      </w:r>
    </w:p>
    <w:p>
      <w:pPr>
        <w:pStyle w:val="7"/>
        <w:spacing w:before="0" w:beforeAutospacing="0" w:after="0" w:afterAutospacing="0" w:line="360" w:lineRule="auto"/>
        <w:ind w:firstLine="420"/>
        <w:rPr>
          <w:sz w:val="21"/>
          <w:szCs w:val="21"/>
        </w:rPr>
      </w:pPr>
      <w:r>
        <w:rPr>
          <w:rFonts w:hint="eastAsia"/>
          <w:sz w:val="21"/>
          <w:szCs w:val="21"/>
        </w:rPr>
        <w:t xml:space="preserve">9、投资于存托凭证的风险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7"/>
        <w:spacing w:before="0" w:beforeAutospacing="0" w:after="0" w:afterAutospacing="0" w:line="360" w:lineRule="auto"/>
        <w:ind w:firstLine="420"/>
        <w:rPr>
          <w:sz w:val="21"/>
          <w:szCs w:val="21"/>
        </w:rPr>
      </w:pPr>
      <w:r>
        <w:rPr>
          <w:rStyle w:val="11"/>
          <w:rFonts w:hint="eastAsia"/>
          <w:sz w:val="21"/>
          <w:szCs w:val="21"/>
        </w:rPr>
        <w:t>三、其他风险</w:t>
      </w:r>
    </w:p>
    <w:p>
      <w:pPr>
        <w:pStyle w:val="7"/>
        <w:spacing w:before="0" w:beforeAutospacing="0" w:after="0" w:afterAutospacing="0" w:line="360" w:lineRule="auto"/>
        <w:ind w:firstLine="420"/>
        <w:rPr>
          <w:sz w:val="21"/>
          <w:szCs w:val="21"/>
        </w:rPr>
      </w:pPr>
      <w:r>
        <w:rPr>
          <w:rFonts w:hint="eastAsia"/>
          <w:sz w:val="21"/>
          <w:szCs w:val="21"/>
        </w:rPr>
        <w:t xml:space="preserve">1、因技术因素而产生的风险，如电脑系统不可靠产生的风险； </w:t>
      </w:r>
    </w:p>
    <w:p>
      <w:pPr>
        <w:pStyle w:val="7"/>
        <w:spacing w:before="0" w:beforeAutospacing="0" w:after="0" w:afterAutospacing="0" w:line="360" w:lineRule="auto"/>
        <w:ind w:firstLine="420"/>
        <w:rPr>
          <w:sz w:val="21"/>
          <w:szCs w:val="21"/>
        </w:rPr>
      </w:pPr>
      <w:r>
        <w:rPr>
          <w:rFonts w:hint="eastAsia"/>
          <w:sz w:val="21"/>
          <w:szCs w:val="21"/>
        </w:rPr>
        <w:t xml:space="preserve">2、因业务快速发展而在制度建设、人员配备、内控制度建立等不完善而产生的风险； </w:t>
      </w:r>
    </w:p>
    <w:p>
      <w:pPr>
        <w:pStyle w:val="7"/>
        <w:spacing w:before="0" w:beforeAutospacing="0" w:after="0" w:afterAutospacing="0" w:line="360" w:lineRule="auto"/>
        <w:ind w:firstLine="420"/>
        <w:rPr>
          <w:sz w:val="21"/>
          <w:szCs w:val="21"/>
        </w:rPr>
      </w:pPr>
      <w:r>
        <w:rPr>
          <w:rFonts w:hint="eastAsia"/>
          <w:sz w:val="21"/>
          <w:szCs w:val="21"/>
        </w:rPr>
        <w:t xml:space="preserve">3、因人为因素而产生的风险、如内幕交易、欺诈行为等产生的风险； </w:t>
      </w:r>
    </w:p>
    <w:p>
      <w:pPr>
        <w:pStyle w:val="7"/>
        <w:spacing w:before="0" w:beforeAutospacing="0" w:after="0" w:afterAutospacing="0" w:line="360" w:lineRule="auto"/>
        <w:ind w:firstLine="420"/>
        <w:rPr>
          <w:sz w:val="21"/>
          <w:szCs w:val="21"/>
        </w:rPr>
      </w:pPr>
      <w:r>
        <w:rPr>
          <w:rFonts w:hint="eastAsia"/>
          <w:sz w:val="21"/>
          <w:szCs w:val="21"/>
        </w:rPr>
        <w:t xml:space="preserve">4、对主要业务人员如基金经理的依赖而可能产生的风险； </w:t>
      </w:r>
    </w:p>
    <w:p>
      <w:pPr>
        <w:pStyle w:val="7"/>
        <w:spacing w:before="0" w:beforeAutospacing="0" w:after="0" w:afterAutospacing="0" w:line="360" w:lineRule="auto"/>
        <w:ind w:firstLine="420"/>
        <w:rPr>
          <w:sz w:val="21"/>
          <w:szCs w:val="21"/>
        </w:rPr>
      </w:pPr>
      <w:r>
        <w:rPr>
          <w:rFonts w:hint="eastAsia"/>
          <w:sz w:val="21"/>
          <w:szCs w:val="21"/>
        </w:rPr>
        <w:t xml:space="preserve">5、因业务竞争压力可能产生的风险； </w:t>
      </w:r>
    </w:p>
    <w:p>
      <w:pPr>
        <w:pStyle w:val="7"/>
        <w:spacing w:before="0" w:beforeAutospacing="0" w:after="0" w:afterAutospacing="0" w:line="360" w:lineRule="auto"/>
        <w:ind w:firstLine="420"/>
        <w:rPr>
          <w:sz w:val="21"/>
          <w:szCs w:val="21"/>
        </w:rPr>
      </w:pPr>
      <w:r>
        <w:rPr>
          <w:rFonts w:hint="eastAsia"/>
          <w:sz w:val="21"/>
          <w:szCs w:val="21"/>
        </w:rPr>
        <w:t xml:space="preserve">6、不可抗力可能导致基金资产的损失，影响基金收益水平，从而带来风险； </w:t>
      </w:r>
    </w:p>
    <w:p>
      <w:pPr>
        <w:pStyle w:val="7"/>
        <w:spacing w:before="0" w:beforeAutospacing="0" w:after="0" w:afterAutospacing="0" w:line="360" w:lineRule="auto"/>
        <w:ind w:firstLine="420"/>
        <w:rPr>
          <w:sz w:val="21"/>
          <w:szCs w:val="21"/>
        </w:rPr>
      </w:pPr>
      <w:r>
        <w:rPr>
          <w:rFonts w:hint="eastAsia"/>
          <w:sz w:val="21"/>
          <w:szCs w:val="21"/>
        </w:rPr>
        <w:t xml:space="preserve">7、其他意外导致的风险。 </w:t>
      </w:r>
    </w:p>
    <w:p>
      <w:pPr>
        <w:pStyle w:val="7"/>
        <w:spacing w:before="0" w:beforeAutospacing="0" w:after="0" w:afterAutospacing="0" w:line="360" w:lineRule="auto"/>
        <w:ind w:firstLine="420"/>
        <w:rPr>
          <w:sz w:val="21"/>
          <w:szCs w:val="21"/>
        </w:rPr>
      </w:pPr>
      <w:r>
        <w:rPr>
          <w:rStyle w:val="11"/>
          <w:rFonts w:hint="eastAsia"/>
          <w:sz w:val="21"/>
          <w:szCs w:val="21"/>
        </w:rPr>
        <w:t>四、本基金法律文件风险收益特征表述与销售机构基金风险评价可能不一致的风险</w:t>
      </w:r>
    </w:p>
    <w:p>
      <w:pPr>
        <w:pStyle w:val="7"/>
        <w:spacing w:before="0" w:beforeAutospacing="0" w:after="0" w:afterAutospacing="0" w:line="360" w:lineRule="auto"/>
        <w:ind w:firstLine="420"/>
        <w:rPr>
          <w:sz w:val="21"/>
          <w:szCs w:val="21"/>
        </w:rPr>
      </w:pPr>
      <w:r>
        <w:rPr>
          <w:rFonts w:hint="eastAsia"/>
          <w:sz w:val="21"/>
          <w:szCs w:val="21"/>
        </w:rPr>
        <w:t xml:space="preserve">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之间的匹配检验。 </w:t>
      </w:r>
    </w:p>
    <w:p>
      <w:pPr>
        <w:pStyle w:val="7"/>
        <w:spacing w:before="0" w:beforeAutospacing="0" w:after="0" w:afterAutospacing="0" w:line="360" w:lineRule="auto"/>
        <w:ind w:firstLine="420"/>
        <w:rPr>
          <w:sz w:val="21"/>
          <w:szCs w:val="21"/>
        </w:rPr>
      </w:pPr>
      <w:r>
        <w:rPr>
          <w:rStyle w:val="11"/>
          <w:rFonts w:hint="eastAsia"/>
          <w:sz w:val="21"/>
          <w:szCs w:val="21"/>
        </w:rPr>
        <w:t>五、声明</w:t>
      </w:r>
    </w:p>
    <w:p>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65" w:name="chapter_level1_19_68_section_1_end"/>
      <w:bookmarkEnd w:id="165"/>
      <w:r>
        <w:rPr>
          <w:rFonts w:hint="eastAsia"/>
          <w:sz w:val="21"/>
          <w:szCs w:val="21"/>
        </w:rPr>
        <w:t xml:space="preserve">金管理人与基金代销机构都不能保证其收益或本金安全。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6" w:name="chapter_level1_20_69"/>
      <w:bookmarkStart w:id="167" w:name="_Toc207979141"/>
      <w:r>
        <w:rPr>
          <w:rFonts w:hint="eastAsia" w:ascii="宋体" w:hAnsi="宋体" w:eastAsia="宋体"/>
          <w:sz w:val="30"/>
        </w:rPr>
        <w:t>第十七部分  基金合同的变更、终止与基金财产的清算</w:t>
      </w:r>
      <w:bookmarkEnd w:id="166"/>
      <w:bookmarkEnd w:id="167"/>
    </w:p>
    <w:p>
      <w:pPr>
        <w:pStyle w:val="7"/>
        <w:spacing w:before="0" w:beforeAutospacing="0" w:after="0" w:afterAutospacing="0" w:line="360" w:lineRule="auto"/>
        <w:ind w:firstLine="420"/>
        <w:rPr>
          <w:sz w:val="21"/>
          <w:szCs w:val="21"/>
        </w:rPr>
      </w:pPr>
      <w:bookmarkStart w:id="168" w:name="chapter_level1_20_69_section_1"/>
      <w:bookmarkEnd w:id="168"/>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2、关于《基金合同》变更的基金份额持有人大会决议自生效后方可执行，并自决议生效后按规定指定媒介公告。 </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bookmarkStart w:id="169" w:name="chapter_level1_20_69_section_1_end"/>
      <w:bookmarkEnd w:id="169"/>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0" w:name="chapter_level1_21_71"/>
      <w:bookmarkStart w:id="171" w:name="_Toc207979142"/>
      <w:r>
        <w:rPr>
          <w:rFonts w:hint="eastAsia" w:ascii="宋体" w:hAnsi="宋体" w:eastAsia="宋体"/>
          <w:sz w:val="30"/>
        </w:rPr>
        <w:t>第十八部分  基金合同的内容摘要</w:t>
      </w:r>
      <w:bookmarkEnd w:id="170"/>
      <w:bookmarkEnd w:id="171"/>
    </w:p>
    <w:p>
      <w:pPr>
        <w:pStyle w:val="7"/>
        <w:spacing w:before="0" w:beforeAutospacing="0" w:after="0" w:afterAutospacing="0" w:line="360" w:lineRule="auto"/>
        <w:ind w:firstLine="420"/>
        <w:rPr>
          <w:sz w:val="21"/>
          <w:szCs w:val="21"/>
        </w:rPr>
      </w:pPr>
      <w:bookmarkStart w:id="172" w:name="chapter_level1_21_71_section_1"/>
      <w:bookmarkEnd w:id="172"/>
      <w:r>
        <w:rPr>
          <w:rFonts w:hint="eastAsia"/>
          <w:b/>
          <w:bCs/>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   </w:t>
      </w:r>
    </w:p>
    <w:p>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sz w:val="21"/>
          <w:szCs w:val="21"/>
        </w:rPr>
      </w:pPr>
      <w:r>
        <w:rPr>
          <w:rFonts w:hint="eastAsia"/>
          <w:sz w:val="21"/>
          <w:szCs w:val="21"/>
        </w:rPr>
        <w:t xml:space="preserve">（4）销售基金份额；   </w:t>
      </w:r>
    </w:p>
    <w:p>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pPr>
        <w:pStyle w:val="7"/>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（15）在符合有关法律、法规的前提下，制订和调整有关基金申购、赎回、转换、定期定额投资和非交易过户等业务规则；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（25）建立并保存基金份额持有人名册；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（26）法律法规及中国证监会规定的和基金合同约定的其他义务。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（4）根据相关市场规则，为基金开设资金账户、证券账户等投资所需账户，为基金办理证券交易资金清算；   </w:t>
      </w:r>
    </w:p>
    <w:p>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sz w:val="21"/>
          <w:szCs w:val="21"/>
        </w:rPr>
      </w:pPr>
      <w:r>
        <w:rPr>
          <w:rFonts w:hint="eastAsia"/>
          <w:sz w:val="21"/>
          <w:szCs w:val="21"/>
        </w:rPr>
        <w:t xml:space="preserve">（4）除依据《基金法》、基金合同、《托管协议》及其他有关规定外，不得利用基金财产为自己及任何第三人谋取利益，不得委托第三人托管基金财产；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（6）按规定开设基金财产的资金账户、证券账户等投资所需账户，按照基金合同及《托管协议》的约定，根据基金管理人的投资指令，及时办理清算、交割事宜；   </w:t>
      </w:r>
    </w:p>
    <w:p>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（7）保守基金商业秘密，除《基金法》、基金合同、《托管协议》及其他有关规定另有规定外，在基金信息公开披露前予以保密，不得向他人泄露，因审计、法律等外部专业顾问提供的情况除外；   </w:t>
      </w:r>
    </w:p>
    <w:p>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及《托管协议》的规定进行；如果基金管理人有未执行基金合同及《托管协议》规定的行为，还应当说明基金托管人是否采取了适当的措施；   </w:t>
      </w:r>
    </w:p>
    <w:p>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（19）因违反基金合同及《托管协议》导致基金财产损失时，应承担赔偿责任，其赔偿责任不因其退任而免除；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7"/>
        <w:spacing w:before="0" w:beforeAutospacing="0" w:after="0" w:afterAutospacing="0" w:line="360" w:lineRule="auto"/>
        <w:ind w:firstLine="420"/>
        <w:rPr>
          <w:sz w:val="21"/>
          <w:szCs w:val="21"/>
        </w:rPr>
      </w:pPr>
      <w:r>
        <w:rPr>
          <w:rFonts w:hint="eastAsia"/>
          <w:sz w:val="21"/>
          <w:szCs w:val="21"/>
        </w:rPr>
        <w:t xml:space="preserve">同一类别每份基金份额具有同等的合法权益。本基金A类、C类、E类、Y类基金份额由于基金份额净值的不同，基金收益分配的金额以及参与清算后的剩余基金财产分配的数量将可能有所不同。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7"/>
        <w:spacing w:before="0" w:beforeAutospacing="0" w:after="0" w:afterAutospacing="0" w:line="360" w:lineRule="auto"/>
        <w:ind w:firstLine="420"/>
        <w:rPr>
          <w:sz w:val="21"/>
          <w:szCs w:val="21"/>
        </w:rPr>
      </w:pPr>
      <w:r>
        <w:rPr>
          <w:rFonts w:hint="eastAsia"/>
          <w:sz w:val="21"/>
          <w:szCs w:val="21"/>
        </w:rPr>
        <w:t xml:space="preserve">（3）根据基金合同的约定依法转让或申请赎回其持有的基金份额；   </w:t>
      </w:r>
    </w:p>
    <w:p>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（5）出席或者委派代表出席本基金或目标ETF的基金份额持有人大会，对本基金或目标ETF的基金份额持有人大会审议事项行使表决权；   </w:t>
      </w:r>
    </w:p>
    <w:p>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7"/>
        <w:spacing w:before="0" w:beforeAutospacing="0" w:after="0" w:afterAutospacing="0" w:line="360" w:lineRule="auto"/>
        <w:ind w:firstLine="420"/>
        <w:rPr>
          <w:sz w:val="21"/>
          <w:szCs w:val="21"/>
        </w:rPr>
      </w:pPr>
      <w:r>
        <w:rPr>
          <w:rFonts w:hint="eastAsia"/>
          <w:sz w:val="21"/>
          <w:szCs w:val="21"/>
        </w:rPr>
        <w:t xml:space="preserve">（4）缴纳基金申购款项及法律法规和基金合同所规定的费用；   </w:t>
      </w:r>
    </w:p>
    <w:p>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b/>
          <w:bCs/>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基金份额持有人大会由基金份额持有人组成，基金份额持有人的合法授权代表有权代表基金份额持有人出席会议并表决。基金份额持有人持有的每一基金份额拥有平等的投票权。  </w:t>
      </w:r>
    </w:p>
    <w:p>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pPr>
        <w:pStyle w:val="7"/>
        <w:spacing w:before="0" w:beforeAutospacing="0" w:after="0" w:afterAutospacing="0" w:line="360" w:lineRule="auto"/>
        <w:ind w:firstLine="420"/>
        <w:rPr>
          <w:sz w:val="21"/>
          <w:szCs w:val="21"/>
        </w:rPr>
      </w:pPr>
      <w:r>
        <w:rPr>
          <w:rFonts w:hint="eastAsia"/>
          <w:sz w:val="21"/>
          <w:szCs w:val="21"/>
        </w:rPr>
        <w:t xml:space="preserve">（一）召开事由  </w:t>
      </w:r>
    </w:p>
    <w:p>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1、除法律法规和中国证监会另有规定外，当出现或需要决定下列事由之一的，应当召开基金份额持有人大会：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（1）终止基金合同；   </w:t>
      </w:r>
    </w:p>
    <w:p>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pPr>
        <w:pStyle w:val="7"/>
        <w:spacing w:before="0" w:beforeAutospacing="0" w:after="0" w:afterAutospacing="0" w:line="360" w:lineRule="auto"/>
        <w:ind w:firstLine="420"/>
        <w:rPr>
          <w:sz w:val="21"/>
          <w:szCs w:val="21"/>
        </w:rPr>
      </w:pPr>
      <w:r>
        <w:rPr>
          <w:rFonts w:hint="eastAsia"/>
          <w:sz w:val="21"/>
          <w:szCs w:val="21"/>
        </w:rPr>
        <w:t xml:space="preserve">（6）变更基金类别；   </w:t>
      </w:r>
    </w:p>
    <w:p>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7"/>
        <w:spacing w:before="0" w:beforeAutospacing="0" w:after="0" w:afterAutospacing="0" w:line="360" w:lineRule="auto"/>
        <w:ind w:firstLine="420"/>
        <w:rPr>
          <w:sz w:val="21"/>
          <w:szCs w:val="21"/>
        </w:rPr>
      </w:pPr>
      <w:r>
        <w:rPr>
          <w:rFonts w:hint="eastAsia"/>
          <w:sz w:val="21"/>
          <w:szCs w:val="21"/>
        </w:rPr>
        <w:t xml:space="preserve">2、在不违反法律法规、基金合同以及不对基金份额持有人权益产生实质性不利影响的情况下，以下情况可由基金管理人和基金托管人协商后修改，不需召开基金份额持有人大会：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（1）调低销售服务费和其他除基金管理费、基金托管费外应由基金承担的费用；   </w:t>
      </w:r>
    </w:p>
    <w:p>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pPr>
        <w:pStyle w:val="7"/>
        <w:spacing w:before="0" w:beforeAutospacing="0" w:after="0" w:afterAutospacing="0" w:line="360" w:lineRule="auto"/>
        <w:ind w:firstLine="420"/>
        <w:rPr>
          <w:sz w:val="21"/>
          <w:szCs w:val="21"/>
        </w:rPr>
      </w:pPr>
      <w:r>
        <w:rPr>
          <w:rFonts w:hint="eastAsia"/>
          <w:sz w:val="21"/>
          <w:szCs w:val="21"/>
        </w:rPr>
        <w:t xml:space="preserve">（3）调整本基金的申购费率、调低赎回费率或变更收费方式；   </w:t>
      </w:r>
    </w:p>
    <w:p>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pPr>
        <w:pStyle w:val="7"/>
        <w:spacing w:before="0" w:beforeAutospacing="0" w:after="0" w:afterAutospacing="0" w:line="360" w:lineRule="auto"/>
        <w:ind w:firstLine="420"/>
        <w:rPr>
          <w:sz w:val="21"/>
          <w:szCs w:val="21"/>
        </w:rPr>
      </w:pPr>
      <w:r>
        <w:rPr>
          <w:rFonts w:hint="eastAsia"/>
          <w:sz w:val="21"/>
          <w:szCs w:val="21"/>
        </w:rPr>
        <w:t xml:space="preserve">（6）根据基金实际运作情况，在履行适当程序后，基金管理人可根据实际情况，经与基金托管人协商，调整本基金份额类别的设置；   </w:t>
      </w:r>
    </w:p>
    <w:p>
      <w:pPr>
        <w:pStyle w:val="7"/>
        <w:spacing w:before="0" w:beforeAutospacing="0" w:after="0" w:afterAutospacing="0" w:line="360" w:lineRule="auto"/>
        <w:ind w:firstLine="420"/>
        <w:rPr>
          <w:sz w:val="21"/>
          <w:szCs w:val="21"/>
        </w:rPr>
      </w:pPr>
      <w:r>
        <w:rPr>
          <w:rFonts w:hint="eastAsia"/>
          <w:sz w:val="21"/>
          <w:szCs w:val="21"/>
        </w:rPr>
        <w:t xml:space="preserve">（7）基金管理人、登记机构、基金销售机构在法律法规规定或中国证监会许可的范围内调整有关申购、赎回、转换、基金交易、非交易过户、转托管等业务规则；   </w:t>
      </w:r>
    </w:p>
    <w:p>
      <w:pPr>
        <w:pStyle w:val="7"/>
        <w:spacing w:before="0" w:beforeAutospacing="0" w:after="0" w:afterAutospacing="0" w:line="360" w:lineRule="auto"/>
        <w:ind w:firstLine="420"/>
        <w:rPr>
          <w:sz w:val="21"/>
          <w:szCs w:val="21"/>
        </w:rPr>
      </w:pPr>
      <w:r>
        <w:rPr>
          <w:rFonts w:hint="eastAsia"/>
          <w:sz w:val="21"/>
          <w:szCs w:val="21"/>
        </w:rPr>
        <w:t xml:space="preserve">（8）基金推出新业务或服务；   </w:t>
      </w:r>
    </w:p>
    <w:p>
      <w:pPr>
        <w:pStyle w:val="7"/>
        <w:spacing w:before="0" w:beforeAutospacing="0" w:after="0" w:afterAutospacing="0" w:line="360" w:lineRule="auto"/>
        <w:ind w:firstLine="420"/>
        <w:rPr>
          <w:sz w:val="21"/>
          <w:szCs w:val="21"/>
        </w:rPr>
      </w:pPr>
      <w:r>
        <w:rPr>
          <w:rFonts w:hint="eastAsia"/>
          <w:sz w:val="21"/>
          <w:szCs w:val="21"/>
        </w:rPr>
        <w:t xml:space="preserve">（9）按照法律法规和基金合同规定不需召开基金份额持有人大会的其他情形。   </w:t>
      </w:r>
    </w:p>
    <w:p>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1、召开基金份额持有人大会，召集人应于会议召开前30日在指定媒介公告。基金份额持有人大会通知应至少载明以下内容： </w:t>
      </w:r>
    </w:p>
    <w:p>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（4）授权委托证明的内容要求（包括但不限于代理人身份，代理权限和代理有效期限等）、授权方式、送达时间和地点；   </w:t>
      </w:r>
    </w:p>
    <w:p>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7"/>
        <w:spacing w:before="0" w:beforeAutospacing="0" w:after="0" w:afterAutospacing="0" w:line="360" w:lineRule="auto"/>
        <w:ind w:firstLine="420"/>
        <w:rPr>
          <w:sz w:val="21"/>
          <w:szCs w:val="21"/>
        </w:rPr>
      </w:pPr>
      <w:r>
        <w:rPr>
          <w:rFonts w:hint="eastAsia"/>
          <w:sz w:val="21"/>
          <w:szCs w:val="21"/>
        </w:rPr>
        <w:t xml:space="preserve">2、议事程序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sz w:val="21"/>
          <w:szCs w:val="21"/>
        </w:rPr>
      </w:pPr>
      <w:r>
        <w:rPr>
          <w:rFonts w:hint="eastAsia"/>
          <w:sz w:val="21"/>
          <w:szCs w:val="21"/>
        </w:rPr>
        <w:t xml:space="preserve">（六）表决  </w:t>
      </w:r>
    </w:p>
    <w:p>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sz w:val="21"/>
          <w:szCs w:val="21"/>
        </w:rPr>
      </w:pPr>
      <w:r>
        <w:rPr>
          <w:rFonts w:hint="eastAsia"/>
          <w:sz w:val="21"/>
          <w:szCs w:val="21"/>
        </w:rPr>
        <w:t xml:space="preserve">（七）计票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pPr>
        <w:pStyle w:val="7"/>
        <w:spacing w:before="0" w:beforeAutospacing="0" w:after="0" w:afterAutospacing="0" w:line="360" w:lineRule="auto"/>
        <w:ind w:firstLine="420"/>
        <w:rPr>
          <w:sz w:val="21"/>
          <w:szCs w:val="21"/>
        </w:rPr>
      </w:pPr>
      <w:r>
        <w:rPr>
          <w:rFonts w:hint="eastAsia"/>
          <w:sz w:val="21"/>
          <w:szCs w:val="21"/>
        </w:rPr>
        <w:t xml:space="preserve">（八）生效与公告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sz w:val="21"/>
          <w:szCs w:val="21"/>
        </w:rPr>
      </w:pPr>
      <w:r>
        <w:rPr>
          <w:rFonts w:hint="eastAsia"/>
          <w:sz w:val="21"/>
          <w:szCs w:val="21"/>
        </w:rPr>
        <w:t xml:space="preserve">（九）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十）鉴于本基金是目标ETF的联接基金，本基金的基金份额持有人可以凭所持有的本基金份额出席或者委派代表出席目标ETF的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   </w:t>
      </w:r>
    </w:p>
    <w:p>
      <w:pPr>
        <w:pStyle w:val="7"/>
        <w:spacing w:before="0" w:beforeAutospacing="0" w:after="0" w:afterAutospacing="0" w:line="360" w:lineRule="auto"/>
        <w:ind w:firstLine="420"/>
        <w:rPr>
          <w:sz w:val="21"/>
          <w:szCs w:val="21"/>
        </w:rPr>
      </w:pPr>
      <w:r>
        <w:rPr>
          <w:rFonts w:hint="eastAsia"/>
          <w:sz w:val="21"/>
          <w:szCs w:val="21"/>
        </w:rPr>
        <w:t xml:space="preserve">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   </w:t>
      </w:r>
    </w:p>
    <w:p>
      <w:pPr>
        <w:pStyle w:val="7"/>
        <w:spacing w:before="0" w:beforeAutospacing="0" w:after="0" w:afterAutospacing="0" w:line="360" w:lineRule="auto"/>
        <w:ind w:firstLine="420"/>
        <w:rPr>
          <w:sz w:val="21"/>
          <w:szCs w:val="21"/>
        </w:rPr>
      </w:pPr>
      <w:r>
        <w:rPr>
          <w:rFonts w:hint="eastAsia"/>
          <w:sz w:val="21"/>
          <w:szCs w:val="21"/>
        </w:rPr>
        <w:t xml:space="preserve">本基金的基金管理人代表本基金的基金份额持有人提议召开或召集目标ETF份额持有人大会的，须先遵照本基金基金合同的约定召开本基金的基金份额持有人大会，本基金的基金份额持有人大会决定提议召开或召集目标ETF份额持有人大会的，由本基金基金管理人代表本基金的基金份额持有人提议召开或召集目标ETF份额持有人大会。   </w:t>
      </w:r>
    </w:p>
    <w:p>
      <w:pPr>
        <w:pStyle w:val="7"/>
        <w:spacing w:before="0" w:beforeAutospacing="0" w:after="0" w:afterAutospacing="0" w:line="360" w:lineRule="auto"/>
        <w:ind w:firstLine="420"/>
        <w:rPr>
          <w:sz w:val="21"/>
          <w:szCs w:val="21"/>
        </w:rPr>
      </w:pPr>
      <w:r>
        <w:rPr>
          <w:rFonts w:hint="eastAsia"/>
          <w:b/>
          <w:bCs/>
          <w:sz w:val="21"/>
          <w:szCs w:val="21"/>
        </w:rPr>
        <w:t>三、基金合同的变更、终止与基金财产的清算</w:t>
      </w:r>
    </w:p>
    <w:p>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2、关于《基金合同》变更的基金份额持有人大会决议自生效后方可执行，并自决议生效后两日内在指定媒介公告。 </w:t>
      </w:r>
    </w:p>
    <w:p>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5、基金财产清算的期限为六个月。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Fonts w:hint="eastAsia"/>
          <w:b/>
          <w:bCs/>
          <w:sz w:val="21"/>
          <w:szCs w:val="21"/>
        </w:rPr>
        <w:t>四、争议解决方式</w:t>
      </w:r>
    </w:p>
    <w:p>
      <w:pPr>
        <w:pStyle w:val="7"/>
        <w:spacing w:before="0" w:beforeAutospacing="0" w:after="0" w:afterAutospacing="0" w:line="360" w:lineRule="auto"/>
        <w:ind w:firstLine="420"/>
        <w:rPr>
          <w:sz w:val="21"/>
          <w:szCs w:val="21"/>
        </w:rPr>
      </w:pPr>
      <w:r>
        <w:rPr>
          <w:rFonts w:hint="eastAsia"/>
          <w:sz w:val="21"/>
          <w:szCs w:val="21"/>
        </w:rPr>
        <w:t xml:space="preserve">（一）本基金合同适用中华人民共和国法律并从其解释。  </w:t>
      </w:r>
    </w:p>
    <w:p>
      <w:pPr>
        <w:pStyle w:val="7"/>
        <w:spacing w:before="0" w:beforeAutospacing="0" w:after="0" w:afterAutospacing="0" w:line="360" w:lineRule="auto"/>
        <w:ind w:firstLine="420"/>
        <w:rPr>
          <w:sz w:val="21"/>
          <w:szCs w:val="21"/>
        </w:rPr>
      </w:pPr>
      <w:r>
        <w:rPr>
          <w:rFonts w:hint="eastAsia"/>
          <w:sz w:val="21"/>
          <w:szCs w:val="21"/>
        </w:rPr>
        <w:t xml:space="preserve">（二）本基金合同的当事人之间因本基金合同产生的或与本基金合同有关的争议可首先通过友好协商或调解解决。自一方书面要求协商解决争议之日起六十日内如果争议未能以协商或调解方式解决，则任何一方有权将争议提交中国国际经济贸易仲裁委员会，根据提交仲裁时有效的仲裁规则进行仲裁，仲裁地点在上海市。仲裁裁决是终局的，对仲裁各方当事人均具有约束力，仲裁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（三）除争议所涉内容之外，本基金合同的其他部分应当由本基金合同当事人继续履行。  </w:t>
      </w:r>
    </w:p>
    <w:p>
      <w:pPr>
        <w:pStyle w:val="7"/>
        <w:spacing w:before="0" w:beforeAutospacing="0" w:after="0" w:afterAutospacing="0" w:line="360" w:lineRule="auto"/>
        <w:ind w:firstLine="420"/>
        <w:rPr>
          <w:sz w:val="21"/>
          <w:szCs w:val="21"/>
        </w:rPr>
      </w:pPr>
      <w:r>
        <w:rPr>
          <w:rFonts w:hint="eastAsia"/>
          <w:b/>
          <w:bCs/>
          <w:sz w:val="21"/>
          <w:szCs w:val="21"/>
        </w:rPr>
        <w:t>五、基金合同存放地和投资人取得基金合同的方式</w:t>
      </w:r>
    </w:p>
    <w:p>
      <w:pPr>
        <w:pStyle w:val="7"/>
        <w:spacing w:before="0" w:beforeAutospacing="0" w:after="0" w:afterAutospacing="0" w:line="360" w:lineRule="auto"/>
        <w:ind w:firstLine="420"/>
        <w:rPr>
          <w:sz w:val="21"/>
          <w:szCs w:val="21"/>
        </w:rPr>
      </w:pPr>
      <w:r>
        <w:rPr>
          <w:rFonts w:hint="eastAsia"/>
          <w:sz w:val="21"/>
          <w:szCs w:val="21"/>
        </w:rPr>
        <w:t>基金合同可印制成册，存放在基金管理人和基金托管人住所，供投资人查阅，基金合同</w:t>
      </w:r>
      <w:bookmarkStart w:id="173" w:name="chapter_level1_21_71_section_1_end"/>
      <w:bookmarkEnd w:id="173"/>
      <w:r>
        <w:rPr>
          <w:rFonts w:hint="eastAsia"/>
          <w:sz w:val="21"/>
          <w:szCs w:val="21"/>
        </w:rPr>
        <w:t xml:space="preserve">条款及内容应以基金合同正本为准。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4" w:name="chapter_level1_22_72"/>
      <w:bookmarkStart w:id="175" w:name="_Toc207979143"/>
      <w:r>
        <w:rPr>
          <w:rFonts w:hint="eastAsia" w:ascii="宋体" w:hAnsi="宋体" w:eastAsia="宋体"/>
          <w:sz w:val="30"/>
        </w:rPr>
        <w:t>第十九部分  基金托管协议的内容摘要</w:t>
      </w:r>
      <w:bookmarkEnd w:id="174"/>
      <w:bookmarkEnd w:id="175"/>
    </w:p>
    <w:p>
      <w:pPr>
        <w:pStyle w:val="7"/>
        <w:spacing w:before="0" w:beforeAutospacing="0" w:after="0" w:afterAutospacing="0" w:line="360" w:lineRule="auto"/>
        <w:ind w:firstLine="420"/>
        <w:rPr>
          <w:sz w:val="21"/>
          <w:szCs w:val="21"/>
        </w:rPr>
      </w:pPr>
      <w:bookmarkStart w:id="176" w:name="chapter_level1_22_72_section_1"/>
      <w:bookmarkEnd w:id="176"/>
      <w:r>
        <w:rPr>
          <w:rStyle w:val="11"/>
          <w:rFonts w:hint="eastAsia"/>
          <w:sz w:val="21"/>
          <w:szCs w:val="21"/>
        </w:rPr>
        <w:t>一、托管协议当事人</w:t>
      </w:r>
    </w:p>
    <w:p>
      <w:pPr>
        <w:pStyle w:val="7"/>
        <w:spacing w:before="0" w:beforeAutospacing="0" w:after="0" w:afterAutospacing="0" w:line="360" w:lineRule="auto"/>
        <w:ind w:firstLine="420"/>
        <w:rPr>
          <w:sz w:val="21"/>
          <w:szCs w:val="21"/>
        </w:rPr>
      </w:pPr>
      <w:r>
        <w:rPr>
          <w:rFonts w:hint="eastAsia"/>
          <w:sz w:val="21"/>
          <w:szCs w:val="21"/>
        </w:rPr>
        <w:t xml:space="preserve">（一）基金管理人 </w:t>
      </w:r>
    </w:p>
    <w:p>
      <w:pPr>
        <w:pStyle w:val="7"/>
        <w:spacing w:before="0" w:beforeAutospacing="0" w:after="0" w:afterAutospacing="0" w:line="360" w:lineRule="auto"/>
        <w:ind w:firstLine="420"/>
        <w:rPr>
          <w:sz w:val="21"/>
          <w:szCs w:val="21"/>
        </w:rPr>
      </w:pPr>
      <w:r>
        <w:rPr>
          <w:rFonts w:hint="eastAsia"/>
          <w:sz w:val="21"/>
          <w:szCs w:val="21"/>
        </w:rPr>
        <w:t>名称：</w:t>
      </w:r>
      <w:bookmarkStart w:id="177" w:name="field_0_managerorgfullname_6"/>
      <w:r>
        <w:rPr>
          <w:rFonts w:hint="eastAsia"/>
          <w:sz w:val="21"/>
          <w:szCs w:val="21"/>
        </w:rPr>
        <w:t>博时基金管理有限公司</w:t>
      </w:r>
      <w:bookmarkEnd w:id="17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成立时间：1998年7月13日 </w:t>
      </w:r>
    </w:p>
    <w:p>
      <w:pPr>
        <w:pStyle w:val="7"/>
        <w:spacing w:before="0" w:beforeAutospacing="0" w:after="0" w:afterAutospacing="0" w:line="360" w:lineRule="auto"/>
        <w:ind w:firstLine="420"/>
        <w:rPr>
          <w:sz w:val="21"/>
          <w:szCs w:val="21"/>
        </w:rPr>
      </w:pPr>
      <w:r>
        <w:rPr>
          <w:rFonts w:hint="eastAsia"/>
          <w:sz w:val="21"/>
          <w:szCs w:val="21"/>
        </w:rPr>
        <w:t xml:space="preserve">批准设立机关：中国证券监督管理委员会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批准设立文号：证监基字【1998】26号 </w:t>
      </w:r>
    </w:p>
    <w:p>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经营范围：基金募集；基金销售；资产管理；中国证监会许可的其他业务 </w:t>
      </w:r>
    </w:p>
    <w:p>
      <w:pPr>
        <w:pStyle w:val="7"/>
        <w:spacing w:before="0" w:beforeAutospacing="0" w:after="0" w:afterAutospacing="0" w:line="360" w:lineRule="auto"/>
        <w:ind w:firstLine="420"/>
        <w:rPr>
          <w:sz w:val="21"/>
          <w:szCs w:val="21"/>
        </w:rPr>
      </w:pPr>
      <w:r>
        <w:rPr>
          <w:rFonts w:hint="eastAsia"/>
          <w:sz w:val="21"/>
          <w:szCs w:val="21"/>
        </w:rPr>
        <w:t xml:space="preserve">注册资本：2.5亿元 </w:t>
      </w:r>
    </w:p>
    <w:p>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（二）基金托管人 </w:t>
      </w:r>
    </w:p>
    <w:p>
      <w:pPr>
        <w:pStyle w:val="7"/>
        <w:spacing w:before="0" w:beforeAutospacing="0" w:after="0" w:afterAutospacing="0" w:line="360" w:lineRule="auto"/>
        <w:ind w:firstLine="420"/>
        <w:rPr>
          <w:sz w:val="21"/>
          <w:szCs w:val="21"/>
        </w:rPr>
      </w:pPr>
      <w:r>
        <w:rPr>
          <w:rFonts w:hint="eastAsia"/>
          <w:sz w:val="21"/>
          <w:szCs w:val="21"/>
        </w:rPr>
        <w:t>名称：</w:t>
      </w:r>
      <w:bookmarkStart w:id="178" w:name="field_0_trustorgfullname_3"/>
      <w:r>
        <w:rPr>
          <w:rFonts w:hint="eastAsia"/>
          <w:sz w:val="21"/>
          <w:szCs w:val="21"/>
        </w:rPr>
        <w:t>交通银行股份有限公司</w:t>
      </w:r>
      <w:bookmarkEnd w:id="178"/>
      <w:r>
        <w:rPr>
          <w:rFonts w:hint="eastAsia"/>
          <w:sz w:val="21"/>
          <w:szCs w:val="21"/>
        </w:rPr>
        <w:t xml:space="preserve">（简称：交通银行） </w:t>
      </w:r>
    </w:p>
    <w:p>
      <w:pPr>
        <w:pStyle w:val="7"/>
        <w:spacing w:before="0" w:beforeAutospacing="0" w:after="0" w:afterAutospacing="0" w:line="360" w:lineRule="auto"/>
        <w:ind w:firstLine="420"/>
        <w:rPr>
          <w:sz w:val="21"/>
          <w:szCs w:val="21"/>
        </w:rPr>
      </w:pPr>
      <w:r>
        <w:rPr>
          <w:rFonts w:hint="eastAsia"/>
          <w:sz w:val="21"/>
          <w:szCs w:val="21"/>
        </w:rPr>
        <w:t xml:space="preserve">住所：中国（上海）自由贸易试验区银城中路188号（邮政编码：200120） </w:t>
      </w:r>
    </w:p>
    <w:p>
      <w:pPr>
        <w:pStyle w:val="7"/>
        <w:spacing w:before="0" w:beforeAutospacing="0" w:after="0" w:afterAutospacing="0" w:line="360" w:lineRule="auto"/>
        <w:ind w:firstLine="420"/>
        <w:rPr>
          <w:sz w:val="21"/>
          <w:szCs w:val="21"/>
        </w:rPr>
      </w:pPr>
      <w:r>
        <w:rPr>
          <w:rFonts w:hint="eastAsia"/>
          <w:sz w:val="21"/>
          <w:szCs w:val="21"/>
        </w:rPr>
        <w:t xml:space="preserve">办公地址：中国（上海）长宁区仙霞路18号（邮政编码：200336） </w:t>
      </w:r>
    </w:p>
    <w:p>
      <w:pPr>
        <w:pStyle w:val="7"/>
        <w:spacing w:before="0" w:beforeAutospacing="0" w:after="0" w:afterAutospacing="0" w:line="360" w:lineRule="auto"/>
        <w:ind w:firstLine="420"/>
        <w:rPr>
          <w:sz w:val="21"/>
          <w:szCs w:val="21"/>
        </w:rPr>
      </w:pPr>
      <w:r>
        <w:rPr>
          <w:rFonts w:hint="eastAsia"/>
          <w:sz w:val="21"/>
          <w:szCs w:val="21"/>
        </w:rPr>
        <w:t xml:space="preserve">法定代表人：任德奇 </w:t>
      </w:r>
    </w:p>
    <w:p>
      <w:pPr>
        <w:pStyle w:val="7"/>
        <w:spacing w:before="0" w:beforeAutospacing="0" w:after="0" w:afterAutospacing="0" w:line="360" w:lineRule="auto"/>
        <w:ind w:firstLine="420"/>
        <w:rPr>
          <w:sz w:val="21"/>
          <w:szCs w:val="21"/>
        </w:rPr>
      </w:pPr>
      <w:r>
        <w:rPr>
          <w:rFonts w:hint="eastAsia"/>
          <w:sz w:val="21"/>
          <w:szCs w:val="21"/>
        </w:rPr>
        <w:t xml:space="preserve">成立时间：1987年3月30日 </w:t>
      </w:r>
    </w:p>
    <w:p>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批准设立机关及批准设立文号：国务院国发（1986）字第81号文和中国人民银行银发【1987】40号文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基金托管业务批准文号：中国证监会证监基字【1998】25号 </w:t>
      </w:r>
    </w:p>
    <w:p>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业务；提供保管箱服务；经国务院银行业监督管理机构批准的其他业务；经营结汇、售汇业务。 </w:t>
      </w:r>
    </w:p>
    <w:p>
      <w:pPr>
        <w:pStyle w:val="7"/>
        <w:spacing w:before="0" w:beforeAutospacing="0" w:after="0" w:afterAutospacing="0" w:line="360" w:lineRule="auto"/>
        <w:ind w:firstLine="420"/>
        <w:rPr>
          <w:sz w:val="21"/>
          <w:szCs w:val="21"/>
        </w:rPr>
      </w:pPr>
      <w:r>
        <w:rPr>
          <w:rFonts w:hint="eastAsia"/>
          <w:sz w:val="21"/>
          <w:szCs w:val="21"/>
        </w:rPr>
        <w:t xml:space="preserve">注册资本：742.63亿元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二、基金托管人对基金管理人的业务监督、核查</w:t>
      </w:r>
    </w:p>
    <w:p>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（一）基金托管人根据有关法律法规的规定及《基金合同》和本协议的约定，对基金的投资范围、投资对象进行监督。 </w:t>
      </w:r>
    </w:p>
    <w:p>
      <w:pPr>
        <w:pStyle w:val="7"/>
        <w:spacing w:before="0" w:beforeAutospacing="0" w:after="0" w:afterAutospacing="0" w:line="360" w:lineRule="auto"/>
        <w:ind w:firstLine="420"/>
        <w:rPr>
          <w:sz w:val="21"/>
          <w:szCs w:val="21"/>
        </w:rPr>
      </w:pPr>
      <w:r>
        <w:rPr>
          <w:rFonts w:hint="eastAsia"/>
          <w:sz w:val="21"/>
          <w:szCs w:val="21"/>
        </w:rPr>
        <w:t xml:space="preserve">本基金主要投资于目标ETF、标的指数即创业板指数成份股和备选成份股票（含存托凭证）、国内依法发行上市的非成份股（包括中小板、创业板及其他经中国证监会核准上市的股票、存托凭证）、债券、货币市场工具、权证、股指期货、期权、资产支持证券以及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投资于目标ETF的资产比例不低于基金资产净值的90%，权证、股指期货及其他金融工具的投资比例依照法律法规或监管机构的规定执行。每个交易日日终在扣除股指期货合约需缴纳的交易保证金后，对现金或者到期日在一年以内的政府债券的投资比例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基金托管人运用相关技术系统，对基金实际投资是否符合基金合同的相关约定进行监督，对存在疑义的事项进行核查。基金托管人对基金管理人业务进行监督和核查的义务自基金合同生效日起开始履行。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投资有超出以上范围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 </w:t>
      </w:r>
    </w:p>
    <w:p>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（二）基金托管人根据有关法律法规的规定及《基金合同》和本协议的约定，对基金投资、融资比例进行监督。 </w:t>
      </w:r>
    </w:p>
    <w:p>
      <w:pPr>
        <w:pStyle w:val="7"/>
        <w:spacing w:before="0" w:beforeAutospacing="0" w:after="0" w:afterAutospacing="0" w:line="360" w:lineRule="auto"/>
        <w:ind w:firstLine="420"/>
        <w:rPr>
          <w:sz w:val="21"/>
          <w:szCs w:val="21"/>
        </w:rPr>
      </w:pPr>
      <w:r>
        <w:rPr>
          <w:rFonts w:hint="eastAsia"/>
          <w:sz w:val="21"/>
          <w:szCs w:val="21"/>
        </w:rPr>
        <w:t xml:space="preserve">1、基金投资组合比例限制 </w:t>
      </w:r>
    </w:p>
    <w:p>
      <w:pPr>
        <w:pStyle w:val="7"/>
        <w:spacing w:before="0" w:beforeAutospacing="0" w:after="0" w:afterAutospacing="0" w:line="360" w:lineRule="auto"/>
        <w:ind w:firstLine="420"/>
        <w:rPr>
          <w:sz w:val="21"/>
          <w:szCs w:val="21"/>
        </w:rPr>
      </w:pPr>
      <w:r>
        <w:rPr>
          <w:rFonts w:hint="eastAsia"/>
          <w:sz w:val="21"/>
          <w:szCs w:val="21"/>
        </w:rPr>
        <w:t xml:space="preserve">（1）本基金持有一家公司发行的证券（含存托凭证），其市值不超过基金资产净值的10%；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（2）本基金与基金管理人管理的其他基金持有一家公司发行的证券（含存托凭证）总和，不超过该证券的10%； </w:t>
      </w:r>
    </w:p>
    <w:p>
      <w:pPr>
        <w:pStyle w:val="7"/>
        <w:spacing w:before="0" w:beforeAutospacing="0" w:after="0" w:afterAutospacing="0" w:line="360" w:lineRule="auto"/>
        <w:ind w:firstLine="420"/>
        <w:rPr>
          <w:sz w:val="21"/>
          <w:szCs w:val="21"/>
        </w:rPr>
      </w:pPr>
      <w:r>
        <w:rPr>
          <w:rFonts w:hint="eastAsia"/>
          <w:sz w:val="21"/>
          <w:szCs w:val="21"/>
        </w:rPr>
        <w:t xml:space="preserve">（3）本基金投资于目标ETF的资产比例不低于基金资产净值的90%； </w:t>
      </w:r>
    </w:p>
    <w:p>
      <w:pPr>
        <w:pStyle w:val="7"/>
        <w:spacing w:before="0" w:beforeAutospacing="0" w:after="0" w:afterAutospacing="0" w:line="360" w:lineRule="auto"/>
        <w:ind w:firstLine="420"/>
        <w:rPr>
          <w:sz w:val="21"/>
          <w:szCs w:val="21"/>
        </w:rPr>
      </w:pPr>
      <w:r>
        <w:rPr>
          <w:rFonts w:hint="eastAsia"/>
          <w:sz w:val="21"/>
          <w:szCs w:val="21"/>
        </w:rPr>
        <w:t xml:space="preserve">（4）本基金参与股票发行申购，所申报的金额不超过本基金总资产，本基金所申报的股票数量不超过拟发行股票公司本次发行股票的总量；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（5）在全国银行间同业市场中的债券回购最长期限为1年，债券回购到期后不展期； </w:t>
      </w:r>
    </w:p>
    <w:p>
      <w:pPr>
        <w:pStyle w:val="7"/>
        <w:spacing w:before="0" w:beforeAutospacing="0" w:after="0" w:afterAutospacing="0" w:line="360" w:lineRule="auto"/>
        <w:ind w:firstLine="420"/>
        <w:rPr>
          <w:sz w:val="21"/>
          <w:szCs w:val="21"/>
        </w:rPr>
      </w:pPr>
      <w:r>
        <w:rPr>
          <w:rFonts w:hint="eastAsia"/>
          <w:sz w:val="21"/>
          <w:szCs w:val="21"/>
        </w:rPr>
        <w:t xml:space="preserve">（6）在银行间市场进行债券回购融入的资金余额不超过基金资产净值的40%； </w:t>
      </w:r>
    </w:p>
    <w:p>
      <w:pPr>
        <w:pStyle w:val="7"/>
        <w:spacing w:before="0" w:beforeAutospacing="0" w:after="0" w:afterAutospacing="0" w:line="360" w:lineRule="auto"/>
        <w:ind w:firstLine="420"/>
        <w:rPr>
          <w:sz w:val="21"/>
          <w:szCs w:val="21"/>
        </w:rPr>
      </w:pPr>
      <w:r>
        <w:rPr>
          <w:rFonts w:hint="eastAsia"/>
          <w:sz w:val="21"/>
          <w:szCs w:val="21"/>
        </w:rPr>
        <w:t xml:space="preserve">（7）每个交易日日终在扣除股指期货合约需缴纳的交易保证金后，基金的投资组合中保留的现金或者到期日在一年以内的政府债券的比例合计不低于基金资产净值的5%；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8）本基金在任何交易日买入权证的总金额，不得超过上一交易日基金资产净值的0.5%；本基金持有的全部权证，其市值不得超过基金资产净值的3%；本基金管理人管理的全部基金持有的同一权证，不得超过该权证的10%。其他权证的投资比例，遵从法规或监管部门的相关规定； </w:t>
      </w:r>
    </w:p>
    <w:p>
      <w:pPr>
        <w:pStyle w:val="7"/>
        <w:spacing w:before="0" w:beforeAutospacing="0" w:after="0" w:afterAutospacing="0" w:line="360" w:lineRule="auto"/>
        <w:ind w:firstLine="420"/>
        <w:rPr>
          <w:sz w:val="21"/>
          <w:szCs w:val="21"/>
        </w:rPr>
      </w:pPr>
      <w:r>
        <w:rPr>
          <w:rFonts w:hint="eastAsia"/>
          <w:sz w:val="21"/>
          <w:szCs w:val="21"/>
        </w:rPr>
        <w:t xml:space="preserve">（9）本基金持有的同一（指同一信用级别）资产支持证券的比例，不得超过该资产支持证券规模的10%；本基金投资于同一原始权益人的各类资产支持证券的比例，不得超过基金资产净值的10%；本基金管理人管理的全部证券投资基金投资于同一原始权益人的各类资产支持证券，不得超过其各类资产支持证券合计规模的10%；本基金持有的全部资产支持证券，其市值不得超过基金资产净值的20%，中国证监会规定的特殊品种除外。本基金持有资产支持证券期间，如果其信用等级下降、不再符合投资标准，将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（10）流通受限证券投资遵照有关法律法规及中国证监会的规定执行； </w:t>
      </w:r>
    </w:p>
    <w:p>
      <w:pPr>
        <w:pStyle w:val="7"/>
        <w:spacing w:before="0" w:beforeAutospacing="0" w:after="0" w:afterAutospacing="0" w:line="360" w:lineRule="auto"/>
        <w:ind w:firstLine="420"/>
        <w:rPr>
          <w:sz w:val="21"/>
          <w:szCs w:val="21"/>
        </w:rPr>
      </w:pPr>
      <w:r>
        <w:rPr>
          <w:rFonts w:hint="eastAsia"/>
          <w:sz w:val="21"/>
          <w:szCs w:val="21"/>
        </w:rPr>
        <w:t xml:space="preserve">（11）本基金参与股指期货交易后，依据下列标准建构组合： </w:t>
      </w:r>
    </w:p>
    <w:p>
      <w:pPr>
        <w:pStyle w:val="7"/>
        <w:spacing w:before="0" w:beforeAutospacing="0" w:after="0" w:afterAutospacing="0" w:line="360" w:lineRule="auto"/>
        <w:ind w:firstLine="420"/>
        <w:rPr>
          <w:sz w:val="21"/>
          <w:szCs w:val="21"/>
        </w:rPr>
      </w:pPr>
      <w:r>
        <w:rPr>
          <w:rFonts w:hint="eastAsia"/>
          <w:sz w:val="21"/>
          <w:szCs w:val="21"/>
        </w:rPr>
        <w:t xml:space="preserve">在任何交易日日终，持有的买入股指期货合约价值，不得超过基金资产净值的10%；在任何交易日日终，持有的买入期货合约价值与有价证券市值之和，不得超过基金资产净值的95%，其中，有价证券指股票、债券（不含到期日在一年以内的政府债券）、权证、资产支持证券、买入返售金融资产（不含质押式回购）等；在任何交易日日终，持有的卖出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13）基金因未平仓的期权合约支付和收取的权利金总额不得超过基金资产净值的10%；开仓卖出认购期权的，应持有足额标的证券；开仓卖出认沽期权的，应持有合约行权所需的全额现金或交易所规则认可的可冲抵期权保证金的现金等价物；未平仓的期权合约面值不得超过基金资产净值的20%。其中，合约面值按照行权价乘以合约乘数计算； </w:t>
      </w:r>
    </w:p>
    <w:p>
      <w:pPr>
        <w:pStyle w:val="7"/>
        <w:spacing w:before="0" w:beforeAutospacing="0" w:after="0" w:afterAutospacing="0" w:line="360" w:lineRule="auto"/>
        <w:ind w:firstLine="420"/>
        <w:rPr>
          <w:sz w:val="21"/>
          <w:szCs w:val="21"/>
        </w:rPr>
      </w:pPr>
      <w:r>
        <w:rPr>
          <w:rFonts w:hint="eastAsia"/>
          <w:sz w:val="21"/>
          <w:szCs w:val="21"/>
        </w:rPr>
        <w:t xml:space="preserve">（14）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pPr>
        <w:pStyle w:val="7"/>
        <w:spacing w:before="0" w:beforeAutospacing="0" w:after="0" w:afterAutospacing="0" w:line="360" w:lineRule="auto"/>
        <w:ind w:firstLine="420"/>
        <w:rPr>
          <w:sz w:val="21"/>
          <w:szCs w:val="21"/>
        </w:rPr>
      </w:pPr>
      <w:r>
        <w:rPr>
          <w:rFonts w:hint="eastAsia"/>
          <w:sz w:val="21"/>
          <w:szCs w:val="21"/>
        </w:rPr>
        <w:t xml:space="preserve">（15）本基金主动投资于流动性受限资产的市值合计不得超过基金资产净值的15%；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（16）本基金与私募类证券资管产品及中国证监会认定的其他主体为交易对手开展逆回购交易的，可接受质押品的资质要求应当与基金合同约定的投资范围保持一致；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（17）法律、法规、基金合同及中国证监会规定的其他比例限制。 </w:t>
      </w:r>
    </w:p>
    <w:p>
      <w:pPr>
        <w:pStyle w:val="7"/>
        <w:spacing w:before="0" w:beforeAutospacing="0" w:after="0" w:afterAutospacing="0" w:line="360" w:lineRule="auto"/>
        <w:ind w:firstLine="420"/>
        <w:rPr>
          <w:sz w:val="21"/>
          <w:szCs w:val="21"/>
        </w:rPr>
      </w:pPr>
      <w:r>
        <w:rPr>
          <w:rFonts w:hint="eastAsia"/>
          <w:sz w:val="21"/>
          <w:szCs w:val="21"/>
        </w:rPr>
        <w:t xml:space="preserve">如果法律法规对基金合同约定投资组合比例限制进行变更的，以变更后的规定为准。法律法规或监管部门取消上述限制，如适用于本基金，则本基金投资不再受相关限制。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3个月内使基金的投资组合比例符合基金合同的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除第（7）项、第（9）项中“本基金持有资产支持证券期间，如果其信用等级下降、不再符合投资标准，将在评级报告发布之日起3个月内予以全部卖出”的投资限制、第（15）、（16）项及法律法规或基金合同另有规定外，由于证券、期货市场波动、上市公司合并、基金规模变动、标的指数成份股调整、标的指数成份股流动性限制、目标ETF暂停申购、赎回或二级市场交易停牌等基金管理人之外的因素导致基金投资不符合上述约定比例的，基金管理人应在10个交易日内进行调整，以达到标准，法律法规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基金托管人依照上述规定对本基金的投资组合限制及调整期限进行监督。基金托管人对基金投资的监督与检查自基金合同生效之日起开始。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投资有超出有关法律法规的规定及基金合同的约定的基金投融资比例限制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 </w:t>
      </w:r>
    </w:p>
    <w:p>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（三）基金托管人根据有关法律法规的规定及基金合同和本协议的约定，对基金投资禁止行为进行监督。基金财产不得用于下列投资或者活动。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（4）投资除目标ETF外的其他基金份额，但是中国证监会另有规定的除外；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（5）向本基金的基金管理人、基金托管人出资；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法律、行政法规或监管部门取消上述限制，如适用于本基金，则本基金投资不再受相关限制。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（四）基金托管人根据有关法律法规的规定及基金合同和本协议的约定，对基金管理人参与银行间债券市场进行监督。 </w:t>
      </w:r>
    </w:p>
    <w:p>
      <w:pPr>
        <w:pStyle w:val="7"/>
        <w:spacing w:before="0" w:beforeAutospacing="0" w:after="0" w:afterAutospacing="0" w:line="360" w:lineRule="auto"/>
        <w:ind w:firstLine="420"/>
        <w:rPr>
          <w:sz w:val="21"/>
          <w:szCs w:val="21"/>
        </w:rPr>
      </w:pPr>
      <w:r>
        <w:rPr>
          <w:rFonts w:hint="eastAsia"/>
          <w:sz w:val="21"/>
          <w:szCs w:val="21"/>
        </w:rPr>
        <w:t xml:space="preserve">1、基金托管人依据有关法律法规的规定和《基金合同》的约定对于基金管理人参与银行间市场交易时面临的交易对手资信风险进行监督。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向基金托管人提供符合法律法规及行业标准的银行间市场交易对手的名单。基金托管人在收到名单后2个工作日内电话或回函确认收到该名单。基金管理人应定期和不定期对银行间市场现券及回购交易对手的名单进行更新。基金托管人在收到名单后2个工作日内电话或书面回函确认，新名单自基金托管人确认当日生效。新名单生效前已与本次剔除的交易对手所进行但尚未结算的交易，仍应按照协议进行结算。 </w:t>
      </w:r>
    </w:p>
    <w:p>
      <w:pPr>
        <w:pStyle w:val="7"/>
        <w:spacing w:before="0" w:beforeAutospacing="0" w:after="0" w:afterAutospacing="0" w:line="360" w:lineRule="auto"/>
        <w:ind w:firstLine="420"/>
        <w:rPr>
          <w:sz w:val="21"/>
          <w:szCs w:val="21"/>
        </w:rPr>
      </w:pPr>
      <w:r>
        <w:rPr>
          <w:rFonts w:hint="eastAsia"/>
          <w:sz w:val="21"/>
          <w:szCs w:val="21"/>
        </w:rPr>
        <w:t xml:space="preserve">2、基金管理人参与银行间市场交易时，有责任控制交易对手的资信风险，由于交易对手资信风险引起的损失,基金管理人应当负责向相关责任人追偿。 </w:t>
      </w:r>
    </w:p>
    <w:p>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（五）基金托管人根据有关法律法规的规定及基金合同和本协议的约定，对基金管理人选择存款银行进行监督。 </w:t>
      </w:r>
    </w:p>
    <w:p>
      <w:pPr>
        <w:pStyle w:val="7"/>
        <w:spacing w:before="0" w:beforeAutospacing="0" w:after="0" w:afterAutospacing="0" w:line="360" w:lineRule="auto"/>
        <w:ind w:firstLine="420"/>
        <w:rPr>
          <w:sz w:val="21"/>
          <w:szCs w:val="21"/>
        </w:rPr>
      </w:pPr>
      <w:r>
        <w:rPr>
          <w:rFonts w:hint="eastAsia"/>
          <w:sz w:val="21"/>
          <w:szCs w:val="21"/>
        </w:rPr>
        <w:t xml:space="preserve">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 </w:t>
      </w:r>
    </w:p>
    <w:p>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pPr>
        <w:pStyle w:val="7"/>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pPr>
        <w:pStyle w:val="7"/>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3、基金托管人应加强对基金银行存款业务的监督与核查，严格审查、复核相关协议、账户资料、投资指令、存款证实书等有关文件，切实履行托管职责。 </w:t>
      </w:r>
    </w:p>
    <w:p>
      <w:pPr>
        <w:pStyle w:val="7"/>
        <w:spacing w:before="0" w:beforeAutospacing="0" w:after="0" w:afterAutospacing="0" w:line="360" w:lineRule="auto"/>
        <w:ind w:firstLine="420"/>
        <w:rPr>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 </w:t>
      </w:r>
    </w:p>
    <w:p>
      <w:pPr>
        <w:pStyle w:val="7"/>
        <w:spacing w:before="0" w:beforeAutospacing="0" w:after="0" w:afterAutospacing="0" w:line="360" w:lineRule="auto"/>
        <w:ind w:firstLine="420"/>
        <w:rPr>
          <w:sz w:val="21"/>
          <w:szCs w:val="21"/>
        </w:rPr>
      </w:pPr>
      <w:r>
        <w:rPr>
          <w:rFonts w:hint="eastAsia"/>
          <w:sz w:val="21"/>
          <w:szCs w:val="21"/>
        </w:rPr>
        <w:t xml:space="preserve">（六）基金托管人根据法律法规的规定及《基金合同》和本协议的约定，对基金投资其他方面进行监督。 </w:t>
      </w:r>
    </w:p>
    <w:p>
      <w:pPr>
        <w:pStyle w:val="7"/>
        <w:spacing w:before="0" w:beforeAutospacing="0" w:after="0" w:afterAutospacing="0" w:line="360" w:lineRule="auto"/>
        <w:ind w:firstLine="420"/>
        <w:rPr>
          <w:sz w:val="21"/>
          <w:szCs w:val="21"/>
        </w:rPr>
      </w:pPr>
      <w:r>
        <w:rPr>
          <w:rFonts w:hint="eastAsia"/>
          <w:sz w:val="21"/>
          <w:szCs w:val="21"/>
        </w:rPr>
        <w:t xml:space="preserve">（七）基金托管人应根据有关法律法规的规定及基金合同的约定，对基金资产净值计算、基金份额净值计算、应收资金到账、基金费用开支及收入确认、基金收益分配、相关信息披露、基金宣传推介材料中登载基金业绩表现数据等进行监督和核查。 </w:t>
      </w:r>
    </w:p>
    <w:p>
      <w:pPr>
        <w:pStyle w:val="7"/>
        <w:spacing w:before="0" w:beforeAutospacing="0" w:after="0" w:afterAutospacing="0" w:line="360" w:lineRule="auto"/>
        <w:ind w:firstLine="420"/>
        <w:rPr>
          <w:sz w:val="21"/>
          <w:szCs w:val="21"/>
        </w:rPr>
      </w:pPr>
      <w:r>
        <w:rPr>
          <w:rFonts w:hint="eastAsia"/>
          <w:sz w:val="21"/>
          <w:szCs w:val="21"/>
        </w:rPr>
        <w:t xml:space="preserve">（八）基金管理人应积极配合和协助基金托管人的监督和核查，在规定时间内答复并改正，就基金托管人的疑义进行解释或举证。对基金托管人按照法规要求需向中国证监会报送基金监督报告的，基金管理人应积极配合提供相关数据资料和制度等。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投资指令或实际投资运作违反《基金法》及其他有关法规、《基金合同》和本协议规定的行为，应及时以书面形式通知基金管理人在10个工作日内纠正，并通知基金管理人收到通知后应及时核对，并以电话或书面形式向基金托管人反馈，说明违规原因及纠正期限，并保证在规定期限内及时改正。在10个工作日内，基金托管人有权随时对通知事项进行复查，督促基金管理人改正。基金管理人对基金托管人通知的违规事项未能在10个工作日内纠正的，基金托管人有权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基金托管人发现基金管理人有重大违规行为，应立即报告中国证监会，同时通知基金管理人在10个工作日内纠正。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基金托管人发现基金管理人的指令违反法律、行政法规和其他有关规定，或者违反《基金合同》约定的，应当拒绝执行，立即通知基金管理人，并及时向中国证监会报告。 </w:t>
      </w:r>
    </w:p>
    <w:p>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基金托管人发现基金管理人依据交易程序已经生效的指令违反法律、行政法规和其他有关规定，或者违反《基金合同》约定的，应当立即通知基金管理人，并及时向中国证监会报告。 </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 xml:space="preserve">根据《基金法》及其他有关法规、《基金合同》和本协议规定，基金管理人对基金托管人履行托管职责的情况进行核查，核查事项包括但不限于基金托管人是否安全保管基金财产、开立基金财产的资金账户和证券账户及债券托管账户，是否及时、准确复核基金管理人计算的基金资产净值和基金份额净值，是否根据基金管理人指令办理清算交收，如遇到问题是否及时反馈，是否按照法规规定和《基金合同》规定进行相关信息披露和监督基金投资运作等行为，是否对非公开信息保密。 </w:t>
      </w:r>
    </w:p>
    <w:p>
      <w:pPr>
        <w:pStyle w:val="7"/>
        <w:spacing w:before="0" w:beforeAutospacing="0" w:after="0" w:afterAutospacing="0" w:line="360" w:lineRule="auto"/>
        <w:ind w:firstLine="420"/>
        <w:rPr>
          <w:sz w:val="21"/>
          <w:szCs w:val="21"/>
        </w:rPr>
      </w:pPr>
      <w:r>
        <w:rPr>
          <w:rFonts w:hint="eastAsia"/>
          <w:sz w:val="21"/>
          <w:szCs w:val="21"/>
        </w:rPr>
        <w:t xml:space="preserve">基金管理人定期和不定期地对基金托管人保管的基金资产进行核查。基金托管人应积极配合基金管理人的核查行为，包括但不限于：提交相关资料以供基金管理人核查托管财产的完整性和真实性，在规定时间内答复并改正。 </w:t>
      </w:r>
    </w:p>
    <w:p>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10个工作日内纠正，基金托管人收到通知后应及时核对并以书面形式对基金管理人发出回函。在10个工作日内，基金管理人有权随时对通知事项进行复查，督促基金托管人改正。基金托管人对基金管理人通知的违规事项未能在10个工作日内纠正的，基金管理人应报告中国证监会。对基金管理人按照法规要求需向中国证监会报送基金监督报告的，基金托管人应积极配合提供相关数据资料和制度等。 </w:t>
      </w:r>
    </w:p>
    <w:p>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基金管理人发现基金托管人有重大违规行为，应立即报告中国证监会，同时通知基金托管人在10个工作日内纠正。 </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7"/>
        <w:spacing w:before="0" w:beforeAutospacing="0" w:after="0" w:afterAutospacing="0" w:line="360" w:lineRule="auto"/>
        <w:ind w:firstLine="420"/>
        <w:rPr>
          <w:sz w:val="21"/>
          <w:szCs w:val="21"/>
        </w:rPr>
      </w:pPr>
      <w:r>
        <w:rPr>
          <w:rFonts w:hint="eastAsia"/>
          <w:sz w:val="21"/>
          <w:szCs w:val="21"/>
        </w:rPr>
        <w:t xml:space="preserve">1、基金托管人应安全保管基金财产，未经基金管理人的指令，不得自行运用、处分、分配基金的任何资产。 </w:t>
      </w:r>
    </w:p>
    <w:p>
      <w:pPr>
        <w:pStyle w:val="7"/>
        <w:spacing w:before="0" w:beforeAutospacing="0" w:after="0" w:afterAutospacing="0" w:line="360" w:lineRule="auto"/>
        <w:ind w:firstLine="420"/>
        <w:rPr>
          <w:sz w:val="21"/>
          <w:szCs w:val="21"/>
        </w:rPr>
      </w:pPr>
      <w:r>
        <w:rPr>
          <w:rFonts w:hint="eastAsia"/>
          <w:sz w:val="21"/>
          <w:szCs w:val="21"/>
        </w:rPr>
        <w:t xml:space="preserve">2、基金财产应独立于基金管理人、基金托管人的固有财产。 </w:t>
      </w:r>
    </w:p>
    <w:p>
      <w:pPr>
        <w:pStyle w:val="7"/>
        <w:spacing w:before="0" w:beforeAutospacing="0" w:after="0" w:afterAutospacing="0" w:line="360" w:lineRule="auto"/>
        <w:ind w:firstLine="420"/>
        <w:rPr>
          <w:sz w:val="21"/>
          <w:szCs w:val="21"/>
        </w:rPr>
      </w:pPr>
      <w:r>
        <w:rPr>
          <w:rFonts w:hint="eastAsia"/>
          <w:sz w:val="21"/>
          <w:szCs w:val="21"/>
        </w:rPr>
        <w:t xml:space="preserve">3、基金托管人按照规定开立基金财产的资金账户、证券账户和债券托管账户等投资所需账户。 </w:t>
      </w:r>
    </w:p>
    <w:p>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4、基金托管人对所托管的不同基金财产分别设置账户，确保基金财产的完整和独立。 </w:t>
      </w:r>
    </w:p>
    <w:p>
      <w:pPr>
        <w:pStyle w:val="7"/>
        <w:spacing w:before="0" w:beforeAutospacing="0" w:after="0" w:afterAutospacing="0" w:line="360" w:lineRule="auto"/>
        <w:ind w:firstLine="420"/>
        <w:rPr>
          <w:sz w:val="21"/>
          <w:szCs w:val="21"/>
        </w:rPr>
      </w:pPr>
      <w:r>
        <w:rPr>
          <w:rFonts w:hint="eastAsia"/>
          <w:sz w:val="21"/>
          <w:szCs w:val="21"/>
        </w:rPr>
        <w:t xml:space="preserve">5、对于因为基金投资产生的应收资产和基金申购过程中产生的应收资产，应由基金管理人负责与有关当事人确定到账日期并通知基金托管人，到账日基金资产没有到达基金托管人处的，基金托管人应及时通知并配合基金管理人采取措施进行催收。由此给基金造成损失的，基金管理人应负责向有关当事人追偿基金的损失。基金托管人对此不承担任何责任。 </w:t>
      </w:r>
    </w:p>
    <w:p>
      <w:pPr>
        <w:pStyle w:val="7"/>
        <w:spacing w:before="0" w:beforeAutospacing="0" w:after="0" w:afterAutospacing="0" w:line="360" w:lineRule="auto"/>
        <w:ind w:firstLine="420"/>
        <w:rPr>
          <w:sz w:val="21"/>
          <w:szCs w:val="21"/>
        </w:rPr>
      </w:pPr>
      <w:r>
        <w:rPr>
          <w:rFonts w:hint="eastAsia"/>
          <w:sz w:val="21"/>
          <w:szCs w:val="21"/>
        </w:rPr>
        <w:t xml:space="preserve">6、除法律法规和基金合同另有规定外，基金托管人不得委托第三人托管基金财产。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（二）基金的银行存款账户的开立和管理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1、基金托管人应负责本基金银行存款账户的开立和管理。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2、基金托管人以本基金的名义在其营业机构开立基金的银行存款账户，并根据中国人民银行规定计息。本基金的银行预留印鉴由基金托管人制作、保管和使用。本基金的一切货币收支活动，包括但不限于投资、支付赎回金额、支付基金收益，均需通过本基金的银行存款账户进行。 </w:t>
      </w:r>
    </w:p>
    <w:p>
      <w:pPr>
        <w:pStyle w:val="7"/>
        <w:spacing w:before="0" w:beforeAutospacing="0" w:after="0" w:afterAutospacing="0" w:line="360" w:lineRule="auto"/>
        <w:ind w:firstLine="420"/>
        <w:rPr>
          <w:sz w:val="21"/>
          <w:szCs w:val="21"/>
        </w:rPr>
      </w:pPr>
      <w:r>
        <w:rPr>
          <w:rFonts w:hint="eastAsia"/>
          <w:sz w:val="21"/>
          <w:szCs w:val="21"/>
        </w:rPr>
        <w:t xml:space="preserve">3、本基金银行存款账户的开立和使用，限于满足开展本基金业务的需要。基金托管人和基金管理人不得假借基金的名义开立其他任何银行存款账户；亦不得使用基金的任何银行存款账户进行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4、基金托管人可以通过申请开通本基金银行账户的企业网上银行业务进行资金支付，并使用交通银行企业网上银行（简称“交通银行网银”）办理托管资产的资金结算汇划业务。 </w:t>
      </w:r>
    </w:p>
    <w:p>
      <w:pPr>
        <w:pStyle w:val="7"/>
        <w:spacing w:before="0" w:beforeAutospacing="0" w:after="0" w:afterAutospacing="0" w:line="360" w:lineRule="auto"/>
        <w:ind w:firstLine="420"/>
        <w:rPr>
          <w:sz w:val="21"/>
          <w:szCs w:val="21"/>
        </w:rPr>
      </w:pPr>
      <w:r>
        <w:rPr>
          <w:rFonts w:hint="eastAsia"/>
          <w:sz w:val="21"/>
          <w:szCs w:val="21"/>
        </w:rPr>
        <w:t xml:space="preserve">5、基金银行存款账户的管理应符合有关法律法规的规定。 </w:t>
      </w:r>
    </w:p>
    <w:p>
      <w:pPr>
        <w:pStyle w:val="7"/>
        <w:spacing w:before="0" w:beforeAutospacing="0" w:after="0" w:afterAutospacing="0" w:line="360" w:lineRule="auto"/>
        <w:ind w:firstLine="420"/>
        <w:rPr>
          <w:sz w:val="21"/>
          <w:szCs w:val="21"/>
        </w:rPr>
      </w:pPr>
      <w:r>
        <w:rPr>
          <w:rFonts w:hint="eastAsia"/>
          <w:sz w:val="21"/>
          <w:szCs w:val="21"/>
        </w:rPr>
        <w:t>6、基金托管人应严格管理基金在基金托管人处开立的银行存款账户、及时核查基金银行存款账户余额。</w:t>
      </w:r>
    </w:p>
    <w:p>
      <w:pPr>
        <w:pStyle w:val="7"/>
        <w:spacing w:before="0" w:beforeAutospacing="0" w:after="0" w:afterAutospacing="0" w:line="360" w:lineRule="auto"/>
        <w:ind w:firstLine="420"/>
        <w:rPr>
          <w:sz w:val="21"/>
          <w:szCs w:val="21"/>
        </w:rPr>
      </w:pPr>
      <w:r>
        <w:rPr>
          <w:rFonts w:hint="eastAsia"/>
          <w:sz w:val="21"/>
          <w:szCs w:val="21"/>
        </w:rPr>
        <w:t xml:space="preserve">（三）基金证券交收账户、资金交收账户的开立和管理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基金托管人以基金托管人和本基金联名的方式在中国证券登记结算有限责任公司开立证券账户。 </w:t>
      </w:r>
    </w:p>
    <w:p>
      <w:pPr>
        <w:pStyle w:val="7"/>
        <w:spacing w:before="0" w:beforeAutospacing="0" w:after="0" w:afterAutospacing="0" w:line="360" w:lineRule="auto"/>
        <w:ind w:firstLine="420"/>
        <w:rPr>
          <w:sz w:val="21"/>
          <w:szCs w:val="21"/>
        </w:rPr>
      </w:pPr>
      <w:r>
        <w:rPr>
          <w:rFonts w:hint="eastAsia"/>
          <w:sz w:val="21"/>
          <w:szCs w:val="21"/>
        </w:rPr>
        <w:t xml:space="preserve">基金证券账户的开立和使用，限于满足开展本基金业务的需要。基金托管人和基金管理人不得出借和未经对方同意擅自转让基金的任何证券账户；亦不得使用基金的任何账户进行本基金业务以外的活动。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基金管理人不得对基金证券交收账户、资金交收账户进行证券的超卖或超买。 </w:t>
      </w:r>
    </w:p>
    <w:p>
      <w:pPr>
        <w:pStyle w:val="7"/>
        <w:spacing w:before="0" w:beforeAutospacing="0" w:after="0" w:afterAutospacing="0" w:line="360" w:lineRule="auto"/>
        <w:ind w:firstLine="420"/>
        <w:rPr>
          <w:sz w:val="21"/>
          <w:szCs w:val="21"/>
        </w:rPr>
      </w:pPr>
      <w:r>
        <w:rPr>
          <w:rFonts w:hint="eastAsia"/>
          <w:sz w:val="21"/>
          <w:szCs w:val="21"/>
        </w:rPr>
        <w:t xml:space="preserve">若中国证监会或其他监管机构在本托管协议订立日之后允许基金从事其他投资品种的投资业务，涉及相关账户的开立、使用的，若无相关规定，则基金托管人比照并遵守上述关于账户开立、使用的规定。 </w:t>
      </w:r>
    </w:p>
    <w:p>
      <w:pPr>
        <w:pStyle w:val="7"/>
        <w:spacing w:before="0" w:beforeAutospacing="0" w:after="0" w:afterAutospacing="0" w:line="360" w:lineRule="auto"/>
        <w:ind w:firstLine="420"/>
        <w:rPr>
          <w:sz w:val="21"/>
          <w:szCs w:val="21"/>
        </w:rPr>
      </w:pPr>
      <w:r>
        <w:rPr>
          <w:rFonts w:hint="eastAsia"/>
          <w:sz w:val="21"/>
          <w:szCs w:val="21"/>
        </w:rPr>
        <w:t>基金托管人以基金托管人的名义在中国证券登记结算有限责任公司开立结算备付金账户，用于证券交易资金的结算。基金托管人以本基金的名义在托管人处开立基金的证券交易资金结算的二级结算备付金账户。</w:t>
      </w:r>
    </w:p>
    <w:p>
      <w:pPr>
        <w:pStyle w:val="7"/>
        <w:spacing w:before="0" w:beforeAutospacing="0" w:after="0" w:afterAutospacing="0" w:line="360" w:lineRule="auto"/>
        <w:ind w:firstLine="420"/>
        <w:rPr>
          <w:sz w:val="21"/>
          <w:szCs w:val="21"/>
        </w:rPr>
      </w:pPr>
      <w:r>
        <w:rPr>
          <w:rFonts w:hint="eastAsia"/>
          <w:sz w:val="21"/>
          <w:szCs w:val="21"/>
        </w:rPr>
        <w:t xml:space="preserve">（四）债券托管账户的开立和管理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负责在中央国债登记结算有限责任公司、银行间市场清算所股份有限公司以本基金的名义开立债券托管账户，并由基金托管人负责基金的债券及资金的清算。在上述手续办理完毕后，由基金托管人向人民银行进行报备。基金管理人负责申请基金进入全国银行间同业拆借市场进行交易，由基金管理人在中国外汇交易中心开设同业拆借市场交易账户。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2、基金管理人和基金托管人共同代表基金签订全国银行间债券市场债券回购主协议，协议正本由基金托管人保管，协议副本由基金管理人保存。 </w:t>
      </w:r>
    </w:p>
    <w:p>
      <w:pPr>
        <w:pStyle w:val="7"/>
        <w:spacing w:before="0" w:beforeAutospacing="0" w:after="0" w:afterAutospacing="0" w:line="360" w:lineRule="auto"/>
        <w:ind w:firstLine="420"/>
        <w:rPr>
          <w:sz w:val="21"/>
          <w:szCs w:val="21"/>
        </w:rPr>
      </w:pPr>
      <w:r>
        <w:rPr>
          <w:rFonts w:hint="eastAsia"/>
          <w:sz w:val="21"/>
          <w:szCs w:val="21"/>
        </w:rPr>
        <w:t xml:space="preserve">（五）其他账户的开立和管理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1、因业务发展需要而开立的其他账户，可以根据法律法规和基金合同的规定，由基金管理人协助基金托管人按照有关法律法规和基金合同的约定开立。新账户按有关规定使用并管理。 </w:t>
      </w:r>
    </w:p>
    <w:p>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pPr>
        <w:pStyle w:val="7"/>
        <w:spacing w:before="0" w:beforeAutospacing="0" w:after="0" w:afterAutospacing="0" w:line="360" w:lineRule="auto"/>
        <w:ind w:firstLine="420"/>
        <w:rPr>
          <w:sz w:val="21"/>
          <w:szCs w:val="21"/>
        </w:rPr>
      </w:pPr>
      <w:r>
        <w:rPr>
          <w:rFonts w:hint="eastAsia"/>
          <w:sz w:val="21"/>
          <w:szCs w:val="21"/>
        </w:rPr>
        <w:t xml:space="preserve">（六）基金实物证券、银行存款定期存单等有价凭证的保管 </w:t>
      </w:r>
    </w:p>
    <w:p>
      <w:pPr>
        <w:pStyle w:val="7"/>
        <w:spacing w:before="0" w:beforeAutospacing="0" w:after="0" w:afterAutospacing="0" w:line="360" w:lineRule="auto"/>
        <w:ind w:firstLine="420"/>
        <w:rPr>
          <w:sz w:val="21"/>
          <w:szCs w:val="21"/>
        </w:rPr>
      </w:pPr>
      <w:r>
        <w:rPr>
          <w:rFonts w:hint="eastAsia"/>
          <w:sz w:val="21"/>
          <w:szCs w:val="21"/>
        </w:rPr>
        <w:t xml:space="preserve">实物证券由基金托管人存放于托管银行的保管库，应与非本基金的其他实物证券分开保管；也可存入登记结算机构的代保管库，保管凭证由基金托管人持有。实物证券的购买和转让，由基金托管人根据基金管理人的指令办理。 </w:t>
      </w:r>
    </w:p>
    <w:p>
      <w:pPr>
        <w:pStyle w:val="7"/>
        <w:spacing w:before="0" w:beforeAutospacing="0" w:after="0" w:afterAutospacing="0" w:line="360" w:lineRule="auto"/>
        <w:ind w:firstLine="420"/>
        <w:rPr>
          <w:sz w:val="21"/>
          <w:szCs w:val="21"/>
        </w:rPr>
      </w:pPr>
      <w:r>
        <w:rPr>
          <w:rFonts w:hint="eastAsia"/>
          <w:sz w:val="21"/>
          <w:szCs w:val="21"/>
        </w:rPr>
        <w:t xml:space="preserve">银行存款定期存单等有价凭证由基金托管人负责保管。 </w:t>
      </w:r>
    </w:p>
    <w:p>
      <w:pPr>
        <w:pStyle w:val="7"/>
        <w:spacing w:before="0" w:beforeAutospacing="0" w:after="0" w:afterAutospacing="0" w:line="360" w:lineRule="auto"/>
        <w:ind w:firstLine="420"/>
        <w:rPr>
          <w:sz w:val="21"/>
          <w:szCs w:val="21"/>
        </w:rPr>
      </w:pPr>
      <w:r>
        <w:rPr>
          <w:rFonts w:hint="eastAsia"/>
          <w:sz w:val="21"/>
          <w:szCs w:val="21"/>
        </w:rPr>
        <w:t xml:space="preserve">属于基金托管人实际有效控制下的实物证券及银行定期存款存单等有价凭证在基金托管人保管期间的损坏、灭失，由此产生的责任应由基金托管人承担。基金托管人对由基金托管人以外机构实际有效控制的本基金资产不承担保管责任。 </w:t>
      </w:r>
    </w:p>
    <w:p>
      <w:pPr>
        <w:pStyle w:val="7"/>
        <w:spacing w:before="0" w:beforeAutospacing="0" w:after="0" w:afterAutospacing="0" w:line="360" w:lineRule="auto"/>
        <w:ind w:firstLine="420"/>
        <w:rPr>
          <w:sz w:val="21"/>
          <w:szCs w:val="21"/>
        </w:rPr>
      </w:pPr>
      <w:r>
        <w:rPr>
          <w:rFonts w:hint="eastAsia"/>
          <w:sz w:val="21"/>
          <w:szCs w:val="21"/>
        </w:rPr>
        <w:t xml:space="preserve">（七）与基金财产有关的重大合同的保管 </w:t>
      </w:r>
    </w:p>
    <w:p>
      <w:pPr>
        <w:pStyle w:val="7"/>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由基金托管人、基金管理人保管，相关业务程序另有限制除外。除本协议另有规定外，基金管理人在代基金签署与基金有关的重大合同时应尽可能保证持有二份以上的正本，以便基金管理人和基金托管人至少各持有一份正本的原件，基金管理人应及时将正本送达基金托管人处。合同的保管期限按照国家有关规定执行。 </w:t>
      </w:r>
    </w:p>
    <w:p>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对于无法取得二份以上的正本的，基金管理人应向基金托管人提供加盖授权业务章的合同传真件，未经双方协商或未在合同约定范围内，合同原件不得转移。 </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 </w:t>
      </w:r>
    </w:p>
    <w:p>
      <w:pPr>
        <w:pStyle w:val="7"/>
        <w:spacing w:before="0" w:beforeAutospacing="0" w:after="0" w:afterAutospacing="0" w:line="360" w:lineRule="auto"/>
        <w:ind w:firstLine="420"/>
        <w:rPr>
          <w:sz w:val="21"/>
          <w:szCs w:val="21"/>
        </w:rPr>
      </w:pPr>
      <w:r>
        <w:rPr>
          <w:rFonts w:hint="eastAsia"/>
          <w:sz w:val="21"/>
          <w:szCs w:val="21"/>
        </w:rPr>
        <w:t xml:space="preserve">（一）基金资产净值及基金份额净值的计算与复核 </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 </w:t>
      </w:r>
    </w:p>
    <w:p>
      <w:pPr>
        <w:pStyle w:val="7"/>
        <w:spacing w:before="0" w:beforeAutospacing="0" w:after="0" w:afterAutospacing="0" w:line="360" w:lineRule="auto"/>
        <w:ind w:firstLine="420"/>
        <w:rPr>
          <w:sz w:val="21"/>
          <w:szCs w:val="21"/>
        </w:rPr>
      </w:pPr>
      <w:r>
        <w:rPr>
          <w:rFonts w:hint="eastAsia"/>
          <w:sz w:val="21"/>
          <w:szCs w:val="21"/>
        </w:rPr>
        <w:t xml:space="preserve">基金管理人应每工作日对基金资产估值。估值原则应符合《基金合同》、《关于证券投资基金执行&lt;企业会计准则&gt;估值业务及份额净值计价有关事项的通知》及其他法律、法规的规定。基金资产净值和基金份额净值由基金管理人负责计算，基金托管人复核。基金管理人应于每个工作日交易结束后计算当日的基金资产净值，以电子文件方式发送给基金托管人。基金托管人对净值计算结果复核后，将复核结果以电子签名文件的方式通知基金管理人，由基金管理人对基金份额净值予以公布。待条件成熟后，双方可协商采用电子对账方式。 </w:t>
      </w:r>
    </w:p>
    <w:p>
      <w:pPr>
        <w:pStyle w:val="7"/>
        <w:spacing w:before="0" w:beforeAutospacing="0" w:after="0" w:afterAutospacing="0" w:line="360" w:lineRule="auto"/>
        <w:ind w:firstLine="420"/>
        <w:rPr>
          <w:sz w:val="21"/>
          <w:szCs w:val="21"/>
        </w:rPr>
      </w:pPr>
      <w:r>
        <w:rPr>
          <w:rFonts w:hint="eastAsia"/>
          <w:sz w:val="21"/>
          <w:szCs w:val="21"/>
        </w:rPr>
        <w:t xml:space="preserve">本基金估值方法如下： </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权证等），以其估值日在证券交易所挂牌的市价（收盘价）估值；估值日无交易的，且最近交易日后经济环境未发生重大变化，以最近交易日的市价（收盘价）估值；如最近交易日后经济环境发生了重大变化的，可参考类似投资品种的现行市价及重大变化因素，调整最近交易市价，或参考同业价格，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（2）交易所上市交易或挂牌转让的固定收益品种（本合同另有规定的除外），选取估值日第三方估值机构提供的相应品种对应的估值净价估值，具体估值机构由基金管理人与基金托管人另行协商约定；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（3）交易所上市不存在活跃市场的有价证券，采用估值技术确定公允价值。交易所上市的资产支持证券，采用估值技术确定公允价值，在估值技术难以可靠计量公允价值的情况下，按成本估值。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（1）送股、转增股、配股和公开增发的新股，按估值日在证券交易所挂牌的同一股票的市价（收盘价）估值；该日无交易的，以最近一日的市价（收盘价）估值；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（2）首次公开发行未上市的股票、债券和权证，采用估值技术确定公允价值，在估值技术难以可靠计量公允价值的情况下，按成本估值；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（3）首次公开发行有明确锁定期的股票，同一股票在交易所上市后，按交易所上市的同一股票的市价（收盘价）估值；非公开发行有明确锁定期的股票，按监管机构或行业协会有关规定确定公允价值；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3、本基金投资股指期货合约，一般以估值当日结算价进行估值，估值当日无结算价的，且最近交易日后经济环境未发生重大变化的，采用最近交易日结算价估值。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4、全国银行间债券市场交易的债券、资产支持证券等固定收益品种，采用估值技术确定公允价值；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5、同一债券同时在两个或两个以上市场交易的，按债券所处的市场分别估值；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6、本基金持有的目标ETF份额以其当日份额净值估值，当日无份额净值的，以最近工作日的份额净值估值； </w:t>
      </w:r>
    </w:p>
    <w:p>
      <w:pPr>
        <w:pStyle w:val="7"/>
        <w:spacing w:before="0" w:beforeAutospacing="0" w:after="0" w:afterAutospacing="0" w:line="360" w:lineRule="auto"/>
        <w:ind w:firstLine="420"/>
        <w:rPr>
          <w:sz w:val="21"/>
          <w:szCs w:val="21"/>
        </w:rPr>
      </w:pPr>
      <w:r>
        <w:rPr>
          <w:rFonts w:hint="eastAsia"/>
          <w:sz w:val="21"/>
          <w:szCs w:val="21"/>
        </w:rPr>
        <w:t xml:space="preserve">7、本基金投资期权，根据相关法律法规以及监管部门的规定估值。 </w:t>
      </w:r>
    </w:p>
    <w:p>
      <w:pPr>
        <w:pStyle w:val="7"/>
        <w:spacing w:before="0" w:beforeAutospacing="0" w:after="0" w:afterAutospacing="0" w:line="360" w:lineRule="auto"/>
        <w:ind w:firstLine="420"/>
        <w:rPr>
          <w:sz w:val="21"/>
          <w:szCs w:val="21"/>
        </w:rPr>
      </w:pPr>
      <w:r>
        <w:rPr>
          <w:rFonts w:hint="eastAsia"/>
          <w:sz w:val="21"/>
          <w:szCs w:val="21"/>
        </w:rPr>
        <w:t xml:space="preserve">8、本基金投资存托品质的估值核算，依照境内上市交易的股票执行。 </w:t>
      </w:r>
    </w:p>
    <w:p>
      <w:pPr>
        <w:pStyle w:val="7"/>
        <w:spacing w:before="0" w:beforeAutospacing="0" w:after="0" w:afterAutospacing="0" w:line="360" w:lineRule="auto"/>
        <w:ind w:firstLine="420"/>
        <w:rPr>
          <w:sz w:val="21"/>
          <w:szCs w:val="21"/>
        </w:rPr>
      </w:pPr>
      <w:r>
        <w:rPr>
          <w:rFonts w:hint="eastAsia"/>
          <w:sz w:val="21"/>
          <w:szCs w:val="21"/>
        </w:rPr>
        <w:t xml:space="preserve">9、如有确凿证据表明按上述方法进行估值不能客观反映其公允价值的，基金管理人可根据具体情况与基金托管人商定后，按最能反映公允价值的方法估值； </w:t>
      </w:r>
    </w:p>
    <w:p>
      <w:pPr>
        <w:pStyle w:val="7"/>
        <w:spacing w:before="0" w:beforeAutospacing="0" w:after="0" w:afterAutospacing="0" w:line="360" w:lineRule="auto"/>
        <w:ind w:firstLine="420"/>
        <w:rPr>
          <w:sz w:val="21"/>
          <w:szCs w:val="21"/>
        </w:rPr>
      </w:pPr>
      <w:r>
        <w:rPr>
          <w:rFonts w:hint="eastAsia"/>
          <w:sz w:val="21"/>
          <w:szCs w:val="21"/>
        </w:rPr>
        <w:t xml:space="preserve">10、相关法律法规以及监管部门有强制规定的，从其规定。如有新增事项，按国家最新规定估值。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发现基金估值违反基金合同订明的估值方法、程序以及相关法律法规的规定或者未能充分维护基金份额持有人利益时，发现方应及时通知对方，以约定的方法、程序和相关法律法规的规定进行估值，以维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根据《基金法》，本基金的基金会计责任方由基金管理人担任。因此，就与本基金有关的会计问题，如经相关各方在平等基础上充分讨论后，仍无法达成一致的意见，基金管理人有权按照其对基金净值的计算结果对外予以公布。 </w:t>
      </w:r>
    </w:p>
    <w:p>
      <w:pPr>
        <w:pStyle w:val="7"/>
        <w:spacing w:before="0" w:beforeAutospacing="0" w:after="0" w:afterAutospacing="0" w:line="360" w:lineRule="auto"/>
        <w:ind w:firstLine="420"/>
        <w:rPr>
          <w:sz w:val="21"/>
          <w:szCs w:val="21"/>
        </w:rPr>
      </w:pPr>
      <w:r>
        <w:rPr>
          <w:rFonts w:hint="eastAsia"/>
          <w:sz w:val="21"/>
          <w:szCs w:val="21"/>
        </w:rPr>
        <w:t xml:space="preserve">（二）净值差错处理 </w:t>
      </w:r>
    </w:p>
    <w:p>
      <w:pPr>
        <w:pStyle w:val="7"/>
        <w:spacing w:before="0" w:beforeAutospacing="0" w:after="0" w:afterAutospacing="0" w:line="360" w:lineRule="auto"/>
        <w:ind w:firstLine="420"/>
        <w:rPr>
          <w:sz w:val="21"/>
          <w:szCs w:val="21"/>
        </w:rPr>
      </w:pPr>
      <w:r>
        <w:rPr>
          <w:rFonts w:hint="eastAsia"/>
          <w:sz w:val="21"/>
          <w:szCs w:val="21"/>
        </w:rPr>
        <w:t xml:space="preserve">当发生净值计算错误时，由基金管理人负责处理，由此给基金份额持有人和基金造成损失的，由基金管理人对基金份额持有人或者基金先行支付赔偿金。基金管理人和基金托管人应根据实际情况界定双方承担的责任，经确认后按以下条款进行赔偿。 </w:t>
      </w:r>
    </w:p>
    <w:p>
      <w:pPr>
        <w:pStyle w:val="7"/>
        <w:spacing w:before="0" w:beforeAutospacing="0" w:after="0" w:afterAutospacing="0" w:line="360" w:lineRule="auto"/>
        <w:ind w:firstLine="420"/>
        <w:rPr>
          <w:sz w:val="21"/>
          <w:szCs w:val="21"/>
        </w:rPr>
      </w:pPr>
      <w:r>
        <w:rPr>
          <w:rFonts w:hint="eastAsia"/>
          <w:sz w:val="21"/>
          <w:szCs w:val="21"/>
        </w:rPr>
        <w:t xml:space="preserve">1、如采用本协议第八章“基金资产净值及基金份额净值的计算与复核”中估值方法的第1－8进行处理时，若基金管理人计算的基金份额净值已由基金托管人复核确认后公告，由此造成基金份额持有人损失的，应根据法律法规的规定对投资者或基金支付赔偿金，就实际向投资者或基金支付的赔偿金额，由基金管理人与基金托管人按照管理费率和托管费率的比例各自承担相应的责任； </w:t>
      </w:r>
    </w:p>
    <w:p>
      <w:pPr>
        <w:pStyle w:val="7"/>
        <w:spacing w:before="0" w:beforeAutospacing="0" w:after="0" w:afterAutospacing="0" w:line="360" w:lineRule="auto"/>
        <w:ind w:firstLine="420"/>
        <w:rPr>
          <w:sz w:val="21"/>
          <w:szCs w:val="21"/>
        </w:rPr>
      </w:pPr>
      <w:r>
        <w:rPr>
          <w:rFonts w:hint="eastAsia"/>
          <w:sz w:val="21"/>
          <w:szCs w:val="21"/>
        </w:rPr>
        <w:t xml:space="preserve">2、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以及因该交易日基金资产净值计算顺延错误而引起的损失，由基金管理人负责赔付，基金托管人不负赔偿责任； </w:t>
      </w:r>
    </w:p>
    <w:p>
      <w:pPr>
        <w:pStyle w:val="7"/>
        <w:spacing w:before="0" w:beforeAutospacing="0" w:after="0" w:afterAutospacing="0" w:line="360" w:lineRule="auto"/>
        <w:ind w:firstLine="420"/>
        <w:rPr>
          <w:sz w:val="21"/>
          <w:szCs w:val="21"/>
        </w:rPr>
      </w:pPr>
      <w:r>
        <w:rPr>
          <w:rFonts w:hint="eastAsia"/>
          <w:sz w:val="21"/>
          <w:szCs w:val="21"/>
        </w:rPr>
        <w:t xml:space="preserve">3、由于不可抗力原因，或由于证券、期货交易所及登记结算公司发送的数据错误等原因，基金管理人和基金托管人虽然已经采取必要、适当、合理的措施进行检查，但未能发现错误的，由此造成的基金财产估值错误，基金管理人和基金托管人可以免除赔偿责任。但基金管理人、基金托管人应当积极采取必要的措施消除或减轻由此造成的影响； </w:t>
      </w:r>
    </w:p>
    <w:p>
      <w:pPr>
        <w:pStyle w:val="7"/>
        <w:spacing w:before="0" w:beforeAutospacing="0" w:after="0" w:afterAutospacing="0" w:line="360" w:lineRule="auto"/>
        <w:ind w:firstLine="420"/>
        <w:rPr>
          <w:sz w:val="21"/>
          <w:szCs w:val="21"/>
        </w:rPr>
      </w:pPr>
      <w:r>
        <w:rPr>
          <w:rFonts w:hint="eastAsia"/>
          <w:sz w:val="21"/>
          <w:szCs w:val="21"/>
        </w:rPr>
        <w:t xml:space="preserve">4、基金管理人、基金托管人按估值方法的第9项进行估值时，所造成的误差不作为基金份额净值错误处理。 </w:t>
      </w:r>
    </w:p>
    <w:p>
      <w:pPr>
        <w:pStyle w:val="7"/>
        <w:spacing w:before="0" w:beforeAutospacing="0" w:after="0" w:afterAutospacing="0" w:line="360" w:lineRule="auto"/>
        <w:ind w:firstLine="420"/>
        <w:rPr>
          <w:sz w:val="21"/>
          <w:szCs w:val="21"/>
        </w:rPr>
      </w:pPr>
      <w:r>
        <w:rPr>
          <w:rFonts w:hint="eastAsia"/>
          <w:sz w:val="21"/>
          <w:szCs w:val="21"/>
        </w:rPr>
        <w:t xml:space="preserve">针对净值差错处理，如果法律法规或证监会有新的规定，则按新的规定执行；如果行业有通行做法，在不违背法律法规且不损害投资者利益的前提下，相关各方当事人应本着平等和保护基金份额持有人利益的原则重新协商确定处理原则。 </w:t>
      </w:r>
    </w:p>
    <w:p>
      <w:pPr>
        <w:pStyle w:val="7"/>
        <w:spacing w:before="0" w:beforeAutospacing="0" w:after="0" w:afterAutospacing="0" w:line="360" w:lineRule="auto"/>
        <w:ind w:firstLine="420"/>
        <w:rPr>
          <w:sz w:val="21"/>
          <w:szCs w:val="21"/>
        </w:rPr>
      </w:pPr>
      <w:r>
        <w:rPr>
          <w:rFonts w:hint="eastAsia"/>
          <w:sz w:val="21"/>
          <w:szCs w:val="21"/>
        </w:rPr>
        <w:t xml:space="preserve">（三）暂停估值的情形 </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1、基金投资所涉及的证券、期货交易所遇法定节假日或因其他原因暂停营业时；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2、因不可抗力或其他情形致使基金管理人、基金托管人无法准确评估基金资产价值时；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3、所投资的目标ETF暂停估值时； </w:t>
      </w:r>
    </w:p>
    <w:p>
      <w:pPr>
        <w:pStyle w:val="7"/>
        <w:spacing w:before="0" w:beforeAutospacing="0" w:after="0" w:afterAutospacing="0" w:line="360" w:lineRule="auto"/>
        <w:ind w:firstLine="420"/>
        <w:rPr>
          <w:sz w:val="21"/>
          <w:szCs w:val="21"/>
        </w:rPr>
      </w:pPr>
      <w:r>
        <w:rPr>
          <w:rFonts w:hint="eastAsia"/>
          <w:sz w:val="21"/>
          <w:szCs w:val="21"/>
        </w:rPr>
        <w:t xml:space="preserve">4、当前一估值日基金资产净值50%以上的资产出现无可参考的活跃市场价格且采用估值技术仍导致公允价值存在重大不确定性时，基金管理人经与基金托管人协商确认的； </w:t>
      </w:r>
    </w:p>
    <w:p>
      <w:pPr>
        <w:pStyle w:val="7"/>
        <w:spacing w:before="0" w:beforeAutospacing="0" w:after="0" w:afterAutospacing="0" w:line="360" w:lineRule="auto"/>
        <w:ind w:firstLine="420"/>
        <w:rPr>
          <w:sz w:val="21"/>
          <w:szCs w:val="21"/>
        </w:rPr>
      </w:pPr>
      <w:r>
        <w:rPr>
          <w:rFonts w:hint="eastAsia"/>
          <w:sz w:val="21"/>
          <w:szCs w:val="21"/>
        </w:rPr>
        <w:t xml:space="preserve">5、中国证监会和基金合同认定的其他情形。 </w:t>
      </w:r>
    </w:p>
    <w:p>
      <w:pPr>
        <w:pStyle w:val="7"/>
        <w:spacing w:before="0" w:beforeAutospacing="0" w:after="0" w:afterAutospacing="0" w:line="360" w:lineRule="auto"/>
        <w:ind w:firstLine="420"/>
        <w:rPr>
          <w:sz w:val="21"/>
          <w:szCs w:val="21"/>
        </w:rPr>
      </w:pPr>
      <w:r>
        <w:rPr>
          <w:rFonts w:hint="eastAsia"/>
          <w:sz w:val="21"/>
          <w:szCs w:val="21"/>
        </w:rPr>
        <w:t xml:space="preserve">（四）基金会计制度 </w:t>
      </w:r>
    </w:p>
    <w:p>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pPr>
        <w:pStyle w:val="7"/>
        <w:spacing w:before="0" w:beforeAutospacing="0" w:after="0" w:afterAutospacing="0" w:line="360" w:lineRule="auto"/>
        <w:ind w:firstLine="420"/>
        <w:rPr>
          <w:sz w:val="21"/>
          <w:szCs w:val="21"/>
        </w:rPr>
      </w:pPr>
      <w:r>
        <w:rPr>
          <w:rFonts w:hint="eastAsia"/>
          <w:sz w:val="21"/>
          <w:szCs w:val="21"/>
        </w:rPr>
        <w:t xml:space="preserve">（五）基金账册的建立 </w:t>
      </w:r>
    </w:p>
    <w:p>
      <w:pPr>
        <w:pStyle w:val="7"/>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双方约定的同一记账方法和会计处理原则，分别独立地设置、登录和保管本基金的全套账册，对相关各方各自的账册定期进行核对，互相监督，以保证基金财产的安全。若双方对会计处理方法存在分歧，应以基金管理人的处理方法为准。 </w:t>
      </w:r>
    </w:p>
    <w:p>
      <w:pPr>
        <w:pStyle w:val="7"/>
        <w:spacing w:before="0" w:beforeAutospacing="0" w:after="0" w:afterAutospacing="0" w:line="360" w:lineRule="auto"/>
        <w:ind w:firstLine="420"/>
        <w:rPr>
          <w:sz w:val="21"/>
          <w:szCs w:val="21"/>
        </w:rPr>
      </w:pPr>
      <w:r>
        <w:rPr>
          <w:rFonts w:hint="eastAsia"/>
          <w:sz w:val="21"/>
          <w:szCs w:val="21"/>
        </w:rPr>
        <w:t xml:space="preserve">（六）会计数据和财务指标的核对 </w:t>
      </w:r>
    </w:p>
    <w:p>
      <w:pPr>
        <w:pStyle w:val="7"/>
        <w:spacing w:before="0" w:beforeAutospacing="0" w:after="0" w:afterAutospacing="0" w:line="360" w:lineRule="auto"/>
        <w:ind w:firstLine="420"/>
        <w:rPr>
          <w:sz w:val="21"/>
          <w:szCs w:val="21"/>
        </w:rPr>
      </w:pPr>
      <w:r>
        <w:rPr>
          <w:rFonts w:hint="eastAsia"/>
          <w:sz w:val="21"/>
          <w:szCs w:val="21"/>
        </w:rPr>
        <w:t xml:space="preserve">双方应每个交易日核对账目，如发现双方的账目存在不符的，基金管理人和基金托管人必须及时查明原因并纠正，保证相关各方平行登录的账册记录完全相符。若当日核对不符，暂时无法查找到错账的原因而影响到基金净值的计算和公告的，以基金管理人的账册为准。 </w:t>
      </w:r>
    </w:p>
    <w:p>
      <w:pPr>
        <w:pStyle w:val="7"/>
        <w:spacing w:before="0" w:beforeAutospacing="0" w:after="0" w:afterAutospacing="0" w:line="360" w:lineRule="auto"/>
        <w:ind w:firstLine="420"/>
        <w:rPr>
          <w:sz w:val="21"/>
          <w:szCs w:val="21"/>
        </w:rPr>
      </w:pPr>
      <w:r>
        <w:rPr>
          <w:rFonts w:hint="eastAsia"/>
          <w:sz w:val="21"/>
          <w:szCs w:val="21"/>
        </w:rPr>
        <w:t xml:space="preserve">（七）基金定期报告的编制和复核 </w:t>
      </w:r>
    </w:p>
    <w:p>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和基金托管人每月分别独立编制。月度报表的编制，应于每月终了后5个工作日内完成。定期报告文件应按中国证监会公布的《公开募集证券投资基金信息披露管理办法》要求公告。季度报表的编制，应于每季度终了后15个工作日内完成； </w:t>
      </w:r>
    </w:p>
    <w:p>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中期报告在基金会计年度前6个月结束后的两个月内公告；年度报告在会计年度结束后三个月内公告。 </w:t>
      </w:r>
    </w:p>
    <w:p>
      <w:pPr>
        <w:pStyle w:val="7"/>
        <w:spacing w:before="0" w:beforeAutospacing="0" w:after="0" w:afterAutospacing="0" w:line="360" w:lineRule="auto"/>
        <w:ind w:firstLine="420"/>
        <w:rPr>
          <w:sz w:val="21"/>
          <w:szCs w:val="21"/>
        </w:rPr>
      </w:pPr>
      <w:r>
        <w:rPr>
          <w:rFonts w:hint="eastAsia"/>
          <w:sz w:val="21"/>
          <w:szCs w:val="21"/>
        </w:rPr>
        <w:t xml:space="preserve">基金管理人在月度报表完成当日，对报表加盖公章后，以加密传真方式将有关报表提供基金托管人；基金托管人在2个工作日内进行复核，并将复核结果及时书面通知基金管理人。基金管理人在季度报表完成当日，以电子文件方式将有关报表提供基金托管人；基金托管人在5个工作日内进行复核，并将复核结果及时以书面和电子文件签名的方式通知基金管理人。基金管理人在更新招募说明书完成当日，将有关报告提供基金托管人，基金托管人在收到应及时进行复核，并将复核结果书面通知基金管理人。基金管理人在中期报告完成当日，将有关报告提供基金托管人，基金托管人在收到后20日内进行复核，并将复核结果书面通知基金管理人。基金管理人在年度报告完成当日，将有关报告提供基金托管人，基金托管人在收到后30日内复核，并将复核结果书面通知基金管理人。基金托管人在复核过程中，发现相关各方的报表存在不符时，基金管理人和基金托管人应共同查明原因，进行调整，调整以相关各方认可的账务处理方式为准。若双方无法达成一致，以基金管理人的账务处理为准。核对无误后，基金托管人在基金管理人提供的报告上加盖公章，相关各方各自留存一份。 </w:t>
      </w:r>
    </w:p>
    <w:p>
      <w:pPr>
        <w:pStyle w:val="7"/>
        <w:spacing w:before="0" w:beforeAutospacing="0" w:after="0" w:afterAutospacing="0" w:line="360" w:lineRule="auto"/>
        <w:ind w:firstLine="420"/>
        <w:rPr>
          <w:sz w:val="21"/>
          <w:szCs w:val="21"/>
        </w:rPr>
      </w:pPr>
      <w:r>
        <w:rPr>
          <w:rFonts w:hint="eastAsia"/>
          <w:sz w:val="21"/>
          <w:szCs w:val="21"/>
        </w:rPr>
        <w:t xml:space="preserve">基金托管人在对财务报表、季度报告、中期报告或年度报告复核完毕后，需盖章确认或出具相应的复核确认书，以备有权机构对相关文件审核检查。 </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六、基金份额持有人名册的登记与保管 </w:t>
      </w:r>
    </w:p>
    <w:p>
      <w:pPr>
        <w:pStyle w:val="7"/>
        <w:spacing w:before="0" w:beforeAutospacing="0" w:after="0" w:afterAutospacing="0" w:line="360" w:lineRule="auto"/>
        <w:ind w:firstLine="420"/>
        <w:rPr>
          <w:sz w:val="21"/>
          <w:szCs w:val="21"/>
        </w:rPr>
      </w:pPr>
      <w:r>
        <w:rPr>
          <w:rFonts w:hint="eastAsia"/>
          <w:sz w:val="21"/>
          <w:szCs w:val="21"/>
        </w:rPr>
        <w:t xml:space="preserve">基金管理人可委托基金登记机构登记和保管基金份额持有人名册。基金份额持有人名册的内容包括但不限于基金份额持有人的名称和持有的基金份额。 </w:t>
      </w:r>
    </w:p>
    <w:p>
      <w:pPr>
        <w:pStyle w:val="7"/>
        <w:spacing w:before="0" w:beforeAutospacing="0" w:after="0" w:afterAutospacing="0" w:line="360" w:lineRule="auto"/>
        <w:ind w:firstLine="420"/>
        <w:rPr>
          <w:sz w:val="21"/>
          <w:szCs w:val="21"/>
        </w:rPr>
      </w:pPr>
      <w:r>
        <w:rPr>
          <w:rFonts w:hint="eastAsia"/>
          <w:sz w:val="21"/>
          <w:szCs w:val="21"/>
        </w:rPr>
        <w:t xml:space="preserve">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 </w:t>
      </w:r>
    </w:p>
    <w:p>
      <w:pPr>
        <w:pStyle w:val="7"/>
        <w:spacing w:before="0" w:beforeAutospacing="0" w:after="0" w:afterAutospacing="0" w:line="360" w:lineRule="auto"/>
        <w:ind w:firstLine="420"/>
        <w:rPr>
          <w:sz w:val="21"/>
          <w:szCs w:val="21"/>
        </w:rPr>
      </w:pPr>
      <w:r>
        <w:rPr>
          <w:rFonts w:hint="eastAsia"/>
          <w:sz w:val="21"/>
          <w:szCs w:val="21"/>
        </w:rPr>
        <w:t xml:space="preserve">基金管理人应根据基金托管人的要求定期和不定期向基金托管人提供基金份额持有人名册。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（一）基金管理人于《基金合同》生效日及《基金合同》终止日后10个工作日内向基金托管人提供由登记机构编制的基金份额持有人名册；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（二）基金管理人于基金份额持有人大会权益登记日后5个工作日内向基金托管人提供由登记机构编制的基金份额持有人名册；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（三）基金管理人于每年最后一个交易日后10个工作日内向基金托管人提供由登记机构编制的基金份额持有人名册；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（四）除上述约定时间外，如果确因业务需要，基金托管人与基金管理人商议一致后，由基金管理人向基金托管人提供由登记机构编制的基金份额持有人名册。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基金托管人以电子版形式妥善保管基金份额持有人名册，并定期刻成光盘备份，保存期限为15年。基金托管人不得将所保管的基金份额持有人名册用于基金托管业务以外的其他用途，并应遵守保密义务。 </w:t>
      </w:r>
    </w:p>
    <w:p>
      <w:pPr>
        <w:pStyle w:val="7"/>
        <w:spacing w:before="0" w:beforeAutospacing="0" w:after="0" w:afterAutospacing="0" w:line="360" w:lineRule="auto"/>
        <w:ind w:firstLine="420"/>
        <w:rPr>
          <w:sz w:val="21"/>
          <w:szCs w:val="21"/>
        </w:rPr>
      </w:pPr>
      <w:r>
        <w:rPr>
          <w:rStyle w:val="11"/>
          <w:rFonts w:hint="eastAsia"/>
          <w:sz w:val="21"/>
          <w:szCs w:val="21"/>
        </w:rPr>
        <w:t>七、争议解决方式 </w:t>
      </w:r>
    </w:p>
    <w:p>
      <w:pPr>
        <w:pStyle w:val="7"/>
        <w:spacing w:before="0" w:beforeAutospacing="0" w:after="0" w:afterAutospacing="0" w:line="360" w:lineRule="auto"/>
        <w:ind w:firstLine="420"/>
        <w:rPr>
          <w:sz w:val="21"/>
          <w:szCs w:val="21"/>
        </w:rPr>
      </w:pPr>
      <w:r>
        <w:rPr>
          <w:rFonts w:hint="eastAsia"/>
          <w:sz w:val="21"/>
          <w:szCs w:val="21"/>
        </w:rPr>
        <w:t xml:space="preserve">相关各方当事人同意，因本协议而产生的或与本协议有关的一切争议，应通过友好协商或者调解解决。托管协议当事人不愿通过协商、调解解决或者协商、调解不成的，任何一方当事人均有权将争议提交中国国际经济贸易仲裁委员会，根据该会当时有效的仲裁规则进行仲裁，仲裁地点上海市，仲裁裁决是终局的，并对相关各方当事人均有约束力，仲裁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争议处理期间，相关各方当事人应恪守基金管理人和基金托管人职责，继续忠实、勤勉、尽责地履行《基金合同》和本协议规定的义务，维护基金份额持有人的合法权益。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本协议受中华人民共和国法律管辖。 </w:t>
      </w:r>
    </w:p>
    <w:p>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 </w:t>
      </w:r>
    </w:p>
    <w:p>
      <w:pPr>
        <w:pStyle w:val="7"/>
        <w:spacing w:before="0" w:beforeAutospacing="0" w:after="0" w:afterAutospacing="0" w:line="360" w:lineRule="auto"/>
        <w:ind w:firstLine="420"/>
        <w:rPr>
          <w:sz w:val="21"/>
          <w:szCs w:val="21"/>
        </w:rPr>
      </w:pPr>
      <w:r>
        <w:rPr>
          <w:rFonts w:hint="eastAsia"/>
          <w:sz w:val="21"/>
          <w:szCs w:val="21"/>
        </w:rPr>
        <w:t xml:space="preserve">（一）基金托管协议的变更 </w:t>
      </w:r>
    </w:p>
    <w:p>
      <w:pPr>
        <w:pStyle w:val="7"/>
        <w:spacing w:before="0" w:beforeAutospacing="0" w:after="0" w:afterAutospacing="0" w:line="360" w:lineRule="auto"/>
        <w:ind w:firstLine="420"/>
        <w:rPr>
          <w:sz w:val="21"/>
          <w:szCs w:val="21"/>
        </w:rPr>
      </w:pPr>
      <w:r>
        <w:rPr>
          <w:rFonts w:hint="eastAsia"/>
          <w:sz w:val="21"/>
          <w:szCs w:val="21"/>
        </w:rPr>
        <w:t xml:space="preserve">本协议相关各方当事人经协商一致，可以对协议进行修改。修改后的新协议，其内容不得与《基金合同》的规定有任何冲突。修改后的新协议，应报中国证监会备案。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（二）基金托管协议的终止 </w:t>
      </w:r>
    </w:p>
    <w:p>
      <w:pPr>
        <w:pStyle w:val="7"/>
        <w:spacing w:before="0" w:beforeAutospacing="0" w:after="0" w:afterAutospacing="0" w:line="360" w:lineRule="auto"/>
        <w:ind w:firstLine="420"/>
        <w:rPr>
          <w:sz w:val="21"/>
          <w:szCs w:val="21"/>
        </w:rPr>
      </w:pPr>
      <w:r>
        <w:rPr>
          <w:rFonts w:hint="eastAsia"/>
          <w:sz w:val="21"/>
          <w:szCs w:val="21"/>
        </w:rPr>
        <w:t xml:space="preserve">1、《基金合同》终止； </w:t>
      </w:r>
    </w:p>
    <w:p>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2、基金托管人解散、依法被撤销、破产，被依法取消基金托管资格或因其他事由造成其他基金托管人接管基金财产； </w:t>
      </w:r>
    </w:p>
    <w:p>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3、基金管理人解散、依法被撤销、破产，被依法取消基金管理资格或因其他事由造成其他基金管理人接管基金管理权； </w:t>
      </w:r>
    </w:p>
    <w:p>
      <w:pPr>
        <w:pStyle w:val="7"/>
        <w:spacing w:before="0" w:beforeAutospacing="0" w:after="0" w:afterAutospacing="0" w:line="360" w:lineRule="auto"/>
        <w:ind w:firstLine="420"/>
        <w:rPr>
          <w:sz w:val="21"/>
          <w:szCs w:val="21"/>
        </w:rPr>
      </w:pPr>
      <w:r>
        <w:rPr>
          <w:rFonts w:hint="eastAsia"/>
          <w:sz w:val="21"/>
          <w:szCs w:val="21"/>
        </w:rPr>
        <w:t xml:space="preserve">4、发生《基金法》、《销售办法》、《运作办法》或其他法律法规规定的终止事项。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1、基金财产清算组 </w:t>
      </w:r>
    </w:p>
    <w:p>
      <w:pPr>
        <w:pStyle w:val="7"/>
        <w:spacing w:before="0" w:beforeAutospacing="0" w:after="0" w:afterAutospacing="0" w:line="360" w:lineRule="auto"/>
        <w:ind w:firstLine="420"/>
        <w:rPr>
          <w:sz w:val="21"/>
          <w:szCs w:val="21"/>
        </w:rPr>
      </w:pPr>
      <w:r>
        <w:rPr>
          <w:rFonts w:hint="eastAsia"/>
          <w:sz w:val="21"/>
          <w:szCs w:val="21"/>
        </w:rPr>
        <w:t xml:space="preserve">在基金财产清算组接管基金财产之前，基金管理人和基金托管人应按照《基金合同》和本协议的规定继续履行保护基金资产安全的职责。 </w:t>
      </w:r>
    </w:p>
    <w:p>
      <w:pPr>
        <w:pStyle w:val="7"/>
        <w:spacing w:before="0" w:beforeAutospacing="0" w:after="0" w:afterAutospacing="0" w:line="360" w:lineRule="auto"/>
        <w:ind w:firstLine="420"/>
        <w:rPr>
          <w:sz w:val="21"/>
          <w:szCs w:val="21"/>
        </w:rPr>
      </w:pPr>
      <w:r>
        <w:rPr>
          <w:rFonts w:hint="eastAsia"/>
          <w:sz w:val="21"/>
          <w:szCs w:val="21"/>
        </w:rPr>
        <w:t xml:space="preserve">（1）基金财产清算组组成：基金财产清算组成员由基金管理人、基金托管人、基金注册登记机构、具有从事证券、期货相关业务资格的注册会计师、律师以及中国证监会指定的人员组成。基金财产清算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（2）基金财产清算组职责：基金财产清算组负责基金财产的保管、清理、估价、变现和分配。基金财产清算组可以依法进行必要的民事活动。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2、基金财产清算程序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基金财产清算的期限为六个月。 </w:t>
      </w:r>
    </w:p>
    <w:p>
      <w:pPr>
        <w:pStyle w:val="7"/>
        <w:spacing w:before="0" w:beforeAutospacing="0" w:after="0" w:afterAutospacing="0" w:line="360" w:lineRule="auto"/>
        <w:ind w:firstLine="420"/>
        <w:rPr>
          <w:sz w:val="21"/>
          <w:szCs w:val="21"/>
        </w:rPr>
      </w:pPr>
      <w:r>
        <w:rPr>
          <w:rFonts w:hint="eastAsia"/>
          <w:sz w:val="21"/>
          <w:szCs w:val="21"/>
        </w:rPr>
        <w:t xml:space="preserve">3、清算费用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清算费用是指基金财产清算组在进行基金财产清算过程中发生的所有合理费用，清算费用由基金财产清算组优先从基金财产中支付。 </w:t>
      </w:r>
    </w:p>
    <w:p>
      <w:pPr>
        <w:pStyle w:val="7"/>
        <w:spacing w:before="0" w:beforeAutospacing="0" w:after="0" w:afterAutospacing="0" w:line="360" w:lineRule="auto"/>
        <w:ind w:firstLine="420"/>
        <w:rPr>
          <w:sz w:val="21"/>
          <w:szCs w:val="21"/>
        </w:rPr>
      </w:pPr>
      <w:r>
        <w:rPr>
          <w:rFonts w:hint="eastAsia"/>
          <w:sz w:val="21"/>
          <w:szCs w:val="21"/>
        </w:rPr>
        <w:t xml:space="preserve">4、基金剩余财产的分配 </w:t>
      </w:r>
    </w:p>
    <w:p>
      <w:pPr>
        <w:pStyle w:val="7"/>
        <w:spacing w:before="0" w:beforeAutospacing="0" w:after="0" w:afterAutospacing="0" w:line="360" w:lineRule="auto"/>
        <w:ind w:firstLine="420"/>
        <w:rPr>
          <w:sz w:val="21"/>
          <w:szCs w:val="21"/>
        </w:rPr>
      </w:pPr>
      <w:r>
        <w:rPr>
          <w:rFonts w:hint="eastAsia"/>
          <w:sz w:val="21"/>
          <w:szCs w:val="21"/>
        </w:rPr>
        <w:t xml:space="preserve">基金财产按如下顺序进行清偿 </w:t>
      </w:r>
    </w:p>
    <w:p>
      <w:pPr>
        <w:pStyle w:val="7"/>
        <w:spacing w:before="0" w:beforeAutospacing="0" w:after="0" w:afterAutospacing="0" w:line="360" w:lineRule="auto"/>
        <w:ind w:firstLine="420"/>
        <w:rPr>
          <w:sz w:val="21"/>
          <w:szCs w:val="21"/>
        </w:rPr>
      </w:pPr>
      <w:r>
        <w:rPr>
          <w:rFonts w:hint="eastAsia"/>
          <w:sz w:val="21"/>
          <w:szCs w:val="21"/>
        </w:rPr>
        <w:t xml:space="preserve">（1）支付基金财产清算费用； </w:t>
      </w:r>
    </w:p>
    <w:p>
      <w:pPr>
        <w:pStyle w:val="7"/>
        <w:spacing w:before="0" w:beforeAutospacing="0" w:after="0" w:afterAutospacing="0" w:line="360" w:lineRule="auto"/>
        <w:ind w:firstLine="420"/>
        <w:rPr>
          <w:sz w:val="21"/>
          <w:szCs w:val="21"/>
        </w:rPr>
      </w:pPr>
      <w:r>
        <w:rPr>
          <w:rFonts w:hint="eastAsia"/>
          <w:sz w:val="21"/>
          <w:szCs w:val="21"/>
        </w:rPr>
        <w:t xml:space="preserve">（2）缴纳基金所欠税款； </w:t>
      </w:r>
    </w:p>
    <w:p>
      <w:pPr>
        <w:pStyle w:val="7"/>
        <w:spacing w:before="0" w:beforeAutospacing="0" w:after="0" w:afterAutospacing="0" w:line="360" w:lineRule="auto"/>
        <w:ind w:firstLine="420"/>
        <w:rPr>
          <w:sz w:val="21"/>
          <w:szCs w:val="21"/>
        </w:rPr>
      </w:pPr>
      <w:r>
        <w:rPr>
          <w:rFonts w:hint="eastAsia"/>
          <w:sz w:val="21"/>
          <w:szCs w:val="21"/>
        </w:rPr>
        <w:t xml:space="preserve">（3）清偿基金债务； </w:t>
      </w:r>
    </w:p>
    <w:p>
      <w:pPr>
        <w:pStyle w:val="7"/>
        <w:spacing w:before="0" w:beforeAutospacing="0" w:after="0" w:afterAutospacing="0" w:line="360" w:lineRule="auto"/>
        <w:ind w:firstLine="420"/>
        <w:rPr>
          <w:sz w:val="21"/>
          <w:szCs w:val="21"/>
        </w:rPr>
      </w:pPr>
      <w:r>
        <w:rPr>
          <w:rFonts w:hint="eastAsia"/>
          <w:sz w:val="21"/>
          <w:szCs w:val="21"/>
        </w:rPr>
        <w:t xml:space="preserve">（4）清算后如有余额，按基金份额持有人持有的基金份额比例进行分配。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小组成立后2日内应就清算小组的成立进行公告；清算过程中的有关重大事项须及时公告。基金财产清算组做出的清算报告经具有证券、期货相关业务资格的会计师事务所审计、律师事务所出具法律意见书后，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6、基金财产清算账册及文件的保存 </w:t>
      </w:r>
    </w:p>
    <w:p>
      <w:pPr>
        <w:pStyle w:val="7"/>
        <w:spacing w:before="0" w:beforeAutospacing="0" w:after="0" w:afterAutospacing="0" w:line="360" w:lineRule="auto"/>
        <w:ind w:firstLine="420"/>
        <w:rPr>
          <w:sz w:val="21"/>
          <w:szCs w:val="21"/>
        </w:rPr>
      </w:pPr>
      <w:bookmarkStart w:id="179" w:name="chapter_level1_22_72_section_1_end"/>
      <w:bookmarkEnd w:id="179"/>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0" w:name="_Toc207979144"/>
      <w:bookmarkStart w:id="181" w:name="chapter_level1_23_75"/>
      <w:r>
        <w:rPr>
          <w:rFonts w:hint="eastAsia" w:ascii="宋体" w:hAnsi="宋体" w:eastAsia="宋体"/>
          <w:sz w:val="30"/>
        </w:rPr>
        <w:t>第二十部分  对基金份额持有人的服务</w:t>
      </w:r>
      <w:bookmarkEnd w:id="180"/>
      <w:bookmarkEnd w:id="181"/>
    </w:p>
    <w:p>
      <w:pPr>
        <w:pStyle w:val="7"/>
        <w:spacing w:before="0" w:beforeAutospacing="0" w:after="0" w:afterAutospacing="0" w:line="360" w:lineRule="auto"/>
        <w:ind w:firstLine="420"/>
        <w:rPr>
          <w:sz w:val="21"/>
          <w:szCs w:val="21"/>
        </w:rPr>
      </w:pPr>
      <w:bookmarkStart w:id="182" w:name="chapter_level1_23_75_section_1"/>
      <w:bookmarkEnd w:id="182"/>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 xml:space="preserve">1、交易确认单 </w:t>
      </w:r>
    </w:p>
    <w:p>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7"/>
        <w:spacing w:before="0" w:beforeAutospacing="0" w:after="0" w:afterAutospacing="0" w:line="360" w:lineRule="auto"/>
        <w:ind w:firstLine="420"/>
        <w:rPr>
          <w:sz w:val="21"/>
          <w:szCs w:val="21"/>
        </w:rPr>
      </w:pPr>
      <w:r>
        <w:rPr>
          <w:rFonts w:hint="eastAsia"/>
          <w:sz w:val="21"/>
          <w:szCs w:val="21"/>
        </w:rPr>
        <w:t xml:space="preserve">2、电子对账单 </w:t>
      </w:r>
    </w:p>
    <w:p>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7"/>
        <w:spacing w:before="0" w:beforeAutospacing="0" w:after="0" w:afterAutospacing="0" w:line="360" w:lineRule="auto"/>
        <w:ind w:firstLine="420"/>
        <w:rPr>
          <w:sz w:val="21"/>
          <w:szCs w:val="21"/>
        </w:rPr>
      </w:pPr>
      <w:r>
        <w:rPr>
          <w:rFonts w:hint="eastAsia"/>
          <w:sz w:val="21"/>
          <w:szCs w:val="21"/>
        </w:rPr>
        <w:t xml:space="preserve">1、自助开户交易 </w:t>
      </w:r>
    </w:p>
    <w:p>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7"/>
        <w:spacing w:before="0" w:beforeAutospacing="0" w:after="0" w:afterAutospacing="0" w:line="360" w:lineRule="auto"/>
        <w:ind w:firstLine="420"/>
        <w:rPr>
          <w:sz w:val="21"/>
          <w:szCs w:val="21"/>
        </w:rPr>
      </w:pPr>
      <w:r>
        <w:rPr>
          <w:rFonts w:hint="eastAsia"/>
          <w:sz w:val="21"/>
          <w:szCs w:val="21"/>
        </w:rPr>
        <w:t xml:space="preserve">2、查询服务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7"/>
        <w:spacing w:before="0" w:beforeAutospacing="0" w:after="0" w:afterAutospacing="0" w:line="360" w:lineRule="auto"/>
        <w:ind w:firstLine="420"/>
        <w:rPr>
          <w:sz w:val="21"/>
          <w:szCs w:val="21"/>
        </w:rPr>
      </w:pPr>
      <w:r>
        <w:rPr>
          <w:rFonts w:hint="eastAsia"/>
          <w:sz w:val="21"/>
          <w:szCs w:val="21"/>
        </w:rPr>
        <w:t xml:space="preserve">3、信息资讯服务 </w:t>
      </w:r>
    </w:p>
    <w:p>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7"/>
        <w:spacing w:before="0" w:beforeAutospacing="0" w:after="0" w:afterAutospacing="0" w:line="360" w:lineRule="auto"/>
        <w:ind w:firstLine="420"/>
        <w:rPr>
          <w:sz w:val="21"/>
          <w:szCs w:val="21"/>
        </w:rPr>
      </w:pPr>
      <w:r>
        <w:rPr>
          <w:rFonts w:hint="eastAsia"/>
          <w:sz w:val="21"/>
          <w:szCs w:val="21"/>
        </w:rPr>
        <w:t xml:space="preserve">4、在线客服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183" w:name="chapter_level1_23_75_section_1_end"/>
      <w:bookmarkEnd w:id="183"/>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4" w:name="chapter_level1_24_3499"/>
      <w:bookmarkStart w:id="185" w:name="_Toc207979145"/>
      <w:r>
        <w:rPr>
          <w:rFonts w:hint="eastAsia" w:ascii="宋体" w:hAnsi="宋体" w:eastAsia="宋体"/>
          <w:sz w:val="30"/>
        </w:rPr>
        <w:t>第二十一部分 其他应披露的事项</w:t>
      </w:r>
      <w:bookmarkEnd w:id="184"/>
      <w:bookmarkEnd w:id="185"/>
    </w:p>
    <w:p>
      <w:pPr>
        <w:pStyle w:val="7"/>
        <w:spacing w:before="0" w:beforeAutospacing="0" w:after="0" w:afterAutospacing="0" w:line="360" w:lineRule="auto"/>
        <w:ind w:firstLine="420"/>
        <w:rPr>
          <w:sz w:val="21"/>
          <w:szCs w:val="21"/>
        </w:rPr>
      </w:pPr>
      <w:bookmarkStart w:id="186" w:name="chapter_level1_24_3499_section_1"/>
      <w:bookmarkEnd w:id="186"/>
      <w:bookmarkStart w:id="187" w:name="field_0_bsrevealinfo_1_start"/>
      <w:bookmarkEnd w:id="187"/>
      <w:r>
        <w:rPr>
          <w:rFonts w:hint="eastAsia"/>
          <w:sz w:val="21"/>
          <w:szCs w:val="21"/>
        </w:rPr>
        <w:t>（一）、2025年8月29日，我公司公告了《博时创业板交易型开放式指数证券投资基金联接基金2025年中期报告》；</w:t>
      </w:r>
    </w:p>
    <w:p>
      <w:pPr>
        <w:pStyle w:val="7"/>
        <w:spacing w:before="0" w:beforeAutospacing="0" w:after="0" w:afterAutospacing="0" w:line="360" w:lineRule="auto"/>
        <w:ind w:firstLine="420"/>
        <w:rPr>
          <w:sz w:val="21"/>
          <w:szCs w:val="21"/>
        </w:rPr>
      </w:pPr>
      <w:r>
        <w:rPr>
          <w:rFonts w:hint="eastAsia"/>
          <w:sz w:val="21"/>
          <w:szCs w:val="21"/>
        </w:rPr>
        <w:t>（二）、2025年7月21日，我公司公告了《博时创业板交易型开放式指数证券投资基金联接基金2025年第2季度报告》；</w:t>
      </w:r>
    </w:p>
    <w:p>
      <w:pPr>
        <w:pStyle w:val="7"/>
        <w:spacing w:before="0" w:beforeAutospacing="0" w:after="0" w:afterAutospacing="0" w:line="360" w:lineRule="auto"/>
        <w:ind w:firstLine="420"/>
        <w:rPr>
          <w:sz w:val="21"/>
          <w:szCs w:val="21"/>
        </w:rPr>
      </w:pPr>
      <w:r>
        <w:rPr>
          <w:rFonts w:hint="eastAsia"/>
          <w:sz w:val="21"/>
          <w:szCs w:val="21"/>
        </w:rPr>
        <w:t>（三）、2025年6月28日，我公司公告了《博时创业板交易型开放式指数证券投资基金联接基金（博时创业板ETF联接A）基金产品资料概要更新》、《博时创业板交易型开放式指数证券投资基金联接基金（博时创业板ETF联接Y）基金产品资料概要更新》、《博时创业板交易型开放式指数证券投资基金联接基金（博时创业板ETF联接C）基金产品资料概要更新》、《博时创业板交易型开放式指数证券投资基金联接基金（博时创业板ETF联接E）基金产品资料概要更新》；</w:t>
      </w:r>
    </w:p>
    <w:p>
      <w:pPr>
        <w:pStyle w:val="7"/>
        <w:spacing w:before="0" w:beforeAutospacing="0" w:after="0" w:afterAutospacing="0" w:line="360" w:lineRule="auto"/>
        <w:ind w:firstLine="420"/>
        <w:rPr>
          <w:sz w:val="21"/>
          <w:szCs w:val="21"/>
        </w:rPr>
      </w:pPr>
      <w:r>
        <w:rPr>
          <w:rFonts w:hint="eastAsia"/>
          <w:sz w:val="21"/>
          <w:szCs w:val="21"/>
        </w:rPr>
        <w:t>（四）、2025年6月26日，我公司公告了《博时创业板交易型开放式指数证券投资基金联接基金（博时创业板ETF联接A）基金产品资料概要更新》、《博时创业板交易型开放式指数证券投资基金联接基金（博时创业板ETF联接Y）基金产品资料概要更新》、《博时创业板交易型开放式指数证券投资基金联接基金（博时创业板ETF联接E）基金产品资料概要更新》、《博时创业板交易型开放式指数证券投资基金联接基金（博时创业板ETF联接C）基金产品资料概要更新》；</w:t>
      </w:r>
    </w:p>
    <w:p>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（七）、2025年4月22日，我公司公告了《博时创业板交易型开放式指数证券投资基金联接基金2025年第1季度报告》；</w:t>
      </w:r>
    </w:p>
    <w:p>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（九）、2025年3月31日，我公司公告了《博时基金管理有限公司旗下公募基金通过证券公司证券交易及佣金支付情况（2024年度）》、《博时创业板交易型开放式指数证券投资基金联接基金2024年年度报告》；</w:t>
      </w:r>
    </w:p>
    <w:p>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（十一）、2025年1月22日，我公司公告了《博时创业板交易型开放式指数证券投资基金联接基金2024年第4季度报告》；</w:t>
      </w:r>
    </w:p>
    <w:p>
      <w:pPr>
        <w:pStyle w:val="7"/>
        <w:spacing w:before="0" w:beforeAutospacing="0" w:after="0" w:afterAutospacing="0" w:line="360" w:lineRule="auto"/>
        <w:ind w:firstLine="420"/>
        <w:rPr>
          <w:sz w:val="21"/>
          <w:szCs w:val="21"/>
        </w:rPr>
      </w:pPr>
      <w:r>
        <w:rPr>
          <w:rFonts w:hint="eastAsia"/>
          <w:sz w:val="21"/>
          <w:szCs w:val="21"/>
        </w:rPr>
        <w:t>（十二）、2024年12月27日，我公司公告了《博时基金管理有限公司关于旗下193只基金改聘会计师事务所的公告》；</w:t>
      </w:r>
    </w:p>
    <w:p>
      <w:pPr>
        <w:pStyle w:val="7"/>
        <w:spacing w:before="0" w:beforeAutospacing="0" w:after="0" w:afterAutospacing="0" w:line="360" w:lineRule="auto"/>
        <w:ind w:firstLine="420"/>
        <w:rPr>
          <w:sz w:val="21"/>
          <w:szCs w:val="21"/>
        </w:rPr>
      </w:pPr>
      <w:r>
        <w:rPr>
          <w:rFonts w:hint="eastAsia"/>
          <w:sz w:val="21"/>
          <w:szCs w:val="21"/>
        </w:rPr>
        <w:t>（十三）、2024年12月17日，我公司公告了《关于博时创业板交易型开放式指数证券投资基金联接基金Y类基金份额开通直销网上交易定期投资业务的公告》；</w:t>
      </w:r>
    </w:p>
    <w:p>
      <w:pPr>
        <w:pStyle w:val="7"/>
        <w:spacing w:before="0" w:beforeAutospacing="0" w:after="0" w:afterAutospacing="0" w:line="360" w:lineRule="auto"/>
        <w:ind w:firstLine="420"/>
        <w:rPr>
          <w:sz w:val="21"/>
          <w:szCs w:val="21"/>
        </w:rPr>
      </w:pPr>
      <w:r>
        <w:rPr>
          <w:rFonts w:hint="eastAsia"/>
          <w:sz w:val="21"/>
          <w:szCs w:val="21"/>
        </w:rPr>
        <w:t>（十四）、2024年12月13日，我公司公告了《博时创业板交易型开放式指数证券投资基金联接基金Y类基金份额开放日常申购、赎回、转换和定期定额投资业务的公告》、《博时创业板交易型开放式指数证券投资基金联接基金更新招募说明书》、《博时创业板交易型开放式指数证券投资基金联接基金（博时创业板ETF联接Y）基金产品资料概要》；</w:t>
      </w:r>
    </w:p>
    <w:p>
      <w:pPr>
        <w:pStyle w:val="7"/>
        <w:spacing w:before="0" w:beforeAutospacing="0" w:after="0" w:afterAutospacing="0" w:line="360" w:lineRule="auto"/>
        <w:ind w:firstLine="420"/>
        <w:rPr>
          <w:sz w:val="21"/>
          <w:szCs w:val="21"/>
        </w:rPr>
      </w:pPr>
      <w:r>
        <w:rPr>
          <w:rFonts w:hint="eastAsia"/>
          <w:sz w:val="21"/>
          <w:szCs w:val="21"/>
        </w:rPr>
        <w:t>（十五）、2024年12月12日，我公司公告了《博时基金管理有限公司关于博时创业板交易型开放式指数证券投资基金联接基金增加Y类基金份额以及相应修改基金合同和托管协议的公告》、《博时创业板交易型开放式指数证券投资基金联接基金基金合同》、《博时创业板交易型开放式指数证券投资基金联接基金托管协议》；</w:t>
      </w:r>
    </w:p>
    <w:p>
      <w:pPr>
        <w:pStyle w:val="7"/>
        <w:spacing w:before="0" w:beforeAutospacing="0" w:after="0" w:afterAutospacing="0" w:line="360" w:lineRule="auto"/>
        <w:ind w:firstLine="420"/>
        <w:rPr>
          <w:sz w:val="21"/>
          <w:szCs w:val="21"/>
        </w:rPr>
      </w:pPr>
      <w:r>
        <w:rPr>
          <w:rFonts w:hint="eastAsia"/>
          <w:sz w:val="21"/>
          <w:szCs w:val="21"/>
        </w:rPr>
        <w:t>（十六）、2024年12月7日，我公司公告了《博时基金管理有限公司关于高级管理人员变更的公告》；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（十七）、2024年11月18日，我公司公告了《博时基金管理有限公司关于终止乾道基金销售有限公司办理旗下基金销售业务的公告》；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（十八）、2024年11月6日，我公司公告了《博时基金管理有限公司关于旗下基金持有的长期停牌股票调整估值方法的公告-20241106》；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（十九）、2024年10月25日，我公司公告了《博时创业板交易型开放式指数证券投资基金联接基金2024年第3季度报告》；</w:t>
      </w:r>
    </w:p>
    <w:p>
      <w:pPr>
        <w:pStyle w:val="7"/>
        <w:spacing w:before="0" w:beforeAutospacing="0" w:after="0" w:afterAutospacing="0" w:line="360" w:lineRule="auto"/>
        <w:ind w:firstLine="420"/>
        <w:rPr>
          <w:sz w:val="21"/>
          <w:szCs w:val="21"/>
        </w:rPr>
      </w:pPr>
      <w:r>
        <w:rPr>
          <w:rFonts w:hint="eastAsia"/>
          <w:sz w:val="21"/>
          <w:szCs w:val="21"/>
        </w:rPr>
        <w:t>（二十）、2024年10月16日，我公司公告了《博时基金管理有限公司关于博时创业板交易型开放式指数证券投资基金联接基金E类基金份额销售服务费率优惠的公告》；</w:t>
      </w:r>
    </w:p>
    <w:p>
      <w:pPr>
        <w:pStyle w:val="7"/>
        <w:spacing w:before="0" w:beforeAutospacing="0" w:after="0" w:afterAutospacing="0" w:line="360" w:lineRule="auto"/>
        <w:ind w:firstLine="420"/>
        <w:rPr>
          <w:sz w:val="21"/>
          <w:szCs w:val="21"/>
        </w:rPr>
      </w:pPr>
      <w:r>
        <w:rPr>
          <w:rFonts w:hint="eastAsia"/>
          <w:sz w:val="21"/>
          <w:szCs w:val="21"/>
        </w:rPr>
        <w:t>（二十一）、2024年10月14日，我公司公告了《博时创业板交易型开放式指数证券投资基金联接基金（博时创业板ETF联接C）基金产品资料概要更新》、《博时创业板交易型开放式指数证券投资基金联接基金（博时创业板ETF联接A）基金产品资料概要更新》、《博时创业板交易型开放式指数证券投资基金联接基金（博时创业板ETF联接E）基金产品资料概要更新》、《博时创业板交易型开放式指数证券投资基金联接基金更新招募说明书》；</w:t>
      </w:r>
    </w:p>
    <w:p>
      <w:pPr>
        <w:pStyle w:val="7"/>
        <w:spacing w:before="0" w:beforeAutospacing="0" w:after="0" w:afterAutospacing="0" w:line="360" w:lineRule="auto"/>
        <w:ind w:firstLine="420"/>
        <w:rPr>
          <w:sz w:val="21"/>
          <w:szCs w:val="21"/>
        </w:rPr>
      </w:pPr>
      <w:r>
        <w:rPr>
          <w:rFonts w:hint="eastAsia"/>
          <w:sz w:val="21"/>
          <w:szCs w:val="21"/>
        </w:rPr>
        <w:t>（二十二）、2024年10月11日，我公司公告了《博时创业板交易型开放式指数证券投资基金联接基金托管协议》、《博时创业板交易型开放式指数证券投资基金联接基金基金合同》、《博时基金管理有限公司关于调低博时创业板交易型开放式指数证券投资基金及其联接基金费率并修订基金合同及托管协议的公告》；</w:t>
      </w:r>
    </w:p>
    <w:p>
      <w:pPr>
        <w:pStyle w:val="7"/>
        <w:spacing w:before="0" w:beforeAutospacing="0" w:after="0" w:afterAutospacing="0" w:line="360" w:lineRule="auto"/>
        <w:ind w:firstLine="420"/>
        <w:rPr>
          <w:sz w:val="21"/>
          <w:szCs w:val="21"/>
        </w:rPr>
      </w:pPr>
      <w:r>
        <w:rPr>
          <w:rFonts w:hint="eastAsia"/>
          <w:sz w:val="21"/>
          <w:szCs w:val="21"/>
        </w:rPr>
        <w:t>（二十三）、2024年9月30日，我公司公告了《博时创业板交易型开放式指数证券投资基金联接基金更新招募说明书》；</w:t>
      </w:r>
    </w:p>
    <w:p>
      <w:pPr>
        <w:pStyle w:val="7"/>
        <w:spacing w:before="0" w:beforeAutospacing="0" w:after="0" w:afterAutospacing="0" w:line="360" w:lineRule="auto"/>
        <w:ind w:firstLine="420"/>
        <w:rPr>
          <w:sz w:val="21"/>
          <w:szCs w:val="21"/>
        </w:rPr>
      </w:pPr>
      <w:r>
        <w:rPr>
          <w:rFonts w:hint="eastAsia"/>
          <w:sz w:val="21"/>
          <w:szCs w:val="21"/>
        </w:rPr>
        <w:t>（二十四）、2024年9月25日，我公司公告了《博时基金管理有限公司关于旗下基金持有的长期停牌股票调整估值方法的公告-20240925》；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（二十五）、2024年9月21日，我公司公告了《博时基金管理有限公司关于董事会成</w:t>
      </w:r>
      <w:bookmarkStart w:id="188" w:name="chapter_level1_24_3499_section_1_end"/>
      <w:bookmarkEnd w:id="188"/>
      <w:r>
        <w:rPr>
          <w:rFonts w:hint="eastAsia"/>
          <w:sz w:val="21"/>
          <w:szCs w:val="21"/>
        </w:rPr>
        <w:t>员变更的公告》。</w:t>
      </w:r>
      <w:bookmarkStart w:id="189" w:name="field_0_bsrevealinfo_1_end"/>
      <w:bookmarkEnd w:id="189"/>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0" w:name="_Toc207979146"/>
      <w:bookmarkStart w:id="191" w:name="chapter_level1_25_77"/>
      <w:r>
        <w:rPr>
          <w:rFonts w:hint="eastAsia" w:ascii="宋体" w:hAnsi="宋体" w:eastAsia="宋体"/>
          <w:sz w:val="30"/>
        </w:rPr>
        <w:t>第二十二部分  招募说明书存放及查阅方式</w:t>
      </w:r>
      <w:bookmarkEnd w:id="190"/>
      <w:bookmarkEnd w:id="191"/>
    </w:p>
    <w:p>
      <w:pPr>
        <w:pStyle w:val="7"/>
        <w:spacing w:before="0" w:beforeAutospacing="0" w:after="0" w:afterAutospacing="0" w:line="360" w:lineRule="auto"/>
        <w:ind w:firstLine="420"/>
        <w:rPr>
          <w:sz w:val="21"/>
          <w:szCs w:val="21"/>
        </w:rPr>
      </w:pPr>
      <w:bookmarkStart w:id="192" w:name="chapter_level1_25_77_section_1"/>
      <w:bookmarkEnd w:id="192"/>
      <w:r>
        <w:rPr>
          <w:rFonts w:hint="eastAsia"/>
          <w:sz w:val="21"/>
          <w:szCs w:val="21"/>
        </w:rPr>
        <w:t xml:space="preserve">依法必须披露的信息发布后，基金管理人、基金托管人应当按照相关法律法规规定将信息置备于各自住所，供社会公众查阅、复制。也可按工本费购买本招募说明书复制件或复印件，但应以招募说明书正本为准。   </w:t>
      </w:r>
    </w:p>
    <w:p>
      <w:pPr>
        <w:pStyle w:val="7"/>
        <w:spacing w:before="0" w:beforeAutospacing="0" w:after="0" w:afterAutospacing="0" w:line="360" w:lineRule="auto"/>
        <w:ind w:firstLine="420"/>
        <w:rPr>
          <w:sz w:val="21"/>
          <w:szCs w:val="21"/>
        </w:rPr>
      </w:pPr>
      <w:bookmarkStart w:id="193" w:name="chapter_level1_25_77_section_1_end"/>
      <w:bookmarkEnd w:id="193"/>
      <w:r>
        <w:rPr>
          <w:rFonts w:hint="eastAsia"/>
          <w:sz w:val="21"/>
          <w:szCs w:val="21"/>
        </w:rPr>
        <w:t xml:space="preserve">基金管理人和基金托管人保证文本的内容与所公告的内容完全一致。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4" w:name="chapter_level1_26_332"/>
      <w:bookmarkStart w:id="195" w:name="_Toc207979147"/>
      <w:r>
        <w:rPr>
          <w:rFonts w:hint="eastAsia" w:ascii="宋体" w:hAnsi="宋体" w:eastAsia="宋体"/>
          <w:sz w:val="30"/>
        </w:rPr>
        <w:t>第二十三部分  备查文件</w:t>
      </w:r>
      <w:bookmarkEnd w:id="194"/>
      <w:bookmarkEnd w:id="195"/>
    </w:p>
    <w:p>
      <w:pPr>
        <w:pStyle w:val="7"/>
        <w:spacing w:before="0" w:beforeAutospacing="0" w:after="0" w:afterAutospacing="0" w:line="360" w:lineRule="auto"/>
        <w:ind w:firstLine="420"/>
        <w:rPr>
          <w:sz w:val="21"/>
          <w:szCs w:val="21"/>
        </w:rPr>
      </w:pPr>
      <w:bookmarkStart w:id="196" w:name="chapter_level1_26_332_section_1"/>
      <w:bookmarkEnd w:id="196"/>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197" w:name="field_0_productfullname_10"/>
      <w:r>
        <w:rPr>
          <w:rFonts w:hint="eastAsia"/>
          <w:sz w:val="21"/>
          <w:szCs w:val="21"/>
        </w:rPr>
        <w:t>博时创业板交易型开放式指数证券投资基金联接基金</w:t>
      </w:r>
      <w:bookmarkEnd w:id="197"/>
      <w:r>
        <w:rPr>
          <w:rFonts w:hint="eastAsia"/>
          <w:sz w:val="21"/>
          <w:szCs w:val="21"/>
        </w:rPr>
        <w:t xml:space="preserve">变更注册的文件 </w:t>
      </w:r>
    </w:p>
    <w:p>
      <w:pPr>
        <w:pStyle w:val="7"/>
        <w:spacing w:before="0" w:beforeAutospacing="0" w:after="0" w:afterAutospacing="0" w:line="360" w:lineRule="auto"/>
        <w:ind w:firstLine="420"/>
        <w:rPr>
          <w:sz w:val="21"/>
          <w:szCs w:val="21"/>
        </w:rPr>
      </w:pPr>
      <w:r>
        <w:rPr>
          <w:rFonts w:hint="eastAsia"/>
          <w:sz w:val="21"/>
          <w:szCs w:val="21"/>
        </w:rPr>
        <w:t>二、《</w:t>
      </w:r>
      <w:bookmarkStart w:id="198" w:name="field_0_productfullname_11"/>
      <w:r>
        <w:rPr>
          <w:rFonts w:hint="eastAsia"/>
          <w:sz w:val="21"/>
          <w:szCs w:val="21"/>
        </w:rPr>
        <w:t>博时创业板交易型开放式指数证券投资基金联接基金</w:t>
      </w:r>
      <w:bookmarkEnd w:id="198"/>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199" w:name="field_0_productfullname_12"/>
      <w:r>
        <w:rPr>
          <w:rFonts w:hint="eastAsia"/>
          <w:sz w:val="21"/>
          <w:szCs w:val="21"/>
        </w:rPr>
        <w:t>博时创业板交易型开放式指数证券投资基金联接基金</w:t>
      </w:r>
      <w:bookmarkEnd w:id="199"/>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六、法律意见书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00" w:name="field_0_managerorgfullname_7"/>
      <w:r>
        <w:rPr>
          <w:rFonts w:hint="eastAsia"/>
          <w:sz w:val="21"/>
          <w:szCs w:val="21"/>
        </w:rPr>
        <w:t>博时基金管理有限公司</w:t>
      </w:r>
      <w:bookmarkEnd w:id="200"/>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01" w:name="chapter_level1_26_332_section_1_end"/>
      <w:bookmarkEnd w:id="201"/>
      <w:bookmarkStart w:id="202" w:name="field_0_commitmenttime_1"/>
      <w:r>
        <w:rPr>
          <w:sz w:val="21"/>
          <w:szCs w:val="21"/>
        </w:rPr>
        <w:t>2025年9月30日</w:t>
      </w:r>
      <w:bookmarkEnd w:id="202"/>
      <w:r>
        <w:rPr>
          <w:rFonts w:hint="eastAsia"/>
          <w:sz w:val="21"/>
          <w:szCs w:val="21"/>
        </w:rPr>
        <w:t xml:space="preserve">  </w:t>
      </w:r>
    </w:p>
    <w:p>
      <w:pPr>
        <w:rPr>
          <w:rFonts w:ascii="宋体" w:hAnsi="宋体" w:eastAsia="宋体"/>
        </w:rPr>
      </w:pPr>
      <w:bookmarkStart w:id="203" w:name="end"/>
      <w:bookmarkEnd w:id="203"/>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165</w:t>
    </w:r>
    <w:r>
      <w:fldChar w:fldCharType="end"/>
    </w:r>
    <w:r>
      <w:rPr>
        <w:rFonts w:hint="eastAsia"/>
      </w:rPr>
      <w:t>页 共</w:t>
    </w:r>
    <w:r>
      <w:fldChar w:fldCharType="begin"/>
    </w:r>
    <w:r>
      <w:instrText xml:space="preserve"> NumPages \* MERGEFORMAT </w:instrText>
    </w:r>
    <w:r>
      <w:fldChar w:fldCharType="separate"/>
    </w:r>
    <w:r>
      <w:t>165</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博时创业板交易型开放式指数证券投资基金联接基金更新招募说明书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F94"/>
    <w:rsid w:val="000513EE"/>
    <w:rsid w:val="00AF49E3"/>
    <w:rsid w:val="00EA3F94"/>
    <w:rsid w:val="061D19B8"/>
    <w:rsid w:val="12162EEE"/>
    <w:rsid w:val="2DBC552F"/>
    <w:rsid w:val="3A0B6EB2"/>
    <w:rsid w:val="59A53246"/>
    <w:rsid w:val="5BD67F12"/>
    <w:rsid w:val="7D995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165</Pages>
  <Words>19678</Words>
  <Characters>112171</Characters>
  <Lines>934</Lines>
  <Paragraphs>263</Paragraphs>
  <TotalTime>1</TotalTime>
  <ScaleCrop>false</ScaleCrop>
  <LinksUpToDate>false</LinksUpToDate>
  <CharactersWithSpaces>131586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2025-09-05T07:38:00Z</dcterms:created>
  <dc:creator>BSKMadminDev</dc:creator>
  <cp:lastModifiedBy>jiangmy483</cp:lastModifiedBy>
  <dcterms:modified xsi:type="dcterms:W3CDTF">2025-09-24T08:57:34Z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3C7792823D214E20A86B51EE83DB789E</vt:lpwstr>
  </property>
</Properties>
</file>