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960E19">
      <w:pPr>
        <w:spacing w:line="360" w:lineRule="auto"/>
        <w:jc w:val="center"/>
        <w:rPr>
          <w:rFonts w:hint="eastAsia" w:ascii="宋体" w:hAnsi="宋体" w:eastAsia="宋体"/>
          <w:b/>
          <w:sz w:val="30"/>
          <w:highlight w:val="none"/>
          <w:lang w:eastAsia="zh-CN"/>
        </w:rPr>
      </w:pPr>
      <w:r>
        <w:rPr>
          <w:rFonts w:hint="eastAsia" w:ascii="宋体" w:hAnsi="宋体" w:eastAsia="宋体"/>
          <w:b/>
          <w:sz w:val="30"/>
          <w:highlight w:val="none"/>
          <w:lang w:eastAsia="zh-CN"/>
        </w:rPr>
        <w:t>博时中证全指红利质量交易型开放式指数证券投资基金</w:t>
      </w:r>
      <w:r>
        <w:rPr>
          <w:rFonts w:hint="eastAsia" w:ascii="宋体" w:hAnsi="宋体" w:eastAsia="宋体"/>
          <w:b/>
          <w:sz w:val="30"/>
          <w:highlight w:val="none"/>
        </w:rPr>
        <w:t>开放日常申购、赎回业务的公告</w:t>
      </w:r>
    </w:p>
    <w:p w14:paraId="67869E76">
      <w:pPr>
        <w:spacing w:line="360" w:lineRule="auto"/>
        <w:jc w:val="center"/>
        <w:rPr>
          <w:rFonts w:hint="eastAsia" w:ascii="宋体" w:hAnsi="宋体" w:eastAsia="宋体"/>
          <w:b/>
          <w:sz w:val="24"/>
          <w:highlight w:val="none"/>
          <w:lang w:eastAsia="zh-CN"/>
        </w:rPr>
      </w:pPr>
      <w:r>
        <w:rPr>
          <w:rFonts w:hint="eastAsia" w:ascii="宋体" w:hAnsi="宋体" w:eastAsia="宋体"/>
          <w:b/>
          <w:sz w:val="24"/>
          <w:highlight w:val="none"/>
        </w:rPr>
        <w:t>公告送出日期：</w:t>
      </w:r>
      <w:r>
        <w:rPr>
          <w:rFonts w:hint="eastAsia" w:ascii="宋体" w:hAnsi="宋体" w:eastAsia="宋体"/>
          <w:b/>
          <w:sz w:val="24"/>
          <w:highlight w:val="none"/>
          <w:lang w:eastAsia="zh-CN"/>
        </w:rPr>
        <w:t>2026年6月25日</w:t>
      </w:r>
    </w:p>
    <w:p w14:paraId="7B2D029B">
      <w:pPr>
        <w:jc w:val="center"/>
        <w:rPr>
          <w:rFonts w:ascii="宋体" w:hAnsi="宋体" w:eastAsia="宋体"/>
          <w:b/>
          <w:sz w:val="24"/>
          <w:highlight w:val="none"/>
        </w:rPr>
      </w:pPr>
      <w:bookmarkStart w:id="0" w:name="_GoBack"/>
      <w:bookmarkEnd w:id="0"/>
    </w:p>
    <w:p w14:paraId="7A0D11CD">
      <w:pPr>
        <w:pStyle w:val="2"/>
        <w:rPr>
          <w:rFonts w:hint="eastAsia" w:ascii="宋体" w:hAnsi="宋体" w:eastAsia="宋体"/>
          <w:sz w:val="21"/>
          <w:szCs w:val="21"/>
          <w:highlight w:val="none"/>
          <w:lang w:val="en-US" w:eastAsia="zh-CN"/>
        </w:rPr>
      </w:pPr>
      <w:r>
        <w:rPr>
          <w:rFonts w:ascii="宋体" w:hAnsi="宋体" w:eastAsia="宋体"/>
          <w:sz w:val="24"/>
          <w:highlight w:val="none"/>
        </w:rPr>
        <w:t>1、</w:t>
      </w:r>
      <w:r>
        <w:rPr>
          <w:rFonts w:ascii="宋体" w:hAnsi="宋体" w:eastAsia="宋体"/>
          <w:sz w:val="21"/>
          <w:szCs w:val="21"/>
          <w:highlight w:val="none"/>
        </w:rPr>
        <w:t>公告基本信息</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8"/>
        <w:gridCol w:w="5782"/>
      </w:tblGrid>
      <w:tr w14:paraId="226AD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5247B01B">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基金名称</w:t>
            </w:r>
          </w:p>
        </w:tc>
        <w:tc>
          <w:tcPr>
            <w:tcW w:w="5782" w:type="dxa"/>
            <w:vAlign w:val="center"/>
          </w:tcPr>
          <w:p w14:paraId="53D6EA42">
            <w:pPr>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eastAsia="zh-CN"/>
              </w:rPr>
              <w:t>博时中证全指红利质量交易型开放式指数证券投资基金</w:t>
            </w:r>
          </w:p>
        </w:tc>
      </w:tr>
      <w:tr w14:paraId="4434E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694211C7">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基金简称</w:t>
            </w:r>
          </w:p>
        </w:tc>
        <w:tc>
          <w:tcPr>
            <w:tcW w:w="5782" w:type="dxa"/>
            <w:vAlign w:val="center"/>
          </w:tcPr>
          <w:p w14:paraId="045E21DE">
            <w:pPr>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eastAsia="zh-CN"/>
              </w:rPr>
              <w:t xml:space="preserve">博时中证全指红利质量ETF </w:t>
            </w:r>
          </w:p>
        </w:tc>
      </w:tr>
      <w:tr w14:paraId="45A84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5B883052">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基金主代码</w:t>
            </w:r>
            <w:r>
              <w:rPr>
                <w:rFonts w:hint="eastAsia" w:ascii="Times New Roman" w:hAnsi="Times New Roman" w:eastAsia="宋体" w:cs="Times New Roman"/>
                <w:szCs w:val="21"/>
                <w:highlight w:val="none"/>
              </w:rPr>
              <w:t>及申赎代码</w:t>
            </w:r>
          </w:p>
        </w:tc>
        <w:tc>
          <w:tcPr>
            <w:tcW w:w="5782" w:type="dxa"/>
            <w:vAlign w:val="center"/>
          </w:tcPr>
          <w:p w14:paraId="18DAF926">
            <w:pP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eastAsia="zh-CN"/>
              </w:rPr>
              <w:t>56</w:t>
            </w:r>
            <w:r>
              <w:rPr>
                <w:rFonts w:hint="eastAsia" w:ascii="Times New Roman" w:hAnsi="Times New Roman" w:eastAsia="宋体" w:cs="Times New Roman"/>
                <w:szCs w:val="21"/>
                <w:highlight w:val="none"/>
                <w:lang w:val="en-US" w:eastAsia="zh-CN"/>
              </w:rPr>
              <w:t>1430</w:t>
            </w:r>
          </w:p>
        </w:tc>
      </w:tr>
      <w:tr w14:paraId="25B37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0B9096AC">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基金运作方式</w:t>
            </w:r>
          </w:p>
        </w:tc>
        <w:tc>
          <w:tcPr>
            <w:tcW w:w="5782" w:type="dxa"/>
            <w:vAlign w:val="center"/>
          </w:tcPr>
          <w:p w14:paraId="21654619">
            <w:pPr>
              <w:rPr>
                <w:rFonts w:ascii="Times New Roman" w:hAnsi="Times New Roman" w:eastAsia="宋体" w:cs="Times New Roman"/>
                <w:szCs w:val="21"/>
                <w:highlight w:val="none"/>
              </w:rPr>
            </w:pPr>
            <w:r>
              <w:rPr>
                <w:rFonts w:ascii="Times New Roman" w:hAnsi="Times New Roman" w:eastAsia="宋体" w:cs="Times New Roman"/>
                <w:szCs w:val="21"/>
                <w:highlight w:val="none"/>
              </w:rPr>
              <w:t>交易型开放式</w:t>
            </w:r>
          </w:p>
        </w:tc>
      </w:tr>
      <w:tr w14:paraId="406CA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7704D4A5">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基金合同生效日</w:t>
            </w:r>
          </w:p>
        </w:tc>
        <w:tc>
          <w:tcPr>
            <w:tcW w:w="5782" w:type="dxa"/>
            <w:vAlign w:val="center"/>
          </w:tcPr>
          <w:p w14:paraId="0943C8CA">
            <w:pPr>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eastAsia="zh-CN"/>
              </w:rPr>
              <w:t>2026年6月</w:t>
            </w:r>
            <w:r>
              <w:rPr>
                <w:rFonts w:hint="eastAsia" w:ascii="Times New Roman" w:hAnsi="Times New Roman" w:eastAsia="宋体" w:cs="Times New Roman"/>
                <w:szCs w:val="21"/>
                <w:highlight w:val="none"/>
                <w:lang w:val="en-US" w:eastAsia="zh-CN"/>
              </w:rPr>
              <w:t>17</w:t>
            </w:r>
            <w:r>
              <w:rPr>
                <w:rFonts w:hint="eastAsia" w:ascii="Times New Roman" w:hAnsi="Times New Roman" w:eastAsia="宋体" w:cs="Times New Roman"/>
                <w:szCs w:val="21"/>
                <w:highlight w:val="none"/>
                <w:lang w:eastAsia="zh-CN"/>
              </w:rPr>
              <w:t>日</w:t>
            </w:r>
          </w:p>
        </w:tc>
      </w:tr>
      <w:tr w14:paraId="2D15E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0451E0B3">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基金管理人名称</w:t>
            </w:r>
          </w:p>
        </w:tc>
        <w:tc>
          <w:tcPr>
            <w:tcW w:w="5782" w:type="dxa"/>
            <w:vAlign w:val="center"/>
          </w:tcPr>
          <w:p w14:paraId="79EFD2AB">
            <w:pPr>
              <w:rPr>
                <w:rFonts w:ascii="Times New Roman" w:hAnsi="Times New Roman" w:eastAsia="宋体" w:cs="Times New Roman"/>
                <w:szCs w:val="21"/>
                <w:highlight w:val="none"/>
              </w:rPr>
            </w:pPr>
            <w:r>
              <w:rPr>
                <w:rFonts w:ascii="Times New Roman" w:hAnsi="Times New Roman" w:eastAsia="宋体" w:cs="Times New Roman"/>
                <w:szCs w:val="21"/>
                <w:highlight w:val="none"/>
              </w:rPr>
              <w:t>博时基金管理有限公司</w:t>
            </w:r>
          </w:p>
        </w:tc>
      </w:tr>
      <w:tr w14:paraId="09BF2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496701D8">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基金托管人名称</w:t>
            </w:r>
          </w:p>
        </w:tc>
        <w:tc>
          <w:tcPr>
            <w:tcW w:w="5782" w:type="dxa"/>
            <w:vAlign w:val="center"/>
          </w:tcPr>
          <w:p w14:paraId="5DE1ED10">
            <w:pPr>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val="en-US" w:eastAsia="zh-CN"/>
              </w:rPr>
              <w:t>中国建设银行股份有限公司</w:t>
            </w:r>
          </w:p>
        </w:tc>
      </w:tr>
      <w:tr w14:paraId="2680C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383B821B">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基金注册登记机构名称</w:t>
            </w:r>
          </w:p>
        </w:tc>
        <w:tc>
          <w:tcPr>
            <w:tcW w:w="5782" w:type="dxa"/>
            <w:vAlign w:val="center"/>
          </w:tcPr>
          <w:p w14:paraId="6A1464EF">
            <w:pPr>
              <w:rPr>
                <w:rFonts w:ascii="Times New Roman" w:hAnsi="Times New Roman" w:eastAsia="宋体" w:cs="Times New Roman"/>
                <w:szCs w:val="21"/>
                <w:highlight w:val="none"/>
              </w:rPr>
            </w:pPr>
            <w:r>
              <w:rPr>
                <w:rFonts w:ascii="Times New Roman" w:hAnsi="Times New Roman" w:eastAsia="宋体" w:cs="Times New Roman"/>
                <w:szCs w:val="21"/>
                <w:highlight w:val="none"/>
              </w:rPr>
              <w:t>中国证券登记结算有限责任公司</w:t>
            </w:r>
          </w:p>
        </w:tc>
      </w:tr>
      <w:tr w14:paraId="0B09D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56577157">
            <w:pPr>
              <w:rPr>
                <w:rFonts w:ascii="Times New Roman" w:hAnsi="Times New Roman" w:eastAsia="宋体" w:cs="Times New Roman"/>
                <w:szCs w:val="21"/>
                <w:highlight w:val="none"/>
              </w:rPr>
            </w:pPr>
            <w:r>
              <w:rPr>
                <w:rFonts w:ascii="Times New Roman" w:hAnsi="Times New Roman" w:eastAsia="宋体" w:cs="Times New Roman"/>
                <w:szCs w:val="21"/>
                <w:highlight w:val="none"/>
              </w:rPr>
              <w:t>公告依据</w:t>
            </w:r>
          </w:p>
        </w:tc>
        <w:tc>
          <w:tcPr>
            <w:tcW w:w="5782" w:type="dxa"/>
            <w:vAlign w:val="center"/>
          </w:tcPr>
          <w:p w14:paraId="15C5015C">
            <w:pPr>
              <w:rPr>
                <w:rFonts w:ascii="Times New Roman" w:hAnsi="Times New Roman" w:eastAsia="宋体" w:cs="Times New Roman"/>
                <w:szCs w:val="21"/>
                <w:highlight w:val="none"/>
              </w:rPr>
            </w:pPr>
            <w:r>
              <w:rPr>
                <w:rFonts w:ascii="Times New Roman" w:hAnsi="Times New Roman" w:eastAsia="宋体" w:cs="Times New Roman"/>
                <w:szCs w:val="21"/>
                <w:highlight w:val="none"/>
              </w:rPr>
              <w:t>《</w:t>
            </w:r>
            <w:r>
              <w:rPr>
                <w:rFonts w:hint="eastAsia" w:ascii="Times New Roman" w:hAnsi="Times New Roman" w:eastAsia="宋体" w:cs="Times New Roman"/>
                <w:szCs w:val="21"/>
                <w:highlight w:val="none"/>
                <w:lang w:eastAsia="zh-CN"/>
              </w:rPr>
              <w:t>博时中证全指红利质量交易型开放式指数证券投资基金</w:t>
            </w:r>
            <w:r>
              <w:rPr>
                <w:rFonts w:ascii="Times New Roman" w:hAnsi="Times New Roman" w:eastAsia="宋体" w:cs="Times New Roman"/>
                <w:szCs w:val="21"/>
                <w:highlight w:val="none"/>
              </w:rPr>
              <w:t>基金合同》、《</w:t>
            </w:r>
            <w:r>
              <w:rPr>
                <w:rFonts w:hint="eastAsia" w:ascii="Times New Roman" w:hAnsi="Times New Roman" w:eastAsia="宋体" w:cs="Times New Roman"/>
                <w:szCs w:val="21"/>
                <w:highlight w:val="none"/>
                <w:lang w:eastAsia="zh-CN"/>
              </w:rPr>
              <w:t>博时中证全指红利质量交易型开放式指数证券投资基金</w:t>
            </w:r>
            <w:r>
              <w:rPr>
                <w:rFonts w:ascii="Times New Roman" w:hAnsi="Times New Roman" w:eastAsia="宋体" w:cs="Times New Roman"/>
                <w:szCs w:val="21"/>
                <w:highlight w:val="none"/>
              </w:rPr>
              <w:t>招募说明书》等</w:t>
            </w:r>
          </w:p>
        </w:tc>
      </w:tr>
      <w:tr w14:paraId="0DCDF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37127B89">
            <w:pPr>
              <w:rPr>
                <w:rFonts w:ascii="Times New Roman" w:hAnsi="Times New Roman" w:eastAsia="宋体" w:cs="Times New Roman"/>
                <w:szCs w:val="21"/>
                <w:highlight w:val="none"/>
              </w:rPr>
            </w:pPr>
            <w:r>
              <w:rPr>
                <w:rFonts w:ascii="Times New Roman" w:hAnsi="Times New Roman" w:eastAsia="宋体" w:cs="Times New Roman"/>
                <w:szCs w:val="21"/>
                <w:highlight w:val="none"/>
              </w:rPr>
              <w:t>申购起始日</w:t>
            </w:r>
          </w:p>
        </w:tc>
        <w:tc>
          <w:tcPr>
            <w:tcW w:w="5782" w:type="dxa"/>
            <w:vAlign w:val="center"/>
          </w:tcPr>
          <w:p w14:paraId="4558D553">
            <w:pPr>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eastAsia="zh-CN"/>
              </w:rPr>
              <w:t>2026年6月30日</w:t>
            </w:r>
          </w:p>
        </w:tc>
      </w:tr>
      <w:tr w14:paraId="70995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71EC6C19">
            <w:pPr>
              <w:rPr>
                <w:rFonts w:ascii="Times New Roman" w:hAnsi="Times New Roman" w:eastAsia="宋体" w:cs="Times New Roman"/>
                <w:szCs w:val="21"/>
                <w:highlight w:val="none"/>
              </w:rPr>
            </w:pPr>
            <w:r>
              <w:rPr>
                <w:rFonts w:ascii="Times New Roman" w:hAnsi="Times New Roman" w:eastAsia="宋体" w:cs="Times New Roman"/>
                <w:szCs w:val="21"/>
                <w:highlight w:val="none"/>
              </w:rPr>
              <w:t>赎回起始日</w:t>
            </w:r>
          </w:p>
        </w:tc>
        <w:tc>
          <w:tcPr>
            <w:tcW w:w="5782" w:type="dxa"/>
            <w:vAlign w:val="center"/>
          </w:tcPr>
          <w:p w14:paraId="11FD3F5D">
            <w:pPr>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eastAsia="zh-CN"/>
              </w:rPr>
              <w:t>2026年6月30日</w:t>
            </w:r>
          </w:p>
        </w:tc>
      </w:tr>
    </w:tbl>
    <w:p w14:paraId="59CD6A35">
      <w:pPr>
        <w:rPr>
          <w:rFonts w:ascii="Times New Roman" w:hAnsi="Times New Roman" w:cs="Times New Roman"/>
          <w:szCs w:val="21"/>
          <w:highlight w:val="none"/>
        </w:rPr>
      </w:pPr>
      <w:r>
        <w:rPr>
          <w:rFonts w:ascii="Times New Roman" w:hAnsi="Times New Roman" w:cs="Times New Roman"/>
          <w:szCs w:val="21"/>
          <w:highlight w:val="none"/>
        </w:rPr>
        <w:t>注：（1）</w:t>
      </w:r>
      <w:r>
        <w:rPr>
          <w:rFonts w:hint="eastAsia" w:ascii="Times New Roman" w:hAnsi="Times New Roman" w:cs="Times New Roman"/>
          <w:szCs w:val="21"/>
          <w:highlight w:val="none"/>
          <w:lang w:eastAsia="zh-CN"/>
        </w:rPr>
        <w:t>博时中证全指红利质量交易型开放式指数证券投资基金</w:t>
      </w:r>
      <w:r>
        <w:rPr>
          <w:rFonts w:ascii="Times New Roman" w:hAnsi="Times New Roman" w:cs="Times New Roman"/>
          <w:szCs w:val="21"/>
          <w:highlight w:val="none"/>
        </w:rPr>
        <w:t>（以下简称</w:t>
      </w:r>
      <w:r>
        <w:rPr>
          <w:rFonts w:hint="eastAsia" w:ascii="Times New Roman" w:hAnsi="Times New Roman" w:cs="Times New Roman"/>
          <w:szCs w:val="21"/>
          <w:highlight w:val="none"/>
          <w:lang w:eastAsia="zh-CN"/>
        </w:rPr>
        <w:t>“</w:t>
      </w:r>
      <w:r>
        <w:rPr>
          <w:rFonts w:ascii="Times New Roman" w:hAnsi="Times New Roman" w:cs="Times New Roman"/>
          <w:szCs w:val="21"/>
          <w:highlight w:val="none"/>
        </w:rPr>
        <w:t>本基金</w:t>
      </w:r>
      <w:r>
        <w:rPr>
          <w:rFonts w:hint="eastAsia" w:ascii="Times New Roman" w:hAnsi="Times New Roman" w:cs="Times New Roman"/>
          <w:szCs w:val="21"/>
          <w:highlight w:val="none"/>
          <w:lang w:eastAsia="zh-CN"/>
        </w:rPr>
        <w:t>”</w:t>
      </w:r>
      <w:r>
        <w:rPr>
          <w:rFonts w:ascii="Times New Roman" w:hAnsi="Times New Roman" w:cs="Times New Roman"/>
          <w:szCs w:val="21"/>
          <w:highlight w:val="none"/>
        </w:rPr>
        <w:t>）证券简称为</w:t>
      </w:r>
      <w:r>
        <w:rPr>
          <w:rFonts w:hint="eastAsia" w:ascii="Times New Roman" w:hAnsi="Times New Roman" w:cs="Times New Roman"/>
          <w:szCs w:val="21"/>
          <w:highlight w:val="none"/>
          <w:lang w:eastAsia="zh-CN"/>
        </w:rPr>
        <w:t>“</w:t>
      </w:r>
      <w:r>
        <w:rPr>
          <w:rFonts w:hint="eastAsia" w:ascii="Times New Roman" w:hAnsi="Times New Roman" w:cs="Times New Roman"/>
          <w:szCs w:val="21"/>
          <w:highlight w:val="none"/>
          <w:lang w:val="en-US" w:eastAsia="zh-CN"/>
        </w:rPr>
        <w:t>全指质量</w:t>
      </w:r>
      <w:r>
        <w:rPr>
          <w:rFonts w:hint="eastAsia" w:ascii="Times New Roman" w:hAnsi="Times New Roman" w:cs="Times New Roman"/>
          <w:szCs w:val="21"/>
          <w:highlight w:val="none"/>
          <w:lang w:eastAsia="zh-CN"/>
        </w:rPr>
        <w:t>”</w:t>
      </w:r>
      <w:r>
        <w:rPr>
          <w:rFonts w:ascii="Times New Roman" w:hAnsi="Times New Roman" w:cs="Times New Roman"/>
          <w:szCs w:val="21"/>
          <w:highlight w:val="none"/>
        </w:rPr>
        <w:t>，扩位证券简称</w:t>
      </w:r>
      <w:r>
        <w:rPr>
          <w:rFonts w:hint="eastAsia" w:ascii="Times New Roman" w:hAnsi="Times New Roman" w:cs="Times New Roman"/>
          <w:szCs w:val="21"/>
          <w:highlight w:val="none"/>
          <w:lang w:eastAsia="zh-CN"/>
        </w:rPr>
        <w:t>“</w:t>
      </w:r>
      <w:r>
        <w:rPr>
          <w:rFonts w:hint="eastAsia" w:ascii="Times New Roman" w:hAnsi="Times New Roman" w:cs="Times New Roman"/>
          <w:szCs w:val="21"/>
          <w:highlight w:val="none"/>
          <w:lang w:val="en-US" w:eastAsia="zh-CN"/>
        </w:rPr>
        <w:t>红利质量ETF博时</w:t>
      </w:r>
      <w:r>
        <w:rPr>
          <w:rFonts w:hint="eastAsia" w:ascii="Times New Roman" w:hAnsi="Times New Roman" w:cs="Times New Roman"/>
          <w:szCs w:val="21"/>
          <w:highlight w:val="none"/>
          <w:lang w:eastAsia="zh-CN"/>
        </w:rPr>
        <w:t>”</w:t>
      </w:r>
      <w:r>
        <w:rPr>
          <w:rFonts w:ascii="Times New Roman" w:hAnsi="Times New Roman" w:cs="Times New Roman"/>
          <w:szCs w:val="21"/>
          <w:highlight w:val="none"/>
        </w:rPr>
        <w:t>；</w:t>
      </w:r>
    </w:p>
    <w:p w14:paraId="4DC4F64A">
      <w:pPr>
        <w:rPr>
          <w:rFonts w:ascii="Times New Roman" w:hAnsi="Times New Roman" w:cs="Times New Roman"/>
          <w:szCs w:val="21"/>
          <w:highlight w:val="none"/>
        </w:rPr>
      </w:pPr>
      <w:r>
        <w:rPr>
          <w:rFonts w:ascii="Times New Roman" w:hAnsi="Times New Roman" w:cs="Times New Roman"/>
          <w:szCs w:val="21"/>
          <w:highlight w:val="none"/>
        </w:rPr>
        <w:t>（2）本基金为交易型开放式证券投资基金，基金管理人为博时基金管理有限公司（以下简称</w:t>
      </w:r>
      <w:r>
        <w:rPr>
          <w:rFonts w:hint="eastAsia" w:ascii="Times New Roman" w:hAnsi="Times New Roman" w:cs="Times New Roman"/>
          <w:szCs w:val="21"/>
          <w:highlight w:val="none"/>
          <w:lang w:eastAsia="zh-CN"/>
        </w:rPr>
        <w:t>“</w:t>
      </w:r>
      <w:r>
        <w:rPr>
          <w:rFonts w:ascii="Times New Roman" w:hAnsi="Times New Roman" w:cs="Times New Roman"/>
          <w:szCs w:val="21"/>
          <w:highlight w:val="none"/>
        </w:rPr>
        <w:t>本公司</w:t>
      </w:r>
      <w:r>
        <w:rPr>
          <w:rFonts w:hint="eastAsia" w:ascii="Times New Roman" w:hAnsi="Times New Roman" w:cs="Times New Roman"/>
          <w:szCs w:val="21"/>
          <w:highlight w:val="none"/>
          <w:lang w:eastAsia="zh-CN"/>
        </w:rPr>
        <w:t>”</w:t>
      </w:r>
      <w:r>
        <w:rPr>
          <w:rFonts w:ascii="Times New Roman" w:hAnsi="Times New Roman" w:cs="Times New Roman"/>
          <w:szCs w:val="21"/>
          <w:highlight w:val="none"/>
        </w:rPr>
        <w:t>），基金注册登记机构为</w:t>
      </w:r>
      <w:r>
        <w:rPr>
          <w:rFonts w:ascii="Times New Roman" w:hAnsi="Times New Roman" w:eastAsia="宋体" w:cs="Times New Roman"/>
          <w:szCs w:val="21"/>
          <w:highlight w:val="none"/>
        </w:rPr>
        <w:t>中国证券登记结算有限责任公司</w:t>
      </w:r>
      <w:r>
        <w:rPr>
          <w:rFonts w:ascii="Times New Roman" w:hAnsi="Times New Roman" w:cs="Times New Roman"/>
          <w:szCs w:val="21"/>
          <w:highlight w:val="none"/>
        </w:rPr>
        <w:t>，基金托管人为</w:t>
      </w:r>
      <w:r>
        <w:rPr>
          <w:rFonts w:hint="eastAsia" w:ascii="Times New Roman" w:hAnsi="Times New Roman" w:eastAsia="宋体" w:cs="Times New Roman"/>
          <w:szCs w:val="21"/>
          <w:highlight w:val="none"/>
          <w:lang w:val="en-US" w:eastAsia="zh-CN"/>
        </w:rPr>
        <w:t>中国建设银行股份有限公司</w:t>
      </w:r>
      <w:r>
        <w:rPr>
          <w:rFonts w:ascii="Times New Roman" w:hAnsi="Times New Roman" w:cs="Times New Roman"/>
          <w:szCs w:val="21"/>
          <w:highlight w:val="none"/>
        </w:rPr>
        <w:t>；</w:t>
      </w:r>
    </w:p>
    <w:p w14:paraId="3DD56657">
      <w:pPr>
        <w:rPr>
          <w:rFonts w:ascii="Times New Roman" w:hAnsi="Times New Roman" w:cs="Times New Roman"/>
          <w:szCs w:val="21"/>
          <w:highlight w:val="none"/>
        </w:rPr>
      </w:pPr>
      <w:r>
        <w:rPr>
          <w:rFonts w:ascii="Times New Roman" w:hAnsi="Times New Roman" w:cs="Times New Roman"/>
          <w:szCs w:val="21"/>
          <w:highlight w:val="none"/>
        </w:rPr>
        <w:t>（3）投资者应及时通过本基金销售网点、致电博时一线通95105568（免长途话费）或登录本公司网站www.bosera.com查询其申购、赎回申请的确认情况。</w:t>
      </w:r>
    </w:p>
    <w:p w14:paraId="40508916">
      <w:pPr>
        <w:pStyle w:val="2"/>
        <w:rPr>
          <w:rFonts w:ascii="宋体" w:hAnsi="宋体" w:eastAsia="宋体"/>
          <w:sz w:val="21"/>
          <w:szCs w:val="21"/>
          <w:highlight w:val="none"/>
        </w:rPr>
      </w:pPr>
      <w:r>
        <w:rPr>
          <w:rFonts w:hint="eastAsia" w:ascii="宋体" w:hAnsi="宋体" w:eastAsia="宋体"/>
          <w:sz w:val="21"/>
          <w:szCs w:val="21"/>
          <w:highlight w:val="none"/>
        </w:rPr>
        <w:t>2、日常申购、赎回业务的办理时间</w:t>
      </w:r>
    </w:p>
    <w:p w14:paraId="039A5224">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14:paraId="18097593">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以下简称“《信息披露办法》”）的有关规定在规定媒介上公告。</w:t>
      </w:r>
    </w:p>
    <w:p w14:paraId="35F05E5E">
      <w:pPr>
        <w:pStyle w:val="2"/>
        <w:rPr>
          <w:rFonts w:hint="eastAsia" w:ascii="宋体" w:hAnsi="宋体" w:eastAsia="宋体"/>
          <w:sz w:val="21"/>
          <w:szCs w:val="21"/>
          <w:highlight w:val="none"/>
        </w:rPr>
      </w:pPr>
      <w:r>
        <w:rPr>
          <w:rFonts w:hint="eastAsia" w:ascii="宋体" w:hAnsi="宋体" w:eastAsia="宋体"/>
          <w:sz w:val="21"/>
          <w:szCs w:val="21"/>
          <w:highlight w:val="none"/>
          <w:lang w:val="en-US" w:eastAsia="zh-CN"/>
        </w:rPr>
        <w:t>3、</w:t>
      </w:r>
      <w:r>
        <w:rPr>
          <w:rFonts w:hint="eastAsia" w:ascii="宋体" w:hAnsi="宋体" w:eastAsia="宋体"/>
          <w:sz w:val="21"/>
          <w:szCs w:val="21"/>
          <w:highlight w:val="none"/>
        </w:rPr>
        <w:t>日常申购、赎回业务</w:t>
      </w:r>
    </w:p>
    <w:p w14:paraId="6E0CD70C">
      <w:pPr>
        <w:pStyle w:val="8"/>
        <w:numPr>
          <w:ilvl w:val="-1"/>
          <w:numId w:val="0"/>
        </w:numPr>
        <w:spacing w:before="0" w:beforeAutospacing="0" w:after="0" w:afterAutospacing="0" w:line="360" w:lineRule="auto"/>
        <w:ind w:firstLine="420" w:firstLineChars="200"/>
        <w:rPr>
          <w:rFonts w:cstheme="minorBidi"/>
          <w:bCs/>
          <w:kern w:val="2"/>
          <w:sz w:val="21"/>
          <w:szCs w:val="21"/>
          <w:highlight w:val="none"/>
        </w:rPr>
      </w:pPr>
      <w:r>
        <w:rPr>
          <w:rFonts w:hint="eastAsia" w:cstheme="minorBidi"/>
          <w:bCs/>
          <w:kern w:val="2"/>
          <w:sz w:val="21"/>
          <w:szCs w:val="21"/>
          <w:highlight w:val="none"/>
        </w:rPr>
        <w:t>（1）申购与赎回的原则</w:t>
      </w:r>
    </w:p>
    <w:p w14:paraId="6EA9EA6F">
      <w:pPr>
        <w:pStyle w:val="8"/>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1</w:t>
      </w:r>
      <w:r>
        <w:rPr>
          <w:rFonts w:hint="eastAsia" w:cstheme="minorBidi"/>
          <w:bCs/>
          <w:kern w:val="2"/>
          <w:sz w:val="21"/>
          <w:szCs w:val="21"/>
          <w:highlight w:val="none"/>
          <w:lang w:eastAsia="zh-CN"/>
        </w:rPr>
        <w:t>）</w:t>
      </w:r>
      <w:r>
        <w:rPr>
          <w:rFonts w:hint="eastAsia" w:cstheme="minorBidi"/>
          <w:bCs/>
          <w:kern w:val="2"/>
          <w:sz w:val="21"/>
          <w:szCs w:val="21"/>
          <w:highlight w:val="none"/>
        </w:rPr>
        <w:t>“份额申购、份额赎回”原则，即申购、赎回均以份额申请；</w:t>
      </w:r>
    </w:p>
    <w:p w14:paraId="074B1EA4">
      <w:pPr>
        <w:pStyle w:val="8"/>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2</w:t>
      </w:r>
      <w:r>
        <w:rPr>
          <w:rFonts w:hint="eastAsia" w:cstheme="minorBidi"/>
          <w:bCs/>
          <w:kern w:val="2"/>
          <w:sz w:val="21"/>
          <w:szCs w:val="21"/>
          <w:highlight w:val="none"/>
          <w:lang w:eastAsia="zh-CN"/>
        </w:rPr>
        <w:t>）</w:t>
      </w:r>
      <w:r>
        <w:rPr>
          <w:rFonts w:hint="eastAsia" w:cstheme="minorBidi"/>
          <w:bCs/>
          <w:kern w:val="2"/>
          <w:sz w:val="21"/>
          <w:szCs w:val="21"/>
          <w:highlight w:val="none"/>
        </w:rPr>
        <w:t>本基金的申购对价、赎回对价包括组合证券、现金替代、现金差额及其他对价；</w:t>
      </w:r>
    </w:p>
    <w:p w14:paraId="78456990">
      <w:pPr>
        <w:pStyle w:val="8"/>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3</w:t>
      </w:r>
      <w:r>
        <w:rPr>
          <w:rFonts w:hint="eastAsia" w:cstheme="minorBidi"/>
          <w:bCs/>
          <w:kern w:val="2"/>
          <w:sz w:val="21"/>
          <w:szCs w:val="21"/>
          <w:highlight w:val="none"/>
          <w:lang w:eastAsia="zh-CN"/>
        </w:rPr>
        <w:t>）</w:t>
      </w:r>
      <w:r>
        <w:rPr>
          <w:rFonts w:hint="eastAsia" w:cstheme="minorBidi"/>
          <w:bCs/>
          <w:kern w:val="2"/>
          <w:sz w:val="21"/>
          <w:szCs w:val="21"/>
          <w:highlight w:val="none"/>
        </w:rPr>
        <w:t>申购、赎回申请提交后不得撤销；</w:t>
      </w:r>
    </w:p>
    <w:p w14:paraId="498F9B53">
      <w:pPr>
        <w:pStyle w:val="8"/>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4</w:t>
      </w:r>
      <w:r>
        <w:rPr>
          <w:rFonts w:hint="eastAsia" w:cstheme="minorBidi"/>
          <w:bCs/>
          <w:kern w:val="2"/>
          <w:sz w:val="21"/>
          <w:szCs w:val="21"/>
          <w:highlight w:val="none"/>
          <w:lang w:eastAsia="zh-CN"/>
        </w:rPr>
        <w:t>）</w:t>
      </w:r>
      <w:r>
        <w:rPr>
          <w:rFonts w:hint="eastAsia" w:cstheme="minorBidi"/>
          <w:bCs/>
          <w:kern w:val="2"/>
          <w:sz w:val="21"/>
          <w:szCs w:val="21"/>
          <w:highlight w:val="none"/>
        </w:rPr>
        <w:t>申购、赎回应遵守业务规则及其他相关规定；</w:t>
      </w:r>
    </w:p>
    <w:p w14:paraId="5F9B3FA7">
      <w:pPr>
        <w:pStyle w:val="8"/>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5</w:t>
      </w:r>
      <w:r>
        <w:rPr>
          <w:rFonts w:hint="eastAsia" w:cstheme="minorBidi"/>
          <w:bCs/>
          <w:kern w:val="2"/>
          <w:sz w:val="21"/>
          <w:szCs w:val="21"/>
          <w:highlight w:val="none"/>
          <w:lang w:eastAsia="zh-CN"/>
        </w:rPr>
        <w:t>）</w:t>
      </w:r>
      <w:r>
        <w:rPr>
          <w:rFonts w:hint="eastAsia" w:cstheme="minorBidi"/>
          <w:bCs/>
          <w:kern w:val="2"/>
          <w:sz w:val="21"/>
          <w:szCs w:val="21"/>
          <w:highlight w:val="none"/>
        </w:rPr>
        <w:t>办理申购、赎回业务时，应当遵循基金份额持有人利益优先原则，确保投资者的合法权益不受损害并得到公平对待。</w:t>
      </w:r>
    </w:p>
    <w:p w14:paraId="5F711393">
      <w:pPr>
        <w:pStyle w:val="8"/>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基金管理人可在法律法规允许的情况下，对上述原则进行调整。基金管理人必须在新规则开始实施前依照《信息披露办法》的有关规定在规定媒介上公告。</w:t>
      </w:r>
    </w:p>
    <w:p w14:paraId="65D0B780">
      <w:pPr>
        <w:pStyle w:val="8"/>
        <w:spacing w:before="0" w:beforeAutospacing="0" w:after="0" w:afterAutospacing="0" w:line="360" w:lineRule="auto"/>
        <w:ind w:firstLine="420"/>
        <w:rPr>
          <w:rFonts w:cstheme="minorBidi"/>
          <w:bCs/>
          <w:kern w:val="2"/>
          <w:sz w:val="21"/>
          <w:szCs w:val="21"/>
          <w:highlight w:val="none"/>
        </w:rPr>
      </w:pPr>
      <w:r>
        <w:rPr>
          <w:rFonts w:hint="eastAsia" w:cstheme="minorBidi"/>
          <w:bCs/>
          <w:kern w:val="2"/>
          <w:sz w:val="21"/>
          <w:szCs w:val="21"/>
          <w:highlight w:val="none"/>
        </w:rPr>
        <w:t>（2）申购与赎回的数额限制</w:t>
      </w:r>
    </w:p>
    <w:p w14:paraId="7DF859C6">
      <w:pPr>
        <w:pStyle w:val="8"/>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1</w:t>
      </w:r>
      <w:r>
        <w:rPr>
          <w:rFonts w:hint="eastAsia" w:cstheme="minorBidi"/>
          <w:bCs/>
          <w:kern w:val="2"/>
          <w:sz w:val="21"/>
          <w:szCs w:val="21"/>
          <w:highlight w:val="none"/>
          <w:lang w:eastAsia="zh-CN"/>
        </w:rPr>
        <w:t>）</w:t>
      </w:r>
      <w:r>
        <w:rPr>
          <w:rFonts w:hint="eastAsia" w:cstheme="minorBidi"/>
          <w:bCs/>
          <w:kern w:val="2"/>
          <w:sz w:val="21"/>
          <w:szCs w:val="21"/>
          <w:highlight w:val="none"/>
        </w:rPr>
        <w:t>投资者申购、赎回的基金份额需为最小申购、赎回单位的整数倍。</w:t>
      </w:r>
    </w:p>
    <w:p w14:paraId="1E061908">
      <w:pPr>
        <w:adjustRightInd w:val="0"/>
        <w:snapToGrid w:val="0"/>
        <w:spacing w:line="360" w:lineRule="auto"/>
        <w:ind w:firstLine="420" w:firstLineChars="200"/>
        <w:rPr>
          <w:rFonts w:ascii="宋体" w:hAnsi="宋体" w:cs="Arial"/>
        </w:rPr>
      </w:pPr>
      <w:r>
        <w:rPr>
          <w:rFonts w:hint="eastAsia" w:ascii="宋体" w:hAnsi="宋体" w:cs="Arial"/>
        </w:rPr>
        <w:t>本基金的最小申购赎回单位为1</w:t>
      </w:r>
      <w:r>
        <w:rPr>
          <w:rFonts w:hint="eastAsia" w:ascii="宋体" w:hAnsi="宋体" w:cs="Arial"/>
          <w:lang w:val="en-US" w:eastAsia="zh-CN"/>
        </w:rPr>
        <w:t>5</w:t>
      </w:r>
      <w:r>
        <w:rPr>
          <w:rFonts w:hint="eastAsia" w:ascii="宋体" w:hAnsi="宋体" w:cs="Arial"/>
        </w:rPr>
        <w:t>0万份。基金管理人可根据基金运作情况、市场变化以及投资者需求等因素对基金的最小申购赎回单位进行调整，并在调整实施前依照《信息披露办法》的有关规定在规定媒介公告。</w:t>
      </w:r>
    </w:p>
    <w:p w14:paraId="611F6511">
      <w:pPr>
        <w:pStyle w:val="8"/>
        <w:numPr>
          <w:ilvl w:val="0"/>
          <w:numId w:val="1"/>
        </w:numPr>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基金管理人可以规定本基金当日申购份额及当日赎回份额上限，具体规定详见申购、赎回清单。</w:t>
      </w:r>
    </w:p>
    <w:p w14:paraId="4E8EB32B">
      <w:pPr>
        <w:pStyle w:val="8"/>
        <w:numPr>
          <w:ilvl w:val="0"/>
          <w:numId w:val="1"/>
        </w:numPr>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基金管理人可以规定投资人每个交易账户的最低基金份额余额，具体规定请参见更新的招募说明书或相关公告。</w:t>
      </w:r>
    </w:p>
    <w:p w14:paraId="058BE059">
      <w:pPr>
        <w:pStyle w:val="8"/>
        <w:numPr>
          <w:ilvl w:val="0"/>
          <w:numId w:val="1"/>
        </w:numPr>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基金管理人可以规定单个投资人累计持有的基金份额上限，具体规定请参见更新的招募说明书或相关公告。</w:t>
      </w:r>
    </w:p>
    <w:p w14:paraId="06306DC4">
      <w:pPr>
        <w:pStyle w:val="8"/>
        <w:numPr>
          <w:ilvl w:val="0"/>
          <w:numId w:val="1"/>
        </w:numPr>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当接受申购申请对存量基金份额持有人利益构成潜在重大不利影响时，基金管理人可以采取设定单一投资者申购份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4D15CAA8">
      <w:pPr>
        <w:pStyle w:val="8"/>
        <w:numPr>
          <w:ilvl w:val="-1"/>
          <w:numId w:val="0"/>
        </w:numPr>
        <w:spacing w:before="0" w:beforeAutospacing="0" w:after="0" w:afterAutospacing="0" w:line="360" w:lineRule="auto"/>
        <w:ind w:firstLine="420" w:firstLineChars="200"/>
        <w:rPr>
          <w:rFonts w:hint="eastAsia" w:cstheme="minorBidi"/>
          <w:bCs/>
          <w:kern w:val="2"/>
          <w:sz w:val="21"/>
          <w:szCs w:val="21"/>
          <w:highlight w:val="none"/>
        </w:rPr>
      </w:pPr>
      <w:r>
        <w:rPr>
          <w:rFonts w:hint="eastAsia" w:cstheme="minorBidi"/>
          <w:bCs/>
          <w:kern w:val="2"/>
          <w:sz w:val="21"/>
          <w:szCs w:val="21"/>
          <w:highlight w:val="none"/>
        </w:rPr>
        <w:t>基金管理人可根据市场情况，在法律法规允许的情况下，调整上述规定数量或比例等限制。基金管理人必须在调整实施前依照《信息披露办法》的有关规定在规定媒介上公告（其中上述第2</w:t>
      </w:r>
      <w:r>
        <w:rPr>
          <w:rFonts w:hint="eastAsia" w:cstheme="minorBidi"/>
          <w:bCs/>
          <w:kern w:val="2"/>
          <w:sz w:val="21"/>
          <w:szCs w:val="21"/>
          <w:highlight w:val="none"/>
          <w:lang w:val="en-US" w:eastAsia="zh-CN"/>
        </w:rPr>
        <w:t>)</w:t>
      </w:r>
      <w:r>
        <w:rPr>
          <w:rFonts w:hint="eastAsia" w:cstheme="minorBidi"/>
          <w:bCs/>
          <w:kern w:val="2"/>
          <w:sz w:val="21"/>
          <w:szCs w:val="21"/>
          <w:highlight w:val="none"/>
        </w:rPr>
        <w:t>、3</w:t>
      </w:r>
      <w:r>
        <w:rPr>
          <w:rFonts w:hint="eastAsia" w:cstheme="minorBidi"/>
          <w:bCs/>
          <w:kern w:val="2"/>
          <w:sz w:val="21"/>
          <w:szCs w:val="21"/>
          <w:highlight w:val="none"/>
          <w:lang w:val="en-US" w:eastAsia="zh-CN"/>
        </w:rPr>
        <w:t>)</w:t>
      </w:r>
      <w:r>
        <w:rPr>
          <w:rFonts w:hint="eastAsia" w:cstheme="minorBidi"/>
          <w:bCs/>
          <w:kern w:val="2"/>
          <w:sz w:val="21"/>
          <w:szCs w:val="21"/>
          <w:highlight w:val="none"/>
        </w:rPr>
        <w:t>、4</w:t>
      </w:r>
      <w:r>
        <w:rPr>
          <w:rFonts w:hint="eastAsia" w:cstheme="minorBidi"/>
          <w:bCs/>
          <w:kern w:val="2"/>
          <w:sz w:val="21"/>
          <w:szCs w:val="21"/>
          <w:highlight w:val="none"/>
          <w:lang w:val="en-US" w:eastAsia="zh-CN"/>
        </w:rPr>
        <w:t>)</w:t>
      </w:r>
      <w:r>
        <w:rPr>
          <w:rFonts w:hint="eastAsia" w:cstheme="minorBidi"/>
          <w:bCs/>
          <w:kern w:val="2"/>
          <w:sz w:val="21"/>
          <w:szCs w:val="21"/>
          <w:highlight w:val="none"/>
        </w:rPr>
        <w:t>条基金管理人须于前一交易日设定并在当日基金申购、赎回清单上公布，而不必在规定媒介上公告也无需报中国证监会备案）。</w:t>
      </w:r>
    </w:p>
    <w:p w14:paraId="2E35C75B">
      <w:pPr>
        <w:pStyle w:val="8"/>
        <w:spacing w:before="0" w:beforeAutospacing="0" w:after="0" w:afterAutospacing="0" w:line="360" w:lineRule="auto"/>
        <w:ind w:firstLine="420"/>
        <w:rPr>
          <w:rFonts w:cstheme="minorBidi"/>
          <w:bCs/>
          <w:kern w:val="2"/>
          <w:sz w:val="21"/>
          <w:szCs w:val="21"/>
          <w:highlight w:val="none"/>
        </w:rPr>
      </w:pPr>
      <w:r>
        <w:rPr>
          <w:rFonts w:hint="eastAsia" w:cstheme="minorBidi"/>
          <w:bCs/>
          <w:kern w:val="2"/>
          <w:sz w:val="21"/>
          <w:szCs w:val="21"/>
          <w:highlight w:val="none"/>
        </w:rPr>
        <w:t>（3）申购、赎回对价及费用</w:t>
      </w:r>
    </w:p>
    <w:p w14:paraId="35B2C01E">
      <w:pPr>
        <w:pStyle w:val="8"/>
        <w:spacing w:before="0" w:beforeAutospacing="0" w:after="0" w:afterAutospacing="0" w:line="360" w:lineRule="auto"/>
        <w:ind w:firstLine="420"/>
        <w:rPr>
          <w:rFonts w:cstheme="minorBidi"/>
          <w:bCs/>
          <w:kern w:val="2"/>
          <w:sz w:val="21"/>
          <w:szCs w:val="21"/>
          <w:highlight w:val="none"/>
        </w:rPr>
      </w:pPr>
      <w:r>
        <w:rPr>
          <w:rFonts w:hint="eastAsia" w:cstheme="minorBidi"/>
          <w:bCs/>
          <w:kern w:val="2"/>
          <w:sz w:val="21"/>
          <w:szCs w:val="21"/>
          <w:highlight w:val="none"/>
        </w:rPr>
        <w:t>1）申购对价、赎回对价根据申购、赎回清单和投资人申购、赎回的基金份额数额确定。申购对价是指投资人申购基金份额时应交付的组合证券、现金替代、现金差额和/或其他对价。赎回对价是指投资人赎回基金份额时，基金管理人应交付给投资人的组合证券、现金替代、现金差额和/或其他对价。</w:t>
      </w:r>
    </w:p>
    <w:p w14:paraId="7237D3FF">
      <w:pPr>
        <w:pStyle w:val="8"/>
        <w:spacing w:before="0" w:beforeAutospacing="0" w:after="0" w:afterAutospacing="0" w:line="360" w:lineRule="auto"/>
        <w:ind w:firstLine="420"/>
        <w:rPr>
          <w:sz w:val="21"/>
          <w:szCs w:val="21"/>
          <w:highlight w:val="none"/>
        </w:rPr>
      </w:pPr>
      <w:r>
        <w:rPr>
          <w:rFonts w:hint="eastAsia" w:cstheme="minorBidi"/>
          <w:bCs/>
          <w:kern w:val="2"/>
          <w:sz w:val="21"/>
          <w:szCs w:val="21"/>
          <w:highlight w:val="none"/>
        </w:rPr>
        <w:t>2）投资人在申购基金份额时，申购赎回代理券商可按照不超过0.30%的标准收取佣金，投资人在赎回本基金份额时，申购赎回代理券商可按照不超过0.50%的标准收取佣金，其中包含证券交易所、登记机构等收取的相关费用。</w:t>
      </w:r>
    </w:p>
    <w:p w14:paraId="596D1838">
      <w:pPr>
        <w:pStyle w:val="2"/>
        <w:rPr>
          <w:rFonts w:ascii="宋体" w:hAnsi="宋体" w:eastAsia="宋体"/>
          <w:sz w:val="21"/>
          <w:szCs w:val="21"/>
          <w:highlight w:val="none"/>
        </w:rPr>
      </w:pPr>
      <w:r>
        <w:rPr>
          <w:rFonts w:ascii="宋体" w:hAnsi="宋体" w:eastAsia="宋体"/>
          <w:sz w:val="21"/>
          <w:szCs w:val="21"/>
          <w:highlight w:val="none"/>
        </w:rPr>
        <w:t>4、</w:t>
      </w:r>
      <w:r>
        <w:rPr>
          <w:rFonts w:hint="eastAsia" w:ascii="宋体" w:hAnsi="宋体" w:cs="Arial"/>
          <w:bCs w:val="0"/>
          <w:sz w:val="21"/>
          <w:szCs w:val="21"/>
          <w:highlight w:val="none"/>
        </w:rPr>
        <w:t>申购赎回代办证券公司</w:t>
      </w:r>
    </w:p>
    <w:p w14:paraId="6B1247A2">
      <w:pPr>
        <w:pStyle w:val="8"/>
        <w:spacing w:before="0" w:beforeAutospacing="0" w:after="0" w:afterAutospacing="0" w:line="360" w:lineRule="auto"/>
        <w:ind w:firstLine="420" w:firstLineChars="0"/>
        <w:jc w:val="left"/>
        <w:rPr>
          <w:rFonts w:hint="eastAsia"/>
          <w:color w:val="000000"/>
          <w:sz w:val="21"/>
          <w:szCs w:val="21"/>
          <w:highlight w:val="none"/>
        </w:rPr>
      </w:pPr>
      <w:r>
        <w:rPr>
          <w:rFonts w:hint="eastAsia"/>
          <w:color w:val="000000"/>
          <w:sz w:val="21"/>
          <w:szCs w:val="21"/>
          <w:highlight w:val="none"/>
        </w:rPr>
        <w:t>长城证券股份有限公司、财达证券股份有限公司、东北证券股份有限公司、东方财富证券股份有限公司、东莞证券股份有限公司、东海证券股份有限公司、东兴证券股份有限公司、方正证券股份有限公司、广发证券股份有限公司、国海证券股份有限公司、国金证券股份有限公司、国联民生证券股份有限公司、国盛证券股份有限公司、国泰海通证券股份有限公司、国投证券股份有限公司、国信证券股份有限公司、华宝证券股份有限公司、华创证券有限责任公司、华福证券股份有限公司、华泰证券股份有限公司、华西证券股份有限公司、华鑫证券有限责任公司、江海证券有限公司、联储证券股份有限公司、民生证券股份有限公司、平安证券股份有限公司、瑞银证券有限责任公司、山西证券股份有限公司、申万宏源西部证券有限公司、申万宏源证券有限公司、世纪证券有限责任公司、万和证券股份有限公司、万联证券股份有限公司、西部证券股份有限公司、西南证券股份有限公司、湘财证券股份有限公司、兴业证券股份有限公司、粤开证券股份有限公司、招商证券股份有限公司、浙商证券股份有限公司、中国国际金融股份有限公司、中国银河证券股份有限公司、中国中金财富证券有限公司、中泰证券股份有限公司、中信建投证券股份有限公司、中信证券（山东）有限责任公司、中信证券股份有限公司、中信证券华南股份有限公司。</w:t>
      </w:r>
    </w:p>
    <w:p w14:paraId="24FD6948">
      <w:pPr>
        <w:pStyle w:val="8"/>
        <w:spacing w:before="0" w:beforeAutospacing="0" w:after="0" w:afterAutospacing="0" w:line="360" w:lineRule="auto"/>
        <w:ind w:firstLine="420" w:firstLineChars="200"/>
        <w:jc w:val="both"/>
        <w:rPr>
          <w:sz w:val="21"/>
          <w:szCs w:val="21"/>
          <w:highlight w:val="none"/>
        </w:rPr>
      </w:pPr>
      <w:r>
        <w:rPr>
          <w:rFonts w:hint="eastAsia"/>
          <w:sz w:val="21"/>
          <w:szCs w:val="21"/>
          <w:highlight w:val="none"/>
        </w:rPr>
        <w:t>投资者办理本基金申购、赎回业务的具体流程、规则等以及各销售机构的业务办理状况，请参照各申购赎回代办证券公司的规定。基金管理人可以根据情况增减或变更申购赎回代办证券公司，并在基金管理人网站列明，敬请投资者留意。</w:t>
      </w:r>
    </w:p>
    <w:p w14:paraId="39C3D543">
      <w:pPr>
        <w:pStyle w:val="2"/>
        <w:rPr>
          <w:rFonts w:ascii="宋体" w:hAnsi="宋体" w:eastAsia="宋体"/>
          <w:sz w:val="21"/>
          <w:szCs w:val="21"/>
          <w:highlight w:val="none"/>
        </w:rPr>
      </w:pPr>
      <w:r>
        <w:rPr>
          <w:rFonts w:ascii="宋体" w:hAnsi="宋体" w:eastAsia="宋体"/>
          <w:sz w:val="21"/>
          <w:szCs w:val="21"/>
          <w:highlight w:val="none"/>
        </w:rPr>
        <w:t xml:space="preserve">5、基金份额净值公告/基金收益公告的披露安排 </w:t>
      </w:r>
    </w:p>
    <w:p w14:paraId="6F17E365">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在基金份额上市交易或开始办理基金份额申购或者赎回后，基金管理人应当在不晚于每个开放日的次日，通过规定网站、基金销售机构网站或者营业网点披露开放日的基金份额净值和基金份额累计净值。</w:t>
      </w:r>
    </w:p>
    <w:p w14:paraId="44A51CC2">
      <w:pPr>
        <w:pStyle w:val="8"/>
        <w:spacing w:before="0" w:after="0" w:line="360" w:lineRule="auto"/>
        <w:ind w:firstLine="420"/>
        <w:rPr>
          <w:rFonts w:hint="eastAsia"/>
          <w:sz w:val="21"/>
          <w:szCs w:val="21"/>
          <w:highlight w:val="none"/>
        </w:rPr>
      </w:pPr>
      <w:r>
        <w:rPr>
          <w:rFonts w:hint="eastAsia"/>
          <w:sz w:val="21"/>
          <w:szCs w:val="21"/>
          <w:highlight w:val="none"/>
        </w:rPr>
        <w:t>基金管理人应当在不晚于半年度和年度最后一日的次日，在规定网站披露半年度和年度最后一日的基金份额净值和基金份额累计净值。</w:t>
      </w:r>
    </w:p>
    <w:p w14:paraId="2FA8FF5F">
      <w:pPr>
        <w:pStyle w:val="2"/>
        <w:rPr>
          <w:rFonts w:ascii="宋体" w:hAnsi="宋体" w:eastAsia="宋体"/>
          <w:sz w:val="21"/>
          <w:szCs w:val="21"/>
          <w:highlight w:val="none"/>
        </w:rPr>
      </w:pPr>
      <w:r>
        <w:rPr>
          <w:rFonts w:ascii="宋体" w:hAnsi="宋体" w:eastAsia="宋体"/>
          <w:sz w:val="21"/>
          <w:szCs w:val="21"/>
          <w:highlight w:val="none"/>
        </w:rPr>
        <w:t>6、其他需要提示的事项</w:t>
      </w:r>
    </w:p>
    <w:p w14:paraId="62B04C6C">
      <w:pPr>
        <w:pStyle w:val="8"/>
        <w:spacing w:before="0" w:beforeAutospacing="0" w:after="0" w:afterAutospacing="0" w:line="360" w:lineRule="auto"/>
        <w:ind w:firstLine="420"/>
        <w:jc w:val="both"/>
        <w:rPr>
          <w:sz w:val="21"/>
          <w:szCs w:val="21"/>
          <w:highlight w:val="none"/>
        </w:rPr>
      </w:pPr>
      <w:r>
        <w:rPr>
          <w:rFonts w:hint="eastAsia"/>
          <w:sz w:val="21"/>
          <w:szCs w:val="21"/>
          <w:highlight w:val="none"/>
        </w:rPr>
        <w:t>（1）投资者欲了解本基金的详细情况，请致电博时一线通95105568（免长途话费）或登录本公司网站www.bosera.com查阅本基金基金合同及招募说明书。</w:t>
      </w:r>
    </w:p>
    <w:p w14:paraId="27F90F74">
      <w:pPr>
        <w:pStyle w:val="8"/>
        <w:spacing w:before="0" w:beforeAutospacing="0" w:after="0" w:afterAutospacing="0" w:line="360" w:lineRule="auto"/>
        <w:ind w:firstLine="420"/>
        <w:jc w:val="both"/>
        <w:rPr>
          <w:sz w:val="21"/>
          <w:szCs w:val="21"/>
          <w:highlight w:val="none"/>
        </w:rPr>
      </w:pPr>
      <w:r>
        <w:rPr>
          <w:rFonts w:hint="eastAsia"/>
          <w:sz w:val="21"/>
          <w:szCs w:val="21"/>
          <w:highlight w:val="none"/>
        </w:rPr>
        <w:t>（2）本基金将自</w:t>
      </w:r>
      <w:r>
        <w:rPr>
          <w:rFonts w:hint="eastAsia"/>
          <w:sz w:val="21"/>
          <w:szCs w:val="21"/>
          <w:highlight w:val="none"/>
          <w:lang w:eastAsia="zh-CN"/>
        </w:rPr>
        <w:t>2026年6月</w:t>
      </w:r>
      <w:r>
        <w:rPr>
          <w:rFonts w:hint="eastAsia"/>
          <w:sz w:val="21"/>
          <w:szCs w:val="21"/>
          <w:highlight w:val="none"/>
          <w:lang w:val="en-US" w:eastAsia="zh-CN"/>
        </w:rPr>
        <w:t>30</w:t>
      </w:r>
      <w:r>
        <w:rPr>
          <w:rFonts w:hint="eastAsia"/>
          <w:sz w:val="21"/>
          <w:szCs w:val="21"/>
          <w:highlight w:val="none"/>
          <w:lang w:eastAsia="zh-CN"/>
        </w:rPr>
        <w:t>日</w:t>
      </w:r>
      <w:r>
        <w:rPr>
          <w:rFonts w:hint="eastAsia"/>
          <w:sz w:val="21"/>
          <w:szCs w:val="21"/>
          <w:highlight w:val="none"/>
        </w:rPr>
        <w:t>起在上海证券交易所上市交易，投资者欲了解本基金的详细情况，可通过本公司网站查阅本公司于</w:t>
      </w:r>
      <w:r>
        <w:rPr>
          <w:rFonts w:hint="eastAsia"/>
          <w:sz w:val="21"/>
          <w:szCs w:val="21"/>
          <w:highlight w:val="none"/>
          <w:lang w:eastAsia="zh-CN"/>
        </w:rPr>
        <w:t>2026年6月</w:t>
      </w:r>
      <w:r>
        <w:rPr>
          <w:rFonts w:hint="eastAsia"/>
          <w:sz w:val="21"/>
          <w:szCs w:val="21"/>
          <w:highlight w:val="none"/>
          <w:lang w:val="en-US" w:eastAsia="zh-CN"/>
        </w:rPr>
        <w:t>25</w:t>
      </w:r>
      <w:r>
        <w:rPr>
          <w:rFonts w:hint="eastAsia"/>
          <w:sz w:val="21"/>
          <w:szCs w:val="21"/>
          <w:highlight w:val="none"/>
          <w:lang w:eastAsia="zh-CN"/>
        </w:rPr>
        <w:t>日</w:t>
      </w:r>
      <w:r>
        <w:rPr>
          <w:rFonts w:hint="eastAsia"/>
          <w:sz w:val="21"/>
          <w:szCs w:val="21"/>
          <w:highlight w:val="none"/>
        </w:rPr>
        <w:t>发布的《</w:t>
      </w:r>
      <w:r>
        <w:rPr>
          <w:rFonts w:hint="eastAsia"/>
          <w:sz w:val="21"/>
          <w:szCs w:val="21"/>
          <w:highlight w:val="none"/>
          <w:lang w:eastAsia="zh-CN"/>
        </w:rPr>
        <w:t>博时中证全指红利质量交易型开放式指数证券投资基金</w:t>
      </w:r>
      <w:r>
        <w:rPr>
          <w:rFonts w:hint="eastAsia"/>
          <w:sz w:val="21"/>
          <w:szCs w:val="21"/>
          <w:highlight w:val="none"/>
        </w:rPr>
        <w:t>上市交易公告书》了解相关信息。</w:t>
      </w:r>
    </w:p>
    <w:p w14:paraId="61FF1970">
      <w:pPr>
        <w:pStyle w:val="8"/>
        <w:spacing w:before="0" w:beforeAutospacing="0" w:after="0" w:afterAutospacing="0" w:line="360" w:lineRule="auto"/>
        <w:ind w:firstLine="420"/>
        <w:jc w:val="both"/>
        <w:rPr>
          <w:sz w:val="21"/>
          <w:szCs w:val="21"/>
          <w:highlight w:val="none"/>
        </w:rPr>
      </w:pPr>
    </w:p>
    <w:p w14:paraId="668ECFAB">
      <w:pPr>
        <w:pStyle w:val="8"/>
        <w:spacing w:before="0" w:beforeAutospacing="0" w:after="0" w:afterAutospacing="0" w:line="360" w:lineRule="auto"/>
        <w:ind w:firstLine="420"/>
        <w:jc w:val="both"/>
        <w:rPr>
          <w:sz w:val="21"/>
          <w:szCs w:val="21"/>
          <w:highlight w:val="none"/>
        </w:rPr>
      </w:pPr>
      <w:r>
        <w:rPr>
          <w:rFonts w:hint="eastAsia"/>
          <w:sz w:val="21"/>
          <w:szCs w:val="21"/>
          <w:highlight w:val="none"/>
        </w:rPr>
        <w:t xml:space="preserve">特此公告。 </w:t>
      </w:r>
    </w:p>
    <w:p w14:paraId="4CB83C82">
      <w:pPr>
        <w:pStyle w:val="8"/>
        <w:spacing w:before="0" w:beforeAutospacing="0" w:after="0" w:afterAutospacing="0" w:line="360" w:lineRule="auto"/>
        <w:ind w:firstLine="420"/>
        <w:jc w:val="both"/>
        <w:rPr>
          <w:sz w:val="21"/>
          <w:szCs w:val="21"/>
          <w:highlight w:val="none"/>
        </w:rPr>
      </w:pPr>
    </w:p>
    <w:p w14:paraId="39A27B2E">
      <w:pPr>
        <w:pStyle w:val="8"/>
        <w:spacing w:before="0" w:beforeAutospacing="0" w:after="0" w:afterAutospacing="0" w:line="360" w:lineRule="auto"/>
        <w:ind w:firstLine="420"/>
        <w:jc w:val="both"/>
        <w:rPr>
          <w:sz w:val="21"/>
          <w:szCs w:val="21"/>
          <w:highlight w:val="none"/>
        </w:rPr>
      </w:pPr>
    </w:p>
    <w:p w14:paraId="6272F67C">
      <w:pPr>
        <w:pStyle w:val="8"/>
        <w:spacing w:before="0" w:beforeAutospacing="0" w:after="0" w:afterAutospacing="0" w:line="360" w:lineRule="auto"/>
        <w:ind w:firstLine="420"/>
        <w:jc w:val="both"/>
        <w:rPr>
          <w:sz w:val="21"/>
          <w:szCs w:val="21"/>
          <w:highlight w:val="none"/>
        </w:rPr>
      </w:pPr>
    </w:p>
    <w:p w14:paraId="46A0E865">
      <w:pPr>
        <w:pStyle w:val="8"/>
        <w:spacing w:before="0" w:beforeAutospacing="0" w:after="0" w:afterAutospacing="0" w:line="360" w:lineRule="auto"/>
        <w:ind w:firstLine="420"/>
        <w:jc w:val="right"/>
        <w:rPr>
          <w:sz w:val="21"/>
          <w:szCs w:val="21"/>
          <w:highlight w:val="none"/>
        </w:rPr>
      </w:pPr>
      <w:r>
        <w:rPr>
          <w:rFonts w:hint="eastAsia"/>
          <w:sz w:val="21"/>
          <w:szCs w:val="21"/>
          <w:highlight w:val="none"/>
        </w:rPr>
        <w:t>博时基金管理有限公司</w:t>
      </w:r>
    </w:p>
    <w:p w14:paraId="6478CDA3">
      <w:pPr>
        <w:pStyle w:val="8"/>
        <w:spacing w:before="0" w:beforeAutospacing="0" w:after="0" w:afterAutospacing="0" w:line="360" w:lineRule="auto"/>
        <w:ind w:firstLine="420"/>
        <w:jc w:val="right"/>
        <w:rPr>
          <w:rFonts w:hint="eastAsia" w:eastAsia="宋体"/>
          <w:sz w:val="21"/>
          <w:szCs w:val="21"/>
          <w:highlight w:val="none"/>
          <w:lang w:eastAsia="zh-CN"/>
        </w:rPr>
      </w:pPr>
      <w:r>
        <w:rPr>
          <w:rFonts w:hint="eastAsia"/>
          <w:sz w:val="21"/>
          <w:szCs w:val="21"/>
          <w:highlight w:val="none"/>
          <w:lang w:eastAsia="zh-CN"/>
        </w:rPr>
        <w:t>2026年6月</w:t>
      </w:r>
      <w:r>
        <w:rPr>
          <w:rFonts w:hint="eastAsia"/>
          <w:sz w:val="21"/>
          <w:szCs w:val="21"/>
          <w:highlight w:val="none"/>
          <w:lang w:val="en-US" w:eastAsia="zh-CN"/>
        </w:rPr>
        <w:t>25</w:t>
      </w:r>
      <w:r>
        <w:rPr>
          <w:rFonts w:hint="eastAsia"/>
          <w:sz w:val="21"/>
          <w:szCs w:val="21"/>
          <w:highlight w:val="none"/>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9B82EC"/>
    <w:multiLevelType w:val="singleLevel"/>
    <w:tmpl w:val="CE9B82EC"/>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0B2"/>
    <w:rsid w:val="00054102"/>
    <w:rsid w:val="00066548"/>
    <w:rsid w:val="000C2A15"/>
    <w:rsid w:val="001771BA"/>
    <w:rsid w:val="001F1E3D"/>
    <w:rsid w:val="0021587F"/>
    <w:rsid w:val="002B7FF1"/>
    <w:rsid w:val="002F4928"/>
    <w:rsid w:val="003C35FB"/>
    <w:rsid w:val="004C23A3"/>
    <w:rsid w:val="00537DAC"/>
    <w:rsid w:val="005779E8"/>
    <w:rsid w:val="00602D09"/>
    <w:rsid w:val="0060301B"/>
    <w:rsid w:val="006D6B2D"/>
    <w:rsid w:val="006F70B2"/>
    <w:rsid w:val="00732F62"/>
    <w:rsid w:val="00737DE3"/>
    <w:rsid w:val="007F5632"/>
    <w:rsid w:val="007F7518"/>
    <w:rsid w:val="00801E17"/>
    <w:rsid w:val="0086682E"/>
    <w:rsid w:val="00A010F4"/>
    <w:rsid w:val="00A254AA"/>
    <w:rsid w:val="00A95885"/>
    <w:rsid w:val="00C61593"/>
    <w:rsid w:val="00C94760"/>
    <w:rsid w:val="00D05C24"/>
    <w:rsid w:val="00D24D99"/>
    <w:rsid w:val="00D45EDD"/>
    <w:rsid w:val="00D63017"/>
    <w:rsid w:val="00FF2711"/>
    <w:rsid w:val="00FF2C89"/>
    <w:rsid w:val="011653BE"/>
    <w:rsid w:val="02470A53"/>
    <w:rsid w:val="02942005"/>
    <w:rsid w:val="045300BD"/>
    <w:rsid w:val="050B11E7"/>
    <w:rsid w:val="05220078"/>
    <w:rsid w:val="058B318B"/>
    <w:rsid w:val="066F23FD"/>
    <w:rsid w:val="07075361"/>
    <w:rsid w:val="070A4B3B"/>
    <w:rsid w:val="079274FA"/>
    <w:rsid w:val="0C6D6999"/>
    <w:rsid w:val="0CFC10C7"/>
    <w:rsid w:val="0F4E0194"/>
    <w:rsid w:val="0F5F7C7B"/>
    <w:rsid w:val="0F6C12D8"/>
    <w:rsid w:val="104062FF"/>
    <w:rsid w:val="10B67F60"/>
    <w:rsid w:val="12EC1D29"/>
    <w:rsid w:val="13F50870"/>
    <w:rsid w:val="1578305A"/>
    <w:rsid w:val="158156D6"/>
    <w:rsid w:val="159A07FF"/>
    <w:rsid w:val="163B4CD5"/>
    <w:rsid w:val="16BE185B"/>
    <w:rsid w:val="182145B7"/>
    <w:rsid w:val="18894E83"/>
    <w:rsid w:val="1AE709B1"/>
    <w:rsid w:val="1DA432B4"/>
    <w:rsid w:val="1DCA64BC"/>
    <w:rsid w:val="1DFC5A91"/>
    <w:rsid w:val="1E1517BD"/>
    <w:rsid w:val="1EBC2F1E"/>
    <w:rsid w:val="209D35FD"/>
    <w:rsid w:val="20F463B1"/>
    <w:rsid w:val="22505F2C"/>
    <w:rsid w:val="23D16DD0"/>
    <w:rsid w:val="24CE1C0A"/>
    <w:rsid w:val="24EC7E6B"/>
    <w:rsid w:val="27277A45"/>
    <w:rsid w:val="2793076E"/>
    <w:rsid w:val="2888203E"/>
    <w:rsid w:val="29387389"/>
    <w:rsid w:val="29817026"/>
    <w:rsid w:val="2A4A78D5"/>
    <w:rsid w:val="2A524A6F"/>
    <w:rsid w:val="2AA82DA8"/>
    <w:rsid w:val="2CBC7016"/>
    <w:rsid w:val="2EEA578A"/>
    <w:rsid w:val="2F2926E0"/>
    <w:rsid w:val="329311EF"/>
    <w:rsid w:val="33501783"/>
    <w:rsid w:val="34197437"/>
    <w:rsid w:val="356567B7"/>
    <w:rsid w:val="36B56C0E"/>
    <w:rsid w:val="36E9614A"/>
    <w:rsid w:val="38363AA5"/>
    <w:rsid w:val="39917527"/>
    <w:rsid w:val="3A2321ED"/>
    <w:rsid w:val="3CD4268F"/>
    <w:rsid w:val="3D9B7A5D"/>
    <w:rsid w:val="3F212620"/>
    <w:rsid w:val="42D707D2"/>
    <w:rsid w:val="43152645"/>
    <w:rsid w:val="44A228CF"/>
    <w:rsid w:val="44E9469A"/>
    <w:rsid w:val="45F475F3"/>
    <w:rsid w:val="464158F8"/>
    <w:rsid w:val="472155BD"/>
    <w:rsid w:val="47806F6B"/>
    <w:rsid w:val="478D5847"/>
    <w:rsid w:val="48110959"/>
    <w:rsid w:val="488B4811"/>
    <w:rsid w:val="49211CCE"/>
    <w:rsid w:val="4A2701DB"/>
    <w:rsid w:val="4A4F77A5"/>
    <w:rsid w:val="4E28673E"/>
    <w:rsid w:val="4EC04518"/>
    <w:rsid w:val="4F194084"/>
    <w:rsid w:val="51131DEE"/>
    <w:rsid w:val="53376114"/>
    <w:rsid w:val="542A43DD"/>
    <w:rsid w:val="560F7638"/>
    <w:rsid w:val="569E0C05"/>
    <w:rsid w:val="56CD30E3"/>
    <w:rsid w:val="56ED79C9"/>
    <w:rsid w:val="57455939"/>
    <w:rsid w:val="57C71C02"/>
    <w:rsid w:val="57C9597B"/>
    <w:rsid w:val="5835153C"/>
    <w:rsid w:val="596E0E85"/>
    <w:rsid w:val="5BBF0CF6"/>
    <w:rsid w:val="5D505385"/>
    <w:rsid w:val="602230BB"/>
    <w:rsid w:val="60A65FBA"/>
    <w:rsid w:val="611F6FE6"/>
    <w:rsid w:val="633A60A8"/>
    <w:rsid w:val="648623AA"/>
    <w:rsid w:val="65024882"/>
    <w:rsid w:val="65CA1C24"/>
    <w:rsid w:val="67A03345"/>
    <w:rsid w:val="6B0009D8"/>
    <w:rsid w:val="6BE23E59"/>
    <w:rsid w:val="6C2E68CB"/>
    <w:rsid w:val="6C3B6F93"/>
    <w:rsid w:val="6C482A76"/>
    <w:rsid w:val="6DFA4273"/>
    <w:rsid w:val="6EC1671E"/>
    <w:rsid w:val="6FAA4748"/>
    <w:rsid w:val="726408D1"/>
    <w:rsid w:val="7274450A"/>
    <w:rsid w:val="73E813C8"/>
    <w:rsid w:val="74421287"/>
    <w:rsid w:val="74802DBF"/>
    <w:rsid w:val="759B2559"/>
    <w:rsid w:val="75CD54D4"/>
    <w:rsid w:val="7653370B"/>
    <w:rsid w:val="7A186270"/>
    <w:rsid w:val="7B160BB8"/>
    <w:rsid w:val="7CFA4EBC"/>
    <w:rsid w:val="7EB3269E"/>
    <w:rsid w:val="7FF219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6"/>
    <w:unhideWhenUsed/>
    <w:qFormat/>
    <w:uiPriority w:val="9"/>
    <w:pPr>
      <w:keepNext/>
      <w:keepLines/>
      <w:spacing w:before="260" w:after="260" w:line="416" w:lineRule="auto"/>
      <w:outlineLvl w:val="2"/>
    </w:pPr>
    <w:rPr>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9"/>
    <w:semiHidden/>
    <w:unhideWhenUsed/>
    <w:qFormat/>
    <w:uiPriority w:val="99"/>
    <w:pPr>
      <w:jc w:val="left"/>
    </w:pPr>
  </w:style>
  <w:style w:type="paragraph" w:styleId="5">
    <w:name w:val="Balloon Text"/>
    <w:basedOn w:val="1"/>
    <w:link w:val="21"/>
    <w:semiHidden/>
    <w:unhideWhenUsed/>
    <w:qFormat/>
    <w:uiPriority w:val="99"/>
    <w:rPr>
      <w:sz w:val="18"/>
      <w:szCs w:val="18"/>
    </w:rPr>
  </w:style>
  <w:style w:type="paragraph" w:styleId="6">
    <w:name w:val="footer"/>
    <w:basedOn w:val="1"/>
    <w:link w:val="18"/>
    <w:unhideWhenUsed/>
    <w:qFormat/>
    <w:uiPriority w:val="99"/>
    <w:pPr>
      <w:tabs>
        <w:tab w:val="center" w:pos="4153"/>
        <w:tab w:val="right" w:pos="8306"/>
      </w:tabs>
      <w:snapToGrid w:val="0"/>
      <w:jc w:val="left"/>
    </w:pPr>
    <w:rPr>
      <w:sz w:val="18"/>
      <w:szCs w:val="18"/>
    </w:rPr>
  </w:style>
  <w:style w:type="paragraph" w:styleId="7">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4"/>
    <w:next w:val="4"/>
    <w:link w:val="20"/>
    <w:semiHidden/>
    <w:unhideWhenUsed/>
    <w:qFormat/>
    <w:uiPriority w:val="99"/>
    <w:rPr>
      <w:b/>
      <w:bCs/>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000FF" w:themeColor="hyperlink"/>
      <w:u w:val="single"/>
      <w14:textFill>
        <w14:solidFill>
          <w14:schemeClr w14:val="hlink"/>
        </w14:solidFill>
      </w14:textFill>
    </w:rPr>
  </w:style>
  <w:style w:type="character" w:styleId="14">
    <w:name w:val="annotation reference"/>
    <w:basedOn w:val="12"/>
    <w:semiHidden/>
    <w:unhideWhenUsed/>
    <w:qFormat/>
    <w:uiPriority w:val="99"/>
    <w:rPr>
      <w:sz w:val="21"/>
      <w:szCs w:val="21"/>
    </w:rPr>
  </w:style>
  <w:style w:type="character" w:customStyle="1" w:styleId="15">
    <w:name w:val="标题 2 字符"/>
    <w:basedOn w:val="12"/>
    <w:link w:val="2"/>
    <w:qFormat/>
    <w:uiPriority w:val="9"/>
    <w:rPr>
      <w:rFonts w:asciiTheme="majorHAnsi" w:hAnsiTheme="majorHAnsi" w:eastAsiaTheme="majorEastAsia" w:cstheme="majorBidi"/>
      <w:b/>
      <w:bCs/>
      <w:sz w:val="32"/>
      <w:szCs w:val="32"/>
    </w:rPr>
  </w:style>
  <w:style w:type="character" w:customStyle="1" w:styleId="16">
    <w:name w:val="标题 3 字符"/>
    <w:basedOn w:val="12"/>
    <w:link w:val="3"/>
    <w:qFormat/>
    <w:uiPriority w:val="9"/>
    <w:rPr>
      <w:b/>
      <w:bCs/>
      <w:sz w:val="32"/>
      <w:szCs w:val="32"/>
    </w:rPr>
  </w:style>
  <w:style w:type="character" w:customStyle="1" w:styleId="17">
    <w:name w:val="页眉 字符"/>
    <w:basedOn w:val="12"/>
    <w:link w:val="7"/>
    <w:qFormat/>
    <w:uiPriority w:val="99"/>
    <w:rPr>
      <w:sz w:val="18"/>
      <w:szCs w:val="18"/>
    </w:rPr>
  </w:style>
  <w:style w:type="character" w:customStyle="1" w:styleId="18">
    <w:name w:val="页脚 字符"/>
    <w:basedOn w:val="12"/>
    <w:link w:val="6"/>
    <w:qFormat/>
    <w:uiPriority w:val="99"/>
    <w:rPr>
      <w:sz w:val="18"/>
      <w:szCs w:val="18"/>
    </w:rPr>
  </w:style>
  <w:style w:type="character" w:customStyle="1" w:styleId="19">
    <w:name w:val="批注文字 字符"/>
    <w:basedOn w:val="12"/>
    <w:link w:val="4"/>
    <w:semiHidden/>
    <w:qFormat/>
    <w:uiPriority w:val="99"/>
  </w:style>
  <w:style w:type="character" w:customStyle="1" w:styleId="20">
    <w:name w:val="批注主题 字符"/>
    <w:basedOn w:val="19"/>
    <w:link w:val="9"/>
    <w:semiHidden/>
    <w:qFormat/>
    <w:uiPriority w:val="99"/>
    <w:rPr>
      <w:b/>
      <w:bCs/>
    </w:rPr>
  </w:style>
  <w:style w:type="character" w:customStyle="1" w:styleId="21">
    <w:name w:val="批注框文本 字符"/>
    <w:basedOn w:val="12"/>
    <w:link w:val="5"/>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4</Pages>
  <Words>2586</Words>
  <Characters>2665</Characters>
  <Lines>20</Lines>
  <Paragraphs>5</Paragraphs>
  <TotalTime>48</TotalTime>
  <ScaleCrop>false</ScaleCrop>
  <LinksUpToDate>false</LinksUpToDate>
  <CharactersWithSpaces>2667</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2022-07-06T10:12:00Z</dcterms:created>
  <dc:creator>BSKMadminDev</dc:creator>
  <cp:lastModifiedBy>zhaiq1</cp:lastModifiedBy>
  <dcterms:modified xsi:type="dcterms:W3CDTF">2026-06-23T06:32:03Z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590A3FA7ACCA4218929041E908C089FD</vt:lpwstr>
  </property>
</Properties>
</file>