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02F125"/>
    <w:p w14:paraId="718F378F">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博时基金管理有限公司关于以通讯方式召开博时卓越优选混合型证券投资基金基金份额持有人大会的公告</w:t>
      </w:r>
    </w:p>
    <w:p w14:paraId="4D32761C">
      <w:pPr>
        <w:spacing w:line="360" w:lineRule="auto"/>
        <w:jc w:val="center"/>
        <w:rPr>
          <w:rFonts w:ascii="宋体" w:hAnsi="宋体" w:eastAsia="宋体"/>
          <w:b/>
          <w:sz w:val="24"/>
        </w:rPr>
      </w:pPr>
    </w:p>
    <w:p w14:paraId="24EE5CBE">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33936E69">
      <w:pPr>
        <w:pStyle w:val="7"/>
        <w:spacing w:before="0" w:beforeAutospacing="0" w:after="0" w:afterAutospacing="0" w:line="360" w:lineRule="auto"/>
        <w:ind w:firstLine="420"/>
        <w:jc w:val="both"/>
        <w:rPr>
          <w:sz w:val="21"/>
          <w:szCs w:val="21"/>
        </w:rPr>
      </w:pPr>
      <w:r>
        <w:rPr>
          <w:rFonts w:hint="eastAsia"/>
          <w:sz w:val="21"/>
          <w:szCs w:val="21"/>
        </w:rPr>
        <w:t xml:space="preserve">根据《中华人民共和国证券投资基金法》、《公开募集证券投资基金运作管理办法》和《博时卓越优选混合型证券投资基金基金合同》（以下简称“《基金合同》”或“基金合同”）的有关规定，博时卓越优选混合型证券投资基金（以下简称“本基金”）的基金管理人博时基金管理有限公司（以下简称“基金管理人”或“本基金管理人”）经与本基金的基金托管人招商银行股份有限公司协商一致，决定以通讯方式召开本基金的基金份额持有人大会，会议的具体安排如下： </w:t>
      </w:r>
    </w:p>
    <w:p w14:paraId="5C050E85">
      <w:pPr>
        <w:pStyle w:val="7"/>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039E6E9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2、会议投票表决起止时间：自2026年6月17日起，至2026年7月13日17：00止（送达时间以本基金管理人收到表决票时间为准）。 </w:t>
      </w:r>
    </w:p>
    <w:p w14:paraId="23973F9A">
      <w:pPr>
        <w:pStyle w:val="7"/>
        <w:spacing w:before="0" w:beforeAutospacing="0" w:after="0" w:afterAutospacing="0" w:line="360" w:lineRule="auto"/>
        <w:ind w:firstLine="420"/>
        <w:jc w:val="both"/>
        <w:rPr>
          <w:rFonts w:hint="eastAsia"/>
          <w:sz w:val="21"/>
          <w:szCs w:val="21"/>
        </w:rPr>
      </w:pPr>
      <w:r>
        <w:rPr>
          <w:rFonts w:hint="eastAsia"/>
          <w:sz w:val="21"/>
          <w:szCs w:val="21"/>
        </w:rPr>
        <w:t>3、会议计票日：2026年7月1</w:t>
      </w:r>
      <w:r>
        <w:rPr>
          <w:rFonts w:hint="eastAsia"/>
          <w:sz w:val="21"/>
          <w:szCs w:val="21"/>
          <w:lang w:val="en-US" w:eastAsia="zh-CN"/>
        </w:rPr>
        <w:t>4</w:t>
      </w:r>
      <w:r>
        <w:rPr>
          <w:rFonts w:hint="eastAsia"/>
          <w:sz w:val="21"/>
          <w:szCs w:val="21"/>
        </w:rPr>
        <w:t xml:space="preserve">日  </w:t>
      </w:r>
    </w:p>
    <w:p w14:paraId="77B2A507">
      <w:pPr>
        <w:pStyle w:val="7"/>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2929D314">
      <w:pPr>
        <w:pStyle w:val="7"/>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1B34DAA0">
      <w:pPr>
        <w:pStyle w:val="7"/>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3C1CFFE2">
      <w:pPr>
        <w:pStyle w:val="7"/>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02B5D8A7">
      <w:pPr>
        <w:pStyle w:val="7"/>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00A00A29">
      <w:pPr>
        <w:pStyle w:val="7"/>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请在信封表面注明：“博时卓越优选混合型证券投资基金基金份额持有人大会表决专用”。 </w:t>
      </w:r>
    </w:p>
    <w:p w14:paraId="2AE40D64">
      <w:pPr>
        <w:pStyle w:val="7"/>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7F0776B5">
      <w:pPr>
        <w:pStyle w:val="7"/>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5663AA1C">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6440D608">
      <w:pPr>
        <w:pStyle w:val="7"/>
        <w:spacing w:before="0" w:beforeAutospacing="0" w:after="0" w:afterAutospacing="0" w:line="360" w:lineRule="auto"/>
        <w:ind w:firstLine="420"/>
        <w:jc w:val="both"/>
        <w:rPr>
          <w:rFonts w:hint="eastAsia"/>
          <w:sz w:val="21"/>
          <w:szCs w:val="21"/>
        </w:rPr>
      </w:pPr>
      <w:r>
        <w:rPr>
          <w:rFonts w:hint="eastAsia"/>
          <w:sz w:val="21"/>
          <w:szCs w:val="21"/>
        </w:rPr>
        <w:t xml:space="preserve">《关于博时卓越优选混合型证券投资基金修改基金合同终止条款的议案》（见附件一）。 </w:t>
      </w:r>
    </w:p>
    <w:p w14:paraId="67EEDCFC">
      <w:pPr>
        <w:pStyle w:val="7"/>
        <w:spacing w:before="0" w:beforeAutospacing="0" w:after="0" w:afterAutospacing="0" w:line="360" w:lineRule="auto"/>
        <w:ind w:firstLine="420"/>
        <w:jc w:val="both"/>
        <w:rPr>
          <w:rFonts w:hint="eastAsia"/>
          <w:sz w:val="21"/>
          <w:szCs w:val="21"/>
        </w:rPr>
      </w:pPr>
      <w:r>
        <w:rPr>
          <w:rFonts w:hint="eastAsia"/>
          <w:sz w:val="21"/>
          <w:szCs w:val="21"/>
        </w:rPr>
        <w:t xml:space="preserve">上述议案的内容说明请参见《关于博时卓越优选混合型证券投资基金修改基金合同终止条款的议案说明书》（见附件四）。 </w:t>
      </w:r>
    </w:p>
    <w:p w14:paraId="7E0B8AC1">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71162F66">
      <w:pPr>
        <w:pStyle w:val="7"/>
        <w:spacing w:before="0" w:beforeAutospacing="0" w:after="0" w:afterAutospacing="0" w:line="360" w:lineRule="auto"/>
        <w:ind w:firstLine="420"/>
        <w:jc w:val="both"/>
        <w:rPr>
          <w:rFonts w:hint="eastAsia"/>
          <w:sz w:val="21"/>
          <w:szCs w:val="21"/>
        </w:rPr>
      </w:pPr>
      <w:r>
        <w:rPr>
          <w:rFonts w:hint="eastAsia"/>
          <w:sz w:val="21"/>
          <w:szCs w:val="21"/>
        </w:rPr>
        <w:t xml:space="preserve">本次大会的权益登记日为2026年6月17日，即2026年6月17日在本基金登记机构登记在册的本基金全体基金份额持有人均有权参与本次基金份额持有人大会的表决。 </w:t>
      </w:r>
    </w:p>
    <w:p w14:paraId="015891D2">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446CA792">
      <w:pPr>
        <w:pStyle w:val="7"/>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70CED39C">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32A7D8DB">
      <w:pPr>
        <w:pStyle w:val="7"/>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199AD6F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6076A19F">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0F6C036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26976853">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或其代理人需将填妥的表决票和所需的相关文件自2026年6月17日起，至2026年7月13日17：00以前（送达时间以基金管理人收到表决票时间为准）通过专人送交、邮寄的方式送达至本公告第一条第4项所述的寄达地址，并请在信封表面注明：“博时卓越优选混合型证券投资基金基金份额持有人大会表决专用”。 </w:t>
      </w:r>
    </w:p>
    <w:p w14:paraId="3A71F835">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42D4C7B0">
      <w:pPr>
        <w:pStyle w:val="7"/>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57B4B7AB">
      <w:pPr>
        <w:pStyle w:val="7"/>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7CA11089">
      <w:pPr>
        <w:pStyle w:val="7"/>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370E1B52">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05BE6E76">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1B3F78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264CCA7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07501819">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35E1ECA3">
      <w:pPr>
        <w:pStyle w:val="7"/>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24B7CE46">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DA7301E">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69E8F7A5">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73FD4BCA">
      <w:pPr>
        <w:pStyle w:val="7"/>
        <w:spacing w:before="0" w:beforeAutospacing="0" w:after="0" w:afterAutospacing="0" w:line="360" w:lineRule="auto"/>
        <w:ind w:firstLine="420"/>
        <w:jc w:val="both"/>
        <w:rPr>
          <w:sz w:val="21"/>
          <w:szCs w:val="21"/>
        </w:rPr>
      </w:pPr>
      <w:r>
        <w:rPr>
          <w:rFonts w:hint="eastAsia"/>
          <w:sz w:val="21"/>
          <w:szCs w:val="21"/>
        </w:rPr>
        <w:t xml:space="preserve">1、本次通讯会议的计票方式为：由本基金管理人授权的两名监督员在基金托管人（招商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24747350">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57E3B53A">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4F18D620">
      <w:pPr>
        <w:pStyle w:val="7"/>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6F908514">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1F28C676">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2D5C4F59">
      <w:pPr>
        <w:pStyle w:val="7"/>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572ED8E">
      <w:pPr>
        <w:pStyle w:val="7"/>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1B89E3B5">
      <w:pPr>
        <w:pStyle w:val="7"/>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5F35C0E9">
      <w:pPr>
        <w:pStyle w:val="7"/>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29539BF0">
      <w:pPr>
        <w:pStyle w:val="7"/>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36D7D0D6">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0E18DBF7">
      <w:pPr>
        <w:pStyle w:val="7"/>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4BFF6412">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2、《关于博时卓越优选混合型证券投资基金修改基金合同终止条款的议案》应当由提交有效表决票的基金份额持有人或其代理人所持表决权的三分之二以上（含三分之二）通过； </w:t>
      </w:r>
    </w:p>
    <w:p w14:paraId="41A96A4D">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67BF98CB">
      <w:pPr>
        <w:pStyle w:val="7"/>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0D7AC05">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6393D24D">
      <w:pPr>
        <w:pStyle w:val="7"/>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6月17日。 </w:t>
      </w:r>
    </w:p>
    <w:p w14:paraId="15247F5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3B2B69F4">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1FB5BF97">
      <w:pPr>
        <w:pStyle w:val="7"/>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1EA129BB">
      <w:pPr>
        <w:pStyle w:val="7"/>
        <w:spacing w:before="0" w:beforeAutospacing="0" w:after="0" w:afterAutospacing="0" w:line="360" w:lineRule="auto"/>
        <w:ind w:firstLine="420"/>
        <w:jc w:val="both"/>
        <w:rPr>
          <w:rFonts w:hint="eastAsia"/>
          <w:sz w:val="21"/>
          <w:szCs w:val="21"/>
        </w:rPr>
      </w:pPr>
      <w:r>
        <w:rPr>
          <w:rFonts w:hint="eastAsia"/>
          <w:sz w:val="21"/>
          <w:szCs w:val="21"/>
        </w:rPr>
        <w:t>2、基金托管人：招商银行股份有限公司</w:t>
      </w:r>
    </w:p>
    <w:p w14:paraId="4C3EB7DF">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070BB115">
      <w:pPr>
        <w:pStyle w:val="7"/>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00DB1EA1">
      <w:pPr>
        <w:pStyle w:val="7"/>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76A2EF80">
      <w:pPr>
        <w:pStyle w:val="7"/>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6D6BAB16">
      <w:pPr>
        <w:pStyle w:val="3"/>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28DF15CA">
      <w:pPr>
        <w:pStyle w:val="7"/>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4C302AFB">
      <w:pPr>
        <w:pStyle w:val="7"/>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2C9A84E7">
      <w:pPr>
        <w:pStyle w:val="7"/>
        <w:spacing w:before="0" w:beforeAutospacing="0" w:after="0" w:afterAutospacing="0" w:line="360" w:lineRule="auto"/>
        <w:ind w:firstLine="420"/>
        <w:jc w:val="both"/>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6B886EE9">
      <w:pPr>
        <w:pStyle w:val="7"/>
        <w:spacing w:before="0" w:beforeAutospacing="0" w:after="0" w:afterAutospacing="0" w:line="360" w:lineRule="auto"/>
        <w:ind w:firstLine="420"/>
        <w:jc w:val="both"/>
        <w:rPr>
          <w:rFonts w:hint="eastAsia"/>
          <w:sz w:val="21"/>
          <w:szCs w:val="21"/>
        </w:rPr>
      </w:pPr>
      <w:r>
        <w:rPr>
          <w:rFonts w:hint="eastAsia"/>
          <w:sz w:val="21"/>
          <w:szCs w:val="21"/>
        </w:rPr>
        <w:t xml:space="preserve">4、本公告的有关内容由博时基金管理有限公司负责解释。 </w:t>
      </w:r>
    </w:p>
    <w:p w14:paraId="5BFDC8FF">
      <w:pPr>
        <w:pStyle w:val="7"/>
        <w:spacing w:before="0" w:beforeAutospacing="0" w:after="0" w:afterAutospacing="0" w:line="360" w:lineRule="auto"/>
        <w:ind w:firstLine="420"/>
        <w:jc w:val="both"/>
        <w:rPr>
          <w:sz w:val="21"/>
          <w:szCs w:val="21"/>
        </w:rPr>
      </w:pPr>
    </w:p>
    <w:p w14:paraId="60D469AE">
      <w:pPr>
        <w:pStyle w:val="7"/>
        <w:spacing w:before="0" w:beforeAutospacing="0" w:after="0" w:afterAutospacing="0" w:line="360" w:lineRule="auto"/>
        <w:ind w:firstLine="420"/>
        <w:jc w:val="both"/>
        <w:rPr>
          <w:sz w:val="21"/>
          <w:szCs w:val="21"/>
        </w:rPr>
      </w:pPr>
    </w:p>
    <w:p w14:paraId="12CAE45B">
      <w:pPr>
        <w:pStyle w:val="7"/>
        <w:spacing w:before="0" w:beforeAutospacing="0" w:after="0" w:afterAutospacing="0" w:line="360" w:lineRule="auto"/>
        <w:ind w:firstLine="420"/>
        <w:jc w:val="both"/>
        <w:rPr>
          <w:sz w:val="21"/>
          <w:szCs w:val="21"/>
        </w:rPr>
      </w:pPr>
    </w:p>
    <w:p w14:paraId="644B81EC">
      <w:pPr>
        <w:pStyle w:val="7"/>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12D685EE">
      <w:pPr>
        <w:pStyle w:val="7"/>
        <w:spacing w:before="0" w:beforeAutospacing="0" w:after="0" w:afterAutospacing="0" w:line="360" w:lineRule="auto"/>
        <w:ind w:firstLine="420"/>
        <w:jc w:val="right"/>
        <w:rPr>
          <w:sz w:val="21"/>
          <w:szCs w:val="21"/>
        </w:rPr>
      </w:pPr>
      <w:r>
        <w:rPr>
          <w:sz w:val="21"/>
          <w:szCs w:val="21"/>
        </w:rPr>
        <w:t>2026年6月12日</w:t>
      </w:r>
    </w:p>
    <w:p w14:paraId="766EC7EA">
      <w:pPr>
        <w:pStyle w:val="7"/>
        <w:spacing w:before="0" w:beforeAutospacing="0" w:after="0" w:afterAutospacing="0" w:line="360" w:lineRule="auto"/>
        <w:ind w:firstLine="420"/>
        <w:jc w:val="right"/>
        <w:rPr>
          <w:sz w:val="21"/>
          <w:szCs w:val="21"/>
        </w:rPr>
      </w:pPr>
    </w:p>
    <w:p w14:paraId="764E9DFE">
      <w:pPr>
        <w:adjustRightInd w:val="0"/>
        <w:snapToGrid w:val="0"/>
        <w:spacing w:line="360" w:lineRule="auto"/>
        <w:rPr>
          <w:rStyle w:val="13"/>
          <w:rFonts w:ascii="宋体" w:hAnsi="宋体" w:cs="宋体"/>
          <w:szCs w:val="21"/>
        </w:rPr>
      </w:pPr>
      <w:r>
        <w:rPr>
          <w:rStyle w:val="13"/>
          <w:rFonts w:hint="eastAsia" w:ascii="宋体" w:hAnsi="宋体" w:cs="宋体"/>
          <w:szCs w:val="21"/>
        </w:rPr>
        <w:t>附件一：《关于博时卓越优选混合型证券投资基金修改基金合同终止条款的议案》</w:t>
      </w:r>
    </w:p>
    <w:p w14:paraId="032E6905">
      <w:pPr>
        <w:adjustRightInd w:val="0"/>
        <w:snapToGrid w:val="0"/>
        <w:spacing w:line="360" w:lineRule="auto"/>
        <w:rPr>
          <w:rStyle w:val="13"/>
          <w:rFonts w:ascii="宋体" w:hAnsi="宋体" w:cs="宋体"/>
          <w:szCs w:val="21"/>
        </w:rPr>
      </w:pPr>
      <w:r>
        <w:rPr>
          <w:rStyle w:val="13"/>
          <w:rFonts w:hint="eastAsia" w:ascii="宋体" w:hAnsi="宋体" w:cs="宋体"/>
          <w:szCs w:val="21"/>
        </w:rPr>
        <w:t>附件二：《博时卓越优选混合型证券投资基金基金份额持有人大会表决票》</w:t>
      </w:r>
    </w:p>
    <w:p w14:paraId="57516BF6">
      <w:pPr>
        <w:adjustRightInd w:val="0"/>
        <w:snapToGrid w:val="0"/>
        <w:spacing w:line="360" w:lineRule="auto"/>
        <w:rPr>
          <w:rStyle w:val="13"/>
          <w:rFonts w:ascii="宋体" w:hAnsi="宋体" w:cs="宋体"/>
          <w:szCs w:val="21"/>
        </w:rPr>
      </w:pPr>
      <w:r>
        <w:rPr>
          <w:rStyle w:val="13"/>
          <w:rFonts w:hint="eastAsia" w:ascii="宋体" w:hAnsi="宋体" w:cs="宋体"/>
          <w:szCs w:val="21"/>
        </w:rPr>
        <w:t>附件三：《授权委托书》</w:t>
      </w:r>
    </w:p>
    <w:p w14:paraId="28DAA974">
      <w:pPr>
        <w:adjustRightInd w:val="0"/>
        <w:snapToGrid w:val="0"/>
        <w:spacing w:line="360" w:lineRule="auto"/>
        <w:rPr>
          <w:rStyle w:val="13"/>
          <w:rFonts w:ascii="宋体" w:hAnsi="宋体" w:cs="宋体"/>
          <w:szCs w:val="21"/>
        </w:rPr>
      </w:pPr>
      <w:r>
        <w:rPr>
          <w:rStyle w:val="13"/>
          <w:rFonts w:hint="eastAsia" w:ascii="宋体" w:hAnsi="宋体" w:cs="宋体"/>
          <w:szCs w:val="21"/>
        </w:rPr>
        <w:t>附件四：《关于博时卓越优选混合型证券投资基金修改基金合同终止条款的议案说明书》</w:t>
      </w:r>
    </w:p>
    <w:p w14:paraId="3E665B95">
      <w:pPr>
        <w:rPr>
          <w:rStyle w:val="13"/>
          <w:rFonts w:ascii="宋体" w:hAnsi="宋体" w:cs="宋体"/>
          <w:szCs w:val="21"/>
        </w:rPr>
      </w:pPr>
      <w:r>
        <w:rPr>
          <w:rStyle w:val="13"/>
          <w:rFonts w:hint="eastAsia" w:ascii="宋体" w:hAnsi="宋体" w:cs="宋体"/>
          <w:szCs w:val="21"/>
        </w:rPr>
        <w:br w:type="page"/>
      </w:r>
    </w:p>
    <w:p w14:paraId="5D330679">
      <w:pPr>
        <w:adjustRightInd w:val="0"/>
        <w:snapToGrid w:val="0"/>
        <w:spacing w:line="360" w:lineRule="auto"/>
        <w:rPr>
          <w:rStyle w:val="13"/>
          <w:rFonts w:ascii="宋体" w:hAnsi="宋体" w:cs="宋体"/>
          <w:szCs w:val="21"/>
        </w:rPr>
      </w:pPr>
      <w:r>
        <w:rPr>
          <w:rStyle w:val="13"/>
          <w:rFonts w:hint="eastAsia" w:ascii="宋体" w:hAnsi="宋体" w:cs="宋体"/>
          <w:szCs w:val="21"/>
        </w:rPr>
        <w:t xml:space="preserve">附件一： </w:t>
      </w:r>
    </w:p>
    <w:p w14:paraId="427C6B5B">
      <w:pPr>
        <w:adjustRightInd w:val="0"/>
        <w:snapToGrid w:val="0"/>
        <w:spacing w:line="360" w:lineRule="auto"/>
        <w:jc w:val="center"/>
        <w:rPr>
          <w:rStyle w:val="13"/>
          <w:rFonts w:ascii="宋体" w:hAnsi="宋体" w:cs="宋体"/>
          <w:b/>
          <w:bCs/>
          <w:szCs w:val="21"/>
        </w:rPr>
      </w:pPr>
      <w:r>
        <w:rPr>
          <w:rFonts w:hint="eastAsia" w:ascii="宋体" w:hAnsi="宋体" w:cs="宋体"/>
          <w:b/>
          <w:bCs/>
          <w:color w:val="000000"/>
          <w:szCs w:val="21"/>
        </w:rPr>
        <w:t>关于博时卓越优选混合型证券投资基金修改基金合同终止条款的议案</w:t>
      </w:r>
    </w:p>
    <w:p w14:paraId="4F4F1FB0">
      <w:pPr>
        <w:adjustRightInd w:val="0"/>
        <w:snapToGrid w:val="0"/>
        <w:spacing w:line="360" w:lineRule="auto"/>
        <w:ind w:firstLine="480"/>
        <w:rPr>
          <w:rStyle w:val="13"/>
          <w:rFonts w:ascii="宋体" w:hAnsi="宋体" w:cs="宋体"/>
          <w:szCs w:val="21"/>
        </w:rPr>
      </w:pPr>
    </w:p>
    <w:p w14:paraId="43D127B6">
      <w:pPr>
        <w:adjustRightInd w:val="0"/>
        <w:snapToGrid w:val="0"/>
        <w:spacing w:line="360" w:lineRule="auto"/>
        <w:rPr>
          <w:rStyle w:val="13"/>
          <w:rFonts w:ascii="宋体" w:hAnsi="宋体" w:cs="宋体"/>
          <w:szCs w:val="21"/>
        </w:rPr>
      </w:pPr>
      <w:r>
        <w:rPr>
          <w:rFonts w:hint="eastAsia" w:ascii="宋体" w:hAnsi="宋体" w:cs="宋体"/>
          <w:color w:val="000000"/>
          <w:szCs w:val="21"/>
        </w:rPr>
        <w:t>博时卓越优选混合型证券投资基金</w:t>
      </w:r>
      <w:r>
        <w:rPr>
          <w:rStyle w:val="13"/>
          <w:rFonts w:hint="eastAsia" w:ascii="宋体" w:hAnsi="宋体" w:cs="宋体"/>
          <w:szCs w:val="21"/>
        </w:rPr>
        <w:t>基金份额持有人：</w:t>
      </w:r>
    </w:p>
    <w:p w14:paraId="577FF6A7">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为应对复杂多变的证券市场环境，根据《中华人民共和国证券投资基金法》、《公开募集证券投资基金运作管理办法》和《博时</w:t>
      </w:r>
      <w:r>
        <w:rPr>
          <w:rFonts w:hint="eastAsia"/>
          <w:i w:val="0"/>
          <w:iCs w:val="0"/>
          <w:sz w:val="21"/>
          <w:szCs w:val="21"/>
          <w:u w:val="none"/>
          <w:lang w:eastAsia="zh-CN"/>
        </w:rPr>
        <w:t>卓越优选混合型</w:t>
      </w:r>
      <w:r>
        <w:rPr>
          <w:rFonts w:hint="eastAsia"/>
          <w:i w:val="0"/>
          <w:iCs w:val="0"/>
          <w:sz w:val="21"/>
          <w:szCs w:val="21"/>
          <w:u w:val="none"/>
        </w:rPr>
        <w:t>证券投资基金基金合同》有关规定，基金管理人经与基金托管人</w:t>
      </w:r>
      <w:r>
        <w:rPr>
          <w:rFonts w:hint="eastAsia"/>
          <w:i w:val="0"/>
          <w:iCs w:val="0"/>
          <w:sz w:val="21"/>
          <w:szCs w:val="21"/>
          <w:u w:val="none"/>
          <w:lang w:val="en-US" w:eastAsia="zh-CN"/>
        </w:rPr>
        <w:t>招商</w:t>
      </w:r>
      <w:r>
        <w:rPr>
          <w:rFonts w:hint="eastAsia"/>
          <w:i w:val="0"/>
          <w:iCs w:val="0"/>
          <w:sz w:val="21"/>
          <w:szCs w:val="21"/>
          <w:u w:val="none"/>
        </w:rPr>
        <w:t>银行股份有限公司协商一致，提议对博时</w:t>
      </w:r>
      <w:r>
        <w:rPr>
          <w:rFonts w:hint="eastAsia"/>
          <w:i w:val="0"/>
          <w:iCs w:val="0"/>
          <w:sz w:val="21"/>
          <w:szCs w:val="21"/>
          <w:u w:val="none"/>
          <w:lang w:eastAsia="zh-CN"/>
        </w:rPr>
        <w:t>卓越优选混合型</w:t>
      </w:r>
      <w:r>
        <w:rPr>
          <w:rFonts w:hint="eastAsia"/>
          <w:i w:val="0"/>
          <w:iCs w:val="0"/>
          <w:sz w:val="21"/>
          <w:szCs w:val="21"/>
          <w:u w:val="none"/>
        </w:rPr>
        <w:t>证券投资基金修改基金合同终止条款。《关于博时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证券投资基金修改基金合同终止条款的议案说明书》见附件四。   </w:t>
      </w:r>
    </w:p>
    <w:p w14:paraId="0D8B2AE0">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为实施博时</w:t>
      </w:r>
      <w:r>
        <w:rPr>
          <w:rFonts w:hint="eastAsia"/>
          <w:i w:val="0"/>
          <w:iCs w:val="0"/>
          <w:sz w:val="21"/>
          <w:szCs w:val="21"/>
          <w:u w:val="none"/>
          <w:lang w:eastAsia="zh-CN"/>
        </w:rPr>
        <w:t>卓越优选混合型</w:t>
      </w:r>
      <w:r>
        <w:rPr>
          <w:rFonts w:hint="eastAsia"/>
          <w:i w:val="0"/>
          <w:iCs w:val="0"/>
          <w:sz w:val="21"/>
          <w:szCs w:val="21"/>
          <w:u w:val="none"/>
        </w:rPr>
        <w:t>证券投资基金对基金合同终止条款的修改，提议授权基金管理人办理本次博时</w:t>
      </w:r>
      <w:r>
        <w:rPr>
          <w:rFonts w:hint="eastAsia"/>
          <w:i w:val="0"/>
          <w:iCs w:val="0"/>
          <w:sz w:val="21"/>
          <w:szCs w:val="21"/>
          <w:u w:val="none"/>
          <w:lang w:eastAsia="zh-CN"/>
        </w:rPr>
        <w:t>卓越优选混合型</w:t>
      </w:r>
      <w:r>
        <w:rPr>
          <w:rFonts w:hint="eastAsia"/>
          <w:i w:val="0"/>
          <w:iCs w:val="0"/>
          <w:sz w:val="21"/>
          <w:szCs w:val="21"/>
          <w:u w:val="none"/>
        </w:rPr>
        <w:t>证券投资基金修改基金合同终止条款的有关具体事宜，并根据现时有效的法律法规的规定和《关于博时</w:t>
      </w:r>
      <w:r>
        <w:rPr>
          <w:rFonts w:hint="eastAsia"/>
          <w:i w:val="0"/>
          <w:iCs w:val="0"/>
          <w:sz w:val="21"/>
          <w:szCs w:val="21"/>
          <w:u w:val="none"/>
          <w:lang w:eastAsia="zh-CN"/>
        </w:rPr>
        <w:t>卓越优选混合型</w:t>
      </w:r>
      <w:r>
        <w:rPr>
          <w:rFonts w:hint="eastAsia"/>
          <w:i w:val="0"/>
          <w:iCs w:val="0"/>
          <w:sz w:val="21"/>
          <w:szCs w:val="21"/>
          <w:u w:val="none"/>
        </w:rPr>
        <w:t>证券投资基金修改基金合同终止条款的议案说明书》的有关内容对《博时</w:t>
      </w:r>
      <w:r>
        <w:rPr>
          <w:rFonts w:hint="eastAsia"/>
          <w:i w:val="0"/>
          <w:iCs w:val="0"/>
          <w:sz w:val="21"/>
          <w:szCs w:val="21"/>
          <w:u w:val="none"/>
          <w:lang w:eastAsia="zh-CN"/>
        </w:rPr>
        <w:t>卓越优选混合型</w:t>
      </w:r>
      <w:r>
        <w:rPr>
          <w:rFonts w:hint="eastAsia"/>
          <w:i w:val="0"/>
          <w:iCs w:val="0"/>
          <w:sz w:val="21"/>
          <w:szCs w:val="21"/>
          <w:u w:val="none"/>
        </w:rPr>
        <w:t>证券投资基金基金合同》、《博时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证券投资基金招募说明书》、产品资料概要进行修改。   </w:t>
      </w:r>
    </w:p>
    <w:p w14:paraId="1CE5EDBB">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具体修改后的基金合同生效时间另行公告。  </w:t>
      </w:r>
    </w:p>
    <w:p w14:paraId="2C708379">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以上议案，请予审议。   </w:t>
      </w:r>
    </w:p>
    <w:p w14:paraId="6A034061">
      <w:pPr>
        <w:adjustRightInd w:val="0"/>
        <w:snapToGrid w:val="0"/>
        <w:spacing w:line="360" w:lineRule="auto"/>
        <w:rPr>
          <w:rFonts w:ascii="宋体" w:hAnsi="宋体" w:cs="宋体"/>
          <w:color w:val="000000"/>
          <w:szCs w:val="21"/>
        </w:rPr>
      </w:pPr>
    </w:p>
    <w:p w14:paraId="225684E7">
      <w:pPr>
        <w:adjustRightInd w:val="0"/>
        <w:snapToGrid w:val="0"/>
        <w:spacing w:line="360" w:lineRule="auto"/>
        <w:ind w:left="3220" w:firstLine="105" w:firstLineChars="50"/>
        <w:rPr>
          <w:rFonts w:ascii="宋体" w:hAnsi="宋体" w:cs="宋体"/>
          <w:szCs w:val="21"/>
        </w:rPr>
      </w:pPr>
    </w:p>
    <w:p w14:paraId="6512BABF">
      <w:pPr>
        <w:adjustRightInd w:val="0"/>
        <w:snapToGrid w:val="0"/>
        <w:spacing w:line="360" w:lineRule="auto"/>
        <w:ind w:left="3220" w:firstLine="105" w:firstLineChars="50"/>
        <w:rPr>
          <w:rFonts w:ascii="宋体" w:hAnsi="宋体" w:cs="宋体"/>
          <w:szCs w:val="21"/>
        </w:rPr>
      </w:pPr>
    </w:p>
    <w:p w14:paraId="5D26603B">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10686B3F">
      <w:pPr>
        <w:adjustRightInd w:val="0"/>
        <w:snapToGrid w:val="0"/>
        <w:spacing w:line="360" w:lineRule="auto"/>
        <w:ind w:firstLine="420" w:firstLineChars="200"/>
        <w:jc w:val="right"/>
        <w:rPr>
          <w:rStyle w:val="13"/>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2026年6月12日</w:t>
      </w:r>
      <w:r>
        <w:rPr>
          <w:rStyle w:val="13"/>
          <w:rFonts w:hint="eastAsia" w:ascii="宋体" w:hAnsi="宋体" w:cs="宋体"/>
          <w:szCs w:val="21"/>
        </w:rPr>
        <w:br w:type="page"/>
      </w:r>
    </w:p>
    <w:p w14:paraId="30BD35DC">
      <w:pPr>
        <w:adjustRightInd w:val="0"/>
        <w:snapToGrid w:val="0"/>
        <w:spacing w:line="360" w:lineRule="auto"/>
        <w:rPr>
          <w:rStyle w:val="13"/>
          <w:rFonts w:ascii="宋体" w:hAnsi="宋体" w:cs="宋体"/>
          <w:szCs w:val="21"/>
        </w:rPr>
      </w:pPr>
      <w:r>
        <w:rPr>
          <w:rStyle w:val="13"/>
          <w:rFonts w:hint="eastAsia" w:ascii="宋体" w:hAnsi="宋体" w:cs="宋体"/>
          <w:szCs w:val="21"/>
        </w:rPr>
        <w:t xml:space="preserve">附件二： </w:t>
      </w:r>
    </w:p>
    <w:tbl>
      <w:tblPr>
        <w:tblStyle w:val="8"/>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063F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402565A">
            <w:pPr>
              <w:pStyle w:val="4"/>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博时卓越优选混合型证券投资基金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62E76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4F09AEB">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5A10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672D7B74">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5B0AF96B">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79C6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3691CE10">
            <w:pPr>
              <w:adjustRightInd w:val="0"/>
              <w:snapToGrid w:val="0"/>
              <w:spacing w:line="360" w:lineRule="auto"/>
              <w:rPr>
                <w:rFonts w:ascii="宋体" w:hAnsi="宋体" w:cs="宋体"/>
                <w:szCs w:val="21"/>
              </w:rPr>
            </w:pPr>
          </w:p>
        </w:tc>
        <w:tc>
          <w:tcPr>
            <w:tcW w:w="3975" w:type="dxa"/>
            <w:gridSpan w:val="3"/>
            <w:tcBorders>
              <w:bottom w:val="nil"/>
            </w:tcBorders>
          </w:tcPr>
          <w:p w14:paraId="26EA9343">
            <w:pPr>
              <w:adjustRightInd w:val="0"/>
              <w:snapToGrid w:val="0"/>
              <w:spacing w:line="360" w:lineRule="auto"/>
              <w:ind w:left="807"/>
              <w:rPr>
                <w:rFonts w:ascii="宋体" w:hAnsi="宋体" w:cs="宋体"/>
                <w:szCs w:val="21"/>
              </w:rPr>
            </w:pPr>
          </w:p>
        </w:tc>
      </w:tr>
      <w:tr w14:paraId="5770F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0785DEE9">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65ADB9AF">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2597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06A3C6BE">
            <w:pPr>
              <w:adjustRightInd w:val="0"/>
              <w:snapToGrid w:val="0"/>
              <w:spacing w:line="360" w:lineRule="auto"/>
              <w:rPr>
                <w:rFonts w:ascii="宋体" w:hAnsi="宋体" w:cs="宋体"/>
                <w:szCs w:val="21"/>
              </w:rPr>
            </w:pPr>
          </w:p>
        </w:tc>
        <w:tc>
          <w:tcPr>
            <w:tcW w:w="3975" w:type="dxa"/>
            <w:gridSpan w:val="3"/>
            <w:tcBorders>
              <w:bottom w:val="nil"/>
            </w:tcBorders>
          </w:tcPr>
          <w:p w14:paraId="50C4BE85">
            <w:pPr>
              <w:adjustRightInd w:val="0"/>
              <w:snapToGrid w:val="0"/>
              <w:spacing w:line="360" w:lineRule="auto"/>
              <w:ind w:left="807"/>
              <w:rPr>
                <w:rFonts w:ascii="宋体" w:hAnsi="宋体" w:cs="宋体"/>
                <w:szCs w:val="21"/>
              </w:rPr>
            </w:pPr>
          </w:p>
        </w:tc>
      </w:tr>
      <w:tr w14:paraId="25B6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3E460B0">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616C1FC0">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40BFDDC3">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68B76B73">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007D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6F5EF742">
            <w:pPr>
              <w:pStyle w:val="7"/>
              <w:adjustRightInd w:val="0"/>
              <w:snapToGrid w:val="0"/>
              <w:spacing w:line="360" w:lineRule="auto"/>
              <w:jc w:val="both"/>
              <w:rPr>
                <w:sz w:val="21"/>
                <w:szCs w:val="21"/>
              </w:rPr>
            </w:pPr>
            <w:r>
              <w:rPr>
                <w:rFonts w:hint="eastAsia"/>
                <w:b/>
                <w:bCs/>
                <w:color w:val="000000"/>
                <w:sz w:val="21"/>
                <w:szCs w:val="21"/>
              </w:rPr>
              <w:t>《关于博时卓越优选混合型证券投资基金修改基金合同终止条款的议案》</w:t>
            </w:r>
          </w:p>
        </w:tc>
        <w:tc>
          <w:tcPr>
            <w:tcW w:w="1260" w:type="dxa"/>
          </w:tcPr>
          <w:p w14:paraId="29D312C4">
            <w:pPr>
              <w:adjustRightInd w:val="0"/>
              <w:snapToGrid w:val="0"/>
              <w:spacing w:line="360" w:lineRule="auto"/>
              <w:rPr>
                <w:rFonts w:ascii="宋体" w:hAnsi="宋体" w:cs="宋体"/>
                <w:szCs w:val="21"/>
              </w:rPr>
            </w:pPr>
          </w:p>
          <w:p w14:paraId="3F21030F">
            <w:pPr>
              <w:adjustRightInd w:val="0"/>
              <w:snapToGrid w:val="0"/>
              <w:spacing w:line="360" w:lineRule="auto"/>
              <w:rPr>
                <w:rFonts w:ascii="宋体" w:hAnsi="宋体" w:cs="宋体"/>
                <w:szCs w:val="21"/>
              </w:rPr>
            </w:pPr>
          </w:p>
        </w:tc>
        <w:tc>
          <w:tcPr>
            <w:tcW w:w="1260" w:type="dxa"/>
          </w:tcPr>
          <w:p w14:paraId="70E3658A">
            <w:pPr>
              <w:adjustRightInd w:val="0"/>
              <w:snapToGrid w:val="0"/>
              <w:spacing w:line="360" w:lineRule="auto"/>
              <w:rPr>
                <w:rFonts w:ascii="宋体" w:hAnsi="宋体" w:cs="宋体"/>
                <w:szCs w:val="21"/>
              </w:rPr>
            </w:pPr>
          </w:p>
          <w:p w14:paraId="015CA915">
            <w:pPr>
              <w:adjustRightInd w:val="0"/>
              <w:snapToGrid w:val="0"/>
              <w:spacing w:line="360" w:lineRule="auto"/>
              <w:rPr>
                <w:rFonts w:ascii="宋体" w:hAnsi="宋体" w:cs="宋体"/>
                <w:szCs w:val="21"/>
              </w:rPr>
            </w:pPr>
          </w:p>
        </w:tc>
        <w:tc>
          <w:tcPr>
            <w:tcW w:w="1455" w:type="dxa"/>
          </w:tcPr>
          <w:p w14:paraId="08D7A9E1">
            <w:pPr>
              <w:adjustRightInd w:val="0"/>
              <w:snapToGrid w:val="0"/>
              <w:spacing w:line="360" w:lineRule="auto"/>
              <w:rPr>
                <w:rFonts w:ascii="宋体" w:hAnsi="宋体" w:cs="宋体"/>
                <w:szCs w:val="21"/>
              </w:rPr>
            </w:pPr>
          </w:p>
          <w:p w14:paraId="419F4E5F">
            <w:pPr>
              <w:adjustRightInd w:val="0"/>
              <w:snapToGrid w:val="0"/>
              <w:spacing w:line="360" w:lineRule="auto"/>
              <w:rPr>
                <w:rFonts w:ascii="宋体" w:hAnsi="宋体" w:cs="宋体"/>
                <w:szCs w:val="21"/>
              </w:rPr>
            </w:pPr>
          </w:p>
        </w:tc>
      </w:tr>
      <w:tr w14:paraId="7E43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16F15F98">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0F036868">
            <w:pPr>
              <w:adjustRightInd w:val="0"/>
              <w:snapToGrid w:val="0"/>
              <w:spacing w:line="360" w:lineRule="auto"/>
              <w:rPr>
                <w:rFonts w:ascii="宋体" w:hAnsi="宋体" w:cs="宋体"/>
                <w:szCs w:val="21"/>
              </w:rPr>
            </w:pPr>
          </w:p>
          <w:p w14:paraId="65993BDC">
            <w:pPr>
              <w:adjustRightInd w:val="0"/>
              <w:snapToGrid w:val="0"/>
              <w:spacing w:line="360" w:lineRule="auto"/>
              <w:rPr>
                <w:rFonts w:ascii="宋体" w:hAnsi="宋体" w:cs="宋体"/>
                <w:szCs w:val="21"/>
              </w:rPr>
            </w:pPr>
          </w:p>
          <w:p w14:paraId="7F894DF4">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4450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13CBBF83">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46192F0B">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3"/>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2CA40811">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20040CF0">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7BD3B9EE">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3"/>
          <w:rFonts w:hint="eastAsia" w:ascii="宋体" w:hAnsi="宋体" w:cs="宋体"/>
        </w:rPr>
        <w:br w:type="page"/>
      </w:r>
      <w:r>
        <w:rPr>
          <w:rStyle w:val="13"/>
          <w:rFonts w:hint="eastAsia" w:ascii="宋体" w:hAnsi="宋体" w:cs="宋体"/>
          <w:szCs w:val="21"/>
        </w:rPr>
        <w:t xml:space="preserve">附件三： </w:t>
      </w:r>
    </w:p>
    <w:p w14:paraId="4185408D">
      <w:pPr>
        <w:pStyle w:val="4"/>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3942420">
      <w:pPr>
        <w:adjustRightInd w:val="0"/>
        <w:snapToGrid w:val="0"/>
        <w:spacing w:line="360" w:lineRule="auto"/>
        <w:ind w:firstLine="480"/>
        <w:rPr>
          <w:rFonts w:ascii="宋体" w:hAnsi="宋体" w:cs="宋体"/>
        </w:rPr>
      </w:pPr>
    </w:p>
    <w:p w14:paraId="294BBE2E">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博时卓越优选混合型证券投资基金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博时卓越优选混合型证券投资基金</w:t>
      </w:r>
      <w:r>
        <w:rPr>
          <w:rFonts w:hint="eastAsia" w:ascii="宋体" w:hAnsi="宋体" w:cs="宋体"/>
          <w:szCs w:val="21"/>
        </w:rPr>
        <w:t>二次召集审议相同议案的基金份额持有人大会的，除有新的授权外，本授权继续有效。</w:t>
      </w:r>
    </w:p>
    <w:p w14:paraId="21A993E1">
      <w:pPr>
        <w:adjustRightInd w:val="0"/>
        <w:snapToGrid w:val="0"/>
        <w:spacing w:line="360" w:lineRule="auto"/>
        <w:ind w:firstLine="480"/>
        <w:rPr>
          <w:rFonts w:ascii="宋体" w:hAnsi="宋体" w:cs="宋体"/>
          <w:szCs w:val="21"/>
        </w:rPr>
      </w:pPr>
    </w:p>
    <w:p w14:paraId="3FEF29A6">
      <w:pPr>
        <w:adjustRightInd w:val="0"/>
        <w:snapToGrid w:val="0"/>
        <w:spacing w:line="360" w:lineRule="auto"/>
        <w:ind w:firstLine="480"/>
        <w:rPr>
          <w:rFonts w:ascii="宋体" w:hAnsi="宋体" w:cs="宋体"/>
          <w:szCs w:val="21"/>
        </w:rPr>
      </w:pPr>
    </w:p>
    <w:p w14:paraId="15ACC0A4">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30F59FE8">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3743E187">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0486ED71">
      <w:pPr>
        <w:adjustRightInd w:val="0"/>
        <w:snapToGrid w:val="0"/>
        <w:spacing w:line="360" w:lineRule="auto"/>
        <w:rPr>
          <w:rFonts w:ascii="宋体" w:hAnsi="宋体" w:cs="宋体"/>
          <w:szCs w:val="21"/>
        </w:rPr>
      </w:pPr>
    </w:p>
    <w:p w14:paraId="73D40C95">
      <w:pPr>
        <w:adjustRightInd w:val="0"/>
        <w:snapToGrid w:val="0"/>
        <w:spacing w:line="360" w:lineRule="auto"/>
        <w:ind w:firstLine="5040"/>
        <w:rPr>
          <w:rFonts w:ascii="宋体" w:hAnsi="宋体" w:cs="宋体"/>
          <w:szCs w:val="21"/>
        </w:rPr>
      </w:pPr>
    </w:p>
    <w:p w14:paraId="11F7E59D">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5BEE868E">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7E6A17F8">
      <w:pPr>
        <w:adjustRightInd w:val="0"/>
        <w:snapToGrid w:val="0"/>
        <w:spacing w:line="360" w:lineRule="auto"/>
        <w:ind w:firstLine="5040"/>
        <w:rPr>
          <w:rFonts w:ascii="宋体" w:hAnsi="宋体" w:cs="宋体"/>
          <w:szCs w:val="21"/>
        </w:rPr>
      </w:pPr>
    </w:p>
    <w:p w14:paraId="6B9DAC63">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1256A4E3">
      <w:pPr>
        <w:adjustRightInd w:val="0"/>
        <w:snapToGrid w:val="0"/>
        <w:spacing w:line="360" w:lineRule="auto"/>
        <w:jc w:val="center"/>
        <w:rPr>
          <w:rFonts w:ascii="宋体" w:hAnsi="宋体" w:cs="宋体"/>
          <w:szCs w:val="21"/>
        </w:rPr>
      </w:pPr>
    </w:p>
    <w:p w14:paraId="31B3A4E5">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3B682197">
      <w:pPr>
        <w:adjustRightInd w:val="0"/>
        <w:snapToGrid w:val="0"/>
        <w:spacing w:line="360" w:lineRule="auto"/>
        <w:rPr>
          <w:rFonts w:ascii="宋体" w:hAnsi="宋体" w:cs="宋体"/>
          <w:szCs w:val="21"/>
        </w:rPr>
      </w:pPr>
    </w:p>
    <w:p w14:paraId="643FBA52">
      <w:pPr>
        <w:adjustRightInd w:val="0"/>
        <w:snapToGrid w:val="0"/>
        <w:spacing w:line="360" w:lineRule="auto"/>
        <w:rPr>
          <w:rFonts w:ascii="宋体" w:hAnsi="宋体" w:cs="宋体"/>
          <w:szCs w:val="21"/>
        </w:rPr>
      </w:pPr>
    </w:p>
    <w:p w14:paraId="4ACC1DD2">
      <w:pPr>
        <w:adjustRightInd w:val="0"/>
        <w:snapToGrid w:val="0"/>
        <w:spacing w:line="360" w:lineRule="auto"/>
        <w:rPr>
          <w:rFonts w:ascii="宋体" w:hAnsi="宋体" w:cs="宋体"/>
          <w:szCs w:val="21"/>
        </w:rPr>
      </w:pPr>
      <w:r>
        <w:rPr>
          <w:rFonts w:hint="eastAsia" w:ascii="宋体" w:hAnsi="宋体" w:cs="宋体"/>
          <w:szCs w:val="21"/>
        </w:rPr>
        <w:t>附注：</w:t>
      </w:r>
    </w:p>
    <w:p w14:paraId="3B65F7AD">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5DEC2EE3">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25BAFDC2">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77B0FC73">
      <w:pPr>
        <w:rPr>
          <w:rFonts w:ascii="宋体" w:hAnsi="宋体" w:cs="宋体"/>
          <w:color w:val="000000"/>
          <w:szCs w:val="21"/>
        </w:rPr>
      </w:pPr>
      <w:r>
        <w:rPr>
          <w:rFonts w:hint="eastAsia" w:ascii="宋体" w:hAnsi="宋体" w:cs="宋体"/>
          <w:color w:val="000000"/>
          <w:szCs w:val="21"/>
        </w:rPr>
        <w:br w:type="page"/>
      </w:r>
    </w:p>
    <w:p w14:paraId="2BF431CD">
      <w:pPr>
        <w:rPr>
          <w:rFonts w:ascii="宋体" w:hAnsi="宋体" w:cs="宋体"/>
          <w:color w:val="000000"/>
          <w:szCs w:val="21"/>
        </w:rPr>
      </w:pPr>
      <w:r>
        <w:rPr>
          <w:rFonts w:hint="eastAsia" w:ascii="宋体" w:hAnsi="宋体" w:cs="宋体"/>
          <w:color w:val="000000"/>
          <w:szCs w:val="21"/>
        </w:rPr>
        <w:t>附件四：</w:t>
      </w:r>
    </w:p>
    <w:p w14:paraId="0B9FFC9D">
      <w:pPr>
        <w:jc w:val="center"/>
        <w:rPr>
          <w:rFonts w:ascii="宋体" w:hAnsi="宋体" w:cs="宋体"/>
          <w:b/>
          <w:bCs/>
          <w:color w:val="000000"/>
          <w:szCs w:val="21"/>
        </w:rPr>
      </w:pPr>
      <w:r>
        <w:rPr>
          <w:rFonts w:hint="eastAsia" w:ascii="宋体" w:hAnsi="宋体" w:cs="宋体"/>
          <w:b/>
          <w:bCs/>
          <w:color w:val="000000"/>
          <w:szCs w:val="21"/>
        </w:rPr>
        <w:t>关于博时卓越优选混合型证券投资基金修改基金合同终止条款的议案说明书</w:t>
      </w:r>
    </w:p>
    <w:p w14:paraId="1A98716B">
      <w:pPr>
        <w:rPr>
          <w:rFonts w:ascii="宋体" w:hAnsi="宋体" w:cs="宋体"/>
          <w:color w:val="000000"/>
          <w:szCs w:val="21"/>
        </w:rPr>
      </w:pPr>
    </w:p>
    <w:p w14:paraId="32F1BA3B"/>
    <w:p w14:paraId="0A2A8EF1">
      <w:pPr>
        <w:pStyle w:val="7"/>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一、重要提示</w:t>
      </w:r>
      <w:r>
        <w:rPr>
          <w:rFonts w:hint="eastAsia"/>
          <w:i w:val="0"/>
          <w:iCs w:val="0"/>
          <w:sz w:val="21"/>
          <w:szCs w:val="21"/>
          <w:u w:val="none"/>
        </w:rPr>
        <w:t xml:space="preserve">  </w:t>
      </w:r>
    </w:p>
    <w:p w14:paraId="43103934">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1、为应对复杂多变的证券市场环境，根据《中华人民共和国证券投资基金法》、《公开募集证券投资基金运作管理办法》和《博时</w:t>
      </w:r>
      <w:r>
        <w:rPr>
          <w:rFonts w:hint="eastAsia"/>
          <w:i w:val="0"/>
          <w:iCs w:val="0"/>
          <w:sz w:val="21"/>
          <w:szCs w:val="21"/>
          <w:u w:val="none"/>
          <w:lang w:eastAsia="zh-CN"/>
        </w:rPr>
        <w:t>卓越优选混合型</w:t>
      </w:r>
      <w:r>
        <w:rPr>
          <w:rFonts w:hint="eastAsia"/>
          <w:i w:val="0"/>
          <w:iCs w:val="0"/>
          <w:sz w:val="21"/>
          <w:szCs w:val="21"/>
          <w:u w:val="none"/>
        </w:rPr>
        <w:t>证券投资基金基金合同》有关规定，基金管理人经与基金托管人</w:t>
      </w:r>
      <w:r>
        <w:rPr>
          <w:rFonts w:hint="eastAsia"/>
          <w:i w:val="0"/>
          <w:iCs w:val="0"/>
          <w:sz w:val="21"/>
          <w:szCs w:val="21"/>
          <w:u w:val="none"/>
          <w:lang w:eastAsia="zh-CN"/>
        </w:rPr>
        <w:t>招商银行</w:t>
      </w:r>
      <w:r>
        <w:rPr>
          <w:rFonts w:hint="eastAsia"/>
          <w:i w:val="0"/>
          <w:iCs w:val="0"/>
          <w:sz w:val="21"/>
          <w:szCs w:val="21"/>
          <w:u w:val="none"/>
        </w:rPr>
        <w:t>股份有限公司协商一致，提议以通讯方式召开基金份额持有人大会，审议《关于博时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证券投资基金修改基金合同终止条款的议案》。   </w:t>
      </w:r>
    </w:p>
    <w:p w14:paraId="7277C21B">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2、本次博时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以下简称“本基金”）修改基金合同终止条款议案需经参加大会的基金份额持有人或其代理人所持表决权的三分之二以上（含三分之二）通过，因此修改本基金基金合同终止条款议案存在无法获得相关基金份额持有人大会表决通过的可能。  </w:t>
      </w:r>
    </w:p>
    <w:p w14:paraId="1AACAB31">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3、基金份额持有人大会表决通过的事项须报中国证监会备案，且基金份额持有人大会决议自表决通过之日起生效。具体修改后的基金合同生效时间另行公告。中国证监会对本次博时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证券投资基金基金份额持有人大会决议的备案，不表明其对本基金的投资价值、市场前景或投资者的收益做出实质性判断或保证。  </w:t>
      </w:r>
    </w:p>
    <w:p w14:paraId="46424B0D">
      <w:pPr>
        <w:pStyle w:val="7"/>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二、对基金合同的主要修订</w:t>
      </w:r>
      <w:r>
        <w:rPr>
          <w:rFonts w:hint="eastAsia"/>
          <w:i w:val="0"/>
          <w:iCs w:val="0"/>
          <w:sz w:val="21"/>
          <w:szCs w:val="21"/>
          <w:u w:val="none"/>
        </w:rPr>
        <w:t xml:space="preserve">  </w:t>
      </w:r>
    </w:p>
    <w:p w14:paraId="22A30C3E">
      <w:pPr>
        <w:pStyle w:val="7"/>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1、将“第五部分 基金</w:t>
      </w:r>
      <w:r>
        <w:rPr>
          <w:rFonts w:hint="eastAsia"/>
          <w:b/>
          <w:bCs/>
          <w:i w:val="0"/>
          <w:iCs w:val="0"/>
          <w:sz w:val="21"/>
          <w:szCs w:val="21"/>
          <w:u w:val="none"/>
          <w:lang w:val="en-US" w:eastAsia="zh-CN"/>
        </w:rPr>
        <w:t>备案”中的“</w:t>
      </w:r>
      <w:r>
        <w:rPr>
          <w:rFonts w:hint="eastAsia"/>
          <w:b/>
          <w:bCs/>
          <w:sz w:val="21"/>
          <w:szCs w:val="21"/>
          <w:u w:val="none"/>
        </w:rPr>
        <w:t>三、基金存续期内的基金份额持有人数量和资产规模</w:t>
      </w:r>
      <w:r>
        <w:rPr>
          <w:rFonts w:hint="eastAsia"/>
        </w:rPr>
        <w:t xml:space="preserve"> </w:t>
      </w:r>
      <w:r>
        <w:rPr>
          <w:rFonts w:hint="eastAsia"/>
          <w:b/>
          <w:bCs/>
          <w:i w:val="0"/>
          <w:iCs w:val="0"/>
          <w:sz w:val="21"/>
          <w:szCs w:val="21"/>
          <w:u w:val="none"/>
        </w:rPr>
        <w:t>”中的如下内容由：</w:t>
      </w:r>
    </w:p>
    <w:p w14:paraId="792A72C4">
      <w:pPr>
        <w:pStyle w:val="7"/>
        <w:spacing w:before="0" w:beforeAutospacing="0" w:after="0" w:afterAutospacing="0" w:line="360" w:lineRule="auto"/>
        <w:ind w:firstLine="420"/>
        <w:rPr>
          <w:rFonts w:hint="eastAsia"/>
          <w:sz w:val="21"/>
          <w:szCs w:val="21"/>
          <w:u w:val="none"/>
        </w:rPr>
      </w:pPr>
      <w:r>
        <w:rPr>
          <w:rFonts w:hint="eastAsia" w:ascii="宋体" w:hAnsi="宋体" w:eastAsia="宋体" w:cs="宋体"/>
          <w:b w:val="0"/>
          <w:bCs w:val="0"/>
          <w:i w:val="0"/>
          <w:iCs w:val="0"/>
          <w:sz w:val="21"/>
          <w:szCs w:val="21"/>
          <w:u w:val="none"/>
        </w:rPr>
        <w:t>“</w:t>
      </w:r>
      <w:r>
        <w:rPr>
          <w:rFonts w:hint="eastAsia"/>
          <w:sz w:val="21"/>
          <w:szCs w:val="21"/>
          <w:u w:val="none"/>
        </w:rPr>
        <w:t>基金合同生效后，连续二十个工作日出现基金份额持有人数量不满二百人或者基金资产净值低于五千万元情形的，基金管理人应当在定期报告中予以披露；连续五十个工作日出现前述情形的，基金管理人应及时通知基金托管人，本基金将根据基金合同的约定进行基金财产清算并终止，而无需召开基金份额持有人大会。</w:t>
      </w:r>
    </w:p>
    <w:p w14:paraId="5087761F">
      <w:pPr>
        <w:pStyle w:val="7"/>
        <w:spacing w:before="0" w:beforeAutospacing="0" w:after="0" w:afterAutospacing="0" w:line="360" w:lineRule="auto"/>
        <w:ind w:firstLine="420"/>
        <w:jc w:val="both"/>
        <w:rPr>
          <w:rFonts w:hint="eastAsia"/>
          <w:sz w:val="21"/>
          <w:szCs w:val="21"/>
          <w:u w:val="none"/>
          <w:lang w:eastAsia="zh-CN"/>
        </w:rPr>
      </w:pPr>
      <w:r>
        <w:rPr>
          <w:rFonts w:hint="eastAsia"/>
          <w:sz w:val="21"/>
          <w:szCs w:val="21"/>
          <w:u w:val="none"/>
        </w:rPr>
        <w:t>法律法规或中国证监会另有规定时，从其规定。</w:t>
      </w:r>
      <w:r>
        <w:rPr>
          <w:rFonts w:hint="eastAsia"/>
          <w:sz w:val="21"/>
          <w:szCs w:val="21"/>
          <w:u w:val="none"/>
          <w:lang w:eastAsia="zh-CN"/>
        </w:rPr>
        <w:t>”</w:t>
      </w:r>
    </w:p>
    <w:p w14:paraId="60143752">
      <w:pPr>
        <w:pStyle w:val="7"/>
        <w:spacing w:before="0" w:beforeAutospacing="0" w:after="0" w:afterAutospacing="0" w:line="360" w:lineRule="auto"/>
        <w:ind w:firstLine="422" w:firstLineChars="200"/>
        <w:rPr>
          <w:i w:val="0"/>
          <w:iCs w:val="0"/>
          <w:sz w:val="21"/>
          <w:szCs w:val="21"/>
          <w:u w:val="none"/>
        </w:rPr>
      </w:pPr>
      <w:r>
        <w:rPr>
          <w:rFonts w:hint="eastAsia"/>
          <w:b/>
          <w:bCs/>
          <w:i w:val="0"/>
          <w:iCs w:val="0"/>
          <w:sz w:val="21"/>
          <w:szCs w:val="21"/>
          <w:u w:val="none"/>
        </w:rPr>
        <w:t>修改为：</w:t>
      </w:r>
    </w:p>
    <w:p w14:paraId="64196456">
      <w:pPr>
        <w:pStyle w:val="7"/>
        <w:spacing w:before="0" w:beforeAutospacing="0" w:after="0" w:afterAutospacing="0" w:line="360" w:lineRule="auto"/>
        <w:ind w:firstLine="420"/>
        <w:rPr>
          <w:rFonts w:hint="eastAsia"/>
          <w:bCs w:val="0"/>
          <w:sz w:val="21"/>
          <w:szCs w:val="21"/>
          <w:u w:val="none"/>
        </w:rPr>
      </w:pPr>
      <w:r>
        <w:rPr>
          <w:rFonts w:hint="eastAsia" w:ascii="宋体" w:hAnsi="宋体" w:eastAsia="宋体" w:cs="宋体"/>
          <w:b w:val="0"/>
          <w:bCs w:val="0"/>
          <w:i w:val="0"/>
          <w:iCs w:val="0"/>
          <w:sz w:val="21"/>
          <w:szCs w:val="21"/>
          <w:u w:val="none"/>
        </w:rPr>
        <w:t>“</w:t>
      </w:r>
      <w:bookmarkStart w:id="0" w:name="OLE_LINK1"/>
      <w:r>
        <w:rPr>
          <w:rFonts w:hint="eastAsia"/>
          <w:sz w:val="21"/>
          <w:szCs w:val="21"/>
          <w:u w:val="none"/>
        </w:rPr>
        <w:t>基金合同生效后，连续二十个工作日出现基金份额持有人数量不满二百人或者基金资产净值低于五千万元情形的，基金管理人应当在定期报告中予以披露；</w:t>
      </w:r>
      <w:r>
        <w:rPr>
          <w:rFonts w:hint="eastAsia"/>
          <w:bCs w:val="0"/>
          <w:sz w:val="21"/>
          <w:szCs w:val="21"/>
          <w:u w:val="none"/>
        </w:rPr>
        <w:t>连续六十个工作日出现前述情形的，基金管理人应当在十个工作日内向中国证监会报告并提出解决方案，如持续运作、转换运作方式、与其他基金合并或者终止基金合同等，并在六个月内召集基金份额持有人大会。</w:t>
      </w:r>
    </w:p>
    <w:bookmarkEnd w:id="0"/>
    <w:p w14:paraId="3D234BC9">
      <w:pPr>
        <w:pStyle w:val="7"/>
        <w:spacing w:before="0" w:beforeAutospacing="0" w:after="0" w:afterAutospacing="0" w:line="360" w:lineRule="auto"/>
        <w:ind w:firstLine="420"/>
        <w:rPr>
          <w:rFonts w:hint="eastAsia" w:ascii="宋体" w:hAnsi="宋体" w:eastAsia="宋体" w:cs="宋体"/>
          <w:b w:val="0"/>
          <w:bCs w:val="0"/>
          <w:i w:val="0"/>
          <w:iCs w:val="0"/>
          <w:sz w:val="21"/>
          <w:szCs w:val="21"/>
          <w:u w:val="none"/>
        </w:rPr>
      </w:pPr>
      <w:r>
        <w:rPr>
          <w:rFonts w:hint="eastAsia"/>
          <w:sz w:val="21"/>
          <w:szCs w:val="21"/>
          <w:u w:val="none"/>
        </w:rPr>
        <w:t>法律法规或中国证监会另有规定时，从其规定。</w:t>
      </w:r>
      <w:r>
        <w:rPr>
          <w:rFonts w:hint="eastAsia" w:ascii="宋体" w:hAnsi="宋体" w:eastAsia="宋体" w:cs="宋体"/>
          <w:b w:val="0"/>
          <w:bCs w:val="0"/>
          <w:i w:val="0"/>
          <w:iCs w:val="0"/>
          <w:sz w:val="21"/>
          <w:szCs w:val="21"/>
          <w:u w:val="none"/>
          <w:lang w:eastAsia="zh-CN"/>
        </w:rPr>
        <w:t>”</w:t>
      </w:r>
    </w:p>
    <w:p w14:paraId="3C33357F">
      <w:pPr>
        <w:pStyle w:val="7"/>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2、将“第十八部分 基金的信息披露”中的“五、公开披露的基金信息”中的“（</w:t>
      </w:r>
      <w:r>
        <w:rPr>
          <w:rFonts w:hint="eastAsia"/>
          <w:b/>
          <w:bCs/>
          <w:i w:val="0"/>
          <w:iCs w:val="0"/>
          <w:sz w:val="21"/>
          <w:szCs w:val="21"/>
          <w:u w:val="none"/>
          <w:lang w:val="en-US" w:eastAsia="zh-CN"/>
        </w:rPr>
        <w:t>七</w:t>
      </w:r>
      <w:r>
        <w:rPr>
          <w:rFonts w:hint="eastAsia"/>
          <w:b/>
          <w:bCs/>
          <w:i w:val="0"/>
          <w:iCs w:val="0"/>
          <w:sz w:val="21"/>
          <w:szCs w:val="21"/>
          <w:u w:val="none"/>
        </w:rPr>
        <w:t>）临时报告”中如下条款</w:t>
      </w:r>
      <w:r>
        <w:rPr>
          <w:rFonts w:hint="eastAsia"/>
          <w:b/>
          <w:bCs/>
          <w:i w:val="0"/>
          <w:iCs w:val="0"/>
          <w:sz w:val="21"/>
          <w:szCs w:val="21"/>
          <w:u w:val="none"/>
          <w:lang w:val="en-US" w:eastAsia="zh-CN"/>
        </w:rPr>
        <w:t>删除</w:t>
      </w:r>
      <w:r>
        <w:rPr>
          <w:rFonts w:hint="eastAsia"/>
          <w:b/>
          <w:bCs/>
          <w:i w:val="0"/>
          <w:iCs w:val="0"/>
          <w:sz w:val="21"/>
          <w:szCs w:val="21"/>
          <w:u w:val="none"/>
        </w:rPr>
        <w:t>，并修改后续序号：</w:t>
      </w:r>
    </w:p>
    <w:p w14:paraId="2A329AD0">
      <w:pPr>
        <w:spacing w:before="0" w:beforeAutospacing="0" w:after="0" w:afterAutospacing="0" w:line="360" w:lineRule="auto"/>
        <w:ind w:firstLine="480"/>
        <w:rPr>
          <w:rFonts w:hint="eastAsia" w:ascii="宋体" w:hAnsi="宋体" w:eastAsia="宋体" w:cs="宋体"/>
          <w:b w:val="0"/>
          <w:bCs w:val="0"/>
          <w:i w:val="0"/>
          <w:iCs w:val="0"/>
          <w:sz w:val="21"/>
          <w:szCs w:val="21"/>
          <w:u w:val="none"/>
        </w:rPr>
      </w:pPr>
      <w:r>
        <w:rPr>
          <w:rFonts w:hint="eastAsia" w:ascii="宋体" w:hAnsi="宋体" w:eastAsia="宋体" w:cs="宋体"/>
          <w:b w:val="0"/>
          <w:bCs w:val="0"/>
          <w:i w:val="0"/>
          <w:iCs w:val="0"/>
          <w:sz w:val="21"/>
          <w:szCs w:val="21"/>
          <w:u w:val="none"/>
        </w:rPr>
        <w:t>“</w:t>
      </w:r>
      <w:r>
        <w:rPr>
          <w:rFonts w:hint="eastAsia" w:ascii="宋体" w:hAnsi="宋体" w:eastAsia="宋体" w:cs="宋体"/>
          <w:b w:val="0"/>
          <w:bCs w:val="0"/>
          <w:sz w:val="21"/>
          <w:szCs w:val="21"/>
        </w:rPr>
        <w:t>26、连续30个工作日、40个工作日及45个工作日出现基金份额持有人数量不满二百人或者基金资产净值低于五千万元情形的；</w:t>
      </w:r>
      <w:r>
        <w:rPr>
          <w:rFonts w:hint="eastAsia" w:ascii="宋体" w:hAnsi="宋体" w:eastAsia="宋体" w:cs="宋体"/>
          <w:b w:val="0"/>
          <w:bCs w:val="0"/>
          <w:i w:val="0"/>
          <w:iCs w:val="0"/>
          <w:sz w:val="21"/>
          <w:szCs w:val="21"/>
          <w:u w:val="none"/>
        </w:rPr>
        <w:t>”</w:t>
      </w:r>
    </w:p>
    <w:p w14:paraId="2A7B18E3">
      <w:pPr>
        <w:pStyle w:val="7"/>
        <w:spacing w:before="0" w:beforeAutospacing="0" w:after="0" w:afterAutospacing="0" w:line="360" w:lineRule="auto"/>
        <w:ind w:firstLine="420"/>
        <w:rPr>
          <w:i w:val="0"/>
          <w:iCs w:val="0"/>
          <w:sz w:val="21"/>
          <w:szCs w:val="21"/>
          <w:u w:val="none"/>
        </w:rPr>
      </w:pPr>
      <w:r>
        <w:rPr>
          <w:rFonts w:hint="eastAsia"/>
          <w:i w:val="0"/>
          <w:iCs w:val="0"/>
          <w:sz w:val="21"/>
          <w:szCs w:val="21"/>
          <w:u w:val="none"/>
        </w:rPr>
        <w:t>三、</w:t>
      </w:r>
      <w:r>
        <w:rPr>
          <w:rFonts w:hint="eastAsia"/>
          <w:b/>
          <w:bCs/>
          <w:i w:val="0"/>
          <w:iCs w:val="0"/>
          <w:sz w:val="21"/>
          <w:szCs w:val="21"/>
          <w:u w:val="none"/>
        </w:rPr>
        <w:t>招募说明书及基金产品资料概要将根据以上《博时</w:t>
      </w:r>
      <w:r>
        <w:rPr>
          <w:rFonts w:hint="eastAsia"/>
          <w:b/>
          <w:bCs/>
          <w:i w:val="0"/>
          <w:iCs w:val="0"/>
          <w:sz w:val="21"/>
          <w:szCs w:val="21"/>
          <w:u w:val="none"/>
          <w:lang w:eastAsia="zh-CN"/>
        </w:rPr>
        <w:t>卓越优选混合型</w:t>
      </w:r>
      <w:r>
        <w:rPr>
          <w:rFonts w:hint="eastAsia"/>
          <w:b/>
          <w:bCs/>
          <w:i w:val="0"/>
          <w:iCs w:val="0"/>
          <w:sz w:val="21"/>
          <w:szCs w:val="21"/>
          <w:u w:val="none"/>
        </w:rPr>
        <w:t>证券投资基金基金合同》的修订内容进行相应修改，并按规定更新。</w:t>
      </w:r>
      <w:r>
        <w:rPr>
          <w:rFonts w:hint="eastAsia"/>
          <w:i w:val="0"/>
          <w:iCs w:val="0"/>
          <w:sz w:val="21"/>
          <w:szCs w:val="21"/>
          <w:u w:val="none"/>
        </w:rPr>
        <w:t xml:space="preserve">  </w:t>
      </w:r>
    </w:p>
    <w:p w14:paraId="3F45F984">
      <w:pPr>
        <w:rPr>
          <w:rFonts w:ascii="宋体" w:hAnsi="宋体" w:cs="宋体"/>
          <w:i w:val="0"/>
          <w:iCs w:val="0"/>
          <w:color w:val="000000"/>
          <w:szCs w:val="21"/>
          <w:u w:val="none"/>
        </w:rPr>
      </w:pPr>
      <w:bookmarkStart w:id="1" w:name="_GoBack"/>
      <w:bookmarkEnd w:id="1"/>
    </w:p>
    <w:p w14:paraId="650F8CB9">
      <w:pPr>
        <w:rPr>
          <w:rFonts w:ascii="宋体" w:hAnsi="宋体" w:cs="宋体"/>
          <w:color w:val="000000"/>
          <w:szCs w:val="21"/>
        </w:rPr>
      </w:pPr>
    </w:p>
    <w:p w14:paraId="7A911B14">
      <w:pPr>
        <w:pStyle w:val="7"/>
        <w:spacing w:before="0" w:beforeAutospacing="0" w:after="0" w:afterAutospacing="0" w:line="360" w:lineRule="auto"/>
        <w:ind w:firstLine="420"/>
        <w:jc w:val="right"/>
        <w:rPr>
          <w:sz w:val="21"/>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E3A00">
    <w:pPr>
      <w:pStyle w:val="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114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11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B1718">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8.2pt;mso-position-horizontal:center;mso-position-horizontal-relative:margin;z-index:251659264;mso-width-relative:page;mso-height-relative:page;" filled="f" stroked="f" coordsize="21600,21600" o:gfxdata="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gOCJtQAAAAEAQAADwAAAAAAAAABACAAAAAiAAAAZHJzL2Rvd25yZXYueG1sUEsB&#10;AhQAFAAAAAgAh07iQLwtxH4yAgAAVgQAAA4AAAAAAAAAAQAgAAAAIwEAAGRycy9lMm9Eb2MueG1s&#10;UEsFBgAAAAAGAAYAWQEAAMcFAAAAAA==&#10;">
              <v:fill on="f" focussize="0,0"/>
              <v:stroke on="f" weight="0.5pt"/>
              <v:imagedata o:title=""/>
              <o:lock v:ext="edit" aspectratio="f"/>
              <v:textbox inset="0mm,0mm,0mm,0mm" style="mso-fit-shape-to-text:t;">
                <w:txbxContent>
                  <w:p w14:paraId="7E5B1718">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CF5"/>
    <w:rsid w:val="00001CF5"/>
    <w:rsid w:val="006669E2"/>
    <w:rsid w:val="028E2495"/>
    <w:rsid w:val="3B22102B"/>
    <w:rsid w:val="42543A47"/>
    <w:rsid w:val="42A172E4"/>
    <w:rsid w:val="75E82E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2"/>
    <w:qFormat/>
    <w:uiPriority w:val="0"/>
    <w:rPr>
      <w:rFonts w:ascii="Times New Roman" w:hAnsi="Times New Roman" w:eastAsia="宋体" w:cs="Times New Roman"/>
      <w:b/>
      <w:kern w:val="0"/>
      <w:sz w:val="28"/>
      <w:szCs w:val="20"/>
      <w:lang w:val="zh-CN"/>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Emphasis"/>
    <w:basedOn w:val="9"/>
    <w:qFormat/>
    <w:uiPriority w:val="20"/>
    <w:rPr>
      <w:i/>
      <w:iCs/>
    </w:rPr>
  </w:style>
  <w:style w:type="character" w:customStyle="1" w:styleId="11">
    <w:name w:val="标题 3 Char"/>
    <w:basedOn w:val="9"/>
    <w:link w:val="3"/>
    <w:qFormat/>
    <w:uiPriority w:val="9"/>
    <w:rPr>
      <w:b/>
      <w:bCs/>
      <w:sz w:val="32"/>
      <w:szCs w:val="32"/>
    </w:rPr>
  </w:style>
  <w:style w:type="character" w:customStyle="1" w:styleId="12">
    <w:name w:val="正文文本 Char"/>
    <w:basedOn w:val="9"/>
    <w:link w:val="4"/>
    <w:qFormat/>
    <w:uiPriority w:val="0"/>
    <w:rPr>
      <w:rFonts w:ascii="Times New Roman" w:hAnsi="Times New Roman" w:eastAsia="宋体" w:cs="Times New Roman"/>
      <w:b/>
      <w:kern w:val="0"/>
      <w:sz w:val="28"/>
      <w:szCs w:val="20"/>
      <w:lang w:val="zh-CN"/>
    </w:rPr>
  </w:style>
  <w:style w:type="character" w:customStyle="1" w:styleId="13">
    <w:name w:val="da"/>
    <w:basedOn w:val="9"/>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mycompany</Company>
  <Pages>12</Pages>
  <Words>1005</Words>
  <Characters>5734</Characters>
  <Lines>47</Lines>
  <Paragraphs>13</Paragraphs>
  <TotalTime>15</TotalTime>
  <ScaleCrop>false</ScaleCrop>
  <LinksUpToDate>false</LinksUpToDate>
  <CharactersWithSpaces>6726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2026-06-08T08:23:00Z</dcterms:created>
  <dc:creator>BSKMadminDev</dc:creator>
  <cp:lastModifiedBy>fuxj</cp:lastModifiedBy>
  <dcterms:modified xsi:type="dcterms:W3CDTF">2026-06-11T08:50:26Z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8B7F7FA775674A5E9EE3FC4CC9F0C6A7_12</vt:lpwstr>
  </property>
</Properties>
</file>