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2B35B1">
      <w:pPr>
        <w:spacing w:line="360" w:lineRule="auto"/>
        <w:jc w:val="center"/>
        <w:rPr>
          <w:rFonts w:ascii="宋体" w:hAnsi="宋体"/>
          <w:b/>
          <w:szCs w:val="21"/>
        </w:rPr>
      </w:pPr>
      <w:bookmarkStart w:id="0" w:name="_Toc361324840"/>
    </w:p>
    <w:p w14:paraId="40392393">
      <w:pPr>
        <w:spacing w:line="360" w:lineRule="auto"/>
        <w:jc w:val="center"/>
        <w:rPr>
          <w:rFonts w:ascii="宋体" w:hAnsi="宋体"/>
          <w:b/>
          <w:szCs w:val="21"/>
        </w:rPr>
      </w:pPr>
    </w:p>
    <w:bookmarkEnd w:id="0"/>
    <w:p w14:paraId="03F7343C">
      <w:pPr>
        <w:spacing w:line="360" w:lineRule="auto"/>
        <w:jc w:val="center"/>
        <w:rPr>
          <w:rFonts w:ascii="宋体" w:hAnsi="宋体"/>
          <w:b/>
          <w:sz w:val="52"/>
          <w:szCs w:val="52"/>
        </w:rPr>
      </w:pPr>
      <w:bookmarkStart w:id="1" w:name="_Toc361324841"/>
      <w:r>
        <w:rPr>
          <w:rFonts w:hint="eastAsia" w:ascii="宋体" w:hAnsi="宋体"/>
          <w:b/>
          <w:sz w:val="52"/>
          <w:szCs w:val="52"/>
        </w:rPr>
        <w:t>博时安仁一年定期开放债券型发起式证券投资基金清算</w:t>
      </w:r>
      <w:r>
        <w:rPr>
          <w:rFonts w:ascii="宋体" w:hAnsi="宋体"/>
          <w:b/>
          <w:sz w:val="52"/>
          <w:szCs w:val="52"/>
        </w:rPr>
        <w:t>报告</w:t>
      </w:r>
      <w:bookmarkEnd w:id="1"/>
    </w:p>
    <w:p w14:paraId="020ECBD6">
      <w:pPr>
        <w:rPr>
          <w:rFonts w:ascii="宋体" w:hAnsi="宋体"/>
          <w:szCs w:val="21"/>
        </w:rPr>
      </w:pPr>
    </w:p>
    <w:p w14:paraId="487021CB">
      <w:pPr>
        <w:rPr>
          <w:rFonts w:ascii="宋体" w:hAnsi="宋体"/>
          <w:szCs w:val="21"/>
        </w:rPr>
      </w:pPr>
    </w:p>
    <w:p w14:paraId="413CB658">
      <w:pPr>
        <w:rPr>
          <w:rFonts w:ascii="宋体" w:hAnsi="宋体"/>
          <w:szCs w:val="21"/>
        </w:rPr>
      </w:pPr>
    </w:p>
    <w:p w14:paraId="3263F275">
      <w:pPr>
        <w:rPr>
          <w:rFonts w:ascii="宋体" w:hAnsi="宋体"/>
          <w:szCs w:val="21"/>
        </w:rPr>
      </w:pPr>
    </w:p>
    <w:p w14:paraId="7BC327E4">
      <w:pPr>
        <w:rPr>
          <w:rFonts w:ascii="宋体" w:hAnsi="宋体"/>
          <w:szCs w:val="21"/>
        </w:rPr>
      </w:pPr>
    </w:p>
    <w:p w14:paraId="300BAEF1">
      <w:pPr>
        <w:rPr>
          <w:rFonts w:ascii="宋体" w:hAnsi="宋体"/>
          <w:szCs w:val="21"/>
        </w:rPr>
      </w:pPr>
    </w:p>
    <w:p w14:paraId="47A9BC64">
      <w:pPr>
        <w:rPr>
          <w:rFonts w:ascii="宋体" w:hAnsi="宋体"/>
          <w:szCs w:val="21"/>
        </w:rPr>
      </w:pPr>
    </w:p>
    <w:p w14:paraId="5904C871">
      <w:pPr>
        <w:rPr>
          <w:rFonts w:ascii="宋体" w:hAnsi="宋体"/>
          <w:szCs w:val="21"/>
        </w:rPr>
      </w:pPr>
    </w:p>
    <w:p w14:paraId="10F34340">
      <w:pPr>
        <w:rPr>
          <w:rFonts w:ascii="宋体" w:hAnsi="宋体"/>
          <w:szCs w:val="21"/>
        </w:rPr>
      </w:pPr>
    </w:p>
    <w:p w14:paraId="1B24AA79">
      <w:pPr>
        <w:rPr>
          <w:rFonts w:ascii="宋体" w:hAnsi="宋体"/>
          <w:szCs w:val="21"/>
        </w:rPr>
      </w:pPr>
    </w:p>
    <w:p w14:paraId="121F8513">
      <w:pPr>
        <w:rPr>
          <w:rFonts w:ascii="宋体" w:hAnsi="宋体"/>
          <w:szCs w:val="21"/>
        </w:rPr>
      </w:pPr>
    </w:p>
    <w:p w14:paraId="0E16A7D8">
      <w:pPr>
        <w:spacing w:line="360" w:lineRule="auto"/>
        <w:jc w:val="center"/>
        <w:rPr>
          <w:rFonts w:ascii="宋体" w:hAnsi="宋体"/>
          <w:b/>
          <w:color w:val="000000"/>
          <w:sz w:val="36"/>
          <w:szCs w:val="36"/>
        </w:rPr>
      </w:pPr>
      <w:r>
        <w:rPr>
          <w:rFonts w:ascii="宋体" w:hAnsi="宋体"/>
          <w:b/>
          <w:color w:val="000000"/>
          <w:sz w:val="36"/>
          <w:szCs w:val="36"/>
        </w:rPr>
        <w:t>基金管理人：博时基金管理有限公司</w:t>
      </w:r>
    </w:p>
    <w:p w14:paraId="33E25E9E">
      <w:pPr>
        <w:spacing w:line="360" w:lineRule="auto"/>
        <w:jc w:val="center"/>
        <w:rPr>
          <w:rFonts w:ascii="宋体" w:hAnsi="宋体"/>
          <w:b/>
          <w:color w:val="000000"/>
          <w:sz w:val="36"/>
          <w:szCs w:val="36"/>
        </w:rPr>
      </w:pPr>
      <w:r>
        <w:rPr>
          <w:rFonts w:ascii="宋体" w:hAnsi="宋体"/>
          <w:b/>
          <w:color w:val="000000"/>
          <w:sz w:val="36"/>
          <w:szCs w:val="36"/>
        </w:rPr>
        <w:t>基金托管人：中国民生银行股份有限公司</w:t>
      </w:r>
    </w:p>
    <w:p w14:paraId="2597F7D2">
      <w:pPr>
        <w:spacing w:line="360" w:lineRule="auto"/>
        <w:jc w:val="center"/>
        <w:rPr>
          <w:rFonts w:ascii="宋体" w:hAnsi="宋体"/>
          <w:b/>
          <w:color w:val="000000"/>
          <w:sz w:val="36"/>
          <w:szCs w:val="36"/>
        </w:rPr>
      </w:pPr>
      <w:r>
        <w:rPr>
          <w:rFonts w:ascii="宋体" w:hAnsi="宋体"/>
          <w:b/>
          <w:color w:val="000000"/>
          <w:sz w:val="36"/>
          <w:szCs w:val="36"/>
        </w:rPr>
        <w:t>报告</w:t>
      </w:r>
      <w:r>
        <w:rPr>
          <w:rFonts w:hint="eastAsia" w:ascii="宋体" w:hAnsi="宋体"/>
          <w:b/>
          <w:color w:val="000000"/>
          <w:sz w:val="36"/>
          <w:szCs w:val="36"/>
        </w:rPr>
        <w:t>出具</w:t>
      </w:r>
      <w:r>
        <w:rPr>
          <w:rFonts w:ascii="宋体" w:hAnsi="宋体"/>
          <w:b/>
          <w:color w:val="000000"/>
          <w:sz w:val="36"/>
          <w:szCs w:val="36"/>
        </w:rPr>
        <w:t>日期：二〇</w:t>
      </w:r>
      <w:r>
        <w:rPr>
          <w:rFonts w:hint="eastAsia" w:ascii="宋体" w:hAnsi="宋体"/>
          <w:b/>
          <w:color w:val="000000"/>
          <w:sz w:val="36"/>
          <w:szCs w:val="36"/>
        </w:rPr>
        <w:t>二</w:t>
      </w:r>
      <w:r>
        <w:rPr>
          <w:rFonts w:hint="eastAsia" w:ascii="宋体" w:hAnsi="宋体"/>
          <w:b/>
          <w:color w:val="000000"/>
          <w:sz w:val="36"/>
          <w:szCs w:val="36"/>
          <w:lang w:val="en-US" w:eastAsia="zh-CN"/>
        </w:rPr>
        <w:t>六</w:t>
      </w:r>
      <w:r>
        <w:rPr>
          <w:rFonts w:ascii="宋体" w:hAnsi="宋体"/>
          <w:b/>
          <w:color w:val="000000"/>
          <w:sz w:val="36"/>
          <w:szCs w:val="36"/>
        </w:rPr>
        <w:t>年</w:t>
      </w:r>
      <w:r>
        <w:rPr>
          <w:rFonts w:hint="eastAsia" w:ascii="宋体" w:hAnsi="宋体"/>
          <w:b/>
          <w:color w:val="000000"/>
          <w:sz w:val="36"/>
          <w:szCs w:val="36"/>
          <w:lang w:val="en-US" w:eastAsia="zh-CN"/>
        </w:rPr>
        <w:t>四</w:t>
      </w:r>
      <w:r>
        <w:rPr>
          <w:rFonts w:ascii="宋体" w:hAnsi="宋体"/>
          <w:b/>
          <w:color w:val="000000"/>
          <w:sz w:val="36"/>
          <w:szCs w:val="36"/>
        </w:rPr>
        <w:t>月</w:t>
      </w:r>
      <w:r>
        <w:rPr>
          <w:rFonts w:hint="eastAsia" w:ascii="宋体" w:hAnsi="宋体"/>
          <w:b/>
          <w:color w:val="000000"/>
          <w:sz w:val="36"/>
          <w:szCs w:val="36"/>
          <w:lang w:val="en-US" w:eastAsia="zh-CN"/>
        </w:rPr>
        <w:t>二十七</w:t>
      </w:r>
      <w:r>
        <w:rPr>
          <w:rFonts w:hint="eastAsia" w:ascii="宋体" w:hAnsi="宋体"/>
          <w:b/>
          <w:color w:val="000000"/>
          <w:sz w:val="36"/>
          <w:szCs w:val="36"/>
        </w:rPr>
        <w:t>日</w:t>
      </w:r>
    </w:p>
    <w:p w14:paraId="67FBC532">
      <w:pPr>
        <w:spacing w:line="360" w:lineRule="auto"/>
        <w:jc w:val="center"/>
        <w:rPr>
          <w:rFonts w:ascii="宋体" w:hAnsi="宋体"/>
          <w:b/>
          <w:color w:val="000000"/>
          <w:sz w:val="36"/>
          <w:szCs w:val="36"/>
        </w:rPr>
      </w:pPr>
      <w:r>
        <w:rPr>
          <w:rFonts w:hint="eastAsia" w:ascii="宋体" w:hAnsi="宋体"/>
          <w:b/>
          <w:color w:val="000000"/>
          <w:sz w:val="36"/>
          <w:szCs w:val="36"/>
        </w:rPr>
        <w:t>报告公告日期：二〇二</w:t>
      </w:r>
      <w:r>
        <w:rPr>
          <w:rFonts w:hint="eastAsia" w:ascii="宋体" w:hAnsi="宋体"/>
          <w:b/>
          <w:color w:val="000000"/>
          <w:sz w:val="36"/>
          <w:szCs w:val="36"/>
          <w:lang w:val="en-US" w:eastAsia="zh-CN"/>
        </w:rPr>
        <w:t>六</w:t>
      </w:r>
      <w:r>
        <w:rPr>
          <w:rFonts w:hint="eastAsia" w:ascii="宋体" w:hAnsi="宋体"/>
          <w:b/>
          <w:color w:val="000000"/>
          <w:sz w:val="36"/>
          <w:szCs w:val="36"/>
        </w:rPr>
        <w:t>年</w:t>
      </w:r>
      <w:r>
        <w:rPr>
          <w:rFonts w:hint="eastAsia" w:ascii="宋体" w:hAnsi="宋体"/>
          <w:b/>
          <w:color w:val="000000"/>
          <w:sz w:val="36"/>
          <w:szCs w:val="36"/>
          <w:lang w:val="en-US" w:eastAsia="zh-CN"/>
        </w:rPr>
        <w:t>五</w:t>
      </w:r>
      <w:r>
        <w:rPr>
          <w:rFonts w:hint="eastAsia" w:ascii="宋体" w:hAnsi="宋体"/>
          <w:b/>
          <w:color w:val="000000"/>
          <w:sz w:val="36"/>
          <w:szCs w:val="36"/>
        </w:rPr>
        <w:t>月</w:t>
      </w:r>
      <w:r>
        <w:rPr>
          <w:rFonts w:hint="eastAsia" w:ascii="宋体" w:hAnsi="宋体"/>
          <w:b/>
          <w:color w:val="000000"/>
          <w:sz w:val="36"/>
          <w:szCs w:val="36"/>
          <w:lang w:val="en-US" w:eastAsia="zh-CN"/>
        </w:rPr>
        <w:t>二十三</w:t>
      </w:r>
      <w:r>
        <w:rPr>
          <w:rFonts w:hint="eastAsia" w:ascii="宋体" w:hAnsi="宋体"/>
          <w:b/>
          <w:color w:val="000000"/>
          <w:sz w:val="36"/>
          <w:szCs w:val="36"/>
        </w:rPr>
        <w:t>日</w:t>
      </w:r>
    </w:p>
    <w:p w14:paraId="5D7AD9C3">
      <w:pPr>
        <w:spacing w:line="360" w:lineRule="auto"/>
        <w:jc w:val="center"/>
        <w:rPr>
          <w:rFonts w:ascii="宋体" w:hAnsi="宋体"/>
          <w:b/>
          <w:color w:val="000000"/>
          <w:sz w:val="36"/>
          <w:szCs w:val="36"/>
        </w:rPr>
      </w:pPr>
    </w:p>
    <w:p w14:paraId="49B6702B">
      <w:pPr>
        <w:spacing w:line="360" w:lineRule="auto"/>
        <w:ind w:firstLine="1265" w:firstLineChars="350"/>
        <w:rPr>
          <w:rFonts w:ascii="宋体" w:hAnsi="宋体"/>
          <w:b/>
          <w:color w:val="000000"/>
          <w:sz w:val="36"/>
          <w:szCs w:val="36"/>
        </w:rPr>
        <w:sectPr>
          <w:headerReference r:id="rId3" w:type="default"/>
          <w:footerReference r:id="rId4" w:type="default"/>
          <w:pgSz w:w="11926" w:h="15840"/>
          <w:pgMar w:top="1418" w:right="1418" w:bottom="851" w:left="1418" w:header="851" w:footer="992" w:gutter="0"/>
          <w:pgNumType w:start="1"/>
          <w:cols w:space="720" w:num="1"/>
          <w:titlePg/>
          <w:docGrid w:linePitch="286" w:charSpace="0"/>
        </w:sectPr>
      </w:pPr>
    </w:p>
    <w:sdt>
      <w:sdtPr>
        <w:rPr>
          <w:rFonts w:ascii="Times New Roman" w:hAnsi="Times New Roman" w:eastAsia="宋体" w:cs="Times New Roman"/>
          <w:b w:val="0"/>
          <w:bCs w:val="0"/>
          <w:color w:val="auto"/>
          <w:kern w:val="2"/>
          <w:sz w:val="21"/>
          <w:szCs w:val="24"/>
          <w:lang w:val="zh-CN"/>
        </w:rPr>
        <w:id w:val="542722309"/>
        <w:docPartObj>
          <w:docPartGallery w:val="Table of Contents"/>
          <w:docPartUnique/>
        </w:docPartObj>
      </w:sdtPr>
      <w:sdtEndPr>
        <w:rPr>
          <w:rFonts w:ascii="Times New Roman" w:hAnsi="Times New Roman" w:eastAsia="宋体" w:cs="Times New Roman"/>
          <w:b w:val="0"/>
          <w:bCs w:val="0"/>
          <w:color w:val="auto"/>
          <w:kern w:val="2"/>
          <w:sz w:val="21"/>
          <w:szCs w:val="24"/>
          <w:lang w:val="zh-CN"/>
        </w:rPr>
      </w:sdtEndPr>
      <w:sdtContent>
        <w:p w14:paraId="52CA94B7">
          <w:pPr>
            <w:pStyle w:val="32"/>
            <w:jc w:val="center"/>
          </w:pPr>
          <w:bookmarkStart w:id="2" w:name="_Toc484769794"/>
          <w:r>
            <w:rPr>
              <w:lang w:val="zh-CN"/>
            </w:rPr>
            <w:t>目录</w:t>
          </w:r>
        </w:p>
        <w:p w14:paraId="799AEA6B">
          <w:pPr>
            <w:pStyle w:val="9"/>
            <w:tabs>
              <w:tab w:val="right" w:leader="dot" w:pos="8296"/>
            </w:tabs>
            <w:rPr>
              <w:rFonts w:asciiTheme="minorHAnsi" w:hAnsiTheme="minorHAnsi" w:eastAsiaTheme="minorEastAsia" w:cstheme="minorBidi"/>
              <w:szCs w:val="22"/>
            </w:rPr>
          </w:pPr>
          <w:r>
            <w:fldChar w:fldCharType="begin"/>
          </w:r>
          <w:r>
            <w:instrText xml:space="preserve"> TOC \o "1-3" \h \z \u </w:instrText>
          </w:r>
          <w:r>
            <w:fldChar w:fldCharType="separate"/>
          </w:r>
          <w:r>
            <w:fldChar w:fldCharType="begin"/>
          </w:r>
          <w:r>
            <w:instrText xml:space="preserve"> HYPERLINK \l "_Toc491963077" </w:instrText>
          </w:r>
          <w:r>
            <w:fldChar w:fldCharType="separate"/>
          </w:r>
          <w:r>
            <w:rPr>
              <w:rStyle w:val="15"/>
              <w:rFonts w:ascii="宋体" w:hAnsi="宋体"/>
              <w:b/>
            </w:rPr>
            <w:t>1</w:t>
          </w:r>
          <w:r>
            <w:rPr>
              <w:rStyle w:val="15"/>
              <w:rFonts w:hint="eastAsia" w:ascii="宋体" w:hAnsi="宋体"/>
              <w:b/>
            </w:rPr>
            <w:t>、重要提示</w:t>
          </w:r>
          <w:r>
            <w:tab/>
          </w:r>
          <w:r>
            <w:fldChar w:fldCharType="begin"/>
          </w:r>
          <w:r>
            <w:instrText xml:space="preserve"> PAGEREF _Toc491963077 \h </w:instrText>
          </w:r>
          <w:r>
            <w:fldChar w:fldCharType="separate"/>
          </w:r>
          <w:r>
            <w:t>1</w:t>
          </w:r>
          <w:r>
            <w:fldChar w:fldCharType="end"/>
          </w:r>
          <w:r>
            <w:fldChar w:fldCharType="end"/>
          </w:r>
        </w:p>
        <w:p w14:paraId="242AC94D">
          <w:pPr>
            <w:pStyle w:val="10"/>
            <w:tabs>
              <w:tab w:val="right" w:leader="dot" w:pos="8296"/>
            </w:tabs>
            <w:rPr>
              <w:rFonts w:asciiTheme="minorHAnsi" w:hAnsiTheme="minorHAnsi" w:eastAsiaTheme="minorEastAsia" w:cstheme="minorBidi"/>
              <w:szCs w:val="22"/>
            </w:rPr>
          </w:pPr>
          <w:r>
            <w:fldChar w:fldCharType="begin"/>
          </w:r>
          <w:r>
            <w:instrText xml:space="preserve"> HYPERLINK \l "_Toc491963078" </w:instrText>
          </w:r>
          <w:r>
            <w:fldChar w:fldCharType="separate"/>
          </w:r>
          <w:r>
            <w:rPr>
              <w:rStyle w:val="15"/>
              <w:rFonts w:ascii="宋体" w:hAnsi="宋体"/>
              <w:kern w:val="0"/>
            </w:rPr>
            <w:t xml:space="preserve">1.1 </w:t>
          </w:r>
          <w:r>
            <w:rPr>
              <w:rStyle w:val="15"/>
              <w:rFonts w:hint="eastAsia" w:ascii="宋体" w:hAnsi="宋体"/>
              <w:kern w:val="0"/>
            </w:rPr>
            <w:t>重要提示</w:t>
          </w:r>
          <w:r>
            <w:tab/>
          </w:r>
          <w:r>
            <w:fldChar w:fldCharType="begin"/>
          </w:r>
          <w:r>
            <w:instrText xml:space="preserve"> PAGEREF _Toc491963078 \h </w:instrText>
          </w:r>
          <w:r>
            <w:fldChar w:fldCharType="separate"/>
          </w:r>
          <w:r>
            <w:t>1</w:t>
          </w:r>
          <w:r>
            <w:fldChar w:fldCharType="end"/>
          </w:r>
          <w:r>
            <w:fldChar w:fldCharType="end"/>
          </w:r>
        </w:p>
        <w:p w14:paraId="67CDB074">
          <w:pPr>
            <w:pStyle w:val="9"/>
            <w:tabs>
              <w:tab w:val="right" w:leader="dot" w:pos="8296"/>
            </w:tabs>
            <w:rPr>
              <w:rFonts w:asciiTheme="minorHAnsi" w:hAnsiTheme="minorHAnsi" w:eastAsiaTheme="minorEastAsia" w:cstheme="minorBidi"/>
              <w:szCs w:val="22"/>
            </w:rPr>
          </w:pPr>
          <w:r>
            <w:fldChar w:fldCharType="begin"/>
          </w:r>
          <w:r>
            <w:instrText xml:space="preserve"> HYPERLINK \l "_Toc491963079" </w:instrText>
          </w:r>
          <w:r>
            <w:fldChar w:fldCharType="separate"/>
          </w:r>
          <w:r>
            <w:rPr>
              <w:rStyle w:val="15"/>
              <w:rFonts w:ascii="宋体" w:hAnsi="宋体"/>
              <w:b/>
            </w:rPr>
            <w:t>2</w:t>
          </w:r>
          <w:r>
            <w:rPr>
              <w:rStyle w:val="15"/>
              <w:rFonts w:hint="eastAsia" w:ascii="宋体" w:hAnsi="宋体"/>
              <w:b/>
            </w:rPr>
            <w:t>、基金概况</w:t>
          </w:r>
          <w:r>
            <w:tab/>
          </w:r>
          <w:r>
            <w:fldChar w:fldCharType="begin"/>
          </w:r>
          <w:r>
            <w:instrText xml:space="preserve"> PAGEREF _Toc491963079 \h </w:instrText>
          </w:r>
          <w:r>
            <w:fldChar w:fldCharType="separate"/>
          </w:r>
          <w:r>
            <w:t>2</w:t>
          </w:r>
          <w:r>
            <w:fldChar w:fldCharType="end"/>
          </w:r>
          <w:r>
            <w:fldChar w:fldCharType="end"/>
          </w:r>
        </w:p>
        <w:p w14:paraId="18C42D7E">
          <w:pPr>
            <w:pStyle w:val="10"/>
            <w:tabs>
              <w:tab w:val="right" w:leader="dot" w:pos="8296"/>
            </w:tabs>
            <w:rPr>
              <w:rFonts w:asciiTheme="minorHAnsi" w:hAnsiTheme="minorHAnsi" w:eastAsiaTheme="minorEastAsia" w:cstheme="minorBidi"/>
              <w:szCs w:val="22"/>
            </w:rPr>
          </w:pPr>
          <w:r>
            <w:fldChar w:fldCharType="begin"/>
          </w:r>
          <w:r>
            <w:instrText xml:space="preserve"> HYPERLINK \l "_Toc491963080" </w:instrText>
          </w:r>
          <w:r>
            <w:fldChar w:fldCharType="separate"/>
          </w:r>
          <w:r>
            <w:rPr>
              <w:rStyle w:val="15"/>
              <w:rFonts w:ascii="宋体" w:hAnsi="宋体"/>
              <w:kern w:val="0"/>
            </w:rPr>
            <w:t xml:space="preserve">2.1 </w:t>
          </w:r>
          <w:r>
            <w:rPr>
              <w:rStyle w:val="15"/>
              <w:rFonts w:hint="eastAsia" w:ascii="宋体" w:hAnsi="宋体"/>
              <w:kern w:val="0"/>
            </w:rPr>
            <w:t>基金基本情况</w:t>
          </w:r>
          <w:r>
            <w:tab/>
          </w:r>
          <w:r>
            <w:fldChar w:fldCharType="begin"/>
          </w:r>
          <w:r>
            <w:instrText xml:space="preserve"> PAGEREF _Toc491963080 \h </w:instrText>
          </w:r>
          <w:r>
            <w:fldChar w:fldCharType="separate"/>
          </w:r>
          <w:r>
            <w:t>2</w:t>
          </w:r>
          <w:r>
            <w:fldChar w:fldCharType="end"/>
          </w:r>
          <w:r>
            <w:fldChar w:fldCharType="end"/>
          </w:r>
        </w:p>
        <w:p w14:paraId="706FE679">
          <w:pPr>
            <w:pStyle w:val="10"/>
            <w:tabs>
              <w:tab w:val="right" w:leader="dot" w:pos="8296"/>
            </w:tabs>
            <w:rPr>
              <w:rFonts w:asciiTheme="minorHAnsi" w:hAnsiTheme="minorHAnsi" w:eastAsiaTheme="minorEastAsia" w:cstheme="minorBidi"/>
              <w:szCs w:val="22"/>
            </w:rPr>
          </w:pPr>
          <w:r>
            <w:fldChar w:fldCharType="begin"/>
          </w:r>
          <w:r>
            <w:instrText xml:space="preserve"> HYPERLINK \l "_Toc491963081" </w:instrText>
          </w:r>
          <w:r>
            <w:fldChar w:fldCharType="separate"/>
          </w:r>
          <w:r>
            <w:rPr>
              <w:rStyle w:val="15"/>
              <w:rFonts w:ascii="宋体" w:hAnsi="宋体"/>
            </w:rPr>
            <w:t xml:space="preserve">2.2 </w:t>
          </w:r>
          <w:r>
            <w:rPr>
              <w:rStyle w:val="15"/>
              <w:rFonts w:hint="eastAsia" w:ascii="宋体" w:hAnsi="宋体"/>
            </w:rPr>
            <w:t>基金产品说明</w:t>
          </w:r>
          <w:r>
            <w:tab/>
          </w:r>
          <w:r>
            <w:fldChar w:fldCharType="begin"/>
          </w:r>
          <w:r>
            <w:instrText xml:space="preserve"> PAGEREF _Toc491963081 \h </w:instrText>
          </w:r>
          <w:r>
            <w:fldChar w:fldCharType="separate"/>
          </w:r>
          <w:r>
            <w:t>2</w:t>
          </w:r>
          <w:r>
            <w:fldChar w:fldCharType="end"/>
          </w:r>
          <w:r>
            <w:fldChar w:fldCharType="end"/>
          </w:r>
        </w:p>
        <w:p w14:paraId="1E47EAF9">
          <w:pPr>
            <w:pStyle w:val="9"/>
            <w:tabs>
              <w:tab w:val="right" w:leader="dot" w:pos="8296"/>
            </w:tabs>
            <w:rPr>
              <w:rFonts w:asciiTheme="minorHAnsi" w:hAnsiTheme="minorHAnsi" w:eastAsiaTheme="minorEastAsia" w:cstheme="minorBidi"/>
              <w:szCs w:val="22"/>
            </w:rPr>
          </w:pPr>
          <w:r>
            <w:fldChar w:fldCharType="begin"/>
          </w:r>
          <w:r>
            <w:instrText xml:space="preserve"> HYPERLINK \l "_Toc491963082" </w:instrText>
          </w:r>
          <w:r>
            <w:fldChar w:fldCharType="separate"/>
          </w:r>
          <w:r>
            <w:rPr>
              <w:rStyle w:val="15"/>
              <w:rFonts w:ascii="宋体" w:hAnsi="宋体"/>
              <w:b/>
            </w:rPr>
            <w:t>3</w:t>
          </w:r>
          <w:r>
            <w:rPr>
              <w:rStyle w:val="15"/>
              <w:rFonts w:hint="eastAsia" w:ascii="宋体" w:hAnsi="宋体"/>
              <w:b/>
            </w:rPr>
            <w:t>、基金运作情况说明</w:t>
          </w:r>
          <w:r>
            <w:tab/>
          </w:r>
          <w:r>
            <w:fldChar w:fldCharType="begin"/>
          </w:r>
          <w:r>
            <w:instrText xml:space="preserve"> PAGEREF _Toc491963082 \h </w:instrText>
          </w:r>
          <w:r>
            <w:fldChar w:fldCharType="separate"/>
          </w:r>
          <w:r>
            <w:t>3</w:t>
          </w:r>
          <w:r>
            <w:fldChar w:fldCharType="end"/>
          </w:r>
          <w:r>
            <w:fldChar w:fldCharType="end"/>
          </w:r>
        </w:p>
        <w:p w14:paraId="3C25AA95">
          <w:pPr>
            <w:pStyle w:val="9"/>
            <w:tabs>
              <w:tab w:val="right" w:leader="dot" w:pos="8296"/>
            </w:tabs>
            <w:rPr>
              <w:rFonts w:asciiTheme="minorHAnsi" w:hAnsiTheme="minorHAnsi" w:eastAsiaTheme="minorEastAsia" w:cstheme="minorBidi"/>
              <w:szCs w:val="22"/>
            </w:rPr>
          </w:pPr>
          <w:r>
            <w:fldChar w:fldCharType="begin"/>
          </w:r>
          <w:r>
            <w:instrText xml:space="preserve"> HYPERLINK \l "_Toc491963083" </w:instrText>
          </w:r>
          <w:r>
            <w:fldChar w:fldCharType="separate"/>
          </w:r>
          <w:r>
            <w:rPr>
              <w:rStyle w:val="15"/>
              <w:rFonts w:ascii="宋体" w:hAnsi="宋体"/>
              <w:b/>
            </w:rPr>
            <w:t>4</w:t>
          </w:r>
          <w:r>
            <w:rPr>
              <w:rStyle w:val="15"/>
              <w:rFonts w:hint="eastAsia" w:ascii="宋体" w:hAnsi="宋体"/>
              <w:b/>
            </w:rPr>
            <w:t>、财务报告</w:t>
          </w:r>
          <w:r>
            <w:tab/>
          </w:r>
          <w:r>
            <w:fldChar w:fldCharType="begin"/>
          </w:r>
          <w:r>
            <w:instrText xml:space="preserve"> PAGEREF _Toc491963083 \h </w:instrText>
          </w:r>
          <w:r>
            <w:fldChar w:fldCharType="separate"/>
          </w:r>
          <w:r>
            <w:t>4</w:t>
          </w:r>
          <w:r>
            <w:fldChar w:fldCharType="end"/>
          </w:r>
          <w:r>
            <w:fldChar w:fldCharType="end"/>
          </w:r>
        </w:p>
        <w:p w14:paraId="441BEDDD">
          <w:pPr>
            <w:pStyle w:val="10"/>
            <w:tabs>
              <w:tab w:val="right" w:leader="dot" w:pos="8296"/>
            </w:tabs>
            <w:rPr>
              <w:rFonts w:asciiTheme="minorHAnsi" w:hAnsiTheme="minorHAnsi" w:eastAsiaTheme="minorEastAsia" w:cstheme="minorBidi"/>
              <w:szCs w:val="22"/>
            </w:rPr>
          </w:pPr>
          <w:r>
            <w:fldChar w:fldCharType="begin"/>
          </w:r>
          <w:r>
            <w:instrText xml:space="preserve"> HYPERLINK \l "_Toc491963084" </w:instrText>
          </w:r>
          <w:r>
            <w:fldChar w:fldCharType="separate"/>
          </w:r>
          <w:r>
            <w:rPr>
              <w:rStyle w:val="15"/>
              <w:rFonts w:ascii="宋体" w:hAnsi="宋体"/>
              <w:kern w:val="0"/>
            </w:rPr>
            <w:t xml:space="preserve">4.1 </w:t>
          </w:r>
          <w:r>
            <w:rPr>
              <w:rStyle w:val="15"/>
              <w:rFonts w:hint="eastAsia" w:ascii="宋体" w:hAnsi="宋体"/>
              <w:kern w:val="0"/>
            </w:rPr>
            <w:t>资产负债表</w:t>
          </w:r>
          <w:r>
            <w:tab/>
          </w:r>
          <w:r>
            <w:fldChar w:fldCharType="begin"/>
          </w:r>
          <w:r>
            <w:instrText xml:space="preserve"> PAGEREF _Toc491963084 \h </w:instrText>
          </w:r>
          <w:r>
            <w:fldChar w:fldCharType="separate"/>
          </w:r>
          <w:r>
            <w:t>4</w:t>
          </w:r>
          <w:r>
            <w:fldChar w:fldCharType="end"/>
          </w:r>
          <w:r>
            <w:fldChar w:fldCharType="end"/>
          </w:r>
        </w:p>
        <w:p w14:paraId="36EFEB5E">
          <w:pPr>
            <w:pStyle w:val="10"/>
            <w:tabs>
              <w:tab w:val="right" w:leader="dot" w:pos="8296"/>
            </w:tabs>
            <w:rPr>
              <w:rFonts w:asciiTheme="minorHAnsi" w:hAnsiTheme="minorHAnsi" w:eastAsiaTheme="minorEastAsia" w:cstheme="minorBidi"/>
              <w:szCs w:val="22"/>
            </w:rPr>
          </w:pPr>
          <w:r>
            <w:fldChar w:fldCharType="begin"/>
          </w:r>
          <w:r>
            <w:instrText xml:space="preserve"> HYPERLINK \l "_Toc491963085" </w:instrText>
          </w:r>
          <w:r>
            <w:fldChar w:fldCharType="separate"/>
          </w:r>
          <w:r>
            <w:rPr>
              <w:rStyle w:val="15"/>
              <w:rFonts w:ascii="宋体" w:hAnsi="宋体"/>
              <w:kern w:val="0"/>
            </w:rPr>
            <w:t xml:space="preserve">4.2 </w:t>
          </w:r>
          <w:r>
            <w:rPr>
              <w:rStyle w:val="15"/>
              <w:rFonts w:hint="eastAsia" w:ascii="宋体" w:hAnsi="宋体"/>
              <w:kern w:val="0"/>
            </w:rPr>
            <w:t>清算损益表</w:t>
          </w:r>
          <w:r>
            <w:tab/>
          </w:r>
          <w:r>
            <w:fldChar w:fldCharType="begin"/>
          </w:r>
          <w:r>
            <w:instrText xml:space="preserve"> PAGEREF _Toc491963085 \h </w:instrText>
          </w:r>
          <w:r>
            <w:fldChar w:fldCharType="separate"/>
          </w:r>
          <w:r>
            <w:t>4</w:t>
          </w:r>
          <w:r>
            <w:fldChar w:fldCharType="end"/>
          </w:r>
          <w:r>
            <w:fldChar w:fldCharType="end"/>
          </w:r>
        </w:p>
        <w:p w14:paraId="4E22E3BE">
          <w:pPr>
            <w:pStyle w:val="10"/>
            <w:tabs>
              <w:tab w:val="right" w:leader="dot" w:pos="8296"/>
            </w:tabs>
            <w:rPr>
              <w:rFonts w:asciiTheme="minorHAnsi" w:hAnsiTheme="minorHAnsi" w:eastAsiaTheme="minorEastAsia" w:cstheme="minorBidi"/>
              <w:szCs w:val="22"/>
            </w:rPr>
          </w:pPr>
          <w:r>
            <w:fldChar w:fldCharType="begin"/>
          </w:r>
          <w:r>
            <w:instrText xml:space="preserve"> HYPERLINK \l "_Toc491963086" </w:instrText>
          </w:r>
          <w:r>
            <w:fldChar w:fldCharType="separate"/>
          </w:r>
          <w:r>
            <w:rPr>
              <w:rStyle w:val="15"/>
              <w:rFonts w:ascii="宋体" w:hAnsi="宋体"/>
              <w:kern w:val="0"/>
            </w:rPr>
            <w:t xml:space="preserve">4.3 </w:t>
          </w:r>
          <w:r>
            <w:rPr>
              <w:rStyle w:val="15"/>
              <w:rFonts w:hint="eastAsia" w:ascii="宋体" w:hAnsi="宋体"/>
              <w:kern w:val="0"/>
            </w:rPr>
            <w:t>报表附注</w:t>
          </w:r>
          <w:r>
            <w:tab/>
          </w:r>
          <w:r>
            <w:fldChar w:fldCharType="begin"/>
          </w:r>
          <w:r>
            <w:instrText xml:space="preserve"> PAGEREF _Toc491963086 \h </w:instrText>
          </w:r>
          <w:r>
            <w:fldChar w:fldCharType="separate"/>
          </w:r>
          <w:r>
            <w:t>5</w:t>
          </w:r>
          <w:r>
            <w:fldChar w:fldCharType="end"/>
          </w:r>
          <w:r>
            <w:fldChar w:fldCharType="end"/>
          </w:r>
        </w:p>
        <w:p w14:paraId="6C1D62A1">
          <w:pPr>
            <w:pStyle w:val="9"/>
            <w:tabs>
              <w:tab w:val="right" w:leader="dot" w:pos="8296"/>
            </w:tabs>
            <w:rPr>
              <w:rFonts w:asciiTheme="minorHAnsi" w:hAnsiTheme="minorHAnsi" w:eastAsiaTheme="minorEastAsia" w:cstheme="minorBidi"/>
              <w:szCs w:val="22"/>
            </w:rPr>
          </w:pPr>
          <w:r>
            <w:fldChar w:fldCharType="begin"/>
          </w:r>
          <w:r>
            <w:instrText xml:space="preserve"> HYPERLINK \l "_Toc491963087" </w:instrText>
          </w:r>
          <w:r>
            <w:fldChar w:fldCharType="separate"/>
          </w:r>
          <w:r>
            <w:rPr>
              <w:rStyle w:val="15"/>
              <w:rFonts w:ascii="宋体" w:hAnsi="宋体"/>
              <w:b/>
            </w:rPr>
            <w:t>5</w:t>
          </w:r>
          <w:r>
            <w:rPr>
              <w:rStyle w:val="15"/>
              <w:rFonts w:hint="eastAsia" w:ascii="宋体" w:hAnsi="宋体"/>
              <w:b/>
            </w:rPr>
            <w:t>、清算情况</w:t>
          </w:r>
          <w:r>
            <w:tab/>
          </w:r>
          <w:r>
            <w:fldChar w:fldCharType="begin"/>
          </w:r>
          <w:r>
            <w:instrText xml:space="preserve"> PAGEREF _Toc491963087 \h </w:instrText>
          </w:r>
          <w:r>
            <w:fldChar w:fldCharType="separate"/>
          </w:r>
          <w:r>
            <w:t>8</w:t>
          </w:r>
          <w:r>
            <w:fldChar w:fldCharType="end"/>
          </w:r>
          <w:r>
            <w:fldChar w:fldCharType="end"/>
          </w:r>
        </w:p>
        <w:p w14:paraId="121D593B">
          <w:pPr>
            <w:pStyle w:val="10"/>
            <w:tabs>
              <w:tab w:val="right" w:leader="dot" w:pos="8296"/>
            </w:tabs>
            <w:rPr>
              <w:rFonts w:asciiTheme="minorHAnsi" w:hAnsiTheme="minorHAnsi" w:eastAsiaTheme="minorEastAsia" w:cstheme="minorBidi"/>
              <w:szCs w:val="22"/>
            </w:rPr>
          </w:pPr>
          <w:r>
            <w:fldChar w:fldCharType="begin"/>
          </w:r>
          <w:r>
            <w:instrText xml:space="preserve"> HYPERLINK \l "_Toc491963088" </w:instrText>
          </w:r>
          <w:r>
            <w:fldChar w:fldCharType="separate"/>
          </w:r>
          <w:r>
            <w:rPr>
              <w:rStyle w:val="15"/>
              <w:rFonts w:ascii="宋体" w:hAnsi="宋体"/>
              <w:kern w:val="0"/>
            </w:rPr>
            <w:t xml:space="preserve">5.1 </w:t>
          </w:r>
          <w:r>
            <w:rPr>
              <w:rStyle w:val="15"/>
              <w:rFonts w:hint="eastAsia" w:ascii="宋体" w:hAnsi="宋体"/>
              <w:kern w:val="0"/>
            </w:rPr>
            <w:t>资产负债清算情况</w:t>
          </w:r>
          <w:r>
            <w:tab/>
          </w:r>
          <w:r>
            <w:fldChar w:fldCharType="begin"/>
          </w:r>
          <w:r>
            <w:instrText xml:space="preserve"> PAGEREF _Toc491963088 \h </w:instrText>
          </w:r>
          <w:r>
            <w:fldChar w:fldCharType="separate"/>
          </w:r>
          <w:r>
            <w:t>8</w:t>
          </w:r>
          <w:r>
            <w:fldChar w:fldCharType="end"/>
          </w:r>
          <w:r>
            <w:fldChar w:fldCharType="end"/>
          </w:r>
        </w:p>
        <w:p w14:paraId="7861E806">
          <w:pPr>
            <w:pStyle w:val="10"/>
            <w:tabs>
              <w:tab w:val="right" w:leader="dot" w:pos="8296"/>
            </w:tabs>
            <w:rPr>
              <w:rFonts w:asciiTheme="minorHAnsi" w:hAnsiTheme="minorHAnsi" w:eastAsiaTheme="minorEastAsia" w:cstheme="minorBidi"/>
              <w:szCs w:val="22"/>
            </w:rPr>
          </w:pPr>
          <w:r>
            <w:fldChar w:fldCharType="begin"/>
          </w:r>
          <w:r>
            <w:instrText xml:space="preserve"> HYPERLINK \l "_Toc491963089" </w:instrText>
          </w:r>
          <w:r>
            <w:fldChar w:fldCharType="separate"/>
          </w:r>
          <w:r>
            <w:rPr>
              <w:rStyle w:val="15"/>
              <w:rFonts w:ascii="宋体" w:hAnsi="宋体"/>
              <w:kern w:val="0"/>
            </w:rPr>
            <w:t xml:space="preserve">5.2 </w:t>
          </w:r>
          <w:r>
            <w:rPr>
              <w:rStyle w:val="15"/>
              <w:rFonts w:hint="eastAsia" w:ascii="宋体" w:hAnsi="宋体"/>
              <w:kern w:val="0"/>
            </w:rPr>
            <w:t>截至本次清算期结束日的剩余财产情况及剩余财产分配安排</w:t>
          </w:r>
          <w:r>
            <w:tab/>
          </w:r>
          <w:r>
            <w:fldChar w:fldCharType="begin"/>
          </w:r>
          <w:r>
            <w:instrText xml:space="preserve"> PAGEREF _Toc491963089 \h </w:instrText>
          </w:r>
          <w:r>
            <w:fldChar w:fldCharType="separate"/>
          </w:r>
          <w:r>
            <w:t>9</w:t>
          </w:r>
          <w:r>
            <w:fldChar w:fldCharType="end"/>
          </w:r>
          <w:r>
            <w:fldChar w:fldCharType="end"/>
          </w:r>
        </w:p>
        <w:p w14:paraId="13A61AEF">
          <w:pPr>
            <w:pStyle w:val="9"/>
            <w:tabs>
              <w:tab w:val="right" w:leader="dot" w:pos="8296"/>
            </w:tabs>
            <w:rPr>
              <w:rFonts w:asciiTheme="minorHAnsi" w:hAnsiTheme="minorHAnsi" w:eastAsiaTheme="minorEastAsia" w:cstheme="minorBidi"/>
              <w:szCs w:val="22"/>
            </w:rPr>
          </w:pPr>
          <w:r>
            <w:fldChar w:fldCharType="begin"/>
          </w:r>
          <w:r>
            <w:instrText xml:space="preserve"> HYPERLINK \l "_Toc491963090" </w:instrText>
          </w:r>
          <w:r>
            <w:fldChar w:fldCharType="separate"/>
          </w:r>
          <w:r>
            <w:rPr>
              <w:rStyle w:val="15"/>
              <w:rFonts w:ascii="宋体" w:hAnsi="宋体"/>
              <w:b/>
            </w:rPr>
            <w:t>6</w:t>
          </w:r>
          <w:r>
            <w:rPr>
              <w:rStyle w:val="15"/>
              <w:rFonts w:hint="eastAsia" w:ascii="宋体" w:hAnsi="宋体"/>
              <w:b/>
            </w:rPr>
            <w:t>、备查文件目录</w:t>
          </w:r>
          <w:r>
            <w:tab/>
          </w:r>
          <w:r>
            <w:fldChar w:fldCharType="begin"/>
          </w:r>
          <w:r>
            <w:instrText xml:space="preserve"> PAGEREF _Toc491963090 \h </w:instrText>
          </w:r>
          <w:r>
            <w:fldChar w:fldCharType="separate"/>
          </w:r>
          <w:r>
            <w:t>9</w:t>
          </w:r>
          <w:r>
            <w:fldChar w:fldCharType="end"/>
          </w:r>
          <w:r>
            <w:fldChar w:fldCharType="end"/>
          </w:r>
        </w:p>
        <w:p w14:paraId="3BFE1930">
          <w:pPr>
            <w:pStyle w:val="10"/>
            <w:tabs>
              <w:tab w:val="right" w:leader="dot" w:pos="8296"/>
            </w:tabs>
            <w:rPr>
              <w:rFonts w:asciiTheme="minorHAnsi" w:hAnsiTheme="minorHAnsi" w:eastAsiaTheme="minorEastAsia" w:cstheme="minorBidi"/>
              <w:szCs w:val="22"/>
            </w:rPr>
          </w:pPr>
          <w:r>
            <w:fldChar w:fldCharType="begin"/>
          </w:r>
          <w:r>
            <w:instrText xml:space="preserve"> HYPERLINK \l "_Toc491963091" </w:instrText>
          </w:r>
          <w:r>
            <w:fldChar w:fldCharType="separate"/>
          </w:r>
          <w:r>
            <w:rPr>
              <w:rStyle w:val="15"/>
              <w:rFonts w:ascii="宋体" w:hAnsi="宋体"/>
              <w:kern w:val="0"/>
            </w:rPr>
            <w:t xml:space="preserve">6.1 </w:t>
          </w:r>
          <w:r>
            <w:rPr>
              <w:rStyle w:val="15"/>
              <w:rFonts w:hint="eastAsia" w:ascii="宋体" w:hAnsi="宋体"/>
              <w:kern w:val="0"/>
            </w:rPr>
            <w:t>备查文件目录</w:t>
          </w:r>
          <w:r>
            <w:tab/>
          </w:r>
          <w:r>
            <w:fldChar w:fldCharType="begin"/>
          </w:r>
          <w:r>
            <w:instrText xml:space="preserve"> PAGEREF _Toc491963091 \h </w:instrText>
          </w:r>
          <w:r>
            <w:fldChar w:fldCharType="separate"/>
          </w:r>
          <w:r>
            <w:t>9</w:t>
          </w:r>
          <w:r>
            <w:fldChar w:fldCharType="end"/>
          </w:r>
          <w:r>
            <w:fldChar w:fldCharType="end"/>
          </w:r>
        </w:p>
        <w:p w14:paraId="31274EC9">
          <w:pPr>
            <w:pStyle w:val="10"/>
            <w:tabs>
              <w:tab w:val="right" w:leader="dot" w:pos="8296"/>
            </w:tabs>
            <w:rPr>
              <w:rFonts w:asciiTheme="minorHAnsi" w:hAnsiTheme="minorHAnsi" w:eastAsiaTheme="minorEastAsia" w:cstheme="minorBidi"/>
              <w:szCs w:val="22"/>
            </w:rPr>
          </w:pPr>
          <w:r>
            <w:fldChar w:fldCharType="begin"/>
          </w:r>
          <w:r>
            <w:instrText xml:space="preserve"> HYPERLINK \l "_Toc491963092" </w:instrText>
          </w:r>
          <w:r>
            <w:fldChar w:fldCharType="separate"/>
          </w:r>
          <w:r>
            <w:rPr>
              <w:rStyle w:val="15"/>
              <w:rFonts w:ascii="宋体" w:hAnsi="宋体"/>
              <w:kern w:val="0"/>
            </w:rPr>
            <w:t xml:space="preserve">6.2 </w:t>
          </w:r>
          <w:r>
            <w:rPr>
              <w:rStyle w:val="15"/>
              <w:rFonts w:hint="eastAsia" w:ascii="宋体" w:hAnsi="宋体"/>
              <w:kern w:val="0"/>
            </w:rPr>
            <w:t>存放地点</w:t>
          </w:r>
          <w:r>
            <w:tab/>
          </w:r>
          <w:r>
            <w:fldChar w:fldCharType="begin"/>
          </w:r>
          <w:r>
            <w:instrText xml:space="preserve"> PAGEREF _Toc491963092 \h </w:instrText>
          </w:r>
          <w:r>
            <w:fldChar w:fldCharType="separate"/>
          </w:r>
          <w:r>
            <w:t>10</w:t>
          </w:r>
          <w:r>
            <w:fldChar w:fldCharType="end"/>
          </w:r>
          <w:r>
            <w:fldChar w:fldCharType="end"/>
          </w:r>
        </w:p>
        <w:p w14:paraId="40CD56B3">
          <w:pPr>
            <w:pStyle w:val="10"/>
            <w:tabs>
              <w:tab w:val="right" w:leader="dot" w:pos="8296"/>
            </w:tabs>
            <w:rPr>
              <w:rFonts w:asciiTheme="minorHAnsi" w:hAnsiTheme="minorHAnsi" w:eastAsiaTheme="minorEastAsia" w:cstheme="minorBidi"/>
              <w:szCs w:val="22"/>
            </w:rPr>
          </w:pPr>
          <w:r>
            <w:fldChar w:fldCharType="begin"/>
          </w:r>
          <w:r>
            <w:instrText xml:space="preserve"> HYPERLINK \l "_Toc491963093" </w:instrText>
          </w:r>
          <w:r>
            <w:fldChar w:fldCharType="separate"/>
          </w:r>
          <w:r>
            <w:rPr>
              <w:rStyle w:val="15"/>
              <w:rFonts w:ascii="宋体" w:hAnsi="宋体"/>
              <w:kern w:val="0"/>
            </w:rPr>
            <w:t xml:space="preserve">6.3 </w:t>
          </w:r>
          <w:r>
            <w:rPr>
              <w:rStyle w:val="15"/>
              <w:rFonts w:hint="eastAsia" w:ascii="宋体" w:hAnsi="宋体"/>
              <w:kern w:val="0"/>
            </w:rPr>
            <w:t>查阅方式</w:t>
          </w:r>
          <w:r>
            <w:tab/>
          </w:r>
          <w:r>
            <w:fldChar w:fldCharType="begin"/>
          </w:r>
          <w:r>
            <w:instrText xml:space="preserve"> PAGEREF _Toc491963093 \h </w:instrText>
          </w:r>
          <w:r>
            <w:fldChar w:fldCharType="separate"/>
          </w:r>
          <w:r>
            <w:t>10</w:t>
          </w:r>
          <w:r>
            <w:fldChar w:fldCharType="end"/>
          </w:r>
          <w:r>
            <w:fldChar w:fldCharType="end"/>
          </w:r>
        </w:p>
        <w:p w14:paraId="4A42624C">
          <w:r>
            <w:rPr>
              <w:b/>
              <w:bCs/>
              <w:lang w:val="zh-CN"/>
            </w:rPr>
            <w:fldChar w:fldCharType="end"/>
          </w:r>
        </w:p>
      </w:sdtContent>
    </w:sdt>
    <w:p w14:paraId="32DCBF12">
      <w:pPr>
        <w:widowControl/>
        <w:jc w:val="left"/>
        <w:rPr>
          <w:rStyle w:val="20"/>
          <w:rFonts w:ascii="宋体" w:hAnsi="宋体"/>
        </w:rPr>
      </w:pPr>
      <w:bookmarkStart w:id="3" w:name="_Toc491963077"/>
      <w:r>
        <w:rPr>
          <w:rStyle w:val="20"/>
          <w:rFonts w:ascii="宋体" w:hAnsi="宋体"/>
        </w:rPr>
        <w:br w:type="page"/>
      </w:r>
    </w:p>
    <w:p w14:paraId="25F6CCBC">
      <w:pPr>
        <w:widowControl/>
        <w:jc w:val="center"/>
        <w:rPr>
          <w:rStyle w:val="20"/>
          <w:rFonts w:ascii="宋体" w:hAnsi="宋体"/>
        </w:rPr>
        <w:sectPr>
          <w:headerReference r:id="rId5" w:type="default"/>
          <w:pgSz w:w="11906" w:h="16838"/>
          <w:pgMar w:top="1440" w:right="1800" w:bottom="1440" w:left="1800" w:header="851" w:footer="992" w:gutter="0"/>
          <w:pgNumType w:start="1"/>
          <w:cols w:space="425" w:num="1"/>
          <w:docGrid w:type="lines" w:linePitch="312" w:charSpace="0"/>
        </w:sectPr>
      </w:pPr>
    </w:p>
    <w:p w14:paraId="35C7C301">
      <w:pPr>
        <w:widowControl/>
        <w:jc w:val="center"/>
        <w:rPr>
          <w:rStyle w:val="20"/>
          <w:rFonts w:ascii="宋体" w:hAnsi="宋体"/>
        </w:rPr>
      </w:pPr>
      <w:r>
        <w:rPr>
          <w:rStyle w:val="20"/>
          <w:rFonts w:hint="eastAsia" w:ascii="宋体" w:hAnsi="宋体"/>
        </w:rPr>
        <w:t>1、重要提示</w:t>
      </w:r>
      <w:bookmarkEnd w:id="2"/>
      <w:bookmarkEnd w:id="3"/>
    </w:p>
    <w:p w14:paraId="0730B4DA">
      <w:pPr>
        <w:pStyle w:val="3"/>
        <w:spacing w:before="0" w:after="0"/>
        <w:rPr>
          <w:rFonts w:ascii="宋体" w:hAnsi="宋体" w:eastAsia="宋体"/>
          <w:kern w:val="0"/>
          <w:sz w:val="21"/>
          <w:szCs w:val="21"/>
        </w:rPr>
      </w:pPr>
      <w:bookmarkStart w:id="4" w:name="_Toc484607300"/>
      <w:bookmarkStart w:id="5" w:name="_Toc483396827"/>
      <w:bookmarkStart w:id="6" w:name="_Toc491963078"/>
      <w:bookmarkStart w:id="7" w:name="_Toc484769795"/>
      <w:r>
        <w:rPr>
          <w:rFonts w:hint="eastAsia" w:ascii="宋体" w:hAnsi="宋体" w:eastAsia="宋体"/>
          <w:kern w:val="0"/>
          <w:sz w:val="21"/>
          <w:szCs w:val="21"/>
        </w:rPr>
        <w:t>1</w:t>
      </w:r>
      <w:r>
        <w:rPr>
          <w:rFonts w:ascii="宋体" w:hAnsi="宋体" w:eastAsia="宋体"/>
          <w:kern w:val="0"/>
          <w:sz w:val="21"/>
          <w:szCs w:val="21"/>
        </w:rPr>
        <w:t>.1</w:t>
      </w:r>
      <w:r>
        <w:rPr>
          <w:rFonts w:hint="eastAsia" w:ascii="宋体" w:hAnsi="宋体" w:eastAsia="宋体"/>
          <w:kern w:val="0"/>
          <w:sz w:val="21"/>
          <w:szCs w:val="21"/>
        </w:rPr>
        <w:t xml:space="preserve"> 重要提示</w:t>
      </w:r>
      <w:bookmarkEnd w:id="4"/>
      <w:bookmarkEnd w:id="5"/>
      <w:bookmarkEnd w:id="6"/>
      <w:bookmarkEnd w:id="7"/>
    </w:p>
    <w:p w14:paraId="7BA93D29">
      <w:pPr>
        <w:spacing w:line="360" w:lineRule="auto"/>
        <w:ind w:firstLine="420" w:firstLineChars="200"/>
        <w:rPr>
          <w:rFonts w:hint="eastAsia"/>
          <w:szCs w:val="21"/>
        </w:rPr>
      </w:pPr>
      <w:r>
        <w:rPr>
          <w:rFonts w:hint="eastAsia"/>
          <w:szCs w:val="21"/>
        </w:rPr>
        <w:t>博时安仁一年定期开放债券型发起式证券投资基金（以下简称“本基金”）是由博时安仁一年定期开放债券型证券投资基金（以下简称“原基金”）转型而来。原基金经中国证券监督管理委员会（以下简称“中国证监会”）证监许可[2016]1174号《关于准予博时安仁一年定期开放债券型证券投资基金注册的批复》注册，于2016年6月24日成立并正式运作。经中国证监会证监许可[2019]2347号文准予变更注册，根据原基金基金份额持有人大会表决通过的《博时安仁一年定期开放债券型证券投资基金转型有关事项的议案》，经向中国证监会备案，自2020年9月9日起，《博时安仁一年定期开放债券型证券投资基金基金合同》失效且《博时安仁一年定期开放债券型发起式证券投资基金基金合同》同时生效，博时安仁一年定期开放债券型证券投资基金正式变更为博时安仁一年定期开放债券型发起式证券投资基金。</w:t>
      </w:r>
    </w:p>
    <w:p w14:paraId="08C660D5">
      <w:pPr>
        <w:spacing w:line="360" w:lineRule="auto"/>
        <w:ind w:firstLine="420" w:firstLineChars="200"/>
        <w:rPr>
          <w:rFonts w:hint="eastAsia"/>
          <w:szCs w:val="21"/>
        </w:rPr>
      </w:pPr>
      <w:r>
        <w:rPr>
          <w:rFonts w:hint="eastAsia"/>
          <w:szCs w:val="21"/>
        </w:rPr>
        <w:t>根据《博时安仁一年定期开放债券型发起式证券投资基金基金合同》及基金管理人博时基金管理有限公司于2026年</w:t>
      </w:r>
      <w:r>
        <w:rPr>
          <w:rFonts w:hint="eastAsia"/>
          <w:szCs w:val="21"/>
          <w:lang w:val="en-US" w:eastAsia="zh-CN"/>
        </w:rPr>
        <w:t>4</w:t>
      </w:r>
      <w:r>
        <w:rPr>
          <w:rFonts w:hint="eastAsia"/>
          <w:szCs w:val="21"/>
        </w:rPr>
        <w:t>月</w:t>
      </w:r>
      <w:r>
        <w:rPr>
          <w:rFonts w:hint="eastAsia"/>
          <w:szCs w:val="21"/>
          <w:lang w:val="en-US" w:eastAsia="zh-CN"/>
        </w:rPr>
        <w:t>10</w:t>
      </w:r>
      <w:r>
        <w:rPr>
          <w:rFonts w:hint="eastAsia"/>
          <w:szCs w:val="21"/>
        </w:rPr>
        <w:t>日发布的《博时基金管理有限公司关于博时安仁一年定期开放债券型发起式证券投资基金基金合同终止及基金财产清算的公告》，本基金在基金合同生效之日起或发起资金申购本基金确认日之日起（以较晚者为准）三年后继续存续的，基金存续期内，连续</w:t>
      </w:r>
      <w:r>
        <w:rPr>
          <w:rFonts w:hint="eastAsia"/>
          <w:szCs w:val="21"/>
          <w:lang w:val="en-US" w:eastAsia="zh-CN"/>
        </w:rPr>
        <w:t>二十</w:t>
      </w:r>
      <w:r>
        <w:rPr>
          <w:rFonts w:hint="eastAsia"/>
          <w:szCs w:val="21"/>
        </w:rPr>
        <w:t>个工作日出现基金资产净值低于</w:t>
      </w:r>
      <w:r>
        <w:rPr>
          <w:rFonts w:hint="eastAsia"/>
          <w:szCs w:val="21"/>
          <w:lang w:val="en-US" w:eastAsia="zh-CN"/>
        </w:rPr>
        <w:t>五千</w:t>
      </w:r>
      <w:r>
        <w:rPr>
          <w:rFonts w:hint="eastAsia"/>
          <w:szCs w:val="21"/>
        </w:rPr>
        <w:t>万元情形的，基金管理人应当在定期报告中予以披露。连续五十个工作日出现</w:t>
      </w:r>
      <w:r>
        <w:rPr>
          <w:rFonts w:hint="eastAsia"/>
          <w:szCs w:val="21"/>
          <w:lang w:val="en-US" w:eastAsia="zh-CN"/>
        </w:rPr>
        <w:t>前述情形</w:t>
      </w:r>
      <w:r>
        <w:rPr>
          <w:rFonts w:hint="eastAsia"/>
          <w:szCs w:val="21"/>
        </w:rPr>
        <w:t>，本基金将根据基金合同的约定进行基金财产清算并终止，且无需召开基金份额持有人大会，同时基金管理人应履行相关的监管报告和信息披露程序</w:t>
      </w:r>
      <w:r>
        <w:rPr>
          <w:rFonts w:hint="eastAsia"/>
          <w:szCs w:val="21"/>
          <w:lang w:eastAsia="zh-CN"/>
        </w:rPr>
        <w:t>。</w:t>
      </w:r>
      <w:r>
        <w:rPr>
          <w:rFonts w:hint="eastAsia"/>
          <w:szCs w:val="21"/>
        </w:rPr>
        <w:t>法律法规或中国证监会另有规定时，从其规定。截至2026年4月9日，本基金出现连续五十个工作日基金资产净值低于五千万元的情形，已触发《基金合同》中约定的基金终止条款。根据基金合同有关约定，博时基金管理有限公司应依据基金财产清算程序对本基金进行财产清算并终止基金合同，且无需召开基金份额持有人大会。</w:t>
      </w:r>
    </w:p>
    <w:p w14:paraId="062B314B">
      <w:pPr>
        <w:spacing w:line="360" w:lineRule="auto"/>
        <w:ind w:firstLine="420" w:firstLineChars="200"/>
        <w:rPr>
          <w:rFonts w:hint="eastAsia"/>
          <w:szCs w:val="21"/>
        </w:rPr>
      </w:pPr>
      <w:r>
        <w:rPr>
          <w:rFonts w:hint="eastAsia"/>
          <w:szCs w:val="21"/>
          <w:lang w:val="en-US" w:eastAsia="zh-CN"/>
        </w:rPr>
        <w:t>本基金的最后运作日为2026年4月9日，并于2026年4月10日进入基金财产清算程序。</w:t>
      </w:r>
      <w:r>
        <w:rPr>
          <w:rFonts w:hint="eastAsia"/>
          <w:szCs w:val="21"/>
        </w:rPr>
        <w:t>由本基金管理人博时基金管理有限公司、基金托管人中国民生银行股份有限公司、</w:t>
      </w:r>
      <w:r>
        <w:rPr>
          <w:rFonts w:hint="eastAsia"/>
          <w:szCs w:val="21"/>
          <w:lang w:val="en-US" w:eastAsia="zh-CN"/>
        </w:rPr>
        <w:t>容诚</w:t>
      </w:r>
      <w:r>
        <w:rPr>
          <w:rFonts w:hint="eastAsia"/>
          <w:szCs w:val="21"/>
        </w:rPr>
        <w:t>会计师事务所（特殊普通合伙）和</w:t>
      </w:r>
      <w:r>
        <w:rPr>
          <w:rFonts w:hint="eastAsia"/>
          <w:szCs w:val="21"/>
          <w:lang w:eastAsia="zh-Hans"/>
        </w:rPr>
        <w:t>上海源泰律师事务所</w:t>
      </w:r>
      <w:r>
        <w:rPr>
          <w:rFonts w:hint="eastAsia"/>
          <w:szCs w:val="21"/>
        </w:rPr>
        <w:t>组成基金财产清算小组履行基金财产清算程序，并由</w:t>
      </w:r>
      <w:r>
        <w:rPr>
          <w:rFonts w:hint="eastAsia"/>
          <w:szCs w:val="21"/>
          <w:lang w:val="en-US" w:eastAsia="zh-CN"/>
        </w:rPr>
        <w:t>容诚</w:t>
      </w:r>
      <w:r>
        <w:rPr>
          <w:rFonts w:hint="eastAsia"/>
          <w:szCs w:val="21"/>
        </w:rPr>
        <w:t>会计师事务所（特殊普通合伙）对本基金进行清算审计，</w:t>
      </w:r>
      <w:r>
        <w:rPr>
          <w:rFonts w:hint="eastAsia"/>
          <w:szCs w:val="21"/>
          <w:lang w:eastAsia="zh-Hans"/>
        </w:rPr>
        <w:t>上海源泰律师事务所</w:t>
      </w:r>
      <w:r>
        <w:rPr>
          <w:rFonts w:hint="eastAsia"/>
          <w:szCs w:val="21"/>
        </w:rPr>
        <w:t>对清算报告出具法律意见。</w:t>
      </w:r>
    </w:p>
    <w:p w14:paraId="5D09D6C3">
      <w:pPr>
        <w:pStyle w:val="2"/>
        <w:keepNext/>
        <w:keepLines/>
        <w:widowControl w:val="0"/>
        <w:spacing w:before="312" w:beforeLines="100" w:after="312" w:afterLines="100" w:line="360" w:lineRule="auto"/>
        <w:jc w:val="center"/>
        <w:rPr>
          <w:rStyle w:val="20"/>
          <w:rFonts w:ascii="宋体" w:hAnsi="宋体"/>
        </w:rPr>
      </w:pPr>
      <w:bookmarkStart w:id="8" w:name="_Toc484769796"/>
      <w:bookmarkStart w:id="9" w:name="_Toc491963079"/>
      <w:r>
        <w:rPr>
          <w:rStyle w:val="20"/>
          <w:rFonts w:ascii="宋体" w:hAnsi="宋体"/>
        </w:rPr>
        <w:t>2</w:t>
      </w:r>
      <w:r>
        <w:rPr>
          <w:rStyle w:val="20"/>
          <w:rFonts w:hint="eastAsia" w:ascii="宋体" w:hAnsi="宋体"/>
        </w:rPr>
        <w:t>、</w:t>
      </w:r>
      <w:r>
        <w:rPr>
          <w:rStyle w:val="20"/>
          <w:rFonts w:ascii="宋体" w:hAnsi="宋体"/>
        </w:rPr>
        <w:t>基金</w:t>
      </w:r>
      <w:r>
        <w:rPr>
          <w:rStyle w:val="20"/>
          <w:rFonts w:hint="eastAsia" w:ascii="宋体" w:hAnsi="宋体"/>
        </w:rPr>
        <w:t>概况</w:t>
      </w:r>
      <w:bookmarkEnd w:id="8"/>
      <w:bookmarkEnd w:id="9"/>
    </w:p>
    <w:p w14:paraId="20E434BD">
      <w:pPr>
        <w:pStyle w:val="3"/>
        <w:spacing w:before="0" w:after="0"/>
        <w:rPr>
          <w:rFonts w:ascii="宋体" w:hAnsi="宋体" w:eastAsia="宋体"/>
          <w:kern w:val="0"/>
          <w:sz w:val="21"/>
          <w:szCs w:val="21"/>
        </w:rPr>
      </w:pPr>
      <w:bookmarkStart w:id="10" w:name="_Toc409100044"/>
      <w:bookmarkStart w:id="11" w:name="_Toc361324845"/>
      <w:bookmarkStart w:id="12" w:name="_Toc484607302"/>
      <w:bookmarkStart w:id="13" w:name="_Toc491963080"/>
      <w:bookmarkStart w:id="14" w:name="_Toc476577246"/>
      <w:bookmarkStart w:id="15" w:name="_Toc409100407"/>
      <w:bookmarkStart w:id="16" w:name="_Toc483396829"/>
      <w:bookmarkStart w:id="17" w:name="_Toc484769797"/>
      <w:r>
        <w:rPr>
          <w:rFonts w:ascii="宋体" w:hAnsi="宋体" w:eastAsia="宋体"/>
          <w:kern w:val="0"/>
          <w:sz w:val="21"/>
          <w:szCs w:val="21"/>
        </w:rPr>
        <w:t>2.1</w:t>
      </w:r>
      <w:r>
        <w:rPr>
          <w:rFonts w:hint="eastAsia" w:ascii="宋体" w:hAnsi="宋体" w:eastAsia="宋体"/>
          <w:kern w:val="0"/>
          <w:sz w:val="21"/>
          <w:szCs w:val="21"/>
        </w:rPr>
        <w:t xml:space="preserve"> </w:t>
      </w:r>
      <w:r>
        <w:rPr>
          <w:rFonts w:ascii="宋体" w:hAnsi="宋体" w:eastAsia="宋体"/>
          <w:kern w:val="0"/>
          <w:sz w:val="21"/>
          <w:szCs w:val="21"/>
        </w:rPr>
        <w:t>基金基本情况</w:t>
      </w:r>
      <w:bookmarkEnd w:id="10"/>
      <w:bookmarkEnd w:id="11"/>
      <w:bookmarkEnd w:id="12"/>
      <w:bookmarkEnd w:id="13"/>
      <w:bookmarkEnd w:id="14"/>
      <w:bookmarkEnd w:id="15"/>
      <w:bookmarkEnd w:id="16"/>
      <w:bookmarkEnd w:id="17"/>
    </w:p>
    <w:tbl>
      <w:tblPr>
        <w:tblStyle w:val="1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2"/>
        <w:gridCol w:w="2714"/>
        <w:gridCol w:w="2716"/>
      </w:tblGrid>
      <w:tr w14:paraId="3BCEB5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814" w:type="pct"/>
            <w:vAlign w:val="center"/>
          </w:tcPr>
          <w:p w14:paraId="38ED7289">
            <w:pPr>
              <w:pStyle w:val="36"/>
              <w:rPr>
                <w:rFonts w:ascii="Times New Roman" w:hAnsi="Times New Roman" w:eastAsiaTheme="minorEastAsia"/>
              </w:rPr>
            </w:pPr>
            <w:r>
              <w:rPr>
                <w:rFonts w:ascii="Times New Roman" w:hAnsi="Times New Roman" w:eastAsiaTheme="minorEastAsia"/>
              </w:rPr>
              <w:t>基金名称</w:t>
            </w:r>
          </w:p>
        </w:tc>
        <w:tc>
          <w:tcPr>
            <w:tcW w:w="3185" w:type="pct"/>
            <w:gridSpan w:val="2"/>
            <w:vAlign w:val="center"/>
          </w:tcPr>
          <w:p w14:paraId="0D87BB52">
            <w:pPr>
              <w:pStyle w:val="36"/>
              <w:rPr>
                <w:rFonts w:ascii="Times New Roman" w:hAnsi="Times New Roman" w:eastAsiaTheme="minorEastAsia"/>
              </w:rPr>
            </w:pPr>
            <w:r>
              <w:rPr>
                <w:rFonts w:ascii="Times New Roman" w:hAnsi="Times New Roman" w:eastAsiaTheme="minorEastAsia"/>
              </w:rPr>
              <w:t>博时安仁一年定期开放债券型发起式证券投资基金</w:t>
            </w:r>
          </w:p>
        </w:tc>
      </w:tr>
      <w:tr w14:paraId="2E1418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814" w:type="pct"/>
            <w:vAlign w:val="center"/>
          </w:tcPr>
          <w:p w14:paraId="4DE4DD85">
            <w:pPr>
              <w:pStyle w:val="36"/>
              <w:rPr>
                <w:rFonts w:ascii="Times New Roman" w:hAnsi="Times New Roman" w:eastAsiaTheme="minorEastAsia"/>
              </w:rPr>
            </w:pPr>
            <w:r>
              <w:rPr>
                <w:rFonts w:ascii="Times New Roman" w:hAnsi="Times New Roman" w:eastAsiaTheme="minorEastAsia"/>
              </w:rPr>
              <w:t>基金简称</w:t>
            </w:r>
          </w:p>
        </w:tc>
        <w:tc>
          <w:tcPr>
            <w:tcW w:w="3185" w:type="pct"/>
            <w:gridSpan w:val="2"/>
            <w:vAlign w:val="center"/>
          </w:tcPr>
          <w:p w14:paraId="4C2A45EE">
            <w:pPr>
              <w:pStyle w:val="36"/>
              <w:rPr>
                <w:rFonts w:ascii="Times New Roman" w:hAnsi="Times New Roman" w:eastAsiaTheme="minorEastAsia"/>
              </w:rPr>
            </w:pPr>
            <w:r>
              <w:rPr>
                <w:rFonts w:ascii="Times New Roman" w:hAnsi="Times New Roman" w:eastAsiaTheme="minorEastAsia"/>
              </w:rPr>
              <w:t>博时安仁一年定开债发起式</w:t>
            </w:r>
          </w:p>
        </w:tc>
      </w:tr>
      <w:tr w14:paraId="0CBA4E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814" w:type="pct"/>
            <w:vAlign w:val="center"/>
          </w:tcPr>
          <w:p w14:paraId="2730658A">
            <w:pPr>
              <w:pStyle w:val="36"/>
              <w:rPr>
                <w:rFonts w:ascii="Times New Roman" w:hAnsi="Times New Roman" w:eastAsiaTheme="minorEastAsia"/>
              </w:rPr>
            </w:pPr>
            <w:r>
              <w:rPr>
                <w:rFonts w:ascii="Times New Roman" w:hAnsi="Times New Roman" w:eastAsiaTheme="minorEastAsia"/>
              </w:rPr>
              <w:t>基金主代码</w:t>
            </w:r>
          </w:p>
        </w:tc>
        <w:tc>
          <w:tcPr>
            <w:tcW w:w="3185" w:type="pct"/>
            <w:gridSpan w:val="2"/>
            <w:vAlign w:val="center"/>
          </w:tcPr>
          <w:p w14:paraId="307B9F58">
            <w:pPr>
              <w:pStyle w:val="36"/>
              <w:rPr>
                <w:rFonts w:ascii="Times New Roman" w:hAnsi="Times New Roman" w:eastAsiaTheme="minorEastAsia"/>
              </w:rPr>
            </w:pPr>
            <w:r>
              <w:rPr>
                <w:rFonts w:ascii="Times New Roman" w:hAnsi="Times New Roman" w:eastAsiaTheme="minorEastAsia"/>
              </w:rPr>
              <w:t>002904</w:t>
            </w:r>
          </w:p>
        </w:tc>
      </w:tr>
      <w:tr w14:paraId="67F7B5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814" w:type="pct"/>
            <w:vAlign w:val="center"/>
          </w:tcPr>
          <w:p w14:paraId="4538AB59">
            <w:pPr>
              <w:pStyle w:val="36"/>
              <w:rPr>
                <w:rFonts w:ascii="Times New Roman" w:hAnsi="Times New Roman" w:eastAsiaTheme="minorEastAsia"/>
              </w:rPr>
            </w:pPr>
            <w:r>
              <w:rPr>
                <w:rFonts w:ascii="Times New Roman" w:hAnsi="Times New Roman" w:eastAsiaTheme="minorEastAsia"/>
              </w:rPr>
              <w:t>交易代码</w:t>
            </w:r>
          </w:p>
        </w:tc>
        <w:tc>
          <w:tcPr>
            <w:tcW w:w="3185" w:type="pct"/>
            <w:gridSpan w:val="2"/>
            <w:vAlign w:val="center"/>
          </w:tcPr>
          <w:p w14:paraId="2E8B9DA3">
            <w:pPr>
              <w:pStyle w:val="36"/>
              <w:rPr>
                <w:rFonts w:ascii="Times New Roman" w:hAnsi="Times New Roman" w:eastAsiaTheme="minorEastAsia"/>
              </w:rPr>
            </w:pPr>
            <w:r>
              <w:rPr>
                <w:rFonts w:ascii="Times New Roman" w:hAnsi="Times New Roman" w:eastAsiaTheme="minorEastAsia"/>
              </w:rPr>
              <w:t>002904</w:t>
            </w:r>
          </w:p>
        </w:tc>
      </w:tr>
      <w:tr w14:paraId="01EE4E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814" w:type="pct"/>
            <w:vAlign w:val="center"/>
          </w:tcPr>
          <w:p w14:paraId="0EF09DB4">
            <w:pPr>
              <w:pStyle w:val="36"/>
              <w:rPr>
                <w:rFonts w:ascii="Times New Roman" w:hAnsi="Times New Roman" w:eastAsiaTheme="minorEastAsia"/>
              </w:rPr>
            </w:pPr>
            <w:r>
              <w:rPr>
                <w:rFonts w:ascii="Times New Roman" w:hAnsi="Times New Roman" w:eastAsiaTheme="minorEastAsia"/>
              </w:rPr>
              <w:t>基金运作方式</w:t>
            </w:r>
          </w:p>
        </w:tc>
        <w:tc>
          <w:tcPr>
            <w:tcW w:w="3185" w:type="pct"/>
            <w:gridSpan w:val="2"/>
            <w:vAlign w:val="center"/>
          </w:tcPr>
          <w:p w14:paraId="3561DCD1">
            <w:pPr>
              <w:pStyle w:val="36"/>
              <w:rPr>
                <w:rFonts w:ascii="Times New Roman" w:hAnsi="Times New Roman" w:eastAsiaTheme="minorEastAsia"/>
              </w:rPr>
            </w:pPr>
            <w:r>
              <w:rPr>
                <w:rFonts w:ascii="Times New Roman" w:hAnsi="Times New Roman" w:eastAsiaTheme="minorEastAsia"/>
              </w:rPr>
              <w:t>契约型开放式</w:t>
            </w:r>
          </w:p>
        </w:tc>
      </w:tr>
      <w:tr w14:paraId="6B8B2B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814" w:type="pct"/>
            <w:vAlign w:val="center"/>
          </w:tcPr>
          <w:p w14:paraId="5A9A6CAF">
            <w:pPr>
              <w:pStyle w:val="36"/>
              <w:rPr>
                <w:rFonts w:ascii="Times New Roman" w:hAnsi="Times New Roman" w:eastAsiaTheme="minorEastAsia"/>
              </w:rPr>
            </w:pPr>
            <w:r>
              <w:rPr>
                <w:rFonts w:ascii="Times New Roman" w:hAnsi="Times New Roman" w:eastAsiaTheme="minorEastAsia"/>
              </w:rPr>
              <w:t>基金合同生效日</w:t>
            </w:r>
          </w:p>
        </w:tc>
        <w:tc>
          <w:tcPr>
            <w:tcW w:w="3185" w:type="pct"/>
            <w:gridSpan w:val="2"/>
            <w:vAlign w:val="center"/>
          </w:tcPr>
          <w:p w14:paraId="7177FBFA">
            <w:pPr>
              <w:pStyle w:val="36"/>
              <w:rPr>
                <w:rFonts w:ascii="Times New Roman" w:hAnsi="Times New Roman" w:eastAsiaTheme="minorEastAsia"/>
              </w:rPr>
            </w:pPr>
            <w:r>
              <w:rPr>
                <w:rFonts w:ascii="Times New Roman" w:hAnsi="Times New Roman" w:eastAsiaTheme="minorEastAsia"/>
              </w:rPr>
              <w:t>2016年6月24日</w:t>
            </w:r>
          </w:p>
        </w:tc>
      </w:tr>
      <w:tr w14:paraId="0A7826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814" w:type="pct"/>
            <w:vAlign w:val="center"/>
          </w:tcPr>
          <w:p w14:paraId="46E72CA2">
            <w:pPr>
              <w:pStyle w:val="36"/>
              <w:rPr>
                <w:rFonts w:ascii="Times New Roman" w:hAnsi="Times New Roman" w:eastAsiaTheme="minorEastAsia"/>
              </w:rPr>
            </w:pPr>
            <w:r>
              <w:rPr>
                <w:rFonts w:ascii="Times New Roman" w:hAnsi="Times New Roman" w:eastAsiaTheme="minorEastAsia"/>
              </w:rPr>
              <w:t>基金管理人</w:t>
            </w:r>
          </w:p>
        </w:tc>
        <w:tc>
          <w:tcPr>
            <w:tcW w:w="3185" w:type="pct"/>
            <w:gridSpan w:val="2"/>
            <w:vAlign w:val="center"/>
          </w:tcPr>
          <w:p w14:paraId="2C3FF9C5">
            <w:pPr>
              <w:pStyle w:val="36"/>
              <w:rPr>
                <w:rFonts w:ascii="Times New Roman" w:hAnsi="Times New Roman" w:eastAsiaTheme="minorEastAsia"/>
              </w:rPr>
            </w:pPr>
            <w:r>
              <w:rPr>
                <w:rFonts w:ascii="Times New Roman" w:hAnsi="Times New Roman" w:eastAsiaTheme="minorEastAsia"/>
              </w:rPr>
              <w:t>博时基金管理有限公司</w:t>
            </w:r>
          </w:p>
        </w:tc>
      </w:tr>
      <w:tr w14:paraId="344552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814" w:type="pct"/>
            <w:vAlign w:val="center"/>
          </w:tcPr>
          <w:p w14:paraId="4A5ECECA">
            <w:pPr>
              <w:pStyle w:val="36"/>
              <w:rPr>
                <w:rFonts w:ascii="Times New Roman" w:hAnsi="Times New Roman" w:eastAsiaTheme="minorEastAsia"/>
              </w:rPr>
            </w:pPr>
            <w:r>
              <w:rPr>
                <w:rFonts w:ascii="Times New Roman" w:hAnsi="Times New Roman" w:eastAsiaTheme="minorEastAsia"/>
              </w:rPr>
              <w:t>基金托管人</w:t>
            </w:r>
          </w:p>
        </w:tc>
        <w:tc>
          <w:tcPr>
            <w:tcW w:w="3185" w:type="pct"/>
            <w:gridSpan w:val="2"/>
            <w:vAlign w:val="center"/>
          </w:tcPr>
          <w:p w14:paraId="5F76AF5A">
            <w:pPr>
              <w:pStyle w:val="36"/>
              <w:rPr>
                <w:rFonts w:ascii="Times New Roman" w:hAnsi="Times New Roman" w:eastAsiaTheme="minorEastAsia"/>
              </w:rPr>
            </w:pPr>
            <w:r>
              <w:rPr>
                <w:rFonts w:ascii="Times New Roman" w:hAnsi="Times New Roman" w:eastAsiaTheme="minorEastAsia"/>
              </w:rPr>
              <w:t>中国民生银行股份有限公司</w:t>
            </w:r>
          </w:p>
        </w:tc>
      </w:tr>
      <w:tr w14:paraId="24BD0B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814" w:type="pct"/>
            <w:vAlign w:val="center"/>
          </w:tcPr>
          <w:p w14:paraId="0D1E8C44">
            <w:pPr>
              <w:pStyle w:val="36"/>
              <w:rPr>
                <w:rFonts w:ascii="Times New Roman" w:hAnsi="Times New Roman" w:eastAsiaTheme="minorEastAsia"/>
              </w:rPr>
            </w:pPr>
            <w:r>
              <w:rPr>
                <w:rFonts w:hint="eastAsia" w:ascii="Times New Roman" w:hAnsi="Times New Roman" w:eastAsiaTheme="minorEastAsia"/>
                <w:lang w:val="en-US" w:eastAsia="zh-CN"/>
              </w:rPr>
              <w:t>最后运作日</w:t>
            </w:r>
            <w:r>
              <w:rPr>
                <w:rFonts w:ascii="Times New Roman" w:hAnsi="Times New Roman" w:eastAsiaTheme="minorEastAsia"/>
              </w:rPr>
              <w:t>基金份额总额</w:t>
            </w:r>
          </w:p>
        </w:tc>
        <w:tc>
          <w:tcPr>
            <w:tcW w:w="3185" w:type="pct"/>
            <w:gridSpan w:val="2"/>
            <w:vAlign w:val="center"/>
          </w:tcPr>
          <w:p w14:paraId="67F7B3E3">
            <w:pPr>
              <w:pStyle w:val="36"/>
              <w:rPr>
                <w:rFonts w:ascii="Times New Roman" w:hAnsi="Times New Roman" w:eastAsiaTheme="minorEastAsia"/>
              </w:rPr>
            </w:pPr>
            <w:r>
              <w:rPr>
                <w:rFonts w:hint="eastAsia" w:ascii="Times New Roman" w:hAnsi="Times New Roman" w:eastAsiaTheme="minorEastAsia"/>
              </w:rPr>
              <w:t>275,558.28</w:t>
            </w:r>
            <w:r>
              <w:rPr>
                <w:rFonts w:ascii="Times New Roman" w:hAnsi="Times New Roman" w:eastAsiaTheme="minorEastAsia"/>
              </w:rPr>
              <w:t>份</w:t>
            </w:r>
          </w:p>
        </w:tc>
      </w:tr>
      <w:tr w14:paraId="5DA0BD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814" w:type="pct"/>
            <w:vAlign w:val="center"/>
          </w:tcPr>
          <w:p w14:paraId="037290ED">
            <w:pPr>
              <w:pStyle w:val="36"/>
              <w:rPr>
                <w:rFonts w:ascii="Times New Roman" w:hAnsi="Times New Roman" w:eastAsiaTheme="minorEastAsia"/>
              </w:rPr>
            </w:pPr>
            <w:r>
              <w:rPr>
                <w:rFonts w:ascii="Times New Roman" w:hAnsi="Times New Roman" w:eastAsiaTheme="minorEastAsia"/>
              </w:rPr>
              <w:t>基金合同存续期</w:t>
            </w:r>
          </w:p>
        </w:tc>
        <w:tc>
          <w:tcPr>
            <w:tcW w:w="3185" w:type="pct"/>
            <w:gridSpan w:val="2"/>
            <w:vAlign w:val="center"/>
          </w:tcPr>
          <w:p w14:paraId="5D2E8B3E">
            <w:pPr>
              <w:pStyle w:val="36"/>
              <w:rPr>
                <w:rFonts w:ascii="Times New Roman" w:hAnsi="Times New Roman" w:eastAsiaTheme="minorEastAsia"/>
              </w:rPr>
            </w:pPr>
            <w:r>
              <w:rPr>
                <w:rFonts w:ascii="Times New Roman" w:hAnsi="Times New Roman" w:eastAsiaTheme="minorEastAsia"/>
              </w:rPr>
              <w:t>不定期</w:t>
            </w:r>
          </w:p>
        </w:tc>
      </w:tr>
      <w:tr w14:paraId="6A79A2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814" w:type="pct"/>
            <w:vAlign w:val="center"/>
          </w:tcPr>
          <w:p w14:paraId="6A35E355">
            <w:pPr>
              <w:pStyle w:val="36"/>
              <w:rPr>
                <w:rFonts w:ascii="Times New Roman" w:hAnsi="Times New Roman" w:eastAsiaTheme="minorEastAsia"/>
              </w:rPr>
            </w:pPr>
            <w:r>
              <w:rPr>
                <w:rFonts w:ascii="Times New Roman" w:hAnsi="Times New Roman" w:eastAsiaTheme="minorEastAsia"/>
              </w:rPr>
              <w:t>下属分级基金的基金简称</w:t>
            </w:r>
          </w:p>
        </w:tc>
        <w:tc>
          <w:tcPr>
            <w:tcW w:w="1592" w:type="pct"/>
            <w:vAlign w:val="center"/>
          </w:tcPr>
          <w:p w14:paraId="305F35A8">
            <w:pPr>
              <w:pStyle w:val="36"/>
              <w:rPr>
                <w:rFonts w:ascii="Times New Roman" w:hAnsi="Times New Roman" w:eastAsiaTheme="minorEastAsia"/>
              </w:rPr>
            </w:pPr>
            <w:r>
              <w:rPr>
                <w:rFonts w:ascii="Times New Roman" w:hAnsi="Times New Roman" w:eastAsiaTheme="minorEastAsia"/>
              </w:rPr>
              <w:t>博时安仁一年定开债发起式A</w:t>
            </w:r>
          </w:p>
        </w:tc>
        <w:tc>
          <w:tcPr>
            <w:tcW w:w="1593" w:type="pct"/>
            <w:vAlign w:val="center"/>
          </w:tcPr>
          <w:p w14:paraId="4F9A3896">
            <w:pPr>
              <w:pStyle w:val="36"/>
              <w:rPr>
                <w:rFonts w:ascii="Times New Roman" w:hAnsi="Times New Roman" w:eastAsiaTheme="minorEastAsia"/>
              </w:rPr>
            </w:pPr>
            <w:r>
              <w:rPr>
                <w:rFonts w:ascii="Times New Roman" w:hAnsi="Times New Roman" w:eastAsiaTheme="minorEastAsia"/>
              </w:rPr>
              <w:t>博时安仁一年定开债发起式C</w:t>
            </w:r>
          </w:p>
        </w:tc>
      </w:tr>
      <w:tr w14:paraId="3F6EBA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814" w:type="pct"/>
            <w:vAlign w:val="center"/>
          </w:tcPr>
          <w:p w14:paraId="429DFD62">
            <w:pPr>
              <w:pStyle w:val="36"/>
              <w:rPr>
                <w:rFonts w:ascii="Times New Roman" w:hAnsi="Times New Roman" w:eastAsiaTheme="minorEastAsia"/>
              </w:rPr>
            </w:pPr>
            <w:r>
              <w:rPr>
                <w:rFonts w:ascii="Times New Roman" w:hAnsi="Times New Roman" w:eastAsiaTheme="minorEastAsia"/>
              </w:rPr>
              <w:t>下属分级基金的交易代码</w:t>
            </w:r>
          </w:p>
        </w:tc>
        <w:tc>
          <w:tcPr>
            <w:tcW w:w="1592" w:type="pct"/>
            <w:vAlign w:val="center"/>
          </w:tcPr>
          <w:p w14:paraId="420E8147">
            <w:pPr>
              <w:pStyle w:val="36"/>
              <w:rPr>
                <w:rFonts w:ascii="Times New Roman" w:hAnsi="Times New Roman" w:eastAsiaTheme="minorEastAsia"/>
              </w:rPr>
            </w:pPr>
            <w:r>
              <w:rPr>
                <w:rFonts w:ascii="Times New Roman" w:hAnsi="Times New Roman" w:eastAsiaTheme="minorEastAsia"/>
              </w:rPr>
              <w:t>002904</w:t>
            </w:r>
          </w:p>
        </w:tc>
        <w:tc>
          <w:tcPr>
            <w:tcW w:w="1593" w:type="pct"/>
            <w:vAlign w:val="center"/>
          </w:tcPr>
          <w:p w14:paraId="4182511E">
            <w:pPr>
              <w:pStyle w:val="36"/>
              <w:rPr>
                <w:rFonts w:ascii="Times New Roman" w:hAnsi="Times New Roman" w:eastAsiaTheme="minorEastAsia"/>
              </w:rPr>
            </w:pPr>
            <w:r>
              <w:rPr>
                <w:rFonts w:ascii="Times New Roman" w:hAnsi="Times New Roman" w:eastAsiaTheme="minorEastAsia"/>
              </w:rPr>
              <w:t>002905</w:t>
            </w:r>
          </w:p>
        </w:tc>
      </w:tr>
      <w:tr w14:paraId="0EF9A3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814" w:type="pct"/>
            <w:vAlign w:val="center"/>
          </w:tcPr>
          <w:p w14:paraId="1606C7F5">
            <w:pPr>
              <w:pStyle w:val="36"/>
              <w:rPr>
                <w:rFonts w:ascii="Times New Roman" w:hAnsi="Times New Roman" w:eastAsiaTheme="minorEastAsia"/>
              </w:rPr>
            </w:pPr>
            <w:r>
              <w:rPr>
                <w:rFonts w:hint="eastAsia" w:ascii="Times New Roman" w:hAnsi="Times New Roman" w:eastAsiaTheme="minorEastAsia"/>
                <w:lang w:val="en-US" w:eastAsia="zh-CN"/>
              </w:rPr>
              <w:t>最后运作日</w:t>
            </w:r>
            <w:r>
              <w:rPr>
                <w:rFonts w:ascii="Times New Roman" w:hAnsi="Times New Roman" w:eastAsiaTheme="minorEastAsia"/>
              </w:rPr>
              <w:t>下属分级基金的份额总额</w:t>
            </w:r>
          </w:p>
        </w:tc>
        <w:tc>
          <w:tcPr>
            <w:tcW w:w="1592" w:type="pct"/>
            <w:vAlign w:val="center"/>
          </w:tcPr>
          <w:p w14:paraId="1D31C704">
            <w:pPr>
              <w:pStyle w:val="36"/>
              <w:rPr>
                <w:rFonts w:ascii="Times New Roman" w:hAnsi="Times New Roman" w:eastAsiaTheme="minorEastAsia"/>
              </w:rPr>
            </w:pPr>
            <w:r>
              <w:rPr>
                <w:rFonts w:hint="eastAsia" w:ascii="Times New Roman" w:hAnsi="Times New Roman" w:eastAsiaTheme="minorEastAsia"/>
              </w:rPr>
              <w:t>272,175.58</w:t>
            </w:r>
            <w:r>
              <w:rPr>
                <w:rFonts w:ascii="Times New Roman" w:hAnsi="Times New Roman" w:eastAsiaTheme="minorEastAsia"/>
              </w:rPr>
              <w:t>份</w:t>
            </w:r>
          </w:p>
        </w:tc>
        <w:tc>
          <w:tcPr>
            <w:tcW w:w="1593" w:type="pct"/>
            <w:vAlign w:val="center"/>
          </w:tcPr>
          <w:p w14:paraId="19ACA319">
            <w:pPr>
              <w:pStyle w:val="36"/>
              <w:rPr>
                <w:rFonts w:ascii="Times New Roman" w:hAnsi="Times New Roman" w:eastAsiaTheme="minorEastAsia"/>
              </w:rPr>
            </w:pPr>
            <w:r>
              <w:rPr>
                <w:rFonts w:hint="eastAsia" w:ascii="Times New Roman" w:hAnsi="Times New Roman" w:eastAsiaTheme="minorEastAsia"/>
              </w:rPr>
              <w:t>3,382.70</w:t>
            </w:r>
            <w:r>
              <w:rPr>
                <w:rFonts w:ascii="Times New Roman" w:hAnsi="Times New Roman" w:eastAsiaTheme="minorEastAsia"/>
              </w:rPr>
              <w:t>份</w:t>
            </w:r>
          </w:p>
        </w:tc>
      </w:tr>
    </w:tbl>
    <w:p w14:paraId="3E977BCE">
      <w:pPr>
        <w:pStyle w:val="22"/>
        <w:rPr>
          <w:rFonts w:ascii="宋体" w:hAnsi="宋体"/>
          <w:sz w:val="21"/>
          <w:szCs w:val="21"/>
        </w:rPr>
      </w:pPr>
      <w:bookmarkStart w:id="18" w:name="_Toc482092221"/>
      <w:bookmarkStart w:id="19" w:name="_Toc491184118"/>
      <w:bookmarkStart w:id="20" w:name="_Toc491963081"/>
      <w:bookmarkStart w:id="21" w:name="_Toc390421230"/>
      <w:r>
        <w:rPr>
          <w:rFonts w:ascii="宋体" w:hAnsi="宋体"/>
          <w:sz w:val="21"/>
          <w:szCs w:val="21"/>
        </w:rPr>
        <w:t>2.2 基金产品说明</w:t>
      </w:r>
      <w:bookmarkEnd w:id="18"/>
      <w:bookmarkEnd w:id="19"/>
      <w:bookmarkEnd w:id="20"/>
      <w:bookmarkEnd w:id="21"/>
    </w:p>
    <w:tbl>
      <w:tblPr>
        <w:tblStyle w:val="1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8"/>
        <w:gridCol w:w="6524"/>
      </w:tblGrid>
      <w:tr w14:paraId="558320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72" w:type="pct"/>
            <w:vAlign w:val="center"/>
          </w:tcPr>
          <w:p w14:paraId="626722A6">
            <w:pPr>
              <w:pStyle w:val="36"/>
              <w:rPr>
                <w:rFonts w:ascii="Times New Roman" w:hAnsi="Times New Roman" w:eastAsiaTheme="minorEastAsia"/>
              </w:rPr>
            </w:pPr>
            <w:r>
              <w:rPr>
                <w:rFonts w:ascii="Times New Roman" w:hAnsi="Times New Roman" w:eastAsiaTheme="minorEastAsia"/>
              </w:rPr>
              <w:t>投资目标</w:t>
            </w:r>
          </w:p>
        </w:tc>
        <w:tc>
          <w:tcPr>
            <w:tcW w:w="6524" w:type="dxa"/>
            <w:vAlign w:val="center"/>
          </w:tcPr>
          <w:p w14:paraId="4B5C0BAF">
            <w:pPr>
              <w:pStyle w:val="36"/>
              <w:rPr>
                <w:rFonts w:ascii="Times New Roman" w:hAnsi="Times New Roman" w:eastAsiaTheme="minorEastAsia"/>
              </w:rPr>
            </w:pPr>
            <w:r>
              <w:rPr>
                <w:rFonts w:ascii="Times New Roman" w:hAnsi="Times New Roman" w:eastAsiaTheme="minorEastAsia"/>
              </w:rPr>
              <w:t>本基金在严格控制组合净值波动率的前提下，力争实现长期超越业绩比较基准的投资回报。</w:t>
            </w:r>
          </w:p>
        </w:tc>
      </w:tr>
      <w:tr w14:paraId="00CAED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72" w:type="pct"/>
            <w:vAlign w:val="center"/>
          </w:tcPr>
          <w:p w14:paraId="399DAD89">
            <w:pPr>
              <w:pStyle w:val="36"/>
              <w:rPr>
                <w:rFonts w:ascii="Times New Roman" w:hAnsi="Times New Roman" w:eastAsiaTheme="minorEastAsia"/>
              </w:rPr>
            </w:pPr>
            <w:r>
              <w:rPr>
                <w:rFonts w:ascii="Times New Roman" w:hAnsi="Times New Roman" w:eastAsiaTheme="minorEastAsia"/>
              </w:rPr>
              <w:t>投资策略</w:t>
            </w:r>
          </w:p>
        </w:tc>
        <w:tc>
          <w:tcPr>
            <w:tcW w:w="6524" w:type="dxa"/>
            <w:vAlign w:val="center"/>
          </w:tcPr>
          <w:p w14:paraId="5032E910">
            <w:pPr>
              <w:pStyle w:val="36"/>
              <w:rPr>
                <w:rFonts w:ascii="Times New Roman" w:hAnsi="Times New Roman" w:eastAsiaTheme="minorEastAsia"/>
              </w:rPr>
            </w:pPr>
            <w:r>
              <w:rPr>
                <w:rFonts w:ascii="Times New Roman" w:hAnsi="Times New Roman" w:eastAsiaTheme="minorEastAsia"/>
              </w:rPr>
              <w:t>（一）封闭期投资策略</w:t>
            </w:r>
          </w:p>
          <w:p w14:paraId="5A6CB8C6">
            <w:pPr>
              <w:pStyle w:val="36"/>
              <w:rPr>
                <w:rFonts w:ascii="Times New Roman" w:hAnsi="Times New Roman" w:eastAsiaTheme="minorEastAsia"/>
              </w:rPr>
            </w:pPr>
            <w:r>
              <w:rPr>
                <w:rFonts w:ascii="Times New Roman" w:hAnsi="Times New Roman" w:eastAsiaTheme="minorEastAsia"/>
              </w:rPr>
              <w:t>本基金通过宏观周期研究、行业周期研究、公司研究相结合，通过定量分析增强组合策略操作的方法，确定资产在基础配置、行业配置、公司配置结构上的比例。本基金充分发挥基金管理人长期积累的行业、公司研究成果，利用自主开发的信用分析系统，深入挖掘价值被低估的标的券种，以尽量获取最大化的信用溢价。本基金采用的投资策略包括：期限结构策略、行业配置策略、息差策略、个券挖掘策略等。</w:t>
            </w:r>
          </w:p>
          <w:p w14:paraId="380BB5DC">
            <w:pPr>
              <w:pStyle w:val="36"/>
              <w:rPr>
                <w:rFonts w:ascii="Times New Roman" w:hAnsi="Times New Roman" w:eastAsiaTheme="minorEastAsia"/>
              </w:rPr>
            </w:pPr>
            <w:r>
              <w:rPr>
                <w:rFonts w:ascii="Times New Roman" w:hAnsi="Times New Roman" w:eastAsiaTheme="minorEastAsia"/>
              </w:rPr>
              <w:t>（二）开放期投资策略</w:t>
            </w:r>
          </w:p>
          <w:p w14:paraId="23D1A157">
            <w:pPr>
              <w:pStyle w:val="36"/>
              <w:rPr>
                <w:rFonts w:ascii="Times New Roman" w:hAnsi="Times New Roman" w:eastAsiaTheme="minorEastAsia"/>
              </w:rPr>
            </w:pPr>
            <w:r>
              <w:rPr>
                <w:rFonts w:ascii="Times New Roman" w:hAnsi="Times New Roman" w:eastAsiaTheme="minorEastAsia"/>
              </w:rPr>
              <w:t>开放期内，本基金为保持较高的组合流动性，方便投资人安排投资，在遵守本基金有关投资限制与投资比例的前提下，将主要投资于高流动性的投资品种。</w:t>
            </w:r>
          </w:p>
        </w:tc>
      </w:tr>
      <w:tr w14:paraId="2B6FC8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72" w:type="pct"/>
            <w:vAlign w:val="center"/>
          </w:tcPr>
          <w:p w14:paraId="57D06D4C">
            <w:pPr>
              <w:pStyle w:val="36"/>
              <w:rPr>
                <w:rFonts w:ascii="Times New Roman" w:hAnsi="Times New Roman" w:eastAsiaTheme="minorEastAsia"/>
              </w:rPr>
            </w:pPr>
            <w:r>
              <w:rPr>
                <w:rFonts w:ascii="Times New Roman" w:hAnsi="Times New Roman" w:eastAsiaTheme="minorEastAsia"/>
              </w:rPr>
              <w:t>业绩比较基准</w:t>
            </w:r>
          </w:p>
        </w:tc>
        <w:tc>
          <w:tcPr>
            <w:tcW w:w="6524" w:type="dxa"/>
            <w:vAlign w:val="center"/>
          </w:tcPr>
          <w:p w14:paraId="3817503F">
            <w:pPr>
              <w:pStyle w:val="36"/>
              <w:rPr>
                <w:rFonts w:ascii="Times New Roman" w:hAnsi="Times New Roman" w:eastAsiaTheme="minorEastAsia"/>
              </w:rPr>
            </w:pPr>
            <w:r>
              <w:rPr>
                <w:rFonts w:ascii="Times New Roman" w:hAnsi="Times New Roman" w:eastAsiaTheme="minorEastAsia"/>
              </w:rPr>
              <w:t>中债综合财富(总值)指数收益率×90%+1年期定期存款利率（税后）×10%</w:t>
            </w:r>
          </w:p>
        </w:tc>
      </w:tr>
      <w:tr w14:paraId="0169C7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72" w:type="pct"/>
            <w:vAlign w:val="center"/>
          </w:tcPr>
          <w:p w14:paraId="536F0910">
            <w:pPr>
              <w:pStyle w:val="36"/>
              <w:rPr>
                <w:rFonts w:ascii="Times New Roman" w:hAnsi="Times New Roman" w:eastAsiaTheme="minorEastAsia"/>
              </w:rPr>
            </w:pPr>
            <w:r>
              <w:rPr>
                <w:rFonts w:ascii="Times New Roman" w:hAnsi="Times New Roman" w:eastAsiaTheme="minorEastAsia"/>
              </w:rPr>
              <w:t>风险收益特征</w:t>
            </w:r>
          </w:p>
        </w:tc>
        <w:tc>
          <w:tcPr>
            <w:tcW w:w="6524" w:type="dxa"/>
            <w:vAlign w:val="center"/>
          </w:tcPr>
          <w:p w14:paraId="32AEB831">
            <w:pPr>
              <w:pStyle w:val="36"/>
              <w:rPr>
                <w:rFonts w:ascii="Times New Roman" w:hAnsi="Times New Roman" w:eastAsiaTheme="minorEastAsia"/>
              </w:rPr>
            </w:pPr>
            <w:r>
              <w:rPr>
                <w:rFonts w:ascii="Times New Roman" w:hAnsi="Times New Roman" w:eastAsiaTheme="minorEastAsia"/>
              </w:rPr>
              <w:t>本基金为债券型基金，预期收益和预期风险高于货币市场基金，低于混合型基金、股票型基金，属于中低风险/收益的产品。</w:t>
            </w:r>
          </w:p>
        </w:tc>
      </w:tr>
    </w:tbl>
    <w:p w14:paraId="4BD8FE11">
      <w:pPr>
        <w:pStyle w:val="2"/>
        <w:keepNext/>
        <w:keepLines/>
        <w:widowControl w:val="0"/>
        <w:spacing w:before="312" w:beforeLines="100" w:after="312" w:afterLines="100" w:line="360" w:lineRule="auto"/>
        <w:jc w:val="center"/>
        <w:rPr>
          <w:rStyle w:val="20"/>
          <w:rFonts w:ascii="宋体" w:hAnsi="宋体"/>
          <w:b w:val="0"/>
        </w:rPr>
      </w:pPr>
      <w:bookmarkStart w:id="22" w:name="_Toc225498250"/>
      <w:bookmarkStart w:id="23" w:name="_Toc409100049"/>
      <w:bookmarkStart w:id="24" w:name="_Toc409100412"/>
      <w:bookmarkStart w:id="25" w:name="_Toc361324850"/>
      <w:bookmarkStart w:id="26" w:name="_Toc491963082"/>
      <w:bookmarkStart w:id="27" w:name="_Toc484769799"/>
      <w:r>
        <w:rPr>
          <w:rStyle w:val="20"/>
          <w:rFonts w:ascii="宋体" w:hAnsi="宋体"/>
        </w:rPr>
        <w:t>3</w:t>
      </w:r>
      <w:bookmarkEnd w:id="22"/>
      <w:bookmarkEnd w:id="23"/>
      <w:bookmarkEnd w:id="24"/>
      <w:bookmarkEnd w:id="25"/>
      <w:r>
        <w:rPr>
          <w:rStyle w:val="20"/>
          <w:rFonts w:hint="eastAsia" w:ascii="宋体" w:hAnsi="宋体"/>
        </w:rPr>
        <w:t>、基金运作情况说明</w:t>
      </w:r>
      <w:bookmarkEnd w:id="26"/>
      <w:bookmarkEnd w:id="27"/>
    </w:p>
    <w:p w14:paraId="059AAB83">
      <w:pPr>
        <w:spacing w:line="360" w:lineRule="auto"/>
        <w:ind w:firstLine="420" w:firstLineChars="200"/>
        <w:rPr>
          <w:rFonts w:hint="eastAsia" w:ascii="Times New Roman" w:hAnsi="Times New Roman" w:cs="Times New Roman"/>
          <w:szCs w:val="21"/>
          <w:lang w:val="en-US" w:eastAsia="zh-CN"/>
        </w:rPr>
      </w:pPr>
      <w:r>
        <w:rPr>
          <w:rFonts w:hint="eastAsia" w:ascii="Times New Roman" w:hAnsi="Times New Roman" w:cs="Times New Roman"/>
          <w:szCs w:val="21"/>
          <w:lang w:eastAsia="zh-CN"/>
        </w:rPr>
        <w:t>博时安仁一年定期开放债券型发起式证券投资基金（以下简称“本基金”）是由博时安仁一年定期开放债券型证券投资基金（以下简称“原基金”）转型而来。原基金经中国证券监督管理委员会（以下简称“中国证监会”）证监许可[2016]1174号《关于准予博时安仁一年定期开放债券型证券投资基金注册的批复》注册，由博时基金管理有限公司依照《中华人民共和国证券投资基金法》和《博时安仁一年定期开放债券型证券投资基金基金合同》负责公开募集。经向中国证监会备案，《博时安仁一年定期开放债券型证券投资基金基金合同》于2016年6月24日正式生效。基金合同生效日的基金份额总额为503,690,289.35份基金份额，其中认购资金利息折合218.34份基金份额。经中国证监会证监许可[2019]2347号文准予变更注册，根据原基金基金份额持有人大会表决通过的《博时安仁一年定期开放债券型证券投资基金转型有关事项的议案》，经向中国证监会备案，自2020年9月9日起，《博时安仁一年定期开放债券型证券投资基金基金合同》失效且《博时安仁一年定期开放债券型发起式证券投资基金基金合同》同时生效，博时安仁一年定期开放债券型证券投资基金正式变更为博时安仁一年定期开放债券型发起式证券投资基金。</w:t>
      </w:r>
    </w:p>
    <w:p w14:paraId="274AE03C">
      <w:pPr>
        <w:spacing w:line="360" w:lineRule="auto"/>
        <w:ind w:firstLine="420" w:firstLineChars="200"/>
        <w:rPr>
          <w:rFonts w:hint="eastAsia" w:ascii="Times New Roman" w:hAnsi="Times New Roman" w:cs="Times New Roman"/>
          <w:szCs w:val="21"/>
          <w:lang w:eastAsia="zh-CN"/>
        </w:rPr>
      </w:pPr>
      <w:r>
        <w:rPr>
          <w:rFonts w:hint="eastAsia" w:ascii="Times New Roman" w:hAnsi="Times New Roman" w:cs="Times New Roman"/>
          <w:szCs w:val="21"/>
          <w:lang w:eastAsia="zh-Hans"/>
        </w:rPr>
        <w:t>自2020年9月9日至</w:t>
      </w:r>
      <w:r>
        <w:rPr>
          <w:rFonts w:hint="eastAsia" w:ascii="Times New Roman" w:hAnsi="Times New Roman" w:cs="Times New Roman"/>
          <w:szCs w:val="21"/>
          <w:lang w:val="en-US" w:eastAsia="zh-Hans"/>
        </w:rPr>
        <w:t>202</w:t>
      </w:r>
      <w:r>
        <w:rPr>
          <w:rFonts w:hint="eastAsia" w:ascii="Times New Roman" w:hAnsi="Times New Roman" w:cs="Times New Roman"/>
          <w:szCs w:val="21"/>
          <w:lang w:val="en-US" w:eastAsia="zh-CN"/>
        </w:rPr>
        <w:t>6</w:t>
      </w:r>
      <w:r>
        <w:rPr>
          <w:rFonts w:hint="eastAsia" w:ascii="Times New Roman" w:hAnsi="Times New Roman" w:cs="Times New Roman"/>
          <w:szCs w:val="21"/>
          <w:lang w:val="en-US" w:eastAsia="zh-Hans"/>
        </w:rPr>
        <w:t>年</w:t>
      </w:r>
      <w:r>
        <w:rPr>
          <w:rFonts w:hint="eastAsia" w:ascii="Times New Roman" w:hAnsi="Times New Roman" w:cs="Times New Roman"/>
          <w:szCs w:val="21"/>
          <w:lang w:val="en-US" w:eastAsia="zh-CN"/>
        </w:rPr>
        <w:t>4</w:t>
      </w:r>
      <w:r>
        <w:rPr>
          <w:rFonts w:hint="eastAsia" w:ascii="Times New Roman" w:hAnsi="Times New Roman" w:cs="Times New Roman"/>
          <w:szCs w:val="21"/>
          <w:lang w:val="en-US" w:eastAsia="zh-Hans"/>
        </w:rPr>
        <w:t>月</w:t>
      </w:r>
      <w:r>
        <w:rPr>
          <w:rFonts w:hint="eastAsia" w:ascii="Times New Roman" w:hAnsi="Times New Roman" w:cs="Times New Roman"/>
          <w:szCs w:val="21"/>
          <w:lang w:val="en-US" w:eastAsia="zh-CN"/>
        </w:rPr>
        <w:t>9</w:t>
      </w:r>
      <w:r>
        <w:rPr>
          <w:rFonts w:hint="eastAsia" w:ascii="Times New Roman" w:hAnsi="Times New Roman" w:cs="Times New Roman"/>
          <w:szCs w:val="21"/>
          <w:lang w:val="en-US" w:eastAsia="zh-Hans"/>
        </w:rPr>
        <w:t>日</w:t>
      </w:r>
      <w:r>
        <w:rPr>
          <w:rFonts w:hint="eastAsia" w:ascii="Times New Roman" w:hAnsi="Times New Roman" w:cs="Times New Roman"/>
          <w:szCs w:val="21"/>
          <w:lang w:eastAsia="zh-Hans"/>
        </w:rPr>
        <w:t>期间，本基金按基金合同正常运作。</w:t>
      </w:r>
    </w:p>
    <w:p w14:paraId="06090B76">
      <w:pPr>
        <w:spacing w:line="360" w:lineRule="auto"/>
        <w:ind w:firstLine="420" w:firstLineChars="200"/>
        <w:rPr>
          <w:rFonts w:hint="eastAsia" w:ascii="Times New Roman" w:hAnsi="Times New Roman" w:cs="Times New Roman"/>
          <w:szCs w:val="21"/>
          <w:lang w:eastAsia="zh-CN"/>
        </w:rPr>
      </w:pPr>
      <w:r>
        <w:rPr>
          <w:rFonts w:hint="eastAsia" w:ascii="Times New Roman" w:hAnsi="Times New Roman" w:cs="Times New Roman"/>
          <w:szCs w:val="21"/>
          <w:lang w:eastAsia="zh-CN"/>
        </w:rPr>
        <w:t>根据《博时安仁一年定期开放债券型发起式证券投资基金基金合同》及基金管理人博时基金管理有限公司于2026年</w:t>
      </w:r>
      <w:r>
        <w:rPr>
          <w:rFonts w:hint="eastAsia" w:ascii="Times New Roman" w:hAnsi="Times New Roman" w:cs="Times New Roman"/>
          <w:szCs w:val="21"/>
          <w:lang w:val="en-US" w:eastAsia="zh-CN"/>
        </w:rPr>
        <w:t>4</w:t>
      </w:r>
      <w:r>
        <w:rPr>
          <w:rFonts w:hint="eastAsia" w:ascii="Times New Roman" w:hAnsi="Times New Roman" w:cs="Times New Roman"/>
          <w:szCs w:val="21"/>
          <w:lang w:eastAsia="zh-CN"/>
        </w:rPr>
        <w:t>月</w:t>
      </w:r>
      <w:r>
        <w:rPr>
          <w:rFonts w:hint="eastAsia" w:ascii="Times New Roman" w:hAnsi="Times New Roman" w:cs="Times New Roman"/>
          <w:szCs w:val="21"/>
          <w:lang w:val="en-US" w:eastAsia="zh-CN"/>
        </w:rPr>
        <w:t>10</w:t>
      </w:r>
      <w:r>
        <w:rPr>
          <w:rFonts w:hint="eastAsia" w:ascii="Times New Roman" w:hAnsi="Times New Roman" w:cs="Times New Roman"/>
          <w:szCs w:val="21"/>
          <w:lang w:eastAsia="zh-CN"/>
        </w:rPr>
        <w:t>日发布的《博时基金管理有限公司关于博时安仁一年定期开放债券型发起式证券投资基金基金合同终止及基金财产清算的公告》，本基金在基金合同生效之日起或发起资金申购本基金确认日之日起（以较晚者为准）三年后继续存续的，基金存续期内，连续</w:t>
      </w:r>
      <w:r>
        <w:rPr>
          <w:rFonts w:hint="eastAsia" w:ascii="Times New Roman" w:hAnsi="Times New Roman" w:cs="Times New Roman"/>
          <w:szCs w:val="21"/>
          <w:lang w:val="en-US" w:eastAsia="zh-CN"/>
        </w:rPr>
        <w:t>二十</w:t>
      </w:r>
      <w:r>
        <w:rPr>
          <w:rFonts w:hint="eastAsia" w:ascii="Times New Roman" w:hAnsi="Times New Roman" w:cs="Times New Roman"/>
          <w:szCs w:val="21"/>
          <w:lang w:eastAsia="zh-CN"/>
        </w:rPr>
        <w:t>个工作日出现基金资产净值低于</w:t>
      </w:r>
      <w:r>
        <w:rPr>
          <w:rFonts w:hint="eastAsia" w:ascii="Times New Roman" w:hAnsi="Times New Roman" w:cs="Times New Roman"/>
          <w:szCs w:val="21"/>
          <w:lang w:val="en-US" w:eastAsia="zh-CN"/>
        </w:rPr>
        <w:t>五千</w:t>
      </w:r>
      <w:r>
        <w:rPr>
          <w:rFonts w:hint="eastAsia" w:ascii="Times New Roman" w:hAnsi="Times New Roman" w:cs="Times New Roman"/>
          <w:szCs w:val="21"/>
          <w:lang w:eastAsia="zh-CN"/>
        </w:rPr>
        <w:t>万元情形的，基金管理人应当在定期报告中予以披露。连续五十个工作日出现</w:t>
      </w:r>
      <w:r>
        <w:rPr>
          <w:rFonts w:hint="eastAsia" w:ascii="Times New Roman" w:hAnsi="Times New Roman" w:cs="Times New Roman"/>
          <w:szCs w:val="21"/>
          <w:lang w:val="en-US" w:eastAsia="zh-CN"/>
        </w:rPr>
        <w:t>前述情形</w:t>
      </w:r>
      <w:r>
        <w:rPr>
          <w:rFonts w:hint="eastAsia" w:ascii="Times New Roman" w:hAnsi="Times New Roman" w:cs="Times New Roman"/>
          <w:szCs w:val="21"/>
          <w:lang w:eastAsia="zh-CN"/>
        </w:rPr>
        <w:t>，本基金将根据基金合同的约定进行基金财产清算并终止，且无需召开基金份额持有人大会，同时基金管理人应履行相关的监管报告和信息披露程序。法律法规或中国证监会另有规定时，从其规定。截至2026年4月9日，本基金出现连续五十个工作日基金资产净值低于五千万元的情形，已触发《基金合同》中约定的基金终止条款。根据基金合同有关约定，博时基金管理有限公司应依据基金财产清算程序对本基金进行财产清算并终止基金合同，且无需召开基金份额持有人大会。</w:t>
      </w:r>
    </w:p>
    <w:p w14:paraId="73DF993E">
      <w:pPr>
        <w:spacing w:line="360" w:lineRule="auto"/>
        <w:ind w:firstLine="420" w:firstLineChars="200"/>
        <w:rPr>
          <w:rFonts w:hint="eastAsia" w:ascii="Times New Roman" w:hAnsi="Times New Roman" w:cs="Times New Roman"/>
          <w:szCs w:val="21"/>
          <w:lang w:eastAsia="zh-CN"/>
        </w:rPr>
      </w:pPr>
      <w:r>
        <w:rPr>
          <w:rFonts w:hint="eastAsia" w:ascii="Times New Roman" w:hAnsi="Times New Roman" w:cs="Times New Roman"/>
          <w:szCs w:val="21"/>
          <w:lang w:eastAsia="zh-CN"/>
        </w:rPr>
        <w:t>本基金自202</w:t>
      </w:r>
      <w:r>
        <w:rPr>
          <w:rFonts w:hint="eastAsia" w:ascii="Times New Roman" w:hAnsi="Times New Roman" w:cs="Times New Roman"/>
          <w:szCs w:val="21"/>
          <w:lang w:val="en-US" w:eastAsia="zh-CN"/>
        </w:rPr>
        <w:t>6</w:t>
      </w:r>
      <w:r>
        <w:rPr>
          <w:rFonts w:hint="eastAsia" w:ascii="Times New Roman" w:hAnsi="Times New Roman" w:cs="Times New Roman"/>
          <w:szCs w:val="21"/>
          <w:lang w:eastAsia="zh-CN"/>
        </w:rPr>
        <w:t>年</w:t>
      </w:r>
      <w:r>
        <w:rPr>
          <w:rFonts w:hint="eastAsia" w:ascii="Times New Roman" w:hAnsi="Times New Roman" w:cs="Times New Roman"/>
          <w:szCs w:val="21"/>
          <w:lang w:val="en-US" w:eastAsia="zh-CN"/>
        </w:rPr>
        <w:t>4</w:t>
      </w:r>
      <w:r>
        <w:rPr>
          <w:rFonts w:hint="eastAsia" w:ascii="Times New Roman" w:hAnsi="Times New Roman" w:cs="Times New Roman"/>
          <w:szCs w:val="21"/>
          <w:lang w:eastAsia="zh-CN"/>
        </w:rPr>
        <w:t>月</w:t>
      </w:r>
      <w:r>
        <w:rPr>
          <w:rFonts w:hint="eastAsia" w:ascii="Times New Roman" w:hAnsi="Times New Roman" w:cs="Times New Roman"/>
          <w:szCs w:val="21"/>
          <w:lang w:val="en-US" w:eastAsia="zh-CN"/>
        </w:rPr>
        <w:t>10</w:t>
      </w:r>
      <w:r>
        <w:rPr>
          <w:rFonts w:hint="eastAsia" w:ascii="Times New Roman" w:hAnsi="Times New Roman" w:cs="Times New Roman"/>
          <w:szCs w:val="21"/>
          <w:lang w:eastAsia="zh-CN"/>
        </w:rPr>
        <w:t>日起，进入清算程序。</w:t>
      </w:r>
    </w:p>
    <w:p w14:paraId="46B96A9A">
      <w:pPr>
        <w:pStyle w:val="2"/>
        <w:keepNext/>
        <w:keepLines/>
        <w:widowControl w:val="0"/>
        <w:spacing w:before="312" w:beforeLines="100" w:after="312" w:afterLines="100" w:line="360" w:lineRule="auto"/>
        <w:jc w:val="center"/>
        <w:rPr>
          <w:rStyle w:val="20"/>
          <w:rFonts w:ascii="宋体" w:hAnsi="宋体"/>
        </w:rPr>
      </w:pPr>
      <w:bookmarkStart w:id="28" w:name="_Toc484769805"/>
      <w:bookmarkStart w:id="29" w:name="_Toc491963083"/>
      <w:r>
        <w:rPr>
          <w:rStyle w:val="20"/>
          <w:rFonts w:hint="eastAsia" w:ascii="宋体" w:hAnsi="宋体"/>
        </w:rPr>
        <w:t>4、财务报告</w:t>
      </w:r>
      <w:bookmarkEnd w:id="28"/>
      <w:bookmarkEnd w:id="29"/>
    </w:p>
    <w:p w14:paraId="01D16CB8">
      <w:pPr>
        <w:pStyle w:val="3"/>
        <w:spacing w:before="0" w:after="0"/>
        <w:rPr>
          <w:rFonts w:ascii="宋体" w:hAnsi="宋体" w:eastAsia="宋体"/>
          <w:kern w:val="0"/>
          <w:sz w:val="21"/>
          <w:szCs w:val="21"/>
        </w:rPr>
      </w:pPr>
      <w:bookmarkStart w:id="30" w:name="_Toc409100074"/>
      <w:bookmarkStart w:id="31" w:name="_Toc491963084"/>
      <w:bookmarkStart w:id="32" w:name="_Toc484607311"/>
      <w:bookmarkStart w:id="33" w:name="_Toc225498268"/>
      <w:bookmarkStart w:id="34" w:name="_Toc483396838"/>
      <w:bookmarkStart w:id="35" w:name="_Toc484769806"/>
      <w:bookmarkStart w:id="36" w:name="_Toc476577275"/>
      <w:bookmarkStart w:id="37" w:name="_Toc361324873"/>
      <w:bookmarkStart w:id="38" w:name="_Toc409100437"/>
      <w:r>
        <w:rPr>
          <w:rFonts w:hint="eastAsia" w:ascii="宋体" w:hAnsi="宋体" w:eastAsia="宋体"/>
          <w:kern w:val="0"/>
          <w:sz w:val="21"/>
          <w:szCs w:val="21"/>
        </w:rPr>
        <w:t>4</w:t>
      </w:r>
      <w:r>
        <w:rPr>
          <w:rFonts w:ascii="宋体" w:hAnsi="宋体" w:eastAsia="宋体"/>
          <w:kern w:val="0"/>
          <w:sz w:val="21"/>
          <w:szCs w:val="21"/>
        </w:rPr>
        <w:t>.1 资产负债表</w:t>
      </w:r>
      <w:bookmarkEnd w:id="30"/>
      <w:bookmarkEnd w:id="31"/>
      <w:bookmarkEnd w:id="32"/>
      <w:bookmarkEnd w:id="33"/>
      <w:bookmarkEnd w:id="34"/>
      <w:bookmarkEnd w:id="35"/>
      <w:bookmarkEnd w:id="36"/>
      <w:bookmarkEnd w:id="37"/>
      <w:bookmarkEnd w:id="38"/>
      <w:r>
        <w:rPr>
          <w:rFonts w:hint="eastAsia" w:ascii="宋体" w:hAnsi="宋体" w:eastAsia="宋体"/>
          <w:kern w:val="0"/>
          <w:sz w:val="21"/>
          <w:szCs w:val="21"/>
        </w:rPr>
        <w:t>(已经审计)</w:t>
      </w:r>
    </w:p>
    <w:p w14:paraId="36D89586">
      <w:pPr>
        <w:autoSpaceDE w:val="0"/>
        <w:autoSpaceDN w:val="0"/>
        <w:adjustRightInd w:val="0"/>
        <w:spacing w:before="29" w:line="360" w:lineRule="auto"/>
        <w:ind w:left="15"/>
        <w:jc w:val="right"/>
        <w:rPr>
          <w:rFonts w:ascii="宋体" w:hAnsi="宋体"/>
          <w:color w:val="000000"/>
          <w:kern w:val="0"/>
          <w:szCs w:val="21"/>
        </w:rPr>
      </w:pPr>
      <w:r>
        <w:rPr>
          <w:rFonts w:ascii="宋体" w:hAnsi="宋体"/>
          <w:color w:val="000000"/>
          <w:kern w:val="0"/>
          <w:szCs w:val="21"/>
        </w:rPr>
        <w:t>单位：人民币元</w:t>
      </w:r>
    </w:p>
    <w:tbl>
      <w:tblPr>
        <w:tblStyle w:val="13"/>
        <w:tblW w:w="7951" w:type="dxa"/>
        <w:tblInd w:w="1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90"/>
        <w:gridCol w:w="4461"/>
      </w:tblGrid>
      <w:tr w14:paraId="309BA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center"/>
          </w:tcPr>
          <w:p w14:paraId="04799858">
            <w:pPr>
              <w:pStyle w:val="11"/>
              <w:spacing w:before="0" w:beforeAutospacing="0" w:after="0" w:afterAutospacing="0"/>
              <w:jc w:val="center"/>
              <w:rPr>
                <w:rFonts w:ascii="Arial" w:hAnsi="Arial" w:eastAsia="宋体" w:cs="Arial"/>
                <w:b/>
              </w:rPr>
            </w:pPr>
            <w:r>
              <w:rPr>
                <w:rFonts w:ascii="Arial" w:hAnsi="Arial" w:eastAsia="宋体" w:cs="Arial"/>
                <w:b/>
              </w:rPr>
              <w:t>资产</w:t>
            </w:r>
          </w:p>
        </w:tc>
        <w:tc>
          <w:tcPr>
            <w:tcW w:w="4461" w:type="dxa"/>
            <w:shd w:val="clear" w:color="auto" w:fill="auto"/>
            <w:vAlign w:val="center"/>
          </w:tcPr>
          <w:p w14:paraId="7CEBFA23">
            <w:pPr>
              <w:pStyle w:val="11"/>
              <w:spacing w:before="0" w:beforeAutospacing="0" w:after="0" w:afterAutospacing="0"/>
              <w:jc w:val="center"/>
              <w:rPr>
                <w:rFonts w:ascii="Arial" w:hAnsi="Arial" w:eastAsia="宋体" w:cs="Arial"/>
                <w:b/>
                <w:lang w:eastAsia="zh-CN"/>
              </w:rPr>
            </w:pPr>
            <w:r>
              <w:rPr>
                <w:rFonts w:ascii="Arial" w:hAnsi="Arial" w:eastAsia="宋体" w:cs="Arial"/>
                <w:b/>
                <w:lang w:eastAsia="zh-CN"/>
              </w:rPr>
              <w:t>202</w:t>
            </w:r>
            <w:r>
              <w:rPr>
                <w:rFonts w:hint="eastAsia" w:ascii="Arial" w:hAnsi="Arial" w:eastAsia="宋体" w:cs="Arial"/>
                <w:b/>
                <w:lang w:val="en-US" w:eastAsia="zh-CN"/>
              </w:rPr>
              <w:t>6</w:t>
            </w:r>
            <w:r>
              <w:rPr>
                <w:rFonts w:ascii="Arial" w:hAnsi="Arial" w:eastAsia="宋体" w:cs="Arial"/>
                <w:b/>
                <w:lang w:eastAsia="zh-CN"/>
              </w:rPr>
              <w:t>年</w:t>
            </w:r>
            <w:r>
              <w:rPr>
                <w:rFonts w:hint="eastAsia" w:ascii="Arial" w:hAnsi="Arial" w:eastAsia="宋体" w:cs="Arial"/>
                <w:b/>
                <w:lang w:val="en-US" w:eastAsia="zh-CN"/>
              </w:rPr>
              <w:t>4</w:t>
            </w:r>
            <w:r>
              <w:rPr>
                <w:rFonts w:ascii="Arial" w:hAnsi="Arial" w:eastAsia="宋体" w:cs="Arial"/>
                <w:b/>
                <w:lang w:eastAsia="zh-CN"/>
              </w:rPr>
              <w:t>月</w:t>
            </w:r>
            <w:r>
              <w:rPr>
                <w:rFonts w:hint="eastAsia" w:ascii="Arial" w:hAnsi="Arial" w:eastAsia="宋体" w:cs="Arial"/>
                <w:b/>
                <w:lang w:val="en-US" w:eastAsia="zh-CN"/>
              </w:rPr>
              <w:t>9</w:t>
            </w:r>
            <w:r>
              <w:rPr>
                <w:rFonts w:ascii="Arial" w:hAnsi="Arial" w:eastAsia="宋体" w:cs="Arial"/>
                <w:b/>
                <w:lang w:eastAsia="zh-CN"/>
              </w:rPr>
              <w:t>日</w:t>
            </w:r>
          </w:p>
          <w:p w14:paraId="1CD062FA">
            <w:pPr>
              <w:pStyle w:val="11"/>
              <w:spacing w:before="0" w:beforeAutospacing="0" w:after="0" w:afterAutospacing="0"/>
              <w:jc w:val="center"/>
              <w:rPr>
                <w:rFonts w:ascii="Arial" w:hAnsi="Arial" w:eastAsia="宋体" w:cs="Arial"/>
                <w:b/>
                <w:lang w:eastAsia="zh-CN"/>
              </w:rPr>
            </w:pPr>
            <w:r>
              <w:rPr>
                <w:rFonts w:ascii="Arial" w:hAnsi="Arial" w:eastAsia="宋体" w:cs="Arial"/>
                <w:b/>
                <w:lang w:eastAsia="zh-CN"/>
              </w:rPr>
              <w:t>(基金</w:t>
            </w:r>
            <w:r>
              <w:rPr>
                <w:rFonts w:hint="eastAsia" w:ascii="Arial" w:hAnsi="Arial" w:eastAsia="宋体" w:cs="Arial"/>
                <w:b/>
                <w:lang w:eastAsia="zh-CN"/>
              </w:rPr>
              <w:t>最后运作</w:t>
            </w:r>
            <w:r>
              <w:rPr>
                <w:rFonts w:ascii="Arial" w:hAnsi="Arial" w:eastAsia="宋体" w:cs="Arial"/>
                <w:b/>
                <w:lang w:eastAsia="zh-CN"/>
              </w:rPr>
              <w:t>日)</w:t>
            </w:r>
          </w:p>
        </w:tc>
      </w:tr>
      <w:tr w14:paraId="2910D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29099268">
            <w:pPr>
              <w:spacing w:before="100" w:beforeAutospacing="1" w:after="100" w:afterAutospacing="1"/>
              <w:rPr>
                <w:rFonts w:ascii="Arial" w:hAnsi="Arial" w:cs="Arial"/>
                <w:b/>
                <w:bCs/>
                <w:sz w:val="24"/>
              </w:rPr>
            </w:pPr>
            <w:r>
              <w:rPr>
                <w:rFonts w:ascii="Arial" w:hAnsi="Arial" w:cs="Arial"/>
                <w:b/>
                <w:bCs/>
                <w:sz w:val="24"/>
              </w:rPr>
              <w:t>资产：</w:t>
            </w:r>
          </w:p>
        </w:tc>
        <w:tc>
          <w:tcPr>
            <w:tcW w:w="4461" w:type="dxa"/>
            <w:shd w:val="clear" w:color="auto" w:fill="auto"/>
            <w:vAlign w:val="bottom"/>
          </w:tcPr>
          <w:p w14:paraId="2C1748AC">
            <w:pPr>
              <w:spacing w:before="100" w:beforeAutospacing="1" w:after="100" w:afterAutospacing="1"/>
              <w:ind w:left="-72"/>
              <w:jc w:val="right"/>
              <w:rPr>
                <w:rFonts w:ascii="Arial" w:hAnsi="Arial" w:cs="Arial"/>
                <w:sz w:val="24"/>
              </w:rPr>
            </w:pPr>
          </w:p>
        </w:tc>
      </w:tr>
      <w:tr w14:paraId="49C27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0EDF58B9">
            <w:pPr>
              <w:spacing w:before="100" w:beforeAutospacing="1" w:after="100" w:afterAutospacing="1"/>
              <w:rPr>
                <w:rFonts w:hint="default" w:ascii="Arial" w:hAnsi="Arial" w:eastAsia="宋体" w:cs="Arial"/>
                <w:sz w:val="24"/>
                <w:lang w:val="en-US" w:eastAsia="zh-CN"/>
              </w:rPr>
            </w:pPr>
            <w:r>
              <w:rPr>
                <w:rFonts w:hint="eastAsia" w:ascii="Arial" w:hAnsi="Arial" w:cs="Arial"/>
                <w:sz w:val="24"/>
                <w:lang w:val="en-US" w:eastAsia="zh-CN"/>
              </w:rPr>
              <w:t>货币资金</w:t>
            </w:r>
          </w:p>
        </w:tc>
        <w:tc>
          <w:tcPr>
            <w:tcW w:w="4461" w:type="dxa"/>
            <w:shd w:val="clear" w:color="auto" w:fill="auto"/>
            <w:vAlign w:val="bottom"/>
          </w:tcPr>
          <w:p w14:paraId="71321CFA">
            <w:pPr>
              <w:ind w:left="-80"/>
              <w:jc w:val="right"/>
              <w:rPr>
                <w:rFonts w:hint="eastAsia" w:ascii="Arial" w:hAnsi="Arial" w:cs="Arial"/>
                <w:color w:val="000000"/>
                <w:sz w:val="24"/>
                <w:lang w:val="en-US" w:eastAsia="zh-CN"/>
              </w:rPr>
            </w:pPr>
            <w:r>
              <w:rPr>
                <w:rFonts w:hint="eastAsia" w:ascii="Arial" w:hAnsi="Arial" w:cs="Arial"/>
                <w:color w:val="000000"/>
                <w:sz w:val="24"/>
                <w:lang w:val="en-US" w:eastAsia="zh-CN"/>
              </w:rPr>
              <w:t>45,516.49</w:t>
            </w:r>
          </w:p>
        </w:tc>
      </w:tr>
      <w:tr w14:paraId="75BE2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0D7A49EE">
            <w:pPr>
              <w:spacing w:before="100" w:beforeAutospacing="1" w:after="100" w:afterAutospacing="1"/>
              <w:rPr>
                <w:rFonts w:ascii="Arial" w:hAnsi="Arial" w:cs="Arial"/>
                <w:sz w:val="24"/>
              </w:rPr>
            </w:pPr>
            <w:r>
              <w:rPr>
                <w:rFonts w:ascii="Arial" w:hAnsi="Arial" w:cs="Arial"/>
                <w:sz w:val="24"/>
              </w:rPr>
              <w:t>存出保证金</w:t>
            </w:r>
          </w:p>
        </w:tc>
        <w:tc>
          <w:tcPr>
            <w:tcW w:w="4461" w:type="dxa"/>
            <w:shd w:val="clear" w:color="auto" w:fill="auto"/>
            <w:vAlign w:val="bottom"/>
          </w:tcPr>
          <w:p w14:paraId="30AFE317">
            <w:pPr>
              <w:ind w:left="-80"/>
              <w:jc w:val="right"/>
              <w:rPr>
                <w:rFonts w:hint="eastAsia" w:ascii="Arial" w:hAnsi="Arial" w:cs="Arial"/>
                <w:color w:val="000000"/>
                <w:sz w:val="24"/>
                <w:lang w:val="en-US" w:eastAsia="zh-CN"/>
              </w:rPr>
            </w:pPr>
            <w:r>
              <w:rPr>
                <w:rFonts w:hint="eastAsia" w:ascii="Arial" w:hAnsi="Arial" w:cs="Arial"/>
                <w:color w:val="000000"/>
                <w:sz w:val="24"/>
                <w:lang w:val="en-US" w:eastAsia="zh-CN"/>
              </w:rPr>
              <w:t>43,326.92</w:t>
            </w:r>
          </w:p>
        </w:tc>
      </w:tr>
      <w:tr w14:paraId="24F21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center"/>
          </w:tcPr>
          <w:p w14:paraId="7CDA70C9">
            <w:pPr>
              <w:pStyle w:val="11"/>
              <w:spacing w:before="0" w:beforeAutospacing="0" w:after="0" w:afterAutospacing="0"/>
              <w:rPr>
                <w:rFonts w:ascii="Arial" w:hAnsi="Arial" w:cs="Arial"/>
                <w:sz w:val="24"/>
              </w:rPr>
            </w:pPr>
            <w:r>
              <w:rPr>
                <w:rFonts w:ascii="Times New Roman" w:hAnsi="Times New Roman" w:eastAsia="宋体" w:cs="Arial"/>
                <w:szCs w:val="21"/>
                <w:lang w:eastAsia="zh-CN"/>
              </w:rPr>
              <w:t>交易性金融资产</w:t>
            </w:r>
          </w:p>
        </w:tc>
        <w:tc>
          <w:tcPr>
            <w:tcW w:w="4461" w:type="dxa"/>
            <w:shd w:val="clear" w:color="auto" w:fill="auto"/>
            <w:vAlign w:val="bottom"/>
          </w:tcPr>
          <w:p w14:paraId="6C2F069D">
            <w:pPr>
              <w:ind w:left="-80"/>
              <w:jc w:val="right"/>
              <w:rPr>
                <w:rFonts w:hint="eastAsia" w:ascii="Arial" w:hAnsi="Arial" w:cs="Arial"/>
                <w:color w:val="000000"/>
                <w:sz w:val="24"/>
                <w:lang w:val="en-US" w:eastAsia="zh-CN"/>
              </w:rPr>
            </w:pPr>
            <w:r>
              <w:rPr>
                <w:rFonts w:hint="eastAsia" w:ascii="Arial" w:hAnsi="Arial" w:cs="Arial"/>
                <w:color w:val="000000"/>
                <w:sz w:val="24"/>
                <w:lang w:val="en-US" w:eastAsia="zh-CN"/>
              </w:rPr>
              <w:t>302,840.47</w:t>
            </w:r>
          </w:p>
        </w:tc>
      </w:tr>
      <w:tr w14:paraId="76703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center"/>
          </w:tcPr>
          <w:p w14:paraId="2AE2E438">
            <w:pPr>
              <w:pStyle w:val="11"/>
              <w:spacing w:before="0" w:beforeAutospacing="0" w:after="0" w:afterAutospacing="0"/>
              <w:rPr>
                <w:rFonts w:ascii="Arial" w:hAnsi="Arial" w:cs="Arial"/>
                <w:sz w:val="24"/>
              </w:rPr>
            </w:pPr>
            <w:r>
              <w:rPr>
                <w:rFonts w:ascii="Times New Roman" w:hAnsi="Times New Roman" w:eastAsia="宋体" w:cs="Arial"/>
                <w:szCs w:val="21"/>
                <w:lang w:eastAsia="zh-CN"/>
              </w:rPr>
              <w:t>其中：</w:t>
            </w:r>
            <w:r>
              <w:rPr>
                <w:rFonts w:hint="eastAsia" w:ascii="Times New Roman" w:hAnsi="Times New Roman" w:eastAsia="宋体" w:cs="Arial"/>
                <w:szCs w:val="21"/>
                <w:lang w:val="en-US" w:eastAsia="zh-CN"/>
              </w:rPr>
              <w:t>债券投资</w:t>
            </w:r>
          </w:p>
        </w:tc>
        <w:tc>
          <w:tcPr>
            <w:tcW w:w="4461" w:type="dxa"/>
            <w:shd w:val="clear" w:color="auto" w:fill="auto"/>
            <w:vAlign w:val="bottom"/>
          </w:tcPr>
          <w:p w14:paraId="69FA32A5">
            <w:pPr>
              <w:ind w:left="-80"/>
              <w:jc w:val="right"/>
              <w:rPr>
                <w:rFonts w:hint="eastAsia" w:ascii="Arial" w:hAnsi="Arial" w:cs="Arial"/>
                <w:color w:val="000000"/>
                <w:sz w:val="24"/>
                <w:lang w:val="en-US" w:eastAsia="zh-CN"/>
              </w:rPr>
            </w:pPr>
            <w:r>
              <w:rPr>
                <w:rFonts w:hint="eastAsia" w:ascii="Arial" w:hAnsi="Arial" w:cs="Arial"/>
                <w:color w:val="000000"/>
                <w:sz w:val="24"/>
                <w:lang w:val="en-US" w:eastAsia="zh-CN"/>
              </w:rPr>
              <w:t>302,840.47</w:t>
            </w:r>
          </w:p>
        </w:tc>
      </w:tr>
      <w:tr w14:paraId="673F4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176B08B9">
            <w:pPr>
              <w:spacing w:before="100" w:beforeAutospacing="1" w:after="100" w:afterAutospacing="1"/>
              <w:rPr>
                <w:rFonts w:ascii="Arial" w:hAnsi="Arial" w:cs="Arial"/>
                <w:b/>
                <w:bCs/>
                <w:sz w:val="24"/>
              </w:rPr>
            </w:pPr>
            <w:r>
              <w:rPr>
                <w:rFonts w:ascii="Arial" w:hAnsi="Arial" w:cs="Arial"/>
                <w:b/>
                <w:bCs/>
                <w:sz w:val="24"/>
              </w:rPr>
              <w:t>资产总计</w:t>
            </w:r>
          </w:p>
        </w:tc>
        <w:tc>
          <w:tcPr>
            <w:tcW w:w="4461" w:type="dxa"/>
            <w:shd w:val="clear" w:color="auto" w:fill="auto"/>
            <w:vAlign w:val="bottom"/>
          </w:tcPr>
          <w:p w14:paraId="6B5D78B9">
            <w:pPr>
              <w:ind w:left="-80"/>
              <w:jc w:val="right"/>
              <w:rPr>
                <w:rFonts w:ascii="Arial" w:hAnsi="Arial" w:cs="Arial"/>
                <w:b/>
                <w:bCs/>
                <w:color w:val="000000"/>
                <w:sz w:val="24"/>
              </w:rPr>
            </w:pPr>
            <w:r>
              <w:rPr>
                <w:rFonts w:hint="eastAsia" w:ascii="Arial" w:hAnsi="Arial" w:cs="Arial"/>
                <w:b/>
                <w:bCs/>
                <w:color w:val="000000"/>
                <w:sz w:val="24"/>
                <w:lang w:val="en-US" w:eastAsia="zh-CN"/>
              </w:rPr>
              <w:t>391,683.88</w:t>
            </w:r>
          </w:p>
        </w:tc>
      </w:tr>
      <w:tr w14:paraId="2F61D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29023F95">
            <w:pPr>
              <w:spacing w:before="100" w:beforeAutospacing="1" w:after="100" w:afterAutospacing="1"/>
              <w:rPr>
                <w:rFonts w:ascii="Arial" w:hAnsi="Arial" w:cs="Arial"/>
                <w:b/>
                <w:bCs/>
                <w:sz w:val="24"/>
              </w:rPr>
            </w:pPr>
            <w:r>
              <w:rPr>
                <w:rFonts w:ascii="Arial" w:hAnsi="Arial" w:cs="Arial"/>
                <w:b/>
                <w:bCs/>
                <w:sz w:val="24"/>
              </w:rPr>
              <w:t>负债：</w:t>
            </w:r>
          </w:p>
        </w:tc>
        <w:tc>
          <w:tcPr>
            <w:tcW w:w="4461" w:type="dxa"/>
            <w:shd w:val="clear" w:color="auto" w:fill="auto"/>
            <w:vAlign w:val="bottom"/>
          </w:tcPr>
          <w:p w14:paraId="2438B83C">
            <w:pPr>
              <w:tabs>
                <w:tab w:val="decimal" w:pos="1629"/>
              </w:tabs>
              <w:spacing w:before="100" w:beforeAutospacing="1" w:after="100" w:afterAutospacing="1"/>
              <w:ind w:left="-80"/>
              <w:jc w:val="right"/>
              <w:rPr>
                <w:rFonts w:ascii="Arial" w:hAnsi="Arial" w:cs="Arial"/>
                <w:b/>
                <w:bCs/>
                <w:sz w:val="24"/>
              </w:rPr>
            </w:pPr>
          </w:p>
        </w:tc>
      </w:tr>
      <w:tr w14:paraId="7281E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19D01529">
            <w:pPr>
              <w:spacing w:before="100" w:beforeAutospacing="1" w:after="100" w:afterAutospacing="1"/>
              <w:rPr>
                <w:rFonts w:ascii="Arial" w:hAnsi="Arial" w:cs="Arial"/>
                <w:sz w:val="24"/>
              </w:rPr>
            </w:pPr>
            <w:r>
              <w:rPr>
                <w:rFonts w:ascii="Arial" w:hAnsi="Arial" w:cs="Arial"/>
                <w:sz w:val="24"/>
              </w:rPr>
              <w:t>应付管理人报酬</w:t>
            </w:r>
          </w:p>
        </w:tc>
        <w:tc>
          <w:tcPr>
            <w:tcW w:w="4461" w:type="dxa"/>
            <w:shd w:val="clear" w:color="auto" w:fill="auto"/>
            <w:vAlign w:val="bottom"/>
          </w:tcPr>
          <w:p w14:paraId="6365ABB8">
            <w:pPr>
              <w:ind w:left="-80"/>
              <w:jc w:val="right"/>
              <w:rPr>
                <w:rFonts w:hint="eastAsia" w:ascii="Arial" w:hAnsi="Arial" w:cs="Arial"/>
                <w:color w:val="000000"/>
                <w:sz w:val="24"/>
                <w:lang w:val="en-US" w:eastAsia="zh-CN"/>
              </w:rPr>
            </w:pPr>
            <w:r>
              <w:rPr>
                <w:rFonts w:hint="eastAsia" w:ascii="Arial" w:hAnsi="Arial" w:cs="Arial"/>
                <w:color w:val="000000"/>
                <w:sz w:val="24"/>
                <w:lang w:val="en-US" w:eastAsia="zh-CN"/>
              </w:rPr>
              <w:t>25.10</w:t>
            </w:r>
          </w:p>
        </w:tc>
      </w:tr>
      <w:tr w14:paraId="521CF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1606DEF4">
            <w:pPr>
              <w:spacing w:before="100" w:beforeAutospacing="1" w:after="100" w:afterAutospacing="1"/>
              <w:rPr>
                <w:rFonts w:ascii="Arial" w:hAnsi="Arial" w:cs="Arial"/>
                <w:sz w:val="24"/>
              </w:rPr>
            </w:pPr>
            <w:r>
              <w:rPr>
                <w:rFonts w:ascii="Arial" w:hAnsi="Arial" w:cs="Arial"/>
                <w:sz w:val="24"/>
              </w:rPr>
              <w:t>应付托管费</w:t>
            </w:r>
          </w:p>
        </w:tc>
        <w:tc>
          <w:tcPr>
            <w:tcW w:w="4461" w:type="dxa"/>
            <w:shd w:val="clear" w:color="auto" w:fill="auto"/>
            <w:vAlign w:val="bottom"/>
          </w:tcPr>
          <w:p w14:paraId="64158A8B">
            <w:pPr>
              <w:ind w:left="-80"/>
              <w:jc w:val="right"/>
              <w:rPr>
                <w:rFonts w:hint="eastAsia" w:ascii="Arial" w:hAnsi="Arial" w:cs="Arial"/>
                <w:color w:val="000000"/>
                <w:sz w:val="24"/>
                <w:lang w:val="en-US" w:eastAsia="zh-CN"/>
              </w:rPr>
            </w:pPr>
            <w:r>
              <w:rPr>
                <w:rFonts w:hint="eastAsia" w:ascii="Arial" w:hAnsi="Arial" w:cs="Arial"/>
                <w:color w:val="000000"/>
                <w:sz w:val="24"/>
                <w:lang w:val="en-US" w:eastAsia="zh-CN"/>
              </w:rPr>
              <w:t>8.40</w:t>
            </w:r>
          </w:p>
        </w:tc>
      </w:tr>
      <w:tr w14:paraId="54973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4FB98FCE">
            <w:pPr>
              <w:spacing w:before="100" w:beforeAutospacing="1" w:after="100" w:afterAutospacing="1"/>
              <w:rPr>
                <w:rFonts w:ascii="Arial" w:hAnsi="Arial" w:cs="Arial"/>
                <w:sz w:val="24"/>
              </w:rPr>
            </w:pPr>
            <w:r>
              <w:rPr>
                <w:rFonts w:hint="eastAsia" w:ascii="Arial" w:hAnsi="Arial" w:cs="Arial"/>
                <w:sz w:val="24"/>
                <w:lang w:eastAsia="zh-CN"/>
              </w:rPr>
              <w:t>应付销售服务费</w:t>
            </w:r>
          </w:p>
        </w:tc>
        <w:tc>
          <w:tcPr>
            <w:tcW w:w="4461" w:type="dxa"/>
            <w:shd w:val="clear" w:color="auto" w:fill="auto"/>
            <w:vAlign w:val="bottom"/>
          </w:tcPr>
          <w:p w14:paraId="67E0A211">
            <w:pPr>
              <w:ind w:left="-80"/>
              <w:jc w:val="right"/>
              <w:rPr>
                <w:rFonts w:hint="eastAsia" w:ascii="Arial" w:hAnsi="Arial" w:cs="Arial"/>
                <w:color w:val="000000"/>
                <w:sz w:val="24"/>
                <w:lang w:val="en-US" w:eastAsia="zh-CN"/>
              </w:rPr>
            </w:pPr>
            <w:r>
              <w:rPr>
                <w:rFonts w:hint="eastAsia" w:ascii="Arial" w:hAnsi="Arial" w:cs="Arial"/>
                <w:color w:val="000000"/>
                <w:sz w:val="24"/>
                <w:lang w:val="en-US" w:eastAsia="zh-CN"/>
              </w:rPr>
              <w:t>0.60</w:t>
            </w:r>
          </w:p>
        </w:tc>
      </w:tr>
      <w:tr w14:paraId="13ADD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428B0F5B">
            <w:pPr>
              <w:spacing w:before="100" w:beforeAutospacing="1" w:after="100" w:afterAutospacing="1"/>
              <w:rPr>
                <w:rFonts w:ascii="Arial" w:hAnsi="Arial" w:cs="Arial"/>
                <w:sz w:val="24"/>
              </w:rPr>
            </w:pPr>
            <w:r>
              <w:rPr>
                <w:rFonts w:ascii="Arial" w:hAnsi="Arial" w:cs="Arial"/>
                <w:sz w:val="24"/>
              </w:rPr>
              <w:t>其他负债</w:t>
            </w:r>
          </w:p>
        </w:tc>
        <w:tc>
          <w:tcPr>
            <w:tcW w:w="4461" w:type="dxa"/>
            <w:shd w:val="clear" w:color="auto" w:fill="auto"/>
            <w:vAlign w:val="bottom"/>
          </w:tcPr>
          <w:p w14:paraId="53A6CF28">
            <w:pPr>
              <w:ind w:left="-80"/>
              <w:jc w:val="right"/>
              <w:rPr>
                <w:rFonts w:hint="eastAsia" w:ascii="Arial" w:hAnsi="Arial" w:cs="Arial"/>
                <w:color w:val="000000"/>
                <w:sz w:val="24"/>
                <w:lang w:val="en-US" w:eastAsia="zh-CN"/>
              </w:rPr>
            </w:pPr>
            <w:r>
              <w:rPr>
                <w:rFonts w:hint="eastAsia" w:ascii="Arial" w:hAnsi="Arial" w:cs="Arial"/>
                <w:color w:val="000000"/>
                <w:sz w:val="24"/>
                <w:lang w:val="en-US" w:eastAsia="zh-CN"/>
              </w:rPr>
              <w:t>86,554.52</w:t>
            </w:r>
          </w:p>
        </w:tc>
      </w:tr>
      <w:tr w14:paraId="6202F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526175DE">
            <w:pPr>
              <w:spacing w:before="100" w:beforeAutospacing="1" w:after="100" w:afterAutospacing="1"/>
              <w:rPr>
                <w:rFonts w:ascii="Arial" w:hAnsi="Arial" w:cs="Arial"/>
                <w:b/>
                <w:bCs/>
                <w:sz w:val="24"/>
              </w:rPr>
            </w:pPr>
            <w:r>
              <w:rPr>
                <w:rFonts w:ascii="Arial" w:hAnsi="Arial" w:cs="Arial"/>
                <w:b/>
                <w:bCs/>
                <w:sz w:val="24"/>
              </w:rPr>
              <w:t>负债合计</w:t>
            </w:r>
          </w:p>
        </w:tc>
        <w:tc>
          <w:tcPr>
            <w:tcW w:w="4461" w:type="dxa"/>
            <w:shd w:val="clear" w:color="auto" w:fill="auto"/>
            <w:vAlign w:val="bottom"/>
          </w:tcPr>
          <w:p w14:paraId="02F20FB5">
            <w:pPr>
              <w:ind w:left="-80"/>
              <w:jc w:val="right"/>
              <w:rPr>
                <w:rFonts w:hint="eastAsia" w:ascii="Arial" w:hAnsi="Arial" w:cs="Arial"/>
                <w:b/>
                <w:bCs/>
                <w:color w:val="000000"/>
                <w:sz w:val="24"/>
                <w:lang w:val="en-US" w:eastAsia="zh-CN"/>
              </w:rPr>
            </w:pPr>
            <w:r>
              <w:rPr>
                <w:rFonts w:hint="eastAsia" w:ascii="Arial" w:hAnsi="Arial" w:cs="Arial"/>
                <w:b/>
                <w:bCs/>
                <w:color w:val="000000"/>
                <w:sz w:val="24"/>
                <w:lang w:val="en-US" w:eastAsia="zh-CN"/>
              </w:rPr>
              <w:t>86,588.62</w:t>
            </w:r>
          </w:p>
        </w:tc>
      </w:tr>
      <w:tr w14:paraId="046B5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11602CDC">
            <w:pPr>
              <w:spacing w:before="100" w:beforeAutospacing="1" w:after="100" w:afterAutospacing="1"/>
              <w:rPr>
                <w:rFonts w:ascii="Arial" w:hAnsi="Arial" w:cs="Arial"/>
                <w:b/>
                <w:bCs/>
                <w:sz w:val="24"/>
              </w:rPr>
            </w:pPr>
            <w:r>
              <w:rPr>
                <w:rFonts w:hint="eastAsia" w:ascii="Arial" w:hAnsi="Arial" w:cs="Arial"/>
                <w:b/>
                <w:bCs/>
                <w:sz w:val="24"/>
                <w:lang w:val="en-US" w:eastAsia="zh-CN"/>
              </w:rPr>
              <w:t>净资产</w:t>
            </w:r>
            <w:r>
              <w:rPr>
                <w:rFonts w:ascii="Arial" w:hAnsi="Arial" w:cs="Arial"/>
                <w:b/>
                <w:bCs/>
                <w:sz w:val="24"/>
              </w:rPr>
              <w:t>：</w:t>
            </w:r>
          </w:p>
        </w:tc>
        <w:tc>
          <w:tcPr>
            <w:tcW w:w="4461" w:type="dxa"/>
            <w:shd w:val="clear" w:color="auto" w:fill="auto"/>
            <w:vAlign w:val="bottom"/>
          </w:tcPr>
          <w:p w14:paraId="0426032F">
            <w:pPr>
              <w:ind w:left="-80"/>
              <w:jc w:val="right"/>
              <w:rPr>
                <w:rFonts w:ascii="Arial" w:hAnsi="Arial" w:cs="Arial"/>
                <w:b/>
                <w:bCs/>
                <w:sz w:val="24"/>
              </w:rPr>
            </w:pPr>
          </w:p>
        </w:tc>
      </w:tr>
      <w:tr w14:paraId="288EE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0EC80939">
            <w:pPr>
              <w:spacing w:before="100" w:beforeAutospacing="1" w:after="100" w:afterAutospacing="1"/>
              <w:rPr>
                <w:rFonts w:ascii="Arial" w:hAnsi="Arial" w:cs="Arial"/>
                <w:b/>
                <w:bCs/>
                <w:sz w:val="24"/>
              </w:rPr>
            </w:pPr>
            <w:r>
              <w:rPr>
                <w:rFonts w:ascii="Arial" w:hAnsi="Arial" w:cs="Arial"/>
                <w:sz w:val="24"/>
              </w:rPr>
              <w:t>实收基金</w:t>
            </w:r>
          </w:p>
        </w:tc>
        <w:tc>
          <w:tcPr>
            <w:tcW w:w="4461" w:type="dxa"/>
            <w:shd w:val="clear" w:color="auto" w:fill="auto"/>
            <w:vAlign w:val="bottom"/>
          </w:tcPr>
          <w:p w14:paraId="30CA4A9B">
            <w:pPr>
              <w:ind w:left="-80"/>
              <w:jc w:val="right"/>
              <w:rPr>
                <w:rFonts w:hint="eastAsia" w:ascii="Arial" w:hAnsi="Arial" w:cs="Arial"/>
                <w:color w:val="000000"/>
                <w:sz w:val="24"/>
                <w:lang w:val="en-US" w:eastAsia="zh-CN"/>
              </w:rPr>
            </w:pPr>
            <w:r>
              <w:rPr>
                <w:rFonts w:hint="eastAsia" w:ascii="Arial" w:hAnsi="Arial" w:cs="Arial"/>
                <w:color w:val="000000"/>
                <w:sz w:val="24"/>
                <w:lang w:val="en-US" w:eastAsia="zh-CN"/>
              </w:rPr>
              <w:t>275,558.28</w:t>
            </w:r>
          </w:p>
        </w:tc>
      </w:tr>
      <w:tr w14:paraId="5B969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7CAED42E">
            <w:pPr>
              <w:spacing w:before="100" w:beforeAutospacing="1" w:after="100" w:afterAutospacing="1"/>
              <w:rPr>
                <w:rFonts w:ascii="Arial" w:hAnsi="Arial" w:cs="Arial"/>
                <w:b/>
                <w:bCs/>
                <w:sz w:val="24"/>
              </w:rPr>
            </w:pPr>
            <w:r>
              <w:rPr>
                <w:rFonts w:ascii="Arial" w:hAnsi="Arial" w:cs="Arial"/>
                <w:sz w:val="24"/>
              </w:rPr>
              <w:t>未分配利润</w:t>
            </w:r>
          </w:p>
        </w:tc>
        <w:tc>
          <w:tcPr>
            <w:tcW w:w="4461" w:type="dxa"/>
            <w:shd w:val="clear" w:color="auto" w:fill="auto"/>
            <w:vAlign w:val="bottom"/>
          </w:tcPr>
          <w:p w14:paraId="641F5D0E">
            <w:pPr>
              <w:ind w:left="-80"/>
              <w:jc w:val="right"/>
              <w:rPr>
                <w:rFonts w:hint="eastAsia" w:ascii="Arial" w:hAnsi="Arial" w:cs="Arial"/>
                <w:color w:val="000000"/>
                <w:sz w:val="24"/>
                <w:lang w:val="en-US" w:eastAsia="zh-CN"/>
              </w:rPr>
            </w:pPr>
            <w:r>
              <w:rPr>
                <w:rFonts w:hint="eastAsia" w:ascii="Arial" w:hAnsi="Arial" w:cs="Arial"/>
                <w:color w:val="000000"/>
                <w:sz w:val="24"/>
                <w:lang w:val="en-US" w:eastAsia="zh-CN"/>
              </w:rPr>
              <w:t>29,536.98</w:t>
            </w:r>
          </w:p>
        </w:tc>
      </w:tr>
      <w:tr w14:paraId="1B573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67C110C0">
            <w:pPr>
              <w:spacing w:before="100" w:beforeAutospacing="1" w:after="100" w:afterAutospacing="1"/>
              <w:rPr>
                <w:rFonts w:ascii="Arial" w:hAnsi="Arial" w:cs="Arial"/>
                <w:b/>
                <w:bCs/>
                <w:sz w:val="24"/>
              </w:rPr>
            </w:pPr>
            <w:r>
              <w:rPr>
                <w:rFonts w:hint="eastAsia" w:ascii="Arial" w:hAnsi="Arial" w:cs="Arial"/>
                <w:b/>
                <w:bCs/>
                <w:sz w:val="24"/>
                <w:lang w:val="en-US" w:eastAsia="zh-CN"/>
              </w:rPr>
              <w:t>净资产</w:t>
            </w:r>
            <w:r>
              <w:rPr>
                <w:rFonts w:ascii="Arial" w:hAnsi="Arial" w:cs="Arial"/>
                <w:b/>
                <w:bCs/>
                <w:sz w:val="24"/>
              </w:rPr>
              <w:t>合计</w:t>
            </w:r>
          </w:p>
        </w:tc>
        <w:tc>
          <w:tcPr>
            <w:tcW w:w="4461" w:type="dxa"/>
            <w:shd w:val="clear" w:color="auto" w:fill="auto"/>
            <w:vAlign w:val="bottom"/>
          </w:tcPr>
          <w:p w14:paraId="67751357">
            <w:pPr>
              <w:ind w:left="-80"/>
              <w:jc w:val="right"/>
              <w:rPr>
                <w:rFonts w:hint="eastAsia" w:ascii="Arial" w:hAnsi="Arial" w:cs="Arial"/>
                <w:b/>
                <w:bCs/>
                <w:color w:val="000000"/>
                <w:sz w:val="24"/>
                <w:lang w:val="en-US" w:eastAsia="zh-CN"/>
              </w:rPr>
            </w:pPr>
            <w:r>
              <w:rPr>
                <w:rFonts w:hint="eastAsia" w:ascii="Arial" w:hAnsi="Arial" w:cs="Arial"/>
                <w:b/>
                <w:bCs/>
                <w:color w:val="000000"/>
                <w:sz w:val="24"/>
                <w:lang w:val="en-US" w:eastAsia="zh-CN"/>
              </w:rPr>
              <w:t>305,095.26</w:t>
            </w:r>
          </w:p>
        </w:tc>
      </w:tr>
      <w:tr w14:paraId="28783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47A15A39">
            <w:pPr>
              <w:spacing w:before="100" w:beforeAutospacing="1" w:after="100" w:afterAutospacing="1"/>
              <w:rPr>
                <w:rFonts w:ascii="Arial" w:hAnsi="Arial" w:cs="Arial"/>
                <w:b/>
                <w:bCs/>
                <w:sz w:val="24"/>
              </w:rPr>
            </w:pPr>
            <w:r>
              <w:rPr>
                <w:rFonts w:ascii="Arial" w:hAnsi="Arial" w:cs="Arial"/>
                <w:b/>
                <w:bCs/>
                <w:sz w:val="24"/>
              </w:rPr>
              <w:t>负债和</w:t>
            </w:r>
            <w:r>
              <w:rPr>
                <w:rFonts w:hint="eastAsia" w:ascii="Arial" w:hAnsi="Arial" w:cs="Arial"/>
                <w:b/>
                <w:bCs/>
                <w:sz w:val="24"/>
                <w:lang w:val="en-US" w:eastAsia="zh-CN"/>
              </w:rPr>
              <w:t>净资产</w:t>
            </w:r>
            <w:r>
              <w:rPr>
                <w:rFonts w:ascii="Arial" w:hAnsi="Arial" w:cs="Arial"/>
                <w:b/>
                <w:bCs/>
                <w:sz w:val="24"/>
              </w:rPr>
              <w:t>总计</w:t>
            </w:r>
          </w:p>
        </w:tc>
        <w:tc>
          <w:tcPr>
            <w:tcW w:w="4461" w:type="dxa"/>
            <w:shd w:val="clear" w:color="auto" w:fill="auto"/>
            <w:vAlign w:val="bottom"/>
          </w:tcPr>
          <w:p w14:paraId="4D7B494C">
            <w:pPr>
              <w:ind w:left="-80"/>
              <w:jc w:val="right"/>
              <w:rPr>
                <w:rFonts w:hint="eastAsia" w:ascii="Arial" w:hAnsi="Arial" w:cs="Arial"/>
                <w:b/>
                <w:bCs/>
                <w:color w:val="000000"/>
                <w:sz w:val="24"/>
                <w:lang w:val="en-US" w:eastAsia="zh-CN"/>
              </w:rPr>
            </w:pPr>
            <w:r>
              <w:rPr>
                <w:rFonts w:hint="eastAsia" w:ascii="Arial" w:hAnsi="Arial" w:cs="Arial"/>
                <w:b/>
                <w:bCs/>
                <w:color w:val="000000"/>
                <w:sz w:val="24"/>
                <w:lang w:val="en-US" w:eastAsia="zh-CN"/>
              </w:rPr>
              <w:t>391,683.88</w:t>
            </w:r>
          </w:p>
        </w:tc>
      </w:tr>
    </w:tbl>
    <w:p w14:paraId="7A18FB19">
      <w:pPr>
        <w:spacing w:line="0" w:lineRule="atLeast"/>
        <w:rPr>
          <w:rFonts w:hint="eastAsia" w:ascii="宋体" w:hAnsi="宋体" w:cs="Arial"/>
          <w:szCs w:val="21"/>
        </w:rPr>
      </w:pPr>
      <w:r>
        <w:rPr>
          <w:rFonts w:hint="eastAsia" w:ascii="宋体" w:hAnsi="宋体" w:cs="Arial"/>
          <w:szCs w:val="21"/>
        </w:rPr>
        <w:t>注：</w:t>
      </w:r>
      <w:r>
        <w:rPr>
          <w:rFonts w:hint="eastAsia" w:ascii="宋体" w:hAnsi="宋体" w:cs="Arial"/>
          <w:szCs w:val="21"/>
          <w:lang w:val="en-US" w:eastAsia="zh-CN"/>
        </w:rPr>
        <w:t>截止</w:t>
      </w:r>
      <w:r>
        <w:rPr>
          <w:rFonts w:hint="eastAsia" w:ascii="宋体" w:hAnsi="宋体" w:cs="Arial"/>
          <w:szCs w:val="21"/>
        </w:rPr>
        <w:t>202</w:t>
      </w:r>
      <w:r>
        <w:rPr>
          <w:rFonts w:hint="eastAsia" w:ascii="宋体" w:hAnsi="宋体" w:cs="Arial"/>
          <w:szCs w:val="21"/>
          <w:lang w:val="en-US" w:eastAsia="zh-CN"/>
        </w:rPr>
        <w:t>6</w:t>
      </w:r>
      <w:r>
        <w:rPr>
          <w:rFonts w:hint="eastAsia" w:ascii="宋体" w:hAnsi="宋体" w:cs="Arial"/>
          <w:szCs w:val="21"/>
        </w:rPr>
        <w:t>年</w:t>
      </w:r>
      <w:r>
        <w:rPr>
          <w:rFonts w:hint="eastAsia" w:ascii="宋体" w:hAnsi="宋体" w:cs="Arial"/>
          <w:szCs w:val="21"/>
          <w:lang w:val="en-US" w:eastAsia="zh-CN"/>
        </w:rPr>
        <w:t>4</w:t>
      </w:r>
      <w:r>
        <w:rPr>
          <w:rFonts w:hint="eastAsia" w:ascii="宋体" w:hAnsi="宋体" w:cs="Arial"/>
          <w:szCs w:val="21"/>
        </w:rPr>
        <w:t>月</w:t>
      </w:r>
      <w:r>
        <w:rPr>
          <w:rFonts w:hint="eastAsia" w:ascii="宋体" w:hAnsi="宋体" w:cs="Arial"/>
          <w:szCs w:val="21"/>
          <w:lang w:val="en-US" w:eastAsia="zh-CN"/>
        </w:rPr>
        <w:t>9</w:t>
      </w:r>
      <w:r>
        <w:rPr>
          <w:rFonts w:hint="eastAsia" w:ascii="宋体" w:hAnsi="宋体" w:cs="Arial"/>
          <w:szCs w:val="21"/>
        </w:rPr>
        <w:t>日(基金最后运作日)基金份额总额275,558.28份，其中A类基金份额272,175.58份，基金份额净值1.1074元；C类基金份额3,382.70份，基金份额净值1.0892元。</w:t>
      </w:r>
    </w:p>
    <w:p w14:paraId="031E88ED">
      <w:pPr>
        <w:spacing w:line="0" w:lineRule="atLeast"/>
        <w:rPr>
          <w:rFonts w:ascii="宋体" w:hAnsi="宋体" w:cs="Arial"/>
          <w:szCs w:val="21"/>
        </w:rPr>
      </w:pPr>
    </w:p>
    <w:p w14:paraId="59F421A0">
      <w:pPr>
        <w:pStyle w:val="3"/>
        <w:spacing w:before="0" w:after="0"/>
        <w:rPr>
          <w:rFonts w:ascii="宋体" w:hAnsi="宋体" w:eastAsia="宋体"/>
          <w:kern w:val="0"/>
          <w:sz w:val="21"/>
          <w:szCs w:val="21"/>
        </w:rPr>
      </w:pPr>
      <w:bookmarkStart w:id="39" w:name="_Toc491963085"/>
      <w:bookmarkStart w:id="40" w:name="_Toc484769807"/>
      <w:r>
        <w:rPr>
          <w:rFonts w:hint="eastAsia" w:ascii="宋体" w:hAnsi="宋体" w:eastAsia="宋体"/>
          <w:kern w:val="0"/>
          <w:sz w:val="21"/>
          <w:szCs w:val="21"/>
        </w:rPr>
        <w:t>4</w:t>
      </w:r>
      <w:r>
        <w:rPr>
          <w:rFonts w:ascii="宋体" w:hAnsi="宋体" w:eastAsia="宋体"/>
          <w:kern w:val="0"/>
          <w:sz w:val="21"/>
          <w:szCs w:val="21"/>
        </w:rPr>
        <w:t xml:space="preserve">.2 </w:t>
      </w:r>
      <w:r>
        <w:rPr>
          <w:rFonts w:hint="eastAsia" w:ascii="宋体" w:hAnsi="宋体" w:eastAsia="宋体"/>
          <w:kern w:val="0"/>
          <w:sz w:val="21"/>
          <w:szCs w:val="21"/>
        </w:rPr>
        <w:t>清算损益表</w:t>
      </w:r>
      <w:bookmarkEnd w:id="39"/>
      <w:bookmarkEnd w:id="40"/>
    </w:p>
    <w:tbl>
      <w:tblPr>
        <w:tblStyle w:val="13"/>
        <w:tblW w:w="79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495"/>
        <w:gridCol w:w="4408"/>
      </w:tblGrid>
      <w:tr w14:paraId="1C9B4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vAlign w:val="center"/>
          </w:tcPr>
          <w:p w14:paraId="344FC78B">
            <w:pPr>
              <w:pStyle w:val="11"/>
              <w:jc w:val="center"/>
              <w:rPr>
                <w:rFonts w:ascii="宋体" w:hAnsi="宋体" w:eastAsia="宋体"/>
                <w:b/>
                <w:color w:val="000000" w:themeColor="text1"/>
                <w:sz w:val="21"/>
                <w:szCs w:val="21"/>
                <w14:textFill>
                  <w14:solidFill>
                    <w14:schemeClr w14:val="tx1"/>
                  </w14:solidFill>
                </w14:textFill>
              </w:rPr>
            </w:pPr>
            <w:r>
              <w:rPr>
                <w:rFonts w:ascii="宋体" w:hAnsi="宋体" w:eastAsia="宋体"/>
                <w:b/>
                <w:color w:val="000000" w:themeColor="text1"/>
                <w:sz w:val="21"/>
                <w:szCs w:val="21"/>
                <w14:textFill>
                  <w14:solidFill>
                    <w14:schemeClr w14:val="tx1"/>
                  </w14:solidFill>
                </w14:textFill>
              </w:rPr>
              <w:t>项目</w:t>
            </w:r>
          </w:p>
        </w:tc>
        <w:tc>
          <w:tcPr>
            <w:tcW w:w="4408" w:type="dxa"/>
            <w:vAlign w:val="center"/>
          </w:tcPr>
          <w:p w14:paraId="0D4CD7FD">
            <w:pPr>
              <w:pStyle w:val="11"/>
              <w:spacing w:before="0" w:beforeAutospacing="0" w:after="0" w:afterAutospacing="0"/>
              <w:jc w:val="center"/>
              <w:rPr>
                <w:rFonts w:ascii="宋体" w:hAnsi="宋体" w:eastAsia="宋体"/>
                <w:b/>
                <w:color w:val="000000" w:themeColor="text1"/>
                <w:sz w:val="21"/>
                <w:szCs w:val="21"/>
                <w:lang w:eastAsia="zh-CN"/>
                <w14:textFill>
                  <w14:solidFill>
                    <w14:schemeClr w14:val="tx1"/>
                  </w14:solidFill>
                </w14:textFill>
              </w:rPr>
            </w:pPr>
            <w:r>
              <w:rPr>
                <w:rFonts w:hint="eastAsia" w:ascii="宋体" w:hAnsi="宋体" w:eastAsia="宋体"/>
                <w:b/>
                <w:color w:val="000000" w:themeColor="text1"/>
                <w:sz w:val="21"/>
                <w:szCs w:val="21"/>
                <w:lang w:eastAsia="zh-CN"/>
                <w14:textFill>
                  <w14:solidFill>
                    <w14:schemeClr w14:val="tx1"/>
                  </w14:solidFill>
                </w14:textFill>
              </w:rPr>
              <w:t>202</w:t>
            </w:r>
            <w:r>
              <w:rPr>
                <w:rFonts w:hint="eastAsia" w:ascii="宋体" w:hAnsi="宋体" w:eastAsia="宋体"/>
                <w:b/>
                <w:color w:val="000000" w:themeColor="text1"/>
                <w:sz w:val="21"/>
                <w:szCs w:val="21"/>
                <w:lang w:val="en-US" w:eastAsia="zh-CN"/>
                <w14:textFill>
                  <w14:solidFill>
                    <w14:schemeClr w14:val="tx1"/>
                  </w14:solidFill>
                </w14:textFill>
              </w:rPr>
              <w:t>6</w:t>
            </w:r>
            <w:r>
              <w:rPr>
                <w:rFonts w:hint="eastAsia" w:ascii="宋体" w:hAnsi="宋体" w:eastAsia="宋体"/>
                <w:b/>
                <w:color w:val="000000" w:themeColor="text1"/>
                <w:sz w:val="21"/>
                <w:szCs w:val="21"/>
                <w:lang w:eastAsia="zh-CN"/>
                <w14:textFill>
                  <w14:solidFill>
                    <w14:schemeClr w14:val="tx1"/>
                  </w14:solidFill>
                </w14:textFill>
              </w:rPr>
              <w:t>年</w:t>
            </w:r>
            <w:r>
              <w:rPr>
                <w:rFonts w:hint="eastAsia" w:ascii="宋体" w:hAnsi="宋体" w:eastAsia="宋体"/>
                <w:b/>
                <w:color w:val="000000" w:themeColor="text1"/>
                <w:sz w:val="21"/>
                <w:szCs w:val="21"/>
                <w:lang w:val="en-US" w:eastAsia="zh-CN"/>
                <w14:textFill>
                  <w14:solidFill>
                    <w14:schemeClr w14:val="tx1"/>
                  </w14:solidFill>
                </w14:textFill>
              </w:rPr>
              <w:t>4</w:t>
            </w:r>
            <w:r>
              <w:rPr>
                <w:rFonts w:hint="eastAsia" w:ascii="宋体" w:hAnsi="宋体" w:eastAsia="宋体"/>
                <w:b/>
                <w:color w:val="000000" w:themeColor="text1"/>
                <w:sz w:val="21"/>
                <w:szCs w:val="21"/>
                <w:lang w:eastAsia="zh-CN"/>
                <w14:textFill>
                  <w14:solidFill>
                    <w14:schemeClr w14:val="tx1"/>
                  </w14:solidFill>
                </w14:textFill>
              </w:rPr>
              <w:t>月</w:t>
            </w:r>
            <w:r>
              <w:rPr>
                <w:rFonts w:hint="eastAsia" w:ascii="宋体" w:hAnsi="宋体" w:eastAsia="宋体"/>
                <w:b/>
                <w:color w:val="000000" w:themeColor="text1"/>
                <w:sz w:val="21"/>
                <w:szCs w:val="21"/>
                <w:lang w:val="en-US" w:eastAsia="zh-CN"/>
                <w14:textFill>
                  <w14:solidFill>
                    <w14:schemeClr w14:val="tx1"/>
                  </w14:solidFill>
                </w14:textFill>
              </w:rPr>
              <w:t>10</w:t>
            </w:r>
            <w:r>
              <w:rPr>
                <w:rFonts w:hint="eastAsia" w:ascii="宋体" w:hAnsi="宋体" w:eastAsia="宋体"/>
                <w:b/>
                <w:color w:val="000000" w:themeColor="text1"/>
                <w:sz w:val="21"/>
                <w:szCs w:val="21"/>
                <w:lang w:eastAsia="zh-CN"/>
                <w14:textFill>
                  <w14:solidFill>
                    <w14:schemeClr w14:val="tx1"/>
                  </w14:solidFill>
                </w14:textFill>
              </w:rPr>
              <w:t>日</w:t>
            </w:r>
            <w:r>
              <w:rPr>
                <w:rFonts w:ascii="宋体" w:hAnsi="宋体" w:eastAsia="宋体"/>
                <w:b/>
                <w:color w:val="000000" w:themeColor="text1"/>
                <w:sz w:val="21"/>
                <w:szCs w:val="21"/>
                <w:lang w:eastAsia="zh-CN"/>
                <w14:textFill>
                  <w14:solidFill>
                    <w14:schemeClr w14:val="tx1"/>
                  </w14:solidFill>
                </w14:textFill>
              </w:rPr>
              <w:t>至</w:t>
            </w:r>
            <w:r>
              <w:rPr>
                <w:rFonts w:hint="eastAsia" w:ascii="宋体" w:hAnsi="宋体" w:eastAsia="宋体"/>
                <w:b/>
                <w:color w:val="000000" w:themeColor="text1"/>
                <w:sz w:val="21"/>
                <w:szCs w:val="21"/>
                <w:lang w:eastAsia="zh-CN"/>
                <w14:textFill>
                  <w14:solidFill>
                    <w14:schemeClr w14:val="tx1"/>
                  </w14:solidFill>
                </w14:textFill>
              </w:rPr>
              <w:t>202</w:t>
            </w:r>
            <w:r>
              <w:rPr>
                <w:rFonts w:hint="eastAsia" w:ascii="宋体" w:hAnsi="宋体" w:eastAsia="宋体"/>
                <w:b/>
                <w:color w:val="000000" w:themeColor="text1"/>
                <w:sz w:val="21"/>
                <w:szCs w:val="21"/>
                <w:lang w:val="en-US" w:eastAsia="zh-CN"/>
                <w14:textFill>
                  <w14:solidFill>
                    <w14:schemeClr w14:val="tx1"/>
                  </w14:solidFill>
                </w14:textFill>
              </w:rPr>
              <w:t>6</w:t>
            </w:r>
            <w:r>
              <w:rPr>
                <w:rFonts w:hint="eastAsia" w:ascii="宋体" w:hAnsi="宋体" w:eastAsia="宋体"/>
                <w:b/>
                <w:color w:val="000000" w:themeColor="text1"/>
                <w:sz w:val="21"/>
                <w:szCs w:val="21"/>
                <w:lang w:eastAsia="zh-CN"/>
                <w14:textFill>
                  <w14:solidFill>
                    <w14:schemeClr w14:val="tx1"/>
                  </w14:solidFill>
                </w14:textFill>
              </w:rPr>
              <w:t>年</w:t>
            </w:r>
            <w:r>
              <w:rPr>
                <w:rFonts w:hint="eastAsia" w:ascii="宋体" w:hAnsi="宋体" w:eastAsia="宋体"/>
                <w:b/>
                <w:color w:val="000000" w:themeColor="text1"/>
                <w:sz w:val="21"/>
                <w:szCs w:val="21"/>
                <w:lang w:val="en-US" w:eastAsia="zh-CN"/>
                <w14:textFill>
                  <w14:solidFill>
                    <w14:schemeClr w14:val="tx1"/>
                  </w14:solidFill>
                </w14:textFill>
              </w:rPr>
              <w:t>4</w:t>
            </w:r>
            <w:r>
              <w:rPr>
                <w:rFonts w:hint="eastAsia" w:ascii="宋体" w:hAnsi="宋体" w:eastAsia="宋体"/>
                <w:b/>
                <w:color w:val="000000" w:themeColor="text1"/>
                <w:sz w:val="21"/>
                <w:szCs w:val="21"/>
                <w:lang w:eastAsia="zh-CN"/>
                <w14:textFill>
                  <w14:solidFill>
                    <w14:schemeClr w14:val="tx1"/>
                  </w14:solidFill>
                </w14:textFill>
              </w:rPr>
              <w:t>月</w:t>
            </w:r>
            <w:r>
              <w:rPr>
                <w:rFonts w:ascii="宋体" w:hAnsi="宋体" w:eastAsia="宋体"/>
                <w:b/>
                <w:color w:val="000000" w:themeColor="text1"/>
                <w:sz w:val="21"/>
                <w:szCs w:val="21"/>
                <w:lang w:eastAsia="zh-CN"/>
                <w14:textFill>
                  <w14:solidFill>
                    <w14:schemeClr w14:val="tx1"/>
                  </w14:solidFill>
                </w14:textFill>
              </w:rPr>
              <w:t>2</w:t>
            </w:r>
            <w:r>
              <w:rPr>
                <w:rFonts w:hint="eastAsia" w:ascii="宋体" w:hAnsi="宋体" w:eastAsia="宋体"/>
                <w:b/>
                <w:color w:val="000000" w:themeColor="text1"/>
                <w:sz w:val="21"/>
                <w:szCs w:val="21"/>
                <w:lang w:val="en-US" w:eastAsia="zh-CN"/>
                <w14:textFill>
                  <w14:solidFill>
                    <w14:schemeClr w14:val="tx1"/>
                  </w14:solidFill>
                </w14:textFill>
              </w:rPr>
              <w:t>7</w:t>
            </w:r>
            <w:r>
              <w:rPr>
                <w:rFonts w:hint="eastAsia" w:ascii="宋体" w:hAnsi="宋体" w:eastAsia="宋体"/>
                <w:b/>
                <w:color w:val="000000" w:themeColor="text1"/>
                <w:sz w:val="21"/>
                <w:szCs w:val="21"/>
                <w:lang w:eastAsia="zh-CN"/>
                <w14:textFill>
                  <w14:solidFill>
                    <w14:schemeClr w14:val="tx1"/>
                  </w14:solidFill>
                </w14:textFill>
              </w:rPr>
              <w:t>日</w:t>
            </w:r>
          </w:p>
          <w:p w14:paraId="7BF8AC02">
            <w:pPr>
              <w:pStyle w:val="11"/>
              <w:spacing w:before="0" w:beforeAutospacing="0" w:after="0" w:afterAutospacing="0"/>
              <w:jc w:val="center"/>
              <w:rPr>
                <w:rFonts w:ascii="宋体" w:hAnsi="宋体" w:eastAsia="宋体"/>
                <w:b/>
                <w:color w:val="000000" w:themeColor="text1"/>
                <w:sz w:val="21"/>
                <w:szCs w:val="21"/>
                <w:lang w:eastAsia="zh-CN"/>
                <w14:textFill>
                  <w14:solidFill>
                    <w14:schemeClr w14:val="tx1"/>
                  </w14:solidFill>
                </w14:textFill>
              </w:rPr>
            </w:pPr>
            <w:r>
              <w:rPr>
                <w:rFonts w:hint="eastAsia" w:ascii="宋体" w:hAnsi="宋体" w:eastAsia="宋体"/>
                <w:b/>
                <w:color w:val="000000" w:themeColor="text1"/>
                <w:sz w:val="21"/>
                <w:szCs w:val="21"/>
                <w:lang w:eastAsia="zh-CN"/>
                <w14:textFill>
                  <w14:solidFill>
                    <w14:schemeClr w14:val="tx1"/>
                  </w14:solidFill>
                </w14:textFill>
              </w:rPr>
              <w:t>（清算期间）</w:t>
            </w:r>
          </w:p>
        </w:tc>
      </w:tr>
      <w:tr w14:paraId="1453BD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vAlign w:val="center"/>
          </w:tcPr>
          <w:p w14:paraId="50D91243">
            <w:pPr>
              <w:rPr>
                <w:rFonts w:ascii="宋体" w:hAnsi="宋体"/>
                <w:b/>
                <w:color w:val="000000" w:themeColor="text1"/>
                <w:szCs w:val="21"/>
                <w14:textFill>
                  <w14:solidFill>
                    <w14:schemeClr w14:val="tx1"/>
                  </w14:solidFill>
                </w14:textFill>
              </w:rPr>
            </w:pPr>
            <w:r>
              <w:rPr>
                <w:rFonts w:hint="eastAsia"/>
                <w:b/>
                <w:bCs/>
                <w:color w:val="000000"/>
                <w:szCs w:val="21"/>
              </w:rPr>
              <w:t>一、清算收益</w:t>
            </w:r>
          </w:p>
        </w:tc>
        <w:tc>
          <w:tcPr>
            <w:tcW w:w="4408" w:type="dxa"/>
            <w:vAlign w:val="bottom"/>
          </w:tcPr>
          <w:p w14:paraId="1C226110">
            <w:pPr>
              <w:ind w:left="-80"/>
              <w:jc w:val="right"/>
              <w:rPr>
                <w:rFonts w:ascii="Arial" w:hAnsi="Arial" w:cs="Arial"/>
                <w:b/>
                <w:bCs/>
                <w:color w:val="000000"/>
                <w:sz w:val="24"/>
              </w:rPr>
            </w:pPr>
            <w:r>
              <w:rPr>
                <w:rFonts w:hint="eastAsia" w:ascii="Arial" w:hAnsi="Arial" w:cs="Arial"/>
                <w:b/>
                <w:bCs/>
                <w:color w:val="000000"/>
                <w:sz w:val="24"/>
                <w:lang w:val="en-US" w:eastAsia="zh-CN"/>
              </w:rPr>
              <w:t>77</w:t>
            </w:r>
            <w:r>
              <w:rPr>
                <w:rFonts w:ascii="Arial" w:hAnsi="Arial" w:cs="Arial"/>
                <w:b/>
                <w:bCs/>
                <w:color w:val="000000"/>
                <w:sz w:val="24"/>
              </w:rPr>
              <w:t>.</w:t>
            </w:r>
            <w:r>
              <w:rPr>
                <w:rFonts w:hint="eastAsia" w:ascii="Arial" w:hAnsi="Arial" w:cs="Arial"/>
                <w:b/>
                <w:bCs/>
                <w:color w:val="000000"/>
                <w:sz w:val="24"/>
                <w:lang w:val="en-US" w:eastAsia="zh-CN"/>
              </w:rPr>
              <w:t>21</w:t>
            </w:r>
          </w:p>
        </w:tc>
      </w:tr>
      <w:tr w14:paraId="4A1656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vAlign w:val="center"/>
          </w:tcPr>
          <w:p w14:paraId="3D95A36B">
            <w:pPr>
              <w:rPr>
                <w:rFonts w:ascii="宋体" w:hAnsi="宋体"/>
                <w:color w:val="000000" w:themeColor="text1"/>
                <w:szCs w:val="21"/>
                <w14:textFill>
                  <w14:solidFill>
                    <w14:schemeClr w14:val="tx1"/>
                  </w14:solidFill>
                </w14:textFill>
              </w:rPr>
            </w:pPr>
            <w:r>
              <w:rPr>
                <w:rFonts w:hint="eastAsia"/>
                <w:color w:val="000000"/>
                <w:szCs w:val="21"/>
              </w:rPr>
              <w:t>1.</w:t>
            </w:r>
            <w:r>
              <w:rPr>
                <w:color w:val="000000"/>
                <w:sz w:val="14"/>
                <w:szCs w:val="14"/>
              </w:rPr>
              <w:t xml:space="preserve">  </w:t>
            </w:r>
            <w:r>
              <w:rPr>
                <w:rFonts w:hint="eastAsia"/>
                <w:color w:val="000000"/>
                <w:szCs w:val="21"/>
              </w:rPr>
              <w:t>利息收入</w:t>
            </w:r>
          </w:p>
        </w:tc>
        <w:tc>
          <w:tcPr>
            <w:tcW w:w="4408" w:type="dxa"/>
            <w:vAlign w:val="bottom"/>
          </w:tcPr>
          <w:p w14:paraId="1DAEA4BA">
            <w:pPr>
              <w:ind w:left="-80"/>
              <w:jc w:val="right"/>
              <w:rPr>
                <w:rFonts w:ascii="Arial" w:hAnsi="Arial" w:cs="Arial"/>
                <w:b w:val="0"/>
                <w:bCs w:val="0"/>
                <w:color w:val="000000"/>
                <w:sz w:val="24"/>
              </w:rPr>
            </w:pPr>
            <w:r>
              <w:rPr>
                <w:rFonts w:hint="eastAsia" w:ascii="Arial" w:hAnsi="Arial" w:cs="Arial"/>
                <w:b w:val="0"/>
                <w:bCs w:val="0"/>
                <w:color w:val="000000"/>
                <w:sz w:val="24"/>
                <w:lang w:val="en-US" w:eastAsia="zh-CN"/>
              </w:rPr>
              <w:t>58</w:t>
            </w:r>
            <w:r>
              <w:rPr>
                <w:rFonts w:ascii="Arial" w:hAnsi="Arial" w:cs="Arial"/>
                <w:b w:val="0"/>
                <w:bCs w:val="0"/>
                <w:color w:val="000000"/>
                <w:sz w:val="24"/>
              </w:rPr>
              <w:t>.</w:t>
            </w:r>
            <w:r>
              <w:rPr>
                <w:rFonts w:hint="eastAsia" w:ascii="Arial" w:hAnsi="Arial" w:cs="Arial"/>
                <w:b w:val="0"/>
                <w:bCs w:val="0"/>
                <w:color w:val="000000"/>
                <w:sz w:val="24"/>
                <w:lang w:val="en-US" w:eastAsia="zh-CN"/>
              </w:rPr>
              <w:t>84</w:t>
            </w:r>
          </w:p>
        </w:tc>
      </w:tr>
      <w:tr w14:paraId="278C49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vAlign w:val="center"/>
          </w:tcPr>
          <w:p w14:paraId="3564ACE1">
            <w:pPr>
              <w:rPr>
                <w:rFonts w:hint="eastAsia"/>
                <w:color w:val="000000"/>
                <w:szCs w:val="21"/>
              </w:rPr>
            </w:pPr>
            <w:r>
              <w:rPr>
                <w:rFonts w:hint="eastAsia"/>
                <w:color w:val="000000"/>
                <w:szCs w:val="21"/>
              </w:rPr>
              <w:t>2</w:t>
            </w:r>
            <w:r>
              <w:rPr>
                <w:color w:val="000000"/>
                <w:szCs w:val="21"/>
              </w:rPr>
              <w:t xml:space="preserve">. </w:t>
            </w:r>
            <w:r>
              <w:rPr>
                <w:rFonts w:hint="eastAsia"/>
                <w:color w:val="000000"/>
                <w:szCs w:val="21"/>
              </w:rPr>
              <w:t>公允价值变动损益</w:t>
            </w:r>
          </w:p>
        </w:tc>
        <w:tc>
          <w:tcPr>
            <w:tcW w:w="4408" w:type="dxa"/>
          </w:tcPr>
          <w:p w14:paraId="79244990">
            <w:pPr>
              <w:ind w:left="-80"/>
              <w:jc w:val="right"/>
              <w:rPr>
                <w:rFonts w:hint="eastAsia" w:ascii="Arial" w:hAnsi="Arial" w:cs="Arial"/>
                <w:b w:val="0"/>
                <w:bCs w:val="0"/>
                <w:color w:val="000000"/>
                <w:sz w:val="24"/>
                <w:lang w:val="en-US" w:eastAsia="zh-CN"/>
              </w:rPr>
            </w:pPr>
            <w:r>
              <w:rPr>
                <w:rFonts w:ascii="Arial" w:hAnsi="Arial" w:cs="Arial"/>
                <w:b w:val="0"/>
                <w:bCs w:val="0"/>
                <w:color w:val="000000"/>
                <w:sz w:val="24"/>
              </w:rPr>
              <w:t>-</w:t>
            </w:r>
            <w:r>
              <w:rPr>
                <w:rFonts w:hint="eastAsia" w:ascii="Arial" w:hAnsi="Arial" w:cs="Arial"/>
                <w:b w:val="0"/>
                <w:bCs w:val="0"/>
                <w:color w:val="000000"/>
                <w:sz w:val="24"/>
                <w:lang w:val="en-US" w:eastAsia="zh-CN"/>
              </w:rPr>
              <w:t>311</w:t>
            </w:r>
            <w:r>
              <w:rPr>
                <w:rFonts w:ascii="Arial" w:hAnsi="Arial" w:cs="Arial"/>
                <w:b w:val="0"/>
                <w:bCs w:val="0"/>
                <w:color w:val="000000"/>
                <w:sz w:val="24"/>
              </w:rPr>
              <w:t>.</w:t>
            </w:r>
            <w:r>
              <w:rPr>
                <w:rFonts w:hint="eastAsia" w:ascii="Arial" w:hAnsi="Arial" w:cs="Arial"/>
                <w:b w:val="0"/>
                <w:bCs w:val="0"/>
                <w:color w:val="000000"/>
                <w:sz w:val="24"/>
                <w:lang w:val="en-US" w:eastAsia="zh-CN"/>
              </w:rPr>
              <w:t>40</w:t>
            </w:r>
          </w:p>
        </w:tc>
      </w:tr>
      <w:tr w14:paraId="5136A0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vAlign w:val="center"/>
          </w:tcPr>
          <w:p w14:paraId="7BB466A0">
            <w:pPr>
              <w:rPr>
                <w:rFonts w:hint="eastAsia"/>
                <w:color w:val="000000"/>
                <w:szCs w:val="21"/>
              </w:rPr>
            </w:pPr>
            <w:r>
              <w:rPr>
                <w:color w:val="000000"/>
                <w:szCs w:val="21"/>
              </w:rPr>
              <w:t>3</w:t>
            </w:r>
            <w:r>
              <w:rPr>
                <w:rFonts w:hint="eastAsia"/>
                <w:color w:val="000000"/>
                <w:szCs w:val="21"/>
              </w:rPr>
              <w:t>.</w:t>
            </w:r>
            <w:r>
              <w:rPr>
                <w:color w:val="000000"/>
                <w:szCs w:val="21"/>
              </w:rPr>
              <w:t xml:space="preserve"> </w:t>
            </w:r>
            <w:r>
              <w:rPr>
                <w:rFonts w:hint="eastAsia"/>
                <w:color w:val="000000"/>
                <w:szCs w:val="21"/>
              </w:rPr>
              <w:t>投资收益</w:t>
            </w:r>
          </w:p>
        </w:tc>
        <w:tc>
          <w:tcPr>
            <w:tcW w:w="4408" w:type="dxa"/>
          </w:tcPr>
          <w:p w14:paraId="14743222">
            <w:pPr>
              <w:ind w:left="-80"/>
              <w:jc w:val="right"/>
              <w:rPr>
                <w:rFonts w:hint="eastAsia" w:ascii="Arial" w:hAnsi="Arial" w:cs="Arial"/>
                <w:b w:val="0"/>
                <w:bCs w:val="0"/>
                <w:color w:val="000000"/>
                <w:sz w:val="24"/>
                <w:lang w:val="en-US" w:eastAsia="zh-CN"/>
              </w:rPr>
            </w:pPr>
            <w:r>
              <w:rPr>
                <w:rFonts w:hint="eastAsia" w:ascii="Arial" w:hAnsi="Arial" w:cs="Arial"/>
                <w:b w:val="0"/>
                <w:bCs w:val="0"/>
                <w:color w:val="000000"/>
                <w:sz w:val="24"/>
                <w:lang w:val="en-US" w:eastAsia="zh-CN"/>
              </w:rPr>
              <w:t>329</w:t>
            </w:r>
            <w:r>
              <w:rPr>
                <w:rFonts w:ascii="Arial" w:hAnsi="Arial" w:cs="Arial"/>
                <w:b w:val="0"/>
                <w:bCs w:val="0"/>
                <w:color w:val="000000"/>
                <w:sz w:val="24"/>
              </w:rPr>
              <w:t>.</w:t>
            </w:r>
            <w:r>
              <w:rPr>
                <w:rFonts w:hint="eastAsia" w:ascii="Arial" w:hAnsi="Arial" w:cs="Arial"/>
                <w:b w:val="0"/>
                <w:bCs w:val="0"/>
                <w:color w:val="000000"/>
                <w:sz w:val="24"/>
                <w:lang w:val="en-US" w:eastAsia="zh-CN"/>
              </w:rPr>
              <w:t>77</w:t>
            </w:r>
          </w:p>
        </w:tc>
      </w:tr>
      <w:tr w14:paraId="34D830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vAlign w:val="center"/>
          </w:tcPr>
          <w:p w14:paraId="6327BFA2">
            <w:pPr>
              <w:rPr>
                <w:rFonts w:ascii="宋体" w:hAnsi="宋体"/>
                <w:color w:val="000000" w:themeColor="text1"/>
                <w:szCs w:val="21"/>
                <w14:textFill>
                  <w14:solidFill>
                    <w14:schemeClr w14:val="tx1"/>
                  </w14:solidFill>
                </w14:textFill>
              </w:rPr>
            </w:pPr>
            <w:r>
              <w:rPr>
                <w:rFonts w:hint="eastAsia"/>
                <w:b/>
                <w:bCs/>
                <w:color w:val="000000"/>
                <w:szCs w:val="21"/>
              </w:rPr>
              <w:t>二、清算费用</w:t>
            </w:r>
          </w:p>
        </w:tc>
        <w:tc>
          <w:tcPr>
            <w:tcW w:w="4408" w:type="dxa"/>
            <w:vAlign w:val="bottom"/>
          </w:tcPr>
          <w:p w14:paraId="421BBA32">
            <w:pPr>
              <w:ind w:left="-80"/>
              <w:jc w:val="right"/>
              <w:rPr>
                <w:rFonts w:ascii="Arial" w:hAnsi="Arial" w:cs="Arial"/>
                <w:b/>
                <w:bCs/>
                <w:color w:val="000000"/>
                <w:sz w:val="24"/>
              </w:rPr>
            </w:pPr>
            <w:r>
              <w:rPr>
                <w:rFonts w:hint="default" w:ascii="Arial" w:hAnsi="Arial" w:cs="Arial"/>
                <w:b/>
                <w:bCs/>
                <w:color w:val="000000"/>
                <w:sz w:val="24"/>
                <w:lang w:val="en-US" w:eastAsia="zh-CN"/>
              </w:rPr>
              <w:t xml:space="preserve">164.25 </w:t>
            </w:r>
          </w:p>
        </w:tc>
      </w:tr>
      <w:tr w14:paraId="7C9A95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shd w:val="clear" w:color="auto" w:fill="auto"/>
            <w:vAlign w:val="center"/>
          </w:tcPr>
          <w:p w14:paraId="542A89D8">
            <w:pPr>
              <w:rPr>
                <w:rFonts w:hint="eastAsia" w:ascii="宋体" w:hAnsi="宋体" w:eastAsia="宋体" w:cs="Times New Roman"/>
                <w:b/>
                <w:color w:val="000000" w:themeColor="text1"/>
                <w:kern w:val="2"/>
                <w:sz w:val="21"/>
                <w:szCs w:val="21"/>
                <w:lang w:val="en-US" w:eastAsia="zh-CN" w:bidi="ar-SA"/>
                <w14:textFill>
                  <w14:solidFill>
                    <w14:schemeClr w14:val="tx1"/>
                  </w14:solidFill>
                </w14:textFill>
              </w:rPr>
            </w:pPr>
            <w:r>
              <w:rPr>
                <w:rFonts w:hint="eastAsia"/>
                <w:color w:val="000000"/>
                <w:szCs w:val="21"/>
                <w:lang w:val="en-US" w:eastAsia="zh-CN"/>
              </w:rPr>
              <w:t>1</w:t>
            </w:r>
            <w:r>
              <w:rPr>
                <w:rFonts w:hint="eastAsia"/>
                <w:color w:val="000000"/>
                <w:szCs w:val="21"/>
              </w:rPr>
              <w:t>.</w:t>
            </w:r>
            <w:r>
              <w:rPr>
                <w:color w:val="000000"/>
                <w:szCs w:val="21"/>
              </w:rPr>
              <w:t xml:space="preserve"> </w:t>
            </w:r>
            <w:r>
              <w:rPr>
                <w:rFonts w:hint="eastAsia"/>
                <w:color w:val="000000"/>
                <w:szCs w:val="21"/>
                <w:lang w:val="en-US" w:eastAsia="zh-CN"/>
              </w:rPr>
              <w:t>其他费用</w:t>
            </w:r>
          </w:p>
        </w:tc>
        <w:tc>
          <w:tcPr>
            <w:tcW w:w="4408" w:type="dxa"/>
            <w:shd w:val="clear" w:color="auto" w:fill="auto"/>
            <w:vAlign w:val="bottom"/>
          </w:tcPr>
          <w:p w14:paraId="2B6F2276">
            <w:pPr>
              <w:ind w:left="-80"/>
              <w:jc w:val="right"/>
              <w:rPr>
                <w:rFonts w:hint="default" w:ascii="Arial" w:hAnsi="Arial" w:cs="Arial"/>
                <w:b w:val="0"/>
                <w:bCs w:val="0"/>
                <w:color w:val="000000"/>
                <w:sz w:val="24"/>
                <w:lang w:val="en-US" w:eastAsia="zh-CN"/>
              </w:rPr>
            </w:pPr>
            <w:r>
              <w:rPr>
                <w:rFonts w:hint="default" w:ascii="Arial" w:hAnsi="Arial" w:cs="Arial"/>
                <w:b w:val="0"/>
                <w:bCs w:val="0"/>
                <w:color w:val="000000"/>
                <w:sz w:val="24"/>
                <w:lang w:val="en-US" w:eastAsia="zh-CN"/>
              </w:rPr>
              <w:t xml:space="preserve">164.25 </w:t>
            </w:r>
          </w:p>
        </w:tc>
      </w:tr>
      <w:tr w14:paraId="040163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vAlign w:val="center"/>
          </w:tcPr>
          <w:p w14:paraId="7702EAAF">
            <w:pPr>
              <w:rPr>
                <w:rFonts w:ascii="宋体" w:hAnsi="宋体"/>
                <w:color w:val="000000" w:themeColor="text1"/>
                <w:szCs w:val="21"/>
                <w14:textFill>
                  <w14:solidFill>
                    <w14:schemeClr w14:val="tx1"/>
                  </w14:solidFill>
                </w14:textFill>
              </w:rPr>
            </w:pPr>
            <w:r>
              <w:rPr>
                <w:rFonts w:hint="eastAsia"/>
                <w:b/>
                <w:bCs/>
                <w:color w:val="000000"/>
                <w:szCs w:val="21"/>
              </w:rPr>
              <w:t>三、清算收益（损失）总额</w:t>
            </w:r>
          </w:p>
        </w:tc>
        <w:tc>
          <w:tcPr>
            <w:tcW w:w="4408" w:type="dxa"/>
            <w:vAlign w:val="center"/>
          </w:tcPr>
          <w:p w14:paraId="15B9C3F5">
            <w:pPr>
              <w:ind w:left="-80"/>
              <w:jc w:val="right"/>
              <w:rPr>
                <w:rFonts w:ascii="Arial" w:hAnsi="Arial" w:cs="Arial"/>
                <w:b/>
                <w:bCs/>
                <w:color w:val="000000"/>
                <w:sz w:val="24"/>
              </w:rPr>
            </w:pPr>
            <w:r>
              <w:rPr>
                <w:rFonts w:hint="eastAsia" w:ascii="Arial" w:hAnsi="Arial" w:cs="Arial"/>
                <w:b/>
                <w:bCs/>
                <w:color w:val="000000"/>
                <w:sz w:val="24"/>
                <w:lang w:val="en-US" w:eastAsia="zh-CN"/>
              </w:rPr>
              <w:t>-87</w:t>
            </w:r>
            <w:r>
              <w:rPr>
                <w:rFonts w:ascii="Arial" w:hAnsi="Arial" w:cs="Arial"/>
                <w:b/>
                <w:bCs/>
                <w:color w:val="000000"/>
                <w:sz w:val="24"/>
              </w:rPr>
              <w:t>.</w:t>
            </w:r>
            <w:r>
              <w:rPr>
                <w:rFonts w:hint="eastAsia" w:ascii="Arial" w:hAnsi="Arial" w:cs="Arial"/>
                <w:b/>
                <w:bCs/>
                <w:color w:val="000000"/>
                <w:sz w:val="24"/>
                <w:lang w:val="en-US" w:eastAsia="zh-CN"/>
              </w:rPr>
              <w:t>04</w:t>
            </w:r>
          </w:p>
        </w:tc>
      </w:tr>
      <w:tr w14:paraId="0A7330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shd w:val="clear" w:color="auto" w:fill="auto"/>
            <w:vAlign w:val="center"/>
          </w:tcPr>
          <w:p w14:paraId="02F18BE8">
            <w:pPr>
              <w:rPr>
                <w:rFonts w:ascii="宋体" w:hAnsi="宋体"/>
                <w:color w:val="000000" w:themeColor="text1"/>
                <w:szCs w:val="21"/>
                <w14:textFill>
                  <w14:solidFill>
                    <w14:schemeClr w14:val="tx1"/>
                  </w14:solidFill>
                </w14:textFill>
              </w:rPr>
            </w:pPr>
            <w:r>
              <w:rPr>
                <w:rFonts w:hint="eastAsia"/>
                <w:color w:val="000000"/>
                <w:szCs w:val="21"/>
              </w:rPr>
              <w:t>减：所得税费用</w:t>
            </w:r>
          </w:p>
        </w:tc>
        <w:tc>
          <w:tcPr>
            <w:tcW w:w="4408" w:type="dxa"/>
            <w:shd w:val="clear" w:color="auto" w:fill="auto"/>
            <w:vAlign w:val="center"/>
          </w:tcPr>
          <w:p w14:paraId="0F66F960">
            <w:pPr>
              <w:jc w:val="righ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w:t>
            </w:r>
          </w:p>
        </w:tc>
      </w:tr>
      <w:tr w14:paraId="53DBF9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shd w:val="clear" w:color="auto" w:fill="auto"/>
            <w:vAlign w:val="center"/>
          </w:tcPr>
          <w:p w14:paraId="17B04A94">
            <w:pPr>
              <w:rPr>
                <w:rFonts w:ascii="宋体" w:hAnsi="宋体"/>
                <w:b/>
                <w:color w:val="000000" w:themeColor="text1"/>
                <w:szCs w:val="21"/>
                <w14:textFill>
                  <w14:solidFill>
                    <w14:schemeClr w14:val="tx1"/>
                  </w14:solidFill>
                </w14:textFill>
              </w:rPr>
            </w:pPr>
            <w:r>
              <w:rPr>
                <w:rFonts w:hint="eastAsia"/>
                <w:b/>
                <w:bCs/>
                <w:color w:val="000000"/>
                <w:szCs w:val="21"/>
              </w:rPr>
              <w:t>四、清算净收益（损失）</w:t>
            </w:r>
          </w:p>
        </w:tc>
        <w:tc>
          <w:tcPr>
            <w:tcW w:w="4408" w:type="dxa"/>
            <w:shd w:val="clear" w:color="auto" w:fill="auto"/>
            <w:vAlign w:val="center"/>
          </w:tcPr>
          <w:p w14:paraId="28F650FE">
            <w:pPr>
              <w:ind w:left="-80"/>
              <w:jc w:val="right"/>
              <w:rPr>
                <w:rFonts w:ascii="Arial" w:hAnsi="Arial" w:cs="Arial"/>
                <w:b/>
                <w:bCs/>
                <w:color w:val="000000"/>
                <w:sz w:val="24"/>
              </w:rPr>
            </w:pPr>
            <w:r>
              <w:rPr>
                <w:rFonts w:hint="eastAsia" w:ascii="Arial" w:hAnsi="Arial" w:cs="Arial"/>
                <w:b/>
                <w:bCs/>
                <w:color w:val="000000"/>
                <w:sz w:val="24"/>
                <w:lang w:val="en-US" w:eastAsia="zh-CN"/>
              </w:rPr>
              <w:t>-87</w:t>
            </w:r>
            <w:r>
              <w:rPr>
                <w:rFonts w:ascii="Arial" w:hAnsi="Arial" w:cs="Arial"/>
                <w:b/>
                <w:bCs/>
                <w:color w:val="000000"/>
                <w:sz w:val="24"/>
              </w:rPr>
              <w:t>.</w:t>
            </w:r>
            <w:r>
              <w:rPr>
                <w:rFonts w:hint="eastAsia" w:ascii="Arial" w:hAnsi="Arial" w:cs="Arial"/>
                <w:b/>
                <w:bCs/>
                <w:color w:val="000000"/>
                <w:sz w:val="24"/>
                <w:lang w:val="en-US" w:eastAsia="zh-CN"/>
              </w:rPr>
              <w:t>04</w:t>
            </w:r>
          </w:p>
        </w:tc>
      </w:tr>
    </w:tbl>
    <w:p w14:paraId="39040A54">
      <w:pPr>
        <w:pStyle w:val="24"/>
        <w:rPr>
          <w:rFonts w:hint="eastAsia"/>
        </w:rPr>
      </w:pPr>
      <w:bookmarkStart w:id="41" w:name="_Toc484607313"/>
      <w:bookmarkStart w:id="42" w:name="_Toc483396840"/>
      <w:bookmarkStart w:id="43" w:name="_Toc484769808"/>
      <w:r>
        <w:rPr>
          <w:rFonts w:hint="eastAsia"/>
        </w:rPr>
        <w:t>注：1.利息收入系自202</w:t>
      </w:r>
      <w:r>
        <w:rPr>
          <w:rFonts w:hint="eastAsia"/>
          <w:lang w:val="en-US" w:eastAsia="zh-CN"/>
        </w:rPr>
        <w:t>6</w:t>
      </w:r>
      <w:r>
        <w:rPr>
          <w:rFonts w:hint="eastAsia"/>
        </w:rPr>
        <w:t>年</w:t>
      </w:r>
      <w:r>
        <w:rPr>
          <w:rFonts w:hint="eastAsia"/>
          <w:lang w:val="en-US" w:eastAsia="zh-CN"/>
        </w:rPr>
        <w:t>4</w:t>
      </w:r>
      <w:r>
        <w:rPr>
          <w:rFonts w:hint="eastAsia"/>
        </w:rPr>
        <w:t>月</w:t>
      </w:r>
      <w:r>
        <w:rPr>
          <w:rFonts w:hint="eastAsia"/>
          <w:lang w:val="en-US" w:eastAsia="zh-CN"/>
        </w:rPr>
        <w:t>10</w:t>
      </w:r>
      <w:r>
        <w:rPr>
          <w:rFonts w:hint="eastAsia"/>
        </w:rPr>
        <w:t>日至202</w:t>
      </w:r>
      <w:r>
        <w:rPr>
          <w:rFonts w:hint="eastAsia"/>
          <w:lang w:val="en-US" w:eastAsia="zh-CN"/>
        </w:rPr>
        <w:t>6</w:t>
      </w:r>
      <w:r>
        <w:rPr>
          <w:rFonts w:hint="eastAsia"/>
        </w:rPr>
        <w:t>年</w:t>
      </w:r>
      <w:r>
        <w:rPr>
          <w:rFonts w:hint="eastAsia"/>
          <w:lang w:val="en-US" w:eastAsia="zh-CN"/>
        </w:rPr>
        <w:t>4</w:t>
      </w:r>
      <w:r>
        <w:rPr>
          <w:rFonts w:hint="eastAsia"/>
        </w:rPr>
        <w:t>月</w:t>
      </w:r>
      <w:r>
        <w:rPr>
          <w:rFonts w:hint="eastAsia"/>
          <w:lang w:val="en-US" w:eastAsia="zh-CN"/>
        </w:rPr>
        <w:t>27</w:t>
      </w:r>
      <w:r>
        <w:rPr>
          <w:rFonts w:hint="eastAsia"/>
        </w:rPr>
        <w:t>日止清算期间产生的银行存款</w:t>
      </w:r>
      <w:r>
        <w:rPr>
          <w:rFonts w:hint="eastAsia"/>
          <w:lang w:val="en-US" w:eastAsia="zh-CN"/>
        </w:rPr>
        <w:t>和</w:t>
      </w:r>
      <w:r>
        <w:rPr>
          <w:rFonts w:hint="eastAsia"/>
        </w:rPr>
        <w:t>存出保证金利息；</w:t>
      </w:r>
    </w:p>
    <w:p w14:paraId="4B3E78CE">
      <w:pPr>
        <w:pStyle w:val="24"/>
        <w:rPr>
          <w:rFonts w:hint="eastAsia"/>
        </w:rPr>
      </w:pPr>
      <w:r>
        <w:rPr>
          <w:rFonts w:hint="eastAsia"/>
          <w:lang w:val="en-US" w:eastAsia="zh-CN"/>
        </w:rPr>
        <w:t>2.</w:t>
      </w:r>
      <w:r>
        <w:rPr>
          <w:rFonts w:hint="eastAsia"/>
        </w:rPr>
        <w:t>其他费用为</w:t>
      </w:r>
      <w:r>
        <w:rPr>
          <w:rFonts w:hint="eastAsia"/>
          <w:lang w:val="en-US" w:eastAsia="zh-CN"/>
        </w:rPr>
        <w:t>划款手续费和</w:t>
      </w:r>
      <w:r>
        <w:rPr>
          <w:rFonts w:hint="eastAsia"/>
        </w:rPr>
        <w:t>清算期间</w:t>
      </w:r>
      <w:r>
        <w:rPr>
          <w:rFonts w:hint="eastAsia"/>
          <w:lang w:val="en-US" w:eastAsia="zh-CN"/>
        </w:rPr>
        <w:t>卖出证券产生的交易费用</w:t>
      </w:r>
      <w:r>
        <w:rPr>
          <w:rFonts w:hint="eastAsia"/>
        </w:rPr>
        <w:t>。</w:t>
      </w:r>
    </w:p>
    <w:p w14:paraId="2A4685C8">
      <w:pPr>
        <w:pStyle w:val="3"/>
        <w:spacing w:before="0" w:after="0"/>
        <w:rPr>
          <w:rFonts w:ascii="宋体" w:hAnsi="宋体" w:eastAsia="宋体"/>
          <w:kern w:val="0"/>
          <w:sz w:val="21"/>
          <w:szCs w:val="21"/>
        </w:rPr>
      </w:pPr>
      <w:bookmarkStart w:id="44" w:name="_Toc491963086"/>
      <w:r>
        <w:rPr>
          <w:rFonts w:hint="eastAsia" w:ascii="宋体" w:hAnsi="宋体" w:eastAsia="宋体"/>
          <w:kern w:val="0"/>
          <w:sz w:val="21"/>
          <w:szCs w:val="21"/>
        </w:rPr>
        <w:t>4.3</w:t>
      </w:r>
      <w:r>
        <w:rPr>
          <w:rFonts w:ascii="宋体" w:hAnsi="宋体" w:eastAsia="宋体"/>
          <w:kern w:val="0"/>
          <w:sz w:val="21"/>
          <w:szCs w:val="21"/>
        </w:rPr>
        <w:t xml:space="preserve"> </w:t>
      </w:r>
      <w:r>
        <w:rPr>
          <w:rFonts w:hint="eastAsia" w:ascii="宋体" w:hAnsi="宋体" w:eastAsia="宋体"/>
          <w:kern w:val="0"/>
          <w:sz w:val="21"/>
          <w:szCs w:val="21"/>
        </w:rPr>
        <w:t>报表附注</w:t>
      </w:r>
      <w:bookmarkEnd w:id="41"/>
      <w:bookmarkEnd w:id="42"/>
      <w:bookmarkEnd w:id="43"/>
      <w:bookmarkEnd w:id="44"/>
    </w:p>
    <w:p w14:paraId="6FC2762B">
      <w:pPr>
        <w:spacing w:line="360" w:lineRule="auto"/>
        <w:rPr>
          <w:rFonts w:ascii="宋体" w:hAnsi="宋体"/>
          <w:b/>
          <w:szCs w:val="21"/>
        </w:rPr>
      </w:pPr>
      <w:r>
        <w:rPr>
          <w:rFonts w:ascii="宋体" w:hAnsi="宋体"/>
          <w:b/>
          <w:szCs w:val="21"/>
        </w:rPr>
        <w:t>4.3.</w:t>
      </w:r>
      <w:r>
        <w:rPr>
          <w:rFonts w:hint="eastAsia" w:ascii="宋体" w:hAnsi="宋体"/>
          <w:b/>
          <w:szCs w:val="21"/>
        </w:rPr>
        <w:t>1基金基本情况</w:t>
      </w:r>
    </w:p>
    <w:p w14:paraId="3C5F43A8">
      <w:pPr>
        <w:spacing w:line="360" w:lineRule="auto"/>
        <w:ind w:firstLine="420" w:firstLineChars="200"/>
        <w:rPr>
          <w:rFonts w:hint="eastAsia"/>
        </w:rPr>
      </w:pPr>
      <w:r>
        <w:rPr>
          <w:rFonts w:hint="eastAsia" w:ascii="Times New Roman" w:hAnsi="Times New Roman" w:cs="Times New Roman"/>
          <w:szCs w:val="21"/>
          <w:lang w:eastAsia="zh-CN"/>
        </w:rPr>
        <w:t>博时安仁一年定期开放债券型发起式证券投资基金（以下简称“本基金”）是由博时安仁一年定期开放债券型证券投资基金（以下简称“原基金”）转型而来。原基金经中国证券监督管理委员会（以下简称“中国证监会”）证监许可[2016]1174号《关于准予博时安仁一年定期开放债券型证券投资基金注册的批复》注册，由博时基金管理有限公司依照《中华人民共和国证券投资基金法》和《博时安仁一年定期开放债券型证券投资基金基金合同》负责公开募集。经向中国证监会备案，《博时安仁一年定期开放债券型证券投资基金基金合同》于2016年6月24日正式生效。基金合同生效日的基金份额总额为503,690,289.35份基金份额，其中认购资金利息折合218.34份基金份额。经中国证监会证监许可[2019]2347号文准予变更注册，根据原基金基金份额持有人大会表决通过的《博时安仁一年定期开放债券型证券投资基金转型有关事项的议案》，经向中国证监会备案，自2020年9月9日起，《博时安仁一年定期开放债券型证券投资基金基金合同》失效且《博时安仁一年定期开放债券型发起式证券投资基金基金合同》同时生效，博时安仁一年定期开放债券型证券投资基金正式变更为博时安仁一年定期开放债券型发起式证券投资基金。</w:t>
      </w:r>
      <w:r>
        <w:rPr>
          <w:rFonts w:hint="eastAsia"/>
        </w:rPr>
        <w:t>本基金为契约型、定期开放式、发起式，存续期限不定。本基金的基金管理人为博时基金管理有限公司，基金托管人为中国民生银行股份有限公司。</w:t>
      </w:r>
    </w:p>
    <w:p w14:paraId="19C0478B">
      <w:pPr>
        <w:pStyle w:val="24"/>
        <w:rPr>
          <w:rFonts w:hint="eastAsia"/>
        </w:rPr>
      </w:pPr>
      <w:r>
        <w:rPr>
          <w:rFonts w:hint="eastAsia"/>
        </w:rPr>
        <w:t>本基金以定期开放的方式运作，即采用封闭运作和开放运作交替循环的方式。自每一个开放期结束之日次日起（包括该日）一年的期间内，本基金采取封闭运作模式，基金份额持有人不得申请申购、赎回本基金。</w:t>
      </w:r>
    </w:p>
    <w:p w14:paraId="00749162">
      <w:pPr>
        <w:spacing w:line="360" w:lineRule="auto"/>
        <w:ind w:firstLine="420" w:firstLineChars="200"/>
        <w:rPr>
          <w:rFonts w:hint="eastAsia" w:ascii="Times New Roman" w:hAnsi="Times New Roman" w:cs="Times New Roman"/>
          <w:szCs w:val="21"/>
          <w:lang w:eastAsia="zh-CN"/>
        </w:rPr>
      </w:pPr>
      <w:r>
        <w:rPr>
          <w:rFonts w:hint="eastAsia" w:ascii="Times New Roman" w:hAnsi="Times New Roman" w:cs="Times New Roman"/>
          <w:szCs w:val="21"/>
          <w:lang w:eastAsia="zh-CN"/>
        </w:rPr>
        <w:t>本基金根据销售服务费收取方式</w:t>
      </w:r>
      <w:r>
        <w:rPr>
          <w:rFonts w:hint="eastAsia" w:cs="Times New Roman"/>
          <w:szCs w:val="21"/>
          <w:lang w:val="en-US" w:eastAsia="zh-CN"/>
        </w:rPr>
        <w:t>的</w:t>
      </w:r>
      <w:r>
        <w:rPr>
          <w:rFonts w:hint="eastAsia" w:ascii="Times New Roman" w:hAnsi="Times New Roman" w:cs="Times New Roman"/>
          <w:szCs w:val="21"/>
          <w:lang w:eastAsia="zh-CN"/>
        </w:rPr>
        <w:t>不同，将基金份额分为A类基金份额和C类基金份额。在投资者申购时收取申购费用，不从本类别基金资产中计提销售服务费的基金份额，称为A类基金份额；在投资者申购时不收取申购费用，而是从本类别基金资产中计提销售服务费的基金份额，称为C类基金份额。</w:t>
      </w:r>
    </w:p>
    <w:p w14:paraId="4C80DD1D">
      <w:pPr>
        <w:spacing w:line="360" w:lineRule="auto"/>
        <w:ind w:firstLine="420" w:firstLineChars="200"/>
        <w:rPr>
          <w:rFonts w:hint="eastAsia" w:ascii="Times New Roman" w:hAnsi="Times New Roman" w:cs="Times New Roman"/>
          <w:szCs w:val="21"/>
          <w:lang w:eastAsia="zh-CN"/>
        </w:rPr>
      </w:pPr>
      <w:r>
        <w:rPr>
          <w:rFonts w:hint="eastAsia" w:ascii="Times New Roman" w:hAnsi="Times New Roman" w:cs="Times New Roman"/>
          <w:szCs w:val="21"/>
          <w:lang w:eastAsia="zh-CN"/>
        </w:rPr>
        <w:t>根据《中华人民共和国证券投资基金法》和《博时安仁一年定期开放债券型发起式证券投资基金》的有关规定，本基金的投资范围为具有良好流动性的金融工具，包括国内依法发行上市的债券（国债、金融债、次级债、中央银行票据、地方政府债、企业债、公司债、中期票据、短期融资券及超级短期融资券、可分离交易可转债的纯债部分）、资产支持证券、债券回购、银行定期存款、同业存单等金融工具以及法律法规或中国证监会允许基金投资的其他金融工具（但须符合中国证监会的相关规定）。本基金不投资于股票等资产，也不投资于可转换债券（可分离交易可转债的纯债部分除外）、可交换债券。本基金投资于债券资产比例不低于基金资产的80%，但应开放期流动性需要，为保护基金份额持有人利益，在每次开放期前</w:t>
      </w:r>
      <w:r>
        <w:rPr>
          <w:rFonts w:hint="eastAsia" w:cs="Times New Roman"/>
          <w:szCs w:val="21"/>
          <w:lang w:val="en-US" w:eastAsia="zh-CN"/>
        </w:rPr>
        <w:t>一</w:t>
      </w:r>
      <w:r>
        <w:rPr>
          <w:rFonts w:hint="eastAsia" w:ascii="Times New Roman" w:hAnsi="Times New Roman" w:cs="Times New Roman"/>
          <w:szCs w:val="21"/>
          <w:lang w:eastAsia="zh-CN"/>
        </w:rPr>
        <w:t>个月、开放期及开放期结束后</w:t>
      </w:r>
      <w:r>
        <w:rPr>
          <w:rFonts w:hint="eastAsia" w:cs="Times New Roman"/>
          <w:szCs w:val="21"/>
          <w:lang w:val="en-US" w:eastAsia="zh-CN"/>
        </w:rPr>
        <w:t>一</w:t>
      </w:r>
      <w:r>
        <w:rPr>
          <w:rFonts w:hint="eastAsia" w:ascii="Times New Roman" w:hAnsi="Times New Roman" w:cs="Times New Roman"/>
          <w:szCs w:val="21"/>
          <w:lang w:eastAsia="zh-CN"/>
        </w:rPr>
        <w:t>个月的期间内，基金投资不受上述比例限制。开放期内现金或者到期日在一年以内的政府债券不低于基金资产净值的5%，在封闭期内，本基金不受上述5%的限制，其中，现金不包括结算备付金、存出保证金、应收申购款等。本基金的业绩比较基准为：中债综合财富（总值）指数收益率×90%+1年期定期存款利率（税后）×10%。</w:t>
      </w:r>
    </w:p>
    <w:p w14:paraId="21574C8C">
      <w:pPr>
        <w:spacing w:line="360" w:lineRule="auto"/>
        <w:rPr>
          <w:rFonts w:ascii="宋体" w:hAnsi="宋体"/>
          <w:b/>
          <w:szCs w:val="21"/>
        </w:rPr>
      </w:pPr>
      <w:r>
        <w:rPr>
          <w:rFonts w:ascii="宋体" w:hAnsi="宋体"/>
          <w:b/>
          <w:szCs w:val="21"/>
        </w:rPr>
        <w:t>4.3.</w:t>
      </w:r>
      <w:r>
        <w:rPr>
          <w:rFonts w:hint="eastAsia" w:ascii="宋体" w:hAnsi="宋体"/>
          <w:b/>
          <w:szCs w:val="21"/>
        </w:rPr>
        <w:t>2清算原因</w:t>
      </w:r>
    </w:p>
    <w:p w14:paraId="713C0B32">
      <w:pPr>
        <w:pStyle w:val="24"/>
      </w:pPr>
      <w:r>
        <w:rPr>
          <w:rFonts w:hint="eastAsia" w:ascii="Times New Roman" w:hAnsi="Times New Roman" w:cs="Times New Roman"/>
          <w:szCs w:val="21"/>
          <w:lang w:eastAsia="zh-CN"/>
        </w:rPr>
        <w:t>根据《博时安仁一年定期开放债券型发起式证券投资基金基金合同》及基金管理人博时基金管理有限公司于2026年</w:t>
      </w:r>
      <w:r>
        <w:rPr>
          <w:rFonts w:hint="eastAsia" w:ascii="Times New Roman" w:hAnsi="Times New Roman" w:cs="Times New Roman"/>
          <w:szCs w:val="21"/>
          <w:lang w:val="en-US" w:eastAsia="zh-CN"/>
        </w:rPr>
        <w:t>4</w:t>
      </w:r>
      <w:r>
        <w:rPr>
          <w:rFonts w:hint="eastAsia" w:ascii="Times New Roman" w:hAnsi="Times New Roman" w:cs="Times New Roman"/>
          <w:szCs w:val="21"/>
          <w:lang w:eastAsia="zh-CN"/>
        </w:rPr>
        <w:t>月</w:t>
      </w:r>
      <w:r>
        <w:rPr>
          <w:rFonts w:hint="eastAsia" w:ascii="Times New Roman" w:hAnsi="Times New Roman" w:cs="Times New Roman"/>
          <w:szCs w:val="21"/>
          <w:lang w:val="en-US" w:eastAsia="zh-CN"/>
        </w:rPr>
        <w:t>10</w:t>
      </w:r>
      <w:r>
        <w:rPr>
          <w:rFonts w:hint="eastAsia" w:ascii="Times New Roman" w:hAnsi="Times New Roman" w:cs="Times New Roman"/>
          <w:szCs w:val="21"/>
          <w:lang w:eastAsia="zh-CN"/>
        </w:rPr>
        <w:t>日发布的《博时基金管理有限公司关于博时安仁一年定期开放债券型发起式证券投资基金基金合同终止及基金财产清算的公告》，本基金在基金合同生效之日起或发起资金申购本基金确认日之日起（以较晚者为准）三年后继续存续的，基金存续期内，连续</w:t>
      </w:r>
      <w:r>
        <w:rPr>
          <w:rFonts w:hint="eastAsia" w:ascii="Times New Roman" w:hAnsi="Times New Roman" w:cs="Times New Roman"/>
          <w:szCs w:val="21"/>
          <w:lang w:val="en-US" w:eastAsia="zh-CN"/>
        </w:rPr>
        <w:t>二十</w:t>
      </w:r>
      <w:r>
        <w:rPr>
          <w:rFonts w:hint="eastAsia" w:ascii="Times New Roman" w:hAnsi="Times New Roman" w:cs="Times New Roman"/>
          <w:szCs w:val="21"/>
          <w:lang w:eastAsia="zh-CN"/>
        </w:rPr>
        <w:t>个工作日出现基金资产净值低于</w:t>
      </w:r>
      <w:r>
        <w:rPr>
          <w:rFonts w:hint="eastAsia" w:ascii="Times New Roman" w:hAnsi="Times New Roman" w:cs="Times New Roman"/>
          <w:szCs w:val="21"/>
          <w:lang w:val="en-US" w:eastAsia="zh-CN"/>
        </w:rPr>
        <w:t>五千</w:t>
      </w:r>
      <w:r>
        <w:rPr>
          <w:rFonts w:hint="eastAsia" w:ascii="Times New Roman" w:hAnsi="Times New Roman" w:cs="Times New Roman"/>
          <w:szCs w:val="21"/>
          <w:lang w:eastAsia="zh-CN"/>
        </w:rPr>
        <w:t>万元情形的，基金管理人应当在定期报告中予以披露。连续五十个工作日出现</w:t>
      </w:r>
      <w:r>
        <w:rPr>
          <w:rFonts w:hint="eastAsia" w:ascii="Times New Roman" w:hAnsi="Times New Roman" w:cs="Times New Roman"/>
          <w:szCs w:val="21"/>
          <w:lang w:val="en-US" w:eastAsia="zh-CN"/>
        </w:rPr>
        <w:t>前述情形</w:t>
      </w:r>
      <w:r>
        <w:rPr>
          <w:rFonts w:hint="eastAsia" w:ascii="Times New Roman" w:hAnsi="Times New Roman" w:cs="Times New Roman"/>
          <w:szCs w:val="21"/>
          <w:lang w:eastAsia="zh-CN"/>
        </w:rPr>
        <w:t>，本基金将根据基金合同的约定进行基金财产清算并终止，且无需召开基金份额持有人大会，同时基金管理人应履行相关的监管报告和信息披露程序。法律法规或中国证监会另有规定时，从其规定。截至2026年4月9日，本基金出现连续五十个工作日基金资产净值低于五千万元的情形，已触发《基金合同》中约定的基金终止条款。根据基金合同有关约定，博时基金管理有限公司应依据基金财产清算程序对本基金进行财产清算并终止基金合同，且无需召开基金份额持有人大会。</w:t>
      </w:r>
      <w:r>
        <w:rPr>
          <w:rFonts w:hint="eastAsia" w:ascii="Arial" w:hAnsi="Arial" w:cs="Arial"/>
          <w:lang w:eastAsia="zh-CN"/>
        </w:rPr>
        <w:t xml:space="preserve"> </w:t>
      </w:r>
    </w:p>
    <w:p w14:paraId="3DC12202">
      <w:pPr>
        <w:spacing w:line="360" w:lineRule="auto"/>
        <w:rPr>
          <w:rFonts w:ascii="宋体" w:hAnsi="宋体"/>
          <w:b/>
          <w:szCs w:val="21"/>
        </w:rPr>
      </w:pPr>
      <w:r>
        <w:rPr>
          <w:rFonts w:ascii="宋体" w:hAnsi="宋体"/>
          <w:b/>
          <w:szCs w:val="21"/>
        </w:rPr>
        <w:t>4.3.</w:t>
      </w:r>
      <w:r>
        <w:rPr>
          <w:rFonts w:hint="eastAsia" w:ascii="宋体" w:hAnsi="宋体"/>
          <w:b/>
          <w:szCs w:val="21"/>
        </w:rPr>
        <w:t>3清算起始日</w:t>
      </w:r>
    </w:p>
    <w:p w14:paraId="5D29E0CF">
      <w:pPr>
        <w:pStyle w:val="24"/>
        <w:rPr>
          <w:rFonts w:hint="eastAsia"/>
        </w:rPr>
      </w:pPr>
      <w:r>
        <w:rPr>
          <w:rFonts w:hint="eastAsia"/>
          <w:lang w:val="en-US" w:eastAsia="zh-CN"/>
        </w:rPr>
        <w:t>根</w:t>
      </w:r>
      <w:r>
        <w:rPr>
          <w:rFonts w:hint="eastAsia"/>
        </w:rPr>
        <w:t>据基金管理人博时基金管理有限公司于</w:t>
      </w:r>
      <w:r>
        <w:rPr>
          <w:rFonts w:hint="eastAsia" w:ascii="Times New Roman" w:hAnsi="Times New Roman" w:cs="Times New Roman"/>
          <w:szCs w:val="21"/>
          <w:lang w:eastAsia="zh-CN"/>
        </w:rPr>
        <w:t>2026年</w:t>
      </w:r>
      <w:r>
        <w:rPr>
          <w:rFonts w:hint="eastAsia" w:ascii="Times New Roman" w:hAnsi="Times New Roman" w:cs="Times New Roman"/>
          <w:szCs w:val="21"/>
          <w:lang w:val="en-US" w:eastAsia="zh-CN"/>
        </w:rPr>
        <w:t>4</w:t>
      </w:r>
      <w:r>
        <w:rPr>
          <w:rFonts w:hint="eastAsia" w:ascii="Times New Roman" w:hAnsi="Times New Roman" w:cs="Times New Roman"/>
          <w:szCs w:val="21"/>
          <w:lang w:eastAsia="zh-CN"/>
        </w:rPr>
        <w:t>月</w:t>
      </w:r>
      <w:r>
        <w:rPr>
          <w:rFonts w:hint="eastAsia" w:ascii="Times New Roman" w:hAnsi="Times New Roman" w:cs="Times New Roman"/>
          <w:szCs w:val="21"/>
          <w:lang w:val="en-US" w:eastAsia="zh-CN"/>
        </w:rPr>
        <w:t>10</w:t>
      </w:r>
      <w:r>
        <w:rPr>
          <w:rFonts w:hint="eastAsia" w:ascii="Times New Roman" w:hAnsi="Times New Roman" w:cs="Times New Roman"/>
          <w:szCs w:val="21"/>
          <w:lang w:eastAsia="zh-CN"/>
        </w:rPr>
        <w:t>日发布的《博时基金管理有限公司关于博时安仁一年定期开放债券型发起式证券投资基金基金合同终止及基金财产清算的公告》</w:t>
      </w:r>
      <w:r>
        <w:rPr>
          <w:rFonts w:hint="eastAsia"/>
        </w:rPr>
        <w:t>，自</w:t>
      </w:r>
      <w:r>
        <w:rPr>
          <w:rFonts w:hint="eastAsia" w:ascii="Times New Roman" w:hAnsi="Times New Roman" w:cs="Times New Roman"/>
          <w:szCs w:val="21"/>
          <w:lang w:eastAsia="zh-CN"/>
        </w:rPr>
        <w:t>2026年</w:t>
      </w:r>
      <w:r>
        <w:rPr>
          <w:rFonts w:hint="eastAsia" w:ascii="Times New Roman" w:hAnsi="Times New Roman" w:cs="Times New Roman"/>
          <w:szCs w:val="21"/>
          <w:lang w:val="en-US" w:eastAsia="zh-CN"/>
        </w:rPr>
        <w:t>4</w:t>
      </w:r>
      <w:r>
        <w:rPr>
          <w:rFonts w:hint="eastAsia" w:ascii="Times New Roman" w:hAnsi="Times New Roman" w:cs="Times New Roman"/>
          <w:szCs w:val="21"/>
          <w:lang w:eastAsia="zh-CN"/>
        </w:rPr>
        <w:t>月</w:t>
      </w:r>
      <w:r>
        <w:rPr>
          <w:rFonts w:hint="eastAsia" w:ascii="Times New Roman" w:hAnsi="Times New Roman" w:cs="Times New Roman"/>
          <w:szCs w:val="21"/>
          <w:lang w:val="en-US" w:eastAsia="zh-CN"/>
        </w:rPr>
        <w:t>10</w:t>
      </w:r>
      <w:r>
        <w:rPr>
          <w:rFonts w:hint="eastAsia" w:ascii="Times New Roman" w:hAnsi="Times New Roman" w:cs="Times New Roman"/>
          <w:szCs w:val="21"/>
          <w:lang w:eastAsia="zh-CN"/>
        </w:rPr>
        <w:t>日</w:t>
      </w:r>
      <w:r>
        <w:rPr>
          <w:rFonts w:hint="eastAsia"/>
        </w:rPr>
        <w:t>起，本基金进入清算程序。</w:t>
      </w:r>
    </w:p>
    <w:p w14:paraId="709ACE8B">
      <w:pPr>
        <w:spacing w:line="360" w:lineRule="auto"/>
        <w:rPr>
          <w:rFonts w:ascii="宋体" w:hAnsi="宋体"/>
          <w:b/>
          <w:szCs w:val="21"/>
        </w:rPr>
      </w:pPr>
      <w:r>
        <w:rPr>
          <w:rFonts w:ascii="宋体" w:hAnsi="宋体"/>
          <w:b/>
          <w:szCs w:val="21"/>
        </w:rPr>
        <w:t>4.3.</w:t>
      </w:r>
      <w:r>
        <w:rPr>
          <w:rFonts w:hint="eastAsia" w:ascii="宋体" w:hAnsi="宋体"/>
          <w:b/>
          <w:szCs w:val="21"/>
        </w:rPr>
        <w:t>4清算财务报表的编制基础</w:t>
      </w:r>
    </w:p>
    <w:p w14:paraId="155BAD84">
      <w:pPr>
        <w:pStyle w:val="24"/>
        <w:rPr>
          <w:rFonts w:hint="eastAsia"/>
          <w:lang w:val="en-US" w:eastAsia="zh-CN"/>
        </w:rPr>
      </w:pPr>
      <w:r>
        <w:rPr>
          <w:rFonts w:hint="eastAsia"/>
          <w:lang w:val="en-US" w:eastAsia="zh-CN"/>
        </w:rPr>
        <w:t>如财务报表附注</w:t>
      </w:r>
      <w:r>
        <w:rPr>
          <w:rFonts w:hint="eastAsia" w:ascii="Times New Roman" w:hAnsi="Times New Roman" w:cs="Times New Roman"/>
          <w:szCs w:val="21"/>
          <w:lang w:val="en-US" w:eastAsia="zh-CN"/>
        </w:rPr>
        <w:t>4.3.3</w:t>
      </w:r>
      <w:r>
        <w:rPr>
          <w:rFonts w:hint="eastAsia"/>
          <w:lang w:val="en-US" w:eastAsia="zh-CN"/>
        </w:rPr>
        <w:t>所述，自</w:t>
      </w:r>
      <w:r>
        <w:rPr>
          <w:rFonts w:hint="eastAsia" w:ascii="Times New Roman" w:hAnsi="Times New Roman" w:cs="Times New Roman"/>
          <w:szCs w:val="21"/>
          <w:lang w:eastAsia="zh-CN"/>
        </w:rPr>
        <w:t>2026年</w:t>
      </w:r>
      <w:r>
        <w:rPr>
          <w:rFonts w:hint="eastAsia" w:ascii="Times New Roman" w:hAnsi="Times New Roman" w:cs="Times New Roman"/>
          <w:szCs w:val="21"/>
          <w:lang w:val="en-US" w:eastAsia="zh-CN"/>
        </w:rPr>
        <w:t>4</w:t>
      </w:r>
      <w:r>
        <w:rPr>
          <w:rFonts w:hint="eastAsia" w:ascii="Times New Roman" w:hAnsi="Times New Roman" w:cs="Times New Roman"/>
          <w:szCs w:val="21"/>
          <w:lang w:eastAsia="zh-CN"/>
        </w:rPr>
        <w:t>月</w:t>
      </w:r>
      <w:r>
        <w:rPr>
          <w:rFonts w:hint="eastAsia" w:ascii="Times New Roman" w:hAnsi="Times New Roman" w:cs="Times New Roman"/>
          <w:szCs w:val="21"/>
          <w:lang w:val="en-US" w:eastAsia="zh-CN"/>
        </w:rPr>
        <w:t>10</w:t>
      </w:r>
      <w:r>
        <w:rPr>
          <w:rFonts w:hint="eastAsia" w:ascii="Times New Roman" w:hAnsi="Times New Roman" w:cs="Times New Roman"/>
          <w:szCs w:val="21"/>
          <w:lang w:eastAsia="zh-CN"/>
        </w:rPr>
        <w:t>日</w:t>
      </w:r>
      <w:r>
        <w:rPr>
          <w:rFonts w:hint="eastAsia"/>
          <w:lang w:val="en-US" w:eastAsia="zh-CN"/>
        </w:rPr>
        <w:t>起，本基金进入清算程序，基金管理人将清算本基金，因此本基金财务报表以清算基础编制。于</w:t>
      </w:r>
      <w:r>
        <w:rPr>
          <w:rFonts w:hint="eastAsia" w:ascii="Times New Roman" w:hAnsi="Times New Roman" w:cs="Times New Roman"/>
          <w:szCs w:val="21"/>
          <w:lang w:val="en-US" w:eastAsia="zh-CN"/>
        </w:rPr>
        <w:t>2026年4月9日（</w:t>
      </w:r>
      <w:r>
        <w:rPr>
          <w:rFonts w:hint="eastAsia"/>
          <w:lang w:val="en-US" w:eastAsia="zh-CN"/>
        </w:rPr>
        <w:t>基金最后运作日），所有资产以可收回金额与原账面价值孰低计量，负债以预计需要清偿的金额计量。基金管理人管理层编制财务报表是为了对本基金进行财产清算之用，因此，财务报表可能不适于其他用途。</w:t>
      </w:r>
    </w:p>
    <w:p w14:paraId="094F4163">
      <w:pPr>
        <w:pStyle w:val="24"/>
        <w:rPr>
          <w:rFonts w:hint="eastAsia"/>
          <w:lang w:val="en-US" w:eastAsia="zh-CN"/>
        </w:rPr>
      </w:pPr>
      <w:r>
        <w:rPr>
          <w:rFonts w:hint="eastAsia"/>
          <w:lang w:val="en-US" w:eastAsia="zh-CN"/>
        </w:rPr>
        <w:t>本财务报表按财务报表附注</w:t>
      </w:r>
      <w:r>
        <w:rPr>
          <w:rFonts w:hint="eastAsia" w:ascii="Times New Roman" w:hAnsi="Times New Roman" w:cs="Times New Roman"/>
          <w:szCs w:val="21"/>
          <w:lang w:val="en-US" w:eastAsia="zh-CN"/>
        </w:rPr>
        <w:t>4.3.5</w:t>
      </w:r>
      <w:r>
        <w:rPr>
          <w:rFonts w:hint="eastAsia"/>
          <w:lang w:val="en-US" w:eastAsia="zh-CN"/>
        </w:rPr>
        <w:t>中所述的</w:t>
      </w:r>
      <w:bookmarkStart w:id="45" w:name="OLE_LINK12"/>
      <w:r>
        <w:rPr>
          <w:rFonts w:hint="eastAsia"/>
          <w:lang w:val="en-US" w:eastAsia="zh-CN"/>
        </w:rPr>
        <w:t>重要会计政策及会计估计</w:t>
      </w:r>
      <w:bookmarkEnd w:id="45"/>
      <w:r>
        <w:rPr>
          <w:rFonts w:hint="eastAsia"/>
          <w:lang w:val="en-US" w:eastAsia="zh-CN"/>
        </w:rPr>
        <w:t>以清算基础编制。</w:t>
      </w:r>
    </w:p>
    <w:p w14:paraId="564518FB">
      <w:pPr>
        <w:spacing w:line="360" w:lineRule="auto"/>
        <w:rPr>
          <w:rFonts w:ascii="宋体" w:hAnsi="宋体"/>
          <w:b/>
          <w:szCs w:val="21"/>
        </w:rPr>
      </w:pPr>
      <w:r>
        <w:rPr>
          <w:rFonts w:ascii="宋体" w:hAnsi="宋体"/>
          <w:b/>
          <w:szCs w:val="21"/>
        </w:rPr>
        <w:t>4.3.</w:t>
      </w:r>
      <w:r>
        <w:rPr>
          <w:rFonts w:hint="eastAsia" w:ascii="宋体" w:hAnsi="宋体"/>
          <w:b/>
          <w:szCs w:val="21"/>
        </w:rPr>
        <w:t>5 重要会计政策和会计估计</w:t>
      </w:r>
    </w:p>
    <w:p w14:paraId="5D1E15EE">
      <w:pPr>
        <w:spacing w:line="360" w:lineRule="auto"/>
        <w:rPr>
          <w:rFonts w:ascii="宋体" w:hAnsi="宋体"/>
          <w:b/>
          <w:szCs w:val="21"/>
        </w:rPr>
      </w:pPr>
      <w:r>
        <w:rPr>
          <w:rFonts w:ascii="宋体" w:hAnsi="宋体"/>
          <w:b/>
          <w:szCs w:val="21"/>
        </w:rPr>
        <w:t>4.3.</w:t>
      </w:r>
      <w:r>
        <w:rPr>
          <w:rFonts w:hint="eastAsia" w:ascii="宋体" w:hAnsi="宋体"/>
          <w:b/>
          <w:szCs w:val="21"/>
        </w:rPr>
        <w:t>5</w:t>
      </w:r>
      <w:r>
        <w:rPr>
          <w:rFonts w:ascii="宋体" w:hAnsi="宋体"/>
          <w:b/>
          <w:szCs w:val="21"/>
        </w:rPr>
        <w:t>.</w:t>
      </w:r>
      <w:r>
        <w:rPr>
          <w:rFonts w:hint="eastAsia" w:ascii="宋体" w:hAnsi="宋体"/>
          <w:b/>
          <w:szCs w:val="21"/>
        </w:rPr>
        <w:t>1清算期间</w:t>
      </w:r>
    </w:p>
    <w:p w14:paraId="22A66E95">
      <w:pPr>
        <w:spacing w:line="360" w:lineRule="auto"/>
        <w:ind w:firstLine="420" w:firstLineChars="200"/>
        <w:rPr>
          <w:rFonts w:ascii="宋体" w:hAnsi="宋体"/>
          <w:color w:val="000000"/>
          <w:szCs w:val="21"/>
        </w:rPr>
      </w:pPr>
      <w:r>
        <w:rPr>
          <w:rFonts w:hint="eastAsia" w:ascii="宋体" w:hAnsi="宋体"/>
          <w:color w:val="000000"/>
          <w:szCs w:val="21"/>
        </w:rPr>
        <w:t>本清算期间为</w:t>
      </w:r>
      <w:r>
        <w:rPr>
          <w:rFonts w:hint="eastAsia" w:ascii="Times New Roman" w:hAnsi="Times New Roman" w:cs="Times New Roman"/>
          <w:szCs w:val="21"/>
          <w:lang w:val="en-US" w:eastAsia="zh-CN"/>
        </w:rPr>
        <w:t>2026年4月</w:t>
      </w:r>
      <w:r>
        <w:rPr>
          <w:rFonts w:hint="eastAsia" w:cs="Times New Roman"/>
          <w:szCs w:val="21"/>
          <w:lang w:val="en-US" w:eastAsia="zh-CN"/>
        </w:rPr>
        <w:t>10</w:t>
      </w:r>
      <w:r>
        <w:rPr>
          <w:rFonts w:hint="eastAsia" w:ascii="Times New Roman" w:hAnsi="Times New Roman" w:cs="Times New Roman"/>
          <w:szCs w:val="21"/>
          <w:lang w:val="en-US" w:eastAsia="zh-CN"/>
        </w:rPr>
        <w:t>日</w:t>
      </w:r>
      <w:r>
        <w:rPr>
          <w:rFonts w:hint="eastAsia" w:ascii="宋体" w:hAnsi="宋体"/>
          <w:color w:val="000000"/>
          <w:szCs w:val="21"/>
        </w:rPr>
        <w:t>至</w:t>
      </w:r>
      <w:r>
        <w:rPr>
          <w:rFonts w:hint="eastAsia" w:ascii="Times New Roman" w:hAnsi="Times New Roman" w:cs="Times New Roman"/>
          <w:szCs w:val="21"/>
          <w:lang w:eastAsia="zh-CN"/>
        </w:rPr>
        <w:t>2026年</w:t>
      </w:r>
      <w:r>
        <w:rPr>
          <w:rFonts w:hint="eastAsia" w:ascii="Times New Roman" w:hAnsi="Times New Roman" w:cs="Times New Roman"/>
          <w:szCs w:val="21"/>
          <w:lang w:val="en-US" w:eastAsia="zh-CN"/>
        </w:rPr>
        <w:t>4</w:t>
      </w:r>
      <w:r>
        <w:rPr>
          <w:rFonts w:hint="eastAsia" w:ascii="Times New Roman" w:hAnsi="Times New Roman" w:cs="Times New Roman"/>
          <w:szCs w:val="21"/>
          <w:lang w:eastAsia="zh-CN"/>
        </w:rPr>
        <w:t>月</w:t>
      </w:r>
      <w:r>
        <w:rPr>
          <w:rFonts w:hint="eastAsia" w:cs="Times New Roman"/>
          <w:szCs w:val="21"/>
          <w:lang w:val="en-US" w:eastAsia="zh-CN"/>
        </w:rPr>
        <w:t>27</w:t>
      </w:r>
      <w:r>
        <w:rPr>
          <w:rFonts w:hint="eastAsia" w:ascii="Times New Roman" w:hAnsi="Times New Roman" w:cs="Times New Roman"/>
          <w:szCs w:val="21"/>
          <w:lang w:eastAsia="zh-CN"/>
        </w:rPr>
        <w:t>日</w:t>
      </w:r>
      <w:r>
        <w:rPr>
          <w:rFonts w:hint="eastAsia" w:ascii="宋体" w:hAnsi="宋体"/>
          <w:color w:val="000000"/>
          <w:szCs w:val="21"/>
        </w:rPr>
        <w:t>。</w:t>
      </w:r>
    </w:p>
    <w:p w14:paraId="2BB75ADB">
      <w:pPr>
        <w:spacing w:line="360" w:lineRule="auto"/>
        <w:rPr>
          <w:rFonts w:ascii="宋体" w:hAnsi="宋体"/>
          <w:b/>
          <w:szCs w:val="21"/>
        </w:rPr>
      </w:pPr>
      <w:r>
        <w:rPr>
          <w:rFonts w:ascii="宋体" w:hAnsi="宋体"/>
          <w:b/>
          <w:szCs w:val="21"/>
        </w:rPr>
        <w:t>4.3.</w:t>
      </w:r>
      <w:r>
        <w:rPr>
          <w:rFonts w:hint="eastAsia" w:ascii="宋体" w:hAnsi="宋体"/>
          <w:b/>
          <w:szCs w:val="21"/>
        </w:rPr>
        <w:t>5</w:t>
      </w:r>
      <w:r>
        <w:rPr>
          <w:rFonts w:ascii="宋体" w:hAnsi="宋体"/>
          <w:b/>
          <w:szCs w:val="21"/>
        </w:rPr>
        <w:t>.2 记账本位币</w:t>
      </w:r>
    </w:p>
    <w:p w14:paraId="2780F386">
      <w:pPr>
        <w:spacing w:line="360" w:lineRule="auto"/>
        <w:ind w:firstLine="420" w:firstLineChars="200"/>
        <w:rPr>
          <w:rFonts w:ascii="宋体" w:hAnsi="宋体"/>
          <w:color w:val="000000"/>
          <w:szCs w:val="21"/>
        </w:rPr>
      </w:pPr>
      <w:r>
        <w:rPr>
          <w:rFonts w:hint="eastAsia" w:ascii="宋体" w:hAnsi="宋体"/>
          <w:color w:val="000000"/>
          <w:szCs w:val="21"/>
        </w:rPr>
        <w:t>本清算财务报表以人民币为记账本位</w:t>
      </w:r>
      <w:r>
        <w:rPr>
          <w:rFonts w:hint="eastAsia" w:ascii="宋体" w:hAnsi="宋体"/>
          <w:color w:val="000000"/>
          <w:szCs w:val="21"/>
          <w:lang w:val="en-US" w:eastAsia="zh-CN"/>
        </w:rPr>
        <w:t>币</w:t>
      </w:r>
      <w:r>
        <w:rPr>
          <w:rFonts w:hint="eastAsia" w:ascii="宋体" w:hAnsi="宋体"/>
          <w:color w:val="000000"/>
          <w:szCs w:val="21"/>
        </w:rPr>
        <w:t>。</w:t>
      </w:r>
    </w:p>
    <w:p w14:paraId="6D31B0EC">
      <w:pPr>
        <w:spacing w:line="360" w:lineRule="auto"/>
        <w:rPr>
          <w:rFonts w:ascii="宋体" w:hAnsi="宋体"/>
          <w:b/>
          <w:szCs w:val="21"/>
        </w:rPr>
      </w:pPr>
      <w:r>
        <w:rPr>
          <w:rFonts w:ascii="宋体" w:hAnsi="宋体"/>
          <w:b/>
          <w:szCs w:val="21"/>
        </w:rPr>
        <w:t>4.3.</w:t>
      </w:r>
      <w:r>
        <w:rPr>
          <w:rFonts w:hint="eastAsia" w:ascii="宋体" w:hAnsi="宋体"/>
          <w:b/>
          <w:szCs w:val="21"/>
        </w:rPr>
        <w:t>5</w:t>
      </w:r>
      <w:r>
        <w:rPr>
          <w:rFonts w:ascii="宋体" w:hAnsi="宋体"/>
          <w:b/>
          <w:szCs w:val="21"/>
        </w:rPr>
        <w:t>.</w:t>
      </w:r>
      <w:r>
        <w:rPr>
          <w:rFonts w:hint="eastAsia" w:ascii="宋体" w:hAnsi="宋体"/>
          <w:b/>
          <w:szCs w:val="21"/>
        </w:rPr>
        <w:t>3</w:t>
      </w:r>
      <w:r>
        <w:rPr>
          <w:rFonts w:ascii="宋体" w:hAnsi="宋体"/>
          <w:b/>
          <w:szCs w:val="21"/>
        </w:rPr>
        <w:t xml:space="preserve"> </w:t>
      </w:r>
      <w:r>
        <w:rPr>
          <w:rFonts w:hint="eastAsia" w:ascii="宋体" w:hAnsi="宋体"/>
          <w:b/>
          <w:szCs w:val="21"/>
        </w:rPr>
        <w:t>应收</w:t>
      </w:r>
      <w:r>
        <w:rPr>
          <w:rFonts w:hint="eastAsia" w:ascii="宋体" w:hAnsi="宋体"/>
          <w:b/>
          <w:szCs w:val="21"/>
          <w:lang w:val="en-US" w:eastAsia="zh-CN"/>
        </w:rPr>
        <w:t>款项</w:t>
      </w:r>
      <w:r>
        <w:rPr>
          <w:rFonts w:hint="eastAsia" w:ascii="宋体" w:hAnsi="宋体"/>
          <w:b/>
          <w:szCs w:val="21"/>
        </w:rPr>
        <w:t xml:space="preserve">的确认和计量 </w:t>
      </w:r>
    </w:p>
    <w:p w14:paraId="2809BA00">
      <w:pPr>
        <w:spacing w:line="360" w:lineRule="auto"/>
        <w:ind w:firstLine="420" w:firstLineChars="200"/>
        <w:rPr>
          <w:rFonts w:ascii="宋体" w:hAnsi="宋体"/>
          <w:color w:val="000000"/>
          <w:szCs w:val="21"/>
        </w:rPr>
      </w:pPr>
      <w:r>
        <w:rPr>
          <w:rFonts w:ascii="宋体" w:hAnsi="宋体"/>
          <w:color w:val="000000"/>
          <w:szCs w:val="21"/>
        </w:rPr>
        <w:t>应收款项按照未来应收取的款项金额计量。</w:t>
      </w:r>
    </w:p>
    <w:p w14:paraId="66196202">
      <w:pPr>
        <w:spacing w:line="360" w:lineRule="auto"/>
        <w:rPr>
          <w:rFonts w:ascii="宋体" w:hAnsi="宋体"/>
          <w:b/>
          <w:szCs w:val="21"/>
        </w:rPr>
      </w:pPr>
      <w:r>
        <w:rPr>
          <w:rFonts w:ascii="宋体" w:hAnsi="宋体"/>
          <w:b/>
          <w:szCs w:val="21"/>
        </w:rPr>
        <w:t>4.3.</w:t>
      </w:r>
      <w:r>
        <w:rPr>
          <w:rFonts w:hint="eastAsia" w:ascii="宋体" w:hAnsi="宋体"/>
          <w:b/>
          <w:szCs w:val="21"/>
        </w:rPr>
        <w:t>5</w:t>
      </w:r>
      <w:r>
        <w:rPr>
          <w:rFonts w:ascii="宋体" w:hAnsi="宋体"/>
          <w:b/>
          <w:szCs w:val="21"/>
        </w:rPr>
        <w:t>.</w:t>
      </w:r>
      <w:r>
        <w:rPr>
          <w:rFonts w:hint="eastAsia" w:ascii="宋体" w:hAnsi="宋体"/>
          <w:b/>
          <w:szCs w:val="21"/>
        </w:rPr>
        <w:t>4</w:t>
      </w:r>
      <w:r>
        <w:rPr>
          <w:rFonts w:ascii="宋体" w:hAnsi="宋体"/>
          <w:b/>
          <w:szCs w:val="21"/>
        </w:rPr>
        <w:t xml:space="preserve"> </w:t>
      </w:r>
      <w:r>
        <w:rPr>
          <w:rFonts w:hint="eastAsia" w:ascii="宋体" w:hAnsi="宋体"/>
          <w:b/>
          <w:szCs w:val="21"/>
        </w:rPr>
        <w:t xml:space="preserve">应付款项的确认和计量 </w:t>
      </w:r>
    </w:p>
    <w:p w14:paraId="4ECEEFF7">
      <w:pPr>
        <w:spacing w:line="360" w:lineRule="auto"/>
        <w:ind w:firstLine="420" w:firstLineChars="200"/>
        <w:rPr>
          <w:rFonts w:ascii="宋体" w:hAnsi="宋体"/>
          <w:color w:val="000000"/>
          <w:szCs w:val="21"/>
        </w:rPr>
      </w:pPr>
      <w:r>
        <w:rPr>
          <w:rFonts w:ascii="宋体" w:hAnsi="宋体"/>
          <w:color w:val="000000"/>
          <w:szCs w:val="21"/>
        </w:rPr>
        <w:t>应付款项按照未来应支付的款项金额计量。</w:t>
      </w:r>
    </w:p>
    <w:p w14:paraId="1F62DFB0">
      <w:pPr>
        <w:spacing w:line="360" w:lineRule="auto"/>
        <w:rPr>
          <w:rFonts w:ascii="宋体" w:hAnsi="宋体"/>
          <w:b/>
          <w:szCs w:val="21"/>
        </w:rPr>
      </w:pPr>
      <w:r>
        <w:rPr>
          <w:rFonts w:ascii="宋体" w:hAnsi="宋体"/>
          <w:b/>
          <w:szCs w:val="21"/>
        </w:rPr>
        <w:t>4.3.</w:t>
      </w:r>
      <w:r>
        <w:rPr>
          <w:rFonts w:hint="eastAsia" w:ascii="宋体" w:hAnsi="宋体"/>
          <w:b/>
          <w:szCs w:val="21"/>
        </w:rPr>
        <w:t>5</w:t>
      </w:r>
      <w:r>
        <w:rPr>
          <w:rFonts w:ascii="宋体" w:hAnsi="宋体"/>
          <w:b/>
          <w:szCs w:val="21"/>
        </w:rPr>
        <w:t>.</w:t>
      </w:r>
      <w:r>
        <w:rPr>
          <w:rFonts w:hint="eastAsia" w:ascii="宋体" w:hAnsi="宋体"/>
          <w:b/>
          <w:szCs w:val="21"/>
        </w:rPr>
        <w:t>5</w:t>
      </w:r>
      <w:r>
        <w:rPr>
          <w:rFonts w:ascii="宋体" w:hAnsi="宋体"/>
          <w:b/>
          <w:szCs w:val="21"/>
        </w:rPr>
        <w:t xml:space="preserve"> </w:t>
      </w:r>
      <w:r>
        <w:rPr>
          <w:rFonts w:hint="eastAsia" w:ascii="宋体" w:hAnsi="宋体"/>
          <w:b/>
          <w:szCs w:val="21"/>
        </w:rPr>
        <w:t xml:space="preserve">清算收益的确认和计量 </w:t>
      </w:r>
    </w:p>
    <w:p w14:paraId="5B987B93">
      <w:pPr>
        <w:spacing w:line="360" w:lineRule="auto"/>
        <w:ind w:firstLine="420" w:firstLineChars="200"/>
        <w:rPr>
          <w:rFonts w:ascii="宋体" w:hAnsi="宋体"/>
          <w:color w:val="000000"/>
          <w:szCs w:val="21"/>
        </w:rPr>
      </w:pPr>
      <w:r>
        <w:rPr>
          <w:rFonts w:ascii="宋体" w:hAnsi="宋体"/>
          <w:color w:val="000000"/>
          <w:szCs w:val="21"/>
        </w:rPr>
        <w:t>清算收益按照实际发生的收益金额或未来应收取的款项金额计量。</w:t>
      </w:r>
    </w:p>
    <w:p w14:paraId="2F0FBC01">
      <w:pPr>
        <w:spacing w:line="360" w:lineRule="auto"/>
        <w:rPr>
          <w:rFonts w:ascii="宋体" w:hAnsi="宋体"/>
          <w:b/>
          <w:szCs w:val="21"/>
        </w:rPr>
      </w:pPr>
      <w:r>
        <w:rPr>
          <w:rFonts w:ascii="宋体" w:hAnsi="宋体"/>
          <w:b/>
          <w:szCs w:val="21"/>
        </w:rPr>
        <w:t>4.3.</w:t>
      </w:r>
      <w:r>
        <w:rPr>
          <w:rFonts w:hint="eastAsia" w:ascii="宋体" w:hAnsi="宋体"/>
          <w:b/>
          <w:szCs w:val="21"/>
        </w:rPr>
        <w:t>5</w:t>
      </w:r>
      <w:r>
        <w:rPr>
          <w:rFonts w:ascii="宋体" w:hAnsi="宋体"/>
          <w:b/>
          <w:szCs w:val="21"/>
        </w:rPr>
        <w:t>.6</w:t>
      </w:r>
      <w:r>
        <w:rPr>
          <w:rFonts w:hint="eastAsia" w:ascii="宋体" w:hAnsi="宋体"/>
          <w:b/>
          <w:szCs w:val="21"/>
        </w:rPr>
        <w:t xml:space="preserve">清算费用的确认和计量 </w:t>
      </w:r>
    </w:p>
    <w:p w14:paraId="4FBBA074">
      <w:pPr>
        <w:spacing w:line="360" w:lineRule="auto"/>
        <w:ind w:firstLine="420" w:firstLineChars="200"/>
        <w:rPr>
          <w:rFonts w:ascii="宋体" w:hAnsi="宋体"/>
          <w:color w:val="000000"/>
          <w:szCs w:val="21"/>
        </w:rPr>
      </w:pPr>
      <w:r>
        <w:rPr>
          <w:rFonts w:ascii="宋体" w:hAnsi="宋体"/>
          <w:color w:val="000000"/>
          <w:szCs w:val="21"/>
        </w:rPr>
        <w:t>清算费用按照实际发生的费用金额或未来应支付的款项金额计量。</w:t>
      </w:r>
    </w:p>
    <w:p w14:paraId="48AF3BAB">
      <w:pPr>
        <w:spacing w:line="360" w:lineRule="auto"/>
        <w:rPr>
          <w:rFonts w:hint="eastAsia" w:ascii="宋体" w:hAnsi="宋体"/>
          <w:b/>
          <w:szCs w:val="21"/>
        </w:rPr>
      </w:pPr>
      <w:r>
        <w:rPr>
          <w:rFonts w:ascii="宋体" w:hAnsi="宋体"/>
          <w:b/>
          <w:szCs w:val="21"/>
        </w:rPr>
        <w:t>4.3.</w:t>
      </w:r>
      <w:r>
        <w:rPr>
          <w:rFonts w:hint="eastAsia" w:ascii="宋体" w:hAnsi="宋体"/>
          <w:b/>
          <w:szCs w:val="21"/>
        </w:rPr>
        <w:t>6 税项</w:t>
      </w:r>
    </w:p>
    <w:p w14:paraId="5B2AD951">
      <w:pPr>
        <w:pStyle w:val="24"/>
        <w:rPr>
          <w:rFonts w:hint="eastAsia"/>
          <w:lang w:val="en-US" w:eastAsia="zh-CN"/>
        </w:rPr>
      </w:pPr>
      <w:bookmarkStart w:id="46" w:name="OLE_LINK54"/>
      <w:bookmarkStart w:id="47" w:name="OLE_LINK53"/>
      <w:bookmarkStart w:id="48" w:name="OLE_LINK48"/>
      <w:r>
        <w:rPr>
          <w:rFonts w:hint="eastAsia"/>
          <w:lang w:val="en-US" w:eastAsia="zh-CN"/>
        </w:rPr>
        <w:t>根据财政部、国家税务总局财税[2002]128号《关于开放式证券投资基金有关税收问题的通知》、财税[2008]1号《关于企业所得税若干优惠政策的通知》、财税[2016]36号《关于全面推开营业税改征增值税试点的通知》、财税[2016]46号《关于进一步明确全面推开营改增试点金融业有关政策的通知》、财税[2016]70号《关于金融机构同业往来等增值税政策的补充通知》、财税[2016]140号《关于明确金融 房地产开发 教育辅助服务等增值税政策的通知》、财税[2017]2号《关于资管产品增值税政策有关问题的补充通知》、财税[2017]56号《关于资管产品增值税有关问题的通知》、财税[2017]90号《关于租入固定资产进项税额抵扣等增值税政策的通知》、财政部、国家税务总局公告2025年第4号《关于国债等债券利息收入增值税政策的公告》及其他相关财税法规和实务操作，主要税项列示如下：</w:t>
      </w:r>
    </w:p>
    <w:p w14:paraId="04B810A2">
      <w:pPr>
        <w:pStyle w:val="24"/>
        <w:rPr>
          <w:rFonts w:hint="eastAsia"/>
          <w:lang w:val="en-US" w:eastAsia="zh-CN"/>
        </w:rPr>
      </w:pPr>
      <w:r>
        <w:rPr>
          <w:rFonts w:hint="eastAsia"/>
          <w:lang w:val="en-US" w:eastAsia="zh-CN"/>
        </w:rPr>
        <w:t>（1）资管产品运营过程中发生的增值税应税行为，以资管产品管理人为增值税纳税人。资管产品管理人运营资管产品过程中发生的增值税应税行为，暂适用简易计税方法，按照3%的征收率缴纳增值税。对资管产品在2018年1月1日前运营过程中发生的增值税应税行为，未缴纳增值税的，不再缴纳；已缴纳增值税的，已纳税额从资管产品管理人以后月份的增值税应纳税额中抵减。</w:t>
      </w:r>
    </w:p>
    <w:p w14:paraId="01F87A3D">
      <w:pPr>
        <w:pStyle w:val="24"/>
        <w:rPr>
          <w:rFonts w:hint="eastAsia"/>
          <w:lang w:val="en-US" w:eastAsia="zh-CN"/>
        </w:rPr>
      </w:pPr>
      <w:r>
        <w:rPr>
          <w:rFonts w:hint="eastAsia"/>
          <w:lang w:val="en-US" w:eastAsia="zh-CN"/>
        </w:rPr>
        <w:t>对证券投资基金管理人运用基金买卖股票、债券的转让收入免征增值税，对除持有金融债券外的金融同业往来利息收入亦免征增值税。自2025年8月8日起，对在该日期之后（含当日）新发行的国债、地方政府债券、金融债券的利息收入，恢复征收增值税。对在该日期之前已发行的国债、地方政府债券、金融债券（包含在2025年8月8日之后续发行的部分）的利息收入，免征增值税直至债券到期。资管产品管理人运营资管产品提供的贷款服务，以2018年1月1日起产生的利息及利息性质的收入为销售额。资管产品管理人运营资管产品转让2017年12月31日前取得的基金、非货物期货，可以选择按照实际买入价计算销售额，或者以2017年最后一个交易日的基金份额净值、非货物期货结算价格作为买入价计算销售额。</w:t>
      </w:r>
    </w:p>
    <w:p w14:paraId="3ACF7B44">
      <w:pPr>
        <w:pStyle w:val="24"/>
        <w:rPr>
          <w:rFonts w:hint="eastAsia"/>
          <w:lang w:val="en-US" w:eastAsia="zh-CN"/>
        </w:rPr>
      </w:pPr>
      <w:r>
        <w:rPr>
          <w:rFonts w:hint="eastAsia"/>
          <w:lang w:val="en-US" w:eastAsia="zh-CN"/>
        </w:rPr>
        <w:t>（2）对基金从证券市场中取得的收入，包括买卖股票、债券的差价收入，股票的股息、红利收入，债券的利息收入及其他收入，暂不征收企业所得税。</w:t>
      </w:r>
    </w:p>
    <w:p w14:paraId="27BBE3B3">
      <w:pPr>
        <w:pStyle w:val="24"/>
        <w:rPr>
          <w:rFonts w:hint="eastAsia"/>
          <w:lang w:val="en-US" w:eastAsia="zh-CN"/>
        </w:rPr>
      </w:pPr>
      <w:r>
        <w:rPr>
          <w:rFonts w:hint="eastAsia"/>
          <w:lang w:val="en-US" w:eastAsia="zh-CN"/>
        </w:rPr>
        <w:t>（3）对基金取得的企业债券利息收入，应由发行债券的企业在向基金支付利息时代扣代缴20%的个人所得税。</w:t>
      </w:r>
    </w:p>
    <w:p w14:paraId="2031787F">
      <w:pPr>
        <w:pStyle w:val="24"/>
        <w:rPr>
          <w:rFonts w:hint="eastAsia"/>
          <w:lang w:val="en-US" w:eastAsia="zh-CN"/>
        </w:rPr>
      </w:pPr>
      <w:r>
        <w:rPr>
          <w:rFonts w:hint="eastAsia"/>
          <w:lang w:val="en-US" w:eastAsia="zh-CN"/>
        </w:rPr>
        <w:t>（4）本基金的城市维护建设税、教育费附加和地方教育附加等税费按照实际缴纳增值税额的适用比例计算缴纳。</w:t>
      </w:r>
    </w:p>
    <w:bookmarkEnd w:id="46"/>
    <w:bookmarkEnd w:id="47"/>
    <w:bookmarkEnd w:id="48"/>
    <w:p w14:paraId="34AD45A6">
      <w:pPr>
        <w:pStyle w:val="2"/>
        <w:keepNext/>
        <w:keepLines/>
        <w:widowControl w:val="0"/>
        <w:spacing w:before="312" w:beforeLines="100" w:after="312" w:afterLines="100" w:line="360" w:lineRule="auto"/>
        <w:jc w:val="center"/>
        <w:rPr>
          <w:rStyle w:val="20"/>
          <w:rFonts w:ascii="宋体" w:hAnsi="宋体"/>
        </w:rPr>
      </w:pPr>
      <w:bookmarkStart w:id="49" w:name="_Toc491963087"/>
      <w:bookmarkStart w:id="50" w:name="_Toc484769809"/>
      <w:r>
        <w:rPr>
          <w:rStyle w:val="20"/>
          <w:rFonts w:hint="eastAsia" w:ascii="宋体" w:hAnsi="宋体"/>
        </w:rPr>
        <w:t>5、清算情况</w:t>
      </w:r>
      <w:bookmarkEnd w:id="49"/>
    </w:p>
    <w:p w14:paraId="27F2EF37">
      <w:pPr>
        <w:pStyle w:val="3"/>
        <w:spacing w:before="0" w:after="0"/>
        <w:rPr>
          <w:rFonts w:ascii="宋体" w:hAnsi="宋体" w:eastAsia="宋体"/>
          <w:kern w:val="0"/>
          <w:sz w:val="21"/>
          <w:szCs w:val="21"/>
        </w:rPr>
      </w:pPr>
      <w:bookmarkStart w:id="51" w:name="_Toc491963088"/>
      <w:r>
        <w:rPr>
          <w:rFonts w:hint="eastAsia" w:ascii="宋体" w:hAnsi="宋体" w:eastAsia="宋体"/>
          <w:kern w:val="0"/>
          <w:sz w:val="21"/>
          <w:szCs w:val="21"/>
        </w:rPr>
        <w:t>5.1 资产负债清算情况</w:t>
      </w:r>
      <w:bookmarkEnd w:id="51"/>
    </w:p>
    <w:p w14:paraId="4768BA07">
      <w:pPr>
        <w:pStyle w:val="24"/>
      </w:pPr>
      <w:r>
        <w:rPr>
          <w:rFonts w:hint="eastAsia"/>
        </w:rPr>
        <w:t>自202</w:t>
      </w:r>
      <w:r>
        <w:rPr>
          <w:rFonts w:hint="eastAsia"/>
          <w:lang w:val="en-US" w:eastAsia="zh-CN"/>
        </w:rPr>
        <w:t>6</w:t>
      </w:r>
      <w:r>
        <w:rPr>
          <w:rFonts w:hint="eastAsia"/>
        </w:rPr>
        <w:t>年</w:t>
      </w:r>
      <w:r>
        <w:rPr>
          <w:rFonts w:hint="eastAsia"/>
          <w:lang w:val="en-US" w:eastAsia="zh-CN"/>
        </w:rPr>
        <w:t>4</w:t>
      </w:r>
      <w:r>
        <w:rPr>
          <w:rFonts w:hint="eastAsia"/>
        </w:rPr>
        <w:t>月</w:t>
      </w:r>
      <w:r>
        <w:rPr>
          <w:rFonts w:hint="eastAsia"/>
          <w:lang w:val="en-US" w:eastAsia="zh-CN"/>
        </w:rPr>
        <w:t>10</w:t>
      </w:r>
      <w:r>
        <w:rPr>
          <w:rFonts w:hint="eastAsia"/>
        </w:rPr>
        <w:t>日至202</w:t>
      </w:r>
      <w:r>
        <w:rPr>
          <w:rFonts w:hint="eastAsia"/>
          <w:lang w:val="en-US" w:eastAsia="zh-CN"/>
        </w:rPr>
        <w:t>6</w:t>
      </w:r>
      <w:r>
        <w:rPr>
          <w:rFonts w:hint="eastAsia"/>
        </w:rPr>
        <w:t>年</w:t>
      </w:r>
      <w:r>
        <w:rPr>
          <w:rFonts w:hint="eastAsia"/>
          <w:lang w:val="en-US" w:eastAsia="zh-CN"/>
        </w:rPr>
        <w:t>4</w:t>
      </w:r>
      <w:r>
        <w:rPr>
          <w:rFonts w:hint="eastAsia"/>
        </w:rPr>
        <w:t>月</w:t>
      </w:r>
      <w:r>
        <w:rPr>
          <w:rFonts w:hint="eastAsia"/>
          <w:lang w:val="en-US" w:eastAsia="zh-CN"/>
        </w:rPr>
        <w:t>27</w:t>
      </w:r>
      <w:r>
        <w:rPr>
          <w:rFonts w:hint="eastAsia"/>
        </w:rPr>
        <w:t>日止为本次清算期间，基金财产清算小组对本基金的基金财产进行清算，全部清算工作按清算原则和清算手续进行。具体清算情况如下：</w:t>
      </w:r>
    </w:p>
    <w:p w14:paraId="3E56E22D">
      <w:pPr>
        <w:pStyle w:val="24"/>
      </w:pPr>
      <w:r>
        <w:rPr>
          <w:rFonts w:hint="eastAsia"/>
        </w:rPr>
        <w:t>截至本次清算期结束日（202</w:t>
      </w:r>
      <w:r>
        <w:rPr>
          <w:rFonts w:hint="eastAsia"/>
          <w:lang w:val="en-US" w:eastAsia="zh-CN"/>
        </w:rPr>
        <w:t>6</w:t>
      </w:r>
      <w:r>
        <w:rPr>
          <w:rFonts w:hint="eastAsia"/>
        </w:rPr>
        <w:t>年</w:t>
      </w:r>
      <w:r>
        <w:rPr>
          <w:rFonts w:hint="eastAsia"/>
          <w:lang w:val="en-US" w:eastAsia="zh-CN"/>
        </w:rPr>
        <w:t>4</w:t>
      </w:r>
      <w:r>
        <w:rPr>
          <w:rFonts w:hint="eastAsia"/>
        </w:rPr>
        <w:t>月</w:t>
      </w:r>
      <w:r>
        <w:rPr>
          <w:rFonts w:hint="eastAsia"/>
          <w:lang w:val="en-US" w:eastAsia="zh-CN"/>
        </w:rPr>
        <w:t>27</w:t>
      </w:r>
      <w:r>
        <w:rPr>
          <w:rFonts w:hint="eastAsia"/>
        </w:rPr>
        <w:t>日），各项资产负债清算情况如下：</w:t>
      </w:r>
    </w:p>
    <w:p w14:paraId="29973077">
      <w:pPr>
        <w:pStyle w:val="24"/>
        <w:rPr>
          <w:rFonts w:hint="eastAsia"/>
        </w:rPr>
      </w:pPr>
      <w:r>
        <w:rPr>
          <w:rFonts w:hint="eastAsia"/>
          <w:lang w:val="en-US" w:eastAsia="zh-CN"/>
        </w:rPr>
        <w:t>1</w:t>
      </w:r>
      <w:r>
        <w:rPr>
          <w:rFonts w:hint="eastAsia"/>
        </w:rPr>
        <w:t>、本基金最后运作日银行存款</w:t>
      </w:r>
      <w:r>
        <w:rPr>
          <w:rFonts w:hint="eastAsia"/>
          <w:lang w:val="en-US" w:eastAsia="zh-CN"/>
        </w:rPr>
        <w:t>余额</w:t>
      </w:r>
      <w:r>
        <w:rPr>
          <w:rFonts w:hint="eastAsia"/>
        </w:rPr>
        <w:t>为45</w:t>
      </w:r>
      <w:r>
        <w:rPr>
          <w:rFonts w:hint="eastAsia"/>
          <w:lang w:val="en-US" w:eastAsia="zh-CN"/>
        </w:rPr>
        <w:t>,</w:t>
      </w:r>
      <w:r>
        <w:rPr>
          <w:rFonts w:hint="eastAsia"/>
        </w:rPr>
        <w:t>516.49元，其中包含应计银行存款利息余额为9.45元。截至清算期结束日，银行存款</w:t>
      </w:r>
      <w:r>
        <w:rPr>
          <w:rFonts w:hint="eastAsia"/>
          <w:lang w:val="en-US" w:eastAsia="zh-CN"/>
        </w:rPr>
        <w:t>余额</w:t>
      </w:r>
      <w:r>
        <w:rPr>
          <w:rFonts w:hint="eastAsia"/>
        </w:rPr>
        <w:t>为334</w:t>
      </w:r>
      <w:r>
        <w:rPr>
          <w:rFonts w:hint="eastAsia"/>
          <w:lang w:val="en-US" w:eastAsia="zh-CN"/>
        </w:rPr>
        <w:t>,</w:t>
      </w:r>
      <w:r>
        <w:rPr>
          <w:rFonts w:hint="eastAsia"/>
        </w:rPr>
        <w:t>223.26元，其中应计银行存款利息余额为60.73元，该款项将于清算结束后向基金份额持有人分配。</w:t>
      </w:r>
    </w:p>
    <w:p w14:paraId="4FEDEF49">
      <w:pPr>
        <w:pStyle w:val="24"/>
        <w:rPr>
          <w:rFonts w:hint="eastAsia"/>
        </w:rPr>
      </w:pPr>
      <w:r>
        <w:rPr>
          <w:rFonts w:hint="eastAsia"/>
          <w:lang w:val="en-US" w:eastAsia="zh-CN"/>
        </w:rPr>
        <w:t>2、</w:t>
      </w:r>
      <w:r>
        <w:rPr>
          <w:rFonts w:hint="eastAsia"/>
        </w:rPr>
        <w:t>本基金最后运作日存出保证金为43</w:t>
      </w:r>
      <w:r>
        <w:rPr>
          <w:rFonts w:hint="eastAsia"/>
          <w:lang w:val="en-US" w:eastAsia="zh-CN"/>
        </w:rPr>
        <w:t>,</w:t>
      </w:r>
      <w:r>
        <w:rPr>
          <w:rFonts w:hint="eastAsia"/>
        </w:rPr>
        <w:t>326.92元，其中上交所结算保证金为26</w:t>
      </w:r>
      <w:r>
        <w:rPr>
          <w:rFonts w:hint="eastAsia"/>
          <w:lang w:val="en-US" w:eastAsia="zh-CN"/>
        </w:rPr>
        <w:t>,</w:t>
      </w:r>
      <w:r>
        <w:rPr>
          <w:rFonts w:hint="eastAsia"/>
        </w:rPr>
        <w:t>902.65元，包括应计上交所结算保证金利息为5.44元；深交所结算保证金为16</w:t>
      </w:r>
      <w:r>
        <w:rPr>
          <w:rFonts w:hint="eastAsia"/>
          <w:lang w:val="en-US" w:eastAsia="zh-CN"/>
        </w:rPr>
        <w:t>,</w:t>
      </w:r>
      <w:r>
        <w:rPr>
          <w:rFonts w:hint="eastAsia"/>
        </w:rPr>
        <w:t>424.27元，包括应计深交所结算保证金利息为3.20元。截至清算期结束日，存出保证金为43</w:t>
      </w:r>
      <w:r>
        <w:rPr>
          <w:rFonts w:hint="eastAsia"/>
          <w:lang w:val="en-US" w:eastAsia="zh-CN"/>
        </w:rPr>
        <w:t>,</w:t>
      </w:r>
      <w:r>
        <w:rPr>
          <w:rFonts w:hint="eastAsia"/>
        </w:rPr>
        <w:t>334.48元，其中上交所结算保证金为26</w:t>
      </w:r>
      <w:r>
        <w:rPr>
          <w:rFonts w:hint="eastAsia"/>
          <w:lang w:val="en-US" w:eastAsia="zh-CN"/>
        </w:rPr>
        <w:t>,</w:t>
      </w:r>
      <w:r>
        <w:rPr>
          <w:rFonts w:hint="eastAsia"/>
        </w:rPr>
        <w:t>907.33元，包括应计上交所结算保证金利息为10.12元；深交所结算保证金为16</w:t>
      </w:r>
      <w:r>
        <w:rPr>
          <w:rFonts w:hint="eastAsia"/>
          <w:lang w:val="en-US" w:eastAsia="zh-CN"/>
        </w:rPr>
        <w:t>,</w:t>
      </w:r>
      <w:r>
        <w:rPr>
          <w:rFonts w:hint="eastAsia"/>
        </w:rPr>
        <w:t>427.15元，包括应计深交所结算保证金利息为6.08元</w:t>
      </w:r>
      <w:r>
        <w:rPr>
          <w:rFonts w:hint="eastAsia"/>
          <w:lang w:eastAsia="zh-CN"/>
        </w:rPr>
        <w:t>。</w:t>
      </w:r>
      <w:r>
        <w:rPr>
          <w:rFonts w:hint="eastAsia"/>
        </w:rPr>
        <w:t>该款项将于清算结束后向基金份额持有人分配。</w:t>
      </w:r>
    </w:p>
    <w:p w14:paraId="3EF76097">
      <w:pPr>
        <w:pStyle w:val="24"/>
        <w:rPr>
          <w:rFonts w:hint="eastAsia" w:eastAsia="宋体"/>
          <w:lang w:val="en-US" w:eastAsia="zh-CN"/>
        </w:rPr>
      </w:pPr>
      <w:r>
        <w:rPr>
          <w:rFonts w:hint="eastAsia"/>
          <w:lang w:val="en-US" w:eastAsia="zh-CN"/>
        </w:rPr>
        <w:t>3、本基金最后运作日持有的交易性债券投资金额为302,840.47元，已于清算期内变现。</w:t>
      </w:r>
    </w:p>
    <w:p w14:paraId="65841460">
      <w:pPr>
        <w:pStyle w:val="24"/>
        <w:numPr>
          <w:ilvl w:val="0"/>
          <w:numId w:val="0"/>
        </w:numPr>
        <w:ind w:firstLine="420" w:firstLineChars="200"/>
        <w:rPr>
          <w:rFonts w:hint="eastAsia"/>
          <w:lang w:val="en-US" w:eastAsia="zh-CN"/>
        </w:rPr>
      </w:pPr>
      <w:r>
        <w:rPr>
          <w:rFonts w:hint="eastAsia"/>
          <w:lang w:val="en-US" w:eastAsia="zh-CN"/>
        </w:rPr>
        <w:t>4、本基金最后运作日应付管理人报酬为25.10元，该款项尚未支付。</w:t>
      </w:r>
    </w:p>
    <w:p w14:paraId="6DC8647B">
      <w:pPr>
        <w:pStyle w:val="24"/>
        <w:numPr>
          <w:ilvl w:val="0"/>
          <w:numId w:val="0"/>
        </w:numPr>
        <w:ind w:firstLine="420" w:firstLineChars="200"/>
        <w:rPr>
          <w:rFonts w:hint="eastAsia"/>
          <w:lang w:val="en-US" w:eastAsia="zh-CN"/>
        </w:rPr>
      </w:pPr>
      <w:r>
        <w:rPr>
          <w:rFonts w:hint="eastAsia"/>
          <w:lang w:val="en-US" w:eastAsia="zh-CN"/>
        </w:rPr>
        <w:t>5、本基金最后运作日应付托管费为8.40元，该款项尚未支付。</w:t>
      </w:r>
    </w:p>
    <w:p w14:paraId="235DDE41">
      <w:pPr>
        <w:pStyle w:val="24"/>
        <w:numPr>
          <w:ilvl w:val="0"/>
          <w:numId w:val="0"/>
        </w:numPr>
        <w:ind w:firstLine="420" w:firstLineChars="200"/>
        <w:rPr>
          <w:rFonts w:hint="default"/>
          <w:lang w:val="en-US" w:eastAsia="zh-CN"/>
        </w:rPr>
      </w:pPr>
      <w:r>
        <w:rPr>
          <w:rFonts w:hint="eastAsia"/>
          <w:lang w:val="en-US" w:eastAsia="zh-CN"/>
        </w:rPr>
        <w:t>6、本基金最后运作日应付销售服务费为0.60元，该款项尚未支付。</w:t>
      </w:r>
    </w:p>
    <w:p w14:paraId="4F52F0A1">
      <w:pPr>
        <w:pStyle w:val="24"/>
        <w:rPr>
          <w:rFonts w:cs="Times New Roman"/>
        </w:rPr>
      </w:pPr>
      <w:r>
        <w:rPr>
          <w:rFonts w:hint="eastAsia" w:cs="Times New Roman"/>
          <w:lang w:val="en-US" w:eastAsia="zh-CN"/>
        </w:rPr>
        <w:t>7</w:t>
      </w:r>
      <w:r>
        <w:rPr>
          <w:rFonts w:hint="eastAsia" w:cs="Times New Roman"/>
        </w:rPr>
        <w:t>、本基金最后运作日其他负债为</w:t>
      </w:r>
      <w:r>
        <w:rPr>
          <w:rFonts w:hint="eastAsia" w:cs="Times New Roman"/>
          <w:lang w:val="en-US" w:eastAsia="zh-CN"/>
        </w:rPr>
        <w:t>86,554.</w:t>
      </w:r>
      <w:bookmarkStart w:id="84" w:name="_GoBack"/>
      <w:bookmarkEnd w:id="84"/>
      <w:r>
        <w:rPr>
          <w:rFonts w:hint="eastAsia" w:cs="Times New Roman"/>
          <w:lang w:val="en-US" w:eastAsia="zh-CN"/>
        </w:rPr>
        <w:t>52</w:t>
      </w:r>
      <w:r>
        <w:rPr>
          <w:rFonts w:hint="eastAsia" w:cs="Times New Roman"/>
        </w:rPr>
        <w:t>元，包括应付中债登</w:t>
      </w:r>
      <w:r>
        <w:rPr>
          <w:rFonts w:hint="eastAsia" w:cs="Times New Roman"/>
          <w:lang w:val="en-US" w:eastAsia="zh-CN"/>
        </w:rPr>
        <w:t>结算</w:t>
      </w:r>
      <w:r>
        <w:rPr>
          <w:rFonts w:hint="eastAsia" w:cs="Times New Roman"/>
        </w:rPr>
        <w:t>服务费，应付外汇交易中心手续费</w:t>
      </w:r>
      <w:r>
        <w:rPr>
          <w:rFonts w:hint="eastAsia" w:cs="Times New Roman"/>
          <w:lang w:eastAsia="zh-CN"/>
        </w:rPr>
        <w:t>、</w:t>
      </w:r>
      <w:r>
        <w:rPr>
          <w:rFonts w:hint="eastAsia" w:cs="Times New Roman"/>
        </w:rPr>
        <w:t>预提中债登账户服务费</w:t>
      </w:r>
      <w:r>
        <w:rPr>
          <w:rFonts w:hint="eastAsia" w:cs="Times New Roman"/>
          <w:lang w:eastAsia="zh-CN"/>
        </w:rPr>
        <w:t>、</w:t>
      </w:r>
      <w:r>
        <w:rPr>
          <w:rFonts w:hint="eastAsia" w:cs="Times New Roman"/>
        </w:rPr>
        <w:t>预提审计费</w:t>
      </w:r>
      <w:r>
        <w:rPr>
          <w:rFonts w:hint="eastAsia" w:cs="Times New Roman"/>
          <w:lang w:val="en-US" w:eastAsia="zh-CN"/>
        </w:rPr>
        <w:t>及</w:t>
      </w:r>
      <w:r>
        <w:rPr>
          <w:rFonts w:hint="eastAsia" w:cs="Times New Roman"/>
        </w:rPr>
        <w:t>预提信息披露费。其中应付中债登</w:t>
      </w:r>
      <w:r>
        <w:rPr>
          <w:rFonts w:hint="eastAsia" w:cs="Times New Roman"/>
          <w:lang w:val="en-US" w:eastAsia="zh-CN"/>
        </w:rPr>
        <w:t>结算</w:t>
      </w:r>
      <w:r>
        <w:rPr>
          <w:rFonts w:hint="eastAsia" w:cs="Times New Roman"/>
        </w:rPr>
        <w:t>服务费3</w:t>
      </w:r>
      <w:r>
        <w:rPr>
          <w:rFonts w:hint="eastAsia" w:cs="Times New Roman"/>
          <w:lang w:val="en-US" w:eastAsia="zh-CN"/>
        </w:rPr>
        <w:t>,</w:t>
      </w:r>
      <w:r>
        <w:rPr>
          <w:rFonts w:hint="eastAsia" w:cs="Times New Roman"/>
        </w:rPr>
        <w:t>420.00元已于</w:t>
      </w:r>
      <w:r>
        <w:rPr>
          <w:rFonts w:hint="eastAsia" w:cs="Times New Roman"/>
          <w:lang w:val="en-US" w:eastAsia="zh-CN"/>
        </w:rPr>
        <w:t>清算期内</w:t>
      </w:r>
      <w:r>
        <w:rPr>
          <w:rFonts w:hint="eastAsia" w:cs="Times New Roman"/>
        </w:rPr>
        <w:t>支付；应付外汇交易中心手续费4</w:t>
      </w:r>
      <w:r>
        <w:rPr>
          <w:rFonts w:hint="eastAsia" w:cs="Times New Roman"/>
          <w:lang w:val="en-US" w:eastAsia="zh-CN"/>
        </w:rPr>
        <w:t>,</w:t>
      </w:r>
      <w:r>
        <w:rPr>
          <w:rFonts w:hint="eastAsia" w:cs="Times New Roman"/>
        </w:rPr>
        <w:t>559.12元已于</w:t>
      </w:r>
      <w:r>
        <w:rPr>
          <w:rFonts w:hint="eastAsia" w:cs="Times New Roman"/>
          <w:lang w:val="en-US" w:eastAsia="zh-CN"/>
        </w:rPr>
        <w:t>清算期内</w:t>
      </w:r>
      <w:r>
        <w:rPr>
          <w:rFonts w:hint="eastAsia" w:cs="Times New Roman"/>
        </w:rPr>
        <w:t>支付</w:t>
      </w:r>
      <w:r>
        <w:rPr>
          <w:rFonts w:hint="eastAsia" w:cs="Times New Roman"/>
          <w:lang w:eastAsia="zh-CN"/>
        </w:rPr>
        <w:t>；</w:t>
      </w:r>
      <w:r>
        <w:rPr>
          <w:rFonts w:hint="eastAsia"/>
        </w:rPr>
        <w:t>预提中债登账户服务费</w:t>
      </w:r>
      <w:r>
        <w:rPr>
          <w:rFonts w:hint="eastAsia"/>
          <w:lang w:val="en-US" w:eastAsia="zh-CN"/>
        </w:rPr>
        <w:t>6</w:t>
      </w:r>
      <w:r>
        <w:rPr>
          <w:rFonts w:hint="eastAsia"/>
        </w:rPr>
        <w:t>,000.00元</w:t>
      </w:r>
      <w:r>
        <w:rPr>
          <w:rFonts w:hint="eastAsia" w:cs="Times New Roman"/>
        </w:rPr>
        <w:t>已于</w:t>
      </w:r>
      <w:r>
        <w:rPr>
          <w:rFonts w:hint="eastAsia" w:cs="Times New Roman"/>
          <w:lang w:val="en-US" w:eastAsia="zh-CN"/>
        </w:rPr>
        <w:t>清算期内</w:t>
      </w:r>
      <w:r>
        <w:rPr>
          <w:rFonts w:hint="eastAsia" w:cs="Times New Roman"/>
        </w:rPr>
        <w:t>支付</w:t>
      </w:r>
      <w:r>
        <w:rPr>
          <w:rFonts w:hint="eastAsia" w:cs="Times New Roman"/>
          <w:lang w:eastAsia="zh-CN"/>
        </w:rPr>
        <w:t>；</w:t>
      </w:r>
      <w:r>
        <w:rPr>
          <w:rFonts w:hint="eastAsia" w:cs="Times New Roman"/>
          <w:lang w:val="en-US" w:eastAsia="zh-CN"/>
        </w:rPr>
        <w:t>预提</w:t>
      </w:r>
      <w:r>
        <w:rPr>
          <w:rFonts w:hint="eastAsia" w:cs="Times New Roman"/>
        </w:rPr>
        <w:t>审计费66</w:t>
      </w:r>
      <w:r>
        <w:rPr>
          <w:rFonts w:hint="eastAsia" w:cs="Times New Roman"/>
          <w:lang w:val="en-US" w:eastAsia="zh-CN"/>
        </w:rPr>
        <w:t>,</w:t>
      </w:r>
      <w:r>
        <w:rPr>
          <w:rFonts w:hint="eastAsia" w:cs="Times New Roman"/>
        </w:rPr>
        <w:t>000.00元将于取得审计费发票后支付</w:t>
      </w:r>
      <w:r>
        <w:rPr>
          <w:rFonts w:hint="eastAsia" w:cs="Times New Roman"/>
          <w:lang w:eastAsia="zh-CN"/>
        </w:rPr>
        <w:t>；</w:t>
      </w:r>
      <w:r>
        <w:rPr>
          <w:rFonts w:hint="eastAsia" w:cs="Times New Roman"/>
          <w:lang w:val="en-US" w:eastAsia="zh-CN"/>
        </w:rPr>
        <w:t>预提信息披露费</w:t>
      </w:r>
      <w:r>
        <w:rPr>
          <w:rFonts w:hint="eastAsia" w:cs="Times New Roman"/>
        </w:rPr>
        <w:t>6</w:t>
      </w:r>
      <w:r>
        <w:rPr>
          <w:rFonts w:hint="eastAsia" w:cs="Times New Roman"/>
          <w:lang w:val="en-US" w:eastAsia="zh-CN"/>
        </w:rPr>
        <w:t>,</w:t>
      </w:r>
      <w:r>
        <w:rPr>
          <w:rFonts w:hint="eastAsia" w:cs="Times New Roman"/>
        </w:rPr>
        <w:t>575.40元将于取得</w:t>
      </w:r>
      <w:r>
        <w:rPr>
          <w:rFonts w:hint="eastAsia" w:cs="Times New Roman"/>
          <w:lang w:val="en-US" w:eastAsia="zh-CN"/>
        </w:rPr>
        <w:t>信息披露</w:t>
      </w:r>
      <w:r>
        <w:rPr>
          <w:rFonts w:hint="eastAsia" w:cs="Times New Roman"/>
        </w:rPr>
        <w:t>费发票后支付</w:t>
      </w:r>
      <w:r>
        <w:rPr>
          <w:rFonts w:hint="eastAsia"/>
        </w:rPr>
        <w:t>。</w:t>
      </w:r>
    </w:p>
    <w:bookmarkEnd w:id="50"/>
    <w:p w14:paraId="23AC901B">
      <w:pPr>
        <w:pStyle w:val="3"/>
        <w:spacing w:before="0" w:after="0"/>
        <w:rPr>
          <w:rFonts w:ascii="宋体" w:hAnsi="宋体" w:eastAsia="宋体"/>
          <w:kern w:val="0"/>
          <w:sz w:val="21"/>
          <w:szCs w:val="21"/>
        </w:rPr>
      </w:pPr>
      <w:bookmarkStart w:id="52" w:name="_Toc491963089"/>
      <w:r>
        <w:rPr>
          <w:rFonts w:hint="eastAsia" w:ascii="宋体" w:hAnsi="宋体" w:eastAsia="宋体"/>
          <w:kern w:val="0"/>
          <w:sz w:val="21"/>
          <w:szCs w:val="21"/>
        </w:rPr>
        <w:t>5.2 截至本次清算期结束日的剩余财产情况及剩余财产分配安排</w:t>
      </w:r>
      <w:bookmarkEnd w:id="52"/>
    </w:p>
    <w:tbl>
      <w:tblPr>
        <w:tblStyle w:val="13"/>
        <w:tblW w:w="90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397"/>
        <w:gridCol w:w="5675"/>
      </w:tblGrid>
      <w:tr w14:paraId="04160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397" w:type="dxa"/>
            <w:vAlign w:val="center"/>
          </w:tcPr>
          <w:p w14:paraId="0E6F88CD">
            <w:pPr>
              <w:pStyle w:val="11"/>
              <w:jc w:val="center"/>
              <w:rPr>
                <w:rFonts w:ascii="宋体" w:hAnsi="宋体" w:eastAsia="宋体"/>
                <w:b/>
                <w:color w:val="000000" w:themeColor="text1"/>
                <w:sz w:val="21"/>
                <w:szCs w:val="21"/>
                <w14:textFill>
                  <w14:solidFill>
                    <w14:schemeClr w14:val="tx1"/>
                  </w14:solidFill>
                </w14:textFill>
              </w:rPr>
            </w:pPr>
            <w:r>
              <w:rPr>
                <w:rFonts w:ascii="宋体" w:hAnsi="宋体" w:eastAsia="宋体"/>
                <w:b/>
                <w:color w:val="000000" w:themeColor="text1"/>
                <w:sz w:val="21"/>
                <w:szCs w:val="21"/>
                <w14:textFill>
                  <w14:solidFill>
                    <w14:schemeClr w14:val="tx1"/>
                  </w14:solidFill>
                </w14:textFill>
              </w:rPr>
              <w:t>项目</w:t>
            </w:r>
          </w:p>
        </w:tc>
        <w:tc>
          <w:tcPr>
            <w:tcW w:w="5675" w:type="dxa"/>
            <w:vAlign w:val="center"/>
          </w:tcPr>
          <w:p w14:paraId="7AD0A977">
            <w:pPr>
              <w:pStyle w:val="11"/>
              <w:spacing w:before="0" w:beforeAutospacing="0" w:after="0" w:afterAutospacing="0"/>
              <w:jc w:val="center"/>
              <w:rPr>
                <w:rFonts w:ascii="宋体" w:hAnsi="宋体" w:eastAsia="宋体"/>
                <w:b/>
                <w:color w:val="000000" w:themeColor="text1"/>
                <w:sz w:val="21"/>
                <w:szCs w:val="21"/>
                <w:lang w:eastAsia="zh-CN"/>
                <w14:textFill>
                  <w14:solidFill>
                    <w14:schemeClr w14:val="tx1"/>
                  </w14:solidFill>
                </w14:textFill>
              </w:rPr>
            </w:pPr>
            <w:r>
              <w:rPr>
                <w:rFonts w:hint="eastAsia" w:ascii="宋体" w:hAnsi="宋体" w:eastAsia="宋体"/>
                <w:b/>
                <w:color w:val="000000" w:themeColor="text1"/>
                <w:sz w:val="21"/>
                <w:szCs w:val="21"/>
                <w:lang w:eastAsia="zh-CN"/>
                <w14:textFill>
                  <w14:solidFill>
                    <w14:schemeClr w14:val="tx1"/>
                  </w14:solidFill>
                </w14:textFill>
              </w:rPr>
              <w:t>金额</w:t>
            </w:r>
          </w:p>
        </w:tc>
      </w:tr>
      <w:tr w14:paraId="751BF6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397" w:type="dxa"/>
            <w:vAlign w:val="center"/>
          </w:tcPr>
          <w:p w14:paraId="403BBE58">
            <w:pPr>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t>一、</w:t>
            </w:r>
            <w:r>
              <w:rPr>
                <w:rFonts w:hint="eastAsia" w:ascii="宋体" w:hAnsi="宋体"/>
                <w:b/>
                <w:color w:val="000000" w:themeColor="text1"/>
                <w:szCs w:val="21"/>
                <w14:textFill>
                  <w14:solidFill>
                    <w14:schemeClr w14:val="tx1"/>
                  </w14:solidFill>
                </w14:textFill>
              </w:rPr>
              <w:t>最后运作日20</w:t>
            </w:r>
            <w:r>
              <w:rPr>
                <w:rFonts w:ascii="宋体" w:hAnsi="宋体"/>
                <w:b/>
                <w:color w:val="000000" w:themeColor="text1"/>
                <w:szCs w:val="21"/>
                <w14:textFill>
                  <w14:solidFill>
                    <w14:schemeClr w14:val="tx1"/>
                  </w14:solidFill>
                </w14:textFill>
              </w:rPr>
              <w:t>2</w:t>
            </w:r>
            <w:r>
              <w:rPr>
                <w:rFonts w:hint="eastAsia" w:ascii="宋体" w:hAnsi="宋体"/>
                <w:b/>
                <w:color w:val="000000" w:themeColor="text1"/>
                <w:szCs w:val="21"/>
                <w:lang w:val="en-US" w:eastAsia="zh-CN"/>
                <w14:textFill>
                  <w14:solidFill>
                    <w14:schemeClr w14:val="tx1"/>
                  </w14:solidFill>
                </w14:textFill>
              </w:rPr>
              <w:t>6</w:t>
            </w:r>
            <w:r>
              <w:rPr>
                <w:rFonts w:hint="eastAsia" w:ascii="宋体" w:hAnsi="宋体"/>
                <w:b/>
                <w:color w:val="000000" w:themeColor="text1"/>
                <w:szCs w:val="21"/>
                <w14:textFill>
                  <w14:solidFill>
                    <w14:schemeClr w14:val="tx1"/>
                  </w14:solidFill>
                </w14:textFill>
              </w:rPr>
              <w:t>年</w:t>
            </w:r>
            <w:r>
              <w:rPr>
                <w:rFonts w:hint="eastAsia" w:ascii="宋体" w:hAnsi="宋体"/>
                <w:b/>
                <w:color w:val="000000" w:themeColor="text1"/>
                <w:szCs w:val="21"/>
                <w:lang w:val="en-US" w:eastAsia="zh-CN"/>
                <w14:textFill>
                  <w14:solidFill>
                    <w14:schemeClr w14:val="tx1"/>
                  </w14:solidFill>
                </w14:textFill>
              </w:rPr>
              <w:t>4</w:t>
            </w:r>
            <w:r>
              <w:rPr>
                <w:rFonts w:hint="eastAsia" w:ascii="宋体" w:hAnsi="宋体"/>
                <w:b/>
                <w:color w:val="000000" w:themeColor="text1"/>
                <w:szCs w:val="21"/>
                <w14:textFill>
                  <w14:solidFill>
                    <w14:schemeClr w14:val="tx1"/>
                  </w14:solidFill>
                </w14:textFill>
              </w:rPr>
              <w:t>月</w:t>
            </w:r>
            <w:r>
              <w:rPr>
                <w:rFonts w:hint="eastAsia" w:ascii="宋体" w:hAnsi="宋体"/>
                <w:b/>
                <w:color w:val="000000" w:themeColor="text1"/>
                <w:szCs w:val="21"/>
                <w:lang w:val="en-US" w:eastAsia="zh-CN"/>
                <w14:textFill>
                  <w14:solidFill>
                    <w14:schemeClr w14:val="tx1"/>
                  </w14:solidFill>
                </w14:textFill>
              </w:rPr>
              <w:t>9</w:t>
            </w:r>
            <w:r>
              <w:rPr>
                <w:rFonts w:hint="eastAsia" w:ascii="宋体" w:hAnsi="宋体"/>
                <w:b/>
                <w:color w:val="000000" w:themeColor="text1"/>
                <w:szCs w:val="21"/>
                <w14:textFill>
                  <w14:solidFill>
                    <w14:schemeClr w14:val="tx1"/>
                  </w14:solidFill>
                </w14:textFill>
              </w:rPr>
              <w:t>日基金净资产</w:t>
            </w:r>
          </w:p>
        </w:tc>
        <w:tc>
          <w:tcPr>
            <w:tcW w:w="5675" w:type="dxa"/>
            <w:vAlign w:val="center"/>
          </w:tcPr>
          <w:p w14:paraId="1D1EB337">
            <w:pPr>
              <w:ind w:left="-80"/>
              <w:jc w:val="right"/>
              <w:rPr>
                <w:rFonts w:ascii="Arial" w:hAnsi="Arial" w:cs="Arial"/>
                <w:b/>
                <w:color w:val="000000"/>
                <w:sz w:val="24"/>
              </w:rPr>
            </w:pPr>
            <w:r>
              <w:rPr>
                <w:rFonts w:hint="eastAsia" w:ascii="Arial" w:hAnsi="Arial" w:cs="Arial"/>
                <w:b/>
                <w:color w:val="000000"/>
                <w:sz w:val="24"/>
              </w:rPr>
              <w:t>305,095.26</w:t>
            </w:r>
          </w:p>
        </w:tc>
      </w:tr>
      <w:tr w14:paraId="51C33D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397" w:type="dxa"/>
            <w:vAlign w:val="center"/>
          </w:tcPr>
          <w:p w14:paraId="5472765C">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加：清算期间净收益</w:t>
            </w:r>
          </w:p>
        </w:tc>
        <w:tc>
          <w:tcPr>
            <w:tcW w:w="5675" w:type="dxa"/>
            <w:vAlign w:val="center"/>
          </w:tcPr>
          <w:p w14:paraId="38D5EA3A">
            <w:pPr>
              <w:ind w:left="-80"/>
              <w:jc w:val="right"/>
              <w:rPr>
                <w:rFonts w:hint="default" w:ascii="Arial" w:hAnsi="Arial" w:cs="Arial"/>
                <w:b w:val="0"/>
                <w:bCs/>
                <w:color w:val="000000"/>
                <w:sz w:val="24"/>
                <w:lang w:val="en-US" w:eastAsia="zh-CN"/>
              </w:rPr>
            </w:pPr>
            <w:r>
              <w:rPr>
                <w:rFonts w:hint="eastAsia" w:ascii="Arial" w:hAnsi="Arial" w:cs="Arial"/>
                <w:b w:val="0"/>
                <w:bCs/>
                <w:color w:val="000000"/>
                <w:sz w:val="24"/>
                <w:lang w:val="en-US" w:eastAsia="zh-CN"/>
              </w:rPr>
              <w:t>-87</w:t>
            </w:r>
            <w:r>
              <w:rPr>
                <w:rFonts w:hint="eastAsia" w:ascii="Arial" w:hAnsi="Arial" w:cs="Arial"/>
                <w:b w:val="0"/>
                <w:bCs/>
                <w:color w:val="000000"/>
                <w:sz w:val="24"/>
              </w:rPr>
              <w:t>.</w:t>
            </w:r>
            <w:r>
              <w:rPr>
                <w:rFonts w:hint="eastAsia" w:ascii="Arial" w:hAnsi="Arial" w:cs="Arial"/>
                <w:b w:val="0"/>
                <w:bCs/>
                <w:color w:val="000000"/>
                <w:sz w:val="24"/>
                <w:lang w:val="en-US" w:eastAsia="zh-CN"/>
              </w:rPr>
              <w:t>04</w:t>
            </w:r>
          </w:p>
        </w:tc>
      </w:tr>
      <w:tr w14:paraId="377712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4" w:hRule="atLeast"/>
          <w:jc w:val="center"/>
        </w:trPr>
        <w:tc>
          <w:tcPr>
            <w:tcW w:w="3397" w:type="dxa"/>
            <w:vAlign w:val="center"/>
          </w:tcPr>
          <w:p w14:paraId="6B035675">
            <w:pP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二、20</w:t>
            </w:r>
            <w:r>
              <w:rPr>
                <w:rFonts w:ascii="宋体" w:hAnsi="宋体"/>
                <w:b/>
                <w:color w:val="000000" w:themeColor="text1"/>
                <w:szCs w:val="21"/>
                <w14:textFill>
                  <w14:solidFill>
                    <w14:schemeClr w14:val="tx1"/>
                  </w14:solidFill>
                </w14:textFill>
              </w:rPr>
              <w:t>2</w:t>
            </w:r>
            <w:r>
              <w:rPr>
                <w:rFonts w:hint="eastAsia" w:ascii="宋体" w:hAnsi="宋体"/>
                <w:b/>
                <w:color w:val="000000" w:themeColor="text1"/>
                <w:szCs w:val="21"/>
                <w:lang w:val="en-US" w:eastAsia="zh-CN"/>
                <w14:textFill>
                  <w14:solidFill>
                    <w14:schemeClr w14:val="tx1"/>
                  </w14:solidFill>
                </w14:textFill>
              </w:rPr>
              <w:t>6</w:t>
            </w:r>
            <w:r>
              <w:rPr>
                <w:rFonts w:hint="eastAsia" w:ascii="宋体" w:hAnsi="宋体"/>
                <w:b/>
                <w:color w:val="000000" w:themeColor="text1"/>
                <w:szCs w:val="21"/>
                <w14:textFill>
                  <w14:solidFill>
                    <w14:schemeClr w14:val="tx1"/>
                  </w14:solidFill>
                </w14:textFill>
              </w:rPr>
              <w:t>年</w:t>
            </w:r>
            <w:r>
              <w:rPr>
                <w:rFonts w:hint="eastAsia" w:ascii="宋体" w:hAnsi="宋体"/>
                <w:b/>
                <w:color w:val="000000" w:themeColor="text1"/>
                <w:szCs w:val="21"/>
                <w:lang w:val="en-US" w:eastAsia="zh-CN"/>
                <w14:textFill>
                  <w14:solidFill>
                    <w14:schemeClr w14:val="tx1"/>
                  </w14:solidFill>
                </w14:textFill>
              </w:rPr>
              <w:t>4</w:t>
            </w:r>
            <w:r>
              <w:rPr>
                <w:rFonts w:hint="eastAsia" w:ascii="宋体" w:hAnsi="宋体"/>
                <w:b/>
                <w:color w:val="000000" w:themeColor="text1"/>
                <w:szCs w:val="21"/>
                <w14:textFill>
                  <w14:solidFill>
                    <w14:schemeClr w14:val="tx1"/>
                  </w14:solidFill>
                </w14:textFill>
              </w:rPr>
              <w:t>月</w:t>
            </w:r>
            <w:r>
              <w:rPr>
                <w:rFonts w:ascii="宋体" w:hAnsi="宋体"/>
                <w:b/>
                <w:color w:val="000000" w:themeColor="text1"/>
                <w:szCs w:val="21"/>
                <w14:textFill>
                  <w14:solidFill>
                    <w14:schemeClr w14:val="tx1"/>
                  </w14:solidFill>
                </w14:textFill>
              </w:rPr>
              <w:t>2</w:t>
            </w:r>
            <w:r>
              <w:rPr>
                <w:rFonts w:hint="eastAsia" w:ascii="宋体" w:hAnsi="宋体"/>
                <w:b/>
                <w:color w:val="000000" w:themeColor="text1"/>
                <w:szCs w:val="21"/>
                <w:lang w:val="en-US" w:eastAsia="zh-CN"/>
                <w14:textFill>
                  <w14:solidFill>
                    <w14:schemeClr w14:val="tx1"/>
                  </w14:solidFill>
                </w14:textFill>
              </w:rPr>
              <w:t>7</w:t>
            </w:r>
            <w:r>
              <w:rPr>
                <w:rFonts w:hint="eastAsia" w:ascii="宋体" w:hAnsi="宋体"/>
                <w:b/>
                <w:color w:val="000000" w:themeColor="text1"/>
                <w:szCs w:val="21"/>
                <w14:textFill>
                  <w14:solidFill>
                    <w14:schemeClr w14:val="tx1"/>
                  </w14:solidFill>
                </w14:textFill>
              </w:rPr>
              <w:t>日基金净资产</w:t>
            </w:r>
          </w:p>
        </w:tc>
        <w:tc>
          <w:tcPr>
            <w:tcW w:w="5675" w:type="dxa"/>
            <w:vAlign w:val="center"/>
          </w:tcPr>
          <w:p w14:paraId="7BC7C049">
            <w:pPr>
              <w:ind w:left="-80"/>
              <w:jc w:val="right"/>
              <w:rPr>
                <w:rFonts w:hint="eastAsia" w:ascii="Arial" w:hAnsi="Arial" w:cs="Arial"/>
                <w:b/>
                <w:color w:val="000000"/>
                <w:sz w:val="24"/>
              </w:rPr>
            </w:pPr>
            <w:r>
              <w:rPr>
                <w:rFonts w:hint="eastAsia" w:ascii="Arial" w:hAnsi="Arial" w:cs="Arial"/>
                <w:b/>
                <w:color w:val="000000"/>
                <w:sz w:val="24"/>
              </w:rPr>
              <w:t>305,008.22</w:t>
            </w:r>
          </w:p>
        </w:tc>
      </w:tr>
    </w:tbl>
    <w:p w14:paraId="65A3F21A">
      <w:pPr>
        <w:pStyle w:val="24"/>
        <w:rPr>
          <w:rFonts w:hint="eastAsia" w:cs="Times New Roman"/>
          <w:lang w:val="en-US" w:eastAsia="zh-CN"/>
        </w:rPr>
      </w:pPr>
      <w:r>
        <w:rPr>
          <w:rFonts w:hint="eastAsia" w:cs="Times New Roman"/>
          <w:lang w:val="en-US" w:eastAsia="zh-CN"/>
        </w:rPr>
        <w:t>截至本次清算期结束日2026年4月27日，本基金剩余财产为305,008.22元。自本次清算期结束日次日2026年4月28日至清算款划出前一日的收益和费用由基金份额持有人享有和承担。</w:t>
      </w:r>
    </w:p>
    <w:p w14:paraId="2E96CC2E">
      <w:pPr>
        <w:spacing w:line="360" w:lineRule="auto"/>
        <w:ind w:firstLine="420" w:firstLineChars="200"/>
        <w:rPr>
          <w:rFonts w:ascii="宋体" w:hAnsi="宋体"/>
          <w:szCs w:val="21"/>
        </w:rPr>
      </w:pPr>
      <w:r>
        <w:rPr>
          <w:rFonts w:hint="eastAsia" w:ascii="宋体" w:hAnsi="宋体"/>
          <w:szCs w:val="21"/>
        </w:rPr>
        <w:t>本清算报告已经基金托管人复核，将与会计师事务所出具的清算审计报告、律师事务所出具的法律意见书一并报中国证监会备案后向基金份额持有人公告。清算报告公告后，基金管理人将遵照法律法规、基金合同等规定及时进行分配。</w:t>
      </w:r>
    </w:p>
    <w:p w14:paraId="05FAD7F8">
      <w:pPr>
        <w:pStyle w:val="2"/>
        <w:keepNext/>
        <w:keepLines/>
        <w:widowControl w:val="0"/>
        <w:spacing w:before="312" w:beforeLines="100" w:after="312" w:afterLines="100" w:line="360" w:lineRule="auto"/>
        <w:jc w:val="center"/>
        <w:rPr>
          <w:rStyle w:val="20"/>
          <w:rFonts w:ascii="宋体" w:hAnsi="宋体"/>
        </w:rPr>
      </w:pPr>
      <w:bookmarkStart w:id="53" w:name="_Toc491963090"/>
      <w:bookmarkStart w:id="54" w:name="_Toc476577307"/>
      <w:bookmarkStart w:id="55" w:name="_Toc361324903"/>
      <w:bookmarkStart w:id="56" w:name="_Toc409100108"/>
      <w:bookmarkStart w:id="57" w:name="_Toc409100471"/>
      <w:bookmarkStart w:id="58" w:name="_Toc484769810"/>
      <w:bookmarkStart w:id="59" w:name="_Toc225500055"/>
      <w:r>
        <w:rPr>
          <w:rStyle w:val="20"/>
          <w:rFonts w:hint="eastAsia" w:ascii="宋体" w:hAnsi="宋体"/>
        </w:rPr>
        <w:t>6、</w:t>
      </w:r>
      <w:r>
        <w:rPr>
          <w:rStyle w:val="20"/>
          <w:rFonts w:ascii="宋体" w:hAnsi="宋体"/>
        </w:rPr>
        <w:t>备查文件目录</w:t>
      </w:r>
      <w:bookmarkEnd w:id="53"/>
      <w:bookmarkEnd w:id="54"/>
      <w:bookmarkEnd w:id="55"/>
      <w:bookmarkEnd w:id="56"/>
      <w:bookmarkEnd w:id="57"/>
      <w:bookmarkEnd w:id="58"/>
      <w:bookmarkEnd w:id="59"/>
    </w:p>
    <w:p w14:paraId="768EC6A4">
      <w:pPr>
        <w:pStyle w:val="3"/>
        <w:spacing w:before="0" w:after="0"/>
        <w:rPr>
          <w:rFonts w:ascii="宋体" w:hAnsi="宋体" w:eastAsia="宋体"/>
          <w:kern w:val="0"/>
          <w:sz w:val="21"/>
          <w:szCs w:val="21"/>
        </w:rPr>
      </w:pPr>
      <w:bookmarkStart w:id="60" w:name="_Toc484769811"/>
      <w:bookmarkStart w:id="61" w:name="_Toc409100472"/>
      <w:bookmarkStart w:id="62" w:name="_Toc491963091"/>
      <w:bookmarkStart w:id="63" w:name="_Toc484607315"/>
      <w:bookmarkStart w:id="64" w:name="_Toc409100109"/>
      <w:bookmarkStart w:id="65" w:name="_Toc361324904"/>
      <w:bookmarkStart w:id="66" w:name="_Toc483396843"/>
      <w:bookmarkStart w:id="67" w:name="_Toc476577308"/>
      <w:r>
        <w:rPr>
          <w:rFonts w:hint="eastAsia" w:ascii="宋体" w:hAnsi="宋体" w:eastAsia="宋体"/>
          <w:kern w:val="0"/>
          <w:sz w:val="21"/>
          <w:szCs w:val="21"/>
        </w:rPr>
        <w:t>6</w:t>
      </w:r>
      <w:r>
        <w:rPr>
          <w:rFonts w:ascii="宋体" w:hAnsi="宋体" w:eastAsia="宋体"/>
          <w:kern w:val="0"/>
          <w:sz w:val="21"/>
          <w:szCs w:val="21"/>
        </w:rPr>
        <w:t>.1 备查文件目录</w:t>
      </w:r>
      <w:bookmarkEnd w:id="60"/>
      <w:bookmarkEnd w:id="61"/>
      <w:bookmarkEnd w:id="62"/>
      <w:bookmarkEnd w:id="63"/>
      <w:bookmarkEnd w:id="64"/>
      <w:bookmarkEnd w:id="65"/>
      <w:bookmarkEnd w:id="66"/>
      <w:bookmarkEnd w:id="67"/>
    </w:p>
    <w:p w14:paraId="07BF2DFE">
      <w:pPr>
        <w:spacing w:line="360" w:lineRule="auto"/>
        <w:ind w:firstLine="420" w:firstLineChars="200"/>
        <w:rPr>
          <w:rFonts w:ascii="宋体" w:hAnsi="宋体"/>
          <w:szCs w:val="21"/>
        </w:rPr>
      </w:pPr>
      <w:r>
        <w:rPr>
          <w:rFonts w:hint="eastAsia" w:ascii="宋体" w:hAnsi="宋体"/>
          <w:color w:val="000000"/>
          <w:szCs w:val="21"/>
        </w:rPr>
        <w:t>6.</w:t>
      </w:r>
      <w:r>
        <w:rPr>
          <w:rFonts w:ascii="宋体" w:hAnsi="宋体"/>
          <w:color w:val="000000"/>
          <w:szCs w:val="21"/>
        </w:rPr>
        <w:t>1.1博时安仁一年定期开放债券型发起式证券投资基金清算审计报告</w:t>
      </w:r>
    </w:p>
    <w:p w14:paraId="3B0B9C5B">
      <w:pPr>
        <w:spacing w:line="360" w:lineRule="auto"/>
        <w:ind w:firstLine="420" w:firstLineChars="200"/>
        <w:rPr>
          <w:rFonts w:ascii="宋体" w:hAnsi="宋体"/>
          <w:color w:val="000000"/>
          <w:szCs w:val="21"/>
        </w:rPr>
      </w:pPr>
      <w:r>
        <w:rPr>
          <w:rFonts w:hint="eastAsia" w:ascii="宋体" w:hAnsi="宋体"/>
          <w:color w:val="000000"/>
          <w:szCs w:val="21"/>
        </w:rPr>
        <w:t>6</w:t>
      </w:r>
      <w:r>
        <w:rPr>
          <w:rFonts w:ascii="宋体" w:hAnsi="宋体"/>
          <w:color w:val="000000"/>
          <w:szCs w:val="21"/>
        </w:rPr>
        <w:t>.1.2</w:t>
      </w:r>
      <w:r>
        <w:rPr>
          <w:rFonts w:hint="eastAsia" w:ascii="宋体" w:hAnsi="宋体"/>
          <w:color w:val="000000"/>
          <w:szCs w:val="21"/>
        </w:rPr>
        <w:t>上海源泰律师事务所关于</w:t>
      </w:r>
      <w:r>
        <w:rPr>
          <w:rFonts w:ascii="宋体" w:hAnsi="宋体"/>
          <w:color w:val="000000"/>
          <w:szCs w:val="21"/>
        </w:rPr>
        <w:t>博时安仁一年定期开放债券型发起式证券投资基金</w:t>
      </w:r>
      <w:r>
        <w:rPr>
          <w:rFonts w:hint="eastAsia" w:ascii="宋体" w:hAnsi="宋体"/>
          <w:color w:val="000000"/>
          <w:szCs w:val="21"/>
        </w:rPr>
        <w:t>清算事宜之</w:t>
      </w:r>
      <w:r>
        <w:rPr>
          <w:rFonts w:ascii="宋体" w:hAnsi="宋体"/>
          <w:color w:val="000000"/>
          <w:szCs w:val="21"/>
        </w:rPr>
        <w:t>法律意见书</w:t>
      </w:r>
    </w:p>
    <w:p w14:paraId="6D128E0E">
      <w:pPr>
        <w:pStyle w:val="3"/>
        <w:spacing w:before="0" w:after="0"/>
        <w:rPr>
          <w:rFonts w:ascii="宋体" w:hAnsi="宋体" w:eastAsia="宋体"/>
          <w:kern w:val="0"/>
          <w:sz w:val="21"/>
          <w:szCs w:val="21"/>
        </w:rPr>
      </w:pPr>
      <w:bookmarkStart w:id="68" w:name="_Toc409100110"/>
      <w:bookmarkStart w:id="69" w:name="_Toc484607316"/>
      <w:bookmarkStart w:id="70" w:name="_Toc476577309"/>
      <w:bookmarkStart w:id="71" w:name="_Toc491963092"/>
      <w:bookmarkStart w:id="72" w:name="_Toc484769812"/>
      <w:bookmarkStart w:id="73" w:name="_Toc483396844"/>
      <w:bookmarkStart w:id="74" w:name="_Toc409100473"/>
      <w:bookmarkStart w:id="75" w:name="_Toc361324905"/>
      <w:r>
        <w:rPr>
          <w:rFonts w:hint="eastAsia" w:ascii="宋体" w:hAnsi="宋体" w:eastAsia="宋体"/>
          <w:kern w:val="0"/>
          <w:sz w:val="21"/>
          <w:szCs w:val="21"/>
        </w:rPr>
        <w:t>6</w:t>
      </w:r>
      <w:r>
        <w:rPr>
          <w:rFonts w:ascii="宋体" w:hAnsi="宋体" w:eastAsia="宋体"/>
          <w:kern w:val="0"/>
          <w:sz w:val="21"/>
          <w:szCs w:val="21"/>
        </w:rPr>
        <w:t>.2 存放地点</w:t>
      </w:r>
      <w:bookmarkEnd w:id="68"/>
      <w:bookmarkEnd w:id="69"/>
      <w:bookmarkEnd w:id="70"/>
      <w:bookmarkEnd w:id="71"/>
      <w:bookmarkEnd w:id="72"/>
      <w:bookmarkEnd w:id="73"/>
      <w:bookmarkEnd w:id="74"/>
      <w:bookmarkEnd w:id="75"/>
    </w:p>
    <w:p w14:paraId="7C173219">
      <w:pPr>
        <w:spacing w:line="360" w:lineRule="auto"/>
        <w:ind w:firstLine="420" w:firstLineChars="200"/>
        <w:rPr>
          <w:rFonts w:ascii="宋体" w:hAnsi="宋体"/>
          <w:color w:val="000000"/>
          <w:szCs w:val="21"/>
        </w:rPr>
      </w:pPr>
      <w:r>
        <w:rPr>
          <w:rFonts w:ascii="宋体" w:hAnsi="宋体"/>
          <w:color w:val="000000"/>
          <w:szCs w:val="21"/>
        </w:rPr>
        <w:t>基金管理人、基金托管人处</w:t>
      </w:r>
    </w:p>
    <w:p w14:paraId="5BFFA91A">
      <w:pPr>
        <w:pStyle w:val="3"/>
        <w:spacing w:before="0" w:after="0"/>
        <w:rPr>
          <w:rFonts w:ascii="宋体" w:hAnsi="宋体" w:eastAsia="宋体"/>
          <w:kern w:val="0"/>
          <w:sz w:val="21"/>
          <w:szCs w:val="21"/>
        </w:rPr>
      </w:pPr>
      <w:bookmarkStart w:id="76" w:name="_Toc491963093"/>
      <w:bookmarkStart w:id="77" w:name="_Toc483396845"/>
      <w:bookmarkStart w:id="78" w:name="_Toc361324906"/>
      <w:bookmarkStart w:id="79" w:name="_Toc409100474"/>
      <w:bookmarkStart w:id="80" w:name="_Toc476577310"/>
      <w:bookmarkStart w:id="81" w:name="_Toc484607317"/>
      <w:bookmarkStart w:id="82" w:name="_Toc484769813"/>
      <w:bookmarkStart w:id="83" w:name="_Toc409100111"/>
      <w:r>
        <w:rPr>
          <w:rFonts w:hint="eastAsia" w:ascii="宋体" w:hAnsi="宋体" w:eastAsia="宋体"/>
          <w:kern w:val="0"/>
          <w:sz w:val="21"/>
          <w:szCs w:val="21"/>
        </w:rPr>
        <w:t>6</w:t>
      </w:r>
      <w:r>
        <w:rPr>
          <w:rFonts w:ascii="宋体" w:hAnsi="宋体" w:eastAsia="宋体"/>
          <w:kern w:val="0"/>
          <w:sz w:val="21"/>
          <w:szCs w:val="21"/>
        </w:rPr>
        <w:t>.3 查阅方式</w:t>
      </w:r>
      <w:bookmarkEnd w:id="76"/>
      <w:bookmarkEnd w:id="77"/>
      <w:bookmarkEnd w:id="78"/>
      <w:bookmarkEnd w:id="79"/>
      <w:bookmarkEnd w:id="80"/>
      <w:bookmarkEnd w:id="81"/>
      <w:bookmarkEnd w:id="82"/>
      <w:bookmarkEnd w:id="83"/>
    </w:p>
    <w:p w14:paraId="42DD7C16">
      <w:pPr>
        <w:spacing w:line="360" w:lineRule="auto"/>
        <w:ind w:firstLine="420" w:firstLineChars="200"/>
        <w:rPr>
          <w:rFonts w:ascii="宋体" w:hAnsi="宋体"/>
          <w:color w:val="000000"/>
          <w:szCs w:val="21"/>
        </w:rPr>
      </w:pPr>
      <w:r>
        <w:rPr>
          <w:rFonts w:ascii="宋体" w:hAnsi="宋体"/>
          <w:color w:val="000000"/>
          <w:szCs w:val="21"/>
        </w:rPr>
        <w:t>投资者可在营业时间免费查阅，也可按工本费购买复印件</w:t>
      </w:r>
    </w:p>
    <w:p w14:paraId="67004395">
      <w:pPr>
        <w:spacing w:line="360" w:lineRule="auto"/>
        <w:ind w:firstLine="420" w:firstLineChars="200"/>
        <w:rPr>
          <w:rFonts w:ascii="宋体" w:hAnsi="宋体"/>
          <w:color w:val="000000"/>
          <w:szCs w:val="21"/>
        </w:rPr>
      </w:pPr>
      <w:r>
        <w:rPr>
          <w:rFonts w:ascii="宋体" w:hAnsi="宋体"/>
          <w:color w:val="000000"/>
          <w:szCs w:val="21"/>
        </w:rPr>
        <w:t>投资者对本报告书如有疑问，可咨询本基金管理人博时基金管理有限公司</w:t>
      </w:r>
    </w:p>
    <w:p w14:paraId="5AF854DF">
      <w:pPr>
        <w:spacing w:line="360" w:lineRule="auto"/>
        <w:ind w:firstLine="420" w:firstLineChars="200"/>
        <w:rPr>
          <w:rFonts w:ascii="宋体" w:hAnsi="宋体"/>
          <w:color w:val="000000"/>
          <w:szCs w:val="21"/>
        </w:rPr>
      </w:pPr>
      <w:r>
        <w:rPr>
          <w:rFonts w:ascii="宋体" w:hAnsi="宋体"/>
          <w:color w:val="000000"/>
          <w:szCs w:val="21"/>
        </w:rPr>
        <w:t>博时一线通：95105568（免长途话费）</w:t>
      </w:r>
    </w:p>
    <w:p w14:paraId="57AEF1F7">
      <w:pPr>
        <w:spacing w:line="360" w:lineRule="auto"/>
        <w:ind w:firstLine="315" w:firstLineChars="150"/>
        <w:rPr>
          <w:rFonts w:ascii="宋体" w:hAnsi="宋体"/>
          <w:bCs/>
          <w:color w:val="000000" w:themeColor="text1"/>
          <w:szCs w:val="21"/>
          <w14:textFill>
            <w14:solidFill>
              <w14:schemeClr w14:val="tx1"/>
            </w14:solidFill>
          </w14:textFill>
        </w:rPr>
      </w:pPr>
    </w:p>
    <w:p w14:paraId="09204A53">
      <w:pPr>
        <w:spacing w:line="360" w:lineRule="auto"/>
        <w:ind w:firstLine="315" w:firstLineChars="150"/>
        <w:rPr>
          <w:rFonts w:ascii="宋体" w:hAnsi="宋体"/>
          <w:bCs/>
          <w:color w:val="000000" w:themeColor="text1"/>
          <w:szCs w:val="21"/>
          <w14:textFill>
            <w14:solidFill>
              <w14:schemeClr w14:val="tx1"/>
            </w14:solidFill>
          </w14:textFill>
        </w:rPr>
      </w:pPr>
    </w:p>
    <w:p w14:paraId="7E6208DE">
      <w:pPr>
        <w:spacing w:line="360" w:lineRule="auto"/>
        <w:ind w:firstLine="315" w:firstLineChars="150"/>
        <w:rPr>
          <w:rFonts w:ascii="宋体" w:hAnsi="宋体"/>
          <w:bCs/>
          <w:color w:val="000000" w:themeColor="text1"/>
          <w:szCs w:val="21"/>
          <w14:textFill>
            <w14:solidFill>
              <w14:schemeClr w14:val="tx1"/>
            </w14:solidFill>
          </w14:textFill>
        </w:rPr>
      </w:pPr>
    </w:p>
    <w:p w14:paraId="73457A03">
      <w:pPr>
        <w:spacing w:line="360" w:lineRule="auto"/>
        <w:ind w:firstLine="315" w:firstLineChars="150"/>
        <w:rPr>
          <w:rFonts w:ascii="宋体" w:hAnsi="宋体"/>
          <w:bCs/>
          <w:color w:val="000000" w:themeColor="text1"/>
          <w:szCs w:val="21"/>
          <w14:textFill>
            <w14:solidFill>
              <w14:schemeClr w14:val="tx1"/>
            </w14:solidFill>
          </w14:textFill>
        </w:rPr>
      </w:pPr>
    </w:p>
    <w:p w14:paraId="4C0AB630">
      <w:pPr>
        <w:spacing w:line="360" w:lineRule="auto"/>
        <w:ind w:left="840"/>
        <w:jc w:val="right"/>
        <w:rPr>
          <w:rFonts w:ascii="宋体" w:hAnsi="宋体"/>
          <w:bCs/>
          <w:szCs w:val="21"/>
        </w:rPr>
      </w:pPr>
      <w:r>
        <w:rPr>
          <w:rFonts w:hint="eastAsia" w:ascii="宋体" w:hAnsi="宋体"/>
          <w:bCs/>
          <w:szCs w:val="21"/>
        </w:rPr>
        <w:t>博时安仁一年定期开放债券型发起式证券投资基金基金财产清算小组</w:t>
      </w:r>
    </w:p>
    <w:p w14:paraId="778EBD52">
      <w:pPr>
        <w:wordWrap w:val="0"/>
        <w:spacing w:line="360" w:lineRule="auto"/>
        <w:ind w:left="840" w:right="420" w:firstLine="3885" w:firstLineChars="1850"/>
        <w:jc w:val="right"/>
      </w:pPr>
      <w:r>
        <w:rPr>
          <w:rFonts w:ascii="宋体" w:hAnsi="宋体"/>
          <w:bCs/>
          <w:szCs w:val="21"/>
        </w:rPr>
        <w:t>二〇</w:t>
      </w:r>
      <w:r>
        <w:rPr>
          <w:rFonts w:hint="eastAsia" w:ascii="宋体" w:hAnsi="宋体"/>
          <w:bCs/>
          <w:szCs w:val="21"/>
        </w:rPr>
        <w:t>二</w:t>
      </w:r>
      <w:r>
        <w:rPr>
          <w:rFonts w:hint="eastAsia" w:ascii="宋体" w:hAnsi="宋体"/>
          <w:bCs/>
          <w:szCs w:val="21"/>
          <w:lang w:val="en-US" w:eastAsia="zh-CN"/>
        </w:rPr>
        <w:t>六</w:t>
      </w:r>
      <w:r>
        <w:rPr>
          <w:rFonts w:ascii="宋体" w:hAnsi="宋体"/>
          <w:bCs/>
          <w:szCs w:val="21"/>
        </w:rPr>
        <w:t>年</w:t>
      </w:r>
      <w:r>
        <w:rPr>
          <w:rFonts w:hint="eastAsia" w:ascii="宋体" w:hAnsi="宋体"/>
          <w:bCs/>
          <w:szCs w:val="21"/>
          <w:lang w:val="en-US" w:eastAsia="zh-CN"/>
        </w:rPr>
        <w:t>五</w:t>
      </w:r>
      <w:r>
        <w:rPr>
          <w:rFonts w:ascii="宋体" w:hAnsi="宋体"/>
          <w:bCs/>
          <w:szCs w:val="21"/>
        </w:rPr>
        <w:t>月</w:t>
      </w:r>
      <w:r>
        <w:rPr>
          <w:rFonts w:hint="eastAsia" w:ascii="宋体" w:hAnsi="宋体"/>
          <w:bCs/>
          <w:szCs w:val="21"/>
          <w:lang w:val="en-US" w:eastAsia="zh-CN"/>
        </w:rPr>
        <w:t>二十三</w:t>
      </w:r>
      <w:r>
        <w:rPr>
          <w:rFonts w:ascii="宋体" w:hAnsi="宋体"/>
          <w:bCs/>
          <w:szCs w:val="21"/>
        </w:rPr>
        <w:t>日</w:t>
      </w:r>
    </w:p>
    <w:sectPr>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altName w:val="Malgun Gothic Semilight"/>
    <w:panose1 w:val="020B0604020202020204"/>
    <w:charset w:val="86"/>
    <w:family w:val="swiss"/>
    <w:pitch w:val="default"/>
    <w:sig w:usb0="00000000" w:usb1="00000000" w:usb2="0000003F" w:usb3="00000000" w:csb0="003F01FF" w:csb1="00000000"/>
  </w:font>
  <w:font w:name="宋体棬　僬　.">
    <w:altName w:val="宋体"/>
    <w:panose1 w:val="00000000000000000000"/>
    <w:charset w:val="86"/>
    <w:family w:val="roman"/>
    <w:pitch w:val="default"/>
    <w:sig w:usb0="00000000" w:usb1="00000000" w:usb2="00000010" w:usb3="00000000" w:csb0="00040000" w:csb1="00000000"/>
  </w:font>
  <w:font w:name="Malgun Gothic Semilight">
    <w:panose1 w:val="020B0502040204020203"/>
    <w:charset w:val="86"/>
    <w:family w:val="auto"/>
    <w:pitch w:val="default"/>
    <w:sig w:usb0="900002AF" w:usb1="01D77CFB" w:usb2="00000012" w:usb3="00000000" w:csb0="203E01BD" w:csb1="D7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10446840"/>
      <w:docPartObj>
        <w:docPartGallery w:val="autotext"/>
      </w:docPartObj>
    </w:sdtPr>
    <w:sdtContent>
      <w:p w14:paraId="60615C78">
        <w:pPr>
          <w:pStyle w:val="7"/>
          <w:jc w:val="center"/>
        </w:pPr>
        <w:r>
          <w:fldChar w:fldCharType="begin"/>
        </w:r>
        <w:r>
          <w:instrText xml:space="preserve">PAGE   \* MERGEFORMAT</w:instrText>
        </w:r>
        <w:r>
          <w:fldChar w:fldCharType="separate"/>
        </w:r>
        <w:r>
          <w:rPr>
            <w:lang w:val="zh-CN"/>
          </w:rPr>
          <w:t>9</w:t>
        </w:r>
        <w:r>
          <w:fldChar w:fldCharType="end"/>
        </w:r>
      </w:p>
    </w:sdtContent>
  </w:sdt>
  <w:p w14:paraId="3F72849C">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9D88A9">
    <w:pPr>
      <w:pStyle w:val="8"/>
      <w:pBdr>
        <w:bottom w:val="single" w:color="auto" w:sz="6" w:space="0"/>
      </w:pBdr>
      <w:tabs>
        <w:tab w:val="left" w:pos="3105"/>
        <w:tab w:val="right" w:pos="9090"/>
      </w:tabs>
      <w:jc w:val="left"/>
    </w:pPr>
    <w:r>
      <w:rPr>
        <w:sz w:val="21"/>
        <w:szCs w:val="21"/>
      </w:rPr>
      <w:tab/>
    </w:r>
    <w:r>
      <w:rPr>
        <w:sz w:val="21"/>
        <w:szCs w:val="21"/>
      </w:rPr>
      <w:tab/>
    </w:r>
    <w:r>
      <w:drawing>
        <wp:anchor distT="0" distB="0" distL="114300" distR="114300" simplePos="0" relativeHeight="251660288" behindDoc="0" locked="0" layoutInCell="1" allowOverlap="1">
          <wp:simplePos x="0" y="0"/>
          <wp:positionH relativeFrom="column">
            <wp:posOffset>-13335</wp:posOffset>
          </wp:positionH>
          <wp:positionV relativeFrom="paragraph">
            <wp:posOffset>-190500</wp:posOffset>
          </wp:positionV>
          <wp:extent cx="1257300" cy="314325"/>
          <wp:effectExtent l="0" t="0" r="0" b="0"/>
          <wp:wrapNone/>
          <wp:docPr id="2" name="图片 2" descr="Bosera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Bosera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257300" cy="314325"/>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5916BE">
    <w:pPr>
      <w:pStyle w:val="8"/>
      <w:pBdr>
        <w:bottom w:val="single" w:color="auto" w:sz="6" w:space="0"/>
      </w:pBdr>
      <w:tabs>
        <w:tab w:val="left" w:pos="3105"/>
        <w:tab w:val="right" w:pos="9090"/>
      </w:tabs>
      <w:jc w:val="left"/>
    </w:pPr>
    <w:r>
      <w:rPr>
        <w:sz w:val="21"/>
        <w:szCs w:val="21"/>
      </w:rPr>
      <w:tab/>
    </w:r>
    <w:r>
      <w:rPr>
        <w:sz w:val="21"/>
        <w:szCs w:val="21"/>
      </w:rPr>
      <w:tab/>
    </w:r>
    <w:r>
      <w:drawing>
        <wp:anchor distT="0" distB="0" distL="114300" distR="114300" simplePos="0" relativeHeight="251659264" behindDoc="0" locked="0" layoutInCell="1" allowOverlap="1">
          <wp:simplePos x="0" y="0"/>
          <wp:positionH relativeFrom="column">
            <wp:posOffset>-13335</wp:posOffset>
          </wp:positionH>
          <wp:positionV relativeFrom="paragraph">
            <wp:posOffset>-190500</wp:posOffset>
          </wp:positionV>
          <wp:extent cx="1257300" cy="314325"/>
          <wp:effectExtent l="0" t="0" r="0" b="0"/>
          <wp:wrapNone/>
          <wp:docPr id="4" name="图片 4" descr="Bosera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Bosera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257300" cy="314325"/>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206A"/>
    <w:rsid w:val="0000095F"/>
    <w:rsid w:val="000137FB"/>
    <w:rsid w:val="00022644"/>
    <w:rsid w:val="00041198"/>
    <w:rsid w:val="00047E84"/>
    <w:rsid w:val="000539E5"/>
    <w:rsid w:val="00055987"/>
    <w:rsid w:val="000666D2"/>
    <w:rsid w:val="000761E8"/>
    <w:rsid w:val="00080A17"/>
    <w:rsid w:val="000843E5"/>
    <w:rsid w:val="000902AA"/>
    <w:rsid w:val="000A67AD"/>
    <w:rsid w:val="000C1A89"/>
    <w:rsid w:val="000D2477"/>
    <w:rsid w:val="000F0DB6"/>
    <w:rsid w:val="000F38A7"/>
    <w:rsid w:val="00106078"/>
    <w:rsid w:val="00120978"/>
    <w:rsid w:val="001461B5"/>
    <w:rsid w:val="001469B6"/>
    <w:rsid w:val="00155FBE"/>
    <w:rsid w:val="00167779"/>
    <w:rsid w:val="0017200A"/>
    <w:rsid w:val="0017203A"/>
    <w:rsid w:val="00173F54"/>
    <w:rsid w:val="001837B1"/>
    <w:rsid w:val="00192433"/>
    <w:rsid w:val="001943DA"/>
    <w:rsid w:val="001A25D5"/>
    <w:rsid w:val="001A6186"/>
    <w:rsid w:val="001A64D9"/>
    <w:rsid w:val="001B142B"/>
    <w:rsid w:val="001B307F"/>
    <w:rsid w:val="001B6418"/>
    <w:rsid w:val="001C2654"/>
    <w:rsid w:val="001C5110"/>
    <w:rsid w:val="001C5F1E"/>
    <w:rsid w:val="001D4D02"/>
    <w:rsid w:val="001E1155"/>
    <w:rsid w:val="0020164A"/>
    <w:rsid w:val="002025EA"/>
    <w:rsid w:val="00202D7F"/>
    <w:rsid w:val="002062C8"/>
    <w:rsid w:val="00214EB4"/>
    <w:rsid w:val="0021666C"/>
    <w:rsid w:val="00234000"/>
    <w:rsid w:val="0023623C"/>
    <w:rsid w:val="0025064B"/>
    <w:rsid w:val="00255115"/>
    <w:rsid w:val="002563BA"/>
    <w:rsid w:val="00256EF7"/>
    <w:rsid w:val="00262F7B"/>
    <w:rsid w:val="002653B2"/>
    <w:rsid w:val="00265EEB"/>
    <w:rsid w:val="002661A0"/>
    <w:rsid w:val="002873D1"/>
    <w:rsid w:val="002A67F8"/>
    <w:rsid w:val="002A74F4"/>
    <w:rsid w:val="002B3940"/>
    <w:rsid w:val="002B3A7F"/>
    <w:rsid w:val="002B64F0"/>
    <w:rsid w:val="002C0121"/>
    <w:rsid w:val="002C206A"/>
    <w:rsid w:val="002D012A"/>
    <w:rsid w:val="002D2D31"/>
    <w:rsid w:val="002D5091"/>
    <w:rsid w:val="002E63F9"/>
    <w:rsid w:val="00301ED8"/>
    <w:rsid w:val="00306602"/>
    <w:rsid w:val="0033114F"/>
    <w:rsid w:val="00352E52"/>
    <w:rsid w:val="0035409D"/>
    <w:rsid w:val="00355DCE"/>
    <w:rsid w:val="00370C3B"/>
    <w:rsid w:val="00373891"/>
    <w:rsid w:val="00382B7B"/>
    <w:rsid w:val="003835CB"/>
    <w:rsid w:val="00385C7D"/>
    <w:rsid w:val="00386448"/>
    <w:rsid w:val="00397293"/>
    <w:rsid w:val="003B1FF9"/>
    <w:rsid w:val="003C3F46"/>
    <w:rsid w:val="003C62D7"/>
    <w:rsid w:val="003E2B75"/>
    <w:rsid w:val="003E5A9A"/>
    <w:rsid w:val="00434B13"/>
    <w:rsid w:val="00436D7F"/>
    <w:rsid w:val="0044360C"/>
    <w:rsid w:val="0044397B"/>
    <w:rsid w:val="004454E6"/>
    <w:rsid w:val="0045486C"/>
    <w:rsid w:val="00455ED0"/>
    <w:rsid w:val="00456810"/>
    <w:rsid w:val="004612B6"/>
    <w:rsid w:val="004850AB"/>
    <w:rsid w:val="00492EFF"/>
    <w:rsid w:val="004A1313"/>
    <w:rsid w:val="004A154B"/>
    <w:rsid w:val="004A4000"/>
    <w:rsid w:val="004B5C9E"/>
    <w:rsid w:val="004C29F5"/>
    <w:rsid w:val="004D6178"/>
    <w:rsid w:val="00502816"/>
    <w:rsid w:val="00506722"/>
    <w:rsid w:val="00516AB2"/>
    <w:rsid w:val="00521F84"/>
    <w:rsid w:val="00523B76"/>
    <w:rsid w:val="00534804"/>
    <w:rsid w:val="00564FC0"/>
    <w:rsid w:val="005660DC"/>
    <w:rsid w:val="00573CCA"/>
    <w:rsid w:val="00587EB1"/>
    <w:rsid w:val="00591E34"/>
    <w:rsid w:val="00595DB8"/>
    <w:rsid w:val="005A5F19"/>
    <w:rsid w:val="005B00B8"/>
    <w:rsid w:val="005B1DA8"/>
    <w:rsid w:val="005B7910"/>
    <w:rsid w:val="005C2636"/>
    <w:rsid w:val="005D2BBF"/>
    <w:rsid w:val="005D3C26"/>
    <w:rsid w:val="005D726C"/>
    <w:rsid w:val="005E0013"/>
    <w:rsid w:val="005E066D"/>
    <w:rsid w:val="005E2E0C"/>
    <w:rsid w:val="005E5893"/>
    <w:rsid w:val="00602945"/>
    <w:rsid w:val="00612741"/>
    <w:rsid w:val="0063424C"/>
    <w:rsid w:val="00635B20"/>
    <w:rsid w:val="006458AE"/>
    <w:rsid w:val="00652E32"/>
    <w:rsid w:val="00654582"/>
    <w:rsid w:val="00662751"/>
    <w:rsid w:val="006631AD"/>
    <w:rsid w:val="00665EC2"/>
    <w:rsid w:val="00680A32"/>
    <w:rsid w:val="0068199C"/>
    <w:rsid w:val="006845C6"/>
    <w:rsid w:val="00696A99"/>
    <w:rsid w:val="006A0CA9"/>
    <w:rsid w:val="006A13B2"/>
    <w:rsid w:val="006A3E46"/>
    <w:rsid w:val="006C1070"/>
    <w:rsid w:val="006C1BF7"/>
    <w:rsid w:val="006D3ABB"/>
    <w:rsid w:val="006E09FA"/>
    <w:rsid w:val="006E57F3"/>
    <w:rsid w:val="006F6162"/>
    <w:rsid w:val="006F661D"/>
    <w:rsid w:val="006F6EDE"/>
    <w:rsid w:val="007057BB"/>
    <w:rsid w:val="00714FE5"/>
    <w:rsid w:val="00716593"/>
    <w:rsid w:val="00716C2D"/>
    <w:rsid w:val="007249F8"/>
    <w:rsid w:val="007250DC"/>
    <w:rsid w:val="007302D4"/>
    <w:rsid w:val="00733FD6"/>
    <w:rsid w:val="00735BC7"/>
    <w:rsid w:val="00741ECC"/>
    <w:rsid w:val="007654B6"/>
    <w:rsid w:val="00765C51"/>
    <w:rsid w:val="007710E0"/>
    <w:rsid w:val="00772D62"/>
    <w:rsid w:val="00772F4C"/>
    <w:rsid w:val="0077601B"/>
    <w:rsid w:val="00784118"/>
    <w:rsid w:val="007A111F"/>
    <w:rsid w:val="007A1382"/>
    <w:rsid w:val="007A4276"/>
    <w:rsid w:val="007B1F39"/>
    <w:rsid w:val="007C224B"/>
    <w:rsid w:val="007C7E15"/>
    <w:rsid w:val="007D01A7"/>
    <w:rsid w:val="007D2C21"/>
    <w:rsid w:val="007D368E"/>
    <w:rsid w:val="007E174D"/>
    <w:rsid w:val="00800E5D"/>
    <w:rsid w:val="00801C52"/>
    <w:rsid w:val="00815886"/>
    <w:rsid w:val="00815FC5"/>
    <w:rsid w:val="00824898"/>
    <w:rsid w:val="00831C44"/>
    <w:rsid w:val="00834E30"/>
    <w:rsid w:val="00845FBE"/>
    <w:rsid w:val="00846CD0"/>
    <w:rsid w:val="00862C4E"/>
    <w:rsid w:val="00872860"/>
    <w:rsid w:val="00876515"/>
    <w:rsid w:val="00881D41"/>
    <w:rsid w:val="00893D5F"/>
    <w:rsid w:val="008A2534"/>
    <w:rsid w:val="008A2CED"/>
    <w:rsid w:val="008A3541"/>
    <w:rsid w:val="008A37AA"/>
    <w:rsid w:val="008A3F14"/>
    <w:rsid w:val="008A7F7B"/>
    <w:rsid w:val="008B2371"/>
    <w:rsid w:val="008B50E8"/>
    <w:rsid w:val="008D28CA"/>
    <w:rsid w:val="008F313A"/>
    <w:rsid w:val="00912B1F"/>
    <w:rsid w:val="0091569A"/>
    <w:rsid w:val="009164BB"/>
    <w:rsid w:val="00916F0F"/>
    <w:rsid w:val="00924654"/>
    <w:rsid w:val="00933D33"/>
    <w:rsid w:val="00941D16"/>
    <w:rsid w:val="009837FE"/>
    <w:rsid w:val="00987D82"/>
    <w:rsid w:val="00993E2D"/>
    <w:rsid w:val="009A0A73"/>
    <w:rsid w:val="009E6B28"/>
    <w:rsid w:val="009F6E54"/>
    <w:rsid w:val="00A01676"/>
    <w:rsid w:val="00A14A60"/>
    <w:rsid w:val="00A23D46"/>
    <w:rsid w:val="00A306BF"/>
    <w:rsid w:val="00A44F0D"/>
    <w:rsid w:val="00A46614"/>
    <w:rsid w:val="00A50F44"/>
    <w:rsid w:val="00A5445B"/>
    <w:rsid w:val="00A7090F"/>
    <w:rsid w:val="00A728B4"/>
    <w:rsid w:val="00A74683"/>
    <w:rsid w:val="00A862A8"/>
    <w:rsid w:val="00A91EE9"/>
    <w:rsid w:val="00A93929"/>
    <w:rsid w:val="00AA1B4D"/>
    <w:rsid w:val="00AA2704"/>
    <w:rsid w:val="00AA33F7"/>
    <w:rsid w:val="00AA6506"/>
    <w:rsid w:val="00AB4223"/>
    <w:rsid w:val="00AC1A32"/>
    <w:rsid w:val="00AC75BE"/>
    <w:rsid w:val="00AD1682"/>
    <w:rsid w:val="00AD5603"/>
    <w:rsid w:val="00AE14B8"/>
    <w:rsid w:val="00AE5F6A"/>
    <w:rsid w:val="00AE730F"/>
    <w:rsid w:val="00B04DF8"/>
    <w:rsid w:val="00B12304"/>
    <w:rsid w:val="00B16F0F"/>
    <w:rsid w:val="00B233AC"/>
    <w:rsid w:val="00B23421"/>
    <w:rsid w:val="00B305AF"/>
    <w:rsid w:val="00B339F1"/>
    <w:rsid w:val="00B42763"/>
    <w:rsid w:val="00B43A95"/>
    <w:rsid w:val="00B65F7A"/>
    <w:rsid w:val="00B72BCE"/>
    <w:rsid w:val="00B86766"/>
    <w:rsid w:val="00B92205"/>
    <w:rsid w:val="00BB4559"/>
    <w:rsid w:val="00BB63F5"/>
    <w:rsid w:val="00BB738A"/>
    <w:rsid w:val="00BE4A70"/>
    <w:rsid w:val="00BF5EF2"/>
    <w:rsid w:val="00C04232"/>
    <w:rsid w:val="00C11810"/>
    <w:rsid w:val="00C135C6"/>
    <w:rsid w:val="00C14A9A"/>
    <w:rsid w:val="00C17166"/>
    <w:rsid w:val="00C210B3"/>
    <w:rsid w:val="00C34DAD"/>
    <w:rsid w:val="00C360D7"/>
    <w:rsid w:val="00C403BF"/>
    <w:rsid w:val="00C4132F"/>
    <w:rsid w:val="00C525B7"/>
    <w:rsid w:val="00C630D5"/>
    <w:rsid w:val="00C70690"/>
    <w:rsid w:val="00C80BA7"/>
    <w:rsid w:val="00C80C26"/>
    <w:rsid w:val="00C81D4D"/>
    <w:rsid w:val="00C8253B"/>
    <w:rsid w:val="00CA0EF6"/>
    <w:rsid w:val="00CA5C95"/>
    <w:rsid w:val="00CC6E89"/>
    <w:rsid w:val="00CD5F8A"/>
    <w:rsid w:val="00CD7E4B"/>
    <w:rsid w:val="00CE52AA"/>
    <w:rsid w:val="00CF22FE"/>
    <w:rsid w:val="00D00B39"/>
    <w:rsid w:val="00D044DD"/>
    <w:rsid w:val="00D05B80"/>
    <w:rsid w:val="00D31973"/>
    <w:rsid w:val="00D454FE"/>
    <w:rsid w:val="00D54D70"/>
    <w:rsid w:val="00D77529"/>
    <w:rsid w:val="00D908BA"/>
    <w:rsid w:val="00DA69B2"/>
    <w:rsid w:val="00DA6F9B"/>
    <w:rsid w:val="00DB3DDE"/>
    <w:rsid w:val="00DD0701"/>
    <w:rsid w:val="00DF0830"/>
    <w:rsid w:val="00DF0A36"/>
    <w:rsid w:val="00E036D0"/>
    <w:rsid w:val="00E04E1A"/>
    <w:rsid w:val="00E120A8"/>
    <w:rsid w:val="00E21B3B"/>
    <w:rsid w:val="00E34DF3"/>
    <w:rsid w:val="00E444C3"/>
    <w:rsid w:val="00E6420A"/>
    <w:rsid w:val="00E667C5"/>
    <w:rsid w:val="00E7448F"/>
    <w:rsid w:val="00E83CB9"/>
    <w:rsid w:val="00E94390"/>
    <w:rsid w:val="00F01202"/>
    <w:rsid w:val="00F03A4C"/>
    <w:rsid w:val="00F31C2E"/>
    <w:rsid w:val="00F349E5"/>
    <w:rsid w:val="00F374DD"/>
    <w:rsid w:val="00F4536A"/>
    <w:rsid w:val="00F45604"/>
    <w:rsid w:val="00F512A6"/>
    <w:rsid w:val="00F52468"/>
    <w:rsid w:val="00F52622"/>
    <w:rsid w:val="00F82B25"/>
    <w:rsid w:val="00F869AE"/>
    <w:rsid w:val="00FB16E2"/>
    <w:rsid w:val="00FB4D56"/>
    <w:rsid w:val="00FB67B2"/>
    <w:rsid w:val="00FB68D0"/>
    <w:rsid w:val="00FC1B34"/>
    <w:rsid w:val="00FC33B1"/>
    <w:rsid w:val="00FC557E"/>
    <w:rsid w:val="00FC7F9D"/>
    <w:rsid w:val="00FD1FC1"/>
    <w:rsid w:val="00FD7B6F"/>
    <w:rsid w:val="00FE3491"/>
    <w:rsid w:val="00FE7CDD"/>
    <w:rsid w:val="00FF26D8"/>
    <w:rsid w:val="017102CB"/>
    <w:rsid w:val="022C641E"/>
    <w:rsid w:val="029F5991"/>
    <w:rsid w:val="03A42D9E"/>
    <w:rsid w:val="04C56774"/>
    <w:rsid w:val="07545496"/>
    <w:rsid w:val="0C0C18D2"/>
    <w:rsid w:val="0C1B1726"/>
    <w:rsid w:val="0C4C1587"/>
    <w:rsid w:val="0F4F1A2F"/>
    <w:rsid w:val="0F790C96"/>
    <w:rsid w:val="105871F4"/>
    <w:rsid w:val="10BF5108"/>
    <w:rsid w:val="11E71154"/>
    <w:rsid w:val="12B02AB5"/>
    <w:rsid w:val="134869DA"/>
    <w:rsid w:val="135A1732"/>
    <w:rsid w:val="135A2147"/>
    <w:rsid w:val="13E72483"/>
    <w:rsid w:val="17F023BA"/>
    <w:rsid w:val="1BB15E7B"/>
    <w:rsid w:val="1C4D377B"/>
    <w:rsid w:val="1DE50621"/>
    <w:rsid w:val="1E6962B2"/>
    <w:rsid w:val="1FCB1411"/>
    <w:rsid w:val="201B4CE7"/>
    <w:rsid w:val="202E2AB2"/>
    <w:rsid w:val="20BC398C"/>
    <w:rsid w:val="213D764D"/>
    <w:rsid w:val="24F815FD"/>
    <w:rsid w:val="257F5FA5"/>
    <w:rsid w:val="25826E47"/>
    <w:rsid w:val="26862B41"/>
    <w:rsid w:val="26867B60"/>
    <w:rsid w:val="27693743"/>
    <w:rsid w:val="293C7BB7"/>
    <w:rsid w:val="2A3967D5"/>
    <w:rsid w:val="2AFD06C9"/>
    <w:rsid w:val="2B4B5135"/>
    <w:rsid w:val="2C31308C"/>
    <w:rsid w:val="2C487FD5"/>
    <w:rsid w:val="2C6425C5"/>
    <w:rsid w:val="2C730E72"/>
    <w:rsid w:val="2C7E5774"/>
    <w:rsid w:val="2DC33823"/>
    <w:rsid w:val="32874D75"/>
    <w:rsid w:val="333D12DA"/>
    <w:rsid w:val="335F3754"/>
    <w:rsid w:val="356A7F1A"/>
    <w:rsid w:val="3871211C"/>
    <w:rsid w:val="3A561988"/>
    <w:rsid w:val="3A82388C"/>
    <w:rsid w:val="3B251BE5"/>
    <w:rsid w:val="3BB83F2C"/>
    <w:rsid w:val="3BDD5EB5"/>
    <w:rsid w:val="3BF03A7E"/>
    <w:rsid w:val="3DA63134"/>
    <w:rsid w:val="412752F4"/>
    <w:rsid w:val="41A448BE"/>
    <w:rsid w:val="427E58A6"/>
    <w:rsid w:val="44BF70D9"/>
    <w:rsid w:val="4527694A"/>
    <w:rsid w:val="45522604"/>
    <w:rsid w:val="47883CE9"/>
    <w:rsid w:val="479F43DB"/>
    <w:rsid w:val="48DC1118"/>
    <w:rsid w:val="495C2121"/>
    <w:rsid w:val="49875199"/>
    <w:rsid w:val="4AD7419C"/>
    <w:rsid w:val="4D1E2857"/>
    <w:rsid w:val="4E1C6F66"/>
    <w:rsid w:val="4E514A0D"/>
    <w:rsid w:val="4F2C3F21"/>
    <w:rsid w:val="4F4D2326"/>
    <w:rsid w:val="4FEE65F2"/>
    <w:rsid w:val="502C325A"/>
    <w:rsid w:val="504F087C"/>
    <w:rsid w:val="553C3366"/>
    <w:rsid w:val="59E56370"/>
    <w:rsid w:val="5A017075"/>
    <w:rsid w:val="5A0A107B"/>
    <w:rsid w:val="5B0920E0"/>
    <w:rsid w:val="5B6065F6"/>
    <w:rsid w:val="5CF810C2"/>
    <w:rsid w:val="5EB500DD"/>
    <w:rsid w:val="5F110489"/>
    <w:rsid w:val="5FF4730D"/>
    <w:rsid w:val="60D7326D"/>
    <w:rsid w:val="64AA19B4"/>
    <w:rsid w:val="6506448B"/>
    <w:rsid w:val="6638248A"/>
    <w:rsid w:val="66423620"/>
    <w:rsid w:val="69A64BCA"/>
    <w:rsid w:val="6A617247"/>
    <w:rsid w:val="6E3B360C"/>
    <w:rsid w:val="6F45018E"/>
    <w:rsid w:val="6F5644EE"/>
    <w:rsid w:val="70330D44"/>
    <w:rsid w:val="709D505A"/>
    <w:rsid w:val="71756B34"/>
    <w:rsid w:val="72453989"/>
    <w:rsid w:val="72E4155E"/>
    <w:rsid w:val="744C2AA3"/>
    <w:rsid w:val="76151B4E"/>
    <w:rsid w:val="76CF4CF7"/>
    <w:rsid w:val="79BD574A"/>
    <w:rsid w:val="7A3C5C98"/>
    <w:rsid w:val="7AF44B79"/>
    <w:rsid w:val="7AFB4DD2"/>
    <w:rsid w:val="7FC250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9"/>
    <w:qFormat/>
    <w:uiPriority w:val="99"/>
    <w:pPr>
      <w:widowControl/>
      <w:jc w:val="left"/>
      <w:outlineLvl w:val="0"/>
    </w:pPr>
    <w:rPr>
      <w:kern w:val="0"/>
      <w:sz w:val="24"/>
      <w:szCs w:val="20"/>
      <w:lang w:val="en-GB"/>
    </w:rPr>
  </w:style>
  <w:style w:type="paragraph" w:styleId="3">
    <w:name w:val="heading 2"/>
    <w:basedOn w:val="1"/>
    <w:next w:val="1"/>
    <w:link w:val="21"/>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4">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29"/>
    <w:unhideWhenUsed/>
    <w:qFormat/>
    <w:uiPriority w:val="99"/>
    <w:pPr>
      <w:jc w:val="left"/>
    </w:pPr>
  </w:style>
  <w:style w:type="paragraph" w:styleId="5">
    <w:name w:val="Body Text Indent 2"/>
    <w:basedOn w:val="1"/>
    <w:link w:val="27"/>
    <w:qFormat/>
    <w:uiPriority w:val="0"/>
    <w:pPr>
      <w:spacing w:line="560" w:lineRule="exact"/>
      <w:ind w:firstLine="480" w:firstLineChars="200"/>
    </w:pPr>
    <w:rPr>
      <w:rFonts w:ascii="宋体" w:hAnsi="宋体"/>
      <w:color w:val="FF0000"/>
      <w:sz w:val="24"/>
    </w:rPr>
  </w:style>
  <w:style w:type="paragraph" w:styleId="6">
    <w:name w:val="Balloon Text"/>
    <w:basedOn w:val="1"/>
    <w:link w:val="31"/>
    <w:semiHidden/>
    <w:unhideWhenUsed/>
    <w:qFormat/>
    <w:uiPriority w:val="99"/>
    <w:rPr>
      <w:sz w:val="18"/>
      <w:szCs w:val="18"/>
    </w:rPr>
  </w:style>
  <w:style w:type="paragraph" w:styleId="7">
    <w:name w:val="footer"/>
    <w:basedOn w:val="1"/>
    <w:link w:val="18"/>
    <w:unhideWhenUsed/>
    <w:qFormat/>
    <w:uiPriority w:val="99"/>
    <w:pPr>
      <w:tabs>
        <w:tab w:val="center" w:pos="4153"/>
        <w:tab w:val="right" w:pos="8306"/>
      </w:tabs>
      <w:snapToGrid w:val="0"/>
      <w:jc w:val="left"/>
    </w:pPr>
    <w:rPr>
      <w:sz w:val="18"/>
      <w:szCs w:val="18"/>
    </w:rPr>
  </w:style>
  <w:style w:type="paragraph" w:styleId="8">
    <w:name w:val="header"/>
    <w:basedOn w:val="1"/>
    <w:link w:val="17"/>
    <w:unhideWhenUsed/>
    <w:qFormat/>
    <w:uiPriority w:val="0"/>
    <w:pPr>
      <w:pBdr>
        <w:bottom w:val="single" w:color="auto" w:sz="6" w:space="1"/>
      </w:pBdr>
      <w:tabs>
        <w:tab w:val="center" w:pos="4153"/>
        <w:tab w:val="right" w:pos="8306"/>
      </w:tabs>
      <w:snapToGrid w:val="0"/>
      <w:jc w:val="center"/>
    </w:pPr>
    <w:rPr>
      <w:sz w:val="18"/>
      <w:szCs w:val="18"/>
    </w:rPr>
  </w:style>
  <w:style w:type="paragraph" w:styleId="9">
    <w:name w:val="toc 1"/>
    <w:basedOn w:val="1"/>
    <w:next w:val="1"/>
    <w:unhideWhenUsed/>
    <w:qFormat/>
    <w:uiPriority w:val="39"/>
  </w:style>
  <w:style w:type="paragraph" w:styleId="10">
    <w:name w:val="toc 2"/>
    <w:basedOn w:val="1"/>
    <w:next w:val="1"/>
    <w:unhideWhenUsed/>
    <w:qFormat/>
    <w:uiPriority w:val="39"/>
    <w:pPr>
      <w:ind w:left="420" w:leftChars="200"/>
    </w:pPr>
  </w:style>
  <w:style w:type="paragraph" w:styleId="11">
    <w:name w:val="Normal (Web)"/>
    <w:basedOn w:val="1"/>
    <w:unhideWhenUsed/>
    <w:qFormat/>
    <w:uiPriority w:val="0"/>
    <w:pPr>
      <w:widowControl/>
      <w:spacing w:before="100" w:beforeAutospacing="1" w:after="100" w:afterAutospacing="1"/>
      <w:jc w:val="left"/>
    </w:pPr>
    <w:rPr>
      <w:rFonts w:ascii="Arial Unicode MS" w:hAnsi="Arial Unicode MS" w:eastAsia="Arial Unicode MS" w:cs="Arial Unicode MS"/>
      <w:kern w:val="0"/>
      <w:sz w:val="24"/>
      <w:lang w:val="en-GB" w:eastAsia="en-US"/>
    </w:rPr>
  </w:style>
  <w:style w:type="paragraph" w:styleId="12">
    <w:name w:val="annotation subject"/>
    <w:basedOn w:val="4"/>
    <w:next w:val="4"/>
    <w:link w:val="30"/>
    <w:semiHidden/>
    <w:unhideWhenUsed/>
    <w:qFormat/>
    <w:uiPriority w:val="99"/>
    <w:rPr>
      <w:b/>
      <w:bCs/>
    </w:rPr>
  </w:style>
  <w:style w:type="character" w:styleId="15">
    <w:name w:val="Hyperlink"/>
    <w:basedOn w:val="14"/>
    <w:unhideWhenUsed/>
    <w:qFormat/>
    <w:uiPriority w:val="99"/>
    <w:rPr>
      <w:color w:val="0000FF" w:themeColor="hyperlink"/>
      <w:u w:val="single"/>
      <w14:textFill>
        <w14:solidFill>
          <w14:schemeClr w14:val="hlink"/>
        </w14:solidFill>
      </w14:textFill>
    </w:rPr>
  </w:style>
  <w:style w:type="character" w:styleId="16">
    <w:name w:val="annotation reference"/>
    <w:basedOn w:val="14"/>
    <w:semiHidden/>
    <w:unhideWhenUsed/>
    <w:qFormat/>
    <w:uiPriority w:val="99"/>
    <w:rPr>
      <w:sz w:val="21"/>
      <w:szCs w:val="21"/>
    </w:rPr>
  </w:style>
  <w:style w:type="character" w:customStyle="1" w:styleId="17">
    <w:name w:val="页眉 字符"/>
    <w:basedOn w:val="14"/>
    <w:link w:val="8"/>
    <w:qFormat/>
    <w:uiPriority w:val="0"/>
    <w:rPr>
      <w:sz w:val="18"/>
      <w:szCs w:val="18"/>
    </w:rPr>
  </w:style>
  <w:style w:type="character" w:customStyle="1" w:styleId="18">
    <w:name w:val="页脚 字符"/>
    <w:basedOn w:val="14"/>
    <w:link w:val="7"/>
    <w:qFormat/>
    <w:uiPriority w:val="99"/>
    <w:rPr>
      <w:sz w:val="18"/>
      <w:szCs w:val="18"/>
    </w:rPr>
  </w:style>
  <w:style w:type="character" w:customStyle="1" w:styleId="19">
    <w:name w:val="标题 1 字符"/>
    <w:basedOn w:val="14"/>
    <w:link w:val="2"/>
    <w:qFormat/>
    <w:uiPriority w:val="99"/>
    <w:rPr>
      <w:rFonts w:ascii="Times New Roman" w:hAnsi="Times New Roman" w:eastAsia="宋体" w:cs="Times New Roman"/>
      <w:kern w:val="0"/>
      <w:sz w:val="24"/>
      <w:szCs w:val="20"/>
      <w:lang w:val="en-GB"/>
    </w:rPr>
  </w:style>
  <w:style w:type="character" w:customStyle="1" w:styleId="20">
    <w:name w:val="标题 2 Char Char Char"/>
    <w:qFormat/>
    <w:uiPriority w:val="0"/>
    <w:rPr>
      <w:rFonts w:ascii="Arial" w:hAnsi="Arial" w:eastAsia="宋体"/>
      <w:b/>
      <w:kern w:val="2"/>
      <w:sz w:val="28"/>
      <w:szCs w:val="28"/>
      <w:lang w:val="en-US" w:eastAsia="zh-CN" w:bidi="ar-SA"/>
    </w:rPr>
  </w:style>
  <w:style w:type="character" w:customStyle="1" w:styleId="21">
    <w:name w:val="标题 2 字符"/>
    <w:basedOn w:val="14"/>
    <w:link w:val="3"/>
    <w:semiHidden/>
    <w:qFormat/>
    <w:uiPriority w:val="9"/>
    <w:rPr>
      <w:rFonts w:asciiTheme="majorHAnsi" w:hAnsiTheme="majorHAnsi" w:eastAsiaTheme="majorEastAsia" w:cstheme="majorBidi"/>
      <w:b/>
      <w:bCs/>
      <w:sz w:val="32"/>
      <w:szCs w:val="32"/>
    </w:rPr>
  </w:style>
  <w:style w:type="paragraph" w:customStyle="1" w:styleId="22">
    <w:name w:val="2级"/>
    <w:basedOn w:val="1"/>
    <w:link w:val="23"/>
    <w:qFormat/>
    <w:uiPriority w:val="0"/>
    <w:pPr>
      <w:keepNext/>
      <w:keepLines/>
      <w:widowControl/>
      <w:spacing w:before="260" w:after="260"/>
      <w:jc w:val="left"/>
      <w:outlineLvl w:val="1"/>
    </w:pPr>
    <w:rPr>
      <w:rFonts w:asciiTheme="minorEastAsia" w:hAnsiTheme="minorEastAsia" w:cstheme="minorBidi"/>
      <w:b/>
      <w:bCs/>
      <w:sz w:val="24"/>
    </w:rPr>
  </w:style>
  <w:style w:type="character" w:customStyle="1" w:styleId="23">
    <w:name w:val="2级 Char"/>
    <w:basedOn w:val="14"/>
    <w:link w:val="22"/>
    <w:qFormat/>
    <w:uiPriority w:val="0"/>
    <w:rPr>
      <w:rFonts w:eastAsia="宋体" w:asciiTheme="minorEastAsia" w:hAnsiTheme="minorEastAsia"/>
      <w:b/>
      <w:bCs/>
      <w:sz w:val="24"/>
      <w:szCs w:val="24"/>
    </w:rPr>
  </w:style>
  <w:style w:type="paragraph" w:customStyle="1" w:styleId="24">
    <w:name w:val="正文XB"/>
    <w:basedOn w:val="1"/>
    <w:link w:val="25"/>
    <w:qFormat/>
    <w:uiPriority w:val="0"/>
    <w:pPr>
      <w:spacing w:line="360" w:lineRule="auto"/>
      <w:ind w:firstLine="420" w:firstLineChars="200"/>
    </w:pPr>
    <w:rPr>
      <w:rFonts w:ascii="宋体" w:hAnsi="宋体"/>
      <w:color w:val="000000"/>
      <w:szCs w:val="21"/>
    </w:rPr>
  </w:style>
  <w:style w:type="character" w:customStyle="1" w:styleId="25">
    <w:name w:val="正文XB Char"/>
    <w:basedOn w:val="14"/>
    <w:link w:val="24"/>
    <w:qFormat/>
    <w:uiPriority w:val="0"/>
    <w:rPr>
      <w:rFonts w:ascii="宋体" w:hAnsi="宋体" w:eastAsia="宋体" w:cs="Times New Roman"/>
      <w:color w:val="000000"/>
      <w:szCs w:val="21"/>
    </w:rPr>
  </w:style>
  <w:style w:type="paragraph" w:styleId="26">
    <w:name w:val="List Paragraph"/>
    <w:basedOn w:val="1"/>
    <w:unhideWhenUsed/>
    <w:qFormat/>
    <w:uiPriority w:val="99"/>
    <w:pPr>
      <w:ind w:firstLine="420" w:firstLineChars="200"/>
    </w:pPr>
  </w:style>
  <w:style w:type="character" w:customStyle="1" w:styleId="27">
    <w:name w:val="正文文本缩进 2 字符"/>
    <w:basedOn w:val="14"/>
    <w:link w:val="5"/>
    <w:qFormat/>
    <w:uiPriority w:val="0"/>
    <w:rPr>
      <w:rFonts w:ascii="宋体" w:hAnsi="宋体" w:eastAsia="宋体" w:cs="Times New Roman"/>
      <w:color w:val="FF0000"/>
      <w:sz w:val="24"/>
      <w:szCs w:val="24"/>
    </w:rPr>
  </w:style>
  <w:style w:type="paragraph" w:customStyle="1" w:styleId="28">
    <w:name w:val="Default"/>
    <w:qFormat/>
    <w:uiPriority w:val="0"/>
    <w:pPr>
      <w:widowControl w:val="0"/>
      <w:autoSpaceDE w:val="0"/>
      <w:autoSpaceDN w:val="0"/>
      <w:adjustRightInd w:val="0"/>
    </w:pPr>
    <w:rPr>
      <w:rFonts w:ascii="宋体棬　僬　." w:eastAsia="宋体棬　僬　." w:cs="宋体棬　僬　." w:hAnsiTheme="minorHAnsi"/>
      <w:color w:val="000000"/>
      <w:kern w:val="0"/>
      <w:sz w:val="24"/>
      <w:szCs w:val="24"/>
      <w:lang w:val="en-US" w:eastAsia="zh-CN" w:bidi="ar-SA"/>
    </w:rPr>
  </w:style>
  <w:style w:type="character" w:customStyle="1" w:styleId="29">
    <w:name w:val="批注文字 字符"/>
    <w:basedOn w:val="14"/>
    <w:link w:val="4"/>
    <w:qFormat/>
    <w:uiPriority w:val="99"/>
    <w:rPr>
      <w:rFonts w:ascii="Times New Roman" w:hAnsi="Times New Roman" w:eastAsia="宋体" w:cs="Times New Roman"/>
      <w:szCs w:val="24"/>
    </w:rPr>
  </w:style>
  <w:style w:type="character" w:customStyle="1" w:styleId="30">
    <w:name w:val="批注主题 字符"/>
    <w:basedOn w:val="29"/>
    <w:link w:val="12"/>
    <w:semiHidden/>
    <w:qFormat/>
    <w:uiPriority w:val="99"/>
    <w:rPr>
      <w:rFonts w:ascii="Times New Roman" w:hAnsi="Times New Roman" w:eastAsia="宋体" w:cs="Times New Roman"/>
      <w:b/>
      <w:bCs/>
      <w:szCs w:val="24"/>
    </w:rPr>
  </w:style>
  <w:style w:type="character" w:customStyle="1" w:styleId="31">
    <w:name w:val="批注框文本 字符"/>
    <w:basedOn w:val="14"/>
    <w:link w:val="6"/>
    <w:semiHidden/>
    <w:qFormat/>
    <w:uiPriority w:val="99"/>
    <w:rPr>
      <w:rFonts w:ascii="Times New Roman" w:hAnsi="Times New Roman" w:eastAsia="宋体" w:cs="Times New Roman"/>
      <w:sz w:val="18"/>
      <w:szCs w:val="18"/>
    </w:rPr>
  </w:style>
  <w:style w:type="paragraph" w:customStyle="1" w:styleId="32">
    <w:name w:val="TOC Heading"/>
    <w:basedOn w:val="2"/>
    <w:next w:val="1"/>
    <w:semiHidden/>
    <w:unhideWhenUsed/>
    <w:qFormat/>
    <w:uiPriority w:val="39"/>
    <w:pPr>
      <w:keepNext/>
      <w:keepLines/>
      <w:spacing w:before="480" w:line="276" w:lineRule="auto"/>
      <w:outlineLvl w:val="9"/>
    </w:pPr>
    <w:rPr>
      <w:rFonts w:asciiTheme="majorHAnsi" w:hAnsiTheme="majorHAnsi" w:eastAsiaTheme="majorEastAsia" w:cstheme="majorBidi"/>
      <w:b/>
      <w:bCs/>
      <w:color w:val="376092" w:themeColor="accent1" w:themeShade="BF"/>
      <w:sz w:val="28"/>
      <w:szCs w:val="28"/>
      <w:lang w:val="en-US"/>
    </w:rPr>
  </w:style>
  <w:style w:type="paragraph" w:styleId="33">
    <w:name w:val="No Spacing"/>
    <w:basedOn w:val="1"/>
    <w:link w:val="34"/>
    <w:qFormat/>
    <w:uiPriority w:val="1"/>
    <w:pPr>
      <w:widowControl/>
      <w:jc w:val="left"/>
    </w:pPr>
    <w:rPr>
      <w:rFonts w:asciiTheme="minorHAnsi" w:hAnsiTheme="minorHAnsi" w:eastAsiaTheme="minorEastAsia" w:cstheme="minorBidi"/>
      <w:szCs w:val="21"/>
    </w:rPr>
  </w:style>
  <w:style w:type="character" w:customStyle="1" w:styleId="34">
    <w:name w:val="无间隔 字符"/>
    <w:basedOn w:val="14"/>
    <w:link w:val="33"/>
    <w:qFormat/>
    <w:locked/>
    <w:uiPriority w:val="1"/>
    <w:rPr>
      <w:szCs w:val="21"/>
    </w:rPr>
  </w:style>
  <w:style w:type="paragraph" w:customStyle="1" w:styleId="35">
    <w:name w:val="Revision"/>
    <w:hidden/>
    <w:semiHidden/>
    <w:qFormat/>
    <w:uiPriority w:val="99"/>
    <w:rPr>
      <w:rFonts w:ascii="Times New Roman" w:hAnsi="Times New Roman" w:eastAsia="宋体" w:cs="Times New Roman"/>
      <w:kern w:val="2"/>
      <w:sz w:val="21"/>
      <w:szCs w:val="24"/>
      <w:lang w:val="en-US" w:eastAsia="zh-CN" w:bidi="ar-SA"/>
    </w:rPr>
  </w:style>
  <w:style w:type="paragraph" w:customStyle="1" w:styleId="36">
    <w:name w:val="无缩进备注"/>
    <w:basedOn w:val="1"/>
    <w:link w:val="37"/>
    <w:qFormat/>
    <w:uiPriority w:val="0"/>
    <w:pPr>
      <w:tabs>
        <w:tab w:val="left" w:pos="426"/>
      </w:tabs>
      <w:jc w:val="left"/>
    </w:pPr>
    <w:rPr>
      <w:rFonts w:ascii="宋体" w:hAnsi="宋体"/>
      <w:kern w:val="0"/>
      <w:szCs w:val="21"/>
    </w:rPr>
  </w:style>
  <w:style w:type="character" w:customStyle="1" w:styleId="37">
    <w:name w:val="无缩进备注 Char"/>
    <w:basedOn w:val="14"/>
    <w:link w:val="36"/>
    <w:qFormat/>
    <w:uiPriority w:val="0"/>
    <w:rPr>
      <w:rFonts w:ascii="宋体" w:hAnsi="宋体" w:eastAsia="宋体" w:cs="Times New Roman"/>
      <w:kern w:val="0"/>
      <w:szCs w:val="21"/>
    </w:rPr>
  </w:style>
  <w:style w:type="character" w:customStyle="1" w:styleId="38">
    <w:name w:val="read1"/>
    <w:basedOn w:val="14"/>
    <w:qFormat/>
    <w:uiPriority w:val="0"/>
    <w:rPr>
      <w:rFonts w:hint="default"/>
      <w:color w:val="000000"/>
      <w:spacing w:val="450"/>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AE7E91-6D49-45C0-B659-B318A3E81E38}">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12</Pages>
  <Words>1383</Words>
  <Characters>7886</Characters>
  <Lines>65</Lines>
  <Paragraphs>18</Paragraphs>
  <TotalTime>0</TotalTime>
  <ScaleCrop>false</ScaleCrop>
  <LinksUpToDate>false</LinksUpToDate>
  <CharactersWithSpaces>9251</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2021-05-19T06:43:00Z</dcterms:created>
  <dc:creator>段宏竹</dc:creator>
  <cp:lastModifiedBy>tangl</cp:lastModifiedBy>
  <dcterms:modified xsi:type="dcterms:W3CDTF">2026-05-22T07:55:58Z</dcterms:modified>
  <cp:revision>343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9333A8BA9EA548C9BAD0CB697EDCD4CF</vt:lpwstr>
  </property>
</Properties>
</file>