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C9CBF5">
      <w:pPr>
        <w:spacing w:line="360" w:lineRule="auto"/>
        <w:jc w:val="center"/>
        <w:rPr>
          <w:color w:val="000000" w:themeColor="text1"/>
          <w:sz w:val="28"/>
          <w14:textFill>
            <w14:solidFill>
              <w14:schemeClr w14:val="tx1"/>
            </w14:solidFill>
          </w14:textFill>
        </w:rPr>
      </w:pPr>
    </w:p>
    <w:p w14:paraId="10A243C8">
      <w:pPr>
        <w:spacing w:line="360" w:lineRule="auto"/>
        <w:jc w:val="center"/>
        <w:rPr>
          <w:color w:val="000000" w:themeColor="text1"/>
          <w:sz w:val="28"/>
          <w14:textFill>
            <w14:solidFill>
              <w14:schemeClr w14:val="tx1"/>
            </w14:solidFill>
          </w14:textFill>
        </w:rPr>
      </w:pPr>
    </w:p>
    <w:p w14:paraId="3C0F17F6">
      <w:pPr>
        <w:spacing w:line="360" w:lineRule="auto"/>
        <w:jc w:val="center"/>
        <w:rPr>
          <w:color w:val="000000" w:themeColor="text1"/>
          <w:sz w:val="28"/>
          <w14:textFill>
            <w14:solidFill>
              <w14:schemeClr w14:val="tx1"/>
            </w14:solidFill>
          </w14:textFill>
        </w:rPr>
      </w:pPr>
    </w:p>
    <w:p w14:paraId="2A171D13">
      <w:pPr>
        <w:spacing w:line="360" w:lineRule="auto"/>
        <w:jc w:val="center"/>
        <w:rPr>
          <w:color w:val="000000" w:themeColor="text1"/>
          <w:sz w:val="28"/>
          <w14:textFill>
            <w14:solidFill>
              <w14:schemeClr w14:val="tx1"/>
            </w14:solidFill>
          </w14:textFill>
        </w:rPr>
      </w:pPr>
    </w:p>
    <w:p w14:paraId="53C31A2C">
      <w:pPr>
        <w:spacing w:line="360" w:lineRule="auto"/>
        <w:jc w:val="center"/>
        <w:rPr>
          <w:color w:val="000000" w:themeColor="text1"/>
          <w:sz w:val="28"/>
          <w14:textFill>
            <w14:solidFill>
              <w14:schemeClr w14:val="tx1"/>
            </w14:solidFill>
          </w14:textFill>
        </w:rPr>
      </w:pPr>
    </w:p>
    <w:p w14:paraId="7ECFF3A1">
      <w:pPr>
        <w:spacing w:line="360" w:lineRule="auto"/>
        <w:jc w:val="center"/>
        <w:rPr>
          <w:color w:val="000000" w:themeColor="text1"/>
          <w:sz w:val="28"/>
          <w14:textFill>
            <w14:solidFill>
              <w14:schemeClr w14:val="tx1"/>
            </w14:solidFill>
          </w14:textFill>
        </w:rPr>
      </w:pPr>
    </w:p>
    <w:p w14:paraId="74F86131">
      <w:pPr>
        <w:spacing w:line="360" w:lineRule="auto"/>
        <w:jc w:val="center"/>
        <w:rPr>
          <w:rFonts w:hint="eastAsia"/>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博时创业板电池交易型开放式指数</w:t>
      </w:r>
    </w:p>
    <w:p w14:paraId="0AC26C0A">
      <w:pPr>
        <w:spacing w:line="360" w:lineRule="auto"/>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证券投资基金</w:t>
      </w:r>
    </w:p>
    <w:p w14:paraId="5FB77B8C">
      <w:pPr>
        <w:spacing w:line="360" w:lineRule="auto"/>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托管协议</w:t>
      </w:r>
    </w:p>
    <w:p w14:paraId="5D6F1FB5">
      <w:pPr>
        <w:spacing w:line="360" w:lineRule="auto"/>
        <w:jc w:val="center"/>
        <w:rPr>
          <w:color w:val="000000" w:themeColor="text1"/>
          <w:sz w:val="28"/>
          <w14:textFill>
            <w14:solidFill>
              <w14:schemeClr w14:val="tx1"/>
            </w14:solidFill>
          </w14:textFill>
        </w:rPr>
      </w:pPr>
    </w:p>
    <w:p w14:paraId="0B2048CF">
      <w:pPr>
        <w:spacing w:line="360" w:lineRule="auto"/>
        <w:jc w:val="center"/>
        <w:rPr>
          <w:color w:val="000000" w:themeColor="text1"/>
          <w:sz w:val="28"/>
          <w14:textFill>
            <w14:solidFill>
              <w14:schemeClr w14:val="tx1"/>
            </w14:solidFill>
          </w14:textFill>
        </w:rPr>
      </w:pPr>
    </w:p>
    <w:p w14:paraId="7095EFCF">
      <w:pPr>
        <w:spacing w:line="360" w:lineRule="auto"/>
        <w:jc w:val="center"/>
        <w:rPr>
          <w:color w:val="000000" w:themeColor="text1"/>
          <w:sz w:val="28"/>
          <w14:textFill>
            <w14:solidFill>
              <w14:schemeClr w14:val="tx1"/>
            </w14:solidFill>
          </w14:textFill>
        </w:rPr>
      </w:pPr>
    </w:p>
    <w:p w14:paraId="431DC465">
      <w:pPr>
        <w:spacing w:line="360" w:lineRule="auto"/>
        <w:jc w:val="center"/>
        <w:rPr>
          <w:color w:val="000000" w:themeColor="text1"/>
          <w:sz w:val="28"/>
          <w14:textFill>
            <w14:solidFill>
              <w14:schemeClr w14:val="tx1"/>
            </w14:solidFill>
          </w14:textFill>
        </w:rPr>
      </w:pPr>
    </w:p>
    <w:p w14:paraId="68043B9E">
      <w:pPr>
        <w:spacing w:line="360" w:lineRule="auto"/>
        <w:jc w:val="center"/>
        <w:rPr>
          <w:color w:val="000000" w:themeColor="text1"/>
          <w:sz w:val="28"/>
          <w14:textFill>
            <w14:solidFill>
              <w14:schemeClr w14:val="tx1"/>
            </w14:solidFill>
          </w14:textFill>
        </w:rPr>
      </w:pPr>
    </w:p>
    <w:p w14:paraId="05700FF1">
      <w:pPr>
        <w:spacing w:line="360" w:lineRule="auto"/>
        <w:jc w:val="center"/>
        <w:rPr>
          <w:color w:val="000000" w:themeColor="text1"/>
          <w:sz w:val="28"/>
          <w14:textFill>
            <w14:solidFill>
              <w14:schemeClr w14:val="tx1"/>
            </w14:solidFill>
          </w14:textFill>
        </w:rPr>
      </w:pPr>
    </w:p>
    <w:p w14:paraId="37204779">
      <w:pPr>
        <w:spacing w:line="360" w:lineRule="auto"/>
        <w:jc w:val="center"/>
        <w:rPr>
          <w:color w:val="000000" w:themeColor="text1"/>
          <w:sz w:val="28"/>
          <w14:textFill>
            <w14:solidFill>
              <w14:schemeClr w14:val="tx1"/>
            </w14:solidFill>
          </w14:textFill>
        </w:rPr>
      </w:pPr>
    </w:p>
    <w:p w14:paraId="6C62CC43">
      <w:pPr>
        <w:spacing w:line="360" w:lineRule="auto"/>
        <w:ind w:firstLine="1960" w:firstLineChars="700"/>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基金管理人：博时基金管理有限公司</w:t>
      </w:r>
    </w:p>
    <w:p w14:paraId="25432858">
      <w:pPr>
        <w:spacing w:line="360" w:lineRule="auto"/>
        <w:ind w:firstLine="1960" w:firstLineChars="700"/>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基金托管人：中信证券股份有限公司</w:t>
      </w:r>
    </w:p>
    <w:p w14:paraId="1C6F7124">
      <w:pPr>
        <w:spacing w:line="360" w:lineRule="auto"/>
        <w:ind w:firstLine="2520" w:firstLineChars="900"/>
        <w:rPr>
          <w:color w:val="000000" w:themeColor="text1"/>
          <w:sz w:val="28"/>
          <w14:textFill>
            <w14:solidFill>
              <w14:schemeClr w14:val="tx1"/>
            </w14:solidFill>
          </w14:textFill>
        </w:rPr>
      </w:pPr>
    </w:p>
    <w:p w14:paraId="7A543C41">
      <w:pPr>
        <w:spacing w:line="360" w:lineRule="auto"/>
        <w:ind w:firstLine="2520" w:firstLineChars="900"/>
        <w:rPr>
          <w:color w:val="000000" w:themeColor="text1"/>
          <w:sz w:val="28"/>
          <w14:textFill>
            <w14:solidFill>
              <w14:schemeClr w14:val="tx1"/>
            </w14:solidFill>
          </w14:textFill>
        </w:rPr>
      </w:pPr>
    </w:p>
    <w:p w14:paraId="29A1492D">
      <w:pPr>
        <w:spacing w:line="360" w:lineRule="auto"/>
        <w:rPr>
          <w:color w:val="000000" w:themeColor="text1"/>
          <w:sz w:val="28"/>
          <w14:textFill>
            <w14:solidFill>
              <w14:schemeClr w14:val="tx1"/>
            </w14:solidFill>
          </w14:textFill>
        </w:rPr>
        <w:sectPr>
          <w:headerReference r:id="rId4" w:type="first"/>
          <w:footerReference r:id="rId7" w:type="first"/>
          <w:footerReference r:id="rId5" w:type="default"/>
          <w:headerReference r:id="rId3" w:type="even"/>
          <w:footerReference r:id="rId6" w:type="even"/>
          <w:pgSz w:w="11906" w:h="16838"/>
          <w:pgMar w:top="1440" w:right="1797" w:bottom="1440" w:left="1797" w:header="851" w:footer="992" w:gutter="0"/>
          <w:cols w:space="425" w:num="1"/>
          <w:docGrid w:type="lines" w:linePitch="312" w:charSpace="0"/>
        </w:sectPr>
      </w:pPr>
    </w:p>
    <w:p w14:paraId="4B974EF2">
      <w:pPr>
        <w:spacing w:line="360" w:lineRule="auto"/>
        <w:jc w:val="center"/>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目录</w:t>
      </w:r>
    </w:p>
    <w:p w14:paraId="06BC69DE">
      <w:pPr>
        <w:spacing w:line="360" w:lineRule="auto"/>
        <w:jc w:val="center"/>
        <w:rPr>
          <w:b/>
          <w:bCs/>
          <w:color w:val="000000" w:themeColor="text1"/>
          <w:sz w:val="24"/>
          <w14:textFill>
            <w14:solidFill>
              <w14:schemeClr w14:val="tx1"/>
            </w14:solidFill>
          </w14:textFill>
        </w:rPr>
      </w:pPr>
    </w:p>
    <w:p w14:paraId="05362153">
      <w:pPr>
        <w:pStyle w:val="9"/>
        <w:rPr>
          <w:rFonts w:asciiTheme="minorHAnsi" w:hAnsiTheme="minorHAnsi" w:eastAsiaTheme="minorEastAsia" w:cstheme="minorBidi"/>
          <w:caps w:val="0"/>
          <w:szCs w:val="22"/>
        </w:rPr>
      </w:pPr>
      <w:r>
        <w:rPr>
          <w:b/>
          <w:bCs/>
          <w:color w:val="000000" w:themeColor="text1"/>
          <w14:textFill>
            <w14:solidFill>
              <w14:schemeClr w14:val="tx1"/>
            </w14:solidFill>
          </w14:textFill>
        </w:rPr>
        <w:fldChar w:fldCharType="begin"/>
      </w:r>
      <w:r>
        <w:rPr>
          <w:b/>
          <w:bCs/>
          <w:color w:val="000000" w:themeColor="text1"/>
          <w14:textFill>
            <w14:solidFill>
              <w14:schemeClr w14:val="tx1"/>
            </w14:solidFill>
          </w14:textFill>
        </w:rPr>
        <w:instrText xml:space="preserve"> TOC \o "1-3" \h \z </w:instrText>
      </w:r>
      <w:r>
        <w:rPr>
          <w:b/>
          <w:bCs/>
          <w:color w:val="000000" w:themeColor="text1"/>
          <w14:textFill>
            <w14:solidFill>
              <w14:schemeClr w14:val="tx1"/>
            </w14:solidFill>
          </w14:textFill>
        </w:rPr>
        <w:fldChar w:fldCharType="separate"/>
      </w:r>
      <w:r>
        <w:fldChar w:fldCharType="begin"/>
      </w:r>
      <w:r>
        <w:instrText xml:space="preserve"> HYPERLINK \l "_Toc881131" </w:instrText>
      </w:r>
      <w:r>
        <w:fldChar w:fldCharType="separate"/>
      </w:r>
      <w:r>
        <w:rPr>
          <w:rStyle w:val="13"/>
          <w:rFonts w:hint="eastAsia" w:ascii="宋体"/>
          <w:kern w:val="0"/>
        </w:rPr>
        <w:t>一、</w:t>
      </w:r>
      <w:r>
        <w:rPr>
          <w:rFonts w:asciiTheme="minorHAnsi" w:hAnsiTheme="minorHAnsi" w:eastAsiaTheme="minorEastAsia" w:cstheme="minorBidi"/>
          <w:caps w:val="0"/>
          <w:szCs w:val="22"/>
        </w:rPr>
        <w:tab/>
      </w:r>
      <w:r>
        <w:rPr>
          <w:rStyle w:val="13"/>
          <w:rFonts w:hint="eastAsia" w:ascii="宋体"/>
          <w:kern w:val="0"/>
        </w:rPr>
        <w:t>托管协议当事人</w:t>
      </w:r>
      <w:r>
        <w:tab/>
      </w:r>
      <w:r>
        <w:fldChar w:fldCharType="begin"/>
      </w:r>
      <w:r>
        <w:instrText xml:space="preserve"> PAGEREF _Toc881131 \h </w:instrText>
      </w:r>
      <w:r>
        <w:fldChar w:fldCharType="separate"/>
      </w:r>
      <w:r>
        <w:t>1</w:t>
      </w:r>
      <w:r>
        <w:fldChar w:fldCharType="end"/>
      </w:r>
      <w:r>
        <w:fldChar w:fldCharType="end"/>
      </w:r>
    </w:p>
    <w:p w14:paraId="08A91F0F">
      <w:pPr>
        <w:pStyle w:val="9"/>
        <w:rPr>
          <w:rFonts w:asciiTheme="minorHAnsi" w:hAnsiTheme="minorHAnsi" w:eastAsiaTheme="minorEastAsia" w:cstheme="minorBidi"/>
          <w:caps w:val="0"/>
          <w:szCs w:val="22"/>
        </w:rPr>
      </w:pPr>
      <w:r>
        <w:fldChar w:fldCharType="begin"/>
      </w:r>
      <w:r>
        <w:instrText xml:space="preserve"> HYPERLINK \l "_Toc881132" </w:instrText>
      </w:r>
      <w:r>
        <w:fldChar w:fldCharType="separate"/>
      </w:r>
      <w:r>
        <w:rPr>
          <w:rStyle w:val="13"/>
          <w:rFonts w:hint="eastAsia" w:ascii="宋体"/>
          <w:kern w:val="0"/>
        </w:rPr>
        <w:t>二、</w:t>
      </w:r>
      <w:r>
        <w:rPr>
          <w:rFonts w:asciiTheme="minorHAnsi" w:hAnsiTheme="minorHAnsi" w:eastAsiaTheme="minorEastAsia" w:cstheme="minorBidi"/>
          <w:caps w:val="0"/>
          <w:szCs w:val="22"/>
        </w:rPr>
        <w:tab/>
      </w:r>
      <w:r>
        <w:rPr>
          <w:rStyle w:val="13"/>
          <w:rFonts w:hint="eastAsia" w:ascii="宋体"/>
          <w:kern w:val="0"/>
        </w:rPr>
        <w:t>托管协议的依据、目的、原则和解释</w:t>
      </w:r>
      <w:r>
        <w:tab/>
      </w:r>
      <w:r>
        <w:fldChar w:fldCharType="begin"/>
      </w:r>
      <w:r>
        <w:instrText xml:space="preserve"> PAGEREF _Toc881132 \h </w:instrText>
      </w:r>
      <w:r>
        <w:fldChar w:fldCharType="separate"/>
      </w:r>
      <w:r>
        <w:t>2</w:t>
      </w:r>
      <w:r>
        <w:fldChar w:fldCharType="end"/>
      </w:r>
      <w:r>
        <w:fldChar w:fldCharType="end"/>
      </w:r>
    </w:p>
    <w:p w14:paraId="5B1934E0">
      <w:pPr>
        <w:pStyle w:val="9"/>
        <w:rPr>
          <w:rFonts w:asciiTheme="minorHAnsi" w:hAnsiTheme="minorHAnsi" w:eastAsiaTheme="minorEastAsia" w:cstheme="minorBidi"/>
          <w:caps w:val="0"/>
          <w:szCs w:val="22"/>
        </w:rPr>
      </w:pPr>
      <w:r>
        <w:fldChar w:fldCharType="begin"/>
      </w:r>
      <w:r>
        <w:instrText xml:space="preserve"> HYPERLINK \l "_Toc881133" </w:instrText>
      </w:r>
      <w:r>
        <w:fldChar w:fldCharType="separate"/>
      </w:r>
      <w:r>
        <w:rPr>
          <w:rStyle w:val="13"/>
          <w:rFonts w:hint="eastAsia" w:ascii="宋体"/>
          <w:kern w:val="0"/>
        </w:rPr>
        <w:t>三、</w:t>
      </w:r>
      <w:r>
        <w:rPr>
          <w:rFonts w:asciiTheme="minorHAnsi" w:hAnsiTheme="minorHAnsi" w:eastAsiaTheme="minorEastAsia" w:cstheme="minorBidi"/>
          <w:caps w:val="0"/>
          <w:szCs w:val="22"/>
        </w:rPr>
        <w:tab/>
      </w:r>
      <w:r>
        <w:rPr>
          <w:rStyle w:val="13"/>
          <w:rFonts w:hint="eastAsia" w:ascii="宋体"/>
          <w:kern w:val="0"/>
        </w:rPr>
        <w:t>基金托管人对基金管理人的业务监督和核查</w:t>
      </w:r>
      <w:r>
        <w:tab/>
      </w:r>
      <w:r>
        <w:fldChar w:fldCharType="begin"/>
      </w:r>
      <w:r>
        <w:instrText xml:space="preserve"> PAGEREF _Toc881133 \h </w:instrText>
      </w:r>
      <w:r>
        <w:fldChar w:fldCharType="separate"/>
      </w:r>
      <w:r>
        <w:t>3</w:t>
      </w:r>
      <w:r>
        <w:fldChar w:fldCharType="end"/>
      </w:r>
      <w:r>
        <w:fldChar w:fldCharType="end"/>
      </w:r>
    </w:p>
    <w:p w14:paraId="710E5894">
      <w:pPr>
        <w:pStyle w:val="9"/>
        <w:rPr>
          <w:rFonts w:asciiTheme="minorHAnsi" w:hAnsiTheme="minorHAnsi" w:eastAsiaTheme="minorEastAsia" w:cstheme="minorBidi"/>
          <w:caps w:val="0"/>
          <w:szCs w:val="22"/>
        </w:rPr>
      </w:pPr>
      <w:r>
        <w:fldChar w:fldCharType="begin"/>
      </w:r>
      <w:r>
        <w:instrText xml:space="preserve"> HYPERLINK \l "_Toc881134" </w:instrText>
      </w:r>
      <w:r>
        <w:fldChar w:fldCharType="separate"/>
      </w:r>
      <w:r>
        <w:rPr>
          <w:rStyle w:val="13"/>
          <w:rFonts w:hint="eastAsia" w:ascii="宋体" w:hAnsi="Calibri" w:cs="宋体"/>
          <w:kern w:val="0"/>
        </w:rPr>
        <w:t>四、</w:t>
      </w:r>
      <w:r>
        <w:rPr>
          <w:rFonts w:asciiTheme="minorHAnsi" w:hAnsiTheme="minorHAnsi" w:eastAsiaTheme="minorEastAsia" w:cstheme="minorBidi"/>
          <w:caps w:val="0"/>
          <w:szCs w:val="22"/>
        </w:rPr>
        <w:tab/>
      </w:r>
      <w:r>
        <w:rPr>
          <w:rStyle w:val="13"/>
          <w:rFonts w:hint="eastAsia" w:ascii="宋体" w:hAnsi="Calibri" w:cs="宋体"/>
          <w:kern w:val="0"/>
        </w:rPr>
        <w:t>基金管理人对基金托管人的业务核查</w:t>
      </w:r>
      <w:r>
        <w:tab/>
      </w:r>
      <w:r>
        <w:fldChar w:fldCharType="begin"/>
      </w:r>
      <w:r>
        <w:instrText xml:space="preserve"> PAGEREF _Toc881134 \h </w:instrText>
      </w:r>
      <w:r>
        <w:fldChar w:fldCharType="separate"/>
      </w:r>
      <w:r>
        <w:t>9</w:t>
      </w:r>
      <w:r>
        <w:fldChar w:fldCharType="end"/>
      </w:r>
      <w:r>
        <w:fldChar w:fldCharType="end"/>
      </w:r>
    </w:p>
    <w:p w14:paraId="4E69127C">
      <w:pPr>
        <w:pStyle w:val="9"/>
        <w:rPr>
          <w:rFonts w:asciiTheme="minorHAnsi" w:hAnsiTheme="minorHAnsi" w:eastAsiaTheme="minorEastAsia" w:cstheme="minorBidi"/>
          <w:caps w:val="0"/>
          <w:szCs w:val="22"/>
        </w:rPr>
      </w:pPr>
      <w:r>
        <w:fldChar w:fldCharType="begin"/>
      </w:r>
      <w:r>
        <w:instrText xml:space="preserve"> HYPERLINK \l "_Toc881135" </w:instrText>
      </w:r>
      <w:r>
        <w:fldChar w:fldCharType="separate"/>
      </w:r>
      <w:r>
        <w:rPr>
          <w:rStyle w:val="13"/>
          <w:rFonts w:hint="eastAsia" w:ascii="宋体" w:hAnsi="Calibri" w:cs="宋体"/>
          <w:kern w:val="0"/>
        </w:rPr>
        <w:t>五、</w:t>
      </w:r>
      <w:r>
        <w:rPr>
          <w:rFonts w:asciiTheme="minorHAnsi" w:hAnsiTheme="minorHAnsi" w:eastAsiaTheme="minorEastAsia" w:cstheme="minorBidi"/>
          <w:caps w:val="0"/>
          <w:szCs w:val="22"/>
        </w:rPr>
        <w:tab/>
      </w:r>
      <w:r>
        <w:rPr>
          <w:rStyle w:val="13"/>
          <w:rFonts w:hint="eastAsia" w:ascii="宋体" w:hAnsi="Calibri" w:cs="宋体"/>
          <w:kern w:val="0"/>
        </w:rPr>
        <w:t>基金财产保管</w:t>
      </w:r>
      <w:r>
        <w:tab/>
      </w:r>
      <w:r>
        <w:fldChar w:fldCharType="begin"/>
      </w:r>
      <w:r>
        <w:instrText xml:space="preserve"> PAGEREF _Toc881135 \h </w:instrText>
      </w:r>
      <w:r>
        <w:fldChar w:fldCharType="separate"/>
      </w:r>
      <w:r>
        <w:t>10</w:t>
      </w:r>
      <w:r>
        <w:fldChar w:fldCharType="end"/>
      </w:r>
      <w:r>
        <w:fldChar w:fldCharType="end"/>
      </w:r>
    </w:p>
    <w:p w14:paraId="2FF70E77">
      <w:pPr>
        <w:pStyle w:val="9"/>
        <w:rPr>
          <w:rFonts w:asciiTheme="minorHAnsi" w:hAnsiTheme="minorHAnsi" w:eastAsiaTheme="minorEastAsia" w:cstheme="minorBidi"/>
          <w:caps w:val="0"/>
          <w:szCs w:val="22"/>
        </w:rPr>
      </w:pPr>
      <w:r>
        <w:fldChar w:fldCharType="begin"/>
      </w:r>
      <w:r>
        <w:instrText xml:space="preserve"> HYPERLINK \l "_Toc881136" </w:instrText>
      </w:r>
      <w:r>
        <w:fldChar w:fldCharType="separate"/>
      </w:r>
      <w:r>
        <w:rPr>
          <w:rStyle w:val="13"/>
          <w:rFonts w:hint="eastAsia" w:ascii="宋体"/>
          <w:kern w:val="0"/>
        </w:rPr>
        <w:t>六、</w:t>
      </w:r>
      <w:r>
        <w:rPr>
          <w:rFonts w:asciiTheme="minorHAnsi" w:hAnsiTheme="minorHAnsi" w:eastAsiaTheme="minorEastAsia" w:cstheme="minorBidi"/>
          <w:caps w:val="0"/>
          <w:szCs w:val="22"/>
        </w:rPr>
        <w:tab/>
      </w:r>
      <w:r>
        <w:rPr>
          <w:rStyle w:val="13"/>
          <w:rFonts w:hint="eastAsia" w:ascii="宋体"/>
          <w:kern w:val="0"/>
        </w:rPr>
        <w:t>指令的发送、确认及执行</w:t>
      </w:r>
      <w:r>
        <w:tab/>
      </w:r>
      <w:r>
        <w:fldChar w:fldCharType="begin"/>
      </w:r>
      <w:r>
        <w:instrText xml:space="preserve"> PAGEREF _Toc881136 \h </w:instrText>
      </w:r>
      <w:r>
        <w:fldChar w:fldCharType="separate"/>
      </w:r>
      <w:r>
        <w:t>14</w:t>
      </w:r>
      <w:r>
        <w:fldChar w:fldCharType="end"/>
      </w:r>
      <w:r>
        <w:fldChar w:fldCharType="end"/>
      </w:r>
    </w:p>
    <w:p w14:paraId="33F2C8E4">
      <w:pPr>
        <w:pStyle w:val="9"/>
        <w:rPr>
          <w:rFonts w:asciiTheme="minorHAnsi" w:hAnsiTheme="minorHAnsi" w:eastAsiaTheme="minorEastAsia" w:cstheme="minorBidi"/>
          <w:caps w:val="0"/>
          <w:szCs w:val="22"/>
        </w:rPr>
      </w:pPr>
      <w:r>
        <w:fldChar w:fldCharType="begin"/>
      </w:r>
      <w:r>
        <w:instrText xml:space="preserve"> HYPERLINK \l "_Toc881137" </w:instrText>
      </w:r>
      <w:r>
        <w:fldChar w:fldCharType="separate"/>
      </w:r>
      <w:r>
        <w:rPr>
          <w:rStyle w:val="13"/>
          <w:rFonts w:hint="eastAsia" w:ascii="宋体"/>
          <w:kern w:val="0"/>
        </w:rPr>
        <w:t>七、</w:t>
      </w:r>
      <w:r>
        <w:rPr>
          <w:rFonts w:asciiTheme="minorHAnsi" w:hAnsiTheme="minorHAnsi" w:eastAsiaTheme="minorEastAsia" w:cstheme="minorBidi"/>
          <w:caps w:val="0"/>
          <w:szCs w:val="22"/>
        </w:rPr>
        <w:tab/>
      </w:r>
      <w:r>
        <w:rPr>
          <w:rStyle w:val="13"/>
          <w:rFonts w:hint="eastAsia" w:ascii="宋体"/>
          <w:kern w:val="0"/>
        </w:rPr>
        <w:t>交易及清算交收安排</w:t>
      </w:r>
      <w:r>
        <w:tab/>
      </w:r>
      <w:r>
        <w:fldChar w:fldCharType="begin"/>
      </w:r>
      <w:r>
        <w:instrText xml:space="preserve"> PAGEREF _Toc881137 \h </w:instrText>
      </w:r>
      <w:r>
        <w:fldChar w:fldCharType="separate"/>
      </w:r>
      <w:r>
        <w:t>17</w:t>
      </w:r>
      <w:r>
        <w:fldChar w:fldCharType="end"/>
      </w:r>
      <w:r>
        <w:fldChar w:fldCharType="end"/>
      </w:r>
    </w:p>
    <w:p w14:paraId="0411AE9F">
      <w:pPr>
        <w:pStyle w:val="9"/>
        <w:rPr>
          <w:rFonts w:asciiTheme="minorHAnsi" w:hAnsiTheme="minorHAnsi" w:eastAsiaTheme="minorEastAsia" w:cstheme="minorBidi"/>
          <w:caps w:val="0"/>
          <w:szCs w:val="22"/>
        </w:rPr>
      </w:pPr>
      <w:r>
        <w:fldChar w:fldCharType="begin"/>
      </w:r>
      <w:r>
        <w:instrText xml:space="preserve"> HYPERLINK \l "_Toc881138" </w:instrText>
      </w:r>
      <w:r>
        <w:fldChar w:fldCharType="separate"/>
      </w:r>
      <w:r>
        <w:rPr>
          <w:rStyle w:val="13"/>
          <w:rFonts w:hint="eastAsia" w:ascii="宋体"/>
          <w:kern w:val="0"/>
        </w:rPr>
        <w:t>八、</w:t>
      </w:r>
      <w:r>
        <w:rPr>
          <w:rFonts w:asciiTheme="minorHAnsi" w:hAnsiTheme="minorHAnsi" w:eastAsiaTheme="minorEastAsia" w:cstheme="minorBidi"/>
          <w:caps w:val="0"/>
          <w:szCs w:val="22"/>
        </w:rPr>
        <w:tab/>
      </w:r>
      <w:r>
        <w:rPr>
          <w:rStyle w:val="13"/>
          <w:rFonts w:hint="eastAsia" w:ascii="宋体"/>
          <w:kern w:val="0"/>
        </w:rPr>
        <w:t>基金资产净值计算和会计核算</w:t>
      </w:r>
      <w:r>
        <w:tab/>
      </w:r>
      <w:r>
        <w:fldChar w:fldCharType="begin"/>
      </w:r>
      <w:r>
        <w:instrText xml:space="preserve"> PAGEREF _Toc881138 \h </w:instrText>
      </w:r>
      <w:r>
        <w:fldChar w:fldCharType="separate"/>
      </w:r>
      <w:r>
        <w:t>19</w:t>
      </w:r>
      <w:r>
        <w:fldChar w:fldCharType="end"/>
      </w:r>
      <w:r>
        <w:fldChar w:fldCharType="end"/>
      </w:r>
    </w:p>
    <w:p w14:paraId="3564AA6E">
      <w:pPr>
        <w:pStyle w:val="9"/>
        <w:rPr>
          <w:rFonts w:asciiTheme="minorHAnsi" w:hAnsiTheme="minorHAnsi" w:eastAsiaTheme="minorEastAsia" w:cstheme="minorBidi"/>
          <w:caps w:val="0"/>
          <w:szCs w:val="22"/>
        </w:rPr>
      </w:pPr>
      <w:r>
        <w:fldChar w:fldCharType="begin"/>
      </w:r>
      <w:r>
        <w:instrText xml:space="preserve"> HYPERLINK \l "_Toc881139" </w:instrText>
      </w:r>
      <w:r>
        <w:fldChar w:fldCharType="separate"/>
      </w:r>
      <w:r>
        <w:rPr>
          <w:rStyle w:val="13"/>
          <w:rFonts w:hint="eastAsia"/>
        </w:rPr>
        <w:t>九、</w:t>
      </w:r>
      <w:r>
        <w:rPr>
          <w:rFonts w:asciiTheme="minorHAnsi" w:hAnsiTheme="minorHAnsi" w:eastAsiaTheme="minorEastAsia" w:cstheme="minorBidi"/>
          <w:caps w:val="0"/>
          <w:szCs w:val="22"/>
        </w:rPr>
        <w:tab/>
      </w:r>
      <w:r>
        <w:rPr>
          <w:rStyle w:val="13"/>
          <w:rFonts w:hint="eastAsia"/>
        </w:rPr>
        <w:t>基金收益分配</w:t>
      </w:r>
      <w:r>
        <w:tab/>
      </w:r>
      <w:r>
        <w:fldChar w:fldCharType="begin"/>
      </w:r>
      <w:r>
        <w:instrText xml:space="preserve"> PAGEREF _Toc881139 \h </w:instrText>
      </w:r>
      <w:r>
        <w:fldChar w:fldCharType="separate"/>
      </w:r>
      <w:r>
        <w:t>25</w:t>
      </w:r>
      <w:r>
        <w:fldChar w:fldCharType="end"/>
      </w:r>
      <w:r>
        <w:fldChar w:fldCharType="end"/>
      </w:r>
    </w:p>
    <w:p w14:paraId="71EB1F4A">
      <w:pPr>
        <w:pStyle w:val="9"/>
        <w:rPr>
          <w:rFonts w:asciiTheme="minorHAnsi" w:hAnsiTheme="minorHAnsi" w:eastAsiaTheme="minorEastAsia" w:cstheme="minorBidi"/>
          <w:caps w:val="0"/>
          <w:szCs w:val="22"/>
        </w:rPr>
      </w:pPr>
      <w:r>
        <w:fldChar w:fldCharType="begin"/>
      </w:r>
      <w:r>
        <w:instrText xml:space="preserve"> HYPERLINK \l "_Toc881140" </w:instrText>
      </w:r>
      <w:r>
        <w:fldChar w:fldCharType="separate"/>
      </w:r>
      <w:r>
        <w:rPr>
          <w:rStyle w:val="13"/>
          <w:rFonts w:hint="eastAsia"/>
        </w:rPr>
        <w:t>十、</w:t>
      </w:r>
      <w:r>
        <w:rPr>
          <w:rFonts w:asciiTheme="minorHAnsi" w:hAnsiTheme="minorHAnsi" w:eastAsiaTheme="minorEastAsia" w:cstheme="minorBidi"/>
          <w:caps w:val="0"/>
          <w:szCs w:val="22"/>
        </w:rPr>
        <w:tab/>
      </w:r>
      <w:r>
        <w:rPr>
          <w:rStyle w:val="13"/>
          <w:rFonts w:hint="eastAsia"/>
        </w:rPr>
        <w:t>基金信息披露</w:t>
      </w:r>
      <w:r>
        <w:tab/>
      </w:r>
      <w:r>
        <w:fldChar w:fldCharType="begin"/>
      </w:r>
      <w:r>
        <w:instrText xml:space="preserve"> PAGEREF _Toc881140 \h </w:instrText>
      </w:r>
      <w:r>
        <w:fldChar w:fldCharType="separate"/>
      </w:r>
      <w:r>
        <w:t>27</w:t>
      </w:r>
      <w:r>
        <w:fldChar w:fldCharType="end"/>
      </w:r>
      <w:r>
        <w:fldChar w:fldCharType="end"/>
      </w:r>
    </w:p>
    <w:p w14:paraId="641C5836">
      <w:pPr>
        <w:pStyle w:val="9"/>
        <w:rPr>
          <w:rFonts w:asciiTheme="minorHAnsi" w:hAnsiTheme="minorHAnsi" w:eastAsiaTheme="minorEastAsia" w:cstheme="minorBidi"/>
          <w:caps w:val="0"/>
          <w:szCs w:val="22"/>
        </w:rPr>
      </w:pPr>
      <w:r>
        <w:fldChar w:fldCharType="begin"/>
      </w:r>
      <w:r>
        <w:instrText xml:space="preserve"> HYPERLINK \l "_Toc881141" </w:instrText>
      </w:r>
      <w:r>
        <w:fldChar w:fldCharType="separate"/>
      </w:r>
      <w:r>
        <w:rPr>
          <w:rStyle w:val="13"/>
          <w:rFonts w:hint="eastAsia"/>
        </w:rPr>
        <w:t>十一、</w:t>
      </w:r>
      <w:r>
        <w:rPr>
          <w:rFonts w:asciiTheme="minorHAnsi" w:hAnsiTheme="minorHAnsi" w:eastAsiaTheme="minorEastAsia" w:cstheme="minorBidi"/>
          <w:caps w:val="0"/>
          <w:szCs w:val="22"/>
        </w:rPr>
        <w:tab/>
      </w:r>
      <w:r>
        <w:rPr>
          <w:rStyle w:val="13"/>
          <w:rFonts w:hint="eastAsia"/>
        </w:rPr>
        <w:t>基金费用</w:t>
      </w:r>
      <w:r>
        <w:tab/>
      </w:r>
      <w:r>
        <w:fldChar w:fldCharType="begin"/>
      </w:r>
      <w:r>
        <w:instrText xml:space="preserve"> PAGEREF _Toc881141 \h </w:instrText>
      </w:r>
      <w:r>
        <w:fldChar w:fldCharType="separate"/>
      </w:r>
      <w:r>
        <w:t>29</w:t>
      </w:r>
      <w:r>
        <w:fldChar w:fldCharType="end"/>
      </w:r>
      <w:r>
        <w:fldChar w:fldCharType="end"/>
      </w:r>
    </w:p>
    <w:p w14:paraId="2E70F30C">
      <w:pPr>
        <w:pStyle w:val="9"/>
        <w:rPr>
          <w:rFonts w:asciiTheme="minorHAnsi" w:hAnsiTheme="minorHAnsi" w:eastAsiaTheme="minorEastAsia" w:cstheme="minorBidi"/>
          <w:caps w:val="0"/>
          <w:szCs w:val="22"/>
        </w:rPr>
      </w:pPr>
      <w:r>
        <w:fldChar w:fldCharType="begin"/>
      </w:r>
      <w:r>
        <w:instrText xml:space="preserve"> HYPERLINK \l "_Toc881142" </w:instrText>
      </w:r>
      <w:r>
        <w:fldChar w:fldCharType="separate"/>
      </w:r>
      <w:r>
        <w:rPr>
          <w:rStyle w:val="13"/>
          <w:rFonts w:hint="eastAsia"/>
        </w:rPr>
        <w:t>十二、</w:t>
      </w:r>
      <w:r>
        <w:rPr>
          <w:rFonts w:asciiTheme="minorHAnsi" w:hAnsiTheme="minorHAnsi" w:eastAsiaTheme="minorEastAsia" w:cstheme="minorBidi"/>
          <w:caps w:val="0"/>
          <w:szCs w:val="22"/>
        </w:rPr>
        <w:tab/>
      </w:r>
      <w:r>
        <w:rPr>
          <w:rStyle w:val="13"/>
          <w:rFonts w:hint="eastAsia"/>
        </w:rPr>
        <w:t>基金份额持有人名册的保管</w:t>
      </w:r>
      <w:r>
        <w:tab/>
      </w:r>
      <w:r>
        <w:fldChar w:fldCharType="begin"/>
      </w:r>
      <w:r>
        <w:instrText xml:space="preserve"> PAGEREF _Toc881142 \h </w:instrText>
      </w:r>
      <w:r>
        <w:fldChar w:fldCharType="separate"/>
      </w:r>
      <w:r>
        <w:t>30</w:t>
      </w:r>
      <w:r>
        <w:fldChar w:fldCharType="end"/>
      </w:r>
      <w:r>
        <w:fldChar w:fldCharType="end"/>
      </w:r>
    </w:p>
    <w:p w14:paraId="3E28EE9F">
      <w:pPr>
        <w:pStyle w:val="9"/>
        <w:rPr>
          <w:rFonts w:asciiTheme="minorHAnsi" w:hAnsiTheme="minorHAnsi" w:eastAsiaTheme="minorEastAsia" w:cstheme="minorBidi"/>
          <w:caps w:val="0"/>
          <w:szCs w:val="22"/>
        </w:rPr>
      </w:pPr>
      <w:r>
        <w:fldChar w:fldCharType="begin"/>
      </w:r>
      <w:r>
        <w:instrText xml:space="preserve"> HYPERLINK \l "_Toc881143" </w:instrText>
      </w:r>
      <w:r>
        <w:fldChar w:fldCharType="separate"/>
      </w:r>
      <w:r>
        <w:rPr>
          <w:rStyle w:val="13"/>
          <w:rFonts w:hint="eastAsia"/>
        </w:rPr>
        <w:t>十三、</w:t>
      </w:r>
      <w:r>
        <w:rPr>
          <w:rFonts w:asciiTheme="minorHAnsi" w:hAnsiTheme="minorHAnsi" w:eastAsiaTheme="minorEastAsia" w:cstheme="minorBidi"/>
          <w:caps w:val="0"/>
          <w:szCs w:val="22"/>
        </w:rPr>
        <w:tab/>
      </w:r>
      <w:r>
        <w:rPr>
          <w:rStyle w:val="13"/>
          <w:rFonts w:hint="eastAsia"/>
        </w:rPr>
        <w:t>基金有关文件档案的保存</w:t>
      </w:r>
      <w:r>
        <w:tab/>
      </w:r>
      <w:r>
        <w:fldChar w:fldCharType="begin"/>
      </w:r>
      <w:r>
        <w:instrText xml:space="preserve"> PAGEREF _Toc881143 \h </w:instrText>
      </w:r>
      <w:r>
        <w:fldChar w:fldCharType="separate"/>
      </w:r>
      <w:r>
        <w:t>31</w:t>
      </w:r>
      <w:r>
        <w:fldChar w:fldCharType="end"/>
      </w:r>
      <w:r>
        <w:fldChar w:fldCharType="end"/>
      </w:r>
    </w:p>
    <w:p w14:paraId="43572CBE">
      <w:pPr>
        <w:pStyle w:val="9"/>
        <w:rPr>
          <w:rFonts w:asciiTheme="minorHAnsi" w:hAnsiTheme="minorHAnsi" w:eastAsiaTheme="minorEastAsia" w:cstheme="minorBidi"/>
          <w:caps w:val="0"/>
          <w:szCs w:val="22"/>
        </w:rPr>
      </w:pPr>
      <w:r>
        <w:fldChar w:fldCharType="begin"/>
      </w:r>
      <w:r>
        <w:instrText xml:space="preserve"> HYPERLINK \l "_Toc881144" </w:instrText>
      </w:r>
      <w:r>
        <w:fldChar w:fldCharType="separate"/>
      </w:r>
      <w:r>
        <w:rPr>
          <w:rStyle w:val="13"/>
          <w:rFonts w:hint="eastAsia"/>
        </w:rPr>
        <w:t>十四、</w:t>
      </w:r>
      <w:r>
        <w:rPr>
          <w:rFonts w:asciiTheme="minorHAnsi" w:hAnsiTheme="minorHAnsi" w:eastAsiaTheme="minorEastAsia" w:cstheme="minorBidi"/>
          <w:caps w:val="0"/>
          <w:szCs w:val="22"/>
        </w:rPr>
        <w:tab/>
      </w:r>
      <w:r>
        <w:rPr>
          <w:rStyle w:val="13"/>
          <w:rFonts w:hint="eastAsia"/>
        </w:rPr>
        <w:t>基金托管人和基金管理人的更换</w:t>
      </w:r>
      <w:r>
        <w:tab/>
      </w:r>
      <w:r>
        <w:fldChar w:fldCharType="begin"/>
      </w:r>
      <w:r>
        <w:instrText xml:space="preserve"> PAGEREF _Toc881144 \h </w:instrText>
      </w:r>
      <w:r>
        <w:fldChar w:fldCharType="separate"/>
      </w:r>
      <w:r>
        <w:t>31</w:t>
      </w:r>
      <w:r>
        <w:fldChar w:fldCharType="end"/>
      </w:r>
      <w:r>
        <w:fldChar w:fldCharType="end"/>
      </w:r>
    </w:p>
    <w:p w14:paraId="025C4CD8">
      <w:pPr>
        <w:pStyle w:val="9"/>
        <w:rPr>
          <w:rFonts w:asciiTheme="minorHAnsi" w:hAnsiTheme="minorHAnsi" w:eastAsiaTheme="minorEastAsia" w:cstheme="minorBidi"/>
          <w:caps w:val="0"/>
          <w:szCs w:val="22"/>
        </w:rPr>
      </w:pPr>
      <w:r>
        <w:fldChar w:fldCharType="begin"/>
      </w:r>
      <w:r>
        <w:instrText xml:space="preserve"> HYPERLINK \l "_Toc881145" </w:instrText>
      </w:r>
      <w:r>
        <w:fldChar w:fldCharType="separate"/>
      </w:r>
      <w:r>
        <w:rPr>
          <w:rStyle w:val="13"/>
          <w:rFonts w:hint="eastAsia"/>
        </w:rPr>
        <w:t>十五、</w:t>
      </w:r>
      <w:r>
        <w:rPr>
          <w:rFonts w:asciiTheme="minorHAnsi" w:hAnsiTheme="minorHAnsi" w:eastAsiaTheme="minorEastAsia" w:cstheme="minorBidi"/>
          <w:caps w:val="0"/>
          <w:szCs w:val="22"/>
        </w:rPr>
        <w:tab/>
      </w:r>
      <w:r>
        <w:rPr>
          <w:rStyle w:val="13"/>
          <w:rFonts w:hint="eastAsia"/>
        </w:rPr>
        <w:t>禁止行为</w:t>
      </w:r>
      <w:r>
        <w:tab/>
      </w:r>
      <w:r>
        <w:fldChar w:fldCharType="begin"/>
      </w:r>
      <w:r>
        <w:instrText xml:space="preserve"> PAGEREF _Toc881145 \h </w:instrText>
      </w:r>
      <w:r>
        <w:fldChar w:fldCharType="separate"/>
      </w:r>
      <w:r>
        <w:t>34</w:t>
      </w:r>
      <w:r>
        <w:fldChar w:fldCharType="end"/>
      </w:r>
      <w:r>
        <w:fldChar w:fldCharType="end"/>
      </w:r>
    </w:p>
    <w:p w14:paraId="29FCA973">
      <w:pPr>
        <w:pStyle w:val="9"/>
        <w:rPr>
          <w:rFonts w:asciiTheme="minorHAnsi" w:hAnsiTheme="minorHAnsi" w:eastAsiaTheme="minorEastAsia" w:cstheme="minorBidi"/>
          <w:caps w:val="0"/>
          <w:szCs w:val="22"/>
        </w:rPr>
      </w:pPr>
      <w:r>
        <w:fldChar w:fldCharType="begin"/>
      </w:r>
      <w:r>
        <w:instrText xml:space="preserve"> HYPERLINK \l "_Toc881146" </w:instrText>
      </w:r>
      <w:r>
        <w:fldChar w:fldCharType="separate"/>
      </w:r>
      <w:r>
        <w:rPr>
          <w:rStyle w:val="13"/>
          <w:rFonts w:hint="eastAsia"/>
        </w:rPr>
        <w:t>十六、</w:t>
      </w:r>
      <w:r>
        <w:rPr>
          <w:rFonts w:asciiTheme="minorHAnsi" w:hAnsiTheme="minorHAnsi" w:eastAsiaTheme="minorEastAsia" w:cstheme="minorBidi"/>
          <w:caps w:val="0"/>
          <w:szCs w:val="22"/>
        </w:rPr>
        <w:tab/>
      </w:r>
      <w:r>
        <w:rPr>
          <w:rStyle w:val="13"/>
          <w:rFonts w:hint="eastAsia"/>
        </w:rPr>
        <w:t>托管协议的变更、终止与基金财产的清算</w:t>
      </w:r>
      <w:r>
        <w:tab/>
      </w:r>
      <w:r>
        <w:fldChar w:fldCharType="begin"/>
      </w:r>
      <w:r>
        <w:instrText xml:space="preserve"> PAGEREF _Toc881146 \h </w:instrText>
      </w:r>
      <w:r>
        <w:fldChar w:fldCharType="separate"/>
      </w:r>
      <w:r>
        <w:t>35</w:t>
      </w:r>
      <w:r>
        <w:fldChar w:fldCharType="end"/>
      </w:r>
      <w:r>
        <w:fldChar w:fldCharType="end"/>
      </w:r>
    </w:p>
    <w:p w14:paraId="5CFD7659">
      <w:pPr>
        <w:pStyle w:val="9"/>
        <w:rPr>
          <w:rFonts w:asciiTheme="minorHAnsi" w:hAnsiTheme="minorHAnsi" w:eastAsiaTheme="minorEastAsia" w:cstheme="minorBidi"/>
          <w:caps w:val="0"/>
          <w:szCs w:val="22"/>
        </w:rPr>
      </w:pPr>
      <w:r>
        <w:fldChar w:fldCharType="begin"/>
      </w:r>
      <w:r>
        <w:instrText xml:space="preserve"> HYPERLINK \l "_Toc881147" </w:instrText>
      </w:r>
      <w:r>
        <w:fldChar w:fldCharType="separate"/>
      </w:r>
      <w:r>
        <w:rPr>
          <w:rStyle w:val="13"/>
          <w:rFonts w:hint="eastAsia"/>
        </w:rPr>
        <w:t>十七、</w:t>
      </w:r>
      <w:r>
        <w:rPr>
          <w:rFonts w:asciiTheme="minorHAnsi" w:hAnsiTheme="minorHAnsi" w:eastAsiaTheme="minorEastAsia" w:cstheme="minorBidi"/>
          <w:caps w:val="0"/>
          <w:szCs w:val="22"/>
        </w:rPr>
        <w:tab/>
      </w:r>
      <w:r>
        <w:rPr>
          <w:rStyle w:val="13"/>
          <w:rFonts w:hint="eastAsia"/>
        </w:rPr>
        <w:t>违约责任和责任划分</w:t>
      </w:r>
      <w:r>
        <w:tab/>
      </w:r>
      <w:r>
        <w:fldChar w:fldCharType="begin"/>
      </w:r>
      <w:r>
        <w:instrText xml:space="preserve"> PAGEREF _Toc881147 \h </w:instrText>
      </w:r>
      <w:r>
        <w:fldChar w:fldCharType="separate"/>
      </w:r>
      <w:r>
        <w:t>37</w:t>
      </w:r>
      <w:r>
        <w:fldChar w:fldCharType="end"/>
      </w:r>
      <w:r>
        <w:fldChar w:fldCharType="end"/>
      </w:r>
    </w:p>
    <w:p w14:paraId="02B20F73">
      <w:pPr>
        <w:pStyle w:val="9"/>
        <w:rPr>
          <w:rFonts w:asciiTheme="minorHAnsi" w:hAnsiTheme="minorHAnsi" w:eastAsiaTheme="minorEastAsia" w:cstheme="minorBidi"/>
          <w:caps w:val="0"/>
          <w:szCs w:val="22"/>
        </w:rPr>
      </w:pPr>
      <w:r>
        <w:fldChar w:fldCharType="begin"/>
      </w:r>
      <w:r>
        <w:instrText xml:space="preserve"> HYPERLINK \l "_Toc881148" </w:instrText>
      </w:r>
      <w:r>
        <w:fldChar w:fldCharType="separate"/>
      </w:r>
      <w:r>
        <w:rPr>
          <w:rStyle w:val="13"/>
          <w:rFonts w:hint="eastAsia"/>
        </w:rPr>
        <w:t>十八、</w:t>
      </w:r>
      <w:r>
        <w:rPr>
          <w:rFonts w:asciiTheme="minorHAnsi" w:hAnsiTheme="minorHAnsi" w:eastAsiaTheme="minorEastAsia" w:cstheme="minorBidi"/>
          <w:caps w:val="0"/>
          <w:szCs w:val="22"/>
        </w:rPr>
        <w:tab/>
      </w:r>
      <w:r>
        <w:rPr>
          <w:rStyle w:val="13"/>
          <w:rFonts w:hint="eastAsia"/>
        </w:rPr>
        <w:t>适用法律与争议解决方式</w:t>
      </w:r>
      <w:r>
        <w:tab/>
      </w:r>
      <w:r>
        <w:fldChar w:fldCharType="begin"/>
      </w:r>
      <w:r>
        <w:instrText xml:space="preserve"> PAGEREF _Toc881148 \h </w:instrText>
      </w:r>
      <w:r>
        <w:fldChar w:fldCharType="separate"/>
      </w:r>
      <w:r>
        <w:t>38</w:t>
      </w:r>
      <w:r>
        <w:fldChar w:fldCharType="end"/>
      </w:r>
      <w:r>
        <w:fldChar w:fldCharType="end"/>
      </w:r>
    </w:p>
    <w:p w14:paraId="04075D76">
      <w:pPr>
        <w:pStyle w:val="9"/>
        <w:rPr>
          <w:rFonts w:asciiTheme="minorHAnsi" w:hAnsiTheme="minorHAnsi" w:eastAsiaTheme="minorEastAsia" w:cstheme="minorBidi"/>
          <w:caps w:val="0"/>
          <w:szCs w:val="22"/>
        </w:rPr>
      </w:pPr>
      <w:r>
        <w:fldChar w:fldCharType="begin"/>
      </w:r>
      <w:r>
        <w:instrText xml:space="preserve"> HYPERLINK \l "_Toc881149" </w:instrText>
      </w:r>
      <w:r>
        <w:fldChar w:fldCharType="separate"/>
      </w:r>
      <w:r>
        <w:rPr>
          <w:rStyle w:val="13"/>
          <w:rFonts w:hint="eastAsia"/>
        </w:rPr>
        <w:t>十九、</w:t>
      </w:r>
      <w:r>
        <w:rPr>
          <w:rFonts w:asciiTheme="minorHAnsi" w:hAnsiTheme="minorHAnsi" w:eastAsiaTheme="minorEastAsia" w:cstheme="minorBidi"/>
          <w:caps w:val="0"/>
          <w:szCs w:val="22"/>
        </w:rPr>
        <w:tab/>
      </w:r>
      <w:r>
        <w:rPr>
          <w:rStyle w:val="13"/>
          <w:rFonts w:hint="eastAsia"/>
        </w:rPr>
        <w:t>托管协议的效力</w:t>
      </w:r>
      <w:r>
        <w:tab/>
      </w:r>
      <w:r>
        <w:fldChar w:fldCharType="begin"/>
      </w:r>
      <w:r>
        <w:instrText xml:space="preserve"> PAGEREF _Toc881149 \h </w:instrText>
      </w:r>
      <w:r>
        <w:fldChar w:fldCharType="separate"/>
      </w:r>
      <w:r>
        <w:t>38</w:t>
      </w:r>
      <w:r>
        <w:fldChar w:fldCharType="end"/>
      </w:r>
      <w:r>
        <w:fldChar w:fldCharType="end"/>
      </w:r>
    </w:p>
    <w:p w14:paraId="29993191">
      <w:pPr>
        <w:pStyle w:val="9"/>
        <w:rPr>
          <w:rFonts w:asciiTheme="minorHAnsi" w:hAnsiTheme="minorHAnsi" w:eastAsiaTheme="minorEastAsia" w:cstheme="minorBidi"/>
          <w:caps w:val="0"/>
          <w:szCs w:val="22"/>
        </w:rPr>
      </w:pPr>
      <w:r>
        <w:fldChar w:fldCharType="begin"/>
      </w:r>
      <w:r>
        <w:instrText xml:space="preserve"> HYPERLINK \l "_Toc881150" </w:instrText>
      </w:r>
      <w:r>
        <w:fldChar w:fldCharType="separate"/>
      </w:r>
      <w:r>
        <w:rPr>
          <w:rStyle w:val="13"/>
          <w:rFonts w:hint="eastAsia"/>
        </w:rPr>
        <w:t>二十、</w:t>
      </w:r>
      <w:r>
        <w:rPr>
          <w:rFonts w:asciiTheme="minorHAnsi" w:hAnsiTheme="minorHAnsi" w:eastAsiaTheme="minorEastAsia" w:cstheme="minorBidi"/>
          <w:caps w:val="0"/>
          <w:szCs w:val="22"/>
        </w:rPr>
        <w:tab/>
      </w:r>
      <w:r>
        <w:rPr>
          <w:rStyle w:val="13"/>
          <w:rFonts w:hint="eastAsia"/>
        </w:rPr>
        <w:t>托管协议的签订</w:t>
      </w:r>
      <w:r>
        <w:tab/>
      </w:r>
      <w:r>
        <w:fldChar w:fldCharType="begin"/>
      </w:r>
      <w:r>
        <w:instrText xml:space="preserve"> PAGEREF _Toc881150 \h </w:instrText>
      </w:r>
      <w:r>
        <w:fldChar w:fldCharType="separate"/>
      </w:r>
      <w:r>
        <w:t>38</w:t>
      </w:r>
      <w:r>
        <w:fldChar w:fldCharType="end"/>
      </w:r>
      <w:r>
        <w:fldChar w:fldCharType="end"/>
      </w:r>
    </w:p>
    <w:p w14:paraId="750F4CE6">
      <w:pPr>
        <w:spacing w:line="360" w:lineRule="auto"/>
        <w:ind w:firstLine="1890" w:firstLineChars="900"/>
        <w:jc w:val="left"/>
        <w:rPr>
          <w:color w:val="000000" w:themeColor="text1"/>
          <w:sz w:val="28"/>
          <w14:textFill>
            <w14:solidFill>
              <w14:schemeClr w14:val="tx1"/>
            </w14:solidFill>
          </w14:textFill>
        </w:rPr>
      </w:pPr>
      <w:r>
        <w:rPr>
          <w:color w:val="000000" w:themeColor="text1"/>
          <w14:textFill>
            <w14:solidFill>
              <w14:schemeClr w14:val="tx1"/>
            </w14:solidFill>
          </w14:textFill>
        </w:rPr>
        <w:fldChar w:fldCharType="end"/>
      </w:r>
    </w:p>
    <w:p w14:paraId="6705FE37">
      <w:pPr>
        <w:rPr>
          <w:color w:val="000000" w:themeColor="text1"/>
          <w14:textFill>
            <w14:solidFill>
              <w14:schemeClr w14:val="tx1"/>
            </w14:solidFill>
          </w14:textFill>
        </w:rPr>
      </w:pPr>
    </w:p>
    <w:p w14:paraId="645B10E3">
      <w:pPr>
        <w:spacing w:line="360" w:lineRule="auto"/>
        <w:rPr>
          <w:color w:val="000000" w:themeColor="text1"/>
          <w14:textFill>
            <w14:solidFill>
              <w14:schemeClr w14:val="tx1"/>
            </w14:solidFill>
          </w14:textFill>
        </w:rPr>
        <w:sectPr>
          <w:headerReference r:id="rId8" w:type="default"/>
          <w:pgSz w:w="11906" w:h="16838"/>
          <w:pgMar w:top="1440" w:right="1800" w:bottom="1440" w:left="1800" w:header="851" w:footer="992" w:gutter="0"/>
          <w:cols w:space="425" w:num="1"/>
          <w:docGrid w:type="lines" w:linePitch="312" w:charSpace="0"/>
        </w:sectPr>
      </w:pPr>
    </w:p>
    <w:p w14:paraId="0781C799">
      <w:pPr>
        <w:spacing w:line="360" w:lineRule="auto"/>
        <w:ind w:firstLine="420" w:firstLineChars="20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鉴于博时基金管理有限公司（以下简称“博时基金”）是一家依照中国法律合法成立并有效存续的有限责任公司，按照相关法律法规的规定具备担任基金管理人的资格和能力；</w:t>
      </w:r>
    </w:p>
    <w:p w14:paraId="51F85701">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鉴于中信证券股份有限公司（以下简称“中信证券”）是一家依照中国法律合法成立并有效存续的机构，按照相关法律法规的规定具备担任基金托管人的资格和能力；</w:t>
      </w:r>
    </w:p>
    <w:p w14:paraId="3F2EA518">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鉴于博时基金为博时创业板电池交易型开放式指数证券投资基金的基金管理人，中信证券为博时创业板电池交易型开放式指数证券投资基金的基金托管人；</w:t>
      </w:r>
    </w:p>
    <w:p w14:paraId="7B805A7D">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为明确博时创业板电池交易型开放式指数证券投资基金基金管理人和基金托管人之间的权利义务关系，特制订本协议。</w:t>
      </w:r>
    </w:p>
    <w:p w14:paraId="061C6646">
      <w:pPr>
        <w:pStyle w:val="5"/>
        <w:rPr>
          <w:color w:val="000000" w:themeColor="text1"/>
          <w14:textFill>
            <w14:solidFill>
              <w14:schemeClr w14:val="tx1"/>
            </w14:solidFill>
          </w14:textFill>
        </w:rPr>
      </w:pPr>
    </w:p>
    <w:p w14:paraId="0A8C3E76">
      <w:pPr>
        <w:pStyle w:val="2"/>
        <w:numPr>
          <w:ilvl w:val="0"/>
          <w:numId w:val="1"/>
        </w:numPr>
        <w:spacing w:before="120" w:after="120" w:line="360" w:lineRule="auto"/>
        <w:jc w:val="center"/>
        <w:rPr>
          <w:rFonts w:ascii="宋体"/>
          <w:bCs w:val="0"/>
          <w:color w:val="000000" w:themeColor="text1"/>
          <w:kern w:val="0"/>
          <w:sz w:val="24"/>
          <w:szCs w:val="24"/>
          <w14:textFill>
            <w14:solidFill>
              <w14:schemeClr w14:val="tx1"/>
            </w14:solidFill>
          </w14:textFill>
        </w:rPr>
      </w:pPr>
      <w:bookmarkStart w:id="0" w:name="_Toc881131"/>
      <w:bookmarkStart w:id="1" w:name="_Toc394473996"/>
      <w:r>
        <w:rPr>
          <w:rFonts w:hint="eastAsia" w:ascii="宋体"/>
          <w:bCs w:val="0"/>
          <w:color w:val="000000" w:themeColor="text1"/>
          <w:kern w:val="0"/>
          <w:sz w:val="24"/>
          <w:szCs w:val="24"/>
          <w14:textFill>
            <w14:solidFill>
              <w14:schemeClr w14:val="tx1"/>
            </w14:solidFill>
          </w14:textFill>
        </w:rPr>
        <w:t>托管协议当事人</w:t>
      </w:r>
      <w:bookmarkEnd w:id="0"/>
      <w:bookmarkEnd w:id="1"/>
    </w:p>
    <w:p w14:paraId="4144DCBB">
      <w:pPr>
        <w:rPr>
          <w:color w:val="000000" w:themeColor="text1"/>
          <w14:textFill>
            <w14:solidFill>
              <w14:schemeClr w14:val="tx1"/>
            </w14:solidFill>
          </w14:textFill>
        </w:rPr>
      </w:pPr>
    </w:p>
    <w:p w14:paraId="09D4BDB1">
      <w:pPr>
        <w:pStyle w:val="17"/>
        <w:numPr>
          <w:ilvl w:val="0"/>
          <w:numId w:val="2"/>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基金管理人</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或简称“管理人”</w:t>
      </w:r>
      <w:r>
        <w:rPr>
          <w:color w:val="000000" w:themeColor="text1"/>
          <w14:textFill>
            <w14:solidFill>
              <w14:schemeClr w14:val="tx1"/>
            </w14:solidFill>
          </w14:textFill>
        </w:rPr>
        <w:t>)</w:t>
      </w:r>
    </w:p>
    <w:p w14:paraId="4CF768D8">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名称：博时基金管理有限公司</w:t>
      </w:r>
    </w:p>
    <w:p w14:paraId="233CF5C5">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住所： 深圳市福田区莲花街道福新社区益田路5999号基金大厦21层</w:t>
      </w:r>
    </w:p>
    <w:p w14:paraId="223BD5FD">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法定代表人： 张东</w:t>
      </w:r>
    </w:p>
    <w:p w14:paraId="2E1278DF">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设立日期： 1998年7月13日</w:t>
      </w:r>
    </w:p>
    <w:p w14:paraId="358F58BD">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批准设立机关及批准设立文号： 中国证监会证监基字【1998】26号</w:t>
      </w:r>
    </w:p>
    <w:p w14:paraId="723A22C5">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组织形式： 有限责任公司</w:t>
      </w:r>
    </w:p>
    <w:p w14:paraId="31ECA2E1">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注册资本： 2.5亿元人民币</w:t>
      </w:r>
    </w:p>
    <w:p w14:paraId="78101EDB">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存续期限： 持续经营</w:t>
      </w:r>
    </w:p>
    <w:p w14:paraId="0C40AE91">
      <w:pPr>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联系电话： 0755-83169999</w:t>
      </w:r>
    </w:p>
    <w:p w14:paraId="4C94EB6B">
      <w:pPr>
        <w:pStyle w:val="17"/>
        <w:numPr>
          <w:ilvl w:val="0"/>
          <w:numId w:val="2"/>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基金托管人(或简称“托管人”)</w:t>
      </w:r>
    </w:p>
    <w:p w14:paraId="08183F8A">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名称：中信证券股份有限公司</w:t>
      </w:r>
    </w:p>
    <w:p w14:paraId="254A588B">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注册地址：广东省深圳市福田区中心三路</w:t>
      </w:r>
      <w:r>
        <w:rPr>
          <w:color w:val="000000" w:themeColor="text1"/>
          <w14:textFill>
            <w14:solidFill>
              <w14:schemeClr w14:val="tx1"/>
            </w14:solidFill>
          </w14:textFill>
        </w:rPr>
        <w:t>8</w:t>
      </w:r>
      <w:r>
        <w:rPr>
          <w:rFonts w:hint="eastAsia"/>
          <w:color w:val="000000" w:themeColor="text1"/>
          <w14:textFill>
            <w14:solidFill>
              <w14:schemeClr w14:val="tx1"/>
            </w14:solidFill>
          </w14:textFill>
        </w:rPr>
        <w:t>号卓越时代广场（二期）北座</w:t>
      </w:r>
    </w:p>
    <w:p w14:paraId="303383F2">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办公地址：北京市朝阳区亮马桥路</w:t>
      </w:r>
      <w:r>
        <w:rPr>
          <w:color w:val="000000" w:themeColor="text1"/>
          <w14:textFill>
            <w14:solidFill>
              <w14:schemeClr w14:val="tx1"/>
            </w14:solidFill>
          </w14:textFill>
        </w:rPr>
        <w:t>48</w:t>
      </w:r>
      <w:r>
        <w:rPr>
          <w:rFonts w:hint="eastAsia"/>
          <w:color w:val="000000" w:themeColor="text1"/>
          <w14:textFill>
            <w14:solidFill>
              <w14:schemeClr w14:val="tx1"/>
            </w14:solidFill>
          </w14:textFill>
        </w:rPr>
        <w:t>号</w:t>
      </w:r>
    </w:p>
    <w:p w14:paraId="43599E46">
      <w:pPr>
        <w:spacing w:line="360" w:lineRule="auto"/>
        <w:ind w:right="-178" w:rightChars="-85"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法定代表人：张佑君</w:t>
      </w:r>
    </w:p>
    <w:p w14:paraId="6019C895">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成立时间：</w:t>
      </w:r>
      <w:r>
        <w:rPr>
          <w:color w:val="000000" w:themeColor="text1"/>
          <w14:textFill>
            <w14:solidFill>
              <w14:schemeClr w14:val="tx1"/>
            </w14:solidFill>
          </w14:textFill>
        </w:rPr>
        <w:t>1995</w:t>
      </w:r>
      <w:r>
        <w:rPr>
          <w:rFonts w:hint="eastAsia"/>
          <w:color w:val="000000" w:themeColor="text1"/>
          <w14:textFill>
            <w14:solidFill>
              <w14:schemeClr w14:val="tx1"/>
            </w14:solidFill>
          </w14:textFill>
        </w:rPr>
        <w:t>年</w:t>
      </w:r>
      <w:r>
        <w:rPr>
          <w:color w:val="000000" w:themeColor="text1"/>
          <w14:textFill>
            <w14:solidFill>
              <w14:schemeClr w14:val="tx1"/>
            </w14:solidFill>
          </w14:textFill>
        </w:rPr>
        <w:t>10</w:t>
      </w:r>
      <w:r>
        <w:rPr>
          <w:rFonts w:hint="eastAsia"/>
          <w:color w:val="000000" w:themeColor="text1"/>
          <w14:textFill>
            <w14:solidFill>
              <w14:schemeClr w14:val="tx1"/>
            </w14:solidFill>
          </w14:textFill>
        </w:rPr>
        <w:t>月</w:t>
      </w:r>
      <w:r>
        <w:rPr>
          <w:color w:val="000000" w:themeColor="text1"/>
          <w14:textFill>
            <w14:solidFill>
              <w14:schemeClr w14:val="tx1"/>
            </w14:solidFill>
          </w14:textFill>
        </w:rPr>
        <w:t>25</w:t>
      </w:r>
      <w:r>
        <w:rPr>
          <w:rFonts w:hint="eastAsia"/>
          <w:color w:val="000000" w:themeColor="text1"/>
          <w14:textFill>
            <w14:solidFill>
              <w14:schemeClr w14:val="tx1"/>
            </w14:solidFill>
          </w14:textFill>
        </w:rPr>
        <w:t>日</w:t>
      </w:r>
    </w:p>
    <w:p w14:paraId="5830DE35">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批准设立机关：国家工商总局</w:t>
      </w:r>
    </w:p>
    <w:p w14:paraId="65C98E8A">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批准设立文号：</w:t>
      </w:r>
      <w:r>
        <w:rPr>
          <w:color w:val="000000" w:themeColor="text1"/>
          <w14:textFill>
            <w14:solidFill>
              <w14:schemeClr w14:val="tx1"/>
            </w14:solidFill>
          </w14:textFill>
        </w:rPr>
        <w:t>100000000018305</w:t>
      </w:r>
    </w:p>
    <w:p w14:paraId="006E2492">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组织形式：股份有限公司（上市）</w:t>
      </w:r>
    </w:p>
    <w:p w14:paraId="1C7D9FC0">
      <w:pPr>
        <w:spacing w:line="360" w:lineRule="auto"/>
        <w:ind w:firstLine="420" w:firstLineChars="200"/>
        <w:rPr>
          <w:bCs/>
        </w:rPr>
      </w:pPr>
      <w:r>
        <w:rPr>
          <w:rFonts w:hint="eastAsia"/>
          <w:color w:val="000000" w:themeColor="text1"/>
          <w14:textFill>
            <w14:solidFill>
              <w14:schemeClr w14:val="tx1"/>
            </w14:solidFill>
          </w14:textFill>
        </w:rPr>
        <w:t>注册资本：</w:t>
      </w:r>
      <w:r>
        <w:rPr>
          <w:rFonts w:hint="eastAsia"/>
          <w:bCs/>
        </w:rPr>
        <w:t>14,820,546,829元人民币</w:t>
      </w:r>
    </w:p>
    <w:p w14:paraId="1A6650C3">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基金托管资格批文及文号：《关于核准中信证券股份有限公司证券投资基金托管资格的批复》（证监许可[2014]1044号）</w:t>
      </w:r>
    </w:p>
    <w:p w14:paraId="6234F6CE">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经营范围：证券经纪（限山东省、河南省、浙江省天台县、浙江省苍南县以外区域）；证券投资咨询；与证券交易、证券投资活动有关的财务顾问；证券承销与保荐；证券自营；证券资产管理（全国社会保障基金境内委托投资管理、基本养老保险基金证券投资管理、企业年金基金投资管理和职业年金基金投资管理）；融资融券；证券投资基金代销；为期货公司提供中间介绍业务；代销金融产品；股票期权做市。上市证券做市交易。（依法须经批准的项目，经相关部门批准后方可开展经营活动，具体经营项目以相关部门批准文件或许可证件为准）。</w:t>
      </w:r>
    </w:p>
    <w:p w14:paraId="24ED3A9B">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存续期间：无限期</w:t>
      </w:r>
    </w:p>
    <w:p w14:paraId="3BEE0E8C">
      <w:pPr>
        <w:spacing w:line="360" w:lineRule="auto"/>
        <w:ind w:firstLine="420" w:firstLineChars="200"/>
        <w:rPr>
          <w:color w:val="000000" w:themeColor="text1"/>
          <w14:textFill>
            <w14:solidFill>
              <w14:schemeClr w14:val="tx1"/>
            </w14:solidFill>
          </w14:textFill>
        </w:rPr>
      </w:pPr>
    </w:p>
    <w:p w14:paraId="36B0DA37">
      <w:pPr>
        <w:pStyle w:val="2"/>
        <w:numPr>
          <w:ilvl w:val="0"/>
          <w:numId w:val="1"/>
        </w:numPr>
        <w:spacing w:before="120" w:after="120" w:line="360" w:lineRule="auto"/>
        <w:jc w:val="center"/>
        <w:rPr>
          <w:rFonts w:ascii="宋体"/>
          <w:bCs w:val="0"/>
          <w:color w:val="000000" w:themeColor="text1"/>
          <w:kern w:val="0"/>
          <w:sz w:val="21"/>
          <w:szCs w:val="20"/>
          <w14:textFill>
            <w14:solidFill>
              <w14:schemeClr w14:val="tx1"/>
            </w14:solidFill>
          </w14:textFill>
        </w:rPr>
      </w:pPr>
      <w:bookmarkStart w:id="2" w:name="_Toc881132"/>
      <w:bookmarkStart w:id="3" w:name="_Toc394473997"/>
      <w:r>
        <w:rPr>
          <w:rFonts w:hint="eastAsia" w:ascii="宋体"/>
          <w:bCs w:val="0"/>
          <w:color w:val="000000" w:themeColor="text1"/>
          <w:kern w:val="0"/>
          <w:sz w:val="21"/>
          <w:szCs w:val="20"/>
          <w14:textFill>
            <w14:solidFill>
              <w14:schemeClr w14:val="tx1"/>
            </w14:solidFill>
          </w14:textFill>
        </w:rPr>
        <w:t>托管协议的依据、目的、原则和解释</w:t>
      </w:r>
      <w:bookmarkEnd w:id="2"/>
      <w:bookmarkEnd w:id="3"/>
    </w:p>
    <w:p w14:paraId="39B04327">
      <w:pPr>
        <w:pStyle w:val="17"/>
        <w:ind w:left="450" w:firstLine="0" w:firstLineChars="0"/>
        <w:rPr>
          <w:color w:val="000000" w:themeColor="text1"/>
          <w14:textFill>
            <w14:solidFill>
              <w14:schemeClr w14:val="tx1"/>
            </w14:solidFill>
          </w14:textFill>
        </w:rPr>
      </w:pPr>
    </w:p>
    <w:p w14:paraId="3A0CFA79">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（一）依据</w:t>
      </w:r>
    </w:p>
    <w:p w14:paraId="1EF1BC7D">
      <w:pPr>
        <w:autoSpaceDE w:val="0"/>
        <w:autoSpaceDN w:val="0"/>
        <w:adjustRightInd w:val="0"/>
        <w:spacing w:line="360" w:lineRule="auto"/>
        <w:ind w:firstLine="420" w:firstLineChars="20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本协议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证券投资基金托管业务管理办法》、《证券投资基金信息披露内容与格式准则第</w:t>
      </w:r>
      <w:r>
        <w:rPr>
          <w:color w:val="000000" w:themeColor="text1"/>
          <w14:textFill>
            <w14:solidFill>
              <w14:schemeClr w14:val="tx1"/>
            </w14:solidFill>
          </w14:textFill>
        </w:rPr>
        <w:t>7</w:t>
      </w:r>
      <w:r>
        <w:rPr>
          <w:rFonts w:hint="eastAsia"/>
          <w:color w:val="000000" w:themeColor="text1"/>
          <w14:textFill>
            <w14:solidFill>
              <w14:schemeClr w14:val="tx1"/>
            </w14:solidFill>
          </w14:textFill>
        </w:rPr>
        <w:t>号〈托管协议的内容与格式〉》、《公开募集开放式证券投资基金流动性风险管理规定》（以下简称《流动性风险管理规定》）、</w:t>
      </w:r>
      <w:r>
        <w:rPr>
          <w:rFonts w:hint="eastAsia"/>
        </w:rPr>
        <w:t>《关于规范金融机构资产管理业务的指导意见》、《公开募集证券投资基金运作指引第3号——指数基金指引》、</w:t>
      </w:r>
      <w:r>
        <w:rPr>
          <w:rFonts w:hint="eastAsia"/>
          <w:color w:val="000000" w:themeColor="text1"/>
          <w14:textFill>
            <w14:solidFill>
              <w14:schemeClr w14:val="tx1"/>
            </w14:solidFill>
          </w14:textFill>
        </w:rPr>
        <w:t>《博时创业板电池交易型开放式指数证券投资基金基金合同》（以下简称《基金合同》或“基金合同”）及其他有关法律、法规制定。</w:t>
      </w:r>
    </w:p>
    <w:p w14:paraId="3AD8DAA8">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（二）目的</w:t>
      </w:r>
    </w:p>
    <w:p w14:paraId="2C49314E">
      <w:pPr>
        <w:autoSpaceDE w:val="0"/>
        <w:autoSpaceDN w:val="0"/>
        <w:adjustRightInd w:val="0"/>
        <w:spacing w:line="360" w:lineRule="auto"/>
        <w:ind w:firstLine="420" w:firstLineChars="20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订立本协议的目的是明确基金托管人与基金管理人之间在基金财产的保管、投资运作、净值计算、收益分配、信息披露及相互监督等有关事宜中的权利、义务及职责，确保基金财产的安全，保护基金份额持有人的合法权益。</w:t>
      </w:r>
    </w:p>
    <w:p w14:paraId="0EF541C0">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（三）原则</w:t>
      </w:r>
    </w:p>
    <w:p w14:paraId="71E81001">
      <w:pPr>
        <w:autoSpaceDE w:val="0"/>
        <w:autoSpaceDN w:val="0"/>
        <w:adjustRightInd w:val="0"/>
        <w:spacing w:line="360" w:lineRule="auto"/>
        <w:ind w:firstLine="420" w:firstLineChars="20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基金管理人和基金托管人本着平等自愿、诚实信用、充分保护基金份额持有人合法权益的原则，经协商一致，签订本协议。</w:t>
      </w:r>
    </w:p>
    <w:p w14:paraId="6EBAEB79">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（四）解释</w:t>
      </w:r>
    </w:p>
    <w:p w14:paraId="13E87D91">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除非本协议另有约定，本协议所有术语与《基金合同》的相应术语具有相同含义。</w:t>
      </w:r>
    </w:p>
    <w:p w14:paraId="5925D9D9">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（五）若本基金实施侧袋机制的，侧袋机制实施期间的相关安排见基金合同和招募说明书的规定。</w:t>
      </w:r>
    </w:p>
    <w:p w14:paraId="1C234030">
      <w:pPr>
        <w:spacing w:line="360" w:lineRule="auto"/>
        <w:rPr>
          <w:color w:val="000000" w:themeColor="text1"/>
          <w14:textFill>
            <w14:solidFill>
              <w14:schemeClr w14:val="tx1"/>
            </w14:solidFill>
          </w14:textFill>
        </w:rPr>
      </w:pPr>
    </w:p>
    <w:p w14:paraId="0F622990">
      <w:pPr>
        <w:pStyle w:val="2"/>
        <w:numPr>
          <w:ilvl w:val="0"/>
          <w:numId w:val="1"/>
        </w:numPr>
        <w:spacing w:before="120" w:after="120" w:line="360" w:lineRule="auto"/>
        <w:jc w:val="center"/>
        <w:rPr>
          <w:rFonts w:ascii="宋体"/>
          <w:bCs w:val="0"/>
          <w:color w:val="000000" w:themeColor="text1"/>
          <w:kern w:val="0"/>
          <w:sz w:val="24"/>
          <w:szCs w:val="24"/>
          <w14:textFill>
            <w14:solidFill>
              <w14:schemeClr w14:val="tx1"/>
            </w14:solidFill>
          </w14:textFill>
        </w:rPr>
      </w:pPr>
      <w:bookmarkStart w:id="4" w:name="_Toc394473998"/>
      <w:bookmarkStart w:id="5" w:name="_Toc881133"/>
      <w:r>
        <w:rPr>
          <w:rFonts w:hint="eastAsia" w:ascii="宋体"/>
          <w:bCs w:val="0"/>
          <w:color w:val="000000" w:themeColor="text1"/>
          <w:kern w:val="0"/>
          <w:sz w:val="24"/>
          <w:szCs w:val="24"/>
          <w14:textFill>
            <w14:solidFill>
              <w14:schemeClr w14:val="tx1"/>
            </w14:solidFill>
          </w14:textFill>
        </w:rPr>
        <w:t>基金托管人对基金管理人的业务监督和核查</w:t>
      </w:r>
      <w:bookmarkEnd w:id="4"/>
      <w:bookmarkEnd w:id="5"/>
    </w:p>
    <w:p w14:paraId="43E12EA9">
      <w:pPr>
        <w:pStyle w:val="17"/>
        <w:ind w:left="450" w:firstLine="0" w:firstLineChars="0"/>
        <w:rPr>
          <w:color w:val="000000" w:themeColor="text1"/>
          <w14:textFill>
            <w14:solidFill>
              <w14:schemeClr w14:val="tx1"/>
            </w14:solidFill>
          </w14:textFill>
        </w:rPr>
      </w:pPr>
    </w:p>
    <w:p w14:paraId="30C7EFD3">
      <w:pPr>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（一）基金托管人对基金管理人的投资行为行使监督权</w:t>
      </w:r>
    </w:p>
    <w:p w14:paraId="014830BF">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ascii="宋体" w:hAnsi="Calibri" w:cs="宋体"/>
          <w:color w:val="000000" w:themeColor="text1"/>
          <w:kern w:val="0"/>
          <w:szCs w:val="21"/>
          <w14:textFill>
            <w14:solidFill>
              <w14:schemeClr w14:val="tx1"/>
            </w14:solidFill>
          </w14:textFill>
        </w:rPr>
        <w:t>1</w:t>
      </w:r>
      <w:r>
        <w:rPr>
          <w:rFonts w:hint="eastAsia" w:ascii="宋体" w:hAnsi="Calibri" w:cs="宋体"/>
          <w:color w:val="000000" w:themeColor="text1"/>
          <w:kern w:val="0"/>
          <w:szCs w:val="21"/>
          <w14:textFill>
            <w14:solidFill>
              <w14:schemeClr w14:val="tx1"/>
            </w14:solidFill>
          </w14:textFill>
        </w:rPr>
        <w:t>、 基金托管人根据有关法律法规的规定和《基金合同》的约定，对下述基金投资范围进行监督。</w:t>
      </w:r>
    </w:p>
    <w:p w14:paraId="4982C09D">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本基金将投资于以下金融工具：</w:t>
      </w:r>
    </w:p>
    <w:p w14:paraId="0CFEDF24">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本基金主要投资于标的指数成份股和备选成份股(含存托凭证)。</w:t>
      </w:r>
    </w:p>
    <w:p w14:paraId="5BFD3BA1">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为更好地实现基金的投资目标，本基金可能会少量投资于依法发行上市的非成份股（包括主板、创业板及其他经中国证监会核准或注册上市的股票和存托凭证）、债券（包括国债、金融债、地方政府债、政府支持机构债券、政府支持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2A734A3E">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本基金可根据法律法规的规定参与融资和转融通证券出借业务。</w:t>
      </w:r>
    </w:p>
    <w:p w14:paraId="5EFF5823">
      <w:pPr>
        <w:autoSpaceDE w:val="0"/>
        <w:autoSpaceDN w:val="0"/>
        <w:adjustRightInd w:val="0"/>
        <w:spacing w:line="360" w:lineRule="auto"/>
        <w:ind w:firstLine="420" w:firstLineChars="200"/>
        <w:jc w:val="left"/>
        <w:rPr>
          <w:rFonts w:hint="eastAsia"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如法律法规或中国证监会以后允许基金投资其他品种，本基金管理人在履行适当程序后，可以将其纳入本基金的投资范围。</w:t>
      </w:r>
    </w:p>
    <w:p w14:paraId="04E5180D">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基金托管人根据有关法律法规的规定及《基金合同》的约定对下述基金投资比例进行监督。</w:t>
      </w:r>
    </w:p>
    <w:p w14:paraId="63D85C53">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）按法律法规的规定及《基金合同》的约定，本基金的投资资产配置比例为：</w:t>
      </w:r>
    </w:p>
    <w:p w14:paraId="6653684A">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w:t>
      </w:r>
    </w:p>
    <w:p w14:paraId="46BE0D6A">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若法律法规的相关规定发生变更或监管机构允许，本基金管理人在履行适当程序后，可对上述资产配置比例进行调整。</w:t>
      </w:r>
    </w:p>
    <w:p w14:paraId="08941588">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）根据法律法规的规定及《基金合同》的约定，本基金投资组合遵循以下投资限制：</w:t>
      </w:r>
    </w:p>
    <w:p w14:paraId="5BC7292D">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基金的投资组合应遵循以下限制：</w:t>
      </w:r>
    </w:p>
    <w:p w14:paraId="42BDB71F">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1）本基金投资于标的指数成份股和备选成份股的资产比例不低于基金资产净值的90%，且不低于非现金基金资产的80%；</w:t>
      </w:r>
    </w:p>
    <w:p w14:paraId="51E4E167">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2）每个交易日日终在扣除股指期货、股票期权和国债期货合约需缴纳的交易保证金后，本基金应当保持不低于交易保证金一倍的现金，其中现金不包括结算备付金、存出保证金和应收申购款等；</w:t>
      </w:r>
    </w:p>
    <w:p w14:paraId="191C83F1">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3）本基金持有一家公司发行的证券，其市值不超过基金资产净值的10%，完全按照有关指数的构成比例进行证券投资的基金品种可以不受前述比例限制；</w:t>
      </w:r>
    </w:p>
    <w:p w14:paraId="2D8D3285">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4）本基金管理人管理</w:t>
      </w:r>
      <w:r>
        <w:rPr>
          <w:rFonts w:hint="eastAsia"/>
          <w:color w:val="000000" w:themeColor="text1"/>
          <w:szCs w:val="21"/>
          <w14:textFill>
            <w14:solidFill>
              <w14:schemeClr w14:val="tx1"/>
            </w14:solidFill>
          </w14:textFill>
        </w:rPr>
        <w:t>且由本基金托管人托管</w:t>
      </w:r>
      <w:r>
        <w:rPr>
          <w:rFonts w:hint="eastAsia" w:ascii="宋体" w:hAnsi="Calibri" w:cs="宋体"/>
          <w:color w:val="000000" w:themeColor="text1"/>
          <w:kern w:val="0"/>
          <w:szCs w:val="21"/>
          <w14:textFill>
            <w14:solidFill>
              <w14:schemeClr w14:val="tx1"/>
            </w14:solidFill>
          </w14:textFill>
        </w:rPr>
        <w:t>的全部基金持有一家公司发行的证券，不超过该证券的10%，完全按照有关指数的构成比例进行证券投资的基金品种可以不受前述比例限制；</w:t>
      </w:r>
    </w:p>
    <w:p w14:paraId="021B60F0">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5）本基金参与股指期货和国债期货交易，需遵守下列投资比例限制：</w:t>
      </w:r>
    </w:p>
    <w:p w14:paraId="70EB2FB6">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①本基金在任何交易日日终，持有的买入股指期货合约价值，不得超过基金资产净值的10%；在任何交易日日终，持有的买入国债期货合约价值，不得超过基金资产净值的15%；</w:t>
      </w:r>
    </w:p>
    <w:p w14:paraId="1B8DD049">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②本基金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w:t>
      </w:r>
    </w:p>
    <w:p w14:paraId="36E22525">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 xml:space="preserve">③本基金在任何交易日日终，持有的卖出股指期货合约价值不得超过基金持有的股票总市值的20%；在任何交易日日终，持有的卖出国债期货合约价值不得超过基金持有的债券总市值的30%； </w:t>
      </w:r>
    </w:p>
    <w:p w14:paraId="04B6BDA7">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④本基金在任何交易日内交易（不包括平仓）的股指期货合约的成交金额不得超过上一交易日基金资产净值的20%；在任何交易日内交易（不包括平仓）的国债期货合约的成交金额不得超过上一交易日基金资产净值的30%；</w:t>
      </w:r>
    </w:p>
    <w:p w14:paraId="76506323">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⑤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w:t>
      </w:r>
    </w:p>
    <w:p w14:paraId="47B0C915">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6）本基金投资于同一原始权益人的各类资产支持证券的比例，不得超过基金资产净值的10％；</w:t>
      </w:r>
    </w:p>
    <w:p w14:paraId="359910AB">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7）本基金持有的全部资产支持证券，其市值不得超过基金资产净值的20％；</w:t>
      </w:r>
    </w:p>
    <w:p w14:paraId="130CC83E">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8）本基金持有的同一(指同一信用级别)资产支持证券的比例，不得超过该资产支持证券规模的10％；</w:t>
      </w:r>
    </w:p>
    <w:p w14:paraId="2C87CE18">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9）本基金管理人管理</w:t>
      </w:r>
      <w:r>
        <w:rPr>
          <w:rFonts w:hint="eastAsia"/>
          <w:color w:val="000000" w:themeColor="text1"/>
          <w:szCs w:val="21"/>
          <w14:textFill>
            <w14:solidFill>
              <w14:schemeClr w14:val="tx1"/>
            </w14:solidFill>
          </w14:textFill>
        </w:rPr>
        <w:t>且由本基金托管人托管</w:t>
      </w:r>
      <w:r>
        <w:rPr>
          <w:rFonts w:hint="eastAsia" w:ascii="宋体" w:hAnsi="Calibri" w:cs="宋体"/>
          <w:color w:val="000000" w:themeColor="text1"/>
          <w:kern w:val="0"/>
          <w:szCs w:val="21"/>
          <w14:textFill>
            <w14:solidFill>
              <w14:schemeClr w14:val="tx1"/>
            </w14:solidFill>
          </w14:textFill>
        </w:rPr>
        <w:t>的全部基金投资于同一原始权益人的各类资产支持证券，不得超过其各类资产支持证券合计规模的10％；</w:t>
      </w:r>
    </w:p>
    <w:p w14:paraId="423D70B8">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10）本基金应投资于信用级别评级为BBB以上(含BBB)的资产支持证券。基金持有资产支持证券期间，如果其信用等级下降、不再符合投资标准，应在评级报告发布之日起3个月内予以全部卖出；</w:t>
      </w:r>
    </w:p>
    <w:p w14:paraId="11A98B06">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11）基金财产参与股票发行申购，本基金所申报的金额不超过本基金的总资产，本基金所申报的股票数量不超过拟发行股票公司本次发行股票的总量；</w:t>
      </w:r>
    </w:p>
    <w:p w14:paraId="5AADA90B">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12）本基金参与融资的，在任何交易日日终，本基金持有的融资买入股票与其他有价证券市值之和，不得超过基金资产净值的95%；</w:t>
      </w:r>
    </w:p>
    <w:p w14:paraId="66511AD6">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13）本基金参与转融通证券出借业务，需遵守下列投资限制：</w:t>
      </w:r>
    </w:p>
    <w:p w14:paraId="35E16793">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①出借证券资产不得超过基金资产净值的30%，出借期限在10个交易日以上的出借证券应纳入《流动性风险管理规定》所述流动性受限证券的范围；</w:t>
      </w:r>
    </w:p>
    <w:p w14:paraId="3C95B310">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②参与出借业务的单只证券不得超过本基金持有该证券总量的30%；</w:t>
      </w:r>
    </w:p>
    <w:p w14:paraId="6AC51E49">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③最近6个月内日均基金资产净值不得低于2亿元；</w:t>
      </w:r>
    </w:p>
    <w:p w14:paraId="72173E21">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④证券出借的平均剩余期限不得超过30天，平均剩余期限按照市值加权平均计算；</w:t>
      </w:r>
    </w:p>
    <w:p w14:paraId="7B241C88">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因证券、期货市场波动、证券发行人合并、基金规模变动等基金管理人之外的因素致使基金投资不符合上述规定的，基金管理人不得新增出借业务；</w:t>
      </w:r>
    </w:p>
    <w:p w14:paraId="00AACEA9">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14）本基金投资股票期权应当符合以下要求：</w:t>
      </w:r>
    </w:p>
    <w:p w14:paraId="3F899114">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 xml:space="preserve">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 </w:t>
      </w:r>
    </w:p>
    <w:p w14:paraId="6DECA19F">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15）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1D0514A9">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16）本基金与私募类证券资管产品及中国证监会认定的其他主体为交易对手开展逆回购交易的，可接受质押品的资质要求应当与基金合同约定的投资范围保持一致；</w:t>
      </w:r>
    </w:p>
    <w:p w14:paraId="55BF7D2D">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17）本基金资产总值不得超过基金资产净值的140%；</w:t>
      </w:r>
    </w:p>
    <w:p w14:paraId="27D68488">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18）本基金投资存托凭证的比例限制依照境内上市交易的股票执行；</w:t>
      </w:r>
    </w:p>
    <w:p w14:paraId="5832DB6F">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19）法律法规及中国证监会规定的和《基金合同》约定的其他投资限制。</w:t>
      </w:r>
    </w:p>
    <w:p w14:paraId="37FEBC7D">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除上述2）、10）、13）、15）、16）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14:paraId="2EB9C625">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基金管理人应当自基金合同生效之日起6个月内使基金的投资组合比例符合基金合同的有关约定。在上述期间内，本基金的投资范围应当符合基金合同的约定。基金托管人对基金的投资的监督与检查自基金合同生效之日起开始。</w:t>
      </w:r>
    </w:p>
    <w:p w14:paraId="5EBF86D5">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法律法规或监管部门取消或调整上述限制，如适用于本基金，基金管理人在与基金托管人协商一致并履行适当程序后，则本基金投资不再受相关限制或按照调整后的规定执行。</w:t>
      </w:r>
    </w:p>
    <w:p w14:paraId="74A492E9">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3</w:t>
      </w: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基金托管人根据有关法律法规的规定及《基金合同》的约定对下述基金投资禁止行为通过事后监督方式进行监督：</w:t>
      </w:r>
    </w:p>
    <w:p w14:paraId="57E0E793">
      <w:pPr>
        <w:autoSpaceDE w:val="0"/>
        <w:autoSpaceDN w:val="0"/>
        <w:adjustRightInd w:val="0"/>
        <w:spacing w:line="360" w:lineRule="auto"/>
        <w:ind w:firstLine="420" w:firstLineChars="200"/>
        <w:jc w:val="left"/>
        <w:rPr>
          <w:szCs w:val="21"/>
        </w:rPr>
      </w:pPr>
      <w:r>
        <w:rPr>
          <w:rFonts w:hint="eastAsia"/>
          <w:szCs w:val="21"/>
        </w:rPr>
        <w:t>（1）承销证券；</w:t>
      </w:r>
    </w:p>
    <w:p w14:paraId="282AD87A">
      <w:pPr>
        <w:autoSpaceDE w:val="0"/>
        <w:autoSpaceDN w:val="0"/>
        <w:adjustRightInd w:val="0"/>
        <w:spacing w:line="360" w:lineRule="auto"/>
        <w:ind w:firstLine="420" w:firstLineChars="200"/>
        <w:jc w:val="left"/>
        <w:rPr>
          <w:szCs w:val="21"/>
        </w:rPr>
      </w:pPr>
      <w:r>
        <w:rPr>
          <w:rFonts w:hint="eastAsia"/>
          <w:szCs w:val="21"/>
        </w:rPr>
        <w:t>（2）违反规定向他人贷款或者提供担保；</w:t>
      </w:r>
    </w:p>
    <w:p w14:paraId="343C5E82">
      <w:pPr>
        <w:autoSpaceDE w:val="0"/>
        <w:autoSpaceDN w:val="0"/>
        <w:adjustRightInd w:val="0"/>
        <w:spacing w:line="360" w:lineRule="auto"/>
        <w:ind w:firstLine="420" w:firstLineChars="200"/>
        <w:jc w:val="left"/>
        <w:rPr>
          <w:szCs w:val="21"/>
        </w:rPr>
      </w:pPr>
      <w:r>
        <w:rPr>
          <w:rFonts w:hint="eastAsia"/>
          <w:szCs w:val="21"/>
        </w:rPr>
        <w:t>（3）从事承担无限责任的投资；</w:t>
      </w:r>
    </w:p>
    <w:p w14:paraId="5DBC5AB8">
      <w:pPr>
        <w:autoSpaceDE w:val="0"/>
        <w:autoSpaceDN w:val="0"/>
        <w:adjustRightInd w:val="0"/>
        <w:spacing w:line="360" w:lineRule="auto"/>
        <w:ind w:firstLine="420" w:firstLineChars="200"/>
        <w:jc w:val="left"/>
        <w:rPr>
          <w:szCs w:val="21"/>
        </w:rPr>
      </w:pPr>
      <w:r>
        <w:rPr>
          <w:rFonts w:hint="eastAsia"/>
          <w:szCs w:val="21"/>
        </w:rPr>
        <w:t>（4）买卖其他基金份额，但是中国证监会另有规定的除外；</w:t>
      </w:r>
    </w:p>
    <w:p w14:paraId="21941334">
      <w:pPr>
        <w:autoSpaceDE w:val="0"/>
        <w:autoSpaceDN w:val="0"/>
        <w:adjustRightInd w:val="0"/>
        <w:spacing w:line="360" w:lineRule="auto"/>
        <w:ind w:firstLine="420" w:firstLineChars="200"/>
        <w:jc w:val="left"/>
        <w:rPr>
          <w:szCs w:val="21"/>
        </w:rPr>
      </w:pPr>
      <w:r>
        <w:rPr>
          <w:rFonts w:hint="eastAsia"/>
          <w:szCs w:val="21"/>
        </w:rPr>
        <w:t>（5）向其基金管理人、基金托管人出资；</w:t>
      </w:r>
    </w:p>
    <w:p w14:paraId="571C58BC">
      <w:pPr>
        <w:autoSpaceDE w:val="0"/>
        <w:autoSpaceDN w:val="0"/>
        <w:adjustRightInd w:val="0"/>
        <w:spacing w:line="360" w:lineRule="auto"/>
        <w:ind w:firstLine="420" w:firstLineChars="200"/>
        <w:jc w:val="left"/>
        <w:rPr>
          <w:szCs w:val="21"/>
        </w:rPr>
      </w:pPr>
      <w:r>
        <w:rPr>
          <w:rFonts w:hint="eastAsia"/>
          <w:szCs w:val="21"/>
        </w:rPr>
        <w:t>（6）从事内幕交易、操纵证券交易价格及其他不正当的证券交易活动；</w:t>
      </w:r>
    </w:p>
    <w:p w14:paraId="6E3AF6F0">
      <w:pPr>
        <w:autoSpaceDE w:val="0"/>
        <w:autoSpaceDN w:val="0"/>
        <w:adjustRightInd w:val="0"/>
        <w:spacing w:line="360" w:lineRule="auto"/>
        <w:ind w:firstLine="420" w:firstLineChars="200"/>
        <w:jc w:val="left"/>
        <w:rPr>
          <w:szCs w:val="21"/>
        </w:rPr>
      </w:pPr>
      <w:r>
        <w:rPr>
          <w:rFonts w:hint="eastAsia"/>
          <w:szCs w:val="21"/>
        </w:rPr>
        <w:t>（7）法律、行政法规和中国证监会规定禁止的其他活动。</w:t>
      </w:r>
    </w:p>
    <w:p w14:paraId="32E59323">
      <w:pPr>
        <w:autoSpaceDE w:val="0"/>
        <w:autoSpaceDN w:val="0"/>
        <w:adjustRightInd w:val="0"/>
        <w:spacing w:line="360" w:lineRule="auto"/>
        <w:ind w:firstLine="420" w:firstLineChars="200"/>
        <w:jc w:val="left"/>
        <w:rPr>
          <w:szCs w:val="21"/>
        </w:rPr>
      </w:pPr>
      <w:r>
        <w:rPr>
          <w:rFonts w:hint="eastAsia"/>
          <w:szCs w:val="21"/>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26728E85">
      <w:pPr>
        <w:autoSpaceDE w:val="0"/>
        <w:autoSpaceDN w:val="0"/>
        <w:adjustRightInd w:val="0"/>
        <w:spacing w:line="360" w:lineRule="auto"/>
        <w:ind w:firstLine="420" w:firstLineChars="200"/>
        <w:jc w:val="left"/>
        <w:rPr>
          <w:szCs w:val="21"/>
        </w:rPr>
      </w:pPr>
      <w:r>
        <w:rPr>
          <w:rFonts w:hint="eastAsia"/>
          <w:szCs w:val="21"/>
        </w:rPr>
        <w:t>法律、行政法规或监管部门取消或调整上述限制，如适用于本基金，基金管理人在履行适当程序后，则本基金投资不再受相关限制或按照调整后的规定执行。</w:t>
      </w:r>
    </w:p>
    <w:p w14:paraId="13D2480E">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4</w:t>
      </w:r>
      <w:r>
        <w:rPr>
          <w:rFonts w:hint="eastAsia"/>
          <w:color w:val="000000" w:themeColor="text1"/>
          <w:szCs w:val="21"/>
          <w14:textFill>
            <w14:solidFill>
              <w14:schemeClr w14:val="tx1"/>
            </w14:solidFill>
          </w14:textFill>
        </w:rPr>
        <w:t>、基金托管人依据有关法律法规的规定和《基金合同》的约定对于基金关联投资限制进行监督。</w:t>
      </w:r>
    </w:p>
    <w:p w14:paraId="0522FC5C">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2A37FC89">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5、本基金参与银行间市场交易，由基金管理人决定银行间市场交易对手的名单，并按照审慎的风险控制原则在该名单中约定各交易对手所适用的交易结算方式。基金管理人应严格按照交易对手名单的范围在银行间债券市场选择交易对手；基金管理人在银行间市场进行现券买卖和回购交易时，需按交易对手名单中约定的该交易对手所适用的交易结算方式进行交易。基金托管人不对本基金参与银行间市场交易的交易对手和交易结算方式进行监控。</w:t>
      </w:r>
    </w:p>
    <w:p w14:paraId="40DFE691">
      <w:pPr>
        <w:autoSpaceDE w:val="0"/>
        <w:autoSpaceDN w:val="0"/>
        <w:adjustRightInd w:val="0"/>
        <w:spacing w:line="360" w:lineRule="auto"/>
        <w:ind w:firstLine="420" w:firstLineChars="200"/>
        <w:jc w:val="left"/>
        <w:rPr>
          <w:rFonts w:ascii="宋体" w:hAnsi="Calibri" w:cs="宋体"/>
          <w:kern w:val="0"/>
          <w:szCs w:val="21"/>
        </w:rPr>
      </w:pPr>
      <w:r>
        <w:rPr>
          <w:rFonts w:hint="eastAsia" w:ascii="宋体" w:hAnsi="Calibri" w:cs="宋体"/>
          <w:kern w:val="0"/>
          <w:szCs w:val="21"/>
        </w:rPr>
        <w:t>6、基金托管人对基金投资流通受限证券的监督</w:t>
      </w:r>
    </w:p>
    <w:p w14:paraId="689D1780">
      <w:pPr>
        <w:autoSpaceDE w:val="0"/>
        <w:autoSpaceDN w:val="0"/>
        <w:adjustRightInd w:val="0"/>
        <w:spacing w:line="360" w:lineRule="auto"/>
        <w:ind w:firstLine="420" w:firstLineChars="200"/>
        <w:jc w:val="left"/>
        <w:rPr>
          <w:rFonts w:hAnsi="Calibri"/>
          <w:szCs w:val="21"/>
        </w:rPr>
      </w:pPr>
      <w:r>
        <w:rPr>
          <w:rFonts w:hint="eastAsia" w:ascii="宋体" w:hAnsi="Calibri" w:cs="宋体"/>
          <w:kern w:val="0"/>
          <w:szCs w:val="21"/>
        </w:rPr>
        <w:t>（1）</w:t>
      </w:r>
      <w:r>
        <w:rPr>
          <w:rFonts w:ascii="宋体" w:hAnsi="Calibri" w:cs="宋体"/>
          <w:kern w:val="0"/>
          <w:szCs w:val="21"/>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14:paraId="6D9B66A2">
      <w:pPr>
        <w:autoSpaceDE w:val="0"/>
        <w:autoSpaceDN w:val="0"/>
        <w:adjustRightInd w:val="0"/>
        <w:spacing w:line="360" w:lineRule="auto"/>
        <w:ind w:firstLine="420" w:firstLineChars="200"/>
        <w:jc w:val="left"/>
        <w:rPr>
          <w:rFonts w:ascii="宋体" w:hAnsi="Calibri" w:cs="宋体"/>
          <w:kern w:val="0"/>
          <w:szCs w:val="21"/>
        </w:rPr>
      </w:pPr>
      <w:r>
        <w:rPr>
          <w:rFonts w:hint="eastAsia" w:ascii="宋体" w:hAnsi="Calibri" w:cs="宋体"/>
          <w:kern w:val="0"/>
          <w:szCs w:val="21"/>
        </w:rPr>
        <w:t>（</w:t>
      </w:r>
      <w:r>
        <w:rPr>
          <w:rFonts w:ascii="宋体" w:hAnsi="Calibri" w:cs="宋体"/>
          <w:kern w:val="0"/>
          <w:szCs w:val="21"/>
        </w:rPr>
        <w:t>2</w:t>
      </w:r>
      <w:r>
        <w:rPr>
          <w:rFonts w:hint="eastAsia" w:ascii="宋体" w:hAnsi="Calibri" w:cs="宋体"/>
          <w:kern w:val="0"/>
          <w:szCs w:val="21"/>
        </w:rPr>
        <w:t>）此处流通受限证券与上文所述的流动性受限资产并不完全一致，包括经中国证监会批准的非公开发行股票、公开发行股票网下配售部分等在发行时明确一定期限锁定期的可交易证券</w:t>
      </w:r>
      <w:r>
        <w:rPr>
          <w:rFonts w:ascii="宋体" w:hAnsi="Calibri" w:cs="宋体"/>
          <w:kern w:val="0"/>
          <w:szCs w:val="21"/>
        </w:rPr>
        <w:t>,</w:t>
      </w:r>
      <w:r>
        <w:rPr>
          <w:rFonts w:hint="eastAsia" w:ascii="宋体" w:hAnsi="Calibri" w:cs="宋体"/>
          <w:kern w:val="0"/>
          <w:szCs w:val="21"/>
        </w:rPr>
        <w:t>不包括由于发布重大消息或其他原因而临时停牌的证券、已发行未上市证券、回购交易中的质押券等流通受限证券。</w:t>
      </w:r>
    </w:p>
    <w:p w14:paraId="7DBD4C95">
      <w:pPr>
        <w:autoSpaceDE w:val="0"/>
        <w:autoSpaceDN w:val="0"/>
        <w:adjustRightInd w:val="0"/>
        <w:spacing w:line="360" w:lineRule="auto"/>
        <w:ind w:firstLine="420" w:firstLineChars="200"/>
        <w:jc w:val="left"/>
        <w:rPr>
          <w:rFonts w:ascii="宋体" w:hAnsi="Calibri" w:cs="宋体"/>
          <w:kern w:val="0"/>
          <w:szCs w:val="21"/>
        </w:rPr>
      </w:pPr>
      <w:r>
        <w:rPr>
          <w:rFonts w:hint="eastAsia" w:ascii="宋体" w:hAnsi="Calibri" w:cs="宋体"/>
          <w:kern w:val="0"/>
          <w:szCs w:val="21"/>
        </w:rPr>
        <w:t>（</w:t>
      </w:r>
      <w:r>
        <w:rPr>
          <w:rFonts w:ascii="宋体" w:hAnsi="Calibri" w:cs="宋体"/>
          <w:kern w:val="0"/>
          <w:szCs w:val="21"/>
        </w:rPr>
        <w:t>3</w:t>
      </w:r>
      <w:r>
        <w:rPr>
          <w:rFonts w:hint="eastAsia" w:ascii="宋体" w:hAnsi="Calibri" w:cs="宋体"/>
          <w:kern w:val="0"/>
          <w:szCs w:val="21"/>
        </w:rPr>
        <w:t>）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14:paraId="622FFA85">
      <w:pPr>
        <w:autoSpaceDE w:val="0"/>
        <w:autoSpaceDN w:val="0"/>
        <w:adjustRightInd w:val="0"/>
        <w:spacing w:line="360" w:lineRule="auto"/>
        <w:ind w:firstLine="420" w:firstLineChars="200"/>
        <w:jc w:val="left"/>
        <w:rPr>
          <w:rFonts w:ascii="宋体" w:hAnsi="Calibri" w:cs="宋体"/>
          <w:kern w:val="0"/>
          <w:szCs w:val="21"/>
        </w:rPr>
      </w:pPr>
      <w:r>
        <w:rPr>
          <w:rFonts w:hint="eastAsia" w:ascii="宋体" w:hAnsi="Calibri" w:cs="宋体"/>
          <w:kern w:val="0"/>
          <w:szCs w:val="21"/>
        </w:rPr>
        <w:t>基金管理人应至少于首次执行投资指令之前两个工作日将上述资料书面发至基金托管人，保证基金托管人有足够的时间进行审核。基金托管人应在收到上述资料后两个工作日内，以书面或其他双方认可的方式进行确认。</w:t>
      </w:r>
    </w:p>
    <w:p w14:paraId="65AAAD09">
      <w:pPr>
        <w:autoSpaceDE w:val="0"/>
        <w:autoSpaceDN w:val="0"/>
        <w:adjustRightInd w:val="0"/>
        <w:spacing w:line="360" w:lineRule="auto"/>
        <w:ind w:firstLine="420" w:firstLineChars="200"/>
        <w:jc w:val="left"/>
        <w:rPr>
          <w:rFonts w:ascii="宋体" w:hAnsi="Calibri" w:cs="宋体"/>
          <w:kern w:val="0"/>
          <w:szCs w:val="21"/>
        </w:rPr>
      </w:pPr>
      <w:r>
        <w:rPr>
          <w:rFonts w:hint="eastAsia" w:ascii="宋体" w:hAnsi="Calibri" w:cs="宋体"/>
          <w:kern w:val="0"/>
          <w:szCs w:val="21"/>
        </w:rPr>
        <w:t>（</w:t>
      </w:r>
      <w:r>
        <w:rPr>
          <w:rFonts w:ascii="宋体" w:hAnsi="Calibri" w:cs="宋体"/>
          <w:kern w:val="0"/>
          <w:szCs w:val="21"/>
        </w:rPr>
        <w:t>4</w:t>
      </w:r>
      <w:r>
        <w:rPr>
          <w:rFonts w:hint="eastAsia" w:ascii="宋体" w:hAnsi="Calibri" w:cs="宋体"/>
          <w:kern w:val="0"/>
          <w:szCs w:val="21"/>
        </w:rPr>
        <w:t>）基金投资</w:t>
      </w:r>
      <w:r>
        <w:rPr>
          <w:rFonts w:hint="eastAsia" w:ascii="宋体" w:hAnsi="Calibri" w:cs="宋体"/>
          <w:szCs w:val="21"/>
        </w:rPr>
        <w:t>非公开发行的</w:t>
      </w:r>
      <w:r>
        <w:rPr>
          <w:rFonts w:hint="eastAsia" w:ascii="宋体" w:hAnsi="Calibri" w:cs="宋体"/>
          <w:kern w:val="0"/>
          <w:szCs w:val="21"/>
        </w:rPr>
        <w:t>流通受限证券前，基金管理人应向基金托管人提供符合法律法规要求的有关书面信息，包括但不限于拟发行证券主体的中国证监会批准文件、发行证券数量、发行价格、锁定期，基金拟认购的数量、价格、总成本、总成本占基金资产净值的比例、已持有流通受限证券市值占资产净值的比例、资金划付时间等。基金管理人应保证上述信息的真实、完整，并于拟执行投资指令前将上述信息书面发至基金托管人，保证基金托管人有足够的时间进行审核。</w:t>
      </w:r>
    </w:p>
    <w:p w14:paraId="5FBD219D">
      <w:pPr>
        <w:autoSpaceDE w:val="0"/>
        <w:autoSpaceDN w:val="0"/>
        <w:adjustRightInd w:val="0"/>
        <w:spacing w:line="360" w:lineRule="auto"/>
        <w:ind w:firstLine="420" w:firstLineChars="200"/>
        <w:jc w:val="left"/>
        <w:rPr>
          <w:rFonts w:ascii="宋体" w:hAnsi="Calibri" w:cs="宋体"/>
          <w:kern w:val="0"/>
          <w:szCs w:val="21"/>
        </w:rPr>
      </w:pPr>
      <w:r>
        <w:rPr>
          <w:rFonts w:hint="eastAsia" w:ascii="宋体" w:hAnsi="Calibri" w:cs="宋体"/>
          <w:kern w:val="0"/>
          <w:szCs w:val="21"/>
        </w:rPr>
        <w:t>（</w:t>
      </w:r>
      <w:r>
        <w:rPr>
          <w:rFonts w:ascii="宋体" w:hAnsi="Calibri" w:cs="宋体"/>
          <w:kern w:val="0"/>
          <w:szCs w:val="21"/>
        </w:rPr>
        <w:t>5</w:t>
      </w:r>
      <w:r>
        <w:rPr>
          <w:rFonts w:hint="eastAsia" w:ascii="宋体" w:hAnsi="Calibri" w:cs="宋体"/>
          <w:kern w:val="0"/>
          <w:szCs w:val="21"/>
        </w:rPr>
        <w:t>）基金托管人应按照《关于基金投资非公开发行股票等流通受限证券有关问题的通知》规定，对基金管理人是否遵守法律法规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备查资料的权利。否则，基金托管人有权拒绝执行有关指令。因拒绝执行该指令造成基金财产损失的，基金托管人不承担任何责任，并有权报告中国证监会。</w:t>
      </w:r>
    </w:p>
    <w:p w14:paraId="75BF5AB9">
      <w:pPr>
        <w:autoSpaceDE w:val="0"/>
        <w:autoSpaceDN w:val="0"/>
        <w:adjustRightInd w:val="0"/>
        <w:spacing w:line="360" w:lineRule="auto"/>
        <w:ind w:firstLine="420" w:firstLineChars="200"/>
        <w:jc w:val="left"/>
        <w:rPr>
          <w:rFonts w:ascii="宋体" w:hAnsi="Calibri" w:cs="宋体"/>
          <w:kern w:val="0"/>
          <w:szCs w:val="21"/>
        </w:rPr>
      </w:pPr>
      <w:r>
        <w:rPr>
          <w:rFonts w:hint="eastAsia" w:ascii="宋体" w:hAnsi="Calibri" w:cs="宋体"/>
          <w:kern w:val="0"/>
          <w:szCs w:val="21"/>
        </w:rPr>
        <w:t>如基金管理人和基金托管人无法达成一致，应及时上报中国证监会请求解决。如果基金托管人切实履行监督职责，则不承担任何责任。</w:t>
      </w:r>
    </w:p>
    <w:p w14:paraId="4908717A">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ascii="宋体" w:hAnsi="Calibri" w:cs="宋体"/>
          <w:color w:val="000000" w:themeColor="text1"/>
          <w:kern w:val="0"/>
          <w:szCs w:val="21"/>
          <w14:textFill>
            <w14:solidFill>
              <w14:schemeClr w14:val="tx1"/>
            </w14:solidFill>
          </w14:textFill>
        </w:rPr>
        <w:t>7</w:t>
      </w:r>
      <w:r>
        <w:rPr>
          <w:rFonts w:hint="eastAsia" w:ascii="宋体" w:hAnsi="Calibri" w:cs="宋体"/>
          <w:color w:val="000000" w:themeColor="text1"/>
          <w:kern w:val="0"/>
          <w:szCs w:val="21"/>
          <w14:textFill>
            <w14:solidFill>
              <w14:schemeClr w14:val="tx1"/>
            </w14:solidFill>
          </w14:textFill>
        </w:rPr>
        <w:t>、本基金投资银行存款的信用风险主要包括存款银行的信用等级、存款银行的支付能力等涉及到存款银行选择方面的风险。本基金的基金管理人根据相应规则确定存款银行，本基金投资存款银行以外的银行存款出现由于存款银行信用风险而造成的损失时由相关责任人进行赔偿。基金托管人不对本基金投资银行存款的存款银行进行监控。</w:t>
      </w:r>
    </w:p>
    <w:p w14:paraId="63F64257">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8、基金参与转融通证券出借业务，基金管理人应当遵守审慎经营原则，配备技术系统和专业人员，制定科学合理的投资策略和风险管理制度，完善业务流程，有效防范和控制风险。基金托管人将对基金参与出借业务的投资比例进行监督和复核。</w:t>
      </w:r>
    </w:p>
    <w:p w14:paraId="795BE875">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二）基金托管人应根据有关法律法规的规定及《基金合同》的约定，对基金资产净值计算、基金份额净值计算、应收资金到账、基金费用开支及收入确定、基金收益分配、相关信息披露、基金宣传推介材料（需基金管理人主动提供）中登载基金业绩表现数据等进行监督和核查。</w:t>
      </w:r>
    </w:p>
    <w:p w14:paraId="55F1BD13">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（三） 基金托管人发现基金管理人的投资运作及其他运作违反法律法规、《基金合同》、本托管协议及其他有关规定时，应及时以书面形式通知基金管理人限期纠正，基金管理人收到通知后应在下一个工作日前及时核对，并以书面形式向基金托管人发出回函，进行解释或举证，说明违规原因及纠正期限。</w:t>
      </w:r>
    </w:p>
    <w:p w14:paraId="35EF6363">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在限期内，基金托管人有权随时对通知事项进行复查，督促基金管理人改正。基金管理人对基金托管人通知的违规事项未能在限期内纠正的，基金托管人应报告中国证监会。基金管理人应赔偿因其违反法律法规、行业自律性规定或《基金合同》或本托管协议及其他有关规定而致使投资者和基金托管人遭受的损失。</w:t>
      </w:r>
    </w:p>
    <w:p w14:paraId="3BC48C81">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对于依据交易程序尚未成交的且基金托管人在交易前能够监控的投资指令，基金托管人发现该投资指令违反有关法律法规规定或者违反《基金合同》约定的，应当拒绝执行，立即通知基金管理人，并向中国证监会报告。</w:t>
      </w:r>
    </w:p>
    <w:p w14:paraId="7E4F0BE6">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对于必须于估值完成后方可获知的监控指标或依据交易程序已经成交的投资指令，基金托管人发现该投资指令违反有关法律法规或者违反《基金合同》约定的，应当立即通知基金管理人，并报告中国证监会。</w:t>
      </w:r>
    </w:p>
    <w:p w14:paraId="39886AFE">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14:paraId="417D769A">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基金托管人发现基金管理人有重大违规行为，应立即报告中国证监会，同时通知基金管理人限期纠正。</w:t>
      </w:r>
    </w:p>
    <w:p w14:paraId="053BD41B">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14:paraId="6344C156">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p>
    <w:p w14:paraId="5FB9DC8D">
      <w:pPr>
        <w:pStyle w:val="2"/>
        <w:numPr>
          <w:ilvl w:val="0"/>
          <w:numId w:val="1"/>
        </w:numPr>
        <w:spacing w:before="120" w:after="120" w:line="360" w:lineRule="auto"/>
        <w:jc w:val="center"/>
        <w:rPr>
          <w:rFonts w:ascii="宋体" w:hAnsi="Calibri" w:cs="宋体"/>
          <w:color w:val="000000" w:themeColor="text1"/>
          <w:kern w:val="0"/>
          <w:sz w:val="24"/>
          <w14:textFill>
            <w14:solidFill>
              <w14:schemeClr w14:val="tx1"/>
            </w14:solidFill>
          </w14:textFill>
        </w:rPr>
      </w:pPr>
      <w:bookmarkStart w:id="6" w:name="_Toc394473999"/>
      <w:bookmarkStart w:id="7" w:name="_Toc881134"/>
      <w:r>
        <w:rPr>
          <w:rFonts w:hint="eastAsia" w:ascii="宋体" w:hAnsi="Calibri" w:cs="宋体"/>
          <w:color w:val="000000" w:themeColor="text1"/>
          <w:kern w:val="0"/>
          <w:sz w:val="24"/>
          <w14:textFill>
            <w14:solidFill>
              <w14:schemeClr w14:val="tx1"/>
            </w14:solidFill>
          </w14:textFill>
        </w:rPr>
        <w:t>基金管理人对基金托管人的业务核查</w:t>
      </w:r>
      <w:bookmarkEnd w:id="6"/>
      <w:bookmarkEnd w:id="7"/>
    </w:p>
    <w:p w14:paraId="784F0508">
      <w:pPr>
        <w:pStyle w:val="17"/>
        <w:autoSpaceDE w:val="0"/>
        <w:autoSpaceDN w:val="0"/>
        <w:adjustRightInd w:val="0"/>
        <w:spacing w:line="360" w:lineRule="auto"/>
        <w:ind w:left="450" w:firstLine="0" w:firstLineChars="0"/>
        <w:rPr>
          <w:rFonts w:ascii="宋体" w:hAnsi="Calibri" w:cs="宋体"/>
          <w:b/>
          <w:color w:val="000000" w:themeColor="text1"/>
          <w:kern w:val="0"/>
          <w:sz w:val="24"/>
          <w14:textFill>
            <w14:solidFill>
              <w14:schemeClr w14:val="tx1"/>
            </w14:solidFill>
          </w14:textFill>
        </w:rPr>
      </w:pPr>
    </w:p>
    <w:p w14:paraId="0A80EEC2">
      <w:pPr>
        <w:autoSpaceDE w:val="0"/>
        <w:autoSpaceDN w:val="0"/>
        <w:adjustRightInd w:val="0"/>
        <w:spacing w:line="360" w:lineRule="auto"/>
        <w:ind w:firstLine="42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一）基金管理人对基金托管人履行托管职责情况进行核查，核查事项包括但不限于基金托管人安全保管基金财产、开设基金财产的资金账户、证券账户等投资所需账户、复核基金管理人计算的基金资产净值和基金份额净值、根据基金管理人指令办理清算交收、相关信息披露和监督基金投资运作等行为。</w:t>
      </w:r>
    </w:p>
    <w:p w14:paraId="0F543CDB">
      <w:pPr>
        <w:autoSpaceDE w:val="0"/>
        <w:autoSpaceDN w:val="0"/>
        <w:adjustRightInd w:val="0"/>
        <w:spacing w:line="360" w:lineRule="auto"/>
        <w:ind w:firstLine="315" w:firstLineChars="15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二）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w:t>
      </w:r>
      <w:r>
        <w:rPr>
          <w:rFonts w:hint="eastAsia"/>
          <w:color w:val="000000" w:themeColor="text1"/>
          <w:szCs w:val="20"/>
          <w14:textFill>
            <w14:solidFill>
              <w14:schemeClr w14:val="tx1"/>
            </w14:solidFill>
          </w14:textFill>
        </w:rPr>
        <w:t>说明违规原因及纠正期限，并保证在规定期限内及时改正。</w:t>
      </w:r>
      <w:r>
        <w:rPr>
          <w:rFonts w:hint="eastAsia" w:ascii="宋体" w:hAnsi="Calibri" w:cs="宋体"/>
          <w:color w:val="000000" w:themeColor="text1"/>
          <w:kern w:val="0"/>
          <w:szCs w:val="21"/>
          <w14:textFill>
            <w14:solidFill>
              <w14:schemeClr w14:val="tx1"/>
            </w14:solidFill>
          </w14:textFill>
        </w:rPr>
        <w:t>在上述限期内，基金管理人有权随时对通知事项进行复查，督促基金托管人改正，并予协助配合。基金托管人应积极配合基金管理人的核查行为，包括但不限于：提交相关资料以供基金管理人核查托管财产的完整性和真实性，在规定时间内答复基金管理人并改正。基金托管人对基金管理人通知的违规事项未能在限期内纠正的，基金管理人应报告中国证监会。</w:t>
      </w:r>
    </w:p>
    <w:p w14:paraId="2DAF4FC3">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（三）基金管理人发现基金托管人有重大违规行为，应立即报告中国证监会，同时通知基金托管人限期纠正，并将纠正结果报告中国证监会。</w:t>
      </w:r>
    </w:p>
    <w:p w14:paraId="3993BA24">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kern w:val="0"/>
          <w:szCs w:val="21"/>
          <w14:textFill>
            <w14:solidFill>
              <w14:schemeClr w14:val="tx1"/>
            </w14:solidFill>
          </w14:textFill>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14:paraId="7358C9CC">
      <w:pPr>
        <w:autoSpaceDE w:val="0"/>
        <w:autoSpaceDN w:val="0"/>
        <w:adjustRightInd w:val="0"/>
        <w:spacing w:line="360" w:lineRule="auto"/>
        <w:ind w:firstLine="420" w:firstLineChars="200"/>
        <w:jc w:val="left"/>
        <w:rPr>
          <w:rFonts w:ascii="宋体" w:hAnsi="Calibri" w:cs="宋体"/>
          <w:color w:val="000000" w:themeColor="text1"/>
          <w:kern w:val="0"/>
          <w:szCs w:val="21"/>
          <w14:textFill>
            <w14:solidFill>
              <w14:schemeClr w14:val="tx1"/>
            </w14:solidFill>
          </w14:textFill>
        </w:rPr>
      </w:pPr>
    </w:p>
    <w:p w14:paraId="30428555">
      <w:pPr>
        <w:pStyle w:val="2"/>
        <w:numPr>
          <w:ilvl w:val="0"/>
          <w:numId w:val="1"/>
        </w:numPr>
        <w:spacing w:before="120" w:after="120" w:line="360" w:lineRule="auto"/>
        <w:jc w:val="center"/>
        <w:rPr>
          <w:rFonts w:ascii="宋体" w:hAnsi="Calibri" w:cs="宋体"/>
          <w:color w:val="000000" w:themeColor="text1"/>
          <w:kern w:val="0"/>
          <w:szCs w:val="21"/>
          <w14:textFill>
            <w14:solidFill>
              <w14:schemeClr w14:val="tx1"/>
            </w14:solidFill>
          </w14:textFill>
        </w:rPr>
      </w:pPr>
      <w:bookmarkStart w:id="8" w:name="_Toc394474000"/>
      <w:bookmarkStart w:id="9" w:name="_Toc881135"/>
      <w:r>
        <w:rPr>
          <w:rFonts w:hint="eastAsia" w:ascii="宋体" w:hAnsi="Calibri" w:cs="宋体"/>
          <w:color w:val="000000" w:themeColor="text1"/>
          <w:kern w:val="0"/>
          <w:sz w:val="24"/>
          <w14:textFill>
            <w14:solidFill>
              <w14:schemeClr w14:val="tx1"/>
            </w14:solidFill>
          </w14:textFill>
        </w:rPr>
        <w:t>基金财产保管</w:t>
      </w:r>
      <w:bookmarkEnd w:id="8"/>
      <w:bookmarkEnd w:id="9"/>
    </w:p>
    <w:p w14:paraId="0301C8DA">
      <w:pPr>
        <w:autoSpaceDE w:val="0"/>
        <w:autoSpaceDN w:val="0"/>
        <w:adjustRightInd w:val="0"/>
        <w:spacing w:line="360" w:lineRule="auto"/>
        <w:jc w:val="left"/>
        <w:rPr>
          <w:rFonts w:ascii="宋体" w:hAnsi="Calibri" w:cs="宋体"/>
          <w:color w:val="000000" w:themeColor="text1"/>
          <w:kern w:val="0"/>
          <w:szCs w:val="21"/>
          <w14:textFill>
            <w14:solidFill>
              <w14:schemeClr w14:val="tx1"/>
            </w14:solidFill>
          </w14:textFill>
        </w:rPr>
      </w:pPr>
    </w:p>
    <w:p w14:paraId="768304CB">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（一）基金财产保管的原则</w:t>
      </w:r>
    </w:p>
    <w:p w14:paraId="1B5BE965">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、基金财产应独立于基金管理人、基金托管人、证券经纪机构的固有财产。</w:t>
      </w:r>
    </w:p>
    <w:p w14:paraId="301585A9">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、基金托管人应安全保管基金财产，未经基金管理人的合法合规指令或法律法规、《基金合同》及本协议另有规定，不得自行运用、处分、分配基金的任何财产。</w:t>
      </w:r>
    </w:p>
    <w:p w14:paraId="44B56030">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3</w:t>
      </w:r>
      <w:r>
        <w:rPr>
          <w:rFonts w:hint="eastAsia"/>
          <w:color w:val="000000" w:themeColor="text1"/>
          <w14:textFill>
            <w14:solidFill>
              <w14:schemeClr w14:val="tx1"/>
            </w14:solidFill>
          </w14:textFill>
        </w:rPr>
        <w:t>、基金托管人按照规定开设基金财产的资金账户、证券账户等投资所需账户，相关开户费用由基金资产承担。</w:t>
      </w:r>
    </w:p>
    <w:p w14:paraId="7D37E953">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4</w:t>
      </w:r>
      <w:r>
        <w:rPr>
          <w:rFonts w:hint="eastAsia"/>
          <w:color w:val="000000" w:themeColor="text1"/>
          <w14:textFill>
            <w14:solidFill>
              <w14:schemeClr w14:val="tx1"/>
            </w14:solidFill>
          </w14:textFill>
        </w:rPr>
        <w:t>、基金托管人对所托管的不同基金财产分别设置账户，分账管理，独立核算，确保基金财产的完整与独立。</w:t>
      </w:r>
    </w:p>
    <w:p w14:paraId="64FF17D3">
      <w:pPr>
        <w:spacing w:line="360" w:lineRule="auto"/>
        <w:ind w:firstLine="420" w:firstLineChars="200"/>
        <w:rPr>
          <w:color w:val="000000" w:themeColor="text1"/>
          <w:szCs w:val="21"/>
          <w14:textFill>
            <w14:solidFill>
              <w14:schemeClr w14:val="tx1"/>
            </w14:solidFill>
          </w14:textFill>
        </w:rPr>
      </w:pPr>
      <w:r>
        <w:rPr>
          <w:color w:val="000000" w:themeColor="text1"/>
          <w14:textFill>
            <w14:solidFill>
              <w14:schemeClr w14:val="tx1"/>
            </w14:solidFill>
          </w14:textFill>
        </w:rPr>
        <w:t>5</w:t>
      </w:r>
      <w:r>
        <w:rPr>
          <w:rFonts w:hint="eastAsia"/>
          <w:color w:val="000000" w:themeColor="text1"/>
          <w14:textFill>
            <w14:solidFill>
              <w14:schemeClr w14:val="tx1"/>
            </w14:solidFill>
          </w14:textFill>
        </w:rPr>
        <w:t>、</w:t>
      </w:r>
      <w:r>
        <w:rPr>
          <w:rFonts w:hint="eastAsia"/>
          <w:color w:val="000000" w:themeColor="text1"/>
          <w:szCs w:val="21"/>
          <w14:textFill>
            <w14:solidFill>
              <w14:schemeClr w14:val="tx1"/>
            </w14:solidFill>
          </w14:textFill>
        </w:rPr>
        <w:t>对于因为基金认申购、投资产生的应收资产，应由基金管理人负责与有关当事人确定到账日期并通知基金托管人，到账日基金财产没有到达基金账户的，基金托管人应及时通知基金管理人采取措施进行催收。基金管理人未及时催收给基金财产造成损失的，基金管理人应负责向有关当事人追偿基金财产的损失，基金托管人对此不承担任何责任。</w:t>
      </w:r>
    </w:p>
    <w:p w14:paraId="2941F177">
      <w:pPr>
        <w:spacing w:line="360" w:lineRule="auto"/>
        <w:ind w:firstLine="420" w:firstLineChars="200"/>
        <w:rPr>
          <w:color w:val="000000" w:themeColor="text1"/>
          <w14:textFill>
            <w14:solidFill>
              <w14:schemeClr w14:val="tx1"/>
            </w14:solidFill>
          </w14:textFill>
        </w:rPr>
      </w:pPr>
      <w:r>
        <w:rPr>
          <w:color w:val="000000" w:themeColor="text1"/>
          <w:szCs w:val="21"/>
          <w14:textFill>
            <w14:solidFill>
              <w14:schemeClr w14:val="tx1"/>
            </w14:solidFill>
          </w14:textFill>
        </w:rPr>
        <w:t>6</w:t>
      </w:r>
      <w:r>
        <w:rPr>
          <w:rFonts w:hint="eastAsia"/>
          <w:color w:val="000000" w:themeColor="text1"/>
          <w:szCs w:val="21"/>
          <w14:textFill>
            <w14:solidFill>
              <w14:schemeClr w14:val="tx1"/>
            </w14:solidFill>
          </w14:textFill>
        </w:rPr>
        <w:t>、对因为基金管理人投资产生的存放或存管在基金托管人以外机构的基金财产，或交由期货公司或证券公司负责清算交收的基金财产（包括但不限于期货保证金账户内的资金、期货合约等）及其收益，若由于该等机构或该机构会员单位等本协议当事人外第三方的原因给基金财产造成的损失等，基金托管人不承担责任。</w:t>
      </w:r>
    </w:p>
    <w:p w14:paraId="61D926B7">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7</w:t>
      </w:r>
      <w:r>
        <w:rPr>
          <w:rFonts w:hint="eastAsia"/>
          <w:color w:val="000000" w:themeColor="text1"/>
          <w14:textFill>
            <w14:solidFill>
              <w14:schemeClr w14:val="tx1"/>
            </w14:solidFill>
          </w14:textFill>
        </w:rPr>
        <w:t>、除依据</w:t>
      </w:r>
      <w:r>
        <w:rPr>
          <w:rFonts w:hint="eastAsia"/>
          <w:color w:val="000000" w:themeColor="text1"/>
          <w:sz w:val="23"/>
          <w:szCs w:val="23"/>
          <w14:textFill>
            <w14:solidFill>
              <w14:schemeClr w14:val="tx1"/>
            </w14:solidFill>
          </w14:textFill>
        </w:rPr>
        <w:t>法律法规</w:t>
      </w:r>
      <w:r>
        <w:rPr>
          <w:rFonts w:hint="eastAsia"/>
          <w:color w:val="000000" w:themeColor="text1"/>
          <w14:textFill>
            <w14:solidFill>
              <w14:schemeClr w14:val="tx1"/>
            </w14:solidFill>
          </w14:textFill>
        </w:rPr>
        <w:t>、《基金合同》及其他有关规定外，基金托管人不得委托第三人托管基金财产。</w:t>
      </w:r>
    </w:p>
    <w:p w14:paraId="62AF1511">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（二）</w:t>
      </w:r>
      <w:r>
        <w:rPr>
          <w:rFonts w:hint="eastAsia" w:ascii="宋体" w:hAnsi="Calibri" w:cs="宋体"/>
          <w:color w:val="000000" w:themeColor="text1"/>
          <w:kern w:val="0"/>
          <w:szCs w:val="21"/>
          <w14:textFill>
            <w14:solidFill>
              <w14:schemeClr w14:val="tx1"/>
            </w14:solidFill>
          </w14:textFill>
        </w:rPr>
        <w:t>《基金合同》</w:t>
      </w:r>
      <w:r>
        <w:rPr>
          <w:rFonts w:hint="eastAsia"/>
          <w:color w:val="000000" w:themeColor="text1"/>
          <w14:textFill>
            <w14:solidFill>
              <w14:schemeClr w14:val="tx1"/>
            </w14:solidFill>
          </w14:textFill>
        </w:rPr>
        <w:t>生效前募集资金及股票的验资和入账</w:t>
      </w:r>
    </w:p>
    <w:p w14:paraId="71C81E2A">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、基金募集期间募集的资金应存于基金管理人在具有托管资格的银行开立的“基金募集专户”，该账户由基金管理人开立并管理。募集的股票按照交易所和登记结算机构的规则和流程办理股票的冻结与过户。</w:t>
      </w:r>
    </w:p>
    <w:p w14:paraId="253A2E2A">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基金募集期满或基金管理人宣布停止募集时，募集的基金份额总额、基金募集金额（含网下股票认购所募集的股票按《基金合同》约定的估值方法计算的价值）、基金份额持有人人数符合《基金法》、《运作办法》等有关规定后，基金管理人应将属于本基金财产的全部资金和</w:t>
      </w:r>
      <w:r>
        <w:rPr>
          <w:color w:val="000000" w:themeColor="text1"/>
          <w14:textFill>
            <w14:solidFill>
              <w14:schemeClr w14:val="tx1"/>
            </w14:solidFill>
          </w14:textFill>
        </w:rPr>
        <w:t>股票</w:t>
      </w:r>
      <w:r>
        <w:rPr>
          <w:rFonts w:hint="eastAsia"/>
          <w:color w:val="000000" w:themeColor="text1"/>
          <w14:textFill>
            <w14:solidFill>
              <w14:schemeClr w14:val="tx1"/>
            </w14:solidFill>
          </w14:textFill>
        </w:rPr>
        <w:t>划入在基金托管人为本基金开立的基金银行账户和</w:t>
      </w:r>
      <w:r>
        <w:rPr>
          <w:color w:val="000000" w:themeColor="text1"/>
          <w14:textFill>
            <w14:solidFill>
              <w14:schemeClr w14:val="tx1"/>
            </w14:solidFill>
          </w14:textFill>
        </w:rPr>
        <w:t>证券账户</w:t>
      </w:r>
      <w:r>
        <w:rPr>
          <w:rFonts w:hint="eastAsia"/>
          <w:color w:val="000000" w:themeColor="text1"/>
          <w14:textFill>
            <w14:solidFill>
              <w14:schemeClr w14:val="tx1"/>
            </w14:solidFill>
          </w14:textFill>
        </w:rPr>
        <w:t>，网下股票认购所募集的股票予以冻结。同时在</w:t>
      </w:r>
      <w:r>
        <w:rPr>
          <w:color w:val="000000" w:themeColor="text1"/>
          <w14:textFill>
            <w14:solidFill>
              <w14:schemeClr w14:val="tx1"/>
            </w14:solidFill>
          </w14:textFill>
        </w:rPr>
        <w:t>规定时间内</w:t>
      </w:r>
      <w:r>
        <w:rPr>
          <w:rFonts w:hint="eastAsia"/>
          <w:color w:val="000000" w:themeColor="text1"/>
          <w14:textFill>
            <w14:solidFill>
              <w14:schemeClr w14:val="tx1"/>
            </w14:solidFill>
          </w14:textFill>
        </w:rPr>
        <w:t>，由基金管理人在法定期限内聘请符合《中华人民共和国证券法》规定的会计师事务所对基金进行验资，并出具验资报告，出具的验资报告应由参加验资的</w:t>
      </w:r>
      <w:r>
        <w:rPr>
          <w:color w:val="000000" w:themeColor="text1"/>
          <w14:textFill>
            <w14:solidFill>
              <w14:schemeClr w14:val="tx1"/>
            </w14:solidFill>
          </w14:textFill>
        </w:rPr>
        <w:t>2</w:t>
      </w:r>
      <w:r>
        <w:rPr>
          <w:rFonts w:hint="eastAsia"/>
          <w:color w:val="000000" w:themeColor="text1"/>
          <w14:textFill>
            <w14:solidFill>
              <w14:schemeClr w14:val="tx1"/>
            </w14:solidFill>
          </w14:textFill>
        </w:rPr>
        <w:t>名以上</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含</w:t>
      </w:r>
      <w:r>
        <w:rPr>
          <w:color w:val="000000" w:themeColor="text1"/>
          <w14:textFill>
            <w14:solidFill>
              <w14:schemeClr w14:val="tx1"/>
            </w14:solidFill>
          </w14:textFill>
        </w:rPr>
        <w:t>2</w:t>
      </w:r>
      <w:r>
        <w:rPr>
          <w:rFonts w:hint="eastAsia"/>
          <w:color w:val="000000" w:themeColor="text1"/>
          <w14:textFill>
            <w14:solidFill>
              <w14:schemeClr w14:val="tx1"/>
            </w14:solidFill>
          </w14:textFill>
        </w:rPr>
        <w:t>名</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中国注册会计师签字方为有效。</w:t>
      </w:r>
    </w:p>
    <w:p w14:paraId="4409D34E">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、若基金募集期限届满，未能达到</w:t>
      </w:r>
      <w:r>
        <w:rPr>
          <w:rFonts w:hint="eastAsia" w:ascii="宋体" w:hAnsi="Calibri" w:cs="宋体"/>
          <w:color w:val="000000" w:themeColor="text1"/>
          <w:kern w:val="0"/>
          <w:szCs w:val="21"/>
          <w14:textFill>
            <w14:solidFill>
              <w14:schemeClr w14:val="tx1"/>
            </w14:solidFill>
          </w14:textFill>
        </w:rPr>
        <w:t>《基金合同》</w:t>
      </w:r>
      <w:r>
        <w:rPr>
          <w:rFonts w:hint="eastAsia"/>
          <w:color w:val="000000" w:themeColor="text1"/>
          <w14:textFill>
            <w14:solidFill>
              <w14:schemeClr w14:val="tx1"/>
            </w14:solidFill>
          </w14:textFill>
        </w:rPr>
        <w:t>生效的条件，由基</w:t>
      </w:r>
      <w:r>
        <w:rPr>
          <w:rFonts w:hint="eastAsia"/>
          <w:color w:val="000000" w:themeColor="text1"/>
          <w:szCs w:val="21"/>
          <w14:textFill>
            <w14:solidFill>
              <w14:schemeClr w14:val="tx1"/>
            </w14:solidFill>
          </w14:textFill>
        </w:rPr>
        <w:t>金管理人或相关机构按规定办理退款、股票解冻及返还等事宜，基金托管人应提供必要的协助。</w:t>
      </w:r>
    </w:p>
    <w:p w14:paraId="47FC2D34">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（三）基金的银行账户的开设和管理</w:t>
      </w:r>
    </w:p>
    <w:p w14:paraId="305F03E0">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、基金托管人应负责本基金的银行账户的开设和管理。</w:t>
      </w:r>
    </w:p>
    <w:p w14:paraId="48247600">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、基金托管人以本基金的名义在具有基金托管资格的商业银行开设本基金的银行账户。本基金的银行预留印鉴为“中信证券股份有限公司托管业务结算专用章”和</w:t>
      </w:r>
      <w:r>
        <w:rPr>
          <w:rFonts w:hint="eastAsia"/>
        </w:rPr>
        <w:t>基金托管人</w:t>
      </w:r>
      <w:r>
        <w:rPr>
          <w:rFonts w:hint="eastAsia"/>
          <w:color w:val="000000" w:themeColor="text1"/>
          <w14:textFill>
            <w14:solidFill>
              <w14:schemeClr w14:val="tx1"/>
            </w14:solidFill>
          </w14:textFill>
        </w:rPr>
        <w:t>有权人名章。本基金的一切货币收支活动，包括但不限于投资、支付赎回金额、支付基金收益、收取申购款，均需通过本基金的银行账户进行。</w:t>
      </w:r>
    </w:p>
    <w:p w14:paraId="39CFBEBC">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3</w:t>
      </w:r>
      <w:r>
        <w:rPr>
          <w:rFonts w:hint="eastAsia"/>
          <w:color w:val="000000" w:themeColor="text1"/>
          <w14:textFill>
            <w14:solidFill>
              <w14:schemeClr w14:val="tx1"/>
            </w14:solidFill>
          </w14:textFill>
        </w:rPr>
        <w:t>、本基金银行账户的开立和使用，限于满足开展本基金业务的需要。基金托管人和基金管理人不得假借本基金的名义开立其他任何银行账户；亦不得使用本基金的银行账户进行本基金业务以外的活动。</w:t>
      </w:r>
    </w:p>
    <w:p w14:paraId="71D4F8E0">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4</w:t>
      </w:r>
      <w:r>
        <w:rPr>
          <w:rFonts w:hint="eastAsia"/>
          <w:color w:val="000000" w:themeColor="text1"/>
          <w14:textFill>
            <w14:solidFill>
              <w14:schemeClr w14:val="tx1"/>
            </w14:solidFill>
          </w14:textFill>
        </w:rPr>
        <w:t>、本基金托管账户的开立和管理应符合法律法规及银行业监督管理机构的有关规定。</w:t>
      </w:r>
    </w:p>
    <w:p w14:paraId="125CADA0">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（四）基金证券账户和证券资金账户的开设和管理</w:t>
      </w:r>
    </w:p>
    <w:p w14:paraId="087D9D88">
      <w:pPr>
        <w:spacing w:line="360" w:lineRule="auto"/>
        <w:ind w:firstLine="42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、基金托管人应当代表本基金，以基金托管人和本基金联名的方式在中国证券登记结算有限责任公司开设证券账户。</w:t>
      </w:r>
    </w:p>
    <w:p w14:paraId="56112C0B">
      <w:pPr>
        <w:spacing w:line="360" w:lineRule="auto"/>
        <w:ind w:firstLine="42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、本基金证券账户的开立和使用，限于满足开展本基金业务的需要。基金托管人和基金管理人不得出借或未经另一方同意擅自转让本基金的证券账户；亦不得使用本基金的证券账户进行本基金业务以外的活动。</w:t>
      </w:r>
    </w:p>
    <w:p w14:paraId="6BD38054">
      <w:pPr>
        <w:spacing w:line="360" w:lineRule="auto"/>
        <w:ind w:firstLine="420"/>
        <w:rPr>
          <w:color w:val="000000" w:themeColor="text1"/>
          <w14:textFill>
            <w14:solidFill>
              <w14:schemeClr w14:val="tx1"/>
            </w14:solidFill>
          </w14:textFill>
        </w:rPr>
      </w:pPr>
      <w:r>
        <w:rPr>
          <w:color w:val="000000" w:themeColor="text1"/>
          <w14:textFill>
            <w14:solidFill>
              <w14:schemeClr w14:val="tx1"/>
            </w14:solidFill>
          </w14:textFill>
        </w:rPr>
        <w:t>3</w:t>
      </w:r>
      <w:r>
        <w:rPr>
          <w:rFonts w:hint="eastAsia"/>
          <w:color w:val="000000" w:themeColor="text1"/>
          <w14:textFill>
            <w14:solidFill>
              <w14:schemeClr w14:val="tx1"/>
            </w14:solidFill>
          </w14:textFill>
        </w:rPr>
        <w:t>、</w:t>
      </w:r>
      <w:r>
        <w:rPr>
          <w:rFonts w:hint="eastAsia"/>
          <w:color w:val="000000" w:themeColor="text1"/>
          <w:szCs w:val="21"/>
          <w14:textFill>
            <w14:solidFill>
              <w14:schemeClr w14:val="tx1"/>
            </w14:solidFill>
          </w14:textFill>
        </w:rPr>
        <w:t>基金证券账户的开立由基金托管人负责，账户资产的管理和运用由基金管理人负责。</w:t>
      </w:r>
    </w:p>
    <w:p w14:paraId="2BEF0AA8">
      <w:pPr>
        <w:spacing w:line="360" w:lineRule="auto"/>
        <w:ind w:firstLine="424" w:firstLineChars="202"/>
        <w:rPr>
          <w:color w:val="000000" w:themeColor="text1"/>
          <w14:textFill>
            <w14:solidFill>
              <w14:schemeClr w14:val="tx1"/>
            </w14:solidFill>
          </w14:textFill>
        </w:rPr>
      </w:pPr>
      <w:r>
        <w:rPr>
          <w:color w:val="000000" w:themeColor="text1"/>
          <w14:textFill>
            <w14:solidFill>
              <w14:schemeClr w14:val="tx1"/>
            </w14:solidFill>
          </w14:textFill>
        </w:rPr>
        <w:t>4</w:t>
      </w:r>
      <w:r>
        <w:rPr>
          <w:rFonts w:hint="eastAsia"/>
          <w:color w:val="000000" w:themeColor="text1"/>
          <w14:textFill>
            <w14:solidFill>
              <w14:schemeClr w14:val="tx1"/>
            </w14:solidFill>
          </w14:textFill>
        </w:rPr>
        <w:t>、证券账户开立后，证券经纪商选择指定营业网点为本基金开立证券资金账户，并通知基金托管人，该证券资金账户与基金银行账户之间建立银证转账对应关系。</w:t>
      </w:r>
    </w:p>
    <w:p w14:paraId="0C78977E">
      <w:pPr>
        <w:spacing w:line="360" w:lineRule="auto"/>
        <w:ind w:firstLine="424" w:firstLineChars="202"/>
        <w:rPr>
          <w:color w:val="000000" w:themeColor="text1"/>
          <w14:textFill>
            <w14:solidFill>
              <w14:schemeClr w14:val="tx1"/>
            </w14:solidFill>
          </w14:textFill>
        </w:rPr>
      </w:pPr>
      <w:r>
        <w:rPr>
          <w:rFonts w:hint="eastAsia"/>
          <w:color w:val="000000" w:themeColor="text1"/>
          <w14:textFill>
            <w14:solidFill>
              <w14:schemeClr w14:val="tx1"/>
            </w14:solidFill>
          </w14:textFill>
        </w:rPr>
        <w:t>5</w:t>
      </w:r>
      <w:r>
        <w:rPr>
          <w:color w:val="000000" w:themeColor="text1"/>
          <w14:textFill>
            <w14:solidFill>
              <w14:schemeClr w14:val="tx1"/>
            </w14:solidFill>
          </w14:textFill>
        </w:rPr>
        <w:t>、交易所证券交易资金采用第三方存管模式，即用于证券交易结算资金全额存放在基金管理人为基金开设</w:t>
      </w:r>
      <w:r>
        <w:rPr>
          <w:rFonts w:hint="eastAsia"/>
          <w:color w:val="000000" w:themeColor="text1"/>
          <w14:textFill>
            <w14:solidFill>
              <w14:schemeClr w14:val="tx1"/>
            </w14:solidFill>
          </w14:textFill>
        </w:rPr>
        <w:t>的</w:t>
      </w:r>
      <w:r>
        <w:rPr>
          <w:color w:val="000000" w:themeColor="text1"/>
          <w14:textFill>
            <w14:solidFill>
              <w14:schemeClr w14:val="tx1"/>
            </w14:solidFill>
          </w14:textFill>
        </w:rPr>
        <w:t>证券资金账户中，场内的证券交易资金清算由基金管理人所选择的证券公司负责。基金托管人不负责办理场内的证券交易资金清算，也不负责保管证券资金账户内存放的资金。</w:t>
      </w:r>
    </w:p>
    <w:p w14:paraId="095862B1">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6</w:t>
      </w:r>
      <w:r>
        <w:rPr>
          <w:rFonts w:hint="eastAsia"/>
          <w:color w:val="000000" w:themeColor="text1"/>
          <w14:textFill>
            <w14:solidFill>
              <w14:schemeClr w14:val="tx1"/>
            </w14:solidFill>
          </w14:textFill>
        </w:rPr>
        <w:t>、在本托管协议生效日之后，本基金被允许从事其他投资品种的投资业务的，涉及相关账户的开设、使用的，若无相关规定，则基金托管人应当比照并遵守上述关于账户开设、使用的规定。</w:t>
      </w:r>
    </w:p>
    <w:p w14:paraId="1ECED055">
      <w:pPr>
        <w:spacing w:line="360" w:lineRule="auto"/>
        <w:ind w:firstLine="315" w:firstLineChars="150"/>
        <w:rPr>
          <w:color w:val="000000" w:themeColor="text1"/>
          <w14:textFill>
            <w14:solidFill>
              <w14:schemeClr w14:val="tx1"/>
            </w14:solidFill>
          </w14:textFill>
        </w:rPr>
      </w:pPr>
      <w:r>
        <w:rPr>
          <w:rFonts w:hint="eastAsia"/>
          <w:color w:val="000000" w:themeColor="text1"/>
          <w14:textFill>
            <w14:solidFill>
              <w14:schemeClr w14:val="tx1"/>
            </w14:solidFill>
          </w14:textFill>
        </w:rPr>
        <w:t>（五）债券托管账户的开设和管理</w:t>
      </w:r>
    </w:p>
    <w:p w14:paraId="7F1B10E9">
      <w:pPr>
        <w:spacing w:line="360" w:lineRule="auto"/>
        <w:ind w:firstLine="315" w:firstLineChars="150"/>
        <w:rPr>
          <w:color w:val="000000" w:themeColor="text1"/>
          <w14:textFill>
            <w14:solidFill>
              <w14:schemeClr w14:val="tx1"/>
            </w14:solidFill>
          </w14:textFill>
        </w:rPr>
      </w:pPr>
      <w:r>
        <w:rPr>
          <w:rFonts w:hint="eastAsia"/>
          <w:color w:val="000000" w:themeColor="text1"/>
          <w14:textFill>
            <w14:solidFill>
              <w14:schemeClr w14:val="tx1"/>
            </w14:solidFill>
          </w14:textFill>
        </w:rPr>
        <w:t>《基金合同》生效后，基金管理人负责以基金的名义申请并取得进入全国银行间同业拆借市场的交易资格，并代表基金进行交易；基金托管人根据中国人民银行、银行间市场登记结算机构的有关规定，以基金的名义在中央国债登记结算有限责任公司、银行间市场清算所股份有限公司开设银行间债券市场债券托管账户和资金结算专户，并代表基金进行银行间债券市场债券和资金的清算。基金管理人和基金托管人应共同负责完成银行间债券市场准入备案。</w:t>
      </w:r>
    </w:p>
    <w:p w14:paraId="4C64B826">
      <w:pPr>
        <w:spacing w:line="360" w:lineRule="auto"/>
        <w:ind w:firstLine="315" w:firstLineChars="150"/>
        <w:rPr>
          <w:color w:val="000000" w:themeColor="text1"/>
          <w14:textFill>
            <w14:solidFill>
              <w14:schemeClr w14:val="tx1"/>
            </w14:solidFill>
          </w14:textFill>
        </w:rPr>
      </w:pPr>
      <w:r>
        <w:rPr>
          <w:rFonts w:hint="eastAsia"/>
          <w:color w:val="000000" w:themeColor="text1"/>
          <w14:textFill>
            <w14:solidFill>
              <w14:schemeClr w14:val="tx1"/>
            </w14:solidFill>
          </w14:textFill>
        </w:rPr>
        <w:t>（六）期货账户的开设和管理</w:t>
      </w:r>
    </w:p>
    <w:p w14:paraId="4EF96D3C">
      <w:pPr>
        <w:spacing w:line="360" w:lineRule="auto"/>
        <w:ind w:firstLine="525" w:firstLineChars="250"/>
        <w:rPr>
          <w:color w:val="000000" w:themeColor="text1"/>
          <w14:textFill>
            <w14:solidFill>
              <w14:schemeClr w14:val="tx1"/>
            </w14:solidFill>
          </w14:textFill>
        </w:rPr>
      </w:pPr>
      <w:r>
        <w:rPr>
          <w:rFonts w:hint="eastAsia"/>
          <w:color w:val="000000" w:themeColor="text1"/>
          <w14:textFill>
            <w14:solidFill>
              <w14:schemeClr w14:val="tx1"/>
            </w14:solidFill>
          </w14:textFill>
        </w:rPr>
        <w:t>基金管理人根据投资需要按照规定开立期货保证金账户及期货交易编码等。完成上述账户开立后，基金管理人应以书面形式将期货公司提供的期货保证金账户的初始资金密码和市场监控中心的登录用户名及密码告知基金托管人。资金密码和市场监控中心登录密码重置由基金管理人进行，重置后务必及时通知托管人。</w:t>
      </w:r>
    </w:p>
    <w:p w14:paraId="51E0720F">
      <w:pPr>
        <w:spacing w:line="360" w:lineRule="auto"/>
        <w:ind w:firstLine="525" w:firstLineChars="250"/>
        <w:rPr>
          <w:color w:val="000000" w:themeColor="text1"/>
          <w14:textFill>
            <w14:solidFill>
              <w14:schemeClr w14:val="tx1"/>
            </w14:solidFill>
          </w14:textFill>
        </w:rPr>
      </w:pPr>
      <w:r>
        <w:rPr>
          <w:rFonts w:hint="eastAsia"/>
          <w:color w:val="000000" w:themeColor="text1"/>
          <w14:textFill>
            <w14:solidFill>
              <w14:schemeClr w14:val="tx1"/>
            </w14:solidFill>
          </w14:textFill>
        </w:rPr>
        <w:t>基金托管人和基金管理人应当在开户过程中相互配合，并提供所需资料。基金管理人保证所提供的账户开户材料的真实性和有效性，且在相关资料变更后及时将变更的资料提供给基金托管人。</w:t>
      </w:r>
    </w:p>
    <w:p w14:paraId="2A848C6E">
      <w:pPr>
        <w:spacing w:line="360" w:lineRule="auto"/>
        <w:ind w:firstLine="315" w:firstLineChars="150"/>
        <w:rPr>
          <w:color w:val="000000" w:themeColor="text1"/>
          <w14:textFill>
            <w14:solidFill>
              <w14:schemeClr w14:val="tx1"/>
            </w14:solidFill>
          </w14:textFill>
        </w:rPr>
      </w:pPr>
      <w:r>
        <w:rPr>
          <w:rFonts w:hint="eastAsia"/>
          <w:color w:val="000000" w:themeColor="text1"/>
          <w14:textFill>
            <w14:solidFill>
              <w14:schemeClr w14:val="tx1"/>
            </w14:solidFill>
          </w14:textFill>
        </w:rPr>
        <w:t>（七）其他账户的开立和管理</w:t>
      </w:r>
    </w:p>
    <w:p w14:paraId="3A0C2FC7">
      <w:pPr>
        <w:spacing w:line="360" w:lineRule="auto"/>
        <w:ind w:firstLine="525" w:firstLineChars="25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、因业务发展需要而开立的其他账户，可以根据法律法规和</w:t>
      </w:r>
      <w:r>
        <w:rPr>
          <w:rFonts w:hint="eastAsia" w:ascii="宋体" w:hAnsi="Calibri" w:cs="宋体"/>
          <w:color w:val="000000" w:themeColor="text1"/>
          <w:kern w:val="0"/>
          <w:szCs w:val="21"/>
          <w14:textFill>
            <w14:solidFill>
              <w14:schemeClr w14:val="tx1"/>
            </w14:solidFill>
          </w14:textFill>
        </w:rPr>
        <w:t>《基金合同》</w:t>
      </w:r>
      <w:r>
        <w:rPr>
          <w:rFonts w:hint="eastAsia"/>
          <w:color w:val="000000" w:themeColor="text1"/>
          <w14:textFill>
            <w14:solidFill>
              <w14:schemeClr w14:val="tx1"/>
            </w14:solidFill>
          </w14:textFill>
        </w:rPr>
        <w:t>的规定，由基金管理人协助基金托管人按照有关法律法规和本协议的约定协商后开立。新账户按有关规定使用并管理。</w:t>
      </w:r>
    </w:p>
    <w:p w14:paraId="0091BAA4">
      <w:pPr>
        <w:spacing w:line="360" w:lineRule="auto"/>
        <w:ind w:firstLine="525" w:firstLineChars="25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、法律法规等有关规定对相关账户的开立和管理另有规定的，从其规定办理。</w:t>
      </w:r>
    </w:p>
    <w:p w14:paraId="71B1D4C8">
      <w:pPr>
        <w:spacing w:line="360" w:lineRule="auto"/>
        <w:ind w:firstLine="525" w:firstLineChars="250"/>
        <w:rPr>
          <w:color w:val="000000" w:themeColor="text1"/>
          <w14:textFill>
            <w14:solidFill>
              <w14:schemeClr w14:val="tx1"/>
            </w14:solidFill>
          </w14:textFill>
        </w:rPr>
      </w:pPr>
      <w:r>
        <w:rPr>
          <w:rFonts w:hint="eastAsia"/>
          <w:color w:val="000000" w:themeColor="text1"/>
          <w14:textFill>
            <w14:solidFill>
              <w14:schemeClr w14:val="tx1"/>
            </w14:solidFill>
          </w14:textFill>
        </w:rPr>
        <w:t>（八）基金投资银行存款账户的开立和管理</w:t>
      </w:r>
    </w:p>
    <w:p w14:paraId="4E3CE721">
      <w:pPr>
        <w:spacing w:line="360" w:lineRule="auto"/>
        <w:ind w:firstLine="525" w:firstLineChars="250"/>
        <w:rPr>
          <w:color w:val="000000" w:themeColor="text1"/>
          <w14:textFill>
            <w14:solidFill>
              <w14:schemeClr w14:val="tx1"/>
            </w14:solidFill>
          </w14:textFill>
        </w:rPr>
      </w:pPr>
      <w:r>
        <w:rPr>
          <w:rFonts w:hint="eastAsia"/>
          <w:color w:val="000000" w:themeColor="text1"/>
          <w14:textFill>
            <w14:solidFill>
              <w14:schemeClr w14:val="tx1"/>
            </w14:solidFill>
          </w14:textFill>
        </w:rPr>
        <w:t>基金投资银行定期存款应由基金管理人与存款银行总行或其授权分行签订总体合作协议，并将资金存放于存款银行总行或其授权分行指定的分支机构。</w:t>
      </w:r>
    </w:p>
    <w:p w14:paraId="117BC6B7">
      <w:pPr>
        <w:spacing w:line="360" w:lineRule="auto"/>
        <w:ind w:firstLine="525" w:firstLineChars="250"/>
        <w:rPr>
          <w:color w:val="000000" w:themeColor="text1"/>
          <w14:textFill>
            <w14:solidFill>
              <w14:schemeClr w14:val="tx1"/>
            </w14:solidFill>
          </w14:textFill>
        </w:rPr>
      </w:pPr>
      <w:r>
        <w:rPr>
          <w:rFonts w:hint="eastAsia"/>
          <w:color w:val="000000" w:themeColor="text1"/>
          <w14:textFill>
            <w14:solidFill>
              <w14:schemeClr w14:val="tx1"/>
            </w14:solidFill>
          </w14:textFill>
        </w:rPr>
        <w:t>存款账户必须以基金名义开立，账户名称为基金名称，存款账户开户文件上加盖预留印鉴及基金管理人公章。预留印鉴为“中信证券股份有限公司托管业务结算专用章”和</w:t>
      </w:r>
      <w:r>
        <w:rPr>
          <w:rFonts w:hint="eastAsia"/>
        </w:rPr>
        <w:t>基金托管人</w:t>
      </w:r>
      <w:r>
        <w:rPr>
          <w:rFonts w:hint="eastAsia"/>
          <w:color w:val="000000" w:themeColor="text1"/>
          <w14:textFill>
            <w14:solidFill>
              <w14:schemeClr w14:val="tx1"/>
            </w14:solidFill>
          </w14:textFill>
        </w:rPr>
        <w:t>有权人名章。存款证实书原件由托管人负责保管。</w:t>
      </w:r>
    </w:p>
    <w:p w14:paraId="54831945">
      <w:pPr>
        <w:spacing w:line="360" w:lineRule="auto"/>
        <w:ind w:firstLine="525" w:firstLineChars="250"/>
        <w:rPr>
          <w:color w:val="000000" w:themeColor="text1"/>
          <w14:textFill>
            <w14:solidFill>
              <w14:schemeClr w14:val="tx1"/>
            </w14:solidFill>
          </w14:textFill>
        </w:rPr>
      </w:pPr>
      <w:r>
        <w:rPr>
          <w:rFonts w:hint="eastAsia"/>
          <w:color w:val="000000" w:themeColor="text1"/>
          <w14:textFill>
            <w14:solidFill>
              <w14:schemeClr w14:val="tx1"/>
            </w14:solidFill>
          </w14:textFill>
        </w:rPr>
        <w:t>本基金投资银行存款时，基金管理人应当与存款银行签订具体存款协议，明确存款的类型、期限、利率、金额、账号、对账方式、支取方式、账户管理等细则。存款协议</w:t>
      </w:r>
      <w:r>
        <w:rPr>
          <w:rFonts w:hint="eastAsia"/>
          <w:bCs/>
          <w:color w:val="000000" w:themeColor="text1"/>
          <w14:textFill>
            <w14:solidFill>
              <w14:schemeClr w14:val="tx1"/>
            </w14:solidFill>
          </w14:textFill>
        </w:rPr>
        <w:t>须约定将托管人为本基金开立的托管银行账户指定为唯一回款账户，</w:t>
      </w:r>
      <w:r>
        <w:rPr>
          <w:rFonts w:hint="eastAsia"/>
          <w:color w:val="000000" w:themeColor="text1"/>
          <w14:textFill>
            <w14:solidFill>
              <w14:schemeClr w14:val="tx1"/>
            </w14:solidFill>
          </w14:textFill>
        </w:rPr>
        <w:t>任何情况下，存款银行都不得将存款本息划往任何其他账户。</w:t>
      </w:r>
    </w:p>
    <w:p w14:paraId="446D4E26">
      <w:pPr>
        <w:spacing w:line="360" w:lineRule="auto"/>
        <w:ind w:firstLine="525" w:firstLineChars="250"/>
        <w:rPr>
          <w:color w:val="000000" w:themeColor="text1"/>
          <w14:textFill>
            <w14:solidFill>
              <w14:schemeClr w14:val="tx1"/>
            </w14:solidFill>
          </w14:textFill>
        </w:rPr>
      </w:pPr>
      <w:r>
        <w:rPr>
          <w:rFonts w:hint="eastAsia"/>
          <w:color w:val="000000" w:themeColor="text1"/>
          <w14:textFill>
            <w14:solidFill>
              <w14:schemeClr w14:val="tx1"/>
            </w14:solidFill>
          </w14:textFill>
        </w:rPr>
        <w:t>为防范特殊情况下的流动性风险，定期存款协议中应当约定提前支取条款。</w:t>
      </w:r>
    </w:p>
    <w:p w14:paraId="305BD8BB">
      <w:pPr>
        <w:spacing w:line="360" w:lineRule="auto"/>
        <w:ind w:firstLine="525" w:firstLineChars="250"/>
        <w:rPr>
          <w:color w:val="000000" w:themeColor="text1"/>
          <w14:textFill>
            <w14:solidFill>
              <w14:schemeClr w14:val="tx1"/>
            </w14:solidFill>
          </w14:textFill>
        </w:rPr>
      </w:pPr>
      <w:r>
        <w:rPr>
          <w:rFonts w:hint="eastAsia"/>
          <w:color w:val="000000" w:themeColor="text1"/>
          <w14:textFill>
            <w14:solidFill>
              <w14:schemeClr w14:val="tx1"/>
            </w14:solidFill>
          </w14:textFill>
        </w:rPr>
        <w:t>基金所投资定期存款存续期间，基金管理人、基金托管人应当与存款银行建立定期对账机制，确保基金银行存款业务账目及核对的真实、准确。</w:t>
      </w:r>
    </w:p>
    <w:p w14:paraId="4E963801">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（九）基金财产投资的有关有价凭证的保管</w:t>
      </w:r>
    </w:p>
    <w:p w14:paraId="73EF4F6F">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实物证券、银行定期存款存单等有价凭证由基金托管人存放于其档案库</w:t>
      </w:r>
      <w:r>
        <w:rPr>
          <w:rFonts w:hint="eastAsia"/>
        </w:rPr>
        <w:t>或保险柜</w:t>
      </w:r>
      <w:r>
        <w:rPr>
          <w:rFonts w:hint="eastAsia"/>
          <w:color w:val="000000" w:themeColor="text1"/>
          <w14:textFill>
            <w14:solidFill>
              <w14:schemeClr w14:val="tx1"/>
            </w14:solidFill>
          </w14:textFill>
        </w:rPr>
        <w:t>，但要与非本基金的其他有价凭证分开保管。保管凭证由基金托管人持有，基金托管人承担保管职责。</w:t>
      </w:r>
      <w:r>
        <w:rPr>
          <w:rFonts w:hint="eastAsia" w:ascii="宋体" w:hAnsi="Calibri" w:cs="宋体"/>
          <w:color w:val="000000" w:themeColor="text1"/>
          <w:kern w:val="0"/>
          <w:sz w:val="22"/>
          <w:szCs w:val="22"/>
          <w:lang w:val="zh-CN"/>
          <w14:textFill>
            <w14:solidFill>
              <w14:schemeClr w14:val="tx1"/>
            </w14:solidFill>
          </w14:textFill>
        </w:rPr>
        <w:t>基金托管人对由基金托管人以外机构实际有效控制的证券不承担保管责任</w:t>
      </w:r>
      <w:r>
        <w:rPr>
          <w:rFonts w:hint="eastAsia"/>
          <w:color w:val="000000" w:themeColor="text1"/>
          <w14:textFill>
            <w14:solidFill>
              <w14:schemeClr w14:val="tx1"/>
            </w14:solidFill>
          </w14:textFill>
        </w:rPr>
        <w:t>。</w:t>
      </w:r>
    </w:p>
    <w:p w14:paraId="3EC743B2">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（十）与基金财产有关的重大合同及有关凭证的保管</w:t>
      </w:r>
    </w:p>
    <w:p w14:paraId="7D7CCC91">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基金托管人按照法律法规保管由基金管理人代表基金签署的与基金有关的重大合同及有关凭证。基金管理人代表基金签署有关重大合同后应在收到合同正本后</w:t>
      </w:r>
      <w:r>
        <w:rPr>
          <w:color w:val="000000" w:themeColor="text1"/>
          <w14:textFill>
            <w14:solidFill>
              <w14:schemeClr w14:val="tx1"/>
            </w14:solidFill>
          </w14:textFill>
        </w:rPr>
        <w:t>30</w:t>
      </w:r>
      <w:r>
        <w:rPr>
          <w:rFonts w:hint="eastAsia"/>
          <w:color w:val="000000" w:themeColor="text1"/>
          <w14:textFill>
            <w14:solidFill>
              <w14:schemeClr w14:val="tx1"/>
            </w14:solidFill>
          </w14:textFill>
        </w:rPr>
        <w:t>日内将一份正本的原件提交给基金托管人。除本协议另有规定外，基金管理人在代表基金签署与基金有关的重大合同时应保证基金一方持有两份以上的正本，以便基金管理人和基金托管人至少各持有一份正本的原件。重大合同的保管期限不少于法律法规的规定。</w:t>
      </w:r>
    </w:p>
    <w:p w14:paraId="37C0CCC3">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对于无法取得二份以上的正本的，基金管理人应向基金托管人提供与合同原件核对一致的并加盖基金管理人公章的合同传真件或复印件或扫描件，未经双方协商一致，合同原件不得转移。</w:t>
      </w:r>
    </w:p>
    <w:p w14:paraId="7A7C38DE">
      <w:pPr>
        <w:spacing w:line="360" w:lineRule="auto"/>
        <w:ind w:firstLine="420" w:firstLineChars="200"/>
        <w:rPr>
          <w:color w:val="000000" w:themeColor="text1"/>
          <w14:textFill>
            <w14:solidFill>
              <w14:schemeClr w14:val="tx1"/>
            </w14:solidFill>
          </w14:textFill>
        </w:rPr>
      </w:pPr>
    </w:p>
    <w:p w14:paraId="0A9E894C">
      <w:pPr>
        <w:spacing w:line="360" w:lineRule="auto"/>
        <w:ind w:firstLine="420" w:firstLineChars="200"/>
        <w:rPr>
          <w:color w:val="000000" w:themeColor="text1"/>
          <w14:textFill>
            <w14:solidFill>
              <w14:schemeClr w14:val="tx1"/>
            </w14:solidFill>
          </w14:textFill>
        </w:rPr>
      </w:pPr>
    </w:p>
    <w:p w14:paraId="7F05EAC4">
      <w:pPr>
        <w:pStyle w:val="2"/>
        <w:numPr>
          <w:ilvl w:val="0"/>
          <w:numId w:val="1"/>
        </w:numPr>
        <w:spacing w:before="120" w:after="120" w:line="360" w:lineRule="auto"/>
        <w:jc w:val="center"/>
        <w:rPr>
          <w:rFonts w:ascii="宋体"/>
          <w:b w:val="0"/>
          <w:color w:val="000000" w:themeColor="text1"/>
          <w:kern w:val="0"/>
          <w:sz w:val="24"/>
          <w:szCs w:val="24"/>
          <w14:textFill>
            <w14:solidFill>
              <w14:schemeClr w14:val="tx1"/>
            </w14:solidFill>
          </w14:textFill>
        </w:rPr>
      </w:pPr>
      <w:bookmarkStart w:id="10" w:name="_Toc394474001"/>
      <w:bookmarkStart w:id="11" w:name="_Toc881136"/>
      <w:r>
        <w:rPr>
          <w:rFonts w:hint="eastAsia" w:ascii="宋体"/>
          <w:color w:val="000000" w:themeColor="text1"/>
          <w:kern w:val="0"/>
          <w:sz w:val="24"/>
          <w:szCs w:val="24"/>
          <w14:textFill>
            <w14:solidFill>
              <w14:schemeClr w14:val="tx1"/>
            </w14:solidFill>
          </w14:textFill>
        </w:rPr>
        <w:t>指令的发送、确认及执行</w:t>
      </w:r>
      <w:bookmarkEnd w:id="10"/>
      <w:bookmarkEnd w:id="11"/>
    </w:p>
    <w:p w14:paraId="210C7052">
      <w:pPr>
        <w:spacing w:line="360" w:lineRule="auto"/>
        <w:ind w:firstLine="420" w:firstLineChars="200"/>
        <w:rPr>
          <w:color w:val="000000" w:themeColor="text1"/>
          <w14:textFill>
            <w14:solidFill>
              <w14:schemeClr w14:val="tx1"/>
            </w14:solidFill>
          </w14:textFill>
        </w:rPr>
      </w:pPr>
    </w:p>
    <w:p w14:paraId="753DAADD">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基金管理人在运用基金财产时，开展场内证券交易前，基金管理人通过基金银行账户与证券资金账户已建立的第三方存管系统在基金银行账户与证券资金账户之间划款，即银证互转；银证互转由基金托管人根据基金管理人的划款指令执行。</w:t>
      </w:r>
    </w:p>
    <w:p w14:paraId="59D0DF83">
      <w:pPr>
        <w:pStyle w:val="17"/>
        <w:spacing w:line="360" w:lineRule="auto"/>
        <w:ind w:left="450" w:firstLine="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（一）基金管理人对发送指令人员的书面授权</w:t>
      </w:r>
    </w:p>
    <w:p w14:paraId="3D1B8EEA">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基金管理人应当事先向基金托管人发出书面通知（以下称“授权通知”），载明基金管理人有权发送指令的人员名单（以下称“指令发送人员”）及各个人员的权限范围。基金管理人应向基金托管人提供预留印鉴样本、指令发送人员的名章样本和签字样本。</w:t>
      </w:r>
    </w:p>
    <w:p w14:paraId="6546772E">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基金管理人向基金托管人发出的授权通知应由基金管理人法定代表人或授权代表签字并加盖公章，若由授权签字人签署，应附上基金管理人法定代表人的授权书。基金托管人在收到授权文件原件并经电话确认后，授权文件即生效。如果授权文件中载明具体生效时间的，该生效时间不得早于基金托管人收到授权文件并经电话确认的时点。如早于前述时间，则以基金托管人收到授权文件并经电话确认的时点为授权文件的生效时间。</w:t>
      </w:r>
    </w:p>
    <w:p w14:paraId="5B570730">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对于基金管理人拟通过基金托管人电子服务平台发送划款指令的，基金管理人需与基金托管人签署相关服务协议，并提供授权文件及其他基金托管人要求的材料，由基金托管人为基金管理人的被授权人在电子服务平台配置相关操作权限。</w:t>
      </w:r>
    </w:p>
    <w:p w14:paraId="34BB905C">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对于基金管理人通过深证通金融数据交换平台电子直连的方式向托管人发出划款指令的（以下简称“深证通电子直连”），基金管理人应确保划款指令合法有效。对于已通过深证通数据接口识别并进入基金托管人指令系统的划款指令，基金管理人不可否认其效力，并视为已通过基金管理人的适当授权。</w:t>
      </w:r>
    </w:p>
    <w:p w14:paraId="1A9DDDAF">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3</w:t>
      </w:r>
      <w:r>
        <w:rPr>
          <w:rFonts w:hint="eastAsia"/>
          <w:color w:val="000000" w:themeColor="text1"/>
          <w14:textFill>
            <w14:solidFill>
              <w14:schemeClr w14:val="tx1"/>
            </w14:solidFill>
          </w14:textFill>
        </w:rPr>
        <w:t>、基金管理人和基金托管人对授权通知及其更改负有保密义务，除法律法规规定或有权机关要求外，其内容不得向指令发送人员及相关操作人员以外的任何人披露、泄露。</w:t>
      </w:r>
    </w:p>
    <w:p w14:paraId="354E4842">
      <w:pPr>
        <w:pStyle w:val="17"/>
        <w:spacing w:line="360" w:lineRule="auto"/>
        <w:ind w:left="450" w:firstLine="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（二）指令的内容</w:t>
      </w:r>
    </w:p>
    <w:p w14:paraId="1736E2F9">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指令包括付款指令（含赎回、分红付款指令、银行间业务划款指令）以及其他资金划拨指令等。对于通过传真或电子邮件发送扫描件方式发送的指令，基金管理人发送给基金托管人的划款指令应写明以下要素：资金用途、支付时间、金额、账户信息等，加盖预留印鉴并由被授权人签字或加盖名章；对于通过深证通电子直连方式发送的指令、电子服务平台发送的划款指令或由电子平台推送给基金管理人并需基金管理人确认后才能发送的划款指令，基金管理人的被授权人向基金托管人发送划款指令时应写明以下要素：资金用途、支付时间、金额、账户信息等（以上内容统称为“划款指令的书面要素”）。相关登记结算公司向基金托管人发送的结算通知视为基金管理人向基金托管人发出的指令。</w:t>
      </w:r>
    </w:p>
    <w:p w14:paraId="2FAE1983">
      <w:pPr>
        <w:pStyle w:val="17"/>
        <w:ind w:left="450" w:firstLine="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（三）指令的发送、确认和执行</w:t>
      </w:r>
    </w:p>
    <w:p w14:paraId="45159320">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、指令由“授权通知”确定的指令发送人员代表基金管理人</w:t>
      </w:r>
      <w:r>
        <w:rPr>
          <w:rFonts w:hint="eastAsia"/>
          <w:color w:val="000000" w:themeColor="text1"/>
          <w:szCs w:val="21"/>
          <w14:textFill>
            <w14:solidFill>
              <w14:schemeClr w14:val="tx1"/>
            </w14:solidFill>
          </w14:textFill>
        </w:rPr>
        <w:t>通过</w:t>
      </w:r>
      <w:r>
        <w:rPr>
          <w:rFonts w:hint="eastAsia"/>
          <w:color w:val="000000" w:themeColor="text1"/>
          <w14:textFill>
            <w14:solidFill>
              <w14:schemeClr w14:val="tx1"/>
            </w14:solidFill>
          </w14:textFill>
        </w:rPr>
        <w:t>传真、电子邮件发送扫描件、深证通电子直连或电子服务平台的方式向基金托管人发送。对于指令发送人员发出的指令，基金管理人不得否认其效力。</w:t>
      </w:r>
    </w:p>
    <w:p w14:paraId="67BA18FA">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基金管理人应按照《基金合同》和有关法律法规的规定，在其合法的经营权限和交易权限内，并依据相关业务规则发送指令。对于通过传真或电子邮件发送扫描件方式发送的划款指令，基金管理人有义务在发送划款指令后及时与基金托管人进行录音电话确认。因基金管理人未能及时与基金托管人进行指令确认</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致使资金未能及时到账所造成的损失不由基金托管人承担。对于通过深证通电子直连或电子服务平台发送的划款指令，基金管理人需在划款指令跟踪界面查看划款指令是否完成。如果由于基金托管人自身过错影响资金未能及时到账所造成的损失由基金托管人承担。</w:t>
      </w:r>
    </w:p>
    <w:p w14:paraId="695D0D4D">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3</w:t>
      </w:r>
      <w:r>
        <w:rPr>
          <w:rFonts w:hint="eastAsia"/>
          <w:color w:val="000000" w:themeColor="text1"/>
          <w14:textFill>
            <w14:solidFill>
              <w14:schemeClr w14:val="tx1"/>
            </w14:solidFill>
          </w14:textFill>
        </w:rPr>
        <w:t>、基金托管人在接受指令时，应对投资指令的书面要素进行表面一致性形式审查，并根据《基金合同》和有关法律法规的规定对指令的内容合规性进行检查。对于通过传真或电子邮件发送扫描件方式发送的指令，基金托管人表面一致性形式审查的方式限于验证划款指令的前述书面要素是否齐全、审核划款指令用章和签发人的签字或名章是否与预留印鉴样本、被授权人的签字样本或名章样本相符、操作权限是否与授权文件一致；对于通过深证通电子直连或电子服务平台方式发送的划款指令，视为由基金管理人有效被授权人发送，基金托管人形式审查的方式限于验证划款指令的前述书面要素是否齐全。对表面一致性形式审查无误、合法合规的指令，基金托管人应在规定期限内执行，不得延误。</w:t>
      </w:r>
    </w:p>
    <w:p w14:paraId="31D4450D">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4</w:t>
      </w:r>
      <w:r>
        <w:rPr>
          <w:rFonts w:hint="eastAsia"/>
          <w:color w:val="000000" w:themeColor="text1"/>
          <w14:textFill>
            <w14:solidFill>
              <w14:schemeClr w14:val="tx1"/>
            </w14:solidFill>
          </w14:textFill>
        </w:rPr>
        <w:t>、基金管理人应在交易结束后将银行间同业市场债券交易成交单经有权人员签字并加盖印章后及时传真或通过其他双方认可的方式提供给基金托管人。</w:t>
      </w:r>
    </w:p>
    <w:p w14:paraId="3769C3CA">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5</w:t>
      </w:r>
      <w:r>
        <w:rPr>
          <w:rFonts w:hint="eastAsia"/>
          <w:color w:val="000000" w:themeColor="text1"/>
          <w14:textFill>
            <w14:solidFill>
              <w14:schemeClr w14:val="tx1"/>
            </w14:solidFill>
          </w14:textFill>
        </w:rPr>
        <w:t>、基金管理人在发送指令时，应为基金托管人执行指令留出执行指令时所必需的时间。发送指令日完成划款的指令，基金管理人应给基金托管人预留至少距划款截至时点</w:t>
      </w:r>
      <w:r>
        <w:rPr>
          <w:color w:val="000000" w:themeColor="text1"/>
          <w14:textFill>
            <w14:solidFill>
              <w14:schemeClr w14:val="tx1"/>
            </w14:solidFill>
          </w14:textFill>
        </w:rPr>
        <w:t>2</w:t>
      </w:r>
      <w:r>
        <w:rPr>
          <w:rFonts w:hint="eastAsia"/>
          <w:color w:val="000000" w:themeColor="text1"/>
          <w14:textFill>
            <w14:solidFill>
              <w14:schemeClr w14:val="tx1"/>
            </w14:solidFill>
          </w14:textFill>
        </w:rPr>
        <w:t>个工作小时（工作时间：工作日</w:t>
      </w:r>
      <w:r>
        <w:rPr>
          <w:color w:val="000000" w:themeColor="text1"/>
          <w14:textFill>
            <w14:solidFill>
              <w14:schemeClr w14:val="tx1"/>
            </w14:solidFill>
          </w14:textFill>
        </w:rPr>
        <w:t>9</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00-11</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30</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13</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00-17</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00</w:t>
      </w:r>
      <w:r>
        <w:rPr>
          <w:rFonts w:hint="eastAsia"/>
          <w:color w:val="000000" w:themeColor="text1"/>
          <w14:textFill>
            <w14:solidFill>
              <w14:schemeClr w14:val="tx1"/>
            </w14:solidFill>
          </w14:textFill>
        </w:rPr>
        <w:t>）的指令执行时间。因基金管理人原因导致指令传输不及时而未能留出足够的执行时间，致使指令未能及时执行所造成的损失由基金管理人承担。</w:t>
      </w:r>
    </w:p>
    <w:p w14:paraId="6F88DB78">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6</w:t>
      </w:r>
      <w:r>
        <w:rPr>
          <w:rFonts w:hint="eastAsia"/>
          <w:color w:val="000000" w:themeColor="text1"/>
          <w14:textFill>
            <w14:solidFill>
              <w14:schemeClr w14:val="tx1"/>
            </w14:solidFill>
          </w14:textFill>
        </w:rPr>
        <w:t>、对于</w:t>
      </w:r>
      <w:r>
        <w:rPr>
          <w:color w:val="000000" w:themeColor="text1"/>
          <w14:textFill>
            <w14:solidFill>
              <w14:schemeClr w14:val="tx1"/>
            </w14:solidFill>
          </w14:textFill>
        </w:rPr>
        <w:t>T</w:t>
      </w:r>
      <w:r>
        <w:rPr>
          <w:rFonts w:hint="eastAsia"/>
          <w:color w:val="000000" w:themeColor="text1"/>
          <w14:textFill>
            <w14:solidFill>
              <w14:schemeClr w14:val="tx1"/>
            </w14:solidFill>
          </w14:textFill>
        </w:rPr>
        <w:t>日交收的投资交易，基金管理人应于</w:t>
      </w:r>
      <w:r>
        <w:rPr>
          <w:color w:val="000000" w:themeColor="text1"/>
          <w14:textFill>
            <w14:solidFill>
              <w14:schemeClr w14:val="tx1"/>
            </w14:solidFill>
          </w14:textFill>
        </w:rPr>
        <w:t>T</w:t>
      </w:r>
      <w:r>
        <w:rPr>
          <w:rFonts w:hint="eastAsia"/>
          <w:color w:val="000000" w:themeColor="text1"/>
          <w14:textFill>
            <w14:solidFill>
              <w14:schemeClr w14:val="tx1"/>
            </w14:solidFill>
          </w14:textFill>
        </w:rPr>
        <w:t>日</w:t>
      </w:r>
      <w:r>
        <w:rPr>
          <w:color w:val="000000" w:themeColor="text1"/>
          <w14:textFill>
            <w14:solidFill>
              <w14:schemeClr w14:val="tx1"/>
            </w14:solidFill>
          </w14:textFill>
        </w:rPr>
        <w:t>15:00</w:t>
      </w:r>
      <w:r>
        <w:rPr>
          <w:rFonts w:hint="eastAsia"/>
          <w:color w:val="000000" w:themeColor="text1"/>
          <w14:textFill>
            <w14:solidFill>
              <w14:schemeClr w14:val="tx1"/>
            </w14:solidFill>
          </w14:textFill>
        </w:rPr>
        <w:t>之前发送指令至基金托管人并进行电话确认，基金托管人应根据本协议要求按投资指令执行。</w:t>
      </w:r>
      <w:r>
        <w:rPr>
          <w:color w:val="000000" w:themeColor="text1"/>
          <w14:textFill>
            <w14:solidFill>
              <w14:schemeClr w14:val="tx1"/>
            </w14:solidFill>
          </w14:textFill>
        </w:rPr>
        <w:t>15:00</w:t>
      </w:r>
      <w:r>
        <w:rPr>
          <w:rFonts w:hint="eastAsia"/>
          <w:color w:val="000000" w:themeColor="text1"/>
          <w14:textFill>
            <w14:solidFill>
              <w14:schemeClr w14:val="tx1"/>
            </w14:solidFill>
          </w14:textFill>
        </w:rPr>
        <w:t>之后发送的，基金托管人尽力执行但不保证执行成功，由于基金管理人未能在规定时间内向基金托管人发送指令导致划付失败的，由基金管理人承担该责任，基金托管人不承担该责任。</w:t>
      </w:r>
    </w:p>
    <w:p w14:paraId="7058888C">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7</w:t>
      </w:r>
      <w:r>
        <w:rPr>
          <w:rFonts w:hint="eastAsia"/>
          <w:color w:val="000000" w:themeColor="text1"/>
          <w14:textFill>
            <w14:solidFill>
              <w14:schemeClr w14:val="tx1"/>
            </w14:solidFill>
          </w14:textFill>
        </w:rPr>
        <w:t>、基金管理人应确保基金托管人在执行指令时基金的银行存款账户有足够的资金余额，确保基金的证券账户有足够的证券余额。对超头寸的指令，以及超过证券账户证券余额的指令，基金托管人可不予执行，但应立即通知基金管理人，由此造成的损失，由基金管理人承担。</w:t>
      </w:r>
    </w:p>
    <w:p w14:paraId="0F7B49BD">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（四）基金管理人发送错误指令的情形和处理程序</w:t>
      </w:r>
    </w:p>
    <w:p w14:paraId="07C89A46">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基金管理人发送错误指令的情形包括指令违反法律法规和本协议，指令发送人员无权或超越权限发送指令，指令发送人员发送的指令不能辨识或投资指令的要素不全导致无法执行等情形。</w:t>
      </w:r>
    </w:p>
    <w:p w14:paraId="35D33544">
      <w:pPr>
        <w:spacing w:line="360" w:lineRule="auto"/>
        <w:ind w:firstLine="315" w:firstLineChars="150"/>
        <w:rPr>
          <w:color w:val="000000" w:themeColor="text1"/>
          <w14:textFill>
            <w14:solidFill>
              <w14:schemeClr w14:val="tx1"/>
            </w14:solidFill>
          </w14:textFill>
        </w:rPr>
      </w:pPr>
      <w:r>
        <w:rPr>
          <w:rFonts w:hint="eastAsia"/>
          <w:color w:val="000000" w:themeColor="text1"/>
          <w14:textFill>
            <w14:solidFill>
              <w14:schemeClr w14:val="tx1"/>
            </w14:solidFill>
          </w14:textFill>
        </w:rPr>
        <w:t>基金托管人在履行监督职能时，发现基金管理人的指令错误时，有权拒绝执行，并及时通知基金管理人改正。基金管理人如需撤销指令，应在基金托管人执行指令之前出具书面撤销说明或在原指令上注明“作废”，并加盖预留印鉴发送给基金托管人，并与基金托管人进行电话确认，基金托管人确认后，该书面撤回的说明或指令生效。如果基金托管人在收到书面撤销的说明或指令前已执行原指令，由此造成的损失由基金管理人承担。</w:t>
      </w:r>
    </w:p>
    <w:p w14:paraId="02AF3046">
      <w:pPr>
        <w:spacing w:line="360" w:lineRule="auto"/>
        <w:ind w:firstLine="315" w:firstLineChars="150"/>
        <w:rPr>
          <w:color w:val="000000" w:themeColor="text1"/>
          <w14:textFill>
            <w14:solidFill>
              <w14:schemeClr w14:val="tx1"/>
            </w14:solidFill>
          </w14:textFill>
        </w:rPr>
      </w:pPr>
      <w:r>
        <w:rPr>
          <w:rFonts w:hint="eastAsia"/>
          <w:color w:val="000000" w:themeColor="text1"/>
          <w14:textFill>
            <w14:solidFill>
              <w14:schemeClr w14:val="tx1"/>
            </w14:solidFill>
          </w14:textFill>
        </w:rPr>
        <w:t>（五）基金托管人依照法律法规暂缓、拒绝执行指令的情形和处理程序</w:t>
      </w:r>
    </w:p>
    <w:p w14:paraId="15DB943F">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基金托管人发现基金管理人的指令违法、违规的，有权不予执行，并及时书面通知基金管理人纠正。基金管理人收到通知后应及时核对，并以书面形式对基金托管人发出回函确认，基金管理人未予书面回函确认的，也视为同意基金托管人的处理，由此造成的损失由基金管理人承担。</w:t>
      </w:r>
    </w:p>
    <w:p w14:paraId="23D2EBD0">
      <w:pPr>
        <w:spacing w:line="360" w:lineRule="auto"/>
        <w:ind w:firstLine="315" w:firstLineChars="15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（六）基金托管人未按照基金管理人指令执行的处理方法</w:t>
      </w:r>
    </w:p>
    <w:p w14:paraId="6DAD5A82">
      <w:pPr>
        <w:spacing w:line="360" w:lineRule="auto"/>
        <w:ind w:firstLine="315" w:firstLineChars="150"/>
        <w:rPr>
          <w:color w:val="000000" w:themeColor="text1"/>
          <w14:textFill>
            <w14:solidFill>
              <w14:schemeClr w14:val="tx1"/>
            </w14:solidFill>
          </w14:textFill>
        </w:rPr>
      </w:pPr>
      <w:r>
        <w:rPr>
          <w:rFonts w:hint="eastAsia"/>
          <w:color w:val="000000" w:themeColor="text1"/>
          <w14:textFill>
            <w14:solidFill>
              <w14:schemeClr w14:val="tx1"/>
            </w14:solidFill>
          </w14:textFill>
        </w:rPr>
        <w:t>对于基金管理人的有效指令和通知，除非违反法律法规、</w:t>
      </w:r>
      <w:r>
        <w:rPr>
          <w:rFonts w:hint="eastAsia" w:ascii="宋体" w:hAnsi="Calibri" w:cs="宋体"/>
          <w:color w:val="000000" w:themeColor="text1"/>
          <w:kern w:val="0"/>
          <w:szCs w:val="21"/>
          <w14:textFill>
            <w14:solidFill>
              <w14:schemeClr w14:val="tx1"/>
            </w14:solidFill>
          </w14:textFill>
        </w:rPr>
        <w:t>《基金合同》</w:t>
      </w:r>
      <w:r>
        <w:rPr>
          <w:rFonts w:hint="eastAsia"/>
          <w:color w:val="000000" w:themeColor="text1"/>
          <w14:textFill>
            <w14:solidFill>
              <w14:schemeClr w14:val="tx1"/>
            </w14:solidFill>
          </w14:textFill>
        </w:rPr>
        <w:t>、托管协议，基金托管人不得无故拒绝或拖延执行。基金托管人因过错未按照基金管理人符合法律法规、</w:t>
      </w:r>
      <w:r>
        <w:rPr>
          <w:rFonts w:hint="eastAsia" w:ascii="宋体" w:hAnsi="Calibri" w:cs="宋体"/>
          <w:color w:val="000000" w:themeColor="text1"/>
          <w:kern w:val="0"/>
          <w:szCs w:val="21"/>
          <w14:textFill>
            <w14:solidFill>
              <w14:schemeClr w14:val="tx1"/>
            </w14:solidFill>
          </w14:textFill>
        </w:rPr>
        <w:t>《基金合同》</w:t>
      </w:r>
      <w:r>
        <w:rPr>
          <w:rFonts w:hint="eastAsia"/>
          <w:color w:val="000000" w:themeColor="text1"/>
          <w14:textFill>
            <w14:solidFill>
              <w14:schemeClr w14:val="tx1"/>
            </w14:solidFill>
          </w14:textFill>
        </w:rPr>
        <w:t>及本协议规定的有效指令执行或拖延执行基金管理人的前述有效指令，致使基金的利益受到损害的，基金托管人应负赔偿责任。</w:t>
      </w:r>
    </w:p>
    <w:p w14:paraId="2E76262A">
      <w:pPr>
        <w:spacing w:line="360" w:lineRule="auto"/>
        <w:ind w:firstLine="315" w:firstLineChars="150"/>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（七）被授权人员及授权权限的变更</w:t>
      </w:r>
      <w:r>
        <w:rPr>
          <w:color w:val="000000" w:themeColor="text1"/>
          <w14:textFill>
            <w14:solidFill>
              <w14:schemeClr w14:val="tx1"/>
            </w14:solidFill>
          </w14:textFill>
        </w:rPr>
        <w:tab/>
      </w:r>
    </w:p>
    <w:p w14:paraId="05A2D355">
      <w:pPr>
        <w:spacing w:line="360" w:lineRule="auto"/>
        <w:ind w:firstLine="420" w:firstLineChars="200"/>
        <w:rPr>
          <w:color w:val="000000" w:themeColor="text1"/>
          <w:szCs w:val="21"/>
          <w14:textFill>
            <w14:solidFill>
              <w14:schemeClr w14:val="tx1"/>
            </w14:solidFill>
          </w14:textFill>
        </w:rPr>
      </w:pPr>
      <w:r>
        <w:rPr>
          <w:rFonts w:hint="eastAsia"/>
          <w:color w:val="000000" w:themeColor="text1"/>
          <w14:textFill>
            <w14:solidFill>
              <w14:schemeClr w14:val="tx1"/>
            </w14:solidFill>
          </w14:textFill>
        </w:rPr>
        <w:t>基金管理人若对授权通知的内容进行修改（包括但不限于指令发送人员的名单的修改，及</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或权限的修改），应当至少提前</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个工作日通知基金托管人；修改授权通知的文件应由基金管理人加盖公章并由其法定代表人或授权代表签字（如是授权代表，需要由法定代表人出具授权书）。基金管理人对授权通知的修改应当至少提前</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个工作日以传真的形式发送给基金托管人，同时电话通知基金托管人，基金托管人收到变更通知后应向基金管理人电话确认。基金管理人对授权通知的内容的修改自通知送达基金托管人并经基金托管人确认无异议之时起生效。基金管理人在此后</w:t>
      </w:r>
      <w:r>
        <w:rPr>
          <w:color w:val="000000" w:themeColor="text1"/>
          <w14:textFill>
            <w14:solidFill>
              <w14:schemeClr w14:val="tx1"/>
            </w14:solidFill>
          </w14:textFill>
        </w:rPr>
        <w:t>3</w:t>
      </w:r>
      <w:r>
        <w:rPr>
          <w:rFonts w:hint="eastAsia"/>
          <w:color w:val="000000" w:themeColor="text1"/>
          <w14:textFill>
            <w14:solidFill>
              <w14:schemeClr w14:val="tx1"/>
            </w14:solidFill>
          </w14:textFill>
        </w:rPr>
        <w:t>个工作日内将对授权通知修改的文件原件送交基金托管人，原件与传真件不一致的，基金托管人应及时与基金管理人联系予以确认，在确认前基金托管人以传真件为准执行指令，由此产生的责任由基金管理人承担。基金管理人更换被授权人通知生效后，对于已被撤换的人员无权发送的指令，或被改变授权人员超权限发送的指令，基金托管人不予执行。如因托管人过错造成损失的，由托管人承担责任。</w:t>
      </w:r>
    </w:p>
    <w:p w14:paraId="52920E96">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（八）其他事项</w:t>
      </w:r>
    </w:p>
    <w:p w14:paraId="48467EDD">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除因其自身故意或重大过失原因致使基金的利益受到损害而负赔偿责任外，基金托管人按照法律法规、本协议的规定执行基金管理人指令而引起的任何损失，基金托管人不负赔偿责任。</w:t>
      </w:r>
    </w:p>
    <w:p w14:paraId="537DAD1D">
      <w:pPr>
        <w:pStyle w:val="2"/>
        <w:numPr>
          <w:ilvl w:val="0"/>
          <w:numId w:val="1"/>
        </w:numPr>
        <w:spacing w:before="120" w:after="120" w:line="360" w:lineRule="auto"/>
        <w:jc w:val="center"/>
        <w:rPr>
          <w:rFonts w:ascii="宋体"/>
          <w:b w:val="0"/>
          <w:color w:val="000000" w:themeColor="text1"/>
          <w:kern w:val="0"/>
          <w:sz w:val="24"/>
          <w:szCs w:val="24"/>
          <w14:textFill>
            <w14:solidFill>
              <w14:schemeClr w14:val="tx1"/>
            </w14:solidFill>
          </w14:textFill>
        </w:rPr>
      </w:pPr>
      <w:bookmarkStart w:id="12" w:name="_Toc421544159"/>
      <w:bookmarkEnd w:id="12"/>
      <w:bookmarkStart w:id="13" w:name="_Toc394474002"/>
      <w:bookmarkStart w:id="14" w:name="_Toc881137"/>
      <w:r>
        <w:rPr>
          <w:rFonts w:hint="eastAsia" w:ascii="宋体"/>
          <w:color w:val="000000" w:themeColor="text1"/>
          <w:kern w:val="0"/>
          <w:sz w:val="24"/>
          <w:szCs w:val="24"/>
          <w14:textFill>
            <w14:solidFill>
              <w14:schemeClr w14:val="tx1"/>
            </w14:solidFill>
          </w14:textFill>
        </w:rPr>
        <w:t>交易及清算交收安排</w:t>
      </w:r>
      <w:bookmarkEnd w:id="13"/>
      <w:bookmarkEnd w:id="14"/>
    </w:p>
    <w:p w14:paraId="176720A8">
      <w:pPr>
        <w:pStyle w:val="17"/>
        <w:ind w:left="450" w:firstLine="0" w:firstLineChars="0"/>
        <w:rPr>
          <w:color w:val="000000" w:themeColor="text1"/>
          <w14:textFill>
            <w14:solidFill>
              <w14:schemeClr w14:val="tx1"/>
            </w14:solidFill>
          </w14:textFill>
        </w:rPr>
      </w:pPr>
    </w:p>
    <w:p w14:paraId="6A5C8ED1">
      <w:pPr>
        <w:spacing w:line="360" w:lineRule="auto"/>
        <w:ind w:firstLine="315" w:firstLineChars="150"/>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（一）基金管理人负责选择代理本基金证券、期货买卖的证券经营机构、期货经纪机构。</w:t>
      </w:r>
    </w:p>
    <w:p w14:paraId="7BDFD432">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、选择代理证券买卖的证券经营机构的标准：</w:t>
      </w:r>
    </w:p>
    <w:p w14:paraId="54DC6E0F">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）资金雄厚，信誉良好。</w:t>
      </w:r>
    </w:p>
    <w:p w14:paraId="277724DF">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2</w:t>
      </w:r>
      <w:r>
        <w:rPr>
          <w:rFonts w:hint="eastAsia"/>
          <w:color w:val="000000" w:themeColor="text1"/>
          <w14:textFill>
            <w14:solidFill>
              <w14:schemeClr w14:val="tx1"/>
            </w14:solidFill>
          </w14:textFill>
        </w:rPr>
        <w:t>）财务状况良好，经营行为规范，最近一年未因重大违规行为而受到有关管理机关的处罚。</w:t>
      </w:r>
    </w:p>
    <w:p w14:paraId="20CE3650">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3</w:t>
      </w:r>
      <w:r>
        <w:rPr>
          <w:rFonts w:hint="eastAsia"/>
          <w:color w:val="000000" w:themeColor="text1"/>
          <w14:textFill>
            <w14:solidFill>
              <w14:schemeClr w14:val="tx1"/>
            </w14:solidFill>
          </w14:textFill>
        </w:rPr>
        <w:t>）内部管理规范、严格，具备健全的内控制度，并能满足本基金运作高度保密的要求。</w:t>
      </w:r>
    </w:p>
    <w:p w14:paraId="2206507D">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4</w:t>
      </w:r>
      <w:r>
        <w:rPr>
          <w:rFonts w:hint="eastAsia"/>
          <w:color w:val="000000" w:themeColor="text1"/>
          <w14:textFill>
            <w14:solidFill>
              <w14:schemeClr w14:val="tx1"/>
            </w14:solidFill>
          </w14:textFill>
        </w:rPr>
        <w:t>）具备基金运作所需的高效、安全的通讯条件，交易设施符合代理基金进行证券交易的需要，并能为基金提供全面的信息服务。</w:t>
      </w:r>
    </w:p>
    <w:p w14:paraId="674A9271">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5</w:t>
      </w:r>
      <w:r>
        <w:rPr>
          <w:rFonts w:hint="eastAsia"/>
          <w:color w:val="000000" w:themeColor="text1"/>
          <w14:textFill>
            <w14:solidFill>
              <w14:schemeClr w14:val="tx1"/>
            </w14:solidFill>
          </w14:textFill>
        </w:rPr>
        <w:t>）研究实力较强，有固定的研究机构和专门研究人员，能及时、定期、全面地为基金提供宏观经济、行业情况、市场走向、证券分析的研究报告及周到的信息服务，并能根据基金投资的特定要求，提供专题研究报告。</w:t>
      </w:r>
    </w:p>
    <w:p w14:paraId="32E0DA62">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2、选择代理证券买卖的证券经营机构的程序</w:t>
      </w:r>
    </w:p>
    <w:p w14:paraId="7726B990">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基金管理人根据以上标准进行考察后确定证券经营机构。基金管理人与基金托管人及证券经纪商签订本基金的证券经纪服务协议，基金管理人、基金托管人和证券经纪商可就基金参与证券交易的具体事项另行签订协议。 </w:t>
      </w:r>
    </w:p>
    <w:p w14:paraId="23A9D2F5">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3、相关信息的通知</w:t>
      </w:r>
    </w:p>
    <w:p w14:paraId="450ECE68">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基金管理人应及时将本基金财产的佣金费率等基本信息以及变更情况及时以书面形式通知基金托管人，以便基金托管人估值核算使用。 </w:t>
      </w:r>
    </w:p>
    <w:p w14:paraId="6411379B">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4</w:t>
      </w:r>
      <w:r>
        <w:rPr>
          <w:rFonts w:hint="eastAsia"/>
          <w:color w:val="000000" w:themeColor="text1"/>
          <w14:textFill>
            <w14:solidFill>
              <w14:schemeClr w14:val="tx1"/>
            </w14:solidFill>
          </w14:textFill>
        </w:rPr>
        <w:t>、基金管理人负责选择代理本基金期货交易的期货经纪机构，并与期货经纪机构、托管人共同签订期货经纪合同，其他事宜根据法律法规、《基金合同》的相关规定执行，若无明确规定的，可参照有关证券买卖、证券经纪机构选择的规则执行。</w:t>
      </w:r>
    </w:p>
    <w:p w14:paraId="038F2E9F">
      <w:pPr>
        <w:spacing w:line="360" w:lineRule="auto"/>
        <w:ind w:firstLine="315" w:firstLineChars="15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（二）基金投资证券后的清算交收安排</w:t>
      </w:r>
    </w:p>
    <w:p w14:paraId="26FC4029">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1、证券交易所资金结算</w:t>
      </w:r>
    </w:p>
    <w:p w14:paraId="363639CA">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本基金通过证券经纪商进行的交易由证券经纪商作为结算参与人代理本基金进行结算；本基金其他证券交易由基金托管人或相关机构负责结算。</w:t>
      </w:r>
    </w:p>
    <w:p w14:paraId="5953CC81">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基金托管人、基金管理人应共同遵守中国证券登记结算有限责任公司（或称为“中登公司”）制定的相关业务规则和规定，该等规则和规定自动成为本条款约定的内容。</w:t>
      </w:r>
    </w:p>
    <w:p w14:paraId="7ED94DB2">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基金管理人在投资前，应充分知晓与理解中登公司针对各类交易品种制定结算业务规则和规定。</w:t>
      </w:r>
    </w:p>
    <w:p w14:paraId="7186A7E3">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证券经纪商代理本基金财产与中登公司完成证券交易及非交易涉及的证券资金结算业务，并承担由证券经纪商原因造成的正常结算、交收业务无法完成的责任；若由于基金管理人原因造成的正常结算业务无法完成，责任由基金管理人承担。</w:t>
      </w:r>
    </w:p>
    <w:p w14:paraId="55E3A3FA">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2、其它场外交易资金结算</w:t>
      </w:r>
    </w:p>
    <w:p w14:paraId="1916990C">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场外资金对外投资划款由基金托管人凭基金管理人符合本托管协议约定的有效资金划拨指令和相关基金合同（如有）进行资金划拨；场外投资本金及收益的划回，由管理人负责协调相关资金划拨回产品托管户事宜。</w:t>
      </w:r>
    </w:p>
    <w:p w14:paraId="12FA1211">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（三）资金、证券账目和交易记录核对</w:t>
      </w:r>
    </w:p>
    <w:p w14:paraId="1E93CC34">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）交易记录的核对</w:t>
      </w:r>
      <w:r>
        <w:rPr>
          <w:color w:val="000000" w:themeColor="text1"/>
          <w14:textFill>
            <w14:solidFill>
              <w14:schemeClr w14:val="tx1"/>
            </w14:solidFill>
          </w14:textFill>
        </w:rPr>
        <w:t xml:space="preserve"> </w:t>
      </w:r>
    </w:p>
    <w:p w14:paraId="270D98F2">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基金管理人按日进行交易记录的核对。每日对外披露净值之前，必须保证当天所有实际交易记录与基金会计账簿上的交易记录完全一致。如果实际交易记录与会计账簿记录不一致，造成基金会计核算不完整或不真实，由此导致的损失由基金管理人承担。</w:t>
      </w:r>
      <w:r>
        <w:rPr>
          <w:color w:val="000000" w:themeColor="text1"/>
          <w14:textFill>
            <w14:solidFill>
              <w14:schemeClr w14:val="tx1"/>
            </w14:solidFill>
          </w14:textFill>
        </w:rPr>
        <w:t xml:space="preserve"> </w:t>
      </w:r>
    </w:p>
    <w:p w14:paraId="4FB13C47">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2</w:t>
      </w:r>
      <w:r>
        <w:rPr>
          <w:rFonts w:hint="eastAsia"/>
          <w:color w:val="000000" w:themeColor="text1"/>
          <w14:textFill>
            <w14:solidFill>
              <w14:schemeClr w14:val="tx1"/>
            </w14:solidFill>
          </w14:textFill>
        </w:rPr>
        <w:t>）资金账目的核对</w:t>
      </w:r>
    </w:p>
    <w:p w14:paraId="5D624AC1">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资金账目按日核实。</w:t>
      </w:r>
    </w:p>
    <w:p w14:paraId="1EDABB96">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3</w:t>
      </w:r>
      <w:r>
        <w:rPr>
          <w:rFonts w:hint="eastAsia"/>
          <w:color w:val="000000" w:themeColor="text1"/>
          <w14:textFill>
            <w14:solidFill>
              <w14:schemeClr w14:val="tx1"/>
            </w14:solidFill>
          </w14:textFill>
        </w:rPr>
        <w:t>）证券账目的核对</w:t>
      </w:r>
    </w:p>
    <w:p w14:paraId="485B2B6E">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基金管理人和基金托管人每交易日结束后核对基金交易所场内证券账目，确保双方账目相符。基金管理人和基金托管人每月月末最后一个交易日核对非交易所场内的证券账目。</w:t>
      </w:r>
    </w:p>
    <w:p w14:paraId="6C9DEECE">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（四）申购、赎回的资金清算</w:t>
      </w:r>
    </w:p>
    <w:p w14:paraId="01DF387F">
      <w:pPr>
        <w:spacing w:line="360" w:lineRule="auto"/>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申购赎回发生的现金替代款、现金差额、现金替代的退款和补款由基金管理人按相关业务规则及合同办理。对于基金申购、赎回过程中产生的应收款，应由基金管理人负责与有关当事人确定到账日期并通知基金托管人，到账日应收款没有到达银行托管账户的，基金托管人应及时通知基金管理人采取措施进行催收，由此给基金造成损失的，基金管理人负责向责任方追偿基金的损失。拨付净应付款时，如基金银行托管账户有足够的资金，基金托管人应按时拨付；因基金银行托管账户没有足够的资金，导致基金托管人不能按时拨付，托管人不承担责任；如系基金管理人的原因造成，责任由基金管理人承担，基金托管人不承担垫款义务。</w:t>
      </w:r>
    </w:p>
    <w:p w14:paraId="6B8703BA">
      <w:pPr>
        <w:spacing w:line="360" w:lineRule="auto"/>
        <w:ind w:firstLine="420"/>
        <w:rPr>
          <w:color w:val="000000" w:themeColor="text1"/>
          <w14:textFill>
            <w14:solidFill>
              <w14:schemeClr w14:val="tx1"/>
            </w14:solidFill>
          </w14:textFill>
        </w:rPr>
      </w:pPr>
    </w:p>
    <w:p w14:paraId="35A6DB21">
      <w:pPr>
        <w:pStyle w:val="2"/>
        <w:numPr>
          <w:ilvl w:val="0"/>
          <w:numId w:val="1"/>
        </w:numPr>
        <w:spacing w:before="120" w:after="120" w:line="360" w:lineRule="auto"/>
        <w:jc w:val="center"/>
        <w:rPr>
          <w:rFonts w:ascii="宋体"/>
          <w:color w:val="000000" w:themeColor="text1"/>
          <w:kern w:val="0"/>
          <w:sz w:val="24"/>
          <w:szCs w:val="24"/>
          <w14:textFill>
            <w14:solidFill>
              <w14:schemeClr w14:val="tx1"/>
            </w14:solidFill>
          </w14:textFill>
        </w:rPr>
      </w:pPr>
      <w:bookmarkStart w:id="15" w:name="_Toc421544161"/>
      <w:bookmarkEnd w:id="15"/>
      <w:bookmarkStart w:id="16" w:name="_Toc394474003"/>
      <w:bookmarkStart w:id="17" w:name="_Toc881138"/>
      <w:r>
        <w:rPr>
          <w:rFonts w:hint="eastAsia" w:ascii="宋体"/>
          <w:color w:val="000000" w:themeColor="text1"/>
          <w:kern w:val="0"/>
          <w:sz w:val="24"/>
          <w:szCs w:val="24"/>
          <w14:textFill>
            <w14:solidFill>
              <w14:schemeClr w14:val="tx1"/>
            </w14:solidFill>
          </w14:textFill>
        </w:rPr>
        <w:t>基金资产净值计算和会计核算</w:t>
      </w:r>
      <w:bookmarkEnd w:id="16"/>
      <w:bookmarkEnd w:id="17"/>
    </w:p>
    <w:p w14:paraId="5D314266">
      <w:pPr>
        <w:pStyle w:val="17"/>
        <w:ind w:left="450" w:firstLine="0" w:firstLineChars="0"/>
        <w:rPr>
          <w:color w:val="000000" w:themeColor="text1"/>
          <w14:textFill>
            <w14:solidFill>
              <w14:schemeClr w14:val="tx1"/>
            </w14:solidFill>
          </w14:textFill>
        </w:rPr>
      </w:pPr>
    </w:p>
    <w:p w14:paraId="45CD32D9">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（一）基金资产净值的计算和复核</w:t>
      </w:r>
    </w:p>
    <w:p w14:paraId="6C2488F8">
      <w:pPr>
        <w:spacing w:line="360" w:lineRule="auto"/>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、基金资产净值</w:t>
      </w:r>
    </w:p>
    <w:p w14:paraId="50A77FA3">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基金资产净值是指基金资产总值减去负债后的价值。</w:t>
      </w:r>
    </w:p>
    <w:p w14:paraId="44D87FA2">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基金份额净值按照每个估值日闭市后，基金资产净值除以当日基金份额的余额数量计算，精确到</w:t>
      </w:r>
      <w:r>
        <w:rPr>
          <w:color w:val="000000" w:themeColor="text1"/>
          <w:szCs w:val="21"/>
          <w14:textFill>
            <w14:solidFill>
              <w14:schemeClr w14:val="tx1"/>
            </w14:solidFill>
          </w14:textFill>
        </w:rPr>
        <w:t>0.0001</w:t>
      </w:r>
      <w:r>
        <w:rPr>
          <w:rFonts w:hint="eastAsia"/>
          <w:color w:val="000000" w:themeColor="text1"/>
          <w:szCs w:val="21"/>
          <w14:textFill>
            <w14:solidFill>
              <w14:schemeClr w14:val="tx1"/>
            </w14:solidFill>
          </w14:textFill>
        </w:rPr>
        <w:t>元，小数点后第五位四舍五入，由此产生的误差计入基金财产。基金管理人可以设立大额赎回情形下的净值精度应急调整机制。法律法规另有规定的，从其规定。</w:t>
      </w:r>
    </w:p>
    <w:p w14:paraId="40A54783">
      <w:pPr>
        <w:spacing w:line="360" w:lineRule="auto"/>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、复核程序</w:t>
      </w:r>
    </w:p>
    <w:p w14:paraId="1FB54861">
      <w:pPr>
        <w:spacing w:line="360" w:lineRule="auto"/>
        <w:ind w:firstLine="42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基金管理人应每个估值日对基金资产估值，但基金管理人根据法律法规或</w:t>
      </w:r>
      <w:r>
        <w:rPr>
          <w:rFonts w:hint="eastAsia" w:ascii="宋体" w:hAnsi="Calibri" w:cs="宋体"/>
          <w:color w:val="000000" w:themeColor="text1"/>
          <w:kern w:val="0"/>
          <w:szCs w:val="21"/>
          <w14:textFill>
            <w14:solidFill>
              <w14:schemeClr w14:val="tx1"/>
            </w14:solidFill>
          </w14:textFill>
        </w:rPr>
        <w:t>《基金合同》</w:t>
      </w:r>
      <w:r>
        <w:rPr>
          <w:rFonts w:hint="eastAsia"/>
          <w:color w:val="000000" w:themeColor="text1"/>
          <w:szCs w:val="21"/>
          <w14:textFill>
            <w14:solidFill>
              <w14:schemeClr w14:val="tx1"/>
            </w14:solidFill>
          </w14:textFill>
        </w:rPr>
        <w:t>的规定暂停估值时除外。估值原则应符合《基金合同》、《证券投资基金会计核算业务指引》及其他法律、法规的规定。用于基金信息披露的基金资产净值和基金份额净值由基金管理人负责计算，基金托管人复核。基金管理人应于每个估值日对基金资产估值后，将基金资产净值、基金份额净值以双方认可的方式发送给基金托管人。基金托管人对净值计算结果复核后以双方认可的方式发送给基金管理人，由基金管理人按规定对基金净值予以公布。</w:t>
      </w:r>
    </w:p>
    <w:p w14:paraId="08A67846">
      <w:pPr>
        <w:spacing w:line="360" w:lineRule="auto"/>
        <w:ind w:firstLine="420"/>
        <w:jc w:val="left"/>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根据《基金法》，基金管理人计算并公告基金资产净值，基金托管人复核、审查基金管</w:t>
      </w:r>
      <w:r>
        <w:rPr>
          <w:rFonts w:hint="eastAsia"/>
          <w:color w:val="000000" w:themeColor="text1"/>
          <w14:textFill>
            <w14:solidFill>
              <w14:schemeClr w14:val="tx1"/>
            </w14:solidFill>
          </w14:textFill>
        </w:rPr>
        <w:t>理人计算的基金资产净值。因此，本基金的会计责任方是基金管理人，就与本基金有关的会计问题，如经相关各方在平等基础上充分讨论后，仍无法达成一致的意见，按照基金管理人对基金资产净值的计算结果对外予以公布。法律法规以及监管部门有强制规定的，从其规定。如有新增事项，按最新规定估值。</w:t>
      </w:r>
    </w:p>
    <w:p w14:paraId="7560D065">
      <w:pPr>
        <w:spacing w:line="360" w:lineRule="auto"/>
        <w:ind w:firstLine="315" w:firstLineChars="150"/>
        <w:rPr>
          <w:color w:val="000000" w:themeColor="text1"/>
          <w14:textFill>
            <w14:solidFill>
              <w14:schemeClr w14:val="tx1"/>
            </w14:solidFill>
          </w14:textFill>
        </w:rPr>
      </w:pPr>
      <w:r>
        <w:rPr>
          <w:rFonts w:hint="eastAsia"/>
          <w:color w:val="000000" w:themeColor="text1"/>
          <w14:textFill>
            <w14:solidFill>
              <w14:schemeClr w14:val="tx1"/>
            </w14:solidFill>
          </w14:textFill>
        </w:rPr>
        <w:t>（二）基金资产估值方法</w:t>
      </w:r>
    </w:p>
    <w:p w14:paraId="1E27B106">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估值对象如下：</w:t>
      </w:r>
    </w:p>
    <w:p w14:paraId="73BEF03E">
      <w:pPr>
        <w:spacing w:line="360" w:lineRule="auto"/>
        <w:ind w:firstLine="420" w:firstLineChars="200"/>
        <w:rPr>
          <w:color w:val="000000" w:themeColor="text1"/>
          <w14:textFill>
            <w14:solidFill>
              <w14:schemeClr w14:val="tx1"/>
            </w14:solidFill>
          </w14:textFill>
        </w:rPr>
      </w:pPr>
      <w:r>
        <w:rPr>
          <w:rStyle w:val="14"/>
          <w:rFonts w:hint="eastAsia"/>
        </w:rPr>
        <w:t>基金所拥有的股票（含存托凭证）、债券、股指期货合约、国债期货合约、股票期权合约和银行存款本息、应收款项、资产支持证券、其它投资等资产及负债。</w:t>
      </w:r>
    </w:p>
    <w:p w14:paraId="298EA0F0">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估值方法如下：</w:t>
      </w:r>
    </w:p>
    <w:p w14:paraId="700461CD">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交易所上市或挂牌转让的有价证券（包括股票等，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7347EA71">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2、对于已上市或已挂牌转让的不含权固定收益品种，选取估值日第三方估值基准服务机构提供的相应品种当日的估值全价进行估值。</w:t>
      </w:r>
    </w:p>
    <w:p w14:paraId="60D42C41">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3、对于已上市或已挂牌转让的含权固定收益品种，选取估值日第三方估值基准服务机构提供的相应品种当日的唯一估值全价或推荐估值全价进行估值。</w:t>
      </w:r>
    </w:p>
    <w:p w14:paraId="69A3711E">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089050A9">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31094C34">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5、对于未上市或未挂牌转让且不存在活跃市场的固定收益品种，应采用在当前情况下适用并且有足够可利用数据和其他信息支持的估值技术确定其公允价值。</w:t>
      </w:r>
    </w:p>
    <w:p w14:paraId="3A4C0A0F">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6、处于未上市期间的股票应区分如下情况处理：</w:t>
      </w:r>
    </w:p>
    <w:p w14:paraId="2A2A1968">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（1）送股、转增股、配股和公开增发的新股，按估值日在证券交易所挂牌的同一股票的估值方法估值；该日无交易的，以最近一日的市价（收盘价）估值；</w:t>
      </w:r>
    </w:p>
    <w:p w14:paraId="4B3073C8">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（2）首次公开发行未上市的股票，采用估值技术确定公允价值；</w:t>
      </w:r>
    </w:p>
    <w:p w14:paraId="319D700A">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312DE3A6">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7、本基金投资存托凭证的估值核算，依照境内上市交易的股票执行。</w:t>
      </w:r>
    </w:p>
    <w:p w14:paraId="062D3091">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8、同一证券同时在两个或两个以上市场交易的，按证券所处的市场分别估值。</w:t>
      </w:r>
    </w:p>
    <w:p w14:paraId="7A46B609">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9、本基金参与股指期货、国债期货合约交易，一般以估值当日结算价确定公允价值，估值当日无结算价的，且最近交易日后未发生影响公允价值计量的重大事件的，采用最近交易日结算价估值。</w:t>
      </w:r>
    </w:p>
    <w:p w14:paraId="10342610">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10、本基金投资股票期权，根据相关法律法规以及监管部门的规定估值。</w:t>
      </w:r>
    </w:p>
    <w:p w14:paraId="11F68E73">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11、本基金参与融资及转融通证券出借业务的，应参照法律法规及行业协会的相关规定进行估值。</w:t>
      </w:r>
    </w:p>
    <w:p w14:paraId="01533B0C">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12、如有确凿证据表明按上述方法进行估值不能客观反映其公允价值的，基金管理人可根据具体情况与基金托管人商定后，按最能反映公允价值的方法估值。</w:t>
      </w:r>
    </w:p>
    <w:p w14:paraId="6367794D">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13、相关法律法规以及监管部门有强制规定的，从其规定。如有新增事项，按国家最新规定估值。</w:t>
      </w:r>
    </w:p>
    <w:p w14:paraId="792BDB16">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如基金管理人或基金托管人发现基金估值违反基金合同订明的估值方法、程序及相关法律法规的规定或者未能充分维护基金份额持有人利益时，应立即通知对方，共同查明原因，双方协商解决。</w:t>
      </w:r>
    </w:p>
    <w:p w14:paraId="36C9621A">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66C54281">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（三）基金份额净值错误的处理方式</w:t>
      </w:r>
    </w:p>
    <w:p w14:paraId="1F921158">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基金管理人和基金托管人将采取必要、适当、合理的措施确保基金资产估值的准确性、及时性。当基金份额净值小数点后4位以内(含第4位)发生估值错误时，视为基金份额净值错误。</w:t>
      </w:r>
    </w:p>
    <w:p w14:paraId="56A572F3">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基金合同的当事人应按照以下约定处理：</w:t>
      </w:r>
    </w:p>
    <w:p w14:paraId="67B0B04A">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1、估值错误类型</w:t>
      </w:r>
    </w:p>
    <w:p w14:paraId="3FC4A722">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45D83A12">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上述估值错误的主要类型包括但不限于：资料申报差错、数据传输差错、数据计算差错、系统故障差错、下达指令差错等。</w:t>
      </w:r>
    </w:p>
    <w:p w14:paraId="5D029C37">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2、估值错误处理原则</w:t>
      </w:r>
    </w:p>
    <w:p w14:paraId="106A1A49">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1C71541B">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（2）估值错误的责任方对有关当事人的直接损失负责，不对间接损失负责，并且仅对估值错误的有关直接当事人负责，不对第三方负责。</w:t>
      </w:r>
    </w:p>
    <w:p w14:paraId="34C90C3E">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20FC9506">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（4）估值错误调整采用尽量恢复至假设未发生估值错误的正确情形的方式。</w:t>
      </w:r>
    </w:p>
    <w:p w14:paraId="63933ABF">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3、估值错误处理程序</w:t>
      </w:r>
    </w:p>
    <w:p w14:paraId="2E91B9EF">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估值错误被发现后，有关的当事人应当及时进行处理，处理的程序如下：</w:t>
      </w:r>
    </w:p>
    <w:p w14:paraId="56E7C1E9">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（1）查明估值错误发生的原因，列明所有的当事人，并根据估值错误发生的原因确定估值错误的责任方；</w:t>
      </w:r>
    </w:p>
    <w:p w14:paraId="64F04780">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（2）根据估值错误处理原则或当事人协商的方法对因估值错误造成的损失进行评估；</w:t>
      </w:r>
    </w:p>
    <w:p w14:paraId="60E1BCC4">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（3）根据估值错误处理原则或当事人协商的方法由估值错误的责任方进行更正和赔偿损失；</w:t>
      </w:r>
    </w:p>
    <w:p w14:paraId="4E4308ED">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（4）根据估值错误处理的方法，需要修改基金登记机构交易数据的，由基金登记机构进行更正，并就估值错误的更正向有关当事人进行确认。</w:t>
      </w:r>
    </w:p>
    <w:p w14:paraId="590CB4A4">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4、基金份额净值估值错误处理的方法如下：</w:t>
      </w:r>
    </w:p>
    <w:p w14:paraId="10E844C1">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（1）基金份额净值计算出现错误时，基金管理人应当立即予以纠正，通报基金托管人，并采取合理的措施防止损失进一步扩大。</w:t>
      </w:r>
    </w:p>
    <w:p w14:paraId="47B8E01A">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）错误偏差达到基金份额净值的</w:t>
      </w:r>
      <w:r>
        <w:rPr>
          <w:color w:val="000000" w:themeColor="text1"/>
          <w:szCs w:val="21"/>
          <w14:textFill>
            <w14:solidFill>
              <w14:schemeClr w14:val="tx1"/>
            </w14:solidFill>
          </w14:textFill>
        </w:rPr>
        <w:t>0.25%</w:t>
      </w:r>
      <w:r>
        <w:rPr>
          <w:rFonts w:hint="eastAsia"/>
          <w:color w:val="000000" w:themeColor="text1"/>
          <w:szCs w:val="21"/>
          <w14:textFill>
            <w14:solidFill>
              <w14:schemeClr w14:val="tx1"/>
            </w14:solidFill>
          </w14:textFill>
        </w:rPr>
        <w:t>时，基金管理人应当通报基金托管人并报中国证监会备案；错误偏差达到基金份额净值的</w:t>
      </w:r>
      <w:r>
        <w:rPr>
          <w:color w:val="000000" w:themeColor="text1"/>
          <w:szCs w:val="21"/>
          <w14:textFill>
            <w14:solidFill>
              <w14:schemeClr w14:val="tx1"/>
            </w14:solidFill>
          </w14:textFill>
        </w:rPr>
        <w:t>0.5%</w:t>
      </w:r>
      <w:r>
        <w:rPr>
          <w:rFonts w:hint="eastAsia"/>
          <w:color w:val="000000" w:themeColor="text1"/>
          <w:szCs w:val="21"/>
          <w14:textFill>
            <w14:solidFill>
              <w14:schemeClr w14:val="tx1"/>
            </w14:solidFill>
          </w14:textFill>
        </w:rPr>
        <w:t>时，基金管理人应当公告，通知基金托管人，并报中国证监会备案。</w:t>
      </w:r>
    </w:p>
    <w:p w14:paraId="7751AE77">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（3）前述内容如法律法规或监管机关另有规定的，从其规定处理。如果行业另有通行做法，基金管理人和基金托管人应本着平等和保护基金份额持有人利益的原则进行协商。</w:t>
      </w:r>
    </w:p>
    <w:p w14:paraId="139EFB8D">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由于本基金的基金会计责任方由基金管理人担任，与本基金有关的会计问题，如经双方在平等基础上充分讨论后，尚不能达成一致的，基金管理人向基金托管人出具加盖公章的书面说明后，按基金管理人的建议执行，由此给基金份额持有人和基金财产造成的损失，由基金管理人负责赔付。</w:t>
      </w:r>
    </w:p>
    <w:p w14:paraId="55250E7D">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5）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基金管理人与基金托管人按照过错责任承担。</w:t>
      </w:r>
    </w:p>
    <w:p w14:paraId="09A9A914">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6）如基金管理人和基金托管人对基金资产净值和基金份额净值的计算结果，虽然多次重新计算和核对仍不能达成一致时，为避免不能按时披露净值的情形，以基金管理人的计算结果对外披露，由此给基金份额持有人和基金造成的损失，基金托管人予以免责。</w:t>
      </w:r>
    </w:p>
    <w:p w14:paraId="4CC82BAC">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7）由于一方当事人提供的信息错误，另一方当事人在采取了必要合理的措施后仍不能发现该错误，进而导致净值计算错误造成基金份额持有人的损失，以及由此造成以后交易日净值计算顺延错误而引起的基金份额持有人的损失，由提供错误信息的当事人一方负责赔偿。</w:t>
      </w:r>
    </w:p>
    <w:p w14:paraId="3640434C">
      <w:pPr>
        <w:spacing w:line="360" w:lineRule="auto"/>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5</w:t>
      </w:r>
      <w:r>
        <w:rPr>
          <w:rFonts w:hint="eastAsia"/>
          <w:color w:val="000000" w:themeColor="text1"/>
          <w:szCs w:val="21"/>
          <w14:textFill>
            <w14:solidFill>
              <w14:schemeClr w14:val="tx1"/>
            </w14:solidFill>
          </w14:textFill>
        </w:rPr>
        <w:t>、特殊情况的处理</w:t>
      </w:r>
    </w:p>
    <w:p w14:paraId="5A627DF8">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）基金管理人或基金托管人按本协议约定的估值方法的第（12）项进行估值时，所造成的误差不作为基金资产估值错误处理。</w:t>
      </w:r>
    </w:p>
    <w:p w14:paraId="0F877840">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）由于不可抗力原因，或证券/期货交易所、指数编制机构</w:t>
      </w:r>
      <w:r>
        <w:rPr>
          <w:color w:val="000000" w:themeColor="text1"/>
          <w:szCs w:val="21"/>
          <w14:textFill>
            <w14:solidFill>
              <w14:schemeClr w14:val="tx1"/>
            </w14:solidFill>
          </w14:textFill>
        </w:rPr>
        <w:t>及登记结算公司等第三方机构</w:t>
      </w:r>
      <w:r>
        <w:rPr>
          <w:rFonts w:hint="eastAsia"/>
          <w:color w:val="000000" w:themeColor="text1"/>
          <w:szCs w:val="21"/>
          <w14:textFill>
            <w14:solidFill>
              <w14:schemeClr w14:val="tx1"/>
            </w14:solidFill>
          </w14:textFill>
        </w:rPr>
        <w:t>发送的数据错误、遗漏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14:paraId="1645697C">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（四）暂停估值的情形</w:t>
      </w:r>
    </w:p>
    <w:p w14:paraId="29E9099B">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1、基金投资所涉及的证券/期货交易市场遇法定节假日或因其他原因暂停营业时；</w:t>
      </w:r>
    </w:p>
    <w:p w14:paraId="7E6478D1">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2、因不可抗力或者其他情形致使基金管理人、基金托管人无法准确评估基金资产价值时；</w:t>
      </w:r>
    </w:p>
    <w:p w14:paraId="5191DD2F">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3、当前一估值日基金资产净值50%以上的资产出现无可参考的活跃市场价格且采用估值技术仍导致公允价值存在重大不确定性时，经与基金托管人协商确认后，基金管理人应当暂停估值；</w:t>
      </w:r>
    </w:p>
    <w:p w14:paraId="49C81E2E">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4、法律法规、中国证监会和基金合同认定的其它情形。</w:t>
      </w:r>
    </w:p>
    <w:p w14:paraId="45FD2537">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（五）基金会计制度</w:t>
      </w:r>
    </w:p>
    <w:p w14:paraId="1B898201">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按国家有关部门规定的会计制度执行。</w:t>
      </w:r>
    </w:p>
    <w:p w14:paraId="054D1DBC">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（六）基金账册的建立</w:t>
      </w:r>
    </w:p>
    <w:p w14:paraId="7A7A5FB4">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管理人和基金托管人在《基金合同》生效后，应按照双方约定的同一记账方法和会计处理原则，分别独立地设置、登记和保管基金的全套账册，对双方各自的账册定期进行核对，互相监督，以保证基金财产的安全。若双方对会计处理方法存在分歧，应以基金管理人的处理方法为准。</w:t>
      </w:r>
    </w:p>
    <w:p w14:paraId="43B67540">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14:paraId="49BCF1A4">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（七）基金财务报表和定期报告的编制和复核</w:t>
      </w:r>
    </w:p>
    <w:p w14:paraId="708EEECD">
      <w:pPr>
        <w:spacing w:line="360" w:lineRule="auto"/>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、财务报表的编制</w:t>
      </w:r>
    </w:p>
    <w:p w14:paraId="366C2097">
      <w:pPr>
        <w:autoSpaceDE w:val="0"/>
        <w:autoSpaceDN w:val="0"/>
        <w:adjustRightInd w:val="0"/>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基金财务报表由基金管理人和基金托管人每月分别独立编制。月度报表的编制，应于每月终了后</w:t>
      </w:r>
      <w:r>
        <w:rPr>
          <w:color w:val="000000" w:themeColor="text1"/>
          <w:szCs w:val="21"/>
          <w14:textFill>
            <w14:solidFill>
              <w14:schemeClr w14:val="tx1"/>
            </w14:solidFill>
          </w14:textFill>
        </w:rPr>
        <w:t>5</w:t>
      </w:r>
      <w:r>
        <w:rPr>
          <w:rFonts w:hint="eastAsia"/>
          <w:color w:val="000000" w:themeColor="text1"/>
          <w:szCs w:val="21"/>
          <w14:textFill>
            <w14:solidFill>
              <w14:schemeClr w14:val="tx1"/>
            </w14:solidFill>
          </w14:textFill>
        </w:rPr>
        <w:t>个工作日内完成；《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基金招募说明书、基金产品资料概要其他信息发生变更的，基金管理人至少每年更新一次。基金终止运作的，基金管理人不再更新基金招募说明书和基金产品资料概要。季度报告应在季度结束之日起</w:t>
      </w:r>
      <w:r>
        <w:rPr>
          <w:color w:val="000000" w:themeColor="text1"/>
          <w:szCs w:val="21"/>
          <w14:textFill>
            <w14:solidFill>
              <w14:schemeClr w14:val="tx1"/>
            </w14:solidFill>
          </w14:textFill>
        </w:rPr>
        <w:t>15</w:t>
      </w:r>
      <w:r>
        <w:rPr>
          <w:rFonts w:hint="eastAsia"/>
          <w:color w:val="000000" w:themeColor="text1"/>
          <w:szCs w:val="21"/>
          <w14:textFill>
            <w14:solidFill>
              <w14:schemeClr w14:val="tx1"/>
            </w14:solidFill>
          </w14:textFill>
        </w:rPr>
        <w:t>个工作日内予以公告；中期报告在会计年度半年终了后两个月内予以公告；年度报告在会计年度终了后三个月内予以公告。</w:t>
      </w:r>
      <w:r>
        <w:rPr>
          <w:rFonts w:hint="eastAsia" w:ascii="宋体" w:hAnsi="Calibri" w:cs="宋体"/>
          <w:color w:val="000000" w:themeColor="text1"/>
          <w:kern w:val="0"/>
          <w:szCs w:val="21"/>
          <w14:textFill>
            <w14:solidFill>
              <w14:schemeClr w14:val="tx1"/>
            </w14:solidFill>
          </w14:textFill>
        </w:rPr>
        <w:t>《基金合同》</w:t>
      </w:r>
      <w:r>
        <w:rPr>
          <w:rFonts w:hint="eastAsia"/>
          <w:color w:val="000000" w:themeColor="text1"/>
          <w:szCs w:val="21"/>
          <w14:textFill>
            <w14:solidFill>
              <w14:schemeClr w14:val="tx1"/>
            </w14:solidFill>
          </w14:textFill>
        </w:rPr>
        <w:t>生效不足</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个月的，基金管理人可以不编制当期季度报告、中期报告或者年度报告。</w:t>
      </w:r>
    </w:p>
    <w:p w14:paraId="279B0822">
      <w:pPr>
        <w:spacing w:line="360" w:lineRule="auto"/>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、报表复核</w:t>
      </w:r>
    </w:p>
    <w:p w14:paraId="0193D0E7">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管理人在月度报表完成当日，将报表盖章后提供给基金托管人复核；基金托管人在收到后应在3日内进行复核，并将复核结果书面通知基金管理人。基金管理人在季度报告完成当日，将有关报告提供给基金托管人复核，基金托管人应在收到后7个工作日内完成复核，并将复核结果书面通知基金管理人。基金管理人在中期报告完成当日，将有关报告提供给基金托管人复核，基金托管人应在收到后30个工作日内完成复核，并将复核结果书面通知基金管理人。基金管理人在年度报告完成当日，将有关报告提供基金托管人复核，基金托管人应在收到后45个工作日内完成复核，并将复核结果书面通知基金管理人。基金管理人和基金托管人之间的上述文件往来均以传真的方式或双方商定的其他方式进行。</w:t>
      </w:r>
    </w:p>
    <w:p w14:paraId="1EC1EB83">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业务印鉴或者出具加盖业务印鉴的复核意见书或</w:t>
      </w:r>
      <w:r>
        <w:rPr>
          <w:color w:val="000000" w:themeColor="text1"/>
          <w:szCs w:val="21"/>
          <w14:textFill>
            <w14:solidFill>
              <w14:schemeClr w14:val="tx1"/>
            </w14:solidFill>
          </w14:textFill>
        </w:rPr>
        <w:t>进行电子</w:t>
      </w:r>
      <w:r>
        <w:rPr>
          <w:rFonts w:hint="eastAsia"/>
          <w:color w:val="000000" w:themeColor="text1"/>
          <w:szCs w:val="21"/>
          <w14:textFill>
            <w14:solidFill>
              <w14:schemeClr w14:val="tx1"/>
            </w14:solidFill>
          </w14:textFill>
        </w:rPr>
        <w:t>确认，双方各自留存一份。如果基金管理人与基金托管人不能于应当发布公告之日之前就相关报表达成一致，基金管理人有权按照其编制的报表对外发布公告，基金托管人有权就相关情况报中国证监会备案。</w:t>
      </w:r>
    </w:p>
    <w:p w14:paraId="1074BFE9">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基金托管人在对财务会计报告、季度报告、中期报告或年度报告复核完毕后，需盖章确认或出具相应的复核确认书或</w:t>
      </w:r>
      <w:r>
        <w:rPr>
          <w:color w:val="000000" w:themeColor="text1"/>
          <w:szCs w:val="21"/>
          <w14:textFill>
            <w14:solidFill>
              <w14:schemeClr w14:val="tx1"/>
            </w14:solidFill>
          </w14:textFill>
        </w:rPr>
        <w:t>进行电子</w:t>
      </w:r>
      <w:r>
        <w:rPr>
          <w:rFonts w:hint="eastAsia"/>
          <w:color w:val="000000" w:themeColor="text1"/>
          <w:szCs w:val="21"/>
          <w14:textFill>
            <w14:solidFill>
              <w14:schemeClr w14:val="tx1"/>
            </w14:solidFill>
          </w14:textFill>
        </w:rPr>
        <w:t>确认，以备有权机构对相关文件审核时提示。</w:t>
      </w:r>
      <w:bookmarkStart w:id="18" w:name="_Toc48703912"/>
      <w:bookmarkStart w:id="19" w:name="_Toc466788859"/>
      <w:bookmarkStart w:id="20" w:name="_Toc523830000"/>
      <w:bookmarkStart w:id="21" w:name="_Toc22454461"/>
    </w:p>
    <w:bookmarkEnd w:id="18"/>
    <w:bookmarkEnd w:id="19"/>
    <w:bookmarkEnd w:id="20"/>
    <w:bookmarkEnd w:id="21"/>
    <w:p w14:paraId="69F2F8EA">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（八）基金管理人应每季向基金托管人提供基金业绩比较基准的基础数据和编制结果。</w:t>
      </w:r>
    </w:p>
    <w:p w14:paraId="29441219">
      <w:pPr>
        <w:pStyle w:val="2"/>
        <w:numPr>
          <w:ilvl w:val="0"/>
          <w:numId w:val="1"/>
        </w:numPr>
        <w:spacing w:before="120" w:after="120" w:line="360" w:lineRule="auto"/>
        <w:jc w:val="center"/>
        <w:rPr>
          <w:color w:val="000000" w:themeColor="text1"/>
          <w:sz w:val="24"/>
          <w:szCs w:val="24"/>
          <w14:textFill>
            <w14:solidFill>
              <w14:schemeClr w14:val="tx1"/>
            </w14:solidFill>
          </w14:textFill>
        </w:rPr>
      </w:pPr>
      <w:bookmarkStart w:id="22" w:name="_Toc881139"/>
      <w:bookmarkStart w:id="23" w:name="_Toc394474004"/>
      <w:r>
        <w:rPr>
          <w:rFonts w:hint="eastAsia"/>
          <w:color w:val="000000" w:themeColor="text1"/>
          <w:sz w:val="24"/>
          <w:szCs w:val="24"/>
          <w14:textFill>
            <w14:solidFill>
              <w14:schemeClr w14:val="tx1"/>
            </w14:solidFill>
          </w14:textFill>
        </w:rPr>
        <w:t>基金收益分配</w:t>
      </w:r>
      <w:bookmarkEnd w:id="22"/>
      <w:bookmarkEnd w:id="23"/>
    </w:p>
    <w:p w14:paraId="78369AEF">
      <w:pPr>
        <w:spacing w:line="360" w:lineRule="auto"/>
        <w:rPr>
          <w:color w:val="000000" w:themeColor="text1"/>
          <w:szCs w:val="21"/>
          <w14:textFill>
            <w14:solidFill>
              <w14:schemeClr w14:val="tx1"/>
            </w14:solidFill>
          </w14:textFill>
        </w:rPr>
      </w:pPr>
      <w:bookmarkStart w:id="24" w:name="_Toc22454462"/>
      <w:bookmarkStart w:id="25" w:name="_Toc48703913"/>
    </w:p>
    <w:bookmarkEnd w:id="24"/>
    <w:bookmarkEnd w:id="25"/>
    <w:p w14:paraId="753ED95B">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（一）基金收益分配原则</w:t>
      </w:r>
    </w:p>
    <w:p w14:paraId="75892182">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1、本基金基金份额的收益分配方式采用现金分红；</w:t>
      </w:r>
    </w:p>
    <w:p w14:paraId="60F08EC4">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2、当收益评价日核定的基金份额净值增长率超过标的指数同期增长率或者基金可供分配利润金额大于零时，基金管理人可进行收益分配；</w:t>
      </w:r>
    </w:p>
    <w:p w14:paraId="1214A533">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当基金收益分配根据基金相对标的指数的超额收益率决定时，基于本基金的特点，本基金收益分配无需以弥补亏损为前提，收益分配后基金份额净值有可能低于面值；当基金收益分配根据基金可供分配利润金额决定时，本基金收益分配后基金份额净值不能低于面值，即基金收益分配基准日的基金份额净值减去每单位基金份额收益分配金额后不能低于面值；</w:t>
      </w:r>
    </w:p>
    <w:p w14:paraId="4DA9498B">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4、在符合上述基金分红条件的前提下，本基金可进行收益分配。评价时间、分配时间、分配方案及每次基金收益分配数额等内容，基金管理人可以根据实际情况确定并按照有关规定公告；</w:t>
      </w:r>
    </w:p>
    <w:p w14:paraId="698F099F">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5、若《基金合同》生效不满3个月可不进行收益分配；</w:t>
      </w:r>
    </w:p>
    <w:p w14:paraId="47828C74">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6、每一基金份额享有同等分配权；</w:t>
      </w:r>
    </w:p>
    <w:p w14:paraId="4606E50A">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7、法律法规或监管机关、证券交易所、登记机构另有规定的，从其规定。</w:t>
      </w:r>
    </w:p>
    <w:p w14:paraId="5440C99E">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在不违反法律法规且对基金份额持有人利益无实质性不利影响的前提下，基金管理人经与基金托管人协商一致后可对基金收益分配原则进行调整，并及时公告。</w:t>
      </w:r>
    </w:p>
    <w:p w14:paraId="453C40CF">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（二）基金收益分配比例及金额的确定原则</w:t>
      </w:r>
    </w:p>
    <w:p w14:paraId="4EB71636">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1、在收益评价日，基金管理人计算基金份额净值增长率、标的指数同期增长率。</w:t>
      </w:r>
    </w:p>
    <w:p w14:paraId="5026D670">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基金收益评价日本基金相对标的指数的超额收益率＝基金份额净值增长率－标的指数同期增长率。</w:t>
      </w:r>
    </w:p>
    <w:p w14:paraId="5A869F69">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份额净值增长率为收益评价日基金份额净值与基金上市前一交易日基金份额净值之比减去1乘以100%；标的指数同期增长率为收益评价日标的指数收盘价与基金上市前一交易日标的指数收盘价之比减去1乘以100%。</w:t>
      </w:r>
    </w:p>
    <w:p w14:paraId="0A38BD74">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期间如发生基金份额折算、拆分或合并，则以基金份额折算日、经拆分或合并调整后的基金份额折算日为初始日重新计算上述指标。</w:t>
      </w:r>
    </w:p>
    <w:p w14:paraId="59754FCE">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收益评价日日期以基金管理人相关公告为准。</w:t>
      </w:r>
    </w:p>
    <w:p w14:paraId="52AA2903">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2、基金可供分配利润指截至收益分配基准日基金未分配利润与未分配利润中已实现收益的孰低数。</w:t>
      </w:r>
    </w:p>
    <w:p w14:paraId="3BA9D078">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3、根据前述收益分配原则计算截至基金收益评价日本基金的超额收益率及基金可供分配利润，并确定收益分配比例。</w:t>
      </w:r>
    </w:p>
    <w:p w14:paraId="60C59705">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4、根据前述超额收益率、可供分配利润及收益分配比例计算收益分配金额。</w:t>
      </w:r>
    </w:p>
    <w:p w14:paraId="09E9E125">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三、收益分配方案</w:t>
      </w:r>
    </w:p>
    <w:p w14:paraId="0CC61FE0">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基金收益分配方案中应载明基金收益分配对象、分配时间、分配数额及比例、分配方式等内容。</w:t>
      </w:r>
    </w:p>
    <w:p w14:paraId="009354D3">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四、收益分配方案的确定、公告与实施</w:t>
      </w:r>
    </w:p>
    <w:p w14:paraId="74371E6D">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本基金收益分配方案由基金管理人拟定，并由基金托管人复核，依照《信息披露办法》的有关规定在规定媒介公告。</w:t>
      </w:r>
    </w:p>
    <w:p w14:paraId="472CDEDA">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五、基金收益分配中发生的费用</w:t>
      </w:r>
    </w:p>
    <w:p w14:paraId="02101DB5">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基金收益分配时所发生的银行转账或其他手续费用由投资者自行承担。</w:t>
      </w:r>
    </w:p>
    <w:p w14:paraId="3F5060BA">
      <w:pPr>
        <w:spacing w:line="360" w:lineRule="auto"/>
        <w:ind w:firstLine="420" w:firstLineChars="200"/>
        <w:rPr>
          <w:color w:val="000000" w:themeColor="text1"/>
          <w:szCs w:val="21"/>
          <w14:textFill>
            <w14:solidFill>
              <w14:schemeClr w14:val="tx1"/>
            </w14:solidFill>
          </w14:textFill>
        </w:rPr>
      </w:pPr>
    </w:p>
    <w:p w14:paraId="099B8D5A">
      <w:pPr>
        <w:pStyle w:val="2"/>
        <w:numPr>
          <w:ilvl w:val="0"/>
          <w:numId w:val="1"/>
        </w:numPr>
        <w:spacing w:before="120" w:after="120" w:line="360" w:lineRule="auto"/>
        <w:jc w:val="center"/>
        <w:rPr>
          <w:color w:val="000000" w:themeColor="text1"/>
          <w:sz w:val="24"/>
          <w:szCs w:val="24"/>
          <w14:textFill>
            <w14:solidFill>
              <w14:schemeClr w14:val="tx1"/>
            </w14:solidFill>
          </w14:textFill>
        </w:rPr>
      </w:pPr>
      <w:bookmarkStart w:id="26" w:name="_Toc881140"/>
      <w:bookmarkStart w:id="27" w:name="_Toc394474005"/>
      <w:r>
        <w:rPr>
          <w:rFonts w:hint="eastAsia"/>
          <w:color w:val="000000" w:themeColor="text1"/>
          <w:sz w:val="24"/>
          <w:szCs w:val="24"/>
          <w14:textFill>
            <w14:solidFill>
              <w14:schemeClr w14:val="tx1"/>
            </w14:solidFill>
          </w14:textFill>
        </w:rPr>
        <w:t>基金信息披露</w:t>
      </w:r>
      <w:bookmarkEnd w:id="26"/>
      <w:bookmarkEnd w:id="27"/>
    </w:p>
    <w:p w14:paraId="2F8A6EA4">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（一）保密义务</w:t>
      </w:r>
    </w:p>
    <w:p w14:paraId="6CC36537">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除按照《基金法》、《基金合同》、《信息披露办法》、《流动性风险管理规定》及其他有关规定外，基金管理人和基金托管人对基金运作中产生的信息以及从对方获得的业务信息应予保密。基金管理人与基金托管人对本基金的任何信息，不得在其公开披露之前，先行对双方和基金份额持有人大会以外的任何机构、组织和个人泄露。法律法规另有规定的除外。</w:t>
      </w:r>
    </w:p>
    <w:p w14:paraId="1F0ECE71">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基金管理人和基金托管人除为履行法律法规、《基金合同》及本协议规定的义务所必要之外，不得为其他目的使用、利用其所知悉的基金的保密信息，并且应当将保密信息限制在为履行前述义务而需要了解该保密信息的职员范围之内。但是，如下情况不应视为基金管理人或基金托管人违反保密义务：</w:t>
      </w:r>
    </w:p>
    <w:p w14:paraId="1612886A">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）非因基金管理人和基金托管人的原因导致保密信息被披露、泄露或公开；</w:t>
      </w:r>
    </w:p>
    <w:p w14:paraId="6008094C">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）基金管理人和基金托管人为遵守和服从法院判决、仲裁裁决或中国证监会等监管机构的命令、决定所做出的信息披露或公开；</w:t>
      </w:r>
    </w:p>
    <w:p w14:paraId="2F598AB1">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3</w:t>
      </w:r>
      <w:r>
        <w:rPr>
          <w:rFonts w:hint="eastAsia"/>
          <w:color w:val="000000" w:themeColor="text1"/>
          <w:szCs w:val="21"/>
          <w14:textFill>
            <w14:solidFill>
              <w14:schemeClr w14:val="tx1"/>
            </w14:solidFill>
          </w14:textFill>
        </w:rPr>
        <w:t>）法律法规或有权机构要求披露的；</w:t>
      </w:r>
    </w:p>
    <w:p w14:paraId="192A793A">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（4）为取得</w:t>
      </w:r>
      <w:bookmarkStart w:id="28" w:name="OLE_LINK1"/>
      <w:bookmarkStart w:id="29" w:name="OLE_LINK2"/>
      <w:r>
        <w:rPr>
          <w:rFonts w:hint="eastAsia"/>
          <w:color w:val="000000" w:themeColor="text1"/>
          <w:szCs w:val="21"/>
          <w14:textFill>
            <w14:solidFill>
              <w14:schemeClr w14:val="tx1"/>
            </w14:solidFill>
          </w14:textFill>
        </w:rPr>
        <w:t>法律、审计、信息技术</w:t>
      </w:r>
      <w:bookmarkEnd w:id="28"/>
      <w:bookmarkEnd w:id="29"/>
      <w:r>
        <w:rPr>
          <w:rFonts w:hint="eastAsia"/>
          <w:color w:val="000000" w:themeColor="text1"/>
          <w:szCs w:val="21"/>
          <w14:textFill>
            <w14:solidFill>
              <w14:schemeClr w14:val="tx1"/>
            </w14:solidFill>
          </w14:textFill>
        </w:rPr>
        <w:t>等专业服务而向第三方专业服务机构提供的；</w:t>
      </w:r>
    </w:p>
    <w:p w14:paraId="0D796025">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5</w:t>
      </w:r>
      <w:r>
        <w:rPr>
          <w:rFonts w:hint="eastAsia"/>
          <w:color w:val="000000" w:themeColor="text1"/>
          <w:szCs w:val="21"/>
          <w14:textFill>
            <w14:solidFill>
              <w14:schemeClr w14:val="tx1"/>
            </w14:solidFill>
          </w14:textFill>
        </w:rPr>
        <w:t>）因不可抗力发生信息披露或公开的。</w:t>
      </w:r>
    </w:p>
    <w:p w14:paraId="046A1628">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（二）信息披露的内容</w:t>
      </w:r>
    </w:p>
    <w:p w14:paraId="74E09E2C">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的信息披露内容主要包括基金招募说明书、《基金合同》、托管协议、基金产品资料概要、基金份额发售公告、《基金合同》生效公告、基金份额折算日和折算结果公告、基金份额上市交易公告书、基金资产净值、基金份额净值、基金份额申购、赎回价格、基金定期报告（包括基金年度报告、基金中期报告和基金季度报告）、临时报告、澄清公告、基金份额持有人大会决议、基金参与股指期货、国债期货的信息披露、</w:t>
      </w:r>
      <w:r>
        <w:rPr>
          <w:color w:val="000000" w:themeColor="text1"/>
          <w:szCs w:val="21"/>
          <w14:textFill>
            <w14:solidFill>
              <w14:schemeClr w14:val="tx1"/>
            </w14:solidFill>
          </w14:textFill>
        </w:rPr>
        <w:t>基金参与股票期权交易的信息披露</w:t>
      </w:r>
      <w:r>
        <w:rPr>
          <w:rFonts w:hint="eastAsia"/>
          <w:color w:val="000000" w:themeColor="text1"/>
          <w:szCs w:val="21"/>
          <w14:textFill>
            <w14:solidFill>
              <w14:schemeClr w14:val="tx1"/>
            </w14:solidFill>
          </w14:textFill>
        </w:rPr>
        <w:t>、投资资产支持证券的信息披露、参与融资和转融通出借业务的信息披露、基金投资流通受限证券的信息披露及等中国证监会规定的其他信息。基金年度报告需经符合《中华人民共和国证券法》规定的会计师事务所审计后，方可披露。</w:t>
      </w:r>
    </w:p>
    <w:p w14:paraId="6820ED2D">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（三）基金管理人和基金托管人在信息披露中的职责和信息披露程序</w:t>
      </w:r>
    </w:p>
    <w:p w14:paraId="5237C677">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、职责</w:t>
      </w:r>
    </w:p>
    <w:p w14:paraId="40C5AB62">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托管人和基金管理人在信息披露过程中应以保护基金份额持有人利益为宗旨，诚实信用，严守秘密。基金管理人和基金托管人应根据相关法律法规、《基金合同》的规定各自承担相应的信息披露职责。基金管理人负责办理与基金有关的信息披露事宜，基金托管人应当按照相关法律法规和《基金合同》的约定，对于应由基金托管人复核的事项进行复核，基金托管人复核无误后，由基金管理人予以公布。</w:t>
      </w:r>
    </w:p>
    <w:p w14:paraId="7A4C9482">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基金管理人和基金托管人应积极配合、互相监督，保证按照法定的方式和时限履行信息披露义务。</w:t>
      </w:r>
    </w:p>
    <w:p w14:paraId="66EA2B1F">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基金管理人应当在中国证监会规定的时间内，将应予披露的基金信息通过规定媒介披露。根据法律法规应由基金托管人公开披露的信息，基金托管人将通过规定报刊或基金托管人的互联网网站公开披露。</w:t>
      </w:r>
    </w:p>
    <w:p w14:paraId="408533AE">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当出现下述情况时，基金管理人和基金托管人可暂停或延迟披露基金相关信息：</w:t>
      </w:r>
    </w:p>
    <w:p w14:paraId="373F5269">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（1）不可抗力；</w:t>
      </w:r>
    </w:p>
    <w:p w14:paraId="4C2F81CC">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w:t>
      </w:r>
      <w:r>
        <w:rPr>
          <w:color w:val="000000" w:themeColor="text1"/>
          <w:szCs w:val="21"/>
          <w14:textFill>
            <w14:solidFill>
              <w14:schemeClr w14:val="tx1"/>
            </w14:solidFill>
          </w14:textFill>
        </w:rPr>
        <w:t>发生暂停基金估值的情形时；</w:t>
      </w:r>
    </w:p>
    <w:p w14:paraId="55935C81">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3</w:t>
      </w:r>
      <w:r>
        <w:rPr>
          <w:rFonts w:hint="eastAsia"/>
          <w:color w:val="000000" w:themeColor="text1"/>
          <w:szCs w:val="21"/>
          <w14:textFill>
            <w14:solidFill>
              <w14:schemeClr w14:val="tx1"/>
            </w14:solidFill>
          </w14:textFill>
        </w:rPr>
        <w:t>）法律法规规定、中国证监会或《基金合同》认定的其他情形。</w:t>
      </w:r>
    </w:p>
    <w:p w14:paraId="5D6B3021">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、程序</w:t>
      </w:r>
    </w:p>
    <w:p w14:paraId="74224544">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托管人应当按照相关法律、行政法规、中国证监会的规定和《基金合同》的约定，对基金管理人编制的基金资产净值、基金份额净值、基金业绩表现数据、基金定期报告和更新的招募说明书等公开披露的相关基金信息进行复核、审查，并向基金管理人出具书面文件或者盖章确认。</w:t>
      </w:r>
    </w:p>
    <w:p w14:paraId="61C83564">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基金年度报告中的财务会计报告必须经符合《中华人民共和国证券法》规定的会计师事务所审计。</w:t>
      </w:r>
    </w:p>
    <w:p w14:paraId="58B5288D">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3</w:t>
      </w:r>
      <w:r>
        <w:rPr>
          <w:rFonts w:hint="eastAsia"/>
          <w:color w:val="000000" w:themeColor="text1"/>
          <w:szCs w:val="21"/>
          <w14:textFill>
            <w14:solidFill>
              <w14:schemeClr w14:val="tx1"/>
            </w14:solidFill>
          </w14:textFill>
        </w:rPr>
        <w:t>、信息文本的存放与备查</w:t>
      </w:r>
    </w:p>
    <w:p w14:paraId="38E1804A">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依法必须披露的信息发布后，基金管理人、基金托管人应当按照相关法律法规规定将信息置备于各自住所、基金上市交易的证券交易所，供社会公众查阅、复制。基金管理人、基金托管人应为文本存放、基金份额持有人查询有关文件提供必要的场所和其他便利。</w:t>
      </w:r>
    </w:p>
    <w:p w14:paraId="3E037345">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基金管理人和基金托管人应保证文本的内容与所公告的内容完全一致。</w:t>
      </w:r>
    </w:p>
    <w:p w14:paraId="2569F67C">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（四）基金托管人报告</w:t>
      </w:r>
    </w:p>
    <w:p w14:paraId="6D21B368">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基金托管人应按《基金法》、《信息披露办法》和其他有关法律法规的规定于上半年度结束后两个月内、每年结束之日起三个月在基金中期报告及年度报告中分别出具托管人报告。</w:t>
      </w:r>
    </w:p>
    <w:p w14:paraId="40EC9E1C">
      <w:pPr>
        <w:pStyle w:val="2"/>
        <w:numPr>
          <w:ilvl w:val="0"/>
          <w:numId w:val="1"/>
        </w:numPr>
        <w:spacing w:before="120" w:after="120" w:line="360" w:lineRule="auto"/>
        <w:jc w:val="center"/>
        <w:rPr>
          <w:b w:val="0"/>
          <w:color w:val="000000" w:themeColor="text1"/>
          <w:sz w:val="24"/>
          <w:szCs w:val="24"/>
          <w14:textFill>
            <w14:solidFill>
              <w14:schemeClr w14:val="tx1"/>
            </w14:solidFill>
          </w14:textFill>
        </w:rPr>
      </w:pPr>
      <w:bookmarkStart w:id="30" w:name="_Toc881141"/>
      <w:bookmarkStart w:id="31" w:name="_Toc394474006"/>
      <w:r>
        <w:rPr>
          <w:rFonts w:hint="eastAsia"/>
          <w:color w:val="000000" w:themeColor="text1"/>
          <w:sz w:val="24"/>
          <w:szCs w:val="24"/>
          <w14:textFill>
            <w14:solidFill>
              <w14:schemeClr w14:val="tx1"/>
            </w14:solidFill>
          </w14:textFill>
        </w:rPr>
        <w:t>基金费用</w:t>
      </w:r>
      <w:bookmarkEnd w:id="30"/>
      <w:bookmarkEnd w:id="31"/>
    </w:p>
    <w:p w14:paraId="507A5F6E">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（一）基金管理费的计提比例和计提方法</w:t>
      </w:r>
    </w:p>
    <w:p w14:paraId="0EF7414E">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本基金的管理费按前一日基金资产净值的0.50%年费率计提。管理费的计算方法如下：</w:t>
      </w:r>
    </w:p>
    <w:p w14:paraId="114A86A6">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H＝E×0.50%÷当年天数</w:t>
      </w:r>
    </w:p>
    <w:p w14:paraId="1F2209FF">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H为每日应计提的基金管理费</w:t>
      </w:r>
    </w:p>
    <w:p w14:paraId="10D5F3C3">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E为前一日的基金资产净值</w:t>
      </w:r>
    </w:p>
    <w:p w14:paraId="49D0115F">
      <w:pPr>
        <w:spacing w:line="360" w:lineRule="auto"/>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基金管理费每日计提，逐日累计至每月月末，按月支付，由基金托管人根据与基金管理人核对一致的财务数据，于次月首日起5个工作日内、按照指定的账户路径进行资金支付，基金管理人无需再出具资金划拨指令。若遇法定节假日、公休日等，支付日期顺延至最近可支付日支付。</w:t>
      </w:r>
    </w:p>
    <w:p w14:paraId="26563069">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（二）基金托管费的计提比例和计提方法</w:t>
      </w:r>
    </w:p>
    <w:p w14:paraId="62B7541F">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本基金的托管费按前一日基金资产净值的0.10%年费率计提。托管费的计算方法如下：</w:t>
      </w:r>
    </w:p>
    <w:p w14:paraId="0E69C386">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H＝E×0.10%÷当年天数</w:t>
      </w:r>
    </w:p>
    <w:p w14:paraId="0456E635">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H为每日应计提的基金托管费</w:t>
      </w:r>
    </w:p>
    <w:p w14:paraId="2A1BB430">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E为前一日的基金资产净值</w:t>
      </w:r>
    </w:p>
    <w:p w14:paraId="2D6E5D04">
      <w:pPr>
        <w:spacing w:line="360" w:lineRule="auto"/>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基金托管费每日计提，逐日累计至每月月末，按月支付，由基金托管人根据与基金管理人核对一致的财务数据，于次月首日起5个工作日内、按照指定的账户路径进行资金支付，基金管理人无需再出具资金划拨指令。若遇法定节假日、公休日等，支付日期顺延至最近可支付日支付。</w:t>
      </w:r>
    </w:p>
    <w:p w14:paraId="4C9C8460">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（三）证券</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期货、</w:t>
      </w:r>
      <w:r>
        <w:rPr>
          <w:color w:val="000000" w:themeColor="text1"/>
          <w:szCs w:val="21"/>
          <w14:textFill>
            <w14:solidFill>
              <w14:schemeClr w14:val="tx1"/>
            </w14:solidFill>
          </w14:textFill>
        </w:rPr>
        <w:t>期权</w:t>
      </w:r>
      <w:r>
        <w:rPr>
          <w:rFonts w:hint="eastAsia"/>
          <w:color w:val="000000" w:themeColor="text1"/>
          <w:szCs w:val="21"/>
          <w14:textFill>
            <w14:solidFill>
              <w14:schemeClr w14:val="tx1"/>
            </w14:solidFill>
          </w14:textFill>
        </w:rPr>
        <w:t>交易费用、《基金合同》生效后与基金相关的信息披露费用、基金份额持有人大会费用、《基金合同》生效后与基金相关的会计师费、律师费、公证费、仲裁费和诉讼费、基金的银行汇划费用、基金的相关账户的开户费用及维护费用、基金上市费及年费等根据有关法规、《基金合同》及相应协议的规定，由基金托管人按基金管理人的划款指令并根据费用实际支出金额支付，列入当期基金费用。</w:t>
      </w:r>
    </w:p>
    <w:p w14:paraId="2B8F3476">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（四）不列入基金费用的项目</w:t>
      </w:r>
    </w:p>
    <w:p w14:paraId="2FDC67B0">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管理人与基金托管人因未履行或未完全履行义务导致的费用支出或基金财产的损失、《基金合同》生效前的相关费用（包括但不限于验资费、会计师和律师费、信息披露费用等费用）、处理与基金运作无关的事项发生的费用、标的指数许可使用费、其他根据相关法律法规以及中国证监会的有关规定不得列入基金费用的项目不列入基金费用。</w:t>
      </w:r>
    </w:p>
    <w:p w14:paraId="35829617">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（五）基金管理费、基金托管费的复核程序</w:t>
      </w:r>
    </w:p>
    <w:p w14:paraId="6DC4D14F">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基金托管人对不符合《基金法》、《运作办法》等有关规定、《基金合同》以及本协议的其他费用有权拒绝执行。</w:t>
      </w:r>
    </w:p>
    <w:p w14:paraId="329EC58D">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基金托管人对基金管理人计提的基金管理费、基金托管费等，根据本托管协议和《基金合同》的有关规定进行复核。</w:t>
      </w:r>
    </w:p>
    <w:p w14:paraId="100D83D3">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六）如果基金托管人发现基金管理人违反有关法律法规的有关规定和《基金合同》、本协议的约定，从基金财产中列支费用，有权要求基金管理人做出书面解释，如果基金托管人认为基金管理人无正当或合理的理由，可以拒绝支付。</w:t>
      </w:r>
    </w:p>
    <w:p w14:paraId="7186E1B5">
      <w:pPr>
        <w:spacing w:line="360" w:lineRule="auto"/>
        <w:rPr>
          <w:b/>
          <w:color w:val="000000" w:themeColor="text1"/>
          <w:szCs w:val="21"/>
          <w14:textFill>
            <w14:solidFill>
              <w14:schemeClr w14:val="tx1"/>
            </w14:solidFill>
          </w14:textFill>
        </w:rPr>
      </w:pPr>
    </w:p>
    <w:p w14:paraId="5E8DD576">
      <w:pPr>
        <w:pStyle w:val="2"/>
        <w:numPr>
          <w:ilvl w:val="0"/>
          <w:numId w:val="1"/>
        </w:numPr>
        <w:spacing w:before="120" w:after="120" w:line="360" w:lineRule="auto"/>
        <w:jc w:val="center"/>
        <w:rPr>
          <w:b w:val="0"/>
          <w:color w:val="000000" w:themeColor="text1"/>
          <w:sz w:val="24"/>
          <w:szCs w:val="24"/>
          <w14:textFill>
            <w14:solidFill>
              <w14:schemeClr w14:val="tx1"/>
            </w14:solidFill>
          </w14:textFill>
        </w:rPr>
      </w:pPr>
      <w:bookmarkStart w:id="32" w:name="_Toc394474007"/>
      <w:bookmarkStart w:id="33" w:name="_Toc881142"/>
      <w:r>
        <w:rPr>
          <w:rFonts w:hint="eastAsia"/>
          <w:color w:val="000000" w:themeColor="text1"/>
          <w:sz w:val="24"/>
          <w:szCs w:val="24"/>
          <w14:textFill>
            <w14:solidFill>
              <w14:schemeClr w14:val="tx1"/>
            </w14:solidFill>
          </w14:textFill>
        </w:rPr>
        <w:t>基金份额持有人名册的保管</w:t>
      </w:r>
      <w:bookmarkEnd w:id="32"/>
      <w:bookmarkEnd w:id="33"/>
    </w:p>
    <w:p w14:paraId="024301B0">
      <w:pPr>
        <w:pStyle w:val="17"/>
        <w:autoSpaceDE w:val="0"/>
        <w:autoSpaceDN w:val="0"/>
        <w:adjustRightInd w:val="0"/>
        <w:spacing w:line="360" w:lineRule="auto"/>
        <w:ind w:left="450" w:firstLine="0" w:firstLineChars="0"/>
        <w:rPr>
          <w:color w:val="000000" w:themeColor="text1"/>
          <w:szCs w:val="21"/>
          <w14:textFill>
            <w14:solidFill>
              <w14:schemeClr w14:val="tx1"/>
            </w14:solidFill>
          </w14:textFill>
        </w:rPr>
      </w:pPr>
    </w:p>
    <w:p w14:paraId="5FA46D0A">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（一）基金份额持有人名册的保管</w:t>
      </w:r>
    </w:p>
    <w:p w14:paraId="41F80A00">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份额持有人名册至少应包括基金份额持有人的名称和持有的基金份额。基金份额持有人名册由基金的基金登记机构根据基金管理人的指令编制和保管，基金管理人和基金托管人应按照目前相关规则分别保管基金份额持有人名册。保管方式可以采用电子或文档的形式。保管期限不低于法定最低期限。</w:t>
      </w:r>
    </w:p>
    <w:p w14:paraId="63A48C06">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在基金托管人要求或编制中期报告和年度报告前，基金管理人应将有关资料送交基金托管人，不得无故拒绝或延误提供，并保证其真实性、准确性和完整性。基金托管人不得将所保管的基金份额持有人名册用于基金托管业务以外的其他用途，并应遵守保密义务。</w:t>
      </w:r>
    </w:p>
    <w:p w14:paraId="3A9C9CD8">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若基金管理人或基金托管人由于自身原因无法妥善保管基金份额持有人名册，应按有关法规规定各自承担相应的责任。</w:t>
      </w:r>
    </w:p>
    <w:p w14:paraId="2539DC11">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（二）基金份额持有人名册的提交</w:t>
      </w:r>
    </w:p>
    <w:p w14:paraId="37BC4A99">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基金管理人应当及时向基金托管人提交下列日期的基金份额持有人名册：《基金合同》生效日、《基金合同》终止日、基金份额持有人大会权益登记日、每年</w:t>
      </w:r>
      <w:r>
        <w:rPr>
          <w:color w:val="000000" w:themeColor="text1"/>
          <w:szCs w:val="21"/>
          <w14:textFill>
            <w14:solidFill>
              <w14:schemeClr w14:val="tx1"/>
            </w14:solidFill>
          </w14:textFill>
        </w:rPr>
        <w:t>6</w:t>
      </w:r>
      <w:r>
        <w:rPr>
          <w:rFonts w:hint="eastAsia"/>
          <w:color w:val="000000" w:themeColor="text1"/>
          <w:szCs w:val="21"/>
          <w14:textFill>
            <w14:solidFill>
              <w14:schemeClr w14:val="tx1"/>
            </w14:solidFill>
          </w14:textFill>
        </w:rPr>
        <w:t>月</w:t>
      </w:r>
      <w:r>
        <w:rPr>
          <w:color w:val="000000" w:themeColor="text1"/>
          <w:szCs w:val="21"/>
          <w14:textFill>
            <w14:solidFill>
              <w14:schemeClr w14:val="tx1"/>
            </w14:solidFill>
          </w14:textFill>
        </w:rPr>
        <w:t>30</w:t>
      </w:r>
      <w:r>
        <w:rPr>
          <w:rFonts w:hint="eastAsia"/>
          <w:color w:val="000000" w:themeColor="text1"/>
          <w:szCs w:val="21"/>
          <w14:textFill>
            <w14:solidFill>
              <w14:schemeClr w14:val="tx1"/>
            </w14:solidFill>
          </w14:textFill>
        </w:rPr>
        <w:t>日、每年</w:t>
      </w:r>
      <w:r>
        <w:rPr>
          <w:color w:val="000000" w:themeColor="text1"/>
          <w:szCs w:val="21"/>
          <w14:textFill>
            <w14:solidFill>
              <w14:schemeClr w14:val="tx1"/>
            </w14:solidFill>
          </w14:textFill>
        </w:rPr>
        <w:t>12</w:t>
      </w:r>
      <w:r>
        <w:rPr>
          <w:rFonts w:hint="eastAsia"/>
          <w:color w:val="000000" w:themeColor="text1"/>
          <w:szCs w:val="21"/>
          <w14:textFill>
            <w14:solidFill>
              <w14:schemeClr w14:val="tx1"/>
            </w14:solidFill>
          </w14:textFill>
        </w:rPr>
        <w:t>月</w:t>
      </w:r>
      <w:r>
        <w:rPr>
          <w:color w:val="000000" w:themeColor="text1"/>
          <w:szCs w:val="21"/>
          <w14:textFill>
            <w14:solidFill>
              <w14:schemeClr w14:val="tx1"/>
            </w14:solidFill>
          </w14:textFill>
        </w:rPr>
        <w:t>31</w:t>
      </w:r>
      <w:r>
        <w:rPr>
          <w:rFonts w:hint="eastAsia"/>
          <w:color w:val="000000" w:themeColor="text1"/>
          <w:szCs w:val="21"/>
          <w14:textFill>
            <w14:solidFill>
              <w14:schemeClr w14:val="tx1"/>
            </w14:solidFill>
          </w14:textFill>
        </w:rPr>
        <w:t>日的基金份额持有人名册。基金份额持有人名册的内容必须包括基金份额持有人的名称和持有的基金份额。其中每年</w:t>
      </w:r>
      <w:r>
        <w:rPr>
          <w:color w:val="000000" w:themeColor="text1"/>
          <w:szCs w:val="21"/>
          <w14:textFill>
            <w14:solidFill>
              <w14:schemeClr w14:val="tx1"/>
            </w14:solidFill>
          </w14:textFill>
        </w:rPr>
        <w:t>12</w:t>
      </w:r>
      <w:r>
        <w:rPr>
          <w:rFonts w:hint="eastAsia"/>
          <w:color w:val="000000" w:themeColor="text1"/>
          <w:szCs w:val="21"/>
          <w14:textFill>
            <w14:solidFill>
              <w14:schemeClr w14:val="tx1"/>
            </w14:solidFill>
          </w14:textFill>
        </w:rPr>
        <w:t>月</w:t>
      </w:r>
      <w:r>
        <w:rPr>
          <w:color w:val="000000" w:themeColor="text1"/>
          <w:szCs w:val="21"/>
          <w14:textFill>
            <w14:solidFill>
              <w14:schemeClr w14:val="tx1"/>
            </w14:solidFill>
          </w14:textFill>
        </w:rPr>
        <w:t>31</w:t>
      </w:r>
      <w:r>
        <w:rPr>
          <w:rFonts w:hint="eastAsia"/>
          <w:color w:val="000000" w:themeColor="text1"/>
          <w:szCs w:val="21"/>
          <w14:textFill>
            <w14:solidFill>
              <w14:schemeClr w14:val="tx1"/>
            </w14:solidFill>
          </w14:textFill>
        </w:rPr>
        <w:t>日的基金份额持有人名册应于下月前十个工作日内提交；《基金合同》生效日、《基金合同》终止日等涉及到基金重要事项日期的基金份额持有人名册应于发生日后十个工作日内提交。</w:t>
      </w:r>
    </w:p>
    <w:p w14:paraId="4D86A1ED">
      <w:pPr>
        <w:spacing w:line="360" w:lineRule="auto"/>
        <w:ind w:firstLine="420" w:firstLineChars="200"/>
        <w:rPr>
          <w:color w:val="000000" w:themeColor="text1"/>
          <w:szCs w:val="21"/>
          <w14:textFill>
            <w14:solidFill>
              <w14:schemeClr w14:val="tx1"/>
            </w14:solidFill>
          </w14:textFill>
        </w:rPr>
      </w:pPr>
    </w:p>
    <w:p w14:paraId="40FEF2D7">
      <w:pPr>
        <w:pStyle w:val="2"/>
        <w:numPr>
          <w:ilvl w:val="0"/>
          <w:numId w:val="1"/>
        </w:numPr>
        <w:spacing w:before="120" w:after="120" w:line="360" w:lineRule="auto"/>
        <w:jc w:val="center"/>
        <w:rPr>
          <w:b w:val="0"/>
          <w:color w:val="000000" w:themeColor="text1"/>
          <w:sz w:val="24"/>
          <w:szCs w:val="24"/>
          <w14:textFill>
            <w14:solidFill>
              <w14:schemeClr w14:val="tx1"/>
            </w14:solidFill>
          </w14:textFill>
        </w:rPr>
      </w:pPr>
      <w:bookmarkStart w:id="34" w:name="_Toc881143"/>
      <w:bookmarkStart w:id="35" w:name="_Toc394474008"/>
      <w:r>
        <w:rPr>
          <w:rFonts w:hint="eastAsia"/>
          <w:color w:val="000000" w:themeColor="text1"/>
          <w:sz w:val="24"/>
          <w:szCs w:val="24"/>
          <w14:textFill>
            <w14:solidFill>
              <w14:schemeClr w14:val="tx1"/>
            </w14:solidFill>
          </w14:textFill>
        </w:rPr>
        <w:t>基金有关文件档案的保存</w:t>
      </w:r>
      <w:bookmarkEnd w:id="34"/>
      <w:bookmarkEnd w:id="35"/>
    </w:p>
    <w:p w14:paraId="0FB6F19C">
      <w:pPr>
        <w:spacing w:line="360" w:lineRule="auto"/>
        <w:ind w:firstLine="420" w:firstLineChars="200"/>
        <w:rPr>
          <w:color w:val="000000" w:themeColor="text1"/>
          <w:szCs w:val="21"/>
          <w14:textFill>
            <w14:solidFill>
              <w14:schemeClr w14:val="tx1"/>
            </w14:solidFill>
          </w14:textFill>
        </w:rPr>
      </w:pPr>
    </w:p>
    <w:p w14:paraId="785F966E">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（一）档案保存</w:t>
      </w:r>
    </w:p>
    <w:p w14:paraId="061AF2F9">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管理人应保存财产业务活动的记录、账册报表和其他相关资料。基金托管人应保存基金托管业务活动的记录、账册、报表和其他相关资料。基金管理人和基金托管人都应当按规定的期限保管，保存期限不低于法定最低期限。</w:t>
      </w:r>
    </w:p>
    <w:p w14:paraId="52E7FB6B">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（二）合同档案的建立</w:t>
      </w:r>
    </w:p>
    <w:p w14:paraId="28A52438">
      <w:pPr>
        <w:spacing w:line="360" w:lineRule="auto"/>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、基金管理人代表基金签署与基金相关的重大合同文本后，应及时将重大合同传真给基金托管人，并在10个工作日内将合同文本正本送达基金托管人处。</w:t>
      </w:r>
    </w:p>
    <w:p w14:paraId="626B44D8">
      <w:pPr>
        <w:spacing w:line="360" w:lineRule="auto"/>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、基金管理人应及时将与本基金账务处理、资金划拨等有关的合同、协议以传真或者双方约定的其他方式发送给基金托管人。</w:t>
      </w:r>
    </w:p>
    <w:p w14:paraId="483CFDC4">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（三）变更与协助</w:t>
      </w:r>
    </w:p>
    <w:p w14:paraId="66E0263C">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若基金管理人</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基金托管人发生变更，未变更的一方有义务协助变更后的接任人接收相应文件。</w:t>
      </w:r>
    </w:p>
    <w:p w14:paraId="4027CA6D">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（四）基金管理人和基金托管人应按各自职责完整保存原始凭证、记账凭证、基金账册、交易记录和重要合同等，承担保密义务并保存不低于法定最低期限。</w:t>
      </w:r>
    </w:p>
    <w:p w14:paraId="518D9063">
      <w:pPr>
        <w:ind w:firstLine="420"/>
        <w:rPr>
          <w:color w:val="000000" w:themeColor="text1"/>
          <w14:textFill>
            <w14:solidFill>
              <w14:schemeClr w14:val="tx1"/>
            </w14:solidFill>
          </w14:textFill>
        </w:rPr>
      </w:pPr>
    </w:p>
    <w:p w14:paraId="3EE9092C">
      <w:pPr>
        <w:pStyle w:val="2"/>
        <w:numPr>
          <w:ilvl w:val="0"/>
          <w:numId w:val="1"/>
        </w:numPr>
        <w:spacing w:before="120" w:after="120" w:line="360" w:lineRule="auto"/>
        <w:jc w:val="center"/>
        <w:rPr>
          <w:b w:val="0"/>
          <w:color w:val="000000" w:themeColor="text1"/>
          <w:sz w:val="24"/>
          <w:szCs w:val="24"/>
          <w14:textFill>
            <w14:solidFill>
              <w14:schemeClr w14:val="tx1"/>
            </w14:solidFill>
          </w14:textFill>
        </w:rPr>
      </w:pPr>
      <w:bookmarkStart w:id="36" w:name="_Toc394474009"/>
      <w:bookmarkStart w:id="37" w:name="_Toc881144"/>
      <w:r>
        <w:rPr>
          <w:rFonts w:hint="eastAsia"/>
          <w:color w:val="000000" w:themeColor="text1"/>
          <w:sz w:val="24"/>
          <w:szCs w:val="24"/>
          <w14:textFill>
            <w14:solidFill>
              <w14:schemeClr w14:val="tx1"/>
            </w14:solidFill>
          </w14:textFill>
        </w:rPr>
        <w:t>基金托管人和基金管理人的更换</w:t>
      </w:r>
      <w:bookmarkEnd w:id="36"/>
      <w:bookmarkEnd w:id="37"/>
    </w:p>
    <w:p w14:paraId="0D11A358">
      <w:pPr>
        <w:spacing w:line="360" w:lineRule="auto"/>
        <w:ind w:firstLine="420" w:firstLineChars="200"/>
        <w:rPr>
          <w:color w:val="000000" w:themeColor="text1"/>
          <w:szCs w:val="21"/>
          <w14:textFill>
            <w14:solidFill>
              <w14:schemeClr w14:val="tx1"/>
            </w14:solidFill>
          </w14:textFill>
        </w:rPr>
      </w:pPr>
    </w:p>
    <w:p w14:paraId="78B42FF2">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（一）基金管理人的更换</w:t>
      </w:r>
    </w:p>
    <w:p w14:paraId="33A053F8">
      <w:pPr>
        <w:spacing w:line="360" w:lineRule="auto"/>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、基金管理人的更换条件</w:t>
      </w:r>
    </w:p>
    <w:p w14:paraId="28C23114">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有下列情形之一的，</w:t>
      </w:r>
      <w:r>
        <w:rPr>
          <w:rFonts w:hint="eastAsia"/>
          <w:bCs/>
          <w:color w:val="000000" w:themeColor="text1"/>
          <w:szCs w:val="21"/>
          <w14:textFill>
            <w14:solidFill>
              <w14:schemeClr w14:val="tx1"/>
            </w14:solidFill>
          </w14:textFill>
        </w:rPr>
        <w:t>基金管理人职责终止</w:t>
      </w:r>
      <w:r>
        <w:rPr>
          <w:rFonts w:hint="eastAsia"/>
          <w:color w:val="000000" w:themeColor="text1"/>
          <w:szCs w:val="21"/>
          <w14:textFill>
            <w14:solidFill>
              <w14:schemeClr w14:val="tx1"/>
            </w14:solidFill>
          </w14:textFill>
        </w:rPr>
        <w:t>：</w:t>
      </w:r>
    </w:p>
    <w:p w14:paraId="3CE199E4">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）被依法取消基金管理资格；</w:t>
      </w:r>
    </w:p>
    <w:p w14:paraId="35D9A090">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）被基金份额持有人大会解任；</w:t>
      </w:r>
    </w:p>
    <w:p w14:paraId="78F17AE4">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3</w:t>
      </w:r>
      <w:r>
        <w:rPr>
          <w:rFonts w:hint="eastAsia"/>
          <w:color w:val="000000" w:themeColor="text1"/>
          <w:szCs w:val="21"/>
          <w14:textFill>
            <w14:solidFill>
              <w14:schemeClr w14:val="tx1"/>
            </w14:solidFill>
          </w14:textFill>
        </w:rPr>
        <w:t>）依法解散、被依法撤销或被依法宣告破产；</w:t>
      </w:r>
    </w:p>
    <w:p w14:paraId="63048113">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4</w:t>
      </w:r>
      <w:r>
        <w:rPr>
          <w:rFonts w:hint="eastAsia"/>
          <w:color w:val="000000" w:themeColor="text1"/>
          <w:szCs w:val="21"/>
          <w14:textFill>
            <w14:solidFill>
              <w14:schemeClr w14:val="tx1"/>
            </w14:solidFill>
          </w14:textFill>
        </w:rPr>
        <w:t>）法律法规及中国证监会规定的和《基金合同》约定的其他情形。</w:t>
      </w:r>
    </w:p>
    <w:p w14:paraId="3ED8A6AB">
      <w:pPr>
        <w:spacing w:line="360" w:lineRule="auto"/>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、更换基金管理人的程序</w:t>
      </w:r>
    </w:p>
    <w:p w14:paraId="187ED620">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）提名：临时基金管理人应向基金托管人、单独或合计持有</w:t>
      </w:r>
      <w:r>
        <w:rPr>
          <w:color w:val="000000" w:themeColor="text1"/>
          <w:szCs w:val="21"/>
          <w14:textFill>
            <w14:solidFill>
              <w14:schemeClr w14:val="tx1"/>
            </w14:solidFill>
          </w14:textFill>
        </w:rPr>
        <w:t>10%</w:t>
      </w:r>
      <w:r>
        <w:rPr>
          <w:rFonts w:hint="eastAsia"/>
          <w:color w:val="000000" w:themeColor="text1"/>
          <w:szCs w:val="21"/>
          <w14:textFill>
            <w14:solidFill>
              <w14:schemeClr w14:val="tx1"/>
            </w14:solidFill>
          </w14:textFill>
        </w:rPr>
        <w:t>以上（含</w:t>
      </w:r>
      <w:r>
        <w:rPr>
          <w:color w:val="000000" w:themeColor="text1"/>
          <w:szCs w:val="21"/>
          <w14:textFill>
            <w14:solidFill>
              <w14:schemeClr w14:val="tx1"/>
            </w14:solidFill>
          </w14:textFill>
        </w:rPr>
        <w:t>10%</w:t>
      </w:r>
      <w:r>
        <w:rPr>
          <w:rFonts w:hint="eastAsia"/>
          <w:color w:val="000000" w:themeColor="text1"/>
          <w:szCs w:val="21"/>
          <w14:textFill>
            <w14:solidFill>
              <w14:schemeClr w14:val="tx1"/>
            </w14:solidFill>
          </w14:textFill>
        </w:rPr>
        <w:t>）基金份额的基金份额持有人征集新任基金管理人提名人选。新任基金管理人提名人选由临时基金管理人、基金托管人、单独或合计持有</w:t>
      </w:r>
      <w:r>
        <w:rPr>
          <w:color w:val="000000" w:themeColor="text1"/>
          <w:szCs w:val="21"/>
          <w14:textFill>
            <w14:solidFill>
              <w14:schemeClr w14:val="tx1"/>
            </w14:solidFill>
          </w14:textFill>
        </w:rPr>
        <w:t>10%</w:t>
      </w:r>
      <w:r>
        <w:rPr>
          <w:rFonts w:hint="eastAsia"/>
          <w:color w:val="000000" w:themeColor="text1"/>
          <w:szCs w:val="21"/>
          <w14:textFill>
            <w14:solidFill>
              <w14:schemeClr w14:val="tx1"/>
            </w14:solidFill>
          </w14:textFill>
        </w:rPr>
        <w:t>以上（含</w:t>
      </w:r>
      <w:r>
        <w:rPr>
          <w:color w:val="000000" w:themeColor="text1"/>
          <w:szCs w:val="21"/>
          <w14:textFill>
            <w14:solidFill>
              <w14:schemeClr w14:val="tx1"/>
            </w14:solidFill>
          </w14:textFill>
        </w:rPr>
        <w:t>10%</w:t>
      </w:r>
      <w:r>
        <w:rPr>
          <w:rFonts w:hint="eastAsia"/>
          <w:color w:val="000000" w:themeColor="text1"/>
          <w:szCs w:val="21"/>
          <w14:textFill>
            <w14:solidFill>
              <w14:schemeClr w14:val="tx1"/>
            </w14:solidFill>
          </w14:textFill>
        </w:rPr>
        <w:t>）基金份额的基金份额持有人提名的人选构成；</w:t>
      </w:r>
    </w:p>
    <w:p w14:paraId="54E94198">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）决议：基金份额持有人大会在基金管理人职责终止后</w:t>
      </w:r>
      <w:r>
        <w:rPr>
          <w:color w:val="000000" w:themeColor="text1"/>
          <w:szCs w:val="21"/>
          <w14:textFill>
            <w14:solidFill>
              <w14:schemeClr w14:val="tx1"/>
            </w14:solidFill>
          </w14:textFill>
        </w:rPr>
        <w:t>6</w:t>
      </w:r>
      <w:r>
        <w:rPr>
          <w:rFonts w:hint="eastAsia"/>
          <w:color w:val="000000" w:themeColor="text1"/>
          <w:szCs w:val="21"/>
          <w14:textFill>
            <w14:solidFill>
              <w14:schemeClr w14:val="tx1"/>
            </w14:solidFill>
          </w14:textFill>
        </w:rPr>
        <w:t>个月内对被提名的基金管理人形成决议，该决议需经参加大会的基金份额持有人所持表决权的三分之二以上（含三分之二）表决通过，并自表决通过之日起生效，新任基金管理人应当符合法律法规及中国证监会规定的资格条件；</w:t>
      </w:r>
    </w:p>
    <w:p w14:paraId="1386585C">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3</w:t>
      </w:r>
      <w:r>
        <w:rPr>
          <w:rFonts w:hint="eastAsia"/>
          <w:color w:val="000000" w:themeColor="text1"/>
          <w:szCs w:val="21"/>
          <w14:textFill>
            <w14:solidFill>
              <w14:schemeClr w14:val="tx1"/>
            </w14:solidFill>
          </w14:textFill>
        </w:rPr>
        <w:t>）临时基金管理人：新任基金管理人产生之前，临时基金管理人由基金管理人、基金托管人、单独或合计持有</w:t>
      </w:r>
      <w:r>
        <w:rPr>
          <w:color w:val="000000" w:themeColor="text1"/>
          <w:szCs w:val="21"/>
          <w14:textFill>
            <w14:solidFill>
              <w14:schemeClr w14:val="tx1"/>
            </w14:solidFill>
          </w14:textFill>
        </w:rPr>
        <w:t>10%</w:t>
      </w:r>
      <w:r>
        <w:rPr>
          <w:rFonts w:hint="eastAsia"/>
          <w:color w:val="000000" w:themeColor="text1"/>
          <w:szCs w:val="21"/>
          <w14:textFill>
            <w14:solidFill>
              <w14:schemeClr w14:val="tx1"/>
            </w14:solidFill>
          </w14:textFill>
        </w:rPr>
        <w:t>以上（含</w:t>
      </w:r>
      <w:r>
        <w:rPr>
          <w:color w:val="000000" w:themeColor="text1"/>
          <w:szCs w:val="21"/>
          <w14:textFill>
            <w14:solidFill>
              <w14:schemeClr w14:val="tx1"/>
            </w14:solidFill>
          </w14:textFill>
        </w:rPr>
        <w:t>10%</w:t>
      </w:r>
      <w:r>
        <w:rPr>
          <w:rFonts w:hint="eastAsia"/>
          <w:color w:val="000000" w:themeColor="text1"/>
          <w:szCs w:val="21"/>
          <w14:textFill>
            <w14:solidFill>
              <w14:schemeClr w14:val="tx1"/>
            </w14:solidFill>
          </w14:textFill>
        </w:rPr>
        <w:t>）基金份额的基金份额持有人提名，中国证监会根据《基金法》的规定，从提名人选中择优指定临时基金管理人。基金管理人、基金托管人、单独或合计持有</w:t>
      </w:r>
      <w:r>
        <w:rPr>
          <w:color w:val="000000" w:themeColor="text1"/>
          <w:szCs w:val="21"/>
          <w14:textFill>
            <w14:solidFill>
              <w14:schemeClr w14:val="tx1"/>
            </w14:solidFill>
          </w14:textFill>
        </w:rPr>
        <w:t>10%</w:t>
      </w:r>
      <w:r>
        <w:rPr>
          <w:rFonts w:hint="eastAsia"/>
          <w:color w:val="000000" w:themeColor="text1"/>
          <w:szCs w:val="21"/>
          <w14:textFill>
            <w14:solidFill>
              <w14:schemeClr w14:val="tx1"/>
            </w14:solidFill>
          </w14:textFill>
        </w:rPr>
        <w:t>以上（含</w:t>
      </w:r>
      <w:r>
        <w:rPr>
          <w:color w:val="000000" w:themeColor="text1"/>
          <w:szCs w:val="21"/>
          <w14:textFill>
            <w14:solidFill>
              <w14:schemeClr w14:val="tx1"/>
            </w14:solidFill>
          </w14:textFill>
        </w:rPr>
        <w:t>10%</w:t>
      </w:r>
      <w:r>
        <w:rPr>
          <w:rFonts w:hint="eastAsia"/>
          <w:color w:val="000000" w:themeColor="text1"/>
          <w:szCs w:val="21"/>
          <w14:textFill>
            <w14:solidFill>
              <w14:schemeClr w14:val="tx1"/>
            </w14:solidFill>
          </w14:textFill>
        </w:rPr>
        <w:t>）基金份额的基金份额持有人均不提名的，由中国证监会指定临时基金管理人；</w:t>
      </w:r>
    </w:p>
    <w:p w14:paraId="23F889BB">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4</w:t>
      </w:r>
      <w:r>
        <w:rPr>
          <w:rFonts w:hint="eastAsia"/>
          <w:color w:val="000000" w:themeColor="text1"/>
          <w:szCs w:val="21"/>
          <w14:textFill>
            <w14:solidFill>
              <w14:schemeClr w14:val="tx1"/>
            </w14:solidFill>
          </w14:textFill>
        </w:rPr>
        <w:t>）备案：基金份额持有人大会更换基金管理人的决议须报中国证监会备案；</w:t>
      </w:r>
    </w:p>
    <w:p w14:paraId="10C88947">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5</w:t>
      </w:r>
      <w:r>
        <w:rPr>
          <w:rFonts w:hint="eastAsia"/>
          <w:color w:val="000000" w:themeColor="text1"/>
          <w:szCs w:val="21"/>
          <w14:textFill>
            <w14:solidFill>
              <w14:schemeClr w14:val="tx1"/>
            </w14:solidFill>
          </w14:textFill>
        </w:rPr>
        <w:t>）公告：基金管理人更换后，由基金托管人在基金份额持有人大会更换基金管理人的决议生效后依照《信息披露办法》在规定媒介公告；</w:t>
      </w:r>
    </w:p>
    <w:p w14:paraId="78472110">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6</w:t>
      </w:r>
      <w:r>
        <w:rPr>
          <w:rFonts w:hint="eastAsia"/>
          <w:color w:val="000000" w:themeColor="text1"/>
          <w:szCs w:val="21"/>
          <w14:textFill>
            <w14:solidFill>
              <w14:schemeClr w14:val="tx1"/>
            </w14:solidFill>
          </w14:textFill>
        </w:rPr>
        <w:t>）交接与责任划分：基金管理人职责终止的，基金管理人应妥善保管基金管理业务资料，及时办理基金管理业务的移交手续，临时基金管理人或新任基金管理人应及时接收，并与基金托管人核对基金资产总值和净值。基金管理人、临时基金管理人、新任基金管理人应对各自履职行为依法承担责任；</w:t>
      </w:r>
    </w:p>
    <w:p w14:paraId="5BCC4C76">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7</w:t>
      </w:r>
      <w:r>
        <w:rPr>
          <w:rFonts w:hint="eastAsia"/>
          <w:color w:val="000000" w:themeColor="text1"/>
          <w:szCs w:val="21"/>
          <w14:textFill>
            <w14:solidFill>
              <w14:schemeClr w14:val="tx1"/>
            </w14:solidFill>
          </w14:textFill>
        </w:rPr>
        <w:t>）审计：基金管理人职责终止的，应当按照法律法规规定聘请会计师事务所对基金财产进行审计，并将审计结果予以公告，同时报中国证监会备案，审计费用从基金财产中列支；</w:t>
      </w:r>
    </w:p>
    <w:p w14:paraId="479E2934">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8</w:t>
      </w:r>
      <w:r>
        <w:rPr>
          <w:rFonts w:hint="eastAsia"/>
          <w:color w:val="000000" w:themeColor="text1"/>
          <w:szCs w:val="21"/>
          <w14:textFill>
            <w14:solidFill>
              <w14:schemeClr w14:val="tx1"/>
            </w14:solidFill>
          </w14:textFill>
        </w:rPr>
        <w:t>）基金名称变更：基金管理人更换后，如果原任或新任基金管理人要求，应按其要求替换或删除基金名称中与原基金管理人有关的名称字样。</w:t>
      </w:r>
    </w:p>
    <w:p w14:paraId="199F7DAB">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原任基金管理人职责终止后，新任基金管理人或临时基金管理人接受基金管理业务前，原任基金管理人和基金托管人需采取审慎措施确保基金财产的安全，不对基金份额持有人的利益造成损失，并有义务协助新任基金管理人或临时基金管理人尽快恢复基金财产的投资运作。</w:t>
      </w:r>
    </w:p>
    <w:p w14:paraId="16A4D16E">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（二）基金托管人的更换</w:t>
      </w:r>
    </w:p>
    <w:p w14:paraId="4C03274D">
      <w:pPr>
        <w:spacing w:line="360" w:lineRule="auto"/>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、基金托管人的更换条件</w:t>
      </w:r>
    </w:p>
    <w:p w14:paraId="3007939C">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有下列情形之一的，基金托管人职责终止：</w:t>
      </w:r>
    </w:p>
    <w:p w14:paraId="2DB68AF5">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）被依法取消基金托管资格；</w:t>
      </w:r>
    </w:p>
    <w:p w14:paraId="4EFDB730">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）被基金份额持有人大会解任；</w:t>
      </w:r>
    </w:p>
    <w:p w14:paraId="766992A3">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3</w:t>
      </w:r>
      <w:r>
        <w:rPr>
          <w:rFonts w:hint="eastAsia"/>
          <w:color w:val="000000" w:themeColor="text1"/>
          <w:szCs w:val="21"/>
          <w14:textFill>
            <w14:solidFill>
              <w14:schemeClr w14:val="tx1"/>
            </w14:solidFill>
          </w14:textFill>
        </w:rPr>
        <w:t>）依法解散、被依法撤销或被依法宣告破产；</w:t>
      </w:r>
    </w:p>
    <w:p w14:paraId="4B2B6E20">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4</w:t>
      </w:r>
      <w:r>
        <w:rPr>
          <w:rFonts w:hint="eastAsia"/>
          <w:color w:val="000000" w:themeColor="text1"/>
          <w:szCs w:val="21"/>
          <w14:textFill>
            <w14:solidFill>
              <w14:schemeClr w14:val="tx1"/>
            </w14:solidFill>
          </w14:textFill>
        </w:rPr>
        <w:t>）法律法规及中国证监会规定的和《基金合同》约定的其他情形。</w:t>
      </w:r>
    </w:p>
    <w:p w14:paraId="5C2CA5A7">
      <w:pPr>
        <w:spacing w:line="360" w:lineRule="auto"/>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、更换基金托管人的程序</w:t>
      </w:r>
    </w:p>
    <w:p w14:paraId="37DBE451">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）提名：新任基金托管人由基金管理人或由单独或合计持有</w:t>
      </w:r>
      <w:r>
        <w:rPr>
          <w:color w:val="000000" w:themeColor="text1"/>
          <w:szCs w:val="21"/>
          <w14:textFill>
            <w14:solidFill>
              <w14:schemeClr w14:val="tx1"/>
            </w14:solidFill>
          </w14:textFill>
        </w:rPr>
        <w:t>10%</w:t>
      </w:r>
      <w:r>
        <w:rPr>
          <w:rFonts w:hint="eastAsia"/>
          <w:color w:val="000000" w:themeColor="text1"/>
          <w:szCs w:val="21"/>
          <w14:textFill>
            <w14:solidFill>
              <w14:schemeClr w14:val="tx1"/>
            </w14:solidFill>
          </w14:textFill>
        </w:rPr>
        <w:t>以上（含</w:t>
      </w:r>
      <w:r>
        <w:rPr>
          <w:color w:val="000000" w:themeColor="text1"/>
          <w:szCs w:val="21"/>
          <w14:textFill>
            <w14:solidFill>
              <w14:schemeClr w14:val="tx1"/>
            </w14:solidFill>
          </w14:textFill>
        </w:rPr>
        <w:t>10%</w:t>
      </w:r>
      <w:r>
        <w:rPr>
          <w:rFonts w:hint="eastAsia"/>
          <w:color w:val="000000" w:themeColor="text1"/>
          <w:szCs w:val="21"/>
          <w14:textFill>
            <w14:solidFill>
              <w14:schemeClr w14:val="tx1"/>
            </w14:solidFill>
          </w14:textFill>
        </w:rPr>
        <w:t>）基金份额的基金份额持有人提名；</w:t>
      </w:r>
    </w:p>
    <w:p w14:paraId="09D2B971">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）决议：基金份额持有人大会在基金托管人职责终止后</w:t>
      </w:r>
      <w:r>
        <w:rPr>
          <w:color w:val="000000" w:themeColor="text1"/>
          <w:szCs w:val="21"/>
          <w14:textFill>
            <w14:solidFill>
              <w14:schemeClr w14:val="tx1"/>
            </w14:solidFill>
          </w14:textFill>
        </w:rPr>
        <w:t>6</w:t>
      </w:r>
      <w:r>
        <w:rPr>
          <w:rFonts w:hint="eastAsia"/>
          <w:color w:val="000000" w:themeColor="text1"/>
          <w:szCs w:val="21"/>
          <w14:textFill>
            <w14:solidFill>
              <w14:schemeClr w14:val="tx1"/>
            </w14:solidFill>
          </w14:textFill>
        </w:rPr>
        <w:t>个月内对被提名的基金托管人形成决议，该决议需经参加大会的基金份额持有人所持表决权的</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三分之二以上（含三分之二）表决通过，并自表决通过之日起生效，新任基金托管人应当符合法律法规及中国证监会规定的资格条件；</w:t>
      </w:r>
    </w:p>
    <w:p w14:paraId="7420D87F">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3</w:t>
      </w:r>
      <w:r>
        <w:rPr>
          <w:rFonts w:hint="eastAsia"/>
          <w:color w:val="000000" w:themeColor="text1"/>
          <w:szCs w:val="21"/>
          <w14:textFill>
            <w14:solidFill>
              <w14:schemeClr w14:val="tx1"/>
            </w14:solidFill>
          </w14:textFill>
        </w:rPr>
        <w:t>）临时基金托管人：新任基金托管人产生之前，由中国证监会指定临时基金托管人；</w:t>
      </w:r>
    </w:p>
    <w:p w14:paraId="2B1E8609">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4</w:t>
      </w:r>
      <w:r>
        <w:rPr>
          <w:rFonts w:hint="eastAsia"/>
          <w:color w:val="000000" w:themeColor="text1"/>
          <w:szCs w:val="21"/>
          <w14:textFill>
            <w14:solidFill>
              <w14:schemeClr w14:val="tx1"/>
            </w14:solidFill>
          </w14:textFill>
        </w:rPr>
        <w:t>）备案：基金份额持有人大会更换基金托管人的决议须报中国证监会备案；</w:t>
      </w:r>
    </w:p>
    <w:p w14:paraId="4D08D186">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5</w:t>
      </w:r>
      <w:r>
        <w:rPr>
          <w:rFonts w:hint="eastAsia"/>
          <w:color w:val="000000" w:themeColor="text1"/>
          <w:szCs w:val="21"/>
          <w14:textFill>
            <w14:solidFill>
              <w14:schemeClr w14:val="tx1"/>
            </w14:solidFill>
          </w14:textFill>
        </w:rPr>
        <w:t>）公告：基金托管人更换后，由基金管理人在基金份额持有人大会更换基金托管人的决议生效后依照《信息披露办法》在规定媒介公告；</w:t>
      </w:r>
    </w:p>
    <w:p w14:paraId="665ADBBE">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6</w:t>
      </w:r>
      <w:r>
        <w:rPr>
          <w:rFonts w:hint="eastAsia"/>
          <w:color w:val="000000" w:themeColor="text1"/>
          <w:szCs w:val="21"/>
          <w14:textFill>
            <w14:solidFill>
              <w14:schemeClr w14:val="tx1"/>
            </w14:solidFill>
          </w14:textFill>
        </w:rPr>
        <w:t>）交接：基金托管人职责终止的，应当妥善保管基金财产和基金托管业务资料，及时办理基金财产和基金托管业务的移交手续，新任基金托管人或者临时基金托管人应当及时接收，并与基金管理人核对基金资产总值和净值；</w:t>
      </w:r>
      <w:r>
        <w:rPr>
          <w:color w:val="000000" w:themeColor="text1"/>
          <w:szCs w:val="21"/>
          <w14:textFill>
            <w14:solidFill>
              <w14:schemeClr w14:val="tx1"/>
            </w14:solidFill>
          </w14:textFill>
        </w:rPr>
        <w:t xml:space="preserve"> </w:t>
      </w:r>
    </w:p>
    <w:p w14:paraId="46ACEE9A">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7</w:t>
      </w:r>
      <w:r>
        <w:rPr>
          <w:rFonts w:hint="eastAsia"/>
          <w:color w:val="000000" w:themeColor="text1"/>
          <w:szCs w:val="21"/>
          <w14:textFill>
            <w14:solidFill>
              <w14:schemeClr w14:val="tx1"/>
            </w14:solidFill>
          </w14:textFill>
        </w:rPr>
        <w:t>）审计：基金托管人职责终止的，应当按照法律法规规定聘请会计师事务所对基金财产进行审计，并将审计结果予以公告，同时报中国证监会备案，审计费用从基金财产中列支。</w:t>
      </w:r>
    </w:p>
    <w:p w14:paraId="734A56F8">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原任基金托管人职责终止后，新任基金托管人或临时基金托管人接受基金财产和基金托管业务前，原基金托管人和基金管理人需采取审慎措施确保基金财产的安全，不对基金份额持有人的利益造成损失，并有义务协助新任基金托管人或临时基金托管人尽快交接基金资产。</w:t>
      </w:r>
    </w:p>
    <w:p w14:paraId="05F75DCF">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（三）基金管理人和基金托管人的同时更换</w:t>
      </w:r>
    </w:p>
    <w:p w14:paraId="7DD68F75">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）提名：如果基金管理人和基金托管人同时更换，由单独或合计持有基金总份额</w:t>
      </w:r>
      <w:r>
        <w:rPr>
          <w:color w:val="000000" w:themeColor="text1"/>
          <w:szCs w:val="21"/>
          <w14:textFill>
            <w14:solidFill>
              <w14:schemeClr w14:val="tx1"/>
            </w14:solidFill>
          </w14:textFill>
        </w:rPr>
        <w:t>10%</w:t>
      </w:r>
      <w:r>
        <w:rPr>
          <w:rFonts w:hint="eastAsia"/>
          <w:color w:val="000000" w:themeColor="text1"/>
          <w:szCs w:val="21"/>
          <w14:textFill>
            <w14:solidFill>
              <w14:schemeClr w14:val="tx1"/>
            </w14:solidFill>
          </w14:textFill>
        </w:rPr>
        <w:t>以上（含</w:t>
      </w:r>
      <w:r>
        <w:rPr>
          <w:color w:val="000000" w:themeColor="text1"/>
          <w:szCs w:val="21"/>
          <w14:textFill>
            <w14:solidFill>
              <w14:schemeClr w14:val="tx1"/>
            </w14:solidFill>
          </w14:textFill>
        </w:rPr>
        <w:t>10%</w:t>
      </w:r>
      <w:r>
        <w:rPr>
          <w:rFonts w:hint="eastAsia"/>
          <w:color w:val="000000" w:themeColor="text1"/>
          <w:szCs w:val="21"/>
          <w14:textFill>
            <w14:solidFill>
              <w14:schemeClr w14:val="tx1"/>
            </w14:solidFill>
          </w14:textFill>
        </w:rPr>
        <w:t>）的基金份额持有人提名新的基金管理人和基金托管人；</w:t>
      </w:r>
    </w:p>
    <w:p w14:paraId="2B4A83BA">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）基金管理人和基金托管人的更换分别按上述程序进行；</w:t>
      </w:r>
    </w:p>
    <w:p w14:paraId="64AC32BC">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3</w:t>
      </w:r>
      <w:r>
        <w:rPr>
          <w:rFonts w:hint="eastAsia"/>
          <w:color w:val="000000" w:themeColor="text1"/>
          <w:szCs w:val="21"/>
          <w14:textFill>
            <w14:solidFill>
              <w14:schemeClr w14:val="tx1"/>
            </w14:solidFill>
          </w14:textFill>
        </w:rPr>
        <w:t>）公告：新任基金管理人和新任基金托管人应在更换基金管理人和基金托管人的基金份额持有人大会决议生效后依照《信息披露办法》在规定媒介上联合公告。</w:t>
      </w:r>
    </w:p>
    <w:p w14:paraId="661C6EC3">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（四）基金托管人更换的特殊程序 </w:t>
      </w:r>
    </w:p>
    <w:p w14:paraId="6BD20BE6">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下述更换基金托管人的情形仅适用于以下特殊程序，不适用其他约定：</w:t>
      </w:r>
    </w:p>
    <w:p w14:paraId="741F6752">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当基金托管人获得监管机构批复或核准可以通过其独资或者控股的、具有独立法人资格的子公司（“托管子公司”）从事托管业务后，在基金管理人和基金托管人协商一致的基础上，基金托管人有权在对基金合同无实质性修改的前提下，将基金合同中应由基金托管人享有的权利和承担的义务概括转让给托管子公司，本基金的基金托管人变更为托管子公司。前述基金托管人变更事项无需另行征询基金份额持有人同意或召开基金份额持有人大会审议，亦无需另行签订基金合同或托管协议，但基金管理人、基金托管人应当按照法律法规和中国证监会的要求履行相关程序，并按照《信息披露办法》的规定在规定媒介公告。自该等公告通知载明的指定时间（含）起，上述概括转让被视为自动完成，本托管协议项下的托管人自此变更为托管子公司。</w:t>
      </w:r>
    </w:p>
    <w:p w14:paraId="73CB9CDD">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为避免疑义，上述基金托管人变更事项不属于基金托管人职责终止或解任情形，继任的基金托管人将依据监管规定和基金合同、托管协议的约定履行相应的权利与义务。上述基金托管人变更事项不触发基金合同或托管协议的终止事由，不会导致基金合同或托管协议终止。</w:t>
      </w:r>
    </w:p>
    <w:p w14:paraId="3D235108">
      <w:pPr>
        <w:spacing w:line="360" w:lineRule="auto"/>
        <w:ind w:firstLine="420" w:firstLineChars="200"/>
        <w:rPr>
          <w:color w:val="000000" w:themeColor="text1"/>
          <w:szCs w:val="21"/>
          <w14:textFill>
            <w14:solidFill>
              <w14:schemeClr w14:val="tx1"/>
            </w14:solidFill>
          </w14:textFill>
        </w:rPr>
      </w:pPr>
    </w:p>
    <w:p w14:paraId="0EE8679E">
      <w:pPr>
        <w:spacing w:line="360" w:lineRule="auto"/>
        <w:ind w:firstLine="420" w:firstLineChars="200"/>
        <w:rPr>
          <w:color w:val="000000" w:themeColor="text1"/>
          <w:szCs w:val="21"/>
          <w14:textFill>
            <w14:solidFill>
              <w14:schemeClr w14:val="tx1"/>
            </w14:solidFill>
          </w14:textFill>
        </w:rPr>
      </w:pPr>
    </w:p>
    <w:p w14:paraId="04DBC55C">
      <w:pPr>
        <w:pStyle w:val="2"/>
        <w:numPr>
          <w:ilvl w:val="0"/>
          <w:numId w:val="1"/>
        </w:numPr>
        <w:spacing w:before="120" w:after="120" w:line="360" w:lineRule="auto"/>
        <w:jc w:val="center"/>
        <w:rPr>
          <w:b w:val="0"/>
          <w:color w:val="000000" w:themeColor="text1"/>
          <w:sz w:val="24"/>
          <w:szCs w:val="24"/>
          <w14:textFill>
            <w14:solidFill>
              <w14:schemeClr w14:val="tx1"/>
            </w14:solidFill>
          </w14:textFill>
        </w:rPr>
      </w:pPr>
      <w:bookmarkStart w:id="38" w:name="_Toc394474010"/>
      <w:bookmarkStart w:id="39" w:name="_Toc881145"/>
      <w:r>
        <w:rPr>
          <w:rFonts w:hint="eastAsia"/>
          <w:color w:val="000000" w:themeColor="text1"/>
          <w:sz w:val="24"/>
          <w:szCs w:val="24"/>
          <w14:textFill>
            <w14:solidFill>
              <w14:schemeClr w14:val="tx1"/>
            </w14:solidFill>
          </w14:textFill>
        </w:rPr>
        <w:t>禁止行为</w:t>
      </w:r>
      <w:bookmarkEnd w:id="38"/>
      <w:bookmarkEnd w:id="39"/>
    </w:p>
    <w:p w14:paraId="7E2F0D4B">
      <w:pPr>
        <w:spacing w:line="360" w:lineRule="auto"/>
        <w:ind w:firstLine="420" w:firstLineChars="200"/>
        <w:rPr>
          <w:color w:val="000000" w:themeColor="text1"/>
          <w:szCs w:val="21"/>
          <w14:textFill>
            <w14:solidFill>
              <w14:schemeClr w14:val="tx1"/>
            </w14:solidFill>
          </w14:textFill>
        </w:rPr>
      </w:pPr>
    </w:p>
    <w:p w14:paraId="6E1E0342">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托管协议当事人禁止从事的行为，包括但不限于：</w:t>
      </w:r>
    </w:p>
    <w:p w14:paraId="106FF57D">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（一）基金管理人、基金托管人将其固有财产或者他人财产混同于基金财产从事证券投资。</w:t>
      </w:r>
    </w:p>
    <w:p w14:paraId="32296F4A">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（二）基金管理人、基金托管人不公平地对待其管理或托管的不同基金财产。</w:t>
      </w:r>
    </w:p>
    <w:p w14:paraId="7A9F2A2B">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（三）基金管理人、基金托管人利用基金财产为基金份额持有人以外的第三人牟取利益。</w:t>
      </w:r>
    </w:p>
    <w:p w14:paraId="4721ADFB">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（四）基金管理人、基金托管人向基金份额持有人违规承诺收益或者承担损失。</w:t>
      </w:r>
    </w:p>
    <w:p w14:paraId="721C417C">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（五）基金管理人、基金托管人对他人泄漏基金经营过程中任何尚未按法律法规规定的方式公开披露的信息。</w:t>
      </w:r>
    </w:p>
    <w:p w14:paraId="410920F1">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（六）基金管理人在没有充足资金的情况下向基金托管人发出投资指令和赎回、分红资金的划拨指令，或违规向基金托管人发出指令。</w:t>
      </w:r>
    </w:p>
    <w:p w14:paraId="164190CD">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（七）基金托管人对基金管理人的正常有效指令拖延或拒绝执行。</w:t>
      </w:r>
    </w:p>
    <w:p w14:paraId="6C5CB461">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（八）基金管理人、基金托管人在行政上、财务上不独立，其高级基金管理人员和其他从业人员相互兼职。</w:t>
      </w:r>
    </w:p>
    <w:p w14:paraId="3B80D803">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（九）基金托管人私自动用或处分基金资产，根据基金管理人的合法指令、</w:t>
      </w:r>
      <w:r>
        <w:rPr>
          <w:rFonts w:hint="eastAsia" w:ascii="宋体" w:hAnsi="Calibri" w:cs="宋体"/>
          <w:color w:val="000000" w:themeColor="text1"/>
          <w:kern w:val="0"/>
          <w:szCs w:val="21"/>
          <w14:textFill>
            <w14:solidFill>
              <w14:schemeClr w14:val="tx1"/>
            </w14:solidFill>
          </w14:textFill>
        </w:rPr>
        <w:t>《基金合同》</w:t>
      </w:r>
      <w:r>
        <w:rPr>
          <w:rFonts w:hint="eastAsia"/>
          <w:color w:val="000000" w:themeColor="text1"/>
          <w:szCs w:val="21"/>
          <w14:textFill>
            <w14:solidFill>
              <w14:schemeClr w14:val="tx1"/>
            </w14:solidFill>
          </w14:textFill>
        </w:rPr>
        <w:t>或托管协议的规定进行处分的除外。</w:t>
      </w:r>
    </w:p>
    <w:p w14:paraId="58EBBEC9">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（十）基金管理人、基金托管人不得利用基金财产用于下列投资或者活动（同本协议第三章约定内容）：</w:t>
      </w:r>
    </w:p>
    <w:p w14:paraId="6702FABC">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）承销证券；</w:t>
      </w:r>
    </w:p>
    <w:p w14:paraId="7859F6B4">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）违反规定向他人贷款或者提供担保；</w:t>
      </w:r>
    </w:p>
    <w:p w14:paraId="2E5A53A0">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3</w:t>
      </w:r>
      <w:r>
        <w:rPr>
          <w:rFonts w:hint="eastAsia"/>
          <w:color w:val="000000" w:themeColor="text1"/>
          <w:szCs w:val="21"/>
          <w14:textFill>
            <w14:solidFill>
              <w14:schemeClr w14:val="tx1"/>
            </w14:solidFill>
          </w14:textFill>
        </w:rPr>
        <w:t>）从事承担无限责任的投资；</w:t>
      </w:r>
    </w:p>
    <w:p w14:paraId="5A46DAE5">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4</w:t>
      </w:r>
      <w:r>
        <w:rPr>
          <w:rFonts w:hint="eastAsia"/>
          <w:color w:val="000000" w:themeColor="text1"/>
          <w:szCs w:val="21"/>
          <w14:textFill>
            <w14:solidFill>
              <w14:schemeClr w14:val="tx1"/>
            </w14:solidFill>
          </w14:textFill>
        </w:rPr>
        <w:t>）买卖其他基金份额，但是中国证监会另有规定的除外；</w:t>
      </w:r>
    </w:p>
    <w:p w14:paraId="6B485EC0">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5</w:t>
      </w:r>
      <w:r>
        <w:rPr>
          <w:rFonts w:hint="eastAsia"/>
          <w:color w:val="000000" w:themeColor="text1"/>
          <w:szCs w:val="21"/>
          <w14:textFill>
            <w14:solidFill>
              <w14:schemeClr w14:val="tx1"/>
            </w14:solidFill>
          </w14:textFill>
        </w:rPr>
        <w:t>）向其基金管理人、基金托管人出资；</w:t>
      </w:r>
    </w:p>
    <w:p w14:paraId="5267EA9A">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6</w:t>
      </w:r>
      <w:r>
        <w:rPr>
          <w:rFonts w:hint="eastAsia"/>
          <w:color w:val="000000" w:themeColor="text1"/>
          <w:szCs w:val="21"/>
          <w14:textFill>
            <w14:solidFill>
              <w14:schemeClr w14:val="tx1"/>
            </w14:solidFill>
          </w14:textFill>
        </w:rPr>
        <w:t>）从事内幕交易、操纵证券交易价格及其他不正当的证券交易活动；</w:t>
      </w:r>
    </w:p>
    <w:p w14:paraId="77A003B6">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7</w:t>
      </w:r>
      <w:r>
        <w:rPr>
          <w:rFonts w:hint="eastAsia"/>
          <w:color w:val="000000" w:themeColor="text1"/>
          <w:szCs w:val="21"/>
          <w14:textFill>
            <w14:solidFill>
              <w14:schemeClr w14:val="tx1"/>
            </w14:solidFill>
          </w14:textFill>
        </w:rPr>
        <w:t>）</w:t>
      </w:r>
      <w:r>
        <w:rPr>
          <w:rFonts w:hint="eastAsia"/>
          <w:color w:val="000000" w:themeColor="text1"/>
          <w14:textFill>
            <w14:solidFill>
              <w14:schemeClr w14:val="tx1"/>
            </w14:solidFill>
          </w14:textFill>
        </w:rPr>
        <w:t>法律、行政法规和中国证监会规定禁止的其他活动。</w:t>
      </w:r>
    </w:p>
    <w:p w14:paraId="50BB614A">
      <w:pPr>
        <w:spacing w:line="360" w:lineRule="auto"/>
        <w:ind w:firstLine="420" w:firstLineChars="200"/>
        <w:rPr>
          <w:color w:val="000000" w:themeColor="text1"/>
          <w:szCs w:val="21"/>
          <w14:textFill>
            <w14:solidFill>
              <w14:schemeClr w14:val="tx1"/>
            </w14:solidFill>
          </w14:textFill>
        </w:rPr>
      </w:pPr>
      <w:r>
        <w:rPr>
          <w:rFonts w:hint="eastAsia"/>
          <w:szCs w:val="21"/>
        </w:rPr>
        <w:t>如法律法规或监管部门取消或</w:t>
      </w:r>
      <w:r>
        <w:rPr>
          <w:rFonts w:hint="eastAsia"/>
          <w:color w:val="000000" w:themeColor="text1"/>
          <w:szCs w:val="21"/>
          <w14:textFill>
            <w14:solidFill>
              <w14:schemeClr w14:val="tx1"/>
            </w14:solidFill>
          </w14:textFill>
        </w:rPr>
        <w:t>调整</w:t>
      </w:r>
      <w:r>
        <w:rPr>
          <w:rFonts w:hint="eastAsia"/>
          <w:szCs w:val="21"/>
        </w:rPr>
        <w:t>上述禁止性规定，如适用于本基金，基金管理人在履行适当程序后，则本基金投资不再受相关限制或</w:t>
      </w:r>
      <w:r>
        <w:rPr>
          <w:rFonts w:hint="eastAsia"/>
          <w:color w:val="000000" w:themeColor="text1"/>
          <w:szCs w:val="21"/>
          <w14:textFill>
            <w14:solidFill>
              <w14:schemeClr w14:val="tx1"/>
            </w14:solidFill>
          </w14:textFill>
        </w:rPr>
        <w:t>按照调整</w:t>
      </w:r>
      <w:r>
        <w:rPr>
          <w:rFonts w:hint="eastAsia"/>
          <w:szCs w:val="21"/>
        </w:rPr>
        <w:t>后的规定</w:t>
      </w:r>
      <w:r>
        <w:rPr>
          <w:rFonts w:hint="eastAsia"/>
          <w:color w:val="000000" w:themeColor="text1"/>
          <w:szCs w:val="21"/>
          <w14:textFill>
            <w14:solidFill>
              <w14:schemeClr w14:val="tx1"/>
            </w14:solidFill>
          </w14:textFill>
        </w:rPr>
        <w:t>执行</w:t>
      </w:r>
      <w:r>
        <w:rPr>
          <w:rFonts w:hint="eastAsia"/>
          <w:szCs w:val="21"/>
        </w:rPr>
        <w:t>。</w:t>
      </w:r>
    </w:p>
    <w:p w14:paraId="3F903D9B">
      <w:pPr>
        <w:autoSpaceDE w:val="0"/>
        <w:autoSpaceDN w:val="0"/>
        <w:adjustRightInd w:val="0"/>
        <w:spacing w:line="360" w:lineRule="auto"/>
        <w:ind w:firstLine="420" w:firstLineChars="200"/>
        <w:rPr>
          <w:color w:val="000000" w:themeColor="text1"/>
          <w:szCs w:val="21"/>
          <w14:textFill>
            <w14:solidFill>
              <w14:schemeClr w14:val="tx1"/>
            </w14:solidFill>
          </w14:textFill>
        </w:rPr>
      </w:pPr>
    </w:p>
    <w:p w14:paraId="1B984877">
      <w:pPr>
        <w:pStyle w:val="2"/>
        <w:numPr>
          <w:ilvl w:val="0"/>
          <w:numId w:val="1"/>
        </w:numPr>
        <w:spacing w:before="120" w:after="120" w:line="360" w:lineRule="auto"/>
        <w:jc w:val="center"/>
        <w:rPr>
          <w:b w:val="0"/>
          <w:color w:val="000000" w:themeColor="text1"/>
          <w:sz w:val="24"/>
          <w:szCs w:val="24"/>
          <w14:textFill>
            <w14:solidFill>
              <w14:schemeClr w14:val="tx1"/>
            </w14:solidFill>
          </w14:textFill>
        </w:rPr>
      </w:pPr>
      <w:bookmarkStart w:id="40" w:name="_Toc394474011"/>
      <w:bookmarkStart w:id="41" w:name="_Toc881146"/>
      <w:r>
        <w:rPr>
          <w:rFonts w:hint="eastAsia"/>
          <w:color w:val="000000" w:themeColor="text1"/>
          <w:sz w:val="24"/>
          <w:szCs w:val="24"/>
          <w14:textFill>
            <w14:solidFill>
              <w14:schemeClr w14:val="tx1"/>
            </w14:solidFill>
          </w14:textFill>
        </w:rPr>
        <w:t>托管协议的变更、终止与基金财产的清算</w:t>
      </w:r>
      <w:bookmarkEnd w:id="40"/>
      <w:bookmarkEnd w:id="41"/>
    </w:p>
    <w:p w14:paraId="3C20B8F3">
      <w:pPr>
        <w:autoSpaceDE w:val="0"/>
        <w:autoSpaceDN w:val="0"/>
        <w:adjustRightInd w:val="0"/>
        <w:spacing w:line="360" w:lineRule="auto"/>
        <w:jc w:val="left"/>
        <w:rPr>
          <w:color w:val="000000" w:themeColor="text1"/>
          <w:szCs w:val="21"/>
          <w14:textFill>
            <w14:solidFill>
              <w14:schemeClr w14:val="tx1"/>
            </w14:solidFill>
          </w14:textFill>
        </w:rPr>
      </w:pPr>
    </w:p>
    <w:p w14:paraId="4E641333">
      <w:pPr>
        <w:autoSpaceDE w:val="0"/>
        <w:autoSpaceDN w:val="0"/>
        <w:adjustRightInd w:val="0"/>
        <w:spacing w:line="360" w:lineRule="auto"/>
        <w:ind w:firstLine="315" w:firstLineChars="15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（一）托管协议的变更与终止</w:t>
      </w:r>
    </w:p>
    <w:p w14:paraId="70416BF5">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、托管协议的变更程序</w:t>
      </w:r>
    </w:p>
    <w:p w14:paraId="18D78D71">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本协议双方当事人经协商一致，可以对协议的内容进行变更。变更后的托管协议，其内容不得与《基金合同》的规定有任何冲突。基金托管协议的变更须报中国证监会备案。</w:t>
      </w:r>
    </w:p>
    <w:p w14:paraId="2059F036">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、基金托管协议终止的情形</w:t>
      </w:r>
    </w:p>
    <w:p w14:paraId="3560F806">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发生以下情况，本托管协议终止：</w:t>
      </w:r>
    </w:p>
    <w:p w14:paraId="6417BEB1">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）《基金合同》终止；</w:t>
      </w:r>
    </w:p>
    <w:p w14:paraId="7DFB7532">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）基金托管人解散、依法被撤销、破产或有其他基金托管人接管基金资产；</w:t>
      </w:r>
    </w:p>
    <w:p w14:paraId="32CC0AC2">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3</w:t>
      </w:r>
      <w:r>
        <w:rPr>
          <w:rFonts w:hint="eastAsia"/>
          <w:color w:val="000000" w:themeColor="text1"/>
          <w:szCs w:val="21"/>
          <w14:textFill>
            <w14:solidFill>
              <w14:schemeClr w14:val="tx1"/>
            </w14:solidFill>
          </w14:textFill>
        </w:rPr>
        <w:t>）基金管理人解散、依法被撤销、破产或有其他基金管理人接管基金管理权；</w:t>
      </w:r>
    </w:p>
    <w:p w14:paraId="58C5773D">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4</w:t>
      </w:r>
      <w:r>
        <w:rPr>
          <w:rFonts w:hint="eastAsia"/>
          <w:color w:val="000000" w:themeColor="text1"/>
          <w:szCs w:val="21"/>
          <w14:textFill>
            <w14:solidFill>
              <w14:schemeClr w14:val="tx1"/>
            </w14:solidFill>
          </w14:textFill>
        </w:rPr>
        <w:t>）发生法律法规、中国证监会或《基金合同》规定的终止事项。</w:t>
      </w:r>
    </w:p>
    <w:p w14:paraId="2A7C32EE">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（二）基金财产的清算</w:t>
      </w:r>
    </w:p>
    <w:p w14:paraId="79BAB125">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、基金财产清算小组：自出现《基金合同》终止事由之日起</w:t>
      </w:r>
      <w:r>
        <w:rPr>
          <w:color w:val="000000" w:themeColor="text1"/>
          <w:szCs w:val="21"/>
          <w14:textFill>
            <w14:solidFill>
              <w14:schemeClr w14:val="tx1"/>
            </w14:solidFill>
          </w14:textFill>
        </w:rPr>
        <w:t>30</w:t>
      </w:r>
      <w:r>
        <w:rPr>
          <w:rFonts w:hint="eastAsia"/>
          <w:color w:val="000000" w:themeColor="text1"/>
          <w:szCs w:val="21"/>
          <w14:textFill>
            <w14:solidFill>
              <w14:schemeClr w14:val="tx1"/>
            </w14:solidFill>
          </w14:textFill>
        </w:rPr>
        <w:t>个工作日内成立基金财产清算小组，基金管理人或临时基金管理人组织基金财产清算小组并在中国证监会的监督下进行基金清算。</w:t>
      </w:r>
    </w:p>
    <w:p w14:paraId="0A2ACCBC">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基金财产清算小组组成：基金财产清算小组成员由基金管理人或临时基金管理人、基金托管人、符合《中华人民共和国证券法》规定的注册会计师、律师以及中国证监会指定的人员组成。基金财产清算小组可以聘用必要的工作人员。</w:t>
      </w:r>
    </w:p>
    <w:p w14:paraId="26FCF82E">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3</w:t>
      </w:r>
      <w:r>
        <w:rPr>
          <w:rFonts w:hint="eastAsia"/>
          <w:color w:val="000000" w:themeColor="text1"/>
          <w:szCs w:val="21"/>
          <w14:textFill>
            <w14:solidFill>
              <w14:schemeClr w14:val="tx1"/>
            </w14:solidFill>
          </w14:textFill>
        </w:rPr>
        <w:t>、基金财产清算小组职责：基金财产清算小组负责基金财产的保管、清理、估价、变现和分配。基金财产清算小组可以依法进行必要的民事活动。</w:t>
      </w:r>
    </w:p>
    <w:p w14:paraId="51C9B2CF">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4</w:t>
      </w:r>
      <w:r>
        <w:rPr>
          <w:rFonts w:hint="eastAsia"/>
          <w:color w:val="000000" w:themeColor="text1"/>
          <w:szCs w:val="21"/>
          <w14:textFill>
            <w14:solidFill>
              <w14:schemeClr w14:val="tx1"/>
            </w14:solidFill>
          </w14:textFill>
        </w:rPr>
        <w:t>、基金财产清算程序：</w:t>
      </w:r>
    </w:p>
    <w:p w14:paraId="41DD8E95">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）《基金合同》终止情形出现时，由基金财产清算小组统一接管基金；</w:t>
      </w:r>
    </w:p>
    <w:p w14:paraId="6BB3CCBB">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）对基金财产和债权债务进行清理和确认；</w:t>
      </w:r>
    </w:p>
    <w:p w14:paraId="6BC223A2">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3</w:t>
      </w:r>
      <w:r>
        <w:rPr>
          <w:rFonts w:hint="eastAsia"/>
          <w:color w:val="000000" w:themeColor="text1"/>
          <w:szCs w:val="21"/>
          <w14:textFill>
            <w14:solidFill>
              <w14:schemeClr w14:val="tx1"/>
            </w14:solidFill>
          </w14:textFill>
        </w:rPr>
        <w:t>）对基金财产进行估值和变现；</w:t>
      </w:r>
    </w:p>
    <w:p w14:paraId="11DDE7E1">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4</w:t>
      </w:r>
      <w:r>
        <w:rPr>
          <w:rFonts w:hint="eastAsia"/>
          <w:color w:val="000000" w:themeColor="text1"/>
          <w:szCs w:val="21"/>
          <w14:textFill>
            <w14:solidFill>
              <w14:schemeClr w14:val="tx1"/>
            </w14:solidFill>
          </w14:textFill>
        </w:rPr>
        <w:t>）制作清算报告；</w:t>
      </w:r>
    </w:p>
    <w:p w14:paraId="0915571E">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5</w:t>
      </w:r>
      <w:r>
        <w:rPr>
          <w:rFonts w:hint="eastAsia"/>
          <w:color w:val="000000" w:themeColor="text1"/>
          <w:szCs w:val="21"/>
          <w14:textFill>
            <w14:solidFill>
              <w14:schemeClr w14:val="tx1"/>
            </w14:solidFill>
          </w14:textFill>
        </w:rPr>
        <w:t>）聘请会计师事务所对清算报告进行外部审计，聘请律师事务所对清算报告出具法律意见书；</w:t>
      </w:r>
    </w:p>
    <w:p w14:paraId="12BBCC1A">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6</w:t>
      </w:r>
      <w:r>
        <w:rPr>
          <w:rFonts w:hint="eastAsia"/>
          <w:color w:val="000000" w:themeColor="text1"/>
          <w:szCs w:val="21"/>
          <w14:textFill>
            <w14:solidFill>
              <w14:schemeClr w14:val="tx1"/>
            </w14:solidFill>
          </w14:textFill>
        </w:rPr>
        <w:t>）将清算报告报中国证监会备案并公告；</w:t>
      </w:r>
    </w:p>
    <w:p w14:paraId="4991CFBF">
      <w:pPr>
        <w:autoSpaceDE w:val="0"/>
        <w:autoSpaceDN w:val="0"/>
        <w:adjustRightInd w:val="0"/>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7</w:t>
      </w:r>
      <w:r>
        <w:rPr>
          <w:rFonts w:hint="eastAsia"/>
          <w:color w:val="000000" w:themeColor="text1"/>
          <w:szCs w:val="21"/>
          <w14:textFill>
            <w14:solidFill>
              <w14:schemeClr w14:val="tx1"/>
            </w14:solidFill>
          </w14:textFill>
        </w:rPr>
        <w:t>）对基金财产进行分配。</w:t>
      </w:r>
    </w:p>
    <w:p w14:paraId="79DBA51B">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5</w:t>
      </w:r>
      <w:r>
        <w:rPr>
          <w:rFonts w:hint="eastAsia"/>
          <w:color w:val="000000" w:themeColor="text1"/>
          <w:szCs w:val="21"/>
          <w14:textFill>
            <w14:solidFill>
              <w14:schemeClr w14:val="tx1"/>
            </w14:solidFill>
          </w14:textFill>
        </w:rPr>
        <w:t>、基金财产清算的期限为6个月，但因本基金所持证券的流动性受到限制而不能及时变现的，清算期限可相应顺延。</w:t>
      </w:r>
    </w:p>
    <w:p w14:paraId="7A59EB06">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6</w:t>
      </w:r>
      <w:r>
        <w:rPr>
          <w:rFonts w:hint="eastAsia"/>
          <w:color w:val="000000" w:themeColor="text1"/>
          <w:szCs w:val="21"/>
          <w14:textFill>
            <w14:solidFill>
              <w14:schemeClr w14:val="tx1"/>
            </w14:solidFill>
          </w14:textFill>
        </w:rPr>
        <w:t>、清算费用</w:t>
      </w:r>
    </w:p>
    <w:p w14:paraId="669A4CDF">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清算费用是指基金财产清算小组在进行基金财产清算过程中发生的所有合理费用，清算费用由基金财产清算小组优先从基金财产中支付。</w:t>
      </w:r>
    </w:p>
    <w:p w14:paraId="4884056A">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7</w:t>
      </w:r>
      <w:r>
        <w:rPr>
          <w:rFonts w:hint="eastAsia"/>
          <w:color w:val="000000" w:themeColor="text1"/>
          <w:szCs w:val="21"/>
          <w14:textFill>
            <w14:solidFill>
              <w14:schemeClr w14:val="tx1"/>
            </w14:solidFill>
          </w14:textFill>
        </w:rPr>
        <w:t>、基金财产按下列顺序清偿：</w:t>
      </w:r>
    </w:p>
    <w:p w14:paraId="0BD09DC2">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）支付清算费用；</w:t>
      </w:r>
    </w:p>
    <w:p w14:paraId="5D40E4AE">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）交纳所欠税款；</w:t>
      </w:r>
    </w:p>
    <w:p w14:paraId="1D91D2CF">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3</w:t>
      </w:r>
      <w:r>
        <w:rPr>
          <w:rFonts w:hint="eastAsia"/>
          <w:color w:val="000000" w:themeColor="text1"/>
          <w:szCs w:val="21"/>
          <w14:textFill>
            <w14:solidFill>
              <w14:schemeClr w14:val="tx1"/>
            </w14:solidFill>
          </w14:textFill>
        </w:rPr>
        <w:t>）清偿基金债务；</w:t>
      </w:r>
    </w:p>
    <w:p w14:paraId="7E5122BE">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4</w:t>
      </w:r>
      <w:r>
        <w:rPr>
          <w:rFonts w:hint="eastAsia"/>
          <w:color w:val="000000" w:themeColor="text1"/>
          <w:szCs w:val="21"/>
          <w14:textFill>
            <w14:solidFill>
              <w14:schemeClr w14:val="tx1"/>
            </w14:solidFill>
          </w14:textFill>
        </w:rPr>
        <w:t>）按基金份额持有人持有的基金份额比例进行分配。</w:t>
      </w:r>
    </w:p>
    <w:p w14:paraId="09AEC12C">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基金财产未按前款（</w:t>
      </w: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3</w:t>
      </w:r>
      <w:r>
        <w:rPr>
          <w:rFonts w:hint="eastAsia"/>
          <w:color w:val="000000" w:themeColor="text1"/>
          <w:szCs w:val="21"/>
          <w14:textFill>
            <w14:solidFill>
              <w14:schemeClr w14:val="tx1"/>
            </w14:solidFill>
          </w14:textFill>
        </w:rPr>
        <w:t>）项规定清偿前，不分配给基金份额持有人。</w:t>
      </w:r>
    </w:p>
    <w:p w14:paraId="10356910">
      <w:pPr>
        <w:spacing w:line="360" w:lineRule="auto"/>
        <w:ind w:firstLine="420"/>
        <w:rPr>
          <w:color w:val="000000" w:themeColor="text1"/>
          <w:szCs w:val="21"/>
          <w14:textFill>
            <w14:solidFill>
              <w14:schemeClr w14:val="tx1"/>
            </w14:solidFill>
          </w14:textFill>
        </w:rPr>
      </w:pPr>
      <w:r>
        <w:rPr>
          <w:color w:val="000000" w:themeColor="text1"/>
          <w:szCs w:val="21"/>
          <w14:textFill>
            <w14:solidFill>
              <w14:schemeClr w14:val="tx1"/>
            </w14:solidFill>
          </w14:textFill>
        </w:rPr>
        <w:t>8</w:t>
      </w:r>
      <w:r>
        <w:rPr>
          <w:rFonts w:hint="eastAsia"/>
          <w:color w:val="000000" w:themeColor="text1"/>
          <w:szCs w:val="21"/>
          <w14:textFill>
            <w14:solidFill>
              <w14:schemeClr w14:val="tx1"/>
            </w14:solidFill>
          </w14:textFill>
        </w:rPr>
        <w:t>、基金财产清算的公告</w:t>
      </w:r>
    </w:p>
    <w:p w14:paraId="6C0C4781">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清算过程中的有关重大事项须及时公告；基金财产清算报告经符合《中华人民共和国证券法》规定会计师事务所审计并由律师事务所出具法律意见书后报中国证监会备案并公告。基金财产清算公告于基金财产清算报告报中国证监会备案后</w:t>
      </w:r>
      <w:r>
        <w:rPr>
          <w:color w:val="000000" w:themeColor="text1"/>
          <w:szCs w:val="21"/>
          <w14:textFill>
            <w14:solidFill>
              <w14:schemeClr w14:val="tx1"/>
            </w14:solidFill>
          </w14:textFill>
        </w:rPr>
        <w:t>5</w:t>
      </w:r>
      <w:r>
        <w:rPr>
          <w:rFonts w:hint="eastAsia"/>
          <w:color w:val="000000" w:themeColor="text1"/>
          <w:szCs w:val="21"/>
          <w14:textFill>
            <w14:solidFill>
              <w14:schemeClr w14:val="tx1"/>
            </w14:solidFill>
          </w14:textFill>
        </w:rPr>
        <w:t>个工作日内由基金财产清算小组进行公告。</w:t>
      </w:r>
    </w:p>
    <w:p w14:paraId="2E1FFEA6">
      <w:pPr>
        <w:spacing w:line="360" w:lineRule="auto"/>
        <w:ind w:firstLine="420"/>
        <w:rPr>
          <w:color w:val="000000" w:themeColor="text1"/>
          <w:szCs w:val="21"/>
          <w14:textFill>
            <w14:solidFill>
              <w14:schemeClr w14:val="tx1"/>
            </w14:solidFill>
          </w14:textFill>
        </w:rPr>
      </w:pPr>
      <w:r>
        <w:rPr>
          <w:color w:val="000000" w:themeColor="text1"/>
          <w:szCs w:val="21"/>
          <w14:textFill>
            <w14:solidFill>
              <w14:schemeClr w14:val="tx1"/>
            </w14:solidFill>
          </w14:textFill>
        </w:rPr>
        <w:t>9</w:t>
      </w:r>
      <w:r>
        <w:rPr>
          <w:rFonts w:hint="eastAsia"/>
          <w:color w:val="000000" w:themeColor="text1"/>
          <w:szCs w:val="21"/>
          <w14:textFill>
            <w14:solidFill>
              <w14:schemeClr w14:val="tx1"/>
            </w14:solidFill>
          </w14:textFill>
        </w:rPr>
        <w:t>、基金财产清算账册及文件的保存</w:t>
      </w:r>
    </w:p>
    <w:p w14:paraId="1C78F79B">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基金财产清算账册及有关文件由基金托管人保存</w:t>
      </w:r>
      <w:r>
        <w:rPr>
          <w:rFonts w:hint="eastAsia"/>
          <w:bCs/>
          <w:szCs w:val="21"/>
        </w:rPr>
        <w:t>，</w:t>
      </w:r>
      <w:r>
        <w:rPr>
          <w:bCs/>
          <w:szCs w:val="21"/>
        </w:rPr>
        <w:t>保存期限不少于法律法规的规定</w:t>
      </w:r>
      <w:r>
        <w:rPr>
          <w:rFonts w:hint="eastAsia"/>
          <w:color w:val="000000" w:themeColor="text1"/>
          <w:szCs w:val="21"/>
          <w14:textFill>
            <w14:solidFill>
              <w14:schemeClr w14:val="tx1"/>
            </w14:solidFill>
          </w14:textFill>
        </w:rPr>
        <w:t>。</w:t>
      </w:r>
    </w:p>
    <w:p w14:paraId="67BFABDB">
      <w:pPr>
        <w:spacing w:line="360" w:lineRule="auto"/>
        <w:ind w:firstLine="420" w:firstLineChars="200"/>
        <w:rPr>
          <w:color w:val="000000" w:themeColor="text1"/>
          <w:szCs w:val="21"/>
          <w14:textFill>
            <w14:solidFill>
              <w14:schemeClr w14:val="tx1"/>
            </w14:solidFill>
          </w14:textFill>
        </w:rPr>
      </w:pPr>
    </w:p>
    <w:p w14:paraId="3F30D364">
      <w:pPr>
        <w:pStyle w:val="2"/>
        <w:numPr>
          <w:ilvl w:val="0"/>
          <w:numId w:val="1"/>
        </w:numPr>
        <w:spacing w:before="120" w:after="120" w:line="360" w:lineRule="auto"/>
        <w:jc w:val="center"/>
        <w:rPr>
          <w:b w:val="0"/>
          <w:color w:val="000000" w:themeColor="text1"/>
          <w:sz w:val="24"/>
          <w:szCs w:val="24"/>
          <w14:textFill>
            <w14:solidFill>
              <w14:schemeClr w14:val="tx1"/>
            </w14:solidFill>
          </w14:textFill>
        </w:rPr>
      </w:pPr>
      <w:bookmarkStart w:id="42" w:name="_Toc394474012"/>
      <w:bookmarkStart w:id="43" w:name="_Toc881147"/>
      <w:r>
        <w:rPr>
          <w:rFonts w:hint="eastAsia"/>
          <w:color w:val="000000" w:themeColor="text1"/>
          <w:sz w:val="24"/>
          <w:szCs w:val="24"/>
          <w14:textFill>
            <w14:solidFill>
              <w14:schemeClr w14:val="tx1"/>
            </w14:solidFill>
          </w14:textFill>
        </w:rPr>
        <w:t>违约责任和责任划分</w:t>
      </w:r>
      <w:bookmarkEnd w:id="42"/>
      <w:bookmarkEnd w:id="43"/>
    </w:p>
    <w:p w14:paraId="4F2A6D35">
      <w:pPr>
        <w:spacing w:line="360" w:lineRule="auto"/>
        <w:ind w:firstLine="420" w:firstLineChars="200"/>
        <w:rPr>
          <w:color w:val="000000" w:themeColor="text1"/>
          <w:szCs w:val="21"/>
          <w14:textFill>
            <w14:solidFill>
              <w14:schemeClr w14:val="tx1"/>
            </w14:solidFill>
          </w14:textFill>
        </w:rPr>
      </w:pPr>
    </w:p>
    <w:p w14:paraId="29AC67D7">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（一）本协议当事人不履行本协议或履行本协议不符合约定的，应当承担违约责任。</w:t>
      </w:r>
    </w:p>
    <w:p w14:paraId="561877EC">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（二）因本协议当事人违约给基金财产或者基金份额持有人造成损害的，应当分别对各自的行为依法承担赔偿责任，因共同行为给基金财产或者基金份额持有人造成损害的，应当承担连带赔偿责任。</w:t>
      </w:r>
    </w:p>
    <w:p w14:paraId="03BD8A41">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（三）一方当事人违反本协议，给另一方当事人造成损失的，应承担赔偿责任。</w:t>
      </w:r>
    </w:p>
    <w:p w14:paraId="196D9A36">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（四）发生下列情况时，当事人免责：</w:t>
      </w:r>
    </w:p>
    <w:p w14:paraId="1CC1BEBE">
      <w:pPr>
        <w:spacing w:line="360" w:lineRule="auto"/>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、不可抗力；</w:t>
      </w:r>
    </w:p>
    <w:p w14:paraId="4FBF508B">
      <w:pPr>
        <w:spacing w:line="360" w:lineRule="auto"/>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、基金管理人和/或基金托管人按照当时有效的法律法规或中国证监会等监管机构的规定作为或不作为而造成的损失等；</w:t>
      </w:r>
    </w:p>
    <w:p w14:paraId="7981D64F">
      <w:pPr>
        <w:spacing w:line="360" w:lineRule="auto"/>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3</w:t>
      </w:r>
      <w:r>
        <w:rPr>
          <w:rFonts w:hint="eastAsia"/>
          <w:color w:val="000000" w:themeColor="text1"/>
          <w:szCs w:val="21"/>
          <w14:textFill>
            <w14:solidFill>
              <w14:schemeClr w14:val="tx1"/>
            </w14:solidFill>
          </w14:textFill>
        </w:rPr>
        <w:t>、基金管理人由于按照</w:t>
      </w:r>
      <w:r>
        <w:rPr>
          <w:rFonts w:hint="eastAsia" w:ascii="宋体" w:hAnsi="Calibri" w:cs="宋体"/>
          <w:color w:val="000000" w:themeColor="text1"/>
          <w:kern w:val="0"/>
          <w:szCs w:val="21"/>
          <w14:textFill>
            <w14:solidFill>
              <w14:schemeClr w14:val="tx1"/>
            </w14:solidFill>
          </w14:textFill>
        </w:rPr>
        <w:t>《基金合同》</w:t>
      </w:r>
      <w:r>
        <w:rPr>
          <w:rFonts w:hint="eastAsia"/>
          <w:color w:val="000000" w:themeColor="text1"/>
          <w:szCs w:val="21"/>
          <w14:textFill>
            <w14:solidFill>
              <w14:schemeClr w14:val="tx1"/>
            </w14:solidFill>
          </w14:textFill>
        </w:rPr>
        <w:t>规定的投资原则投资或不投资造成的损失或潜在损失等。</w:t>
      </w:r>
    </w:p>
    <w:p w14:paraId="05079189">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（五）当事人一方违约，另一方在职责范围内有义务及时采取必要的措施，尽力防止损失的扩大。</w:t>
      </w:r>
    </w:p>
    <w:p w14:paraId="0E66D990">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（六）违约行为虽已发生，但本协议能够继续履行的，在最大限度地保护基金份额持有人利益的前提下，基金管理人和基金托管人应当继续履行本协议。</w:t>
      </w:r>
    </w:p>
    <w:p w14:paraId="1AB523E9">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（七）本协议所述责任划分仅指基金</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基金管理人、基金</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基金托管人之间的责任划分，并不影响承担责任一方向其他责任方追索的权利。</w:t>
      </w:r>
    </w:p>
    <w:p w14:paraId="322F56C5">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（八）本协议所指损失均为直接损失。</w:t>
      </w:r>
    </w:p>
    <w:p w14:paraId="5D209516">
      <w:pPr>
        <w:spacing w:line="360" w:lineRule="auto"/>
        <w:ind w:firstLine="420" w:firstLineChars="200"/>
        <w:rPr>
          <w:color w:val="000000" w:themeColor="text1"/>
          <w:szCs w:val="21"/>
          <w14:textFill>
            <w14:solidFill>
              <w14:schemeClr w14:val="tx1"/>
            </w14:solidFill>
          </w14:textFill>
        </w:rPr>
      </w:pPr>
    </w:p>
    <w:p w14:paraId="46045ECF">
      <w:pPr>
        <w:pStyle w:val="2"/>
        <w:numPr>
          <w:ilvl w:val="0"/>
          <w:numId w:val="1"/>
        </w:numPr>
        <w:spacing w:before="120" w:after="120" w:line="360" w:lineRule="auto"/>
        <w:jc w:val="center"/>
        <w:rPr>
          <w:b w:val="0"/>
          <w:color w:val="000000" w:themeColor="text1"/>
          <w:sz w:val="24"/>
          <w:szCs w:val="24"/>
          <w14:textFill>
            <w14:solidFill>
              <w14:schemeClr w14:val="tx1"/>
            </w14:solidFill>
          </w14:textFill>
        </w:rPr>
      </w:pPr>
      <w:bookmarkStart w:id="44" w:name="_Toc394474013"/>
      <w:bookmarkStart w:id="45" w:name="_Toc881148"/>
      <w:r>
        <w:rPr>
          <w:rFonts w:hint="eastAsia"/>
          <w:color w:val="000000" w:themeColor="text1"/>
          <w:sz w:val="24"/>
          <w:szCs w:val="24"/>
          <w14:textFill>
            <w14:solidFill>
              <w14:schemeClr w14:val="tx1"/>
            </w14:solidFill>
          </w14:textFill>
        </w:rPr>
        <w:t>适用法律与争议解决方式</w:t>
      </w:r>
      <w:bookmarkEnd w:id="44"/>
      <w:bookmarkEnd w:id="45"/>
    </w:p>
    <w:p w14:paraId="30B601AB">
      <w:pPr>
        <w:spacing w:line="360" w:lineRule="auto"/>
        <w:ind w:firstLine="420" w:firstLineChars="200"/>
        <w:rPr>
          <w:color w:val="000000" w:themeColor="text1"/>
          <w:szCs w:val="21"/>
          <w14:textFill>
            <w14:solidFill>
              <w14:schemeClr w14:val="tx1"/>
            </w14:solidFill>
          </w14:textFill>
        </w:rPr>
      </w:pPr>
    </w:p>
    <w:p w14:paraId="516AC820">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（一）本协议适用中华人民共和国法律（为本协议之目的，不包括香港特别行政区、澳门特别行政区法律和台湾地区有关规定）并从其解释。</w:t>
      </w:r>
    </w:p>
    <w:p w14:paraId="088C46A6">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二）基金管理人与基金托管人之间因本协议产生的或与本协议有关的争议可通过友好协商解决。但争议未能以协商方式解决的，则任何一方有权将争议提交深圳国际仲裁院（深圳仲裁委员会），根据提交仲裁时该会的仲裁规则进行仲裁，仲裁地点为深圳市。仲裁裁决是终局的，对仲裁各方当事人均具有约束力。除非仲裁裁决另有规定，仲裁费用由败诉方承担。</w:t>
      </w:r>
    </w:p>
    <w:p w14:paraId="087F0BAD">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（三）争议处理期间，双方当事人应恪守基金管理人和基金托管人职责，各自继续忠实、勤勉、尽责地履行《基金合同》和《托管协议》规定的义务，维护基金份额持有人的合法权益。</w:t>
      </w:r>
    </w:p>
    <w:p w14:paraId="0CEF9643">
      <w:pPr>
        <w:spacing w:line="360" w:lineRule="auto"/>
        <w:ind w:firstLine="420" w:firstLineChars="200"/>
        <w:rPr>
          <w:color w:val="000000" w:themeColor="text1"/>
          <w:szCs w:val="21"/>
          <w14:textFill>
            <w14:solidFill>
              <w14:schemeClr w14:val="tx1"/>
            </w14:solidFill>
          </w14:textFill>
        </w:rPr>
      </w:pPr>
    </w:p>
    <w:p w14:paraId="5E643479">
      <w:pPr>
        <w:pStyle w:val="2"/>
        <w:numPr>
          <w:ilvl w:val="0"/>
          <w:numId w:val="1"/>
        </w:numPr>
        <w:spacing w:before="120" w:after="120" w:line="360" w:lineRule="auto"/>
        <w:jc w:val="center"/>
        <w:rPr>
          <w:b w:val="0"/>
          <w:color w:val="000000" w:themeColor="text1"/>
          <w:sz w:val="24"/>
          <w:szCs w:val="24"/>
          <w14:textFill>
            <w14:solidFill>
              <w14:schemeClr w14:val="tx1"/>
            </w14:solidFill>
          </w14:textFill>
        </w:rPr>
      </w:pPr>
      <w:bookmarkStart w:id="46" w:name="_Toc394474014"/>
      <w:bookmarkStart w:id="47" w:name="_Toc881149"/>
      <w:r>
        <w:rPr>
          <w:rFonts w:hint="eastAsia"/>
          <w:color w:val="000000" w:themeColor="text1"/>
          <w:sz w:val="24"/>
          <w:szCs w:val="24"/>
          <w14:textFill>
            <w14:solidFill>
              <w14:schemeClr w14:val="tx1"/>
            </w14:solidFill>
          </w14:textFill>
        </w:rPr>
        <w:t>托管协议的效力</w:t>
      </w:r>
      <w:bookmarkEnd w:id="46"/>
      <w:bookmarkEnd w:id="47"/>
    </w:p>
    <w:p w14:paraId="453DDF46">
      <w:pPr>
        <w:spacing w:line="360" w:lineRule="auto"/>
        <w:ind w:firstLine="420" w:firstLineChars="200"/>
        <w:rPr>
          <w:color w:val="000000" w:themeColor="text1"/>
          <w:szCs w:val="21"/>
          <w14:textFill>
            <w14:solidFill>
              <w14:schemeClr w14:val="tx1"/>
            </w14:solidFill>
          </w14:textFill>
        </w:rPr>
      </w:pPr>
    </w:p>
    <w:p w14:paraId="71AB47AF">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一）基金管理人在向中国证监会申请发售基金份额时提交的基金托管协议草案，应经托管协议当事人双方盖章以及双方法定代表人或授权代表签字或盖章，协议当事人双方根据中国证监会的意见修改托管协议草案。托管协议以中国证监会注册的文本为正式文本。</w:t>
      </w:r>
    </w:p>
    <w:p w14:paraId="52E9FACF">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（二）本协议自《基金合同》成立之日起成立，自</w:t>
      </w:r>
      <w:r>
        <w:rPr>
          <w:rFonts w:hint="eastAsia" w:ascii="宋体" w:hAnsi="Calibri" w:cs="宋体"/>
          <w:color w:val="000000" w:themeColor="text1"/>
          <w:kern w:val="0"/>
          <w:szCs w:val="21"/>
          <w14:textFill>
            <w14:solidFill>
              <w14:schemeClr w14:val="tx1"/>
            </w14:solidFill>
          </w14:textFill>
        </w:rPr>
        <w:t>《基金合同》</w:t>
      </w:r>
      <w:r>
        <w:rPr>
          <w:rFonts w:hint="eastAsia"/>
          <w:color w:val="000000" w:themeColor="text1"/>
          <w:szCs w:val="21"/>
          <w14:textFill>
            <w14:solidFill>
              <w14:schemeClr w14:val="tx1"/>
            </w14:solidFill>
          </w14:textFill>
        </w:rPr>
        <w:t>生效之日起生效，与</w:t>
      </w:r>
      <w:r>
        <w:rPr>
          <w:rFonts w:hint="eastAsia" w:ascii="宋体" w:hAnsi="Calibri" w:cs="宋体"/>
          <w:color w:val="000000" w:themeColor="text1"/>
          <w:kern w:val="0"/>
          <w:szCs w:val="21"/>
          <w14:textFill>
            <w14:solidFill>
              <w14:schemeClr w14:val="tx1"/>
            </w14:solidFill>
          </w14:textFill>
        </w:rPr>
        <w:t>《基金合同》</w:t>
      </w:r>
      <w:r>
        <w:rPr>
          <w:rFonts w:hint="eastAsia"/>
          <w:color w:val="000000" w:themeColor="text1"/>
          <w:szCs w:val="21"/>
          <w14:textFill>
            <w14:solidFill>
              <w14:schemeClr w14:val="tx1"/>
            </w14:solidFill>
          </w14:textFill>
        </w:rPr>
        <w:t>具有同等法律效力。本协议的有效期自其生效之日起至基金财产清算结果报中国证监会备案并公告之日止。</w:t>
      </w:r>
    </w:p>
    <w:p w14:paraId="7547C950">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（三）本协议自生效之日起对双方当事人具有同等的法律约束力。</w:t>
      </w:r>
    </w:p>
    <w:p w14:paraId="5E02F467">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（四）本协议正本一式</w:t>
      </w:r>
      <w:r>
        <w:rPr>
          <w:color w:val="000000" w:themeColor="text1"/>
          <w:szCs w:val="21"/>
          <w14:textFill>
            <w14:solidFill>
              <w14:schemeClr w14:val="tx1"/>
            </w14:solidFill>
          </w14:textFill>
        </w:rPr>
        <w:t>6</w:t>
      </w:r>
      <w:r>
        <w:rPr>
          <w:rFonts w:hint="eastAsia"/>
          <w:color w:val="000000" w:themeColor="text1"/>
          <w:szCs w:val="21"/>
          <w14:textFill>
            <w14:solidFill>
              <w14:schemeClr w14:val="tx1"/>
            </w14:solidFill>
          </w14:textFill>
        </w:rPr>
        <w:t>份，协议双方各执</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份，上报有关监管部门</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份，每份具有同等法律效力。</w:t>
      </w:r>
    </w:p>
    <w:p w14:paraId="3266F474">
      <w:pPr>
        <w:pStyle w:val="2"/>
        <w:numPr>
          <w:ilvl w:val="0"/>
          <w:numId w:val="1"/>
        </w:numPr>
        <w:spacing w:before="120" w:after="120" w:line="360" w:lineRule="auto"/>
        <w:jc w:val="center"/>
        <w:rPr>
          <w:b w:val="0"/>
          <w:color w:val="000000" w:themeColor="text1"/>
          <w:sz w:val="24"/>
          <w:szCs w:val="24"/>
          <w14:textFill>
            <w14:solidFill>
              <w14:schemeClr w14:val="tx1"/>
            </w14:solidFill>
          </w14:textFill>
        </w:rPr>
      </w:pPr>
      <w:bookmarkStart w:id="48" w:name="_Toc394474015"/>
      <w:bookmarkStart w:id="49" w:name="_Toc881150"/>
      <w:r>
        <w:rPr>
          <w:rFonts w:hint="eastAsia"/>
          <w:color w:val="000000" w:themeColor="text1"/>
          <w:sz w:val="24"/>
          <w:szCs w:val="24"/>
          <w14:textFill>
            <w14:solidFill>
              <w14:schemeClr w14:val="tx1"/>
            </w14:solidFill>
          </w14:textFill>
        </w:rPr>
        <w:t>托管协议的签订</w:t>
      </w:r>
      <w:bookmarkEnd w:id="48"/>
      <w:bookmarkEnd w:id="49"/>
    </w:p>
    <w:p w14:paraId="32BCC23C">
      <w:pPr>
        <w:spacing w:line="360" w:lineRule="auto"/>
        <w:ind w:firstLine="420" w:firstLineChars="200"/>
        <w:rPr>
          <w:color w:val="000000" w:themeColor="text1"/>
          <w:szCs w:val="21"/>
          <w14:textFill>
            <w14:solidFill>
              <w14:schemeClr w14:val="tx1"/>
            </w14:solidFill>
          </w14:textFill>
        </w:rPr>
      </w:pPr>
    </w:p>
    <w:p w14:paraId="0E744533">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本托管协议经基金管理人和基金托管人认可后，由该双方当事人在基金托管协议上盖章，并由各自的法定代表人或授权代表签字或盖章，并注明基金托管协议的签订地点和签订日期。</w:t>
      </w:r>
    </w:p>
    <w:p w14:paraId="1D8F815B">
      <w:pPr>
        <w:widowControl/>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br w:type="page"/>
      </w:r>
    </w:p>
    <w:p w14:paraId="53552866">
      <w:bookmarkStart w:id="50" w:name="_GoBack"/>
      <w:bookmarkEnd w:id="50"/>
    </w:p>
    <w:sectPr>
      <w:headerReference r:id="rId9" w:type="default"/>
      <w:footerReference r:id="rId10"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00EFE">
    <w:pPr>
      <w:pStyle w:val="7"/>
      <w:jc w:val="center"/>
    </w:pPr>
  </w:p>
  <w:p w14:paraId="18BC0822">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BB97B">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A0949">
    <w:pPr>
      <w:pStyle w:val="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80866400"/>
    </w:sdtPr>
    <w:sdtContent>
      <w:p w14:paraId="38C0E7B0">
        <w:pPr>
          <w:pStyle w:val="7"/>
          <w:jc w:val="center"/>
        </w:pPr>
        <w:r>
          <w:rPr>
            <w:rFonts w:hint="eastAsia"/>
          </w:rPr>
          <w:t>4-</w:t>
        </w:r>
        <w:r>
          <w:fldChar w:fldCharType="begin"/>
        </w:r>
        <w:r>
          <w:instrText xml:space="preserve">PAGE   \* MERGEFORMAT</w:instrText>
        </w:r>
        <w:r>
          <w:fldChar w:fldCharType="separate"/>
        </w:r>
        <w:r>
          <w:rPr>
            <w:lang w:val="zh-CN"/>
          </w:rPr>
          <w:t>19</w:t>
        </w:r>
        <w:r>
          <w:rPr>
            <w:lang w:val="zh-CN"/>
          </w:rPr>
          <w:fldChar w:fldCharType="end"/>
        </w:r>
      </w:p>
    </w:sdtContent>
  </w:sdt>
  <w:p w14:paraId="5B851052">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3B1F0">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AB1C1">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BCE90">
    <w:pPr>
      <w:pStyle w:val="8"/>
      <w:jc w:val="right"/>
    </w:pPr>
    <w:r>
      <w:rPr>
        <w:rFonts w:hint="eastAsia"/>
        <w:color w:val="000000" w:themeColor="text1"/>
        <w14:textFill>
          <w14:solidFill>
            <w14:schemeClr w14:val="tx1"/>
          </w14:solidFill>
        </w14:textFill>
      </w:rPr>
      <w:t>博时创业板电池交易型开放式指数</w:t>
    </w:r>
    <w:r>
      <w:rPr>
        <w:rFonts w:hint="eastAsia"/>
      </w:rPr>
      <w:t>证券投资基金托管协议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6BA72">
    <w:pPr>
      <w:pStyle w:val="8"/>
      <w:jc w:val="right"/>
    </w:pPr>
    <w:r>
      <w:rPr>
        <w:rFonts w:hint="eastAsia"/>
        <w:color w:val="000000" w:themeColor="text1"/>
        <w14:textFill>
          <w14:solidFill>
            <w14:schemeClr w14:val="tx1"/>
          </w14:solidFill>
        </w14:textFill>
      </w:rPr>
      <w:t>博时创业板电池交易型开放式指数证券投资基金</w:t>
    </w:r>
    <w:r>
      <w:rPr>
        <w:rFonts w:hint="eastAsia"/>
      </w:rPr>
      <w:t>托管协议</w:t>
    </w:r>
  </w:p>
  <w:p w14:paraId="50AB77D0">
    <w:pPr>
      <w:pStyle w:val="8"/>
      <w:pBdr>
        <w:bottom w:val="none" w:color="auto" w:sz="0" w:space="0"/>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74246B"/>
    <w:multiLevelType w:val="multilevel"/>
    <w:tmpl w:val="4574246B"/>
    <w:lvl w:ilvl="0" w:tentative="0">
      <w:start w:val="1"/>
      <w:numFmt w:val="japaneseCounting"/>
      <w:lvlText w:val="%1、"/>
      <w:lvlJc w:val="left"/>
      <w:pPr>
        <w:ind w:left="450" w:hanging="450"/>
      </w:pPr>
      <w:rPr>
        <w:rFonts w:hint="default"/>
        <w:b/>
        <w:sz w:val="24"/>
        <w:szCs w:val="24"/>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3723742"/>
    <w:multiLevelType w:val="multilevel"/>
    <w:tmpl w:val="73723742"/>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F8F"/>
    <w:rsid w:val="00010813"/>
    <w:rsid w:val="00012534"/>
    <w:rsid w:val="00014D14"/>
    <w:rsid w:val="00025271"/>
    <w:rsid w:val="00025E69"/>
    <w:rsid w:val="000313FC"/>
    <w:rsid w:val="00040CCE"/>
    <w:rsid w:val="000448D9"/>
    <w:rsid w:val="00050031"/>
    <w:rsid w:val="00062FF4"/>
    <w:rsid w:val="0006711D"/>
    <w:rsid w:val="00070820"/>
    <w:rsid w:val="000718F9"/>
    <w:rsid w:val="0007527F"/>
    <w:rsid w:val="00083A51"/>
    <w:rsid w:val="00086495"/>
    <w:rsid w:val="00090A1D"/>
    <w:rsid w:val="0009101B"/>
    <w:rsid w:val="0009105A"/>
    <w:rsid w:val="00097F0A"/>
    <w:rsid w:val="000A017E"/>
    <w:rsid w:val="000A2699"/>
    <w:rsid w:val="000A26D7"/>
    <w:rsid w:val="000A2850"/>
    <w:rsid w:val="000B09EF"/>
    <w:rsid w:val="000B1D18"/>
    <w:rsid w:val="000B25CC"/>
    <w:rsid w:val="000C2B2E"/>
    <w:rsid w:val="000C490A"/>
    <w:rsid w:val="000C6A36"/>
    <w:rsid w:val="000D29A6"/>
    <w:rsid w:val="000E305A"/>
    <w:rsid w:val="001079A0"/>
    <w:rsid w:val="00111BD5"/>
    <w:rsid w:val="001230E8"/>
    <w:rsid w:val="001438C2"/>
    <w:rsid w:val="00144E6F"/>
    <w:rsid w:val="0015665D"/>
    <w:rsid w:val="00162A6B"/>
    <w:rsid w:val="0017449A"/>
    <w:rsid w:val="00184051"/>
    <w:rsid w:val="00190E28"/>
    <w:rsid w:val="00195F80"/>
    <w:rsid w:val="0019637B"/>
    <w:rsid w:val="001A1111"/>
    <w:rsid w:val="001A5516"/>
    <w:rsid w:val="001B04B0"/>
    <w:rsid w:val="001C51A0"/>
    <w:rsid w:val="001C542D"/>
    <w:rsid w:val="001E0B81"/>
    <w:rsid w:val="00215E0B"/>
    <w:rsid w:val="00226D59"/>
    <w:rsid w:val="00231F72"/>
    <w:rsid w:val="00246FF5"/>
    <w:rsid w:val="002565E5"/>
    <w:rsid w:val="00264015"/>
    <w:rsid w:val="00285EA0"/>
    <w:rsid w:val="002A1E40"/>
    <w:rsid w:val="002A4616"/>
    <w:rsid w:val="002A52CB"/>
    <w:rsid w:val="002B6DCE"/>
    <w:rsid w:val="002E74B7"/>
    <w:rsid w:val="003029C2"/>
    <w:rsid w:val="003119D4"/>
    <w:rsid w:val="003165D0"/>
    <w:rsid w:val="00322A58"/>
    <w:rsid w:val="00327AA2"/>
    <w:rsid w:val="0034787F"/>
    <w:rsid w:val="003508E9"/>
    <w:rsid w:val="003609CA"/>
    <w:rsid w:val="0036235B"/>
    <w:rsid w:val="003638DB"/>
    <w:rsid w:val="0036738F"/>
    <w:rsid w:val="0037175E"/>
    <w:rsid w:val="00386E4D"/>
    <w:rsid w:val="003946FA"/>
    <w:rsid w:val="00396608"/>
    <w:rsid w:val="003B0AF2"/>
    <w:rsid w:val="003B0B7D"/>
    <w:rsid w:val="003B70D8"/>
    <w:rsid w:val="003B7545"/>
    <w:rsid w:val="003B7753"/>
    <w:rsid w:val="003C1F04"/>
    <w:rsid w:val="003D14E9"/>
    <w:rsid w:val="003E3D0F"/>
    <w:rsid w:val="00402D79"/>
    <w:rsid w:val="00413403"/>
    <w:rsid w:val="00414C41"/>
    <w:rsid w:val="00416C85"/>
    <w:rsid w:val="00417C24"/>
    <w:rsid w:val="00443E9F"/>
    <w:rsid w:val="00462160"/>
    <w:rsid w:val="0046331F"/>
    <w:rsid w:val="00485D3C"/>
    <w:rsid w:val="004C277D"/>
    <w:rsid w:val="004C6A85"/>
    <w:rsid w:val="004E4C10"/>
    <w:rsid w:val="004F0068"/>
    <w:rsid w:val="00500C23"/>
    <w:rsid w:val="00506B28"/>
    <w:rsid w:val="00507FE4"/>
    <w:rsid w:val="00516F9B"/>
    <w:rsid w:val="00521099"/>
    <w:rsid w:val="00522BD6"/>
    <w:rsid w:val="00530252"/>
    <w:rsid w:val="00534A09"/>
    <w:rsid w:val="00537F13"/>
    <w:rsid w:val="0055796D"/>
    <w:rsid w:val="00564C2B"/>
    <w:rsid w:val="005660F9"/>
    <w:rsid w:val="005846B2"/>
    <w:rsid w:val="005848C1"/>
    <w:rsid w:val="005875AB"/>
    <w:rsid w:val="005953C7"/>
    <w:rsid w:val="00597F82"/>
    <w:rsid w:val="005A0AB9"/>
    <w:rsid w:val="005A6547"/>
    <w:rsid w:val="005C3179"/>
    <w:rsid w:val="005D1100"/>
    <w:rsid w:val="005D263F"/>
    <w:rsid w:val="005D65EA"/>
    <w:rsid w:val="005E5D39"/>
    <w:rsid w:val="005E70B2"/>
    <w:rsid w:val="005F79B3"/>
    <w:rsid w:val="0060325F"/>
    <w:rsid w:val="006035EA"/>
    <w:rsid w:val="00605FD0"/>
    <w:rsid w:val="006155F0"/>
    <w:rsid w:val="00630E40"/>
    <w:rsid w:val="006431A4"/>
    <w:rsid w:val="006540FC"/>
    <w:rsid w:val="00657B56"/>
    <w:rsid w:val="00682E0F"/>
    <w:rsid w:val="006920D1"/>
    <w:rsid w:val="0069581D"/>
    <w:rsid w:val="006A19F7"/>
    <w:rsid w:val="006C020F"/>
    <w:rsid w:val="006C394A"/>
    <w:rsid w:val="006D771A"/>
    <w:rsid w:val="006E7DB2"/>
    <w:rsid w:val="006F141E"/>
    <w:rsid w:val="006F5A12"/>
    <w:rsid w:val="007011F6"/>
    <w:rsid w:val="007135A5"/>
    <w:rsid w:val="0072300E"/>
    <w:rsid w:val="00723DC3"/>
    <w:rsid w:val="00730574"/>
    <w:rsid w:val="007375E7"/>
    <w:rsid w:val="00745B62"/>
    <w:rsid w:val="00752301"/>
    <w:rsid w:val="00752B35"/>
    <w:rsid w:val="00772169"/>
    <w:rsid w:val="00774994"/>
    <w:rsid w:val="0079434E"/>
    <w:rsid w:val="007A2C0A"/>
    <w:rsid w:val="007B6B1F"/>
    <w:rsid w:val="007E7A56"/>
    <w:rsid w:val="007F4D16"/>
    <w:rsid w:val="00806E8A"/>
    <w:rsid w:val="008175CA"/>
    <w:rsid w:val="00842A0B"/>
    <w:rsid w:val="008528E8"/>
    <w:rsid w:val="008B141F"/>
    <w:rsid w:val="008B317E"/>
    <w:rsid w:val="008B465C"/>
    <w:rsid w:val="008C2A86"/>
    <w:rsid w:val="008C6057"/>
    <w:rsid w:val="008D004F"/>
    <w:rsid w:val="008F2E88"/>
    <w:rsid w:val="0090459E"/>
    <w:rsid w:val="00914AED"/>
    <w:rsid w:val="009170C6"/>
    <w:rsid w:val="00937C23"/>
    <w:rsid w:val="00945785"/>
    <w:rsid w:val="00962AEF"/>
    <w:rsid w:val="0097015F"/>
    <w:rsid w:val="00974B86"/>
    <w:rsid w:val="00981351"/>
    <w:rsid w:val="009855C6"/>
    <w:rsid w:val="009A1494"/>
    <w:rsid w:val="009A47CE"/>
    <w:rsid w:val="009D1D80"/>
    <w:rsid w:val="009D2362"/>
    <w:rsid w:val="009D5FA9"/>
    <w:rsid w:val="009E3F64"/>
    <w:rsid w:val="009F1E3C"/>
    <w:rsid w:val="009F27FC"/>
    <w:rsid w:val="00A0461C"/>
    <w:rsid w:val="00A14879"/>
    <w:rsid w:val="00A31698"/>
    <w:rsid w:val="00A372BC"/>
    <w:rsid w:val="00A41899"/>
    <w:rsid w:val="00A70916"/>
    <w:rsid w:val="00A74092"/>
    <w:rsid w:val="00A74D6A"/>
    <w:rsid w:val="00A7789E"/>
    <w:rsid w:val="00A82AE1"/>
    <w:rsid w:val="00A87251"/>
    <w:rsid w:val="00A87D28"/>
    <w:rsid w:val="00A9797A"/>
    <w:rsid w:val="00AA0AFD"/>
    <w:rsid w:val="00AA114C"/>
    <w:rsid w:val="00AA6D76"/>
    <w:rsid w:val="00AB0494"/>
    <w:rsid w:val="00AC19F9"/>
    <w:rsid w:val="00AC6802"/>
    <w:rsid w:val="00AE3DDF"/>
    <w:rsid w:val="00AF54A3"/>
    <w:rsid w:val="00B01232"/>
    <w:rsid w:val="00B030A8"/>
    <w:rsid w:val="00B423E7"/>
    <w:rsid w:val="00B424E4"/>
    <w:rsid w:val="00B43196"/>
    <w:rsid w:val="00B45F39"/>
    <w:rsid w:val="00B56272"/>
    <w:rsid w:val="00B75E8D"/>
    <w:rsid w:val="00B83709"/>
    <w:rsid w:val="00B87FE0"/>
    <w:rsid w:val="00BA651C"/>
    <w:rsid w:val="00BA658E"/>
    <w:rsid w:val="00BB1B67"/>
    <w:rsid w:val="00BC4462"/>
    <w:rsid w:val="00BD7543"/>
    <w:rsid w:val="00BE7ACF"/>
    <w:rsid w:val="00BE7C8F"/>
    <w:rsid w:val="00BF3704"/>
    <w:rsid w:val="00BF3D2C"/>
    <w:rsid w:val="00C20799"/>
    <w:rsid w:val="00C23A8C"/>
    <w:rsid w:val="00C3008E"/>
    <w:rsid w:val="00C3023B"/>
    <w:rsid w:val="00C40CA0"/>
    <w:rsid w:val="00C4482F"/>
    <w:rsid w:val="00C71F91"/>
    <w:rsid w:val="00C80922"/>
    <w:rsid w:val="00C82543"/>
    <w:rsid w:val="00CB36FF"/>
    <w:rsid w:val="00CC585C"/>
    <w:rsid w:val="00CF37E6"/>
    <w:rsid w:val="00CF74AF"/>
    <w:rsid w:val="00D037A2"/>
    <w:rsid w:val="00D05B1D"/>
    <w:rsid w:val="00D07A09"/>
    <w:rsid w:val="00D221D3"/>
    <w:rsid w:val="00D330ED"/>
    <w:rsid w:val="00D34E83"/>
    <w:rsid w:val="00D3680E"/>
    <w:rsid w:val="00D376CA"/>
    <w:rsid w:val="00D42A88"/>
    <w:rsid w:val="00D51FB8"/>
    <w:rsid w:val="00D60896"/>
    <w:rsid w:val="00D81993"/>
    <w:rsid w:val="00D962B5"/>
    <w:rsid w:val="00DA5F8F"/>
    <w:rsid w:val="00DA7648"/>
    <w:rsid w:val="00DB0326"/>
    <w:rsid w:val="00DB6C3F"/>
    <w:rsid w:val="00DC1330"/>
    <w:rsid w:val="00DE2B6B"/>
    <w:rsid w:val="00DE54B0"/>
    <w:rsid w:val="00DF05FB"/>
    <w:rsid w:val="00E024F5"/>
    <w:rsid w:val="00E0704B"/>
    <w:rsid w:val="00E13F50"/>
    <w:rsid w:val="00E2793F"/>
    <w:rsid w:val="00E34C05"/>
    <w:rsid w:val="00E35D09"/>
    <w:rsid w:val="00E44B3D"/>
    <w:rsid w:val="00E47937"/>
    <w:rsid w:val="00E52D5E"/>
    <w:rsid w:val="00E53F49"/>
    <w:rsid w:val="00E5496E"/>
    <w:rsid w:val="00E54DA4"/>
    <w:rsid w:val="00E64101"/>
    <w:rsid w:val="00E64A9C"/>
    <w:rsid w:val="00E7634B"/>
    <w:rsid w:val="00E77381"/>
    <w:rsid w:val="00E8231D"/>
    <w:rsid w:val="00E84B68"/>
    <w:rsid w:val="00E91646"/>
    <w:rsid w:val="00E9253F"/>
    <w:rsid w:val="00E936B9"/>
    <w:rsid w:val="00EA4084"/>
    <w:rsid w:val="00EB6DB9"/>
    <w:rsid w:val="00EC10FE"/>
    <w:rsid w:val="00EC59BD"/>
    <w:rsid w:val="00ED3732"/>
    <w:rsid w:val="00EE0A3E"/>
    <w:rsid w:val="00EE0CB7"/>
    <w:rsid w:val="00EE257F"/>
    <w:rsid w:val="00EE6160"/>
    <w:rsid w:val="00EF5159"/>
    <w:rsid w:val="00F1192E"/>
    <w:rsid w:val="00F15728"/>
    <w:rsid w:val="00F31DB4"/>
    <w:rsid w:val="00F57B58"/>
    <w:rsid w:val="00F70218"/>
    <w:rsid w:val="00F76A2B"/>
    <w:rsid w:val="00F86F86"/>
    <w:rsid w:val="00F97AD0"/>
    <w:rsid w:val="00FA46A3"/>
    <w:rsid w:val="00FB01B4"/>
    <w:rsid w:val="00FB180D"/>
    <w:rsid w:val="00FB4CBC"/>
    <w:rsid w:val="00FB500A"/>
    <w:rsid w:val="00FC12F3"/>
    <w:rsid w:val="00FC3182"/>
    <w:rsid w:val="00FC4B75"/>
    <w:rsid w:val="00FE426B"/>
    <w:rsid w:val="00FE622E"/>
    <w:rsid w:val="00FE736F"/>
    <w:rsid w:val="00FF1832"/>
    <w:rsid w:val="00FF7C3C"/>
    <w:rsid w:val="097F241B"/>
    <w:rsid w:val="09F45AE8"/>
    <w:rsid w:val="11A03D50"/>
    <w:rsid w:val="12AF5D6B"/>
    <w:rsid w:val="186A313C"/>
    <w:rsid w:val="2068656C"/>
    <w:rsid w:val="243651D0"/>
    <w:rsid w:val="2A5D67F1"/>
    <w:rsid w:val="2D1D78B1"/>
    <w:rsid w:val="71905895"/>
    <w:rsid w:val="790302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5"/>
    <w:qFormat/>
    <w:uiPriority w:val="0"/>
    <w:pPr>
      <w:keepNext/>
      <w:keepLines/>
      <w:spacing w:before="340" w:after="330" w:line="578" w:lineRule="auto"/>
      <w:outlineLvl w:val="0"/>
    </w:pPr>
    <w:rPr>
      <w:b/>
      <w:bCs/>
      <w:kern w:val="44"/>
      <w:sz w:val="44"/>
      <w:szCs w:val="44"/>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Document Map"/>
    <w:basedOn w:val="1"/>
    <w:link w:val="25"/>
    <w:semiHidden/>
    <w:unhideWhenUsed/>
    <w:qFormat/>
    <w:uiPriority w:val="99"/>
    <w:rPr>
      <w:rFonts w:ascii="宋体"/>
      <w:sz w:val="18"/>
      <w:szCs w:val="18"/>
    </w:rPr>
  </w:style>
  <w:style w:type="paragraph" w:styleId="4">
    <w:name w:val="annotation text"/>
    <w:basedOn w:val="1"/>
    <w:link w:val="23"/>
    <w:unhideWhenUsed/>
    <w:qFormat/>
    <w:uiPriority w:val="0"/>
    <w:pPr>
      <w:jc w:val="left"/>
    </w:pPr>
  </w:style>
  <w:style w:type="paragraph" w:styleId="5">
    <w:name w:val="Body Text Indent"/>
    <w:basedOn w:val="1"/>
    <w:link w:val="16"/>
    <w:semiHidden/>
    <w:qFormat/>
    <w:uiPriority w:val="0"/>
    <w:pPr>
      <w:spacing w:line="360" w:lineRule="auto"/>
      <w:ind w:firstLine="420" w:firstLineChars="200"/>
    </w:pPr>
  </w:style>
  <w:style w:type="paragraph" w:styleId="6">
    <w:name w:val="Balloon Text"/>
    <w:basedOn w:val="1"/>
    <w:link w:val="20"/>
    <w:semiHidden/>
    <w:unhideWhenUsed/>
    <w:qFormat/>
    <w:uiPriority w:val="99"/>
    <w:rPr>
      <w:sz w:val="18"/>
      <w:szCs w:val="18"/>
    </w:rPr>
  </w:style>
  <w:style w:type="paragraph" w:styleId="7">
    <w:name w:val="footer"/>
    <w:basedOn w:val="1"/>
    <w:link w:val="19"/>
    <w:unhideWhenUsed/>
    <w:qFormat/>
    <w:uiPriority w:val="99"/>
    <w:pPr>
      <w:tabs>
        <w:tab w:val="center" w:pos="4153"/>
        <w:tab w:val="right" w:pos="8306"/>
      </w:tabs>
      <w:snapToGrid w:val="0"/>
      <w:jc w:val="left"/>
    </w:pPr>
    <w:rPr>
      <w:sz w:val="18"/>
      <w:szCs w:val="18"/>
    </w:rPr>
  </w:style>
  <w:style w:type="paragraph" w:styleId="8">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39"/>
    <w:pPr>
      <w:tabs>
        <w:tab w:val="left" w:pos="426"/>
        <w:tab w:val="right" w:leader="dot" w:pos="8647"/>
      </w:tabs>
      <w:spacing w:before="120" w:after="120" w:line="360" w:lineRule="auto"/>
      <w:ind w:left="-424" w:leftChars="-202"/>
      <w:jc w:val="left"/>
    </w:pPr>
    <w:rPr>
      <w:caps/>
      <w:szCs w:val="20"/>
    </w:rPr>
  </w:style>
  <w:style w:type="paragraph" w:styleId="10">
    <w:name w:val="annotation subject"/>
    <w:basedOn w:val="4"/>
    <w:next w:val="4"/>
    <w:link w:val="24"/>
    <w:semiHidden/>
    <w:unhideWhenUsed/>
    <w:qFormat/>
    <w:uiPriority w:val="99"/>
    <w:rPr>
      <w:b/>
      <w:bCs/>
    </w:rPr>
  </w:style>
  <w:style w:type="character" w:styleId="13">
    <w:name w:val="Hyperlink"/>
    <w:basedOn w:val="12"/>
    <w:qFormat/>
    <w:uiPriority w:val="99"/>
    <w:rPr>
      <w:color w:val="0000FF"/>
      <w:u w:val="single"/>
    </w:rPr>
  </w:style>
  <w:style w:type="character" w:styleId="14">
    <w:name w:val="annotation reference"/>
    <w:basedOn w:val="12"/>
    <w:unhideWhenUsed/>
    <w:qFormat/>
    <w:uiPriority w:val="0"/>
    <w:rPr>
      <w:sz w:val="21"/>
      <w:szCs w:val="21"/>
    </w:rPr>
  </w:style>
  <w:style w:type="character" w:customStyle="1" w:styleId="15">
    <w:name w:val="标题 1 字符"/>
    <w:basedOn w:val="12"/>
    <w:link w:val="2"/>
    <w:qFormat/>
    <w:uiPriority w:val="0"/>
    <w:rPr>
      <w:rFonts w:ascii="Times New Roman" w:hAnsi="Times New Roman" w:eastAsia="宋体" w:cs="Times New Roman"/>
      <w:b/>
      <w:bCs/>
      <w:kern w:val="44"/>
      <w:sz w:val="44"/>
      <w:szCs w:val="44"/>
    </w:rPr>
  </w:style>
  <w:style w:type="character" w:customStyle="1" w:styleId="16">
    <w:name w:val="正文文本缩进 字符"/>
    <w:basedOn w:val="12"/>
    <w:link w:val="5"/>
    <w:semiHidden/>
    <w:qFormat/>
    <w:uiPriority w:val="0"/>
    <w:rPr>
      <w:rFonts w:ascii="Times New Roman" w:hAnsi="Times New Roman" w:eastAsia="宋体" w:cs="Times New Roman"/>
      <w:szCs w:val="24"/>
    </w:rPr>
  </w:style>
  <w:style w:type="paragraph" w:styleId="17">
    <w:name w:val="List Paragraph"/>
    <w:basedOn w:val="1"/>
    <w:qFormat/>
    <w:uiPriority w:val="34"/>
    <w:pPr>
      <w:ind w:firstLine="420" w:firstLineChars="200"/>
    </w:pPr>
  </w:style>
  <w:style w:type="character" w:customStyle="1" w:styleId="18">
    <w:name w:val="页眉 字符"/>
    <w:basedOn w:val="12"/>
    <w:link w:val="8"/>
    <w:qFormat/>
    <w:uiPriority w:val="99"/>
    <w:rPr>
      <w:rFonts w:ascii="Times New Roman" w:hAnsi="Times New Roman" w:eastAsia="宋体" w:cs="Times New Roman"/>
      <w:sz w:val="18"/>
      <w:szCs w:val="18"/>
    </w:rPr>
  </w:style>
  <w:style w:type="character" w:customStyle="1" w:styleId="19">
    <w:name w:val="页脚 字符"/>
    <w:basedOn w:val="12"/>
    <w:link w:val="7"/>
    <w:qFormat/>
    <w:uiPriority w:val="99"/>
    <w:rPr>
      <w:rFonts w:ascii="Times New Roman" w:hAnsi="Times New Roman" w:eastAsia="宋体" w:cs="Times New Roman"/>
      <w:sz w:val="18"/>
      <w:szCs w:val="18"/>
    </w:rPr>
  </w:style>
  <w:style w:type="character" w:customStyle="1" w:styleId="20">
    <w:name w:val="批注框文本 字符"/>
    <w:basedOn w:val="12"/>
    <w:link w:val="6"/>
    <w:semiHidden/>
    <w:qFormat/>
    <w:uiPriority w:val="99"/>
    <w:rPr>
      <w:rFonts w:ascii="Times New Roman" w:hAnsi="Times New Roman" w:eastAsia="宋体" w:cs="Times New Roman"/>
      <w:sz w:val="18"/>
      <w:szCs w:val="18"/>
    </w:rPr>
  </w:style>
  <w:style w:type="paragraph" w:customStyle="1" w:styleId="21">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22">
    <w:name w:val="正文所"/>
    <w:basedOn w:val="1"/>
    <w:qFormat/>
    <w:uiPriority w:val="0"/>
    <w:pPr>
      <w:spacing w:line="360" w:lineRule="auto"/>
      <w:ind w:firstLine="420" w:firstLineChars="200"/>
    </w:pPr>
  </w:style>
  <w:style w:type="character" w:customStyle="1" w:styleId="23">
    <w:name w:val="批注文字 字符"/>
    <w:basedOn w:val="12"/>
    <w:link w:val="4"/>
    <w:qFormat/>
    <w:uiPriority w:val="0"/>
    <w:rPr>
      <w:rFonts w:ascii="Times New Roman" w:hAnsi="Times New Roman" w:eastAsia="宋体" w:cs="Times New Roman"/>
      <w:szCs w:val="24"/>
    </w:rPr>
  </w:style>
  <w:style w:type="character" w:customStyle="1" w:styleId="24">
    <w:name w:val="批注主题 字符"/>
    <w:basedOn w:val="23"/>
    <w:link w:val="10"/>
    <w:semiHidden/>
    <w:qFormat/>
    <w:uiPriority w:val="99"/>
    <w:rPr>
      <w:rFonts w:ascii="Times New Roman" w:hAnsi="Times New Roman" w:eastAsia="宋体" w:cs="Times New Roman"/>
      <w:b/>
      <w:bCs/>
      <w:szCs w:val="24"/>
    </w:rPr>
  </w:style>
  <w:style w:type="character" w:customStyle="1" w:styleId="25">
    <w:name w:val="文档结构图 字符"/>
    <w:basedOn w:val="12"/>
    <w:link w:val="3"/>
    <w:semiHidden/>
    <w:qFormat/>
    <w:uiPriority w:val="99"/>
    <w:rPr>
      <w:rFonts w:ascii="宋体" w:hAnsi="Times New Roman" w:eastAsia="宋体" w:cs="Times New Roman"/>
      <w:sz w:val="18"/>
      <w:szCs w:val="18"/>
    </w:rPr>
  </w:style>
  <w:style w:type="paragraph" w:customStyle="1" w:styleId="26">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27">
    <w:name w:val="Char Char"/>
    <w:basedOn w:val="1"/>
    <w:qFormat/>
    <w:uiPriority w:val="0"/>
    <w:rPr>
      <w:szCs w:val="20"/>
    </w:rPr>
  </w:style>
  <w:style w:type="character" w:customStyle="1" w:styleId="28">
    <w:name w:val="read"/>
    <w:basedOn w:val="12"/>
    <w:qFormat/>
    <w:uiPriority w:val="0"/>
  </w:style>
  <w:style w:type="paragraph" w:customStyle="1" w:styleId="29">
    <w:name w:val="juzhong"/>
    <w:basedOn w:val="1"/>
    <w:qFormat/>
    <w:uiPriority w:val="0"/>
    <w:pPr>
      <w:widowControl/>
      <w:spacing w:before="100" w:beforeAutospacing="1" w:after="100" w:afterAutospacing="1"/>
      <w:jc w:val="left"/>
    </w:pPr>
    <w:rPr>
      <w:rFonts w:ascii="宋体" w:hAnsi="宋体" w:cs="宋体"/>
      <w:kern w:val="0"/>
      <w:sz w:val="24"/>
    </w:rPr>
  </w:style>
  <w:style w:type="paragraph" w:customStyle="1" w:styleId="30">
    <w:name w:val="！正文缩进2字符"/>
    <w:basedOn w:val="1"/>
    <w:qFormat/>
    <w:uiPriority w:val="0"/>
    <w:pPr>
      <w:widowControl/>
      <w:spacing w:line="360" w:lineRule="auto"/>
      <w:ind w:firstLine="200" w:firstLineChars="200"/>
    </w:pPr>
    <w:rPr>
      <w:sz w:val="24"/>
      <w:szCs w:val="20"/>
    </w:rPr>
  </w:style>
  <w:style w:type="paragraph" w:customStyle="1" w:styleId="31">
    <w:name w:val="修订2"/>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D12F48-C93D-41BE-89B6-728A7DEB8A11}">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42</Pages>
  <Words>5190</Words>
  <Characters>29588</Characters>
  <Lines>246</Lines>
  <Paragraphs>69</Paragraphs>
  <TotalTime>7</TotalTime>
  <ScaleCrop>false</ScaleCrop>
  <LinksUpToDate>false</LinksUpToDate>
  <CharactersWithSpaces>34709</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2026-06-22T10:30:00Z</dcterms:created>
  <dc:creator>张雨萱</dc:creator>
  <cp:lastModifiedBy>sjj</cp:lastModifiedBy>
  <dcterms:modified xsi:type="dcterms:W3CDTF">2026-09-28T02:57:16Z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B2D116726EC1492F93EDD4DA6346D25C</vt:lpwstr>
  </property>
</Properties>
</file>