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9D6A23">
      <w:pPr>
        <w:spacing w:line="360" w:lineRule="auto"/>
        <w:ind w:firstLine="964" w:firstLineChars="200"/>
        <w:rPr>
          <w:rFonts w:ascii="宋体" w:hAnsi="宋体"/>
          <w:b/>
          <w:bCs/>
          <w:sz w:val="48"/>
          <w:szCs w:val="48"/>
        </w:rPr>
      </w:pPr>
    </w:p>
    <w:p w14:paraId="6D56BBDB">
      <w:pPr>
        <w:spacing w:line="360" w:lineRule="auto"/>
        <w:ind w:firstLine="964" w:firstLineChars="200"/>
        <w:rPr>
          <w:rFonts w:ascii="宋体" w:hAnsi="宋体"/>
          <w:b/>
          <w:bCs/>
          <w:sz w:val="48"/>
          <w:szCs w:val="48"/>
        </w:rPr>
      </w:pPr>
    </w:p>
    <w:p w14:paraId="438B03EE">
      <w:pPr>
        <w:spacing w:line="360" w:lineRule="auto"/>
        <w:ind w:firstLine="1566" w:firstLineChars="300"/>
        <w:jc w:val="left"/>
        <w:rPr>
          <w:rFonts w:ascii="宋体" w:hAnsi="宋体"/>
          <w:b/>
          <w:bCs/>
          <w:sz w:val="48"/>
          <w:szCs w:val="48"/>
        </w:rPr>
      </w:pPr>
      <w:r>
        <w:rPr>
          <w:rFonts w:hint="eastAsia"/>
          <w:b/>
          <w:sz w:val="52"/>
        </w:rPr>
        <w:t>博时基金管理有限公司</w:t>
      </w:r>
    </w:p>
    <w:p w14:paraId="4C888D53">
      <w:pPr>
        <w:spacing w:line="360" w:lineRule="auto"/>
        <w:ind w:firstLine="964" w:firstLineChars="200"/>
        <w:rPr>
          <w:rFonts w:ascii="宋体" w:hAnsi="宋体"/>
          <w:b/>
          <w:bCs/>
          <w:sz w:val="48"/>
          <w:szCs w:val="48"/>
        </w:rPr>
      </w:pPr>
    </w:p>
    <w:p w14:paraId="448D81C7">
      <w:pPr>
        <w:spacing w:line="360" w:lineRule="auto"/>
        <w:ind w:firstLine="964" w:firstLineChars="200"/>
        <w:rPr>
          <w:rFonts w:ascii="宋体" w:hAnsi="宋体"/>
          <w:b/>
          <w:bCs/>
          <w:sz w:val="48"/>
          <w:szCs w:val="48"/>
        </w:rPr>
      </w:pPr>
    </w:p>
    <w:p w14:paraId="42BF595E">
      <w:pPr>
        <w:jc w:val="center"/>
        <w:rPr>
          <w:b/>
          <w:sz w:val="48"/>
        </w:rPr>
      </w:pPr>
      <w:r>
        <w:rPr>
          <w:rFonts w:hint="eastAsia"/>
          <w:b/>
          <w:sz w:val="52"/>
        </w:rPr>
        <w:t>博时国证大盘成长交易型开放式指数证券投资基金</w:t>
      </w:r>
    </w:p>
    <w:p w14:paraId="7C2080E5">
      <w:pPr>
        <w:jc w:val="center"/>
        <w:rPr>
          <w:b/>
          <w:sz w:val="48"/>
          <w:szCs w:val="20"/>
        </w:rPr>
      </w:pPr>
      <w:r>
        <w:rPr>
          <w:rFonts w:hint="eastAsia"/>
          <w:b/>
          <w:sz w:val="48"/>
          <w:szCs w:val="20"/>
        </w:rPr>
        <w:t>托管协议</w:t>
      </w:r>
    </w:p>
    <w:p w14:paraId="39B09073">
      <w:pPr>
        <w:autoSpaceDE w:val="0"/>
        <w:autoSpaceDN w:val="0"/>
        <w:spacing w:line="360" w:lineRule="auto"/>
        <w:ind w:firstLine="883" w:firstLineChars="200"/>
        <w:textAlignment w:val="bottom"/>
        <w:rPr>
          <w:rFonts w:ascii="宋体" w:hAnsi="宋体"/>
          <w:b/>
          <w:bCs/>
          <w:sz w:val="44"/>
        </w:rPr>
      </w:pPr>
    </w:p>
    <w:p w14:paraId="21B9FC2D">
      <w:pPr>
        <w:spacing w:line="360" w:lineRule="auto"/>
        <w:ind w:firstLine="602" w:firstLineChars="200"/>
        <w:rPr>
          <w:rFonts w:ascii="宋体" w:hAnsi="宋体"/>
          <w:b/>
          <w:sz w:val="30"/>
          <w:szCs w:val="30"/>
        </w:rPr>
      </w:pPr>
      <w:bookmarkStart w:id="136" w:name="_GoBack"/>
      <w:bookmarkEnd w:id="136"/>
    </w:p>
    <w:p w14:paraId="40F73C78">
      <w:pPr>
        <w:spacing w:line="360" w:lineRule="auto"/>
        <w:ind w:firstLine="602" w:firstLineChars="200"/>
        <w:rPr>
          <w:rFonts w:ascii="宋体" w:hAnsi="宋体"/>
          <w:b/>
          <w:sz w:val="30"/>
          <w:szCs w:val="30"/>
        </w:rPr>
      </w:pPr>
    </w:p>
    <w:p w14:paraId="2B9B7D47">
      <w:pPr>
        <w:spacing w:line="360" w:lineRule="auto"/>
        <w:ind w:firstLine="602" w:firstLineChars="200"/>
        <w:rPr>
          <w:rFonts w:ascii="宋体" w:hAnsi="宋体"/>
          <w:b/>
          <w:sz w:val="30"/>
          <w:szCs w:val="30"/>
        </w:rPr>
      </w:pPr>
    </w:p>
    <w:p w14:paraId="0663801B">
      <w:pPr>
        <w:spacing w:line="360" w:lineRule="auto"/>
        <w:ind w:firstLine="602" w:firstLineChars="200"/>
        <w:rPr>
          <w:rFonts w:ascii="宋体" w:hAnsi="宋体"/>
          <w:b/>
          <w:sz w:val="30"/>
          <w:szCs w:val="30"/>
        </w:rPr>
      </w:pPr>
    </w:p>
    <w:p w14:paraId="58130841">
      <w:pPr>
        <w:spacing w:line="360" w:lineRule="auto"/>
        <w:ind w:firstLine="602" w:firstLineChars="200"/>
        <w:rPr>
          <w:rFonts w:ascii="宋体" w:hAnsi="宋体"/>
          <w:b/>
          <w:sz w:val="30"/>
          <w:szCs w:val="30"/>
        </w:rPr>
      </w:pPr>
    </w:p>
    <w:p w14:paraId="4781E24C">
      <w:pPr>
        <w:spacing w:line="360" w:lineRule="auto"/>
        <w:ind w:firstLine="602" w:firstLineChars="200"/>
        <w:rPr>
          <w:rFonts w:ascii="宋体" w:hAnsi="宋体"/>
          <w:b/>
          <w:sz w:val="30"/>
          <w:szCs w:val="30"/>
        </w:rPr>
      </w:pPr>
    </w:p>
    <w:p w14:paraId="2B86E619">
      <w:pPr>
        <w:tabs>
          <w:tab w:val="left" w:pos="6255"/>
        </w:tabs>
        <w:spacing w:line="360" w:lineRule="auto"/>
        <w:ind w:firstLine="602" w:firstLineChars="200"/>
        <w:rPr>
          <w:rFonts w:ascii="宋体" w:hAnsi="宋体"/>
          <w:b/>
          <w:sz w:val="30"/>
          <w:szCs w:val="30"/>
        </w:rPr>
      </w:pPr>
      <w:r>
        <w:rPr>
          <w:rFonts w:ascii="宋体" w:hAnsi="宋体"/>
          <w:b/>
          <w:sz w:val="30"/>
          <w:szCs w:val="30"/>
        </w:rPr>
        <w:tab/>
      </w:r>
    </w:p>
    <w:p w14:paraId="6A79664B">
      <w:pPr>
        <w:spacing w:line="360" w:lineRule="auto"/>
        <w:ind w:firstLine="723" w:firstLineChars="200"/>
        <w:jc w:val="center"/>
        <w:rPr>
          <w:rFonts w:ascii="宋体" w:hAnsi="宋体"/>
          <w:b/>
          <w:bCs/>
          <w:sz w:val="36"/>
          <w:szCs w:val="36"/>
        </w:rPr>
      </w:pPr>
      <w:r>
        <w:rPr>
          <w:rFonts w:hint="eastAsia" w:ascii="宋体" w:hAnsi="宋体"/>
          <w:b/>
          <w:bCs/>
          <w:sz w:val="36"/>
          <w:szCs w:val="36"/>
        </w:rPr>
        <w:t>基金管理人：博时基金管理有限公司</w:t>
      </w:r>
    </w:p>
    <w:p w14:paraId="75BD3B8F">
      <w:pPr>
        <w:spacing w:line="360" w:lineRule="auto"/>
        <w:ind w:firstLine="723" w:firstLineChars="200"/>
        <w:jc w:val="center"/>
        <w:rPr>
          <w:rFonts w:ascii="宋体" w:hAnsi="宋体"/>
          <w:b/>
          <w:bCs/>
          <w:sz w:val="36"/>
          <w:szCs w:val="36"/>
        </w:rPr>
      </w:pPr>
      <w:r>
        <w:rPr>
          <w:rFonts w:hint="eastAsia" w:ascii="宋体" w:hAnsi="宋体"/>
          <w:b/>
          <w:bCs/>
          <w:sz w:val="36"/>
          <w:szCs w:val="36"/>
        </w:rPr>
        <w:t>基金托管人：国泰海通证券股份有限公司</w:t>
      </w:r>
    </w:p>
    <w:p w14:paraId="613E678E">
      <w:pPr>
        <w:spacing w:line="360" w:lineRule="auto"/>
        <w:ind w:firstLine="602"/>
        <w:jc w:val="center"/>
        <w:rPr>
          <w:rFonts w:ascii="宋体" w:hAnsi="宋体"/>
        </w:rPr>
      </w:pPr>
      <w:r>
        <w:rPr>
          <w:rFonts w:hint="eastAsia"/>
          <w:b/>
          <w:bCs/>
          <w:sz w:val="30"/>
        </w:rPr>
        <w:t>二零二五</w:t>
      </w:r>
      <w:r>
        <w:rPr>
          <w:b/>
          <w:bCs/>
          <w:sz w:val="30"/>
        </w:rPr>
        <w:t>年</w:t>
      </w:r>
      <w:r>
        <w:rPr>
          <w:rFonts w:hint="eastAsia"/>
          <w:b/>
          <w:bCs/>
          <w:sz w:val="30"/>
          <w:lang w:val="en-US" w:eastAsia="zh-CN"/>
        </w:rPr>
        <w:t>五</w:t>
      </w:r>
      <w:r>
        <w:rPr>
          <w:b/>
          <w:bCs/>
          <w:sz w:val="30"/>
        </w:rPr>
        <w:t>月</w:t>
      </w:r>
    </w:p>
    <w:p w14:paraId="253C586E">
      <w:pPr>
        <w:spacing w:line="360" w:lineRule="auto"/>
        <w:ind w:firstLine="420" w:firstLineChars="200"/>
      </w:pPr>
    </w:p>
    <w:p w14:paraId="0B62B9F9">
      <w:pPr>
        <w:tabs>
          <w:tab w:val="left" w:pos="7185"/>
        </w:tabs>
        <w:sectPr>
          <w:headerReference r:id="rId3" w:type="first"/>
          <w:footerReference r:id="rId5" w:type="first"/>
          <w:footerReference r:id="rId4" w:type="even"/>
          <w:pgSz w:w="11906" w:h="16838"/>
          <w:pgMar w:top="1440" w:right="1800" w:bottom="1440" w:left="1800" w:header="851" w:footer="992" w:gutter="0"/>
          <w:pgNumType w:start="1"/>
          <w:cols w:space="425" w:num="1"/>
          <w:docGrid w:type="lines" w:linePitch="312" w:charSpace="0"/>
        </w:sectPr>
      </w:pPr>
      <w:r>
        <w:tab/>
      </w:r>
    </w:p>
    <w:p w14:paraId="197FDB4A">
      <w:pPr>
        <w:spacing w:line="360" w:lineRule="auto"/>
        <w:jc w:val="center"/>
        <w:rPr>
          <w:sz w:val="28"/>
          <w:szCs w:val="28"/>
        </w:rPr>
      </w:pPr>
      <w:r>
        <w:rPr>
          <w:sz w:val="28"/>
          <w:szCs w:val="28"/>
        </w:rPr>
        <w:t>目录</w:t>
      </w:r>
    </w:p>
    <w:p w14:paraId="3F8DD6A0">
      <w:pPr>
        <w:pStyle w:val="16"/>
        <w:ind w:firstLine="420"/>
        <w:rPr>
          <w:rFonts w:eastAsiaTheme="minorEastAsia"/>
          <w:b w:val="0"/>
          <w:sz w:val="21"/>
          <w:szCs w:val="21"/>
        </w:rPr>
      </w:pPr>
      <w:r>
        <w:rPr>
          <w:rStyle w:val="26"/>
          <w:rFonts w:eastAsiaTheme="minorEastAsia"/>
          <w:b w:val="0"/>
          <w:bCs/>
          <w:color w:val="auto"/>
          <w:sz w:val="21"/>
          <w:szCs w:val="21"/>
        </w:rPr>
        <w:fldChar w:fldCharType="begin"/>
      </w:r>
      <w:r>
        <w:rPr>
          <w:rStyle w:val="26"/>
          <w:rFonts w:eastAsiaTheme="minorEastAsia"/>
          <w:b w:val="0"/>
          <w:bCs/>
          <w:color w:val="auto"/>
          <w:sz w:val="21"/>
          <w:szCs w:val="21"/>
        </w:rPr>
        <w:instrText xml:space="preserve"> TOC \h \z \t "标题 1,1"</w:instrText>
      </w:r>
      <w:r>
        <w:rPr>
          <w:rStyle w:val="26"/>
          <w:rFonts w:eastAsiaTheme="minorEastAsia"/>
          <w:b w:val="0"/>
          <w:bCs/>
          <w:color w:val="auto"/>
          <w:sz w:val="21"/>
          <w:szCs w:val="21"/>
        </w:rPr>
        <w:fldChar w:fldCharType="separate"/>
      </w:r>
      <w:r>
        <w:fldChar w:fldCharType="begin"/>
      </w:r>
      <w:r>
        <w:instrText xml:space="preserve"> HYPERLINK \l "_Toc508720679" </w:instrText>
      </w:r>
      <w:r>
        <w:fldChar w:fldCharType="separate"/>
      </w:r>
      <w:r>
        <w:rPr>
          <w:rStyle w:val="26"/>
          <w:rFonts w:eastAsiaTheme="minorEastAsia"/>
          <w:b w:val="0"/>
          <w:color w:val="auto"/>
          <w:sz w:val="21"/>
          <w:szCs w:val="21"/>
        </w:rPr>
        <w:t>一、基金托管协议当事人</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_Toc508720679 \h </w:instrText>
      </w:r>
      <w:r>
        <w:rPr>
          <w:rFonts w:eastAsiaTheme="minorEastAsia"/>
          <w:b w:val="0"/>
          <w:sz w:val="21"/>
          <w:szCs w:val="21"/>
        </w:rPr>
        <w:fldChar w:fldCharType="separate"/>
      </w:r>
      <w:r>
        <w:rPr>
          <w:rFonts w:eastAsiaTheme="minorEastAsia"/>
          <w:b w:val="0"/>
          <w:sz w:val="21"/>
          <w:szCs w:val="21"/>
        </w:rPr>
        <w:t>3</w:t>
      </w:r>
      <w:r>
        <w:rPr>
          <w:rFonts w:eastAsiaTheme="minorEastAsia"/>
          <w:b w:val="0"/>
          <w:sz w:val="21"/>
          <w:szCs w:val="21"/>
        </w:rPr>
        <w:fldChar w:fldCharType="end"/>
      </w:r>
      <w:r>
        <w:rPr>
          <w:rFonts w:eastAsiaTheme="minorEastAsia"/>
          <w:b w:val="0"/>
          <w:sz w:val="21"/>
          <w:szCs w:val="21"/>
        </w:rPr>
        <w:fldChar w:fldCharType="end"/>
      </w:r>
    </w:p>
    <w:p w14:paraId="71A130B0">
      <w:pPr>
        <w:pStyle w:val="16"/>
        <w:ind w:firstLine="402"/>
        <w:rPr>
          <w:rFonts w:eastAsiaTheme="minorEastAsia"/>
          <w:b w:val="0"/>
          <w:sz w:val="21"/>
          <w:szCs w:val="21"/>
        </w:rPr>
      </w:pPr>
      <w:r>
        <w:fldChar w:fldCharType="begin"/>
      </w:r>
      <w:r>
        <w:instrText xml:space="preserve"> HYPERLINK \l "_Toc508720680" </w:instrText>
      </w:r>
      <w:r>
        <w:fldChar w:fldCharType="separate"/>
      </w:r>
      <w:r>
        <w:rPr>
          <w:rStyle w:val="26"/>
          <w:rFonts w:eastAsiaTheme="minorEastAsia"/>
          <w:b w:val="0"/>
          <w:color w:val="auto"/>
          <w:sz w:val="21"/>
          <w:szCs w:val="21"/>
        </w:rPr>
        <w:t>二、基金托管协议的依据、目的和原则</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_Toc508720680 \h </w:instrText>
      </w:r>
      <w:r>
        <w:rPr>
          <w:rFonts w:eastAsiaTheme="minorEastAsia"/>
          <w:b w:val="0"/>
          <w:sz w:val="21"/>
          <w:szCs w:val="21"/>
        </w:rPr>
        <w:fldChar w:fldCharType="separate"/>
      </w:r>
      <w:r>
        <w:rPr>
          <w:rFonts w:eastAsiaTheme="minorEastAsia"/>
          <w:b w:val="0"/>
          <w:sz w:val="21"/>
          <w:szCs w:val="21"/>
        </w:rPr>
        <w:t>3</w:t>
      </w:r>
      <w:r>
        <w:rPr>
          <w:rFonts w:eastAsiaTheme="minorEastAsia"/>
          <w:b w:val="0"/>
          <w:sz w:val="21"/>
          <w:szCs w:val="21"/>
        </w:rPr>
        <w:fldChar w:fldCharType="end"/>
      </w:r>
      <w:r>
        <w:rPr>
          <w:rFonts w:eastAsiaTheme="minorEastAsia"/>
          <w:b w:val="0"/>
          <w:sz w:val="21"/>
          <w:szCs w:val="21"/>
        </w:rPr>
        <w:fldChar w:fldCharType="end"/>
      </w:r>
    </w:p>
    <w:p w14:paraId="681FB2E4">
      <w:pPr>
        <w:pStyle w:val="16"/>
        <w:ind w:firstLine="402"/>
        <w:rPr>
          <w:rFonts w:eastAsiaTheme="minorEastAsia"/>
          <w:b w:val="0"/>
          <w:sz w:val="21"/>
          <w:szCs w:val="21"/>
        </w:rPr>
      </w:pPr>
      <w:r>
        <w:fldChar w:fldCharType="begin"/>
      </w:r>
      <w:r>
        <w:instrText xml:space="preserve"> HYPERLINK \l "_Toc508720681" </w:instrText>
      </w:r>
      <w:r>
        <w:fldChar w:fldCharType="separate"/>
      </w:r>
      <w:r>
        <w:rPr>
          <w:rStyle w:val="26"/>
          <w:rFonts w:eastAsiaTheme="minorEastAsia"/>
          <w:b w:val="0"/>
          <w:color w:val="auto"/>
          <w:sz w:val="21"/>
          <w:szCs w:val="21"/>
        </w:rPr>
        <w:t>三、基金托管人对基金管理人的业务监督和核查</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_Toc508720681 \h </w:instrText>
      </w:r>
      <w:r>
        <w:rPr>
          <w:rFonts w:eastAsiaTheme="minorEastAsia"/>
          <w:b w:val="0"/>
          <w:sz w:val="21"/>
          <w:szCs w:val="21"/>
        </w:rPr>
        <w:fldChar w:fldCharType="separate"/>
      </w:r>
      <w:r>
        <w:rPr>
          <w:rFonts w:eastAsiaTheme="minorEastAsia"/>
          <w:b w:val="0"/>
          <w:sz w:val="21"/>
          <w:szCs w:val="21"/>
        </w:rPr>
        <w:t>4</w:t>
      </w:r>
      <w:r>
        <w:rPr>
          <w:rFonts w:eastAsiaTheme="minorEastAsia"/>
          <w:b w:val="0"/>
          <w:sz w:val="21"/>
          <w:szCs w:val="21"/>
        </w:rPr>
        <w:fldChar w:fldCharType="end"/>
      </w:r>
      <w:r>
        <w:rPr>
          <w:rFonts w:eastAsiaTheme="minorEastAsia"/>
          <w:b w:val="0"/>
          <w:sz w:val="21"/>
          <w:szCs w:val="21"/>
        </w:rPr>
        <w:fldChar w:fldCharType="end"/>
      </w:r>
    </w:p>
    <w:p w14:paraId="5701791B">
      <w:pPr>
        <w:pStyle w:val="16"/>
        <w:ind w:firstLine="402"/>
        <w:rPr>
          <w:rFonts w:eastAsiaTheme="minorEastAsia"/>
          <w:b w:val="0"/>
          <w:sz w:val="21"/>
          <w:szCs w:val="21"/>
        </w:rPr>
      </w:pPr>
      <w:r>
        <w:fldChar w:fldCharType="begin"/>
      </w:r>
      <w:r>
        <w:instrText xml:space="preserve"> HYPERLINK \l "_Toc508720682" </w:instrText>
      </w:r>
      <w:r>
        <w:fldChar w:fldCharType="separate"/>
      </w:r>
      <w:r>
        <w:rPr>
          <w:rStyle w:val="26"/>
          <w:rFonts w:eastAsiaTheme="minorEastAsia"/>
          <w:b w:val="0"/>
          <w:color w:val="auto"/>
          <w:sz w:val="21"/>
          <w:szCs w:val="21"/>
        </w:rPr>
        <w:t>四、基金管理人对基金托管人的业务核查</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_Toc508720682 \h </w:instrText>
      </w:r>
      <w:r>
        <w:rPr>
          <w:rFonts w:eastAsiaTheme="minorEastAsia"/>
          <w:b w:val="0"/>
          <w:sz w:val="21"/>
          <w:szCs w:val="21"/>
        </w:rPr>
        <w:fldChar w:fldCharType="separate"/>
      </w:r>
      <w:r>
        <w:rPr>
          <w:rFonts w:eastAsiaTheme="minorEastAsia"/>
          <w:b w:val="0"/>
          <w:sz w:val="21"/>
          <w:szCs w:val="21"/>
        </w:rPr>
        <w:t>12</w:t>
      </w:r>
      <w:r>
        <w:rPr>
          <w:rFonts w:eastAsiaTheme="minorEastAsia"/>
          <w:b w:val="0"/>
          <w:sz w:val="21"/>
          <w:szCs w:val="21"/>
        </w:rPr>
        <w:fldChar w:fldCharType="end"/>
      </w:r>
      <w:r>
        <w:rPr>
          <w:rFonts w:eastAsiaTheme="minorEastAsia"/>
          <w:b w:val="0"/>
          <w:sz w:val="21"/>
          <w:szCs w:val="21"/>
        </w:rPr>
        <w:fldChar w:fldCharType="end"/>
      </w:r>
    </w:p>
    <w:p w14:paraId="1458BD6B">
      <w:pPr>
        <w:pStyle w:val="16"/>
        <w:ind w:firstLine="402"/>
        <w:rPr>
          <w:rFonts w:eastAsiaTheme="minorEastAsia"/>
          <w:b w:val="0"/>
          <w:sz w:val="21"/>
          <w:szCs w:val="21"/>
        </w:rPr>
      </w:pPr>
      <w:r>
        <w:fldChar w:fldCharType="begin"/>
      </w:r>
      <w:r>
        <w:instrText xml:space="preserve"> HYPERLINK \l "_Toc508720683" </w:instrText>
      </w:r>
      <w:r>
        <w:fldChar w:fldCharType="separate"/>
      </w:r>
      <w:r>
        <w:rPr>
          <w:rStyle w:val="26"/>
          <w:rFonts w:eastAsiaTheme="minorEastAsia"/>
          <w:b w:val="0"/>
          <w:color w:val="auto"/>
          <w:sz w:val="21"/>
          <w:szCs w:val="21"/>
        </w:rPr>
        <w:t>五、基金财产的保管</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_Toc508720683 \h </w:instrText>
      </w:r>
      <w:r>
        <w:rPr>
          <w:rFonts w:eastAsiaTheme="minorEastAsia"/>
          <w:b w:val="0"/>
          <w:sz w:val="21"/>
          <w:szCs w:val="21"/>
        </w:rPr>
        <w:fldChar w:fldCharType="separate"/>
      </w:r>
      <w:r>
        <w:rPr>
          <w:rFonts w:eastAsiaTheme="minorEastAsia"/>
          <w:b w:val="0"/>
          <w:sz w:val="21"/>
          <w:szCs w:val="21"/>
        </w:rPr>
        <w:t>13</w:t>
      </w:r>
      <w:r>
        <w:rPr>
          <w:rFonts w:eastAsiaTheme="minorEastAsia"/>
          <w:b w:val="0"/>
          <w:sz w:val="21"/>
          <w:szCs w:val="21"/>
        </w:rPr>
        <w:fldChar w:fldCharType="end"/>
      </w:r>
      <w:r>
        <w:rPr>
          <w:rFonts w:eastAsiaTheme="minorEastAsia"/>
          <w:b w:val="0"/>
          <w:sz w:val="21"/>
          <w:szCs w:val="21"/>
        </w:rPr>
        <w:fldChar w:fldCharType="end"/>
      </w:r>
    </w:p>
    <w:p w14:paraId="2B30DAEF">
      <w:pPr>
        <w:pStyle w:val="16"/>
        <w:ind w:firstLine="402"/>
        <w:rPr>
          <w:rFonts w:eastAsiaTheme="minorEastAsia"/>
          <w:b w:val="0"/>
          <w:sz w:val="21"/>
          <w:szCs w:val="21"/>
        </w:rPr>
      </w:pPr>
      <w:r>
        <w:fldChar w:fldCharType="begin"/>
      </w:r>
      <w:r>
        <w:instrText xml:space="preserve"> HYPERLINK \l "_Toc508720684" </w:instrText>
      </w:r>
      <w:r>
        <w:fldChar w:fldCharType="separate"/>
      </w:r>
      <w:r>
        <w:rPr>
          <w:rStyle w:val="26"/>
          <w:rFonts w:eastAsiaTheme="minorEastAsia"/>
          <w:b w:val="0"/>
          <w:color w:val="auto"/>
          <w:sz w:val="21"/>
          <w:szCs w:val="21"/>
        </w:rPr>
        <w:t>六、指令的发送、确认和执行</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_Toc508720684 \h </w:instrText>
      </w:r>
      <w:r>
        <w:rPr>
          <w:rFonts w:eastAsiaTheme="minorEastAsia"/>
          <w:b w:val="0"/>
          <w:sz w:val="21"/>
          <w:szCs w:val="21"/>
        </w:rPr>
        <w:fldChar w:fldCharType="separate"/>
      </w:r>
      <w:r>
        <w:rPr>
          <w:rFonts w:eastAsiaTheme="minorEastAsia"/>
          <w:b w:val="0"/>
          <w:sz w:val="21"/>
          <w:szCs w:val="21"/>
        </w:rPr>
        <w:t>16</w:t>
      </w:r>
      <w:r>
        <w:rPr>
          <w:rFonts w:eastAsiaTheme="minorEastAsia"/>
          <w:b w:val="0"/>
          <w:sz w:val="21"/>
          <w:szCs w:val="21"/>
        </w:rPr>
        <w:fldChar w:fldCharType="end"/>
      </w:r>
      <w:r>
        <w:rPr>
          <w:rFonts w:eastAsiaTheme="minorEastAsia"/>
          <w:b w:val="0"/>
          <w:sz w:val="21"/>
          <w:szCs w:val="21"/>
        </w:rPr>
        <w:fldChar w:fldCharType="end"/>
      </w:r>
    </w:p>
    <w:p w14:paraId="13536DC2">
      <w:pPr>
        <w:pStyle w:val="16"/>
        <w:ind w:firstLine="402"/>
        <w:rPr>
          <w:rFonts w:eastAsiaTheme="minorEastAsia"/>
          <w:b w:val="0"/>
          <w:sz w:val="21"/>
          <w:szCs w:val="21"/>
        </w:rPr>
      </w:pPr>
      <w:r>
        <w:fldChar w:fldCharType="begin"/>
      </w:r>
      <w:r>
        <w:instrText xml:space="preserve"> HYPERLINK \l "_Toc508720685" </w:instrText>
      </w:r>
      <w:r>
        <w:fldChar w:fldCharType="separate"/>
      </w:r>
      <w:r>
        <w:rPr>
          <w:rStyle w:val="26"/>
          <w:rFonts w:eastAsiaTheme="minorEastAsia"/>
          <w:b w:val="0"/>
          <w:color w:val="auto"/>
          <w:sz w:val="21"/>
          <w:szCs w:val="21"/>
        </w:rPr>
        <w:t>七、交易及清算交收安排</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_Toc508720685 \h </w:instrText>
      </w:r>
      <w:r>
        <w:rPr>
          <w:rFonts w:eastAsiaTheme="minorEastAsia"/>
          <w:b w:val="0"/>
          <w:sz w:val="21"/>
          <w:szCs w:val="21"/>
        </w:rPr>
        <w:fldChar w:fldCharType="separate"/>
      </w:r>
      <w:r>
        <w:rPr>
          <w:rFonts w:eastAsiaTheme="minorEastAsia"/>
          <w:b w:val="0"/>
          <w:sz w:val="21"/>
          <w:szCs w:val="21"/>
        </w:rPr>
        <w:t>19</w:t>
      </w:r>
      <w:r>
        <w:rPr>
          <w:rFonts w:eastAsiaTheme="minorEastAsia"/>
          <w:b w:val="0"/>
          <w:sz w:val="21"/>
          <w:szCs w:val="21"/>
        </w:rPr>
        <w:fldChar w:fldCharType="end"/>
      </w:r>
      <w:r>
        <w:rPr>
          <w:rFonts w:eastAsiaTheme="minorEastAsia"/>
          <w:b w:val="0"/>
          <w:sz w:val="21"/>
          <w:szCs w:val="21"/>
        </w:rPr>
        <w:fldChar w:fldCharType="end"/>
      </w:r>
    </w:p>
    <w:p w14:paraId="1881C274">
      <w:pPr>
        <w:pStyle w:val="16"/>
        <w:ind w:firstLine="402"/>
        <w:rPr>
          <w:rFonts w:eastAsiaTheme="minorEastAsia"/>
          <w:b w:val="0"/>
          <w:sz w:val="21"/>
          <w:szCs w:val="21"/>
        </w:rPr>
      </w:pPr>
      <w:r>
        <w:fldChar w:fldCharType="begin"/>
      </w:r>
      <w:r>
        <w:instrText xml:space="preserve"> HYPERLINK \l "_Toc508720686" </w:instrText>
      </w:r>
      <w:r>
        <w:fldChar w:fldCharType="separate"/>
      </w:r>
      <w:r>
        <w:rPr>
          <w:rStyle w:val="26"/>
          <w:rFonts w:eastAsiaTheme="minorEastAsia"/>
          <w:b w:val="0"/>
          <w:color w:val="auto"/>
          <w:sz w:val="21"/>
          <w:szCs w:val="21"/>
        </w:rPr>
        <w:t>八、基金资产净值计算和会计核算</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_Toc508720686 \h </w:instrText>
      </w:r>
      <w:r>
        <w:rPr>
          <w:rFonts w:eastAsiaTheme="minorEastAsia"/>
          <w:b w:val="0"/>
          <w:sz w:val="21"/>
          <w:szCs w:val="21"/>
        </w:rPr>
        <w:fldChar w:fldCharType="separate"/>
      </w:r>
      <w:r>
        <w:rPr>
          <w:rFonts w:eastAsiaTheme="minorEastAsia"/>
          <w:b w:val="0"/>
          <w:sz w:val="21"/>
          <w:szCs w:val="21"/>
        </w:rPr>
        <w:t>21</w:t>
      </w:r>
      <w:r>
        <w:rPr>
          <w:rFonts w:eastAsiaTheme="minorEastAsia"/>
          <w:b w:val="0"/>
          <w:sz w:val="21"/>
          <w:szCs w:val="21"/>
        </w:rPr>
        <w:fldChar w:fldCharType="end"/>
      </w:r>
      <w:r>
        <w:rPr>
          <w:rFonts w:eastAsiaTheme="minorEastAsia"/>
          <w:b w:val="0"/>
          <w:sz w:val="21"/>
          <w:szCs w:val="21"/>
        </w:rPr>
        <w:fldChar w:fldCharType="end"/>
      </w:r>
    </w:p>
    <w:p w14:paraId="0512EA05">
      <w:pPr>
        <w:pStyle w:val="16"/>
        <w:ind w:firstLine="402"/>
        <w:rPr>
          <w:rFonts w:eastAsiaTheme="minorEastAsia"/>
          <w:b w:val="0"/>
          <w:sz w:val="21"/>
          <w:szCs w:val="21"/>
        </w:rPr>
      </w:pPr>
      <w:r>
        <w:fldChar w:fldCharType="begin"/>
      </w:r>
      <w:r>
        <w:instrText xml:space="preserve"> HYPERLINK \l "_Toc508720687" </w:instrText>
      </w:r>
      <w:r>
        <w:fldChar w:fldCharType="separate"/>
      </w:r>
      <w:r>
        <w:rPr>
          <w:rStyle w:val="26"/>
          <w:rFonts w:eastAsiaTheme="minorEastAsia"/>
          <w:b w:val="0"/>
          <w:color w:val="auto"/>
          <w:sz w:val="21"/>
          <w:szCs w:val="21"/>
        </w:rPr>
        <w:t>九、基金收益分配</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_Toc508720687 \h </w:instrText>
      </w:r>
      <w:r>
        <w:rPr>
          <w:rFonts w:eastAsiaTheme="minorEastAsia"/>
          <w:b w:val="0"/>
          <w:sz w:val="21"/>
          <w:szCs w:val="21"/>
        </w:rPr>
        <w:fldChar w:fldCharType="separate"/>
      </w:r>
      <w:r>
        <w:rPr>
          <w:rFonts w:eastAsiaTheme="minorEastAsia"/>
          <w:b w:val="0"/>
          <w:sz w:val="21"/>
          <w:szCs w:val="21"/>
        </w:rPr>
        <w:t>23</w:t>
      </w:r>
      <w:r>
        <w:rPr>
          <w:rFonts w:eastAsiaTheme="minorEastAsia"/>
          <w:b w:val="0"/>
          <w:sz w:val="21"/>
          <w:szCs w:val="21"/>
        </w:rPr>
        <w:fldChar w:fldCharType="end"/>
      </w:r>
      <w:r>
        <w:rPr>
          <w:rFonts w:eastAsiaTheme="minorEastAsia"/>
          <w:b w:val="0"/>
          <w:sz w:val="21"/>
          <w:szCs w:val="21"/>
        </w:rPr>
        <w:fldChar w:fldCharType="end"/>
      </w:r>
    </w:p>
    <w:p w14:paraId="46E4ECBE">
      <w:pPr>
        <w:pStyle w:val="16"/>
        <w:ind w:firstLine="402"/>
        <w:rPr>
          <w:rFonts w:eastAsiaTheme="minorEastAsia"/>
          <w:b w:val="0"/>
          <w:sz w:val="21"/>
          <w:szCs w:val="21"/>
        </w:rPr>
      </w:pPr>
      <w:r>
        <w:fldChar w:fldCharType="begin"/>
      </w:r>
      <w:r>
        <w:instrText xml:space="preserve"> HYPERLINK \l "_Toc508720688" </w:instrText>
      </w:r>
      <w:r>
        <w:fldChar w:fldCharType="separate"/>
      </w:r>
      <w:r>
        <w:rPr>
          <w:rStyle w:val="26"/>
          <w:rFonts w:eastAsiaTheme="minorEastAsia"/>
          <w:b w:val="0"/>
          <w:color w:val="auto"/>
          <w:sz w:val="21"/>
          <w:szCs w:val="21"/>
        </w:rPr>
        <w:t>十、基金信息披露</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_Toc508720688 \h </w:instrText>
      </w:r>
      <w:r>
        <w:rPr>
          <w:rFonts w:eastAsiaTheme="minorEastAsia"/>
          <w:b w:val="0"/>
          <w:sz w:val="21"/>
          <w:szCs w:val="21"/>
        </w:rPr>
        <w:fldChar w:fldCharType="separate"/>
      </w:r>
      <w:r>
        <w:rPr>
          <w:rFonts w:eastAsiaTheme="minorEastAsia"/>
          <w:b w:val="0"/>
          <w:sz w:val="21"/>
          <w:szCs w:val="21"/>
        </w:rPr>
        <w:t>23</w:t>
      </w:r>
      <w:r>
        <w:rPr>
          <w:rFonts w:eastAsiaTheme="minorEastAsia"/>
          <w:b w:val="0"/>
          <w:sz w:val="21"/>
          <w:szCs w:val="21"/>
        </w:rPr>
        <w:fldChar w:fldCharType="end"/>
      </w:r>
      <w:r>
        <w:rPr>
          <w:rFonts w:eastAsiaTheme="minorEastAsia"/>
          <w:b w:val="0"/>
          <w:sz w:val="21"/>
          <w:szCs w:val="21"/>
        </w:rPr>
        <w:fldChar w:fldCharType="end"/>
      </w:r>
    </w:p>
    <w:p w14:paraId="4124E281">
      <w:pPr>
        <w:pStyle w:val="16"/>
        <w:ind w:firstLine="402"/>
        <w:rPr>
          <w:rFonts w:eastAsiaTheme="minorEastAsia"/>
          <w:b w:val="0"/>
          <w:sz w:val="21"/>
          <w:szCs w:val="21"/>
        </w:rPr>
      </w:pPr>
      <w:r>
        <w:fldChar w:fldCharType="begin"/>
      </w:r>
      <w:r>
        <w:instrText xml:space="preserve"> HYPERLINK \l "_Toc508720689" </w:instrText>
      </w:r>
      <w:r>
        <w:fldChar w:fldCharType="separate"/>
      </w:r>
      <w:r>
        <w:rPr>
          <w:rStyle w:val="26"/>
          <w:rFonts w:eastAsiaTheme="minorEastAsia"/>
          <w:b w:val="0"/>
          <w:color w:val="auto"/>
          <w:sz w:val="21"/>
          <w:szCs w:val="21"/>
        </w:rPr>
        <w:t>十一、基金费用</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_Toc508720689 \h </w:instrText>
      </w:r>
      <w:r>
        <w:rPr>
          <w:rFonts w:eastAsiaTheme="minorEastAsia"/>
          <w:b w:val="0"/>
          <w:sz w:val="21"/>
          <w:szCs w:val="21"/>
        </w:rPr>
        <w:fldChar w:fldCharType="separate"/>
      </w:r>
      <w:r>
        <w:rPr>
          <w:rFonts w:eastAsiaTheme="minorEastAsia"/>
          <w:b w:val="0"/>
          <w:sz w:val="21"/>
          <w:szCs w:val="21"/>
        </w:rPr>
        <w:t>24</w:t>
      </w:r>
      <w:r>
        <w:rPr>
          <w:rFonts w:eastAsiaTheme="minorEastAsia"/>
          <w:b w:val="0"/>
          <w:sz w:val="21"/>
          <w:szCs w:val="21"/>
        </w:rPr>
        <w:fldChar w:fldCharType="end"/>
      </w:r>
      <w:r>
        <w:rPr>
          <w:rFonts w:eastAsiaTheme="minorEastAsia"/>
          <w:b w:val="0"/>
          <w:sz w:val="21"/>
          <w:szCs w:val="21"/>
        </w:rPr>
        <w:fldChar w:fldCharType="end"/>
      </w:r>
    </w:p>
    <w:p w14:paraId="4BB23C2E">
      <w:pPr>
        <w:pStyle w:val="16"/>
        <w:ind w:firstLine="402"/>
        <w:rPr>
          <w:rFonts w:eastAsiaTheme="minorEastAsia"/>
          <w:b w:val="0"/>
          <w:sz w:val="21"/>
          <w:szCs w:val="21"/>
        </w:rPr>
      </w:pPr>
      <w:r>
        <w:fldChar w:fldCharType="begin"/>
      </w:r>
      <w:r>
        <w:instrText xml:space="preserve"> HYPERLINK \l "_Toc508720690" </w:instrText>
      </w:r>
      <w:r>
        <w:fldChar w:fldCharType="separate"/>
      </w:r>
      <w:r>
        <w:rPr>
          <w:rStyle w:val="26"/>
          <w:rFonts w:eastAsiaTheme="minorEastAsia"/>
          <w:b w:val="0"/>
          <w:color w:val="auto"/>
          <w:sz w:val="21"/>
          <w:szCs w:val="21"/>
        </w:rPr>
        <w:t>十二、基金份额持有人名册的保管</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_Toc508720690 \h </w:instrText>
      </w:r>
      <w:r>
        <w:rPr>
          <w:rFonts w:eastAsiaTheme="minorEastAsia"/>
          <w:b w:val="0"/>
          <w:sz w:val="21"/>
          <w:szCs w:val="21"/>
        </w:rPr>
        <w:fldChar w:fldCharType="separate"/>
      </w:r>
      <w:r>
        <w:rPr>
          <w:rFonts w:eastAsiaTheme="minorEastAsia"/>
          <w:b w:val="0"/>
          <w:sz w:val="21"/>
          <w:szCs w:val="21"/>
        </w:rPr>
        <w:t>25</w:t>
      </w:r>
      <w:r>
        <w:rPr>
          <w:rFonts w:eastAsiaTheme="minorEastAsia"/>
          <w:b w:val="0"/>
          <w:sz w:val="21"/>
          <w:szCs w:val="21"/>
        </w:rPr>
        <w:fldChar w:fldCharType="end"/>
      </w:r>
      <w:r>
        <w:rPr>
          <w:rFonts w:eastAsiaTheme="minorEastAsia"/>
          <w:b w:val="0"/>
          <w:sz w:val="21"/>
          <w:szCs w:val="21"/>
        </w:rPr>
        <w:fldChar w:fldCharType="end"/>
      </w:r>
    </w:p>
    <w:p w14:paraId="2745B1A9">
      <w:pPr>
        <w:pStyle w:val="16"/>
        <w:ind w:firstLine="402"/>
        <w:rPr>
          <w:rFonts w:eastAsiaTheme="minorEastAsia"/>
          <w:b w:val="0"/>
          <w:sz w:val="21"/>
          <w:szCs w:val="21"/>
        </w:rPr>
      </w:pPr>
      <w:r>
        <w:fldChar w:fldCharType="begin"/>
      </w:r>
      <w:r>
        <w:instrText xml:space="preserve"> HYPERLINK \l "_Toc508720691" </w:instrText>
      </w:r>
      <w:r>
        <w:fldChar w:fldCharType="separate"/>
      </w:r>
      <w:r>
        <w:rPr>
          <w:rStyle w:val="26"/>
          <w:rFonts w:eastAsiaTheme="minorEastAsia"/>
          <w:b w:val="0"/>
          <w:color w:val="auto"/>
          <w:sz w:val="21"/>
          <w:szCs w:val="21"/>
        </w:rPr>
        <w:t>十三、基金有关文件档案的保存</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_Toc508720691 \h </w:instrText>
      </w:r>
      <w:r>
        <w:rPr>
          <w:rFonts w:eastAsiaTheme="minorEastAsia"/>
          <w:b w:val="0"/>
          <w:sz w:val="21"/>
          <w:szCs w:val="21"/>
        </w:rPr>
        <w:fldChar w:fldCharType="separate"/>
      </w:r>
      <w:r>
        <w:rPr>
          <w:rFonts w:eastAsiaTheme="minorEastAsia"/>
          <w:b w:val="0"/>
          <w:sz w:val="21"/>
          <w:szCs w:val="21"/>
        </w:rPr>
        <w:t>25</w:t>
      </w:r>
      <w:r>
        <w:rPr>
          <w:rFonts w:eastAsiaTheme="minorEastAsia"/>
          <w:b w:val="0"/>
          <w:sz w:val="21"/>
          <w:szCs w:val="21"/>
        </w:rPr>
        <w:fldChar w:fldCharType="end"/>
      </w:r>
      <w:r>
        <w:rPr>
          <w:rFonts w:eastAsiaTheme="minorEastAsia"/>
          <w:b w:val="0"/>
          <w:sz w:val="21"/>
          <w:szCs w:val="21"/>
        </w:rPr>
        <w:fldChar w:fldCharType="end"/>
      </w:r>
    </w:p>
    <w:p w14:paraId="638DBE4A">
      <w:pPr>
        <w:pStyle w:val="16"/>
        <w:ind w:firstLine="402"/>
        <w:rPr>
          <w:rFonts w:eastAsiaTheme="minorEastAsia"/>
          <w:b w:val="0"/>
          <w:sz w:val="21"/>
          <w:szCs w:val="21"/>
        </w:rPr>
      </w:pPr>
      <w:r>
        <w:fldChar w:fldCharType="begin"/>
      </w:r>
      <w:r>
        <w:instrText xml:space="preserve"> HYPERLINK \l "_Toc508720692" </w:instrText>
      </w:r>
      <w:r>
        <w:fldChar w:fldCharType="separate"/>
      </w:r>
      <w:r>
        <w:rPr>
          <w:rStyle w:val="26"/>
          <w:rFonts w:eastAsiaTheme="minorEastAsia"/>
          <w:b w:val="0"/>
          <w:color w:val="auto"/>
          <w:sz w:val="21"/>
          <w:szCs w:val="21"/>
        </w:rPr>
        <w:t>十四、基金管理人和基金托管人的更换</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_Toc508720692 \h </w:instrText>
      </w:r>
      <w:r>
        <w:rPr>
          <w:rFonts w:eastAsiaTheme="minorEastAsia"/>
          <w:b w:val="0"/>
          <w:sz w:val="21"/>
          <w:szCs w:val="21"/>
        </w:rPr>
        <w:fldChar w:fldCharType="separate"/>
      </w:r>
      <w:r>
        <w:rPr>
          <w:rFonts w:eastAsiaTheme="minorEastAsia"/>
          <w:b w:val="0"/>
          <w:sz w:val="21"/>
          <w:szCs w:val="21"/>
        </w:rPr>
        <w:t>26</w:t>
      </w:r>
      <w:r>
        <w:rPr>
          <w:rFonts w:eastAsiaTheme="minorEastAsia"/>
          <w:b w:val="0"/>
          <w:sz w:val="21"/>
          <w:szCs w:val="21"/>
        </w:rPr>
        <w:fldChar w:fldCharType="end"/>
      </w:r>
      <w:r>
        <w:rPr>
          <w:rFonts w:eastAsiaTheme="minorEastAsia"/>
          <w:b w:val="0"/>
          <w:sz w:val="21"/>
          <w:szCs w:val="21"/>
        </w:rPr>
        <w:fldChar w:fldCharType="end"/>
      </w:r>
    </w:p>
    <w:p w14:paraId="318B2959">
      <w:pPr>
        <w:pStyle w:val="16"/>
        <w:ind w:firstLine="402"/>
        <w:rPr>
          <w:rFonts w:eastAsiaTheme="minorEastAsia"/>
          <w:b w:val="0"/>
          <w:sz w:val="21"/>
          <w:szCs w:val="21"/>
        </w:rPr>
      </w:pPr>
      <w:r>
        <w:fldChar w:fldCharType="begin"/>
      </w:r>
      <w:r>
        <w:instrText xml:space="preserve"> HYPERLINK \l "_Toc508720693" </w:instrText>
      </w:r>
      <w:r>
        <w:fldChar w:fldCharType="separate"/>
      </w:r>
      <w:r>
        <w:rPr>
          <w:rStyle w:val="26"/>
          <w:rFonts w:eastAsiaTheme="minorEastAsia"/>
          <w:b w:val="0"/>
          <w:color w:val="auto"/>
          <w:sz w:val="21"/>
          <w:szCs w:val="21"/>
        </w:rPr>
        <w:t>十五、禁止行为</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_Toc508720693 \h </w:instrText>
      </w:r>
      <w:r>
        <w:rPr>
          <w:rFonts w:eastAsiaTheme="minorEastAsia"/>
          <w:b w:val="0"/>
          <w:sz w:val="21"/>
          <w:szCs w:val="21"/>
        </w:rPr>
        <w:fldChar w:fldCharType="separate"/>
      </w:r>
      <w:r>
        <w:rPr>
          <w:rFonts w:eastAsiaTheme="minorEastAsia"/>
          <w:b w:val="0"/>
          <w:sz w:val="21"/>
          <w:szCs w:val="21"/>
        </w:rPr>
        <w:t>28</w:t>
      </w:r>
      <w:r>
        <w:rPr>
          <w:rFonts w:eastAsiaTheme="minorEastAsia"/>
          <w:b w:val="0"/>
          <w:sz w:val="21"/>
          <w:szCs w:val="21"/>
        </w:rPr>
        <w:fldChar w:fldCharType="end"/>
      </w:r>
      <w:r>
        <w:rPr>
          <w:rFonts w:eastAsiaTheme="minorEastAsia"/>
          <w:b w:val="0"/>
          <w:sz w:val="21"/>
          <w:szCs w:val="21"/>
        </w:rPr>
        <w:fldChar w:fldCharType="end"/>
      </w:r>
    </w:p>
    <w:p w14:paraId="6B3F01E4">
      <w:pPr>
        <w:pStyle w:val="16"/>
        <w:ind w:firstLine="402"/>
        <w:rPr>
          <w:rFonts w:eastAsiaTheme="minorEastAsia"/>
          <w:b w:val="0"/>
          <w:sz w:val="21"/>
          <w:szCs w:val="21"/>
        </w:rPr>
      </w:pPr>
      <w:r>
        <w:fldChar w:fldCharType="begin"/>
      </w:r>
      <w:r>
        <w:instrText xml:space="preserve"> HYPERLINK \l "_Toc508720694" </w:instrText>
      </w:r>
      <w:r>
        <w:fldChar w:fldCharType="separate"/>
      </w:r>
      <w:r>
        <w:rPr>
          <w:rStyle w:val="26"/>
          <w:rFonts w:eastAsiaTheme="minorEastAsia"/>
          <w:b w:val="0"/>
          <w:color w:val="auto"/>
          <w:sz w:val="21"/>
          <w:szCs w:val="21"/>
        </w:rPr>
        <w:t>十六、基金托管协议的变更、终止与基金财产的清算</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_Toc508720694 \h </w:instrText>
      </w:r>
      <w:r>
        <w:rPr>
          <w:rFonts w:eastAsiaTheme="minorEastAsia"/>
          <w:b w:val="0"/>
          <w:sz w:val="21"/>
          <w:szCs w:val="21"/>
        </w:rPr>
        <w:fldChar w:fldCharType="separate"/>
      </w:r>
      <w:r>
        <w:rPr>
          <w:rFonts w:eastAsiaTheme="minorEastAsia"/>
          <w:b w:val="0"/>
          <w:sz w:val="21"/>
          <w:szCs w:val="21"/>
        </w:rPr>
        <w:t>29</w:t>
      </w:r>
      <w:r>
        <w:rPr>
          <w:rFonts w:eastAsiaTheme="minorEastAsia"/>
          <w:b w:val="0"/>
          <w:sz w:val="21"/>
          <w:szCs w:val="21"/>
        </w:rPr>
        <w:fldChar w:fldCharType="end"/>
      </w:r>
      <w:r>
        <w:rPr>
          <w:rFonts w:eastAsiaTheme="minorEastAsia"/>
          <w:b w:val="0"/>
          <w:sz w:val="21"/>
          <w:szCs w:val="21"/>
        </w:rPr>
        <w:fldChar w:fldCharType="end"/>
      </w:r>
    </w:p>
    <w:p w14:paraId="6AFC8E3C">
      <w:pPr>
        <w:pStyle w:val="16"/>
        <w:ind w:firstLine="402"/>
        <w:rPr>
          <w:rFonts w:eastAsiaTheme="minorEastAsia"/>
          <w:b w:val="0"/>
          <w:sz w:val="21"/>
          <w:szCs w:val="21"/>
        </w:rPr>
      </w:pPr>
      <w:r>
        <w:fldChar w:fldCharType="begin"/>
      </w:r>
      <w:r>
        <w:instrText xml:space="preserve"> HYPERLINK \l "_Toc508720695" </w:instrText>
      </w:r>
      <w:r>
        <w:fldChar w:fldCharType="separate"/>
      </w:r>
      <w:r>
        <w:rPr>
          <w:rStyle w:val="26"/>
          <w:rFonts w:eastAsiaTheme="minorEastAsia"/>
          <w:b w:val="0"/>
          <w:color w:val="auto"/>
          <w:sz w:val="21"/>
          <w:szCs w:val="21"/>
        </w:rPr>
        <w:t>十七、违约责任</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_Toc508720695 \h </w:instrText>
      </w:r>
      <w:r>
        <w:rPr>
          <w:rFonts w:eastAsiaTheme="minorEastAsia"/>
          <w:b w:val="0"/>
          <w:sz w:val="21"/>
          <w:szCs w:val="21"/>
        </w:rPr>
        <w:fldChar w:fldCharType="separate"/>
      </w:r>
      <w:r>
        <w:rPr>
          <w:rFonts w:eastAsiaTheme="minorEastAsia"/>
          <w:b w:val="0"/>
          <w:sz w:val="21"/>
          <w:szCs w:val="21"/>
        </w:rPr>
        <w:t>31</w:t>
      </w:r>
      <w:r>
        <w:rPr>
          <w:rFonts w:eastAsiaTheme="minorEastAsia"/>
          <w:b w:val="0"/>
          <w:sz w:val="21"/>
          <w:szCs w:val="21"/>
        </w:rPr>
        <w:fldChar w:fldCharType="end"/>
      </w:r>
      <w:r>
        <w:rPr>
          <w:rFonts w:eastAsiaTheme="minorEastAsia"/>
          <w:b w:val="0"/>
          <w:sz w:val="21"/>
          <w:szCs w:val="21"/>
        </w:rPr>
        <w:fldChar w:fldCharType="end"/>
      </w:r>
    </w:p>
    <w:p w14:paraId="217BE214">
      <w:pPr>
        <w:pStyle w:val="16"/>
        <w:ind w:firstLine="402"/>
        <w:rPr>
          <w:rFonts w:eastAsiaTheme="minorEastAsia"/>
          <w:b w:val="0"/>
          <w:sz w:val="21"/>
          <w:szCs w:val="21"/>
        </w:rPr>
      </w:pPr>
      <w:r>
        <w:fldChar w:fldCharType="begin"/>
      </w:r>
      <w:r>
        <w:instrText xml:space="preserve"> HYPERLINK \l "_Toc508720696" </w:instrText>
      </w:r>
      <w:r>
        <w:fldChar w:fldCharType="separate"/>
      </w:r>
      <w:r>
        <w:rPr>
          <w:rStyle w:val="26"/>
          <w:rFonts w:eastAsiaTheme="minorEastAsia"/>
          <w:b w:val="0"/>
          <w:color w:val="auto"/>
          <w:sz w:val="21"/>
          <w:szCs w:val="21"/>
        </w:rPr>
        <w:t>十八、争议解决方式</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_Toc508720696 \h </w:instrText>
      </w:r>
      <w:r>
        <w:rPr>
          <w:rFonts w:eastAsiaTheme="minorEastAsia"/>
          <w:b w:val="0"/>
          <w:sz w:val="21"/>
          <w:szCs w:val="21"/>
        </w:rPr>
        <w:fldChar w:fldCharType="separate"/>
      </w:r>
      <w:r>
        <w:rPr>
          <w:rFonts w:eastAsiaTheme="minorEastAsia"/>
          <w:b w:val="0"/>
          <w:sz w:val="21"/>
          <w:szCs w:val="21"/>
        </w:rPr>
        <w:t>32</w:t>
      </w:r>
      <w:r>
        <w:rPr>
          <w:rFonts w:eastAsiaTheme="minorEastAsia"/>
          <w:b w:val="0"/>
          <w:sz w:val="21"/>
          <w:szCs w:val="21"/>
        </w:rPr>
        <w:fldChar w:fldCharType="end"/>
      </w:r>
      <w:r>
        <w:rPr>
          <w:rFonts w:eastAsiaTheme="minorEastAsia"/>
          <w:b w:val="0"/>
          <w:sz w:val="21"/>
          <w:szCs w:val="21"/>
        </w:rPr>
        <w:fldChar w:fldCharType="end"/>
      </w:r>
    </w:p>
    <w:p w14:paraId="072752B2">
      <w:pPr>
        <w:pStyle w:val="16"/>
        <w:ind w:firstLine="402"/>
        <w:rPr>
          <w:rFonts w:eastAsiaTheme="minorEastAsia"/>
          <w:b w:val="0"/>
          <w:sz w:val="21"/>
          <w:szCs w:val="21"/>
        </w:rPr>
      </w:pPr>
      <w:r>
        <w:fldChar w:fldCharType="begin"/>
      </w:r>
      <w:r>
        <w:instrText xml:space="preserve"> HYPERLINK \l "_Toc508720697" </w:instrText>
      </w:r>
      <w:r>
        <w:fldChar w:fldCharType="separate"/>
      </w:r>
      <w:r>
        <w:rPr>
          <w:rStyle w:val="26"/>
          <w:rFonts w:eastAsiaTheme="minorEastAsia"/>
          <w:b w:val="0"/>
          <w:color w:val="auto"/>
          <w:sz w:val="21"/>
          <w:szCs w:val="21"/>
        </w:rPr>
        <w:t>十九、基金托管协议的效力</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_Toc508720697 \h </w:instrText>
      </w:r>
      <w:r>
        <w:rPr>
          <w:rFonts w:eastAsiaTheme="minorEastAsia"/>
          <w:b w:val="0"/>
          <w:sz w:val="21"/>
          <w:szCs w:val="21"/>
        </w:rPr>
        <w:fldChar w:fldCharType="separate"/>
      </w:r>
      <w:r>
        <w:rPr>
          <w:rFonts w:eastAsiaTheme="minorEastAsia"/>
          <w:b w:val="0"/>
          <w:sz w:val="21"/>
          <w:szCs w:val="21"/>
        </w:rPr>
        <w:t>33</w:t>
      </w:r>
      <w:r>
        <w:rPr>
          <w:rFonts w:eastAsiaTheme="minorEastAsia"/>
          <w:b w:val="0"/>
          <w:sz w:val="21"/>
          <w:szCs w:val="21"/>
        </w:rPr>
        <w:fldChar w:fldCharType="end"/>
      </w:r>
      <w:r>
        <w:rPr>
          <w:rFonts w:eastAsiaTheme="minorEastAsia"/>
          <w:b w:val="0"/>
          <w:sz w:val="21"/>
          <w:szCs w:val="21"/>
        </w:rPr>
        <w:fldChar w:fldCharType="end"/>
      </w:r>
    </w:p>
    <w:p w14:paraId="282A214F">
      <w:pPr>
        <w:pStyle w:val="16"/>
        <w:ind w:firstLine="402"/>
        <w:rPr>
          <w:rFonts w:eastAsiaTheme="minorEastAsia"/>
          <w:b w:val="0"/>
          <w:sz w:val="21"/>
          <w:szCs w:val="21"/>
        </w:rPr>
      </w:pPr>
      <w:r>
        <w:fldChar w:fldCharType="begin"/>
      </w:r>
      <w:r>
        <w:instrText xml:space="preserve"> HYPERLINK \l "_Toc508720698" </w:instrText>
      </w:r>
      <w:r>
        <w:fldChar w:fldCharType="separate"/>
      </w:r>
      <w:r>
        <w:rPr>
          <w:rStyle w:val="26"/>
          <w:rFonts w:eastAsiaTheme="minorEastAsia"/>
          <w:b w:val="0"/>
          <w:color w:val="auto"/>
          <w:sz w:val="21"/>
          <w:szCs w:val="21"/>
        </w:rPr>
        <w:t>二十、其他事项</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_Toc508720698 \h </w:instrText>
      </w:r>
      <w:r>
        <w:rPr>
          <w:rFonts w:eastAsiaTheme="minorEastAsia"/>
          <w:b w:val="0"/>
          <w:sz w:val="21"/>
          <w:szCs w:val="21"/>
        </w:rPr>
        <w:fldChar w:fldCharType="separate"/>
      </w:r>
      <w:r>
        <w:rPr>
          <w:rFonts w:eastAsiaTheme="minorEastAsia"/>
          <w:b w:val="0"/>
          <w:sz w:val="21"/>
          <w:szCs w:val="21"/>
        </w:rPr>
        <w:t>33</w:t>
      </w:r>
      <w:r>
        <w:rPr>
          <w:rFonts w:eastAsiaTheme="minorEastAsia"/>
          <w:b w:val="0"/>
          <w:sz w:val="21"/>
          <w:szCs w:val="21"/>
        </w:rPr>
        <w:fldChar w:fldCharType="end"/>
      </w:r>
      <w:r>
        <w:rPr>
          <w:rFonts w:eastAsiaTheme="minorEastAsia"/>
          <w:b w:val="0"/>
          <w:sz w:val="21"/>
          <w:szCs w:val="21"/>
        </w:rPr>
        <w:fldChar w:fldCharType="end"/>
      </w:r>
    </w:p>
    <w:p w14:paraId="67AB06CF">
      <w:pPr>
        <w:pStyle w:val="16"/>
        <w:ind w:firstLine="402"/>
        <w:rPr>
          <w:rFonts w:eastAsiaTheme="minorEastAsia"/>
          <w:b w:val="0"/>
          <w:sz w:val="21"/>
          <w:szCs w:val="21"/>
        </w:rPr>
      </w:pPr>
      <w:r>
        <w:fldChar w:fldCharType="begin"/>
      </w:r>
      <w:r>
        <w:instrText xml:space="preserve"> HYPERLINK \l "_Toc508720699" </w:instrText>
      </w:r>
      <w:r>
        <w:fldChar w:fldCharType="separate"/>
      </w:r>
      <w:r>
        <w:rPr>
          <w:rStyle w:val="26"/>
          <w:rFonts w:eastAsiaTheme="minorEastAsia"/>
          <w:b w:val="0"/>
          <w:color w:val="auto"/>
          <w:sz w:val="21"/>
          <w:szCs w:val="21"/>
        </w:rPr>
        <w:t>二十一、基金托管协议的签订</w:t>
      </w:r>
      <w:r>
        <w:rPr>
          <w:rFonts w:eastAsiaTheme="minorEastAsia"/>
          <w:b w:val="0"/>
          <w:sz w:val="21"/>
          <w:szCs w:val="21"/>
        </w:rPr>
        <w:tab/>
      </w:r>
      <w:r>
        <w:rPr>
          <w:rFonts w:eastAsiaTheme="minorEastAsia"/>
          <w:b w:val="0"/>
          <w:sz w:val="21"/>
          <w:szCs w:val="21"/>
        </w:rPr>
        <w:fldChar w:fldCharType="begin"/>
      </w:r>
      <w:r>
        <w:rPr>
          <w:rFonts w:eastAsiaTheme="minorEastAsia"/>
          <w:b w:val="0"/>
          <w:sz w:val="21"/>
          <w:szCs w:val="21"/>
        </w:rPr>
        <w:instrText xml:space="preserve"> PAGEREF _Toc508720699 \h </w:instrText>
      </w:r>
      <w:r>
        <w:rPr>
          <w:rFonts w:eastAsiaTheme="minorEastAsia"/>
          <w:b w:val="0"/>
          <w:sz w:val="21"/>
          <w:szCs w:val="21"/>
        </w:rPr>
        <w:fldChar w:fldCharType="separate"/>
      </w:r>
      <w:r>
        <w:rPr>
          <w:rFonts w:eastAsiaTheme="minorEastAsia"/>
          <w:b w:val="0"/>
          <w:sz w:val="21"/>
          <w:szCs w:val="21"/>
        </w:rPr>
        <w:t>33</w:t>
      </w:r>
      <w:r>
        <w:rPr>
          <w:rFonts w:eastAsiaTheme="minorEastAsia"/>
          <w:b w:val="0"/>
          <w:sz w:val="21"/>
          <w:szCs w:val="21"/>
        </w:rPr>
        <w:fldChar w:fldCharType="end"/>
      </w:r>
      <w:r>
        <w:rPr>
          <w:rFonts w:eastAsiaTheme="minorEastAsia"/>
          <w:b w:val="0"/>
          <w:sz w:val="21"/>
          <w:szCs w:val="21"/>
        </w:rPr>
        <w:fldChar w:fldCharType="end"/>
      </w:r>
    </w:p>
    <w:p w14:paraId="572B8A2A">
      <w:pPr>
        <w:pStyle w:val="16"/>
        <w:ind w:firstLine="420"/>
        <w:rPr>
          <w:rStyle w:val="26"/>
          <w:rFonts w:ascii="宋体" w:hAnsi="宋体"/>
          <w:b w:val="0"/>
          <w:bCs/>
          <w:caps w:val="0"/>
          <w:color w:val="auto"/>
          <w:sz w:val="21"/>
          <w:szCs w:val="24"/>
        </w:rPr>
      </w:pPr>
      <w:r>
        <w:rPr>
          <w:rStyle w:val="26"/>
          <w:rFonts w:eastAsiaTheme="minorEastAsia"/>
          <w:b w:val="0"/>
          <w:bCs/>
          <w:color w:val="auto"/>
          <w:sz w:val="21"/>
          <w:szCs w:val="21"/>
        </w:rPr>
        <w:fldChar w:fldCharType="end"/>
      </w:r>
    </w:p>
    <w:p w14:paraId="35911A75">
      <w:pPr>
        <w:spacing w:line="360" w:lineRule="auto"/>
        <w:ind w:firstLine="420" w:firstLineChars="200"/>
        <w:rPr>
          <w:rFonts w:ascii="宋体" w:hAnsi="宋体"/>
          <w:kern w:val="0"/>
          <w:sz w:val="24"/>
        </w:rPr>
      </w:pPr>
      <w:r>
        <w:rPr>
          <w:rStyle w:val="26"/>
          <w:rFonts w:ascii="宋体" w:hAnsi="宋体"/>
          <w:bCs/>
          <w:color w:val="auto"/>
        </w:rPr>
        <w:br w:type="page"/>
      </w:r>
      <w:bookmarkStart w:id="0" w:name="_Toc125892432"/>
      <w:bookmarkStart w:id="1" w:name="_Toc22454432"/>
      <w:bookmarkStart w:id="2" w:name="_Toc523829992"/>
      <w:r>
        <w:rPr>
          <w:rFonts w:hint="eastAsia" w:ascii="宋体" w:hAnsi="宋体"/>
          <w:kern w:val="0"/>
          <w:sz w:val="24"/>
        </w:rPr>
        <w:t>鉴于博时基金管理有限公司系一家依照中国法律合法成立并有效存续的有限责任公司，按照相关法律法规的规定具备担任基金管理人的资格和能力，拟募集发行博时国证大盘成长交易型开放式指数证券投资基金（以下简称“本基金”或“基金”）；</w:t>
      </w:r>
      <w:bookmarkEnd w:id="0"/>
    </w:p>
    <w:p w14:paraId="58D7F468">
      <w:pPr>
        <w:spacing w:line="360" w:lineRule="auto"/>
        <w:ind w:firstLine="480" w:firstLineChars="200"/>
        <w:rPr>
          <w:rFonts w:ascii="宋体" w:hAnsi="宋体"/>
          <w:kern w:val="0"/>
          <w:sz w:val="24"/>
        </w:rPr>
      </w:pPr>
      <w:bookmarkStart w:id="3" w:name="_Toc125892433"/>
      <w:r>
        <w:rPr>
          <w:rFonts w:hint="eastAsia" w:ascii="宋体" w:hAnsi="宋体"/>
          <w:kern w:val="0"/>
          <w:sz w:val="24"/>
        </w:rPr>
        <w:t>鉴于国泰海通证券股份有限公司系一家依照中国法律合法成立并有效存续的证券公司，按照相关法律法规的规定具备担任基金托管人的资格和能力；</w:t>
      </w:r>
      <w:bookmarkEnd w:id="3"/>
    </w:p>
    <w:p w14:paraId="357923A0">
      <w:pPr>
        <w:spacing w:line="360" w:lineRule="auto"/>
        <w:ind w:firstLine="480" w:firstLineChars="200"/>
        <w:rPr>
          <w:rFonts w:ascii="宋体" w:hAnsi="宋体"/>
          <w:kern w:val="0"/>
          <w:sz w:val="24"/>
        </w:rPr>
      </w:pPr>
      <w:bookmarkStart w:id="4" w:name="_Toc125892434"/>
      <w:r>
        <w:rPr>
          <w:rFonts w:hint="eastAsia" w:ascii="宋体" w:hAnsi="宋体"/>
          <w:kern w:val="0"/>
          <w:sz w:val="24"/>
        </w:rPr>
        <w:t>鉴于博时基金管理有限公司拟担任博时国证大盘成长交易型开放式指数证券投资基金的基金管理人，国泰海通证券股份有限公司拟担任博时国证大盘成长交易型开放式指数证券投资基金的基金托管人；</w:t>
      </w:r>
      <w:bookmarkEnd w:id="4"/>
    </w:p>
    <w:p w14:paraId="0EF02F6F">
      <w:pPr>
        <w:spacing w:line="360" w:lineRule="auto"/>
        <w:ind w:firstLine="480" w:firstLineChars="200"/>
        <w:rPr>
          <w:rFonts w:ascii="宋体" w:hAnsi="宋体"/>
          <w:kern w:val="0"/>
          <w:sz w:val="24"/>
        </w:rPr>
      </w:pPr>
      <w:bookmarkStart w:id="5" w:name="_Toc125892435"/>
      <w:r>
        <w:rPr>
          <w:rFonts w:hint="eastAsia" w:ascii="宋体" w:hAnsi="宋体"/>
          <w:kern w:val="0"/>
          <w:sz w:val="24"/>
        </w:rPr>
        <w:t>为明确博时国证大盘成长交易型开放式指数证券投资基金的基金管理人和基金托管人之间的权利义务关系，特制订本协议；</w:t>
      </w:r>
      <w:bookmarkEnd w:id="5"/>
    </w:p>
    <w:p w14:paraId="4FD0D3D7">
      <w:pPr>
        <w:spacing w:line="360" w:lineRule="auto"/>
        <w:ind w:firstLine="480" w:firstLineChars="200"/>
        <w:rPr>
          <w:rFonts w:ascii="宋体" w:hAnsi="宋体"/>
          <w:kern w:val="0"/>
          <w:sz w:val="24"/>
        </w:rPr>
      </w:pPr>
      <w:bookmarkStart w:id="6" w:name="_Toc125892436"/>
      <w:r>
        <w:rPr>
          <w:rFonts w:hint="eastAsia" w:ascii="宋体" w:hAnsi="宋体"/>
          <w:kern w:val="0"/>
          <w:sz w:val="24"/>
        </w:rPr>
        <w:t>除非文义另有所指，本协议的所有术语与《博时国证大盘成长交易型开放式指数证券投资基金基金合同》（以下简称《基金合同》）中定义的相应术语具有相同的含义。若有抵触应以《基金合同》为准，并依其条款解释。</w:t>
      </w:r>
      <w:bookmarkEnd w:id="6"/>
      <w:bookmarkStart w:id="7" w:name="_Toc125892437"/>
    </w:p>
    <w:p w14:paraId="108BD264">
      <w:pPr>
        <w:pStyle w:val="2"/>
        <w:spacing w:before="0" w:after="0"/>
        <w:ind w:firstLine="480" w:firstLineChars="200"/>
        <w:rPr>
          <w:color w:val="auto"/>
        </w:rPr>
      </w:pPr>
      <w:r>
        <w:rPr>
          <w:color w:val="auto"/>
        </w:rPr>
        <w:br w:type="page"/>
      </w:r>
      <w:bookmarkStart w:id="8" w:name="_Toc508720679"/>
      <w:r>
        <w:rPr>
          <w:rFonts w:hint="eastAsia"/>
          <w:color w:val="auto"/>
        </w:rPr>
        <w:t>一、基金托管协议当事人</w:t>
      </w:r>
      <w:bookmarkEnd w:id="1"/>
      <w:bookmarkEnd w:id="2"/>
      <w:bookmarkEnd w:id="7"/>
      <w:bookmarkEnd w:id="8"/>
    </w:p>
    <w:p w14:paraId="7A68BFFF">
      <w:pPr>
        <w:tabs>
          <w:tab w:val="left" w:pos="3780"/>
        </w:tabs>
        <w:autoSpaceDE w:val="0"/>
        <w:autoSpaceDN w:val="0"/>
        <w:spacing w:line="360" w:lineRule="auto"/>
        <w:ind w:firstLine="480" w:firstLineChars="200"/>
        <w:textAlignment w:val="bottom"/>
        <w:outlineLvl w:val="0"/>
        <w:rPr>
          <w:rFonts w:ascii="宋体" w:hAnsi="宋体"/>
          <w:b/>
          <w:bCs/>
          <w:sz w:val="24"/>
        </w:rPr>
      </w:pPr>
      <w:bookmarkStart w:id="9" w:name="_Toc22454433"/>
      <w:bookmarkStart w:id="10" w:name="_Toc77662992"/>
      <w:r>
        <w:rPr>
          <w:rFonts w:hint="eastAsia" w:ascii="宋体" w:hAnsi="宋体"/>
          <w:b/>
          <w:bCs/>
          <w:sz w:val="24"/>
        </w:rPr>
        <w:t>（一）基金管理人</w:t>
      </w:r>
      <w:bookmarkEnd w:id="9"/>
      <w:bookmarkEnd w:id="10"/>
    </w:p>
    <w:p w14:paraId="67DEE11A">
      <w:pPr>
        <w:autoSpaceDE w:val="0"/>
        <w:autoSpaceDN w:val="0"/>
        <w:adjustRightInd w:val="0"/>
        <w:spacing w:line="360" w:lineRule="auto"/>
        <w:ind w:firstLine="465"/>
        <w:jc w:val="left"/>
        <w:rPr>
          <w:rFonts w:asciiTheme="minorEastAsia" w:hAnsiTheme="minorEastAsia" w:eastAsiaTheme="minorEastAsia"/>
          <w:sz w:val="24"/>
        </w:rPr>
      </w:pPr>
      <w:bookmarkStart w:id="11" w:name="_Toc77662993"/>
      <w:bookmarkStart w:id="12" w:name="_Toc22454434"/>
      <w:r>
        <w:rPr>
          <w:rFonts w:hint="eastAsia" w:asciiTheme="minorEastAsia" w:hAnsiTheme="minorEastAsia" w:eastAsiaTheme="minorEastAsia"/>
          <w:sz w:val="24"/>
        </w:rPr>
        <w:t>名称：博时基金管理有限公司</w:t>
      </w:r>
    </w:p>
    <w:p w14:paraId="547591A1">
      <w:pPr>
        <w:autoSpaceDE w:val="0"/>
        <w:autoSpaceDN w:val="0"/>
        <w:adjustRightInd w:val="0"/>
        <w:spacing w:line="360" w:lineRule="auto"/>
        <w:ind w:firstLine="465"/>
        <w:jc w:val="left"/>
        <w:rPr>
          <w:rFonts w:asciiTheme="minorEastAsia" w:hAnsiTheme="minorEastAsia" w:eastAsiaTheme="minorEastAsia"/>
          <w:sz w:val="24"/>
        </w:rPr>
      </w:pPr>
      <w:r>
        <w:rPr>
          <w:rFonts w:hint="eastAsia" w:asciiTheme="minorEastAsia" w:hAnsiTheme="minorEastAsia" w:eastAsiaTheme="minorEastAsia"/>
          <w:sz w:val="24"/>
        </w:rPr>
        <w:t>住所：深圳市福田区莲花街道福新社区益田路5999号基金大厦21层</w:t>
      </w:r>
    </w:p>
    <w:p w14:paraId="352A3949">
      <w:pPr>
        <w:autoSpaceDE w:val="0"/>
        <w:autoSpaceDN w:val="0"/>
        <w:adjustRightInd w:val="0"/>
        <w:spacing w:line="360" w:lineRule="auto"/>
        <w:ind w:firstLine="465"/>
        <w:jc w:val="left"/>
        <w:rPr>
          <w:rFonts w:asciiTheme="minorEastAsia" w:hAnsiTheme="minorEastAsia" w:eastAsiaTheme="minorEastAsia"/>
          <w:sz w:val="24"/>
        </w:rPr>
      </w:pPr>
      <w:r>
        <w:rPr>
          <w:rFonts w:hint="eastAsia" w:asciiTheme="minorEastAsia" w:hAnsiTheme="minorEastAsia" w:eastAsiaTheme="minorEastAsia"/>
          <w:sz w:val="24"/>
        </w:rPr>
        <w:t>法定代表人：江向阳</w:t>
      </w:r>
    </w:p>
    <w:p w14:paraId="6C451911">
      <w:pPr>
        <w:autoSpaceDE w:val="0"/>
        <w:autoSpaceDN w:val="0"/>
        <w:adjustRightInd w:val="0"/>
        <w:spacing w:line="360" w:lineRule="auto"/>
        <w:ind w:firstLine="465"/>
        <w:jc w:val="left"/>
        <w:rPr>
          <w:rFonts w:asciiTheme="minorEastAsia" w:hAnsiTheme="minorEastAsia" w:eastAsiaTheme="minorEastAsia"/>
          <w:sz w:val="24"/>
        </w:rPr>
      </w:pPr>
      <w:r>
        <w:rPr>
          <w:rFonts w:hint="eastAsia" w:asciiTheme="minorEastAsia" w:hAnsiTheme="minorEastAsia" w:eastAsiaTheme="minorEastAsia"/>
          <w:sz w:val="24"/>
        </w:rPr>
        <w:t>设立日期： 1998年7月13日</w:t>
      </w:r>
    </w:p>
    <w:p w14:paraId="682551ED">
      <w:pPr>
        <w:autoSpaceDE w:val="0"/>
        <w:autoSpaceDN w:val="0"/>
        <w:adjustRightInd w:val="0"/>
        <w:spacing w:line="360" w:lineRule="auto"/>
        <w:ind w:firstLine="465"/>
        <w:jc w:val="left"/>
        <w:rPr>
          <w:rFonts w:asciiTheme="minorEastAsia" w:hAnsiTheme="minorEastAsia" w:eastAsiaTheme="minorEastAsia"/>
          <w:sz w:val="24"/>
        </w:rPr>
      </w:pPr>
      <w:r>
        <w:rPr>
          <w:rFonts w:hint="eastAsia" w:asciiTheme="minorEastAsia" w:hAnsiTheme="minorEastAsia" w:eastAsiaTheme="minorEastAsia"/>
          <w:sz w:val="24"/>
        </w:rPr>
        <w:t>批准设立机关及批准设立文号：中国证监会证监基字【1998】26号</w:t>
      </w:r>
    </w:p>
    <w:p w14:paraId="5DE8280D">
      <w:pPr>
        <w:autoSpaceDE w:val="0"/>
        <w:autoSpaceDN w:val="0"/>
        <w:adjustRightInd w:val="0"/>
        <w:spacing w:line="360" w:lineRule="auto"/>
        <w:ind w:firstLine="465"/>
        <w:jc w:val="left"/>
        <w:rPr>
          <w:rFonts w:asciiTheme="minorEastAsia" w:hAnsiTheme="minorEastAsia" w:eastAsiaTheme="minorEastAsia"/>
          <w:sz w:val="24"/>
        </w:rPr>
      </w:pPr>
      <w:r>
        <w:rPr>
          <w:rFonts w:hint="eastAsia" w:asciiTheme="minorEastAsia" w:hAnsiTheme="minorEastAsia" w:eastAsiaTheme="minorEastAsia"/>
          <w:sz w:val="24"/>
        </w:rPr>
        <w:t>组织形式：有限责任公司</w:t>
      </w:r>
    </w:p>
    <w:p w14:paraId="7DEE1E3B">
      <w:pPr>
        <w:autoSpaceDE w:val="0"/>
        <w:autoSpaceDN w:val="0"/>
        <w:adjustRightInd w:val="0"/>
        <w:spacing w:line="360" w:lineRule="auto"/>
        <w:ind w:firstLine="465"/>
        <w:jc w:val="left"/>
        <w:rPr>
          <w:rFonts w:asciiTheme="minorEastAsia" w:hAnsiTheme="minorEastAsia" w:eastAsiaTheme="minorEastAsia"/>
          <w:sz w:val="24"/>
        </w:rPr>
      </w:pPr>
      <w:r>
        <w:rPr>
          <w:rFonts w:hint="eastAsia" w:asciiTheme="minorEastAsia" w:hAnsiTheme="minorEastAsia" w:eastAsiaTheme="minorEastAsia"/>
          <w:sz w:val="24"/>
        </w:rPr>
        <w:t>注册资本： 2.5亿元人民币</w:t>
      </w:r>
    </w:p>
    <w:p w14:paraId="14639480">
      <w:pPr>
        <w:autoSpaceDE w:val="0"/>
        <w:autoSpaceDN w:val="0"/>
        <w:adjustRightInd w:val="0"/>
        <w:spacing w:line="360" w:lineRule="auto"/>
        <w:ind w:firstLine="465"/>
        <w:jc w:val="left"/>
        <w:rPr>
          <w:rFonts w:asciiTheme="minorEastAsia" w:hAnsiTheme="minorEastAsia" w:eastAsiaTheme="minorEastAsia"/>
          <w:sz w:val="24"/>
        </w:rPr>
      </w:pPr>
      <w:r>
        <w:rPr>
          <w:rFonts w:hint="eastAsia" w:asciiTheme="minorEastAsia" w:hAnsiTheme="minorEastAsia" w:eastAsiaTheme="minorEastAsia"/>
          <w:sz w:val="24"/>
        </w:rPr>
        <w:t>存续期限： 持续经营</w:t>
      </w:r>
    </w:p>
    <w:p w14:paraId="53D71F02">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Theme="minorEastAsia" w:hAnsiTheme="minorEastAsia" w:eastAsiaTheme="minorEastAsia"/>
          <w:sz w:val="24"/>
        </w:rPr>
        <w:t>联系电话：0755-83169999</w:t>
      </w:r>
    </w:p>
    <w:p w14:paraId="321B3459">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（二）基金托管人</w:t>
      </w:r>
      <w:bookmarkEnd w:id="11"/>
      <w:bookmarkEnd w:id="12"/>
    </w:p>
    <w:p w14:paraId="566001D5">
      <w:pPr>
        <w:autoSpaceDE w:val="0"/>
        <w:autoSpaceDN w:val="0"/>
        <w:adjustRightInd w:val="0"/>
        <w:spacing w:line="360" w:lineRule="auto"/>
        <w:ind w:firstLine="465"/>
        <w:jc w:val="left"/>
        <w:rPr>
          <w:rFonts w:ascii="宋体" w:hAnsi="宋体" w:cs="宋体-WinCharSetFFFF-H"/>
          <w:kern w:val="0"/>
          <w:sz w:val="24"/>
        </w:rPr>
      </w:pPr>
      <w:r>
        <w:rPr>
          <w:rFonts w:hint="eastAsia" w:ascii="宋体" w:hAnsi="宋体" w:cs="宋体-WinCharSetFFFF-H"/>
          <w:kern w:val="0"/>
          <w:sz w:val="24"/>
        </w:rPr>
        <w:t>名称：国泰海通证券股份有限公司</w:t>
      </w:r>
    </w:p>
    <w:p w14:paraId="65851E8C">
      <w:pPr>
        <w:autoSpaceDE w:val="0"/>
        <w:autoSpaceDN w:val="0"/>
        <w:adjustRightInd w:val="0"/>
        <w:spacing w:line="360" w:lineRule="auto"/>
        <w:ind w:firstLine="465"/>
        <w:jc w:val="left"/>
        <w:rPr>
          <w:rFonts w:ascii="宋体" w:hAnsi="宋体" w:cs="宋体-WinCharSetFFFF-H"/>
          <w:kern w:val="0"/>
          <w:sz w:val="24"/>
        </w:rPr>
      </w:pPr>
      <w:r>
        <w:rPr>
          <w:rFonts w:hint="eastAsia" w:ascii="宋体" w:hAnsi="宋体" w:cs="宋体-WinCharSetFFFF-H"/>
          <w:kern w:val="0"/>
          <w:sz w:val="24"/>
        </w:rPr>
        <w:t>注册地址：</w:t>
      </w:r>
      <w:r>
        <w:rPr>
          <w:rFonts w:hint="eastAsia"/>
          <w:bCs/>
          <w:sz w:val="24"/>
        </w:rPr>
        <w:t>中国（上海）自由贸易试验区商城路618号</w:t>
      </w:r>
    </w:p>
    <w:p w14:paraId="0DEE3B91">
      <w:pPr>
        <w:autoSpaceDE w:val="0"/>
        <w:autoSpaceDN w:val="0"/>
        <w:adjustRightInd w:val="0"/>
        <w:spacing w:line="360" w:lineRule="auto"/>
        <w:ind w:firstLine="465"/>
        <w:jc w:val="left"/>
        <w:rPr>
          <w:rFonts w:ascii="宋体" w:hAnsi="宋体" w:cs="宋体-WinCharSetFFFF-H"/>
          <w:kern w:val="0"/>
          <w:sz w:val="24"/>
        </w:rPr>
      </w:pPr>
      <w:r>
        <w:rPr>
          <w:rFonts w:hint="eastAsia" w:ascii="宋体" w:hAnsi="宋体" w:cs="宋体-WinCharSetFFFF-H"/>
          <w:kern w:val="0"/>
          <w:sz w:val="24"/>
        </w:rPr>
        <w:t>法定代表人：</w:t>
      </w:r>
      <w:r>
        <w:rPr>
          <w:rFonts w:hint="eastAsia"/>
          <w:bCs/>
          <w:sz w:val="24"/>
        </w:rPr>
        <w:t>朱健</w:t>
      </w:r>
    </w:p>
    <w:p w14:paraId="357B7456">
      <w:pPr>
        <w:autoSpaceDE w:val="0"/>
        <w:autoSpaceDN w:val="0"/>
        <w:adjustRightInd w:val="0"/>
        <w:spacing w:line="360" w:lineRule="auto"/>
        <w:ind w:firstLine="465"/>
        <w:jc w:val="left"/>
        <w:rPr>
          <w:rFonts w:ascii="宋体" w:hAnsi="宋体"/>
          <w:sz w:val="24"/>
        </w:rPr>
      </w:pPr>
      <w:r>
        <w:rPr>
          <w:rFonts w:hint="eastAsia" w:ascii="宋体" w:hAnsi="宋体" w:cs="宋体-WinCharSetFFFF-H"/>
          <w:kern w:val="0"/>
          <w:sz w:val="24"/>
        </w:rPr>
        <w:t>成立时间：</w:t>
      </w:r>
      <w:r>
        <w:rPr>
          <w:rFonts w:hint="eastAsia"/>
          <w:bCs/>
          <w:sz w:val="24"/>
        </w:rPr>
        <w:t>1999年8月18日</w:t>
      </w:r>
    </w:p>
    <w:p w14:paraId="4CB894B1">
      <w:pPr>
        <w:autoSpaceDE w:val="0"/>
        <w:autoSpaceDN w:val="0"/>
        <w:adjustRightInd w:val="0"/>
        <w:spacing w:line="360" w:lineRule="auto"/>
        <w:ind w:firstLine="465"/>
        <w:jc w:val="left"/>
        <w:rPr>
          <w:rFonts w:ascii="宋体" w:hAnsi="宋体" w:cs="宋体-WinCharSetFFFF-H"/>
          <w:kern w:val="0"/>
          <w:sz w:val="24"/>
        </w:rPr>
      </w:pPr>
      <w:r>
        <w:rPr>
          <w:rFonts w:hint="eastAsia" w:ascii="宋体" w:hAnsi="宋体" w:cs="宋体-WinCharSetFFFF-H"/>
          <w:kern w:val="0"/>
          <w:sz w:val="24"/>
        </w:rPr>
        <w:t>批准设立机关及批准设立文号：</w:t>
      </w:r>
      <w:r>
        <w:rPr>
          <w:rFonts w:hint="eastAsia" w:ascii="宋体" w:hAnsi="宋体"/>
          <w:sz w:val="24"/>
        </w:rPr>
        <w:t>中国证监会证监机构字[1999]77号</w:t>
      </w:r>
    </w:p>
    <w:p w14:paraId="50A4361A">
      <w:pPr>
        <w:autoSpaceDE w:val="0"/>
        <w:autoSpaceDN w:val="0"/>
        <w:adjustRightInd w:val="0"/>
        <w:spacing w:line="360" w:lineRule="auto"/>
        <w:ind w:firstLine="465"/>
        <w:jc w:val="left"/>
        <w:rPr>
          <w:bCs/>
          <w:sz w:val="24"/>
        </w:rPr>
      </w:pPr>
      <w:r>
        <w:rPr>
          <w:rFonts w:hint="eastAsia" w:ascii="宋体" w:hAnsi="宋体" w:cs="宋体-WinCharSetFFFF-H"/>
          <w:kern w:val="0"/>
          <w:sz w:val="24"/>
        </w:rPr>
        <w:t>组织形式：</w:t>
      </w:r>
      <w:r>
        <w:rPr>
          <w:rFonts w:hint="eastAsia"/>
          <w:bCs/>
          <w:sz w:val="24"/>
        </w:rPr>
        <w:t>其他股份有限公司（上市）</w:t>
      </w:r>
    </w:p>
    <w:p w14:paraId="3677D7AB">
      <w:pPr>
        <w:autoSpaceDE w:val="0"/>
        <w:autoSpaceDN w:val="0"/>
        <w:adjustRightInd w:val="0"/>
        <w:spacing w:line="360" w:lineRule="auto"/>
        <w:ind w:firstLine="465"/>
        <w:jc w:val="left"/>
        <w:rPr>
          <w:rFonts w:ascii="宋体" w:hAnsi="宋体" w:cs="宋体-WinCharSetFFFF-H"/>
          <w:kern w:val="0"/>
          <w:sz w:val="24"/>
        </w:rPr>
      </w:pPr>
      <w:r>
        <w:rPr>
          <w:rFonts w:hint="eastAsia" w:ascii="宋体" w:hAnsi="宋体" w:cs="宋体-WinCharSetFFFF-H"/>
          <w:kern w:val="0"/>
          <w:sz w:val="24"/>
        </w:rPr>
        <w:t>注册资本：人民币17,629,708,696元整</w:t>
      </w:r>
    </w:p>
    <w:p w14:paraId="4AF02B53">
      <w:pPr>
        <w:autoSpaceDE w:val="0"/>
        <w:autoSpaceDN w:val="0"/>
        <w:adjustRightInd w:val="0"/>
        <w:spacing w:line="360" w:lineRule="auto"/>
        <w:ind w:firstLine="465"/>
        <w:jc w:val="left"/>
        <w:rPr>
          <w:rFonts w:ascii="宋体" w:hAnsi="宋体" w:cs="宋体-WinCharSetFFFF-H"/>
          <w:kern w:val="0"/>
          <w:sz w:val="24"/>
        </w:rPr>
      </w:pPr>
      <w:r>
        <w:rPr>
          <w:rFonts w:hint="eastAsia" w:ascii="宋体" w:hAnsi="宋体" w:cs="宋体-WinCharSetFFFF-H"/>
          <w:kern w:val="0"/>
          <w:sz w:val="24"/>
        </w:rPr>
        <w:t>存续期间：</w:t>
      </w:r>
      <w:r>
        <w:rPr>
          <w:rFonts w:hint="eastAsia"/>
          <w:bCs/>
          <w:sz w:val="24"/>
        </w:rPr>
        <w:t>持续经营</w:t>
      </w:r>
    </w:p>
    <w:p w14:paraId="78A1F9C4">
      <w:pPr>
        <w:autoSpaceDE w:val="0"/>
        <w:autoSpaceDN w:val="0"/>
        <w:adjustRightInd w:val="0"/>
        <w:spacing w:line="360" w:lineRule="auto"/>
        <w:ind w:firstLine="465"/>
        <w:jc w:val="left"/>
        <w:rPr>
          <w:rFonts w:ascii="宋体" w:hAnsi="宋体" w:cs="宋体-WinCharSetFFFF-H"/>
          <w:kern w:val="0"/>
          <w:sz w:val="24"/>
        </w:rPr>
      </w:pPr>
      <w:r>
        <w:rPr>
          <w:rFonts w:hint="eastAsia" w:ascii="宋体" w:hAnsi="宋体" w:cs="宋体-WinCharSetFFFF-H"/>
          <w:kern w:val="0"/>
          <w:sz w:val="24"/>
        </w:rPr>
        <w:t>基金托管业务批准文号：</w:t>
      </w:r>
      <w:r>
        <w:rPr>
          <w:rFonts w:hint="eastAsia"/>
          <w:bCs/>
          <w:sz w:val="24"/>
        </w:rPr>
        <w:t>中国证监会证监许可[2014]511号</w:t>
      </w:r>
    </w:p>
    <w:p w14:paraId="09976775">
      <w:pPr>
        <w:spacing w:line="360" w:lineRule="auto"/>
        <w:ind w:firstLine="480" w:firstLineChars="200"/>
        <w:rPr>
          <w:bCs/>
          <w:sz w:val="24"/>
        </w:rPr>
      </w:pPr>
      <w:r>
        <w:rPr>
          <w:rFonts w:hint="eastAsia" w:ascii="宋体" w:hAnsi="宋体" w:cs="宋体-WinCharSetFFFF-H"/>
          <w:kern w:val="0"/>
          <w:sz w:val="24"/>
        </w:rPr>
        <w:t>联系人：</w:t>
      </w:r>
      <w:r>
        <w:rPr>
          <w:rFonts w:hint="eastAsia"/>
          <w:bCs/>
          <w:sz w:val="24"/>
        </w:rPr>
        <w:t>丛艳</w:t>
      </w:r>
    </w:p>
    <w:p w14:paraId="43CD7D25">
      <w:pPr>
        <w:autoSpaceDE w:val="0"/>
        <w:autoSpaceDN w:val="0"/>
        <w:adjustRightInd w:val="0"/>
        <w:spacing w:line="360" w:lineRule="auto"/>
        <w:ind w:firstLine="465"/>
        <w:jc w:val="left"/>
        <w:rPr>
          <w:rFonts w:ascii="宋体" w:hAnsi="宋体"/>
          <w:kern w:val="0"/>
          <w:sz w:val="24"/>
        </w:rPr>
      </w:pPr>
      <w:r>
        <w:rPr>
          <w:rFonts w:hint="eastAsia" w:ascii="宋体" w:hAnsi="宋体" w:cs="宋体-WinCharSetFFFF-H"/>
          <w:kern w:val="0"/>
          <w:sz w:val="24"/>
        </w:rPr>
        <w:t>联系电话：</w:t>
      </w:r>
      <w:r>
        <w:rPr>
          <w:bCs/>
          <w:sz w:val="24"/>
        </w:rPr>
        <w:t>021-38677336</w:t>
      </w:r>
    </w:p>
    <w:p w14:paraId="0624E91C">
      <w:pPr>
        <w:pStyle w:val="2"/>
        <w:spacing w:before="0" w:after="0"/>
        <w:ind w:firstLine="480" w:firstLineChars="200"/>
        <w:rPr>
          <w:color w:val="auto"/>
        </w:rPr>
      </w:pPr>
      <w:bookmarkStart w:id="13" w:name="_Toc125892438"/>
      <w:bookmarkStart w:id="14" w:name="_Toc22454435"/>
      <w:bookmarkStart w:id="15" w:name="_Toc466788852"/>
      <w:bookmarkStart w:id="16" w:name="_Toc508720680"/>
      <w:bookmarkStart w:id="17" w:name="_Toc523829993"/>
      <w:r>
        <w:rPr>
          <w:rFonts w:hint="eastAsia"/>
          <w:color w:val="auto"/>
        </w:rPr>
        <w:t>二、基金托管协议的依据、目的和原则</w:t>
      </w:r>
      <w:bookmarkEnd w:id="13"/>
      <w:bookmarkEnd w:id="14"/>
      <w:bookmarkEnd w:id="15"/>
      <w:bookmarkEnd w:id="16"/>
      <w:bookmarkEnd w:id="17"/>
    </w:p>
    <w:p w14:paraId="45EF4CEA">
      <w:pPr>
        <w:spacing w:line="360" w:lineRule="auto"/>
        <w:ind w:firstLine="480" w:firstLineChars="200"/>
        <w:rPr>
          <w:rFonts w:ascii="宋体" w:hAnsi="宋体"/>
          <w:kern w:val="0"/>
          <w:sz w:val="24"/>
        </w:rPr>
      </w:pPr>
      <w:r>
        <w:rPr>
          <w:rFonts w:hint="eastAsia" w:ascii="宋体" w:hAnsi="宋体"/>
          <w:kern w:val="0"/>
          <w:sz w:val="24"/>
        </w:rPr>
        <w:t>本协议依据《中华人民共和国证券投资基金法》（以下简称</w:t>
      </w:r>
      <w:r>
        <w:rPr>
          <w:rFonts w:hint="eastAsia" w:ascii="宋体" w:hAnsi="宋体"/>
          <w:sz w:val="24"/>
        </w:rPr>
        <w:t>“</w:t>
      </w:r>
      <w:r>
        <w:rPr>
          <w:rFonts w:hint="eastAsia" w:ascii="宋体" w:hAnsi="宋体"/>
          <w:kern w:val="0"/>
          <w:sz w:val="24"/>
        </w:rPr>
        <w:t>《基金法》</w:t>
      </w:r>
      <w:r>
        <w:rPr>
          <w:rFonts w:hint="eastAsia" w:ascii="宋体" w:hAnsi="宋体"/>
          <w:sz w:val="24"/>
        </w:rPr>
        <w:t>”</w:t>
      </w:r>
      <w:r>
        <w:rPr>
          <w:rFonts w:hint="eastAsia" w:ascii="宋体" w:hAnsi="宋体"/>
          <w:kern w:val="0"/>
          <w:sz w:val="24"/>
        </w:rPr>
        <w:t>）、《公开募集证券投资基金销售机构监督管理办法》（以下简称</w:t>
      </w:r>
      <w:r>
        <w:rPr>
          <w:rFonts w:hint="eastAsia" w:ascii="宋体" w:hAnsi="宋体"/>
          <w:sz w:val="24"/>
        </w:rPr>
        <w:t>“</w:t>
      </w:r>
      <w:r>
        <w:rPr>
          <w:rFonts w:hint="eastAsia" w:ascii="宋体" w:hAnsi="宋体"/>
          <w:kern w:val="0"/>
          <w:sz w:val="24"/>
        </w:rPr>
        <w:t>《销售办法》</w:t>
      </w:r>
      <w:r>
        <w:rPr>
          <w:rFonts w:hint="eastAsia" w:ascii="宋体" w:hAnsi="宋体"/>
          <w:sz w:val="24"/>
        </w:rPr>
        <w:t>”</w:t>
      </w:r>
      <w:r>
        <w:rPr>
          <w:rFonts w:hint="eastAsia" w:ascii="宋体" w:hAnsi="宋体"/>
          <w:kern w:val="0"/>
          <w:sz w:val="24"/>
        </w:rPr>
        <w:t>）、《公开募集证券投资基金运作管理办法》（以下简称</w:t>
      </w:r>
      <w:r>
        <w:rPr>
          <w:rFonts w:hint="eastAsia" w:ascii="宋体" w:hAnsi="宋体"/>
          <w:sz w:val="24"/>
        </w:rPr>
        <w:t>“</w:t>
      </w:r>
      <w:r>
        <w:rPr>
          <w:rFonts w:hint="eastAsia" w:ascii="宋体" w:hAnsi="宋体"/>
          <w:kern w:val="0"/>
          <w:sz w:val="24"/>
        </w:rPr>
        <w:t>《运作办法》</w:t>
      </w:r>
      <w:r>
        <w:rPr>
          <w:rFonts w:hint="eastAsia" w:ascii="宋体" w:hAnsi="宋体"/>
          <w:sz w:val="24"/>
        </w:rPr>
        <w:t>”</w:t>
      </w:r>
      <w:r>
        <w:rPr>
          <w:rFonts w:hint="eastAsia" w:ascii="宋体" w:hAnsi="宋体"/>
          <w:kern w:val="0"/>
          <w:sz w:val="24"/>
        </w:rPr>
        <w:t>）、《证券投资基金信息披露内容与格式准则第7号〈托管协议的内容与格式〉》、《公开募集证券投资基金信息披露管理办法》（以下简称“《信息披露办法》”）、</w:t>
      </w:r>
      <w:r>
        <w:rPr>
          <w:rFonts w:hint="eastAsia" w:ascii="宋体" w:hAnsi="宋体"/>
          <w:sz w:val="24"/>
        </w:rPr>
        <w:t>《公开募集开放式证券投资基金流动性风险管理规定》（以下简称“《流动性风险管理规定》”）、</w:t>
      </w:r>
      <w:r>
        <w:rPr>
          <w:rFonts w:hint="eastAsia" w:ascii="宋体" w:hAnsi="宋体"/>
          <w:kern w:val="0"/>
          <w:sz w:val="24"/>
        </w:rPr>
        <w:t>《博时国证大盘成长交易型开放式指数证券投资基金基金合同》（以下简称</w:t>
      </w:r>
      <w:r>
        <w:rPr>
          <w:rFonts w:hint="eastAsia" w:ascii="宋体" w:hAnsi="宋体"/>
          <w:sz w:val="24"/>
        </w:rPr>
        <w:t>“</w:t>
      </w:r>
      <w:r>
        <w:rPr>
          <w:rFonts w:hint="eastAsia" w:ascii="宋体" w:hAnsi="宋体"/>
          <w:kern w:val="0"/>
          <w:sz w:val="24"/>
        </w:rPr>
        <w:t>《基金合同》</w:t>
      </w:r>
      <w:r>
        <w:rPr>
          <w:rFonts w:hint="eastAsia" w:ascii="宋体" w:hAnsi="宋体"/>
          <w:sz w:val="24"/>
        </w:rPr>
        <w:t>”</w:t>
      </w:r>
      <w:r>
        <w:rPr>
          <w:rFonts w:hint="eastAsia" w:ascii="宋体" w:hAnsi="宋体"/>
          <w:kern w:val="0"/>
          <w:sz w:val="24"/>
        </w:rPr>
        <w:t>）及其他有关规定订立。</w:t>
      </w:r>
    </w:p>
    <w:p w14:paraId="06F3CF19">
      <w:pPr>
        <w:spacing w:line="360" w:lineRule="auto"/>
        <w:ind w:firstLine="480" w:firstLineChars="200"/>
        <w:rPr>
          <w:rFonts w:ascii="宋体" w:hAnsi="宋体"/>
          <w:kern w:val="0"/>
          <w:sz w:val="24"/>
        </w:rPr>
      </w:pPr>
      <w:r>
        <w:rPr>
          <w:rFonts w:hint="eastAsia" w:ascii="宋体" w:hAnsi="宋体"/>
          <w:kern w:val="0"/>
          <w:sz w:val="24"/>
        </w:rPr>
        <w:t>本协议的目的是明确基金管理人和基金托管人之间在基金财产的保管、投资运作、净值计算、收益分配、信息披露及相互监督等有关事宜中的权利、义务及职责，以确保基金财产的安全，保护基金份额持有人的合法权益。</w:t>
      </w:r>
    </w:p>
    <w:p w14:paraId="410B3FE9">
      <w:pPr>
        <w:spacing w:line="360" w:lineRule="auto"/>
        <w:ind w:firstLine="480" w:firstLineChars="200"/>
        <w:rPr>
          <w:rFonts w:ascii="宋体" w:hAnsi="宋体"/>
          <w:kern w:val="0"/>
          <w:sz w:val="24"/>
        </w:rPr>
      </w:pPr>
      <w:r>
        <w:rPr>
          <w:rFonts w:hint="eastAsia" w:ascii="宋体" w:hAnsi="宋体"/>
          <w:kern w:val="0"/>
          <w:sz w:val="24"/>
        </w:rPr>
        <w:t>基金管理人和基金托管人遵循平等自愿、诚实信用、充分保护投资者合法利益的原则，经协商一致，签订本协议。</w:t>
      </w:r>
    </w:p>
    <w:p w14:paraId="1597061D">
      <w:pPr>
        <w:pStyle w:val="2"/>
        <w:spacing w:before="0" w:after="0"/>
        <w:ind w:firstLine="480" w:firstLineChars="200"/>
        <w:rPr>
          <w:color w:val="auto"/>
        </w:rPr>
      </w:pPr>
      <w:bookmarkStart w:id="18" w:name="_Toc466788853"/>
      <w:bookmarkStart w:id="19" w:name="_Toc125892439"/>
      <w:bookmarkStart w:id="20" w:name="_Toc508720681"/>
      <w:bookmarkStart w:id="21" w:name="_Toc523829994"/>
      <w:bookmarkStart w:id="22" w:name="_Toc22454436"/>
      <w:r>
        <w:rPr>
          <w:rFonts w:hint="eastAsia"/>
          <w:color w:val="auto"/>
        </w:rPr>
        <w:t>三、基金托管人对基金管理人</w:t>
      </w:r>
      <w:bookmarkEnd w:id="18"/>
      <w:r>
        <w:rPr>
          <w:rFonts w:hint="eastAsia"/>
          <w:color w:val="auto"/>
        </w:rPr>
        <w:t>的业务监督和核查</w:t>
      </w:r>
      <w:bookmarkEnd w:id="19"/>
      <w:bookmarkEnd w:id="20"/>
      <w:bookmarkEnd w:id="21"/>
      <w:bookmarkEnd w:id="22"/>
    </w:p>
    <w:p w14:paraId="7935091F">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（一）基金托管人对基金管理人的投资行为行使监督权</w:t>
      </w:r>
    </w:p>
    <w:p w14:paraId="466167A5">
      <w:pPr>
        <w:spacing w:line="360" w:lineRule="auto"/>
        <w:ind w:firstLine="480" w:firstLineChars="200"/>
        <w:rPr>
          <w:rFonts w:ascii="宋体" w:hAnsi="宋体"/>
          <w:b/>
          <w:bCs/>
          <w:sz w:val="24"/>
        </w:rPr>
      </w:pPr>
      <w:r>
        <w:rPr>
          <w:rFonts w:hint="eastAsia" w:ascii="宋体" w:hAnsi="宋体"/>
          <w:b/>
          <w:bCs/>
          <w:sz w:val="24"/>
        </w:rPr>
        <w:t>1、基金托管人根据有关法律法规的规定及《基金合同》和本协议的约定，对基金的投资范围、投资对象进行监督。</w:t>
      </w:r>
    </w:p>
    <w:p w14:paraId="6D501CE1">
      <w:pPr>
        <w:spacing w:line="360" w:lineRule="auto"/>
        <w:ind w:firstLine="480"/>
        <w:rPr>
          <w:bCs/>
          <w:sz w:val="24"/>
        </w:rPr>
      </w:pPr>
      <w:r>
        <w:rPr>
          <w:rFonts w:hint="eastAsia"/>
          <w:bCs/>
          <w:sz w:val="24"/>
        </w:rPr>
        <w:t>本基金主要投资于标的指数成份股和备选成份股(含存托凭证)。</w:t>
      </w:r>
    </w:p>
    <w:p w14:paraId="7E489FE3">
      <w:pPr>
        <w:spacing w:line="360" w:lineRule="auto"/>
        <w:ind w:firstLine="480"/>
        <w:rPr>
          <w:bCs/>
          <w:sz w:val="24"/>
        </w:rPr>
      </w:pPr>
      <w:r>
        <w:rPr>
          <w:rFonts w:hint="eastAsia"/>
          <w:bCs/>
          <w:sz w:val="24"/>
        </w:rPr>
        <w:t>为更好地实现基金的投资目标，本基金可能会少量投资于依法发行上市的非成份股（包括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3BD4FB8E">
      <w:pPr>
        <w:spacing w:line="360" w:lineRule="auto"/>
        <w:ind w:firstLine="480"/>
        <w:rPr>
          <w:bCs/>
          <w:sz w:val="24"/>
        </w:rPr>
      </w:pPr>
      <w:r>
        <w:rPr>
          <w:rFonts w:hint="eastAsia"/>
          <w:bCs/>
          <w:sz w:val="24"/>
        </w:rPr>
        <w:t>本基金可根据法律法规的规定参与融资和转融通证券出借业务。未来在法律法规允许的前提下，本基金可根据相关法律法规规定参与融券业务。</w:t>
      </w:r>
    </w:p>
    <w:p w14:paraId="53033B09">
      <w:pPr>
        <w:spacing w:line="360" w:lineRule="auto"/>
        <w:ind w:firstLine="480"/>
        <w:rPr>
          <w:bCs/>
          <w:sz w:val="24"/>
        </w:rPr>
      </w:pPr>
      <w:r>
        <w:rPr>
          <w:rFonts w:hint="eastAsia"/>
          <w:bCs/>
          <w:sz w:val="24"/>
        </w:rPr>
        <w:t>如法律法规或中国证监会以后允许基金投资其他品种，本基金管理人在履行适当程序后，可以将其纳入本基金的投资范围。</w:t>
      </w:r>
    </w:p>
    <w:p w14:paraId="358671B0">
      <w:pPr>
        <w:spacing w:line="360" w:lineRule="auto"/>
        <w:ind w:firstLine="480" w:firstLineChars="200"/>
        <w:rPr>
          <w:rFonts w:ascii="宋体" w:hAnsi="宋体"/>
          <w:b/>
          <w:bCs/>
          <w:sz w:val="24"/>
        </w:rPr>
      </w:pPr>
      <w:r>
        <w:rPr>
          <w:rFonts w:hint="eastAsia" w:ascii="宋体" w:hAnsi="宋体"/>
          <w:b/>
          <w:bCs/>
          <w:sz w:val="24"/>
        </w:rPr>
        <w:t>2、基金托管人根据有关法律法规的规定及《基金合同》和本协议的约定，对基金投资、融资比例进行监督。</w:t>
      </w:r>
    </w:p>
    <w:p w14:paraId="00372264">
      <w:pPr>
        <w:tabs>
          <w:tab w:val="left" w:pos="1260"/>
        </w:tabs>
        <w:spacing w:line="360" w:lineRule="auto"/>
        <w:ind w:firstLine="480" w:firstLineChars="200"/>
        <w:rPr>
          <w:rFonts w:ascii="宋体" w:hAnsi="宋体"/>
          <w:kern w:val="0"/>
          <w:sz w:val="24"/>
        </w:rPr>
      </w:pPr>
      <w:r>
        <w:rPr>
          <w:rFonts w:hint="eastAsia" w:ascii="宋体" w:hAnsi="宋体"/>
          <w:kern w:val="0"/>
          <w:sz w:val="24"/>
        </w:rPr>
        <w:t>（1）按法律法规的规定及《基金合同》的约定，本基金的投资资产配置比例为：</w:t>
      </w:r>
    </w:p>
    <w:p w14:paraId="320833E5">
      <w:pPr>
        <w:spacing w:line="360" w:lineRule="auto"/>
        <w:ind w:firstLine="480"/>
        <w:rPr>
          <w:bCs/>
          <w:sz w:val="24"/>
        </w:rPr>
      </w:pPr>
      <w:r>
        <w:rPr>
          <w:rFonts w:hint="eastAsia"/>
          <w:bCs/>
          <w:sz w:val="24"/>
        </w:rPr>
        <w:t>基金的投资组合比例为：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7677FD51">
      <w:pPr>
        <w:spacing w:line="360" w:lineRule="auto"/>
        <w:ind w:firstLine="480"/>
        <w:rPr>
          <w:bCs/>
          <w:sz w:val="24"/>
        </w:rPr>
      </w:pPr>
      <w:r>
        <w:rPr>
          <w:rFonts w:hint="eastAsia"/>
          <w:bCs/>
          <w:sz w:val="24"/>
        </w:rPr>
        <w:t>若法律法规的相关规定发生变更或监管机构允许，本基金管理人在履行适当程序后，可对上述资产配置比例进行调整。</w:t>
      </w:r>
    </w:p>
    <w:p w14:paraId="0A4D9E58">
      <w:pPr>
        <w:tabs>
          <w:tab w:val="left" w:pos="1260"/>
        </w:tabs>
        <w:spacing w:line="360" w:lineRule="auto"/>
        <w:ind w:firstLine="480" w:firstLineChars="200"/>
        <w:rPr>
          <w:rFonts w:ascii="宋体" w:hAnsi="宋体"/>
          <w:kern w:val="0"/>
          <w:sz w:val="24"/>
        </w:rPr>
      </w:pPr>
      <w:r>
        <w:rPr>
          <w:rFonts w:hint="eastAsia" w:ascii="宋体" w:hAnsi="宋体"/>
          <w:kern w:val="0"/>
          <w:sz w:val="24"/>
        </w:rPr>
        <w:t>（2）根据法律法规的规定及《基金合同》的约定，本基金投资组合遵循以下投资限制：</w:t>
      </w:r>
    </w:p>
    <w:p w14:paraId="5E6057EF">
      <w:pPr>
        <w:spacing w:line="360" w:lineRule="auto"/>
        <w:ind w:firstLine="480" w:firstLineChars="200"/>
        <w:rPr>
          <w:bCs/>
          <w:sz w:val="24"/>
        </w:rPr>
      </w:pPr>
      <w:r>
        <w:rPr>
          <w:rFonts w:hint="eastAsia"/>
          <w:bCs/>
          <w:sz w:val="24"/>
        </w:rPr>
        <w:t>1）本基金投资于标的指数成份股和备选成份股（含存托凭证）的资产比例不低于基金资产净值的90%，且不低于非现金基金资产的80%；</w:t>
      </w:r>
    </w:p>
    <w:p w14:paraId="091477F1">
      <w:pPr>
        <w:spacing w:line="360" w:lineRule="auto"/>
        <w:ind w:firstLine="480" w:firstLineChars="200"/>
        <w:rPr>
          <w:bCs/>
          <w:sz w:val="24"/>
        </w:rPr>
      </w:pPr>
      <w:r>
        <w:rPr>
          <w:rFonts w:hint="eastAsia"/>
          <w:bCs/>
          <w:sz w:val="24"/>
        </w:rPr>
        <w:t>2）本基金每个交易日日终在扣除股指期货、股票期权和国债期货合约需缴纳的交易保证金后，应当保持不低于交易保证金一倍的现金，其中现金不包括结算备付金、存出保证金和应收申购款等；</w:t>
      </w:r>
    </w:p>
    <w:p w14:paraId="651BDAE1">
      <w:pPr>
        <w:spacing w:line="360" w:lineRule="auto"/>
        <w:ind w:firstLine="480" w:firstLineChars="200"/>
        <w:rPr>
          <w:bCs/>
          <w:sz w:val="24"/>
        </w:rPr>
      </w:pPr>
      <w:r>
        <w:rPr>
          <w:rFonts w:hint="eastAsia"/>
          <w:bCs/>
          <w:sz w:val="24"/>
        </w:rPr>
        <w:t>3）本基金参与股指期货和国债期货交易，需遵守下列投资比例限制：</w:t>
      </w:r>
    </w:p>
    <w:p w14:paraId="66DD26A0">
      <w:pPr>
        <w:numPr>
          <w:ilvl w:val="3"/>
          <w:numId w:val="2"/>
        </w:numPr>
        <w:spacing w:line="360" w:lineRule="auto"/>
        <w:rPr>
          <w:bCs/>
          <w:sz w:val="24"/>
        </w:rPr>
      </w:pPr>
      <w:r>
        <w:rPr>
          <w:rFonts w:hint="eastAsia"/>
          <w:bCs/>
          <w:sz w:val="24"/>
        </w:rPr>
        <w:t>本基金在任何交易日日终，持有的买入股指期货合约价值，不得超过基金资产净值的10%；在任何交易日日终，持有的买入国债期货合约价值，不得超过基金资产净值的15%；</w:t>
      </w:r>
    </w:p>
    <w:p w14:paraId="43304613">
      <w:pPr>
        <w:numPr>
          <w:ilvl w:val="3"/>
          <w:numId w:val="2"/>
        </w:numPr>
        <w:spacing w:line="360" w:lineRule="auto"/>
        <w:rPr>
          <w:bCs/>
          <w:sz w:val="24"/>
        </w:rPr>
      </w:pPr>
      <w:r>
        <w:rPr>
          <w:rFonts w:hint="eastAsia"/>
          <w:bCs/>
          <w:sz w:val="24"/>
        </w:rPr>
        <w:t>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17697DCA">
      <w:pPr>
        <w:numPr>
          <w:ilvl w:val="3"/>
          <w:numId w:val="2"/>
        </w:numPr>
        <w:spacing w:line="360" w:lineRule="auto"/>
        <w:rPr>
          <w:bCs/>
          <w:sz w:val="24"/>
        </w:rPr>
      </w:pPr>
      <w:r>
        <w:rPr>
          <w:rFonts w:hint="eastAsia"/>
          <w:bCs/>
          <w:sz w:val="24"/>
        </w:rPr>
        <w:t xml:space="preserve">本基金在任何交易日日终，持有的卖出股指期货合约价值不得超过基金持有的股票总市值的20%；在任何交易日日终，持有的卖出国债期货合约价值不得超过基金持有的债券总市值的30%； </w:t>
      </w:r>
    </w:p>
    <w:p w14:paraId="12B8640B">
      <w:pPr>
        <w:numPr>
          <w:ilvl w:val="3"/>
          <w:numId w:val="2"/>
        </w:numPr>
        <w:spacing w:line="360" w:lineRule="auto"/>
        <w:rPr>
          <w:bCs/>
          <w:sz w:val="24"/>
        </w:rPr>
      </w:pPr>
      <w:r>
        <w:rPr>
          <w:rFonts w:hint="eastAsia"/>
          <w:bCs/>
          <w:sz w:val="24"/>
        </w:rPr>
        <w:t>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3BB3813B">
      <w:pPr>
        <w:numPr>
          <w:ilvl w:val="3"/>
          <w:numId w:val="2"/>
        </w:numPr>
        <w:spacing w:line="360" w:lineRule="auto"/>
        <w:rPr>
          <w:bCs/>
          <w:sz w:val="24"/>
        </w:rPr>
      </w:pPr>
      <w:r>
        <w:rPr>
          <w:rFonts w:hint="eastAsia"/>
          <w:bCs/>
          <w:sz w:val="24"/>
        </w:rPr>
        <w:t>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6304654C">
      <w:pPr>
        <w:spacing w:line="360" w:lineRule="auto"/>
        <w:ind w:firstLine="480" w:firstLineChars="200"/>
        <w:rPr>
          <w:bCs/>
          <w:sz w:val="24"/>
        </w:rPr>
      </w:pPr>
      <w:r>
        <w:rPr>
          <w:rFonts w:hint="eastAsia"/>
          <w:bCs/>
          <w:sz w:val="24"/>
        </w:rPr>
        <w:t>4）本基金投资于同一原始权益人的各类资产支持证券的比例，不得超过基金资产净值的10％；</w:t>
      </w:r>
    </w:p>
    <w:p w14:paraId="2CA2D462">
      <w:pPr>
        <w:spacing w:line="360" w:lineRule="auto"/>
        <w:ind w:firstLine="480" w:firstLineChars="200"/>
        <w:rPr>
          <w:bCs/>
          <w:sz w:val="24"/>
        </w:rPr>
      </w:pPr>
      <w:r>
        <w:rPr>
          <w:rFonts w:hint="eastAsia"/>
          <w:bCs/>
          <w:sz w:val="24"/>
        </w:rPr>
        <w:t>5）本基金持有的全部资产支持证券，其市值不得超过基金资产净值的20％；</w:t>
      </w:r>
    </w:p>
    <w:p w14:paraId="28C10022">
      <w:pPr>
        <w:spacing w:line="360" w:lineRule="auto"/>
        <w:ind w:firstLine="480" w:firstLineChars="200"/>
        <w:rPr>
          <w:bCs/>
          <w:sz w:val="24"/>
        </w:rPr>
      </w:pPr>
      <w:r>
        <w:rPr>
          <w:rFonts w:hint="eastAsia"/>
          <w:bCs/>
          <w:sz w:val="24"/>
        </w:rPr>
        <w:t>6）本基金持有的同一(指同一信用级别)资产支持证券的比例，不得超过该资产支持证券规模的10％；</w:t>
      </w:r>
    </w:p>
    <w:p w14:paraId="7C81676F">
      <w:pPr>
        <w:spacing w:line="360" w:lineRule="auto"/>
        <w:ind w:firstLine="480" w:firstLineChars="200"/>
        <w:rPr>
          <w:bCs/>
          <w:sz w:val="24"/>
        </w:rPr>
      </w:pPr>
      <w:r>
        <w:rPr>
          <w:rFonts w:hint="eastAsia"/>
          <w:bCs/>
          <w:sz w:val="24"/>
        </w:rPr>
        <w:t>7）本基金管理人管理的全部基金投资于同一原始权益人的各类资产支持证券，不得超过其各类资产支持证券合计规模的10％；</w:t>
      </w:r>
    </w:p>
    <w:p w14:paraId="2B89BB4E">
      <w:pPr>
        <w:spacing w:line="360" w:lineRule="auto"/>
        <w:ind w:firstLine="480" w:firstLineChars="200"/>
        <w:rPr>
          <w:bCs/>
          <w:sz w:val="24"/>
        </w:rPr>
      </w:pPr>
      <w:r>
        <w:rPr>
          <w:rFonts w:hint="eastAsia"/>
          <w:bCs/>
          <w:sz w:val="24"/>
        </w:rPr>
        <w:t>8）本基金应投资于信用级别评级为BBB以上(含BBB)的资产支持证券。基金持有资产支持证券期间，如果其信用等级下降、不再符合投资标准，应在评级报告发布之日起3个月内予以全部卖出；</w:t>
      </w:r>
    </w:p>
    <w:p w14:paraId="5F217E90">
      <w:pPr>
        <w:spacing w:line="360" w:lineRule="auto"/>
        <w:ind w:firstLine="480" w:firstLineChars="200"/>
        <w:rPr>
          <w:bCs/>
          <w:sz w:val="24"/>
        </w:rPr>
      </w:pPr>
      <w:r>
        <w:rPr>
          <w:rFonts w:hint="eastAsia"/>
          <w:bCs/>
          <w:sz w:val="24"/>
        </w:rPr>
        <w:t>9）基金财产参与股票发行申购，本基金所申报的金额不超过本基金的总资产，本基金所申报的股票数量不超过拟发行股票公司本次发行股票的总量；</w:t>
      </w:r>
    </w:p>
    <w:p w14:paraId="3D4B0A0F">
      <w:pPr>
        <w:spacing w:line="360" w:lineRule="auto"/>
        <w:ind w:firstLine="480" w:firstLineChars="200"/>
        <w:rPr>
          <w:bCs/>
          <w:sz w:val="24"/>
        </w:rPr>
      </w:pPr>
      <w:r>
        <w:rPr>
          <w:rFonts w:hint="eastAsia"/>
          <w:bCs/>
          <w:sz w:val="24"/>
        </w:rPr>
        <w:t>10）本基金参与融资的，在任何交易日日终，本基金持有的融资买入股票与其他有价证券市值之和，不得超过基金资产净值的95%；</w:t>
      </w:r>
    </w:p>
    <w:p w14:paraId="0A539642">
      <w:pPr>
        <w:spacing w:line="360" w:lineRule="auto"/>
        <w:ind w:firstLine="480" w:firstLineChars="200"/>
        <w:rPr>
          <w:bCs/>
          <w:sz w:val="24"/>
        </w:rPr>
      </w:pPr>
      <w:r>
        <w:rPr>
          <w:rFonts w:hint="eastAsia"/>
          <w:bCs/>
          <w:sz w:val="24"/>
        </w:rPr>
        <w:t>11）本基金参与转融通证券出借业务，需遵守下列投资限制：</w:t>
      </w:r>
    </w:p>
    <w:p w14:paraId="1D39580F">
      <w:pPr>
        <w:numPr>
          <w:ilvl w:val="3"/>
          <w:numId w:val="3"/>
        </w:numPr>
        <w:spacing w:line="360" w:lineRule="auto"/>
        <w:rPr>
          <w:bCs/>
          <w:sz w:val="24"/>
        </w:rPr>
      </w:pPr>
      <w:r>
        <w:rPr>
          <w:rFonts w:hint="eastAsia"/>
          <w:bCs/>
          <w:sz w:val="24"/>
        </w:rPr>
        <w:t>出借证券资产不得超过基金资产净值的30%，出借期限在10个交易日以上的出借证券应纳入《流动性风险管理规定》所述流动性受限证券的范围；</w:t>
      </w:r>
    </w:p>
    <w:p w14:paraId="26FF0A2B">
      <w:pPr>
        <w:numPr>
          <w:ilvl w:val="3"/>
          <w:numId w:val="3"/>
        </w:numPr>
        <w:spacing w:line="360" w:lineRule="auto"/>
        <w:rPr>
          <w:bCs/>
          <w:sz w:val="24"/>
        </w:rPr>
      </w:pPr>
      <w:r>
        <w:rPr>
          <w:rFonts w:hint="eastAsia"/>
          <w:bCs/>
          <w:sz w:val="24"/>
        </w:rPr>
        <w:t>参与出借业务的单只证券不得超过本基金持有该证券总量的30%；</w:t>
      </w:r>
    </w:p>
    <w:p w14:paraId="429E510B">
      <w:pPr>
        <w:numPr>
          <w:ilvl w:val="3"/>
          <w:numId w:val="3"/>
        </w:numPr>
        <w:spacing w:line="360" w:lineRule="auto"/>
        <w:rPr>
          <w:bCs/>
          <w:sz w:val="24"/>
        </w:rPr>
      </w:pPr>
      <w:r>
        <w:rPr>
          <w:rFonts w:hint="eastAsia"/>
          <w:bCs/>
          <w:sz w:val="24"/>
        </w:rPr>
        <w:t>最近6个月内日均基金资产净值不得低于2亿元；</w:t>
      </w:r>
    </w:p>
    <w:p w14:paraId="794A8678">
      <w:pPr>
        <w:numPr>
          <w:ilvl w:val="3"/>
          <w:numId w:val="3"/>
        </w:numPr>
        <w:spacing w:line="360" w:lineRule="auto"/>
        <w:rPr>
          <w:bCs/>
          <w:sz w:val="24"/>
        </w:rPr>
      </w:pPr>
      <w:r>
        <w:rPr>
          <w:rFonts w:hint="eastAsia"/>
          <w:bCs/>
          <w:sz w:val="24"/>
        </w:rPr>
        <w:t>证券出借的平均剩余期限不得超过30天，平均剩余期限按照市值加权平均计算；</w:t>
      </w:r>
    </w:p>
    <w:p w14:paraId="438DE993">
      <w:pPr>
        <w:spacing w:line="360" w:lineRule="auto"/>
        <w:ind w:firstLine="480" w:firstLineChars="200"/>
        <w:rPr>
          <w:bCs/>
          <w:sz w:val="24"/>
        </w:rPr>
      </w:pPr>
      <w:r>
        <w:rPr>
          <w:rFonts w:hint="eastAsia"/>
          <w:bCs/>
          <w:sz w:val="24"/>
        </w:rPr>
        <w:t>因证券、期货市场波动、证券发行人合并、基金规模变动等基金管理人之外的因素致使基金投资不符合上述规定的，基金管理人不得新增出借业务；</w:t>
      </w:r>
    </w:p>
    <w:p w14:paraId="186072EF">
      <w:pPr>
        <w:spacing w:line="360" w:lineRule="auto"/>
        <w:ind w:firstLine="480" w:firstLineChars="200"/>
        <w:rPr>
          <w:bCs/>
          <w:sz w:val="24"/>
        </w:rPr>
      </w:pPr>
      <w:r>
        <w:rPr>
          <w:rFonts w:hint="eastAsia"/>
          <w:bCs/>
          <w:sz w:val="24"/>
        </w:rPr>
        <w:t xml:space="preserve">12）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1409B1CB">
      <w:pPr>
        <w:spacing w:line="360" w:lineRule="auto"/>
        <w:ind w:firstLine="480" w:firstLineChars="200"/>
        <w:rPr>
          <w:bCs/>
          <w:sz w:val="24"/>
        </w:rPr>
      </w:pPr>
      <w:r>
        <w:rPr>
          <w:rFonts w:hint="eastAsia"/>
          <w:bCs/>
          <w:sz w:val="24"/>
        </w:rPr>
        <w:t>13）本基金主动投资于流动性受限资产的市值合计不得超过基金资产净值的15%；因证券/期货市场波动、上市公司股票停牌、基金规模变动等基金管理人之外的因素致使基金不符合该比例限制的，基金管理人不得主动新增流动性受限资产的投资；</w:t>
      </w:r>
    </w:p>
    <w:p w14:paraId="794A85A4">
      <w:pPr>
        <w:spacing w:line="360" w:lineRule="auto"/>
        <w:ind w:firstLine="480" w:firstLineChars="200"/>
        <w:rPr>
          <w:bCs/>
          <w:sz w:val="24"/>
        </w:rPr>
      </w:pPr>
      <w:r>
        <w:rPr>
          <w:rFonts w:hint="eastAsia"/>
          <w:bCs/>
          <w:sz w:val="24"/>
        </w:rPr>
        <w:t>14）本基金与私募类证券资管产品及中国证监会认定的其他主体为交易对手开展逆回购交易的，可接受质押品的资质要求应当与基金合同约定的投资范围保持一致；</w:t>
      </w:r>
    </w:p>
    <w:p w14:paraId="76639C1B">
      <w:pPr>
        <w:spacing w:line="360" w:lineRule="auto"/>
        <w:ind w:firstLine="480" w:firstLineChars="200"/>
        <w:rPr>
          <w:bCs/>
          <w:sz w:val="24"/>
        </w:rPr>
      </w:pPr>
      <w:r>
        <w:rPr>
          <w:rFonts w:hint="eastAsia"/>
          <w:bCs/>
          <w:sz w:val="24"/>
        </w:rPr>
        <w:t>15）本基金资产总值不得超过基金资产净值的140%；</w:t>
      </w:r>
    </w:p>
    <w:p w14:paraId="1C0B4C0A">
      <w:pPr>
        <w:spacing w:line="360" w:lineRule="auto"/>
        <w:ind w:firstLine="480" w:firstLineChars="200"/>
        <w:rPr>
          <w:bCs/>
          <w:sz w:val="24"/>
        </w:rPr>
      </w:pPr>
      <w:r>
        <w:rPr>
          <w:rFonts w:hint="eastAsia"/>
          <w:bCs/>
          <w:sz w:val="24"/>
        </w:rPr>
        <w:t>16）本基金投资存托凭证的比例限制依照境内上市交易的股票执行；</w:t>
      </w:r>
    </w:p>
    <w:p w14:paraId="795F76DF">
      <w:pPr>
        <w:spacing w:line="360" w:lineRule="auto"/>
        <w:ind w:firstLine="480" w:firstLineChars="200"/>
        <w:rPr>
          <w:bCs/>
          <w:sz w:val="24"/>
        </w:rPr>
      </w:pPr>
      <w:r>
        <w:rPr>
          <w:rFonts w:hint="eastAsia"/>
          <w:bCs/>
          <w:sz w:val="24"/>
        </w:rPr>
        <w:t>17）法律法规及中国证监会规定的和《基金合同》约定的其他投资限制。</w:t>
      </w:r>
    </w:p>
    <w:p w14:paraId="7424C798">
      <w:pPr>
        <w:spacing w:line="360" w:lineRule="auto"/>
        <w:ind w:firstLine="480" w:firstLineChars="200"/>
        <w:rPr>
          <w:bCs/>
          <w:sz w:val="24"/>
        </w:rPr>
      </w:pPr>
      <w:r>
        <w:rPr>
          <w:rFonts w:hint="eastAsia"/>
          <w:bCs/>
          <w:sz w:val="24"/>
        </w:rPr>
        <w:t>除上述2）、8）、11）、13）、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1A872945">
      <w:pPr>
        <w:spacing w:line="360" w:lineRule="auto"/>
        <w:ind w:firstLine="480" w:firstLineChars="200"/>
        <w:rPr>
          <w:bCs/>
          <w:sz w:val="24"/>
        </w:rPr>
      </w:pPr>
      <w:r>
        <w:rPr>
          <w:rFonts w:hint="eastAsia"/>
          <w:bCs/>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3D745B56">
      <w:pPr>
        <w:spacing w:line="360" w:lineRule="auto"/>
        <w:ind w:firstLine="480" w:firstLineChars="200"/>
        <w:rPr>
          <w:bCs/>
          <w:sz w:val="24"/>
        </w:rPr>
      </w:pPr>
      <w:r>
        <w:rPr>
          <w:rFonts w:hint="eastAsia"/>
          <w:bCs/>
          <w:sz w:val="24"/>
        </w:rPr>
        <w:t>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w:t>
      </w:r>
    </w:p>
    <w:p w14:paraId="778626E9">
      <w:pPr>
        <w:tabs>
          <w:tab w:val="left" w:pos="1260"/>
        </w:tabs>
        <w:spacing w:line="360" w:lineRule="auto"/>
        <w:ind w:firstLine="480" w:firstLineChars="200"/>
        <w:rPr>
          <w:rFonts w:ascii="宋体" w:hAnsi="宋体"/>
          <w:kern w:val="0"/>
          <w:sz w:val="24"/>
        </w:rPr>
      </w:pPr>
      <w:r>
        <w:rPr>
          <w:rFonts w:hint="eastAsia" w:ascii="宋体" w:hAnsi="宋体"/>
          <w:kern w:val="0"/>
          <w:sz w:val="24"/>
        </w:rPr>
        <w:t>基金托管人依照上述规定对本基金的投资组合限制及调整期限进行监督。</w:t>
      </w:r>
    </w:p>
    <w:p w14:paraId="1E5ED13B">
      <w:pPr>
        <w:spacing w:line="360" w:lineRule="auto"/>
        <w:ind w:firstLine="480" w:firstLineChars="200"/>
        <w:rPr>
          <w:rFonts w:ascii="宋体" w:hAnsi="宋体"/>
          <w:b/>
          <w:bCs/>
          <w:sz w:val="24"/>
        </w:rPr>
      </w:pPr>
      <w:r>
        <w:rPr>
          <w:rFonts w:hint="eastAsia" w:ascii="宋体" w:hAnsi="宋体"/>
          <w:b/>
          <w:bCs/>
          <w:sz w:val="24"/>
        </w:rPr>
        <w:t>3、基金财产不得用于下列投资或者活动。</w:t>
      </w:r>
    </w:p>
    <w:p w14:paraId="37D3E3B7">
      <w:pPr>
        <w:spacing w:line="360" w:lineRule="auto"/>
        <w:ind w:firstLine="480" w:firstLineChars="200"/>
        <w:rPr>
          <w:bCs/>
          <w:sz w:val="24"/>
        </w:rPr>
      </w:pPr>
      <w:r>
        <w:rPr>
          <w:bCs/>
          <w:sz w:val="24"/>
        </w:rPr>
        <w:t>（1）承销证券；</w:t>
      </w:r>
    </w:p>
    <w:p w14:paraId="0C4BD5FF">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1EC19D9B">
      <w:pPr>
        <w:spacing w:line="360" w:lineRule="auto"/>
        <w:ind w:firstLine="480" w:firstLineChars="200"/>
        <w:rPr>
          <w:bCs/>
          <w:sz w:val="24"/>
        </w:rPr>
      </w:pPr>
      <w:r>
        <w:rPr>
          <w:bCs/>
          <w:sz w:val="24"/>
        </w:rPr>
        <w:t>（</w:t>
      </w:r>
      <w:r>
        <w:rPr>
          <w:rFonts w:hint="eastAsia"/>
          <w:bCs/>
          <w:sz w:val="24"/>
        </w:rPr>
        <w:t>3</w:t>
      </w:r>
      <w:r>
        <w:rPr>
          <w:bCs/>
          <w:sz w:val="24"/>
        </w:rPr>
        <w:t>）从事承担无限责任的投资；</w:t>
      </w:r>
    </w:p>
    <w:p w14:paraId="175FD693">
      <w:pPr>
        <w:spacing w:line="360" w:lineRule="auto"/>
        <w:ind w:firstLine="480" w:firstLineChars="200"/>
        <w:rPr>
          <w:bCs/>
          <w:sz w:val="24"/>
        </w:rPr>
      </w:pPr>
      <w:r>
        <w:rPr>
          <w:bCs/>
          <w:sz w:val="24"/>
        </w:rPr>
        <w:t>（</w:t>
      </w:r>
      <w:r>
        <w:rPr>
          <w:rFonts w:hint="eastAsia"/>
          <w:bCs/>
          <w:sz w:val="24"/>
        </w:rPr>
        <w:t>4</w:t>
      </w:r>
      <w:r>
        <w:rPr>
          <w:bCs/>
          <w:sz w:val="24"/>
        </w:rPr>
        <w:t>）买卖其他基金份额，但是</w:t>
      </w:r>
      <w:r>
        <w:rPr>
          <w:rFonts w:hint="eastAsia"/>
          <w:bCs/>
          <w:sz w:val="24"/>
        </w:rPr>
        <w:t>中国证监会</w:t>
      </w:r>
      <w:r>
        <w:rPr>
          <w:bCs/>
          <w:sz w:val="24"/>
        </w:rPr>
        <w:t>另有规定的除外；</w:t>
      </w:r>
    </w:p>
    <w:p w14:paraId="792C0743">
      <w:pPr>
        <w:spacing w:line="360" w:lineRule="auto"/>
        <w:ind w:firstLine="480" w:firstLineChars="200"/>
        <w:rPr>
          <w:bCs/>
          <w:sz w:val="24"/>
        </w:rPr>
      </w:pPr>
      <w:r>
        <w:rPr>
          <w:bCs/>
          <w:sz w:val="24"/>
        </w:rPr>
        <w:t>（</w:t>
      </w:r>
      <w:r>
        <w:rPr>
          <w:rFonts w:hint="eastAsia"/>
          <w:bCs/>
          <w:sz w:val="24"/>
        </w:rPr>
        <w:t>5</w:t>
      </w:r>
      <w:r>
        <w:rPr>
          <w:bCs/>
          <w:sz w:val="24"/>
        </w:rPr>
        <w:t>）向其基金管理人、基金托管人出资；</w:t>
      </w:r>
    </w:p>
    <w:p w14:paraId="75DF60D8">
      <w:pPr>
        <w:spacing w:line="360" w:lineRule="auto"/>
        <w:ind w:firstLine="480" w:firstLineChars="200"/>
        <w:rPr>
          <w:bCs/>
          <w:sz w:val="24"/>
        </w:rPr>
      </w:pPr>
      <w:r>
        <w:rPr>
          <w:bCs/>
          <w:sz w:val="24"/>
        </w:rPr>
        <w:t>（</w:t>
      </w:r>
      <w:r>
        <w:rPr>
          <w:rFonts w:hint="eastAsia"/>
          <w:bCs/>
          <w:sz w:val="24"/>
        </w:rPr>
        <w:t>6</w:t>
      </w:r>
      <w:r>
        <w:rPr>
          <w:bCs/>
          <w:sz w:val="24"/>
        </w:rPr>
        <w:t>）从事内幕交易、操纵证券交易价格及其他不正当的证券交易活动；</w:t>
      </w:r>
    </w:p>
    <w:p w14:paraId="163C40A9">
      <w:pPr>
        <w:spacing w:line="360" w:lineRule="auto"/>
        <w:ind w:firstLine="480" w:firstLineChars="200"/>
        <w:rPr>
          <w:bCs/>
          <w:sz w:val="24"/>
        </w:rPr>
      </w:pPr>
      <w:r>
        <w:rPr>
          <w:bCs/>
          <w:sz w:val="24"/>
        </w:rPr>
        <w:t>（</w:t>
      </w:r>
      <w:r>
        <w:rPr>
          <w:rFonts w:hint="eastAsia"/>
          <w:bCs/>
          <w:sz w:val="24"/>
        </w:rPr>
        <w:t>7</w:t>
      </w:r>
      <w:r>
        <w:rPr>
          <w:bCs/>
          <w:sz w:val="24"/>
        </w:rPr>
        <w:t>）法律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7C93669B">
      <w:pPr>
        <w:spacing w:line="360" w:lineRule="auto"/>
        <w:ind w:firstLine="480" w:firstLineChars="200"/>
        <w:rPr>
          <w:sz w:val="24"/>
        </w:rPr>
      </w:pPr>
      <w:r>
        <w:rPr>
          <w:rFonts w:hint="eastAsia"/>
          <w:sz w:val="24"/>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75770F3D">
      <w:pPr>
        <w:tabs>
          <w:tab w:val="left" w:pos="1260"/>
        </w:tabs>
        <w:spacing w:line="360" w:lineRule="auto"/>
        <w:ind w:firstLine="480" w:firstLineChars="200"/>
        <w:rPr>
          <w:rFonts w:ascii="宋体" w:hAnsi="宋体"/>
          <w:bCs/>
          <w:kern w:val="0"/>
          <w:sz w:val="24"/>
        </w:rPr>
      </w:pPr>
      <w:r>
        <w:rPr>
          <w:rFonts w:hint="eastAsia" w:ascii="宋体" w:hAnsi="宋体"/>
          <w:bCs/>
          <w:kern w:val="0"/>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并负责及时将更新后的名单发送给对方。</w:t>
      </w:r>
    </w:p>
    <w:p w14:paraId="0DD35DE9">
      <w:pPr>
        <w:tabs>
          <w:tab w:val="left" w:pos="1260"/>
        </w:tabs>
        <w:spacing w:line="360" w:lineRule="auto"/>
        <w:ind w:firstLine="480" w:firstLineChars="200"/>
        <w:rPr>
          <w:rFonts w:ascii="宋体" w:hAnsi="宋体"/>
          <w:b/>
          <w:bCs/>
          <w:kern w:val="0"/>
          <w:sz w:val="24"/>
        </w:rPr>
      </w:pPr>
      <w:r>
        <w:rPr>
          <w:rFonts w:ascii="宋体" w:hAnsi="宋体"/>
          <w:b/>
          <w:bCs/>
          <w:kern w:val="0"/>
          <w:sz w:val="24"/>
        </w:rPr>
        <w:t>法律</w:t>
      </w:r>
      <w:r>
        <w:rPr>
          <w:rFonts w:hint="eastAsia" w:ascii="宋体" w:hAnsi="宋体"/>
          <w:b/>
          <w:bCs/>
          <w:kern w:val="0"/>
          <w:sz w:val="24"/>
        </w:rPr>
        <w:t>、行政</w:t>
      </w:r>
      <w:r>
        <w:rPr>
          <w:rFonts w:ascii="宋体" w:hAnsi="宋体"/>
          <w:b/>
          <w:bCs/>
          <w:kern w:val="0"/>
          <w:sz w:val="24"/>
        </w:rPr>
        <w:t>法规或监管部门取消</w:t>
      </w:r>
      <w:r>
        <w:rPr>
          <w:rFonts w:hint="eastAsia" w:ascii="宋体" w:hAnsi="宋体"/>
          <w:b/>
          <w:bCs/>
          <w:kern w:val="0"/>
          <w:sz w:val="24"/>
        </w:rPr>
        <w:t>或调整</w:t>
      </w:r>
      <w:r>
        <w:rPr>
          <w:rFonts w:ascii="宋体" w:hAnsi="宋体"/>
          <w:b/>
          <w:bCs/>
          <w:kern w:val="0"/>
          <w:sz w:val="24"/>
        </w:rPr>
        <w:t>上述限制，如适用于本基金，</w:t>
      </w:r>
      <w:r>
        <w:rPr>
          <w:rFonts w:hint="eastAsia" w:ascii="宋体" w:hAnsi="宋体"/>
          <w:b/>
          <w:bCs/>
          <w:kern w:val="0"/>
          <w:sz w:val="24"/>
        </w:rPr>
        <w:t>基金管理人在履行适当程序后，</w:t>
      </w:r>
      <w:r>
        <w:rPr>
          <w:rFonts w:ascii="宋体" w:hAnsi="宋体"/>
          <w:b/>
          <w:bCs/>
          <w:kern w:val="0"/>
          <w:sz w:val="24"/>
        </w:rPr>
        <w:t>则本基金投资不再受相关限制</w:t>
      </w:r>
      <w:r>
        <w:rPr>
          <w:rFonts w:hint="eastAsia" w:ascii="宋体" w:hAnsi="宋体"/>
          <w:b/>
          <w:bCs/>
          <w:kern w:val="0"/>
          <w:sz w:val="24"/>
        </w:rPr>
        <w:t>或按照调整后的规定执行。</w:t>
      </w:r>
    </w:p>
    <w:p w14:paraId="06D435F3">
      <w:pPr>
        <w:spacing w:line="360" w:lineRule="auto"/>
        <w:ind w:firstLine="480" w:firstLineChars="200"/>
        <w:rPr>
          <w:rFonts w:ascii="宋体" w:hAnsi="宋体"/>
          <w:b/>
          <w:bCs/>
          <w:sz w:val="24"/>
        </w:rPr>
      </w:pPr>
      <w:bookmarkStart w:id="23" w:name="OLE_LINK2"/>
      <w:bookmarkStart w:id="24" w:name="OLE_LINK4"/>
      <w:r>
        <w:rPr>
          <w:rFonts w:ascii="宋体" w:hAnsi="宋体"/>
          <w:b/>
          <w:bCs/>
          <w:sz w:val="24"/>
        </w:rPr>
        <w:t>4</w:t>
      </w:r>
      <w:r>
        <w:rPr>
          <w:rFonts w:hint="eastAsia" w:ascii="宋体" w:hAnsi="宋体"/>
          <w:b/>
          <w:bCs/>
          <w:sz w:val="24"/>
        </w:rPr>
        <w:t>、基金托管人根据有关法律、法规规定及基金合同和本协议约定，对基金管理人参与银行间债券市场进行监督。</w:t>
      </w:r>
    </w:p>
    <w:bookmarkEnd w:id="23"/>
    <w:bookmarkEnd w:id="24"/>
    <w:p w14:paraId="2B60315B">
      <w:pPr>
        <w:tabs>
          <w:tab w:val="left" w:pos="1260"/>
        </w:tabs>
        <w:spacing w:line="360" w:lineRule="auto"/>
        <w:ind w:firstLine="480" w:firstLineChars="200"/>
        <w:rPr>
          <w:rFonts w:ascii="宋体" w:hAnsi="宋体"/>
          <w:kern w:val="0"/>
          <w:sz w:val="24"/>
        </w:rPr>
      </w:pPr>
      <w:r>
        <w:rPr>
          <w:rFonts w:hint="eastAsia" w:ascii="宋体" w:hAnsi="宋体"/>
          <w:kern w:val="0"/>
          <w:sz w:val="24"/>
        </w:rPr>
        <w:t>基金托管人依据有关法律、法规规定和《基金合同》约定对基金管理人参与银行间市场交易时面临的交易对手资信风险进行监督。</w:t>
      </w:r>
    </w:p>
    <w:p w14:paraId="1B8BF35E">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基金管理人应在基金投资运作之前向基金托管人提供符合法律法规及行业标准的、经慎重选择的、本基金适用的银行间市场交易对手的名单。基金托管人在收到名单后</w:t>
      </w:r>
      <w:r>
        <w:rPr>
          <w:rFonts w:ascii="宋体" w:hAnsi="宋体"/>
          <w:kern w:val="0"/>
          <w:sz w:val="24"/>
        </w:rPr>
        <w:t>2</w:t>
      </w:r>
      <w:r>
        <w:rPr>
          <w:rFonts w:hint="eastAsia" w:ascii="宋体" w:hAnsi="宋体"/>
          <w:kern w:val="0"/>
          <w:sz w:val="24"/>
        </w:rPr>
        <w:t>个工作日内电话或回函确认收到该名单。基金管理人应严格按照交易对手名单的范围在银行间债券市场选择交易对手，如基金管理人在基金投资运作之前未向基金托管人提供银行间债券市场交易对手名单的，视为基金管理人认可全市场交易对手。基金托管人监督基金管理人是否按事前提供的银行间债券市场交易对手名单进行交易。</w:t>
      </w:r>
    </w:p>
    <w:p w14:paraId="444B27F4">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基金管理人可以定期（每半年）和不定期对银行间市场现券及回购交易对手的名单进行更新。新名单生效前已与本次剔除的交易对手所进行但尚未结算的交易，仍应按照协议进行结算。</w:t>
      </w:r>
    </w:p>
    <w:p w14:paraId="0AAABB3F">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参与银行间市场交易时，应按银行间债券市场的交易规则进行交易，并有责任控制交易对手的资信风险，由于交易对手资信风险引起的损失,基金管理人应当负责向相关责任人追偿。基金托管人不承担由此造成的相应法律责任及损失。</w:t>
      </w:r>
    </w:p>
    <w:p w14:paraId="05011686">
      <w:pPr>
        <w:tabs>
          <w:tab w:val="left" w:pos="1260"/>
        </w:tabs>
        <w:spacing w:line="360" w:lineRule="auto"/>
        <w:ind w:firstLine="480" w:firstLineChars="200"/>
        <w:rPr>
          <w:rFonts w:ascii="宋体" w:hAnsi="宋体"/>
          <w:kern w:val="0"/>
          <w:sz w:val="24"/>
        </w:rPr>
      </w:pPr>
      <w:r>
        <w:rPr>
          <w:rFonts w:hint="eastAsia" w:ascii="宋体" w:hAnsi="宋体"/>
          <w:kern w:val="0"/>
          <w:sz w:val="24"/>
        </w:rPr>
        <w:t>如基金托管人事后发现基金管理人没有按照事先约定的交易对手进行交易时，基金托管人应及时提醒基金管理人，但基金托管人不承担由此造成的相应损失和责任。</w:t>
      </w:r>
    </w:p>
    <w:p w14:paraId="4CCB7DA0">
      <w:pPr>
        <w:spacing w:line="360" w:lineRule="auto"/>
        <w:ind w:firstLine="480" w:firstLineChars="200"/>
        <w:rPr>
          <w:rFonts w:ascii="宋体" w:hAnsi="宋体"/>
          <w:b/>
          <w:bCs/>
          <w:sz w:val="24"/>
        </w:rPr>
      </w:pPr>
      <w:r>
        <w:rPr>
          <w:rFonts w:ascii="宋体" w:hAnsi="宋体"/>
          <w:b/>
          <w:bCs/>
          <w:sz w:val="24"/>
        </w:rPr>
        <w:t>5</w:t>
      </w:r>
      <w:r>
        <w:rPr>
          <w:rFonts w:hint="eastAsia" w:ascii="宋体" w:hAnsi="宋体"/>
          <w:b/>
          <w:bCs/>
          <w:sz w:val="24"/>
        </w:rPr>
        <w:t>、基金托管人根据有关法律、法规的规定及基金合同和本协议的约定，对基金管理人选择存款银行进行监督。</w:t>
      </w:r>
    </w:p>
    <w:p w14:paraId="0355209D">
      <w:pPr>
        <w:tabs>
          <w:tab w:val="left" w:pos="1260"/>
        </w:tabs>
        <w:spacing w:line="360" w:lineRule="auto"/>
        <w:ind w:firstLine="480" w:firstLineChars="200"/>
        <w:rPr>
          <w:rFonts w:ascii="宋体" w:hAnsi="宋体"/>
          <w:kern w:val="0"/>
          <w:sz w:val="24"/>
        </w:rPr>
      </w:pPr>
      <w:r>
        <w:rPr>
          <w:rFonts w:hint="eastAsia" w:ascii="宋体" w:hAnsi="宋体"/>
          <w:kern w:val="0"/>
          <w:sz w:val="24"/>
        </w:rPr>
        <w:t>基金投资银行定期存款的，基金管理人应根据法律、法规的规定及基金合同的约定选择存款银行。</w:t>
      </w:r>
    </w:p>
    <w:p w14:paraId="7C04AD24">
      <w:pPr>
        <w:tabs>
          <w:tab w:val="left" w:pos="1260"/>
        </w:tabs>
        <w:spacing w:line="360" w:lineRule="auto"/>
        <w:ind w:firstLine="480" w:firstLineChars="200"/>
        <w:rPr>
          <w:rFonts w:ascii="宋体" w:hAnsi="宋体"/>
          <w:kern w:val="0"/>
          <w:sz w:val="24"/>
        </w:rPr>
      </w:pPr>
      <w:r>
        <w:rPr>
          <w:rFonts w:hint="eastAsia" w:ascii="宋体" w:hAnsi="宋体"/>
          <w:kern w:val="0"/>
          <w:sz w:val="24"/>
        </w:rPr>
        <w:t>本基金投资银行存款应符合如下规定：</w:t>
      </w:r>
    </w:p>
    <w:p w14:paraId="597B6C5F">
      <w:pPr>
        <w:tabs>
          <w:tab w:val="left" w:pos="1260"/>
        </w:tabs>
        <w:spacing w:line="360" w:lineRule="auto"/>
        <w:ind w:firstLine="480" w:firstLineChars="200"/>
        <w:rPr>
          <w:rFonts w:ascii="宋体" w:hAnsi="宋体"/>
          <w:kern w:val="0"/>
          <w:sz w:val="24"/>
        </w:rPr>
      </w:pPr>
      <w:r>
        <w:rPr>
          <w:rFonts w:hint="eastAsia" w:ascii="宋体" w:hAnsi="宋体"/>
          <w:kern w:val="0"/>
          <w:sz w:val="24"/>
        </w:rPr>
        <w:t>（1）基金管理人、基金托管人应当与存款银行建立定期对账机制，确保基金银行存款业务账目及核算的真实、准确。</w:t>
      </w:r>
    </w:p>
    <w:p w14:paraId="6F151D98">
      <w:pPr>
        <w:tabs>
          <w:tab w:val="left" w:pos="1260"/>
        </w:tabs>
        <w:spacing w:line="360" w:lineRule="auto"/>
        <w:ind w:firstLine="480" w:firstLineChars="200"/>
        <w:rPr>
          <w:rFonts w:ascii="宋体" w:hAnsi="宋体"/>
          <w:kern w:val="0"/>
          <w:sz w:val="24"/>
        </w:rPr>
      </w:pPr>
      <w:r>
        <w:rPr>
          <w:rFonts w:hint="eastAsia" w:ascii="宋体" w:hAnsi="宋体"/>
          <w:kern w:val="0"/>
          <w:sz w:val="24"/>
        </w:rPr>
        <w:t>（2）基金托管人应加强对基金银行存款业务的监督与核查，严格审查、复核相关协议、账户资料、投资指令、存款证实书等有关文件，切实履行托管职责。</w:t>
      </w:r>
    </w:p>
    <w:p w14:paraId="733138A7">
      <w:pPr>
        <w:tabs>
          <w:tab w:val="left" w:pos="1260"/>
        </w:tabs>
        <w:spacing w:line="360" w:lineRule="auto"/>
        <w:ind w:firstLine="480" w:firstLineChars="200"/>
        <w:rPr>
          <w:rFonts w:ascii="宋体" w:hAnsi="宋体"/>
          <w:kern w:val="0"/>
          <w:sz w:val="24"/>
        </w:rPr>
      </w:pPr>
      <w:r>
        <w:rPr>
          <w:rFonts w:hint="eastAsia" w:ascii="宋体" w:hAnsi="宋体"/>
          <w:kern w:val="0"/>
          <w:sz w:val="24"/>
        </w:rPr>
        <w:t>（3）基金管理人与基金托管人在开展基金存款业务时，应严格遵守《基金法》、《运作办法》等有关法律、法规，以及国家有关账户管理、利率管理、支付结算等的各项规定。</w:t>
      </w:r>
    </w:p>
    <w:p w14:paraId="50DE37CA">
      <w:pPr>
        <w:spacing w:line="360" w:lineRule="auto"/>
        <w:ind w:firstLine="480" w:firstLineChars="200"/>
        <w:rPr>
          <w:rFonts w:ascii="宋体" w:hAnsi="宋体"/>
          <w:b/>
          <w:bCs/>
          <w:sz w:val="24"/>
        </w:rPr>
      </w:pPr>
      <w:r>
        <w:rPr>
          <w:rFonts w:hint="eastAsia" w:ascii="宋体" w:hAnsi="宋体"/>
          <w:kern w:val="0"/>
          <w:sz w:val="24"/>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r>
        <w:rPr>
          <w:rFonts w:ascii="宋体" w:hAnsi="宋体"/>
          <w:kern w:val="0"/>
          <w:sz w:val="24"/>
        </w:rPr>
        <w:cr/>
      </w:r>
      <w:r>
        <w:rPr>
          <w:rFonts w:ascii="宋体" w:hAnsi="宋体"/>
          <w:b/>
          <w:bCs/>
          <w:sz w:val="24"/>
        </w:rPr>
        <w:t>6</w:t>
      </w:r>
      <w:r>
        <w:rPr>
          <w:rFonts w:hint="eastAsia" w:ascii="宋体" w:hAnsi="宋体"/>
          <w:b/>
          <w:bCs/>
          <w:sz w:val="24"/>
        </w:rPr>
        <w:t>、基金托管人根据有关法律法规的规定及《基金合同》的约定，对基金管理人投资流通受限证券进行监督。</w:t>
      </w:r>
    </w:p>
    <w:p w14:paraId="2D440D24">
      <w:pPr>
        <w:tabs>
          <w:tab w:val="left" w:pos="1260"/>
        </w:tabs>
        <w:spacing w:line="360" w:lineRule="auto"/>
        <w:ind w:firstLine="480" w:firstLineChars="200"/>
        <w:rPr>
          <w:rFonts w:ascii="宋体" w:hAnsi="宋体" w:cs="宋体"/>
          <w:kern w:val="0"/>
          <w:sz w:val="24"/>
        </w:rPr>
      </w:pPr>
      <w:r>
        <w:rPr>
          <w:rFonts w:hint="eastAsia" w:ascii="宋体" w:hAnsi="宋体" w:cs="宋体"/>
          <w:kern w:val="0"/>
          <w:sz w:val="24"/>
        </w:rPr>
        <w:t>（1）基金管理人投资流通受限证券，应遵守《关于基金投资非公开发行股票等流通受限证券有关问题的通知》等有关法律法规规定。</w:t>
      </w:r>
    </w:p>
    <w:p w14:paraId="024BE15D">
      <w:pPr>
        <w:tabs>
          <w:tab w:val="left" w:pos="1260"/>
        </w:tabs>
        <w:spacing w:line="360" w:lineRule="auto"/>
        <w:ind w:firstLine="480" w:firstLineChars="200"/>
        <w:rPr>
          <w:rFonts w:ascii="宋体" w:hAnsi="宋体" w:cs="宋体"/>
          <w:kern w:val="0"/>
          <w:sz w:val="24"/>
        </w:rPr>
      </w:pPr>
      <w:r>
        <w:rPr>
          <w:rFonts w:hint="eastAsia" w:ascii="宋体" w:hAnsi="宋体" w:cs="宋体"/>
          <w:kern w:val="0"/>
          <w:sz w:val="24"/>
        </w:rPr>
        <w:t>（2）流通受限证券与上文所述的流动性受限资产并不完全一致，包括非公开发行股票、公开发行股票网下配售部分等在发行时明确一定期限锁定期的可交易证券，不包括由于发布重大消息或其他原因而临时停牌的证券、已发行未上市证券、回购交易中的质押券等流通受限证券。</w:t>
      </w:r>
    </w:p>
    <w:p w14:paraId="502D9433">
      <w:pPr>
        <w:tabs>
          <w:tab w:val="left" w:pos="1260"/>
        </w:tabs>
        <w:spacing w:line="360" w:lineRule="auto"/>
        <w:ind w:firstLine="480" w:firstLineChars="200"/>
        <w:rPr>
          <w:rFonts w:ascii="宋体" w:hAnsi="宋体" w:cs="宋体"/>
          <w:kern w:val="0"/>
          <w:sz w:val="24"/>
        </w:rPr>
      </w:pPr>
      <w:r>
        <w:rPr>
          <w:rFonts w:hint="eastAsia" w:ascii="宋体" w:hAnsi="宋体" w:cs="宋体"/>
          <w:kern w:val="0"/>
          <w:sz w:val="24"/>
        </w:rPr>
        <w:t>（3）基金管理人应保证本基金投资的流通受限证券登记存管在本基金名下，并确保基金托管人能够正常查询。因基金管理人原因产生的流通受限证券登记存管问题，造成基金托管人无法安全保管本基金资产的责任与损失，及基金财产的损失，由基金管理人承担。</w:t>
      </w:r>
    </w:p>
    <w:p w14:paraId="48DBD07D">
      <w:pPr>
        <w:tabs>
          <w:tab w:val="left" w:pos="1260"/>
        </w:tabs>
        <w:spacing w:line="360" w:lineRule="auto"/>
        <w:ind w:firstLine="480" w:firstLineChars="200"/>
        <w:rPr>
          <w:rFonts w:ascii="宋体" w:hAnsi="宋体" w:cs="宋体"/>
          <w:kern w:val="0"/>
          <w:sz w:val="24"/>
        </w:rPr>
      </w:pPr>
      <w:r>
        <w:rPr>
          <w:rFonts w:hint="eastAsia" w:ascii="宋体" w:hAnsi="宋体" w:cs="宋体"/>
          <w:kern w:val="0"/>
          <w:sz w:val="24"/>
        </w:rPr>
        <w:t>（4）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w:t>
      </w:r>
    </w:p>
    <w:p w14:paraId="2822570D">
      <w:pPr>
        <w:tabs>
          <w:tab w:val="left" w:pos="1260"/>
        </w:tabs>
        <w:spacing w:line="360" w:lineRule="auto"/>
        <w:ind w:firstLine="480" w:firstLineChars="200"/>
        <w:rPr>
          <w:rFonts w:ascii="宋体" w:hAnsi="宋体" w:cs="宋体"/>
          <w:kern w:val="0"/>
          <w:sz w:val="24"/>
        </w:rPr>
      </w:pPr>
      <w:r>
        <w:rPr>
          <w:rFonts w:hint="eastAsia" w:ascii="宋体" w:hAnsi="宋体" w:cs="宋体"/>
          <w:kern w:val="0"/>
          <w:sz w:val="24"/>
        </w:rPr>
        <w:t>（5）在投资非公开发行股票之前，基金管理人应提前向基金托管人提供有关流通受限证券的相关信息，具体应当包括但不限于如下文件（如有）：基金拟认购的数量、价格、总成本、划款账号、划款金额、划款时间文件等。基金管理人应保证上述信息的真实、完整。</w:t>
      </w:r>
    </w:p>
    <w:p w14:paraId="711AAAFC">
      <w:pPr>
        <w:adjustRightInd w:val="0"/>
        <w:snapToGrid w:val="0"/>
        <w:spacing w:line="360" w:lineRule="auto"/>
        <w:ind w:firstLine="480"/>
        <w:rPr>
          <w:rFonts w:ascii="宋体" w:hAnsi="宋体" w:cs="宋体"/>
          <w:kern w:val="0"/>
          <w:sz w:val="24"/>
        </w:rPr>
      </w:pPr>
      <w:r>
        <w:rPr>
          <w:rFonts w:hint="eastAsia" w:ascii="宋体" w:hAnsi="宋体" w:cs="宋体"/>
          <w:kern w:val="0"/>
          <w:sz w:val="24"/>
        </w:rPr>
        <w:t>（6）</w:t>
      </w:r>
      <w:r>
        <w:rPr>
          <w:rFonts w:ascii="宋体" w:hAnsi="宋体" w:cs="宋体"/>
          <w:kern w:val="0"/>
          <w:sz w:val="24"/>
        </w:rPr>
        <w:t>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w:t>
      </w:r>
      <w:r>
        <w:rPr>
          <w:rFonts w:hint="eastAsia" w:ascii="宋体" w:hAnsi="宋体" w:cs="宋体"/>
          <w:kern w:val="0"/>
          <w:sz w:val="24"/>
        </w:rPr>
        <w:t>相应</w:t>
      </w:r>
      <w:r>
        <w:rPr>
          <w:rFonts w:ascii="宋体" w:hAnsi="宋体" w:cs="宋体"/>
          <w:kern w:val="0"/>
          <w:sz w:val="24"/>
        </w:rPr>
        <w:t>责任，并有权报告中国证监会。</w:t>
      </w:r>
    </w:p>
    <w:p w14:paraId="56CD3A75">
      <w:pPr>
        <w:tabs>
          <w:tab w:val="left" w:pos="1260"/>
        </w:tabs>
        <w:spacing w:line="360" w:lineRule="auto"/>
        <w:ind w:firstLine="480" w:firstLineChars="200"/>
        <w:rPr>
          <w:rFonts w:ascii="宋体" w:hAnsi="宋体" w:cs="宋体"/>
          <w:kern w:val="0"/>
          <w:sz w:val="24"/>
        </w:rPr>
      </w:pPr>
      <w:r>
        <w:rPr>
          <w:rFonts w:hint="eastAsia" w:ascii="宋体" w:hAnsi="宋体" w:cs="宋体"/>
          <w:kern w:val="0"/>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14:paraId="49E77634">
      <w:pPr>
        <w:tabs>
          <w:tab w:val="left" w:pos="1260"/>
        </w:tabs>
        <w:spacing w:line="360" w:lineRule="auto"/>
        <w:ind w:firstLine="480" w:firstLineChars="200"/>
        <w:rPr>
          <w:rFonts w:ascii="宋体" w:hAnsi="宋体" w:cs="宋体"/>
          <w:kern w:val="0"/>
          <w:sz w:val="24"/>
        </w:rPr>
      </w:pPr>
      <w:r>
        <w:rPr>
          <w:rFonts w:hint="eastAsia" w:ascii="宋体" w:hAnsi="宋体" w:cs="宋体"/>
          <w:kern w:val="0"/>
          <w:sz w:val="24"/>
        </w:rPr>
        <w:t>（8）基金托管人根据有关规定有权对基金管理人进行以下事项监督：</w:t>
      </w:r>
    </w:p>
    <w:p w14:paraId="703C0A4D">
      <w:pPr>
        <w:tabs>
          <w:tab w:val="left" w:pos="1260"/>
        </w:tabs>
        <w:spacing w:line="360" w:lineRule="auto"/>
        <w:ind w:firstLine="480" w:firstLineChars="200"/>
        <w:rPr>
          <w:rFonts w:ascii="宋体" w:hAnsi="宋体" w:cs="宋体"/>
          <w:kern w:val="0"/>
          <w:sz w:val="24"/>
        </w:rPr>
      </w:pPr>
      <w:r>
        <w:rPr>
          <w:rFonts w:hint="eastAsia" w:ascii="宋体" w:hAnsi="宋体" w:cs="宋体"/>
          <w:kern w:val="0"/>
          <w:sz w:val="24"/>
        </w:rPr>
        <w:t>1）本基金投资流通受限证券时的法律法规遵守情况。</w:t>
      </w:r>
    </w:p>
    <w:p w14:paraId="70C96B3F">
      <w:pPr>
        <w:tabs>
          <w:tab w:val="left" w:pos="1260"/>
        </w:tabs>
        <w:spacing w:line="360" w:lineRule="auto"/>
        <w:ind w:firstLine="480" w:firstLineChars="200"/>
        <w:rPr>
          <w:rFonts w:ascii="宋体" w:hAnsi="宋体" w:cs="宋体"/>
          <w:kern w:val="0"/>
          <w:sz w:val="24"/>
        </w:rPr>
      </w:pPr>
      <w:r>
        <w:rPr>
          <w:rFonts w:hint="eastAsia" w:ascii="宋体" w:hAnsi="宋体" w:cs="宋体"/>
          <w:kern w:val="0"/>
          <w:sz w:val="24"/>
        </w:rPr>
        <w:t>2）在基金投资流通受限证券管理工作方面有关制度、流动性风险处置预案的建立与完善情况。</w:t>
      </w:r>
    </w:p>
    <w:p w14:paraId="351E460F">
      <w:pPr>
        <w:tabs>
          <w:tab w:val="left" w:pos="1260"/>
        </w:tabs>
        <w:spacing w:line="360" w:lineRule="auto"/>
        <w:ind w:firstLine="480" w:firstLineChars="200"/>
        <w:rPr>
          <w:rFonts w:ascii="宋体" w:hAnsi="宋体" w:cs="宋体"/>
          <w:kern w:val="0"/>
          <w:sz w:val="24"/>
        </w:rPr>
      </w:pPr>
      <w:r>
        <w:rPr>
          <w:rFonts w:hint="eastAsia" w:ascii="宋体" w:hAnsi="宋体" w:cs="宋体"/>
          <w:kern w:val="0"/>
          <w:sz w:val="24"/>
        </w:rPr>
        <w:t>3）有关比例限制的执行情况。</w:t>
      </w:r>
    </w:p>
    <w:p w14:paraId="3F079D9D">
      <w:pPr>
        <w:tabs>
          <w:tab w:val="left" w:pos="1260"/>
        </w:tabs>
        <w:spacing w:line="360" w:lineRule="auto"/>
        <w:ind w:firstLine="480" w:firstLineChars="200"/>
        <w:rPr>
          <w:rFonts w:ascii="宋体" w:hAnsi="宋体" w:cs="宋体"/>
          <w:kern w:val="0"/>
          <w:sz w:val="24"/>
        </w:rPr>
      </w:pPr>
      <w:r>
        <w:rPr>
          <w:rFonts w:hint="eastAsia" w:ascii="宋体" w:hAnsi="宋体" w:cs="宋体"/>
          <w:kern w:val="0"/>
          <w:sz w:val="24"/>
        </w:rPr>
        <w:t>4）信息披露情况。</w:t>
      </w:r>
    </w:p>
    <w:p w14:paraId="01BB5F28">
      <w:pPr>
        <w:tabs>
          <w:tab w:val="left" w:pos="1260"/>
        </w:tabs>
        <w:spacing w:line="360" w:lineRule="auto"/>
        <w:ind w:firstLine="480" w:firstLineChars="200"/>
        <w:rPr>
          <w:rFonts w:ascii="宋体" w:hAnsi="宋体" w:cs="宋体"/>
          <w:kern w:val="0"/>
          <w:sz w:val="24"/>
        </w:rPr>
      </w:pPr>
      <w:r>
        <w:rPr>
          <w:rFonts w:hint="eastAsia" w:ascii="宋体" w:hAnsi="宋体" w:cs="宋体"/>
          <w:kern w:val="0"/>
          <w:sz w:val="24"/>
        </w:rPr>
        <w:t>（9）相关法律法规对基金投资流通受限证券有新规定的，从其规定。</w:t>
      </w:r>
    </w:p>
    <w:p w14:paraId="0B7F83B8">
      <w:pPr>
        <w:spacing w:line="360" w:lineRule="auto"/>
        <w:ind w:firstLine="480" w:firstLineChars="200"/>
        <w:rPr>
          <w:rFonts w:ascii="宋体" w:hAnsi="宋体"/>
          <w:b/>
          <w:bCs/>
          <w:sz w:val="24"/>
        </w:rPr>
      </w:pPr>
      <w:r>
        <w:rPr>
          <w:rFonts w:ascii="宋体" w:hAnsi="宋体"/>
          <w:b/>
          <w:bCs/>
          <w:sz w:val="24"/>
        </w:rPr>
        <w:t>7</w:t>
      </w:r>
      <w:r>
        <w:rPr>
          <w:rFonts w:hint="eastAsia" w:ascii="宋体" w:hAnsi="宋体"/>
          <w:b/>
          <w:bCs/>
          <w:sz w:val="24"/>
        </w:rPr>
        <w:t>、基金托管人根据有关法律、法规的规定及基金合同和本协议的约定，对基金管理人产品禁投池进行监督。</w:t>
      </w:r>
    </w:p>
    <w:p w14:paraId="190AC91B">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基金管理人可以向基金托管人提供基金禁投池清单。基金托管人在收到名单后</w:t>
      </w:r>
      <w:r>
        <w:rPr>
          <w:rFonts w:ascii="宋体" w:hAnsi="宋体"/>
          <w:kern w:val="0"/>
          <w:sz w:val="24"/>
        </w:rPr>
        <w:t>2</w:t>
      </w:r>
      <w:r>
        <w:rPr>
          <w:rFonts w:hint="eastAsia" w:ascii="宋体" w:hAnsi="宋体"/>
          <w:kern w:val="0"/>
          <w:sz w:val="24"/>
        </w:rPr>
        <w:t>个工作日内电话或回函确认收到该名单。基金管理人可以定期和不定期对基金禁投池清单进行更新。基金托管人在收到清单后2个工作日内电话或书面回函确认，新清单自基金托管人确认当日生效。新清单生效前基金托管人仍按原禁投池清单进行监督。</w:t>
      </w:r>
    </w:p>
    <w:p w14:paraId="0F975A0F">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基金管理人超越名单范围进行投资的，基金托管人应及时提醒基金管理人，但基金托管人不承担由此造成的相应损失和责任。</w:t>
      </w:r>
    </w:p>
    <w:p w14:paraId="1592BCB0">
      <w:pPr>
        <w:tabs>
          <w:tab w:val="left" w:pos="1260"/>
        </w:tabs>
        <w:spacing w:line="360" w:lineRule="auto"/>
        <w:ind w:firstLine="480" w:firstLineChars="200"/>
        <w:rPr>
          <w:rFonts w:ascii="宋体" w:hAnsi="宋体"/>
          <w:b/>
          <w:kern w:val="0"/>
          <w:sz w:val="24"/>
        </w:rPr>
      </w:pPr>
      <w:r>
        <w:rPr>
          <w:rFonts w:ascii="宋体" w:hAnsi="宋体"/>
          <w:b/>
          <w:kern w:val="0"/>
          <w:sz w:val="24"/>
        </w:rPr>
        <w:t>8、</w:t>
      </w:r>
      <w:r>
        <w:rPr>
          <w:rFonts w:hint="eastAsia" w:ascii="宋体" w:hAnsi="宋体"/>
          <w:b/>
          <w:kern w:val="0"/>
          <w:sz w:val="24"/>
        </w:rPr>
        <w:t>基金参与转融通证券出借业务，基金管理人应当遵守审慎经营原则，配备技术系统和专业人员，制定科学合理的投资策略和风险管理制度，完善业务流程，有效防范和控制风险。基金托管人将对基金参与出借业务进行监督和复核。</w:t>
      </w:r>
    </w:p>
    <w:p w14:paraId="1568FB6A">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二）基金托管人应根据有关法律、法规的规定及基金合同的约定，对基金资产净值计算、基金份额净值计算、应收资金到账、基金费用开支及收入确认、基金收益分配、相关信息披露、基金宣传推介材料中登载基金业绩表现数据等进行监督和核查。</w:t>
      </w:r>
    </w:p>
    <w:p w14:paraId="292C8DA5">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三）基金管理人应积极配合和协助基金托管人的监督和核查，在规定时间内答复并改正，就基金托管人的合理疑义进行解释或举证。对基金托管人按照法规要求需向中国证监会报送基金监督报告的，基金管理人应积极配合提供相关数据资料和制度等。</w:t>
      </w:r>
    </w:p>
    <w:p w14:paraId="53B7014A">
      <w:pPr>
        <w:tabs>
          <w:tab w:val="left" w:pos="1260"/>
        </w:tabs>
        <w:spacing w:line="360" w:lineRule="auto"/>
        <w:ind w:firstLine="480" w:firstLineChars="200"/>
        <w:rPr>
          <w:rFonts w:ascii="宋体" w:hAnsi="宋体"/>
          <w:kern w:val="0"/>
          <w:sz w:val="24"/>
        </w:rPr>
      </w:pPr>
      <w:r>
        <w:rPr>
          <w:rFonts w:hint="eastAsia" w:ascii="宋体" w:hAnsi="宋体"/>
          <w:kern w:val="0"/>
          <w:sz w:val="24"/>
        </w:rPr>
        <w:t>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及时核对并以书面形式给基金托管人发出回函，就基金托管人的合理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14:paraId="2115061F">
      <w:pPr>
        <w:tabs>
          <w:tab w:val="left" w:pos="1260"/>
        </w:tabs>
        <w:spacing w:line="360" w:lineRule="auto"/>
        <w:ind w:firstLine="480" w:firstLineChars="200"/>
        <w:rPr>
          <w:rFonts w:ascii="宋体" w:hAnsi="宋体"/>
          <w:kern w:val="0"/>
          <w:sz w:val="24"/>
        </w:rPr>
      </w:pPr>
      <w:r>
        <w:rPr>
          <w:rFonts w:hint="eastAsia" w:ascii="宋体" w:hAnsi="宋体"/>
          <w:kern w:val="0"/>
          <w:sz w:val="24"/>
        </w:rPr>
        <w:t>若基金托管人发现基金管理人依据交易程序已经生效的指令违反法律、行政法规和其他有关规定，或者违反《基金合同》约定的，应当立即通知基金管理人，并报告证监会。</w:t>
      </w:r>
    </w:p>
    <w:p w14:paraId="3EC4B283">
      <w:pPr>
        <w:tabs>
          <w:tab w:val="left" w:pos="1260"/>
        </w:tabs>
        <w:spacing w:line="360" w:lineRule="auto"/>
        <w:ind w:firstLine="480" w:firstLineChars="200"/>
        <w:rPr>
          <w:rFonts w:ascii="宋体" w:hAnsi="宋体"/>
          <w:kern w:val="0"/>
          <w:sz w:val="24"/>
        </w:rPr>
      </w:pPr>
      <w:r>
        <w:rPr>
          <w:rFonts w:hint="eastAsia" w:ascii="宋体" w:hAnsi="宋体"/>
          <w:kern w:val="0"/>
          <w:sz w:val="24"/>
        </w:rPr>
        <w:t>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bookmarkStart w:id="25" w:name="_Toc125892440"/>
    </w:p>
    <w:p w14:paraId="1315ECBD">
      <w:pPr>
        <w:pStyle w:val="2"/>
        <w:spacing w:before="0" w:after="0"/>
        <w:ind w:firstLine="480" w:firstLineChars="200"/>
        <w:rPr>
          <w:color w:val="auto"/>
        </w:rPr>
      </w:pPr>
      <w:bookmarkStart w:id="26" w:name="_Toc508720682"/>
      <w:r>
        <w:rPr>
          <w:rFonts w:hint="eastAsia"/>
          <w:color w:val="auto"/>
        </w:rPr>
        <w:t>四、基金管理人对基金托管人的业务核查</w:t>
      </w:r>
      <w:bookmarkEnd w:id="25"/>
      <w:bookmarkEnd w:id="26"/>
    </w:p>
    <w:p w14:paraId="6B2A3D61">
      <w:pPr>
        <w:tabs>
          <w:tab w:val="left" w:pos="1260"/>
        </w:tabs>
        <w:spacing w:line="360" w:lineRule="auto"/>
        <w:ind w:firstLine="480" w:firstLineChars="200"/>
        <w:rPr>
          <w:rFonts w:ascii="宋体" w:hAnsi="宋体"/>
          <w:kern w:val="0"/>
          <w:sz w:val="24"/>
        </w:rPr>
      </w:pPr>
      <w:r>
        <w:rPr>
          <w:rFonts w:hint="eastAsia" w:ascii="宋体" w:hAnsi="宋体"/>
          <w:kern w:val="0"/>
          <w:sz w:val="24"/>
        </w:rPr>
        <w:t>根据《基金法》及其他有关法规、《基金合同》和本协议规定，基金管理人对基金托管人履行托管职责的情况进行核查，核查事项包括但不限于基金托管人是否安全保管基金财产，是否开立基金财产的托管账户、证券账户、债券托管账户等投资所需账户，是否协助提供开立期货业务相关账户及交易编码的托管人相关信息，是否及时、准确复核基金管理人计算的基金资产净值和基金份额净值，是否根据基金管理人指令办理清算交收，是否按照法规规定和《基金合同》规定进行相关信息披露和监督基金投资运作等行为。</w:t>
      </w:r>
    </w:p>
    <w:p w14:paraId="7EE0EBE0">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可以定期（每半年）和不定期地对基金托管人保管的基金资产进行核查。基金托管人应积极配合基金管理人的核查行为，包括但不限于：提交相关资料以供基金管理人核查托管财产的完整性和真实性，在规定时间内答复并改正。</w:t>
      </w:r>
    </w:p>
    <w:p w14:paraId="531DC401">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在下一工作日及时核对并以书面形式对基金管理人发出回函，说明违规原因及纠正期限，并保证在规定期限内及时改正。在限期内，基金管理人有权随时对通知事项进行复查，督促基金托管人改正。基金托管人对基金管理人通知的违规事项未能在限期内纠正的，基金管理人应报告中国证监会。</w:t>
      </w:r>
      <w:r>
        <w:rPr>
          <w:rFonts w:hint="eastAsia" w:ascii="宋体" w:hAnsi="宋体"/>
          <w:sz w:val="24"/>
        </w:rPr>
        <w:t>对基金托管人按照法规要求需向中国证监会报送基金监督报告的，基金管理人应积极配合提供相关数据资料和制度等。</w:t>
      </w:r>
    </w:p>
    <w:p w14:paraId="3B6676C7">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基金管理人发现基金托管人有重大违规行为，应立即报告中国证监会，同时通知基金托管人在限期内纠正。</w:t>
      </w:r>
      <w:r>
        <w:rPr>
          <w:rFonts w:hint="eastAsia" w:ascii="宋体" w:hAnsi="宋体"/>
          <w:sz w:val="24"/>
          <w:szCs w:val="21"/>
        </w:rPr>
        <w:t>基金托管人应就基金管理人合理的疑义进行解释或举证。</w:t>
      </w:r>
      <w:r>
        <w:rPr>
          <w:rFonts w:hint="eastAsia" w:ascii="宋体" w:hAnsi="宋体"/>
          <w:kern w:val="0"/>
          <w:sz w:val="24"/>
        </w:rPr>
        <w:t>基金托管人无正当理由，拒绝、阻挠对方根据本协议规定行使监督权，或采取拖延、欺诈等手段妨碍对方进行有效监督，情节严重或经基金管理人提出警告仍不改正的，基金管理人应报告中国证监会。</w:t>
      </w:r>
    </w:p>
    <w:p w14:paraId="74B1C857">
      <w:pPr>
        <w:pStyle w:val="2"/>
        <w:spacing w:before="0" w:after="0"/>
        <w:ind w:firstLine="480" w:firstLineChars="200"/>
        <w:rPr>
          <w:color w:val="auto"/>
        </w:rPr>
      </w:pPr>
      <w:bookmarkStart w:id="27" w:name="_Toc125892441"/>
      <w:bookmarkStart w:id="28" w:name="_Toc523829995"/>
      <w:bookmarkStart w:id="29" w:name="_Toc466788854"/>
      <w:bookmarkStart w:id="30" w:name="_Toc22454437"/>
      <w:bookmarkStart w:id="31" w:name="_Toc508720683"/>
      <w:r>
        <w:rPr>
          <w:rFonts w:hint="eastAsia"/>
          <w:color w:val="auto"/>
        </w:rPr>
        <w:t>五、基金财产的保管</w:t>
      </w:r>
      <w:bookmarkEnd w:id="27"/>
      <w:bookmarkEnd w:id="28"/>
      <w:bookmarkEnd w:id="29"/>
      <w:bookmarkEnd w:id="30"/>
      <w:bookmarkEnd w:id="31"/>
    </w:p>
    <w:p w14:paraId="2A80422E">
      <w:pPr>
        <w:tabs>
          <w:tab w:val="left" w:pos="3780"/>
        </w:tabs>
        <w:autoSpaceDE w:val="0"/>
        <w:autoSpaceDN w:val="0"/>
        <w:spacing w:line="360" w:lineRule="auto"/>
        <w:ind w:firstLine="480" w:firstLineChars="200"/>
        <w:textAlignment w:val="bottom"/>
        <w:outlineLvl w:val="0"/>
        <w:rPr>
          <w:rFonts w:ascii="宋体" w:hAnsi="宋体"/>
          <w:b/>
          <w:bCs/>
          <w:sz w:val="24"/>
        </w:rPr>
      </w:pPr>
      <w:bookmarkStart w:id="32" w:name="_Toc77662997"/>
      <w:bookmarkStart w:id="33" w:name="_Toc37159173"/>
      <w:r>
        <w:rPr>
          <w:rFonts w:hint="eastAsia" w:ascii="宋体" w:hAnsi="宋体"/>
          <w:b/>
          <w:bCs/>
          <w:sz w:val="24"/>
        </w:rPr>
        <w:t>（一）基金财产保管的原则</w:t>
      </w:r>
      <w:bookmarkEnd w:id="32"/>
      <w:bookmarkEnd w:id="33"/>
    </w:p>
    <w:p w14:paraId="405B7C64">
      <w:pPr>
        <w:tabs>
          <w:tab w:val="left" w:pos="1260"/>
        </w:tabs>
        <w:spacing w:line="360" w:lineRule="auto"/>
        <w:ind w:firstLine="480" w:firstLineChars="200"/>
        <w:rPr>
          <w:rFonts w:ascii="宋体" w:hAnsi="宋体"/>
          <w:kern w:val="0"/>
          <w:sz w:val="24"/>
        </w:rPr>
      </w:pPr>
      <w:r>
        <w:rPr>
          <w:rFonts w:hint="eastAsia" w:ascii="宋体" w:hAnsi="宋体"/>
          <w:kern w:val="0"/>
          <w:sz w:val="24"/>
        </w:rPr>
        <w:t>1、基金托管人应安全保管基金财产，未经基金管理人的指令，不得自行运用、处分、分配基金的任何资产。</w:t>
      </w:r>
    </w:p>
    <w:p w14:paraId="70C8B876">
      <w:pPr>
        <w:tabs>
          <w:tab w:val="left" w:pos="1260"/>
        </w:tabs>
        <w:spacing w:line="360" w:lineRule="auto"/>
        <w:ind w:firstLine="480" w:firstLineChars="200"/>
        <w:rPr>
          <w:rFonts w:ascii="宋体" w:hAnsi="宋体"/>
          <w:kern w:val="0"/>
          <w:sz w:val="24"/>
        </w:rPr>
      </w:pPr>
      <w:r>
        <w:rPr>
          <w:rFonts w:hint="eastAsia" w:ascii="宋体" w:hAnsi="宋体"/>
          <w:kern w:val="0"/>
          <w:sz w:val="24"/>
        </w:rPr>
        <w:t>2、基金财产应独立于基金管理人、基金托管人的固有财产。</w:t>
      </w:r>
    </w:p>
    <w:p w14:paraId="7A0BE377">
      <w:pPr>
        <w:tabs>
          <w:tab w:val="left" w:pos="1260"/>
        </w:tabs>
        <w:spacing w:line="360" w:lineRule="auto"/>
        <w:ind w:firstLine="480" w:firstLineChars="200"/>
        <w:rPr>
          <w:rFonts w:ascii="宋体" w:hAnsi="宋体"/>
          <w:kern w:val="0"/>
          <w:sz w:val="24"/>
        </w:rPr>
      </w:pPr>
      <w:r>
        <w:rPr>
          <w:rFonts w:hint="eastAsia" w:ascii="宋体" w:hAnsi="宋体"/>
          <w:kern w:val="0"/>
          <w:sz w:val="24"/>
        </w:rPr>
        <w:t>3、基金托管人按照规定开立基金财产的托管账户、证券账户、债券托管账户、期货结算账户等投资所需账户。</w:t>
      </w:r>
    </w:p>
    <w:p w14:paraId="0C4928D3">
      <w:pPr>
        <w:tabs>
          <w:tab w:val="left" w:pos="1260"/>
        </w:tabs>
        <w:spacing w:line="360" w:lineRule="auto"/>
        <w:ind w:firstLine="480" w:firstLineChars="200"/>
        <w:rPr>
          <w:rFonts w:ascii="宋体" w:hAnsi="宋体"/>
          <w:kern w:val="0"/>
          <w:sz w:val="24"/>
        </w:rPr>
      </w:pPr>
      <w:r>
        <w:rPr>
          <w:rFonts w:hint="eastAsia" w:ascii="宋体" w:hAnsi="宋体"/>
          <w:kern w:val="0"/>
          <w:sz w:val="24"/>
        </w:rPr>
        <w:t>4、基金托管人对所托管的不同基金财产分别设置账户，独立核算，与基金托管人的其他业务和其他基金的托管业务实行严格的分账管理，确保基金财产的完整和独立。</w:t>
      </w:r>
    </w:p>
    <w:p w14:paraId="54C615C6">
      <w:pPr>
        <w:tabs>
          <w:tab w:val="left" w:pos="1260"/>
        </w:tabs>
        <w:spacing w:line="360" w:lineRule="auto"/>
        <w:ind w:firstLine="480" w:firstLineChars="200"/>
        <w:rPr>
          <w:rFonts w:ascii="宋体" w:hAnsi="宋体"/>
          <w:kern w:val="0"/>
          <w:sz w:val="24"/>
        </w:rPr>
      </w:pPr>
      <w:r>
        <w:rPr>
          <w:rFonts w:hint="eastAsia" w:ascii="宋体" w:hAnsi="宋体"/>
          <w:kern w:val="0"/>
          <w:sz w:val="24"/>
        </w:rPr>
        <w:t>5、对于因为基金投资产生的应收资产和基金申购过程中产生的应收资产，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w:t>
      </w:r>
      <w:bookmarkStart w:id="34" w:name="_Toc37159174"/>
      <w:bookmarkStart w:id="35" w:name="_Toc77662998"/>
      <w:r>
        <w:rPr>
          <w:rFonts w:hint="eastAsia" w:ascii="宋体" w:hAnsi="宋体"/>
          <w:kern w:val="0"/>
          <w:sz w:val="24"/>
        </w:rPr>
        <w:t>基金托管人对此予以必要的配合与协助，但不承担相应责任。</w:t>
      </w:r>
    </w:p>
    <w:p w14:paraId="23CBFB1D">
      <w:pPr>
        <w:tabs>
          <w:tab w:val="left" w:pos="1260"/>
        </w:tabs>
        <w:spacing w:line="360" w:lineRule="auto"/>
        <w:ind w:firstLine="480" w:firstLineChars="200"/>
        <w:rPr>
          <w:rFonts w:ascii="宋体" w:hAnsi="宋体"/>
          <w:kern w:val="0"/>
          <w:sz w:val="24"/>
        </w:rPr>
      </w:pPr>
      <w:r>
        <w:rPr>
          <w:rFonts w:hint="eastAsia" w:ascii="宋体" w:hAnsi="宋体"/>
          <w:kern w:val="0"/>
          <w:sz w:val="24"/>
        </w:rPr>
        <w:t>6、除依据法律法规和《基金合同》的规定外，基金托管人不得委托第三人托管基金财产。</w:t>
      </w:r>
    </w:p>
    <w:p w14:paraId="44FCD937">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（二）基金合同生效时募集资产的验证</w:t>
      </w:r>
      <w:bookmarkEnd w:id="34"/>
      <w:bookmarkEnd w:id="35"/>
    </w:p>
    <w:p w14:paraId="35875E07">
      <w:pPr>
        <w:spacing w:line="360" w:lineRule="auto"/>
        <w:ind w:firstLine="480" w:firstLineChars="200"/>
        <w:rPr>
          <w:rFonts w:ascii="宋体" w:hAnsi="宋体"/>
          <w:bCs/>
          <w:sz w:val="24"/>
        </w:rPr>
      </w:pPr>
      <w:r>
        <w:rPr>
          <w:rFonts w:hint="eastAsia" w:ascii="宋体" w:hAnsi="宋体"/>
          <w:bCs/>
          <w:sz w:val="24"/>
        </w:rPr>
        <w:t>基金募集期间募集的资金应存于在具有托管资格的商业银行开设的基金募集专用账户。该账户由基金管理人或基金管理人委托的登记机构开立并管理。</w:t>
      </w:r>
    </w:p>
    <w:p w14:paraId="0D35C44E">
      <w:pPr>
        <w:tabs>
          <w:tab w:val="left" w:pos="1260"/>
        </w:tabs>
        <w:spacing w:line="360" w:lineRule="auto"/>
        <w:ind w:firstLine="480" w:firstLineChars="200"/>
        <w:rPr>
          <w:rFonts w:ascii="宋体" w:hAnsi="宋体"/>
          <w:kern w:val="0"/>
          <w:sz w:val="24"/>
        </w:rPr>
      </w:pPr>
      <w:r>
        <w:rPr>
          <w:rFonts w:hint="eastAsia" w:ascii="宋体" w:hAnsi="宋体"/>
          <w:kern w:val="0"/>
          <w:sz w:val="24"/>
        </w:rPr>
        <w:t>基金募集期满</w:t>
      </w:r>
      <w:r>
        <w:rPr>
          <w:rFonts w:hint="eastAsia"/>
          <w:bCs/>
          <w:sz w:val="24"/>
        </w:rPr>
        <w:t>或</w:t>
      </w:r>
      <w:r>
        <w:rPr>
          <w:bCs/>
          <w:sz w:val="24"/>
        </w:rPr>
        <w:t>基金管理人依据法律法规及招募说明书决定停止基金发售</w:t>
      </w:r>
      <w:r>
        <w:rPr>
          <w:rFonts w:hint="eastAsia" w:ascii="宋体" w:hAnsi="宋体"/>
          <w:kern w:val="0"/>
          <w:sz w:val="24"/>
        </w:rPr>
        <w:t>，</w:t>
      </w:r>
      <w:r>
        <w:rPr>
          <w:rFonts w:hint="eastAsia"/>
          <w:bCs/>
          <w:sz w:val="24"/>
        </w:rPr>
        <w:t>基金募集份额总额</w:t>
      </w:r>
      <w:r>
        <w:rPr>
          <w:rFonts w:hint="eastAsia" w:ascii="宋体" w:hAnsi="宋体"/>
          <w:kern w:val="0"/>
          <w:sz w:val="24"/>
        </w:rPr>
        <w:t>、</w:t>
      </w:r>
      <w:r>
        <w:rPr>
          <w:rFonts w:hint="eastAsia"/>
          <w:bCs/>
          <w:sz w:val="24"/>
        </w:rPr>
        <w:t>基金募集金额</w:t>
      </w:r>
      <w:r>
        <w:rPr>
          <w:rFonts w:hint="eastAsia" w:ascii="宋体" w:hAnsi="宋体"/>
          <w:kern w:val="0"/>
          <w:sz w:val="24"/>
        </w:rPr>
        <w:t>及</w:t>
      </w:r>
      <w:r>
        <w:rPr>
          <w:rFonts w:hint="eastAsia"/>
          <w:bCs/>
          <w:sz w:val="24"/>
        </w:rPr>
        <w:t>基金认购人数</w:t>
      </w:r>
      <w:r>
        <w:rPr>
          <w:rFonts w:hint="eastAsia" w:ascii="宋体" w:hAnsi="宋体"/>
          <w:kern w:val="0"/>
          <w:sz w:val="24"/>
        </w:rPr>
        <w:t>符合《基金法》、《运作办法》等有关规定后，</w:t>
      </w:r>
      <w:r>
        <w:rPr>
          <w:rFonts w:ascii="宋体" w:hAnsi="宋体"/>
          <w:kern w:val="0"/>
          <w:sz w:val="24"/>
        </w:rPr>
        <w:t>基金管理人应将</w:t>
      </w:r>
      <w:r>
        <w:rPr>
          <w:rFonts w:hint="eastAsia" w:ascii="宋体" w:hAnsi="宋体"/>
          <w:kern w:val="0"/>
          <w:sz w:val="24"/>
        </w:rPr>
        <w:t>募集到的</w:t>
      </w:r>
      <w:r>
        <w:rPr>
          <w:rFonts w:ascii="宋体" w:hAnsi="宋体"/>
          <w:kern w:val="0"/>
          <w:sz w:val="24"/>
        </w:rPr>
        <w:t>属于基金财产的全部资金划入基金托管人</w:t>
      </w:r>
      <w:r>
        <w:rPr>
          <w:rFonts w:hint="eastAsia" w:ascii="宋体" w:hAnsi="宋体"/>
          <w:kern w:val="0"/>
          <w:sz w:val="24"/>
        </w:rPr>
        <w:t>为本基金</w:t>
      </w:r>
      <w:r>
        <w:rPr>
          <w:rFonts w:ascii="宋体" w:hAnsi="宋体"/>
          <w:kern w:val="0"/>
          <w:sz w:val="24"/>
        </w:rPr>
        <w:t>开立的基金</w:t>
      </w:r>
      <w:r>
        <w:rPr>
          <w:rFonts w:hint="eastAsia" w:ascii="宋体" w:hAnsi="宋体"/>
          <w:kern w:val="0"/>
          <w:sz w:val="24"/>
        </w:rPr>
        <w:t>托管资金账户</w:t>
      </w:r>
      <w:r>
        <w:rPr>
          <w:rFonts w:ascii="宋体" w:hAnsi="宋体"/>
          <w:kern w:val="0"/>
          <w:sz w:val="24"/>
        </w:rPr>
        <w:t>，同时在规定时间内，</w:t>
      </w:r>
      <w:r>
        <w:rPr>
          <w:rFonts w:hint="eastAsia" w:ascii="宋体" w:hAnsi="宋体"/>
          <w:kern w:val="0"/>
          <w:sz w:val="24"/>
        </w:rPr>
        <w:t>聘请符合《中华人民共和国证券法》规定的会计师事务所进行验资，出具验资报告，出具的验资报告应由参加验资的</w:t>
      </w:r>
      <w:r>
        <w:rPr>
          <w:rFonts w:ascii="宋体" w:hAnsi="宋体"/>
          <w:kern w:val="0"/>
          <w:sz w:val="24"/>
        </w:rPr>
        <w:t>2</w:t>
      </w:r>
      <w:r>
        <w:rPr>
          <w:rFonts w:hint="eastAsia" w:ascii="宋体" w:hAnsi="宋体"/>
          <w:kern w:val="0"/>
          <w:sz w:val="24"/>
        </w:rPr>
        <w:t>名以上（含</w:t>
      </w:r>
      <w:r>
        <w:rPr>
          <w:rFonts w:ascii="宋体" w:hAnsi="宋体"/>
          <w:kern w:val="0"/>
          <w:sz w:val="24"/>
        </w:rPr>
        <w:t>2</w:t>
      </w:r>
      <w:r>
        <w:rPr>
          <w:rFonts w:hint="eastAsia" w:ascii="宋体" w:hAnsi="宋体"/>
          <w:kern w:val="0"/>
          <w:sz w:val="24"/>
        </w:rPr>
        <w:t>名）中国注册会计师签字有效。基金托管人在收到资金当日出具相关证明文件。</w:t>
      </w:r>
      <w:bookmarkStart w:id="36" w:name="_Toc77663000"/>
      <w:bookmarkStart w:id="37" w:name="_Toc37159176"/>
    </w:p>
    <w:p w14:paraId="42BD4FE3">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（三）基金的银行存款账户的开立和管理</w:t>
      </w:r>
      <w:bookmarkEnd w:id="36"/>
      <w:bookmarkEnd w:id="37"/>
    </w:p>
    <w:p w14:paraId="49961729">
      <w:pPr>
        <w:tabs>
          <w:tab w:val="left" w:pos="1260"/>
        </w:tabs>
        <w:spacing w:line="360" w:lineRule="auto"/>
        <w:ind w:firstLine="480" w:firstLineChars="200"/>
        <w:rPr>
          <w:rFonts w:ascii="宋体" w:hAnsi="宋体"/>
          <w:kern w:val="0"/>
          <w:sz w:val="24"/>
        </w:rPr>
      </w:pPr>
      <w:r>
        <w:rPr>
          <w:rFonts w:hint="eastAsia" w:ascii="宋体" w:hAnsi="宋体"/>
          <w:kern w:val="0"/>
          <w:sz w:val="24"/>
        </w:rPr>
        <w:t>1、基金托管人应负责本基金银行存款账户（即托管账户）的开立和管理。</w:t>
      </w:r>
    </w:p>
    <w:p w14:paraId="2B5C4C8C">
      <w:pPr>
        <w:tabs>
          <w:tab w:val="left" w:pos="1260"/>
        </w:tabs>
        <w:spacing w:line="360" w:lineRule="auto"/>
        <w:ind w:firstLine="480" w:firstLineChars="200"/>
        <w:rPr>
          <w:rFonts w:ascii="宋体" w:hAnsi="宋体"/>
          <w:kern w:val="0"/>
          <w:sz w:val="24"/>
        </w:rPr>
      </w:pPr>
      <w:r>
        <w:rPr>
          <w:rFonts w:hint="eastAsia" w:ascii="宋体" w:hAnsi="宋体"/>
          <w:kern w:val="0"/>
          <w:sz w:val="24"/>
        </w:rPr>
        <w:t>2、基金托管人在具有证券投资基金托管资格的商业银行开立基金的银行存款账户，并根据中国人民银行规定计息，根据基金管理人合法合规的指令办理资金收付。本基金的银行预留印鉴由基金托管人制作、保管和使用。本基金的一切货币收支活动，包括但不限于投资、支付赎回金额、支付基金收益、收取申购款，均需通过本基金的银行存款账户进行。</w:t>
      </w:r>
    </w:p>
    <w:p w14:paraId="603398B3">
      <w:pPr>
        <w:tabs>
          <w:tab w:val="left" w:pos="1260"/>
        </w:tabs>
        <w:spacing w:line="360" w:lineRule="auto"/>
        <w:ind w:firstLine="480" w:firstLineChars="200"/>
        <w:rPr>
          <w:rFonts w:ascii="宋体" w:hAnsi="宋体"/>
          <w:kern w:val="0"/>
          <w:sz w:val="24"/>
        </w:rPr>
      </w:pPr>
      <w:r>
        <w:rPr>
          <w:rFonts w:hint="eastAsia" w:ascii="宋体" w:hAnsi="宋体"/>
          <w:kern w:val="0"/>
          <w:sz w:val="24"/>
        </w:rPr>
        <w:t>3、本基金银行存款账户的开立和使用，限于满足开展本基金业务的需要。基金托管人和基金管理人不得假借本基金的名义开立其他任何银行存款账户；亦不得使用基金的任何银行存款账户进行本基金业务以外的活动。</w:t>
      </w:r>
    </w:p>
    <w:p w14:paraId="0D422A3B">
      <w:pPr>
        <w:tabs>
          <w:tab w:val="left" w:pos="1260"/>
        </w:tabs>
        <w:spacing w:line="360" w:lineRule="auto"/>
        <w:ind w:firstLine="480" w:firstLineChars="200"/>
        <w:rPr>
          <w:rFonts w:ascii="宋体" w:hAnsi="宋体"/>
          <w:kern w:val="0"/>
          <w:sz w:val="24"/>
        </w:rPr>
      </w:pPr>
      <w:r>
        <w:rPr>
          <w:rFonts w:hint="eastAsia" w:ascii="宋体" w:hAnsi="宋体"/>
          <w:kern w:val="0"/>
          <w:sz w:val="24"/>
        </w:rPr>
        <w:t>4、基金托管人可以通过申请开通本基金银行账户的企业网上银行业务进行资金支付，并使用企业网上银行（简称“网银”）办理托管资产的资金结算汇划业务。</w:t>
      </w:r>
    </w:p>
    <w:p w14:paraId="382175AF">
      <w:pPr>
        <w:tabs>
          <w:tab w:val="left" w:pos="1260"/>
        </w:tabs>
        <w:spacing w:line="360" w:lineRule="auto"/>
        <w:ind w:firstLine="480" w:firstLineChars="200"/>
        <w:rPr>
          <w:rFonts w:ascii="宋体" w:hAnsi="宋体"/>
          <w:kern w:val="0"/>
          <w:sz w:val="24"/>
        </w:rPr>
      </w:pPr>
      <w:r>
        <w:rPr>
          <w:rFonts w:hint="eastAsia" w:ascii="宋体" w:hAnsi="宋体"/>
          <w:kern w:val="0"/>
          <w:sz w:val="24"/>
        </w:rPr>
        <w:t>5、基金银行存款账户的管理应符合法律、法规以及银行业监督管理机构的其他规定。</w:t>
      </w:r>
      <w:bookmarkStart w:id="38" w:name="_Toc77663001"/>
      <w:bookmarkStart w:id="39" w:name="_Toc37159177"/>
    </w:p>
    <w:p w14:paraId="33494C9B">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（四）基金的证券账户和证券交易资金账户的开立和管理</w:t>
      </w:r>
      <w:bookmarkEnd w:id="38"/>
      <w:bookmarkEnd w:id="39"/>
    </w:p>
    <w:p w14:paraId="1198AF61">
      <w:pPr>
        <w:tabs>
          <w:tab w:val="left" w:pos="1260"/>
        </w:tabs>
        <w:spacing w:line="360" w:lineRule="auto"/>
        <w:ind w:firstLine="480" w:firstLineChars="200"/>
        <w:rPr>
          <w:rFonts w:ascii="宋体" w:hAnsi="宋体"/>
          <w:kern w:val="0"/>
          <w:sz w:val="24"/>
        </w:rPr>
      </w:pPr>
      <w:r>
        <w:rPr>
          <w:rFonts w:hint="eastAsia" w:ascii="宋体" w:hAnsi="宋体"/>
          <w:kern w:val="0"/>
          <w:sz w:val="24"/>
        </w:rPr>
        <w:t>基金托管人为本基金在中国证券登记结算有限责任公司开立证券账户。</w:t>
      </w:r>
    </w:p>
    <w:p w14:paraId="2B0DD840">
      <w:pPr>
        <w:tabs>
          <w:tab w:val="left" w:pos="1260"/>
        </w:tabs>
        <w:spacing w:line="360" w:lineRule="auto"/>
        <w:ind w:firstLine="480" w:firstLineChars="200"/>
        <w:rPr>
          <w:rFonts w:ascii="宋体" w:hAnsi="宋体"/>
          <w:kern w:val="0"/>
          <w:sz w:val="24"/>
        </w:rPr>
      </w:pPr>
      <w:r>
        <w:rPr>
          <w:rFonts w:hint="eastAsia" w:ascii="宋体" w:hAnsi="宋体"/>
          <w:kern w:val="0"/>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bookmarkStart w:id="40" w:name="_Toc37159179"/>
      <w:bookmarkStart w:id="41" w:name="_Toc77663003"/>
    </w:p>
    <w:p w14:paraId="6F2BE80C">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为基金财产在证券经营机构开立证券交易资金账户，用于基金财产证券交易结算资金的存管、记载交易结算资金的变动明细以及场内证券交易清算。基金托管人和基金管理人不得出借或转让证券账户、证券交易资金账户，亦不得使用证券账户或证券交易资金账户进行本基金业务以外的活动。</w:t>
      </w:r>
    </w:p>
    <w:p w14:paraId="5A17675A">
      <w:pPr>
        <w:tabs>
          <w:tab w:val="left" w:pos="1260"/>
        </w:tabs>
        <w:spacing w:line="360" w:lineRule="auto"/>
        <w:ind w:firstLine="480" w:firstLineChars="200"/>
        <w:rPr>
          <w:rFonts w:ascii="宋体" w:hAnsi="宋体"/>
          <w:kern w:val="0"/>
          <w:sz w:val="24"/>
        </w:rPr>
      </w:pPr>
      <w:r>
        <w:rPr>
          <w:rFonts w:hint="eastAsia" w:ascii="宋体" w:hAnsi="宋体"/>
          <w:kern w:val="0"/>
          <w:sz w:val="24"/>
        </w:rPr>
        <w:t>交易所证券交易资金采用第三方存管模式，即用于证券交易结算资金全额存放在基金管理人为基金开设的证券交易资金账户中，场内的证券交易资金清算由基金管理人所选择的证券公司负责。</w:t>
      </w:r>
    </w:p>
    <w:p w14:paraId="3A31D35E">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（五）债券托管账户的开立和管理</w:t>
      </w:r>
    </w:p>
    <w:p w14:paraId="29D804A7">
      <w:pPr>
        <w:tabs>
          <w:tab w:val="left" w:pos="1260"/>
        </w:tabs>
        <w:spacing w:line="360" w:lineRule="auto"/>
        <w:ind w:firstLine="480" w:firstLineChars="200"/>
        <w:rPr>
          <w:rFonts w:ascii="宋体" w:hAnsi="宋体"/>
          <w:kern w:val="0"/>
          <w:sz w:val="24"/>
        </w:rPr>
      </w:pPr>
      <w:r>
        <w:rPr>
          <w:rFonts w:hint="eastAsia" w:ascii="宋体" w:hAnsi="宋体"/>
          <w:kern w:val="0"/>
          <w:sz w:val="24"/>
        </w:rPr>
        <w:t>基金合同生效后，基金托管人负责在中央国债登记结算有限责任公司及</w:t>
      </w:r>
      <w:r>
        <w:rPr>
          <w:rFonts w:ascii="宋体" w:hAnsi="宋体"/>
          <w:kern w:val="0"/>
          <w:sz w:val="24"/>
        </w:rPr>
        <w:t>银行间市场清算所股份有限公司</w:t>
      </w:r>
      <w:r>
        <w:rPr>
          <w:rFonts w:hint="eastAsia" w:ascii="宋体" w:hAnsi="宋体"/>
          <w:kern w:val="0"/>
          <w:sz w:val="24"/>
        </w:rPr>
        <w:t>以本基金的名义开立债券托管账户，并由基金托管人负责基金的债券及资金的清算。</w:t>
      </w:r>
      <w:r>
        <w:rPr>
          <w:rFonts w:hint="eastAsia" w:ascii="宋体" w:hAnsi="宋体"/>
          <w:kern w:val="0"/>
          <w:sz w:val="24"/>
          <w:szCs w:val="21"/>
        </w:rPr>
        <w:t>基金管理人代表基金签订全国银行间债券市场债券回购主协议。</w:t>
      </w:r>
    </w:p>
    <w:p w14:paraId="6054A72B">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（六）其他账户的开立和管理</w:t>
      </w:r>
    </w:p>
    <w:p w14:paraId="3A6DC9A1">
      <w:pPr>
        <w:pStyle w:val="12"/>
      </w:pPr>
      <w:r>
        <w:rPr>
          <w:rFonts w:hint="eastAsia"/>
        </w:rPr>
        <w:t>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w:t>
      </w:r>
    </w:p>
    <w:p w14:paraId="17FCA644">
      <w:pPr>
        <w:pStyle w:val="12"/>
      </w:pPr>
      <w:r>
        <w:rPr>
          <w:rFonts w:hint="eastAsia"/>
        </w:rPr>
        <w:t>法律法规等</w:t>
      </w:r>
      <w:r>
        <w:t>有关规定对相关账户的开立和管理另</w:t>
      </w:r>
      <w:r>
        <w:rPr>
          <w:rFonts w:hint="eastAsia"/>
        </w:rPr>
        <w:t>有</w:t>
      </w:r>
      <w:r>
        <w:t>规定的，从其规定办理。</w:t>
      </w:r>
    </w:p>
    <w:p w14:paraId="3FA16BF7">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（七）基金财产投资的有关实物证券、银行存款定期存单等有价凭证的保管</w:t>
      </w:r>
      <w:bookmarkEnd w:id="40"/>
      <w:bookmarkEnd w:id="41"/>
    </w:p>
    <w:p w14:paraId="3C3E7C1A">
      <w:pPr>
        <w:tabs>
          <w:tab w:val="left" w:pos="1260"/>
        </w:tabs>
        <w:spacing w:line="360" w:lineRule="auto"/>
        <w:ind w:firstLine="480" w:firstLineChars="200"/>
        <w:rPr>
          <w:rFonts w:ascii="宋体" w:hAnsi="宋体"/>
          <w:kern w:val="0"/>
          <w:sz w:val="24"/>
        </w:rPr>
      </w:pPr>
      <w:r>
        <w:rPr>
          <w:rFonts w:hint="eastAsia" w:ascii="宋体" w:hAnsi="宋体"/>
          <w:kern w:val="0"/>
          <w:sz w:val="24"/>
        </w:rPr>
        <w:t>实物证券由基金托管人存放于基金托管人或其他基金管理人与基金托管人协商一致的第三方机构的保管库，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由基金托管人以外机构实际有效控制的本基金资产不承担保管责任。</w:t>
      </w:r>
    </w:p>
    <w:p w14:paraId="3EBE0E62">
      <w:pPr>
        <w:tabs>
          <w:tab w:val="left" w:pos="1260"/>
        </w:tabs>
        <w:spacing w:line="360" w:lineRule="auto"/>
        <w:ind w:firstLine="480" w:firstLineChars="200"/>
        <w:rPr>
          <w:rFonts w:ascii="宋体" w:hAnsi="宋体"/>
          <w:kern w:val="0"/>
          <w:sz w:val="24"/>
        </w:rPr>
      </w:pPr>
      <w:r>
        <w:rPr>
          <w:rFonts w:hint="eastAsia" w:ascii="宋体" w:hAnsi="宋体"/>
          <w:kern w:val="0"/>
          <w:sz w:val="24"/>
        </w:rPr>
        <w:t>银行存款定期存单等有价凭证由基金托管人负责保管。</w:t>
      </w:r>
    </w:p>
    <w:p w14:paraId="58795317">
      <w:pPr>
        <w:tabs>
          <w:tab w:val="left" w:pos="3780"/>
        </w:tabs>
        <w:autoSpaceDE w:val="0"/>
        <w:autoSpaceDN w:val="0"/>
        <w:spacing w:line="360" w:lineRule="auto"/>
        <w:ind w:firstLine="480" w:firstLineChars="200"/>
        <w:textAlignment w:val="bottom"/>
        <w:outlineLvl w:val="0"/>
        <w:rPr>
          <w:rFonts w:ascii="宋体" w:hAnsi="宋体"/>
          <w:b/>
          <w:bCs/>
          <w:sz w:val="24"/>
        </w:rPr>
      </w:pPr>
      <w:bookmarkStart w:id="42" w:name="_Toc77663004"/>
      <w:bookmarkStart w:id="43" w:name="_Toc37159180"/>
      <w:r>
        <w:rPr>
          <w:rFonts w:hint="eastAsia" w:ascii="宋体" w:hAnsi="宋体"/>
          <w:b/>
          <w:bCs/>
          <w:sz w:val="24"/>
        </w:rPr>
        <w:t>（八）与基金财产有关的重大合同的保管</w:t>
      </w:r>
      <w:bookmarkEnd w:id="42"/>
      <w:bookmarkEnd w:id="43"/>
    </w:p>
    <w:p w14:paraId="117BACB3">
      <w:pPr>
        <w:tabs>
          <w:tab w:val="left" w:pos="1260"/>
        </w:tabs>
        <w:spacing w:line="360" w:lineRule="auto"/>
        <w:ind w:firstLine="480" w:firstLineChars="200"/>
        <w:rPr>
          <w:rFonts w:ascii="宋体" w:hAnsi="宋体"/>
          <w:kern w:val="0"/>
          <w:sz w:val="24"/>
        </w:rPr>
      </w:pPr>
      <w:r>
        <w:rPr>
          <w:rFonts w:hint="eastAsia" w:ascii="宋体" w:hAnsi="宋体"/>
          <w:kern w:val="0"/>
          <w:sz w:val="24"/>
        </w:rPr>
        <w:t>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及以上的正本，以便基金管理人和基金托管人至少各持有一份正本的原件，基金管理人在合同签署后15个工作日内通过专人送达、挂号邮寄等安全方式将合同原件送达基金托管人处。重大合同的保管期限不低于法律法规规定的最低期限。</w:t>
      </w:r>
    </w:p>
    <w:p w14:paraId="575F3561">
      <w:pPr>
        <w:tabs>
          <w:tab w:val="left" w:pos="1260"/>
        </w:tabs>
        <w:spacing w:line="360" w:lineRule="auto"/>
        <w:ind w:firstLine="480" w:firstLineChars="200"/>
        <w:rPr>
          <w:rFonts w:ascii="宋体" w:hAnsi="宋体"/>
          <w:kern w:val="0"/>
          <w:sz w:val="24"/>
        </w:rPr>
      </w:pPr>
      <w:r>
        <w:rPr>
          <w:rFonts w:hint="eastAsia" w:ascii="宋体" w:hAnsi="宋体"/>
          <w:kern w:val="0"/>
          <w:sz w:val="24"/>
        </w:rPr>
        <w:t>对于无法取得二份以上的正本的，基金管理人应向基金托管人提供合同复印件，并在复印件上加盖公章，未经双方协商或未在合同约定范围内，合同原件不得转移。</w:t>
      </w:r>
    </w:p>
    <w:p w14:paraId="6CD5D1AC">
      <w:pPr>
        <w:pStyle w:val="2"/>
        <w:spacing w:before="0" w:after="0"/>
        <w:ind w:firstLine="480" w:firstLineChars="200"/>
        <w:rPr>
          <w:color w:val="auto"/>
        </w:rPr>
      </w:pPr>
      <w:bookmarkStart w:id="44" w:name="_Toc466788855"/>
      <w:bookmarkStart w:id="45" w:name="_Toc125892442"/>
      <w:bookmarkStart w:id="46" w:name="_Toc523829996"/>
      <w:bookmarkStart w:id="47" w:name="_Toc508720684"/>
      <w:r>
        <w:rPr>
          <w:rFonts w:hint="eastAsia"/>
          <w:color w:val="auto"/>
        </w:rPr>
        <w:t>六、指令的发送、确认和执行</w:t>
      </w:r>
      <w:bookmarkEnd w:id="44"/>
      <w:bookmarkEnd w:id="45"/>
      <w:bookmarkEnd w:id="46"/>
      <w:bookmarkEnd w:id="47"/>
    </w:p>
    <w:p w14:paraId="3AC50F32">
      <w:pPr>
        <w:tabs>
          <w:tab w:val="left" w:pos="3780"/>
        </w:tabs>
        <w:autoSpaceDE w:val="0"/>
        <w:autoSpaceDN w:val="0"/>
        <w:spacing w:line="360" w:lineRule="auto"/>
        <w:ind w:firstLine="480" w:firstLineChars="200"/>
        <w:textAlignment w:val="bottom"/>
        <w:outlineLvl w:val="0"/>
        <w:rPr>
          <w:rFonts w:ascii="宋体" w:hAnsi="宋体"/>
          <w:bCs/>
          <w:sz w:val="24"/>
        </w:rPr>
      </w:pPr>
      <w:bookmarkStart w:id="48" w:name="_Toc77663006"/>
      <w:r>
        <w:rPr>
          <w:rFonts w:hint="eastAsia" w:ascii="宋体" w:hAnsi="宋体"/>
          <w:bCs/>
          <w:sz w:val="24"/>
        </w:rPr>
        <w:t>基金管理人在运用基金财产时，开展场内证券交易前，基金管理人通过基金托管账户与证券交易资金账户已建立的第三方存管系统在基金托管账户与证券交易资金账户之间划款，即银证互转；或由基金托管人根据基金管理人的划款指令执行银证互转。</w:t>
      </w:r>
    </w:p>
    <w:p w14:paraId="77714004">
      <w:pPr>
        <w:tabs>
          <w:tab w:val="left" w:pos="3780"/>
        </w:tabs>
        <w:autoSpaceDE w:val="0"/>
        <w:autoSpaceDN w:val="0"/>
        <w:spacing w:line="360" w:lineRule="auto"/>
        <w:ind w:firstLine="480" w:firstLineChars="200"/>
        <w:textAlignment w:val="bottom"/>
        <w:outlineLvl w:val="0"/>
        <w:rPr>
          <w:rFonts w:ascii="宋体" w:hAnsi="宋体"/>
          <w:bCs/>
          <w:sz w:val="24"/>
        </w:rPr>
      </w:pPr>
      <w:r>
        <w:rPr>
          <w:rFonts w:hint="eastAsia" w:ascii="宋体" w:hAnsi="宋体"/>
          <w:bCs/>
          <w:sz w:val="24"/>
        </w:rPr>
        <w:t>基金管理人在运用基金财产时向基金托管人发送场外资金划拨及其他款项收付指令，基金托管人执行基金管理人的指令、办理基金名下的资金往来等有关事项。基金管理人发送指令应采用电子指令或传真或其它双方共同确认的方式。</w:t>
      </w:r>
    </w:p>
    <w:p w14:paraId="491753E3">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（一）基金管理人对发送指令人员的书面授权</w:t>
      </w:r>
      <w:bookmarkEnd w:id="48"/>
    </w:p>
    <w:p w14:paraId="46320146">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应向基金托管人提供预留印鉴和授权人签字样本，事先书面通知（以下称“授权通知”）基金托管人有权发送指令的人员名单，注明相应的交易权限，并规定基金管理人向基金托管人发送指令时基金托管人确认有权发送人员身份的方法。</w:t>
      </w:r>
      <w:r>
        <w:rPr>
          <w:rFonts w:hint="eastAsia" w:ascii="宋体" w:hAnsi="宋体"/>
          <w:sz w:val="24"/>
        </w:rPr>
        <w:t>基金管理人应通过邮件形式向基金托管人发出加盖公章</w:t>
      </w:r>
      <w:r>
        <w:rPr>
          <w:rFonts w:ascii="宋体" w:hAnsi="宋体"/>
          <w:sz w:val="24"/>
        </w:rPr>
        <w:t>和法定代表人</w:t>
      </w:r>
      <w:r>
        <w:rPr>
          <w:rFonts w:hint="eastAsia" w:ascii="宋体" w:hAnsi="宋体"/>
          <w:sz w:val="24"/>
        </w:rPr>
        <w:t>（或</w:t>
      </w:r>
      <w:r>
        <w:rPr>
          <w:rFonts w:ascii="宋体" w:hAnsi="宋体"/>
          <w:sz w:val="24"/>
        </w:rPr>
        <w:t>授权代表</w:t>
      </w:r>
      <w:r>
        <w:rPr>
          <w:rFonts w:hint="eastAsia" w:ascii="宋体" w:hAnsi="宋体"/>
          <w:sz w:val="24"/>
        </w:rPr>
        <w:t>）名章的授权通知扫描件。基金管理人应在此后三个工作日内将授权通知的正本送交基金托管人。</w:t>
      </w:r>
      <w:r>
        <w:rPr>
          <w:rFonts w:hint="eastAsia" w:ascii="宋体" w:hAnsi="宋体"/>
          <w:kern w:val="0"/>
          <w:sz w:val="24"/>
        </w:rPr>
        <w:t>扫描件如与正本不一致，基金托管人以扫描件为准并及时通知基金管理人。基金管理人和基金托管人对授权文件负有保密义务，其内容不得向被授权人及相关操作人员以外的任何人泄露。但法律法规规定或有权机关要求的除外。</w:t>
      </w:r>
    </w:p>
    <w:p w14:paraId="7DEC043A">
      <w:pPr>
        <w:tabs>
          <w:tab w:val="left" w:pos="3780"/>
        </w:tabs>
        <w:autoSpaceDE w:val="0"/>
        <w:autoSpaceDN w:val="0"/>
        <w:spacing w:line="360" w:lineRule="auto"/>
        <w:ind w:firstLine="480" w:firstLineChars="200"/>
        <w:textAlignment w:val="bottom"/>
        <w:outlineLvl w:val="0"/>
        <w:rPr>
          <w:rFonts w:ascii="宋体" w:hAnsi="宋体"/>
          <w:b/>
          <w:bCs/>
          <w:sz w:val="24"/>
        </w:rPr>
      </w:pPr>
      <w:bookmarkStart w:id="49" w:name="_Toc77663007"/>
      <w:r>
        <w:rPr>
          <w:rFonts w:hint="eastAsia" w:ascii="宋体" w:hAnsi="宋体"/>
          <w:b/>
          <w:bCs/>
          <w:sz w:val="24"/>
        </w:rPr>
        <w:t>（二）指令的内容</w:t>
      </w:r>
      <w:bookmarkEnd w:id="49"/>
    </w:p>
    <w:p w14:paraId="77DB8305">
      <w:pPr>
        <w:tabs>
          <w:tab w:val="left" w:pos="1260"/>
        </w:tabs>
        <w:spacing w:line="360" w:lineRule="auto"/>
        <w:ind w:firstLine="480" w:firstLineChars="200"/>
        <w:rPr>
          <w:rFonts w:ascii="宋体" w:hAnsi="宋体"/>
          <w:kern w:val="0"/>
          <w:sz w:val="24"/>
        </w:rPr>
      </w:pPr>
      <w:r>
        <w:rPr>
          <w:rFonts w:hint="eastAsia" w:ascii="宋体" w:hAnsi="宋体"/>
          <w:kern w:val="0"/>
          <w:sz w:val="24"/>
        </w:rPr>
        <w:t>指令是基金管理人在运用基金资产时，向基金托管人发出的资金划拨及其他款项收付的指令。</w:t>
      </w:r>
      <w:bookmarkStart w:id="50" w:name="_Toc77663008"/>
      <w:r>
        <w:rPr>
          <w:rFonts w:hint="eastAsia" w:ascii="宋体" w:hAnsi="宋体"/>
          <w:kern w:val="0"/>
          <w:sz w:val="24"/>
        </w:rPr>
        <w:t>指令应写明款项事由、支付时间、到账时间、金额、账户等执行支付所需内容，加盖预留印鉴。</w:t>
      </w:r>
    </w:p>
    <w:p w14:paraId="51378206">
      <w:pPr>
        <w:tabs>
          <w:tab w:val="left" w:pos="1260"/>
        </w:tabs>
        <w:spacing w:line="360" w:lineRule="auto"/>
        <w:ind w:firstLine="480" w:firstLineChars="200"/>
        <w:rPr>
          <w:rFonts w:ascii="宋体" w:hAnsi="宋体"/>
          <w:kern w:val="0"/>
          <w:sz w:val="24"/>
        </w:rPr>
      </w:pPr>
      <w:r>
        <w:rPr>
          <w:rFonts w:hint="eastAsia" w:ascii="宋体" w:hAnsi="宋体"/>
          <w:sz w:val="24"/>
        </w:rPr>
        <w:t>本基金银行账户发生的银行结算费用等银行费用，由基金托管人直接从银行账户中扣划，无须基金管理人出具指令，但应及时通知基金管理人。</w:t>
      </w:r>
    </w:p>
    <w:p w14:paraId="738AF668">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（三）指令的发送、确认和执行</w:t>
      </w:r>
      <w:bookmarkEnd w:id="50"/>
      <w:r>
        <w:rPr>
          <w:rFonts w:hint="eastAsia" w:ascii="宋体" w:hAnsi="宋体"/>
          <w:b/>
          <w:bCs/>
          <w:sz w:val="24"/>
        </w:rPr>
        <w:t>的时间和程序</w:t>
      </w:r>
    </w:p>
    <w:p w14:paraId="57FD757A">
      <w:pPr>
        <w:tabs>
          <w:tab w:val="left" w:pos="1260"/>
        </w:tabs>
        <w:spacing w:line="360" w:lineRule="auto"/>
        <w:ind w:firstLine="480" w:firstLineChars="200"/>
        <w:rPr>
          <w:rFonts w:ascii="宋体" w:hAnsi="宋体" w:cs="Arial"/>
          <w:sz w:val="24"/>
        </w:rPr>
      </w:pPr>
      <w:r>
        <w:rPr>
          <w:rFonts w:hint="eastAsia" w:ascii="宋体" w:hAnsi="宋体"/>
          <w:kern w:val="0"/>
          <w:sz w:val="24"/>
        </w:rPr>
        <w:t>基金管理人应按照《基金法》及其他有关法规、《基金合同》和本协议的规定，在其合法的经营权限和交易权限内发送指令，被授权人应按照其授权权限发送指令。指令由基金管理人通过基金托管</w:t>
      </w:r>
      <w:r>
        <w:rPr>
          <w:rFonts w:ascii="宋体" w:hAnsi="宋体"/>
          <w:kern w:val="0"/>
          <w:sz w:val="24"/>
        </w:rPr>
        <w:t>人</w:t>
      </w:r>
      <w:r>
        <w:rPr>
          <w:rFonts w:hint="eastAsia" w:ascii="宋体" w:hAnsi="宋体"/>
          <w:kern w:val="0"/>
          <w:sz w:val="24"/>
        </w:rPr>
        <w:t>电子平台提交，若特殊情况下需“授权通知”确定的被授权人代表基金管理人用邮件的方式向基金托管人发送。发送后基金管理人</w:t>
      </w:r>
      <w:r>
        <w:rPr>
          <w:rFonts w:hint="eastAsia" w:ascii="宋体" w:hAnsi="宋体"/>
          <w:sz w:val="24"/>
        </w:rPr>
        <w:t>需</w:t>
      </w:r>
      <w:r>
        <w:rPr>
          <w:rFonts w:hint="eastAsia" w:ascii="宋体" w:hAnsi="宋体"/>
          <w:kern w:val="0"/>
          <w:sz w:val="24"/>
        </w:rPr>
        <w:t>及时通过电话与基金托管人确认指令内容。除需考虑资金在途时间外，基金管理人还需为基金托管人留有</w:t>
      </w:r>
      <w:r>
        <w:rPr>
          <w:rFonts w:ascii="宋体" w:hAnsi="宋体"/>
          <w:kern w:val="0"/>
          <w:sz w:val="24"/>
        </w:rPr>
        <w:t>2</w:t>
      </w:r>
      <w:r>
        <w:rPr>
          <w:rFonts w:hint="eastAsia" w:ascii="宋体" w:hAnsi="宋体"/>
          <w:kern w:val="0"/>
          <w:sz w:val="24"/>
        </w:rPr>
        <w:t>个工作小时的复核和审批时间。在每个交易日的</w:t>
      </w:r>
      <w:r>
        <w:rPr>
          <w:rFonts w:ascii="宋体" w:hAnsi="宋体"/>
          <w:kern w:val="0"/>
          <w:sz w:val="24"/>
        </w:rPr>
        <w:t>13</w:t>
      </w:r>
      <w:r>
        <w:rPr>
          <w:rFonts w:hint="eastAsia" w:ascii="宋体" w:hAnsi="宋体"/>
          <w:kern w:val="0"/>
          <w:sz w:val="24"/>
        </w:rPr>
        <w:t>：</w:t>
      </w:r>
      <w:r>
        <w:rPr>
          <w:rFonts w:ascii="宋体" w:hAnsi="宋体"/>
          <w:kern w:val="0"/>
          <w:sz w:val="24"/>
        </w:rPr>
        <w:t>30</w:t>
      </w:r>
      <w:r>
        <w:rPr>
          <w:rFonts w:hint="eastAsia" w:ascii="宋体" w:hAnsi="宋体"/>
          <w:kern w:val="0"/>
          <w:sz w:val="24"/>
        </w:rPr>
        <w:t>以后接收基金管理人发出的场内交易转账划款指令的，基金托管人应尽力配合，但不保证当日完成划转流程；在每个交易日的</w:t>
      </w:r>
      <w:r>
        <w:rPr>
          <w:rFonts w:ascii="宋体" w:hAnsi="宋体"/>
          <w:kern w:val="0"/>
          <w:sz w:val="24"/>
        </w:rPr>
        <w:t>15</w:t>
      </w:r>
      <w:r>
        <w:rPr>
          <w:rFonts w:hint="eastAsia" w:ascii="宋体" w:hAnsi="宋体"/>
          <w:kern w:val="0"/>
          <w:sz w:val="24"/>
        </w:rPr>
        <w:t>：</w:t>
      </w:r>
      <w:r>
        <w:rPr>
          <w:rFonts w:ascii="宋体" w:hAnsi="宋体"/>
          <w:kern w:val="0"/>
          <w:sz w:val="24"/>
        </w:rPr>
        <w:t>00</w:t>
      </w:r>
      <w:r>
        <w:rPr>
          <w:rFonts w:hint="eastAsia" w:ascii="宋体" w:hAnsi="宋体"/>
          <w:kern w:val="0"/>
          <w:sz w:val="24"/>
        </w:rPr>
        <w:t>以后接收基金管理人发出的其他划款指令的，基金托管人应尽力配合，但不保证当日完成划付流程。基金管理人指令传输不及时，未能留出足够的执行时间，致使指令未能及时执行的，基金托管人不承担由此导致的损失，但应及时通知基金管理人。基金管理人向基金托管人下达指令时，应确保基金银行账户有足够的资金余额，对基金管理人在没有充足资金的情况下向基金托管人发出的指令，基金托管人可不予执行，并立即通知基金管理人，基金托管人不承担因为不执行该指令而造成损失的责任。基金管理人应将银行间市场成交单加盖印章后扫描给基金托管人。对于被授权人发出的指令，基金管理人不得否认其效力。基金托管人依照“授权通知”规定的方法确认指令的有效后，方可执行指令。</w:t>
      </w:r>
      <w:r>
        <w:rPr>
          <w:rFonts w:hint="eastAsia" w:cs="Arial"/>
          <w:sz w:val="24"/>
        </w:rPr>
        <w:t>指令</w:t>
      </w:r>
      <w:r>
        <w:rPr>
          <w:rFonts w:hint="eastAsia" w:ascii="宋体" w:hAnsi="宋体" w:cs="Arial"/>
          <w:sz w:val="24"/>
        </w:rPr>
        <w:t>执行完毕后，基金托管人应及时通知基金管理人。</w:t>
      </w:r>
    </w:p>
    <w:p w14:paraId="50DE35DE">
      <w:pPr>
        <w:tabs>
          <w:tab w:val="left" w:pos="1260"/>
        </w:tabs>
        <w:spacing w:line="360" w:lineRule="auto"/>
        <w:ind w:firstLine="480" w:firstLineChars="200"/>
        <w:rPr>
          <w:rFonts w:ascii="宋体" w:hAnsi="宋体"/>
          <w:kern w:val="0"/>
          <w:sz w:val="24"/>
        </w:rPr>
      </w:pPr>
      <w:r>
        <w:rPr>
          <w:rFonts w:hint="eastAsia" w:ascii="宋体" w:hAnsi="宋体" w:cs="Arial"/>
          <w:sz w:val="24"/>
        </w:rPr>
        <w:t>基金托管人仅根据基金管理人的授权文件对指令进行表面相符性的形式审查，对其真实性不承担责任。基金托管人对执行基金管理人的指令对基金财产造成的损失不承担赔偿责任。</w:t>
      </w:r>
    </w:p>
    <w:p w14:paraId="1363A32A">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（四）基金管理人发送错误指令的情形和处理程序</w:t>
      </w:r>
    </w:p>
    <w:p w14:paraId="28D09814">
      <w:pPr>
        <w:tabs>
          <w:tab w:val="left" w:pos="1260"/>
        </w:tabs>
        <w:spacing w:line="360" w:lineRule="auto"/>
        <w:ind w:firstLine="480" w:firstLineChars="200"/>
        <w:rPr>
          <w:rFonts w:ascii="宋体" w:hAnsi="宋体"/>
          <w:kern w:val="0"/>
          <w:sz w:val="24"/>
        </w:rPr>
      </w:pPr>
      <w:r>
        <w:rPr>
          <w:rFonts w:hint="eastAsia" w:ascii="宋体" w:hAnsi="宋体"/>
          <w:kern w:val="0"/>
          <w:sz w:val="24"/>
        </w:rPr>
        <w:t xml:space="preserve">基金管理人发送错误指令的情形包括指令发送人员无权或超越权限发送指令及交割信息错误，指令中重要信息模糊不清或不全等。基金托管人在履行监督职能时，发现基金管理人的指令错误时，有权拒绝执行，并及时通知基金管理人改正。 </w:t>
      </w:r>
    </w:p>
    <w:p w14:paraId="7DDE2758">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（五）基金托管人依照法律法规暂缓、拒绝执行指令的情形和处理程序</w:t>
      </w:r>
    </w:p>
    <w:p w14:paraId="5995E569">
      <w:pPr>
        <w:tabs>
          <w:tab w:val="left" w:pos="1260"/>
        </w:tabs>
        <w:spacing w:line="360" w:lineRule="auto"/>
        <w:ind w:firstLine="480" w:firstLineChars="200"/>
        <w:rPr>
          <w:rFonts w:ascii="宋体" w:hAnsi="宋体"/>
          <w:kern w:val="0"/>
          <w:sz w:val="24"/>
        </w:rPr>
      </w:pPr>
      <w:r>
        <w:rPr>
          <w:rFonts w:hint="eastAsia" w:ascii="宋体" w:hAnsi="宋体"/>
          <w:kern w:val="0"/>
          <w:sz w:val="24"/>
        </w:rPr>
        <w:t>基金托管人发现基金管理人发送的指令违反《基金法》、《基金合同》、本协议或有关基金法律法规的有关规定，应当视情况暂缓或不予执行，并应及时以书面形式通知基金管理人纠正，基金管理人收到通知后应及时核对，并以书面形式对基金托管人发出回函确认，由此造成的损失由基金管理人承担。</w:t>
      </w:r>
    </w:p>
    <w:p w14:paraId="27582FAC">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（六）基金托管人未按照基金管理人指令执行的处理方法</w:t>
      </w:r>
    </w:p>
    <w:p w14:paraId="43403A39">
      <w:pPr>
        <w:tabs>
          <w:tab w:val="left" w:pos="1260"/>
        </w:tabs>
        <w:spacing w:line="360" w:lineRule="auto"/>
        <w:ind w:firstLine="480" w:firstLineChars="200"/>
        <w:rPr>
          <w:rFonts w:ascii="宋体" w:hAnsi="宋体"/>
          <w:kern w:val="0"/>
          <w:sz w:val="24"/>
        </w:rPr>
      </w:pPr>
      <w:r>
        <w:rPr>
          <w:rFonts w:hint="eastAsia" w:ascii="宋体" w:hAnsi="宋体"/>
          <w:kern w:val="0"/>
          <w:sz w:val="24"/>
        </w:rPr>
        <w:t>对于基金管理人的有效指令和通知，除非违反法律法规、基金合同、托管协议，基金托管人不得无故拒绝或拖延执行。基金托管人由于自身原因造成未按照基金管理人发送的正常指令执行，给基金份额持有人造成损失的，对由此造成的直接经济损失负赔偿责任。</w:t>
      </w:r>
      <w:bookmarkStart w:id="51" w:name="_Toc77663009"/>
    </w:p>
    <w:p w14:paraId="67D9E4DF">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（七）被授权人</w:t>
      </w:r>
      <w:bookmarkEnd w:id="51"/>
      <w:r>
        <w:rPr>
          <w:rFonts w:hint="eastAsia" w:ascii="宋体" w:hAnsi="宋体"/>
          <w:b/>
          <w:bCs/>
          <w:sz w:val="24"/>
        </w:rPr>
        <w:t>员的更换</w:t>
      </w:r>
    </w:p>
    <w:p w14:paraId="61BE9B65">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基金管理人撤换被授权人员或改变被授权人员的权限，必须提前至少三个工作日，使用邮件</w:t>
      </w:r>
      <w:r>
        <w:rPr>
          <w:rFonts w:ascii="宋体" w:hAnsi="宋体"/>
          <w:kern w:val="0"/>
          <w:sz w:val="24"/>
        </w:rPr>
        <w:t>形式</w:t>
      </w:r>
      <w:r>
        <w:rPr>
          <w:rFonts w:hint="eastAsia" w:ascii="宋体" w:hAnsi="宋体"/>
          <w:kern w:val="0"/>
          <w:sz w:val="24"/>
        </w:rPr>
        <w:t>向基金托管人发出加盖公章和</w:t>
      </w:r>
      <w:r>
        <w:rPr>
          <w:rFonts w:ascii="宋体" w:hAnsi="宋体"/>
          <w:kern w:val="0"/>
          <w:sz w:val="24"/>
        </w:rPr>
        <w:t>法定代表人（</w:t>
      </w:r>
      <w:r>
        <w:rPr>
          <w:rFonts w:hint="eastAsia" w:ascii="宋体" w:hAnsi="宋体"/>
          <w:kern w:val="0"/>
          <w:sz w:val="24"/>
        </w:rPr>
        <w:t>或</w:t>
      </w:r>
      <w:r>
        <w:rPr>
          <w:rFonts w:ascii="宋体" w:hAnsi="宋体"/>
          <w:kern w:val="0"/>
          <w:sz w:val="24"/>
        </w:rPr>
        <w:t>授权</w:t>
      </w:r>
      <w:r>
        <w:rPr>
          <w:rFonts w:hint="eastAsia" w:ascii="宋体" w:hAnsi="宋体"/>
          <w:kern w:val="0"/>
          <w:sz w:val="24"/>
        </w:rPr>
        <w:t>代表</w:t>
      </w:r>
      <w:r>
        <w:rPr>
          <w:rFonts w:ascii="宋体" w:hAnsi="宋体"/>
          <w:kern w:val="0"/>
          <w:sz w:val="24"/>
        </w:rPr>
        <w:t>）</w:t>
      </w:r>
      <w:r>
        <w:rPr>
          <w:rFonts w:hint="eastAsia" w:ascii="宋体" w:hAnsi="宋体"/>
          <w:kern w:val="0"/>
          <w:sz w:val="24"/>
        </w:rPr>
        <w:t>名章的被授权人变更通知（包括姓名、权限、预留印鉴和签字样本等），注明启用日期，同时电话通知基金托管人。被授权人变更通知自基金托管人收到邮件并电话确认后，方视为通知送达。被授权人变更通知在送达后</w:t>
      </w:r>
      <w:r>
        <w:rPr>
          <w:rFonts w:hint="eastAsia" w:ascii="??" w:hAnsi="??"/>
          <w:sz w:val="18"/>
          <w:szCs w:val="18"/>
        </w:rPr>
        <w:t>，</w:t>
      </w:r>
      <w:r>
        <w:rPr>
          <w:rFonts w:hint="eastAsia" w:ascii="宋体" w:hAnsi="宋体"/>
          <w:kern w:val="0"/>
          <w:sz w:val="24"/>
        </w:rPr>
        <w:t>自其上面注明的启用日期起开始生效。如通知送达的日期晚于通知中注明的启用日期的，则被授权人变更通知自通知送达时生效。被授权人变更通知生效前，基金托管人仍应按原约定执行指令，基金管理人不得否认其效力。基金管理人在此后七个工作日内将被授权人变更通知的正本送交基金托管人。托管人收到的扫描件与正本不一致时，以扫描件为准。</w:t>
      </w:r>
    </w:p>
    <w:p w14:paraId="2DDFC4D1">
      <w:pPr>
        <w:tabs>
          <w:tab w:val="left" w:pos="1260"/>
        </w:tabs>
        <w:spacing w:line="360" w:lineRule="auto"/>
        <w:ind w:firstLine="480" w:firstLineChars="200"/>
        <w:rPr>
          <w:rFonts w:ascii="宋体"/>
          <w:kern w:val="0"/>
          <w:sz w:val="24"/>
        </w:rPr>
      </w:pPr>
      <w:r>
        <w:rPr>
          <w:rFonts w:hint="eastAsia" w:ascii="宋体"/>
          <w:kern w:val="0"/>
          <w:sz w:val="24"/>
        </w:rPr>
        <w:t>基金托管人更改接受基金管理人指令的人员及联系方式，应至少提前1个工作日以邮件或其他双方认可的方式发送基金管理人。基金托管人更改接受基金管理人指令的人员及联系方式自基金管理人电话确认后生效。</w:t>
      </w:r>
    </w:p>
    <w:p w14:paraId="75608AA5">
      <w:pPr>
        <w:pStyle w:val="2"/>
        <w:spacing w:before="0" w:after="0"/>
        <w:ind w:firstLine="480" w:firstLineChars="200"/>
        <w:rPr>
          <w:color w:val="auto"/>
        </w:rPr>
      </w:pPr>
      <w:bookmarkStart w:id="52" w:name="_Toc508720685"/>
      <w:bookmarkStart w:id="53" w:name="_Toc523829997"/>
      <w:bookmarkStart w:id="54" w:name="_Toc125892443"/>
      <w:bookmarkStart w:id="55" w:name="_Toc22454451"/>
      <w:bookmarkStart w:id="56" w:name="_Toc466788856"/>
      <w:r>
        <w:rPr>
          <w:rFonts w:hint="eastAsia"/>
          <w:color w:val="auto"/>
        </w:rPr>
        <w:t>七、交易及清算交收安排</w:t>
      </w:r>
      <w:bookmarkEnd w:id="52"/>
      <w:bookmarkEnd w:id="53"/>
      <w:bookmarkEnd w:id="54"/>
      <w:bookmarkEnd w:id="55"/>
      <w:bookmarkEnd w:id="56"/>
    </w:p>
    <w:p w14:paraId="4A9C5FA5">
      <w:pPr>
        <w:tabs>
          <w:tab w:val="left" w:pos="3780"/>
        </w:tabs>
        <w:autoSpaceDE w:val="0"/>
        <w:autoSpaceDN w:val="0"/>
        <w:spacing w:line="360" w:lineRule="auto"/>
        <w:ind w:firstLine="480" w:firstLineChars="200"/>
        <w:textAlignment w:val="bottom"/>
        <w:outlineLvl w:val="0"/>
        <w:rPr>
          <w:rFonts w:ascii="宋体" w:hAnsi="宋体"/>
          <w:b/>
          <w:bCs/>
          <w:sz w:val="24"/>
        </w:rPr>
      </w:pPr>
      <w:bookmarkStart w:id="57" w:name="_Toc77663011"/>
      <w:bookmarkStart w:id="58" w:name="_Toc22454452"/>
      <w:r>
        <w:rPr>
          <w:rFonts w:hint="eastAsia" w:ascii="宋体" w:hAnsi="宋体"/>
          <w:b/>
          <w:bCs/>
          <w:sz w:val="24"/>
        </w:rPr>
        <w:t>（一）代理证券、期货买卖的证券经营机构</w:t>
      </w:r>
      <w:bookmarkEnd w:id="57"/>
      <w:bookmarkEnd w:id="58"/>
      <w:r>
        <w:rPr>
          <w:rFonts w:hint="eastAsia" w:ascii="宋体" w:hAnsi="宋体"/>
          <w:b/>
          <w:bCs/>
          <w:sz w:val="24"/>
        </w:rPr>
        <w:t>和期货经纪机构</w:t>
      </w:r>
    </w:p>
    <w:p w14:paraId="2A26F355">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基金管理人负责选择代理本基金证券买卖证券经营机构。由基金管理人与基金托管人及证券经营机构签订本基金的证券投资三方操作协议，就基金参与场内证券交易、结算等具体事项另行签订协议。</w:t>
      </w:r>
    </w:p>
    <w:p w14:paraId="05108751">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基金管理人负责选择代理本基金股指期货、国债期货交易的期货经纪机构，并与其签订期货经纪合同。</w:t>
      </w:r>
      <w:r>
        <w:rPr>
          <w:rFonts w:hint="eastAsia" w:ascii="宋体" w:hAnsi="宋体"/>
          <w:bCs/>
          <w:sz w:val="24"/>
        </w:rPr>
        <w:t>基金管理人、基金托管人和期货经纪机构可就本基金参与期货交易的具体事项另行签订协议。</w:t>
      </w:r>
      <w:r>
        <w:rPr>
          <w:rFonts w:hint="eastAsia" w:ascii="宋体" w:hAnsi="宋体"/>
          <w:kern w:val="0"/>
          <w:sz w:val="24"/>
        </w:rPr>
        <w:t>其他事宜根据法律法规、《基金合同》的相关规定执行，若无明确规定的，可参照有关证券买卖、证券经营机构选择的规则执行。</w:t>
      </w:r>
    </w:p>
    <w:p w14:paraId="4713583C">
      <w:pPr>
        <w:tabs>
          <w:tab w:val="left" w:pos="3780"/>
        </w:tabs>
        <w:autoSpaceDE w:val="0"/>
        <w:autoSpaceDN w:val="0"/>
        <w:spacing w:line="360" w:lineRule="auto"/>
        <w:ind w:firstLine="480" w:firstLineChars="200"/>
        <w:textAlignment w:val="bottom"/>
        <w:outlineLvl w:val="0"/>
        <w:rPr>
          <w:rFonts w:ascii="宋体" w:hAnsi="宋体"/>
          <w:b/>
          <w:bCs/>
          <w:sz w:val="24"/>
        </w:rPr>
      </w:pPr>
      <w:bookmarkStart w:id="59" w:name="_Toc77663012"/>
      <w:r>
        <w:rPr>
          <w:rFonts w:hint="eastAsia" w:ascii="宋体" w:hAnsi="宋体"/>
          <w:b/>
          <w:bCs/>
          <w:sz w:val="24"/>
        </w:rPr>
        <w:t>（二）基金投资证券后的清算</w:t>
      </w:r>
      <w:bookmarkEnd w:id="59"/>
      <w:r>
        <w:rPr>
          <w:rFonts w:hint="eastAsia" w:ascii="宋体" w:hAnsi="宋体"/>
          <w:b/>
          <w:bCs/>
          <w:sz w:val="24"/>
        </w:rPr>
        <w:t>交收安排</w:t>
      </w:r>
    </w:p>
    <w:p w14:paraId="334F84B2">
      <w:pPr>
        <w:tabs>
          <w:tab w:val="left" w:pos="1260"/>
        </w:tabs>
        <w:spacing w:line="360" w:lineRule="auto"/>
        <w:ind w:firstLine="480" w:firstLineChars="200"/>
        <w:rPr>
          <w:rFonts w:ascii="宋体" w:hAnsi="宋体"/>
          <w:kern w:val="0"/>
          <w:sz w:val="24"/>
        </w:rPr>
      </w:pPr>
      <w:r>
        <w:rPr>
          <w:rFonts w:hint="eastAsia" w:ascii="宋体" w:hAnsi="宋体"/>
          <w:kern w:val="0"/>
          <w:sz w:val="24"/>
        </w:rPr>
        <w:t xml:space="preserve">本基金通过证券经营机构进行的交易由证券经营机构作为结算参与人代理本基金进行结算；本基金其他证券交易由基金托管人或相关机构负责结算。基金管理人、基金托管人以及被选择的证券经营机构应根据有关法律法规及相关业务规则，签订相关协议，用以具体明确三方在证券交易资金结算业务中的责任。 </w:t>
      </w:r>
    </w:p>
    <w:p w14:paraId="59B2C9C4">
      <w:pPr>
        <w:tabs>
          <w:tab w:val="left" w:pos="1260"/>
        </w:tabs>
        <w:spacing w:line="360" w:lineRule="auto"/>
        <w:ind w:firstLine="480" w:firstLineChars="200"/>
        <w:rPr>
          <w:rFonts w:ascii="宋体" w:hAnsi="宋体"/>
          <w:kern w:val="0"/>
          <w:sz w:val="24"/>
        </w:rPr>
      </w:pPr>
      <w:r>
        <w:rPr>
          <w:rFonts w:hint="eastAsia" w:ascii="宋体" w:hAnsi="宋体"/>
          <w:kern w:val="0"/>
          <w:sz w:val="24"/>
        </w:rPr>
        <w:t xml:space="preserve">对基金管理人的资金划拨指令，基金托管人在复核无误后应在规定期限内执行并在执行完毕后回函确认，不得延误。 </w:t>
      </w:r>
    </w:p>
    <w:p w14:paraId="4F828671">
      <w:pPr>
        <w:tabs>
          <w:tab w:val="left" w:pos="1260"/>
        </w:tabs>
        <w:spacing w:line="360" w:lineRule="auto"/>
        <w:ind w:firstLine="480" w:firstLineChars="200"/>
        <w:rPr>
          <w:rFonts w:ascii="宋体" w:hAnsi="宋体"/>
          <w:kern w:val="0"/>
          <w:sz w:val="24"/>
        </w:rPr>
      </w:pPr>
      <w:r>
        <w:rPr>
          <w:rFonts w:hint="eastAsia" w:ascii="宋体" w:hAnsi="宋体"/>
          <w:kern w:val="0"/>
          <w:sz w:val="24"/>
        </w:rPr>
        <w:t xml:space="preserve">本基金投资于证券发生的所有场外交易的资金汇划，全部由基金托管人负责办理。 </w:t>
      </w:r>
    </w:p>
    <w:p w14:paraId="5B193EED">
      <w:pPr>
        <w:tabs>
          <w:tab w:val="left" w:pos="1260"/>
        </w:tabs>
        <w:spacing w:line="360" w:lineRule="auto"/>
        <w:ind w:firstLine="480" w:firstLineChars="200"/>
        <w:rPr>
          <w:rFonts w:ascii="宋体" w:hAnsi="宋体"/>
          <w:kern w:val="0"/>
          <w:sz w:val="24"/>
        </w:rPr>
      </w:pPr>
      <w:r>
        <w:rPr>
          <w:rFonts w:hint="eastAsia" w:ascii="宋体" w:hAnsi="宋体"/>
          <w:kern w:val="0"/>
          <w:sz w:val="24"/>
        </w:rPr>
        <w:t>证券经营机构代理本基金财产与中国证券登记结算有限责任公司完成证券交易及非交易涉及的证券资金结算业务，并承担由证券经营机构原因造成的正常结算、交收业务无法完成的责任；若由于基金管理人原因造成的正常结算业务无法完成，责任由基金管理人承担。</w:t>
      </w:r>
    </w:p>
    <w:p w14:paraId="7AF5C774">
      <w:pPr>
        <w:tabs>
          <w:tab w:val="left" w:pos="3780"/>
        </w:tabs>
        <w:autoSpaceDE w:val="0"/>
        <w:autoSpaceDN w:val="0"/>
        <w:spacing w:line="360" w:lineRule="auto"/>
        <w:ind w:firstLine="480" w:firstLineChars="200"/>
        <w:textAlignment w:val="bottom"/>
        <w:outlineLvl w:val="0"/>
        <w:rPr>
          <w:rFonts w:ascii="宋体" w:hAnsi="宋体"/>
          <w:b/>
          <w:bCs/>
          <w:sz w:val="24"/>
        </w:rPr>
      </w:pPr>
      <w:bookmarkStart w:id="60" w:name="_Toc77663013"/>
      <w:r>
        <w:rPr>
          <w:rFonts w:hint="eastAsia" w:ascii="宋体" w:hAnsi="宋体"/>
          <w:b/>
          <w:bCs/>
          <w:sz w:val="24"/>
        </w:rPr>
        <w:t>（三）基金管理人与基金托管人进行资金、证券账目和交易记录的核对</w:t>
      </w:r>
      <w:bookmarkEnd w:id="60"/>
    </w:p>
    <w:p w14:paraId="0C6BC5B2">
      <w:pPr>
        <w:tabs>
          <w:tab w:val="left" w:pos="1260"/>
        </w:tabs>
        <w:spacing w:line="360" w:lineRule="auto"/>
        <w:ind w:firstLine="480" w:firstLineChars="200"/>
        <w:rPr>
          <w:rFonts w:ascii="宋体" w:hAnsi="宋体"/>
          <w:kern w:val="0"/>
          <w:sz w:val="24"/>
        </w:rPr>
      </w:pPr>
      <w:r>
        <w:rPr>
          <w:rFonts w:hint="eastAsia" w:ascii="宋体" w:hAnsi="宋体"/>
          <w:kern w:val="0"/>
          <w:sz w:val="24"/>
        </w:rPr>
        <w:t>对基金的交易记录，由基金管理人和基金托管人按日进行核对。每个工作日对外披露基金份额净值之前，必须保证当天所有实际交易记录与基金会计账簿上的交易记录完全一致。如果交易记录与会计账簿记录不一致，造成基金会计核算不完整或不真实，由此导致的损失由基金的会计责任方承担。基金管理人每一交易日以双方认可的方式在当日全部交易结束后，将编制的基金资金、证券账目传送给基金托管人，基金托管人按日进行账目核对。</w:t>
      </w:r>
    </w:p>
    <w:p w14:paraId="47537492">
      <w:pPr>
        <w:tabs>
          <w:tab w:val="left" w:pos="1260"/>
        </w:tabs>
        <w:spacing w:line="360" w:lineRule="auto"/>
        <w:ind w:firstLine="480" w:firstLineChars="200"/>
        <w:rPr>
          <w:rFonts w:ascii="宋体" w:hAnsi="宋体"/>
          <w:kern w:val="0"/>
          <w:sz w:val="24"/>
        </w:rPr>
      </w:pPr>
      <w:r>
        <w:rPr>
          <w:rFonts w:hint="eastAsia" w:ascii="宋体" w:hAnsi="宋体"/>
          <w:kern w:val="0"/>
          <w:sz w:val="24"/>
        </w:rPr>
        <w:t>对实物券账目，相关各方定期进行账实核对。</w:t>
      </w:r>
    </w:p>
    <w:p w14:paraId="59784A94">
      <w:pPr>
        <w:tabs>
          <w:tab w:val="left" w:pos="1260"/>
        </w:tabs>
        <w:spacing w:line="360" w:lineRule="auto"/>
        <w:ind w:firstLine="480" w:firstLineChars="200"/>
        <w:rPr>
          <w:rFonts w:ascii="宋体" w:hAnsi="宋体"/>
          <w:b/>
          <w:bCs/>
          <w:kern w:val="0"/>
          <w:sz w:val="24"/>
        </w:rPr>
      </w:pPr>
      <w:r>
        <w:rPr>
          <w:rFonts w:hint="eastAsia" w:ascii="宋体" w:hAnsi="宋体"/>
          <w:kern w:val="0"/>
          <w:sz w:val="24"/>
        </w:rPr>
        <w:t>基金托管人应定期核对证券账户中的证券数量和种类。</w:t>
      </w:r>
    </w:p>
    <w:p w14:paraId="3CC2DA01">
      <w:pPr>
        <w:tabs>
          <w:tab w:val="left" w:pos="1260"/>
        </w:tabs>
        <w:spacing w:line="360" w:lineRule="auto"/>
        <w:ind w:firstLine="480" w:firstLineChars="200"/>
        <w:rPr>
          <w:rFonts w:ascii="宋体" w:hAnsi="宋体"/>
          <w:kern w:val="0"/>
          <w:sz w:val="24"/>
        </w:rPr>
      </w:pPr>
      <w:r>
        <w:rPr>
          <w:rFonts w:hint="eastAsia" w:ascii="宋体" w:hAnsi="宋体"/>
          <w:kern w:val="0"/>
          <w:sz w:val="24"/>
        </w:rPr>
        <w:t>双方可协商采用电子对账方式进行账目核对。</w:t>
      </w:r>
    </w:p>
    <w:p w14:paraId="2F55595D">
      <w:pPr>
        <w:tabs>
          <w:tab w:val="left" w:pos="3780"/>
        </w:tabs>
        <w:autoSpaceDE w:val="0"/>
        <w:autoSpaceDN w:val="0"/>
        <w:spacing w:line="360" w:lineRule="auto"/>
        <w:ind w:firstLine="480" w:firstLineChars="200"/>
        <w:textAlignment w:val="bottom"/>
        <w:outlineLvl w:val="0"/>
        <w:rPr>
          <w:rFonts w:ascii="宋体" w:hAnsi="宋体"/>
          <w:b/>
          <w:bCs/>
          <w:sz w:val="24"/>
        </w:rPr>
      </w:pPr>
      <w:bookmarkStart w:id="61" w:name="_Toc523829999"/>
      <w:bookmarkStart w:id="62" w:name="_Toc466788858"/>
      <w:r>
        <w:rPr>
          <w:rFonts w:hint="eastAsia" w:ascii="宋体" w:hAnsi="宋体"/>
          <w:b/>
          <w:bCs/>
          <w:sz w:val="24"/>
        </w:rPr>
        <w:t>（四）申购、赎回业务处理的基本规定</w:t>
      </w:r>
    </w:p>
    <w:p w14:paraId="1F66426B">
      <w:pPr>
        <w:tabs>
          <w:tab w:val="left" w:pos="1260"/>
        </w:tabs>
        <w:spacing w:line="360" w:lineRule="auto"/>
        <w:ind w:firstLine="480" w:firstLineChars="200"/>
        <w:rPr>
          <w:rFonts w:ascii="宋体" w:hAnsi="宋体"/>
          <w:kern w:val="0"/>
          <w:sz w:val="24"/>
        </w:rPr>
      </w:pPr>
      <w:r>
        <w:rPr>
          <w:rFonts w:ascii="宋体" w:hAnsi="宋体"/>
          <w:kern w:val="0"/>
          <w:sz w:val="24"/>
        </w:rPr>
        <w:t>1</w:t>
      </w:r>
      <w:r>
        <w:rPr>
          <w:rFonts w:hint="eastAsia" w:ascii="宋体" w:hAnsi="宋体"/>
          <w:kern w:val="0"/>
          <w:sz w:val="24"/>
        </w:rPr>
        <w:t>、基金管理人和基金托管人应当按照《基金合同》、《招募说明书》的约定，在基金申购、赎回的时间、场所、方式、程序、价格、费用、收款或付款等各方面相互配合，积极履行各自的义务，保证基金的申购、赎回工作能够顺利进行。</w:t>
      </w:r>
    </w:p>
    <w:p w14:paraId="4F19C24B">
      <w:pPr>
        <w:tabs>
          <w:tab w:val="left" w:pos="3780"/>
        </w:tabs>
        <w:autoSpaceDE w:val="0"/>
        <w:autoSpaceDN w:val="0"/>
        <w:spacing w:line="360" w:lineRule="auto"/>
        <w:ind w:firstLine="360" w:firstLineChars="150"/>
        <w:textAlignment w:val="bottom"/>
        <w:outlineLvl w:val="0"/>
        <w:rPr>
          <w:rFonts w:ascii="宋体" w:hAnsi="宋体"/>
          <w:b/>
          <w:bCs/>
          <w:sz w:val="24"/>
        </w:rPr>
      </w:pPr>
      <w:r>
        <w:rPr>
          <w:rFonts w:ascii="宋体" w:hAnsi="宋体"/>
          <w:kern w:val="0"/>
          <w:sz w:val="24"/>
        </w:rPr>
        <w:t>2</w:t>
      </w:r>
      <w:r>
        <w:rPr>
          <w:rFonts w:hint="eastAsia" w:ascii="宋体" w:hAnsi="宋体"/>
          <w:kern w:val="0"/>
          <w:sz w:val="24"/>
        </w:rPr>
        <w:t>、申购赎回发生的现金替代款、现金差额、现金替代的退款和补款由基金管理人按相关业务规则及合同办理。对于基金申购、赎回过程中产生的应收款，应由基金管理人负责与有关当事人确定到账日期并通知基金托管人，到账日应收款没有到达银行托管账户的，基金托管人应及时通知基金管理人采取措施进行催收，由此给基金造成损失的，基金管理人负责向责任方追偿基金的损失。拨付净应付款时，如基金银行托管账户有足够的资金，基金托管人应按时拨付；因基金银行托管账户没有足够的资金，导致基金托管人不能按时拨付，基金托管人不承担责任；如系基金管理人的原因造成，责任由基金管理人承担，基金托管人不承担垫款义务。</w:t>
      </w:r>
    </w:p>
    <w:p w14:paraId="0D6BFDA9">
      <w:pPr>
        <w:tabs>
          <w:tab w:val="left" w:pos="3780"/>
        </w:tabs>
        <w:autoSpaceDE w:val="0"/>
        <w:autoSpaceDN w:val="0"/>
        <w:spacing w:line="360" w:lineRule="auto"/>
        <w:ind w:firstLine="360" w:firstLineChars="150"/>
        <w:textAlignment w:val="bottom"/>
        <w:outlineLvl w:val="0"/>
        <w:rPr>
          <w:rFonts w:ascii="宋体" w:hAnsi="宋体"/>
          <w:b/>
          <w:bCs/>
          <w:sz w:val="24"/>
        </w:rPr>
      </w:pPr>
      <w:r>
        <w:rPr>
          <w:rFonts w:hint="eastAsia" w:ascii="宋体" w:hAnsi="宋体"/>
          <w:b/>
          <w:bCs/>
          <w:sz w:val="24"/>
        </w:rPr>
        <w:t>（五）基金收益分配的清算交收安排</w:t>
      </w:r>
    </w:p>
    <w:p w14:paraId="41DB803E">
      <w:pPr>
        <w:tabs>
          <w:tab w:val="left" w:pos="1260"/>
        </w:tabs>
        <w:spacing w:line="360" w:lineRule="auto"/>
        <w:ind w:firstLine="480" w:firstLineChars="200"/>
        <w:rPr>
          <w:rFonts w:ascii="宋体" w:hAnsi="宋体"/>
          <w:kern w:val="0"/>
          <w:sz w:val="24"/>
        </w:rPr>
      </w:pPr>
      <w:r>
        <w:rPr>
          <w:rFonts w:hint="eastAsia" w:ascii="宋体" w:hAnsi="宋体"/>
          <w:kern w:val="0"/>
          <w:sz w:val="24"/>
        </w:rPr>
        <w:t>1</w:t>
      </w:r>
      <w:r>
        <w:rPr>
          <w:rFonts w:hint="eastAsia" w:ascii="宋体" w:hAnsi="宋体"/>
          <w:bCs/>
          <w:sz w:val="24"/>
        </w:rPr>
        <w:t>、</w:t>
      </w:r>
      <w:r>
        <w:rPr>
          <w:rFonts w:hint="eastAsia" w:ascii="宋体" w:hAnsi="宋体"/>
          <w:kern w:val="0"/>
          <w:sz w:val="24"/>
        </w:rPr>
        <w:t>基金管理人决定收益分配方案并通知基金托管人，经基金托管人复核后依照《信息披露办法》的有关规定在中国证监会规定媒介上公告。</w:t>
      </w:r>
    </w:p>
    <w:p w14:paraId="5E3D7915">
      <w:pPr>
        <w:tabs>
          <w:tab w:val="left" w:pos="1260"/>
        </w:tabs>
        <w:spacing w:line="360" w:lineRule="auto"/>
        <w:ind w:firstLine="480" w:firstLineChars="200"/>
        <w:rPr>
          <w:rFonts w:ascii="宋体" w:hAnsi="宋体"/>
          <w:kern w:val="0"/>
          <w:sz w:val="24"/>
        </w:rPr>
      </w:pPr>
      <w:r>
        <w:rPr>
          <w:rFonts w:hint="eastAsia" w:ascii="宋体" w:hAnsi="宋体"/>
          <w:kern w:val="0"/>
          <w:sz w:val="24"/>
        </w:rPr>
        <w:t>2</w:t>
      </w:r>
      <w:r>
        <w:rPr>
          <w:rFonts w:hint="eastAsia" w:ascii="宋体" w:hAnsi="宋体"/>
          <w:bCs/>
          <w:sz w:val="24"/>
        </w:rPr>
        <w:t>、</w:t>
      </w:r>
      <w:r>
        <w:rPr>
          <w:rFonts w:hint="eastAsia" w:ascii="宋体" w:hAnsi="宋体"/>
          <w:kern w:val="0"/>
          <w:sz w:val="24"/>
        </w:rPr>
        <w:t>基金托管人和基金管理人对基金收益分配进行账务处理并核对后，基金管理人应及时向基金托管人发送分发现金红利的划款指令，基金托管人依据划款指令在指定划付日及时将资金划至基金管理人指定账户。</w:t>
      </w:r>
    </w:p>
    <w:p w14:paraId="54BF03C6">
      <w:pPr>
        <w:tabs>
          <w:tab w:val="left" w:pos="1260"/>
        </w:tabs>
        <w:spacing w:line="360" w:lineRule="auto"/>
        <w:ind w:firstLine="480" w:firstLineChars="200"/>
        <w:rPr>
          <w:rFonts w:ascii="宋体" w:hAnsi="宋体"/>
          <w:kern w:val="0"/>
          <w:sz w:val="24"/>
        </w:rPr>
      </w:pPr>
      <w:r>
        <w:rPr>
          <w:rFonts w:hint="eastAsia" w:ascii="宋体" w:hAnsi="宋体"/>
          <w:kern w:val="0"/>
          <w:sz w:val="24"/>
        </w:rPr>
        <w:t>3</w:t>
      </w:r>
      <w:r>
        <w:rPr>
          <w:rFonts w:hint="eastAsia" w:ascii="宋体" w:hAnsi="宋体"/>
          <w:bCs/>
          <w:sz w:val="24"/>
        </w:rPr>
        <w:t>、</w:t>
      </w:r>
      <w:r>
        <w:rPr>
          <w:rFonts w:hint="eastAsia" w:ascii="宋体" w:hAnsi="宋体"/>
          <w:kern w:val="0"/>
          <w:sz w:val="24"/>
        </w:rPr>
        <w:t>基金管理人在下达分红款支付指令时，应给基金托管人留出必需的划款时间。</w:t>
      </w:r>
      <w:bookmarkStart w:id="63" w:name="_Toc125892444"/>
    </w:p>
    <w:p w14:paraId="0E01A975">
      <w:pPr>
        <w:pStyle w:val="2"/>
        <w:spacing w:before="0" w:after="0"/>
        <w:ind w:firstLine="480" w:firstLineChars="200"/>
        <w:rPr>
          <w:color w:val="auto"/>
        </w:rPr>
      </w:pPr>
      <w:bookmarkStart w:id="64" w:name="_Toc508720686"/>
      <w:r>
        <w:rPr>
          <w:rFonts w:hint="eastAsia"/>
          <w:color w:val="auto"/>
        </w:rPr>
        <w:t>八、基金资产净值计算和会计核算</w:t>
      </w:r>
      <w:bookmarkEnd w:id="61"/>
      <w:bookmarkEnd w:id="62"/>
      <w:bookmarkEnd w:id="63"/>
      <w:bookmarkEnd w:id="64"/>
    </w:p>
    <w:p w14:paraId="328AC763">
      <w:pPr>
        <w:tabs>
          <w:tab w:val="left" w:pos="3780"/>
        </w:tabs>
        <w:autoSpaceDE w:val="0"/>
        <w:autoSpaceDN w:val="0"/>
        <w:spacing w:line="360" w:lineRule="auto"/>
        <w:ind w:firstLine="480" w:firstLineChars="200"/>
        <w:textAlignment w:val="bottom"/>
        <w:outlineLvl w:val="0"/>
        <w:rPr>
          <w:rFonts w:ascii="宋体" w:hAnsi="宋体"/>
          <w:b/>
          <w:bCs/>
          <w:sz w:val="24"/>
        </w:rPr>
      </w:pPr>
      <w:bookmarkStart w:id="65" w:name="_Toc77663017"/>
      <w:r>
        <w:rPr>
          <w:rFonts w:hint="eastAsia" w:ascii="宋体" w:hAnsi="宋体"/>
          <w:b/>
          <w:bCs/>
          <w:sz w:val="24"/>
        </w:rPr>
        <w:t>（一）基金资产净值及基金份额净值的计算与复核</w:t>
      </w:r>
      <w:bookmarkEnd w:id="65"/>
    </w:p>
    <w:p w14:paraId="0F0E7F07">
      <w:pPr>
        <w:autoSpaceDE w:val="0"/>
        <w:autoSpaceDN w:val="0"/>
        <w:adjustRightInd w:val="0"/>
        <w:spacing w:line="360" w:lineRule="auto"/>
        <w:ind w:firstLine="480" w:firstLineChars="200"/>
        <w:rPr>
          <w:rFonts w:ascii="宋体" w:cs="宋体"/>
          <w:kern w:val="0"/>
          <w:sz w:val="24"/>
        </w:rPr>
      </w:pPr>
      <w:r>
        <w:rPr>
          <w:rFonts w:hint="eastAsia" w:ascii="宋体" w:hAnsi="宋体"/>
          <w:kern w:val="0"/>
          <w:sz w:val="24"/>
        </w:rPr>
        <w:t>基金资产净值是指基金资产总值减去负债后的价值。</w:t>
      </w:r>
    </w:p>
    <w:p w14:paraId="4A71A246">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基金管理人应每个工作日对基金资产估值。但基金管理人根据法律法规或基金合同的规定暂停估值时除外。</w:t>
      </w:r>
      <w:r>
        <w:rPr>
          <w:rFonts w:ascii="宋体" w:hAnsi="宋体"/>
          <w:kern w:val="0"/>
          <w:sz w:val="24"/>
        </w:rPr>
        <w:t>估值原则应符合《基金合同》、</w:t>
      </w:r>
      <w:r>
        <w:rPr>
          <w:rFonts w:hint="eastAsia" w:ascii="宋体" w:hAnsi="宋体"/>
          <w:kern w:val="0"/>
          <w:sz w:val="24"/>
        </w:rPr>
        <w:t>《</w:t>
      </w:r>
      <w:r>
        <w:rPr>
          <w:rFonts w:hint="eastAsia" w:ascii="黑体" w:hAnsi="宋体"/>
          <w:sz w:val="24"/>
        </w:rPr>
        <w:t>中国证券监督管理委员会</w:t>
      </w:r>
      <w:r>
        <w:rPr>
          <w:rFonts w:ascii="黑体" w:hAnsi="宋体"/>
          <w:sz w:val="24"/>
        </w:rPr>
        <w:t>关于证券投资基金估值业务的指导意见》</w:t>
      </w:r>
      <w:r>
        <w:rPr>
          <w:rFonts w:ascii="宋体" w:hAnsi="宋体"/>
          <w:kern w:val="0"/>
          <w:sz w:val="24"/>
        </w:rPr>
        <w:t>及其他法律、法规的规定。</w:t>
      </w:r>
      <w:r>
        <w:rPr>
          <w:rFonts w:hint="eastAsia" w:ascii="宋体" w:hAnsi="宋体"/>
          <w:kern w:val="0"/>
          <w:sz w:val="24"/>
        </w:rPr>
        <w:t>基金资产净值和基金份额净值由基金管理人负责计算，基金托管人复核。基金管理人应于每个工作日交易结束后计算当日的基金资产净值</w:t>
      </w:r>
      <w:r>
        <w:rPr>
          <w:rFonts w:hint="eastAsia"/>
          <w:bCs/>
          <w:sz w:val="24"/>
        </w:rPr>
        <w:t>和基金份额净值</w:t>
      </w:r>
      <w:r>
        <w:rPr>
          <w:rFonts w:hint="eastAsia" w:ascii="宋体" w:hAnsi="宋体"/>
          <w:kern w:val="0"/>
          <w:sz w:val="24"/>
        </w:rPr>
        <w:t>，以约定方式发送给基金托管人。基金托管人对净值计算结果复核后，将复核结果反馈给基金管理人，经基金托管人复核无误后，由基金管理人对基金份额净值予以公布。</w:t>
      </w:r>
    </w:p>
    <w:p w14:paraId="501A0CC2">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（二）基金资产的估值</w:t>
      </w:r>
    </w:p>
    <w:p w14:paraId="7737049A">
      <w:pPr>
        <w:adjustRightInd w:val="0"/>
        <w:snapToGrid w:val="0"/>
        <w:spacing w:line="360" w:lineRule="auto"/>
        <w:ind w:firstLine="480" w:firstLineChars="200"/>
        <w:rPr>
          <w:kern w:val="0"/>
          <w:sz w:val="24"/>
        </w:rPr>
      </w:pPr>
      <w:r>
        <w:rPr>
          <w:rFonts w:hint="eastAsia" w:ascii="宋体" w:hAnsi="宋体"/>
          <w:kern w:val="0"/>
          <w:sz w:val="24"/>
        </w:rPr>
        <w:t>基金管理人及基金托管人应当按照《基金合同》的约定进行估值。</w:t>
      </w:r>
    </w:p>
    <w:p w14:paraId="76CCEA34">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（三）基金份额净值错误的处理方式</w:t>
      </w:r>
    </w:p>
    <w:p w14:paraId="7C839BCC">
      <w:pPr>
        <w:adjustRightInd w:val="0"/>
        <w:snapToGrid w:val="0"/>
        <w:spacing w:line="360" w:lineRule="auto"/>
        <w:ind w:firstLine="480" w:firstLineChars="200"/>
        <w:rPr>
          <w:rFonts w:ascii="宋体" w:hAnsi="宋体"/>
          <w:kern w:val="0"/>
          <w:sz w:val="24"/>
        </w:rPr>
      </w:pPr>
      <w:r>
        <w:rPr>
          <w:rFonts w:hint="eastAsia" w:ascii="宋体" w:hAnsi="宋体"/>
          <w:kern w:val="0"/>
          <w:sz w:val="24"/>
        </w:rPr>
        <w:t>基金管理人及基金托管人应当按照《基金合同》的约定处理份额净值错误。</w:t>
      </w:r>
    </w:p>
    <w:p w14:paraId="12E27BE9">
      <w:pPr>
        <w:tabs>
          <w:tab w:val="left" w:pos="3780"/>
        </w:tabs>
        <w:autoSpaceDE w:val="0"/>
        <w:autoSpaceDN w:val="0"/>
        <w:spacing w:line="360" w:lineRule="auto"/>
        <w:ind w:firstLine="480" w:firstLineChars="200"/>
        <w:textAlignment w:val="bottom"/>
        <w:outlineLvl w:val="0"/>
        <w:rPr>
          <w:rFonts w:ascii="宋体" w:hAnsi="宋体"/>
          <w:b/>
          <w:bCs/>
          <w:sz w:val="24"/>
        </w:rPr>
      </w:pPr>
      <w:bookmarkStart w:id="66" w:name="OLE_LINK5"/>
      <w:bookmarkStart w:id="67" w:name="OLE_LINK6"/>
      <w:r>
        <w:rPr>
          <w:rFonts w:hint="eastAsia" w:ascii="宋体" w:hAnsi="宋体"/>
          <w:b/>
          <w:bCs/>
          <w:sz w:val="24"/>
        </w:rPr>
        <w:t>（四）暂停估值的情形</w:t>
      </w:r>
    </w:p>
    <w:bookmarkEnd w:id="66"/>
    <w:bookmarkEnd w:id="67"/>
    <w:p w14:paraId="100EF666">
      <w:pPr>
        <w:tabs>
          <w:tab w:val="left" w:pos="1260"/>
        </w:tabs>
        <w:spacing w:line="360" w:lineRule="auto"/>
        <w:ind w:firstLine="480" w:firstLineChars="200"/>
        <w:rPr>
          <w:rFonts w:ascii="宋体" w:hAnsi="宋体"/>
          <w:kern w:val="0"/>
          <w:sz w:val="24"/>
        </w:rPr>
      </w:pPr>
      <w:r>
        <w:rPr>
          <w:rFonts w:hint="eastAsia" w:ascii="宋体" w:hAnsi="宋体"/>
          <w:kern w:val="0"/>
          <w:sz w:val="24"/>
        </w:rPr>
        <w:t>1、基金投资所涉及的证券、</w:t>
      </w:r>
      <w:r>
        <w:rPr>
          <w:rFonts w:ascii="宋体" w:hAnsi="宋体"/>
          <w:kern w:val="0"/>
          <w:sz w:val="24"/>
        </w:rPr>
        <w:t>期货</w:t>
      </w:r>
      <w:r>
        <w:rPr>
          <w:rFonts w:hint="eastAsia" w:ascii="宋体" w:hAnsi="宋体"/>
          <w:kern w:val="0"/>
          <w:sz w:val="24"/>
        </w:rPr>
        <w:t>交易市场遇法定节假日或因其他原因暂停营业时；</w:t>
      </w:r>
    </w:p>
    <w:p w14:paraId="53599B5E">
      <w:pPr>
        <w:tabs>
          <w:tab w:val="left" w:pos="1260"/>
        </w:tabs>
        <w:spacing w:line="360" w:lineRule="auto"/>
        <w:ind w:firstLine="480" w:firstLineChars="200"/>
        <w:rPr>
          <w:rFonts w:ascii="宋体" w:hAnsi="宋体"/>
          <w:kern w:val="0"/>
          <w:sz w:val="24"/>
        </w:rPr>
      </w:pPr>
      <w:r>
        <w:rPr>
          <w:rFonts w:hint="eastAsia" w:ascii="宋体" w:hAnsi="宋体"/>
          <w:kern w:val="0"/>
          <w:sz w:val="24"/>
        </w:rPr>
        <w:t>2、因不可抗力或者其他情形致使基金管理人、基金托管人无法准确评估基金资产价值时；</w:t>
      </w:r>
    </w:p>
    <w:p w14:paraId="300EC712">
      <w:pPr>
        <w:tabs>
          <w:tab w:val="left" w:pos="1260"/>
        </w:tabs>
        <w:spacing w:line="360" w:lineRule="auto"/>
        <w:ind w:firstLine="480" w:firstLineChars="200"/>
        <w:rPr>
          <w:rFonts w:ascii="宋体" w:hAnsi="宋体"/>
          <w:kern w:val="0"/>
          <w:sz w:val="24"/>
        </w:rPr>
      </w:pPr>
      <w:r>
        <w:rPr>
          <w:rFonts w:hint="eastAsia" w:ascii="宋体" w:hAnsi="宋体"/>
          <w:kern w:val="0"/>
          <w:sz w:val="24"/>
        </w:rPr>
        <w:t>3、当前一估值日基金资产净值</w:t>
      </w:r>
      <w:r>
        <w:rPr>
          <w:rFonts w:ascii="宋体" w:hAnsi="宋体"/>
          <w:kern w:val="0"/>
          <w:sz w:val="24"/>
        </w:rPr>
        <w:t>50%以上的资产出现无可参考的活跃市场价格且采用估值技术</w:t>
      </w:r>
      <w:r>
        <w:rPr>
          <w:rFonts w:hint="eastAsia" w:ascii="宋体" w:hAnsi="宋体"/>
          <w:kern w:val="0"/>
          <w:sz w:val="24"/>
        </w:rPr>
        <w:t>仍导致公允价值存在重大不确定性时，经与基金托管人协商确认后，基金管理人应当暂停估值；</w:t>
      </w:r>
    </w:p>
    <w:p w14:paraId="45090405">
      <w:pPr>
        <w:tabs>
          <w:tab w:val="left" w:pos="1260"/>
        </w:tabs>
        <w:spacing w:line="360" w:lineRule="auto"/>
        <w:ind w:firstLine="480" w:firstLineChars="200"/>
        <w:rPr>
          <w:rFonts w:ascii="宋体" w:hAnsi="宋体"/>
          <w:kern w:val="0"/>
          <w:sz w:val="24"/>
        </w:rPr>
      </w:pPr>
      <w:r>
        <w:rPr>
          <w:rFonts w:hint="eastAsia" w:ascii="宋体" w:hAnsi="宋体"/>
          <w:kern w:val="0"/>
          <w:sz w:val="24"/>
        </w:rPr>
        <w:t>4、法律法规、中国证监会和基金合同认定的其它情形。</w:t>
      </w:r>
    </w:p>
    <w:p w14:paraId="01D45D8C">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（五）基金会计制度</w:t>
      </w:r>
    </w:p>
    <w:p w14:paraId="02F69CC0">
      <w:pPr>
        <w:autoSpaceDE w:val="0"/>
        <w:autoSpaceDN w:val="0"/>
        <w:adjustRightInd w:val="0"/>
        <w:spacing w:line="360" w:lineRule="auto"/>
        <w:ind w:firstLine="480" w:firstLineChars="200"/>
        <w:rPr>
          <w:rFonts w:ascii="宋体" w:cs="宋体"/>
          <w:kern w:val="0"/>
          <w:sz w:val="20"/>
          <w:szCs w:val="20"/>
        </w:rPr>
      </w:pPr>
      <w:r>
        <w:rPr>
          <w:rFonts w:hint="eastAsia" w:ascii="宋体" w:cs="宋体"/>
          <w:kern w:val="0"/>
          <w:sz w:val="24"/>
        </w:rPr>
        <w:t>按国家有关部门制定的会计制度执行。</w:t>
      </w:r>
    </w:p>
    <w:p w14:paraId="59AC7D86">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w:t>
      </w:r>
      <w:r>
        <w:rPr>
          <w:rFonts w:ascii="宋体" w:hAnsi="宋体"/>
          <w:b/>
          <w:bCs/>
          <w:sz w:val="24"/>
        </w:rPr>
        <w:t>六</w:t>
      </w:r>
      <w:r>
        <w:rPr>
          <w:rFonts w:hint="eastAsia" w:ascii="宋体" w:hAnsi="宋体"/>
          <w:b/>
          <w:bCs/>
          <w:sz w:val="24"/>
        </w:rPr>
        <w:t>）基金账册的建立</w:t>
      </w:r>
    </w:p>
    <w:p w14:paraId="0CCDE35B">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和基金托管人在《基金合同》生效后，应按照双方约定的同一记账方法和会计处理原则，分别独立地设置、登录和保管本基金的全套账册，对双方各自的账册定期进行核对，互相监督，以保证基金财产的安全。若双方对会计处理方法存在分歧，应以基金管理人的处理方法为准。</w:t>
      </w:r>
    </w:p>
    <w:p w14:paraId="79EA3434">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w:t>
      </w:r>
      <w:r>
        <w:rPr>
          <w:rFonts w:ascii="宋体" w:hAnsi="宋体"/>
          <w:b/>
          <w:bCs/>
          <w:sz w:val="24"/>
        </w:rPr>
        <w:t>七</w:t>
      </w:r>
      <w:r>
        <w:rPr>
          <w:rFonts w:hint="eastAsia" w:ascii="宋体" w:hAnsi="宋体"/>
          <w:b/>
          <w:bCs/>
          <w:sz w:val="24"/>
        </w:rPr>
        <w:t>）会计数据和财务指标的核对</w:t>
      </w:r>
    </w:p>
    <w:p w14:paraId="6DE06E67">
      <w:pPr>
        <w:tabs>
          <w:tab w:val="left" w:pos="1260"/>
        </w:tabs>
        <w:spacing w:line="360" w:lineRule="auto"/>
        <w:ind w:firstLine="480" w:firstLineChars="200"/>
        <w:rPr>
          <w:rFonts w:ascii="宋体" w:hAnsi="宋体"/>
          <w:kern w:val="0"/>
          <w:sz w:val="24"/>
        </w:rPr>
      </w:pPr>
      <w:r>
        <w:rPr>
          <w:rFonts w:hint="eastAsia" w:ascii="宋体" w:hAnsi="宋体"/>
          <w:kern w:val="0"/>
          <w:sz w:val="24"/>
        </w:rPr>
        <w:t>双方应每个交易日核对账目，如发现双方的账目存在不符的，基金管理人和基金托管人必须及时查明原因并纠正，确保核对一致。若当日核对不符，暂时无法查找到错账的原因而影响到基金资产净值的计算和公告的，以基金管理人的账册为准。</w:t>
      </w:r>
    </w:p>
    <w:p w14:paraId="7FDB1F68">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w:t>
      </w:r>
      <w:r>
        <w:rPr>
          <w:rFonts w:ascii="宋体" w:hAnsi="宋体"/>
          <w:b/>
          <w:bCs/>
          <w:sz w:val="24"/>
        </w:rPr>
        <w:t>八</w:t>
      </w:r>
      <w:r>
        <w:rPr>
          <w:rFonts w:hint="eastAsia" w:ascii="宋体" w:hAnsi="宋体"/>
          <w:b/>
          <w:bCs/>
          <w:sz w:val="24"/>
        </w:rPr>
        <w:t>）基金定期报告的编制和复核</w:t>
      </w:r>
    </w:p>
    <w:p w14:paraId="75A6A25B">
      <w:pPr>
        <w:tabs>
          <w:tab w:val="left" w:pos="3780"/>
        </w:tabs>
        <w:autoSpaceDE w:val="0"/>
        <w:autoSpaceDN w:val="0"/>
        <w:spacing w:line="360" w:lineRule="auto"/>
        <w:ind w:firstLine="480" w:firstLineChars="200"/>
        <w:textAlignment w:val="bottom"/>
        <w:outlineLvl w:val="0"/>
        <w:rPr>
          <w:rFonts w:ascii="宋体" w:hAnsi="宋体"/>
          <w:kern w:val="0"/>
          <w:sz w:val="24"/>
        </w:rPr>
      </w:pPr>
      <w:r>
        <w:rPr>
          <w:rFonts w:hint="eastAsia" w:ascii="宋体" w:hAnsi="宋体"/>
          <w:kern w:val="0"/>
          <w:sz w:val="24"/>
        </w:rPr>
        <w:t>基金财务报表由基金管理人和基金托管人每月分别独立编制。月度报表的编制，应于每月终了后5个工作日内完成；在《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季度报告应在季度结束之日起10个工作日内编制完毕并于季度结束之日起15个工作日内予以公告；中期报告在上半年结束之日起40日内编制完毕并于上半年结束之日起两个月内予以公告；年度报告在每年结束之日起60日内编制完毕并于每年结束之日起三个月内予以公告。基金合同生效不足两个月的，基金管理人可以不编制当期季度报告、中期报告或者年度报告。</w:t>
      </w:r>
    </w:p>
    <w:p w14:paraId="5229418A">
      <w:pPr>
        <w:tabs>
          <w:tab w:val="left" w:pos="3780"/>
        </w:tabs>
        <w:autoSpaceDE w:val="0"/>
        <w:autoSpaceDN w:val="0"/>
        <w:spacing w:line="360" w:lineRule="auto"/>
        <w:ind w:firstLine="480" w:firstLineChars="200"/>
        <w:textAlignment w:val="bottom"/>
        <w:outlineLvl w:val="0"/>
        <w:rPr>
          <w:rFonts w:ascii="宋体" w:hAnsi="宋体"/>
          <w:kern w:val="0"/>
          <w:sz w:val="24"/>
        </w:rPr>
      </w:pPr>
      <w:r>
        <w:rPr>
          <w:rFonts w:hint="eastAsia" w:ascii="宋体" w:hAnsi="宋体"/>
          <w:kern w:val="0"/>
          <w:sz w:val="24"/>
        </w:rPr>
        <w:t>基金管理人在月初3个工作日内完成上月度报表的编制，以约定方式将有关报表提供基金托管人；基金托管人收到后在2个工作日内进行复核，并将复核结果及时以书面或其他双方约定的方式通知基金管理人。对于季度报告、中期报告、年度报告等定期报告及招募说明书（更新），基金管理人和基金托管人应在上述监管部门规定的时间内完成编制、复核及公告。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中国证监会备案。</w:t>
      </w:r>
    </w:p>
    <w:p w14:paraId="76C4EA71">
      <w:pPr>
        <w:tabs>
          <w:tab w:val="left" w:pos="1260"/>
        </w:tabs>
        <w:spacing w:line="360" w:lineRule="auto"/>
        <w:ind w:firstLine="480" w:firstLineChars="200"/>
        <w:rPr>
          <w:rFonts w:ascii="宋体" w:hAnsi="宋体"/>
          <w:kern w:val="0"/>
          <w:sz w:val="24"/>
        </w:rPr>
      </w:pPr>
      <w:r>
        <w:rPr>
          <w:rFonts w:hint="eastAsia" w:ascii="宋体" w:hAnsi="宋体"/>
          <w:kern w:val="0"/>
          <w:sz w:val="24"/>
        </w:rPr>
        <w:t>基金托管人在对财务报表、季度报告、中期报告或年度报告复核完毕后，可以出具复核确认书（盖章）或以其他双方约定的方式确认，以备有权机构对相关文件审核检查。</w:t>
      </w:r>
      <w:bookmarkStart w:id="68" w:name="_Toc523830000"/>
      <w:bookmarkStart w:id="69" w:name="_Toc466788859"/>
      <w:bookmarkStart w:id="70" w:name="_Toc125892445"/>
      <w:bookmarkStart w:id="71" w:name="_Toc22454461"/>
    </w:p>
    <w:p w14:paraId="0996CC7B">
      <w:pPr>
        <w:pStyle w:val="2"/>
        <w:spacing w:before="0" w:after="0"/>
        <w:ind w:firstLine="480" w:firstLineChars="200"/>
        <w:rPr>
          <w:color w:val="auto"/>
        </w:rPr>
      </w:pPr>
      <w:bookmarkStart w:id="72" w:name="_Toc508720687"/>
      <w:r>
        <w:rPr>
          <w:rFonts w:hint="eastAsia"/>
          <w:color w:val="auto"/>
        </w:rPr>
        <w:t>九、基金收益分配</w:t>
      </w:r>
      <w:bookmarkEnd w:id="68"/>
      <w:bookmarkEnd w:id="69"/>
      <w:bookmarkEnd w:id="70"/>
      <w:bookmarkEnd w:id="71"/>
      <w:bookmarkEnd w:id="72"/>
    </w:p>
    <w:p w14:paraId="276D9523">
      <w:pPr>
        <w:tabs>
          <w:tab w:val="left" w:pos="1260"/>
        </w:tabs>
        <w:spacing w:line="360" w:lineRule="auto"/>
        <w:ind w:firstLine="480" w:firstLineChars="200"/>
        <w:rPr>
          <w:rFonts w:ascii="宋体" w:hAnsi="宋体" w:cs="Arial"/>
          <w:szCs w:val="21"/>
        </w:rPr>
      </w:pPr>
      <w:r>
        <w:rPr>
          <w:rFonts w:hint="eastAsia" w:ascii="宋体" w:hAnsi="宋体"/>
          <w:kern w:val="0"/>
          <w:sz w:val="24"/>
        </w:rPr>
        <w:t>基金管理人与基金托管人按照《基金合同》的约定处理基金收益分配。</w:t>
      </w:r>
    </w:p>
    <w:p w14:paraId="1F68D737">
      <w:pPr>
        <w:pStyle w:val="2"/>
        <w:spacing w:before="0" w:after="0"/>
        <w:ind w:firstLine="480" w:firstLineChars="200"/>
        <w:rPr>
          <w:color w:val="auto"/>
        </w:rPr>
      </w:pPr>
      <w:bookmarkStart w:id="73" w:name="_Toc523830002"/>
      <w:bookmarkStart w:id="74" w:name="_Toc125892446"/>
      <w:bookmarkStart w:id="75" w:name="_Toc508720688"/>
      <w:bookmarkStart w:id="76" w:name="_Toc22454465"/>
      <w:bookmarkStart w:id="77" w:name="_Toc466788861"/>
      <w:r>
        <w:rPr>
          <w:rFonts w:hint="eastAsia"/>
          <w:color w:val="auto"/>
        </w:rPr>
        <w:t>十、基金信息披露</w:t>
      </w:r>
      <w:bookmarkEnd w:id="73"/>
      <w:bookmarkEnd w:id="74"/>
      <w:bookmarkEnd w:id="75"/>
      <w:bookmarkEnd w:id="76"/>
      <w:bookmarkEnd w:id="77"/>
    </w:p>
    <w:p w14:paraId="35E4174C">
      <w:pPr>
        <w:tabs>
          <w:tab w:val="left" w:pos="3780"/>
        </w:tabs>
        <w:autoSpaceDE w:val="0"/>
        <w:autoSpaceDN w:val="0"/>
        <w:spacing w:line="360" w:lineRule="auto"/>
        <w:ind w:firstLine="480" w:firstLineChars="200"/>
        <w:textAlignment w:val="bottom"/>
        <w:outlineLvl w:val="0"/>
        <w:rPr>
          <w:rFonts w:ascii="宋体" w:hAnsi="宋体"/>
          <w:b/>
          <w:bCs/>
          <w:sz w:val="24"/>
        </w:rPr>
      </w:pPr>
      <w:bookmarkStart w:id="78" w:name="_Toc77663026"/>
      <w:bookmarkStart w:id="79" w:name="_Toc22454466"/>
      <w:r>
        <w:rPr>
          <w:rFonts w:hint="eastAsia" w:ascii="宋体" w:hAnsi="宋体"/>
          <w:b/>
          <w:bCs/>
          <w:sz w:val="24"/>
        </w:rPr>
        <w:t>（一）保密义务</w:t>
      </w:r>
      <w:bookmarkEnd w:id="78"/>
      <w:bookmarkEnd w:id="79"/>
    </w:p>
    <w:p w14:paraId="3B305ED2">
      <w:pPr>
        <w:tabs>
          <w:tab w:val="left" w:pos="1260"/>
        </w:tabs>
        <w:spacing w:line="360" w:lineRule="auto"/>
        <w:ind w:firstLine="480" w:firstLineChars="200"/>
        <w:rPr>
          <w:kern w:val="0"/>
          <w:sz w:val="24"/>
        </w:rPr>
      </w:pPr>
      <w:r>
        <w:rPr>
          <w:rFonts w:hint="eastAsia"/>
          <w:kern w:val="0"/>
          <w:sz w:val="24"/>
        </w:rPr>
        <w:t>除按照《基金法》、《运作办法》、《基金合同》、《信息披露办法》、《流动性风险管理规定》及中国证监会关于基金信息披露的有关规定进行披露以外，基金管理人和基金托管人对公开披露前的基金信息、从对方获得的业务信息及其他不宜公开披露的基金信息应予保密，不得向任何第三方泄露。法律法规另有规定或有权机关另有要求的以及为取得审计、法律等专业服务而向第三方专业服务机构提供的除外。</w:t>
      </w:r>
    </w:p>
    <w:p w14:paraId="39B6F4DC">
      <w:pPr>
        <w:tabs>
          <w:tab w:val="left" w:pos="1260"/>
        </w:tabs>
        <w:spacing w:line="360" w:lineRule="auto"/>
        <w:ind w:firstLine="480" w:firstLineChars="200"/>
        <w:rPr>
          <w:kern w:val="0"/>
          <w:sz w:val="24"/>
        </w:rPr>
      </w:pPr>
      <w:r>
        <w:rPr>
          <w:rFonts w:hint="eastAsia"/>
          <w:kern w:val="0"/>
          <w:sz w:val="24"/>
        </w:rPr>
        <w:t>如下情况不应视为基金管理人或基金托管人违反保密义务：</w:t>
      </w:r>
    </w:p>
    <w:p w14:paraId="283DEEFA">
      <w:pPr>
        <w:tabs>
          <w:tab w:val="left" w:pos="1260"/>
        </w:tabs>
        <w:spacing w:line="360" w:lineRule="auto"/>
        <w:ind w:firstLine="480" w:firstLineChars="200"/>
        <w:rPr>
          <w:kern w:val="0"/>
          <w:sz w:val="24"/>
        </w:rPr>
      </w:pPr>
      <w:r>
        <w:rPr>
          <w:kern w:val="0"/>
          <w:sz w:val="24"/>
        </w:rPr>
        <w:t>1.</w:t>
      </w:r>
      <w:r>
        <w:rPr>
          <w:rFonts w:hint="eastAsia"/>
          <w:kern w:val="0"/>
          <w:sz w:val="24"/>
        </w:rPr>
        <w:t>非因基金管理人和基金托管人的原因导致保密信息被披露、泄露或公开；</w:t>
      </w:r>
    </w:p>
    <w:p w14:paraId="6396AFAD">
      <w:pPr>
        <w:tabs>
          <w:tab w:val="left" w:pos="1260"/>
        </w:tabs>
        <w:spacing w:line="360" w:lineRule="auto"/>
        <w:ind w:firstLine="480" w:firstLineChars="200"/>
        <w:rPr>
          <w:rFonts w:ascii="宋体" w:hAnsi="宋体"/>
          <w:kern w:val="0"/>
          <w:sz w:val="24"/>
        </w:rPr>
      </w:pPr>
      <w:r>
        <w:rPr>
          <w:kern w:val="0"/>
          <w:sz w:val="24"/>
        </w:rPr>
        <w:t>2.</w:t>
      </w:r>
      <w:r>
        <w:rPr>
          <w:rFonts w:hint="eastAsia"/>
          <w:kern w:val="0"/>
          <w:sz w:val="24"/>
        </w:rPr>
        <w:t>基金管理人和基金托管人为遵守和服从法院判决、仲裁裁决或中国证监会等监管机构的命令决定所做出的信息披露或公开。</w:t>
      </w:r>
      <w:bookmarkStart w:id="80" w:name="_Toc22454467"/>
      <w:bookmarkStart w:id="81" w:name="_Toc77663027"/>
    </w:p>
    <w:p w14:paraId="4942B470">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（二）基金管理人和基金托管人在基金信息披露中的职责和信息披露程序</w:t>
      </w:r>
      <w:bookmarkEnd w:id="80"/>
      <w:bookmarkEnd w:id="81"/>
    </w:p>
    <w:p w14:paraId="5BD9213C">
      <w:pPr>
        <w:tabs>
          <w:tab w:val="left" w:pos="1260"/>
        </w:tabs>
        <w:spacing w:line="360" w:lineRule="auto"/>
        <w:ind w:firstLine="480" w:firstLineChars="200"/>
        <w:rPr>
          <w:kern w:val="0"/>
          <w:sz w:val="24"/>
        </w:rPr>
      </w:pPr>
      <w:r>
        <w:rPr>
          <w:rFonts w:hint="eastAsia"/>
          <w:kern w:val="0"/>
          <w:sz w:val="24"/>
        </w:rPr>
        <w:t>基金管理人和基金托管人应根据相关法律法规、《基金合同》的规定各自承担相应的信息披露职责。基金管理人和基金托管人负有积极配合、互相督促、彼此监督，保证其履行按照法定方式和时限披露的义务。</w:t>
      </w:r>
    </w:p>
    <w:p w14:paraId="5744519A">
      <w:pPr>
        <w:tabs>
          <w:tab w:val="left" w:pos="1260"/>
        </w:tabs>
        <w:spacing w:line="360" w:lineRule="auto"/>
        <w:ind w:firstLine="480" w:firstLineChars="200"/>
        <w:rPr>
          <w:kern w:val="0"/>
          <w:sz w:val="24"/>
        </w:rPr>
      </w:pPr>
      <w:r>
        <w:rPr>
          <w:rFonts w:hint="eastAsia"/>
          <w:kern w:val="0"/>
          <w:sz w:val="24"/>
        </w:rPr>
        <w:t>本基金信息披露的文件，包括《基金合同》规定的定期报告、临时报告、基金份额净值和基金份额累计净值公告及中国证监会规定的其他必要的公告文件，由基金管理人拟定并公布。</w:t>
      </w:r>
    </w:p>
    <w:p w14:paraId="7110F349">
      <w:pPr>
        <w:tabs>
          <w:tab w:val="left" w:pos="1260"/>
        </w:tabs>
        <w:spacing w:line="360" w:lineRule="auto"/>
        <w:ind w:firstLine="480" w:firstLineChars="200"/>
        <w:rPr>
          <w:kern w:val="0"/>
          <w:sz w:val="24"/>
        </w:rPr>
      </w:pPr>
      <w:r>
        <w:rPr>
          <w:rFonts w:hint="eastAsia"/>
          <w:kern w:val="0"/>
          <w:sz w:val="24"/>
        </w:rPr>
        <w:t>基金托管人应按本协议第八条第（八）款的规定对相关报告进行复核。基金年报的财务会计报告经符合《证券法》规定的会计师事务所审计后方可披露。</w:t>
      </w:r>
    </w:p>
    <w:p w14:paraId="7F0139E6">
      <w:pPr>
        <w:tabs>
          <w:tab w:val="left" w:pos="1260"/>
        </w:tabs>
        <w:spacing w:line="360" w:lineRule="auto"/>
        <w:ind w:firstLine="480" w:firstLineChars="200"/>
        <w:rPr>
          <w:rFonts w:ascii="宋体" w:hAnsi="宋体"/>
          <w:kern w:val="0"/>
          <w:sz w:val="24"/>
        </w:rPr>
      </w:pPr>
      <w:r>
        <w:rPr>
          <w:rFonts w:hint="eastAsia"/>
          <w:kern w:val="0"/>
          <w:sz w:val="24"/>
        </w:rPr>
        <w:t>本基金的信息披露公告，必须在中国证监会规定媒介发布。</w:t>
      </w:r>
      <w:bookmarkStart w:id="82" w:name="_Toc466788862"/>
    </w:p>
    <w:p w14:paraId="4E12B8F3">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（三）暂停或延迟信息披露的情形</w:t>
      </w:r>
    </w:p>
    <w:p w14:paraId="26E3D268">
      <w:pPr>
        <w:tabs>
          <w:tab w:val="left" w:pos="3780"/>
        </w:tabs>
        <w:autoSpaceDE w:val="0"/>
        <w:autoSpaceDN w:val="0"/>
        <w:spacing w:line="360" w:lineRule="auto"/>
        <w:ind w:firstLine="480" w:firstLineChars="200"/>
        <w:textAlignment w:val="bottom"/>
        <w:outlineLvl w:val="0"/>
        <w:rPr>
          <w:rFonts w:ascii="宋体" w:hAnsi="宋体"/>
          <w:kern w:val="0"/>
          <w:sz w:val="24"/>
        </w:rPr>
      </w:pPr>
      <w:r>
        <w:rPr>
          <w:rFonts w:hint="eastAsia" w:ascii="宋体" w:hAnsi="宋体"/>
          <w:kern w:val="0"/>
          <w:sz w:val="24"/>
        </w:rPr>
        <w:t xml:space="preserve">当出现下述情况之一时，基金管理人和基金托管人可暂停或延迟披露基金信息： </w:t>
      </w:r>
    </w:p>
    <w:p w14:paraId="34FEB0B8">
      <w:pPr>
        <w:tabs>
          <w:tab w:val="left" w:pos="3780"/>
        </w:tabs>
        <w:autoSpaceDE w:val="0"/>
        <w:autoSpaceDN w:val="0"/>
        <w:spacing w:line="360" w:lineRule="auto"/>
        <w:ind w:firstLine="480" w:firstLineChars="200"/>
        <w:textAlignment w:val="bottom"/>
        <w:outlineLvl w:val="0"/>
        <w:rPr>
          <w:rFonts w:ascii="宋体" w:hAnsi="宋体"/>
          <w:kern w:val="0"/>
          <w:sz w:val="24"/>
        </w:rPr>
      </w:pPr>
      <w:r>
        <w:rPr>
          <w:rFonts w:hint="eastAsia" w:ascii="宋体" w:hAnsi="宋体"/>
          <w:kern w:val="0"/>
          <w:sz w:val="24"/>
        </w:rPr>
        <w:t xml:space="preserve">1、不可抗力； </w:t>
      </w:r>
    </w:p>
    <w:p w14:paraId="0F225787">
      <w:pPr>
        <w:tabs>
          <w:tab w:val="left" w:pos="3780"/>
        </w:tabs>
        <w:autoSpaceDE w:val="0"/>
        <w:autoSpaceDN w:val="0"/>
        <w:spacing w:line="360" w:lineRule="auto"/>
        <w:ind w:firstLine="480" w:firstLineChars="200"/>
        <w:textAlignment w:val="bottom"/>
        <w:outlineLvl w:val="0"/>
        <w:rPr>
          <w:rFonts w:ascii="宋体" w:hAnsi="宋体"/>
          <w:kern w:val="0"/>
          <w:sz w:val="24"/>
        </w:rPr>
      </w:pPr>
      <w:r>
        <w:rPr>
          <w:rFonts w:ascii="宋体" w:hAnsi="宋体"/>
          <w:kern w:val="0"/>
          <w:sz w:val="24"/>
        </w:rPr>
        <w:t>2</w:t>
      </w:r>
      <w:r>
        <w:rPr>
          <w:rFonts w:hint="eastAsia" w:ascii="宋体" w:hAnsi="宋体"/>
          <w:kern w:val="0"/>
          <w:sz w:val="24"/>
        </w:rPr>
        <w:t>、</w:t>
      </w:r>
      <w:bookmarkStart w:id="83" w:name="_Hlk181714656"/>
      <w:r>
        <w:rPr>
          <w:rFonts w:hint="eastAsia" w:ascii="宋体" w:hAnsi="宋体"/>
          <w:kern w:val="0"/>
          <w:sz w:val="24"/>
        </w:rPr>
        <w:t>发生暂停基金估值的情形时</w:t>
      </w:r>
      <w:bookmarkEnd w:id="83"/>
      <w:r>
        <w:rPr>
          <w:rFonts w:hint="eastAsia" w:ascii="宋体" w:hAnsi="宋体"/>
          <w:kern w:val="0"/>
          <w:sz w:val="24"/>
        </w:rPr>
        <w:t>；</w:t>
      </w:r>
    </w:p>
    <w:p w14:paraId="3B885F13">
      <w:pPr>
        <w:tabs>
          <w:tab w:val="left" w:pos="3780"/>
        </w:tabs>
        <w:autoSpaceDE w:val="0"/>
        <w:autoSpaceDN w:val="0"/>
        <w:spacing w:line="360" w:lineRule="auto"/>
        <w:ind w:firstLine="480" w:firstLineChars="200"/>
        <w:textAlignment w:val="bottom"/>
        <w:outlineLvl w:val="0"/>
        <w:rPr>
          <w:rFonts w:ascii="宋体" w:hAnsi="宋体"/>
          <w:kern w:val="0"/>
          <w:sz w:val="24"/>
        </w:rPr>
      </w:pPr>
      <w:r>
        <w:rPr>
          <w:rFonts w:ascii="宋体" w:hAnsi="宋体"/>
          <w:kern w:val="0"/>
          <w:sz w:val="24"/>
        </w:rPr>
        <w:t>3</w:t>
      </w:r>
      <w:r>
        <w:rPr>
          <w:rFonts w:hint="eastAsia" w:ascii="宋体" w:hAnsi="宋体"/>
          <w:kern w:val="0"/>
          <w:sz w:val="24"/>
        </w:rPr>
        <w:t>、法律法规规定、中国证监会或基金合同认定的其他情形。</w:t>
      </w:r>
    </w:p>
    <w:p w14:paraId="4C9A82C3">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（四）基金托管人报告</w:t>
      </w:r>
    </w:p>
    <w:p w14:paraId="0DB5E699">
      <w:pPr>
        <w:tabs>
          <w:tab w:val="left" w:pos="1260"/>
        </w:tabs>
        <w:spacing w:line="360" w:lineRule="auto"/>
        <w:ind w:firstLine="480" w:firstLineChars="200"/>
        <w:rPr>
          <w:kern w:val="0"/>
          <w:sz w:val="24"/>
        </w:rPr>
      </w:pPr>
      <w:r>
        <w:rPr>
          <w:rFonts w:hint="eastAsia"/>
          <w:kern w:val="0"/>
          <w:sz w:val="24"/>
        </w:rPr>
        <w:t>基金托管人应按《基金法》和中国证监会的有关规定出具基金托管情况报告。基金托管人报告说明该半年度</w:t>
      </w:r>
      <w:r>
        <w:rPr>
          <w:kern w:val="0"/>
          <w:sz w:val="24"/>
        </w:rPr>
        <w:t>/</w:t>
      </w:r>
      <w:r>
        <w:rPr>
          <w:rFonts w:hint="eastAsia"/>
          <w:kern w:val="0"/>
          <w:sz w:val="24"/>
        </w:rPr>
        <w:t>年度基金托管人和基金管理人履行《基金合同》的情况，是基金中期报告和年度报告的组成部分。</w:t>
      </w:r>
    </w:p>
    <w:p w14:paraId="56F8A326">
      <w:pPr>
        <w:tabs>
          <w:tab w:val="left" w:pos="1260"/>
        </w:tabs>
        <w:spacing w:line="360" w:lineRule="auto"/>
        <w:ind w:firstLine="480" w:firstLineChars="200"/>
        <w:rPr>
          <w:rFonts w:ascii="宋体" w:hAnsi="宋体"/>
          <w:kern w:val="0"/>
          <w:sz w:val="24"/>
        </w:rPr>
      </w:pPr>
      <w:r>
        <w:rPr>
          <w:rFonts w:hint="eastAsia"/>
          <w:b/>
          <w:bCs/>
          <w:kern w:val="0"/>
          <w:sz w:val="24"/>
        </w:rPr>
        <w:t>（五）</w:t>
      </w:r>
      <w:r>
        <w:rPr>
          <w:rFonts w:hint="eastAsia"/>
          <w:kern w:val="0"/>
          <w:sz w:val="24"/>
        </w:rPr>
        <w:t>本基金信息披露事项以法律法规规定及基金合同“基金的信息披露”约定的内容为准。</w:t>
      </w:r>
      <w:bookmarkStart w:id="84" w:name="_Toc125892447"/>
    </w:p>
    <w:p w14:paraId="18EBDC17">
      <w:pPr>
        <w:pStyle w:val="2"/>
        <w:spacing w:before="0" w:after="0"/>
        <w:ind w:firstLine="480" w:firstLineChars="200"/>
        <w:rPr>
          <w:color w:val="auto"/>
        </w:rPr>
      </w:pPr>
      <w:bookmarkStart w:id="85" w:name="_Toc508720689"/>
      <w:r>
        <w:rPr>
          <w:rFonts w:hint="eastAsia"/>
          <w:color w:val="auto"/>
        </w:rPr>
        <w:t>十一、基金费用</w:t>
      </w:r>
      <w:bookmarkEnd w:id="84"/>
      <w:bookmarkEnd w:id="85"/>
    </w:p>
    <w:p w14:paraId="4F7A182E">
      <w:pPr>
        <w:tabs>
          <w:tab w:val="left" w:pos="1260"/>
        </w:tabs>
        <w:spacing w:line="360" w:lineRule="auto"/>
        <w:ind w:firstLine="480" w:firstLineChars="200"/>
        <w:rPr>
          <w:rFonts w:ascii="宋体" w:hAnsi="宋体"/>
          <w:kern w:val="0"/>
          <w:sz w:val="24"/>
        </w:rPr>
      </w:pPr>
      <w:r>
        <w:rPr>
          <w:rFonts w:hint="eastAsia" w:ascii="宋体" w:hAnsi="宋体"/>
          <w:kern w:val="0"/>
          <w:sz w:val="24"/>
        </w:rPr>
        <w:t>1、基金托管人的托管费</w:t>
      </w:r>
    </w:p>
    <w:p w14:paraId="319D8DE7">
      <w:pPr>
        <w:tabs>
          <w:tab w:val="left" w:pos="1260"/>
        </w:tabs>
        <w:spacing w:line="360" w:lineRule="auto"/>
        <w:ind w:firstLine="480" w:firstLineChars="200"/>
        <w:rPr>
          <w:rFonts w:ascii="宋体" w:hAnsi="宋体"/>
          <w:kern w:val="0"/>
          <w:sz w:val="24"/>
        </w:rPr>
      </w:pPr>
      <w:r>
        <w:rPr>
          <w:rFonts w:hint="eastAsia" w:ascii="宋体" w:hAnsi="宋体"/>
          <w:kern w:val="0"/>
          <w:sz w:val="24"/>
        </w:rPr>
        <w:t>本基金的托管费按前一日基金资产净值的0.</w:t>
      </w:r>
      <w:r>
        <w:rPr>
          <w:rFonts w:ascii="宋体" w:hAnsi="宋体"/>
          <w:kern w:val="0"/>
          <w:sz w:val="24"/>
        </w:rPr>
        <w:t>10</w:t>
      </w:r>
      <w:r>
        <w:rPr>
          <w:rFonts w:hint="eastAsia" w:ascii="宋体" w:hAnsi="宋体"/>
          <w:kern w:val="0"/>
          <w:sz w:val="24"/>
        </w:rPr>
        <w:t>%的年费率计提。托管费的计算方法如下：</w:t>
      </w:r>
    </w:p>
    <w:p w14:paraId="0A134834">
      <w:pPr>
        <w:tabs>
          <w:tab w:val="left" w:pos="1260"/>
        </w:tabs>
        <w:spacing w:line="360" w:lineRule="auto"/>
        <w:ind w:firstLine="480" w:firstLineChars="200"/>
        <w:rPr>
          <w:rFonts w:ascii="宋体" w:hAnsi="宋体"/>
          <w:kern w:val="0"/>
          <w:sz w:val="24"/>
        </w:rPr>
      </w:pPr>
      <w:r>
        <w:rPr>
          <w:rFonts w:hint="eastAsia" w:ascii="宋体" w:hAnsi="宋体"/>
          <w:kern w:val="0"/>
          <w:sz w:val="24"/>
        </w:rPr>
        <w:t>H＝E×0.</w:t>
      </w:r>
      <w:r>
        <w:rPr>
          <w:rFonts w:ascii="宋体" w:hAnsi="宋体"/>
          <w:kern w:val="0"/>
          <w:sz w:val="24"/>
        </w:rPr>
        <w:t>10</w:t>
      </w:r>
      <w:r>
        <w:rPr>
          <w:rFonts w:hint="eastAsia" w:ascii="宋体" w:hAnsi="宋体"/>
          <w:kern w:val="0"/>
          <w:sz w:val="24"/>
        </w:rPr>
        <w:t>%÷当年天数</w:t>
      </w:r>
    </w:p>
    <w:p w14:paraId="06697D29">
      <w:pPr>
        <w:tabs>
          <w:tab w:val="left" w:pos="1260"/>
        </w:tabs>
        <w:spacing w:line="360" w:lineRule="auto"/>
        <w:ind w:firstLine="480" w:firstLineChars="200"/>
        <w:rPr>
          <w:rFonts w:ascii="宋体" w:hAnsi="宋体"/>
          <w:kern w:val="0"/>
          <w:sz w:val="24"/>
        </w:rPr>
      </w:pPr>
      <w:r>
        <w:rPr>
          <w:rFonts w:hint="eastAsia" w:ascii="宋体" w:hAnsi="宋体"/>
          <w:kern w:val="0"/>
          <w:sz w:val="24"/>
        </w:rPr>
        <w:t>H为每日应计提的基金托管费</w:t>
      </w:r>
    </w:p>
    <w:p w14:paraId="7E2CFD64">
      <w:pPr>
        <w:tabs>
          <w:tab w:val="left" w:pos="1260"/>
        </w:tabs>
        <w:spacing w:line="360" w:lineRule="auto"/>
        <w:ind w:firstLine="480" w:firstLineChars="200"/>
        <w:rPr>
          <w:rFonts w:ascii="宋体" w:hAnsi="宋体"/>
          <w:kern w:val="0"/>
          <w:sz w:val="24"/>
        </w:rPr>
      </w:pPr>
      <w:r>
        <w:rPr>
          <w:rFonts w:hint="eastAsia" w:ascii="宋体" w:hAnsi="宋体"/>
          <w:kern w:val="0"/>
          <w:sz w:val="24"/>
        </w:rPr>
        <w:t>E为前一日的基金资产净值</w:t>
      </w:r>
    </w:p>
    <w:p w14:paraId="5DB652F5">
      <w:pPr>
        <w:tabs>
          <w:tab w:val="left" w:pos="1260"/>
        </w:tabs>
        <w:spacing w:line="360" w:lineRule="auto"/>
        <w:ind w:firstLine="480" w:firstLineChars="200"/>
        <w:rPr>
          <w:rFonts w:ascii="宋体" w:hAnsi="宋体"/>
          <w:kern w:val="0"/>
          <w:sz w:val="24"/>
        </w:rPr>
      </w:pPr>
      <w:r>
        <w:rPr>
          <w:rFonts w:hint="eastAsia" w:ascii="宋体" w:hAnsi="宋体"/>
          <w:kern w:val="0"/>
          <w:sz w:val="24"/>
        </w:rPr>
        <w:t>基金托管费每日计提，按月支付。基金管理人与基金托管人双方核对无误后，基金托管人按照与基金管理人协商一致的方式于次月首日起5个工作日内从基金财产中一次性支取。若遇法定节假日、公休假或不可抗力等致使无法按时支付的，支付日期顺延。</w:t>
      </w:r>
    </w:p>
    <w:p w14:paraId="63160FBA">
      <w:pPr>
        <w:tabs>
          <w:tab w:val="left" w:pos="1260"/>
        </w:tabs>
        <w:spacing w:line="360" w:lineRule="auto"/>
        <w:ind w:firstLine="480" w:firstLineChars="200"/>
        <w:rPr>
          <w:rFonts w:hAnsi="宋体"/>
        </w:rPr>
      </w:pPr>
      <w:r>
        <w:rPr>
          <w:rFonts w:hint="eastAsia" w:ascii="宋体" w:hAnsi="宋体"/>
          <w:kern w:val="0"/>
          <w:sz w:val="24"/>
        </w:rPr>
        <w:t>2、其他基金费用按照《基金合同》的约定计提和支付。基金托管人发现基金管理人违反《基金法》、基金合同、《运作办法》及其他有关规定从基金财产中列支费用时，基金托管人可要求基金管理人予以说明解释，如基金管理人无正当理由，基金托管人可拒绝支付。</w:t>
      </w:r>
    </w:p>
    <w:p w14:paraId="6F9F6B43">
      <w:pPr>
        <w:pStyle w:val="2"/>
        <w:spacing w:before="0" w:after="0"/>
        <w:ind w:firstLine="480" w:firstLineChars="200"/>
        <w:rPr>
          <w:color w:val="auto"/>
        </w:rPr>
      </w:pPr>
      <w:bookmarkStart w:id="86" w:name="_Toc125892448"/>
      <w:bookmarkStart w:id="87" w:name="_Toc508720690"/>
      <w:r>
        <w:rPr>
          <w:rFonts w:hint="eastAsia"/>
          <w:color w:val="auto"/>
        </w:rPr>
        <w:t>十二、基金份额持有人名册的保管</w:t>
      </w:r>
      <w:bookmarkEnd w:id="86"/>
      <w:bookmarkEnd w:id="87"/>
    </w:p>
    <w:p w14:paraId="1A9D946C">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基金管理人可委托基金登记机构登记和保管基金份额持有人名册。基金份额持有人名册的内容包括但不限于基金份额持有人的名称和持有的基金份额。</w:t>
      </w:r>
    </w:p>
    <w:p w14:paraId="27296D06">
      <w:pPr>
        <w:tabs>
          <w:tab w:val="left" w:pos="1260"/>
        </w:tabs>
        <w:spacing w:line="360" w:lineRule="auto"/>
        <w:ind w:firstLine="480" w:firstLineChars="200"/>
        <w:rPr>
          <w:rFonts w:ascii="宋体" w:hAnsi="宋体"/>
          <w:kern w:val="0"/>
          <w:sz w:val="24"/>
        </w:rPr>
      </w:pPr>
      <w:r>
        <w:rPr>
          <w:rFonts w:hint="eastAsia" w:ascii="宋体" w:hAnsi="宋体"/>
          <w:kern w:val="0"/>
          <w:sz w:val="24"/>
        </w:rPr>
        <w:t>基金份额持有人名册，包括基金合同生效日的基金份额持有人名册、基金合同终止日的基金份额持有人名册、基金权益登记日的基金份额持有人名册、基金份额持有人大会权益登记日的基金份额持有人名册、每年最后一个交易日的基金份额持有人名册，由基金登记机构负责编制和保管，并对基金份额持有人名册的真实性、完整性和准确性负责</w:t>
      </w:r>
      <w:r>
        <w:rPr>
          <w:rFonts w:hint="eastAsia"/>
          <w:kern w:val="0"/>
          <w:sz w:val="24"/>
        </w:rPr>
        <w:t>，保存期限不低于法律法规规定的最低期限</w:t>
      </w:r>
      <w:r>
        <w:rPr>
          <w:rFonts w:hint="eastAsia" w:ascii="宋体" w:hAnsi="宋体"/>
          <w:kern w:val="0"/>
          <w:sz w:val="24"/>
        </w:rPr>
        <w:t>。</w:t>
      </w:r>
    </w:p>
    <w:p w14:paraId="0DE39DB1">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基金管理人应根据基金托管人的要求定期和不定期向基金托管人提供基金份额持有人名册。</w:t>
      </w:r>
    </w:p>
    <w:p w14:paraId="42C45AA4">
      <w:pPr>
        <w:tabs>
          <w:tab w:val="left" w:pos="1260"/>
        </w:tabs>
        <w:spacing w:line="360" w:lineRule="auto"/>
        <w:ind w:firstLine="480" w:firstLineChars="200"/>
        <w:rPr>
          <w:rFonts w:ascii="宋体" w:hAnsi="宋体"/>
          <w:kern w:val="0"/>
          <w:sz w:val="24"/>
        </w:rPr>
      </w:pPr>
      <w:r>
        <w:rPr>
          <w:rFonts w:hint="eastAsia" w:ascii="宋体" w:hAnsi="宋体"/>
          <w:kern w:val="0"/>
          <w:sz w:val="24"/>
        </w:rPr>
        <w:t>（一）基金管理人于《基金合同》生效日及《基金合同》终止日后10个工作日内向基金托管人提供由登记机构编制的基金份额持有人名册；</w:t>
      </w:r>
    </w:p>
    <w:p w14:paraId="7A23E338">
      <w:pPr>
        <w:tabs>
          <w:tab w:val="left" w:pos="1260"/>
        </w:tabs>
        <w:spacing w:line="360" w:lineRule="auto"/>
        <w:ind w:firstLine="480" w:firstLineChars="200"/>
        <w:rPr>
          <w:rFonts w:ascii="宋体" w:hAnsi="宋体"/>
          <w:kern w:val="0"/>
          <w:sz w:val="24"/>
        </w:rPr>
      </w:pPr>
      <w:r>
        <w:rPr>
          <w:rFonts w:hint="eastAsia" w:ascii="宋体" w:hAnsi="宋体"/>
          <w:kern w:val="0"/>
          <w:sz w:val="24"/>
        </w:rPr>
        <w:t>（二）基金管理人于基金份额持有人大会权益登记日后5个工作日内向基金托管人提供由登记机构编制的基金份额持有人名册；</w:t>
      </w:r>
    </w:p>
    <w:p w14:paraId="1768779E">
      <w:pPr>
        <w:tabs>
          <w:tab w:val="left" w:pos="1260"/>
        </w:tabs>
        <w:spacing w:line="360" w:lineRule="auto"/>
        <w:ind w:firstLine="480" w:firstLineChars="200"/>
        <w:rPr>
          <w:rFonts w:ascii="宋体" w:hAnsi="宋体"/>
          <w:kern w:val="0"/>
          <w:sz w:val="24"/>
        </w:rPr>
      </w:pPr>
      <w:r>
        <w:rPr>
          <w:rFonts w:hint="eastAsia" w:ascii="宋体" w:hAnsi="宋体"/>
          <w:kern w:val="0"/>
          <w:sz w:val="24"/>
        </w:rPr>
        <w:t>（三）基金管理人于每年最后一个交易日后10个工作日内向基金托管人提供由登记机构编制的基金份额持有人名册；</w:t>
      </w:r>
    </w:p>
    <w:p w14:paraId="0E2F7D4C">
      <w:pPr>
        <w:tabs>
          <w:tab w:val="left" w:pos="1260"/>
        </w:tabs>
        <w:spacing w:line="360" w:lineRule="auto"/>
        <w:ind w:firstLine="480" w:firstLineChars="200"/>
        <w:rPr>
          <w:rFonts w:ascii="宋体" w:hAnsi="宋体"/>
          <w:kern w:val="0"/>
          <w:sz w:val="24"/>
        </w:rPr>
      </w:pPr>
      <w:r>
        <w:rPr>
          <w:rFonts w:hint="eastAsia" w:ascii="宋体" w:hAnsi="宋体"/>
          <w:kern w:val="0"/>
          <w:sz w:val="24"/>
        </w:rPr>
        <w:t>（四）除上述约定时间外，如果确因业务需要，基金托管人与基金管理人商议一致后，由基金管理人向基金托管人提供由登记机构编制的基金份额持有人名册。</w:t>
      </w:r>
    </w:p>
    <w:p w14:paraId="4871877E">
      <w:pPr>
        <w:tabs>
          <w:tab w:val="left" w:pos="1260"/>
        </w:tabs>
        <w:spacing w:line="360" w:lineRule="auto"/>
        <w:ind w:firstLine="480" w:firstLineChars="200"/>
        <w:rPr>
          <w:rFonts w:ascii="宋体" w:hAnsi="宋体"/>
          <w:kern w:val="0"/>
          <w:sz w:val="24"/>
        </w:rPr>
      </w:pPr>
      <w:r>
        <w:rPr>
          <w:rFonts w:hint="eastAsia" w:ascii="宋体" w:hAnsi="宋体"/>
          <w:kern w:val="0"/>
          <w:sz w:val="24"/>
        </w:rPr>
        <w:t>基金托管人以电子版形式妥善保管基金份额持有人名册，并定期刻成光盘备份，保存期限不低于法律法规规定的最低期限。基金托管人不得将所保管的基金份额持有人名册用于基金托管业务以外的其他用途，并应遵守保密义务。</w:t>
      </w:r>
      <w:bookmarkStart w:id="88" w:name="_Toc523830003"/>
      <w:bookmarkStart w:id="89" w:name="_Toc22454468"/>
      <w:bookmarkStart w:id="90" w:name="_Toc125892449"/>
      <w:r>
        <w:rPr>
          <w:rFonts w:hint="eastAsia" w:ascii="宋体" w:hAnsi="宋体"/>
          <w:kern w:val="0"/>
          <w:sz w:val="24"/>
        </w:rPr>
        <w:t>若基金管理人或基金托管人由于自身原因无法妥善保管基金份额持有人名册，应按有关法规规定各自承担相应的责任。</w:t>
      </w:r>
    </w:p>
    <w:p w14:paraId="7404E15A">
      <w:pPr>
        <w:pStyle w:val="2"/>
        <w:spacing w:before="0" w:after="0"/>
        <w:ind w:firstLine="480" w:firstLineChars="200"/>
        <w:rPr>
          <w:color w:val="auto"/>
        </w:rPr>
      </w:pPr>
      <w:bookmarkStart w:id="91" w:name="_Toc508720691"/>
      <w:r>
        <w:rPr>
          <w:rFonts w:hint="eastAsia"/>
          <w:color w:val="auto"/>
        </w:rPr>
        <w:t>十三、基金有关文件档案的保存</w:t>
      </w:r>
      <w:bookmarkEnd w:id="82"/>
      <w:bookmarkEnd w:id="88"/>
      <w:bookmarkEnd w:id="89"/>
      <w:bookmarkEnd w:id="90"/>
      <w:bookmarkEnd w:id="91"/>
    </w:p>
    <w:p w14:paraId="3CDD833C">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基金管理人应保存基金财产管理业务活动的记录、账册、报表和其他相关资料，基金托管人应保存基金托管业务活动的记录、账册、报表和其他相关资料。</w:t>
      </w:r>
    </w:p>
    <w:p w14:paraId="476494BA">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基金管理人和基金托管人应按各自职责完整保存原始凭证、记账凭证、基金账册、会计报告、交易记录和重要合同等，保存期限不低于法律法规规定的最低期限。</w:t>
      </w:r>
    </w:p>
    <w:p w14:paraId="2165548A">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基金管理人签署重大合同文本后，应及时将合同文本正本送达基金托管人处。基金管理人应及时将与本基金账务处理、资金划拨等有关的合同、协议传真给基金托管人。</w:t>
      </w:r>
    </w:p>
    <w:p w14:paraId="280FA563">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基金管理人或基金托管人变更后，未变更的一方有义务协助接任人接收基金的有关文件。</w:t>
      </w:r>
      <w:bookmarkStart w:id="92" w:name="_Toc22454470"/>
      <w:bookmarkStart w:id="93" w:name="_Toc125892450"/>
      <w:bookmarkStart w:id="94" w:name="_Toc523830005"/>
      <w:bookmarkStart w:id="95" w:name="_Toc466788864"/>
    </w:p>
    <w:p w14:paraId="70A224B5">
      <w:pPr>
        <w:pStyle w:val="2"/>
        <w:spacing w:before="0" w:after="0"/>
        <w:ind w:firstLine="480" w:firstLineChars="200"/>
        <w:rPr>
          <w:color w:val="auto"/>
        </w:rPr>
      </w:pPr>
      <w:bookmarkStart w:id="96" w:name="_Toc508720692"/>
      <w:r>
        <w:rPr>
          <w:rFonts w:hint="eastAsia"/>
          <w:color w:val="auto"/>
        </w:rPr>
        <w:t>十四、基金管理人和基金托管人的更换</w:t>
      </w:r>
      <w:bookmarkEnd w:id="92"/>
      <w:bookmarkEnd w:id="93"/>
      <w:bookmarkEnd w:id="94"/>
      <w:bookmarkEnd w:id="95"/>
      <w:bookmarkEnd w:id="96"/>
    </w:p>
    <w:p w14:paraId="3396C585">
      <w:pPr>
        <w:spacing w:line="360" w:lineRule="auto"/>
        <w:ind w:firstLine="480" w:firstLineChars="200"/>
        <w:rPr>
          <w:bCs/>
          <w:sz w:val="24"/>
        </w:rPr>
      </w:pPr>
      <w:bookmarkStart w:id="97" w:name="_Toc77663031"/>
      <w:bookmarkStart w:id="98" w:name="_Toc22454471"/>
      <w:r>
        <w:rPr>
          <w:rFonts w:hint="eastAsia"/>
          <w:bCs/>
          <w:sz w:val="24"/>
        </w:rPr>
        <w:t>（</w:t>
      </w:r>
      <w:r>
        <w:rPr>
          <w:bCs/>
          <w:sz w:val="24"/>
        </w:rPr>
        <w:t>一</w:t>
      </w:r>
      <w:r>
        <w:rPr>
          <w:rFonts w:hint="eastAsia"/>
          <w:bCs/>
          <w:sz w:val="24"/>
        </w:rPr>
        <w:t>）</w:t>
      </w:r>
      <w:r>
        <w:rPr>
          <w:bCs/>
          <w:sz w:val="24"/>
        </w:rPr>
        <w:t>基金管理人和基金托管人职责终止的情形</w:t>
      </w:r>
    </w:p>
    <w:p w14:paraId="35A72093">
      <w:pPr>
        <w:spacing w:line="360" w:lineRule="auto"/>
        <w:ind w:firstLine="480" w:firstLineChars="200"/>
        <w:rPr>
          <w:bCs/>
          <w:sz w:val="24"/>
        </w:rPr>
      </w:pPr>
      <w:bookmarkStart w:id="99" w:name="_Toc22005971"/>
      <w:r>
        <w:rPr>
          <w:rFonts w:hint="eastAsia"/>
          <w:bCs/>
          <w:sz w:val="24"/>
        </w:rPr>
        <w:t>1、</w:t>
      </w:r>
      <w:r>
        <w:rPr>
          <w:bCs/>
          <w:sz w:val="24"/>
        </w:rPr>
        <w:t>基金管理人职责终止的情形</w:t>
      </w:r>
      <w:bookmarkEnd w:id="99"/>
    </w:p>
    <w:p w14:paraId="1C8B5EAE">
      <w:pPr>
        <w:spacing w:line="360" w:lineRule="auto"/>
        <w:ind w:firstLine="480" w:firstLineChars="200"/>
        <w:rPr>
          <w:bCs/>
          <w:sz w:val="24"/>
        </w:rPr>
      </w:pPr>
      <w:r>
        <w:rPr>
          <w:bCs/>
          <w:sz w:val="24"/>
        </w:rPr>
        <w:t>有下列情形之一的，基金管理人职责终止：</w:t>
      </w:r>
    </w:p>
    <w:p w14:paraId="36D7E16C">
      <w:pPr>
        <w:spacing w:line="360" w:lineRule="auto"/>
        <w:ind w:firstLine="480" w:firstLineChars="200"/>
        <w:rPr>
          <w:bCs/>
          <w:sz w:val="24"/>
        </w:rPr>
      </w:pPr>
      <w:r>
        <w:rPr>
          <w:rFonts w:hint="eastAsia"/>
          <w:bCs/>
          <w:sz w:val="24"/>
        </w:rPr>
        <w:t>（</w:t>
      </w:r>
      <w:r>
        <w:rPr>
          <w:bCs/>
          <w:sz w:val="24"/>
        </w:rPr>
        <w:t>1</w:t>
      </w:r>
      <w:r>
        <w:rPr>
          <w:rFonts w:hint="eastAsia"/>
          <w:bCs/>
          <w:sz w:val="24"/>
        </w:rPr>
        <w:t>）</w:t>
      </w:r>
      <w:r>
        <w:rPr>
          <w:bCs/>
          <w:sz w:val="24"/>
        </w:rPr>
        <w:t>被依法取消基金管理资格；</w:t>
      </w:r>
    </w:p>
    <w:p w14:paraId="072243D1">
      <w:pPr>
        <w:spacing w:line="360" w:lineRule="auto"/>
        <w:ind w:firstLine="480" w:firstLineChars="200"/>
        <w:rPr>
          <w:bCs/>
          <w:sz w:val="24"/>
        </w:rPr>
      </w:pPr>
      <w:r>
        <w:rPr>
          <w:rFonts w:hint="eastAsia"/>
          <w:bCs/>
          <w:sz w:val="24"/>
        </w:rPr>
        <w:t>（</w:t>
      </w:r>
      <w:r>
        <w:rPr>
          <w:bCs/>
          <w:sz w:val="24"/>
        </w:rPr>
        <w:t>2</w:t>
      </w:r>
      <w:r>
        <w:rPr>
          <w:rFonts w:hint="eastAsia"/>
          <w:bCs/>
          <w:sz w:val="24"/>
        </w:rPr>
        <w:t>）</w:t>
      </w:r>
      <w:r>
        <w:rPr>
          <w:bCs/>
          <w:sz w:val="24"/>
        </w:rPr>
        <w:t>被基金份额持有人大会解任；</w:t>
      </w:r>
    </w:p>
    <w:p w14:paraId="542371B7">
      <w:pPr>
        <w:spacing w:line="360" w:lineRule="auto"/>
        <w:ind w:firstLine="480" w:firstLineChars="200"/>
        <w:rPr>
          <w:bCs/>
          <w:sz w:val="24"/>
        </w:rPr>
      </w:pPr>
      <w:r>
        <w:rPr>
          <w:rFonts w:hint="eastAsia"/>
          <w:bCs/>
          <w:sz w:val="24"/>
        </w:rPr>
        <w:t>（</w:t>
      </w:r>
      <w:r>
        <w:rPr>
          <w:bCs/>
          <w:sz w:val="24"/>
        </w:rPr>
        <w:t>3</w:t>
      </w:r>
      <w:r>
        <w:rPr>
          <w:rFonts w:hint="eastAsia"/>
          <w:bCs/>
          <w:sz w:val="24"/>
        </w:rPr>
        <w:t>）</w:t>
      </w:r>
      <w:r>
        <w:rPr>
          <w:bCs/>
          <w:sz w:val="24"/>
        </w:rPr>
        <w:t>依法解散、被依法撤销或被依法宣告破产；</w:t>
      </w:r>
    </w:p>
    <w:p w14:paraId="27BDF277">
      <w:pPr>
        <w:spacing w:line="360" w:lineRule="auto"/>
        <w:ind w:firstLine="480" w:firstLineChars="200"/>
        <w:rPr>
          <w:bCs/>
          <w:sz w:val="24"/>
        </w:rPr>
      </w:pPr>
      <w:r>
        <w:rPr>
          <w:rFonts w:hint="eastAsia"/>
          <w:bCs/>
          <w:sz w:val="24"/>
        </w:rPr>
        <w:t>（</w:t>
      </w:r>
      <w:r>
        <w:rPr>
          <w:bCs/>
          <w:sz w:val="24"/>
        </w:rPr>
        <w:t>4</w:t>
      </w:r>
      <w:r>
        <w:rPr>
          <w:rFonts w:hint="eastAsia"/>
          <w:bCs/>
          <w:sz w:val="24"/>
        </w:rPr>
        <w:t>）法律法规及中国证监会规定的和《基金合同》约定的其他</w:t>
      </w:r>
      <w:r>
        <w:rPr>
          <w:bCs/>
          <w:sz w:val="24"/>
        </w:rPr>
        <w:t>情形。</w:t>
      </w:r>
    </w:p>
    <w:p w14:paraId="514EC210">
      <w:pPr>
        <w:spacing w:line="360" w:lineRule="auto"/>
        <w:ind w:firstLine="480" w:firstLineChars="200"/>
        <w:rPr>
          <w:bCs/>
          <w:sz w:val="24"/>
        </w:rPr>
      </w:pPr>
      <w:bookmarkStart w:id="100" w:name="_Toc22005972"/>
      <w:r>
        <w:rPr>
          <w:rFonts w:hint="eastAsia"/>
          <w:bCs/>
          <w:sz w:val="24"/>
        </w:rPr>
        <w:t>2、</w:t>
      </w:r>
      <w:r>
        <w:rPr>
          <w:bCs/>
          <w:sz w:val="24"/>
        </w:rPr>
        <w:t>基金托管人职责终止的情形</w:t>
      </w:r>
      <w:bookmarkEnd w:id="100"/>
    </w:p>
    <w:p w14:paraId="12C1ED44">
      <w:pPr>
        <w:spacing w:line="360" w:lineRule="auto"/>
        <w:ind w:firstLine="480" w:firstLineChars="200"/>
        <w:rPr>
          <w:bCs/>
          <w:sz w:val="24"/>
        </w:rPr>
      </w:pPr>
      <w:r>
        <w:rPr>
          <w:bCs/>
          <w:sz w:val="24"/>
        </w:rPr>
        <w:t>有下列情形之一的，基金托管人职责终止：</w:t>
      </w:r>
    </w:p>
    <w:p w14:paraId="0A1CE6D1">
      <w:pPr>
        <w:spacing w:line="360" w:lineRule="auto"/>
        <w:ind w:firstLine="480" w:firstLineChars="200"/>
        <w:rPr>
          <w:bCs/>
          <w:sz w:val="24"/>
        </w:rPr>
      </w:pPr>
      <w:r>
        <w:rPr>
          <w:rFonts w:hint="eastAsia"/>
          <w:bCs/>
          <w:sz w:val="24"/>
        </w:rPr>
        <w:t>（</w:t>
      </w:r>
      <w:r>
        <w:rPr>
          <w:bCs/>
          <w:sz w:val="24"/>
        </w:rPr>
        <w:t>1</w:t>
      </w:r>
      <w:r>
        <w:rPr>
          <w:rFonts w:hint="eastAsia"/>
          <w:bCs/>
          <w:sz w:val="24"/>
        </w:rPr>
        <w:t>）</w:t>
      </w:r>
      <w:r>
        <w:rPr>
          <w:bCs/>
          <w:sz w:val="24"/>
        </w:rPr>
        <w:t>被依法取消基金托管资格；</w:t>
      </w:r>
    </w:p>
    <w:p w14:paraId="31917502">
      <w:pPr>
        <w:spacing w:line="360" w:lineRule="auto"/>
        <w:ind w:firstLine="480" w:firstLineChars="200"/>
        <w:rPr>
          <w:bCs/>
          <w:sz w:val="24"/>
        </w:rPr>
      </w:pPr>
      <w:r>
        <w:rPr>
          <w:rFonts w:hint="eastAsia"/>
          <w:bCs/>
          <w:sz w:val="24"/>
        </w:rPr>
        <w:t>（</w:t>
      </w:r>
      <w:r>
        <w:rPr>
          <w:bCs/>
          <w:sz w:val="24"/>
        </w:rPr>
        <w:t>2</w:t>
      </w:r>
      <w:r>
        <w:rPr>
          <w:rFonts w:hint="eastAsia"/>
          <w:bCs/>
          <w:sz w:val="24"/>
        </w:rPr>
        <w:t>）</w:t>
      </w:r>
      <w:r>
        <w:rPr>
          <w:bCs/>
          <w:sz w:val="24"/>
        </w:rPr>
        <w:t>被基金份额持有人大会解任；</w:t>
      </w:r>
    </w:p>
    <w:p w14:paraId="2B7982CC">
      <w:pPr>
        <w:spacing w:line="360" w:lineRule="auto"/>
        <w:ind w:firstLine="480" w:firstLineChars="200"/>
        <w:rPr>
          <w:bCs/>
          <w:sz w:val="24"/>
        </w:rPr>
      </w:pPr>
      <w:r>
        <w:rPr>
          <w:rFonts w:hint="eastAsia"/>
          <w:bCs/>
          <w:sz w:val="24"/>
        </w:rPr>
        <w:t>（</w:t>
      </w:r>
      <w:r>
        <w:rPr>
          <w:bCs/>
          <w:sz w:val="24"/>
        </w:rPr>
        <w:t>3</w:t>
      </w:r>
      <w:r>
        <w:rPr>
          <w:rFonts w:hint="eastAsia"/>
          <w:bCs/>
          <w:sz w:val="24"/>
        </w:rPr>
        <w:t>）</w:t>
      </w:r>
      <w:r>
        <w:rPr>
          <w:bCs/>
          <w:sz w:val="24"/>
        </w:rPr>
        <w:t>依法解散、被依法撤销或被依法宣告破产；</w:t>
      </w:r>
    </w:p>
    <w:p w14:paraId="53375C6F">
      <w:pPr>
        <w:spacing w:line="360" w:lineRule="auto"/>
        <w:ind w:firstLine="480" w:firstLineChars="200"/>
        <w:rPr>
          <w:bCs/>
          <w:sz w:val="24"/>
        </w:rPr>
      </w:pPr>
      <w:r>
        <w:rPr>
          <w:rFonts w:hint="eastAsia"/>
          <w:bCs/>
          <w:sz w:val="24"/>
        </w:rPr>
        <w:t>（</w:t>
      </w:r>
      <w:r>
        <w:rPr>
          <w:bCs/>
          <w:sz w:val="24"/>
        </w:rPr>
        <w:t>4</w:t>
      </w:r>
      <w:r>
        <w:rPr>
          <w:rFonts w:hint="eastAsia"/>
          <w:bCs/>
          <w:sz w:val="24"/>
        </w:rPr>
        <w:t>）法律法规及中国证监会规定的和《基金合同》约定的其他</w:t>
      </w:r>
      <w:r>
        <w:rPr>
          <w:bCs/>
          <w:sz w:val="24"/>
        </w:rPr>
        <w:t>情形。</w:t>
      </w:r>
    </w:p>
    <w:p w14:paraId="1C1A34AB">
      <w:pPr>
        <w:spacing w:line="360" w:lineRule="auto"/>
        <w:ind w:firstLine="480" w:firstLineChars="200"/>
        <w:rPr>
          <w:bCs/>
          <w:sz w:val="24"/>
        </w:rPr>
      </w:pPr>
      <w:bookmarkStart w:id="101" w:name="_Toc15118246"/>
      <w:bookmarkStart w:id="102" w:name="_Toc57530253"/>
      <w:bookmarkStart w:id="103" w:name="_Toc79392594"/>
      <w:r>
        <w:rPr>
          <w:rFonts w:hint="eastAsia"/>
          <w:bCs/>
          <w:sz w:val="24"/>
        </w:rPr>
        <w:t>（</w:t>
      </w:r>
      <w:r>
        <w:rPr>
          <w:bCs/>
          <w:sz w:val="24"/>
        </w:rPr>
        <w:t>二</w:t>
      </w:r>
      <w:r>
        <w:rPr>
          <w:rFonts w:hint="eastAsia"/>
          <w:bCs/>
          <w:sz w:val="24"/>
        </w:rPr>
        <w:t>）</w:t>
      </w:r>
      <w:r>
        <w:rPr>
          <w:bCs/>
          <w:sz w:val="24"/>
        </w:rPr>
        <w:t>基金管理人和基金托管人的更换程序</w:t>
      </w:r>
      <w:bookmarkEnd w:id="101"/>
      <w:bookmarkEnd w:id="102"/>
      <w:bookmarkEnd w:id="103"/>
    </w:p>
    <w:p w14:paraId="69B509C8">
      <w:pPr>
        <w:spacing w:line="360" w:lineRule="auto"/>
        <w:ind w:firstLine="480" w:firstLineChars="200"/>
        <w:rPr>
          <w:bCs/>
          <w:sz w:val="24"/>
        </w:rPr>
      </w:pPr>
      <w:bookmarkStart w:id="104" w:name="_Toc22005974"/>
      <w:r>
        <w:rPr>
          <w:rFonts w:hint="eastAsia"/>
          <w:bCs/>
          <w:sz w:val="24"/>
        </w:rPr>
        <w:t>1、</w:t>
      </w:r>
      <w:r>
        <w:rPr>
          <w:bCs/>
          <w:sz w:val="24"/>
        </w:rPr>
        <w:t>基金管理人的更换程序</w:t>
      </w:r>
      <w:bookmarkEnd w:id="104"/>
    </w:p>
    <w:p w14:paraId="2E817188">
      <w:pPr>
        <w:spacing w:line="360" w:lineRule="auto"/>
        <w:ind w:firstLine="480" w:firstLineChars="200"/>
        <w:rPr>
          <w:bCs/>
          <w:sz w:val="24"/>
        </w:rPr>
      </w:pPr>
      <w:r>
        <w:rPr>
          <w:rFonts w:hint="eastAsia"/>
          <w:bCs/>
          <w:sz w:val="24"/>
        </w:rPr>
        <w:t>（</w:t>
      </w:r>
      <w:r>
        <w:rPr>
          <w:bCs/>
          <w:sz w:val="24"/>
        </w:rPr>
        <w:t>1</w:t>
      </w:r>
      <w:r>
        <w:rPr>
          <w:rFonts w:hint="eastAsia"/>
          <w:bCs/>
          <w:sz w:val="24"/>
        </w:rPr>
        <w:t>）</w:t>
      </w:r>
      <w:r>
        <w:rPr>
          <w:bCs/>
          <w:sz w:val="24"/>
        </w:rPr>
        <w:t>提名：</w:t>
      </w:r>
      <w:r>
        <w:rPr>
          <w:rFonts w:hint="eastAsia"/>
          <w:sz w:val="24"/>
        </w:rPr>
        <w:t>新任基金管理人由基金托管人或由单独或合计持有10%以上（含10%）基金份额的基金份额持有人提名；</w:t>
      </w:r>
    </w:p>
    <w:p w14:paraId="62772CFF">
      <w:pPr>
        <w:spacing w:line="360" w:lineRule="auto"/>
        <w:ind w:firstLine="480" w:firstLineChars="200"/>
        <w:rPr>
          <w:bCs/>
          <w:sz w:val="24"/>
        </w:rPr>
      </w:pPr>
      <w:r>
        <w:rPr>
          <w:rFonts w:hint="eastAsia"/>
          <w:bCs/>
          <w:sz w:val="24"/>
        </w:rPr>
        <w:t>（</w:t>
      </w:r>
      <w:r>
        <w:rPr>
          <w:bCs/>
          <w:sz w:val="24"/>
        </w:rPr>
        <w:t>2</w:t>
      </w:r>
      <w:r>
        <w:rPr>
          <w:rFonts w:hint="eastAsia"/>
          <w:bCs/>
          <w:sz w:val="24"/>
        </w:rPr>
        <w:t>）决议：基金份额持有人大会在基金管理人职责终止后</w:t>
      </w:r>
      <w:r>
        <w:rPr>
          <w:bCs/>
          <w:sz w:val="24"/>
        </w:rPr>
        <w:t>6</w:t>
      </w:r>
      <w:r>
        <w:rPr>
          <w:rFonts w:hint="eastAsia"/>
          <w:bCs/>
          <w:sz w:val="24"/>
        </w:rPr>
        <w:t>个月内对被提名的基金管理人形成决议，该决议需经参加大会的基金份额持有人所持表决权的三分之二以上（含三分之二）表决通过，</w:t>
      </w:r>
      <w:r>
        <w:rPr>
          <w:bCs/>
          <w:sz w:val="24"/>
        </w:rPr>
        <w:t>决议</w:t>
      </w:r>
      <w:r>
        <w:rPr>
          <w:rFonts w:hint="eastAsia"/>
          <w:bCs/>
          <w:sz w:val="24"/>
        </w:rPr>
        <w:t>自表决通过之日起生效；</w:t>
      </w:r>
    </w:p>
    <w:p w14:paraId="0264A904">
      <w:pPr>
        <w:spacing w:line="360" w:lineRule="auto"/>
        <w:ind w:firstLine="480" w:firstLineChars="200"/>
        <w:rPr>
          <w:bCs/>
          <w:sz w:val="24"/>
        </w:rPr>
      </w:pPr>
      <w:r>
        <w:rPr>
          <w:rFonts w:hint="eastAsia"/>
          <w:bCs/>
          <w:sz w:val="24"/>
        </w:rPr>
        <w:t>（</w:t>
      </w:r>
      <w:r>
        <w:rPr>
          <w:bCs/>
          <w:sz w:val="24"/>
        </w:rPr>
        <w:t>3</w:t>
      </w:r>
      <w:r>
        <w:rPr>
          <w:rFonts w:hint="eastAsia"/>
          <w:bCs/>
          <w:sz w:val="24"/>
        </w:rPr>
        <w:t>）</w:t>
      </w:r>
      <w:r>
        <w:rPr>
          <w:bCs/>
          <w:sz w:val="24"/>
        </w:rPr>
        <w:t>临时基金管理人：</w:t>
      </w:r>
      <w:r>
        <w:rPr>
          <w:rFonts w:hint="eastAsia"/>
          <w:sz w:val="24"/>
        </w:rPr>
        <w:t>新任基金管理人产生之前，由中国证监会指定临时基金管理人</w:t>
      </w:r>
      <w:r>
        <w:rPr>
          <w:rFonts w:hint="eastAsia"/>
          <w:bCs/>
          <w:sz w:val="24"/>
        </w:rPr>
        <w:t>；</w:t>
      </w:r>
    </w:p>
    <w:p w14:paraId="7F5F063C">
      <w:pPr>
        <w:spacing w:line="360" w:lineRule="auto"/>
        <w:ind w:firstLine="480" w:firstLineChars="200"/>
        <w:rPr>
          <w:bCs/>
          <w:sz w:val="24"/>
        </w:rPr>
      </w:pPr>
      <w:r>
        <w:rPr>
          <w:rFonts w:hint="eastAsia"/>
          <w:bCs/>
          <w:sz w:val="24"/>
        </w:rPr>
        <w:t>（</w:t>
      </w:r>
      <w:r>
        <w:rPr>
          <w:bCs/>
          <w:sz w:val="24"/>
        </w:rPr>
        <w:t>4</w:t>
      </w:r>
      <w:r>
        <w:rPr>
          <w:rFonts w:hint="eastAsia"/>
          <w:bCs/>
          <w:sz w:val="24"/>
        </w:rPr>
        <w:t>）备案</w:t>
      </w:r>
      <w:r>
        <w:rPr>
          <w:bCs/>
          <w:sz w:val="24"/>
        </w:rPr>
        <w:t>：</w:t>
      </w:r>
      <w:r>
        <w:rPr>
          <w:rFonts w:hint="eastAsia"/>
          <w:bCs/>
          <w:sz w:val="24"/>
        </w:rPr>
        <w:t>基金份额持有人大会更换基金管理人的决议须报中国证监会备案；</w:t>
      </w:r>
    </w:p>
    <w:p w14:paraId="1C12AC91">
      <w:pPr>
        <w:spacing w:line="360" w:lineRule="auto"/>
        <w:ind w:firstLine="480" w:firstLineChars="200"/>
        <w:rPr>
          <w:bCs/>
          <w:sz w:val="24"/>
        </w:rPr>
      </w:pPr>
      <w:r>
        <w:rPr>
          <w:rFonts w:hint="eastAsia"/>
          <w:bCs/>
          <w:sz w:val="24"/>
        </w:rPr>
        <w:t>（</w:t>
      </w:r>
      <w:r>
        <w:rPr>
          <w:bCs/>
          <w:sz w:val="24"/>
        </w:rPr>
        <w:t>5</w:t>
      </w:r>
      <w:r>
        <w:rPr>
          <w:rFonts w:hint="eastAsia"/>
          <w:bCs/>
          <w:sz w:val="24"/>
        </w:rPr>
        <w:t>）</w:t>
      </w:r>
      <w:r>
        <w:rPr>
          <w:bCs/>
          <w:sz w:val="24"/>
        </w:rPr>
        <w:t>公告：基金管理人更换后，由基金托管人在</w:t>
      </w:r>
      <w:r>
        <w:rPr>
          <w:sz w:val="24"/>
        </w:rPr>
        <w:t>更换基金管理人的基金份额持有人大会决议生效后</w:t>
      </w:r>
      <w:r>
        <w:rPr>
          <w:rFonts w:hint="eastAsia"/>
          <w:bCs/>
          <w:sz w:val="24"/>
        </w:rPr>
        <w:t>依照《信息披露办法》</w:t>
      </w:r>
      <w:r>
        <w:rPr>
          <w:bCs/>
          <w:sz w:val="24"/>
        </w:rPr>
        <w:t>在</w:t>
      </w:r>
      <w:r>
        <w:rPr>
          <w:rFonts w:hint="eastAsia"/>
          <w:bCs/>
          <w:sz w:val="24"/>
        </w:rPr>
        <w:t>规定媒介</w:t>
      </w:r>
      <w:r>
        <w:rPr>
          <w:bCs/>
          <w:sz w:val="24"/>
        </w:rPr>
        <w:t>公告</w:t>
      </w:r>
      <w:r>
        <w:rPr>
          <w:rFonts w:hint="eastAsia"/>
          <w:bCs/>
          <w:sz w:val="24"/>
        </w:rPr>
        <w:t>；</w:t>
      </w:r>
    </w:p>
    <w:p w14:paraId="69C69D25">
      <w:pPr>
        <w:spacing w:line="360" w:lineRule="auto"/>
        <w:ind w:firstLine="480" w:firstLineChars="200"/>
        <w:rPr>
          <w:bCs/>
          <w:sz w:val="24"/>
        </w:rPr>
      </w:pPr>
      <w:r>
        <w:rPr>
          <w:rFonts w:hint="eastAsia"/>
          <w:bCs/>
          <w:sz w:val="24"/>
        </w:rPr>
        <w:t>（</w:t>
      </w:r>
      <w:r>
        <w:rPr>
          <w:bCs/>
          <w:sz w:val="24"/>
        </w:rPr>
        <w:t>6</w:t>
      </w:r>
      <w:r>
        <w:rPr>
          <w:rFonts w:hint="eastAsia"/>
          <w:bCs/>
          <w:sz w:val="24"/>
        </w:rPr>
        <w:t>）</w:t>
      </w:r>
      <w:r>
        <w:rPr>
          <w:bCs/>
          <w:sz w:val="24"/>
        </w:rPr>
        <w:t>交接：</w:t>
      </w:r>
      <w:r>
        <w:rPr>
          <w:rFonts w:hint="eastAsia"/>
          <w:bCs/>
          <w:sz w:val="24"/>
        </w:rPr>
        <w:t>基金管理人职责终止的，基金管理人应妥善保管基金管理业务资料，及时向临时基金管理人或新任基金管理人办理基金管理业务的移交手续，临时基金管理人或新任基金管理人应及时接收。临时基金管理人或新任基金管理人应与基金托管人核对基金资产总值和净值；</w:t>
      </w:r>
    </w:p>
    <w:p w14:paraId="4F728EC9">
      <w:pPr>
        <w:spacing w:line="360" w:lineRule="auto"/>
        <w:ind w:firstLine="480" w:firstLineChars="200"/>
        <w:rPr>
          <w:bCs/>
          <w:sz w:val="24"/>
        </w:rPr>
      </w:pPr>
      <w:r>
        <w:rPr>
          <w:rFonts w:hint="eastAsia"/>
          <w:bCs/>
          <w:sz w:val="24"/>
        </w:rPr>
        <w:t>（7）</w:t>
      </w:r>
      <w:r>
        <w:rPr>
          <w:bCs/>
          <w:sz w:val="24"/>
        </w:rPr>
        <w:t>审计：</w:t>
      </w:r>
      <w:r>
        <w:rPr>
          <w:rFonts w:hint="eastAsia"/>
          <w:bCs/>
          <w:sz w:val="24"/>
        </w:rPr>
        <w:t>基金管理人职责终止的，应当按照法律法规规定聘请会计师事务所对基金财产进行审计，并将审计结果予以公告，同时报中国证监会备案，审计费用从基金财产中列支；</w:t>
      </w:r>
    </w:p>
    <w:p w14:paraId="5D3EA522">
      <w:pPr>
        <w:spacing w:line="360" w:lineRule="auto"/>
        <w:ind w:firstLine="480" w:firstLineChars="200"/>
        <w:rPr>
          <w:bCs/>
          <w:sz w:val="24"/>
        </w:rPr>
      </w:pPr>
      <w:r>
        <w:rPr>
          <w:rFonts w:hint="eastAsia"/>
          <w:bCs/>
          <w:sz w:val="24"/>
        </w:rPr>
        <w:t>（</w:t>
      </w:r>
      <w:r>
        <w:rPr>
          <w:bCs/>
          <w:sz w:val="24"/>
        </w:rPr>
        <w:t>8</w:t>
      </w:r>
      <w:r>
        <w:rPr>
          <w:rFonts w:hint="eastAsia"/>
          <w:bCs/>
          <w:sz w:val="24"/>
        </w:rPr>
        <w:t>）</w:t>
      </w:r>
      <w:r>
        <w:rPr>
          <w:bCs/>
          <w:sz w:val="24"/>
        </w:rPr>
        <w:t>基金名称变更：</w:t>
      </w:r>
      <w:r>
        <w:rPr>
          <w:rFonts w:hint="eastAsia"/>
          <w:bCs/>
          <w:sz w:val="24"/>
        </w:rPr>
        <w:t>基金管理人更换后，如果原任或新任基金管理人要求，应按其要求替换或删除基金名称中与原基金管理人有关的名称字样。</w:t>
      </w:r>
    </w:p>
    <w:p w14:paraId="4A1AE1E6">
      <w:pPr>
        <w:spacing w:line="360" w:lineRule="auto"/>
        <w:ind w:firstLine="480" w:firstLineChars="200"/>
        <w:rPr>
          <w:bCs/>
          <w:sz w:val="24"/>
        </w:rPr>
      </w:pPr>
      <w:bookmarkStart w:id="105" w:name="_Toc22005975"/>
      <w:r>
        <w:rPr>
          <w:rFonts w:hint="eastAsia"/>
          <w:bCs/>
          <w:sz w:val="24"/>
        </w:rPr>
        <w:t>2、</w:t>
      </w:r>
      <w:r>
        <w:rPr>
          <w:bCs/>
          <w:sz w:val="24"/>
        </w:rPr>
        <w:t>基金托管人的更换程序</w:t>
      </w:r>
      <w:bookmarkEnd w:id="105"/>
    </w:p>
    <w:p w14:paraId="5DB9D271">
      <w:pPr>
        <w:spacing w:line="360" w:lineRule="auto"/>
        <w:ind w:firstLine="480" w:firstLineChars="200"/>
        <w:rPr>
          <w:bCs/>
          <w:sz w:val="24"/>
        </w:rPr>
      </w:pPr>
      <w:r>
        <w:rPr>
          <w:rFonts w:hint="eastAsia"/>
          <w:bCs/>
          <w:sz w:val="24"/>
        </w:rPr>
        <w:t>（</w:t>
      </w:r>
      <w:r>
        <w:rPr>
          <w:bCs/>
          <w:sz w:val="24"/>
        </w:rPr>
        <w:t>1</w:t>
      </w:r>
      <w:r>
        <w:rPr>
          <w:rFonts w:hint="eastAsia"/>
          <w:bCs/>
          <w:sz w:val="24"/>
        </w:rPr>
        <w:t>）</w:t>
      </w:r>
      <w:r>
        <w:rPr>
          <w:bCs/>
          <w:sz w:val="24"/>
        </w:rPr>
        <w:t>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26A78CDD">
      <w:pPr>
        <w:spacing w:line="360" w:lineRule="auto"/>
        <w:ind w:firstLine="480" w:firstLineChars="200"/>
        <w:rPr>
          <w:bCs/>
          <w:sz w:val="24"/>
        </w:rPr>
      </w:pPr>
      <w:r>
        <w:rPr>
          <w:rFonts w:hint="eastAsia"/>
          <w:bCs/>
          <w:sz w:val="24"/>
        </w:rPr>
        <w:t>（</w:t>
      </w:r>
      <w:r>
        <w:rPr>
          <w:bCs/>
          <w:sz w:val="24"/>
        </w:rPr>
        <w:t>2</w:t>
      </w:r>
      <w:r>
        <w:rPr>
          <w:rFonts w:hint="eastAsia"/>
          <w:bCs/>
          <w:sz w:val="24"/>
        </w:rPr>
        <w:t>）</w:t>
      </w:r>
      <w:r>
        <w:rPr>
          <w:bCs/>
          <w:sz w:val="24"/>
        </w:rPr>
        <w:t>决议：</w:t>
      </w:r>
      <w:r>
        <w:rPr>
          <w:rFonts w:hint="eastAsia"/>
          <w:bCs/>
          <w:sz w:val="24"/>
        </w:rPr>
        <w:t>基金份额持有人大会在基金托管人职责终止后</w:t>
      </w:r>
      <w:r>
        <w:rPr>
          <w:bCs/>
          <w:sz w:val="24"/>
        </w:rPr>
        <w:t>6</w:t>
      </w:r>
      <w:r>
        <w:rPr>
          <w:rFonts w:hint="eastAsia"/>
          <w:bCs/>
          <w:sz w:val="24"/>
        </w:rPr>
        <w:t>个月内对被提名的基金托管人形成决议，该决议需经参加大会的基金份额持有人所持表决权的三分之二以上（含三分之二）表决通过，</w:t>
      </w:r>
      <w:r>
        <w:rPr>
          <w:bCs/>
          <w:sz w:val="24"/>
        </w:rPr>
        <w:t>决议</w:t>
      </w:r>
      <w:r>
        <w:rPr>
          <w:rFonts w:hint="eastAsia"/>
          <w:bCs/>
          <w:sz w:val="24"/>
        </w:rPr>
        <w:t>自表决通过之日起生效；</w:t>
      </w:r>
    </w:p>
    <w:p w14:paraId="0E672F68">
      <w:pPr>
        <w:spacing w:line="360" w:lineRule="auto"/>
        <w:ind w:firstLine="480" w:firstLineChars="200"/>
        <w:rPr>
          <w:bCs/>
          <w:sz w:val="24"/>
        </w:rPr>
      </w:pPr>
      <w:r>
        <w:rPr>
          <w:rFonts w:hint="eastAsia"/>
          <w:bCs/>
          <w:sz w:val="24"/>
        </w:rPr>
        <w:t>（</w:t>
      </w:r>
      <w:r>
        <w:rPr>
          <w:bCs/>
          <w:sz w:val="24"/>
        </w:rPr>
        <w:t>3</w:t>
      </w:r>
      <w:r>
        <w:rPr>
          <w:rFonts w:hint="eastAsia"/>
          <w:bCs/>
          <w:sz w:val="24"/>
        </w:rPr>
        <w:t>）</w:t>
      </w:r>
      <w:r>
        <w:rPr>
          <w:bCs/>
          <w:sz w:val="24"/>
        </w:rPr>
        <w:t>临时基金托管人：新任基金托管人产生之前，由中国证监会指定临时基金托管人；</w:t>
      </w:r>
    </w:p>
    <w:p w14:paraId="53248DF0">
      <w:pPr>
        <w:spacing w:line="360" w:lineRule="auto"/>
        <w:ind w:firstLine="480" w:firstLineChars="200"/>
        <w:rPr>
          <w:bCs/>
          <w:sz w:val="24"/>
        </w:rPr>
      </w:pPr>
      <w:r>
        <w:rPr>
          <w:rFonts w:hint="eastAsia"/>
          <w:bCs/>
          <w:sz w:val="24"/>
        </w:rPr>
        <w:t>（</w:t>
      </w:r>
      <w:r>
        <w:rPr>
          <w:bCs/>
          <w:sz w:val="24"/>
        </w:rPr>
        <w:t>4</w:t>
      </w:r>
      <w:r>
        <w:rPr>
          <w:rFonts w:hint="eastAsia"/>
          <w:bCs/>
          <w:sz w:val="24"/>
        </w:rPr>
        <w:t>）备案</w:t>
      </w:r>
      <w:r>
        <w:rPr>
          <w:bCs/>
          <w:sz w:val="24"/>
        </w:rPr>
        <w:t>：</w:t>
      </w:r>
      <w:r>
        <w:rPr>
          <w:rFonts w:hint="eastAsia"/>
          <w:bCs/>
          <w:sz w:val="24"/>
        </w:rPr>
        <w:t>基金份额持有人大会更换基金托管人的决议须报中国证监会备案；</w:t>
      </w:r>
    </w:p>
    <w:p w14:paraId="58D3A1EE">
      <w:pPr>
        <w:spacing w:line="360" w:lineRule="auto"/>
        <w:ind w:firstLine="480" w:firstLineChars="200"/>
        <w:rPr>
          <w:bCs/>
          <w:sz w:val="24"/>
        </w:rPr>
      </w:pPr>
      <w:r>
        <w:rPr>
          <w:rFonts w:hint="eastAsia"/>
          <w:bCs/>
          <w:sz w:val="24"/>
        </w:rPr>
        <w:t>（</w:t>
      </w:r>
      <w:r>
        <w:rPr>
          <w:bCs/>
          <w:sz w:val="24"/>
        </w:rPr>
        <w:t>5</w:t>
      </w:r>
      <w:r>
        <w:rPr>
          <w:rFonts w:hint="eastAsia"/>
          <w:bCs/>
          <w:sz w:val="24"/>
        </w:rPr>
        <w:t>）</w:t>
      </w:r>
      <w:r>
        <w:rPr>
          <w:bCs/>
          <w:sz w:val="24"/>
        </w:rPr>
        <w:t>公告：基金托管人更换后，</w:t>
      </w:r>
      <w:r>
        <w:rPr>
          <w:sz w:val="24"/>
        </w:rPr>
        <w:t>由基金管理人在更换基金托管人的基金份额持有人大会决议生效后</w:t>
      </w:r>
      <w:r>
        <w:rPr>
          <w:rFonts w:hint="eastAsia"/>
          <w:sz w:val="24"/>
        </w:rPr>
        <w:t>依照《信息披露办法》</w:t>
      </w:r>
      <w:r>
        <w:rPr>
          <w:bCs/>
          <w:sz w:val="24"/>
        </w:rPr>
        <w:t>在</w:t>
      </w:r>
      <w:r>
        <w:rPr>
          <w:rFonts w:hint="eastAsia"/>
          <w:bCs/>
          <w:sz w:val="24"/>
        </w:rPr>
        <w:t>规定媒介</w:t>
      </w:r>
      <w:r>
        <w:rPr>
          <w:bCs/>
          <w:sz w:val="24"/>
        </w:rPr>
        <w:t>公告</w:t>
      </w:r>
      <w:r>
        <w:rPr>
          <w:rFonts w:hint="eastAsia"/>
          <w:bCs/>
          <w:sz w:val="24"/>
        </w:rPr>
        <w:t>；</w:t>
      </w:r>
    </w:p>
    <w:p w14:paraId="2A4DF481">
      <w:pPr>
        <w:spacing w:line="360" w:lineRule="auto"/>
        <w:ind w:firstLine="480" w:firstLineChars="200"/>
        <w:rPr>
          <w:bCs/>
          <w:sz w:val="24"/>
        </w:rPr>
      </w:pPr>
      <w:r>
        <w:rPr>
          <w:rFonts w:hint="eastAsia"/>
          <w:bCs/>
          <w:sz w:val="24"/>
        </w:rPr>
        <w:t>（</w:t>
      </w:r>
      <w:r>
        <w:rPr>
          <w:bCs/>
          <w:sz w:val="24"/>
        </w:rPr>
        <w:t>6</w:t>
      </w:r>
      <w:r>
        <w:rPr>
          <w:rFonts w:hint="eastAsia"/>
          <w:bCs/>
          <w:sz w:val="24"/>
        </w:rPr>
        <w:t>）</w:t>
      </w:r>
      <w:r>
        <w:rPr>
          <w:bCs/>
          <w:sz w:val="24"/>
        </w:rPr>
        <w:t>交接：</w:t>
      </w:r>
      <w:r>
        <w:rPr>
          <w:rFonts w:hint="eastAsia"/>
          <w:bCs/>
          <w:sz w:val="24"/>
        </w:rPr>
        <w:t xml:space="preserve">基金托管人职责终止的，应当妥善保管基金财产和基金托管业务资料，及时办理基金财产和基金托管业务的移交手续，新任基金托管人或者临时基金托管人应当及时接收。新任基金托管人或临时基金托管人应与基金管理人核对基金资产总值和净值； </w:t>
      </w:r>
    </w:p>
    <w:p w14:paraId="3A9A5A92">
      <w:pPr>
        <w:spacing w:line="360" w:lineRule="auto"/>
        <w:ind w:firstLine="480" w:firstLineChars="200"/>
        <w:rPr>
          <w:bCs/>
          <w:sz w:val="24"/>
        </w:rPr>
      </w:pPr>
      <w:r>
        <w:rPr>
          <w:rFonts w:hint="eastAsia"/>
          <w:bCs/>
          <w:sz w:val="24"/>
        </w:rPr>
        <w:t>（</w:t>
      </w:r>
      <w:r>
        <w:rPr>
          <w:bCs/>
          <w:sz w:val="24"/>
        </w:rPr>
        <w:t>7</w:t>
      </w:r>
      <w:r>
        <w:rPr>
          <w:rFonts w:hint="eastAsia"/>
          <w:bCs/>
          <w:sz w:val="24"/>
        </w:rPr>
        <w:t>）</w:t>
      </w:r>
      <w:r>
        <w:rPr>
          <w:bCs/>
          <w:sz w:val="24"/>
        </w:rPr>
        <w:t>审计：基金托管人职责终止的，</w:t>
      </w:r>
      <w:r>
        <w:rPr>
          <w:rFonts w:hint="eastAsia"/>
          <w:bCs/>
          <w:sz w:val="24"/>
        </w:rPr>
        <w:t>应当按照法律法规规定聘请会计师事务所对基金财产进行审计</w:t>
      </w:r>
      <w:r>
        <w:rPr>
          <w:bCs/>
          <w:sz w:val="24"/>
        </w:rPr>
        <w:t>，并将审计结果予以公告，同时报中国证监会备案</w:t>
      </w:r>
      <w:r>
        <w:rPr>
          <w:rFonts w:hint="eastAsia"/>
          <w:bCs/>
          <w:sz w:val="24"/>
        </w:rPr>
        <w:t>，审计费用从基金财产中列支</w:t>
      </w:r>
      <w:r>
        <w:rPr>
          <w:bCs/>
          <w:sz w:val="24"/>
        </w:rPr>
        <w:t>。</w:t>
      </w:r>
    </w:p>
    <w:p w14:paraId="62B67DDA">
      <w:pPr>
        <w:spacing w:line="360" w:lineRule="auto"/>
        <w:ind w:firstLine="480" w:firstLineChars="200"/>
        <w:rPr>
          <w:bCs/>
          <w:sz w:val="24"/>
        </w:rPr>
      </w:pPr>
      <w:bookmarkStart w:id="106" w:name="_Toc1357"/>
      <w:r>
        <w:rPr>
          <w:rFonts w:hint="eastAsia"/>
          <w:bCs/>
          <w:sz w:val="24"/>
        </w:rPr>
        <w:t>3、</w:t>
      </w:r>
      <w:r>
        <w:rPr>
          <w:bCs/>
          <w:sz w:val="24"/>
        </w:rPr>
        <w:t>基金管理人与基金托管人同时更换的条件和程序</w:t>
      </w:r>
      <w:bookmarkEnd w:id="106"/>
    </w:p>
    <w:p w14:paraId="50871661">
      <w:pPr>
        <w:spacing w:line="360" w:lineRule="auto"/>
        <w:ind w:firstLine="480" w:firstLineChars="200"/>
        <w:rPr>
          <w:bCs/>
          <w:sz w:val="24"/>
        </w:rPr>
      </w:pPr>
      <w:r>
        <w:rPr>
          <w:rFonts w:hint="eastAsia"/>
          <w:bCs/>
          <w:sz w:val="24"/>
        </w:rPr>
        <w:t>（</w:t>
      </w: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2DED5515">
      <w:pPr>
        <w:spacing w:line="360" w:lineRule="auto"/>
        <w:ind w:firstLine="480" w:firstLineChars="200"/>
        <w:rPr>
          <w:bCs/>
          <w:sz w:val="24"/>
        </w:rPr>
      </w:pPr>
      <w:r>
        <w:rPr>
          <w:rFonts w:hint="eastAsia"/>
          <w:bCs/>
          <w:sz w:val="24"/>
        </w:rPr>
        <w:t>（</w:t>
      </w:r>
      <w:r>
        <w:rPr>
          <w:bCs/>
          <w:sz w:val="24"/>
        </w:rPr>
        <w:t>2</w:t>
      </w:r>
      <w:r>
        <w:rPr>
          <w:rFonts w:hint="eastAsia"/>
          <w:bCs/>
          <w:sz w:val="24"/>
        </w:rPr>
        <w:t>）</w:t>
      </w:r>
      <w:r>
        <w:rPr>
          <w:bCs/>
          <w:sz w:val="24"/>
        </w:rPr>
        <w:t>基金管理人和基金托管人的更换分别按上述程序进行；</w:t>
      </w:r>
    </w:p>
    <w:p w14:paraId="4A310B83">
      <w:pPr>
        <w:spacing w:line="360" w:lineRule="auto"/>
        <w:ind w:firstLine="480" w:firstLineChars="200"/>
        <w:rPr>
          <w:bCs/>
          <w:sz w:val="24"/>
        </w:rPr>
      </w:pPr>
      <w:r>
        <w:rPr>
          <w:rFonts w:hint="eastAsia"/>
          <w:bCs/>
          <w:sz w:val="24"/>
        </w:rPr>
        <w:t>（</w:t>
      </w: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w:t>
      </w:r>
      <w:r>
        <w:rPr>
          <w:rFonts w:hint="eastAsia"/>
          <w:bCs/>
          <w:sz w:val="24"/>
        </w:rPr>
        <w:t>依照《信息披露办法》在规定媒介上联合公告。</w:t>
      </w:r>
    </w:p>
    <w:p w14:paraId="0A004F1E">
      <w:pPr>
        <w:spacing w:line="360" w:lineRule="auto"/>
        <w:ind w:firstLine="480" w:firstLineChars="200"/>
        <w:rPr>
          <w:bCs/>
          <w:sz w:val="24"/>
        </w:rPr>
      </w:pPr>
      <w:r>
        <w:rPr>
          <w:rFonts w:hint="eastAsia"/>
          <w:bCs/>
          <w:sz w:val="24"/>
        </w:rPr>
        <w:t>（</w:t>
      </w:r>
      <w:r>
        <w:rPr>
          <w:bCs/>
          <w:sz w:val="24"/>
        </w:rPr>
        <w:t>三</w:t>
      </w:r>
      <w:r>
        <w:rPr>
          <w:rFonts w:hint="eastAsia"/>
          <w:bCs/>
          <w:sz w:val="24"/>
        </w:rPr>
        <w:t>）新任或临时基金管理人接收基金管理业务或新任或临时基金托管人接收基金财产和基金托管业务前，原基金管理人或原基金托管人应依据法律法规和基金合同的约定继续履行相关职责，并保证不做出对基金份额持有人的利益造成损害的行为。原基金管理人或原基金托管人在继续履行相关职责期间，仍有权按照基金合同的规定收取基金管理费或基金托管费。</w:t>
      </w:r>
    </w:p>
    <w:p w14:paraId="4A634B07">
      <w:pPr>
        <w:spacing w:line="360" w:lineRule="auto"/>
        <w:ind w:firstLine="480" w:firstLineChars="200"/>
        <w:rPr>
          <w:rFonts w:ascii="宋体" w:hAnsi="宋体"/>
          <w:bCs/>
          <w:kern w:val="0"/>
          <w:sz w:val="24"/>
        </w:rPr>
      </w:pPr>
      <w:r>
        <w:rPr>
          <w:rFonts w:hint="eastAsia"/>
          <w:bCs/>
          <w:sz w:val="24"/>
        </w:rPr>
        <w:t>（</w:t>
      </w:r>
      <w:r>
        <w:rPr>
          <w:bCs/>
          <w:sz w:val="24"/>
        </w:rPr>
        <w:t>四</w:t>
      </w:r>
      <w:r>
        <w:rPr>
          <w:rFonts w:hint="eastAsia"/>
          <w:bCs/>
          <w:sz w:val="24"/>
        </w:rPr>
        <w:t>）</w:t>
      </w:r>
      <w:r>
        <w:rPr>
          <w:bCs/>
          <w:sz w:val="24"/>
        </w:rPr>
        <w:t>本部分关于基金管理人、基金托管人更换条件和程序的约定，凡是直接引用法律法规的部分，如将来法律法规修改导致相关内容被取消或变更的，基金管理人与基金托管人协商一致并提前公告后，可直接对相应内容进行修改和调整，无需召开基金份额持有人大会审议。</w:t>
      </w:r>
      <w:bookmarkEnd w:id="97"/>
      <w:bookmarkEnd w:id="98"/>
    </w:p>
    <w:p w14:paraId="6C4C7F33">
      <w:pPr>
        <w:pStyle w:val="2"/>
        <w:spacing w:before="0" w:after="0"/>
        <w:ind w:firstLine="480" w:firstLineChars="200"/>
        <w:rPr>
          <w:color w:val="auto"/>
        </w:rPr>
      </w:pPr>
      <w:bookmarkStart w:id="107" w:name="_Toc125892451"/>
      <w:bookmarkStart w:id="108" w:name="_Toc508720693"/>
      <w:bookmarkStart w:id="109" w:name="_Toc22454478"/>
      <w:bookmarkStart w:id="110" w:name="_Toc466788866"/>
      <w:bookmarkStart w:id="111" w:name="_Toc523830007"/>
      <w:r>
        <w:rPr>
          <w:rFonts w:hint="eastAsia"/>
          <w:color w:val="auto"/>
        </w:rPr>
        <w:t>十五、禁止行为</w:t>
      </w:r>
      <w:bookmarkEnd w:id="107"/>
      <w:bookmarkEnd w:id="108"/>
      <w:bookmarkEnd w:id="109"/>
      <w:bookmarkEnd w:id="110"/>
      <w:bookmarkEnd w:id="111"/>
    </w:p>
    <w:p w14:paraId="3857F8B2">
      <w:pPr>
        <w:spacing w:line="360" w:lineRule="auto"/>
        <w:ind w:firstLine="480" w:firstLineChars="200"/>
        <w:rPr>
          <w:rFonts w:ascii="宋体" w:hAnsi="宋体"/>
          <w:kern w:val="0"/>
          <w:sz w:val="24"/>
        </w:rPr>
      </w:pPr>
      <w:r>
        <w:rPr>
          <w:rFonts w:hint="eastAsia" w:ascii="宋体" w:hAnsi="宋体"/>
          <w:kern w:val="0"/>
          <w:sz w:val="24"/>
        </w:rPr>
        <w:t>本协议项下的基金管理人和基金托管人禁止行为如下：</w:t>
      </w:r>
    </w:p>
    <w:p w14:paraId="224B85A4">
      <w:pPr>
        <w:spacing w:line="360" w:lineRule="auto"/>
        <w:ind w:firstLine="480" w:firstLineChars="200"/>
        <w:rPr>
          <w:rFonts w:ascii="宋体" w:hAnsi="宋体"/>
          <w:bCs/>
          <w:sz w:val="24"/>
        </w:rPr>
      </w:pPr>
      <w:r>
        <w:rPr>
          <w:rFonts w:hint="eastAsia" w:ascii="宋体" w:hAnsi="宋体"/>
          <w:bCs/>
          <w:sz w:val="24"/>
        </w:rPr>
        <w:t>（一）基金管理人、基金托管人将其固有财产或者他人财产混同于基金财产从事证券投资。</w:t>
      </w:r>
    </w:p>
    <w:p w14:paraId="1E9588CF">
      <w:pPr>
        <w:spacing w:line="360" w:lineRule="auto"/>
        <w:ind w:firstLine="480" w:firstLineChars="200"/>
        <w:rPr>
          <w:rFonts w:ascii="宋体" w:hAnsi="宋体"/>
          <w:bCs/>
          <w:sz w:val="24"/>
        </w:rPr>
      </w:pPr>
      <w:r>
        <w:rPr>
          <w:rFonts w:hint="eastAsia" w:ascii="宋体" w:hAnsi="宋体"/>
          <w:bCs/>
          <w:sz w:val="24"/>
        </w:rPr>
        <w:t>（二）基金管理人不公平地对待其管理的不同基金财产。基金托管人不公平地对待其托管的不同基金财产。</w:t>
      </w:r>
    </w:p>
    <w:p w14:paraId="5B13F758">
      <w:pPr>
        <w:spacing w:line="360" w:lineRule="auto"/>
        <w:ind w:firstLine="480" w:firstLineChars="200"/>
        <w:rPr>
          <w:rFonts w:ascii="宋体" w:hAnsi="宋体"/>
          <w:bCs/>
          <w:sz w:val="24"/>
        </w:rPr>
      </w:pPr>
      <w:r>
        <w:rPr>
          <w:rFonts w:hint="eastAsia" w:ascii="宋体" w:hAnsi="宋体"/>
          <w:bCs/>
          <w:sz w:val="24"/>
        </w:rPr>
        <w:t>（三）基金管理人、基金托管人利用基金财产或职务之便为基金份额持有人以外的第三人牟取利益。</w:t>
      </w:r>
    </w:p>
    <w:p w14:paraId="0F68FE5E">
      <w:pPr>
        <w:spacing w:line="360" w:lineRule="auto"/>
        <w:ind w:firstLine="480" w:firstLineChars="200"/>
        <w:rPr>
          <w:rFonts w:ascii="宋体" w:hAnsi="宋体"/>
          <w:bCs/>
          <w:sz w:val="24"/>
        </w:rPr>
      </w:pPr>
      <w:r>
        <w:rPr>
          <w:rFonts w:hint="eastAsia" w:ascii="宋体" w:hAnsi="宋体"/>
          <w:bCs/>
          <w:sz w:val="24"/>
        </w:rPr>
        <w:t>（四）基金管理人、基金托管人向基金份额持有人违规承诺收益或者承担损失。</w:t>
      </w:r>
    </w:p>
    <w:p w14:paraId="63549567">
      <w:pPr>
        <w:spacing w:line="360" w:lineRule="auto"/>
        <w:ind w:firstLine="480" w:firstLineChars="200"/>
        <w:rPr>
          <w:rFonts w:ascii="宋体" w:hAnsi="宋体"/>
          <w:bCs/>
          <w:sz w:val="24"/>
        </w:rPr>
      </w:pPr>
      <w:r>
        <w:rPr>
          <w:rFonts w:hint="eastAsia" w:ascii="宋体" w:hAnsi="宋体"/>
          <w:bCs/>
          <w:sz w:val="24"/>
        </w:rPr>
        <w:t>（五）基金管理人、基金托管人侵占、挪用基金财产。</w:t>
      </w:r>
    </w:p>
    <w:p w14:paraId="68390E50">
      <w:pPr>
        <w:spacing w:line="360" w:lineRule="auto"/>
        <w:ind w:firstLine="480" w:firstLineChars="200"/>
        <w:rPr>
          <w:rFonts w:ascii="宋体" w:hAnsi="宋体"/>
          <w:bCs/>
          <w:sz w:val="24"/>
        </w:rPr>
      </w:pPr>
      <w:r>
        <w:rPr>
          <w:rFonts w:hint="eastAsia" w:ascii="宋体" w:hAnsi="宋体"/>
          <w:bCs/>
          <w:sz w:val="24"/>
        </w:rPr>
        <w:t>（六）基金管理人、基金托管人对他人泄露基金经营过程中任何尚未按法律法规规定的方式公开披露的信息。</w:t>
      </w:r>
    </w:p>
    <w:p w14:paraId="64EB270E">
      <w:pPr>
        <w:spacing w:line="360" w:lineRule="auto"/>
        <w:ind w:firstLine="480" w:firstLineChars="200"/>
        <w:rPr>
          <w:rFonts w:ascii="宋体" w:hAnsi="宋体"/>
          <w:bCs/>
          <w:sz w:val="24"/>
        </w:rPr>
      </w:pPr>
      <w:r>
        <w:rPr>
          <w:rFonts w:hint="eastAsia" w:ascii="宋体" w:hAnsi="宋体"/>
          <w:bCs/>
          <w:sz w:val="24"/>
        </w:rPr>
        <w:t>（七）基金管理人、基金托管人玩忽职守，不按照规定履行职责。</w:t>
      </w:r>
    </w:p>
    <w:p w14:paraId="0BA138A5">
      <w:pPr>
        <w:spacing w:line="360" w:lineRule="auto"/>
        <w:ind w:firstLine="480" w:firstLineChars="200"/>
        <w:rPr>
          <w:rFonts w:ascii="宋体" w:hAnsi="宋体"/>
          <w:bCs/>
          <w:sz w:val="24"/>
        </w:rPr>
      </w:pPr>
      <w:r>
        <w:rPr>
          <w:rFonts w:hint="eastAsia" w:ascii="宋体" w:hAnsi="宋体"/>
          <w:bCs/>
          <w:sz w:val="24"/>
        </w:rPr>
        <w:t>（八）基金管理人在没有充足资金的情况下向基金托管人发出投资指令和付款指令，或违规向基金托管人发出指令；基金托管人对基金管理人的正常有效指令拖延或拒绝执行。</w:t>
      </w:r>
    </w:p>
    <w:p w14:paraId="673360DD">
      <w:pPr>
        <w:spacing w:line="360" w:lineRule="auto"/>
        <w:ind w:firstLine="480" w:firstLineChars="200"/>
        <w:rPr>
          <w:rFonts w:ascii="宋体" w:hAnsi="宋体"/>
          <w:bCs/>
          <w:sz w:val="24"/>
        </w:rPr>
      </w:pPr>
      <w:r>
        <w:rPr>
          <w:rFonts w:hint="eastAsia" w:ascii="宋体" w:hAnsi="宋体"/>
          <w:bCs/>
          <w:sz w:val="24"/>
        </w:rPr>
        <w:t>（九）基金管理人、基金托管人在行政上、财务上不独立，其高级管理人员和其他从业人员相互兼职。</w:t>
      </w:r>
    </w:p>
    <w:p w14:paraId="27D7154B">
      <w:pPr>
        <w:spacing w:line="360" w:lineRule="auto"/>
        <w:ind w:firstLine="480" w:firstLineChars="200"/>
        <w:rPr>
          <w:rFonts w:ascii="宋体" w:hAnsi="宋体"/>
          <w:bCs/>
          <w:sz w:val="24"/>
        </w:rPr>
      </w:pPr>
      <w:r>
        <w:rPr>
          <w:rFonts w:hint="eastAsia" w:ascii="宋体" w:hAnsi="宋体"/>
          <w:bCs/>
          <w:sz w:val="24"/>
        </w:rPr>
        <w:t>（十）基金托管人私自动用或处分基金资产，根据基金管理人的合法指令、基金合同或托管协议的规定进行处分的除外。</w:t>
      </w:r>
    </w:p>
    <w:p w14:paraId="34ADC86B">
      <w:pPr>
        <w:spacing w:line="360" w:lineRule="auto"/>
        <w:ind w:firstLine="480" w:firstLineChars="200"/>
        <w:rPr>
          <w:rFonts w:ascii="宋体" w:hAnsi="宋体"/>
          <w:bCs/>
          <w:sz w:val="24"/>
        </w:rPr>
      </w:pPr>
      <w:r>
        <w:rPr>
          <w:rFonts w:hint="eastAsia" w:ascii="宋体" w:hAnsi="宋体"/>
          <w:bCs/>
          <w:sz w:val="24"/>
        </w:rPr>
        <w:t>（十一）基金财产用于下列投资或者活动：</w:t>
      </w:r>
    </w:p>
    <w:p w14:paraId="649E47B1">
      <w:pPr>
        <w:spacing w:line="360" w:lineRule="auto"/>
        <w:ind w:firstLine="480" w:firstLineChars="200"/>
        <w:rPr>
          <w:rFonts w:ascii="宋体" w:hAnsi="宋体"/>
          <w:bCs/>
          <w:sz w:val="24"/>
        </w:rPr>
      </w:pPr>
      <w:r>
        <w:rPr>
          <w:rFonts w:hint="eastAsia" w:ascii="宋体" w:hAnsi="宋体"/>
          <w:bCs/>
          <w:sz w:val="24"/>
        </w:rPr>
        <w:t>1、承销证券；</w:t>
      </w:r>
    </w:p>
    <w:p w14:paraId="3E71B18E">
      <w:pPr>
        <w:spacing w:line="360" w:lineRule="auto"/>
        <w:ind w:firstLine="480" w:firstLineChars="200"/>
        <w:rPr>
          <w:rFonts w:ascii="宋体" w:hAnsi="宋体"/>
          <w:bCs/>
          <w:sz w:val="24"/>
        </w:rPr>
      </w:pPr>
      <w:r>
        <w:rPr>
          <w:rFonts w:hint="eastAsia" w:ascii="宋体" w:hAnsi="宋体"/>
          <w:bCs/>
          <w:sz w:val="24"/>
        </w:rPr>
        <w:t>2、违反规定向他人贷款或者提供担保；</w:t>
      </w:r>
    </w:p>
    <w:p w14:paraId="7B9B2F35">
      <w:pPr>
        <w:spacing w:line="360" w:lineRule="auto"/>
        <w:ind w:firstLine="480" w:firstLineChars="200"/>
        <w:rPr>
          <w:rFonts w:ascii="宋体" w:hAnsi="宋体"/>
          <w:bCs/>
          <w:sz w:val="24"/>
        </w:rPr>
      </w:pPr>
      <w:r>
        <w:rPr>
          <w:rFonts w:hint="eastAsia" w:ascii="宋体" w:hAnsi="宋体"/>
          <w:bCs/>
          <w:sz w:val="24"/>
        </w:rPr>
        <w:t>3、从事承担无限责任的投资；</w:t>
      </w:r>
    </w:p>
    <w:p w14:paraId="549FD3E2">
      <w:pPr>
        <w:spacing w:line="360" w:lineRule="auto"/>
        <w:ind w:firstLine="480" w:firstLineChars="200"/>
        <w:rPr>
          <w:rFonts w:ascii="宋体" w:hAnsi="宋体"/>
          <w:bCs/>
          <w:sz w:val="24"/>
        </w:rPr>
      </w:pPr>
      <w:r>
        <w:rPr>
          <w:rFonts w:hint="eastAsia" w:ascii="宋体" w:hAnsi="宋体"/>
          <w:bCs/>
          <w:sz w:val="24"/>
        </w:rPr>
        <w:t>4、买卖其他基金份额，但是中国证监会另有规定的除外；</w:t>
      </w:r>
    </w:p>
    <w:p w14:paraId="19BB4E8E">
      <w:pPr>
        <w:spacing w:line="360" w:lineRule="auto"/>
        <w:ind w:firstLine="480" w:firstLineChars="200"/>
        <w:rPr>
          <w:rFonts w:ascii="宋体" w:hAnsi="宋体"/>
          <w:bCs/>
          <w:sz w:val="24"/>
        </w:rPr>
      </w:pPr>
      <w:r>
        <w:rPr>
          <w:rFonts w:hint="eastAsia" w:ascii="宋体" w:hAnsi="宋体"/>
          <w:bCs/>
          <w:sz w:val="24"/>
        </w:rPr>
        <w:t>5、向其基金管理人、基金托管人出资；</w:t>
      </w:r>
    </w:p>
    <w:p w14:paraId="50B3CC39">
      <w:pPr>
        <w:spacing w:line="360" w:lineRule="auto"/>
        <w:ind w:firstLine="480" w:firstLineChars="200"/>
        <w:rPr>
          <w:rFonts w:ascii="宋体" w:hAnsi="宋体"/>
          <w:bCs/>
          <w:sz w:val="24"/>
        </w:rPr>
      </w:pPr>
      <w:r>
        <w:rPr>
          <w:rFonts w:hint="eastAsia" w:ascii="宋体" w:hAnsi="宋体"/>
          <w:bCs/>
          <w:sz w:val="24"/>
        </w:rPr>
        <w:t>6、从事内幕交易、操纵证券交易价格及其他不正当的证券交易活动；</w:t>
      </w:r>
    </w:p>
    <w:p w14:paraId="3C3E36E1">
      <w:pPr>
        <w:spacing w:line="360" w:lineRule="auto"/>
        <w:ind w:firstLine="480" w:firstLineChars="200"/>
        <w:rPr>
          <w:rFonts w:ascii="宋体" w:hAnsi="宋体"/>
          <w:bCs/>
          <w:sz w:val="24"/>
        </w:rPr>
      </w:pPr>
      <w:r>
        <w:rPr>
          <w:rFonts w:hint="eastAsia" w:ascii="宋体" w:hAnsi="宋体"/>
          <w:bCs/>
          <w:sz w:val="24"/>
        </w:rPr>
        <w:t>7、法律、行政法规和中国证监会规定禁止的其他活动。</w:t>
      </w:r>
    </w:p>
    <w:p w14:paraId="7FD86DB6">
      <w:pPr>
        <w:spacing w:line="360" w:lineRule="auto"/>
        <w:ind w:firstLine="480" w:firstLineChars="200"/>
        <w:rPr>
          <w:rFonts w:ascii="宋体" w:hAnsi="宋体"/>
          <w:bCs/>
          <w:sz w:val="24"/>
        </w:rPr>
      </w:pPr>
      <w:r>
        <w:rPr>
          <w:rFonts w:hint="eastAsia" w:ascii="宋体" w:hAnsi="宋体"/>
          <w:bCs/>
          <w:sz w:val="24"/>
        </w:rPr>
        <w:t>（十二）法律法规和基金合同禁止的其他行为，以及法律、行政法规和中国证监会规定禁止基金管理人、基金托管人从事的其他行为。</w:t>
      </w:r>
    </w:p>
    <w:p w14:paraId="11AAA80B">
      <w:pPr>
        <w:spacing w:line="360" w:lineRule="auto"/>
        <w:ind w:firstLine="480" w:firstLineChars="200"/>
        <w:rPr>
          <w:rFonts w:ascii="宋体" w:hAnsi="宋体"/>
          <w:bCs/>
          <w:sz w:val="24"/>
        </w:rPr>
      </w:pPr>
      <w:r>
        <w:rPr>
          <w:rFonts w:hint="eastAsia" w:ascii="宋体" w:hAnsi="宋体"/>
          <w:bCs/>
          <w:sz w:val="24"/>
        </w:rPr>
        <w:t>法律法规或监管部门变更或取消上述禁止性规定的，如适用于本基金，基金管理人在履行适当程序后，则本基金投资不再受相关限制或以变更后的规定为准。</w:t>
      </w:r>
    </w:p>
    <w:p w14:paraId="796C2B54">
      <w:pPr>
        <w:pStyle w:val="2"/>
        <w:spacing w:before="0" w:after="0"/>
        <w:ind w:firstLine="480" w:firstLineChars="200"/>
        <w:rPr>
          <w:color w:val="auto"/>
        </w:rPr>
      </w:pPr>
      <w:bookmarkStart w:id="112" w:name="_Toc508720694"/>
      <w:bookmarkStart w:id="113" w:name="_Toc125892452"/>
      <w:bookmarkStart w:id="114" w:name="_Toc466788867"/>
      <w:bookmarkStart w:id="115" w:name="_Toc523830008"/>
      <w:bookmarkStart w:id="116" w:name="_Toc22454479"/>
      <w:r>
        <w:rPr>
          <w:rFonts w:hint="eastAsia"/>
          <w:color w:val="auto"/>
        </w:rPr>
        <w:t>十六、基金托管协议的变更、终止与基金财产的清算</w:t>
      </w:r>
      <w:bookmarkEnd w:id="112"/>
      <w:bookmarkEnd w:id="113"/>
    </w:p>
    <w:p w14:paraId="6E8746EA">
      <w:pPr>
        <w:tabs>
          <w:tab w:val="left" w:pos="3780"/>
        </w:tabs>
        <w:autoSpaceDE w:val="0"/>
        <w:autoSpaceDN w:val="0"/>
        <w:spacing w:line="360" w:lineRule="auto"/>
        <w:ind w:firstLine="480" w:firstLineChars="200"/>
        <w:textAlignment w:val="bottom"/>
        <w:outlineLvl w:val="0"/>
        <w:rPr>
          <w:rFonts w:ascii="宋体" w:hAnsi="宋体"/>
          <w:b/>
          <w:bCs/>
          <w:sz w:val="24"/>
        </w:rPr>
      </w:pPr>
      <w:bookmarkStart w:id="117" w:name="_Toc510842757"/>
      <w:r>
        <w:rPr>
          <w:rFonts w:hint="eastAsia" w:ascii="宋体" w:hAnsi="宋体"/>
          <w:b/>
          <w:bCs/>
          <w:sz w:val="24"/>
        </w:rPr>
        <w:t>（一）基金托管协议的变更</w:t>
      </w:r>
    </w:p>
    <w:bookmarkEnd w:id="117"/>
    <w:p w14:paraId="556477B1">
      <w:pPr>
        <w:spacing w:line="360" w:lineRule="auto"/>
        <w:ind w:firstLine="480" w:firstLineChars="200"/>
        <w:rPr>
          <w:rFonts w:ascii="宋体" w:hAnsi="宋体"/>
          <w:kern w:val="0"/>
          <w:sz w:val="24"/>
        </w:rPr>
      </w:pPr>
      <w:r>
        <w:rPr>
          <w:rFonts w:hint="eastAsia" w:ascii="宋体" w:hAnsi="宋体"/>
          <w:kern w:val="0"/>
          <w:sz w:val="24"/>
        </w:rPr>
        <w:t>本协议双方当事人经协商一致，可以对协议进行修改。修改后的新协议，其内容不得与《基金合同》的规定有任何冲突。</w:t>
      </w:r>
    </w:p>
    <w:p w14:paraId="572053C3">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（二）基金托管协议的终止</w:t>
      </w:r>
    </w:p>
    <w:p w14:paraId="2C4FD3A2">
      <w:pPr>
        <w:spacing w:line="360" w:lineRule="auto"/>
        <w:ind w:firstLine="480" w:firstLineChars="200"/>
        <w:rPr>
          <w:rFonts w:ascii="宋体" w:hAnsi="宋体"/>
          <w:kern w:val="0"/>
          <w:sz w:val="24"/>
        </w:rPr>
      </w:pPr>
      <w:r>
        <w:rPr>
          <w:rFonts w:hint="eastAsia" w:ascii="宋体" w:hAnsi="宋体"/>
          <w:kern w:val="0"/>
          <w:sz w:val="24"/>
        </w:rPr>
        <w:t>1、《基金合同》终止；</w:t>
      </w:r>
    </w:p>
    <w:p w14:paraId="2F4D637E">
      <w:pPr>
        <w:spacing w:line="360" w:lineRule="auto"/>
        <w:ind w:firstLine="480" w:firstLineChars="200"/>
        <w:rPr>
          <w:rFonts w:ascii="宋体" w:hAnsi="宋体"/>
          <w:kern w:val="0"/>
          <w:sz w:val="24"/>
        </w:rPr>
      </w:pPr>
      <w:r>
        <w:rPr>
          <w:rFonts w:hint="eastAsia" w:ascii="宋体" w:hAnsi="宋体"/>
          <w:kern w:val="0"/>
          <w:sz w:val="24"/>
        </w:rPr>
        <w:t>2、基金托管人解散、依法被撤销、破产，被依法取消基金托管资格或因其他事由造成其他基金托管人接管基金财产；</w:t>
      </w:r>
    </w:p>
    <w:p w14:paraId="5DEC02B5">
      <w:pPr>
        <w:spacing w:line="360" w:lineRule="auto"/>
        <w:ind w:firstLine="480" w:firstLineChars="200"/>
        <w:rPr>
          <w:rFonts w:ascii="宋体" w:hAnsi="宋体"/>
          <w:kern w:val="0"/>
          <w:sz w:val="24"/>
        </w:rPr>
      </w:pPr>
      <w:r>
        <w:rPr>
          <w:rFonts w:hint="eastAsia" w:ascii="宋体" w:hAnsi="宋体"/>
          <w:kern w:val="0"/>
          <w:sz w:val="24"/>
        </w:rPr>
        <w:t>3、基金管理人解散、依法被撤销、破产，被依法取消基金管理资格或因其他事由造成其他基金管理人接管基金管理权；</w:t>
      </w:r>
    </w:p>
    <w:p w14:paraId="2D945B56">
      <w:pPr>
        <w:spacing w:line="360" w:lineRule="auto"/>
        <w:ind w:firstLine="480" w:firstLineChars="200"/>
        <w:rPr>
          <w:rFonts w:ascii="宋体" w:hAnsi="宋体"/>
          <w:kern w:val="0"/>
          <w:sz w:val="24"/>
        </w:rPr>
      </w:pPr>
      <w:r>
        <w:rPr>
          <w:rFonts w:hint="eastAsia" w:ascii="宋体" w:hAnsi="宋体"/>
          <w:kern w:val="0"/>
          <w:sz w:val="24"/>
        </w:rPr>
        <w:t>4、发生《基金法》、《销售办法》、《运作办法》或其他法律、法规规定的终止事项。</w:t>
      </w:r>
    </w:p>
    <w:p w14:paraId="20624E28">
      <w:pPr>
        <w:tabs>
          <w:tab w:val="left" w:pos="3780"/>
        </w:tabs>
        <w:autoSpaceDE w:val="0"/>
        <w:autoSpaceDN w:val="0"/>
        <w:spacing w:line="360" w:lineRule="auto"/>
        <w:ind w:firstLine="480" w:firstLineChars="200"/>
        <w:textAlignment w:val="bottom"/>
        <w:outlineLvl w:val="0"/>
        <w:rPr>
          <w:rFonts w:ascii="宋体" w:hAnsi="宋体"/>
          <w:b/>
          <w:bCs/>
          <w:sz w:val="24"/>
        </w:rPr>
      </w:pPr>
      <w:r>
        <w:rPr>
          <w:rFonts w:hint="eastAsia" w:ascii="宋体" w:hAnsi="宋体"/>
          <w:b/>
          <w:bCs/>
          <w:sz w:val="24"/>
        </w:rPr>
        <w:t>（三）基金财产的清算</w:t>
      </w:r>
    </w:p>
    <w:p w14:paraId="290C57FC">
      <w:pPr>
        <w:spacing w:line="360" w:lineRule="auto"/>
        <w:ind w:firstLine="480" w:firstLineChars="200"/>
        <w:rPr>
          <w:rFonts w:ascii="宋体" w:hAnsi="宋体"/>
          <w:kern w:val="0"/>
          <w:sz w:val="24"/>
        </w:rPr>
      </w:pPr>
      <w:r>
        <w:rPr>
          <w:rFonts w:hint="eastAsia" w:ascii="宋体" w:hAnsi="宋体"/>
          <w:kern w:val="0"/>
          <w:sz w:val="24"/>
        </w:rPr>
        <w:t>1、基金财产清算小组：自出现《基金合同》终止事由之日起30个工作日内成立基金财产清算小组，基金管理人组织基金财产清算小组并在中国证监会的监督下进行基金清算。</w:t>
      </w:r>
    </w:p>
    <w:p w14:paraId="78FBD321">
      <w:pPr>
        <w:spacing w:line="360" w:lineRule="auto"/>
        <w:ind w:firstLine="480" w:firstLineChars="200"/>
        <w:rPr>
          <w:rFonts w:ascii="宋体" w:hAnsi="宋体"/>
          <w:kern w:val="0"/>
          <w:sz w:val="24"/>
        </w:rPr>
      </w:pPr>
      <w:r>
        <w:rPr>
          <w:rFonts w:hint="eastAsia" w:ascii="宋体" w:hAnsi="宋体"/>
          <w:kern w:val="0"/>
          <w:sz w:val="24"/>
        </w:rPr>
        <w:t>2、在基金财产清算小组接管基金财产之前，基金管理人和基金托管人应按照《基金合同》和本协议的规定继续履行保护基金财产安全的职责。</w:t>
      </w:r>
    </w:p>
    <w:p w14:paraId="2839FE03">
      <w:pPr>
        <w:spacing w:line="360" w:lineRule="auto"/>
        <w:ind w:firstLine="480" w:firstLineChars="200"/>
        <w:rPr>
          <w:rFonts w:ascii="宋体" w:hAnsi="宋体"/>
          <w:kern w:val="0"/>
          <w:sz w:val="24"/>
        </w:rPr>
      </w:pPr>
      <w:r>
        <w:rPr>
          <w:rFonts w:ascii="宋体" w:hAnsi="宋体"/>
          <w:kern w:val="0"/>
          <w:sz w:val="24"/>
        </w:rPr>
        <w:t>3</w:t>
      </w:r>
      <w:r>
        <w:rPr>
          <w:rFonts w:hint="eastAsia" w:ascii="宋体" w:hAnsi="宋体"/>
          <w:kern w:val="0"/>
          <w:sz w:val="24"/>
        </w:rPr>
        <w:t>、基金财产清算小组组成：基金财产清算小组成员由基金管理人、基金托管人、符合《中华人民共和国证券法》规定的注册会计师、律师以及中国证监会指定的人员组成。基金财产清算小组可以聘用必要的工作人员。</w:t>
      </w:r>
    </w:p>
    <w:p w14:paraId="77EDC8CE">
      <w:pPr>
        <w:spacing w:line="360" w:lineRule="auto"/>
        <w:ind w:firstLine="480" w:firstLineChars="200"/>
        <w:rPr>
          <w:rFonts w:ascii="宋体" w:hAnsi="宋体"/>
          <w:kern w:val="0"/>
          <w:sz w:val="24"/>
        </w:rPr>
      </w:pPr>
      <w:r>
        <w:rPr>
          <w:rFonts w:ascii="宋体" w:hAnsi="宋体"/>
          <w:kern w:val="0"/>
          <w:sz w:val="24"/>
        </w:rPr>
        <w:t>4</w:t>
      </w:r>
      <w:r>
        <w:rPr>
          <w:rFonts w:hint="eastAsia" w:ascii="宋体" w:hAnsi="宋体"/>
          <w:kern w:val="0"/>
          <w:sz w:val="24"/>
        </w:rPr>
        <w:t>、基金财产清算小组职责：基金财产清算小组负责基金财产的保管、清理、估价、变现和分配。基金财产清算小组可以依法进行必要的民事活动。</w:t>
      </w:r>
    </w:p>
    <w:p w14:paraId="6B1FF325">
      <w:pPr>
        <w:spacing w:line="360" w:lineRule="auto"/>
        <w:ind w:firstLine="480" w:firstLineChars="200"/>
        <w:rPr>
          <w:rFonts w:ascii="宋体" w:hAnsi="宋体"/>
          <w:kern w:val="0"/>
          <w:sz w:val="24"/>
        </w:rPr>
      </w:pPr>
      <w:r>
        <w:rPr>
          <w:rFonts w:ascii="宋体" w:hAnsi="宋体"/>
          <w:kern w:val="0"/>
          <w:sz w:val="24"/>
        </w:rPr>
        <w:t>5</w:t>
      </w:r>
      <w:r>
        <w:rPr>
          <w:rFonts w:hint="eastAsia" w:ascii="宋体" w:hAnsi="宋体"/>
          <w:kern w:val="0"/>
          <w:sz w:val="24"/>
        </w:rPr>
        <w:t>、基金财产清算程序：</w:t>
      </w:r>
    </w:p>
    <w:p w14:paraId="6F9BC610">
      <w:pPr>
        <w:spacing w:line="360" w:lineRule="auto"/>
        <w:ind w:firstLine="480" w:firstLineChars="200"/>
        <w:rPr>
          <w:rFonts w:ascii="宋体" w:hAnsi="宋体"/>
          <w:kern w:val="0"/>
          <w:sz w:val="24"/>
        </w:rPr>
      </w:pPr>
      <w:r>
        <w:rPr>
          <w:rFonts w:hint="eastAsia" w:ascii="宋体" w:hAnsi="宋体"/>
          <w:kern w:val="0"/>
          <w:sz w:val="24"/>
        </w:rPr>
        <w:t>（1）《基金合同》终止情形出现时，由基金财产清算小组统一接管基金；</w:t>
      </w:r>
    </w:p>
    <w:p w14:paraId="0BE7C145">
      <w:pPr>
        <w:spacing w:line="360" w:lineRule="auto"/>
        <w:ind w:firstLine="480" w:firstLineChars="200"/>
        <w:rPr>
          <w:rFonts w:ascii="宋体" w:hAnsi="宋体"/>
          <w:kern w:val="0"/>
          <w:sz w:val="24"/>
        </w:rPr>
      </w:pPr>
      <w:r>
        <w:rPr>
          <w:rFonts w:hint="eastAsia" w:ascii="宋体" w:hAnsi="宋体"/>
          <w:kern w:val="0"/>
          <w:sz w:val="24"/>
        </w:rPr>
        <w:t>（2）对基金财产和债权债务进行清理和确认；</w:t>
      </w:r>
    </w:p>
    <w:p w14:paraId="1C11231D">
      <w:pPr>
        <w:spacing w:line="360" w:lineRule="auto"/>
        <w:ind w:firstLine="480" w:firstLineChars="200"/>
        <w:rPr>
          <w:rFonts w:ascii="宋体" w:hAnsi="宋体"/>
          <w:kern w:val="0"/>
          <w:sz w:val="24"/>
        </w:rPr>
      </w:pPr>
      <w:r>
        <w:rPr>
          <w:rFonts w:hint="eastAsia" w:ascii="宋体" w:hAnsi="宋体"/>
          <w:kern w:val="0"/>
          <w:sz w:val="24"/>
        </w:rPr>
        <w:t>（3）对基金财产进行估值和变现；</w:t>
      </w:r>
    </w:p>
    <w:p w14:paraId="7C2E9C67">
      <w:pPr>
        <w:spacing w:line="360" w:lineRule="auto"/>
        <w:ind w:firstLine="480" w:firstLineChars="200"/>
        <w:rPr>
          <w:rFonts w:ascii="宋体" w:hAnsi="宋体"/>
          <w:kern w:val="0"/>
          <w:sz w:val="24"/>
        </w:rPr>
      </w:pPr>
      <w:r>
        <w:rPr>
          <w:rFonts w:hint="eastAsia" w:ascii="宋体" w:hAnsi="宋体"/>
          <w:kern w:val="0"/>
          <w:sz w:val="24"/>
        </w:rPr>
        <w:t>（4）制作清算报告；</w:t>
      </w:r>
    </w:p>
    <w:p w14:paraId="3612AACD">
      <w:pPr>
        <w:spacing w:line="360" w:lineRule="auto"/>
        <w:ind w:firstLine="480" w:firstLineChars="200"/>
        <w:rPr>
          <w:rFonts w:ascii="宋体" w:hAnsi="宋体"/>
          <w:kern w:val="0"/>
          <w:sz w:val="24"/>
        </w:rPr>
      </w:pPr>
      <w:r>
        <w:rPr>
          <w:rFonts w:hint="eastAsia" w:ascii="宋体" w:hAnsi="宋体"/>
          <w:kern w:val="0"/>
          <w:sz w:val="24"/>
        </w:rPr>
        <w:t>（5）聘请会计师事务所对清算报告进行外部审计，聘请律师事务所对清算报告出具法律意见书；</w:t>
      </w:r>
    </w:p>
    <w:p w14:paraId="042E2052">
      <w:pPr>
        <w:spacing w:line="360" w:lineRule="auto"/>
        <w:ind w:firstLine="480" w:firstLineChars="200"/>
        <w:rPr>
          <w:rFonts w:ascii="宋体" w:hAnsi="宋体"/>
          <w:kern w:val="0"/>
          <w:sz w:val="24"/>
        </w:rPr>
      </w:pPr>
      <w:r>
        <w:rPr>
          <w:rFonts w:hint="eastAsia" w:ascii="宋体" w:hAnsi="宋体"/>
          <w:kern w:val="0"/>
          <w:sz w:val="24"/>
        </w:rPr>
        <w:t>（6）将清算报告报中国证监会备案并公告；</w:t>
      </w:r>
    </w:p>
    <w:p w14:paraId="34B9DD04">
      <w:pPr>
        <w:spacing w:line="360" w:lineRule="auto"/>
        <w:ind w:firstLine="480" w:firstLineChars="200"/>
        <w:rPr>
          <w:rFonts w:ascii="宋体" w:hAnsi="宋体"/>
          <w:kern w:val="0"/>
          <w:sz w:val="24"/>
        </w:rPr>
      </w:pPr>
      <w:r>
        <w:rPr>
          <w:rFonts w:hint="eastAsia" w:ascii="宋体" w:hAnsi="宋体"/>
          <w:kern w:val="0"/>
          <w:sz w:val="24"/>
        </w:rPr>
        <w:t>（7）对基金剩余财产进行分配。</w:t>
      </w:r>
    </w:p>
    <w:p w14:paraId="44B24638">
      <w:pPr>
        <w:spacing w:line="360" w:lineRule="auto"/>
        <w:ind w:firstLine="480" w:firstLineChars="200"/>
        <w:rPr>
          <w:rFonts w:ascii="宋体" w:hAnsi="宋体"/>
          <w:kern w:val="0"/>
          <w:sz w:val="24"/>
        </w:rPr>
      </w:pPr>
      <w:r>
        <w:rPr>
          <w:rFonts w:ascii="宋体" w:hAnsi="宋体"/>
          <w:kern w:val="0"/>
          <w:sz w:val="24"/>
        </w:rPr>
        <w:t>6</w:t>
      </w:r>
      <w:r>
        <w:rPr>
          <w:rFonts w:hint="eastAsia" w:ascii="宋体" w:hAnsi="宋体"/>
          <w:kern w:val="0"/>
          <w:sz w:val="24"/>
        </w:rPr>
        <w:t>、基金财产清算的期限为6个月，</w:t>
      </w:r>
      <w:r>
        <w:rPr>
          <w:rFonts w:hint="eastAsia" w:ascii="宋体" w:hAnsi="宋体"/>
          <w:bCs/>
          <w:kern w:val="0"/>
          <w:sz w:val="24"/>
        </w:rPr>
        <w:t>但因本基金所持证券的流动性受到限制而不能及时变现的，清算期限可相应顺延</w:t>
      </w:r>
      <w:r>
        <w:rPr>
          <w:rFonts w:ascii="宋体" w:hAnsi="宋体"/>
          <w:bCs/>
          <w:kern w:val="0"/>
          <w:sz w:val="24"/>
        </w:rPr>
        <w:t>。</w:t>
      </w:r>
    </w:p>
    <w:p w14:paraId="6B1D51CE">
      <w:pPr>
        <w:spacing w:line="360" w:lineRule="auto"/>
        <w:ind w:firstLine="480" w:firstLineChars="200"/>
        <w:rPr>
          <w:bCs/>
          <w:sz w:val="24"/>
        </w:rPr>
      </w:pPr>
      <w:r>
        <w:rPr>
          <w:rFonts w:ascii="宋体" w:hAnsi="宋体"/>
          <w:kern w:val="0"/>
          <w:sz w:val="24"/>
        </w:rPr>
        <w:t>7</w:t>
      </w:r>
      <w:r>
        <w:rPr>
          <w:rFonts w:hint="eastAsia" w:ascii="宋体" w:hAnsi="宋体"/>
          <w:kern w:val="0"/>
          <w:sz w:val="24"/>
        </w:rPr>
        <w:t>、</w:t>
      </w:r>
      <w:r>
        <w:rPr>
          <w:rFonts w:hint="eastAsia"/>
          <w:bCs/>
          <w:sz w:val="24"/>
        </w:rPr>
        <w:t>清算费用</w:t>
      </w:r>
    </w:p>
    <w:p w14:paraId="28CC0AC7">
      <w:pPr>
        <w:spacing w:line="360" w:lineRule="auto"/>
        <w:ind w:firstLine="480" w:firstLineChars="200"/>
        <w:rPr>
          <w:rFonts w:ascii="宋体" w:hAnsi="宋体"/>
          <w:kern w:val="0"/>
          <w:sz w:val="24"/>
        </w:rPr>
      </w:pPr>
      <w:r>
        <w:rPr>
          <w:rFonts w:hint="eastAsia" w:ascii="宋体" w:hAnsi="宋体"/>
          <w:kern w:val="0"/>
          <w:sz w:val="24"/>
        </w:rPr>
        <w:t>清算费用是指基金财产清算小组在进行基金财产清算过程中发生的所有合理费用，清算费用由基金财产清算小组优先从基金剩余财产中支付。</w:t>
      </w:r>
    </w:p>
    <w:p w14:paraId="164A40C0">
      <w:pPr>
        <w:spacing w:line="360" w:lineRule="auto"/>
        <w:ind w:firstLine="480" w:firstLineChars="200"/>
        <w:rPr>
          <w:rFonts w:ascii="宋体" w:hAnsi="宋体"/>
          <w:kern w:val="0"/>
          <w:sz w:val="24"/>
        </w:rPr>
      </w:pPr>
      <w:r>
        <w:rPr>
          <w:rFonts w:ascii="宋体" w:hAnsi="宋体"/>
          <w:kern w:val="0"/>
          <w:sz w:val="24"/>
        </w:rPr>
        <w:t>8</w:t>
      </w:r>
      <w:r>
        <w:rPr>
          <w:rFonts w:hint="eastAsia" w:ascii="宋体" w:hAnsi="宋体"/>
          <w:kern w:val="0"/>
          <w:sz w:val="24"/>
        </w:rPr>
        <w:t>、基金财产清算剩余资产的分配</w:t>
      </w:r>
    </w:p>
    <w:p w14:paraId="6BF45B2B">
      <w:pPr>
        <w:spacing w:line="360" w:lineRule="auto"/>
        <w:ind w:firstLine="480" w:firstLineChars="200"/>
        <w:rPr>
          <w:rFonts w:ascii="宋体" w:hAnsi="宋体"/>
          <w:kern w:val="0"/>
          <w:sz w:val="24"/>
        </w:rPr>
      </w:pPr>
      <w:r>
        <w:rPr>
          <w:rFonts w:hint="eastAsia" w:ascii="宋体" w:hAnsi="宋体"/>
          <w:kern w:val="0"/>
          <w:sz w:val="24"/>
        </w:rPr>
        <w:t>依据基金财产清算的分配方案，将基金财产清算后的全部剩余资产扣除基金财产清算费用、交纳所欠税款并清偿基金债务后，按基金份额持有人持有的基金份额比例进行分配。</w:t>
      </w:r>
    </w:p>
    <w:p w14:paraId="0089D154">
      <w:pPr>
        <w:spacing w:line="360" w:lineRule="auto"/>
        <w:ind w:firstLine="480" w:firstLineChars="200"/>
        <w:rPr>
          <w:rFonts w:ascii="宋体" w:hAnsi="宋体"/>
          <w:kern w:val="0"/>
          <w:sz w:val="24"/>
        </w:rPr>
      </w:pPr>
      <w:r>
        <w:rPr>
          <w:rFonts w:ascii="宋体" w:hAnsi="宋体"/>
          <w:kern w:val="0"/>
          <w:sz w:val="24"/>
        </w:rPr>
        <w:t>9</w:t>
      </w:r>
      <w:r>
        <w:rPr>
          <w:rFonts w:hint="eastAsia" w:ascii="宋体" w:hAnsi="宋体"/>
          <w:kern w:val="0"/>
          <w:sz w:val="24"/>
        </w:rPr>
        <w:t>、基金财产清算的公告</w:t>
      </w:r>
    </w:p>
    <w:p w14:paraId="36D6824A">
      <w:pPr>
        <w:spacing w:line="360" w:lineRule="auto"/>
        <w:ind w:firstLine="480" w:firstLineChars="200"/>
        <w:rPr>
          <w:rFonts w:ascii="宋体" w:hAnsi="宋体"/>
          <w:kern w:val="0"/>
          <w:sz w:val="24"/>
        </w:rPr>
      </w:pPr>
      <w:r>
        <w:rPr>
          <w:rFonts w:hint="eastAsia" w:ascii="宋体" w:hAnsi="宋体"/>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7D6EFF49">
      <w:pPr>
        <w:spacing w:line="360" w:lineRule="auto"/>
        <w:ind w:firstLine="480" w:firstLineChars="200"/>
        <w:rPr>
          <w:rFonts w:ascii="宋体" w:hAnsi="宋体"/>
          <w:kern w:val="0"/>
          <w:sz w:val="24"/>
        </w:rPr>
      </w:pPr>
      <w:r>
        <w:rPr>
          <w:rFonts w:ascii="宋体" w:hAnsi="宋体"/>
          <w:kern w:val="0"/>
          <w:sz w:val="24"/>
        </w:rPr>
        <w:t>10</w:t>
      </w:r>
      <w:r>
        <w:rPr>
          <w:rFonts w:hint="eastAsia" w:ascii="宋体" w:hAnsi="宋体"/>
          <w:kern w:val="0"/>
          <w:sz w:val="24"/>
        </w:rPr>
        <w:t>、基金财产清算账册及文件的保存</w:t>
      </w:r>
    </w:p>
    <w:p w14:paraId="16F6D613">
      <w:pPr>
        <w:spacing w:line="360" w:lineRule="auto"/>
        <w:ind w:firstLine="480" w:firstLineChars="200"/>
        <w:rPr>
          <w:rFonts w:ascii="宋体" w:hAnsi="宋体"/>
          <w:kern w:val="0"/>
          <w:sz w:val="24"/>
        </w:rPr>
      </w:pPr>
      <w:r>
        <w:rPr>
          <w:rFonts w:hint="eastAsia" w:ascii="宋体" w:hAnsi="宋体"/>
          <w:kern w:val="0"/>
          <w:sz w:val="24"/>
        </w:rPr>
        <w:t>基金财产清算账册及有关文件由基金托管人保存，保存时间不低于法律法规规定的最低期限。</w:t>
      </w:r>
      <w:bookmarkStart w:id="118" w:name="_Toc125892453"/>
    </w:p>
    <w:p w14:paraId="67D4FF66">
      <w:pPr>
        <w:pStyle w:val="2"/>
        <w:spacing w:before="0" w:after="0"/>
        <w:ind w:firstLine="480" w:firstLineChars="200"/>
        <w:rPr>
          <w:color w:val="auto"/>
        </w:rPr>
      </w:pPr>
      <w:bookmarkStart w:id="119" w:name="_Toc508720695"/>
      <w:r>
        <w:rPr>
          <w:rFonts w:hint="eastAsia"/>
          <w:color w:val="auto"/>
        </w:rPr>
        <w:t>十七、违约责任</w:t>
      </w:r>
      <w:bookmarkEnd w:id="114"/>
      <w:bookmarkEnd w:id="115"/>
      <w:bookmarkEnd w:id="116"/>
      <w:bookmarkEnd w:id="118"/>
      <w:bookmarkEnd w:id="119"/>
    </w:p>
    <w:p w14:paraId="49A8EC72">
      <w:pPr>
        <w:spacing w:line="360" w:lineRule="auto"/>
        <w:ind w:firstLine="480" w:firstLineChars="200"/>
        <w:rPr>
          <w:b/>
          <w:sz w:val="24"/>
        </w:rPr>
      </w:pPr>
      <w:r>
        <w:rPr>
          <w:rFonts w:hint="eastAsia"/>
          <w:sz w:val="24"/>
        </w:rPr>
        <w:t>（一）基金管理人或基金托管人不履行本协议或履行本协议不符合约定的，应当承担违约责任；</w:t>
      </w:r>
    </w:p>
    <w:p w14:paraId="1282BC97">
      <w:pPr>
        <w:spacing w:line="360" w:lineRule="auto"/>
        <w:ind w:firstLine="480" w:firstLineChars="200"/>
        <w:rPr>
          <w:sz w:val="24"/>
        </w:rPr>
      </w:pPr>
      <w:r>
        <w:rPr>
          <w:rFonts w:hint="eastAsia"/>
          <w:sz w:val="24"/>
        </w:rPr>
        <w:t>（二）</w:t>
      </w:r>
      <w:bookmarkStart w:id="120" w:name="OLE_LINK3"/>
      <w:r>
        <w:rPr>
          <w:sz w:val="24"/>
        </w:rPr>
        <w:t>基金管理人、基金托管人在履行各自职责的过程中，违反</w:t>
      </w:r>
      <w:r>
        <w:rPr>
          <w:rFonts w:hint="eastAsia"/>
          <w:sz w:val="24"/>
        </w:rPr>
        <w:t>《基金法》</w:t>
      </w:r>
      <w:r>
        <w:rPr>
          <w:sz w:val="24"/>
        </w:rPr>
        <w:t>规定或者</w:t>
      </w:r>
      <w:r>
        <w:rPr>
          <w:rFonts w:hint="eastAsia"/>
          <w:sz w:val="24"/>
        </w:rPr>
        <w:t>本托管协议</w:t>
      </w:r>
      <w:r>
        <w:rPr>
          <w:sz w:val="24"/>
        </w:rPr>
        <w:t>约定，给基金财产或者基金份额持有人造成损害的，应当分别对各自的行为依法承担赔偿责任；因共同行为给基金财产或者基金份额持有人造成损害的，应当承担连带赔偿责任</w:t>
      </w:r>
      <w:r>
        <w:rPr>
          <w:rFonts w:hint="eastAsia"/>
          <w:sz w:val="24"/>
        </w:rPr>
        <w:t>，</w:t>
      </w:r>
      <w:r>
        <w:rPr>
          <w:sz w:val="24"/>
        </w:rPr>
        <w:t>对损失的赔偿，仅限于直接损失</w:t>
      </w:r>
      <w:r>
        <w:rPr>
          <w:rFonts w:hint="eastAsia"/>
          <w:sz w:val="24"/>
        </w:rPr>
        <w:t>。</w:t>
      </w:r>
      <w:bookmarkEnd w:id="120"/>
      <w:r>
        <w:rPr>
          <w:rFonts w:hint="eastAsia"/>
          <w:sz w:val="24"/>
        </w:rPr>
        <w:t>但是发生下列情况之一的，当事人免责：</w:t>
      </w:r>
    </w:p>
    <w:p w14:paraId="3B653E65">
      <w:pPr>
        <w:spacing w:line="360" w:lineRule="auto"/>
        <w:ind w:firstLine="480" w:firstLineChars="200"/>
        <w:rPr>
          <w:rFonts w:ascii="宋体" w:hAnsi="宋体"/>
          <w:kern w:val="0"/>
          <w:sz w:val="24"/>
        </w:rPr>
      </w:pPr>
      <w:r>
        <w:rPr>
          <w:rFonts w:hint="eastAsia" w:ascii="宋体" w:hAnsi="宋体"/>
          <w:kern w:val="0"/>
          <w:sz w:val="24"/>
        </w:rPr>
        <w:t>1、不可抗力；</w:t>
      </w:r>
    </w:p>
    <w:p w14:paraId="13B29CBE">
      <w:pPr>
        <w:spacing w:line="360" w:lineRule="auto"/>
        <w:ind w:firstLine="480" w:firstLineChars="200"/>
        <w:rPr>
          <w:rFonts w:ascii="宋体" w:hAnsi="宋体"/>
          <w:kern w:val="0"/>
          <w:sz w:val="24"/>
        </w:rPr>
      </w:pPr>
      <w:r>
        <w:rPr>
          <w:rFonts w:hint="eastAsia" w:ascii="宋体" w:hAnsi="宋体"/>
          <w:kern w:val="0"/>
          <w:sz w:val="24"/>
        </w:rPr>
        <w:t>2、基金管理人和</w:t>
      </w:r>
      <w:r>
        <w:rPr>
          <w:rFonts w:ascii="宋体" w:hAnsi="宋体"/>
          <w:kern w:val="0"/>
          <w:sz w:val="24"/>
        </w:rPr>
        <w:t>/</w:t>
      </w:r>
      <w:r>
        <w:rPr>
          <w:rFonts w:hint="eastAsia" w:ascii="宋体" w:hAnsi="宋体"/>
          <w:kern w:val="0"/>
          <w:sz w:val="24"/>
        </w:rPr>
        <w:t>或基金托管人按照</w:t>
      </w:r>
      <w:r>
        <w:rPr>
          <w:rFonts w:hint="eastAsia"/>
          <w:bCs/>
          <w:sz w:val="24"/>
        </w:rPr>
        <w:t>届</w:t>
      </w:r>
      <w:r>
        <w:rPr>
          <w:bCs/>
          <w:sz w:val="24"/>
        </w:rPr>
        <w:t>时有效的法律法规或中国证监会的规定</w:t>
      </w:r>
      <w:r>
        <w:rPr>
          <w:rFonts w:hint="eastAsia" w:ascii="宋体" w:hAnsi="宋体"/>
          <w:kern w:val="0"/>
          <w:sz w:val="24"/>
        </w:rPr>
        <w:t>作为或不作为而造成的损失等；</w:t>
      </w:r>
    </w:p>
    <w:p w14:paraId="0F3676E9">
      <w:pPr>
        <w:spacing w:line="360" w:lineRule="auto"/>
        <w:ind w:firstLine="480" w:firstLineChars="200"/>
        <w:rPr>
          <w:bCs/>
          <w:sz w:val="24"/>
        </w:rPr>
      </w:pPr>
      <w:r>
        <w:rPr>
          <w:rFonts w:hint="eastAsia" w:ascii="宋体" w:hAnsi="宋体"/>
          <w:kern w:val="0"/>
          <w:sz w:val="24"/>
        </w:rPr>
        <w:t>3、基金管理人由于按照《基金合同》规定的投资原则</w:t>
      </w:r>
      <w:r>
        <w:rPr>
          <w:bCs/>
          <w:sz w:val="24"/>
        </w:rPr>
        <w:t>行使或不行使其投资权</w:t>
      </w:r>
      <w:r>
        <w:rPr>
          <w:rFonts w:hint="eastAsia" w:ascii="宋体" w:hAnsi="宋体"/>
          <w:kern w:val="0"/>
          <w:sz w:val="24"/>
        </w:rPr>
        <w:t>而造成的损失等</w:t>
      </w:r>
      <w:r>
        <w:rPr>
          <w:rFonts w:hint="eastAsia"/>
          <w:bCs/>
          <w:sz w:val="24"/>
        </w:rPr>
        <w:t>。</w:t>
      </w:r>
    </w:p>
    <w:p w14:paraId="14B40CCD">
      <w:pPr>
        <w:spacing w:line="360" w:lineRule="auto"/>
        <w:ind w:firstLine="480" w:firstLineChars="200"/>
        <w:rPr>
          <w:rFonts w:ascii="宋体" w:hAnsi="宋体"/>
          <w:kern w:val="0"/>
          <w:sz w:val="24"/>
        </w:rPr>
      </w:pPr>
      <w:r>
        <w:rPr>
          <w:rFonts w:hint="eastAsia" w:ascii="宋体" w:hAnsi="宋体"/>
          <w:kern w:val="0"/>
          <w:sz w:val="24"/>
        </w:rPr>
        <w:t>（三）当事人违约，给另一方当事人造成损失的，应就直接损失进行赔偿；给基金资产造成损失的，应就直接损失进行赔偿，另一方当事人有权利及义务代表基金向违约方追偿。</w:t>
      </w:r>
    </w:p>
    <w:p w14:paraId="0E7809D8">
      <w:pPr>
        <w:spacing w:line="360" w:lineRule="auto"/>
        <w:ind w:firstLine="480" w:firstLineChars="200"/>
        <w:rPr>
          <w:rFonts w:ascii="宋体" w:hAnsi="宋体"/>
          <w:kern w:val="0"/>
          <w:sz w:val="24"/>
        </w:rPr>
      </w:pPr>
      <w:r>
        <w:rPr>
          <w:rFonts w:hint="eastAsia" w:ascii="宋体" w:hAnsi="宋体"/>
          <w:kern w:val="0"/>
          <w:sz w:val="24"/>
        </w:rPr>
        <w:t>（四）当事人一方违约，另一方在职责范围内有义务及时采取必要的措施，尽力防止损失的扩大。没有采取适当措施致使损失进一步扩大的，不得就扩大的损失要求赔偿。非违约方因防止损失扩大而支出的合理费用由违约方承担。</w:t>
      </w:r>
    </w:p>
    <w:p w14:paraId="10DDE3C2">
      <w:pPr>
        <w:spacing w:line="360" w:lineRule="auto"/>
        <w:ind w:firstLine="480" w:firstLineChars="200"/>
        <w:rPr>
          <w:sz w:val="24"/>
        </w:rPr>
      </w:pPr>
      <w:r>
        <w:rPr>
          <w:rFonts w:hint="eastAsia" w:ascii="宋体" w:hAnsi="宋体"/>
          <w:kern w:val="0"/>
          <w:sz w:val="24"/>
        </w:rPr>
        <w:t>（五）</w:t>
      </w:r>
      <w:r>
        <w:rPr>
          <w:rFonts w:hint="eastAsia"/>
          <w:sz w:val="24"/>
        </w:rPr>
        <w:t>违约行为虽已发生，但本托管协议能够继续履行的，在最大限度地保护基金份额持有人利益的前提下，基金管理人和基金托管人应当继续履行本协议；</w:t>
      </w:r>
      <w:bookmarkStart w:id="121" w:name="_Toc523830010"/>
      <w:bookmarkStart w:id="122" w:name="_Toc22454480"/>
      <w:bookmarkStart w:id="123" w:name="_Toc466788868"/>
      <w:bookmarkStart w:id="124" w:name="_Toc125892454"/>
      <w:r>
        <w:rPr>
          <w:rFonts w:hint="eastAsia"/>
          <w:sz w:val="24"/>
        </w:rPr>
        <w:t>若基金管理人或基金托管人因履行本协议而被起诉，另一方应提供合理的必要支持。</w:t>
      </w:r>
    </w:p>
    <w:p w14:paraId="2CB98F5E">
      <w:pPr>
        <w:spacing w:line="360" w:lineRule="auto"/>
        <w:ind w:firstLine="480" w:firstLineChars="200"/>
        <w:rPr>
          <w:sz w:val="24"/>
        </w:rPr>
      </w:pPr>
      <w:r>
        <w:rPr>
          <w:rFonts w:hint="eastAsia"/>
          <w:sz w:val="24"/>
        </w:rPr>
        <w:t>（六）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减轻或消除由此造成的影响。</w:t>
      </w:r>
    </w:p>
    <w:p w14:paraId="75440CB0">
      <w:pPr>
        <w:spacing w:line="360" w:lineRule="auto"/>
        <w:ind w:firstLine="480" w:firstLineChars="200"/>
        <w:rPr>
          <w:b/>
          <w:sz w:val="24"/>
        </w:rPr>
      </w:pPr>
      <w:r>
        <w:rPr>
          <w:rFonts w:hint="eastAsia"/>
          <w:sz w:val="24"/>
        </w:rPr>
        <w:t>（七）本协议所指损失均为直接损失。</w:t>
      </w:r>
    </w:p>
    <w:p w14:paraId="2FBBF029">
      <w:pPr>
        <w:pStyle w:val="2"/>
        <w:spacing w:before="0" w:after="0"/>
        <w:ind w:firstLine="480" w:firstLineChars="200"/>
        <w:rPr>
          <w:color w:val="auto"/>
        </w:rPr>
      </w:pPr>
      <w:bookmarkStart w:id="125" w:name="_Toc508720696"/>
      <w:r>
        <w:rPr>
          <w:rFonts w:hint="eastAsia"/>
          <w:color w:val="auto"/>
        </w:rPr>
        <w:t>十八、争议</w:t>
      </w:r>
      <w:bookmarkEnd w:id="121"/>
      <w:bookmarkEnd w:id="122"/>
      <w:bookmarkEnd w:id="123"/>
      <w:r>
        <w:rPr>
          <w:rFonts w:hint="eastAsia"/>
          <w:color w:val="auto"/>
        </w:rPr>
        <w:t>解决方式</w:t>
      </w:r>
      <w:bookmarkEnd w:id="124"/>
      <w:bookmarkEnd w:id="125"/>
    </w:p>
    <w:p w14:paraId="3770AC49">
      <w:pPr>
        <w:spacing w:line="360" w:lineRule="auto"/>
        <w:ind w:firstLine="480" w:firstLineChars="200"/>
        <w:rPr>
          <w:rFonts w:ascii="宋体" w:hAnsi="宋体"/>
          <w:b/>
          <w:bCs/>
          <w:i/>
          <w:iCs/>
          <w:kern w:val="0"/>
          <w:sz w:val="24"/>
        </w:rPr>
      </w:pPr>
      <w:r>
        <w:rPr>
          <w:rFonts w:ascii="宋体" w:hAnsi="宋体"/>
          <w:b/>
          <w:bCs/>
          <w:i/>
          <w:iCs/>
          <w:kern w:val="0"/>
          <w:sz w:val="24"/>
        </w:rPr>
        <w:t>双方</w:t>
      </w:r>
      <w:r>
        <w:rPr>
          <w:rFonts w:hint="eastAsia" w:ascii="宋体" w:hAnsi="宋体"/>
          <w:b/>
          <w:bCs/>
          <w:i/>
          <w:iCs/>
          <w:kern w:val="0"/>
          <w:sz w:val="24"/>
        </w:rPr>
        <w:t>当事人同意，因本协议而产生的或与本协议有关的一切争议，应通过友好协商或者调解解决。托管协议当事人不愿通过协商、调解解决或者协商、调解不成的，应提交</w:t>
      </w:r>
      <w:r>
        <w:rPr>
          <w:rFonts w:hint="eastAsia"/>
          <w:b/>
          <w:bCs/>
          <w:i/>
          <w:iCs/>
          <w:sz w:val="24"/>
        </w:rPr>
        <w:t>深圳国际仲裁院（深圳仲裁委员会）</w:t>
      </w:r>
      <w:r>
        <w:rPr>
          <w:rFonts w:hint="eastAsia" w:ascii="宋体" w:hAnsi="宋体"/>
          <w:b/>
          <w:bCs/>
          <w:i/>
          <w:iCs/>
          <w:kern w:val="0"/>
          <w:sz w:val="24"/>
        </w:rPr>
        <w:t>仲裁，根据该会</w:t>
      </w:r>
      <w:r>
        <w:rPr>
          <w:rFonts w:ascii="宋体" w:hAnsi="宋体"/>
          <w:b/>
          <w:bCs/>
          <w:i/>
          <w:iCs/>
          <w:kern w:val="0"/>
          <w:sz w:val="24"/>
        </w:rPr>
        <w:t>届</w:t>
      </w:r>
      <w:r>
        <w:rPr>
          <w:rFonts w:hint="eastAsia" w:ascii="宋体" w:hAnsi="宋体"/>
          <w:b/>
          <w:bCs/>
          <w:i/>
          <w:iCs/>
          <w:kern w:val="0"/>
          <w:sz w:val="24"/>
        </w:rPr>
        <w:t>时有效的仲裁规则进行仲裁，仲裁的地点为深圳市，仲裁裁决是终局性的，并对双方当事人均具有约束力。仲裁费用、律师费用由败诉方承担，除非仲裁裁决另有规定。</w:t>
      </w:r>
    </w:p>
    <w:p w14:paraId="7DEFC9AF">
      <w:pPr>
        <w:spacing w:line="360" w:lineRule="auto"/>
        <w:ind w:firstLine="480" w:firstLineChars="200"/>
        <w:rPr>
          <w:rFonts w:ascii="宋体" w:hAnsi="宋体"/>
          <w:b/>
          <w:bCs/>
          <w:i/>
          <w:iCs/>
          <w:kern w:val="0"/>
          <w:sz w:val="24"/>
        </w:rPr>
      </w:pPr>
      <w:r>
        <w:rPr>
          <w:rFonts w:hint="eastAsia" w:ascii="宋体" w:hAnsi="宋体"/>
          <w:b/>
          <w:bCs/>
          <w:i/>
          <w:iCs/>
          <w:kern w:val="0"/>
          <w:sz w:val="24"/>
        </w:rPr>
        <w:t>争议处理期间，双方当事人应恪守基金管理人和基金托管人职责，各自继续忠实、勤勉、尽责地履行《基金合同》和本协议规定的义务，维护基金份额持有人的合法权益。</w:t>
      </w:r>
    </w:p>
    <w:p w14:paraId="49D66F11">
      <w:pPr>
        <w:spacing w:line="360" w:lineRule="auto"/>
        <w:ind w:firstLine="480" w:firstLineChars="200"/>
        <w:rPr>
          <w:rFonts w:ascii="宋体" w:hAnsi="宋体"/>
          <w:b/>
          <w:bCs/>
          <w:i/>
          <w:iCs/>
          <w:kern w:val="0"/>
          <w:sz w:val="24"/>
        </w:rPr>
      </w:pPr>
      <w:r>
        <w:rPr>
          <w:rFonts w:hint="eastAsia" w:ascii="宋体" w:hAnsi="宋体"/>
          <w:b/>
          <w:bCs/>
          <w:i/>
          <w:iCs/>
          <w:kern w:val="0"/>
          <w:sz w:val="24"/>
        </w:rPr>
        <w:t>本协议受中华人民共和国</w:t>
      </w:r>
      <w:r>
        <w:rPr>
          <w:rFonts w:hint="eastAsia" w:ascii="宋体" w:hAnsi="宋体"/>
          <w:b/>
          <w:bCs/>
          <w:i/>
          <w:iCs/>
          <w:sz w:val="24"/>
        </w:rPr>
        <w:t>（为</w:t>
      </w:r>
      <w:r>
        <w:rPr>
          <w:rFonts w:ascii="宋体" w:hAnsi="宋体"/>
          <w:b/>
          <w:bCs/>
          <w:i/>
          <w:iCs/>
          <w:sz w:val="24"/>
        </w:rPr>
        <w:t>本</w:t>
      </w:r>
      <w:r>
        <w:rPr>
          <w:rFonts w:hint="eastAsia" w:ascii="宋体" w:hAnsi="宋体"/>
          <w:b/>
          <w:bCs/>
          <w:i/>
          <w:iCs/>
          <w:sz w:val="24"/>
        </w:rPr>
        <w:t>协议</w:t>
      </w:r>
      <w:r>
        <w:rPr>
          <w:rFonts w:ascii="宋体" w:hAnsi="宋体"/>
          <w:b/>
          <w:bCs/>
          <w:i/>
          <w:iCs/>
          <w:sz w:val="24"/>
        </w:rPr>
        <w:t>的目的，</w:t>
      </w:r>
      <w:r>
        <w:rPr>
          <w:rFonts w:hint="eastAsia" w:ascii="宋体" w:hAnsi="宋体"/>
          <w:b/>
          <w:bCs/>
          <w:i/>
          <w:iCs/>
          <w:sz w:val="24"/>
        </w:rPr>
        <w:t>不包括香港、澳门特别行政区及台湾地区</w:t>
      </w:r>
      <w:r>
        <w:rPr>
          <w:rFonts w:hint="eastAsia" w:ascii="宋体" w:hAnsi="宋体"/>
          <w:b/>
          <w:bCs/>
          <w:i/>
          <w:iCs/>
          <w:kern w:val="0"/>
          <w:sz w:val="24"/>
        </w:rPr>
        <w:t>）法律管辖。</w:t>
      </w:r>
      <w:bookmarkStart w:id="126" w:name="_Toc466788869"/>
      <w:bookmarkStart w:id="127" w:name="_Toc125892455"/>
      <w:bookmarkStart w:id="128" w:name="_Toc22454481"/>
      <w:bookmarkStart w:id="129" w:name="_Toc523830011"/>
    </w:p>
    <w:p w14:paraId="2989A016">
      <w:pPr>
        <w:pStyle w:val="2"/>
        <w:spacing w:before="0" w:after="0"/>
        <w:ind w:firstLine="480" w:firstLineChars="200"/>
        <w:rPr>
          <w:color w:val="auto"/>
        </w:rPr>
      </w:pPr>
      <w:bookmarkStart w:id="130" w:name="_Toc508720697"/>
      <w:r>
        <w:rPr>
          <w:rFonts w:hint="eastAsia"/>
          <w:color w:val="auto"/>
        </w:rPr>
        <w:t>十九、基金托管协议的效力</w:t>
      </w:r>
      <w:bookmarkEnd w:id="126"/>
      <w:bookmarkEnd w:id="127"/>
      <w:bookmarkEnd w:id="128"/>
      <w:bookmarkEnd w:id="129"/>
      <w:bookmarkEnd w:id="130"/>
    </w:p>
    <w:p w14:paraId="0C18860C">
      <w:pPr>
        <w:spacing w:line="360" w:lineRule="auto"/>
        <w:ind w:firstLine="480" w:firstLineChars="200"/>
        <w:rPr>
          <w:sz w:val="24"/>
        </w:rPr>
      </w:pPr>
      <w:r>
        <w:rPr>
          <w:rFonts w:hint="eastAsia"/>
          <w:sz w:val="24"/>
        </w:rPr>
        <w:t>（一）基金管理人在向中国证监会申请基金募集注册时提交的基金托管协议草案，应经托管协议当事人双方盖章以及双方法定代表人或授权代表</w:t>
      </w:r>
      <w:bookmarkStart w:id="131" w:name="_Hlk152355783"/>
      <w:r>
        <w:rPr>
          <w:rFonts w:hint="eastAsia"/>
          <w:sz w:val="24"/>
        </w:rPr>
        <w:t>签字或</w:t>
      </w:r>
      <w:bookmarkEnd w:id="131"/>
      <w:r>
        <w:rPr>
          <w:rFonts w:hint="eastAsia"/>
          <w:sz w:val="24"/>
        </w:rPr>
        <w:t>签章，协议当事人双方根据中国证监会的意见修改托管协议草案。托管协议以报中国证监会注册的文本为正式文本。</w:t>
      </w:r>
    </w:p>
    <w:p w14:paraId="40BA6D58">
      <w:pPr>
        <w:spacing w:line="360" w:lineRule="auto"/>
        <w:ind w:firstLine="480" w:firstLineChars="200"/>
        <w:rPr>
          <w:sz w:val="24"/>
        </w:rPr>
      </w:pPr>
      <w:r>
        <w:rPr>
          <w:rFonts w:hint="eastAsia"/>
          <w:sz w:val="24"/>
        </w:rPr>
        <w:t>（二）基金托管协议自《基金合同》成立之日起成立，自《基金合同》生效之日起生效。基金托管协议的有效期自其生效之日起至基金财产清算结果报中国证监会备案并公告之日止。</w:t>
      </w:r>
    </w:p>
    <w:p w14:paraId="54154B0B">
      <w:pPr>
        <w:spacing w:line="360" w:lineRule="auto"/>
        <w:ind w:firstLine="480" w:firstLineChars="200"/>
        <w:rPr>
          <w:sz w:val="24"/>
        </w:rPr>
      </w:pPr>
      <w:r>
        <w:rPr>
          <w:rFonts w:hint="eastAsia"/>
          <w:sz w:val="24"/>
        </w:rPr>
        <w:t>（三）基金托管协议自生效之日起对托管协议当事人具有同等的法律约束力。</w:t>
      </w:r>
    </w:p>
    <w:p w14:paraId="71A3CEDD">
      <w:pPr>
        <w:spacing w:line="360" w:lineRule="auto"/>
        <w:ind w:firstLine="480" w:firstLineChars="200"/>
        <w:rPr>
          <w:b/>
          <w:sz w:val="24"/>
        </w:rPr>
      </w:pPr>
      <w:r>
        <w:rPr>
          <w:rFonts w:hint="eastAsia"/>
          <w:sz w:val="24"/>
        </w:rPr>
        <w:t>（四）基金托管协议一式三份，除上报中国证监会一份外，基金管理人和基金托管人分别持有一份，每份具有同等的法律效力。</w:t>
      </w:r>
    </w:p>
    <w:p w14:paraId="51320A37">
      <w:pPr>
        <w:pStyle w:val="2"/>
        <w:spacing w:before="0" w:after="0"/>
        <w:ind w:firstLine="480" w:firstLineChars="200"/>
        <w:rPr>
          <w:color w:val="auto"/>
        </w:rPr>
      </w:pPr>
      <w:bookmarkStart w:id="132" w:name="_Toc508720698"/>
      <w:r>
        <w:rPr>
          <w:rFonts w:hint="eastAsia"/>
          <w:color w:val="auto"/>
        </w:rPr>
        <w:t>二十、其他事项</w:t>
      </w:r>
      <w:bookmarkEnd w:id="132"/>
    </w:p>
    <w:p w14:paraId="4DE8657C">
      <w:pPr>
        <w:spacing w:line="360" w:lineRule="auto"/>
        <w:ind w:firstLine="480" w:firstLineChars="200"/>
        <w:rPr>
          <w:sz w:val="24"/>
        </w:rPr>
      </w:pPr>
      <w:r>
        <w:rPr>
          <w:rFonts w:hint="eastAsia"/>
          <w:sz w:val="24"/>
        </w:rPr>
        <w:t>本协议未尽事宜，当事人依据基金合同、有关法律、法规等规定协商办理。</w:t>
      </w:r>
    </w:p>
    <w:p w14:paraId="020DBA4C">
      <w:pPr>
        <w:pStyle w:val="2"/>
        <w:spacing w:before="0" w:after="0"/>
        <w:ind w:firstLine="480" w:firstLineChars="200"/>
        <w:rPr>
          <w:color w:val="auto"/>
        </w:rPr>
      </w:pPr>
      <w:bookmarkStart w:id="133" w:name="_Toc508720699"/>
      <w:bookmarkStart w:id="134" w:name="_Toc523830014"/>
      <w:bookmarkStart w:id="135" w:name="_Toc22454484"/>
      <w:r>
        <w:rPr>
          <w:rFonts w:hint="eastAsia"/>
          <w:color w:val="auto"/>
        </w:rPr>
        <w:t>二十一、基金托管协议的签订</w:t>
      </w:r>
      <w:bookmarkEnd w:id="133"/>
      <w:bookmarkEnd w:id="134"/>
      <w:bookmarkEnd w:id="135"/>
    </w:p>
    <w:p w14:paraId="39A85A5F">
      <w:pPr>
        <w:spacing w:line="360" w:lineRule="auto"/>
        <w:ind w:firstLine="480" w:firstLineChars="200"/>
      </w:pPr>
      <w:r>
        <w:rPr>
          <w:rFonts w:hint="eastAsia"/>
          <w:sz w:val="24"/>
        </w:rPr>
        <w:t>本托管协议双方法定代表人或授权代表签字或签章、签订地、签订日，见签署页。</w:t>
      </w:r>
    </w:p>
    <w:p w14:paraId="18A23993">
      <w:pPr>
        <w:spacing w:line="360" w:lineRule="auto"/>
        <w:ind w:firstLine="420" w:firstLineChars="200"/>
      </w:pPr>
    </w:p>
    <w:sectPr>
      <w:footerReference r:id="rId8" w:type="first"/>
      <w:headerReference r:id="rId6" w:type="default"/>
      <w:footerReference r:id="rId7" w:type="default"/>
      <w:pgSz w:w="11906" w:h="16838"/>
      <w:pgMar w:top="1440" w:right="1797" w:bottom="1440" w:left="1797" w:header="851" w:footer="992" w:gutter="0"/>
      <w:pgNumType w:start="1"/>
      <w:cols w:space="425"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宋体-WinCharSetFFFF-H">
    <w:altName w:val="宋体"/>
    <w:panose1 w:val="00000000000000000000"/>
    <w:charset w:val="86"/>
    <w:family w:val="auto"/>
    <w:pitch w:val="default"/>
    <w:sig w:usb0="00000000" w:usb1="00000000" w:usb2="00000010" w:usb3="00000000" w:csb0="00040000" w:csb1="00000000"/>
  </w:font>
  <w:font w:name="??">
    <w:altName w:val="Times New Roman"/>
    <w:panose1 w:val="00000000000000000000"/>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619EA">
    <w:pPr>
      <w:pStyle w:val="14"/>
      <w:framePr w:wrap="around" w:vAnchor="text" w:hAnchor="margin" w:xAlign="center" w:y="1"/>
      <w:rPr>
        <w:rStyle w:val="25"/>
      </w:rPr>
    </w:pPr>
    <w:r>
      <w:rPr>
        <w:rStyle w:val="25"/>
      </w:rPr>
      <w:fldChar w:fldCharType="begin"/>
    </w:r>
    <w:r>
      <w:rPr>
        <w:rStyle w:val="25"/>
      </w:rPr>
      <w:instrText xml:space="preserve">PAGE  </w:instrText>
    </w:r>
    <w:r>
      <w:rPr>
        <w:rStyle w:val="25"/>
      </w:rPr>
      <w:fldChar w:fldCharType="end"/>
    </w:r>
  </w:p>
  <w:p w14:paraId="244CB767">
    <w:pPr>
      <w:pStyle w:val="1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CEC43">
    <w:pPr>
      <w:pStyle w:val="14"/>
      <w:jc w:val="center"/>
    </w:pPr>
    <w: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53E7E">
    <w:pPr>
      <w:pStyle w:val="14"/>
      <w:jc w:val="center"/>
      <w:rPr>
        <w:rStyle w:val="25"/>
      </w:rPr>
    </w:pPr>
    <w:r>
      <w:rPr>
        <w:rStyle w:val="25"/>
      </w:rPr>
      <w:fldChar w:fldCharType="begin"/>
    </w:r>
    <w:r>
      <w:rPr>
        <w:rStyle w:val="25"/>
      </w:rPr>
      <w:instrText xml:space="preserve">PAGE  </w:instrText>
    </w:r>
    <w:r>
      <w:rPr>
        <w:rStyle w:val="25"/>
      </w:rPr>
      <w:fldChar w:fldCharType="separate"/>
    </w:r>
    <w:r>
      <w:rPr>
        <w:rStyle w:val="25"/>
      </w:rPr>
      <w:t>17</w:t>
    </w:r>
    <w:r>
      <w:rPr>
        <w:rStyle w:val="25"/>
      </w:rPr>
      <w:fldChar w:fldCharType="end"/>
    </w:r>
  </w:p>
  <w:p w14:paraId="02A2E22D">
    <w:pPr>
      <w:pStyle w:val="1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FFE2A">
    <w:pPr>
      <w:pStyle w:val="1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E63CF">
    <w:pPr>
      <w:pStyle w:val="15"/>
      <w:tabs>
        <w:tab w:val="clear" w:pos="4153"/>
      </w:tabs>
      <w:jc w:val="right"/>
    </w:pPr>
    <w:r>
      <w:rPr>
        <w:rFonts w:hint="eastAsia"/>
      </w:rPr>
      <w:t>博时国证大盘成长交易型开放式指数证券投资基金托管协议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F0F40">
    <w:pPr>
      <w:pStyle w:val="15"/>
      <w:jc w:val="right"/>
    </w:pPr>
    <w:r>
      <w:rPr>
        <w:rFonts w:hint="eastAsia"/>
      </w:rPr>
      <w:t>博时</w:t>
    </w:r>
    <w:r>
      <w:rPr>
        <w:rFonts w:hint="eastAsia"/>
        <w:lang w:val="en-US" w:eastAsia="zh-CN"/>
      </w:rPr>
      <w:t>国证</w:t>
    </w:r>
    <w:r>
      <w:rPr>
        <w:rFonts w:hint="eastAsia"/>
      </w:rPr>
      <w:t>大盘成长交易型开放式指数证券投资基金托管协议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D3F614"/>
    <w:multiLevelType w:val="multilevel"/>
    <w:tmpl w:val="B0D3F614"/>
    <w:lvl w:ilvl="0" w:tentative="0">
      <w:start w:val="1"/>
      <w:numFmt w:val="chineseCounting"/>
      <w:suff w:val="nothing"/>
      <w:lvlText w:val="%1、"/>
      <w:lvlJc w:val="left"/>
      <w:pPr>
        <w:ind w:left="0" w:firstLine="420"/>
      </w:pPr>
      <w:rPr>
        <w:rFonts w:hint="eastAsia"/>
      </w:rPr>
    </w:lvl>
    <w:lvl w:ilvl="1" w:tentative="0">
      <w:start w:val="1"/>
      <w:numFmt w:val="decimal"/>
      <w:suff w:val="nothing"/>
      <w:lvlText w:val="%2．"/>
      <w:lvlJc w:val="left"/>
      <w:pPr>
        <w:ind w:left="0" w:firstLine="420"/>
      </w:pPr>
      <w:rPr>
        <w:rFonts w:hint="eastAsia"/>
      </w:rPr>
    </w:lvl>
    <w:lvl w:ilvl="2" w:tentative="0">
      <w:start w:val="1"/>
      <w:numFmt w:val="decimal"/>
      <w:suff w:val="nothing"/>
      <w:lvlText w:val="（%3）"/>
      <w:lvlJc w:val="left"/>
      <w:pPr>
        <w:ind w:left="0" w:firstLine="420"/>
      </w:pPr>
      <w:rPr>
        <w:rFonts w:hint="eastAsia"/>
      </w:rPr>
    </w:lvl>
    <w:lvl w:ilvl="3" w:tentative="0">
      <w:start w:val="1"/>
      <w:numFmt w:val="decimalEnclosedCircleChinese"/>
      <w:suff w:val="space"/>
      <w:lvlText w:val="%4"/>
      <w:lvlJc w:val="left"/>
      <w:pPr>
        <w:tabs>
          <w:tab w:val="left" w:pos="420"/>
        </w:tabs>
        <w:ind w:left="0" w:firstLine="420"/>
      </w:pPr>
      <w:rPr>
        <w:rFonts w:hint="eastAsia"/>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abstractNum w:abstractNumId="1">
    <w:nsid w:val="34A5631E"/>
    <w:multiLevelType w:val="multilevel"/>
    <w:tmpl w:val="34A5631E"/>
    <w:lvl w:ilvl="0" w:tentative="0">
      <w:start w:val="1"/>
      <w:numFmt w:val="decimal"/>
      <w:pStyle w:val="45"/>
      <w:lvlText w:val="(%1)"/>
      <w:lvlJc w:val="left"/>
      <w:pPr>
        <w:tabs>
          <w:tab w:val="left" w:pos="1941"/>
        </w:tabs>
        <w:ind w:left="1941" w:hanging="681"/>
      </w:pPr>
      <w:rPr>
        <w:rFonts w:hint="default" w:ascii="Arial" w:hAnsi="Arial"/>
        <w:b w:val="0"/>
        <w:i w:val="0"/>
        <w:sz w:val="20"/>
      </w:rPr>
    </w:lvl>
    <w:lvl w:ilvl="1" w:tentative="0">
      <w:start w:val="1"/>
      <w:numFmt w:val="lowerLetter"/>
      <w:lvlText w:val="%2."/>
      <w:lvlJc w:val="left"/>
      <w:pPr>
        <w:tabs>
          <w:tab w:val="left" w:pos="1620"/>
        </w:tabs>
        <w:ind w:left="1620" w:hanging="360"/>
      </w:pPr>
      <w:rPr>
        <w:rFonts w:hint="default"/>
      </w:rPr>
    </w:lvl>
    <w:lvl w:ilvl="2" w:tentative="0">
      <w:start w:val="1"/>
      <w:numFmt w:val="lowerRoman"/>
      <w:lvlText w:val="%3."/>
      <w:lvlJc w:val="right"/>
      <w:pPr>
        <w:tabs>
          <w:tab w:val="left" w:pos="2340"/>
        </w:tabs>
        <w:ind w:left="2340" w:hanging="180"/>
      </w:pPr>
      <w:rPr>
        <w:rFonts w:hint="default"/>
      </w:rPr>
    </w:lvl>
    <w:lvl w:ilvl="3" w:tentative="0">
      <w:start w:val="1"/>
      <w:numFmt w:val="decimal"/>
      <w:lvlText w:val="%4."/>
      <w:lvlJc w:val="left"/>
      <w:pPr>
        <w:tabs>
          <w:tab w:val="left" w:pos="3060"/>
        </w:tabs>
        <w:ind w:left="3060" w:hanging="360"/>
      </w:pPr>
      <w:rPr>
        <w:rFonts w:hint="default"/>
      </w:rPr>
    </w:lvl>
    <w:lvl w:ilvl="4" w:tentative="0">
      <w:start w:val="1"/>
      <w:numFmt w:val="lowerLetter"/>
      <w:lvlText w:val="%5."/>
      <w:lvlJc w:val="left"/>
      <w:pPr>
        <w:tabs>
          <w:tab w:val="left" w:pos="3780"/>
        </w:tabs>
        <w:ind w:left="3780" w:hanging="360"/>
      </w:pPr>
      <w:rPr>
        <w:rFonts w:hint="default"/>
      </w:rPr>
    </w:lvl>
    <w:lvl w:ilvl="5" w:tentative="0">
      <w:start w:val="1"/>
      <w:numFmt w:val="lowerRoman"/>
      <w:lvlText w:val="%6."/>
      <w:lvlJc w:val="right"/>
      <w:pPr>
        <w:tabs>
          <w:tab w:val="left" w:pos="4500"/>
        </w:tabs>
        <w:ind w:left="4500" w:hanging="180"/>
      </w:pPr>
      <w:rPr>
        <w:rFonts w:hint="default"/>
      </w:rPr>
    </w:lvl>
    <w:lvl w:ilvl="6" w:tentative="0">
      <w:start w:val="1"/>
      <w:numFmt w:val="decimal"/>
      <w:lvlText w:val="%7."/>
      <w:lvlJc w:val="left"/>
      <w:pPr>
        <w:tabs>
          <w:tab w:val="left" w:pos="5220"/>
        </w:tabs>
        <w:ind w:left="5220" w:hanging="360"/>
      </w:pPr>
      <w:rPr>
        <w:rFonts w:hint="default"/>
      </w:rPr>
    </w:lvl>
    <w:lvl w:ilvl="7" w:tentative="0">
      <w:start w:val="1"/>
      <w:numFmt w:val="lowerLetter"/>
      <w:lvlText w:val="%8."/>
      <w:lvlJc w:val="left"/>
      <w:pPr>
        <w:tabs>
          <w:tab w:val="left" w:pos="5940"/>
        </w:tabs>
        <w:ind w:left="5940" w:hanging="360"/>
      </w:pPr>
      <w:rPr>
        <w:rFonts w:hint="default"/>
      </w:rPr>
    </w:lvl>
    <w:lvl w:ilvl="8" w:tentative="0">
      <w:start w:val="1"/>
      <w:numFmt w:val="lowerRoman"/>
      <w:lvlText w:val="%9."/>
      <w:lvlJc w:val="right"/>
      <w:pPr>
        <w:tabs>
          <w:tab w:val="left" w:pos="6660"/>
        </w:tabs>
        <w:ind w:left="6660" w:hanging="180"/>
      </w:pPr>
      <w:rPr>
        <w:rFonts w:hint="default"/>
      </w:rPr>
    </w:lvl>
  </w:abstractNum>
  <w:abstractNum w:abstractNumId="2">
    <w:nsid w:val="752490D0"/>
    <w:multiLevelType w:val="multilevel"/>
    <w:tmpl w:val="752490D0"/>
    <w:lvl w:ilvl="0" w:tentative="0">
      <w:start w:val="1"/>
      <w:numFmt w:val="chineseCounting"/>
      <w:suff w:val="nothing"/>
      <w:lvlText w:val="%1、"/>
      <w:lvlJc w:val="left"/>
      <w:pPr>
        <w:ind w:left="0" w:firstLine="420"/>
      </w:pPr>
      <w:rPr>
        <w:rFonts w:hint="eastAsia"/>
      </w:rPr>
    </w:lvl>
    <w:lvl w:ilvl="1" w:tentative="0">
      <w:start w:val="1"/>
      <w:numFmt w:val="decimal"/>
      <w:suff w:val="nothing"/>
      <w:lvlText w:val="%2．"/>
      <w:lvlJc w:val="left"/>
      <w:pPr>
        <w:ind w:left="0" w:firstLine="420"/>
      </w:pPr>
      <w:rPr>
        <w:rFonts w:hint="eastAsia"/>
      </w:rPr>
    </w:lvl>
    <w:lvl w:ilvl="2" w:tentative="0">
      <w:start w:val="1"/>
      <w:numFmt w:val="decimal"/>
      <w:suff w:val="nothing"/>
      <w:lvlText w:val="（%3）"/>
      <w:lvlJc w:val="left"/>
      <w:pPr>
        <w:ind w:left="0" w:firstLine="420"/>
      </w:pPr>
      <w:rPr>
        <w:rFonts w:hint="eastAsia"/>
      </w:rPr>
    </w:lvl>
    <w:lvl w:ilvl="3" w:tentative="0">
      <w:start w:val="1"/>
      <w:numFmt w:val="decimalEnclosedCircleChinese"/>
      <w:suff w:val="space"/>
      <w:lvlText w:val="%4"/>
      <w:lvlJc w:val="left"/>
      <w:pPr>
        <w:tabs>
          <w:tab w:val="left" w:pos="420"/>
        </w:tabs>
        <w:ind w:left="0" w:firstLine="420"/>
      </w:pPr>
      <w:rPr>
        <w:rFonts w:hint="eastAsia"/>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2"/>
  </w:compat>
  <w:rsids>
    <w:rsidRoot w:val="00B60E06"/>
    <w:rsid w:val="001C3DC0"/>
    <w:rsid w:val="006D6A20"/>
    <w:rsid w:val="00B60E06"/>
    <w:rsid w:val="0486208A"/>
    <w:rsid w:val="04D43207"/>
    <w:rsid w:val="09B360D4"/>
    <w:rsid w:val="0BA12198"/>
    <w:rsid w:val="17C74638"/>
    <w:rsid w:val="1A751BA8"/>
    <w:rsid w:val="20092831"/>
    <w:rsid w:val="21835583"/>
    <w:rsid w:val="23717D6A"/>
    <w:rsid w:val="26887349"/>
    <w:rsid w:val="26B65F2E"/>
    <w:rsid w:val="289362F4"/>
    <w:rsid w:val="2CEB39BD"/>
    <w:rsid w:val="2E30549C"/>
    <w:rsid w:val="32C6424C"/>
    <w:rsid w:val="3A59393A"/>
    <w:rsid w:val="3D735238"/>
    <w:rsid w:val="3E154E11"/>
    <w:rsid w:val="482E1C8D"/>
    <w:rsid w:val="4FC74D60"/>
    <w:rsid w:val="52C4344E"/>
    <w:rsid w:val="55785749"/>
    <w:rsid w:val="5C6E38AF"/>
    <w:rsid w:val="5CFA5819"/>
    <w:rsid w:val="5D72534A"/>
    <w:rsid w:val="68970711"/>
    <w:rsid w:val="77512341"/>
    <w:rsid w:val="7894404D"/>
    <w:rsid w:val="79513603"/>
    <w:rsid w:val="798246B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8"/>
    <w:qFormat/>
    <w:uiPriority w:val="0"/>
    <w:pPr>
      <w:keepNext/>
      <w:keepLines/>
      <w:spacing w:before="120" w:after="120" w:line="360" w:lineRule="auto"/>
      <w:jc w:val="center"/>
      <w:outlineLvl w:val="0"/>
    </w:pPr>
    <w:rPr>
      <w:rFonts w:ascii="宋体"/>
      <w:b/>
      <w:color w:val="000000"/>
      <w:kern w:val="0"/>
      <w:sz w:val="24"/>
      <w:szCs w:val="20"/>
    </w:rPr>
  </w:style>
  <w:style w:type="paragraph" w:styleId="3">
    <w:name w:val="heading 2"/>
    <w:basedOn w:val="1"/>
    <w:next w:val="1"/>
    <w:link w:val="29"/>
    <w:qFormat/>
    <w:uiPriority w:val="0"/>
    <w:pPr>
      <w:keepNext/>
      <w:keepLines/>
      <w:spacing w:before="120" w:after="120" w:line="360" w:lineRule="auto"/>
      <w:outlineLvl w:val="1"/>
    </w:pPr>
    <w:rPr>
      <w:rFonts w:ascii="宋体" w:hAnsi="Arial"/>
      <w:b/>
      <w:szCs w:val="20"/>
    </w:rPr>
  </w:style>
  <w:style w:type="character" w:default="1" w:styleId="24">
    <w:name w:val="Default Paragraph Font"/>
    <w:semiHidden/>
    <w:unhideWhenUsed/>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4">
    <w:name w:val="toc 7"/>
    <w:basedOn w:val="1"/>
    <w:next w:val="1"/>
    <w:semiHidden/>
    <w:qFormat/>
    <w:uiPriority w:val="0"/>
    <w:pPr>
      <w:ind w:left="2520" w:leftChars="1200"/>
    </w:pPr>
  </w:style>
  <w:style w:type="paragraph" w:styleId="5">
    <w:name w:val="Document Map"/>
    <w:basedOn w:val="1"/>
    <w:link w:val="38"/>
    <w:semiHidden/>
    <w:qFormat/>
    <w:uiPriority w:val="0"/>
    <w:pPr>
      <w:shd w:val="clear" w:color="auto" w:fill="000080"/>
    </w:pPr>
  </w:style>
  <w:style w:type="paragraph" w:styleId="6">
    <w:name w:val="annotation text"/>
    <w:basedOn w:val="1"/>
    <w:link w:val="39"/>
    <w:qFormat/>
    <w:uiPriority w:val="0"/>
    <w:pPr>
      <w:jc w:val="left"/>
    </w:pPr>
  </w:style>
  <w:style w:type="paragraph" w:styleId="7">
    <w:name w:val="Body Text"/>
    <w:basedOn w:val="1"/>
    <w:link w:val="43"/>
    <w:qFormat/>
    <w:uiPriority w:val="0"/>
    <w:pPr>
      <w:tabs>
        <w:tab w:val="left" w:pos="3780"/>
      </w:tabs>
      <w:autoSpaceDE w:val="0"/>
      <w:autoSpaceDN w:val="0"/>
      <w:spacing w:beforeLines="50" w:afterLines="50" w:line="360" w:lineRule="auto"/>
      <w:textAlignment w:val="bottom"/>
      <w:outlineLvl w:val="0"/>
    </w:pPr>
    <w:rPr>
      <w:rFonts w:ascii="宋体" w:hAnsi="宋体"/>
      <w:b/>
      <w:bCs/>
      <w:color w:val="FF0000"/>
      <w:sz w:val="24"/>
    </w:rPr>
  </w:style>
  <w:style w:type="paragraph" w:styleId="8">
    <w:name w:val="Body Text Indent"/>
    <w:basedOn w:val="1"/>
    <w:link w:val="32"/>
    <w:qFormat/>
    <w:uiPriority w:val="0"/>
    <w:pPr>
      <w:spacing w:line="360" w:lineRule="auto"/>
      <w:ind w:firstLine="420"/>
    </w:pPr>
    <w:rPr>
      <w:szCs w:val="20"/>
    </w:rPr>
  </w:style>
  <w:style w:type="paragraph" w:styleId="9">
    <w:name w:val="toc 5"/>
    <w:basedOn w:val="1"/>
    <w:next w:val="1"/>
    <w:semiHidden/>
    <w:qFormat/>
    <w:uiPriority w:val="0"/>
    <w:pPr>
      <w:ind w:left="1680" w:leftChars="800"/>
    </w:pPr>
  </w:style>
  <w:style w:type="paragraph" w:styleId="10">
    <w:name w:val="toc 3"/>
    <w:basedOn w:val="1"/>
    <w:next w:val="1"/>
    <w:semiHidden/>
    <w:qFormat/>
    <w:uiPriority w:val="0"/>
    <w:pPr>
      <w:ind w:left="840" w:leftChars="400"/>
    </w:pPr>
  </w:style>
  <w:style w:type="paragraph" w:styleId="11">
    <w:name w:val="toc 8"/>
    <w:basedOn w:val="1"/>
    <w:next w:val="1"/>
    <w:semiHidden/>
    <w:qFormat/>
    <w:uiPriority w:val="0"/>
    <w:pPr>
      <w:ind w:left="2940" w:leftChars="1400"/>
    </w:pPr>
  </w:style>
  <w:style w:type="paragraph" w:styleId="12">
    <w:name w:val="Body Text Indent 2"/>
    <w:basedOn w:val="1"/>
    <w:link w:val="42"/>
    <w:qFormat/>
    <w:uiPriority w:val="0"/>
    <w:pPr>
      <w:tabs>
        <w:tab w:val="left" w:pos="1260"/>
      </w:tabs>
      <w:spacing w:line="360" w:lineRule="auto"/>
      <w:ind w:firstLine="480" w:firstLineChars="200"/>
    </w:pPr>
    <w:rPr>
      <w:rFonts w:ascii="宋体" w:hAnsi="宋体"/>
      <w:kern w:val="0"/>
      <w:sz w:val="24"/>
    </w:rPr>
  </w:style>
  <w:style w:type="paragraph" w:styleId="13">
    <w:name w:val="Balloon Text"/>
    <w:basedOn w:val="1"/>
    <w:link w:val="36"/>
    <w:semiHidden/>
    <w:qFormat/>
    <w:uiPriority w:val="0"/>
    <w:rPr>
      <w:sz w:val="18"/>
      <w:szCs w:val="18"/>
    </w:rPr>
  </w:style>
  <w:style w:type="paragraph" w:styleId="14">
    <w:name w:val="footer"/>
    <w:basedOn w:val="1"/>
    <w:link w:val="31"/>
    <w:qFormat/>
    <w:uiPriority w:val="0"/>
    <w:pPr>
      <w:tabs>
        <w:tab w:val="center" w:pos="4153"/>
        <w:tab w:val="right" w:pos="8306"/>
      </w:tabs>
      <w:snapToGrid w:val="0"/>
      <w:jc w:val="left"/>
    </w:pPr>
    <w:rPr>
      <w:sz w:val="18"/>
      <w:szCs w:val="18"/>
    </w:rPr>
  </w:style>
  <w:style w:type="paragraph" w:styleId="15">
    <w:name w:val="header"/>
    <w:basedOn w:val="1"/>
    <w:link w:val="30"/>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tabs>
        <w:tab w:val="right" w:leader="dot" w:pos="8296"/>
      </w:tabs>
      <w:spacing w:line="360" w:lineRule="auto"/>
      <w:ind w:firstLine="482" w:firstLineChars="200"/>
    </w:pPr>
    <w:rPr>
      <w:b/>
      <w:caps/>
      <w:sz w:val="20"/>
      <w:szCs w:val="20"/>
    </w:rPr>
  </w:style>
  <w:style w:type="paragraph" w:styleId="17">
    <w:name w:val="toc 4"/>
    <w:basedOn w:val="1"/>
    <w:next w:val="1"/>
    <w:semiHidden/>
    <w:qFormat/>
    <w:uiPriority w:val="0"/>
    <w:pPr>
      <w:ind w:left="1260" w:leftChars="600"/>
    </w:pPr>
  </w:style>
  <w:style w:type="paragraph" w:styleId="18">
    <w:name w:val="toc 6"/>
    <w:basedOn w:val="1"/>
    <w:next w:val="1"/>
    <w:semiHidden/>
    <w:qFormat/>
    <w:uiPriority w:val="0"/>
    <w:pPr>
      <w:ind w:left="2100" w:leftChars="1000"/>
    </w:pPr>
  </w:style>
  <w:style w:type="paragraph" w:styleId="19">
    <w:name w:val="toc 2"/>
    <w:basedOn w:val="1"/>
    <w:next w:val="1"/>
    <w:semiHidden/>
    <w:qFormat/>
    <w:uiPriority w:val="0"/>
    <w:pPr>
      <w:ind w:left="420" w:leftChars="200"/>
    </w:pPr>
  </w:style>
  <w:style w:type="paragraph" w:styleId="20">
    <w:name w:val="toc 9"/>
    <w:basedOn w:val="1"/>
    <w:next w:val="1"/>
    <w:semiHidden/>
    <w:qFormat/>
    <w:uiPriority w:val="0"/>
    <w:pPr>
      <w:ind w:left="3360" w:leftChars="1600"/>
    </w:pPr>
  </w:style>
  <w:style w:type="paragraph" w:styleId="21">
    <w:name w:val="Body Text 2"/>
    <w:basedOn w:val="1"/>
    <w:link w:val="44"/>
    <w:qFormat/>
    <w:uiPriority w:val="0"/>
    <w:pPr>
      <w:tabs>
        <w:tab w:val="left" w:pos="3780"/>
      </w:tabs>
      <w:autoSpaceDE w:val="0"/>
      <w:autoSpaceDN w:val="0"/>
      <w:spacing w:beforeLines="50" w:afterLines="50" w:line="300" w:lineRule="auto"/>
      <w:textAlignment w:val="bottom"/>
      <w:outlineLvl w:val="0"/>
    </w:pPr>
    <w:rPr>
      <w:rFonts w:ascii="宋体" w:hAnsi="宋体"/>
      <w:b/>
      <w:bCs/>
      <w:sz w:val="24"/>
    </w:rPr>
  </w:style>
  <w:style w:type="paragraph" w:styleId="22">
    <w:name w:val="annotation subject"/>
    <w:basedOn w:val="6"/>
    <w:next w:val="6"/>
    <w:link w:val="40"/>
    <w:semiHidden/>
    <w:qFormat/>
    <w:uiPriority w:val="0"/>
    <w:rPr>
      <w:b/>
      <w:bCs/>
    </w:rPr>
  </w:style>
  <w:style w:type="character" w:styleId="25">
    <w:name w:val="page number"/>
    <w:basedOn w:val="24"/>
    <w:qFormat/>
    <w:uiPriority w:val="0"/>
  </w:style>
  <w:style w:type="character" w:styleId="26">
    <w:name w:val="Hyperlink"/>
    <w:qFormat/>
    <w:uiPriority w:val="99"/>
    <w:rPr>
      <w:color w:val="0000FF"/>
      <w:u w:val="single"/>
    </w:rPr>
  </w:style>
  <w:style w:type="character" w:styleId="27">
    <w:name w:val="annotation reference"/>
    <w:qFormat/>
    <w:uiPriority w:val="0"/>
    <w:rPr>
      <w:sz w:val="21"/>
      <w:szCs w:val="21"/>
    </w:rPr>
  </w:style>
  <w:style w:type="character" w:customStyle="1" w:styleId="28">
    <w:name w:val="标题 1 Char"/>
    <w:link w:val="2"/>
    <w:qFormat/>
    <w:uiPriority w:val="0"/>
    <w:rPr>
      <w:rFonts w:ascii="宋体" w:hAnsi="Times New Roman" w:eastAsia="宋体" w:cs="Times New Roman"/>
      <w:b/>
      <w:color w:val="000000"/>
      <w:sz w:val="24"/>
      <w:szCs w:val="20"/>
    </w:rPr>
  </w:style>
  <w:style w:type="character" w:customStyle="1" w:styleId="29">
    <w:name w:val="标题 2 Char"/>
    <w:link w:val="3"/>
    <w:qFormat/>
    <w:uiPriority w:val="0"/>
    <w:rPr>
      <w:rFonts w:ascii="宋体" w:hAnsi="Arial" w:eastAsia="宋体" w:cs="Times New Roman"/>
      <w:b/>
      <w:kern w:val="2"/>
      <w:sz w:val="21"/>
      <w:szCs w:val="20"/>
    </w:rPr>
  </w:style>
  <w:style w:type="character" w:customStyle="1" w:styleId="30">
    <w:name w:val="页眉 Char"/>
    <w:link w:val="15"/>
    <w:qFormat/>
    <w:uiPriority w:val="0"/>
    <w:rPr>
      <w:rFonts w:ascii="Times New Roman" w:hAnsi="Times New Roman" w:eastAsia="宋体" w:cs="Times New Roman"/>
      <w:kern w:val="2"/>
      <w:sz w:val="18"/>
      <w:szCs w:val="18"/>
    </w:rPr>
  </w:style>
  <w:style w:type="character" w:customStyle="1" w:styleId="31">
    <w:name w:val="页脚 Char"/>
    <w:link w:val="14"/>
    <w:qFormat/>
    <w:uiPriority w:val="0"/>
    <w:rPr>
      <w:rFonts w:ascii="Times New Roman" w:hAnsi="Times New Roman" w:eastAsia="宋体" w:cs="Times New Roman"/>
      <w:kern w:val="2"/>
      <w:sz w:val="18"/>
      <w:szCs w:val="18"/>
    </w:rPr>
  </w:style>
  <w:style w:type="character" w:customStyle="1" w:styleId="32">
    <w:name w:val="正文文本缩进 Char"/>
    <w:link w:val="8"/>
    <w:qFormat/>
    <w:uiPriority w:val="0"/>
    <w:rPr>
      <w:rFonts w:ascii="Times New Roman" w:hAnsi="Times New Roman" w:eastAsia="宋体" w:cs="Times New Roman"/>
      <w:kern w:val="2"/>
      <w:sz w:val="21"/>
      <w:szCs w:val="20"/>
    </w:rPr>
  </w:style>
  <w:style w:type="paragraph" w:customStyle="1" w:styleId="33">
    <w:name w:val="正文所"/>
    <w:basedOn w:val="1"/>
    <w:qFormat/>
    <w:uiPriority w:val="0"/>
    <w:pPr>
      <w:spacing w:line="360" w:lineRule="auto"/>
      <w:ind w:firstLine="420"/>
    </w:pPr>
  </w:style>
  <w:style w:type="paragraph" w:customStyle="1" w:styleId="34">
    <w:name w:val="样式 首行缩进:  2 字符 段前: 0.25 行 段后: 0.25 行"/>
    <w:basedOn w:val="1"/>
    <w:qFormat/>
    <w:uiPriority w:val="0"/>
    <w:pPr>
      <w:spacing w:beforeLines="25" w:afterLines="25" w:line="300" w:lineRule="auto"/>
      <w:ind w:firstLine="420" w:firstLineChars="200"/>
    </w:pPr>
    <w:rPr>
      <w:szCs w:val="21"/>
    </w:rPr>
  </w:style>
  <w:style w:type="paragraph" w:customStyle="1" w:styleId="3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6">
    <w:name w:val="批注框文本 Char"/>
    <w:link w:val="13"/>
    <w:semiHidden/>
    <w:qFormat/>
    <w:uiPriority w:val="0"/>
    <w:rPr>
      <w:rFonts w:ascii="Times New Roman" w:hAnsi="Times New Roman" w:eastAsia="宋体" w:cs="Times New Roman"/>
      <w:kern w:val="2"/>
      <w:sz w:val="18"/>
      <w:szCs w:val="18"/>
    </w:rPr>
  </w:style>
  <w:style w:type="paragraph" w:customStyle="1" w:styleId="37">
    <w:name w:val="默认段落字体 Para Char"/>
    <w:basedOn w:val="1"/>
    <w:qFormat/>
    <w:uiPriority w:val="0"/>
  </w:style>
  <w:style w:type="character" w:customStyle="1" w:styleId="38">
    <w:name w:val="文档结构图 Char"/>
    <w:link w:val="5"/>
    <w:semiHidden/>
    <w:qFormat/>
    <w:uiPriority w:val="0"/>
    <w:rPr>
      <w:rFonts w:ascii="Times New Roman" w:hAnsi="Times New Roman" w:eastAsia="宋体" w:cs="Times New Roman"/>
      <w:kern w:val="2"/>
      <w:sz w:val="21"/>
      <w:szCs w:val="24"/>
      <w:shd w:val="clear" w:color="auto" w:fill="000080"/>
    </w:rPr>
  </w:style>
  <w:style w:type="character" w:customStyle="1" w:styleId="39">
    <w:name w:val="批注文字 Char"/>
    <w:link w:val="6"/>
    <w:qFormat/>
    <w:uiPriority w:val="0"/>
    <w:rPr>
      <w:rFonts w:ascii="Times New Roman" w:hAnsi="Times New Roman" w:eastAsia="宋体" w:cs="Times New Roman"/>
      <w:kern w:val="2"/>
      <w:sz w:val="21"/>
      <w:szCs w:val="24"/>
    </w:rPr>
  </w:style>
  <w:style w:type="character" w:customStyle="1" w:styleId="40">
    <w:name w:val="批注主题 Char"/>
    <w:link w:val="22"/>
    <w:semiHidden/>
    <w:qFormat/>
    <w:uiPriority w:val="0"/>
    <w:rPr>
      <w:rFonts w:ascii="Times New Roman" w:hAnsi="Times New Roman" w:eastAsia="宋体" w:cs="Times New Roman"/>
      <w:b/>
      <w:bCs/>
      <w:kern w:val="2"/>
      <w:sz w:val="21"/>
      <w:szCs w:val="24"/>
    </w:rPr>
  </w:style>
  <w:style w:type="paragraph" w:customStyle="1" w:styleId="41">
    <w:name w:val="Char"/>
    <w:basedOn w:val="1"/>
    <w:qFormat/>
    <w:uiPriority w:val="0"/>
  </w:style>
  <w:style w:type="character" w:customStyle="1" w:styleId="42">
    <w:name w:val="正文文本缩进 2 Char"/>
    <w:link w:val="12"/>
    <w:qFormat/>
    <w:uiPriority w:val="0"/>
    <w:rPr>
      <w:rFonts w:ascii="宋体" w:hAnsi="宋体" w:eastAsia="宋体" w:cs="Times New Roman"/>
      <w:sz w:val="24"/>
      <w:szCs w:val="24"/>
    </w:rPr>
  </w:style>
  <w:style w:type="character" w:customStyle="1" w:styleId="43">
    <w:name w:val="正文文本 Char"/>
    <w:link w:val="7"/>
    <w:qFormat/>
    <w:uiPriority w:val="0"/>
    <w:rPr>
      <w:rFonts w:ascii="宋体" w:hAnsi="宋体" w:eastAsia="宋体" w:cs="Times New Roman"/>
      <w:b/>
      <w:bCs/>
      <w:color w:val="FF0000"/>
      <w:kern w:val="2"/>
      <w:sz w:val="24"/>
      <w:szCs w:val="24"/>
    </w:rPr>
  </w:style>
  <w:style w:type="character" w:customStyle="1" w:styleId="44">
    <w:name w:val="正文文本 2 Char"/>
    <w:link w:val="21"/>
    <w:qFormat/>
    <w:uiPriority w:val="0"/>
    <w:rPr>
      <w:rFonts w:ascii="宋体" w:hAnsi="宋体" w:eastAsia="宋体" w:cs="Times New Roman"/>
      <w:b/>
      <w:bCs/>
      <w:kern w:val="2"/>
      <w:sz w:val="24"/>
      <w:szCs w:val="24"/>
    </w:rPr>
  </w:style>
  <w:style w:type="paragraph" w:customStyle="1" w:styleId="45">
    <w:name w:val="UCAlpha 2"/>
    <w:basedOn w:val="1"/>
    <w:qFormat/>
    <w:uiPriority w:val="0"/>
    <w:pPr>
      <w:widowControl/>
      <w:numPr>
        <w:ilvl w:val="0"/>
        <w:numId w:val="1"/>
      </w:numPr>
      <w:spacing w:after="140" w:line="290" w:lineRule="auto"/>
    </w:pPr>
    <w:rPr>
      <w:rFonts w:ascii="Arial" w:hAnsi="Arial"/>
      <w:kern w:val="20"/>
      <w:sz w:val="20"/>
      <w:lang w:val="en-GB" w:eastAsia="en-US"/>
    </w:rPr>
  </w:style>
  <w:style w:type="paragraph" w:customStyle="1" w:styleId="46">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47">
    <w:name w:val="列出段落1"/>
    <w:basedOn w:val="1"/>
    <w:qFormat/>
    <w:uiPriority w:val="34"/>
    <w:pPr>
      <w:ind w:firstLine="420" w:firstLineChars="200"/>
    </w:pPr>
  </w:style>
  <w:style w:type="character" w:customStyle="1" w:styleId="48">
    <w:name w:val="read"/>
    <w:basedOn w:val="24"/>
    <w:qFormat/>
    <w:uiPriority w:val="0"/>
  </w:style>
  <w:style w:type="paragraph" w:customStyle="1" w:styleId="49">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50">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51">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52">
    <w:name w:val="修订5"/>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1A777-2EFC-4CB7-BAC3-7EA052049398}">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34</Pages>
  <Words>3949</Words>
  <Characters>22513</Characters>
  <Lines>187</Lines>
  <Paragraphs>52</Paragraphs>
  <TotalTime>2</TotalTime>
  <ScaleCrop>false</ScaleCrop>
  <LinksUpToDate>false</LinksUpToDate>
  <CharactersWithSpaces>26410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2025-04-18T08:53:00Z</dcterms:created>
  <dc:creator>博道基金管理有限公司</dc:creator>
  <cp:lastModifiedBy>liwen</cp:lastModifiedBy>
  <cp:lastPrinted>2019-04-26T01:07:00Z</cp:lastPrinted>
  <dcterms:modified xsi:type="dcterms:W3CDTF">2025-05-28T06:20:40Z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ED68C13D194047FA8F539E0578FBEF49</vt:lpwstr>
  </property>
</Properties>
</file>