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3BEE28">
      <w:pPr>
        <w:widowControl/>
        <w:jc w:val="center"/>
        <w:outlineLvl w:val="0"/>
        <w:rPr>
          <w:rFonts w:hint="eastAsia" w:ascii="宋体" w:hAnsi="宋体" w:cs="Arial"/>
          <w:b/>
          <w:bCs/>
          <w:kern w:val="36"/>
          <w:sz w:val="32"/>
          <w:szCs w:val="32"/>
        </w:rPr>
      </w:pPr>
      <w:r>
        <w:rPr>
          <w:rFonts w:hint="eastAsia" w:ascii="宋体" w:hAnsi="宋体" w:cs="Arial"/>
          <w:b/>
          <w:bCs/>
          <w:kern w:val="36"/>
          <w:sz w:val="32"/>
          <w:szCs w:val="32"/>
        </w:rPr>
        <w:t>博时恒指港股通交易型开放式指数证券投资基金</w:t>
      </w:r>
      <w:r>
        <w:rPr>
          <w:rFonts w:ascii="宋体" w:hAnsi="宋体" w:cs="Arial"/>
          <w:b/>
          <w:bCs/>
          <w:kern w:val="36"/>
          <w:sz w:val="32"/>
          <w:szCs w:val="32"/>
        </w:rPr>
        <w:t>2026年非港股通交易日暂停申购、赎回等交易类业务公告</w:t>
      </w:r>
      <w:r>
        <w:rPr>
          <w:rFonts w:hint="eastAsia" w:ascii="宋体" w:hAnsi="宋体" w:cs="Arial"/>
          <w:b/>
          <w:bCs/>
          <w:kern w:val="36"/>
          <w:sz w:val="32"/>
          <w:szCs w:val="32"/>
        </w:rPr>
        <w:t xml:space="preserve"> </w:t>
      </w:r>
    </w:p>
    <w:p w14:paraId="10BF9ABE">
      <w:pPr>
        <w:spacing w:line="560" w:lineRule="exact"/>
        <w:jc w:val="center"/>
        <w:rPr>
          <w:rFonts w:ascii="宋体" w:hAnsi="宋体" w:cs="宋体"/>
          <w:bCs/>
          <w:color w:val="FF0000"/>
          <w:sz w:val="24"/>
          <w:szCs w:val="24"/>
        </w:rPr>
      </w:pPr>
      <w:r>
        <w:rPr>
          <w:rFonts w:ascii="宋体" w:hAnsi="宋体"/>
          <w:color w:val="000000"/>
          <w:sz w:val="24"/>
          <w:szCs w:val="24"/>
        </w:rPr>
        <w:t>公告送出日期：2026年</w:t>
      </w:r>
      <w:r>
        <w:rPr>
          <w:rFonts w:hint="eastAsia" w:ascii="宋体" w:hAnsi="宋体"/>
          <w:color w:val="000000"/>
          <w:sz w:val="24"/>
          <w:szCs w:val="24"/>
          <w:lang w:val="en-US" w:eastAsia="zh-CN"/>
        </w:rPr>
        <w:t>5</w:t>
      </w:r>
      <w:r>
        <w:rPr>
          <w:rFonts w:ascii="宋体" w:hAnsi="宋体"/>
          <w:color w:val="000000"/>
          <w:sz w:val="24"/>
          <w:szCs w:val="24"/>
        </w:rPr>
        <w:t>月</w:t>
      </w:r>
      <w:r>
        <w:rPr>
          <w:rFonts w:hint="eastAsia" w:ascii="宋体" w:hAnsi="宋体"/>
          <w:color w:val="000000"/>
          <w:sz w:val="24"/>
          <w:szCs w:val="24"/>
          <w:lang w:val="en-US" w:eastAsia="zh-CN"/>
        </w:rPr>
        <w:t>22</w:t>
      </w:r>
      <w:r>
        <w:rPr>
          <w:rFonts w:ascii="宋体" w:hAnsi="宋体"/>
          <w:color w:val="000000"/>
          <w:sz w:val="24"/>
          <w:szCs w:val="24"/>
        </w:rPr>
        <w:t>日</w:t>
      </w:r>
    </w:p>
    <w:p w14:paraId="1E2362CE">
      <w:pPr>
        <w:widowControl/>
        <w:jc w:val="left"/>
        <w:rPr>
          <w:rFonts w:ascii="Arial" w:hAnsi="Arial" w:cs="Arial"/>
          <w:kern w:val="0"/>
          <w:sz w:val="24"/>
          <w:szCs w:val="24"/>
        </w:rPr>
      </w:pPr>
    </w:p>
    <w:p w14:paraId="6AE27198">
      <w:pPr>
        <w:widowControl/>
        <w:spacing w:line="360" w:lineRule="auto"/>
        <w:ind w:firstLine="424" w:firstLineChars="177"/>
        <w:rPr>
          <w:rFonts w:ascii="Arial" w:hAnsi="Arial" w:cs="Arial"/>
          <w:kern w:val="0"/>
          <w:sz w:val="24"/>
          <w:szCs w:val="24"/>
        </w:rPr>
      </w:pPr>
      <w:r>
        <w:rPr>
          <w:rFonts w:ascii="宋体" w:hAnsi="宋体" w:cs="Arial"/>
          <w:kern w:val="0"/>
          <w:sz w:val="24"/>
          <w:szCs w:val="24"/>
        </w:rPr>
        <w:t>根据《</w:t>
      </w:r>
      <w:r>
        <w:rPr>
          <w:rFonts w:hint="eastAsia" w:ascii="宋体" w:hAnsi="宋体" w:cs="Arial"/>
          <w:kern w:val="0"/>
          <w:sz w:val="24"/>
          <w:szCs w:val="24"/>
        </w:rPr>
        <w:t>博时恒指港股通交易型开放式指数证券投资基金</w:t>
      </w:r>
      <w:r>
        <w:rPr>
          <w:rFonts w:ascii="宋体" w:hAnsi="宋体" w:cs="Arial"/>
          <w:kern w:val="0"/>
          <w:sz w:val="24"/>
          <w:szCs w:val="24"/>
        </w:rPr>
        <w:t>基金合同》和《</w:t>
      </w:r>
      <w:r>
        <w:rPr>
          <w:rFonts w:hint="eastAsia" w:ascii="宋体" w:hAnsi="宋体" w:cs="Arial"/>
          <w:kern w:val="0"/>
          <w:sz w:val="24"/>
          <w:szCs w:val="24"/>
        </w:rPr>
        <w:t>博时恒指港股通交易型开放式指数证券投资基金</w:t>
      </w:r>
      <w:r>
        <w:rPr>
          <w:rFonts w:ascii="宋体" w:hAnsi="宋体" w:cs="Arial"/>
          <w:kern w:val="0"/>
          <w:sz w:val="24"/>
          <w:szCs w:val="24"/>
        </w:rPr>
        <w:t>招募说明书》的相关规定，</w:t>
      </w:r>
      <w:r>
        <w:rPr>
          <w:rFonts w:hint="eastAsia" w:ascii="宋体" w:hAnsi="宋体" w:cs="Arial"/>
          <w:kern w:val="0"/>
          <w:sz w:val="24"/>
          <w:szCs w:val="24"/>
        </w:rPr>
        <w:t>博时恒指港股通交易型开放式指数证券投资基金</w:t>
      </w:r>
      <w:r>
        <w:rPr>
          <w:rFonts w:ascii="宋体" w:hAnsi="宋体" w:cs="Arial"/>
          <w:kern w:val="0"/>
          <w:sz w:val="24"/>
          <w:szCs w:val="24"/>
        </w:rPr>
        <w:t>（以下简称</w:t>
      </w:r>
      <w:r>
        <w:rPr>
          <w:rFonts w:hint="eastAsia" w:ascii="宋体" w:hAnsi="宋体" w:cs="Arial"/>
          <w:kern w:val="0"/>
          <w:sz w:val="24"/>
          <w:szCs w:val="24"/>
        </w:rPr>
        <w:t>“</w:t>
      </w:r>
      <w:r>
        <w:rPr>
          <w:rFonts w:ascii="宋体" w:hAnsi="宋体" w:cs="Arial"/>
          <w:kern w:val="0"/>
          <w:sz w:val="24"/>
          <w:szCs w:val="24"/>
        </w:rPr>
        <w:t>本基金</w:t>
      </w:r>
      <w:r>
        <w:rPr>
          <w:rFonts w:hint="eastAsia" w:ascii="宋体" w:hAnsi="宋体" w:cs="Arial"/>
          <w:kern w:val="0"/>
          <w:sz w:val="24"/>
          <w:szCs w:val="24"/>
        </w:rPr>
        <w:t>”，基金代码：</w:t>
      </w:r>
      <w:r>
        <w:rPr>
          <w:rFonts w:ascii="宋体" w:hAnsi="宋体" w:cs="Arial"/>
          <w:kern w:val="0"/>
          <w:sz w:val="24"/>
          <w:szCs w:val="24"/>
        </w:rPr>
        <w:t>526070）</w:t>
      </w:r>
      <w:r>
        <w:rPr>
          <w:rFonts w:hint="eastAsia" w:ascii="宋体" w:hAnsi="宋体" w:cs="Arial"/>
          <w:kern w:val="0"/>
          <w:sz w:val="24"/>
          <w:szCs w:val="24"/>
        </w:rPr>
        <w:t>申购和赎回的开放日为上海证券交易所和深圳证券交易所交易日（基金管理人公告暂停申购或赎回时除外）</w:t>
      </w:r>
      <w:r>
        <w:rPr>
          <w:rFonts w:ascii="宋体" w:hAnsi="宋体" w:cs="Arial"/>
          <w:kern w:val="0"/>
          <w:sz w:val="24"/>
          <w:szCs w:val="24"/>
        </w:rPr>
        <w:t>，</w:t>
      </w:r>
      <w:r>
        <w:rPr>
          <w:rFonts w:hint="eastAsia" w:ascii="宋体" w:hAnsi="宋体" w:cs="Arial"/>
          <w:kern w:val="0"/>
          <w:sz w:val="24"/>
          <w:szCs w:val="24"/>
        </w:rPr>
        <w:t>若出现证券交易所交易时间变更或其他特殊情况，基金管理人可以暂停本基金的申购赎回等业务</w:t>
      </w:r>
      <w:r>
        <w:rPr>
          <w:rFonts w:hint="eastAsia" w:ascii="Arial" w:hAnsi="宋体" w:cs="Arial"/>
          <w:kern w:val="0"/>
          <w:sz w:val="24"/>
          <w:szCs w:val="24"/>
        </w:rPr>
        <w:t>。</w:t>
      </w:r>
    </w:p>
    <w:p w14:paraId="0BB2D5C7">
      <w:pPr>
        <w:widowControl/>
        <w:spacing w:before="156" w:beforeLines="50" w:line="360" w:lineRule="auto"/>
        <w:ind w:firstLine="480" w:firstLineChars="200"/>
        <w:rPr>
          <w:rFonts w:ascii="Arial" w:hAnsi="宋体" w:cs="Arial"/>
          <w:kern w:val="0"/>
          <w:sz w:val="24"/>
          <w:szCs w:val="24"/>
        </w:rPr>
      </w:pPr>
      <w:r>
        <w:rPr>
          <w:rFonts w:ascii="宋体" w:hAnsi="宋体" w:cs="Arial"/>
          <w:color w:val="000000"/>
          <w:kern w:val="0"/>
          <w:sz w:val="24"/>
          <w:szCs w:val="24"/>
        </w:rPr>
        <w:t>2025年12月22日，中国证券登记结算有限责任公司发布了《中国结算关于2026年部分节假日休市期间证券资金清算交收安排的通知》</w:t>
      </w:r>
      <w:r>
        <w:rPr>
          <w:rFonts w:hint="eastAsia" w:ascii="宋体" w:hAnsi="宋体" w:cs="Arial"/>
          <w:color w:val="000000"/>
          <w:kern w:val="0"/>
          <w:sz w:val="24"/>
          <w:szCs w:val="24"/>
        </w:rPr>
        <w:t>，为了保障基金平稳运作，维护基金份额持有人利益，博时基金管理有限公司决定对处于上海证券交易所和深圳证券交易所交易日的下列</w:t>
      </w:r>
      <w:r>
        <w:rPr>
          <w:rFonts w:ascii="宋体" w:hAnsi="宋体" w:cs="Arial"/>
          <w:color w:val="000000"/>
          <w:kern w:val="0"/>
          <w:sz w:val="24"/>
          <w:szCs w:val="24"/>
        </w:rPr>
        <w:t>2026年非港股通交易日</w:t>
      </w:r>
      <w:r>
        <w:rPr>
          <w:rFonts w:hint="eastAsia" w:ascii="宋体" w:hAnsi="宋体" w:cs="Arial"/>
          <w:color w:val="000000"/>
          <w:kern w:val="0"/>
          <w:sz w:val="24"/>
          <w:szCs w:val="24"/>
        </w:rPr>
        <w:t>暂停</w:t>
      </w:r>
      <w:r>
        <w:rPr>
          <w:rFonts w:ascii="宋体" w:hAnsi="宋体" w:cs="Arial"/>
          <w:color w:val="000000"/>
          <w:kern w:val="0"/>
          <w:sz w:val="24"/>
          <w:szCs w:val="24"/>
        </w:rPr>
        <w:t>本基</w:t>
      </w:r>
      <w:r>
        <w:rPr>
          <w:rFonts w:ascii="Arial" w:hAnsi="宋体" w:cs="Arial"/>
          <w:kern w:val="0"/>
          <w:sz w:val="24"/>
          <w:szCs w:val="24"/>
        </w:rPr>
        <w:t>金的</w:t>
      </w:r>
      <w:r>
        <w:rPr>
          <w:rFonts w:ascii="Arial" w:hAnsi="宋体" w:cs="Arial"/>
          <w:color w:val="000000"/>
          <w:kern w:val="0"/>
          <w:sz w:val="24"/>
        </w:rPr>
        <w:t>申购</w:t>
      </w:r>
      <w:r>
        <w:rPr>
          <w:rFonts w:hint="eastAsia" w:ascii="Arial" w:hAnsi="宋体" w:cs="Arial"/>
          <w:color w:val="000000"/>
          <w:kern w:val="0"/>
          <w:sz w:val="24"/>
        </w:rPr>
        <w:t>、赎回等交易类业务</w:t>
      </w:r>
      <w:r>
        <w:rPr>
          <w:rFonts w:ascii="Arial" w:hAnsi="宋体" w:cs="Arial"/>
          <w:kern w:val="0"/>
          <w:sz w:val="24"/>
          <w:szCs w:val="24"/>
        </w:rPr>
        <w:t>，并自下列</w:t>
      </w:r>
      <w:r>
        <w:rPr>
          <w:rFonts w:hint="eastAsia" w:ascii="Arial" w:hAnsi="宋体" w:cs="Arial"/>
          <w:kern w:val="0"/>
          <w:sz w:val="24"/>
          <w:szCs w:val="24"/>
        </w:rPr>
        <w:t>非港股通交易日或</w:t>
      </w:r>
      <w:r>
        <w:rPr>
          <w:rFonts w:ascii="Arial" w:hAnsi="宋体" w:cs="Arial"/>
          <w:kern w:val="0"/>
          <w:sz w:val="24"/>
          <w:szCs w:val="24"/>
        </w:rPr>
        <w:t>节假日的下一开放日恢复本基金的</w:t>
      </w:r>
      <w:r>
        <w:rPr>
          <w:rFonts w:hint="eastAsia" w:ascii="Arial" w:hAnsi="宋体" w:cs="Arial"/>
          <w:kern w:val="0"/>
          <w:sz w:val="24"/>
          <w:szCs w:val="24"/>
        </w:rPr>
        <w:t>上述</w:t>
      </w:r>
      <w:r>
        <w:rPr>
          <w:rFonts w:ascii="Arial" w:hAnsi="宋体" w:cs="Arial"/>
          <w:kern w:val="0"/>
          <w:sz w:val="24"/>
          <w:szCs w:val="24"/>
        </w:rPr>
        <w:t>业务，届时不再另行公告。</w:t>
      </w:r>
    </w:p>
    <w:tbl>
      <w:tblPr>
        <w:tblStyle w:val="10"/>
        <w:tblW w:w="4007" w:type="pct"/>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612"/>
        <w:gridCol w:w="612"/>
        <w:gridCol w:w="612"/>
        <w:gridCol w:w="4833"/>
      </w:tblGrid>
      <w:tr w14:paraId="021EC0F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PrEx>
        <w:trPr>
          <w:jc w:val="center"/>
        </w:trPr>
        <w:tc>
          <w:tcPr>
            <w:tcW w:w="0" w:type="auto"/>
            <w:tcBorders>
              <w:top w:val="outset" w:color="auto" w:sz="6" w:space="0"/>
              <w:left w:val="outset" w:color="auto" w:sz="6" w:space="0"/>
              <w:bottom w:val="outset" w:color="auto" w:sz="6" w:space="0"/>
              <w:right w:val="outset" w:color="auto" w:sz="6" w:space="0"/>
            </w:tcBorders>
            <w:vAlign w:val="center"/>
          </w:tcPr>
          <w:p w14:paraId="17D47E7D">
            <w:pPr>
              <w:jc w:val="center"/>
              <w:rPr>
                <w:rFonts w:ascii="宋体" w:hAnsi="宋体" w:cs="宋体"/>
                <w:sz w:val="24"/>
                <w:szCs w:val="24"/>
              </w:rPr>
            </w:pPr>
            <w:r>
              <w:rPr>
                <w:rFonts w:hint="eastAsia" w:ascii="宋体" w:hAnsi="宋体"/>
                <w:sz w:val="24"/>
              </w:rPr>
              <w:t>年份</w:t>
            </w:r>
          </w:p>
        </w:tc>
        <w:tc>
          <w:tcPr>
            <w:tcW w:w="0" w:type="auto"/>
            <w:tcBorders>
              <w:top w:val="outset" w:color="auto" w:sz="6" w:space="0"/>
              <w:left w:val="outset" w:color="auto" w:sz="6" w:space="0"/>
              <w:bottom w:val="outset" w:color="auto" w:sz="6" w:space="0"/>
              <w:right w:val="outset" w:color="auto" w:sz="6" w:space="0"/>
            </w:tcBorders>
            <w:vAlign w:val="center"/>
          </w:tcPr>
          <w:p w14:paraId="53BFB89E">
            <w:pPr>
              <w:jc w:val="center"/>
              <w:rPr>
                <w:rFonts w:ascii="宋体" w:hAnsi="宋体" w:cs="宋体"/>
                <w:sz w:val="24"/>
                <w:szCs w:val="24"/>
              </w:rPr>
            </w:pPr>
            <w:r>
              <w:rPr>
                <w:rFonts w:hint="eastAsia" w:ascii="宋体" w:hAnsi="宋体"/>
                <w:sz w:val="24"/>
              </w:rPr>
              <w:t>月份</w:t>
            </w:r>
          </w:p>
        </w:tc>
        <w:tc>
          <w:tcPr>
            <w:tcW w:w="0" w:type="auto"/>
            <w:tcBorders>
              <w:top w:val="outset" w:color="auto" w:sz="6" w:space="0"/>
              <w:left w:val="outset" w:color="auto" w:sz="6" w:space="0"/>
              <w:bottom w:val="outset" w:color="auto" w:sz="6" w:space="0"/>
              <w:right w:val="outset" w:color="auto" w:sz="6" w:space="0"/>
            </w:tcBorders>
            <w:vAlign w:val="center"/>
          </w:tcPr>
          <w:p w14:paraId="38C837D9">
            <w:pPr>
              <w:jc w:val="center"/>
              <w:rPr>
                <w:rFonts w:ascii="宋体" w:hAnsi="宋体" w:cs="宋体"/>
                <w:sz w:val="24"/>
                <w:szCs w:val="24"/>
              </w:rPr>
            </w:pPr>
            <w:r>
              <w:rPr>
                <w:rFonts w:hint="eastAsia" w:ascii="宋体" w:hAnsi="宋体"/>
                <w:sz w:val="24"/>
              </w:rPr>
              <w:t>日期</w:t>
            </w:r>
          </w:p>
        </w:tc>
        <w:tc>
          <w:tcPr>
            <w:tcW w:w="0" w:type="auto"/>
            <w:tcBorders>
              <w:top w:val="outset" w:color="auto" w:sz="6" w:space="0"/>
              <w:left w:val="outset" w:color="auto" w:sz="6" w:space="0"/>
              <w:bottom w:val="outset" w:color="auto" w:sz="6" w:space="0"/>
              <w:right w:val="outset" w:color="auto" w:sz="6" w:space="0"/>
            </w:tcBorders>
            <w:vAlign w:val="center"/>
          </w:tcPr>
          <w:p w14:paraId="5CD67C4C">
            <w:pPr>
              <w:jc w:val="center"/>
              <w:rPr>
                <w:rFonts w:ascii="宋体" w:hAnsi="宋体" w:cs="宋体"/>
                <w:sz w:val="24"/>
                <w:szCs w:val="24"/>
              </w:rPr>
            </w:pPr>
            <w:r>
              <w:rPr>
                <w:rFonts w:ascii="宋体" w:hAnsi="宋体"/>
                <w:sz w:val="24"/>
              </w:rPr>
              <w:t>2026年非港股通交易日、香港节假日</w:t>
            </w:r>
          </w:p>
        </w:tc>
      </w:tr>
      <w:tr w14:paraId="2DE81A8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0" w:type="auto"/>
            <w:vMerge w:val="restart"/>
            <w:tcBorders>
              <w:top w:val="outset" w:color="auto" w:sz="6" w:space="0"/>
              <w:left w:val="outset" w:color="auto" w:sz="6" w:space="0"/>
              <w:right w:val="outset" w:color="auto" w:sz="6" w:space="0"/>
            </w:tcBorders>
            <w:vAlign w:val="center"/>
          </w:tcPr>
          <w:p w14:paraId="3EC4D36F">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2026</w:t>
            </w:r>
          </w:p>
        </w:tc>
        <w:tc>
          <w:tcPr>
            <w:tcW w:w="0" w:type="auto"/>
            <w:tcBorders>
              <w:top w:val="outset" w:color="auto" w:sz="6" w:space="0"/>
              <w:left w:val="outset" w:color="auto" w:sz="6" w:space="0"/>
              <w:bottom w:val="outset" w:color="auto" w:sz="6" w:space="0"/>
              <w:right w:val="outset" w:color="auto" w:sz="6" w:space="0"/>
            </w:tcBorders>
            <w:vAlign w:val="center"/>
          </w:tcPr>
          <w:p w14:paraId="2B2018A1">
            <w:pPr>
              <w:jc w:val="center"/>
              <w:rPr>
                <w:rFonts w:ascii="宋体" w:hAnsi="宋体" w:cs="宋体"/>
                <w:sz w:val="24"/>
                <w:szCs w:val="24"/>
              </w:rPr>
            </w:pPr>
            <w:r>
              <w:rPr>
                <w:rFonts w:ascii="宋体" w:hAnsi="宋体"/>
                <w:sz w:val="24"/>
              </w:rPr>
              <w:t>7</w:t>
            </w:r>
          </w:p>
        </w:tc>
        <w:tc>
          <w:tcPr>
            <w:tcW w:w="0" w:type="auto"/>
            <w:tcBorders>
              <w:top w:val="outset" w:color="auto" w:sz="6" w:space="0"/>
              <w:left w:val="outset" w:color="auto" w:sz="6" w:space="0"/>
              <w:bottom w:val="outset" w:color="auto" w:sz="6" w:space="0"/>
              <w:right w:val="outset" w:color="auto" w:sz="6" w:space="0"/>
            </w:tcBorders>
            <w:vAlign w:val="center"/>
          </w:tcPr>
          <w:p w14:paraId="230A7108">
            <w:pPr>
              <w:jc w:val="center"/>
              <w:rPr>
                <w:rFonts w:ascii="宋体" w:hAnsi="宋体" w:cs="宋体"/>
                <w:sz w:val="24"/>
                <w:szCs w:val="24"/>
              </w:rPr>
            </w:pPr>
            <w:r>
              <w:rPr>
                <w:rFonts w:ascii="宋体" w:hAnsi="宋体"/>
                <w:sz w:val="24"/>
              </w:rPr>
              <w:t>1</w:t>
            </w:r>
          </w:p>
        </w:tc>
        <w:tc>
          <w:tcPr>
            <w:tcW w:w="0" w:type="auto"/>
            <w:tcBorders>
              <w:top w:val="outset" w:color="auto" w:sz="6" w:space="0"/>
              <w:left w:val="outset" w:color="auto" w:sz="6" w:space="0"/>
              <w:bottom w:val="outset" w:color="auto" w:sz="6" w:space="0"/>
              <w:right w:val="outset" w:color="auto" w:sz="6" w:space="0"/>
            </w:tcBorders>
            <w:vAlign w:val="center"/>
          </w:tcPr>
          <w:p w14:paraId="713A54D1">
            <w:pPr>
              <w:jc w:val="center"/>
              <w:rPr>
                <w:rFonts w:ascii="宋体" w:hAnsi="宋体" w:cs="宋体"/>
                <w:sz w:val="24"/>
                <w:szCs w:val="24"/>
              </w:rPr>
            </w:pPr>
            <w:r>
              <w:rPr>
                <w:rFonts w:hint="eastAsia" w:ascii="宋体" w:hAnsi="宋体"/>
                <w:sz w:val="24"/>
              </w:rPr>
              <w:t>香港特别行政区成立纪念日假期</w:t>
            </w:r>
          </w:p>
        </w:tc>
      </w:tr>
      <w:tr w14:paraId="36D956D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0" w:type="auto"/>
            <w:vMerge w:val="continue"/>
            <w:tcBorders>
              <w:top w:val="outset" w:color="auto" w:sz="6" w:space="0"/>
              <w:left w:val="outset" w:color="auto" w:sz="6" w:space="0"/>
              <w:bottom w:val="outset" w:color="auto" w:sz="6" w:space="0"/>
              <w:right w:val="outset" w:color="auto" w:sz="6" w:space="0"/>
            </w:tcBorders>
            <w:vAlign w:val="center"/>
          </w:tcPr>
          <w:p w14:paraId="4E4756D1">
            <w:pPr>
              <w:jc w:val="center"/>
              <w:rPr>
                <w:rFonts w:ascii="宋体" w:hAnsi="宋体" w:cs="宋体"/>
                <w:sz w:val="24"/>
                <w:szCs w:val="24"/>
              </w:rPr>
            </w:pPr>
          </w:p>
        </w:tc>
        <w:tc>
          <w:tcPr>
            <w:tcW w:w="0" w:type="auto"/>
            <w:tcBorders>
              <w:top w:val="outset" w:color="auto" w:sz="6" w:space="0"/>
              <w:left w:val="outset" w:color="auto" w:sz="6" w:space="0"/>
              <w:bottom w:val="outset" w:color="auto" w:sz="6" w:space="0"/>
              <w:right w:val="outset" w:color="auto" w:sz="6" w:space="0"/>
            </w:tcBorders>
            <w:vAlign w:val="center"/>
          </w:tcPr>
          <w:p w14:paraId="4B200119">
            <w:pPr>
              <w:jc w:val="center"/>
              <w:rPr>
                <w:rFonts w:ascii="宋体" w:hAnsi="宋体" w:cs="宋体"/>
                <w:sz w:val="24"/>
                <w:szCs w:val="24"/>
              </w:rPr>
            </w:pPr>
            <w:r>
              <w:rPr>
                <w:rFonts w:ascii="宋体" w:hAnsi="宋体"/>
                <w:sz w:val="24"/>
              </w:rPr>
              <w:t>10</w:t>
            </w:r>
          </w:p>
        </w:tc>
        <w:tc>
          <w:tcPr>
            <w:tcW w:w="0" w:type="auto"/>
            <w:tcBorders>
              <w:top w:val="outset" w:color="auto" w:sz="6" w:space="0"/>
              <w:left w:val="outset" w:color="auto" w:sz="6" w:space="0"/>
              <w:bottom w:val="outset" w:color="auto" w:sz="6" w:space="0"/>
              <w:right w:val="outset" w:color="auto" w:sz="6" w:space="0"/>
            </w:tcBorders>
            <w:vAlign w:val="center"/>
          </w:tcPr>
          <w:p w14:paraId="65812A2C">
            <w:pPr>
              <w:jc w:val="center"/>
              <w:rPr>
                <w:rFonts w:ascii="宋体" w:hAnsi="宋体" w:cs="宋体"/>
                <w:sz w:val="24"/>
                <w:szCs w:val="24"/>
              </w:rPr>
            </w:pPr>
            <w:r>
              <w:rPr>
                <w:rFonts w:ascii="宋体" w:hAnsi="宋体"/>
                <w:sz w:val="24"/>
              </w:rPr>
              <w:t>19</w:t>
            </w:r>
          </w:p>
        </w:tc>
        <w:tc>
          <w:tcPr>
            <w:tcW w:w="0" w:type="auto"/>
            <w:tcBorders>
              <w:top w:val="outset" w:color="auto" w:sz="6" w:space="0"/>
              <w:left w:val="outset" w:color="auto" w:sz="6" w:space="0"/>
              <w:bottom w:val="outset" w:color="auto" w:sz="6" w:space="0"/>
              <w:right w:val="outset" w:color="auto" w:sz="6" w:space="0"/>
            </w:tcBorders>
            <w:vAlign w:val="center"/>
          </w:tcPr>
          <w:p w14:paraId="38B4C005">
            <w:pPr>
              <w:jc w:val="center"/>
              <w:rPr>
                <w:rFonts w:ascii="宋体" w:hAnsi="宋体" w:cs="宋体"/>
                <w:sz w:val="24"/>
                <w:szCs w:val="24"/>
              </w:rPr>
            </w:pPr>
            <w:r>
              <w:rPr>
                <w:rFonts w:hint="eastAsia" w:ascii="宋体" w:hAnsi="宋体"/>
                <w:sz w:val="24"/>
              </w:rPr>
              <w:t>香港重阳节假期</w:t>
            </w:r>
          </w:p>
        </w:tc>
      </w:tr>
      <w:tr w14:paraId="76E846D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0" w:type="auto"/>
            <w:vMerge w:val="continue"/>
            <w:tcBorders>
              <w:top w:val="outset" w:color="auto" w:sz="6" w:space="0"/>
              <w:left w:val="outset" w:color="auto" w:sz="6" w:space="0"/>
              <w:bottom w:val="outset" w:color="auto" w:sz="6" w:space="0"/>
              <w:right w:val="outset" w:color="auto" w:sz="6" w:space="0"/>
            </w:tcBorders>
            <w:vAlign w:val="center"/>
          </w:tcPr>
          <w:p w14:paraId="673452DE">
            <w:pPr>
              <w:jc w:val="center"/>
              <w:rPr>
                <w:rFonts w:ascii="宋体" w:hAnsi="宋体" w:cs="宋体"/>
                <w:sz w:val="24"/>
                <w:szCs w:val="24"/>
              </w:rPr>
            </w:pPr>
          </w:p>
        </w:tc>
        <w:tc>
          <w:tcPr>
            <w:tcW w:w="0" w:type="auto"/>
            <w:tcBorders>
              <w:top w:val="outset" w:color="auto" w:sz="6" w:space="0"/>
              <w:left w:val="outset" w:color="auto" w:sz="6" w:space="0"/>
              <w:bottom w:val="outset" w:color="auto" w:sz="6" w:space="0"/>
              <w:right w:val="outset" w:color="auto" w:sz="6" w:space="0"/>
            </w:tcBorders>
            <w:vAlign w:val="center"/>
          </w:tcPr>
          <w:p w14:paraId="4911CA7B">
            <w:pPr>
              <w:jc w:val="center"/>
              <w:rPr>
                <w:rFonts w:ascii="宋体" w:hAnsi="宋体" w:cs="宋体"/>
                <w:sz w:val="24"/>
                <w:szCs w:val="24"/>
              </w:rPr>
            </w:pPr>
            <w:r>
              <w:rPr>
                <w:rFonts w:ascii="宋体" w:hAnsi="宋体"/>
                <w:sz w:val="24"/>
              </w:rPr>
              <w:t>12</w:t>
            </w:r>
          </w:p>
        </w:tc>
        <w:tc>
          <w:tcPr>
            <w:tcW w:w="0" w:type="auto"/>
            <w:tcBorders>
              <w:top w:val="outset" w:color="auto" w:sz="6" w:space="0"/>
              <w:left w:val="outset" w:color="auto" w:sz="6" w:space="0"/>
              <w:bottom w:val="outset" w:color="auto" w:sz="6" w:space="0"/>
              <w:right w:val="outset" w:color="auto" w:sz="6" w:space="0"/>
            </w:tcBorders>
            <w:vAlign w:val="center"/>
          </w:tcPr>
          <w:p w14:paraId="6C36EB9D">
            <w:pPr>
              <w:jc w:val="center"/>
              <w:rPr>
                <w:rFonts w:ascii="宋体" w:hAnsi="宋体" w:cs="宋体"/>
                <w:sz w:val="24"/>
                <w:szCs w:val="24"/>
              </w:rPr>
            </w:pPr>
            <w:r>
              <w:rPr>
                <w:rFonts w:ascii="宋体" w:hAnsi="宋体"/>
                <w:sz w:val="24"/>
              </w:rPr>
              <w:t>24</w:t>
            </w:r>
          </w:p>
        </w:tc>
        <w:tc>
          <w:tcPr>
            <w:tcW w:w="0" w:type="auto"/>
            <w:tcBorders>
              <w:top w:val="outset" w:color="auto" w:sz="6" w:space="0"/>
              <w:left w:val="outset" w:color="auto" w:sz="6" w:space="0"/>
              <w:bottom w:val="outset" w:color="auto" w:sz="6" w:space="0"/>
              <w:right w:val="outset" w:color="auto" w:sz="6" w:space="0"/>
            </w:tcBorders>
            <w:vAlign w:val="center"/>
          </w:tcPr>
          <w:p w14:paraId="0C11A8D2">
            <w:pPr>
              <w:jc w:val="center"/>
              <w:rPr>
                <w:rFonts w:ascii="宋体" w:hAnsi="宋体" w:cs="宋体"/>
                <w:sz w:val="24"/>
                <w:szCs w:val="24"/>
              </w:rPr>
            </w:pPr>
            <w:r>
              <w:rPr>
                <w:rFonts w:hint="eastAsia" w:ascii="宋体" w:hAnsi="宋体"/>
                <w:sz w:val="24"/>
              </w:rPr>
              <w:t>香港圣诞节前半日市假期</w:t>
            </w:r>
          </w:p>
        </w:tc>
      </w:tr>
      <w:tr w14:paraId="155D221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jc w:val="center"/>
        </w:trPr>
        <w:tc>
          <w:tcPr>
            <w:tcW w:w="0" w:type="auto"/>
            <w:vMerge w:val="continue"/>
            <w:tcBorders>
              <w:top w:val="outset" w:color="auto" w:sz="6" w:space="0"/>
              <w:left w:val="outset" w:color="auto" w:sz="6" w:space="0"/>
              <w:bottom w:val="outset" w:color="auto" w:sz="6" w:space="0"/>
              <w:right w:val="outset" w:color="auto" w:sz="6" w:space="0"/>
            </w:tcBorders>
            <w:vAlign w:val="center"/>
          </w:tcPr>
          <w:p w14:paraId="2243A277">
            <w:pPr>
              <w:jc w:val="center"/>
              <w:rPr>
                <w:rFonts w:ascii="宋体" w:hAnsi="宋体" w:cs="宋体"/>
                <w:sz w:val="24"/>
                <w:szCs w:val="24"/>
              </w:rPr>
            </w:pPr>
          </w:p>
        </w:tc>
        <w:tc>
          <w:tcPr>
            <w:tcW w:w="0" w:type="auto"/>
            <w:tcBorders>
              <w:top w:val="outset" w:color="auto" w:sz="6" w:space="0"/>
              <w:left w:val="outset" w:color="auto" w:sz="6" w:space="0"/>
              <w:bottom w:val="outset" w:color="auto" w:sz="6" w:space="0"/>
              <w:right w:val="outset" w:color="auto" w:sz="6" w:space="0"/>
            </w:tcBorders>
            <w:vAlign w:val="center"/>
          </w:tcPr>
          <w:p w14:paraId="0D49B0D8">
            <w:pPr>
              <w:jc w:val="center"/>
              <w:rPr>
                <w:rFonts w:ascii="宋体" w:hAnsi="宋体" w:cs="宋体"/>
                <w:sz w:val="24"/>
                <w:szCs w:val="24"/>
              </w:rPr>
            </w:pPr>
            <w:r>
              <w:rPr>
                <w:rFonts w:ascii="宋体" w:hAnsi="宋体"/>
                <w:sz w:val="24"/>
              </w:rPr>
              <w:t>12</w:t>
            </w:r>
          </w:p>
        </w:tc>
        <w:tc>
          <w:tcPr>
            <w:tcW w:w="0" w:type="auto"/>
            <w:tcBorders>
              <w:top w:val="outset" w:color="auto" w:sz="6" w:space="0"/>
              <w:left w:val="outset" w:color="auto" w:sz="6" w:space="0"/>
              <w:bottom w:val="outset" w:color="auto" w:sz="6" w:space="0"/>
              <w:right w:val="outset" w:color="auto" w:sz="6" w:space="0"/>
            </w:tcBorders>
            <w:vAlign w:val="center"/>
          </w:tcPr>
          <w:p w14:paraId="6DD3499D">
            <w:pPr>
              <w:jc w:val="center"/>
              <w:rPr>
                <w:rFonts w:ascii="宋体" w:hAnsi="宋体" w:cs="宋体"/>
                <w:sz w:val="24"/>
                <w:szCs w:val="24"/>
              </w:rPr>
            </w:pPr>
            <w:r>
              <w:rPr>
                <w:rFonts w:ascii="宋体" w:hAnsi="宋体"/>
                <w:sz w:val="24"/>
              </w:rPr>
              <w:t>25</w:t>
            </w:r>
          </w:p>
        </w:tc>
        <w:tc>
          <w:tcPr>
            <w:tcW w:w="0" w:type="auto"/>
            <w:tcBorders>
              <w:top w:val="outset" w:color="auto" w:sz="6" w:space="0"/>
              <w:left w:val="outset" w:color="auto" w:sz="6" w:space="0"/>
              <w:bottom w:val="outset" w:color="auto" w:sz="6" w:space="0"/>
              <w:right w:val="outset" w:color="auto" w:sz="6" w:space="0"/>
            </w:tcBorders>
            <w:vAlign w:val="center"/>
          </w:tcPr>
          <w:p w14:paraId="027FCC31">
            <w:pPr>
              <w:jc w:val="center"/>
              <w:rPr>
                <w:rFonts w:ascii="宋体" w:hAnsi="宋体" w:cs="宋体"/>
                <w:sz w:val="24"/>
                <w:szCs w:val="24"/>
              </w:rPr>
            </w:pPr>
            <w:r>
              <w:rPr>
                <w:rFonts w:hint="eastAsia" w:ascii="宋体" w:hAnsi="宋体"/>
                <w:sz w:val="24"/>
              </w:rPr>
              <w:t>香港圣诞节假期</w:t>
            </w:r>
          </w:p>
        </w:tc>
      </w:tr>
    </w:tbl>
    <w:p w14:paraId="18E72879"/>
    <w:p w14:paraId="63F3D695">
      <w:pPr>
        <w:widowControl/>
        <w:spacing w:before="156" w:beforeLines="50" w:line="360" w:lineRule="auto"/>
        <w:ind w:firstLine="480" w:firstLineChars="200"/>
        <w:jc w:val="left"/>
      </w:pPr>
      <w:r>
        <w:rPr>
          <w:rFonts w:hint="eastAsia" w:ascii="宋体" w:hAnsi="宋体"/>
          <w:color w:val="000000"/>
          <w:sz w:val="24"/>
          <w:szCs w:val="24"/>
        </w:rPr>
        <w:t>注：博时恒指港股通交易型开放式指数证券投资基金场内证券简称为“恒生博时”，扩位证券简称“恒指港股通</w:t>
      </w:r>
      <w:r>
        <w:rPr>
          <w:rFonts w:ascii="宋体" w:hAnsi="宋体"/>
          <w:color w:val="000000"/>
          <w:sz w:val="24"/>
          <w:szCs w:val="24"/>
        </w:rPr>
        <w:t xml:space="preserve">ETF博时”。 </w:t>
      </w:r>
    </w:p>
    <w:p w14:paraId="28F9C9F8">
      <w:pPr>
        <w:widowControl/>
        <w:spacing w:before="156" w:beforeLines="50" w:line="360" w:lineRule="auto"/>
        <w:ind w:firstLine="482" w:firstLineChars="200"/>
        <w:rPr>
          <w:rFonts w:hint="eastAsia" w:ascii="Arial" w:hAnsi="Arial" w:cs="Arial"/>
          <w:kern w:val="0"/>
          <w:sz w:val="24"/>
          <w:szCs w:val="24"/>
        </w:rPr>
      </w:pPr>
      <w:r>
        <w:rPr>
          <w:rFonts w:hint="eastAsia" w:ascii="Arial" w:hAnsi="宋体" w:cs="Arial"/>
          <w:b/>
          <w:bCs/>
          <w:kern w:val="0"/>
          <w:sz w:val="24"/>
          <w:szCs w:val="24"/>
        </w:rPr>
        <w:t>如本基金因其他原因暂停申购、赎回或有其他交易状态限制的，具体业务办理以相关公告为准。</w:t>
      </w:r>
      <w:r>
        <w:rPr>
          <w:rFonts w:ascii="Arial" w:hAnsi="宋体" w:cs="Arial"/>
          <w:kern w:val="0"/>
          <w:sz w:val="24"/>
          <w:szCs w:val="24"/>
        </w:rPr>
        <w:t>若基金主要投资市场及交易场所节假日安排等状况发生变化，或将来根据法律法规和基金合同的约定需要调整上述安排的，本基金管理人将另行调整并公告。</w:t>
      </w:r>
    </w:p>
    <w:p w14:paraId="36F86328">
      <w:pPr>
        <w:widowControl/>
        <w:spacing w:before="240" w:line="360" w:lineRule="auto"/>
        <w:ind w:firstLine="424" w:firstLineChars="177"/>
        <w:rPr>
          <w:rFonts w:hint="eastAsia" w:ascii="Arial" w:hAnsi="Arial" w:cs="Arial"/>
          <w:kern w:val="0"/>
          <w:sz w:val="24"/>
          <w:szCs w:val="24"/>
        </w:rPr>
      </w:pPr>
      <w:r>
        <w:rPr>
          <w:rFonts w:ascii="Arial" w:hAnsi="宋体" w:cs="Arial"/>
          <w:kern w:val="0"/>
          <w:sz w:val="24"/>
          <w:szCs w:val="24"/>
        </w:rPr>
        <w:t>敬请投资者及早做好交易安排，避免因假期原因带来不便。</w:t>
      </w:r>
      <w:r>
        <w:rPr>
          <w:rFonts w:hint="eastAsia" w:ascii="Arial" w:hAnsi="Arial" w:cs="Arial"/>
          <w:kern w:val="0"/>
          <w:sz w:val="24"/>
          <w:szCs w:val="24"/>
        </w:rPr>
        <w:t>如有疑问，请拨打博时一线通：95105568（免长途话费），或登录本公司网站www.bosera.com获取相关信息。</w:t>
      </w:r>
    </w:p>
    <w:p w14:paraId="113C19C9">
      <w:pPr>
        <w:widowControl/>
        <w:spacing w:before="240" w:line="360" w:lineRule="auto"/>
        <w:ind w:firstLine="424" w:firstLineChars="177"/>
        <w:rPr>
          <w:rFonts w:hint="eastAsia" w:ascii="Arial" w:hAnsi="宋体" w:cs="Arial"/>
          <w:kern w:val="0"/>
          <w:sz w:val="24"/>
          <w:szCs w:val="24"/>
        </w:rPr>
      </w:pPr>
      <w:r>
        <w:rPr>
          <w:rFonts w:hint="eastAsia" w:ascii="Arial" w:hAnsi="Arial" w:cs="Arial"/>
          <w:kern w:val="0"/>
          <w:sz w:val="24"/>
          <w:szCs w:val="24"/>
        </w:rPr>
        <w:t>风险提示：本基金管理人承诺诚实信用地管理和运用基金财产，但不保证基金一定盈利，也不保证最低收益。基金的过往业绩并不代表其未来表现。投资有风险，敬请投资人认真阅读基金的相关法律文件，并选择适合自身风险承受能力的投资品种进行投资。</w:t>
      </w:r>
    </w:p>
    <w:p w14:paraId="006F9855">
      <w:pPr>
        <w:widowControl/>
        <w:spacing w:line="360" w:lineRule="auto"/>
        <w:jc w:val="right"/>
        <w:rPr>
          <w:rFonts w:hint="eastAsia" w:ascii="Arial" w:hAnsi="宋体" w:cs="Arial"/>
          <w:kern w:val="0"/>
          <w:sz w:val="24"/>
          <w:szCs w:val="24"/>
        </w:rPr>
      </w:pPr>
    </w:p>
    <w:p w14:paraId="6015C4E6">
      <w:pPr>
        <w:widowControl/>
        <w:spacing w:line="360" w:lineRule="auto"/>
        <w:jc w:val="right"/>
        <w:rPr>
          <w:rFonts w:hint="eastAsia" w:ascii="Arial" w:hAnsi="宋体" w:cs="Arial"/>
          <w:kern w:val="0"/>
          <w:sz w:val="24"/>
          <w:szCs w:val="24"/>
        </w:rPr>
      </w:pPr>
    </w:p>
    <w:p w14:paraId="4698DE8A">
      <w:pPr>
        <w:widowControl/>
        <w:spacing w:line="360" w:lineRule="auto"/>
        <w:jc w:val="right"/>
        <w:rPr>
          <w:rFonts w:ascii="Arial" w:hAnsi="Arial" w:cs="Arial"/>
          <w:kern w:val="0"/>
          <w:sz w:val="24"/>
          <w:szCs w:val="24"/>
        </w:rPr>
      </w:pPr>
      <w:r>
        <w:rPr>
          <w:rFonts w:ascii="Arial" w:hAnsi="宋体" w:cs="Arial"/>
          <w:kern w:val="0"/>
          <w:sz w:val="24"/>
          <w:szCs w:val="24"/>
        </w:rPr>
        <w:t>博时基金管理有限公司</w:t>
      </w:r>
    </w:p>
    <w:p w14:paraId="47AFADFB">
      <w:pPr>
        <w:widowControl/>
        <w:wordWrap w:val="0"/>
        <w:spacing w:line="360" w:lineRule="auto"/>
        <w:jc w:val="right"/>
        <w:rPr>
          <w:rFonts w:hint="eastAsia" w:ascii="宋体" w:hAnsi="宋体" w:cs="Arial"/>
          <w:kern w:val="0"/>
          <w:sz w:val="24"/>
          <w:szCs w:val="24"/>
        </w:rPr>
      </w:pPr>
      <w:bookmarkStart w:id="0" w:name="_GoBack"/>
      <w:bookmarkEnd w:id="0"/>
      <w:r>
        <w:rPr>
          <w:rFonts w:ascii="宋体" w:hAnsi="宋体" w:cs="Arial"/>
          <w:kern w:val="0"/>
          <w:sz w:val="24"/>
          <w:szCs w:val="24"/>
        </w:rPr>
        <w:t>2026年</w:t>
      </w:r>
      <w:r>
        <w:rPr>
          <w:rFonts w:hint="eastAsia" w:ascii="宋体" w:hAnsi="宋体" w:cs="Arial"/>
          <w:kern w:val="0"/>
          <w:sz w:val="24"/>
          <w:szCs w:val="24"/>
          <w:lang w:val="en-US" w:eastAsia="zh-CN"/>
        </w:rPr>
        <w:t>5</w:t>
      </w:r>
      <w:r>
        <w:rPr>
          <w:rFonts w:ascii="宋体" w:hAnsi="宋体" w:cs="Arial"/>
          <w:kern w:val="0"/>
          <w:sz w:val="24"/>
          <w:szCs w:val="24"/>
        </w:rPr>
        <w:t>月</w:t>
      </w:r>
      <w:r>
        <w:rPr>
          <w:rFonts w:hint="eastAsia" w:ascii="宋体" w:hAnsi="宋体" w:cs="Arial"/>
          <w:kern w:val="0"/>
          <w:sz w:val="24"/>
          <w:szCs w:val="24"/>
          <w:lang w:val="en-US" w:eastAsia="zh-CN"/>
        </w:rPr>
        <w:t>22</w:t>
      </w:r>
      <w:r>
        <w:rPr>
          <w:rFonts w:ascii="宋体" w:hAnsi="宋体" w:cs="Arial"/>
          <w:kern w:val="0"/>
          <w:sz w:val="24"/>
          <w:szCs w:val="24"/>
        </w:rPr>
        <w:t>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TrackMove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485B"/>
    <w:rsid w:val="00035A79"/>
    <w:rsid w:val="00045E9F"/>
    <w:rsid w:val="00071EFC"/>
    <w:rsid w:val="000736E4"/>
    <w:rsid w:val="00091B37"/>
    <w:rsid w:val="00092A71"/>
    <w:rsid w:val="00092AC0"/>
    <w:rsid w:val="000C0375"/>
    <w:rsid w:val="000C09B5"/>
    <w:rsid w:val="000C1FE4"/>
    <w:rsid w:val="000C511B"/>
    <w:rsid w:val="000D2F5C"/>
    <w:rsid w:val="000D381C"/>
    <w:rsid w:val="001177CD"/>
    <w:rsid w:val="001301F1"/>
    <w:rsid w:val="00135F16"/>
    <w:rsid w:val="0018603D"/>
    <w:rsid w:val="001A7813"/>
    <w:rsid w:val="001F6E80"/>
    <w:rsid w:val="0021340E"/>
    <w:rsid w:val="00221EB9"/>
    <w:rsid w:val="00245860"/>
    <w:rsid w:val="00253918"/>
    <w:rsid w:val="00254494"/>
    <w:rsid w:val="00260E99"/>
    <w:rsid w:val="00283DF3"/>
    <w:rsid w:val="002A35CC"/>
    <w:rsid w:val="002B54A8"/>
    <w:rsid w:val="002B5B5A"/>
    <w:rsid w:val="002C152B"/>
    <w:rsid w:val="002D2A60"/>
    <w:rsid w:val="002D57EB"/>
    <w:rsid w:val="002E6E69"/>
    <w:rsid w:val="002F3CEE"/>
    <w:rsid w:val="00303937"/>
    <w:rsid w:val="003223D6"/>
    <w:rsid w:val="003B04FC"/>
    <w:rsid w:val="003E430E"/>
    <w:rsid w:val="003F394C"/>
    <w:rsid w:val="00401212"/>
    <w:rsid w:val="0040485B"/>
    <w:rsid w:val="004168A3"/>
    <w:rsid w:val="004253EC"/>
    <w:rsid w:val="004375DC"/>
    <w:rsid w:val="00457B56"/>
    <w:rsid w:val="00481166"/>
    <w:rsid w:val="00483A7E"/>
    <w:rsid w:val="004A0D68"/>
    <w:rsid w:val="00507EB2"/>
    <w:rsid w:val="00533ADE"/>
    <w:rsid w:val="00543120"/>
    <w:rsid w:val="00552C61"/>
    <w:rsid w:val="005539C7"/>
    <w:rsid w:val="00572F86"/>
    <w:rsid w:val="005C5373"/>
    <w:rsid w:val="005D4629"/>
    <w:rsid w:val="00606672"/>
    <w:rsid w:val="0061145B"/>
    <w:rsid w:val="00654B15"/>
    <w:rsid w:val="006710F0"/>
    <w:rsid w:val="0067396A"/>
    <w:rsid w:val="00680818"/>
    <w:rsid w:val="006831A9"/>
    <w:rsid w:val="00693C8B"/>
    <w:rsid w:val="006B279B"/>
    <w:rsid w:val="006E5038"/>
    <w:rsid w:val="006E6090"/>
    <w:rsid w:val="006E6807"/>
    <w:rsid w:val="006F0688"/>
    <w:rsid w:val="00700C73"/>
    <w:rsid w:val="00703FD0"/>
    <w:rsid w:val="0070587C"/>
    <w:rsid w:val="007304E0"/>
    <w:rsid w:val="007376DF"/>
    <w:rsid w:val="00753BF0"/>
    <w:rsid w:val="007A4B7B"/>
    <w:rsid w:val="007B0697"/>
    <w:rsid w:val="007C0CE7"/>
    <w:rsid w:val="007F5B28"/>
    <w:rsid w:val="00821509"/>
    <w:rsid w:val="00834305"/>
    <w:rsid w:val="008535B6"/>
    <w:rsid w:val="0086220E"/>
    <w:rsid w:val="00865A44"/>
    <w:rsid w:val="00865FEA"/>
    <w:rsid w:val="008751F4"/>
    <w:rsid w:val="00877CD3"/>
    <w:rsid w:val="00881856"/>
    <w:rsid w:val="008859B6"/>
    <w:rsid w:val="008B0A2B"/>
    <w:rsid w:val="008B1146"/>
    <w:rsid w:val="008D136C"/>
    <w:rsid w:val="008D6C63"/>
    <w:rsid w:val="008E0EBC"/>
    <w:rsid w:val="008F358A"/>
    <w:rsid w:val="008F477F"/>
    <w:rsid w:val="008F659A"/>
    <w:rsid w:val="008F755A"/>
    <w:rsid w:val="009000E0"/>
    <w:rsid w:val="00902C7C"/>
    <w:rsid w:val="00903EDD"/>
    <w:rsid w:val="00920429"/>
    <w:rsid w:val="00924075"/>
    <w:rsid w:val="00941E97"/>
    <w:rsid w:val="009433A6"/>
    <w:rsid w:val="00974BB5"/>
    <w:rsid w:val="009B3ED4"/>
    <w:rsid w:val="009E379D"/>
    <w:rsid w:val="00A0310D"/>
    <w:rsid w:val="00A0351F"/>
    <w:rsid w:val="00A261E8"/>
    <w:rsid w:val="00A376E6"/>
    <w:rsid w:val="00A5004F"/>
    <w:rsid w:val="00A74DDA"/>
    <w:rsid w:val="00A7742C"/>
    <w:rsid w:val="00A93F9D"/>
    <w:rsid w:val="00AD1CA5"/>
    <w:rsid w:val="00AE7B93"/>
    <w:rsid w:val="00AF3C3C"/>
    <w:rsid w:val="00B01A60"/>
    <w:rsid w:val="00B41461"/>
    <w:rsid w:val="00B45C36"/>
    <w:rsid w:val="00B64C89"/>
    <w:rsid w:val="00B73881"/>
    <w:rsid w:val="00B82F45"/>
    <w:rsid w:val="00B84A91"/>
    <w:rsid w:val="00B84E8D"/>
    <w:rsid w:val="00BB3F7A"/>
    <w:rsid w:val="00BC1CA5"/>
    <w:rsid w:val="00BC4937"/>
    <w:rsid w:val="00C56AE9"/>
    <w:rsid w:val="00C63982"/>
    <w:rsid w:val="00C65B78"/>
    <w:rsid w:val="00C746A2"/>
    <w:rsid w:val="00C9779C"/>
    <w:rsid w:val="00CA3F6F"/>
    <w:rsid w:val="00D45B5F"/>
    <w:rsid w:val="00D63AC0"/>
    <w:rsid w:val="00D87FA6"/>
    <w:rsid w:val="00DD2717"/>
    <w:rsid w:val="00E055E1"/>
    <w:rsid w:val="00E20AD6"/>
    <w:rsid w:val="00E32BE2"/>
    <w:rsid w:val="00E33F88"/>
    <w:rsid w:val="00E34EF2"/>
    <w:rsid w:val="00E63B50"/>
    <w:rsid w:val="00E743AC"/>
    <w:rsid w:val="00E90025"/>
    <w:rsid w:val="00EA73C0"/>
    <w:rsid w:val="00EB0DCD"/>
    <w:rsid w:val="00EC3580"/>
    <w:rsid w:val="00EC5F49"/>
    <w:rsid w:val="00EF7A9D"/>
    <w:rsid w:val="00F21D75"/>
    <w:rsid w:val="00F32971"/>
    <w:rsid w:val="00F44523"/>
    <w:rsid w:val="00F7501F"/>
    <w:rsid w:val="00F85872"/>
    <w:rsid w:val="00FC1936"/>
    <w:rsid w:val="00FC2431"/>
    <w:rsid w:val="00FF284C"/>
    <w:rsid w:val="01730343"/>
    <w:rsid w:val="03F74452"/>
    <w:rsid w:val="08AE0AC7"/>
    <w:rsid w:val="0F0A5BFB"/>
    <w:rsid w:val="16D86D69"/>
    <w:rsid w:val="17700487"/>
    <w:rsid w:val="18A20F06"/>
    <w:rsid w:val="1AC82638"/>
    <w:rsid w:val="1AC8366F"/>
    <w:rsid w:val="1EE6343F"/>
    <w:rsid w:val="2E41556A"/>
    <w:rsid w:val="2F0500F8"/>
    <w:rsid w:val="2F286B8B"/>
    <w:rsid w:val="2FFF0832"/>
    <w:rsid w:val="31451954"/>
    <w:rsid w:val="32E14562"/>
    <w:rsid w:val="40805D1A"/>
    <w:rsid w:val="4C4C7A29"/>
    <w:rsid w:val="4CC22C7C"/>
    <w:rsid w:val="4D665102"/>
    <w:rsid w:val="55B721D5"/>
    <w:rsid w:val="55C93D9E"/>
    <w:rsid w:val="5E5D47C9"/>
    <w:rsid w:val="5F1B65FA"/>
    <w:rsid w:val="69F753E9"/>
    <w:rsid w:val="6FFE4504"/>
    <w:rsid w:val="70863976"/>
    <w:rsid w:val="76C54F44"/>
    <w:rsid w:val="790C1B90"/>
    <w:rsid w:val="7EE36886"/>
    <w:rsid w:val="7F1B3618"/>
    <w:rsid w:val="7FFD2B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link w:val="15"/>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Cs w:val="32"/>
    </w:rPr>
  </w:style>
  <w:style w:type="character" w:default="1" w:styleId="12">
    <w:name w:val="Default Paragraph Font"/>
    <w:unhideWhenUsed/>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4">
    <w:name w:val="annotation text"/>
    <w:basedOn w:val="1"/>
    <w:link w:val="16"/>
    <w:unhideWhenUsed/>
    <w:uiPriority w:val="99"/>
    <w:pPr>
      <w:jc w:val="left"/>
    </w:pPr>
  </w:style>
  <w:style w:type="paragraph" w:styleId="5">
    <w:name w:val="Balloon Text"/>
    <w:basedOn w:val="1"/>
    <w:link w:val="17"/>
    <w:unhideWhenUsed/>
    <w:uiPriority w:val="99"/>
    <w:rPr>
      <w:sz w:val="18"/>
      <w:szCs w:val="18"/>
    </w:rPr>
  </w:style>
  <w:style w:type="paragraph" w:styleId="6">
    <w:name w:val="footer"/>
    <w:basedOn w:val="1"/>
    <w:link w:val="18"/>
    <w:unhideWhenUsed/>
    <w:uiPriority w:val="99"/>
    <w:pPr>
      <w:tabs>
        <w:tab w:val="center" w:pos="4153"/>
        <w:tab w:val="right" w:pos="8306"/>
      </w:tabs>
      <w:snapToGrid w:val="0"/>
      <w:jc w:val="left"/>
    </w:pPr>
    <w:rPr>
      <w:sz w:val="18"/>
      <w:szCs w:val="18"/>
    </w:rPr>
  </w:style>
  <w:style w:type="paragraph" w:styleId="7">
    <w:name w:val="header"/>
    <w:basedOn w:val="1"/>
    <w:link w:val="19"/>
    <w:unhideWhenUsed/>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uiPriority w:val="99"/>
    <w:pPr>
      <w:widowControl/>
      <w:spacing w:before="100" w:beforeAutospacing="1" w:after="100" w:afterAutospacing="1"/>
      <w:jc w:val="left"/>
    </w:pPr>
    <w:rPr>
      <w:rFonts w:ascii="宋体" w:hAnsi="宋体" w:cs="宋体"/>
      <w:kern w:val="0"/>
      <w:sz w:val="24"/>
      <w:szCs w:val="24"/>
    </w:rPr>
  </w:style>
  <w:style w:type="paragraph" w:styleId="9">
    <w:name w:val="annotation subject"/>
    <w:basedOn w:val="4"/>
    <w:next w:val="4"/>
    <w:link w:val="20"/>
    <w:unhideWhenUsed/>
    <w:uiPriority w:val="99"/>
    <w:rPr>
      <w:b/>
      <w:bCs/>
    </w:rPr>
  </w:style>
  <w:style w:type="table" w:styleId="11">
    <w:name w:val="Table Grid"/>
    <w:basedOn w:val="10"/>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unhideWhenUsed/>
    <w:qFormat/>
    <w:uiPriority w:val="99"/>
    <w:rPr>
      <w:color w:val="0000FF"/>
      <w:u w:val="single"/>
    </w:rPr>
  </w:style>
  <w:style w:type="character" w:styleId="14">
    <w:name w:val="annotation reference"/>
    <w:unhideWhenUsed/>
    <w:qFormat/>
    <w:uiPriority w:val="99"/>
    <w:rPr>
      <w:sz w:val="21"/>
      <w:szCs w:val="21"/>
    </w:rPr>
  </w:style>
  <w:style w:type="character" w:customStyle="1" w:styleId="15">
    <w:name w:val="标题 1 Char"/>
    <w:link w:val="2"/>
    <w:qFormat/>
    <w:uiPriority w:val="9"/>
    <w:rPr>
      <w:rFonts w:ascii="宋体" w:hAnsi="宋体" w:eastAsia="宋体" w:cs="宋体"/>
      <w:b/>
      <w:bCs/>
      <w:kern w:val="36"/>
      <w:sz w:val="48"/>
      <w:szCs w:val="48"/>
    </w:rPr>
  </w:style>
  <w:style w:type="character" w:customStyle="1" w:styleId="16">
    <w:name w:val="批注文字 Char"/>
    <w:link w:val="4"/>
    <w:semiHidden/>
    <w:uiPriority w:val="99"/>
    <w:rPr>
      <w:kern w:val="2"/>
      <w:sz w:val="21"/>
      <w:szCs w:val="22"/>
    </w:rPr>
  </w:style>
  <w:style w:type="character" w:customStyle="1" w:styleId="17">
    <w:name w:val="批注框文本 Char"/>
    <w:link w:val="5"/>
    <w:semiHidden/>
    <w:uiPriority w:val="99"/>
    <w:rPr>
      <w:kern w:val="2"/>
      <w:sz w:val="18"/>
      <w:szCs w:val="18"/>
    </w:rPr>
  </w:style>
  <w:style w:type="character" w:customStyle="1" w:styleId="18">
    <w:name w:val="页脚 Char"/>
    <w:link w:val="6"/>
    <w:uiPriority w:val="99"/>
    <w:rPr>
      <w:sz w:val="18"/>
      <w:szCs w:val="18"/>
    </w:rPr>
  </w:style>
  <w:style w:type="character" w:customStyle="1" w:styleId="19">
    <w:name w:val="页眉 Char"/>
    <w:link w:val="7"/>
    <w:qFormat/>
    <w:uiPriority w:val="99"/>
    <w:rPr>
      <w:sz w:val="18"/>
      <w:szCs w:val="18"/>
    </w:rPr>
  </w:style>
  <w:style w:type="character" w:customStyle="1" w:styleId="20">
    <w:name w:val="批注主题 Char"/>
    <w:link w:val="9"/>
    <w:semiHidden/>
    <w:qFormat/>
    <w:uiPriority w:val="99"/>
    <w:rPr>
      <w:b/>
      <w:bCs/>
      <w:kern w:val="2"/>
      <w:sz w:val="21"/>
      <w:szCs w:val="22"/>
    </w:rPr>
  </w:style>
  <w:style w:type="character" w:customStyle="1" w:styleId="21">
    <w:name w:val="where"/>
    <w:uiPriority w:val="0"/>
  </w:style>
  <w:style w:type="character" w:customStyle="1" w:styleId="22">
    <w:name w:val="small"/>
    <w:uiPriority w:val="0"/>
  </w:style>
  <w:style w:type="character" w:customStyle="1" w:styleId="23">
    <w:name w:val="big"/>
    <w:qFormat/>
    <w:uiPriority w:val="0"/>
  </w:style>
  <w:style w:type="character" w:customStyle="1" w:styleId="24">
    <w:name w:val="font31"/>
    <w:uiPriority w:val="0"/>
    <w:rPr>
      <w:rFonts w:hint="eastAsia" w:ascii="宋体" w:hAnsi="宋体" w:eastAsia="宋体" w:cs="宋体"/>
      <w:color w:val="333333"/>
      <w:sz w:val="21"/>
      <w:szCs w:val="21"/>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2</Pages>
  <Words>145</Words>
  <Characters>833</Characters>
  <Lines>6</Lines>
  <Paragraphs>1</Paragraphs>
  <TotalTime>0</TotalTime>
  <ScaleCrop>false</ScaleCrop>
  <LinksUpToDate>false</LinksUpToDate>
  <CharactersWithSpaces>977</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2026-05-21T06:15:00Z</dcterms:created>
  <dc:creator>lixing</dc:creator>
  <cp:lastModifiedBy>panan</cp:lastModifiedBy>
  <cp:lastPrinted>2010-12-30T05:02:00Z</cp:lastPrinted>
  <dcterms:modified xsi:type="dcterms:W3CDTF">2026-05-21T06:52:41Z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6CF0CC28AF0F4007B6E0F8746EE0A285_13</vt:lpwstr>
  </property>
</Properties>
</file>