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FC2FC">
      <w:pPr>
        <w:spacing w:line="360" w:lineRule="auto"/>
        <w:jc w:val="center"/>
        <w:rPr>
          <w:rFonts w:ascii="宋体" w:hAnsi="宋体"/>
          <w:b/>
          <w:szCs w:val="21"/>
        </w:rPr>
      </w:pPr>
      <w:bookmarkStart w:id="0" w:name="_Toc361324840"/>
    </w:p>
    <w:p w14:paraId="61C99E93">
      <w:pPr>
        <w:spacing w:line="360" w:lineRule="auto"/>
        <w:jc w:val="center"/>
        <w:rPr>
          <w:rFonts w:ascii="宋体" w:hAnsi="宋体"/>
          <w:b/>
          <w:szCs w:val="21"/>
        </w:rPr>
      </w:pPr>
    </w:p>
    <w:bookmarkEnd w:id="0"/>
    <w:p w14:paraId="5CA59FC1">
      <w:pPr>
        <w:spacing w:line="360" w:lineRule="auto"/>
        <w:jc w:val="center"/>
        <w:rPr>
          <w:rFonts w:hint="eastAsia" w:ascii="宋体" w:hAnsi="宋体"/>
          <w:b/>
          <w:sz w:val="52"/>
          <w:szCs w:val="52"/>
        </w:rPr>
      </w:pPr>
      <w:bookmarkStart w:id="1" w:name="_Toc361324841"/>
      <w:r>
        <w:rPr>
          <w:rFonts w:hint="eastAsia" w:ascii="宋体" w:hAnsi="宋体"/>
          <w:b/>
          <w:sz w:val="52"/>
          <w:szCs w:val="52"/>
        </w:rPr>
        <w:t>博时荣泰灵活配置混合型证券投资基金</w:t>
      </w:r>
    </w:p>
    <w:p w14:paraId="290DFC3B">
      <w:pPr>
        <w:spacing w:line="360" w:lineRule="auto"/>
        <w:jc w:val="center"/>
        <w:rPr>
          <w:rFonts w:ascii="宋体" w:hAnsi="宋体"/>
          <w:b/>
          <w:sz w:val="52"/>
          <w:szCs w:val="52"/>
        </w:rPr>
      </w:pPr>
      <w:r>
        <w:rPr>
          <w:rFonts w:hint="eastAsia" w:ascii="宋体" w:hAnsi="宋体"/>
          <w:b/>
          <w:sz w:val="52"/>
          <w:szCs w:val="52"/>
        </w:rPr>
        <w:t>清算</w:t>
      </w:r>
      <w:r>
        <w:rPr>
          <w:rFonts w:ascii="宋体" w:hAnsi="宋体"/>
          <w:b/>
          <w:sz w:val="52"/>
          <w:szCs w:val="52"/>
        </w:rPr>
        <w:t>报告</w:t>
      </w:r>
      <w:bookmarkEnd w:id="1"/>
    </w:p>
    <w:p w14:paraId="09CFDD55">
      <w:pPr>
        <w:rPr>
          <w:rFonts w:ascii="宋体" w:hAnsi="宋体"/>
          <w:szCs w:val="21"/>
        </w:rPr>
      </w:pPr>
    </w:p>
    <w:p w14:paraId="10BE7074">
      <w:pPr>
        <w:rPr>
          <w:rFonts w:ascii="宋体" w:hAnsi="宋体"/>
          <w:szCs w:val="21"/>
        </w:rPr>
      </w:pPr>
    </w:p>
    <w:p w14:paraId="3A97B6C6">
      <w:pPr>
        <w:rPr>
          <w:rFonts w:ascii="宋体" w:hAnsi="宋体"/>
          <w:szCs w:val="21"/>
        </w:rPr>
      </w:pPr>
    </w:p>
    <w:p w14:paraId="39F52E1B">
      <w:pPr>
        <w:rPr>
          <w:rFonts w:ascii="宋体" w:hAnsi="宋体"/>
          <w:szCs w:val="21"/>
        </w:rPr>
      </w:pPr>
    </w:p>
    <w:p w14:paraId="487B5DA7">
      <w:pPr>
        <w:rPr>
          <w:rFonts w:ascii="宋体" w:hAnsi="宋体"/>
          <w:szCs w:val="21"/>
        </w:rPr>
      </w:pPr>
    </w:p>
    <w:p w14:paraId="751DD67C">
      <w:pPr>
        <w:rPr>
          <w:rFonts w:ascii="宋体" w:hAnsi="宋体"/>
          <w:szCs w:val="21"/>
        </w:rPr>
      </w:pPr>
    </w:p>
    <w:p w14:paraId="114F2C96">
      <w:pPr>
        <w:rPr>
          <w:rFonts w:ascii="宋体" w:hAnsi="宋体"/>
          <w:szCs w:val="21"/>
        </w:rPr>
      </w:pPr>
    </w:p>
    <w:p w14:paraId="33A27201">
      <w:pPr>
        <w:rPr>
          <w:rFonts w:ascii="宋体" w:hAnsi="宋体"/>
          <w:szCs w:val="21"/>
        </w:rPr>
      </w:pPr>
    </w:p>
    <w:p w14:paraId="6746F4B8">
      <w:pPr>
        <w:rPr>
          <w:rFonts w:ascii="宋体" w:hAnsi="宋体"/>
          <w:szCs w:val="21"/>
        </w:rPr>
      </w:pPr>
    </w:p>
    <w:p w14:paraId="6D7B61B6">
      <w:pPr>
        <w:rPr>
          <w:rFonts w:ascii="宋体" w:hAnsi="宋体"/>
          <w:szCs w:val="21"/>
        </w:rPr>
      </w:pPr>
    </w:p>
    <w:p w14:paraId="26D035F7">
      <w:pPr>
        <w:rPr>
          <w:rFonts w:ascii="宋体" w:hAnsi="宋体"/>
          <w:szCs w:val="21"/>
        </w:rPr>
      </w:pPr>
    </w:p>
    <w:p w14:paraId="6DD971B0">
      <w:pPr>
        <w:spacing w:line="360" w:lineRule="auto"/>
        <w:jc w:val="center"/>
        <w:rPr>
          <w:rFonts w:ascii="宋体" w:hAnsi="宋体"/>
          <w:b/>
          <w:color w:val="000000"/>
          <w:sz w:val="36"/>
          <w:szCs w:val="36"/>
        </w:rPr>
      </w:pPr>
      <w:r>
        <w:rPr>
          <w:rFonts w:ascii="宋体" w:hAnsi="宋体"/>
          <w:b/>
          <w:color w:val="000000"/>
          <w:sz w:val="36"/>
          <w:szCs w:val="36"/>
        </w:rPr>
        <w:t>基金管理人：博时基金管理有限公司</w:t>
      </w:r>
    </w:p>
    <w:p w14:paraId="67278AEC">
      <w:pPr>
        <w:spacing w:line="360" w:lineRule="auto"/>
        <w:jc w:val="center"/>
        <w:rPr>
          <w:rFonts w:ascii="宋体" w:hAnsi="宋体"/>
          <w:b/>
          <w:color w:val="000000"/>
          <w:sz w:val="36"/>
          <w:szCs w:val="36"/>
        </w:rPr>
      </w:pPr>
      <w:r>
        <w:rPr>
          <w:rFonts w:ascii="宋体" w:hAnsi="宋体"/>
          <w:b/>
          <w:color w:val="000000"/>
          <w:sz w:val="36"/>
          <w:szCs w:val="36"/>
        </w:rPr>
        <w:t>基金托管人：浙商银行股份有限公司</w:t>
      </w:r>
    </w:p>
    <w:p w14:paraId="671FE1A3">
      <w:pPr>
        <w:spacing w:line="360" w:lineRule="auto"/>
        <w:jc w:val="center"/>
        <w:rPr>
          <w:rFonts w:ascii="宋体" w:hAnsi="宋体"/>
          <w:b/>
          <w:color w:val="000000"/>
          <w:sz w:val="36"/>
          <w:szCs w:val="36"/>
        </w:rPr>
      </w:pPr>
      <w:r>
        <w:rPr>
          <w:rFonts w:ascii="宋体" w:hAnsi="宋体"/>
          <w:b/>
          <w:color w:val="000000"/>
          <w:sz w:val="36"/>
          <w:szCs w:val="36"/>
        </w:rPr>
        <w:t>报告</w:t>
      </w:r>
      <w:r>
        <w:rPr>
          <w:rFonts w:hint="eastAsia" w:ascii="宋体" w:hAnsi="宋体"/>
          <w:b/>
          <w:color w:val="000000"/>
          <w:sz w:val="36"/>
          <w:szCs w:val="36"/>
        </w:rPr>
        <w:t>出具</w:t>
      </w:r>
      <w:r>
        <w:rPr>
          <w:rFonts w:ascii="宋体" w:hAnsi="宋体"/>
          <w:b/>
          <w:color w:val="000000"/>
          <w:sz w:val="36"/>
          <w:szCs w:val="36"/>
        </w:rPr>
        <w:t>日期：二〇</w:t>
      </w:r>
      <w:r>
        <w:rPr>
          <w:rFonts w:hint="eastAsia" w:ascii="宋体" w:hAnsi="宋体"/>
          <w:b/>
          <w:color w:val="000000"/>
          <w:sz w:val="36"/>
          <w:szCs w:val="36"/>
        </w:rPr>
        <w:t>二</w:t>
      </w:r>
      <w:r>
        <w:rPr>
          <w:rFonts w:hint="eastAsia" w:ascii="宋体" w:hAnsi="宋体"/>
          <w:b/>
          <w:color w:val="000000"/>
          <w:sz w:val="36"/>
          <w:szCs w:val="36"/>
          <w:lang w:val="en-US" w:eastAsia="zh-CN"/>
        </w:rPr>
        <w:t>六</w:t>
      </w:r>
      <w:r>
        <w:rPr>
          <w:rFonts w:ascii="宋体" w:hAnsi="宋体"/>
          <w:b/>
          <w:color w:val="000000"/>
          <w:sz w:val="36"/>
          <w:szCs w:val="36"/>
        </w:rPr>
        <w:t>年</w:t>
      </w:r>
      <w:r>
        <w:rPr>
          <w:rFonts w:hint="eastAsia" w:ascii="宋体" w:hAnsi="宋体"/>
          <w:b/>
          <w:color w:val="000000"/>
          <w:sz w:val="36"/>
          <w:szCs w:val="36"/>
          <w:lang w:val="en-US" w:eastAsia="zh-CN"/>
        </w:rPr>
        <w:t>九</w:t>
      </w:r>
      <w:r>
        <w:rPr>
          <w:rFonts w:ascii="宋体" w:hAnsi="宋体"/>
          <w:b/>
          <w:color w:val="000000"/>
          <w:sz w:val="36"/>
          <w:szCs w:val="36"/>
        </w:rPr>
        <w:t>月</w:t>
      </w:r>
      <w:r>
        <w:rPr>
          <w:rFonts w:hint="eastAsia" w:ascii="宋体" w:hAnsi="宋体"/>
          <w:b/>
          <w:color w:val="000000"/>
          <w:sz w:val="36"/>
          <w:szCs w:val="36"/>
          <w:lang w:val="en-US" w:eastAsia="zh-CN"/>
        </w:rPr>
        <w:t>二十一</w:t>
      </w:r>
      <w:r>
        <w:rPr>
          <w:rFonts w:hint="eastAsia" w:ascii="宋体" w:hAnsi="宋体"/>
          <w:b/>
          <w:color w:val="000000"/>
          <w:sz w:val="36"/>
          <w:szCs w:val="36"/>
        </w:rPr>
        <w:t>日</w:t>
      </w:r>
    </w:p>
    <w:p w14:paraId="2DD0E42C">
      <w:pPr>
        <w:spacing w:line="360" w:lineRule="auto"/>
        <w:jc w:val="center"/>
        <w:rPr>
          <w:rFonts w:ascii="宋体" w:hAnsi="宋体"/>
          <w:b/>
          <w:color w:val="000000"/>
          <w:sz w:val="36"/>
          <w:szCs w:val="36"/>
        </w:rPr>
      </w:pPr>
      <w:r>
        <w:rPr>
          <w:rFonts w:hint="eastAsia" w:ascii="宋体" w:hAnsi="宋体"/>
          <w:b/>
          <w:color w:val="000000"/>
          <w:sz w:val="36"/>
          <w:szCs w:val="36"/>
        </w:rPr>
        <w:t>报告公告日期：二〇二</w:t>
      </w:r>
      <w:r>
        <w:rPr>
          <w:rFonts w:hint="eastAsia" w:ascii="宋体" w:hAnsi="宋体"/>
          <w:b/>
          <w:color w:val="000000"/>
          <w:sz w:val="36"/>
          <w:szCs w:val="36"/>
          <w:lang w:val="en-US" w:eastAsia="zh-CN"/>
        </w:rPr>
        <w:t>六</w:t>
      </w:r>
      <w:r>
        <w:rPr>
          <w:rFonts w:hint="eastAsia" w:ascii="宋体" w:hAnsi="宋体"/>
          <w:b/>
          <w:color w:val="000000"/>
          <w:sz w:val="36"/>
          <w:szCs w:val="36"/>
        </w:rPr>
        <w:t>年</w:t>
      </w:r>
      <w:r>
        <w:rPr>
          <w:rFonts w:hint="eastAsia" w:ascii="宋体" w:hAnsi="宋体"/>
          <w:b/>
          <w:color w:val="000000"/>
          <w:sz w:val="36"/>
          <w:szCs w:val="36"/>
          <w:lang w:val="en-US" w:eastAsia="zh-CN"/>
        </w:rPr>
        <w:t>十月十六</w:t>
      </w:r>
      <w:r>
        <w:rPr>
          <w:rFonts w:hint="eastAsia" w:ascii="宋体" w:hAnsi="宋体"/>
          <w:b/>
          <w:color w:val="000000"/>
          <w:sz w:val="36"/>
          <w:szCs w:val="36"/>
        </w:rPr>
        <w:t>日</w:t>
      </w:r>
    </w:p>
    <w:p w14:paraId="58B0425D">
      <w:pPr>
        <w:spacing w:line="360" w:lineRule="auto"/>
        <w:jc w:val="center"/>
        <w:rPr>
          <w:rFonts w:ascii="宋体" w:hAnsi="宋体"/>
          <w:b/>
          <w:color w:val="000000"/>
          <w:sz w:val="36"/>
          <w:szCs w:val="36"/>
        </w:rPr>
      </w:pPr>
    </w:p>
    <w:p w14:paraId="349E59A4">
      <w:pPr>
        <w:spacing w:line="360" w:lineRule="auto"/>
        <w:ind w:firstLine="1265" w:firstLineChars="350"/>
        <w:rPr>
          <w:rFonts w:ascii="宋体" w:hAnsi="宋体"/>
          <w:b/>
          <w:color w:val="000000"/>
          <w:sz w:val="36"/>
          <w:szCs w:val="36"/>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sdt>
      <w:sdtPr>
        <w:rPr>
          <w:rFonts w:ascii="Times New Roman" w:hAnsi="Times New Roman" w:eastAsia="宋体" w:cs="Times New Roman"/>
          <w:b w:val="0"/>
          <w:bCs w:val="0"/>
          <w:color w:val="auto"/>
          <w:kern w:val="2"/>
          <w:sz w:val="21"/>
          <w:szCs w:val="24"/>
          <w:lang w:val="zh-CN"/>
        </w:rPr>
        <w:id w:val="542722309"/>
        <w:docPartObj>
          <w:docPartGallery w:val="Table of Contents"/>
          <w:docPartUnique/>
        </w:docPartObj>
      </w:sdtPr>
      <w:sdtEndPr>
        <w:rPr>
          <w:rFonts w:ascii="Times New Roman" w:hAnsi="Times New Roman" w:eastAsia="宋体" w:cs="Times New Roman"/>
          <w:b w:val="0"/>
          <w:bCs w:val="0"/>
          <w:color w:val="auto"/>
          <w:kern w:val="2"/>
          <w:sz w:val="21"/>
          <w:szCs w:val="24"/>
          <w:lang w:val="zh-CN"/>
        </w:rPr>
      </w:sdtEndPr>
      <w:sdtContent>
        <w:p w14:paraId="5E8BF72B">
          <w:pPr>
            <w:pStyle w:val="32"/>
            <w:jc w:val="center"/>
          </w:pPr>
          <w:bookmarkStart w:id="2" w:name="_Toc484769794"/>
          <w:r>
            <w:rPr>
              <w:lang w:val="zh-CN"/>
            </w:rPr>
            <w:t>目录</w:t>
          </w:r>
        </w:p>
        <w:p w14:paraId="41FCD025">
          <w:pPr>
            <w:pStyle w:val="9"/>
            <w:tabs>
              <w:tab w:val="right" w:leader="dot" w:pos="8296"/>
            </w:tabs>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"_Toc145339088" </w:instrText>
          </w:r>
          <w:r>
            <w:fldChar w:fldCharType="separate"/>
          </w:r>
          <w:r>
            <w:rPr>
              <w:rStyle w:val="15"/>
              <w:rFonts w:ascii="宋体" w:hAnsi="宋体"/>
              <w:b/>
            </w:rPr>
            <w:t>1、重要提示</w:t>
          </w:r>
          <w:r>
            <w:tab/>
          </w:r>
          <w:r>
            <w:fldChar w:fldCharType="begin"/>
          </w:r>
          <w:r>
            <w:instrText xml:space="preserve"> PAGEREF _Toc145339088 \h </w:instrText>
          </w:r>
          <w:r>
            <w:fldChar w:fldCharType="separate"/>
          </w:r>
          <w:r>
            <w:t>1</w:t>
          </w:r>
          <w:r>
            <w:fldChar w:fldCharType="end"/>
          </w:r>
          <w:r>
            <w:fldChar w:fldCharType="end"/>
          </w:r>
        </w:p>
        <w:p w14:paraId="3C10F090">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"_Toc145339089" </w:instrText>
          </w:r>
          <w:r>
            <w:fldChar w:fldCharType="separate"/>
          </w:r>
          <w:r>
            <w:rPr>
              <w:rStyle w:val="15"/>
              <w:rFonts w:ascii="宋体" w:hAnsi="宋体"/>
              <w:kern w:val="0"/>
            </w:rPr>
            <w:t>1.1 重要提示</w:t>
          </w:r>
          <w:r>
            <w:tab/>
          </w:r>
          <w:r>
            <w:fldChar w:fldCharType="begin"/>
          </w:r>
          <w:r>
            <w:instrText xml:space="preserve"> PAGEREF _Toc145339089 \h </w:instrText>
          </w:r>
          <w:r>
            <w:fldChar w:fldCharType="separate"/>
          </w:r>
          <w:r>
            <w:t>1</w:t>
          </w:r>
          <w:r>
            <w:fldChar w:fldCharType="end"/>
          </w:r>
          <w:r>
            <w:fldChar w:fldCharType="end"/>
          </w:r>
        </w:p>
        <w:p w14:paraId="78146EE7">
          <w:pPr>
            <w:pStyle w:val="9"/>
            <w:tabs>
              <w:tab w:val="right" w:leader="dot" w:pos="8296"/>
            </w:tabs>
            <w:rPr>
              <w:rFonts w:asciiTheme="minorHAnsi" w:hAnsiTheme="minorHAnsi" w:eastAsiaTheme="minorEastAsia" w:cstheme="minorBidi"/>
              <w:szCs w:val="22"/>
            </w:rPr>
          </w:pPr>
          <w:r>
            <w:fldChar w:fldCharType="begin"/>
          </w:r>
          <w:r>
            <w:instrText xml:space="preserve"> HYPERLINK \l "_Toc145339090" </w:instrText>
          </w:r>
          <w:r>
            <w:fldChar w:fldCharType="separate"/>
          </w:r>
          <w:r>
            <w:rPr>
              <w:rStyle w:val="15"/>
              <w:rFonts w:ascii="宋体" w:hAnsi="宋体"/>
              <w:b/>
            </w:rPr>
            <w:t>2、基金概况</w:t>
          </w:r>
          <w:r>
            <w:tab/>
          </w:r>
          <w:r>
            <w:fldChar w:fldCharType="begin"/>
          </w:r>
          <w:r>
            <w:instrText xml:space="preserve"> PAGEREF _Toc145339090 \h </w:instrText>
          </w:r>
          <w:r>
            <w:fldChar w:fldCharType="separate"/>
          </w:r>
          <w:r>
            <w:t>1</w:t>
          </w:r>
          <w:r>
            <w:fldChar w:fldCharType="end"/>
          </w:r>
          <w:r>
            <w:fldChar w:fldCharType="end"/>
          </w:r>
        </w:p>
        <w:p w14:paraId="60AA522E">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"_Toc145339091" </w:instrText>
          </w:r>
          <w:r>
            <w:fldChar w:fldCharType="separate"/>
          </w:r>
          <w:r>
            <w:rPr>
              <w:rStyle w:val="15"/>
              <w:rFonts w:ascii="宋体" w:hAnsi="宋体"/>
              <w:kern w:val="0"/>
            </w:rPr>
            <w:t>2.1 基金基本情况</w:t>
          </w:r>
          <w:r>
            <w:tab/>
          </w:r>
          <w:r>
            <w:fldChar w:fldCharType="begin"/>
          </w:r>
          <w:r>
            <w:instrText xml:space="preserve"> PAGEREF _Toc145339091 \h </w:instrText>
          </w:r>
          <w:r>
            <w:fldChar w:fldCharType="separate"/>
          </w:r>
          <w:r>
            <w:t>1</w:t>
          </w:r>
          <w:r>
            <w:fldChar w:fldCharType="end"/>
          </w:r>
          <w:r>
            <w:fldChar w:fldCharType="end"/>
          </w:r>
        </w:p>
        <w:p w14:paraId="00322977">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"_Toc145339092" </w:instrText>
          </w:r>
          <w:r>
            <w:fldChar w:fldCharType="separate"/>
          </w:r>
          <w:r>
            <w:rPr>
              <w:rStyle w:val="15"/>
              <w:rFonts w:ascii="宋体" w:hAnsi="宋体"/>
            </w:rPr>
            <w:t>2.2 基金产品说明</w:t>
          </w:r>
          <w:r>
            <w:tab/>
          </w:r>
          <w:r>
            <w:fldChar w:fldCharType="begin"/>
          </w:r>
          <w:r>
            <w:instrText xml:space="preserve"> PAGEREF _Toc145339092 \h </w:instrText>
          </w:r>
          <w:r>
            <w:fldChar w:fldCharType="separate"/>
          </w:r>
          <w:r>
            <w:t>2</w:t>
          </w:r>
          <w:r>
            <w:fldChar w:fldCharType="end"/>
          </w:r>
          <w:r>
            <w:fldChar w:fldCharType="end"/>
          </w:r>
        </w:p>
        <w:p w14:paraId="7459B4FC">
          <w:pPr>
            <w:pStyle w:val="9"/>
            <w:tabs>
              <w:tab w:val="right" w:leader="dot" w:pos="8296"/>
            </w:tabs>
            <w:rPr>
              <w:rFonts w:asciiTheme="minorHAnsi" w:hAnsiTheme="minorHAnsi" w:eastAsiaTheme="minorEastAsia" w:cstheme="minorBidi"/>
              <w:szCs w:val="22"/>
            </w:rPr>
          </w:pPr>
          <w:r>
            <w:fldChar w:fldCharType="begin"/>
          </w:r>
          <w:r>
            <w:instrText xml:space="preserve"> HYPERLINK \l "_Toc145339093" </w:instrText>
          </w:r>
          <w:r>
            <w:fldChar w:fldCharType="separate"/>
          </w:r>
          <w:r>
            <w:rPr>
              <w:rStyle w:val="15"/>
              <w:rFonts w:ascii="宋体" w:hAnsi="宋体"/>
              <w:b/>
            </w:rPr>
            <w:t>3、基金运作情况说明</w:t>
          </w:r>
          <w:r>
            <w:tab/>
          </w:r>
          <w:r>
            <w:fldChar w:fldCharType="begin"/>
          </w:r>
          <w:r>
            <w:instrText xml:space="preserve"> PAGEREF _Toc145339093 \h </w:instrText>
          </w:r>
          <w:r>
            <w:fldChar w:fldCharType="separate"/>
          </w:r>
          <w:r>
            <w:t>2</w:t>
          </w:r>
          <w:r>
            <w:fldChar w:fldCharType="end"/>
          </w:r>
          <w:r>
            <w:fldChar w:fldCharType="end"/>
          </w:r>
        </w:p>
        <w:p w14:paraId="41442F86">
          <w:pPr>
            <w:pStyle w:val="9"/>
            <w:tabs>
              <w:tab w:val="right" w:leader="dot" w:pos="8296"/>
            </w:tabs>
            <w:rPr>
              <w:rFonts w:asciiTheme="minorHAnsi" w:hAnsiTheme="minorHAnsi" w:eastAsiaTheme="minorEastAsia" w:cstheme="minorBidi"/>
              <w:szCs w:val="22"/>
            </w:rPr>
          </w:pPr>
          <w:r>
            <w:fldChar w:fldCharType="begin"/>
          </w:r>
          <w:r>
            <w:instrText xml:space="preserve"> HYPERLINK \l "_Toc145339094" </w:instrText>
          </w:r>
          <w:r>
            <w:fldChar w:fldCharType="separate"/>
          </w:r>
          <w:r>
            <w:rPr>
              <w:rStyle w:val="15"/>
              <w:rFonts w:ascii="宋体" w:hAnsi="宋体"/>
              <w:b/>
            </w:rPr>
            <w:t>4、财务报告</w:t>
          </w:r>
          <w:r>
            <w:tab/>
          </w:r>
          <w:r>
            <w:fldChar w:fldCharType="begin"/>
          </w:r>
          <w:r>
            <w:instrText xml:space="preserve"> PAGEREF _Toc145339094 \h </w:instrText>
          </w:r>
          <w:r>
            <w:fldChar w:fldCharType="separate"/>
          </w:r>
          <w:r>
            <w:t>2</w:t>
          </w:r>
          <w:r>
            <w:fldChar w:fldCharType="end"/>
          </w:r>
          <w:r>
            <w:fldChar w:fldCharType="end"/>
          </w:r>
        </w:p>
        <w:p w14:paraId="13F73C8F">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"_Toc145339095" </w:instrText>
          </w:r>
          <w:r>
            <w:fldChar w:fldCharType="separate"/>
          </w:r>
          <w:r>
            <w:rPr>
              <w:rStyle w:val="15"/>
              <w:rFonts w:ascii="宋体" w:hAnsi="宋体"/>
              <w:kern w:val="0"/>
            </w:rPr>
            <w:t>4.1 资产负债表(已经审计)</w:t>
          </w:r>
          <w:r>
            <w:tab/>
          </w:r>
          <w:r>
            <w:fldChar w:fldCharType="begin"/>
          </w:r>
          <w:r>
            <w:instrText xml:space="preserve"> PAGEREF _Toc145339095 \h </w:instrText>
          </w:r>
          <w:r>
            <w:fldChar w:fldCharType="separate"/>
          </w:r>
          <w:r>
            <w:t>3</w:t>
          </w:r>
          <w:r>
            <w:fldChar w:fldCharType="end"/>
          </w:r>
          <w:r>
            <w:fldChar w:fldCharType="end"/>
          </w:r>
        </w:p>
        <w:p w14:paraId="724B6E5C">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"_Toc145339096" </w:instrText>
          </w:r>
          <w:r>
            <w:fldChar w:fldCharType="separate"/>
          </w:r>
          <w:r>
            <w:rPr>
              <w:rStyle w:val="15"/>
              <w:rFonts w:ascii="宋体" w:hAnsi="宋体"/>
              <w:kern w:val="0"/>
            </w:rPr>
            <w:t>4.2 清算损益表</w:t>
          </w:r>
          <w:r>
            <w:tab/>
          </w:r>
          <w:r>
            <w:fldChar w:fldCharType="begin"/>
          </w:r>
          <w:r>
            <w:instrText xml:space="preserve"> PAGEREF _Toc145339096 \h </w:instrText>
          </w:r>
          <w:r>
            <w:fldChar w:fldCharType="separate"/>
          </w:r>
          <w:r>
            <w:t>3</w:t>
          </w:r>
          <w:r>
            <w:fldChar w:fldCharType="end"/>
          </w:r>
          <w:r>
            <w:fldChar w:fldCharType="end"/>
          </w:r>
        </w:p>
        <w:p w14:paraId="0391C900">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"_Toc145339097" </w:instrText>
          </w:r>
          <w:r>
            <w:fldChar w:fldCharType="separate"/>
          </w:r>
          <w:r>
            <w:rPr>
              <w:rStyle w:val="15"/>
              <w:rFonts w:ascii="宋体" w:hAnsi="宋体"/>
              <w:kern w:val="0"/>
            </w:rPr>
            <w:t>4.3 报表附注</w:t>
          </w:r>
          <w:r>
            <w:tab/>
          </w:r>
          <w:r>
            <w:fldChar w:fldCharType="begin"/>
          </w:r>
          <w:r>
            <w:instrText xml:space="preserve"> PAGEREF _Toc145339097 \h </w:instrText>
          </w:r>
          <w:r>
            <w:fldChar w:fldCharType="separate"/>
          </w:r>
          <w:r>
            <w:t>4</w:t>
          </w:r>
          <w:r>
            <w:fldChar w:fldCharType="end"/>
          </w:r>
          <w:r>
            <w:fldChar w:fldCharType="end"/>
          </w:r>
        </w:p>
        <w:p w14:paraId="41F6E2BD">
          <w:pPr>
            <w:pStyle w:val="9"/>
            <w:tabs>
              <w:tab w:val="right" w:leader="dot" w:pos="8296"/>
            </w:tabs>
            <w:rPr>
              <w:rFonts w:asciiTheme="minorHAnsi" w:hAnsiTheme="minorHAnsi" w:eastAsiaTheme="minorEastAsia" w:cstheme="minorBidi"/>
              <w:szCs w:val="22"/>
            </w:rPr>
          </w:pPr>
          <w:r>
            <w:fldChar w:fldCharType="begin"/>
          </w:r>
          <w:r>
            <w:instrText xml:space="preserve"> HYPERLINK \l "_Toc145339098" </w:instrText>
          </w:r>
          <w:r>
            <w:fldChar w:fldCharType="separate"/>
          </w:r>
          <w:r>
            <w:rPr>
              <w:rStyle w:val="15"/>
              <w:rFonts w:ascii="宋体" w:hAnsi="宋体"/>
              <w:b/>
            </w:rPr>
            <w:t>5、清算情况</w:t>
          </w:r>
          <w:r>
            <w:tab/>
          </w:r>
          <w:r>
            <w:fldChar w:fldCharType="begin"/>
          </w:r>
          <w:r>
            <w:instrText xml:space="preserve"> PAGEREF _Toc145339098 \h </w:instrText>
          </w:r>
          <w:r>
            <w:fldChar w:fldCharType="separate"/>
          </w:r>
          <w:r>
            <w:t>8</w:t>
          </w:r>
          <w:r>
            <w:fldChar w:fldCharType="end"/>
          </w:r>
          <w:r>
            <w:fldChar w:fldCharType="end"/>
          </w:r>
        </w:p>
        <w:p w14:paraId="4E663A1F">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"_Toc145339099" </w:instrText>
          </w:r>
          <w:r>
            <w:fldChar w:fldCharType="separate"/>
          </w:r>
          <w:r>
            <w:rPr>
              <w:rStyle w:val="15"/>
              <w:rFonts w:ascii="宋体" w:hAnsi="宋体"/>
              <w:kern w:val="0"/>
            </w:rPr>
            <w:t>5.1 资产负债清算情况</w:t>
          </w:r>
          <w:r>
            <w:tab/>
          </w:r>
          <w:r>
            <w:fldChar w:fldCharType="begin"/>
          </w:r>
          <w:r>
            <w:instrText xml:space="preserve"> PAGEREF _Toc145339099 \h </w:instrText>
          </w:r>
          <w:r>
            <w:fldChar w:fldCharType="separate"/>
          </w:r>
          <w:r>
            <w:t>8</w:t>
          </w:r>
          <w:r>
            <w:fldChar w:fldCharType="end"/>
          </w:r>
          <w:r>
            <w:fldChar w:fldCharType="end"/>
          </w:r>
        </w:p>
        <w:p w14:paraId="596880DA">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"_Toc145339100" </w:instrText>
          </w:r>
          <w:r>
            <w:fldChar w:fldCharType="separate"/>
          </w:r>
          <w:r>
            <w:rPr>
              <w:rStyle w:val="15"/>
              <w:rFonts w:ascii="宋体" w:hAnsi="宋体"/>
              <w:kern w:val="0"/>
            </w:rPr>
            <w:t>5.2 截至本次清算期结束日的剩余财产情况及剩余财产分配安排</w:t>
          </w:r>
          <w:r>
            <w:tab/>
          </w:r>
          <w:r>
            <w:fldChar w:fldCharType="begin"/>
          </w:r>
          <w:r>
            <w:instrText xml:space="preserve"> PAGEREF _Toc145339100 \h </w:instrText>
          </w:r>
          <w:r>
            <w:fldChar w:fldCharType="separate"/>
          </w:r>
          <w:r>
            <w:t>9</w:t>
          </w:r>
          <w:r>
            <w:fldChar w:fldCharType="end"/>
          </w:r>
          <w:r>
            <w:fldChar w:fldCharType="end"/>
          </w:r>
        </w:p>
        <w:p w14:paraId="5E88F387">
          <w:pPr>
            <w:pStyle w:val="9"/>
            <w:tabs>
              <w:tab w:val="right" w:leader="dot" w:pos="8296"/>
            </w:tabs>
            <w:rPr>
              <w:rFonts w:asciiTheme="minorHAnsi" w:hAnsiTheme="minorHAnsi" w:eastAsiaTheme="minorEastAsia" w:cstheme="minorBidi"/>
              <w:szCs w:val="22"/>
            </w:rPr>
          </w:pPr>
          <w:r>
            <w:fldChar w:fldCharType="begin"/>
          </w:r>
          <w:r>
            <w:instrText xml:space="preserve"> HYPERLINK \l "_Toc145339101" </w:instrText>
          </w:r>
          <w:r>
            <w:fldChar w:fldCharType="separate"/>
          </w:r>
          <w:r>
            <w:rPr>
              <w:rStyle w:val="15"/>
              <w:rFonts w:ascii="宋体" w:hAnsi="宋体"/>
              <w:b/>
            </w:rPr>
            <w:t>6、备查文件目录</w:t>
          </w:r>
          <w:r>
            <w:tab/>
          </w:r>
          <w:r>
            <w:fldChar w:fldCharType="begin"/>
          </w:r>
          <w:r>
            <w:instrText xml:space="preserve"> PAGEREF _Toc145339101 \h </w:instrText>
          </w:r>
          <w:r>
            <w:fldChar w:fldCharType="separate"/>
          </w:r>
          <w:r>
            <w:t>10</w:t>
          </w:r>
          <w:r>
            <w:fldChar w:fldCharType="end"/>
          </w:r>
          <w:r>
            <w:fldChar w:fldCharType="end"/>
          </w:r>
        </w:p>
        <w:p w14:paraId="5A64AE32">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"_Toc145339102" </w:instrText>
          </w:r>
          <w:r>
            <w:fldChar w:fldCharType="separate"/>
          </w:r>
          <w:r>
            <w:rPr>
              <w:rStyle w:val="15"/>
              <w:rFonts w:ascii="宋体" w:hAnsi="宋体"/>
              <w:kern w:val="0"/>
            </w:rPr>
            <w:t>6.1 备查文件目录</w:t>
          </w:r>
          <w:r>
            <w:tab/>
          </w:r>
          <w:r>
            <w:fldChar w:fldCharType="begin"/>
          </w:r>
          <w:r>
            <w:instrText xml:space="preserve"> PAGEREF _Toc145339102 \h </w:instrText>
          </w:r>
          <w:r>
            <w:fldChar w:fldCharType="separate"/>
          </w:r>
          <w:r>
            <w:t>10</w:t>
          </w:r>
          <w:r>
            <w:fldChar w:fldCharType="end"/>
          </w:r>
          <w:r>
            <w:fldChar w:fldCharType="end"/>
          </w:r>
        </w:p>
        <w:p w14:paraId="28F0B634">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"_Toc145339103" </w:instrText>
          </w:r>
          <w:r>
            <w:fldChar w:fldCharType="separate"/>
          </w:r>
          <w:r>
            <w:rPr>
              <w:rStyle w:val="15"/>
              <w:rFonts w:ascii="宋体" w:hAnsi="宋体"/>
              <w:kern w:val="0"/>
            </w:rPr>
            <w:t>6.2 存放地点</w:t>
          </w:r>
          <w:r>
            <w:tab/>
          </w:r>
          <w:r>
            <w:fldChar w:fldCharType="begin"/>
          </w:r>
          <w:r>
            <w:instrText xml:space="preserve"> PAGEREF _Toc145339103 \h </w:instrText>
          </w:r>
          <w:r>
            <w:fldChar w:fldCharType="separate"/>
          </w:r>
          <w:r>
            <w:t>10</w:t>
          </w:r>
          <w:r>
            <w:fldChar w:fldCharType="end"/>
          </w:r>
          <w:r>
            <w:fldChar w:fldCharType="end"/>
          </w:r>
        </w:p>
        <w:p w14:paraId="6FE2C636">
          <w:pPr>
            <w:pStyle w:val="10"/>
            <w:tabs>
              <w:tab w:val="right" w:leader="dot" w:pos="8296"/>
            </w:tabs>
            <w:rPr>
              <w:rFonts w:asciiTheme="minorHAnsi" w:hAnsiTheme="minorHAnsi" w:eastAsiaTheme="minorEastAsia" w:cstheme="minorBidi"/>
              <w:szCs w:val="22"/>
            </w:rPr>
          </w:pPr>
          <w:r>
            <w:fldChar w:fldCharType="begin"/>
          </w:r>
          <w:r>
            <w:instrText xml:space="preserve"> HYPERLINK \l "_Toc145339104" </w:instrText>
          </w:r>
          <w:r>
            <w:fldChar w:fldCharType="separate"/>
          </w:r>
          <w:r>
            <w:rPr>
              <w:rStyle w:val="15"/>
              <w:rFonts w:ascii="宋体" w:hAnsi="宋体"/>
              <w:kern w:val="0"/>
            </w:rPr>
            <w:t>6.3 查阅方式</w:t>
          </w:r>
          <w:r>
            <w:tab/>
          </w:r>
          <w:r>
            <w:fldChar w:fldCharType="begin"/>
          </w:r>
          <w:r>
            <w:instrText xml:space="preserve"> PAGEREF _Toc145339104 \h </w:instrText>
          </w:r>
          <w:r>
            <w:fldChar w:fldCharType="separate"/>
          </w:r>
          <w:r>
            <w:t>10</w:t>
          </w:r>
          <w:r>
            <w:fldChar w:fldCharType="end"/>
          </w:r>
          <w:r>
            <w:fldChar w:fldCharType="end"/>
          </w:r>
        </w:p>
        <w:p w14:paraId="64DE31B3">
          <w:r>
            <w:rPr>
              <w:b/>
              <w:bCs/>
              <w:lang w:val="zh-CN"/>
            </w:rPr>
            <w:fldChar w:fldCharType="end"/>
          </w:r>
        </w:p>
      </w:sdtContent>
    </w:sdt>
    <w:p w14:paraId="2766869A">
      <w:pPr>
        <w:widowControl/>
        <w:jc w:val="left"/>
        <w:rPr>
          <w:rStyle w:val="20"/>
          <w:rFonts w:ascii="宋体" w:hAnsi="宋体"/>
        </w:rPr>
      </w:pPr>
      <w:r>
        <w:rPr>
          <w:rStyle w:val="20"/>
          <w:rFonts w:ascii="宋体" w:hAnsi="宋体"/>
        </w:rPr>
        <w:br w:type="page"/>
      </w:r>
    </w:p>
    <w:p w14:paraId="53E7AC5F">
      <w:pPr>
        <w:widowControl/>
        <w:jc w:val="center"/>
        <w:rPr>
          <w:rStyle w:val="20"/>
          <w:rFonts w:ascii="宋体" w:hAnsi="宋体"/>
        </w:rPr>
        <w:sectPr>
          <w:headerReference r:id="rId5" w:type="default"/>
          <w:pgSz w:w="11906" w:h="16838"/>
          <w:pgMar w:top="1440" w:right="1800" w:bottom="1440" w:left="1800" w:header="851" w:footer="992" w:gutter="0"/>
          <w:pgNumType w:start="1"/>
          <w:cols w:space="425" w:num="1"/>
          <w:docGrid w:type="lines" w:linePitch="312" w:charSpace="0"/>
        </w:sectPr>
      </w:pPr>
    </w:p>
    <w:p w14:paraId="27841373">
      <w:pPr>
        <w:pStyle w:val="2"/>
        <w:keepNext/>
        <w:keepLines/>
        <w:widowControl w:val="0"/>
        <w:spacing w:before="312" w:beforeLines="100" w:after="312" w:afterLines="100" w:line="360" w:lineRule="auto"/>
        <w:jc w:val="center"/>
        <w:rPr>
          <w:rStyle w:val="20"/>
          <w:rFonts w:ascii="宋体" w:hAnsi="宋体"/>
        </w:rPr>
      </w:pPr>
      <w:bookmarkStart w:id="3" w:name="_Toc145339088"/>
      <w:r>
        <w:rPr>
          <w:rStyle w:val="20"/>
          <w:rFonts w:hint="eastAsia" w:ascii="宋体" w:hAnsi="宋体"/>
        </w:rPr>
        <w:t>1、重要提示</w:t>
      </w:r>
      <w:bookmarkEnd w:id="2"/>
      <w:bookmarkEnd w:id="3"/>
    </w:p>
    <w:p w14:paraId="4C741EF8">
      <w:pPr>
        <w:pStyle w:val="3"/>
        <w:spacing w:before="0" w:after="0"/>
        <w:rPr>
          <w:rFonts w:ascii="宋体" w:hAnsi="宋体" w:eastAsia="宋体"/>
          <w:kern w:val="0"/>
          <w:sz w:val="21"/>
          <w:szCs w:val="21"/>
        </w:rPr>
      </w:pPr>
      <w:bookmarkStart w:id="4" w:name="_Toc145339089"/>
      <w:bookmarkStart w:id="5" w:name="_Toc484769795"/>
      <w:bookmarkStart w:id="6" w:name="_Toc484607300"/>
      <w:bookmarkStart w:id="7" w:name="_Toc483396827"/>
      <w:r>
        <w:rPr>
          <w:rFonts w:hint="eastAsia" w:ascii="宋体" w:hAnsi="宋体" w:eastAsia="宋体"/>
          <w:kern w:val="0"/>
          <w:sz w:val="21"/>
          <w:szCs w:val="21"/>
        </w:rPr>
        <w:t>1</w:t>
      </w:r>
      <w:r>
        <w:rPr>
          <w:rFonts w:ascii="宋体" w:hAnsi="宋体" w:eastAsia="宋体"/>
          <w:kern w:val="0"/>
          <w:sz w:val="21"/>
          <w:szCs w:val="21"/>
        </w:rPr>
        <w:t>.1</w:t>
      </w:r>
      <w:r>
        <w:rPr>
          <w:rFonts w:hint="eastAsia" w:ascii="宋体" w:hAnsi="宋体" w:eastAsia="宋体"/>
          <w:kern w:val="0"/>
          <w:sz w:val="21"/>
          <w:szCs w:val="21"/>
        </w:rPr>
        <w:t xml:space="preserve"> 重要提示</w:t>
      </w:r>
      <w:bookmarkEnd w:id="4"/>
      <w:bookmarkEnd w:id="5"/>
      <w:bookmarkEnd w:id="6"/>
      <w:bookmarkEnd w:id="7"/>
    </w:p>
    <w:p w14:paraId="401633C8">
      <w:pPr>
        <w:spacing w:line="360" w:lineRule="auto"/>
        <w:ind w:firstLine="420" w:firstLineChars="200"/>
        <w:rPr>
          <w:rFonts w:eastAsiaTheme="minorEastAsia"/>
        </w:rPr>
      </w:pPr>
      <w:r>
        <w:rPr>
          <w:rFonts w:hint="eastAsia"/>
          <w:szCs w:val="21"/>
          <w:lang w:eastAsia="zh-Hans"/>
        </w:rPr>
        <w:t>博时荣泰灵活配置混合型证券投资基金</w:t>
      </w:r>
      <w:r>
        <w:rPr>
          <w:rFonts w:hint="eastAsia"/>
          <w:szCs w:val="21"/>
        </w:rPr>
        <w:t>(以下简称“本基金”)经</w:t>
      </w:r>
      <w:r>
        <w:rPr>
          <w:rFonts w:hint="eastAsia"/>
          <w:szCs w:val="21"/>
          <w:lang w:eastAsia="zh-Hans"/>
        </w:rPr>
        <w:t>中国证券监督管理委员会（以下简称“中国证监会”）证监许可[2020]1526号《关于准予博时荣泰灵活配置混合型证券投资基金注册的批复》</w:t>
      </w:r>
      <w:r>
        <w:rPr>
          <w:rFonts w:hint="eastAsia" w:eastAsiaTheme="minorEastAsia"/>
        </w:rPr>
        <w:t>注册</w:t>
      </w:r>
      <w:r>
        <w:rPr>
          <w:rFonts w:eastAsiaTheme="minorEastAsia"/>
        </w:rPr>
        <w:t>，于</w:t>
      </w:r>
      <w:r>
        <w:rPr>
          <w:rFonts w:eastAsiaTheme="minorEastAsia"/>
          <w:lang w:eastAsia="zh-Hans"/>
        </w:rPr>
        <w:t>2020年8月26日</w:t>
      </w:r>
      <w:r>
        <w:rPr>
          <w:rFonts w:hint="eastAsia" w:eastAsiaTheme="minorEastAsia"/>
        </w:rPr>
        <w:t>成立并正式运作。</w:t>
      </w:r>
    </w:p>
    <w:p w14:paraId="052803FD">
      <w:pPr>
        <w:spacing w:line="360" w:lineRule="auto"/>
        <w:ind w:firstLine="420" w:firstLineChars="200"/>
        <w:rPr>
          <w:rFonts w:hint="eastAsia"/>
          <w:szCs w:val="21"/>
          <w:lang w:eastAsia="zh-CN"/>
        </w:rPr>
      </w:pPr>
      <w:r>
        <w:rPr>
          <w:rFonts w:hint="eastAsia"/>
          <w:szCs w:val="21"/>
          <w:lang w:eastAsia="zh-Hans"/>
        </w:rPr>
        <w:t>根据《中华人民共和国证券投资基金法》、《公开募集证券投资基金运作管理办法》的有关规定和《博时荣泰灵活配置混合型证券投资基金基金合同》（以下简称“基金合同”或“《基金合同》”）的有关约定</w:t>
      </w:r>
      <w:r>
        <w:rPr>
          <w:rFonts w:hint="eastAsia"/>
          <w:szCs w:val="21"/>
          <w:lang w:eastAsia="zh-CN"/>
        </w:rPr>
        <w:t>：“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法律法规或中国证监会另有规定时，从其规定。” 截至2026年8月7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352E9627">
      <w:pPr>
        <w:spacing w:line="360" w:lineRule="auto"/>
        <w:ind w:firstLine="420" w:firstLineChars="200"/>
        <w:rPr>
          <w:rFonts w:hint="eastAsia"/>
          <w:szCs w:val="21"/>
          <w:lang w:eastAsia="zh-Hans"/>
        </w:rPr>
      </w:pPr>
      <w:r>
        <w:rPr>
          <w:rFonts w:hint="eastAsia"/>
          <w:szCs w:val="21"/>
          <w:lang w:eastAsia="zh-Hans"/>
        </w:rPr>
        <w:t>本基金自</w:t>
      </w:r>
      <w:r>
        <w:rPr>
          <w:rFonts w:hint="eastAsia"/>
          <w:szCs w:val="21"/>
          <w:lang w:eastAsia="zh-CN"/>
        </w:rPr>
        <w:t>2026年8月</w:t>
      </w:r>
      <w:r>
        <w:rPr>
          <w:rFonts w:hint="eastAsia"/>
          <w:szCs w:val="21"/>
          <w:lang w:val="en-US" w:eastAsia="zh-CN"/>
        </w:rPr>
        <w:t>8</w:t>
      </w:r>
      <w:r>
        <w:rPr>
          <w:rFonts w:hint="eastAsia"/>
          <w:szCs w:val="21"/>
          <w:lang w:eastAsia="zh-CN"/>
        </w:rPr>
        <w:t>日</w:t>
      </w:r>
      <w:r>
        <w:rPr>
          <w:rFonts w:hint="eastAsia"/>
          <w:szCs w:val="21"/>
          <w:lang w:eastAsia="zh-Hans"/>
        </w:rPr>
        <w:t>起，进入清算程序。</w:t>
      </w:r>
    </w:p>
    <w:p w14:paraId="2CD5138B">
      <w:pPr>
        <w:spacing w:line="360" w:lineRule="auto"/>
        <w:ind w:firstLine="420" w:firstLineChars="200"/>
        <w:rPr>
          <w:rFonts w:hint="eastAsia"/>
          <w:szCs w:val="21"/>
          <w:lang w:eastAsia="zh-Hans"/>
        </w:rPr>
      </w:pPr>
      <w:r>
        <w:rPr>
          <w:rFonts w:hint="eastAsia"/>
          <w:szCs w:val="21"/>
          <w:lang w:eastAsia="zh-CN"/>
        </w:rPr>
        <w:t>2026年</w:t>
      </w:r>
      <w:r>
        <w:rPr>
          <w:rFonts w:hint="eastAsia"/>
          <w:szCs w:val="21"/>
          <w:lang w:val="en-US" w:eastAsia="zh-CN"/>
        </w:rPr>
        <w:t>9</w:t>
      </w:r>
      <w:r>
        <w:rPr>
          <w:rFonts w:hint="eastAsia"/>
          <w:szCs w:val="21"/>
          <w:lang w:eastAsia="zh-CN"/>
        </w:rPr>
        <w:t>月</w:t>
      </w:r>
      <w:r>
        <w:rPr>
          <w:rFonts w:hint="eastAsia"/>
          <w:szCs w:val="21"/>
          <w:lang w:val="en-US" w:eastAsia="zh-CN"/>
        </w:rPr>
        <w:t>21</w:t>
      </w:r>
      <w:r>
        <w:rPr>
          <w:rFonts w:hint="eastAsia"/>
          <w:szCs w:val="21"/>
          <w:lang w:eastAsia="zh-CN"/>
        </w:rPr>
        <w:t>日</w:t>
      </w:r>
      <w:r>
        <w:rPr>
          <w:rFonts w:hint="eastAsia"/>
          <w:szCs w:val="21"/>
          <w:lang w:eastAsia="zh-Hans"/>
        </w:rPr>
        <w:t>为本基金清算的最后一日，由本基金管理人博时基金管理有限公司、基金托管人浙商银行股份有限公司、安永华明会计师事务所（特殊普通合伙）和上海源泰律师事务所组成基金财产清算小组履行基金财产清算程序，并由安永华明会计师事务所（特殊普通合伙）对本基金进行清算审计，上海源泰律师事务所对清算报告出具法律意见。</w:t>
      </w:r>
    </w:p>
    <w:p w14:paraId="3EC297B1">
      <w:pPr>
        <w:pStyle w:val="2"/>
        <w:keepNext/>
        <w:keepLines/>
        <w:widowControl w:val="0"/>
        <w:spacing w:before="312" w:beforeLines="100" w:after="312" w:afterLines="100" w:line="360" w:lineRule="auto"/>
        <w:jc w:val="center"/>
        <w:rPr>
          <w:rStyle w:val="20"/>
          <w:rFonts w:ascii="宋体" w:hAnsi="宋体"/>
        </w:rPr>
      </w:pPr>
      <w:bookmarkStart w:id="8" w:name="_Toc145339090"/>
      <w:bookmarkStart w:id="9" w:name="_Toc484769796"/>
      <w:r>
        <w:rPr>
          <w:rStyle w:val="20"/>
          <w:rFonts w:ascii="宋体" w:hAnsi="宋体"/>
        </w:rPr>
        <w:t>2</w:t>
      </w:r>
      <w:r>
        <w:rPr>
          <w:rStyle w:val="20"/>
          <w:rFonts w:hint="eastAsia" w:ascii="宋体" w:hAnsi="宋体"/>
        </w:rPr>
        <w:t>、</w:t>
      </w:r>
      <w:r>
        <w:rPr>
          <w:rStyle w:val="20"/>
          <w:rFonts w:ascii="宋体" w:hAnsi="宋体"/>
        </w:rPr>
        <w:t>基金</w:t>
      </w:r>
      <w:r>
        <w:rPr>
          <w:rStyle w:val="20"/>
          <w:rFonts w:hint="eastAsia" w:ascii="宋体" w:hAnsi="宋体"/>
        </w:rPr>
        <w:t>概况</w:t>
      </w:r>
      <w:bookmarkEnd w:id="8"/>
      <w:bookmarkEnd w:id="9"/>
    </w:p>
    <w:p w14:paraId="4DBD40FC">
      <w:pPr>
        <w:pStyle w:val="3"/>
        <w:spacing w:before="0" w:after="0"/>
        <w:rPr>
          <w:rFonts w:ascii="宋体" w:hAnsi="宋体" w:eastAsia="宋体"/>
          <w:kern w:val="0"/>
          <w:sz w:val="21"/>
          <w:szCs w:val="21"/>
        </w:rPr>
      </w:pPr>
      <w:bookmarkStart w:id="10" w:name="_Toc476577246"/>
      <w:bookmarkStart w:id="11" w:name="_Toc484607302"/>
      <w:bookmarkStart w:id="12" w:name="_Toc145339091"/>
      <w:bookmarkStart w:id="13" w:name="_Toc484769797"/>
      <w:bookmarkStart w:id="14" w:name="_Toc361324845"/>
      <w:bookmarkStart w:id="15" w:name="_Toc483396829"/>
      <w:bookmarkStart w:id="16" w:name="_Toc409100044"/>
      <w:bookmarkStart w:id="17" w:name="_Toc409100407"/>
      <w:r>
        <w:rPr>
          <w:rFonts w:ascii="宋体" w:hAnsi="宋体" w:eastAsia="宋体"/>
          <w:kern w:val="0"/>
          <w:sz w:val="21"/>
          <w:szCs w:val="21"/>
        </w:rPr>
        <w:t>2.1</w:t>
      </w:r>
      <w:r>
        <w:rPr>
          <w:rFonts w:hint="eastAsia" w:ascii="宋体" w:hAnsi="宋体" w:eastAsia="宋体"/>
          <w:kern w:val="0"/>
          <w:sz w:val="21"/>
          <w:szCs w:val="21"/>
        </w:rPr>
        <w:t xml:space="preserve"> </w:t>
      </w:r>
      <w:r>
        <w:rPr>
          <w:rFonts w:ascii="宋体" w:hAnsi="宋体" w:eastAsia="宋体"/>
          <w:kern w:val="0"/>
          <w:sz w:val="21"/>
          <w:szCs w:val="21"/>
        </w:rPr>
        <w:t>基金基本情况</w:t>
      </w:r>
      <w:bookmarkEnd w:id="10"/>
      <w:bookmarkEnd w:id="11"/>
      <w:bookmarkEnd w:id="12"/>
      <w:bookmarkEnd w:id="13"/>
      <w:bookmarkEnd w:id="14"/>
      <w:bookmarkEnd w:id="15"/>
      <w:bookmarkEnd w:id="16"/>
      <w:bookmarkEnd w:id="17"/>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0"/>
        <w:gridCol w:w="5432"/>
      </w:tblGrid>
      <w:tr w14:paraId="106FA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4CF0E00B">
            <w:pPr>
              <w:pStyle w:val="36"/>
              <w:rPr>
                <w:rFonts w:ascii="Times New Roman" w:hAnsi="Times New Roman" w:eastAsiaTheme="minorEastAsia"/>
              </w:rPr>
            </w:pPr>
            <w:bookmarkStart w:id="18" w:name="_Toc491184118"/>
            <w:bookmarkStart w:id="19" w:name="_Toc390421230"/>
            <w:bookmarkStart w:id="20" w:name="_Toc482092221"/>
            <w:r>
              <w:rPr>
                <w:rFonts w:ascii="Times New Roman" w:hAnsi="Times New Roman" w:eastAsiaTheme="minorEastAsia"/>
              </w:rPr>
              <w:t>基金名称</w:t>
            </w:r>
          </w:p>
        </w:tc>
        <w:tc>
          <w:tcPr>
            <w:tcW w:w="5432" w:type="dxa"/>
            <w:vAlign w:val="center"/>
          </w:tcPr>
          <w:p w14:paraId="76B6EE70">
            <w:pPr>
              <w:pStyle w:val="36"/>
              <w:rPr>
                <w:rFonts w:ascii="Times New Roman" w:hAnsi="Times New Roman" w:eastAsiaTheme="minorEastAsia"/>
              </w:rPr>
            </w:pPr>
            <w:r>
              <w:rPr>
                <w:rFonts w:ascii="Times New Roman" w:hAnsi="Times New Roman" w:eastAsiaTheme="minorEastAsia"/>
              </w:rPr>
              <w:t>博时荣泰灵活配置混合型证券投资基金</w:t>
            </w:r>
          </w:p>
        </w:tc>
      </w:tr>
      <w:tr w14:paraId="25413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1071B319">
            <w:pPr>
              <w:pStyle w:val="36"/>
              <w:rPr>
                <w:rFonts w:ascii="Times New Roman" w:hAnsi="Times New Roman" w:eastAsiaTheme="minorEastAsia"/>
              </w:rPr>
            </w:pPr>
            <w:r>
              <w:rPr>
                <w:rFonts w:ascii="Times New Roman" w:hAnsi="Times New Roman" w:eastAsiaTheme="minorEastAsia"/>
              </w:rPr>
              <w:t>基金简称</w:t>
            </w:r>
          </w:p>
        </w:tc>
        <w:tc>
          <w:tcPr>
            <w:tcW w:w="5432" w:type="dxa"/>
            <w:vAlign w:val="center"/>
          </w:tcPr>
          <w:p w14:paraId="64FD2A35">
            <w:pPr>
              <w:pStyle w:val="36"/>
              <w:rPr>
                <w:rFonts w:ascii="Times New Roman" w:hAnsi="Times New Roman" w:eastAsiaTheme="minorEastAsia"/>
              </w:rPr>
            </w:pPr>
            <w:r>
              <w:rPr>
                <w:rFonts w:ascii="Times New Roman" w:hAnsi="Times New Roman" w:eastAsiaTheme="minorEastAsia"/>
              </w:rPr>
              <w:t>博时荣泰混合</w:t>
            </w:r>
          </w:p>
        </w:tc>
      </w:tr>
      <w:tr w14:paraId="740D4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427CC803">
            <w:pPr>
              <w:pStyle w:val="36"/>
              <w:rPr>
                <w:rFonts w:ascii="Times New Roman" w:hAnsi="Times New Roman" w:eastAsiaTheme="minorEastAsia"/>
              </w:rPr>
            </w:pPr>
            <w:r>
              <w:rPr>
                <w:rFonts w:ascii="Times New Roman" w:hAnsi="Times New Roman" w:eastAsiaTheme="minorEastAsia"/>
              </w:rPr>
              <w:t>基金主代码</w:t>
            </w:r>
          </w:p>
        </w:tc>
        <w:tc>
          <w:tcPr>
            <w:tcW w:w="5432" w:type="dxa"/>
            <w:vAlign w:val="center"/>
          </w:tcPr>
          <w:p w14:paraId="52DFA4BF">
            <w:pPr>
              <w:pStyle w:val="36"/>
              <w:rPr>
                <w:rFonts w:ascii="Times New Roman" w:hAnsi="Times New Roman" w:eastAsiaTheme="minorEastAsia"/>
              </w:rPr>
            </w:pPr>
            <w:r>
              <w:rPr>
                <w:rFonts w:ascii="Times New Roman" w:hAnsi="Times New Roman" w:eastAsiaTheme="minorEastAsia"/>
              </w:rPr>
              <w:t>009967</w:t>
            </w:r>
          </w:p>
        </w:tc>
      </w:tr>
      <w:tr w14:paraId="6435B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3CA08677">
            <w:pPr>
              <w:pStyle w:val="36"/>
              <w:rPr>
                <w:rFonts w:ascii="Times New Roman" w:hAnsi="Times New Roman" w:eastAsiaTheme="minorEastAsia"/>
              </w:rPr>
            </w:pPr>
            <w:r>
              <w:rPr>
                <w:rFonts w:ascii="Times New Roman" w:hAnsi="Times New Roman" w:eastAsiaTheme="minorEastAsia"/>
              </w:rPr>
              <w:t>交易代码</w:t>
            </w:r>
          </w:p>
        </w:tc>
        <w:tc>
          <w:tcPr>
            <w:tcW w:w="5432" w:type="dxa"/>
            <w:vAlign w:val="center"/>
          </w:tcPr>
          <w:p w14:paraId="1E95CCFA">
            <w:pPr>
              <w:pStyle w:val="36"/>
              <w:rPr>
                <w:rFonts w:ascii="Times New Roman" w:hAnsi="Times New Roman" w:eastAsiaTheme="minorEastAsia"/>
              </w:rPr>
            </w:pPr>
            <w:r>
              <w:rPr>
                <w:rFonts w:ascii="Times New Roman" w:hAnsi="Times New Roman" w:eastAsiaTheme="minorEastAsia"/>
              </w:rPr>
              <w:t>009967</w:t>
            </w:r>
          </w:p>
        </w:tc>
      </w:tr>
      <w:tr w14:paraId="3E323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4CFE3637">
            <w:pPr>
              <w:pStyle w:val="36"/>
              <w:rPr>
                <w:rFonts w:ascii="Times New Roman" w:hAnsi="Times New Roman" w:eastAsiaTheme="minorEastAsia"/>
              </w:rPr>
            </w:pPr>
            <w:r>
              <w:rPr>
                <w:rFonts w:ascii="Times New Roman" w:hAnsi="Times New Roman" w:eastAsiaTheme="minorEastAsia"/>
              </w:rPr>
              <w:t>基金运作方式</w:t>
            </w:r>
          </w:p>
        </w:tc>
        <w:tc>
          <w:tcPr>
            <w:tcW w:w="5432" w:type="dxa"/>
            <w:vAlign w:val="center"/>
          </w:tcPr>
          <w:p w14:paraId="48D99F2F">
            <w:pPr>
              <w:pStyle w:val="36"/>
              <w:rPr>
                <w:rFonts w:ascii="Times New Roman" w:hAnsi="Times New Roman" w:eastAsiaTheme="minorEastAsia"/>
              </w:rPr>
            </w:pPr>
            <w:r>
              <w:rPr>
                <w:rFonts w:hint="eastAsia" w:ascii="Times New Roman" w:hAnsi="Times New Roman" w:eastAsiaTheme="minorEastAsia"/>
              </w:rPr>
              <w:t>契约型开放式</w:t>
            </w:r>
          </w:p>
        </w:tc>
      </w:tr>
      <w:tr w14:paraId="395A3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42E0C9C8">
            <w:pPr>
              <w:pStyle w:val="36"/>
              <w:rPr>
                <w:rFonts w:ascii="Times New Roman" w:hAnsi="Times New Roman" w:eastAsiaTheme="minorEastAsia"/>
              </w:rPr>
            </w:pPr>
            <w:r>
              <w:rPr>
                <w:rFonts w:ascii="Times New Roman" w:hAnsi="Times New Roman" w:eastAsiaTheme="minorEastAsia"/>
              </w:rPr>
              <w:t>基金合同生效日</w:t>
            </w:r>
          </w:p>
        </w:tc>
        <w:tc>
          <w:tcPr>
            <w:tcW w:w="5432" w:type="dxa"/>
            <w:vAlign w:val="center"/>
          </w:tcPr>
          <w:p w14:paraId="10CCF5A5">
            <w:pPr>
              <w:pStyle w:val="36"/>
              <w:rPr>
                <w:rFonts w:ascii="Times New Roman" w:hAnsi="Times New Roman" w:eastAsiaTheme="minorEastAsia"/>
              </w:rPr>
            </w:pPr>
            <w:r>
              <w:rPr>
                <w:rFonts w:ascii="Times New Roman" w:hAnsi="Times New Roman" w:eastAsiaTheme="minorEastAsia"/>
              </w:rPr>
              <w:t>2020年8月26日</w:t>
            </w:r>
          </w:p>
        </w:tc>
      </w:tr>
      <w:tr w14:paraId="60250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4452F48C">
            <w:pPr>
              <w:pStyle w:val="36"/>
              <w:rPr>
                <w:rFonts w:ascii="Times New Roman" w:hAnsi="Times New Roman" w:eastAsiaTheme="minorEastAsia"/>
              </w:rPr>
            </w:pPr>
            <w:r>
              <w:rPr>
                <w:rFonts w:ascii="Times New Roman" w:hAnsi="Times New Roman" w:eastAsiaTheme="minorEastAsia"/>
              </w:rPr>
              <w:t>基金管理人</w:t>
            </w:r>
          </w:p>
        </w:tc>
        <w:tc>
          <w:tcPr>
            <w:tcW w:w="5432" w:type="dxa"/>
            <w:vAlign w:val="center"/>
          </w:tcPr>
          <w:p w14:paraId="18BA2D22">
            <w:pPr>
              <w:pStyle w:val="36"/>
              <w:rPr>
                <w:rFonts w:ascii="Times New Roman" w:hAnsi="Times New Roman" w:eastAsiaTheme="minorEastAsia"/>
              </w:rPr>
            </w:pPr>
            <w:r>
              <w:rPr>
                <w:rFonts w:ascii="Times New Roman" w:hAnsi="Times New Roman" w:eastAsiaTheme="minorEastAsia"/>
              </w:rPr>
              <w:t>博时基金管理有限公司</w:t>
            </w:r>
          </w:p>
        </w:tc>
      </w:tr>
      <w:tr w14:paraId="3A9E6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1FDCCDB8">
            <w:pPr>
              <w:pStyle w:val="36"/>
              <w:rPr>
                <w:rFonts w:ascii="Times New Roman" w:hAnsi="Times New Roman" w:eastAsiaTheme="minorEastAsia"/>
              </w:rPr>
            </w:pPr>
            <w:r>
              <w:rPr>
                <w:rFonts w:ascii="Times New Roman" w:hAnsi="Times New Roman" w:eastAsiaTheme="minorEastAsia"/>
              </w:rPr>
              <w:t>基金托管人</w:t>
            </w:r>
          </w:p>
        </w:tc>
        <w:tc>
          <w:tcPr>
            <w:tcW w:w="5432" w:type="dxa"/>
            <w:vAlign w:val="center"/>
          </w:tcPr>
          <w:p w14:paraId="08948E8B">
            <w:pPr>
              <w:pStyle w:val="36"/>
              <w:rPr>
                <w:rFonts w:ascii="Times New Roman" w:hAnsi="Times New Roman" w:eastAsiaTheme="minorEastAsia"/>
              </w:rPr>
            </w:pPr>
            <w:r>
              <w:rPr>
                <w:rFonts w:ascii="Times New Roman" w:hAnsi="Times New Roman" w:eastAsiaTheme="minorEastAsia"/>
              </w:rPr>
              <w:t>浙商银行股份有限公司</w:t>
            </w:r>
          </w:p>
        </w:tc>
      </w:tr>
      <w:tr w14:paraId="7EB85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090" w:type="dxa"/>
            <w:vAlign w:val="center"/>
          </w:tcPr>
          <w:p w14:paraId="66FD2714">
            <w:pPr>
              <w:pStyle w:val="36"/>
              <w:rPr>
                <w:rFonts w:ascii="Times New Roman" w:hAnsi="Times New Roman" w:eastAsiaTheme="minorEastAsia"/>
              </w:rPr>
            </w:pPr>
            <w:r>
              <w:rPr>
                <w:rFonts w:hint="eastAsia" w:ascii="Times New Roman" w:hAnsi="Times New Roman" w:eastAsiaTheme="minorEastAsia"/>
              </w:rPr>
              <w:t>最后运作日</w:t>
            </w:r>
            <w:r>
              <w:rPr>
                <w:rFonts w:ascii="Times New Roman" w:hAnsi="Times New Roman" w:eastAsiaTheme="minorEastAsia"/>
              </w:rPr>
              <w:t>基金份额总额</w:t>
            </w:r>
          </w:p>
        </w:tc>
        <w:tc>
          <w:tcPr>
            <w:tcW w:w="5432" w:type="dxa"/>
            <w:vAlign w:val="center"/>
          </w:tcPr>
          <w:p w14:paraId="5E1C6630">
            <w:pPr>
              <w:pStyle w:val="36"/>
              <w:rPr>
                <w:rFonts w:ascii="Times New Roman" w:hAnsi="Times New Roman" w:eastAsiaTheme="minorEastAsia"/>
              </w:rPr>
            </w:pPr>
            <w:r>
              <w:rPr>
                <w:rFonts w:hint="eastAsia" w:ascii="Times New Roman" w:hAnsi="Times New Roman" w:eastAsiaTheme="minorEastAsia"/>
              </w:rPr>
              <w:t>16,633,179.18份</w:t>
            </w:r>
          </w:p>
        </w:tc>
      </w:tr>
      <w:tr w14:paraId="63014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090" w:type="dxa"/>
            <w:vAlign w:val="center"/>
          </w:tcPr>
          <w:p w14:paraId="3B8BD0B0">
            <w:pPr>
              <w:pStyle w:val="36"/>
              <w:rPr>
                <w:rFonts w:ascii="Times New Roman" w:hAnsi="Times New Roman" w:eastAsiaTheme="minorEastAsia"/>
              </w:rPr>
            </w:pPr>
            <w:r>
              <w:rPr>
                <w:rFonts w:ascii="Times New Roman" w:hAnsi="Times New Roman" w:eastAsiaTheme="minorEastAsia"/>
              </w:rPr>
              <w:t>基金合同存续期</w:t>
            </w:r>
          </w:p>
        </w:tc>
        <w:tc>
          <w:tcPr>
            <w:tcW w:w="5432" w:type="dxa"/>
            <w:vAlign w:val="center"/>
          </w:tcPr>
          <w:p w14:paraId="41B1C76A">
            <w:pPr>
              <w:pStyle w:val="36"/>
              <w:rPr>
                <w:rFonts w:ascii="Times New Roman" w:hAnsi="Times New Roman" w:eastAsiaTheme="minorEastAsia"/>
              </w:rPr>
            </w:pPr>
            <w:r>
              <w:rPr>
                <w:rFonts w:ascii="Times New Roman" w:hAnsi="Times New Roman" w:eastAsiaTheme="minorEastAsia"/>
              </w:rPr>
              <w:t>不定期</w:t>
            </w:r>
          </w:p>
        </w:tc>
      </w:tr>
    </w:tbl>
    <w:p w14:paraId="26E5398F">
      <w:pPr>
        <w:pStyle w:val="22"/>
        <w:rPr>
          <w:rFonts w:ascii="宋体" w:hAnsi="宋体"/>
          <w:sz w:val="21"/>
          <w:szCs w:val="21"/>
        </w:rPr>
      </w:pPr>
      <w:bookmarkStart w:id="21" w:name="_Toc145339092"/>
      <w:r>
        <w:rPr>
          <w:rFonts w:ascii="宋体" w:hAnsi="宋体"/>
          <w:sz w:val="21"/>
          <w:szCs w:val="21"/>
        </w:rPr>
        <w:t>2.2 基金产品说明</w:t>
      </w:r>
      <w:bookmarkEnd w:id="18"/>
      <w:bookmarkEnd w:id="19"/>
      <w:bookmarkEnd w:id="20"/>
      <w:bookmarkEnd w:id="21"/>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1"/>
        <w:gridCol w:w="6991"/>
      </w:tblGrid>
      <w:tr w14:paraId="4F65D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0" w:type="dxa"/>
            <w:vAlign w:val="center"/>
          </w:tcPr>
          <w:p w14:paraId="451EDEAE">
            <w:pPr>
              <w:pStyle w:val="36"/>
              <w:rPr>
                <w:rFonts w:ascii="Times New Roman" w:hAnsi="Times New Roman" w:eastAsiaTheme="minorEastAsia"/>
              </w:rPr>
            </w:pPr>
            <w:bookmarkStart w:id="22" w:name="_Toc361324850"/>
            <w:bookmarkStart w:id="23" w:name="_Toc225498250"/>
            <w:bookmarkStart w:id="24" w:name="_Toc409100049"/>
            <w:bookmarkStart w:id="25" w:name="_Toc409100412"/>
            <w:bookmarkStart w:id="26" w:name="_Toc484769799"/>
            <w:r>
              <w:rPr>
                <w:rFonts w:hint="eastAsia" w:ascii="Times New Roman" w:hAnsi="Times New Roman" w:eastAsiaTheme="minorEastAsia"/>
              </w:rPr>
              <w:t>投资目标</w:t>
            </w:r>
          </w:p>
        </w:tc>
        <w:tc>
          <w:tcPr>
            <w:tcW w:w="6806" w:type="dxa"/>
          </w:tcPr>
          <w:p w14:paraId="0E7D1607">
            <w:pPr>
              <w:pStyle w:val="36"/>
              <w:rPr>
                <w:rFonts w:ascii="Times New Roman" w:hAnsi="Times New Roman" w:eastAsiaTheme="minorEastAsia"/>
              </w:rPr>
            </w:pPr>
            <w:r>
              <w:rPr>
                <w:rFonts w:ascii="Times New Roman" w:hAnsi="Times New Roman" w:eastAsiaTheme="minorEastAsia"/>
              </w:rPr>
              <w:t>本基金通过对多种投资策略的有机结合，在有效控制风险的前提下，力争为基金持有人获取长期持续稳定的投资回报。</w:t>
            </w:r>
          </w:p>
        </w:tc>
      </w:tr>
      <w:tr w14:paraId="3F98E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0" w:type="dxa"/>
            <w:vAlign w:val="center"/>
          </w:tcPr>
          <w:p w14:paraId="54E7D278">
            <w:pPr>
              <w:pStyle w:val="36"/>
              <w:rPr>
                <w:rFonts w:ascii="Times New Roman" w:hAnsi="Times New Roman" w:eastAsiaTheme="minorEastAsia"/>
              </w:rPr>
            </w:pPr>
            <w:r>
              <w:rPr>
                <w:rFonts w:hint="eastAsia" w:ascii="Times New Roman" w:hAnsi="Times New Roman" w:eastAsiaTheme="minorEastAsia"/>
              </w:rPr>
              <w:t>投资策略</w:t>
            </w:r>
          </w:p>
        </w:tc>
        <w:tc>
          <w:tcPr>
            <w:tcW w:w="6806" w:type="dxa"/>
          </w:tcPr>
          <w:p w14:paraId="6078057B">
            <w:pPr>
              <w:pStyle w:val="36"/>
              <w:rPr>
                <w:rFonts w:ascii="Times New Roman" w:hAnsi="Times New Roman" w:eastAsiaTheme="minorEastAsia"/>
              </w:rPr>
            </w:pPr>
            <w:r>
              <w:rPr>
                <w:rFonts w:ascii="Times New Roman" w:hAnsi="Times New Roman" w:eastAsiaTheme="minorEastAsia"/>
              </w:rPr>
              <w:t>本基金将通过跟踪宏观经济变量（包括GDP增长率、CPI走势、M2的绝对水平和增长率、利率水平与走势等）以及国家财政、税收、货币、汇率各项政策，来判断经济周期目前的位置以及未来发展方向。在经济周期各阶段，综合对各类宏观经济指标和市场指标的分析，本基金对大类资产进行配置的策略为：在经济复苏期和繁荣期超配股票资产；在经济衰退期和政策刺激阶段，超配债券等固定收益类资产，力争通过资产配置获得部分超额收益。本基金其他主要投资策略还包括：股票投资策略、债券投资策略、资产支持证券投资策略、衍生产品投资策略、流通受限证券投资策略、参与融资业务的投资策略等。</w:t>
            </w:r>
          </w:p>
        </w:tc>
      </w:tr>
      <w:tr w14:paraId="0490A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0" w:type="dxa"/>
            <w:vAlign w:val="center"/>
          </w:tcPr>
          <w:p w14:paraId="1C59D602">
            <w:pPr>
              <w:pStyle w:val="36"/>
              <w:rPr>
                <w:rFonts w:ascii="Times New Roman" w:hAnsi="Times New Roman" w:eastAsiaTheme="minorEastAsia"/>
              </w:rPr>
            </w:pPr>
            <w:r>
              <w:rPr>
                <w:rFonts w:hint="eastAsia" w:ascii="Times New Roman" w:hAnsi="Times New Roman" w:eastAsiaTheme="minorEastAsia"/>
              </w:rPr>
              <w:t>业绩比较基准</w:t>
            </w:r>
          </w:p>
        </w:tc>
        <w:tc>
          <w:tcPr>
            <w:tcW w:w="6806" w:type="dxa"/>
          </w:tcPr>
          <w:p w14:paraId="6A8E8103">
            <w:pPr>
              <w:pStyle w:val="36"/>
              <w:rPr>
                <w:rFonts w:hint="eastAsia" w:ascii="Times New Roman" w:hAnsi="Times New Roman" w:eastAsiaTheme="minorEastAsia"/>
                <w:lang w:eastAsia="zh-CN"/>
              </w:rPr>
            </w:pPr>
            <w:r>
              <w:rPr>
                <w:rFonts w:hint="eastAsia" w:ascii="Times New Roman" w:hAnsi="Times New Roman" w:eastAsiaTheme="minorEastAsia"/>
                <w:lang w:eastAsia="zh-CN"/>
              </w:rPr>
              <w:t>沪深300指数收益率×70%＋中债综合财富（总值）指数收益率×30%。</w:t>
            </w:r>
          </w:p>
        </w:tc>
      </w:tr>
      <w:tr w14:paraId="498DA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90" w:type="dxa"/>
            <w:vAlign w:val="center"/>
          </w:tcPr>
          <w:p w14:paraId="7D73D176">
            <w:pPr>
              <w:pStyle w:val="36"/>
              <w:rPr>
                <w:rFonts w:ascii="Times New Roman" w:hAnsi="Times New Roman" w:eastAsiaTheme="minorEastAsia"/>
              </w:rPr>
            </w:pPr>
            <w:r>
              <w:rPr>
                <w:rFonts w:hint="eastAsia" w:ascii="Times New Roman" w:hAnsi="Times New Roman" w:eastAsiaTheme="minorEastAsia"/>
              </w:rPr>
              <w:t>风险收益特征</w:t>
            </w:r>
          </w:p>
        </w:tc>
        <w:tc>
          <w:tcPr>
            <w:tcW w:w="6806" w:type="dxa"/>
          </w:tcPr>
          <w:p w14:paraId="3C109213">
            <w:pPr>
              <w:pStyle w:val="36"/>
              <w:rPr>
                <w:rFonts w:ascii="Times New Roman" w:hAnsi="Times New Roman" w:eastAsiaTheme="minorEastAsia"/>
              </w:rPr>
            </w:pPr>
            <w:r>
              <w:rPr>
                <w:rFonts w:ascii="Times New Roman" w:hAnsi="Times New Roman" w:eastAsiaTheme="minorEastAsia"/>
              </w:rPr>
              <w:t>本基金为混合型证券投资基金，其预期收益及预期风险水平低于股票型基金，高于债券型基金及货币市场基金，属于中高预期收益、中高预期风险特征的基金产品。</w:t>
            </w:r>
          </w:p>
        </w:tc>
      </w:tr>
    </w:tbl>
    <w:p w14:paraId="768DCD87">
      <w:pPr>
        <w:pStyle w:val="2"/>
        <w:keepNext/>
        <w:keepLines/>
        <w:widowControl w:val="0"/>
        <w:spacing w:before="312" w:beforeLines="100" w:after="312" w:afterLines="100" w:line="360" w:lineRule="auto"/>
        <w:jc w:val="center"/>
        <w:rPr>
          <w:rStyle w:val="20"/>
          <w:rFonts w:ascii="宋体" w:hAnsi="宋体"/>
          <w:b w:val="0"/>
        </w:rPr>
      </w:pPr>
      <w:bookmarkStart w:id="27" w:name="_Toc145339093"/>
      <w:r>
        <w:rPr>
          <w:rStyle w:val="20"/>
          <w:rFonts w:ascii="宋体" w:hAnsi="宋体"/>
        </w:rPr>
        <w:t>3</w:t>
      </w:r>
      <w:bookmarkEnd w:id="22"/>
      <w:bookmarkEnd w:id="23"/>
      <w:bookmarkEnd w:id="24"/>
      <w:bookmarkEnd w:id="25"/>
      <w:r>
        <w:rPr>
          <w:rStyle w:val="20"/>
          <w:rFonts w:hint="eastAsia" w:ascii="宋体" w:hAnsi="宋体"/>
        </w:rPr>
        <w:t>、基金运作情况说明</w:t>
      </w:r>
      <w:bookmarkEnd w:id="26"/>
      <w:bookmarkEnd w:id="27"/>
    </w:p>
    <w:p w14:paraId="6A449271">
      <w:pPr>
        <w:spacing w:line="360" w:lineRule="auto"/>
        <w:ind w:firstLine="420" w:firstLineChars="200"/>
        <w:rPr>
          <w:rFonts w:hint="eastAsia"/>
          <w:b w:val="0"/>
          <w:bCs w:val="0"/>
          <w:szCs w:val="21"/>
          <w:lang w:eastAsia="zh-Hans"/>
        </w:rPr>
      </w:pPr>
      <w:bookmarkStart w:id="28" w:name="_Toc145339094"/>
      <w:bookmarkStart w:id="29" w:name="_Toc484769805"/>
      <w:r>
        <w:rPr>
          <w:rFonts w:hint="eastAsia"/>
          <w:b w:val="0"/>
          <w:bCs w:val="0"/>
          <w:szCs w:val="21"/>
          <w:lang w:eastAsia="zh-Hans"/>
        </w:rPr>
        <w:t>本基金经中国证监会证监许可[2020]1526号《关于准予博时荣泰灵活配置混合型证券投资基金注册的批复》注册</w:t>
      </w:r>
      <w:r>
        <w:rPr>
          <w:rFonts w:hint="eastAsia"/>
          <w:b w:val="0"/>
          <w:bCs w:val="0"/>
          <w:szCs w:val="21"/>
          <w:lang w:eastAsia="zh-CN"/>
        </w:rPr>
        <w:t>，由博时基金管理有限公司依照《中华人民共和国证券投资基金法》和《博时荣泰灵活配置混合型证券投资基金基金合同》负责公开募集。</w:t>
      </w:r>
      <w:r>
        <w:rPr>
          <w:rFonts w:hint="eastAsia"/>
          <w:b w:val="0"/>
          <w:bCs w:val="0"/>
          <w:szCs w:val="21"/>
          <w:lang w:eastAsia="zh-Hans"/>
        </w:rPr>
        <w:t>基金合同于2020年8月26日正式生效，募集规模为579,596,731.90份基金份额（含利息结转的份额）。</w:t>
      </w:r>
    </w:p>
    <w:p w14:paraId="5EDB0295">
      <w:pPr>
        <w:spacing w:line="360" w:lineRule="auto"/>
        <w:ind w:firstLine="420" w:firstLineChars="200"/>
        <w:rPr>
          <w:rFonts w:hint="eastAsia"/>
          <w:b w:val="0"/>
          <w:bCs w:val="0"/>
          <w:szCs w:val="21"/>
          <w:lang w:eastAsia="zh-Hans"/>
        </w:rPr>
      </w:pPr>
      <w:r>
        <w:rPr>
          <w:rFonts w:hint="eastAsia"/>
          <w:b w:val="0"/>
          <w:bCs w:val="0"/>
          <w:szCs w:val="21"/>
          <w:lang w:eastAsia="zh-Hans"/>
        </w:rPr>
        <w:t>自2020年8月26日至 202</w:t>
      </w:r>
      <w:r>
        <w:rPr>
          <w:rFonts w:hint="eastAsia"/>
          <w:b w:val="0"/>
          <w:bCs w:val="0"/>
          <w:szCs w:val="21"/>
          <w:lang w:val="en-US" w:eastAsia="zh-CN"/>
        </w:rPr>
        <w:t>6</w:t>
      </w:r>
      <w:r>
        <w:rPr>
          <w:rFonts w:hint="eastAsia"/>
          <w:b w:val="0"/>
          <w:bCs w:val="0"/>
          <w:szCs w:val="21"/>
          <w:lang w:eastAsia="zh-Hans"/>
        </w:rPr>
        <w:t>年</w:t>
      </w:r>
      <w:r>
        <w:rPr>
          <w:rFonts w:hint="eastAsia"/>
          <w:b w:val="0"/>
          <w:bCs w:val="0"/>
          <w:szCs w:val="21"/>
          <w:lang w:val="en-US" w:eastAsia="zh-CN"/>
        </w:rPr>
        <w:t>8</w:t>
      </w:r>
      <w:r>
        <w:rPr>
          <w:rFonts w:hint="eastAsia"/>
          <w:b w:val="0"/>
          <w:bCs w:val="0"/>
          <w:szCs w:val="21"/>
          <w:lang w:eastAsia="zh-Hans"/>
        </w:rPr>
        <w:t>月</w:t>
      </w:r>
      <w:r>
        <w:rPr>
          <w:rFonts w:hint="eastAsia"/>
          <w:b w:val="0"/>
          <w:bCs w:val="0"/>
          <w:szCs w:val="21"/>
          <w:lang w:val="en-US" w:eastAsia="zh-CN"/>
        </w:rPr>
        <w:t>7</w:t>
      </w:r>
      <w:r>
        <w:rPr>
          <w:rFonts w:hint="eastAsia"/>
          <w:b w:val="0"/>
          <w:bCs w:val="0"/>
          <w:szCs w:val="21"/>
          <w:lang w:eastAsia="zh-Hans"/>
        </w:rPr>
        <w:t>日期间，本基金按基金合同正常运作。</w:t>
      </w:r>
    </w:p>
    <w:p w14:paraId="0A110BE5">
      <w:pPr>
        <w:spacing w:line="360" w:lineRule="auto"/>
        <w:ind w:firstLine="420" w:firstLineChars="200"/>
        <w:rPr>
          <w:rFonts w:hint="eastAsia"/>
          <w:szCs w:val="21"/>
          <w:lang w:eastAsia="zh-CN"/>
        </w:rPr>
      </w:pPr>
      <w:r>
        <w:rPr>
          <w:rFonts w:hint="eastAsia"/>
          <w:szCs w:val="21"/>
          <w:lang w:eastAsia="zh-Hans"/>
        </w:rPr>
        <w:t>根据《中华人民共和国证券投资基金法》、《公开募集证券投资基金运作管理办法》的有关规定和《博时荣泰灵活配置混合型证券投资基金基金合同》的有关约定</w:t>
      </w:r>
      <w:r>
        <w:rPr>
          <w:rFonts w:hint="eastAsia"/>
          <w:szCs w:val="21"/>
          <w:lang w:eastAsia="zh-CN"/>
        </w:rPr>
        <w:t>：“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法律法规或中国证监会另有规定时，从其规定。” 截至2026年8月7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40B81C2F">
      <w:pPr>
        <w:spacing w:line="360" w:lineRule="auto"/>
        <w:ind w:firstLine="420" w:firstLineChars="200"/>
        <w:rPr>
          <w:rFonts w:hint="eastAsia"/>
          <w:szCs w:val="21"/>
          <w:lang w:eastAsia="zh-Hans"/>
        </w:rPr>
      </w:pPr>
      <w:r>
        <w:rPr>
          <w:rFonts w:hint="eastAsia"/>
          <w:szCs w:val="21"/>
          <w:lang w:eastAsia="zh-Hans"/>
        </w:rPr>
        <w:t>本基金自</w:t>
      </w:r>
      <w:r>
        <w:rPr>
          <w:rFonts w:hint="eastAsia"/>
          <w:szCs w:val="21"/>
          <w:lang w:eastAsia="zh-CN"/>
        </w:rPr>
        <w:t>2026年8月</w:t>
      </w:r>
      <w:r>
        <w:rPr>
          <w:rFonts w:hint="eastAsia"/>
          <w:szCs w:val="21"/>
          <w:lang w:val="en-US" w:eastAsia="zh-CN"/>
        </w:rPr>
        <w:t>8</w:t>
      </w:r>
      <w:r>
        <w:rPr>
          <w:rFonts w:hint="eastAsia"/>
          <w:szCs w:val="21"/>
          <w:lang w:eastAsia="zh-CN"/>
        </w:rPr>
        <w:t>日</w:t>
      </w:r>
      <w:r>
        <w:rPr>
          <w:rFonts w:hint="eastAsia"/>
          <w:szCs w:val="21"/>
          <w:lang w:eastAsia="zh-Hans"/>
        </w:rPr>
        <w:t>起，进入清算程序。</w:t>
      </w:r>
    </w:p>
    <w:p w14:paraId="310FE0CF">
      <w:pPr>
        <w:pStyle w:val="2"/>
        <w:keepNext/>
        <w:keepLines/>
        <w:widowControl w:val="0"/>
        <w:spacing w:before="312" w:beforeLines="100" w:after="312" w:afterLines="100" w:line="360" w:lineRule="auto"/>
        <w:jc w:val="center"/>
        <w:rPr>
          <w:rStyle w:val="20"/>
          <w:rFonts w:ascii="宋体" w:hAnsi="宋体"/>
        </w:rPr>
      </w:pPr>
      <w:r>
        <w:rPr>
          <w:rStyle w:val="20"/>
          <w:rFonts w:hint="eastAsia" w:ascii="宋体" w:hAnsi="宋体"/>
        </w:rPr>
        <w:t>4、财务报告</w:t>
      </w:r>
      <w:bookmarkEnd w:id="28"/>
      <w:bookmarkEnd w:id="29"/>
    </w:p>
    <w:p w14:paraId="4A66E582">
      <w:pPr>
        <w:pStyle w:val="3"/>
        <w:spacing w:before="0" w:after="0"/>
        <w:rPr>
          <w:rFonts w:ascii="宋体" w:hAnsi="宋体" w:eastAsia="宋体"/>
          <w:kern w:val="0"/>
          <w:sz w:val="21"/>
          <w:szCs w:val="21"/>
        </w:rPr>
      </w:pPr>
      <w:bookmarkStart w:id="30" w:name="_Toc361324873"/>
      <w:bookmarkStart w:id="31" w:name="_Toc483396838"/>
      <w:bookmarkStart w:id="32" w:name="_Toc225498268"/>
      <w:bookmarkStart w:id="33" w:name="_Toc476577275"/>
      <w:bookmarkStart w:id="34" w:name="_Toc484607311"/>
      <w:bookmarkStart w:id="35" w:name="_Toc409100437"/>
      <w:bookmarkStart w:id="36" w:name="_Toc484769806"/>
      <w:bookmarkStart w:id="37" w:name="_Toc409100074"/>
      <w:bookmarkStart w:id="38" w:name="_Toc145339095"/>
      <w:r>
        <w:rPr>
          <w:rFonts w:hint="eastAsia" w:ascii="宋体" w:hAnsi="宋体" w:eastAsia="宋体"/>
          <w:kern w:val="0"/>
          <w:sz w:val="21"/>
          <w:szCs w:val="21"/>
        </w:rPr>
        <w:t>4</w:t>
      </w:r>
      <w:r>
        <w:rPr>
          <w:rFonts w:ascii="宋体" w:hAnsi="宋体" w:eastAsia="宋体"/>
          <w:kern w:val="0"/>
          <w:sz w:val="21"/>
          <w:szCs w:val="21"/>
        </w:rPr>
        <w:t>.1 资产负债表</w:t>
      </w:r>
      <w:bookmarkEnd w:id="30"/>
      <w:bookmarkEnd w:id="31"/>
      <w:bookmarkEnd w:id="32"/>
      <w:bookmarkEnd w:id="33"/>
      <w:bookmarkEnd w:id="34"/>
      <w:bookmarkEnd w:id="35"/>
      <w:bookmarkEnd w:id="36"/>
      <w:bookmarkEnd w:id="37"/>
      <w:r>
        <w:rPr>
          <w:rFonts w:hint="eastAsia" w:ascii="宋体" w:hAnsi="宋体" w:eastAsia="宋体"/>
          <w:kern w:val="0"/>
          <w:sz w:val="21"/>
          <w:szCs w:val="21"/>
        </w:rPr>
        <w:t>(已经审计)</w:t>
      </w:r>
      <w:bookmarkEnd w:id="38"/>
    </w:p>
    <w:p w14:paraId="3FF3EF9F">
      <w:pPr>
        <w:autoSpaceDE w:val="0"/>
        <w:autoSpaceDN w:val="0"/>
        <w:adjustRightInd w:val="0"/>
        <w:spacing w:before="29" w:line="360" w:lineRule="auto"/>
        <w:ind w:left="15"/>
        <w:jc w:val="right"/>
        <w:rPr>
          <w:rFonts w:ascii="宋体" w:hAnsi="宋体"/>
          <w:color w:val="000000"/>
          <w:kern w:val="0"/>
          <w:szCs w:val="21"/>
        </w:rPr>
      </w:pPr>
      <w:r>
        <w:rPr>
          <w:rFonts w:ascii="宋体" w:hAnsi="宋体"/>
          <w:color w:val="000000"/>
          <w:kern w:val="0"/>
          <w:szCs w:val="21"/>
        </w:rPr>
        <w:t>单位：人民币元</w:t>
      </w:r>
    </w:p>
    <w:tbl>
      <w:tblPr>
        <w:tblStyle w:val="13"/>
        <w:tblW w:w="7951"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0"/>
        <w:gridCol w:w="4461"/>
      </w:tblGrid>
      <w:tr w14:paraId="6EE3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28968940">
            <w:pPr>
              <w:pStyle w:val="11"/>
              <w:spacing w:before="0" w:beforeAutospacing="0" w:after="0" w:afterAutospacing="0"/>
              <w:jc w:val="center"/>
              <w:rPr>
                <w:rFonts w:ascii="Arial" w:hAnsi="Arial" w:eastAsia="宋体" w:cs="Arial"/>
                <w:b/>
              </w:rPr>
            </w:pPr>
            <w:r>
              <w:rPr>
                <w:rFonts w:ascii="Arial" w:hAnsi="Arial" w:eastAsia="宋体" w:cs="Arial"/>
                <w:b/>
              </w:rPr>
              <w:t>资产</w:t>
            </w:r>
          </w:p>
        </w:tc>
        <w:tc>
          <w:tcPr>
            <w:tcW w:w="4461" w:type="dxa"/>
            <w:shd w:val="clear" w:color="auto" w:fill="auto"/>
            <w:vAlign w:val="center"/>
          </w:tcPr>
          <w:p w14:paraId="7836C965">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202</w:t>
            </w:r>
            <w:r>
              <w:rPr>
                <w:rFonts w:hint="eastAsia" w:ascii="Arial" w:hAnsi="Arial" w:eastAsia="宋体" w:cs="Arial"/>
                <w:b/>
                <w:lang w:val="en-US" w:eastAsia="zh-CN"/>
              </w:rPr>
              <w:t>6</w:t>
            </w:r>
            <w:r>
              <w:rPr>
                <w:rFonts w:ascii="Arial" w:hAnsi="Arial" w:eastAsia="宋体" w:cs="Arial"/>
                <w:b/>
                <w:lang w:eastAsia="zh-CN"/>
              </w:rPr>
              <w:t>年</w:t>
            </w:r>
            <w:r>
              <w:rPr>
                <w:rFonts w:hint="eastAsia" w:ascii="Arial" w:hAnsi="Arial" w:eastAsia="宋体" w:cs="Arial"/>
                <w:b/>
                <w:lang w:val="en-US" w:eastAsia="zh-CN"/>
              </w:rPr>
              <w:t>8</w:t>
            </w:r>
            <w:r>
              <w:rPr>
                <w:rFonts w:ascii="Arial" w:hAnsi="Arial" w:eastAsia="宋体" w:cs="Arial"/>
                <w:b/>
                <w:lang w:eastAsia="zh-CN"/>
              </w:rPr>
              <w:t>月</w:t>
            </w:r>
            <w:r>
              <w:rPr>
                <w:rFonts w:hint="eastAsia" w:ascii="Arial" w:hAnsi="Arial" w:eastAsia="宋体" w:cs="Arial"/>
                <w:b/>
                <w:lang w:val="en-US" w:eastAsia="zh-CN"/>
              </w:rPr>
              <w:t>7</w:t>
            </w:r>
            <w:r>
              <w:rPr>
                <w:rFonts w:ascii="Arial" w:hAnsi="Arial" w:eastAsia="宋体" w:cs="Arial"/>
                <w:b/>
                <w:lang w:eastAsia="zh-CN"/>
              </w:rPr>
              <w:t>日</w:t>
            </w:r>
          </w:p>
          <w:p w14:paraId="6138482B">
            <w:pPr>
              <w:pStyle w:val="11"/>
              <w:spacing w:before="0" w:beforeAutospacing="0" w:after="0" w:afterAutospacing="0"/>
              <w:jc w:val="center"/>
              <w:rPr>
                <w:rFonts w:ascii="Arial" w:hAnsi="Arial" w:eastAsia="宋体" w:cs="Arial"/>
                <w:b/>
                <w:lang w:eastAsia="zh-CN"/>
              </w:rPr>
            </w:pPr>
            <w:r>
              <w:rPr>
                <w:rFonts w:ascii="Arial" w:hAnsi="Arial" w:eastAsia="宋体" w:cs="Arial"/>
                <w:b/>
                <w:lang w:eastAsia="zh-CN"/>
              </w:rPr>
              <w:t>(基金</w:t>
            </w:r>
            <w:r>
              <w:rPr>
                <w:rFonts w:hint="eastAsia" w:ascii="Arial" w:hAnsi="Arial" w:eastAsia="宋体" w:cs="Arial"/>
                <w:b/>
                <w:lang w:eastAsia="zh-CN"/>
              </w:rPr>
              <w:t>最后运作</w:t>
            </w:r>
            <w:r>
              <w:rPr>
                <w:rFonts w:ascii="Arial" w:hAnsi="Arial" w:eastAsia="宋体" w:cs="Arial"/>
                <w:b/>
                <w:lang w:eastAsia="zh-CN"/>
              </w:rPr>
              <w:t>日)</w:t>
            </w:r>
          </w:p>
        </w:tc>
      </w:tr>
      <w:tr w14:paraId="134F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67FDBF2">
            <w:pPr>
              <w:spacing w:before="100" w:beforeAutospacing="1" w:after="100" w:afterAutospacing="1"/>
              <w:rPr>
                <w:rFonts w:ascii="Arial" w:hAnsi="Arial" w:cs="Arial"/>
                <w:b/>
                <w:bCs/>
                <w:sz w:val="24"/>
              </w:rPr>
            </w:pPr>
            <w:r>
              <w:rPr>
                <w:rFonts w:ascii="Arial" w:hAnsi="Arial" w:cs="Arial"/>
                <w:b/>
                <w:bCs/>
                <w:sz w:val="24"/>
              </w:rPr>
              <w:t>资产：</w:t>
            </w:r>
          </w:p>
        </w:tc>
        <w:tc>
          <w:tcPr>
            <w:tcW w:w="4461" w:type="dxa"/>
            <w:shd w:val="clear" w:color="auto" w:fill="auto"/>
            <w:vAlign w:val="bottom"/>
          </w:tcPr>
          <w:p w14:paraId="72E48A25">
            <w:pPr>
              <w:spacing w:before="100" w:beforeAutospacing="1" w:after="100" w:afterAutospacing="1"/>
              <w:ind w:left="-72"/>
              <w:jc w:val="right"/>
              <w:rPr>
                <w:rFonts w:ascii="Arial" w:hAnsi="Arial" w:cs="Arial"/>
                <w:sz w:val="24"/>
              </w:rPr>
            </w:pPr>
          </w:p>
        </w:tc>
      </w:tr>
      <w:tr w14:paraId="10B64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04BE0D6">
            <w:pPr>
              <w:spacing w:before="100" w:beforeAutospacing="1" w:after="100" w:afterAutospacing="1"/>
              <w:rPr>
                <w:rFonts w:ascii="Arial" w:hAnsi="Arial" w:cs="Arial"/>
                <w:sz w:val="24"/>
              </w:rPr>
            </w:pPr>
            <w:r>
              <w:rPr>
                <w:rFonts w:hint="eastAsia" w:ascii="Arial" w:hAnsi="Arial" w:cs="Arial"/>
                <w:sz w:val="24"/>
              </w:rPr>
              <w:t>货币资金</w:t>
            </w:r>
          </w:p>
        </w:tc>
        <w:tc>
          <w:tcPr>
            <w:tcW w:w="4461" w:type="dxa"/>
            <w:shd w:val="clear" w:color="auto" w:fill="auto"/>
            <w:vAlign w:val="bottom"/>
          </w:tcPr>
          <w:p w14:paraId="5D85B040">
            <w:pPr>
              <w:ind w:left="-80"/>
              <w:jc w:val="right"/>
              <w:rPr>
                <w:rFonts w:ascii="Arial" w:hAnsi="Arial" w:cs="Arial"/>
                <w:color w:val="000000"/>
                <w:sz w:val="24"/>
              </w:rPr>
            </w:pPr>
            <w:r>
              <w:rPr>
                <w:rFonts w:ascii="Arial" w:hAnsi="Arial" w:cs="Arial"/>
                <w:color w:val="000000"/>
                <w:sz w:val="24"/>
              </w:rPr>
              <w:t>19,586,164.65</w:t>
            </w:r>
          </w:p>
        </w:tc>
      </w:tr>
      <w:tr w14:paraId="4FE1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0C4B71C">
            <w:pPr>
              <w:spacing w:before="100" w:beforeAutospacing="1" w:after="100" w:afterAutospacing="1"/>
              <w:rPr>
                <w:rFonts w:ascii="Arial" w:hAnsi="Arial" w:cs="Arial"/>
                <w:sz w:val="24"/>
              </w:rPr>
            </w:pPr>
            <w:r>
              <w:rPr>
                <w:rFonts w:ascii="Arial" w:hAnsi="Arial" w:cs="Arial"/>
                <w:sz w:val="24"/>
              </w:rPr>
              <w:t>结算备付金</w:t>
            </w:r>
          </w:p>
        </w:tc>
        <w:tc>
          <w:tcPr>
            <w:tcW w:w="4461" w:type="dxa"/>
            <w:shd w:val="clear" w:color="auto" w:fill="auto"/>
            <w:vAlign w:val="bottom"/>
          </w:tcPr>
          <w:p w14:paraId="2E12E122">
            <w:pPr>
              <w:ind w:left="-80"/>
              <w:jc w:val="right"/>
              <w:rPr>
                <w:rFonts w:ascii="Arial" w:hAnsi="Arial" w:cs="Arial"/>
                <w:color w:val="000000"/>
                <w:sz w:val="24"/>
              </w:rPr>
            </w:pPr>
            <w:r>
              <w:rPr>
                <w:rFonts w:ascii="Arial" w:hAnsi="Arial" w:cs="Arial"/>
                <w:color w:val="000000"/>
                <w:sz w:val="24"/>
              </w:rPr>
              <w:t>440,667.17</w:t>
            </w:r>
          </w:p>
        </w:tc>
      </w:tr>
      <w:tr w14:paraId="47E7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A18362A">
            <w:pPr>
              <w:spacing w:before="100" w:beforeAutospacing="1" w:after="100" w:afterAutospacing="1"/>
              <w:rPr>
                <w:rFonts w:ascii="Arial" w:hAnsi="Arial" w:cs="Arial"/>
                <w:sz w:val="24"/>
              </w:rPr>
            </w:pPr>
            <w:r>
              <w:rPr>
                <w:rFonts w:hint="eastAsia" w:ascii="Arial" w:hAnsi="Arial" w:cs="Arial"/>
                <w:sz w:val="24"/>
              </w:rPr>
              <w:t>存出保证金</w:t>
            </w:r>
          </w:p>
        </w:tc>
        <w:tc>
          <w:tcPr>
            <w:tcW w:w="4461" w:type="dxa"/>
            <w:shd w:val="clear" w:color="auto" w:fill="auto"/>
            <w:vAlign w:val="bottom"/>
          </w:tcPr>
          <w:p w14:paraId="32D02CFC">
            <w:pPr>
              <w:ind w:left="-80"/>
              <w:jc w:val="right"/>
              <w:rPr>
                <w:rFonts w:ascii="Arial" w:hAnsi="Arial" w:cs="Arial"/>
                <w:color w:val="000000"/>
                <w:sz w:val="24"/>
              </w:rPr>
            </w:pPr>
            <w:r>
              <w:rPr>
                <w:rFonts w:ascii="Arial" w:hAnsi="Arial" w:cs="Arial"/>
                <w:color w:val="000000"/>
                <w:sz w:val="24"/>
              </w:rPr>
              <w:t>38,076.66</w:t>
            </w:r>
          </w:p>
        </w:tc>
      </w:tr>
      <w:tr w14:paraId="7D55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24B2CCDA">
            <w:pPr>
              <w:spacing w:before="100" w:beforeAutospacing="1" w:after="100" w:afterAutospacing="1"/>
              <w:rPr>
                <w:rFonts w:ascii="Arial" w:hAnsi="Arial" w:cs="Arial"/>
                <w:sz w:val="24"/>
              </w:rPr>
            </w:pPr>
            <w:r>
              <w:rPr>
                <w:rFonts w:ascii="Arial" w:hAnsi="Arial" w:cs="Arial"/>
                <w:sz w:val="24"/>
              </w:rPr>
              <w:t>交易性金融资产</w:t>
            </w:r>
          </w:p>
        </w:tc>
        <w:tc>
          <w:tcPr>
            <w:tcW w:w="4461" w:type="dxa"/>
            <w:shd w:val="clear" w:color="auto" w:fill="auto"/>
            <w:vAlign w:val="bottom"/>
          </w:tcPr>
          <w:p w14:paraId="71934D4B">
            <w:pPr>
              <w:ind w:left="-80"/>
              <w:jc w:val="right"/>
              <w:rPr>
                <w:rFonts w:ascii="Arial" w:hAnsi="Arial" w:cs="Arial"/>
                <w:color w:val="000000"/>
                <w:sz w:val="24"/>
                <w:lang w:val="en-GB"/>
              </w:rPr>
            </w:pPr>
            <w:r>
              <w:rPr>
                <w:rFonts w:ascii="Arial" w:hAnsi="Arial" w:cs="Arial"/>
                <w:color w:val="000000"/>
                <w:sz w:val="24"/>
              </w:rPr>
              <w:t>7,545,846.50</w:t>
            </w:r>
          </w:p>
        </w:tc>
      </w:tr>
      <w:tr w14:paraId="0C77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top"/>
          </w:tcPr>
          <w:p w14:paraId="79A2E127">
            <w:pPr>
              <w:spacing w:before="100" w:beforeAutospacing="1" w:after="100" w:afterAutospacing="1"/>
              <w:rPr>
                <w:rFonts w:ascii="Arial" w:hAnsi="Arial" w:cs="Arial"/>
                <w:sz w:val="24"/>
              </w:rPr>
            </w:pPr>
            <w:r>
              <w:rPr>
                <w:rFonts w:ascii="Arial" w:hAnsi="Arial" w:cs="Arial"/>
                <w:sz w:val="24"/>
              </w:rPr>
              <w:t>应收清算款</w:t>
            </w:r>
          </w:p>
        </w:tc>
        <w:tc>
          <w:tcPr>
            <w:tcW w:w="4461" w:type="dxa"/>
            <w:shd w:val="clear" w:color="auto" w:fill="auto"/>
            <w:vAlign w:val="bottom"/>
          </w:tcPr>
          <w:p w14:paraId="72589FAC">
            <w:pPr>
              <w:ind w:left="-80"/>
              <w:jc w:val="right"/>
              <w:rPr>
                <w:rFonts w:ascii="Arial" w:hAnsi="Arial" w:cs="Arial"/>
                <w:color w:val="000000"/>
                <w:sz w:val="24"/>
              </w:rPr>
            </w:pPr>
            <w:r>
              <w:rPr>
                <w:rFonts w:ascii="Arial" w:hAnsi="Arial" w:cs="Arial"/>
                <w:color w:val="000000"/>
                <w:sz w:val="24"/>
              </w:rPr>
              <w:t>4,140,688.36</w:t>
            </w:r>
          </w:p>
        </w:tc>
      </w:tr>
      <w:tr w14:paraId="16E5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top"/>
          </w:tcPr>
          <w:p w14:paraId="0FDA4AEB">
            <w:pPr>
              <w:spacing w:before="100" w:beforeAutospacing="1" w:after="100" w:afterAutospacing="1"/>
              <w:rPr>
                <w:rFonts w:ascii="Arial" w:hAnsi="Arial" w:cs="Arial"/>
                <w:sz w:val="24"/>
              </w:rPr>
            </w:pPr>
            <w:r>
              <w:rPr>
                <w:rFonts w:ascii="Arial" w:hAnsi="Arial" w:cs="Arial"/>
                <w:sz w:val="24"/>
              </w:rPr>
              <w:t>应收申购款</w:t>
            </w:r>
          </w:p>
        </w:tc>
        <w:tc>
          <w:tcPr>
            <w:tcW w:w="4461" w:type="dxa"/>
            <w:shd w:val="clear" w:color="auto" w:fill="auto"/>
            <w:vAlign w:val="bottom"/>
          </w:tcPr>
          <w:p w14:paraId="5CAA97BC">
            <w:pPr>
              <w:ind w:left="-80"/>
              <w:jc w:val="right"/>
              <w:rPr>
                <w:rFonts w:ascii="Arial" w:hAnsi="Arial" w:cs="Arial"/>
                <w:color w:val="000000"/>
                <w:sz w:val="24"/>
                <w:lang w:val="en-GB"/>
              </w:rPr>
            </w:pPr>
            <w:r>
              <w:rPr>
                <w:rFonts w:ascii="Arial" w:hAnsi="Arial" w:cs="Arial"/>
                <w:color w:val="000000"/>
                <w:sz w:val="24"/>
              </w:rPr>
              <w:t>59.88</w:t>
            </w:r>
          </w:p>
        </w:tc>
      </w:tr>
      <w:tr w14:paraId="017A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56292B8C">
            <w:pPr>
              <w:spacing w:before="100" w:beforeAutospacing="1" w:after="100" w:afterAutospacing="1"/>
              <w:rPr>
                <w:rFonts w:ascii="Arial" w:hAnsi="Arial" w:cs="Arial"/>
                <w:b/>
                <w:bCs/>
                <w:sz w:val="24"/>
              </w:rPr>
            </w:pPr>
            <w:r>
              <w:rPr>
                <w:rFonts w:ascii="Arial" w:hAnsi="Arial" w:cs="Arial"/>
                <w:b/>
                <w:bCs/>
                <w:sz w:val="24"/>
              </w:rPr>
              <w:t>资产总计</w:t>
            </w:r>
          </w:p>
        </w:tc>
        <w:tc>
          <w:tcPr>
            <w:tcW w:w="4461" w:type="dxa"/>
            <w:shd w:val="clear" w:color="auto" w:fill="auto"/>
            <w:vAlign w:val="bottom"/>
          </w:tcPr>
          <w:p w14:paraId="7135E372">
            <w:pPr>
              <w:ind w:left="-80"/>
              <w:jc w:val="right"/>
              <w:rPr>
                <w:rFonts w:ascii="Arial" w:hAnsi="Arial" w:cs="Arial"/>
                <w:b/>
                <w:bCs/>
                <w:color w:val="000000"/>
                <w:sz w:val="24"/>
              </w:rPr>
            </w:pPr>
            <w:r>
              <w:rPr>
                <w:rFonts w:ascii="Arial" w:hAnsi="Arial" w:cs="Arial"/>
                <w:b/>
                <w:bCs/>
                <w:color w:val="000000"/>
                <w:sz w:val="24"/>
              </w:rPr>
              <w:t>31,751,503.22</w:t>
            </w:r>
          </w:p>
        </w:tc>
      </w:tr>
      <w:tr w14:paraId="5146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C218E91">
            <w:pPr>
              <w:spacing w:before="100" w:beforeAutospacing="1" w:after="100" w:afterAutospacing="1"/>
              <w:rPr>
                <w:rFonts w:ascii="Arial" w:hAnsi="Arial" w:cs="Arial"/>
                <w:b/>
                <w:bCs/>
                <w:sz w:val="24"/>
              </w:rPr>
            </w:pPr>
            <w:r>
              <w:rPr>
                <w:rFonts w:ascii="Arial" w:hAnsi="Arial" w:cs="Arial"/>
                <w:b/>
                <w:bCs/>
                <w:sz w:val="24"/>
              </w:rPr>
              <w:t>负债：</w:t>
            </w:r>
          </w:p>
        </w:tc>
        <w:tc>
          <w:tcPr>
            <w:tcW w:w="4461" w:type="dxa"/>
            <w:shd w:val="clear" w:color="auto" w:fill="auto"/>
            <w:vAlign w:val="bottom"/>
          </w:tcPr>
          <w:p w14:paraId="1995E679">
            <w:pPr>
              <w:tabs>
                <w:tab w:val="decimal" w:pos="1629"/>
              </w:tabs>
              <w:spacing w:before="100" w:beforeAutospacing="1" w:after="100" w:afterAutospacing="1"/>
              <w:ind w:left="-80"/>
              <w:jc w:val="right"/>
              <w:rPr>
                <w:rFonts w:ascii="Arial" w:hAnsi="Arial" w:cs="Arial"/>
                <w:b/>
                <w:bCs/>
                <w:sz w:val="24"/>
              </w:rPr>
            </w:pPr>
          </w:p>
        </w:tc>
      </w:tr>
      <w:tr w14:paraId="75FA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4BA00BB">
            <w:pPr>
              <w:spacing w:before="100" w:beforeAutospacing="1" w:after="100" w:afterAutospacing="1"/>
              <w:rPr>
                <w:rFonts w:hint="eastAsia" w:ascii="Arial" w:hAnsi="Arial" w:cs="Arial"/>
                <w:sz w:val="24"/>
              </w:rPr>
            </w:pPr>
            <w:r>
              <w:rPr>
                <w:rFonts w:hint="eastAsia" w:ascii="Arial" w:hAnsi="Arial" w:cs="Arial"/>
                <w:sz w:val="24"/>
              </w:rPr>
              <w:t>应付赎回款</w:t>
            </w:r>
          </w:p>
        </w:tc>
        <w:tc>
          <w:tcPr>
            <w:tcW w:w="4461" w:type="dxa"/>
            <w:shd w:val="clear" w:color="auto" w:fill="auto"/>
            <w:vAlign w:val="bottom"/>
          </w:tcPr>
          <w:p w14:paraId="3A4F2CB7">
            <w:pPr>
              <w:ind w:left="-80"/>
              <w:jc w:val="right"/>
              <w:rPr>
                <w:rFonts w:ascii="Arial" w:hAnsi="Arial" w:cs="Arial"/>
                <w:color w:val="000000"/>
                <w:sz w:val="24"/>
              </w:rPr>
            </w:pPr>
            <w:r>
              <w:rPr>
                <w:rFonts w:ascii="Arial" w:hAnsi="Arial" w:cs="Arial"/>
                <w:color w:val="000000"/>
                <w:sz w:val="24"/>
              </w:rPr>
              <w:t>14,052,055.63</w:t>
            </w:r>
          </w:p>
        </w:tc>
      </w:tr>
      <w:tr w14:paraId="663A7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top"/>
          </w:tcPr>
          <w:p w14:paraId="24C136EE">
            <w:pPr>
              <w:spacing w:before="100" w:beforeAutospacing="1" w:after="100" w:afterAutospacing="1"/>
              <w:rPr>
                <w:rFonts w:hint="eastAsia" w:ascii="Arial" w:hAnsi="Arial" w:cs="Arial"/>
                <w:sz w:val="24"/>
              </w:rPr>
            </w:pPr>
            <w:r>
              <w:rPr>
                <w:rFonts w:hint="eastAsia" w:ascii="Arial" w:hAnsi="Arial" w:cs="Arial"/>
                <w:sz w:val="24"/>
              </w:rPr>
              <w:t>应付管理人报酬</w:t>
            </w:r>
          </w:p>
        </w:tc>
        <w:tc>
          <w:tcPr>
            <w:tcW w:w="4461" w:type="dxa"/>
            <w:shd w:val="clear" w:color="auto" w:fill="auto"/>
            <w:vAlign w:val="bottom"/>
          </w:tcPr>
          <w:p w14:paraId="67785E65">
            <w:pPr>
              <w:ind w:left="-80"/>
              <w:jc w:val="right"/>
              <w:rPr>
                <w:rFonts w:ascii="Arial" w:hAnsi="Arial" w:cs="Arial"/>
                <w:color w:val="000000"/>
                <w:sz w:val="24"/>
              </w:rPr>
            </w:pPr>
            <w:r>
              <w:rPr>
                <w:rFonts w:ascii="Arial" w:hAnsi="Arial" w:cs="Arial"/>
                <w:color w:val="000000"/>
                <w:sz w:val="24"/>
              </w:rPr>
              <w:t>8,096.50</w:t>
            </w:r>
          </w:p>
        </w:tc>
      </w:tr>
      <w:tr w14:paraId="3F05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top"/>
          </w:tcPr>
          <w:p w14:paraId="77C7071C">
            <w:pPr>
              <w:spacing w:before="100" w:beforeAutospacing="1" w:after="100" w:afterAutospacing="1"/>
              <w:rPr>
                <w:rFonts w:hint="eastAsia" w:ascii="Arial" w:hAnsi="Arial" w:cs="Arial"/>
                <w:sz w:val="24"/>
              </w:rPr>
            </w:pPr>
            <w:r>
              <w:rPr>
                <w:rFonts w:hint="eastAsia" w:ascii="Arial" w:hAnsi="Arial" w:cs="Arial"/>
                <w:sz w:val="24"/>
              </w:rPr>
              <w:t>应付托管费</w:t>
            </w:r>
          </w:p>
        </w:tc>
        <w:tc>
          <w:tcPr>
            <w:tcW w:w="4461" w:type="dxa"/>
            <w:shd w:val="clear" w:color="auto" w:fill="auto"/>
            <w:vAlign w:val="bottom"/>
          </w:tcPr>
          <w:p w14:paraId="4778F4A2">
            <w:pPr>
              <w:ind w:left="-80"/>
              <w:jc w:val="right"/>
              <w:rPr>
                <w:rFonts w:ascii="Arial" w:hAnsi="Arial" w:cs="Arial"/>
                <w:color w:val="000000"/>
                <w:sz w:val="24"/>
              </w:rPr>
            </w:pPr>
            <w:r>
              <w:rPr>
                <w:rFonts w:ascii="Arial" w:hAnsi="Arial" w:cs="Arial"/>
                <w:color w:val="000000"/>
                <w:sz w:val="24"/>
              </w:rPr>
              <w:t>1,349.41</w:t>
            </w:r>
          </w:p>
        </w:tc>
      </w:tr>
      <w:tr w14:paraId="2250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top"/>
          </w:tcPr>
          <w:p w14:paraId="146FC91D">
            <w:pPr>
              <w:spacing w:before="100" w:beforeAutospacing="1" w:after="100" w:afterAutospacing="1"/>
              <w:rPr>
                <w:rFonts w:hint="eastAsia" w:ascii="Arial" w:hAnsi="Arial" w:cs="Arial"/>
                <w:sz w:val="24"/>
              </w:rPr>
            </w:pPr>
            <w:r>
              <w:rPr>
                <w:rFonts w:hint="eastAsia" w:ascii="Arial" w:hAnsi="Arial" w:cs="Arial"/>
                <w:sz w:val="24"/>
              </w:rPr>
              <w:t>其他负债</w:t>
            </w:r>
          </w:p>
        </w:tc>
        <w:tc>
          <w:tcPr>
            <w:tcW w:w="4461" w:type="dxa"/>
            <w:shd w:val="clear" w:color="auto" w:fill="auto"/>
            <w:vAlign w:val="bottom"/>
          </w:tcPr>
          <w:p w14:paraId="46EFC6BF">
            <w:pPr>
              <w:ind w:left="-80"/>
              <w:jc w:val="right"/>
              <w:rPr>
                <w:rFonts w:ascii="Arial" w:hAnsi="Arial" w:cs="Arial"/>
                <w:color w:val="000000"/>
                <w:sz w:val="24"/>
              </w:rPr>
            </w:pPr>
            <w:r>
              <w:rPr>
                <w:rFonts w:ascii="Arial" w:hAnsi="Arial" w:cs="Arial"/>
                <w:color w:val="000000"/>
                <w:sz w:val="24"/>
              </w:rPr>
              <w:t>126,159.17</w:t>
            </w:r>
          </w:p>
        </w:tc>
      </w:tr>
      <w:tr w14:paraId="0E90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0FD6C1D">
            <w:pPr>
              <w:spacing w:before="100" w:beforeAutospacing="1" w:after="100" w:afterAutospacing="1"/>
              <w:rPr>
                <w:rFonts w:ascii="Arial" w:hAnsi="Arial" w:cs="Arial"/>
                <w:b/>
                <w:bCs/>
                <w:sz w:val="24"/>
              </w:rPr>
            </w:pPr>
            <w:r>
              <w:rPr>
                <w:rFonts w:ascii="Arial" w:hAnsi="Arial" w:cs="Arial"/>
                <w:b/>
                <w:bCs/>
                <w:sz w:val="24"/>
              </w:rPr>
              <w:t>负债合计</w:t>
            </w:r>
          </w:p>
        </w:tc>
        <w:tc>
          <w:tcPr>
            <w:tcW w:w="4461" w:type="dxa"/>
            <w:shd w:val="clear" w:color="auto" w:fill="auto"/>
            <w:vAlign w:val="bottom"/>
          </w:tcPr>
          <w:p w14:paraId="194F338F">
            <w:pPr>
              <w:ind w:left="-80"/>
              <w:jc w:val="right"/>
              <w:rPr>
                <w:rFonts w:ascii="Arial" w:hAnsi="Arial" w:cs="Arial"/>
                <w:b/>
                <w:bCs/>
                <w:color w:val="000000"/>
                <w:sz w:val="24"/>
              </w:rPr>
            </w:pPr>
            <w:r>
              <w:rPr>
                <w:rFonts w:ascii="Arial" w:hAnsi="Arial" w:cs="Arial"/>
                <w:b/>
                <w:bCs/>
                <w:color w:val="000000"/>
                <w:sz w:val="24"/>
              </w:rPr>
              <w:t>14,187,660.71</w:t>
            </w:r>
          </w:p>
        </w:tc>
      </w:tr>
      <w:tr w14:paraId="0052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52453B22">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w:t>
            </w:r>
          </w:p>
        </w:tc>
        <w:tc>
          <w:tcPr>
            <w:tcW w:w="4461" w:type="dxa"/>
            <w:shd w:val="clear" w:color="auto" w:fill="auto"/>
            <w:vAlign w:val="bottom"/>
          </w:tcPr>
          <w:p w14:paraId="15A8FC47">
            <w:pPr>
              <w:ind w:left="-80"/>
              <w:jc w:val="right"/>
              <w:rPr>
                <w:rFonts w:ascii="Arial" w:hAnsi="Arial" w:cs="Arial"/>
                <w:b/>
                <w:bCs/>
                <w:sz w:val="24"/>
              </w:rPr>
            </w:pPr>
          </w:p>
        </w:tc>
      </w:tr>
      <w:tr w14:paraId="6A57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247802F9">
            <w:pPr>
              <w:spacing w:before="100" w:beforeAutospacing="1" w:after="100" w:afterAutospacing="1"/>
              <w:rPr>
                <w:rFonts w:ascii="Arial" w:hAnsi="Arial" w:cs="Arial"/>
                <w:b/>
                <w:bCs/>
                <w:sz w:val="24"/>
              </w:rPr>
            </w:pPr>
            <w:r>
              <w:rPr>
                <w:rFonts w:ascii="Arial" w:hAnsi="Arial" w:cs="Arial"/>
                <w:sz w:val="24"/>
              </w:rPr>
              <w:t>实收基金</w:t>
            </w:r>
          </w:p>
        </w:tc>
        <w:tc>
          <w:tcPr>
            <w:tcW w:w="4461" w:type="dxa"/>
            <w:shd w:val="clear" w:color="auto" w:fill="auto"/>
            <w:vAlign w:val="bottom"/>
          </w:tcPr>
          <w:p w14:paraId="28A01333">
            <w:pPr>
              <w:ind w:left="-80"/>
              <w:jc w:val="right"/>
              <w:rPr>
                <w:rFonts w:ascii="Arial" w:hAnsi="Arial" w:cs="Arial"/>
                <w:color w:val="000000"/>
                <w:sz w:val="24"/>
              </w:rPr>
            </w:pPr>
            <w:r>
              <w:rPr>
                <w:rFonts w:ascii="Arial" w:hAnsi="Arial" w:cs="Arial"/>
                <w:color w:val="000000"/>
                <w:sz w:val="24"/>
              </w:rPr>
              <w:t>16,633,179.18</w:t>
            </w:r>
          </w:p>
        </w:tc>
      </w:tr>
      <w:tr w14:paraId="2537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1DA47F2">
            <w:pPr>
              <w:spacing w:before="100" w:beforeAutospacing="1" w:after="100" w:afterAutospacing="1"/>
              <w:rPr>
                <w:rFonts w:ascii="Arial" w:hAnsi="Arial" w:cs="Arial"/>
                <w:b/>
                <w:bCs/>
                <w:sz w:val="24"/>
              </w:rPr>
            </w:pPr>
            <w:r>
              <w:rPr>
                <w:rFonts w:ascii="Arial" w:hAnsi="Arial" w:cs="Arial"/>
                <w:sz w:val="24"/>
              </w:rPr>
              <w:t>未分配利润</w:t>
            </w:r>
          </w:p>
        </w:tc>
        <w:tc>
          <w:tcPr>
            <w:tcW w:w="4461" w:type="dxa"/>
            <w:shd w:val="clear" w:color="auto" w:fill="auto"/>
            <w:vAlign w:val="bottom"/>
          </w:tcPr>
          <w:p w14:paraId="40EA5723">
            <w:pPr>
              <w:ind w:left="-80"/>
              <w:jc w:val="right"/>
              <w:rPr>
                <w:rFonts w:ascii="Arial" w:hAnsi="Arial" w:cs="Arial"/>
                <w:color w:val="000000"/>
                <w:sz w:val="24"/>
              </w:rPr>
            </w:pPr>
            <w:r>
              <w:rPr>
                <w:rFonts w:ascii="Arial" w:hAnsi="Arial" w:cs="Arial"/>
                <w:color w:val="000000"/>
                <w:sz w:val="24"/>
              </w:rPr>
              <w:t>930,663.33</w:t>
            </w:r>
          </w:p>
        </w:tc>
      </w:tr>
      <w:tr w14:paraId="6705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CE4F486">
            <w:pPr>
              <w:spacing w:before="100" w:beforeAutospacing="1" w:after="100" w:afterAutospacing="1"/>
              <w:rPr>
                <w:rFonts w:ascii="Arial" w:hAnsi="Arial" w:cs="Arial"/>
                <w:b/>
                <w:bCs/>
                <w:sz w:val="24"/>
              </w:rPr>
            </w:pPr>
            <w:r>
              <w:rPr>
                <w:rFonts w:hint="eastAsia" w:ascii="Arial" w:hAnsi="Arial" w:cs="Arial"/>
                <w:b/>
                <w:bCs/>
                <w:sz w:val="24"/>
                <w:lang w:val="en-US" w:eastAsia="zh-CN"/>
              </w:rPr>
              <w:t>净资产</w:t>
            </w:r>
            <w:r>
              <w:rPr>
                <w:rFonts w:ascii="Arial" w:hAnsi="Arial" w:cs="Arial"/>
                <w:b/>
                <w:bCs/>
                <w:sz w:val="24"/>
              </w:rPr>
              <w:t>合计</w:t>
            </w:r>
          </w:p>
        </w:tc>
        <w:tc>
          <w:tcPr>
            <w:tcW w:w="4461" w:type="dxa"/>
            <w:shd w:val="clear" w:color="auto" w:fill="auto"/>
            <w:vAlign w:val="bottom"/>
          </w:tcPr>
          <w:p w14:paraId="25A71A6A">
            <w:pPr>
              <w:ind w:left="-80"/>
              <w:jc w:val="right"/>
              <w:rPr>
                <w:rFonts w:ascii="Arial" w:hAnsi="Arial" w:cs="Arial"/>
                <w:b/>
                <w:bCs/>
                <w:color w:val="000000"/>
                <w:sz w:val="24"/>
              </w:rPr>
            </w:pPr>
            <w:r>
              <w:rPr>
                <w:rFonts w:ascii="Arial" w:hAnsi="Arial" w:cs="Arial"/>
                <w:b/>
                <w:bCs/>
                <w:color w:val="000000"/>
                <w:sz w:val="24"/>
              </w:rPr>
              <w:t>17,563,842.51</w:t>
            </w:r>
          </w:p>
        </w:tc>
      </w:tr>
      <w:tr w14:paraId="4A22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5D0732D9">
            <w:pPr>
              <w:spacing w:before="100" w:beforeAutospacing="1" w:after="100" w:afterAutospacing="1"/>
              <w:rPr>
                <w:rFonts w:ascii="Arial" w:hAnsi="Arial" w:cs="Arial"/>
                <w:b/>
                <w:bCs/>
                <w:sz w:val="24"/>
              </w:rPr>
            </w:pPr>
            <w:r>
              <w:rPr>
                <w:rFonts w:ascii="Arial" w:hAnsi="Arial" w:cs="Arial"/>
                <w:b/>
                <w:bCs/>
                <w:sz w:val="24"/>
              </w:rPr>
              <w:t>负债和</w:t>
            </w:r>
            <w:r>
              <w:rPr>
                <w:rFonts w:hint="eastAsia" w:ascii="Arial" w:hAnsi="Arial" w:cs="Arial"/>
                <w:b/>
                <w:bCs/>
                <w:sz w:val="24"/>
                <w:lang w:val="en-US" w:eastAsia="zh-CN"/>
              </w:rPr>
              <w:t>净资产</w:t>
            </w:r>
            <w:r>
              <w:rPr>
                <w:rFonts w:ascii="Arial" w:hAnsi="Arial" w:cs="Arial"/>
                <w:b/>
                <w:bCs/>
                <w:sz w:val="24"/>
              </w:rPr>
              <w:t>总计</w:t>
            </w:r>
          </w:p>
        </w:tc>
        <w:tc>
          <w:tcPr>
            <w:tcW w:w="4461" w:type="dxa"/>
            <w:shd w:val="clear" w:color="auto" w:fill="auto"/>
            <w:vAlign w:val="bottom"/>
          </w:tcPr>
          <w:p w14:paraId="0C85A3E6">
            <w:pPr>
              <w:ind w:left="-80"/>
              <w:jc w:val="right"/>
              <w:rPr>
                <w:rFonts w:ascii="Arial" w:hAnsi="Arial" w:cs="Arial"/>
                <w:b/>
                <w:bCs/>
                <w:color w:val="000000"/>
                <w:sz w:val="24"/>
              </w:rPr>
            </w:pPr>
            <w:r>
              <w:rPr>
                <w:rFonts w:ascii="Arial" w:hAnsi="Arial" w:cs="Arial"/>
                <w:b/>
                <w:bCs/>
                <w:color w:val="000000"/>
                <w:sz w:val="24"/>
              </w:rPr>
              <w:t>31,751,503.22</w:t>
            </w:r>
          </w:p>
        </w:tc>
      </w:tr>
    </w:tbl>
    <w:p w14:paraId="319CBECF">
      <w:pPr>
        <w:spacing w:line="0" w:lineRule="atLeast"/>
        <w:rPr>
          <w:rFonts w:ascii="宋体" w:hAnsi="宋体" w:cs="Arial"/>
          <w:szCs w:val="21"/>
        </w:rPr>
      </w:pPr>
      <w:r>
        <w:rPr>
          <w:rFonts w:hint="eastAsia" w:ascii="宋体" w:hAnsi="宋体" w:cs="Arial"/>
          <w:szCs w:val="21"/>
        </w:rPr>
        <w:t>注：</w:t>
      </w:r>
      <w:r>
        <w:rPr>
          <w:rFonts w:hint="eastAsia" w:ascii="宋体" w:hAnsi="宋体" w:cs="Arial"/>
          <w:szCs w:val="21"/>
          <w:lang w:val="en-US" w:eastAsia="zh-CN"/>
        </w:rPr>
        <w:t>截止</w:t>
      </w:r>
      <w:r>
        <w:rPr>
          <w:rFonts w:hint="eastAsia" w:ascii="宋体" w:hAnsi="宋体" w:cs="Arial"/>
          <w:szCs w:val="21"/>
        </w:rPr>
        <w:t>202</w:t>
      </w:r>
      <w:r>
        <w:rPr>
          <w:rFonts w:hint="eastAsia" w:ascii="宋体" w:hAnsi="宋体" w:cs="Arial"/>
          <w:szCs w:val="21"/>
          <w:lang w:val="en-US" w:eastAsia="zh-CN"/>
        </w:rPr>
        <w:t>6</w:t>
      </w:r>
      <w:r>
        <w:rPr>
          <w:rFonts w:hint="eastAsia" w:ascii="宋体" w:hAnsi="宋体" w:cs="Arial"/>
          <w:szCs w:val="21"/>
        </w:rPr>
        <w:t>年</w:t>
      </w:r>
      <w:r>
        <w:rPr>
          <w:rFonts w:hint="eastAsia" w:ascii="宋体" w:hAnsi="宋体" w:cs="Arial"/>
          <w:szCs w:val="21"/>
          <w:lang w:val="en-US" w:eastAsia="zh-CN"/>
        </w:rPr>
        <w:t>8</w:t>
      </w:r>
      <w:r>
        <w:rPr>
          <w:rFonts w:hint="eastAsia" w:ascii="宋体" w:hAnsi="宋体" w:cs="Arial"/>
          <w:szCs w:val="21"/>
        </w:rPr>
        <w:t>月</w:t>
      </w:r>
      <w:r>
        <w:rPr>
          <w:rFonts w:hint="eastAsia" w:ascii="宋体" w:hAnsi="宋体" w:cs="Arial"/>
          <w:szCs w:val="21"/>
          <w:lang w:val="en-US" w:eastAsia="zh-CN"/>
        </w:rPr>
        <w:t>7</w:t>
      </w:r>
      <w:r>
        <w:rPr>
          <w:rFonts w:hint="eastAsia" w:ascii="宋体" w:hAnsi="宋体" w:cs="Arial"/>
          <w:szCs w:val="21"/>
        </w:rPr>
        <w:t>日(基金最后运作日)基金份额总额16,633,179.18份，基金份额净值1.0560元。</w:t>
      </w:r>
    </w:p>
    <w:p w14:paraId="26FD5928">
      <w:pPr>
        <w:pStyle w:val="3"/>
        <w:spacing w:before="0" w:after="0"/>
        <w:rPr>
          <w:rFonts w:ascii="宋体" w:hAnsi="宋体" w:eastAsia="宋体"/>
          <w:kern w:val="0"/>
          <w:sz w:val="21"/>
          <w:szCs w:val="21"/>
        </w:rPr>
      </w:pPr>
      <w:bookmarkStart w:id="39" w:name="_Toc484769807"/>
      <w:bookmarkStart w:id="40" w:name="_Toc145339096"/>
      <w:r>
        <w:rPr>
          <w:rFonts w:hint="eastAsia" w:ascii="宋体" w:hAnsi="宋体" w:eastAsia="宋体"/>
          <w:kern w:val="0"/>
          <w:sz w:val="21"/>
          <w:szCs w:val="21"/>
        </w:rPr>
        <w:t>4</w:t>
      </w:r>
      <w:r>
        <w:rPr>
          <w:rFonts w:ascii="宋体" w:hAnsi="宋体" w:eastAsia="宋体"/>
          <w:kern w:val="0"/>
          <w:sz w:val="21"/>
          <w:szCs w:val="21"/>
        </w:rPr>
        <w:t xml:space="preserve">.2 </w:t>
      </w:r>
      <w:r>
        <w:rPr>
          <w:rFonts w:hint="eastAsia" w:ascii="宋体" w:hAnsi="宋体" w:eastAsia="宋体"/>
          <w:kern w:val="0"/>
          <w:sz w:val="21"/>
          <w:szCs w:val="21"/>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025AC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80852CA">
            <w:pPr>
              <w:pStyle w:val="11"/>
              <w:jc w:val="center"/>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项目</w:t>
            </w:r>
          </w:p>
        </w:tc>
        <w:tc>
          <w:tcPr>
            <w:tcW w:w="4408" w:type="dxa"/>
            <w:vAlign w:val="center"/>
          </w:tcPr>
          <w:p w14:paraId="5FF6C1B1">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202</w:t>
            </w:r>
            <w:r>
              <w:rPr>
                <w:rFonts w:hint="eastAsia" w:ascii="宋体" w:hAnsi="宋体" w:eastAsia="宋体"/>
                <w:b/>
                <w:color w:val="000000" w:themeColor="text1"/>
                <w:sz w:val="21"/>
                <w:szCs w:val="21"/>
                <w:lang w:val="en-US" w:eastAsia="zh-CN"/>
                <w14:textFill>
                  <w14:solidFill>
                    <w14:schemeClr w14:val="tx1"/>
                  </w14:solidFill>
                </w14:textFill>
              </w:rPr>
              <w:t>6</w:t>
            </w:r>
            <w:r>
              <w:rPr>
                <w:rFonts w:hint="eastAsia" w:ascii="宋体" w:hAnsi="宋体" w:eastAsia="宋体"/>
                <w:b/>
                <w:color w:val="000000" w:themeColor="text1"/>
                <w:sz w:val="21"/>
                <w:szCs w:val="21"/>
                <w:lang w:eastAsia="zh-CN"/>
                <w14:textFill>
                  <w14:solidFill>
                    <w14:schemeClr w14:val="tx1"/>
                  </w14:solidFill>
                </w14:textFill>
              </w:rPr>
              <w:t>年</w:t>
            </w:r>
            <w:r>
              <w:rPr>
                <w:rFonts w:hint="eastAsia" w:ascii="宋体" w:hAnsi="宋体" w:eastAsia="宋体"/>
                <w:b/>
                <w:color w:val="000000" w:themeColor="text1"/>
                <w:sz w:val="21"/>
                <w:szCs w:val="21"/>
                <w:lang w:val="en-US" w:eastAsia="zh-CN"/>
                <w14:textFill>
                  <w14:solidFill>
                    <w14:schemeClr w14:val="tx1"/>
                  </w14:solidFill>
                </w14:textFill>
              </w:rPr>
              <w:t>8</w:t>
            </w:r>
            <w:r>
              <w:rPr>
                <w:rFonts w:hint="eastAsia" w:ascii="宋体" w:hAnsi="宋体" w:eastAsia="宋体"/>
                <w:b/>
                <w:color w:val="000000" w:themeColor="text1"/>
                <w:sz w:val="21"/>
                <w:szCs w:val="21"/>
                <w:lang w:eastAsia="zh-CN"/>
                <w14:textFill>
                  <w14:solidFill>
                    <w14:schemeClr w14:val="tx1"/>
                  </w14:solidFill>
                </w14:textFill>
              </w:rPr>
              <w:t>月</w:t>
            </w:r>
            <w:r>
              <w:rPr>
                <w:rFonts w:hint="eastAsia" w:ascii="宋体" w:hAnsi="宋体" w:eastAsia="宋体"/>
                <w:b/>
                <w:color w:val="000000" w:themeColor="text1"/>
                <w:sz w:val="21"/>
                <w:szCs w:val="21"/>
                <w:lang w:val="en-US" w:eastAsia="zh-CN"/>
                <w14:textFill>
                  <w14:solidFill>
                    <w14:schemeClr w14:val="tx1"/>
                  </w14:solidFill>
                </w14:textFill>
              </w:rPr>
              <w:t>8</w:t>
            </w:r>
            <w:r>
              <w:rPr>
                <w:rFonts w:hint="eastAsia" w:ascii="宋体" w:hAnsi="宋体" w:eastAsia="宋体"/>
                <w:b/>
                <w:color w:val="000000" w:themeColor="text1"/>
                <w:sz w:val="21"/>
                <w:szCs w:val="21"/>
                <w:lang w:eastAsia="zh-CN"/>
                <w14:textFill>
                  <w14:solidFill>
                    <w14:schemeClr w14:val="tx1"/>
                  </w14:solidFill>
                </w14:textFill>
              </w:rPr>
              <w:t>日</w:t>
            </w:r>
            <w:r>
              <w:rPr>
                <w:rFonts w:ascii="宋体" w:hAnsi="宋体" w:eastAsia="宋体"/>
                <w:b/>
                <w:color w:val="000000" w:themeColor="text1"/>
                <w:sz w:val="21"/>
                <w:szCs w:val="21"/>
                <w:lang w:eastAsia="zh-CN"/>
                <w14:textFill>
                  <w14:solidFill>
                    <w14:schemeClr w14:val="tx1"/>
                  </w14:solidFill>
                </w14:textFill>
              </w:rPr>
              <w:t>至</w:t>
            </w:r>
            <w:r>
              <w:rPr>
                <w:rFonts w:hint="eastAsia" w:ascii="宋体" w:hAnsi="宋体" w:eastAsia="宋体"/>
                <w:b/>
                <w:color w:val="000000" w:themeColor="text1"/>
                <w:sz w:val="21"/>
                <w:szCs w:val="21"/>
                <w:lang w:eastAsia="zh-CN"/>
                <w14:textFill>
                  <w14:solidFill>
                    <w14:schemeClr w14:val="tx1"/>
                  </w14:solidFill>
                </w14:textFill>
              </w:rPr>
              <w:t>202</w:t>
            </w:r>
            <w:r>
              <w:rPr>
                <w:rFonts w:hint="eastAsia" w:ascii="宋体" w:hAnsi="宋体" w:eastAsia="宋体"/>
                <w:b/>
                <w:color w:val="000000" w:themeColor="text1"/>
                <w:sz w:val="21"/>
                <w:szCs w:val="21"/>
                <w:lang w:val="en-US" w:eastAsia="zh-CN"/>
                <w14:textFill>
                  <w14:solidFill>
                    <w14:schemeClr w14:val="tx1"/>
                  </w14:solidFill>
                </w14:textFill>
              </w:rPr>
              <w:t>6</w:t>
            </w:r>
            <w:r>
              <w:rPr>
                <w:rFonts w:hint="eastAsia" w:ascii="宋体" w:hAnsi="宋体" w:eastAsia="宋体"/>
                <w:b/>
                <w:color w:val="000000" w:themeColor="text1"/>
                <w:sz w:val="21"/>
                <w:szCs w:val="21"/>
                <w:lang w:eastAsia="zh-CN"/>
                <w14:textFill>
                  <w14:solidFill>
                    <w14:schemeClr w14:val="tx1"/>
                  </w14:solidFill>
                </w14:textFill>
              </w:rPr>
              <w:t>年</w:t>
            </w:r>
            <w:r>
              <w:rPr>
                <w:rFonts w:hint="eastAsia" w:ascii="宋体" w:hAnsi="宋体" w:eastAsia="宋体"/>
                <w:b/>
                <w:color w:val="000000" w:themeColor="text1"/>
                <w:sz w:val="21"/>
                <w:szCs w:val="21"/>
                <w:lang w:val="en-US" w:eastAsia="zh-CN"/>
                <w14:textFill>
                  <w14:solidFill>
                    <w14:schemeClr w14:val="tx1"/>
                  </w14:solidFill>
                </w14:textFill>
              </w:rPr>
              <w:t>9</w:t>
            </w:r>
            <w:r>
              <w:rPr>
                <w:rFonts w:hint="eastAsia" w:ascii="宋体" w:hAnsi="宋体" w:eastAsia="宋体"/>
                <w:b/>
                <w:color w:val="000000" w:themeColor="text1"/>
                <w:sz w:val="21"/>
                <w:szCs w:val="21"/>
                <w:lang w:eastAsia="zh-CN"/>
                <w14:textFill>
                  <w14:solidFill>
                    <w14:schemeClr w14:val="tx1"/>
                  </w14:solidFill>
                </w14:textFill>
              </w:rPr>
              <w:t>月</w:t>
            </w:r>
            <w:r>
              <w:rPr>
                <w:rFonts w:hint="eastAsia" w:ascii="宋体" w:hAnsi="宋体" w:eastAsia="宋体"/>
                <w:b/>
                <w:color w:val="000000" w:themeColor="text1"/>
                <w:sz w:val="21"/>
                <w:szCs w:val="21"/>
                <w:lang w:val="en-US" w:eastAsia="zh-CN"/>
                <w14:textFill>
                  <w14:solidFill>
                    <w14:schemeClr w14:val="tx1"/>
                  </w14:solidFill>
                </w14:textFill>
              </w:rPr>
              <w:t>21</w:t>
            </w:r>
            <w:r>
              <w:rPr>
                <w:rFonts w:hint="eastAsia" w:ascii="宋体" w:hAnsi="宋体" w:eastAsia="宋体"/>
                <w:b/>
                <w:color w:val="000000" w:themeColor="text1"/>
                <w:sz w:val="21"/>
                <w:szCs w:val="21"/>
                <w:lang w:eastAsia="zh-CN"/>
                <w14:textFill>
                  <w14:solidFill>
                    <w14:schemeClr w14:val="tx1"/>
                  </w14:solidFill>
                </w14:textFill>
              </w:rPr>
              <w:t>日</w:t>
            </w:r>
          </w:p>
          <w:p w14:paraId="7CEA1B9E">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（清算期间）</w:t>
            </w:r>
          </w:p>
        </w:tc>
      </w:tr>
      <w:tr w14:paraId="44285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1072571">
            <w:pPr>
              <w:rPr>
                <w:rFonts w:ascii="宋体" w:hAnsi="宋体"/>
                <w:b/>
                <w:color w:val="000000" w:themeColor="text1"/>
                <w:szCs w:val="21"/>
                <w14:textFill>
                  <w14:solidFill>
                    <w14:schemeClr w14:val="tx1"/>
                  </w14:solidFill>
                </w14:textFill>
              </w:rPr>
            </w:pPr>
            <w:r>
              <w:rPr>
                <w:rFonts w:hint="eastAsia"/>
                <w:b/>
                <w:bCs/>
                <w:color w:val="000000"/>
                <w:szCs w:val="21"/>
              </w:rPr>
              <w:t>一、清算收益</w:t>
            </w:r>
          </w:p>
        </w:tc>
        <w:tc>
          <w:tcPr>
            <w:tcW w:w="4408" w:type="dxa"/>
            <w:vAlign w:val="bottom"/>
          </w:tcPr>
          <w:p w14:paraId="2D791032">
            <w:pPr>
              <w:ind w:left="-80" w:leftChars="0"/>
              <w:jc w:val="right"/>
              <w:rPr>
                <w:rFonts w:hint="default" w:ascii="Arial" w:hAnsi="Arial" w:cs="Arial"/>
                <w:b/>
                <w:bCs/>
                <w:color w:val="000000"/>
                <w:sz w:val="24"/>
                <w:lang w:val="en-US" w:eastAsia="zh-CN"/>
              </w:rPr>
            </w:pPr>
            <w:r>
              <w:rPr>
                <w:rFonts w:hint="default" w:ascii="Arial" w:hAnsi="Arial" w:cs="Arial"/>
                <w:b/>
                <w:bCs/>
                <w:color w:val="000000"/>
                <w:sz w:val="24"/>
                <w:lang w:val="en-US" w:eastAsia="zh-CN"/>
              </w:rPr>
              <w:t xml:space="preserve">-90,579.03 </w:t>
            </w:r>
          </w:p>
        </w:tc>
      </w:tr>
      <w:tr w14:paraId="099F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2672676">
            <w:pPr>
              <w:rPr>
                <w:rFonts w:ascii="宋体" w:hAnsi="宋体"/>
                <w:color w:val="000000" w:themeColor="text1"/>
                <w:szCs w:val="21"/>
                <w14:textFill>
                  <w14:solidFill>
                    <w14:schemeClr w14:val="tx1"/>
                  </w14:solidFill>
                </w14:textFill>
              </w:rPr>
            </w:pPr>
            <w:r>
              <w:rPr>
                <w:rFonts w:hint="eastAsia"/>
                <w:color w:val="000000"/>
                <w:szCs w:val="21"/>
              </w:rPr>
              <w:t>1.</w:t>
            </w:r>
            <w:r>
              <w:rPr>
                <w:color w:val="000000"/>
                <w:sz w:val="14"/>
                <w:szCs w:val="14"/>
              </w:rPr>
              <w:t xml:space="preserve">  </w:t>
            </w:r>
            <w:r>
              <w:rPr>
                <w:rFonts w:hint="eastAsia"/>
                <w:color w:val="000000"/>
                <w:szCs w:val="21"/>
              </w:rPr>
              <w:t>利息收入</w:t>
            </w:r>
          </w:p>
        </w:tc>
        <w:tc>
          <w:tcPr>
            <w:tcW w:w="4408" w:type="dxa"/>
            <w:vAlign w:val="bottom"/>
          </w:tcPr>
          <w:p w14:paraId="2C6D9730">
            <w:pPr>
              <w:ind w:left="-80"/>
              <w:jc w:val="right"/>
              <w:rPr>
                <w:rFonts w:hint="default" w:ascii="Arial" w:hAnsi="Arial" w:cs="Arial"/>
                <w:color w:val="000000"/>
                <w:sz w:val="24"/>
                <w:lang w:val="en-US" w:eastAsia="zh-CN"/>
              </w:rPr>
            </w:pPr>
            <w:r>
              <w:rPr>
                <w:rFonts w:hint="eastAsia" w:ascii="Arial" w:hAnsi="Arial" w:cs="Arial"/>
                <w:color w:val="000000"/>
                <w:sz w:val="24"/>
                <w:lang w:val="en-US" w:eastAsia="zh-CN"/>
              </w:rPr>
              <w:t>816.80</w:t>
            </w:r>
            <w:r>
              <w:rPr>
                <w:rFonts w:hint="default" w:ascii="Arial" w:hAnsi="Arial" w:cs="Arial"/>
                <w:color w:val="000000"/>
                <w:sz w:val="24"/>
                <w:lang w:val="en-US" w:eastAsia="zh-CN"/>
              </w:rPr>
              <w:t xml:space="preserve"> </w:t>
            </w:r>
          </w:p>
        </w:tc>
      </w:tr>
      <w:tr w14:paraId="31DBB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495" w:type="dxa"/>
            <w:vAlign w:val="center"/>
          </w:tcPr>
          <w:p w14:paraId="446A465B">
            <w:pPr>
              <w:rPr>
                <w:color w:val="000000"/>
                <w:szCs w:val="21"/>
              </w:rPr>
            </w:pPr>
            <w:r>
              <w:rPr>
                <w:rFonts w:hint="eastAsia"/>
                <w:color w:val="000000"/>
                <w:szCs w:val="21"/>
              </w:rPr>
              <w:t>2</w:t>
            </w:r>
            <w:r>
              <w:rPr>
                <w:color w:val="000000"/>
                <w:szCs w:val="21"/>
              </w:rPr>
              <w:t xml:space="preserve">. </w:t>
            </w:r>
            <w:r>
              <w:rPr>
                <w:rFonts w:hint="eastAsia"/>
                <w:color w:val="000000"/>
                <w:szCs w:val="21"/>
              </w:rPr>
              <w:t>公允价值变动损益</w:t>
            </w:r>
          </w:p>
        </w:tc>
        <w:tc>
          <w:tcPr>
            <w:tcW w:w="4408" w:type="dxa"/>
            <w:vAlign w:val="bottom"/>
          </w:tcPr>
          <w:p w14:paraId="1D76E979">
            <w:pPr>
              <w:ind w:left="-80"/>
              <w:jc w:val="right"/>
              <w:rPr>
                <w:rFonts w:hint="default" w:ascii="Arial" w:hAnsi="Arial" w:cs="Arial"/>
                <w:color w:val="000000"/>
                <w:sz w:val="24"/>
                <w:lang w:val="en-US" w:eastAsia="zh-CN"/>
              </w:rPr>
            </w:pPr>
            <w:r>
              <w:rPr>
                <w:rFonts w:hint="eastAsia" w:ascii="Arial" w:hAnsi="Arial" w:cs="Arial"/>
                <w:color w:val="000000"/>
                <w:sz w:val="24"/>
                <w:lang w:val="en-US" w:eastAsia="zh-CN"/>
              </w:rPr>
              <w:t>1,061,679.70</w:t>
            </w:r>
            <w:r>
              <w:rPr>
                <w:rFonts w:hint="default" w:ascii="Arial" w:hAnsi="Arial" w:cs="Arial"/>
                <w:color w:val="000000"/>
                <w:sz w:val="24"/>
                <w:lang w:val="en-US" w:eastAsia="zh-CN"/>
              </w:rPr>
              <w:t xml:space="preserve"> </w:t>
            </w:r>
          </w:p>
        </w:tc>
      </w:tr>
      <w:tr w14:paraId="0EB6C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8F90FD8">
            <w:pPr>
              <w:rPr>
                <w:color w:val="000000"/>
                <w:szCs w:val="21"/>
              </w:rPr>
            </w:pPr>
            <w:r>
              <w:rPr>
                <w:color w:val="000000"/>
                <w:szCs w:val="21"/>
              </w:rPr>
              <w:t>3</w:t>
            </w:r>
            <w:r>
              <w:rPr>
                <w:rFonts w:hint="eastAsia"/>
                <w:color w:val="000000"/>
                <w:szCs w:val="21"/>
              </w:rPr>
              <w:t>.</w:t>
            </w:r>
            <w:r>
              <w:rPr>
                <w:color w:val="000000"/>
                <w:szCs w:val="21"/>
              </w:rPr>
              <w:t xml:space="preserve"> </w:t>
            </w:r>
            <w:r>
              <w:rPr>
                <w:rFonts w:hint="eastAsia"/>
                <w:color w:val="000000"/>
                <w:szCs w:val="21"/>
              </w:rPr>
              <w:t>投资收益</w:t>
            </w:r>
          </w:p>
        </w:tc>
        <w:tc>
          <w:tcPr>
            <w:tcW w:w="4408" w:type="dxa"/>
            <w:vAlign w:val="bottom"/>
          </w:tcPr>
          <w:p w14:paraId="52EFD608">
            <w:pPr>
              <w:ind w:left="-80"/>
              <w:jc w:val="right"/>
              <w:rPr>
                <w:rFonts w:hint="default" w:ascii="Arial" w:hAnsi="Arial" w:cs="Arial"/>
                <w:color w:val="000000"/>
                <w:sz w:val="24"/>
                <w:lang w:val="en-US" w:eastAsia="zh-CN"/>
              </w:rPr>
            </w:pPr>
            <w:r>
              <w:rPr>
                <w:rFonts w:hint="default" w:ascii="Arial" w:hAnsi="Arial" w:cs="Arial"/>
                <w:color w:val="000000"/>
                <w:sz w:val="24"/>
                <w:lang w:val="en-US" w:eastAsia="zh-CN"/>
              </w:rPr>
              <w:t xml:space="preserve"> -1,153,107.77 </w:t>
            </w:r>
          </w:p>
        </w:tc>
      </w:tr>
      <w:tr w14:paraId="6E1A7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639C314">
            <w:pPr>
              <w:rPr>
                <w:color w:val="000000"/>
                <w:szCs w:val="21"/>
              </w:rPr>
            </w:pPr>
            <w:r>
              <w:rPr>
                <w:rFonts w:hint="eastAsia"/>
                <w:color w:val="000000"/>
                <w:szCs w:val="21"/>
              </w:rPr>
              <w:t>4</w:t>
            </w:r>
            <w:r>
              <w:rPr>
                <w:color w:val="000000"/>
                <w:szCs w:val="21"/>
              </w:rPr>
              <w:t xml:space="preserve">. </w:t>
            </w:r>
            <w:r>
              <w:rPr>
                <w:rFonts w:hint="eastAsia"/>
                <w:color w:val="000000"/>
                <w:szCs w:val="21"/>
              </w:rPr>
              <w:t>其他收入</w:t>
            </w:r>
          </w:p>
        </w:tc>
        <w:tc>
          <w:tcPr>
            <w:tcW w:w="4408" w:type="dxa"/>
            <w:vAlign w:val="bottom"/>
          </w:tcPr>
          <w:p w14:paraId="72C83124">
            <w:pPr>
              <w:ind w:left="-80"/>
              <w:jc w:val="right"/>
              <w:rPr>
                <w:rFonts w:hint="default" w:ascii="Arial" w:hAnsi="Arial" w:cs="Arial"/>
                <w:color w:val="000000"/>
                <w:sz w:val="24"/>
                <w:lang w:val="en-US" w:eastAsia="zh-CN"/>
              </w:rPr>
            </w:pPr>
            <w:r>
              <w:rPr>
                <w:rFonts w:hint="eastAsia" w:ascii="Arial" w:hAnsi="Arial" w:cs="Arial"/>
                <w:color w:val="000000"/>
                <w:sz w:val="24"/>
                <w:lang w:val="en-US" w:eastAsia="zh-CN"/>
              </w:rPr>
              <w:t>32.24</w:t>
            </w:r>
            <w:r>
              <w:rPr>
                <w:rFonts w:hint="default" w:ascii="Arial" w:hAnsi="Arial" w:cs="Arial"/>
                <w:color w:val="000000"/>
                <w:sz w:val="24"/>
                <w:lang w:val="en-US" w:eastAsia="zh-CN"/>
              </w:rPr>
              <w:t xml:space="preserve"> </w:t>
            </w:r>
          </w:p>
        </w:tc>
      </w:tr>
      <w:tr w14:paraId="4586C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F653793">
            <w:pPr>
              <w:rPr>
                <w:rFonts w:ascii="宋体" w:hAnsi="宋体"/>
                <w:color w:val="000000" w:themeColor="text1"/>
                <w:szCs w:val="21"/>
                <w14:textFill>
                  <w14:solidFill>
                    <w14:schemeClr w14:val="tx1"/>
                  </w14:solidFill>
                </w14:textFill>
              </w:rPr>
            </w:pPr>
            <w:r>
              <w:rPr>
                <w:rFonts w:hint="eastAsia"/>
                <w:b/>
                <w:bCs/>
                <w:color w:val="000000"/>
                <w:szCs w:val="21"/>
              </w:rPr>
              <w:t>二、清算费用</w:t>
            </w:r>
          </w:p>
        </w:tc>
        <w:tc>
          <w:tcPr>
            <w:tcW w:w="4408" w:type="dxa"/>
            <w:vAlign w:val="center"/>
          </w:tcPr>
          <w:p w14:paraId="69C77B72">
            <w:pPr>
              <w:ind w:left="-80" w:leftChars="0"/>
              <w:jc w:val="right"/>
              <w:rPr>
                <w:rFonts w:hint="default" w:ascii="Arial" w:hAnsi="Arial" w:cs="Arial"/>
                <w:b/>
                <w:bCs/>
                <w:color w:val="000000"/>
                <w:sz w:val="24"/>
                <w:lang w:val="en-US" w:eastAsia="zh-CN"/>
              </w:rPr>
            </w:pPr>
            <w:r>
              <w:rPr>
                <w:rFonts w:hint="default" w:ascii="Arial" w:hAnsi="Arial" w:cs="Arial"/>
                <w:b/>
                <w:bCs/>
                <w:color w:val="000000"/>
                <w:sz w:val="24"/>
                <w:lang w:val="en-US" w:eastAsia="zh-CN"/>
              </w:rPr>
              <w:t>-</w:t>
            </w:r>
          </w:p>
        </w:tc>
      </w:tr>
      <w:tr w14:paraId="721F8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D471DDF">
            <w:pPr>
              <w:rPr>
                <w:rFonts w:ascii="宋体" w:hAnsi="宋体"/>
                <w:color w:val="000000" w:themeColor="text1"/>
                <w:szCs w:val="21"/>
                <w14:textFill>
                  <w14:solidFill>
                    <w14:schemeClr w14:val="tx1"/>
                  </w14:solidFill>
                </w14:textFill>
              </w:rPr>
            </w:pPr>
            <w:r>
              <w:rPr>
                <w:rFonts w:hint="eastAsia"/>
                <w:b/>
                <w:bCs/>
                <w:color w:val="000000"/>
                <w:szCs w:val="21"/>
              </w:rPr>
              <w:t>三、清算收益（损失）总额</w:t>
            </w:r>
          </w:p>
        </w:tc>
        <w:tc>
          <w:tcPr>
            <w:tcW w:w="4408" w:type="dxa"/>
            <w:vAlign w:val="bottom"/>
          </w:tcPr>
          <w:p w14:paraId="4C1B1CD0">
            <w:pPr>
              <w:ind w:left="-80" w:leftChars="0"/>
              <w:jc w:val="right"/>
              <w:rPr>
                <w:rFonts w:hint="default" w:ascii="Arial" w:hAnsi="Arial" w:cs="Arial"/>
                <w:b/>
                <w:bCs/>
                <w:color w:val="000000"/>
                <w:sz w:val="24"/>
                <w:lang w:val="en-US" w:eastAsia="zh-CN"/>
              </w:rPr>
            </w:pPr>
            <w:r>
              <w:rPr>
                <w:rFonts w:hint="default" w:ascii="Arial" w:hAnsi="Arial" w:cs="Arial"/>
                <w:b/>
                <w:bCs/>
                <w:color w:val="000000"/>
                <w:sz w:val="24"/>
                <w:lang w:val="en-US" w:eastAsia="zh-CN"/>
              </w:rPr>
              <w:t xml:space="preserve">-90,579.03 </w:t>
            </w:r>
          </w:p>
        </w:tc>
      </w:tr>
      <w:tr w14:paraId="17AB3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4252D2EC">
            <w:pPr>
              <w:rPr>
                <w:rFonts w:ascii="宋体" w:hAnsi="宋体"/>
                <w:color w:val="000000" w:themeColor="text1"/>
                <w:szCs w:val="21"/>
                <w14:textFill>
                  <w14:solidFill>
                    <w14:schemeClr w14:val="tx1"/>
                  </w14:solidFill>
                </w14:textFill>
              </w:rPr>
            </w:pPr>
            <w:r>
              <w:rPr>
                <w:rFonts w:hint="eastAsia"/>
                <w:color w:val="000000"/>
                <w:szCs w:val="21"/>
              </w:rPr>
              <w:t>减：所得税费用</w:t>
            </w:r>
          </w:p>
        </w:tc>
        <w:tc>
          <w:tcPr>
            <w:tcW w:w="4408" w:type="dxa"/>
            <w:shd w:val="clear" w:color="auto" w:fill="auto"/>
            <w:vAlign w:val="center"/>
          </w:tcPr>
          <w:p w14:paraId="1DA152BF">
            <w:pPr>
              <w:jc w:val="righ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w:t>
            </w:r>
          </w:p>
        </w:tc>
      </w:tr>
      <w:tr w14:paraId="169D3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213DB448">
            <w:pPr>
              <w:rPr>
                <w:rFonts w:ascii="宋体" w:hAnsi="宋体"/>
                <w:b/>
                <w:color w:val="000000" w:themeColor="text1"/>
                <w:szCs w:val="21"/>
                <w14:textFill>
                  <w14:solidFill>
                    <w14:schemeClr w14:val="tx1"/>
                  </w14:solidFill>
                </w14:textFill>
              </w:rPr>
            </w:pPr>
            <w:r>
              <w:rPr>
                <w:rFonts w:hint="eastAsia"/>
                <w:b/>
                <w:bCs/>
                <w:color w:val="000000"/>
                <w:szCs w:val="21"/>
              </w:rPr>
              <w:t>四、清算净收益（损失）</w:t>
            </w:r>
          </w:p>
        </w:tc>
        <w:tc>
          <w:tcPr>
            <w:tcW w:w="4408" w:type="dxa"/>
            <w:shd w:val="clear" w:color="auto" w:fill="auto"/>
            <w:vAlign w:val="bottom"/>
          </w:tcPr>
          <w:p w14:paraId="7E5860E4">
            <w:pPr>
              <w:ind w:left="-80" w:leftChars="0"/>
              <w:jc w:val="right"/>
              <w:rPr>
                <w:rFonts w:hint="default" w:ascii="Arial" w:hAnsi="Arial" w:cs="Arial"/>
                <w:b/>
                <w:bCs/>
                <w:color w:val="000000"/>
                <w:sz w:val="24"/>
                <w:lang w:val="en-US"/>
              </w:rPr>
            </w:pPr>
            <w:r>
              <w:rPr>
                <w:rFonts w:hint="default" w:ascii="Arial" w:hAnsi="Arial" w:cs="Arial"/>
                <w:b/>
                <w:bCs/>
                <w:color w:val="000000"/>
                <w:sz w:val="24"/>
                <w:lang w:val="en-US" w:eastAsia="zh-CN"/>
              </w:rPr>
              <w:t xml:space="preserve">-90,579.03 </w:t>
            </w:r>
          </w:p>
        </w:tc>
      </w:tr>
    </w:tbl>
    <w:p w14:paraId="170D6DF7">
      <w:pPr>
        <w:pStyle w:val="24"/>
        <w:rPr>
          <w:rFonts w:hint="eastAsia" w:eastAsia="宋体"/>
          <w:lang w:eastAsia="zh-CN"/>
        </w:rPr>
      </w:pPr>
      <w:bookmarkStart w:id="41" w:name="_Toc484607313"/>
      <w:bookmarkStart w:id="42" w:name="_Toc484769808"/>
      <w:bookmarkStart w:id="43" w:name="_Toc483396840"/>
      <w:r>
        <w:rPr>
          <w:rFonts w:hint="eastAsia"/>
        </w:rPr>
        <w:t>注：1.利息收入系自202</w:t>
      </w:r>
      <w:r>
        <w:rPr>
          <w:rFonts w:hint="eastAsia"/>
          <w:lang w:val="en-US" w:eastAsia="zh-CN"/>
        </w:rPr>
        <w:t>6</w:t>
      </w:r>
      <w:r>
        <w:rPr>
          <w:rFonts w:hint="eastAsia"/>
        </w:rPr>
        <w:t>年</w:t>
      </w:r>
      <w:r>
        <w:rPr>
          <w:rFonts w:hint="eastAsia"/>
          <w:lang w:val="en-US" w:eastAsia="zh-CN"/>
        </w:rPr>
        <w:t>8</w:t>
      </w:r>
      <w:r>
        <w:rPr>
          <w:rFonts w:hint="eastAsia"/>
        </w:rPr>
        <w:t>月</w:t>
      </w:r>
      <w:r>
        <w:rPr>
          <w:rFonts w:hint="eastAsia"/>
          <w:lang w:val="en-US" w:eastAsia="zh-CN"/>
        </w:rPr>
        <w:t>8</w:t>
      </w:r>
      <w:r>
        <w:rPr>
          <w:rFonts w:hint="eastAsia"/>
        </w:rPr>
        <w:t>日至202</w:t>
      </w:r>
      <w:r>
        <w:rPr>
          <w:rFonts w:hint="eastAsia"/>
          <w:lang w:val="en-US" w:eastAsia="zh-CN"/>
        </w:rPr>
        <w:t>6</w:t>
      </w:r>
      <w:r>
        <w:rPr>
          <w:rFonts w:hint="eastAsia"/>
        </w:rPr>
        <w:t>年</w:t>
      </w:r>
      <w:r>
        <w:rPr>
          <w:rFonts w:hint="eastAsia"/>
          <w:lang w:val="en-US" w:eastAsia="zh-CN"/>
        </w:rPr>
        <w:t>9</w:t>
      </w:r>
      <w:r>
        <w:rPr>
          <w:rFonts w:hint="eastAsia"/>
        </w:rPr>
        <w:t>月</w:t>
      </w:r>
      <w:r>
        <w:rPr>
          <w:rFonts w:hint="eastAsia"/>
          <w:lang w:val="en-US" w:eastAsia="zh-CN"/>
        </w:rPr>
        <w:t>21</w:t>
      </w:r>
      <w:r>
        <w:rPr>
          <w:rFonts w:hint="eastAsia"/>
        </w:rPr>
        <w:t>日止清算期间产生的银行存款利息、结算备付金利息和存出保证金</w:t>
      </w:r>
      <w:bookmarkStart w:id="80" w:name="_GoBack"/>
      <w:bookmarkEnd w:id="80"/>
      <w:r>
        <w:rPr>
          <w:rFonts w:hint="eastAsia"/>
        </w:rPr>
        <w:t>利息</w:t>
      </w:r>
      <w:r>
        <w:rPr>
          <w:rFonts w:hint="eastAsia"/>
          <w:lang w:eastAsia="zh-CN"/>
        </w:rPr>
        <w:t>。</w:t>
      </w:r>
    </w:p>
    <w:p w14:paraId="12D74E08">
      <w:pPr>
        <w:pStyle w:val="3"/>
        <w:spacing w:before="0" w:after="0"/>
        <w:rPr>
          <w:rFonts w:ascii="宋体" w:hAnsi="宋体" w:eastAsia="宋体"/>
          <w:kern w:val="0"/>
          <w:sz w:val="21"/>
          <w:szCs w:val="21"/>
        </w:rPr>
      </w:pPr>
      <w:bookmarkStart w:id="44" w:name="_Toc145339097"/>
      <w:r>
        <w:rPr>
          <w:rFonts w:hint="eastAsia" w:ascii="宋体" w:hAnsi="宋体" w:eastAsia="宋体"/>
          <w:kern w:val="0"/>
          <w:sz w:val="21"/>
          <w:szCs w:val="21"/>
        </w:rPr>
        <w:t>4.3</w:t>
      </w:r>
      <w:r>
        <w:rPr>
          <w:rFonts w:ascii="宋体" w:hAnsi="宋体" w:eastAsia="宋体"/>
          <w:kern w:val="0"/>
          <w:sz w:val="21"/>
          <w:szCs w:val="21"/>
        </w:rPr>
        <w:t xml:space="preserve"> </w:t>
      </w:r>
      <w:r>
        <w:rPr>
          <w:rFonts w:hint="eastAsia" w:ascii="宋体" w:hAnsi="宋体" w:eastAsia="宋体"/>
          <w:kern w:val="0"/>
          <w:sz w:val="21"/>
          <w:szCs w:val="21"/>
        </w:rPr>
        <w:t>报表附注</w:t>
      </w:r>
      <w:bookmarkEnd w:id="41"/>
      <w:bookmarkEnd w:id="42"/>
      <w:bookmarkEnd w:id="43"/>
      <w:bookmarkEnd w:id="44"/>
    </w:p>
    <w:p w14:paraId="349E2539">
      <w:pPr>
        <w:spacing w:line="360" w:lineRule="auto"/>
        <w:rPr>
          <w:rFonts w:ascii="宋体" w:hAnsi="宋体"/>
          <w:b/>
          <w:szCs w:val="21"/>
        </w:rPr>
      </w:pPr>
      <w:r>
        <w:rPr>
          <w:rFonts w:ascii="宋体" w:hAnsi="宋体"/>
          <w:b/>
          <w:szCs w:val="21"/>
        </w:rPr>
        <w:t>4.3.</w:t>
      </w:r>
      <w:r>
        <w:rPr>
          <w:rFonts w:hint="eastAsia" w:ascii="宋体" w:hAnsi="宋体"/>
          <w:b/>
          <w:szCs w:val="21"/>
        </w:rPr>
        <w:t>1基金基本情况</w:t>
      </w:r>
    </w:p>
    <w:p w14:paraId="2747FDA4">
      <w:pPr>
        <w:pStyle w:val="24"/>
        <w:rPr>
          <w:rFonts w:hint="eastAsia"/>
          <w:lang w:eastAsia="zh-Hans"/>
        </w:rPr>
      </w:pPr>
      <w:r>
        <w:rPr>
          <w:rFonts w:hint="eastAsia"/>
          <w:lang w:val="en-US" w:eastAsia="zh-CN"/>
        </w:rPr>
        <w:t>本基金经中国证监会证监许可[2020]1526号《关于准予博时荣泰灵活配置混合型证券投资基金注册的批复》注册</w:t>
      </w:r>
      <w:r>
        <w:rPr>
          <w:rFonts w:hint="eastAsia"/>
          <w:lang w:eastAsia="zh-Hans"/>
        </w:rPr>
        <w:t>，由博时基金管理有限公司依照《中华人民共和国证券投资基金法》和《博时荣泰灵活配置混合型证券投资基金基金合同》负责公开募集。本基金为契约型</w:t>
      </w:r>
      <w:r>
        <w:rPr>
          <w:rFonts w:hint="eastAsia"/>
          <w:lang w:val="en-US" w:eastAsia="zh-CN"/>
        </w:rPr>
        <w:t>开放式基金</w:t>
      </w:r>
      <w:r>
        <w:rPr>
          <w:rFonts w:hint="eastAsia"/>
          <w:lang w:eastAsia="zh-Hans"/>
        </w:rPr>
        <w:t>，存续期限不定，首次设立募集不包括认购资金利息共募集人民币579,357,059.16元，业经安永华明会计师事务所（特殊普通合伙）安永华明（2020）验字第60669135_A04号验资报告予以验证。经向中国证监会备案，《博时荣泰灵活配置混合型证券投资基金基金合同》于2020年8月26日正式生效，基金合同生效日的基金份额总额为579,596,731.90份基金份额，其中认购资金利息折合239,672.74份基金份额。本基金的基金管理人为博时基金管理有限公司，基金托管人为浙商银行股份有限公司。</w:t>
      </w:r>
    </w:p>
    <w:p w14:paraId="1EECA3BF">
      <w:pPr>
        <w:pStyle w:val="24"/>
        <w:rPr>
          <w:rFonts w:hint="eastAsia"/>
          <w:lang w:eastAsia="zh-Hans"/>
        </w:rPr>
      </w:pPr>
      <w:r>
        <w:rPr>
          <w:rFonts w:hint="eastAsia"/>
          <w:lang w:eastAsia="zh-Hans"/>
        </w:rPr>
        <w:t>根据《中华人民共和国证券投资基金法》和《博时荣泰灵活配置混合型证券投资基金基金合同》的有关规定，本基金的投资范围主要为具有良好流动性的金融工具，包括依法发行上市的股票（包括中小板、创业板及其他经中国证监会核准或注册上市的股票、存托凭证）、债券（国债、金融债、企业债、公司债、地方政府债、政府支持机构债券、可转换债券（含分离交易可转债）、可交换债券、央行票据、中期票据、短期融资券、超短期融资券、次级债等）、资产支持证券、债券回购、银行存款、同业存单、货币市场工具、股指期货、国债期货、股票期权及法律法规或中国证监会允许基金投资的其他金融工具（但须符合中国证监会相关规定）。本基金可根据相关法律法规和基金合同的约定参与融资业务。本基金的投资组合比例为：本基金的股票资产（含存托凭证）占基金资产的40%-95%；每个交易日日终在扣除股指期货合约、股票期权合约、国债期货合约所需缴纳的交易保证金后，现金或到期日在一年以内的政府债券不低于基金资产净值的5%。其中，现金不包括结算备付金、存出保证金、应收申购款等。本基金的业绩比较基准为：沪深300指数收益率×70%＋中债综合财富（总值）指数收益率×30%。</w:t>
      </w:r>
    </w:p>
    <w:p w14:paraId="5ACDF3F3">
      <w:pPr>
        <w:spacing w:line="360" w:lineRule="auto"/>
        <w:rPr>
          <w:rFonts w:ascii="宋体" w:hAnsi="宋体"/>
          <w:b/>
          <w:szCs w:val="21"/>
        </w:rPr>
      </w:pPr>
      <w:r>
        <w:rPr>
          <w:rFonts w:ascii="宋体" w:hAnsi="宋体"/>
          <w:b/>
          <w:szCs w:val="21"/>
        </w:rPr>
        <w:t>4.3.</w:t>
      </w:r>
      <w:r>
        <w:rPr>
          <w:rFonts w:hint="eastAsia" w:ascii="宋体" w:hAnsi="宋体"/>
          <w:b/>
          <w:szCs w:val="21"/>
        </w:rPr>
        <w:t>2清算原因</w:t>
      </w:r>
    </w:p>
    <w:p w14:paraId="39D62A78">
      <w:pPr>
        <w:pStyle w:val="24"/>
        <w:rPr>
          <w:rFonts w:hint="eastAsia"/>
          <w:lang w:val="en-US" w:eastAsia="zh-Hans"/>
        </w:rPr>
      </w:pPr>
      <w:r>
        <w:rPr>
          <w:rFonts w:hint="eastAsia"/>
          <w:lang w:val="en-US" w:eastAsia="zh-Hans"/>
        </w:rPr>
        <w:t xml:space="preserve">根据《基金合同》“第五部分 基金备案”之“三、基金存续期内的基金份额持有人数量和资产规模”约定：“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法律法规或中国证监会另有规定时，从其规定。” </w:t>
      </w:r>
    </w:p>
    <w:p w14:paraId="73FD531E">
      <w:pPr>
        <w:pStyle w:val="24"/>
        <w:rPr>
          <w:rFonts w:hint="eastAsia"/>
          <w:lang w:val="en-US" w:eastAsia="zh-Hans"/>
        </w:rPr>
      </w:pPr>
      <w:r>
        <w:rPr>
          <w:rFonts w:hint="eastAsia"/>
          <w:lang w:val="en-US" w:eastAsia="zh-Hans"/>
        </w:rPr>
        <w:t>截至2026年8月7日，本基金出现连续五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53E01D5B">
      <w:pPr>
        <w:spacing w:line="360" w:lineRule="auto"/>
        <w:rPr>
          <w:rFonts w:ascii="宋体" w:hAnsi="宋体"/>
          <w:b/>
          <w:szCs w:val="21"/>
        </w:rPr>
      </w:pPr>
      <w:r>
        <w:rPr>
          <w:rFonts w:ascii="宋体" w:hAnsi="宋体"/>
          <w:b/>
          <w:szCs w:val="21"/>
        </w:rPr>
        <w:t>4.3.</w:t>
      </w:r>
      <w:r>
        <w:rPr>
          <w:rFonts w:hint="eastAsia" w:ascii="宋体" w:hAnsi="宋体"/>
          <w:b/>
          <w:szCs w:val="21"/>
        </w:rPr>
        <w:t>3清算起始日</w:t>
      </w:r>
    </w:p>
    <w:p w14:paraId="47BBB669">
      <w:pPr>
        <w:pStyle w:val="24"/>
      </w:pPr>
      <w:r>
        <w:rPr>
          <w:rFonts w:hint="eastAsia"/>
        </w:rPr>
        <w:t>根据《博时基金管理有限公司关于</w:t>
      </w:r>
      <w:r>
        <w:t>博时荣泰灵活配置混合型证券投资基金</w:t>
      </w:r>
      <w:r>
        <w:rPr>
          <w:rFonts w:hint="eastAsia"/>
        </w:rPr>
        <w:t>基金合同终止及基金财产清算的公告》，自</w:t>
      </w:r>
      <w:r>
        <w:t>2026</w:t>
      </w:r>
      <w:r>
        <w:rPr>
          <w:rFonts w:hint="eastAsia"/>
        </w:rPr>
        <w:t>年</w:t>
      </w:r>
      <w:r>
        <w:t>8</w:t>
      </w:r>
      <w:r>
        <w:rPr>
          <w:rFonts w:hint="eastAsia"/>
        </w:rPr>
        <w:t>月</w:t>
      </w:r>
      <w:r>
        <w:t>8</w:t>
      </w:r>
      <w:r>
        <w:rPr>
          <w:rFonts w:hint="eastAsia"/>
        </w:rPr>
        <w:t>日起，本基金进入清算程序。</w:t>
      </w:r>
    </w:p>
    <w:p w14:paraId="3009E8F7">
      <w:pPr>
        <w:spacing w:line="360" w:lineRule="auto"/>
        <w:rPr>
          <w:rFonts w:ascii="宋体" w:hAnsi="宋体"/>
          <w:b/>
          <w:szCs w:val="21"/>
        </w:rPr>
      </w:pPr>
      <w:r>
        <w:rPr>
          <w:rFonts w:ascii="宋体" w:hAnsi="宋体"/>
          <w:b/>
          <w:szCs w:val="21"/>
        </w:rPr>
        <w:t>4.3.</w:t>
      </w:r>
      <w:r>
        <w:rPr>
          <w:rFonts w:hint="eastAsia" w:ascii="宋体" w:hAnsi="宋体"/>
          <w:b/>
          <w:szCs w:val="21"/>
        </w:rPr>
        <w:t>4清算财务报表的编制基础</w:t>
      </w:r>
    </w:p>
    <w:p w14:paraId="27E94C7F">
      <w:pPr>
        <w:spacing w:line="360" w:lineRule="auto"/>
        <w:ind w:firstLine="420" w:firstLineChars="20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本基金的清算报</w:t>
      </w:r>
      <w:r>
        <w:rPr>
          <w:rFonts w:hint="eastAsia" w:asciiTheme="minorEastAsia" w:hAnsiTheme="minorEastAsia" w:eastAsiaTheme="minorEastAsia"/>
          <w:color w:val="000000"/>
          <w:szCs w:val="21"/>
          <w:lang w:val="en-US" w:eastAsia="zh-CN"/>
        </w:rPr>
        <w:t>表</w:t>
      </w:r>
      <w:r>
        <w:rPr>
          <w:rFonts w:hint="eastAsia" w:asciiTheme="minorEastAsia" w:hAnsiTheme="minorEastAsia" w:eastAsiaTheme="minorEastAsia"/>
          <w:color w:val="000000"/>
          <w:szCs w:val="21"/>
        </w:rPr>
        <w:t>系按照《</w:t>
      </w:r>
      <w:r>
        <w:rPr>
          <w:rFonts w:hint="eastAsia" w:asciiTheme="minorEastAsia" w:hAnsiTheme="minorEastAsia" w:eastAsiaTheme="minorEastAsia"/>
          <w:color w:val="000000"/>
          <w:szCs w:val="21"/>
          <w:lang w:eastAsia="zh-Hans"/>
        </w:rPr>
        <w:t>博时荣泰灵活配置混合型证券投资基金基金合同</w:t>
      </w:r>
      <w:r>
        <w:rPr>
          <w:rFonts w:hint="eastAsia" w:asciiTheme="minorEastAsia" w:hAnsiTheme="minorEastAsia" w:eastAsiaTheme="minorEastAsia"/>
          <w:color w:val="000000"/>
          <w:szCs w:val="21"/>
        </w:rPr>
        <w:t>》约定的资产估值和会计核算方法，并参考《企业会计准则》及《资产管理产品相关会计处理规定》的有关规定编制的。由于报告性质所致，本清算报表并无比较期间的相关数据列示。管理人编制本清算报表是为了博时荣泰灵活配置混合型证券投资基金基金财产清算小组报送博时荣泰灵活配置混合型证券投资基金全体持有人以及中国证券监督管理委员会使用。因此，本清算报表不适用于其他用途。</w:t>
      </w:r>
    </w:p>
    <w:p w14:paraId="6DF8F014">
      <w:pPr>
        <w:spacing w:line="360" w:lineRule="auto"/>
        <w:rPr>
          <w:rFonts w:ascii="宋体" w:hAnsi="宋体"/>
          <w:b/>
          <w:szCs w:val="21"/>
        </w:rPr>
      </w:pPr>
      <w:r>
        <w:rPr>
          <w:rFonts w:ascii="宋体" w:hAnsi="宋体"/>
          <w:b/>
          <w:szCs w:val="21"/>
        </w:rPr>
        <w:t>4.3.</w:t>
      </w:r>
      <w:r>
        <w:rPr>
          <w:rFonts w:hint="eastAsia" w:ascii="宋体" w:hAnsi="宋体"/>
          <w:b/>
          <w:szCs w:val="21"/>
        </w:rPr>
        <w:t>5 重要会计政策和会计估计</w:t>
      </w:r>
    </w:p>
    <w:p w14:paraId="44E5A60D">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1清算期间</w:t>
      </w:r>
    </w:p>
    <w:p w14:paraId="6AC0F09D">
      <w:pPr>
        <w:spacing w:line="360" w:lineRule="auto"/>
        <w:ind w:firstLine="420" w:firstLineChars="200"/>
        <w:rPr>
          <w:rFonts w:ascii="宋体" w:hAnsi="宋体"/>
          <w:color w:val="000000"/>
          <w:szCs w:val="21"/>
        </w:rPr>
      </w:pPr>
      <w:r>
        <w:rPr>
          <w:rFonts w:hint="eastAsia" w:ascii="宋体" w:hAnsi="宋体"/>
          <w:color w:val="000000"/>
          <w:szCs w:val="21"/>
        </w:rPr>
        <w:t>本次清算期间为202</w:t>
      </w:r>
      <w:r>
        <w:rPr>
          <w:rFonts w:hint="eastAsia" w:ascii="宋体" w:hAnsi="宋体"/>
          <w:color w:val="000000"/>
          <w:szCs w:val="21"/>
          <w:lang w:val="en-US" w:eastAsia="zh-CN"/>
        </w:rPr>
        <w:t>6</w:t>
      </w:r>
      <w:r>
        <w:rPr>
          <w:rFonts w:hint="eastAsia" w:ascii="宋体" w:hAnsi="宋体"/>
          <w:color w:val="000000"/>
          <w:szCs w:val="21"/>
        </w:rPr>
        <w:t>年</w:t>
      </w:r>
      <w:r>
        <w:rPr>
          <w:rFonts w:hint="eastAsia" w:ascii="宋体" w:hAnsi="宋体"/>
          <w:color w:val="000000"/>
          <w:szCs w:val="21"/>
          <w:lang w:val="en-US" w:eastAsia="zh-CN"/>
        </w:rPr>
        <w:t>8</w:t>
      </w:r>
      <w:r>
        <w:rPr>
          <w:rFonts w:hint="eastAsia" w:ascii="宋体" w:hAnsi="宋体"/>
          <w:color w:val="000000"/>
          <w:szCs w:val="21"/>
        </w:rPr>
        <w:t>月</w:t>
      </w:r>
      <w:r>
        <w:rPr>
          <w:rFonts w:hint="eastAsia" w:ascii="宋体" w:hAnsi="宋体"/>
          <w:color w:val="000000"/>
          <w:szCs w:val="21"/>
          <w:lang w:val="en-US" w:eastAsia="zh-CN"/>
        </w:rPr>
        <w:t>8</w:t>
      </w:r>
      <w:r>
        <w:rPr>
          <w:rFonts w:hint="eastAsia" w:ascii="宋体" w:hAnsi="宋体"/>
          <w:color w:val="000000"/>
          <w:szCs w:val="21"/>
        </w:rPr>
        <w:t>日至202</w:t>
      </w:r>
      <w:r>
        <w:rPr>
          <w:rFonts w:hint="eastAsia" w:ascii="宋体" w:hAnsi="宋体"/>
          <w:color w:val="000000"/>
          <w:szCs w:val="21"/>
          <w:lang w:val="en-US" w:eastAsia="zh-CN"/>
        </w:rPr>
        <w:t>6</w:t>
      </w:r>
      <w:r>
        <w:rPr>
          <w:rFonts w:hint="eastAsia" w:ascii="宋体" w:hAnsi="宋体"/>
          <w:color w:val="000000"/>
          <w:szCs w:val="21"/>
        </w:rPr>
        <w:t>年</w:t>
      </w:r>
      <w:r>
        <w:rPr>
          <w:rFonts w:hint="eastAsia" w:ascii="宋体" w:hAnsi="宋体"/>
          <w:color w:val="000000"/>
          <w:szCs w:val="21"/>
          <w:lang w:val="en-US" w:eastAsia="zh-CN"/>
        </w:rPr>
        <w:t>9</w:t>
      </w:r>
      <w:r>
        <w:rPr>
          <w:rFonts w:hint="eastAsia" w:ascii="宋体" w:hAnsi="宋体"/>
          <w:color w:val="000000"/>
          <w:szCs w:val="21"/>
        </w:rPr>
        <w:t>月</w:t>
      </w:r>
      <w:r>
        <w:rPr>
          <w:rFonts w:hint="eastAsia" w:ascii="宋体" w:hAnsi="宋体"/>
          <w:color w:val="000000"/>
          <w:szCs w:val="21"/>
          <w:lang w:val="en-US" w:eastAsia="zh-CN"/>
        </w:rPr>
        <w:t>21</w:t>
      </w:r>
      <w:r>
        <w:rPr>
          <w:rFonts w:hint="eastAsia" w:ascii="宋体" w:hAnsi="宋体"/>
          <w:color w:val="000000"/>
          <w:szCs w:val="21"/>
        </w:rPr>
        <w:t>日。</w:t>
      </w:r>
    </w:p>
    <w:p w14:paraId="79110D97">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.2 记账本位币</w:t>
      </w:r>
    </w:p>
    <w:p w14:paraId="080021A0">
      <w:pPr>
        <w:spacing w:line="360" w:lineRule="auto"/>
        <w:ind w:firstLine="420" w:firstLineChars="200"/>
        <w:rPr>
          <w:rFonts w:ascii="宋体" w:hAnsi="宋体"/>
          <w:color w:val="000000"/>
          <w:szCs w:val="21"/>
        </w:rPr>
      </w:pPr>
      <w:r>
        <w:rPr>
          <w:rFonts w:hint="eastAsia" w:ascii="宋体" w:hAnsi="宋体"/>
          <w:color w:val="000000"/>
          <w:szCs w:val="21"/>
        </w:rPr>
        <w:t>本清算财务报表以人民币为记账</w:t>
      </w:r>
      <w:r>
        <w:rPr>
          <w:rFonts w:hint="eastAsia" w:ascii="宋体" w:hAnsi="宋体"/>
          <w:color w:val="000000"/>
          <w:szCs w:val="21"/>
          <w:lang w:val="en-US" w:eastAsia="zh-CN"/>
        </w:rPr>
        <w:t>本位币</w:t>
      </w:r>
      <w:r>
        <w:rPr>
          <w:rFonts w:hint="eastAsia" w:ascii="宋体" w:hAnsi="宋体"/>
          <w:color w:val="000000"/>
          <w:szCs w:val="21"/>
        </w:rPr>
        <w:t>。</w:t>
      </w:r>
    </w:p>
    <w:p w14:paraId="68AB2EC9">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3</w:t>
      </w:r>
      <w:r>
        <w:rPr>
          <w:rFonts w:ascii="宋体" w:hAnsi="宋体"/>
          <w:b/>
          <w:szCs w:val="21"/>
        </w:rPr>
        <w:t xml:space="preserve"> </w:t>
      </w:r>
      <w:r>
        <w:rPr>
          <w:rFonts w:hint="eastAsia" w:ascii="宋体" w:hAnsi="宋体"/>
          <w:b/>
          <w:szCs w:val="21"/>
        </w:rPr>
        <w:t xml:space="preserve">应收款项的确认和计量 </w:t>
      </w:r>
    </w:p>
    <w:p w14:paraId="72A45389">
      <w:pPr>
        <w:spacing w:line="360" w:lineRule="auto"/>
        <w:ind w:firstLine="420" w:firstLineChars="200"/>
        <w:rPr>
          <w:rFonts w:ascii="宋体" w:hAnsi="宋体"/>
          <w:color w:val="000000"/>
          <w:szCs w:val="21"/>
        </w:rPr>
      </w:pPr>
      <w:r>
        <w:rPr>
          <w:rFonts w:ascii="宋体" w:hAnsi="宋体"/>
          <w:color w:val="000000"/>
          <w:szCs w:val="21"/>
        </w:rPr>
        <w:t>应收款项按照未来应收取的款项金额计量。</w:t>
      </w:r>
    </w:p>
    <w:p w14:paraId="76D040C8">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4</w:t>
      </w:r>
      <w:r>
        <w:rPr>
          <w:rFonts w:ascii="宋体" w:hAnsi="宋体"/>
          <w:b/>
          <w:szCs w:val="21"/>
        </w:rPr>
        <w:t xml:space="preserve"> </w:t>
      </w:r>
      <w:r>
        <w:rPr>
          <w:rFonts w:hint="eastAsia" w:ascii="宋体" w:hAnsi="宋体"/>
          <w:b/>
          <w:szCs w:val="21"/>
        </w:rPr>
        <w:t xml:space="preserve">应付款项的确认和计量 </w:t>
      </w:r>
    </w:p>
    <w:p w14:paraId="5CDF5CC5">
      <w:pPr>
        <w:spacing w:line="360" w:lineRule="auto"/>
        <w:ind w:firstLine="420" w:firstLineChars="200"/>
        <w:rPr>
          <w:rFonts w:ascii="宋体" w:hAnsi="宋体"/>
          <w:color w:val="000000"/>
          <w:szCs w:val="21"/>
        </w:rPr>
      </w:pPr>
      <w:r>
        <w:rPr>
          <w:rFonts w:ascii="宋体" w:hAnsi="宋体"/>
          <w:color w:val="000000"/>
          <w:szCs w:val="21"/>
        </w:rPr>
        <w:t>应付款项按照未来应支付的款项金额计量。</w:t>
      </w:r>
    </w:p>
    <w:p w14:paraId="31C8DA0A">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w:t>
      </w:r>
      <w:r>
        <w:rPr>
          <w:rFonts w:hint="eastAsia" w:ascii="宋体" w:hAnsi="宋体"/>
          <w:b/>
          <w:szCs w:val="21"/>
        </w:rPr>
        <w:t>5</w:t>
      </w:r>
      <w:r>
        <w:rPr>
          <w:rFonts w:ascii="宋体" w:hAnsi="宋体"/>
          <w:b/>
          <w:szCs w:val="21"/>
        </w:rPr>
        <w:t xml:space="preserve"> </w:t>
      </w:r>
      <w:r>
        <w:rPr>
          <w:rFonts w:hint="eastAsia" w:ascii="宋体" w:hAnsi="宋体"/>
          <w:b/>
          <w:szCs w:val="21"/>
        </w:rPr>
        <w:t xml:space="preserve">清算收益的确认和计量 </w:t>
      </w:r>
    </w:p>
    <w:p w14:paraId="4982F014">
      <w:pPr>
        <w:spacing w:line="360" w:lineRule="auto"/>
        <w:ind w:firstLine="420" w:firstLineChars="200"/>
        <w:rPr>
          <w:rFonts w:ascii="宋体" w:hAnsi="宋体"/>
          <w:color w:val="000000"/>
          <w:szCs w:val="21"/>
        </w:rPr>
      </w:pPr>
      <w:r>
        <w:rPr>
          <w:rFonts w:ascii="宋体" w:hAnsi="宋体"/>
          <w:color w:val="000000"/>
          <w:szCs w:val="21"/>
        </w:rPr>
        <w:t>清算收益按照实际发生的收益金额或未来应收取的款项金额计量。</w:t>
      </w:r>
    </w:p>
    <w:p w14:paraId="700A6D76">
      <w:pPr>
        <w:spacing w:line="360" w:lineRule="auto"/>
        <w:rPr>
          <w:rFonts w:ascii="宋体" w:hAnsi="宋体"/>
          <w:b/>
          <w:szCs w:val="21"/>
        </w:rPr>
      </w:pPr>
      <w:r>
        <w:rPr>
          <w:rFonts w:ascii="宋体" w:hAnsi="宋体"/>
          <w:b/>
          <w:szCs w:val="21"/>
        </w:rPr>
        <w:t>4.3.</w:t>
      </w:r>
      <w:r>
        <w:rPr>
          <w:rFonts w:hint="eastAsia" w:ascii="宋体" w:hAnsi="宋体"/>
          <w:b/>
          <w:szCs w:val="21"/>
        </w:rPr>
        <w:t>5</w:t>
      </w:r>
      <w:r>
        <w:rPr>
          <w:rFonts w:ascii="宋体" w:hAnsi="宋体"/>
          <w:b/>
          <w:szCs w:val="21"/>
        </w:rPr>
        <w:t>.6</w:t>
      </w:r>
      <w:r>
        <w:rPr>
          <w:rFonts w:hint="eastAsia" w:ascii="宋体" w:hAnsi="宋体"/>
          <w:b/>
          <w:szCs w:val="21"/>
        </w:rPr>
        <w:t xml:space="preserve">清算费用的确认和计量 </w:t>
      </w:r>
    </w:p>
    <w:p w14:paraId="6303B86A">
      <w:pPr>
        <w:spacing w:line="360" w:lineRule="auto"/>
        <w:ind w:firstLine="420" w:firstLineChars="200"/>
        <w:rPr>
          <w:rFonts w:ascii="宋体" w:hAnsi="宋体"/>
          <w:color w:val="000000"/>
          <w:szCs w:val="21"/>
        </w:rPr>
      </w:pPr>
      <w:r>
        <w:rPr>
          <w:rFonts w:ascii="宋体" w:hAnsi="宋体"/>
          <w:color w:val="000000"/>
          <w:szCs w:val="21"/>
        </w:rPr>
        <w:t>清算费用按照实际发生的费用金额或未来应支付的款项金额计量。</w:t>
      </w:r>
    </w:p>
    <w:p w14:paraId="339473F7">
      <w:pPr>
        <w:spacing w:line="360" w:lineRule="auto"/>
        <w:rPr>
          <w:rFonts w:ascii="宋体" w:hAnsi="宋体"/>
          <w:b/>
          <w:szCs w:val="21"/>
        </w:rPr>
      </w:pPr>
      <w:r>
        <w:rPr>
          <w:rFonts w:ascii="宋体" w:hAnsi="宋体"/>
          <w:b/>
          <w:szCs w:val="21"/>
        </w:rPr>
        <w:t>4.3.</w:t>
      </w:r>
      <w:r>
        <w:rPr>
          <w:rFonts w:hint="eastAsia" w:ascii="宋体" w:hAnsi="宋体"/>
          <w:b/>
          <w:szCs w:val="21"/>
        </w:rPr>
        <w:t>6 税项</w:t>
      </w:r>
    </w:p>
    <w:p w14:paraId="58FBFBE1">
      <w:pPr>
        <w:spacing w:line="360" w:lineRule="auto"/>
        <w:ind w:firstLine="420" w:firstLineChars="200"/>
        <w:rPr>
          <w:rFonts w:hint="eastAsia" w:ascii="宋体" w:hAnsi="宋体"/>
          <w:color w:val="000000"/>
          <w:szCs w:val="21"/>
        </w:rPr>
      </w:pPr>
      <w:r>
        <w:rPr>
          <w:rFonts w:hint="eastAsia" w:ascii="宋体" w:hAnsi="宋体"/>
          <w:color w:val="000000"/>
          <w:szCs w:val="21"/>
        </w:rPr>
        <w:t>（1） 印花税</w:t>
      </w:r>
    </w:p>
    <w:p w14:paraId="5E0566C9">
      <w:pPr>
        <w:spacing w:line="360" w:lineRule="auto"/>
        <w:ind w:firstLine="420" w:firstLineChars="200"/>
        <w:rPr>
          <w:rFonts w:hint="eastAsia" w:ascii="宋体" w:hAnsi="宋体"/>
          <w:color w:val="000000"/>
          <w:szCs w:val="21"/>
        </w:rPr>
      </w:pPr>
      <w:r>
        <w:rPr>
          <w:rFonts w:hint="eastAsia" w:ascii="宋体" w:hAnsi="宋体"/>
          <w:color w:val="000000"/>
          <w:szCs w:val="21"/>
        </w:rPr>
        <w:t>经国务院批准，财政部、国家税务总局研究决定，自2008年4月24日起，调整证券（股票）交易印花税税率，由原先的3‰调整为1‰，自2008年9月19日起，调整由出让方按证券（股票）交易印花税税率缴纳印花税，受让方不再征收，税率不变；</w:t>
      </w:r>
    </w:p>
    <w:p w14:paraId="0CAB6E0D">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根据财政部、税务总局公告2023年第39号《关于减半征收证券交易印花税的公告》的规定，自2023年8月28日起，证券交易印花税实施减半征收。 </w:t>
      </w:r>
    </w:p>
    <w:p w14:paraId="39B0D385">
      <w:pPr>
        <w:spacing w:line="360" w:lineRule="auto"/>
        <w:ind w:firstLine="420" w:firstLineChars="200"/>
        <w:rPr>
          <w:rFonts w:hint="eastAsia" w:ascii="宋体" w:hAnsi="宋体"/>
          <w:color w:val="000000"/>
          <w:szCs w:val="21"/>
        </w:rPr>
      </w:pPr>
      <w:r>
        <w:rPr>
          <w:rFonts w:hint="eastAsia" w:ascii="宋体" w:hAnsi="宋体"/>
          <w:color w:val="000000"/>
          <w:szCs w:val="21"/>
        </w:rPr>
        <w:t>（2） 增值税</w:t>
      </w:r>
    </w:p>
    <w:p w14:paraId="32FE6B69">
      <w:pPr>
        <w:spacing w:line="360" w:lineRule="auto"/>
        <w:ind w:firstLine="420" w:firstLineChars="200"/>
        <w:rPr>
          <w:rFonts w:hint="eastAsia" w:ascii="宋体" w:hAnsi="宋体"/>
          <w:color w:val="000000"/>
          <w:szCs w:val="21"/>
        </w:rPr>
      </w:pPr>
      <w:r>
        <w:rPr>
          <w:rFonts w:hint="eastAsia" w:ascii="宋体" w:hAnsi="宋体"/>
          <w:color w:val="000000"/>
          <w:szCs w:val="21"/>
        </w:rPr>
        <w:t>根据中华人民共和国主席令第四十一号《中华人民共和国增值税法》、中华人民共和国国务院令第826号文《中华人民共和国增值税法实施条例》及财政部、税务总局公告2026年第10号文《关于增值税法施行后增值税优惠政策衔接事项的公告》的规定，资管产品运营过程中发生的应税交易，资管产品管理人为纳税人；自2026年1月1日至2027年12月31日，对公募证券投资基金（封闭式证券投资基金、开放式证券投资基金）管理人运用基金买卖股票、债券取得的收入免征增值税；自2026年1月1日至2027年12月31日，金融同业往来利息收入免征增值税，金融同业往来利息收入包括金融机构与人民银行所发生的资金往来业务、银行联行往来业务、金融机构间的资金往来业务，以及金融机构开展同业存款、同业借款、同业代付、买断式买入返售金融商品、质押式买入返售金融商品、同业存单，取得的利息收入；取得存款利息收入不属于应税交易，不征收增值税；</w:t>
      </w:r>
    </w:p>
    <w:p w14:paraId="490E42DC">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公告2025年第4号文《关于国债等债券利息收入增值税政策的公告》的规定，自2025年8月8日起，对在该日期之后（含当日）新发行的国债、地方政府债券、金融债券的利息收入，恢复征收增值税。对在该日期之前已发行的国债、地方政府债券、金融债券（包含在2025年8月8日之后续发行的部分）的利息收入，继续免征增值税直至债券到期；</w:t>
      </w:r>
    </w:p>
    <w:p w14:paraId="77D8D8D1">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财税[2017]56号文《关于资管产品增值税有关问题的通知》及财政部、税务总局公告2026年第10号文《关于增值税法施行后增值税优惠政策衔接事项的公告》的规定，自2026年1月1日至2027年12月31日，资管产品管理人运营契约制资管产品过程中发生的增值税应税行为，可以选择适用简易计税方法，按照3%的规定征收率计算缴纳增值税，资管产品管理人未分别核算运营资管产品过程中发生的增值税应税行为（以下称资管产品运营业务）和其他业务的销售额和增值税应纳税额的除外。资管产品管理人可选择分别或汇总核算资管产品运营业务销售额和增值税应纳税额；</w:t>
      </w:r>
    </w:p>
    <w:p w14:paraId="0438611E">
      <w:pPr>
        <w:spacing w:line="360" w:lineRule="auto"/>
        <w:ind w:firstLine="420" w:firstLineChars="200"/>
        <w:rPr>
          <w:rFonts w:hint="eastAsia" w:ascii="宋体" w:hAnsi="宋体"/>
          <w:color w:val="000000"/>
          <w:szCs w:val="21"/>
        </w:rPr>
      </w:pPr>
      <w:r>
        <w:rPr>
          <w:rFonts w:hint="eastAsia" w:ascii="宋体" w:hAnsi="宋体"/>
          <w:color w:val="000000"/>
          <w:szCs w:val="21"/>
        </w:rPr>
        <w:t>增值税附加税包括城市维护建设税、教育费附加和地方教育附加，以实际缴纳的增值税税额为计税依据，分别按规定的比例缴纳。</w:t>
      </w:r>
    </w:p>
    <w:p w14:paraId="063075EB">
      <w:pPr>
        <w:spacing w:line="360" w:lineRule="auto"/>
        <w:ind w:firstLine="420" w:firstLineChars="200"/>
        <w:rPr>
          <w:rFonts w:hint="eastAsia" w:ascii="宋体" w:hAnsi="宋体"/>
          <w:color w:val="000000"/>
          <w:szCs w:val="21"/>
        </w:rPr>
      </w:pPr>
      <w:r>
        <w:rPr>
          <w:rFonts w:hint="eastAsia" w:ascii="宋体" w:hAnsi="宋体"/>
          <w:color w:val="000000"/>
          <w:szCs w:val="21"/>
        </w:rPr>
        <w:t>（3） 企业所得税</w:t>
      </w:r>
    </w:p>
    <w:p w14:paraId="34296156">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财税[2004]78号文《关于证券投资基金税收政策的通知》的规定，自2004年1月1日起，对证券投资基金（封闭式证券投资基金，开放式证券投资基金）管理人运用基金买卖股票、债券的差价收入，继续免征企业所得税；</w:t>
      </w:r>
    </w:p>
    <w:p w14:paraId="0DE3E2B5">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财税[2008]1号文《关于企业所得税若干优惠政策的通知》的规定，对证券投资基金从证券市场中取得的收入，包括买卖股票、债券的差价收入，股权的股息、红利收入，债券的利息收入及其他收入，暂不征收企业所得税。</w:t>
      </w:r>
    </w:p>
    <w:p w14:paraId="4EE7F79E">
      <w:pPr>
        <w:spacing w:line="360" w:lineRule="auto"/>
        <w:ind w:firstLine="420" w:firstLineChars="200"/>
        <w:rPr>
          <w:rFonts w:hint="eastAsia" w:ascii="宋体" w:hAnsi="宋体"/>
          <w:color w:val="000000"/>
          <w:szCs w:val="21"/>
        </w:rPr>
      </w:pPr>
      <w:r>
        <w:rPr>
          <w:rFonts w:hint="eastAsia" w:ascii="宋体" w:hAnsi="宋体"/>
          <w:color w:val="000000"/>
          <w:szCs w:val="21"/>
        </w:rPr>
        <w:t>（4） 个人所得税</w:t>
      </w:r>
    </w:p>
    <w:p w14:paraId="7D67467F">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根据财政部、国家税务总局财税[2008]132号文《财政部、国家税务总局关于储蓄存款利息所得有关个人所得税政策的通知》的规定，自2008年10月9日起，对储蓄存款利息所得暂免征收个人所得税；</w:t>
      </w:r>
    </w:p>
    <w:p w14:paraId="3D5B16B5">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中国证监会财税[2012]85号文《关于实施上市公司股息红利差别化个人所得税政策有关问题的通知》的规定，自2013年1月1日起，证券投资基金从公开发行和转让市场取得的上市公司股票，持股期限在1个月以内（含1个月）的，其股息红利所得全额计入应纳税所得额；持股期限在1个月以上至1年（含1年）的，暂减按50%计入应纳税所得额；持股期限超过1年的，暂减按25%计入应纳税所得额。上述所得统一适用20%的税率计征个人所得税；</w:t>
      </w:r>
    </w:p>
    <w:p w14:paraId="05780B21">
      <w:pPr>
        <w:spacing w:line="360" w:lineRule="auto"/>
        <w:ind w:firstLine="420" w:firstLineChars="200"/>
        <w:rPr>
          <w:rFonts w:hint="eastAsia" w:ascii="宋体" w:hAnsi="宋体"/>
          <w:color w:val="000000"/>
          <w:szCs w:val="21"/>
        </w:rPr>
      </w:pPr>
      <w:r>
        <w:rPr>
          <w:rFonts w:hint="eastAsia" w:ascii="宋体" w:hAnsi="宋体"/>
          <w:color w:val="000000"/>
          <w:szCs w:val="21"/>
        </w:rPr>
        <w:t>根据财政部、国家税务总局、中国证监会财税[2015]101号文《关于上市公司股息红利差别化个人所得税政策有关问题的通知》的规定，自2015年9月8日起，证券投资基金从公开发行和转让市场取得的上市公司股票，持股期限超过1年的，股息红利所得暂免征收个人所得税。</w:t>
      </w:r>
    </w:p>
    <w:p w14:paraId="469FC8E5">
      <w:pPr>
        <w:pStyle w:val="2"/>
        <w:keepNext/>
        <w:keepLines/>
        <w:widowControl w:val="0"/>
        <w:spacing w:before="312" w:beforeLines="100" w:after="312" w:afterLines="100" w:line="360" w:lineRule="auto"/>
        <w:jc w:val="center"/>
        <w:rPr>
          <w:rStyle w:val="20"/>
          <w:rFonts w:ascii="宋体" w:hAnsi="宋体"/>
        </w:rPr>
      </w:pPr>
      <w:bookmarkStart w:id="45" w:name="_Toc145339098"/>
      <w:bookmarkStart w:id="46" w:name="_Toc484769809"/>
      <w:r>
        <w:rPr>
          <w:rStyle w:val="20"/>
          <w:rFonts w:hint="eastAsia" w:ascii="宋体" w:hAnsi="宋体"/>
        </w:rPr>
        <w:t>5、清算情况</w:t>
      </w:r>
      <w:bookmarkEnd w:id="45"/>
    </w:p>
    <w:p w14:paraId="6501637E">
      <w:pPr>
        <w:pStyle w:val="3"/>
        <w:spacing w:before="0" w:after="0"/>
        <w:rPr>
          <w:rFonts w:ascii="宋体" w:hAnsi="宋体" w:eastAsia="宋体"/>
          <w:kern w:val="0"/>
          <w:sz w:val="21"/>
          <w:szCs w:val="21"/>
        </w:rPr>
      </w:pPr>
      <w:bookmarkStart w:id="47" w:name="_Toc145339099"/>
      <w:r>
        <w:rPr>
          <w:rFonts w:hint="eastAsia" w:ascii="宋体" w:hAnsi="宋体" w:eastAsia="宋体"/>
          <w:kern w:val="0"/>
          <w:sz w:val="21"/>
          <w:szCs w:val="21"/>
        </w:rPr>
        <w:t>5.1 资产负债清算情况</w:t>
      </w:r>
      <w:bookmarkEnd w:id="47"/>
    </w:p>
    <w:p w14:paraId="4A29997D">
      <w:pPr>
        <w:pStyle w:val="24"/>
      </w:pPr>
      <w:r>
        <w:rPr>
          <w:rFonts w:hint="eastAsia"/>
        </w:rPr>
        <w:t>自202</w:t>
      </w:r>
      <w:r>
        <w:rPr>
          <w:rFonts w:hint="eastAsia"/>
          <w:lang w:val="en-US" w:eastAsia="zh-CN"/>
        </w:rPr>
        <w:t>6</w:t>
      </w:r>
      <w:r>
        <w:rPr>
          <w:rFonts w:hint="eastAsia"/>
        </w:rPr>
        <w:t>年</w:t>
      </w:r>
      <w:r>
        <w:rPr>
          <w:rFonts w:hint="eastAsia"/>
          <w:lang w:val="en-US" w:eastAsia="zh-CN"/>
        </w:rPr>
        <w:t>8</w:t>
      </w:r>
      <w:r>
        <w:rPr>
          <w:rFonts w:hint="eastAsia"/>
        </w:rPr>
        <w:t>月</w:t>
      </w:r>
      <w:r>
        <w:rPr>
          <w:rFonts w:hint="eastAsia"/>
          <w:lang w:val="en-US" w:eastAsia="zh-CN"/>
        </w:rPr>
        <w:t>8</w:t>
      </w:r>
      <w:r>
        <w:rPr>
          <w:rFonts w:hint="eastAsia"/>
        </w:rPr>
        <w:t>日至202</w:t>
      </w:r>
      <w:r>
        <w:rPr>
          <w:rFonts w:hint="eastAsia"/>
          <w:lang w:val="en-US" w:eastAsia="zh-CN"/>
        </w:rPr>
        <w:t>6</w:t>
      </w:r>
      <w:r>
        <w:rPr>
          <w:rFonts w:hint="eastAsia"/>
        </w:rPr>
        <w:t>年</w:t>
      </w:r>
      <w:r>
        <w:rPr>
          <w:rFonts w:hint="eastAsia"/>
          <w:lang w:val="en-US" w:eastAsia="zh-CN"/>
        </w:rPr>
        <w:t>9</w:t>
      </w:r>
      <w:r>
        <w:rPr>
          <w:rFonts w:hint="eastAsia"/>
        </w:rPr>
        <w:t>月</w:t>
      </w:r>
      <w:r>
        <w:rPr>
          <w:rFonts w:hint="eastAsia"/>
          <w:lang w:val="en-US" w:eastAsia="zh-CN"/>
        </w:rPr>
        <w:t>21</w:t>
      </w:r>
      <w:r>
        <w:rPr>
          <w:rFonts w:hint="eastAsia"/>
        </w:rPr>
        <w:t>日止为本次清算期间，基金财产清算小组对本基金的基金财产进行清算，全部清算工作按清算原则和清算手续进行。具体清算情况如下：</w:t>
      </w:r>
    </w:p>
    <w:p w14:paraId="0BFFB848">
      <w:pPr>
        <w:pStyle w:val="24"/>
      </w:pPr>
      <w:r>
        <w:rPr>
          <w:rFonts w:hint="eastAsia"/>
        </w:rPr>
        <w:t>截至本次清算期结束日（202</w:t>
      </w:r>
      <w:r>
        <w:rPr>
          <w:rFonts w:hint="eastAsia"/>
          <w:lang w:val="en-US" w:eastAsia="zh-CN"/>
        </w:rPr>
        <w:t>6</w:t>
      </w:r>
      <w:r>
        <w:rPr>
          <w:rFonts w:hint="eastAsia"/>
        </w:rPr>
        <w:t>年</w:t>
      </w:r>
      <w:r>
        <w:rPr>
          <w:rFonts w:hint="eastAsia"/>
          <w:lang w:val="en-US" w:eastAsia="zh-CN"/>
        </w:rPr>
        <w:t>9</w:t>
      </w:r>
      <w:r>
        <w:rPr>
          <w:rFonts w:hint="eastAsia"/>
        </w:rPr>
        <w:t>月</w:t>
      </w:r>
      <w:r>
        <w:rPr>
          <w:rFonts w:hint="eastAsia"/>
          <w:lang w:val="en-US" w:eastAsia="zh-CN"/>
        </w:rPr>
        <w:t>21</w:t>
      </w:r>
      <w:r>
        <w:rPr>
          <w:rFonts w:hint="eastAsia"/>
        </w:rPr>
        <w:t>日），各项资产负债清算情况如下：</w:t>
      </w:r>
    </w:p>
    <w:p w14:paraId="15E0C0FF">
      <w:pPr>
        <w:pStyle w:val="24"/>
        <w:rPr>
          <w:rFonts w:hint="eastAsia"/>
        </w:rPr>
      </w:pPr>
      <w:r>
        <w:rPr>
          <w:rFonts w:hint="eastAsia"/>
        </w:rPr>
        <w:t>1、本基金最后运作日银行存款</w:t>
      </w:r>
      <w:r>
        <w:rPr>
          <w:rFonts w:hint="eastAsia"/>
          <w:lang w:val="en-US" w:eastAsia="zh-CN"/>
        </w:rPr>
        <w:t>余额</w:t>
      </w:r>
      <w:r>
        <w:rPr>
          <w:rFonts w:hint="eastAsia"/>
        </w:rPr>
        <w:t>为人民币19</w:t>
      </w:r>
      <w:r>
        <w:rPr>
          <w:rFonts w:hint="eastAsia"/>
          <w:lang w:val="en-US" w:eastAsia="zh-CN"/>
        </w:rPr>
        <w:t>,</w:t>
      </w:r>
      <w:r>
        <w:rPr>
          <w:rFonts w:hint="eastAsia"/>
        </w:rPr>
        <w:t>586</w:t>
      </w:r>
      <w:r>
        <w:rPr>
          <w:rFonts w:hint="eastAsia"/>
          <w:lang w:val="en-US" w:eastAsia="zh-CN"/>
        </w:rPr>
        <w:t>,</w:t>
      </w:r>
      <w:r>
        <w:rPr>
          <w:rFonts w:hint="eastAsia"/>
        </w:rPr>
        <w:t>164.65元，其中包含应计银行存款利息余额为人民币236.48元。截至清算期结束日，银行存款</w:t>
      </w:r>
      <w:r>
        <w:rPr>
          <w:rFonts w:hint="eastAsia"/>
          <w:lang w:val="en-US" w:eastAsia="zh-CN"/>
        </w:rPr>
        <w:t>余额</w:t>
      </w:r>
      <w:r>
        <w:rPr>
          <w:rFonts w:hint="eastAsia"/>
        </w:rPr>
        <w:t>为人民币10</w:t>
      </w:r>
      <w:r>
        <w:rPr>
          <w:rFonts w:hint="eastAsia"/>
          <w:lang w:val="en-US" w:eastAsia="zh-CN"/>
        </w:rPr>
        <w:t>,</w:t>
      </w:r>
      <w:r>
        <w:rPr>
          <w:rFonts w:hint="eastAsia"/>
        </w:rPr>
        <w:t>741</w:t>
      </w:r>
      <w:r>
        <w:rPr>
          <w:rFonts w:hint="eastAsia"/>
          <w:lang w:val="en-US" w:eastAsia="zh-CN"/>
        </w:rPr>
        <w:t>,</w:t>
      </w:r>
      <w:r>
        <w:rPr>
          <w:rFonts w:hint="eastAsia"/>
        </w:rPr>
        <w:t>736.37元，其中应计银行存款利息余额为人民币14.92元，该款项将于清算结束后向基金份额持有人分配。</w:t>
      </w:r>
    </w:p>
    <w:p w14:paraId="51D5002B">
      <w:pPr>
        <w:pStyle w:val="24"/>
        <w:rPr>
          <w:rFonts w:hint="eastAsia"/>
        </w:rPr>
      </w:pPr>
      <w:r>
        <w:rPr>
          <w:rFonts w:hint="eastAsia"/>
        </w:rPr>
        <w:t>2、本基金最后运作日结算备付金为人民币440</w:t>
      </w:r>
      <w:r>
        <w:rPr>
          <w:rFonts w:hint="eastAsia"/>
          <w:lang w:val="en-US" w:eastAsia="zh-CN"/>
        </w:rPr>
        <w:t>,</w:t>
      </w:r>
      <w:r>
        <w:rPr>
          <w:rFonts w:hint="eastAsia"/>
        </w:rPr>
        <w:t>667.17元，其中上交所最低结算备付金为人民币374</w:t>
      </w:r>
      <w:r>
        <w:rPr>
          <w:rFonts w:hint="eastAsia"/>
          <w:lang w:val="en-US" w:eastAsia="zh-CN"/>
        </w:rPr>
        <w:t>,</w:t>
      </w:r>
      <w:r>
        <w:rPr>
          <w:rFonts w:hint="eastAsia"/>
        </w:rPr>
        <w:t>424.46元，包括应计上交所最低结算备付金利息为人民币203.62元；深交所最低结算备付金为人民币57</w:t>
      </w:r>
      <w:r>
        <w:rPr>
          <w:rFonts w:hint="eastAsia"/>
          <w:lang w:val="en-US" w:eastAsia="zh-CN"/>
        </w:rPr>
        <w:t>,</w:t>
      </w:r>
      <w:r>
        <w:rPr>
          <w:rFonts w:hint="eastAsia"/>
        </w:rPr>
        <w:t>075.83元，包括应计深交所最低结算备付金利息为人民币32.35元；</w:t>
      </w:r>
      <w:r>
        <w:rPr>
          <w:rFonts w:hint="eastAsia"/>
          <w:lang w:val="en-US" w:eastAsia="zh-CN"/>
        </w:rPr>
        <w:t>北</w:t>
      </w:r>
      <w:r>
        <w:rPr>
          <w:rFonts w:hint="eastAsia"/>
        </w:rPr>
        <w:t>交所最低结算备付金为人民币6</w:t>
      </w:r>
      <w:r>
        <w:rPr>
          <w:rFonts w:hint="eastAsia"/>
          <w:lang w:val="en-US" w:eastAsia="zh-CN"/>
        </w:rPr>
        <w:t>,</w:t>
      </w:r>
      <w:r>
        <w:rPr>
          <w:rFonts w:hint="eastAsia"/>
        </w:rPr>
        <w:t>546.18元，包括应计</w:t>
      </w:r>
      <w:r>
        <w:rPr>
          <w:rFonts w:hint="eastAsia"/>
          <w:lang w:val="en-US" w:eastAsia="zh-CN"/>
        </w:rPr>
        <w:t>北</w:t>
      </w:r>
      <w:r>
        <w:rPr>
          <w:rFonts w:hint="eastAsia"/>
        </w:rPr>
        <w:t>交所最低结算备付金利息为人民币1.86元；期货结算备付金为人民币2</w:t>
      </w:r>
      <w:r>
        <w:rPr>
          <w:rFonts w:hint="eastAsia"/>
          <w:lang w:val="en-US" w:eastAsia="zh-CN"/>
        </w:rPr>
        <w:t>,</w:t>
      </w:r>
      <w:r>
        <w:rPr>
          <w:rFonts w:hint="eastAsia"/>
        </w:rPr>
        <w:t>620.70元，包括应计期货结算备付金利息为人民币4.32元。截至清算期结束日，结算备付金余额为人民币10</w:t>
      </w:r>
      <w:r>
        <w:rPr>
          <w:rFonts w:hint="eastAsia"/>
          <w:lang w:val="en-US" w:eastAsia="zh-CN"/>
        </w:rPr>
        <w:t>,</w:t>
      </w:r>
      <w:r>
        <w:rPr>
          <w:rFonts w:hint="eastAsia"/>
        </w:rPr>
        <w:t>000.10元，其中上交所最低结算备付金为人民币10</w:t>
      </w:r>
      <w:r>
        <w:rPr>
          <w:rFonts w:hint="eastAsia"/>
          <w:lang w:val="en-US" w:eastAsia="zh-CN"/>
        </w:rPr>
        <w:t>,</w:t>
      </w:r>
      <w:r>
        <w:rPr>
          <w:rFonts w:hint="eastAsia"/>
        </w:rPr>
        <w:t>000.10元，包括应计上交所最低结算备付金利息为人民币0.10元</w:t>
      </w:r>
      <w:r>
        <w:rPr>
          <w:rFonts w:hint="eastAsia"/>
          <w:lang w:eastAsia="zh-CN"/>
        </w:rPr>
        <w:t>。</w:t>
      </w:r>
      <w:r>
        <w:rPr>
          <w:rFonts w:hint="eastAsia"/>
        </w:rPr>
        <w:t>该款项将于清算结束后向基金份额持有人分配。</w:t>
      </w:r>
    </w:p>
    <w:p w14:paraId="750C9B59">
      <w:pPr>
        <w:pStyle w:val="24"/>
        <w:rPr>
          <w:rFonts w:hint="eastAsia"/>
        </w:rPr>
      </w:pPr>
      <w:r>
        <w:rPr>
          <w:rFonts w:hint="eastAsia"/>
          <w:lang w:val="en-US" w:eastAsia="zh-CN"/>
        </w:rPr>
        <w:t>3</w:t>
      </w:r>
      <w:r>
        <w:rPr>
          <w:rFonts w:hint="eastAsia"/>
        </w:rPr>
        <w:t>、本基金最后运作日存出保证金为人民币38</w:t>
      </w:r>
      <w:r>
        <w:rPr>
          <w:rFonts w:hint="eastAsia"/>
          <w:lang w:val="en-US" w:eastAsia="zh-CN"/>
        </w:rPr>
        <w:t>,</w:t>
      </w:r>
      <w:r>
        <w:rPr>
          <w:rFonts w:hint="eastAsia"/>
        </w:rPr>
        <w:t>076.66元，其中上交所结算保证金为人民币19</w:t>
      </w:r>
      <w:r>
        <w:rPr>
          <w:rFonts w:hint="eastAsia"/>
          <w:lang w:val="en-US" w:eastAsia="zh-CN"/>
        </w:rPr>
        <w:t>,</w:t>
      </w:r>
      <w:r>
        <w:rPr>
          <w:rFonts w:hint="eastAsia"/>
        </w:rPr>
        <w:t>015.13元，包括应计上交所结算保证金利息为人民币8.75元；深交所结算保证金为人民币15</w:t>
      </w:r>
      <w:r>
        <w:rPr>
          <w:rFonts w:hint="eastAsia"/>
          <w:lang w:val="en-US" w:eastAsia="zh-CN"/>
        </w:rPr>
        <w:t>,</w:t>
      </w:r>
      <w:r>
        <w:rPr>
          <w:rFonts w:hint="eastAsia"/>
        </w:rPr>
        <w:t>756.81元，包括应计深交所结算保证金利息为人民币6.76元；</w:t>
      </w:r>
      <w:r>
        <w:rPr>
          <w:rFonts w:hint="eastAsia"/>
          <w:lang w:val="en-US" w:eastAsia="zh-CN"/>
        </w:rPr>
        <w:t>北</w:t>
      </w:r>
      <w:r>
        <w:rPr>
          <w:rFonts w:hint="eastAsia"/>
        </w:rPr>
        <w:t>交所结算保证金为人民币3</w:t>
      </w:r>
      <w:r>
        <w:rPr>
          <w:rFonts w:hint="eastAsia"/>
          <w:lang w:val="en-US" w:eastAsia="zh-CN"/>
        </w:rPr>
        <w:t>,</w:t>
      </w:r>
      <w:r>
        <w:rPr>
          <w:rFonts w:hint="eastAsia"/>
        </w:rPr>
        <w:t>304.72元，包括应计</w:t>
      </w:r>
      <w:r>
        <w:rPr>
          <w:rFonts w:hint="eastAsia"/>
          <w:lang w:val="en-US" w:eastAsia="zh-CN"/>
        </w:rPr>
        <w:t>北</w:t>
      </w:r>
      <w:r>
        <w:rPr>
          <w:rFonts w:hint="eastAsia"/>
        </w:rPr>
        <w:t>交所结算保证金利息为人民币1.33元。截至清算期结束日，存出保证金为人民币47</w:t>
      </w:r>
      <w:r>
        <w:rPr>
          <w:rFonts w:hint="eastAsia"/>
          <w:lang w:val="en-US" w:eastAsia="zh-CN"/>
        </w:rPr>
        <w:t>,</w:t>
      </w:r>
      <w:r>
        <w:rPr>
          <w:rFonts w:hint="eastAsia"/>
        </w:rPr>
        <w:t>829.27元，其中上交所结算保证金为人民币24</w:t>
      </w:r>
      <w:r>
        <w:rPr>
          <w:rFonts w:hint="eastAsia"/>
          <w:lang w:val="en-US" w:eastAsia="zh-CN"/>
        </w:rPr>
        <w:t>,</w:t>
      </w:r>
      <w:r>
        <w:rPr>
          <w:rFonts w:hint="eastAsia"/>
        </w:rPr>
        <w:t>174.15元，包括应计上交所结算保证金利息为人民币0.24元；深交所结算保证金为人民币20</w:t>
      </w:r>
      <w:r>
        <w:rPr>
          <w:rFonts w:hint="eastAsia"/>
          <w:lang w:val="en-US" w:eastAsia="zh-CN"/>
        </w:rPr>
        <w:t>,</w:t>
      </w:r>
      <w:r>
        <w:rPr>
          <w:rFonts w:hint="eastAsia"/>
        </w:rPr>
        <w:t>633.95元，包括应计深交所结算保证金利息为人民币0.20元；</w:t>
      </w:r>
      <w:r>
        <w:rPr>
          <w:rFonts w:hint="eastAsia"/>
          <w:lang w:val="en-US" w:eastAsia="zh-CN"/>
        </w:rPr>
        <w:t>北</w:t>
      </w:r>
      <w:r>
        <w:rPr>
          <w:rFonts w:hint="eastAsia"/>
        </w:rPr>
        <w:t>交所结算保证金为人民币3</w:t>
      </w:r>
      <w:r>
        <w:rPr>
          <w:rFonts w:hint="eastAsia"/>
          <w:lang w:val="en-US" w:eastAsia="zh-CN"/>
        </w:rPr>
        <w:t>,</w:t>
      </w:r>
      <w:r>
        <w:rPr>
          <w:rFonts w:hint="eastAsia"/>
        </w:rPr>
        <w:t>021.17元，包括应计</w:t>
      </w:r>
      <w:r>
        <w:rPr>
          <w:rFonts w:hint="eastAsia"/>
          <w:lang w:val="en-US" w:eastAsia="zh-CN"/>
        </w:rPr>
        <w:t>北</w:t>
      </w:r>
      <w:r>
        <w:rPr>
          <w:rFonts w:hint="eastAsia"/>
        </w:rPr>
        <w:t>交所结算保证金利息为人民币0.03元</w:t>
      </w:r>
      <w:r>
        <w:rPr>
          <w:rFonts w:hint="eastAsia"/>
          <w:lang w:eastAsia="zh-CN"/>
        </w:rPr>
        <w:t>。</w:t>
      </w:r>
      <w:r>
        <w:rPr>
          <w:rFonts w:hint="eastAsia"/>
        </w:rPr>
        <w:t>该款项将于清算结束后向基金份额持有人分配。</w:t>
      </w:r>
    </w:p>
    <w:p w14:paraId="39967056">
      <w:pPr>
        <w:pStyle w:val="24"/>
      </w:pPr>
      <w:r>
        <w:rPr>
          <w:rFonts w:hint="eastAsia"/>
          <w:lang w:val="en-US" w:eastAsia="zh-CN"/>
        </w:rPr>
        <w:t>4</w:t>
      </w:r>
      <w:r>
        <w:rPr>
          <w:rFonts w:hint="eastAsia"/>
        </w:rPr>
        <w:t>、本基金最后运作日持有的交易性金融资产为人民币7</w:t>
      </w:r>
      <w:r>
        <w:rPr>
          <w:rFonts w:hint="eastAsia"/>
          <w:lang w:val="en-US" w:eastAsia="zh-CN"/>
        </w:rPr>
        <w:t>,</w:t>
      </w:r>
      <w:r>
        <w:rPr>
          <w:rFonts w:hint="eastAsia"/>
        </w:rPr>
        <w:t>545</w:t>
      </w:r>
      <w:r>
        <w:rPr>
          <w:rFonts w:hint="eastAsia"/>
          <w:lang w:val="en-US" w:eastAsia="zh-CN"/>
        </w:rPr>
        <w:t>,</w:t>
      </w:r>
      <w:r>
        <w:rPr>
          <w:rFonts w:hint="eastAsia"/>
        </w:rPr>
        <w:t>846.50元</w:t>
      </w:r>
      <w:r>
        <w:rPr>
          <w:rFonts w:hint="eastAsia"/>
          <w:lang w:eastAsia="zh-CN"/>
        </w:rPr>
        <w:t>，</w:t>
      </w:r>
      <w:r>
        <w:rPr>
          <w:rFonts w:hint="eastAsia"/>
          <w:lang w:val="en-US" w:eastAsia="zh-CN"/>
        </w:rPr>
        <w:t>已于清算期间</w:t>
      </w:r>
      <w:r>
        <w:rPr>
          <w:rFonts w:hint="eastAsia"/>
          <w:lang w:eastAsia="zh-CN"/>
        </w:rPr>
        <w:t>完成</w:t>
      </w:r>
      <w:r>
        <w:rPr>
          <w:rFonts w:hint="eastAsia"/>
          <w:lang w:val="en-US" w:eastAsia="zh-CN"/>
        </w:rPr>
        <w:t>变现</w:t>
      </w:r>
      <w:r>
        <w:rPr>
          <w:rFonts w:hint="eastAsia"/>
          <w:lang w:eastAsia="zh-CN"/>
        </w:rPr>
        <w:t>。</w:t>
      </w:r>
    </w:p>
    <w:p w14:paraId="12B113AB">
      <w:pPr>
        <w:pStyle w:val="24"/>
        <w:numPr>
          <w:ilvl w:val="0"/>
          <w:numId w:val="0"/>
        </w:numPr>
        <w:ind w:firstLine="420" w:firstLineChars="200"/>
        <w:rPr>
          <w:rFonts w:hint="eastAsia"/>
          <w:lang w:val="en-US" w:eastAsia="zh-CN"/>
        </w:rPr>
      </w:pPr>
      <w:r>
        <w:rPr>
          <w:rFonts w:hint="eastAsia"/>
          <w:lang w:val="en-US" w:eastAsia="zh-CN"/>
        </w:rPr>
        <w:t>5</w:t>
      </w:r>
      <w:r>
        <w:rPr>
          <w:rFonts w:hint="eastAsia"/>
        </w:rPr>
        <w:t>、本基金最后运作日应收申购款为人民币59.88元，该款项已于清算期间</w:t>
      </w:r>
      <w:r>
        <w:rPr>
          <w:rFonts w:hint="eastAsia"/>
          <w:lang w:val="en-US" w:eastAsia="zh-CN"/>
        </w:rPr>
        <w:t>收回。</w:t>
      </w:r>
    </w:p>
    <w:p w14:paraId="0970E8F9">
      <w:pPr>
        <w:pStyle w:val="24"/>
        <w:numPr>
          <w:ilvl w:val="0"/>
          <w:numId w:val="0"/>
        </w:numPr>
        <w:ind w:firstLine="420" w:firstLineChars="200"/>
        <w:rPr>
          <w:rFonts w:hint="eastAsia"/>
          <w:lang w:val="en-US" w:eastAsia="zh-CN"/>
        </w:rPr>
      </w:pPr>
      <w:r>
        <w:rPr>
          <w:rFonts w:hint="eastAsia"/>
          <w:lang w:val="en-US" w:eastAsia="zh-CN"/>
        </w:rPr>
        <w:t>6</w:t>
      </w:r>
      <w:r>
        <w:rPr>
          <w:rFonts w:hint="eastAsia"/>
        </w:rPr>
        <w:t>、</w:t>
      </w:r>
      <w:r>
        <w:rPr>
          <w:rFonts w:hint="eastAsia"/>
          <w:lang w:val="en-US" w:eastAsia="zh-CN"/>
        </w:rPr>
        <w:t>本基金最后运作日应收清算款为人民币4,140,688.36元，该款项已于清算期间收回。</w:t>
      </w:r>
    </w:p>
    <w:p w14:paraId="202743B9">
      <w:pPr>
        <w:pStyle w:val="24"/>
        <w:numPr>
          <w:ilvl w:val="0"/>
          <w:numId w:val="0"/>
        </w:numPr>
        <w:ind w:firstLine="420" w:firstLineChars="200"/>
        <w:rPr>
          <w:rFonts w:hint="eastAsia"/>
          <w:lang w:val="en-US" w:eastAsia="zh-CN"/>
        </w:rPr>
      </w:pPr>
      <w:r>
        <w:rPr>
          <w:rFonts w:hint="eastAsia"/>
          <w:lang w:val="en-US" w:eastAsia="zh-CN"/>
        </w:rPr>
        <w:t>7、本基金最后运作日应付赎回款为人民币14,052,055.63元，该款项已于清算期间支付。</w:t>
      </w:r>
    </w:p>
    <w:p w14:paraId="5D6457F5">
      <w:pPr>
        <w:pStyle w:val="24"/>
        <w:numPr>
          <w:ilvl w:val="0"/>
          <w:numId w:val="0"/>
        </w:numPr>
        <w:ind w:firstLine="420" w:firstLineChars="200"/>
        <w:rPr>
          <w:rFonts w:hint="eastAsia"/>
          <w:lang w:val="en-US" w:eastAsia="zh-CN"/>
        </w:rPr>
      </w:pPr>
      <w:r>
        <w:rPr>
          <w:rFonts w:hint="eastAsia"/>
          <w:lang w:val="en-US" w:eastAsia="zh-CN"/>
        </w:rPr>
        <w:t>8、本基金最后运作日应付管理人报酬为人民币8,096.50元，该款项已于清算期间支付。</w:t>
      </w:r>
    </w:p>
    <w:p w14:paraId="013B4B39">
      <w:pPr>
        <w:pStyle w:val="24"/>
        <w:numPr>
          <w:ilvl w:val="0"/>
          <w:numId w:val="0"/>
        </w:numPr>
        <w:ind w:firstLine="420" w:firstLineChars="200"/>
        <w:rPr>
          <w:rFonts w:hint="eastAsia"/>
          <w:lang w:val="en-US" w:eastAsia="zh-CN"/>
        </w:rPr>
      </w:pPr>
      <w:r>
        <w:rPr>
          <w:rFonts w:hint="eastAsia"/>
          <w:lang w:val="en-US" w:eastAsia="zh-CN"/>
        </w:rPr>
        <w:t>9、本基金最后运作日应付托管费为人民币1,349.41元，该款项已于清算期间支付。</w:t>
      </w:r>
    </w:p>
    <w:p w14:paraId="3CB7A1AA">
      <w:pPr>
        <w:pStyle w:val="24"/>
      </w:pPr>
      <w:r>
        <w:rPr>
          <w:rFonts w:hint="eastAsia"/>
        </w:rPr>
        <w:t>1</w:t>
      </w:r>
      <w:r>
        <w:rPr>
          <w:rFonts w:hint="eastAsia"/>
          <w:lang w:val="en-US" w:eastAsia="zh-CN"/>
        </w:rPr>
        <w:t>0</w:t>
      </w:r>
      <w:r>
        <w:rPr>
          <w:rFonts w:hint="eastAsia"/>
        </w:rPr>
        <w:t>、本基金最后运作日其他负债为人民币</w:t>
      </w:r>
      <w:r>
        <w:rPr>
          <w:rFonts w:hint="eastAsia"/>
          <w:lang w:val="en-US" w:eastAsia="zh-CN"/>
        </w:rPr>
        <w:t>126,159.17</w:t>
      </w:r>
      <w:r>
        <w:rPr>
          <w:rFonts w:hint="eastAsia"/>
        </w:rPr>
        <w:t>元，包括应付赎回费、应付交易费用、预提审计费、预提信息披露费</w:t>
      </w:r>
      <w:r>
        <w:rPr>
          <w:rFonts w:hint="eastAsia"/>
          <w:lang w:val="en-US" w:eastAsia="zh-CN"/>
        </w:rPr>
        <w:t>、预提律师费</w:t>
      </w:r>
      <w:r>
        <w:rPr>
          <w:rFonts w:hint="eastAsia"/>
        </w:rPr>
        <w:t>及预提中债登账户服务费。其中应付赎回费人民币258.55元，该款项已于清算期间支付；应付交易费用人民币31</w:t>
      </w:r>
      <w:r>
        <w:rPr>
          <w:rFonts w:hint="eastAsia"/>
          <w:lang w:val="en-US" w:eastAsia="zh-CN"/>
        </w:rPr>
        <w:t>,</w:t>
      </w:r>
      <w:r>
        <w:rPr>
          <w:rFonts w:hint="eastAsia"/>
        </w:rPr>
        <w:t>900.20元，均为应付佣金，截至清算期结束日剩余应付佣金</w:t>
      </w:r>
      <w:r>
        <w:rPr>
          <w:rFonts w:hint="eastAsia"/>
          <w:lang w:val="en-US" w:eastAsia="zh-CN"/>
        </w:rPr>
        <w:t>为</w:t>
      </w:r>
      <w:r>
        <w:rPr>
          <w:rFonts w:hint="eastAsia"/>
        </w:rPr>
        <w:t>人民币35</w:t>
      </w:r>
      <w:r>
        <w:rPr>
          <w:rFonts w:hint="eastAsia"/>
          <w:lang w:val="en-US" w:eastAsia="zh-CN"/>
        </w:rPr>
        <w:t>,</w:t>
      </w:r>
      <w:r>
        <w:rPr>
          <w:rFonts w:hint="eastAsia"/>
        </w:rPr>
        <w:t>396.21元，</w:t>
      </w:r>
      <w:r>
        <w:rPr>
          <w:rFonts w:hint="eastAsia"/>
          <w:lang w:val="en-US" w:eastAsia="zh-CN"/>
        </w:rPr>
        <w:t>尚未支付</w:t>
      </w:r>
      <w:r>
        <w:rPr>
          <w:rFonts w:hint="eastAsia"/>
        </w:rPr>
        <w:t>；预提审计费人民币33</w:t>
      </w:r>
      <w:r>
        <w:rPr>
          <w:rFonts w:hint="eastAsia"/>
          <w:lang w:val="en-US" w:eastAsia="zh-CN"/>
        </w:rPr>
        <w:t>,</w:t>
      </w:r>
      <w:r>
        <w:rPr>
          <w:rFonts w:hint="eastAsia"/>
        </w:rPr>
        <w:t>000.00元，该款项将于取得审计费发票后支付；预提信息披露费人民币48</w:t>
      </w:r>
      <w:r>
        <w:rPr>
          <w:rFonts w:hint="eastAsia"/>
          <w:lang w:val="en-US" w:eastAsia="zh-CN"/>
        </w:rPr>
        <w:t>,</w:t>
      </w:r>
      <w:r>
        <w:rPr>
          <w:rFonts w:hint="eastAsia"/>
        </w:rPr>
        <w:t>000.42元，该款项将于取得信息披露费发票后支付；</w:t>
      </w:r>
      <w:r>
        <w:rPr>
          <w:rFonts w:hint="eastAsia"/>
          <w:lang w:val="en-US" w:eastAsia="zh-CN"/>
        </w:rPr>
        <w:t>预提律师费</w:t>
      </w:r>
      <w:r>
        <w:rPr>
          <w:rFonts w:hint="eastAsia"/>
        </w:rPr>
        <w:t>人民币10,000.00元，该款项将于取得清算律师费发票后支付；预提中债登账户服务费人民币3,000.00元，该款项已于清算期间</w:t>
      </w:r>
      <w:r>
        <w:rPr>
          <w:rFonts w:hint="eastAsia"/>
          <w:lang w:val="en-US" w:eastAsia="zh-CN"/>
        </w:rPr>
        <w:t>支付</w:t>
      </w:r>
      <w:r>
        <w:rPr>
          <w:rFonts w:hint="eastAsia"/>
        </w:rPr>
        <w:t>。</w:t>
      </w:r>
    </w:p>
    <w:bookmarkEnd w:id="46"/>
    <w:p w14:paraId="303842F8">
      <w:pPr>
        <w:pStyle w:val="3"/>
        <w:spacing w:before="0" w:after="0"/>
        <w:rPr>
          <w:rFonts w:ascii="宋体" w:hAnsi="宋体" w:eastAsia="宋体"/>
          <w:kern w:val="0"/>
          <w:sz w:val="21"/>
          <w:szCs w:val="21"/>
        </w:rPr>
      </w:pPr>
      <w:bookmarkStart w:id="48" w:name="_Toc145339100"/>
      <w:r>
        <w:rPr>
          <w:rFonts w:hint="eastAsia" w:ascii="宋体" w:hAnsi="宋体" w:eastAsia="宋体"/>
          <w:kern w:val="0"/>
          <w:sz w:val="21"/>
          <w:szCs w:val="21"/>
        </w:rPr>
        <w:t>5.2 截至本次清算期结束日的剩余财产情况及剩余财产分配安排</w:t>
      </w:r>
      <w:bookmarkEnd w:id="48"/>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5675"/>
      </w:tblGrid>
      <w:tr w14:paraId="003C6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07623C10">
            <w:pPr>
              <w:pStyle w:val="11"/>
              <w:jc w:val="center"/>
              <w:rPr>
                <w:rFonts w:ascii="宋体" w:hAnsi="宋体" w:eastAsia="宋体"/>
                <w:b/>
                <w:color w:val="000000" w:themeColor="text1"/>
                <w:sz w:val="21"/>
                <w:szCs w:val="21"/>
                <w14:textFill>
                  <w14:solidFill>
                    <w14:schemeClr w14:val="tx1"/>
                  </w14:solidFill>
                </w14:textFill>
              </w:rPr>
            </w:pPr>
            <w:r>
              <w:rPr>
                <w:rFonts w:ascii="宋体" w:hAnsi="宋体" w:eastAsia="宋体"/>
                <w:b/>
                <w:color w:val="000000" w:themeColor="text1"/>
                <w:sz w:val="21"/>
                <w:szCs w:val="21"/>
                <w14:textFill>
                  <w14:solidFill>
                    <w14:schemeClr w14:val="tx1"/>
                  </w14:solidFill>
                </w14:textFill>
              </w:rPr>
              <w:t>项目</w:t>
            </w:r>
          </w:p>
        </w:tc>
        <w:tc>
          <w:tcPr>
            <w:tcW w:w="5675" w:type="dxa"/>
            <w:vAlign w:val="center"/>
          </w:tcPr>
          <w:p w14:paraId="2484457F">
            <w:pPr>
              <w:pStyle w:val="11"/>
              <w:spacing w:before="0" w:beforeAutospacing="0" w:after="0" w:afterAutospacing="0"/>
              <w:jc w:val="center"/>
              <w:rPr>
                <w:rFonts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b/>
                <w:color w:val="000000" w:themeColor="text1"/>
                <w:sz w:val="21"/>
                <w:szCs w:val="21"/>
                <w:lang w:eastAsia="zh-CN"/>
                <w14:textFill>
                  <w14:solidFill>
                    <w14:schemeClr w14:val="tx1"/>
                  </w14:solidFill>
                </w14:textFill>
              </w:rPr>
              <w:t>金额</w:t>
            </w:r>
          </w:p>
        </w:tc>
      </w:tr>
      <w:tr w14:paraId="41182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52A04DB9">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一、</w:t>
            </w:r>
            <w:r>
              <w:rPr>
                <w:rFonts w:hint="eastAsia" w:ascii="宋体" w:hAnsi="宋体"/>
                <w:b/>
                <w:color w:val="000000" w:themeColor="text1"/>
                <w:szCs w:val="21"/>
                <w14:textFill>
                  <w14:solidFill>
                    <w14:schemeClr w14:val="tx1"/>
                  </w14:solidFill>
                </w14:textFill>
              </w:rPr>
              <w:t>最后运作日20</w:t>
            </w:r>
            <w:r>
              <w:rPr>
                <w:rFonts w:ascii="宋体" w:hAnsi="宋体"/>
                <w:b/>
                <w:color w:val="000000" w:themeColor="text1"/>
                <w:szCs w:val="21"/>
                <w14:textFill>
                  <w14:solidFill>
                    <w14:schemeClr w14:val="tx1"/>
                  </w14:solidFill>
                </w14:textFill>
              </w:rPr>
              <w:t>2</w:t>
            </w:r>
            <w:r>
              <w:rPr>
                <w:rFonts w:hint="eastAsia" w:ascii="宋体" w:hAnsi="宋体"/>
                <w:b/>
                <w:color w:val="000000" w:themeColor="text1"/>
                <w:szCs w:val="21"/>
                <w:lang w:val="en-US" w:eastAsia="zh-CN"/>
                <w14:textFill>
                  <w14:solidFill>
                    <w14:schemeClr w14:val="tx1"/>
                  </w14:solidFill>
                </w14:textFill>
              </w:rPr>
              <w:t>6</w:t>
            </w:r>
            <w:r>
              <w:rPr>
                <w:rFonts w:hint="eastAsia" w:ascii="宋体" w:hAnsi="宋体"/>
                <w:b/>
                <w:color w:val="000000" w:themeColor="text1"/>
                <w:szCs w:val="21"/>
                <w14:textFill>
                  <w14:solidFill>
                    <w14:schemeClr w14:val="tx1"/>
                  </w14:solidFill>
                </w14:textFill>
              </w:rPr>
              <w:t>年</w:t>
            </w:r>
            <w:r>
              <w:rPr>
                <w:rFonts w:hint="eastAsia" w:ascii="宋体" w:hAnsi="宋体"/>
                <w:b/>
                <w:color w:val="000000" w:themeColor="text1"/>
                <w:szCs w:val="21"/>
                <w:lang w:val="en-US" w:eastAsia="zh-CN"/>
                <w14:textFill>
                  <w14:solidFill>
                    <w14:schemeClr w14:val="tx1"/>
                  </w14:solidFill>
                </w14:textFill>
              </w:rPr>
              <w:t>8</w:t>
            </w:r>
            <w:r>
              <w:rPr>
                <w:rFonts w:hint="eastAsia" w:ascii="宋体" w:hAnsi="宋体"/>
                <w:b/>
                <w:color w:val="000000" w:themeColor="text1"/>
                <w:szCs w:val="21"/>
                <w14:textFill>
                  <w14:solidFill>
                    <w14:schemeClr w14:val="tx1"/>
                  </w14:solidFill>
                </w14:textFill>
              </w:rPr>
              <w:t>月</w:t>
            </w:r>
            <w:r>
              <w:rPr>
                <w:rFonts w:hint="eastAsia" w:ascii="宋体" w:hAnsi="宋体"/>
                <w:b/>
                <w:color w:val="000000" w:themeColor="text1"/>
                <w:szCs w:val="21"/>
                <w:lang w:val="en-US" w:eastAsia="zh-CN"/>
                <w14:textFill>
                  <w14:solidFill>
                    <w14:schemeClr w14:val="tx1"/>
                  </w14:solidFill>
                </w14:textFill>
              </w:rPr>
              <w:t>7</w:t>
            </w:r>
            <w:r>
              <w:rPr>
                <w:rFonts w:hint="eastAsia" w:ascii="宋体" w:hAnsi="宋体"/>
                <w:b/>
                <w:color w:val="000000" w:themeColor="text1"/>
                <w:szCs w:val="21"/>
                <w14:textFill>
                  <w14:solidFill>
                    <w14:schemeClr w14:val="tx1"/>
                  </w14:solidFill>
                </w14:textFill>
              </w:rPr>
              <w:t>日基金净资产</w:t>
            </w:r>
          </w:p>
        </w:tc>
        <w:tc>
          <w:tcPr>
            <w:tcW w:w="5675" w:type="dxa"/>
            <w:vAlign w:val="center"/>
          </w:tcPr>
          <w:p w14:paraId="3812D7C1">
            <w:pPr>
              <w:ind w:left="-80"/>
              <w:jc w:val="right"/>
              <w:rPr>
                <w:rFonts w:hint="eastAsia" w:ascii="Arial" w:hAnsi="Arial" w:cs="Arial"/>
                <w:b/>
                <w:color w:val="000000"/>
                <w:sz w:val="24"/>
              </w:rPr>
            </w:pPr>
            <w:r>
              <w:rPr>
                <w:rFonts w:hint="eastAsia" w:ascii="Arial" w:hAnsi="Arial" w:cs="Arial"/>
                <w:b/>
                <w:color w:val="000000"/>
                <w:sz w:val="24"/>
              </w:rPr>
              <w:t>17,563,842.51</w:t>
            </w:r>
          </w:p>
        </w:tc>
      </w:tr>
      <w:tr w14:paraId="1D465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288EEBC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加：清算期间净收益</w:t>
            </w:r>
          </w:p>
        </w:tc>
        <w:tc>
          <w:tcPr>
            <w:tcW w:w="5675" w:type="dxa"/>
            <w:vAlign w:val="center"/>
          </w:tcPr>
          <w:p w14:paraId="753783EE">
            <w:pPr>
              <w:ind w:left="-80"/>
              <w:jc w:val="right"/>
              <w:rPr>
                <w:rFonts w:hint="eastAsia" w:ascii="Arial" w:hAnsi="Arial" w:cs="Arial"/>
                <w:color w:val="000000"/>
                <w:sz w:val="24"/>
                <w:lang w:val="en-US" w:eastAsia="zh-CN"/>
              </w:rPr>
            </w:pPr>
            <w:r>
              <w:rPr>
                <w:rFonts w:hint="eastAsia" w:ascii="Arial" w:hAnsi="Arial" w:cs="Arial"/>
                <w:color w:val="000000"/>
                <w:sz w:val="24"/>
                <w:lang w:val="en-US" w:eastAsia="zh-CN"/>
              </w:rPr>
              <w:t>-90,579.03</w:t>
            </w:r>
          </w:p>
        </w:tc>
      </w:tr>
      <w:tr w14:paraId="41705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7A78A6FC">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减：202</w:t>
            </w:r>
            <w:r>
              <w:rPr>
                <w:rFonts w:hint="eastAsia" w:ascii="宋体" w:hAnsi="宋体"/>
                <w:color w:val="000000" w:themeColor="text1"/>
                <w:szCs w:val="21"/>
                <w:lang w:val="en-US" w:eastAsia="zh-CN"/>
                <w14:textFill>
                  <w14:solidFill>
                    <w14:schemeClr w14:val="tx1"/>
                  </w14:solidFill>
                </w14:textFill>
              </w:rPr>
              <w:t>6</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lang w:val="en-US" w:eastAsia="zh-CN"/>
                <w14:textFill>
                  <w14:solidFill>
                    <w14:schemeClr w14:val="tx1"/>
                  </w14:solidFill>
                </w14:textFill>
              </w:rPr>
              <w:t>8</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lang w:val="en-US" w:eastAsia="zh-CN"/>
                <w14:textFill>
                  <w14:solidFill>
                    <w14:schemeClr w14:val="tx1"/>
                  </w14:solidFill>
                </w14:textFill>
              </w:rPr>
              <w:t>10</w:t>
            </w:r>
            <w:r>
              <w:rPr>
                <w:rFonts w:hint="eastAsia" w:ascii="宋体" w:hAnsi="宋体"/>
                <w:color w:val="000000" w:themeColor="text1"/>
                <w:szCs w:val="21"/>
                <w14:textFill>
                  <w14:solidFill>
                    <w14:schemeClr w14:val="tx1"/>
                  </w14:solidFill>
                </w14:textFill>
              </w:rPr>
              <w:t>日确认的基金净赎回金额</w:t>
            </w:r>
          </w:p>
        </w:tc>
        <w:tc>
          <w:tcPr>
            <w:tcW w:w="5675" w:type="dxa"/>
            <w:vAlign w:val="center"/>
          </w:tcPr>
          <w:p w14:paraId="32CC9021">
            <w:pPr>
              <w:ind w:left="-80"/>
              <w:jc w:val="right"/>
              <w:rPr>
                <w:rFonts w:hint="default" w:ascii="Arial" w:hAnsi="Arial" w:cs="Arial"/>
                <w:color w:val="000000"/>
                <w:sz w:val="24"/>
                <w:lang w:val="en-US" w:eastAsia="zh-CN"/>
              </w:rPr>
            </w:pPr>
            <w:r>
              <w:rPr>
                <w:rFonts w:hint="default" w:ascii="Arial" w:hAnsi="Arial" w:cs="Arial"/>
                <w:color w:val="000000"/>
                <w:sz w:val="24"/>
                <w:lang w:val="en-US" w:eastAsia="zh-CN"/>
              </w:rPr>
              <w:t xml:space="preserve"> 6,800,094.37 </w:t>
            </w:r>
          </w:p>
        </w:tc>
      </w:tr>
      <w:tr w14:paraId="11CD7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 w:hRule="atLeast"/>
          <w:jc w:val="center"/>
        </w:trPr>
        <w:tc>
          <w:tcPr>
            <w:tcW w:w="3397" w:type="dxa"/>
            <w:vAlign w:val="center"/>
          </w:tcPr>
          <w:p w14:paraId="579D7835">
            <w:p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二、20</w:t>
            </w:r>
            <w:r>
              <w:rPr>
                <w:rFonts w:ascii="宋体" w:hAnsi="宋体"/>
                <w:b/>
                <w:color w:val="000000" w:themeColor="text1"/>
                <w:szCs w:val="21"/>
                <w14:textFill>
                  <w14:solidFill>
                    <w14:schemeClr w14:val="tx1"/>
                  </w14:solidFill>
                </w14:textFill>
              </w:rPr>
              <w:t>2</w:t>
            </w:r>
            <w:r>
              <w:rPr>
                <w:rFonts w:hint="eastAsia" w:ascii="宋体" w:hAnsi="宋体"/>
                <w:b/>
                <w:color w:val="000000" w:themeColor="text1"/>
                <w:szCs w:val="21"/>
                <w:lang w:val="en-US" w:eastAsia="zh-CN"/>
                <w14:textFill>
                  <w14:solidFill>
                    <w14:schemeClr w14:val="tx1"/>
                  </w14:solidFill>
                </w14:textFill>
              </w:rPr>
              <w:t>6</w:t>
            </w:r>
            <w:r>
              <w:rPr>
                <w:rFonts w:hint="eastAsia" w:ascii="宋体" w:hAnsi="宋体"/>
                <w:b/>
                <w:color w:val="000000" w:themeColor="text1"/>
                <w:szCs w:val="21"/>
                <w14:textFill>
                  <w14:solidFill>
                    <w14:schemeClr w14:val="tx1"/>
                  </w14:solidFill>
                </w14:textFill>
              </w:rPr>
              <w:t>年</w:t>
            </w:r>
            <w:r>
              <w:rPr>
                <w:rFonts w:hint="eastAsia" w:ascii="宋体" w:hAnsi="宋体"/>
                <w:b/>
                <w:color w:val="000000" w:themeColor="text1"/>
                <w:szCs w:val="21"/>
                <w:lang w:val="en-US" w:eastAsia="zh-CN"/>
                <w14:textFill>
                  <w14:solidFill>
                    <w14:schemeClr w14:val="tx1"/>
                  </w14:solidFill>
                </w14:textFill>
              </w:rPr>
              <w:t>9</w:t>
            </w:r>
            <w:r>
              <w:rPr>
                <w:rFonts w:hint="eastAsia" w:ascii="宋体" w:hAnsi="宋体"/>
                <w:b/>
                <w:color w:val="000000" w:themeColor="text1"/>
                <w:szCs w:val="21"/>
                <w14:textFill>
                  <w14:solidFill>
                    <w14:schemeClr w14:val="tx1"/>
                  </w14:solidFill>
                </w14:textFill>
              </w:rPr>
              <w:t>月</w:t>
            </w:r>
            <w:r>
              <w:rPr>
                <w:rFonts w:hint="eastAsia" w:ascii="宋体" w:hAnsi="宋体"/>
                <w:b/>
                <w:color w:val="000000" w:themeColor="text1"/>
                <w:szCs w:val="21"/>
                <w:lang w:val="en-US" w:eastAsia="zh-CN"/>
                <w14:textFill>
                  <w14:solidFill>
                    <w14:schemeClr w14:val="tx1"/>
                  </w14:solidFill>
                </w14:textFill>
              </w:rPr>
              <w:t>21</w:t>
            </w:r>
            <w:r>
              <w:rPr>
                <w:rFonts w:hint="eastAsia" w:ascii="宋体" w:hAnsi="宋体"/>
                <w:b/>
                <w:color w:val="000000" w:themeColor="text1"/>
                <w:szCs w:val="21"/>
                <w14:textFill>
                  <w14:solidFill>
                    <w14:schemeClr w14:val="tx1"/>
                  </w14:solidFill>
                </w14:textFill>
              </w:rPr>
              <w:t>日基金净资产</w:t>
            </w:r>
          </w:p>
        </w:tc>
        <w:tc>
          <w:tcPr>
            <w:tcW w:w="5675" w:type="dxa"/>
            <w:vAlign w:val="center"/>
          </w:tcPr>
          <w:p w14:paraId="09DA47F8">
            <w:pPr>
              <w:ind w:left="-80"/>
              <w:jc w:val="right"/>
              <w:rPr>
                <w:rFonts w:hint="eastAsia" w:ascii="Arial" w:hAnsi="Arial" w:cs="Arial"/>
                <w:b/>
                <w:color w:val="000000"/>
                <w:sz w:val="24"/>
              </w:rPr>
            </w:pPr>
            <w:r>
              <w:rPr>
                <w:rFonts w:hint="eastAsia" w:ascii="Arial" w:hAnsi="Arial" w:cs="Arial"/>
                <w:b/>
                <w:color w:val="000000"/>
                <w:sz w:val="24"/>
              </w:rPr>
              <w:t>10,673,169.11</w:t>
            </w:r>
          </w:p>
        </w:tc>
      </w:tr>
    </w:tbl>
    <w:p w14:paraId="1F227622">
      <w:pPr>
        <w:pStyle w:val="24"/>
      </w:pPr>
      <w:r>
        <w:rPr>
          <w:rFonts w:hint="eastAsia"/>
        </w:rPr>
        <w:t>截至本次清算期结束日202</w:t>
      </w:r>
      <w:r>
        <w:rPr>
          <w:rFonts w:hint="eastAsia"/>
          <w:lang w:val="en-US" w:eastAsia="zh-CN"/>
        </w:rPr>
        <w:t>6</w:t>
      </w:r>
      <w:r>
        <w:rPr>
          <w:rFonts w:hint="eastAsia"/>
        </w:rPr>
        <w:t>年</w:t>
      </w:r>
      <w:r>
        <w:rPr>
          <w:rFonts w:hint="eastAsia"/>
          <w:lang w:val="en-US" w:eastAsia="zh-CN"/>
        </w:rPr>
        <w:t>9</w:t>
      </w:r>
      <w:r>
        <w:rPr>
          <w:rFonts w:hint="eastAsia"/>
        </w:rPr>
        <w:t>月</w:t>
      </w:r>
      <w:r>
        <w:rPr>
          <w:rFonts w:hint="eastAsia"/>
          <w:lang w:val="en-US" w:eastAsia="zh-CN"/>
        </w:rPr>
        <w:t>21</w:t>
      </w:r>
      <w:r>
        <w:rPr>
          <w:rFonts w:hint="eastAsia"/>
        </w:rPr>
        <w:t>日，本基金剩余财产为人民币10,673,169.11元。自本次清算期结束日次日20</w:t>
      </w:r>
      <w:r>
        <w:t>2</w:t>
      </w:r>
      <w:r>
        <w:rPr>
          <w:rFonts w:hint="eastAsia"/>
          <w:lang w:val="en-US" w:eastAsia="zh-CN"/>
        </w:rPr>
        <w:t>6</w:t>
      </w:r>
      <w:r>
        <w:rPr>
          <w:rFonts w:hint="eastAsia"/>
        </w:rPr>
        <w:t>年</w:t>
      </w:r>
      <w:r>
        <w:rPr>
          <w:rFonts w:hint="eastAsia"/>
          <w:lang w:val="en-US" w:eastAsia="zh-CN"/>
        </w:rPr>
        <w:t>9</w:t>
      </w:r>
      <w:r>
        <w:rPr>
          <w:rFonts w:hint="eastAsia"/>
        </w:rPr>
        <w:t>月</w:t>
      </w:r>
      <w:r>
        <w:rPr>
          <w:rFonts w:hint="eastAsia"/>
          <w:lang w:val="en-US" w:eastAsia="zh-CN"/>
        </w:rPr>
        <w:t>22</w:t>
      </w:r>
      <w:r>
        <w:rPr>
          <w:rFonts w:hint="eastAsia"/>
        </w:rPr>
        <w:t>日至清算款划出前一日的收益和费用由基金份额持有人享有和承担。</w:t>
      </w:r>
    </w:p>
    <w:p w14:paraId="003DD032">
      <w:pPr>
        <w:spacing w:line="360" w:lineRule="auto"/>
        <w:ind w:firstLine="420" w:firstLineChars="200"/>
        <w:rPr>
          <w:rFonts w:ascii="宋体" w:hAnsi="宋体"/>
          <w:szCs w:val="21"/>
        </w:rPr>
      </w:pPr>
      <w:r>
        <w:rPr>
          <w:rFonts w:hint="eastAsia" w:ascii="宋体" w:hAnsi="宋体"/>
          <w:szCs w:val="21"/>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3D72F24A">
      <w:pPr>
        <w:pStyle w:val="2"/>
        <w:keepNext/>
        <w:keepLines/>
        <w:widowControl w:val="0"/>
        <w:spacing w:before="312" w:beforeLines="100" w:after="312" w:afterLines="100" w:line="360" w:lineRule="auto"/>
        <w:jc w:val="center"/>
        <w:rPr>
          <w:rStyle w:val="20"/>
          <w:rFonts w:ascii="宋体" w:hAnsi="宋体"/>
        </w:rPr>
      </w:pPr>
      <w:bookmarkStart w:id="49" w:name="_Toc145339101"/>
      <w:bookmarkStart w:id="50" w:name="_Toc409100108"/>
      <w:bookmarkStart w:id="51" w:name="_Toc409100471"/>
      <w:bookmarkStart w:id="52" w:name="_Toc361324903"/>
      <w:bookmarkStart w:id="53" w:name="_Toc476577307"/>
      <w:bookmarkStart w:id="54" w:name="_Toc484769810"/>
      <w:bookmarkStart w:id="55" w:name="_Toc225500055"/>
      <w:r>
        <w:rPr>
          <w:rStyle w:val="20"/>
          <w:rFonts w:hint="eastAsia" w:ascii="宋体" w:hAnsi="宋体"/>
        </w:rPr>
        <w:t>6、</w:t>
      </w:r>
      <w:r>
        <w:rPr>
          <w:rStyle w:val="20"/>
          <w:rFonts w:ascii="宋体" w:hAnsi="宋体"/>
        </w:rPr>
        <w:t>备查文件目录</w:t>
      </w:r>
      <w:bookmarkEnd w:id="49"/>
      <w:bookmarkEnd w:id="50"/>
      <w:bookmarkEnd w:id="51"/>
      <w:bookmarkEnd w:id="52"/>
      <w:bookmarkEnd w:id="53"/>
      <w:bookmarkEnd w:id="54"/>
      <w:bookmarkEnd w:id="55"/>
    </w:p>
    <w:p w14:paraId="3D8EEA06">
      <w:pPr>
        <w:pStyle w:val="3"/>
        <w:spacing w:before="0" w:after="0"/>
        <w:rPr>
          <w:rFonts w:ascii="宋体" w:hAnsi="宋体" w:eastAsia="宋体"/>
          <w:kern w:val="0"/>
          <w:sz w:val="21"/>
          <w:szCs w:val="21"/>
        </w:rPr>
      </w:pPr>
      <w:bookmarkStart w:id="56" w:name="_Toc476577308"/>
      <w:bookmarkStart w:id="57" w:name="_Toc484769811"/>
      <w:bookmarkStart w:id="58" w:name="_Toc484607315"/>
      <w:bookmarkStart w:id="59" w:name="_Toc361324904"/>
      <w:bookmarkStart w:id="60" w:name="_Toc409100109"/>
      <w:bookmarkStart w:id="61" w:name="_Toc483396843"/>
      <w:bookmarkStart w:id="62" w:name="_Toc145339102"/>
      <w:bookmarkStart w:id="63" w:name="_Toc409100472"/>
      <w:r>
        <w:rPr>
          <w:rFonts w:hint="eastAsia" w:ascii="宋体" w:hAnsi="宋体" w:eastAsia="宋体"/>
          <w:kern w:val="0"/>
          <w:sz w:val="21"/>
          <w:szCs w:val="21"/>
        </w:rPr>
        <w:t>6</w:t>
      </w:r>
      <w:r>
        <w:rPr>
          <w:rFonts w:ascii="宋体" w:hAnsi="宋体" w:eastAsia="宋体"/>
          <w:kern w:val="0"/>
          <w:sz w:val="21"/>
          <w:szCs w:val="21"/>
        </w:rPr>
        <w:t>.1 备查文件目录</w:t>
      </w:r>
      <w:bookmarkEnd w:id="56"/>
      <w:bookmarkEnd w:id="57"/>
      <w:bookmarkEnd w:id="58"/>
      <w:bookmarkEnd w:id="59"/>
      <w:bookmarkEnd w:id="60"/>
      <w:bookmarkEnd w:id="61"/>
      <w:bookmarkEnd w:id="62"/>
      <w:bookmarkEnd w:id="63"/>
    </w:p>
    <w:p w14:paraId="153B8E01">
      <w:pPr>
        <w:spacing w:line="360" w:lineRule="auto"/>
        <w:ind w:firstLine="420" w:firstLineChars="200"/>
        <w:rPr>
          <w:rFonts w:ascii="宋体" w:hAnsi="宋体"/>
          <w:szCs w:val="21"/>
        </w:rPr>
      </w:pPr>
      <w:r>
        <w:rPr>
          <w:rFonts w:hint="eastAsia" w:ascii="宋体" w:hAnsi="宋体"/>
          <w:color w:val="000000"/>
          <w:szCs w:val="21"/>
        </w:rPr>
        <w:t>6.</w:t>
      </w:r>
      <w:r>
        <w:rPr>
          <w:rFonts w:ascii="宋体" w:hAnsi="宋体"/>
          <w:color w:val="000000"/>
          <w:szCs w:val="21"/>
        </w:rPr>
        <w:t>1.1博时荣泰灵活配置混合型证券投资基金清算审计报告</w:t>
      </w:r>
    </w:p>
    <w:p w14:paraId="73397BB3">
      <w:pPr>
        <w:spacing w:line="360" w:lineRule="auto"/>
        <w:ind w:firstLine="420" w:firstLineChars="200"/>
        <w:rPr>
          <w:rFonts w:ascii="宋体" w:hAnsi="宋体"/>
          <w:color w:val="000000"/>
          <w:szCs w:val="21"/>
        </w:rPr>
      </w:pPr>
      <w:r>
        <w:rPr>
          <w:rFonts w:hint="eastAsia" w:ascii="宋体" w:hAnsi="宋体"/>
          <w:color w:val="000000"/>
          <w:szCs w:val="21"/>
        </w:rPr>
        <w:t>6</w:t>
      </w:r>
      <w:r>
        <w:rPr>
          <w:rFonts w:ascii="宋体" w:hAnsi="宋体"/>
          <w:color w:val="000000"/>
          <w:szCs w:val="21"/>
        </w:rPr>
        <w:t>.1.2</w:t>
      </w:r>
      <w:r>
        <w:rPr>
          <w:rFonts w:hint="eastAsia" w:ascii="宋体" w:hAnsi="宋体"/>
          <w:color w:val="000000"/>
          <w:szCs w:val="21"/>
        </w:rPr>
        <w:t>上海源泰律师事务所关于博时荣泰灵活配置混合型证券投资基金清算事宜之法律意见</w:t>
      </w:r>
    </w:p>
    <w:p w14:paraId="7CC69223">
      <w:pPr>
        <w:pStyle w:val="3"/>
        <w:spacing w:before="0" w:after="0"/>
        <w:rPr>
          <w:rFonts w:ascii="宋体" w:hAnsi="宋体" w:eastAsia="宋体"/>
          <w:kern w:val="0"/>
          <w:sz w:val="21"/>
          <w:szCs w:val="21"/>
        </w:rPr>
      </w:pPr>
      <w:bookmarkStart w:id="64" w:name="_Toc483396844"/>
      <w:bookmarkStart w:id="65" w:name="_Toc484607316"/>
      <w:bookmarkStart w:id="66" w:name="_Toc409100473"/>
      <w:bookmarkStart w:id="67" w:name="_Toc484769812"/>
      <w:bookmarkStart w:id="68" w:name="_Toc361324905"/>
      <w:bookmarkStart w:id="69" w:name="_Toc476577309"/>
      <w:bookmarkStart w:id="70" w:name="_Toc409100110"/>
      <w:bookmarkStart w:id="71" w:name="_Toc145339103"/>
      <w:r>
        <w:rPr>
          <w:rFonts w:hint="eastAsia" w:ascii="宋体" w:hAnsi="宋体" w:eastAsia="宋体"/>
          <w:kern w:val="0"/>
          <w:sz w:val="21"/>
          <w:szCs w:val="21"/>
        </w:rPr>
        <w:t>6</w:t>
      </w:r>
      <w:r>
        <w:rPr>
          <w:rFonts w:ascii="宋体" w:hAnsi="宋体" w:eastAsia="宋体"/>
          <w:kern w:val="0"/>
          <w:sz w:val="21"/>
          <w:szCs w:val="21"/>
        </w:rPr>
        <w:t>.2 存放地点</w:t>
      </w:r>
      <w:bookmarkEnd w:id="64"/>
      <w:bookmarkEnd w:id="65"/>
      <w:bookmarkEnd w:id="66"/>
      <w:bookmarkEnd w:id="67"/>
      <w:bookmarkEnd w:id="68"/>
      <w:bookmarkEnd w:id="69"/>
      <w:bookmarkEnd w:id="70"/>
      <w:bookmarkEnd w:id="71"/>
    </w:p>
    <w:p w14:paraId="155D7A61">
      <w:pPr>
        <w:spacing w:line="360" w:lineRule="auto"/>
        <w:ind w:firstLine="420" w:firstLineChars="200"/>
        <w:rPr>
          <w:rFonts w:ascii="宋体" w:hAnsi="宋体"/>
          <w:color w:val="000000"/>
          <w:szCs w:val="21"/>
        </w:rPr>
      </w:pPr>
      <w:r>
        <w:rPr>
          <w:rFonts w:ascii="宋体" w:hAnsi="宋体"/>
          <w:color w:val="000000"/>
          <w:szCs w:val="21"/>
        </w:rPr>
        <w:t>基金管理人、基金托管人处</w:t>
      </w:r>
    </w:p>
    <w:p w14:paraId="4D1A714C">
      <w:pPr>
        <w:pStyle w:val="3"/>
        <w:spacing w:before="0" w:after="0"/>
        <w:rPr>
          <w:rFonts w:ascii="宋体" w:hAnsi="宋体" w:eastAsia="宋体"/>
          <w:kern w:val="0"/>
          <w:sz w:val="21"/>
          <w:szCs w:val="21"/>
        </w:rPr>
      </w:pPr>
      <w:bookmarkStart w:id="72" w:name="_Toc483396845"/>
      <w:bookmarkStart w:id="73" w:name="_Toc145339104"/>
      <w:bookmarkStart w:id="74" w:name="_Toc409100474"/>
      <w:bookmarkStart w:id="75" w:name="_Toc476577310"/>
      <w:bookmarkStart w:id="76" w:name="_Toc409100111"/>
      <w:bookmarkStart w:id="77" w:name="_Toc484769813"/>
      <w:bookmarkStart w:id="78" w:name="_Toc361324906"/>
      <w:bookmarkStart w:id="79" w:name="_Toc484607317"/>
      <w:r>
        <w:rPr>
          <w:rFonts w:hint="eastAsia" w:ascii="宋体" w:hAnsi="宋体" w:eastAsia="宋体"/>
          <w:kern w:val="0"/>
          <w:sz w:val="21"/>
          <w:szCs w:val="21"/>
        </w:rPr>
        <w:t>6</w:t>
      </w:r>
      <w:r>
        <w:rPr>
          <w:rFonts w:ascii="宋体" w:hAnsi="宋体" w:eastAsia="宋体"/>
          <w:kern w:val="0"/>
          <w:sz w:val="21"/>
          <w:szCs w:val="21"/>
        </w:rPr>
        <w:t>.3 查阅方式</w:t>
      </w:r>
      <w:bookmarkEnd w:id="72"/>
      <w:bookmarkEnd w:id="73"/>
      <w:bookmarkEnd w:id="74"/>
      <w:bookmarkEnd w:id="75"/>
      <w:bookmarkEnd w:id="76"/>
      <w:bookmarkEnd w:id="77"/>
      <w:bookmarkEnd w:id="78"/>
      <w:bookmarkEnd w:id="79"/>
    </w:p>
    <w:p w14:paraId="3DE685FE">
      <w:pPr>
        <w:spacing w:line="360" w:lineRule="auto"/>
        <w:ind w:firstLine="420" w:firstLineChars="200"/>
        <w:rPr>
          <w:rFonts w:ascii="宋体" w:hAnsi="宋体"/>
          <w:color w:val="000000"/>
          <w:szCs w:val="21"/>
        </w:rPr>
      </w:pPr>
      <w:r>
        <w:rPr>
          <w:rFonts w:ascii="宋体" w:hAnsi="宋体"/>
          <w:color w:val="000000"/>
          <w:szCs w:val="21"/>
        </w:rPr>
        <w:t>投资者可在营业时间免费查阅，也可按工本费购买复印件</w:t>
      </w:r>
    </w:p>
    <w:p w14:paraId="79F2EFAF">
      <w:pPr>
        <w:spacing w:line="360" w:lineRule="auto"/>
        <w:ind w:firstLine="420" w:firstLineChars="200"/>
        <w:rPr>
          <w:rFonts w:ascii="宋体" w:hAnsi="宋体"/>
          <w:color w:val="000000"/>
          <w:szCs w:val="21"/>
        </w:rPr>
      </w:pPr>
      <w:r>
        <w:rPr>
          <w:rFonts w:ascii="宋体" w:hAnsi="宋体"/>
          <w:color w:val="000000"/>
          <w:szCs w:val="21"/>
        </w:rPr>
        <w:t>投资者对本报告书如有疑问，可咨询本基金</w:t>
      </w:r>
      <w:r>
        <w:rPr>
          <w:rFonts w:hint="eastAsia" w:ascii="宋体" w:hAnsi="宋体"/>
          <w:color w:val="000000"/>
          <w:szCs w:val="21"/>
        </w:rPr>
        <w:t>基金</w:t>
      </w:r>
      <w:r>
        <w:rPr>
          <w:rFonts w:ascii="宋体" w:hAnsi="宋体"/>
          <w:color w:val="000000"/>
          <w:szCs w:val="21"/>
        </w:rPr>
        <w:t>管理人博时基金管理有限公司</w:t>
      </w:r>
    </w:p>
    <w:p w14:paraId="4328D768">
      <w:pPr>
        <w:spacing w:line="360" w:lineRule="auto"/>
        <w:ind w:firstLine="420" w:firstLineChars="200"/>
        <w:rPr>
          <w:rFonts w:ascii="宋体" w:hAnsi="宋体"/>
          <w:color w:val="000000"/>
          <w:szCs w:val="21"/>
        </w:rPr>
      </w:pPr>
      <w:r>
        <w:rPr>
          <w:rFonts w:ascii="宋体" w:hAnsi="宋体"/>
          <w:color w:val="000000"/>
          <w:szCs w:val="21"/>
        </w:rPr>
        <w:t>博时一线通：95105568（免长途话费）</w:t>
      </w:r>
    </w:p>
    <w:p w14:paraId="4FBC5044">
      <w:pPr>
        <w:spacing w:line="360" w:lineRule="auto"/>
        <w:ind w:firstLine="315" w:firstLineChars="150"/>
        <w:rPr>
          <w:rFonts w:ascii="宋体" w:hAnsi="宋体"/>
          <w:bCs/>
          <w:color w:val="000000" w:themeColor="text1"/>
          <w:szCs w:val="21"/>
          <w14:textFill>
            <w14:solidFill>
              <w14:schemeClr w14:val="tx1"/>
            </w14:solidFill>
          </w14:textFill>
        </w:rPr>
      </w:pPr>
    </w:p>
    <w:p w14:paraId="2CD29D69">
      <w:pPr>
        <w:spacing w:line="360" w:lineRule="auto"/>
        <w:ind w:firstLine="315" w:firstLineChars="150"/>
        <w:rPr>
          <w:rFonts w:ascii="宋体" w:hAnsi="宋体"/>
          <w:bCs/>
          <w:color w:val="000000" w:themeColor="text1"/>
          <w:szCs w:val="21"/>
          <w14:textFill>
            <w14:solidFill>
              <w14:schemeClr w14:val="tx1"/>
            </w14:solidFill>
          </w14:textFill>
        </w:rPr>
      </w:pPr>
    </w:p>
    <w:p w14:paraId="2C2DDA24">
      <w:pPr>
        <w:spacing w:line="360" w:lineRule="auto"/>
        <w:ind w:firstLine="315" w:firstLineChars="150"/>
        <w:rPr>
          <w:rFonts w:ascii="宋体" w:hAnsi="宋体"/>
          <w:bCs/>
          <w:color w:val="000000" w:themeColor="text1"/>
          <w:szCs w:val="21"/>
          <w14:textFill>
            <w14:solidFill>
              <w14:schemeClr w14:val="tx1"/>
            </w14:solidFill>
          </w14:textFill>
        </w:rPr>
      </w:pPr>
    </w:p>
    <w:p w14:paraId="1B74AB78">
      <w:pPr>
        <w:spacing w:line="360" w:lineRule="auto"/>
        <w:ind w:firstLine="315" w:firstLineChars="150"/>
        <w:rPr>
          <w:rFonts w:ascii="宋体" w:hAnsi="宋体"/>
          <w:bCs/>
          <w:color w:val="000000" w:themeColor="text1"/>
          <w:szCs w:val="21"/>
          <w14:textFill>
            <w14:solidFill>
              <w14:schemeClr w14:val="tx1"/>
            </w14:solidFill>
          </w14:textFill>
        </w:rPr>
      </w:pPr>
    </w:p>
    <w:p w14:paraId="72A45515">
      <w:pPr>
        <w:spacing w:line="360" w:lineRule="auto"/>
        <w:ind w:firstLine="315" w:firstLineChars="150"/>
        <w:rPr>
          <w:rFonts w:ascii="宋体" w:hAnsi="宋体"/>
          <w:bCs/>
          <w:color w:val="000000" w:themeColor="text1"/>
          <w:szCs w:val="21"/>
          <w14:textFill>
            <w14:solidFill>
              <w14:schemeClr w14:val="tx1"/>
            </w14:solidFill>
          </w14:textFill>
        </w:rPr>
      </w:pPr>
    </w:p>
    <w:p w14:paraId="5E3F8A0E">
      <w:pPr>
        <w:spacing w:line="360" w:lineRule="auto"/>
        <w:ind w:firstLine="315" w:firstLineChars="150"/>
        <w:rPr>
          <w:rFonts w:ascii="宋体" w:hAnsi="宋体"/>
          <w:bCs/>
          <w:color w:val="000000" w:themeColor="text1"/>
          <w:szCs w:val="21"/>
          <w14:textFill>
            <w14:solidFill>
              <w14:schemeClr w14:val="tx1"/>
            </w14:solidFill>
          </w14:textFill>
        </w:rPr>
      </w:pPr>
    </w:p>
    <w:p w14:paraId="464CBF72">
      <w:pPr>
        <w:spacing w:line="360" w:lineRule="auto"/>
        <w:jc w:val="right"/>
        <w:rPr>
          <w:rFonts w:ascii="宋体" w:hAnsi="宋体"/>
          <w:bCs/>
          <w:szCs w:val="21"/>
        </w:rPr>
      </w:pPr>
      <w:r>
        <w:rPr>
          <w:rFonts w:hint="eastAsia"/>
        </w:rPr>
        <w:t>博时荣泰灵活配置混合型证券投资基金基金</w:t>
      </w:r>
      <w:r>
        <w:rPr>
          <w:rFonts w:hint="eastAsia" w:ascii="宋体" w:hAnsi="宋体"/>
          <w:bCs/>
          <w:szCs w:val="21"/>
        </w:rPr>
        <w:t>财产清算小组</w:t>
      </w:r>
    </w:p>
    <w:p w14:paraId="0301DC2C">
      <w:pPr>
        <w:wordWrap/>
        <w:spacing w:line="360" w:lineRule="auto"/>
        <w:ind w:left="840" w:right="420" w:firstLine="3885" w:firstLineChars="1850"/>
        <w:jc w:val="right"/>
      </w:pPr>
      <w:r>
        <w:rPr>
          <w:rFonts w:ascii="宋体" w:hAnsi="宋体"/>
          <w:bCs/>
          <w:szCs w:val="21"/>
        </w:rPr>
        <w:t>二〇</w:t>
      </w:r>
      <w:r>
        <w:rPr>
          <w:rFonts w:hint="eastAsia" w:ascii="宋体" w:hAnsi="宋体"/>
          <w:bCs/>
          <w:szCs w:val="21"/>
        </w:rPr>
        <w:t>二</w:t>
      </w:r>
      <w:r>
        <w:rPr>
          <w:rFonts w:hint="eastAsia" w:ascii="宋体" w:hAnsi="宋体"/>
          <w:bCs/>
          <w:szCs w:val="21"/>
          <w:lang w:val="en-US" w:eastAsia="zh-CN"/>
        </w:rPr>
        <w:t>六</w:t>
      </w:r>
      <w:r>
        <w:rPr>
          <w:rFonts w:ascii="宋体" w:hAnsi="宋体"/>
          <w:bCs/>
          <w:szCs w:val="21"/>
        </w:rPr>
        <w:t>年</w:t>
      </w:r>
      <w:r>
        <w:rPr>
          <w:rFonts w:hint="eastAsia" w:ascii="宋体" w:hAnsi="宋体"/>
          <w:bCs/>
          <w:szCs w:val="21"/>
          <w:lang w:val="en-US" w:eastAsia="zh-CN"/>
        </w:rPr>
        <w:t>十月十六</w:t>
      </w:r>
      <w:r>
        <w:rPr>
          <w:rFonts w:hint="eastAsia" w:ascii="宋体" w:hAnsi="宋体"/>
          <w:bCs/>
          <w:szCs w:val="21"/>
        </w:rPr>
        <w:t>日</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0446840"/>
      <w:docPartObj>
        <w:docPartGallery w:val="autotext"/>
      </w:docPartObj>
    </w:sdtPr>
    <w:sdtContent>
      <w:p w14:paraId="3CE42B41">
        <w:pPr>
          <w:pStyle w:val="7"/>
          <w:jc w:val="center"/>
        </w:pPr>
        <w:r>
          <w:fldChar w:fldCharType="begin"/>
        </w:r>
        <w:r>
          <w:instrText xml:space="preserve">PAGE   \* MERGEFORMAT</w:instrText>
        </w:r>
        <w:r>
          <w:fldChar w:fldCharType="separate"/>
        </w:r>
        <w:r>
          <w:rPr>
            <w:lang w:val="zh-CN"/>
          </w:rPr>
          <w:t>1</w:t>
        </w:r>
        <w:r>
          <w:fldChar w:fldCharType="end"/>
        </w:r>
      </w:p>
    </w:sdtContent>
  </w:sdt>
  <w:p w14:paraId="7564714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953BB">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60288"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2" name="图片 2"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81073">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59264"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6" name="图片 6"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6A"/>
    <w:rsid w:val="0000095F"/>
    <w:rsid w:val="000137FB"/>
    <w:rsid w:val="00022644"/>
    <w:rsid w:val="00030616"/>
    <w:rsid w:val="00030C19"/>
    <w:rsid w:val="00034D89"/>
    <w:rsid w:val="000357B6"/>
    <w:rsid w:val="000372AE"/>
    <w:rsid w:val="00041198"/>
    <w:rsid w:val="00047E84"/>
    <w:rsid w:val="00051857"/>
    <w:rsid w:val="000539E5"/>
    <w:rsid w:val="00055987"/>
    <w:rsid w:val="00056C1B"/>
    <w:rsid w:val="00060B36"/>
    <w:rsid w:val="00062D4B"/>
    <w:rsid w:val="00063498"/>
    <w:rsid w:val="000666D2"/>
    <w:rsid w:val="0007014B"/>
    <w:rsid w:val="000761E8"/>
    <w:rsid w:val="00080A17"/>
    <w:rsid w:val="000816AB"/>
    <w:rsid w:val="000843E5"/>
    <w:rsid w:val="00085A18"/>
    <w:rsid w:val="000902AA"/>
    <w:rsid w:val="000A67AD"/>
    <w:rsid w:val="000B435B"/>
    <w:rsid w:val="000B68F4"/>
    <w:rsid w:val="000C1A89"/>
    <w:rsid w:val="000C6268"/>
    <w:rsid w:val="000D2477"/>
    <w:rsid w:val="000E746C"/>
    <w:rsid w:val="000F0DB6"/>
    <w:rsid w:val="000F38A7"/>
    <w:rsid w:val="00106078"/>
    <w:rsid w:val="00112785"/>
    <w:rsid w:val="00120978"/>
    <w:rsid w:val="00134CCD"/>
    <w:rsid w:val="00137F90"/>
    <w:rsid w:val="001461B5"/>
    <w:rsid w:val="001469B6"/>
    <w:rsid w:val="00155FBE"/>
    <w:rsid w:val="00167779"/>
    <w:rsid w:val="0017200A"/>
    <w:rsid w:val="0017203A"/>
    <w:rsid w:val="00173F54"/>
    <w:rsid w:val="001837B1"/>
    <w:rsid w:val="00192433"/>
    <w:rsid w:val="0019354B"/>
    <w:rsid w:val="001943DA"/>
    <w:rsid w:val="001A25D5"/>
    <w:rsid w:val="001A6186"/>
    <w:rsid w:val="001A64D9"/>
    <w:rsid w:val="001B142B"/>
    <w:rsid w:val="001B307F"/>
    <w:rsid w:val="001B6418"/>
    <w:rsid w:val="001C2654"/>
    <w:rsid w:val="001C5110"/>
    <w:rsid w:val="001C5F1E"/>
    <w:rsid w:val="001D416C"/>
    <w:rsid w:val="001D4D02"/>
    <w:rsid w:val="001E1155"/>
    <w:rsid w:val="001F2833"/>
    <w:rsid w:val="0020164A"/>
    <w:rsid w:val="002025EA"/>
    <w:rsid w:val="00202D7F"/>
    <w:rsid w:val="002062C8"/>
    <w:rsid w:val="00214EB4"/>
    <w:rsid w:val="0021666C"/>
    <w:rsid w:val="00227A63"/>
    <w:rsid w:val="00231504"/>
    <w:rsid w:val="00232E19"/>
    <w:rsid w:val="00234000"/>
    <w:rsid w:val="0023623C"/>
    <w:rsid w:val="002411FB"/>
    <w:rsid w:val="0025064B"/>
    <w:rsid w:val="00255115"/>
    <w:rsid w:val="002563BA"/>
    <w:rsid w:val="00256EF7"/>
    <w:rsid w:val="00262F7B"/>
    <w:rsid w:val="002653B2"/>
    <w:rsid w:val="00265EEB"/>
    <w:rsid w:val="002661A0"/>
    <w:rsid w:val="00276A7B"/>
    <w:rsid w:val="00282DBC"/>
    <w:rsid w:val="002873D1"/>
    <w:rsid w:val="00293C87"/>
    <w:rsid w:val="0029525F"/>
    <w:rsid w:val="0029757C"/>
    <w:rsid w:val="002A651B"/>
    <w:rsid w:val="002A67F8"/>
    <w:rsid w:val="002A74F4"/>
    <w:rsid w:val="002B3940"/>
    <w:rsid w:val="002B3A7F"/>
    <w:rsid w:val="002B64F0"/>
    <w:rsid w:val="002C0121"/>
    <w:rsid w:val="002C206A"/>
    <w:rsid w:val="002C5EE3"/>
    <w:rsid w:val="002D012A"/>
    <w:rsid w:val="002D2D31"/>
    <w:rsid w:val="002D5091"/>
    <w:rsid w:val="002E63F9"/>
    <w:rsid w:val="002E6C5A"/>
    <w:rsid w:val="002F6DA9"/>
    <w:rsid w:val="00301ED8"/>
    <w:rsid w:val="00306602"/>
    <w:rsid w:val="00307993"/>
    <w:rsid w:val="00326C6E"/>
    <w:rsid w:val="0033114F"/>
    <w:rsid w:val="00352E52"/>
    <w:rsid w:val="0035409D"/>
    <w:rsid w:val="00355DCE"/>
    <w:rsid w:val="00370C3B"/>
    <w:rsid w:val="00371301"/>
    <w:rsid w:val="00373891"/>
    <w:rsid w:val="003807A5"/>
    <w:rsid w:val="00382B7B"/>
    <w:rsid w:val="003835CB"/>
    <w:rsid w:val="00385C7D"/>
    <w:rsid w:val="00386448"/>
    <w:rsid w:val="00397293"/>
    <w:rsid w:val="003A31B4"/>
    <w:rsid w:val="003B1FF9"/>
    <w:rsid w:val="003C3F46"/>
    <w:rsid w:val="003C54DC"/>
    <w:rsid w:val="003C62D7"/>
    <w:rsid w:val="003D0371"/>
    <w:rsid w:val="003E15EB"/>
    <w:rsid w:val="003E2B75"/>
    <w:rsid w:val="003E5A9A"/>
    <w:rsid w:val="003F309E"/>
    <w:rsid w:val="00430500"/>
    <w:rsid w:val="00434B13"/>
    <w:rsid w:val="00436D7F"/>
    <w:rsid w:val="00442E63"/>
    <w:rsid w:val="0044360C"/>
    <w:rsid w:val="0044397B"/>
    <w:rsid w:val="004454E6"/>
    <w:rsid w:val="0045486C"/>
    <w:rsid w:val="00455367"/>
    <w:rsid w:val="00455ED0"/>
    <w:rsid w:val="00456810"/>
    <w:rsid w:val="004612B6"/>
    <w:rsid w:val="0047525E"/>
    <w:rsid w:val="004840C9"/>
    <w:rsid w:val="004850AB"/>
    <w:rsid w:val="00492489"/>
    <w:rsid w:val="00492EFF"/>
    <w:rsid w:val="004A1313"/>
    <w:rsid w:val="004A154B"/>
    <w:rsid w:val="004A4000"/>
    <w:rsid w:val="004B1C28"/>
    <w:rsid w:val="004B48B5"/>
    <w:rsid w:val="004B5C9E"/>
    <w:rsid w:val="004C29F5"/>
    <w:rsid w:val="004C71DC"/>
    <w:rsid w:val="004D414E"/>
    <w:rsid w:val="004D4509"/>
    <w:rsid w:val="004D4D05"/>
    <w:rsid w:val="004D6178"/>
    <w:rsid w:val="004D6B20"/>
    <w:rsid w:val="00502816"/>
    <w:rsid w:val="00502DD9"/>
    <w:rsid w:val="00506722"/>
    <w:rsid w:val="00516AB2"/>
    <w:rsid w:val="00521F84"/>
    <w:rsid w:val="00523B76"/>
    <w:rsid w:val="0052764B"/>
    <w:rsid w:val="005342D6"/>
    <w:rsid w:val="00534804"/>
    <w:rsid w:val="00564FC0"/>
    <w:rsid w:val="005660DC"/>
    <w:rsid w:val="00566D31"/>
    <w:rsid w:val="00573997"/>
    <w:rsid w:val="00573CCA"/>
    <w:rsid w:val="00577499"/>
    <w:rsid w:val="005827CB"/>
    <w:rsid w:val="00583125"/>
    <w:rsid w:val="00586461"/>
    <w:rsid w:val="00587EB1"/>
    <w:rsid w:val="00591E34"/>
    <w:rsid w:val="00595DB8"/>
    <w:rsid w:val="005A5F19"/>
    <w:rsid w:val="005B00B8"/>
    <w:rsid w:val="005B1434"/>
    <w:rsid w:val="005B1DA8"/>
    <w:rsid w:val="005B7910"/>
    <w:rsid w:val="005C2636"/>
    <w:rsid w:val="005D2BBF"/>
    <w:rsid w:val="005D3C26"/>
    <w:rsid w:val="005D4DFB"/>
    <w:rsid w:val="005D726C"/>
    <w:rsid w:val="005E0013"/>
    <w:rsid w:val="005E066D"/>
    <w:rsid w:val="005E2E0C"/>
    <w:rsid w:val="005E4AD0"/>
    <w:rsid w:val="005E5893"/>
    <w:rsid w:val="00602945"/>
    <w:rsid w:val="00612741"/>
    <w:rsid w:val="00633070"/>
    <w:rsid w:val="0063424C"/>
    <w:rsid w:val="00635482"/>
    <w:rsid w:val="00635B20"/>
    <w:rsid w:val="00644DD9"/>
    <w:rsid w:val="006458AE"/>
    <w:rsid w:val="00652E32"/>
    <w:rsid w:val="00654582"/>
    <w:rsid w:val="006568DA"/>
    <w:rsid w:val="00662751"/>
    <w:rsid w:val="006631AD"/>
    <w:rsid w:val="00665EC2"/>
    <w:rsid w:val="00680A32"/>
    <w:rsid w:val="0068199C"/>
    <w:rsid w:val="006845C6"/>
    <w:rsid w:val="00686F4D"/>
    <w:rsid w:val="00694032"/>
    <w:rsid w:val="00696A99"/>
    <w:rsid w:val="006A0CA9"/>
    <w:rsid w:val="006A13B2"/>
    <w:rsid w:val="006A3E46"/>
    <w:rsid w:val="006B68D9"/>
    <w:rsid w:val="006C1070"/>
    <w:rsid w:val="006C1BF7"/>
    <w:rsid w:val="006D3ABB"/>
    <w:rsid w:val="006D7EE7"/>
    <w:rsid w:val="006E09FA"/>
    <w:rsid w:val="006E57F3"/>
    <w:rsid w:val="006E60B5"/>
    <w:rsid w:val="006E7668"/>
    <w:rsid w:val="006F10F0"/>
    <w:rsid w:val="006F5492"/>
    <w:rsid w:val="006F6162"/>
    <w:rsid w:val="006F661D"/>
    <w:rsid w:val="006F6EDE"/>
    <w:rsid w:val="007057BB"/>
    <w:rsid w:val="00714FE5"/>
    <w:rsid w:val="007152F3"/>
    <w:rsid w:val="00716593"/>
    <w:rsid w:val="00716C2D"/>
    <w:rsid w:val="007249F8"/>
    <w:rsid w:val="007250DC"/>
    <w:rsid w:val="007302D4"/>
    <w:rsid w:val="00731E72"/>
    <w:rsid w:val="00733FD6"/>
    <w:rsid w:val="00735BC7"/>
    <w:rsid w:val="00741ECC"/>
    <w:rsid w:val="00751255"/>
    <w:rsid w:val="00752AA1"/>
    <w:rsid w:val="00762677"/>
    <w:rsid w:val="007654B6"/>
    <w:rsid w:val="00765C51"/>
    <w:rsid w:val="007710E0"/>
    <w:rsid w:val="00772D62"/>
    <w:rsid w:val="00772F4C"/>
    <w:rsid w:val="00774DA5"/>
    <w:rsid w:val="0077601B"/>
    <w:rsid w:val="00777874"/>
    <w:rsid w:val="00784118"/>
    <w:rsid w:val="00791012"/>
    <w:rsid w:val="00794F7D"/>
    <w:rsid w:val="007A111F"/>
    <w:rsid w:val="007A1382"/>
    <w:rsid w:val="007A3D67"/>
    <w:rsid w:val="007A4276"/>
    <w:rsid w:val="007B1F39"/>
    <w:rsid w:val="007C224B"/>
    <w:rsid w:val="007C63DE"/>
    <w:rsid w:val="007C7E15"/>
    <w:rsid w:val="007D01A7"/>
    <w:rsid w:val="007D0824"/>
    <w:rsid w:val="007D2C21"/>
    <w:rsid w:val="007D368E"/>
    <w:rsid w:val="007E174D"/>
    <w:rsid w:val="007E3A28"/>
    <w:rsid w:val="007F4BB0"/>
    <w:rsid w:val="007F7773"/>
    <w:rsid w:val="00800E5D"/>
    <w:rsid w:val="00801C52"/>
    <w:rsid w:val="00804275"/>
    <w:rsid w:val="00815886"/>
    <w:rsid w:val="00815FC5"/>
    <w:rsid w:val="00824898"/>
    <w:rsid w:val="00831C44"/>
    <w:rsid w:val="00834E30"/>
    <w:rsid w:val="008459F8"/>
    <w:rsid w:val="00845FBE"/>
    <w:rsid w:val="00846CD0"/>
    <w:rsid w:val="00850DF4"/>
    <w:rsid w:val="00862C4E"/>
    <w:rsid w:val="00872860"/>
    <w:rsid w:val="00876515"/>
    <w:rsid w:val="00881D41"/>
    <w:rsid w:val="00893D5F"/>
    <w:rsid w:val="008A157A"/>
    <w:rsid w:val="008A2534"/>
    <w:rsid w:val="008A2CED"/>
    <w:rsid w:val="008A3541"/>
    <w:rsid w:val="008A37AA"/>
    <w:rsid w:val="008A3F14"/>
    <w:rsid w:val="008A7F7B"/>
    <w:rsid w:val="008B2371"/>
    <w:rsid w:val="008B50E8"/>
    <w:rsid w:val="008D2268"/>
    <w:rsid w:val="008D28CA"/>
    <w:rsid w:val="008F1E69"/>
    <w:rsid w:val="008F313A"/>
    <w:rsid w:val="00905F06"/>
    <w:rsid w:val="00907090"/>
    <w:rsid w:val="009102A8"/>
    <w:rsid w:val="009104DA"/>
    <w:rsid w:val="00912B1F"/>
    <w:rsid w:val="0091569A"/>
    <w:rsid w:val="009164BB"/>
    <w:rsid w:val="00916F0F"/>
    <w:rsid w:val="00924654"/>
    <w:rsid w:val="00927D2F"/>
    <w:rsid w:val="00933D33"/>
    <w:rsid w:val="00941D16"/>
    <w:rsid w:val="00946EAA"/>
    <w:rsid w:val="00965BAF"/>
    <w:rsid w:val="009837FE"/>
    <w:rsid w:val="00987D82"/>
    <w:rsid w:val="00993E2D"/>
    <w:rsid w:val="009A0A73"/>
    <w:rsid w:val="009A446F"/>
    <w:rsid w:val="009C16D2"/>
    <w:rsid w:val="009E2DFE"/>
    <w:rsid w:val="009E6B28"/>
    <w:rsid w:val="009E6D6B"/>
    <w:rsid w:val="009F6E54"/>
    <w:rsid w:val="00A001EB"/>
    <w:rsid w:val="00A01676"/>
    <w:rsid w:val="00A14A60"/>
    <w:rsid w:val="00A23D46"/>
    <w:rsid w:val="00A306BF"/>
    <w:rsid w:val="00A36A44"/>
    <w:rsid w:val="00A44F0D"/>
    <w:rsid w:val="00A46614"/>
    <w:rsid w:val="00A50F44"/>
    <w:rsid w:val="00A5445B"/>
    <w:rsid w:val="00A674AD"/>
    <w:rsid w:val="00A679A5"/>
    <w:rsid w:val="00A7090F"/>
    <w:rsid w:val="00A728B4"/>
    <w:rsid w:val="00A74683"/>
    <w:rsid w:val="00A862A8"/>
    <w:rsid w:val="00A91EE9"/>
    <w:rsid w:val="00A93929"/>
    <w:rsid w:val="00A93D68"/>
    <w:rsid w:val="00AA1B4D"/>
    <w:rsid w:val="00AA2704"/>
    <w:rsid w:val="00AA33F7"/>
    <w:rsid w:val="00AA6506"/>
    <w:rsid w:val="00AB4223"/>
    <w:rsid w:val="00AC1A32"/>
    <w:rsid w:val="00AC4AE4"/>
    <w:rsid w:val="00AC71D8"/>
    <w:rsid w:val="00AC75BE"/>
    <w:rsid w:val="00AD05C8"/>
    <w:rsid w:val="00AD1682"/>
    <w:rsid w:val="00AD5603"/>
    <w:rsid w:val="00AE14B8"/>
    <w:rsid w:val="00AE5F6A"/>
    <w:rsid w:val="00AE730F"/>
    <w:rsid w:val="00B04DF8"/>
    <w:rsid w:val="00B12304"/>
    <w:rsid w:val="00B16F0F"/>
    <w:rsid w:val="00B233AC"/>
    <w:rsid w:val="00B23421"/>
    <w:rsid w:val="00B305AF"/>
    <w:rsid w:val="00B339F1"/>
    <w:rsid w:val="00B42763"/>
    <w:rsid w:val="00B43A95"/>
    <w:rsid w:val="00B65F7A"/>
    <w:rsid w:val="00B7273F"/>
    <w:rsid w:val="00B72BCE"/>
    <w:rsid w:val="00B86766"/>
    <w:rsid w:val="00B915CA"/>
    <w:rsid w:val="00B92205"/>
    <w:rsid w:val="00B942D8"/>
    <w:rsid w:val="00BB4559"/>
    <w:rsid w:val="00BB63F5"/>
    <w:rsid w:val="00BB738A"/>
    <w:rsid w:val="00BC47E7"/>
    <w:rsid w:val="00BE4A70"/>
    <w:rsid w:val="00BF5EF2"/>
    <w:rsid w:val="00C04232"/>
    <w:rsid w:val="00C11810"/>
    <w:rsid w:val="00C135C6"/>
    <w:rsid w:val="00C14A9A"/>
    <w:rsid w:val="00C17166"/>
    <w:rsid w:val="00C210B3"/>
    <w:rsid w:val="00C34DAD"/>
    <w:rsid w:val="00C360D7"/>
    <w:rsid w:val="00C403BF"/>
    <w:rsid w:val="00C4132F"/>
    <w:rsid w:val="00C525B7"/>
    <w:rsid w:val="00C55365"/>
    <w:rsid w:val="00C630D5"/>
    <w:rsid w:val="00C63D6E"/>
    <w:rsid w:val="00C6730A"/>
    <w:rsid w:val="00C70690"/>
    <w:rsid w:val="00C7478B"/>
    <w:rsid w:val="00C80BA7"/>
    <w:rsid w:val="00C80C26"/>
    <w:rsid w:val="00C81D4D"/>
    <w:rsid w:val="00C8253B"/>
    <w:rsid w:val="00CA0EF6"/>
    <w:rsid w:val="00CA5C95"/>
    <w:rsid w:val="00CA5E5C"/>
    <w:rsid w:val="00CB5771"/>
    <w:rsid w:val="00CB5D33"/>
    <w:rsid w:val="00CC2DA9"/>
    <w:rsid w:val="00CC6E89"/>
    <w:rsid w:val="00CD347D"/>
    <w:rsid w:val="00CD5F8A"/>
    <w:rsid w:val="00CD6DE4"/>
    <w:rsid w:val="00CD7E4B"/>
    <w:rsid w:val="00CE40F8"/>
    <w:rsid w:val="00CE52AA"/>
    <w:rsid w:val="00CF22FE"/>
    <w:rsid w:val="00D00B39"/>
    <w:rsid w:val="00D044DD"/>
    <w:rsid w:val="00D05B80"/>
    <w:rsid w:val="00D06B35"/>
    <w:rsid w:val="00D17073"/>
    <w:rsid w:val="00D31973"/>
    <w:rsid w:val="00D32BD2"/>
    <w:rsid w:val="00D454FE"/>
    <w:rsid w:val="00D54137"/>
    <w:rsid w:val="00D54D70"/>
    <w:rsid w:val="00D65D2C"/>
    <w:rsid w:val="00D747C5"/>
    <w:rsid w:val="00D77529"/>
    <w:rsid w:val="00D87AB1"/>
    <w:rsid w:val="00D908BA"/>
    <w:rsid w:val="00D910E6"/>
    <w:rsid w:val="00D911E2"/>
    <w:rsid w:val="00DA392A"/>
    <w:rsid w:val="00DA69B2"/>
    <w:rsid w:val="00DA6F9B"/>
    <w:rsid w:val="00DB3DDE"/>
    <w:rsid w:val="00DC709B"/>
    <w:rsid w:val="00DD0701"/>
    <w:rsid w:val="00DE1E11"/>
    <w:rsid w:val="00DE2718"/>
    <w:rsid w:val="00DE5ED4"/>
    <w:rsid w:val="00DF0830"/>
    <w:rsid w:val="00DF0A36"/>
    <w:rsid w:val="00DF381F"/>
    <w:rsid w:val="00E036D0"/>
    <w:rsid w:val="00E04E1A"/>
    <w:rsid w:val="00E0513D"/>
    <w:rsid w:val="00E120A8"/>
    <w:rsid w:val="00E157FD"/>
    <w:rsid w:val="00E16F00"/>
    <w:rsid w:val="00E21B3B"/>
    <w:rsid w:val="00E23186"/>
    <w:rsid w:val="00E25C0F"/>
    <w:rsid w:val="00E30EBF"/>
    <w:rsid w:val="00E34DF3"/>
    <w:rsid w:val="00E444C3"/>
    <w:rsid w:val="00E54EFB"/>
    <w:rsid w:val="00E6420A"/>
    <w:rsid w:val="00E667C5"/>
    <w:rsid w:val="00E66B03"/>
    <w:rsid w:val="00E73493"/>
    <w:rsid w:val="00E7448F"/>
    <w:rsid w:val="00E83CB9"/>
    <w:rsid w:val="00E94390"/>
    <w:rsid w:val="00EF778A"/>
    <w:rsid w:val="00F001E5"/>
    <w:rsid w:val="00F01202"/>
    <w:rsid w:val="00F03A4C"/>
    <w:rsid w:val="00F154E0"/>
    <w:rsid w:val="00F15C3A"/>
    <w:rsid w:val="00F17DA5"/>
    <w:rsid w:val="00F2799B"/>
    <w:rsid w:val="00F31C2E"/>
    <w:rsid w:val="00F349E5"/>
    <w:rsid w:val="00F36E31"/>
    <w:rsid w:val="00F374DD"/>
    <w:rsid w:val="00F40A90"/>
    <w:rsid w:val="00F4536A"/>
    <w:rsid w:val="00F45604"/>
    <w:rsid w:val="00F512A6"/>
    <w:rsid w:val="00F52468"/>
    <w:rsid w:val="00F52622"/>
    <w:rsid w:val="00F567B8"/>
    <w:rsid w:val="00F82B25"/>
    <w:rsid w:val="00F869AE"/>
    <w:rsid w:val="00FB16E2"/>
    <w:rsid w:val="00FB4D56"/>
    <w:rsid w:val="00FB67B2"/>
    <w:rsid w:val="00FB68D0"/>
    <w:rsid w:val="00FC1B34"/>
    <w:rsid w:val="00FC33B1"/>
    <w:rsid w:val="00FC557E"/>
    <w:rsid w:val="00FC7F9D"/>
    <w:rsid w:val="00FD1FC1"/>
    <w:rsid w:val="00FD7B6F"/>
    <w:rsid w:val="00FE3491"/>
    <w:rsid w:val="00FE7CDD"/>
    <w:rsid w:val="00FF26D8"/>
    <w:rsid w:val="010121B4"/>
    <w:rsid w:val="04B922CF"/>
    <w:rsid w:val="04C5285F"/>
    <w:rsid w:val="05EC0669"/>
    <w:rsid w:val="06343D3A"/>
    <w:rsid w:val="06DE2BA7"/>
    <w:rsid w:val="07002189"/>
    <w:rsid w:val="0701209A"/>
    <w:rsid w:val="077B78D4"/>
    <w:rsid w:val="07D843EB"/>
    <w:rsid w:val="07DE1B77"/>
    <w:rsid w:val="086D3F47"/>
    <w:rsid w:val="08807182"/>
    <w:rsid w:val="090A4A40"/>
    <w:rsid w:val="093A4901"/>
    <w:rsid w:val="09B207F9"/>
    <w:rsid w:val="0A3B7458"/>
    <w:rsid w:val="0A8330D0"/>
    <w:rsid w:val="0BD53976"/>
    <w:rsid w:val="0C7D7E6A"/>
    <w:rsid w:val="0CE83FFD"/>
    <w:rsid w:val="0E345BC0"/>
    <w:rsid w:val="0E7262FB"/>
    <w:rsid w:val="0EE06222"/>
    <w:rsid w:val="0EF6412A"/>
    <w:rsid w:val="0F1E2B32"/>
    <w:rsid w:val="0F581D93"/>
    <w:rsid w:val="0F645140"/>
    <w:rsid w:val="0FC04ECD"/>
    <w:rsid w:val="0FD03282"/>
    <w:rsid w:val="108465A8"/>
    <w:rsid w:val="11277FB0"/>
    <w:rsid w:val="112E1A4E"/>
    <w:rsid w:val="11756527"/>
    <w:rsid w:val="11C760C7"/>
    <w:rsid w:val="11ED22F7"/>
    <w:rsid w:val="12315F5B"/>
    <w:rsid w:val="12FB6C31"/>
    <w:rsid w:val="1356172D"/>
    <w:rsid w:val="13F10443"/>
    <w:rsid w:val="143B75BD"/>
    <w:rsid w:val="14F078C9"/>
    <w:rsid w:val="150D3199"/>
    <w:rsid w:val="1553019F"/>
    <w:rsid w:val="156670AB"/>
    <w:rsid w:val="15BA4A5C"/>
    <w:rsid w:val="162B70C9"/>
    <w:rsid w:val="166866D0"/>
    <w:rsid w:val="16810AFC"/>
    <w:rsid w:val="16C72C35"/>
    <w:rsid w:val="17650D6F"/>
    <w:rsid w:val="17824257"/>
    <w:rsid w:val="178E1F33"/>
    <w:rsid w:val="17A13152"/>
    <w:rsid w:val="17AE026A"/>
    <w:rsid w:val="19511878"/>
    <w:rsid w:val="19C24DE5"/>
    <w:rsid w:val="1ADC4B9E"/>
    <w:rsid w:val="1B550FE4"/>
    <w:rsid w:val="1B83082F"/>
    <w:rsid w:val="1C1119BB"/>
    <w:rsid w:val="1C124C1B"/>
    <w:rsid w:val="1C762006"/>
    <w:rsid w:val="1C9828F5"/>
    <w:rsid w:val="1CAA4BB8"/>
    <w:rsid w:val="1CEB208A"/>
    <w:rsid w:val="1D1125BF"/>
    <w:rsid w:val="1D2302DB"/>
    <w:rsid w:val="1D9A26B4"/>
    <w:rsid w:val="1DE073E1"/>
    <w:rsid w:val="1DEA22A2"/>
    <w:rsid w:val="1EDB762C"/>
    <w:rsid w:val="1F056DB4"/>
    <w:rsid w:val="1F2D605C"/>
    <w:rsid w:val="20162EC1"/>
    <w:rsid w:val="205556D9"/>
    <w:rsid w:val="20EC0311"/>
    <w:rsid w:val="20FA7627"/>
    <w:rsid w:val="211308AC"/>
    <w:rsid w:val="21BB6D03"/>
    <w:rsid w:val="21BC76E5"/>
    <w:rsid w:val="21C35692"/>
    <w:rsid w:val="22D401B1"/>
    <w:rsid w:val="23C62FBD"/>
    <w:rsid w:val="23DE0664"/>
    <w:rsid w:val="23F643F7"/>
    <w:rsid w:val="24082B2D"/>
    <w:rsid w:val="24974DB4"/>
    <w:rsid w:val="250F063F"/>
    <w:rsid w:val="25E876E0"/>
    <w:rsid w:val="25FD230C"/>
    <w:rsid w:val="26013FB1"/>
    <w:rsid w:val="26275E41"/>
    <w:rsid w:val="26E01966"/>
    <w:rsid w:val="26FC6F17"/>
    <w:rsid w:val="270D41CD"/>
    <w:rsid w:val="27663A57"/>
    <w:rsid w:val="27866676"/>
    <w:rsid w:val="27A83F1D"/>
    <w:rsid w:val="28270DE3"/>
    <w:rsid w:val="28726E69"/>
    <w:rsid w:val="28BA3B86"/>
    <w:rsid w:val="28D10507"/>
    <w:rsid w:val="28E848A9"/>
    <w:rsid w:val="298D53BF"/>
    <w:rsid w:val="29E14AC1"/>
    <w:rsid w:val="2AB255B7"/>
    <w:rsid w:val="2B30345D"/>
    <w:rsid w:val="2B505F9D"/>
    <w:rsid w:val="2B665F42"/>
    <w:rsid w:val="2BD8717A"/>
    <w:rsid w:val="2D0E1794"/>
    <w:rsid w:val="2D9F23FB"/>
    <w:rsid w:val="2DF378D7"/>
    <w:rsid w:val="2E243FD5"/>
    <w:rsid w:val="2E8B4F66"/>
    <w:rsid w:val="2EC40107"/>
    <w:rsid w:val="2ED1015D"/>
    <w:rsid w:val="2FD02095"/>
    <w:rsid w:val="30002D86"/>
    <w:rsid w:val="30FE4C1A"/>
    <w:rsid w:val="31A87B4B"/>
    <w:rsid w:val="31E0037E"/>
    <w:rsid w:val="32036D1A"/>
    <w:rsid w:val="323C7542"/>
    <w:rsid w:val="32A93C8C"/>
    <w:rsid w:val="32EB4A9A"/>
    <w:rsid w:val="331D1716"/>
    <w:rsid w:val="331D2E34"/>
    <w:rsid w:val="3333736C"/>
    <w:rsid w:val="334D7F9A"/>
    <w:rsid w:val="34B3170A"/>
    <w:rsid w:val="35534E88"/>
    <w:rsid w:val="35581BDB"/>
    <w:rsid w:val="355D3219"/>
    <w:rsid w:val="357D2C19"/>
    <w:rsid w:val="35FF0CF3"/>
    <w:rsid w:val="365A7C39"/>
    <w:rsid w:val="366A7BCF"/>
    <w:rsid w:val="36AE5308"/>
    <w:rsid w:val="371E31D3"/>
    <w:rsid w:val="374146B4"/>
    <w:rsid w:val="375F29A0"/>
    <w:rsid w:val="3761134B"/>
    <w:rsid w:val="37A30ED5"/>
    <w:rsid w:val="385D1988"/>
    <w:rsid w:val="385F2084"/>
    <w:rsid w:val="38C52678"/>
    <w:rsid w:val="39153335"/>
    <w:rsid w:val="39CB3D5D"/>
    <w:rsid w:val="39F32D23"/>
    <w:rsid w:val="3A9C6634"/>
    <w:rsid w:val="3B8D4E6B"/>
    <w:rsid w:val="3BAE7776"/>
    <w:rsid w:val="3C12749A"/>
    <w:rsid w:val="3CCC15A5"/>
    <w:rsid w:val="3D591787"/>
    <w:rsid w:val="3DA57A4F"/>
    <w:rsid w:val="3DB136C3"/>
    <w:rsid w:val="3DD64F72"/>
    <w:rsid w:val="3ED57FA3"/>
    <w:rsid w:val="3EE85802"/>
    <w:rsid w:val="409958E1"/>
    <w:rsid w:val="40A746A4"/>
    <w:rsid w:val="41F129CF"/>
    <w:rsid w:val="42515CDB"/>
    <w:rsid w:val="43257338"/>
    <w:rsid w:val="43605E98"/>
    <w:rsid w:val="439972F7"/>
    <w:rsid w:val="43BB3579"/>
    <w:rsid w:val="44111330"/>
    <w:rsid w:val="44571500"/>
    <w:rsid w:val="44B7644A"/>
    <w:rsid w:val="44BB4E50"/>
    <w:rsid w:val="45826E17"/>
    <w:rsid w:val="45B04682"/>
    <w:rsid w:val="45D7020D"/>
    <w:rsid w:val="460A7FF5"/>
    <w:rsid w:val="460C34F8"/>
    <w:rsid w:val="46302433"/>
    <w:rsid w:val="467712F2"/>
    <w:rsid w:val="46E82384"/>
    <w:rsid w:val="47367762"/>
    <w:rsid w:val="47685E3A"/>
    <w:rsid w:val="479867D8"/>
    <w:rsid w:val="480004B0"/>
    <w:rsid w:val="48004C2D"/>
    <w:rsid w:val="48BF488B"/>
    <w:rsid w:val="48C0506B"/>
    <w:rsid w:val="493D7EB8"/>
    <w:rsid w:val="49680B13"/>
    <w:rsid w:val="49C37385"/>
    <w:rsid w:val="4A5A1589"/>
    <w:rsid w:val="4A8325D3"/>
    <w:rsid w:val="4ADA22A5"/>
    <w:rsid w:val="4B2B1C05"/>
    <w:rsid w:val="4B2B4BFE"/>
    <w:rsid w:val="4B2D38A1"/>
    <w:rsid w:val="4B4E5319"/>
    <w:rsid w:val="4B8322F0"/>
    <w:rsid w:val="4B983316"/>
    <w:rsid w:val="4BAF082E"/>
    <w:rsid w:val="4C074AC8"/>
    <w:rsid w:val="4CB537B8"/>
    <w:rsid w:val="4D640287"/>
    <w:rsid w:val="4D723186"/>
    <w:rsid w:val="4D7F68B2"/>
    <w:rsid w:val="4E162E04"/>
    <w:rsid w:val="4E545991"/>
    <w:rsid w:val="4E956D0F"/>
    <w:rsid w:val="4F8C0F11"/>
    <w:rsid w:val="4FFA3743"/>
    <w:rsid w:val="50164808"/>
    <w:rsid w:val="50334BA2"/>
    <w:rsid w:val="506F5273"/>
    <w:rsid w:val="50E16ECB"/>
    <w:rsid w:val="50FA6B69"/>
    <w:rsid w:val="511F54FA"/>
    <w:rsid w:val="517D2E0A"/>
    <w:rsid w:val="518E3B9E"/>
    <w:rsid w:val="520B222A"/>
    <w:rsid w:val="52460BB4"/>
    <w:rsid w:val="52E7715D"/>
    <w:rsid w:val="533E555E"/>
    <w:rsid w:val="5376147C"/>
    <w:rsid w:val="5376698C"/>
    <w:rsid w:val="53902026"/>
    <w:rsid w:val="53913478"/>
    <w:rsid w:val="54396B62"/>
    <w:rsid w:val="55537708"/>
    <w:rsid w:val="55905A02"/>
    <w:rsid w:val="55E97189"/>
    <w:rsid w:val="56D82649"/>
    <w:rsid w:val="578D73B3"/>
    <w:rsid w:val="579569BD"/>
    <w:rsid w:val="57DF5B38"/>
    <w:rsid w:val="5830463D"/>
    <w:rsid w:val="58C15E50"/>
    <w:rsid w:val="58E4496D"/>
    <w:rsid w:val="58E60085"/>
    <w:rsid w:val="58EC6F6F"/>
    <w:rsid w:val="594572F4"/>
    <w:rsid w:val="595F0A89"/>
    <w:rsid w:val="59630525"/>
    <w:rsid w:val="5A5B044A"/>
    <w:rsid w:val="5A6E1669"/>
    <w:rsid w:val="5AAF3758"/>
    <w:rsid w:val="5BF8323D"/>
    <w:rsid w:val="5CD72D5D"/>
    <w:rsid w:val="5D4D1AA2"/>
    <w:rsid w:val="5D5958B4"/>
    <w:rsid w:val="5D7A5920"/>
    <w:rsid w:val="5DB62239"/>
    <w:rsid w:val="5E812D98"/>
    <w:rsid w:val="5F3A7FC8"/>
    <w:rsid w:val="5F3C0F58"/>
    <w:rsid w:val="5FC47F2C"/>
    <w:rsid w:val="6017717F"/>
    <w:rsid w:val="604206A4"/>
    <w:rsid w:val="60CD61E0"/>
    <w:rsid w:val="610A27C2"/>
    <w:rsid w:val="61AD040B"/>
    <w:rsid w:val="61DC79B0"/>
    <w:rsid w:val="629F065A"/>
    <w:rsid w:val="63CB4587"/>
    <w:rsid w:val="64B27796"/>
    <w:rsid w:val="64BF1309"/>
    <w:rsid w:val="65474D35"/>
    <w:rsid w:val="65991D18"/>
    <w:rsid w:val="65B221E6"/>
    <w:rsid w:val="671C39B6"/>
    <w:rsid w:val="673124E6"/>
    <w:rsid w:val="67C7218E"/>
    <w:rsid w:val="67F07212"/>
    <w:rsid w:val="68BA215E"/>
    <w:rsid w:val="68E27A9F"/>
    <w:rsid w:val="691A347C"/>
    <w:rsid w:val="693130A1"/>
    <w:rsid w:val="69572DB9"/>
    <w:rsid w:val="69802EAF"/>
    <w:rsid w:val="6A5C730C"/>
    <w:rsid w:val="6C074204"/>
    <w:rsid w:val="6C351548"/>
    <w:rsid w:val="6C472A44"/>
    <w:rsid w:val="6C6E6C0B"/>
    <w:rsid w:val="6CE412B4"/>
    <w:rsid w:val="6CE547B7"/>
    <w:rsid w:val="6DBE5F8B"/>
    <w:rsid w:val="6E985482"/>
    <w:rsid w:val="6F372C75"/>
    <w:rsid w:val="708D69DB"/>
    <w:rsid w:val="70C7720B"/>
    <w:rsid w:val="711018B8"/>
    <w:rsid w:val="71463539"/>
    <w:rsid w:val="71972B8A"/>
    <w:rsid w:val="72E41CD5"/>
    <w:rsid w:val="736153DB"/>
    <w:rsid w:val="742B0327"/>
    <w:rsid w:val="744246C9"/>
    <w:rsid w:val="74512765"/>
    <w:rsid w:val="745F5C2E"/>
    <w:rsid w:val="748260BD"/>
    <w:rsid w:val="74AF0F5C"/>
    <w:rsid w:val="752A2448"/>
    <w:rsid w:val="756C0B14"/>
    <w:rsid w:val="758B1ECB"/>
    <w:rsid w:val="7625601A"/>
    <w:rsid w:val="76D75987"/>
    <w:rsid w:val="775A26DD"/>
    <w:rsid w:val="77CE1429"/>
    <w:rsid w:val="77DA64AE"/>
    <w:rsid w:val="77DA7BF8"/>
    <w:rsid w:val="78723C1C"/>
    <w:rsid w:val="79432505"/>
    <w:rsid w:val="795934A7"/>
    <w:rsid w:val="7961727E"/>
    <w:rsid w:val="79E5308B"/>
    <w:rsid w:val="7A330B73"/>
    <w:rsid w:val="7AF5317C"/>
    <w:rsid w:val="7BF34634"/>
    <w:rsid w:val="7C7A0AC6"/>
    <w:rsid w:val="7CA64E0D"/>
    <w:rsid w:val="7CC0433D"/>
    <w:rsid w:val="7CFA4897"/>
    <w:rsid w:val="7D3B3B39"/>
    <w:rsid w:val="7D87797E"/>
    <w:rsid w:val="7E541651"/>
    <w:rsid w:val="7EA97791"/>
    <w:rsid w:val="7EB96A42"/>
    <w:rsid w:val="7EEC2AC9"/>
    <w:rsid w:val="7F0C0DFF"/>
    <w:rsid w:val="7F3C5D53"/>
    <w:rsid w:val="7F721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9"/>
    <w:pPr>
      <w:widowControl/>
      <w:jc w:val="left"/>
      <w:outlineLvl w:val="0"/>
    </w:pPr>
    <w:rPr>
      <w:kern w:val="0"/>
      <w:sz w:val="24"/>
      <w:szCs w:val="20"/>
      <w:lang w:val="en-GB"/>
    </w:rPr>
  </w:style>
  <w:style w:type="paragraph" w:styleId="3">
    <w:name w:val="heading 2"/>
    <w:basedOn w:val="1"/>
    <w:next w:val="1"/>
    <w:link w:val="2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unhideWhenUsed/>
    <w:qFormat/>
    <w:uiPriority w:val="99"/>
    <w:pPr>
      <w:jc w:val="left"/>
    </w:pPr>
  </w:style>
  <w:style w:type="paragraph" w:styleId="5">
    <w:name w:val="Body Text Indent 2"/>
    <w:basedOn w:val="1"/>
    <w:link w:val="27"/>
    <w:qFormat/>
    <w:uiPriority w:val="0"/>
    <w:pPr>
      <w:spacing w:line="560" w:lineRule="exact"/>
      <w:ind w:firstLine="480" w:firstLineChars="200"/>
    </w:pPr>
    <w:rPr>
      <w:rFonts w:ascii="宋体" w:hAnsi="宋体"/>
      <w:color w:val="FF0000"/>
      <w:sz w:val="24"/>
    </w:rPr>
  </w:style>
  <w:style w:type="paragraph" w:styleId="6">
    <w:name w:val="Balloon Text"/>
    <w:basedOn w:val="1"/>
    <w:link w:val="31"/>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30"/>
    <w:semiHidden/>
    <w:unhideWhenUsed/>
    <w:qFormat/>
    <w:uiPriority w:val="99"/>
    <w:rPr>
      <w:b/>
      <w:bCs/>
    </w:r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styleId="16">
    <w:name w:val="annotation reference"/>
    <w:basedOn w:val="14"/>
    <w:semiHidden/>
    <w:unhideWhenUsed/>
    <w:qFormat/>
    <w:uiPriority w:val="99"/>
    <w:rPr>
      <w:sz w:val="21"/>
      <w:szCs w:val="21"/>
    </w:rPr>
  </w:style>
  <w:style w:type="character" w:customStyle="1" w:styleId="17">
    <w:name w:val="页眉 字符"/>
    <w:basedOn w:val="14"/>
    <w:link w:val="8"/>
    <w:qFormat/>
    <w:uiPriority w:val="0"/>
    <w:rPr>
      <w:sz w:val="18"/>
      <w:szCs w:val="18"/>
    </w:rPr>
  </w:style>
  <w:style w:type="character" w:customStyle="1" w:styleId="18">
    <w:name w:val="页脚 字符"/>
    <w:basedOn w:val="14"/>
    <w:link w:val="7"/>
    <w:qFormat/>
    <w:uiPriority w:val="99"/>
    <w:rPr>
      <w:sz w:val="18"/>
      <w:szCs w:val="18"/>
    </w:rPr>
  </w:style>
  <w:style w:type="character" w:customStyle="1" w:styleId="19">
    <w:name w:val="标题 1 字符"/>
    <w:basedOn w:val="14"/>
    <w:link w:val="2"/>
    <w:qFormat/>
    <w:uiPriority w:val="99"/>
    <w:rPr>
      <w:rFonts w:ascii="Times New Roman" w:hAnsi="Times New Roman" w:eastAsia="宋体" w:cs="Times New Roman"/>
      <w:kern w:val="0"/>
      <w:sz w:val="24"/>
      <w:szCs w:val="20"/>
      <w:lang w:val="en-GB"/>
    </w:rPr>
  </w:style>
  <w:style w:type="character" w:customStyle="1" w:styleId="20">
    <w:name w:val="标题 2 Char Char Char"/>
    <w:qFormat/>
    <w:uiPriority w:val="0"/>
    <w:rPr>
      <w:rFonts w:ascii="Arial" w:hAnsi="Arial" w:eastAsia="宋体"/>
      <w:b/>
      <w:kern w:val="2"/>
      <w:sz w:val="28"/>
      <w:szCs w:val="28"/>
      <w:lang w:val="en-US" w:eastAsia="zh-CN" w:bidi="ar-SA"/>
    </w:rPr>
  </w:style>
  <w:style w:type="character" w:customStyle="1" w:styleId="21">
    <w:name w:val="标题 2 字符"/>
    <w:basedOn w:val="14"/>
    <w:link w:val="3"/>
    <w:semiHidden/>
    <w:qFormat/>
    <w:uiPriority w:val="9"/>
    <w:rPr>
      <w:rFonts w:asciiTheme="majorHAnsi" w:hAnsiTheme="majorHAnsi" w:eastAsiaTheme="majorEastAsia" w:cstheme="majorBidi"/>
      <w:b/>
      <w:bCs/>
      <w:sz w:val="32"/>
      <w:szCs w:val="32"/>
    </w:rPr>
  </w:style>
  <w:style w:type="paragraph" w:customStyle="1" w:styleId="22">
    <w:name w:val="2级"/>
    <w:basedOn w:val="1"/>
    <w:link w:val="23"/>
    <w:qFormat/>
    <w:uiPriority w:val="0"/>
    <w:pPr>
      <w:keepNext/>
      <w:keepLines/>
      <w:widowControl/>
      <w:spacing w:before="260" w:after="260"/>
      <w:jc w:val="left"/>
      <w:outlineLvl w:val="1"/>
    </w:pPr>
    <w:rPr>
      <w:rFonts w:asciiTheme="minorEastAsia" w:hAnsiTheme="minorEastAsia" w:cstheme="minorBidi"/>
      <w:b/>
      <w:bCs/>
      <w:sz w:val="24"/>
    </w:rPr>
  </w:style>
  <w:style w:type="character" w:customStyle="1" w:styleId="23">
    <w:name w:val="2级 Char"/>
    <w:basedOn w:val="14"/>
    <w:link w:val="22"/>
    <w:qFormat/>
    <w:uiPriority w:val="0"/>
    <w:rPr>
      <w:rFonts w:eastAsia="宋体" w:asciiTheme="minorEastAsia" w:hAnsiTheme="minorEastAsia"/>
      <w:b/>
      <w:bCs/>
      <w:sz w:val="24"/>
      <w:szCs w:val="24"/>
    </w:rPr>
  </w:style>
  <w:style w:type="paragraph" w:customStyle="1" w:styleId="24">
    <w:name w:val="正文XB"/>
    <w:basedOn w:val="1"/>
    <w:link w:val="25"/>
    <w:qFormat/>
    <w:uiPriority w:val="0"/>
    <w:pPr>
      <w:spacing w:line="360" w:lineRule="auto"/>
      <w:ind w:firstLine="420" w:firstLineChars="200"/>
    </w:pPr>
    <w:rPr>
      <w:rFonts w:ascii="宋体" w:hAnsi="宋体"/>
      <w:color w:val="000000"/>
      <w:szCs w:val="21"/>
    </w:rPr>
  </w:style>
  <w:style w:type="character" w:customStyle="1" w:styleId="25">
    <w:name w:val="正文XB Char"/>
    <w:basedOn w:val="14"/>
    <w:link w:val="24"/>
    <w:qFormat/>
    <w:uiPriority w:val="0"/>
    <w:rPr>
      <w:rFonts w:ascii="宋体" w:hAnsi="宋体" w:eastAsia="宋体" w:cs="Times New Roman"/>
      <w:color w:val="000000"/>
      <w:szCs w:val="21"/>
    </w:rPr>
  </w:style>
  <w:style w:type="paragraph" w:styleId="26">
    <w:name w:val="List Paragraph"/>
    <w:basedOn w:val="1"/>
    <w:unhideWhenUsed/>
    <w:qFormat/>
    <w:uiPriority w:val="99"/>
    <w:pPr>
      <w:ind w:firstLine="420" w:firstLineChars="200"/>
    </w:pPr>
  </w:style>
  <w:style w:type="character" w:customStyle="1" w:styleId="27">
    <w:name w:val="正文文本缩进 2 字符"/>
    <w:basedOn w:val="14"/>
    <w:link w:val="5"/>
    <w:qFormat/>
    <w:uiPriority w:val="0"/>
    <w:rPr>
      <w:rFonts w:ascii="宋体" w:hAnsi="宋体" w:eastAsia="宋体" w:cs="Times New Roman"/>
      <w:color w:val="FF0000"/>
      <w:sz w:val="24"/>
      <w:szCs w:val="24"/>
    </w:rPr>
  </w:style>
  <w:style w:type="paragraph" w:customStyle="1" w:styleId="28">
    <w:name w:val="Default"/>
    <w:qFormat/>
    <w:uiPriority w:val="0"/>
    <w:pPr>
      <w:widowControl w:val="0"/>
      <w:autoSpaceDE w:val="0"/>
      <w:autoSpaceDN w:val="0"/>
      <w:adjustRightInd w:val="0"/>
    </w:pPr>
    <w:rPr>
      <w:rFonts w:ascii="宋体棬　僬　." w:eastAsia="宋体棬　僬　." w:cs="宋体棬　僬　." w:hAnsiTheme="minorHAnsi"/>
      <w:color w:val="000000"/>
      <w:kern w:val="0"/>
      <w:sz w:val="24"/>
      <w:szCs w:val="24"/>
      <w:lang w:val="en-US" w:eastAsia="zh-CN" w:bidi="ar-SA"/>
    </w:rPr>
  </w:style>
  <w:style w:type="character" w:customStyle="1" w:styleId="29">
    <w:name w:val="批注文字 字符"/>
    <w:basedOn w:val="14"/>
    <w:link w:val="4"/>
    <w:qFormat/>
    <w:uiPriority w:val="99"/>
    <w:rPr>
      <w:rFonts w:ascii="Times New Roman" w:hAnsi="Times New Roman" w:eastAsia="宋体" w:cs="Times New Roman"/>
      <w:szCs w:val="24"/>
    </w:rPr>
  </w:style>
  <w:style w:type="character" w:customStyle="1" w:styleId="30">
    <w:name w:val="批注主题 字符"/>
    <w:basedOn w:val="29"/>
    <w:link w:val="12"/>
    <w:semiHidden/>
    <w:qFormat/>
    <w:uiPriority w:val="99"/>
    <w:rPr>
      <w:rFonts w:ascii="Times New Roman" w:hAnsi="Times New Roman" w:eastAsia="宋体" w:cs="Times New Roman"/>
      <w:b/>
      <w:bCs/>
      <w:szCs w:val="24"/>
    </w:rPr>
  </w:style>
  <w:style w:type="character" w:customStyle="1" w:styleId="31">
    <w:name w:val="批注框文本 字符"/>
    <w:basedOn w:val="14"/>
    <w:link w:val="6"/>
    <w:semiHidden/>
    <w:qFormat/>
    <w:uiPriority w:val="99"/>
    <w:rPr>
      <w:rFonts w:ascii="Times New Roman" w:hAnsi="Times New Roman" w:eastAsia="宋体" w:cs="Times New Roman"/>
      <w:sz w:val="18"/>
      <w:szCs w:val="18"/>
    </w:rPr>
  </w:style>
  <w:style w:type="paragraph" w:customStyle="1" w:styleId="32">
    <w:name w:val="TOC Heading"/>
    <w:basedOn w:val="2"/>
    <w:next w:val="1"/>
    <w:semiHidden/>
    <w:unhideWhenUsed/>
    <w:qFormat/>
    <w:uiPriority w:val="39"/>
    <w:pPr>
      <w:keepNext/>
      <w:keepLines/>
      <w:spacing w:before="480" w:line="276" w:lineRule="auto"/>
      <w:outlineLvl w:val="9"/>
    </w:pPr>
    <w:rPr>
      <w:rFonts w:asciiTheme="majorHAnsi" w:hAnsiTheme="majorHAnsi" w:eastAsiaTheme="majorEastAsia" w:cstheme="majorBidi"/>
      <w:b/>
      <w:bCs/>
      <w:color w:val="376092" w:themeColor="accent1" w:themeShade="BF"/>
      <w:sz w:val="28"/>
      <w:szCs w:val="28"/>
      <w:lang w:val="en-US"/>
    </w:rPr>
  </w:style>
  <w:style w:type="paragraph" w:styleId="33">
    <w:name w:val="No Spacing"/>
    <w:basedOn w:val="1"/>
    <w:link w:val="34"/>
    <w:qFormat/>
    <w:uiPriority w:val="1"/>
    <w:pPr>
      <w:widowControl/>
      <w:jc w:val="left"/>
    </w:pPr>
    <w:rPr>
      <w:rFonts w:asciiTheme="minorHAnsi" w:hAnsiTheme="minorHAnsi" w:eastAsiaTheme="minorEastAsia" w:cstheme="minorBidi"/>
      <w:szCs w:val="21"/>
    </w:rPr>
  </w:style>
  <w:style w:type="character" w:customStyle="1" w:styleId="34">
    <w:name w:val="无间隔 字符"/>
    <w:basedOn w:val="14"/>
    <w:link w:val="33"/>
    <w:qFormat/>
    <w:locked/>
    <w:uiPriority w:val="1"/>
    <w:rPr>
      <w:szCs w:val="21"/>
    </w:rPr>
  </w:style>
  <w:style w:type="paragraph" w:customStyle="1" w:styleId="35">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paragraph" w:customStyle="1" w:styleId="39">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cs="Arial Unicode MS"/>
      <w:b/>
      <w:bCs/>
      <w:color w:val="000000"/>
      <w:kern w:val="0"/>
      <w:sz w:val="12"/>
      <w:szCs w:val="12"/>
    </w:rPr>
  </w:style>
  <w:style w:type="paragraph" w:customStyle="1" w:styleId="40">
    <w:name w:val="正文XB半年报"/>
    <w:basedOn w:val="5"/>
    <w:qFormat/>
    <w:uiPriority w:val="0"/>
    <w:pPr>
      <w:spacing w:line="360" w:lineRule="auto"/>
      <w:ind w:firstLine="200"/>
    </w:pPr>
    <w:rPr>
      <w:color w:val="auto"/>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FFCAB-F433-4161-9572-4451A507CD0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1577</Words>
  <Characters>8994</Characters>
  <Lines>74</Lines>
  <Paragraphs>21</Paragraphs>
  <TotalTime>0</TotalTime>
  <ScaleCrop>false</ScaleCrop>
  <LinksUpToDate>false</LinksUpToDate>
  <CharactersWithSpaces>10550</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2021-05-19T06:43:00Z</dcterms:created>
  <dc:creator>段宏竹</dc:creator>
  <cp:lastModifiedBy>duanyc</cp:lastModifiedBy>
  <dcterms:modified xsi:type="dcterms:W3CDTF">2026-10-13T02:37:35Z</dcterms:modified>
  <cp:revision>688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AD1CDFFE2C6345EA8E9CC2C548547BDC</vt:lpwstr>
  </property>
</Properties>
</file>