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48D58">
      <w:pPr>
        <w:widowControl/>
        <w:jc w:val="left"/>
        <w:rPr>
          <w:rFonts w:ascii="宋体" w:hAnsi="宋体" w:eastAsia="宋体"/>
          <w:sz w:val="30"/>
        </w:rPr>
      </w:pPr>
    </w:p>
    <w:p w14:paraId="268108F1">
      <w:pPr>
        <w:widowControl/>
        <w:jc w:val="left"/>
        <w:rPr>
          <w:rFonts w:ascii="宋体" w:hAnsi="宋体" w:eastAsia="宋体"/>
          <w:sz w:val="30"/>
        </w:rPr>
      </w:pPr>
    </w:p>
    <w:p w14:paraId="0D3EF02A">
      <w:pPr>
        <w:widowControl/>
        <w:jc w:val="left"/>
        <w:rPr>
          <w:rFonts w:ascii="宋体" w:hAnsi="宋体" w:eastAsia="宋体"/>
          <w:sz w:val="30"/>
        </w:rPr>
      </w:pPr>
    </w:p>
    <w:p w14:paraId="74A7A314">
      <w:pPr>
        <w:widowControl/>
        <w:jc w:val="left"/>
        <w:rPr>
          <w:rFonts w:ascii="宋体" w:hAnsi="宋体" w:eastAsia="宋体"/>
          <w:sz w:val="30"/>
        </w:rPr>
      </w:pPr>
    </w:p>
    <w:p w14:paraId="67A796DC">
      <w:pPr>
        <w:widowControl/>
        <w:spacing w:line="800" w:lineRule="exact"/>
        <w:jc w:val="center"/>
        <w:rPr>
          <w:rFonts w:ascii="宋体" w:hAnsi="宋体" w:eastAsia="宋体"/>
          <w:b/>
          <w:sz w:val="52"/>
        </w:rPr>
      </w:pPr>
      <w:r>
        <w:rPr>
          <w:rFonts w:hint="eastAsia" w:ascii="宋体" w:hAnsi="宋体" w:eastAsia="宋体"/>
          <w:b/>
          <w:sz w:val="52"/>
        </w:rPr>
        <w:t>博时恒生港股通科技主题交易型开放式指数证券投资基金</w:t>
      </w:r>
    </w:p>
    <w:p w14:paraId="2AE76205">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1E99CB2C">
      <w:pPr>
        <w:widowControl/>
        <w:spacing w:line="800" w:lineRule="exact"/>
        <w:jc w:val="center"/>
        <w:rPr>
          <w:rFonts w:ascii="宋体" w:hAnsi="宋体" w:eastAsia="宋体"/>
          <w:b/>
          <w:sz w:val="52"/>
        </w:rPr>
      </w:pPr>
    </w:p>
    <w:p w14:paraId="2034F097">
      <w:pPr>
        <w:widowControl/>
        <w:spacing w:line="800" w:lineRule="exact"/>
        <w:jc w:val="center"/>
        <w:rPr>
          <w:rFonts w:ascii="宋体" w:hAnsi="宋体" w:eastAsia="宋体"/>
          <w:b/>
          <w:sz w:val="52"/>
        </w:rPr>
      </w:pPr>
    </w:p>
    <w:p w14:paraId="03BDC046">
      <w:pPr>
        <w:widowControl/>
        <w:spacing w:line="800" w:lineRule="exact"/>
        <w:jc w:val="center"/>
        <w:rPr>
          <w:rFonts w:ascii="宋体" w:hAnsi="宋体" w:eastAsia="宋体"/>
          <w:b/>
          <w:sz w:val="52"/>
        </w:rPr>
      </w:pPr>
    </w:p>
    <w:p w14:paraId="403CE879">
      <w:pPr>
        <w:widowControl/>
        <w:spacing w:line="800" w:lineRule="exact"/>
        <w:jc w:val="center"/>
        <w:rPr>
          <w:rFonts w:ascii="宋体" w:hAnsi="宋体" w:eastAsia="宋体"/>
          <w:b/>
          <w:sz w:val="52"/>
        </w:rPr>
      </w:pPr>
    </w:p>
    <w:p w14:paraId="299554AE">
      <w:pPr>
        <w:widowControl/>
        <w:spacing w:line="800" w:lineRule="exact"/>
        <w:jc w:val="center"/>
        <w:rPr>
          <w:rFonts w:ascii="宋体" w:hAnsi="宋体" w:eastAsia="宋体"/>
          <w:b/>
          <w:sz w:val="52"/>
        </w:rPr>
      </w:pPr>
    </w:p>
    <w:p w14:paraId="011E9370">
      <w:pPr>
        <w:widowControl/>
        <w:spacing w:line="800" w:lineRule="exact"/>
        <w:jc w:val="center"/>
        <w:rPr>
          <w:rFonts w:ascii="宋体" w:hAnsi="宋体" w:eastAsia="宋体"/>
          <w:b/>
          <w:sz w:val="52"/>
        </w:rPr>
      </w:pPr>
    </w:p>
    <w:p w14:paraId="44D4E085">
      <w:pPr>
        <w:widowControl/>
        <w:spacing w:line="800" w:lineRule="exact"/>
        <w:jc w:val="center"/>
        <w:rPr>
          <w:rFonts w:ascii="宋体" w:hAnsi="宋体" w:eastAsia="宋体"/>
          <w:b/>
          <w:sz w:val="52"/>
        </w:rPr>
      </w:pPr>
    </w:p>
    <w:p w14:paraId="0CA87A42">
      <w:pPr>
        <w:widowControl/>
        <w:spacing w:line="800" w:lineRule="exact"/>
        <w:jc w:val="center"/>
        <w:rPr>
          <w:rFonts w:ascii="宋体" w:hAnsi="宋体" w:eastAsia="宋体"/>
          <w:b/>
          <w:sz w:val="52"/>
        </w:rPr>
      </w:pPr>
    </w:p>
    <w:p w14:paraId="595CBE7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4063B9AC">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财通证券股份有限公司</w:t>
      </w:r>
      <w:r>
        <w:rPr>
          <w:rFonts w:ascii="宋体" w:hAnsi="宋体" w:eastAsia="宋体"/>
          <w:b/>
          <w:sz w:val="30"/>
        </w:rPr>
        <w:br w:type="page"/>
      </w:r>
    </w:p>
    <w:p w14:paraId="7DDC85EC">
      <w:pPr>
        <w:pStyle w:val="2"/>
        <w:jc w:val="center"/>
        <w:rPr>
          <w:rFonts w:ascii="宋体" w:hAnsi="宋体" w:eastAsia="宋体"/>
          <w:sz w:val="30"/>
        </w:rPr>
      </w:pPr>
      <w:bookmarkStart w:id="0" w:name="_Toc23351"/>
      <w:r>
        <w:rPr>
          <w:rFonts w:hint="eastAsia" w:ascii="宋体" w:hAnsi="宋体" w:eastAsia="宋体"/>
          <w:sz w:val="30"/>
        </w:rPr>
        <w:t>【重要提示】</w:t>
      </w:r>
      <w:bookmarkEnd w:id="0"/>
    </w:p>
    <w:p w14:paraId="47B51606">
      <w:pPr>
        <w:pStyle w:val="7"/>
        <w:spacing w:before="0" w:beforeAutospacing="0" w:after="0" w:afterAutospacing="0" w:line="360" w:lineRule="auto"/>
        <w:ind w:firstLine="420"/>
        <w:rPr>
          <w:sz w:val="21"/>
          <w:szCs w:val="21"/>
        </w:rPr>
      </w:pPr>
      <w:r>
        <w:rPr>
          <w:rFonts w:hint="eastAsia"/>
          <w:sz w:val="21"/>
          <w:szCs w:val="21"/>
        </w:rPr>
        <w:t>1、</w:t>
      </w:r>
      <w:bookmarkStart w:id="1" w:name="field_0_productfullname_1"/>
      <w:r>
        <w:rPr>
          <w:rFonts w:hint="eastAsia"/>
          <w:sz w:val="21"/>
          <w:szCs w:val="21"/>
        </w:rPr>
        <w:t>博时恒生港股通科技主题交易型开放式指数证券投资基金</w:t>
      </w:r>
      <w:bookmarkEnd w:id="1"/>
      <w:r>
        <w:rPr>
          <w:rFonts w:hint="eastAsia"/>
          <w:sz w:val="21"/>
          <w:szCs w:val="21"/>
        </w:rPr>
        <w:t>根据2026年2月27日中国证券监督管理委员会《关于准予</w:t>
      </w:r>
      <w:bookmarkStart w:id="2" w:name="field_0_productfullname_2"/>
      <w:r>
        <w:rPr>
          <w:rFonts w:hint="eastAsia"/>
          <w:sz w:val="21"/>
          <w:szCs w:val="21"/>
        </w:rPr>
        <w:t>博时恒生港股通科技主题交易型开放式指数证券投资基金</w:t>
      </w:r>
      <w:bookmarkEnd w:id="2"/>
      <w:r>
        <w:rPr>
          <w:rFonts w:hint="eastAsia"/>
          <w:sz w:val="21"/>
          <w:szCs w:val="21"/>
        </w:rPr>
        <w:t xml:space="preserve">注册的批复》（证监许可[2026]359号）准予注册，进行募集。 </w:t>
      </w:r>
    </w:p>
    <w:p w14:paraId="0ACFF31C">
      <w:pPr>
        <w:pStyle w:val="7"/>
        <w:spacing w:before="0" w:beforeAutospacing="0" w:after="0" w:afterAutospacing="0" w:line="360" w:lineRule="auto"/>
        <w:ind w:firstLine="420"/>
        <w:rPr>
          <w:sz w:val="21"/>
          <w:szCs w:val="21"/>
        </w:rPr>
      </w:pPr>
      <w:r>
        <w:rPr>
          <w:rFonts w:hint="eastAsia"/>
          <w:sz w:val="21"/>
          <w:szCs w:val="21"/>
        </w:rPr>
        <w:t xml:space="preserve">2、本基金管理人保证招募说明书的内容真实、准确、完整。本招募说明书经中国证监会注册，但中国证监会对本基金募集的注册，并不表明其对本基金的投资价值、市场前景和收益作出实质性判断或保证，也不表明投资于本基金没有风险。 </w:t>
      </w:r>
    </w:p>
    <w:p w14:paraId="018A7EB4">
      <w:pPr>
        <w:pStyle w:val="7"/>
        <w:spacing w:before="0" w:beforeAutospacing="0" w:after="0" w:afterAutospacing="0" w:line="360" w:lineRule="auto"/>
        <w:ind w:firstLine="420"/>
        <w:rPr>
          <w:sz w:val="21"/>
          <w:szCs w:val="21"/>
        </w:rPr>
      </w:pPr>
      <w:r>
        <w:rPr>
          <w:rFonts w:hint="eastAsia"/>
          <w:sz w:val="21"/>
          <w:szCs w:val="21"/>
        </w:rPr>
        <w:t xml:space="preserve">3、本基金标的指数为恒生港股通科技主题指数（指数代码：HSSCITI）。编制方案如下：（1）指数样本 </w:t>
      </w:r>
    </w:p>
    <w:p w14:paraId="223406BA">
      <w:pPr>
        <w:pStyle w:val="7"/>
        <w:spacing w:before="0" w:beforeAutospacing="0" w:after="0" w:afterAutospacing="0" w:line="360" w:lineRule="auto"/>
        <w:ind w:firstLine="420"/>
        <w:rPr>
          <w:sz w:val="21"/>
          <w:szCs w:val="21"/>
        </w:rPr>
      </w:pPr>
      <w:r>
        <w:rPr>
          <w:rFonts w:hint="eastAsia"/>
          <w:sz w:val="21"/>
          <w:szCs w:val="21"/>
        </w:rPr>
        <w:t xml:space="preserve">合资格在互联互通下交易的恒生综合指数成份股。 </w:t>
      </w:r>
    </w:p>
    <w:p w14:paraId="6115FE38">
      <w:pPr>
        <w:pStyle w:val="7"/>
        <w:spacing w:before="0" w:beforeAutospacing="0" w:after="0" w:afterAutospacing="0" w:line="360" w:lineRule="auto"/>
        <w:ind w:firstLine="420"/>
        <w:rPr>
          <w:sz w:val="21"/>
          <w:szCs w:val="21"/>
        </w:rPr>
      </w:pPr>
      <w:r>
        <w:rPr>
          <w:rFonts w:hint="eastAsia"/>
          <w:sz w:val="21"/>
          <w:szCs w:val="21"/>
        </w:rPr>
        <w:t xml:space="preserve">（2）选样方法 </w:t>
      </w:r>
    </w:p>
    <w:p w14:paraId="7B2634E2">
      <w:pPr>
        <w:pStyle w:val="7"/>
        <w:spacing w:before="0" w:beforeAutospacing="0" w:after="0" w:afterAutospacing="0" w:line="360" w:lineRule="auto"/>
        <w:ind w:firstLine="420"/>
        <w:rPr>
          <w:sz w:val="21"/>
          <w:szCs w:val="21"/>
        </w:rPr>
      </w:pPr>
      <w:r>
        <w:rPr>
          <w:rFonts w:hint="eastAsia"/>
          <w:sz w:val="21"/>
          <w:szCs w:val="21"/>
        </w:rPr>
        <w:t xml:space="preserve">1）选择行业：资讯科技业、电子零件、互动媒体及服务、线上零售商、支付服务； </w:t>
      </w:r>
    </w:p>
    <w:p w14:paraId="55CA3B6B">
      <w:pPr>
        <w:pStyle w:val="7"/>
        <w:spacing w:before="0" w:beforeAutospacing="0" w:after="0" w:afterAutospacing="0" w:line="360" w:lineRule="auto"/>
        <w:ind w:firstLine="420"/>
        <w:rPr>
          <w:sz w:val="21"/>
          <w:szCs w:val="21"/>
        </w:rPr>
      </w:pPr>
      <w:r>
        <w:rPr>
          <w:rFonts w:hint="eastAsia"/>
          <w:sz w:val="21"/>
          <w:szCs w:val="21"/>
        </w:rPr>
        <w:t xml:space="preserve">2）根据最近六个月日均总市值由大至小排名（「6个月日均市值排名」）；6个月日均市值排名最高的30只证券会被选为成份股。 </w:t>
      </w:r>
    </w:p>
    <w:p w14:paraId="18447822">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有关标的指数具体编制方案及成份股信息详见恒生指数有限公司网站，网址：https://www.hsi.com.hk/eng。 </w:t>
      </w:r>
    </w:p>
    <w:p w14:paraId="5FD18005">
      <w:pPr>
        <w:pStyle w:val="7"/>
        <w:spacing w:before="0" w:beforeAutospacing="0" w:after="0" w:afterAutospacing="0" w:line="360" w:lineRule="auto"/>
        <w:ind w:firstLine="420"/>
        <w:rPr>
          <w:sz w:val="21"/>
          <w:szCs w:val="21"/>
        </w:rPr>
      </w:pPr>
      <w:r>
        <w:rPr>
          <w:rFonts w:hint="eastAsia"/>
          <w:sz w:val="21"/>
          <w:szCs w:val="21"/>
        </w:rPr>
        <w:t xml:space="preserve">4、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恒生港股通科技主题指数，其风险收益特征与标的指数所表征的市场组合的风险收益特征相似。此外，本基金可投资境外市场，除了需要承担与境内证券投资基金类似的市场波动风险等一般投资风险之外，还面临汇率风险以及境外市场的风险。 </w:t>
      </w:r>
    </w:p>
    <w:p w14:paraId="678DA39C">
      <w:pPr>
        <w:pStyle w:val="7"/>
        <w:spacing w:before="0" w:beforeAutospacing="0" w:after="0" w:afterAutospacing="0" w:line="360" w:lineRule="auto"/>
        <w:ind w:firstLine="420"/>
        <w:rPr>
          <w:sz w:val="21"/>
          <w:szCs w:val="21"/>
        </w:rPr>
      </w:pPr>
      <w:r>
        <w:rPr>
          <w:rFonts w:hint="eastAsia"/>
          <w:sz w:val="21"/>
          <w:szCs w:val="21"/>
        </w:rPr>
        <w:t xml:space="preserve">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 </w:t>
      </w:r>
    </w:p>
    <w:p w14:paraId="7D910FFD">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01A43C52">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本基金可参与股票期权交易，以套期保值为主要目的，若参与股票期权交易，可能面临流动性风险、价格风险、操作风险等。 </w:t>
      </w:r>
    </w:p>
    <w:p w14:paraId="42B3ECF2">
      <w:pPr>
        <w:pStyle w:val="7"/>
        <w:spacing w:before="0" w:beforeAutospacing="0" w:after="0" w:afterAutospacing="0" w:line="360" w:lineRule="auto"/>
        <w:ind w:firstLine="420"/>
        <w:rPr>
          <w:sz w:val="21"/>
          <w:szCs w:val="21"/>
        </w:rPr>
      </w:pPr>
      <w:r>
        <w:rPr>
          <w:rFonts w:hint="eastAsia"/>
          <w:sz w:val="21"/>
          <w:szCs w:val="21"/>
        </w:rPr>
        <w:t xml:space="preserve">本基金投资于境内外证券市场，基金净值会因为境内外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管理风险与操作风险、技术风险、本基金特有风险及其他风险等，详见下文“风险揭示”章节。 </w:t>
      </w:r>
    </w:p>
    <w:p w14:paraId="160440AA">
      <w:pPr>
        <w:pStyle w:val="7"/>
        <w:spacing w:before="0" w:beforeAutospacing="0" w:after="0" w:afterAutospacing="0" w:line="360" w:lineRule="auto"/>
        <w:ind w:firstLine="420"/>
        <w:rPr>
          <w:sz w:val="21"/>
          <w:szCs w:val="21"/>
        </w:rPr>
      </w:pPr>
      <w:r>
        <w:rPr>
          <w:rFonts w:hint="eastAsia"/>
          <w:sz w:val="21"/>
          <w:szCs w:val="21"/>
        </w:rPr>
        <w:t xml:space="preserve">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2808ED56">
      <w:pPr>
        <w:pStyle w:val="7"/>
        <w:spacing w:before="0" w:beforeAutospacing="0" w:after="0" w:afterAutospacing="0" w:line="360" w:lineRule="auto"/>
        <w:ind w:firstLine="420"/>
        <w:rPr>
          <w:sz w:val="21"/>
          <w:szCs w:val="21"/>
        </w:rPr>
      </w:pPr>
      <w:r>
        <w:rPr>
          <w:rFonts w:hint="eastAsia"/>
          <w:sz w:val="21"/>
          <w:szCs w:val="21"/>
        </w:rPr>
        <w:t xml:space="preserve">5、本基金的投资范围包括存托凭证，除与其他仅投资于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11B46EA">
      <w:pPr>
        <w:pStyle w:val="7"/>
        <w:spacing w:before="0" w:beforeAutospacing="0" w:after="0" w:afterAutospacing="0" w:line="360" w:lineRule="auto"/>
        <w:ind w:firstLine="420"/>
        <w:rPr>
          <w:sz w:val="21"/>
          <w:szCs w:val="21"/>
        </w:rPr>
      </w:pPr>
      <w:r>
        <w:rPr>
          <w:rFonts w:hint="eastAsia"/>
          <w:sz w:val="21"/>
          <w:szCs w:val="21"/>
        </w:rPr>
        <w:t xml:space="preserve">6、本基金为指数基金，投资者投资于本基金面临跟踪误差控制未达约定目标、指数编制机构停止服务、成份股停牌或退市等潜在风险，详见下文“风险揭示”章节。 </w:t>
      </w:r>
    </w:p>
    <w:p w14:paraId="1818041C">
      <w:pPr>
        <w:pStyle w:val="7"/>
        <w:spacing w:before="0" w:beforeAutospacing="0" w:after="0" w:afterAutospacing="0" w:line="360" w:lineRule="auto"/>
        <w:ind w:firstLine="420"/>
        <w:rPr>
          <w:sz w:val="21"/>
          <w:szCs w:val="21"/>
        </w:rPr>
      </w:pPr>
      <w:r>
        <w:rPr>
          <w:rFonts w:hint="eastAsia"/>
          <w:sz w:val="21"/>
          <w:szCs w:val="21"/>
        </w:rPr>
        <w:t xml:space="preserve">7、投资有风险，投资者认购（或申购）基金时应仔细阅读本基金的招募说明书、基金合同及基金产品资料概要等文件，了解本基金的风险收益特征，并根据自身的投资目的、投资期限、投资经验、资产状况等判断基金是否和投资人的风险承受能力相适应。 </w:t>
      </w:r>
    </w:p>
    <w:p w14:paraId="2F0F6330">
      <w:pPr>
        <w:pStyle w:val="7"/>
        <w:spacing w:before="0" w:beforeAutospacing="0" w:after="0" w:afterAutospacing="0" w:line="360" w:lineRule="auto"/>
        <w:ind w:firstLine="420"/>
        <w:rPr>
          <w:sz w:val="21"/>
          <w:szCs w:val="21"/>
        </w:rPr>
      </w:pPr>
      <w:r>
        <w:rPr>
          <w:rFonts w:hint="eastAsia"/>
          <w:sz w:val="21"/>
          <w:szCs w:val="21"/>
        </w:rPr>
        <w:t xml:space="preserve">8、本基金按照基金份额初始面值1.00元发售，在市场波动等因素的影响下，基金份额净值可能低于基金份额初始面值。 </w:t>
      </w:r>
    </w:p>
    <w:p w14:paraId="2D10368F">
      <w:pPr>
        <w:pStyle w:val="7"/>
        <w:spacing w:before="0" w:beforeAutospacing="0" w:after="0" w:afterAutospacing="0" w:line="360" w:lineRule="auto"/>
        <w:ind w:firstLine="420"/>
        <w:rPr>
          <w:sz w:val="21"/>
          <w:szCs w:val="21"/>
        </w:rPr>
      </w:pPr>
      <w:r>
        <w:rPr>
          <w:rFonts w:hint="eastAsia"/>
          <w:sz w:val="21"/>
          <w:szCs w:val="21"/>
        </w:rPr>
        <w:t xml:space="preserve">9、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 </w:t>
      </w:r>
    </w:p>
    <w:p w14:paraId="0CC54DDE">
      <w:pPr>
        <w:pStyle w:val="7"/>
        <w:spacing w:before="0" w:beforeAutospacing="0" w:after="0" w:afterAutospacing="0" w:line="360" w:lineRule="auto"/>
        <w:ind w:firstLine="420"/>
        <w:rPr>
          <w:sz w:val="21"/>
          <w:szCs w:val="21"/>
        </w:rPr>
      </w:pPr>
      <w:r>
        <w:rPr>
          <w:rFonts w:hint="eastAsia"/>
          <w:sz w:val="21"/>
          <w:szCs w:val="21"/>
        </w:rPr>
        <w:t xml:space="preserve">10、投资人应当通过申购、赎回代理券商办理基金申购、赎回业务，申购、赎回代理券商名单详见本基金《招募说明书》以及相关公告。 </w:t>
      </w:r>
    </w:p>
    <w:p w14:paraId="471FE8A6">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2026年5月10日</w:t>
      </w:r>
      <w:bookmarkEnd w:id="3"/>
      <w:r>
        <w:rPr>
          <w:rFonts w:hint="eastAsia"/>
          <w:sz w:val="21"/>
          <w:szCs w:val="21"/>
        </w:rPr>
        <w:t>，有关财务数据和净值表现截止日为</w:t>
      </w:r>
      <w:bookmarkStart w:id="4" w:name="field_2343_financeendday_1"/>
      <w:r>
        <w:rPr>
          <w:sz w:val="21"/>
          <w:szCs w:val="21"/>
        </w:rPr>
        <w:t>2026年3月31日</w:t>
      </w:r>
      <w:bookmarkEnd w:id="4"/>
      <w:r>
        <w:rPr>
          <w:rFonts w:hint="eastAsia"/>
          <w:sz w:val="21"/>
          <w:szCs w:val="21"/>
        </w:rPr>
        <w:t xml:space="preserve">（财务数据未经审计）。 </w:t>
      </w:r>
      <w:r>
        <w:rPr>
          <w:sz w:val="30"/>
        </w:rPr>
        <w:br w:type="page"/>
      </w:r>
    </w:p>
    <w:p w14:paraId="33BD2053">
      <w:pPr>
        <w:keepNext w:val="0"/>
        <w:keepLines w:val="0"/>
        <w:pageBreakBefore w:val="0"/>
        <w:widowControl/>
        <w:kinsoku/>
        <w:wordWrap/>
        <w:overflowPunct/>
        <w:topLinePunct w:val="0"/>
        <w:autoSpaceDE/>
        <w:autoSpaceDN/>
        <w:bidi w:val="0"/>
        <w:adjustRightInd/>
        <w:snapToGrid/>
        <w:spacing w:line="360" w:lineRule="auto"/>
        <w:ind w:left="-2" w:leftChars="-1"/>
        <w:jc w:val="center"/>
        <w:textAlignment w:val="auto"/>
        <w:rPr>
          <w:rFonts w:ascii="宋体" w:hAnsi="宋体" w:eastAsia="宋体" w:cstheme="minorBidi"/>
          <w:kern w:val="2"/>
          <w:sz w:val="21"/>
          <w:szCs w:val="22"/>
          <w:lang w:val="en-US" w:eastAsia="zh-CN" w:bidi="ar-SA"/>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3FEBB96A">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_Toc23351 </w:instrText>
      </w:r>
      <w:r>
        <w:rPr>
          <w:rFonts w:ascii="宋体" w:hAnsi="宋体" w:eastAsia="宋体"/>
        </w:rPr>
        <w:fldChar w:fldCharType="separate"/>
      </w:r>
      <w:r>
        <w:rPr>
          <w:rFonts w:hint="eastAsia" w:ascii="宋体" w:hAnsi="宋体" w:eastAsia="宋体"/>
        </w:rPr>
        <w:t>【重要提示】</w:t>
      </w:r>
      <w:r>
        <w:tab/>
      </w:r>
      <w:r>
        <w:fldChar w:fldCharType="begin"/>
      </w:r>
      <w:r>
        <w:instrText xml:space="preserve"> PAGEREF _Toc23351 \h </w:instrText>
      </w:r>
      <w:r>
        <w:fldChar w:fldCharType="separate"/>
      </w:r>
      <w:r>
        <w:t>2</w:t>
      </w:r>
      <w:r>
        <w:fldChar w:fldCharType="end"/>
      </w:r>
      <w:r>
        <w:rPr>
          <w:rFonts w:ascii="宋体" w:hAnsi="宋体" w:eastAsia="宋体"/>
        </w:rPr>
        <w:fldChar w:fldCharType="end"/>
      </w:r>
    </w:p>
    <w:p w14:paraId="041B9AAC">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_Toc6458 </w:instrText>
      </w:r>
      <w:r>
        <w:rPr>
          <w:rFonts w:ascii="宋体" w:hAnsi="宋体" w:eastAsia="宋体"/>
        </w:rPr>
        <w:fldChar w:fldCharType="separate"/>
      </w:r>
      <w:r>
        <w:rPr>
          <w:rFonts w:hint="eastAsia" w:ascii="宋体" w:hAnsi="宋体" w:eastAsia="宋体"/>
        </w:rPr>
        <w:t>第一部分  绪言</w:t>
      </w:r>
      <w:r>
        <w:tab/>
      </w:r>
      <w:r>
        <w:fldChar w:fldCharType="begin"/>
      </w:r>
      <w:r>
        <w:instrText xml:space="preserve"> PAGEREF _Toc6458 \h </w:instrText>
      </w:r>
      <w:r>
        <w:fldChar w:fldCharType="separate"/>
      </w:r>
      <w:r>
        <w:t>6</w:t>
      </w:r>
      <w:r>
        <w:fldChar w:fldCharType="end"/>
      </w:r>
      <w:r>
        <w:rPr>
          <w:rFonts w:ascii="宋体" w:hAnsi="宋体" w:eastAsia="宋体"/>
        </w:rPr>
        <w:fldChar w:fldCharType="end"/>
      </w:r>
    </w:p>
    <w:p w14:paraId="2E949141">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_Toc28387 </w:instrText>
      </w:r>
      <w:r>
        <w:rPr>
          <w:rFonts w:ascii="宋体" w:hAnsi="宋体" w:eastAsia="宋体"/>
        </w:rPr>
        <w:fldChar w:fldCharType="separate"/>
      </w:r>
      <w:r>
        <w:rPr>
          <w:rFonts w:hint="eastAsia" w:ascii="宋体" w:hAnsi="宋体" w:eastAsia="宋体"/>
        </w:rPr>
        <w:t>第二部分  释义</w:t>
      </w:r>
      <w:r>
        <w:tab/>
      </w:r>
      <w:r>
        <w:fldChar w:fldCharType="begin"/>
      </w:r>
      <w:r>
        <w:instrText xml:space="preserve"> PAGEREF _Toc28387 \h </w:instrText>
      </w:r>
      <w:r>
        <w:fldChar w:fldCharType="separate"/>
      </w:r>
      <w:r>
        <w:t>7</w:t>
      </w:r>
      <w:r>
        <w:fldChar w:fldCharType="end"/>
      </w:r>
      <w:r>
        <w:rPr>
          <w:rFonts w:ascii="宋体" w:hAnsi="宋体" w:eastAsia="宋体"/>
        </w:rPr>
        <w:fldChar w:fldCharType="end"/>
      </w:r>
    </w:p>
    <w:p w14:paraId="042891E7">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_Toc14463 </w:instrText>
      </w:r>
      <w:r>
        <w:rPr>
          <w:rFonts w:ascii="宋体" w:hAnsi="宋体" w:eastAsia="宋体"/>
        </w:rPr>
        <w:fldChar w:fldCharType="separate"/>
      </w:r>
      <w:r>
        <w:rPr>
          <w:rFonts w:hint="eastAsia" w:ascii="宋体" w:hAnsi="宋体" w:eastAsia="宋体"/>
        </w:rPr>
        <w:t>第三部分  基金管理人</w:t>
      </w:r>
      <w:r>
        <w:tab/>
      </w:r>
      <w:r>
        <w:fldChar w:fldCharType="begin"/>
      </w:r>
      <w:r>
        <w:instrText xml:space="preserve"> PAGEREF _Toc14463 \h </w:instrText>
      </w:r>
      <w:r>
        <w:fldChar w:fldCharType="separate"/>
      </w:r>
      <w:r>
        <w:t>13</w:t>
      </w:r>
      <w:r>
        <w:fldChar w:fldCharType="end"/>
      </w:r>
      <w:r>
        <w:rPr>
          <w:rFonts w:ascii="宋体" w:hAnsi="宋体" w:eastAsia="宋体"/>
        </w:rPr>
        <w:fldChar w:fldCharType="end"/>
      </w:r>
    </w:p>
    <w:p w14:paraId="0CF20CBB">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_Toc20180 </w:instrText>
      </w:r>
      <w:r>
        <w:rPr>
          <w:rFonts w:ascii="宋体" w:hAnsi="宋体" w:eastAsia="宋体"/>
        </w:rPr>
        <w:fldChar w:fldCharType="separate"/>
      </w:r>
      <w:r>
        <w:rPr>
          <w:rFonts w:hint="eastAsia" w:ascii="宋体" w:hAnsi="宋体" w:eastAsia="宋体"/>
        </w:rPr>
        <w:t>第四部分  基金托管人</w:t>
      </w:r>
      <w:r>
        <w:tab/>
      </w:r>
      <w:r>
        <w:fldChar w:fldCharType="begin"/>
      </w:r>
      <w:r>
        <w:instrText xml:space="preserve"> PAGEREF _Toc20180 \h </w:instrText>
      </w:r>
      <w:r>
        <w:fldChar w:fldCharType="separate"/>
      </w:r>
      <w:r>
        <w:t>23</w:t>
      </w:r>
      <w:r>
        <w:fldChar w:fldCharType="end"/>
      </w:r>
      <w:r>
        <w:rPr>
          <w:rFonts w:ascii="宋体" w:hAnsi="宋体" w:eastAsia="宋体"/>
        </w:rPr>
        <w:fldChar w:fldCharType="end"/>
      </w:r>
    </w:p>
    <w:p w14:paraId="5A6E8CF9">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_Toc31117 </w:instrText>
      </w:r>
      <w:r>
        <w:rPr>
          <w:rFonts w:ascii="宋体" w:hAnsi="宋体" w:eastAsia="宋体"/>
        </w:rPr>
        <w:fldChar w:fldCharType="separate"/>
      </w:r>
      <w:r>
        <w:rPr>
          <w:rFonts w:hint="eastAsia" w:ascii="宋体" w:hAnsi="宋体" w:eastAsia="宋体"/>
        </w:rPr>
        <w:t>第五部分  相关服务机构</w:t>
      </w:r>
      <w:r>
        <w:tab/>
      </w:r>
      <w:r>
        <w:fldChar w:fldCharType="begin"/>
      </w:r>
      <w:r>
        <w:instrText xml:space="preserve"> PAGEREF _Toc31117 \h </w:instrText>
      </w:r>
      <w:r>
        <w:fldChar w:fldCharType="separate"/>
      </w:r>
      <w:r>
        <w:t>27</w:t>
      </w:r>
      <w:r>
        <w:fldChar w:fldCharType="end"/>
      </w:r>
      <w:r>
        <w:rPr>
          <w:rFonts w:ascii="宋体" w:hAnsi="宋体" w:eastAsia="宋体"/>
        </w:rPr>
        <w:fldChar w:fldCharType="end"/>
      </w:r>
    </w:p>
    <w:p w14:paraId="7762C84E">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_Toc6826 </w:instrText>
      </w:r>
      <w:r>
        <w:rPr>
          <w:rFonts w:ascii="宋体" w:hAnsi="宋体" w:eastAsia="宋体"/>
        </w:rPr>
        <w:fldChar w:fldCharType="separate"/>
      </w:r>
      <w:r>
        <w:rPr>
          <w:rFonts w:hint="eastAsia" w:ascii="宋体" w:hAnsi="宋体" w:eastAsia="宋体"/>
        </w:rPr>
        <w:t>第六部分 基金的募集与基金合同的生效</w:t>
      </w:r>
      <w:r>
        <w:tab/>
      </w:r>
      <w:r>
        <w:fldChar w:fldCharType="begin"/>
      </w:r>
      <w:r>
        <w:instrText xml:space="preserve"> PAGEREF _Toc6826 \h </w:instrText>
      </w:r>
      <w:r>
        <w:fldChar w:fldCharType="separate"/>
      </w:r>
      <w:r>
        <w:t>29</w:t>
      </w:r>
      <w:r>
        <w:fldChar w:fldCharType="end"/>
      </w:r>
      <w:r>
        <w:rPr>
          <w:rFonts w:ascii="宋体" w:hAnsi="宋体" w:eastAsia="宋体"/>
        </w:rPr>
        <w:fldChar w:fldCharType="end"/>
      </w:r>
    </w:p>
    <w:p w14:paraId="0BB10D49">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_Toc21545 </w:instrText>
      </w:r>
      <w:r>
        <w:rPr>
          <w:rFonts w:ascii="宋体" w:hAnsi="宋体" w:eastAsia="宋体"/>
        </w:rPr>
        <w:fldChar w:fldCharType="separate"/>
      </w:r>
      <w:r>
        <w:rPr>
          <w:rFonts w:hint="eastAsia" w:ascii="宋体" w:hAnsi="宋体" w:eastAsia="宋体"/>
        </w:rPr>
        <w:t>第七部分  基金的份额折算与变更登记</w:t>
      </w:r>
      <w:r>
        <w:tab/>
      </w:r>
      <w:r>
        <w:fldChar w:fldCharType="begin"/>
      </w:r>
      <w:r>
        <w:instrText xml:space="preserve"> PAGEREF _Toc21545 \h </w:instrText>
      </w:r>
      <w:r>
        <w:fldChar w:fldCharType="separate"/>
      </w:r>
      <w:r>
        <w:t>30</w:t>
      </w:r>
      <w:r>
        <w:fldChar w:fldCharType="end"/>
      </w:r>
      <w:r>
        <w:rPr>
          <w:rFonts w:ascii="宋体" w:hAnsi="宋体" w:eastAsia="宋体"/>
        </w:rPr>
        <w:fldChar w:fldCharType="end"/>
      </w:r>
    </w:p>
    <w:p w14:paraId="53420B1F">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_Toc3865 </w:instrText>
      </w:r>
      <w:r>
        <w:rPr>
          <w:rFonts w:ascii="宋体" w:hAnsi="宋体" w:eastAsia="宋体"/>
        </w:rPr>
        <w:fldChar w:fldCharType="separate"/>
      </w:r>
      <w:r>
        <w:rPr>
          <w:rFonts w:hint="eastAsia" w:ascii="宋体" w:hAnsi="宋体" w:eastAsia="宋体"/>
        </w:rPr>
        <w:t>第八部分  基金份额的上市交易</w:t>
      </w:r>
      <w:r>
        <w:tab/>
      </w:r>
      <w:r>
        <w:fldChar w:fldCharType="begin"/>
      </w:r>
      <w:r>
        <w:instrText xml:space="preserve"> PAGEREF _Toc3865 \h </w:instrText>
      </w:r>
      <w:r>
        <w:fldChar w:fldCharType="separate"/>
      </w:r>
      <w:r>
        <w:t>31</w:t>
      </w:r>
      <w:r>
        <w:fldChar w:fldCharType="end"/>
      </w:r>
      <w:r>
        <w:rPr>
          <w:rFonts w:ascii="宋体" w:hAnsi="宋体" w:eastAsia="宋体"/>
        </w:rPr>
        <w:fldChar w:fldCharType="end"/>
      </w:r>
    </w:p>
    <w:p w14:paraId="5DAF9A53">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_Toc11828 </w:instrText>
      </w:r>
      <w:r>
        <w:rPr>
          <w:rFonts w:ascii="宋体" w:hAnsi="宋体" w:eastAsia="宋体"/>
        </w:rPr>
        <w:fldChar w:fldCharType="separate"/>
      </w:r>
      <w:r>
        <w:rPr>
          <w:rFonts w:hint="eastAsia" w:ascii="宋体" w:hAnsi="宋体" w:eastAsia="宋体"/>
        </w:rPr>
        <w:t>第九部分  基金份额的申购与赎回</w:t>
      </w:r>
      <w:r>
        <w:tab/>
      </w:r>
      <w:r>
        <w:fldChar w:fldCharType="begin"/>
      </w:r>
      <w:r>
        <w:instrText xml:space="preserve"> PAGEREF _Toc11828 \h </w:instrText>
      </w:r>
      <w:r>
        <w:fldChar w:fldCharType="separate"/>
      </w:r>
      <w:r>
        <w:t>33</w:t>
      </w:r>
      <w:r>
        <w:fldChar w:fldCharType="end"/>
      </w:r>
      <w:r>
        <w:rPr>
          <w:rFonts w:ascii="宋体" w:hAnsi="宋体" w:eastAsia="宋体"/>
        </w:rPr>
        <w:fldChar w:fldCharType="end"/>
      </w:r>
    </w:p>
    <w:p w14:paraId="1DE5CB63">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_Toc3725 </w:instrText>
      </w:r>
      <w:r>
        <w:rPr>
          <w:rFonts w:ascii="宋体" w:hAnsi="宋体" w:eastAsia="宋体"/>
        </w:rPr>
        <w:fldChar w:fldCharType="separate"/>
      </w:r>
      <w:r>
        <w:rPr>
          <w:rFonts w:hint="eastAsia" w:ascii="宋体" w:hAnsi="宋体" w:eastAsia="宋体"/>
        </w:rPr>
        <w:t>第十部分  基金的投资</w:t>
      </w:r>
      <w:r>
        <w:tab/>
      </w:r>
      <w:r>
        <w:fldChar w:fldCharType="begin"/>
      </w:r>
      <w:r>
        <w:instrText xml:space="preserve"> PAGEREF _Toc3725 \h </w:instrText>
      </w:r>
      <w:r>
        <w:fldChar w:fldCharType="separate"/>
      </w:r>
      <w:r>
        <w:t>46</w:t>
      </w:r>
      <w:r>
        <w:fldChar w:fldCharType="end"/>
      </w:r>
      <w:r>
        <w:rPr>
          <w:rFonts w:ascii="宋体" w:hAnsi="宋体" w:eastAsia="宋体"/>
        </w:rPr>
        <w:fldChar w:fldCharType="end"/>
      </w:r>
    </w:p>
    <w:p w14:paraId="065ECD39">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_Toc27700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一</w:t>
      </w:r>
      <w:r>
        <w:rPr>
          <w:rFonts w:hint="eastAsia" w:ascii="宋体" w:hAnsi="宋体" w:eastAsia="宋体"/>
        </w:rPr>
        <w:t>部分  基金的财产</w:t>
      </w:r>
      <w:r>
        <w:tab/>
      </w:r>
      <w:r>
        <w:fldChar w:fldCharType="begin"/>
      </w:r>
      <w:r>
        <w:instrText xml:space="preserve"> PAGEREF _Toc27700 \h </w:instrText>
      </w:r>
      <w:r>
        <w:fldChar w:fldCharType="separate"/>
      </w:r>
      <w:r>
        <w:t>54</w:t>
      </w:r>
      <w:r>
        <w:fldChar w:fldCharType="end"/>
      </w:r>
      <w:r>
        <w:rPr>
          <w:rFonts w:ascii="宋体" w:hAnsi="宋体" w:eastAsia="宋体"/>
        </w:rPr>
        <w:fldChar w:fldCharType="end"/>
      </w:r>
    </w:p>
    <w:p w14:paraId="7369DF3A">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_Toc28697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二</w:t>
      </w:r>
      <w:r>
        <w:rPr>
          <w:rFonts w:hint="eastAsia" w:ascii="宋体" w:hAnsi="宋体" w:eastAsia="宋体"/>
        </w:rPr>
        <w:t>部分  基金资产的估值</w:t>
      </w:r>
      <w:r>
        <w:tab/>
      </w:r>
      <w:r>
        <w:fldChar w:fldCharType="begin"/>
      </w:r>
      <w:r>
        <w:instrText xml:space="preserve"> PAGEREF _Toc28697 \h </w:instrText>
      </w:r>
      <w:r>
        <w:fldChar w:fldCharType="separate"/>
      </w:r>
      <w:r>
        <w:t>55</w:t>
      </w:r>
      <w:r>
        <w:fldChar w:fldCharType="end"/>
      </w:r>
      <w:r>
        <w:rPr>
          <w:rFonts w:ascii="宋体" w:hAnsi="宋体" w:eastAsia="宋体"/>
        </w:rPr>
        <w:fldChar w:fldCharType="end"/>
      </w:r>
    </w:p>
    <w:p w14:paraId="036A9F56">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_Toc776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三</w:t>
      </w:r>
      <w:r>
        <w:rPr>
          <w:rFonts w:hint="eastAsia" w:ascii="宋体" w:hAnsi="宋体" w:eastAsia="宋体"/>
        </w:rPr>
        <w:t>部分  基金的收益与分配</w:t>
      </w:r>
      <w:r>
        <w:tab/>
      </w:r>
      <w:r>
        <w:fldChar w:fldCharType="begin"/>
      </w:r>
      <w:r>
        <w:instrText xml:space="preserve"> PAGEREF _Toc776 \h </w:instrText>
      </w:r>
      <w:r>
        <w:fldChar w:fldCharType="separate"/>
      </w:r>
      <w:r>
        <w:t>61</w:t>
      </w:r>
      <w:r>
        <w:fldChar w:fldCharType="end"/>
      </w:r>
      <w:r>
        <w:rPr>
          <w:rFonts w:ascii="宋体" w:hAnsi="宋体" w:eastAsia="宋体"/>
        </w:rPr>
        <w:fldChar w:fldCharType="end"/>
      </w:r>
    </w:p>
    <w:p w14:paraId="3B9AEB17">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_Toc31832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四</w:t>
      </w:r>
      <w:r>
        <w:rPr>
          <w:rFonts w:hint="eastAsia" w:ascii="宋体" w:hAnsi="宋体" w:eastAsia="宋体"/>
        </w:rPr>
        <w:t>部分  基金的费用与税收</w:t>
      </w:r>
      <w:r>
        <w:tab/>
      </w:r>
      <w:r>
        <w:fldChar w:fldCharType="begin"/>
      </w:r>
      <w:r>
        <w:instrText xml:space="preserve"> PAGEREF _Toc31832 \h </w:instrText>
      </w:r>
      <w:r>
        <w:fldChar w:fldCharType="separate"/>
      </w:r>
      <w:r>
        <w:t>63</w:t>
      </w:r>
      <w:r>
        <w:fldChar w:fldCharType="end"/>
      </w:r>
      <w:r>
        <w:rPr>
          <w:rFonts w:ascii="宋体" w:hAnsi="宋体" w:eastAsia="宋体"/>
        </w:rPr>
        <w:fldChar w:fldCharType="end"/>
      </w:r>
    </w:p>
    <w:p w14:paraId="6F25843E">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_Toc9477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五</w:t>
      </w:r>
      <w:r>
        <w:rPr>
          <w:rFonts w:hint="eastAsia" w:ascii="宋体" w:hAnsi="宋体" w:eastAsia="宋体"/>
        </w:rPr>
        <w:t>部分  基金的会计与审计</w:t>
      </w:r>
      <w:r>
        <w:tab/>
      </w:r>
      <w:r>
        <w:fldChar w:fldCharType="begin"/>
      </w:r>
      <w:r>
        <w:instrText xml:space="preserve"> PAGEREF _Toc9477 \h </w:instrText>
      </w:r>
      <w:r>
        <w:fldChar w:fldCharType="separate"/>
      </w:r>
      <w:r>
        <w:t>65</w:t>
      </w:r>
      <w:r>
        <w:fldChar w:fldCharType="end"/>
      </w:r>
      <w:r>
        <w:rPr>
          <w:rFonts w:ascii="宋体" w:hAnsi="宋体" w:eastAsia="宋体"/>
        </w:rPr>
        <w:fldChar w:fldCharType="end"/>
      </w:r>
    </w:p>
    <w:p w14:paraId="3FD22FF5">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_Toc11144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六</w:t>
      </w:r>
      <w:r>
        <w:rPr>
          <w:rFonts w:hint="eastAsia" w:ascii="宋体" w:hAnsi="宋体" w:eastAsia="宋体"/>
        </w:rPr>
        <w:t>部分  基金的信息披露</w:t>
      </w:r>
      <w:r>
        <w:tab/>
      </w:r>
      <w:r>
        <w:fldChar w:fldCharType="begin"/>
      </w:r>
      <w:r>
        <w:instrText xml:space="preserve"> PAGEREF _Toc11144 \h </w:instrText>
      </w:r>
      <w:r>
        <w:fldChar w:fldCharType="separate"/>
      </w:r>
      <w:r>
        <w:t>66</w:t>
      </w:r>
      <w:r>
        <w:fldChar w:fldCharType="end"/>
      </w:r>
      <w:r>
        <w:rPr>
          <w:rFonts w:ascii="宋体" w:hAnsi="宋体" w:eastAsia="宋体"/>
        </w:rPr>
        <w:fldChar w:fldCharType="end"/>
      </w:r>
    </w:p>
    <w:p w14:paraId="68AF8816">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_Toc6608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七</w:t>
      </w:r>
      <w:r>
        <w:rPr>
          <w:rFonts w:hint="eastAsia" w:ascii="宋体" w:hAnsi="宋体" w:eastAsia="宋体"/>
        </w:rPr>
        <w:t>部分  风险揭示</w:t>
      </w:r>
      <w:r>
        <w:tab/>
      </w:r>
      <w:r>
        <w:fldChar w:fldCharType="begin"/>
      </w:r>
      <w:r>
        <w:instrText xml:space="preserve"> PAGEREF _Toc6608 \h </w:instrText>
      </w:r>
      <w:r>
        <w:fldChar w:fldCharType="separate"/>
      </w:r>
      <w:r>
        <w:t>74</w:t>
      </w:r>
      <w:r>
        <w:fldChar w:fldCharType="end"/>
      </w:r>
      <w:r>
        <w:rPr>
          <w:rFonts w:ascii="宋体" w:hAnsi="宋体" w:eastAsia="宋体"/>
        </w:rPr>
        <w:fldChar w:fldCharType="end"/>
      </w:r>
    </w:p>
    <w:p w14:paraId="4A34EE07">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_Toc32562 </w:instrText>
      </w:r>
      <w:r>
        <w:rPr>
          <w:rFonts w:ascii="宋体" w:hAnsi="宋体" w:eastAsia="宋体"/>
        </w:rPr>
        <w:fldChar w:fldCharType="separate"/>
      </w:r>
      <w:r>
        <w:rPr>
          <w:rFonts w:hint="eastAsia" w:ascii="宋体" w:hAnsi="宋体" w:eastAsia="宋体"/>
        </w:rPr>
        <w:t>第十</w:t>
      </w:r>
      <w:r>
        <w:rPr>
          <w:rFonts w:hint="eastAsia" w:ascii="宋体" w:hAnsi="宋体" w:eastAsia="宋体"/>
          <w:lang w:val="en-US" w:eastAsia="zh-CN"/>
        </w:rPr>
        <w:t>八</w:t>
      </w:r>
      <w:r>
        <w:rPr>
          <w:rFonts w:hint="eastAsia" w:ascii="宋体" w:hAnsi="宋体" w:eastAsia="宋体"/>
        </w:rPr>
        <w:t>部分  基金合同的变更、终止与基金财产的清算</w:t>
      </w:r>
      <w:r>
        <w:tab/>
      </w:r>
      <w:r>
        <w:fldChar w:fldCharType="begin"/>
      </w:r>
      <w:r>
        <w:instrText xml:space="preserve"> PAGEREF _Toc32562 \h </w:instrText>
      </w:r>
      <w:r>
        <w:fldChar w:fldCharType="separate"/>
      </w:r>
      <w:r>
        <w:t>86</w:t>
      </w:r>
      <w:r>
        <w:fldChar w:fldCharType="end"/>
      </w:r>
      <w:r>
        <w:rPr>
          <w:rFonts w:ascii="宋体" w:hAnsi="宋体" w:eastAsia="宋体"/>
        </w:rPr>
        <w:fldChar w:fldCharType="end"/>
      </w:r>
    </w:p>
    <w:p w14:paraId="63222824">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_Toc23884 </w:instrText>
      </w:r>
      <w:r>
        <w:rPr>
          <w:rFonts w:ascii="宋体" w:hAnsi="宋体" w:eastAsia="宋体"/>
        </w:rPr>
        <w:fldChar w:fldCharType="separate"/>
      </w:r>
      <w:r>
        <w:rPr>
          <w:rFonts w:hint="eastAsia" w:ascii="宋体" w:hAnsi="宋体" w:eastAsia="宋体"/>
        </w:rPr>
        <w:t>第</w:t>
      </w:r>
      <w:r>
        <w:rPr>
          <w:rFonts w:hint="eastAsia" w:ascii="宋体" w:hAnsi="宋体" w:eastAsia="宋体"/>
          <w:lang w:val="en-US" w:eastAsia="zh-CN"/>
        </w:rPr>
        <w:t>十九</w:t>
      </w:r>
      <w:r>
        <w:rPr>
          <w:rFonts w:hint="eastAsia" w:ascii="宋体" w:hAnsi="宋体" w:eastAsia="宋体"/>
        </w:rPr>
        <w:t>部分  基金合同的内容摘要</w:t>
      </w:r>
      <w:r>
        <w:tab/>
      </w:r>
      <w:r>
        <w:fldChar w:fldCharType="begin"/>
      </w:r>
      <w:r>
        <w:instrText xml:space="preserve"> PAGEREF _Toc23884 \h </w:instrText>
      </w:r>
      <w:r>
        <w:fldChar w:fldCharType="separate"/>
      </w:r>
      <w:r>
        <w:t>88</w:t>
      </w:r>
      <w:r>
        <w:fldChar w:fldCharType="end"/>
      </w:r>
      <w:r>
        <w:rPr>
          <w:rFonts w:ascii="宋体" w:hAnsi="宋体" w:eastAsia="宋体"/>
        </w:rPr>
        <w:fldChar w:fldCharType="end"/>
      </w:r>
    </w:p>
    <w:p w14:paraId="0E57FEB5">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_Toc31600 </w:instrText>
      </w:r>
      <w:r>
        <w:rPr>
          <w:rFonts w:ascii="宋体" w:hAnsi="宋体" w:eastAsia="宋体"/>
        </w:rPr>
        <w:fldChar w:fldCharType="separate"/>
      </w:r>
      <w:r>
        <w:rPr>
          <w:rFonts w:hint="eastAsia" w:ascii="宋体" w:hAnsi="宋体" w:eastAsia="宋体"/>
        </w:rPr>
        <w:t>第二十部分  基金托管协议的内容摘要</w:t>
      </w:r>
      <w:r>
        <w:tab/>
      </w:r>
      <w:r>
        <w:fldChar w:fldCharType="begin"/>
      </w:r>
      <w:r>
        <w:instrText xml:space="preserve"> PAGEREF _Toc31600 \h </w:instrText>
      </w:r>
      <w:r>
        <w:fldChar w:fldCharType="separate"/>
      </w:r>
      <w:r>
        <w:t>104</w:t>
      </w:r>
      <w:r>
        <w:fldChar w:fldCharType="end"/>
      </w:r>
      <w:r>
        <w:rPr>
          <w:rFonts w:ascii="宋体" w:hAnsi="宋体" w:eastAsia="宋体"/>
        </w:rPr>
        <w:fldChar w:fldCharType="end"/>
      </w:r>
    </w:p>
    <w:p w14:paraId="40409BE8">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_Toc3612 </w:instrText>
      </w:r>
      <w:r>
        <w:rPr>
          <w:rFonts w:ascii="宋体" w:hAnsi="宋体" w:eastAsia="宋体"/>
        </w:rPr>
        <w:fldChar w:fldCharType="separate"/>
      </w:r>
      <w:r>
        <w:rPr>
          <w:rFonts w:hint="eastAsia" w:ascii="宋体" w:hAnsi="宋体" w:eastAsia="宋体"/>
        </w:rPr>
        <w:t>第二十</w:t>
      </w:r>
      <w:r>
        <w:rPr>
          <w:rFonts w:hint="eastAsia" w:ascii="宋体" w:hAnsi="宋体" w:eastAsia="宋体"/>
          <w:lang w:val="en-US" w:eastAsia="zh-CN"/>
        </w:rPr>
        <w:t>一</w:t>
      </w:r>
      <w:r>
        <w:rPr>
          <w:rFonts w:hint="eastAsia" w:ascii="宋体" w:hAnsi="宋体" w:eastAsia="宋体"/>
        </w:rPr>
        <w:t>部分  对基金份额持有人的服务</w:t>
      </w:r>
      <w:r>
        <w:tab/>
      </w:r>
      <w:r>
        <w:fldChar w:fldCharType="begin"/>
      </w:r>
      <w:r>
        <w:instrText xml:space="preserve"> PAGEREF _Toc3612 \h </w:instrText>
      </w:r>
      <w:r>
        <w:fldChar w:fldCharType="separate"/>
      </w:r>
      <w:r>
        <w:t>124</w:t>
      </w:r>
      <w:r>
        <w:fldChar w:fldCharType="end"/>
      </w:r>
      <w:r>
        <w:rPr>
          <w:rFonts w:ascii="宋体" w:hAnsi="宋体" w:eastAsia="宋体"/>
        </w:rPr>
        <w:fldChar w:fldCharType="end"/>
      </w:r>
    </w:p>
    <w:p w14:paraId="5C61747B">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_Toc2945 </w:instrText>
      </w:r>
      <w:r>
        <w:rPr>
          <w:rFonts w:ascii="宋体" w:hAnsi="宋体" w:eastAsia="宋体"/>
        </w:rPr>
        <w:fldChar w:fldCharType="separate"/>
      </w:r>
      <w:r>
        <w:rPr>
          <w:rFonts w:hint="eastAsia" w:ascii="宋体" w:hAnsi="宋体" w:eastAsia="宋体"/>
        </w:rPr>
        <w:t>第二十</w:t>
      </w:r>
      <w:r>
        <w:rPr>
          <w:rFonts w:hint="eastAsia" w:ascii="宋体" w:hAnsi="宋体" w:eastAsia="宋体"/>
          <w:lang w:val="en-US" w:eastAsia="zh-CN"/>
        </w:rPr>
        <w:t>二</w:t>
      </w:r>
      <w:r>
        <w:rPr>
          <w:rFonts w:hint="eastAsia" w:ascii="宋体" w:hAnsi="宋体" w:eastAsia="宋体"/>
        </w:rPr>
        <w:t>部分 其他应披露的事项</w:t>
      </w:r>
      <w:r>
        <w:tab/>
      </w:r>
      <w:r>
        <w:fldChar w:fldCharType="begin"/>
      </w:r>
      <w:r>
        <w:instrText xml:space="preserve"> PAGEREF _Toc2945 \h </w:instrText>
      </w:r>
      <w:r>
        <w:fldChar w:fldCharType="separate"/>
      </w:r>
      <w:r>
        <w:t>125</w:t>
      </w:r>
      <w:r>
        <w:fldChar w:fldCharType="end"/>
      </w:r>
      <w:r>
        <w:rPr>
          <w:rFonts w:ascii="宋体" w:hAnsi="宋体" w:eastAsia="宋体"/>
        </w:rPr>
        <w:fldChar w:fldCharType="end"/>
      </w:r>
    </w:p>
    <w:p w14:paraId="6DFE6FBE">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_Toc15622 </w:instrText>
      </w:r>
      <w:r>
        <w:rPr>
          <w:rFonts w:ascii="宋体" w:hAnsi="宋体" w:eastAsia="宋体"/>
        </w:rPr>
        <w:fldChar w:fldCharType="separate"/>
      </w:r>
      <w:r>
        <w:rPr>
          <w:rFonts w:hint="eastAsia" w:ascii="宋体" w:hAnsi="宋体" w:eastAsia="宋体"/>
        </w:rPr>
        <w:t>第二十</w:t>
      </w:r>
      <w:r>
        <w:rPr>
          <w:rFonts w:hint="eastAsia" w:ascii="宋体" w:hAnsi="宋体" w:eastAsia="宋体"/>
          <w:lang w:val="en-US" w:eastAsia="zh-CN"/>
        </w:rPr>
        <w:t>三</w:t>
      </w:r>
      <w:r>
        <w:rPr>
          <w:rFonts w:hint="eastAsia" w:ascii="宋体" w:hAnsi="宋体" w:eastAsia="宋体"/>
        </w:rPr>
        <w:t>部分  招募说明书的存放及查阅方式</w:t>
      </w:r>
      <w:r>
        <w:tab/>
      </w:r>
      <w:r>
        <w:fldChar w:fldCharType="begin"/>
      </w:r>
      <w:r>
        <w:instrText xml:space="preserve"> PAGEREF _Toc15622 \h </w:instrText>
      </w:r>
      <w:r>
        <w:fldChar w:fldCharType="separate"/>
      </w:r>
      <w:r>
        <w:t>126</w:t>
      </w:r>
      <w:r>
        <w:fldChar w:fldCharType="end"/>
      </w:r>
      <w:r>
        <w:rPr>
          <w:rFonts w:ascii="宋体" w:hAnsi="宋体" w:eastAsia="宋体"/>
        </w:rPr>
        <w:fldChar w:fldCharType="end"/>
      </w:r>
    </w:p>
    <w:p w14:paraId="5D5B1567">
      <w:pPr>
        <w:pStyle w:val="6"/>
        <w:keepNext w:val="0"/>
        <w:keepLines w:val="0"/>
        <w:pageBreakBefore w:val="0"/>
        <w:tabs>
          <w:tab w:val="right" w:leader="dot" w:pos="8300"/>
        </w:tabs>
        <w:kinsoku/>
        <w:wordWrap/>
        <w:overflowPunct/>
        <w:topLinePunct w:val="0"/>
        <w:autoSpaceDE/>
        <w:autoSpaceDN/>
        <w:bidi w:val="0"/>
        <w:adjustRightInd/>
        <w:snapToGrid/>
        <w:spacing w:line="360" w:lineRule="auto"/>
        <w:textAlignment w:val="auto"/>
      </w:pPr>
      <w:r>
        <w:rPr>
          <w:rFonts w:ascii="宋体" w:hAnsi="宋体" w:eastAsia="宋体"/>
        </w:rPr>
        <w:fldChar w:fldCharType="begin"/>
      </w:r>
      <w:r>
        <w:rPr>
          <w:rFonts w:ascii="宋体" w:hAnsi="宋体" w:eastAsia="宋体"/>
        </w:rPr>
        <w:instrText xml:space="preserve"> HYPERLINK \l _Toc3469 </w:instrText>
      </w:r>
      <w:r>
        <w:rPr>
          <w:rFonts w:ascii="宋体" w:hAnsi="宋体" w:eastAsia="宋体"/>
        </w:rPr>
        <w:fldChar w:fldCharType="separate"/>
      </w:r>
      <w:r>
        <w:rPr>
          <w:rFonts w:hint="eastAsia" w:ascii="宋体" w:hAnsi="宋体" w:eastAsia="宋体"/>
        </w:rPr>
        <w:t>第二十</w:t>
      </w:r>
      <w:r>
        <w:rPr>
          <w:rFonts w:hint="eastAsia" w:ascii="宋体" w:hAnsi="宋体" w:eastAsia="宋体"/>
          <w:lang w:val="en-US" w:eastAsia="zh-CN"/>
        </w:rPr>
        <w:t>四</w:t>
      </w:r>
      <w:r>
        <w:rPr>
          <w:rFonts w:hint="eastAsia" w:ascii="宋体" w:hAnsi="宋体" w:eastAsia="宋体"/>
        </w:rPr>
        <w:t>部分  备查文件</w:t>
      </w:r>
      <w:r>
        <w:tab/>
      </w:r>
      <w:r>
        <w:fldChar w:fldCharType="begin"/>
      </w:r>
      <w:r>
        <w:instrText xml:space="preserve"> PAGEREF _Toc3469 \h </w:instrText>
      </w:r>
      <w:r>
        <w:fldChar w:fldCharType="separate"/>
      </w:r>
      <w:r>
        <w:t>127</w:t>
      </w:r>
      <w:r>
        <w:fldChar w:fldCharType="end"/>
      </w:r>
      <w:r>
        <w:rPr>
          <w:rFonts w:ascii="宋体" w:hAnsi="宋体" w:eastAsia="宋体"/>
        </w:rPr>
        <w:fldChar w:fldCharType="end"/>
      </w:r>
    </w:p>
    <w:p w14:paraId="55299DBB">
      <w:pPr>
        <w:keepNext w:val="0"/>
        <w:keepLines w:val="0"/>
        <w:pageBreakBefore w:val="0"/>
        <w:widowControl/>
        <w:kinsoku/>
        <w:wordWrap/>
        <w:overflowPunct/>
        <w:topLinePunct w:val="0"/>
        <w:autoSpaceDE/>
        <w:autoSpaceDN/>
        <w:bidi w:val="0"/>
        <w:adjustRightInd/>
        <w:snapToGrid/>
        <w:spacing w:line="360" w:lineRule="auto"/>
        <w:ind w:left="-2" w:leftChars="-1"/>
        <w:jc w:val="center"/>
        <w:textAlignment w:val="auto"/>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7D76F08F">
      <w:pPr>
        <w:pStyle w:val="2"/>
        <w:jc w:val="center"/>
        <w:rPr>
          <w:rFonts w:ascii="宋体" w:hAnsi="宋体" w:eastAsia="宋体"/>
          <w:sz w:val="30"/>
        </w:rPr>
      </w:pPr>
      <w:bookmarkStart w:id="5" w:name="chapter_level1_3_2344"/>
      <w:bookmarkStart w:id="6" w:name="_Toc6458"/>
      <w:r>
        <w:rPr>
          <w:rFonts w:hint="eastAsia" w:ascii="宋体" w:hAnsi="宋体" w:eastAsia="宋体"/>
          <w:sz w:val="30"/>
        </w:rPr>
        <w:t>第一部分</w:t>
      </w:r>
      <w:bookmarkStart w:id="195" w:name="_GoBack"/>
      <w:bookmarkEnd w:id="195"/>
      <w:r>
        <w:rPr>
          <w:rFonts w:hint="eastAsia" w:ascii="宋体" w:hAnsi="宋体" w:eastAsia="宋体"/>
          <w:sz w:val="30"/>
        </w:rPr>
        <w:t xml:space="preserve">  绪言</w:t>
      </w:r>
      <w:bookmarkEnd w:id="5"/>
      <w:bookmarkEnd w:id="6"/>
    </w:p>
    <w:p w14:paraId="766CB81E">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3"/>
      <w:r>
        <w:rPr>
          <w:rFonts w:hint="eastAsia"/>
          <w:sz w:val="21"/>
          <w:szCs w:val="21"/>
        </w:rPr>
        <w:t>博时恒生港股通科技主题交易型开放式指数证券投资基金</w:t>
      </w:r>
      <w:bookmarkEnd w:id="8"/>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9" w:name="field_0_productfullname_4"/>
      <w:r>
        <w:rPr>
          <w:rFonts w:hint="eastAsia"/>
          <w:sz w:val="21"/>
          <w:szCs w:val="21"/>
        </w:rPr>
        <w:t>博时恒生港股通科技主题交易型开放式指数证券投资基金</w:t>
      </w:r>
      <w:bookmarkEnd w:id="9"/>
      <w:r>
        <w:rPr>
          <w:rFonts w:hint="eastAsia"/>
          <w:sz w:val="21"/>
          <w:szCs w:val="21"/>
        </w:rPr>
        <w:t xml:space="preserve">基金合同》（以下简称“基金合同”）编写。 </w:t>
      </w:r>
    </w:p>
    <w:p w14:paraId="3A08EDEA">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5"/>
      <w:r>
        <w:rPr>
          <w:rFonts w:hint="eastAsia"/>
          <w:sz w:val="21"/>
          <w:szCs w:val="21"/>
        </w:rPr>
        <w:t>博时恒生港股通科技主题交易型开放式指数证券投资基金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5D9754B9">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8F9EFE7">
      <w:pPr>
        <w:pStyle w:val="7"/>
        <w:spacing w:before="0" w:beforeAutospacing="0" w:after="0" w:afterAutospacing="0" w:line="360" w:lineRule="auto"/>
        <w:ind w:firstLine="420"/>
        <w:rPr>
          <w:sz w:val="21"/>
          <w:szCs w:val="21"/>
        </w:rPr>
      </w:pPr>
      <w:bookmarkStart w:id="11" w:name="field_0_productfullname_6"/>
      <w:r>
        <w:rPr>
          <w:rFonts w:hint="eastAsia"/>
          <w:sz w:val="21"/>
          <w:szCs w:val="21"/>
        </w:rPr>
        <w:t>博时恒生港股通科技主题交易型开放式指数证券投资基金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034CE82">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2" w:name="chapter_level1_3_2344_section_1_end"/>
      <w:bookmarkEnd w:id="12"/>
      <w:r>
        <w:rPr>
          <w:rFonts w:hint="eastAsia"/>
          <w:sz w:val="21"/>
          <w:szCs w:val="21"/>
        </w:rPr>
        <w:t xml:space="preserve">金合同。 </w:t>
      </w:r>
    </w:p>
    <w:p w14:paraId="34B880F5">
      <w:pPr>
        <w:widowControl/>
        <w:jc w:val="left"/>
        <w:rPr>
          <w:rFonts w:ascii="宋体" w:hAnsi="宋体" w:eastAsia="宋体"/>
        </w:rPr>
      </w:pPr>
      <w:r>
        <w:rPr>
          <w:rFonts w:ascii="宋体" w:hAnsi="宋体" w:eastAsia="宋体"/>
        </w:rPr>
        <w:br w:type="page"/>
      </w:r>
    </w:p>
    <w:p w14:paraId="63CFC331">
      <w:pPr>
        <w:pStyle w:val="2"/>
        <w:jc w:val="center"/>
        <w:rPr>
          <w:rFonts w:ascii="宋体" w:hAnsi="宋体" w:eastAsia="宋体"/>
          <w:sz w:val="30"/>
        </w:rPr>
      </w:pPr>
      <w:bookmarkStart w:id="13" w:name="chapter_level1_4_49"/>
      <w:bookmarkStart w:id="14" w:name="_Toc28387"/>
      <w:r>
        <w:rPr>
          <w:rFonts w:hint="eastAsia" w:ascii="宋体" w:hAnsi="宋体" w:eastAsia="宋体"/>
          <w:sz w:val="30"/>
        </w:rPr>
        <w:t>第二部分  释义</w:t>
      </w:r>
      <w:bookmarkEnd w:id="13"/>
      <w:bookmarkEnd w:id="14"/>
    </w:p>
    <w:p w14:paraId="70A9E771">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在本招募说明书中，除非文意另有所指，下列词语或简称具有以下含义： </w:t>
      </w:r>
    </w:p>
    <w:p w14:paraId="562AF466">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7"/>
      <w:r>
        <w:rPr>
          <w:rFonts w:hint="eastAsia"/>
          <w:sz w:val="21"/>
          <w:szCs w:val="21"/>
        </w:rPr>
        <w:t>博时恒生港股通科技主题交易型开放式指数证券投资基金</w:t>
      </w:r>
      <w:bookmarkEnd w:id="16"/>
      <w:r>
        <w:rPr>
          <w:rFonts w:hint="eastAsia"/>
          <w:sz w:val="21"/>
          <w:szCs w:val="21"/>
        </w:rPr>
        <w:t xml:space="preserve">  </w:t>
      </w:r>
    </w:p>
    <w:p w14:paraId="7F3060AD">
      <w:pPr>
        <w:pStyle w:val="7"/>
        <w:spacing w:before="0" w:beforeAutospacing="0" w:after="0" w:afterAutospacing="0" w:line="360" w:lineRule="auto"/>
        <w:ind w:firstLine="420"/>
        <w:rPr>
          <w:sz w:val="21"/>
          <w:szCs w:val="21"/>
        </w:rPr>
      </w:pPr>
      <w:r>
        <w:rPr>
          <w:rFonts w:hint="eastAsia"/>
          <w:sz w:val="21"/>
          <w:szCs w:val="21"/>
        </w:rPr>
        <w:t xml:space="preserve">2.基金管理人：指博时基金管理有限公司 </w:t>
      </w:r>
    </w:p>
    <w:p w14:paraId="307722F5">
      <w:pPr>
        <w:pStyle w:val="7"/>
        <w:spacing w:before="0" w:beforeAutospacing="0" w:after="0" w:afterAutospacing="0" w:line="360" w:lineRule="auto"/>
        <w:ind w:firstLine="420"/>
        <w:rPr>
          <w:sz w:val="21"/>
          <w:szCs w:val="21"/>
        </w:rPr>
      </w:pPr>
      <w:r>
        <w:rPr>
          <w:rFonts w:hint="eastAsia"/>
          <w:sz w:val="21"/>
          <w:szCs w:val="21"/>
        </w:rPr>
        <w:t>3.基金托管人：指</w:t>
      </w:r>
      <w:bookmarkStart w:id="17" w:name="field_0_trustorgfullname_1"/>
      <w:r>
        <w:rPr>
          <w:rFonts w:hint="eastAsia"/>
          <w:sz w:val="21"/>
          <w:szCs w:val="21"/>
        </w:rPr>
        <w:t>财通证券股份有限公司</w:t>
      </w:r>
      <w:bookmarkEnd w:id="17"/>
      <w:r>
        <w:rPr>
          <w:rFonts w:hint="eastAsia"/>
          <w:sz w:val="21"/>
          <w:szCs w:val="21"/>
        </w:rPr>
        <w:t xml:space="preserve">  </w:t>
      </w:r>
    </w:p>
    <w:p w14:paraId="0011EE67">
      <w:pPr>
        <w:pStyle w:val="7"/>
        <w:spacing w:before="0" w:beforeAutospacing="0" w:after="0" w:afterAutospacing="0" w:line="360" w:lineRule="auto"/>
        <w:ind w:firstLine="420"/>
        <w:rPr>
          <w:sz w:val="21"/>
          <w:szCs w:val="21"/>
        </w:rPr>
      </w:pPr>
      <w:r>
        <w:rPr>
          <w:rFonts w:hint="eastAsia"/>
          <w:sz w:val="21"/>
          <w:szCs w:val="21"/>
        </w:rPr>
        <w:t>4.基金合同：指《</w:t>
      </w:r>
      <w:bookmarkStart w:id="18" w:name="field_0_productfullname_8"/>
      <w:r>
        <w:rPr>
          <w:rFonts w:hint="eastAsia"/>
          <w:sz w:val="21"/>
          <w:szCs w:val="21"/>
        </w:rPr>
        <w:t>博时恒生港股通科技主题交易型开放式指数证券投资基金</w:t>
      </w:r>
      <w:bookmarkEnd w:id="18"/>
      <w:r>
        <w:rPr>
          <w:rFonts w:hint="eastAsia"/>
          <w:sz w:val="21"/>
          <w:szCs w:val="21"/>
        </w:rPr>
        <w:t xml:space="preserve">基金合同》及对基金合同的任何有效修订和补充 </w:t>
      </w:r>
    </w:p>
    <w:p w14:paraId="2F099245">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9" w:name="field_0_productfullname_9"/>
      <w:r>
        <w:rPr>
          <w:rFonts w:hint="eastAsia"/>
          <w:sz w:val="21"/>
          <w:szCs w:val="21"/>
        </w:rPr>
        <w:t>博时恒生港股通科技主题交易型开放式指数证券投资基金</w:t>
      </w:r>
      <w:bookmarkEnd w:id="19"/>
      <w:r>
        <w:rPr>
          <w:rFonts w:hint="eastAsia"/>
          <w:sz w:val="21"/>
          <w:szCs w:val="21"/>
        </w:rPr>
        <w:t xml:space="preserve">托管协议》及对该托管协议的任何有效修订和补充 </w:t>
      </w:r>
    </w:p>
    <w:p w14:paraId="77A42E24">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0" w:name="field_0_productfullname_10"/>
      <w:r>
        <w:rPr>
          <w:rFonts w:hint="eastAsia"/>
          <w:sz w:val="21"/>
          <w:szCs w:val="21"/>
        </w:rPr>
        <w:t>博时恒生港股通科技主题交易型开放式指数证券投资基金</w:t>
      </w:r>
      <w:bookmarkEnd w:id="20"/>
      <w:r>
        <w:rPr>
          <w:rFonts w:hint="eastAsia"/>
          <w:sz w:val="21"/>
          <w:szCs w:val="21"/>
        </w:rPr>
        <w:t xml:space="preserve">招募说明书》及其更新 </w:t>
      </w:r>
    </w:p>
    <w:p w14:paraId="76520C2D">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1" w:name="field_0_productfullname_11"/>
      <w:r>
        <w:rPr>
          <w:rFonts w:hint="eastAsia"/>
          <w:sz w:val="21"/>
          <w:szCs w:val="21"/>
        </w:rPr>
        <w:t>博时恒生港股通科技主题交易型开放式指数证券投资基金</w:t>
      </w:r>
      <w:bookmarkEnd w:id="21"/>
      <w:r>
        <w:rPr>
          <w:rFonts w:hint="eastAsia"/>
          <w:sz w:val="21"/>
          <w:szCs w:val="21"/>
        </w:rPr>
        <w:t xml:space="preserve">基金产品资料概要》及其更新 </w:t>
      </w:r>
    </w:p>
    <w:p w14:paraId="058CA4EE">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2" w:name="field_0_productfullname_12"/>
      <w:r>
        <w:rPr>
          <w:rFonts w:hint="eastAsia"/>
          <w:sz w:val="21"/>
          <w:szCs w:val="21"/>
        </w:rPr>
        <w:t>博时恒生港股通科技主题交易型开放式指数证券投资基金</w:t>
      </w:r>
      <w:bookmarkEnd w:id="22"/>
      <w:r>
        <w:rPr>
          <w:rFonts w:hint="eastAsia"/>
          <w:sz w:val="21"/>
          <w:szCs w:val="21"/>
        </w:rPr>
        <w:t xml:space="preserve">基金份额发售公告》 </w:t>
      </w:r>
    </w:p>
    <w:p w14:paraId="56F3037A">
      <w:pPr>
        <w:pStyle w:val="7"/>
        <w:spacing w:before="0" w:beforeAutospacing="0" w:after="0" w:afterAutospacing="0" w:line="360" w:lineRule="auto"/>
        <w:ind w:firstLine="420"/>
        <w:rPr>
          <w:sz w:val="21"/>
          <w:szCs w:val="21"/>
        </w:rPr>
      </w:pPr>
      <w:r>
        <w:rPr>
          <w:rFonts w:hint="eastAsia"/>
          <w:sz w:val="21"/>
          <w:szCs w:val="21"/>
        </w:rPr>
        <w:t>9.上市交易公告书：指《</w:t>
      </w:r>
      <w:bookmarkStart w:id="23" w:name="field_0_productfullname_13"/>
      <w:r>
        <w:rPr>
          <w:rFonts w:hint="eastAsia"/>
          <w:sz w:val="21"/>
          <w:szCs w:val="21"/>
        </w:rPr>
        <w:t>博时恒生港股通科技主题交易型开放式指数证券投资基金</w:t>
      </w:r>
      <w:bookmarkEnd w:id="23"/>
      <w:r>
        <w:rPr>
          <w:rFonts w:hint="eastAsia"/>
          <w:sz w:val="21"/>
          <w:szCs w:val="21"/>
        </w:rPr>
        <w:t xml:space="preserve">上市交易公告书》 </w:t>
      </w:r>
    </w:p>
    <w:p w14:paraId="7DC8F310">
      <w:pPr>
        <w:pStyle w:val="7"/>
        <w:spacing w:before="0" w:beforeAutospacing="0" w:after="0" w:afterAutospacing="0" w:line="360" w:lineRule="auto"/>
        <w:ind w:firstLine="420"/>
        <w:rPr>
          <w:sz w:val="21"/>
          <w:szCs w:val="21"/>
        </w:rPr>
      </w:pPr>
      <w:r>
        <w:rPr>
          <w:rFonts w:hint="eastAsia"/>
          <w:sz w:val="21"/>
          <w:szCs w:val="21"/>
        </w:rPr>
        <w:t xml:space="preserve">10.法律法规：指中国现行有效并公布实施的法律、行政法规、规范性文件、司法解释、行政规章以及其他对基金合同当事人有约束力的决定、决议、通知等 </w:t>
      </w:r>
    </w:p>
    <w:p w14:paraId="2EC26D4F">
      <w:pPr>
        <w:pStyle w:val="7"/>
        <w:spacing w:before="0" w:beforeAutospacing="0" w:after="0" w:afterAutospacing="0" w:line="360" w:lineRule="auto"/>
        <w:ind w:firstLine="420"/>
        <w:rPr>
          <w:sz w:val="21"/>
          <w:szCs w:val="21"/>
        </w:rPr>
      </w:pPr>
      <w:r>
        <w:rPr>
          <w:rFonts w:hint="eastAsia"/>
          <w:sz w:val="21"/>
          <w:szCs w:val="21"/>
        </w:rPr>
        <w:t xml:space="preserve">11.《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5F995479">
      <w:pPr>
        <w:pStyle w:val="7"/>
        <w:spacing w:before="0" w:beforeAutospacing="0" w:after="0" w:afterAutospacing="0" w:line="360" w:lineRule="auto"/>
        <w:ind w:firstLine="420"/>
        <w:rPr>
          <w:sz w:val="21"/>
          <w:szCs w:val="21"/>
        </w:rPr>
      </w:pPr>
      <w:r>
        <w:rPr>
          <w:rFonts w:hint="eastAsia"/>
          <w:sz w:val="21"/>
          <w:szCs w:val="21"/>
        </w:rPr>
        <w:t xml:space="preserve">12.《销售办法》：指中国证监会2020年8月28日颁布、同年10月1日实施的《公开募集证券投资基金销售机构监督管理办法》及颁布机关对其不时做出的修订 </w:t>
      </w:r>
    </w:p>
    <w:p w14:paraId="4963C5F1">
      <w:pPr>
        <w:pStyle w:val="7"/>
        <w:spacing w:before="0" w:beforeAutospacing="0" w:after="0" w:afterAutospacing="0" w:line="360" w:lineRule="auto"/>
        <w:ind w:firstLine="420"/>
        <w:rPr>
          <w:sz w:val="21"/>
          <w:szCs w:val="21"/>
        </w:rPr>
      </w:pPr>
      <w:r>
        <w:rPr>
          <w:rFonts w:hint="eastAsia"/>
          <w:sz w:val="21"/>
          <w:szCs w:val="21"/>
        </w:rPr>
        <w:t xml:space="preserve">13.《信息披露办法》：指中国证监会2019年7月26日颁布、同年9月1日实施，并经2020年3月20日中国证监会《关于修改部分证券期货规章的决定》修正的《公开募集证券投资基金信息披露管理办法》及颁布机关对其不时做出的修订 </w:t>
      </w:r>
    </w:p>
    <w:p w14:paraId="007DB994">
      <w:pPr>
        <w:pStyle w:val="7"/>
        <w:spacing w:before="0" w:beforeAutospacing="0" w:after="0" w:afterAutospacing="0" w:line="360" w:lineRule="auto"/>
        <w:ind w:firstLine="420"/>
        <w:rPr>
          <w:sz w:val="21"/>
          <w:szCs w:val="21"/>
        </w:rPr>
      </w:pPr>
      <w:r>
        <w:rPr>
          <w:rFonts w:hint="eastAsia"/>
          <w:sz w:val="21"/>
          <w:szCs w:val="21"/>
        </w:rPr>
        <w:t xml:space="preserve">14.《运作办法》：指中国证监会2014年7月7日颁布、同年8月8日实施的《公开募集证券投资基金运作管理办法》及颁布机关对其不时做出的修订 </w:t>
      </w:r>
    </w:p>
    <w:p w14:paraId="2DEB38CD">
      <w:pPr>
        <w:pStyle w:val="7"/>
        <w:spacing w:before="0" w:beforeAutospacing="0" w:after="0" w:afterAutospacing="0" w:line="360" w:lineRule="auto"/>
        <w:ind w:firstLine="420"/>
        <w:rPr>
          <w:sz w:val="21"/>
          <w:szCs w:val="21"/>
        </w:rPr>
      </w:pPr>
      <w:r>
        <w:rPr>
          <w:rFonts w:hint="eastAsia"/>
          <w:sz w:val="21"/>
          <w:szCs w:val="21"/>
        </w:rPr>
        <w:t xml:space="preserve">15.《流动性风险管理规定》：指中国证监会2017年8月31日颁布、同年10月1日实施的《公开募集开放式证券投资基金流动性风险管理规定》及颁布机关对其不时做出的修订 </w:t>
      </w:r>
    </w:p>
    <w:p w14:paraId="3CCED83E">
      <w:pPr>
        <w:pStyle w:val="7"/>
        <w:spacing w:before="0" w:beforeAutospacing="0" w:after="0" w:afterAutospacing="0" w:line="360" w:lineRule="auto"/>
        <w:ind w:firstLine="420"/>
        <w:rPr>
          <w:sz w:val="21"/>
          <w:szCs w:val="21"/>
        </w:rPr>
      </w:pPr>
      <w:r>
        <w:rPr>
          <w:rFonts w:hint="eastAsia"/>
          <w:sz w:val="21"/>
          <w:szCs w:val="21"/>
        </w:rPr>
        <w:t xml:space="preserve">16.《指数基金指引》：指中国证监会2021年1月22日颁布、同年2月1日实施的《公开募集证券投资基金运作指引第3号——指数基金指引》及颁布机关对其不时做出的修订 </w:t>
      </w:r>
    </w:p>
    <w:p w14:paraId="4C8C0414">
      <w:pPr>
        <w:pStyle w:val="7"/>
        <w:spacing w:before="0" w:beforeAutospacing="0" w:after="0" w:afterAutospacing="0" w:line="360" w:lineRule="auto"/>
        <w:ind w:firstLine="420"/>
        <w:rPr>
          <w:sz w:val="21"/>
          <w:szCs w:val="21"/>
        </w:rPr>
      </w:pPr>
      <w:r>
        <w:rPr>
          <w:rFonts w:hint="eastAsia"/>
          <w:sz w:val="21"/>
          <w:szCs w:val="21"/>
        </w:rPr>
        <w:t xml:space="preserve">17.业务规则：指深圳证券交易所、登记机构等相关机构发布的其他相关规则及其不时做出的修订 </w:t>
      </w:r>
    </w:p>
    <w:p w14:paraId="12B633BA">
      <w:pPr>
        <w:pStyle w:val="7"/>
        <w:spacing w:before="0" w:beforeAutospacing="0" w:after="0" w:afterAutospacing="0" w:line="360" w:lineRule="auto"/>
        <w:ind w:firstLine="420"/>
        <w:rPr>
          <w:sz w:val="21"/>
          <w:szCs w:val="21"/>
        </w:rPr>
      </w:pPr>
      <w:r>
        <w:rPr>
          <w:rFonts w:hint="eastAsia"/>
          <w:sz w:val="21"/>
          <w:szCs w:val="21"/>
        </w:rPr>
        <w:t xml:space="preserve">18.中国证监会：指中国证券监督管理委员会 </w:t>
      </w:r>
    </w:p>
    <w:p w14:paraId="6C70F5B6">
      <w:pPr>
        <w:pStyle w:val="7"/>
        <w:spacing w:before="0" w:beforeAutospacing="0" w:after="0" w:afterAutospacing="0" w:line="360" w:lineRule="auto"/>
        <w:ind w:firstLine="420"/>
        <w:rPr>
          <w:sz w:val="21"/>
          <w:szCs w:val="21"/>
        </w:rPr>
      </w:pPr>
      <w:r>
        <w:rPr>
          <w:rFonts w:hint="eastAsia"/>
          <w:sz w:val="21"/>
          <w:szCs w:val="21"/>
        </w:rPr>
        <w:t xml:space="preserve">19.基金合同当事人：指受基金合同约束，根据基金合同享有权利并承担义务的法律主体，包括基金管理人、基金托管人和基金份额持有人 </w:t>
      </w:r>
    </w:p>
    <w:p w14:paraId="14B43C0A">
      <w:pPr>
        <w:pStyle w:val="7"/>
        <w:spacing w:before="0" w:beforeAutospacing="0" w:after="0" w:afterAutospacing="0" w:line="360" w:lineRule="auto"/>
        <w:ind w:firstLine="420"/>
        <w:rPr>
          <w:sz w:val="21"/>
          <w:szCs w:val="21"/>
        </w:rPr>
      </w:pPr>
      <w:r>
        <w:rPr>
          <w:rFonts w:hint="eastAsia"/>
          <w:sz w:val="21"/>
          <w:szCs w:val="21"/>
        </w:rPr>
        <w:t xml:space="preserve">20.个人投资者：指依据有关法律法规规定可投资于证券投资基金的自然人 </w:t>
      </w:r>
    </w:p>
    <w:p w14:paraId="385364B3">
      <w:pPr>
        <w:pStyle w:val="7"/>
        <w:spacing w:before="0" w:beforeAutospacing="0" w:after="0" w:afterAutospacing="0" w:line="360" w:lineRule="auto"/>
        <w:ind w:firstLine="420"/>
        <w:rPr>
          <w:sz w:val="21"/>
          <w:szCs w:val="21"/>
        </w:rPr>
      </w:pPr>
      <w:r>
        <w:rPr>
          <w:rFonts w:hint="eastAsia"/>
          <w:sz w:val="21"/>
          <w:szCs w:val="21"/>
        </w:rPr>
        <w:t xml:space="preserve">21.机构投资者：指依法可以投资证券投资基金的、在中华人民共和国境内合法登记并存续或经有关政府部门批准设立并存续的企业法人、事业法人、社会团体或其他组织 </w:t>
      </w:r>
    </w:p>
    <w:p w14:paraId="052C8E37">
      <w:pPr>
        <w:pStyle w:val="7"/>
        <w:spacing w:before="0" w:beforeAutospacing="0" w:after="0" w:afterAutospacing="0" w:line="360" w:lineRule="auto"/>
        <w:ind w:firstLine="420"/>
        <w:rPr>
          <w:sz w:val="21"/>
          <w:szCs w:val="21"/>
        </w:rPr>
      </w:pPr>
      <w:r>
        <w:rPr>
          <w:rFonts w:hint="eastAsia"/>
          <w:sz w:val="21"/>
          <w:szCs w:val="21"/>
        </w:rPr>
        <w:t xml:space="preserve">22.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 </w:t>
      </w:r>
    </w:p>
    <w:p w14:paraId="21D867C1">
      <w:pPr>
        <w:pStyle w:val="7"/>
        <w:spacing w:before="0" w:beforeAutospacing="0" w:after="0" w:afterAutospacing="0" w:line="360" w:lineRule="auto"/>
        <w:ind w:firstLine="420"/>
        <w:rPr>
          <w:sz w:val="21"/>
          <w:szCs w:val="21"/>
        </w:rPr>
      </w:pPr>
      <w:r>
        <w:rPr>
          <w:rFonts w:hint="eastAsia"/>
          <w:sz w:val="21"/>
          <w:szCs w:val="21"/>
        </w:rPr>
        <w:t xml:space="preserve">23.投资人、投资者：指个人投资者、机构投资者、合格境外投资者以及法律法规或中国证监会允许购买证券投资基金的其他投资人的合称 </w:t>
      </w:r>
    </w:p>
    <w:p w14:paraId="13797BD0">
      <w:pPr>
        <w:pStyle w:val="7"/>
        <w:spacing w:before="0" w:beforeAutospacing="0" w:after="0" w:afterAutospacing="0" w:line="360" w:lineRule="auto"/>
        <w:ind w:firstLine="420"/>
        <w:rPr>
          <w:sz w:val="21"/>
          <w:szCs w:val="21"/>
        </w:rPr>
      </w:pPr>
      <w:r>
        <w:rPr>
          <w:rFonts w:hint="eastAsia"/>
          <w:sz w:val="21"/>
          <w:szCs w:val="21"/>
        </w:rPr>
        <w:t xml:space="preserve">24.基金份额持有人：指依基金合同和招募说明书合法取得基金份额的投资人 </w:t>
      </w:r>
    </w:p>
    <w:p w14:paraId="31A1F9CD">
      <w:pPr>
        <w:pStyle w:val="7"/>
        <w:spacing w:before="0" w:beforeAutospacing="0" w:after="0" w:afterAutospacing="0" w:line="360" w:lineRule="auto"/>
        <w:ind w:firstLine="420"/>
        <w:rPr>
          <w:sz w:val="21"/>
          <w:szCs w:val="21"/>
        </w:rPr>
      </w:pPr>
      <w:r>
        <w:rPr>
          <w:rFonts w:hint="eastAsia"/>
          <w:sz w:val="21"/>
          <w:szCs w:val="21"/>
        </w:rPr>
        <w:t xml:space="preserve">25.发售代理机构：指符合《销售办法》和中国证监会规定的其他条件，由基金管理人指定的代理本基金发售业务的机构 </w:t>
      </w:r>
    </w:p>
    <w:p w14:paraId="0DBD89E0">
      <w:pPr>
        <w:pStyle w:val="7"/>
        <w:spacing w:before="0" w:beforeAutospacing="0" w:after="0" w:afterAutospacing="0" w:line="360" w:lineRule="auto"/>
        <w:ind w:firstLine="420"/>
        <w:rPr>
          <w:sz w:val="21"/>
          <w:szCs w:val="21"/>
        </w:rPr>
      </w:pPr>
      <w:r>
        <w:rPr>
          <w:rFonts w:hint="eastAsia"/>
          <w:sz w:val="21"/>
          <w:szCs w:val="21"/>
        </w:rPr>
        <w:t xml:space="preserve">26.申购、赎回代理券商：指基金管理人指定的，在基金合同生效后代理办理本基金申购、赎回业务的证券公司，又称为代办证券公司 </w:t>
      </w:r>
    </w:p>
    <w:p w14:paraId="7FCA110F">
      <w:pPr>
        <w:pStyle w:val="7"/>
        <w:spacing w:before="0" w:beforeAutospacing="0" w:after="0" w:afterAutospacing="0" w:line="360" w:lineRule="auto"/>
        <w:ind w:firstLine="420"/>
        <w:rPr>
          <w:sz w:val="21"/>
          <w:szCs w:val="21"/>
        </w:rPr>
      </w:pPr>
      <w:r>
        <w:rPr>
          <w:rFonts w:hint="eastAsia"/>
          <w:sz w:val="21"/>
          <w:szCs w:val="21"/>
        </w:rPr>
        <w:t xml:space="preserve">27.直销机构：指博时基金管理有限公司 </w:t>
      </w:r>
    </w:p>
    <w:p w14:paraId="5DD025A5">
      <w:pPr>
        <w:pStyle w:val="7"/>
        <w:spacing w:before="0" w:beforeAutospacing="0" w:after="0" w:afterAutospacing="0" w:line="360" w:lineRule="auto"/>
        <w:ind w:firstLine="420"/>
        <w:rPr>
          <w:sz w:val="21"/>
          <w:szCs w:val="21"/>
        </w:rPr>
      </w:pPr>
      <w:r>
        <w:rPr>
          <w:rFonts w:hint="eastAsia"/>
          <w:sz w:val="21"/>
          <w:szCs w:val="21"/>
        </w:rPr>
        <w:t xml:space="preserve">28.代销机构：指符合《销售办法》和中国证监会规定的其他条件，取得基金销售业务资格并与基金管理人签订了基金销售服务协议，办理基金销售业务的机构，包括发售代理机构和申购、赎回代理券商（即代办证券公司） </w:t>
      </w:r>
    </w:p>
    <w:p w14:paraId="73C07F1C">
      <w:pPr>
        <w:pStyle w:val="7"/>
        <w:spacing w:before="0" w:beforeAutospacing="0" w:after="0" w:afterAutospacing="0" w:line="360" w:lineRule="auto"/>
        <w:ind w:firstLine="420"/>
        <w:rPr>
          <w:sz w:val="21"/>
          <w:szCs w:val="21"/>
        </w:rPr>
      </w:pPr>
      <w:r>
        <w:rPr>
          <w:rFonts w:hint="eastAsia"/>
          <w:sz w:val="21"/>
          <w:szCs w:val="21"/>
        </w:rPr>
        <w:t xml:space="preserve">29.销售机构：指直销机构与代销机构 </w:t>
      </w:r>
    </w:p>
    <w:p w14:paraId="1DBA9787">
      <w:pPr>
        <w:pStyle w:val="7"/>
        <w:spacing w:before="0" w:beforeAutospacing="0" w:after="0" w:afterAutospacing="0" w:line="360" w:lineRule="auto"/>
        <w:ind w:firstLine="420"/>
        <w:rPr>
          <w:sz w:val="21"/>
          <w:szCs w:val="21"/>
        </w:rPr>
      </w:pPr>
      <w:r>
        <w:rPr>
          <w:rFonts w:hint="eastAsia"/>
          <w:sz w:val="21"/>
          <w:szCs w:val="21"/>
        </w:rPr>
        <w:t xml:space="preserve">30.登记机构：指办理登记业务的机构。本基金的登记机构为中国证券登记结算有限责任公司 </w:t>
      </w:r>
    </w:p>
    <w:p w14:paraId="20E761EB">
      <w:pPr>
        <w:pStyle w:val="7"/>
        <w:spacing w:before="0" w:beforeAutospacing="0" w:after="0" w:afterAutospacing="0" w:line="360" w:lineRule="auto"/>
        <w:ind w:firstLine="420"/>
        <w:rPr>
          <w:sz w:val="21"/>
          <w:szCs w:val="21"/>
        </w:rPr>
      </w:pPr>
      <w:r>
        <w:rPr>
          <w:rFonts w:hint="eastAsia"/>
          <w:sz w:val="21"/>
          <w:szCs w:val="21"/>
        </w:rPr>
        <w:t xml:space="preserve">31.登记业务：指《中国证券登记结算有限责任公司关于交易所交易型开放式证券投资基金登记结算业务实施细则》及其不时修订以及相关业务规则所定义的基金份额的登记、存管、结算及相关业务 </w:t>
      </w:r>
    </w:p>
    <w:p w14:paraId="2327BF37">
      <w:pPr>
        <w:pStyle w:val="7"/>
        <w:spacing w:before="0" w:beforeAutospacing="0" w:after="0" w:afterAutospacing="0" w:line="360" w:lineRule="auto"/>
        <w:ind w:firstLine="420"/>
        <w:rPr>
          <w:sz w:val="21"/>
          <w:szCs w:val="21"/>
        </w:rPr>
      </w:pPr>
      <w:r>
        <w:rPr>
          <w:rFonts w:hint="eastAsia"/>
          <w:sz w:val="21"/>
          <w:szCs w:val="21"/>
        </w:rPr>
        <w:t xml:space="preserve">32.深圳证券账户：指深圳证券交易所人民币普通股票账户（即A股账户）或深圳证券交易所基金账户 </w:t>
      </w:r>
    </w:p>
    <w:p w14:paraId="417953F0">
      <w:pPr>
        <w:pStyle w:val="7"/>
        <w:spacing w:before="0" w:beforeAutospacing="0" w:after="0" w:afterAutospacing="0" w:line="360" w:lineRule="auto"/>
        <w:ind w:firstLine="420"/>
        <w:rPr>
          <w:sz w:val="21"/>
          <w:szCs w:val="21"/>
        </w:rPr>
      </w:pPr>
      <w:r>
        <w:rPr>
          <w:rFonts w:hint="eastAsia"/>
          <w:sz w:val="21"/>
          <w:szCs w:val="21"/>
        </w:rPr>
        <w:t xml:space="preserve">33.基金合同生效日：指基金募集达到法律法规规定及基金合同规定的条件，基金管理人向中国证监会办理基金备案手续完毕，并获得中国证监会书面确认的日期 </w:t>
      </w:r>
    </w:p>
    <w:p w14:paraId="729773C4">
      <w:pPr>
        <w:pStyle w:val="7"/>
        <w:spacing w:before="0" w:beforeAutospacing="0" w:after="0" w:afterAutospacing="0" w:line="360" w:lineRule="auto"/>
        <w:ind w:firstLine="420"/>
        <w:rPr>
          <w:sz w:val="21"/>
          <w:szCs w:val="21"/>
        </w:rPr>
      </w:pPr>
      <w:r>
        <w:rPr>
          <w:rFonts w:hint="eastAsia"/>
          <w:sz w:val="21"/>
          <w:szCs w:val="21"/>
        </w:rPr>
        <w:t xml:space="preserve">34.基金合同终止日：指基金合同规定的基金合同终止事由出现后，基金财产清算完毕，清算结果报中国证监会备案并予以公告的日期 </w:t>
      </w:r>
    </w:p>
    <w:p w14:paraId="4B04E9CB">
      <w:pPr>
        <w:pStyle w:val="7"/>
        <w:spacing w:before="0" w:beforeAutospacing="0" w:after="0" w:afterAutospacing="0" w:line="360" w:lineRule="auto"/>
        <w:ind w:firstLine="420"/>
        <w:rPr>
          <w:sz w:val="21"/>
          <w:szCs w:val="21"/>
        </w:rPr>
      </w:pPr>
      <w:r>
        <w:rPr>
          <w:rFonts w:hint="eastAsia"/>
          <w:sz w:val="21"/>
          <w:szCs w:val="21"/>
        </w:rPr>
        <w:t xml:space="preserve">35.基金募集期：指自基金份额发售之日起至发售结束之日止的期间，最长不得超过3个月 </w:t>
      </w:r>
    </w:p>
    <w:p w14:paraId="326156D7">
      <w:pPr>
        <w:pStyle w:val="7"/>
        <w:spacing w:before="0" w:beforeAutospacing="0" w:after="0" w:afterAutospacing="0" w:line="360" w:lineRule="auto"/>
        <w:ind w:firstLine="420"/>
        <w:rPr>
          <w:sz w:val="21"/>
          <w:szCs w:val="21"/>
        </w:rPr>
      </w:pPr>
      <w:r>
        <w:rPr>
          <w:rFonts w:hint="eastAsia"/>
          <w:sz w:val="21"/>
          <w:szCs w:val="21"/>
        </w:rPr>
        <w:t xml:space="preserve">36.存续期：指基金合同生效至终止之间的不定期期限 </w:t>
      </w:r>
    </w:p>
    <w:p w14:paraId="0CF674B1">
      <w:pPr>
        <w:pStyle w:val="7"/>
        <w:spacing w:before="0" w:beforeAutospacing="0" w:after="0" w:afterAutospacing="0" w:line="360" w:lineRule="auto"/>
        <w:ind w:firstLine="420"/>
        <w:rPr>
          <w:sz w:val="21"/>
          <w:szCs w:val="21"/>
        </w:rPr>
      </w:pPr>
      <w:r>
        <w:rPr>
          <w:rFonts w:hint="eastAsia"/>
          <w:sz w:val="21"/>
          <w:szCs w:val="21"/>
        </w:rPr>
        <w:t xml:space="preserve">37.工作日：指上海证券交易所、深圳证券交易所的正常交易日 </w:t>
      </w:r>
    </w:p>
    <w:p w14:paraId="4A4FB85D">
      <w:pPr>
        <w:pStyle w:val="7"/>
        <w:spacing w:before="0" w:beforeAutospacing="0" w:after="0" w:afterAutospacing="0" w:line="360" w:lineRule="auto"/>
        <w:ind w:firstLine="420"/>
        <w:rPr>
          <w:sz w:val="21"/>
          <w:szCs w:val="21"/>
        </w:rPr>
      </w:pPr>
      <w:r>
        <w:rPr>
          <w:rFonts w:hint="eastAsia"/>
          <w:sz w:val="21"/>
          <w:szCs w:val="21"/>
        </w:rPr>
        <w:t xml:space="preserve">38.T日：指销售机构在规定时间受理投资人申购、赎回或其他业务申请的开放日 </w:t>
      </w:r>
    </w:p>
    <w:p w14:paraId="25D1B683">
      <w:pPr>
        <w:pStyle w:val="7"/>
        <w:spacing w:before="0" w:beforeAutospacing="0" w:after="0" w:afterAutospacing="0" w:line="360" w:lineRule="auto"/>
        <w:ind w:firstLine="420"/>
        <w:rPr>
          <w:sz w:val="21"/>
          <w:szCs w:val="21"/>
        </w:rPr>
      </w:pPr>
      <w:r>
        <w:rPr>
          <w:rFonts w:hint="eastAsia"/>
          <w:sz w:val="21"/>
          <w:szCs w:val="21"/>
        </w:rPr>
        <w:t xml:space="preserve">39.T+n日：指自T日起第n个工作日（不包含T日） </w:t>
      </w:r>
    </w:p>
    <w:p w14:paraId="1B7E7B62">
      <w:pPr>
        <w:pStyle w:val="7"/>
        <w:spacing w:before="0" w:beforeAutospacing="0" w:after="0" w:afterAutospacing="0" w:line="360" w:lineRule="auto"/>
        <w:ind w:firstLine="420"/>
        <w:rPr>
          <w:sz w:val="21"/>
          <w:szCs w:val="21"/>
        </w:rPr>
      </w:pPr>
      <w:r>
        <w:rPr>
          <w:rFonts w:hint="eastAsia"/>
          <w:sz w:val="21"/>
          <w:szCs w:val="21"/>
        </w:rPr>
        <w:t xml:space="preserve">40.开放日：指为投资人办理基金份额申购、赎回或其他业务的港股通、深圳证券交易所同时正常开放交易的工作日 </w:t>
      </w:r>
    </w:p>
    <w:p w14:paraId="5A8FD7DD">
      <w:pPr>
        <w:pStyle w:val="7"/>
        <w:spacing w:before="0" w:beforeAutospacing="0" w:after="0" w:afterAutospacing="0" w:line="360" w:lineRule="auto"/>
        <w:ind w:firstLine="420"/>
        <w:rPr>
          <w:sz w:val="21"/>
          <w:szCs w:val="21"/>
        </w:rPr>
      </w:pPr>
      <w:r>
        <w:rPr>
          <w:rFonts w:hint="eastAsia"/>
          <w:sz w:val="21"/>
          <w:szCs w:val="21"/>
        </w:rPr>
        <w:t xml:space="preserve">41.开放时间：指开放日基金接受申购、赎回或其他交易的时间段 </w:t>
      </w:r>
    </w:p>
    <w:p w14:paraId="4200A0DC">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14:paraId="70EE3444">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43.申购：指基金合同生效后，投资人根据基金合同和招募说明书的规定，以申购赎回清单规定的申购对价申请购买基金份额的行为 </w:t>
      </w:r>
    </w:p>
    <w:p w14:paraId="781DBE69">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44.赎回：指基金合同生效后，基金份额持有人按基金合同和招募说明书规定的条件要求将本基金份额兑换为申购赎回清单规定的赎回对价的行为 </w:t>
      </w:r>
    </w:p>
    <w:p w14:paraId="65CE673A">
      <w:pPr>
        <w:pStyle w:val="7"/>
        <w:spacing w:before="0" w:beforeAutospacing="0" w:after="0" w:afterAutospacing="0" w:line="360" w:lineRule="auto"/>
        <w:ind w:firstLine="420"/>
        <w:rPr>
          <w:sz w:val="21"/>
          <w:szCs w:val="21"/>
        </w:rPr>
      </w:pPr>
      <w:r>
        <w:rPr>
          <w:rFonts w:hint="eastAsia"/>
          <w:sz w:val="21"/>
          <w:szCs w:val="21"/>
        </w:rPr>
        <w:t xml:space="preserve">45.申购赎回清单：指由基金管理人编制的用以公告申购对价、赎回对价等信息的文件 </w:t>
      </w:r>
    </w:p>
    <w:p w14:paraId="15CAF222">
      <w:pPr>
        <w:pStyle w:val="7"/>
        <w:spacing w:before="0" w:beforeAutospacing="0" w:after="0" w:afterAutospacing="0" w:line="360" w:lineRule="auto"/>
        <w:ind w:firstLine="420"/>
        <w:rPr>
          <w:sz w:val="21"/>
          <w:szCs w:val="21"/>
        </w:rPr>
      </w:pPr>
      <w:r>
        <w:rPr>
          <w:rFonts w:hint="eastAsia"/>
          <w:sz w:val="21"/>
          <w:szCs w:val="21"/>
        </w:rPr>
        <w:t xml:space="preserve">46.申购对价：指投资人申购基金份额时，按基金合同和招募说明书规定应交付的现金替代、现金差额和/或其他对价 </w:t>
      </w:r>
    </w:p>
    <w:p w14:paraId="71DA36E2">
      <w:pPr>
        <w:pStyle w:val="7"/>
        <w:spacing w:before="0" w:beforeAutospacing="0" w:after="0" w:afterAutospacing="0" w:line="360" w:lineRule="auto"/>
        <w:ind w:firstLine="420"/>
        <w:rPr>
          <w:sz w:val="21"/>
          <w:szCs w:val="21"/>
        </w:rPr>
      </w:pPr>
      <w:r>
        <w:rPr>
          <w:rFonts w:hint="eastAsia"/>
          <w:sz w:val="21"/>
          <w:szCs w:val="21"/>
        </w:rPr>
        <w:t xml:space="preserve">47.赎回对价：指投资人赎回基金份额时，基金管理人按基金合同和招募说明书规定应交付给赎回人的现金替代、现金差额和/或其他对价 </w:t>
      </w:r>
    </w:p>
    <w:p w14:paraId="7203DCDA">
      <w:pPr>
        <w:pStyle w:val="7"/>
        <w:spacing w:before="0" w:beforeAutospacing="0" w:after="0" w:afterAutospacing="0" w:line="360" w:lineRule="auto"/>
        <w:ind w:firstLine="420"/>
        <w:rPr>
          <w:sz w:val="21"/>
          <w:szCs w:val="21"/>
        </w:rPr>
      </w:pPr>
      <w:r>
        <w:rPr>
          <w:rFonts w:hint="eastAsia"/>
          <w:sz w:val="21"/>
          <w:szCs w:val="21"/>
        </w:rPr>
        <w:t xml:space="preserve">48.组合证券：指本基金标的指数所包含的全部或部分证券 </w:t>
      </w:r>
    </w:p>
    <w:p w14:paraId="2EEB527C">
      <w:pPr>
        <w:pStyle w:val="7"/>
        <w:spacing w:before="0" w:beforeAutospacing="0" w:after="0" w:afterAutospacing="0" w:line="360" w:lineRule="auto"/>
        <w:ind w:firstLine="420"/>
        <w:rPr>
          <w:sz w:val="21"/>
          <w:szCs w:val="21"/>
        </w:rPr>
      </w:pPr>
      <w:r>
        <w:rPr>
          <w:rFonts w:hint="eastAsia"/>
          <w:sz w:val="21"/>
          <w:szCs w:val="21"/>
        </w:rPr>
        <w:t xml:space="preserve">49.标的指数：指恒生港股通科技主题指数及其未来可能发生的变更 </w:t>
      </w:r>
    </w:p>
    <w:p w14:paraId="6DC73441">
      <w:pPr>
        <w:pStyle w:val="7"/>
        <w:spacing w:before="0" w:beforeAutospacing="0" w:after="0" w:afterAutospacing="0" w:line="360" w:lineRule="auto"/>
        <w:ind w:firstLine="420"/>
        <w:rPr>
          <w:sz w:val="21"/>
          <w:szCs w:val="21"/>
        </w:rPr>
      </w:pPr>
      <w:r>
        <w:rPr>
          <w:rFonts w:hint="eastAsia"/>
          <w:sz w:val="21"/>
          <w:szCs w:val="21"/>
        </w:rPr>
        <w:t xml:space="preserve">50.完全复制法：指一种跟踪指数的方法。通过购买标的指数中的所有成份证券，并且按照每种成份证券在标的指数中的权重确定购买的比例以构建指数组合，达到复制指数的目的 </w:t>
      </w:r>
    </w:p>
    <w:p w14:paraId="13FBDDE8">
      <w:pPr>
        <w:pStyle w:val="7"/>
        <w:spacing w:before="0" w:beforeAutospacing="0" w:after="0" w:afterAutospacing="0" w:line="360" w:lineRule="auto"/>
        <w:ind w:firstLine="420"/>
        <w:rPr>
          <w:sz w:val="21"/>
          <w:szCs w:val="21"/>
        </w:rPr>
      </w:pPr>
      <w:r>
        <w:rPr>
          <w:rFonts w:hint="eastAsia"/>
          <w:sz w:val="21"/>
          <w:szCs w:val="21"/>
        </w:rPr>
        <w:t xml:space="preserve">51.现金替代：指申购、赎回过程中，投资人按基金合同和招募说明书的规定，用于替代组合证券中部分证券的一定数量的现金 </w:t>
      </w:r>
    </w:p>
    <w:p w14:paraId="12031F9B">
      <w:pPr>
        <w:pStyle w:val="7"/>
        <w:spacing w:before="0" w:beforeAutospacing="0" w:after="0" w:afterAutospacing="0" w:line="360" w:lineRule="auto"/>
        <w:ind w:firstLine="420"/>
        <w:rPr>
          <w:sz w:val="21"/>
          <w:szCs w:val="21"/>
        </w:rPr>
      </w:pPr>
      <w:r>
        <w:rPr>
          <w:rFonts w:hint="eastAsia"/>
          <w:sz w:val="21"/>
          <w:szCs w:val="21"/>
        </w:rPr>
        <w:t xml:space="preserve">52.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3ECD90EF">
      <w:pPr>
        <w:pStyle w:val="7"/>
        <w:spacing w:before="0" w:beforeAutospacing="0" w:after="0" w:afterAutospacing="0" w:line="360" w:lineRule="auto"/>
        <w:ind w:firstLine="420"/>
        <w:rPr>
          <w:sz w:val="21"/>
          <w:szCs w:val="21"/>
        </w:rPr>
      </w:pPr>
      <w:r>
        <w:rPr>
          <w:rFonts w:hint="eastAsia"/>
          <w:sz w:val="21"/>
          <w:szCs w:val="21"/>
        </w:rPr>
        <w:t xml:space="preserve">53.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 </w:t>
      </w:r>
    </w:p>
    <w:p w14:paraId="7691BFA4">
      <w:pPr>
        <w:pStyle w:val="7"/>
        <w:spacing w:before="0" w:beforeAutospacing="0" w:after="0" w:afterAutospacing="0" w:line="360" w:lineRule="auto"/>
        <w:ind w:firstLine="420"/>
        <w:rPr>
          <w:sz w:val="21"/>
          <w:szCs w:val="21"/>
        </w:rPr>
      </w:pPr>
      <w:r>
        <w:rPr>
          <w:rFonts w:hint="eastAsia"/>
          <w:sz w:val="21"/>
          <w:szCs w:val="21"/>
        </w:rPr>
        <w:t xml:space="preserve">54.最小申购、赎回单位：指本基金申购、赎回份额的最低数量，投资人申购、赎回的基金份额应为最小申购、赎回单位的整数倍 </w:t>
      </w:r>
    </w:p>
    <w:p w14:paraId="59C80C90">
      <w:pPr>
        <w:pStyle w:val="7"/>
        <w:spacing w:before="0" w:beforeAutospacing="0" w:after="0" w:afterAutospacing="0" w:line="360" w:lineRule="auto"/>
        <w:ind w:firstLine="420"/>
        <w:rPr>
          <w:sz w:val="21"/>
          <w:szCs w:val="21"/>
        </w:rPr>
      </w:pPr>
      <w:r>
        <w:rPr>
          <w:rFonts w:hint="eastAsia"/>
          <w:sz w:val="21"/>
          <w:szCs w:val="21"/>
        </w:rPr>
        <w:t xml:space="preserve">55.基金份额参考净值：指基金管理人或基金管理人委托其他机构在相关证券交易所交易时间内根据申购赎回清单和组合证券内各只证券的实时成交数据及汇率数据计算并通过深圳证券交易所发布的基金份额参考净值，简称IOPV </w:t>
      </w:r>
    </w:p>
    <w:p w14:paraId="09445A7D">
      <w:pPr>
        <w:pStyle w:val="7"/>
        <w:spacing w:before="0" w:beforeAutospacing="0" w:after="0" w:afterAutospacing="0" w:line="360" w:lineRule="auto"/>
        <w:ind w:firstLine="420"/>
        <w:rPr>
          <w:sz w:val="21"/>
          <w:szCs w:val="21"/>
        </w:rPr>
      </w:pPr>
      <w:r>
        <w:rPr>
          <w:rFonts w:hint="eastAsia"/>
          <w:sz w:val="21"/>
          <w:szCs w:val="21"/>
        </w:rPr>
        <w:t xml:space="preserve">56.预估现金差额：指为便于计算基金份额参考净值及申购、赎回代理券商预先冻结申请申购、赎回的投资人的相应资金，由基金管理人计算并公布的现金差额的预估值 </w:t>
      </w:r>
    </w:p>
    <w:p w14:paraId="06B5DDD2">
      <w:pPr>
        <w:pStyle w:val="7"/>
        <w:spacing w:before="0" w:beforeAutospacing="0" w:after="0" w:afterAutospacing="0" w:line="360" w:lineRule="auto"/>
        <w:ind w:firstLine="420"/>
        <w:rPr>
          <w:sz w:val="21"/>
          <w:szCs w:val="21"/>
        </w:rPr>
      </w:pPr>
      <w:r>
        <w:rPr>
          <w:rFonts w:hint="eastAsia"/>
          <w:sz w:val="21"/>
          <w:szCs w:val="21"/>
        </w:rPr>
        <w:t xml:space="preserve">57.元：指人民币元 </w:t>
      </w:r>
    </w:p>
    <w:p w14:paraId="6554C12C">
      <w:pPr>
        <w:pStyle w:val="7"/>
        <w:spacing w:before="0" w:beforeAutospacing="0" w:after="0" w:afterAutospacing="0" w:line="360" w:lineRule="auto"/>
        <w:ind w:firstLine="420"/>
        <w:rPr>
          <w:sz w:val="21"/>
          <w:szCs w:val="21"/>
        </w:rPr>
      </w:pPr>
      <w:r>
        <w:rPr>
          <w:rFonts w:hint="eastAsia"/>
          <w:sz w:val="21"/>
          <w:szCs w:val="21"/>
        </w:rPr>
        <w:t xml:space="preserve">58.基金收益：指基金投资所得红利、股息、债券利息、买卖证券价差、银行存款利息、已实现的其他合法收入及因运用基金财产带来的成本和费用的节约 </w:t>
      </w:r>
    </w:p>
    <w:p w14:paraId="7DE62315">
      <w:pPr>
        <w:pStyle w:val="7"/>
        <w:spacing w:before="0" w:beforeAutospacing="0" w:after="0" w:afterAutospacing="0" w:line="360" w:lineRule="auto"/>
        <w:ind w:firstLine="420"/>
        <w:rPr>
          <w:sz w:val="21"/>
          <w:szCs w:val="21"/>
        </w:rPr>
      </w:pPr>
      <w:r>
        <w:rPr>
          <w:rFonts w:hint="eastAsia"/>
          <w:sz w:val="21"/>
          <w:szCs w:val="21"/>
        </w:rPr>
        <w:t xml:space="preserve">59.基金份额折算：指基金管理人根据基金合同规定将投资人的基金份额进行变更登记的行为 </w:t>
      </w:r>
    </w:p>
    <w:p w14:paraId="1D32B95E">
      <w:pPr>
        <w:pStyle w:val="7"/>
        <w:spacing w:before="0" w:beforeAutospacing="0" w:after="0" w:afterAutospacing="0" w:line="360" w:lineRule="auto"/>
        <w:ind w:firstLine="420"/>
        <w:rPr>
          <w:sz w:val="21"/>
          <w:szCs w:val="21"/>
        </w:rPr>
      </w:pPr>
      <w:r>
        <w:rPr>
          <w:rFonts w:hint="eastAsia"/>
          <w:sz w:val="21"/>
          <w:szCs w:val="21"/>
        </w:rPr>
        <w:t xml:space="preserve">60.收益评价日：指基金管理人计算本基金份额净值增长率与标的指数同期增长率差额之日 </w:t>
      </w:r>
    </w:p>
    <w:p w14:paraId="32C585C9">
      <w:pPr>
        <w:pStyle w:val="7"/>
        <w:spacing w:before="0" w:beforeAutospacing="0" w:after="0" w:afterAutospacing="0" w:line="360" w:lineRule="auto"/>
        <w:ind w:firstLine="420"/>
        <w:rPr>
          <w:sz w:val="21"/>
          <w:szCs w:val="21"/>
        </w:rPr>
      </w:pPr>
      <w:r>
        <w:rPr>
          <w:rFonts w:hint="eastAsia"/>
          <w:sz w:val="21"/>
          <w:szCs w:val="21"/>
        </w:rPr>
        <w:t xml:space="preserve">61.基金份额净值增长率：指收益评价日基金份额净值与基金上市前一交易日基金份额净值之比减去1乘以100%（期间发生基金份额折算、拆分或合并，则以基金份额折算日、经拆分或合并调整后的基金份额折算日为初始日重新计算） </w:t>
      </w:r>
    </w:p>
    <w:p w14:paraId="4092C78A">
      <w:pPr>
        <w:pStyle w:val="7"/>
        <w:spacing w:before="0" w:beforeAutospacing="0" w:after="0" w:afterAutospacing="0" w:line="360" w:lineRule="auto"/>
        <w:ind w:firstLine="420"/>
        <w:rPr>
          <w:sz w:val="21"/>
          <w:szCs w:val="21"/>
        </w:rPr>
      </w:pPr>
      <w:r>
        <w:rPr>
          <w:rFonts w:hint="eastAsia"/>
          <w:sz w:val="21"/>
          <w:szCs w:val="21"/>
        </w:rPr>
        <w:t xml:space="preserve">62.标的指数同期增长率：指收益评价日标的指数收盘价与基金上市前一交易日标的指数收盘价之比减去1乘以100%（期间发生基金份额折算、拆分或合并，则以基金份额折算日、经拆分或合并调整后的基金份额折算日为初始日重新计算） </w:t>
      </w:r>
    </w:p>
    <w:p w14:paraId="4C95A36D">
      <w:pPr>
        <w:pStyle w:val="7"/>
        <w:spacing w:before="0" w:beforeAutospacing="0" w:after="0" w:afterAutospacing="0" w:line="360" w:lineRule="auto"/>
        <w:ind w:firstLine="420"/>
        <w:rPr>
          <w:sz w:val="21"/>
          <w:szCs w:val="21"/>
        </w:rPr>
      </w:pPr>
      <w:r>
        <w:rPr>
          <w:rFonts w:hint="eastAsia"/>
          <w:sz w:val="21"/>
          <w:szCs w:val="21"/>
        </w:rPr>
        <w:t xml:space="preserve">63.基金资产总值：指基金拥有的各类有价证券、银行存款本息、基金应收款项及其他资产的价值总和 </w:t>
      </w:r>
    </w:p>
    <w:p w14:paraId="2391891C">
      <w:pPr>
        <w:pStyle w:val="7"/>
        <w:spacing w:before="0" w:beforeAutospacing="0" w:after="0" w:afterAutospacing="0" w:line="360" w:lineRule="auto"/>
        <w:ind w:firstLine="420"/>
        <w:rPr>
          <w:sz w:val="21"/>
          <w:szCs w:val="21"/>
        </w:rPr>
      </w:pPr>
      <w:r>
        <w:rPr>
          <w:rFonts w:hint="eastAsia"/>
          <w:sz w:val="21"/>
          <w:szCs w:val="21"/>
        </w:rPr>
        <w:t xml:space="preserve">64.基金资产净值：指基金资产总值减去基金负债后的价值 </w:t>
      </w:r>
    </w:p>
    <w:p w14:paraId="2A7F53CC">
      <w:pPr>
        <w:pStyle w:val="7"/>
        <w:spacing w:before="0" w:beforeAutospacing="0" w:after="0" w:afterAutospacing="0" w:line="360" w:lineRule="auto"/>
        <w:ind w:firstLine="420"/>
        <w:rPr>
          <w:sz w:val="21"/>
          <w:szCs w:val="21"/>
        </w:rPr>
      </w:pPr>
      <w:r>
        <w:rPr>
          <w:rFonts w:hint="eastAsia"/>
          <w:sz w:val="21"/>
          <w:szCs w:val="21"/>
        </w:rPr>
        <w:t xml:space="preserve">65.基金份额净值：指计算日基金资产净值除以计算日基金份额总数 </w:t>
      </w:r>
    </w:p>
    <w:p w14:paraId="01C43F14">
      <w:pPr>
        <w:pStyle w:val="7"/>
        <w:spacing w:before="0" w:beforeAutospacing="0" w:after="0" w:afterAutospacing="0" w:line="360" w:lineRule="auto"/>
        <w:ind w:firstLine="420"/>
        <w:rPr>
          <w:sz w:val="21"/>
          <w:szCs w:val="21"/>
        </w:rPr>
      </w:pPr>
      <w:r>
        <w:rPr>
          <w:rFonts w:hint="eastAsia"/>
          <w:sz w:val="21"/>
          <w:szCs w:val="21"/>
        </w:rPr>
        <w:t xml:space="preserve">66.基金资产估值：指计算评估基金资产和负债的价值，以确定基金资产净值和基金份额净值的过程 </w:t>
      </w:r>
    </w:p>
    <w:p w14:paraId="6032A860">
      <w:pPr>
        <w:pStyle w:val="7"/>
        <w:spacing w:before="0" w:beforeAutospacing="0" w:after="0" w:afterAutospacing="0" w:line="360" w:lineRule="auto"/>
        <w:ind w:firstLine="420"/>
        <w:rPr>
          <w:sz w:val="21"/>
          <w:szCs w:val="21"/>
        </w:rPr>
      </w:pPr>
      <w:r>
        <w:rPr>
          <w:rFonts w:hint="eastAsia"/>
          <w:sz w:val="21"/>
          <w:szCs w:val="21"/>
        </w:rPr>
        <w:t xml:space="preserve">67.规定媒介：指符合中国证监会规定条件的用以进行信息披露的全国性报刊及《信息披露办法》规定的互联网网站（包括基金管理人网站、基金托管人网站、中国证监会基金电子披露网站）等媒介 </w:t>
      </w:r>
    </w:p>
    <w:p w14:paraId="3FD8096D">
      <w:pPr>
        <w:pStyle w:val="7"/>
        <w:spacing w:before="0" w:beforeAutospacing="0" w:after="0" w:afterAutospacing="0" w:line="360" w:lineRule="auto"/>
        <w:ind w:firstLine="420"/>
        <w:rPr>
          <w:sz w:val="21"/>
          <w:szCs w:val="21"/>
        </w:rPr>
      </w:pPr>
      <w:r>
        <w:rPr>
          <w:rFonts w:hint="eastAsia"/>
          <w:sz w:val="21"/>
          <w:szCs w:val="21"/>
        </w:rPr>
        <w:t xml:space="preserve">68.交易型开放式指数证券投资基金：指《深圳证券交易所证券投资基金交易和申购赎回实施细则》定义的“交易型开放式基金”，简称“ETF” </w:t>
      </w:r>
    </w:p>
    <w:p w14:paraId="160657CD">
      <w:pPr>
        <w:pStyle w:val="7"/>
        <w:spacing w:before="0" w:beforeAutospacing="0" w:after="0" w:afterAutospacing="0" w:line="360" w:lineRule="auto"/>
        <w:ind w:firstLine="420"/>
        <w:rPr>
          <w:sz w:val="21"/>
          <w:szCs w:val="21"/>
        </w:rPr>
      </w:pPr>
      <w:r>
        <w:rPr>
          <w:rFonts w:hint="eastAsia"/>
          <w:sz w:val="21"/>
          <w:szCs w:val="21"/>
        </w:rPr>
        <w:t xml:space="preserve">69.联接基金：指将绝大部分基金财产投资于跟踪同一标的指数的本基金（即目标ETF），紧密跟踪标的指数表现，追求跟踪偏离度和跟踪误差最小化，获得与指数收益相似的回报，采用开放式运作方式的基金 </w:t>
      </w:r>
    </w:p>
    <w:p w14:paraId="34BD90B2">
      <w:pPr>
        <w:pStyle w:val="7"/>
        <w:spacing w:before="0" w:beforeAutospacing="0" w:after="0" w:afterAutospacing="0" w:line="360" w:lineRule="auto"/>
        <w:ind w:firstLine="420"/>
        <w:rPr>
          <w:sz w:val="21"/>
          <w:szCs w:val="21"/>
        </w:rPr>
      </w:pPr>
      <w:r>
        <w:rPr>
          <w:rFonts w:hint="eastAsia"/>
          <w:sz w:val="21"/>
          <w:szCs w:val="21"/>
        </w:rPr>
        <w:t xml:space="preserve">70.内地与香港股票市场交易互联互通机制：指内地证券交易所分别和香港联合交易所有限公司（以下简称香港联合交易所）建立技术连接，使内地和香港投资者可以通过当地证券公司或经纪商买卖规定范围内的对方交易所上市的股票 </w:t>
      </w:r>
    </w:p>
    <w:p w14:paraId="692943E1">
      <w:pPr>
        <w:pStyle w:val="7"/>
        <w:spacing w:before="0" w:beforeAutospacing="0" w:after="0" w:afterAutospacing="0" w:line="360" w:lineRule="auto"/>
        <w:ind w:firstLine="420"/>
        <w:rPr>
          <w:sz w:val="21"/>
          <w:szCs w:val="21"/>
        </w:rPr>
      </w:pPr>
      <w:r>
        <w:rPr>
          <w:rFonts w:hint="eastAsia"/>
          <w:sz w:val="21"/>
          <w:szCs w:val="21"/>
        </w:rPr>
        <w:t xml:space="preserve">71.港股通：指内地投资者委托内地证券公司，经由内地证券交易所或经中国证监会认可的机构设立的证券交易服务公司，向香港联合交易所有限公司进行申报，买卖规定范围内的香港联合交易所上市的股票 </w:t>
      </w:r>
    </w:p>
    <w:p w14:paraId="57BEF759">
      <w:pPr>
        <w:pStyle w:val="7"/>
        <w:spacing w:before="0" w:beforeAutospacing="0" w:after="0" w:afterAutospacing="0" w:line="360" w:lineRule="auto"/>
        <w:ind w:firstLine="420"/>
        <w:rPr>
          <w:sz w:val="21"/>
          <w:szCs w:val="21"/>
        </w:rPr>
      </w:pPr>
      <w:r>
        <w:rPr>
          <w:rFonts w:hint="eastAsia"/>
          <w:sz w:val="21"/>
          <w:szCs w:val="21"/>
        </w:rPr>
        <w:t xml:space="preserve">72.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26CE029C">
      <w:pPr>
        <w:pStyle w:val="7"/>
        <w:spacing w:before="0" w:beforeAutospacing="0" w:after="0" w:afterAutospacing="0" w:line="360" w:lineRule="auto"/>
        <w:ind w:firstLine="420"/>
        <w:rPr>
          <w:sz w:val="21"/>
          <w:szCs w:val="21"/>
        </w:rPr>
      </w:pPr>
      <w:r>
        <w:rPr>
          <w:rFonts w:hint="eastAsia"/>
          <w:sz w:val="21"/>
          <w:szCs w:val="21"/>
        </w:rPr>
        <w:t xml:space="preserve">73.转融通证券出借业务：指基金以一定的费率通过证券交易所综合业务平台向中国证券金融股份有限公司（以下简称证券金融公司）出借证券，证券金融公司到期归还所借证券及相应权益补偿并支付费用的业务 </w:t>
      </w:r>
    </w:p>
    <w:p w14:paraId="07A7F1C9">
      <w:pPr>
        <w:pStyle w:val="7"/>
        <w:spacing w:before="0" w:beforeAutospacing="0" w:after="0" w:afterAutospacing="0" w:line="360" w:lineRule="auto"/>
        <w:ind w:firstLine="420"/>
        <w:rPr>
          <w:sz w:val="21"/>
          <w:szCs w:val="21"/>
        </w:rPr>
      </w:pPr>
      <w:r>
        <w:rPr>
          <w:rFonts w:hint="eastAsia"/>
          <w:sz w:val="21"/>
          <w:szCs w:val="21"/>
        </w:rPr>
        <w:t xml:space="preserve">74.中国法律：指中华人民共和国法律，就基金合同而言，不包括香港特别行政区、澳门特别行政区法律和台湾地区的有关规定 </w:t>
      </w:r>
    </w:p>
    <w:p w14:paraId="7E90233A">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 xml:space="preserve">75.不可抗力：指基金合同当事人不能预见、不能避免且不能克服的客观事件 </w:t>
      </w:r>
    </w:p>
    <w:p w14:paraId="25424301">
      <w:pPr>
        <w:widowControl/>
        <w:jc w:val="left"/>
        <w:rPr>
          <w:rFonts w:ascii="宋体" w:hAnsi="宋体" w:eastAsia="宋体"/>
        </w:rPr>
      </w:pPr>
      <w:r>
        <w:rPr>
          <w:rFonts w:ascii="宋体" w:hAnsi="宋体" w:eastAsia="宋体"/>
        </w:rPr>
        <w:br w:type="page"/>
      </w:r>
    </w:p>
    <w:p w14:paraId="3FD52C64">
      <w:pPr>
        <w:pStyle w:val="2"/>
        <w:jc w:val="center"/>
        <w:rPr>
          <w:rFonts w:ascii="宋体" w:hAnsi="宋体" w:eastAsia="宋体"/>
          <w:sz w:val="30"/>
        </w:rPr>
      </w:pPr>
      <w:bookmarkStart w:id="25" w:name="chapter_level1_5_53"/>
      <w:bookmarkStart w:id="26" w:name="_Toc14463"/>
      <w:r>
        <w:rPr>
          <w:rFonts w:hint="eastAsia" w:ascii="宋体" w:hAnsi="宋体" w:eastAsia="宋体"/>
          <w:sz w:val="30"/>
        </w:rPr>
        <w:t>第三部分  基金管理人</w:t>
      </w:r>
      <w:bookmarkEnd w:id="25"/>
      <w:bookmarkEnd w:id="26"/>
    </w:p>
    <w:p w14:paraId="6CFB02CE">
      <w:pPr>
        <w:pStyle w:val="7"/>
        <w:spacing w:before="0" w:beforeAutospacing="0" w:after="0" w:afterAutospacing="0" w:line="360" w:lineRule="auto"/>
        <w:ind w:firstLine="420"/>
        <w:rPr>
          <w:sz w:val="21"/>
          <w:szCs w:val="21"/>
        </w:rPr>
      </w:pPr>
      <w:bookmarkStart w:id="27" w:name="chapter_level1_5_53_section_1"/>
      <w:bookmarkEnd w:id="27"/>
      <w:r>
        <w:rPr>
          <w:rStyle w:val="11"/>
          <w:rFonts w:hint="eastAsia"/>
          <w:sz w:val="21"/>
          <w:szCs w:val="21"/>
        </w:rPr>
        <w:t>一、基金管理人概况</w:t>
      </w:r>
    </w:p>
    <w:p w14:paraId="2AD5392E">
      <w:pPr>
        <w:pStyle w:val="7"/>
        <w:spacing w:before="0" w:beforeAutospacing="0" w:after="0" w:afterAutospacing="0" w:line="360" w:lineRule="auto"/>
        <w:ind w:firstLine="420"/>
        <w:rPr>
          <w:sz w:val="21"/>
          <w:szCs w:val="21"/>
        </w:rPr>
      </w:pPr>
      <w:bookmarkStart w:id="28" w:name="field_0_managercompanyinfo_1_start"/>
      <w:bookmarkEnd w:id="28"/>
      <w:r>
        <w:rPr>
          <w:rFonts w:hint="eastAsia"/>
          <w:sz w:val="21"/>
          <w:szCs w:val="21"/>
        </w:rPr>
        <w:t xml:space="preserve">名称： 博时基金管理有限公司 </w:t>
      </w:r>
    </w:p>
    <w:p w14:paraId="411D56BD">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4514204">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5BE09699">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7E7346E0">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0DE26EF4">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6BA19B93">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17948CDF">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11F788F4">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23AE5E4C">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0A8708A3">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516DB6BF">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9" w:name="field_0_managercompanyinfo_1_end"/>
      <w:bookmarkEnd w:id="29"/>
      <w:r>
        <w:rPr>
          <w:rFonts w:hint="eastAsia"/>
          <w:sz w:val="21"/>
          <w:szCs w:val="21"/>
        </w:rPr>
        <w:t xml:space="preserve">  </w:t>
      </w:r>
    </w:p>
    <w:p w14:paraId="1AC59166">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1D41CEF0">
      <w:pPr>
        <w:pStyle w:val="7"/>
        <w:spacing w:before="0" w:beforeAutospacing="0" w:after="0" w:afterAutospacing="0" w:line="360" w:lineRule="auto"/>
        <w:ind w:firstLine="420"/>
        <w:rPr>
          <w:sz w:val="21"/>
          <w:szCs w:val="21"/>
        </w:rPr>
      </w:pPr>
      <w:bookmarkStart w:id="30" w:name="field_0_managerpersoninfo_1_start"/>
      <w:bookmarkEnd w:id="30"/>
      <w:r>
        <w:rPr>
          <w:rFonts w:hint="eastAsia"/>
          <w:sz w:val="21"/>
          <w:szCs w:val="21"/>
        </w:rPr>
        <w:t xml:space="preserve">1、基金管理人董事会成员 </w:t>
      </w:r>
    </w:p>
    <w:p w14:paraId="389DEBEB">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007C2CE5">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4E7A88F8">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11E6F479">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60BDA145">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1443BCEB">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44EF139F">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14C72F85">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01545980">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007A8AF0">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0CA23A05">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457595B8">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13BC8A8D">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4342BE8B">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0A0BDA33">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20182717">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1" w:name="chapter_level1_5_53_section_1_end"/>
      <w:bookmarkEnd w:id="31"/>
      <w:r>
        <w:rPr>
          <w:rFonts w:hint="eastAsia"/>
          <w:sz w:val="21"/>
          <w:szCs w:val="21"/>
        </w:rPr>
        <w:t xml:space="preserve">资产管理有限公司合规总监。2024年加入博时基金管理有限公司，现任公司督察长。 </w:t>
      </w:r>
      <w:bookmarkStart w:id="32" w:name="field_0_managerpersoninfo_1_end"/>
      <w:bookmarkEnd w:id="32"/>
      <w:r>
        <w:rPr>
          <w:rFonts w:hint="eastAsia"/>
          <w:sz w:val="21"/>
          <w:szCs w:val="21"/>
        </w:rPr>
        <w:t xml:space="preserve">  </w:t>
      </w:r>
    </w:p>
    <w:p w14:paraId="14AD78AE">
      <w:pPr>
        <w:pStyle w:val="7"/>
        <w:spacing w:before="0" w:beforeAutospacing="0" w:after="0" w:afterAutospacing="0" w:line="360" w:lineRule="auto"/>
        <w:ind w:firstLine="420"/>
        <w:rPr>
          <w:sz w:val="21"/>
          <w:szCs w:val="21"/>
        </w:rPr>
      </w:pPr>
      <w:bookmarkStart w:id="33" w:name="chapter_level1_5_53_section_2"/>
      <w:bookmarkEnd w:id="33"/>
      <w:r>
        <w:rPr>
          <w:rFonts w:hint="eastAsia"/>
          <w:sz w:val="21"/>
          <w:szCs w:val="21"/>
        </w:rPr>
        <w:t xml:space="preserve">3、本基金基金经理 </w:t>
      </w:r>
    </w:p>
    <w:p w14:paraId="25E10456">
      <w:pPr>
        <w:pStyle w:val="7"/>
        <w:spacing w:before="0" w:beforeAutospacing="0" w:after="0" w:afterAutospacing="0" w:line="360" w:lineRule="auto"/>
        <w:ind w:firstLine="420"/>
        <w:rPr>
          <w:sz w:val="21"/>
          <w:szCs w:val="21"/>
        </w:rPr>
      </w:pPr>
      <w:bookmarkStart w:id="34" w:name="field_0_fundmanagerresume_1_start"/>
      <w:bookmarkEnd w:id="34"/>
      <w:r>
        <w:rPr>
          <w:rFonts w:hint="eastAsia"/>
          <w:sz w:val="21"/>
          <w:szCs w:val="21"/>
        </w:rPr>
        <w:t>李庆阳先生，硕士。2010年从华南理工大学硕士研究生毕业后加入博时基金管理有限公司，历任高级程序员、高级系统运维经理。2016年调任博时资本，任投资经理。2018年再次加入博时基金管理有限公司。现任博时创业板指数证券投资基金(2024年2月2日—至今)、上证超级大盘交易型开放式指数证券投资基金(2024年2月2日—至今)、博时上证超级大盘交易型开放式指数证券投资基金联接基金(2024年2月2日—至今)、博时中证港股通互联网交易型开放式指数证券投资基金(2024年2月8日—至今)、博时中证传媒指数型发起式证券投资基金(2024年3月5日—至今)、博时国证消费电子主题指数型发起式证券投资基金(2024年4月23日—至今)、博时中证全指通信设备指数型发起式证券投资基金(2024年5月7日—至今)、博时中证汽车零部件主题指数型发起式证券投资基金(2024年5月21日—至今)、博时中证信息技术应用创新产业指数型发起式证券投资基金(2024年6月4日—至今)、博时上证科创板芯片交易型开放式指数证券投资基金(2024年8月8日—至今)、博时上证科创板人工智能交易型开放式指数证券投资基金(2024年12月31日—至今)、博时上证科创板芯片交易型开放式指数证券投资基金发起式联接基金(2025年1月21日—至今)、博时上证科创板人工智能交易型开放式指数证券投资基金发起式联接基金(2025年3月11日—至今)、博时中证卫星产业指数型证券投资基金(2025年11月17日—至今)、博时中证港股通互联网交易型开放式指数证券投资基金发起式联接基金(2025年11月18日—至今)、博时恒生港股通科技主题交易型开放式指数证券投资基金</w:t>
      </w:r>
      <w:bookmarkStart w:id="35" w:name="chapter_level1_5_53_section_2_end"/>
      <w:bookmarkEnd w:id="35"/>
      <w:r>
        <w:rPr>
          <w:rFonts w:hint="eastAsia"/>
          <w:sz w:val="21"/>
          <w:szCs w:val="21"/>
        </w:rPr>
        <w:t>(2026年4月29日—至今)的基金经理。</w:t>
      </w:r>
      <w:bookmarkStart w:id="36" w:name="field_0_fundmanagerresume_1_end"/>
      <w:bookmarkEnd w:id="36"/>
      <w:r>
        <w:rPr>
          <w:rFonts w:hint="eastAsia"/>
          <w:sz w:val="21"/>
          <w:szCs w:val="21"/>
        </w:rPr>
        <w:t xml:space="preserve">  </w:t>
      </w:r>
    </w:p>
    <w:p w14:paraId="4F54A062">
      <w:pPr>
        <w:pStyle w:val="7"/>
        <w:spacing w:before="0" w:beforeAutospacing="0" w:after="0" w:afterAutospacing="0" w:line="360" w:lineRule="auto"/>
        <w:ind w:firstLine="420"/>
        <w:rPr>
          <w:sz w:val="21"/>
          <w:szCs w:val="21"/>
        </w:rPr>
      </w:pPr>
      <w:bookmarkStart w:id="37" w:name="field_0_managerpersoninfo2_1_start"/>
      <w:bookmarkEnd w:id="37"/>
      <w:bookmarkStart w:id="38" w:name="chapter_level1_5_53_section_3"/>
      <w:bookmarkEnd w:id="38"/>
      <w:r>
        <w:rPr>
          <w:rFonts w:hint="eastAsia"/>
          <w:sz w:val="21"/>
          <w:szCs w:val="21"/>
        </w:rPr>
        <w:t xml:space="preserve">4、投资决策委员会成员 </w:t>
      </w:r>
    </w:p>
    <w:p w14:paraId="00FC8F9C">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14:paraId="715AD870">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7CDFC4F2">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14:paraId="1FDB6603">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首席投资官兼权益投研一体化总监、境外投资部总经理曾鹏先生。 </w:t>
      </w:r>
    </w:p>
    <w:p w14:paraId="483C9E49">
      <w:pPr>
        <w:pStyle w:val="7"/>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6CADC74C">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7B5E302F">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14:paraId="66E3630A">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5C03ECFF">
      <w:pPr>
        <w:pStyle w:val="7"/>
        <w:spacing w:before="0" w:beforeAutospacing="0" w:after="0" w:afterAutospacing="0" w:line="360" w:lineRule="auto"/>
        <w:ind w:firstLine="420"/>
        <w:rPr>
          <w:sz w:val="21"/>
          <w:szCs w:val="21"/>
        </w:rPr>
      </w:pPr>
      <w:bookmarkStart w:id="39" w:name="chapter_level1_5_53_section_3_end"/>
      <w:bookmarkEnd w:id="39"/>
      <w:r>
        <w:rPr>
          <w:rFonts w:hint="eastAsia"/>
          <w:sz w:val="21"/>
          <w:szCs w:val="21"/>
        </w:rPr>
        <w:t xml:space="preserve">5、上述人员之间均不存在近亲属关系。 </w:t>
      </w:r>
      <w:bookmarkStart w:id="40" w:name="field_0_managerpersoninfo2_1_end"/>
      <w:bookmarkEnd w:id="40"/>
      <w:r>
        <w:rPr>
          <w:rFonts w:hint="eastAsia"/>
          <w:sz w:val="21"/>
          <w:szCs w:val="21"/>
        </w:rPr>
        <w:t xml:space="preserve">  </w:t>
      </w:r>
    </w:p>
    <w:p w14:paraId="0ABD9307">
      <w:pPr>
        <w:pStyle w:val="7"/>
        <w:spacing w:before="0" w:beforeAutospacing="0" w:after="0" w:afterAutospacing="0" w:line="360" w:lineRule="auto"/>
        <w:ind w:firstLine="420"/>
        <w:rPr>
          <w:sz w:val="21"/>
          <w:szCs w:val="21"/>
        </w:rPr>
      </w:pPr>
      <w:bookmarkStart w:id="41" w:name="chapter_level1_5_53_section_4"/>
      <w:bookmarkEnd w:id="41"/>
      <w:r>
        <w:rPr>
          <w:rStyle w:val="11"/>
          <w:rFonts w:hint="eastAsia"/>
          <w:sz w:val="21"/>
          <w:szCs w:val="21"/>
        </w:rPr>
        <w:t>三、基金管理人的职责</w:t>
      </w:r>
    </w:p>
    <w:p w14:paraId="7C0237A0">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44956CF">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4DEF64F4">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14E883FD">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64428A1">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EC3A88F">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75BC140">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3D0D58CF">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14:paraId="2B1F9C14">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EF951D3">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83C1394">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EFC5BB1">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法律、法规另有规定的以及审计需要的除外； </w:t>
      </w:r>
    </w:p>
    <w:p w14:paraId="49ED956B">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CBC75AD">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14:paraId="1632178E">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5F02D58F">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16、按规定保存基金财产管理业务活动的会计账册、报表、记录和其他相关资料，保存期限不低于法定最低期限； </w:t>
      </w:r>
    </w:p>
    <w:p w14:paraId="22936F0D">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B76779D">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0E60E11">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4ECC8EE5">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08D3E5D">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3030FFB">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079D4D8">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506CA1E">
      <w:pPr>
        <w:pStyle w:val="7"/>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 </w:t>
      </w:r>
    </w:p>
    <w:p w14:paraId="2D94575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962E6F3">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55811446">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464CD51">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41FE428F">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476980BB">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29A8C433">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2C053AF0">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396B2099">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0DB12572">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0D9D26A8">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798648CB">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34A37A1A">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7DFE1BBD">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74005409">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5CEA0F82">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0DF0BB0">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5D6380B7">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7C82DF24">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38B8E25D">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28445E9D">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09DBB0E4">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77C173B4">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57305E2D">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3E9EB343">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1CF2D282">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13913407">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2672D4A4">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34C9CC00">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4F876642">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2690530A">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32D792B7">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21585C31">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249A97AD">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0B1950A8">
      <w:pPr>
        <w:pStyle w:val="7"/>
        <w:spacing w:before="0" w:beforeAutospacing="0" w:after="0" w:afterAutospacing="0" w:line="360" w:lineRule="auto"/>
        <w:ind w:firstLine="420"/>
        <w:rPr>
          <w:sz w:val="21"/>
          <w:szCs w:val="21"/>
        </w:rPr>
      </w:pPr>
      <w:r>
        <w:rPr>
          <w:rFonts w:hint="eastAsia"/>
          <w:sz w:val="21"/>
          <w:szCs w:val="21"/>
        </w:rPr>
        <w:t xml:space="preserve">（1）董事会  </w:t>
      </w:r>
    </w:p>
    <w:p w14:paraId="3041EF65">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3CF81B4E">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6FD2AA09">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58241753">
      <w:pPr>
        <w:pStyle w:val="7"/>
        <w:spacing w:before="0" w:beforeAutospacing="0" w:after="0" w:afterAutospacing="0" w:line="360" w:lineRule="auto"/>
        <w:ind w:firstLine="420"/>
        <w:rPr>
          <w:sz w:val="21"/>
          <w:szCs w:val="21"/>
        </w:rPr>
      </w:pPr>
      <w:r>
        <w:rPr>
          <w:rFonts w:hint="eastAsia"/>
          <w:sz w:val="21"/>
          <w:szCs w:val="21"/>
        </w:rPr>
        <w:t xml:space="preserve">（3）督察长  </w:t>
      </w:r>
    </w:p>
    <w:p w14:paraId="7C89D81A">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1D75EDE1">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4673C73B">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63B27D30">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72CC013E">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4EFC8F63">
      <w:pPr>
        <w:pStyle w:val="7"/>
        <w:spacing w:before="0" w:beforeAutospacing="0" w:after="0" w:afterAutospacing="0" w:line="360" w:lineRule="auto"/>
        <w:ind w:firstLine="420"/>
        <w:rPr>
          <w:sz w:val="21"/>
          <w:szCs w:val="21"/>
        </w:rPr>
      </w:pPr>
      <w:r>
        <w:rPr>
          <w:rFonts w:hint="eastAsia"/>
          <w:sz w:val="21"/>
          <w:szCs w:val="21"/>
        </w:rPr>
        <w:t xml:space="preserve">（6）业务部门  </w:t>
      </w:r>
    </w:p>
    <w:p w14:paraId="43EDFF20">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7C00C972">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1954A179">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4E2E27B5">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61DABC0D">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2A5D8F9E">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108D4989">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22EB7AA7">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009A6624">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009E9C0B">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1B045144">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479020AF">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3581052C">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1A6B93B5">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3D5C3222">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395B2DC2">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2" w:name="chapter_level1_5_53_section_4_end"/>
      <w:bookmarkEnd w:id="42"/>
      <w:r>
        <w:rPr>
          <w:rFonts w:hint="eastAsia"/>
          <w:sz w:val="21"/>
          <w:szCs w:val="21"/>
        </w:rPr>
        <w:t xml:space="preserve">控制风险。 </w:t>
      </w:r>
    </w:p>
    <w:p w14:paraId="00A5C33A">
      <w:pPr>
        <w:widowControl/>
        <w:jc w:val="left"/>
        <w:rPr>
          <w:rFonts w:ascii="宋体" w:hAnsi="宋体" w:eastAsia="宋体"/>
        </w:rPr>
      </w:pPr>
      <w:r>
        <w:rPr>
          <w:rFonts w:ascii="宋体" w:hAnsi="宋体" w:eastAsia="宋体"/>
        </w:rPr>
        <w:br w:type="page"/>
      </w:r>
    </w:p>
    <w:p w14:paraId="76C97413">
      <w:pPr>
        <w:pStyle w:val="2"/>
        <w:jc w:val="center"/>
        <w:rPr>
          <w:rFonts w:ascii="宋体" w:hAnsi="宋体" w:eastAsia="宋体"/>
          <w:sz w:val="30"/>
        </w:rPr>
      </w:pPr>
      <w:bookmarkStart w:id="43" w:name="chapter_level1_6_55"/>
      <w:bookmarkStart w:id="44" w:name="_Toc20180"/>
      <w:r>
        <w:rPr>
          <w:rFonts w:hint="eastAsia" w:ascii="宋体" w:hAnsi="宋体" w:eastAsia="宋体"/>
          <w:sz w:val="30"/>
        </w:rPr>
        <w:t>第四部分  基金托管人</w:t>
      </w:r>
      <w:bookmarkEnd w:id="43"/>
      <w:bookmarkEnd w:id="44"/>
    </w:p>
    <w:p w14:paraId="6750F0E7">
      <w:pPr>
        <w:pStyle w:val="7"/>
        <w:spacing w:before="0" w:beforeAutospacing="0" w:after="0" w:afterAutospacing="0" w:line="360" w:lineRule="auto"/>
        <w:ind w:firstLine="420"/>
        <w:rPr>
          <w:sz w:val="21"/>
          <w:szCs w:val="21"/>
        </w:rPr>
      </w:pPr>
      <w:bookmarkStart w:id="45" w:name="chapter_level1_6_55_section_1"/>
      <w:bookmarkEnd w:id="45"/>
      <w:bookmarkStart w:id="46" w:name="field_0_trustcompanyinfo_1_start"/>
      <w:bookmarkEnd w:id="46"/>
      <w:r>
        <w:rPr>
          <w:rFonts w:hint="eastAsia"/>
          <w:sz w:val="21"/>
          <w:szCs w:val="21"/>
        </w:rPr>
        <w:t xml:space="preserve">一、基金托管人情况 </w:t>
      </w:r>
    </w:p>
    <w:p w14:paraId="680F6876">
      <w:pPr>
        <w:pStyle w:val="7"/>
        <w:spacing w:before="0" w:beforeAutospacing="0" w:after="0" w:afterAutospacing="0" w:line="360" w:lineRule="auto"/>
        <w:ind w:firstLine="420"/>
        <w:rPr>
          <w:sz w:val="21"/>
          <w:szCs w:val="21"/>
        </w:rPr>
      </w:pPr>
      <w:r>
        <w:rPr>
          <w:rFonts w:hint="eastAsia"/>
          <w:sz w:val="21"/>
          <w:szCs w:val="21"/>
        </w:rPr>
        <w:t xml:space="preserve">1、基本情况 </w:t>
      </w:r>
    </w:p>
    <w:p w14:paraId="4FE7D594">
      <w:pPr>
        <w:pStyle w:val="7"/>
        <w:spacing w:before="0" w:beforeAutospacing="0" w:after="0" w:afterAutospacing="0" w:line="360" w:lineRule="auto"/>
        <w:ind w:firstLine="420"/>
        <w:rPr>
          <w:sz w:val="21"/>
          <w:szCs w:val="21"/>
        </w:rPr>
      </w:pPr>
      <w:r>
        <w:rPr>
          <w:rFonts w:hint="eastAsia"/>
          <w:sz w:val="21"/>
          <w:szCs w:val="21"/>
        </w:rPr>
        <w:t xml:space="preserve">名称：财通证券股份有限公司 </w:t>
      </w:r>
    </w:p>
    <w:p w14:paraId="2B8AAFE6">
      <w:pPr>
        <w:pStyle w:val="7"/>
        <w:spacing w:before="0" w:beforeAutospacing="0" w:after="0" w:afterAutospacing="0" w:line="360" w:lineRule="auto"/>
        <w:ind w:firstLine="420"/>
        <w:rPr>
          <w:sz w:val="21"/>
          <w:szCs w:val="21"/>
        </w:rPr>
      </w:pPr>
      <w:r>
        <w:rPr>
          <w:rFonts w:hint="eastAsia"/>
          <w:sz w:val="21"/>
          <w:szCs w:val="21"/>
        </w:rPr>
        <w:t xml:space="preserve">住所：浙江省杭州市西湖区天目山路198号财通双冠大厦西楼 </w:t>
      </w:r>
    </w:p>
    <w:p w14:paraId="3CF9408E">
      <w:pPr>
        <w:pStyle w:val="7"/>
        <w:spacing w:before="0" w:beforeAutospacing="0" w:after="0" w:afterAutospacing="0" w:line="360" w:lineRule="auto"/>
        <w:ind w:firstLine="420"/>
        <w:rPr>
          <w:sz w:val="21"/>
          <w:szCs w:val="21"/>
        </w:rPr>
      </w:pPr>
      <w:r>
        <w:rPr>
          <w:rFonts w:hint="eastAsia"/>
          <w:sz w:val="21"/>
          <w:szCs w:val="21"/>
        </w:rPr>
        <w:t xml:space="preserve">法定代表人：章启诚 </w:t>
      </w:r>
    </w:p>
    <w:p w14:paraId="351E8479">
      <w:pPr>
        <w:pStyle w:val="7"/>
        <w:spacing w:before="0" w:beforeAutospacing="0" w:after="0" w:afterAutospacing="0" w:line="360" w:lineRule="auto"/>
        <w:ind w:firstLine="420"/>
        <w:rPr>
          <w:sz w:val="21"/>
          <w:szCs w:val="21"/>
        </w:rPr>
      </w:pPr>
      <w:r>
        <w:rPr>
          <w:rFonts w:hint="eastAsia"/>
          <w:sz w:val="21"/>
          <w:szCs w:val="21"/>
        </w:rPr>
        <w:t xml:space="preserve">电话：0571-86966937 </w:t>
      </w:r>
    </w:p>
    <w:p w14:paraId="2D15EBF0">
      <w:pPr>
        <w:pStyle w:val="7"/>
        <w:spacing w:before="0" w:beforeAutospacing="0" w:after="0" w:afterAutospacing="0" w:line="360" w:lineRule="auto"/>
        <w:ind w:firstLine="420"/>
        <w:rPr>
          <w:sz w:val="21"/>
          <w:szCs w:val="21"/>
        </w:rPr>
      </w:pPr>
      <w:r>
        <w:rPr>
          <w:rFonts w:hint="eastAsia"/>
          <w:sz w:val="21"/>
          <w:szCs w:val="21"/>
        </w:rPr>
        <w:t xml:space="preserve">传真：0571-87830199 </w:t>
      </w:r>
    </w:p>
    <w:p w14:paraId="50B4D31A">
      <w:pPr>
        <w:pStyle w:val="7"/>
        <w:spacing w:before="0" w:beforeAutospacing="0" w:after="0" w:afterAutospacing="0" w:line="360" w:lineRule="auto"/>
        <w:ind w:firstLine="420"/>
        <w:rPr>
          <w:sz w:val="21"/>
          <w:szCs w:val="21"/>
        </w:rPr>
      </w:pPr>
      <w:r>
        <w:rPr>
          <w:rFonts w:hint="eastAsia"/>
          <w:sz w:val="21"/>
          <w:szCs w:val="21"/>
        </w:rPr>
        <w:t xml:space="preserve">成立时间：2003年06月11日 </w:t>
      </w:r>
    </w:p>
    <w:p w14:paraId="1B40BBA6">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1FAC1A81">
      <w:pPr>
        <w:pStyle w:val="7"/>
        <w:spacing w:before="0" w:beforeAutospacing="0" w:after="0" w:afterAutospacing="0" w:line="360" w:lineRule="auto"/>
        <w:ind w:firstLine="420"/>
        <w:rPr>
          <w:sz w:val="21"/>
          <w:szCs w:val="21"/>
        </w:rPr>
      </w:pPr>
      <w:r>
        <w:rPr>
          <w:rFonts w:hint="eastAsia"/>
          <w:sz w:val="21"/>
          <w:szCs w:val="21"/>
        </w:rPr>
        <w:t xml:space="preserve">注册资本：人民币46.44亿元 </w:t>
      </w:r>
    </w:p>
    <w:p w14:paraId="5BEF9702">
      <w:pPr>
        <w:pStyle w:val="7"/>
        <w:spacing w:before="0" w:beforeAutospacing="0" w:after="0" w:afterAutospacing="0" w:line="360" w:lineRule="auto"/>
        <w:ind w:firstLine="420"/>
        <w:rPr>
          <w:sz w:val="21"/>
          <w:szCs w:val="21"/>
        </w:rPr>
      </w:pPr>
      <w:r>
        <w:rPr>
          <w:rFonts w:hint="eastAsia"/>
          <w:sz w:val="21"/>
          <w:szCs w:val="21"/>
        </w:rPr>
        <w:t xml:space="preserve">存续期间：长期 </w:t>
      </w:r>
    </w:p>
    <w:p w14:paraId="4A235AD3">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批准设立机关和批准设立文号：中国证券监督管理委员会证监许可〔2013〕968号《关于核准财通证券有限责任公司变更为股份有限公司的批复》 </w:t>
      </w:r>
    </w:p>
    <w:p w14:paraId="7C12D3A9">
      <w:pPr>
        <w:pStyle w:val="7"/>
        <w:spacing w:before="0" w:beforeAutospacing="0" w:after="0" w:afterAutospacing="0" w:line="360" w:lineRule="auto"/>
        <w:ind w:firstLine="420"/>
        <w:rPr>
          <w:sz w:val="21"/>
          <w:szCs w:val="21"/>
        </w:rPr>
      </w:pPr>
      <w:r>
        <w:rPr>
          <w:rFonts w:hint="eastAsia"/>
          <w:sz w:val="21"/>
          <w:szCs w:val="21"/>
        </w:rPr>
        <w:t xml:space="preserve">基金托管资格批文及文号：《关于核准财通证券股份有限公司证券投资基金托管资格的批复》（证监许可〔2020〕2829号） </w:t>
      </w:r>
    </w:p>
    <w:p w14:paraId="0A08543D">
      <w:pPr>
        <w:pStyle w:val="7"/>
        <w:spacing w:before="0" w:beforeAutospacing="0" w:after="0" w:afterAutospacing="0" w:line="360" w:lineRule="auto"/>
        <w:ind w:firstLine="420"/>
        <w:rPr>
          <w:sz w:val="21"/>
          <w:szCs w:val="21"/>
        </w:rPr>
      </w:pPr>
      <w:r>
        <w:rPr>
          <w:rFonts w:hint="eastAsia"/>
          <w:sz w:val="21"/>
          <w:szCs w:val="21"/>
        </w:rPr>
        <w:t xml:space="preserve">经营范围：许可项目：证券业务；公募证券投资基金销售；证券投资基金托管。（依法须经批准的项目，经相关部门批准后方可开展经营活动，具体经营项目以相关部门批准文件或许可证件为准） </w:t>
      </w:r>
    </w:p>
    <w:p w14:paraId="7BC399E9">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1E9DF97A">
      <w:pPr>
        <w:pStyle w:val="7"/>
        <w:spacing w:before="0" w:beforeAutospacing="0" w:after="0" w:afterAutospacing="0" w:line="360" w:lineRule="auto"/>
        <w:ind w:firstLine="420"/>
        <w:rPr>
          <w:sz w:val="21"/>
          <w:szCs w:val="21"/>
        </w:rPr>
      </w:pPr>
      <w:r>
        <w:rPr>
          <w:rFonts w:hint="eastAsia"/>
          <w:sz w:val="21"/>
          <w:szCs w:val="21"/>
        </w:rPr>
        <w:t xml:space="preserve">财通证券资产托管部主要人员均具备多年证券、基金、银行等金融机构从业经验，从业经验丰富，具备基金从业资格，熟悉基金托管工作。资产托管部员工学历均在本科以上，专业背景涵盖了金融、会计、统计、计算机等领域，是一支诚实勤勉、积极进取的专业团队。 </w:t>
      </w:r>
    </w:p>
    <w:p w14:paraId="0A86F1A8">
      <w:pPr>
        <w:pStyle w:val="7"/>
        <w:spacing w:before="0" w:beforeAutospacing="0" w:after="0" w:afterAutospacing="0" w:line="360" w:lineRule="auto"/>
        <w:ind w:firstLine="420"/>
        <w:rPr>
          <w:sz w:val="21"/>
          <w:szCs w:val="21"/>
        </w:rPr>
      </w:pPr>
      <w:r>
        <w:rPr>
          <w:rFonts w:hint="eastAsia"/>
          <w:sz w:val="21"/>
          <w:szCs w:val="21"/>
        </w:rPr>
        <w:t xml:space="preserve">二、发展概况及财务状况 </w:t>
      </w:r>
    </w:p>
    <w:p w14:paraId="4BD7EEA8">
      <w:pPr>
        <w:pStyle w:val="7"/>
        <w:spacing w:before="0" w:beforeAutospacing="0" w:after="0" w:afterAutospacing="0" w:line="360" w:lineRule="auto"/>
        <w:ind w:firstLine="420"/>
        <w:rPr>
          <w:sz w:val="21"/>
          <w:szCs w:val="21"/>
        </w:rPr>
      </w:pPr>
      <w:r>
        <w:rPr>
          <w:rFonts w:hint="eastAsia"/>
          <w:sz w:val="21"/>
          <w:szCs w:val="21"/>
        </w:rPr>
        <w:t xml:space="preserve">财通证券股份有限公司（以下简称“公司”）是一家总部在杭州的特色型综合型证券控股集团。公司前身为创立于1993年的浙江财政证券公司，2017年10月在上交所挂牌上市（股票代码：601108），为浙江唯一省直属券商。 </w:t>
      </w:r>
    </w:p>
    <w:p w14:paraId="0EAE346F">
      <w:pPr>
        <w:pStyle w:val="7"/>
        <w:spacing w:before="0" w:beforeAutospacing="0" w:after="0" w:afterAutospacing="0" w:line="360" w:lineRule="auto"/>
        <w:ind w:firstLine="420"/>
        <w:rPr>
          <w:sz w:val="21"/>
          <w:szCs w:val="21"/>
        </w:rPr>
      </w:pPr>
      <w:r>
        <w:rPr>
          <w:rFonts w:hint="eastAsia"/>
          <w:sz w:val="21"/>
          <w:szCs w:val="21"/>
        </w:rPr>
        <w:t xml:space="preserve">30余年创业发展，公司始终坚持合规稳健、守正创新，抓住管理体制调整和行业创新发展的机遇，从一家区域性的经纪类券商发展成为全牌照、特色化、集团化、国际化发展的上市券商，构建了跨证券、期货、基金、资管、股权投资以及境外金融等业务的全链条、综合化的服务体系，市场竞争力和综合实力快速提升，连续8年获在浙金融机构支持浙江经济社会发展相关奖项。 </w:t>
      </w:r>
    </w:p>
    <w:p w14:paraId="5951E544">
      <w:pPr>
        <w:pStyle w:val="7"/>
        <w:spacing w:before="0" w:beforeAutospacing="0" w:after="0" w:afterAutospacing="0" w:line="360" w:lineRule="auto"/>
        <w:ind w:firstLine="420"/>
        <w:rPr>
          <w:sz w:val="21"/>
          <w:szCs w:val="21"/>
        </w:rPr>
      </w:pPr>
      <w:r>
        <w:rPr>
          <w:rFonts w:hint="eastAsia"/>
          <w:sz w:val="21"/>
          <w:szCs w:val="21"/>
        </w:rPr>
        <w:t xml:space="preserve">目前，集团有在岗员工6000余人，分支机构210余家，实现业务全国布局，浙江100%全域覆盖。设立北京、上海、重庆、深圳、海南五大业务总部，境外服务延伸至香港、新加坡、伦敦。旗下设财通证券资产管理有限公司、浙江财通资本投资有限公司、财通创新投资有限公司、财通证券（香港）有限公司、永安期货股份有限公司和财通基金管理有限公司6家控（参）股子公司，在各自领域均形成了相应特色和细分优势。截至2026年3月末，公司合并报表总资产1774.24亿元，归属母公司净资产386.23亿元。 </w:t>
      </w:r>
    </w:p>
    <w:p w14:paraId="6EB428EA">
      <w:pPr>
        <w:pStyle w:val="7"/>
        <w:spacing w:before="0" w:beforeAutospacing="0" w:after="0" w:afterAutospacing="0" w:line="360" w:lineRule="auto"/>
        <w:ind w:firstLine="420"/>
        <w:rPr>
          <w:sz w:val="21"/>
          <w:szCs w:val="21"/>
        </w:rPr>
      </w:pPr>
      <w:r>
        <w:rPr>
          <w:rFonts w:hint="eastAsia"/>
          <w:sz w:val="21"/>
          <w:szCs w:val="21"/>
        </w:rPr>
        <w:t xml:space="preserve">公司践行以投资者为本的理念，牢记金融服务实体经济的根本宗旨，坚决扛起省属国企的责任担当，紧紧围绕新时期创新发展战略体系，强力推动“投资+投行+财富”三驾马车并驾齐驱，聚力建设“四型财通”，做“浙商浙企自己家的券商”，强力助推“以客户为中心”重塑客户运营体系重大改革，打造一流现代投资银行，为企业高质量发展、产业转型升级、投资者财富保值增值贡献更大的金融力量。 </w:t>
      </w:r>
    </w:p>
    <w:p w14:paraId="14AC1827">
      <w:pPr>
        <w:pStyle w:val="7"/>
        <w:spacing w:before="0" w:beforeAutospacing="0" w:after="0" w:afterAutospacing="0" w:line="360" w:lineRule="auto"/>
        <w:ind w:firstLine="420"/>
        <w:rPr>
          <w:sz w:val="21"/>
          <w:szCs w:val="21"/>
        </w:rPr>
      </w:pPr>
      <w:r>
        <w:rPr>
          <w:rFonts w:hint="eastAsia"/>
          <w:sz w:val="21"/>
          <w:szCs w:val="21"/>
        </w:rPr>
        <w:t xml:space="preserve">三、托管业务部的部门设置及员工情况 </w:t>
      </w:r>
    </w:p>
    <w:p w14:paraId="194E0804">
      <w:pPr>
        <w:pStyle w:val="7"/>
        <w:spacing w:before="0" w:beforeAutospacing="0" w:after="0" w:afterAutospacing="0" w:line="360" w:lineRule="auto"/>
        <w:ind w:firstLine="420"/>
        <w:rPr>
          <w:sz w:val="21"/>
          <w:szCs w:val="21"/>
        </w:rPr>
      </w:pPr>
      <w:r>
        <w:rPr>
          <w:rFonts w:hint="eastAsia"/>
          <w:sz w:val="21"/>
          <w:szCs w:val="21"/>
        </w:rPr>
        <w:t xml:space="preserve">财通证券下设资产托管部，负责公司资产托管业务的统一管理和运营，内设拓业服务团队、托管业务团队、技术服务团队和业务支持团队，所有员工拥有大学本科以上学历并具有基金从业资格；各团队负责人和业务骨干均具有多年从业经验，专业涵盖金融、财务、IT、审计等多个领域。 </w:t>
      </w:r>
    </w:p>
    <w:p w14:paraId="7AF2D853">
      <w:pPr>
        <w:pStyle w:val="7"/>
        <w:spacing w:before="0" w:beforeAutospacing="0" w:after="0" w:afterAutospacing="0" w:line="360" w:lineRule="auto"/>
        <w:ind w:firstLine="420"/>
        <w:rPr>
          <w:sz w:val="21"/>
          <w:szCs w:val="21"/>
        </w:rPr>
      </w:pPr>
      <w:r>
        <w:rPr>
          <w:rFonts w:hint="eastAsia"/>
          <w:sz w:val="21"/>
          <w:szCs w:val="21"/>
        </w:rPr>
        <w:t xml:space="preserve">四、证券投资基金托管业务经营情况 </w:t>
      </w:r>
    </w:p>
    <w:p w14:paraId="03577922">
      <w:pPr>
        <w:pStyle w:val="7"/>
        <w:spacing w:before="0" w:beforeAutospacing="0" w:after="0" w:afterAutospacing="0" w:line="360" w:lineRule="auto"/>
        <w:ind w:firstLine="420"/>
        <w:rPr>
          <w:sz w:val="21"/>
          <w:szCs w:val="21"/>
        </w:rPr>
      </w:pPr>
      <w:r>
        <w:rPr>
          <w:rFonts w:hint="eastAsia"/>
          <w:sz w:val="21"/>
          <w:szCs w:val="21"/>
        </w:rPr>
        <w:t xml:space="preserve">财通证券于2020年10月30日取得中国证监会核准证券投资基金托管资格。财通证券全面贯彻“合规、诚信、专业、稳健”的行业文化，秉持“稳健经营、协同创新、唯实惟先、善作善成”的经营宗旨，严格履行基金托管人的各项职责，不断加强风险管理和内部控制，确保基金资产的完整性和独立性，切实维护基金份额持有人的合法权益，提供高质量的基金托管服务。 </w:t>
      </w:r>
    </w:p>
    <w:p w14:paraId="1B720F75">
      <w:pPr>
        <w:pStyle w:val="7"/>
        <w:spacing w:before="0" w:beforeAutospacing="0" w:after="0" w:afterAutospacing="0" w:line="360" w:lineRule="auto"/>
        <w:ind w:firstLine="420"/>
        <w:rPr>
          <w:sz w:val="21"/>
          <w:szCs w:val="21"/>
        </w:rPr>
      </w:pPr>
      <w:r>
        <w:rPr>
          <w:rFonts w:hint="eastAsia"/>
          <w:sz w:val="21"/>
          <w:szCs w:val="21"/>
        </w:rPr>
        <w:t>财通证券与各大金融机构广泛合作，托管产品包括公募基金、资管计划、私募证券投资</w:t>
      </w:r>
      <w:bookmarkStart w:id="47" w:name="chapter_level1_6_55_section_1_end"/>
      <w:bookmarkEnd w:id="47"/>
      <w:r>
        <w:rPr>
          <w:rFonts w:hint="eastAsia"/>
          <w:sz w:val="21"/>
          <w:szCs w:val="21"/>
        </w:rPr>
        <w:t xml:space="preserve">基金等各类金融产品。 </w:t>
      </w:r>
      <w:bookmarkStart w:id="48" w:name="field_0_trustcompanyinfo_1_end"/>
      <w:bookmarkEnd w:id="48"/>
      <w:r>
        <w:rPr>
          <w:rFonts w:hint="eastAsia"/>
          <w:sz w:val="21"/>
          <w:szCs w:val="21"/>
        </w:rPr>
        <w:t xml:space="preserve">  </w:t>
      </w:r>
    </w:p>
    <w:p w14:paraId="5EAE14E2">
      <w:pPr>
        <w:pStyle w:val="7"/>
        <w:spacing w:before="0" w:beforeAutospacing="0" w:after="0" w:afterAutospacing="0" w:line="360" w:lineRule="auto"/>
        <w:ind w:firstLine="420"/>
        <w:rPr>
          <w:sz w:val="21"/>
          <w:szCs w:val="21"/>
        </w:rPr>
      </w:pPr>
      <w:bookmarkStart w:id="49" w:name="chapter_level1_6_55_section_2"/>
      <w:bookmarkEnd w:id="49"/>
      <w:bookmarkStart w:id="50" w:name="field_0_trustcontrollawinfo_1_start"/>
      <w:bookmarkEnd w:id="50"/>
      <w:r>
        <w:rPr>
          <w:rFonts w:hint="eastAsia"/>
          <w:sz w:val="21"/>
          <w:szCs w:val="21"/>
        </w:rPr>
        <w:t xml:space="preserve">五、基金托管人内部风险控制制度说明 </w:t>
      </w:r>
    </w:p>
    <w:p w14:paraId="24BDBD22">
      <w:pPr>
        <w:pStyle w:val="7"/>
        <w:spacing w:before="0" w:beforeAutospacing="0" w:after="0" w:afterAutospacing="0" w:line="360" w:lineRule="auto"/>
        <w:ind w:firstLine="420"/>
        <w:rPr>
          <w:sz w:val="21"/>
          <w:szCs w:val="21"/>
        </w:rPr>
      </w:pPr>
      <w:r>
        <w:rPr>
          <w:rFonts w:hint="eastAsia"/>
          <w:sz w:val="21"/>
          <w:szCs w:val="21"/>
        </w:rPr>
        <w:t xml:space="preserve">财通证券秉持“敬畏规则，守正持度，专业规范”的合规文化理念，根据有关法律法规和监管部门的规定，制定了完善的基金托管业务内部控制制度，具体包括《资产托管业务管理办法》、《资产托管业务管理实施细则》、《资产托管业务资产保管操作规程》、《资产托管业务清算交收操作规程》、《资产托管业务估值与会计核算操作规程》、《资产托管业务投资监督操作规程》、《资产托管业务信息披露与报告操作规程》、《资产托管业务基金份额持有人大会操作规程》、《资产托管业务系统数据备份操作规程》、《资产托管业务信息系统管理细则》、《资产托管业务内部控制管理细则》、《资产托管业务风险管理细则》、《资产托管业务稽核检查操作规程》、《资产托管业务保密管理细则》、《资产托管业务档案管理细则》、《资产托管业务应急管理细则》、《资产托管业务从业人员管理细则》、《资产托管业务印章管理细则》、《资产托管业务风险准备金管理细则》、《资产托管业务债券质押式回购交易结算业务管理细则》等，涵盖了基金托管业务的管理规范、资产保管、清算交割、估值核算、投资监督、信息披露、业务系统管理、内部控制、风险管理、稽核监控、保密和档案管理、应急处理、从业人员管理、风险准备金管理等全部业务环节。 </w:t>
      </w:r>
    </w:p>
    <w:p w14:paraId="7CEDA9CB">
      <w:pPr>
        <w:pStyle w:val="7"/>
        <w:spacing w:before="0" w:beforeAutospacing="0" w:after="0" w:afterAutospacing="0" w:line="360" w:lineRule="auto"/>
        <w:ind w:firstLine="420"/>
        <w:rPr>
          <w:sz w:val="21"/>
          <w:szCs w:val="21"/>
        </w:rPr>
      </w:pPr>
      <w:r>
        <w:rPr>
          <w:rFonts w:hint="eastAsia"/>
          <w:sz w:val="21"/>
          <w:szCs w:val="21"/>
        </w:rPr>
        <w:t xml:space="preserve">六、基金托管人对基金管理人运作基金进行监督的方法和程序 </w:t>
      </w:r>
    </w:p>
    <w:p w14:paraId="542957C8">
      <w:pPr>
        <w:pStyle w:val="7"/>
        <w:spacing w:before="0" w:beforeAutospacing="0" w:after="0" w:afterAutospacing="0" w:line="360" w:lineRule="auto"/>
        <w:ind w:firstLine="420"/>
        <w:rPr>
          <w:sz w:val="21"/>
          <w:szCs w:val="21"/>
        </w:rPr>
      </w:pPr>
      <w:r>
        <w:rPr>
          <w:rFonts w:hint="eastAsia"/>
          <w:sz w:val="21"/>
          <w:szCs w:val="21"/>
        </w:rPr>
        <w:t xml:space="preserve">基金托管人根据《中华人民共和国证券投资基金法》《公开募集证券投资基金运作管理办法》等有关法律法规的规定及基金合同、托管协议的约定，对基金投资范围、投资对象、投资比例、投资禁止行为、基金资产净值计算、各类基金份额净值计算、应收资金到账、基金费用开支及收入确定、基金收益分配、相关信息披露、基金宣传推介材料中登载基金业绩表现数据及管理人参与银行间市场交易、基金投资银行存款和流通受限证券等进行监督和核查。 </w:t>
      </w:r>
    </w:p>
    <w:p w14:paraId="796156CF">
      <w:pPr>
        <w:pStyle w:val="7"/>
        <w:spacing w:before="0" w:beforeAutospacing="0" w:after="0" w:afterAutospacing="0" w:line="360" w:lineRule="auto"/>
        <w:ind w:firstLine="420"/>
        <w:rPr>
          <w:sz w:val="21"/>
          <w:szCs w:val="21"/>
        </w:rPr>
      </w:pPr>
      <w:r>
        <w:rPr>
          <w:rFonts w:hint="eastAsia"/>
          <w:sz w:val="21"/>
          <w:szCs w:val="21"/>
        </w:rPr>
        <w:t xml:space="preserve">如基金托管人发现基金管理人的投资运作违反法律法规、基金合同和托管协议的规定，及时以电话提醒、邮件提醒或书面提示等方式通知基金管理人限期纠正。在限期内，基金托管人有权随时对通知事项进行复查，督促基金管理人改正。基金管理人对基金托管人通知的违规事项未能在限期内纠正的，基金托管人将报告中国证监会。 </w:t>
      </w:r>
    </w:p>
    <w:p w14:paraId="4CF88714">
      <w:pPr>
        <w:pStyle w:val="7"/>
        <w:spacing w:before="0" w:beforeAutospacing="0" w:after="0" w:afterAutospacing="0" w:line="360" w:lineRule="auto"/>
        <w:ind w:firstLine="420"/>
        <w:rPr>
          <w:sz w:val="21"/>
          <w:szCs w:val="21"/>
        </w:rPr>
      </w:pPr>
      <w:r>
        <w:rPr>
          <w:rFonts w:hint="eastAsia"/>
          <w:sz w:val="21"/>
          <w:szCs w:val="21"/>
        </w:rPr>
        <w:t xml:space="preserve">如基金托管人发现基金管理人依据交易程序已经生效的指令违反法律、行政法规和其他有关规定，或者违反基金合同约定的，及时以书面或以双方认可的其他方式通知基金管理人，并及时向中国证监会报告。 </w:t>
      </w:r>
    </w:p>
    <w:p w14:paraId="1B868722">
      <w:pPr>
        <w:pStyle w:val="7"/>
        <w:spacing w:before="0" w:beforeAutospacing="0" w:after="0" w:afterAutospacing="0" w:line="360" w:lineRule="auto"/>
        <w:ind w:firstLine="420"/>
        <w:rPr>
          <w:sz w:val="21"/>
          <w:szCs w:val="21"/>
        </w:rPr>
      </w:pPr>
      <w:r>
        <w:rPr>
          <w:rFonts w:hint="eastAsia"/>
          <w:sz w:val="21"/>
          <w:szCs w:val="21"/>
        </w:rPr>
        <w:t>如基金托管人发现基金管理人有重大违规行为或违规事项，及时报告中国证监会，同时通知基金管理人限期纠正，并将纠正结果报告中国证监会。基金管理人无正当理由，拒绝、阻挠基金托管人按规定行使监督权，或采取拖延、欺诈等手段妨碍对方进行有效监督，情节</w:t>
      </w:r>
      <w:bookmarkStart w:id="51" w:name="chapter_level1_6_55_section_2_end"/>
      <w:bookmarkEnd w:id="51"/>
      <w:r>
        <w:rPr>
          <w:rFonts w:hint="eastAsia"/>
          <w:sz w:val="21"/>
          <w:szCs w:val="21"/>
        </w:rPr>
        <w:t xml:space="preserve">严重或经基金托管人提出警告仍不改正的，基金托管人将报告中国证监会。 </w:t>
      </w:r>
      <w:bookmarkStart w:id="52" w:name="field_0_trustcontrollawinfo_1_end"/>
      <w:bookmarkEnd w:id="52"/>
      <w:r>
        <w:rPr>
          <w:rFonts w:hint="eastAsia"/>
          <w:sz w:val="21"/>
          <w:szCs w:val="21"/>
        </w:rPr>
        <w:t xml:space="preserve">  </w:t>
      </w:r>
    </w:p>
    <w:p w14:paraId="4E9CE114">
      <w:pPr>
        <w:widowControl/>
        <w:jc w:val="left"/>
        <w:rPr>
          <w:rFonts w:ascii="宋体" w:hAnsi="宋体" w:eastAsia="宋体"/>
        </w:rPr>
      </w:pPr>
      <w:r>
        <w:rPr>
          <w:rFonts w:ascii="宋体" w:hAnsi="宋体" w:eastAsia="宋体"/>
        </w:rPr>
        <w:br w:type="page"/>
      </w:r>
    </w:p>
    <w:p w14:paraId="36A22987">
      <w:pPr>
        <w:pStyle w:val="2"/>
        <w:jc w:val="center"/>
        <w:rPr>
          <w:rFonts w:ascii="宋体" w:hAnsi="宋体" w:eastAsia="宋体"/>
          <w:sz w:val="30"/>
        </w:rPr>
      </w:pPr>
      <w:bookmarkStart w:id="53" w:name="chapter_level1_7_56"/>
      <w:bookmarkStart w:id="54" w:name="_Toc31117"/>
      <w:r>
        <w:rPr>
          <w:rFonts w:hint="eastAsia" w:ascii="宋体" w:hAnsi="宋体" w:eastAsia="宋体"/>
          <w:sz w:val="30"/>
        </w:rPr>
        <w:t>第五部分  相关服务机构</w:t>
      </w:r>
      <w:bookmarkEnd w:id="53"/>
      <w:bookmarkEnd w:id="54"/>
    </w:p>
    <w:p w14:paraId="5BC4F83A">
      <w:pPr>
        <w:pStyle w:val="7"/>
        <w:spacing w:before="0" w:beforeAutospacing="0" w:after="0" w:afterAutospacing="0" w:line="360" w:lineRule="auto"/>
        <w:ind w:firstLine="420"/>
        <w:rPr>
          <w:sz w:val="21"/>
          <w:szCs w:val="21"/>
        </w:rPr>
      </w:pPr>
      <w:bookmarkStart w:id="55" w:name="chapter_level1_7_56_section_1"/>
      <w:bookmarkEnd w:id="55"/>
      <w:r>
        <w:rPr>
          <w:rStyle w:val="11"/>
          <w:rFonts w:hint="eastAsia"/>
          <w:sz w:val="21"/>
          <w:szCs w:val="21"/>
        </w:rPr>
        <w:t>一、基金份额</w:t>
      </w:r>
      <w:r>
        <w:rPr>
          <w:rStyle w:val="11"/>
          <w:rFonts w:hint="eastAsia"/>
          <w:sz w:val="21"/>
          <w:szCs w:val="21"/>
          <w:lang w:val="en-US" w:eastAsia="zh-CN"/>
        </w:rPr>
        <w:t>发售</w:t>
      </w:r>
      <w:r>
        <w:rPr>
          <w:rStyle w:val="11"/>
          <w:rFonts w:hint="eastAsia"/>
          <w:sz w:val="21"/>
          <w:szCs w:val="21"/>
        </w:rPr>
        <w:t>机构</w:t>
      </w:r>
    </w:p>
    <w:p w14:paraId="537597D8">
      <w:pPr>
        <w:pStyle w:val="7"/>
        <w:spacing w:before="0" w:beforeAutospacing="0" w:after="0" w:afterAutospacing="0" w:line="360" w:lineRule="auto"/>
        <w:ind w:firstLine="420"/>
        <w:rPr>
          <w:rFonts w:hint="eastAsia"/>
          <w:sz w:val="21"/>
          <w:szCs w:val="21"/>
        </w:rPr>
      </w:pPr>
      <w:bookmarkStart w:id="56" w:name="chapter_level1_7_56_section_3"/>
      <w:bookmarkEnd w:id="56"/>
      <w:r>
        <w:rPr>
          <w:rFonts w:hint="eastAsia"/>
          <w:sz w:val="21"/>
          <w:szCs w:val="21"/>
        </w:rPr>
        <w:t>1、网下现金发售直销机构</w:t>
      </w:r>
    </w:p>
    <w:p w14:paraId="17DFB5A8">
      <w:pPr>
        <w:pStyle w:val="7"/>
        <w:spacing w:before="0" w:beforeAutospacing="0" w:after="0" w:afterAutospacing="0" w:line="360" w:lineRule="auto"/>
        <w:ind w:firstLine="420"/>
        <w:rPr>
          <w:rFonts w:hint="eastAsia"/>
          <w:sz w:val="21"/>
          <w:szCs w:val="21"/>
        </w:rPr>
      </w:pPr>
      <w:r>
        <w:rPr>
          <w:rFonts w:hint="eastAsia"/>
          <w:sz w:val="21"/>
          <w:szCs w:val="21"/>
        </w:rPr>
        <w:t>名称：博时基金管理有限公司</w:t>
      </w:r>
    </w:p>
    <w:p w14:paraId="58DECE75">
      <w:pPr>
        <w:pStyle w:val="7"/>
        <w:spacing w:before="0" w:beforeAutospacing="0" w:after="0" w:afterAutospacing="0" w:line="360" w:lineRule="auto"/>
        <w:ind w:firstLine="420"/>
        <w:rPr>
          <w:rFonts w:hint="eastAsia"/>
          <w:sz w:val="21"/>
          <w:szCs w:val="21"/>
        </w:rPr>
      </w:pPr>
      <w:r>
        <w:rPr>
          <w:rFonts w:hint="eastAsia"/>
          <w:sz w:val="21"/>
          <w:szCs w:val="21"/>
        </w:rPr>
        <w:t>住所：深圳市福田区莲花街道福新社区益田路5999号基金大厦21层</w:t>
      </w:r>
    </w:p>
    <w:p w14:paraId="15B531CF">
      <w:pPr>
        <w:pStyle w:val="7"/>
        <w:spacing w:before="0" w:beforeAutospacing="0" w:after="0" w:afterAutospacing="0" w:line="360" w:lineRule="auto"/>
        <w:ind w:firstLine="420"/>
        <w:rPr>
          <w:rFonts w:hint="eastAsia"/>
          <w:sz w:val="21"/>
          <w:szCs w:val="21"/>
        </w:rPr>
      </w:pPr>
      <w:r>
        <w:rPr>
          <w:rFonts w:hint="eastAsia"/>
          <w:sz w:val="21"/>
          <w:szCs w:val="21"/>
        </w:rPr>
        <w:t>办公地址：北京市建国门内大街18号恒基中心1座23层</w:t>
      </w:r>
    </w:p>
    <w:p w14:paraId="46FF65B0">
      <w:pPr>
        <w:pStyle w:val="7"/>
        <w:spacing w:before="0" w:beforeAutospacing="0" w:after="0" w:afterAutospacing="0" w:line="360" w:lineRule="auto"/>
        <w:ind w:firstLine="420"/>
        <w:rPr>
          <w:rFonts w:hint="eastAsia"/>
          <w:sz w:val="21"/>
          <w:szCs w:val="21"/>
        </w:rPr>
      </w:pPr>
      <w:r>
        <w:rPr>
          <w:rFonts w:hint="eastAsia"/>
          <w:sz w:val="21"/>
          <w:szCs w:val="21"/>
        </w:rPr>
        <w:t>电话：010-65187055</w:t>
      </w:r>
    </w:p>
    <w:p w14:paraId="369241C3">
      <w:pPr>
        <w:pStyle w:val="7"/>
        <w:spacing w:before="0" w:beforeAutospacing="0" w:after="0" w:afterAutospacing="0" w:line="360" w:lineRule="auto"/>
        <w:ind w:firstLine="420"/>
        <w:rPr>
          <w:rFonts w:hint="eastAsia"/>
          <w:sz w:val="21"/>
          <w:szCs w:val="21"/>
        </w:rPr>
      </w:pPr>
      <w:r>
        <w:rPr>
          <w:rFonts w:hint="eastAsia"/>
          <w:sz w:val="21"/>
          <w:szCs w:val="21"/>
        </w:rPr>
        <w:t>传真：010-65187032</w:t>
      </w:r>
    </w:p>
    <w:p w14:paraId="1D70A537">
      <w:pPr>
        <w:pStyle w:val="7"/>
        <w:spacing w:before="0" w:beforeAutospacing="0" w:after="0" w:afterAutospacing="0" w:line="360" w:lineRule="auto"/>
        <w:ind w:firstLine="420"/>
        <w:rPr>
          <w:rFonts w:hint="eastAsia"/>
          <w:sz w:val="21"/>
          <w:szCs w:val="21"/>
        </w:rPr>
      </w:pPr>
      <w:r>
        <w:rPr>
          <w:rFonts w:hint="eastAsia"/>
          <w:sz w:val="21"/>
          <w:szCs w:val="21"/>
        </w:rPr>
        <w:t>联系人：韩明亮</w:t>
      </w:r>
    </w:p>
    <w:p w14:paraId="2ACAF454">
      <w:pPr>
        <w:pStyle w:val="7"/>
        <w:spacing w:before="0" w:beforeAutospacing="0" w:after="0" w:afterAutospacing="0" w:line="360" w:lineRule="auto"/>
        <w:ind w:firstLine="420"/>
        <w:rPr>
          <w:rFonts w:hint="eastAsia"/>
          <w:sz w:val="21"/>
          <w:szCs w:val="21"/>
        </w:rPr>
      </w:pPr>
      <w:r>
        <w:rPr>
          <w:rFonts w:hint="eastAsia"/>
          <w:sz w:val="21"/>
          <w:szCs w:val="21"/>
        </w:rPr>
        <w:t>全国统一客服热线：95105568（免长途费）</w:t>
      </w:r>
    </w:p>
    <w:p w14:paraId="298BA607">
      <w:pPr>
        <w:pStyle w:val="7"/>
        <w:spacing w:before="0" w:beforeAutospacing="0" w:after="0" w:afterAutospacing="0" w:line="360" w:lineRule="auto"/>
        <w:ind w:firstLine="420"/>
        <w:rPr>
          <w:rFonts w:hint="eastAsia"/>
          <w:sz w:val="21"/>
          <w:szCs w:val="21"/>
        </w:rPr>
      </w:pPr>
      <w:r>
        <w:rPr>
          <w:rFonts w:hint="eastAsia"/>
          <w:sz w:val="21"/>
          <w:szCs w:val="21"/>
        </w:rPr>
        <w:t>2、网下现金发售代理机构</w:t>
      </w:r>
    </w:p>
    <w:p w14:paraId="7A9BB84C">
      <w:pPr>
        <w:pStyle w:val="7"/>
        <w:spacing w:before="0" w:beforeAutospacing="0" w:after="0" w:afterAutospacing="0" w:line="360" w:lineRule="auto"/>
        <w:ind w:firstLine="420"/>
        <w:rPr>
          <w:rFonts w:hint="eastAsia"/>
          <w:sz w:val="21"/>
          <w:szCs w:val="21"/>
        </w:rPr>
      </w:pPr>
      <w:r>
        <w:rPr>
          <w:rFonts w:hint="eastAsia"/>
          <w:sz w:val="21"/>
          <w:szCs w:val="21"/>
        </w:rPr>
        <w:t>详见基金份额发售公告。</w:t>
      </w:r>
    </w:p>
    <w:p w14:paraId="0A17002E">
      <w:pPr>
        <w:pStyle w:val="7"/>
        <w:spacing w:before="0" w:beforeAutospacing="0" w:after="0" w:afterAutospacing="0" w:line="360" w:lineRule="auto"/>
        <w:ind w:firstLine="420"/>
        <w:rPr>
          <w:rFonts w:hint="eastAsia"/>
          <w:sz w:val="21"/>
          <w:szCs w:val="21"/>
        </w:rPr>
      </w:pPr>
      <w:r>
        <w:rPr>
          <w:rFonts w:hint="eastAsia"/>
          <w:sz w:val="21"/>
          <w:szCs w:val="21"/>
        </w:rPr>
        <w:t>3、网上现金发售代理机构</w:t>
      </w:r>
    </w:p>
    <w:p w14:paraId="63F31648">
      <w:pPr>
        <w:pStyle w:val="7"/>
        <w:spacing w:before="0" w:beforeAutospacing="0" w:after="0" w:afterAutospacing="0" w:line="360" w:lineRule="auto"/>
        <w:ind w:firstLine="420"/>
        <w:rPr>
          <w:rFonts w:hint="eastAsia"/>
          <w:sz w:val="21"/>
          <w:szCs w:val="21"/>
        </w:rPr>
      </w:pPr>
      <w:r>
        <w:rPr>
          <w:rFonts w:hint="eastAsia"/>
          <w:sz w:val="21"/>
          <w:szCs w:val="21"/>
        </w:rPr>
        <w:t>详见基金份额发售公告。</w:t>
      </w:r>
    </w:p>
    <w:p w14:paraId="3CA14562">
      <w:pPr>
        <w:pStyle w:val="7"/>
        <w:spacing w:before="0" w:beforeAutospacing="0" w:after="0" w:afterAutospacing="0" w:line="360" w:lineRule="auto"/>
        <w:ind w:firstLine="420"/>
        <w:rPr>
          <w:sz w:val="21"/>
          <w:szCs w:val="21"/>
        </w:rPr>
      </w:pPr>
      <w:r>
        <w:rPr>
          <w:rStyle w:val="11"/>
          <w:rFonts w:hint="eastAsia"/>
          <w:sz w:val="21"/>
          <w:szCs w:val="21"/>
        </w:rPr>
        <w:t>二、登记机构</w:t>
      </w:r>
    </w:p>
    <w:p w14:paraId="4D4641BD">
      <w:pPr>
        <w:pStyle w:val="7"/>
        <w:spacing w:before="0" w:beforeAutospacing="0" w:after="0" w:afterAutospacing="0" w:line="360" w:lineRule="auto"/>
        <w:ind w:firstLine="420"/>
        <w:rPr>
          <w:sz w:val="21"/>
          <w:szCs w:val="21"/>
        </w:rPr>
      </w:pPr>
      <w:bookmarkStart w:id="57" w:name="field_0_registercompanyinfo_1_start"/>
      <w:bookmarkEnd w:id="57"/>
      <w:r>
        <w:rPr>
          <w:rFonts w:hint="eastAsia"/>
          <w:sz w:val="21"/>
          <w:szCs w:val="21"/>
        </w:rPr>
        <w:t xml:space="preserve">名称：中国证券登记结算有限责任公司  </w:t>
      </w:r>
    </w:p>
    <w:p w14:paraId="25D25607">
      <w:pPr>
        <w:pStyle w:val="7"/>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14:paraId="058519B4">
      <w:pPr>
        <w:pStyle w:val="7"/>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14:paraId="5BD7862F">
      <w:pPr>
        <w:pStyle w:val="7"/>
        <w:spacing w:before="0" w:beforeAutospacing="0" w:after="0" w:afterAutospacing="0" w:line="360" w:lineRule="auto"/>
        <w:ind w:firstLine="420"/>
        <w:rPr>
          <w:sz w:val="21"/>
          <w:szCs w:val="21"/>
        </w:rPr>
      </w:pPr>
      <w:r>
        <w:rPr>
          <w:rFonts w:hint="eastAsia"/>
          <w:sz w:val="21"/>
          <w:szCs w:val="21"/>
        </w:rPr>
        <w:t xml:space="preserve">法定代表人：于文强 </w:t>
      </w:r>
    </w:p>
    <w:p w14:paraId="541B967A">
      <w:pPr>
        <w:pStyle w:val="7"/>
        <w:spacing w:before="0" w:beforeAutospacing="0" w:after="0" w:afterAutospacing="0" w:line="360" w:lineRule="auto"/>
        <w:ind w:firstLine="420"/>
        <w:rPr>
          <w:sz w:val="21"/>
          <w:szCs w:val="21"/>
        </w:rPr>
      </w:pPr>
      <w:r>
        <w:rPr>
          <w:rFonts w:hint="eastAsia"/>
          <w:sz w:val="21"/>
          <w:szCs w:val="21"/>
        </w:rPr>
        <w:t xml:space="preserve">电  话：0755-25946013 </w:t>
      </w:r>
    </w:p>
    <w:p w14:paraId="016F7634">
      <w:pPr>
        <w:pStyle w:val="7"/>
        <w:spacing w:before="0" w:beforeAutospacing="0" w:after="0" w:afterAutospacing="0" w:line="360" w:lineRule="auto"/>
        <w:ind w:firstLine="420"/>
        <w:rPr>
          <w:sz w:val="21"/>
          <w:szCs w:val="21"/>
        </w:rPr>
      </w:pPr>
      <w:r>
        <w:rPr>
          <w:rFonts w:hint="eastAsia"/>
          <w:sz w:val="21"/>
          <w:szCs w:val="21"/>
        </w:rPr>
        <w:t xml:space="preserve">传  真：0755-25987122 </w:t>
      </w:r>
    </w:p>
    <w:p w14:paraId="706B6A55">
      <w:pPr>
        <w:pStyle w:val="7"/>
        <w:spacing w:before="0" w:beforeAutospacing="0" w:after="0" w:afterAutospacing="0" w:line="360" w:lineRule="auto"/>
        <w:ind w:firstLine="420"/>
        <w:rPr>
          <w:sz w:val="21"/>
          <w:szCs w:val="21"/>
        </w:rPr>
      </w:pPr>
      <w:r>
        <w:rPr>
          <w:rFonts w:hint="eastAsia"/>
          <w:sz w:val="21"/>
          <w:szCs w:val="21"/>
        </w:rPr>
        <w:t xml:space="preserve">联系人：严峰 </w:t>
      </w:r>
      <w:bookmarkStart w:id="58" w:name="field_0_registercompanyinfo_1_end"/>
      <w:bookmarkEnd w:id="58"/>
      <w:r>
        <w:rPr>
          <w:rFonts w:hint="eastAsia"/>
          <w:sz w:val="21"/>
          <w:szCs w:val="21"/>
        </w:rPr>
        <w:t xml:space="preserve">  </w:t>
      </w:r>
    </w:p>
    <w:p w14:paraId="2F07DB83">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57EFDEBF">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1EB18E5C">
      <w:pPr>
        <w:pStyle w:val="7"/>
        <w:spacing w:before="0" w:beforeAutospacing="0" w:after="0" w:afterAutospacing="0" w:line="360" w:lineRule="auto"/>
        <w:ind w:firstLine="420"/>
        <w:rPr>
          <w:sz w:val="21"/>
          <w:szCs w:val="21"/>
        </w:rPr>
      </w:pPr>
      <w:r>
        <w:rPr>
          <w:rFonts w:hint="eastAsia"/>
          <w:sz w:val="21"/>
          <w:szCs w:val="21"/>
        </w:rPr>
        <w:t xml:space="preserve">住所：上海市银城中路68号时代金融中心19楼 </w:t>
      </w:r>
    </w:p>
    <w:p w14:paraId="099B81A4">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6F3FC2FF">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498CC2A5">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1854B4B3">
      <w:pPr>
        <w:pStyle w:val="7"/>
        <w:spacing w:before="0" w:beforeAutospacing="0" w:after="0" w:afterAutospacing="0" w:line="360" w:lineRule="auto"/>
        <w:ind w:firstLine="420"/>
        <w:rPr>
          <w:sz w:val="21"/>
          <w:szCs w:val="21"/>
        </w:rPr>
      </w:pPr>
      <w:r>
        <w:rPr>
          <w:rFonts w:hint="eastAsia"/>
          <w:sz w:val="21"/>
          <w:szCs w:val="21"/>
        </w:rPr>
        <w:t xml:space="preserve">电话：021- 31358666 </w:t>
      </w:r>
    </w:p>
    <w:p w14:paraId="11BF6D08">
      <w:pPr>
        <w:pStyle w:val="7"/>
        <w:spacing w:before="0" w:beforeAutospacing="0" w:after="0" w:afterAutospacing="0" w:line="360" w:lineRule="auto"/>
        <w:ind w:firstLine="420"/>
        <w:rPr>
          <w:sz w:val="21"/>
          <w:szCs w:val="21"/>
        </w:rPr>
      </w:pPr>
      <w:r>
        <w:rPr>
          <w:rFonts w:hint="eastAsia"/>
          <w:sz w:val="21"/>
          <w:szCs w:val="21"/>
        </w:rPr>
        <w:t xml:space="preserve">传真：021- 31358600 </w:t>
      </w:r>
    </w:p>
    <w:p w14:paraId="1C3E2AA2">
      <w:pPr>
        <w:pStyle w:val="7"/>
        <w:spacing w:before="0" w:beforeAutospacing="0" w:after="0" w:afterAutospacing="0" w:line="360" w:lineRule="auto"/>
        <w:ind w:firstLine="420"/>
        <w:rPr>
          <w:sz w:val="21"/>
          <w:szCs w:val="21"/>
        </w:rPr>
      </w:pPr>
      <w:r>
        <w:rPr>
          <w:rFonts w:hint="eastAsia"/>
          <w:sz w:val="21"/>
          <w:szCs w:val="21"/>
        </w:rPr>
        <w:t xml:space="preserve">经办律师：陆奇、程杨 </w:t>
      </w:r>
    </w:p>
    <w:p w14:paraId="4159D359">
      <w:pPr>
        <w:pStyle w:val="7"/>
        <w:spacing w:before="0" w:beforeAutospacing="0" w:after="0" w:afterAutospacing="0" w:line="360" w:lineRule="auto"/>
        <w:ind w:firstLine="420"/>
        <w:rPr>
          <w:sz w:val="21"/>
          <w:szCs w:val="21"/>
        </w:rPr>
      </w:pPr>
      <w:r>
        <w:rPr>
          <w:rStyle w:val="11"/>
          <w:rFonts w:hint="eastAsia"/>
          <w:sz w:val="21"/>
          <w:szCs w:val="21"/>
        </w:rPr>
        <w:t>四、会计师事务所</w:t>
      </w:r>
    </w:p>
    <w:p w14:paraId="1D39ED35">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59" w:name="field_0_verifyaccountorgfullname_1"/>
      <w:r>
        <w:rPr>
          <w:rFonts w:hint="eastAsia"/>
          <w:sz w:val="21"/>
          <w:szCs w:val="21"/>
        </w:rPr>
        <w:t>安永华明会计师事务所（特殊普通合伙）</w:t>
      </w:r>
      <w:bookmarkEnd w:id="59"/>
      <w:r>
        <w:rPr>
          <w:rFonts w:hint="eastAsia"/>
          <w:sz w:val="21"/>
          <w:szCs w:val="21"/>
        </w:rPr>
        <w:t xml:space="preserve">  </w:t>
      </w:r>
    </w:p>
    <w:p w14:paraId="14968720">
      <w:pPr>
        <w:pStyle w:val="7"/>
        <w:spacing w:before="0" w:beforeAutospacing="0" w:after="0" w:afterAutospacing="0" w:line="360" w:lineRule="auto"/>
        <w:ind w:firstLine="420"/>
        <w:rPr>
          <w:sz w:val="21"/>
          <w:szCs w:val="21"/>
        </w:rPr>
      </w:pPr>
      <w:bookmarkStart w:id="60" w:name="field_0_verifyaccountcompanyinfo_1_start"/>
      <w:bookmarkEnd w:id="60"/>
      <w:r>
        <w:rPr>
          <w:rFonts w:hint="eastAsia"/>
          <w:sz w:val="21"/>
          <w:szCs w:val="21"/>
        </w:rPr>
        <w:t xml:space="preserve">名称：安永华明会计师事务所（特殊普通合伙） </w:t>
      </w:r>
    </w:p>
    <w:p w14:paraId="31F39C23">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43EBA86C">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7033086F">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53004898">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75873939">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323DFF1E">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30141A15">
      <w:pPr>
        <w:pStyle w:val="7"/>
        <w:spacing w:before="0" w:beforeAutospacing="0" w:after="0" w:afterAutospacing="0" w:line="360" w:lineRule="auto"/>
        <w:ind w:firstLine="420"/>
        <w:rPr>
          <w:sz w:val="21"/>
          <w:szCs w:val="21"/>
        </w:rPr>
      </w:pPr>
      <w:r>
        <w:rPr>
          <w:rFonts w:hint="eastAsia"/>
          <w:sz w:val="21"/>
          <w:szCs w:val="21"/>
        </w:rPr>
        <w:t xml:space="preserve">联系人：王海彦 </w:t>
      </w:r>
      <w:bookmarkStart w:id="61" w:name="field_0_verifyaccountcompanyinfo_1_end"/>
      <w:bookmarkEnd w:id="61"/>
      <w:r>
        <w:rPr>
          <w:rFonts w:hint="eastAsia"/>
          <w:sz w:val="21"/>
          <w:szCs w:val="21"/>
        </w:rPr>
        <w:t xml:space="preserve">  </w:t>
      </w:r>
    </w:p>
    <w:p w14:paraId="57668B45">
      <w:pPr>
        <w:pStyle w:val="7"/>
        <w:spacing w:before="0" w:beforeAutospacing="0" w:after="0" w:afterAutospacing="0" w:line="360" w:lineRule="auto"/>
        <w:ind w:firstLine="420"/>
        <w:rPr>
          <w:sz w:val="21"/>
          <w:szCs w:val="21"/>
        </w:rPr>
      </w:pPr>
      <w:r>
        <w:rPr>
          <w:rFonts w:hint="eastAsia"/>
          <w:sz w:val="21"/>
          <w:szCs w:val="21"/>
        </w:rPr>
        <w:t>本基金的年度财务报表及其他事项的审计机构为</w:t>
      </w:r>
      <w:bookmarkStart w:id="62" w:name="field_0_accountingorgfullname_1"/>
      <w:r>
        <w:rPr>
          <w:rFonts w:hint="eastAsia"/>
          <w:sz w:val="21"/>
          <w:szCs w:val="21"/>
        </w:rPr>
        <w:t>容诚会计师事务所</w:t>
      </w:r>
      <w:r>
        <w:rPr>
          <w:sz w:val="21"/>
          <w:szCs w:val="21"/>
        </w:rPr>
        <w:t>(特殊普通合伙)</w:t>
      </w:r>
      <w:bookmarkEnd w:id="62"/>
      <w:r>
        <w:rPr>
          <w:rFonts w:hint="eastAsia"/>
          <w:sz w:val="21"/>
          <w:szCs w:val="21"/>
        </w:rPr>
        <w:t xml:space="preserve">  </w:t>
      </w:r>
    </w:p>
    <w:p w14:paraId="34ED8FCF">
      <w:pPr>
        <w:pStyle w:val="7"/>
        <w:spacing w:before="0" w:beforeAutospacing="0" w:after="0" w:afterAutospacing="0" w:line="360" w:lineRule="auto"/>
        <w:ind w:firstLine="420"/>
        <w:rPr>
          <w:sz w:val="21"/>
          <w:szCs w:val="21"/>
        </w:rPr>
      </w:pPr>
      <w:bookmarkStart w:id="63" w:name="field_0_accountingcompanyinfo_1_start"/>
      <w:bookmarkEnd w:id="63"/>
      <w:r>
        <w:rPr>
          <w:rFonts w:hint="eastAsia"/>
          <w:sz w:val="21"/>
          <w:szCs w:val="21"/>
        </w:rPr>
        <w:t xml:space="preserve">名称：容诚会计师事务所（特殊普通合伙） </w:t>
      </w:r>
    </w:p>
    <w:p w14:paraId="2A58EEE6">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70167978">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4A760EA5">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6626E605">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3D1324D2">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5FC3412B">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6541BA42">
      <w:pPr>
        <w:pStyle w:val="7"/>
        <w:spacing w:before="0" w:beforeAutospacing="0" w:after="0" w:afterAutospacing="0" w:line="360" w:lineRule="auto"/>
        <w:ind w:firstLine="420"/>
        <w:rPr>
          <w:sz w:val="21"/>
          <w:szCs w:val="21"/>
        </w:rPr>
      </w:pPr>
      <w:bookmarkStart w:id="64" w:name="chapter_level1_7_56_section_3_end"/>
      <w:bookmarkEnd w:id="64"/>
      <w:r>
        <w:rPr>
          <w:rFonts w:hint="eastAsia"/>
          <w:sz w:val="21"/>
          <w:szCs w:val="21"/>
        </w:rPr>
        <w:t xml:space="preserve">经办注册会计师：薛竞 吴琳杰 </w:t>
      </w:r>
      <w:bookmarkStart w:id="65" w:name="field_0_accountingcompanyinfo_1_end"/>
      <w:bookmarkEnd w:id="65"/>
      <w:r>
        <w:rPr>
          <w:rFonts w:hint="eastAsia"/>
          <w:sz w:val="21"/>
          <w:szCs w:val="21"/>
        </w:rPr>
        <w:t xml:space="preserve">  </w:t>
      </w:r>
    </w:p>
    <w:p w14:paraId="3A846839">
      <w:pPr>
        <w:widowControl/>
        <w:jc w:val="left"/>
        <w:rPr>
          <w:rFonts w:ascii="宋体" w:hAnsi="宋体" w:eastAsia="宋体"/>
        </w:rPr>
      </w:pPr>
      <w:r>
        <w:rPr>
          <w:rFonts w:ascii="宋体" w:hAnsi="宋体" w:eastAsia="宋体"/>
        </w:rPr>
        <w:br w:type="page"/>
      </w:r>
    </w:p>
    <w:p w14:paraId="054E18F1">
      <w:pPr>
        <w:pStyle w:val="2"/>
        <w:jc w:val="center"/>
        <w:rPr>
          <w:rFonts w:ascii="宋体" w:hAnsi="宋体" w:eastAsia="宋体"/>
          <w:sz w:val="30"/>
        </w:rPr>
      </w:pPr>
      <w:bookmarkStart w:id="66" w:name="chapter_level1_9_58"/>
      <w:bookmarkStart w:id="67" w:name="_Toc6826"/>
      <w:r>
        <w:rPr>
          <w:rFonts w:hint="eastAsia" w:ascii="宋体" w:hAnsi="宋体" w:eastAsia="宋体"/>
          <w:sz w:val="30"/>
        </w:rPr>
        <w:t>第六部分 基金的募集与基金合同的生效</w:t>
      </w:r>
      <w:bookmarkEnd w:id="66"/>
      <w:bookmarkEnd w:id="67"/>
    </w:p>
    <w:p w14:paraId="7C538239">
      <w:pPr>
        <w:pStyle w:val="7"/>
        <w:spacing w:before="0" w:beforeAutospacing="0" w:after="0" w:afterAutospacing="0" w:line="360" w:lineRule="auto"/>
        <w:ind w:firstLine="420"/>
        <w:rPr>
          <w:sz w:val="21"/>
          <w:szCs w:val="21"/>
        </w:rPr>
      </w:pPr>
      <w:bookmarkStart w:id="68" w:name="chapter_level1_9_58_section_1"/>
      <w:bookmarkEnd w:id="68"/>
      <w:r>
        <w:rPr>
          <w:rFonts w:hint="eastAsia"/>
          <w:b/>
          <w:bCs/>
          <w:sz w:val="21"/>
          <w:szCs w:val="21"/>
        </w:rPr>
        <w:t>一．基金的募集</w:t>
      </w:r>
    </w:p>
    <w:p w14:paraId="2149EC53">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9" w:name="field_2343_approveddate_1"/>
      <w:r>
        <w:rPr>
          <w:sz w:val="21"/>
          <w:szCs w:val="21"/>
        </w:rPr>
        <w:t>2026年2月27日</w:t>
      </w:r>
      <w:bookmarkEnd w:id="69"/>
      <w:r>
        <w:rPr>
          <w:rFonts w:hint="eastAsia"/>
          <w:sz w:val="21"/>
          <w:szCs w:val="21"/>
        </w:rPr>
        <w:t>证监许可</w:t>
      </w:r>
      <w:bookmarkStart w:id="70" w:name="field_2343_lotnumber_1"/>
      <w:r>
        <w:rPr>
          <w:sz w:val="21"/>
          <w:szCs w:val="21"/>
        </w:rPr>
        <w:t>[2026]359</w:t>
      </w:r>
      <w:bookmarkEnd w:id="70"/>
      <w:r>
        <w:rPr>
          <w:rFonts w:hint="eastAsia"/>
          <w:sz w:val="21"/>
          <w:szCs w:val="21"/>
        </w:rPr>
        <w:t xml:space="preserve">号文准予募集注册。 </w:t>
      </w:r>
    </w:p>
    <w:p w14:paraId="7FF717BA">
      <w:pPr>
        <w:pStyle w:val="7"/>
        <w:spacing w:before="0" w:beforeAutospacing="0" w:after="0" w:afterAutospacing="0" w:line="360" w:lineRule="auto"/>
        <w:ind w:firstLine="420"/>
        <w:rPr>
          <w:sz w:val="21"/>
          <w:szCs w:val="21"/>
        </w:rPr>
      </w:pPr>
      <w:r>
        <w:rPr>
          <w:rFonts w:hint="eastAsia"/>
          <w:sz w:val="21"/>
          <w:szCs w:val="21"/>
        </w:rPr>
        <w:t>本基金募集期自</w:t>
      </w:r>
      <w:bookmarkStart w:id="71" w:name="field_58_raisebegindate_1"/>
      <w:r>
        <w:rPr>
          <w:sz w:val="21"/>
          <w:szCs w:val="21"/>
        </w:rPr>
        <w:t>2026年4月13日</w:t>
      </w:r>
      <w:bookmarkEnd w:id="71"/>
      <w:r>
        <w:rPr>
          <w:rFonts w:hint="eastAsia"/>
          <w:sz w:val="21"/>
          <w:szCs w:val="21"/>
        </w:rPr>
        <w:t>至</w:t>
      </w:r>
      <w:bookmarkStart w:id="72" w:name="field_58_raiseenddate_1"/>
      <w:r>
        <w:rPr>
          <w:sz w:val="21"/>
          <w:szCs w:val="21"/>
        </w:rPr>
        <w:t>2026年4月24日</w:t>
      </w:r>
      <w:bookmarkEnd w:id="72"/>
      <w:r>
        <w:rPr>
          <w:rFonts w:hint="eastAsia"/>
          <w:sz w:val="21"/>
          <w:szCs w:val="21"/>
        </w:rPr>
        <w:t>期间，基金份额共募集</w:t>
      </w:r>
      <w:bookmarkStart w:id="73" w:name="field_58_raisetotal_1"/>
      <w:r>
        <w:rPr>
          <w:sz w:val="21"/>
          <w:szCs w:val="21"/>
        </w:rPr>
        <w:t>488,597,611.00</w:t>
      </w:r>
      <w:bookmarkEnd w:id="73"/>
      <w:r>
        <w:rPr>
          <w:rFonts w:hint="eastAsia"/>
          <w:sz w:val="21"/>
          <w:szCs w:val="21"/>
        </w:rPr>
        <w:t>份（含利息结转的份额），募集有效认购总户数为</w:t>
      </w:r>
      <w:bookmarkStart w:id="74" w:name="field_58_effectivetotal_1"/>
      <w:r>
        <w:rPr>
          <w:sz w:val="21"/>
          <w:szCs w:val="21"/>
        </w:rPr>
        <w:t>4,933</w:t>
      </w:r>
      <w:bookmarkEnd w:id="74"/>
      <w:r>
        <w:rPr>
          <w:rFonts w:hint="eastAsia"/>
          <w:sz w:val="21"/>
          <w:szCs w:val="21"/>
        </w:rPr>
        <w:t xml:space="preserve">户。 </w:t>
      </w:r>
    </w:p>
    <w:p w14:paraId="66B50C46">
      <w:pPr>
        <w:pStyle w:val="7"/>
        <w:spacing w:before="0" w:beforeAutospacing="0" w:after="0" w:afterAutospacing="0" w:line="360" w:lineRule="auto"/>
        <w:ind w:firstLine="420"/>
        <w:rPr>
          <w:sz w:val="21"/>
          <w:szCs w:val="21"/>
        </w:rPr>
      </w:pPr>
      <w:r>
        <w:rPr>
          <w:rFonts w:hint="eastAsia"/>
          <w:sz w:val="21"/>
          <w:szCs w:val="21"/>
        </w:rPr>
        <w:t>本基金的运作方式为</w:t>
      </w:r>
      <w:bookmarkStart w:id="75" w:name="field_58_operation_1"/>
      <w:r>
        <w:rPr>
          <w:rFonts w:hint="eastAsia"/>
          <w:sz w:val="21"/>
          <w:szCs w:val="21"/>
        </w:rPr>
        <w:t>交易型开放式</w:t>
      </w:r>
      <w:bookmarkEnd w:id="75"/>
      <w:r>
        <w:rPr>
          <w:rFonts w:hint="eastAsia"/>
          <w:sz w:val="21"/>
          <w:szCs w:val="21"/>
        </w:rPr>
        <w:t>，存续期间为</w:t>
      </w:r>
      <w:bookmarkStart w:id="76" w:name="field_58_duration_1"/>
      <w:r>
        <w:rPr>
          <w:rFonts w:hint="eastAsia"/>
          <w:sz w:val="21"/>
          <w:szCs w:val="21"/>
        </w:rPr>
        <w:t>不定期</w:t>
      </w:r>
      <w:bookmarkEnd w:id="76"/>
      <w:r>
        <w:rPr>
          <w:rFonts w:hint="eastAsia"/>
          <w:sz w:val="21"/>
          <w:szCs w:val="21"/>
        </w:rPr>
        <w:t xml:space="preserve">。 </w:t>
      </w:r>
    </w:p>
    <w:p w14:paraId="546BD786">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67D3C488">
      <w:pPr>
        <w:pStyle w:val="7"/>
        <w:spacing w:before="0" w:beforeAutospacing="0" w:after="0" w:afterAutospacing="0" w:line="360" w:lineRule="auto"/>
        <w:ind w:firstLine="420"/>
        <w:rPr>
          <w:sz w:val="21"/>
          <w:szCs w:val="21"/>
        </w:rPr>
      </w:pPr>
      <w:bookmarkStart w:id="77" w:name="chapter_level1_9_58_section_1_end"/>
      <w:bookmarkEnd w:id="77"/>
      <w:r>
        <w:rPr>
          <w:rFonts w:hint="eastAsia"/>
          <w:sz w:val="21"/>
          <w:szCs w:val="21"/>
        </w:rPr>
        <w:t>本基金的基金合同已于</w:t>
      </w:r>
      <w:bookmarkStart w:id="78" w:name="field_0_foundday_1"/>
      <w:r>
        <w:rPr>
          <w:sz w:val="21"/>
          <w:szCs w:val="21"/>
        </w:rPr>
        <w:t>2026年4月29日</w:t>
      </w:r>
      <w:bookmarkEnd w:id="78"/>
      <w:r>
        <w:rPr>
          <w:rFonts w:hint="eastAsia"/>
          <w:sz w:val="21"/>
          <w:szCs w:val="21"/>
        </w:rPr>
        <w:t xml:space="preserve">正式生效。 </w:t>
      </w:r>
    </w:p>
    <w:p w14:paraId="04C0D38E">
      <w:pPr>
        <w:pStyle w:val="7"/>
        <w:spacing w:before="0" w:beforeAutospacing="0" w:after="0" w:afterAutospacing="0" w:line="360" w:lineRule="auto"/>
        <w:ind w:firstLine="420"/>
        <w:rPr>
          <w:sz w:val="21"/>
          <w:szCs w:val="21"/>
        </w:rPr>
      </w:pPr>
      <w:bookmarkStart w:id="79" w:name="chapter_level1_9_58_section_2"/>
      <w:bookmarkEnd w:id="79"/>
      <w:r>
        <w:rPr>
          <w:rStyle w:val="11"/>
          <w:rFonts w:hint="eastAsia"/>
          <w:sz w:val="21"/>
          <w:szCs w:val="21"/>
        </w:rPr>
        <w:t>三、基金存续期内的基金份额持有人数量和资产规模</w:t>
      </w:r>
    </w:p>
    <w:p w14:paraId="4323CC37">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 </w:t>
      </w:r>
    </w:p>
    <w:p w14:paraId="7AB84CFD">
      <w:pPr>
        <w:pStyle w:val="7"/>
        <w:spacing w:before="0" w:beforeAutospacing="0" w:after="0" w:afterAutospacing="0" w:line="360" w:lineRule="auto"/>
        <w:ind w:firstLine="420"/>
        <w:rPr>
          <w:sz w:val="21"/>
          <w:szCs w:val="21"/>
        </w:rPr>
      </w:pPr>
      <w:bookmarkStart w:id="80" w:name="chapter_level1_9_58_section_2_end"/>
      <w:bookmarkEnd w:id="80"/>
      <w:r>
        <w:rPr>
          <w:rFonts w:hint="eastAsia"/>
          <w:sz w:val="21"/>
          <w:szCs w:val="21"/>
        </w:rPr>
        <w:t xml:space="preserve">法律法规或中国证监会另有规定时，从其规定。 </w:t>
      </w:r>
    </w:p>
    <w:p w14:paraId="36BF738C">
      <w:pPr>
        <w:widowControl/>
        <w:jc w:val="left"/>
        <w:rPr>
          <w:rFonts w:ascii="宋体" w:hAnsi="宋体" w:eastAsia="宋体"/>
        </w:rPr>
      </w:pPr>
      <w:r>
        <w:rPr>
          <w:rFonts w:ascii="宋体" w:hAnsi="宋体" w:eastAsia="宋体"/>
        </w:rPr>
        <w:br w:type="page"/>
      </w:r>
    </w:p>
    <w:p w14:paraId="14DF8995">
      <w:pPr>
        <w:pStyle w:val="2"/>
        <w:jc w:val="center"/>
        <w:rPr>
          <w:rFonts w:ascii="宋体" w:hAnsi="宋体" w:eastAsia="宋体"/>
          <w:sz w:val="30"/>
        </w:rPr>
      </w:pPr>
      <w:bookmarkStart w:id="81" w:name="chapter_level1_10_89909"/>
      <w:bookmarkStart w:id="82" w:name="_Toc21545"/>
      <w:r>
        <w:rPr>
          <w:rFonts w:hint="eastAsia" w:ascii="宋体" w:hAnsi="宋体" w:eastAsia="宋体"/>
          <w:sz w:val="30"/>
        </w:rPr>
        <w:t>第七部分  基金的份额折算与变更登记</w:t>
      </w:r>
      <w:bookmarkEnd w:id="81"/>
      <w:bookmarkEnd w:id="82"/>
    </w:p>
    <w:p w14:paraId="413D84FF">
      <w:pPr>
        <w:pStyle w:val="7"/>
        <w:spacing w:before="0" w:beforeAutospacing="0" w:after="0" w:afterAutospacing="0" w:line="360" w:lineRule="auto"/>
        <w:ind w:firstLine="420"/>
        <w:rPr>
          <w:sz w:val="21"/>
          <w:szCs w:val="21"/>
        </w:rPr>
      </w:pPr>
      <w:bookmarkStart w:id="83" w:name="chapter_level1_10_89909_section_1"/>
      <w:bookmarkEnd w:id="83"/>
      <w:r>
        <w:rPr>
          <w:rFonts w:hint="eastAsia"/>
          <w:sz w:val="21"/>
          <w:szCs w:val="21"/>
        </w:rPr>
        <w:t xml:space="preserve">基金合同生效后，本基金可以进行份额折算。 </w:t>
      </w:r>
    </w:p>
    <w:p w14:paraId="6D69F7CE">
      <w:pPr>
        <w:pStyle w:val="7"/>
        <w:spacing w:before="0" w:beforeAutospacing="0" w:after="0" w:afterAutospacing="0" w:line="360" w:lineRule="auto"/>
        <w:ind w:firstLine="420"/>
        <w:rPr>
          <w:sz w:val="21"/>
          <w:szCs w:val="21"/>
        </w:rPr>
      </w:pPr>
      <w:r>
        <w:rPr>
          <w:rStyle w:val="11"/>
          <w:rFonts w:hint="eastAsia"/>
          <w:sz w:val="21"/>
          <w:szCs w:val="21"/>
        </w:rPr>
        <w:t>一、基金份额折算的时间</w:t>
      </w:r>
    </w:p>
    <w:p w14:paraId="3E274C05">
      <w:pPr>
        <w:pStyle w:val="7"/>
        <w:spacing w:before="0" w:beforeAutospacing="0" w:after="0" w:afterAutospacing="0" w:line="360" w:lineRule="auto"/>
        <w:ind w:firstLine="420"/>
        <w:rPr>
          <w:sz w:val="21"/>
          <w:szCs w:val="21"/>
        </w:rPr>
      </w:pPr>
      <w:r>
        <w:rPr>
          <w:rFonts w:hint="eastAsia"/>
          <w:sz w:val="21"/>
          <w:szCs w:val="21"/>
        </w:rPr>
        <w:t xml:space="preserve">基金管理人应事先确定基金份额折算日，并依照《信息披露办法》的有关规定进行公告。 </w:t>
      </w:r>
    </w:p>
    <w:p w14:paraId="7C5FDE00">
      <w:pPr>
        <w:pStyle w:val="7"/>
        <w:spacing w:before="0" w:beforeAutospacing="0" w:after="0" w:afterAutospacing="0" w:line="360" w:lineRule="auto"/>
        <w:ind w:firstLine="420"/>
        <w:rPr>
          <w:sz w:val="21"/>
          <w:szCs w:val="21"/>
        </w:rPr>
      </w:pPr>
      <w:r>
        <w:rPr>
          <w:rStyle w:val="11"/>
          <w:rFonts w:hint="eastAsia"/>
          <w:sz w:val="21"/>
          <w:szCs w:val="21"/>
        </w:rPr>
        <w:t>二、基金份额折算的原则</w:t>
      </w:r>
    </w:p>
    <w:p w14:paraId="0ACDE98F">
      <w:pPr>
        <w:pStyle w:val="7"/>
        <w:spacing w:before="0" w:beforeAutospacing="0" w:after="0" w:afterAutospacing="0" w:line="360" w:lineRule="auto"/>
        <w:ind w:firstLine="420"/>
        <w:rPr>
          <w:sz w:val="21"/>
          <w:szCs w:val="21"/>
        </w:rPr>
      </w:pPr>
      <w:r>
        <w:rPr>
          <w:rFonts w:hint="eastAsia"/>
          <w:sz w:val="21"/>
          <w:szCs w:val="21"/>
        </w:rPr>
        <w:t xml:space="preserve">基金份额折算由基金管理人向登记机构申请办理，并由登记机构进行基金份额的变更登记。基金份额折算的比例和具体安排见基金管理人届时发布的相关公告。 </w:t>
      </w:r>
    </w:p>
    <w:p w14:paraId="13BE26F3">
      <w:pPr>
        <w:pStyle w:val="7"/>
        <w:spacing w:before="0" w:beforeAutospacing="0" w:after="0" w:afterAutospacing="0" w:line="360" w:lineRule="auto"/>
        <w:ind w:firstLine="420"/>
        <w:rPr>
          <w:sz w:val="21"/>
          <w:szCs w:val="21"/>
        </w:rPr>
      </w:pPr>
      <w:r>
        <w:rPr>
          <w:rFonts w:hint="eastAsia"/>
          <w:sz w:val="21"/>
          <w:szCs w:val="21"/>
        </w:rPr>
        <w:t xml:space="preserve">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无需召开基金份额持有人大会审议。基金份额折算后，基金份额持有人将按照折算后的基金份额享有权利并承担义务。 </w:t>
      </w:r>
    </w:p>
    <w:p w14:paraId="5655F663">
      <w:pPr>
        <w:pStyle w:val="7"/>
        <w:spacing w:before="0" w:beforeAutospacing="0" w:after="0" w:afterAutospacing="0" w:line="360" w:lineRule="auto"/>
        <w:ind w:firstLine="420"/>
        <w:rPr>
          <w:sz w:val="21"/>
          <w:szCs w:val="21"/>
        </w:rPr>
      </w:pPr>
      <w:r>
        <w:rPr>
          <w:rFonts w:hint="eastAsia"/>
          <w:sz w:val="21"/>
          <w:szCs w:val="21"/>
        </w:rPr>
        <w:t xml:space="preserve">如果基金份额折算过程中发生不可抗力等特殊情形，基金管理人可延迟办理基金份额折算。 </w:t>
      </w:r>
    </w:p>
    <w:p w14:paraId="2CF64474">
      <w:pPr>
        <w:pStyle w:val="7"/>
        <w:spacing w:before="0" w:beforeAutospacing="0" w:after="0" w:afterAutospacing="0" w:line="360" w:lineRule="auto"/>
        <w:ind w:firstLine="420"/>
        <w:rPr>
          <w:sz w:val="21"/>
          <w:szCs w:val="21"/>
        </w:rPr>
      </w:pPr>
      <w:r>
        <w:rPr>
          <w:rStyle w:val="11"/>
          <w:rFonts w:hint="eastAsia"/>
          <w:sz w:val="21"/>
          <w:szCs w:val="21"/>
        </w:rPr>
        <w:t>三、基金份额折算的方法</w:t>
      </w:r>
    </w:p>
    <w:p w14:paraId="73FA3124">
      <w:pPr>
        <w:pStyle w:val="7"/>
        <w:spacing w:before="0" w:beforeAutospacing="0" w:after="0" w:afterAutospacing="0" w:line="360" w:lineRule="auto"/>
        <w:ind w:firstLine="420"/>
        <w:rPr>
          <w:sz w:val="21"/>
          <w:szCs w:val="21"/>
        </w:rPr>
      </w:pPr>
      <w:bookmarkStart w:id="84" w:name="chapter_level1_10_89909_section_1_end"/>
      <w:bookmarkEnd w:id="84"/>
      <w:r>
        <w:rPr>
          <w:rFonts w:hint="eastAsia"/>
          <w:sz w:val="21"/>
          <w:szCs w:val="21"/>
        </w:rPr>
        <w:t xml:space="preserve">基金份额折算的具体方法在份额折算公告中列示。 </w:t>
      </w:r>
    </w:p>
    <w:p w14:paraId="07C5C8FA">
      <w:pPr>
        <w:widowControl/>
        <w:jc w:val="left"/>
        <w:rPr>
          <w:rFonts w:ascii="宋体" w:hAnsi="宋体" w:eastAsia="宋体"/>
        </w:rPr>
      </w:pPr>
      <w:r>
        <w:rPr>
          <w:rFonts w:ascii="宋体" w:hAnsi="宋体" w:eastAsia="宋体"/>
        </w:rPr>
        <w:br w:type="page"/>
      </w:r>
    </w:p>
    <w:p w14:paraId="10FCC20D">
      <w:pPr>
        <w:pStyle w:val="2"/>
        <w:jc w:val="center"/>
        <w:rPr>
          <w:rFonts w:ascii="宋体" w:hAnsi="宋体" w:eastAsia="宋体"/>
          <w:sz w:val="30"/>
        </w:rPr>
      </w:pPr>
      <w:bookmarkStart w:id="85" w:name="chapter_level1_11_89910"/>
      <w:bookmarkStart w:id="86" w:name="_Toc3865"/>
      <w:r>
        <w:rPr>
          <w:rFonts w:hint="eastAsia" w:ascii="宋体" w:hAnsi="宋体" w:eastAsia="宋体"/>
          <w:sz w:val="30"/>
        </w:rPr>
        <w:t>第八部分  基金份额的上市交易</w:t>
      </w:r>
      <w:bookmarkEnd w:id="85"/>
      <w:bookmarkEnd w:id="86"/>
    </w:p>
    <w:p w14:paraId="7A985974">
      <w:pPr>
        <w:pStyle w:val="7"/>
        <w:spacing w:before="0" w:beforeAutospacing="0" w:after="0" w:afterAutospacing="0" w:line="360" w:lineRule="auto"/>
        <w:ind w:firstLine="420"/>
        <w:rPr>
          <w:sz w:val="21"/>
          <w:szCs w:val="21"/>
        </w:rPr>
      </w:pPr>
      <w:bookmarkStart w:id="87" w:name="chapter_level1_11_89910_section_1"/>
      <w:bookmarkEnd w:id="87"/>
      <w:r>
        <w:rPr>
          <w:rFonts w:hint="eastAsia"/>
          <w:b/>
          <w:bCs/>
          <w:sz w:val="21"/>
          <w:szCs w:val="21"/>
        </w:rPr>
        <w:t>一、基金上市</w:t>
      </w:r>
    </w:p>
    <w:p w14:paraId="799042B0">
      <w:pPr>
        <w:pStyle w:val="7"/>
        <w:spacing w:before="0" w:beforeAutospacing="0" w:after="0" w:afterAutospacing="0" w:line="360" w:lineRule="auto"/>
        <w:ind w:firstLine="420"/>
        <w:rPr>
          <w:sz w:val="21"/>
          <w:szCs w:val="21"/>
        </w:rPr>
      </w:pPr>
      <w:r>
        <w:rPr>
          <w:rFonts w:hint="eastAsia"/>
          <w:sz w:val="21"/>
          <w:szCs w:val="21"/>
        </w:rPr>
        <w:t xml:space="preserve">本基金已于2026年5月13日在深圳证券交易所上市交易。  </w:t>
      </w:r>
    </w:p>
    <w:p w14:paraId="77BCF28E">
      <w:pPr>
        <w:pStyle w:val="7"/>
        <w:spacing w:before="0" w:beforeAutospacing="0" w:after="0" w:afterAutospacing="0" w:line="360" w:lineRule="auto"/>
        <w:ind w:firstLine="420"/>
        <w:rPr>
          <w:sz w:val="21"/>
          <w:szCs w:val="21"/>
        </w:rPr>
      </w:pPr>
      <w:r>
        <w:rPr>
          <w:rFonts w:hint="eastAsia"/>
          <w:b/>
          <w:bCs/>
          <w:sz w:val="21"/>
          <w:szCs w:val="21"/>
        </w:rPr>
        <w:t>二、基金份额的上市交易</w:t>
      </w:r>
    </w:p>
    <w:p w14:paraId="49995A56">
      <w:pPr>
        <w:pStyle w:val="7"/>
        <w:spacing w:before="0" w:beforeAutospacing="0" w:after="0" w:afterAutospacing="0" w:line="360" w:lineRule="auto"/>
        <w:ind w:firstLine="420"/>
        <w:rPr>
          <w:sz w:val="21"/>
          <w:szCs w:val="21"/>
        </w:rPr>
      </w:pPr>
      <w:r>
        <w:rPr>
          <w:rFonts w:hint="eastAsia"/>
          <w:sz w:val="21"/>
          <w:szCs w:val="21"/>
        </w:rPr>
        <w:t xml:space="preserve">基金份额在深圳证券交易所的上市交易应遵照《深圳证券交易所交易规则》、《深圳证券交易所证券投资基金上市规则》、《深圳证券交易所证券投资基金交易和申购赎回实施细则》等有关规定。 </w:t>
      </w:r>
    </w:p>
    <w:p w14:paraId="450E846D">
      <w:pPr>
        <w:pStyle w:val="7"/>
        <w:spacing w:before="0" w:beforeAutospacing="0" w:after="0" w:afterAutospacing="0" w:line="360" w:lineRule="auto"/>
        <w:ind w:firstLine="420"/>
        <w:rPr>
          <w:sz w:val="21"/>
          <w:szCs w:val="21"/>
        </w:rPr>
      </w:pPr>
      <w:r>
        <w:rPr>
          <w:rFonts w:hint="eastAsia"/>
          <w:b/>
          <w:bCs/>
          <w:sz w:val="21"/>
          <w:szCs w:val="21"/>
        </w:rPr>
        <w:t>三、停复牌、暂停上市、恢复上市或终止上市的情形和处理方式</w:t>
      </w:r>
    </w:p>
    <w:p w14:paraId="5602D66B">
      <w:pPr>
        <w:pStyle w:val="7"/>
        <w:spacing w:before="0" w:beforeAutospacing="0" w:after="0" w:afterAutospacing="0" w:line="360" w:lineRule="auto"/>
        <w:ind w:firstLine="420"/>
        <w:rPr>
          <w:sz w:val="21"/>
          <w:szCs w:val="21"/>
        </w:rPr>
      </w:pPr>
      <w:r>
        <w:rPr>
          <w:rFonts w:hint="eastAsia"/>
          <w:sz w:val="21"/>
          <w:szCs w:val="21"/>
        </w:rPr>
        <w:t xml:space="preserve">本基金份额在深圳证券交易所上市后，如遇停复牌、暂停上市、恢复上市或终止上市的情形，按照《深圳证券交易所证券投资基金上市规则》的相关规定执行。 </w:t>
      </w:r>
    </w:p>
    <w:p w14:paraId="425BD4FD">
      <w:pPr>
        <w:pStyle w:val="7"/>
        <w:spacing w:before="0" w:beforeAutospacing="0" w:after="0" w:afterAutospacing="0" w:line="360" w:lineRule="auto"/>
        <w:ind w:firstLine="420"/>
        <w:rPr>
          <w:sz w:val="21"/>
          <w:szCs w:val="21"/>
        </w:rPr>
      </w:pPr>
      <w:r>
        <w:rPr>
          <w:rFonts w:hint="eastAsia"/>
          <w:sz w:val="21"/>
          <w:szCs w:val="21"/>
        </w:rPr>
        <w:t xml:space="preserve">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 </w:t>
      </w:r>
    </w:p>
    <w:p w14:paraId="7EA54503">
      <w:pPr>
        <w:pStyle w:val="7"/>
        <w:spacing w:before="0" w:beforeAutospacing="0" w:after="0" w:afterAutospacing="0" w:line="360" w:lineRule="auto"/>
        <w:ind w:firstLine="420"/>
        <w:rPr>
          <w:sz w:val="21"/>
          <w:szCs w:val="21"/>
        </w:rPr>
      </w:pPr>
      <w:r>
        <w:rPr>
          <w:rFonts w:hint="eastAsia"/>
          <w:b/>
          <w:bCs/>
          <w:sz w:val="21"/>
          <w:szCs w:val="21"/>
        </w:rPr>
        <w:t>四、基金份额参考净值的计算与公告</w:t>
      </w:r>
    </w:p>
    <w:p w14:paraId="490F0C69">
      <w:pPr>
        <w:pStyle w:val="7"/>
        <w:spacing w:before="0" w:beforeAutospacing="0" w:after="0" w:afterAutospacing="0" w:line="360" w:lineRule="auto"/>
        <w:ind w:firstLine="420"/>
        <w:rPr>
          <w:sz w:val="21"/>
          <w:szCs w:val="21"/>
        </w:rPr>
      </w:pPr>
      <w:r>
        <w:rPr>
          <w:rFonts w:hint="eastAsia"/>
          <w:sz w:val="21"/>
          <w:szCs w:val="21"/>
        </w:rPr>
        <w:t xml:space="preserve">基金管理人在每一个交易日开市前向深圳证券交易所提供当日的申购赎回清单。本基金基金份额参考净值（IOPV）由基金管理人或基金管理人委托的机构计算，并交由深圳证券交易所发布，供投资者交易、申购、赎回基金份额时参考。  </w:t>
      </w:r>
    </w:p>
    <w:p w14:paraId="0679F8DA">
      <w:pPr>
        <w:pStyle w:val="7"/>
        <w:spacing w:before="0" w:beforeAutospacing="0" w:after="0" w:afterAutospacing="0" w:line="360" w:lineRule="auto"/>
        <w:ind w:firstLine="420"/>
        <w:rPr>
          <w:sz w:val="21"/>
          <w:szCs w:val="21"/>
        </w:rPr>
      </w:pPr>
      <w:r>
        <w:rPr>
          <w:rFonts w:hint="eastAsia"/>
          <w:sz w:val="21"/>
          <w:szCs w:val="21"/>
        </w:rPr>
        <w:t xml:space="preserve">（1）基金份额参考净值的计算公式：  </w:t>
      </w:r>
    </w:p>
    <w:p w14:paraId="19C78BAF">
      <w:pPr>
        <w:pStyle w:val="7"/>
        <w:spacing w:before="0" w:beforeAutospacing="0" w:after="0" w:afterAutospacing="0" w:line="360" w:lineRule="auto"/>
        <w:ind w:firstLine="420"/>
        <w:rPr>
          <w:sz w:val="21"/>
          <w:szCs w:val="21"/>
        </w:rPr>
      </w:pPr>
      <w:r>
        <w:rPr>
          <w:rFonts w:hint="eastAsia"/>
          <w:sz w:val="21"/>
          <w:szCs w:val="21"/>
        </w:rPr>
        <w:t xml:space="preserve">基金份额参考净值＝（申购赎回清单中必须用现金替代的固定替代金额总额＋申购赎回清单中可以现金替代成份证券的数量、最新成交价以及汇率公允价的乘积之和＋申购赎回清单中的预估现金部分）／最小申购赎回单位所对应的基金份额。 </w:t>
      </w:r>
    </w:p>
    <w:p w14:paraId="35AB191D">
      <w:pPr>
        <w:pStyle w:val="7"/>
        <w:spacing w:before="0" w:beforeAutospacing="0" w:after="0" w:afterAutospacing="0" w:line="360" w:lineRule="auto"/>
        <w:ind w:firstLine="420"/>
        <w:rPr>
          <w:sz w:val="21"/>
          <w:szCs w:val="21"/>
        </w:rPr>
      </w:pPr>
      <w:r>
        <w:rPr>
          <w:rFonts w:hint="eastAsia"/>
          <w:sz w:val="21"/>
          <w:szCs w:val="21"/>
        </w:rPr>
        <w:t xml:space="preserve">（2）汇率公允价包括指数公司在发布和计算境外指数产品中采用的实时汇率价格、基金管理人审慎决定的其他公允价格等。  </w:t>
      </w:r>
    </w:p>
    <w:p w14:paraId="58A82910">
      <w:pPr>
        <w:pStyle w:val="7"/>
        <w:spacing w:before="0" w:beforeAutospacing="0" w:after="0" w:afterAutospacing="0" w:line="360" w:lineRule="auto"/>
        <w:ind w:firstLine="420"/>
        <w:rPr>
          <w:sz w:val="21"/>
          <w:szCs w:val="21"/>
        </w:rPr>
      </w:pPr>
      <w:r>
        <w:rPr>
          <w:rFonts w:hint="eastAsia"/>
          <w:sz w:val="21"/>
          <w:szCs w:val="21"/>
        </w:rPr>
        <w:t xml:space="preserve">（3）基金份额参考净值的计算以四舍五入的方法保留小数点后3位。  </w:t>
      </w:r>
    </w:p>
    <w:p w14:paraId="07765D76">
      <w:pPr>
        <w:pStyle w:val="7"/>
        <w:spacing w:before="0" w:beforeAutospacing="0" w:after="0" w:afterAutospacing="0" w:line="360" w:lineRule="auto"/>
        <w:ind w:firstLine="420"/>
        <w:rPr>
          <w:sz w:val="21"/>
          <w:szCs w:val="21"/>
        </w:rPr>
      </w:pPr>
      <w:r>
        <w:rPr>
          <w:rFonts w:hint="eastAsia"/>
          <w:sz w:val="21"/>
          <w:szCs w:val="21"/>
        </w:rPr>
        <w:t xml:space="preserve">（4）基金管理人可以调整基金份额参考净值计算公式，并予以公告。如深圳证券交易所对基金份额参考净值的计算方法另有规定的，从其规定。  </w:t>
      </w:r>
    </w:p>
    <w:p w14:paraId="5AD37567">
      <w:pPr>
        <w:pStyle w:val="7"/>
        <w:spacing w:before="0" w:beforeAutospacing="0" w:after="0" w:afterAutospacing="0" w:line="360" w:lineRule="auto"/>
        <w:ind w:firstLine="420"/>
        <w:rPr>
          <w:sz w:val="21"/>
          <w:szCs w:val="21"/>
        </w:rPr>
      </w:pPr>
      <w:r>
        <w:rPr>
          <w:rFonts w:hint="eastAsia"/>
          <w:b/>
          <w:bCs/>
          <w:sz w:val="21"/>
          <w:szCs w:val="21"/>
        </w:rPr>
        <w:t>五、其他</w:t>
      </w:r>
    </w:p>
    <w:p w14:paraId="652B8ED5">
      <w:pPr>
        <w:pStyle w:val="7"/>
        <w:spacing w:before="0" w:beforeAutospacing="0" w:after="0" w:afterAutospacing="0" w:line="360" w:lineRule="auto"/>
        <w:ind w:firstLine="420"/>
        <w:rPr>
          <w:sz w:val="21"/>
          <w:szCs w:val="21"/>
        </w:rPr>
      </w:pPr>
      <w:r>
        <w:rPr>
          <w:rFonts w:hint="eastAsia"/>
          <w:sz w:val="21"/>
          <w:szCs w:val="21"/>
        </w:rPr>
        <w:t xml:space="preserve">若深圳证券交易所、中国证券登记结算有限责任公司增加了基金上市交易的新功能，本基金管理人可以在履行适当的程序后增加相应功能。 </w:t>
      </w:r>
    </w:p>
    <w:p w14:paraId="63F663D1">
      <w:pPr>
        <w:pStyle w:val="7"/>
        <w:spacing w:before="0" w:beforeAutospacing="0" w:after="0" w:afterAutospacing="0" w:line="360" w:lineRule="auto"/>
        <w:ind w:firstLine="420"/>
        <w:rPr>
          <w:sz w:val="21"/>
          <w:szCs w:val="21"/>
        </w:rPr>
      </w:pPr>
      <w:r>
        <w:rPr>
          <w:rFonts w:hint="eastAsia"/>
          <w:sz w:val="21"/>
          <w:szCs w:val="21"/>
        </w:rPr>
        <w:t xml:space="preserve">相关法律法规、中国证监会、登记机构或深圳证券交易所对基金上市交易的规则等相关规定内容进行调整的，经基金管理人履行适当程序后，本基金按照新规定执行，若由此需要对基金合同进行修订的，无需召开基金份额持有人大会。 </w:t>
      </w:r>
    </w:p>
    <w:p w14:paraId="3EF411F4">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在不违反法律法规且对基金份额持有人利益无实质不利影响的前提下，基金管理人在履行适当的程序后，本基金可以申请在包括境外交易所在内的其他证券交易所上市交易，而无</w:t>
      </w:r>
      <w:bookmarkStart w:id="88" w:name="chapter_level1_11_89910_section_1_end"/>
      <w:bookmarkEnd w:id="88"/>
      <w:r>
        <w:rPr>
          <w:rFonts w:hint="eastAsia"/>
          <w:sz w:val="21"/>
          <w:szCs w:val="21"/>
        </w:rPr>
        <w:t xml:space="preserve">需召开基金份额持有人大会。 </w:t>
      </w:r>
    </w:p>
    <w:p w14:paraId="2B4CE7BB">
      <w:pPr>
        <w:widowControl/>
        <w:jc w:val="left"/>
        <w:rPr>
          <w:rFonts w:ascii="宋体" w:hAnsi="宋体" w:eastAsia="宋体"/>
        </w:rPr>
      </w:pPr>
      <w:r>
        <w:rPr>
          <w:rFonts w:ascii="宋体" w:hAnsi="宋体" w:eastAsia="宋体"/>
        </w:rPr>
        <w:br w:type="page"/>
      </w:r>
    </w:p>
    <w:p w14:paraId="7B4B5B02">
      <w:pPr>
        <w:pStyle w:val="2"/>
        <w:jc w:val="center"/>
        <w:rPr>
          <w:rFonts w:ascii="宋体" w:hAnsi="宋体" w:eastAsia="宋体"/>
          <w:sz w:val="30"/>
        </w:rPr>
      </w:pPr>
      <w:bookmarkStart w:id="89" w:name="chapter_level1_12_59"/>
      <w:bookmarkStart w:id="90" w:name="_Toc11828"/>
      <w:r>
        <w:rPr>
          <w:rFonts w:hint="eastAsia" w:ascii="宋体" w:hAnsi="宋体" w:eastAsia="宋体"/>
          <w:sz w:val="30"/>
        </w:rPr>
        <w:t>第九部分  基金份额的申购与赎回</w:t>
      </w:r>
      <w:bookmarkEnd w:id="89"/>
      <w:bookmarkEnd w:id="90"/>
    </w:p>
    <w:p w14:paraId="04BD2084">
      <w:pPr>
        <w:pStyle w:val="7"/>
        <w:spacing w:before="0" w:beforeAutospacing="0" w:after="0" w:afterAutospacing="0" w:line="360" w:lineRule="auto"/>
        <w:ind w:firstLine="420"/>
        <w:rPr>
          <w:sz w:val="21"/>
          <w:szCs w:val="21"/>
        </w:rPr>
      </w:pPr>
      <w:bookmarkStart w:id="91" w:name="chapter_level1_12_59_section_1"/>
      <w:bookmarkEnd w:id="91"/>
      <w:r>
        <w:rPr>
          <w:rFonts w:hint="eastAsia"/>
          <w:sz w:val="21"/>
          <w:szCs w:val="21"/>
        </w:rPr>
        <w:t xml:space="preserve">在目前结算规则下，本基金采用现金申购、赎回的方式运作。未来在条件允许的情况下，基金管理人可以在场内开通现金申购、赎回以外的方式办理申购、赎回业务，或开通场外申购、赎回相关业务，相应的业务规则、申购赎回原则等相关事项届时将另行约定并公告。 </w:t>
      </w:r>
    </w:p>
    <w:p w14:paraId="784FC425">
      <w:pPr>
        <w:pStyle w:val="7"/>
        <w:spacing w:before="0" w:beforeAutospacing="0" w:after="0" w:afterAutospacing="0" w:line="360" w:lineRule="auto"/>
        <w:ind w:firstLine="420"/>
        <w:rPr>
          <w:sz w:val="21"/>
          <w:szCs w:val="21"/>
        </w:rPr>
      </w:pPr>
      <w:r>
        <w:rPr>
          <w:rStyle w:val="11"/>
          <w:rFonts w:hint="eastAsia"/>
          <w:sz w:val="21"/>
          <w:szCs w:val="21"/>
        </w:rPr>
        <w:t>一、申购和赎回场所</w:t>
      </w:r>
    </w:p>
    <w:p w14:paraId="66717AEA">
      <w:pPr>
        <w:pStyle w:val="7"/>
        <w:spacing w:before="0" w:beforeAutospacing="0" w:after="0" w:afterAutospacing="0" w:line="360" w:lineRule="auto"/>
        <w:ind w:firstLine="420"/>
        <w:rPr>
          <w:sz w:val="21"/>
          <w:szCs w:val="21"/>
        </w:rPr>
      </w:pPr>
      <w:r>
        <w:rPr>
          <w:rFonts w:hint="eastAsia"/>
          <w:sz w:val="21"/>
          <w:szCs w:val="21"/>
        </w:rPr>
        <w:t xml:space="preserve">本基金投资人应当通过申购、赎回代理券商办理基金申购、赎回业务的营业场所或按申购、赎回代理券商提供的其他方式办理本基金的申购和赎回。 </w:t>
      </w:r>
    </w:p>
    <w:p w14:paraId="32FB4D8E">
      <w:pPr>
        <w:pStyle w:val="7"/>
        <w:spacing w:before="0" w:beforeAutospacing="0" w:after="0" w:afterAutospacing="0" w:line="360" w:lineRule="auto"/>
        <w:ind w:firstLine="420"/>
        <w:rPr>
          <w:sz w:val="21"/>
          <w:szCs w:val="21"/>
        </w:rPr>
      </w:pPr>
      <w:r>
        <w:rPr>
          <w:rFonts w:hint="eastAsia"/>
          <w:sz w:val="21"/>
          <w:szCs w:val="21"/>
        </w:rPr>
        <w:t xml:space="preserve">基金管理人在开始申购、赎回业务前公告申购、赎回代理券商的名单，并可依据实际情况变更申购、赎回代理券商并在基金管理人网站公示。 </w:t>
      </w:r>
    </w:p>
    <w:p w14:paraId="01FF169F">
      <w:pPr>
        <w:pStyle w:val="7"/>
        <w:spacing w:before="0" w:beforeAutospacing="0" w:after="0" w:afterAutospacing="0" w:line="360" w:lineRule="auto"/>
        <w:ind w:firstLine="420"/>
        <w:rPr>
          <w:sz w:val="21"/>
          <w:szCs w:val="21"/>
        </w:rPr>
      </w:pPr>
      <w:r>
        <w:rPr>
          <w:rFonts w:hint="eastAsia"/>
          <w:sz w:val="21"/>
          <w:szCs w:val="21"/>
        </w:rPr>
        <w:t>在法律法规、基金合同及未来条件允许的情况下，基金管理人直销机构可以开通申购赎</w:t>
      </w:r>
      <w:bookmarkStart w:id="92" w:name="chapter_level1_12_59_section_1_end"/>
      <w:bookmarkEnd w:id="92"/>
      <w:r>
        <w:rPr>
          <w:rFonts w:hint="eastAsia"/>
          <w:sz w:val="21"/>
          <w:szCs w:val="21"/>
        </w:rPr>
        <w:t xml:space="preserve">回业务，具体业务的办理时间及办理方式基金管理人将另行公告。 </w:t>
      </w:r>
    </w:p>
    <w:p w14:paraId="3AC7C8A1">
      <w:pPr>
        <w:pStyle w:val="7"/>
        <w:spacing w:before="0" w:beforeAutospacing="0" w:after="0" w:afterAutospacing="0" w:line="360" w:lineRule="auto"/>
        <w:ind w:firstLine="420"/>
        <w:rPr>
          <w:sz w:val="21"/>
          <w:szCs w:val="21"/>
        </w:rPr>
      </w:pPr>
      <w:bookmarkStart w:id="93" w:name="chapter_level1_12_59_section_2"/>
      <w:bookmarkEnd w:id="93"/>
      <w:r>
        <w:rPr>
          <w:rStyle w:val="11"/>
          <w:rFonts w:hint="eastAsia"/>
          <w:sz w:val="21"/>
          <w:szCs w:val="21"/>
        </w:rPr>
        <w:t>二、申购与赎回的开放日及时间</w:t>
      </w:r>
    </w:p>
    <w:p w14:paraId="2481D4DF">
      <w:pPr>
        <w:pStyle w:val="7"/>
        <w:spacing w:before="0" w:beforeAutospacing="0" w:after="0" w:afterAutospacing="0" w:line="360" w:lineRule="auto"/>
        <w:ind w:firstLine="420"/>
        <w:rPr>
          <w:sz w:val="21"/>
          <w:szCs w:val="21"/>
        </w:rPr>
      </w:pPr>
      <w:bookmarkStart w:id="94" w:name="chapter_level1_12_59_section_2_end"/>
      <w:bookmarkEnd w:id="94"/>
      <w:r>
        <w:rPr>
          <w:rFonts w:hint="eastAsia"/>
          <w:sz w:val="21"/>
          <w:szCs w:val="21"/>
        </w:rPr>
        <w:t xml:space="preserve">本基金已于2026年5月13日开放日常申购、赎回业务。  </w:t>
      </w:r>
    </w:p>
    <w:p w14:paraId="243418E7">
      <w:pPr>
        <w:pStyle w:val="7"/>
        <w:spacing w:before="0" w:beforeAutospacing="0" w:after="0" w:afterAutospacing="0" w:line="360" w:lineRule="auto"/>
        <w:ind w:firstLine="420"/>
        <w:rPr>
          <w:sz w:val="21"/>
          <w:szCs w:val="21"/>
        </w:rPr>
      </w:pPr>
      <w:bookmarkStart w:id="95" w:name="chapter_level1_12_59_section_3"/>
      <w:bookmarkEnd w:id="95"/>
      <w:r>
        <w:rPr>
          <w:rStyle w:val="11"/>
          <w:rFonts w:hint="eastAsia"/>
          <w:sz w:val="21"/>
          <w:szCs w:val="21"/>
        </w:rPr>
        <w:t>三、申购与赎回的原则</w:t>
      </w:r>
    </w:p>
    <w:p w14:paraId="0ADFF2B5">
      <w:pPr>
        <w:pStyle w:val="7"/>
        <w:spacing w:before="0" w:beforeAutospacing="0" w:after="0" w:afterAutospacing="0" w:line="360" w:lineRule="auto"/>
        <w:ind w:firstLine="420"/>
        <w:rPr>
          <w:sz w:val="21"/>
          <w:szCs w:val="21"/>
        </w:rPr>
      </w:pPr>
      <w:r>
        <w:rPr>
          <w:rFonts w:hint="eastAsia"/>
          <w:sz w:val="21"/>
          <w:szCs w:val="21"/>
        </w:rPr>
        <w:t xml:space="preserve">1、“份额申购、份额赎回”原则，即申购、赎回均以份额申请； </w:t>
      </w:r>
    </w:p>
    <w:p w14:paraId="3356A8F5">
      <w:pPr>
        <w:pStyle w:val="7"/>
        <w:spacing w:before="0" w:beforeAutospacing="0" w:after="0" w:afterAutospacing="0" w:line="360" w:lineRule="auto"/>
        <w:ind w:firstLine="420"/>
        <w:rPr>
          <w:sz w:val="21"/>
          <w:szCs w:val="21"/>
        </w:rPr>
      </w:pPr>
      <w:r>
        <w:rPr>
          <w:rFonts w:hint="eastAsia"/>
          <w:sz w:val="21"/>
          <w:szCs w:val="21"/>
        </w:rPr>
        <w:t xml:space="preserve">2、本基金申购、赎回的币种为人民币；基金管理人可以在不违反法律法规规定的情况下，增加其他币种的申购、赎回，其他币种申购、赎回的具体规则届时将另行公告； </w:t>
      </w:r>
    </w:p>
    <w:p w14:paraId="149A50BD">
      <w:pPr>
        <w:pStyle w:val="7"/>
        <w:spacing w:before="0" w:beforeAutospacing="0" w:after="0" w:afterAutospacing="0" w:line="360" w:lineRule="auto"/>
        <w:ind w:firstLine="420"/>
        <w:rPr>
          <w:sz w:val="21"/>
          <w:szCs w:val="21"/>
        </w:rPr>
      </w:pPr>
      <w:r>
        <w:rPr>
          <w:rFonts w:hint="eastAsia"/>
          <w:sz w:val="21"/>
          <w:szCs w:val="21"/>
        </w:rPr>
        <w:t xml:space="preserve">3、本基金的申购对价、赎回对价包括现金替代、现金差额和/或其他对价； </w:t>
      </w:r>
    </w:p>
    <w:p w14:paraId="51D85D4C">
      <w:pPr>
        <w:pStyle w:val="7"/>
        <w:spacing w:before="0" w:beforeAutospacing="0" w:after="0" w:afterAutospacing="0" w:line="360" w:lineRule="auto"/>
        <w:ind w:firstLine="420"/>
        <w:rPr>
          <w:sz w:val="21"/>
          <w:szCs w:val="21"/>
        </w:rPr>
      </w:pPr>
      <w:r>
        <w:rPr>
          <w:rFonts w:hint="eastAsia"/>
          <w:sz w:val="21"/>
          <w:szCs w:val="21"/>
        </w:rPr>
        <w:t xml:space="preserve">4、申购、赎回申请提交后不得撤销； </w:t>
      </w:r>
    </w:p>
    <w:p w14:paraId="0C63FE67">
      <w:pPr>
        <w:pStyle w:val="7"/>
        <w:spacing w:before="0" w:beforeAutospacing="0" w:after="0" w:afterAutospacing="0" w:line="360" w:lineRule="auto"/>
        <w:ind w:firstLine="420"/>
        <w:rPr>
          <w:sz w:val="21"/>
          <w:szCs w:val="21"/>
        </w:rPr>
      </w:pPr>
      <w:r>
        <w:rPr>
          <w:rFonts w:hint="eastAsia"/>
          <w:sz w:val="21"/>
          <w:szCs w:val="21"/>
        </w:rPr>
        <w:t xml:space="preserve">5、申购、赎回应遵守业务规则及其他相关规定； </w:t>
      </w:r>
    </w:p>
    <w:p w14:paraId="48171A4C">
      <w:pPr>
        <w:pStyle w:val="7"/>
        <w:spacing w:before="0" w:beforeAutospacing="0" w:after="0" w:afterAutospacing="0" w:line="360" w:lineRule="auto"/>
        <w:ind w:firstLine="420"/>
        <w:rPr>
          <w:sz w:val="21"/>
          <w:szCs w:val="21"/>
        </w:rPr>
      </w:pPr>
      <w:r>
        <w:rPr>
          <w:rFonts w:hint="eastAsia"/>
          <w:sz w:val="21"/>
          <w:szCs w:val="21"/>
        </w:rPr>
        <w:t xml:space="preserve">6、办理申购、赎回业务时，应当遵循基金份额持有人利益优先原则，确保投资者的合法权益不受损害并得到公平对待。 </w:t>
      </w:r>
    </w:p>
    <w:p w14:paraId="720D1B69">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基金管理人可在法律法规允许的情况下，对上述原则进行调整。基金管理人必须在新原则开始实施前依照《信息披露办法》的有关规定在规定媒介上公告。 </w:t>
      </w:r>
    </w:p>
    <w:p w14:paraId="2CD066F5">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14:paraId="108F4000">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7953F79C">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14:paraId="7396750D">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 </w:t>
      </w:r>
    </w:p>
    <w:p w14:paraId="677A334B">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14:paraId="7762D815">
      <w:pPr>
        <w:pStyle w:val="7"/>
        <w:spacing w:before="0" w:beforeAutospacing="0" w:after="0" w:afterAutospacing="0" w:line="360" w:lineRule="auto"/>
        <w:ind w:firstLine="420"/>
        <w:rPr>
          <w:sz w:val="21"/>
          <w:szCs w:val="21"/>
        </w:rPr>
      </w:pPr>
      <w:r>
        <w:rPr>
          <w:rFonts w:hint="eastAsia"/>
          <w:sz w:val="21"/>
          <w:szCs w:val="21"/>
        </w:rPr>
        <w:t xml:space="preserve">正常情况下，投资者申购、赎回申请由登记机构在T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或失败。 </w:t>
      </w:r>
    </w:p>
    <w:p w14:paraId="07BFF4CA">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14:paraId="4401568D">
      <w:pPr>
        <w:pStyle w:val="7"/>
        <w:spacing w:before="0" w:beforeAutospacing="0" w:after="0" w:afterAutospacing="0" w:line="360" w:lineRule="auto"/>
        <w:ind w:firstLine="420"/>
        <w:rPr>
          <w:sz w:val="21"/>
          <w:szCs w:val="21"/>
        </w:rPr>
      </w:pPr>
      <w:r>
        <w:rPr>
          <w:rFonts w:hint="eastAsia"/>
          <w:sz w:val="21"/>
          <w:szCs w:val="21"/>
        </w:rPr>
        <w:t xml:space="preserve">在目前结算规则下，投资者当日申购的基金份额，清算交收完成后可卖出和赎回，即T日申购的ETF份额且日间完成RTGS（实时逐笔全额结算）交收，T日可卖出与赎回，而T日申购的ETF份额且日终完成逐笔全额非担保交收，T+1日方可卖出和赎回；T日竞价买入的基金份额，T日可以赎回，T日可以卖出。 </w:t>
      </w:r>
    </w:p>
    <w:p w14:paraId="3004E028">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而无需召开基金份额持有人大会审议。 </w:t>
      </w:r>
    </w:p>
    <w:p w14:paraId="5A7C414D">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14:paraId="53B817CC">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基金份额、现金替代、现金差额及其他对价的清算交收适用深圳证券交易所、登记机构的相关规定和参与各方相关协议的有关规定，其中本基金现金申购业务中的现金替代采用逐笔全额结算处理；现金赎回业务中的现金替代采用代收代付处理；现金申购、赎回业务涉及的现金差额和现金替代退补款采用代收代付处理。 </w:t>
      </w:r>
    </w:p>
    <w:p w14:paraId="0542C482">
      <w:pPr>
        <w:pStyle w:val="7"/>
        <w:spacing w:before="0" w:beforeAutospacing="0" w:after="0" w:afterAutospacing="0" w:line="360" w:lineRule="auto"/>
        <w:ind w:firstLine="420"/>
        <w:rPr>
          <w:sz w:val="21"/>
          <w:szCs w:val="21"/>
        </w:rPr>
      </w:pPr>
      <w:r>
        <w:rPr>
          <w:rFonts w:hint="eastAsia"/>
          <w:sz w:val="21"/>
          <w:szCs w:val="21"/>
        </w:rPr>
        <w:t xml:space="preserve">投资者T 日申购成功后，正常情况下，登记机构在T 日为投资者办理基金份额与现金替代等的交收，在T+2日内办理现金差额的清算交收，并将结果发送给基金管理人、申购赎回代理券商和基金托管人。若发生特殊情况，基金管理人可以对清算交收日期进行相应调整。 </w:t>
      </w:r>
    </w:p>
    <w:p w14:paraId="053CA726">
      <w:pPr>
        <w:pStyle w:val="7"/>
        <w:spacing w:before="0" w:beforeAutospacing="0" w:after="0" w:afterAutospacing="0" w:line="360" w:lineRule="auto"/>
        <w:ind w:firstLine="420"/>
        <w:rPr>
          <w:sz w:val="21"/>
          <w:szCs w:val="21"/>
        </w:rPr>
      </w:pPr>
      <w:r>
        <w:rPr>
          <w:rFonts w:hint="eastAsia"/>
          <w:sz w:val="21"/>
          <w:szCs w:val="21"/>
        </w:rPr>
        <w:t xml:space="preserve">投资者T日赎回成功后，正常情况下，登记机构在T日收市后为投资者办理基金份额的交收，在T+2日内办理现金差额的清算交收，并将清算结果发送给基金管理人、申购赎回代理券商和基金托管人。赎回现金替代款将自有效赎回申请之日起7个开放日内划往基金份额持有人账户。若发生特殊情况，基金管理人可以对清算交收日期进行相应调整。 </w:t>
      </w:r>
    </w:p>
    <w:p w14:paraId="1D0B5075">
      <w:pPr>
        <w:pStyle w:val="7"/>
        <w:spacing w:before="0" w:beforeAutospacing="0" w:after="0" w:afterAutospacing="0" w:line="360" w:lineRule="auto"/>
        <w:ind w:firstLine="420"/>
        <w:rPr>
          <w:sz w:val="21"/>
          <w:szCs w:val="21"/>
        </w:rPr>
      </w:pPr>
      <w:r>
        <w:rPr>
          <w:rFonts w:hint="eastAsia"/>
          <w:sz w:val="21"/>
          <w:szCs w:val="21"/>
        </w:rPr>
        <w:t xml:space="preserve">如遇本基金投资的境外主要市场的交易清算规则有变更、基金投资的境外主要市场及外汇市场休市或暂停交易、登记公司系统故障、交易所或交易市场数据传输延迟、通讯系统故障、银行数据交换系统故障、港股通交易系统或港股通资金交收规则限制或其它非基金管理人及基金托管人所能控制的因素影响业务处理流程，则赎回现金替代款的支付时间可相应顺延。在发生基金合同载明的其他暂停赎回或延缓支付赎回对价的情形时，赎回现金替代款的支付办法参照基金合同有关条款处理。 </w:t>
      </w:r>
    </w:p>
    <w:p w14:paraId="195E2431">
      <w:pPr>
        <w:pStyle w:val="7"/>
        <w:spacing w:before="0" w:beforeAutospacing="0" w:after="0" w:afterAutospacing="0" w:line="360" w:lineRule="auto"/>
        <w:ind w:firstLine="420"/>
        <w:rPr>
          <w:sz w:val="21"/>
          <w:szCs w:val="21"/>
        </w:rPr>
      </w:pPr>
      <w:r>
        <w:rPr>
          <w:rFonts w:hint="eastAsia"/>
          <w:sz w:val="21"/>
          <w:szCs w:val="21"/>
        </w:rPr>
        <w:t xml:space="preserve">申购赎回涉及的现金差额、申购产生的应退款项、现金赎回替代款涉及交收日为港股通交易日和交收日的交集（不含半日港股通交易日或未完成两批次资金交收之日），当交收期间出现港股通交易日为非港股通交收日时，款项交收日期顺延。 </w:t>
      </w:r>
    </w:p>
    <w:p w14:paraId="3E04A697">
      <w:pPr>
        <w:pStyle w:val="7"/>
        <w:spacing w:before="0" w:beforeAutospacing="0" w:after="0" w:afterAutospacing="0" w:line="360" w:lineRule="auto"/>
        <w:ind w:firstLine="420"/>
        <w:rPr>
          <w:sz w:val="21"/>
          <w:szCs w:val="21"/>
        </w:rPr>
      </w:pPr>
      <w:r>
        <w:rPr>
          <w:rFonts w:hint="eastAsia"/>
          <w:sz w:val="21"/>
          <w:szCs w:val="21"/>
        </w:rPr>
        <w:t xml:space="preserve">如果登记机构和基金管理人在清算交收时发现不能正常履约的情形，则依据业务规则和参与各方相关协议的有关规定进行处理。 </w:t>
      </w:r>
    </w:p>
    <w:p w14:paraId="31DE012D">
      <w:pPr>
        <w:pStyle w:val="7"/>
        <w:spacing w:before="0" w:beforeAutospacing="0" w:after="0" w:afterAutospacing="0" w:line="360" w:lineRule="auto"/>
        <w:ind w:firstLine="420"/>
        <w:rPr>
          <w:sz w:val="21"/>
          <w:szCs w:val="21"/>
        </w:rPr>
      </w:pPr>
      <w:r>
        <w:rPr>
          <w:rFonts w:hint="eastAsia"/>
          <w:sz w:val="21"/>
          <w:szCs w:val="21"/>
        </w:rPr>
        <w:t xml:space="preserve">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 </w:t>
      </w:r>
    </w:p>
    <w:p w14:paraId="3D8CA263">
      <w:pPr>
        <w:pStyle w:val="7"/>
        <w:spacing w:before="0" w:beforeAutospacing="0" w:after="0" w:afterAutospacing="0" w:line="360" w:lineRule="auto"/>
        <w:ind w:firstLine="420"/>
        <w:rPr>
          <w:sz w:val="21"/>
          <w:szCs w:val="21"/>
        </w:rPr>
      </w:pPr>
      <w:r>
        <w:rPr>
          <w:rFonts w:hint="eastAsia"/>
          <w:sz w:val="21"/>
          <w:szCs w:val="21"/>
        </w:rPr>
        <w:t xml:space="preserve">登记机构和基金管理人可在法律法规允许的范围内，对申购与赎回的程序以及清算交收和登记的办理时间、方式、处理规则等进行调整。 </w:t>
      </w:r>
    </w:p>
    <w:p w14:paraId="3580F4B9">
      <w:pPr>
        <w:pStyle w:val="7"/>
        <w:spacing w:before="0" w:beforeAutospacing="0" w:after="0" w:afterAutospacing="0" w:line="360" w:lineRule="auto"/>
        <w:ind w:firstLine="420"/>
        <w:rPr>
          <w:sz w:val="21"/>
          <w:szCs w:val="21"/>
        </w:rPr>
      </w:pPr>
      <w:r>
        <w:rPr>
          <w:rStyle w:val="11"/>
          <w:rFonts w:hint="eastAsia"/>
          <w:sz w:val="21"/>
          <w:szCs w:val="21"/>
        </w:rPr>
        <w:t>五、申购与赎回的数额限制</w:t>
      </w:r>
    </w:p>
    <w:p w14:paraId="3609148B">
      <w:pPr>
        <w:pStyle w:val="7"/>
        <w:spacing w:before="0" w:beforeAutospacing="0" w:after="0" w:afterAutospacing="0" w:line="360" w:lineRule="auto"/>
        <w:ind w:firstLine="420"/>
        <w:rPr>
          <w:sz w:val="21"/>
          <w:szCs w:val="21"/>
        </w:rPr>
      </w:pPr>
      <w:r>
        <w:rPr>
          <w:rFonts w:hint="eastAsia"/>
          <w:sz w:val="21"/>
          <w:szCs w:val="21"/>
        </w:rPr>
        <w:t xml:space="preserve">1、投资者申购、赎回的基金份额需为最小申购、赎回单位的整数倍。 </w:t>
      </w:r>
    </w:p>
    <w:p w14:paraId="2EDF6B36">
      <w:pPr>
        <w:pStyle w:val="7"/>
        <w:spacing w:before="0" w:beforeAutospacing="0" w:after="0" w:afterAutospacing="0" w:line="360" w:lineRule="auto"/>
        <w:ind w:firstLine="420"/>
        <w:rPr>
          <w:sz w:val="21"/>
          <w:szCs w:val="21"/>
        </w:rPr>
      </w:pPr>
      <w:r>
        <w:rPr>
          <w:rFonts w:hint="eastAsia"/>
          <w:sz w:val="21"/>
          <w:szCs w:val="21"/>
        </w:rPr>
        <w:t xml:space="preserve">本基金的最小申购赎回单位为50万份。 </w:t>
      </w:r>
    </w:p>
    <w:p w14:paraId="2D3D8924">
      <w:pPr>
        <w:pStyle w:val="7"/>
        <w:spacing w:before="0" w:beforeAutospacing="0" w:after="0" w:afterAutospacing="0" w:line="360" w:lineRule="auto"/>
        <w:ind w:firstLine="420"/>
        <w:rPr>
          <w:sz w:val="21"/>
          <w:szCs w:val="21"/>
        </w:rPr>
      </w:pPr>
      <w:r>
        <w:rPr>
          <w:rFonts w:hint="eastAsia"/>
          <w:sz w:val="21"/>
          <w:szCs w:val="21"/>
        </w:rPr>
        <w:t xml:space="preserve">基金管理人可根据基金运作情况、市场变化以及投资者需求等因素对基金的最小申购赎回单位进行调整，并在调整实施前依照《信息披露办法》的有关规定在规定媒介公告。 </w:t>
      </w:r>
    </w:p>
    <w:p w14:paraId="33C79438">
      <w:pPr>
        <w:pStyle w:val="7"/>
        <w:spacing w:before="0" w:beforeAutospacing="0" w:after="0" w:afterAutospacing="0" w:line="360" w:lineRule="auto"/>
        <w:ind w:firstLine="420"/>
        <w:rPr>
          <w:sz w:val="21"/>
          <w:szCs w:val="21"/>
        </w:rPr>
      </w:pPr>
      <w:r>
        <w:rPr>
          <w:rFonts w:hint="eastAsia"/>
          <w:sz w:val="21"/>
          <w:szCs w:val="21"/>
        </w:rPr>
        <w:t xml:space="preserve">2、基金管理人可以规定本基金当日申购份额及当日赎回份额上限、单日或单笔申购份额上限和净申购比例上限，具体规定详见申购、赎回清单。 </w:t>
      </w:r>
    </w:p>
    <w:p w14:paraId="71B0E336">
      <w:pPr>
        <w:pStyle w:val="7"/>
        <w:spacing w:before="0" w:beforeAutospacing="0" w:after="0" w:afterAutospacing="0" w:line="360" w:lineRule="auto"/>
        <w:ind w:firstLine="420"/>
        <w:rPr>
          <w:sz w:val="21"/>
          <w:szCs w:val="21"/>
        </w:rPr>
      </w:pPr>
      <w:r>
        <w:rPr>
          <w:rFonts w:hint="eastAsia"/>
          <w:sz w:val="21"/>
          <w:szCs w:val="21"/>
        </w:rPr>
        <w:t xml:space="preserve">3、基金管理人可以规定投资人每个交易账户的最低基金份额余额，具体规定请参见更新的招募说明书或相关公告。 </w:t>
      </w:r>
    </w:p>
    <w:p w14:paraId="45097747">
      <w:pPr>
        <w:pStyle w:val="7"/>
        <w:spacing w:before="0" w:beforeAutospacing="0" w:after="0" w:afterAutospacing="0" w:line="360" w:lineRule="auto"/>
        <w:ind w:firstLine="420"/>
        <w:rPr>
          <w:sz w:val="21"/>
          <w:szCs w:val="21"/>
        </w:rPr>
      </w:pPr>
      <w:r>
        <w:rPr>
          <w:rFonts w:hint="eastAsia"/>
          <w:sz w:val="21"/>
          <w:szCs w:val="21"/>
        </w:rPr>
        <w:t xml:space="preserve">4、基金管理人可以规定单个投资人累计持有的基金份额上限，具体规定请参见更新的招募说明书或相关公告。 </w:t>
      </w:r>
    </w:p>
    <w:p w14:paraId="50DD6EED">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510EF05B">
      <w:pPr>
        <w:pStyle w:val="7"/>
        <w:spacing w:before="0" w:beforeAutospacing="0" w:after="0" w:afterAutospacing="0" w:line="360" w:lineRule="auto"/>
        <w:ind w:firstLine="420"/>
        <w:rPr>
          <w:sz w:val="21"/>
          <w:szCs w:val="21"/>
        </w:rPr>
      </w:pPr>
      <w:r>
        <w:rPr>
          <w:rFonts w:hint="eastAsia"/>
          <w:sz w:val="21"/>
          <w:szCs w:val="21"/>
        </w:rPr>
        <w:t xml:space="preserve">6、基金管理人可根据市场情况，在法律法规允许的情况下，调整上述规定数量或比例等限制。基金管理人必须在调整实施前依照《信息披露办法》的有关规定在规定媒介上公告（其中上述第2、3、4条可由基金管理人于前一交易日设定并在当日基金申购、赎回清单上公布，而不必在规定媒介上公告也无须报中国证监会备案）。 </w:t>
      </w:r>
    </w:p>
    <w:p w14:paraId="22B1A5AE">
      <w:pPr>
        <w:pStyle w:val="7"/>
        <w:spacing w:before="0" w:beforeAutospacing="0" w:after="0" w:afterAutospacing="0" w:line="360" w:lineRule="auto"/>
        <w:ind w:firstLine="420"/>
        <w:rPr>
          <w:sz w:val="21"/>
          <w:szCs w:val="21"/>
        </w:rPr>
      </w:pPr>
      <w:r>
        <w:rPr>
          <w:rStyle w:val="11"/>
          <w:rFonts w:hint="eastAsia"/>
          <w:sz w:val="21"/>
          <w:szCs w:val="21"/>
        </w:rPr>
        <w:t>六、申购与赎回的对价和费用</w:t>
      </w:r>
    </w:p>
    <w:p w14:paraId="36129A5E">
      <w:pPr>
        <w:pStyle w:val="7"/>
        <w:spacing w:before="0" w:beforeAutospacing="0" w:after="0" w:afterAutospacing="0" w:line="360" w:lineRule="auto"/>
        <w:ind w:firstLine="420"/>
        <w:rPr>
          <w:sz w:val="21"/>
          <w:szCs w:val="21"/>
        </w:rPr>
      </w:pPr>
      <w:r>
        <w:rPr>
          <w:rFonts w:hint="eastAsia"/>
          <w:sz w:val="21"/>
          <w:szCs w:val="21"/>
        </w:rPr>
        <w:t>1、本基金份额净值的计算，保留到小数点后</w:t>
      </w:r>
      <w:bookmarkStart w:id="96" w:name="field_63_netdecimal_1"/>
      <w:r>
        <w:rPr>
          <w:sz w:val="21"/>
          <w:szCs w:val="21"/>
        </w:rPr>
        <w:t>4</w:t>
      </w:r>
      <w:bookmarkEnd w:id="96"/>
      <w:r>
        <w:rPr>
          <w:rFonts w:hint="eastAsia"/>
          <w:sz w:val="21"/>
          <w:szCs w:val="21"/>
        </w:rPr>
        <w:t>位，小数点后第</w:t>
      </w:r>
      <w:bookmarkStart w:id="97" w:name="field_0_netdecimaladd1_1"/>
      <w:r>
        <w:rPr>
          <w:sz w:val="21"/>
          <w:szCs w:val="21"/>
        </w:rPr>
        <w:t>5</w:t>
      </w:r>
      <w:bookmarkEnd w:id="97"/>
      <w:r>
        <w:rPr>
          <w:rFonts w:hint="eastAsia"/>
          <w:sz w:val="21"/>
          <w:szCs w:val="21"/>
        </w:rPr>
        <w:t xml:space="preserve">位四舍五入，由此产生的收益或损失由基金财产承担。根据本基金目前的实际情况，本基金T日的基金份额净值在当天收市后计算，并按照基金合同的约定公告。遇特殊情况，经履行适当程序，可以适当延迟计算或公告。 </w:t>
      </w:r>
    </w:p>
    <w:p w14:paraId="27AEA6B7">
      <w:pPr>
        <w:pStyle w:val="7"/>
        <w:spacing w:before="0" w:beforeAutospacing="0" w:after="0" w:afterAutospacing="0" w:line="360" w:lineRule="auto"/>
        <w:ind w:firstLine="420"/>
        <w:rPr>
          <w:sz w:val="21"/>
          <w:szCs w:val="21"/>
        </w:rPr>
      </w:pPr>
      <w:r>
        <w:rPr>
          <w:rFonts w:hint="eastAsia"/>
          <w:sz w:val="21"/>
          <w:szCs w:val="21"/>
        </w:rPr>
        <w:t xml:space="preserve">2、申购对价、赎回对价根据申购赎回清单和投资者申购、赎回的基金份额数额确定。申购对价是指投资人申购基金份额时应交付的现金替代、现金差额和/或其他对价。赎回对价是指投资人赎回基金份额时，基金管理人应交付给投资人的现金替代、现金差额和/或其他对价。 </w:t>
      </w:r>
    </w:p>
    <w:p w14:paraId="04D8C009">
      <w:pPr>
        <w:pStyle w:val="7"/>
        <w:spacing w:before="0" w:beforeAutospacing="0" w:after="0" w:afterAutospacing="0" w:line="360" w:lineRule="auto"/>
        <w:ind w:firstLine="420"/>
        <w:rPr>
          <w:sz w:val="21"/>
          <w:szCs w:val="21"/>
        </w:rPr>
      </w:pPr>
      <w:r>
        <w:rPr>
          <w:rFonts w:hint="eastAsia"/>
          <w:sz w:val="21"/>
          <w:szCs w:val="21"/>
        </w:rPr>
        <w:t xml:space="preserve">3、申购赎回清单由基金管理人编制。T日的申购赎回清单在当日深圳证券交易所开市前公告。如遇特殊情况，可以适当延迟计算或公告。申购、赎回清单的内容与格式见下文“七、申购赎回清单的内容与格式”。 </w:t>
      </w:r>
    </w:p>
    <w:p w14:paraId="558BA4A5">
      <w:pPr>
        <w:pStyle w:val="7"/>
        <w:spacing w:before="0" w:beforeAutospacing="0" w:after="0" w:afterAutospacing="0" w:line="360" w:lineRule="auto"/>
        <w:ind w:firstLine="420"/>
        <w:rPr>
          <w:sz w:val="21"/>
          <w:szCs w:val="21"/>
        </w:rPr>
      </w:pPr>
      <w:r>
        <w:rPr>
          <w:rFonts w:hint="eastAsia"/>
          <w:sz w:val="21"/>
          <w:szCs w:val="21"/>
        </w:rPr>
        <w:t xml:space="preserve">4、投资者在申购本基金时，申购赎回代理券商可按照不超过0.3%的标准收取佣金，投资者在赎回本基金份额时，申购赎回代理券商可按照不超过0.5%的标准收取佣金，其中包含证券交易所、登记机构等收取的相关费用。 </w:t>
      </w:r>
    </w:p>
    <w:p w14:paraId="3783C456">
      <w:pPr>
        <w:pStyle w:val="7"/>
        <w:spacing w:before="0" w:beforeAutospacing="0" w:after="0" w:afterAutospacing="0" w:line="360" w:lineRule="auto"/>
        <w:ind w:firstLine="420"/>
        <w:rPr>
          <w:sz w:val="21"/>
          <w:szCs w:val="21"/>
        </w:rPr>
      </w:pPr>
      <w:r>
        <w:rPr>
          <w:rFonts w:hint="eastAsia"/>
          <w:sz w:val="21"/>
          <w:szCs w:val="21"/>
        </w:rPr>
        <w:t xml:space="preserve">5、基金管理人可以在不违反相关法律法规的情况下对基金份额净值、申购赎回清单计算和公告时间进行调整并提前公告。 </w:t>
      </w:r>
    </w:p>
    <w:p w14:paraId="3E925FEB">
      <w:pPr>
        <w:pStyle w:val="7"/>
        <w:spacing w:before="0" w:beforeAutospacing="0" w:after="0" w:afterAutospacing="0" w:line="360" w:lineRule="auto"/>
        <w:ind w:firstLine="420"/>
        <w:rPr>
          <w:sz w:val="21"/>
          <w:szCs w:val="21"/>
        </w:rPr>
      </w:pPr>
      <w:r>
        <w:rPr>
          <w:rStyle w:val="11"/>
          <w:rFonts w:hint="eastAsia"/>
          <w:sz w:val="21"/>
          <w:szCs w:val="21"/>
        </w:rPr>
        <w:t>七、申购赎回清单的内容与格式</w:t>
      </w:r>
    </w:p>
    <w:p w14:paraId="7C9A7396">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14:paraId="05A349FD">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申赎现金、组合证券内各成份证券数据、现金替代、T日预估现金部分、T-1日现金差额、T-1日基金份额净值、T-1日最小申购、赎回单位资产净值、申购份额上限和赎回份额上限及其他相关内容。 </w:t>
      </w:r>
    </w:p>
    <w:p w14:paraId="460FE069">
      <w:pPr>
        <w:pStyle w:val="7"/>
        <w:spacing w:before="0" w:beforeAutospacing="0" w:after="0" w:afterAutospacing="0" w:line="360" w:lineRule="auto"/>
        <w:ind w:firstLine="420"/>
        <w:rPr>
          <w:sz w:val="21"/>
          <w:szCs w:val="21"/>
        </w:rPr>
      </w:pPr>
      <w:r>
        <w:rPr>
          <w:rFonts w:hint="eastAsia"/>
          <w:sz w:val="21"/>
          <w:szCs w:val="21"/>
        </w:rPr>
        <w:t xml:space="preserve">2、申赎现金 </w:t>
      </w:r>
    </w:p>
    <w:p w14:paraId="0325EDCC">
      <w:pPr>
        <w:pStyle w:val="7"/>
        <w:spacing w:before="0" w:beforeAutospacing="0" w:after="0" w:afterAutospacing="0" w:line="360" w:lineRule="auto"/>
        <w:ind w:firstLine="420"/>
        <w:rPr>
          <w:sz w:val="21"/>
          <w:szCs w:val="21"/>
        </w:rPr>
      </w:pPr>
      <w:r>
        <w:rPr>
          <w:rFonts w:hint="eastAsia"/>
          <w:sz w:val="21"/>
          <w:szCs w:val="21"/>
        </w:rPr>
        <w:t xml:space="preserve">“申赎现金”不属于组合成份证券，是为了便于登记结算机构的清算交收安排，在申购赎回清单中增加的虚拟证券。“申赎现金”的现金替代标志为“必须”，但含义与组合成份证券的必须现金替代不同，“申赎现金”的申购替代金额为最小申购单位所对应的成份证券的必须现金替代与可以现金替代金额之和，赎回替代金额固定为0。 </w:t>
      </w:r>
    </w:p>
    <w:p w14:paraId="6BF0EA65">
      <w:pPr>
        <w:pStyle w:val="7"/>
        <w:spacing w:before="0" w:beforeAutospacing="0" w:after="0" w:afterAutospacing="0" w:line="360" w:lineRule="auto"/>
        <w:ind w:firstLine="420"/>
        <w:rPr>
          <w:sz w:val="21"/>
          <w:szCs w:val="21"/>
        </w:rPr>
      </w:pPr>
      <w:r>
        <w:rPr>
          <w:rFonts w:hint="eastAsia"/>
          <w:sz w:val="21"/>
          <w:szCs w:val="21"/>
        </w:rPr>
        <w:t xml:space="preserve">3、组合证券相关内容 </w:t>
      </w:r>
    </w:p>
    <w:p w14:paraId="0CB73D8E">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14:paraId="410C04B0">
      <w:pPr>
        <w:pStyle w:val="7"/>
        <w:spacing w:before="0" w:beforeAutospacing="0" w:after="0" w:afterAutospacing="0" w:line="360" w:lineRule="auto"/>
        <w:ind w:firstLine="420"/>
        <w:rPr>
          <w:sz w:val="21"/>
          <w:szCs w:val="21"/>
        </w:rPr>
      </w:pPr>
      <w:r>
        <w:rPr>
          <w:rFonts w:hint="eastAsia"/>
          <w:sz w:val="21"/>
          <w:szCs w:val="21"/>
        </w:rPr>
        <w:t xml:space="preserve">4、现金替代相关内容 </w:t>
      </w:r>
    </w:p>
    <w:p w14:paraId="7F94AD3D">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现金替代是指申购、赎回过程中，投资者按基金合同和招募说明书的规定，用于替代组合证券中全部或部分证券的一定数量的现金。 </w:t>
      </w:r>
    </w:p>
    <w:p w14:paraId="3BB6E50C">
      <w:pPr>
        <w:pStyle w:val="7"/>
        <w:spacing w:before="0" w:beforeAutospacing="0" w:after="0" w:afterAutospacing="0" w:line="360" w:lineRule="auto"/>
        <w:ind w:firstLine="420"/>
        <w:rPr>
          <w:sz w:val="21"/>
          <w:szCs w:val="21"/>
        </w:rPr>
      </w:pPr>
      <w:r>
        <w:rPr>
          <w:rFonts w:hint="eastAsia"/>
          <w:sz w:val="21"/>
          <w:szCs w:val="21"/>
        </w:rPr>
        <w:t xml:space="preserve">（1）现金替代分为2种类型：可以现金替代（标志为“允许”）和必须现金替代（标志为“必须”）。 </w:t>
      </w:r>
    </w:p>
    <w:p w14:paraId="260F6000">
      <w:pPr>
        <w:pStyle w:val="7"/>
        <w:spacing w:before="0" w:beforeAutospacing="0" w:after="0" w:afterAutospacing="0" w:line="360" w:lineRule="auto"/>
        <w:ind w:firstLine="420"/>
        <w:rPr>
          <w:sz w:val="21"/>
          <w:szCs w:val="21"/>
        </w:rPr>
      </w:pPr>
      <w:r>
        <w:rPr>
          <w:rFonts w:hint="eastAsia"/>
          <w:sz w:val="21"/>
          <w:szCs w:val="21"/>
        </w:rPr>
        <w:t xml:space="preserve">可以现金替代是指在申购、赎回基金份额时，允许使用现金作为全部或部分该成份证券的替代，替代金额按代理买卖原则确定。 </w:t>
      </w:r>
    </w:p>
    <w:p w14:paraId="14D12D93">
      <w:pPr>
        <w:pStyle w:val="7"/>
        <w:spacing w:before="0" w:beforeAutospacing="0" w:after="0" w:afterAutospacing="0" w:line="360" w:lineRule="auto"/>
        <w:ind w:firstLine="420"/>
        <w:rPr>
          <w:sz w:val="21"/>
          <w:szCs w:val="21"/>
        </w:rPr>
      </w:pPr>
      <w:r>
        <w:rPr>
          <w:rFonts w:hint="eastAsia"/>
          <w:sz w:val="21"/>
          <w:szCs w:val="21"/>
        </w:rPr>
        <w:t xml:space="preserve">必须现金替代是指在申购、赎回基金份额时，该成份证券必须使用现金作为替代，采取固定替代金额。 </w:t>
      </w:r>
    </w:p>
    <w:p w14:paraId="76B7B7E6">
      <w:pPr>
        <w:pStyle w:val="7"/>
        <w:spacing w:before="0" w:beforeAutospacing="0" w:after="0" w:afterAutospacing="0" w:line="360" w:lineRule="auto"/>
        <w:ind w:firstLine="420"/>
        <w:rPr>
          <w:sz w:val="21"/>
          <w:szCs w:val="21"/>
        </w:rPr>
      </w:pPr>
      <w:r>
        <w:rPr>
          <w:rFonts w:hint="eastAsia"/>
          <w:sz w:val="21"/>
          <w:szCs w:val="21"/>
        </w:rPr>
        <w:t xml:space="preserve">（2）可以现金替代 </w:t>
      </w:r>
    </w:p>
    <w:p w14:paraId="20203B5E">
      <w:pPr>
        <w:pStyle w:val="7"/>
        <w:spacing w:before="0" w:beforeAutospacing="0" w:after="0" w:afterAutospacing="0" w:line="360" w:lineRule="auto"/>
        <w:ind w:firstLine="420"/>
        <w:rPr>
          <w:sz w:val="21"/>
          <w:szCs w:val="21"/>
        </w:rPr>
      </w:pPr>
      <w:r>
        <w:rPr>
          <w:rFonts w:hint="eastAsia"/>
          <w:sz w:val="21"/>
          <w:szCs w:val="21"/>
        </w:rPr>
        <w:t xml:space="preserve">1）适用情形：可以现金替代的证券是指基金管理人认为需要在投资人申购或赎回时代投资人买入或卖出的证券。 </w:t>
      </w:r>
    </w:p>
    <w:p w14:paraId="4077DA08">
      <w:pPr>
        <w:pStyle w:val="7"/>
        <w:spacing w:before="0" w:beforeAutospacing="0" w:after="0" w:afterAutospacing="0" w:line="360" w:lineRule="auto"/>
        <w:ind w:firstLine="420"/>
        <w:rPr>
          <w:sz w:val="21"/>
          <w:szCs w:val="21"/>
        </w:rPr>
      </w:pPr>
      <w:r>
        <w:rPr>
          <w:rFonts w:hint="eastAsia"/>
          <w:sz w:val="21"/>
          <w:szCs w:val="21"/>
        </w:rPr>
        <w:t xml:space="preserve">2）申购替代金额 </w:t>
      </w:r>
    </w:p>
    <w:p w14:paraId="14422BF2">
      <w:pPr>
        <w:pStyle w:val="7"/>
        <w:spacing w:before="0" w:beforeAutospacing="0" w:after="0" w:afterAutospacing="0" w:line="360" w:lineRule="auto"/>
        <w:ind w:firstLine="420"/>
        <w:rPr>
          <w:sz w:val="21"/>
          <w:szCs w:val="21"/>
        </w:rPr>
      </w:pPr>
      <w:r>
        <w:rPr>
          <w:rFonts w:hint="eastAsia"/>
          <w:sz w:val="21"/>
          <w:szCs w:val="21"/>
        </w:rPr>
        <w:t xml:space="preserve">申购时，对于可以现金替代的证券，替代金额的计算公式为： </w:t>
      </w:r>
    </w:p>
    <w:p w14:paraId="73BC7FC2">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替代金额=替代证券数量×该证券T日预计开盘价×T-1日估值汇率×（1＋现金替代溢价比例）。 </w:t>
      </w:r>
    </w:p>
    <w:p w14:paraId="7F6D50F7">
      <w:pPr>
        <w:pStyle w:val="7"/>
        <w:spacing w:before="0" w:beforeAutospacing="0" w:after="0" w:afterAutospacing="0" w:line="360" w:lineRule="auto"/>
        <w:ind w:firstLine="420"/>
        <w:rPr>
          <w:sz w:val="21"/>
          <w:szCs w:val="21"/>
        </w:rPr>
      </w:pPr>
      <w:r>
        <w:rPr>
          <w:rFonts w:hint="eastAsia"/>
          <w:sz w:val="21"/>
          <w:szCs w:val="21"/>
        </w:rPr>
        <w:t xml:space="preserve">“现金替代溢价比例”也称“现金替代保证金率”。收取现金替代溢价的原因是，对于使用现金替代的证券，基金管理人需为投资者在对应证券市场开市期间买入证券，而实际买入价格（或证券实际结算价格）加上相关交易费用后与申购时证券的参考收盘价可能有所差异。 </w:t>
      </w:r>
    </w:p>
    <w:p w14:paraId="263D9527">
      <w:pPr>
        <w:pStyle w:val="7"/>
        <w:spacing w:before="0" w:beforeAutospacing="0" w:after="0" w:afterAutospacing="0" w:line="360" w:lineRule="auto"/>
        <w:ind w:firstLine="420"/>
        <w:rPr>
          <w:sz w:val="21"/>
          <w:szCs w:val="21"/>
        </w:rPr>
      </w:pPr>
      <w:r>
        <w:rPr>
          <w:rFonts w:hint="eastAsia"/>
          <w:sz w:val="21"/>
          <w:szCs w:val="21"/>
        </w:rPr>
        <w:t xml:space="preserve">为便于操作，基金管理人在申购赎回清单中预先确定现金替代溢价比例，并据此收取替代金额。基金管理人可以根据市场情况和实际需要确定和调整现金替代溢价比例，具体的现金替代溢价比例以申购赎回清单公告为准。 </w:t>
      </w:r>
    </w:p>
    <w:p w14:paraId="6831ED54">
      <w:pPr>
        <w:pStyle w:val="7"/>
        <w:spacing w:before="0" w:beforeAutospacing="0" w:after="0" w:afterAutospacing="0" w:line="360" w:lineRule="auto"/>
        <w:ind w:firstLine="420"/>
        <w:rPr>
          <w:sz w:val="21"/>
          <w:szCs w:val="21"/>
        </w:rPr>
      </w:pPr>
      <w:r>
        <w:rPr>
          <w:rFonts w:hint="eastAsia"/>
          <w:sz w:val="21"/>
          <w:szCs w:val="21"/>
        </w:rPr>
        <w:t xml:space="preserve">申购时，如果预先收取的金额高于基金买入证券的实际成本（或证券实际结算成本），则基金管理人将退还多收取的差额；如果预先收取的金额低于基金买入证券的实际成本（或证券实际结算成本），则基金管理人将向投资者收取欠缺的差额。 </w:t>
      </w:r>
    </w:p>
    <w:p w14:paraId="30AEC1F7">
      <w:pPr>
        <w:pStyle w:val="7"/>
        <w:spacing w:before="0" w:beforeAutospacing="0" w:after="0" w:afterAutospacing="0" w:line="360" w:lineRule="auto"/>
        <w:ind w:firstLine="420"/>
        <w:rPr>
          <w:sz w:val="21"/>
          <w:szCs w:val="21"/>
        </w:rPr>
      </w:pPr>
      <w:r>
        <w:rPr>
          <w:rFonts w:hint="eastAsia"/>
          <w:sz w:val="21"/>
          <w:szCs w:val="21"/>
        </w:rPr>
        <w:t xml:space="preserve">3）申购替代金额的处理程序 </w:t>
      </w:r>
    </w:p>
    <w:p w14:paraId="5EDC2051">
      <w:pPr>
        <w:pStyle w:val="7"/>
        <w:spacing w:before="0" w:beforeAutospacing="0" w:after="0" w:afterAutospacing="0" w:line="360" w:lineRule="auto"/>
        <w:ind w:firstLine="420"/>
        <w:rPr>
          <w:sz w:val="21"/>
          <w:szCs w:val="21"/>
        </w:rPr>
      </w:pPr>
      <w:r>
        <w:rPr>
          <w:rFonts w:hint="eastAsia"/>
          <w:sz w:val="21"/>
          <w:szCs w:val="21"/>
        </w:rPr>
        <w:t xml:space="preserve">T 日，基金管理人在申购赎回清单中公布现金替代溢价比例，并据此收取申购替代金额。 </w:t>
      </w:r>
    </w:p>
    <w:p w14:paraId="343C74D3">
      <w:pPr>
        <w:pStyle w:val="7"/>
        <w:spacing w:before="0" w:beforeAutospacing="0" w:after="0" w:afterAutospacing="0" w:line="360" w:lineRule="auto"/>
        <w:ind w:firstLine="420"/>
        <w:rPr>
          <w:sz w:val="21"/>
          <w:szCs w:val="21"/>
        </w:rPr>
      </w:pPr>
      <w:r>
        <w:rPr>
          <w:rFonts w:hint="eastAsia"/>
          <w:sz w:val="21"/>
          <w:szCs w:val="21"/>
        </w:rPr>
        <w:t xml:space="preserve">正常情况下，对于确认成功的T日申购申请，在T日（指深圳证券交易所与香港交易所的共同交易日）内，基金管理人以收到的申购替代金额代投资者买入被替代证券。基金管理人有权在T日（指深圳证券交易所与香港交易所的共同交易日）内任意时刻以收到的申购替代金额代投资者买入小于等于被替代证券数量的任意数量的被替代证券。基金管理人有权根据基金投资的需要自主决定不买入部分被替代证券，或者不进行任何买入证券的操作。 </w:t>
      </w:r>
    </w:p>
    <w:p w14:paraId="28DC0854">
      <w:pPr>
        <w:pStyle w:val="7"/>
        <w:spacing w:before="0" w:beforeAutospacing="0" w:after="0" w:afterAutospacing="0" w:line="360" w:lineRule="auto"/>
        <w:ind w:firstLine="420"/>
        <w:rPr>
          <w:sz w:val="21"/>
          <w:szCs w:val="21"/>
        </w:rPr>
      </w:pPr>
      <w:r>
        <w:rPr>
          <w:rFonts w:hint="eastAsia"/>
          <w:sz w:val="21"/>
          <w:szCs w:val="21"/>
        </w:rPr>
        <w:t xml:space="preserve">T日日终，基金管理人根据所购入的被替代证券的实际单位购入成本（包括买入价格与相关费用）和未买入的被替代证券的T日收盘价（折算为人民币，折算汇率包括但不限于中国外汇交易中心参考汇率或交易汇率、中国人民银行或其授权机构最新公布的人民币汇率中间价、与基金托管人商定的其他公允价格等；T日在证券交易所无交易的，取最近交易日的收盘价）计算被替代证券的单位结算成本，在此基础上根据替代证券数量和申购现金替代保证金确定基金应退还投资者或投资者应补交的款项。在此期间若该部分证券发生除息、送股（转增）、配股等重要权益变动，则进行相应调整。 </w:t>
      </w:r>
    </w:p>
    <w:p w14:paraId="1720DF9C">
      <w:pPr>
        <w:pStyle w:val="7"/>
        <w:spacing w:before="0" w:beforeAutospacing="0" w:after="0" w:afterAutospacing="0" w:line="360" w:lineRule="auto"/>
        <w:ind w:firstLine="420"/>
        <w:rPr>
          <w:sz w:val="21"/>
          <w:szCs w:val="21"/>
        </w:rPr>
      </w:pPr>
      <w:r>
        <w:rPr>
          <w:rFonts w:hint="eastAsia"/>
          <w:sz w:val="21"/>
          <w:szCs w:val="21"/>
        </w:rPr>
        <w:t xml:space="preserve">正常情况下，T+5日（指开放日）内，基金管理人将应退款和补款的明细及汇总数据发送给登记机构，登记机构办理现金替代多退少补资金的清算，并将结果发送给相关申购赎回代理机构和基金托管人，相关款项的交收于数据发送后的第1个工作日内完成。若发生特殊情况，基金管理人可以对交收日期进行相应调整。 </w:t>
      </w:r>
    </w:p>
    <w:p w14:paraId="71ECA944">
      <w:pPr>
        <w:pStyle w:val="7"/>
        <w:spacing w:before="0" w:beforeAutospacing="0" w:after="0" w:afterAutospacing="0" w:line="360" w:lineRule="auto"/>
        <w:ind w:firstLine="420"/>
        <w:rPr>
          <w:sz w:val="21"/>
          <w:szCs w:val="21"/>
        </w:rPr>
      </w:pPr>
      <w:r>
        <w:rPr>
          <w:rFonts w:hint="eastAsia"/>
          <w:sz w:val="21"/>
          <w:szCs w:val="21"/>
        </w:rPr>
        <w:t xml:space="preserve">如遇港股通临时停市、港股通交易每日额度不足等特殊情况，组合证券的代理买入及结算价格可依次顺延至下一港股通交易日直至交易正常。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退补款的清算交收可在其复牌后按照实际交易成本办理。在此期间若该证券发生除息、送股（转增）、配股等重要权益变动，则进行相应调整。 </w:t>
      </w:r>
    </w:p>
    <w:p w14:paraId="1A4BC4A4">
      <w:pPr>
        <w:pStyle w:val="7"/>
        <w:spacing w:before="0" w:beforeAutospacing="0" w:after="0" w:afterAutospacing="0" w:line="360" w:lineRule="auto"/>
        <w:ind w:firstLine="420"/>
        <w:rPr>
          <w:sz w:val="21"/>
          <w:szCs w:val="21"/>
        </w:rPr>
      </w:pPr>
      <w:r>
        <w:rPr>
          <w:rFonts w:hint="eastAsia"/>
          <w:sz w:val="21"/>
          <w:szCs w:val="21"/>
        </w:rPr>
        <w:t xml:space="preserve">4）赎回替代金额的处理程序 </w:t>
      </w:r>
    </w:p>
    <w:p w14:paraId="4C605839">
      <w:pPr>
        <w:pStyle w:val="7"/>
        <w:spacing w:before="0" w:beforeAutospacing="0" w:after="0" w:afterAutospacing="0" w:line="360" w:lineRule="auto"/>
        <w:ind w:firstLine="420"/>
        <w:rPr>
          <w:sz w:val="21"/>
          <w:szCs w:val="21"/>
        </w:rPr>
      </w:pPr>
      <w:r>
        <w:rPr>
          <w:rFonts w:hint="eastAsia"/>
          <w:sz w:val="21"/>
          <w:szCs w:val="21"/>
        </w:rPr>
        <w:t xml:space="preserve">正常情况下，对于确认成功的T日赎回申请，在T日（指深圳证券交易所与香港交易所的共同交易日）内，基金管理人根据赎回申请代投资者卖出被替代证券。基金管理人有权在T日（指深圳证券交易所与香港交易所的共同交易日）内任意时刻代投资者卖出小于等于被替代证券数量的任意数量的被替代证券。基金管理人有权根据基金投资的需要自主决定不卖出部分被替代证券，或者不进行任何卖出证券的操作。 </w:t>
      </w:r>
    </w:p>
    <w:p w14:paraId="08FDB9E2">
      <w:pPr>
        <w:pStyle w:val="7"/>
        <w:spacing w:before="0" w:beforeAutospacing="0" w:after="0" w:afterAutospacing="0" w:line="360" w:lineRule="auto"/>
        <w:ind w:firstLine="420"/>
        <w:rPr>
          <w:sz w:val="21"/>
          <w:szCs w:val="21"/>
        </w:rPr>
      </w:pPr>
      <w:r>
        <w:rPr>
          <w:rFonts w:hint="eastAsia"/>
          <w:sz w:val="21"/>
          <w:szCs w:val="21"/>
        </w:rPr>
        <w:t xml:space="preserve">T日日终，基金管理人根据所卖出的被替代证券的实际单位卖出金额（扣除相关费用）和未卖出的被替代证券的T日收盘价（折算为人民币，折算汇率包括但不限于中国外汇交易中心参考汇率或交易汇率、中国人民银行或其授权机构最新公布的人民币汇率中间价、与基金托管人商定的其他公允价格等；被替代证券T日（指开放日）在证券交易所无交易的，取最近交易日的收盘价）计算被替代证券的单位结算金额，在此基础上根据替代证券数量确定赎回替代金额。在此期间若该部分证券发生除息、送股（转增）、配股等重要权益变动，则进行相应调整。 </w:t>
      </w:r>
    </w:p>
    <w:p w14:paraId="6AEEA7EB">
      <w:pPr>
        <w:pStyle w:val="7"/>
        <w:spacing w:before="0" w:beforeAutospacing="0" w:after="0" w:afterAutospacing="0" w:line="360" w:lineRule="auto"/>
        <w:ind w:firstLine="420"/>
        <w:rPr>
          <w:sz w:val="21"/>
          <w:szCs w:val="21"/>
        </w:rPr>
      </w:pPr>
      <w:r>
        <w:rPr>
          <w:rFonts w:hint="eastAsia"/>
          <w:sz w:val="21"/>
          <w:szCs w:val="21"/>
        </w:rPr>
        <w:t xml:space="preserve">T+7日（指开放日）内，基金管理人将应支付的赎回替代金额与相关申购赎回代理券商办理交收。若发生特殊情况，基金管理人可以对交收日期进行相应调整。 </w:t>
      </w:r>
    </w:p>
    <w:p w14:paraId="74A262E0">
      <w:pPr>
        <w:pStyle w:val="7"/>
        <w:spacing w:before="0" w:beforeAutospacing="0" w:after="0" w:afterAutospacing="0" w:line="360" w:lineRule="auto"/>
        <w:ind w:firstLine="420"/>
        <w:rPr>
          <w:sz w:val="21"/>
          <w:szCs w:val="21"/>
        </w:rPr>
      </w:pPr>
      <w:r>
        <w:rPr>
          <w:rFonts w:hint="eastAsia"/>
          <w:sz w:val="21"/>
          <w:szCs w:val="21"/>
        </w:rPr>
        <w:t xml:space="preserve">如遇港股通临时停市等特殊情况，组合证券的代理卖出及结算价格可依次顺延至下一港股通交易日直至交易正常。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14:paraId="2614B7D5">
      <w:pPr>
        <w:pStyle w:val="7"/>
        <w:spacing w:before="0" w:beforeAutospacing="0" w:after="0" w:afterAutospacing="0" w:line="360" w:lineRule="auto"/>
        <w:ind w:firstLine="420"/>
        <w:rPr>
          <w:sz w:val="21"/>
          <w:szCs w:val="21"/>
        </w:rPr>
      </w:pPr>
      <w:r>
        <w:rPr>
          <w:rFonts w:hint="eastAsia"/>
          <w:sz w:val="21"/>
          <w:szCs w:val="21"/>
        </w:rPr>
        <w:t xml:space="preserve">5）基金管理人可根据运作情况调整代理申赎投资者买券卖券的相关规则并按规定公告。 </w:t>
      </w:r>
    </w:p>
    <w:p w14:paraId="09828CBD">
      <w:pPr>
        <w:pStyle w:val="7"/>
        <w:spacing w:before="0" w:beforeAutospacing="0" w:after="0" w:afterAutospacing="0" w:line="360" w:lineRule="auto"/>
        <w:ind w:firstLine="420"/>
        <w:rPr>
          <w:sz w:val="21"/>
          <w:szCs w:val="21"/>
        </w:rPr>
      </w:pPr>
      <w:r>
        <w:rPr>
          <w:rFonts w:hint="eastAsia"/>
          <w:sz w:val="21"/>
          <w:szCs w:val="21"/>
        </w:rPr>
        <w:t xml:space="preserve">6）未来如相关证券交易、结算规则发生改变，或深圳证券交易所、登记结算机构有关申购赎回交易结算规则发生改变，或基金管理人与基金托管人之间的结算相关安排发生改变，基金管理人可对上述相关现金替代处理规则进行调整，并按规定公告。 </w:t>
      </w:r>
    </w:p>
    <w:p w14:paraId="0E63A217">
      <w:pPr>
        <w:pStyle w:val="7"/>
        <w:spacing w:before="0" w:beforeAutospacing="0" w:after="0" w:afterAutospacing="0" w:line="360" w:lineRule="auto"/>
        <w:ind w:firstLine="420"/>
        <w:rPr>
          <w:sz w:val="21"/>
          <w:szCs w:val="21"/>
        </w:rPr>
      </w:pPr>
      <w:r>
        <w:rPr>
          <w:rFonts w:hint="eastAsia"/>
          <w:sz w:val="21"/>
          <w:szCs w:val="21"/>
        </w:rPr>
        <w:t xml:space="preserve">（3）必须现金替代 </w:t>
      </w:r>
    </w:p>
    <w:p w14:paraId="6883792B">
      <w:pPr>
        <w:pStyle w:val="7"/>
        <w:spacing w:before="0" w:beforeAutospacing="0" w:after="0" w:afterAutospacing="0" w:line="360" w:lineRule="auto"/>
        <w:ind w:firstLine="420"/>
        <w:rPr>
          <w:sz w:val="21"/>
          <w:szCs w:val="21"/>
        </w:rPr>
      </w:pPr>
      <w:r>
        <w:rPr>
          <w:rFonts w:hint="eastAsia"/>
          <w:sz w:val="21"/>
          <w:szCs w:val="21"/>
        </w:rPr>
        <w:t xml:space="preserve">1）适用情形：必须现金替代的证券一般是由于标的指数调整，即将被剔除的成份证券；或法律法规限制投资的证券；或基金管理人出于保护基金份额持有人利益等原因认为有必要实行必须现金替代的成份证券。 </w:t>
      </w:r>
    </w:p>
    <w:p w14:paraId="34D4D9ED">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必须替代金额的计算方法为申购赎回清单中该证券的数量乘以T日预估开盘价并按照T-1日估值汇率换算或基金管理人认为合理的其他方法。 </w:t>
      </w:r>
    </w:p>
    <w:p w14:paraId="3E800423">
      <w:pPr>
        <w:pStyle w:val="7"/>
        <w:spacing w:before="0" w:beforeAutospacing="0" w:after="0" w:afterAutospacing="0" w:line="360" w:lineRule="auto"/>
        <w:ind w:firstLine="420"/>
        <w:rPr>
          <w:sz w:val="21"/>
          <w:szCs w:val="21"/>
        </w:rPr>
      </w:pPr>
      <w:r>
        <w:rPr>
          <w:rFonts w:hint="eastAsia"/>
          <w:sz w:val="21"/>
          <w:szCs w:val="21"/>
        </w:rPr>
        <w:t xml:space="preserve">5、预估现金部分相关内容 </w:t>
      </w:r>
    </w:p>
    <w:p w14:paraId="016656F2">
      <w:pPr>
        <w:pStyle w:val="7"/>
        <w:spacing w:before="0" w:beforeAutospacing="0" w:after="0" w:afterAutospacing="0" w:line="360" w:lineRule="auto"/>
        <w:ind w:firstLine="420"/>
        <w:rPr>
          <w:sz w:val="21"/>
          <w:szCs w:val="21"/>
        </w:rPr>
      </w:pPr>
      <w:r>
        <w:rPr>
          <w:rFonts w:hint="eastAsia"/>
          <w:sz w:val="21"/>
          <w:szCs w:val="21"/>
        </w:rPr>
        <w:t xml:space="preserve">预估现金部分是指为便于计算基金份额参考净值及申购赎回代理券商预先冻结申请申购、赎回的投资者的相应资金，由基金管理人计算的现金数额。 </w:t>
      </w:r>
    </w:p>
    <w:p w14:paraId="1C4A59A1">
      <w:pPr>
        <w:pStyle w:val="7"/>
        <w:spacing w:before="0" w:beforeAutospacing="0" w:after="0" w:afterAutospacing="0" w:line="360" w:lineRule="auto"/>
        <w:ind w:firstLine="420"/>
        <w:rPr>
          <w:sz w:val="21"/>
          <w:szCs w:val="21"/>
        </w:rPr>
      </w:pPr>
      <w:r>
        <w:rPr>
          <w:rFonts w:hint="eastAsia"/>
          <w:sz w:val="21"/>
          <w:szCs w:val="21"/>
        </w:rPr>
        <w:t xml:space="preserve">T日申购赎回清单中公告T日预估现金部分。其计算公式为： </w:t>
      </w:r>
    </w:p>
    <w:p w14:paraId="573914A3">
      <w:pPr>
        <w:pStyle w:val="7"/>
        <w:spacing w:before="0" w:beforeAutospacing="0" w:after="0" w:afterAutospacing="0" w:line="360" w:lineRule="auto"/>
        <w:ind w:firstLine="420"/>
        <w:rPr>
          <w:sz w:val="21"/>
          <w:szCs w:val="21"/>
        </w:rPr>
      </w:pPr>
      <w:r>
        <w:rPr>
          <w:rFonts w:hint="eastAsia"/>
          <w:sz w:val="21"/>
          <w:szCs w:val="21"/>
        </w:rPr>
        <w:t xml:space="preserve">T日预估现金部分＝T-1日最小申购、赎回单位的基金资产净值－（申购赎回清单中必须现金替代的成份证券的替代金额+申购赎回清单中可以现金替代的成份证券的数量、T日预估开盘价以及T-1日估值汇率的乘积之和） </w:t>
      </w:r>
    </w:p>
    <w:p w14:paraId="6FF03D76">
      <w:pPr>
        <w:pStyle w:val="7"/>
        <w:spacing w:before="0" w:beforeAutospacing="0" w:after="0" w:afterAutospacing="0" w:line="360" w:lineRule="auto"/>
        <w:ind w:firstLine="420"/>
        <w:rPr>
          <w:sz w:val="21"/>
          <w:szCs w:val="21"/>
        </w:rPr>
      </w:pPr>
      <w:r>
        <w:rPr>
          <w:rFonts w:hint="eastAsia"/>
          <w:sz w:val="21"/>
          <w:szCs w:val="21"/>
        </w:rPr>
        <w:t xml:space="preserve">其中，若T日为基金分红除息日，则预估现金需进行相应的调整。若T日为基金最小申购、赎回单位的调整生效日，则计算公式中“T-1日最小申购、赎回单位的基金资产净值”需根据生效后的基金最小申购、赎回单位进行相应调整。预估现金部分的数值可能为正、为负或为零。 </w:t>
      </w:r>
    </w:p>
    <w:p w14:paraId="724C5C33">
      <w:pPr>
        <w:pStyle w:val="7"/>
        <w:spacing w:before="0" w:beforeAutospacing="0" w:after="0" w:afterAutospacing="0" w:line="360" w:lineRule="auto"/>
        <w:ind w:firstLine="420"/>
        <w:rPr>
          <w:sz w:val="21"/>
          <w:szCs w:val="21"/>
        </w:rPr>
      </w:pPr>
      <w:r>
        <w:rPr>
          <w:rFonts w:hint="eastAsia"/>
          <w:sz w:val="21"/>
          <w:szCs w:val="21"/>
        </w:rPr>
        <w:t xml:space="preserve">6、现金差额相关内容 </w:t>
      </w:r>
    </w:p>
    <w:p w14:paraId="2F8D8BA4">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14:paraId="01B8B177">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T日现金差额＝T日最小申购、赎回单位的基金资产净值－（申购赎回清单中必须现金替代的成份证券的替代金额+申购赎回清单中可以现金替代的成份证券的数量、T日收盘价以及T日估值汇率的乘积之和） </w:t>
      </w:r>
    </w:p>
    <w:p w14:paraId="0F4BA8AC">
      <w:pPr>
        <w:pStyle w:val="7"/>
        <w:spacing w:before="0" w:beforeAutospacing="0" w:after="0" w:afterAutospacing="0" w:line="360" w:lineRule="auto"/>
        <w:ind w:firstLine="420"/>
        <w:rPr>
          <w:sz w:val="21"/>
          <w:szCs w:val="21"/>
        </w:rPr>
      </w:pPr>
      <w:r>
        <w:rPr>
          <w:rFonts w:hint="eastAsia"/>
          <w:sz w:val="21"/>
          <w:szCs w:val="21"/>
        </w:rPr>
        <w:t xml:space="preserve">T日投资者申购、赎回基金份额时，需按T+1日公告的T日现金差额进行资金的清算交收。 </w:t>
      </w:r>
    </w:p>
    <w:p w14:paraId="6563E5AC">
      <w:pPr>
        <w:pStyle w:val="7"/>
        <w:spacing w:before="0" w:beforeAutospacing="0" w:after="0" w:afterAutospacing="0" w:line="360" w:lineRule="auto"/>
        <w:ind w:firstLine="420"/>
        <w:rPr>
          <w:sz w:val="21"/>
          <w:szCs w:val="21"/>
        </w:rPr>
      </w:pPr>
      <w:r>
        <w:rPr>
          <w:rFonts w:hint="eastAsia"/>
          <w:sz w:val="21"/>
          <w:szCs w:val="21"/>
        </w:rPr>
        <w:t xml:space="preserve">现金差额的数值可能为正、为负或为零。在投资者申购时，如现金差额为正数，则投资者应根据其申购的基金份额支付相应的现金，如现金差额为负数，则投资者将根据其申购的基金份额获得相应的现金；在投资者赎回时，如现金差额为正数，则投资者将根据其赎回的基金份额获得相应的现金，如现金差额为负数，则投资者应根据其赎回的基金份额支付相应的现金。 </w:t>
      </w:r>
    </w:p>
    <w:p w14:paraId="44D9CACF">
      <w:pPr>
        <w:pStyle w:val="7"/>
        <w:spacing w:before="0" w:beforeAutospacing="0" w:after="0" w:afterAutospacing="0" w:line="360" w:lineRule="auto"/>
        <w:ind w:firstLine="420"/>
        <w:rPr>
          <w:sz w:val="21"/>
          <w:szCs w:val="21"/>
        </w:rPr>
      </w:pPr>
      <w:r>
        <w:rPr>
          <w:rFonts w:hint="eastAsia"/>
          <w:sz w:val="21"/>
          <w:szCs w:val="21"/>
        </w:rPr>
        <w:t xml:space="preserve">7、申购份额上限和赎回份额上限 </w:t>
      </w:r>
    </w:p>
    <w:p w14:paraId="7AA6D05B">
      <w:pPr>
        <w:pStyle w:val="7"/>
        <w:spacing w:before="0" w:beforeAutospacing="0" w:after="0" w:afterAutospacing="0" w:line="360" w:lineRule="auto"/>
        <w:ind w:firstLine="420"/>
        <w:rPr>
          <w:sz w:val="21"/>
          <w:szCs w:val="21"/>
        </w:rPr>
      </w:pPr>
      <w:r>
        <w:rPr>
          <w:rFonts w:hint="eastAsia"/>
          <w:sz w:val="21"/>
          <w:szCs w:val="21"/>
        </w:rPr>
        <w:t xml:space="preserve">申购份额上限是指当日可接受的申购总份额。如果投资者的申购申请接受后将使当日申购总份额超过申购份额上限，则投资者的申购申请失败。 </w:t>
      </w:r>
    </w:p>
    <w:p w14:paraId="24403F89">
      <w:pPr>
        <w:pStyle w:val="7"/>
        <w:spacing w:before="0" w:beforeAutospacing="0" w:after="0" w:afterAutospacing="0" w:line="360" w:lineRule="auto"/>
        <w:ind w:firstLine="420"/>
        <w:rPr>
          <w:sz w:val="21"/>
          <w:szCs w:val="21"/>
        </w:rPr>
      </w:pPr>
      <w:r>
        <w:rPr>
          <w:rFonts w:hint="eastAsia"/>
          <w:sz w:val="21"/>
          <w:szCs w:val="21"/>
        </w:rPr>
        <w:t xml:space="preserve">赎回份额上限是指当日可接受的赎回总份额。如果投资者的赎回申请接受后将使当日赎回总份额超过赎回份额上限，则投资者的赎回申请失败。 </w:t>
      </w:r>
    </w:p>
    <w:p w14:paraId="1562BED5">
      <w:pPr>
        <w:pStyle w:val="7"/>
        <w:spacing w:before="0" w:beforeAutospacing="0" w:after="0" w:afterAutospacing="0" w:line="360" w:lineRule="auto"/>
        <w:ind w:firstLine="420"/>
        <w:rPr>
          <w:sz w:val="21"/>
          <w:szCs w:val="21"/>
        </w:rPr>
      </w:pPr>
      <w:r>
        <w:rPr>
          <w:rFonts w:hint="eastAsia"/>
          <w:sz w:val="21"/>
          <w:szCs w:val="21"/>
        </w:rPr>
        <w:t xml:space="preserve">8、申购赎回清单的格式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664"/>
        <w:gridCol w:w="664"/>
        <w:gridCol w:w="823"/>
        <w:gridCol w:w="848"/>
        <w:gridCol w:w="846"/>
        <w:gridCol w:w="1694"/>
        <w:gridCol w:w="824"/>
        <w:gridCol w:w="824"/>
        <w:gridCol w:w="665"/>
      </w:tblGrid>
      <w:tr w14:paraId="0307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27AE6845">
            <w:pPr>
              <w:jc w:val="center"/>
              <w:rPr>
                <w:rFonts w:ascii="宋体" w:hAnsi="宋体" w:eastAsia="宋体" w:cs="宋体"/>
                <w:sz w:val="24"/>
                <w:szCs w:val="24"/>
              </w:rPr>
            </w:pPr>
            <w:r>
              <w:rPr>
                <w:rFonts w:hint="eastAsia" w:ascii="宋体" w:hAnsi="宋体" w:eastAsia="宋体"/>
              </w:rPr>
              <w:t xml:space="preserve">基本信息 </w:t>
            </w:r>
          </w:p>
        </w:tc>
      </w:tr>
      <w:tr w14:paraId="21B3E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48542C2D">
            <w:pPr>
              <w:jc w:val="center"/>
              <w:rPr>
                <w:rFonts w:ascii="宋体" w:hAnsi="宋体" w:eastAsia="宋体" w:cs="宋体"/>
                <w:sz w:val="24"/>
                <w:szCs w:val="24"/>
              </w:rPr>
            </w:pPr>
            <w:r>
              <w:rPr>
                <w:rFonts w:hint="eastAsia" w:ascii="宋体" w:hAnsi="宋体" w:eastAsia="宋体"/>
              </w:rPr>
              <w:t xml:space="preserve">最新公告日期 </w:t>
            </w:r>
          </w:p>
        </w:tc>
        <w:tc>
          <w:tcPr>
            <w:tcW w:w="0" w:type="auto"/>
            <w:gridSpan w:val="5"/>
            <w:shd w:val="clear" w:color="auto" w:fill="auto"/>
          </w:tcPr>
          <w:p w14:paraId="75D2346E">
            <w:pPr>
              <w:jc w:val="center"/>
              <w:rPr>
                <w:rFonts w:ascii="宋体" w:hAnsi="宋体" w:eastAsia="宋体" w:cs="宋体"/>
                <w:sz w:val="24"/>
                <w:szCs w:val="24"/>
              </w:rPr>
            </w:pPr>
            <w:r>
              <w:rPr>
                <w:rFonts w:hint="eastAsia" w:ascii="宋体" w:hAnsi="宋体" w:eastAsia="宋体"/>
              </w:rPr>
              <w:t xml:space="preserve">202X年 月   日 </w:t>
            </w:r>
          </w:p>
        </w:tc>
      </w:tr>
      <w:tr w14:paraId="6C30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9592510">
            <w:pPr>
              <w:jc w:val="center"/>
              <w:rPr>
                <w:rFonts w:ascii="宋体" w:hAnsi="宋体" w:eastAsia="宋体" w:cs="宋体"/>
                <w:sz w:val="24"/>
                <w:szCs w:val="24"/>
              </w:rPr>
            </w:pPr>
            <w:r>
              <w:rPr>
                <w:rFonts w:hint="eastAsia" w:ascii="宋体" w:hAnsi="宋体" w:eastAsia="宋体"/>
              </w:rPr>
              <w:t xml:space="preserve">基金名称 </w:t>
            </w:r>
          </w:p>
        </w:tc>
        <w:tc>
          <w:tcPr>
            <w:tcW w:w="0" w:type="auto"/>
            <w:gridSpan w:val="5"/>
            <w:shd w:val="clear" w:color="auto" w:fill="auto"/>
          </w:tcPr>
          <w:p w14:paraId="28AC9876">
            <w:pPr>
              <w:jc w:val="center"/>
              <w:rPr>
                <w:rFonts w:ascii="宋体" w:hAnsi="宋体" w:eastAsia="宋体" w:cs="宋体"/>
                <w:sz w:val="24"/>
                <w:szCs w:val="24"/>
              </w:rPr>
            </w:pPr>
            <w:bookmarkStart w:id="98" w:name="field_0_productfullname_14"/>
            <w:r>
              <w:rPr>
                <w:rFonts w:hint="eastAsia" w:ascii="宋体" w:hAnsi="宋体" w:eastAsia="宋体"/>
              </w:rPr>
              <w:t>博时恒生港股通科技主题交易型开放式指数证券投资基金</w:t>
            </w:r>
            <w:bookmarkEnd w:id="98"/>
            <w:r>
              <w:rPr>
                <w:rFonts w:hint="eastAsia" w:ascii="宋体" w:hAnsi="宋体" w:eastAsia="宋体"/>
              </w:rPr>
              <w:t xml:space="preserve">  </w:t>
            </w:r>
          </w:p>
        </w:tc>
      </w:tr>
      <w:tr w14:paraId="0D2A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7A21422B">
            <w:pPr>
              <w:jc w:val="center"/>
              <w:rPr>
                <w:rFonts w:ascii="宋体" w:hAnsi="宋体" w:eastAsia="宋体" w:cs="宋体"/>
                <w:sz w:val="24"/>
                <w:szCs w:val="24"/>
              </w:rPr>
            </w:pPr>
            <w:r>
              <w:rPr>
                <w:rFonts w:hint="eastAsia" w:ascii="宋体" w:hAnsi="宋体" w:eastAsia="宋体"/>
              </w:rPr>
              <w:t xml:space="preserve">基金管理公司名称 </w:t>
            </w:r>
          </w:p>
        </w:tc>
        <w:tc>
          <w:tcPr>
            <w:tcW w:w="0" w:type="auto"/>
            <w:gridSpan w:val="5"/>
            <w:shd w:val="clear" w:color="auto" w:fill="auto"/>
          </w:tcPr>
          <w:p w14:paraId="011CECE5">
            <w:pPr>
              <w:jc w:val="center"/>
              <w:rPr>
                <w:rFonts w:ascii="宋体" w:hAnsi="宋体" w:eastAsia="宋体" w:cs="宋体"/>
                <w:sz w:val="24"/>
                <w:szCs w:val="24"/>
              </w:rPr>
            </w:pPr>
            <w:r>
              <w:rPr>
                <w:rFonts w:hint="eastAsia" w:ascii="宋体" w:hAnsi="宋体" w:eastAsia="宋体"/>
              </w:rPr>
              <w:t xml:space="preserve">博时基金管理有限公司 </w:t>
            </w:r>
          </w:p>
        </w:tc>
      </w:tr>
      <w:tr w14:paraId="122E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3B4A0F74">
            <w:pPr>
              <w:jc w:val="center"/>
              <w:rPr>
                <w:rFonts w:ascii="宋体" w:hAnsi="宋体" w:eastAsia="宋体" w:cs="宋体"/>
                <w:sz w:val="24"/>
                <w:szCs w:val="24"/>
              </w:rPr>
            </w:pPr>
            <w:r>
              <w:rPr>
                <w:rFonts w:hint="eastAsia" w:ascii="宋体" w:hAnsi="宋体" w:eastAsia="宋体"/>
              </w:rPr>
              <w:t xml:space="preserve">基金代码 </w:t>
            </w:r>
          </w:p>
        </w:tc>
        <w:tc>
          <w:tcPr>
            <w:tcW w:w="0" w:type="auto"/>
            <w:gridSpan w:val="5"/>
            <w:shd w:val="clear" w:color="auto" w:fill="auto"/>
          </w:tcPr>
          <w:p w14:paraId="6531B04C">
            <w:pPr>
              <w:jc w:val="center"/>
              <w:rPr>
                <w:rFonts w:ascii="宋体" w:hAnsi="宋体" w:eastAsia="宋体" w:cs="宋体"/>
                <w:sz w:val="24"/>
                <w:szCs w:val="24"/>
              </w:rPr>
            </w:pPr>
            <w:r>
              <w:rPr>
                <w:rFonts w:hint="eastAsia" w:ascii="宋体" w:hAnsi="宋体" w:eastAsia="宋体"/>
              </w:rPr>
              <w:t xml:space="preserve">XXXXXX </w:t>
            </w:r>
          </w:p>
        </w:tc>
      </w:tr>
      <w:tr w14:paraId="7B96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0A85F979">
            <w:pPr>
              <w:jc w:val="center"/>
              <w:rPr>
                <w:rFonts w:ascii="宋体" w:hAnsi="宋体" w:eastAsia="宋体" w:cs="宋体"/>
                <w:sz w:val="24"/>
                <w:szCs w:val="24"/>
              </w:rPr>
            </w:pPr>
            <w:r>
              <w:rPr>
                <w:rFonts w:hint="eastAsia" w:ascii="宋体" w:hAnsi="宋体" w:eastAsia="宋体"/>
              </w:rPr>
              <w:t xml:space="preserve">目标指数代码： </w:t>
            </w:r>
          </w:p>
        </w:tc>
        <w:tc>
          <w:tcPr>
            <w:tcW w:w="0" w:type="auto"/>
            <w:gridSpan w:val="5"/>
            <w:shd w:val="clear" w:color="auto" w:fill="auto"/>
          </w:tcPr>
          <w:p w14:paraId="30C073E4">
            <w:pPr>
              <w:jc w:val="center"/>
              <w:rPr>
                <w:rFonts w:ascii="宋体" w:hAnsi="宋体" w:eastAsia="宋体" w:cs="宋体"/>
                <w:sz w:val="24"/>
                <w:szCs w:val="24"/>
              </w:rPr>
            </w:pPr>
            <w:r>
              <w:rPr>
                <w:rFonts w:hint="eastAsia" w:ascii="宋体" w:hAnsi="宋体" w:eastAsia="宋体"/>
              </w:rPr>
              <w:t xml:space="preserve">XXXXXX </w:t>
            </w:r>
          </w:p>
        </w:tc>
      </w:tr>
      <w:tr w14:paraId="0C52E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7014556">
            <w:pPr>
              <w:jc w:val="center"/>
              <w:rPr>
                <w:rFonts w:ascii="宋体" w:hAnsi="宋体" w:eastAsia="宋体" w:cs="宋体"/>
                <w:sz w:val="24"/>
                <w:szCs w:val="24"/>
              </w:rPr>
            </w:pPr>
            <w:r>
              <w:rPr>
                <w:rFonts w:hint="eastAsia" w:ascii="宋体" w:hAnsi="宋体" w:eastAsia="宋体"/>
              </w:rPr>
              <w:t xml:space="preserve">基金类型： </w:t>
            </w:r>
          </w:p>
        </w:tc>
        <w:tc>
          <w:tcPr>
            <w:tcW w:w="0" w:type="auto"/>
            <w:gridSpan w:val="5"/>
            <w:shd w:val="clear" w:color="auto" w:fill="auto"/>
          </w:tcPr>
          <w:p w14:paraId="30BAB7C0">
            <w:pPr>
              <w:jc w:val="center"/>
              <w:rPr>
                <w:rFonts w:ascii="宋体" w:hAnsi="宋体" w:eastAsia="宋体" w:cs="宋体"/>
                <w:sz w:val="24"/>
                <w:szCs w:val="24"/>
              </w:rPr>
            </w:pPr>
            <w:r>
              <w:rPr>
                <w:rFonts w:hint="eastAsia" w:ascii="宋体" w:hAnsi="宋体" w:eastAsia="宋体"/>
              </w:rPr>
              <w:t xml:space="preserve">跨境ETF </w:t>
            </w:r>
          </w:p>
        </w:tc>
      </w:tr>
      <w:tr w14:paraId="60D9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2A6CB072">
            <w:pPr>
              <w:jc w:val="center"/>
              <w:rPr>
                <w:rFonts w:ascii="宋体" w:hAnsi="宋体" w:eastAsia="宋体" w:cs="宋体"/>
                <w:sz w:val="24"/>
                <w:szCs w:val="24"/>
              </w:rPr>
            </w:pPr>
            <w:r>
              <w:rPr>
                <w:rFonts w:hint="eastAsia" w:ascii="宋体" w:hAnsi="宋体" w:eastAsia="宋体"/>
              </w:rPr>
              <w:t xml:space="preserve">T－1日信息内容 </w:t>
            </w:r>
          </w:p>
        </w:tc>
      </w:tr>
      <w:tr w14:paraId="034B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40F1648A">
            <w:pPr>
              <w:jc w:val="center"/>
              <w:rPr>
                <w:rFonts w:ascii="宋体" w:hAnsi="宋体" w:eastAsia="宋体" w:cs="宋体"/>
                <w:sz w:val="24"/>
                <w:szCs w:val="24"/>
              </w:rPr>
            </w:pPr>
            <w:r>
              <w:rPr>
                <w:rFonts w:hint="eastAsia" w:ascii="宋体" w:hAnsi="宋体" w:eastAsia="宋体"/>
              </w:rPr>
              <w:t xml:space="preserve">现金差额（单位：元） </w:t>
            </w:r>
          </w:p>
        </w:tc>
        <w:tc>
          <w:tcPr>
            <w:tcW w:w="0" w:type="auto"/>
            <w:gridSpan w:val="5"/>
            <w:shd w:val="clear" w:color="auto" w:fill="auto"/>
          </w:tcPr>
          <w:p w14:paraId="42D2129F">
            <w:pPr>
              <w:jc w:val="center"/>
              <w:rPr>
                <w:rFonts w:ascii="宋体" w:hAnsi="宋体" w:eastAsia="宋体" w:cs="宋体"/>
                <w:sz w:val="24"/>
                <w:szCs w:val="24"/>
              </w:rPr>
            </w:pPr>
            <w:r>
              <w:rPr>
                <w:rFonts w:hint="eastAsia" w:ascii="宋体" w:hAnsi="宋体" w:eastAsia="宋体"/>
              </w:rPr>
              <w:t xml:space="preserve">XXXX.XX </w:t>
            </w:r>
          </w:p>
        </w:tc>
      </w:tr>
      <w:tr w14:paraId="1CE2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628059BA">
            <w:pPr>
              <w:jc w:val="center"/>
              <w:rPr>
                <w:rFonts w:ascii="宋体" w:hAnsi="宋体" w:eastAsia="宋体" w:cs="宋体"/>
                <w:sz w:val="24"/>
                <w:szCs w:val="24"/>
              </w:rPr>
            </w:pPr>
            <w:r>
              <w:rPr>
                <w:rFonts w:hint="eastAsia" w:ascii="宋体" w:hAnsi="宋体" w:eastAsia="宋体"/>
              </w:rPr>
              <w:t xml:space="preserve">最小申购赎回单位资产净值（单位：元） </w:t>
            </w:r>
          </w:p>
        </w:tc>
        <w:tc>
          <w:tcPr>
            <w:tcW w:w="0" w:type="auto"/>
            <w:gridSpan w:val="5"/>
            <w:shd w:val="clear" w:color="auto" w:fill="auto"/>
          </w:tcPr>
          <w:p w14:paraId="1F12AFCA">
            <w:pPr>
              <w:jc w:val="center"/>
              <w:rPr>
                <w:rFonts w:ascii="宋体" w:hAnsi="宋体" w:eastAsia="宋体" w:cs="宋体"/>
                <w:sz w:val="24"/>
                <w:szCs w:val="24"/>
              </w:rPr>
            </w:pPr>
            <w:r>
              <w:rPr>
                <w:rFonts w:hint="eastAsia" w:ascii="宋体" w:hAnsi="宋体" w:eastAsia="宋体"/>
              </w:rPr>
              <w:t xml:space="preserve">XXXX.XX </w:t>
            </w:r>
          </w:p>
        </w:tc>
      </w:tr>
      <w:tr w14:paraId="0E49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642943B3">
            <w:pPr>
              <w:jc w:val="center"/>
              <w:rPr>
                <w:rFonts w:ascii="宋体" w:hAnsi="宋体" w:eastAsia="宋体" w:cs="宋体"/>
                <w:sz w:val="24"/>
                <w:szCs w:val="24"/>
              </w:rPr>
            </w:pPr>
            <w:r>
              <w:rPr>
                <w:rFonts w:hint="eastAsia" w:ascii="宋体" w:hAnsi="宋体" w:eastAsia="宋体"/>
              </w:rPr>
              <w:t xml:space="preserve">基金份额净值（单位：元） </w:t>
            </w:r>
          </w:p>
        </w:tc>
        <w:tc>
          <w:tcPr>
            <w:tcW w:w="0" w:type="auto"/>
            <w:gridSpan w:val="5"/>
            <w:shd w:val="clear" w:color="auto" w:fill="auto"/>
          </w:tcPr>
          <w:p w14:paraId="110F418B">
            <w:pPr>
              <w:jc w:val="center"/>
              <w:rPr>
                <w:rFonts w:ascii="宋体" w:hAnsi="宋体" w:eastAsia="宋体" w:cs="宋体"/>
                <w:sz w:val="24"/>
                <w:szCs w:val="24"/>
              </w:rPr>
            </w:pPr>
            <w:r>
              <w:rPr>
                <w:rFonts w:hint="eastAsia" w:ascii="宋体" w:hAnsi="宋体" w:eastAsia="宋体"/>
              </w:rPr>
              <w:t xml:space="preserve">X.XXXX </w:t>
            </w:r>
          </w:p>
        </w:tc>
      </w:tr>
      <w:tr w14:paraId="33185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283CB20B">
            <w:pPr>
              <w:jc w:val="center"/>
              <w:rPr>
                <w:rFonts w:ascii="宋体" w:hAnsi="宋体" w:eastAsia="宋体" w:cs="宋体"/>
                <w:sz w:val="24"/>
                <w:szCs w:val="24"/>
              </w:rPr>
            </w:pPr>
            <w:r>
              <w:rPr>
                <w:rFonts w:hint="eastAsia" w:ascii="宋体" w:hAnsi="宋体" w:eastAsia="宋体"/>
              </w:rPr>
              <w:t xml:space="preserve">T日信息内容 </w:t>
            </w:r>
          </w:p>
        </w:tc>
      </w:tr>
      <w:tr w14:paraId="2E1D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6702846">
            <w:pPr>
              <w:jc w:val="center"/>
              <w:rPr>
                <w:rFonts w:ascii="宋体" w:hAnsi="宋体" w:eastAsia="宋体" w:cs="宋体"/>
                <w:sz w:val="24"/>
                <w:szCs w:val="24"/>
              </w:rPr>
            </w:pPr>
            <w:r>
              <w:rPr>
                <w:rFonts w:hint="eastAsia" w:ascii="宋体" w:hAnsi="宋体" w:eastAsia="宋体"/>
              </w:rPr>
              <w:t xml:space="preserve">预估现金差额（单位：元） </w:t>
            </w:r>
          </w:p>
        </w:tc>
        <w:tc>
          <w:tcPr>
            <w:tcW w:w="0" w:type="auto"/>
            <w:gridSpan w:val="5"/>
            <w:shd w:val="clear" w:color="auto" w:fill="auto"/>
          </w:tcPr>
          <w:p w14:paraId="1EC974B4">
            <w:pPr>
              <w:jc w:val="center"/>
              <w:rPr>
                <w:rFonts w:ascii="宋体" w:hAnsi="宋体" w:eastAsia="宋体" w:cs="宋体"/>
                <w:sz w:val="24"/>
                <w:szCs w:val="24"/>
              </w:rPr>
            </w:pPr>
            <w:r>
              <w:rPr>
                <w:rFonts w:hint="eastAsia" w:ascii="宋体" w:hAnsi="宋体" w:eastAsia="宋体"/>
              </w:rPr>
              <w:t xml:space="preserve">XXXX.XX </w:t>
            </w:r>
          </w:p>
        </w:tc>
      </w:tr>
      <w:tr w14:paraId="623E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C59D2B4">
            <w:pPr>
              <w:jc w:val="center"/>
              <w:rPr>
                <w:rFonts w:ascii="宋体" w:hAnsi="宋体" w:eastAsia="宋体" w:cs="宋体"/>
                <w:sz w:val="24"/>
                <w:szCs w:val="24"/>
              </w:rPr>
            </w:pPr>
            <w:r>
              <w:rPr>
                <w:rFonts w:hint="eastAsia" w:ascii="宋体" w:hAnsi="宋体" w:eastAsia="宋体"/>
              </w:rPr>
              <w:t xml:space="preserve">可以现金替代比例上限 </w:t>
            </w:r>
          </w:p>
        </w:tc>
        <w:tc>
          <w:tcPr>
            <w:tcW w:w="0" w:type="auto"/>
            <w:gridSpan w:val="5"/>
            <w:shd w:val="clear" w:color="auto" w:fill="auto"/>
          </w:tcPr>
          <w:p w14:paraId="1F7FAD3D">
            <w:pPr>
              <w:jc w:val="center"/>
              <w:rPr>
                <w:rFonts w:ascii="宋体" w:hAnsi="宋体" w:eastAsia="宋体" w:cs="宋体"/>
                <w:sz w:val="24"/>
                <w:szCs w:val="24"/>
              </w:rPr>
            </w:pPr>
            <w:r>
              <w:rPr>
                <w:rFonts w:hint="eastAsia" w:ascii="宋体" w:hAnsi="宋体" w:eastAsia="宋体"/>
              </w:rPr>
              <w:t xml:space="preserve">无 </w:t>
            </w:r>
          </w:p>
        </w:tc>
      </w:tr>
      <w:tr w14:paraId="17A9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AECEC92">
            <w:pPr>
              <w:jc w:val="center"/>
              <w:rPr>
                <w:rFonts w:ascii="宋体" w:hAnsi="宋体" w:eastAsia="宋体" w:cs="宋体"/>
                <w:sz w:val="24"/>
                <w:szCs w:val="24"/>
              </w:rPr>
            </w:pPr>
            <w:r>
              <w:rPr>
                <w:rFonts w:hint="eastAsia" w:ascii="宋体" w:hAnsi="宋体" w:eastAsia="宋体"/>
              </w:rPr>
              <w:t xml:space="preserve">申购上限 </w:t>
            </w:r>
          </w:p>
        </w:tc>
        <w:tc>
          <w:tcPr>
            <w:tcW w:w="0" w:type="auto"/>
            <w:gridSpan w:val="5"/>
            <w:shd w:val="clear" w:color="auto" w:fill="auto"/>
          </w:tcPr>
          <w:p w14:paraId="1E57EE5E">
            <w:pPr>
              <w:jc w:val="center"/>
              <w:rPr>
                <w:rFonts w:ascii="宋体" w:hAnsi="宋体" w:eastAsia="宋体" w:cs="宋体"/>
                <w:sz w:val="24"/>
                <w:szCs w:val="24"/>
              </w:rPr>
            </w:pPr>
            <w:r>
              <w:rPr>
                <w:rFonts w:hint="eastAsia" w:ascii="宋体" w:hAnsi="宋体" w:eastAsia="宋体"/>
              </w:rPr>
              <w:t xml:space="preserve">无 </w:t>
            </w:r>
          </w:p>
        </w:tc>
      </w:tr>
      <w:tr w14:paraId="454F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AF6CD65">
            <w:pPr>
              <w:jc w:val="center"/>
              <w:rPr>
                <w:rFonts w:ascii="宋体" w:hAnsi="宋体" w:eastAsia="宋体" w:cs="宋体"/>
                <w:sz w:val="24"/>
                <w:szCs w:val="24"/>
              </w:rPr>
            </w:pPr>
            <w:r>
              <w:rPr>
                <w:rFonts w:hint="eastAsia" w:ascii="宋体" w:hAnsi="宋体" w:eastAsia="宋体"/>
              </w:rPr>
              <w:t xml:space="preserve">赎回上限 </w:t>
            </w:r>
          </w:p>
        </w:tc>
        <w:tc>
          <w:tcPr>
            <w:tcW w:w="0" w:type="auto"/>
            <w:gridSpan w:val="5"/>
            <w:shd w:val="clear" w:color="auto" w:fill="auto"/>
          </w:tcPr>
          <w:p w14:paraId="6E3A8750">
            <w:pPr>
              <w:jc w:val="center"/>
              <w:rPr>
                <w:rFonts w:ascii="宋体" w:hAnsi="宋体" w:eastAsia="宋体" w:cs="宋体"/>
                <w:sz w:val="24"/>
                <w:szCs w:val="24"/>
              </w:rPr>
            </w:pPr>
            <w:r>
              <w:rPr>
                <w:rFonts w:hint="eastAsia" w:ascii="宋体" w:hAnsi="宋体" w:eastAsia="宋体"/>
              </w:rPr>
              <w:t xml:space="preserve">无 </w:t>
            </w:r>
          </w:p>
        </w:tc>
      </w:tr>
      <w:tr w14:paraId="4C0A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B185ACD">
            <w:pPr>
              <w:jc w:val="center"/>
              <w:rPr>
                <w:rFonts w:ascii="宋体" w:hAnsi="宋体" w:eastAsia="宋体" w:cs="宋体"/>
                <w:sz w:val="24"/>
                <w:szCs w:val="24"/>
              </w:rPr>
            </w:pPr>
            <w:r>
              <w:rPr>
                <w:rFonts w:hint="eastAsia" w:ascii="宋体" w:hAnsi="宋体" w:eastAsia="宋体"/>
              </w:rPr>
              <w:t xml:space="preserve">是否需要公布IOPV </w:t>
            </w:r>
          </w:p>
        </w:tc>
        <w:tc>
          <w:tcPr>
            <w:tcW w:w="0" w:type="auto"/>
            <w:gridSpan w:val="5"/>
            <w:shd w:val="clear" w:color="auto" w:fill="auto"/>
          </w:tcPr>
          <w:p w14:paraId="4AE48E6B">
            <w:pPr>
              <w:jc w:val="center"/>
              <w:rPr>
                <w:rFonts w:ascii="宋体" w:hAnsi="宋体" w:eastAsia="宋体" w:cs="宋体"/>
                <w:sz w:val="24"/>
                <w:szCs w:val="24"/>
              </w:rPr>
            </w:pPr>
            <w:r>
              <w:rPr>
                <w:rFonts w:hint="eastAsia" w:ascii="宋体" w:hAnsi="宋体" w:eastAsia="宋体"/>
              </w:rPr>
              <w:t xml:space="preserve">是 </w:t>
            </w:r>
          </w:p>
        </w:tc>
      </w:tr>
      <w:tr w14:paraId="46CA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323166DF">
            <w:pPr>
              <w:jc w:val="center"/>
              <w:rPr>
                <w:rFonts w:ascii="宋体" w:hAnsi="宋体" w:eastAsia="宋体" w:cs="宋体"/>
                <w:sz w:val="24"/>
                <w:szCs w:val="24"/>
              </w:rPr>
            </w:pPr>
            <w:r>
              <w:rPr>
                <w:rFonts w:hint="eastAsia" w:ascii="宋体" w:hAnsi="宋体" w:eastAsia="宋体"/>
              </w:rPr>
              <w:t xml:space="preserve">最小申购赎回单位（单位：份） </w:t>
            </w:r>
          </w:p>
        </w:tc>
        <w:tc>
          <w:tcPr>
            <w:tcW w:w="0" w:type="auto"/>
            <w:gridSpan w:val="5"/>
            <w:shd w:val="clear" w:color="auto" w:fill="auto"/>
          </w:tcPr>
          <w:p w14:paraId="69B5A4D7">
            <w:pPr>
              <w:jc w:val="center"/>
              <w:rPr>
                <w:rFonts w:ascii="宋体" w:hAnsi="宋体" w:eastAsia="宋体" w:cs="宋体"/>
                <w:sz w:val="24"/>
                <w:szCs w:val="24"/>
              </w:rPr>
            </w:pPr>
            <w:r>
              <w:rPr>
                <w:rFonts w:hint="eastAsia" w:ascii="宋体" w:hAnsi="宋体" w:eastAsia="宋体"/>
              </w:rPr>
              <w:t xml:space="preserve">XXXXXX </w:t>
            </w:r>
          </w:p>
        </w:tc>
      </w:tr>
      <w:tr w14:paraId="7F25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376EBB28">
            <w:pPr>
              <w:jc w:val="center"/>
              <w:rPr>
                <w:rFonts w:ascii="宋体" w:hAnsi="宋体" w:eastAsia="宋体" w:cs="宋体"/>
                <w:sz w:val="24"/>
                <w:szCs w:val="24"/>
              </w:rPr>
            </w:pPr>
            <w:r>
              <w:rPr>
                <w:rFonts w:hint="eastAsia" w:ascii="宋体" w:hAnsi="宋体" w:eastAsia="宋体"/>
              </w:rPr>
              <w:t xml:space="preserve">申购、赎回的允许情况 </w:t>
            </w:r>
          </w:p>
        </w:tc>
        <w:tc>
          <w:tcPr>
            <w:tcW w:w="0" w:type="auto"/>
            <w:gridSpan w:val="5"/>
            <w:shd w:val="clear" w:color="auto" w:fill="auto"/>
          </w:tcPr>
          <w:p w14:paraId="03D0BB5E">
            <w:pPr>
              <w:jc w:val="center"/>
              <w:rPr>
                <w:rFonts w:ascii="宋体" w:hAnsi="宋体" w:eastAsia="宋体" w:cs="宋体"/>
                <w:sz w:val="24"/>
                <w:szCs w:val="24"/>
              </w:rPr>
            </w:pPr>
            <w:r>
              <w:rPr>
                <w:rFonts w:hint="eastAsia" w:ascii="宋体" w:hAnsi="宋体" w:eastAsia="宋体"/>
              </w:rPr>
              <w:t xml:space="preserve">申购、赎回皆允许 </w:t>
            </w:r>
          </w:p>
        </w:tc>
      </w:tr>
      <w:tr w14:paraId="3EBC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667F261B">
            <w:pPr>
              <w:jc w:val="center"/>
              <w:rPr>
                <w:rFonts w:ascii="宋体" w:hAnsi="宋体" w:eastAsia="宋体" w:cs="宋体"/>
                <w:sz w:val="24"/>
                <w:szCs w:val="24"/>
              </w:rPr>
            </w:pPr>
            <w:r>
              <w:rPr>
                <w:rFonts w:hint="eastAsia" w:ascii="宋体" w:hAnsi="宋体" w:eastAsia="宋体"/>
              </w:rPr>
              <w:t xml:space="preserve">T日成份股信息内容 </w:t>
            </w:r>
          </w:p>
        </w:tc>
      </w:tr>
      <w:tr w14:paraId="694E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F2F72E">
            <w:pPr>
              <w:jc w:val="center"/>
              <w:rPr>
                <w:rFonts w:ascii="宋体" w:hAnsi="宋体" w:eastAsia="宋体" w:cs="宋体"/>
                <w:sz w:val="24"/>
                <w:szCs w:val="24"/>
              </w:rPr>
            </w:pPr>
            <w:r>
              <w:rPr>
                <w:rFonts w:hint="eastAsia" w:ascii="宋体" w:hAnsi="宋体" w:eastAsia="宋体"/>
              </w:rPr>
              <w:t xml:space="preserve">证券代码 </w:t>
            </w:r>
          </w:p>
        </w:tc>
        <w:tc>
          <w:tcPr>
            <w:tcW w:w="0" w:type="auto"/>
            <w:shd w:val="clear" w:color="auto" w:fill="auto"/>
          </w:tcPr>
          <w:p w14:paraId="4062F2DF">
            <w:pPr>
              <w:jc w:val="center"/>
              <w:rPr>
                <w:rFonts w:ascii="宋体" w:hAnsi="宋体" w:eastAsia="宋体" w:cs="宋体"/>
                <w:sz w:val="24"/>
                <w:szCs w:val="24"/>
              </w:rPr>
            </w:pPr>
            <w:r>
              <w:rPr>
                <w:rFonts w:hint="eastAsia" w:ascii="宋体" w:hAnsi="宋体" w:eastAsia="宋体"/>
              </w:rPr>
              <w:t xml:space="preserve">证券简称 </w:t>
            </w:r>
          </w:p>
        </w:tc>
        <w:tc>
          <w:tcPr>
            <w:tcW w:w="0" w:type="auto"/>
            <w:shd w:val="clear" w:color="auto" w:fill="auto"/>
          </w:tcPr>
          <w:p w14:paraId="23637A27">
            <w:pPr>
              <w:jc w:val="center"/>
              <w:rPr>
                <w:rFonts w:ascii="宋体" w:hAnsi="宋体" w:eastAsia="宋体" w:cs="宋体"/>
                <w:sz w:val="24"/>
                <w:szCs w:val="24"/>
              </w:rPr>
            </w:pPr>
            <w:r>
              <w:rPr>
                <w:rFonts w:hint="eastAsia" w:ascii="宋体" w:hAnsi="宋体" w:eastAsia="宋体"/>
              </w:rPr>
              <w:t xml:space="preserve">股份数量 </w:t>
            </w:r>
          </w:p>
        </w:tc>
        <w:tc>
          <w:tcPr>
            <w:tcW w:w="0" w:type="auto"/>
            <w:shd w:val="clear" w:color="auto" w:fill="auto"/>
          </w:tcPr>
          <w:p w14:paraId="750662BA">
            <w:pPr>
              <w:jc w:val="center"/>
              <w:rPr>
                <w:rFonts w:ascii="宋体" w:hAnsi="宋体" w:eastAsia="宋体" w:cs="宋体"/>
                <w:sz w:val="24"/>
                <w:szCs w:val="24"/>
              </w:rPr>
            </w:pPr>
            <w:r>
              <w:rPr>
                <w:rFonts w:hint="eastAsia" w:ascii="宋体" w:hAnsi="宋体" w:eastAsia="宋体"/>
              </w:rPr>
              <w:t xml:space="preserve">现金替代标志 </w:t>
            </w:r>
          </w:p>
        </w:tc>
        <w:tc>
          <w:tcPr>
            <w:tcW w:w="0" w:type="auto"/>
            <w:gridSpan w:val="2"/>
            <w:shd w:val="clear" w:color="auto" w:fill="auto"/>
          </w:tcPr>
          <w:p w14:paraId="583BA514">
            <w:pPr>
              <w:jc w:val="center"/>
              <w:rPr>
                <w:rFonts w:ascii="宋体" w:hAnsi="宋体" w:eastAsia="宋体" w:cs="宋体"/>
                <w:sz w:val="24"/>
                <w:szCs w:val="24"/>
              </w:rPr>
            </w:pPr>
            <w:r>
              <w:rPr>
                <w:rFonts w:hint="eastAsia" w:ascii="宋体" w:hAnsi="宋体" w:eastAsia="宋体"/>
              </w:rPr>
              <w:t xml:space="preserve">申购现金替代金额溢价比例（%） </w:t>
            </w:r>
          </w:p>
        </w:tc>
        <w:tc>
          <w:tcPr>
            <w:tcW w:w="0" w:type="auto"/>
            <w:shd w:val="clear" w:color="auto" w:fill="auto"/>
          </w:tcPr>
          <w:p w14:paraId="11263F25">
            <w:pPr>
              <w:jc w:val="center"/>
              <w:rPr>
                <w:rFonts w:ascii="宋体" w:hAnsi="宋体" w:eastAsia="宋体" w:cs="宋体"/>
                <w:sz w:val="24"/>
                <w:szCs w:val="24"/>
              </w:rPr>
            </w:pPr>
            <w:r>
              <w:rPr>
                <w:rFonts w:hint="eastAsia" w:ascii="宋体" w:hAnsi="宋体" w:eastAsia="宋体"/>
              </w:rPr>
              <w:t xml:space="preserve">赎回现金替代金额折价比例（%） </w:t>
            </w:r>
          </w:p>
        </w:tc>
        <w:tc>
          <w:tcPr>
            <w:tcW w:w="0" w:type="auto"/>
            <w:shd w:val="clear" w:color="auto" w:fill="auto"/>
          </w:tcPr>
          <w:p w14:paraId="5AB70156">
            <w:pPr>
              <w:jc w:val="center"/>
              <w:rPr>
                <w:rFonts w:ascii="宋体" w:hAnsi="宋体" w:eastAsia="宋体" w:cs="宋体"/>
                <w:sz w:val="24"/>
                <w:szCs w:val="24"/>
              </w:rPr>
            </w:pPr>
            <w:r>
              <w:rPr>
                <w:rFonts w:hint="eastAsia" w:ascii="宋体" w:hAnsi="宋体" w:eastAsia="宋体"/>
              </w:rPr>
              <w:t xml:space="preserve">申购替代金额 </w:t>
            </w:r>
          </w:p>
        </w:tc>
        <w:tc>
          <w:tcPr>
            <w:tcW w:w="0" w:type="auto"/>
            <w:shd w:val="clear" w:color="auto" w:fill="auto"/>
          </w:tcPr>
          <w:p w14:paraId="473DD456">
            <w:pPr>
              <w:jc w:val="center"/>
              <w:rPr>
                <w:rFonts w:ascii="宋体" w:hAnsi="宋体" w:eastAsia="宋体" w:cs="宋体"/>
                <w:sz w:val="24"/>
                <w:szCs w:val="24"/>
              </w:rPr>
            </w:pPr>
            <w:r>
              <w:rPr>
                <w:rFonts w:hint="eastAsia" w:ascii="宋体" w:hAnsi="宋体" w:eastAsia="宋体"/>
              </w:rPr>
              <w:t xml:space="preserve">赎回替代金额 </w:t>
            </w:r>
          </w:p>
        </w:tc>
        <w:tc>
          <w:tcPr>
            <w:tcW w:w="0" w:type="auto"/>
            <w:shd w:val="clear" w:color="auto" w:fill="auto"/>
          </w:tcPr>
          <w:p w14:paraId="44F2A8C2">
            <w:pPr>
              <w:jc w:val="center"/>
              <w:rPr>
                <w:rFonts w:ascii="宋体" w:hAnsi="宋体" w:eastAsia="宋体" w:cs="宋体"/>
                <w:sz w:val="24"/>
                <w:szCs w:val="24"/>
              </w:rPr>
            </w:pPr>
            <w:r>
              <w:rPr>
                <w:rFonts w:hint="eastAsia" w:ascii="宋体" w:hAnsi="宋体" w:eastAsia="宋体"/>
              </w:rPr>
              <w:t xml:space="preserve">挂牌市场 </w:t>
            </w:r>
          </w:p>
        </w:tc>
      </w:tr>
      <w:tr w14:paraId="6294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65E667">
            <w:pPr>
              <w:rPr>
                <w:rFonts w:ascii="宋体" w:hAnsi="宋体" w:eastAsia="宋体" w:cs="宋体"/>
                <w:sz w:val="24"/>
                <w:szCs w:val="24"/>
              </w:rPr>
            </w:pPr>
          </w:p>
        </w:tc>
        <w:tc>
          <w:tcPr>
            <w:tcW w:w="0" w:type="auto"/>
            <w:shd w:val="clear" w:color="auto" w:fill="auto"/>
          </w:tcPr>
          <w:p w14:paraId="16816C60">
            <w:pPr>
              <w:rPr>
                <w:rFonts w:ascii="宋体" w:hAnsi="宋体" w:eastAsia="宋体" w:cs="宋体"/>
                <w:sz w:val="24"/>
                <w:szCs w:val="24"/>
              </w:rPr>
            </w:pPr>
          </w:p>
        </w:tc>
        <w:tc>
          <w:tcPr>
            <w:tcW w:w="0" w:type="auto"/>
            <w:shd w:val="clear" w:color="auto" w:fill="auto"/>
          </w:tcPr>
          <w:p w14:paraId="2103520F">
            <w:pPr>
              <w:rPr>
                <w:rFonts w:ascii="宋体" w:hAnsi="宋体" w:eastAsia="宋体" w:cs="宋体"/>
                <w:sz w:val="24"/>
                <w:szCs w:val="24"/>
              </w:rPr>
            </w:pPr>
          </w:p>
        </w:tc>
        <w:tc>
          <w:tcPr>
            <w:tcW w:w="0" w:type="auto"/>
            <w:shd w:val="clear" w:color="auto" w:fill="auto"/>
          </w:tcPr>
          <w:p w14:paraId="33A61828">
            <w:pPr>
              <w:rPr>
                <w:rFonts w:ascii="宋体" w:hAnsi="宋体" w:eastAsia="宋体" w:cs="宋体"/>
                <w:sz w:val="24"/>
                <w:szCs w:val="24"/>
              </w:rPr>
            </w:pPr>
          </w:p>
        </w:tc>
        <w:tc>
          <w:tcPr>
            <w:tcW w:w="0" w:type="auto"/>
            <w:gridSpan w:val="2"/>
            <w:shd w:val="clear" w:color="auto" w:fill="auto"/>
          </w:tcPr>
          <w:p w14:paraId="3DB038A4">
            <w:pPr>
              <w:rPr>
                <w:rFonts w:ascii="宋体" w:hAnsi="宋体" w:eastAsia="宋体" w:cs="宋体"/>
                <w:sz w:val="24"/>
                <w:szCs w:val="24"/>
              </w:rPr>
            </w:pPr>
          </w:p>
        </w:tc>
        <w:tc>
          <w:tcPr>
            <w:tcW w:w="0" w:type="auto"/>
            <w:shd w:val="clear" w:color="auto" w:fill="auto"/>
          </w:tcPr>
          <w:p w14:paraId="5A4EE0C4">
            <w:pPr>
              <w:rPr>
                <w:rFonts w:ascii="宋体" w:hAnsi="宋体" w:eastAsia="宋体" w:cs="宋体"/>
                <w:sz w:val="24"/>
                <w:szCs w:val="24"/>
              </w:rPr>
            </w:pPr>
          </w:p>
        </w:tc>
        <w:tc>
          <w:tcPr>
            <w:tcW w:w="0" w:type="auto"/>
            <w:shd w:val="clear" w:color="auto" w:fill="auto"/>
          </w:tcPr>
          <w:p w14:paraId="02CA88CA">
            <w:pPr>
              <w:rPr>
                <w:rFonts w:ascii="宋体" w:hAnsi="宋体" w:eastAsia="宋体" w:cs="宋体"/>
                <w:sz w:val="24"/>
                <w:szCs w:val="24"/>
              </w:rPr>
            </w:pPr>
          </w:p>
        </w:tc>
        <w:tc>
          <w:tcPr>
            <w:tcW w:w="0" w:type="auto"/>
            <w:shd w:val="clear" w:color="auto" w:fill="auto"/>
          </w:tcPr>
          <w:p w14:paraId="1B6FAD1E">
            <w:pPr>
              <w:rPr>
                <w:rFonts w:ascii="宋体" w:hAnsi="宋体" w:eastAsia="宋体" w:cs="宋体"/>
                <w:sz w:val="24"/>
                <w:szCs w:val="24"/>
              </w:rPr>
            </w:pPr>
          </w:p>
        </w:tc>
        <w:tc>
          <w:tcPr>
            <w:tcW w:w="0" w:type="auto"/>
            <w:shd w:val="clear" w:color="auto" w:fill="auto"/>
          </w:tcPr>
          <w:p w14:paraId="64857EB6">
            <w:pPr>
              <w:rPr>
                <w:rFonts w:ascii="宋体" w:hAnsi="宋体" w:eastAsia="宋体" w:cs="宋体"/>
                <w:sz w:val="24"/>
                <w:szCs w:val="24"/>
              </w:rPr>
            </w:pPr>
          </w:p>
        </w:tc>
      </w:tr>
    </w:tbl>
    <w:p w14:paraId="290E314B">
      <w:pPr>
        <w:pStyle w:val="7"/>
        <w:spacing w:before="0" w:beforeAutospacing="0" w:after="0" w:afterAutospacing="0" w:line="360" w:lineRule="auto"/>
        <w:ind w:firstLine="420"/>
        <w:rPr>
          <w:sz w:val="21"/>
          <w:szCs w:val="21"/>
        </w:rPr>
      </w:pPr>
      <w:r>
        <w:rPr>
          <w:rFonts w:hint="eastAsia"/>
          <w:sz w:val="21"/>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14:paraId="1A678D39">
      <w:pPr>
        <w:pStyle w:val="7"/>
        <w:spacing w:before="0" w:beforeAutospacing="0" w:after="0" w:afterAutospacing="0" w:line="360" w:lineRule="auto"/>
        <w:ind w:firstLine="420"/>
        <w:rPr>
          <w:sz w:val="21"/>
          <w:szCs w:val="21"/>
        </w:rPr>
      </w:pPr>
      <w:r>
        <w:rPr>
          <w:rStyle w:val="11"/>
          <w:rFonts w:hint="eastAsia"/>
          <w:sz w:val="21"/>
          <w:szCs w:val="21"/>
        </w:rPr>
        <w:t>八、拒绝或暂停申购的情形及处理方式</w:t>
      </w:r>
    </w:p>
    <w:p w14:paraId="4DE20E59">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680A3A33">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1、因不可抗力导致基金无法正常运作、基金管理人无法受理或办理基金份额持有人的申购申请； </w:t>
      </w:r>
    </w:p>
    <w:p w14:paraId="51D75C5A">
      <w:pPr>
        <w:pStyle w:val="7"/>
        <w:spacing w:before="0" w:beforeAutospacing="0" w:after="0" w:afterAutospacing="0" w:line="360" w:lineRule="auto"/>
        <w:ind w:firstLine="420"/>
        <w:rPr>
          <w:sz w:val="21"/>
          <w:szCs w:val="21"/>
        </w:rPr>
      </w:pPr>
      <w:r>
        <w:rPr>
          <w:rFonts w:hint="eastAsia"/>
          <w:sz w:val="21"/>
          <w:szCs w:val="21"/>
        </w:rPr>
        <w:t xml:space="preserve">2、证券/期货交易所或外汇市场交易时间非正常停市，导致基金管理人无法计算当日基金资产净值或无法进行证券交易； </w:t>
      </w:r>
    </w:p>
    <w:p w14:paraId="26475459">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14:paraId="46E4FA12">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14:paraId="05DACDA0">
      <w:pPr>
        <w:pStyle w:val="7"/>
        <w:spacing w:before="0" w:beforeAutospacing="0" w:after="0" w:afterAutospacing="0" w:line="360" w:lineRule="auto"/>
        <w:ind w:firstLine="420"/>
        <w:rPr>
          <w:sz w:val="21"/>
          <w:szCs w:val="21"/>
        </w:rPr>
      </w:pPr>
      <w:r>
        <w:rPr>
          <w:rFonts w:hint="eastAsia"/>
          <w:sz w:val="21"/>
          <w:szCs w:val="21"/>
        </w:rPr>
        <w:t xml:space="preserve">5、港股通的业务规则发生重大变化时； </w:t>
      </w:r>
    </w:p>
    <w:p w14:paraId="014EF26C">
      <w:pPr>
        <w:pStyle w:val="7"/>
        <w:spacing w:before="0" w:beforeAutospacing="0" w:after="0" w:afterAutospacing="0" w:line="360" w:lineRule="auto"/>
        <w:ind w:firstLine="420"/>
        <w:rPr>
          <w:sz w:val="21"/>
          <w:szCs w:val="21"/>
        </w:rPr>
      </w:pPr>
      <w:r>
        <w:rPr>
          <w:rFonts w:hint="eastAsia"/>
          <w:sz w:val="21"/>
          <w:szCs w:val="21"/>
        </w:rPr>
        <w:t xml:space="preserve">6、在发生标的指数成份股上市公司重大行为、成份股市场价格异常波动等异常情形时； </w:t>
      </w:r>
    </w:p>
    <w:p w14:paraId="4796EF31">
      <w:pPr>
        <w:pStyle w:val="7"/>
        <w:spacing w:before="0" w:beforeAutospacing="0" w:after="0" w:afterAutospacing="0" w:line="360" w:lineRule="auto"/>
        <w:ind w:firstLine="420"/>
        <w:rPr>
          <w:sz w:val="21"/>
          <w:szCs w:val="21"/>
        </w:rPr>
      </w:pPr>
      <w:r>
        <w:rPr>
          <w:rFonts w:hint="eastAsia"/>
          <w:sz w:val="21"/>
          <w:szCs w:val="21"/>
        </w:rPr>
        <w:t xml:space="preserve">7、接受某笔或某些申购申请可能会影响或损害现有基金份额持有人利益时； </w:t>
      </w:r>
    </w:p>
    <w:p w14:paraId="32EB758D">
      <w:pPr>
        <w:pStyle w:val="7"/>
        <w:spacing w:before="0" w:beforeAutospacing="0" w:after="0" w:afterAutospacing="0" w:line="360" w:lineRule="auto"/>
        <w:ind w:firstLine="420"/>
        <w:rPr>
          <w:sz w:val="21"/>
          <w:szCs w:val="21"/>
        </w:rPr>
      </w:pPr>
      <w:r>
        <w:rPr>
          <w:rFonts w:hint="eastAsia"/>
          <w:sz w:val="21"/>
          <w:szCs w:val="21"/>
        </w:rPr>
        <w:t xml:space="preserve">8、基金管理人可根据市场情况在申购赎回清单中设置申购份额上限，如果一笔新的申购申请被确认成功，会使本基金当日申购份额超过申购赎回清单中规定的申购份额上限时，该笔申购申请将被拒绝。 </w:t>
      </w:r>
    </w:p>
    <w:p w14:paraId="7A1146E1">
      <w:pPr>
        <w:pStyle w:val="7"/>
        <w:spacing w:before="0" w:beforeAutospacing="0" w:after="0" w:afterAutospacing="0" w:line="360" w:lineRule="auto"/>
        <w:ind w:firstLine="420"/>
        <w:rPr>
          <w:sz w:val="21"/>
          <w:szCs w:val="21"/>
        </w:rPr>
      </w:pPr>
      <w:r>
        <w:rPr>
          <w:rFonts w:hint="eastAsia"/>
          <w:sz w:val="21"/>
          <w:szCs w:val="21"/>
        </w:rPr>
        <w:t xml:space="preserve">9、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 </w:t>
      </w:r>
    </w:p>
    <w:p w14:paraId="2581A6D3">
      <w:pPr>
        <w:pStyle w:val="7"/>
        <w:spacing w:before="0" w:beforeAutospacing="0" w:after="0" w:afterAutospacing="0" w:line="360" w:lineRule="auto"/>
        <w:ind w:firstLine="420"/>
        <w:rPr>
          <w:sz w:val="21"/>
          <w:szCs w:val="21"/>
        </w:rPr>
      </w:pPr>
      <w:r>
        <w:rPr>
          <w:rFonts w:hint="eastAsia"/>
          <w:sz w:val="21"/>
          <w:szCs w:val="21"/>
        </w:rPr>
        <w:t xml:space="preserve">10、申请超过基金管理人设定的基金总规模、单日净申购比例上限、单一投资者单日或单笔申购份额上限的； </w:t>
      </w:r>
    </w:p>
    <w:p w14:paraId="7469B518">
      <w:pPr>
        <w:pStyle w:val="7"/>
        <w:spacing w:before="0" w:beforeAutospacing="0" w:after="0" w:afterAutospacing="0" w:line="360" w:lineRule="auto"/>
        <w:ind w:firstLine="420"/>
        <w:rPr>
          <w:sz w:val="21"/>
          <w:szCs w:val="21"/>
        </w:rPr>
      </w:pPr>
      <w:r>
        <w:rPr>
          <w:rFonts w:hint="eastAsia"/>
          <w:sz w:val="21"/>
          <w:szCs w:val="21"/>
        </w:rPr>
        <w:t xml:space="preserve">11、因港股通交易当日额度使用完毕而暂停或停止接受买入申报，或者发生证券交易服务公司等机构认定的交易异常情况并决定暂停提供部分或者全部港股通服务，或者发生其他影响通过内地与香港股票市场交易互联互通机制进行正常交易的情形； </w:t>
      </w:r>
    </w:p>
    <w:p w14:paraId="38D557E2">
      <w:pPr>
        <w:pStyle w:val="7"/>
        <w:spacing w:before="0" w:beforeAutospacing="0" w:after="0" w:afterAutospacing="0" w:line="360" w:lineRule="auto"/>
        <w:ind w:firstLine="420"/>
        <w:rPr>
          <w:sz w:val="21"/>
          <w:szCs w:val="21"/>
        </w:rPr>
      </w:pPr>
      <w:r>
        <w:rPr>
          <w:rFonts w:hint="eastAsia"/>
          <w:sz w:val="21"/>
          <w:szCs w:val="21"/>
        </w:rPr>
        <w:t xml:space="preserve">12、当前一估值日基金资产净值50%以上的资产出现无可参考的活跃市场价格且采用估值技术仍导致公允价值存在重大不确定性时，经与基金托管人协商确认后，基金管理人应当暂停接受基金申购申请； </w:t>
      </w:r>
    </w:p>
    <w:p w14:paraId="1E9A8156">
      <w:pPr>
        <w:pStyle w:val="7"/>
        <w:spacing w:before="0" w:beforeAutospacing="0" w:after="0" w:afterAutospacing="0" w:line="360" w:lineRule="auto"/>
        <w:ind w:firstLine="420"/>
        <w:rPr>
          <w:sz w:val="21"/>
          <w:szCs w:val="21"/>
        </w:rPr>
      </w:pPr>
      <w:r>
        <w:rPr>
          <w:rFonts w:hint="eastAsia"/>
          <w:sz w:val="21"/>
          <w:szCs w:val="21"/>
        </w:rPr>
        <w:t xml:space="preserve">13、基金资产规模过大，使基金管理人无法找到合适的投资品种，或其他可能对基金业绩产生负面影响，或发生其他损害现有基金份额持有人利益的情形； </w:t>
      </w:r>
    </w:p>
    <w:p w14:paraId="62668D3D">
      <w:pPr>
        <w:pStyle w:val="7"/>
        <w:spacing w:before="0" w:beforeAutospacing="0" w:after="0" w:afterAutospacing="0" w:line="360" w:lineRule="auto"/>
        <w:ind w:firstLine="420"/>
        <w:rPr>
          <w:sz w:val="21"/>
          <w:szCs w:val="21"/>
        </w:rPr>
      </w:pPr>
      <w:r>
        <w:rPr>
          <w:rFonts w:hint="eastAsia"/>
          <w:sz w:val="21"/>
          <w:szCs w:val="21"/>
        </w:rPr>
        <w:t xml:space="preserve">14、法律法规、深圳证券交易所规定或中国证监会认定的其他情形。 </w:t>
      </w:r>
    </w:p>
    <w:p w14:paraId="4D8A2B93">
      <w:pPr>
        <w:pStyle w:val="7"/>
        <w:spacing w:before="0" w:beforeAutospacing="0" w:after="0" w:afterAutospacing="0" w:line="360" w:lineRule="auto"/>
        <w:ind w:firstLine="420"/>
        <w:rPr>
          <w:sz w:val="21"/>
          <w:szCs w:val="21"/>
        </w:rPr>
      </w:pPr>
      <w:r>
        <w:rPr>
          <w:rFonts w:hint="eastAsia"/>
          <w:sz w:val="21"/>
          <w:szCs w:val="21"/>
        </w:rPr>
        <w:t xml:space="preserve">发生除上述第7、8、10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 </w:t>
      </w:r>
    </w:p>
    <w:p w14:paraId="47940DE7">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14:paraId="56149687">
      <w:pPr>
        <w:pStyle w:val="7"/>
        <w:spacing w:before="0" w:beforeAutospacing="0" w:after="0" w:afterAutospacing="0" w:line="360" w:lineRule="auto"/>
        <w:ind w:firstLine="420"/>
        <w:rPr>
          <w:sz w:val="21"/>
          <w:szCs w:val="21"/>
        </w:rPr>
      </w:pPr>
      <w:r>
        <w:rPr>
          <w:rStyle w:val="11"/>
          <w:rFonts w:hint="eastAsia"/>
          <w:sz w:val="21"/>
          <w:szCs w:val="21"/>
        </w:rPr>
        <w:t>九、暂停赎回或延缓支付赎回对价的情形及处理方式</w:t>
      </w:r>
    </w:p>
    <w:p w14:paraId="1E02A648">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发生下列情形时，基金管理人可暂停接受投资人的赎回申请或延缓支付赎回对价： </w:t>
      </w:r>
    </w:p>
    <w:p w14:paraId="38095EA4">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1、因不可抗力导致基金管理人无法受理或办理基金份额持有人的赎回申请； </w:t>
      </w:r>
    </w:p>
    <w:p w14:paraId="438CAE23">
      <w:pPr>
        <w:pStyle w:val="7"/>
        <w:spacing w:before="0" w:beforeAutospacing="0" w:after="0" w:afterAutospacing="0" w:line="360" w:lineRule="auto"/>
        <w:ind w:firstLine="420"/>
        <w:rPr>
          <w:sz w:val="21"/>
          <w:szCs w:val="21"/>
        </w:rPr>
      </w:pPr>
      <w:r>
        <w:rPr>
          <w:rFonts w:hint="eastAsia"/>
          <w:sz w:val="21"/>
          <w:szCs w:val="21"/>
        </w:rPr>
        <w:t xml:space="preserve">2、证券/期货交易所或外汇市场交易时间非正常停市，导致基金管理人无法计算当日基金资产净值或无法进行证券交易； </w:t>
      </w:r>
    </w:p>
    <w:p w14:paraId="1FE58FD4">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14:paraId="2E544681">
      <w:pPr>
        <w:pStyle w:val="7"/>
        <w:spacing w:before="0" w:beforeAutospacing="0" w:after="0" w:afterAutospacing="0" w:line="360" w:lineRule="auto"/>
        <w:ind w:firstLine="420"/>
        <w:rPr>
          <w:sz w:val="21"/>
          <w:szCs w:val="21"/>
        </w:rPr>
      </w:pPr>
      <w:r>
        <w:rPr>
          <w:rFonts w:hint="eastAsia"/>
          <w:sz w:val="21"/>
          <w:szCs w:val="21"/>
        </w:rPr>
        <w:t xml:space="preserve">4、在发生标的指数成份股上市公司重大行为、成份股市场价格异常波动等异常情形时； </w:t>
      </w:r>
    </w:p>
    <w:p w14:paraId="01D0727F">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5、发生继续接受赎回申请将损害现有基金份额持有人利益的情形时，基金管理人可暂停接受投资人的赎回申请； </w:t>
      </w:r>
    </w:p>
    <w:p w14:paraId="2C3EF3B8">
      <w:pPr>
        <w:pStyle w:val="7"/>
        <w:spacing w:before="0" w:beforeAutospacing="0" w:after="0" w:afterAutospacing="0" w:line="360" w:lineRule="auto"/>
        <w:ind w:firstLine="420"/>
        <w:rPr>
          <w:sz w:val="21"/>
          <w:szCs w:val="21"/>
        </w:rPr>
      </w:pPr>
      <w:r>
        <w:rPr>
          <w:rFonts w:hint="eastAsia"/>
          <w:sz w:val="21"/>
          <w:szCs w:val="21"/>
        </w:rPr>
        <w:t xml:space="preserve">6、本基金当日总赎回份额达到基金管理人所设定的上限，基金管理人可拒绝赎回申请； </w:t>
      </w:r>
    </w:p>
    <w:p w14:paraId="500D2E27">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延缓支付赎回对价或暂停接受基金赎回申请； </w:t>
      </w:r>
    </w:p>
    <w:p w14:paraId="46F4188C">
      <w:pPr>
        <w:pStyle w:val="7"/>
        <w:spacing w:before="0" w:beforeAutospacing="0" w:after="0" w:afterAutospacing="0" w:line="360" w:lineRule="auto"/>
        <w:ind w:firstLine="420"/>
        <w:rPr>
          <w:sz w:val="21"/>
          <w:szCs w:val="21"/>
        </w:rPr>
      </w:pPr>
      <w:r>
        <w:rPr>
          <w:rFonts w:hint="eastAsia"/>
          <w:sz w:val="21"/>
          <w:szCs w:val="21"/>
        </w:rPr>
        <w:t xml:space="preserve">8、发生证券交易服务公司等机构认定的交易异常情况并决定暂停提供部分或者全部港股通服务，或者发生其他影响通过内地与香港股票市场交易互联互通机制进行正常交易的情形； </w:t>
      </w:r>
    </w:p>
    <w:p w14:paraId="1E871E2F">
      <w:pPr>
        <w:pStyle w:val="7"/>
        <w:spacing w:before="0" w:beforeAutospacing="0" w:after="0" w:afterAutospacing="0" w:line="360" w:lineRule="auto"/>
        <w:ind w:firstLine="420"/>
        <w:rPr>
          <w:sz w:val="21"/>
          <w:szCs w:val="21"/>
        </w:rPr>
      </w:pPr>
      <w:r>
        <w:rPr>
          <w:rFonts w:hint="eastAsia"/>
          <w:sz w:val="21"/>
          <w:szCs w:val="21"/>
        </w:rPr>
        <w:t xml:space="preserve">9、法律法规、深圳证券交易所规定或中国证监会认定的其他情形。 </w:t>
      </w:r>
    </w:p>
    <w:p w14:paraId="7AB91982">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 </w:t>
      </w:r>
    </w:p>
    <w:p w14:paraId="1D325A50">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14:paraId="05B277DC">
      <w:pPr>
        <w:pStyle w:val="7"/>
        <w:spacing w:before="0" w:beforeAutospacing="0" w:after="0" w:afterAutospacing="0" w:line="360" w:lineRule="auto"/>
        <w:ind w:firstLine="420"/>
        <w:rPr>
          <w:sz w:val="21"/>
          <w:szCs w:val="21"/>
        </w:rPr>
      </w:pPr>
      <w:r>
        <w:rPr>
          <w:rStyle w:val="11"/>
          <w:rFonts w:hint="eastAsia"/>
          <w:sz w:val="21"/>
          <w:szCs w:val="21"/>
        </w:rPr>
        <w:t>十、基金清算交收与登记模式的调整或新增</w:t>
      </w:r>
    </w:p>
    <w:p w14:paraId="5A942601">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届时将发布公告予以披露并对本基金的招募说明书予以更新，而无需召开基金份额持有人大会审议。 </w:t>
      </w:r>
    </w:p>
    <w:p w14:paraId="1DE7DC34">
      <w:pPr>
        <w:pStyle w:val="7"/>
        <w:spacing w:before="0" w:beforeAutospacing="0" w:after="0" w:afterAutospacing="0" w:line="360" w:lineRule="auto"/>
        <w:ind w:firstLine="420"/>
        <w:rPr>
          <w:sz w:val="21"/>
          <w:szCs w:val="21"/>
        </w:rPr>
      </w:pPr>
      <w:r>
        <w:rPr>
          <w:rStyle w:val="11"/>
          <w:rFonts w:hint="eastAsia"/>
          <w:sz w:val="21"/>
          <w:szCs w:val="21"/>
        </w:rPr>
        <w:t>十一、基金份额拆分与合并 </w:t>
      </w:r>
    </w:p>
    <w:p w14:paraId="11F57674">
      <w:pPr>
        <w:pStyle w:val="7"/>
        <w:spacing w:before="0" w:beforeAutospacing="0" w:after="0" w:afterAutospacing="0" w:line="360" w:lineRule="auto"/>
        <w:ind w:firstLine="420"/>
        <w:rPr>
          <w:sz w:val="21"/>
          <w:szCs w:val="21"/>
        </w:rPr>
      </w:pPr>
      <w:r>
        <w:rPr>
          <w:rFonts w:hint="eastAsia"/>
          <w:sz w:val="21"/>
          <w:szCs w:val="21"/>
        </w:rPr>
        <w:t xml:space="preserve">基金成立后，在法律法规规定的范围内，在履行适当程序后，本基金可实施基金份额拆分或合并。 </w:t>
      </w:r>
    </w:p>
    <w:p w14:paraId="08179D6B">
      <w:pPr>
        <w:pStyle w:val="7"/>
        <w:spacing w:before="0" w:beforeAutospacing="0" w:after="0" w:afterAutospacing="0" w:line="360" w:lineRule="auto"/>
        <w:ind w:firstLine="420"/>
        <w:rPr>
          <w:sz w:val="21"/>
          <w:szCs w:val="21"/>
        </w:rPr>
      </w:pPr>
      <w:r>
        <w:rPr>
          <w:rFonts w:hint="eastAsia"/>
          <w:sz w:val="21"/>
          <w:szCs w:val="21"/>
        </w:rPr>
        <w:t xml:space="preserve">基金份额拆分或合并是在保持现有基金份额持有人资产总值不变的前提下，改变基金份额净值和持有基金份额的对应关系，是重新列示基金资产的一种方式。基金份额拆分或合并对基金份额持有人的权益无实质性影响。 </w:t>
      </w:r>
    </w:p>
    <w:p w14:paraId="17B74115">
      <w:pPr>
        <w:pStyle w:val="7"/>
        <w:spacing w:before="0" w:beforeAutospacing="0" w:after="0" w:afterAutospacing="0" w:line="360" w:lineRule="auto"/>
        <w:ind w:firstLine="420"/>
        <w:rPr>
          <w:sz w:val="21"/>
          <w:szCs w:val="21"/>
        </w:rPr>
      </w:pPr>
      <w:r>
        <w:rPr>
          <w:rStyle w:val="11"/>
          <w:rFonts w:hint="eastAsia"/>
          <w:sz w:val="21"/>
          <w:szCs w:val="21"/>
        </w:rPr>
        <w:t>十二、基金份额的转让</w:t>
      </w:r>
    </w:p>
    <w:p w14:paraId="36AE7428">
      <w:pPr>
        <w:pStyle w:val="7"/>
        <w:spacing w:before="0" w:beforeAutospacing="0" w:after="0" w:afterAutospacing="0" w:line="360" w:lineRule="auto"/>
        <w:ind w:firstLine="420"/>
        <w:rPr>
          <w:sz w:val="21"/>
          <w:szCs w:val="21"/>
        </w:rPr>
      </w:pPr>
      <w:r>
        <w:rPr>
          <w:rFonts w:hint="eastAsia"/>
          <w:sz w:val="21"/>
          <w:szCs w:val="21"/>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w:t>
      </w:r>
      <w:bookmarkStart w:id="99" w:name="chapter_level1_12_59_section_3_end"/>
      <w:bookmarkEnd w:id="99"/>
      <w:r>
        <w:rPr>
          <w:rFonts w:hint="eastAsia"/>
          <w:sz w:val="21"/>
          <w:szCs w:val="21"/>
        </w:rPr>
        <w:t xml:space="preserve">的业务规则办理基金份额转让业务。 </w:t>
      </w:r>
    </w:p>
    <w:p w14:paraId="1C057213">
      <w:pPr>
        <w:pStyle w:val="7"/>
        <w:spacing w:before="0" w:beforeAutospacing="0" w:after="0" w:afterAutospacing="0" w:line="360" w:lineRule="auto"/>
        <w:ind w:firstLine="420"/>
        <w:rPr>
          <w:sz w:val="21"/>
          <w:szCs w:val="21"/>
        </w:rPr>
      </w:pPr>
      <w:bookmarkStart w:id="100" w:name="chapter_level1_12_59_section_4"/>
      <w:bookmarkEnd w:id="100"/>
      <w:r>
        <w:rPr>
          <w:rStyle w:val="11"/>
          <w:rFonts w:hint="eastAsia"/>
          <w:sz w:val="21"/>
          <w:szCs w:val="21"/>
        </w:rPr>
        <w:t>十三、基金份额的非交易过户、冻结、解冻等其他业务</w:t>
      </w:r>
    </w:p>
    <w:p w14:paraId="377C525E">
      <w:pPr>
        <w:pStyle w:val="7"/>
        <w:spacing w:before="0" w:beforeAutospacing="0" w:after="0" w:afterAutospacing="0" w:line="360" w:lineRule="auto"/>
        <w:ind w:firstLine="420"/>
        <w:rPr>
          <w:sz w:val="21"/>
          <w:szCs w:val="21"/>
        </w:rPr>
      </w:pPr>
      <w:r>
        <w:rPr>
          <w:rFonts w:hint="eastAsia"/>
          <w:sz w:val="21"/>
          <w:szCs w:val="21"/>
        </w:rPr>
        <w:t xml:space="preserve">基金份额的登记机构可依据其业务规则，受理基金的非交易过户、冻结与解冻等业务，并收取一定的手续费用。 </w:t>
      </w:r>
    </w:p>
    <w:p w14:paraId="211242C5">
      <w:pPr>
        <w:pStyle w:val="7"/>
        <w:spacing w:before="0" w:beforeAutospacing="0" w:after="0" w:afterAutospacing="0" w:line="360" w:lineRule="auto"/>
        <w:ind w:firstLine="420"/>
        <w:rPr>
          <w:sz w:val="21"/>
          <w:szCs w:val="21"/>
        </w:rPr>
      </w:pPr>
      <w:r>
        <w:rPr>
          <w:rFonts w:hint="eastAsia"/>
          <w:sz w:val="21"/>
          <w:szCs w:val="21"/>
        </w:rPr>
        <w:t>基金份额被冻结的，被冻结部分产生的权益一并冻结，被冻结部分份额仍然参与收益分</w:t>
      </w:r>
      <w:bookmarkStart w:id="101" w:name="chapter_level1_12_59_section_4_end"/>
      <w:bookmarkEnd w:id="101"/>
      <w:r>
        <w:rPr>
          <w:rFonts w:hint="eastAsia"/>
          <w:sz w:val="21"/>
          <w:szCs w:val="21"/>
        </w:rPr>
        <w:t xml:space="preserve">配。法律法规或监管机构另有规定的除外。 </w:t>
      </w:r>
    </w:p>
    <w:p w14:paraId="57797372">
      <w:pPr>
        <w:pStyle w:val="7"/>
        <w:spacing w:before="0" w:beforeAutospacing="0" w:after="0" w:afterAutospacing="0" w:line="360" w:lineRule="auto"/>
        <w:ind w:firstLine="420"/>
        <w:rPr>
          <w:sz w:val="21"/>
          <w:szCs w:val="21"/>
        </w:rPr>
      </w:pPr>
      <w:bookmarkStart w:id="102" w:name="chapter_level1_12_59_section_5"/>
      <w:bookmarkEnd w:id="102"/>
      <w:r>
        <w:rPr>
          <w:rStyle w:val="11"/>
          <w:rFonts w:hint="eastAsia"/>
          <w:sz w:val="21"/>
          <w:szCs w:val="21"/>
        </w:rPr>
        <w:t>十四、联接基金的特殊申购</w:t>
      </w:r>
    </w:p>
    <w:p w14:paraId="4B2E1711">
      <w:pPr>
        <w:pStyle w:val="7"/>
        <w:spacing w:before="0" w:beforeAutospacing="0" w:after="0" w:afterAutospacing="0" w:line="360" w:lineRule="auto"/>
        <w:ind w:firstLine="420"/>
        <w:rPr>
          <w:sz w:val="21"/>
          <w:szCs w:val="21"/>
        </w:rPr>
      </w:pPr>
      <w:r>
        <w:rPr>
          <w:rFonts w:hint="eastAsia"/>
          <w:sz w:val="21"/>
          <w:szCs w:val="21"/>
        </w:rPr>
        <w:t xml:space="preserve">若基金管理人推出以本基金为目标ETF的联接基金，本基金可根据实际情况需要向本基金的联接基金开通特殊申购，不收取申购费用。具体见基金管理人相关公告。 </w:t>
      </w:r>
    </w:p>
    <w:p w14:paraId="48E5837D">
      <w:pPr>
        <w:pStyle w:val="7"/>
        <w:spacing w:before="0" w:beforeAutospacing="0" w:after="0" w:afterAutospacing="0" w:line="360" w:lineRule="auto"/>
        <w:ind w:firstLine="420"/>
        <w:rPr>
          <w:sz w:val="21"/>
          <w:szCs w:val="21"/>
        </w:rPr>
      </w:pPr>
      <w:r>
        <w:rPr>
          <w:rStyle w:val="11"/>
          <w:rFonts w:hint="eastAsia"/>
          <w:sz w:val="21"/>
          <w:szCs w:val="21"/>
        </w:rPr>
        <w:t>十五、基金份额折算</w:t>
      </w:r>
    </w:p>
    <w:p w14:paraId="52BEEE9B">
      <w:pPr>
        <w:pStyle w:val="7"/>
        <w:spacing w:before="0" w:beforeAutospacing="0" w:after="0" w:afterAutospacing="0" w:line="360" w:lineRule="auto"/>
        <w:ind w:firstLine="420"/>
        <w:rPr>
          <w:sz w:val="21"/>
          <w:szCs w:val="21"/>
        </w:rPr>
      </w:pPr>
      <w:r>
        <w:rPr>
          <w:rFonts w:hint="eastAsia"/>
          <w:sz w:val="21"/>
          <w:szCs w:val="21"/>
        </w:rPr>
        <w:t xml:space="preserve">为提高交易便利或根据需要，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 </w:t>
      </w:r>
    </w:p>
    <w:p w14:paraId="7A88C920">
      <w:pPr>
        <w:pStyle w:val="7"/>
        <w:spacing w:before="0" w:beforeAutospacing="0" w:after="0" w:afterAutospacing="0" w:line="360" w:lineRule="auto"/>
        <w:ind w:firstLine="420"/>
        <w:rPr>
          <w:sz w:val="21"/>
          <w:szCs w:val="21"/>
        </w:rPr>
      </w:pPr>
      <w:r>
        <w:rPr>
          <w:rStyle w:val="11"/>
          <w:rFonts w:hint="eastAsia"/>
          <w:sz w:val="21"/>
          <w:szCs w:val="21"/>
        </w:rPr>
        <w:t>十六、其他</w:t>
      </w:r>
    </w:p>
    <w:p w14:paraId="23FEFA02">
      <w:pPr>
        <w:pStyle w:val="7"/>
        <w:spacing w:before="0" w:beforeAutospacing="0" w:after="0" w:afterAutospacing="0" w:line="360" w:lineRule="auto"/>
        <w:ind w:firstLine="420"/>
        <w:rPr>
          <w:sz w:val="21"/>
          <w:szCs w:val="21"/>
        </w:rPr>
      </w:pPr>
      <w:r>
        <w:rPr>
          <w:rFonts w:hint="eastAsia"/>
          <w:sz w:val="21"/>
          <w:szCs w:val="21"/>
        </w:rPr>
        <w:t xml:space="preserve">1、在不违反法律法规且对基金份额持有人利益无实质性不利影响的情况下，经履行相关程序后，基金管理人可开放集合申购，基金管理人有权制定集合申购业务的相关规则。 </w:t>
      </w:r>
    </w:p>
    <w:p w14:paraId="21DCFC4D">
      <w:pPr>
        <w:pStyle w:val="7"/>
        <w:spacing w:before="0" w:beforeAutospacing="0" w:after="0" w:afterAutospacing="0" w:line="360" w:lineRule="auto"/>
        <w:ind w:firstLine="420"/>
        <w:rPr>
          <w:sz w:val="21"/>
          <w:szCs w:val="21"/>
        </w:rPr>
      </w:pPr>
      <w:r>
        <w:rPr>
          <w:rFonts w:hint="eastAsia"/>
          <w:sz w:val="21"/>
          <w:szCs w:val="21"/>
        </w:rPr>
        <w:t xml:space="preserve">在条件允许时，基金管理人也可采取其他合理的申购方式，并于新的申购方式开始执行前予以公告。 </w:t>
      </w:r>
    </w:p>
    <w:p w14:paraId="4E533AFD">
      <w:pPr>
        <w:pStyle w:val="7"/>
        <w:spacing w:before="0" w:beforeAutospacing="0" w:after="0" w:afterAutospacing="0" w:line="360" w:lineRule="auto"/>
        <w:ind w:firstLine="420"/>
        <w:rPr>
          <w:sz w:val="21"/>
          <w:szCs w:val="21"/>
        </w:rPr>
      </w:pPr>
      <w:r>
        <w:rPr>
          <w:rFonts w:hint="eastAsia"/>
          <w:sz w:val="21"/>
          <w:szCs w:val="21"/>
        </w:rPr>
        <w:t xml:space="preserve">2、基金管理人指定的代理机构可依据法律法规和基金合同的规定开展其他服务，双方需签订书面委托代理协议。 </w:t>
      </w:r>
    </w:p>
    <w:p w14:paraId="7374AF4B">
      <w:pPr>
        <w:pStyle w:val="7"/>
        <w:spacing w:before="0" w:beforeAutospacing="0" w:after="0" w:afterAutospacing="0" w:line="360" w:lineRule="auto"/>
        <w:ind w:firstLine="420"/>
        <w:rPr>
          <w:sz w:val="21"/>
          <w:szCs w:val="21"/>
        </w:rPr>
      </w:pPr>
      <w:r>
        <w:rPr>
          <w:rFonts w:hint="eastAsia"/>
          <w:sz w:val="21"/>
          <w:szCs w:val="21"/>
        </w:rPr>
        <w:t xml:space="preserve">3、对于符合《中国证券登记结算有限责任公司深圳分公司交易型开放式基金登记结算业务指南》要求的特定投资者，基金管理人可在不违反法律法规且对基金份额持有人利益无实质性不利影响的情况下，安排专门的申购方式。 </w:t>
      </w:r>
    </w:p>
    <w:p w14:paraId="70AB3B7C">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4、基金管理人可以在不违反法律法规规定且对基金份额持有人利益无实质性不利影响的情况下，调整基金申购赎回方式或申购赎回对价组成，并提前公告。 </w:t>
      </w:r>
    </w:p>
    <w:p w14:paraId="319772AE">
      <w:pPr>
        <w:pStyle w:val="7"/>
        <w:spacing w:before="0" w:beforeAutospacing="0" w:after="0" w:afterAutospacing="0" w:line="360" w:lineRule="auto"/>
        <w:ind w:firstLine="420"/>
        <w:rPr>
          <w:sz w:val="21"/>
          <w:szCs w:val="21"/>
        </w:rPr>
      </w:pPr>
      <w:r>
        <w:rPr>
          <w:rFonts w:hint="eastAsia"/>
          <w:sz w:val="21"/>
          <w:szCs w:val="21"/>
        </w:rPr>
        <w:t xml:space="preserve">5、在条件允许时，并在不违反法律法规的前提下，本基金可在履行适当程序后采取实物申购与赎回，即以组合证券、现金替代、现金差额及其他对价进行的申购与赎回，本基金管理人将于新的申购与赎回方式开始执行前对有关规则和程序予以公告。 </w:t>
      </w:r>
    </w:p>
    <w:p w14:paraId="7EB4E38F">
      <w:pPr>
        <w:pStyle w:val="7"/>
        <w:spacing w:before="0" w:beforeAutospacing="0" w:after="0" w:afterAutospacing="0" w:line="360" w:lineRule="auto"/>
        <w:ind w:firstLine="420"/>
        <w:rPr>
          <w:sz w:val="21"/>
          <w:szCs w:val="21"/>
        </w:rPr>
      </w:pPr>
      <w:r>
        <w:rPr>
          <w:rFonts w:hint="eastAsia"/>
          <w:sz w:val="21"/>
          <w:szCs w:val="21"/>
        </w:rPr>
        <w:t>6、未来在条件允许的情况下，基金管理人可以在场内开通本基金人民币现金申购、赎回以外的方式办理本基金的申购、赎回业务，或者开通本基金的场外申购、赎回等业务，相</w:t>
      </w:r>
      <w:bookmarkStart w:id="103" w:name="chapter_level1_12_59_section_5_end"/>
      <w:bookmarkEnd w:id="103"/>
      <w:r>
        <w:rPr>
          <w:rFonts w:hint="eastAsia"/>
          <w:sz w:val="21"/>
          <w:szCs w:val="21"/>
        </w:rPr>
        <w:t xml:space="preserve">关业务的适用条件、业务办理时间、业务规则等相关事项届时将另行约定并公告。 </w:t>
      </w:r>
    </w:p>
    <w:p w14:paraId="1B6F3547">
      <w:pPr>
        <w:pStyle w:val="7"/>
        <w:spacing w:before="0" w:beforeAutospacing="0" w:after="0" w:afterAutospacing="0" w:line="360" w:lineRule="auto"/>
        <w:ind w:firstLine="420"/>
        <w:rPr>
          <w:sz w:val="21"/>
          <w:szCs w:val="21"/>
        </w:rPr>
      </w:pPr>
      <w:bookmarkStart w:id="104" w:name="chapter_level1_12_59_section_6"/>
      <w:bookmarkEnd w:id="104"/>
      <w:r>
        <w:rPr>
          <w:rStyle w:val="11"/>
          <w:rFonts w:hint="eastAsia"/>
          <w:sz w:val="21"/>
          <w:szCs w:val="21"/>
        </w:rPr>
        <w:t>十七、基金管理人可在法律法规允许的范围内，在对基金份额持有人无实质性不利影</w:t>
      </w:r>
      <w:bookmarkStart w:id="105" w:name="chapter_level1_12_59_section_6_end"/>
      <w:bookmarkEnd w:id="105"/>
      <w:r>
        <w:rPr>
          <w:rStyle w:val="11"/>
          <w:rFonts w:hint="eastAsia"/>
          <w:sz w:val="21"/>
          <w:szCs w:val="21"/>
        </w:rPr>
        <w:t>响的前提下，根据市场情况对上述申购与赎回的安排进行补充和调整并提前公告。</w:t>
      </w:r>
    </w:p>
    <w:p w14:paraId="696C710C">
      <w:pPr>
        <w:widowControl/>
        <w:jc w:val="left"/>
        <w:rPr>
          <w:rFonts w:ascii="宋体" w:hAnsi="宋体" w:eastAsia="宋体"/>
        </w:rPr>
      </w:pPr>
      <w:r>
        <w:rPr>
          <w:rFonts w:ascii="宋体" w:hAnsi="宋体" w:eastAsia="宋体"/>
        </w:rPr>
        <w:br w:type="page"/>
      </w:r>
    </w:p>
    <w:p w14:paraId="59D4CA6D">
      <w:pPr>
        <w:pStyle w:val="2"/>
        <w:jc w:val="center"/>
        <w:rPr>
          <w:rFonts w:ascii="宋体" w:hAnsi="宋体" w:eastAsia="宋体"/>
          <w:sz w:val="30"/>
        </w:rPr>
      </w:pPr>
      <w:bookmarkStart w:id="106" w:name="chapter_level1_13_60"/>
      <w:bookmarkStart w:id="107" w:name="_Toc3725"/>
      <w:r>
        <w:rPr>
          <w:rFonts w:hint="eastAsia" w:ascii="宋体" w:hAnsi="宋体" w:eastAsia="宋体"/>
          <w:sz w:val="30"/>
        </w:rPr>
        <w:t>第十部分  基金的投资</w:t>
      </w:r>
      <w:bookmarkEnd w:id="106"/>
      <w:bookmarkEnd w:id="107"/>
    </w:p>
    <w:p w14:paraId="40EE0C12">
      <w:pPr>
        <w:pStyle w:val="7"/>
        <w:spacing w:before="0" w:beforeAutospacing="0" w:after="0" w:afterAutospacing="0" w:line="360" w:lineRule="auto"/>
        <w:ind w:firstLine="420"/>
        <w:rPr>
          <w:sz w:val="21"/>
          <w:szCs w:val="21"/>
        </w:rPr>
      </w:pPr>
      <w:bookmarkStart w:id="108" w:name="chapter_level1_13_60_section_1"/>
      <w:bookmarkEnd w:id="108"/>
      <w:r>
        <w:rPr>
          <w:rStyle w:val="11"/>
          <w:rFonts w:hint="eastAsia"/>
          <w:sz w:val="21"/>
          <w:szCs w:val="21"/>
        </w:rPr>
        <w:t>一、投资目标</w:t>
      </w:r>
    </w:p>
    <w:p w14:paraId="6C71E091">
      <w:pPr>
        <w:pStyle w:val="7"/>
        <w:spacing w:before="0" w:beforeAutospacing="0" w:after="0" w:afterAutospacing="0" w:line="360" w:lineRule="auto"/>
        <w:ind w:firstLine="420"/>
        <w:rPr>
          <w:sz w:val="21"/>
          <w:szCs w:val="21"/>
        </w:rPr>
      </w:pPr>
      <w:bookmarkStart w:id="109" w:name="field_60_investmenttarget_1_start"/>
      <w:bookmarkEnd w:id="109"/>
      <w:r>
        <w:rPr>
          <w:rFonts w:hint="eastAsia"/>
          <w:sz w:val="21"/>
          <w:szCs w:val="21"/>
        </w:rPr>
        <w:t xml:space="preserve">紧密跟踪标的指数，追求跟踪偏离度和跟踪误差的最小化。 </w:t>
      </w:r>
      <w:bookmarkStart w:id="110" w:name="field_60_investmenttarget_1_end"/>
      <w:bookmarkEnd w:id="110"/>
      <w:r>
        <w:rPr>
          <w:rFonts w:hint="eastAsia"/>
          <w:sz w:val="21"/>
          <w:szCs w:val="21"/>
        </w:rPr>
        <w:t xml:space="preserve">  </w:t>
      </w:r>
    </w:p>
    <w:p w14:paraId="15EE2DE4">
      <w:pPr>
        <w:pStyle w:val="7"/>
        <w:spacing w:before="0" w:beforeAutospacing="0" w:after="0" w:afterAutospacing="0" w:line="360" w:lineRule="auto"/>
        <w:ind w:firstLine="420"/>
        <w:rPr>
          <w:sz w:val="21"/>
          <w:szCs w:val="21"/>
        </w:rPr>
      </w:pPr>
      <w:r>
        <w:rPr>
          <w:rStyle w:val="11"/>
          <w:rFonts w:hint="eastAsia"/>
          <w:sz w:val="21"/>
          <w:szCs w:val="21"/>
        </w:rPr>
        <w:t>二、投资范围</w:t>
      </w:r>
    </w:p>
    <w:p w14:paraId="56465CD9">
      <w:pPr>
        <w:pStyle w:val="7"/>
        <w:spacing w:before="0" w:beforeAutospacing="0" w:after="0" w:afterAutospacing="0" w:line="360" w:lineRule="auto"/>
        <w:ind w:firstLine="420"/>
        <w:rPr>
          <w:sz w:val="21"/>
          <w:szCs w:val="21"/>
        </w:rPr>
      </w:pPr>
      <w:bookmarkStart w:id="111" w:name="field_60_investmentrange_1_start"/>
      <w:bookmarkEnd w:id="111"/>
      <w:r>
        <w:rPr>
          <w:rFonts w:hint="eastAsia"/>
          <w:sz w:val="21"/>
          <w:szCs w:val="21"/>
        </w:rPr>
        <w:t xml:space="preserve">本基金主要投资于标的指数成份股和备选成份股（含存托凭证）。  </w:t>
      </w:r>
    </w:p>
    <w:p w14:paraId="4CF649C4">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6EF4364A">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本基金可根据法律法规的规定参与融资和转融通证券出借业务。  </w:t>
      </w:r>
    </w:p>
    <w:p w14:paraId="4FBF529C">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C2AB378">
      <w:pPr>
        <w:pStyle w:val="7"/>
        <w:spacing w:before="0" w:beforeAutospacing="0" w:after="0" w:afterAutospacing="0" w:line="360" w:lineRule="auto"/>
        <w:ind w:firstLine="420"/>
        <w:rPr>
          <w:sz w:val="21"/>
          <w:szCs w:val="21"/>
        </w:rPr>
      </w:pPr>
      <w:r>
        <w:rPr>
          <w:rFonts w:hint="eastAsia"/>
          <w:sz w:val="21"/>
          <w:szCs w:val="21"/>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7BBFBE0A">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2" w:name="field_60_investmentrange_1_end"/>
      <w:bookmarkEnd w:id="112"/>
      <w:r>
        <w:rPr>
          <w:rFonts w:hint="eastAsia"/>
          <w:sz w:val="21"/>
          <w:szCs w:val="21"/>
        </w:rPr>
        <w:t xml:space="preserve">  </w:t>
      </w:r>
    </w:p>
    <w:p w14:paraId="06633147">
      <w:pPr>
        <w:pStyle w:val="7"/>
        <w:spacing w:before="0" w:beforeAutospacing="0" w:after="0" w:afterAutospacing="0" w:line="360" w:lineRule="auto"/>
        <w:ind w:firstLine="420"/>
        <w:rPr>
          <w:sz w:val="21"/>
          <w:szCs w:val="21"/>
        </w:rPr>
      </w:pPr>
      <w:r>
        <w:rPr>
          <w:rStyle w:val="11"/>
          <w:rFonts w:hint="eastAsia"/>
          <w:sz w:val="21"/>
          <w:szCs w:val="21"/>
        </w:rPr>
        <w:t>三、投资策略</w:t>
      </w:r>
    </w:p>
    <w:p w14:paraId="3078E1E8">
      <w:pPr>
        <w:pStyle w:val="7"/>
        <w:spacing w:before="0" w:beforeAutospacing="0" w:after="0" w:afterAutospacing="0" w:line="360" w:lineRule="auto"/>
        <w:ind w:firstLine="420"/>
        <w:rPr>
          <w:sz w:val="21"/>
          <w:szCs w:val="21"/>
        </w:rPr>
      </w:pPr>
      <w:bookmarkStart w:id="113" w:name="field_60_investmentstrategy_1_start"/>
      <w:bookmarkEnd w:id="113"/>
      <w:r>
        <w:rPr>
          <w:rFonts w:hint="eastAsia"/>
          <w:sz w:val="21"/>
          <w:szCs w:val="21"/>
        </w:rPr>
        <w:t xml:space="preserve">1、组合复制策略 </w:t>
      </w:r>
    </w:p>
    <w:p w14:paraId="0E4A8DA6">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55AEC43B">
      <w:pPr>
        <w:pStyle w:val="7"/>
        <w:spacing w:before="0" w:beforeAutospacing="0" w:after="0" w:afterAutospacing="0" w:line="360" w:lineRule="auto"/>
        <w:ind w:firstLine="420"/>
        <w:rPr>
          <w:sz w:val="21"/>
          <w:szCs w:val="21"/>
        </w:rPr>
      </w:pPr>
      <w:r>
        <w:rPr>
          <w:rFonts w:hint="eastAsia"/>
          <w:sz w:val="21"/>
          <w:szCs w:val="21"/>
        </w:rPr>
        <w:t xml:space="preserve">如果标的指数成份股发生明显负面事件面临退市或违约风险，且指数编制机构暂未作出调整的，基金管理人应当按照基金份额持有人利益优先原则，履行内部决策程序后及时对相关成份股进行调整。 </w:t>
      </w:r>
    </w:p>
    <w:p w14:paraId="714F3B84">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14:paraId="060DA21C">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1ECEA8EB">
      <w:pPr>
        <w:pStyle w:val="7"/>
        <w:spacing w:before="0" w:beforeAutospacing="0" w:after="0" w:afterAutospacing="0" w:line="360" w:lineRule="auto"/>
        <w:ind w:firstLine="420"/>
        <w:rPr>
          <w:sz w:val="21"/>
          <w:szCs w:val="21"/>
        </w:rPr>
      </w:pPr>
      <w:r>
        <w:rPr>
          <w:rFonts w:hint="eastAsia"/>
          <w:sz w:val="21"/>
          <w:szCs w:val="21"/>
        </w:rPr>
        <w:t xml:space="preserve">2、债券（除可转换债券、可交换债券）投资策略 </w:t>
      </w:r>
    </w:p>
    <w:p w14:paraId="48EBAD46">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14:paraId="3B0AB8F9">
      <w:pPr>
        <w:pStyle w:val="7"/>
        <w:spacing w:before="0" w:beforeAutospacing="0" w:after="0" w:afterAutospacing="0" w:line="360" w:lineRule="auto"/>
        <w:ind w:firstLine="420"/>
        <w:rPr>
          <w:sz w:val="21"/>
          <w:szCs w:val="21"/>
        </w:rPr>
      </w:pPr>
      <w:r>
        <w:rPr>
          <w:rFonts w:hint="eastAsia"/>
          <w:sz w:val="21"/>
          <w:szCs w:val="21"/>
        </w:rPr>
        <w:t xml:space="preserve">3、资产支持证券的投资策略 </w:t>
      </w:r>
    </w:p>
    <w:p w14:paraId="3D1A9786">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53287EEF">
      <w:pPr>
        <w:pStyle w:val="7"/>
        <w:spacing w:before="0" w:beforeAutospacing="0" w:after="0" w:afterAutospacing="0" w:line="360" w:lineRule="auto"/>
        <w:ind w:firstLine="420"/>
        <w:rPr>
          <w:sz w:val="21"/>
          <w:szCs w:val="21"/>
        </w:rPr>
      </w:pPr>
      <w:r>
        <w:rPr>
          <w:rFonts w:hint="eastAsia"/>
          <w:sz w:val="21"/>
          <w:szCs w:val="21"/>
        </w:rPr>
        <w:t xml:space="preserve">4、可转换债券、可交换债券投资策略 </w:t>
      </w:r>
    </w:p>
    <w:p w14:paraId="6DDF1DB6">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4211DFC0">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1D6EBDE1">
      <w:pPr>
        <w:pStyle w:val="7"/>
        <w:spacing w:before="0" w:beforeAutospacing="0" w:after="0" w:afterAutospacing="0" w:line="360" w:lineRule="auto"/>
        <w:ind w:firstLine="420"/>
        <w:rPr>
          <w:sz w:val="21"/>
          <w:szCs w:val="21"/>
        </w:rPr>
      </w:pPr>
      <w:r>
        <w:rPr>
          <w:rFonts w:hint="eastAsia"/>
          <w:sz w:val="21"/>
          <w:szCs w:val="21"/>
        </w:rPr>
        <w:t xml:space="preserve">5、存托凭证投资策略 </w:t>
      </w:r>
    </w:p>
    <w:p w14:paraId="05D1C3E8">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690FF870">
      <w:pPr>
        <w:pStyle w:val="7"/>
        <w:spacing w:before="0" w:beforeAutospacing="0" w:after="0" w:afterAutospacing="0" w:line="360" w:lineRule="auto"/>
        <w:ind w:firstLine="420"/>
        <w:rPr>
          <w:sz w:val="21"/>
          <w:szCs w:val="21"/>
        </w:rPr>
      </w:pPr>
      <w:r>
        <w:rPr>
          <w:rFonts w:hint="eastAsia"/>
          <w:sz w:val="21"/>
          <w:szCs w:val="21"/>
        </w:rPr>
        <w:t xml:space="preserve">6、金融衍生品投资策略 </w:t>
      </w:r>
    </w:p>
    <w:p w14:paraId="56556AB6">
      <w:pPr>
        <w:pStyle w:val="7"/>
        <w:spacing w:before="0" w:beforeAutospacing="0" w:after="0" w:afterAutospacing="0" w:line="360" w:lineRule="auto"/>
        <w:ind w:firstLine="420"/>
        <w:rPr>
          <w:sz w:val="21"/>
          <w:szCs w:val="21"/>
        </w:rPr>
      </w:pPr>
      <w:r>
        <w:rPr>
          <w:rFonts w:hint="eastAsia"/>
          <w:sz w:val="21"/>
          <w:szCs w:val="21"/>
        </w:rPr>
        <w:t xml:space="preserve">（1）股指期货交易策略  </w:t>
      </w:r>
    </w:p>
    <w:p w14:paraId="59A85D89">
      <w:pPr>
        <w:pStyle w:val="7"/>
        <w:spacing w:before="0" w:beforeAutospacing="0" w:after="0" w:afterAutospacing="0" w:line="360" w:lineRule="auto"/>
        <w:ind w:firstLine="420"/>
        <w:rPr>
          <w:sz w:val="21"/>
          <w:szCs w:val="21"/>
        </w:rPr>
      </w:pPr>
      <w:r>
        <w:rPr>
          <w:rFonts w:hint="eastAsia"/>
          <w:sz w:val="21"/>
          <w:szCs w:val="21"/>
        </w:rPr>
        <w:t xml:space="preserve">本基金将在风险可控的前提下，根据风险管理原则，以套期保值为目的，适度参与股指期货交易。本基金将根据对现货和期货市场的分析，充分考虑股指期货的风险收益特征进行股指期货交易，以改善交易组合的交易效果。 </w:t>
      </w:r>
    </w:p>
    <w:p w14:paraId="322C5FCC">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22BA9F20">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74AA7A90">
      <w:pPr>
        <w:pStyle w:val="7"/>
        <w:spacing w:before="0" w:beforeAutospacing="0" w:after="0" w:afterAutospacing="0" w:line="360" w:lineRule="auto"/>
        <w:ind w:firstLine="420"/>
        <w:rPr>
          <w:sz w:val="21"/>
          <w:szCs w:val="21"/>
        </w:rPr>
      </w:pPr>
      <w:r>
        <w:rPr>
          <w:rFonts w:hint="eastAsia"/>
          <w:sz w:val="21"/>
          <w:szCs w:val="21"/>
        </w:rPr>
        <w:t xml:space="preserve">（3）国债期货交易策略  </w:t>
      </w:r>
    </w:p>
    <w:p w14:paraId="78B1BFCF">
      <w:pPr>
        <w:pStyle w:val="7"/>
        <w:spacing w:before="0" w:beforeAutospacing="0" w:after="0" w:afterAutospacing="0" w:line="360" w:lineRule="auto"/>
        <w:ind w:firstLine="420"/>
        <w:rPr>
          <w:sz w:val="21"/>
          <w:szCs w:val="21"/>
        </w:rPr>
      </w:pPr>
      <w:r>
        <w:rPr>
          <w:rFonts w:hint="eastAsia"/>
          <w:sz w:val="21"/>
          <w:szCs w:val="21"/>
        </w:rPr>
        <w:t xml:space="preserve">本基金参与国债期货交易，以套期保值为目的，将根据风险管理的原则，充分考虑国债期货的流动性和风险收益特征，在风险可控的前提下，适度参与国债期货交易。 </w:t>
      </w:r>
    </w:p>
    <w:p w14:paraId="0A7C28D1">
      <w:pPr>
        <w:pStyle w:val="7"/>
        <w:spacing w:before="0" w:beforeAutospacing="0" w:after="0" w:afterAutospacing="0" w:line="360" w:lineRule="auto"/>
        <w:ind w:firstLine="420"/>
        <w:rPr>
          <w:sz w:val="21"/>
          <w:szCs w:val="21"/>
        </w:rPr>
      </w:pPr>
      <w:r>
        <w:rPr>
          <w:rFonts w:hint="eastAsia"/>
          <w:sz w:val="21"/>
          <w:szCs w:val="21"/>
        </w:rPr>
        <w:t xml:space="preserve">7、融资及转融通证券出借策略 </w:t>
      </w:r>
    </w:p>
    <w:p w14:paraId="62A2118E">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可根据相关法律法规规定参与融券业务。    </w:t>
      </w:r>
    </w:p>
    <w:p w14:paraId="081080B9">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未来，随着投资工具的发展和丰富，本基金可在不改变投资目标的前提下，在履行适当程序后，相应调整和更新相关投资策略，并在招募说明书更新中公告。 </w:t>
      </w:r>
      <w:bookmarkStart w:id="114" w:name="field_60_investmentstrategy_1_end"/>
      <w:bookmarkEnd w:id="114"/>
      <w:r>
        <w:rPr>
          <w:rFonts w:hint="eastAsia"/>
          <w:sz w:val="21"/>
          <w:szCs w:val="21"/>
        </w:rPr>
        <w:t xml:space="preserve">  </w:t>
      </w:r>
    </w:p>
    <w:p w14:paraId="6487BF11">
      <w:pPr>
        <w:pStyle w:val="7"/>
        <w:spacing w:before="0" w:beforeAutospacing="0" w:after="0" w:afterAutospacing="0" w:line="360" w:lineRule="auto"/>
        <w:ind w:firstLine="420"/>
        <w:rPr>
          <w:sz w:val="21"/>
          <w:szCs w:val="21"/>
        </w:rPr>
      </w:pPr>
      <w:r>
        <w:rPr>
          <w:rStyle w:val="11"/>
          <w:rFonts w:hint="eastAsia"/>
          <w:sz w:val="21"/>
          <w:szCs w:val="21"/>
        </w:rPr>
        <w:t>四、标的指数与业绩比较基准</w:t>
      </w:r>
    </w:p>
    <w:p w14:paraId="618E7192">
      <w:pPr>
        <w:pStyle w:val="7"/>
        <w:spacing w:before="0" w:beforeAutospacing="0" w:after="0" w:afterAutospacing="0" w:line="360" w:lineRule="auto"/>
        <w:ind w:firstLine="420"/>
        <w:rPr>
          <w:sz w:val="21"/>
          <w:szCs w:val="21"/>
        </w:rPr>
      </w:pPr>
      <w:r>
        <w:rPr>
          <w:rFonts w:hint="eastAsia"/>
          <w:sz w:val="21"/>
          <w:szCs w:val="21"/>
        </w:rPr>
        <w:t xml:space="preserve">本基金的业绩比较基准为标的指数收益率，即恒生港股通科技主题指数收益率。 </w:t>
      </w:r>
    </w:p>
    <w:p w14:paraId="1BFE7AFF">
      <w:pPr>
        <w:pStyle w:val="7"/>
        <w:spacing w:before="0" w:beforeAutospacing="0" w:after="0" w:afterAutospacing="0" w:line="360" w:lineRule="auto"/>
        <w:ind w:firstLine="420"/>
        <w:rPr>
          <w:sz w:val="21"/>
          <w:szCs w:val="21"/>
        </w:rPr>
      </w:pPr>
      <w:r>
        <w:rPr>
          <w:rFonts w:hint="eastAsia"/>
          <w:sz w:val="21"/>
          <w:szCs w:val="21"/>
        </w:rPr>
        <w:t xml:space="preserve">1、业绩比较基准设定的原因 </w:t>
      </w:r>
    </w:p>
    <w:p w14:paraId="0C06AF08">
      <w:pPr>
        <w:pStyle w:val="7"/>
        <w:spacing w:before="0" w:beforeAutospacing="0" w:after="0" w:afterAutospacing="0" w:line="360" w:lineRule="auto"/>
        <w:ind w:firstLine="420"/>
        <w:rPr>
          <w:sz w:val="21"/>
          <w:szCs w:val="21"/>
        </w:rPr>
      </w:pPr>
      <w:r>
        <w:rPr>
          <w:rFonts w:hint="eastAsia"/>
          <w:sz w:val="21"/>
          <w:szCs w:val="21"/>
        </w:rPr>
        <w:t xml:space="preserve">本基金为股票型ETF,主要采用完全复制法跟踪标的指数，以“紧密跟踪标的指数，追求跟踪偏离度和跟踪误差的最小化”作为投资目标，在投资中将不低于基金资产净值90%的资产投资于标的指数成份股及备选成份股。本基金的标的指数为恒生港股通科技主题指数，相应选取恒生港股通科技主题指数作为基准要素，同时将恒生港股通科技主题指数的基准要素权重设置为100%。 </w:t>
      </w:r>
    </w:p>
    <w:p w14:paraId="34CAA423">
      <w:pPr>
        <w:pStyle w:val="7"/>
        <w:spacing w:before="0" w:beforeAutospacing="0" w:after="0" w:afterAutospacing="0" w:line="360" w:lineRule="auto"/>
        <w:ind w:firstLine="420"/>
        <w:rPr>
          <w:sz w:val="21"/>
          <w:szCs w:val="21"/>
        </w:rPr>
      </w:pPr>
      <w:r>
        <w:rPr>
          <w:rFonts w:hint="eastAsia"/>
          <w:sz w:val="21"/>
          <w:szCs w:val="21"/>
        </w:rPr>
        <w:t xml:space="preserve">综上，本基金选取的业绩比较基准与基金投资目标、投资范围、投资策略、投资比例限制相匹配。 </w:t>
      </w:r>
    </w:p>
    <w:p w14:paraId="6CB0223F">
      <w:pPr>
        <w:pStyle w:val="7"/>
        <w:spacing w:before="0" w:beforeAutospacing="0" w:after="0" w:afterAutospacing="0" w:line="360" w:lineRule="auto"/>
        <w:ind w:firstLine="420"/>
        <w:rPr>
          <w:sz w:val="21"/>
          <w:szCs w:val="21"/>
        </w:rPr>
      </w:pPr>
      <w:r>
        <w:rPr>
          <w:rFonts w:hint="eastAsia"/>
          <w:sz w:val="21"/>
          <w:szCs w:val="21"/>
        </w:rPr>
        <w:t xml:space="preserve">2、业绩比较基准要素的基本信息 </w:t>
      </w:r>
    </w:p>
    <w:p w14:paraId="0036005F">
      <w:pPr>
        <w:pStyle w:val="7"/>
        <w:spacing w:before="0" w:beforeAutospacing="0" w:after="0" w:afterAutospacing="0" w:line="360" w:lineRule="auto"/>
        <w:ind w:firstLine="420"/>
        <w:rPr>
          <w:sz w:val="21"/>
          <w:szCs w:val="21"/>
        </w:rPr>
      </w:pPr>
      <w:r>
        <w:rPr>
          <w:rFonts w:hint="eastAsia"/>
          <w:sz w:val="21"/>
          <w:szCs w:val="21"/>
        </w:rPr>
        <w:t xml:space="preserve">恒生港股通科技主题指数由恒生指数有限公司编制发布，指数代码为HSSCITI，具体信息详见恒生指数有限公司网站，网址：https://www.hsi.com.hk/eng。 </w:t>
      </w:r>
    </w:p>
    <w:p w14:paraId="67C52931">
      <w:pPr>
        <w:pStyle w:val="7"/>
        <w:spacing w:before="0" w:beforeAutospacing="0" w:after="0" w:afterAutospacing="0" w:line="360" w:lineRule="auto"/>
        <w:ind w:firstLine="420"/>
        <w:rPr>
          <w:sz w:val="21"/>
          <w:szCs w:val="21"/>
        </w:rPr>
      </w:pPr>
      <w:r>
        <w:rPr>
          <w:rFonts w:hint="eastAsia"/>
          <w:sz w:val="21"/>
          <w:szCs w:val="21"/>
        </w:rPr>
        <w:t xml:space="preserve">3、业绩比较基准的计算方法 </w:t>
      </w:r>
    </w:p>
    <w:p w14:paraId="131E7206">
      <w:pPr>
        <w:pStyle w:val="7"/>
        <w:spacing w:before="0" w:beforeAutospacing="0" w:after="0" w:afterAutospacing="0" w:line="360" w:lineRule="auto"/>
        <w:ind w:firstLine="420"/>
        <w:rPr>
          <w:sz w:val="21"/>
          <w:szCs w:val="21"/>
        </w:rPr>
      </w:pPr>
      <w:r>
        <w:rPr>
          <w:rFonts w:hint="eastAsia"/>
          <w:sz w:val="21"/>
          <w:szCs w:val="21"/>
        </w:rPr>
        <w:t xml:space="preserve">本基金业绩比较基准收益率的计算方法以每日收益率为基础，以时间加权为计算原则。恒生港股通科技主题指数收益率采用估值汇率进行调整，由港元计价折算为人民币计价后，再纳入计算。 </w:t>
      </w:r>
    </w:p>
    <w:p w14:paraId="6C22C8CC">
      <w:pPr>
        <w:pStyle w:val="7"/>
        <w:spacing w:before="0" w:beforeAutospacing="0" w:after="0" w:afterAutospacing="0" w:line="360" w:lineRule="auto"/>
        <w:ind w:firstLine="420"/>
        <w:rPr>
          <w:sz w:val="21"/>
          <w:szCs w:val="21"/>
        </w:rPr>
      </w:pPr>
      <w:r>
        <w:rPr>
          <w:rFonts w:hint="eastAsia"/>
          <w:sz w:val="21"/>
          <w:szCs w:val="21"/>
        </w:rPr>
        <w:t xml:space="preserve">4、管理投资偏离业绩比较基准的定性或定量方法 </w:t>
      </w:r>
    </w:p>
    <w:p w14:paraId="0C796112">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0.35%以内，年化跟踪误差控制在4%以内。如因标的指数编制规则调整或其他因素导致跟踪误差超过上述范围的，本基金将采取合理措施避免跟踪误差过大。 </w:t>
      </w:r>
    </w:p>
    <w:p w14:paraId="0C1C9D23">
      <w:pPr>
        <w:pStyle w:val="7"/>
        <w:spacing w:before="0" w:beforeAutospacing="0" w:after="0" w:afterAutospacing="0" w:line="360" w:lineRule="auto"/>
        <w:ind w:firstLine="420"/>
        <w:rPr>
          <w:sz w:val="21"/>
          <w:szCs w:val="21"/>
        </w:rPr>
      </w:pPr>
      <w:r>
        <w:rPr>
          <w:rFonts w:hint="eastAsia"/>
          <w:sz w:val="21"/>
          <w:szCs w:val="21"/>
        </w:rPr>
        <w:t xml:space="preserve">5、未来可能变更业绩比较基准的情况和程序 </w:t>
      </w:r>
    </w:p>
    <w:p w14:paraId="5F1692D1">
      <w:pPr>
        <w:pStyle w:val="7"/>
        <w:spacing w:before="0" w:beforeAutospacing="0" w:after="0" w:afterAutospacing="0" w:line="360" w:lineRule="auto"/>
        <w:ind w:firstLine="420"/>
        <w:rPr>
          <w:sz w:val="21"/>
          <w:szCs w:val="21"/>
        </w:rPr>
      </w:pPr>
      <w:r>
        <w:rPr>
          <w:rFonts w:hint="eastAsia"/>
          <w:sz w:val="21"/>
          <w:szCs w:val="21"/>
        </w:rPr>
        <w:t xml:space="preserve">若本基金调整业绩比较基准的要素权重，本基金将根据法律法规、中国证监会的规定和基金合同约定履行相关程序。 </w:t>
      </w:r>
    </w:p>
    <w:p w14:paraId="50DCC735">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 </w:t>
      </w:r>
    </w:p>
    <w:p w14:paraId="50CDD8C5">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70C0B8B3">
      <w:pPr>
        <w:pStyle w:val="7"/>
        <w:spacing w:before="0" w:beforeAutospacing="0" w:after="0" w:afterAutospacing="0" w:line="360" w:lineRule="auto"/>
        <w:ind w:firstLine="420"/>
        <w:rPr>
          <w:sz w:val="21"/>
          <w:szCs w:val="21"/>
        </w:rPr>
      </w:pPr>
      <w:r>
        <w:rPr>
          <w:rFonts w:hint="eastAsia"/>
          <w:sz w:val="21"/>
          <w:szCs w:val="21"/>
        </w:rPr>
        <w:t xml:space="preserve">法律法规或监管机构另有规定的，从其规定。 </w:t>
      </w:r>
    </w:p>
    <w:p w14:paraId="0C6B41CB">
      <w:pPr>
        <w:pStyle w:val="7"/>
        <w:spacing w:before="0" w:beforeAutospacing="0" w:after="0" w:afterAutospacing="0" w:line="360" w:lineRule="auto"/>
        <w:ind w:firstLine="420"/>
        <w:rPr>
          <w:sz w:val="21"/>
          <w:szCs w:val="21"/>
        </w:rPr>
      </w:pPr>
      <w:r>
        <w:rPr>
          <w:rStyle w:val="11"/>
          <w:rFonts w:hint="eastAsia"/>
          <w:sz w:val="21"/>
          <w:szCs w:val="21"/>
        </w:rPr>
        <w:t>五、风险收益特征</w:t>
      </w:r>
    </w:p>
    <w:p w14:paraId="4851F960">
      <w:pPr>
        <w:pStyle w:val="7"/>
        <w:spacing w:before="0" w:beforeAutospacing="0" w:after="0" w:afterAutospacing="0" w:line="360" w:lineRule="auto"/>
        <w:ind w:firstLine="420"/>
        <w:rPr>
          <w:sz w:val="21"/>
          <w:szCs w:val="21"/>
        </w:rPr>
      </w:pPr>
      <w:bookmarkStart w:id="115" w:name="field_60_riskyield_1_start"/>
      <w:bookmarkEnd w:id="115"/>
      <w:r>
        <w:rPr>
          <w:rFonts w:hint="eastAsia"/>
          <w:sz w:val="21"/>
          <w:szCs w:val="21"/>
        </w:rPr>
        <w:t xml:space="preserve">本基金属于股票型基金，其预期收益及预期风险水平高于混合型基金、债券型基金与货币市场基金。 </w:t>
      </w:r>
    </w:p>
    <w:p w14:paraId="12078167">
      <w:pPr>
        <w:pStyle w:val="7"/>
        <w:spacing w:before="0" w:beforeAutospacing="0" w:after="0" w:afterAutospacing="0" w:line="360" w:lineRule="auto"/>
        <w:ind w:firstLine="420"/>
        <w:rPr>
          <w:sz w:val="21"/>
          <w:szCs w:val="21"/>
        </w:rPr>
      </w:pPr>
      <w:r>
        <w:rPr>
          <w:rFonts w:hint="eastAsia"/>
          <w:sz w:val="21"/>
          <w:szCs w:val="21"/>
        </w:rPr>
        <w:t xml:space="preserve">本基金为被动式投资的股票型指数基金，跟踪恒生港股通科技主题指数，其风险收益特征与标的指数所表征的市场组合的风险收益特征相似。此外，本基金可投资境外市场，除了需要承担与境内证券投资基金类似的市场波动风险等一般投资风险之外，还面临汇率风险以及境外市场的风险。 </w:t>
      </w:r>
      <w:bookmarkStart w:id="116" w:name="field_60_riskyield_1_end"/>
      <w:bookmarkEnd w:id="116"/>
      <w:r>
        <w:rPr>
          <w:rFonts w:hint="eastAsia"/>
          <w:sz w:val="21"/>
          <w:szCs w:val="21"/>
        </w:rPr>
        <w:t xml:space="preserve">  </w:t>
      </w:r>
    </w:p>
    <w:p w14:paraId="6E91DBB6">
      <w:pPr>
        <w:pStyle w:val="7"/>
        <w:spacing w:before="0" w:beforeAutospacing="0" w:after="0" w:afterAutospacing="0" w:line="360" w:lineRule="auto"/>
        <w:ind w:firstLine="420"/>
        <w:rPr>
          <w:sz w:val="21"/>
          <w:szCs w:val="21"/>
        </w:rPr>
      </w:pPr>
      <w:r>
        <w:rPr>
          <w:rStyle w:val="11"/>
          <w:rFonts w:hint="eastAsia"/>
          <w:sz w:val="21"/>
          <w:szCs w:val="21"/>
        </w:rPr>
        <w:t>六、投资限制</w:t>
      </w:r>
    </w:p>
    <w:p w14:paraId="2279A01F">
      <w:pPr>
        <w:pStyle w:val="7"/>
        <w:spacing w:before="0" w:beforeAutospacing="0" w:after="0" w:afterAutospacing="0" w:line="360" w:lineRule="auto"/>
        <w:ind w:firstLine="420"/>
        <w:rPr>
          <w:sz w:val="21"/>
          <w:szCs w:val="21"/>
        </w:rPr>
      </w:pPr>
      <w:r>
        <w:rPr>
          <w:rFonts w:hint="eastAsia"/>
          <w:sz w:val="21"/>
          <w:szCs w:val="21"/>
        </w:rPr>
        <w:t xml:space="preserve">（一）组合限制 </w:t>
      </w:r>
    </w:p>
    <w:p w14:paraId="7F7B64BE">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502E842A">
      <w:pPr>
        <w:pStyle w:val="7"/>
        <w:spacing w:before="0" w:beforeAutospacing="0" w:after="0" w:afterAutospacing="0" w:line="360" w:lineRule="auto"/>
        <w:ind w:firstLine="420"/>
        <w:rPr>
          <w:sz w:val="21"/>
          <w:szCs w:val="21"/>
        </w:rPr>
      </w:pPr>
      <w:r>
        <w:rPr>
          <w:rFonts w:hint="eastAsia"/>
          <w:sz w:val="21"/>
          <w:szCs w:val="21"/>
        </w:rPr>
        <w:t xml:space="preserve">（1）本基金投资于标的指数成份股和备选成份股（含存托凭证）的资产比例不低于基金资产净值的90%，且不低于非现金基金资产的80%； </w:t>
      </w:r>
    </w:p>
    <w:p w14:paraId="1EE2F804">
      <w:pPr>
        <w:pStyle w:val="7"/>
        <w:spacing w:before="0" w:beforeAutospacing="0" w:after="0" w:afterAutospacing="0" w:line="360" w:lineRule="auto"/>
        <w:ind w:firstLine="420"/>
        <w:rPr>
          <w:sz w:val="21"/>
          <w:szCs w:val="21"/>
        </w:rPr>
      </w:pPr>
      <w:r>
        <w:rPr>
          <w:rFonts w:hint="eastAsia"/>
          <w:sz w:val="21"/>
          <w:szCs w:val="21"/>
        </w:rPr>
        <w:t xml:space="preserve">（2）本基金每个交易日日终在扣除国债期货、股指期货和股票期权合约需缴纳的交易保证金后，应当保持不低于交易保证金一倍的现金，其中现金不包括结算备付金、存出保证金和应收申购款等； </w:t>
      </w:r>
    </w:p>
    <w:p w14:paraId="08EDA001">
      <w:pPr>
        <w:pStyle w:val="7"/>
        <w:spacing w:before="0" w:beforeAutospacing="0" w:after="0" w:afterAutospacing="0" w:line="360" w:lineRule="auto"/>
        <w:ind w:firstLine="420"/>
        <w:rPr>
          <w:sz w:val="21"/>
          <w:szCs w:val="21"/>
        </w:rPr>
      </w:pPr>
      <w:r>
        <w:rPr>
          <w:rFonts w:hint="eastAsia"/>
          <w:sz w:val="21"/>
          <w:szCs w:val="21"/>
        </w:rPr>
        <w:t xml:space="preserve">（3）本基金参与股指期货、国债期货交易依据下列标准建构组合： </w:t>
      </w:r>
    </w:p>
    <w:p w14:paraId="371C4305">
      <w:pPr>
        <w:pStyle w:val="7"/>
        <w:spacing w:before="0" w:beforeAutospacing="0" w:after="0" w:afterAutospacing="0" w:line="360" w:lineRule="auto"/>
        <w:ind w:firstLine="420"/>
        <w:rPr>
          <w:sz w:val="21"/>
          <w:szCs w:val="21"/>
        </w:rPr>
      </w:pPr>
      <w:r>
        <w:rPr>
          <w:rFonts w:hint="eastAsia"/>
          <w:sz w:val="21"/>
          <w:szCs w:val="21"/>
        </w:rPr>
        <w:t xml:space="preserve">1）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 </w:t>
      </w:r>
    </w:p>
    <w:p w14:paraId="5C5A4143">
      <w:pPr>
        <w:pStyle w:val="7"/>
        <w:spacing w:before="0" w:beforeAutospacing="0" w:after="0" w:afterAutospacing="0" w:line="360" w:lineRule="auto"/>
        <w:ind w:firstLine="420"/>
        <w:rPr>
          <w:sz w:val="21"/>
          <w:szCs w:val="21"/>
        </w:rPr>
      </w:pPr>
      <w:r>
        <w:rPr>
          <w:rFonts w:hint="eastAsia"/>
          <w:sz w:val="21"/>
          <w:szCs w:val="21"/>
        </w:rPr>
        <w:t xml:space="preserve">2）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 </w:t>
      </w:r>
    </w:p>
    <w:p w14:paraId="10881102">
      <w:pPr>
        <w:pStyle w:val="7"/>
        <w:spacing w:before="0" w:beforeAutospacing="0" w:after="0" w:afterAutospacing="0" w:line="360" w:lineRule="auto"/>
        <w:ind w:firstLine="420"/>
        <w:rPr>
          <w:sz w:val="21"/>
          <w:szCs w:val="21"/>
        </w:rPr>
      </w:pPr>
      <w:r>
        <w:rPr>
          <w:rFonts w:hint="eastAsia"/>
          <w:sz w:val="21"/>
          <w:szCs w:val="21"/>
        </w:rPr>
        <w:t xml:space="preserve">3）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5D5C66CF">
      <w:pPr>
        <w:pStyle w:val="7"/>
        <w:spacing w:before="0" w:beforeAutospacing="0" w:after="0" w:afterAutospacing="0" w:line="360" w:lineRule="auto"/>
        <w:ind w:firstLine="420"/>
        <w:rPr>
          <w:sz w:val="21"/>
          <w:szCs w:val="21"/>
        </w:rPr>
      </w:pPr>
      <w:r>
        <w:rPr>
          <w:rFonts w:hint="eastAsia"/>
          <w:sz w:val="21"/>
          <w:szCs w:val="21"/>
        </w:rPr>
        <w:t xml:space="preserve">（4）本基金持有的全部资产支持证券，其市值不得超过基金资产净值的20％； </w:t>
      </w:r>
    </w:p>
    <w:p w14:paraId="702BDC14">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19996504">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71D9FAEF">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5A14B903">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7C2711C0">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14:paraId="64F830D9">
      <w:pPr>
        <w:pStyle w:val="7"/>
        <w:spacing w:before="0" w:beforeAutospacing="0" w:after="0" w:afterAutospacing="0" w:line="360" w:lineRule="auto"/>
        <w:ind w:firstLine="420"/>
        <w:rPr>
          <w:sz w:val="21"/>
          <w:szCs w:val="21"/>
        </w:rPr>
      </w:pPr>
      <w:r>
        <w:rPr>
          <w:rFonts w:hint="eastAsia"/>
          <w:sz w:val="21"/>
          <w:szCs w:val="21"/>
        </w:rPr>
        <w:t xml:space="preserve">（10）本基金资产总值不得超过基金资产净值的140%； </w:t>
      </w:r>
    </w:p>
    <w:p w14:paraId="2319263A">
      <w:pPr>
        <w:pStyle w:val="7"/>
        <w:spacing w:before="0" w:beforeAutospacing="0" w:after="0" w:afterAutospacing="0" w:line="360" w:lineRule="auto"/>
        <w:ind w:firstLine="420"/>
        <w:rPr>
          <w:sz w:val="21"/>
          <w:szCs w:val="21"/>
        </w:rPr>
      </w:pPr>
      <w:r>
        <w:rPr>
          <w:rFonts w:hint="eastAsia"/>
          <w:sz w:val="21"/>
          <w:szCs w:val="21"/>
        </w:rPr>
        <w:t xml:space="preserve">（11）本基金参与融资的，在任何交易日日终，本基金持有的融资买入股票与其他有价证券市值之和，不得超过基金资产净值的95%； </w:t>
      </w:r>
    </w:p>
    <w:p w14:paraId="3AB896DE">
      <w:pPr>
        <w:pStyle w:val="7"/>
        <w:spacing w:before="0" w:beforeAutospacing="0" w:after="0" w:afterAutospacing="0" w:line="360" w:lineRule="auto"/>
        <w:ind w:firstLine="420"/>
        <w:rPr>
          <w:sz w:val="21"/>
          <w:szCs w:val="21"/>
        </w:rPr>
      </w:pPr>
      <w:r>
        <w:rPr>
          <w:rFonts w:hint="eastAsia"/>
          <w:sz w:val="21"/>
          <w:szCs w:val="21"/>
        </w:rPr>
        <w:t xml:space="preserve">（12）本基金参与转融通证券出借交易应当符合以下要求： </w:t>
      </w:r>
    </w:p>
    <w:p w14:paraId="263388E0">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1）出借证券资产不得超过基金资产净值的30%，出借期限在10个交易日以上的出借证券应纳入《流动性风险管理规定》所述流动性受限证券的范围； </w:t>
      </w:r>
    </w:p>
    <w:p w14:paraId="5C9109F4">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2）参与出借业务的单只证券不得超过基金持有该证券总量的30%； </w:t>
      </w:r>
    </w:p>
    <w:p w14:paraId="233A5978">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2B26FBAD">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3D4CCEB1">
      <w:pPr>
        <w:pStyle w:val="7"/>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因证券市场波动、上市公司合并、基金规模变动等基金管理人之外的因素致使基金投资不符合本条规定的，基金管理人不得新增出借业务； </w:t>
      </w:r>
    </w:p>
    <w:p w14:paraId="27C3B5EB">
      <w:pPr>
        <w:pStyle w:val="7"/>
        <w:spacing w:before="0" w:beforeAutospacing="0" w:after="0" w:afterAutospacing="0" w:line="360" w:lineRule="auto"/>
        <w:ind w:firstLine="420"/>
        <w:rPr>
          <w:sz w:val="21"/>
          <w:szCs w:val="21"/>
        </w:rPr>
      </w:pPr>
      <w:r>
        <w:rPr>
          <w:rFonts w:hint="eastAsia"/>
          <w:sz w:val="21"/>
          <w:szCs w:val="21"/>
        </w:rPr>
        <w:t xml:space="preserve">（13）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 </w:t>
      </w:r>
    </w:p>
    <w:p w14:paraId="7B4788DE">
      <w:pPr>
        <w:pStyle w:val="7"/>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52860512">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155F0591">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（16）本基金投资存托凭证的比例限制依照境内上市交易的股票执行，与境内上市交易的股票合并计算； </w:t>
      </w:r>
    </w:p>
    <w:p w14:paraId="1E2D1EB0">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463CDA7F">
      <w:pPr>
        <w:pStyle w:val="7"/>
        <w:spacing w:before="0" w:beforeAutospacing="0" w:after="0" w:afterAutospacing="0" w:line="360" w:lineRule="auto"/>
        <w:ind w:firstLine="420"/>
        <w:rPr>
          <w:sz w:val="21"/>
          <w:szCs w:val="21"/>
        </w:rPr>
      </w:pPr>
      <w:r>
        <w:rPr>
          <w:rFonts w:hint="eastAsia"/>
          <w:sz w:val="21"/>
          <w:szCs w:val="21"/>
        </w:rPr>
        <w:t xml:space="preserve">除第（2）、（8）、（12）、（14）、（15）条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 </w:t>
      </w:r>
    </w:p>
    <w:p w14:paraId="3D738680">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0012F20">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1F4A4F75">
      <w:pPr>
        <w:pStyle w:val="7"/>
        <w:spacing w:before="0" w:beforeAutospacing="0" w:after="0" w:afterAutospacing="0" w:line="360" w:lineRule="auto"/>
        <w:ind w:firstLine="420"/>
        <w:rPr>
          <w:sz w:val="21"/>
          <w:szCs w:val="21"/>
        </w:rPr>
      </w:pPr>
      <w:r>
        <w:rPr>
          <w:rFonts w:hint="eastAsia"/>
          <w:sz w:val="21"/>
          <w:szCs w:val="21"/>
        </w:rPr>
        <w:t xml:space="preserve">（二）禁止行为 </w:t>
      </w:r>
    </w:p>
    <w:p w14:paraId="48628973">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5B0194FF">
      <w:pPr>
        <w:pStyle w:val="7"/>
        <w:spacing w:before="0" w:beforeAutospacing="0" w:after="0" w:afterAutospacing="0" w:line="360" w:lineRule="auto"/>
        <w:ind w:firstLine="420"/>
        <w:rPr>
          <w:sz w:val="21"/>
          <w:szCs w:val="21"/>
        </w:rPr>
      </w:pPr>
      <w:r>
        <w:rPr>
          <w:rFonts w:hint="eastAsia"/>
          <w:sz w:val="21"/>
          <w:szCs w:val="21"/>
        </w:rPr>
        <w:t xml:space="preserve">（1）承销证券； </w:t>
      </w:r>
    </w:p>
    <w:p w14:paraId="4992EB40">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59B56298">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7E1F8E58">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ED18BF7">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2BDDE52C">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4D37000">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C03E091">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02D56E5E">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法律、行政法规或监管部门取消或调整上述限制，如适用于本基金，基金管理人在履行适当程序后，则本基金投资不再受相关限制或按照调整后的规定执行。 </w:t>
      </w:r>
    </w:p>
    <w:p w14:paraId="1FB6CF12">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2641E1AD">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440DE8D7">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2FF8A91B">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40255A43">
      <w:pPr>
        <w:pStyle w:val="7"/>
        <w:spacing w:before="0" w:beforeAutospacing="0" w:after="0" w:afterAutospacing="0" w:line="360" w:lineRule="auto"/>
        <w:ind w:firstLine="420"/>
        <w:rPr>
          <w:rFonts w:ascii="宋体" w:hAnsi="宋体" w:eastAsia="宋体"/>
        </w:rPr>
      </w:pPr>
      <w:r>
        <w:rPr>
          <w:rFonts w:hint="eastAsia"/>
          <w:sz w:val="21"/>
          <w:szCs w:val="21"/>
        </w:rPr>
        <w:t>4、不通过关联交易为自身、雇员、授权代理人或任何存在利害关系的第三人牟取任何</w:t>
      </w:r>
      <w:bookmarkStart w:id="117" w:name="chapter_level1_13_60_section_1_end"/>
      <w:bookmarkEnd w:id="117"/>
      <w:r>
        <w:rPr>
          <w:rFonts w:hint="eastAsia"/>
          <w:sz w:val="21"/>
          <w:szCs w:val="21"/>
        </w:rPr>
        <w:t xml:space="preserve">不当利益。 </w:t>
      </w:r>
      <w:bookmarkStart w:id="118" w:name="chapter_level1_13_60_section_2"/>
      <w:bookmarkEnd w:id="118"/>
      <w:r>
        <w:rPr>
          <w:rFonts w:ascii="宋体" w:hAnsi="宋体" w:eastAsia="宋体"/>
        </w:rPr>
        <w:br w:type="page"/>
      </w:r>
    </w:p>
    <w:p w14:paraId="3118E067">
      <w:pPr>
        <w:pStyle w:val="2"/>
        <w:jc w:val="center"/>
        <w:rPr>
          <w:rFonts w:ascii="宋体" w:hAnsi="宋体" w:eastAsia="宋体"/>
          <w:sz w:val="30"/>
        </w:rPr>
      </w:pPr>
      <w:bookmarkStart w:id="119" w:name="chapter_level1_15_62"/>
      <w:bookmarkStart w:id="120" w:name="_Toc27700"/>
      <w:r>
        <w:rPr>
          <w:rFonts w:hint="eastAsia" w:ascii="宋体" w:hAnsi="宋体" w:eastAsia="宋体"/>
          <w:sz w:val="30"/>
        </w:rPr>
        <w:t>第十</w:t>
      </w:r>
      <w:r>
        <w:rPr>
          <w:rFonts w:hint="eastAsia" w:ascii="宋体" w:hAnsi="宋体" w:eastAsia="宋体"/>
          <w:sz w:val="30"/>
          <w:lang w:val="en-US" w:eastAsia="zh-CN"/>
        </w:rPr>
        <w:t>一</w:t>
      </w:r>
      <w:r>
        <w:rPr>
          <w:rFonts w:hint="eastAsia" w:ascii="宋体" w:hAnsi="宋体" w:eastAsia="宋体"/>
          <w:sz w:val="30"/>
        </w:rPr>
        <w:t>部分  基金的财产</w:t>
      </w:r>
      <w:bookmarkEnd w:id="119"/>
      <w:bookmarkEnd w:id="120"/>
    </w:p>
    <w:p w14:paraId="786DC72B">
      <w:pPr>
        <w:pStyle w:val="7"/>
        <w:spacing w:before="0" w:beforeAutospacing="0" w:after="0" w:afterAutospacing="0" w:line="360" w:lineRule="auto"/>
        <w:ind w:firstLine="420"/>
        <w:rPr>
          <w:sz w:val="21"/>
          <w:szCs w:val="21"/>
        </w:rPr>
      </w:pPr>
      <w:bookmarkStart w:id="121" w:name="chapter_level1_15_62_section_1"/>
      <w:bookmarkEnd w:id="121"/>
      <w:r>
        <w:rPr>
          <w:rStyle w:val="11"/>
          <w:rFonts w:hint="eastAsia"/>
          <w:sz w:val="21"/>
          <w:szCs w:val="21"/>
        </w:rPr>
        <w:t>一、基金资产总值</w:t>
      </w:r>
    </w:p>
    <w:p w14:paraId="41600705">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061B39FB">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7436F8C8">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5D1819F6">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540CDD3E">
      <w:pPr>
        <w:pStyle w:val="7"/>
        <w:spacing w:before="0" w:beforeAutospacing="0" w:after="0" w:afterAutospacing="0" w:line="360" w:lineRule="auto"/>
        <w:ind w:firstLine="420"/>
        <w:rPr>
          <w:sz w:val="21"/>
          <w:szCs w:val="21"/>
        </w:rPr>
      </w:pPr>
      <w:r>
        <w:rPr>
          <w:rFonts w:hint="eastAsia"/>
          <w:sz w:val="21"/>
          <w:szCs w:val="21"/>
        </w:rPr>
        <w:t xml:space="preserve">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4845E337">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475EDDE8">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041A7741">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22" w:name="chapter_level1_15_62_section_1_end"/>
      <w:bookmarkEnd w:id="122"/>
      <w:r>
        <w:rPr>
          <w:rFonts w:hint="eastAsia"/>
          <w:sz w:val="21"/>
          <w:szCs w:val="21"/>
        </w:rPr>
        <w:t xml:space="preserve">得相互抵销。非因基金财产本身承担的债务，不得对基金财产强制执行。 </w:t>
      </w:r>
    </w:p>
    <w:p w14:paraId="70CF0247">
      <w:pPr>
        <w:widowControl/>
        <w:jc w:val="left"/>
        <w:rPr>
          <w:rFonts w:ascii="宋体" w:hAnsi="宋体" w:eastAsia="宋体"/>
        </w:rPr>
      </w:pPr>
      <w:r>
        <w:rPr>
          <w:rFonts w:ascii="宋体" w:hAnsi="宋体" w:eastAsia="宋体"/>
        </w:rPr>
        <w:br w:type="page"/>
      </w:r>
    </w:p>
    <w:p w14:paraId="205E78FC">
      <w:pPr>
        <w:pStyle w:val="2"/>
        <w:jc w:val="center"/>
        <w:rPr>
          <w:rFonts w:ascii="宋体" w:hAnsi="宋体" w:eastAsia="宋体"/>
          <w:sz w:val="30"/>
        </w:rPr>
      </w:pPr>
      <w:bookmarkStart w:id="123" w:name="chapter_level1_16_63"/>
      <w:bookmarkStart w:id="124" w:name="_Toc28697"/>
      <w:r>
        <w:rPr>
          <w:rFonts w:hint="eastAsia" w:ascii="宋体" w:hAnsi="宋体" w:eastAsia="宋体"/>
          <w:sz w:val="30"/>
        </w:rPr>
        <w:t>第十</w:t>
      </w:r>
      <w:r>
        <w:rPr>
          <w:rFonts w:hint="eastAsia" w:ascii="宋体" w:hAnsi="宋体" w:eastAsia="宋体"/>
          <w:sz w:val="30"/>
          <w:lang w:val="en-US" w:eastAsia="zh-CN"/>
        </w:rPr>
        <w:t>二</w:t>
      </w:r>
      <w:r>
        <w:rPr>
          <w:rFonts w:hint="eastAsia" w:ascii="宋体" w:hAnsi="宋体" w:eastAsia="宋体"/>
          <w:sz w:val="30"/>
        </w:rPr>
        <w:t>部分  基金资产的估值</w:t>
      </w:r>
      <w:bookmarkEnd w:id="123"/>
      <w:bookmarkEnd w:id="124"/>
    </w:p>
    <w:p w14:paraId="3C300AFB">
      <w:pPr>
        <w:pStyle w:val="7"/>
        <w:spacing w:before="0" w:beforeAutospacing="0" w:after="0" w:afterAutospacing="0" w:line="360" w:lineRule="auto"/>
        <w:ind w:firstLine="420"/>
        <w:rPr>
          <w:sz w:val="21"/>
          <w:szCs w:val="21"/>
        </w:rPr>
      </w:pPr>
      <w:bookmarkStart w:id="125" w:name="chapter_level1_16_63_section_1"/>
      <w:bookmarkEnd w:id="125"/>
      <w:r>
        <w:rPr>
          <w:rStyle w:val="11"/>
          <w:rFonts w:hint="eastAsia"/>
          <w:sz w:val="21"/>
          <w:szCs w:val="21"/>
        </w:rPr>
        <w:t>一、估值日</w:t>
      </w:r>
    </w:p>
    <w:p w14:paraId="007E73B0">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本基金的估值日为本基金相关的证券、期货交易场所的交易日以及国家法律法规规定需要对外披露基金净值的非交易日。 </w:t>
      </w:r>
    </w:p>
    <w:p w14:paraId="7546DF01">
      <w:pPr>
        <w:pStyle w:val="7"/>
        <w:spacing w:before="0" w:beforeAutospacing="0" w:after="0" w:afterAutospacing="0" w:line="360" w:lineRule="auto"/>
        <w:ind w:firstLine="420"/>
        <w:rPr>
          <w:sz w:val="21"/>
          <w:szCs w:val="21"/>
        </w:rPr>
      </w:pPr>
      <w:r>
        <w:rPr>
          <w:rStyle w:val="11"/>
          <w:rFonts w:hint="eastAsia"/>
          <w:sz w:val="21"/>
          <w:szCs w:val="21"/>
        </w:rPr>
        <w:t>二、估值对象</w:t>
      </w:r>
    </w:p>
    <w:p w14:paraId="6DD9D9F0">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基金所拥有的股票（含存托凭证）、债券、国债期货合约、股指期货合约、股票期权合约、资产支持证券、银行存款本息、应收款项、其它投资等资产及负债。 </w:t>
      </w:r>
    </w:p>
    <w:p w14:paraId="174B977E">
      <w:pPr>
        <w:pStyle w:val="7"/>
        <w:spacing w:before="0" w:beforeAutospacing="0" w:after="0" w:afterAutospacing="0" w:line="360" w:lineRule="auto"/>
        <w:ind w:firstLine="420"/>
        <w:rPr>
          <w:sz w:val="21"/>
          <w:szCs w:val="21"/>
        </w:rPr>
      </w:pPr>
      <w:r>
        <w:rPr>
          <w:rStyle w:val="11"/>
          <w:rFonts w:hint="eastAsia"/>
          <w:sz w:val="21"/>
          <w:szCs w:val="21"/>
        </w:rPr>
        <w:t>三、估值原则</w:t>
      </w:r>
    </w:p>
    <w:p w14:paraId="473F69B4">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5C118804">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6C5FA221">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88EAA2E">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1C0E44FD">
      <w:pPr>
        <w:pStyle w:val="7"/>
        <w:spacing w:before="0" w:beforeAutospacing="0" w:after="0" w:afterAutospacing="0" w:line="360" w:lineRule="auto"/>
        <w:ind w:firstLine="420"/>
        <w:rPr>
          <w:sz w:val="21"/>
          <w:szCs w:val="21"/>
        </w:rPr>
      </w:pPr>
      <w:r>
        <w:rPr>
          <w:rStyle w:val="11"/>
          <w:rFonts w:hint="eastAsia"/>
          <w:sz w:val="21"/>
          <w:szCs w:val="21"/>
        </w:rPr>
        <w:t>四、估值方法</w:t>
      </w:r>
    </w:p>
    <w:p w14:paraId="4C2B2F43">
      <w:pPr>
        <w:pStyle w:val="7"/>
        <w:spacing w:before="0" w:beforeAutospacing="0" w:after="0" w:afterAutospacing="0" w:line="360" w:lineRule="auto"/>
        <w:ind w:firstLine="420"/>
        <w:rPr>
          <w:sz w:val="21"/>
          <w:szCs w:val="21"/>
        </w:rPr>
      </w:pPr>
      <w:r>
        <w:rPr>
          <w:rFonts w:hint="eastAsia"/>
          <w:sz w:val="21"/>
          <w:szCs w:val="21"/>
        </w:rPr>
        <w:t xml:space="preserve">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6AA786E1">
      <w:pPr>
        <w:pStyle w:val="7"/>
        <w:spacing w:before="0" w:beforeAutospacing="0" w:after="0" w:afterAutospacing="0" w:line="360" w:lineRule="auto"/>
        <w:ind w:firstLine="420"/>
        <w:rPr>
          <w:sz w:val="21"/>
          <w:szCs w:val="21"/>
        </w:rPr>
      </w:pPr>
      <w:r>
        <w:rPr>
          <w:rFonts w:hint="eastAsia"/>
          <w:sz w:val="21"/>
          <w:szCs w:val="21"/>
        </w:rPr>
        <w:t xml:space="preserve">2、对于已上市或已挂牌转让的不含权固定收益品种，选取估值日第三方估值基准服务机构提供的相应品种当日的估值全价进行估值。 </w:t>
      </w:r>
    </w:p>
    <w:p w14:paraId="77A27208">
      <w:pPr>
        <w:pStyle w:val="7"/>
        <w:spacing w:before="0" w:beforeAutospacing="0" w:after="0" w:afterAutospacing="0" w:line="360" w:lineRule="auto"/>
        <w:ind w:firstLine="420"/>
        <w:rPr>
          <w:sz w:val="21"/>
          <w:szCs w:val="21"/>
        </w:rPr>
      </w:pPr>
      <w:r>
        <w:rPr>
          <w:rFonts w:hint="eastAsia"/>
          <w:sz w:val="21"/>
          <w:szCs w:val="21"/>
        </w:rPr>
        <w:t xml:space="preserve">3、对于已上市或已挂牌转让的含权固定收益品种，选取估值日第三方估值基准服务机构提供的相应品种当日的唯一估值全价或推荐估值全价进行估值。 </w:t>
      </w:r>
    </w:p>
    <w:p w14:paraId="1FE48955">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14:paraId="3C679642">
      <w:pPr>
        <w:pStyle w:val="7"/>
        <w:spacing w:before="0" w:beforeAutospacing="0" w:after="0" w:afterAutospacing="0" w:line="360" w:lineRule="auto"/>
        <w:ind w:firstLine="420"/>
        <w:rPr>
          <w:sz w:val="21"/>
          <w:szCs w:val="21"/>
        </w:rPr>
      </w:pPr>
      <w:r>
        <w:rPr>
          <w:rFonts w:hint="eastAsia"/>
          <w:sz w:val="21"/>
          <w:szCs w:val="21"/>
        </w:rPr>
        <w:t xml:space="preserve">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14:paraId="0D0DC01A">
      <w:pPr>
        <w:pStyle w:val="7"/>
        <w:spacing w:before="0" w:beforeAutospacing="0" w:after="0" w:afterAutospacing="0" w:line="360" w:lineRule="auto"/>
        <w:ind w:firstLine="420"/>
        <w:rPr>
          <w:sz w:val="21"/>
          <w:szCs w:val="21"/>
        </w:rPr>
      </w:pPr>
      <w:r>
        <w:rPr>
          <w:rFonts w:hint="eastAsia"/>
          <w:sz w:val="21"/>
          <w:szCs w:val="21"/>
        </w:rPr>
        <w:t xml:space="preserve">5、对于未上市或未挂牌转让且不存在活跃市场的固定收益品种，应采用在当前情况下适用并且有足够可利用数据和其他信息支持的估值技术确定其公允价值。 </w:t>
      </w:r>
    </w:p>
    <w:p w14:paraId="2C9A4421">
      <w:pPr>
        <w:pStyle w:val="7"/>
        <w:spacing w:before="0" w:beforeAutospacing="0" w:after="0" w:afterAutospacing="0" w:line="360" w:lineRule="auto"/>
        <w:ind w:firstLine="420"/>
        <w:rPr>
          <w:sz w:val="21"/>
          <w:szCs w:val="21"/>
        </w:rPr>
      </w:pPr>
      <w:r>
        <w:rPr>
          <w:rFonts w:hint="eastAsia"/>
          <w:sz w:val="21"/>
          <w:szCs w:val="21"/>
        </w:rPr>
        <w:t xml:space="preserve">6、处于未上市期间的有价证券应区分如下情况处理： </w:t>
      </w:r>
    </w:p>
    <w:p w14:paraId="3A5A0FC4">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70F82055">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（2）首次公开发行未上市的股票，采用估值技术确定公允价值，在估值技术难以可靠计量公允价值的情况下，按成本估值； </w:t>
      </w:r>
    </w:p>
    <w:p w14:paraId="41E9CA34">
      <w:pPr>
        <w:pStyle w:val="7"/>
        <w:spacing w:before="0" w:beforeAutospacing="0" w:after="0" w:afterAutospacing="0" w:line="360" w:lineRule="auto"/>
        <w:ind w:firstLine="420"/>
        <w:rPr>
          <w:sz w:val="21"/>
          <w:szCs w:val="21"/>
        </w:rPr>
      </w:pPr>
      <w:r>
        <w:rPr>
          <w:rFonts w:hint="eastAsia"/>
          <w:sz w:val="21"/>
          <w:szCs w:val="21"/>
        </w:rPr>
        <w:t xml:space="preserve">（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7E7C4300">
      <w:pPr>
        <w:pStyle w:val="7"/>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6A4228D4">
      <w:pPr>
        <w:pStyle w:val="7"/>
        <w:spacing w:before="0" w:beforeAutospacing="0" w:after="0" w:afterAutospacing="0" w:line="360" w:lineRule="auto"/>
        <w:ind w:firstLine="420"/>
        <w:rPr>
          <w:sz w:val="21"/>
          <w:szCs w:val="21"/>
        </w:rPr>
      </w:pPr>
      <w:r>
        <w:rPr>
          <w:rFonts w:hint="eastAsia"/>
          <w:sz w:val="21"/>
          <w:szCs w:val="21"/>
        </w:rPr>
        <w:t xml:space="preserve">8、同一证券同时在两个或两个以上市场交易的，按证券所处的市场分别估值。 </w:t>
      </w:r>
    </w:p>
    <w:p w14:paraId="63960E5C">
      <w:pPr>
        <w:pStyle w:val="7"/>
        <w:spacing w:before="0" w:beforeAutospacing="0" w:after="0" w:afterAutospacing="0" w:line="360" w:lineRule="auto"/>
        <w:ind w:firstLine="420"/>
        <w:rPr>
          <w:sz w:val="21"/>
          <w:szCs w:val="21"/>
        </w:rPr>
      </w:pPr>
      <w:r>
        <w:rPr>
          <w:rFonts w:hint="eastAsia"/>
          <w:sz w:val="21"/>
          <w:szCs w:val="21"/>
        </w:rPr>
        <w:t xml:space="preserve">9、本基金投资股指期货、国债期货合约，一般以估值当日结算价确定公允价值，估值当日无结算价的，且最近交易日后未发生影响公允价值计量的重大事件的，采用最近交易日结算价估值。 </w:t>
      </w:r>
    </w:p>
    <w:p w14:paraId="0CEAC614">
      <w:pPr>
        <w:pStyle w:val="7"/>
        <w:spacing w:before="0" w:beforeAutospacing="0" w:after="0" w:afterAutospacing="0" w:line="360" w:lineRule="auto"/>
        <w:ind w:firstLine="420"/>
        <w:rPr>
          <w:sz w:val="21"/>
          <w:szCs w:val="21"/>
        </w:rPr>
      </w:pPr>
      <w:r>
        <w:rPr>
          <w:rFonts w:hint="eastAsia"/>
          <w:sz w:val="21"/>
          <w:szCs w:val="21"/>
        </w:rPr>
        <w:t xml:space="preserve">10、本基金投资股票期权，根据相关法律法规以及监管部门的规定估值。 </w:t>
      </w:r>
    </w:p>
    <w:p w14:paraId="22B46044">
      <w:pPr>
        <w:pStyle w:val="7"/>
        <w:spacing w:before="0" w:beforeAutospacing="0" w:after="0" w:afterAutospacing="0" w:line="360" w:lineRule="auto"/>
        <w:ind w:firstLine="420"/>
        <w:rPr>
          <w:sz w:val="21"/>
          <w:szCs w:val="21"/>
        </w:rPr>
      </w:pPr>
      <w:r>
        <w:rPr>
          <w:rFonts w:hint="eastAsia"/>
          <w:sz w:val="21"/>
          <w:szCs w:val="21"/>
        </w:rPr>
        <w:t xml:space="preserve">11、本基金参与融资及转融通证券出借业务的，应参照法律法规及行业协会的相关规定进行估值。 </w:t>
      </w:r>
    </w:p>
    <w:p w14:paraId="5B20605A">
      <w:pPr>
        <w:pStyle w:val="7"/>
        <w:spacing w:before="0" w:beforeAutospacing="0" w:after="0" w:afterAutospacing="0" w:line="360" w:lineRule="auto"/>
        <w:ind w:firstLine="420"/>
        <w:rPr>
          <w:sz w:val="21"/>
          <w:szCs w:val="21"/>
        </w:rPr>
      </w:pPr>
      <w:r>
        <w:rPr>
          <w:rFonts w:hint="eastAsia"/>
          <w:sz w:val="21"/>
          <w:szCs w:val="21"/>
        </w:rPr>
        <w:t xml:space="preserve">12、汇率 </w:t>
      </w:r>
    </w:p>
    <w:p w14:paraId="30DBCBA5">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本基金外币资产价值计算中，涉及主要货币对人民币汇率的，应当以基金估值日中国人民银行或其授权机构公布的人民币汇率中间价或其他可以反映公允价值的汇率进行估值。 </w:t>
      </w:r>
    </w:p>
    <w:p w14:paraId="51309355">
      <w:pPr>
        <w:pStyle w:val="7"/>
        <w:spacing w:before="0" w:beforeAutospacing="0" w:after="0" w:afterAutospacing="0" w:line="360" w:lineRule="auto"/>
        <w:ind w:firstLine="420"/>
        <w:rPr>
          <w:sz w:val="21"/>
          <w:szCs w:val="21"/>
        </w:rPr>
      </w:pPr>
      <w:r>
        <w:rPr>
          <w:rFonts w:hint="eastAsia"/>
          <w:sz w:val="21"/>
          <w:szCs w:val="21"/>
        </w:rPr>
        <w:t xml:space="preserve">13、如有确凿证据表明按上述方法进行估值不能客观反映其公允价值的，基金管理人可根据具体情况与基金托管人商定后，按最能反映公允价值的方法估值。 </w:t>
      </w:r>
    </w:p>
    <w:p w14:paraId="24ED6F7D">
      <w:pPr>
        <w:pStyle w:val="7"/>
        <w:spacing w:before="0" w:beforeAutospacing="0" w:after="0" w:afterAutospacing="0" w:line="360" w:lineRule="auto"/>
        <w:ind w:firstLine="420"/>
        <w:rPr>
          <w:sz w:val="21"/>
          <w:szCs w:val="21"/>
        </w:rPr>
      </w:pPr>
      <w:r>
        <w:rPr>
          <w:rFonts w:hint="eastAsia"/>
          <w:sz w:val="21"/>
          <w:szCs w:val="21"/>
        </w:rPr>
        <w:t xml:space="preserve">14、相关法律法规以及监管部门有强制规定的，从其规定。如有新增事项，按国家最新规定估值。 </w:t>
      </w:r>
    </w:p>
    <w:p w14:paraId="7FA89208">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FC475F2">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26" w:name="chapter_level1_16_63_section_1_end"/>
      <w:bookmarkEnd w:id="126"/>
      <w:r>
        <w:rPr>
          <w:rFonts w:hint="eastAsia"/>
          <w:sz w:val="21"/>
          <w:szCs w:val="21"/>
        </w:rPr>
        <w:t xml:space="preserve">对外予以公布。 </w:t>
      </w:r>
    </w:p>
    <w:p w14:paraId="6DE33EF7">
      <w:pPr>
        <w:pStyle w:val="7"/>
        <w:spacing w:before="0" w:beforeAutospacing="0" w:after="0" w:afterAutospacing="0" w:line="360" w:lineRule="auto"/>
        <w:ind w:firstLine="420"/>
        <w:rPr>
          <w:sz w:val="21"/>
          <w:szCs w:val="21"/>
        </w:rPr>
      </w:pPr>
      <w:bookmarkStart w:id="127" w:name="chapter_level1_16_63_section_2"/>
      <w:bookmarkEnd w:id="127"/>
      <w:r>
        <w:rPr>
          <w:rStyle w:val="11"/>
          <w:rFonts w:hint="eastAsia"/>
          <w:sz w:val="21"/>
          <w:szCs w:val="21"/>
        </w:rPr>
        <w:t>五、估值程序</w:t>
      </w:r>
    </w:p>
    <w:p w14:paraId="7FBF27DD">
      <w:pPr>
        <w:pStyle w:val="7"/>
        <w:spacing w:before="0" w:beforeAutospacing="0" w:after="0" w:afterAutospacing="0" w:line="360" w:lineRule="auto"/>
        <w:ind w:firstLine="420"/>
        <w:rPr>
          <w:sz w:val="21"/>
          <w:szCs w:val="21"/>
        </w:rPr>
      </w:pPr>
      <w:r>
        <w:rPr>
          <w:rFonts w:hint="eastAsia"/>
          <w:sz w:val="21"/>
          <w:szCs w:val="21"/>
        </w:rPr>
        <w:t>1、基金份额净值是按照每个估值日，基金资产净值除以对应日期的基金份额的余额数量计算，精确到</w:t>
      </w:r>
      <w:bookmarkStart w:id="128" w:name="field_63_netdecimalvalue_1"/>
      <w:r>
        <w:rPr>
          <w:sz w:val="21"/>
          <w:szCs w:val="21"/>
        </w:rPr>
        <w:t>0.0001</w:t>
      </w:r>
      <w:bookmarkEnd w:id="128"/>
      <w:r>
        <w:rPr>
          <w:rFonts w:hint="eastAsia"/>
          <w:sz w:val="21"/>
          <w:szCs w:val="21"/>
        </w:rPr>
        <w:t>元，小数点后第</w:t>
      </w:r>
      <w:bookmarkStart w:id="129" w:name="field_0_netdecimaladd1_2"/>
      <w:r>
        <w:rPr>
          <w:sz w:val="21"/>
          <w:szCs w:val="21"/>
        </w:rPr>
        <w:t>5</w:t>
      </w:r>
      <w:bookmarkEnd w:id="129"/>
      <w:r>
        <w:rPr>
          <w:rFonts w:hint="eastAsia"/>
          <w:sz w:val="21"/>
          <w:szCs w:val="21"/>
        </w:rPr>
        <w:t xml:space="preserve">位四舍五入。基金管理人可以设立大额赎回情形下的净值精度应急调整机制。国家另有规定的，从其规定。 </w:t>
      </w:r>
    </w:p>
    <w:p w14:paraId="2692A3E8">
      <w:pPr>
        <w:pStyle w:val="7"/>
        <w:spacing w:before="0" w:beforeAutospacing="0" w:after="0" w:afterAutospacing="0" w:line="360" w:lineRule="auto"/>
        <w:ind w:firstLine="420"/>
        <w:rPr>
          <w:sz w:val="21"/>
          <w:szCs w:val="21"/>
        </w:rPr>
      </w:pPr>
      <w:r>
        <w:rPr>
          <w:rFonts w:hint="eastAsia"/>
          <w:sz w:val="21"/>
          <w:szCs w:val="21"/>
        </w:rPr>
        <w:t xml:space="preserve">基金管理人于每个估值日计算基金资产净值及基金份额净值，并按规定公告。 </w:t>
      </w:r>
    </w:p>
    <w:p w14:paraId="2ADAC77A">
      <w:pPr>
        <w:pStyle w:val="7"/>
        <w:spacing w:before="0" w:beforeAutospacing="0" w:after="0" w:afterAutospacing="0" w:line="360" w:lineRule="auto"/>
        <w:ind w:firstLine="420"/>
        <w:rPr>
          <w:sz w:val="21"/>
          <w:szCs w:val="21"/>
        </w:rPr>
      </w:pPr>
      <w:r>
        <w:rPr>
          <w:rFonts w:hint="eastAsia"/>
          <w:sz w:val="21"/>
          <w:szCs w:val="21"/>
        </w:rPr>
        <w:t xml:space="preserve">2、基金管理人应每个估值日对基金资产估值。但基金管理人根据法律法规或基金合同的规定暂停估值时除外。基金管理人每个估值日对基金资产估值后，将基金份额净值结果发送基金托管人，经基金托管人复核无误后，由基金管理人按约定对外公布。 </w:t>
      </w:r>
    </w:p>
    <w:p w14:paraId="0F66AC35">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07CCCB04">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30" w:name="field_63_netdecimal_2"/>
      <w:r>
        <w:rPr>
          <w:sz w:val="21"/>
          <w:szCs w:val="21"/>
        </w:rPr>
        <w:t>4</w:t>
      </w:r>
      <w:bookmarkEnd w:id="130"/>
      <w:r>
        <w:rPr>
          <w:rFonts w:hint="eastAsia"/>
          <w:sz w:val="21"/>
          <w:szCs w:val="21"/>
        </w:rPr>
        <w:t>位以内(含第</w:t>
      </w:r>
      <w:bookmarkStart w:id="131" w:name="field_63_netdecimal_3"/>
      <w:r>
        <w:rPr>
          <w:sz w:val="21"/>
          <w:szCs w:val="21"/>
        </w:rPr>
        <w:t>4</w:t>
      </w:r>
      <w:bookmarkEnd w:id="131"/>
      <w:r>
        <w:rPr>
          <w:rFonts w:hint="eastAsia"/>
          <w:sz w:val="21"/>
          <w:szCs w:val="21"/>
        </w:rPr>
        <w:t xml:space="preserve">位)发生估值错误时，视为基金份额净值错误。 </w:t>
      </w:r>
    </w:p>
    <w:p w14:paraId="339F3C29">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C49EE1B">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106BE68">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E2A4529">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17AA9E9C">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414AC5E1">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3E2C29A">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00EA9E31">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3716960C">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32CBEA87">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05C2CC1F">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0ED57C9B">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3EE3C5B">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E17B2FB">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4B5BBBF4">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57729E3">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1A0508F">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2E67C649">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5BA1DFA7">
      <w:pPr>
        <w:pStyle w:val="7"/>
        <w:spacing w:before="0" w:beforeAutospacing="0" w:after="0" w:afterAutospacing="0" w:line="360" w:lineRule="auto"/>
        <w:ind w:firstLine="420"/>
        <w:rPr>
          <w:sz w:val="21"/>
          <w:szCs w:val="21"/>
        </w:rPr>
      </w:pPr>
      <w:r>
        <w:rPr>
          <w:rFonts w:hint="eastAsia"/>
          <w:sz w:val="21"/>
          <w:szCs w:val="21"/>
        </w:rPr>
        <w:t xml:space="preserve">（3）前述内容如法律法规或者监管部门另有规定的，从其规定。如果行业另有通行做法，基金管理人和基金托管人应本着平等和保护基金份额持有人利益的原则进行协商。 </w:t>
      </w:r>
    </w:p>
    <w:p w14:paraId="7E97F990">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3A1B7D2F">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139E8BF6">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58C85C33">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3D90F7A8">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4、法律法规、中国证监会和基金合同认定的其它情形。 </w:t>
      </w:r>
    </w:p>
    <w:p w14:paraId="0974B344">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43677E5C">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估值日计算对应日期的基金资产净值和基金份额净值并发送给基金托管人。基金托管人对净值计算结果复核确认后发送给基金管理人，由基金管理人按规定对基金净值予以公布。 </w:t>
      </w:r>
    </w:p>
    <w:p w14:paraId="0D3ED64D">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16758499">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1、基金管理人或基金托管人按估值方法的第13项进行估值时，所造成的误差不作为基金资产估值错误处理。 </w:t>
      </w:r>
    </w:p>
    <w:p w14:paraId="5E7C0130">
      <w:pPr>
        <w:pStyle w:val="7"/>
        <w:spacing w:before="0" w:beforeAutospacing="0" w:after="0" w:afterAutospacing="0" w:line="360" w:lineRule="auto"/>
        <w:ind w:firstLine="420"/>
        <w:rPr>
          <w:sz w:val="21"/>
          <w:szCs w:val="21"/>
        </w:rPr>
      </w:pPr>
      <w:r>
        <w:rPr>
          <w:rFonts w:hint="eastAsia"/>
          <w:sz w:val="21"/>
          <w:szCs w:val="21"/>
        </w:rPr>
        <w:t>2、由于不可抗力原因，或证券/期货交易所、指数编制机构及登记结算公司、证券、期货经营机构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w:t>
      </w:r>
      <w:bookmarkStart w:id="132" w:name="chapter_level1_16_63_section_2_end"/>
      <w:bookmarkEnd w:id="132"/>
      <w:r>
        <w:rPr>
          <w:rFonts w:hint="eastAsia"/>
          <w:sz w:val="21"/>
          <w:szCs w:val="21"/>
        </w:rPr>
        <w:t xml:space="preserve">要的措施消除或减轻由此造成的影响。 </w:t>
      </w:r>
    </w:p>
    <w:p w14:paraId="71998885">
      <w:pPr>
        <w:widowControl/>
        <w:jc w:val="left"/>
        <w:rPr>
          <w:rFonts w:ascii="宋体" w:hAnsi="宋体" w:eastAsia="宋体"/>
        </w:rPr>
      </w:pPr>
      <w:r>
        <w:rPr>
          <w:rFonts w:ascii="宋体" w:hAnsi="宋体" w:eastAsia="宋体"/>
        </w:rPr>
        <w:br w:type="page"/>
      </w:r>
    </w:p>
    <w:p w14:paraId="63F3C7D0">
      <w:pPr>
        <w:pStyle w:val="2"/>
        <w:jc w:val="center"/>
        <w:rPr>
          <w:rFonts w:ascii="宋体" w:hAnsi="宋体" w:eastAsia="宋体"/>
          <w:sz w:val="30"/>
        </w:rPr>
      </w:pPr>
      <w:bookmarkStart w:id="133" w:name="chapter_level1_17_64"/>
      <w:bookmarkStart w:id="134" w:name="_Toc776"/>
      <w:r>
        <w:rPr>
          <w:rFonts w:hint="eastAsia" w:ascii="宋体" w:hAnsi="宋体" w:eastAsia="宋体"/>
          <w:sz w:val="30"/>
        </w:rPr>
        <w:t>第十</w:t>
      </w:r>
      <w:r>
        <w:rPr>
          <w:rFonts w:hint="eastAsia" w:ascii="宋体" w:hAnsi="宋体" w:eastAsia="宋体"/>
          <w:sz w:val="30"/>
          <w:lang w:val="en-US" w:eastAsia="zh-CN"/>
        </w:rPr>
        <w:t>三</w:t>
      </w:r>
      <w:r>
        <w:rPr>
          <w:rFonts w:hint="eastAsia" w:ascii="宋体" w:hAnsi="宋体" w:eastAsia="宋体"/>
          <w:sz w:val="30"/>
        </w:rPr>
        <w:t>部分  基金的收益与分配</w:t>
      </w:r>
      <w:bookmarkEnd w:id="133"/>
      <w:bookmarkEnd w:id="134"/>
    </w:p>
    <w:p w14:paraId="2579FE60">
      <w:pPr>
        <w:pStyle w:val="7"/>
        <w:spacing w:before="0" w:beforeAutospacing="0" w:after="0" w:afterAutospacing="0" w:line="360" w:lineRule="auto"/>
        <w:ind w:firstLine="420"/>
        <w:rPr>
          <w:sz w:val="21"/>
          <w:szCs w:val="21"/>
        </w:rPr>
      </w:pPr>
      <w:bookmarkStart w:id="135" w:name="chapter_level1_17_64_section_1"/>
      <w:bookmarkEnd w:id="135"/>
      <w:r>
        <w:rPr>
          <w:rStyle w:val="11"/>
          <w:rFonts w:hint="eastAsia"/>
          <w:sz w:val="21"/>
          <w:szCs w:val="21"/>
        </w:rPr>
        <w:t>一、基金收益分配原则</w:t>
      </w:r>
    </w:p>
    <w:p w14:paraId="13E847E7">
      <w:pPr>
        <w:pStyle w:val="7"/>
        <w:spacing w:before="0" w:beforeAutospacing="0" w:after="0" w:afterAutospacing="0" w:line="360" w:lineRule="auto"/>
        <w:ind w:firstLine="420"/>
        <w:rPr>
          <w:sz w:val="21"/>
          <w:szCs w:val="21"/>
        </w:rPr>
      </w:pPr>
      <w:r>
        <w:rPr>
          <w:rFonts w:hint="eastAsia"/>
          <w:sz w:val="21"/>
          <w:szCs w:val="21"/>
        </w:rPr>
        <w:t>1、本基金基金份额的收益分配方式采用现金分红；</w:t>
      </w:r>
    </w:p>
    <w:p w14:paraId="393851E6">
      <w:pPr>
        <w:pStyle w:val="7"/>
        <w:spacing w:before="0" w:beforeAutospacing="0" w:after="0" w:afterAutospacing="0" w:line="360" w:lineRule="auto"/>
        <w:ind w:firstLine="420"/>
        <w:rPr>
          <w:sz w:val="21"/>
          <w:szCs w:val="21"/>
        </w:rPr>
      </w:pPr>
      <w:r>
        <w:rPr>
          <w:rFonts w:hint="eastAsia"/>
          <w:sz w:val="21"/>
          <w:szCs w:val="21"/>
        </w:rPr>
        <w:t>2、当收益评价日核定的基金份额净值增长率超过标的指数同期增长率达到0.01%以上时，可进行收益分配；</w:t>
      </w:r>
    </w:p>
    <w:p w14:paraId="0D80E277">
      <w:pPr>
        <w:pStyle w:val="7"/>
        <w:spacing w:before="0" w:beforeAutospacing="0" w:after="0" w:afterAutospacing="0" w:line="360" w:lineRule="auto"/>
        <w:ind w:firstLine="420"/>
        <w:rPr>
          <w:sz w:val="21"/>
          <w:szCs w:val="21"/>
        </w:rPr>
      </w:pPr>
      <w:r>
        <w:rPr>
          <w:rFonts w:hint="eastAsia"/>
          <w:sz w:val="21"/>
          <w:szCs w:val="21"/>
        </w:rPr>
        <w:t>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1DCC4FAF">
      <w:pPr>
        <w:pStyle w:val="7"/>
        <w:spacing w:before="0" w:beforeAutospacing="0" w:after="0" w:afterAutospacing="0" w:line="360" w:lineRule="auto"/>
        <w:ind w:firstLine="420"/>
        <w:rPr>
          <w:sz w:val="21"/>
          <w:szCs w:val="21"/>
        </w:rPr>
      </w:pPr>
      <w:r>
        <w:rPr>
          <w:rFonts w:hint="eastAsia"/>
          <w:sz w:val="21"/>
          <w:szCs w:val="21"/>
        </w:rPr>
        <w:t>4、若《基金合同》生效不满3个月可不进行收益分配；</w:t>
      </w:r>
    </w:p>
    <w:p w14:paraId="73D8C1B8">
      <w:pPr>
        <w:pStyle w:val="7"/>
        <w:spacing w:before="0" w:beforeAutospacing="0" w:after="0" w:afterAutospacing="0" w:line="360" w:lineRule="auto"/>
        <w:ind w:firstLine="420"/>
        <w:rPr>
          <w:sz w:val="21"/>
          <w:szCs w:val="21"/>
        </w:rPr>
      </w:pPr>
      <w:r>
        <w:rPr>
          <w:rFonts w:hint="eastAsia"/>
          <w:sz w:val="21"/>
          <w:szCs w:val="21"/>
        </w:rPr>
        <w:t>5、每一基金份额享有同等分配权；</w:t>
      </w:r>
    </w:p>
    <w:p w14:paraId="074D6700">
      <w:pPr>
        <w:pStyle w:val="7"/>
        <w:spacing w:before="0" w:beforeAutospacing="0" w:after="0" w:afterAutospacing="0" w:line="360" w:lineRule="auto"/>
        <w:ind w:firstLine="420"/>
        <w:rPr>
          <w:sz w:val="21"/>
          <w:szCs w:val="21"/>
        </w:rPr>
      </w:pPr>
      <w:r>
        <w:rPr>
          <w:rFonts w:hint="eastAsia"/>
          <w:sz w:val="21"/>
          <w:szCs w:val="21"/>
        </w:rPr>
        <w:t>6、法律法规或监管机关、证券交易所、登记机构另有规定的，从其规定。</w:t>
      </w:r>
    </w:p>
    <w:p w14:paraId="76164970">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在不违反法律法规且对基金份额持有人利益无实质性不利影响的前提下，基金管理人经与基金托管人协商一致后可对基金收益分配原则进行调整，并及时公告。</w:t>
      </w:r>
    </w:p>
    <w:p w14:paraId="427438EC">
      <w:pPr>
        <w:pStyle w:val="7"/>
        <w:spacing w:before="0" w:beforeAutospacing="0" w:after="0" w:afterAutospacing="0" w:line="360" w:lineRule="auto"/>
        <w:ind w:firstLine="420"/>
        <w:rPr>
          <w:sz w:val="21"/>
          <w:szCs w:val="21"/>
        </w:rPr>
      </w:pPr>
      <w:r>
        <w:rPr>
          <w:rStyle w:val="11"/>
          <w:rFonts w:hint="eastAsia"/>
          <w:sz w:val="21"/>
          <w:szCs w:val="21"/>
        </w:rPr>
        <w:t>二、基金收益分配比例及金额的确定原则</w:t>
      </w:r>
    </w:p>
    <w:p w14:paraId="7C2454A0">
      <w:pPr>
        <w:pStyle w:val="7"/>
        <w:spacing w:before="0" w:beforeAutospacing="0" w:after="0" w:afterAutospacing="0" w:line="360" w:lineRule="auto"/>
        <w:ind w:firstLine="420"/>
        <w:rPr>
          <w:sz w:val="21"/>
          <w:szCs w:val="21"/>
        </w:rPr>
      </w:pPr>
      <w:r>
        <w:rPr>
          <w:rFonts w:hint="eastAsia"/>
          <w:sz w:val="21"/>
          <w:szCs w:val="21"/>
        </w:rPr>
        <w:t>1、在收益评价日，基金管理人计算基金份额净值增长率、标的指数同期增长率。</w:t>
      </w:r>
    </w:p>
    <w:p w14:paraId="24A7986E">
      <w:pPr>
        <w:pStyle w:val="7"/>
        <w:spacing w:before="0" w:beforeAutospacing="0" w:after="0" w:afterAutospacing="0" w:line="360" w:lineRule="auto"/>
        <w:ind w:firstLine="420"/>
        <w:rPr>
          <w:sz w:val="21"/>
          <w:szCs w:val="21"/>
        </w:rPr>
      </w:pPr>
      <w:r>
        <w:rPr>
          <w:rFonts w:hint="eastAsia"/>
          <w:sz w:val="21"/>
          <w:szCs w:val="21"/>
        </w:rPr>
        <w:t>基金收益评价日本基金相对标的指数的超额收益率＝基金份额净值增长率－标的指数同期增长率。</w:t>
      </w:r>
    </w:p>
    <w:p w14:paraId="655E6F36">
      <w:pPr>
        <w:pStyle w:val="7"/>
        <w:spacing w:before="0" w:beforeAutospacing="0" w:after="0" w:afterAutospacing="0" w:line="360" w:lineRule="auto"/>
        <w:ind w:firstLine="420"/>
        <w:rPr>
          <w:sz w:val="21"/>
          <w:szCs w:val="21"/>
        </w:rPr>
      </w:pPr>
      <w:r>
        <w:rPr>
          <w:rFonts w:hint="eastAsia"/>
          <w:sz w:val="21"/>
          <w:szCs w:val="21"/>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7CD19201">
      <w:pPr>
        <w:pStyle w:val="7"/>
        <w:spacing w:before="0" w:beforeAutospacing="0" w:after="0" w:afterAutospacing="0" w:line="360" w:lineRule="auto"/>
        <w:ind w:firstLine="420"/>
        <w:rPr>
          <w:sz w:val="21"/>
          <w:szCs w:val="21"/>
        </w:rPr>
      </w:pPr>
      <w:r>
        <w:rPr>
          <w:rFonts w:hint="eastAsia"/>
          <w:sz w:val="21"/>
          <w:szCs w:val="21"/>
        </w:rPr>
        <w:t>期间如发生基金份额折算、拆分或合并，则以基金份额折算、经拆分或合并调整后的基金份额折算日为初始日重新计算上述指标。</w:t>
      </w:r>
    </w:p>
    <w:p w14:paraId="67F093D0">
      <w:pPr>
        <w:pStyle w:val="7"/>
        <w:spacing w:before="0" w:beforeAutospacing="0" w:after="0" w:afterAutospacing="0" w:line="360" w:lineRule="auto"/>
        <w:ind w:firstLine="420"/>
        <w:rPr>
          <w:sz w:val="21"/>
          <w:szCs w:val="21"/>
        </w:rPr>
      </w:pPr>
      <w:r>
        <w:rPr>
          <w:rFonts w:hint="eastAsia"/>
          <w:sz w:val="21"/>
          <w:szCs w:val="21"/>
        </w:rPr>
        <w:t>收益评价日日期以本基金日后相关公告为准。</w:t>
      </w:r>
    </w:p>
    <w:p w14:paraId="4F2F8DF2">
      <w:pPr>
        <w:pStyle w:val="7"/>
        <w:spacing w:before="0" w:beforeAutospacing="0" w:after="0" w:afterAutospacing="0" w:line="360" w:lineRule="auto"/>
        <w:ind w:firstLine="420"/>
        <w:rPr>
          <w:sz w:val="21"/>
          <w:szCs w:val="21"/>
        </w:rPr>
      </w:pPr>
      <w:r>
        <w:rPr>
          <w:rFonts w:hint="eastAsia"/>
          <w:sz w:val="21"/>
          <w:szCs w:val="21"/>
        </w:rPr>
        <w:t>2、根据前述收益分配原则计算截至基金收益评价日本基金的份额可分配收益，并确定收益分配比例。</w:t>
      </w:r>
    </w:p>
    <w:p w14:paraId="14869049">
      <w:pPr>
        <w:pStyle w:val="7"/>
        <w:spacing w:before="0" w:beforeAutospacing="0" w:after="0" w:afterAutospacing="0" w:line="360" w:lineRule="auto"/>
        <w:ind w:firstLine="420"/>
        <w:rPr>
          <w:sz w:val="21"/>
          <w:szCs w:val="21"/>
        </w:rPr>
      </w:pPr>
      <w:r>
        <w:rPr>
          <w:rFonts w:hint="eastAsia"/>
          <w:sz w:val="21"/>
          <w:szCs w:val="21"/>
        </w:rPr>
        <w:t>3、根据前述可供分配利润及收益分配比例计算收益分配金额。</w:t>
      </w:r>
    </w:p>
    <w:p w14:paraId="75FF054A">
      <w:pPr>
        <w:pStyle w:val="7"/>
        <w:spacing w:before="0" w:beforeAutospacing="0" w:after="0" w:afterAutospacing="0" w:line="360" w:lineRule="auto"/>
        <w:ind w:firstLine="420"/>
        <w:rPr>
          <w:sz w:val="21"/>
          <w:szCs w:val="21"/>
        </w:rPr>
      </w:pPr>
      <w:r>
        <w:rPr>
          <w:rStyle w:val="11"/>
          <w:rFonts w:hint="eastAsia"/>
          <w:sz w:val="21"/>
          <w:szCs w:val="21"/>
        </w:rPr>
        <w:t>三、收益分配方案</w:t>
      </w:r>
    </w:p>
    <w:p w14:paraId="0F1FE12A">
      <w:pPr>
        <w:pStyle w:val="7"/>
        <w:spacing w:before="0" w:beforeAutospacing="0" w:after="0" w:afterAutospacing="0" w:line="360" w:lineRule="auto"/>
        <w:ind w:firstLine="420"/>
        <w:rPr>
          <w:sz w:val="21"/>
          <w:szCs w:val="21"/>
        </w:rPr>
      </w:pPr>
      <w:r>
        <w:rPr>
          <w:rFonts w:hint="eastAsia"/>
          <w:sz w:val="21"/>
          <w:szCs w:val="21"/>
        </w:rPr>
        <w:t>基金收益分配方案中应载明基金收益分配对象、分配时间、分配数额及比例、分配方式等内容。</w:t>
      </w:r>
    </w:p>
    <w:p w14:paraId="5B6F525C">
      <w:pPr>
        <w:pStyle w:val="7"/>
        <w:spacing w:before="0" w:beforeAutospacing="0" w:after="0" w:afterAutospacing="0" w:line="360" w:lineRule="auto"/>
        <w:ind w:firstLine="420"/>
        <w:rPr>
          <w:sz w:val="21"/>
          <w:szCs w:val="21"/>
        </w:rPr>
      </w:pPr>
      <w:r>
        <w:rPr>
          <w:rStyle w:val="11"/>
          <w:rFonts w:hint="eastAsia"/>
          <w:sz w:val="21"/>
          <w:szCs w:val="21"/>
        </w:rPr>
        <w:t>四、收益分配方案的确定、公告与实施</w:t>
      </w:r>
    </w:p>
    <w:p w14:paraId="534D9592">
      <w:pPr>
        <w:pStyle w:val="7"/>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本基金收益分配方案由基金管理人拟定，并由基金托管人复核，依照《信息披露办法》的有关规定在规定媒介公告。</w:t>
      </w:r>
    </w:p>
    <w:p w14:paraId="729EDEF9">
      <w:pPr>
        <w:pStyle w:val="7"/>
        <w:spacing w:before="0" w:beforeAutospacing="0" w:after="0" w:afterAutospacing="0" w:line="360" w:lineRule="auto"/>
        <w:ind w:firstLine="420"/>
        <w:rPr>
          <w:sz w:val="21"/>
          <w:szCs w:val="21"/>
        </w:rPr>
      </w:pPr>
      <w:r>
        <w:rPr>
          <w:rStyle w:val="11"/>
          <w:rFonts w:hint="eastAsia"/>
          <w:sz w:val="21"/>
          <w:szCs w:val="21"/>
        </w:rPr>
        <w:t>五、基金收益分配中发生的费用</w:t>
      </w:r>
    </w:p>
    <w:p w14:paraId="466E6201">
      <w:pPr>
        <w:pStyle w:val="7"/>
        <w:spacing w:before="0" w:beforeAutospacing="0" w:after="0" w:afterAutospacing="0" w:line="360" w:lineRule="auto"/>
        <w:ind w:firstLine="420"/>
        <w:rPr>
          <w:sz w:val="21"/>
          <w:szCs w:val="21"/>
        </w:rPr>
      </w:pPr>
      <w:bookmarkStart w:id="136" w:name="chapter_level1_17_64_section_1_end"/>
      <w:bookmarkEnd w:id="136"/>
      <w:r>
        <w:rPr>
          <w:rFonts w:hint="eastAsia"/>
          <w:sz w:val="21"/>
          <w:szCs w:val="21"/>
        </w:rPr>
        <w:t>基金收益分配时所发生的银行转账或其他手续费用由投资者自行承担。</w:t>
      </w:r>
    </w:p>
    <w:p w14:paraId="2FC14889">
      <w:pPr>
        <w:widowControl/>
        <w:jc w:val="left"/>
        <w:rPr>
          <w:rFonts w:ascii="宋体" w:hAnsi="宋体" w:eastAsia="宋体"/>
        </w:rPr>
      </w:pPr>
      <w:r>
        <w:rPr>
          <w:rFonts w:ascii="宋体" w:hAnsi="宋体" w:eastAsia="宋体"/>
        </w:rPr>
        <w:br w:type="page"/>
      </w:r>
    </w:p>
    <w:p w14:paraId="5700895A">
      <w:pPr>
        <w:pStyle w:val="2"/>
        <w:jc w:val="center"/>
        <w:rPr>
          <w:rFonts w:ascii="宋体" w:hAnsi="宋体" w:eastAsia="宋体"/>
          <w:sz w:val="30"/>
        </w:rPr>
      </w:pPr>
      <w:bookmarkStart w:id="137" w:name="chapter_level1_18_65"/>
      <w:bookmarkStart w:id="138" w:name="_Toc31832"/>
      <w:r>
        <w:rPr>
          <w:rFonts w:hint="eastAsia" w:ascii="宋体" w:hAnsi="宋体" w:eastAsia="宋体"/>
          <w:sz w:val="30"/>
        </w:rPr>
        <w:t>第十</w:t>
      </w:r>
      <w:r>
        <w:rPr>
          <w:rFonts w:hint="eastAsia" w:ascii="宋体" w:hAnsi="宋体" w:eastAsia="宋体"/>
          <w:sz w:val="30"/>
          <w:lang w:val="en-US" w:eastAsia="zh-CN"/>
        </w:rPr>
        <w:t>四</w:t>
      </w:r>
      <w:r>
        <w:rPr>
          <w:rFonts w:hint="eastAsia" w:ascii="宋体" w:hAnsi="宋体" w:eastAsia="宋体"/>
          <w:sz w:val="30"/>
        </w:rPr>
        <w:t>部分  基金的费用与税收</w:t>
      </w:r>
      <w:bookmarkEnd w:id="137"/>
      <w:bookmarkEnd w:id="138"/>
    </w:p>
    <w:p w14:paraId="37E3DFCB">
      <w:pPr>
        <w:pStyle w:val="7"/>
        <w:spacing w:before="0" w:beforeAutospacing="0" w:after="0" w:afterAutospacing="0" w:line="360" w:lineRule="auto"/>
        <w:ind w:firstLine="420"/>
        <w:rPr>
          <w:sz w:val="21"/>
          <w:szCs w:val="21"/>
        </w:rPr>
      </w:pPr>
      <w:bookmarkStart w:id="139" w:name="chapter_level1_18_65_section_1"/>
      <w:bookmarkEnd w:id="139"/>
      <w:r>
        <w:rPr>
          <w:rStyle w:val="11"/>
          <w:rFonts w:hint="eastAsia"/>
          <w:sz w:val="21"/>
          <w:szCs w:val="21"/>
        </w:rPr>
        <w:t>一、基金费用的种类</w:t>
      </w:r>
    </w:p>
    <w:p w14:paraId="140AE4BE">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0280A03">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E3EA60A">
      <w:pPr>
        <w:pStyle w:val="7"/>
        <w:spacing w:before="0" w:beforeAutospacing="0" w:after="0" w:afterAutospacing="0" w:line="360" w:lineRule="auto"/>
        <w:ind w:firstLine="420"/>
        <w:rPr>
          <w:sz w:val="21"/>
          <w:szCs w:val="21"/>
        </w:rPr>
      </w:pPr>
      <w:r>
        <w:rPr>
          <w:rFonts w:hint="eastAsia"/>
          <w:sz w:val="21"/>
          <w:szCs w:val="21"/>
        </w:rPr>
        <w:t xml:space="preserve">3、基金的证券、期货、期权交易费用； </w:t>
      </w:r>
    </w:p>
    <w:p w14:paraId="48AF48D3">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4、《基金合同》生效后与基金相关的信息披露费用，但法律法规、中国证监会另有规定的除外； </w:t>
      </w:r>
    </w:p>
    <w:p w14:paraId="79C102B3">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5、《基金合同》生效后与基金相关的会计师费、律师费、仲裁费和诉讼费； </w:t>
      </w:r>
    </w:p>
    <w:p w14:paraId="29116F9E">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61448D02">
      <w:pPr>
        <w:pStyle w:val="7"/>
        <w:spacing w:before="0" w:beforeAutospacing="0" w:after="0" w:afterAutospacing="0" w:line="360" w:lineRule="auto"/>
        <w:ind w:firstLine="420"/>
        <w:rPr>
          <w:sz w:val="21"/>
          <w:szCs w:val="21"/>
        </w:rPr>
      </w:pPr>
      <w:r>
        <w:rPr>
          <w:rFonts w:hint="eastAsia"/>
          <w:sz w:val="21"/>
          <w:szCs w:val="21"/>
        </w:rPr>
        <w:t xml:space="preserve">7、基金银行汇划费用、账户开户及维护费用； </w:t>
      </w:r>
    </w:p>
    <w:p w14:paraId="0C8B49EF">
      <w:pPr>
        <w:pStyle w:val="7"/>
        <w:spacing w:before="0" w:beforeAutospacing="0" w:after="0" w:afterAutospacing="0" w:line="360" w:lineRule="auto"/>
        <w:ind w:firstLine="420"/>
        <w:rPr>
          <w:sz w:val="21"/>
          <w:szCs w:val="21"/>
        </w:rPr>
      </w:pPr>
      <w:r>
        <w:rPr>
          <w:rFonts w:hint="eastAsia"/>
          <w:sz w:val="21"/>
          <w:szCs w:val="21"/>
        </w:rPr>
        <w:t xml:space="preserve">8、基金上市费及年费、场内注册登记费用、IOPV计算与发布费用； </w:t>
      </w:r>
    </w:p>
    <w:p w14:paraId="7EB9E2C7">
      <w:pPr>
        <w:pStyle w:val="7"/>
        <w:spacing w:before="0" w:beforeAutospacing="0" w:after="0" w:afterAutospacing="0" w:line="360" w:lineRule="auto"/>
        <w:ind w:firstLine="420"/>
        <w:rPr>
          <w:sz w:val="21"/>
          <w:szCs w:val="21"/>
        </w:rPr>
      </w:pPr>
      <w:r>
        <w:rPr>
          <w:rFonts w:hint="eastAsia"/>
          <w:sz w:val="21"/>
          <w:szCs w:val="21"/>
        </w:rPr>
        <w:t xml:space="preserve">9、收益分配中发生的费用（银行转账或其他手续费用除外）； </w:t>
      </w:r>
    </w:p>
    <w:p w14:paraId="4788938B">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763D5BB0">
      <w:pPr>
        <w:pStyle w:val="7"/>
        <w:spacing w:before="0" w:beforeAutospacing="0" w:after="0" w:afterAutospacing="0" w:line="360" w:lineRule="auto"/>
        <w:ind w:firstLine="420"/>
        <w:rPr>
          <w:sz w:val="21"/>
          <w:szCs w:val="21"/>
        </w:rPr>
      </w:pPr>
      <w:r>
        <w:rPr>
          <w:rFonts w:hint="eastAsia"/>
          <w:sz w:val="21"/>
          <w:szCs w:val="21"/>
        </w:rPr>
        <w:t xml:space="preserve">11、基金依照有关法律法规应当缴纳的，购买或处置证券有关的任何税收、征费、关税、印花税、预扣提税（以及与前述各项有关的任何利息及费用）（简称“税收”）及基金缴纳税收有关的手续费、汇款费、顾问费等； </w:t>
      </w:r>
    </w:p>
    <w:p w14:paraId="56EBC80D">
      <w:pPr>
        <w:pStyle w:val="7"/>
        <w:spacing w:before="0" w:beforeAutospacing="0" w:after="0" w:afterAutospacing="0" w:line="360" w:lineRule="auto"/>
        <w:ind w:firstLine="420"/>
        <w:rPr>
          <w:sz w:val="21"/>
          <w:szCs w:val="21"/>
        </w:rPr>
      </w:pPr>
      <w:r>
        <w:rPr>
          <w:rFonts w:hint="eastAsia"/>
          <w:sz w:val="21"/>
          <w:szCs w:val="21"/>
        </w:rPr>
        <w:t xml:space="preserve">12、按照国家有关规定和《基金合同》约定，可以在基金财产中列支的其他费用。 </w:t>
      </w:r>
    </w:p>
    <w:p w14:paraId="65A91B85">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6C9E18D5">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2CA9FF8">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40" w:name="field_0_managementrate_1"/>
      <w:r>
        <w:rPr>
          <w:sz w:val="21"/>
          <w:szCs w:val="21"/>
        </w:rPr>
        <w:t>0.50</w:t>
      </w:r>
      <w:bookmarkEnd w:id="140"/>
      <w:r>
        <w:rPr>
          <w:rFonts w:hint="eastAsia"/>
          <w:sz w:val="21"/>
          <w:szCs w:val="21"/>
        </w:rPr>
        <w:t xml:space="preserve">%年费率计提。管理费的计算方法如下： </w:t>
      </w:r>
    </w:p>
    <w:p w14:paraId="64BB068A">
      <w:pPr>
        <w:pStyle w:val="7"/>
        <w:spacing w:before="0" w:beforeAutospacing="0" w:after="0" w:afterAutospacing="0" w:line="360" w:lineRule="auto"/>
        <w:ind w:firstLine="420"/>
        <w:rPr>
          <w:sz w:val="21"/>
          <w:szCs w:val="21"/>
        </w:rPr>
      </w:pPr>
      <w:r>
        <w:rPr>
          <w:rFonts w:hint="eastAsia"/>
          <w:sz w:val="21"/>
          <w:szCs w:val="21"/>
        </w:rPr>
        <w:t>H＝E×</w:t>
      </w:r>
      <w:bookmarkStart w:id="141" w:name="field_0_managementrate_2"/>
      <w:r>
        <w:rPr>
          <w:sz w:val="21"/>
          <w:szCs w:val="21"/>
        </w:rPr>
        <w:t>0.50</w:t>
      </w:r>
      <w:bookmarkEnd w:id="141"/>
      <w:r>
        <w:rPr>
          <w:rFonts w:hint="eastAsia"/>
          <w:sz w:val="21"/>
          <w:szCs w:val="21"/>
        </w:rPr>
        <w:t xml:space="preserve">%÷当年天数 </w:t>
      </w:r>
    </w:p>
    <w:p w14:paraId="0D668E3C">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B6F6BFB">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DD46124">
      <w:pPr>
        <w:pStyle w:val="7"/>
        <w:spacing w:before="0" w:beforeAutospacing="0" w:after="0" w:afterAutospacing="0" w:line="360" w:lineRule="auto"/>
        <w:ind w:firstLine="420"/>
        <w:rPr>
          <w:sz w:val="21"/>
          <w:szCs w:val="21"/>
        </w:rPr>
      </w:pPr>
      <w:r>
        <w:rPr>
          <w:rFonts w:hint="eastAsia"/>
          <w:sz w:val="21"/>
          <w:szCs w:val="21"/>
        </w:rPr>
        <w:t xml:space="preserve">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 </w:t>
      </w:r>
    </w:p>
    <w:p w14:paraId="2C4476FF">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03E969D0">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42" w:name="field_0_trusteerate_1"/>
      <w:r>
        <w:rPr>
          <w:sz w:val="21"/>
          <w:szCs w:val="21"/>
        </w:rPr>
        <w:t>0.10</w:t>
      </w:r>
      <w:bookmarkEnd w:id="142"/>
      <w:r>
        <w:rPr>
          <w:rFonts w:hint="eastAsia"/>
          <w:sz w:val="21"/>
          <w:szCs w:val="21"/>
        </w:rPr>
        <w:t xml:space="preserve">%年费率计提。托管费的计算方法如下： </w:t>
      </w:r>
    </w:p>
    <w:p w14:paraId="1BF494A2">
      <w:pPr>
        <w:pStyle w:val="7"/>
        <w:spacing w:before="0" w:beforeAutospacing="0" w:after="0" w:afterAutospacing="0" w:line="360" w:lineRule="auto"/>
        <w:ind w:firstLine="420"/>
        <w:rPr>
          <w:sz w:val="21"/>
          <w:szCs w:val="21"/>
        </w:rPr>
      </w:pPr>
      <w:r>
        <w:rPr>
          <w:rFonts w:hint="eastAsia"/>
          <w:sz w:val="21"/>
          <w:szCs w:val="21"/>
        </w:rPr>
        <w:t>H＝E×</w:t>
      </w:r>
      <w:bookmarkStart w:id="143" w:name="field_0_trusteerate_2"/>
      <w:r>
        <w:rPr>
          <w:sz w:val="21"/>
          <w:szCs w:val="21"/>
        </w:rPr>
        <w:t>0.10</w:t>
      </w:r>
      <w:bookmarkEnd w:id="143"/>
      <w:r>
        <w:rPr>
          <w:rFonts w:hint="eastAsia"/>
          <w:sz w:val="21"/>
          <w:szCs w:val="21"/>
        </w:rPr>
        <w:t xml:space="preserve">%÷当年天数 </w:t>
      </w:r>
    </w:p>
    <w:p w14:paraId="4C723ABB">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21CF999">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396F5A6">
      <w:pPr>
        <w:pStyle w:val="7"/>
        <w:spacing w:before="0" w:beforeAutospacing="0" w:after="0" w:afterAutospacing="0" w:line="360" w:lineRule="auto"/>
        <w:ind w:firstLine="420"/>
        <w:rPr>
          <w:sz w:val="21"/>
          <w:szCs w:val="21"/>
        </w:rPr>
      </w:pPr>
      <w:r>
        <w:rPr>
          <w:rFonts w:hint="eastAsia"/>
          <w:sz w:val="21"/>
          <w:szCs w:val="21"/>
        </w:rPr>
        <w:t xml:space="preserve">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 </w:t>
      </w:r>
    </w:p>
    <w:p w14:paraId="598A3E52">
      <w:pPr>
        <w:pStyle w:val="7"/>
        <w:spacing w:before="0" w:beforeAutospacing="0" w:after="0" w:afterAutospacing="0" w:line="360" w:lineRule="auto"/>
        <w:ind w:firstLine="420"/>
        <w:rPr>
          <w:sz w:val="21"/>
          <w:szCs w:val="21"/>
        </w:rPr>
      </w:pPr>
      <w:r>
        <w:rPr>
          <w:rFonts w:hint="eastAsia"/>
          <w:sz w:val="21"/>
          <w:szCs w:val="21"/>
        </w:rPr>
        <w:t xml:space="preserve">3、上述“一、基金费用的种类”中第3－12项费用，根据有关法规、《基金合同》及相应协议的规定，由基金托管人按基金管理人的划款指令或者托管协议的约定并根据费用实际支出金额支付，列入当期基金费用。 </w:t>
      </w:r>
    </w:p>
    <w:p w14:paraId="5C30D2FA">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42FAB820">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2D1794B4">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6ADCAE9B">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60A560E1">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6A0D9FBF">
      <w:pPr>
        <w:pStyle w:val="7"/>
        <w:spacing w:before="0" w:beforeAutospacing="0" w:after="0" w:afterAutospacing="0" w:line="360" w:lineRule="auto"/>
        <w:ind w:firstLine="420"/>
        <w:rPr>
          <w:sz w:val="21"/>
          <w:szCs w:val="21"/>
        </w:rPr>
      </w:pPr>
      <w:r>
        <w:rPr>
          <w:rFonts w:hint="eastAsia"/>
          <w:sz w:val="21"/>
          <w:szCs w:val="21"/>
        </w:rPr>
        <w:t xml:space="preserve">4、指数许可使用费，该指数许可使用费由基金管理人承担，不得从基金财产中列支； </w:t>
      </w:r>
    </w:p>
    <w:p w14:paraId="213E1788">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3D2CBFE2">
      <w:pPr>
        <w:pStyle w:val="7"/>
        <w:spacing w:before="0" w:beforeAutospacing="0" w:after="0" w:afterAutospacing="0" w:line="360" w:lineRule="auto"/>
        <w:ind w:firstLine="420"/>
        <w:rPr>
          <w:sz w:val="21"/>
          <w:szCs w:val="21"/>
        </w:rPr>
      </w:pPr>
      <w:r>
        <w:rPr>
          <w:rStyle w:val="11"/>
          <w:rFonts w:hint="eastAsia"/>
          <w:sz w:val="21"/>
          <w:szCs w:val="21"/>
        </w:rPr>
        <w:t>四、基金税收</w:t>
      </w:r>
    </w:p>
    <w:p w14:paraId="63F55F23">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44" w:name="chapter_level1_18_65_section_1_end"/>
      <w:bookmarkEnd w:id="144"/>
      <w:r>
        <w:rPr>
          <w:rFonts w:hint="eastAsia"/>
          <w:sz w:val="21"/>
          <w:szCs w:val="21"/>
        </w:rPr>
        <w:t xml:space="preserve">税收征收的规定代扣代缴。 </w:t>
      </w:r>
    </w:p>
    <w:p w14:paraId="4B0D8DB2">
      <w:pPr>
        <w:widowControl/>
        <w:jc w:val="left"/>
        <w:rPr>
          <w:rFonts w:ascii="宋体" w:hAnsi="宋体" w:eastAsia="宋体"/>
        </w:rPr>
      </w:pPr>
      <w:r>
        <w:rPr>
          <w:rFonts w:ascii="宋体" w:hAnsi="宋体" w:eastAsia="宋体"/>
        </w:rPr>
        <w:br w:type="page"/>
      </w:r>
    </w:p>
    <w:p w14:paraId="14A25024">
      <w:pPr>
        <w:pStyle w:val="2"/>
        <w:jc w:val="center"/>
        <w:rPr>
          <w:rFonts w:ascii="宋体" w:hAnsi="宋体" w:eastAsia="宋体"/>
          <w:sz w:val="30"/>
        </w:rPr>
      </w:pPr>
      <w:bookmarkStart w:id="145" w:name="chapter_level1_19_66"/>
      <w:bookmarkStart w:id="146" w:name="_Toc9477"/>
      <w:r>
        <w:rPr>
          <w:rFonts w:hint="eastAsia" w:ascii="宋体" w:hAnsi="宋体" w:eastAsia="宋体"/>
          <w:sz w:val="30"/>
        </w:rPr>
        <w:t>第十</w:t>
      </w:r>
      <w:r>
        <w:rPr>
          <w:rFonts w:hint="eastAsia" w:ascii="宋体" w:hAnsi="宋体" w:eastAsia="宋体"/>
          <w:sz w:val="30"/>
          <w:lang w:val="en-US" w:eastAsia="zh-CN"/>
        </w:rPr>
        <w:t>五</w:t>
      </w:r>
      <w:r>
        <w:rPr>
          <w:rFonts w:hint="eastAsia" w:ascii="宋体" w:hAnsi="宋体" w:eastAsia="宋体"/>
          <w:sz w:val="30"/>
        </w:rPr>
        <w:t>部分  基金的会计与审计</w:t>
      </w:r>
      <w:bookmarkEnd w:id="145"/>
      <w:bookmarkEnd w:id="146"/>
    </w:p>
    <w:p w14:paraId="3A9D5D6C">
      <w:pPr>
        <w:pStyle w:val="7"/>
        <w:spacing w:before="0" w:beforeAutospacing="0" w:after="0" w:afterAutospacing="0" w:line="360" w:lineRule="auto"/>
        <w:ind w:firstLine="420"/>
        <w:rPr>
          <w:sz w:val="21"/>
          <w:szCs w:val="21"/>
        </w:rPr>
      </w:pPr>
      <w:bookmarkStart w:id="147" w:name="chapter_level1_19_66_section_1"/>
      <w:bookmarkEnd w:id="147"/>
      <w:r>
        <w:rPr>
          <w:rStyle w:val="11"/>
          <w:rFonts w:hint="eastAsia"/>
          <w:sz w:val="21"/>
          <w:szCs w:val="21"/>
        </w:rPr>
        <w:t>一、基金会计政策</w:t>
      </w:r>
    </w:p>
    <w:p w14:paraId="462EA70D">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14:paraId="5218DA4F">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14:paraId="68356747">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14:paraId="4E3B4D52">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14:paraId="52CA26D4">
      <w:pPr>
        <w:pStyle w:val="7"/>
        <w:spacing w:before="0" w:beforeAutospacing="0" w:after="0" w:afterAutospacing="0" w:line="360" w:lineRule="auto"/>
        <w:ind w:firstLine="420"/>
        <w:rPr>
          <w:sz w:val="21"/>
          <w:szCs w:val="21"/>
        </w:rPr>
      </w:pPr>
      <w:r>
        <w:rPr>
          <w:rFonts w:hint="eastAsia"/>
          <w:sz w:val="21"/>
          <w:szCs w:val="21"/>
        </w:rPr>
        <w:t>5、本基金独立建账、独立核算；</w:t>
      </w:r>
    </w:p>
    <w:p w14:paraId="49BCBAC5">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14:paraId="1C1F2F5A">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14:paraId="36272C4F">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01C4E39E">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1、基金管理人聘请与基金管理人、基金托管人相互独立的符合《证券法》规定的会计师事务所及其注册会计师对本基金的年度财务报表进行审计。</w:t>
      </w:r>
    </w:p>
    <w:p w14:paraId="1EAD252A">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14:paraId="31371A25">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48" w:name="chapter_level1_19_66_section_1_end"/>
      <w:bookmarkEnd w:id="148"/>
      <w:r>
        <w:rPr>
          <w:rFonts w:hint="eastAsia"/>
          <w:sz w:val="21"/>
          <w:szCs w:val="21"/>
        </w:rPr>
        <w:t>务所需按照《信息披露办法》的有关规定在规定媒介公告。</w:t>
      </w:r>
    </w:p>
    <w:p w14:paraId="10F1EB1E">
      <w:pPr>
        <w:widowControl/>
        <w:jc w:val="left"/>
        <w:rPr>
          <w:rFonts w:ascii="宋体" w:hAnsi="宋体" w:eastAsia="宋体"/>
        </w:rPr>
      </w:pPr>
      <w:r>
        <w:rPr>
          <w:rFonts w:ascii="宋体" w:hAnsi="宋体" w:eastAsia="宋体"/>
        </w:rPr>
        <w:br w:type="page"/>
      </w:r>
    </w:p>
    <w:p w14:paraId="1BC050F0">
      <w:pPr>
        <w:pStyle w:val="2"/>
        <w:jc w:val="center"/>
        <w:rPr>
          <w:rFonts w:ascii="宋体" w:hAnsi="宋体" w:eastAsia="宋体"/>
          <w:sz w:val="30"/>
        </w:rPr>
      </w:pPr>
      <w:bookmarkStart w:id="149" w:name="chapter_level1_20_67"/>
      <w:bookmarkStart w:id="150" w:name="_Toc11144"/>
      <w:r>
        <w:rPr>
          <w:rFonts w:hint="eastAsia" w:ascii="宋体" w:hAnsi="宋体" w:eastAsia="宋体"/>
          <w:sz w:val="30"/>
        </w:rPr>
        <w:t>第十</w:t>
      </w:r>
      <w:r>
        <w:rPr>
          <w:rFonts w:hint="eastAsia" w:ascii="宋体" w:hAnsi="宋体" w:eastAsia="宋体"/>
          <w:sz w:val="30"/>
          <w:lang w:val="en-US" w:eastAsia="zh-CN"/>
        </w:rPr>
        <w:t>六</w:t>
      </w:r>
      <w:r>
        <w:rPr>
          <w:rFonts w:hint="eastAsia" w:ascii="宋体" w:hAnsi="宋体" w:eastAsia="宋体"/>
          <w:sz w:val="30"/>
        </w:rPr>
        <w:t>部分  基金的信息披露</w:t>
      </w:r>
      <w:bookmarkEnd w:id="149"/>
      <w:bookmarkEnd w:id="150"/>
    </w:p>
    <w:p w14:paraId="62DDACD4">
      <w:pPr>
        <w:pStyle w:val="7"/>
        <w:spacing w:before="0" w:beforeAutospacing="0" w:after="0" w:afterAutospacing="0" w:line="360" w:lineRule="auto"/>
        <w:ind w:firstLine="420"/>
        <w:rPr>
          <w:sz w:val="21"/>
          <w:szCs w:val="21"/>
        </w:rPr>
      </w:pPr>
      <w:bookmarkStart w:id="151" w:name="chapter_level1_20_67_section_1"/>
      <w:bookmarkEnd w:id="151"/>
      <w:r>
        <w:rPr>
          <w:rStyle w:val="11"/>
          <w:rFonts w:hint="eastAsia"/>
          <w:sz w:val="21"/>
          <w:szCs w:val="21"/>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7A21AB34">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3B1F829A">
      <w:pPr>
        <w:pStyle w:val="7"/>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本基金信息披露义务人包括基金管理人、基金托管人、召集基金份额持有人大会的基金份额持有人等法律、行政法规和中国证监会规定的自然人、法人和非法人组织。</w:t>
      </w:r>
    </w:p>
    <w:p w14:paraId="008C2B8B">
      <w:pPr>
        <w:pStyle w:val="7"/>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14:paraId="0AAE4CEE">
      <w:pPr>
        <w:pStyle w:val="7"/>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14:paraId="482CA23F">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12E20980">
      <w:pPr>
        <w:pStyle w:val="7"/>
        <w:spacing w:before="0" w:beforeAutospacing="0" w:after="0" w:afterAutospacing="0" w:line="360" w:lineRule="auto"/>
        <w:ind w:firstLine="420"/>
        <w:rPr>
          <w:sz w:val="21"/>
          <w:szCs w:val="21"/>
        </w:rPr>
      </w:pPr>
      <w:r>
        <w:rPr>
          <w:rFonts w:hint="eastAsia"/>
          <w:sz w:val="21"/>
          <w:szCs w:val="21"/>
        </w:rPr>
        <w:t>1、虚假记载、误导性陈述或者重大遗漏；</w:t>
      </w:r>
    </w:p>
    <w:p w14:paraId="65BADD9B">
      <w:pPr>
        <w:pStyle w:val="7"/>
        <w:spacing w:before="0" w:beforeAutospacing="0" w:after="0" w:afterAutospacing="0" w:line="360" w:lineRule="auto"/>
        <w:ind w:firstLine="420"/>
        <w:rPr>
          <w:sz w:val="21"/>
          <w:szCs w:val="21"/>
        </w:rPr>
      </w:pPr>
      <w:r>
        <w:rPr>
          <w:rFonts w:hint="eastAsia"/>
          <w:sz w:val="21"/>
          <w:szCs w:val="21"/>
        </w:rPr>
        <w:t>2、对证券投资业绩进行预测；</w:t>
      </w:r>
    </w:p>
    <w:p w14:paraId="333ED11D">
      <w:pPr>
        <w:pStyle w:val="7"/>
        <w:spacing w:before="0" w:beforeAutospacing="0" w:after="0" w:afterAutospacing="0" w:line="360" w:lineRule="auto"/>
        <w:ind w:firstLine="420"/>
        <w:rPr>
          <w:sz w:val="21"/>
          <w:szCs w:val="21"/>
        </w:rPr>
      </w:pPr>
      <w:r>
        <w:rPr>
          <w:rFonts w:hint="eastAsia"/>
          <w:sz w:val="21"/>
          <w:szCs w:val="21"/>
        </w:rPr>
        <w:t>3、违规承诺收益或者承担损失；</w:t>
      </w:r>
    </w:p>
    <w:p w14:paraId="5CA258EA">
      <w:pPr>
        <w:pStyle w:val="7"/>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14:paraId="1B7BD386">
      <w:pPr>
        <w:pStyle w:val="7"/>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5、登载任何自然人、法人和非法人组织的祝贺性、恭维性或推荐性的文字；</w:t>
      </w:r>
    </w:p>
    <w:p w14:paraId="26303C10">
      <w:pPr>
        <w:pStyle w:val="7"/>
        <w:spacing w:before="0" w:beforeAutospacing="0" w:after="0" w:afterAutospacing="0" w:line="360" w:lineRule="auto"/>
        <w:ind w:firstLine="420"/>
        <w:rPr>
          <w:sz w:val="21"/>
          <w:szCs w:val="21"/>
        </w:rPr>
      </w:pPr>
      <w:r>
        <w:rPr>
          <w:rFonts w:hint="eastAsia"/>
          <w:sz w:val="21"/>
          <w:szCs w:val="21"/>
        </w:rPr>
        <w:t>6、中国证监会禁止的其他行为。</w:t>
      </w:r>
    </w:p>
    <w:p w14:paraId="2D46F8B1">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51FE29B1">
      <w:pPr>
        <w:pStyle w:val="7"/>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14:paraId="3C7C68EE">
      <w:pPr>
        <w:pStyle w:val="7"/>
        <w:spacing w:before="0" w:beforeAutospacing="0" w:after="0" w:afterAutospacing="0" w:line="360" w:lineRule="auto"/>
        <w:ind w:firstLine="420"/>
        <w:rPr>
          <w:sz w:val="21"/>
          <w:szCs w:val="21"/>
        </w:rPr>
      </w:pPr>
      <w:r>
        <w:rPr>
          <w:rStyle w:val="11"/>
          <w:rFonts w:hint="eastAsia"/>
          <w:sz w:val="21"/>
          <w:szCs w:val="21"/>
        </w:rPr>
        <w:t>五、公开披露的基金信息</w:t>
      </w:r>
    </w:p>
    <w:p w14:paraId="4599027D">
      <w:pPr>
        <w:pStyle w:val="7"/>
        <w:spacing w:before="0" w:beforeAutospacing="0" w:after="0" w:afterAutospacing="0" w:line="360" w:lineRule="auto"/>
        <w:ind w:firstLine="420"/>
        <w:rPr>
          <w:sz w:val="21"/>
          <w:szCs w:val="21"/>
        </w:rPr>
      </w:pPr>
      <w:r>
        <w:rPr>
          <w:rFonts w:hint="eastAsia"/>
          <w:sz w:val="21"/>
          <w:szCs w:val="21"/>
        </w:rPr>
        <w:t>公开披露的基金信息包括：</w:t>
      </w:r>
    </w:p>
    <w:p w14:paraId="088667E0">
      <w:pPr>
        <w:pStyle w:val="7"/>
        <w:spacing w:before="0" w:beforeAutospacing="0" w:after="0" w:afterAutospacing="0" w:line="360" w:lineRule="auto"/>
        <w:ind w:firstLine="420"/>
        <w:rPr>
          <w:sz w:val="21"/>
          <w:szCs w:val="21"/>
        </w:rPr>
      </w:pPr>
      <w:r>
        <w:rPr>
          <w:rFonts w:hint="eastAsia"/>
          <w:sz w:val="21"/>
          <w:szCs w:val="21"/>
        </w:rPr>
        <w:t>（一）基金招募说明书、基金合同、基金托管协议、基金产品资料概要</w:t>
      </w:r>
    </w:p>
    <w:p w14:paraId="4560BA85">
      <w:pPr>
        <w:pStyle w:val="7"/>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14:paraId="60D67B52">
      <w:pPr>
        <w:pStyle w:val="7"/>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13690127">
      <w:pPr>
        <w:pStyle w:val="7"/>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14:paraId="1BC4B1B8">
      <w:pPr>
        <w:pStyle w:val="7"/>
        <w:spacing w:before="0" w:beforeAutospacing="0" w:after="0" w:afterAutospacing="0" w:line="360" w:lineRule="auto"/>
        <w:ind w:firstLine="420"/>
        <w:rPr>
          <w:sz w:val="21"/>
          <w:szCs w:val="21"/>
        </w:rPr>
      </w:pPr>
      <w:r>
        <w:rPr>
          <w:rFonts w:hint="eastAsia"/>
          <w:sz w:val="21"/>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4CE4B559">
      <w:pPr>
        <w:pStyle w:val="7"/>
        <w:spacing w:before="0" w:beforeAutospacing="0" w:after="0" w:afterAutospacing="0" w:line="360" w:lineRule="auto"/>
        <w:ind w:firstLine="420"/>
        <w:rPr>
          <w:sz w:val="21"/>
          <w:szCs w:val="21"/>
        </w:rPr>
      </w:pPr>
      <w:r>
        <w:rPr>
          <w:rFonts w:hint="eastAsia"/>
          <w:sz w:val="21"/>
          <w:szCs w:val="21"/>
        </w:rPr>
        <w:t>5、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3F2EE85A">
      <w:pPr>
        <w:pStyle w:val="7"/>
        <w:spacing w:before="0" w:beforeAutospacing="0" w:after="0" w:afterAutospacing="0" w:line="360" w:lineRule="auto"/>
        <w:ind w:firstLine="420"/>
        <w:rPr>
          <w:sz w:val="21"/>
          <w:szCs w:val="21"/>
        </w:rPr>
      </w:pPr>
      <w:r>
        <w:rPr>
          <w:rFonts w:hint="eastAsia"/>
          <w:sz w:val="21"/>
          <w:szCs w:val="21"/>
        </w:rPr>
        <w:t>（二）基金份额发售公告</w:t>
      </w:r>
    </w:p>
    <w:p w14:paraId="7C714397">
      <w:pPr>
        <w:pStyle w:val="7"/>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w:t>
      </w:r>
    </w:p>
    <w:p w14:paraId="38838B2C">
      <w:pPr>
        <w:pStyle w:val="7"/>
        <w:spacing w:before="0" w:beforeAutospacing="0" w:after="0" w:afterAutospacing="0" w:line="360" w:lineRule="auto"/>
        <w:ind w:firstLine="420"/>
        <w:rPr>
          <w:sz w:val="21"/>
          <w:szCs w:val="21"/>
        </w:rPr>
      </w:pPr>
      <w:r>
        <w:rPr>
          <w:rFonts w:hint="eastAsia"/>
          <w:sz w:val="21"/>
          <w:szCs w:val="21"/>
        </w:rPr>
        <w:t>（三）《基金合同》生效公告</w:t>
      </w:r>
    </w:p>
    <w:p w14:paraId="118CCA37">
      <w:pPr>
        <w:pStyle w:val="7"/>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基金管理人应当在收到中国证监会确认文件的次日在规定媒介上登载《基金合同》生效公告。</w:t>
      </w:r>
    </w:p>
    <w:p w14:paraId="330097DF">
      <w:pPr>
        <w:pStyle w:val="7"/>
        <w:spacing w:before="0" w:beforeAutospacing="0" w:after="0" w:afterAutospacing="0" w:line="360" w:lineRule="auto"/>
        <w:ind w:firstLine="420"/>
        <w:rPr>
          <w:sz w:val="21"/>
          <w:szCs w:val="21"/>
        </w:rPr>
      </w:pPr>
      <w:r>
        <w:rPr>
          <w:rFonts w:hint="eastAsia"/>
          <w:sz w:val="21"/>
          <w:szCs w:val="21"/>
        </w:rPr>
        <w:t>（四）基金开始申购、赎回公告</w:t>
      </w:r>
    </w:p>
    <w:p w14:paraId="5CA1E802">
      <w:pPr>
        <w:pStyle w:val="7"/>
        <w:spacing w:before="0" w:beforeAutospacing="0" w:after="0" w:afterAutospacing="0" w:line="360" w:lineRule="auto"/>
        <w:ind w:firstLine="420"/>
        <w:rPr>
          <w:sz w:val="21"/>
          <w:szCs w:val="21"/>
        </w:rPr>
      </w:pPr>
      <w:r>
        <w:rPr>
          <w:rFonts w:hint="eastAsia"/>
          <w:sz w:val="21"/>
          <w:szCs w:val="21"/>
        </w:rPr>
        <w:t>基金管理人应于申购开始日、赎回开始日前按规定在规定报刊及网站上公告。</w:t>
      </w:r>
    </w:p>
    <w:p w14:paraId="2AD762E6">
      <w:pPr>
        <w:pStyle w:val="7"/>
        <w:spacing w:before="0" w:beforeAutospacing="0" w:after="0" w:afterAutospacing="0" w:line="360" w:lineRule="auto"/>
        <w:ind w:firstLine="420"/>
        <w:rPr>
          <w:sz w:val="21"/>
          <w:szCs w:val="21"/>
        </w:rPr>
      </w:pPr>
      <w:r>
        <w:rPr>
          <w:rFonts w:hint="eastAsia"/>
          <w:sz w:val="21"/>
          <w:szCs w:val="21"/>
        </w:rPr>
        <w:t>（五）基金份额上市交易公告书</w:t>
      </w:r>
    </w:p>
    <w:p w14:paraId="661829EE">
      <w:pPr>
        <w:pStyle w:val="7"/>
        <w:spacing w:before="0" w:beforeAutospacing="0" w:after="0" w:afterAutospacing="0" w:line="360" w:lineRule="auto"/>
        <w:ind w:firstLine="420"/>
        <w:rPr>
          <w:sz w:val="21"/>
          <w:szCs w:val="21"/>
        </w:rPr>
      </w:pPr>
      <w:r>
        <w:rPr>
          <w:rFonts w:hint="eastAsia"/>
          <w:sz w:val="21"/>
          <w:szCs w:val="21"/>
        </w:rPr>
        <w:t>基金份额获准在证券交易所上市交易的，基金管理人应当在基金份额上市交易三个工作日前，将基金份额上市交易公告书登载在规定网站上，并将上市交易公告书提示性公告登载在规定报刊上。</w:t>
      </w:r>
    </w:p>
    <w:p w14:paraId="28A7995C">
      <w:pPr>
        <w:pStyle w:val="7"/>
        <w:spacing w:before="0" w:beforeAutospacing="0" w:after="0" w:afterAutospacing="0" w:line="360" w:lineRule="auto"/>
        <w:ind w:firstLine="420"/>
        <w:rPr>
          <w:sz w:val="21"/>
          <w:szCs w:val="21"/>
        </w:rPr>
      </w:pPr>
      <w:r>
        <w:rPr>
          <w:rFonts w:hint="eastAsia"/>
          <w:sz w:val="21"/>
          <w:szCs w:val="21"/>
        </w:rPr>
        <w:t>（六）基金份额折算日和折算结果公告</w:t>
      </w:r>
    </w:p>
    <w:p w14:paraId="417AC981">
      <w:pPr>
        <w:pStyle w:val="7"/>
        <w:spacing w:before="0" w:beforeAutospacing="0" w:after="0" w:afterAutospacing="0" w:line="360" w:lineRule="auto"/>
        <w:ind w:firstLine="420"/>
        <w:rPr>
          <w:sz w:val="21"/>
          <w:szCs w:val="21"/>
        </w:rPr>
      </w:pPr>
      <w:r>
        <w:rPr>
          <w:rFonts w:hint="eastAsia"/>
          <w:sz w:val="21"/>
          <w:szCs w:val="21"/>
        </w:rPr>
        <w:t>基金管理人确定基金份额折算日，并依照《信息披露办法》的有关规定将基金份额折算日公告登载于规定媒介上。 </w:t>
      </w:r>
    </w:p>
    <w:p w14:paraId="5FEE8CC5">
      <w:pPr>
        <w:pStyle w:val="7"/>
        <w:spacing w:before="0" w:beforeAutospacing="0" w:after="0" w:afterAutospacing="0" w:line="360" w:lineRule="auto"/>
        <w:ind w:firstLine="420"/>
        <w:rPr>
          <w:sz w:val="21"/>
          <w:szCs w:val="21"/>
        </w:rPr>
      </w:pPr>
      <w:r>
        <w:rPr>
          <w:rFonts w:hint="eastAsia"/>
          <w:sz w:val="21"/>
          <w:szCs w:val="21"/>
        </w:rPr>
        <w:t>基金份额进行折算并由登记机构完成基金份额的变更登记后，基金管理人将基金份额折算结果公告登载于规定媒介上。</w:t>
      </w:r>
    </w:p>
    <w:p w14:paraId="6627A3B1">
      <w:pPr>
        <w:pStyle w:val="7"/>
        <w:spacing w:before="0" w:beforeAutospacing="0" w:after="0" w:afterAutospacing="0" w:line="360" w:lineRule="auto"/>
        <w:ind w:firstLine="420"/>
        <w:rPr>
          <w:sz w:val="21"/>
          <w:szCs w:val="21"/>
        </w:rPr>
      </w:pPr>
      <w:r>
        <w:rPr>
          <w:rFonts w:hint="eastAsia"/>
          <w:sz w:val="21"/>
          <w:szCs w:val="21"/>
        </w:rPr>
        <w:t>（七）基金净值信息</w:t>
      </w:r>
    </w:p>
    <w:p w14:paraId="5F27A473">
      <w:pPr>
        <w:pStyle w:val="7"/>
        <w:spacing w:before="0" w:beforeAutospacing="0" w:after="0" w:afterAutospacing="0" w:line="360" w:lineRule="auto"/>
        <w:ind w:firstLine="420"/>
        <w:rPr>
          <w:sz w:val="21"/>
          <w:szCs w:val="21"/>
        </w:rPr>
      </w:pPr>
      <w:r>
        <w:rPr>
          <w:rFonts w:hint="eastAsia"/>
          <w:sz w:val="21"/>
          <w:szCs w:val="21"/>
        </w:rPr>
        <w:t>《基金合同》生效后，在基金份额上市交易或者开始办理基金份额申购或者赎回前，基金管理人应当至少每周在规定网站披露一次基金份额净值和基金份额累计净值。</w:t>
      </w:r>
    </w:p>
    <w:p w14:paraId="75A849CE">
      <w:pPr>
        <w:pStyle w:val="7"/>
        <w:spacing w:before="0" w:beforeAutospacing="0" w:after="0" w:afterAutospacing="0" w:line="360" w:lineRule="auto"/>
        <w:ind w:firstLine="420"/>
        <w:rPr>
          <w:sz w:val="21"/>
          <w:szCs w:val="21"/>
        </w:rPr>
      </w:pPr>
      <w:r>
        <w:rPr>
          <w:rFonts w:hint="eastAsia"/>
          <w:sz w:val="21"/>
          <w:szCs w:val="21"/>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060A00B6">
      <w:pPr>
        <w:pStyle w:val="7"/>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基金管理人应当在不晚于半年度和年度最后一日的次日，在规定网站披露半年度和年度最后一日的基金份额净值和基金份额累计净值。</w:t>
      </w:r>
    </w:p>
    <w:p w14:paraId="7D4B19DB">
      <w:pPr>
        <w:pStyle w:val="7"/>
        <w:spacing w:before="0" w:beforeAutospacing="0" w:after="0" w:afterAutospacing="0" w:line="360" w:lineRule="auto"/>
        <w:ind w:firstLine="420"/>
        <w:rPr>
          <w:sz w:val="21"/>
          <w:szCs w:val="21"/>
        </w:rPr>
      </w:pPr>
      <w:r>
        <w:rPr>
          <w:rFonts w:hint="eastAsia"/>
          <w:sz w:val="21"/>
          <w:szCs w:val="21"/>
        </w:rPr>
        <w:t>（八）申购赎回清单</w:t>
      </w:r>
    </w:p>
    <w:p w14:paraId="10601B9F">
      <w:pPr>
        <w:pStyle w:val="7"/>
        <w:spacing w:before="0" w:beforeAutospacing="0" w:after="0" w:afterAutospacing="0" w:line="360" w:lineRule="auto"/>
        <w:ind w:firstLine="420"/>
        <w:rPr>
          <w:sz w:val="21"/>
          <w:szCs w:val="21"/>
        </w:rPr>
      </w:pPr>
      <w:r>
        <w:rPr>
          <w:rFonts w:hint="eastAsia"/>
          <w:sz w:val="21"/>
          <w:szCs w:val="21"/>
        </w:rPr>
        <w:t>在开始办理基金份额申购或者赎回之后，基金管理人应当在每个开放日，通过规定网站、基金份额申购、赎回代理券商以及其他媒介公告当日的申购赎回清单。</w:t>
      </w:r>
    </w:p>
    <w:p w14:paraId="6DE317CC">
      <w:pPr>
        <w:pStyle w:val="7"/>
        <w:spacing w:before="0" w:beforeAutospacing="0" w:after="0" w:afterAutospacing="0" w:line="360" w:lineRule="auto"/>
        <w:ind w:firstLine="420"/>
        <w:rPr>
          <w:sz w:val="21"/>
          <w:szCs w:val="21"/>
        </w:rPr>
      </w:pPr>
      <w:r>
        <w:rPr>
          <w:rFonts w:hint="eastAsia"/>
          <w:sz w:val="21"/>
          <w:szCs w:val="21"/>
        </w:rPr>
        <w:t>（九）基金定期报告，包括基金年度报告、基金中期报告和基金季度报告（含资产组合季度报告）</w:t>
      </w:r>
    </w:p>
    <w:p w14:paraId="3D455A8E">
      <w:pPr>
        <w:pStyle w:val="7"/>
        <w:spacing w:before="0" w:beforeAutospacing="0" w:after="0" w:afterAutospacing="0" w:line="360" w:lineRule="auto"/>
        <w:ind w:firstLine="420"/>
        <w:rPr>
          <w:sz w:val="21"/>
          <w:szCs w:val="21"/>
        </w:rPr>
      </w:pPr>
      <w:r>
        <w:rPr>
          <w:rFonts w:hint="eastAsia"/>
          <w:sz w:val="21"/>
          <w:szCs w:val="21"/>
        </w:rPr>
        <w:t>1、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w:t>
      </w:r>
    </w:p>
    <w:p w14:paraId="20E56256">
      <w:pPr>
        <w:pStyle w:val="7"/>
        <w:spacing w:before="0" w:beforeAutospacing="0" w:after="0" w:afterAutospacing="0" w:line="360" w:lineRule="auto"/>
        <w:ind w:firstLine="420"/>
        <w:rPr>
          <w:sz w:val="21"/>
          <w:szCs w:val="21"/>
        </w:rPr>
      </w:pPr>
      <w:r>
        <w:rPr>
          <w:rFonts w:hint="eastAsia"/>
          <w:sz w:val="21"/>
          <w:szCs w:val="21"/>
        </w:rPr>
        <w:t>2、基金管理人应当在上半年结束之日起两个月内，编制完成基金中期报告，将中期报告登载在规定网站上，并将中期报告提示性公告登载在规定报刊上。</w:t>
      </w:r>
    </w:p>
    <w:p w14:paraId="324EF9EF">
      <w:pPr>
        <w:pStyle w:val="7"/>
        <w:spacing w:before="0" w:beforeAutospacing="0" w:after="0" w:afterAutospacing="0" w:line="360" w:lineRule="auto"/>
        <w:ind w:firstLine="420"/>
        <w:rPr>
          <w:sz w:val="21"/>
          <w:szCs w:val="21"/>
        </w:rPr>
      </w:pPr>
      <w:r>
        <w:rPr>
          <w:rFonts w:hint="eastAsia"/>
          <w:sz w:val="21"/>
          <w:szCs w:val="21"/>
        </w:rPr>
        <w:t>3、基金管理人应当在季度结束之日起15个工作日内，编制完成基金季度报告，将季度报告登载在规定网站上，并将季度报告提示性公告登载在规定报刊上。</w:t>
      </w:r>
    </w:p>
    <w:p w14:paraId="55C59C1E">
      <w:pPr>
        <w:pStyle w:val="7"/>
        <w:spacing w:before="0" w:beforeAutospacing="0" w:after="0" w:afterAutospacing="0" w:line="360" w:lineRule="auto"/>
        <w:ind w:firstLine="420"/>
        <w:rPr>
          <w:sz w:val="21"/>
          <w:szCs w:val="21"/>
        </w:rPr>
      </w:pPr>
      <w:r>
        <w:rPr>
          <w:rFonts w:hint="eastAsia"/>
          <w:sz w:val="21"/>
          <w:szCs w:val="21"/>
        </w:rPr>
        <w:t>4、基金合同生效不足2个月的，本基金管理人可以不编制当期季度报告、中期报告或者年度报告。</w:t>
      </w:r>
    </w:p>
    <w:p w14:paraId="552A37D7">
      <w:pPr>
        <w:pStyle w:val="7"/>
        <w:spacing w:before="0" w:beforeAutospacing="0" w:after="0" w:afterAutospacing="0" w:line="360" w:lineRule="auto"/>
        <w:ind w:firstLine="420"/>
        <w:rPr>
          <w:sz w:val="21"/>
          <w:szCs w:val="21"/>
        </w:rPr>
      </w:pPr>
      <w:r>
        <w:rPr>
          <w:rFonts w:hint="eastAsia"/>
          <w:sz w:val="21"/>
          <w:szCs w:val="21"/>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216F3A5">
      <w:pPr>
        <w:pStyle w:val="7"/>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14:paraId="5E7FE7B4">
      <w:pPr>
        <w:pStyle w:val="7"/>
        <w:spacing w:before="0" w:beforeAutospacing="0" w:after="0" w:afterAutospacing="0" w:line="360" w:lineRule="auto"/>
        <w:ind w:firstLine="420"/>
        <w:rPr>
          <w:sz w:val="21"/>
          <w:szCs w:val="21"/>
        </w:rPr>
      </w:pPr>
      <w:r>
        <w:rPr>
          <w:rFonts w:hint="eastAsia"/>
          <w:sz w:val="21"/>
          <w:szCs w:val="21"/>
        </w:rPr>
        <w:t>（十）临时报告</w:t>
      </w:r>
    </w:p>
    <w:p w14:paraId="60255D2F">
      <w:pPr>
        <w:pStyle w:val="7"/>
        <w:spacing w:before="0" w:beforeAutospacing="0" w:after="0" w:afterAutospacing="0" w:line="360" w:lineRule="auto"/>
        <w:ind w:firstLine="420"/>
        <w:rPr>
          <w:sz w:val="21"/>
          <w:szCs w:val="21"/>
        </w:rPr>
      </w:pPr>
      <w:r>
        <w:rPr>
          <w:rFonts w:hint="eastAsia"/>
          <w:sz w:val="21"/>
          <w:szCs w:val="21"/>
        </w:rPr>
        <w:t>本基金发生重大事件，有关信息披露义务人应当依照《信息披露办法》编制临时报告书，并登载在规定报刊和规定网站上。</w:t>
      </w:r>
    </w:p>
    <w:p w14:paraId="6863D074">
      <w:pPr>
        <w:pStyle w:val="7"/>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14:paraId="56DE1FB3">
      <w:pPr>
        <w:pStyle w:val="7"/>
        <w:spacing w:before="0" w:beforeAutospacing="0" w:after="0" w:afterAutospacing="0" w:line="360" w:lineRule="auto"/>
        <w:ind w:firstLine="420"/>
        <w:rPr>
          <w:sz w:val="21"/>
          <w:szCs w:val="21"/>
        </w:rPr>
      </w:pPr>
      <w:r>
        <w:rPr>
          <w:rFonts w:hint="eastAsia"/>
          <w:sz w:val="21"/>
          <w:szCs w:val="21"/>
        </w:rPr>
        <w:t>1、基金份额持有人大会的召开及决定的事项；</w:t>
      </w:r>
    </w:p>
    <w:p w14:paraId="7D5A8A68">
      <w:pPr>
        <w:pStyle w:val="7"/>
        <w:spacing w:before="0" w:beforeAutospacing="0" w:after="0" w:afterAutospacing="0" w:line="360" w:lineRule="auto"/>
        <w:ind w:firstLine="420"/>
        <w:rPr>
          <w:sz w:val="21"/>
          <w:szCs w:val="21"/>
        </w:rPr>
      </w:pPr>
      <w:r>
        <w:rPr>
          <w:rFonts w:hint="eastAsia"/>
          <w:sz w:val="21"/>
          <w:szCs w:val="21"/>
        </w:rPr>
        <w:t>2、《基金合同》终止、基金清算；</w:t>
      </w:r>
    </w:p>
    <w:p w14:paraId="589AC49E">
      <w:pPr>
        <w:pStyle w:val="7"/>
        <w:spacing w:before="0" w:beforeAutospacing="0" w:after="0" w:afterAutospacing="0" w:line="360" w:lineRule="auto"/>
        <w:ind w:firstLine="420"/>
        <w:rPr>
          <w:sz w:val="21"/>
          <w:szCs w:val="21"/>
        </w:rPr>
      </w:pPr>
      <w:r>
        <w:rPr>
          <w:rFonts w:hint="eastAsia"/>
          <w:sz w:val="21"/>
          <w:szCs w:val="21"/>
        </w:rPr>
        <w:t>3、转换基金运作方式、基金合并；</w:t>
      </w:r>
    </w:p>
    <w:p w14:paraId="44295336">
      <w:pPr>
        <w:pStyle w:val="7"/>
        <w:spacing w:before="0" w:beforeAutospacing="0" w:after="0" w:afterAutospacing="0" w:line="360" w:lineRule="auto"/>
        <w:ind w:firstLine="420"/>
        <w:rPr>
          <w:sz w:val="21"/>
          <w:szCs w:val="21"/>
        </w:rPr>
      </w:pPr>
      <w:r>
        <w:rPr>
          <w:rFonts w:hint="eastAsia"/>
          <w:sz w:val="21"/>
          <w:szCs w:val="21"/>
        </w:rPr>
        <w:t>4、更换基金管理人、基金托管人、基金份额登记机构，基金改聘会计师事务所；</w:t>
      </w:r>
    </w:p>
    <w:p w14:paraId="1F092DF2">
      <w:pPr>
        <w:pStyle w:val="7"/>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14:paraId="6CF10424">
      <w:pPr>
        <w:pStyle w:val="7"/>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14:paraId="105A576A">
      <w:pPr>
        <w:pStyle w:val="7"/>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14:paraId="0F6A5A6B">
      <w:pPr>
        <w:pStyle w:val="7"/>
        <w:spacing w:before="0" w:beforeAutospacing="0" w:after="0" w:afterAutospacing="0" w:line="360" w:lineRule="auto"/>
        <w:ind w:firstLine="420"/>
        <w:rPr>
          <w:sz w:val="21"/>
          <w:szCs w:val="21"/>
        </w:rPr>
      </w:pPr>
      <w:r>
        <w:rPr>
          <w:rFonts w:hint="eastAsia"/>
          <w:sz w:val="21"/>
          <w:szCs w:val="21"/>
        </w:rPr>
        <w:t>8、基金募集期延长或提前结束募集；</w:t>
      </w:r>
    </w:p>
    <w:p w14:paraId="3C884CB0">
      <w:pPr>
        <w:pStyle w:val="7"/>
        <w:spacing w:before="0" w:beforeAutospacing="0" w:after="0" w:afterAutospacing="0" w:line="360" w:lineRule="auto"/>
        <w:ind w:firstLine="420"/>
        <w:rPr>
          <w:sz w:val="21"/>
          <w:szCs w:val="21"/>
        </w:rPr>
      </w:pPr>
      <w:r>
        <w:rPr>
          <w:rFonts w:hint="eastAsia"/>
          <w:sz w:val="21"/>
          <w:szCs w:val="21"/>
        </w:rPr>
        <w:t>9、基金管理人的高级管理人员、基金经理和基金托管人专门基金托管部门负责人发生变动；</w:t>
      </w:r>
    </w:p>
    <w:p w14:paraId="3B172934">
      <w:pPr>
        <w:pStyle w:val="7"/>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10、基金管理人的董事在最近12个月内变更超过百分之五十，基金管理人、基金托管人专门基金托管部门的主要业务人员在最近12个月内变动超过百分之三十；</w:t>
      </w:r>
    </w:p>
    <w:p w14:paraId="5834DF63">
      <w:pPr>
        <w:pStyle w:val="7"/>
        <w:spacing w:before="0" w:beforeAutospacing="0" w:after="0" w:afterAutospacing="0" w:line="360" w:lineRule="auto"/>
        <w:ind w:firstLine="420"/>
        <w:rPr>
          <w:sz w:val="21"/>
          <w:szCs w:val="21"/>
        </w:rPr>
      </w:pPr>
      <w:r>
        <w:rPr>
          <w:rFonts w:hint="eastAsia"/>
          <w:sz w:val="21"/>
          <w:szCs w:val="21"/>
        </w:rPr>
        <w:t>11、涉及基金财产、基金管理业务、基金托管业务的诉讼或仲裁；</w:t>
      </w:r>
    </w:p>
    <w:p w14:paraId="7B5A43CF">
      <w:pPr>
        <w:pStyle w:val="7"/>
        <w:spacing w:before="0" w:beforeAutospacing="0" w:after="0" w:afterAutospacing="0" w:line="360" w:lineRule="auto"/>
        <w:ind w:firstLine="420"/>
        <w:rPr>
          <w:sz w:val="21"/>
          <w:szCs w:val="21"/>
        </w:rPr>
      </w:pPr>
      <w:r>
        <w:rPr>
          <w:rFonts w:hint="eastAsia"/>
          <w:sz w:val="21"/>
          <w:szCs w:val="21"/>
        </w:rPr>
        <w:t>12、基金管理人或其高级管理人员、基金经理因基金管理业务相关行为受到重大行政处罚、刑事处罚，基金托管人或其专门基金托管部门负责人因基金托管业务相关行为受到重大行政处罚、刑事处罚；</w:t>
      </w:r>
    </w:p>
    <w:p w14:paraId="459A8858">
      <w:pPr>
        <w:pStyle w:val="7"/>
        <w:spacing w:before="0" w:beforeAutospacing="0" w:after="0" w:afterAutospacing="0" w:line="360" w:lineRule="auto"/>
        <w:ind w:firstLine="420"/>
        <w:rPr>
          <w:sz w:val="21"/>
          <w:szCs w:val="21"/>
        </w:rPr>
      </w:pPr>
      <w:r>
        <w:rPr>
          <w:rFonts w:hint="eastAsia"/>
          <w:sz w:val="21"/>
          <w:szCs w:val="21"/>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3E1B58A1">
      <w:pPr>
        <w:pStyle w:val="7"/>
        <w:spacing w:before="0" w:beforeAutospacing="0" w:after="0" w:afterAutospacing="0" w:line="360" w:lineRule="auto"/>
        <w:ind w:firstLine="420"/>
        <w:rPr>
          <w:sz w:val="21"/>
          <w:szCs w:val="21"/>
        </w:rPr>
      </w:pPr>
      <w:r>
        <w:rPr>
          <w:rFonts w:hint="eastAsia"/>
          <w:sz w:val="21"/>
          <w:szCs w:val="21"/>
        </w:rPr>
        <w:t>14、基金收益分配事项；</w:t>
      </w:r>
    </w:p>
    <w:p w14:paraId="022B4B45">
      <w:pPr>
        <w:pStyle w:val="7"/>
        <w:spacing w:before="0" w:beforeAutospacing="0" w:after="0" w:afterAutospacing="0" w:line="360" w:lineRule="auto"/>
        <w:ind w:firstLine="420"/>
        <w:rPr>
          <w:sz w:val="21"/>
          <w:szCs w:val="21"/>
        </w:rPr>
      </w:pPr>
      <w:r>
        <w:rPr>
          <w:rFonts w:hint="eastAsia"/>
          <w:sz w:val="21"/>
          <w:szCs w:val="21"/>
        </w:rPr>
        <w:t>15、管理费、托管费、申购费、赎回费等费用计提标准、计提方式和费率发生变更；</w:t>
      </w:r>
    </w:p>
    <w:p w14:paraId="6FEEE3B3">
      <w:pPr>
        <w:pStyle w:val="7"/>
        <w:spacing w:before="0" w:beforeAutospacing="0" w:after="0" w:afterAutospacing="0" w:line="360" w:lineRule="auto"/>
        <w:ind w:firstLine="420"/>
        <w:rPr>
          <w:sz w:val="21"/>
          <w:szCs w:val="21"/>
        </w:rPr>
      </w:pPr>
      <w:r>
        <w:rPr>
          <w:rFonts w:hint="eastAsia"/>
          <w:sz w:val="21"/>
          <w:szCs w:val="21"/>
        </w:rPr>
        <w:t>16、基金份额净值计价错误达基金份额净值0.5%；</w:t>
      </w:r>
    </w:p>
    <w:p w14:paraId="6556D844">
      <w:pPr>
        <w:pStyle w:val="7"/>
        <w:spacing w:before="0" w:beforeAutospacing="0" w:after="0" w:afterAutospacing="0" w:line="360" w:lineRule="auto"/>
        <w:ind w:firstLine="420"/>
        <w:rPr>
          <w:sz w:val="21"/>
          <w:szCs w:val="21"/>
        </w:rPr>
      </w:pPr>
      <w:r>
        <w:rPr>
          <w:rFonts w:hint="eastAsia"/>
          <w:sz w:val="21"/>
          <w:szCs w:val="21"/>
        </w:rPr>
        <w:t>17、本基金开始办理申购、赎回；</w:t>
      </w:r>
    </w:p>
    <w:p w14:paraId="757F91CE">
      <w:pPr>
        <w:pStyle w:val="7"/>
        <w:spacing w:before="0" w:beforeAutospacing="0" w:after="0" w:afterAutospacing="0" w:line="360" w:lineRule="auto"/>
        <w:ind w:firstLine="420"/>
        <w:rPr>
          <w:sz w:val="21"/>
          <w:szCs w:val="21"/>
        </w:rPr>
      </w:pPr>
      <w:r>
        <w:rPr>
          <w:rFonts w:hint="eastAsia"/>
          <w:sz w:val="21"/>
          <w:szCs w:val="21"/>
        </w:rPr>
        <w:t>18、本基金暂停接受申购、赎回申请或重新接受申购、赎回申请； </w:t>
      </w:r>
    </w:p>
    <w:p w14:paraId="0D668751">
      <w:pPr>
        <w:pStyle w:val="7"/>
        <w:spacing w:before="0" w:beforeAutospacing="0" w:after="0" w:afterAutospacing="0" w:line="360" w:lineRule="auto"/>
        <w:ind w:firstLine="420"/>
        <w:rPr>
          <w:sz w:val="21"/>
          <w:szCs w:val="21"/>
        </w:rPr>
      </w:pPr>
      <w:r>
        <w:rPr>
          <w:rFonts w:hint="eastAsia"/>
          <w:sz w:val="21"/>
          <w:szCs w:val="21"/>
        </w:rPr>
        <w:t>19、本基金停复牌、暂停上市、恢复上市或终止上市；</w:t>
      </w:r>
    </w:p>
    <w:p w14:paraId="07410F4C">
      <w:pPr>
        <w:pStyle w:val="7"/>
        <w:spacing w:before="0" w:beforeAutospacing="0" w:after="0" w:afterAutospacing="0" w:line="360" w:lineRule="auto"/>
        <w:ind w:firstLine="420"/>
        <w:rPr>
          <w:sz w:val="21"/>
          <w:szCs w:val="21"/>
        </w:rPr>
      </w:pPr>
      <w:r>
        <w:rPr>
          <w:rFonts w:hint="eastAsia"/>
          <w:sz w:val="21"/>
          <w:szCs w:val="21"/>
        </w:rPr>
        <w:t>20、发生涉及本基金申购、赎回事项调整或潜在影响投资者赎回等重大事项时；</w:t>
      </w:r>
    </w:p>
    <w:p w14:paraId="6CC26153">
      <w:pPr>
        <w:pStyle w:val="7"/>
        <w:spacing w:before="0" w:beforeAutospacing="0" w:after="0" w:afterAutospacing="0" w:line="360" w:lineRule="auto"/>
        <w:ind w:firstLine="420"/>
        <w:rPr>
          <w:sz w:val="21"/>
          <w:szCs w:val="21"/>
        </w:rPr>
      </w:pPr>
      <w:r>
        <w:rPr>
          <w:rFonts w:hint="eastAsia"/>
          <w:sz w:val="21"/>
          <w:szCs w:val="21"/>
        </w:rPr>
        <w:t>21、调整最小申购赎回单位、申购赎回方式及申购对价、赎回对价组成；</w:t>
      </w:r>
    </w:p>
    <w:p w14:paraId="4CD83B79">
      <w:pPr>
        <w:pStyle w:val="7"/>
        <w:spacing w:before="0" w:beforeAutospacing="0" w:after="0" w:afterAutospacing="0" w:line="360" w:lineRule="auto"/>
        <w:ind w:firstLine="420"/>
        <w:rPr>
          <w:sz w:val="21"/>
          <w:szCs w:val="21"/>
        </w:rPr>
      </w:pPr>
      <w:r>
        <w:rPr>
          <w:rFonts w:hint="eastAsia"/>
          <w:sz w:val="21"/>
          <w:szCs w:val="21"/>
        </w:rPr>
        <w:t>22、调整基金份额类别的设置；</w:t>
      </w:r>
    </w:p>
    <w:p w14:paraId="071D57E2">
      <w:pPr>
        <w:pStyle w:val="7"/>
        <w:spacing w:before="0" w:beforeAutospacing="0" w:after="0" w:afterAutospacing="0" w:line="360" w:lineRule="auto"/>
        <w:ind w:firstLine="420"/>
        <w:rPr>
          <w:sz w:val="21"/>
          <w:szCs w:val="21"/>
        </w:rPr>
      </w:pPr>
      <w:r>
        <w:rPr>
          <w:rFonts w:hint="eastAsia"/>
          <w:sz w:val="21"/>
          <w:szCs w:val="21"/>
        </w:rPr>
        <w:t>23、基金推出新业务或服务；</w:t>
      </w:r>
    </w:p>
    <w:p w14:paraId="4A763AD2">
      <w:pPr>
        <w:pStyle w:val="7"/>
        <w:spacing w:before="0" w:beforeAutospacing="0" w:after="0" w:afterAutospacing="0" w:line="360" w:lineRule="auto"/>
        <w:ind w:firstLine="420"/>
        <w:rPr>
          <w:sz w:val="21"/>
          <w:szCs w:val="21"/>
        </w:rPr>
      </w:pPr>
      <w:r>
        <w:rPr>
          <w:rFonts w:hint="eastAsia"/>
          <w:sz w:val="21"/>
          <w:szCs w:val="21"/>
        </w:rPr>
        <w:t>24、基金信息披露义务人认为可能对基金份额持有人权益或者基金份额的价格产生重大影响的其他事项、中国证监会或基金合同规定的其他事项。</w:t>
      </w:r>
    </w:p>
    <w:p w14:paraId="2F2957E2">
      <w:pPr>
        <w:pStyle w:val="7"/>
        <w:spacing w:before="0" w:beforeAutospacing="0" w:after="0" w:afterAutospacing="0" w:line="360" w:lineRule="auto"/>
        <w:ind w:firstLine="420"/>
        <w:rPr>
          <w:sz w:val="21"/>
          <w:szCs w:val="21"/>
        </w:rPr>
      </w:pPr>
      <w:r>
        <w:rPr>
          <w:rFonts w:hint="eastAsia"/>
          <w:sz w:val="21"/>
          <w:szCs w:val="21"/>
        </w:rPr>
        <w:t>（十一）澄清公告</w:t>
      </w:r>
    </w:p>
    <w:p w14:paraId="36889678">
      <w:pPr>
        <w:pStyle w:val="7"/>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5C502976">
      <w:pPr>
        <w:pStyle w:val="7"/>
        <w:spacing w:before="0" w:beforeAutospacing="0" w:after="0" w:afterAutospacing="0" w:line="360" w:lineRule="auto"/>
        <w:ind w:firstLine="420"/>
        <w:rPr>
          <w:sz w:val="21"/>
          <w:szCs w:val="21"/>
        </w:rPr>
      </w:pPr>
      <w:r>
        <w:rPr>
          <w:rFonts w:hint="eastAsia"/>
          <w:sz w:val="21"/>
          <w:szCs w:val="21"/>
        </w:rPr>
        <w:t>（十二）清算报告</w:t>
      </w:r>
    </w:p>
    <w:p w14:paraId="77B14576">
      <w:pPr>
        <w:pStyle w:val="7"/>
        <w:spacing w:before="0" w:beforeAutospacing="0" w:after="0" w:afterAutospacing="0" w:line="360" w:lineRule="auto"/>
        <w:ind w:firstLine="420"/>
        <w:rPr>
          <w:sz w:val="21"/>
          <w:szCs w:val="21"/>
        </w:rPr>
      </w:pPr>
      <w:r>
        <w:rPr>
          <w:rFonts w:hint="eastAsia"/>
          <w:sz w:val="21"/>
          <w:szCs w:val="21"/>
        </w:rPr>
        <w:t>基金合同终止情形出现的，基金管理人应当依法组织基金财产清算小组对基金财产进行清算并作出清算报告。清算报告应当经过符合《证券法》规定的会计师事务所审计，并由律师事务所出具法律意见书。清算组应当将清算报告登载在规定网站上，并将清算报告提示性公告登载在规定报刊上。</w:t>
      </w:r>
    </w:p>
    <w:p w14:paraId="14004980">
      <w:pPr>
        <w:pStyle w:val="7"/>
        <w:spacing w:before="0" w:beforeAutospacing="0" w:after="0" w:afterAutospacing="0" w:line="360" w:lineRule="auto"/>
        <w:ind w:firstLine="420"/>
        <w:rPr>
          <w:sz w:val="21"/>
          <w:szCs w:val="21"/>
        </w:rPr>
      </w:pPr>
      <w:r>
        <w:rPr>
          <w:rFonts w:hint="eastAsia"/>
          <w:sz w:val="21"/>
          <w:szCs w:val="21"/>
        </w:rPr>
        <w:t>（十三）基金份额持有人大会决议</w:t>
      </w:r>
    </w:p>
    <w:p w14:paraId="6D162432">
      <w:pPr>
        <w:pStyle w:val="7"/>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14:paraId="64B36386">
      <w:pPr>
        <w:pStyle w:val="7"/>
        <w:spacing w:before="0" w:beforeAutospacing="0" w:after="0" w:afterAutospacing="0" w:line="360" w:lineRule="auto"/>
        <w:ind w:firstLine="420"/>
        <w:rPr>
          <w:sz w:val="21"/>
          <w:szCs w:val="21"/>
        </w:rPr>
      </w:pPr>
      <w:r>
        <w:rPr>
          <w:rFonts w:hint="eastAsia"/>
          <w:sz w:val="21"/>
          <w:szCs w:val="21"/>
        </w:rPr>
        <w:t>（十四）参与股指期货交易的信息披露</w:t>
      </w:r>
    </w:p>
    <w:p w14:paraId="7DB9715A">
      <w:pPr>
        <w:pStyle w:val="7"/>
        <w:spacing w:before="0" w:beforeAutospacing="0" w:after="0" w:afterAutospacing="0" w:line="360" w:lineRule="auto"/>
        <w:ind w:firstLine="420"/>
        <w:rPr>
          <w:sz w:val="21"/>
          <w:szCs w:val="21"/>
        </w:rPr>
      </w:pPr>
      <w:r>
        <w:rPr>
          <w:rFonts w:hint="eastAsia"/>
          <w:sz w:val="21"/>
          <w:szCs w:val="21"/>
        </w:rPr>
        <w:t>本基金参与股指期货交易的，基金管理人应在季度报告、中期报告、年度报告等定期报告和招募说明书（更新）等文件中披露股指期货交易情况，包括交易政策、持仓情况、损益情况、风险指标等，并充分揭示股指期货交易对基金总体风险的影响以及是否符合既定的交易政策和交易目标等。</w:t>
      </w:r>
    </w:p>
    <w:p w14:paraId="64BE0585">
      <w:pPr>
        <w:pStyle w:val="7"/>
        <w:spacing w:before="0" w:beforeAutospacing="0" w:after="0" w:afterAutospacing="0" w:line="360" w:lineRule="auto"/>
        <w:ind w:firstLine="420"/>
        <w:rPr>
          <w:sz w:val="21"/>
          <w:szCs w:val="21"/>
        </w:rPr>
      </w:pPr>
      <w:r>
        <w:rPr>
          <w:rFonts w:hint="eastAsia"/>
          <w:sz w:val="21"/>
          <w:szCs w:val="21"/>
        </w:rPr>
        <w:t>（十五）投资资产支持证券的信息披露</w:t>
      </w:r>
    </w:p>
    <w:p w14:paraId="26C5A6EE">
      <w:pPr>
        <w:pStyle w:val="7"/>
        <w:spacing w:before="0" w:beforeAutospacing="0" w:after="0" w:afterAutospacing="0" w:line="360" w:lineRule="auto"/>
        <w:ind w:firstLine="420"/>
        <w:rPr>
          <w:sz w:val="21"/>
          <w:szCs w:val="21"/>
        </w:rPr>
      </w:pPr>
      <w:r>
        <w:rPr>
          <w:rFonts w:hint="eastAsia"/>
          <w:sz w:val="21"/>
          <w:szCs w:val="21"/>
        </w:rPr>
        <w:t>本基金投资资产支持证券的，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0BFA349F">
      <w:pPr>
        <w:pStyle w:val="7"/>
        <w:spacing w:before="0" w:beforeAutospacing="0" w:after="0" w:afterAutospacing="0" w:line="360" w:lineRule="auto"/>
        <w:ind w:firstLine="420"/>
        <w:rPr>
          <w:sz w:val="21"/>
          <w:szCs w:val="21"/>
        </w:rPr>
      </w:pPr>
      <w:r>
        <w:rPr>
          <w:rFonts w:hint="eastAsia"/>
          <w:sz w:val="21"/>
          <w:szCs w:val="21"/>
        </w:rPr>
        <w:t>（十六）投资股票期权的信息披露</w:t>
      </w:r>
    </w:p>
    <w:p w14:paraId="57BD1B3E">
      <w:pPr>
        <w:pStyle w:val="7"/>
        <w:spacing w:before="0" w:beforeAutospacing="0" w:after="0" w:afterAutospacing="0" w:line="360" w:lineRule="auto"/>
        <w:ind w:firstLine="420"/>
        <w:rPr>
          <w:sz w:val="21"/>
          <w:szCs w:val="21"/>
        </w:rPr>
      </w:pPr>
      <w:r>
        <w:rPr>
          <w:rFonts w:hint="eastAsia"/>
          <w:sz w:val="21"/>
          <w:szCs w:val="21"/>
        </w:rPr>
        <w:t>本基金投资股票期权的，基金管理人应当在季度报告、中期报告、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w:t>
      </w:r>
    </w:p>
    <w:p w14:paraId="33173B4C">
      <w:pPr>
        <w:pStyle w:val="7"/>
        <w:spacing w:before="0" w:beforeAutospacing="0" w:after="0" w:afterAutospacing="0" w:line="360" w:lineRule="auto"/>
        <w:ind w:firstLine="420"/>
        <w:rPr>
          <w:sz w:val="21"/>
          <w:szCs w:val="21"/>
        </w:rPr>
      </w:pPr>
      <w:r>
        <w:rPr>
          <w:rFonts w:hint="eastAsia"/>
          <w:sz w:val="21"/>
          <w:szCs w:val="21"/>
        </w:rPr>
        <w:t>（十七）参与国债期货交易的信息披露</w:t>
      </w:r>
    </w:p>
    <w:p w14:paraId="1BA6667C">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披露国债期货交易情况，包括交易政策、持仓情况、损益情况、风险指标等，并充分揭示国债期货交易对本基金总体风险的影响以及是否符合既定的交易政策和交易目标。</w:t>
      </w:r>
    </w:p>
    <w:p w14:paraId="72863F22">
      <w:pPr>
        <w:pStyle w:val="7"/>
        <w:spacing w:before="0" w:beforeAutospacing="0" w:after="0" w:afterAutospacing="0" w:line="360" w:lineRule="auto"/>
        <w:ind w:firstLine="420"/>
        <w:rPr>
          <w:sz w:val="21"/>
          <w:szCs w:val="21"/>
        </w:rPr>
      </w:pPr>
      <w:r>
        <w:rPr>
          <w:rFonts w:hint="eastAsia"/>
          <w:sz w:val="21"/>
          <w:szCs w:val="21"/>
        </w:rPr>
        <w:t>（十八）参与融资和转融通证券出借业务的信息披露</w:t>
      </w:r>
    </w:p>
    <w:p w14:paraId="04CD6527">
      <w:pPr>
        <w:pStyle w:val="7"/>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78116F7A">
      <w:pPr>
        <w:pStyle w:val="7"/>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14:paraId="5C9E29B8">
      <w:pPr>
        <w:pStyle w:val="7"/>
        <w:spacing w:before="0" w:beforeAutospacing="0" w:after="0" w:afterAutospacing="0" w:line="360" w:lineRule="auto"/>
        <w:ind w:firstLine="420"/>
        <w:rPr>
          <w:sz w:val="21"/>
          <w:szCs w:val="21"/>
        </w:rPr>
      </w:pPr>
      <w:r>
        <w:rPr>
          <w:rFonts w:hint="eastAsia"/>
          <w:sz w:val="21"/>
          <w:szCs w:val="21"/>
        </w:rPr>
        <w:t>（十九）基金投资非公开发行股票的信息披露</w:t>
      </w:r>
    </w:p>
    <w:p w14:paraId="6FC08FB0">
      <w:pPr>
        <w:pStyle w:val="7"/>
        <w:spacing w:before="0" w:beforeAutospacing="0" w:after="0" w:afterAutospacing="0" w:line="360" w:lineRule="auto"/>
        <w:ind w:firstLine="420"/>
        <w:rPr>
          <w:sz w:val="21"/>
          <w:szCs w:val="21"/>
        </w:rPr>
      </w:pPr>
      <w:r>
        <w:rPr>
          <w:rFonts w:hint="eastAsia"/>
          <w:sz w:val="21"/>
          <w:szCs w:val="21"/>
        </w:rPr>
        <w:t>本基金投资流通受限证券的，基金管理人应在基金投资非公开发行股票后两个交易日内，在中国证监会规定媒介披露所投资非公开发行股票的名称、数量、总成本、账面价值，以及总成本和账面价值占基金资产净值的比例、锁定期等信息。</w:t>
      </w:r>
    </w:p>
    <w:p w14:paraId="63CAB130">
      <w:pPr>
        <w:pStyle w:val="7"/>
        <w:spacing w:before="0" w:beforeAutospacing="0" w:after="0" w:afterAutospacing="0" w:line="360" w:lineRule="auto"/>
        <w:ind w:firstLine="420"/>
        <w:rPr>
          <w:sz w:val="21"/>
          <w:szCs w:val="21"/>
        </w:rPr>
      </w:pPr>
      <w:r>
        <w:rPr>
          <w:rFonts w:hint="eastAsia"/>
          <w:sz w:val="21"/>
          <w:szCs w:val="21"/>
        </w:rPr>
        <w:t>（二十）基金投资港股通标的股票的信息披露</w:t>
      </w:r>
    </w:p>
    <w:p w14:paraId="5B562937">
      <w:pPr>
        <w:pStyle w:val="7"/>
        <w:spacing w:before="0" w:beforeAutospacing="0" w:after="0" w:afterAutospacing="0" w:line="360" w:lineRule="auto"/>
        <w:ind w:firstLine="420"/>
        <w:rPr>
          <w:sz w:val="21"/>
          <w:szCs w:val="21"/>
        </w:rPr>
      </w:pPr>
      <w:r>
        <w:rPr>
          <w:rFonts w:hint="eastAsia"/>
          <w:sz w:val="21"/>
          <w:szCs w:val="21"/>
        </w:rPr>
        <w:t>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w:t>
      </w:r>
    </w:p>
    <w:p w14:paraId="665F7091">
      <w:pPr>
        <w:pStyle w:val="7"/>
        <w:spacing w:before="0" w:beforeAutospacing="0" w:after="0" w:afterAutospacing="0" w:line="360" w:lineRule="auto"/>
        <w:ind w:firstLine="420"/>
        <w:rPr>
          <w:sz w:val="21"/>
          <w:szCs w:val="21"/>
        </w:rPr>
      </w:pPr>
      <w:r>
        <w:rPr>
          <w:rFonts w:hint="eastAsia"/>
          <w:sz w:val="21"/>
          <w:szCs w:val="21"/>
        </w:rPr>
        <w:t>（二十一）中国证监会规定的其他信息</w:t>
      </w:r>
    </w:p>
    <w:p w14:paraId="42AC50F8">
      <w:pPr>
        <w:pStyle w:val="7"/>
        <w:spacing w:before="0" w:beforeAutospacing="0" w:after="0" w:afterAutospacing="0" w:line="360" w:lineRule="auto"/>
        <w:ind w:firstLine="420"/>
        <w:rPr>
          <w:sz w:val="21"/>
          <w:szCs w:val="21"/>
        </w:rPr>
      </w:pPr>
      <w:r>
        <w:rPr>
          <w:rStyle w:val="11"/>
          <w:rFonts w:hint="eastAsia"/>
          <w:sz w:val="21"/>
          <w:szCs w:val="21"/>
        </w:rPr>
        <w:t>六、信息披露事务管理</w:t>
      </w:r>
    </w:p>
    <w:p w14:paraId="476A367E">
      <w:pPr>
        <w:pStyle w:val="7"/>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14:paraId="6FAABF6D">
      <w:pPr>
        <w:pStyle w:val="7"/>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基金信息披露义务人公开披露基金信息，应当符合中国证监会相关基金信息披露内容与格式准则等法规以及证券交易所的自律管理规则的规定。</w:t>
      </w:r>
    </w:p>
    <w:p w14:paraId="215F27E9">
      <w:pPr>
        <w:pStyle w:val="7"/>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基金份额净值、申购对价、赎回对价、基金定期报告、更新的招募说明书、基金产品资料概要、基金清算报告等公开披露的相关基金信息进行复核、审查，并向基金管理人进行书面或电子确认。</w:t>
      </w:r>
    </w:p>
    <w:p w14:paraId="3D0CAA7A">
      <w:pPr>
        <w:pStyle w:val="7"/>
        <w:spacing w:before="0" w:beforeAutospacing="0" w:after="0" w:afterAutospacing="0" w:line="360" w:lineRule="auto"/>
        <w:ind w:firstLine="420"/>
        <w:rPr>
          <w:sz w:val="21"/>
          <w:szCs w:val="21"/>
        </w:rPr>
      </w:pPr>
      <w:r>
        <w:rPr>
          <w:rFonts w:hint="eastAsia"/>
          <w:sz w:val="21"/>
          <w:szCs w:val="21"/>
        </w:rPr>
        <w:t>基金管理人、基金托管人应当在规定媒介中选择一家披露信息的媒介。基金管理人、基金托管人应当向中国证监会基金电子披露网站报送拟披露的基金信息，并保证相关报送信息的真实、准确、完整、及时。</w:t>
      </w:r>
    </w:p>
    <w:p w14:paraId="506420A6">
      <w:pPr>
        <w:pStyle w:val="7"/>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3942CDDB">
      <w:pPr>
        <w:pStyle w:val="7"/>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14:paraId="4D2EC36E">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14BCCE83">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依法必须披露的信息发布后，基金管理人、基金托管人应当按照相关法律法规规定将信息置备于各自住所和基金上市交易的证券交易所，供社会公众查阅、复制。</w:t>
      </w:r>
    </w:p>
    <w:p w14:paraId="3FC505A7">
      <w:pPr>
        <w:pStyle w:val="7"/>
        <w:spacing w:before="0" w:beforeAutospacing="0" w:after="0" w:afterAutospacing="0" w:line="360" w:lineRule="auto"/>
        <w:ind w:firstLine="420"/>
        <w:rPr>
          <w:sz w:val="21"/>
          <w:szCs w:val="21"/>
        </w:rPr>
      </w:pPr>
      <w:r>
        <w:rPr>
          <w:rStyle w:val="11"/>
          <w:rFonts w:hint="eastAsia"/>
          <w:sz w:val="21"/>
          <w:szCs w:val="21"/>
        </w:rPr>
        <w:t>八、暂停或延迟披露基金相关信息的情形</w:t>
      </w:r>
    </w:p>
    <w:p w14:paraId="3CDC923D">
      <w:pPr>
        <w:pStyle w:val="7"/>
        <w:spacing w:before="0" w:beforeAutospacing="0" w:after="0" w:afterAutospacing="0" w:line="360" w:lineRule="auto"/>
        <w:ind w:firstLine="420"/>
        <w:rPr>
          <w:sz w:val="21"/>
          <w:szCs w:val="21"/>
        </w:rPr>
      </w:pPr>
      <w:r>
        <w:rPr>
          <w:rFonts w:hint="eastAsia"/>
          <w:sz w:val="21"/>
          <w:szCs w:val="21"/>
        </w:rPr>
        <w:t>当出现下述情况时，基金管理人和基金托管人可暂停或延迟披露基金相关信息：</w:t>
      </w:r>
    </w:p>
    <w:p w14:paraId="4118E6E6">
      <w:pPr>
        <w:pStyle w:val="7"/>
        <w:spacing w:before="0" w:beforeAutospacing="0" w:after="0" w:afterAutospacing="0" w:line="360" w:lineRule="auto"/>
        <w:ind w:firstLine="420"/>
        <w:rPr>
          <w:sz w:val="21"/>
          <w:szCs w:val="21"/>
        </w:rPr>
      </w:pPr>
      <w:r>
        <w:rPr>
          <w:rFonts w:hint="eastAsia"/>
          <w:sz w:val="21"/>
          <w:szCs w:val="21"/>
        </w:rPr>
        <w:t>1、因不可抗力或其他情形致使基金管理人、基金托管人无法准确评估基金资产价值时；</w:t>
      </w:r>
    </w:p>
    <w:p w14:paraId="64FF4241">
      <w:pPr>
        <w:pStyle w:val="7"/>
        <w:spacing w:before="0" w:beforeAutospacing="0" w:after="0" w:afterAutospacing="0" w:line="360" w:lineRule="auto"/>
        <w:ind w:firstLine="420"/>
        <w:rPr>
          <w:sz w:val="21"/>
          <w:szCs w:val="21"/>
        </w:rPr>
      </w:pPr>
      <w:r>
        <w:rPr>
          <w:rFonts w:hint="eastAsia"/>
          <w:sz w:val="21"/>
          <w:szCs w:val="21"/>
        </w:rPr>
        <w:t>2、发生基金合同约定的暂停估值的情形；</w:t>
      </w:r>
    </w:p>
    <w:p w14:paraId="0C73EE65">
      <w:pPr>
        <w:pStyle w:val="7"/>
        <w:spacing w:before="0" w:beforeAutospacing="0" w:after="0" w:afterAutospacing="0" w:line="360" w:lineRule="auto"/>
        <w:ind w:firstLine="420"/>
        <w:rPr>
          <w:sz w:val="21"/>
          <w:szCs w:val="21"/>
        </w:rPr>
      </w:pPr>
      <w:bookmarkStart w:id="152" w:name="chapter_level1_20_67_section_1_end"/>
      <w:bookmarkEnd w:id="152"/>
      <w:r>
        <w:rPr>
          <w:rFonts w:hint="eastAsia"/>
          <w:sz w:val="21"/>
          <w:szCs w:val="21"/>
        </w:rPr>
        <w:t>3、法律法规、基金合同认定的或中国证监会规定的其他情形。</w:t>
      </w:r>
    </w:p>
    <w:p w14:paraId="5AABB377">
      <w:pPr>
        <w:widowControl/>
        <w:jc w:val="left"/>
        <w:rPr>
          <w:rFonts w:ascii="宋体" w:hAnsi="宋体" w:eastAsia="宋体"/>
        </w:rPr>
      </w:pPr>
      <w:r>
        <w:rPr>
          <w:rFonts w:ascii="宋体" w:hAnsi="宋体" w:eastAsia="宋体"/>
        </w:rPr>
        <w:br w:type="page"/>
      </w:r>
    </w:p>
    <w:p w14:paraId="689A9717">
      <w:pPr>
        <w:pStyle w:val="2"/>
        <w:jc w:val="center"/>
        <w:rPr>
          <w:rFonts w:ascii="宋体" w:hAnsi="宋体" w:eastAsia="宋体"/>
          <w:sz w:val="30"/>
        </w:rPr>
      </w:pPr>
      <w:bookmarkStart w:id="153" w:name="chapter_level1_22_68"/>
      <w:bookmarkStart w:id="154" w:name="_Toc6608"/>
      <w:r>
        <w:rPr>
          <w:rFonts w:hint="eastAsia" w:ascii="宋体" w:hAnsi="宋体" w:eastAsia="宋体"/>
          <w:sz w:val="30"/>
        </w:rPr>
        <w:t>第十</w:t>
      </w:r>
      <w:r>
        <w:rPr>
          <w:rFonts w:hint="eastAsia" w:ascii="宋体" w:hAnsi="宋体" w:eastAsia="宋体"/>
          <w:sz w:val="30"/>
          <w:lang w:val="en-US" w:eastAsia="zh-CN"/>
        </w:rPr>
        <w:t>七</w:t>
      </w:r>
      <w:r>
        <w:rPr>
          <w:rFonts w:hint="eastAsia" w:ascii="宋体" w:hAnsi="宋体" w:eastAsia="宋体"/>
          <w:sz w:val="30"/>
        </w:rPr>
        <w:t>部分  风险揭示</w:t>
      </w:r>
      <w:bookmarkEnd w:id="153"/>
      <w:bookmarkEnd w:id="154"/>
    </w:p>
    <w:p w14:paraId="17D7FD5A">
      <w:pPr>
        <w:pStyle w:val="7"/>
        <w:spacing w:before="0" w:beforeAutospacing="0" w:after="0" w:afterAutospacing="0" w:line="360" w:lineRule="auto"/>
        <w:ind w:firstLine="420"/>
        <w:rPr>
          <w:sz w:val="21"/>
          <w:szCs w:val="21"/>
        </w:rPr>
      </w:pPr>
      <w:bookmarkStart w:id="155" w:name="chapter_level1_22_68_section_1"/>
      <w:bookmarkEnd w:id="155"/>
      <w:r>
        <w:rPr>
          <w:rFonts w:hint="eastAsia"/>
          <w:sz w:val="21"/>
          <w:szCs w:val="21"/>
        </w:rPr>
        <w:t>本基金管理人在总结、借鉴基金管理人旗下已有开放式基金（包括ETF基金）风险管理成熟经验的基础上，针对本基金的特点，确立科学的风险管理理念，建立相应的风险管理体系，对本基金整个投资过程进行有效的风险监控，为基金份额持有人谋取标的指数所表征的市场平均水平的投资收益。 </w:t>
      </w:r>
    </w:p>
    <w:p w14:paraId="5AF127AB">
      <w:pPr>
        <w:pStyle w:val="7"/>
        <w:spacing w:before="0" w:beforeAutospacing="0" w:after="0" w:afterAutospacing="0" w:line="360" w:lineRule="auto"/>
        <w:ind w:firstLine="420"/>
        <w:rPr>
          <w:sz w:val="21"/>
          <w:szCs w:val="21"/>
        </w:rPr>
      </w:pPr>
      <w:r>
        <w:rPr>
          <w:rFonts w:hint="eastAsia"/>
          <w:sz w:val="21"/>
          <w:szCs w:val="21"/>
        </w:rPr>
        <w:t>投资于本基金的主要风险包括以下几个方面： </w:t>
      </w:r>
    </w:p>
    <w:p w14:paraId="4B69A93D">
      <w:pPr>
        <w:pStyle w:val="7"/>
        <w:spacing w:before="0" w:beforeAutospacing="0" w:after="0" w:afterAutospacing="0" w:line="360" w:lineRule="auto"/>
        <w:ind w:firstLine="420"/>
        <w:rPr>
          <w:sz w:val="21"/>
          <w:szCs w:val="21"/>
        </w:rPr>
      </w:pPr>
      <w:r>
        <w:rPr>
          <w:rFonts w:hint="eastAsia"/>
          <w:sz w:val="21"/>
          <w:szCs w:val="21"/>
        </w:rPr>
        <w:t>一、标的指数回报与股票市场平均回报偏离的风险</w:t>
      </w:r>
    </w:p>
    <w:p w14:paraId="5606EA92">
      <w:pPr>
        <w:pStyle w:val="7"/>
        <w:spacing w:before="0" w:beforeAutospacing="0" w:after="0" w:afterAutospacing="0" w:line="360" w:lineRule="auto"/>
        <w:ind w:firstLine="420"/>
        <w:rPr>
          <w:sz w:val="21"/>
          <w:szCs w:val="21"/>
        </w:rPr>
      </w:pPr>
      <w:r>
        <w:rPr>
          <w:rFonts w:hint="eastAsia"/>
          <w:sz w:val="21"/>
          <w:szCs w:val="21"/>
        </w:rPr>
        <w:t>标的指数并不能完全代表整个股票市场。标的指数成份股的平均回报率与整个股票市场的平均回报率可能存在偏离。 </w:t>
      </w:r>
    </w:p>
    <w:p w14:paraId="104A02AE">
      <w:pPr>
        <w:pStyle w:val="7"/>
        <w:spacing w:before="0" w:beforeAutospacing="0" w:after="0" w:afterAutospacing="0" w:line="360" w:lineRule="auto"/>
        <w:ind w:firstLine="420"/>
        <w:rPr>
          <w:sz w:val="21"/>
          <w:szCs w:val="21"/>
        </w:rPr>
      </w:pPr>
      <w:r>
        <w:rPr>
          <w:rFonts w:hint="eastAsia"/>
          <w:sz w:val="21"/>
          <w:szCs w:val="21"/>
        </w:rPr>
        <w:t>二、标的指数波动的风险</w:t>
      </w:r>
    </w:p>
    <w:p w14:paraId="691FD0ED">
      <w:pPr>
        <w:pStyle w:val="7"/>
        <w:spacing w:before="0" w:beforeAutospacing="0" w:after="0" w:afterAutospacing="0" w:line="360" w:lineRule="auto"/>
        <w:ind w:firstLine="420"/>
        <w:rPr>
          <w:sz w:val="21"/>
          <w:szCs w:val="21"/>
        </w:rPr>
      </w:pPr>
      <w:r>
        <w:rPr>
          <w:rFonts w:hint="eastAsia"/>
          <w:sz w:val="21"/>
          <w:szCs w:val="21"/>
        </w:rPr>
        <w:t>标的指数成份股的价格可能受到政治因素、经济因素、上市公司经营状况、投资人心理和交易制度等各种因素的影响而波动，导致指数波动，从而使基金收益水平发生变化，产生风险。 </w:t>
      </w:r>
    </w:p>
    <w:p w14:paraId="711D9778">
      <w:pPr>
        <w:pStyle w:val="7"/>
        <w:spacing w:before="0" w:beforeAutospacing="0" w:after="0" w:afterAutospacing="0" w:line="360" w:lineRule="auto"/>
        <w:ind w:firstLine="420"/>
        <w:rPr>
          <w:sz w:val="21"/>
          <w:szCs w:val="21"/>
        </w:rPr>
      </w:pPr>
      <w:r>
        <w:rPr>
          <w:rFonts w:hint="eastAsia"/>
          <w:sz w:val="21"/>
          <w:szCs w:val="21"/>
        </w:rPr>
        <w:t>三、基金投资组合回报与标的指数回报偏离的风险</w:t>
      </w:r>
    </w:p>
    <w:p w14:paraId="4F65357B">
      <w:pPr>
        <w:pStyle w:val="7"/>
        <w:spacing w:before="0" w:beforeAutospacing="0" w:after="0" w:afterAutospacing="0" w:line="360" w:lineRule="auto"/>
        <w:ind w:firstLine="420"/>
        <w:rPr>
          <w:sz w:val="21"/>
          <w:szCs w:val="21"/>
        </w:rPr>
      </w:pPr>
      <w:r>
        <w:rPr>
          <w:rFonts w:hint="eastAsia"/>
          <w:sz w:val="21"/>
          <w:szCs w:val="21"/>
        </w:rPr>
        <w:t>以下因素可能使基金投资组合的收益率与标的指数的收益率发生偏离： </w:t>
      </w:r>
    </w:p>
    <w:p w14:paraId="6FE8E514">
      <w:pPr>
        <w:pStyle w:val="7"/>
        <w:spacing w:before="0" w:beforeAutospacing="0" w:after="0" w:afterAutospacing="0" w:line="360" w:lineRule="auto"/>
        <w:ind w:firstLine="420"/>
        <w:rPr>
          <w:sz w:val="21"/>
          <w:szCs w:val="21"/>
        </w:rPr>
      </w:pPr>
      <w:r>
        <w:rPr>
          <w:rFonts w:hint="eastAsia"/>
          <w:sz w:val="21"/>
          <w:szCs w:val="21"/>
        </w:rPr>
        <w:t>1、由于标的指数调整成份股或变更编制方法，使本基金在相应的组合调整中产生跟踪偏离度与跟踪误差。 </w:t>
      </w:r>
    </w:p>
    <w:p w14:paraId="2CF8D9AE">
      <w:pPr>
        <w:pStyle w:val="7"/>
        <w:spacing w:before="0" w:beforeAutospacing="0" w:after="0" w:afterAutospacing="0" w:line="360" w:lineRule="auto"/>
        <w:ind w:firstLine="420"/>
        <w:rPr>
          <w:sz w:val="21"/>
          <w:szCs w:val="21"/>
        </w:rPr>
      </w:pPr>
      <w:r>
        <w:rPr>
          <w:rFonts w:hint="eastAsia"/>
          <w:sz w:val="21"/>
          <w:szCs w:val="21"/>
        </w:rPr>
        <w:t>2、由于标的指数成份股发生送配股、增发等行为导致成份股在标的指数中的权重发生变化，使本基金在相应的组合调整中产生跟踪偏离度和跟踪误差。 </w:t>
      </w:r>
    </w:p>
    <w:p w14:paraId="052F68AC">
      <w:pPr>
        <w:pStyle w:val="7"/>
        <w:spacing w:before="0" w:beforeAutospacing="0" w:after="0" w:afterAutospacing="0" w:line="360" w:lineRule="auto"/>
        <w:ind w:firstLine="420"/>
        <w:rPr>
          <w:sz w:val="21"/>
          <w:szCs w:val="21"/>
        </w:rPr>
      </w:pPr>
      <w:r>
        <w:rPr>
          <w:rFonts w:hint="eastAsia"/>
          <w:sz w:val="21"/>
          <w:szCs w:val="21"/>
        </w:rPr>
        <w:t>3、成份股派发现金红利、成份股增发、送配等所获收益可能导致基金收益率偏离标的指数收益率，从而产生跟踪偏离度。 </w:t>
      </w:r>
    </w:p>
    <w:p w14:paraId="43CD0620">
      <w:pPr>
        <w:pStyle w:val="7"/>
        <w:spacing w:before="0" w:beforeAutospacing="0" w:after="0" w:afterAutospacing="0" w:line="360" w:lineRule="auto"/>
        <w:ind w:firstLine="420"/>
        <w:rPr>
          <w:sz w:val="21"/>
          <w:szCs w:val="21"/>
        </w:rPr>
      </w:pPr>
      <w:r>
        <w:rPr>
          <w:rFonts w:hint="eastAsia"/>
          <w:sz w:val="21"/>
          <w:szCs w:val="21"/>
        </w:rPr>
        <w:t>4、由于成份股停牌、摘牌或流动性差等原因使本基金无法及时调整投资组合或承担冲击成本而产生跟踪偏离度和跟踪误差。 </w:t>
      </w:r>
    </w:p>
    <w:p w14:paraId="4DA866AE">
      <w:pPr>
        <w:pStyle w:val="7"/>
        <w:spacing w:before="0" w:beforeAutospacing="0" w:after="0" w:afterAutospacing="0" w:line="360" w:lineRule="auto"/>
        <w:ind w:firstLine="420"/>
        <w:rPr>
          <w:sz w:val="21"/>
          <w:szCs w:val="21"/>
        </w:rPr>
      </w:pPr>
      <w:r>
        <w:rPr>
          <w:rFonts w:hint="eastAsia"/>
          <w:sz w:val="21"/>
          <w:szCs w:val="21"/>
        </w:rPr>
        <w:t>5、由于基金投资过程中的证券交易成本，以及基金管理费和托管费等费用的存在，使基金投资组合与标的指数产生跟踪偏离度与跟踪误差。 </w:t>
      </w:r>
    </w:p>
    <w:p w14:paraId="581A7AF8">
      <w:pPr>
        <w:pStyle w:val="7"/>
        <w:spacing w:before="0" w:beforeAutospacing="0" w:after="0" w:afterAutospacing="0" w:line="360" w:lineRule="auto"/>
        <w:ind w:firstLine="420"/>
        <w:rPr>
          <w:sz w:val="21"/>
          <w:szCs w:val="21"/>
        </w:rPr>
      </w:pPr>
      <w:r>
        <w:rPr>
          <w:rFonts w:hint="eastAsia"/>
          <w:sz w:val="21"/>
          <w:szCs w:val="21"/>
        </w:rPr>
        <w:t>6、在本基金指数化投资过程中，基金管理人的管理能力，例如跟踪指数的水平、技术手段、买入卖出的时机选择等，都会对本基金的收益产生影响，从而影响本基金对标的指数的跟踪程度。 </w:t>
      </w:r>
    </w:p>
    <w:p w14:paraId="46E80417">
      <w:pPr>
        <w:pStyle w:val="7"/>
        <w:spacing w:before="0" w:beforeAutospacing="0" w:after="0" w:afterAutospacing="0" w:line="360" w:lineRule="auto"/>
        <w:ind w:firstLine="420"/>
        <w:rPr>
          <w:sz w:val="21"/>
          <w:szCs w:val="21"/>
        </w:rPr>
      </w:pPr>
      <w:r>
        <w:rPr>
          <w:rFonts w:hint="eastAsia"/>
          <w:sz w:val="21"/>
          <w:szCs w:val="21"/>
        </w:rPr>
        <w:t>7、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287E4608">
      <w:pPr>
        <w:pStyle w:val="7"/>
        <w:spacing w:before="0" w:beforeAutospacing="0" w:after="0" w:afterAutospacing="0" w:line="360" w:lineRule="auto"/>
        <w:ind w:firstLine="420"/>
        <w:rPr>
          <w:sz w:val="21"/>
          <w:szCs w:val="21"/>
        </w:rPr>
      </w:pPr>
      <w:r>
        <w:rPr>
          <w:rFonts w:hint="eastAsia"/>
          <w:sz w:val="21"/>
          <w:szCs w:val="21"/>
        </w:rPr>
        <w:t>四、流动性风险</w:t>
      </w:r>
    </w:p>
    <w:p w14:paraId="61D50AC9">
      <w:pPr>
        <w:pStyle w:val="7"/>
        <w:spacing w:before="0" w:beforeAutospacing="0" w:after="0" w:afterAutospacing="0" w:line="360" w:lineRule="auto"/>
        <w:ind w:firstLine="420"/>
        <w:rPr>
          <w:sz w:val="21"/>
          <w:szCs w:val="21"/>
        </w:rPr>
      </w:pPr>
      <w:r>
        <w:rPr>
          <w:rFonts w:hint="eastAsia"/>
          <w:sz w:val="21"/>
          <w:szCs w:val="21"/>
        </w:rPr>
        <w:t>1、本基金交易方式带来的流动性风险 </w:t>
      </w:r>
    </w:p>
    <w:p w14:paraId="7279F378">
      <w:pPr>
        <w:pStyle w:val="7"/>
        <w:spacing w:before="0" w:beforeAutospacing="0" w:after="0" w:afterAutospacing="0" w:line="360" w:lineRule="auto"/>
        <w:ind w:firstLine="420"/>
        <w:rPr>
          <w:sz w:val="21"/>
          <w:szCs w:val="21"/>
        </w:rPr>
      </w:pPr>
      <w:r>
        <w:rPr>
          <w:rFonts w:hint="eastAsia"/>
          <w:sz w:val="21"/>
          <w:szCs w:val="21"/>
        </w:rPr>
        <w:t>①本基金最小申购、赎回单位设置较高，中小投资者只能在二级市场上按交易价格卖出基金份额。 </w:t>
      </w:r>
    </w:p>
    <w:p w14:paraId="3129B705">
      <w:pPr>
        <w:pStyle w:val="7"/>
        <w:spacing w:before="0" w:beforeAutospacing="0" w:after="0" w:afterAutospacing="0" w:line="360" w:lineRule="auto"/>
        <w:ind w:firstLine="420"/>
        <w:rPr>
          <w:sz w:val="21"/>
          <w:szCs w:val="21"/>
        </w:rPr>
      </w:pPr>
      <w:r>
        <w:rPr>
          <w:rFonts w:hint="eastAsia"/>
          <w:sz w:val="21"/>
          <w:szCs w:val="21"/>
        </w:rPr>
        <w:t>②基金将在深圳证券交易所上市交易，但不保证市场交易一定活跃；基金的交易可能因各种原因被暂停，当基金不再符合相关上市条件时，基金的上市也可能被终止。 </w:t>
      </w:r>
    </w:p>
    <w:p w14:paraId="4C5B8917">
      <w:pPr>
        <w:pStyle w:val="7"/>
        <w:spacing w:before="0" w:beforeAutospacing="0" w:after="0" w:afterAutospacing="0" w:line="360" w:lineRule="auto"/>
        <w:ind w:firstLine="420"/>
        <w:rPr>
          <w:sz w:val="21"/>
          <w:szCs w:val="21"/>
        </w:rPr>
      </w:pPr>
      <w:r>
        <w:rPr>
          <w:rFonts w:hint="eastAsia"/>
          <w:sz w:val="21"/>
          <w:szCs w:val="21"/>
        </w:rPr>
        <w:t>③尽管由于投资者可以进行申购、赎回，基金一般不会持续出现大幅折溢价情况。但是，基金的二级市场交易价格受市场供求的影响，可能高于（称为溢价）或低于（称为折价）基金份额净值。 </w:t>
      </w:r>
    </w:p>
    <w:p w14:paraId="6A657933">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 </w:t>
      </w:r>
    </w:p>
    <w:p w14:paraId="33B2F395">
      <w:pPr>
        <w:pStyle w:val="7"/>
        <w:spacing w:before="0" w:beforeAutospacing="0" w:after="0" w:afterAutospacing="0" w:line="360" w:lineRule="auto"/>
        <w:ind w:firstLine="420"/>
        <w:rPr>
          <w:sz w:val="21"/>
          <w:szCs w:val="21"/>
        </w:rPr>
      </w:pPr>
      <w:r>
        <w:rPr>
          <w:rFonts w:hint="eastAsia"/>
          <w:sz w:val="21"/>
          <w:szCs w:val="21"/>
        </w:rPr>
        <w:t>本基金投资对象是具有良好流动性的金融工具，包括依法发行上市的股票、国债期货、股指期货、股票期权、债券、货币市场工具、资产支持证券、债券回购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 </w:t>
      </w:r>
    </w:p>
    <w:p w14:paraId="7B6AFDF6">
      <w:pPr>
        <w:pStyle w:val="7"/>
        <w:spacing w:before="0" w:beforeAutospacing="0" w:after="0" w:afterAutospacing="0" w:line="360" w:lineRule="auto"/>
        <w:ind w:firstLine="420"/>
        <w:rPr>
          <w:sz w:val="21"/>
          <w:szCs w:val="21"/>
        </w:rPr>
      </w:pPr>
      <w:r>
        <w:rPr>
          <w:rFonts w:hint="eastAsia"/>
          <w:sz w:val="21"/>
          <w:szCs w:val="21"/>
        </w:rPr>
        <w:t>3、实施备用的流动性风险管理工具的情形、程序及对投资者的潜在影响 </w:t>
      </w:r>
    </w:p>
    <w:p w14:paraId="7B4ECC1E">
      <w:pPr>
        <w:pStyle w:val="7"/>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赎回的情形时，基金管理人将以保障投资者合法权益为前提，严格按照法律法规及基金合同的规定，谨慎选取暂停接受赎回申请、延缓支付赎回对价、暂停基金估值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对价支付等可能受到相应影响，基金管理人将严格依照法律法规及基金合同的约定进行操作，全面保障投资者的合法权益。 </w:t>
      </w:r>
    </w:p>
    <w:p w14:paraId="3D6568C0">
      <w:pPr>
        <w:pStyle w:val="7"/>
        <w:spacing w:before="0" w:beforeAutospacing="0" w:after="0" w:afterAutospacing="0" w:line="360" w:lineRule="auto"/>
        <w:ind w:firstLine="420"/>
        <w:rPr>
          <w:sz w:val="21"/>
          <w:szCs w:val="21"/>
        </w:rPr>
      </w:pPr>
      <w:r>
        <w:rPr>
          <w:rFonts w:hint="eastAsia"/>
          <w:sz w:val="21"/>
          <w:szCs w:val="21"/>
        </w:rPr>
        <w:t>五、标的指数变更的风险</w:t>
      </w:r>
    </w:p>
    <w:p w14:paraId="7A4FBAB3">
      <w:pPr>
        <w:pStyle w:val="7"/>
        <w:spacing w:before="0" w:beforeAutospacing="0" w:after="0" w:afterAutospacing="0" w:line="360" w:lineRule="auto"/>
        <w:ind w:firstLine="420"/>
        <w:rPr>
          <w:sz w:val="21"/>
          <w:szCs w:val="21"/>
        </w:rPr>
      </w:pPr>
      <w:r>
        <w:rPr>
          <w:rFonts w:hint="eastAsia"/>
          <w:sz w:val="21"/>
          <w:szCs w:val="21"/>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 </w:t>
      </w:r>
    </w:p>
    <w:p w14:paraId="78C91C29">
      <w:pPr>
        <w:pStyle w:val="7"/>
        <w:spacing w:before="0" w:beforeAutospacing="0" w:after="0" w:afterAutospacing="0" w:line="360" w:lineRule="auto"/>
        <w:ind w:firstLine="420"/>
        <w:rPr>
          <w:sz w:val="21"/>
          <w:szCs w:val="21"/>
        </w:rPr>
      </w:pPr>
      <w:r>
        <w:rPr>
          <w:rFonts w:hint="eastAsia"/>
          <w:sz w:val="21"/>
          <w:szCs w:val="21"/>
        </w:rPr>
        <w:t>六、指数编制机构停止服务的风险</w:t>
      </w:r>
    </w:p>
    <w:p w14:paraId="590D6276">
      <w:pPr>
        <w:pStyle w:val="7"/>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向中国证监会报告并提出解决方案，如转换运作方式、与其他基金合并或者终止基金合同等，并在6个月内召集基金份额持有人大会。因此，投资人将面临转换运作方式、与其他基金合并或者终止基金合同等风险。 </w:t>
      </w:r>
    </w:p>
    <w:p w14:paraId="1A828225">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32CC6DFE">
      <w:pPr>
        <w:pStyle w:val="7"/>
        <w:spacing w:before="0" w:beforeAutospacing="0" w:after="0" w:afterAutospacing="0" w:line="360" w:lineRule="auto"/>
        <w:ind w:firstLine="420"/>
        <w:rPr>
          <w:sz w:val="21"/>
          <w:szCs w:val="21"/>
        </w:rPr>
      </w:pPr>
      <w:r>
        <w:rPr>
          <w:rFonts w:hint="eastAsia"/>
          <w:sz w:val="21"/>
          <w:szCs w:val="21"/>
        </w:rPr>
        <w:t>七、跟踪误差控制未达约定目标的风险</w:t>
      </w:r>
    </w:p>
    <w:p w14:paraId="3CEE50E4">
      <w:pPr>
        <w:pStyle w:val="7"/>
        <w:spacing w:before="0" w:beforeAutospacing="0" w:after="0" w:afterAutospacing="0" w:line="360" w:lineRule="auto"/>
        <w:ind w:firstLine="420"/>
        <w:rPr>
          <w:sz w:val="21"/>
          <w:szCs w:val="21"/>
        </w:rPr>
      </w:pPr>
      <w:r>
        <w:rPr>
          <w:rFonts w:hint="eastAsia"/>
          <w:sz w:val="21"/>
          <w:szCs w:val="21"/>
        </w:rPr>
        <w:t>在正常情况下，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 </w:t>
      </w:r>
    </w:p>
    <w:p w14:paraId="10A8F440">
      <w:pPr>
        <w:pStyle w:val="7"/>
        <w:spacing w:before="0" w:beforeAutospacing="0" w:after="0" w:afterAutospacing="0" w:line="360" w:lineRule="auto"/>
        <w:ind w:firstLine="420"/>
        <w:rPr>
          <w:sz w:val="21"/>
          <w:szCs w:val="21"/>
        </w:rPr>
      </w:pPr>
      <w:r>
        <w:rPr>
          <w:rFonts w:hint="eastAsia"/>
          <w:sz w:val="21"/>
          <w:szCs w:val="21"/>
        </w:rPr>
        <w:t>八、成份股停牌的风险</w:t>
      </w:r>
    </w:p>
    <w:p w14:paraId="12002167">
      <w:pPr>
        <w:pStyle w:val="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 </w:t>
      </w:r>
    </w:p>
    <w:p w14:paraId="42BA7AFE">
      <w:pPr>
        <w:pStyle w:val="7"/>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 </w:t>
      </w:r>
    </w:p>
    <w:p w14:paraId="46260A03">
      <w:pPr>
        <w:pStyle w:val="7"/>
        <w:spacing w:before="0" w:beforeAutospacing="0" w:after="0" w:afterAutospacing="0" w:line="360" w:lineRule="auto"/>
        <w:ind w:firstLine="420"/>
        <w:rPr>
          <w:sz w:val="21"/>
          <w:szCs w:val="21"/>
        </w:rPr>
      </w:pPr>
      <w:r>
        <w:rPr>
          <w:rFonts w:hint="eastAsia"/>
          <w:sz w:val="21"/>
          <w:szCs w:val="21"/>
        </w:rPr>
        <w:t>2、停牌成份股可能因其权重占比、市场复牌预期、现金替代标识等因素影响本基金二级市场价格的折溢价水平。 </w:t>
      </w:r>
    </w:p>
    <w:p w14:paraId="4237F086">
      <w:pPr>
        <w:pStyle w:val="7"/>
        <w:spacing w:before="0" w:beforeAutospacing="0" w:after="0" w:afterAutospacing="0" w:line="360" w:lineRule="auto"/>
        <w:ind w:firstLine="420"/>
        <w:rPr>
          <w:sz w:val="21"/>
          <w:szCs w:val="21"/>
        </w:rPr>
      </w:pPr>
      <w:r>
        <w:rPr>
          <w:rFonts w:hint="eastAsia"/>
          <w:sz w:val="21"/>
          <w:szCs w:val="21"/>
        </w:rPr>
        <w:t>3、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 </w:t>
      </w:r>
    </w:p>
    <w:p w14:paraId="3F90A3CC">
      <w:pPr>
        <w:pStyle w:val="7"/>
        <w:spacing w:before="0" w:beforeAutospacing="0" w:after="0" w:afterAutospacing="0" w:line="360" w:lineRule="auto"/>
        <w:ind w:firstLine="420"/>
        <w:rPr>
          <w:sz w:val="21"/>
          <w:szCs w:val="21"/>
        </w:rPr>
      </w:pPr>
      <w:r>
        <w:rPr>
          <w:rFonts w:hint="eastAsia"/>
          <w:sz w:val="21"/>
          <w:szCs w:val="21"/>
        </w:rPr>
        <w:t>4、在极端情况下，标的指数成份股可能大面积停牌，基金可能无法及时卖出成份股以获取足额的符合要求的赎回对价，由此基金管理人可能在申购赎回清单中设置较低的赎回份额上限或者采取暂停赎回的措施，投资者将面临无法赎回全部或部分基金份额的风险。 </w:t>
      </w:r>
    </w:p>
    <w:p w14:paraId="170F555B">
      <w:pPr>
        <w:pStyle w:val="7"/>
        <w:spacing w:before="0" w:beforeAutospacing="0" w:after="0" w:afterAutospacing="0" w:line="360" w:lineRule="auto"/>
        <w:ind w:firstLine="420"/>
        <w:rPr>
          <w:sz w:val="21"/>
          <w:szCs w:val="21"/>
        </w:rPr>
      </w:pPr>
      <w:r>
        <w:rPr>
          <w:rFonts w:hint="eastAsia"/>
          <w:sz w:val="21"/>
          <w:szCs w:val="21"/>
        </w:rPr>
        <w:t>九、成份股退市的风险</w:t>
      </w:r>
    </w:p>
    <w:p w14:paraId="23FA2B2E">
      <w:pPr>
        <w:pStyle w:val="7"/>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7B13DC6F">
      <w:pPr>
        <w:pStyle w:val="7"/>
        <w:spacing w:before="0" w:beforeAutospacing="0" w:after="0" w:afterAutospacing="0" w:line="360" w:lineRule="auto"/>
        <w:ind w:firstLine="420"/>
        <w:rPr>
          <w:sz w:val="21"/>
          <w:szCs w:val="21"/>
        </w:rPr>
      </w:pPr>
      <w:r>
        <w:rPr>
          <w:rFonts w:hint="eastAsia"/>
          <w:sz w:val="21"/>
          <w:szCs w:val="21"/>
        </w:rPr>
        <w:t>十、基金份额二级市场交易价格折溢价的风险</w:t>
      </w:r>
    </w:p>
    <w:p w14:paraId="62E4A9AB">
      <w:pPr>
        <w:pStyle w:val="7"/>
        <w:spacing w:before="0" w:beforeAutospacing="0" w:after="0" w:afterAutospacing="0" w:line="360" w:lineRule="auto"/>
        <w:ind w:firstLine="420"/>
        <w:rPr>
          <w:sz w:val="21"/>
          <w:szCs w:val="21"/>
        </w:rPr>
      </w:pPr>
      <w:r>
        <w:rPr>
          <w:rFonts w:hint="eastAsia"/>
          <w:sz w:val="21"/>
          <w:szCs w:val="21"/>
        </w:rPr>
        <w:t>基金份额在证券交易所的交易价格受诸多因素影响，可能存在不同于基金份额净值的情形，即存在价格折溢价的风险。 </w:t>
      </w:r>
    </w:p>
    <w:p w14:paraId="7D5BC4EA">
      <w:pPr>
        <w:pStyle w:val="7"/>
        <w:spacing w:before="0" w:beforeAutospacing="0" w:after="0" w:afterAutospacing="0" w:line="360" w:lineRule="auto"/>
        <w:ind w:firstLine="420"/>
        <w:rPr>
          <w:sz w:val="21"/>
          <w:szCs w:val="21"/>
        </w:rPr>
      </w:pPr>
      <w:r>
        <w:rPr>
          <w:rFonts w:hint="eastAsia"/>
          <w:sz w:val="21"/>
          <w:szCs w:val="21"/>
        </w:rPr>
        <w:t>十一、基金份额参考净值决策和基金份额参考净值计算错误的风险</w:t>
      </w:r>
    </w:p>
    <w:p w14:paraId="6B89F067">
      <w:pPr>
        <w:pStyle w:val="7"/>
        <w:spacing w:before="0" w:beforeAutospacing="0" w:after="0" w:afterAutospacing="0" w:line="360" w:lineRule="auto"/>
        <w:ind w:firstLine="420"/>
        <w:rPr>
          <w:sz w:val="21"/>
          <w:szCs w:val="21"/>
        </w:rPr>
      </w:pPr>
      <w:r>
        <w:rPr>
          <w:rFonts w:hint="eastAsia"/>
          <w:sz w:val="21"/>
          <w:szCs w:val="21"/>
        </w:rPr>
        <w:t>基金管理人或基金管理人委托的机构在开市后根据基金管理人提供的申购赎回清单和组合证券内各只证券的实时成交数据及汇率数据计算并通过深圳证券交易所发布的基金份额参考净值，供投资人交易、申购、赎回基金份额时参考。基金份额参考净值与实时的基金份额净值可能存在差异，基金份额参考净值计算可能出现错误，投资人若参考基金份额参考净值进行投资决策可能导致损失，需投资人自行承担。 </w:t>
      </w:r>
    </w:p>
    <w:p w14:paraId="36A5093A">
      <w:pPr>
        <w:pStyle w:val="7"/>
        <w:spacing w:before="0" w:beforeAutospacing="0" w:after="0" w:afterAutospacing="0" w:line="360" w:lineRule="auto"/>
        <w:ind w:firstLine="420"/>
        <w:rPr>
          <w:sz w:val="21"/>
          <w:szCs w:val="21"/>
        </w:rPr>
      </w:pPr>
      <w:r>
        <w:rPr>
          <w:rFonts w:hint="eastAsia"/>
          <w:sz w:val="21"/>
          <w:szCs w:val="21"/>
        </w:rPr>
        <w:t>十二、退市风险</w:t>
      </w:r>
    </w:p>
    <w:p w14:paraId="6614A401">
      <w:pPr>
        <w:pStyle w:val="7"/>
        <w:spacing w:before="0" w:beforeAutospacing="0" w:after="0" w:afterAutospacing="0" w:line="360" w:lineRule="auto"/>
        <w:ind w:firstLine="420"/>
        <w:rPr>
          <w:sz w:val="21"/>
          <w:szCs w:val="21"/>
        </w:rPr>
      </w:pPr>
      <w:r>
        <w:rPr>
          <w:rFonts w:hint="eastAsia"/>
          <w:sz w:val="21"/>
          <w:szCs w:val="21"/>
        </w:rPr>
        <w:t>因本基金不再符合证券交易所上市条件被终止上市，或被基金份额持有人大会决议提前终止上市等原因，导致基金份额不能继续进行二级市场交易的风险。 </w:t>
      </w:r>
    </w:p>
    <w:p w14:paraId="3A02CF10">
      <w:pPr>
        <w:pStyle w:val="7"/>
        <w:spacing w:before="0" w:beforeAutospacing="0" w:after="0" w:afterAutospacing="0" w:line="360" w:lineRule="auto"/>
        <w:ind w:firstLine="420"/>
        <w:rPr>
          <w:sz w:val="21"/>
          <w:szCs w:val="21"/>
        </w:rPr>
      </w:pPr>
      <w:r>
        <w:rPr>
          <w:rFonts w:hint="eastAsia"/>
          <w:sz w:val="21"/>
          <w:szCs w:val="21"/>
        </w:rPr>
        <w:t>十三、投资人申购失败的风险</w:t>
      </w:r>
    </w:p>
    <w:p w14:paraId="7F4DCB51">
      <w:pPr>
        <w:pStyle w:val="7"/>
        <w:spacing w:before="0" w:beforeAutospacing="0" w:after="0" w:afterAutospacing="0" w:line="360" w:lineRule="auto"/>
        <w:ind w:firstLine="420"/>
        <w:rPr>
          <w:sz w:val="21"/>
          <w:szCs w:val="21"/>
        </w:rPr>
      </w:pPr>
      <w:r>
        <w:rPr>
          <w:rFonts w:hint="eastAsia"/>
          <w:sz w:val="21"/>
          <w:szCs w:val="21"/>
        </w:rPr>
        <w:t>本基金申购时，如果投资人未能提供符合要求的申购对价，申购申请可能失败。基金还可能在申购赎回清单中设定申购份额上限，如果投资人的申购申请接受后将使当日申购总份额超过申购份额上限，则投资人的申购申请可能失败。此外，如果申购赎回代理机构交收资金不足，登记机构将按照投资人申报时间先后顺序逐笔检查申购赎回代理机构的资金是否足额并相应确认申购份额，对于后申购的投资人，不论是否备足资金，都可能面临申购失败的风险。 </w:t>
      </w:r>
    </w:p>
    <w:p w14:paraId="63483263">
      <w:pPr>
        <w:pStyle w:val="7"/>
        <w:spacing w:before="0" w:beforeAutospacing="0" w:after="0" w:afterAutospacing="0" w:line="360" w:lineRule="auto"/>
        <w:ind w:firstLine="420"/>
        <w:rPr>
          <w:sz w:val="21"/>
          <w:szCs w:val="21"/>
        </w:rPr>
      </w:pPr>
      <w:r>
        <w:rPr>
          <w:rFonts w:hint="eastAsia"/>
          <w:sz w:val="21"/>
          <w:szCs w:val="21"/>
        </w:rPr>
        <w:t>十四、投资人赎回失败的风险</w:t>
      </w:r>
    </w:p>
    <w:p w14:paraId="4901D744">
      <w:pPr>
        <w:pStyle w:val="7"/>
        <w:spacing w:before="0" w:beforeAutospacing="0" w:after="0" w:afterAutospacing="0" w:line="360" w:lineRule="auto"/>
        <w:ind w:firstLine="420"/>
        <w:rPr>
          <w:sz w:val="21"/>
          <w:szCs w:val="21"/>
        </w:rPr>
      </w:pPr>
      <w:r>
        <w:rPr>
          <w:rFonts w:hint="eastAsia"/>
          <w:sz w:val="21"/>
          <w:szCs w:val="21"/>
        </w:rPr>
        <w:t>投资人在提出场内份额赎回申请时，如基金组合中不具备足额的符合条件的赎回对价，可能导致场内份额赎回失败的情形。 </w:t>
      </w:r>
    </w:p>
    <w:p w14:paraId="3CC7F84E">
      <w:pPr>
        <w:pStyle w:val="7"/>
        <w:spacing w:before="0" w:beforeAutospacing="0" w:after="0" w:afterAutospacing="0" w:line="360" w:lineRule="auto"/>
        <w:ind w:firstLine="420"/>
        <w:rPr>
          <w:sz w:val="21"/>
          <w:szCs w:val="21"/>
        </w:rPr>
      </w:pPr>
      <w:r>
        <w:rPr>
          <w:rFonts w:hint="eastAsia"/>
          <w:sz w:val="21"/>
          <w:szCs w:val="21"/>
        </w:rPr>
        <w:t>基金还可能在申购赎回清单中设定赎回份额上限，如果投资人的赎回申请接受后将使当日赎回总份额超过赎回份额上限，则投资人的赎回申请可能失败。 </w:t>
      </w:r>
    </w:p>
    <w:p w14:paraId="18DB0A56">
      <w:pPr>
        <w:pStyle w:val="7"/>
        <w:spacing w:before="0" w:beforeAutospacing="0" w:after="0" w:afterAutospacing="0" w:line="360" w:lineRule="auto"/>
        <w:ind w:firstLine="420"/>
        <w:rPr>
          <w:sz w:val="21"/>
          <w:szCs w:val="21"/>
        </w:rPr>
      </w:pPr>
      <w:r>
        <w:rPr>
          <w:rFonts w:hint="eastAsia"/>
          <w:sz w:val="21"/>
          <w:szCs w:val="21"/>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 </w:t>
      </w:r>
    </w:p>
    <w:p w14:paraId="564ED6C1">
      <w:pPr>
        <w:pStyle w:val="7"/>
        <w:spacing w:before="0" w:beforeAutospacing="0" w:after="0" w:afterAutospacing="0" w:line="360" w:lineRule="auto"/>
        <w:ind w:firstLine="420"/>
        <w:rPr>
          <w:sz w:val="21"/>
          <w:szCs w:val="21"/>
        </w:rPr>
      </w:pPr>
      <w:r>
        <w:rPr>
          <w:rFonts w:hint="eastAsia"/>
          <w:sz w:val="21"/>
          <w:szCs w:val="21"/>
        </w:rPr>
        <w:t>投资人在赎回时，因个别证券出现停牌等原因导致基金管理人无法在短期内卖出证券，从而导致赎回周期较长的风险。 </w:t>
      </w:r>
    </w:p>
    <w:p w14:paraId="2FE11EB9">
      <w:pPr>
        <w:pStyle w:val="7"/>
        <w:spacing w:before="0" w:beforeAutospacing="0" w:after="0" w:afterAutospacing="0" w:line="360" w:lineRule="auto"/>
        <w:ind w:firstLine="420"/>
        <w:rPr>
          <w:sz w:val="21"/>
          <w:szCs w:val="21"/>
        </w:rPr>
      </w:pPr>
      <w:r>
        <w:rPr>
          <w:rFonts w:hint="eastAsia"/>
          <w:sz w:val="21"/>
          <w:szCs w:val="21"/>
        </w:rPr>
        <w:t>当发生不可抗力、证券交易所临时停市或其他异常情况时，本基金可能暂停办理赎回，投资人面临无法及时赎回的风险。 </w:t>
      </w:r>
    </w:p>
    <w:p w14:paraId="39A0849D">
      <w:pPr>
        <w:pStyle w:val="7"/>
        <w:spacing w:before="0" w:beforeAutospacing="0" w:after="0" w:afterAutospacing="0" w:line="360" w:lineRule="auto"/>
        <w:ind w:firstLine="420"/>
        <w:rPr>
          <w:sz w:val="21"/>
          <w:szCs w:val="21"/>
        </w:rPr>
      </w:pPr>
      <w:r>
        <w:rPr>
          <w:rFonts w:hint="eastAsia"/>
          <w:sz w:val="21"/>
          <w:szCs w:val="21"/>
        </w:rPr>
        <w:t>十五、以现金替代方式的风险 </w:t>
      </w:r>
    </w:p>
    <w:p w14:paraId="2C379F19">
      <w:pPr>
        <w:pStyle w:val="7"/>
        <w:spacing w:before="0" w:beforeAutospacing="0" w:after="0" w:afterAutospacing="0" w:line="360" w:lineRule="auto"/>
        <w:ind w:firstLine="420"/>
        <w:rPr>
          <w:sz w:val="21"/>
          <w:szCs w:val="21"/>
        </w:rPr>
      </w:pPr>
      <w:r>
        <w:rPr>
          <w:rFonts w:hint="eastAsia"/>
          <w:sz w:val="21"/>
          <w:szCs w:val="21"/>
        </w:rPr>
        <w:t>本基金在申购赎回环节的“可以现金替代”方式，该方式不同于现有其他现金替代方式，可能给申购和赎回投资者带来价格的不确定性，从而间接影响本基金二级市场价格的折溢价水平。 </w:t>
      </w:r>
    </w:p>
    <w:p w14:paraId="4BAE1D3E">
      <w:pPr>
        <w:pStyle w:val="7"/>
        <w:spacing w:before="0" w:beforeAutospacing="0" w:after="0" w:afterAutospacing="0" w:line="360" w:lineRule="auto"/>
        <w:ind w:firstLine="420"/>
        <w:rPr>
          <w:sz w:val="21"/>
          <w:szCs w:val="21"/>
        </w:rPr>
      </w:pPr>
      <w:r>
        <w:rPr>
          <w:rFonts w:hint="eastAsia"/>
          <w:sz w:val="21"/>
          <w:szCs w:val="21"/>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可以现金替代”的证券进行处理，投资者的利益可能受到影响。 </w:t>
      </w:r>
    </w:p>
    <w:p w14:paraId="6901E3B0">
      <w:pPr>
        <w:pStyle w:val="7"/>
        <w:spacing w:before="0" w:beforeAutospacing="0" w:after="0" w:afterAutospacing="0" w:line="360" w:lineRule="auto"/>
        <w:ind w:firstLine="420"/>
        <w:rPr>
          <w:sz w:val="21"/>
          <w:szCs w:val="21"/>
        </w:rPr>
      </w:pPr>
      <w:r>
        <w:rPr>
          <w:rFonts w:hint="eastAsia"/>
          <w:sz w:val="21"/>
          <w:szCs w:val="21"/>
        </w:rPr>
        <w:t>十六、基金场内份额赎回对价的变现风险</w:t>
      </w:r>
    </w:p>
    <w:p w14:paraId="5D2D7756">
      <w:pPr>
        <w:pStyle w:val="7"/>
        <w:spacing w:before="0" w:beforeAutospacing="0" w:after="0" w:afterAutospacing="0" w:line="360" w:lineRule="auto"/>
        <w:ind w:firstLine="420"/>
        <w:rPr>
          <w:sz w:val="21"/>
          <w:szCs w:val="21"/>
        </w:rPr>
      </w:pPr>
      <w:r>
        <w:rPr>
          <w:rFonts w:hint="eastAsia"/>
          <w:sz w:val="21"/>
          <w:szCs w:val="21"/>
        </w:rPr>
        <w:t>本基金赎回对价包括现金替代、现金差额等，在组合证券变现过程中，由于市场变化、部分成份股流动性差等因素，导致投资人变现后的价值与赎回时赎回对价的价值有差异，存在变现风险。 </w:t>
      </w:r>
    </w:p>
    <w:p w14:paraId="3DB9D666">
      <w:pPr>
        <w:pStyle w:val="7"/>
        <w:spacing w:before="0" w:beforeAutospacing="0" w:after="0" w:afterAutospacing="0" w:line="360" w:lineRule="auto"/>
        <w:ind w:firstLine="420"/>
        <w:rPr>
          <w:sz w:val="21"/>
          <w:szCs w:val="21"/>
        </w:rPr>
      </w:pPr>
      <w:r>
        <w:rPr>
          <w:rFonts w:hint="eastAsia"/>
          <w:sz w:val="21"/>
          <w:szCs w:val="21"/>
        </w:rPr>
        <w:t>十七、第三方机构服务的风险</w:t>
      </w:r>
    </w:p>
    <w:p w14:paraId="09326D04">
      <w:pPr>
        <w:pStyle w:val="7"/>
        <w:spacing w:before="0" w:beforeAutospacing="0" w:after="0" w:afterAutospacing="0" w:line="360" w:lineRule="auto"/>
        <w:ind w:firstLine="420"/>
        <w:rPr>
          <w:sz w:val="21"/>
          <w:szCs w:val="21"/>
        </w:rPr>
      </w:pPr>
      <w:r>
        <w:rPr>
          <w:rFonts w:hint="eastAsia"/>
          <w:sz w:val="21"/>
          <w:szCs w:val="21"/>
        </w:rPr>
        <w:t>本基金的多项服务委托第三方机构办理，存在以下风险： </w:t>
      </w:r>
    </w:p>
    <w:p w14:paraId="3236CAD7">
      <w:pPr>
        <w:pStyle w:val="7"/>
        <w:spacing w:before="0" w:beforeAutospacing="0" w:after="0" w:afterAutospacing="0" w:line="360" w:lineRule="auto"/>
        <w:ind w:firstLine="420"/>
        <w:rPr>
          <w:sz w:val="21"/>
          <w:szCs w:val="21"/>
        </w:rPr>
      </w:pPr>
      <w:r>
        <w:rPr>
          <w:rFonts w:hint="eastAsia"/>
          <w:sz w:val="21"/>
          <w:szCs w:val="21"/>
        </w:rPr>
        <w:t>1、申购赎回代理券商因多种原因，导致代理申购、赎回业务受到限制、暂停或终止，由此影响对投资人申购赎回服务的风险。 </w:t>
      </w:r>
    </w:p>
    <w:p w14:paraId="26A77515">
      <w:pPr>
        <w:pStyle w:val="7"/>
        <w:spacing w:before="0" w:beforeAutospacing="0" w:after="0" w:afterAutospacing="0" w:line="360" w:lineRule="auto"/>
        <w:ind w:firstLine="420"/>
        <w:rPr>
          <w:sz w:val="21"/>
          <w:szCs w:val="21"/>
        </w:rPr>
      </w:pPr>
      <w:r>
        <w:rPr>
          <w:rFonts w:hint="eastAsia"/>
          <w:sz w:val="21"/>
          <w:szCs w:val="21"/>
        </w:rPr>
        <w:t>2、登记机构可能调整结算制度，如实施货银对付制度，对投资人基金份额及资金的结算方式发生变化，制度调整可能给投资人带来风险。同样的风险还可能来自于证券交易所及其他代理机构。 </w:t>
      </w:r>
    </w:p>
    <w:p w14:paraId="5544EE0C">
      <w:pPr>
        <w:pStyle w:val="7"/>
        <w:spacing w:before="0" w:beforeAutospacing="0" w:after="0" w:afterAutospacing="0" w:line="360" w:lineRule="auto"/>
        <w:ind w:firstLine="420"/>
        <w:rPr>
          <w:sz w:val="21"/>
          <w:szCs w:val="21"/>
        </w:rPr>
      </w:pPr>
      <w:r>
        <w:rPr>
          <w:rFonts w:hint="eastAsia"/>
          <w:sz w:val="21"/>
          <w:szCs w:val="21"/>
        </w:rPr>
        <w:t>3、证券交易所、登记机构、基金托管人及其他代理机构可能违约，导致基金或投资人利益受损的风险。 </w:t>
      </w:r>
    </w:p>
    <w:p w14:paraId="589BB495">
      <w:pPr>
        <w:pStyle w:val="7"/>
        <w:spacing w:before="0" w:beforeAutospacing="0" w:after="0" w:afterAutospacing="0" w:line="360" w:lineRule="auto"/>
        <w:ind w:firstLine="420"/>
        <w:rPr>
          <w:sz w:val="21"/>
          <w:szCs w:val="21"/>
        </w:rPr>
      </w:pPr>
      <w:r>
        <w:rPr>
          <w:rFonts w:hint="eastAsia"/>
          <w:sz w:val="21"/>
          <w:szCs w:val="21"/>
        </w:rPr>
        <w:t>十八、参与股指期货交易风险</w:t>
      </w:r>
    </w:p>
    <w:p w14:paraId="2B7DCDB6">
      <w:pPr>
        <w:pStyle w:val="7"/>
        <w:spacing w:before="0" w:beforeAutospacing="0" w:after="0" w:afterAutospacing="0" w:line="360" w:lineRule="auto"/>
        <w:ind w:firstLine="420"/>
        <w:rPr>
          <w:sz w:val="21"/>
          <w:szCs w:val="21"/>
        </w:rPr>
      </w:pPr>
      <w:r>
        <w:rPr>
          <w:rFonts w:hint="eastAsia"/>
          <w:sz w:val="21"/>
          <w:szCs w:val="21"/>
        </w:rPr>
        <w:t>本基金的投资范围包括股指期货，股指期货的主要风险包括，杠杆风险、基差风险、合约展期风险、模型风险和强制平仓风险等。</w:t>
      </w:r>
    </w:p>
    <w:p w14:paraId="2587AFDE">
      <w:pPr>
        <w:pStyle w:val="7"/>
        <w:spacing w:before="0" w:beforeAutospacing="0" w:after="0" w:afterAutospacing="0" w:line="360" w:lineRule="auto"/>
        <w:ind w:firstLine="420"/>
        <w:rPr>
          <w:sz w:val="21"/>
          <w:szCs w:val="21"/>
        </w:rPr>
      </w:pPr>
      <w:r>
        <w:rPr>
          <w:rFonts w:hint="eastAsia"/>
          <w:sz w:val="21"/>
          <w:szCs w:val="21"/>
        </w:rPr>
        <w:t>1、杠杆风险</w:t>
      </w:r>
    </w:p>
    <w:p w14:paraId="1DE728E5">
      <w:pPr>
        <w:pStyle w:val="7"/>
        <w:spacing w:before="0" w:beforeAutospacing="0" w:after="0" w:afterAutospacing="0" w:line="360" w:lineRule="auto"/>
        <w:ind w:firstLine="420"/>
        <w:rPr>
          <w:sz w:val="21"/>
          <w:szCs w:val="21"/>
        </w:rPr>
      </w:pPr>
      <w:r>
        <w:rPr>
          <w:rFonts w:hint="eastAsia"/>
          <w:sz w:val="21"/>
          <w:szCs w:val="21"/>
        </w:rPr>
        <w:t>股指期货投资具有高杠杆特性，因此会放大基础资产所产生的盈利或损失，加大本基金收益的波动性。</w:t>
      </w:r>
    </w:p>
    <w:p w14:paraId="3921E0A9">
      <w:pPr>
        <w:pStyle w:val="7"/>
        <w:spacing w:before="0" w:beforeAutospacing="0" w:after="0" w:afterAutospacing="0" w:line="360" w:lineRule="auto"/>
        <w:ind w:firstLine="420"/>
        <w:rPr>
          <w:sz w:val="21"/>
          <w:szCs w:val="21"/>
        </w:rPr>
      </w:pPr>
      <w:r>
        <w:rPr>
          <w:rFonts w:hint="eastAsia"/>
          <w:sz w:val="21"/>
          <w:szCs w:val="21"/>
        </w:rPr>
        <w:t>2、基差风险</w:t>
      </w:r>
    </w:p>
    <w:p w14:paraId="51D8D8A7">
      <w:pPr>
        <w:pStyle w:val="7"/>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14:paraId="6BDCBB42">
      <w:pPr>
        <w:pStyle w:val="7"/>
        <w:spacing w:before="0" w:beforeAutospacing="0" w:after="0" w:afterAutospacing="0" w:line="360" w:lineRule="auto"/>
        <w:ind w:firstLine="420"/>
        <w:rPr>
          <w:sz w:val="21"/>
          <w:szCs w:val="21"/>
        </w:rPr>
      </w:pPr>
      <w:r>
        <w:rPr>
          <w:rFonts w:hint="eastAsia"/>
          <w:sz w:val="21"/>
          <w:szCs w:val="21"/>
        </w:rPr>
        <w:t>3、合约展期风险</w:t>
      </w:r>
    </w:p>
    <w:p w14:paraId="3562FB1D">
      <w:pPr>
        <w:pStyle w:val="7"/>
        <w:spacing w:before="0" w:beforeAutospacing="0" w:after="0" w:afterAutospacing="0" w:line="360" w:lineRule="auto"/>
        <w:ind w:firstLine="420"/>
        <w:rPr>
          <w:sz w:val="21"/>
          <w:szCs w:val="21"/>
        </w:rPr>
      </w:pPr>
      <w:r>
        <w:rPr>
          <w:rFonts w:hint="eastAsia"/>
          <w:sz w:val="21"/>
          <w:szCs w:val="21"/>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14:paraId="4DD9F609">
      <w:pPr>
        <w:pStyle w:val="7"/>
        <w:spacing w:before="0" w:beforeAutospacing="0" w:after="0" w:afterAutospacing="0" w:line="360" w:lineRule="auto"/>
        <w:ind w:firstLine="420"/>
        <w:rPr>
          <w:sz w:val="21"/>
          <w:szCs w:val="21"/>
        </w:rPr>
      </w:pPr>
      <w:r>
        <w:rPr>
          <w:rFonts w:hint="eastAsia"/>
          <w:sz w:val="21"/>
          <w:szCs w:val="21"/>
        </w:rPr>
        <w:t>4、模型风险</w:t>
      </w:r>
    </w:p>
    <w:p w14:paraId="4D6B4BA1">
      <w:pPr>
        <w:pStyle w:val="7"/>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228AC3EC">
      <w:pPr>
        <w:pStyle w:val="7"/>
        <w:spacing w:before="0" w:beforeAutospacing="0" w:after="0" w:afterAutospacing="0" w:line="360" w:lineRule="auto"/>
        <w:ind w:firstLine="420"/>
        <w:rPr>
          <w:sz w:val="21"/>
          <w:szCs w:val="21"/>
        </w:rPr>
      </w:pPr>
      <w:r>
        <w:rPr>
          <w:rFonts w:hint="eastAsia"/>
          <w:sz w:val="21"/>
          <w:szCs w:val="21"/>
        </w:rPr>
        <w:t>5、强制平仓的风险</w:t>
      </w:r>
    </w:p>
    <w:p w14:paraId="115DEE0D">
      <w:pPr>
        <w:pStyle w:val="7"/>
        <w:spacing w:before="0" w:beforeAutospacing="0" w:after="0" w:afterAutospacing="0" w:line="360" w:lineRule="auto"/>
        <w:ind w:firstLine="420"/>
        <w:rPr>
          <w:sz w:val="21"/>
          <w:szCs w:val="21"/>
        </w:rPr>
      </w:pPr>
      <w:r>
        <w:rPr>
          <w:rFonts w:hint="eastAsia"/>
          <w:sz w:val="21"/>
          <w:szCs w:val="21"/>
        </w:rPr>
        <w:t>股指期货采用每日无负债结算制度，如果没有在规定的时间内补足保证金，按规定将被强制平仓，可能给投资带来重大损失。 </w:t>
      </w:r>
    </w:p>
    <w:p w14:paraId="6B814FFF">
      <w:pPr>
        <w:pStyle w:val="7"/>
        <w:spacing w:before="0" w:beforeAutospacing="0" w:after="0" w:afterAutospacing="0" w:line="360" w:lineRule="auto"/>
        <w:ind w:firstLine="420"/>
        <w:rPr>
          <w:sz w:val="21"/>
          <w:szCs w:val="21"/>
        </w:rPr>
      </w:pPr>
      <w:r>
        <w:rPr>
          <w:rFonts w:hint="eastAsia"/>
          <w:sz w:val="21"/>
          <w:szCs w:val="21"/>
        </w:rPr>
        <w:t>十九、参与国债期货交易风险</w:t>
      </w:r>
    </w:p>
    <w:p w14:paraId="428E142E">
      <w:pPr>
        <w:pStyle w:val="7"/>
        <w:spacing w:before="0" w:beforeAutospacing="0" w:after="0" w:afterAutospacing="0" w:line="360" w:lineRule="auto"/>
        <w:ind w:firstLine="420"/>
        <w:rPr>
          <w:sz w:val="21"/>
          <w:szCs w:val="21"/>
        </w:rPr>
      </w:pPr>
      <w:r>
        <w:rPr>
          <w:rFonts w:hint="eastAsia"/>
          <w:sz w:val="21"/>
          <w:szCs w:val="21"/>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714BF527">
      <w:pPr>
        <w:pStyle w:val="7"/>
        <w:spacing w:before="0" w:beforeAutospacing="0" w:after="0" w:afterAutospacing="0" w:line="360" w:lineRule="auto"/>
        <w:ind w:firstLine="420"/>
        <w:rPr>
          <w:sz w:val="21"/>
          <w:szCs w:val="21"/>
        </w:rPr>
      </w:pPr>
      <w:r>
        <w:rPr>
          <w:rFonts w:hint="eastAsia"/>
          <w:sz w:val="21"/>
          <w:szCs w:val="21"/>
        </w:rPr>
        <w:t>二十、资产支持证券（ABS）的风险</w:t>
      </w:r>
    </w:p>
    <w:p w14:paraId="5D6DF7DB">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60EF5AAE">
      <w:pPr>
        <w:pStyle w:val="7"/>
        <w:spacing w:before="0" w:beforeAutospacing="0" w:after="0" w:afterAutospacing="0" w:line="360" w:lineRule="auto"/>
        <w:ind w:firstLine="420"/>
        <w:rPr>
          <w:sz w:val="21"/>
          <w:szCs w:val="21"/>
        </w:rPr>
      </w:pPr>
      <w:r>
        <w:rPr>
          <w:rFonts w:hint="eastAsia"/>
          <w:sz w:val="21"/>
          <w:szCs w:val="21"/>
        </w:rPr>
        <w:t>二十一、新股申购风险</w:t>
      </w:r>
    </w:p>
    <w:p w14:paraId="3F23666B">
      <w:pPr>
        <w:pStyle w:val="7"/>
        <w:spacing w:before="0" w:beforeAutospacing="0" w:after="0" w:afterAutospacing="0" w:line="360" w:lineRule="auto"/>
        <w:ind w:firstLine="420"/>
        <w:rPr>
          <w:sz w:val="21"/>
          <w:szCs w:val="21"/>
        </w:rPr>
      </w:pPr>
      <w:r>
        <w:rPr>
          <w:rFonts w:hint="eastAsia"/>
          <w:sz w:val="21"/>
          <w:szCs w:val="21"/>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 </w:t>
      </w:r>
    </w:p>
    <w:p w14:paraId="102847FA">
      <w:pPr>
        <w:pStyle w:val="7"/>
        <w:spacing w:before="0" w:beforeAutospacing="0" w:after="0" w:afterAutospacing="0" w:line="360" w:lineRule="auto"/>
        <w:ind w:firstLine="420"/>
        <w:rPr>
          <w:sz w:val="21"/>
          <w:szCs w:val="21"/>
        </w:rPr>
      </w:pPr>
      <w:r>
        <w:rPr>
          <w:rFonts w:hint="eastAsia"/>
          <w:sz w:val="21"/>
          <w:szCs w:val="21"/>
        </w:rPr>
        <w:t>二十二、股票期权风险</w:t>
      </w:r>
    </w:p>
    <w:p w14:paraId="6DE07FD0">
      <w:pPr>
        <w:pStyle w:val="7"/>
        <w:spacing w:before="0" w:beforeAutospacing="0" w:after="0" w:afterAutospacing="0" w:line="360" w:lineRule="auto"/>
        <w:ind w:firstLine="420"/>
        <w:rPr>
          <w:sz w:val="21"/>
          <w:szCs w:val="21"/>
        </w:rPr>
      </w:pPr>
      <w:r>
        <w:rPr>
          <w:rFonts w:hint="eastAsia"/>
          <w:sz w:val="21"/>
          <w:szCs w:val="21"/>
        </w:rPr>
        <w:t>1、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61BC018F">
      <w:pPr>
        <w:pStyle w:val="7"/>
        <w:spacing w:before="0" w:beforeAutospacing="0" w:after="0" w:afterAutospacing="0" w:line="360" w:lineRule="auto"/>
        <w:ind w:firstLine="420"/>
        <w:rPr>
          <w:sz w:val="21"/>
          <w:szCs w:val="21"/>
        </w:rPr>
      </w:pPr>
      <w:r>
        <w:rPr>
          <w:rFonts w:hint="eastAsia"/>
          <w:sz w:val="21"/>
          <w:szCs w:val="21"/>
        </w:rPr>
        <w:t>2、价格风险：股票期权买方的价格风险即为他所付出的权利金，风险具有确定性。股票期权卖方的价格风险不定，不过其所收取的权利金可以提供相应保护，当发生亏损时，可以抵消部分损失。</w:t>
      </w:r>
    </w:p>
    <w:p w14:paraId="222C4C24">
      <w:pPr>
        <w:pStyle w:val="7"/>
        <w:spacing w:before="0" w:beforeAutospacing="0" w:after="0" w:afterAutospacing="0" w:line="360" w:lineRule="auto"/>
        <w:ind w:firstLine="420"/>
        <w:rPr>
          <w:sz w:val="21"/>
          <w:szCs w:val="21"/>
        </w:rPr>
      </w:pPr>
      <w:r>
        <w:rPr>
          <w:rFonts w:hint="eastAsia"/>
          <w:sz w:val="21"/>
          <w:szCs w:val="21"/>
        </w:rPr>
        <w:t>3、操作风险：操作风险是指由于管理不善或者制度执行出现问题等原因所导致的风险。股票期权作为一种衍生品，虽然可以用来管理风险，但若使用不当，也会产生巨额损失。 </w:t>
      </w:r>
    </w:p>
    <w:p w14:paraId="0BECAE77">
      <w:pPr>
        <w:pStyle w:val="7"/>
        <w:spacing w:before="0" w:beforeAutospacing="0" w:after="0" w:afterAutospacing="0" w:line="360" w:lineRule="auto"/>
        <w:ind w:firstLine="420"/>
        <w:rPr>
          <w:sz w:val="21"/>
          <w:szCs w:val="21"/>
        </w:rPr>
      </w:pPr>
      <w:r>
        <w:rPr>
          <w:rFonts w:hint="eastAsia"/>
          <w:sz w:val="21"/>
          <w:szCs w:val="21"/>
        </w:rPr>
        <w:t>二十三、融资交易及转融通证券出借业务的主要风险</w:t>
      </w:r>
    </w:p>
    <w:p w14:paraId="45DFE01F">
      <w:pPr>
        <w:pStyle w:val="7"/>
        <w:spacing w:before="0" w:beforeAutospacing="0" w:after="0" w:afterAutospacing="0" w:line="360" w:lineRule="auto"/>
        <w:ind w:firstLine="420"/>
        <w:rPr>
          <w:sz w:val="21"/>
          <w:szCs w:val="21"/>
        </w:rPr>
      </w:pPr>
      <w:r>
        <w:rPr>
          <w:rFonts w:hint="eastAsia"/>
          <w:sz w:val="21"/>
          <w:szCs w:val="21"/>
        </w:rPr>
        <w:t>1、流动性风险 </w:t>
      </w:r>
    </w:p>
    <w:p w14:paraId="7149306A">
      <w:pPr>
        <w:pStyle w:val="7"/>
        <w:spacing w:before="0" w:beforeAutospacing="0" w:after="0" w:afterAutospacing="0" w:line="360" w:lineRule="auto"/>
        <w:ind w:firstLine="420"/>
        <w:rPr>
          <w:sz w:val="21"/>
          <w:szCs w:val="21"/>
        </w:rPr>
      </w:pPr>
      <w:r>
        <w:rPr>
          <w:rFonts w:hint="eastAsia"/>
          <w:sz w:val="21"/>
          <w:szCs w:val="21"/>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099AE1AB">
      <w:pPr>
        <w:pStyle w:val="7"/>
        <w:spacing w:before="0" w:beforeAutospacing="0" w:after="0" w:afterAutospacing="0" w:line="360" w:lineRule="auto"/>
        <w:ind w:firstLine="420"/>
        <w:rPr>
          <w:sz w:val="21"/>
          <w:szCs w:val="21"/>
        </w:rPr>
      </w:pPr>
      <w:r>
        <w:rPr>
          <w:rFonts w:hint="eastAsia"/>
          <w:sz w:val="21"/>
          <w:szCs w:val="21"/>
        </w:rPr>
        <w:t>2、交易对手违约风险 </w:t>
      </w:r>
    </w:p>
    <w:p w14:paraId="1C4670F5">
      <w:pPr>
        <w:pStyle w:val="7"/>
        <w:spacing w:before="0" w:beforeAutospacing="0" w:after="0" w:afterAutospacing="0" w:line="360" w:lineRule="auto"/>
        <w:ind w:firstLine="420"/>
        <w:rPr>
          <w:sz w:val="21"/>
          <w:szCs w:val="21"/>
        </w:rPr>
      </w:pPr>
      <w:r>
        <w:rPr>
          <w:rFonts w:hint="eastAsia"/>
          <w:sz w:val="21"/>
          <w:szCs w:val="21"/>
        </w:rPr>
        <w:t>存在由于交易对手违约而导致证券到期不能按时或足额归还、相应权益补偿和借券费用不能支付等交易对手违约风险。 </w:t>
      </w:r>
    </w:p>
    <w:p w14:paraId="63DD5ED1">
      <w:pPr>
        <w:pStyle w:val="7"/>
        <w:spacing w:before="0" w:beforeAutospacing="0" w:after="0" w:afterAutospacing="0" w:line="360" w:lineRule="auto"/>
        <w:ind w:firstLine="420"/>
        <w:rPr>
          <w:sz w:val="21"/>
          <w:szCs w:val="21"/>
        </w:rPr>
      </w:pPr>
      <w:r>
        <w:rPr>
          <w:rFonts w:hint="eastAsia"/>
          <w:sz w:val="21"/>
          <w:szCs w:val="21"/>
        </w:rPr>
        <w:t>3、市场风险 </w:t>
      </w:r>
    </w:p>
    <w:p w14:paraId="2811522E">
      <w:pPr>
        <w:pStyle w:val="7"/>
        <w:spacing w:before="0" w:beforeAutospacing="0" w:after="0" w:afterAutospacing="0" w:line="360" w:lineRule="auto"/>
        <w:ind w:firstLine="420"/>
        <w:rPr>
          <w:sz w:val="21"/>
          <w:szCs w:val="21"/>
        </w:rPr>
      </w:pPr>
      <w:r>
        <w:rPr>
          <w:rFonts w:hint="eastAsia"/>
          <w:sz w:val="21"/>
          <w:szCs w:val="21"/>
        </w:rPr>
        <w:t>转融通出借收益按照证券当日收市后市值、融出日（或展期日）费率和实际出借天数计算，因此可能面临证券市值波动、费率变动而导致的市场风险。 </w:t>
      </w:r>
    </w:p>
    <w:p w14:paraId="2BAE9FC4">
      <w:pPr>
        <w:pStyle w:val="7"/>
        <w:spacing w:before="0" w:beforeAutospacing="0" w:after="0" w:afterAutospacing="0" w:line="360" w:lineRule="auto"/>
        <w:ind w:firstLine="420"/>
        <w:rPr>
          <w:sz w:val="21"/>
          <w:szCs w:val="21"/>
        </w:rPr>
      </w:pPr>
      <w:r>
        <w:rPr>
          <w:rFonts w:hint="eastAsia"/>
          <w:sz w:val="21"/>
          <w:szCs w:val="21"/>
        </w:rPr>
        <w:t>4、提前或延迟了结风险 </w:t>
      </w:r>
    </w:p>
    <w:p w14:paraId="4EE09778">
      <w:pPr>
        <w:pStyle w:val="7"/>
        <w:spacing w:before="0" w:beforeAutospacing="0" w:after="0" w:afterAutospacing="0" w:line="360" w:lineRule="auto"/>
        <w:ind w:firstLine="420"/>
        <w:rPr>
          <w:sz w:val="21"/>
          <w:szCs w:val="21"/>
        </w:rPr>
      </w:pPr>
      <w:r>
        <w:rPr>
          <w:rFonts w:hint="eastAsia"/>
          <w:sz w:val="21"/>
          <w:szCs w:val="21"/>
        </w:rPr>
        <w:t>证券出借期间，如发生标的证券范围调整、标的证券暂停交易、标的证券对应的上市公司被以终止上市为目的进行收购、终止上市等情况，可能面临合约提前了结或延迟了结的风险。 </w:t>
      </w:r>
    </w:p>
    <w:p w14:paraId="55071256">
      <w:pPr>
        <w:pStyle w:val="7"/>
        <w:spacing w:before="0" w:beforeAutospacing="0" w:after="0" w:afterAutospacing="0" w:line="360" w:lineRule="auto"/>
        <w:ind w:firstLine="420"/>
        <w:rPr>
          <w:sz w:val="21"/>
          <w:szCs w:val="21"/>
        </w:rPr>
      </w:pPr>
      <w:r>
        <w:rPr>
          <w:rFonts w:hint="eastAsia"/>
          <w:sz w:val="21"/>
          <w:szCs w:val="21"/>
        </w:rPr>
        <w:t>5、跟踪误差风险 </w:t>
      </w:r>
    </w:p>
    <w:p w14:paraId="47FA81DC">
      <w:pPr>
        <w:pStyle w:val="7"/>
        <w:spacing w:before="0" w:beforeAutospacing="0" w:after="0" w:afterAutospacing="0" w:line="360" w:lineRule="auto"/>
        <w:ind w:firstLine="420"/>
        <w:rPr>
          <w:sz w:val="21"/>
          <w:szCs w:val="21"/>
        </w:rPr>
      </w:pPr>
      <w:r>
        <w:rPr>
          <w:rFonts w:hint="eastAsia"/>
          <w:sz w:val="21"/>
          <w:szCs w:val="21"/>
        </w:rPr>
        <w:t>对于指数型组合，当组合发生大额赎回或市场大幅波动时，存在由于转融通出借证券无法提前了结并变现，单一股票占比被动上升而导致组合跟踪误差扩大的风险。 </w:t>
      </w:r>
    </w:p>
    <w:p w14:paraId="1BD0C621">
      <w:pPr>
        <w:pStyle w:val="7"/>
        <w:spacing w:before="0" w:beforeAutospacing="0" w:after="0" w:afterAutospacing="0" w:line="360" w:lineRule="auto"/>
        <w:ind w:firstLine="420"/>
        <w:rPr>
          <w:sz w:val="21"/>
          <w:szCs w:val="21"/>
        </w:rPr>
      </w:pPr>
      <w:r>
        <w:rPr>
          <w:rFonts w:hint="eastAsia"/>
          <w:sz w:val="21"/>
          <w:szCs w:val="21"/>
        </w:rPr>
        <w:t>6、杠杆效应放大风险 </w:t>
      </w:r>
    </w:p>
    <w:p w14:paraId="6B0FF34C">
      <w:pPr>
        <w:pStyle w:val="7"/>
        <w:spacing w:before="0" w:beforeAutospacing="0" w:after="0" w:afterAutospacing="0" w:line="360" w:lineRule="auto"/>
        <w:ind w:firstLine="420"/>
        <w:rPr>
          <w:sz w:val="21"/>
          <w:szCs w:val="21"/>
        </w:rPr>
      </w:pPr>
      <w:r>
        <w:rPr>
          <w:rFonts w:hint="eastAsia"/>
          <w:sz w:val="21"/>
          <w:szCs w:val="21"/>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296F9C76">
      <w:pPr>
        <w:pStyle w:val="7"/>
        <w:spacing w:before="0" w:beforeAutospacing="0" w:after="0" w:afterAutospacing="0" w:line="360" w:lineRule="auto"/>
        <w:ind w:firstLine="420"/>
        <w:rPr>
          <w:sz w:val="21"/>
          <w:szCs w:val="21"/>
        </w:rPr>
      </w:pPr>
      <w:r>
        <w:rPr>
          <w:rFonts w:hint="eastAsia"/>
          <w:sz w:val="21"/>
          <w:szCs w:val="21"/>
        </w:rPr>
        <w:t>7、担保能力及限制交易风险 </w:t>
      </w:r>
    </w:p>
    <w:p w14:paraId="16BAE99E">
      <w:pPr>
        <w:pStyle w:val="7"/>
        <w:spacing w:before="0" w:beforeAutospacing="0" w:after="0" w:afterAutospacing="0" w:line="360" w:lineRule="auto"/>
        <w:ind w:firstLine="420"/>
        <w:rPr>
          <w:sz w:val="21"/>
          <w:szCs w:val="21"/>
        </w:rPr>
      </w:pPr>
      <w:r>
        <w:rPr>
          <w:rFonts w:hint="eastAsia"/>
          <w:sz w:val="21"/>
          <w:szCs w:val="21"/>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 </w:t>
      </w:r>
    </w:p>
    <w:p w14:paraId="33015069">
      <w:pPr>
        <w:pStyle w:val="7"/>
        <w:spacing w:before="0" w:beforeAutospacing="0" w:after="0" w:afterAutospacing="0" w:line="360" w:lineRule="auto"/>
        <w:ind w:firstLine="420"/>
        <w:rPr>
          <w:sz w:val="21"/>
          <w:szCs w:val="21"/>
        </w:rPr>
      </w:pPr>
      <w:r>
        <w:rPr>
          <w:rFonts w:hint="eastAsia"/>
          <w:sz w:val="21"/>
          <w:szCs w:val="21"/>
        </w:rPr>
        <w:t>8、强制平仓风险 </w:t>
      </w:r>
    </w:p>
    <w:p w14:paraId="3FFD502A">
      <w:pPr>
        <w:pStyle w:val="7"/>
        <w:spacing w:before="0" w:beforeAutospacing="0" w:after="0" w:afterAutospacing="0" w:line="360" w:lineRule="auto"/>
        <w:ind w:firstLine="420"/>
        <w:rPr>
          <w:sz w:val="21"/>
          <w:szCs w:val="21"/>
        </w:rPr>
      </w:pPr>
      <w:r>
        <w:rPr>
          <w:rFonts w:hint="eastAsia"/>
          <w:sz w:val="21"/>
          <w:szCs w:val="21"/>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730EC10A">
      <w:pPr>
        <w:pStyle w:val="7"/>
        <w:spacing w:before="0" w:beforeAutospacing="0" w:after="0" w:afterAutospacing="0" w:line="360" w:lineRule="auto"/>
        <w:ind w:firstLine="420"/>
        <w:rPr>
          <w:sz w:val="21"/>
          <w:szCs w:val="21"/>
        </w:rPr>
      </w:pPr>
      <w:r>
        <w:rPr>
          <w:rFonts w:hint="eastAsia"/>
          <w:sz w:val="21"/>
          <w:szCs w:val="21"/>
        </w:rPr>
        <w:t>9、操作风险 </w:t>
      </w:r>
    </w:p>
    <w:p w14:paraId="64E4D12F">
      <w:pPr>
        <w:pStyle w:val="7"/>
        <w:spacing w:before="0" w:beforeAutospacing="0" w:after="0" w:afterAutospacing="0" w:line="360" w:lineRule="auto"/>
        <w:ind w:firstLine="420"/>
        <w:rPr>
          <w:sz w:val="21"/>
          <w:szCs w:val="21"/>
        </w:rPr>
      </w:pPr>
      <w:r>
        <w:rPr>
          <w:rFonts w:hint="eastAsia"/>
          <w:sz w:val="21"/>
          <w:szCs w:val="21"/>
        </w:rPr>
        <w:t>融资交易和转融通业务具体实施过程中，在投资决策、交易等环节，可能面临由于操作人员操作失误、系统不完善等原因引发的操作风险。 </w:t>
      </w:r>
    </w:p>
    <w:p w14:paraId="00059E3D">
      <w:pPr>
        <w:pStyle w:val="7"/>
        <w:spacing w:before="0" w:beforeAutospacing="0" w:after="0" w:afterAutospacing="0" w:line="360" w:lineRule="auto"/>
        <w:ind w:firstLine="420"/>
        <w:rPr>
          <w:sz w:val="21"/>
          <w:szCs w:val="21"/>
        </w:rPr>
      </w:pPr>
      <w:r>
        <w:rPr>
          <w:rFonts w:hint="eastAsia"/>
          <w:sz w:val="21"/>
          <w:szCs w:val="21"/>
        </w:rPr>
        <w:t>10、法律合规风险 </w:t>
      </w:r>
    </w:p>
    <w:p w14:paraId="3B749322">
      <w:pPr>
        <w:pStyle w:val="7"/>
        <w:spacing w:before="0" w:beforeAutospacing="0" w:after="0" w:afterAutospacing="0" w:line="360" w:lineRule="auto"/>
        <w:ind w:firstLine="420"/>
        <w:rPr>
          <w:sz w:val="21"/>
          <w:szCs w:val="21"/>
        </w:rPr>
      </w:pPr>
      <w:r>
        <w:rPr>
          <w:rFonts w:hint="eastAsia"/>
          <w:sz w:val="21"/>
          <w:szCs w:val="21"/>
        </w:rPr>
        <w:t>在融资交易和转融通证券出借过程中，存在由于标的证券价格波动导致组合合规指标超标且无法进行调整的风险，以及在业务开展过程中发生操纵价格、利益输送等法律合规风险。 </w:t>
      </w:r>
    </w:p>
    <w:p w14:paraId="4D91EF9C">
      <w:pPr>
        <w:pStyle w:val="7"/>
        <w:spacing w:before="0" w:beforeAutospacing="0" w:after="0" w:afterAutospacing="0" w:line="360" w:lineRule="auto"/>
        <w:ind w:firstLine="420"/>
        <w:rPr>
          <w:sz w:val="21"/>
          <w:szCs w:val="21"/>
        </w:rPr>
      </w:pPr>
      <w:r>
        <w:rPr>
          <w:rFonts w:hint="eastAsia"/>
          <w:sz w:val="21"/>
          <w:szCs w:val="21"/>
        </w:rPr>
        <w:t>二十四、港股通机制下，港股投资风险</w:t>
      </w:r>
    </w:p>
    <w:p w14:paraId="5D341AE0">
      <w:pPr>
        <w:pStyle w:val="7"/>
        <w:spacing w:before="0" w:beforeAutospacing="0" w:after="0" w:afterAutospacing="0" w:line="360" w:lineRule="auto"/>
        <w:ind w:firstLine="420"/>
        <w:rPr>
          <w:sz w:val="21"/>
          <w:szCs w:val="21"/>
        </w:rPr>
      </w:pPr>
      <w:r>
        <w:rPr>
          <w:rFonts w:hint="eastAsia"/>
          <w:sz w:val="21"/>
          <w:szCs w:val="21"/>
        </w:rPr>
        <w:t>本基金投资范围包括内地与香港股票市场交易互联互通机制下允许投资的香港联合交易所上市的股票，本基金面临港股通机制下因投资环境、投资者结构、投资标的构成、市场制度以及交易规则等差异所带来的特有风险，包括但不限于： </w:t>
      </w:r>
    </w:p>
    <w:p w14:paraId="18CD444A">
      <w:pPr>
        <w:pStyle w:val="7"/>
        <w:spacing w:before="0" w:beforeAutospacing="0" w:after="0" w:afterAutospacing="0" w:line="360" w:lineRule="auto"/>
        <w:ind w:firstLine="420"/>
        <w:rPr>
          <w:sz w:val="21"/>
          <w:szCs w:val="21"/>
        </w:rPr>
      </w:pPr>
      <w:r>
        <w:rPr>
          <w:rFonts w:hint="eastAsia"/>
          <w:sz w:val="21"/>
          <w:szCs w:val="21"/>
        </w:rPr>
        <w:t>1、市场联动的风险 </w:t>
      </w:r>
    </w:p>
    <w:p w14:paraId="61186E84">
      <w:pPr>
        <w:pStyle w:val="7"/>
        <w:spacing w:before="0" w:beforeAutospacing="0" w:after="0" w:afterAutospacing="0" w:line="360" w:lineRule="auto"/>
        <w:ind w:firstLine="420"/>
        <w:rPr>
          <w:sz w:val="21"/>
          <w:szCs w:val="21"/>
        </w:rPr>
      </w:pPr>
      <w:r>
        <w:rPr>
          <w:rFonts w:hint="eastAsia"/>
          <w:sz w:val="21"/>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 </w:t>
      </w:r>
    </w:p>
    <w:p w14:paraId="6DA8D741">
      <w:pPr>
        <w:pStyle w:val="7"/>
        <w:spacing w:before="0" w:beforeAutospacing="0" w:after="0" w:afterAutospacing="0" w:line="360" w:lineRule="auto"/>
        <w:ind w:firstLine="420"/>
        <w:rPr>
          <w:sz w:val="21"/>
          <w:szCs w:val="21"/>
        </w:rPr>
      </w:pPr>
      <w:r>
        <w:rPr>
          <w:rFonts w:hint="eastAsia"/>
          <w:sz w:val="21"/>
          <w:szCs w:val="21"/>
        </w:rPr>
        <w:t>2、股价波动的风险 </w:t>
      </w:r>
    </w:p>
    <w:p w14:paraId="6A2F073D">
      <w:pPr>
        <w:pStyle w:val="7"/>
        <w:spacing w:before="0" w:beforeAutospacing="0" w:after="0" w:afterAutospacing="0" w:line="360" w:lineRule="auto"/>
        <w:ind w:firstLine="420"/>
        <w:rPr>
          <w:sz w:val="21"/>
          <w:szCs w:val="21"/>
        </w:rPr>
      </w:pPr>
      <w:r>
        <w:rPr>
          <w:rFonts w:hint="eastAsia"/>
          <w:sz w:val="21"/>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76AEE390">
      <w:pPr>
        <w:pStyle w:val="7"/>
        <w:spacing w:before="0" w:beforeAutospacing="0" w:after="0" w:afterAutospacing="0" w:line="360" w:lineRule="auto"/>
        <w:ind w:firstLine="420"/>
        <w:rPr>
          <w:sz w:val="21"/>
          <w:szCs w:val="21"/>
        </w:rPr>
      </w:pPr>
      <w:r>
        <w:rPr>
          <w:rFonts w:hint="eastAsia"/>
          <w:sz w:val="21"/>
          <w:szCs w:val="21"/>
        </w:rPr>
        <w:t>3、汇率风险 </w:t>
      </w:r>
    </w:p>
    <w:p w14:paraId="318B52D7">
      <w:pPr>
        <w:pStyle w:val="7"/>
        <w:spacing w:before="0" w:beforeAutospacing="0" w:after="0" w:afterAutospacing="0" w:line="360" w:lineRule="auto"/>
        <w:ind w:firstLine="420"/>
        <w:rPr>
          <w:sz w:val="21"/>
          <w:szCs w:val="21"/>
        </w:rPr>
      </w:pPr>
      <w:r>
        <w:rPr>
          <w:rFonts w:hint="eastAsia"/>
          <w:sz w:val="21"/>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1C5E542C">
      <w:pPr>
        <w:pStyle w:val="7"/>
        <w:spacing w:before="0" w:beforeAutospacing="0" w:after="0" w:afterAutospacing="0" w:line="360" w:lineRule="auto"/>
        <w:ind w:firstLine="420"/>
        <w:rPr>
          <w:sz w:val="21"/>
          <w:szCs w:val="21"/>
        </w:rPr>
      </w:pPr>
      <w:r>
        <w:rPr>
          <w:rFonts w:hint="eastAsia"/>
          <w:sz w:val="21"/>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3E786460">
      <w:pPr>
        <w:pStyle w:val="7"/>
        <w:spacing w:before="0" w:beforeAutospacing="0" w:after="0" w:afterAutospacing="0" w:line="360" w:lineRule="auto"/>
        <w:ind w:firstLine="420"/>
        <w:rPr>
          <w:sz w:val="21"/>
          <w:szCs w:val="21"/>
        </w:rPr>
      </w:pPr>
      <w:r>
        <w:rPr>
          <w:rFonts w:hint="eastAsia"/>
          <w:sz w:val="21"/>
          <w:szCs w:val="21"/>
        </w:rPr>
        <w:t>4、港股通额度限制 </w:t>
      </w:r>
    </w:p>
    <w:p w14:paraId="1853EFD9">
      <w:pPr>
        <w:pStyle w:val="7"/>
        <w:spacing w:before="0" w:beforeAutospacing="0" w:after="0" w:afterAutospacing="0" w:line="360" w:lineRule="auto"/>
        <w:ind w:firstLine="420"/>
        <w:rPr>
          <w:sz w:val="21"/>
          <w:szCs w:val="21"/>
        </w:rPr>
      </w:pPr>
      <w:r>
        <w:rPr>
          <w:rFonts w:hint="eastAsia"/>
          <w:sz w:val="21"/>
          <w:szCs w:val="21"/>
        </w:rPr>
        <w:t>现行的港股通规则，对港股通设有每日额度上限的限制；本基金可能因为港股通市场每日额度不足，而不能买入看好之投资标的进而错失投资机会的风险。 </w:t>
      </w:r>
    </w:p>
    <w:p w14:paraId="22B0AC0B">
      <w:pPr>
        <w:pStyle w:val="7"/>
        <w:spacing w:before="0" w:beforeAutospacing="0" w:after="0" w:afterAutospacing="0" w:line="360" w:lineRule="auto"/>
        <w:ind w:firstLine="420"/>
        <w:rPr>
          <w:sz w:val="21"/>
          <w:szCs w:val="21"/>
        </w:rPr>
      </w:pPr>
      <w:r>
        <w:rPr>
          <w:rFonts w:hint="eastAsia"/>
          <w:sz w:val="21"/>
          <w:szCs w:val="21"/>
        </w:rPr>
        <w:t>5、港股通可投资标的范围调整带来的风险 </w:t>
      </w:r>
    </w:p>
    <w:p w14:paraId="357D631A">
      <w:pPr>
        <w:pStyle w:val="7"/>
        <w:spacing w:before="0" w:beforeAutospacing="0" w:after="0" w:afterAutospacing="0" w:line="360" w:lineRule="auto"/>
        <w:ind w:firstLine="420"/>
        <w:rPr>
          <w:sz w:val="21"/>
          <w:szCs w:val="21"/>
        </w:rPr>
      </w:pPr>
      <w:r>
        <w:rPr>
          <w:rFonts w:hint="eastAsia"/>
          <w:sz w:val="21"/>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0B3E203C">
      <w:pPr>
        <w:pStyle w:val="7"/>
        <w:spacing w:before="0" w:beforeAutospacing="0" w:after="0" w:afterAutospacing="0" w:line="360" w:lineRule="auto"/>
        <w:ind w:firstLine="420"/>
        <w:rPr>
          <w:sz w:val="21"/>
          <w:szCs w:val="21"/>
        </w:rPr>
      </w:pPr>
      <w:r>
        <w:rPr>
          <w:rFonts w:hint="eastAsia"/>
          <w:sz w:val="21"/>
          <w:szCs w:val="21"/>
        </w:rPr>
        <w:t>6、港股通交易日设定的风险 </w:t>
      </w:r>
    </w:p>
    <w:p w14:paraId="69DA2F05">
      <w:pPr>
        <w:pStyle w:val="7"/>
        <w:spacing w:before="0" w:beforeAutospacing="0" w:after="0" w:afterAutospacing="0" w:line="360" w:lineRule="auto"/>
        <w:ind w:firstLine="420"/>
        <w:rPr>
          <w:sz w:val="21"/>
          <w:szCs w:val="21"/>
        </w:rPr>
      </w:pPr>
      <w:r>
        <w:rPr>
          <w:rFonts w:hint="eastAsia"/>
          <w:sz w:val="21"/>
          <w:szCs w:val="21"/>
        </w:rPr>
        <w:t>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59520E3F">
      <w:pPr>
        <w:pStyle w:val="7"/>
        <w:spacing w:before="0" w:beforeAutospacing="0" w:after="0" w:afterAutospacing="0" w:line="360" w:lineRule="auto"/>
        <w:ind w:firstLine="420"/>
        <w:rPr>
          <w:sz w:val="21"/>
          <w:szCs w:val="21"/>
        </w:rPr>
      </w:pPr>
      <w:r>
        <w:rPr>
          <w:rFonts w:hint="eastAsia"/>
          <w:sz w:val="21"/>
          <w:szCs w:val="21"/>
        </w:rPr>
        <w:t>7、交收制度带来的基金流动性风险 </w:t>
      </w:r>
    </w:p>
    <w:p w14:paraId="0DBA8CDE">
      <w:pPr>
        <w:pStyle w:val="7"/>
        <w:spacing w:before="0" w:beforeAutospacing="0" w:after="0" w:afterAutospacing="0" w:line="360" w:lineRule="auto"/>
        <w:ind w:firstLine="420"/>
        <w:rPr>
          <w:sz w:val="21"/>
          <w:szCs w:val="21"/>
        </w:rPr>
      </w:pPr>
      <w:r>
        <w:rPr>
          <w:rFonts w:hint="eastAsia"/>
          <w:sz w:val="21"/>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17B6DE28">
      <w:pPr>
        <w:pStyle w:val="7"/>
        <w:spacing w:before="0" w:beforeAutospacing="0" w:after="0" w:afterAutospacing="0" w:line="360" w:lineRule="auto"/>
        <w:ind w:firstLine="420"/>
        <w:rPr>
          <w:sz w:val="21"/>
          <w:szCs w:val="21"/>
        </w:rPr>
      </w:pPr>
      <w:r>
        <w:rPr>
          <w:rFonts w:hint="eastAsia"/>
          <w:sz w:val="21"/>
          <w:szCs w:val="21"/>
        </w:rPr>
        <w:t>8、港股通下对公司行为的处理规则带来的风险 </w:t>
      </w:r>
    </w:p>
    <w:p w14:paraId="47343F79">
      <w:pPr>
        <w:pStyle w:val="7"/>
        <w:spacing w:before="0" w:beforeAutospacing="0" w:after="0" w:afterAutospacing="0" w:line="360" w:lineRule="auto"/>
        <w:ind w:firstLine="420"/>
        <w:rPr>
          <w:sz w:val="21"/>
          <w:szCs w:val="21"/>
        </w:rPr>
      </w:pPr>
      <w:r>
        <w:rPr>
          <w:rFonts w:hint="eastAsia"/>
          <w:sz w:val="21"/>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672AAC75">
      <w:pPr>
        <w:pStyle w:val="7"/>
        <w:spacing w:before="0" w:beforeAutospacing="0" w:after="0" w:afterAutospacing="0" w:line="360" w:lineRule="auto"/>
        <w:ind w:firstLine="420"/>
        <w:rPr>
          <w:sz w:val="21"/>
          <w:szCs w:val="21"/>
        </w:rPr>
      </w:pPr>
      <w:r>
        <w:rPr>
          <w:rFonts w:hint="eastAsia"/>
          <w:sz w:val="21"/>
          <w:szCs w:val="21"/>
        </w:rPr>
        <w:t>本基金存在因上述规则，利益得不到最大化甚至受损的风险。 </w:t>
      </w:r>
    </w:p>
    <w:p w14:paraId="6DC785E6">
      <w:pPr>
        <w:pStyle w:val="7"/>
        <w:spacing w:before="0" w:beforeAutospacing="0" w:after="0" w:afterAutospacing="0" w:line="360" w:lineRule="auto"/>
        <w:ind w:firstLine="420"/>
        <w:rPr>
          <w:sz w:val="21"/>
          <w:szCs w:val="21"/>
        </w:rPr>
      </w:pPr>
      <w:r>
        <w:rPr>
          <w:rFonts w:hint="eastAsia"/>
          <w:sz w:val="21"/>
          <w:szCs w:val="21"/>
        </w:rPr>
        <w:t>9、香港联合交易所停牌、退市等制度性差异带来的风险 </w:t>
      </w:r>
    </w:p>
    <w:p w14:paraId="75D2516A">
      <w:pPr>
        <w:pStyle w:val="7"/>
        <w:spacing w:before="0" w:beforeAutospacing="0" w:after="0" w:afterAutospacing="0" w:line="360" w:lineRule="auto"/>
        <w:ind w:firstLine="420"/>
        <w:rPr>
          <w:sz w:val="21"/>
          <w:szCs w:val="21"/>
        </w:rPr>
      </w:pPr>
      <w:r>
        <w:rPr>
          <w:rFonts w:hint="eastAsia"/>
          <w:sz w:val="21"/>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1DB5A05B">
      <w:pPr>
        <w:pStyle w:val="7"/>
        <w:spacing w:before="0" w:beforeAutospacing="0" w:after="0" w:afterAutospacing="0" w:line="360" w:lineRule="auto"/>
        <w:ind w:firstLine="420"/>
        <w:rPr>
          <w:sz w:val="21"/>
          <w:szCs w:val="21"/>
        </w:rPr>
      </w:pPr>
      <w:r>
        <w:rPr>
          <w:rFonts w:hint="eastAsia"/>
          <w:sz w:val="21"/>
          <w:szCs w:val="21"/>
        </w:rPr>
        <w:t>因该等制度性差异，本基金可能存在因所持个股遭遇非预期性的停牌甚至退市而给基金带来损失的风险。 </w:t>
      </w:r>
    </w:p>
    <w:p w14:paraId="727D067B">
      <w:pPr>
        <w:pStyle w:val="7"/>
        <w:spacing w:before="0" w:beforeAutospacing="0" w:after="0" w:afterAutospacing="0" w:line="360" w:lineRule="auto"/>
        <w:ind w:firstLine="420"/>
        <w:rPr>
          <w:sz w:val="21"/>
          <w:szCs w:val="21"/>
        </w:rPr>
      </w:pPr>
      <w:r>
        <w:rPr>
          <w:rFonts w:hint="eastAsia"/>
          <w:sz w:val="21"/>
          <w:szCs w:val="21"/>
        </w:rPr>
        <w:t>10、港股通规则变动带来的风险 </w:t>
      </w:r>
    </w:p>
    <w:p w14:paraId="46AB5C91">
      <w:pPr>
        <w:pStyle w:val="7"/>
        <w:spacing w:before="0" w:beforeAutospacing="0" w:after="0" w:afterAutospacing="0" w:line="360" w:lineRule="auto"/>
        <w:ind w:firstLine="420"/>
        <w:rPr>
          <w:sz w:val="21"/>
          <w:szCs w:val="21"/>
        </w:rPr>
      </w:pPr>
      <w:r>
        <w:rPr>
          <w:rFonts w:hint="eastAsia"/>
          <w:sz w:val="21"/>
          <w:szCs w:val="21"/>
        </w:rPr>
        <w:t>本基金是在港股通机制和规则下参与香港联交所证券的投资，受港股通规则的限制和影响；本基金存在因港股通规则变动而带来基金投资受阻或所持资产组合价值发生波动的风险。 </w:t>
      </w:r>
    </w:p>
    <w:p w14:paraId="70D91C39">
      <w:pPr>
        <w:pStyle w:val="7"/>
        <w:spacing w:before="0" w:beforeAutospacing="0" w:after="0" w:afterAutospacing="0" w:line="360" w:lineRule="auto"/>
        <w:ind w:firstLine="420"/>
        <w:rPr>
          <w:sz w:val="21"/>
          <w:szCs w:val="21"/>
        </w:rPr>
      </w:pPr>
      <w:r>
        <w:rPr>
          <w:rFonts w:hint="eastAsia"/>
          <w:sz w:val="21"/>
          <w:szCs w:val="21"/>
        </w:rPr>
        <w:t>11、其他可能的风险 </w:t>
      </w:r>
    </w:p>
    <w:p w14:paraId="609E8359">
      <w:pPr>
        <w:pStyle w:val="7"/>
        <w:spacing w:before="0" w:beforeAutospacing="0" w:after="0" w:afterAutospacing="0" w:line="360" w:lineRule="auto"/>
        <w:ind w:firstLine="420"/>
        <w:rPr>
          <w:sz w:val="21"/>
          <w:szCs w:val="21"/>
        </w:rPr>
      </w:pPr>
      <w:r>
        <w:rPr>
          <w:rFonts w:hint="eastAsia"/>
          <w:sz w:val="21"/>
          <w:szCs w:val="21"/>
        </w:rPr>
        <w:t>除上述显著风险外，本基金参与港股通投资，还可能面临的其他风险，包括但不限于： </w:t>
      </w:r>
    </w:p>
    <w:p w14:paraId="69C1D317">
      <w:pPr>
        <w:pStyle w:val="7"/>
        <w:spacing w:before="0" w:beforeAutospacing="0" w:after="0" w:afterAutospacing="0" w:line="360" w:lineRule="auto"/>
        <w:ind w:firstLine="420"/>
        <w:rPr>
          <w:sz w:val="21"/>
          <w:szCs w:val="21"/>
        </w:rPr>
      </w:pPr>
      <w:r>
        <w:rPr>
          <w:rFonts w:hint="eastAsia"/>
          <w:sz w:val="21"/>
          <w:szCs w:val="21"/>
        </w:rPr>
        <w:t>（1）除因股票交易而发生的佣金、交易征费、交易费、交易系统费、印花税、过户费等税费外，在不进行交易时也可能要继续缴纳证券组合费等项费用，本基金存在因费用估算不准而导致账户透支的风险； </w:t>
      </w:r>
    </w:p>
    <w:p w14:paraId="274EC646">
      <w:pPr>
        <w:pStyle w:val="7"/>
        <w:spacing w:before="0" w:beforeAutospacing="0" w:after="0" w:afterAutospacing="0" w:line="360" w:lineRule="auto"/>
        <w:ind w:firstLine="420"/>
        <w:rPr>
          <w:sz w:val="21"/>
          <w:szCs w:val="21"/>
        </w:rPr>
      </w:pPr>
      <w:r>
        <w:rPr>
          <w:rFonts w:hint="eastAsia"/>
          <w:sz w:val="21"/>
          <w:szCs w:val="21"/>
        </w:rPr>
        <w:t>（2）在香港市场，部分中小市值港股成交量则相对较少，流动性较为缺乏，本基金投资此类股票可能因缺乏交易对手而面临个股流动性风险； </w:t>
      </w:r>
    </w:p>
    <w:p w14:paraId="004AF3BE">
      <w:pPr>
        <w:pStyle w:val="7"/>
        <w:spacing w:before="0" w:beforeAutospacing="0" w:after="0" w:afterAutospacing="0" w:line="360" w:lineRule="auto"/>
        <w:ind w:firstLine="420"/>
        <w:rPr>
          <w:sz w:val="21"/>
          <w:szCs w:val="21"/>
        </w:rPr>
      </w:pPr>
      <w:r>
        <w:rPr>
          <w:rFonts w:hint="eastAsia"/>
          <w:sz w:val="21"/>
          <w:szCs w:val="21"/>
        </w:rPr>
        <w:t>（3）在本基金参与港股通交易中若香港联交所与内地交易所的证券交易服务公司之间的报盘系统或者通信链路出现故障，可能导致15分钟以上不能申报和撤销申报的交易中断风险； </w:t>
      </w:r>
    </w:p>
    <w:p w14:paraId="56A1C458">
      <w:pPr>
        <w:pStyle w:val="7"/>
        <w:spacing w:before="0" w:beforeAutospacing="0" w:after="0" w:afterAutospacing="0" w:line="360" w:lineRule="auto"/>
        <w:ind w:firstLine="420"/>
        <w:rPr>
          <w:sz w:val="21"/>
          <w:szCs w:val="21"/>
        </w:rPr>
      </w:pPr>
      <w:r>
        <w:rPr>
          <w:rFonts w:hint="eastAsia"/>
          <w:sz w:val="21"/>
          <w:szCs w:val="21"/>
        </w:rPr>
        <w:t>（4）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49393A00">
      <w:pPr>
        <w:pStyle w:val="7"/>
        <w:spacing w:before="0" w:beforeAutospacing="0" w:after="0" w:afterAutospacing="0" w:line="360" w:lineRule="auto"/>
        <w:ind w:firstLine="420"/>
        <w:rPr>
          <w:sz w:val="21"/>
          <w:szCs w:val="21"/>
        </w:rPr>
      </w:pPr>
      <w:r>
        <w:rPr>
          <w:rFonts w:hint="eastAsia"/>
          <w:sz w:val="21"/>
          <w:szCs w:val="21"/>
        </w:rPr>
        <w:t>二十五、投资于存托凭证的风险</w:t>
      </w:r>
    </w:p>
    <w:p w14:paraId="0193F5F2">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79884B7">
      <w:pPr>
        <w:pStyle w:val="7"/>
        <w:spacing w:before="0" w:beforeAutospacing="0" w:after="0" w:afterAutospacing="0" w:line="360" w:lineRule="auto"/>
        <w:ind w:firstLine="420"/>
        <w:rPr>
          <w:sz w:val="21"/>
          <w:szCs w:val="21"/>
        </w:rPr>
      </w:pPr>
      <w:r>
        <w:rPr>
          <w:rFonts w:hint="eastAsia"/>
          <w:sz w:val="21"/>
          <w:szCs w:val="21"/>
        </w:rPr>
        <w:t>二十六、管理风险与操作风险</w:t>
      </w:r>
    </w:p>
    <w:p w14:paraId="3D9FD2F8">
      <w:pPr>
        <w:pStyle w:val="7"/>
        <w:spacing w:before="0" w:beforeAutospacing="0" w:after="0" w:afterAutospacing="0" w:line="360" w:lineRule="auto"/>
        <w:ind w:firstLine="420"/>
        <w:rPr>
          <w:sz w:val="21"/>
          <w:szCs w:val="21"/>
        </w:rPr>
      </w:pPr>
      <w:r>
        <w:rPr>
          <w:rFonts w:hint="eastAsia"/>
          <w:sz w:val="21"/>
          <w:szCs w:val="21"/>
        </w:rPr>
        <w:t>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7365D0E9">
      <w:pPr>
        <w:pStyle w:val="7"/>
        <w:spacing w:before="0" w:beforeAutospacing="0" w:after="0" w:afterAutospacing="0" w:line="360" w:lineRule="auto"/>
        <w:ind w:firstLine="420"/>
        <w:rPr>
          <w:sz w:val="21"/>
          <w:szCs w:val="21"/>
        </w:rPr>
      </w:pPr>
      <w:r>
        <w:rPr>
          <w:rFonts w:hint="eastAsia"/>
          <w:sz w:val="21"/>
          <w:szCs w:val="21"/>
        </w:rPr>
        <w:t>相关当事人在业务各环节操作过程中，可能因内部控制存在缺陷或者人为因素造成操作失误或违反操作规程等引致风险，例如，申购、赎回清单编制错误、越权违规交易、欺诈行为及交易错误等风险。 </w:t>
      </w:r>
    </w:p>
    <w:p w14:paraId="540DFCD2">
      <w:pPr>
        <w:pStyle w:val="7"/>
        <w:spacing w:before="0" w:beforeAutospacing="0" w:after="0" w:afterAutospacing="0" w:line="360" w:lineRule="auto"/>
        <w:ind w:firstLine="420"/>
        <w:rPr>
          <w:sz w:val="21"/>
          <w:szCs w:val="21"/>
        </w:rPr>
      </w:pPr>
      <w:r>
        <w:rPr>
          <w:rFonts w:hint="eastAsia"/>
          <w:sz w:val="21"/>
          <w:szCs w:val="21"/>
        </w:rPr>
        <w:t>二十七、技术风险</w:t>
      </w:r>
    </w:p>
    <w:p w14:paraId="71CE8F34">
      <w:pPr>
        <w:pStyle w:val="7"/>
        <w:spacing w:before="0" w:beforeAutospacing="0" w:after="0" w:afterAutospacing="0" w:line="360" w:lineRule="auto"/>
        <w:ind w:firstLine="420"/>
        <w:rPr>
          <w:sz w:val="21"/>
          <w:szCs w:val="21"/>
        </w:rPr>
      </w:pPr>
      <w:r>
        <w:rPr>
          <w:rFonts w:hint="eastAsia"/>
          <w:sz w:val="21"/>
          <w:szCs w:val="21"/>
        </w:rPr>
        <w:t>在本基金的投资、交易、服务与后台运作等业务过程中，可能因为技术系统的故障或差错导致投资人的利益受到影响。这种技术风险可能来自基金管理人、基金托管人、证券交易所、登记机构及销售代理机构等。 </w:t>
      </w:r>
    </w:p>
    <w:p w14:paraId="4995524B">
      <w:pPr>
        <w:pStyle w:val="7"/>
        <w:spacing w:before="0" w:beforeAutospacing="0" w:after="0" w:afterAutospacing="0" w:line="360" w:lineRule="auto"/>
        <w:ind w:firstLine="420"/>
        <w:rPr>
          <w:sz w:val="21"/>
          <w:szCs w:val="21"/>
        </w:rPr>
      </w:pPr>
      <w:r>
        <w:rPr>
          <w:rFonts w:hint="eastAsia"/>
          <w:sz w:val="21"/>
          <w:szCs w:val="21"/>
        </w:rPr>
        <w:t>二十八、不可抗力</w:t>
      </w:r>
    </w:p>
    <w:p w14:paraId="32BE00DA">
      <w:pPr>
        <w:pStyle w:val="7"/>
        <w:spacing w:before="0" w:beforeAutospacing="0" w:after="0" w:afterAutospacing="0" w:line="360" w:lineRule="auto"/>
        <w:ind w:firstLine="420"/>
        <w:rPr>
          <w:sz w:val="21"/>
          <w:szCs w:val="21"/>
        </w:rPr>
      </w:pPr>
      <w:r>
        <w:rPr>
          <w:rFonts w:hint="eastAsia"/>
          <w:sz w:val="21"/>
          <w:szCs w:val="21"/>
        </w:rPr>
        <w:t>战争、自然灾害等不可抗力可能导致基金资产有遭受损失的风险。基金管理人、基金托管人、证券交易所、登记机构和销售代理机构等可能因不可抗力无法正常工作，从而影响基</w:t>
      </w:r>
      <w:bookmarkStart w:id="156" w:name="chapter_level1_22_68_section_1_end"/>
      <w:bookmarkEnd w:id="156"/>
      <w:r>
        <w:rPr>
          <w:rFonts w:hint="eastAsia"/>
          <w:sz w:val="21"/>
          <w:szCs w:val="21"/>
        </w:rPr>
        <w:t>金的各项业务按正常时限完成。</w:t>
      </w:r>
    </w:p>
    <w:p w14:paraId="3A46CD24">
      <w:pPr>
        <w:widowControl/>
        <w:jc w:val="left"/>
        <w:rPr>
          <w:rFonts w:ascii="宋体" w:hAnsi="宋体" w:eastAsia="宋体"/>
        </w:rPr>
      </w:pPr>
      <w:r>
        <w:rPr>
          <w:rFonts w:ascii="宋体" w:hAnsi="宋体" w:eastAsia="宋体"/>
        </w:rPr>
        <w:br w:type="page"/>
      </w:r>
    </w:p>
    <w:p w14:paraId="28602197">
      <w:pPr>
        <w:pStyle w:val="2"/>
        <w:jc w:val="center"/>
        <w:rPr>
          <w:rFonts w:ascii="宋体" w:hAnsi="宋体" w:eastAsia="宋体"/>
          <w:sz w:val="30"/>
        </w:rPr>
      </w:pPr>
      <w:bookmarkStart w:id="157" w:name="chapter_level1_23_69"/>
      <w:bookmarkStart w:id="158" w:name="_Toc32562"/>
      <w:r>
        <w:rPr>
          <w:rFonts w:hint="eastAsia" w:ascii="宋体" w:hAnsi="宋体" w:eastAsia="宋体"/>
          <w:sz w:val="30"/>
        </w:rPr>
        <w:t>第十</w:t>
      </w:r>
      <w:r>
        <w:rPr>
          <w:rFonts w:hint="eastAsia" w:ascii="宋体" w:hAnsi="宋体" w:eastAsia="宋体"/>
          <w:sz w:val="30"/>
          <w:lang w:val="en-US" w:eastAsia="zh-CN"/>
        </w:rPr>
        <w:t>八</w:t>
      </w:r>
      <w:r>
        <w:rPr>
          <w:rFonts w:hint="eastAsia" w:ascii="宋体" w:hAnsi="宋体" w:eastAsia="宋体"/>
          <w:sz w:val="30"/>
        </w:rPr>
        <w:t>部分  基金合同的变更、终止与基金财产的清算</w:t>
      </w:r>
      <w:bookmarkEnd w:id="157"/>
      <w:bookmarkEnd w:id="158"/>
    </w:p>
    <w:p w14:paraId="6931DCC6">
      <w:pPr>
        <w:pStyle w:val="7"/>
        <w:spacing w:before="0" w:beforeAutospacing="0" w:after="0" w:afterAutospacing="0" w:line="360" w:lineRule="auto"/>
        <w:ind w:firstLine="420"/>
        <w:rPr>
          <w:sz w:val="21"/>
          <w:szCs w:val="21"/>
        </w:rPr>
      </w:pPr>
      <w:bookmarkStart w:id="159" w:name="chapter_level1_23_69_section_1"/>
      <w:bookmarkEnd w:id="159"/>
      <w:r>
        <w:rPr>
          <w:rStyle w:val="11"/>
          <w:rFonts w:hint="eastAsia"/>
          <w:sz w:val="21"/>
          <w:szCs w:val="21"/>
        </w:rPr>
        <w:t>一、《基金合同》的变更</w:t>
      </w:r>
    </w:p>
    <w:p w14:paraId="28A0448E">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64677F54">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03EB412B">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63796194">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3D84087E">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6FC774A2">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763C6105">
      <w:pPr>
        <w:pStyle w:val="7"/>
        <w:spacing w:before="0" w:beforeAutospacing="0" w:after="0" w:afterAutospacing="0" w:line="360" w:lineRule="auto"/>
        <w:ind w:firstLine="420"/>
        <w:rPr>
          <w:sz w:val="21"/>
          <w:szCs w:val="21"/>
        </w:rPr>
      </w:pPr>
      <w:r>
        <w:rPr>
          <w:rFonts w:hint="eastAsia"/>
          <w:sz w:val="21"/>
          <w:szCs w:val="21"/>
        </w:rPr>
        <w:t>3、《基金合同》约定的其他情形；</w:t>
      </w:r>
    </w:p>
    <w:p w14:paraId="1718732D">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14:paraId="6A3402B3">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64C4B685">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0D63D860">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3487BDF4">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3、基金财产清算小组组成：基金财产清算小组成员由基金管理人、基金托管人、符合《证券法》规定的注册会计师、律师以及中国证监会指定的人员组成。基金财产清算小组可以聘用必要的工作人员。</w:t>
      </w:r>
    </w:p>
    <w:p w14:paraId="6EB81CB2">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11DD937A">
      <w:pPr>
        <w:pStyle w:val="7"/>
        <w:spacing w:before="0" w:beforeAutospacing="0" w:after="0" w:afterAutospacing="0" w:line="360" w:lineRule="auto"/>
        <w:ind w:firstLine="420"/>
        <w:rPr>
          <w:sz w:val="21"/>
          <w:szCs w:val="21"/>
        </w:rPr>
      </w:pPr>
      <w:r>
        <w:rPr>
          <w:rFonts w:hint="eastAsia"/>
          <w:sz w:val="21"/>
          <w:szCs w:val="21"/>
        </w:rPr>
        <w:t>5、基金财产清算程序：</w:t>
      </w:r>
    </w:p>
    <w:p w14:paraId="13E30ABB">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7AF5521F">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3D15F6A7">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0258D2D9">
      <w:pPr>
        <w:pStyle w:val="7"/>
        <w:spacing w:before="0" w:beforeAutospacing="0" w:after="0" w:afterAutospacing="0" w:line="360" w:lineRule="auto"/>
        <w:ind w:firstLine="420"/>
        <w:rPr>
          <w:sz w:val="21"/>
          <w:szCs w:val="21"/>
        </w:rPr>
      </w:pPr>
      <w:r>
        <w:rPr>
          <w:rFonts w:hint="eastAsia"/>
          <w:sz w:val="21"/>
          <w:szCs w:val="21"/>
        </w:rPr>
        <w:t>（4）制作清算报告；</w:t>
      </w:r>
    </w:p>
    <w:p w14:paraId="0373A3E0">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6415AB1A">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17BB87F7">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3D5AACC5">
      <w:pPr>
        <w:pStyle w:val="7"/>
        <w:spacing w:before="0" w:beforeAutospacing="0" w:after="0" w:afterAutospacing="0" w:line="360" w:lineRule="auto"/>
        <w:ind w:firstLine="420"/>
        <w:rPr>
          <w:sz w:val="21"/>
          <w:szCs w:val="21"/>
        </w:rPr>
      </w:pPr>
      <w:r>
        <w:rPr>
          <w:rFonts w:hint="eastAsia"/>
          <w:sz w:val="21"/>
          <w:szCs w:val="21"/>
        </w:rPr>
        <w:t>6、基金财产清算的期限为6个月，但因本基金所持证券的流动性受到限制而不能及时变现的，清算期限相应顺延。</w:t>
      </w:r>
    </w:p>
    <w:p w14:paraId="2DEC8934">
      <w:pPr>
        <w:pStyle w:val="7"/>
        <w:spacing w:before="0" w:beforeAutospacing="0" w:after="0" w:afterAutospacing="0" w:line="360" w:lineRule="auto"/>
        <w:ind w:firstLine="420"/>
        <w:rPr>
          <w:sz w:val="21"/>
          <w:szCs w:val="21"/>
        </w:rPr>
      </w:pPr>
      <w:r>
        <w:rPr>
          <w:rStyle w:val="11"/>
          <w:rFonts w:hint="eastAsia"/>
          <w:sz w:val="21"/>
          <w:szCs w:val="21"/>
        </w:rPr>
        <w:t>四、清算费用</w:t>
      </w:r>
    </w:p>
    <w:p w14:paraId="5595CA67">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14:paraId="7B2CF541">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1A565F64">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60BD687F">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14CC05AF">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080A42E">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1F3376EE">
      <w:pPr>
        <w:pStyle w:val="7"/>
        <w:spacing w:before="0" w:beforeAutospacing="0" w:after="0" w:afterAutospacing="0" w:line="360" w:lineRule="auto"/>
        <w:ind w:firstLine="420"/>
        <w:rPr>
          <w:sz w:val="21"/>
          <w:szCs w:val="21"/>
        </w:rPr>
      </w:pPr>
      <w:bookmarkStart w:id="160" w:name="chapter_level1_23_69_section_1_end"/>
      <w:bookmarkEnd w:id="160"/>
      <w:r>
        <w:rPr>
          <w:rFonts w:hint="eastAsia"/>
          <w:sz w:val="21"/>
          <w:szCs w:val="21"/>
        </w:rPr>
        <w:t>基金财产清算账册及有关文件由基金托管人保存，保存期限不低于法定最低期限。</w:t>
      </w:r>
    </w:p>
    <w:p w14:paraId="75642CE1">
      <w:pPr>
        <w:widowControl/>
        <w:jc w:val="left"/>
        <w:rPr>
          <w:rFonts w:ascii="宋体" w:hAnsi="宋体" w:eastAsia="宋体"/>
        </w:rPr>
      </w:pPr>
      <w:r>
        <w:rPr>
          <w:rFonts w:ascii="宋体" w:hAnsi="宋体" w:eastAsia="宋体"/>
        </w:rPr>
        <w:br w:type="page"/>
      </w:r>
    </w:p>
    <w:p w14:paraId="2C8B8D34">
      <w:pPr>
        <w:pStyle w:val="2"/>
        <w:jc w:val="center"/>
        <w:rPr>
          <w:rFonts w:ascii="宋体" w:hAnsi="宋体" w:eastAsia="宋体"/>
          <w:sz w:val="30"/>
        </w:rPr>
      </w:pPr>
      <w:bookmarkStart w:id="161" w:name="chapter_level1_24_71"/>
      <w:bookmarkStart w:id="162" w:name="_Toc23884"/>
      <w:r>
        <w:rPr>
          <w:rFonts w:hint="eastAsia" w:ascii="宋体" w:hAnsi="宋体" w:eastAsia="宋体"/>
          <w:sz w:val="30"/>
        </w:rPr>
        <w:t>第</w:t>
      </w:r>
      <w:r>
        <w:rPr>
          <w:rFonts w:hint="eastAsia" w:ascii="宋体" w:hAnsi="宋体" w:eastAsia="宋体"/>
          <w:sz w:val="30"/>
          <w:lang w:val="en-US" w:eastAsia="zh-CN"/>
        </w:rPr>
        <w:t>十九</w:t>
      </w:r>
      <w:r>
        <w:rPr>
          <w:rFonts w:hint="eastAsia" w:ascii="宋体" w:hAnsi="宋体" w:eastAsia="宋体"/>
          <w:sz w:val="30"/>
        </w:rPr>
        <w:t>部分  基金合同的内容摘要</w:t>
      </w:r>
      <w:bookmarkEnd w:id="161"/>
      <w:bookmarkEnd w:id="162"/>
    </w:p>
    <w:p w14:paraId="52F8CE3D">
      <w:pPr>
        <w:pStyle w:val="7"/>
        <w:spacing w:before="0" w:beforeAutospacing="0" w:after="0" w:afterAutospacing="0" w:line="360" w:lineRule="auto"/>
        <w:ind w:firstLine="420"/>
        <w:rPr>
          <w:sz w:val="21"/>
          <w:szCs w:val="21"/>
        </w:rPr>
      </w:pPr>
      <w:bookmarkStart w:id="163" w:name="chapter_level1_24_71_section_1"/>
      <w:bookmarkEnd w:id="163"/>
      <w:r>
        <w:rPr>
          <w:rStyle w:val="11"/>
          <w:rFonts w:hint="eastAsia"/>
          <w:sz w:val="21"/>
          <w:szCs w:val="21"/>
        </w:rPr>
        <w:t>一、基金份额持有人、基金管理人和基金托管人的权利、义务</w:t>
      </w:r>
    </w:p>
    <w:p w14:paraId="5EDD75DD">
      <w:pPr>
        <w:pStyle w:val="7"/>
        <w:spacing w:before="0" w:beforeAutospacing="0" w:after="0" w:afterAutospacing="0" w:line="360" w:lineRule="auto"/>
        <w:ind w:firstLine="420"/>
        <w:rPr>
          <w:sz w:val="21"/>
          <w:szCs w:val="21"/>
        </w:rPr>
      </w:pPr>
      <w:r>
        <w:rPr>
          <w:rFonts w:hint="eastAsia"/>
          <w:sz w:val="21"/>
          <w:szCs w:val="21"/>
        </w:rPr>
        <w:t>（一）基金份额持有人的权利与义务</w:t>
      </w:r>
    </w:p>
    <w:p w14:paraId="549BEC90">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57372BD">
      <w:pPr>
        <w:pStyle w:val="7"/>
        <w:spacing w:before="0" w:beforeAutospacing="0" w:after="0" w:afterAutospacing="0" w:line="360" w:lineRule="auto"/>
        <w:ind w:firstLine="420"/>
        <w:rPr>
          <w:sz w:val="21"/>
          <w:szCs w:val="21"/>
        </w:rPr>
      </w:pPr>
      <w:r>
        <w:rPr>
          <w:rFonts w:hint="eastAsia"/>
          <w:sz w:val="21"/>
          <w:szCs w:val="21"/>
        </w:rPr>
        <w:t>每份基金份额具有同等的合法权益。</w:t>
      </w:r>
    </w:p>
    <w:p w14:paraId="79CED0E7">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14:paraId="68464D81">
      <w:pPr>
        <w:pStyle w:val="7"/>
        <w:spacing w:before="0" w:beforeAutospacing="0" w:after="0" w:afterAutospacing="0" w:line="360" w:lineRule="auto"/>
        <w:ind w:firstLine="420"/>
        <w:rPr>
          <w:sz w:val="21"/>
          <w:szCs w:val="21"/>
        </w:rPr>
      </w:pPr>
      <w:r>
        <w:rPr>
          <w:rFonts w:hint="eastAsia"/>
          <w:sz w:val="21"/>
          <w:szCs w:val="21"/>
        </w:rPr>
        <w:t>（1）分享基金财产收益；</w:t>
      </w:r>
    </w:p>
    <w:p w14:paraId="0035CE53">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14:paraId="11FD9164">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14:paraId="60FF6A2C">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14:paraId="4B400C7C">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14:paraId="3F3CEF5A">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14:paraId="5D78EB43">
      <w:pPr>
        <w:pStyle w:val="7"/>
        <w:spacing w:before="0" w:beforeAutospacing="0" w:after="0" w:afterAutospacing="0" w:line="360" w:lineRule="auto"/>
        <w:ind w:firstLine="420"/>
        <w:rPr>
          <w:sz w:val="21"/>
          <w:szCs w:val="21"/>
        </w:rPr>
      </w:pPr>
      <w:r>
        <w:rPr>
          <w:rFonts w:hint="eastAsia"/>
          <w:sz w:val="21"/>
          <w:szCs w:val="21"/>
        </w:rPr>
        <w:t>（7）监督基金管理人的投资运作；</w:t>
      </w:r>
    </w:p>
    <w:p w14:paraId="65CA1DAD">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14:paraId="6F5AA579">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14:paraId="55AF634E">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14:paraId="45303581">
      <w:pPr>
        <w:pStyle w:val="7"/>
        <w:spacing w:before="0" w:beforeAutospacing="0" w:after="0" w:afterAutospacing="0" w:line="360" w:lineRule="auto"/>
        <w:ind w:firstLine="420"/>
        <w:rPr>
          <w:sz w:val="21"/>
          <w:szCs w:val="21"/>
        </w:rPr>
      </w:pPr>
      <w:r>
        <w:rPr>
          <w:rFonts w:hint="eastAsia"/>
          <w:sz w:val="21"/>
          <w:szCs w:val="21"/>
        </w:rPr>
        <w:t>（1）认真阅读并遵守《基金合同》、招募说明书及基金产品资料概要等信息披露文件；</w:t>
      </w:r>
    </w:p>
    <w:p w14:paraId="55F90F1E">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14:paraId="32A7F21A">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14:paraId="22EE801B">
      <w:pPr>
        <w:pStyle w:val="7"/>
        <w:spacing w:before="0" w:beforeAutospacing="0" w:after="0" w:afterAutospacing="0" w:line="360" w:lineRule="auto"/>
        <w:ind w:firstLine="420"/>
        <w:rPr>
          <w:sz w:val="21"/>
          <w:szCs w:val="21"/>
        </w:rPr>
      </w:pPr>
      <w:r>
        <w:rPr>
          <w:rFonts w:hint="eastAsia"/>
          <w:sz w:val="21"/>
          <w:szCs w:val="21"/>
        </w:rPr>
        <w:t>（4）交纳基金认购款项、申购对价及法律法规和《基金合同》所规定的费用；</w:t>
      </w:r>
    </w:p>
    <w:p w14:paraId="6D825425">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14:paraId="78DE97A8">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14:paraId="5D775EE1">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14:paraId="0CE7777B">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14:paraId="33F8D91B">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（9）法律法规及中国证监会规定的和《基金合同》约定的其他义务。</w:t>
      </w:r>
    </w:p>
    <w:p w14:paraId="5A273B51">
      <w:pPr>
        <w:pStyle w:val="7"/>
        <w:spacing w:before="0" w:beforeAutospacing="0" w:after="0" w:afterAutospacing="0" w:line="360" w:lineRule="auto"/>
        <w:ind w:firstLine="420"/>
        <w:rPr>
          <w:sz w:val="21"/>
          <w:szCs w:val="21"/>
        </w:rPr>
      </w:pPr>
      <w:r>
        <w:rPr>
          <w:rFonts w:hint="eastAsia"/>
          <w:sz w:val="21"/>
          <w:szCs w:val="21"/>
        </w:rPr>
        <w:t>（二）基金管理人的权利与义务</w:t>
      </w:r>
    </w:p>
    <w:p w14:paraId="1E04808B">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14:paraId="5B7D48C2">
      <w:pPr>
        <w:pStyle w:val="7"/>
        <w:spacing w:before="0" w:beforeAutospacing="0" w:after="0" w:afterAutospacing="0" w:line="360" w:lineRule="auto"/>
        <w:ind w:firstLine="420"/>
        <w:rPr>
          <w:sz w:val="21"/>
          <w:szCs w:val="21"/>
        </w:rPr>
      </w:pPr>
      <w:r>
        <w:rPr>
          <w:rFonts w:hint="eastAsia"/>
          <w:sz w:val="21"/>
          <w:szCs w:val="21"/>
        </w:rPr>
        <w:t>（1）依法募集资金；</w:t>
      </w:r>
    </w:p>
    <w:p w14:paraId="25933627">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14:paraId="3A9DEA71">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14:paraId="20DC3C81">
      <w:pPr>
        <w:pStyle w:val="7"/>
        <w:spacing w:before="0" w:beforeAutospacing="0" w:after="0" w:afterAutospacing="0" w:line="360" w:lineRule="auto"/>
        <w:ind w:firstLine="420"/>
        <w:rPr>
          <w:sz w:val="21"/>
          <w:szCs w:val="21"/>
        </w:rPr>
      </w:pPr>
      <w:r>
        <w:rPr>
          <w:rFonts w:hint="eastAsia"/>
          <w:sz w:val="21"/>
          <w:szCs w:val="21"/>
        </w:rPr>
        <w:t>（4）销售基金份额；</w:t>
      </w:r>
    </w:p>
    <w:p w14:paraId="62401189">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14:paraId="02F5B3EA">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70C87B83">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14:paraId="00D94D9C">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14:paraId="75398DEA">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14:paraId="47B79F30">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78C8158B">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（11）在《基金合同》约定的范围内，拒绝或暂停受理申购与赎回申请； </w:t>
      </w:r>
    </w:p>
    <w:p w14:paraId="4FA35491">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14:paraId="43CAB255">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（13）在法律法规允许的前提下，为基金的利益依法为基金进行融资和转融通证券出借业务；</w:t>
      </w:r>
    </w:p>
    <w:p w14:paraId="0C7929BB">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0C6B06C0">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2C0BF27C">
      <w:pPr>
        <w:pStyle w:val="7"/>
        <w:spacing w:before="0" w:beforeAutospacing="0" w:after="0" w:afterAutospacing="0" w:line="360" w:lineRule="auto"/>
        <w:ind w:firstLine="420"/>
        <w:rPr>
          <w:sz w:val="21"/>
          <w:szCs w:val="21"/>
        </w:rPr>
      </w:pPr>
      <w:r>
        <w:rPr>
          <w:rFonts w:hint="eastAsia"/>
          <w:sz w:val="21"/>
          <w:szCs w:val="21"/>
        </w:rPr>
        <w:t>（16）在符合有关法律、法规、相关证券交易所及登记机构相关业务规则的规定及基金合同的前提下，制订和调整有关基金认购、申购、赎回等业务规则；</w:t>
      </w:r>
    </w:p>
    <w:p w14:paraId="432FAFCC">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14:paraId="68B4045C">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14:paraId="592E47AA">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14:paraId="2A47C159">
      <w:pPr>
        <w:pStyle w:val="7"/>
        <w:spacing w:before="0" w:beforeAutospacing="0" w:after="0" w:afterAutospacing="0" w:line="360" w:lineRule="auto"/>
        <w:ind w:firstLine="420"/>
        <w:rPr>
          <w:sz w:val="21"/>
          <w:szCs w:val="21"/>
        </w:rPr>
      </w:pPr>
      <w:r>
        <w:rPr>
          <w:rFonts w:hint="eastAsia"/>
          <w:sz w:val="21"/>
          <w:szCs w:val="21"/>
        </w:rPr>
        <w:t>（2）办理基金备案手续；</w:t>
      </w:r>
    </w:p>
    <w:p w14:paraId="3CE0A99D">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14:paraId="77F77B8C">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14:paraId="5D552AE5">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60F8C439">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14:paraId="16494275">
      <w:pPr>
        <w:pStyle w:val="7"/>
        <w:spacing w:before="0" w:beforeAutospacing="0" w:after="0" w:afterAutospacing="0" w:line="360" w:lineRule="auto"/>
        <w:ind w:firstLine="420"/>
        <w:rPr>
          <w:sz w:val="21"/>
          <w:szCs w:val="21"/>
        </w:rPr>
      </w:pPr>
      <w:r>
        <w:rPr>
          <w:rFonts w:hint="eastAsia"/>
          <w:sz w:val="21"/>
          <w:szCs w:val="21"/>
        </w:rPr>
        <w:t>（7）依法接受基金托管人的监督；</w:t>
      </w:r>
    </w:p>
    <w:p w14:paraId="71CB85B8">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5E1D1342">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14:paraId="1855E869">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14:paraId="169AD042">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14:paraId="1765D5D8">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法律、法规另有规定的以及审计需要的除外；</w:t>
      </w:r>
    </w:p>
    <w:p w14:paraId="64946748">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14:paraId="034AF8B0">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（14）按规定受理申购与赎回申请，及时、足额支付赎回对价；</w:t>
      </w:r>
    </w:p>
    <w:p w14:paraId="51F8C8D9">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3F4E4FA3">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（16）按规定保存基金财产管理业务活动的会计账册、报表、记录和其他相关资料，保存期限不低于法定最低期限；</w:t>
      </w:r>
    </w:p>
    <w:p w14:paraId="6195CEBE">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5CECFF9">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14:paraId="39F6ACB8">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14:paraId="62A690C1">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14:paraId="4626E1F8">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2815BBEC">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14:paraId="7FC6792E">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w:t>
      </w:r>
    </w:p>
    <w:p w14:paraId="449852A6">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w:t>
      </w:r>
    </w:p>
    <w:p w14:paraId="09C6A7A8">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14:paraId="3A1D02D7">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14:paraId="0AB65B0B">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14:paraId="635F2EC0">
      <w:pPr>
        <w:pStyle w:val="7"/>
        <w:spacing w:before="0" w:beforeAutospacing="0" w:after="0" w:afterAutospacing="0" w:line="360" w:lineRule="auto"/>
        <w:ind w:firstLine="420"/>
        <w:rPr>
          <w:sz w:val="21"/>
          <w:szCs w:val="21"/>
        </w:rPr>
      </w:pPr>
      <w:r>
        <w:rPr>
          <w:rFonts w:hint="eastAsia"/>
          <w:sz w:val="21"/>
          <w:szCs w:val="21"/>
        </w:rPr>
        <w:t>（三） 基金托管人的权利与义务</w:t>
      </w:r>
    </w:p>
    <w:p w14:paraId="18BF4AA5">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14:paraId="3B684B85">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14:paraId="499932A0">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14:paraId="2F38A584">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027A31D">
      <w:pPr>
        <w:pStyle w:val="7"/>
        <w:spacing w:before="0" w:beforeAutospacing="0" w:after="0" w:afterAutospacing="0" w:line="360" w:lineRule="auto"/>
        <w:ind w:firstLine="420"/>
        <w:rPr>
          <w:sz w:val="21"/>
          <w:szCs w:val="21"/>
        </w:rPr>
      </w:pPr>
      <w:r>
        <w:rPr>
          <w:rFonts w:hint="eastAsia"/>
          <w:sz w:val="21"/>
          <w:szCs w:val="21"/>
        </w:rPr>
        <w:t>（4）根据相关市场规则，为基金开设资金账户、证券账户等投资所需账户，为基金办理证券、期货交易资金清算；</w:t>
      </w:r>
    </w:p>
    <w:p w14:paraId="7C1DBB5F">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14:paraId="18ABFCCC">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14:paraId="7213AEC8">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14:paraId="22A10966">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14:paraId="621AB5FE">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14:paraId="447DBEFD">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14:paraId="1B1F5774">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69DFB887">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14:paraId="4FD5A3DA">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14:paraId="6569B8C6">
      <w:pPr>
        <w:pStyle w:val="7"/>
        <w:spacing w:before="0" w:beforeAutospacing="0" w:after="0" w:afterAutospacing="0" w:line="360" w:lineRule="auto"/>
        <w:ind w:firstLine="420"/>
        <w:rPr>
          <w:sz w:val="21"/>
          <w:szCs w:val="21"/>
        </w:rPr>
      </w:pPr>
      <w:r>
        <w:rPr>
          <w:rFonts w:hint="eastAsia"/>
          <w:sz w:val="21"/>
          <w:szCs w:val="21"/>
        </w:rPr>
        <w:t>（6）按规定开设基金财产的资金账户、证券账户等投资所需账户，按照《基金合同》的约定，根据基金管理人的投资指令，及时办理清算、交割事宜；</w:t>
      </w:r>
    </w:p>
    <w:p w14:paraId="4F7C93AC">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（7）保守基金商业秘密，除《基金法》、《基金合同》及其他有关规定另有规定外，在基金信息公开披露前予以保密，不得向他人泄露，法律、法规另有规定的以及审计需要的除外；</w:t>
      </w:r>
    </w:p>
    <w:p w14:paraId="55DC6382">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（8）复核、审查基金管理人计算的基金资产净值、基金份额净值、基金份额申购、赎回对价；</w:t>
      </w:r>
    </w:p>
    <w:p w14:paraId="6352ABCF">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14:paraId="7CF0D9AB">
      <w:pPr>
        <w:pStyle w:val="7"/>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2C083958">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（11）保存基金托管业务活动的记录、账册、报表和其他相关资料，保存期限不低于法定最低期限；</w:t>
      </w:r>
    </w:p>
    <w:p w14:paraId="2A4AF7A4">
      <w:pPr>
        <w:pStyle w:val="7"/>
        <w:spacing w:before="0" w:beforeAutospacing="0" w:after="0" w:afterAutospacing="0" w:line="360" w:lineRule="auto"/>
        <w:ind w:firstLine="420"/>
        <w:rPr>
          <w:sz w:val="21"/>
          <w:szCs w:val="21"/>
        </w:rPr>
      </w:pPr>
      <w:r>
        <w:rPr>
          <w:rFonts w:hint="eastAsia"/>
          <w:sz w:val="21"/>
          <w:szCs w:val="21"/>
        </w:rPr>
        <w:t>（12）从基金管理人或其委托的登记机构处接收并保存基金份额持有人名册；</w:t>
      </w:r>
    </w:p>
    <w:p w14:paraId="438120F8">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14:paraId="61ACE5DD">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（14）依据基金管理人的指令或有关规定向基金份额持有人支付基金收益和赎回对价的现金部分；</w:t>
      </w:r>
    </w:p>
    <w:p w14:paraId="441C4958">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14:paraId="4A815C56">
      <w:pPr>
        <w:pStyle w:val="7"/>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14:paraId="1209A7E1">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14:paraId="5B0A5148">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（18）面临解散、依法被撤销或者被依法宣告破产时，及时报告中国证监会，并通知基金管理人；</w:t>
      </w:r>
    </w:p>
    <w:p w14:paraId="47C6213C">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14:paraId="795E68DA">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14:paraId="7A85CF6A">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14:paraId="524444C9">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14:paraId="51CB3D9A">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71509B30">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基金份额持有人大会由基金份额持有人组成，基金份额持有人的合法授权代表有权代表基金份额持有人出席会议并表决。基金份额持有人持有的每一基金份额拥有平等的投票权。</w:t>
      </w:r>
    </w:p>
    <w:p w14:paraId="14E4A770">
      <w:pPr>
        <w:pStyle w:val="7"/>
        <w:spacing w:before="0" w:beforeAutospacing="0" w:after="0" w:afterAutospacing="0" w:line="360" w:lineRule="auto"/>
        <w:ind w:firstLine="420"/>
        <w:rPr>
          <w:sz w:val="21"/>
          <w:szCs w:val="21"/>
        </w:rPr>
      </w:pPr>
      <w:r>
        <w:rPr>
          <w:rFonts w:hint="eastAsia"/>
          <w:sz w:val="21"/>
          <w:szCs w:val="21"/>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0860533F">
      <w:pPr>
        <w:pStyle w:val="7"/>
        <w:spacing w:before="0" w:beforeAutospacing="0" w:after="0" w:afterAutospacing="0" w:line="360" w:lineRule="auto"/>
        <w:ind w:firstLine="420"/>
        <w:rPr>
          <w:sz w:val="21"/>
          <w:szCs w:val="21"/>
        </w:rPr>
      </w:pPr>
      <w:r>
        <w:rPr>
          <w:rFonts w:hint="eastAsia"/>
          <w:sz w:val="21"/>
          <w:szCs w:val="21"/>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3DDC637E">
      <w:pPr>
        <w:pStyle w:val="7"/>
        <w:spacing w:before="0" w:beforeAutospacing="0" w:after="0" w:afterAutospacing="0" w:line="360" w:lineRule="auto"/>
        <w:ind w:firstLine="420"/>
        <w:rPr>
          <w:sz w:val="21"/>
          <w:szCs w:val="21"/>
        </w:rPr>
      </w:pPr>
      <w:r>
        <w:rPr>
          <w:rFonts w:hint="eastAsia"/>
          <w:sz w:val="21"/>
          <w:szCs w:val="21"/>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6B0174F0">
      <w:pPr>
        <w:pStyle w:val="7"/>
        <w:spacing w:before="0" w:beforeAutospacing="0" w:after="0" w:afterAutospacing="0" w:line="360" w:lineRule="auto"/>
        <w:ind w:firstLine="420"/>
        <w:rPr>
          <w:sz w:val="21"/>
          <w:szCs w:val="21"/>
        </w:rPr>
      </w:pPr>
      <w:r>
        <w:rPr>
          <w:rFonts w:hint="eastAsia"/>
          <w:sz w:val="21"/>
          <w:szCs w:val="21"/>
        </w:rPr>
        <w:t>本基金份额持有人大会不设日常机构。</w:t>
      </w:r>
    </w:p>
    <w:p w14:paraId="27EDDF97">
      <w:pPr>
        <w:pStyle w:val="7"/>
        <w:spacing w:before="0" w:beforeAutospacing="0" w:after="0" w:afterAutospacing="0" w:line="360" w:lineRule="auto"/>
        <w:ind w:firstLine="420"/>
        <w:rPr>
          <w:sz w:val="21"/>
          <w:szCs w:val="21"/>
        </w:rPr>
      </w:pPr>
      <w:r>
        <w:rPr>
          <w:rFonts w:hint="eastAsia"/>
          <w:sz w:val="21"/>
          <w:szCs w:val="21"/>
        </w:rPr>
        <w:t>法律法规或监管机构对基金份额持有人大会另有规定的，从其规定。</w:t>
      </w:r>
    </w:p>
    <w:p w14:paraId="23781E7D">
      <w:pPr>
        <w:pStyle w:val="7"/>
        <w:spacing w:before="0" w:beforeAutospacing="0" w:after="0" w:afterAutospacing="0" w:line="360" w:lineRule="auto"/>
        <w:ind w:firstLine="420"/>
        <w:rPr>
          <w:sz w:val="21"/>
          <w:szCs w:val="21"/>
        </w:rPr>
      </w:pPr>
      <w:r>
        <w:rPr>
          <w:rFonts w:hint="eastAsia"/>
          <w:sz w:val="21"/>
          <w:szCs w:val="21"/>
        </w:rPr>
        <w:t>（一）召开事由</w:t>
      </w:r>
    </w:p>
    <w:p w14:paraId="1BCDCFF5">
      <w:pPr>
        <w:pStyle w:val="7"/>
        <w:spacing w:before="0" w:beforeAutospacing="0" w:after="0" w:afterAutospacing="0" w:line="360" w:lineRule="auto"/>
        <w:ind w:firstLine="420"/>
        <w:rPr>
          <w:sz w:val="21"/>
          <w:szCs w:val="21"/>
        </w:rPr>
      </w:pPr>
      <w:r>
        <w:rPr>
          <w:rFonts w:hint="eastAsia"/>
          <w:sz w:val="21"/>
          <w:szCs w:val="21"/>
        </w:rPr>
        <w:t>1、除法律法规、中国证监会和基金合同另有规定外，当出现或需要决定下列事由之一的，应当召开基金份额持有人大会：</w:t>
      </w:r>
    </w:p>
    <w:p w14:paraId="1546FEC7">
      <w:pPr>
        <w:pStyle w:val="7"/>
        <w:spacing w:before="0" w:beforeAutospacing="0" w:after="0" w:afterAutospacing="0" w:line="360" w:lineRule="auto"/>
        <w:ind w:firstLine="420"/>
        <w:rPr>
          <w:sz w:val="21"/>
          <w:szCs w:val="21"/>
        </w:rPr>
      </w:pPr>
      <w:r>
        <w:rPr>
          <w:rFonts w:hint="eastAsia"/>
          <w:sz w:val="21"/>
          <w:szCs w:val="21"/>
        </w:rPr>
        <w:t>（1）终止《基金合同》；</w:t>
      </w:r>
    </w:p>
    <w:p w14:paraId="6BBB5854">
      <w:pPr>
        <w:pStyle w:val="7"/>
        <w:spacing w:before="0" w:beforeAutospacing="0" w:after="0" w:afterAutospacing="0" w:line="360" w:lineRule="auto"/>
        <w:ind w:firstLine="420"/>
        <w:rPr>
          <w:sz w:val="21"/>
          <w:szCs w:val="21"/>
        </w:rPr>
      </w:pPr>
      <w:r>
        <w:rPr>
          <w:rFonts w:hint="eastAsia"/>
          <w:sz w:val="21"/>
          <w:szCs w:val="21"/>
        </w:rPr>
        <w:t>（2）更换基金管理人；</w:t>
      </w:r>
    </w:p>
    <w:p w14:paraId="47844AD1">
      <w:pPr>
        <w:pStyle w:val="7"/>
        <w:spacing w:before="0" w:beforeAutospacing="0" w:after="0" w:afterAutospacing="0" w:line="360" w:lineRule="auto"/>
        <w:ind w:firstLine="420"/>
        <w:rPr>
          <w:sz w:val="21"/>
          <w:szCs w:val="21"/>
        </w:rPr>
      </w:pPr>
      <w:r>
        <w:rPr>
          <w:rFonts w:hint="eastAsia"/>
          <w:sz w:val="21"/>
          <w:szCs w:val="21"/>
        </w:rPr>
        <w:t>（3）更换基金托管人；</w:t>
      </w:r>
    </w:p>
    <w:p w14:paraId="449A0F31">
      <w:pPr>
        <w:pStyle w:val="7"/>
        <w:spacing w:before="0" w:beforeAutospacing="0" w:after="0" w:afterAutospacing="0" w:line="360" w:lineRule="auto"/>
        <w:ind w:firstLine="420"/>
        <w:rPr>
          <w:sz w:val="21"/>
          <w:szCs w:val="21"/>
        </w:rPr>
      </w:pPr>
      <w:r>
        <w:rPr>
          <w:rFonts w:hint="eastAsia"/>
          <w:sz w:val="21"/>
          <w:szCs w:val="21"/>
        </w:rPr>
        <w:t>（4）转换基金运作方式；</w:t>
      </w:r>
    </w:p>
    <w:p w14:paraId="75D12853">
      <w:pPr>
        <w:pStyle w:val="7"/>
        <w:spacing w:before="0" w:beforeAutospacing="0" w:after="0" w:afterAutospacing="0" w:line="360" w:lineRule="auto"/>
        <w:ind w:firstLine="420"/>
        <w:rPr>
          <w:sz w:val="21"/>
          <w:szCs w:val="21"/>
        </w:rPr>
      </w:pPr>
      <w:r>
        <w:rPr>
          <w:rFonts w:hint="eastAsia"/>
          <w:sz w:val="21"/>
          <w:szCs w:val="21"/>
        </w:rPr>
        <w:t>（5）调整基金管理人、基金托管人的报酬标准；</w:t>
      </w:r>
    </w:p>
    <w:p w14:paraId="4C397921">
      <w:pPr>
        <w:pStyle w:val="7"/>
        <w:spacing w:before="0" w:beforeAutospacing="0" w:after="0" w:afterAutospacing="0" w:line="360" w:lineRule="auto"/>
        <w:ind w:firstLine="420"/>
        <w:rPr>
          <w:sz w:val="21"/>
          <w:szCs w:val="21"/>
        </w:rPr>
      </w:pPr>
      <w:r>
        <w:rPr>
          <w:rFonts w:hint="eastAsia"/>
          <w:sz w:val="21"/>
          <w:szCs w:val="21"/>
        </w:rPr>
        <w:t>（6）变更基金类别；</w:t>
      </w:r>
    </w:p>
    <w:p w14:paraId="32A6118C">
      <w:pPr>
        <w:pStyle w:val="7"/>
        <w:spacing w:before="0" w:beforeAutospacing="0" w:after="0" w:afterAutospacing="0" w:line="360" w:lineRule="auto"/>
        <w:ind w:firstLine="420"/>
        <w:rPr>
          <w:sz w:val="21"/>
          <w:szCs w:val="21"/>
        </w:rPr>
      </w:pPr>
      <w:r>
        <w:rPr>
          <w:rFonts w:hint="eastAsia"/>
          <w:sz w:val="21"/>
          <w:szCs w:val="21"/>
        </w:rPr>
        <w:t>（7）本基金与其他基金的合并；</w:t>
      </w:r>
    </w:p>
    <w:p w14:paraId="3698B945">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14:paraId="371E6D96">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14:paraId="3070C636">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14:paraId="56333524">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14:paraId="1342A68E">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14:paraId="1D2A7A99">
      <w:pPr>
        <w:pStyle w:val="7"/>
        <w:spacing w:before="0" w:beforeAutospacing="0" w:after="0" w:afterAutospacing="0" w:line="360" w:lineRule="auto"/>
        <w:ind w:firstLine="420"/>
        <w:rPr>
          <w:sz w:val="21"/>
          <w:szCs w:val="21"/>
        </w:rPr>
      </w:pPr>
      <w:r>
        <w:rPr>
          <w:rFonts w:hint="eastAsia"/>
          <w:sz w:val="21"/>
          <w:szCs w:val="21"/>
        </w:rPr>
        <w:t>（13）终止基金上市，但因基金不再具备上市条件而被深圳证券交易所终止上市的情形除外；</w:t>
      </w:r>
    </w:p>
    <w:p w14:paraId="4ECE2F12">
      <w:pPr>
        <w:pStyle w:val="7"/>
        <w:spacing w:before="0" w:beforeAutospacing="0" w:after="0" w:afterAutospacing="0" w:line="360" w:lineRule="auto"/>
        <w:ind w:firstLine="420"/>
        <w:rPr>
          <w:sz w:val="21"/>
          <w:szCs w:val="21"/>
        </w:rPr>
      </w:pPr>
      <w:r>
        <w:rPr>
          <w:rFonts w:hint="eastAsia"/>
          <w:sz w:val="21"/>
          <w:szCs w:val="21"/>
        </w:rPr>
        <w:t>（14）法律法规、《基金合同》或中国证监会规定的其他应当召开基金份额持有人大会的事项。</w:t>
      </w:r>
    </w:p>
    <w:p w14:paraId="5D83D314">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14:paraId="424A6A08">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14:paraId="625694E8">
      <w:pPr>
        <w:pStyle w:val="7"/>
        <w:spacing w:before="0" w:beforeAutospacing="0" w:after="0" w:afterAutospacing="0" w:line="360" w:lineRule="auto"/>
        <w:ind w:firstLine="420"/>
        <w:rPr>
          <w:sz w:val="21"/>
          <w:szCs w:val="21"/>
        </w:rPr>
      </w:pPr>
      <w:r>
        <w:rPr>
          <w:rFonts w:hint="eastAsia"/>
          <w:sz w:val="21"/>
          <w:szCs w:val="21"/>
        </w:rPr>
        <w:t>（2）调整本基金的申购费率或变更收费方式或调整基金份额类别设置、对基金份额分类办法及规则进行调整；</w:t>
      </w:r>
    </w:p>
    <w:p w14:paraId="4AF4BF7A">
      <w:pPr>
        <w:pStyle w:val="7"/>
        <w:spacing w:before="0" w:beforeAutospacing="0" w:after="0" w:afterAutospacing="0" w:line="360" w:lineRule="auto"/>
        <w:ind w:firstLine="420"/>
        <w:rPr>
          <w:sz w:val="21"/>
          <w:szCs w:val="21"/>
        </w:rPr>
      </w:pPr>
      <w:r>
        <w:rPr>
          <w:rFonts w:hint="eastAsia"/>
          <w:sz w:val="21"/>
          <w:szCs w:val="21"/>
        </w:rPr>
        <w:t>（3）因相应的法律法规、深圳证券交易所或者登记机构的相关业务规则发生变动而应当对《基金合同》进行修改；</w:t>
      </w:r>
    </w:p>
    <w:p w14:paraId="50BB2FE0">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14:paraId="1AB4248A">
      <w:pPr>
        <w:pStyle w:val="7"/>
        <w:spacing w:before="0" w:beforeAutospacing="0" w:after="0" w:afterAutospacing="0" w:line="360" w:lineRule="auto"/>
        <w:ind w:firstLine="420"/>
        <w:rPr>
          <w:sz w:val="21"/>
          <w:szCs w:val="21"/>
        </w:rPr>
      </w:pPr>
      <w:r>
        <w:rPr>
          <w:rFonts w:hint="eastAsia"/>
          <w:sz w:val="21"/>
          <w:szCs w:val="21"/>
        </w:rPr>
        <w:t>（5）在法律法规和中国证监会允许范围内调整有关基金申购、赎回、交易、转托管、非交易过户等业务的规则；</w:t>
      </w:r>
    </w:p>
    <w:p w14:paraId="7E472B3F">
      <w:pPr>
        <w:pStyle w:val="7"/>
        <w:spacing w:before="0" w:beforeAutospacing="0" w:after="0" w:afterAutospacing="0" w:line="360" w:lineRule="auto"/>
        <w:ind w:firstLine="420"/>
        <w:rPr>
          <w:sz w:val="21"/>
          <w:szCs w:val="21"/>
        </w:rPr>
      </w:pPr>
      <w:r>
        <w:rPr>
          <w:rFonts w:hint="eastAsia"/>
          <w:sz w:val="21"/>
          <w:szCs w:val="21"/>
        </w:rPr>
        <w:t>（6）经履行相关程序后，基金推出新业务或服务；</w:t>
      </w:r>
    </w:p>
    <w:p w14:paraId="5D9EAA2C">
      <w:pPr>
        <w:pStyle w:val="7"/>
        <w:spacing w:before="0" w:beforeAutospacing="0" w:after="0" w:afterAutospacing="0" w:line="360" w:lineRule="auto"/>
        <w:ind w:firstLine="420"/>
        <w:rPr>
          <w:sz w:val="21"/>
          <w:szCs w:val="21"/>
        </w:rPr>
      </w:pPr>
      <w:r>
        <w:rPr>
          <w:rFonts w:hint="eastAsia"/>
          <w:sz w:val="21"/>
          <w:szCs w:val="21"/>
        </w:rPr>
        <w:t>（7）调整基金的申购赎回方式及申购对价、赎回对价组成；调整申购赎回清单的内容，调整申购赎回清单计算和公告时间或频率；</w:t>
      </w:r>
    </w:p>
    <w:p w14:paraId="155A8979">
      <w:pPr>
        <w:pStyle w:val="7"/>
        <w:spacing w:before="0" w:beforeAutospacing="0" w:after="0" w:afterAutospacing="0" w:line="360" w:lineRule="auto"/>
        <w:ind w:firstLine="420"/>
        <w:rPr>
          <w:sz w:val="21"/>
          <w:szCs w:val="21"/>
        </w:rPr>
      </w:pPr>
      <w:r>
        <w:rPr>
          <w:rFonts w:hint="eastAsia"/>
          <w:sz w:val="21"/>
          <w:szCs w:val="21"/>
        </w:rPr>
        <w:t>（8）募集并管理以本基金为目标ETF的联接基金、在其他证券交易所上市；</w:t>
      </w:r>
    </w:p>
    <w:p w14:paraId="115935A0">
      <w:pPr>
        <w:pStyle w:val="7"/>
        <w:spacing w:before="0" w:beforeAutospacing="0" w:after="0" w:afterAutospacing="0" w:line="360" w:lineRule="auto"/>
        <w:ind w:firstLine="420"/>
        <w:rPr>
          <w:sz w:val="21"/>
          <w:szCs w:val="21"/>
        </w:rPr>
      </w:pPr>
      <w:r>
        <w:rPr>
          <w:rFonts w:hint="eastAsia"/>
          <w:sz w:val="21"/>
          <w:szCs w:val="21"/>
        </w:rPr>
        <w:t>（9）按照法律法规和《基金合同》规定不需召开基金份额持有人大会的其他情形。</w:t>
      </w:r>
    </w:p>
    <w:p w14:paraId="39749AE0">
      <w:pPr>
        <w:pStyle w:val="7"/>
        <w:spacing w:before="0" w:beforeAutospacing="0" w:after="0" w:afterAutospacing="0" w:line="360" w:lineRule="auto"/>
        <w:ind w:firstLine="420"/>
        <w:rPr>
          <w:sz w:val="21"/>
          <w:szCs w:val="21"/>
        </w:rPr>
      </w:pPr>
      <w:r>
        <w:rPr>
          <w:rFonts w:hint="eastAsia"/>
          <w:sz w:val="21"/>
          <w:szCs w:val="21"/>
        </w:rPr>
        <w:t>（二）会议召集人及召集方式</w:t>
      </w:r>
    </w:p>
    <w:p w14:paraId="61073CFE">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14:paraId="6FE89569">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14:paraId="7718F9C2">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1B987D7E">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5E49138">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522C893">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14:paraId="288D5EC5">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14:paraId="439F8B9C">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14:paraId="7CA6F4F8">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14:paraId="0E5D95CC">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14:paraId="7307E091">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14:paraId="3C239A6F">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14:paraId="55DCD3E6">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14:paraId="10A6E090">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14:paraId="2C39BEDC">
      <w:pPr>
        <w:pStyle w:val="7"/>
        <w:spacing w:before="0" w:beforeAutospacing="0" w:after="0" w:afterAutospacing="0" w:line="360" w:lineRule="auto"/>
        <w:ind w:firstLine="420"/>
        <w:rPr>
          <w:sz w:val="21"/>
          <w:szCs w:val="21"/>
        </w:rPr>
      </w:pPr>
      <w:r>
        <w:rPr>
          <w:rFonts w:hint="eastAsia"/>
          <w:sz w:val="21"/>
          <w:szCs w:val="21"/>
        </w:rPr>
        <w:t>（7）召集人需要通知的其他事项。</w:t>
      </w:r>
    </w:p>
    <w:p w14:paraId="6C3092A0">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2E85834">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0A1023C">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14:paraId="499BDA15">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14:paraId="5E716815">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DC12093">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81EB62D">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454294D">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059C16A3">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14:paraId="03CC6A45">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14:paraId="5EA7E070">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36D3620">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w:t>
      </w:r>
    </w:p>
    <w:p w14:paraId="4C4DAE75">
      <w:pPr>
        <w:pStyle w:val="7"/>
        <w:spacing w:before="0" w:beforeAutospacing="0" w:after="0" w:afterAutospacing="0" w:line="360" w:lineRule="auto"/>
        <w:ind w:firstLine="420"/>
        <w:rPr>
          <w:sz w:val="21"/>
          <w:szCs w:val="21"/>
        </w:rPr>
      </w:pPr>
      <w:r>
        <w:rPr>
          <w:rFonts w:hint="eastAsia"/>
          <w:sz w:val="21"/>
          <w:szCs w:val="21"/>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BED855C">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4D3C87A">
      <w:pPr>
        <w:pStyle w:val="7"/>
        <w:spacing w:before="0" w:beforeAutospacing="0" w:after="0" w:afterAutospacing="0" w:line="360" w:lineRule="auto"/>
        <w:ind w:firstLine="420"/>
        <w:rPr>
          <w:sz w:val="21"/>
          <w:szCs w:val="21"/>
        </w:rPr>
      </w:pPr>
      <w:r>
        <w:rPr>
          <w:rFonts w:hint="eastAsia"/>
          <w:sz w:val="21"/>
          <w:szCs w:val="21"/>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73BA414A">
      <w:pPr>
        <w:pStyle w:val="7"/>
        <w:spacing w:before="0" w:beforeAutospacing="0" w:after="0" w:afterAutospacing="0" w:line="360" w:lineRule="auto"/>
        <w:ind w:firstLine="420"/>
        <w:rPr>
          <w:sz w:val="21"/>
          <w:szCs w:val="21"/>
        </w:rPr>
      </w:pPr>
      <w:r>
        <w:rPr>
          <w:rFonts w:hint="eastAsia"/>
          <w:sz w:val="21"/>
          <w:szCs w:val="21"/>
        </w:rPr>
        <w:t>（五）议事内容与程序</w:t>
      </w:r>
    </w:p>
    <w:p w14:paraId="0EA29533">
      <w:pPr>
        <w:pStyle w:val="7"/>
        <w:spacing w:before="0" w:beforeAutospacing="0" w:after="0" w:afterAutospacing="0" w:line="360" w:lineRule="auto"/>
        <w:ind w:firstLine="420"/>
        <w:rPr>
          <w:sz w:val="21"/>
          <w:szCs w:val="21"/>
        </w:rPr>
      </w:pPr>
      <w:r>
        <w:rPr>
          <w:rFonts w:hint="eastAsia"/>
          <w:sz w:val="21"/>
          <w:szCs w:val="21"/>
        </w:rPr>
        <w:t>1、议事内容及提案权</w:t>
      </w:r>
    </w:p>
    <w:p w14:paraId="2659C813">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5E40792">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14:paraId="17EB7DEF">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14:paraId="69811B3C">
      <w:pPr>
        <w:pStyle w:val="7"/>
        <w:spacing w:before="0" w:beforeAutospacing="0" w:after="0" w:afterAutospacing="0" w:line="360" w:lineRule="auto"/>
        <w:ind w:firstLine="420"/>
        <w:rPr>
          <w:sz w:val="21"/>
          <w:szCs w:val="21"/>
        </w:rPr>
      </w:pPr>
      <w:r>
        <w:rPr>
          <w:rFonts w:hint="eastAsia"/>
          <w:sz w:val="21"/>
          <w:szCs w:val="21"/>
        </w:rPr>
        <w:t>2、议事程序</w:t>
      </w:r>
    </w:p>
    <w:p w14:paraId="424340E2">
      <w:pPr>
        <w:pStyle w:val="7"/>
        <w:spacing w:before="0" w:beforeAutospacing="0" w:after="0" w:afterAutospacing="0" w:line="360" w:lineRule="auto"/>
        <w:ind w:firstLine="420"/>
        <w:rPr>
          <w:sz w:val="21"/>
          <w:szCs w:val="21"/>
        </w:rPr>
      </w:pPr>
      <w:r>
        <w:rPr>
          <w:rFonts w:hint="eastAsia"/>
          <w:sz w:val="21"/>
          <w:szCs w:val="21"/>
        </w:rPr>
        <w:t>（1）现场开会</w:t>
      </w:r>
    </w:p>
    <w:p w14:paraId="4FDDFACB">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71C443EE">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12D8B4A5">
      <w:pPr>
        <w:pStyle w:val="7"/>
        <w:spacing w:before="0" w:beforeAutospacing="0" w:after="0" w:afterAutospacing="0" w:line="360" w:lineRule="auto"/>
        <w:ind w:firstLine="420"/>
        <w:rPr>
          <w:sz w:val="21"/>
          <w:szCs w:val="21"/>
        </w:rPr>
      </w:pPr>
      <w:r>
        <w:rPr>
          <w:rFonts w:hint="eastAsia"/>
          <w:sz w:val="21"/>
          <w:szCs w:val="21"/>
        </w:rPr>
        <w:t>（2）通讯开会</w:t>
      </w:r>
    </w:p>
    <w:p w14:paraId="5DD90146">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14:paraId="35082A68">
      <w:pPr>
        <w:pStyle w:val="7"/>
        <w:spacing w:before="0" w:beforeAutospacing="0" w:after="0" w:afterAutospacing="0" w:line="360" w:lineRule="auto"/>
        <w:ind w:firstLine="420"/>
        <w:rPr>
          <w:sz w:val="21"/>
          <w:szCs w:val="21"/>
        </w:rPr>
      </w:pPr>
      <w:r>
        <w:rPr>
          <w:rFonts w:hint="eastAsia"/>
          <w:sz w:val="21"/>
          <w:szCs w:val="21"/>
        </w:rPr>
        <w:t>（六）表决</w:t>
      </w:r>
    </w:p>
    <w:p w14:paraId="0F8225EF">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14:paraId="2E9143D1">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14:paraId="14E03CC1">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1AC2EBE8">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1E7838E0">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14:paraId="620F5791">
      <w:pPr>
        <w:pStyle w:val="7"/>
        <w:spacing w:before="0" w:beforeAutospacing="0" w:after="0" w:afterAutospacing="0" w:line="360" w:lineRule="auto"/>
        <w:ind w:firstLine="420"/>
        <w:rPr>
          <w:sz w:val="21"/>
          <w:szCs w:val="21"/>
        </w:rPr>
      </w:pPr>
      <w:r>
        <w:rPr>
          <w:rFonts w:hint="eastAsia"/>
          <w:sz w:val="21"/>
          <w:szCs w:val="21"/>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087CC075">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14:paraId="737F2050">
      <w:pPr>
        <w:pStyle w:val="7"/>
        <w:spacing w:before="0" w:beforeAutospacing="0" w:after="0" w:afterAutospacing="0" w:line="360" w:lineRule="auto"/>
        <w:ind w:firstLine="420"/>
        <w:rPr>
          <w:sz w:val="21"/>
          <w:szCs w:val="21"/>
        </w:rPr>
      </w:pPr>
      <w:r>
        <w:rPr>
          <w:rFonts w:hint="eastAsia"/>
          <w:sz w:val="21"/>
          <w:szCs w:val="21"/>
        </w:rPr>
        <w:t>在上述规则的前提下，具体规则以召集人发布的基金份额持有人大会通知为准。</w:t>
      </w:r>
    </w:p>
    <w:p w14:paraId="5C585716">
      <w:pPr>
        <w:pStyle w:val="7"/>
        <w:spacing w:before="0" w:beforeAutospacing="0" w:after="0" w:afterAutospacing="0" w:line="360" w:lineRule="auto"/>
        <w:ind w:firstLine="420"/>
        <w:rPr>
          <w:sz w:val="21"/>
          <w:szCs w:val="21"/>
        </w:rPr>
      </w:pPr>
      <w:r>
        <w:rPr>
          <w:rFonts w:hint="eastAsia"/>
          <w:sz w:val="21"/>
          <w:szCs w:val="21"/>
        </w:rPr>
        <w:t>（七）计票</w:t>
      </w:r>
    </w:p>
    <w:p w14:paraId="6403A6A0">
      <w:pPr>
        <w:pStyle w:val="7"/>
        <w:spacing w:before="0" w:beforeAutospacing="0" w:after="0" w:afterAutospacing="0" w:line="360" w:lineRule="auto"/>
        <w:ind w:firstLine="420"/>
        <w:rPr>
          <w:sz w:val="21"/>
          <w:szCs w:val="21"/>
        </w:rPr>
      </w:pPr>
      <w:r>
        <w:rPr>
          <w:rFonts w:hint="eastAsia"/>
          <w:sz w:val="21"/>
          <w:szCs w:val="21"/>
        </w:rPr>
        <w:t>1、现场开会</w:t>
      </w:r>
    </w:p>
    <w:p w14:paraId="63F1C090">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B1A55A0">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14:paraId="7ED9B10A">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D9E161B">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14:paraId="7D3BA66F">
      <w:pPr>
        <w:pStyle w:val="7"/>
        <w:spacing w:before="0" w:beforeAutospacing="0" w:after="0" w:afterAutospacing="0" w:line="360" w:lineRule="auto"/>
        <w:ind w:firstLine="420"/>
        <w:rPr>
          <w:sz w:val="21"/>
          <w:szCs w:val="21"/>
        </w:rPr>
      </w:pPr>
      <w:r>
        <w:rPr>
          <w:rFonts w:hint="eastAsia"/>
          <w:sz w:val="21"/>
          <w:szCs w:val="21"/>
        </w:rPr>
        <w:t>2、通讯开会</w:t>
      </w:r>
    </w:p>
    <w:p w14:paraId="26CAE3D2">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0B4EB77F">
      <w:pPr>
        <w:pStyle w:val="7"/>
        <w:spacing w:before="0" w:beforeAutospacing="0" w:after="0" w:afterAutospacing="0" w:line="360" w:lineRule="auto"/>
        <w:ind w:firstLine="420"/>
        <w:rPr>
          <w:sz w:val="21"/>
          <w:szCs w:val="21"/>
        </w:rPr>
      </w:pPr>
      <w:r>
        <w:rPr>
          <w:rFonts w:hint="eastAsia"/>
          <w:sz w:val="21"/>
          <w:szCs w:val="21"/>
        </w:rPr>
        <w:t>（八）生效与公告</w:t>
      </w:r>
    </w:p>
    <w:p w14:paraId="3277EE7E">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14:paraId="527594C6">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14:paraId="01A7020B">
      <w:pPr>
        <w:pStyle w:val="7"/>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14:paraId="050B71D2">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1392DB04">
      <w:pPr>
        <w:pStyle w:val="7"/>
        <w:spacing w:before="0" w:beforeAutospacing="0" w:after="0" w:afterAutospacing="0" w:line="360" w:lineRule="auto"/>
        <w:ind w:firstLine="420"/>
        <w:rPr>
          <w:sz w:val="21"/>
          <w:szCs w:val="21"/>
        </w:rPr>
      </w:pPr>
      <w:r>
        <w:rPr>
          <w:rFonts w:hint="eastAsia"/>
          <w:sz w:val="21"/>
          <w:szCs w:val="21"/>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14:paraId="1E2E8FBD">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1ECD5C32">
      <w:pPr>
        <w:pStyle w:val="7"/>
        <w:spacing w:before="0" w:beforeAutospacing="0" w:after="0" w:afterAutospacing="0" w:line="360" w:lineRule="auto"/>
        <w:ind w:firstLine="420"/>
        <w:rPr>
          <w:sz w:val="21"/>
          <w:szCs w:val="21"/>
        </w:rPr>
      </w:pPr>
      <w:r>
        <w:rPr>
          <w:rFonts w:hint="eastAsia"/>
          <w:sz w:val="21"/>
          <w:szCs w:val="21"/>
        </w:rPr>
        <w:t>（一）《基金合同》的变更</w:t>
      </w:r>
    </w:p>
    <w:p w14:paraId="0960ACA7">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33F14AF5">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5D351963">
      <w:pPr>
        <w:pStyle w:val="7"/>
        <w:spacing w:before="0" w:beforeAutospacing="0" w:after="0" w:afterAutospacing="0" w:line="360" w:lineRule="auto"/>
        <w:ind w:firstLine="420"/>
        <w:rPr>
          <w:sz w:val="21"/>
          <w:szCs w:val="21"/>
        </w:rPr>
      </w:pPr>
      <w:r>
        <w:rPr>
          <w:rFonts w:hint="eastAsia"/>
          <w:sz w:val="21"/>
          <w:szCs w:val="21"/>
        </w:rPr>
        <w:t>（二）《基金合同》的终止事由</w:t>
      </w:r>
    </w:p>
    <w:p w14:paraId="7D765816">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4814926B">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4ADE56A1">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4975827F">
      <w:pPr>
        <w:pStyle w:val="7"/>
        <w:spacing w:before="0" w:beforeAutospacing="0" w:after="0" w:afterAutospacing="0" w:line="360" w:lineRule="auto"/>
        <w:ind w:firstLine="420"/>
        <w:rPr>
          <w:sz w:val="21"/>
          <w:szCs w:val="21"/>
        </w:rPr>
      </w:pPr>
      <w:r>
        <w:rPr>
          <w:rFonts w:hint="eastAsia"/>
          <w:sz w:val="21"/>
          <w:szCs w:val="21"/>
        </w:rPr>
        <w:t>3、《基金合同》约定的其他情形；</w:t>
      </w:r>
    </w:p>
    <w:p w14:paraId="6908DABA">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14:paraId="6B9F7F7B">
      <w:pPr>
        <w:pStyle w:val="7"/>
        <w:spacing w:before="0" w:beforeAutospacing="0" w:after="0" w:afterAutospacing="0" w:line="360" w:lineRule="auto"/>
        <w:ind w:firstLine="420"/>
        <w:rPr>
          <w:sz w:val="21"/>
          <w:szCs w:val="21"/>
        </w:rPr>
      </w:pPr>
      <w:r>
        <w:rPr>
          <w:rFonts w:hint="eastAsia"/>
          <w:sz w:val="21"/>
          <w:szCs w:val="21"/>
        </w:rPr>
        <w:t>（三）基金财产的清算</w:t>
      </w:r>
    </w:p>
    <w:p w14:paraId="4905C3E1">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354AA6F9">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7474EB1F">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3、基金财产清算小组组成：基金财产清算小组成员由基金管理人、基金托管人、符合《证券法》规定的注册会计师、律师以及中国证监会指定的人员组成。基金财产清算小组可以聘用必要的工作人员。</w:t>
      </w:r>
    </w:p>
    <w:p w14:paraId="1473005F">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453AB2B4">
      <w:pPr>
        <w:pStyle w:val="7"/>
        <w:spacing w:before="0" w:beforeAutospacing="0" w:after="0" w:afterAutospacing="0" w:line="360" w:lineRule="auto"/>
        <w:ind w:firstLine="420"/>
        <w:rPr>
          <w:sz w:val="21"/>
          <w:szCs w:val="21"/>
        </w:rPr>
      </w:pPr>
      <w:r>
        <w:rPr>
          <w:rFonts w:hint="eastAsia"/>
          <w:sz w:val="21"/>
          <w:szCs w:val="21"/>
        </w:rPr>
        <w:t>5、基金财产清算程序：</w:t>
      </w:r>
    </w:p>
    <w:p w14:paraId="7E79B0B9">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34108F6E">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3BC7D4AD">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12FA7B94">
      <w:pPr>
        <w:pStyle w:val="7"/>
        <w:spacing w:before="0" w:beforeAutospacing="0" w:after="0" w:afterAutospacing="0" w:line="360" w:lineRule="auto"/>
        <w:ind w:firstLine="420"/>
        <w:rPr>
          <w:sz w:val="21"/>
          <w:szCs w:val="21"/>
        </w:rPr>
      </w:pPr>
      <w:r>
        <w:rPr>
          <w:rFonts w:hint="eastAsia"/>
          <w:sz w:val="21"/>
          <w:szCs w:val="21"/>
        </w:rPr>
        <w:t>（4）制作清算报告；</w:t>
      </w:r>
    </w:p>
    <w:p w14:paraId="4E18AC31">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06CD24E0">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768907DF">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473E70E1">
      <w:pPr>
        <w:pStyle w:val="7"/>
        <w:spacing w:before="0" w:beforeAutospacing="0" w:after="0" w:afterAutospacing="0" w:line="360" w:lineRule="auto"/>
        <w:ind w:firstLine="420"/>
        <w:rPr>
          <w:sz w:val="21"/>
          <w:szCs w:val="21"/>
        </w:rPr>
      </w:pPr>
      <w:r>
        <w:rPr>
          <w:rFonts w:hint="eastAsia"/>
          <w:sz w:val="21"/>
          <w:szCs w:val="21"/>
        </w:rPr>
        <w:t>6、基金财产清算的期限为6个月，但因本基金所持证券的流动性受到限制而不能及时变现的，清算期限相应顺延。</w:t>
      </w:r>
    </w:p>
    <w:p w14:paraId="73239C33">
      <w:pPr>
        <w:pStyle w:val="7"/>
        <w:spacing w:before="0" w:beforeAutospacing="0" w:after="0" w:afterAutospacing="0" w:line="360" w:lineRule="auto"/>
        <w:ind w:firstLine="420"/>
        <w:rPr>
          <w:sz w:val="21"/>
          <w:szCs w:val="21"/>
        </w:rPr>
      </w:pPr>
      <w:r>
        <w:rPr>
          <w:rFonts w:hint="eastAsia"/>
          <w:sz w:val="21"/>
          <w:szCs w:val="21"/>
        </w:rPr>
        <w:t>（四）清算费用</w:t>
      </w:r>
    </w:p>
    <w:p w14:paraId="4FF68D47">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14:paraId="045B9CC3">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14:paraId="7E7CAF14">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216233F0">
      <w:pPr>
        <w:pStyle w:val="7"/>
        <w:spacing w:before="0" w:beforeAutospacing="0" w:after="0" w:afterAutospacing="0" w:line="360" w:lineRule="auto"/>
        <w:ind w:firstLine="420"/>
        <w:rPr>
          <w:sz w:val="21"/>
          <w:szCs w:val="21"/>
        </w:rPr>
      </w:pPr>
      <w:r>
        <w:rPr>
          <w:rFonts w:hint="eastAsia"/>
          <w:sz w:val="21"/>
          <w:szCs w:val="21"/>
        </w:rPr>
        <w:t>（六）基金财产清算的公告</w:t>
      </w:r>
    </w:p>
    <w:p w14:paraId="5B5B5961">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5CCA2A68">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14:paraId="3CCCEF6B">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基金财产清算账册及有关文件由基金托管人保存，保存期限不低于法定最低期限。</w:t>
      </w:r>
    </w:p>
    <w:p w14:paraId="63717491">
      <w:pPr>
        <w:pStyle w:val="7"/>
        <w:spacing w:before="0" w:beforeAutospacing="0" w:after="0" w:afterAutospacing="0" w:line="360" w:lineRule="auto"/>
        <w:ind w:firstLine="420"/>
        <w:rPr>
          <w:sz w:val="21"/>
          <w:szCs w:val="21"/>
        </w:rPr>
      </w:pPr>
      <w:r>
        <w:rPr>
          <w:rStyle w:val="11"/>
          <w:rFonts w:hint="eastAsia"/>
          <w:sz w:val="21"/>
          <w:szCs w:val="21"/>
        </w:rPr>
        <w:t>四、争议的处理</w:t>
      </w:r>
    </w:p>
    <w:p w14:paraId="0D42180E">
      <w:pPr>
        <w:pStyle w:val="7"/>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应当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552C7114">
      <w:pPr>
        <w:pStyle w:val="7"/>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37C58136">
      <w:pPr>
        <w:pStyle w:val="7"/>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《基金合同》受中国法律（为本基金合同之目的，在此不包括香港、澳门特别行政区法律和台湾地区的有关规定）管辖。</w:t>
      </w:r>
    </w:p>
    <w:p w14:paraId="2BABD7D7">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14:paraId="15BE97ED">
      <w:pPr>
        <w:pStyle w:val="7"/>
        <w:spacing w:before="0" w:beforeAutospacing="0" w:after="0" w:afterAutospacing="0" w:line="360" w:lineRule="auto"/>
        <w:ind w:firstLine="420"/>
        <w:rPr>
          <w:sz w:val="21"/>
          <w:szCs w:val="21"/>
        </w:rPr>
      </w:pPr>
      <w:r>
        <w:rPr>
          <w:rFonts w:hint="eastAsia"/>
          <w:sz w:val="21"/>
          <w:szCs w:val="21"/>
        </w:rPr>
        <w:t>本基金合同可印制成册，供投资人在基金管理人、基金托管人、代销机构的办公场所查</w:t>
      </w:r>
      <w:bookmarkStart w:id="164" w:name="chapter_level1_24_71_section_1_end"/>
      <w:bookmarkEnd w:id="164"/>
      <w:r>
        <w:rPr>
          <w:rFonts w:hint="eastAsia"/>
          <w:sz w:val="21"/>
          <w:szCs w:val="21"/>
        </w:rPr>
        <w:t>阅。</w:t>
      </w:r>
    </w:p>
    <w:p w14:paraId="48735F6B">
      <w:pPr>
        <w:widowControl/>
        <w:jc w:val="left"/>
        <w:rPr>
          <w:rFonts w:ascii="宋体" w:hAnsi="宋体" w:eastAsia="宋体"/>
        </w:rPr>
      </w:pPr>
      <w:r>
        <w:rPr>
          <w:rFonts w:ascii="宋体" w:hAnsi="宋体" w:eastAsia="宋体"/>
        </w:rPr>
        <w:br w:type="page"/>
      </w:r>
    </w:p>
    <w:p w14:paraId="62FD1545">
      <w:pPr>
        <w:pStyle w:val="2"/>
        <w:jc w:val="center"/>
        <w:rPr>
          <w:rFonts w:ascii="宋体" w:hAnsi="宋体" w:eastAsia="宋体"/>
          <w:sz w:val="30"/>
        </w:rPr>
      </w:pPr>
      <w:bookmarkStart w:id="165" w:name="chapter_level1_25_72"/>
      <w:bookmarkStart w:id="166" w:name="_Toc31600"/>
      <w:r>
        <w:rPr>
          <w:rFonts w:hint="eastAsia" w:ascii="宋体" w:hAnsi="宋体" w:eastAsia="宋体"/>
          <w:sz w:val="30"/>
        </w:rPr>
        <w:t>第二十部分  基金托管协议的内容摘要</w:t>
      </w:r>
      <w:bookmarkEnd w:id="165"/>
      <w:bookmarkEnd w:id="166"/>
    </w:p>
    <w:p w14:paraId="1957B21F">
      <w:pPr>
        <w:pStyle w:val="7"/>
        <w:spacing w:before="0" w:beforeAutospacing="0" w:after="0" w:afterAutospacing="0" w:line="360" w:lineRule="auto"/>
        <w:ind w:firstLine="420"/>
        <w:rPr>
          <w:sz w:val="21"/>
          <w:szCs w:val="21"/>
        </w:rPr>
      </w:pPr>
      <w:bookmarkStart w:id="167" w:name="chapter_level1_25_72_section_1"/>
      <w:bookmarkEnd w:id="167"/>
      <w:r>
        <w:rPr>
          <w:rStyle w:val="11"/>
          <w:rFonts w:hint="eastAsia"/>
          <w:sz w:val="21"/>
          <w:szCs w:val="21"/>
        </w:rPr>
        <w:t>一、基金托管协议当事人</w:t>
      </w:r>
    </w:p>
    <w:p w14:paraId="635F8487">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745190AA">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20D76B6C">
      <w:pPr>
        <w:pStyle w:val="7"/>
        <w:spacing w:before="0" w:beforeAutospacing="0" w:after="0" w:afterAutospacing="0" w:line="360" w:lineRule="auto"/>
        <w:ind w:firstLine="420"/>
        <w:rPr>
          <w:sz w:val="21"/>
          <w:szCs w:val="21"/>
        </w:rPr>
      </w:pPr>
      <w:r>
        <w:rPr>
          <w:rFonts w:hint="eastAsia"/>
          <w:sz w:val="21"/>
          <w:szCs w:val="21"/>
        </w:rPr>
        <w:t xml:space="preserve">住所： 深圳市福田区莲花街道福新社区益田路5999号基金大厦21层 </w:t>
      </w:r>
    </w:p>
    <w:p w14:paraId="15D71358">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2B41CDC7">
      <w:pPr>
        <w:pStyle w:val="7"/>
        <w:spacing w:before="0" w:beforeAutospacing="0" w:after="0" w:afterAutospacing="0" w:line="360" w:lineRule="auto"/>
        <w:ind w:firstLine="420"/>
        <w:rPr>
          <w:sz w:val="21"/>
          <w:szCs w:val="21"/>
        </w:rPr>
      </w:pPr>
      <w:r>
        <w:rPr>
          <w:rFonts w:hint="eastAsia"/>
          <w:sz w:val="21"/>
          <w:szCs w:val="21"/>
        </w:rPr>
        <w:t xml:space="preserve">设立日期：1998年7月13日 </w:t>
      </w:r>
    </w:p>
    <w:p w14:paraId="1407527D">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3A94A4B9">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03947E87">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6D9BA703">
      <w:pPr>
        <w:pStyle w:val="7"/>
        <w:spacing w:before="0" w:beforeAutospacing="0" w:after="0" w:afterAutospacing="0" w:line="360" w:lineRule="auto"/>
        <w:ind w:firstLine="420"/>
        <w:rPr>
          <w:sz w:val="21"/>
          <w:szCs w:val="21"/>
        </w:rPr>
      </w:pPr>
      <w:r>
        <w:rPr>
          <w:rFonts w:hint="eastAsia"/>
          <w:sz w:val="21"/>
          <w:szCs w:val="21"/>
        </w:rPr>
        <w:t xml:space="preserve">存续期限：持续经营 </w:t>
      </w:r>
    </w:p>
    <w:p w14:paraId="6284F69A">
      <w:pPr>
        <w:pStyle w:val="7"/>
        <w:spacing w:before="0" w:beforeAutospacing="0" w:after="0" w:afterAutospacing="0" w:line="360" w:lineRule="auto"/>
        <w:ind w:firstLine="420"/>
        <w:rPr>
          <w:sz w:val="21"/>
          <w:szCs w:val="21"/>
        </w:rPr>
      </w:pPr>
      <w:r>
        <w:rPr>
          <w:rFonts w:hint="eastAsia"/>
          <w:sz w:val="21"/>
          <w:szCs w:val="21"/>
        </w:rPr>
        <w:t xml:space="preserve">联系电话：0755-83169999 </w:t>
      </w:r>
    </w:p>
    <w:p w14:paraId="55B2B217">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58B3B0A0">
      <w:pPr>
        <w:pStyle w:val="7"/>
        <w:spacing w:before="0" w:beforeAutospacing="0" w:after="0" w:afterAutospacing="0" w:line="360" w:lineRule="auto"/>
        <w:ind w:firstLine="420"/>
        <w:rPr>
          <w:sz w:val="21"/>
          <w:szCs w:val="21"/>
        </w:rPr>
      </w:pPr>
      <w:r>
        <w:rPr>
          <w:rFonts w:hint="eastAsia"/>
          <w:sz w:val="21"/>
          <w:szCs w:val="21"/>
        </w:rPr>
        <w:t xml:space="preserve">名称：财通证券股份有限公司 </w:t>
      </w:r>
    </w:p>
    <w:p w14:paraId="35882A9B">
      <w:pPr>
        <w:pStyle w:val="7"/>
        <w:spacing w:before="0" w:beforeAutospacing="0" w:after="0" w:afterAutospacing="0" w:line="360" w:lineRule="auto"/>
        <w:ind w:firstLine="420"/>
        <w:rPr>
          <w:sz w:val="21"/>
          <w:szCs w:val="21"/>
        </w:rPr>
      </w:pPr>
      <w:r>
        <w:rPr>
          <w:rFonts w:hint="eastAsia"/>
          <w:sz w:val="21"/>
          <w:szCs w:val="21"/>
        </w:rPr>
        <w:t xml:space="preserve">住所：浙江省杭州市西湖区天目山路198号财通双冠大厦西楼 </w:t>
      </w:r>
    </w:p>
    <w:p w14:paraId="488F8F13">
      <w:pPr>
        <w:pStyle w:val="7"/>
        <w:spacing w:before="0" w:beforeAutospacing="0" w:after="0" w:afterAutospacing="0" w:line="360" w:lineRule="auto"/>
        <w:ind w:firstLine="420"/>
        <w:rPr>
          <w:sz w:val="21"/>
          <w:szCs w:val="21"/>
        </w:rPr>
      </w:pPr>
      <w:r>
        <w:rPr>
          <w:rFonts w:hint="eastAsia"/>
          <w:sz w:val="21"/>
          <w:szCs w:val="21"/>
        </w:rPr>
        <w:t xml:space="preserve">注册资本：人民币46.44亿元 </w:t>
      </w:r>
    </w:p>
    <w:p w14:paraId="5E2F8665">
      <w:pPr>
        <w:pStyle w:val="7"/>
        <w:spacing w:before="0" w:beforeAutospacing="0" w:after="0" w:afterAutospacing="0" w:line="360" w:lineRule="auto"/>
        <w:ind w:firstLine="420"/>
        <w:rPr>
          <w:sz w:val="21"/>
          <w:szCs w:val="21"/>
        </w:rPr>
      </w:pPr>
      <w:r>
        <w:rPr>
          <w:rFonts w:hint="eastAsia"/>
          <w:sz w:val="21"/>
          <w:szCs w:val="21"/>
        </w:rPr>
        <w:t xml:space="preserve">法定代表人：章启诚 </w:t>
      </w:r>
    </w:p>
    <w:p w14:paraId="782DBC5C">
      <w:pPr>
        <w:pStyle w:val="7"/>
        <w:spacing w:before="0" w:beforeAutospacing="0" w:after="0" w:afterAutospacing="0" w:line="360" w:lineRule="auto"/>
        <w:ind w:firstLine="420"/>
        <w:rPr>
          <w:sz w:val="21"/>
          <w:szCs w:val="21"/>
        </w:rPr>
      </w:pPr>
      <w:r>
        <w:rPr>
          <w:rFonts w:hint="eastAsia"/>
          <w:sz w:val="21"/>
          <w:szCs w:val="21"/>
        </w:rPr>
        <w:t xml:space="preserve">成立日期：2003年06月11日 </w:t>
      </w:r>
    </w:p>
    <w:p w14:paraId="1A3454B2">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批准设立机关和批准设立文号：中国证券监督管理委员会证监许可〔2013〕968号《关于核准财通证券有限责任公司变更为股份有限公司的批复》 </w:t>
      </w:r>
    </w:p>
    <w:p w14:paraId="3B5846C9">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基金托管业务批准文号：证监许可〔2020〕2829号 </w:t>
      </w:r>
    </w:p>
    <w:p w14:paraId="57284720">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4E064876">
      <w:pPr>
        <w:pStyle w:val="7"/>
        <w:spacing w:before="0" w:beforeAutospacing="0" w:after="0" w:afterAutospacing="0" w:line="360" w:lineRule="auto"/>
        <w:ind w:firstLine="420"/>
        <w:rPr>
          <w:sz w:val="21"/>
          <w:szCs w:val="21"/>
        </w:rPr>
      </w:pPr>
      <w:r>
        <w:rPr>
          <w:rFonts w:hint="eastAsia"/>
          <w:sz w:val="21"/>
          <w:szCs w:val="21"/>
        </w:rPr>
        <w:t xml:space="preserve">存续期间：长期 </w:t>
      </w:r>
    </w:p>
    <w:p w14:paraId="4CC8C77F">
      <w:pPr>
        <w:pStyle w:val="7"/>
        <w:spacing w:before="0" w:beforeAutospacing="0" w:after="0" w:afterAutospacing="0" w:line="360" w:lineRule="auto"/>
        <w:ind w:firstLine="420"/>
        <w:rPr>
          <w:sz w:val="21"/>
          <w:szCs w:val="21"/>
        </w:rPr>
      </w:pPr>
      <w:r>
        <w:rPr>
          <w:rFonts w:hint="eastAsia"/>
          <w:sz w:val="21"/>
          <w:szCs w:val="21"/>
        </w:rPr>
        <w:t xml:space="preserve">经营范围：许可项目：证券业务；公募证券投资基金销售；证券投资基金托管。（依法须经批准的项目，经相关部门批准后方可开展经营活动，具体经营项目以相关部门批准文件或许可证件为准）。 </w:t>
      </w:r>
    </w:p>
    <w:p w14:paraId="1B8812C5">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215F775E">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420706A9">
      <w:pPr>
        <w:pStyle w:val="7"/>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基金托管人根据有关法律法规的规定及基金合同的约定，对基金投资范围、投资对象进行监督。 </w:t>
      </w:r>
    </w:p>
    <w:p w14:paraId="04F2D82F">
      <w:pPr>
        <w:pStyle w:val="7"/>
        <w:spacing w:before="0" w:beforeAutospacing="0" w:after="0" w:afterAutospacing="0" w:line="360" w:lineRule="auto"/>
        <w:ind w:firstLine="420"/>
        <w:rPr>
          <w:sz w:val="21"/>
          <w:szCs w:val="21"/>
        </w:rPr>
      </w:pPr>
      <w:r>
        <w:rPr>
          <w:rFonts w:hint="eastAsia"/>
          <w:sz w:val="21"/>
          <w:szCs w:val="21"/>
        </w:rPr>
        <w:t xml:space="preserve">本基金主要投资于标的指数成份股和备选成份股（含存托凭证）。 </w:t>
      </w:r>
    </w:p>
    <w:p w14:paraId="20284C21">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0227DEA9">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本基金可根据法律法规的规定参与融资和转融通证券出借业务。 </w:t>
      </w:r>
    </w:p>
    <w:p w14:paraId="16FA7091">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A3F550F">
      <w:pPr>
        <w:pStyle w:val="7"/>
        <w:spacing w:before="0" w:beforeAutospacing="0" w:after="0" w:afterAutospacing="0" w:line="360" w:lineRule="auto"/>
        <w:ind w:firstLine="420"/>
        <w:rPr>
          <w:sz w:val="21"/>
          <w:szCs w:val="21"/>
        </w:rPr>
      </w:pPr>
      <w:r>
        <w:rPr>
          <w:rFonts w:hint="eastAsia"/>
          <w:sz w:val="21"/>
          <w:szCs w:val="21"/>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40F3F039">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015F83D4">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297DC3A2">
      <w:pPr>
        <w:pStyle w:val="7"/>
        <w:spacing w:before="0" w:beforeAutospacing="0" w:after="0" w:afterAutospacing="0" w:line="360" w:lineRule="auto"/>
        <w:ind w:firstLine="420"/>
        <w:rPr>
          <w:sz w:val="21"/>
          <w:szCs w:val="21"/>
        </w:rPr>
      </w:pPr>
      <w:r>
        <w:rPr>
          <w:rFonts w:hint="eastAsia"/>
          <w:sz w:val="21"/>
          <w:szCs w:val="21"/>
        </w:rPr>
        <w:t xml:space="preserve">1、组合限制 </w:t>
      </w:r>
    </w:p>
    <w:p w14:paraId="34267070">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082A53B6">
      <w:pPr>
        <w:pStyle w:val="7"/>
        <w:spacing w:before="0" w:beforeAutospacing="0" w:after="0" w:afterAutospacing="0" w:line="360" w:lineRule="auto"/>
        <w:ind w:firstLine="420"/>
        <w:rPr>
          <w:sz w:val="21"/>
          <w:szCs w:val="21"/>
        </w:rPr>
      </w:pPr>
      <w:r>
        <w:rPr>
          <w:rFonts w:hint="eastAsia"/>
          <w:sz w:val="21"/>
          <w:szCs w:val="21"/>
        </w:rPr>
        <w:t xml:space="preserve">（1）本基金投资于标的指数成份股和备选成份股（含存托凭证）的资产比例不低于基金资产净值的90%，且不低于非现金基金资产的80%； </w:t>
      </w:r>
    </w:p>
    <w:p w14:paraId="10C07D71">
      <w:pPr>
        <w:pStyle w:val="7"/>
        <w:spacing w:before="0" w:beforeAutospacing="0" w:after="0" w:afterAutospacing="0" w:line="360" w:lineRule="auto"/>
        <w:ind w:firstLine="420"/>
        <w:rPr>
          <w:sz w:val="21"/>
          <w:szCs w:val="21"/>
        </w:rPr>
      </w:pPr>
      <w:r>
        <w:rPr>
          <w:rFonts w:hint="eastAsia"/>
          <w:sz w:val="21"/>
          <w:szCs w:val="21"/>
        </w:rPr>
        <w:t xml:space="preserve">（2）本基金每个交易日日终在扣除国债期货、股指期货和股票期权合约需缴纳的交易保证金后，应当保持不低于交易保证金一倍的现金，其中现金不包括结算备付金、存出保证金和应收申购款等； </w:t>
      </w:r>
    </w:p>
    <w:p w14:paraId="362011E1">
      <w:pPr>
        <w:pStyle w:val="7"/>
        <w:spacing w:before="0" w:beforeAutospacing="0" w:after="0" w:afterAutospacing="0" w:line="360" w:lineRule="auto"/>
        <w:ind w:firstLine="420"/>
        <w:rPr>
          <w:sz w:val="21"/>
          <w:szCs w:val="21"/>
        </w:rPr>
      </w:pPr>
      <w:r>
        <w:rPr>
          <w:rFonts w:hint="eastAsia"/>
          <w:sz w:val="21"/>
          <w:szCs w:val="21"/>
        </w:rPr>
        <w:t xml:space="preserve">（3）本基金参与股指期货、国债期货交易依据下列标准建构组合： </w:t>
      </w:r>
    </w:p>
    <w:p w14:paraId="3E44FC39">
      <w:pPr>
        <w:pStyle w:val="7"/>
        <w:spacing w:before="0" w:beforeAutospacing="0" w:after="0" w:afterAutospacing="0" w:line="360" w:lineRule="auto"/>
        <w:ind w:firstLine="420"/>
        <w:rPr>
          <w:sz w:val="21"/>
          <w:szCs w:val="21"/>
        </w:rPr>
      </w:pPr>
      <w:r>
        <w:rPr>
          <w:rFonts w:hint="eastAsia"/>
          <w:sz w:val="21"/>
          <w:szCs w:val="21"/>
        </w:rPr>
        <w:t xml:space="preserve">1）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 </w:t>
      </w:r>
    </w:p>
    <w:p w14:paraId="394DD5BC">
      <w:pPr>
        <w:pStyle w:val="7"/>
        <w:spacing w:before="0" w:beforeAutospacing="0" w:after="0" w:afterAutospacing="0" w:line="360" w:lineRule="auto"/>
        <w:ind w:firstLine="420"/>
        <w:rPr>
          <w:sz w:val="21"/>
          <w:szCs w:val="21"/>
        </w:rPr>
      </w:pPr>
      <w:r>
        <w:rPr>
          <w:rFonts w:hint="eastAsia"/>
          <w:sz w:val="21"/>
          <w:szCs w:val="21"/>
        </w:rPr>
        <w:t xml:space="preserve">2）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 </w:t>
      </w:r>
    </w:p>
    <w:p w14:paraId="55F81613">
      <w:pPr>
        <w:pStyle w:val="7"/>
        <w:spacing w:before="0" w:beforeAutospacing="0" w:after="0" w:afterAutospacing="0" w:line="360" w:lineRule="auto"/>
        <w:ind w:firstLine="420"/>
        <w:rPr>
          <w:sz w:val="21"/>
          <w:szCs w:val="21"/>
        </w:rPr>
      </w:pPr>
      <w:r>
        <w:rPr>
          <w:rFonts w:hint="eastAsia"/>
          <w:sz w:val="21"/>
          <w:szCs w:val="21"/>
        </w:rPr>
        <w:t xml:space="preserve">3）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5291FAEE">
      <w:pPr>
        <w:pStyle w:val="7"/>
        <w:spacing w:before="0" w:beforeAutospacing="0" w:after="0" w:afterAutospacing="0" w:line="360" w:lineRule="auto"/>
        <w:ind w:firstLine="420"/>
        <w:rPr>
          <w:sz w:val="21"/>
          <w:szCs w:val="21"/>
        </w:rPr>
      </w:pPr>
      <w:r>
        <w:rPr>
          <w:rFonts w:hint="eastAsia"/>
          <w:sz w:val="21"/>
          <w:szCs w:val="21"/>
        </w:rPr>
        <w:t xml:space="preserve">（4）本基金持有的全部资产支持证券，其市值不得超过基金资产净值的20％； </w:t>
      </w:r>
    </w:p>
    <w:p w14:paraId="03AA8496">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0E4E5187">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09718A1B">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37E42FC8">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0B82CD0E">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14:paraId="30189570">
      <w:pPr>
        <w:pStyle w:val="7"/>
        <w:spacing w:before="0" w:beforeAutospacing="0" w:after="0" w:afterAutospacing="0" w:line="360" w:lineRule="auto"/>
        <w:ind w:firstLine="420"/>
        <w:rPr>
          <w:sz w:val="21"/>
          <w:szCs w:val="21"/>
        </w:rPr>
      </w:pPr>
      <w:r>
        <w:rPr>
          <w:rFonts w:hint="eastAsia"/>
          <w:sz w:val="21"/>
          <w:szCs w:val="21"/>
        </w:rPr>
        <w:t xml:space="preserve">（10）本基金资产总值不得超过基金资产净值的140%； </w:t>
      </w:r>
    </w:p>
    <w:p w14:paraId="7347868F">
      <w:pPr>
        <w:pStyle w:val="7"/>
        <w:spacing w:before="0" w:beforeAutospacing="0" w:after="0" w:afterAutospacing="0" w:line="360" w:lineRule="auto"/>
        <w:ind w:firstLine="420"/>
        <w:rPr>
          <w:sz w:val="21"/>
          <w:szCs w:val="21"/>
        </w:rPr>
      </w:pPr>
      <w:r>
        <w:rPr>
          <w:rFonts w:hint="eastAsia"/>
          <w:sz w:val="21"/>
          <w:szCs w:val="21"/>
        </w:rPr>
        <w:t xml:space="preserve">（11）本基金参与融资的，在任何交易日日终，本基金持有的融资买入股票与其他有价证券市值之和，不得超过基金资产净值的95%； </w:t>
      </w:r>
    </w:p>
    <w:p w14:paraId="5983D4FB">
      <w:pPr>
        <w:pStyle w:val="7"/>
        <w:spacing w:before="0" w:beforeAutospacing="0" w:after="0" w:afterAutospacing="0" w:line="360" w:lineRule="auto"/>
        <w:ind w:firstLine="420"/>
        <w:rPr>
          <w:sz w:val="21"/>
          <w:szCs w:val="21"/>
        </w:rPr>
      </w:pPr>
      <w:r>
        <w:rPr>
          <w:rFonts w:hint="eastAsia"/>
          <w:sz w:val="21"/>
          <w:szCs w:val="21"/>
        </w:rPr>
        <w:t xml:space="preserve">（12）本基金参与转融通证券出借交易应当符合以下要求： </w:t>
      </w:r>
    </w:p>
    <w:p w14:paraId="4F1BC367">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1）出借证券资产不得超过基金资产净值的30%，出借期限在10个交易日以上的出借证券应纳入《流动性风险管理规定》所述流动性受限证券的范围； </w:t>
      </w:r>
    </w:p>
    <w:p w14:paraId="350BE685">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2）参与出借业务的单只证券不得超过基金持有该证券总量的30%； </w:t>
      </w:r>
    </w:p>
    <w:p w14:paraId="2B91BE4C">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41353731">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6FB42464">
      <w:pPr>
        <w:pStyle w:val="7"/>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因证券市场波动、上市公司合并、基金规模变动等基金管理人之外的因素致使基金投资不符合本条规定的，基金管理人不得新增出借业务； </w:t>
      </w:r>
    </w:p>
    <w:p w14:paraId="61ECFF61">
      <w:pPr>
        <w:pStyle w:val="7"/>
        <w:spacing w:before="0" w:beforeAutospacing="0" w:after="0" w:afterAutospacing="0" w:line="360" w:lineRule="auto"/>
        <w:ind w:firstLine="420"/>
        <w:rPr>
          <w:sz w:val="21"/>
          <w:szCs w:val="21"/>
        </w:rPr>
      </w:pPr>
      <w:r>
        <w:rPr>
          <w:rFonts w:hint="eastAsia"/>
          <w:sz w:val="21"/>
          <w:szCs w:val="21"/>
        </w:rPr>
        <w:t xml:space="preserve">（13）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 </w:t>
      </w:r>
    </w:p>
    <w:p w14:paraId="4EABD806">
      <w:pPr>
        <w:pStyle w:val="7"/>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7D29ADDA">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4543B97D">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（16）本基金投资存托凭证的比例限制依照境内上市交易的股票执行，与境内上市交易的股票合并计算； </w:t>
      </w:r>
    </w:p>
    <w:p w14:paraId="6678FCAD">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62709BC9">
      <w:pPr>
        <w:pStyle w:val="7"/>
        <w:spacing w:before="0" w:beforeAutospacing="0" w:after="0" w:afterAutospacing="0" w:line="360" w:lineRule="auto"/>
        <w:ind w:firstLine="420"/>
        <w:rPr>
          <w:sz w:val="21"/>
          <w:szCs w:val="21"/>
        </w:rPr>
      </w:pPr>
      <w:r>
        <w:rPr>
          <w:rFonts w:hint="eastAsia"/>
          <w:sz w:val="21"/>
          <w:szCs w:val="21"/>
        </w:rPr>
        <w:t xml:space="preserve">除第（2）、（8）、（12）、（14）、（15）条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 </w:t>
      </w:r>
    </w:p>
    <w:p w14:paraId="6E1F411E">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11BCC4D3">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基金合同约定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1865FD0B">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项下的基金投资禁止行为进行监督。基金托管人通过事后监督方式对基金管理人基金投资禁止行为进行监督。基金财产不得用于下列投资或者活动。 </w:t>
      </w:r>
    </w:p>
    <w:p w14:paraId="498DD340">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C7CEF84">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2CFD93B">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D9C709D">
      <w:pPr>
        <w:pStyle w:val="7"/>
        <w:spacing w:before="0" w:beforeAutospacing="0" w:after="0" w:afterAutospacing="0" w:line="360" w:lineRule="auto"/>
        <w:ind w:firstLine="420"/>
        <w:rPr>
          <w:sz w:val="21"/>
          <w:szCs w:val="21"/>
        </w:rPr>
      </w:pPr>
      <w:r>
        <w:rPr>
          <w:rFonts w:hint="eastAsia"/>
          <w:sz w:val="21"/>
          <w:szCs w:val="21"/>
        </w:rPr>
        <w:t xml:space="preserve">（4）买卖其他基金份额，但是 中国证监会 另有规定的除外； </w:t>
      </w:r>
    </w:p>
    <w:p w14:paraId="715CF5AF">
      <w:pPr>
        <w:pStyle w:val="7"/>
        <w:spacing w:before="0" w:beforeAutospacing="0" w:after="0" w:afterAutospacing="0" w:line="360" w:lineRule="auto"/>
        <w:ind w:firstLine="420"/>
        <w:rPr>
          <w:sz w:val="21"/>
          <w:szCs w:val="21"/>
        </w:rPr>
      </w:pPr>
      <w:r>
        <w:rPr>
          <w:rFonts w:hint="eastAsia"/>
          <w:sz w:val="21"/>
          <w:szCs w:val="21"/>
        </w:rPr>
        <w:t xml:space="preserve">（5）向基金管理人、基金托管人出资； </w:t>
      </w:r>
    </w:p>
    <w:p w14:paraId="51F1D2B9">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CA63631">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72CEA99">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0E1F8D9">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法律、行政法规或监管部门取消或调整上述限制，如适用于本基金，基金管理人在履行适当程序后，则本基金投资不再受相关限制或按照调整后的规定执行。 </w:t>
      </w:r>
    </w:p>
    <w:p w14:paraId="5BC53769">
      <w:pPr>
        <w:pStyle w:val="7"/>
        <w:spacing w:before="0" w:beforeAutospacing="0" w:after="0" w:afterAutospacing="0" w:line="360" w:lineRule="auto"/>
        <w:ind w:firstLine="420"/>
        <w:rPr>
          <w:sz w:val="21"/>
          <w:szCs w:val="21"/>
        </w:rPr>
      </w:pPr>
      <w:r>
        <w:rPr>
          <w:rFonts w:hint="eastAsia"/>
          <w:sz w:val="21"/>
          <w:szCs w:val="21"/>
        </w:rPr>
        <w:t xml:space="preserve">根据法律法规有关基金从事的关联交易的规定，基金管理人和基金托管人应事先相互提供与本机构有控股关系的股东或与本机构有其他重大利害关系的公司名单及其更新，并以电子邮件或双方约定的其他方式提交，确保所提供的关联交易名单的真实性、完整性、全面性，并负责及时将更新后的名单发送给对方。 </w:t>
      </w:r>
    </w:p>
    <w:p w14:paraId="4F774A45">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 </w:t>
      </w:r>
    </w:p>
    <w:p w14:paraId="7ED2D7D1">
      <w:pPr>
        <w:pStyle w:val="7"/>
        <w:spacing w:before="0" w:beforeAutospacing="0" w:after="0" w:afterAutospacing="0" w:line="360" w:lineRule="auto"/>
        <w:ind w:firstLine="420"/>
        <w:rPr>
          <w:sz w:val="21"/>
          <w:szCs w:val="21"/>
        </w:rPr>
      </w:pPr>
      <w:r>
        <w:rPr>
          <w:rFonts w:hint="eastAsia"/>
          <w:sz w:val="21"/>
          <w:szCs w:val="21"/>
        </w:rPr>
        <w:t xml:space="preserve">基金管理人参与银行间市场交易，应按照审慎的风险控制原则评估交易对手资信风险，并自主选择交易对手。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有权向相关交易对手追偿，基金托管人应予以必要的协助与配合。 </w:t>
      </w:r>
    </w:p>
    <w:p w14:paraId="07E8699E">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4247DE60">
      <w:pPr>
        <w:pStyle w:val="7"/>
        <w:spacing w:before="0" w:beforeAutospacing="0" w:after="0" w:afterAutospacing="0" w:line="360" w:lineRule="auto"/>
        <w:ind w:firstLine="420"/>
        <w:rPr>
          <w:sz w:val="21"/>
          <w:szCs w:val="21"/>
        </w:rPr>
      </w:pPr>
      <w:r>
        <w:rPr>
          <w:rFonts w:hint="eastAsia"/>
          <w:sz w:val="21"/>
          <w:szCs w:val="21"/>
        </w:rPr>
        <w:t xml:space="preserve">（六）基金托管人对基金投资银行存款进行监督。 </w:t>
      </w:r>
    </w:p>
    <w:p w14:paraId="0061C436">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3D5714FA">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14:paraId="6B196394">
      <w:pPr>
        <w:pStyle w:val="7"/>
        <w:spacing w:before="0" w:beforeAutospacing="0" w:after="0" w:afterAutospacing="0" w:line="360" w:lineRule="auto"/>
        <w:ind w:firstLine="420"/>
        <w:rPr>
          <w:sz w:val="21"/>
          <w:szCs w:val="21"/>
        </w:rPr>
      </w:pPr>
      <w:r>
        <w:rPr>
          <w:rFonts w:hint="eastAsia"/>
          <w:sz w:val="21"/>
          <w:szCs w:val="21"/>
        </w:rPr>
        <w:t xml:space="preserve">2、基金管理人应当按照有关法规规定，与基金托管人、存款机构签订相关书面协议。基金托管人应根据有关相关法规及协议对基金银行存款业务进行监督与核查，严格审查、复核相关协议、账户资料、投资指令、存款证实书等有关文件，切实履行托管职责。 </w:t>
      </w:r>
    </w:p>
    <w:p w14:paraId="02F13D3A">
      <w:pPr>
        <w:pStyle w:val="7"/>
        <w:spacing w:before="0" w:beforeAutospacing="0" w:after="0" w:afterAutospacing="0" w:line="360" w:lineRule="auto"/>
        <w:ind w:firstLine="420"/>
        <w:rPr>
          <w:sz w:val="21"/>
          <w:szCs w:val="21"/>
        </w:rPr>
      </w:pPr>
      <w:r>
        <w:rPr>
          <w:rFonts w:hint="eastAsia"/>
          <w:sz w:val="21"/>
          <w:szCs w:val="21"/>
        </w:rPr>
        <w:t xml:space="preserve">3、基金管理人与基金托管人在开展基金存款业务时，应严格遵守《基金法》、《运作办法》等有关法律法规，以及国家有关账户管理、利率管理、支付结算等的各项规定。 </w:t>
      </w:r>
    </w:p>
    <w:p w14:paraId="4BA03B2D">
      <w:pPr>
        <w:pStyle w:val="7"/>
        <w:spacing w:before="0" w:beforeAutospacing="0" w:after="0" w:afterAutospacing="0" w:line="360" w:lineRule="auto"/>
        <w:ind w:firstLine="420"/>
        <w:rPr>
          <w:sz w:val="21"/>
          <w:szCs w:val="21"/>
        </w:rPr>
      </w:pPr>
      <w:r>
        <w:rPr>
          <w:rFonts w:hint="eastAsia"/>
          <w:sz w:val="21"/>
          <w:szCs w:val="21"/>
        </w:rPr>
        <w:t xml:space="preserve">4、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基金管理人未根据有关法律法规的规定及基金合同的约定对定期存款提前支取的，损失由其承担。 </w:t>
      </w:r>
    </w:p>
    <w:p w14:paraId="533A62EE">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（七）基金托管人根据有关法律法规的规定及《基金合同》的约定，对基金管理人投资流通受限证券进行监督。 </w:t>
      </w:r>
    </w:p>
    <w:p w14:paraId="0AEDDD98">
      <w:pPr>
        <w:pStyle w:val="7"/>
        <w:spacing w:before="0" w:beforeAutospacing="0" w:after="0" w:afterAutospacing="0" w:line="360" w:lineRule="auto"/>
        <w:ind w:firstLine="420"/>
        <w:rPr>
          <w:sz w:val="21"/>
          <w:szCs w:val="21"/>
        </w:rPr>
      </w:pPr>
      <w:r>
        <w:rPr>
          <w:rFonts w:hint="eastAsia"/>
          <w:sz w:val="21"/>
          <w:szCs w:val="21"/>
        </w:rPr>
        <w:t xml:space="preserve">1、基金管理人投资流通受限证券，应遵守等有关法律法规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483F18E6">
      <w:pPr>
        <w:pStyle w:val="7"/>
        <w:spacing w:before="0" w:beforeAutospacing="0" w:after="0" w:afterAutospacing="0" w:line="360" w:lineRule="auto"/>
        <w:ind w:firstLine="420"/>
        <w:rPr>
          <w:sz w:val="21"/>
          <w:szCs w:val="21"/>
        </w:rPr>
      </w:pPr>
      <w:r>
        <w:rPr>
          <w:rFonts w:hint="eastAsia"/>
          <w:sz w:val="21"/>
          <w:szCs w:val="21"/>
        </w:rPr>
        <w:t xml:space="preserve">2、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2BC0418F">
      <w:pPr>
        <w:pStyle w:val="7"/>
        <w:spacing w:before="0" w:beforeAutospacing="0" w:after="0" w:afterAutospacing="0" w:line="360" w:lineRule="auto"/>
        <w:ind w:firstLine="420"/>
        <w:rPr>
          <w:sz w:val="21"/>
          <w:szCs w:val="21"/>
        </w:rPr>
      </w:pPr>
      <w:r>
        <w:rPr>
          <w:rFonts w:hint="eastAsia"/>
          <w:sz w:val="21"/>
          <w:szCs w:val="21"/>
        </w:rPr>
        <w:t xml:space="preserve">3、基金管理人应保证本基金投资的流通受限证券登记存管在本基金名下，并确保基金托管人能够正常查询。因基金管理人原因产生的流通受限证券登记存管问题，造成基金托管人无法安全保管本基金资产的责任与损失，及基金财产的损失，由基金管理人承担。 </w:t>
      </w:r>
    </w:p>
    <w:p w14:paraId="645FA1A6">
      <w:pPr>
        <w:pStyle w:val="7"/>
        <w:spacing w:before="0" w:beforeAutospacing="0" w:after="0" w:afterAutospacing="0" w:line="360" w:lineRule="auto"/>
        <w:ind w:firstLine="420"/>
        <w:rPr>
          <w:sz w:val="21"/>
          <w:szCs w:val="21"/>
        </w:rPr>
      </w:pPr>
      <w:r>
        <w:rPr>
          <w:rFonts w:hint="eastAsia"/>
          <w:sz w:val="21"/>
          <w:szCs w:val="21"/>
        </w:rPr>
        <w:t xml:space="preserve">4、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 </w:t>
      </w:r>
    </w:p>
    <w:p w14:paraId="004D3DB7">
      <w:pPr>
        <w:pStyle w:val="7"/>
        <w:spacing w:before="0" w:beforeAutospacing="0" w:after="0" w:afterAutospacing="0" w:line="360" w:lineRule="auto"/>
        <w:ind w:firstLine="420"/>
        <w:rPr>
          <w:sz w:val="21"/>
          <w:szCs w:val="21"/>
        </w:rPr>
      </w:pPr>
      <w:r>
        <w:rPr>
          <w:rFonts w:hint="eastAsia"/>
          <w:sz w:val="21"/>
          <w:szCs w:val="21"/>
        </w:rPr>
        <w:t xml:space="preserve">基金管理人对本基金投资流通受限证券的流动性风险负责，确保对相关风险采取积极有效的措施，在合理的时间内有效解决基金运作的流动性问题。如因市场发生剧烈变动等原因而导致基金现金周转困难时，基金管理人应保证提供足额现金确保基金的支付结算。对本基金因投资流通受限证券导致的流动性风险，基金托管人不承担任何责任。如因基金管理人原因导致本基金出现损失致使基金托管人承担连带赔偿责任的，基金管理人应赔偿基金托管人由此遭受的损失。 </w:t>
      </w:r>
    </w:p>
    <w:p w14:paraId="57B543E4">
      <w:pPr>
        <w:pStyle w:val="7"/>
        <w:spacing w:before="0" w:beforeAutospacing="0" w:after="0" w:afterAutospacing="0" w:line="360" w:lineRule="auto"/>
        <w:ind w:firstLine="420"/>
        <w:rPr>
          <w:sz w:val="21"/>
          <w:szCs w:val="21"/>
        </w:rPr>
      </w:pPr>
      <w:r>
        <w:rPr>
          <w:rFonts w:hint="eastAsia"/>
          <w:sz w:val="21"/>
          <w:szCs w:val="21"/>
        </w:rPr>
        <w:t xml:space="preserve">5、在投资流通受限证券之前，基金管理人应至少提前一个交易日向基金托管人提供有关流通受限证券的相关信息，具体应当包括但不限于如下文件（如有）：拟发行数量、定价依据、监管机构的批准证明文件复印件、基金管理人与承销商签订的销售协议复印件、缴款通知书、基金拟认购的数量、价格、总成本、划款账号、划款金额、划款时间文件等。基金管理人应保证上述信息的真实、完整。 </w:t>
      </w:r>
    </w:p>
    <w:p w14:paraId="46CA3E9E">
      <w:pPr>
        <w:pStyle w:val="7"/>
        <w:spacing w:before="0" w:beforeAutospacing="0" w:after="0" w:afterAutospacing="0" w:line="360" w:lineRule="auto"/>
        <w:ind w:firstLine="420"/>
        <w:rPr>
          <w:sz w:val="21"/>
          <w:szCs w:val="21"/>
        </w:rPr>
      </w:pPr>
      <w:r>
        <w:rPr>
          <w:rFonts w:hint="eastAsia"/>
          <w:sz w:val="21"/>
          <w:szCs w:val="21"/>
        </w:rPr>
        <w:t xml:space="preserve">6、基金管理人应在本基金投资非公开发行股票后两个交易日内，在中国证监会规定媒介披露所投资非公开发行股票的名称、数量、总成本、账面价值，以及总成本和账面价值占基金资产净值的比例、锁定期等信息。 </w:t>
      </w:r>
    </w:p>
    <w:p w14:paraId="15F767C5">
      <w:pPr>
        <w:pStyle w:val="7"/>
        <w:spacing w:before="0" w:beforeAutospacing="0" w:after="0" w:afterAutospacing="0" w:line="360" w:lineRule="auto"/>
        <w:ind w:firstLine="420"/>
        <w:rPr>
          <w:sz w:val="21"/>
          <w:szCs w:val="21"/>
        </w:rPr>
      </w:pPr>
      <w:r>
        <w:rPr>
          <w:rFonts w:hint="eastAsia"/>
          <w:sz w:val="21"/>
          <w:szCs w:val="21"/>
        </w:rPr>
        <w:t xml:space="preserve">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 </w:t>
      </w:r>
    </w:p>
    <w:p w14:paraId="700CEDAA">
      <w:pPr>
        <w:pStyle w:val="7"/>
        <w:spacing w:before="0" w:beforeAutospacing="0" w:after="0" w:afterAutospacing="0" w:line="360" w:lineRule="auto"/>
        <w:ind w:firstLine="420"/>
        <w:rPr>
          <w:sz w:val="21"/>
          <w:szCs w:val="21"/>
        </w:rPr>
      </w:pPr>
      <w:r>
        <w:rPr>
          <w:rFonts w:hint="eastAsia"/>
          <w:sz w:val="21"/>
          <w:szCs w:val="21"/>
        </w:rPr>
        <w:t xml:space="preserve">8、基金托管人根据有关规定有权对基金管理人进行以下事项监督： </w:t>
      </w:r>
    </w:p>
    <w:p w14:paraId="58E7650E">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14:paraId="5BE88011">
      <w:pPr>
        <w:pStyle w:val="7"/>
        <w:spacing w:before="0" w:beforeAutospacing="0" w:after="0" w:afterAutospacing="0" w:line="360" w:lineRule="auto"/>
        <w:ind w:firstLine="420"/>
        <w:rPr>
          <w:sz w:val="21"/>
          <w:szCs w:val="21"/>
        </w:rPr>
      </w:pPr>
      <w:r>
        <w:rPr>
          <w:rFonts w:hint="eastAsia"/>
          <w:sz w:val="21"/>
          <w:szCs w:val="21"/>
        </w:rPr>
        <w:t xml:space="preserve">（2）在基金投资流通受限证券管理工作方面有关制度、流动性风险处置预案的建立与完善情况。 </w:t>
      </w:r>
    </w:p>
    <w:p w14:paraId="64CE2E4F">
      <w:pPr>
        <w:pStyle w:val="7"/>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6C1D44DD">
      <w:pPr>
        <w:pStyle w:val="7"/>
        <w:spacing w:before="0" w:beforeAutospacing="0" w:after="0" w:afterAutospacing="0" w:line="360" w:lineRule="auto"/>
        <w:ind w:firstLine="420"/>
        <w:rPr>
          <w:sz w:val="21"/>
          <w:szCs w:val="21"/>
        </w:rPr>
      </w:pPr>
      <w:r>
        <w:rPr>
          <w:rFonts w:hint="eastAsia"/>
          <w:sz w:val="21"/>
          <w:szCs w:val="21"/>
        </w:rPr>
        <w:t xml:space="preserve">（4）信息披露情况。 </w:t>
      </w:r>
    </w:p>
    <w:p w14:paraId="16E48D2F">
      <w:pPr>
        <w:pStyle w:val="7"/>
        <w:spacing w:before="0" w:beforeAutospacing="0" w:after="0" w:afterAutospacing="0" w:line="360" w:lineRule="auto"/>
        <w:ind w:firstLine="420"/>
        <w:rPr>
          <w:sz w:val="21"/>
          <w:szCs w:val="21"/>
        </w:rPr>
      </w:pPr>
      <w:r>
        <w:rPr>
          <w:rFonts w:hint="eastAsia"/>
          <w:sz w:val="21"/>
          <w:szCs w:val="21"/>
        </w:rPr>
        <w:t xml:space="preserve">9、相关法律法规对基金投资流通受限证券有新规定的，从其规定。 </w:t>
      </w:r>
    </w:p>
    <w:p w14:paraId="673AC173">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邮件提醒或书面提示等方式通知基金管理人限期纠正。基金管理人应积极配合和协助基金托管人的监督和核查。基金管理人收到书面通知后应在下一工作日前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73901582">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 </w:t>
      </w:r>
    </w:p>
    <w:p w14:paraId="08C74F2A">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以书面或以双方认可的其他方式通知基金管理人，并及时向中国证监会报告。 </w:t>
      </w:r>
    </w:p>
    <w:p w14:paraId="258A5845">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63FC62FF">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2DEF1618">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但不限于基金托管人安全保管基金财产、开设基金财产的资金账户、证券账户等投资所需账户、复核基金管理人计算的基金资产净值和基金份额净值、根据基金管理人指令办理清算交收、相关信息披露和监督基金投资运作等行为。 </w:t>
      </w:r>
    </w:p>
    <w:p w14:paraId="29C58258">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基金托管人对基金管理人通知的违规事项未能在限期内纠正或未在合理期限内确认的，基金管理人应报告中国证监会。基金管理人有权要求基金托管人赔偿基金管理人及基金财产因此所遭受的损失。 </w:t>
      </w:r>
    </w:p>
    <w:p w14:paraId="083A5998">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 </w:t>
      </w:r>
    </w:p>
    <w:p w14:paraId="36B6DBC1">
      <w:pPr>
        <w:pStyle w:val="7"/>
        <w:spacing w:before="0" w:beforeAutospacing="0" w:after="0" w:afterAutospacing="0" w:line="360" w:lineRule="auto"/>
        <w:ind w:firstLine="420"/>
        <w:rPr>
          <w:sz w:val="21"/>
          <w:szCs w:val="21"/>
        </w:rPr>
      </w:pPr>
      <w:r>
        <w:rPr>
          <w:rFonts w:hint="eastAsia"/>
          <w:sz w:val="21"/>
          <w:szCs w:val="21"/>
        </w:rPr>
        <w:t xml:space="preserve">基金管理人基于正当合理理由可定期和不定期地对基金托管人保管的基金财产进行核查。基金托管人应积极配合基金管理人的核查行为，包括但不限于：交相关资料以供基金管理人核查托管财产的完整性和真实性。 </w:t>
      </w:r>
    </w:p>
    <w:p w14:paraId="2DA2CA4D">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基金托管人无正当理由，拒绝、阻挠对方根据本协议规定行使监督权，或采取拖延、欺诈等手段妨碍对方进行有效监督，情节严重或经基金管理人提出警告仍不改正的，基金管理人应报告中国证监会。 </w:t>
      </w:r>
    </w:p>
    <w:p w14:paraId="14AF5508">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356FA5F4">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775E0F35">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5D3EF4AD">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4F991394">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3、基金托管人按照规定开设基金财产的资金账户、证券账户等投资所需账户。 </w:t>
      </w:r>
    </w:p>
    <w:p w14:paraId="106EC36F">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4、基金托管人对所托管的不同基金财产分别设置账户，独立运作，分开核算，确保基金财产的完整与独立。 </w:t>
      </w:r>
    </w:p>
    <w:p w14:paraId="7DC35555">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合法合规指令，不得自行运用、处分、分配本基金的任何资产（不包含托管资产开户银行扣收结算费和账户维护费等费用）。 </w:t>
      </w:r>
    </w:p>
    <w:p w14:paraId="208265A2">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 </w:t>
      </w:r>
    </w:p>
    <w:p w14:paraId="668BB396">
      <w:pPr>
        <w:pStyle w:val="7"/>
        <w:spacing w:before="0" w:beforeAutospacing="0" w:after="0" w:afterAutospacing="0" w:line="360" w:lineRule="auto"/>
        <w:ind w:firstLine="420"/>
        <w:rPr>
          <w:sz w:val="21"/>
          <w:szCs w:val="21"/>
        </w:rPr>
      </w:pPr>
      <w:r>
        <w:rPr>
          <w:rFonts w:hint="eastAsia"/>
          <w:sz w:val="21"/>
          <w:szCs w:val="21"/>
        </w:rPr>
        <w:t xml:space="preserve">7、对因为基金管理人投资产生的存放或存管在基金托管人以外机构的基金财产，或交由期货公司负责清算交收的基金财产（包括但不限于期货保证金账户内的资金、期货合约等）及其收益，若由于该等机构或该机构会员单位等本协议当事人外第三方的原因给基金财产造成的损失等，基金托管人不承担责任。 </w:t>
      </w:r>
    </w:p>
    <w:p w14:paraId="0C113A04">
      <w:pPr>
        <w:pStyle w:val="7"/>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39A26461">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306EDAFD">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1、基金募集期间募集的资金应存于基金管理人开立的“基金募集专户”。该账户由基金管理人开立并管理。 </w:t>
      </w:r>
    </w:p>
    <w:p w14:paraId="5753DC16">
      <w:pPr>
        <w:pStyle w:val="7"/>
        <w:spacing w:before="0" w:beforeAutospacing="0" w:after="0" w:afterAutospacing="0" w:line="360" w:lineRule="auto"/>
        <w:ind w:firstLine="420"/>
        <w:rPr>
          <w:sz w:val="21"/>
          <w:szCs w:val="21"/>
        </w:rPr>
      </w:pPr>
      <w:r>
        <w:rPr>
          <w:rFonts w:hint="eastAsia"/>
          <w:sz w:val="21"/>
          <w:szCs w:val="21"/>
        </w:rPr>
        <w:t xml:space="preserve">2、基金募集期满或基金提前结束募集时，募集的基金份额总额、基金募集金额、基金份额持有人人数符合《基金法》、《运作办法》、基金合同等有关规定后，基金管理人应将属于基金财产的全部资金划入基金托管人为本基金开立的基金银行账户，同时在规定时间内，聘请符合《中华人民共和国证券法》规定的会计师事务所进行验资，出具验资报告。出具的验资报告由参加验资的2名或2名以上中国注册会计师签字方为有效。 </w:t>
      </w:r>
    </w:p>
    <w:p w14:paraId="0D890CF8">
      <w:pPr>
        <w:pStyle w:val="7"/>
        <w:spacing w:before="0" w:beforeAutospacing="0" w:after="0" w:afterAutospacing="0" w:line="360" w:lineRule="auto"/>
        <w:ind w:firstLine="420"/>
        <w:rPr>
          <w:sz w:val="21"/>
          <w:szCs w:val="21"/>
        </w:rPr>
      </w:pPr>
      <w:r>
        <w:rPr>
          <w:rFonts w:hint="eastAsia"/>
          <w:sz w:val="21"/>
          <w:szCs w:val="21"/>
        </w:rPr>
        <w:t xml:space="preserve">3、若基金募集期限届满或基金停止募集时，未能达到基金备案的条件，由基金管理人按规定办理退款等事宜，基金托管人应提供充分协助。 </w:t>
      </w:r>
    </w:p>
    <w:p w14:paraId="68B73065">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0B661709">
      <w:pPr>
        <w:pStyle w:val="7"/>
        <w:spacing w:before="0" w:beforeAutospacing="0" w:after="0" w:afterAutospacing="0" w:line="360" w:lineRule="auto"/>
        <w:ind w:firstLine="420"/>
        <w:rPr>
          <w:sz w:val="21"/>
          <w:szCs w:val="21"/>
        </w:rPr>
      </w:pPr>
      <w:r>
        <w:rPr>
          <w:rFonts w:hint="eastAsia"/>
          <w:sz w:val="21"/>
          <w:szCs w:val="21"/>
        </w:rPr>
        <w:t xml:space="preserve">1、基金托管人以基金托管人的名义开设本基金的基金托管专户，也称为资金账户，保管基金财产的银行存款。该账户的开设和管理由基金托管人承担。本基金的一切货币收支活动，均需通过基金托管人的基金托管专户进行。 </w:t>
      </w:r>
    </w:p>
    <w:p w14:paraId="7A97DD0F">
      <w:pPr>
        <w:pStyle w:val="7"/>
        <w:spacing w:before="0" w:beforeAutospacing="0" w:after="0" w:afterAutospacing="0" w:line="360" w:lineRule="auto"/>
        <w:ind w:firstLine="420"/>
        <w:rPr>
          <w:sz w:val="21"/>
          <w:szCs w:val="21"/>
        </w:rPr>
      </w:pPr>
      <w:r>
        <w:rPr>
          <w:rFonts w:hint="eastAsia"/>
          <w:sz w:val="21"/>
          <w:szCs w:val="21"/>
        </w:rPr>
        <w:t xml:space="preserve">2、基金托管人可根据实际情况需要，为本基金开立资金清算辅助账户，以办理相关的资金汇划业务。 </w:t>
      </w:r>
    </w:p>
    <w:p w14:paraId="2A6A1903">
      <w:pPr>
        <w:pStyle w:val="7"/>
        <w:spacing w:before="0" w:beforeAutospacing="0" w:after="0" w:afterAutospacing="0" w:line="360" w:lineRule="auto"/>
        <w:ind w:firstLine="420"/>
        <w:rPr>
          <w:sz w:val="21"/>
          <w:szCs w:val="21"/>
        </w:rPr>
      </w:pPr>
      <w:r>
        <w:rPr>
          <w:rFonts w:hint="eastAsia"/>
          <w:sz w:val="21"/>
          <w:szCs w:val="21"/>
        </w:rPr>
        <w:t xml:space="preserve">3、基金托管专户的开立和使用，限于满足开展本基金业务的需要。基金托管人和基金管理人不得假借本基金的名义开立任何其他银行账户；亦不得使用基金的任何账户进行本基金业务以外的活动。 </w:t>
      </w:r>
    </w:p>
    <w:p w14:paraId="76182EDF">
      <w:pPr>
        <w:pStyle w:val="7"/>
        <w:spacing w:before="0" w:beforeAutospacing="0" w:after="0" w:afterAutospacing="0" w:line="360" w:lineRule="auto"/>
        <w:ind w:firstLine="420"/>
        <w:rPr>
          <w:sz w:val="21"/>
          <w:szCs w:val="21"/>
        </w:rPr>
      </w:pPr>
      <w:r>
        <w:rPr>
          <w:rFonts w:hint="eastAsia"/>
          <w:sz w:val="21"/>
          <w:szCs w:val="21"/>
        </w:rPr>
        <w:t xml:space="preserve">4、基金托管专户的开立和管理应符合银行业监督管理机构的有关规定。 </w:t>
      </w:r>
    </w:p>
    <w:p w14:paraId="4ADE1C98">
      <w:pPr>
        <w:pStyle w:val="7"/>
        <w:spacing w:before="0" w:beforeAutospacing="0" w:after="0" w:afterAutospacing="0" w:line="360" w:lineRule="auto"/>
        <w:ind w:firstLine="420"/>
        <w:rPr>
          <w:sz w:val="21"/>
          <w:szCs w:val="21"/>
        </w:rPr>
      </w:pPr>
      <w:r>
        <w:rPr>
          <w:rFonts w:hint="eastAsia"/>
          <w:sz w:val="21"/>
          <w:szCs w:val="21"/>
        </w:rPr>
        <w:t xml:space="preserve">5、在符合法律法规规定的条件下，基金托管人可以通过基金托管专户办理基金资产的支付。 </w:t>
      </w:r>
    </w:p>
    <w:p w14:paraId="5196347B">
      <w:pPr>
        <w:pStyle w:val="7"/>
        <w:spacing w:before="0" w:beforeAutospacing="0" w:after="0" w:afterAutospacing="0" w:line="360" w:lineRule="auto"/>
        <w:ind w:firstLine="420"/>
        <w:rPr>
          <w:sz w:val="21"/>
          <w:szCs w:val="21"/>
        </w:rPr>
      </w:pPr>
      <w:r>
        <w:rPr>
          <w:rFonts w:hint="eastAsia"/>
          <w:sz w:val="21"/>
          <w:szCs w:val="21"/>
        </w:rPr>
        <w:t xml:space="preserve">（四）定期存款账户 </w:t>
      </w:r>
    </w:p>
    <w:p w14:paraId="0200C28C">
      <w:pPr>
        <w:pStyle w:val="7"/>
        <w:spacing w:before="0" w:beforeAutospacing="0" w:after="0" w:afterAutospacing="0" w:line="360" w:lineRule="auto"/>
        <w:ind w:firstLine="420"/>
        <w:rPr>
          <w:sz w:val="21"/>
          <w:szCs w:val="21"/>
        </w:rPr>
      </w:pPr>
      <w:r>
        <w:rPr>
          <w:rFonts w:hint="eastAsia"/>
          <w:sz w:val="21"/>
          <w:szCs w:val="21"/>
        </w:rPr>
        <w:t xml:space="preserve">基金财产投资定期存款在存款机构开立的银行账户，包括实体或虚拟账户，其预留印鉴经各方商议后预留。在取得存款证实书后，基金托管人保管证实书正本。基金管理人应该在合理的时间内进行定期存款的投资和支取事宜，若基金管理人提前支取或部分提前支取定期存款，若产生息差（即本基金已计提的资金利息和提前支取时收到的资金利息差额），该息差的处理方法由基金管理人和基金托管人双方协商解决。 </w:t>
      </w:r>
    </w:p>
    <w:p w14:paraId="31549FC4">
      <w:pPr>
        <w:pStyle w:val="7"/>
        <w:spacing w:before="0" w:beforeAutospacing="0" w:after="0" w:afterAutospacing="0" w:line="360" w:lineRule="auto"/>
        <w:ind w:firstLine="420"/>
        <w:rPr>
          <w:sz w:val="21"/>
          <w:szCs w:val="21"/>
        </w:rPr>
      </w:pPr>
      <w:r>
        <w:rPr>
          <w:rFonts w:hint="eastAsia"/>
          <w:sz w:val="21"/>
          <w:szCs w:val="21"/>
        </w:rPr>
        <w:t xml:space="preserve">对于任何的定期存款投资，基金管理人都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如定期存款协议中未体现前述条款，基金托管人有权拒绝定期存款投资的划款指令。 </w:t>
      </w:r>
    </w:p>
    <w:p w14:paraId="3F599782">
      <w:pPr>
        <w:pStyle w:val="7"/>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22C84905">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根据投资需要在中国人民银行完成全国银行间债券市场准入备案，基金托管人应配合提供相关材料。根据银行间市场登记结算机构的有关规定，基金托管人协助基金管理人以本基金的名义在银行间市场登记结算机构开立债券托管账户和资金结算账户，并代表本基金进行银行间市场债券的结算。 </w:t>
      </w:r>
    </w:p>
    <w:p w14:paraId="49205366">
      <w:pPr>
        <w:pStyle w:val="7"/>
        <w:spacing w:before="0" w:beforeAutospacing="0" w:after="0" w:afterAutospacing="0" w:line="360" w:lineRule="auto"/>
        <w:ind w:firstLine="420"/>
        <w:rPr>
          <w:sz w:val="21"/>
          <w:szCs w:val="21"/>
        </w:rPr>
      </w:pPr>
      <w:r>
        <w:rPr>
          <w:rFonts w:hint="eastAsia"/>
          <w:sz w:val="21"/>
          <w:szCs w:val="21"/>
        </w:rPr>
        <w:t xml:space="preserve">（六）基金证券账户和证券交易资金账户的开立和管理 </w:t>
      </w:r>
    </w:p>
    <w:p w14:paraId="05C1A602">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1、基金托管人在中国证券登记结算有限责任公司（以下简称“中登公司”）为基金开立基金托管人与本基金联名的证券账户。 </w:t>
      </w:r>
    </w:p>
    <w:p w14:paraId="281BC92B">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62C0F9D0">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6CAB2AB9">
      <w:pPr>
        <w:pStyle w:val="7"/>
        <w:spacing w:before="0" w:beforeAutospacing="0" w:after="0" w:afterAutospacing="0" w:line="360" w:lineRule="auto"/>
        <w:ind w:firstLine="420"/>
        <w:rPr>
          <w:sz w:val="21"/>
          <w:szCs w:val="21"/>
        </w:rPr>
      </w:pPr>
      <w:r>
        <w:rPr>
          <w:rFonts w:hint="eastAsia"/>
          <w:sz w:val="21"/>
          <w:szCs w:val="21"/>
        </w:rPr>
        <w:t xml:space="preserve">4、基金管理人为基金财产在证券经纪机构开立证券交易资金账户，用于基金财产证券交易结算资金的存管、记载交易结算资金的变动明细以及场内证券交易清算，并与基金托管人开立的托管账户建立第三方存管关系。 </w:t>
      </w:r>
    </w:p>
    <w:p w14:paraId="24402C52">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5、若中国证监会或其他监管机构在本托管协议生效日之后允许基金从事其他投资品种的投资业务，涉及相关账户的开立、使用的，若无相关规定，则基金托管人比照上述关于账户开立、使用的规定执行。 </w:t>
      </w:r>
    </w:p>
    <w:p w14:paraId="3E35F037">
      <w:pPr>
        <w:pStyle w:val="7"/>
        <w:spacing w:before="0" w:beforeAutospacing="0" w:after="0" w:afterAutospacing="0" w:line="360" w:lineRule="auto"/>
        <w:ind w:firstLine="420"/>
        <w:rPr>
          <w:sz w:val="21"/>
          <w:szCs w:val="21"/>
        </w:rPr>
      </w:pPr>
      <w:r>
        <w:rPr>
          <w:rFonts w:hint="eastAsia"/>
          <w:sz w:val="21"/>
          <w:szCs w:val="21"/>
        </w:rPr>
        <w:t xml:space="preserve">（七）其他账户的开立和管理 </w:t>
      </w:r>
    </w:p>
    <w:p w14:paraId="6C7DBB54">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1、因业务发展需要而开立的其他账户，可以根据法律法规和基金合同的规定，由基金管理人与基金托管人协商后由基金托管人负责办理。新账户按有关规定使用并管理。 </w:t>
      </w:r>
    </w:p>
    <w:p w14:paraId="23DFB359">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 </w:t>
      </w:r>
    </w:p>
    <w:p w14:paraId="3AFF1117">
      <w:pPr>
        <w:pStyle w:val="7"/>
        <w:spacing w:before="0" w:beforeAutospacing="0" w:after="0" w:afterAutospacing="0" w:line="360" w:lineRule="auto"/>
        <w:ind w:firstLine="420"/>
        <w:rPr>
          <w:sz w:val="21"/>
          <w:szCs w:val="21"/>
        </w:rPr>
      </w:pPr>
      <w:r>
        <w:rPr>
          <w:rFonts w:hint="eastAsia"/>
          <w:sz w:val="21"/>
          <w:szCs w:val="21"/>
        </w:rPr>
        <w:t xml:space="preserve">（八）基金财产投资的有关有价凭证等的保管 </w:t>
      </w:r>
    </w:p>
    <w:p w14:paraId="350BD1B7">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登公司上海分公司/深圳分公司/北京分公司、银行间市场清算所股份有限公司或票据营业中心的代保管库，保管凭证由基金托管人持有。实物证券、银行存款开户证实书等有价凭证的购买和转让，由基金托管人根据基金管理人的指令办理。属于基金托管人控制下的实物证券在基金托管人保管期间的损坏、灭失，由此产生的责任应由基金托管人承担。基金托管人对由基金托管人以外机构实际有效控制的资产不承担保管责任。 </w:t>
      </w:r>
    </w:p>
    <w:p w14:paraId="606F662B">
      <w:pPr>
        <w:pStyle w:val="7"/>
        <w:spacing w:before="0" w:beforeAutospacing="0" w:after="0" w:afterAutospacing="0" w:line="360" w:lineRule="auto"/>
        <w:ind w:firstLine="420"/>
        <w:rPr>
          <w:sz w:val="21"/>
          <w:szCs w:val="21"/>
        </w:rPr>
      </w:pPr>
      <w:r>
        <w:rPr>
          <w:rFonts w:hint="eastAsia"/>
          <w:sz w:val="21"/>
          <w:szCs w:val="21"/>
        </w:rPr>
        <w:t xml:space="preserve">（九）与基金财产有关的重大合同的保管 </w:t>
      </w:r>
    </w:p>
    <w:p w14:paraId="527C9E5A">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三十个工作日内将正本送达基金托管人处。重大合同的保管期限不低于法律法规规定的最低期限。 </w:t>
      </w:r>
    </w:p>
    <w:p w14:paraId="1A4A3EB6">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对于无法取得二份以上的正本的，基金管理人应向基金托管人提供加盖公章的合同传真件或复印件，未经双方协商一致或未在合同约定范围内，合同原件不得转移，由基金管理人保管。 </w:t>
      </w:r>
    </w:p>
    <w:p w14:paraId="0FBF1327">
      <w:pPr>
        <w:pStyle w:val="7"/>
        <w:spacing w:before="0" w:beforeAutospacing="0" w:after="0" w:afterAutospacing="0" w:line="360" w:lineRule="auto"/>
        <w:ind w:firstLine="420"/>
        <w:rPr>
          <w:sz w:val="21"/>
          <w:szCs w:val="21"/>
        </w:rPr>
      </w:pPr>
      <w:r>
        <w:rPr>
          <w:rStyle w:val="11"/>
          <w:rFonts w:hint="eastAsia"/>
          <w:sz w:val="21"/>
          <w:szCs w:val="21"/>
        </w:rPr>
        <w:t>五、基金资产净值计算、估值和会计核算</w:t>
      </w:r>
    </w:p>
    <w:p w14:paraId="1715EB89">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7B6769BA">
      <w:pPr>
        <w:pStyle w:val="7"/>
        <w:spacing w:before="0" w:beforeAutospacing="0" w:after="0" w:afterAutospacing="0" w:line="360" w:lineRule="auto"/>
        <w:ind w:firstLine="420"/>
        <w:rPr>
          <w:sz w:val="21"/>
          <w:szCs w:val="21"/>
        </w:rPr>
      </w:pPr>
      <w:r>
        <w:rPr>
          <w:rFonts w:hint="eastAsia"/>
          <w:sz w:val="21"/>
          <w:szCs w:val="21"/>
        </w:rPr>
        <w:t xml:space="preserve">1、基金资产净值 </w:t>
      </w:r>
    </w:p>
    <w:p w14:paraId="0809422B">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64A27C24">
      <w:pPr>
        <w:pStyle w:val="7"/>
        <w:spacing w:before="0" w:beforeAutospacing="0" w:after="0" w:afterAutospacing="0" w:line="360" w:lineRule="auto"/>
        <w:ind w:firstLine="420"/>
        <w:rPr>
          <w:sz w:val="21"/>
          <w:szCs w:val="21"/>
        </w:rPr>
      </w:pPr>
      <w:r>
        <w:rPr>
          <w:rFonts w:hint="eastAsia"/>
          <w:sz w:val="21"/>
          <w:szCs w:val="21"/>
        </w:rPr>
        <w:t xml:space="preserve">基金份额净值是按照每个估值日，基金资产净值除以对应日期的基金份额的余额数量计算，精确到0.0001元，小数点后第5位四舍五入。基金管理人可以设立大额赎回情形下的净值精度应急调整机制。国家另有规定的，从其规定。 </w:t>
      </w:r>
    </w:p>
    <w:p w14:paraId="696D9F75">
      <w:pPr>
        <w:pStyle w:val="7"/>
        <w:spacing w:before="0" w:beforeAutospacing="0" w:after="0" w:afterAutospacing="0" w:line="360" w:lineRule="auto"/>
        <w:ind w:firstLine="420"/>
        <w:rPr>
          <w:sz w:val="21"/>
          <w:szCs w:val="21"/>
        </w:rPr>
      </w:pPr>
      <w:r>
        <w:rPr>
          <w:rFonts w:hint="eastAsia"/>
          <w:sz w:val="21"/>
          <w:szCs w:val="21"/>
        </w:rPr>
        <w:t xml:space="preserve">基金管理人于每个估值日计算基金资产净值及基金份额净值，并按规定公告。 </w:t>
      </w:r>
    </w:p>
    <w:p w14:paraId="178AF8EE">
      <w:pPr>
        <w:pStyle w:val="7"/>
        <w:spacing w:before="0" w:beforeAutospacing="0" w:after="0" w:afterAutospacing="0" w:line="360" w:lineRule="auto"/>
        <w:ind w:firstLine="420"/>
        <w:rPr>
          <w:sz w:val="21"/>
          <w:szCs w:val="21"/>
        </w:rPr>
      </w:pPr>
      <w:r>
        <w:rPr>
          <w:rFonts w:hint="eastAsia"/>
          <w:sz w:val="21"/>
          <w:szCs w:val="21"/>
        </w:rPr>
        <w:t xml:space="preserve">2、复核程序 </w:t>
      </w:r>
    </w:p>
    <w:p w14:paraId="2D96B3BA">
      <w:pPr>
        <w:pStyle w:val="7"/>
        <w:spacing w:before="0" w:beforeAutospacing="0" w:after="0" w:afterAutospacing="0" w:line="360" w:lineRule="auto"/>
        <w:ind w:firstLine="420"/>
        <w:rPr>
          <w:sz w:val="21"/>
          <w:szCs w:val="21"/>
        </w:rPr>
      </w:pPr>
      <w:r>
        <w:rPr>
          <w:rFonts w:hint="eastAsia"/>
          <w:sz w:val="21"/>
          <w:szCs w:val="21"/>
        </w:rPr>
        <w:t xml:space="preserve">基金管理人应每个估值日对基金资产估值，但基金管理人根据法律法规或基金合同的规定暂停估值时除外。基金管理人每个估值日对基金资产估值后，将基金净值信息结果发送基金托管人，经基金托管人复核无误后，由基金管理人对外公布。 </w:t>
      </w:r>
    </w:p>
    <w:p w14:paraId="520DDB60">
      <w:pPr>
        <w:pStyle w:val="7"/>
        <w:spacing w:before="0" w:beforeAutospacing="0" w:after="0" w:afterAutospacing="0" w:line="360" w:lineRule="auto"/>
        <w:ind w:firstLine="420"/>
        <w:rPr>
          <w:sz w:val="21"/>
          <w:szCs w:val="21"/>
        </w:rPr>
      </w:pPr>
      <w:r>
        <w:rPr>
          <w:rFonts w:hint="eastAsia"/>
          <w:sz w:val="21"/>
          <w:szCs w:val="21"/>
        </w:rPr>
        <w:t xml:space="preserve">3、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63982E18">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4FAF20E9">
      <w:pPr>
        <w:pStyle w:val="7"/>
        <w:spacing w:before="0" w:beforeAutospacing="0" w:after="0" w:afterAutospacing="0" w:line="360" w:lineRule="auto"/>
        <w:ind w:firstLine="420"/>
        <w:rPr>
          <w:sz w:val="21"/>
          <w:szCs w:val="21"/>
        </w:rPr>
      </w:pPr>
      <w:r>
        <w:rPr>
          <w:rFonts w:hint="eastAsia"/>
          <w:sz w:val="21"/>
          <w:szCs w:val="21"/>
        </w:rPr>
        <w:t xml:space="preserve">1、估值对象 </w:t>
      </w:r>
    </w:p>
    <w:p w14:paraId="6F438A70">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基金所拥有的股票（含存托凭证）、债券、资产支持证券、股指期货合约、国债期货合约、股票期权合约、资产支持证券、银行存款本息、应收款项、其它投资等资产及负债。 </w:t>
      </w:r>
    </w:p>
    <w:p w14:paraId="4683D8EE">
      <w:pPr>
        <w:pStyle w:val="7"/>
        <w:spacing w:before="0" w:beforeAutospacing="0" w:after="0" w:afterAutospacing="0" w:line="360" w:lineRule="auto"/>
        <w:ind w:firstLine="420"/>
        <w:rPr>
          <w:sz w:val="21"/>
          <w:szCs w:val="21"/>
        </w:rPr>
      </w:pPr>
      <w:r>
        <w:rPr>
          <w:rFonts w:hint="eastAsia"/>
          <w:sz w:val="21"/>
          <w:szCs w:val="21"/>
        </w:rPr>
        <w:t xml:space="preserve">2、估值方法 </w:t>
      </w:r>
    </w:p>
    <w:p w14:paraId="1A0D3AC9">
      <w:pPr>
        <w:pStyle w:val="7"/>
        <w:spacing w:before="0" w:beforeAutospacing="0" w:after="0" w:afterAutospacing="0" w:line="360" w:lineRule="auto"/>
        <w:ind w:firstLine="420"/>
        <w:rPr>
          <w:sz w:val="21"/>
          <w:szCs w:val="21"/>
        </w:rPr>
      </w:pPr>
      <w:r>
        <w:rPr>
          <w:rFonts w:hint="eastAsia"/>
          <w:sz w:val="21"/>
          <w:szCs w:val="21"/>
        </w:rPr>
        <w:t xml:space="preserve">（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6D0A218E">
      <w:pPr>
        <w:pStyle w:val="7"/>
        <w:spacing w:before="0" w:beforeAutospacing="0" w:after="0" w:afterAutospacing="0" w:line="360" w:lineRule="auto"/>
        <w:ind w:firstLine="420"/>
        <w:rPr>
          <w:sz w:val="21"/>
          <w:szCs w:val="21"/>
        </w:rPr>
      </w:pPr>
      <w:r>
        <w:rPr>
          <w:rFonts w:hint="eastAsia"/>
          <w:sz w:val="21"/>
          <w:szCs w:val="21"/>
        </w:rPr>
        <w:t xml:space="preserve">（2）对于已上市或已挂牌转让的不含权固定收益品种，选取估值日第三方估值基准服务机构提供的相应品种当日的估值全价进行估值。 </w:t>
      </w:r>
    </w:p>
    <w:p w14:paraId="190B96DC">
      <w:pPr>
        <w:pStyle w:val="7"/>
        <w:spacing w:before="0" w:beforeAutospacing="0" w:after="0" w:afterAutospacing="0" w:line="360" w:lineRule="auto"/>
        <w:ind w:firstLine="420"/>
        <w:rPr>
          <w:sz w:val="21"/>
          <w:szCs w:val="21"/>
        </w:rPr>
      </w:pPr>
      <w:r>
        <w:rPr>
          <w:rFonts w:hint="eastAsia"/>
          <w:sz w:val="21"/>
          <w:szCs w:val="21"/>
        </w:rPr>
        <w:t xml:space="preserve">（3）对于已上市或已挂牌转让的含权固定收益品种，选取估值日第三方估值基准服务机构提供的相应品种当日的唯一估值全价或推荐估值全价进行估值。 </w:t>
      </w:r>
    </w:p>
    <w:p w14:paraId="0CCDF173">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14:paraId="68F80473">
      <w:pPr>
        <w:pStyle w:val="7"/>
        <w:spacing w:before="0" w:beforeAutospacing="0" w:after="0" w:afterAutospacing="0" w:line="360" w:lineRule="auto"/>
        <w:ind w:firstLine="420"/>
        <w:rPr>
          <w:sz w:val="21"/>
          <w:szCs w:val="21"/>
        </w:rPr>
      </w:pPr>
      <w:r>
        <w:rPr>
          <w:rFonts w:hint="eastAsia"/>
          <w:sz w:val="21"/>
          <w:szCs w:val="21"/>
        </w:rPr>
        <w:t xml:space="preserve">（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14:paraId="42EC09B0">
      <w:pPr>
        <w:pStyle w:val="7"/>
        <w:spacing w:before="0" w:beforeAutospacing="0" w:after="0" w:afterAutospacing="0" w:line="360" w:lineRule="auto"/>
        <w:ind w:firstLine="420"/>
        <w:rPr>
          <w:sz w:val="21"/>
          <w:szCs w:val="21"/>
        </w:rPr>
      </w:pPr>
      <w:r>
        <w:rPr>
          <w:rFonts w:hint="eastAsia"/>
          <w:sz w:val="21"/>
          <w:szCs w:val="21"/>
        </w:rPr>
        <w:t xml:space="preserve">（5）对于未上市或未挂牌转让且不存在活跃市场的固定收益品种，应采用在当前情况下适用并且有足够可利用数据和其他信息支持的估值技术确定其公允价值。 </w:t>
      </w:r>
    </w:p>
    <w:p w14:paraId="26DBAFF8">
      <w:pPr>
        <w:pStyle w:val="7"/>
        <w:spacing w:before="0" w:beforeAutospacing="0" w:after="0" w:afterAutospacing="0" w:line="360" w:lineRule="auto"/>
        <w:ind w:firstLine="420"/>
        <w:rPr>
          <w:sz w:val="21"/>
          <w:szCs w:val="21"/>
        </w:rPr>
      </w:pPr>
      <w:r>
        <w:rPr>
          <w:rFonts w:hint="eastAsia"/>
          <w:sz w:val="21"/>
          <w:szCs w:val="21"/>
        </w:rPr>
        <w:t xml:space="preserve">（6）处于未上市期间的有价证券应区分如下情况处理： </w:t>
      </w:r>
    </w:p>
    <w:p w14:paraId="4C24F4B0">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39062E8D">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2）首次公开发行未上市的股票，采用估值技术确定公允价值，在估值技术难以可靠计量公允价值的情况下，按成本估值； </w:t>
      </w:r>
    </w:p>
    <w:p w14:paraId="60DCCA7B">
      <w:pPr>
        <w:pStyle w:val="7"/>
        <w:spacing w:before="0" w:beforeAutospacing="0" w:after="0" w:afterAutospacing="0" w:line="360" w:lineRule="auto"/>
        <w:ind w:firstLine="420"/>
        <w:rPr>
          <w:sz w:val="21"/>
          <w:szCs w:val="21"/>
        </w:rPr>
      </w:pPr>
      <w:r>
        <w:rPr>
          <w:rFonts w:hint="eastAsia"/>
          <w:sz w:val="21"/>
          <w:szCs w:val="21"/>
        </w:rPr>
        <w:t xml:space="preserve">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30F20257">
      <w:pPr>
        <w:pStyle w:val="7"/>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66009A63">
      <w:pPr>
        <w:pStyle w:val="7"/>
        <w:spacing w:before="0" w:beforeAutospacing="0" w:after="0" w:afterAutospacing="0" w:line="360" w:lineRule="auto"/>
        <w:ind w:firstLine="420"/>
        <w:rPr>
          <w:sz w:val="21"/>
          <w:szCs w:val="21"/>
        </w:rPr>
      </w:pPr>
      <w:r>
        <w:rPr>
          <w:rFonts w:hint="eastAsia"/>
          <w:sz w:val="21"/>
          <w:szCs w:val="21"/>
        </w:rPr>
        <w:t xml:space="preserve">（8）同一证券同时在两个或两个以上市场交易的，按证券所处的市场分别估值。 </w:t>
      </w:r>
    </w:p>
    <w:p w14:paraId="09820BD3">
      <w:pPr>
        <w:pStyle w:val="7"/>
        <w:spacing w:before="0" w:beforeAutospacing="0" w:after="0" w:afterAutospacing="0" w:line="360" w:lineRule="auto"/>
        <w:ind w:firstLine="420"/>
        <w:rPr>
          <w:sz w:val="21"/>
          <w:szCs w:val="21"/>
        </w:rPr>
      </w:pPr>
      <w:r>
        <w:rPr>
          <w:rFonts w:hint="eastAsia"/>
          <w:sz w:val="21"/>
          <w:szCs w:val="21"/>
        </w:rPr>
        <w:t xml:space="preserve">（9）本基金投资股指期货、国债期货合约，一般以估值当日结算价确定公允价值，估值当日无结算价的，且最近交易日后未发生影响公允价值计量的重大事件的，采用最近交易日结算价估值。 </w:t>
      </w:r>
    </w:p>
    <w:p w14:paraId="53C2927A">
      <w:pPr>
        <w:pStyle w:val="7"/>
        <w:spacing w:before="0" w:beforeAutospacing="0" w:after="0" w:afterAutospacing="0" w:line="360" w:lineRule="auto"/>
        <w:ind w:firstLine="420"/>
        <w:rPr>
          <w:sz w:val="21"/>
          <w:szCs w:val="21"/>
        </w:rPr>
      </w:pPr>
      <w:r>
        <w:rPr>
          <w:rFonts w:hint="eastAsia"/>
          <w:sz w:val="21"/>
          <w:szCs w:val="21"/>
        </w:rPr>
        <w:t xml:space="preserve">（10）本基金投资股票期权，根据相关法律法规以及监管部门的规定估值。 </w:t>
      </w:r>
    </w:p>
    <w:p w14:paraId="08AEA715">
      <w:pPr>
        <w:pStyle w:val="7"/>
        <w:spacing w:before="0" w:beforeAutospacing="0" w:after="0" w:afterAutospacing="0" w:line="360" w:lineRule="auto"/>
        <w:ind w:firstLine="420"/>
        <w:rPr>
          <w:sz w:val="21"/>
          <w:szCs w:val="21"/>
        </w:rPr>
      </w:pPr>
      <w:r>
        <w:rPr>
          <w:rFonts w:hint="eastAsia"/>
          <w:sz w:val="21"/>
          <w:szCs w:val="21"/>
        </w:rPr>
        <w:t xml:space="preserve">（11）本基金参与融资及转融通证券出借业务的，应参照法律法规及行业协会的相关规定进行估值。 </w:t>
      </w:r>
    </w:p>
    <w:p w14:paraId="5820E455">
      <w:pPr>
        <w:pStyle w:val="7"/>
        <w:spacing w:before="0" w:beforeAutospacing="0" w:after="0" w:afterAutospacing="0" w:line="360" w:lineRule="auto"/>
        <w:ind w:firstLine="420"/>
        <w:rPr>
          <w:sz w:val="21"/>
          <w:szCs w:val="21"/>
        </w:rPr>
      </w:pPr>
      <w:r>
        <w:rPr>
          <w:rFonts w:hint="eastAsia"/>
          <w:sz w:val="21"/>
          <w:szCs w:val="21"/>
        </w:rPr>
        <w:t xml:space="preserve">（12）汇率 </w:t>
      </w:r>
    </w:p>
    <w:p w14:paraId="0E1410C2">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本基金外币资产价值计算中，涉及主要货币对人民币汇率的，应当以基金估值日中国人民银行或其授权机构公布的人民币汇率中间价或其他可以反映公允价值的汇率进行估值。 </w:t>
      </w:r>
    </w:p>
    <w:p w14:paraId="631A4312">
      <w:pPr>
        <w:pStyle w:val="7"/>
        <w:spacing w:before="0" w:beforeAutospacing="0" w:after="0" w:afterAutospacing="0" w:line="360" w:lineRule="auto"/>
        <w:ind w:firstLine="420"/>
        <w:rPr>
          <w:sz w:val="21"/>
          <w:szCs w:val="21"/>
        </w:rPr>
      </w:pPr>
      <w:r>
        <w:rPr>
          <w:rFonts w:hint="eastAsia"/>
          <w:sz w:val="21"/>
          <w:szCs w:val="21"/>
        </w:rPr>
        <w:t xml:space="preserve">（13）如有确凿证据表明按上述方法进行估值不能客观反映其公允价值的，基金管理人可根据具体情况与基金托管人商定后，按最能反映公允价值的方法估值。 </w:t>
      </w:r>
    </w:p>
    <w:p w14:paraId="2D695DE8">
      <w:pPr>
        <w:pStyle w:val="7"/>
        <w:spacing w:before="0" w:beforeAutospacing="0" w:after="0" w:afterAutospacing="0" w:line="360" w:lineRule="auto"/>
        <w:ind w:firstLine="420"/>
        <w:rPr>
          <w:sz w:val="21"/>
          <w:szCs w:val="21"/>
        </w:rPr>
      </w:pPr>
      <w:r>
        <w:rPr>
          <w:rFonts w:hint="eastAsia"/>
          <w:sz w:val="21"/>
          <w:szCs w:val="21"/>
        </w:rPr>
        <w:t xml:space="preserve">（14）相关法律法规以及监管部门有强制规定的，从其规定。如有新增事项，按国家最新规定估值。 </w:t>
      </w:r>
    </w:p>
    <w:p w14:paraId="6BA7A54B">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465D255">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C002F5B">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44F597AC">
      <w:pPr>
        <w:pStyle w:val="7"/>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基金管理人和基金托管人将采取必要、适当、合理的措施确保基金资产估值的准确性、及时性。当基金份额净值小数点后4位以内（含第4位）发生估值错误时，视为基金份额净值错误。 </w:t>
      </w:r>
    </w:p>
    <w:p w14:paraId="3DB547E0">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7D2DD01B">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7FC80DAD">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6369340">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0B44A20">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2E327F29">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4AA2621B">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575AA8E3">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2E1B513B">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1996EE8">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2E0715C9">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12D4487C">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0BFBF678">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5D12076">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FFFC76C">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3C05229D">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26E0593D">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501CC242">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11E56598">
      <w:pPr>
        <w:pStyle w:val="7"/>
        <w:spacing w:before="0" w:beforeAutospacing="0" w:after="0" w:afterAutospacing="0" w:line="360" w:lineRule="auto"/>
        <w:ind w:firstLine="420"/>
        <w:rPr>
          <w:sz w:val="21"/>
          <w:szCs w:val="21"/>
        </w:rPr>
      </w:pPr>
      <w:r>
        <w:rPr>
          <w:rFonts w:hint="eastAsia"/>
          <w:sz w:val="21"/>
          <w:szCs w:val="21"/>
        </w:rPr>
        <w:t xml:space="preserve">（3）前述内容如法律法规或者监管部门另有规定的，从其规定。如果行业另有通行做法，基金管理人和基金托管人应本着平等和保护基金份额持有人利益的原则进行协商。 </w:t>
      </w:r>
    </w:p>
    <w:p w14:paraId="43893F44">
      <w:pPr>
        <w:pStyle w:val="7"/>
        <w:spacing w:before="0" w:beforeAutospacing="0" w:after="0" w:afterAutospacing="0" w:line="360" w:lineRule="auto"/>
        <w:ind w:firstLine="420"/>
        <w:rPr>
          <w:sz w:val="21"/>
          <w:szCs w:val="21"/>
        </w:rPr>
      </w:pPr>
      <w:r>
        <w:rPr>
          <w:rFonts w:hint="eastAsia"/>
          <w:sz w:val="21"/>
          <w:szCs w:val="21"/>
        </w:rPr>
        <w:t xml:space="preserve">5、特殊情况的处理 </w:t>
      </w:r>
    </w:p>
    <w:p w14:paraId="2E73E060">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（1）基金管理人或基金托管人按估值方法的第（13）项进行估值时，所造成的误差不作为基金资产估值错误处理。 </w:t>
      </w:r>
    </w:p>
    <w:p w14:paraId="04F8801A">
      <w:pPr>
        <w:pStyle w:val="7"/>
        <w:spacing w:before="0" w:beforeAutospacing="0" w:after="0" w:afterAutospacing="0" w:line="360" w:lineRule="auto"/>
        <w:ind w:firstLine="420"/>
        <w:rPr>
          <w:sz w:val="21"/>
          <w:szCs w:val="21"/>
        </w:rPr>
      </w:pPr>
      <w:r>
        <w:rPr>
          <w:rFonts w:hint="eastAsia"/>
          <w:sz w:val="21"/>
          <w:szCs w:val="21"/>
        </w:rPr>
        <w:t xml:space="preserve">（2）由于不可抗力原因，或证券/期货交易所、指数编制机构及登记结算公司、证券、期货经营机构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16EF48A6">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7E6F5FD7">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7CA1DBDD">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378946A3">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6A80498C">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4、法律法规、中国证监会和基金合同认定的其它情形。 </w:t>
      </w:r>
    </w:p>
    <w:p w14:paraId="2EB1B5DA">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0E118413">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6E73393E">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455920DB">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 </w:t>
      </w:r>
    </w:p>
    <w:p w14:paraId="12B54E9C">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2FDDD6DE">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09038A80">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3A4E64FB">
      <w:pPr>
        <w:pStyle w:val="7"/>
        <w:spacing w:before="0" w:beforeAutospacing="0" w:after="0" w:afterAutospacing="0" w:line="360" w:lineRule="auto"/>
        <w:ind w:firstLine="420"/>
        <w:rPr>
          <w:sz w:val="21"/>
          <w:szCs w:val="21"/>
        </w:rPr>
      </w:pPr>
      <w:r>
        <w:rPr>
          <w:rFonts w:hint="eastAsia"/>
          <w:sz w:val="21"/>
          <w:szCs w:val="21"/>
        </w:rPr>
        <w:t xml:space="preserve">2、报表复核 </w:t>
      </w:r>
    </w:p>
    <w:p w14:paraId="4EA10CE2">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041175F5">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1E82E2D8">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03C31029">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审计。基金合同生效不足两个月的，基金管理人可以不编制当期季度报告、中期报告或者年度报告。 </w:t>
      </w:r>
    </w:p>
    <w:p w14:paraId="73F9A07F">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69EDE035">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59225477">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7826D832">
      <w:pPr>
        <w:pStyle w:val="7"/>
        <w:spacing w:before="0" w:beforeAutospacing="0" w:after="0" w:afterAutospacing="0" w:line="360" w:lineRule="auto"/>
        <w:ind w:firstLine="420"/>
        <w:rPr>
          <w:sz w:val="21"/>
          <w:szCs w:val="21"/>
        </w:rPr>
      </w:pPr>
      <w:r>
        <w:rPr>
          <w:rFonts w:hint="eastAsia"/>
          <w:sz w:val="21"/>
          <w:szCs w:val="21"/>
        </w:rPr>
        <w:t xml:space="preserve">（九）基金管理人应在编制季度报告、中期报告或者年度报告之前及时向基金托管人提供基金业绩比较基准的基础数据和编制结果。 </w:t>
      </w:r>
    </w:p>
    <w:p w14:paraId="66D203A5">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2CE8DF80">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保存期自基金账户销户之日起不少于20年。基金管理人和基金托管人应分别保管基金份额持有人名册，保存期限不低于法律法规规定的最低期限。开放式基金的管理人应定期或不定期向基金托管人提供基金份额持有人名册。如不能妥善保管，则按相关法规承担责任。 </w:t>
      </w:r>
    </w:p>
    <w:p w14:paraId="21132434">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40CA877B">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366FCDCC">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深圳国际仲裁院（深圳仲裁委员会），仲裁地点为深圳市，按照深圳国际仲裁院（深圳仲裁委员会）届时有效的仲裁规则进行仲裁。仲裁裁决是终局的，对当事人均有约束力，仲裁费用和律师费用由败诉方承担。 </w:t>
      </w:r>
    </w:p>
    <w:p w14:paraId="1642716F">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754728A9">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本协议受中国法律（为本协议之目的，在此不包括香港特别行政区、澳门特别行政区法律和台湾地区的有关规定）管辖。 </w:t>
      </w:r>
    </w:p>
    <w:p w14:paraId="4E3D2772">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14:paraId="58230841">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49C52CC1">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 </w:t>
      </w:r>
    </w:p>
    <w:p w14:paraId="001411E4">
      <w:pPr>
        <w:pStyle w:val="7"/>
        <w:spacing w:before="0" w:beforeAutospacing="0" w:after="0" w:afterAutospacing="0" w:line="360" w:lineRule="auto"/>
        <w:ind w:firstLine="420"/>
        <w:rPr>
          <w:sz w:val="21"/>
          <w:szCs w:val="21"/>
        </w:rPr>
      </w:pPr>
      <w:r>
        <w:rPr>
          <w:rFonts w:hint="eastAsia"/>
          <w:sz w:val="21"/>
          <w:szCs w:val="21"/>
        </w:rPr>
        <w:t xml:space="preserve">内容不得与基金合同的规定有任何冲突。基金托管协议的变更应按法律法规或监管规定报中国证监会备案。 </w:t>
      </w:r>
    </w:p>
    <w:p w14:paraId="514124E5">
      <w:pPr>
        <w:pStyle w:val="7"/>
        <w:spacing w:before="0" w:beforeAutospacing="0" w:after="0" w:afterAutospacing="0" w:line="360" w:lineRule="auto"/>
        <w:ind w:firstLine="420"/>
        <w:rPr>
          <w:sz w:val="21"/>
          <w:szCs w:val="21"/>
        </w:rPr>
      </w:pPr>
      <w:r>
        <w:rPr>
          <w:rFonts w:hint="eastAsia"/>
          <w:sz w:val="21"/>
          <w:szCs w:val="21"/>
        </w:rPr>
        <w:t xml:space="preserve">（二）基金托管协议终止的情形 </w:t>
      </w:r>
    </w:p>
    <w:p w14:paraId="426F050B">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05FBC9C0">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51CECDDD">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10083310">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4AA89E00">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2CFF24C7">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236855C">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012DDA87">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6CD789F8">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C1223B4">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665698EE">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0224FF5">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CAEFFEA">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572A532F">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1EDBA74">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22DD22C">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4799F16">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C987B1C">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16C40374">
      <w:pPr>
        <w:pStyle w:val="7"/>
        <w:spacing w:before="0" w:beforeAutospacing="0" w:after="0" w:afterAutospacing="0" w:line="360" w:lineRule="auto"/>
        <w:ind w:firstLine="420"/>
        <w:rPr>
          <w:sz w:val="21"/>
          <w:szCs w:val="21"/>
        </w:rPr>
      </w:pPr>
      <w:r>
        <w:rPr>
          <w:rFonts w:hint="eastAsia"/>
          <w:sz w:val="21"/>
          <w:szCs w:val="21"/>
        </w:rPr>
        <w:t xml:space="preserve">7、清算费用 </w:t>
      </w:r>
    </w:p>
    <w:p w14:paraId="1EA58C7B">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1AA18C92">
      <w:pPr>
        <w:pStyle w:val="7"/>
        <w:spacing w:before="0" w:beforeAutospacing="0" w:after="0" w:afterAutospacing="0" w:line="360" w:lineRule="auto"/>
        <w:ind w:firstLine="420"/>
        <w:rPr>
          <w:sz w:val="21"/>
          <w:szCs w:val="21"/>
        </w:rPr>
      </w:pPr>
      <w:r>
        <w:rPr>
          <w:rFonts w:hint="eastAsia"/>
          <w:sz w:val="21"/>
          <w:szCs w:val="21"/>
        </w:rPr>
        <w:t xml:space="preserve">8、基金财产清算剩余资产的分配 </w:t>
      </w:r>
    </w:p>
    <w:p w14:paraId="14BDE265">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5980B4B1">
      <w:pPr>
        <w:pStyle w:val="7"/>
        <w:spacing w:before="0" w:beforeAutospacing="0" w:after="0" w:afterAutospacing="0" w:line="360" w:lineRule="auto"/>
        <w:ind w:firstLine="420"/>
        <w:rPr>
          <w:sz w:val="21"/>
          <w:szCs w:val="21"/>
        </w:rPr>
      </w:pPr>
      <w:r>
        <w:rPr>
          <w:rFonts w:hint="eastAsia"/>
          <w:sz w:val="21"/>
          <w:szCs w:val="21"/>
        </w:rPr>
        <w:t xml:space="preserve">9、基金财产清算的公告 </w:t>
      </w:r>
    </w:p>
    <w:p w14:paraId="6677D1D0">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7CDB302B">
      <w:pPr>
        <w:pStyle w:val="7"/>
        <w:spacing w:before="0" w:beforeAutospacing="0" w:after="0" w:afterAutospacing="0" w:line="360" w:lineRule="auto"/>
        <w:ind w:firstLine="420"/>
        <w:rPr>
          <w:sz w:val="21"/>
          <w:szCs w:val="21"/>
        </w:rPr>
      </w:pPr>
      <w:r>
        <w:rPr>
          <w:rFonts w:hint="eastAsia"/>
          <w:sz w:val="21"/>
          <w:szCs w:val="21"/>
        </w:rPr>
        <w:t xml:space="preserve">10、基金财产清算账册及文件的保存 </w:t>
      </w:r>
    </w:p>
    <w:p w14:paraId="73D79D55">
      <w:pPr>
        <w:pStyle w:val="7"/>
        <w:spacing w:before="0" w:beforeAutospacing="0" w:after="0" w:afterAutospacing="0" w:line="360" w:lineRule="auto"/>
        <w:ind w:firstLine="420"/>
        <w:rPr>
          <w:sz w:val="21"/>
          <w:szCs w:val="21"/>
        </w:rPr>
      </w:pPr>
      <w:bookmarkStart w:id="168" w:name="chapter_level1_25_72_section_1_end"/>
      <w:bookmarkEnd w:id="168"/>
      <w:r>
        <w:rPr>
          <w:rFonts w:hint="eastAsia"/>
          <w:sz w:val="21"/>
          <w:szCs w:val="21"/>
        </w:rPr>
        <w:t xml:space="preserve">基金财产清算账册及有关文件由基金托管人保存，保存期限不低于法定最低期限。 </w:t>
      </w:r>
    </w:p>
    <w:p w14:paraId="5DEEDB82">
      <w:pPr>
        <w:widowControl/>
        <w:jc w:val="left"/>
        <w:rPr>
          <w:rFonts w:ascii="宋体" w:hAnsi="宋体" w:eastAsia="宋体"/>
        </w:rPr>
      </w:pPr>
      <w:r>
        <w:rPr>
          <w:rFonts w:ascii="宋体" w:hAnsi="宋体" w:eastAsia="宋体"/>
        </w:rPr>
        <w:br w:type="page"/>
      </w:r>
    </w:p>
    <w:p w14:paraId="2998D474">
      <w:pPr>
        <w:pStyle w:val="2"/>
        <w:jc w:val="center"/>
        <w:rPr>
          <w:rFonts w:ascii="宋体" w:hAnsi="宋体" w:eastAsia="宋体"/>
          <w:sz w:val="30"/>
        </w:rPr>
      </w:pPr>
      <w:bookmarkStart w:id="169" w:name="chapter_level1_26_75"/>
      <w:bookmarkStart w:id="170" w:name="_Toc3612"/>
      <w:r>
        <w:rPr>
          <w:rFonts w:hint="eastAsia" w:ascii="宋体" w:hAnsi="宋体" w:eastAsia="宋体"/>
          <w:sz w:val="30"/>
        </w:rPr>
        <w:t>第二十</w:t>
      </w:r>
      <w:r>
        <w:rPr>
          <w:rFonts w:hint="eastAsia" w:ascii="宋体" w:hAnsi="宋体" w:eastAsia="宋体"/>
          <w:sz w:val="30"/>
          <w:lang w:val="en-US" w:eastAsia="zh-CN"/>
        </w:rPr>
        <w:t>一</w:t>
      </w:r>
      <w:r>
        <w:rPr>
          <w:rFonts w:hint="eastAsia" w:ascii="宋体" w:hAnsi="宋体" w:eastAsia="宋体"/>
          <w:sz w:val="30"/>
        </w:rPr>
        <w:t>部分  对基金份额持有人的服务</w:t>
      </w:r>
      <w:bookmarkEnd w:id="169"/>
      <w:bookmarkEnd w:id="170"/>
    </w:p>
    <w:p w14:paraId="63D8B819">
      <w:pPr>
        <w:pStyle w:val="7"/>
        <w:spacing w:before="0" w:beforeAutospacing="0" w:after="0" w:afterAutospacing="0" w:line="360" w:lineRule="auto"/>
        <w:ind w:firstLine="420"/>
        <w:rPr>
          <w:sz w:val="21"/>
          <w:szCs w:val="21"/>
        </w:rPr>
      </w:pPr>
      <w:bookmarkStart w:id="171" w:name="chapter_level1_26_75_section_1"/>
      <w:bookmarkEnd w:id="171"/>
      <w:r>
        <w:rPr>
          <w:rFonts w:hint="eastAsia"/>
          <w:sz w:val="21"/>
          <w:szCs w:val="21"/>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14:paraId="3DB97972">
      <w:pPr>
        <w:pStyle w:val="7"/>
        <w:spacing w:before="0" w:beforeAutospacing="0" w:after="0" w:afterAutospacing="0" w:line="360" w:lineRule="auto"/>
        <w:ind w:firstLine="420"/>
        <w:rPr>
          <w:sz w:val="21"/>
          <w:szCs w:val="21"/>
        </w:rPr>
      </w:pPr>
      <w:r>
        <w:rPr>
          <w:rFonts w:hint="eastAsia"/>
          <w:sz w:val="21"/>
          <w:szCs w:val="21"/>
        </w:rPr>
        <w:t>基金管理人提供的服务内容如下：</w:t>
      </w:r>
    </w:p>
    <w:p w14:paraId="08393731">
      <w:pPr>
        <w:pStyle w:val="7"/>
        <w:spacing w:before="0" w:beforeAutospacing="0" w:after="0" w:afterAutospacing="0" w:line="360" w:lineRule="auto"/>
        <w:ind w:firstLine="420"/>
        <w:rPr>
          <w:sz w:val="21"/>
          <w:szCs w:val="21"/>
        </w:rPr>
      </w:pPr>
      <w:r>
        <w:rPr>
          <w:rStyle w:val="11"/>
          <w:rFonts w:hint="eastAsia"/>
          <w:sz w:val="21"/>
          <w:szCs w:val="21"/>
        </w:rPr>
        <w:t>一、客户服务电话</w:t>
      </w:r>
    </w:p>
    <w:p w14:paraId="124D120F">
      <w:pPr>
        <w:pStyle w:val="7"/>
        <w:spacing w:before="0" w:beforeAutospacing="0" w:after="0" w:afterAutospacing="0" w:line="360" w:lineRule="auto"/>
        <w:ind w:firstLine="420"/>
        <w:rPr>
          <w:sz w:val="21"/>
          <w:szCs w:val="21"/>
        </w:rPr>
      </w:pPr>
      <w:r>
        <w:rPr>
          <w:rFonts w:hint="eastAsia"/>
          <w:sz w:val="21"/>
          <w:szCs w:val="21"/>
        </w:rPr>
        <w:t>客户服务中心自动语音系统提供每周七天、每天24小时的自动语音服务和查询服务，客户可以通过电话查询基金份额净值。同时，客服中心提供工作日每天9:00-21:00、节假日（十一和春节除外）9:00-17:00 的电话人工服务。</w:t>
      </w:r>
    </w:p>
    <w:p w14:paraId="6D99C6F9">
      <w:pPr>
        <w:pStyle w:val="7"/>
        <w:spacing w:before="0" w:beforeAutospacing="0" w:after="0" w:afterAutospacing="0" w:line="360" w:lineRule="auto"/>
        <w:ind w:firstLine="420"/>
        <w:rPr>
          <w:sz w:val="21"/>
          <w:szCs w:val="21"/>
        </w:rPr>
      </w:pPr>
      <w:r>
        <w:rPr>
          <w:rFonts w:hint="eastAsia"/>
          <w:sz w:val="21"/>
          <w:szCs w:val="21"/>
        </w:rPr>
        <w:t>博时一线通：95105568（免长途话费）</w:t>
      </w:r>
    </w:p>
    <w:p w14:paraId="61406A8E">
      <w:pPr>
        <w:pStyle w:val="7"/>
        <w:spacing w:before="0" w:beforeAutospacing="0" w:after="0" w:afterAutospacing="0" w:line="360" w:lineRule="auto"/>
        <w:ind w:firstLine="420"/>
        <w:rPr>
          <w:sz w:val="21"/>
          <w:szCs w:val="21"/>
        </w:rPr>
      </w:pPr>
      <w:r>
        <w:rPr>
          <w:rStyle w:val="11"/>
          <w:rFonts w:hint="eastAsia"/>
          <w:sz w:val="21"/>
          <w:szCs w:val="21"/>
        </w:rPr>
        <w:t>二、网上客户服务中心</w:t>
      </w:r>
    </w:p>
    <w:p w14:paraId="49243900">
      <w:pPr>
        <w:pStyle w:val="7"/>
        <w:spacing w:before="0" w:beforeAutospacing="0" w:after="0" w:afterAutospacing="0" w:line="360" w:lineRule="auto"/>
        <w:ind w:firstLine="420"/>
        <w:rPr>
          <w:sz w:val="21"/>
          <w:szCs w:val="21"/>
        </w:rPr>
      </w:pPr>
      <w:r>
        <w:rPr>
          <w:rFonts w:hint="eastAsia"/>
          <w:sz w:val="21"/>
          <w:szCs w:val="21"/>
        </w:rPr>
        <w:t>网上客户服务为投资人提供查询服务、资讯服务以及在线咨询的平台。登陆网站后，投资人可以查询基金相关信息，享受资讯服务；投资人还可以使用“在线客服”功能进行在线咨询以及查询热点问题及其解答，并提交投诉与建议。</w:t>
      </w:r>
    </w:p>
    <w:p w14:paraId="782AE45C">
      <w:pPr>
        <w:pStyle w:val="7"/>
        <w:spacing w:before="0" w:beforeAutospacing="0" w:after="0" w:afterAutospacing="0" w:line="360" w:lineRule="auto"/>
        <w:ind w:firstLine="420"/>
        <w:rPr>
          <w:sz w:val="21"/>
          <w:szCs w:val="21"/>
        </w:rPr>
      </w:pPr>
      <w:r>
        <w:rPr>
          <w:rFonts w:hint="eastAsia"/>
          <w:sz w:val="21"/>
          <w:szCs w:val="21"/>
        </w:rPr>
        <w:t>基金管理人网址： www.bosera.com</w:t>
      </w:r>
    </w:p>
    <w:p w14:paraId="76985646">
      <w:pPr>
        <w:pStyle w:val="7"/>
        <w:spacing w:before="0" w:beforeAutospacing="0" w:after="0" w:afterAutospacing="0" w:line="360" w:lineRule="auto"/>
        <w:ind w:firstLine="420"/>
        <w:rPr>
          <w:sz w:val="21"/>
          <w:szCs w:val="21"/>
        </w:rPr>
      </w:pPr>
      <w:r>
        <w:rPr>
          <w:rFonts w:hint="eastAsia"/>
          <w:sz w:val="21"/>
          <w:szCs w:val="21"/>
        </w:rPr>
        <w:t>电子邮箱：service@bosera.com</w:t>
      </w:r>
    </w:p>
    <w:p w14:paraId="52866107">
      <w:pPr>
        <w:pStyle w:val="7"/>
        <w:spacing w:before="0" w:beforeAutospacing="0" w:after="0" w:afterAutospacing="0" w:line="360" w:lineRule="auto"/>
        <w:ind w:firstLine="420"/>
        <w:rPr>
          <w:sz w:val="21"/>
          <w:szCs w:val="21"/>
        </w:rPr>
      </w:pPr>
      <w:r>
        <w:rPr>
          <w:rStyle w:val="11"/>
          <w:rFonts w:hint="eastAsia"/>
          <w:sz w:val="21"/>
          <w:szCs w:val="21"/>
        </w:rPr>
        <w:t>三、客户投诉处理</w:t>
      </w:r>
    </w:p>
    <w:p w14:paraId="190C248C">
      <w:pPr>
        <w:pStyle w:val="7"/>
        <w:spacing w:before="0" w:beforeAutospacing="0" w:after="0" w:afterAutospacing="0" w:line="360" w:lineRule="auto"/>
        <w:ind w:firstLine="420"/>
        <w:rPr>
          <w:sz w:val="21"/>
          <w:szCs w:val="21"/>
        </w:rPr>
      </w:pPr>
      <w:r>
        <w:rPr>
          <w:rFonts w:hint="eastAsia"/>
          <w:sz w:val="21"/>
          <w:szCs w:val="21"/>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p>
    <w:p w14:paraId="79159898">
      <w:pPr>
        <w:pStyle w:val="7"/>
        <w:spacing w:before="0" w:beforeAutospacing="0" w:after="0" w:afterAutospacing="0" w:line="360" w:lineRule="auto"/>
        <w:ind w:firstLine="420"/>
        <w:rPr>
          <w:sz w:val="21"/>
          <w:szCs w:val="21"/>
        </w:rPr>
      </w:pPr>
      <w:r>
        <w:rPr>
          <w:rStyle w:val="11"/>
          <w:rFonts w:hint="eastAsia"/>
          <w:sz w:val="21"/>
          <w:szCs w:val="21"/>
        </w:rPr>
        <w:t>如本招募说明书存在任何您/贵机构无法理解的内容，请通过上述方式联系基金管理人。</w:t>
      </w:r>
      <w:bookmarkStart w:id="172" w:name="chapter_level1_26_75_section_1_end"/>
      <w:bookmarkEnd w:id="172"/>
      <w:r>
        <w:rPr>
          <w:rStyle w:val="11"/>
          <w:rFonts w:hint="eastAsia"/>
          <w:sz w:val="21"/>
          <w:szCs w:val="21"/>
        </w:rPr>
        <w:t>请确保投资前，您/贵机构已经全面理解了本招募说明书。</w:t>
      </w:r>
    </w:p>
    <w:p w14:paraId="0560E24D">
      <w:pPr>
        <w:widowControl/>
        <w:jc w:val="left"/>
        <w:rPr>
          <w:rFonts w:ascii="宋体" w:hAnsi="宋体" w:eastAsia="宋体"/>
        </w:rPr>
      </w:pPr>
      <w:r>
        <w:rPr>
          <w:rFonts w:ascii="宋体" w:hAnsi="宋体" w:eastAsia="宋体"/>
        </w:rPr>
        <w:br w:type="page"/>
      </w:r>
    </w:p>
    <w:p w14:paraId="523A266C">
      <w:pPr>
        <w:pStyle w:val="2"/>
        <w:jc w:val="center"/>
        <w:rPr>
          <w:rFonts w:ascii="宋体" w:hAnsi="宋体" w:eastAsia="宋体"/>
          <w:sz w:val="30"/>
        </w:rPr>
      </w:pPr>
      <w:bookmarkStart w:id="173" w:name="chapter_level1_27_3499"/>
      <w:bookmarkStart w:id="174" w:name="_Toc2945"/>
      <w:r>
        <w:rPr>
          <w:rFonts w:hint="eastAsia" w:ascii="宋体" w:hAnsi="宋体" w:eastAsia="宋体"/>
          <w:sz w:val="30"/>
        </w:rPr>
        <w:t>第二十</w:t>
      </w:r>
      <w:r>
        <w:rPr>
          <w:rFonts w:hint="eastAsia" w:ascii="宋体" w:hAnsi="宋体" w:eastAsia="宋体"/>
          <w:sz w:val="30"/>
          <w:lang w:val="en-US" w:eastAsia="zh-CN"/>
        </w:rPr>
        <w:t>二</w:t>
      </w:r>
      <w:r>
        <w:rPr>
          <w:rFonts w:hint="eastAsia" w:ascii="宋体" w:hAnsi="宋体" w:eastAsia="宋体"/>
          <w:sz w:val="30"/>
        </w:rPr>
        <w:t>部分 其他应披露的事项</w:t>
      </w:r>
      <w:bookmarkEnd w:id="173"/>
      <w:bookmarkEnd w:id="174"/>
    </w:p>
    <w:p w14:paraId="2529C644">
      <w:pPr>
        <w:pStyle w:val="7"/>
        <w:spacing w:before="0" w:beforeAutospacing="0" w:after="0" w:afterAutospacing="0" w:line="360" w:lineRule="auto"/>
        <w:ind w:firstLine="420"/>
        <w:rPr>
          <w:sz w:val="21"/>
          <w:szCs w:val="21"/>
        </w:rPr>
      </w:pPr>
      <w:bookmarkStart w:id="175" w:name="chapter_level1_27_3499_section_1"/>
      <w:bookmarkEnd w:id="175"/>
      <w:bookmarkStart w:id="176" w:name="field_0_bsrevealinfo_1_start"/>
      <w:bookmarkEnd w:id="176"/>
      <w:r>
        <w:rPr>
          <w:rFonts w:hint="eastAsia"/>
          <w:sz w:val="21"/>
          <w:szCs w:val="21"/>
        </w:rPr>
        <w:t>（一）、2026年5月8日，我公司公告了《博时恒生港股通科技主题交易型开放式指数证券投资基金上市交易公告书》、《博时恒生港股通科技主题交易型开放式指数证券投资基金开放日常申购、赎回业务的公告》；</w:t>
      </w:r>
    </w:p>
    <w:p w14:paraId="2D9080A9">
      <w:pPr>
        <w:pStyle w:val="7"/>
        <w:spacing w:before="0" w:beforeAutospacing="0" w:after="0" w:afterAutospacing="0" w:line="360" w:lineRule="auto"/>
        <w:ind w:firstLine="420"/>
        <w:rPr>
          <w:sz w:val="21"/>
          <w:szCs w:val="21"/>
        </w:rPr>
      </w:pPr>
      <w:r>
        <w:rPr>
          <w:rFonts w:hint="eastAsia"/>
          <w:sz w:val="21"/>
          <w:szCs w:val="21"/>
        </w:rPr>
        <w:t>（二）、2026年5月7日，我公司公告了《博时恒生港股通科技主题交易型开放式指数证券投资基金基金产品资料概要更新》；</w:t>
      </w:r>
    </w:p>
    <w:p w14:paraId="43246F4D">
      <w:pPr>
        <w:pStyle w:val="7"/>
        <w:spacing w:before="0" w:beforeAutospacing="0" w:after="0" w:afterAutospacing="0" w:line="360" w:lineRule="auto"/>
        <w:ind w:firstLine="420"/>
        <w:rPr>
          <w:sz w:val="21"/>
          <w:szCs w:val="21"/>
        </w:rPr>
      </w:pPr>
      <w:r>
        <w:rPr>
          <w:rFonts w:hint="eastAsia"/>
          <w:sz w:val="21"/>
          <w:szCs w:val="21"/>
        </w:rPr>
        <w:t>（三）、2026年4月30日，我公司公告了《博时恒生港股通科技主题交易型开放式指数证券投资基金基金合同生效公告》、《2025年度博时基金以股东身份（通过公募基金持股）参与股东大会投票信息披露》；</w:t>
      </w:r>
    </w:p>
    <w:p w14:paraId="403B6994">
      <w:pPr>
        <w:pStyle w:val="7"/>
        <w:spacing w:before="0" w:beforeAutospacing="0" w:after="0" w:afterAutospacing="0" w:line="360" w:lineRule="auto"/>
        <w:ind w:firstLine="420"/>
        <w:rPr>
          <w:sz w:val="21"/>
          <w:szCs w:val="21"/>
        </w:rPr>
      </w:pPr>
      <w:r>
        <w:rPr>
          <w:rFonts w:hint="eastAsia"/>
          <w:sz w:val="21"/>
          <w:szCs w:val="21"/>
        </w:rPr>
        <w:t>（四）、2026年4月13日，我公司公告了《博时恒生港股通科技主题交易型开放式指数证券投资基金上网发售提示性公告》；</w:t>
      </w:r>
    </w:p>
    <w:p w14:paraId="000D6A70">
      <w:pPr>
        <w:pStyle w:val="7"/>
        <w:spacing w:before="0" w:beforeAutospacing="0" w:after="0" w:afterAutospacing="0" w:line="360" w:lineRule="auto"/>
        <w:ind w:firstLine="420"/>
        <w:rPr>
          <w:sz w:val="21"/>
          <w:szCs w:val="21"/>
        </w:rPr>
      </w:pPr>
      <w:r>
        <w:rPr>
          <w:rFonts w:hint="eastAsia"/>
          <w:sz w:val="21"/>
          <w:szCs w:val="21"/>
        </w:rPr>
        <w:t>（五）、2026年4月10日，我公司公告了《博时恒生港股通科技主题交易型开放式指数证券投资基金招募说明书》、《博时恒生港股通科技主题交易型开放式指数证券投资基金基金份额发售公告》、《博时恒生港股通科技主题交易型开放式指数证券投资基金基金合同》、《博时恒生港股通科技主题交易型开放式指数证券投资基金基金产品资料概要》、《博时恒</w:t>
      </w:r>
      <w:bookmarkStart w:id="177" w:name="chapter_level1_27_3499_section_1_end"/>
      <w:bookmarkEnd w:id="177"/>
      <w:r>
        <w:rPr>
          <w:rFonts w:hint="eastAsia"/>
          <w:sz w:val="21"/>
          <w:szCs w:val="21"/>
        </w:rPr>
        <w:t>生港股通科技主题交易型开放式指数证券投资基金托管协议》。</w:t>
      </w:r>
      <w:bookmarkStart w:id="178" w:name="field_0_bsrevealinfo_1_end"/>
      <w:bookmarkEnd w:id="178"/>
      <w:r>
        <w:rPr>
          <w:rFonts w:hint="eastAsia"/>
          <w:sz w:val="21"/>
          <w:szCs w:val="21"/>
        </w:rPr>
        <w:t xml:space="preserve">  </w:t>
      </w:r>
    </w:p>
    <w:p w14:paraId="4BDEC7A8">
      <w:pPr>
        <w:widowControl/>
        <w:jc w:val="left"/>
        <w:rPr>
          <w:rFonts w:ascii="宋体" w:hAnsi="宋体" w:eastAsia="宋体"/>
        </w:rPr>
      </w:pPr>
      <w:r>
        <w:rPr>
          <w:rFonts w:ascii="宋体" w:hAnsi="宋体" w:eastAsia="宋体"/>
        </w:rPr>
        <w:br w:type="page"/>
      </w:r>
    </w:p>
    <w:p w14:paraId="5D8B9FC1">
      <w:pPr>
        <w:pStyle w:val="2"/>
        <w:jc w:val="center"/>
        <w:rPr>
          <w:rFonts w:ascii="宋体" w:hAnsi="宋体" w:eastAsia="宋体"/>
          <w:sz w:val="30"/>
        </w:rPr>
      </w:pPr>
      <w:bookmarkStart w:id="179" w:name="chapter_level1_28_77"/>
      <w:bookmarkStart w:id="180" w:name="_Toc15622"/>
      <w:r>
        <w:rPr>
          <w:rFonts w:hint="eastAsia" w:ascii="宋体" w:hAnsi="宋体" w:eastAsia="宋体"/>
          <w:sz w:val="30"/>
        </w:rPr>
        <w:t>第二十</w:t>
      </w:r>
      <w:r>
        <w:rPr>
          <w:rFonts w:hint="eastAsia" w:ascii="宋体" w:hAnsi="宋体" w:eastAsia="宋体"/>
          <w:sz w:val="30"/>
          <w:lang w:val="en-US" w:eastAsia="zh-CN"/>
        </w:rPr>
        <w:t>三</w:t>
      </w:r>
      <w:r>
        <w:rPr>
          <w:rFonts w:hint="eastAsia" w:ascii="宋体" w:hAnsi="宋体" w:eastAsia="宋体"/>
          <w:sz w:val="30"/>
        </w:rPr>
        <w:t>部分  招募说明书的存放及查阅方式</w:t>
      </w:r>
      <w:bookmarkEnd w:id="179"/>
      <w:bookmarkEnd w:id="180"/>
    </w:p>
    <w:p w14:paraId="6161553B">
      <w:pPr>
        <w:pStyle w:val="7"/>
        <w:spacing w:before="0" w:beforeAutospacing="0" w:after="0" w:afterAutospacing="0" w:line="360" w:lineRule="auto"/>
        <w:ind w:firstLine="420"/>
        <w:rPr>
          <w:sz w:val="21"/>
          <w:szCs w:val="21"/>
        </w:rPr>
      </w:pPr>
      <w:bookmarkStart w:id="181" w:name="chapter_level1_28_77_section_1"/>
      <w:bookmarkEnd w:id="181"/>
      <w:r>
        <w:rPr>
          <w:rFonts w:hint="eastAsia"/>
          <w:sz w:val="21"/>
          <w:szCs w:val="21"/>
        </w:rPr>
        <w:t>依法必须披露的信息发布后，基金管理人、基金托管人应当按照相关法律法规规定将信息置备于公司住所、基金上市交易的证券交易所，以供社会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14:paraId="23421867">
      <w:pPr>
        <w:pStyle w:val="7"/>
        <w:spacing w:before="0" w:beforeAutospacing="0" w:after="0" w:afterAutospacing="0" w:line="360" w:lineRule="auto"/>
        <w:ind w:firstLine="420"/>
        <w:rPr>
          <w:sz w:val="21"/>
          <w:szCs w:val="21"/>
        </w:rPr>
      </w:pPr>
      <w:bookmarkStart w:id="182" w:name="chapter_level1_28_77_section_1_end"/>
      <w:bookmarkEnd w:id="182"/>
      <w:r>
        <w:rPr>
          <w:rFonts w:hint="eastAsia"/>
          <w:sz w:val="21"/>
          <w:szCs w:val="21"/>
        </w:rPr>
        <w:t>投资人还可以直接登录基金管理人的网站（www.bosera.com）查阅和下载招募说明书。</w:t>
      </w:r>
    </w:p>
    <w:p w14:paraId="6B4E4600">
      <w:pPr>
        <w:widowControl/>
        <w:jc w:val="left"/>
        <w:rPr>
          <w:rFonts w:ascii="宋体" w:hAnsi="宋体" w:eastAsia="宋体"/>
        </w:rPr>
      </w:pPr>
      <w:r>
        <w:rPr>
          <w:rFonts w:ascii="宋体" w:hAnsi="宋体" w:eastAsia="宋体"/>
        </w:rPr>
        <w:br w:type="page"/>
      </w:r>
    </w:p>
    <w:p w14:paraId="7420D3AF">
      <w:pPr>
        <w:pStyle w:val="2"/>
        <w:jc w:val="center"/>
        <w:rPr>
          <w:rFonts w:ascii="宋体" w:hAnsi="宋体" w:eastAsia="宋体"/>
          <w:sz w:val="30"/>
        </w:rPr>
      </w:pPr>
      <w:bookmarkStart w:id="183" w:name="chapter_level1_29_332"/>
      <w:bookmarkStart w:id="184" w:name="_Toc3469"/>
      <w:r>
        <w:rPr>
          <w:rFonts w:hint="eastAsia" w:ascii="宋体" w:hAnsi="宋体" w:eastAsia="宋体"/>
          <w:sz w:val="30"/>
        </w:rPr>
        <w:t>第二十</w:t>
      </w:r>
      <w:r>
        <w:rPr>
          <w:rFonts w:hint="eastAsia" w:ascii="宋体" w:hAnsi="宋体" w:eastAsia="宋体"/>
          <w:sz w:val="30"/>
          <w:lang w:val="en-US" w:eastAsia="zh-CN"/>
        </w:rPr>
        <w:t>四</w:t>
      </w:r>
      <w:r>
        <w:rPr>
          <w:rFonts w:hint="eastAsia" w:ascii="宋体" w:hAnsi="宋体" w:eastAsia="宋体"/>
          <w:sz w:val="30"/>
        </w:rPr>
        <w:t>部分  备查文件</w:t>
      </w:r>
      <w:bookmarkEnd w:id="183"/>
      <w:bookmarkEnd w:id="184"/>
    </w:p>
    <w:p w14:paraId="4780407B">
      <w:pPr>
        <w:pStyle w:val="7"/>
        <w:spacing w:before="0" w:beforeAutospacing="0" w:after="0" w:afterAutospacing="0" w:line="360" w:lineRule="auto"/>
        <w:ind w:firstLine="420"/>
        <w:rPr>
          <w:sz w:val="21"/>
          <w:szCs w:val="21"/>
        </w:rPr>
      </w:pPr>
      <w:bookmarkStart w:id="185" w:name="chapter_level1_29_332_section_1"/>
      <w:bookmarkEnd w:id="185"/>
      <w:r>
        <w:rPr>
          <w:rFonts w:hint="eastAsia"/>
          <w:sz w:val="21"/>
          <w:szCs w:val="21"/>
        </w:rPr>
        <w:t xml:space="preserve">以下备查文件存放在基金管理人的办公场所，在办公时间可供免费查阅。 </w:t>
      </w:r>
    </w:p>
    <w:p w14:paraId="3DB8A70A">
      <w:pPr>
        <w:pStyle w:val="7"/>
        <w:spacing w:before="0" w:beforeAutospacing="0" w:after="0" w:afterAutospacing="0" w:line="360" w:lineRule="auto"/>
        <w:ind w:firstLine="420"/>
        <w:rPr>
          <w:sz w:val="21"/>
          <w:szCs w:val="21"/>
        </w:rPr>
      </w:pPr>
      <w:r>
        <w:rPr>
          <w:rFonts w:hint="eastAsia"/>
          <w:sz w:val="21"/>
          <w:szCs w:val="21"/>
        </w:rPr>
        <w:t>（一）中国证监会准予</w:t>
      </w:r>
      <w:bookmarkStart w:id="186" w:name="field_0_productfullname_15"/>
      <w:r>
        <w:rPr>
          <w:rFonts w:hint="eastAsia"/>
          <w:sz w:val="21"/>
          <w:szCs w:val="21"/>
        </w:rPr>
        <w:t>博时恒生港股通科技主题交易型开放式指数证券投资基金</w:t>
      </w:r>
      <w:bookmarkEnd w:id="186"/>
      <w:r>
        <w:rPr>
          <w:rFonts w:hint="eastAsia"/>
          <w:sz w:val="21"/>
          <w:szCs w:val="21"/>
        </w:rPr>
        <w:t xml:space="preserve">注册的文件 </w:t>
      </w:r>
    </w:p>
    <w:p w14:paraId="49B71267">
      <w:pPr>
        <w:pStyle w:val="7"/>
        <w:spacing w:before="0" w:beforeAutospacing="0" w:after="0" w:afterAutospacing="0" w:line="360" w:lineRule="auto"/>
        <w:ind w:firstLine="420"/>
        <w:rPr>
          <w:sz w:val="21"/>
          <w:szCs w:val="21"/>
        </w:rPr>
      </w:pPr>
      <w:r>
        <w:rPr>
          <w:rFonts w:hint="eastAsia"/>
          <w:sz w:val="21"/>
          <w:szCs w:val="21"/>
        </w:rPr>
        <w:t>（二）《</w:t>
      </w:r>
      <w:bookmarkStart w:id="187" w:name="field_0_productfullname_16"/>
      <w:r>
        <w:rPr>
          <w:rFonts w:hint="eastAsia"/>
          <w:sz w:val="21"/>
          <w:szCs w:val="21"/>
        </w:rPr>
        <w:t>博时恒生港股通科技主题交易型开放式指数证券投资基金</w:t>
      </w:r>
      <w:bookmarkEnd w:id="187"/>
      <w:r>
        <w:rPr>
          <w:rFonts w:hint="eastAsia"/>
          <w:sz w:val="21"/>
          <w:szCs w:val="21"/>
        </w:rPr>
        <w:t xml:space="preserve">基金合同》 </w:t>
      </w:r>
    </w:p>
    <w:p w14:paraId="57CB87D7">
      <w:pPr>
        <w:pStyle w:val="7"/>
        <w:spacing w:before="0" w:beforeAutospacing="0" w:after="0" w:afterAutospacing="0" w:line="360" w:lineRule="auto"/>
        <w:ind w:firstLine="420"/>
        <w:rPr>
          <w:sz w:val="21"/>
          <w:szCs w:val="21"/>
        </w:rPr>
      </w:pPr>
      <w:r>
        <w:rPr>
          <w:rFonts w:hint="eastAsia"/>
          <w:sz w:val="21"/>
          <w:szCs w:val="21"/>
        </w:rPr>
        <w:t>（三）《</w:t>
      </w:r>
      <w:bookmarkStart w:id="188" w:name="field_0_productfullname_17"/>
      <w:r>
        <w:rPr>
          <w:rFonts w:hint="eastAsia"/>
          <w:sz w:val="21"/>
          <w:szCs w:val="21"/>
        </w:rPr>
        <w:t>博时恒生港股通科技主题交易型开放式指数证券投资基金</w:t>
      </w:r>
      <w:bookmarkEnd w:id="188"/>
      <w:r>
        <w:rPr>
          <w:rFonts w:hint="eastAsia"/>
          <w:sz w:val="21"/>
          <w:szCs w:val="21"/>
        </w:rPr>
        <w:t xml:space="preserve">托管协议》 </w:t>
      </w:r>
    </w:p>
    <w:p w14:paraId="75DF2EB9">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7D311732">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6AA46333">
      <w:pPr>
        <w:pStyle w:val="7"/>
        <w:spacing w:before="0" w:beforeAutospacing="0" w:after="0" w:afterAutospacing="0" w:line="360" w:lineRule="auto"/>
        <w:ind w:firstLine="420"/>
        <w:rPr>
          <w:sz w:val="21"/>
          <w:szCs w:val="21"/>
        </w:rPr>
      </w:pPr>
      <w:r>
        <w:rPr>
          <w:rFonts w:hint="eastAsia"/>
          <w:sz w:val="21"/>
          <w:szCs w:val="21"/>
        </w:rPr>
        <w:t xml:space="preserve">（六）法律意见书 </w:t>
      </w:r>
    </w:p>
    <w:p w14:paraId="27302CB6">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66671AB4">
      <w:pPr>
        <w:pStyle w:val="7"/>
        <w:spacing w:before="0" w:beforeAutospacing="0" w:after="0" w:afterAutospacing="0" w:line="360" w:lineRule="auto"/>
        <w:ind w:firstLine="420"/>
        <w:rPr>
          <w:sz w:val="21"/>
          <w:szCs w:val="21"/>
        </w:rPr>
      </w:pPr>
      <w:bookmarkStart w:id="189" w:name="chapter_level1_29_332_section_1_end"/>
      <w:bookmarkEnd w:id="189"/>
      <w:r>
        <w:rPr>
          <w:rFonts w:hint="eastAsia"/>
          <w:sz w:val="21"/>
          <w:szCs w:val="21"/>
        </w:rPr>
        <w:t xml:space="preserve">查阅方式：投资者可在营业时间免费查阅，也可按工本费购买复印件。 </w:t>
      </w:r>
    </w:p>
    <w:p w14:paraId="4D1E9643">
      <w:pPr>
        <w:pStyle w:val="7"/>
        <w:spacing w:before="0" w:beforeAutospacing="0" w:after="0" w:afterAutospacing="0" w:line="360" w:lineRule="auto"/>
        <w:ind w:firstLine="420"/>
        <w:rPr>
          <w:sz w:val="21"/>
          <w:szCs w:val="21"/>
        </w:rPr>
      </w:pPr>
      <w:bookmarkStart w:id="190" w:name="chapter_level1_29_332_section_2"/>
      <w:bookmarkEnd w:id="190"/>
    </w:p>
    <w:p w14:paraId="23D69656">
      <w:pPr>
        <w:pStyle w:val="7"/>
        <w:spacing w:before="0" w:beforeAutospacing="0" w:after="0" w:afterAutospacing="0" w:line="360" w:lineRule="auto"/>
        <w:ind w:firstLine="420"/>
        <w:rPr>
          <w:sz w:val="21"/>
          <w:szCs w:val="21"/>
        </w:rPr>
      </w:pPr>
    </w:p>
    <w:p w14:paraId="1C0CC859">
      <w:pPr>
        <w:pStyle w:val="7"/>
        <w:spacing w:before="0" w:beforeAutospacing="0" w:after="0" w:afterAutospacing="0" w:line="360" w:lineRule="auto"/>
        <w:ind w:firstLine="420"/>
        <w:rPr>
          <w:sz w:val="21"/>
          <w:szCs w:val="21"/>
        </w:rPr>
      </w:pPr>
    </w:p>
    <w:p w14:paraId="40EACE3D">
      <w:pPr>
        <w:pStyle w:val="7"/>
        <w:spacing w:before="0" w:beforeAutospacing="0" w:after="0" w:afterAutospacing="0" w:line="360" w:lineRule="auto"/>
        <w:ind w:firstLine="420"/>
        <w:rPr>
          <w:sz w:val="21"/>
          <w:szCs w:val="21"/>
        </w:rPr>
      </w:pPr>
    </w:p>
    <w:p w14:paraId="10ADB9A3">
      <w:pPr>
        <w:pStyle w:val="7"/>
        <w:spacing w:before="0" w:beforeAutospacing="0" w:after="0" w:afterAutospacing="0" w:line="360" w:lineRule="auto"/>
        <w:ind w:firstLine="420"/>
        <w:jc w:val="right"/>
        <w:rPr>
          <w:sz w:val="21"/>
          <w:szCs w:val="21"/>
        </w:rPr>
      </w:pPr>
      <w:bookmarkStart w:id="191" w:name="field_0_managerorgfullname_1"/>
      <w:r>
        <w:rPr>
          <w:rFonts w:hint="eastAsia"/>
          <w:sz w:val="21"/>
          <w:szCs w:val="21"/>
        </w:rPr>
        <w:t>博时基金管理有限公司</w:t>
      </w:r>
      <w:bookmarkEnd w:id="191"/>
      <w:r>
        <w:rPr>
          <w:rFonts w:hint="eastAsia"/>
          <w:sz w:val="21"/>
          <w:szCs w:val="21"/>
        </w:rPr>
        <w:t xml:space="preserve">  </w:t>
      </w:r>
    </w:p>
    <w:p w14:paraId="1A6CF8B7">
      <w:pPr>
        <w:pStyle w:val="7"/>
        <w:spacing w:before="0" w:beforeAutospacing="0" w:after="0" w:afterAutospacing="0" w:line="360" w:lineRule="auto"/>
        <w:ind w:firstLine="420"/>
        <w:jc w:val="right"/>
        <w:rPr>
          <w:sz w:val="21"/>
          <w:szCs w:val="21"/>
        </w:rPr>
      </w:pPr>
      <w:bookmarkStart w:id="192" w:name="chapter_level1_29_332_section_2_end"/>
      <w:bookmarkEnd w:id="192"/>
      <w:bookmarkStart w:id="193" w:name="field_0_commitmenttime_1"/>
      <w:r>
        <w:rPr>
          <w:sz w:val="21"/>
          <w:szCs w:val="21"/>
        </w:rPr>
        <w:t>2026年5月30日</w:t>
      </w:r>
      <w:bookmarkEnd w:id="193"/>
      <w:r>
        <w:rPr>
          <w:rFonts w:hint="eastAsia"/>
          <w:sz w:val="21"/>
          <w:szCs w:val="21"/>
        </w:rPr>
        <w:t xml:space="preserve">  </w:t>
      </w:r>
    </w:p>
    <w:p w14:paraId="52E79B39">
      <w:pPr>
        <w:rPr>
          <w:rFonts w:ascii="宋体" w:hAnsi="宋体" w:eastAsia="宋体"/>
        </w:rPr>
      </w:pPr>
      <w:bookmarkStart w:id="194" w:name="end"/>
      <w:bookmarkEnd w:id="19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B0997">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129</w:t>
    </w:r>
    <w:r>
      <w:fldChar w:fldCharType="end"/>
    </w:r>
    <w:r>
      <w:rPr>
        <w:rFonts w:hint="eastAsia"/>
      </w:rPr>
      <w:t>页 共</w:t>
    </w:r>
    <w:r>
      <w:fldChar w:fldCharType="begin"/>
    </w:r>
    <w:r>
      <w:instrText xml:space="preserve"> NumPages \* MERGEFORMAT </w:instrText>
    </w:r>
    <w:r>
      <w:fldChar w:fldCharType="separate"/>
    </w:r>
    <w:r>
      <w:t>129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E586A">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3E2BE3B9">
    <w:pPr>
      <w:pStyle w:val="5"/>
      <w:jc w:val="right"/>
    </w:pPr>
    <w:r>
      <w:rPr>
        <w:rFonts w:hint="eastAsia"/>
      </w:rPr>
      <w:t>博时恒生港股通科技主题交易型开放式指数证券投资基金更新招募说明书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39F"/>
    <w:rsid w:val="002E6A15"/>
    <w:rsid w:val="003C239F"/>
    <w:rsid w:val="00C24D9E"/>
    <w:rsid w:val="00C450C3"/>
    <w:rsid w:val="09905C38"/>
    <w:rsid w:val="2576541F"/>
    <w:rsid w:val="2C331E12"/>
    <w:rsid w:val="322F0E63"/>
    <w:rsid w:val="6F310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127</Pages>
  <Words>14904</Words>
  <Characters>84957</Characters>
  <Lines>707</Lines>
  <Paragraphs>199</Paragraphs>
  <TotalTime>0</TotalTime>
  <ScaleCrop>false</ScaleCrop>
  <LinksUpToDate>false</LinksUpToDate>
  <CharactersWithSpaces>99662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2026-05-22T07:19:00Z</dcterms:created>
  <dc:creator>BSKMadminDev</dc:creator>
  <cp:lastModifiedBy>duanyc</cp:lastModifiedBy>
  <dcterms:modified xsi:type="dcterms:W3CDTF">2026-05-22T13:50:32Z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859156272995484ABFB37CB47EDC513E_12</vt:lpwstr>
  </property>
</Properties>
</file>