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spacing w:line="800" w:lineRule="exact"/>
        <w:jc w:val="center"/>
        <w:rPr>
          <w:rFonts w:ascii="宋体" w:hAnsi="宋体" w:eastAsia="宋体"/>
          <w:b/>
          <w:sz w:val="52"/>
        </w:rPr>
      </w:pPr>
      <w:r>
        <w:rPr>
          <w:rFonts w:hint="eastAsia" w:ascii="宋体" w:hAnsi="宋体" w:eastAsia="宋体"/>
          <w:b/>
          <w:sz w:val="52"/>
        </w:rPr>
        <w:t>博时国证粮食产业指数型发起式证券投资基金</w:t>
      </w:r>
    </w:p>
    <w:p>
      <w:pPr>
        <w:widowControl/>
        <w:spacing w:line="800" w:lineRule="exact"/>
        <w:jc w:val="center"/>
        <w:rPr>
          <w:rFonts w:ascii="宋体" w:hAnsi="宋体" w:eastAsia="宋体"/>
          <w:b/>
          <w:sz w:val="52"/>
        </w:rPr>
      </w:pPr>
      <w:r>
        <w:rPr>
          <w:rFonts w:hint="eastAsia" w:ascii="宋体" w:hAnsi="宋体" w:eastAsia="宋体"/>
          <w:b/>
          <w:sz w:val="52"/>
        </w:rPr>
        <w:t>更新招募说明书</w:t>
      </w: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兴业银行股份有限公司</w:t>
      </w:r>
      <w:r>
        <w:rPr>
          <w:rFonts w:ascii="宋体" w:hAnsi="宋体" w:eastAsia="宋体"/>
          <w:b/>
          <w:sz w:val="30"/>
        </w:rPr>
        <w:br w:type="page"/>
      </w:r>
    </w:p>
    <w:p>
      <w:pPr>
        <w:pStyle w:val="2"/>
        <w:jc w:val="center"/>
        <w:rPr>
          <w:rFonts w:ascii="宋体" w:hAnsi="宋体" w:eastAsia="宋体"/>
          <w:sz w:val="30"/>
        </w:rPr>
      </w:pPr>
      <w:bookmarkStart w:id="0" w:name="_Toc207939896"/>
      <w:r>
        <w:rPr>
          <w:rFonts w:hint="eastAsia" w:ascii="宋体" w:hAnsi="宋体" w:eastAsia="宋体"/>
          <w:sz w:val="30"/>
        </w:rPr>
        <w:t>【重要提示】</w:t>
      </w:r>
      <w:bookmarkEnd w:id="0"/>
    </w:p>
    <w:p>
      <w:pPr>
        <w:pStyle w:val="7"/>
        <w:spacing w:before="0" w:beforeAutospacing="0" w:after="0" w:afterAutospacing="0" w:line="360" w:lineRule="auto"/>
        <w:ind w:firstLine="420"/>
        <w:rPr>
          <w:sz w:val="21"/>
          <w:szCs w:val="21"/>
        </w:rPr>
      </w:pPr>
      <w:r>
        <w:rPr>
          <w:rFonts w:hint="eastAsia"/>
          <w:sz w:val="21"/>
          <w:szCs w:val="21"/>
        </w:rPr>
        <w:t>本基金经中国证券监督管理委员会（以下简称“中国证监会”）2024年1月12日证监许可【2024】70号文注册募集。基金管理人保证招募说明书的内容真实、准确、完整。本招募说明书经中国证监会注册，但中国证监会对本基金募集的注册，并不表明其对本基金的投资价值、市场前景和收益做出实质性判断或保证，也不表明投资于本基金没有风险。</w:t>
      </w:r>
    </w:p>
    <w:p>
      <w:pPr>
        <w:pStyle w:val="7"/>
        <w:spacing w:before="0" w:beforeAutospacing="0" w:after="0" w:afterAutospacing="0" w:line="360" w:lineRule="auto"/>
        <w:ind w:firstLine="420"/>
        <w:rPr>
          <w:sz w:val="21"/>
          <w:szCs w:val="21"/>
        </w:rPr>
      </w:pPr>
      <w:r>
        <w:rPr>
          <w:rFonts w:hint="eastAsia"/>
          <w:sz w:val="21"/>
          <w:szCs w:val="21"/>
        </w:rPr>
        <w:t>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w:t>
      </w:r>
    </w:p>
    <w:p>
      <w:pPr>
        <w:pStyle w:val="7"/>
        <w:spacing w:before="0" w:beforeAutospacing="0" w:after="0" w:afterAutospacing="0" w:line="360" w:lineRule="auto"/>
        <w:ind w:firstLine="420"/>
        <w:rPr>
          <w:sz w:val="21"/>
          <w:szCs w:val="21"/>
        </w:rPr>
      </w:pPr>
      <w:r>
        <w:rPr>
          <w:rFonts w:hint="eastAsia"/>
          <w:sz w:val="21"/>
          <w:szCs w:val="21"/>
        </w:rPr>
        <w:t>本基金投资于证券市场，基金净值会因为证券市场波动等因素产生波动，投资人在投资本基金前，应全面了解本基金的产品特性，充分考虑自身的风险承受能力，并承担基金投资中出现的各类风险，包括：因政治、经济、社会等环境因素对证券价格产生影响而形成的系统性风险，个别证券特有的非系统性风险，由于基金投资人连续大量赎回基金产生的流动性风险，基金管理人在基金管理实施过程中产生的基金管理风险，本基金的特定风险等。</w:t>
      </w:r>
    </w:p>
    <w:p>
      <w:pPr>
        <w:pStyle w:val="7"/>
        <w:spacing w:before="0" w:beforeAutospacing="0" w:after="0" w:afterAutospacing="0" w:line="360" w:lineRule="auto"/>
        <w:ind w:firstLine="420"/>
        <w:rPr>
          <w:sz w:val="21"/>
          <w:szCs w:val="21"/>
        </w:rPr>
      </w:pPr>
      <w:r>
        <w:rPr>
          <w:rFonts w:hint="eastAsia"/>
          <w:sz w:val="21"/>
          <w:szCs w:val="21"/>
        </w:rPr>
        <w:t>本基金属于股票型基金，其预期收益及预期风险水平高于混合型基金、债券型基金与货币市场基金。本基金为被动式投资的股票型指数基金，跟踪国证粮食产业指数，其风险收益特征与标的指数所表征的市场组合的风险收益特征相似。本基金如果投资港股通标的股票，需承担汇率风险以及境外市场的风险。</w:t>
      </w:r>
    </w:p>
    <w:p>
      <w:pPr>
        <w:pStyle w:val="7"/>
        <w:spacing w:before="0" w:beforeAutospacing="0" w:after="0" w:afterAutospacing="0" w:line="360" w:lineRule="auto"/>
        <w:ind w:firstLine="420"/>
        <w:rPr>
          <w:sz w:val="21"/>
          <w:szCs w:val="21"/>
        </w:rPr>
      </w:pPr>
      <w:r>
        <w:rPr>
          <w:rFonts w:hint="eastAsia"/>
          <w:sz w:val="21"/>
          <w:szCs w:val="21"/>
        </w:rPr>
        <w:t>本基金为指数基金，投资者投资于本基金面临跟踪误差控制未达约定目标、指数编制机构停止服务、成份股停牌或退市等潜在风险，具体风险详见本招募说明书“风险揭示”部分。</w:t>
      </w:r>
    </w:p>
    <w:p>
      <w:pPr>
        <w:pStyle w:val="7"/>
        <w:spacing w:before="0" w:beforeAutospacing="0" w:after="0" w:afterAutospacing="0" w:line="360" w:lineRule="auto"/>
        <w:ind w:firstLine="420"/>
        <w:rPr>
          <w:sz w:val="21"/>
          <w:szCs w:val="21"/>
        </w:rPr>
      </w:pPr>
      <w:r>
        <w:rPr>
          <w:rFonts w:hint="eastAsia"/>
          <w:sz w:val="21"/>
          <w:szCs w:val="21"/>
        </w:rPr>
        <w:t>本基金的标的指数为国证粮食产业指数，编制方案如下：</w:t>
      </w:r>
    </w:p>
    <w:p>
      <w:pPr>
        <w:pStyle w:val="7"/>
        <w:spacing w:before="0" w:beforeAutospacing="0" w:after="0" w:afterAutospacing="0" w:line="360" w:lineRule="auto"/>
        <w:ind w:firstLine="420"/>
        <w:rPr>
          <w:sz w:val="21"/>
          <w:szCs w:val="21"/>
        </w:rPr>
      </w:pPr>
      <w:r>
        <w:rPr>
          <w:rFonts w:hint="eastAsia"/>
          <w:sz w:val="21"/>
          <w:szCs w:val="21"/>
        </w:rPr>
        <w:t>（1）代码与名称</w:t>
      </w:r>
    </w:p>
    <w:p>
      <w:pPr>
        <w:pStyle w:val="7"/>
        <w:spacing w:before="0" w:beforeAutospacing="0" w:after="0" w:afterAutospacing="0" w:line="360" w:lineRule="auto"/>
        <w:ind w:firstLine="420"/>
        <w:rPr>
          <w:sz w:val="21"/>
          <w:szCs w:val="21"/>
        </w:rPr>
      </w:pPr>
      <w:r>
        <w:rPr>
          <w:rFonts w:hint="eastAsia"/>
          <w:sz w:val="21"/>
          <w:szCs w:val="21"/>
        </w:rPr>
        <w:t>指数名称：国证粮食产业指数</w:t>
      </w:r>
    </w:p>
    <w:p>
      <w:pPr>
        <w:pStyle w:val="7"/>
        <w:spacing w:before="0" w:beforeAutospacing="0" w:after="0" w:afterAutospacing="0" w:line="360" w:lineRule="auto"/>
        <w:ind w:firstLine="420"/>
        <w:rPr>
          <w:sz w:val="21"/>
          <w:szCs w:val="21"/>
        </w:rPr>
      </w:pPr>
      <w:r>
        <w:rPr>
          <w:rFonts w:hint="eastAsia"/>
          <w:sz w:val="21"/>
          <w:szCs w:val="21"/>
        </w:rPr>
        <w:t>指数简称：国证粮食</w:t>
      </w:r>
    </w:p>
    <w:p>
      <w:pPr>
        <w:pStyle w:val="7"/>
        <w:spacing w:before="0" w:beforeAutospacing="0" w:after="0" w:afterAutospacing="0" w:line="360" w:lineRule="auto"/>
        <w:ind w:firstLine="420"/>
        <w:rPr>
          <w:sz w:val="21"/>
          <w:szCs w:val="21"/>
        </w:rPr>
      </w:pPr>
      <w:r>
        <w:rPr>
          <w:rFonts w:hint="eastAsia"/>
          <w:sz w:val="21"/>
          <w:szCs w:val="21"/>
        </w:rPr>
        <w:t>英文名称：CNI Grain Industry Index</w:t>
      </w:r>
    </w:p>
    <w:p>
      <w:pPr>
        <w:pStyle w:val="7"/>
        <w:spacing w:before="0" w:beforeAutospacing="0" w:after="0" w:afterAutospacing="0" w:line="360" w:lineRule="auto"/>
        <w:ind w:firstLine="420"/>
        <w:rPr>
          <w:sz w:val="21"/>
          <w:szCs w:val="21"/>
        </w:rPr>
      </w:pPr>
      <w:r>
        <w:rPr>
          <w:rFonts w:hint="eastAsia"/>
          <w:sz w:val="21"/>
          <w:szCs w:val="21"/>
        </w:rPr>
        <w:t>英文简称：CNI Grain</w:t>
      </w:r>
    </w:p>
    <w:p>
      <w:pPr>
        <w:pStyle w:val="7"/>
        <w:spacing w:before="0" w:beforeAutospacing="0" w:after="0" w:afterAutospacing="0" w:line="360" w:lineRule="auto"/>
        <w:ind w:firstLine="420"/>
        <w:rPr>
          <w:sz w:val="21"/>
          <w:szCs w:val="21"/>
        </w:rPr>
      </w:pPr>
      <w:r>
        <w:rPr>
          <w:rFonts w:hint="eastAsia"/>
          <w:sz w:val="21"/>
          <w:szCs w:val="21"/>
        </w:rPr>
        <w:t>指数代码：399365</w:t>
      </w:r>
    </w:p>
    <w:p>
      <w:pPr>
        <w:pStyle w:val="7"/>
        <w:spacing w:before="0" w:beforeAutospacing="0" w:after="0" w:afterAutospacing="0" w:line="360" w:lineRule="auto"/>
        <w:ind w:firstLine="420"/>
        <w:rPr>
          <w:sz w:val="21"/>
          <w:szCs w:val="21"/>
        </w:rPr>
      </w:pPr>
      <w:r>
        <w:rPr>
          <w:rFonts w:hint="eastAsia"/>
          <w:sz w:val="21"/>
          <w:szCs w:val="21"/>
        </w:rPr>
        <w:t>（2）选样空间</w:t>
      </w:r>
    </w:p>
    <w:p>
      <w:pPr>
        <w:pStyle w:val="7"/>
        <w:spacing w:before="0" w:beforeAutospacing="0" w:after="0" w:afterAutospacing="0" w:line="360" w:lineRule="auto"/>
        <w:ind w:firstLine="420"/>
        <w:rPr>
          <w:sz w:val="21"/>
          <w:szCs w:val="21"/>
        </w:rPr>
      </w:pPr>
      <w:r>
        <w:rPr>
          <w:rFonts w:hint="eastAsia"/>
          <w:sz w:val="21"/>
          <w:szCs w:val="21"/>
        </w:rPr>
        <w:t>满足下列条件的A股和红筹企业发行的存托凭证：</w:t>
      </w:r>
    </w:p>
    <w:p>
      <w:pPr>
        <w:pStyle w:val="7"/>
        <w:spacing w:before="0" w:beforeAutospacing="0" w:after="0" w:afterAutospacing="0" w:line="360" w:lineRule="auto"/>
        <w:ind w:firstLine="420"/>
        <w:rPr>
          <w:sz w:val="21"/>
          <w:szCs w:val="21"/>
        </w:rPr>
      </w:pPr>
      <w:r>
        <w:rPr>
          <w:rFonts w:hint="eastAsia"/>
          <w:sz w:val="21"/>
          <w:szCs w:val="21"/>
        </w:rPr>
        <w:t>1.非ST、*ST证券；</w:t>
      </w:r>
    </w:p>
    <w:p>
      <w:pPr>
        <w:pStyle w:val="7"/>
        <w:spacing w:before="0" w:beforeAutospacing="0" w:after="0" w:afterAutospacing="0" w:line="360" w:lineRule="auto"/>
        <w:ind w:firstLine="420"/>
        <w:rPr>
          <w:sz w:val="21"/>
          <w:szCs w:val="21"/>
        </w:rPr>
      </w:pPr>
      <w:r>
        <w:rPr>
          <w:rFonts w:hint="eastAsia"/>
          <w:sz w:val="21"/>
          <w:szCs w:val="21"/>
        </w:rPr>
        <w:t>2.科创板证券、北交所证券上市时间超过1年；其他证券上市时间超过6个月；</w:t>
      </w:r>
    </w:p>
    <w:p>
      <w:pPr>
        <w:pStyle w:val="7"/>
        <w:spacing w:before="0" w:beforeAutospacing="0" w:after="0" w:afterAutospacing="0" w:line="360" w:lineRule="auto"/>
        <w:ind w:firstLine="420"/>
        <w:rPr>
          <w:sz w:val="21"/>
          <w:szCs w:val="21"/>
        </w:rPr>
      </w:pPr>
      <w:r>
        <w:rPr>
          <w:rFonts w:hint="eastAsia"/>
          <w:sz w:val="21"/>
          <w:szCs w:val="21"/>
        </w:rPr>
        <w:t>3.公司最近一年无重大违规、财务报告无重大问题；</w:t>
      </w:r>
    </w:p>
    <w:p>
      <w:pPr>
        <w:pStyle w:val="7"/>
        <w:spacing w:before="0" w:beforeAutospacing="0" w:after="0" w:afterAutospacing="0" w:line="360" w:lineRule="auto"/>
        <w:ind w:firstLine="420"/>
        <w:rPr>
          <w:sz w:val="21"/>
          <w:szCs w:val="21"/>
        </w:rPr>
      </w:pPr>
      <w:r>
        <w:rPr>
          <w:rFonts w:hint="eastAsia"/>
          <w:sz w:val="21"/>
          <w:szCs w:val="21"/>
        </w:rPr>
        <w:t>4.公司最近一年经营无异常、无重大亏损；</w:t>
      </w:r>
    </w:p>
    <w:p>
      <w:pPr>
        <w:pStyle w:val="7"/>
        <w:spacing w:before="0" w:beforeAutospacing="0" w:after="0" w:afterAutospacing="0" w:line="360" w:lineRule="auto"/>
        <w:ind w:firstLine="420"/>
        <w:rPr>
          <w:sz w:val="21"/>
          <w:szCs w:val="21"/>
        </w:rPr>
      </w:pPr>
      <w:r>
        <w:rPr>
          <w:rFonts w:hint="eastAsia"/>
          <w:sz w:val="21"/>
          <w:szCs w:val="21"/>
        </w:rPr>
        <w:t>5.考察期内证券价格无异常波动；</w:t>
      </w:r>
    </w:p>
    <w:p>
      <w:pPr>
        <w:pStyle w:val="7"/>
        <w:spacing w:before="0" w:beforeAutospacing="0" w:after="0" w:afterAutospacing="0" w:line="360" w:lineRule="auto"/>
        <w:ind w:firstLine="420"/>
        <w:rPr>
          <w:sz w:val="21"/>
          <w:szCs w:val="21"/>
        </w:rPr>
      </w:pPr>
      <w:r>
        <w:rPr>
          <w:rFonts w:hint="eastAsia"/>
          <w:sz w:val="21"/>
          <w:szCs w:val="21"/>
        </w:rPr>
        <w:t>6.公司业务范畴属于粮食产业，包括农资产品（种子、化肥、农药、农业机械）、粮食种植、农田水利、粮油加工及产品贸易等领域。</w:t>
      </w:r>
    </w:p>
    <w:p>
      <w:pPr>
        <w:pStyle w:val="7"/>
        <w:spacing w:before="0" w:beforeAutospacing="0" w:after="0" w:afterAutospacing="0" w:line="360" w:lineRule="auto"/>
        <w:ind w:firstLine="420"/>
        <w:rPr>
          <w:sz w:val="21"/>
          <w:szCs w:val="21"/>
        </w:rPr>
      </w:pPr>
      <w:r>
        <w:rPr>
          <w:rFonts w:hint="eastAsia"/>
          <w:sz w:val="21"/>
          <w:szCs w:val="21"/>
        </w:rPr>
        <w:t>（3）选样方法</w:t>
      </w:r>
    </w:p>
    <w:p>
      <w:pPr>
        <w:pStyle w:val="7"/>
        <w:spacing w:before="0" w:beforeAutospacing="0" w:after="0" w:afterAutospacing="0" w:line="360" w:lineRule="auto"/>
        <w:ind w:firstLine="420"/>
        <w:rPr>
          <w:sz w:val="21"/>
          <w:szCs w:val="21"/>
        </w:rPr>
      </w:pPr>
      <w:r>
        <w:rPr>
          <w:rFonts w:hint="eastAsia"/>
          <w:sz w:val="21"/>
          <w:szCs w:val="21"/>
        </w:rPr>
        <w:t>首先，计算入围选样空间证券在最近半年的日均成交金额和日均总市值；</w:t>
      </w:r>
    </w:p>
    <w:p>
      <w:pPr>
        <w:pStyle w:val="7"/>
        <w:spacing w:before="0" w:beforeAutospacing="0" w:after="0" w:afterAutospacing="0" w:line="360" w:lineRule="auto"/>
        <w:ind w:firstLine="420"/>
        <w:rPr>
          <w:sz w:val="21"/>
          <w:szCs w:val="21"/>
        </w:rPr>
      </w:pPr>
      <w:r>
        <w:rPr>
          <w:rFonts w:hint="eastAsia"/>
          <w:sz w:val="21"/>
          <w:szCs w:val="21"/>
        </w:rPr>
        <w:t>其次，剔除选样空间内最近半年的日均成交金额排名位于后20%的证券；</w:t>
      </w:r>
    </w:p>
    <w:p>
      <w:pPr>
        <w:pStyle w:val="7"/>
        <w:spacing w:before="0" w:beforeAutospacing="0" w:after="0" w:afterAutospacing="0" w:line="360" w:lineRule="auto"/>
        <w:ind w:firstLine="420"/>
        <w:rPr>
          <w:sz w:val="21"/>
          <w:szCs w:val="21"/>
        </w:rPr>
      </w:pPr>
      <w:r>
        <w:rPr>
          <w:rFonts w:hint="eastAsia"/>
          <w:sz w:val="21"/>
          <w:szCs w:val="21"/>
        </w:rPr>
        <w:t>然后，对选样空间剩余证券按照最近半年的日均总市值从高到低排序，选取前50名证券作为指数样本。</w:t>
      </w:r>
    </w:p>
    <w:p>
      <w:pPr>
        <w:pStyle w:val="7"/>
        <w:spacing w:before="0" w:beforeAutospacing="0" w:after="0" w:afterAutospacing="0" w:line="360" w:lineRule="auto"/>
        <w:ind w:firstLine="420"/>
        <w:rPr>
          <w:sz w:val="21"/>
          <w:szCs w:val="21"/>
        </w:rPr>
      </w:pPr>
      <w:r>
        <w:rPr>
          <w:rFonts w:hint="eastAsia"/>
          <w:sz w:val="21"/>
          <w:szCs w:val="21"/>
        </w:rPr>
        <w:t>（4）指数计算</w:t>
      </w:r>
    </w:p>
    <w:p>
      <w:pPr>
        <w:pStyle w:val="7"/>
        <w:spacing w:before="0" w:beforeAutospacing="0" w:after="0" w:afterAutospacing="0" w:line="360" w:lineRule="auto"/>
        <w:ind w:firstLine="420"/>
        <w:rPr>
          <w:sz w:val="21"/>
          <w:szCs w:val="21"/>
        </w:rPr>
      </w:pPr>
      <w:r>
        <w:rPr>
          <w:rFonts w:hint="eastAsia"/>
          <w:sz w:val="21"/>
          <w:szCs w:val="21"/>
        </w:rPr>
        <w:t>指数采用派氏加权法，依据下列公式逐日连锁实时计算：</w:t>
      </w:r>
    </w:p>
    <w:p>
      <w:pPr>
        <w:pStyle w:val="7"/>
        <w:spacing w:before="0" w:beforeAutospacing="0" w:after="0" w:afterAutospacing="0" w:line="360" w:lineRule="auto"/>
        <w:ind w:firstLine="420"/>
        <w:rPr>
          <w:sz w:val="21"/>
          <w:szCs w:val="21"/>
        </w:rPr>
      </w:pPr>
      <w:r>
        <w:rPr>
          <w:rFonts w:hint="eastAsia"/>
          <w:sz w:val="21"/>
          <w:szCs w:val="21"/>
        </w:rPr>
        <w:t>实时指数=上一交易日收市指数×Σ(样本实时成交价×样本权数×权重调整因子)/Σ(样本上一交易日收市价×样本权数×权重调整因子）</w:t>
      </w:r>
    </w:p>
    <w:p>
      <w:pPr>
        <w:pStyle w:val="7"/>
        <w:spacing w:before="0" w:beforeAutospacing="0" w:after="0" w:afterAutospacing="0" w:line="360" w:lineRule="auto"/>
        <w:ind w:firstLine="420"/>
        <w:rPr>
          <w:sz w:val="21"/>
          <w:szCs w:val="21"/>
        </w:rPr>
      </w:pPr>
      <w:r>
        <w:rPr>
          <w:rFonts w:hint="eastAsia"/>
          <w:sz w:val="21"/>
          <w:szCs w:val="21"/>
        </w:rPr>
        <w:t>在指数计算中，设置权重调整因子，基于样本公司的主营业务类型将样本分为两档，种子和粮食种植领域对应样本的自由流通市值调整系数为1，权重上限为15%；其他领域对应样本的自由流通市值调整系数为0.5，权重上限为5%。同时，前五大权重样本合计权重不超过60%。</w:t>
      </w:r>
    </w:p>
    <w:p>
      <w:pPr>
        <w:pStyle w:val="7"/>
        <w:spacing w:before="0" w:beforeAutospacing="0" w:after="0" w:afterAutospacing="0" w:line="360" w:lineRule="auto"/>
        <w:ind w:firstLine="420"/>
        <w:rPr>
          <w:sz w:val="21"/>
          <w:szCs w:val="21"/>
        </w:rPr>
      </w:pPr>
      <w:r>
        <w:rPr>
          <w:rFonts w:hint="eastAsia"/>
          <w:sz w:val="21"/>
          <w:szCs w:val="21"/>
        </w:rPr>
        <w:t>有关标的指数具体编制方案及成份股信息详见深圳证券信息有限公司官方网站，网址：http://www.cnindex.com.cn。</w:t>
      </w:r>
    </w:p>
    <w:p>
      <w:pPr>
        <w:pStyle w:val="7"/>
        <w:spacing w:before="0" w:beforeAutospacing="0" w:after="0" w:afterAutospacing="0" w:line="360" w:lineRule="auto"/>
        <w:ind w:firstLine="420"/>
        <w:rPr>
          <w:sz w:val="21"/>
          <w:szCs w:val="21"/>
        </w:rPr>
      </w:pPr>
      <w:r>
        <w:rPr>
          <w:rFonts w:hint="eastAsia"/>
          <w:sz w:val="21"/>
          <w:szCs w:val="21"/>
        </w:rPr>
        <w:t>本基金主要投资于标的指数成份股和备选成份股（含存托凭证）。为更好地实现基金的投资目标，本基金可能会少量投资于成分股以外具有良好流动性的金融工具，包括国内依法发行上市的股票、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w:t>
      </w:r>
    </w:p>
    <w:p>
      <w:pPr>
        <w:pStyle w:val="7"/>
        <w:spacing w:before="0" w:beforeAutospacing="0" w:after="0" w:afterAutospacing="0" w:line="360" w:lineRule="auto"/>
        <w:ind w:firstLine="420"/>
        <w:rPr>
          <w:sz w:val="21"/>
          <w:szCs w:val="21"/>
        </w:rPr>
      </w:pPr>
      <w:r>
        <w:rPr>
          <w:rFonts w:hint="eastAsia"/>
          <w:sz w:val="21"/>
          <w:szCs w:val="21"/>
        </w:rPr>
        <w:t>本基金可投资港股通标的股票，若本基金资产投资于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因此本基金可能会选择将部分基金资产投资于港股通标的股票，但基金资产并非必然投资港股通标的股票。</w:t>
      </w:r>
    </w:p>
    <w:p>
      <w:pPr>
        <w:pStyle w:val="7"/>
        <w:spacing w:before="0" w:beforeAutospacing="0" w:after="0" w:afterAutospacing="0" w:line="360" w:lineRule="auto"/>
        <w:ind w:firstLine="420"/>
        <w:rPr>
          <w:sz w:val="21"/>
          <w:szCs w:val="21"/>
        </w:rPr>
      </w:pPr>
      <w:r>
        <w:rPr>
          <w:rFonts w:hint="eastAsia"/>
          <w:sz w:val="21"/>
          <w:szCs w:val="21"/>
        </w:rPr>
        <w:t>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w:t>
      </w:r>
    </w:p>
    <w:p>
      <w:pPr>
        <w:pStyle w:val="7"/>
        <w:spacing w:before="0" w:beforeAutospacing="0" w:after="0" w:afterAutospacing="0" w:line="360" w:lineRule="auto"/>
        <w:ind w:firstLine="420"/>
        <w:rPr>
          <w:sz w:val="21"/>
          <w:szCs w:val="21"/>
        </w:rPr>
      </w:pPr>
      <w:r>
        <w:rPr>
          <w:rFonts w:hint="eastAsia"/>
          <w:sz w:val="21"/>
          <w:szCs w:val="21"/>
        </w:rPr>
        <w:t>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w:t>
      </w:r>
    </w:p>
    <w:p>
      <w:pPr>
        <w:pStyle w:val="7"/>
        <w:spacing w:before="0" w:beforeAutospacing="0" w:after="0" w:afterAutospacing="0" w:line="360" w:lineRule="auto"/>
        <w:ind w:firstLine="420"/>
        <w:rPr>
          <w:sz w:val="21"/>
          <w:szCs w:val="21"/>
        </w:rPr>
      </w:pPr>
      <w:r>
        <w:rPr>
          <w:rFonts w:hint="eastAsia"/>
          <w:sz w:val="21"/>
          <w:szCs w:val="21"/>
        </w:rPr>
        <w:t>本基金可参与股票期权交易，以套期保值为主要目的，若参与股票期权交易，可能面临流动性风险、价格风险、操作风险等。</w:t>
      </w:r>
    </w:p>
    <w:p>
      <w:pPr>
        <w:pStyle w:val="7"/>
        <w:spacing w:before="0" w:beforeAutospacing="0" w:after="0" w:afterAutospacing="0" w:line="360" w:lineRule="auto"/>
        <w:ind w:firstLine="420"/>
        <w:rPr>
          <w:sz w:val="21"/>
          <w:szCs w:val="21"/>
        </w:rPr>
      </w:pPr>
      <w:r>
        <w:rPr>
          <w:rFonts w:hint="eastAsia"/>
          <w:sz w:val="21"/>
          <w:szCs w:val="21"/>
        </w:rPr>
        <w:t>基金可根据法律法规的规定参与融资及转融通证券出借业务。本基金将在充分考虑风险和收益特征的基础上，审慎参与融资及转融通证券出借业务。投资者需承担相应的风险。</w:t>
      </w:r>
    </w:p>
    <w:p>
      <w:pPr>
        <w:pStyle w:val="7"/>
        <w:spacing w:before="0" w:beforeAutospacing="0" w:after="0" w:afterAutospacing="0" w:line="360" w:lineRule="auto"/>
        <w:ind w:firstLine="420"/>
        <w:rPr>
          <w:sz w:val="21"/>
          <w:szCs w:val="21"/>
        </w:rPr>
      </w:pPr>
      <w:r>
        <w:rPr>
          <w:rFonts w:hint="eastAsia"/>
          <w:sz w:val="21"/>
          <w:szCs w:val="21"/>
        </w:rPr>
        <w:t>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pStyle w:val="7"/>
        <w:spacing w:before="0" w:beforeAutospacing="0" w:after="0" w:afterAutospacing="0" w:line="360" w:lineRule="auto"/>
        <w:ind w:firstLine="420"/>
        <w:rPr>
          <w:sz w:val="21"/>
          <w:szCs w:val="21"/>
        </w:rPr>
      </w:pPr>
      <w:r>
        <w:rPr>
          <w:rFonts w:hint="eastAsia"/>
          <w:sz w:val="21"/>
          <w:szCs w:val="21"/>
        </w:rPr>
        <w:t>本基金为发起式基金，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本基金在基金合同生效三年后继续存续的，基金存续期内，连续50个工作日出现基金份额持有人数量不满200人或者基金资产净值低于5000万元情形的，本基金将根据基金合同的约定进行基金财产清算并终止，且无需召开基金份额持有人大会，同时基金管理人应履行相关的监管报告和信息披露程序。因此本基金有面临自动清算的风险。</w:t>
      </w:r>
    </w:p>
    <w:p>
      <w:pPr>
        <w:pStyle w:val="7"/>
        <w:spacing w:before="0" w:beforeAutospacing="0" w:after="0" w:afterAutospacing="0" w:line="360" w:lineRule="auto"/>
        <w:ind w:firstLine="420"/>
        <w:rPr>
          <w:sz w:val="21"/>
          <w:szCs w:val="21"/>
        </w:rPr>
      </w:pPr>
      <w:r>
        <w:rPr>
          <w:rFonts w:hint="eastAsia"/>
          <w:sz w:val="21"/>
          <w:szCs w:val="21"/>
        </w:rPr>
        <w:t>当本基金持有特定资产且存在或潜在大额赎回申请时，基金管理人履行相应程序后，可以启用侧袋机制，具体详见基金合同和本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pPr>
        <w:pStyle w:val="7"/>
        <w:spacing w:before="0" w:beforeAutospacing="0" w:after="0" w:afterAutospacing="0" w:line="360" w:lineRule="auto"/>
        <w:ind w:firstLine="420"/>
        <w:rPr>
          <w:sz w:val="21"/>
          <w:szCs w:val="21"/>
        </w:rPr>
      </w:pPr>
      <w:r>
        <w:rPr>
          <w:rFonts w:hint="eastAsia"/>
          <w:sz w:val="21"/>
          <w:szCs w:val="21"/>
        </w:rPr>
        <w:t>本基金以1.00元初始面值募集基金份额，在市场波动等因素的影响下，基金投资有可能出现亏损或基金份额净值低于初始面值。</w:t>
      </w:r>
    </w:p>
    <w:p>
      <w:pPr>
        <w:pStyle w:val="7"/>
        <w:spacing w:before="0" w:beforeAutospacing="0" w:after="0" w:afterAutospacing="0" w:line="360" w:lineRule="auto"/>
        <w:ind w:firstLine="420"/>
        <w:rPr>
          <w:sz w:val="21"/>
          <w:szCs w:val="21"/>
        </w:rPr>
      </w:pPr>
      <w:r>
        <w:rPr>
          <w:rFonts w:hint="eastAsia"/>
          <w:sz w:val="21"/>
          <w:szCs w:val="21"/>
        </w:rPr>
        <w:t>基金的过往业绩并不预示其未来表现。基金管理人管理的其他基金的业绩并不构成新基金业绩表现的保证。</w:t>
      </w:r>
    </w:p>
    <w:p>
      <w:pPr>
        <w:pStyle w:val="7"/>
        <w:spacing w:before="0" w:beforeAutospacing="0" w:after="0" w:afterAutospacing="0" w:line="360" w:lineRule="auto"/>
        <w:ind w:firstLine="420"/>
        <w:rPr>
          <w:sz w:val="21"/>
          <w:szCs w:val="21"/>
        </w:rPr>
      </w:pPr>
      <w:r>
        <w:rPr>
          <w:rFonts w:hint="eastAsia"/>
          <w:sz w:val="21"/>
          <w:szCs w:val="21"/>
        </w:rPr>
        <w:t>基金管理人依照恪尽职守、诚实信用、谨慎勤勉的原则管理和运用基金财产，但不保证基金一定盈利，也不保证最低收益。基金管理人提醒投资者基金投资的“买者自负”原则，在作出投资决策后，基金运营状况与基金净值变化引致的投资风险，由投资者自行承担。</w:t>
      </w:r>
    </w:p>
    <w:p>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1" w:name="field_2343_infoendday_1"/>
      <w:r>
        <w:rPr>
          <w:sz w:val="21"/>
          <w:szCs w:val="21"/>
        </w:rPr>
        <w:t>2025年8月31日</w:t>
      </w:r>
      <w:bookmarkEnd w:id="1"/>
      <w:r>
        <w:rPr>
          <w:rFonts w:hint="eastAsia"/>
          <w:sz w:val="21"/>
          <w:szCs w:val="21"/>
        </w:rPr>
        <w:t>，有关财务数据和净值表现截止日为</w:t>
      </w:r>
      <w:bookmarkStart w:id="2" w:name="field_2343_financeendday_1"/>
      <w:r>
        <w:rPr>
          <w:sz w:val="21"/>
          <w:szCs w:val="21"/>
        </w:rPr>
        <w:t>2025年6月30日</w:t>
      </w:r>
      <w:bookmarkEnd w:id="2"/>
      <w:r>
        <w:rPr>
          <w:rFonts w:hint="eastAsia"/>
          <w:sz w:val="21"/>
          <w:szCs w:val="21"/>
        </w:rPr>
        <w:t xml:space="preserve">（财务数据未经审计）。 </w:t>
      </w:r>
      <w:r>
        <w:rPr>
          <w:sz w:val="30"/>
        </w:rPr>
        <w:br w:type="page"/>
      </w:r>
    </w:p>
    <w:p>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pPr>
        <w:pStyle w:val="6"/>
        <w:tabs>
          <w:tab w:val="right" w:leader="dot" w:pos="8290"/>
        </w:tabs>
        <w:spacing w:line="360" w:lineRule="auto"/>
        <w:rPr>
          <w:rFonts w:ascii="宋体" w:hAnsi="宋体" w:eastAsia="宋体"/>
        </w:rPr>
      </w:pPr>
      <w:r>
        <w:fldChar w:fldCharType="begin"/>
      </w:r>
      <w:r>
        <w:instrText xml:space="preserve"> HYPERLINK \l "_Toc207939896"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_Toc207939896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"_Toc207939897"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_Toc207939897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"_Toc207939898"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_Toc207939898 \h </w:instrText>
      </w:r>
      <w:r>
        <w:rPr>
          <w:rFonts w:ascii="宋体" w:hAnsi="宋体" w:eastAsia="宋体"/>
        </w:rPr>
        <w:fldChar w:fldCharType="separate"/>
      </w:r>
      <w:r>
        <w:rPr>
          <w:rFonts w:ascii="宋体" w:hAnsi="宋体" w:eastAsia="宋体"/>
        </w:rPr>
        <w:t>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"_Toc207939899"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_Toc207939899 \h </w:instrText>
      </w:r>
      <w:r>
        <w:rPr>
          <w:rFonts w:ascii="宋体" w:hAnsi="宋体" w:eastAsia="宋体"/>
        </w:rPr>
        <w:fldChar w:fldCharType="separate"/>
      </w:r>
      <w:r>
        <w:rPr>
          <w:rFonts w:ascii="宋体" w:hAnsi="宋体" w:eastAsia="宋体"/>
        </w:rPr>
        <w:t>14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"_Toc207939900"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_Toc207939900 \h </w:instrText>
      </w:r>
      <w:r>
        <w:rPr>
          <w:rFonts w:ascii="宋体" w:hAnsi="宋体" w:eastAsia="宋体"/>
        </w:rPr>
        <w:fldChar w:fldCharType="separate"/>
      </w:r>
      <w:r>
        <w:rPr>
          <w:rFonts w:ascii="宋体" w:hAnsi="宋体" w:eastAsia="宋体"/>
        </w:rPr>
        <w:t>24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"_Toc207939901"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_Toc207939901 \h </w:instrText>
      </w:r>
      <w:r>
        <w:rPr>
          <w:rFonts w:ascii="宋体" w:hAnsi="宋体" w:eastAsia="宋体"/>
        </w:rPr>
        <w:fldChar w:fldCharType="separate"/>
      </w:r>
      <w:r>
        <w:rPr>
          <w:rFonts w:ascii="宋体" w:hAnsi="宋体" w:eastAsia="宋体"/>
        </w:rPr>
        <w:t>27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"_Toc207939902"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_Toc207939902 \h </w:instrText>
      </w:r>
      <w:r>
        <w:rPr>
          <w:rFonts w:ascii="宋体" w:hAnsi="宋体" w:eastAsia="宋体"/>
        </w:rPr>
        <w:fldChar w:fldCharType="separate"/>
      </w:r>
      <w:r>
        <w:rPr>
          <w:rFonts w:ascii="宋体" w:hAnsi="宋体" w:eastAsia="宋体"/>
        </w:rPr>
        <w:t>40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"_Toc207939903"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_Toc207939903 \h </w:instrText>
      </w:r>
      <w:r>
        <w:rPr>
          <w:rFonts w:ascii="宋体" w:hAnsi="宋体" w:eastAsia="宋体"/>
        </w:rPr>
        <w:fldChar w:fldCharType="separate"/>
      </w:r>
      <w:r>
        <w:rPr>
          <w:rFonts w:ascii="宋体" w:hAnsi="宋体" w:eastAsia="宋体"/>
        </w:rPr>
        <w:t>41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"_Toc207939904"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_Toc207939904 \h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"_Toc207939905"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_Toc207939905 \h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"_Toc207939906"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_Toc207939906 \h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"_Toc207939907"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_Toc207939907 \h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"_Toc207939908"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_Toc207939908 \h </w:instrText>
      </w:r>
      <w:r>
        <w:rPr>
          <w:rFonts w:ascii="宋体" w:hAnsi="宋体" w:eastAsia="宋体"/>
        </w:rPr>
        <w:fldChar w:fldCharType="separate"/>
      </w:r>
      <w:r>
        <w:rPr>
          <w:rFonts w:ascii="宋体" w:hAnsi="宋体" w:eastAsia="宋体"/>
        </w:rPr>
        <w:t>71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"_Toc207939909"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bookmarkStart w:id="210" w:name="_GoBack"/>
      <w:bookmarkEnd w:id="210"/>
      <w:r>
        <w:rPr>
          <w:rFonts w:ascii="宋体" w:hAnsi="宋体" w:eastAsia="宋体"/>
        </w:rPr>
        <w:tab/>
      </w:r>
      <w:r>
        <w:rPr>
          <w:rFonts w:ascii="宋体" w:hAnsi="宋体" w:eastAsia="宋体"/>
        </w:rPr>
        <w:fldChar w:fldCharType="begin"/>
      </w:r>
      <w:r>
        <w:rPr>
          <w:rFonts w:ascii="宋体" w:hAnsi="宋体" w:eastAsia="宋体"/>
        </w:rPr>
        <w:instrText xml:space="preserve"> PAGEREF _Toc207939909 \h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"_Toc207939910"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_Toc207939910 \h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"_Toc207939911"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_Toc207939911 \h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"_Toc207939912"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_Toc207939912 \h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"_Toc207939913"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_Toc207939913 \h </w:instrText>
      </w:r>
      <w:r>
        <w:rPr>
          <w:rFonts w:ascii="宋体" w:hAnsi="宋体" w:eastAsia="宋体"/>
        </w:rPr>
        <w:fldChar w:fldCharType="separate"/>
      </w:r>
      <w:r>
        <w:rPr>
          <w:rFonts w:ascii="宋体" w:hAnsi="宋体" w:eastAsia="宋体"/>
        </w:rPr>
        <w:t>88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"_Toc207939914"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_Toc207939914 \h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"_Toc207939915"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_Toc207939915 \h </w:instrText>
      </w:r>
      <w:r>
        <w:rPr>
          <w:rFonts w:ascii="宋体" w:hAnsi="宋体" w:eastAsia="宋体"/>
        </w:rPr>
        <w:fldChar w:fldCharType="separate"/>
      </w:r>
      <w:r>
        <w:rPr>
          <w:rFonts w:ascii="宋体" w:hAnsi="宋体" w:eastAsia="宋体"/>
        </w:rPr>
        <w:t>102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"_Toc207939916"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_Toc207939916 \h </w:instrText>
      </w:r>
      <w:r>
        <w:rPr>
          <w:rFonts w:ascii="宋体" w:hAnsi="宋体" w:eastAsia="宋体"/>
        </w:rPr>
        <w:fldChar w:fldCharType="separate"/>
      </w:r>
      <w:r>
        <w:rPr>
          <w:rFonts w:ascii="宋体" w:hAnsi="宋体" w:eastAsia="宋体"/>
        </w:rPr>
        <w:t>119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"_Toc207939917"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_Toc207939917 \h </w:instrText>
      </w:r>
      <w:r>
        <w:rPr>
          <w:rFonts w:ascii="宋体" w:hAnsi="宋体" w:eastAsia="宋体"/>
        </w:rPr>
        <w:fldChar w:fldCharType="separate"/>
      </w:r>
      <w:r>
        <w:rPr>
          <w:rFonts w:ascii="宋体" w:hAnsi="宋体" w:eastAsia="宋体"/>
        </w:rPr>
        <w:t>140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"_Toc207939918"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_Toc207939918 \h </w:instrText>
      </w:r>
      <w:r>
        <w:rPr>
          <w:rFonts w:ascii="宋体" w:hAnsi="宋体" w:eastAsia="宋体"/>
        </w:rPr>
        <w:fldChar w:fldCharType="separate"/>
      </w:r>
      <w:r>
        <w:rPr>
          <w:rFonts w:ascii="宋体" w:hAnsi="宋体" w:eastAsia="宋体"/>
        </w:rPr>
        <w:t>143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"_Toc207939919"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_Toc207939919 \h </w:instrText>
      </w:r>
      <w:r>
        <w:rPr>
          <w:rFonts w:ascii="宋体" w:hAnsi="宋体" w:eastAsia="宋体"/>
        </w:rPr>
        <w:fldChar w:fldCharType="separate"/>
      </w:r>
      <w:r>
        <w:rPr>
          <w:rFonts w:ascii="宋体" w:hAnsi="宋体" w:eastAsia="宋体"/>
        </w:rPr>
        <w:t>145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"_Toc207939920"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_Toc207939920 \h </w:instrText>
      </w:r>
      <w:r>
        <w:rPr>
          <w:rFonts w:ascii="宋体" w:hAnsi="宋体" w:eastAsia="宋体"/>
        </w:rPr>
        <w:fldChar w:fldCharType="separate"/>
      </w:r>
      <w:r>
        <w:rPr>
          <w:rFonts w:ascii="宋体" w:hAnsi="宋体" w:eastAsia="宋体"/>
        </w:rPr>
        <w:t>146</w:t>
      </w:r>
      <w:r>
        <w:rPr>
          <w:rFonts w:ascii="宋体" w:hAnsi="宋体" w:eastAsia="宋体"/>
        </w:rPr>
        <w:fldChar w:fldCharType="end"/>
      </w:r>
      <w:r>
        <w:rPr>
          <w:rFonts w:ascii="宋体" w:hAnsi="宋体" w:eastAsia="宋体"/>
        </w:rPr>
        <w:fldChar w:fldCharType="end"/>
      </w:r>
    </w:p>
    <w:p>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pPr>
        <w:pStyle w:val="2"/>
        <w:jc w:val="center"/>
        <w:rPr>
          <w:rFonts w:ascii="宋体" w:hAnsi="宋体" w:eastAsia="宋体"/>
          <w:sz w:val="30"/>
        </w:rPr>
      </w:pPr>
      <w:bookmarkStart w:id="3" w:name="_Toc207939897"/>
      <w:bookmarkStart w:id="4" w:name="chapter_level1_3_2344"/>
      <w:r>
        <w:rPr>
          <w:rFonts w:hint="eastAsia" w:ascii="宋体" w:hAnsi="宋体" w:eastAsia="宋体"/>
          <w:sz w:val="30"/>
        </w:rPr>
        <w:t>第一部分  绪言</w:t>
      </w:r>
      <w:bookmarkEnd w:id="3"/>
      <w:bookmarkEnd w:id="4"/>
    </w:p>
    <w:p>
      <w:pPr>
        <w:pStyle w:val="7"/>
        <w:spacing w:before="0" w:beforeAutospacing="0" w:after="0" w:afterAutospacing="0" w:line="360" w:lineRule="auto"/>
        <w:ind w:firstLine="420"/>
        <w:rPr>
          <w:sz w:val="21"/>
          <w:szCs w:val="21"/>
        </w:rPr>
      </w:pPr>
      <w:bookmarkStart w:id="5" w:name="chapter_level1_3_2344_section_1"/>
      <w:bookmarkEnd w:id="5"/>
      <w:r>
        <w:rPr>
          <w:rFonts w:hint="eastAsia"/>
          <w:sz w:val="21"/>
          <w:szCs w:val="21"/>
        </w:rPr>
        <w:t>《</w:t>
      </w:r>
      <w:bookmarkStart w:id="6" w:name="field_0_productfullname_1"/>
      <w:r>
        <w:rPr>
          <w:rFonts w:hint="eastAsia"/>
          <w:sz w:val="21"/>
          <w:szCs w:val="21"/>
        </w:rPr>
        <w:t>博时国证粮食产业指数型发起式证券投资基金</w:t>
      </w:r>
      <w:bookmarkEnd w:id="6"/>
      <w:r>
        <w:rPr>
          <w:rFonts w:hint="eastAsia"/>
          <w:sz w:val="21"/>
          <w:szCs w:val="21"/>
        </w:rPr>
        <w:t>招募说明书》（以下简称“招募说明书”或“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以及《</w:t>
      </w:r>
      <w:bookmarkStart w:id="7" w:name="field_0_productfullname_2"/>
      <w:r>
        <w:rPr>
          <w:rFonts w:hint="eastAsia"/>
          <w:sz w:val="21"/>
          <w:szCs w:val="21"/>
        </w:rPr>
        <w:t>博时国证粮食产业指数型发起式证券投资基金</w:t>
      </w:r>
      <w:bookmarkEnd w:id="7"/>
      <w:r>
        <w:rPr>
          <w:rFonts w:hint="eastAsia"/>
          <w:sz w:val="21"/>
          <w:szCs w:val="21"/>
        </w:rPr>
        <w:t>基金合同》（以下简称“《基金合同》”）编写。</w:t>
      </w:r>
    </w:p>
    <w:p>
      <w:pPr>
        <w:pStyle w:val="7"/>
        <w:spacing w:before="0" w:beforeAutospacing="0" w:after="0" w:afterAutospacing="0" w:line="360" w:lineRule="auto"/>
        <w:ind w:firstLine="420"/>
        <w:rPr>
          <w:sz w:val="21"/>
          <w:szCs w:val="21"/>
        </w:rPr>
      </w:pPr>
      <w:r>
        <w:rPr>
          <w:rFonts w:hint="eastAsia"/>
          <w:sz w:val="21"/>
          <w:szCs w:val="21"/>
        </w:rPr>
        <w:t>本招募说明书阐述了</w:t>
      </w:r>
      <w:bookmarkStart w:id="8" w:name="field_0_productfullname_3"/>
      <w:r>
        <w:rPr>
          <w:rFonts w:hint="eastAsia"/>
          <w:sz w:val="21"/>
          <w:szCs w:val="21"/>
        </w:rPr>
        <w:t>博时国证粮食产业指数型发起式证券投资基金</w:t>
      </w:r>
      <w:bookmarkEnd w:id="8"/>
      <w:r>
        <w:rPr>
          <w:rFonts w:hint="eastAsia"/>
          <w:sz w:val="21"/>
          <w:szCs w:val="21"/>
        </w:rPr>
        <w:t>（以下简称“基金”或“本基金”）的投资目标、策略、风险、费率等与投资人投资决策有关的必要事项，投资人在作出投资决策前应仔细阅读本招募说明书。</w:t>
      </w:r>
    </w:p>
    <w:p>
      <w:pPr>
        <w:pStyle w:val="7"/>
        <w:spacing w:before="0" w:beforeAutospacing="0" w:after="0" w:afterAutospacing="0" w:line="360" w:lineRule="auto"/>
        <w:ind w:firstLine="420"/>
        <w:rPr>
          <w:sz w:val="21"/>
          <w:szCs w:val="21"/>
        </w:rPr>
      </w:pPr>
      <w:r>
        <w:rPr>
          <w:rFonts w:hint="eastAsia"/>
          <w:sz w:val="21"/>
          <w:szCs w:val="21"/>
        </w:rPr>
        <w:t>基金管理人承诺本招募说明书不存在任何虚假记载、误导性陈述或者重大遗漏，并对其真实性、准确性、完整性承担法律责任。</w:t>
      </w:r>
    </w:p>
    <w:p>
      <w:pPr>
        <w:pStyle w:val="7"/>
        <w:spacing w:before="0" w:beforeAutospacing="0" w:after="0" w:afterAutospacing="0" w:line="360" w:lineRule="auto"/>
        <w:ind w:firstLine="420"/>
        <w:rPr>
          <w:sz w:val="21"/>
          <w:szCs w:val="21"/>
        </w:rPr>
      </w:pPr>
      <w:r>
        <w:rPr>
          <w:rFonts w:hint="eastAsia"/>
          <w:sz w:val="21"/>
          <w:szCs w:val="21"/>
        </w:rPr>
        <w:t>本基金是根据本招募说明书所载明的资料申请募集的。本基金管理人没有委托或授权任何其他人提供未在本招募说明书中载明的信息，或对本招募说明书作任何解释或者说明。</w:t>
      </w:r>
    </w:p>
    <w:p>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人自依基金合同取得基金份额，即成为基金份额持有人和本基金基金合同的当事人，其持有基金份额的行为本身即表明其对基金合同的承认和接受，并按照《基金法》、基金合同及其他有关规定享有权利、承担义务。基金投</w:t>
      </w:r>
      <w:bookmarkStart w:id="9" w:name="chapter_level1_3_2344_section_1_end"/>
      <w:bookmarkEnd w:id="9"/>
      <w:r>
        <w:rPr>
          <w:rFonts w:hint="eastAsia"/>
          <w:sz w:val="21"/>
          <w:szCs w:val="21"/>
        </w:rPr>
        <w:t>资人欲了解基金份额持有人的权利和义务，应详细查阅基金合同。</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0" w:name="_Toc207939898"/>
      <w:bookmarkStart w:id="11" w:name="chapter_level1_4_49"/>
      <w:r>
        <w:rPr>
          <w:rFonts w:hint="eastAsia" w:ascii="宋体" w:hAnsi="宋体" w:eastAsia="宋体"/>
          <w:sz w:val="30"/>
        </w:rPr>
        <w:t>第二部分  释义</w:t>
      </w:r>
      <w:bookmarkEnd w:id="10"/>
      <w:bookmarkEnd w:id="11"/>
    </w:p>
    <w:p>
      <w:pPr>
        <w:pStyle w:val="7"/>
        <w:spacing w:before="0" w:beforeAutospacing="0" w:after="0" w:afterAutospacing="0" w:line="360" w:lineRule="auto"/>
        <w:ind w:firstLine="420"/>
        <w:rPr>
          <w:sz w:val="21"/>
          <w:szCs w:val="21"/>
        </w:rPr>
      </w:pPr>
      <w:bookmarkStart w:id="12" w:name="chapter_level1_4_49_section_1"/>
      <w:bookmarkEnd w:id="12"/>
      <w:r>
        <w:rPr>
          <w:rFonts w:hint="eastAsia"/>
          <w:sz w:val="21"/>
          <w:szCs w:val="21"/>
        </w:rPr>
        <w:t>在本招募说明书中，除非文意另有所指，下列词语或简称具有如下含义： </w:t>
      </w:r>
    </w:p>
    <w:p>
      <w:pPr>
        <w:pStyle w:val="7"/>
        <w:spacing w:before="0" w:beforeAutospacing="0" w:after="0" w:afterAutospacing="0" w:line="360" w:lineRule="auto"/>
        <w:ind w:firstLine="420"/>
        <w:rPr>
          <w:sz w:val="21"/>
          <w:szCs w:val="21"/>
        </w:rPr>
      </w:pPr>
      <w:r>
        <w:rPr>
          <w:rFonts w:hint="eastAsia"/>
          <w:sz w:val="21"/>
          <w:szCs w:val="21"/>
        </w:rPr>
        <w:t>1、基金或本基金：指</w:t>
      </w:r>
      <w:bookmarkStart w:id="13" w:name="field_0_productfullname_4"/>
      <w:r>
        <w:rPr>
          <w:rFonts w:hint="eastAsia"/>
          <w:sz w:val="21"/>
          <w:szCs w:val="21"/>
        </w:rPr>
        <w:t>博时国证粮食产业指数型发起式证券投资基金</w:t>
      </w:r>
      <w:bookmarkEnd w:id="13"/>
    </w:p>
    <w:p>
      <w:pPr>
        <w:pStyle w:val="7"/>
        <w:spacing w:before="0" w:beforeAutospacing="0" w:after="0" w:afterAutospacing="0" w:line="360" w:lineRule="auto"/>
        <w:ind w:firstLine="420"/>
        <w:rPr>
          <w:sz w:val="21"/>
          <w:szCs w:val="21"/>
        </w:rPr>
      </w:pPr>
      <w:r>
        <w:rPr>
          <w:rFonts w:hint="eastAsia"/>
          <w:sz w:val="21"/>
          <w:szCs w:val="21"/>
        </w:rPr>
        <w:t>2、基金管理人：指博时基金管理有限公司</w:t>
      </w:r>
    </w:p>
    <w:p>
      <w:pPr>
        <w:pStyle w:val="7"/>
        <w:spacing w:before="0" w:beforeAutospacing="0" w:after="0" w:afterAutospacing="0" w:line="360" w:lineRule="auto"/>
        <w:ind w:firstLine="420"/>
        <w:rPr>
          <w:sz w:val="21"/>
          <w:szCs w:val="21"/>
        </w:rPr>
      </w:pPr>
      <w:r>
        <w:rPr>
          <w:rFonts w:hint="eastAsia"/>
          <w:sz w:val="21"/>
          <w:szCs w:val="21"/>
        </w:rPr>
        <w:t>3、基金托管人：指</w:t>
      </w:r>
      <w:bookmarkStart w:id="14" w:name="field_0_trustorgfullname_1"/>
      <w:r>
        <w:rPr>
          <w:rFonts w:hint="eastAsia"/>
          <w:sz w:val="21"/>
          <w:szCs w:val="21"/>
        </w:rPr>
        <w:t>兴业银行股份有限公司</w:t>
      </w:r>
      <w:bookmarkEnd w:id="14"/>
    </w:p>
    <w:p>
      <w:pPr>
        <w:pStyle w:val="7"/>
        <w:spacing w:before="0" w:beforeAutospacing="0" w:after="0" w:afterAutospacing="0" w:line="360" w:lineRule="auto"/>
        <w:ind w:firstLine="420"/>
        <w:rPr>
          <w:sz w:val="21"/>
          <w:szCs w:val="21"/>
        </w:rPr>
      </w:pPr>
      <w:r>
        <w:rPr>
          <w:rFonts w:hint="eastAsia"/>
          <w:sz w:val="21"/>
          <w:szCs w:val="21"/>
        </w:rPr>
        <w:t>4、基金合同：指《</w:t>
      </w:r>
      <w:bookmarkStart w:id="15" w:name="field_0_productfullname_5"/>
      <w:r>
        <w:rPr>
          <w:rFonts w:hint="eastAsia"/>
          <w:sz w:val="21"/>
          <w:szCs w:val="21"/>
        </w:rPr>
        <w:t>博时国证粮食产业指数型发起式证券投资基金</w:t>
      </w:r>
      <w:bookmarkEnd w:id="15"/>
      <w:r>
        <w:rPr>
          <w:rFonts w:hint="eastAsia"/>
          <w:sz w:val="21"/>
          <w:szCs w:val="21"/>
        </w:rPr>
        <w:t>基金合同》及对基金合同的任何有效修订和补充</w:t>
      </w:r>
    </w:p>
    <w:p>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16" w:name="field_0_productfullname_6"/>
      <w:r>
        <w:rPr>
          <w:rFonts w:hint="eastAsia"/>
          <w:sz w:val="21"/>
          <w:szCs w:val="21"/>
        </w:rPr>
        <w:t>博时国证粮食产业指数型发起式证券投资基金</w:t>
      </w:r>
      <w:bookmarkEnd w:id="16"/>
      <w:r>
        <w:rPr>
          <w:rFonts w:hint="eastAsia"/>
          <w:sz w:val="21"/>
          <w:szCs w:val="21"/>
        </w:rPr>
        <w:t>托管协议》及对该托管协议的任何有效修订和补充</w:t>
      </w:r>
    </w:p>
    <w:p>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17" w:name="field_0_productfullname_7"/>
      <w:r>
        <w:rPr>
          <w:rFonts w:hint="eastAsia"/>
          <w:sz w:val="21"/>
          <w:szCs w:val="21"/>
        </w:rPr>
        <w:t>博时国证粮食产业指数型发起式证券投资基金</w:t>
      </w:r>
      <w:bookmarkEnd w:id="17"/>
      <w:r>
        <w:rPr>
          <w:rFonts w:hint="eastAsia"/>
          <w:sz w:val="21"/>
          <w:szCs w:val="21"/>
        </w:rPr>
        <w:t>招募说明书》及其更新</w:t>
      </w:r>
    </w:p>
    <w:p>
      <w:pPr>
        <w:pStyle w:val="7"/>
        <w:spacing w:before="0" w:beforeAutospacing="0" w:after="0" w:afterAutospacing="0" w:line="360" w:lineRule="auto"/>
        <w:ind w:firstLine="420"/>
        <w:rPr>
          <w:sz w:val="21"/>
          <w:szCs w:val="21"/>
        </w:rPr>
      </w:pPr>
      <w:r>
        <w:rPr>
          <w:rFonts w:hint="eastAsia"/>
          <w:sz w:val="21"/>
          <w:szCs w:val="21"/>
        </w:rPr>
        <w:t>7、基金份额发售公告：指《</w:t>
      </w:r>
      <w:bookmarkStart w:id="18" w:name="field_0_productfullname_8"/>
      <w:r>
        <w:rPr>
          <w:rFonts w:hint="eastAsia"/>
          <w:sz w:val="21"/>
          <w:szCs w:val="21"/>
        </w:rPr>
        <w:t>博时国证粮食产业指数型发起式证券投资基金</w:t>
      </w:r>
      <w:bookmarkEnd w:id="18"/>
      <w:r>
        <w:rPr>
          <w:rFonts w:hint="eastAsia"/>
          <w:sz w:val="21"/>
          <w:szCs w:val="21"/>
        </w:rPr>
        <w:t>基金份额发售公告》</w:t>
      </w:r>
    </w:p>
    <w:p>
      <w:pPr>
        <w:pStyle w:val="7"/>
        <w:spacing w:before="0" w:beforeAutospacing="0" w:after="0" w:afterAutospacing="0" w:line="360" w:lineRule="auto"/>
        <w:ind w:firstLine="420"/>
        <w:rPr>
          <w:sz w:val="21"/>
          <w:szCs w:val="21"/>
        </w:rPr>
      </w:pPr>
      <w:r>
        <w:rPr>
          <w:rFonts w:hint="eastAsia"/>
          <w:sz w:val="21"/>
          <w:szCs w:val="21"/>
        </w:rPr>
        <w:t>8、基金产品资料概要：指《</w:t>
      </w:r>
      <w:bookmarkStart w:id="19" w:name="field_0_productfullname_9"/>
      <w:r>
        <w:rPr>
          <w:rFonts w:hint="eastAsia"/>
          <w:sz w:val="21"/>
          <w:szCs w:val="21"/>
        </w:rPr>
        <w:t>博时国证粮食产业指数型发起式证券投资基金</w:t>
      </w:r>
      <w:bookmarkEnd w:id="19"/>
      <w:r>
        <w:rPr>
          <w:rFonts w:hint="eastAsia"/>
          <w:sz w:val="21"/>
          <w:szCs w:val="21"/>
        </w:rPr>
        <w:t>基金产品资料概要》及其更新</w:t>
      </w:r>
    </w:p>
    <w:p>
      <w:pPr>
        <w:pStyle w:val="7"/>
        <w:spacing w:before="0" w:beforeAutospacing="0" w:after="0" w:afterAutospacing="0" w:line="360" w:lineRule="auto"/>
        <w:ind w:firstLine="420"/>
        <w:rPr>
          <w:sz w:val="21"/>
          <w:szCs w:val="21"/>
        </w:rPr>
      </w:pPr>
      <w:r>
        <w:rPr>
          <w:rFonts w:hint="eastAsia"/>
          <w:sz w:val="21"/>
          <w:szCs w:val="21"/>
        </w:rPr>
        <w:t>9、法律法规：指中国现行有效并公布实施的法律、行政法规、规范性文件、司法解释、行政规章以及其他对基金合同当事人有约束力的决定、决议、通知等</w:t>
      </w:r>
    </w:p>
    <w:p>
      <w:pPr>
        <w:pStyle w:val="7"/>
        <w:spacing w:before="0" w:beforeAutospacing="0" w:after="0" w:afterAutospacing="0" w:line="360" w:lineRule="auto"/>
        <w:ind w:firstLine="420"/>
        <w:rPr>
          <w:sz w:val="21"/>
          <w:szCs w:val="21"/>
        </w:rPr>
      </w:pPr>
      <w:r>
        <w:rPr>
          <w:rFonts w:hint="eastAsia"/>
          <w:sz w:val="21"/>
          <w:szCs w:val="21"/>
        </w:rPr>
        <w:t>10、《基金法》：指2003年10月28日经第十届全国人民代表大会常务委员会第五次会议通过，经2012年12月28日第十一届全国人民代表大会常务委员会第30 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11、《销售办法》：指中国证监会2020年8月28日颁布、同年10月1日实施的《公开募集证券投资基金销售机构监督管理办法》及颁布机关对其不时做出的修订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12、《信息披露办法》：指中国证监会2019年7月26日颁布、同年9月1日实施，并经2020年3月20日中国证监会《关于修改部分证券期货规章的决定》修改的《公开募集证券投资基金信息披露管理办法》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13、《运作办法》：指中国证监会2014年7月7日颁布、同年8月8日实施的《公开募集证券投资基金运作管理办法》及颁布机关对其不时做出的修订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14、《流动性风险管理规定》：指中国证监会2017年8月31日颁布、同年10月1日实施的《公开募集开放式证券投资基金流动性风险管理规定》及颁布机关对其不时做出的修订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15、中国证监会：指中国证券监督管理委员会</w:t>
      </w:r>
    </w:p>
    <w:p>
      <w:pPr>
        <w:pStyle w:val="7"/>
        <w:spacing w:before="0" w:beforeAutospacing="0" w:after="0" w:afterAutospacing="0" w:line="360" w:lineRule="auto"/>
        <w:ind w:firstLine="420"/>
        <w:rPr>
          <w:sz w:val="21"/>
          <w:szCs w:val="21"/>
        </w:rPr>
      </w:pPr>
      <w:r>
        <w:rPr>
          <w:rFonts w:hint="eastAsia"/>
          <w:sz w:val="21"/>
          <w:szCs w:val="21"/>
        </w:rPr>
        <w:t>16、银行业监督管理机构：指中国人民银行和/或国家金融监督管理总局</w:t>
      </w:r>
    </w:p>
    <w:p>
      <w:pPr>
        <w:pStyle w:val="7"/>
        <w:spacing w:before="0" w:beforeAutospacing="0" w:after="0" w:afterAutospacing="0" w:line="360" w:lineRule="auto"/>
        <w:ind w:firstLine="420"/>
        <w:rPr>
          <w:sz w:val="21"/>
          <w:szCs w:val="21"/>
        </w:rPr>
      </w:pPr>
      <w:r>
        <w:rPr>
          <w:rFonts w:hint="eastAsia"/>
          <w:sz w:val="21"/>
          <w:szCs w:val="21"/>
        </w:rPr>
        <w:t>17、基金合同当事人：指受基金合同约束，根据基金合同享有权利并承担义务的法律主体，包括基金管理人、基金托管人和基金份额持有人</w:t>
      </w:r>
    </w:p>
    <w:p>
      <w:pPr>
        <w:pStyle w:val="7"/>
        <w:spacing w:before="0" w:beforeAutospacing="0" w:after="0" w:afterAutospacing="0" w:line="360" w:lineRule="auto"/>
        <w:ind w:firstLine="420"/>
        <w:rPr>
          <w:sz w:val="21"/>
          <w:szCs w:val="21"/>
        </w:rPr>
      </w:pPr>
      <w:r>
        <w:rPr>
          <w:rFonts w:hint="eastAsia"/>
          <w:sz w:val="21"/>
          <w:szCs w:val="21"/>
        </w:rPr>
        <w:t>18、个人投资者：指依据有关法律法规规定可投资于证券投资基金的自然人</w:t>
      </w:r>
    </w:p>
    <w:p>
      <w:pPr>
        <w:pStyle w:val="7"/>
        <w:spacing w:before="0" w:beforeAutospacing="0" w:after="0" w:afterAutospacing="0" w:line="360" w:lineRule="auto"/>
        <w:ind w:firstLine="420"/>
        <w:rPr>
          <w:sz w:val="21"/>
          <w:szCs w:val="21"/>
        </w:rPr>
      </w:pPr>
      <w:r>
        <w:rPr>
          <w:rFonts w:hint="eastAsia"/>
          <w:sz w:val="21"/>
          <w:szCs w:val="21"/>
        </w:rPr>
        <w:t>19、机构投资者：指依法可以投资证券投资基金的、在中华人民共和国境内合法登记并存续或经有关政府部门批准设立并存续的企业法人、事业法人、社会团体或其他组织</w:t>
      </w:r>
    </w:p>
    <w:p>
      <w:pPr>
        <w:pStyle w:val="7"/>
        <w:spacing w:before="0" w:beforeAutospacing="0" w:after="0" w:afterAutospacing="0" w:line="360" w:lineRule="auto"/>
        <w:ind w:firstLine="420"/>
        <w:rPr>
          <w:sz w:val="21"/>
          <w:szCs w:val="21"/>
        </w:rPr>
      </w:pPr>
      <w:r>
        <w:rPr>
          <w:rFonts w:hint="eastAsia"/>
          <w:sz w:val="21"/>
          <w:szCs w:val="21"/>
        </w:rPr>
        <w:t>20、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pPr>
        <w:pStyle w:val="7"/>
        <w:spacing w:before="0" w:beforeAutospacing="0" w:after="0" w:afterAutospacing="0" w:line="360" w:lineRule="auto"/>
        <w:ind w:firstLine="420"/>
        <w:rPr>
          <w:sz w:val="21"/>
          <w:szCs w:val="21"/>
        </w:rPr>
      </w:pPr>
      <w:r>
        <w:rPr>
          <w:rFonts w:hint="eastAsia"/>
          <w:sz w:val="21"/>
          <w:szCs w:val="21"/>
        </w:rPr>
        <w:t>21、投资人、投资者：指个人投资者、机构投资者、合格境外投资者、发起资金提供方以及法律法规或中国证监会允许购买证券投资基金的其他投资人的合称</w:t>
      </w:r>
    </w:p>
    <w:p>
      <w:pPr>
        <w:pStyle w:val="7"/>
        <w:spacing w:before="0" w:beforeAutospacing="0" w:after="0" w:afterAutospacing="0" w:line="360" w:lineRule="auto"/>
        <w:ind w:firstLine="420"/>
        <w:rPr>
          <w:sz w:val="21"/>
          <w:szCs w:val="21"/>
        </w:rPr>
      </w:pPr>
      <w:r>
        <w:rPr>
          <w:rFonts w:hint="eastAsia"/>
          <w:sz w:val="21"/>
          <w:szCs w:val="21"/>
        </w:rPr>
        <w:t>22、基金份额持有人：指依基金合同和招募说明书合法取得基金份额的投资人</w:t>
      </w:r>
    </w:p>
    <w:p>
      <w:pPr>
        <w:pStyle w:val="7"/>
        <w:spacing w:before="0" w:beforeAutospacing="0" w:after="0" w:afterAutospacing="0" w:line="360" w:lineRule="auto"/>
        <w:ind w:firstLine="420"/>
        <w:rPr>
          <w:sz w:val="21"/>
          <w:szCs w:val="21"/>
        </w:rPr>
      </w:pPr>
      <w:r>
        <w:rPr>
          <w:rFonts w:hint="eastAsia"/>
          <w:sz w:val="21"/>
          <w:szCs w:val="21"/>
        </w:rPr>
        <w:t>23、基金销售业务：指基金管理人或销售机构宣传推介基金，发售基金份额，办理基金份额的申购、赎回、转换、转托管及定期定额投资等业务</w:t>
      </w:r>
    </w:p>
    <w:p>
      <w:pPr>
        <w:pStyle w:val="7"/>
        <w:spacing w:before="0" w:beforeAutospacing="0" w:after="0" w:afterAutospacing="0" w:line="360" w:lineRule="auto"/>
        <w:ind w:firstLine="420"/>
        <w:rPr>
          <w:sz w:val="21"/>
          <w:szCs w:val="21"/>
        </w:rPr>
      </w:pPr>
      <w:r>
        <w:rPr>
          <w:rFonts w:hint="eastAsia"/>
          <w:sz w:val="21"/>
          <w:szCs w:val="21"/>
        </w:rPr>
        <w:t>24、销售机构：指博时基金管理有限公司以及符合《销售办法》和中国证监会规定的其他条件，取得基金销售业务资格并与基金管理人签订了基金销售服务协议，办理基金销售业务的机构</w:t>
      </w:r>
    </w:p>
    <w:p>
      <w:pPr>
        <w:pStyle w:val="7"/>
        <w:spacing w:before="0" w:beforeAutospacing="0" w:after="0" w:afterAutospacing="0" w:line="360" w:lineRule="auto"/>
        <w:ind w:firstLine="420"/>
        <w:rPr>
          <w:sz w:val="21"/>
          <w:szCs w:val="21"/>
        </w:rPr>
      </w:pPr>
      <w:r>
        <w:rPr>
          <w:rFonts w:hint="eastAsia"/>
          <w:sz w:val="21"/>
          <w:szCs w:val="21"/>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pStyle w:val="7"/>
        <w:spacing w:before="0" w:beforeAutospacing="0" w:after="0" w:afterAutospacing="0" w:line="360" w:lineRule="auto"/>
        <w:ind w:firstLine="420"/>
        <w:rPr>
          <w:sz w:val="21"/>
          <w:szCs w:val="21"/>
        </w:rPr>
      </w:pPr>
      <w:r>
        <w:rPr>
          <w:rFonts w:hint="eastAsia"/>
          <w:sz w:val="21"/>
          <w:szCs w:val="21"/>
        </w:rPr>
        <w:t>26、登记机构：指办理登记业务的机构。本基金的登记机构为博时基金管理有限公司</w:t>
      </w:r>
    </w:p>
    <w:p>
      <w:pPr>
        <w:pStyle w:val="7"/>
        <w:spacing w:before="0" w:beforeAutospacing="0" w:after="0" w:afterAutospacing="0" w:line="360" w:lineRule="auto"/>
        <w:ind w:firstLine="420"/>
        <w:rPr>
          <w:sz w:val="21"/>
          <w:szCs w:val="21"/>
        </w:rPr>
      </w:pPr>
      <w:r>
        <w:rPr>
          <w:rFonts w:hint="eastAsia"/>
          <w:sz w:val="21"/>
          <w:szCs w:val="21"/>
        </w:rPr>
        <w:t>27、基金账户：指登记机构为投资人开立的、记录其持有的、基金管理人所管理的基金份额余额及其变动情况的账户</w:t>
      </w:r>
    </w:p>
    <w:p>
      <w:pPr>
        <w:pStyle w:val="7"/>
        <w:spacing w:before="0" w:beforeAutospacing="0" w:after="0" w:afterAutospacing="0" w:line="360" w:lineRule="auto"/>
        <w:ind w:firstLine="420"/>
        <w:rPr>
          <w:sz w:val="21"/>
          <w:szCs w:val="21"/>
        </w:rPr>
      </w:pPr>
      <w:r>
        <w:rPr>
          <w:rFonts w:hint="eastAsia"/>
          <w:sz w:val="21"/>
          <w:szCs w:val="21"/>
        </w:rPr>
        <w:t>28、基金交易账户：指销售机构为投资人开立的、记录投资人通过该销售机构办理认购、申购、赎回、转换、转托管及定期定额投资等业务而引起的基金份额变动及结余情况的账户</w:t>
      </w:r>
    </w:p>
    <w:p>
      <w:pPr>
        <w:pStyle w:val="7"/>
        <w:spacing w:before="0" w:beforeAutospacing="0" w:after="0" w:afterAutospacing="0" w:line="360" w:lineRule="auto"/>
        <w:ind w:firstLine="420"/>
        <w:rPr>
          <w:sz w:val="21"/>
          <w:szCs w:val="21"/>
        </w:rPr>
      </w:pPr>
      <w:r>
        <w:rPr>
          <w:rFonts w:hint="eastAsia"/>
          <w:sz w:val="21"/>
          <w:szCs w:val="21"/>
        </w:rPr>
        <w:t>29、基金合同生效日：指基金募集达到法律法规规定及基金合同规定的条件，基金管理人向中国证监会办理基金备案手续完毕，并获得中国证监会书面确认的日期</w:t>
      </w:r>
    </w:p>
    <w:p>
      <w:pPr>
        <w:pStyle w:val="7"/>
        <w:spacing w:before="0" w:beforeAutospacing="0" w:after="0" w:afterAutospacing="0" w:line="360" w:lineRule="auto"/>
        <w:ind w:firstLine="420"/>
        <w:rPr>
          <w:sz w:val="21"/>
          <w:szCs w:val="21"/>
        </w:rPr>
      </w:pPr>
      <w:r>
        <w:rPr>
          <w:rFonts w:hint="eastAsia"/>
          <w:sz w:val="21"/>
          <w:szCs w:val="21"/>
        </w:rPr>
        <w:t>30、基金合同终止日：指基金合同规定的基金合同终止事由出现后，基金财产清算完毕，清算结果报中国证监会备案并予以公告的日期</w:t>
      </w:r>
    </w:p>
    <w:p>
      <w:pPr>
        <w:pStyle w:val="7"/>
        <w:spacing w:before="0" w:beforeAutospacing="0" w:after="0" w:afterAutospacing="0" w:line="360" w:lineRule="auto"/>
        <w:ind w:firstLine="420"/>
        <w:rPr>
          <w:sz w:val="21"/>
          <w:szCs w:val="21"/>
        </w:rPr>
      </w:pPr>
      <w:r>
        <w:rPr>
          <w:rFonts w:hint="eastAsia"/>
          <w:sz w:val="21"/>
          <w:szCs w:val="21"/>
        </w:rPr>
        <w:t>31、基金募集期：指自基金份额发售之日起至发售结束之日止的期间，最长不得超过3个月</w:t>
      </w:r>
    </w:p>
    <w:p>
      <w:pPr>
        <w:pStyle w:val="7"/>
        <w:spacing w:before="0" w:beforeAutospacing="0" w:after="0" w:afterAutospacing="0" w:line="360" w:lineRule="auto"/>
        <w:ind w:firstLine="420"/>
        <w:rPr>
          <w:sz w:val="21"/>
          <w:szCs w:val="21"/>
        </w:rPr>
      </w:pPr>
      <w:r>
        <w:rPr>
          <w:rFonts w:hint="eastAsia"/>
          <w:sz w:val="21"/>
          <w:szCs w:val="21"/>
        </w:rPr>
        <w:t>32、存续期：指基金合同生效至终止之间的不定期期限</w:t>
      </w:r>
    </w:p>
    <w:p>
      <w:pPr>
        <w:pStyle w:val="7"/>
        <w:spacing w:before="0" w:beforeAutospacing="0" w:after="0" w:afterAutospacing="0" w:line="360" w:lineRule="auto"/>
        <w:ind w:firstLine="420"/>
        <w:rPr>
          <w:sz w:val="21"/>
          <w:szCs w:val="21"/>
        </w:rPr>
      </w:pPr>
      <w:r>
        <w:rPr>
          <w:rFonts w:hint="eastAsia"/>
          <w:sz w:val="21"/>
          <w:szCs w:val="21"/>
        </w:rPr>
        <w:t>33、工作日：指上海证券交易所、深圳证券交易所及相关期货交易所的正常交易日</w:t>
      </w:r>
    </w:p>
    <w:p>
      <w:pPr>
        <w:pStyle w:val="7"/>
        <w:spacing w:before="0" w:beforeAutospacing="0" w:after="0" w:afterAutospacing="0" w:line="360" w:lineRule="auto"/>
        <w:ind w:firstLine="420"/>
        <w:rPr>
          <w:sz w:val="21"/>
          <w:szCs w:val="21"/>
        </w:rPr>
      </w:pPr>
      <w:r>
        <w:rPr>
          <w:rFonts w:hint="eastAsia"/>
          <w:sz w:val="21"/>
          <w:szCs w:val="21"/>
        </w:rPr>
        <w:t>34、T日：指销售机构在规定时间受理投资人申购、赎回或其他业务申请的开放日</w:t>
      </w:r>
    </w:p>
    <w:p>
      <w:pPr>
        <w:pStyle w:val="7"/>
        <w:spacing w:before="0" w:beforeAutospacing="0" w:after="0" w:afterAutospacing="0" w:line="360" w:lineRule="auto"/>
        <w:ind w:firstLine="420"/>
        <w:rPr>
          <w:sz w:val="21"/>
          <w:szCs w:val="21"/>
        </w:rPr>
      </w:pPr>
      <w:r>
        <w:rPr>
          <w:rFonts w:hint="eastAsia"/>
          <w:sz w:val="21"/>
          <w:szCs w:val="21"/>
        </w:rPr>
        <w:t>35、T+n日：指自T日起第n个工作日（不包含T日），n为自然数</w:t>
      </w:r>
    </w:p>
    <w:p>
      <w:pPr>
        <w:pStyle w:val="7"/>
        <w:spacing w:before="0" w:beforeAutospacing="0" w:after="0" w:afterAutospacing="0" w:line="360" w:lineRule="auto"/>
        <w:ind w:firstLine="420"/>
        <w:rPr>
          <w:sz w:val="21"/>
          <w:szCs w:val="21"/>
        </w:rPr>
      </w:pPr>
      <w:r>
        <w:rPr>
          <w:rFonts w:hint="eastAsia"/>
          <w:sz w:val="21"/>
          <w:szCs w:val="21"/>
        </w:rPr>
        <w:t>36、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w:t>
      </w:r>
    </w:p>
    <w:p>
      <w:pPr>
        <w:pStyle w:val="7"/>
        <w:spacing w:before="0" w:beforeAutospacing="0" w:after="0" w:afterAutospacing="0" w:line="360" w:lineRule="auto"/>
        <w:ind w:firstLine="420"/>
        <w:rPr>
          <w:sz w:val="21"/>
          <w:szCs w:val="21"/>
        </w:rPr>
      </w:pPr>
      <w:r>
        <w:rPr>
          <w:rFonts w:hint="eastAsia"/>
          <w:sz w:val="21"/>
          <w:szCs w:val="21"/>
        </w:rPr>
        <w:t>37、开放时间：指开放日基金接受申购、赎回或其他交易的时间段</w:t>
      </w:r>
    </w:p>
    <w:p>
      <w:pPr>
        <w:pStyle w:val="7"/>
        <w:spacing w:before="0" w:beforeAutospacing="0" w:after="0" w:afterAutospacing="0" w:line="360" w:lineRule="auto"/>
        <w:ind w:firstLine="420"/>
        <w:rPr>
          <w:sz w:val="21"/>
          <w:szCs w:val="21"/>
        </w:rPr>
      </w:pPr>
      <w:r>
        <w:rPr>
          <w:rFonts w:hint="eastAsia"/>
          <w:sz w:val="21"/>
          <w:szCs w:val="21"/>
        </w:rPr>
        <w:t>38、《业务规则》：指《博时基金管理有限公司开放式基金业务规则》，是规范基金管理人所管理的开放式证券投资基金登记方面的业务规则，由基金管理人、销售机构和投资人共同遵守</w:t>
      </w:r>
    </w:p>
    <w:p>
      <w:pPr>
        <w:pStyle w:val="7"/>
        <w:spacing w:before="0" w:beforeAutospacing="0" w:after="0" w:afterAutospacing="0" w:line="360" w:lineRule="auto"/>
        <w:ind w:firstLine="420"/>
        <w:rPr>
          <w:sz w:val="21"/>
          <w:szCs w:val="21"/>
        </w:rPr>
      </w:pPr>
      <w:r>
        <w:rPr>
          <w:rFonts w:hint="eastAsia"/>
          <w:sz w:val="21"/>
          <w:szCs w:val="21"/>
        </w:rPr>
        <w:t>39、认购：指在基金募集期内，投资人根据基金合同和招募说明书的规定，申请购买基金份额的行为</w:t>
      </w:r>
    </w:p>
    <w:p>
      <w:pPr>
        <w:pStyle w:val="7"/>
        <w:spacing w:before="0" w:beforeAutospacing="0" w:after="0" w:afterAutospacing="0" w:line="360" w:lineRule="auto"/>
        <w:ind w:firstLine="420"/>
        <w:rPr>
          <w:sz w:val="21"/>
          <w:szCs w:val="21"/>
        </w:rPr>
      </w:pPr>
      <w:r>
        <w:rPr>
          <w:rFonts w:hint="eastAsia"/>
          <w:sz w:val="21"/>
          <w:szCs w:val="21"/>
        </w:rPr>
        <w:t>40、申购：指基金合同生效后，投资人根据基金合同和招募说明书的规定，申请购买基金份额的行为</w:t>
      </w:r>
    </w:p>
    <w:p>
      <w:pPr>
        <w:pStyle w:val="7"/>
        <w:spacing w:before="0" w:beforeAutospacing="0" w:after="0" w:afterAutospacing="0" w:line="360" w:lineRule="auto"/>
        <w:ind w:firstLine="420"/>
        <w:rPr>
          <w:sz w:val="21"/>
          <w:szCs w:val="21"/>
        </w:rPr>
      </w:pPr>
      <w:r>
        <w:rPr>
          <w:rFonts w:hint="eastAsia"/>
          <w:sz w:val="21"/>
          <w:szCs w:val="21"/>
        </w:rPr>
        <w:t>41、赎回：指基金合同生效后，基金份额持有人按基金合同和招募说明书规定的条件，要求将基金份额兑换为现金的行为</w:t>
      </w:r>
    </w:p>
    <w:p>
      <w:pPr>
        <w:pStyle w:val="7"/>
        <w:spacing w:before="0" w:beforeAutospacing="0" w:after="0" w:afterAutospacing="0" w:line="360" w:lineRule="auto"/>
        <w:ind w:firstLine="420"/>
        <w:rPr>
          <w:sz w:val="21"/>
          <w:szCs w:val="21"/>
        </w:rPr>
      </w:pPr>
      <w:r>
        <w:rPr>
          <w:rFonts w:hint="eastAsia"/>
          <w:sz w:val="21"/>
          <w:szCs w:val="21"/>
        </w:rPr>
        <w:t>42、基金转换：指基金份额持有人按照基金合同和基金管理人届时有效公告规定的条件，申请将其持有基金管理人管理的、某一基金的基金份额转换为基金管理人管理的其他基金基金份额的行为</w:t>
      </w:r>
    </w:p>
    <w:p>
      <w:pPr>
        <w:pStyle w:val="7"/>
        <w:spacing w:before="0" w:beforeAutospacing="0" w:after="0" w:afterAutospacing="0" w:line="360" w:lineRule="auto"/>
        <w:ind w:firstLine="420"/>
        <w:rPr>
          <w:sz w:val="21"/>
          <w:szCs w:val="21"/>
        </w:rPr>
      </w:pPr>
      <w:r>
        <w:rPr>
          <w:rFonts w:hint="eastAsia"/>
          <w:sz w:val="21"/>
          <w:szCs w:val="21"/>
        </w:rPr>
        <w:t>43、转托管：指基金份额持有人在本基金的不同销售机构之间实施的变更所持基金份额销售机构的操作</w:t>
      </w:r>
    </w:p>
    <w:p>
      <w:pPr>
        <w:pStyle w:val="7"/>
        <w:spacing w:before="0" w:beforeAutospacing="0" w:after="0" w:afterAutospacing="0" w:line="360" w:lineRule="auto"/>
        <w:ind w:firstLine="420"/>
        <w:rPr>
          <w:sz w:val="21"/>
          <w:szCs w:val="21"/>
        </w:rPr>
      </w:pPr>
      <w:r>
        <w:rPr>
          <w:rFonts w:hint="eastAsia"/>
          <w:sz w:val="21"/>
          <w:szCs w:val="21"/>
        </w:rPr>
        <w:t>44、定期定额投资计划：指投资人通过有关销售机构提出申请，约定每期申购日、扣款金额及扣款方式，由销售机构于每期约定扣款日在投资人指定银行账户内自动完成扣款及受理基金申购申请的一种投资方式</w:t>
      </w:r>
    </w:p>
    <w:p>
      <w:pPr>
        <w:pStyle w:val="7"/>
        <w:spacing w:before="0" w:beforeAutospacing="0" w:after="0" w:afterAutospacing="0" w:line="360" w:lineRule="auto"/>
        <w:ind w:firstLine="420"/>
        <w:rPr>
          <w:sz w:val="21"/>
          <w:szCs w:val="21"/>
        </w:rPr>
      </w:pPr>
      <w:r>
        <w:rPr>
          <w:rFonts w:hint="eastAsia"/>
          <w:sz w:val="21"/>
          <w:szCs w:val="21"/>
        </w:rPr>
        <w:t>45、巨额赎回：指本基金单个开放日，基金净赎回申请（赎回申请份额总数加上基金转换中转出申请份额总数后扣除申购申请份额总数及基金转换中转入申请份额总数后的余额）超过上一工作日基金总份额的</w:t>
      </w:r>
      <w:bookmarkStart w:id="20" w:name="field_49_mintredeemscale_1"/>
      <w:r>
        <w:rPr>
          <w:sz w:val="21"/>
          <w:szCs w:val="21"/>
        </w:rPr>
        <w:t>10</w:t>
      </w:r>
      <w:bookmarkEnd w:id="20"/>
      <w:r>
        <w:rPr>
          <w:rFonts w:hint="eastAsia"/>
          <w:sz w:val="21"/>
          <w:szCs w:val="21"/>
        </w:rPr>
        <w:t>%</w:t>
      </w:r>
    </w:p>
    <w:p>
      <w:pPr>
        <w:pStyle w:val="7"/>
        <w:spacing w:before="0" w:beforeAutospacing="0" w:after="0" w:afterAutospacing="0" w:line="360" w:lineRule="auto"/>
        <w:ind w:firstLine="420"/>
        <w:rPr>
          <w:sz w:val="21"/>
          <w:szCs w:val="21"/>
        </w:rPr>
      </w:pPr>
      <w:r>
        <w:rPr>
          <w:rFonts w:hint="eastAsia"/>
          <w:sz w:val="21"/>
          <w:szCs w:val="21"/>
        </w:rPr>
        <w:t>46、元：指人民币元</w:t>
      </w:r>
    </w:p>
    <w:p>
      <w:pPr>
        <w:pStyle w:val="7"/>
        <w:spacing w:before="0" w:beforeAutospacing="0" w:after="0" w:afterAutospacing="0" w:line="360" w:lineRule="auto"/>
        <w:ind w:firstLine="420"/>
        <w:rPr>
          <w:sz w:val="21"/>
          <w:szCs w:val="21"/>
        </w:rPr>
      </w:pPr>
      <w:r>
        <w:rPr>
          <w:rFonts w:hint="eastAsia"/>
          <w:sz w:val="21"/>
          <w:szCs w:val="21"/>
        </w:rPr>
        <w:t>47、基金收益：指基金投资所得红利、股息、债券利息、买卖证券价差、证券持有期间的公允价值变动、银行存款利息、已实现的其他合法收入及因运用基金财产带来的成本和费用的节约</w:t>
      </w:r>
    </w:p>
    <w:p>
      <w:pPr>
        <w:pStyle w:val="7"/>
        <w:spacing w:before="0" w:beforeAutospacing="0" w:after="0" w:afterAutospacing="0" w:line="360" w:lineRule="auto"/>
        <w:ind w:firstLine="420"/>
        <w:rPr>
          <w:sz w:val="21"/>
          <w:szCs w:val="21"/>
        </w:rPr>
      </w:pPr>
      <w:r>
        <w:rPr>
          <w:rFonts w:hint="eastAsia"/>
          <w:sz w:val="21"/>
          <w:szCs w:val="21"/>
        </w:rPr>
        <w:t>48、基金资产总值：指基金拥有的各类有价证券、银行存款本息、基金应收款项及其他资产的价值总和</w:t>
      </w:r>
    </w:p>
    <w:p>
      <w:pPr>
        <w:pStyle w:val="7"/>
        <w:spacing w:before="0" w:beforeAutospacing="0" w:after="0" w:afterAutospacing="0" w:line="360" w:lineRule="auto"/>
        <w:ind w:firstLine="420"/>
        <w:rPr>
          <w:sz w:val="21"/>
          <w:szCs w:val="21"/>
        </w:rPr>
      </w:pPr>
      <w:r>
        <w:rPr>
          <w:rFonts w:hint="eastAsia"/>
          <w:sz w:val="21"/>
          <w:szCs w:val="21"/>
        </w:rPr>
        <w:t>49、基金资产净值：指基金资产总值减去基金负债后的价值</w:t>
      </w:r>
    </w:p>
    <w:p>
      <w:pPr>
        <w:pStyle w:val="7"/>
        <w:spacing w:before="0" w:beforeAutospacing="0" w:after="0" w:afterAutospacing="0" w:line="360" w:lineRule="auto"/>
        <w:ind w:firstLine="420"/>
        <w:rPr>
          <w:sz w:val="21"/>
          <w:szCs w:val="21"/>
        </w:rPr>
      </w:pPr>
      <w:r>
        <w:rPr>
          <w:rFonts w:hint="eastAsia"/>
          <w:sz w:val="21"/>
          <w:szCs w:val="21"/>
        </w:rPr>
        <w:t>50、基金份额净值：指计算日基金资产净值除以计算日基金份额总数</w:t>
      </w:r>
    </w:p>
    <w:p>
      <w:pPr>
        <w:pStyle w:val="7"/>
        <w:spacing w:before="0" w:beforeAutospacing="0" w:after="0" w:afterAutospacing="0" w:line="360" w:lineRule="auto"/>
        <w:ind w:firstLine="420"/>
        <w:rPr>
          <w:sz w:val="21"/>
          <w:szCs w:val="21"/>
        </w:rPr>
      </w:pPr>
      <w:r>
        <w:rPr>
          <w:rFonts w:hint="eastAsia"/>
          <w:sz w:val="21"/>
          <w:szCs w:val="21"/>
        </w:rPr>
        <w:t>51、基金资产估值：指计算评估基金资产和负债的价值，以确定基金资产净值和基金份额净值的过程</w:t>
      </w:r>
    </w:p>
    <w:p>
      <w:pPr>
        <w:pStyle w:val="7"/>
        <w:spacing w:before="0" w:beforeAutospacing="0" w:after="0" w:afterAutospacing="0" w:line="360" w:lineRule="auto"/>
        <w:ind w:firstLine="420"/>
        <w:rPr>
          <w:sz w:val="21"/>
          <w:szCs w:val="21"/>
        </w:rPr>
      </w:pPr>
      <w:r>
        <w:rPr>
          <w:rFonts w:hint="eastAsia"/>
          <w:sz w:val="21"/>
          <w:szCs w:val="21"/>
        </w:rPr>
        <w:t>52、基金份额分类：指本基金分设两类基金份额：A类基金份额和C类基金份额。两类基金份额分设不同的基金代码，分别计算基金份额净值，计算公式为计算日各类别基金资产净值除以计算日发售在外的该类别基金份额总数</w:t>
      </w:r>
    </w:p>
    <w:p>
      <w:pPr>
        <w:pStyle w:val="7"/>
        <w:spacing w:before="0" w:beforeAutospacing="0" w:after="0" w:afterAutospacing="0" w:line="360" w:lineRule="auto"/>
        <w:ind w:firstLine="420"/>
        <w:rPr>
          <w:sz w:val="21"/>
          <w:szCs w:val="21"/>
        </w:rPr>
      </w:pPr>
      <w:r>
        <w:rPr>
          <w:rFonts w:hint="eastAsia"/>
          <w:sz w:val="21"/>
          <w:szCs w:val="21"/>
        </w:rPr>
        <w:t>53、A类基金份额：指在投资者认购、申购时收取认购、申购费用，在赎回时根据持有期限收取赎回费用，但不从本类别基金资产中计提销售服务费的基金份额类别</w:t>
      </w:r>
    </w:p>
    <w:p>
      <w:pPr>
        <w:pStyle w:val="7"/>
        <w:spacing w:before="0" w:beforeAutospacing="0" w:after="0" w:afterAutospacing="0" w:line="360" w:lineRule="auto"/>
        <w:ind w:firstLine="420"/>
        <w:rPr>
          <w:sz w:val="21"/>
          <w:szCs w:val="21"/>
        </w:rPr>
      </w:pPr>
      <w:r>
        <w:rPr>
          <w:rFonts w:hint="eastAsia"/>
          <w:sz w:val="21"/>
          <w:szCs w:val="21"/>
        </w:rPr>
        <w:t>54、C类基金份额：指在投资者认购、申购时不收取认购、申购费用，在赎回时根据持有期限收取赎回费用，且从本类别基金资产中计提销售服务费的基金份额类别</w:t>
      </w:r>
    </w:p>
    <w:p>
      <w:pPr>
        <w:pStyle w:val="7"/>
        <w:spacing w:before="0" w:beforeAutospacing="0" w:after="0" w:afterAutospacing="0" w:line="360" w:lineRule="auto"/>
        <w:ind w:firstLine="420"/>
        <w:rPr>
          <w:sz w:val="21"/>
          <w:szCs w:val="21"/>
        </w:rPr>
      </w:pPr>
      <w:r>
        <w:rPr>
          <w:rFonts w:hint="eastAsia"/>
          <w:sz w:val="21"/>
          <w:szCs w:val="21"/>
        </w:rPr>
        <w:t>55、销售服务费：指从基金财产中计提的，用于本基金市场推广、销售以及基金份额持有人服务的费用</w:t>
      </w:r>
    </w:p>
    <w:p>
      <w:pPr>
        <w:pStyle w:val="7"/>
        <w:spacing w:before="0" w:beforeAutospacing="0" w:after="0" w:afterAutospacing="0" w:line="360" w:lineRule="auto"/>
        <w:ind w:firstLine="420"/>
        <w:rPr>
          <w:sz w:val="21"/>
          <w:szCs w:val="21"/>
        </w:rPr>
      </w:pPr>
      <w:r>
        <w:rPr>
          <w:rFonts w:hint="eastAsia"/>
          <w:sz w:val="21"/>
          <w:szCs w:val="21"/>
        </w:rPr>
        <w:t>56、港股通：指内地投资者委托内地证券公司，经由证券交易所或经中国证监会认可的机构设立的证券交易服务公司，向香港联合交易所有限公司进行申报，买卖规定范围内的香港联合交易所上市的股票</w:t>
      </w:r>
    </w:p>
    <w:p>
      <w:pPr>
        <w:pStyle w:val="7"/>
        <w:spacing w:before="0" w:beforeAutospacing="0" w:after="0" w:afterAutospacing="0" w:line="360" w:lineRule="auto"/>
        <w:ind w:firstLine="420"/>
        <w:rPr>
          <w:sz w:val="21"/>
          <w:szCs w:val="21"/>
        </w:rPr>
      </w:pPr>
      <w:r>
        <w:rPr>
          <w:rFonts w:hint="eastAsia"/>
          <w:sz w:val="21"/>
          <w:szCs w:val="21"/>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pStyle w:val="7"/>
        <w:spacing w:before="0" w:beforeAutospacing="0" w:after="0" w:afterAutospacing="0" w:line="360" w:lineRule="auto"/>
        <w:ind w:firstLine="420"/>
        <w:rPr>
          <w:sz w:val="21"/>
          <w:szCs w:val="21"/>
        </w:rPr>
      </w:pPr>
      <w:r>
        <w:rPr>
          <w:rFonts w:hint="eastAsia"/>
          <w:sz w:val="21"/>
          <w:szCs w:val="21"/>
        </w:rPr>
        <w:t>58、摆动定价机制：指当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pStyle w:val="7"/>
        <w:spacing w:before="0" w:beforeAutospacing="0" w:after="0" w:afterAutospacing="0" w:line="360" w:lineRule="auto"/>
        <w:ind w:firstLine="420"/>
        <w:rPr>
          <w:sz w:val="21"/>
          <w:szCs w:val="21"/>
        </w:rPr>
      </w:pPr>
      <w:r>
        <w:rPr>
          <w:rFonts w:hint="eastAsia"/>
          <w:sz w:val="21"/>
          <w:szCs w:val="21"/>
        </w:rPr>
        <w:t>59、转融通证券出借业务：指基金以一定的费率通过证券交易所综合业务平台向中国证券金融股份有限公司（以下简称证券金融公司）出借证券，证券金融公司到期归还所借证券及相应权益补偿并支付费用的业务</w:t>
      </w:r>
    </w:p>
    <w:p>
      <w:pPr>
        <w:pStyle w:val="7"/>
        <w:spacing w:before="0" w:beforeAutospacing="0" w:after="0" w:afterAutospacing="0" w:line="360" w:lineRule="auto"/>
        <w:ind w:firstLine="420"/>
        <w:rPr>
          <w:sz w:val="21"/>
          <w:szCs w:val="21"/>
        </w:rPr>
      </w:pPr>
      <w:r>
        <w:rPr>
          <w:rFonts w:hint="eastAsia"/>
          <w:sz w:val="21"/>
          <w:szCs w:val="21"/>
        </w:rPr>
        <w:t>60、规定媒介：指符合中国证监会规定条件的用以进行信息披露的全国性报刊及《信息披露办法》规定的互联网网站（包括基金管理人网站、基金托管人网站、中国证监会基金电子披露网站）等媒介</w:t>
      </w:r>
    </w:p>
    <w:p>
      <w:pPr>
        <w:pStyle w:val="7"/>
        <w:spacing w:before="0" w:beforeAutospacing="0" w:after="0" w:afterAutospacing="0" w:line="360" w:lineRule="auto"/>
        <w:ind w:firstLine="420"/>
        <w:rPr>
          <w:sz w:val="21"/>
          <w:szCs w:val="21"/>
        </w:rPr>
      </w:pPr>
      <w:r>
        <w:rPr>
          <w:rFonts w:hint="eastAsia"/>
          <w:sz w:val="21"/>
          <w:szCs w:val="21"/>
        </w:rPr>
        <w:t>61、中国法律：指中华人民共和国法律，就基金合同而言，不包括香港特别行政区、澳门特别行政区和台湾地区法律</w:t>
      </w:r>
    </w:p>
    <w:p>
      <w:pPr>
        <w:pStyle w:val="7"/>
        <w:spacing w:before="0" w:beforeAutospacing="0" w:after="0" w:afterAutospacing="0" w:line="360" w:lineRule="auto"/>
        <w:ind w:firstLine="420"/>
        <w:rPr>
          <w:sz w:val="21"/>
          <w:szCs w:val="21"/>
        </w:rPr>
      </w:pPr>
      <w:r>
        <w:rPr>
          <w:rFonts w:hint="eastAsia"/>
          <w:sz w:val="21"/>
          <w:szCs w:val="21"/>
        </w:rPr>
        <w:t>62、不可抗力：指基金合同当事人不能预见、不能避免且不能克服的客观事件</w:t>
      </w:r>
    </w:p>
    <w:p>
      <w:pPr>
        <w:pStyle w:val="7"/>
        <w:spacing w:before="0" w:beforeAutospacing="0" w:after="0" w:afterAutospacing="0" w:line="360" w:lineRule="auto"/>
        <w:ind w:firstLine="420"/>
        <w:rPr>
          <w:sz w:val="21"/>
          <w:szCs w:val="21"/>
        </w:rPr>
      </w:pPr>
      <w:r>
        <w:rPr>
          <w:rFonts w:hint="eastAsia"/>
          <w:sz w:val="21"/>
          <w:szCs w:val="21"/>
        </w:rPr>
        <w:t>63、《指数基金指引》：指中国证监会2021年1月22日颁布、同年2月1日实施的《公开募集证券投资基金运作指引第3号——指数基金指引》及颁布机关对其不时做出的修订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64、发起资金：指基金管理人的股东资金、基金管理人固有资金、基金管理人高级管理人员或基金经理（指基金管理人员工中依法具有基金经理资格者，包括但可能不限于本基金的基金经理，下同）等人员参与认购的资金</w:t>
      </w:r>
    </w:p>
    <w:p>
      <w:pPr>
        <w:pStyle w:val="7"/>
        <w:spacing w:before="0" w:beforeAutospacing="0" w:after="0" w:afterAutospacing="0" w:line="360" w:lineRule="auto"/>
        <w:ind w:firstLine="420"/>
        <w:rPr>
          <w:sz w:val="21"/>
          <w:szCs w:val="21"/>
        </w:rPr>
      </w:pPr>
      <w:r>
        <w:rPr>
          <w:rFonts w:hint="eastAsia"/>
          <w:sz w:val="21"/>
          <w:szCs w:val="21"/>
        </w:rPr>
        <w:t>65、发起资金提供方：指以发起资金认购本基金且承诺以发起资金认购的基金份额持有期限不少于3年的基金管理人股东、基金管理人、基金管理人的高级管理人员及基金经理等人员</w:t>
      </w:r>
    </w:p>
    <w:p>
      <w:pPr>
        <w:pStyle w:val="7"/>
        <w:spacing w:before="0" w:beforeAutospacing="0" w:after="0" w:afterAutospacing="0" w:line="360" w:lineRule="auto"/>
        <w:ind w:firstLine="420"/>
        <w:rPr>
          <w:sz w:val="21"/>
          <w:szCs w:val="21"/>
        </w:rPr>
      </w:pPr>
      <w:r>
        <w:rPr>
          <w:rFonts w:hint="eastAsia"/>
          <w:sz w:val="21"/>
          <w:szCs w:val="21"/>
        </w:rPr>
        <w:t>66、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pPr>
        <w:pStyle w:val="7"/>
        <w:spacing w:before="0" w:beforeAutospacing="0" w:after="0" w:afterAutospacing="0" w:line="360" w:lineRule="auto"/>
        <w:ind w:firstLine="420"/>
        <w:rPr>
          <w:sz w:val="21"/>
          <w:szCs w:val="21"/>
        </w:rPr>
      </w:pPr>
      <w:r>
        <w:rPr>
          <w:rFonts w:hint="eastAsia"/>
          <w:sz w:val="21"/>
          <w:szCs w:val="21"/>
        </w:rPr>
        <w:t>67、特定资产：包括：（1）无可参考的活跃市场价格且采用估值技术仍导致公允价值存在重大不确定性的资产；（2）按摊余成本计量且计提资产减值准备仍导致资产价值存在</w:t>
      </w:r>
      <w:bookmarkStart w:id="21" w:name="chapter_level1_4_49_section_1_end"/>
      <w:bookmarkEnd w:id="21"/>
      <w:r>
        <w:rPr>
          <w:rFonts w:hint="eastAsia"/>
          <w:sz w:val="21"/>
          <w:szCs w:val="21"/>
        </w:rPr>
        <w:t>重大不确定性的资产；（3）其他资产价值存在重大不确定性的资产</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2" w:name="_Toc207939899"/>
      <w:bookmarkStart w:id="23" w:name="chapter_level1_5_53"/>
      <w:r>
        <w:rPr>
          <w:rFonts w:hint="eastAsia" w:ascii="宋体" w:hAnsi="宋体" w:eastAsia="宋体"/>
          <w:sz w:val="30"/>
        </w:rPr>
        <w:t>第三部分  基金管理人</w:t>
      </w:r>
      <w:bookmarkEnd w:id="22"/>
      <w:bookmarkEnd w:id="23"/>
    </w:p>
    <w:p>
      <w:pPr>
        <w:pStyle w:val="7"/>
        <w:spacing w:before="0" w:beforeAutospacing="0" w:after="0" w:afterAutospacing="0" w:line="360" w:lineRule="auto"/>
        <w:ind w:firstLine="420"/>
        <w:rPr>
          <w:sz w:val="21"/>
          <w:szCs w:val="21"/>
        </w:rPr>
      </w:pPr>
      <w:bookmarkStart w:id="24" w:name="chapter_level1_5_53_section_1"/>
      <w:bookmarkEnd w:id="24"/>
      <w:r>
        <w:rPr>
          <w:rStyle w:val="11"/>
          <w:rFonts w:hint="eastAsia"/>
          <w:sz w:val="21"/>
          <w:szCs w:val="21"/>
        </w:rPr>
        <w:t>一、基金管理人概况</w:t>
      </w:r>
    </w:p>
    <w:p>
      <w:pPr>
        <w:pStyle w:val="7"/>
        <w:spacing w:before="0" w:beforeAutospacing="0" w:after="0" w:afterAutospacing="0" w:line="360" w:lineRule="auto"/>
        <w:ind w:firstLine="420"/>
        <w:rPr>
          <w:sz w:val="21"/>
          <w:szCs w:val="21"/>
        </w:rPr>
      </w:pPr>
      <w:bookmarkStart w:id="25" w:name="field_0_managercompanyinfo_1_start"/>
      <w:bookmarkEnd w:id="25"/>
      <w:r>
        <w:rPr>
          <w:rFonts w:hint="eastAsia"/>
          <w:sz w:val="21"/>
          <w:szCs w:val="21"/>
        </w:rPr>
        <w:t xml:space="preserve">名称： 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法定代表人：江向阳 </w:t>
      </w:r>
    </w:p>
    <w:p>
      <w:pPr>
        <w:pStyle w:val="7"/>
        <w:spacing w:before="0" w:beforeAutospacing="0" w:after="0" w:afterAutospacing="0" w:line="360" w:lineRule="auto"/>
        <w:ind w:firstLine="420"/>
        <w:rPr>
          <w:sz w:val="21"/>
          <w:szCs w:val="21"/>
        </w:rPr>
      </w:pPr>
      <w:r>
        <w:rPr>
          <w:rFonts w:hint="eastAsia"/>
          <w:sz w:val="21"/>
          <w:szCs w:val="21"/>
        </w:rPr>
        <w:t xml:space="preserve">成立时间： 1998年7月13日 </w:t>
      </w:r>
    </w:p>
    <w:p>
      <w:pPr>
        <w:pStyle w:val="7"/>
        <w:spacing w:before="0" w:beforeAutospacing="0" w:after="0" w:afterAutospacing="0" w:line="360" w:lineRule="auto"/>
        <w:ind w:firstLine="420"/>
        <w:rPr>
          <w:sz w:val="21"/>
          <w:szCs w:val="21"/>
        </w:rPr>
      </w:pPr>
      <w:r>
        <w:rPr>
          <w:rFonts w:hint="eastAsia"/>
          <w:sz w:val="21"/>
          <w:szCs w:val="21"/>
        </w:rPr>
        <w:t xml:space="preserve">注册资本： 2.5亿元人民币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 持续经营 </w:t>
      </w:r>
    </w:p>
    <w:p>
      <w:pPr>
        <w:pStyle w:val="7"/>
        <w:spacing w:before="0" w:beforeAutospacing="0" w:after="0" w:afterAutospacing="0" w:line="360" w:lineRule="auto"/>
        <w:ind w:firstLine="420"/>
        <w:rPr>
          <w:sz w:val="21"/>
          <w:szCs w:val="21"/>
        </w:rPr>
      </w:pPr>
      <w:r>
        <w:rPr>
          <w:rFonts w:hint="eastAsia"/>
          <w:sz w:val="21"/>
          <w:szCs w:val="21"/>
        </w:rPr>
        <w:t xml:space="preserve">联系人：   王济帆 </w:t>
      </w:r>
    </w:p>
    <w:p>
      <w:pPr>
        <w:pStyle w:val="7"/>
        <w:spacing w:before="0" w:beforeAutospacing="0" w:after="0" w:afterAutospacing="0" w:line="360" w:lineRule="auto"/>
        <w:ind w:firstLine="420"/>
        <w:rPr>
          <w:sz w:val="21"/>
          <w:szCs w:val="21"/>
        </w:rPr>
      </w:pPr>
      <w:r>
        <w:rPr>
          <w:rFonts w:hint="eastAsia"/>
          <w:sz w:val="21"/>
          <w:szCs w:val="21"/>
        </w:rPr>
        <w:t xml:space="preserve">联系电话： （0755）8316 9999 </w:t>
      </w:r>
    </w:p>
    <w:p>
      <w:pPr>
        <w:pStyle w:val="7"/>
        <w:spacing w:before="0" w:beforeAutospacing="0" w:after="0" w:afterAutospacing="0" w:line="360" w:lineRule="auto"/>
        <w:ind w:firstLine="420"/>
        <w:rPr>
          <w:sz w:val="21"/>
          <w:szCs w:val="21"/>
        </w:rPr>
      </w:pPr>
      <w:r>
        <w:rPr>
          <w:rFonts w:hint="eastAsia"/>
          <w:sz w:val="21"/>
          <w:szCs w:val="21"/>
        </w:rPr>
        <w:t xml:space="preserve">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 </w:t>
      </w:r>
    </w:p>
    <w:p>
      <w:pPr>
        <w:pStyle w:val="7"/>
        <w:spacing w:before="0" w:beforeAutospacing="0" w:after="0" w:afterAutospacing="0" w:line="360" w:lineRule="auto"/>
        <w:ind w:firstLine="420"/>
        <w:rPr>
          <w:sz w:val="21"/>
          <w:szCs w:val="21"/>
        </w:rPr>
      </w:pPr>
      <w:r>
        <w:rPr>
          <w:rFonts w:hint="eastAsia"/>
          <w:sz w:val="21"/>
          <w:szCs w:val="21"/>
        </w:rPr>
        <w:t xml:space="preserve">公司设立了投资决策委员会。投资决策委员会负责指导基金资产的运作、确定基本的投资策略和投资组合的原则。 </w:t>
      </w:r>
    </w:p>
    <w:p>
      <w:pPr>
        <w:pStyle w:val="7"/>
        <w:spacing w:before="0" w:beforeAutospacing="0" w:after="0" w:afterAutospacing="0" w:line="360" w:lineRule="auto"/>
        <w:ind w:firstLine="420"/>
        <w:rPr>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bookmarkStart w:id="26" w:name="field_0_managercompanyinfo_1_end"/>
      <w:bookmarkEnd w:id="26"/>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二、主要成员情况</w:t>
      </w:r>
    </w:p>
    <w:p>
      <w:pPr>
        <w:pStyle w:val="7"/>
        <w:spacing w:before="0" w:beforeAutospacing="0" w:after="0" w:afterAutospacing="0" w:line="360" w:lineRule="auto"/>
        <w:ind w:firstLine="420"/>
        <w:rPr>
          <w:sz w:val="21"/>
          <w:szCs w:val="21"/>
        </w:rPr>
      </w:pPr>
      <w:bookmarkStart w:id="27" w:name="field_0_managerpersoninfo_1_start"/>
      <w:bookmarkEnd w:id="27"/>
      <w:r>
        <w:rPr>
          <w:rFonts w:hint="eastAsia"/>
          <w:sz w:val="21"/>
          <w:szCs w:val="21"/>
        </w:rPr>
        <w:t xml:space="preserve">1、基金管理人董事会成员 </w:t>
      </w:r>
    </w:p>
    <w:p>
      <w:pPr>
        <w:pStyle w:val="7"/>
        <w:spacing w:before="0" w:beforeAutospacing="0" w:after="0" w:afterAutospacing="0" w:line="360" w:lineRule="auto"/>
        <w:ind w:firstLine="420"/>
        <w:rPr>
          <w:sz w:val="21"/>
          <w:szCs w:val="21"/>
        </w:rPr>
      </w:pPr>
      <w:r>
        <w:rPr>
          <w:rFonts w:hint="eastAsia"/>
          <w:sz w:val="21"/>
          <w:szCs w:val="21"/>
        </w:rPr>
        <w:t xml:space="preserve">江向阳先生，博士。中共党员，南开大学国际金融博士，清华大学金融媒体EMBA。1986-1990年就读于北京师范大学信息与情报学系，获学士学位；1994-1997年就读于中国政法大学研究生院，获法学硕士学位；2003-2006年，就读于南开大学国际经济研究所，获国际金融博士学位。1997年8月至2014年12月就职于中国证监会，历任办公厅、党办副主任兼新闻办（网信办）主任；中国证监会办公厅副巡视员；中国证监会深圳专员办处长、副专员；中国证监会期货监管部副处长、处长。2015年1月至7月，任招商局金融集团副总经理、博时基金管理有限公司党委副书记。2015年7月至2020年10月任博时基金管理有限公司总经理。自2020年1月9日至2020年4月15日代为履行博时基金董事长职务。自2023年11月10日至2024年5月24日代为履行博时基金管理有限公司总经理职务。自2020年4月1日起任博时基金管理有限公司党委书记。自2020年4月15日起，任博时基金管理有限公司董事长。 </w:t>
      </w:r>
    </w:p>
    <w:p>
      <w:pPr>
        <w:pStyle w:val="7"/>
        <w:spacing w:before="0" w:beforeAutospacing="0" w:after="0" w:afterAutospacing="0" w:line="360" w:lineRule="auto"/>
        <w:ind w:firstLine="420"/>
        <w:rPr>
          <w:sz w:val="21"/>
          <w:szCs w:val="21"/>
        </w:rPr>
      </w:pPr>
      <w:r>
        <w:rPr>
          <w:rFonts w:hint="eastAsia"/>
          <w:sz w:val="21"/>
          <w:szCs w:val="21"/>
        </w:rPr>
        <w:t xml:space="preserve">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 </w:t>
      </w:r>
    </w:p>
    <w:p>
      <w:pPr>
        <w:pStyle w:val="7"/>
        <w:spacing w:before="0" w:beforeAutospacing="0" w:after="0" w:afterAutospacing="0" w:line="360" w:lineRule="auto"/>
        <w:ind w:firstLine="420"/>
        <w:rPr>
          <w:sz w:val="21"/>
          <w:szCs w:val="21"/>
        </w:rPr>
      </w:pPr>
      <w:r>
        <w:rPr>
          <w:rFonts w:hint="eastAsia"/>
          <w:sz w:val="21"/>
          <w:szCs w:val="21"/>
        </w:rPr>
        <w:t xml:space="preserve">张东先生，硕士，总经理。1989年至2024年先后在中国银行、招商银行从事零售金融、财富业务和财务会计等工作。2024年加入博时基金管理有限公司，现任公司总经理。自2024年7月5日起，任博时基金管理有限公司董事。 </w:t>
      </w:r>
    </w:p>
    <w:p>
      <w:pPr>
        <w:pStyle w:val="7"/>
        <w:spacing w:before="0" w:beforeAutospacing="0" w:after="0" w:afterAutospacing="0" w:line="360" w:lineRule="auto"/>
        <w:ind w:firstLine="420"/>
        <w:rPr>
          <w:sz w:val="21"/>
          <w:szCs w:val="21"/>
        </w:rPr>
      </w:pPr>
      <w:r>
        <w:rPr>
          <w:rFonts w:hint="eastAsia"/>
          <w:sz w:val="21"/>
          <w:szCs w:val="21"/>
        </w:rPr>
        <w:t xml:space="preserve">罗立女士，毕业于中央财经大学经济学院，获经济学硕士学位，美国注册管理会计师，香港证券及投资学会高级从业资格，高级经济师。现任招商局集团财务部（产权部）部长，招商局国际财务有限公司总经理。历任中国外运长航集团财务部资金主管、中外运长航财务有限公司（现更名为招商局集团财务有限公司）结算部总经理、总经理助理、党委委员、招商局集团财务部（产权部）总经理助理、招商局国际财务有限公司副总经理。 </w:t>
      </w:r>
    </w:p>
    <w:p>
      <w:pPr>
        <w:pStyle w:val="7"/>
        <w:spacing w:before="0" w:beforeAutospacing="0" w:after="0" w:afterAutospacing="0" w:line="360" w:lineRule="auto"/>
        <w:ind w:firstLine="420"/>
        <w:rPr>
          <w:sz w:val="21"/>
          <w:szCs w:val="21"/>
        </w:rPr>
      </w:pPr>
      <w:r>
        <w:rPr>
          <w:rFonts w:hint="eastAsia"/>
          <w:sz w:val="21"/>
          <w:szCs w:val="21"/>
        </w:rPr>
        <w:t xml:space="preserve">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 </w:t>
      </w:r>
    </w:p>
    <w:p>
      <w:pPr>
        <w:pStyle w:val="7"/>
        <w:spacing w:before="0" w:beforeAutospacing="0" w:after="0" w:afterAutospacing="0" w:line="360" w:lineRule="auto"/>
        <w:ind w:firstLine="420"/>
        <w:rPr>
          <w:sz w:val="21"/>
          <w:szCs w:val="21"/>
        </w:rPr>
      </w:pPr>
      <w:r>
        <w:rPr>
          <w:rFonts w:hint="eastAsia"/>
          <w:sz w:val="21"/>
          <w:szCs w:val="21"/>
        </w:rPr>
        <w:t xml:space="preserve">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 </w:t>
      </w:r>
    </w:p>
    <w:p>
      <w:pPr>
        <w:pStyle w:val="7"/>
        <w:spacing w:before="0" w:beforeAutospacing="0" w:after="0" w:afterAutospacing="0" w:line="360" w:lineRule="auto"/>
        <w:ind w:firstLine="420"/>
        <w:rPr>
          <w:sz w:val="21"/>
          <w:szCs w:val="21"/>
        </w:rPr>
      </w:pPr>
      <w:r>
        <w:rPr>
          <w:rFonts w:hint="eastAsia"/>
          <w:sz w:val="21"/>
          <w:szCs w:val="21"/>
        </w:rPr>
        <w:t xml:space="preserve">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 </w:t>
      </w:r>
    </w:p>
    <w:p>
      <w:pPr>
        <w:pStyle w:val="7"/>
        <w:spacing w:before="0" w:beforeAutospacing="0" w:after="0" w:afterAutospacing="0" w:line="360" w:lineRule="auto"/>
        <w:ind w:firstLine="420"/>
        <w:rPr>
          <w:sz w:val="21"/>
          <w:szCs w:val="21"/>
        </w:rPr>
      </w:pPr>
      <w:r>
        <w:rPr>
          <w:rFonts w:hint="eastAsia"/>
          <w:sz w:val="21"/>
          <w:szCs w:val="21"/>
        </w:rPr>
        <w:t xml:space="preserve">陆海天先生，法学博士。现任香港理工大学内地发展处总监、可持续技术基金会会计及金融学教授。历任香港理工大学商学院副院长、会计及金融学院副院长、纽约大学斯特恩商学院客座研究教授。香港理工大学终身教授。 </w:t>
      </w:r>
    </w:p>
    <w:p>
      <w:pPr>
        <w:pStyle w:val="7"/>
        <w:spacing w:before="0" w:beforeAutospacing="0" w:after="0" w:afterAutospacing="0" w:line="360" w:lineRule="auto"/>
        <w:ind w:firstLine="420"/>
        <w:rPr>
          <w:sz w:val="21"/>
          <w:szCs w:val="21"/>
        </w:rPr>
      </w:pPr>
      <w:r>
        <w:rPr>
          <w:rFonts w:hint="eastAsia"/>
          <w:sz w:val="21"/>
          <w:szCs w:val="21"/>
        </w:rPr>
        <w:t xml:space="preserve">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 </w:t>
      </w:r>
    </w:p>
    <w:p>
      <w:pPr>
        <w:pStyle w:val="7"/>
        <w:spacing w:before="0" w:beforeAutospacing="0" w:after="0" w:afterAutospacing="0" w:line="360" w:lineRule="auto"/>
        <w:ind w:firstLine="420"/>
        <w:rPr>
          <w:sz w:val="21"/>
          <w:szCs w:val="21"/>
        </w:rPr>
      </w:pPr>
      <w:r>
        <w:rPr>
          <w:rFonts w:hint="eastAsia"/>
          <w:sz w:val="21"/>
          <w:szCs w:val="21"/>
        </w:rPr>
        <w:t xml:space="preserve">2、基金管理人监事会成员 </w:t>
      </w:r>
    </w:p>
    <w:p>
      <w:pPr>
        <w:pStyle w:val="7"/>
        <w:spacing w:before="0" w:beforeAutospacing="0" w:after="0" w:afterAutospacing="0" w:line="360" w:lineRule="auto"/>
        <w:ind w:firstLine="420"/>
        <w:rPr>
          <w:sz w:val="21"/>
          <w:szCs w:val="21"/>
        </w:rPr>
      </w:pPr>
      <w:r>
        <w:rPr>
          <w:rFonts w:hint="eastAsia"/>
          <w:sz w:val="21"/>
          <w:szCs w:val="21"/>
        </w:rPr>
        <w:t xml:space="preserve">胡艳君女士，经济师。本科毕业于中南财经政法大学财税系，取得学士学位；后取得中国财政科学研究院硕士学位。现任招商局集团有限公司财务部（产权部）副部长。历任招商局集团财务部总监，曾就职国家财政部。 </w:t>
      </w:r>
    </w:p>
    <w:p>
      <w:pPr>
        <w:pStyle w:val="7"/>
        <w:spacing w:before="0" w:beforeAutospacing="0" w:after="0" w:afterAutospacing="0" w:line="360" w:lineRule="auto"/>
        <w:ind w:firstLine="420"/>
        <w:rPr>
          <w:sz w:val="21"/>
          <w:szCs w:val="21"/>
        </w:rPr>
      </w:pPr>
      <w:r>
        <w:rPr>
          <w:rFonts w:hint="eastAsia"/>
          <w:sz w:val="21"/>
          <w:szCs w:val="21"/>
        </w:rPr>
        <w:t xml:space="preserve">蒋伟先生，硕士。2011年3月至2017年5月就职于中国长城资产管理公司，分别任办公室外事处一级业务员、业务副主管、业务主管。2017年5月至2020年7月就职于香港长城罗斯基金管理有限公司任行政总监/执行董事。2020年7月至2024年7月历任中国长城资产管理股份有限公司资产经营三部、资产经营六部副高级经理、一级业务主管。2024年7月至今任中国长城资产管理股份有限公司资产经营六部高级经理。 </w:t>
      </w:r>
    </w:p>
    <w:p>
      <w:pPr>
        <w:pStyle w:val="7"/>
        <w:spacing w:before="0" w:beforeAutospacing="0" w:after="0" w:afterAutospacing="0" w:line="360" w:lineRule="auto"/>
        <w:ind w:firstLine="420"/>
        <w:rPr>
          <w:rFonts w:hint="eastAsia"/>
          <w:sz w:val="21"/>
          <w:szCs w:val="21"/>
        </w:rPr>
      </w:pPr>
      <w:r>
        <w:rPr>
          <w:rFonts w:hint="eastAsia"/>
          <w:sz w:val="21"/>
          <w:szCs w:val="21"/>
        </w:rPr>
        <w:t>冯春宝先生，硕士。2006年至2009年于天津港生活服务中心国际物流分总司任综合管理员；2009年至2017年就职于天津港（集团）有限公司，历任办公室公文文书、招商部综合科综合管理员、副科长；招商一部综合科副科长、科长；2017年至2023年就职于天津港经济技术合作有限公司，历任股权管理部部长、投资管理部部长、投资运营部经理、党委副书记、副总经理；2023年至今就职于天津津港产业发展有限公司，曾任党委副书记，现任天津津港产业发展有限公司副总经理，天津港（集团）有限公司多元经营管理中心主任（兼）。</w:t>
      </w:r>
    </w:p>
    <w:p>
      <w:pPr>
        <w:pStyle w:val="7"/>
        <w:spacing w:before="0" w:beforeAutospacing="0" w:after="0" w:afterAutospacing="0" w:line="360" w:lineRule="auto"/>
        <w:ind w:firstLine="420"/>
        <w:rPr>
          <w:sz w:val="21"/>
          <w:szCs w:val="21"/>
        </w:rPr>
      </w:pPr>
      <w:r>
        <w:rPr>
          <w:rFonts w:hint="eastAsia"/>
          <w:sz w:val="21"/>
          <w:szCs w:val="21"/>
        </w:rPr>
        <w:t xml:space="preserve">车宏原先生，工学硕士。1985年至1989年在四川大学计算机系学习，获得学士学位。1989年至1992年在清华大学计算机系学习，获得硕士学位。1992年至1995年深圳市天元金融电子有限公司任技术部负责人，1995年至2000年在中国农业银行总行南方软件开发中心担任副总工程师，2001年至2003年在太极华清信息系统有限公司担任副总经理，2003年至2014年在景顺长城基金管理有限公司担任信息技术总监，2014年至2015年任中财国信（深圳）有限公司总经理，2015年11月加入博时基金管理有限公司，任信息技术部总经理。2022年3月16日起任董事总经理兼信息技术部总经理。2023年8月15日起任董事总经理兼信息技术部总经理、人工智能实验室主任。2024年4月2日起任首席数字官（总经理助理级）兼人工智能实验室主任。 </w:t>
      </w:r>
    </w:p>
    <w:p>
      <w:pPr>
        <w:pStyle w:val="7"/>
        <w:spacing w:before="0" w:beforeAutospacing="0" w:after="0" w:afterAutospacing="0" w:line="360" w:lineRule="auto"/>
        <w:ind w:firstLine="420"/>
        <w:rPr>
          <w:sz w:val="21"/>
          <w:szCs w:val="21"/>
        </w:rPr>
      </w:pPr>
      <w:r>
        <w:rPr>
          <w:rFonts w:hint="eastAsia"/>
          <w:sz w:val="21"/>
          <w:szCs w:val="21"/>
        </w:rPr>
        <w:t xml:space="preserve">严斌先生，硕士。1997年7月起先后在华侨城集团公司、博时基金管理有限公司工作。现任博时基金管理有限公司提质增效办主任。自2015年5月起，任博时基金管理有限公司监事。 </w:t>
      </w:r>
    </w:p>
    <w:p>
      <w:pPr>
        <w:pStyle w:val="7"/>
        <w:spacing w:before="0" w:beforeAutospacing="0" w:after="0" w:afterAutospacing="0" w:line="360" w:lineRule="auto"/>
        <w:ind w:firstLine="420"/>
        <w:rPr>
          <w:sz w:val="21"/>
          <w:szCs w:val="21"/>
        </w:rPr>
      </w:pPr>
      <w:r>
        <w:rPr>
          <w:rFonts w:hint="eastAsia"/>
          <w:sz w:val="21"/>
          <w:szCs w:val="21"/>
        </w:rPr>
        <w:t xml:space="preserve">何京京先生，硕士研究生，2004年8月至2006年3月在北京城建七建设工程有限公司工作，任会计、审计。2006年3月20日加入博时基金管理有限公司，任基金运作部基金清算会计。2013年7月1日起任基金运作部高级清算会计。2014年10月20日起任基金运作部TA资金清算组主管。2015年11月30日起任基金运作部副总经理兼TA资金清算组主管。2018年9月14日起任登记清算部总经理。2024年3月7日起任审计部总经理。 </w:t>
      </w:r>
    </w:p>
    <w:p>
      <w:pPr>
        <w:pStyle w:val="7"/>
        <w:spacing w:before="0" w:beforeAutospacing="0" w:after="0" w:afterAutospacing="0" w:line="360" w:lineRule="auto"/>
        <w:ind w:firstLine="420"/>
        <w:rPr>
          <w:sz w:val="21"/>
          <w:szCs w:val="21"/>
        </w:rPr>
      </w:pPr>
      <w:r>
        <w:rPr>
          <w:rFonts w:hint="eastAsia"/>
          <w:sz w:val="21"/>
          <w:szCs w:val="21"/>
        </w:rPr>
        <w:t xml:space="preserve">3、高级管理人员 </w:t>
      </w:r>
    </w:p>
    <w:p>
      <w:pPr>
        <w:pStyle w:val="7"/>
        <w:spacing w:before="0" w:beforeAutospacing="0" w:after="0" w:afterAutospacing="0" w:line="360" w:lineRule="auto"/>
        <w:ind w:firstLine="420"/>
        <w:rPr>
          <w:sz w:val="21"/>
          <w:szCs w:val="21"/>
        </w:rPr>
      </w:pPr>
      <w:r>
        <w:rPr>
          <w:rFonts w:hint="eastAsia"/>
          <w:sz w:val="21"/>
          <w:szCs w:val="21"/>
        </w:rPr>
        <w:t xml:space="preserve">江向阳先生，简历同上。 </w:t>
      </w:r>
    </w:p>
    <w:p>
      <w:pPr>
        <w:pStyle w:val="7"/>
        <w:spacing w:before="0" w:beforeAutospacing="0" w:after="0" w:afterAutospacing="0" w:line="360" w:lineRule="auto"/>
        <w:ind w:firstLine="420"/>
        <w:rPr>
          <w:sz w:val="21"/>
          <w:szCs w:val="21"/>
        </w:rPr>
      </w:pPr>
      <w:r>
        <w:rPr>
          <w:rFonts w:hint="eastAsia"/>
          <w:sz w:val="21"/>
          <w:szCs w:val="21"/>
        </w:rPr>
        <w:t xml:space="preserve">张东先生，简历同上。 </w:t>
      </w:r>
    </w:p>
    <w:p>
      <w:pPr>
        <w:pStyle w:val="7"/>
        <w:spacing w:before="0" w:beforeAutospacing="0" w:after="0" w:afterAutospacing="0" w:line="360" w:lineRule="auto"/>
        <w:ind w:firstLine="420"/>
        <w:rPr>
          <w:sz w:val="21"/>
          <w:szCs w:val="21"/>
        </w:rPr>
      </w:pPr>
      <w:r>
        <w:rPr>
          <w:rFonts w:hint="eastAsia"/>
          <w:sz w:val="21"/>
          <w:szCs w:val="21"/>
        </w:rPr>
        <w:t xml:space="preserve">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财富基金销售有限公司董事。 </w:t>
      </w:r>
    </w:p>
    <w:p>
      <w:pPr>
        <w:pStyle w:val="7"/>
        <w:spacing w:before="0" w:beforeAutospacing="0" w:after="0" w:afterAutospacing="0" w:line="360" w:lineRule="auto"/>
        <w:ind w:firstLine="420"/>
        <w:rPr>
          <w:sz w:val="21"/>
          <w:szCs w:val="21"/>
        </w:rPr>
      </w:pPr>
      <w:r>
        <w:rPr>
          <w:rFonts w:hint="eastAsia"/>
          <w:sz w:val="21"/>
          <w:szCs w:val="21"/>
        </w:rPr>
        <w:t xml:space="preserve">王德英先生，硕士，副总经理。1995年起先后在北京清华计算机公司任开发部经理、清华紫光股份公司CAD与信息事业部任总工程师。2000年加入博时基金管理有限公司，历任行政管理部副经理，电脑部副经理、信息技术部总经理。现任公司副总经理、首席信息官，主管IT、指数与量化投资、养老金等工作，兼任博时财富基金销售有限公司董事长和博时资本管理有限公司董事长。 </w:t>
      </w:r>
    </w:p>
    <w:p>
      <w:pPr>
        <w:pStyle w:val="7"/>
        <w:spacing w:before="0" w:beforeAutospacing="0" w:after="0" w:afterAutospacing="0" w:line="360" w:lineRule="auto"/>
        <w:ind w:firstLine="420"/>
        <w:rPr>
          <w:sz w:val="21"/>
          <w:szCs w:val="21"/>
        </w:rPr>
      </w:pPr>
      <w:r>
        <w:rPr>
          <w:rFonts w:hint="eastAsia"/>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w:t>
      </w:r>
      <w:bookmarkStart w:id="28" w:name="chapter_level1_5_53_section_1_end"/>
      <w:bookmarkEnd w:id="28"/>
      <w:r>
        <w:rPr>
          <w:rFonts w:hint="eastAsia"/>
          <w:sz w:val="21"/>
          <w:szCs w:val="21"/>
        </w:rPr>
        <w:t xml:space="preserve">资产管理有限公司合规总监。2024年加入博时基金管理有限公司，现任公司督察长。 </w:t>
      </w:r>
      <w:bookmarkStart w:id="29" w:name="field_0_managerpersoninfo_1_end"/>
      <w:bookmarkEnd w:id="29"/>
      <w:r>
        <w:rPr>
          <w:rFonts w:hint="eastAsia"/>
          <w:sz w:val="21"/>
          <w:szCs w:val="21"/>
        </w:rPr>
        <w:t xml:space="preserve"> </w:t>
      </w:r>
    </w:p>
    <w:p>
      <w:pPr>
        <w:pStyle w:val="7"/>
        <w:spacing w:before="0" w:beforeAutospacing="0" w:after="0" w:afterAutospacing="0" w:line="360" w:lineRule="auto"/>
        <w:ind w:firstLine="420"/>
        <w:rPr>
          <w:sz w:val="21"/>
          <w:szCs w:val="21"/>
        </w:rPr>
      </w:pPr>
      <w:bookmarkStart w:id="30" w:name="chapter_level1_5_53_section_2"/>
      <w:bookmarkEnd w:id="30"/>
      <w:r>
        <w:rPr>
          <w:rFonts w:hint="eastAsia"/>
          <w:sz w:val="21"/>
          <w:szCs w:val="21"/>
        </w:rPr>
        <w:t xml:space="preserve">4、本基金基金经理 </w:t>
      </w:r>
    </w:p>
    <w:p>
      <w:pPr>
        <w:pStyle w:val="7"/>
        <w:spacing w:before="0" w:beforeAutospacing="0" w:after="0" w:afterAutospacing="0" w:line="360" w:lineRule="auto"/>
        <w:ind w:firstLine="420"/>
        <w:rPr>
          <w:sz w:val="21"/>
          <w:szCs w:val="21"/>
        </w:rPr>
      </w:pPr>
      <w:bookmarkStart w:id="31" w:name="field_0_fundmanagerresume_1_start"/>
      <w:bookmarkEnd w:id="31"/>
      <w:r>
        <w:rPr>
          <w:rFonts w:hint="eastAsia"/>
          <w:sz w:val="21"/>
          <w:szCs w:val="21"/>
        </w:rPr>
        <w:t>王祥先生，硕士。2006年起先后在中粮期货、工商银行总行工作。2015年加入博时基金管理有限公司。历任基金经理助理、博时中证疫苗与生物技术交易型开放式指数证券投资基金(2022年11月8日-2024年9月20日)基金经理。现任博时黄金交易型开放式证券投资基金联接基金(2016年11月2日—至今)、上证自然资源交易型开放式指数证券投资基金(2016年11月2日—至今)、博时黄金交易型开放式证券投资基金(2016年11月2日—至今)、博时上证自然资源交易型开放式指数证券投资基金联接基金(2016年11月2日—至今)、博时中证光伏产业指数证券投资基金(2022年8月16日—至今)、博时中证农业主题指数型发起式证券投资基金(2022年12月13日—至今)、博时中证有色金属矿业主题指数证券投资基金(2023年5月16日—至今)、博时标普石油天然气勘探及生产精选行业指数型发起式证券投资基金（QDII）(2023年9月5日—至今)、博时中证基建工程指数型发起式证券投资基金(2024年3月19日—至今)、博时国证粮食产业指数型发起式证券投资基金(2024年4月9日—至今)、博时中证油气资源交易型开放式指数证券投资基金(2024年4月19日—至今)、博时中证油气资源交易型开放式指数证券投资基金发起式联接基金(2024年9月19日—至今)、博时国证大盘价值交易型开放式指数证券投资基金(2025年4月3日—至今)、博时中证A50交易型开放式指数证券投资基金(2025年5月22日—至今)、博时国证大盘价值交易型开放式指数证券投资基金联接基金(2025年7月29日</w:t>
      </w:r>
      <w:bookmarkStart w:id="32" w:name="chapter_level1_5_53_section_2_end"/>
      <w:bookmarkEnd w:id="32"/>
      <w:r>
        <w:rPr>
          <w:rFonts w:hint="eastAsia"/>
          <w:sz w:val="21"/>
          <w:szCs w:val="21"/>
        </w:rPr>
        <w:t>—至今)的基金经理。</w:t>
      </w:r>
      <w:bookmarkStart w:id="33" w:name="field_0_fundmanagerresume_1_end"/>
      <w:bookmarkEnd w:id="33"/>
      <w:r>
        <w:rPr>
          <w:rFonts w:hint="eastAsia"/>
          <w:sz w:val="21"/>
          <w:szCs w:val="21"/>
        </w:rPr>
        <w:t xml:space="preserve"> </w:t>
      </w:r>
    </w:p>
    <w:p>
      <w:pPr>
        <w:pStyle w:val="7"/>
        <w:spacing w:before="0" w:beforeAutospacing="0" w:after="0" w:afterAutospacing="0" w:line="360" w:lineRule="auto"/>
        <w:ind w:firstLine="420"/>
        <w:rPr>
          <w:sz w:val="21"/>
          <w:szCs w:val="21"/>
        </w:rPr>
      </w:pPr>
      <w:bookmarkStart w:id="34" w:name="chapter_level1_5_53_section_3"/>
      <w:bookmarkEnd w:id="34"/>
      <w:bookmarkStart w:id="35" w:name="field_0_managerpersoninfo2_1_start"/>
      <w:bookmarkEnd w:id="35"/>
      <w:r>
        <w:rPr>
          <w:rFonts w:hint="eastAsia"/>
          <w:sz w:val="21"/>
          <w:szCs w:val="21"/>
        </w:rPr>
        <w:t xml:space="preserve">5、投资决策委员会成员 </w:t>
      </w:r>
    </w:p>
    <w:p>
      <w:pPr>
        <w:pStyle w:val="7"/>
        <w:spacing w:before="0" w:beforeAutospacing="0" w:after="0" w:afterAutospacing="0" w:line="360" w:lineRule="auto"/>
        <w:ind w:firstLine="420"/>
        <w:rPr>
          <w:sz w:val="21"/>
          <w:szCs w:val="21"/>
        </w:rPr>
      </w:pPr>
      <w:r>
        <w:rPr>
          <w:rFonts w:hint="eastAsia"/>
          <w:sz w:val="21"/>
          <w:szCs w:val="21"/>
        </w:rPr>
        <w:t xml:space="preserve">公司首席资产配置官黄健斌先生。 </w:t>
      </w:r>
    </w:p>
    <w:p>
      <w:pPr>
        <w:pStyle w:val="7"/>
        <w:spacing w:before="0" w:beforeAutospacing="0" w:after="0" w:afterAutospacing="0" w:line="360" w:lineRule="auto"/>
        <w:ind w:firstLine="420"/>
        <w:rPr>
          <w:sz w:val="21"/>
          <w:szCs w:val="21"/>
        </w:rPr>
      </w:pPr>
      <w:r>
        <w:rPr>
          <w:rFonts w:hint="eastAsia"/>
          <w:sz w:val="21"/>
          <w:szCs w:val="21"/>
        </w:rPr>
        <w:t xml:space="preserve">公司投资决策委员会专职委员兼年金投资部总经理于善辉先生。 </w:t>
      </w:r>
    </w:p>
    <w:p>
      <w:pPr>
        <w:pStyle w:val="7"/>
        <w:spacing w:before="0" w:beforeAutospacing="0" w:after="0" w:afterAutospacing="0" w:line="360" w:lineRule="auto"/>
        <w:ind w:firstLine="420"/>
        <w:rPr>
          <w:sz w:val="21"/>
          <w:szCs w:val="21"/>
        </w:rPr>
      </w:pPr>
      <w:r>
        <w:rPr>
          <w:rFonts w:hint="eastAsia"/>
          <w:sz w:val="21"/>
          <w:szCs w:val="21"/>
        </w:rPr>
        <w:t xml:space="preserve">首席基金经理过钧先生。 </w:t>
      </w:r>
    </w:p>
    <w:p>
      <w:pPr>
        <w:pStyle w:val="7"/>
        <w:spacing w:before="0" w:beforeAutospacing="0" w:after="0" w:afterAutospacing="0" w:line="360" w:lineRule="auto"/>
        <w:ind w:firstLine="420"/>
        <w:rPr>
          <w:sz w:val="21"/>
          <w:szCs w:val="21"/>
        </w:rPr>
      </w:pPr>
      <w:r>
        <w:rPr>
          <w:rFonts w:hint="eastAsia"/>
          <w:sz w:val="21"/>
          <w:szCs w:val="21"/>
        </w:rPr>
        <w:t xml:space="preserve">首席投资官兼权益投研一体化总监、权益投资四部总经理、境外投资部总经理曾鹏先生。 </w:t>
      </w:r>
    </w:p>
    <w:p>
      <w:pPr>
        <w:pStyle w:val="7"/>
        <w:spacing w:before="0" w:beforeAutospacing="0" w:after="0" w:afterAutospacing="0" w:line="360" w:lineRule="auto"/>
        <w:ind w:firstLine="420"/>
        <w:rPr>
          <w:sz w:val="21"/>
          <w:szCs w:val="21"/>
        </w:rPr>
      </w:pPr>
      <w:r>
        <w:rPr>
          <w:rFonts w:hint="eastAsia"/>
          <w:sz w:val="21"/>
          <w:szCs w:val="21"/>
        </w:rPr>
        <w:t xml:space="preserve">权益投资三部总经理兼权益投资三部投资总监蔡滨先生。 </w:t>
      </w:r>
    </w:p>
    <w:p>
      <w:pPr>
        <w:pStyle w:val="7"/>
        <w:spacing w:before="0" w:beforeAutospacing="0" w:after="0" w:afterAutospacing="0" w:line="360" w:lineRule="auto"/>
        <w:ind w:firstLine="420"/>
        <w:rPr>
          <w:sz w:val="21"/>
          <w:szCs w:val="21"/>
        </w:rPr>
      </w:pPr>
      <w:r>
        <w:rPr>
          <w:rFonts w:hint="eastAsia"/>
          <w:sz w:val="21"/>
          <w:szCs w:val="21"/>
        </w:rPr>
        <w:t xml:space="preserve">行业研究部总经理魏立先生。 </w:t>
      </w:r>
    </w:p>
    <w:p>
      <w:pPr>
        <w:pStyle w:val="7"/>
        <w:spacing w:before="0" w:beforeAutospacing="0" w:after="0" w:afterAutospacing="0" w:line="360" w:lineRule="auto"/>
        <w:ind w:firstLine="420"/>
        <w:rPr>
          <w:sz w:val="21"/>
          <w:szCs w:val="21"/>
        </w:rPr>
      </w:pPr>
      <w:r>
        <w:rPr>
          <w:rFonts w:hint="eastAsia"/>
          <w:sz w:val="21"/>
          <w:szCs w:val="21"/>
        </w:rPr>
        <w:t xml:space="preserve">宏观策略部总经理兼行业研究部研究总监金晟哲先生。 </w:t>
      </w:r>
    </w:p>
    <w:p>
      <w:pPr>
        <w:pStyle w:val="7"/>
        <w:spacing w:before="0" w:beforeAutospacing="0" w:after="0" w:afterAutospacing="0" w:line="360" w:lineRule="auto"/>
        <w:ind w:firstLine="420"/>
        <w:rPr>
          <w:sz w:val="21"/>
          <w:szCs w:val="21"/>
        </w:rPr>
      </w:pPr>
      <w:r>
        <w:rPr>
          <w:rFonts w:hint="eastAsia"/>
          <w:sz w:val="21"/>
          <w:szCs w:val="21"/>
        </w:rPr>
        <w:t xml:space="preserve">指数与量化投资部总经理兼指数与量化投资部投资总监赵云阳先生。   </w:t>
      </w:r>
    </w:p>
    <w:p>
      <w:pPr>
        <w:pStyle w:val="7"/>
        <w:spacing w:before="0" w:beforeAutospacing="0" w:after="0" w:afterAutospacing="0" w:line="360" w:lineRule="auto"/>
        <w:ind w:firstLine="420"/>
        <w:rPr>
          <w:sz w:val="21"/>
          <w:szCs w:val="21"/>
        </w:rPr>
      </w:pPr>
      <w:bookmarkStart w:id="36" w:name="chapter_level1_5_53_section_3_end"/>
      <w:bookmarkEnd w:id="36"/>
      <w:r>
        <w:rPr>
          <w:rFonts w:hint="eastAsia"/>
          <w:sz w:val="21"/>
          <w:szCs w:val="21"/>
        </w:rPr>
        <w:t xml:space="preserve">6、上述人员之间均不存在近亲属关系。 </w:t>
      </w:r>
      <w:bookmarkStart w:id="37" w:name="field_0_managerpersoninfo2_1_end"/>
      <w:bookmarkEnd w:id="37"/>
      <w:r>
        <w:rPr>
          <w:rFonts w:hint="eastAsia"/>
          <w:sz w:val="21"/>
          <w:szCs w:val="21"/>
        </w:rPr>
        <w:t xml:space="preserve"> </w:t>
      </w:r>
    </w:p>
    <w:p>
      <w:pPr>
        <w:pStyle w:val="7"/>
        <w:spacing w:before="0" w:beforeAutospacing="0" w:after="0" w:afterAutospacing="0" w:line="360" w:lineRule="auto"/>
        <w:ind w:firstLine="420"/>
        <w:rPr>
          <w:sz w:val="21"/>
          <w:szCs w:val="21"/>
        </w:rPr>
      </w:pPr>
      <w:bookmarkStart w:id="38" w:name="chapter_level1_5_53_section_4"/>
      <w:bookmarkEnd w:id="38"/>
      <w:r>
        <w:rPr>
          <w:rStyle w:val="11"/>
          <w:rFonts w:hint="eastAsia"/>
          <w:sz w:val="21"/>
          <w:szCs w:val="21"/>
        </w:rPr>
        <w:t>三、基金管理人的职责</w:t>
      </w:r>
    </w:p>
    <w:p>
      <w:pPr>
        <w:pStyle w:val="7"/>
        <w:spacing w:before="0" w:beforeAutospacing="0" w:after="0" w:afterAutospacing="0" w:line="360" w:lineRule="auto"/>
        <w:ind w:firstLine="420"/>
        <w:rPr>
          <w:sz w:val="21"/>
          <w:szCs w:val="21"/>
        </w:rPr>
      </w:pPr>
      <w:r>
        <w:rPr>
          <w:rFonts w:hint="eastAsia"/>
          <w:sz w:val="21"/>
          <w:szCs w:val="21"/>
        </w:rPr>
        <w:t>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2、办理基金备案手续； </w:t>
      </w:r>
    </w:p>
    <w:p>
      <w:pPr>
        <w:pStyle w:val="7"/>
        <w:spacing w:before="0" w:beforeAutospacing="0" w:after="0" w:afterAutospacing="0" w:line="360" w:lineRule="auto"/>
        <w:ind w:firstLine="420"/>
        <w:rPr>
          <w:sz w:val="21"/>
          <w:szCs w:val="21"/>
        </w:rPr>
      </w:pPr>
      <w:r>
        <w:rPr>
          <w:rFonts w:hint="eastAsia"/>
          <w:sz w:val="21"/>
          <w:szCs w:val="21"/>
        </w:rPr>
        <w:t>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7、依法接受基金托管人的监督； </w:t>
      </w:r>
    </w:p>
    <w:p>
      <w:pPr>
        <w:pStyle w:val="7"/>
        <w:spacing w:before="0" w:beforeAutospacing="0" w:after="0" w:afterAutospacing="0" w:line="360" w:lineRule="auto"/>
        <w:ind w:firstLine="420"/>
        <w:rPr>
          <w:sz w:val="21"/>
          <w:szCs w:val="21"/>
        </w:rPr>
      </w:pPr>
      <w:r>
        <w:rPr>
          <w:rFonts w:hint="eastAsia"/>
          <w:sz w:val="21"/>
          <w:szCs w:val="21"/>
        </w:rPr>
        <w:t>8、采取适当合理的措施使计算基金份额认购、申购、赎回和注销价格的方法符合《基金合同》等法律文件的规定，按有关规定计算并公告基金净值信息，确定基金份额申购、赎回的价格；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sz w:val="21"/>
          <w:szCs w:val="21"/>
        </w:rPr>
      </w:pPr>
      <w:r>
        <w:rPr>
          <w:rFonts w:hint="eastAsia"/>
          <w:sz w:val="21"/>
          <w:szCs w:val="21"/>
        </w:rPr>
        <w:t>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 </w:t>
      </w:r>
    </w:p>
    <w:p>
      <w:pPr>
        <w:pStyle w:val="7"/>
        <w:spacing w:before="0" w:beforeAutospacing="0" w:after="0" w:afterAutospacing="0" w:line="360" w:lineRule="auto"/>
        <w:ind w:firstLine="420"/>
        <w:rPr>
          <w:sz w:val="21"/>
          <w:szCs w:val="21"/>
        </w:rPr>
      </w:pPr>
      <w:r>
        <w:rPr>
          <w:rFonts w:hint="eastAsia"/>
          <w:sz w:val="21"/>
          <w:szCs w:val="21"/>
        </w:rPr>
        <w:t>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16、按规定保存基金财产管理业务活动的会计账册、报表、记录和其他相关资料，保存期限不低于法律法规规定的最低期限； </w:t>
      </w:r>
    </w:p>
    <w:p>
      <w:pPr>
        <w:pStyle w:val="7"/>
        <w:spacing w:before="0" w:beforeAutospacing="0" w:after="0" w:afterAutospacing="0" w:line="360" w:lineRule="auto"/>
        <w:ind w:firstLine="420"/>
        <w:rPr>
          <w:sz w:val="21"/>
          <w:szCs w:val="21"/>
        </w:rPr>
      </w:pPr>
      <w:r>
        <w:rPr>
          <w:rFonts w:hint="eastAsia"/>
          <w:sz w:val="21"/>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24、基金在募集期间未能达到基金的备案条件，《基金合同》不能生效，基金管理人承担全部募集费用，将已募集资金并加计银行同期活期存款利息在基金募集期结束后30日内退还基金认购人； </w:t>
      </w:r>
    </w:p>
    <w:p>
      <w:pPr>
        <w:pStyle w:val="7"/>
        <w:spacing w:before="0" w:beforeAutospacing="0" w:after="0" w:afterAutospacing="0" w:line="360" w:lineRule="auto"/>
        <w:ind w:firstLine="420"/>
        <w:rPr>
          <w:sz w:val="21"/>
          <w:szCs w:val="21"/>
        </w:rPr>
      </w:pPr>
      <w:r>
        <w:rPr>
          <w:rFonts w:hint="eastAsia"/>
          <w:sz w:val="21"/>
          <w:szCs w:val="21"/>
        </w:rPr>
        <w:t>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27、法律法规及中国证监会规定的和《基金合同》约定的其他义务。 </w:t>
      </w:r>
    </w:p>
    <w:p>
      <w:pPr>
        <w:pStyle w:val="7"/>
        <w:spacing w:before="0" w:beforeAutospacing="0" w:after="0" w:afterAutospacing="0" w:line="360" w:lineRule="auto"/>
        <w:ind w:firstLine="420"/>
        <w:rPr>
          <w:b/>
          <w:bCs/>
          <w:sz w:val="21"/>
          <w:szCs w:val="21"/>
        </w:rPr>
      </w:pPr>
      <w:r>
        <w:rPr>
          <w:rFonts w:hint="eastAsia"/>
          <w:b/>
          <w:bCs/>
          <w:sz w:val="21"/>
          <w:szCs w:val="21"/>
        </w:rPr>
        <w:t>四、基金管理人的承诺</w:t>
      </w:r>
    </w:p>
    <w:p>
      <w:pPr>
        <w:pStyle w:val="7"/>
        <w:spacing w:before="0" w:beforeAutospacing="0" w:after="0" w:afterAutospacing="0" w:line="360" w:lineRule="auto"/>
        <w:ind w:firstLine="420"/>
        <w:rPr>
          <w:sz w:val="21"/>
          <w:szCs w:val="21"/>
        </w:rPr>
      </w:pPr>
      <w:r>
        <w:rPr>
          <w:rFonts w:hint="eastAsia"/>
          <w:sz w:val="21"/>
          <w:szCs w:val="21"/>
        </w:rPr>
        <w:t>1、基金管理人承诺不从事违反《中华人民共和国证券法》的行为，并承诺建立健全内部控制制度，采取有效措施，防止违反《中华人民共和国证券法》行为的发生； </w:t>
      </w:r>
    </w:p>
    <w:p>
      <w:pPr>
        <w:pStyle w:val="7"/>
        <w:spacing w:before="0" w:beforeAutospacing="0" w:after="0" w:afterAutospacing="0" w:line="360" w:lineRule="auto"/>
        <w:ind w:firstLine="420"/>
        <w:rPr>
          <w:sz w:val="21"/>
          <w:szCs w:val="21"/>
        </w:rPr>
      </w:pPr>
      <w:r>
        <w:rPr>
          <w:rFonts w:hint="eastAsia"/>
          <w:sz w:val="21"/>
          <w:szCs w:val="21"/>
        </w:rPr>
        <w:t>2、基金管理人承诺不从事违反《基金法》的行为，并承诺建立健全内部风险控制制度，采取有效措施，防止下列行为的发生： </w:t>
      </w:r>
    </w:p>
    <w:p>
      <w:pPr>
        <w:pStyle w:val="7"/>
        <w:spacing w:before="0" w:beforeAutospacing="0" w:after="0" w:afterAutospacing="0" w:line="360" w:lineRule="auto"/>
        <w:ind w:firstLine="420"/>
        <w:rPr>
          <w:sz w:val="21"/>
          <w:szCs w:val="21"/>
        </w:rPr>
      </w:pPr>
      <w:r>
        <w:rPr>
          <w:rFonts w:hint="eastAsia"/>
          <w:sz w:val="21"/>
          <w:szCs w:val="21"/>
        </w:rPr>
        <w:t>（1）将基金管理人固有财产或者他人财产混同于基金财产从事证券投资； </w:t>
      </w:r>
    </w:p>
    <w:p>
      <w:pPr>
        <w:pStyle w:val="7"/>
        <w:spacing w:before="0" w:beforeAutospacing="0" w:after="0" w:afterAutospacing="0" w:line="360" w:lineRule="auto"/>
        <w:ind w:firstLine="420"/>
        <w:rPr>
          <w:sz w:val="21"/>
          <w:szCs w:val="21"/>
        </w:rPr>
      </w:pPr>
      <w:r>
        <w:rPr>
          <w:rFonts w:hint="eastAsia"/>
          <w:sz w:val="21"/>
          <w:szCs w:val="21"/>
        </w:rPr>
        <w:t>（2）不公平地对待管理的不同基金财产； </w:t>
      </w:r>
    </w:p>
    <w:p>
      <w:pPr>
        <w:pStyle w:val="7"/>
        <w:spacing w:before="0" w:beforeAutospacing="0" w:after="0" w:afterAutospacing="0" w:line="360" w:lineRule="auto"/>
        <w:ind w:firstLine="420"/>
        <w:rPr>
          <w:sz w:val="21"/>
          <w:szCs w:val="21"/>
        </w:rPr>
      </w:pPr>
      <w:r>
        <w:rPr>
          <w:rFonts w:hint="eastAsia"/>
          <w:sz w:val="21"/>
          <w:szCs w:val="21"/>
        </w:rPr>
        <w:t>（3）利用基金财产或者职务之便为基金份额持有人以外的第三人牟取利益； </w:t>
      </w:r>
    </w:p>
    <w:p>
      <w:pPr>
        <w:pStyle w:val="7"/>
        <w:spacing w:before="0" w:beforeAutospacing="0" w:after="0" w:afterAutospacing="0" w:line="360" w:lineRule="auto"/>
        <w:ind w:firstLine="420"/>
        <w:rPr>
          <w:sz w:val="21"/>
          <w:szCs w:val="21"/>
        </w:rPr>
      </w:pPr>
      <w:r>
        <w:rPr>
          <w:rFonts w:hint="eastAsia"/>
          <w:sz w:val="21"/>
          <w:szCs w:val="21"/>
        </w:rPr>
        <w:t>（4）向基金份额持有人违规承诺收益或者承担损失； </w:t>
      </w:r>
    </w:p>
    <w:p>
      <w:pPr>
        <w:pStyle w:val="7"/>
        <w:spacing w:before="0" w:beforeAutospacing="0" w:after="0" w:afterAutospacing="0" w:line="360" w:lineRule="auto"/>
        <w:ind w:firstLine="420"/>
        <w:rPr>
          <w:sz w:val="21"/>
          <w:szCs w:val="21"/>
        </w:rPr>
      </w:pPr>
      <w:r>
        <w:rPr>
          <w:rFonts w:hint="eastAsia"/>
          <w:sz w:val="21"/>
          <w:szCs w:val="21"/>
        </w:rPr>
        <w:t>（5）侵占、挪用基金财产； </w:t>
      </w:r>
    </w:p>
    <w:p>
      <w:pPr>
        <w:pStyle w:val="7"/>
        <w:spacing w:before="0" w:beforeAutospacing="0" w:after="0" w:afterAutospacing="0" w:line="360" w:lineRule="auto"/>
        <w:ind w:firstLine="420"/>
        <w:rPr>
          <w:sz w:val="21"/>
          <w:szCs w:val="21"/>
        </w:rPr>
      </w:pPr>
      <w:r>
        <w:rPr>
          <w:rFonts w:hint="eastAsia"/>
          <w:sz w:val="21"/>
          <w:szCs w:val="21"/>
        </w:rPr>
        <w:t>（6）泄露因职务便利获取的未公开信息、利用该信息从事或者明示、暗示他人从事相关的交易活动；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（7）玩忽职守，不按照规定履行职责； </w:t>
      </w:r>
    </w:p>
    <w:p>
      <w:pPr>
        <w:pStyle w:val="7"/>
        <w:spacing w:before="0" w:beforeAutospacing="0" w:after="0" w:afterAutospacing="0" w:line="360" w:lineRule="auto"/>
        <w:ind w:firstLine="420"/>
        <w:rPr>
          <w:sz w:val="21"/>
          <w:szCs w:val="21"/>
        </w:rPr>
      </w:pPr>
      <w:r>
        <w:rPr>
          <w:rFonts w:hint="eastAsia"/>
          <w:sz w:val="21"/>
          <w:szCs w:val="21"/>
        </w:rPr>
        <w:t>（8）法律、行政法规和中国证监会规定禁止的其他行为； </w:t>
      </w:r>
    </w:p>
    <w:p>
      <w:pPr>
        <w:pStyle w:val="7"/>
        <w:spacing w:before="0" w:beforeAutospacing="0" w:after="0" w:afterAutospacing="0" w:line="360" w:lineRule="auto"/>
        <w:ind w:firstLine="420"/>
        <w:rPr>
          <w:sz w:val="21"/>
          <w:szCs w:val="21"/>
        </w:rPr>
      </w:pPr>
      <w:r>
        <w:rPr>
          <w:rFonts w:hint="eastAsia"/>
          <w:sz w:val="21"/>
          <w:szCs w:val="21"/>
        </w:rPr>
        <w:t>3、基金管理人承诺严格遵守基金合同，并承诺建立健全内部控制制度，采取有效措施，防止违反基金合同行为的发生； </w:t>
      </w:r>
    </w:p>
    <w:p>
      <w:pPr>
        <w:pStyle w:val="7"/>
        <w:spacing w:before="0" w:beforeAutospacing="0" w:after="0" w:afterAutospacing="0" w:line="360" w:lineRule="auto"/>
        <w:ind w:firstLine="420"/>
        <w:rPr>
          <w:sz w:val="21"/>
          <w:szCs w:val="21"/>
        </w:rPr>
      </w:pPr>
      <w:r>
        <w:rPr>
          <w:rFonts w:hint="eastAsia"/>
          <w:sz w:val="21"/>
          <w:szCs w:val="21"/>
        </w:rPr>
        <w:t>4、基金管理人承诺加强人员管理，强化职业操守，督促和约束员工遵守国家有关法律法规及行业规范，诚实信用、勤勉尽责； </w:t>
      </w:r>
    </w:p>
    <w:p>
      <w:pPr>
        <w:pStyle w:val="7"/>
        <w:spacing w:before="0" w:beforeAutospacing="0" w:after="0" w:afterAutospacing="0" w:line="360" w:lineRule="auto"/>
        <w:ind w:firstLine="420"/>
        <w:rPr>
          <w:sz w:val="21"/>
          <w:szCs w:val="21"/>
        </w:rPr>
      </w:pPr>
      <w:r>
        <w:rPr>
          <w:rFonts w:hint="eastAsia"/>
          <w:sz w:val="21"/>
          <w:szCs w:val="21"/>
        </w:rPr>
        <w:t>5、基金管理人承诺不从事其他法规规定禁止从事的行为。 </w:t>
      </w:r>
    </w:p>
    <w:p>
      <w:pPr>
        <w:pStyle w:val="7"/>
        <w:spacing w:before="0" w:beforeAutospacing="0" w:after="0" w:afterAutospacing="0" w:line="360" w:lineRule="auto"/>
        <w:ind w:firstLine="420"/>
        <w:rPr>
          <w:b/>
          <w:bCs/>
          <w:sz w:val="21"/>
          <w:szCs w:val="21"/>
        </w:rPr>
      </w:pPr>
      <w:r>
        <w:rPr>
          <w:rFonts w:hint="eastAsia"/>
          <w:b/>
          <w:bCs/>
          <w:sz w:val="21"/>
          <w:szCs w:val="21"/>
        </w:rPr>
        <w:t>五、基金经理承诺</w:t>
      </w:r>
    </w:p>
    <w:p>
      <w:pPr>
        <w:pStyle w:val="7"/>
        <w:spacing w:before="0" w:beforeAutospacing="0" w:after="0" w:afterAutospacing="0" w:line="360" w:lineRule="auto"/>
        <w:ind w:firstLine="420"/>
        <w:rPr>
          <w:sz w:val="21"/>
          <w:szCs w:val="21"/>
        </w:rPr>
      </w:pPr>
      <w:r>
        <w:rPr>
          <w:rFonts w:hint="eastAsia"/>
          <w:sz w:val="21"/>
          <w:szCs w:val="21"/>
        </w:rPr>
        <w:t>1、依照有关法律法规和基金合同的规定，本着谨慎的原则为基金份额持有人谋取最大利益； </w:t>
      </w:r>
    </w:p>
    <w:p>
      <w:pPr>
        <w:pStyle w:val="7"/>
        <w:spacing w:before="0" w:beforeAutospacing="0" w:after="0" w:afterAutospacing="0" w:line="360" w:lineRule="auto"/>
        <w:ind w:firstLine="420"/>
        <w:rPr>
          <w:sz w:val="21"/>
          <w:szCs w:val="21"/>
        </w:rPr>
      </w:pPr>
      <w:r>
        <w:rPr>
          <w:rFonts w:hint="eastAsia"/>
          <w:sz w:val="21"/>
          <w:szCs w:val="21"/>
        </w:rPr>
        <w:t>2、不利用职务之便为自己、受雇人或任何第三者牟取利益； </w:t>
      </w:r>
    </w:p>
    <w:p>
      <w:pPr>
        <w:pStyle w:val="7"/>
        <w:spacing w:before="0" w:beforeAutospacing="0" w:after="0" w:afterAutospacing="0" w:line="360" w:lineRule="auto"/>
        <w:ind w:firstLine="420"/>
        <w:rPr>
          <w:sz w:val="21"/>
          <w:szCs w:val="21"/>
        </w:rPr>
      </w:pPr>
      <w:r>
        <w:rPr>
          <w:rFonts w:hint="eastAsia"/>
          <w:sz w:val="21"/>
          <w:szCs w:val="21"/>
        </w:rPr>
        <w:t>3、不泄露在任职期间知悉的有关证券、基金的商业秘密，尚未依法公开的基金投资内容、基金投资计划等信息，或利用该信息从事或者明示、暗示他人从事相关的交易活动；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4、不以任何形式为其他组织或个人进行证券交易。 </w:t>
      </w:r>
    </w:p>
    <w:p>
      <w:pPr>
        <w:pStyle w:val="7"/>
        <w:spacing w:before="0" w:beforeAutospacing="0" w:after="0" w:afterAutospacing="0" w:line="360" w:lineRule="auto"/>
        <w:ind w:firstLine="420"/>
        <w:rPr>
          <w:rStyle w:val="11"/>
          <w:rFonts w:hint="eastAsia" w:ascii="Times New Roman" w:hAnsi="Times New Roman" w:cs="Times New Roman"/>
          <w:sz w:val="21"/>
          <w:szCs w:val="21"/>
        </w:rPr>
      </w:pPr>
      <w:r>
        <w:rPr>
          <w:rStyle w:val="11"/>
          <w:rFonts w:hint="eastAsia" w:ascii="Times New Roman" w:hAnsi="Times New Roman" w:cs="Times New Roman"/>
          <w:sz w:val="21"/>
          <w:szCs w:val="21"/>
        </w:rPr>
        <w:t>六、基金管理人的内部控制制度</w:t>
      </w:r>
    </w:p>
    <w:p>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pPr>
        <w:pStyle w:val="7"/>
        <w:spacing w:before="0" w:beforeAutospacing="0" w:after="0" w:afterAutospacing="0" w:line="360" w:lineRule="auto"/>
        <w:ind w:firstLine="420"/>
        <w:rPr>
          <w:rFonts w:hint="eastAsia"/>
          <w:sz w:val="21"/>
          <w:szCs w:val="21"/>
        </w:rPr>
      </w:pPr>
      <w:r>
        <w:rPr>
          <w:rFonts w:hint="eastAsia"/>
          <w:sz w:val="21"/>
          <w:szCs w:val="21"/>
        </w:rPr>
        <w:t>（1）全面性原则</w:t>
      </w:r>
    </w:p>
    <w:p>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pPr>
        <w:pStyle w:val="7"/>
        <w:spacing w:before="0" w:beforeAutospacing="0" w:after="0" w:afterAutospacing="0" w:line="360" w:lineRule="auto"/>
        <w:ind w:firstLine="420"/>
        <w:rPr>
          <w:rFonts w:hint="eastAsia"/>
          <w:sz w:val="21"/>
          <w:szCs w:val="21"/>
        </w:rPr>
      </w:pPr>
      <w:r>
        <w:rPr>
          <w:rFonts w:hint="eastAsia"/>
          <w:sz w:val="21"/>
          <w:szCs w:val="21"/>
        </w:rPr>
        <w:t>（2）独立性原则</w:t>
      </w:r>
    </w:p>
    <w:p>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pPr>
        <w:pStyle w:val="7"/>
        <w:spacing w:before="0" w:beforeAutospacing="0" w:after="0" w:afterAutospacing="0" w:line="360" w:lineRule="auto"/>
        <w:ind w:firstLine="420"/>
        <w:rPr>
          <w:rFonts w:hint="eastAsia"/>
          <w:sz w:val="21"/>
          <w:szCs w:val="21"/>
        </w:rPr>
      </w:pPr>
      <w:r>
        <w:rPr>
          <w:rFonts w:hint="eastAsia"/>
          <w:sz w:val="21"/>
          <w:szCs w:val="21"/>
        </w:rPr>
        <w:t>（1）董事会</w:t>
      </w:r>
    </w:p>
    <w:p>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pPr>
        <w:pStyle w:val="7"/>
        <w:spacing w:before="0" w:beforeAutospacing="0" w:after="0" w:afterAutospacing="0" w:line="360" w:lineRule="auto"/>
        <w:ind w:firstLine="420"/>
        <w:rPr>
          <w:rFonts w:hint="eastAsia"/>
          <w:sz w:val="21"/>
          <w:szCs w:val="21"/>
        </w:rPr>
      </w:pPr>
      <w:r>
        <w:rPr>
          <w:rFonts w:hint="eastAsia"/>
          <w:sz w:val="21"/>
          <w:szCs w:val="21"/>
        </w:rPr>
        <w:t>（3）督察长</w:t>
      </w:r>
    </w:p>
    <w:p>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pPr>
        <w:pStyle w:val="7"/>
        <w:spacing w:before="0" w:beforeAutospacing="0" w:after="0" w:afterAutospacing="0" w:line="360" w:lineRule="auto"/>
        <w:ind w:firstLine="420"/>
        <w:rPr>
          <w:rFonts w:hint="eastAsia"/>
          <w:sz w:val="21"/>
          <w:szCs w:val="21"/>
        </w:rPr>
      </w:pPr>
      <w:r>
        <w:rPr>
          <w:rFonts w:hint="eastAsia"/>
          <w:sz w:val="21"/>
          <w:szCs w:val="21"/>
        </w:rPr>
        <w:t>（5）风险管理部</w:t>
      </w:r>
    </w:p>
    <w:p>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pPr>
        <w:pStyle w:val="7"/>
        <w:spacing w:before="0" w:beforeAutospacing="0" w:after="0" w:afterAutospacing="0" w:line="360" w:lineRule="auto"/>
        <w:ind w:firstLine="420"/>
        <w:rPr>
          <w:rFonts w:hint="eastAsia"/>
          <w:sz w:val="21"/>
          <w:szCs w:val="21"/>
        </w:rPr>
      </w:pPr>
      <w:r>
        <w:rPr>
          <w:rFonts w:hint="eastAsia"/>
          <w:sz w:val="21"/>
          <w:szCs w:val="21"/>
        </w:rPr>
        <w:t>（6）业务部门</w:t>
      </w:r>
    </w:p>
    <w:p>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pPr>
        <w:pStyle w:val="7"/>
        <w:spacing w:before="0" w:beforeAutospacing="0" w:after="0" w:afterAutospacing="0" w:line="360" w:lineRule="auto"/>
        <w:ind w:firstLine="420"/>
        <w:rPr>
          <w:rFonts w:hint="eastAsia"/>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p>
    <w:p>
      <w:pPr>
        <w:pStyle w:val="7"/>
        <w:spacing w:before="0" w:beforeAutospacing="0" w:after="0" w:afterAutospacing="0" w:line="360" w:lineRule="auto"/>
        <w:ind w:firstLine="420"/>
        <w:rPr>
          <w:sz w:val="21"/>
          <w:szCs w:val="21"/>
        </w:rPr>
      </w:pPr>
      <w:r>
        <w:rPr>
          <w:rFonts w:hint="eastAsia"/>
          <w:sz w:val="21"/>
          <w:szCs w:val="21"/>
        </w:rPr>
        <w:t>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39" w:name="_Toc207939900"/>
      <w:bookmarkStart w:id="40" w:name="chapter_level1_6_55"/>
      <w:r>
        <w:rPr>
          <w:rFonts w:hint="eastAsia" w:ascii="宋体" w:hAnsi="宋体" w:eastAsia="宋体"/>
          <w:sz w:val="30"/>
        </w:rPr>
        <w:t>第四部分  基金托管人</w:t>
      </w:r>
      <w:bookmarkEnd w:id="39"/>
      <w:bookmarkEnd w:id="40"/>
    </w:p>
    <w:p>
      <w:pPr>
        <w:pStyle w:val="7"/>
        <w:spacing w:before="0" w:beforeAutospacing="0" w:after="0" w:afterAutospacing="0" w:line="360" w:lineRule="auto"/>
        <w:ind w:firstLine="420"/>
        <w:rPr>
          <w:sz w:val="21"/>
          <w:szCs w:val="21"/>
        </w:rPr>
      </w:pPr>
      <w:bookmarkStart w:id="41" w:name="chapter_level1_6_55_section_1"/>
      <w:bookmarkEnd w:id="41"/>
      <w:bookmarkStart w:id="42" w:name="field_0_trustcompanyinfo_1_start"/>
      <w:bookmarkEnd w:id="42"/>
      <w:r>
        <w:rPr>
          <w:rFonts w:hint="eastAsia"/>
          <w:sz w:val="21"/>
          <w:szCs w:val="21"/>
        </w:rPr>
        <w:t xml:space="preserve">一、基金托管人基本情况 </w:t>
      </w:r>
    </w:p>
    <w:p>
      <w:pPr>
        <w:pStyle w:val="7"/>
        <w:spacing w:before="0" w:beforeAutospacing="0" w:after="0" w:afterAutospacing="0" w:line="360" w:lineRule="auto"/>
        <w:ind w:firstLine="420"/>
        <w:rPr>
          <w:sz w:val="21"/>
          <w:szCs w:val="21"/>
        </w:rPr>
      </w:pPr>
      <w:r>
        <w:rPr>
          <w:rFonts w:hint="eastAsia"/>
          <w:sz w:val="21"/>
          <w:szCs w:val="21"/>
        </w:rPr>
        <w:t xml:space="preserve">1、基本情况 </w:t>
      </w:r>
    </w:p>
    <w:p>
      <w:pPr>
        <w:pStyle w:val="7"/>
        <w:spacing w:before="0" w:beforeAutospacing="0" w:after="0" w:afterAutospacing="0" w:line="360" w:lineRule="auto"/>
        <w:ind w:firstLine="420"/>
        <w:rPr>
          <w:sz w:val="21"/>
          <w:szCs w:val="21"/>
        </w:rPr>
      </w:pPr>
      <w:r>
        <w:rPr>
          <w:rFonts w:hint="eastAsia"/>
          <w:sz w:val="21"/>
          <w:szCs w:val="21"/>
        </w:rPr>
        <w:t xml:space="preserve">名称：兴业银行股份有限公司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注册地址：福建省福州市台江区江滨中大道398号兴业银行大厦 </w:t>
      </w:r>
    </w:p>
    <w:p>
      <w:pPr>
        <w:pStyle w:val="7"/>
        <w:spacing w:before="0" w:beforeAutospacing="0" w:after="0" w:afterAutospacing="0" w:line="360" w:lineRule="auto"/>
        <w:ind w:firstLine="420"/>
        <w:rPr>
          <w:sz w:val="21"/>
          <w:szCs w:val="21"/>
        </w:rPr>
      </w:pPr>
      <w:r>
        <w:rPr>
          <w:rFonts w:hint="eastAsia"/>
          <w:sz w:val="21"/>
          <w:szCs w:val="21"/>
        </w:rPr>
        <w:t xml:space="preserve">办公地址：上海市银城路167号 </w:t>
      </w:r>
    </w:p>
    <w:p>
      <w:pPr>
        <w:pStyle w:val="7"/>
        <w:spacing w:before="0" w:beforeAutospacing="0" w:after="0" w:afterAutospacing="0" w:line="360" w:lineRule="auto"/>
        <w:ind w:firstLine="420"/>
        <w:rPr>
          <w:sz w:val="21"/>
          <w:szCs w:val="21"/>
        </w:rPr>
      </w:pPr>
      <w:r>
        <w:rPr>
          <w:rFonts w:hint="eastAsia"/>
          <w:sz w:val="21"/>
          <w:szCs w:val="21"/>
        </w:rPr>
        <w:t xml:space="preserve">邮政编码：200120 </w:t>
      </w:r>
    </w:p>
    <w:p>
      <w:pPr>
        <w:pStyle w:val="7"/>
        <w:spacing w:before="0" w:beforeAutospacing="0" w:after="0" w:afterAutospacing="0" w:line="360" w:lineRule="auto"/>
        <w:ind w:firstLine="420"/>
        <w:rPr>
          <w:sz w:val="21"/>
          <w:szCs w:val="21"/>
        </w:rPr>
      </w:pPr>
      <w:r>
        <w:rPr>
          <w:rFonts w:hint="eastAsia"/>
          <w:sz w:val="21"/>
          <w:szCs w:val="21"/>
        </w:rPr>
        <w:t xml:space="preserve">法定代表人：吕家进  </w:t>
      </w:r>
    </w:p>
    <w:p>
      <w:pPr>
        <w:pStyle w:val="7"/>
        <w:spacing w:before="0" w:beforeAutospacing="0" w:after="0" w:afterAutospacing="0" w:line="360" w:lineRule="auto"/>
        <w:ind w:firstLine="420"/>
        <w:rPr>
          <w:sz w:val="21"/>
          <w:szCs w:val="21"/>
        </w:rPr>
      </w:pPr>
      <w:r>
        <w:rPr>
          <w:rFonts w:hint="eastAsia"/>
          <w:sz w:val="21"/>
          <w:szCs w:val="21"/>
        </w:rPr>
        <w:t xml:space="preserve">成立日期：1988年8月22日 </w:t>
      </w:r>
    </w:p>
    <w:p>
      <w:pPr>
        <w:pStyle w:val="7"/>
        <w:spacing w:before="0" w:beforeAutospacing="0" w:after="0" w:afterAutospacing="0" w:line="360" w:lineRule="auto"/>
        <w:ind w:firstLine="420"/>
        <w:rPr>
          <w:sz w:val="21"/>
          <w:szCs w:val="21"/>
        </w:rPr>
      </w:pPr>
      <w:r>
        <w:rPr>
          <w:rFonts w:hint="eastAsia"/>
          <w:sz w:val="21"/>
          <w:szCs w:val="21"/>
        </w:rPr>
        <w:t xml:space="preserve">批准设立机关和批准设立文号：中国人民银行总行，银复[1988]347号 </w:t>
      </w:r>
    </w:p>
    <w:p>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基金托管业务批准文号：中国证监会证监基金字[2005]74号 </w:t>
      </w:r>
    </w:p>
    <w:p>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注册资本：207.74亿元人民币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2、发展概况及财务状况 </w:t>
      </w:r>
    </w:p>
    <w:p>
      <w:pPr>
        <w:pStyle w:val="7"/>
        <w:spacing w:before="0" w:beforeAutospacing="0" w:after="0" w:afterAutospacing="0" w:line="360" w:lineRule="auto"/>
        <w:ind w:firstLine="420"/>
        <w:rPr>
          <w:sz w:val="21"/>
          <w:szCs w:val="21"/>
        </w:rPr>
      </w:pPr>
      <w:r>
        <w:rPr>
          <w:rFonts w:hint="eastAsia"/>
          <w:sz w:val="21"/>
          <w:szCs w:val="21"/>
        </w:rPr>
        <w:t xml:space="preserve">兴业银行成立于1988年8月，是经国务院、中国人民银行批准成立的首批股份制商业银行之一，总行设在福建省福州市，2007年2月5日正式在上海证券交易所挂牌上市（股票代码：601166），注册资本207.74亿元。截至2024年12月31日，兴业银行资产总额达10.51万亿元，实现营业收入2122.26亿元，同比增长0.66%，实现归属于母公司股东的净利润772.05亿元。开业三十多年来，兴业银行始终坚持“真诚服务，相伴成长”的经营理念，致力于为客户提供全面、优质、高效的金融服务。 </w:t>
      </w:r>
    </w:p>
    <w:p>
      <w:pPr>
        <w:pStyle w:val="7"/>
        <w:spacing w:before="0" w:beforeAutospacing="0" w:after="0" w:afterAutospacing="0" w:line="360" w:lineRule="auto"/>
        <w:ind w:firstLine="420"/>
        <w:rPr>
          <w:sz w:val="21"/>
          <w:szCs w:val="21"/>
        </w:rPr>
      </w:pPr>
      <w:r>
        <w:rPr>
          <w:rFonts w:hint="eastAsia"/>
          <w:sz w:val="21"/>
          <w:szCs w:val="21"/>
        </w:rPr>
        <w:t xml:space="preserve">二、托管业务部部门设置及员工情况 </w:t>
      </w:r>
    </w:p>
    <w:p>
      <w:pPr>
        <w:pStyle w:val="7"/>
        <w:spacing w:before="0" w:beforeAutospacing="0" w:after="0" w:afterAutospacing="0" w:line="360" w:lineRule="auto"/>
        <w:ind w:firstLine="420"/>
        <w:rPr>
          <w:sz w:val="21"/>
          <w:szCs w:val="21"/>
        </w:rPr>
      </w:pPr>
      <w:r>
        <w:rPr>
          <w:rFonts w:hint="eastAsia"/>
          <w:sz w:val="21"/>
          <w:szCs w:val="21"/>
        </w:rPr>
        <w:t xml:space="preserve">兴业银行股份有限公司总行设资产托管部，下设综合管理处、证券基金处、信托保险处、理财私募处、需求支持处、稽核监察处、投资监督处、运行管理处，共有员工100余人，业务岗位人员均具有基金从业资格。 </w:t>
      </w:r>
    </w:p>
    <w:p>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pPr>
        <w:pStyle w:val="7"/>
        <w:spacing w:before="0" w:beforeAutospacing="0" w:after="0" w:afterAutospacing="0" w:line="360" w:lineRule="auto"/>
        <w:ind w:firstLine="420"/>
        <w:rPr>
          <w:sz w:val="21"/>
          <w:szCs w:val="21"/>
        </w:rPr>
      </w:pPr>
      <w:r>
        <w:rPr>
          <w:rFonts w:hint="eastAsia"/>
          <w:sz w:val="21"/>
          <w:szCs w:val="21"/>
        </w:rPr>
        <w:t>兴业银行股份有限公司于2005年4月26日取得基金托管资格。基金托管业务批准文号：证监基金字[2005]74号。截至2025年6月30日，兴业银行共托管证券投资基金809只，</w:t>
      </w:r>
      <w:bookmarkStart w:id="43" w:name="chapter_level1_6_55_section_1_end"/>
      <w:bookmarkEnd w:id="43"/>
      <w:r>
        <w:rPr>
          <w:rFonts w:hint="eastAsia"/>
          <w:sz w:val="21"/>
          <w:szCs w:val="21"/>
        </w:rPr>
        <w:t xml:space="preserve">托管基金的基金资产净值合计27790.02亿元，基金份额合计25239.73亿份。 </w:t>
      </w:r>
      <w:bookmarkStart w:id="44" w:name="field_0_trustcompanyinfo_1_end"/>
      <w:bookmarkEnd w:id="44"/>
      <w:r>
        <w:rPr>
          <w:rFonts w:hint="eastAsia"/>
          <w:sz w:val="21"/>
          <w:szCs w:val="21"/>
        </w:rPr>
        <w:t xml:space="preserve">  </w:t>
      </w:r>
    </w:p>
    <w:p>
      <w:pPr>
        <w:pStyle w:val="7"/>
        <w:spacing w:before="0" w:beforeAutospacing="0" w:after="0" w:afterAutospacing="0" w:line="360" w:lineRule="auto"/>
        <w:ind w:firstLine="420"/>
        <w:rPr>
          <w:sz w:val="21"/>
          <w:szCs w:val="21"/>
        </w:rPr>
      </w:pPr>
      <w:bookmarkStart w:id="45" w:name="field_0_trustcontrollawinfo_1_start"/>
      <w:bookmarkEnd w:id="45"/>
      <w:bookmarkStart w:id="46" w:name="chapter_level1_6_55_section_2"/>
      <w:bookmarkEnd w:id="46"/>
      <w:r>
        <w:rPr>
          <w:rFonts w:hint="eastAsia"/>
          <w:sz w:val="21"/>
          <w:szCs w:val="21"/>
        </w:rPr>
        <w:t xml:space="preserve">四、基金托管人的内部控制制度 </w:t>
      </w:r>
    </w:p>
    <w:p>
      <w:pPr>
        <w:pStyle w:val="7"/>
        <w:spacing w:before="0" w:beforeAutospacing="0" w:after="0" w:afterAutospacing="0" w:line="360" w:lineRule="auto"/>
        <w:ind w:firstLine="420"/>
        <w:rPr>
          <w:sz w:val="21"/>
          <w:szCs w:val="21"/>
        </w:rPr>
      </w:pPr>
      <w:r>
        <w:rPr>
          <w:rFonts w:hint="eastAsia"/>
          <w:sz w:val="21"/>
          <w:szCs w:val="21"/>
        </w:rPr>
        <w:t xml:space="preserve">（一）内部控制目标 </w:t>
      </w:r>
    </w:p>
    <w:p>
      <w:pPr>
        <w:pStyle w:val="7"/>
        <w:spacing w:before="0" w:beforeAutospacing="0" w:after="0" w:afterAutospacing="0" w:line="360" w:lineRule="auto"/>
        <w:ind w:firstLine="420"/>
        <w:rPr>
          <w:sz w:val="21"/>
          <w:szCs w:val="21"/>
        </w:rPr>
      </w:pPr>
      <w:r>
        <w:rPr>
          <w:rFonts w:hint="eastAsia"/>
          <w:sz w:val="21"/>
          <w:szCs w:val="21"/>
        </w:rPr>
        <w:t xml:space="preserve">严格遵守国家有关托管业务的法律法规、行业监管规章和行内有关管理规定，守法经营、规范运作、严格监察，确保业务的稳健运行，保证基金资产的安全完整，确保有关信息的真实、准确、完整、及时，保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（二）内部控制组织结构 </w:t>
      </w:r>
    </w:p>
    <w:p>
      <w:pPr>
        <w:pStyle w:val="7"/>
        <w:spacing w:before="0" w:beforeAutospacing="0" w:after="0" w:afterAutospacing="0" w:line="360" w:lineRule="auto"/>
        <w:ind w:firstLine="420"/>
        <w:rPr>
          <w:sz w:val="21"/>
          <w:szCs w:val="21"/>
        </w:rPr>
      </w:pPr>
      <w:r>
        <w:rPr>
          <w:rFonts w:hint="eastAsia"/>
          <w:sz w:val="21"/>
          <w:szCs w:val="21"/>
        </w:rPr>
        <w:t xml:space="preserve">兴业银行基金托管业务内部控制组织架构由总行内部控制委员会、总行风险管理部门、总行审计部、总行资产托管部、总行运营管理部及分行托管运营机构共同组成。各级内部控制组织依照本行相关制度对本行托管业务风险管理和内部控制实施管理。 </w:t>
      </w:r>
    </w:p>
    <w:p>
      <w:pPr>
        <w:pStyle w:val="7"/>
        <w:spacing w:before="0" w:beforeAutospacing="0" w:after="0" w:afterAutospacing="0" w:line="360" w:lineRule="auto"/>
        <w:ind w:firstLine="420"/>
        <w:rPr>
          <w:sz w:val="21"/>
          <w:szCs w:val="21"/>
        </w:rPr>
      </w:pPr>
      <w:r>
        <w:rPr>
          <w:rFonts w:hint="eastAsia"/>
          <w:sz w:val="21"/>
          <w:szCs w:val="21"/>
        </w:rPr>
        <w:t xml:space="preserve">（三）内部控制原则 </w:t>
      </w:r>
    </w:p>
    <w:p>
      <w:pPr>
        <w:pStyle w:val="7"/>
        <w:spacing w:before="0" w:beforeAutospacing="0" w:after="0" w:afterAutospacing="0" w:line="360" w:lineRule="auto"/>
        <w:ind w:firstLine="420"/>
        <w:rPr>
          <w:sz w:val="21"/>
          <w:szCs w:val="21"/>
        </w:rPr>
      </w:pPr>
      <w:r>
        <w:rPr>
          <w:rFonts w:hint="eastAsia"/>
          <w:sz w:val="21"/>
          <w:szCs w:val="21"/>
        </w:rPr>
        <w:t xml:space="preserve">1、全面性原则：内部控制贯穿资产托管业务的全过程，覆盖各项业务和产品，以及从事资产托管业务的各机构和从业人员； </w:t>
      </w:r>
    </w:p>
    <w:p>
      <w:pPr>
        <w:pStyle w:val="7"/>
        <w:spacing w:before="0" w:beforeAutospacing="0" w:after="0" w:afterAutospacing="0" w:line="360" w:lineRule="auto"/>
        <w:ind w:firstLine="420"/>
        <w:rPr>
          <w:sz w:val="21"/>
          <w:szCs w:val="21"/>
        </w:rPr>
      </w:pPr>
      <w:r>
        <w:rPr>
          <w:rFonts w:hint="eastAsia"/>
          <w:sz w:val="21"/>
          <w:szCs w:val="21"/>
        </w:rPr>
        <w:t xml:space="preserve">2、重要性原则：内部控制应当在全面控制的基础上，关注重要业务事项和高风险领域； </w:t>
      </w:r>
    </w:p>
    <w:p>
      <w:pPr>
        <w:pStyle w:val="7"/>
        <w:spacing w:before="0" w:beforeAutospacing="0" w:after="0" w:afterAutospacing="0" w:line="360" w:lineRule="auto"/>
        <w:ind w:firstLine="420"/>
        <w:rPr>
          <w:sz w:val="21"/>
          <w:szCs w:val="21"/>
        </w:rPr>
      </w:pPr>
      <w:r>
        <w:rPr>
          <w:rFonts w:hint="eastAsia"/>
          <w:sz w:val="21"/>
          <w:szCs w:val="21"/>
        </w:rPr>
        <w:t xml:space="preserve">3、独立性原则：开展托管业务的部门和岗位的设置应权责分明、相对独立、相互制衡； </w:t>
      </w:r>
    </w:p>
    <w:p>
      <w:pPr>
        <w:pStyle w:val="7"/>
        <w:spacing w:before="0" w:beforeAutospacing="0" w:after="0" w:afterAutospacing="0" w:line="360" w:lineRule="auto"/>
        <w:ind w:firstLine="420"/>
        <w:rPr>
          <w:sz w:val="21"/>
          <w:szCs w:val="21"/>
        </w:rPr>
      </w:pPr>
      <w:r>
        <w:rPr>
          <w:rFonts w:hint="eastAsia"/>
          <w:sz w:val="21"/>
          <w:szCs w:val="21"/>
        </w:rPr>
        <w:t xml:space="preserve">4、审慎性原则：内控与风险管理必须以防范风险，保证托管资产的安全与完整为出发点，“内控优先”，“制度优先”，审慎发展资产托管业务； </w:t>
      </w:r>
    </w:p>
    <w:p>
      <w:pPr>
        <w:pStyle w:val="7"/>
        <w:spacing w:before="0" w:beforeAutospacing="0" w:after="0" w:afterAutospacing="0" w:line="360" w:lineRule="auto"/>
        <w:ind w:firstLine="420"/>
        <w:rPr>
          <w:sz w:val="21"/>
          <w:szCs w:val="21"/>
        </w:rPr>
      </w:pPr>
      <w:r>
        <w:rPr>
          <w:rFonts w:hint="eastAsia"/>
          <w:sz w:val="21"/>
          <w:szCs w:val="21"/>
        </w:rPr>
        <w:t xml:space="preserve">5、制衡性原则：内部控制应当在治理结构、机构设置及权责分配、业务流程等方面形成相互制约、相互监督，同时兼顾运营效率； </w:t>
      </w:r>
    </w:p>
    <w:p>
      <w:pPr>
        <w:pStyle w:val="7"/>
        <w:spacing w:before="0" w:beforeAutospacing="0" w:after="0" w:afterAutospacing="0" w:line="360" w:lineRule="auto"/>
        <w:ind w:firstLine="420"/>
        <w:rPr>
          <w:sz w:val="21"/>
          <w:szCs w:val="21"/>
        </w:rPr>
      </w:pPr>
      <w:r>
        <w:rPr>
          <w:rFonts w:hint="eastAsia"/>
          <w:sz w:val="21"/>
          <w:szCs w:val="21"/>
        </w:rPr>
        <w:t xml:space="preserve">6、适应性原则：内部控制体系应同所处的环境相适应，以合理的成本实现内控目标，内部制度的制订应当具有前瞻性，并应当根据国家政策、法律及经营管理的需要，适时进行相应修改和完善；内部控制存在的问题应当能够得到及时反馈和纠正； </w:t>
      </w:r>
    </w:p>
    <w:p>
      <w:pPr>
        <w:pStyle w:val="7"/>
        <w:spacing w:before="0" w:beforeAutospacing="0" w:after="0" w:afterAutospacing="0" w:line="360" w:lineRule="auto"/>
        <w:ind w:firstLine="420"/>
        <w:rPr>
          <w:sz w:val="21"/>
          <w:szCs w:val="21"/>
        </w:rPr>
      </w:pPr>
      <w:r>
        <w:rPr>
          <w:rFonts w:hint="eastAsia"/>
          <w:sz w:val="21"/>
          <w:szCs w:val="21"/>
        </w:rPr>
        <w:t xml:space="preserve">7、成本效益原则：内部控制应当权衡实施成本与预期效益，以适当的成本实现有效控制。 </w:t>
      </w:r>
    </w:p>
    <w:p>
      <w:pPr>
        <w:pStyle w:val="7"/>
        <w:spacing w:before="0" w:beforeAutospacing="0" w:after="0" w:afterAutospacing="0" w:line="360" w:lineRule="auto"/>
        <w:ind w:firstLine="420"/>
        <w:rPr>
          <w:sz w:val="21"/>
          <w:szCs w:val="21"/>
        </w:rPr>
      </w:pPr>
      <w:r>
        <w:rPr>
          <w:rFonts w:hint="eastAsia"/>
          <w:sz w:val="21"/>
          <w:szCs w:val="21"/>
        </w:rPr>
        <w:t xml:space="preserve">（四）内部控制制度及措施 </w:t>
      </w:r>
    </w:p>
    <w:p>
      <w:pPr>
        <w:pStyle w:val="7"/>
        <w:spacing w:before="0" w:beforeAutospacing="0" w:after="0" w:afterAutospacing="0" w:line="360" w:lineRule="auto"/>
        <w:ind w:firstLine="420"/>
        <w:rPr>
          <w:sz w:val="21"/>
          <w:szCs w:val="21"/>
        </w:rPr>
      </w:pPr>
      <w:r>
        <w:rPr>
          <w:rFonts w:hint="eastAsia"/>
          <w:sz w:val="21"/>
          <w:szCs w:val="21"/>
        </w:rPr>
        <w:t xml:space="preserve">1、制度建设：建立了明确的岗位职责、科学的业务流程、详细的操作手册、严格的人员行为规范等一系列规章制度。 </w:t>
      </w:r>
    </w:p>
    <w:p>
      <w:pPr>
        <w:pStyle w:val="7"/>
        <w:spacing w:before="0" w:beforeAutospacing="0" w:after="0" w:afterAutospacing="0" w:line="360" w:lineRule="auto"/>
        <w:ind w:firstLine="420"/>
        <w:rPr>
          <w:sz w:val="21"/>
          <w:szCs w:val="21"/>
        </w:rPr>
      </w:pPr>
      <w:r>
        <w:rPr>
          <w:rFonts w:hint="eastAsia"/>
          <w:sz w:val="21"/>
          <w:szCs w:val="21"/>
        </w:rPr>
        <w:t xml:space="preserve">2、建立健全的组织管理结构：前后台分离，不同部门、岗位相互牵制。 </w:t>
      </w:r>
    </w:p>
    <w:p>
      <w:pPr>
        <w:pStyle w:val="7"/>
        <w:spacing w:before="0" w:beforeAutospacing="0" w:after="0" w:afterAutospacing="0" w:line="360" w:lineRule="auto"/>
        <w:ind w:firstLine="420"/>
        <w:rPr>
          <w:sz w:val="21"/>
          <w:szCs w:val="21"/>
        </w:rPr>
      </w:pPr>
      <w:r>
        <w:rPr>
          <w:rFonts w:hint="eastAsia"/>
          <w:sz w:val="21"/>
          <w:szCs w:val="21"/>
        </w:rPr>
        <w:t xml:space="preserve">3、风险识别与评估：稽核监察处指导业务处室进行风险识别、评估，制定并实施风险控制措施。 </w:t>
      </w:r>
    </w:p>
    <w:p>
      <w:pPr>
        <w:pStyle w:val="7"/>
        <w:spacing w:before="0" w:beforeAutospacing="0" w:after="0" w:afterAutospacing="0" w:line="360" w:lineRule="auto"/>
        <w:ind w:firstLine="420"/>
        <w:rPr>
          <w:sz w:val="21"/>
          <w:szCs w:val="21"/>
        </w:rPr>
      </w:pPr>
      <w:r>
        <w:rPr>
          <w:rFonts w:hint="eastAsia"/>
          <w:sz w:val="21"/>
          <w:szCs w:val="21"/>
        </w:rPr>
        <w:t xml:space="preserve">4、相对独立的业务操作空间：业务操作区相对独立，实施门禁管理和音像监控。 </w:t>
      </w:r>
    </w:p>
    <w:p>
      <w:pPr>
        <w:pStyle w:val="7"/>
        <w:spacing w:before="0" w:beforeAutospacing="0" w:after="0" w:afterAutospacing="0" w:line="360" w:lineRule="auto"/>
        <w:ind w:firstLine="420"/>
        <w:rPr>
          <w:sz w:val="21"/>
          <w:szCs w:val="21"/>
        </w:rPr>
      </w:pPr>
      <w:r>
        <w:rPr>
          <w:rFonts w:hint="eastAsia"/>
          <w:sz w:val="21"/>
          <w:szCs w:val="21"/>
        </w:rPr>
        <w:t xml:space="preserve">5、人员管理：进行定期的业务与职业道德培训，使员工树立风险防范与控制理念，并签订承诺书。 </w:t>
      </w:r>
    </w:p>
    <w:p>
      <w:pPr>
        <w:pStyle w:val="7"/>
        <w:spacing w:before="0" w:beforeAutospacing="0" w:after="0" w:afterAutospacing="0" w:line="360" w:lineRule="auto"/>
        <w:ind w:firstLine="420"/>
        <w:rPr>
          <w:sz w:val="21"/>
          <w:szCs w:val="21"/>
        </w:rPr>
      </w:pPr>
      <w:r>
        <w:rPr>
          <w:rFonts w:hint="eastAsia"/>
          <w:sz w:val="21"/>
          <w:szCs w:val="21"/>
        </w:rPr>
        <w:t xml:space="preserve">6、应急预案：制定完备的《应急预案》，并组织员工定期演练；建立异地灾备中心，保证业务不中断。 </w:t>
      </w:r>
    </w:p>
    <w:p>
      <w:pPr>
        <w:pStyle w:val="7"/>
        <w:spacing w:before="0" w:beforeAutospacing="0" w:after="0" w:afterAutospacing="0" w:line="360" w:lineRule="auto"/>
        <w:ind w:firstLine="420"/>
        <w:rPr>
          <w:sz w:val="21"/>
          <w:szCs w:val="21"/>
        </w:rPr>
      </w:pPr>
      <w:r>
        <w:rPr>
          <w:rFonts w:hint="eastAsia"/>
          <w:sz w:val="21"/>
          <w:szCs w:val="21"/>
        </w:rPr>
        <w:t xml:space="preserve">五、基金托管人对基金管理人运作基金进行监督的方法和程序 </w:t>
      </w:r>
    </w:p>
    <w:p>
      <w:pPr>
        <w:pStyle w:val="7"/>
        <w:spacing w:before="0" w:beforeAutospacing="0" w:after="0" w:afterAutospacing="0" w:line="360" w:lineRule="auto"/>
        <w:ind w:firstLine="420"/>
        <w:rPr>
          <w:sz w:val="21"/>
          <w:szCs w:val="21"/>
        </w:rPr>
      </w:pPr>
      <w:r>
        <w:rPr>
          <w:rFonts w:hint="eastAsia"/>
          <w:sz w:val="21"/>
          <w:szCs w:val="21"/>
        </w:rPr>
        <w:t xml:space="preserve">基金托管人负有对基金管理人的投资运作行使监督权的职责。根据《基金法》、《运作办法》、基金合同及其他有关规定，托管人对基金的投资对象和范围、投资组合比例、投资限制、费用的计提和支付方式、基金会计核算、基金资产估值和基金净值的计算、收益分配、申购赎回以及其他有关基金投资和运作的事项，对基金管理人进行业务监督、核查。 </w:t>
      </w:r>
    </w:p>
    <w:p>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有违反《基金法》、《运作办法》、基金合同和有关法律法规规定的行为，应及时以书面形式通知基金管理人限期纠正，基金管理人收到通知后应及时核对并以书面形式对基金托管人发出回函。在限期内，基金托管人有权随时对通知事项进行复查，督促基金管理人改正。基金管理人对基金托管人通知的违规事项未能在限期内纠正的，基金托管人应报告中国证监会。基金托管人发现基金管理人有重大违规行为，立即报告中国证监会，同时，通知基金管理人限期纠正，并将纠正结果报告中国证监会。 </w:t>
      </w:r>
    </w:p>
    <w:p>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基金托管人发现基金管理人的指令违反法律、行政法规和其他有关规定，或者违反基金合同约定的，应当拒绝执行，立即通知基金管理人，并及时向中国证监会报告。 </w:t>
      </w:r>
    </w:p>
    <w:p>
      <w:pPr>
        <w:pStyle w:val="7"/>
        <w:spacing w:before="0" w:beforeAutospacing="0" w:after="0" w:afterAutospacing="0" w:line="360" w:lineRule="auto"/>
        <w:ind w:firstLine="420"/>
        <w:rPr>
          <w:sz w:val="21"/>
          <w:szCs w:val="21"/>
        </w:rPr>
      </w:pPr>
      <w:r>
        <w:rPr>
          <w:rFonts w:hint="eastAsia"/>
          <w:sz w:val="21"/>
          <w:szCs w:val="21"/>
        </w:rPr>
        <w:t>基金托管人发现基金管理人依据交易程序已经生效的投资指令违反法律、行政法规和其他有关规定，或者违反基金合同约定的，应当立即通知基金管理人，并及时向中国证监会报</w:t>
      </w:r>
      <w:bookmarkStart w:id="47" w:name="chapter_level1_6_55_section_2_end"/>
      <w:bookmarkEnd w:id="47"/>
      <w:r>
        <w:rPr>
          <w:rFonts w:hint="eastAsia"/>
          <w:sz w:val="21"/>
          <w:szCs w:val="21"/>
        </w:rPr>
        <w:t xml:space="preserve">告。 </w:t>
      </w:r>
      <w:bookmarkStart w:id="48" w:name="field_0_trustcontrollawinfo_1_end"/>
      <w:bookmarkEnd w:id="48"/>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49" w:name="chapter_level1_7_56"/>
      <w:bookmarkStart w:id="50" w:name="_Toc207939901"/>
      <w:r>
        <w:rPr>
          <w:rFonts w:hint="eastAsia" w:ascii="宋体" w:hAnsi="宋体" w:eastAsia="宋体"/>
          <w:sz w:val="30"/>
        </w:rPr>
        <w:t>第五部分  相关服务机构</w:t>
      </w:r>
      <w:bookmarkEnd w:id="49"/>
      <w:bookmarkEnd w:id="50"/>
    </w:p>
    <w:p>
      <w:pPr>
        <w:pStyle w:val="7"/>
        <w:spacing w:before="0" w:beforeAutospacing="0" w:after="0" w:afterAutospacing="0" w:line="360" w:lineRule="auto"/>
        <w:ind w:firstLine="420"/>
        <w:rPr>
          <w:sz w:val="21"/>
          <w:szCs w:val="21"/>
        </w:rPr>
      </w:pPr>
      <w:bookmarkStart w:id="51" w:name="chapter_level1_7_56_section_1"/>
      <w:bookmarkEnd w:id="51"/>
      <w:r>
        <w:rPr>
          <w:rStyle w:val="11"/>
          <w:rFonts w:hint="eastAsia"/>
          <w:sz w:val="21"/>
          <w:szCs w:val="21"/>
        </w:rPr>
        <w:t>一、基金份额销售机构</w:t>
      </w:r>
    </w:p>
    <w:p>
      <w:pPr>
        <w:pStyle w:val="7"/>
        <w:spacing w:before="0" w:beforeAutospacing="0" w:after="0" w:afterAutospacing="0" w:line="360" w:lineRule="auto"/>
        <w:ind w:firstLine="420"/>
        <w:rPr>
          <w:sz w:val="21"/>
          <w:szCs w:val="21"/>
        </w:rPr>
      </w:pPr>
      <w:r>
        <w:rPr>
          <w:rFonts w:hint="eastAsia"/>
          <w:sz w:val="21"/>
          <w:szCs w:val="21"/>
        </w:rPr>
        <w:t xml:space="preserve">1、直销机构 </w:t>
      </w:r>
    </w:p>
    <w:p>
      <w:pPr>
        <w:pStyle w:val="7"/>
        <w:spacing w:before="0" w:beforeAutospacing="0" w:after="0" w:afterAutospacing="0" w:line="360" w:lineRule="auto"/>
        <w:ind w:firstLine="420"/>
        <w:rPr>
          <w:sz w:val="21"/>
          <w:szCs w:val="21"/>
        </w:rPr>
      </w:pPr>
      <w:bookmarkStart w:id="52" w:name="field_0_marketcompanyinfo_1_start"/>
      <w:bookmarkEnd w:id="52"/>
      <w:r>
        <w:rPr>
          <w:rFonts w:hint="eastAsia"/>
          <w:sz w:val="21"/>
          <w:szCs w:val="21"/>
        </w:rPr>
        <w:t xml:space="preserve">名称：博时基金管理有限公司北京直销中心 </w:t>
      </w:r>
    </w:p>
    <w:p>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 xml:space="preserve">电话：010-65187055 </w:t>
      </w:r>
    </w:p>
    <w:p>
      <w:pPr>
        <w:pStyle w:val="7"/>
        <w:spacing w:before="0" w:beforeAutospacing="0" w:after="0" w:afterAutospacing="0" w:line="360" w:lineRule="auto"/>
        <w:ind w:firstLine="420"/>
        <w:rPr>
          <w:sz w:val="21"/>
          <w:szCs w:val="21"/>
        </w:rPr>
      </w:pPr>
      <w:r>
        <w:rPr>
          <w:rFonts w:hint="eastAsia"/>
          <w:sz w:val="21"/>
          <w:szCs w:val="21"/>
        </w:rPr>
        <w:t xml:space="preserve">传真：010-65187032 </w:t>
      </w:r>
    </w:p>
    <w:p>
      <w:pPr>
        <w:pStyle w:val="7"/>
        <w:spacing w:before="0" w:beforeAutospacing="0" w:after="0" w:afterAutospacing="0" w:line="360" w:lineRule="auto"/>
        <w:ind w:firstLine="420"/>
        <w:rPr>
          <w:sz w:val="21"/>
          <w:szCs w:val="21"/>
        </w:rPr>
      </w:pPr>
      <w:r>
        <w:rPr>
          <w:rFonts w:hint="eastAsia"/>
          <w:sz w:val="21"/>
          <w:szCs w:val="21"/>
        </w:rPr>
        <w:t xml:space="preserve">联系人：韩明亮 </w:t>
      </w:r>
    </w:p>
    <w:p>
      <w:pPr>
        <w:pStyle w:val="7"/>
        <w:spacing w:before="0" w:beforeAutospacing="0" w:after="0" w:afterAutospacing="0" w:line="360" w:lineRule="auto"/>
        <w:ind w:firstLine="420"/>
        <w:rPr>
          <w:sz w:val="21"/>
          <w:szCs w:val="21"/>
        </w:rPr>
      </w:pPr>
      <w:bookmarkStart w:id="53" w:name="chapter_level1_7_56_section_1_end"/>
      <w:bookmarkEnd w:id="53"/>
      <w:r>
        <w:rPr>
          <w:rFonts w:hint="eastAsia"/>
          <w:sz w:val="21"/>
          <w:szCs w:val="21"/>
        </w:rPr>
        <w:t xml:space="preserve">博时一线通：95105568（免长途话费） </w:t>
      </w:r>
      <w:bookmarkStart w:id="54" w:name="field_0_marketcompanyinfo_1_end"/>
      <w:bookmarkEnd w:id="54"/>
      <w:r>
        <w:rPr>
          <w:rFonts w:hint="eastAsia"/>
          <w:sz w:val="21"/>
          <w:szCs w:val="21"/>
        </w:rPr>
        <w:t xml:space="preserve">  </w:t>
      </w:r>
    </w:p>
    <w:p>
      <w:pPr>
        <w:pStyle w:val="7"/>
        <w:spacing w:before="0" w:beforeAutospacing="0" w:after="0" w:afterAutospacing="0" w:line="360" w:lineRule="auto"/>
        <w:ind w:firstLine="420"/>
        <w:rPr>
          <w:sz w:val="21"/>
          <w:szCs w:val="21"/>
        </w:rPr>
      </w:pPr>
      <w:bookmarkStart w:id="55" w:name="chapter_level1_7_56_section_2"/>
      <w:bookmarkEnd w:id="55"/>
      <w:r>
        <w:rPr>
          <w:rFonts w:hint="eastAsia"/>
          <w:sz w:val="21"/>
          <w:szCs w:val="21"/>
        </w:rPr>
        <w:t xml:space="preserve">2、代销机构 </w:t>
      </w:r>
    </w:p>
    <w:p>
      <w:pPr>
        <w:pStyle w:val="7"/>
        <w:spacing w:before="0" w:beforeAutospacing="0" w:after="0" w:afterAutospacing="0" w:line="360" w:lineRule="auto"/>
        <w:ind w:firstLine="420"/>
        <w:rPr>
          <w:sz w:val="21"/>
          <w:szCs w:val="21"/>
        </w:rPr>
      </w:pPr>
      <w:bookmarkStart w:id="56" w:name="field_0_allproxysaletables_1_start"/>
      <w:bookmarkEnd w:id="56"/>
      <w:r>
        <w:rPr>
          <w:rFonts w:hint="eastAsia"/>
          <w:b/>
          <w:bCs/>
          <w:sz w:val="21"/>
          <w:szCs w:val="21"/>
        </w:rPr>
        <w:t>(1)招商银行股份有限公司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深圳市福田区深南大道7088号招商银行大厦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深圳市福田区深南大道7088号招商银行大厦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缪建民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季平伟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0755－83198888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0755－83195049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http://www.cmbchina.com/ </w:t>
            </w:r>
          </w:p>
        </w:tc>
      </w:tr>
    </w:tbl>
    <w:p>
      <w:pPr>
        <w:pStyle w:val="7"/>
        <w:spacing w:before="0" w:beforeAutospacing="0" w:after="0" w:afterAutospacing="0" w:line="360" w:lineRule="auto"/>
        <w:ind w:firstLine="420"/>
        <w:rPr>
          <w:sz w:val="21"/>
          <w:szCs w:val="21"/>
        </w:rPr>
      </w:pPr>
      <w:r>
        <w:rPr>
          <w:rFonts w:hint="eastAsia"/>
          <w:b/>
          <w:bCs/>
          <w:sz w:val="21"/>
          <w:szCs w:val="21"/>
        </w:rPr>
        <w:t>(2)兴业银行股份有限公司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福州市湖东路154号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上海市江宁路168号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吕家进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曾鸣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021-52629999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www.cib.com.cn </w:t>
            </w:r>
          </w:p>
        </w:tc>
      </w:tr>
    </w:tbl>
    <w:p>
      <w:pPr>
        <w:pStyle w:val="7"/>
        <w:spacing w:before="0" w:beforeAutospacing="0" w:after="0" w:afterAutospacing="0" w:line="360" w:lineRule="auto"/>
        <w:ind w:firstLine="420"/>
        <w:rPr>
          <w:sz w:val="21"/>
          <w:szCs w:val="21"/>
        </w:rPr>
      </w:pPr>
      <w:r>
        <w:rPr>
          <w:rFonts w:hint="eastAsia"/>
          <w:b/>
          <w:bCs/>
          <w:sz w:val="21"/>
          <w:szCs w:val="21"/>
        </w:rPr>
        <w:t>(3)苏州银行股份有限公司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江苏省苏州市工业园区钟园路728号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江苏省苏州市工业园区钟园路728号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崔庆军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0512-69868373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0512-69868370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96067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www.suzhoubank.com </w:t>
            </w:r>
          </w:p>
        </w:tc>
      </w:tr>
    </w:tbl>
    <w:p>
      <w:pPr>
        <w:pStyle w:val="7"/>
        <w:spacing w:before="0" w:beforeAutospacing="0" w:after="0" w:afterAutospacing="0" w:line="360" w:lineRule="auto"/>
        <w:ind w:firstLine="420"/>
        <w:rPr>
          <w:sz w:val="21"/>
          <w:szCs w:val="21"/>
        </w:rPr>
      </w:pPr>
      <w:r>
        <w:rPr>
          <w:rFonts w:hint="eastAsia"/>
          <w:b/>
          <w:bCs/>
          <w:sz w:val="21"/>
          <w:szCs w:val="21"/>
        </w:rPr>
        <w:t>(4)鼎信汇金（北京）投资管理有限公司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北京市朝阳区霄云路40号院1号楼3层306室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北京市朝阳区霄云路40号院1号楼3层306室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齐凌峰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010-84489488-8702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010-82086110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400-158-5050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www.9ifund.com </w:t>
            </w:r>
          </w:p>
        </w:tc>
      </w:tr>
    </w:tbl>
    <w:p>
      <w:pPr>
        <w:pStyle w:val="7"/>
        <w:spacing w:before="0" w:beforeAutospacing="0" w:after="0" w:afterAutospacing="0" w:line="360" w:lineRule="auto"/>
        <w:ind w:firstLine="420"/>
        <w:rPr>
          <w:sz w:val="21"/>
          <w:szCs w:val="21"/>
        </w:rPr>
      </w:pPr>
      <w:r>
        <w:rPr>
          <w:rFonts w:hint="eastAsia"/>
          <w:b/>
          <w:bCs/>
          <w:sz w:val="21"/>
          <w:szCs w:val="21"/>
        </w:rPr>
        <w:t>(5)上海挖财基金销售有限公司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中国（上海）自由贸易试验区杨高南路799号5楼01、02、03室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上海市浦东新区杨高南路799号陆家嘴世纪金融广场3号楼5层01、02、03室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吕柳霞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021-50810687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021-58300279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021-50810673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http://wacaijijin.com/ </w:t>
            </w:r>
          </w:p>
        </w:tc>
      </w:tr>
    </w:tbl>
    <w:p>
      <w:pPr>
        <w:pStyle w:val="7"/>
        <w:spacing w:before="0" w:beforeAutospacing="0" w:after="0" w:afterAutospacing="0" w:line="360" w:lineRule="auto"/>
        <w:ind w:firstLine="420"/>
        <w:rPr>
          <w:sz w:val="21"/>
          <w:szCs w:val="21"/>
        </w:rPr>
      </w:pPr>
      <w:r>
        <w:rPr>
          <w:rFonts w:hint="eastAsia"/>
          <w:b/>
          <w:bCs/>
          <w:sz w:val="21"/>
          <w:szCs w:val="21"/>
        </w:rPr>
        <w:t>(6)腾安基金销售（深圳）有限公司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深圳市前海深港合作区前湾一路1号A栋201室（入驻深圳市前海商务秘书有限公司）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深圳市南山区海天二路33号腾讯滨海大厦15层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刘明军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谭广锋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0755-86013399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95017(拨通后转1再转8)；4000890555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https://www.txfund.com/ </w:t>
            </w:r>
          </w:p>
        </w:tc>
      </w:tr>
    </w:tbl>
    <w:p>
      <w:pPr>
        <w:pStyle w:val="7"/>
        <w:spacing w:before="0" w:beforeAutospacing="0" w:after="0" w:afterAutospacing="0" w:line="360" w:lineRule="auto"/>
        <w:ind w:firstLine="420"/>
        <w:rPr>
          <w:sz w:val="21"/>
          <w:szCs w:val="21"/>
        </w:rPr>
      </w:pPr>
      <w:r>
        <w:rPr>
          <w:rFonts w:hint="eastAsia"/>
          <w:b/>
          <w:bCs/>
          <w:sz w:val="21"/>
          <w:szCs w:val="21"/>
        </w:rPr>
        <w:t>(7)北京度小满基金销售有限公司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北京市海淀区西北旺东路10号院西区4号楼1层103室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北京市海淀区西北旺东路10号院西区4号楼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葛新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孙博超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010-59403028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010-59403027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95055-4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www.duxiaomanfund.com </w:t>
            </w:r>
          </w:p>
        </w:tc>
      </w:tr>
    </w:tbl>
    <w:p>
      <w:pPr>
        <w:pStyle w:val="7"/>
        <w:spacing w:before="0" w:beforeAutospacing="0" w:after="0" w:afterAutospacing="0" w:line="360" w:lineRule="auto"/>
        <w:ind w:firstLine="420"/>
        <w:rPr>
          <w:sz w:val="21"/>
          <w:szCs w:val="21"/>
        </w:rPr>
      </w:pPr>
      <w:r>
        <w:rPr>
          <w:rFonts w:hint="eastAsia"/>
          <w:b/>
          <w:bCs/>
          <w:sz w:val="21"/>
          <w:szCs w:val="21"/>
        </w:rPr>
        <w:t>(8)博时财富基金销售有限公司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王德英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崔丹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0755-83169999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0755-83195220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400-610-5568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www.boserawealth.com </w:t>
            </w:r>
          </w:p>
        </w:tc>
      </w:tr>
    </w:tbl>
    <w:p>
      <w:pPr>
        <w:pStyle w:val="7"/>
        <w:spacing w:before="0" w:beforeAutospacing="0" w:after="0" w:afterAutospacing="0" w:line="360" w:lineRule="auto"/>
        <w:ind w:firstLine="420"/>
        <w:rPr>
          <w:sz w:val="21"/>
          <w:szCs w:val="21"/>
        </w:rPr>
      </w:pPr>
      <w:r>
        <w:rPr>
          <w:rFonts w:hint="eastAsia"/>
          <w:b/>
          <w:bCs/>
          <w:sz w:val="21"/>
          <w:szCs w:val="21"/>
        </w:rPr>
        <w:t>(9)诺亚正行基金销售有限公司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上海市虹口区飞虹路360弄9号6层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上海市闵行区申滨南路1226号诺亚财富中心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吴卫国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黄欣文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021-38602377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021-38509777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400-821-5399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http://www.noah-fund.com </w:t>
            </w:r>
          </w:p>
        </w:tc>
      </w:tr>
    </w:tbl>
    <w:p>
      <w:pPr>
        <w:pStyle w:val="7"/>
        <w:spacing w:before="0" w:beforeAutospacing="0" w:after="0" w:afterAutospacing="0" w:line="360" w:lineRule="auto"/>
        <w:ind w:firstLine="420"/>
        <w:rPr>
          <w:sz w:val="21"/>
          <w:szCs w:val="21"/>
        </w:rPr>
      </w:pPr>
      <w:r>
        <w:rPr>
          <w:rFonts w:hint="eastAsia"/>
          <w:b/>
          <w:bCs/>
          <w:sz w:val="21"/>
          <w:szCs w:val="21"/>
        </w:rPr>
        <w:t>(10)上海天天基金销售有限公司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上海市徐汇区龙田路190号2号楼2层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上海市徐汇区龙田路195号3C座9楼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其实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潘世友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021-54509998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021-64385308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400-181-8188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http://www.1234567.com.cn </w:t>
            </w:r>
          </w:p>
        </w:tc>
      </w:tr>
    </w:tbl>
    <w:p>
      <w:pPr>
        <w:pStyle w:val="7"/>
        <w:spacing w:before="0" w:beforeAutospacing="0" w:after="0" w:afterAutospacing="0" w:line="360" w:lineRule="auto"/>
        <w:ind w:firstLine="420"/>
        <w:rPr>
          <w:sz w:val="21"/>
          <w:szCs w:val="21"/>
        </w:rPr>
      </w:pPr>
      <w:r>
        <w:rPr>
          <w:rFonts w:hint="eastAsia"/>
          <w:b/>
          <w:bCs/>
          <w:sz w:val="21"/>
          <w:szCs w:val="21"/>
        </w:rPr>
        <w:t>(11)蚂蚁（杭州）基金销售有限公司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浙江省杭州市余杭区五常街道文一西路969号3幢5层599室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浙江省杭州市西湖区西溪路556号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韩爱彬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021-60897840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0571-26697013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http://www.fund123.cn </w:t>
            </w:r>
          </w:p>
        </w:tc>
      </w:tr>
    </w:tbl>
    <w:p>
      <w:pPr>
        <w:pStyle w:val="7"/>
        <w:spacing w:before="0" w:beforeAutospacing="0" w:after="0" w:afterAutospacing="0" w:line="360" w:lineRule="auto"/>
        <w:ind w:firstLine="420"/>
        <w:rPr>
          <w:sz w:val="21"/>
          <w:szCs w:val="21"/>
        </w:rPr>
      </w:pPr>
      <w:r>
        <w:rPr>
          <w:rFonts w:hint="eastAsia"/>
          <w:b/>
          <w:bCs/>
          <w:sz w:val="21"/>
          <w:szCs w:val="21"/>
        </w:rPr>
        <w:t>(12)浙江同花顺基金销售有限公司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杭州市西湖区文二西路1号元茂大厦903室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浙江省杭州市余杭区五常街道同顺街18号同花顺大楼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凌顺平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0571-88911818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0571-86800423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952555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www.5ifund.com </w:t>
            </w:r>
          </w:p>
        </w:tc>
      </w:tr>
    </w:tbl>
    <w:p>
      <w:pPr>
        <w:pStyle w:val="7"/>
        <w:spacing w:before="0" w:beforeAutospacing="0" w:after="0" w:afterAutospacing="0" w:line="360" w:lineRule="auto"/>
        <w:ind w:firstLine="420"/>
        <w:rPr>
          <w:sz w:val="21"/>
          <w:szCs w:val="21"/>
        </w:rPr>
      </w:pPr>
      <w:r>
        <w:rPr>
          <w:rFonts w:hint="eastAsia"/>
          <w:b/>
          <w:bCs/>
          <w:sz w:val="21"/>
          <w:szCs w:val="21"/>
        </w:rPr>
        <w:t>(13)上海利得基金销售有限公司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上海市宝山区蕴川路5475号1033室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上海浦东新区峨山路91弄61号10号楼12楼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李兴春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021-50583533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021-50583633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400-921-7755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http://a.leadfund.com.cn/ </w:t>
            </w:r>
          </w:p>
        </w:tc>
      </w:tr>
    </w:tbl>
    <w:p>
      <w:pPr>
        <w:pStyle w:val="7"/>
        <w:spacing w:before="0" w:beforeAutospacing="0" w:after="0" w:afterAutospacing="0" w:line="360" w:lineRule="auto"/>
        <w:ind w:firstLine="420"/>
        <w:rPr>
          <w:sz w:val="21"/>
          <w:szCs w:val="21"/>
        </w:rPr>
      </w:pPr>
      <w:r>
        <w:rPr>
          <w:rFonts w:hint="eastAsia"/>
          <w:b/>
          <w:bCs/>
          <w:sz w:val="21"/>
          <w:szCs w:val="21"/>
        </w:rPr>
        <w:t>(14)嘉实财富管理有限公司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上海市浦东新区世纪大道8号上海国金中心办公楼二期46层4609-10单元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北京市朝阳区建国门外大街21号北京国际俱乐部C座写字楼11层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赵学军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余永键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010-85097570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010-65215433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400-021-8850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www.harvestwm.cn </w:t>
            </w:r>
          </w:p>
        </w:tc>
      </w:tr>
    </w:tbl>
    <w:p>
      <w:pPr>
        <w:pStyle w:val="7"/>
        <w:spacing w:before="0" w:beforeAutospacing="0" w:after="0" w:afterAutospacing="0" w:line="360" w:lineRule="auto"/>
        <w:ind w:firstLine="420"/>
        <w:rPr>
          <w:sz w:val="21"/>
          <w:szCs w:val="21"/>
        </w:rPr>
      </w:pPr>
      <w:r>
        <w:rPr>
          <w:rFonts w:hint="eastAsia"/>
          <w:b/>
          <w:bCs/>
          <w:sz w:val="21"/>
          <w:szCs w:val="21"/>
        </w:rPr>
        <w:t>(15)泛华普益基金销售有限公司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四川省成都市成华区建设路9号高地中心1101室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四川省成都市成华区建设路9号高地中心1101室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于海锋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邓鹏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028-66980977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028-82000996-805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028-84252474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www.puyiwm.com </w:t>
            </w:r>
          </w:p>
        </w:tc>
      </w:tr>
    </w:tbl>
    <w:p>
      <w:pPr>
        <w:pStyle w:val="7"/>
        <w:spacing w:before="0" w:beforeAutospacing="0" w:after="0" w:afterAutospacing="0" w:line="360" w:lineRule="auto"/>
        <w:ind w:firstLine="420"/>
        <w:rPr>
          <w:sz w:val="21"/>
          <w:szCs w:val="21"/>
        </w:rPr>
      </w:pPr>
      <w:r>
        <w:rPr>
          <w:rFonts w:hint="eastAsia"/>
          <w:b/>
          <w:bCs/>
          <w:sz w:val="21"/>
          <w:szCs w:val="21"/>
        </w:rPr>
        <w:t>(16)宜信普泽（北京）基金销售有限公司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北京市朝阳区建国路88号9号楼15层1809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北京市朝阳区建国路88号SOHO现代城C座18层1809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戎兵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程刚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010-52855713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010-85894285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400-609-9200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http://www.yixinfund.com </w:t>
            </w:r>
          </w:p>
        </w:tc>
      </w:tr>
    </w:tbl>
    <w:p>
      <w:pPr>
        <w:pStyle w:val="7"/>
        <w:spacing w:before="0" w:beforeAutospacing="0" w:after="0" w:afterAutospacing="0" w:line="360" w:lineRule="auto"/>
        <w:ind w:firstLine="420"/>
        <w:rPr>
          <w:sz w:val="21"/>
          <w:szCs w:val="21"/>
        </w:rPr>
      </w:pPr>
      <w:r>
        <w:rPr>
          <w:rFonts w:hint="eastAsia"/>
          <w:b/>
          <w:bCs/>
          <w:sz w:val="21"/>
          <w:szCs w:val="21"/>
        </w:rPr>
        <w:t>(17)南京苏宁基金销售有限公司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南京市玄武区苏宁大道1-5号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南京市玄武区苏宁大道1-5号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钱燕飞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喻明明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025-66996699-884131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025-66996699-884131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www.snjijin.com </w:t>
            </w:r>
          </w:p>
        </w:tc>
      </w:tr>
    </w:tbl>
    <w:p>
      <w:pPr>
        <w:pStyle w:val="7"/>
        <w:spacing w:before="0" w:beforeAutospacing="0" w:after="0" w:afterAutospacing="0" w:line="360" w:lineRule="auto"/>
        <w:ind w:firstLine="420"/>
        <w:rPr>
          <w:sz w:val="21"/>
          <w:szCs w:val="21"/>
        </w:rPr>
      </w:pPr>
      <w:r>
        <w:rPr>
          <w:rFonts w:hint="eastAsia"/>
          <w:b/>
          <w:bCs/>
          <w:sz w:val="21"/>
          <w:szCs w:val="21"/>
        </w:rPr>
        <w:t>(18)北京新浪仓石基金销售有限公司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北京市海淀区东北旺西路中关村软件园二期（西扩）N-1、N-2地块新浪总部科研楼5层518室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北京市海淀区西北旺东路10号院东区3号楼为明大厦C座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010-62675768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010-62676582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010-62675369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www.xincai.com </w:t>
            </w:r>
          </w:p>
        </w:tc>
      </w:tr>
    </w:tbl>
    <w:p>
      <w:pPr>
        <w:pStyle w:val="7"/>
        <w:spacing w:before="0" w:beforeAutospacing="0" w:after="0" w:afterAutospacing="0" w:line="360" w:lineRule="auto"/>
        <w:ind w:firstLine="420"/>
        <w:rPr>
          <w:sz w:val="21"/>
          <w:szCs w:val="21"/>
        </w:rPr>
      </w:pPr>
      <w:r>
        <w:rPr>
          <w:rFonts w:hint="eastAsia"/>
          <w:b/>
          <w:bCs/>
          <w:sz w:val="21"/>
          <w:szCs w:val="21"/>
        </w:rPr>
        <w:t>(19)上海万得基金销售有限公司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中国（上海）自由贸易试验区福山路33号11楼B座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上海市浦东新区浦明路1500号万得大厦11楼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王廷富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姜吉灵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021-5132 7185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021-6888 2281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400-821-0203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www.520fund.com.cn </w:t>
            </w:r>
          </w:p>
        </w:tc>
      </w:tr>
    </w:tbl>
    <w:p>
      <w:pPr>
        <w:pStyle w:val="7"/>
        <w:spacing w:before="0" w:beforeAutospacing="0" w:after="0" w:afterAutospacing="0" w:line="360" w:lineRule="auto"/>
        <w:ind w:firstLine="420"/>
        <w:rPr>
          <w:sz w:val="21"/>
          <w:szCs w:val="21"/>
        </w:rPr>
      </w:pPr>
      <w:r>
        <w:rPr>
          <w:rFonts w:hint="eastAsia"/>
          <w:b/>
          <w:bCs/>
          <w:sz w:val="21"/>
          <w:szCs w:val="21"/>
        </w:rPr>
        <w:t>(20)上海联泰基金销售有限公司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上海市普陀区兰溪路900弄15号526室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上海市虹口区溧阳路735号2幢3层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尹彬彬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兰敏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021-62680166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021-52975270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400-118-1188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www.66liantai.com </w:t>
            </w:r>
          </w:p>
        </w:tc>
      </w:tr>
    </w:tbl>
    <w:p>
      <w:pPr>
        <w:pStyle w:val="7"/>
        <w:spacing w:before="0" w:beforeAutospacing="0" w:after="0" w:afterAutospacing="0" w:line="360" w:lineRule="auto"/>
        <w:ind w:firstLine="420"/>
        <w:rPr>
          <w:sz w:val="21"/>
          <w:szCs w:val="21"/>
        </w:rPr>
      </w:pPr>
      <w:r>
        <w:rPr>
          <w:rFonts w:hint="eastAsia"/>
          <w:b/>
          <w:bCs/>
          <w:sz w:val="21"/>
          <w:szCs w:val="21"/>
        </w:rPr>
        <w:t>(21)上海基煜基金销售有限公司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上海市黄浦区广东路500号30层3001单元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上海市浦东新区银城中路488号太平金融大厦1503室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蓝杰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021-65370077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021-55085991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www.jiyufund.com.cn </w:t>
            </w:r>
          </w:p>
        </w:tc>
      </w:tr>
    </w:tbl>
    <w:p>
      <w:pPr>
        <w:pStyle w:val="7"/>
        <w:spacing w:before="0" w:beforeAutospacing="0" w:after="0" w:afterAutospacing="0" w:line="360" w:lineRule="auto"/>
        <w:ind w:firstLine="420"/>
        <w:rPr>
          <w:sz w:val="21"/>
          <w:szCs w:val="21"/>
        </w:rPr>
      </w:pPr>
      <w:r>
        <w:rPr>
          <w:rFonts w:hint="eastAsia"/>
          <w:b/>
          <w:bCs/>
          <w:sz w:val="21"/>
          <w:szCs w:val="21"/>
        </w:rPr>
        <w:t>(22)上海陆金所基金销售有限公司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上海市浦东新区陆家嘴环路1333号14楼09单元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上海市浦东新区陆家嘴环路1333号14楼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郭坚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宁博宇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021-20665952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021-22066653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400-821-9031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www.lufunds.com </w:t>
            </w:r>
          </w:p>
        </w:tc>
      </w:tr>
    </w:tbl>
    <w:p>
      <w:pPr>
        <w:pStyle w:val="7"/>
        <w:spacing w:before="0" w:beforeAutospacing="0" w:after="0" w:afterAutospacing="0" w:line="360" w:lineRule="auto"/>
        <w:ind w:firstLine="420"/>
        <w:rPr>
          <w:sz w:val="21"/>
          <w:szCs w:val="21"/>
        </w:rPr>
      </w:pPr>
      <w:r>
        <w:rPr>
          <w:rFonts w:hint="eastAsia"/>
          <w:b/>
          <w:bCs/>
          <w:sz w:val="21"/>
          <w:szCs w:val="21"/>
        </w:rPr>
        <w:t>(23)珠海盈米基金销售有限公司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珠海市横琴新区宝华路6号105室-3491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广州市海珠区琶洲大道东1号保利国际广场南塔12楼B1201-1203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吴煜浩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020-89629099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020-89629011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020-89629066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www.yingmi.cn </w:t>
            </w:r>
          </w:p>
        </w:tc>
      </w:tr>
    </w:tbl>
    <w:p>
      <w:pPr>
        <w:pStyle w:val="7"/>
        <w:spacing w:before="0" w:beforeAutospacing="0" w:after="0" w:afterAutospacing="0" w:line="360" w:lineRule="auto"/>
        <w:ind w:firstLine="420"/>
        <w:rPr>
          <w:sz w:val="21"/>
          <w:szCs w:val="21"/>
        </w:rPr>
      </w:pPr>
      <w:r>
        <w:rPr>
          <w:rFonts w:hint="eastAsia"/>
          <w:b/>
          <w:bCs/>
          <w:sz w:val="21"/>
          <w:szCs w:val="21"/>
        </w:rPr>
        <w:t>(24)奕丰基金销售有限公司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深圳市前海深港合作区前湾一路1号A 栋 201 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深圳市南山区海德三道航天科技广场A座17楼1703-04室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TEO WEE HOWE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叶健、左琴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0755-89460507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0755-21674453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400-684-0500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www.ifastps.com.cn </w:t>
            </w:r>
          </w:p>
        </w:tc>
      </w:tr>
    </w:tbl>
    <w:p>
      <w:pPr>
        <w:pStyle w:val="7"/>
        <w:spacing w:before="0" w:beforeAutospacing="0" w:after="0" w:afterAutospacing="0" w:line="360" w:lineRule="auto"/>
        <w:ind w:firstLine="420"/>
        <w:rPr>
          <w:sz w:val="21"/>
          <w:szCs w:val="21"/>
        </w:rPr>
      </w:pPr>
      <w:r>
        <w:rPr>
          <w:rFonts w:hint="eastAsia"/>
          <w:b/>
          <w:bCs/>
          <w:sz w:val="21"/>
          <w:szCs w:val="21"/>
        </w:rPr>
        <w:t>(25)中证金牛（北京）基金销售有限公司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北京市丰台区东管头1号2号楼2-45室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北京市西城区宣武门外大街甲1号环球财讯中心A座4层、5层  （邮寄填写4层）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吴志坚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焦金岩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010-63156530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010-63156532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400-890-9998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www.jnlc.com </w:t>
            </w:r>
          </w:p>
        </w:tc>
      </w:tr>
    </w:tbl>
    <w:p>
      <w:pPr>
        <w:pStyle w:val="7"/>
        <w:spacing w:before="0" w:beforeAutospacing="0" w:after="0" w:afterAutospacing="0" w:line="360" w:lineRule="auto"/>
        <w:ind w:firstLine="420"/>
        <w:rPr>
          <w:sz w:val="21"/>
          <w:szCs w:val="21"/>
        </w:rPr>
      </w:pPr>
      <w:r>
        <w:rPr>
          <w:rFonts w:hint="eastAsia"/>
          <w:b/>
          <w:bCs/>
          <w:sz w:val="21"/>
          <w:szCs w:val="21"/>
        </w:rPr>
        <w:t>(26)京东肯特瑞基金销售有限公司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北京市海淀区海淀东三街2号4层401-15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北京市经济开发区科创十一街18号院京东总部A座4层A428室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江卉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徐伯宇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400-098-8511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010-89188000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400-088-8816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http://jr.jd.com/ </w:t>
            </w:r>
          </w:p>
        </w:tc>
      </w:tr>
    </w:tbl>
    <w:p>
      <w:pPr>
        <w:pStyle w:val="7"/>
        <w:spacing w:before="0" w:beforeAutospacing="0" w:after="0" w:afterAutospacing="0" w:line="360" w:lineRule="auto"/>
        <w:ind w:firstLine="420"/>
        <w:rPr>
          <w:sz w:val="21"/>
          <w:szCs w:val="21"/>
        </w:rPr>
      </w:pPr>
      <w:r>
        <w:rPr>
          <w:rFonts w:hint="eastAsia"/>
          <w:b/>
          <w:bCs/>
          <w:sz w:val="21"/>
          <w:szCs w:val="21"/>
        </w:rPr>
        <w:t>(27)深圳市金斧子基金销售有限公司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赖任军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刘昕霞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0755-29330513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0755-26920530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400-822-4888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www.jfzinv.com </w:t>
            </w:r>
          </w:p>
        </w:tc>
      </w:tr>
    </w:tbl>
    <w:p>
      <w:pPr>
        <w:pStyle w:val="7"/>
        <w:spacing w:before="0" w:beforeAutospacing="0" w:after="0" w:afterAutospacing="0" w:line="360" w:lineRule="auto"/>
        <w:ind w:firstLine="420"/>
        <w:rPr>
          <w:sz w:val="21"/>
          <w:szCs w:val="21"/>
        </w:rPr>
      </w:pPr>
      <w:r>
        <w:rPr>
          <w:rFonts w:hint="eastAsia"/>
          <w:b/>
          <w:bCs/>
          <w:sz w:val="21"/>
          <w:szCs w:val="21"/>
        </w:rPr>
        <w:t>(28)北京雪球基金销售有限公司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戚晓强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15810005516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010-85659484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400-061-8518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danjuanapp.com </w:t>
            </w:r>
          </w:p>
        </w:tc>
      </w:tr>
    </w:tbl>
    <w:p>
      <w:pPr>
        <w:pStyle w:val="7"/>
        <w:spacing w:before="0" w:beforeAutospacing="0" w:after="0" w:afterAutospacing="0" w:line="360" w:lineRule="auto"/>
        <w:ind w:firstLine="420"/>
        <w:rPr>
          <w:sz w:val="21"/>
          <w:szCs w:val="21"/>
        </w:rPr>
      </w:pPr>
      <w:r>
        <w:rPr>
          <w:rFonts w:hint="eastAsia"/>
          <w:b/>
          <w:bCs/>
          <w:sz w:val="21"/>
          <w:szCs w:val="21"/>
        </w:rPr>
        <w:t>(29)上海华夏财富投资管理有限公司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毛淮平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张静怡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010-88066326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400-817-5666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https://www.amcfortune.com/ </w:t>
            </w:r>
          </w:p>
        </w:tc>
      </w:tr>
    </w:tbl>
    <w:p>
      <w:pPr>
        <w:pStyle w:val="7"/>
        <w:spacing w:before="0" w:beforeAutospacing="0" w:after="0" w:afterAutospacing="0" w:line="360" w:lineRule="auto"/>
        <w:ind w:firstLine="420"/>
        <w:rPr>
          <w:sz w:val="21"/>
          <w:szCs w:val="21"/>
        </w:rPr>
      </w:pPr>
      <w:r>
        <w:rPr>
          <w:rFonts w:hint="eastAsia"/>
          <w:b/>
          <w:bCs/>
          <w:sz w:val="21"/>
          <w:szCs w:val="21"/>
        </w:rPr>
        <w:t>(30)中信期货有限公司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深圳市福田区中心三路8号卓越时代广场（二期）北座13层1301-1305室、14层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深圳市福田区中心三路8号卓越时代广场（二期）北座13层1301-1305室、14层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梁美娜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021-80365243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021-60819988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400-990-8826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www.citicsf.com </w:t>
            </w:r>
          </w:p>
        </w:tc>
      </w:tr>
    </w:tbl>
    <w:p>
      <w:pPr>
        <w:pStyle w:val="7"/>
        <w:spacing w:before="0" w:beforeAutospacing="0" w:after="0" w:afterAutospacing="0" w:line="360" w:lineRule="auto"/>
        <w:ind w:firstLine="420"/>
        <w:rPr>
          <w:sz w:val="21"/>
          <w:szCs w:val="21"/>
        </w:rPr>
      </w:pPr>
      <w:r>
        <w:rPr>
          <w:rFonts w:hint="eastAsia"/>
          <w:b/>
          <w:bCs/>
          <w:sz w:val="21"/>
          <w:szCs w:val="21"/>
        </w:rPr>
        <w:t>(31)国泰海通证券股份有限公司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中国（上海）自由贸易试验区商城路618号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上海市静安区南京西路768号国泰君安大厦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朱健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钟伟镇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021-38676666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021-38670666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95521/4008888666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https://www.gtht.com </w:t>
            </w:r>
          </w:p>
        </w:tc>
      </w:tr>
    </w:tbl>
    <w:p>
      <w:pPr>
        <w:pStyle w:val="7"/>
        <w:spacing w:before="0" w:beforeAutospacing="0" w:after="0" w:afterAutospacing="0" w:line="360" w:lineRule="auto"/>
        <w:ind w:firstLine="420"/>
        <w:rPr>
          <w:sz w:val="21"/>
          <w:szCs w:val="21"/>
        </w:rPr>
      </w:pPr>
      <w:r>
        <w:rPr>
          <w:rFonts w:hint="eastAsia"/>
          <w:b/>
          <w:bCs/>
          <w:sz w:val="21"/>
          <w:szCs w:val="21"/>
        </w:rPr>
        <w:t>(32)招商证券股份有限公司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深圳市福田区福田街道福华一路111号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深圳市福田区福华一路111号招商证券大厦23楼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霍达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业清扬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0755-83081954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0755-83734343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http://www.cmschina.com/ </w:t>
            </w:r>
          </w:p>
        </w:tc>
      </w:tr>
    </w:tbl>
    <w:p>
      <w:pPr>
        <w:pStyle w:val="7"/>
        <w:spacing w:before="0" w:beforeAutospacing="0" w:after="0" w:afterAutospacing="0" w:line="360" w:lineRule="auto"/>
        <w:ind w:firstLine="420"/>
        <w:rPr>
          <w:sz w:val="21"/>
          <w:szCs w:val="21"/>
        </w:rPr>
      </w:pPr>
      <w:r>
        <w:rPr>
          <w:rFonts w:hint="eastAsia"/>
          <w:b/>
          <w:bCs/>
          <w:sz w:val="21"/>
          <w:szCs w:val="21"/>
        </w:rPr>
        <w:t>(33)中信证券股份有限公司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广东省深圳市福田区中心三路8号卓越时代广场（二期）北座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北京朝阳区新源南路6号京城大厦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张佑君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杜杰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010-60833889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010－84865560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http://www.cs.ecitic.com/ </w:t>
            </w:r>
          </w:p>
        </w:tc>
      </w:tr>
    </w:tbl>
    <w:p>
      <w:pPr>
        <w:pStyle w:val="7"/>
        <w:spacing w:before="0" w:beforeAutospacing="0" w:after="0" w:afterAutospacing="0" w:line="360" w:lineRule="auto"/>
        <w:ind w:firstLine="420"/>
        <w:rPr>
          <w:sz w:val="21"/>
          <w:szCs w:val="21"/>
        </w:rPr>
      </w:pPr>
      <w:r>
        <w:rPr>
          <w:rFonts w:hint="eastAsia"/>
          <w:b/>
          <w:bCs/>
          <w:sz w:val="21"/>
          <w:szCs w:val="21"/>
        </w:rPr>
        <w:t>(34)中国银河证券股份有限公司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北京市丰台区西营街8号院1号楼7至18层101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北京市丰台区西营街8号院1号楼青海金融大厦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010-80928123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4008-888-888或95551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 www.chinastock.com.cn/ </w:t>
            </w:r>
          </w:p>
        </w:tc>
      </w:tr>
    </w:tbl>
    <w:p>
      <w:pPr>
        <w:pStyle w:val="7"/>
        <w:spacing w:before="0" w:beforeAutospacing="0" w:after="0" w:afterAutospacing="0" w:line="360" w:lineRule="auto"/>
        <w:ind w:firstLine="420"/>
        <w:rPr>
          <w:sz w:val="21"/>
          <w:szCs w:val="21"/>
        </w:rPr>
      </w:pPr>
      <w:r>
        <w:rPr>
          <w:rFonts w:hint="eastAsia"/>
          <w:b/>
          <w:bCs/>
          <w:sz w:val="21"/>
          <w:szCs w:val="21"/>
        </w:rPr>
        <w:t>(35)海通证券股份有限公司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上海市淮海中路98号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上海市广东路689号海通证券大厦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周杰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李笑鸣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021-23219275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021－63602722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http://www.htsec.com/ </w:t>
            </w:r>
          </w:p>
        </w:tc>
      </w:tr>
    </w:tbl>
    <w:p>
      <w:pPr>
        <w:pStyle w:val="7"/>
        <w:spacing w:before="0" w:beforeAutospacing="0" w:after="0" w:afterAutospacing="0" w:line="360" w:lineRule="auto"/>
        <w:ind w:firstLine="420"/>
        <w:rPr>
          <w:sz w:val="21"/>
          <w:szCs w:val="21"/>
        </w:rPr>
      </w:pPr>
      <w:r>
        <w:rPr>
          <w:rFonts w:hint="eastAsia"/>
          <w:b/>
          <w:bCs/>
          <w:sz w:val="21"/>
          <w:szCs w:val="21"/>
        </w:rPr>
        <w:t>(36)西南证券股份有限公司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重庆市江北区金沙门路32号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重庆市江北区金沙门路32号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杨雨松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宋涧乔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023-67747414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023-63786212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4008096096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http://www.swsc.com.cn </w:t>
            </w:r>
          </w:p>
        </w:tc>
      </w:tr>
    </w:tbl>
    <w:p>
      <w:pPr>
        <w:pStyle w:val="7"/>
        <w:spacing w:before="0" w:beforeAutospacing="0" w:after="0" w:afterAutospacing="0" w:line="360" w:lineRule="auto"/>
        <w:ind w:firstLine="420"/>
        <w:rPr>
          <w:sz w:val="21"/>
          <w:szCs w:val="21"/>
        </w:rPr>
      </w:pPr>
      <w:r>
        <w:rPr>
          <w:rFonts w:hint="eastAsia"/>
          <w:b/>
          <w:bCs/>
          <w:sz w:val="21"/>
          <w:szCs w:val="21"/>
        </w:rPr>
        <w:t>(37)万联证券股份有限公司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广州市天河区珠江东路11号18、19楼全层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广东省广州市天河区珠江东路13号高德置地广场E座12层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丁思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020-83988334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http://www.wlzq.cn </w:t>
            </w:r>
          </w:p>
        </w:tc>
      </w:tr>
    </w:tbl>
    <w:p>
      <w:pPr>
        <w:pStyle w:val="7"/>
        <w:spacing w:before="0" w:beforeAutospacing="0" w:after="0" w:afterAutospacing="0" w:line="360" w:lineRule="auto"/>
        <w:ind w:firstLine="420"/>
        <w:rPr>
          <w:sz w:val="21"/>
          <w:szCs w:val="21"/>
        </w:rPr>
      </w:pPr>
      <w:r>
        <w:rPr>
          <w:rFonts w:hint="eastAsia"/>
          <w:b/>
          <w:bCs/>
          <w:sz w:val="21"/>
          <w:szCs w:val="21"/>
        </w:rPr>
        <w:t>(38)中信证券（山东）有限责任公司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青岛市崂山区深圳路222号1号楼2001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青岛市市南区东海西路28号龙翔广场东座5层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肖海峰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赵如意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0532-85725062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sd.citics.com </w:t>
            </w:r>
          </w:p>
        </w:tc>
      </w:tr>
    </w:tbl>
    <w:p>
      <w:pPr>
        <w:pStyle w:val="7"/>
        <w:spacing w:before="0" w:beforeAutospacing="0" w:after="0" w:afterAutospacing="0" w:line="360" w:lineRule="auto"/>
        <w:ind w:firstLine="420"/>
        <w:rPr>
          <w:sz w:val="21"/>
          <w:szCs w:val="21"/>
        </w:rPr>
      </w:pPr>
      <w:r>
        <w:rPr>
          <w:rFonts w:hint="eastAsia"/>
          <w:b/>
          <w:bCs/>
          <w:sz w:val="21"/>
          <w:szCs w:val="21"/>
        </w:rPr>
        <w:t>(39)中信证券华南股份有限公司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陈可可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郭杏燕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020-88836999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020-88836984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http://www.gzs.com.cn </w:t>
            </w:r>
          </w:p>
        </w:tc>
      </w:tr>
    </w:tbl>
    <w:p>
      <w:pPr>
        <w:pStyle w:val="7"/>
        <w:spacing w:before="0" w:beforeAutospacing="0" w:after="0" w:afterAutospacing="0" w:line="360" w:lineRule="auto"/>
        <w:ind w:firstLine="420"/>
        <w:rPr>
          <w:sz w:val="21"/>
          <w:szCs w:val="21"/>
        </w:rPr>
      </w:pPr>
      <w:r>
        <w:rPr>
          <w:rFonts w:hint="eastAsia"/>
          <w:b/>
          <w:bCs/>
          <w:sz w:val="21"/>
          <w:szCs w:val="21"/>
        </w:rPr>
        <w:t>(40)平安证券股份有限公司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何之江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021-38632136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0755－82400862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0755-22628888/95511-8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http:www.stock.pingan.com </w:t>
            </w:r>
          </w:p>
        </w:tc>
      </w:tr>
    </w:tbl>
    <w:p>
      <w:pPr>
        <w:pStyle w:val="7"/>
        <w:spacing w:before="0" w:beforeAutospacing="0" w:after="0" w:afterAutospacing="0" w:line="360" w:lineRule="auto"/>
        <w:ind w:firstLine="420"/>
        <w:rPr>
          <w:sz w:val="21"/>
          <w:szCs w:val="21"/>
        </w:rPr>
      </w:pPr>
      <w:r>
        <w:rPr>
          <w:rFonts w:hint="eastAsia"/>
          <w:b/>
          <w:bCs/>
          <w:sz w:val="21"/>
          <w:szCs w:val="21"/>
        </w:rPr>
        <w:t>(41)华西证券股份有限公司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四川省成都市高新区天府二街198号华西证券大厦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四川省成都市高新区天府二街198号华西证券大厦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杨炯洋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赵静静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010-58124967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028-86150040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https://www.hx168.com.cn/ </w:t>
            </w:r>
          </w:p>
        </w:tc>
      </w:tr>
    </w:tbl>
    <w:p>
      <w:pPr>
        <w:pStyle w:val="7"/>
        <w:spacing w:before="0" w:beforeAutospacing="0" w:after="0" w:afterAutospacing="0" w:line="360" w:lineRule="auto"/>
        <w:ind w:firstLine="420"/>
        <w:rPr>
          <w:sz w:val="21"/>
          <w:szCs w:val="21"/>
        </w:rPr>
      </w:pPr>
      <w:r>
        <w:rPr>
          <w:rFonts w:hint="eastAsia"/>
          <w:b/>
          <w:bCs/>
          <w:sz w:val="21"/>
          <w:szCs w:val="21"/>
        </w:rPr>
        <w:t>(42)华福证券有限责任公司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福州市五四路157号新天地大厦7、8层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福州市五四路157号新天地大厦7至10层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黄金琳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021-20655183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0591－87383610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http://www.hfzq.com.cn </w:t>
            </w:r>
          </w:p>
        </w:tc>
      </w:tr>
    </w:tbl>
    <w:p>
      <w:pPr>
        <w:pStyle w:val="7"/>
        <w:spacing w:before="0" w:beforeAutospacing="0" w:after="0" w:afterAutospacing="0" w:line="360" w:lineRule="auto"/>
        <w:ind w:firstLine="420"/>
        <w:rPr>
          <w:sz w:val="21"/>
          <w:szCs w:val="21"/>
        </w:rPr>
      </w:pPr>
      <w:r>
        <w:rPr>
          <w:rFonts w:hint="eastAsia"/>
          <w:b/>
          <w:bCs/>
          <w:sz w:val="21"/>
          <w:szCs w:val="21"/>
        </w:rPr>
        <w:t>(43)华龙证券股份有限公司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兰州市城关区东岗西路638号兰州财富中心21楼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甘肃省兰州市城关区东岗西路638号财富大厦19楼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祁建邦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0931-4890208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0931-4890628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https://www.hlzq.com/ </w:t>
            </w:r>
          </w:p>
        </w:tc>
      </w:tr>
    </w:tbl>
    <w:p>
      <w:pPr>
        <w:pStyle w:val="7"/>
        <w:spacing w:before="0" w:beforeAutospacing="0" w:after="0" w:afterAutospacing="0" w:line="360" w:lineRule="auto"/>
        <w:ind w:firstLine="420"/>
        <w:rPr>
          <w:sz w:val="21"/>
          <w:szCs w:val="21"/>
        </w:rPr>
      </w:pPr>
      <w:r>
        <w:rPr>
          <w:rFonts w:hint="eastAsia"/>
          <w:b/>
          <w:bCs/>
          <w:sz w:val="21"/>
          <w:szCs w:val="21"/>
        </w:rPr>
        <w:t>(44)东方财富证券股份有限公司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西藏自治区拉萨市柳梧新区国际总部城10栋楼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上海市徐汇区宛平南路88号金座东方财富大厦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戴彦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付佳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021-23586603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021-23586860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95357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http://www.18.cn </w:t>
            </w:r>
          </w:p>
        </w:tc>
      </w:tr>
    </w:tbl>
    <w:p>
      <w:pPr>
        <w:pStyle w:val="7"/>
        <w:spacing w:before="0" w:beforeAutospacing="0" w:after="0" w:afterAutospacing="0" w:line="360" w:lineRule="auto"/>
        <w:ind w:firstLine="420"/>
        <w:rPr>
          <w:sz w:val="21"/>
          <w:szCs w:val="21"/>
        </w:rPr>
      </w:pPr>
      <w:r>
        <w:rPr>
          <w:rFonts w:hint="eastAsia"/>
          <w:b/>
          <w:bCs/>
          <w:sz w:val="21"/>
          <w:szCs w:val="21"/>
        </w:rPr>
        <w:t>(45)国金证券股份有限公司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冉云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贾鹏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028-86690057、028-86690058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028-86690126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4006-600109/95310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http://www.gjzq.com.cn </w:t>
            </w:r>
          </w:p>
        </w:tc>
      </w:tr>
    </w:tbl>
    <w:p>
      <w:pPr>
        <w:pStyle w:val="7"/>
        <w:spacing w:before="0" w:beforeAutospacing="0" w:after="0" w:afterAutospacing="0" w:line="360" w:lineRule="auto"/>
        <w:ind w:firstLine="420"/>
        <w:rPr>
          <w:sz w:val="21"/>
          <w:szCs w:val="21"/>
        </w:rPr>
      </w:pPr>
      <w:r>
        <w:rPr>
          <w:rFonts w:hint="eastAsia"/>
          <w:b/>
          <w:bCs/>
          <w:sz w:val="21"/>
          <w:szCs w:val="21"/>
        </w:rPr>
        <w:t>(46)华宝证券股份有限公司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上海市浦东新区世纪大道100号上海环球金融中心57楼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上海市浦东新区世纪大道100号上海环球金融中心57楼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刘加海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刘闻川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021-68777222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021－68777822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4008209898;021-38929908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http://www.cnhbstock.com </w:t>
            </w:r>
          </w:p>
        </w:tc>
      </w:tr>
    </w:tbl>
    <w:p>
      <w:pPr>
        <w:pStyle w:val="7"/>
        <w:spacing w:before="0" w:beforeAutospacing="0" w:after="0" w:afterAutospacing="0" w:line="360" w:lineRule="auto"/>
        <w:ind w:firstLine="420"/>
        <w:rPr>
          <w:sz w:val="21"/>
          <w:szCs w:val="21"/>
        </w:rPr>
      </w:pPr>
      <w:r>
        <w:rPr>
          <w:rFonts w:hint="eastAsia"/>
          <w:b/>
          <w:bCs/>
          <w:sz w:val="21"/>
          <w:szCs w:val="21"/>
        </w:rPr>
        <w:t>(47)华瑞保险销售有限公司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上海市嘉定区南翔镇众仁路399号运通星财富广场1号楼B座13、14层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上海市浦东区向城路288号国华金融大厦8楼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路昊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张爽爽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021-68595976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021-68595766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4001115818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www.huaruisales.com </w:t>
            </w:r>
          </w:p>
        </w:tc>
      </w:tr>
    </w:tbl>
    <w:p>
      <w:pPr>
        <w:pStyle w:val="7"/>
        <w:spacing w:before="0" w:beforeAutospacing="0" w:after="0" w:afterAutospacing="0" w:line="360" w:lineRule="auto"/>
        <w:ind w:firstLine="420"/>
        <w:rPr>
          <w:sz w:val="21"/>
          <w:szCs w:val="21"/>
        </w:rPr>
      </w:pPr>
      <w:r>
        <w:rPr>
          <w:rFonts w:hint="eastAsia"/>
          <w:b/>
          <w:bCs/>
          <w:sz w:val="21"/>
          <w:szCs w:val="21"/>
        </w:rPr>
        <w:t>(48)玄元保险代理有限公司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中国（上海）自由贸易试验区张杨路707号1105室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中国（上海）自由贸易试验区张杨路707号1105室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马永谙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卢亚博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021-50701053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021-50701053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4000808208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www.licaimofang.com </w:t>
            </w:r>
          </w:p>
        </w:tc>
      </w:tr>
    </w:tbl>
    <w:p>
      <w:pPr>
        <w:rPr>
          <w:rFonts w:ascii="宋体" w:hAnsi="宋体" w:eastAsia="宋体"/>
          <w:sz w:val="24"/>
          <w:szCs w:val="24"/>
        </w:rPr>
      </w:pPr>
      <w:bookmarkStart w:id="57" w:name="field_0_allproxysaletables_1_end"/>
      <w:bookmarkEnd w:id="57"/>
      <w:r>
        <w:rPr>
          <w:rFonts w:ascii="宋体" w:hAnsi="宋体" w:eastAsia="宋体"/>
        </w:rPr>
        <w:t xml:space="preserve">  </w:t>
      </w:r>
    </w:p>
    <w:p>
      <w:pPr>
        <w:pStyle w:val="7"/>
        <w:spacing w:before="0" w:beforeAutospacing="0" w:after="0" w:afterAutospacing="0" w:line="360" w:lineRule="auto"/>
        <w:ind w:firstLine="420"/>
        <w:rPr>
          <w:sz w:val="21"/>
          <w:szCs w:val="21"/>
        </w:rPr>
      </w:pPr>
      <w:bookmarkStart w:id="58" w:name="chapter_level1_7_56_section_2_end"/>
      <w:bookmarkEnd w:id="58"/>
    </w:p>
    <w:p>
      <w:pPr>
        <w:pStyle w:val="7"/>
        <w:spacing w:before="0" w:beforeAutospacing="0" w:after="0" w:afterAutospacing="0" w:line="360" w:lineRule="auto"/>
        <w:ind w:firstLine="420"/>
        <w:rPr>
          <w:sz w:val="21"/>
          <w:szCs w:val="21"/>
        </w:rPr>
      </w:pPr>
      <w:bookmarkStart w:id="59" w:name="chapter_level1_7_56_section_3"/>
      <w:bookmarkEnd w:id="59"/>
      <w:r>
        <w:rPr>
          <w:rStyle w:val="11"/>
          <w:rFonts w:hint="eastAsia"/>
          <w:sz w:val="21"/>
          <w:szCs w:val="21"/>
        </w:rPr>
        <w:t>二、登记机构</w:t>
      </w:r>
    </w:p>
    <w:p>
      <w:pPr>
        <w:pStyle w:val="7"/>
        <w:spacing w:before="0" w:beforeAutospacing="0" w:after="0" w:afterAutospacing="0" w:line="360" w:lineRule="auto"/>
        <w:ind w:firstLine="420"/>
        <w:rPr>
          <w:sz w:val="21"/>
          <w:szCs w:val="21"/>
        </w:rPr>
      </w:pPr>
      <w:bookmarkStart w:id="60" w:name="field_0_registercompanyinfo_1_start"/>
      <w:bookmarkEnd w:id="60"/>
      <w:r>
        <w:rPr>
          <w:rFonts w:hint="eastAsia"/>
          <w:sz w:val="21"/>
          <w:szCs w:val="21"/>
        </w:rPr>
        <w:t xml:space="preserve">名称：博时基金管理有限公司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 xml:space="preserve">法定代表人：江向阳 </w:t>
      </w:r>
    </w:p>
    <w:p>
      <w:pPr>
        <w:pStyle w:val="7"/>
        <w:spacing w:before="0" w:beforeAutospacing="0" w:after="0" w:afterAutospacing="0" w:line="360" w:lineRule="auto"/>
        <w:ind w:firstLine="420"/>
        <w:rPr>
          <w:sz w:val="21"/>
          <w:szCs w:val="21"/>
        </w:rPr>
      </w:pPr>
      <w:r>
        <w:rPr>
          <w:rFonts w:hint="eastAsia"/>
          <w:sz w:val="21"/>
          <w:szCs w:val="21"/>
        </w:rPr>
        <w:t xml:space="preserve">电话： 010-65171166 </w:t>
      </w:r>
    </w:p>
    <w:p>
      <w:pPr>
        <w:pStyle w:val="7"/>
        <w:spacing w:before="0" w:beforeAutospacing="0" w:after="0" w:afterAutospacing="0" w:line="360" w:lineRule="auto"/>
        <w:ind w:firstLine="420"/>
        <w:rPr>
          <w:sz w:val="21"/>
          <w:szCs w:val="21"/>
        </w:rPr>
      </w:pPr>
      <w:r>
        <w:rPr>
          <w:rFonts w:hint="eastAsia"/>
          <w:sz w:val="21"/>
          <w:szCs w:val="21"/>
        </w:rPr>
        <w:t xml:space="preserve">传真： 010-65187068 </w:t>
      </w:r>
    </w:p>
    <w:p>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1" w:name="field_0_registercompanyinfo_1_end"/>
      <w:bookmarkEnd w:id="61"/>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pPr>
        <w:pStyle w:val="7"/>
        <w:spacing w:before="0" w:beforeAutospacing="0" w:after="0" w:afterAutospacing="0" w:line="360" w:lineRule="auto"/>
        <w:ind w:firstLine="420"/>
        <w:rPr>
          <w:sz w:val="21"/>
          <w:szCs w:val="21"/>
        </w:rPr>
      </w:pPr>
      <w:r>
        <w:rPr>
          <w:rFonts w:hint="eastAsia"/>
          <w:sz w:val="21"/>
          <w:szCs w:val="21"/>
        </w:rPr>
        <w:t xml:space="preserve">名称：上海源泰律师事务所 </w:t>
      </w:r>
    </w:p>
    <w:p>
      <w:pPr>
        <w:pStyle w:val="7"/>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pPr>
        <w:pStyle w:val="7"/>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pPr>
        <w:pStyle w:val="7"/>
        <w:spacing w:before="0" w:beforeAutospacing="0" w:after="0" w:afterAutospacing="0" w:line="360" w:lineRule="auto"/>
        <w:ind w:firstLine="420"/>
        <w:rPr>
          <w:sz w:val="21"/>
          <w:szCs w:val="21"/>
        </w:rPr>
      </w:pPr>
      <w:r>
        <w:rPr>
          <w:rFonts w:hint="eastAsia"/>
          <w:sz w:val="21"/>
          <w:szCs w:val="21"/>
        </w:rPr>
        <w:t xml:space="preserve">负责人：廖海 </w:t>
      </w:r>
    </w:p>
    <w:p>
      <w:pPr>
        <w:pStyle w:val="7"/>
        <w:spacing w:before="0" w:beforeAutospacing="0" w:after="0" w:afterAutospacing="0" w:line="360" w:lineRule="auto"/>
        <w:ind w:firstLine="420"/>
        <w:rPr>
          <w:sz w:val="21"/>
          <w:szCs w:val="21"/>
        </w:rPr>
      </w:pPr>
      <w:r>
        <w:rPr>
          <w:rFonts w:hint="eastAsia"/>
          <w:sz w:val="21"/>
          <w:szCs w:val="21"/>
        </w:rPr>
        <w:t xml:space="preserve">电话：021-51150298 </w:t>
      </w:r>
    </w:p>
    <w:p>
      <w:pPr>
        <w:pStyle w:val="7"/>
        <w:spacing w:before="0" w:beforeAutospacing="0" w:after="0" w:afterAutospacing="0" w:line="360" w:lineRule="auto"/>
        <w:ind w:firstLine="420"/>
        <w:rPr>
          <w:sz w:val="21"/>
          <w:szCs w:val="21"/>
        </w:rPr>
      </w:pPr>
      <w:r>
        <w:rPr>
          <w:rFonts w:hint="eastAsia"/>
          <w:sz w:val="21"/>
          <w:szCs w:val="21"/>
        </w:rPr>
        <w:t xml:space="preserve">传真：021-51150298 </w:t>
      </w:r>
    </w:p>
    <w:p>
      <w:pPr>
        <w:pStyle w:val="7"/>
        <w:spacing w:before="0" w:beforeAutospacing="0" w:after="0" w:afterAutospacing="0" w:line="360" w:lineRule="auto"/>
        <w:ind w:firstLine="420"/>
        <w:rPr>
          <w:sz w:val="21"/>
          <w:szCs w:val="21"/>
        </w:rPr>
      </w:pPr>
      <w:r>
        <w:rPr>
          <w:rFonts w:hint="eastAsia"/>
          <w:sz w:val="21"/>
          <w:szCs w:val="21"/>
        </w:rPr>
        <w:t xml:space="preserve">联系人：廖海 </w:t>
      </w:r>
    </w:p>
    <w:p>
      <w:pPr>
        <w:pStyle w:val="7"/>
        <w:spacing w:before="0" w:beforeAutospacing="0" w:after="0" w:afterAutospacing="0" w:line="360" w:lineRule="auto"/>
        <w:ind w:firstLine="420"/>
        <w:rPr>
          <w:sz w:val="21"/>
          <w:szCs w:val="21"/>
        </w:rPr>
      </w:pPr>
      <w:r>
        <w:rPr>
          <w:rFonts w:hint="eastAsia"/>
          <w:sz w:val="21"/>
          <w:szCs w:val="21"/>
        </w:rPr>
        <w:t xml:space="preserve">经办律师：廖海、刘佳 </w:t>
      </w:r>
    </w:p>
    <w:p>
      <w:pPr>
        <w:pStyle w:val="7"/>
        <w:spacing w:before="0" w:beforeAutospacing="0" w:after="0" w:afterAutospacing="0" w:line="360" w:lineRule="auto"/>
        <w:ind w:firstLine="420"/>
        <w:rPr>
          <w:sz w:val="21"/>
          <w:szCs w:val="21"/>
        </w:rPr>
      </w:pPr>
      <w:r>
        <w:rPr>
          <w:rStyle w:val="11"/>
          <w:rFonts w:hint="eastAsia"/>
          <w:sz w:val="21"/>
          <w:szCs w:val="21"/>
        </w:rPr>
        <w:t>四、会计师事务所和经办注册会计师</w:t>
      </w:r>
    </w:p>
    <w:p>
      <w:pPr>
        <w:pStyle w:val="7"/>
        <w:spacing w:before="0" w:beforeAutospacing="0" w:after="0" w:afterAutospacing="0" w:line="360" w:lineRule="auto"/>
        <w:ind w:firstLine="420"/>
        <w:rPr>
          <w:sz w:val="21"/>
          <w:szCs w:val="21"/>
        </w:rPr>
      </w:pPr>
      <w:r>
        <w:rPr>
          <w:rFonts w:hint="eastAsia"/>
          <w:sz w:val="21"/>
          <w:szCs w:val="21"/>
        </w:rPr>
        <w:t>本基金的法定验资机构和年度财务报表及其他规定事项的审计机构为</w:t>
      </w:r>
      <w:bookmarkStart w:id="62" w:name="field_0_accountingorgfullname_1"/>
      <w:r>
        <w:rPr>
          <w:rFonts w:hint="eastAsia"/>
          <w:sz w:val="21"/>
          <w:szCs w:val="21"/>
        </w:rPr>
        <w:t>安永华明会计师事务所（特殊普通合伙）</w:t>
      </w:r>
      <w:bookmarkEnd w:id="62"/>
      <w:r>
        <w:rPr>
          <w:rFonts w:hint="eastAsia"/>
          <w:sz w:val="21"/>
          <w:szCs w:val="21"/>
        </w:rPr>
        <w:t xml:space="preserve">  </w:t>
      </w:r>
    </w:p>
    <w:p>
      <w:pPr>
        <w:pStyle w:val="7"/>
        <w:spacing w:before="0" w:beforeAutospacing="0" w:after="0" w:afterAutospacing="0" w:line="360" w:lineRule="auto"/>
        <w:ind w:firstLine="420"/>
        <w:rPr>
          <w:sz w:val="21"/>
          <w:szCs w:val="21"/>
        </w:rPr>
      </w:pPr>
      <w:bookmarkStart w:id="63" w:name="field_0_accountingcompanyinfo_1_start"/>
      <w:bookmarkEnd w:id="63"/>
      <w:r>
        <w:rPr>
          <w:rFonts w:hint="eastAsia"/>
          <w:sz w:val="21"/>
          <w:szCs w:val="21"/>
        </w:rPr>
        <w:t xml:space="preserve">名称：安永华明会计师事务所（特殊普通合伙） </w:t>
      </w:r>
    </w:p>
    <w:p>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pPr>
        <w:pStyle w:val="7"/>
        <w:spacing w:before="0" w:beforeAutospacing="0" w:after="0" w:afterAutospacing="0" w:line="360" w:lineRule="auto"/>
        <w:ind w:firstLine="420"/>
        <w:rPr>
          <w:sz w:val="21"/>
          <w:szCs w:val="21"/>
        </w:rPr>
      </w:pPr>
      <w:r>
        <w:rPr>
          <w:rFonts w:hint="eastAsia"/>
          <w:sz w:val="21"/>
          <w:szCs w:val="21"/>
        </w:rPr>
        <w:t xml:space="preserve">传真电话：（010）85188298  </w:t>
      </w:r>
    </w:p>
    <w:p>
      <w:pPr>
        <w:pStyle w:val="7"/>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pPr>
        <w:pStyle w:val="7"/>
        <w:spacing w:before="0" w:beforeAutospacing="0" w:after="0" w:afterAutospacing="0" w:line="360" w:lineRule="auto"/>
        <w:ind w:firstLine="420"/>
        <w:rPr>
          <w:sz w:val="21"/>
          <w:szCs w:val="21"/>
        </w:rPr>
      </w:pPr>
      <w:bookmarkStart w:id="64" w:name="chapter_level1_7_56_section_3_end"/>
      <w:bookmarkEnd w:id="64"/>
      <w:r>
        <w:rPr>
          <w:rFonts w:hint="eastAsia"/>
          <w:sz w:val="21"/>
          <w:szCs w:val="21"/>
        </w:rPr>
        <w:t xml:space="preserve">联系人：朱燕 </w:t>
      </w:r>
      <w:bookmarkStart w:id="65" w:name="field_0_accountingcompanyinfo_1_end"/>
      <w:bookmarkEnd w:id="65"/>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66" w:name="_Toc207939902"/>
      <w:bookmarkStart w:id="67" w:name="chapter_level1_9_58"/>
      <w:r>
        <w:rPr>
          <w:rFonts w:hint="eastAsia" w:ascii="宋体" w:hAnsi="宋体" w:eastAsia="宋体"/>
          <w:sz w:val="30"/>
        </w:rPr>
        <w:t>第六部分 基金的募集与基金合同的生效</w:t>
      </w:r>
      <w:bookmarkEnd w:id="66"/>
      <w:bookmarkEnd w:id="67"/>
    </w:p>
    <w:p>
      <w:pPr>
        <w:pStyle w:val="7"/>
        <w:spacing w:before="0" w:beforeAutospacing="0" w:after="0" w:afterAutospacing="0" w:line="360" w:lineRule="auto"/>
        <w:ind w:firstLine="420"/>
        <w:rPr>
          <w:sz w:val="21"/>
          <w:szCs w:val="21"/>
        </w:rPr>
      </w:pPr>
      <w:bookmarkStart w:id="68" w:name="chapter_level1_9_58_section_1"/>
      <w:bookmarkEnd w:id="68"/>
      <w:r>
        <w:rPr>
          <w:rFonts w:hint="eastAsia"/>
          <w:b/>
          <w:bCs/>
          <w:sz w:val="21"/>
          <w:szCs w:val="21"/>
        </w:rPr>
        <w:t>一．基金的募集</w:t>
      </w:r>
    </w:p>
    <w:p>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69" w:name="field_2343_approveddate_1"/>
      <w:r>
        <w:rPr>
          <w:sz w:val="21"/>
          <w:szCs w:val="21"/>
        </w:rPr>
        <w:t>2024年1月12日</w:t>
      </w:r>
      <w:bookmarkEnd w:id="69"/>
      <w:r>
        <w:rPr>
          <w:rFonts w:hint="eastAsia"/>
          <w:sz w:val="21"/>
          <w:szCs w:val="21"/>
        </w:rPr>
        <w:t>证监许可</w:t>
      </w:r>
      <w:bookmarkStart w:id="70" w:name="field_2343_lotnumber_1"/>
      <w:r>
        <w:rPr>
          <w:sz w:val="21"/>
          <w:szCs w:val="21"/>
        </w:rPr>
        <w:t>[2024]70</w:t>
      </w:r>
      <w:bookmarkEnd w:id="70"/>
      <w:r>
        <w:rPr>
          <w:rFonts w:hint="eastAsia"/>
          <w:sz w:val="21"/>
          <w:szCs w:val="21"/>
        </w:rPr>
        <w:t xml:space="preserve">号文准予募集注册。 </w:t>
      </w:r>
    </w:p>
    <w:p>
      <w:pPr>
        <w:pStyle w:val="7"/>
        <w:spacing w:before="0" w:beforeAutospacing="0" w:after="0" w:afterAutospacing="0" w:line="360" w:lineRule="auto"/>
        <w:ind w:firstLine="420"/>
        <w:rPr>
          <w:sz w:val="21"/>
          <w:szCs w:val="21"/>
        </w:rPr>
      </w:pPr>
      <w:r>
        <w:rPr>
          <w:rFonts w:hint="eastAsia"/>
          <w:sz w:val="21"/>
          <w:szCs w:val="21"/>
        </w:rPr>
        <w:t>本基金募集期自</w:t>
      </w:r>
      <w:bookmarkStart w:id="71" w:name="field_58_raisebegindate_1"/>
      <w:r>
        <w:rPr>
          <w:sz w:val="21"/>
          <w:szCs w:val="21"/>
        </w:rPr>
        <w:t>2024年3月18日</w:t>
      </w:r>
      <w:bookmarkEnd w:id="71"/>
      <w:r>
        <w:rPr>
          <w:rFonts w:hint="eastAsia"/>
          <w:sz w:val="21"/>
          <w:szCs w:val="21"/>
        </w:rPr>
        <w:t>至</w:t>
      </w:r>
      <w:bookmarkStart w:id="72" w:name="field_58_raiseenddate_1"/>
      <w:r>
        <w:rPr>
          <w:sz w:val="21"/>
          <w:szCs w:val="21"/>
        </w:rPr>
        <w:t>2024年4月3日</w:t>
      </w:r>
      <w:bookmarkEnd w:id="72"/>
      <w:r>
        <w:rPr>
          <w:rFonts w:hint="eastAsia"/>
          <w:sz w:val="21"/>
          <w:szCs w:val="21"/>
        </w:rPr>
        <w:t>期间，基金份额共募集</w:t>
      </w:r>
      <w:bookmarkStart w:id="73" w:name="field_58_raisetotal_1"/>
      <w:r>
        <w:rPr>
          <w:sz w:val="21"/>
          <w:szCs w:val="21"/>
        </w:rPr>
        <w:t>21,782,446.20</w:t>
      </w:r>
      <w:bookmarkEnd w:id="73"/>
      <w:r>
        <w:rPr>
          <w:rFonts w:hint="eastAsia"/>
          <w:sz w:val="21"/>
          <w:szCs w:val="21"/>
        </w:rPr>
        <w:t>份（含利息结转的份额），募集有效认购总户数为</w:t>
      </w:r>
      <w:bookmarkStart w:id="74" w:name="field_58_effectivetotal_1"/>
      <w:r>
        <w:rPr>
          <w:sz w:val="21"/>
          <w:szCs w:val="21"/>
        </w:rPr>
        <w:t>6,026</w:t>
      </w:r>
      <w:bookmarkEnd w:id="74"/>
      <w:r>
        <w:rPr>
          <w:rFonts w:hint="eastAsia"/>
          <w:sz w:val="21"/>
          <w:szCs w:val="21"/>
        </w:rPr>
        <w:t xml:space="preserve">户。 </w:t>
      </w:r>
    </w:p>
    <w:p>
      <w:pPr>
        <w:pStyle w:val="7"/>
        <w:spacing w:before="0" w:beforeAutospacing="0" w:after="0" w:afterAutospacing="0" w:line="360" w:lineRule="auto"/>
        <w:ind w:firstLine="420"/>
        <w:rPr>
          <w:sz w:val="21"/>
          <w:szCs w:val="21"/>
        </w:rPr>
      </w:pPr>
      <w:r>
        <w:rPr>
          <w:rFonts w:hint="eastAsia"/>
          <w:sz w:val="21"/>
          <w:szCs w:val="21"/>
        </w:rPr>
        <w:t>本基金的运作方式为</w:t>
      </w:r>
      <w:bookmarkStart w:id="75" w:name="field_58_operation_1"/>
      <w:r>
        <w:rPr>
          <w:rFonts w:hint="eastAsia"/>
          <w:sz w:val="21"/>
          <w:szCs w:val="21"/>
        </w:rPr>
        <w:t>契约型开放式</w:t>
      </w:r>
      <w:bookmarkEnd w:id="75"/>
      <w:r>
        <w:rPr>
          <w:rFonts w:hint="eastAsia"/>
          <w:sz w:val="21"/>
          <w:szCs w:val="21"/>
        </w:rPr>
        <w:t>，存续期间为</w:t>
      </w:r>
      <w:bookmarkStart w:id="76" w:name="field_58_duration_1"/>
      <w:r>
        <w:rPr>
          <w:rFonts w:hint="eastAsia"/>
          <w:sz w:val="21"/>
          <w:szCs w:val="21"/>
        </w:rPr>
        <w:t>不定期</w:t>
      </w:r>
      <w:bookmarkEnd w:id="76"/>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b/>
          <w:bCs/>
          <w:sz w:val="21"/>
          <w:szCs w:val="21"/>
        </w:rPr>
        <w:t>二、基金合同的生效</w:t>
      </w:r>
    </w:p>
    <w:p>
      <w:pPr>
        <w:pStyle w:val="7"/>
        <w:spacing w:before="0" w:beforeAutospacing="0" w:after="0" w:afterAutospacing="0" w:line="360" w:lineRule="auto"/>
        <w:ind w:firstLine="420"/>
        <w:rPr>
          <w:sz w:val="21"/>
          <w:szCs w:val="21"/>
        </w:rPr>
      </w:pPr>
      <w:bookmarkStart w:id="77" w:name="chapter_level1_9_58_section_1_end"/>
      <w:bookmarkEnd w:id="77"/>
      <w:r>
        <w:rPr>
          <w:rFonts w:hint="eastAsia"/>
          <w:sz w:val="21"/>
          <w:szCs w:val="21"/>
        </w:rPr>
        <w:t>本基金的基金合同已于</w:t>
      </w:r>
      <w:bookmarkStart w:id="78" w:name="field_0_foundday_1"/>
      <w:r>
        <w:rPr>
          <w:sz w:val="21"/>
          <w:szCs w:val="21"/>
        </w:rPr>
        <w:t>2024年4月9日</w:t>
      </w:r>
      <w:bookmarkEnd w:id="78"/>
      <w:r>
        <w:rPr>
          <w:rFonts w:hint="eastAsia"/>
          <w:sz w:val="21"/>
          <w:szCs w:val="21"/>
        </w:rPr>
        <w:t xml:space="preserve">正式生效。 </w:t>
      </w:r>
    </w:p>
    <w:p>
      <w:pPr>
        <w:pStyle w:val="7"/>
        <w:spacing w:before="0" w:beforeAutospacing="0" w:after="0" w:afterAutospacing="0" w:line="360" w:lineRule="auto"/>
        <w:ind w:firstLine="420"/>
        <w:rPr>
          <w:sz w:val="21"/>
          <w:szCs w:val="21"/>
        </w:rPr>
      </w:pPr>
      <w:bookmarkStart w:id="79" w:name="chapter_level1_9_58_section_2"/>
      <w:bookmarkEnd w:id="79"/>
      <w:r>
        <w:rPr>
          <w:rStyle w:val="11"/>
          <w:rFonts w:hint="eastAsia"/>
          <w:sz w:val="21"/>
          <w:szCs w:val="21"/>
        </w:rPr>
        <w:t>三、基金存续期内的基金份额持有人数量和资产规模</w:t>
      </w:r>
    </w:p>
    <w:p>
      <w:pPr>
        <w:pStyle w:val="7"/>
        <w:spacing w:before="0" w:beforeAutospacing="0" w:after="0" w:afterAutospacing="0" w:line="360" w:lineRule="auto"/>
        <w:ind w:firstLine="420"/>
        <w:rPr>
          <w:sz w:val="21"/>
          <w:szCs w:val="21"/>
        </w:rPr>
      </w:pPr>
      <w:r>
        <w:rPr>
          <w:rFonts w:hint="eastAsia"/>
          <w:sz w:val="21"/>
          <w:szCs w:val="21"/>
        </w:rPr>
        <w:t xml:space="preserve">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若届时的法律法规或中国证监会规定发生变化，上述终止规定被取消、更改或补充时，则本基金可以参照届时有效的法律法规或中国证监会规定执行。 </w:t>
      </w:r>
    </w:p>
    <w:p>
      <w:pPr>
        <w:pStyle w:val="7"/>
        <w:spacing w:before="0" w:beforeAutospacing="0" w:after="0" w:afterAutospacing="0" w:line="360" w:lineRule="auto"/>
        <w:ind w:firstLine="420"/>
        <w:rPr>
          <w:sz w:val="21"/>
          <w:szCs w:val="21"/>
        </w:rPr>
      </w:pPr>
      <w:r>
        <w:rPr>
          <w:rFonts w:hint="eastAsia"/>
          <w:sz w:val="21"/>
          <w:szCs w:val="21"/>
        </w:rPr>
        <w:t xml:space="preserve">本基金在基金合同生效三年后继续存续的，基金存续期内，连续20个工作日出现基金份额持有人数量不满200人或者基金资产净值低于5000万元情形的，基金管理人应当在定期报告中予以披露；连续50个工作日出现前述情形的，本基金将根据基金合同的约定进行基金财产清算并终止，且无需召开基金份额持有人大会，同时基金管理人应履行相关的监管报告和信息披露程序。 </w:t>
      </w:r>
    </w:p>
    <w:p>
      <w:pPr>
        <w:pStyle w:val="7"/>
        <w:spacing w:before="0" w:beforeAutospacing="0" w:after="0" w:afterAutospacing="0" w:line="360" w:lineRule="auto"/>
        <w:ind w:firstLine="420"/>
        <w:rPr>
          <w:sz w:val="21"/>
          <w:szCs w:val="21"/>
        </w:rPr>
      </w:pPr>
      <w:bookmarkStart w:id="80" w:name="chapter_level1_9_58_section_2_end"/>
      <w:bookmarkEnd w:id="80"/>
      <w:r>
        <w:rPr>
          <w:rFonts w:hint="eastAsia"/>
          <w:sz w:val="21"/>
          <w:szCs w:val="21"/>
        </w:rPr>
        <w:t xml:space="preserve">法律法规或中国证监会另有规定时，从其规定。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81" w:name="chapter_level1_10_59"/>
      <w:bookmarkStart w:id="82" w:name="_Toc207939903"/>
      <w:r>
        <w:rPr>
          <w:rFonts w:hint="eastAsia" w:ascii="宋体" w:hAnsi="宋体" w:eastAsia="宋体"/>
          <w:sz w:val="30"/>
        </w:rPr>
        <w:t>第七部分  基金份额的申购与赎回</w:t>
      </w:r>
      <w:bookmarkEnd w:id="81"/>
      <w:bookmarkEnd w:id="82"/>
    </w:p>
    <w:p>
      <w:pPr>
        <w:pStyle w:val="7"/>
        <w:spacing w:before="0" w:beforeAutospacing="0" w:after="0" w:afterAutospacing="0" w:line="360" w:lineRule="auto"/>
        <w:ind w:firstLine="420"/>
        <w:rPr>
          <w:sz w:val="21"/>
          <w:szCs w:val="21"/>
        </w:rPr>
      </w:pPr>
      <w:bookmarkStart w:id="83" w:name="chapter_level1_10_59_section_1"/>
      <w:bookmarkEnd w:id="83"/>
      <w:r>
        <w:rPr>
          <w:rStyle w:val="11"/>
          <w:rFonts w:hint="eastAsia"/>
          <w:sz w:val="21"/>
          <w:szCs w:val="21"/>
        </w:rPr>
        <w:t>一、申购和赎回场所</w:t>
      </w:r>
    </w:p>
    <w:p>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公示。基金管理人可根据情况变更或增减销售机构。基金投资者应当在销售机构办理基金销售业务的营业场所或按销售机构提供的其他方式办理基金份额的申购</w:t>
      </w:r>
      <w:bookmarkStart w:id="84" w:name="chapter_level1_10_59_section_1_end"/>
      <w:bookmarkEnd w:id="84"/>
      <w:r>
        <w:rPr>
          <w:rFonts w:hint="eastAsia"/>
          <w:sz w:val="21"/>
          <w:szCs w:val="21"/>
        </w:rPr>
        <w:t xml:space="preserve">与赎回。 </w:t>
      </w:r>
    </w:p>
    <w:p>
      <w:pPr>
        <w:pStyle w:val="7"/>
        <w:spacing w:before="0" w:beforeAutospacing="0" w:after="0" w:afterAutospacing="0" w:line="360" w:lineRule="auto"/>
        <w:ind w:firstLine="420"/>
        <w:rPr>
          <w:sz w:val="21"/>
          <w:szCs w:val="21"/>
        </w:rPr>
      </w:pPr>
      <w:bookmarkStart w:id="85" w:name="chapter_level1_10_59_section_2"/>
      <w:bookmarkEnd w:id="85"/>
      <w:r>
        <w:rPr>
          <w:rStyle w:val="11"/>
          <w:rFonts w:hint="eastAsia"/>
          <w:sz w:val="21"/>
          <w:szCs w:val="21"/>
        </w:rPr>
        <w:t>二、申购和赎回的开放日及时间</w:t>
      </w:r>
    </w:p>
    <w:p>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pPr>
        <w:pStyle w:val="7"/>
        <w:spacing w:before="0" w:beforeAutospacing="0" w:after="0" w:afterAutospacing="0" w:line="360" w:lineRule="auto"/>
        <w:ind w:firstLine="420"/>
        <w:rPr>
          <w:sz w:val="21"/>
          <w:szCs w:val="21"/>
        </w:rPr>
      </w:pPr>
      <w:bookmarkStart w:id="86" w:name="chapter_level1_10_59_section_2_end"/>
      <w:bookmarkEnd w:id="86"/>
      <w:r>
        <w:rPr>
          <w:rFonts w:hint="eastAsia"/>
          <w:sz w:val="21"/>
          <w:szCs w:val="21"/>
        </w:rPr>
        <w:t xml:space="preserve">本基金已于2024年4月29日开放日常申购、赎回业务。 </w:t>
      </w:r>
    </w:p>
    <w:p>
      <w:pPr>
        <w:pStyle w:val="7"/>
        <w:spacing w:before="0" w:beforeAutospacing="0" w:after="0" w:afterAutospacing="0" w:line="360" w:lineRule="auto"/>
        <w:ind w:firstLine="420"/>
        <w:rPr>
          <w:sz w:val="21"/>
          <w:szCs w:val="21"/>
        </w:rPr>
      </w:pPr>
      <w:bookmarkStart w:id="87" w:name="chapter_level1_10_59_section_3"/>
      <w:bookmarkEnd w:id="87"/>
      <w:r>
        <w:rPr>
          <w:rStyle w:val="11"/>
          <w:rFonts w:hint="eastAsia"/>
          <w:sz w:val="21"/>
          <w:szCs w:val="21"/>
        </w:rPr>
        <w:t>三、申购与赎回的原则</w:t>
      </w:r>
    </w:p>
    <w:p>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1、“未知价”原则，即申购、赎回价格以申请当日收市后计算的该类别基金份额净值为基准进行计算； </w:t>
      </w:r>
    </w:p>
    <w:p>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pPr>
        <w:pStyle w:val="7"/>
        <w:spacing w:before="0" w:beforeAutospacing="0" w:after="0" w:afterAutospacing="0" w:line="360" w:lineRule="auto"/>
        <w:ind w:firstLine="420"/>
        <w:rPr>
          <w:sz w:val="21"/>
          <w:szCs w:val="21"/>
        </w:rPr>
      </w:pPr>
      <w:r>
        <w:rPr>
          <w:rFonts w:hint="eastAsia"/>
          <w:sz w:val="21"/>
          <w:szCs w:val="21"/>
        </w:rPr>
        <w:t xml:space="preserve">基金管理人可在不违反法律法规的情况下，对上述原则进行调整。基金管理人必须在新规则开始实施前依照《信息披露办法》的有关规定在规定媒介上公告。 </w:t>
      </w:r>
    </w:p>
    <w:p>
      <w:pPr>
        <w:pStyle w:val="7"/>
        <w:spacing w:before="0" w:beforeAutospacing="0" w:after="0" w:afterAutospacing="0" w:line="360" w:lineRule="auto"/>
        <w:ind w:firstLine="420"/>
        <w:rPr>
          <w:sz w:val="21"/>
          <w:szCs w:val="21"/>
        </w:rPr>
      </w:pPr>
      <w:r>
        <w:rPr>
          <w:rStyle w:val="11"/>
          <w:rFonts w:hint="eastAsia"/>
          <w:sz w:val="21"/>
          <w:szCs w:val="21"/>
        </w:rPr>
        <w:t>四、申购与赎回的程序</w:t>
      </w:r>
    </w:p>
    <w:p>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 </w:t>
      </w:r>
    </w:p>
    <w:p>
      <w:pPr>
        <w:pStyle w:val="7"/>
        <w:spacing w:before="0" w:beforeAutospacing="0" w:after="0" w:afterAutospacing="0" w:line="360" w:lineRule="auto"/>
        <w:ind w:firstLine="420"/>
        <w:rPr>
          <w:sz w:val="21"/>
          <w:szCs w:val="21"/>
        </w:rPr>
      </w:pPr>
      <w:r>
        <w:rPr>
          <w:rFonts w:hint="eastAsia"/>
          <w:sz w:val="21"/>
          <w:szCs w:val="21"/>
        </w:rPr>
        <w:t xml:space="preserve">投资者的赎回申请生效后，基金管理人将在T＋7日（包括该日）内支付赎回款项。在发生巨额赎回或基金合同载明的其他暂停赎回或延缓支付赎回款项的情形时，款项的支付办法参照基金合同有关条款处理。 </w:t>
      </w:r>
    </w:p>
    <w:p>
      <w:pPr>
        <w:pStyle w:val="7"/>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港股通交易系统故障、港股通资金交收规则限制或其他非基金管理人及基金托管人所能控制的因素影响业务处理流程，则赎回款项划付时间相应顺延。 </w:t>
      </w:r>
    </w:p>
    <w:p>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pPr>
        <w:pStyle w:val="7"/>
        <w:spacing w:before="0" w:beforeAutospacing="0" w:after="0" w:afterAutospacing="0" w:line="360" w:lineRule="auto"/>
        <w:ind w:firstLine="420"/>
        <w:rPr>
          <w:sz w:val="21"/>
          <w:szCs w:val="21"/>
        </w:rPr>
      </w:pPr>
      <w:r>
        <w:rPr>
          <w:rFonts w:hint="eastAsia"/>
          <w:sz w:val="21"/>
          <w:szCs w:val="21"/>
        </w:rPr>
        <w:t xml:space="preserve">基金销售机构受理申请并不代表该申请一定成功，而仅代表销售机构确实接收到该申请。申购和赎回申请的确认以基金登记机构的确认结果为准。对于申购、赎回申请的确认情况，投资者应及时查询。 </w:t>
      </w:r>
    </w:p>
    <w:p>
      <w:pPr>
        <w:pStyle w:val="7"/>
        <w:spacing w:before="0" w:beforeAutospacing="0" w:after="0" w:afterAutospacing="0" w:line="360" w:lineRule="auto"/>
        <w:ind w:firstLine="420"/>
        <w:rPr>
          <w:sz w:val="21"/>
          <w:szCs w:val="21"/>
        </w:rPr>
      </w:pPr>
      <w:r>
        <w:rPr>
          <w:rFonts w:hint="eastAsia"/>
          <w:sz w:val="21"/>
          <w:szCs w:val="21"/>
        </w:rPr>
        <w:t xml:space="preserve">基金管理人可以在不违反法律法规和基金合同的范围内，对上述业务办理时间进行调整，并在调整实施前依照《信息披露办法》的有关规定在规定媒介上公告。 </w:t>
      </w:r>
    </w:p>
    <w:p>
      <w:pPr>
        <w:pStyle w:val="7"/>
        <w:spacing w:before="0" w:beforeAutospacing="0" w:after="0" w:afterAutospacing="0" w:line="360" w:lineRule="auto"/>
        <w:ind w:firstLine="420"/>
        <w:rPr>
          <w:sz w:val="21"/>
          <w:szCs w:val="21"/>
        </w:rPr>
      </w:pPr>
      <w:r>
        <w:rPr>
          <w:rStyle w:val="11"/>
          <w:rFonts w:hint="eastAsia"/>
          <w:sz w:val="21"/>
          <w:szCs w:val="21"/>
        </w:rPr>
        <w:t>五、申购和赎回的数量限制</w:t>
      </w:r>
    </w:p>
    <w:p>
      <w:pPr>
        <w:pStyle w:val="7"/>
        <w:spacing w:before="0" w:beforeAutospacing="0" w:after="0" w:afterAutospacing="0" w:line="360" w:lineRule="auto"/>
        <w:ind w:firstLine="420"/>
        <w:rPr>
          <w:sz w:val="21"/>
          <w:szCs w:val="21"/>
        </w:rPr>
      </w:pPr>
      <w:r>
        <w:rPr>
          <w:rFonts w:hint="eastAsia"/>
          <w:sz w:val="21"/>
          <w:szCs w:val="21"/>
        </w:rPr>
        <w:t>1、本基金A类基金份额或C类基金份额首次申购和单笔追加申购的最低金额均为</w:t>
      </w:r>
      <w:bookmarkStart w:id="88" w:name="field_59_dealerfirstpurminamount_1"/>
      <w:r>
        <w:rPr>
          <w:sz w:val="21"/>
          <w:szCs w:val="21"/>
        </w:rPr>
        <w:t>1.00</w:t>
      </w:r>
      <w:bookmarkEnd w:id="88"/>
      <w:r>
        <w:rPr>
          <w:rFonts w:hint="eastAsia"/>
          <w:sz w:val="21"/>
          <w:szCs w:val="21"/>
        </w:rPr>
        <w:t xml:space="preserve">元（含申购费），各销售机构在符合上述规定的前提下，可根据情况调高首次申购和单笔追加申购的最低金额，具体以销售机构公布的为准，投资人需遵循销售机构的相关规定。 </w:t>
      </w:r>
    </w:p>
    <w:p>
      <w:pPr>
        <w:pStyle w:val="7"/>
        <w:spacing w:before="0" w:beforeAutospacing="0" w:after="0" w:afterAutospacing="0" w:line="360" w:lineRule="auto"/>
        <w:ind w:firstLine="420"/>
        <w:rPr>
          <w:sz w:val="21"/>
          <w:szCs w:val="21"/>
        </w:rPr>
      </w:pPr>
      <w:r>
        <w:rPr>
          <w:rFonts w:hint="eastAsia"/>
          <w:sz w:val="21"/>
          <w:szCs w:val="21"/>
        </w:rPr>
        <w:t>2、每个交易账户最低持有A类基金份额或C类基金份额余额为</w:t>
      </w:r>
      <w:bookmarkStart w:id="89" w:name="field_59_minholdshare_1"/>
      <w:r>
        <w:rPr>
          <w:sz w:val="21"/>
          <w:szCs w:val="21"/>
        </w:rPr>
        <w:t>1</w:t>
      </w:r>
      <w:bookmarkEnd w:id="89"/>
      <w:r>
        <w:rPr>
          <w:rFonts w:hint="eastAsia"/>
          <w:sz w:val="21"/>
          <w:szCs w:val="21"/>
        </w:rPr>
        <w:t>份，若某笔赎回导致单个交易账户的A类基金份额或C类基金份额余额少于</w:t>
      </w:r>
      <w:bookmarkStart w:id="90" w:name="field_59_minholdshare_2"/>
      <w:r>
        <w:rPr>
          <w:sz w:val="21"/>
          <w:szCs w:val="21"/>
        </w:rPr>
        <w:t>1</w:t>
      </w:r>
      <w:bookmarkEnd w:id="90"/>
      <w:r>
        <w:rPr>
          <w:rFonts w:hint="eastAsia"/>
          <w:sz w:val="21"/>
          <w:szCs w:val="21"/>
        </w:rPr>
        <w:t xml:space="preserve">份时，该类别基金份额余额部分必须一同赎回。 </w:t>
      </w:r>
    </w:p>
    <w:p>
      <w:pPr>
        <w:pStyle w:val="7"/>
        <w:spacing w:before="0" w:beforeAutospacing="0" w:after="0" w:afterAutospacing="0" w:line="360" w:lineRule="auto"/>
        <w:ind w:firstLine="420"/>
        <w:rPr>
          <w:sz w:val="21"/>
          <w:szCs w:val="21"/>
        </w:rPr>
      </w:pPr>
      <w:r>
        <w:rPr>
          <w:rFonts w:hint="eastAsia"/>
          <w:sz w:val="21"/>
          <w:szCs w:val="21"/>
        </w:rPr>
        <w:t>3、投资者通过销售机构赎回基金份额时，本基金单笔赎回申请不得低于</w:t>
      </w:r>
      <w:bookmarkStart w:id="91" w:name="field_59_minholdshare_3"/>
      <w:r>
        <w:rPr>
          <w:sz w:val="21"/>
          <w:szCs w:val="21"/>
        </w:rPr>
        <w:t>1</w:t>
      </w:r>
      <w:bookmarkEnd w:id="91"/>
      <w:r>
        <w:rPr>
          <w:rFonts w:hint="eastAsia"/>
          <w:sz w:val="21"/>
          <w:szCs w:val="21"/>
        </w:rPr>
        <w:t>份，若投资者单个交易账户持有的基金份额余额不足</w:t>
      </w:r>
      <w:bookmarkStart w:id="92" w:name="field_59_minholdshare_4"/>
      <w:r>
        <w:rPr>
          <w:sz w:val="21"/>
          <w:szCs w:val="21"/>
        </w:rPr>
        <w:t>1</w:t>
      </w:r>
      <w:bookmarkEnd w:id="92"/>
      <w:r>
        <w:rPr>
          <w:rFonts w:hint="eastAsia"/>
          <w:sz w:val="21"/>
          <w:szCs w:val="21"/>
        </w:rPr>
        <w:t xml:space="preserve">份，将不受此限制，但投资者在提交赎回申请时须全部赎回。各销售机构在符合上述规定的前提下，可根据自己的情况调整单笔赎回申请限制，具体以销售机构公布的为准，投资者需遵循销售机构的相关规定。 </w:t>
      </w:r>
    </w:p>
    <w:p>
      <w:pPr>
        <w:pStyle w:val="7"/>
        <w:spacing w:before="0" w:beforeAutospacing="0" w:after="0" w:afterAutospacing="0" w:line="360" w:lineRule="auto"/>
        <w:ind w:firstLine="420"/>
        <w:rPr>
          <w:sz w:val="21"/>
          <w:szCs w:val="21"/>
        </w:rPr>
      </w:pPr>
      <w:r>
        <w:rPr>
          <w:rFonts w:hint="eastAsia"/>
          <w:sz w:val="21"/>
          <w:szCs w:val="21"/>
        </w:rPr>
        <w:t xml:space="preserve">4、本基金不对单个投资人累计持有的基金份额上限进行限制，但需要符合法律法规、监管机构的规定及基金合同的约定。基金管理人可以规定单个投资者累计持有的基金份额数量限制，具体规定见更新的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更新的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6、基金管理人可在不违反法律法规的情况下，调整上述规定申购金额和赎回份额等数量限制。基金管理人必须在调整实施前依照《信息披露办法》的有关规定在规定媒介上公告。 </w:t>
      </w:r>
    </w:p>
    <w:p>
      <w:pPr>
        <w:pStyle w:val="7"/>
        <w:spacing w:before="0" w:beforeAutospacing="0" w:after="0" w:afterAutospacing="0" w:line="360" w:lineRule="auto"/>
        <w:ind w:firstLine="420"/>
        <w:rPr>
          <w:sz w:val="21"/>
          <w:szCs w:val="21"/>
        </w:rPr>
      </w:pPr>
      <w:r>
        <w:rPr>
          <w:rStyle w:val="11"/>
          <w:rFonts w:hint="eastAsia"/>
          <w:sz w:val="21"/>
          <w:szCs w:val="21"/>
        </w:rPr>
        <w:t>六、申购费用和赎回费用</w:t>
      </w:r>
    </w:p>
    <w:p>
      <w:pPr>
        <w:pStyle w:val="7"/>
        <w:spacing w:before="0" w:beforeAutospacing="0" w:after="0" w:afterAutospacing="0" w:line="360" w:lineRule="auto"/>
        <w:ind w:firstLine="420"/>
        <w:rPr>
          <w:sz w:val="21"/>
          <w:szCs w:val="21"/>
        </w:rPr>
      </w:pPr>
      <w:r>
        <w:rPr>
          <w:rFonts w:hint="eastAsia"/>
          <w:sz w:val="21"/>
          <w:szCs w:val="21"/>
        </w:rPr>
        <w:t xml:space="preserve">1、本基金A类基金份额在申购时收取基金申购费用；C类基金份额不收取申购费用。本基金申购费用用于本基金的市场推广、销售、登记等募集期间发生的各项费用，不列入基金财产。本基金各类基金份额的申购费率如下表所示：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84"/>
        <w:gridCol w:w="2616"/>
        <w:gridCol w:w="26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申购金额（M）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A类份额申购费率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C类份额申购费率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M＜100万元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1.00% </w:t>
            </w:r>
          </w:p>
        </w:tc>
        <w:tc>
          <w:tcPr>
            <w:tcW w:w="0" w:type="auto"/>
            <w:vMerge w:val="restart"/>
            <w:shd w:val="clear" w:color="auto" w:fill="auto"/>
          </w:tcPr>
          <w:p>
            <w:pPr>
              <w:jc w:val="center"/>
              <w:rPr>
                <w:rFonts w:ascii="宋体" w:hAnsi="宋体" w:eastAsia="宋体" w:cs="宋体"/>
                <w:sz w:val="24"/>
                <w:szCs w:val="24"/>
              </w:rPr>
            </w:pPr>
            <w:r>
              <w:rPr>
                <w:rFonts w:hint="eastAsia" w:ascii="宋体" w:hAnsi="宋体" w:eastAsia="宋体"/>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100万元≤M＜300万元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0.50%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M≥300万元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每笔300元 </w:t>
            </w:r>
          </w:p>
        </w:tc>
        <w:tc>
          <w:tcPr>
            <w:tcW w:w="0" w:type="auto"/>
            <w:vMerge w:val="continue"/>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2、赎回费用 </w:t>
      </w:r>
    </w:p>
    <w:p>
      <w:pPr>
        <w:pStyle w:val="7"/>
        <w:spacing w:before="0" w:beforeAutospacing="0" w:after="0" w:afterAutospacing="0" w:line="360" w:lineRule="auto"/>
        <w:ind w:firstLine="420"/>
        <w:rPr>
          <w:sz w:val="21"/>
          <w:szCs w:val="21"/>
        </w:rPr>
      </w:pPr>
      <w:r>
        <w:rPr>
          <w:rFonts w:hint="eastAsia"/>
          <w:sz w:val="21"/>
          <w:szCs w:val="21"/>
        </w:rPr>
        <w:t xml:space="preserve">本基金的A类基金份额和C类基金份额赎回费率随申请份额持有时间增加而递减。具体如下表所示：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74"/>
        <w:gridCol w:w="2571"/>
        <w:gridCol w:w="25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持有基金份额期限（Y）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A类份额赎回费率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C类份额赎回费率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Y＜7日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1.50%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1.50%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Y≥7日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0.00%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0.00% </w:t>
            </w:r>
          </w:p>
        </w:tc>
      </w:tr>
    </w:tbl>
    <w:p>
      <w:pPr>
        <w:pStyle w:val="7"/>
        <w:spacing w:before="0" w:beforeAutospacing="0" w:after="0" w:afterAutospacing="0" w:line="360" w:lineRule="auto"/>
        <w:ind w:firstLine="420"/>
        <w:rPr>
          <w:sz w:val="21"/>
          <w:szCs w:val="21"/>
        </w:rPr>
      </w:pPr>
      <w:r>
        <w:rPr>
          <w:rFonts w:hint="eastAsia"/>
          <w:sz w:val="21"/>
          <w:szCs w:val="21"/>
        </w:rPr>
        <w:t xml:space="preserve">本基金赎回费用由赎回基金份额的基金份额持有人承担，在基金份额持有人赎回基金份额时收取。本基金对持续持有期在7日以内的投资人收取的赎回费，全额计入基金资产。对于每份申购份额，持有期指自该基金份额申购确认日至赎回确认日（不含该日）。 </w:t>
      </w:r>
    </w:p>
    <w:p>
      <w:pPr>
        <w:pStyle w:val="7"/>
        <w:spacing w:before="0" w:beforeAutospacing="0" w:after="0" w:afterAutospacing="0" w:line="360" w:lineRule="auto"/>
        <w:ind w:firstLine="420"/>
        <w:rPr>
          <w:sz w:val="21"/>
          <w:szCs w:val="21"/>
        </w:rPr>
      </w:pPr>
      <w:r>
        <w:rPr>
          <w:rFonts w:hint="eastAsia"/>
          <w:sz w:val="21"/>
          <w:szCs w:val="21"/>
        </w:rPr>
        <w:t xml:space="preserve">3、基金管理人可以针对特定投资人（如养老金客户等）开展费率优惠活动，具体见基金管理人相关公告。 </w:t>
      </w:r>
    </w:p>
    <w:p>
      <w:pPr>
        <w:pStyle w:val="7"/>
        <w:spacing w:before="0" w:beforeAutospacing="0" w:after="0" w:afterAutospacing="0" w:line="360" w:lineRule="auto"/>
        <w:ind w:firstLine="420"/>
        <w:rPr>
          <w:sz w:val="21"/>
          <w:szCs w:val="21"/>
        </w:rPr>
      </w:pPr>
      <w:r>
        <w:rPr>
          <w:rFonts w:hint="eastAsia"/>
          <w:sz w:val="21"/>
          <w:szCs w:val="21"/>
        </w:rPr>
        <w:t xml:space="preserve">4、基金管理人可以在《基金合同》约定的范围内调整费率或收费方式，并最迟应于新的费率或收费方式实施日前依照《信息披露办法》的有关规定在规定媒介上公告。 </w:t>
      </w:r>
    </w:p>
    <w:p>
      <w:pPr>
        <w:pStyle w:val="7"/>
        <w:spacing w:before="0" w:beforeAutospacing="0" w:after="0" w:afterAutospacing="0" w:line="360" w:lineRule="auto"/>
        <w:ind w:firstLine="420"/>
        <w:rPr>
          <w:sz w:val="21"/>
          <w:szCs w:val="21"/>
        </w:rPr>
      </w:pPr>
      <w:r>
        <w:rPr>
          <w:rFonts w:hint="eastAsia"/>
          <w:sz w:val="21"/>
          <w:szCs w:val="21"/>
        </w:rPr>
        <w:t xml:space="preserve">5、基金管理人可以在不违背法律法规规定及基金合同约定并对现有份额持有人利益无实质性不利影响的情况下，根据市场情况制定基金促销计划，定期或不定期地开展基金促销活动。在基金促销活动期间，基金管理人可以按中国证监会要求履行必要手续后，对基金投资者适当调低基金申购费率、赎回费率和销售服务费率。 </w:t>
      </w:r>
    </w:p>
    <w:p>
      <w:pPr>
        <w:pStyle w:val="7"/>
        <w:spacing w:before="0" w:beforeAutospacing="0" w:after="0" w:afterAutospacing="0" w:line="360" w:lineRule="auto"/>
        <w:ind w:firstLine="420"/>
        <w:rPr>
          <w:sz w:val="21"/>
          <w:szCs w:val="21"/>
        </w:rPr>
      </w:pPr>
      <w:r>
        <w:rPr>
          <w:rFonts w:hint="eastAsia"/>
          <w:sz w:val="21"/>
          <w:szCs w:val="21"/>
        </w:rPr>
        <w:t xml:space="preserve">6、当本基金发生大额申购或赎回情形时，基金管理人可以采用摆动定价机制以确保基金估值的公平性。具体处理原则与操作规范遵循相关法律法规以及监管部门、自律规则的规定。 </w:t>
      </w:r>
    </w:p>
    <w:p>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w:t>
      </w:r>
    </w:p>
    <w:p>
      <w:pPr>
        <w:pStyle w:val="7"/>
        <w:spacing w:before="0" w:beforeAutospacing="0" w:after="0" w:afterAutospacing="0" w:line="360" w:lineRule="auto"/>
        <w:ind w:firstLine="420"/>
        <w:rPr>
          <w:sz w:val="21"/>
          <w:szCs w:val="21"/>
        </w:rPr>
      </w:pPr>
      <w:r>
        <w:rPr>
          <w:rFonts w:hint="eastAsia"/>
          <w:sz w:val="21"/>
          <w:szCs w:val="21"/>
        </w:rPr>
        <w:t xml:space="preserve">1、本基金申购份额的计算方式 </w:t>
      </w:r>
    </w:p>
    <w:p>
      <w:pPr>
        <w:pStyle w:val="7"/>
        <w:spacing w:before="0" w:beforeAutospacing="0" w:after="0" w:afterAutospacing="0" w:line="360" w:lineRule="auto"/>
        <w:ind w:firstLine="420"/>
        <w:rPr>
          <w:sz w:val="21"/>
          <w:szCs w:val="21"/>
        </w:rPr>
      </w:pPr>
      <w:r>
        <w:rPr>
          <w:rFonts w:hint="eastAsia"/>
          <w:sz w:val="21"/>
          <w:szCs w:val="21"/>
        </w:rPr>
        <w:t xml:space="preserve">（1）A类基金份额 </w:t>
      </w:r>
    </w:p>
    <w:p>
      <w:pPr>
        <w:pStyle w:val="7"/>
        <w:spacing w:before="0" w:beforeAutospacing="0" w:after="0" w:afterAutospacing="0" w:line="360" w:lineRule="auto"/>
        <w:ind w:firstLine="420"/>
        <w:rPr>
          <w:sz w:val="21"/>
          <w:szCs w:val="21"/>
        </w:rPr>
      </w:pPr>
      <w:r>
        <w:rPr>
          <w:rFonts w:hint="eastAsia"/>
          <w:sz w:val="21"/>
          <w:szCs w:val="21"/>
        </w:rPr>
        <w:t xml:space="preserve">申购费用适用比例费率时：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pPr>
        <w:pStyle w:val="7"/>
        <w:spacing w:before="0" w:beforeAutospacing="0" w:after="0" w:afterAutospacing="0" w:line="360" w:lineRule="auto"/>
        <w:ind w:firstLine="420"/>
        <w:rPr>
          <w:sz w:val="21"/>
          <w:szCs w:val="21"/>
        </w:rPr>
      </w:pPr>
      <w:r>
        <w:rPr>
          <w:rFonts w:hint="eastAsia"/>
          <w:sz w:val="21"/>
          <w:szCs w:val="21"/>
        </w:rPr>
        <w:t xml:space="preserve">申购费用适用固定金额时： </w:t>
      </w:r>
    </w:p>
    <w:p>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上述计算结果均按照四舍五入方法，保留到小数点后两位，由此产生的收益或损失由基金财产承担。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（2）C类基金份额 </w:t>
      </w:r>
    </w:p>
    <w:p>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上述计算结果均按照四舍五入方法，保留到小数点后两位，由此产生的收益或损失由基金财产承担。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例1：假定T日A类基金份额净值为1.0160元，某投资人本次通过申购本基金A类基金份额10万元，对应的本次申购费率为1.00%，该投资人可得到的A类基金份额为： </w:t>
      </w:r>
    </w:p>
    <w:p>
      <w:pPr>
        <w:pStyle w:val="7"/>
        <w:spacing w:before="0" w:beforeAutospacing="0" w:after="0" w:afterAutospacing="0" w:line="360" w:lineRule="auto"/>
        <w:ind w:firstLine="420"/>
        <w:rPr>
          <w:sz w:val="21"/>
          <w:szCs w:val="21"/>
        </w:rPr>
      </w:pPr>
      <w:r>
        <w:rPr>
          <w:rFonts w:hint="eastAsia"/>
          <w:sz w:val="21"/>
          <w:szCs w:val="21"/>
        </w:rPr>
        <w:t xml:space="preserve">净申购金额＝100,000/ (1＋1.00%)＝99,009.90 元 </w:t>
      </w:r>
    </w:p>
    <w:p>
      <w:pPr>
        <w:pStyle w:val="7"/>
        <w:spacing w:before="0" w:beforeAutospacing="0" w:after="0" w:afterAutospacing="0" w:line="360" w:lineRule="auto"/>
        <w:ind w:firstLine="420"/>
        <w:rPr>
          <w:sz w:val="21"/>
          <w:szCs w:val="21"/>
        </w:rPr>
      </w:pPr>
      <w:r>
        <w:rPr>
          <w:rFonts w:hint="eastAsia"/>
          <w:sz w:val="21"/>
          <w:szCs w:val="21"/>
        </w:rPr>
        <w:t xml:space="preserve">申购费用＝100,000－99,009.90 =990.10元 </w:t>
      </w:r>
    </w:p>
    <w:p>
      <w:pPr>
        <w:pStyle w:val="7"/>
        <w:spacing w:before="0" w:beforeAutospacing="0" w:after="0" w:afterAutospacing="0" w:line="360" w:lineRule="auto"/>
        <w:ind w:firstLine="420"/>
        <w:rPr>
          <w:sz w:val="21"/>
          <w:szCs w:val="21"/>
        </w:rPr>
      </w:pPr>
      <w:r>
        <w:rPr>
          <w:rFonts w:hint="eastAsia"/>
          <w:sz w:val="21"/>
          <w:szCs w:val="21"/>
        </w:rPr>
        <w:t xml:space="preserve">申购份额＝99,009.90 /1.0160＝97,450.69份 </w:t>
      </w:r>
    </w:p>
    <w:p>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即：投资者投资10万元申购本基金A类基金份额，假定申购当日A类基金份额净值为1.0160元，可得到97,450.69份A类基金份额。 </w:t>
      </w:r>
    </w:p>
    <w:p>
      <w:pPr>
        <w:pStyle w:val="7"/>
        <w:spacing w:before="0" w:beforeAutospacing="0" w:after="0" w:afterAutospacing="0" w:line="360" w:lineRule="auto"/>
        <w:ind w:firstLine="420"/>
        <w:rPr>
          <w:sz w:val="21"/>
          <w:szCs w:val="21"/>
        </w:rPr>
      </w:pPr>
      <w:r>
        <w:rPr>
          <w:rFonts w:hint="eastAsia"/>
          <w:sz w:val="21"/>
          <w:szCs w:val="21"/>
        </w:rPr>
        <w:t xml:space="preserve">例2：假设某投资者投资10万元申购本基金C类基金份额，申购当日本基金C类基金份额净值为1.0600元，则可得到的申购份额为： </w:t>
      </w:r>
    </w:p>
    <w:p>
      <w:pPr>
        <w:pStyle w:val="7"/>
        <w:spacing w:before="0" w:beforeAutospacing="0" w:after="0" w:afterAutospacing="0" w:line="360" w:lineRule="auto"/>
        <w:ind w:firstLine="420"/>
        <w:rPr>
          <w:sz w:val="21"/>
          <w:szCs w:val="21"/>
        </w:rPr>
      </w:pPr>
      <w:r>
        <w:rPr>
          <w:rFonts w:hint="eastAsia"/>
          <w:sz w:val="21"/>
          <w:szCs w:val="21"/>
        </w:rPr>
        <w:t xml:space="preserve">申购份额＝100,000/1.0600＝94,339.62份 </w:t>
      </w:r>
    </w:p>
    <w:p>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例3：某投资者赎回本基金A类基金份额1万份，持有时间为1年，对应的赎回费率为0%，假设赎回当日A类基金份额净值是1.2500元，则其可得到的赎回金额为： </w:t>
      </w:r>
    </w:p>
    <w:p>
      <w:pPr>
        <w:pStyle w:val="7"/>
        <w:spacing w:before="0" w:beforeAutospacing="0" w:after="0" w:afterAutospacing="0" w:line="360" w:lineRule="auto"/>
        <w:ind w:firstLine="420"/>
        <w:rPr>
          <w:sz w:val="21"/>
          <w:szCs w:val="21"/>
        </w:rPr>
      </w:pPr>
      <w:r>
        <w:rPr>
          <w:rFonts w:hint="eastAsia"/>
          <w:sz w:val="21"/>
          <w:szCs w:val="21"/>
        </w:rPr>
        <w:t xml:space="preserve">赎回总金额=10,000×1.2500=12,500.00元 </w:t>
      </w:r>
    </w:p>
    <w:p>
      <w:pPr>
        <w:pStyle w:val="7"/>
        <w:spacing w:before="0" w:beforeAutospacing="0" w:after="0" w:afterAutospacing="0" w:line="360" w:lineRule="auto"/>
        <w:ind w:firstLine="420"/>
        <w:rPr>
          <w:sz w:val="21"/>
          <w:szCs w:val="21"/>
        </w:rPr>
      </w:pPr>
      <w:r>
        <w:rPr>
          <w:rFonts w:hint="eastAsia"/>
          <w:sz w:val="21"/>
          <w:szCs w:val="21"/>
        </w:rPr>
        <w:t xml:space="preserve">赎回费用=12,500.00×0%=0.00元 </w:t>
      </w:r>
    </w:p>
    <w:p>
      <w:pPr>
        <w:pStyle w:val="7"/>
        <w:spacing w:before="0" w:beforeAutospacing="0" w:after="0" w:afterAutospacing="0" w:line="360" w:lineRule="auto"/>
        <w:ind w:firstLine="420"/>
        <w:rPr>
          <w:sz w:val="21"/>
          <w:szCs w:val="21"/>
        </w:rPr>
      </w:pPr>
      <w:r>
        <w:rPr>
          <w:rFonts w:hint="eastAsia"/>
          <w:sz w:val="21"/>
          <w:szCs w:val="21"/>
        </w:rPr>
        <w:t xml:space="preserve">净赎回金额=12,500.00-0.00=12,500.00元 </w:t>
      </w:r>
    </w:p>
    <w:p>
      <w:pPr>
        <w:pStyle w:val="7"/>
        <w:spacing w:before="0" w:beforeAutospacing="0" w:after="0" w:afterAutospacing="0" w:line="360" w:lineRule="auto"/>
        <w:ind w:firstLine="420"/>
        <w:rPr>
          <w:sz w:val="21"/>
          <w:szCs w:val="21"/>
        </w:rPr>
      </w:pPr>
      <w:r>
        <w:rPr>
          <w:rFonts w:hint="eastAsia"/>
          <w:sz w:val="21"/>
          <w:szCs w:val="21"/>
        </w:rPr>
        <w:t xml:space="preserve">即：投资者赎回本基金A类基金份额1万份，持有时间为1年，假设赎回当日A类基金份额净值是1.2500元，则其可得到的赎回金额为12,500.00元。 </w:t>
      </w:r>
    </w:p>
    <w:p>
      <w:pPr>
        <w:pStyle w:val="7"/>
        <w:spacing w:before="0" w:beforeAutospacing="0" w:after="0" w:afterAutospacing="0" w:line="360" w:lineRule="auto"/>
        <w:ind w:firstLine="420"/>
        <w:rPr>
          <w:sz w:val="21"/>
          <w:szCs w:val="21"/>
        </w:rPr>
      </w:pPr>
      <w:r>
        <w:rPr>
          <w:rFonts w:hint="eastAsia"/>
          <w:sz w:val="21"/>
          <w:szCs w:val="21"/>
        </w:rPr>
        <w:t>3、本基金A类基金份额和C类基金份额分别设置代码，分别计算和公告各类基金份额净值和各类基金份额累计净值。本基金各类基金份额净值的计算，均保留到小数点后</w:t>
      </w:r>
      <w:bookmarkStart w:id="93" w:name="field_63_netdecimal_1"/>
      <w:r>
        <w:rPr>
          <w:sz w:val="21"/>
          <w:szCs w:val="21"/>
        </w:rPr>
        <w:t>4</w:t>
      </w:r>
      <w:bookmarkEnd w:id="93"/>
      <w:r>
        <w:rPr>
          <w:rFonts w:hint="eastAsia"/>
          <w:sz w:val="21"/>
          <w:szCs w:val="21"/>
        </w:rPr>
        <w:t>位，小数点后第</w:t>
      </w:r>
      <w:bookmarkStart w:id="94" w:name="field_0_netdecimaladd1_1"/>
      <w:r>
        <w:rPr>
          <w:sz w:val="21"/>
          <w:szCs w:val="21"/>
        </w:rPr>
        <w:t>5</w:t>
      </w:r>
      <w:bookmarkEnd w:id="94"/>
      <w:r>
        <w:rPr>
          <w:rFonts w:hint="eastAsia"/>
          <w:sz w:val="21"/>
          <w:szCs w:val="21"/>
        </w:rPr>
        <w:t xml:space="preserve">位四舍五入，由此产生的收益或损失由基金财产承担。T日的各类基金份额净值在当天收市后计算，并按基金合同的约定进行公告。遇特殊情况，经履行适当程序，可以适当延迟计算或公告。 </w:t>
      </w:r>
    </w:p>
    <w:p>
      <w:pPr>
        <w:pStyle w:val="7"/>
        <w:spacing w:before="0" w:beforeAutospacing="0" w:after="0" w:afterAutospacing="0" w:line="360" w:lineRule="auto"/>
        <w:ind w:firstLine="420"/>
        <w:rPr>
          <w:sz w:val="21"/>
          <w:szCs w:val="21"/>
        </w:rPr>
      </w:pPr>
      <w:r>
        <w:rPr>
          <w:rStyle w:val="11"/>
          <w:rFonts w:hint="eastAsia"/>
          <w:sz w:val="21"/>
          <w:szCs w:val="21"/>
        </w:rPr>
        <w:t>八、申购和赎回的登记</w:t>
      </w:r>
    </w:p>
    <w:p>
      <w:pPr>
        <w:pStyle w:val="7"/>
        <w:spacing w:before="0" w:beforeAutospacing="0" w:after="0" w:afterAutospacing="0" w:line="360" w:lineRule="auto"/>
        <w:ind w:firstLine="420"/>
        <w:rPr>
          <w:sz w:val="21"/>
          <w:szCs w:val="21"/>
        </w:rPr>
      </w:pPr>
      <w:r>
        <w:rPr>
          <w:rFonts w:hint="eastAsia"/>
          <w:sz w:val="21"/>
          <w:szCs w:val="21"/>
        </w:rPr>
        <w:t xml:space="preserve">投资人申购基金成功后，基金登记机构在T+1日为投资人登记权益并办理登记手续，投资人自T+2日（含该日）后有权赎回该部分基金份额。 </w:t>
      </w:r>
    </w:p>
    <w:p>
      <w:pPr>
        <w:pStyle w:val="7"/>
        <w:spacing w:before="0" w:beforeAutospacing="0" w:after="0" w:afterAutospacing="0" w:line="360" w:lineRule="auto"/>
        <w:ind w:firstLine="420"/>
        <w:rPr>
          <w:sz w:val="21"/>
          <w:szCs w:val="21"/>
        </w:rPr>
      </w:pPr>
      <w:r>
        <w:rPr>
          <w:rFonts w:hint="eastAsia"/>
          <w:sz w:val="21"/>
          <w:szCs w:val="21"/>
        </w:rPr>
        <w:t xml:space="preserve">投资人赎回基金成功后，基金登记机构在T+1日为投资人办理扣除权益的登记手续。 </w:t>
      </w:r>
    </w:p>
    <w:p>
      <w:pPr>
        <w:pStyle w:val="7"/>
        <w:spacing w:before="0" w:beforeAutospacing="0" w:after="0" w:afterAutospacing="0" w:line="360" w:lineRule="auto"/>
        <w:ind w:firstLine="420"/>
        <w:rPr>
          <w:sz w:val="21"/>
          <w:szCs w:val="21"/>
        </w:rPr>
      </w:pPr>
      <w:r>
        <w:rPr>
          <w:rFonts w:hint="eastAsia"/>
          <w:sz w:val="21"/>
          <w:szCs w:val="21"/>
        </w:rPr>
        <w:t xml:space="preserve">基金管理人可以在不违反法律法规的范围内，对上述登记办理时间进行调整，但不得实质影响投资人的合法权益，并最迟于实施前依照《信息披露办法》的有关规定在规定媒介公告。 </w:t>
      </w:r>
    </w:p>
    <w:p>
      <w:pPr>
        <w:pStyle w:val="7"/>
        <w:spacing w:before="0" w:beforeAutospacing="0" w:after="0" w:afterAutospacing="0" w:line="360" w:lineRule="auto"/>
        <w:ind w:firstLine="420"/>
        <w:rPr>
          <w:sz w:val="21"/>
          <w:szCs w:val="21"/>
        </w:rPr>
      </w:pPr>
      <w:r>
        <w:rPr>
          <w:rStyle w:val="11"/>
          <w:rFonts w:hint="eastAsia"/>
          <w:sz w:val="21"/>
          <w:szCs w:val="21"/>
        </w:rPr>
        <w:t>九、拒绝或暂停申购的情形</w:t>
      </w:r>
    </w:p>
    <w:p>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4、基金管理人接受某笔或某些申购申请可能会影响或损害现有基金份额持有人利益或对存量基金份额持有人利益构成潜在重大不利影响时。 </w:t>
      </w:r>
    </w:p>
    <w:p>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6、基金管理人、基金托管人、销售机构或登记机构的技术故障等异常情况导致基金销售系统、基金注册登记系统或基金会计系统无法正常运行。 </w:t>
      </w:r>
    </w:p>
    <w:p>
      <w:pPr>
        <w:pStyle w:val="7"/>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8、基金管理人接受某笔或者某些申购申请有可能导致单一投资者持有基金份额的比例达到或者超过50%，或者变相规避50%集中度的情形时。 </w:t>
      </w:r>
    </w:p>
    <w:p>
      <w:pPr>
        <w:pStyle w:val="7"/>
        <w:spacing w:before="0" w:beforeAutospacing="0" w:after="0" w:afterAutospacing="0" w:line="360" w:lineRule="auto"/>
        <w:ind w:firstLine="420"/>
        <w:rPr>
          <w:sz w:val="21"/>
          <w:szCs w:val="21"/>
        </w:rPr>
      </w:pPr>
      <w:r>
        <w:rPr>
          <w:rFonts w:hint="eastAsia"/>
          <w:sz w:val="21"/>
          <w:szCs w:val="21"/>
        </w:rPr>
        <w:t xml:space="preserve">9、港股通的业务规则发生重大变化时。 </w:t>
      </w:r>
    </w:p>
    <w:p>
      <w:pPr>
        <w:pStyle w:val="7"/>
        <w:spacing w:before="0" w:beforeAutospacing="0" w:after="0" w:afterAutospacing="0" w:line="360" w:lineRule="auto"/>
        <w:ind w:firstLine="420"/>
        <w:rPr>
          <w:sz w:val="21"/>
          <w:szCs w:val="21"/>
        </w:rPr>
      </w:pPr>
      <w:r>
        <w:rPr>
          <w:rFonts w:hint="eastAsia"/>
          <w:sz w:val="21"/>
          <w:szCs w:val="21"/>
        </w:rPr>
        <w:t xml:space="preserve">10、法律法规规定或中国证监会认定的其他情形。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第1、2、3、5、6、7、9、10项暂停申购情形之一且基金管理人决定暂停接受投资人的申购申请时，基金管理人应当根据有关规定在规定媒介上刊登暂停申购公告。如果投资人的申购申请被全部或部分拒绝，被拒绝的申购款项本金将退还给投资人。在暂停申购的情况消除时，基金管理人应及时恢复申购业务的办理。 </w:t>
      </w:r>
    </w:p>
    <w:p>
      <w:pPr>
        <w:pStyle w:val="7"/>
        <w:spacing w:before="0" w:beforeAutospacing="0" w:after="0" w:afterAutospacing="0" w:line="360" w:lineRule="auto"/>
        <w:ind w:firstLine="420"/>
        <w:rPr>
          <w:sz w:val="21"/>
          <w:szCs w:val="21"/>
        </w:rPr>
      </w:pPr>
      <w:r>
        <w:rPr>
          <w:rStyle w:val="11"/>
          <w:rFonts w:hint="eastAsia"/>
          <w:sz w:val="21"/>
          <w:szCs w:val="21"/>
        </w:rPr>
        <w:t>十、暂停赎回或延缓支付赎回款项的情形</w:t>
      </w:r>
    </w:p>
    <w:p>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5、发生继续接受赎回申请将损害现有基金份额持有人利益的情形时，基金管理人可暂停接受基金份额持有人的赎回申请。 </w:t>
      </w:r>
    </w:p>
    <w:p>
      <w:pPr>
        <w:pStyle w:val="7"/>
        <w:spacing w:before="0" w:beforeAutospacing="0" w:after="0" w:afterAutospacing="0" w:line="360" w:lineRule="auto"/>
        <w:ind w:firstLine="420"/>
        <w:rPr>
          <w:sz w:val="21"/>
          <w:szCs w:val="21"/>
        </w:rPr>
      </w:pPr>
      <w:r>
        <w:rPr>
          <w:rFonts w:hint="eastAsia"/>
          <w:sz w:val="21"/>
          <w:szCs w:val="21"/>
        </w:rPr>
        <w:t xml:space="preserve">6、当特定资产占前一估值日基金资产净值50%以上的，经与基金托管人协商确认后，基金管理人应当延缓支付赎回款项或暂停接受基金赎回申请。 </w:t>
      </w:r>
    </w:p>
    <w:p>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情形之一（第4项除外）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pPr>
        <w:pStyle w:val="7"/>
        <w:spacing w:before="0" w:beforeAutospacing="0" w:after="0" w:afterAutospacing="0" w:line="360" w:lineRule="auto"/>
        <w:ind w:firstLine="420"/>
        <w:rPr>
          <w:sz w:val="21"/>
          <w:szCs w:val="21"/>
        </w:rPr>
      </w:pPr>
      <w:r>
        <w:rPr>
          <w:rStyle w:val="11"/>
          <w:rFonts w:hint="eastAsia"/>
          <w:sz w:val="21"/>
          <w:szCs w:val="21"/>
        </w:rPr>
        <w:t>十一、巨额赎回的情形及处理方式</w:t>
      </w:r>
    </w:p>
    <w:p>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若本基金单个开放日内的基金份额净赎回申请（赎回申请份额总数加上基金转换中转出申请份额总数后扣除申购申请份额总数及基金转换中转入申请份额总数后的余额）超过前一工作日的基金总份额的</w:t>
      </w:r>
      <w:bookmarkStart w:id="95" w:name="field_49_mintredeemscale_2"/>
      <w:r>
        <w:rPr>
          <w:sz w:val="21"/>
          <w:szCs w:val="21"/>
        </w:rPr>
        <w:t>10</w:t>
      </w:r>
      <w:bookmarkEnd w:id="95"/>
      <w:r>
        <w:rPr>
          <w:rFonts w:hint="eastAsia"/>
          <w:sz w:val="21"/>
          <w:szCs w:val="21"/>
        </w:rPr>
        <w:t xml:space="preserve">%，即认为是发生了巨额赎回。 </w:t>
      </w:r>
    </w:p>
    <w:p>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当基金出现巨额赎回时，基金管理人可以根据基金当时的资产组合状况决定全额赎回、部分延期赎回或暂停赎回。 </w:t>
      </w:r>
    </w:p>
    <w:p>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工作日基金总份额的</w:t>
      </w:r>
      <w:bookmarkStart w:id="96" w:name="field_49_mintredeemscale_3"/>
      <w:r>
        <w:rPr>
          <w:sz w:val="21"/>
          <w:szCs w:val="21"/>
        </w:rPr>
        <w:t>10</w:t>
      </w:r>
      <w:bookmarkEnd w:id="96"/>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（3）本基金发生巨额赎回时，对于单个基金份额持有人当日赎回申请超过上一工作日基金总份额</w:t>
      </w:r>
      <w:bookmarkStart w:id="97" w:name="field_49_mintredeemscale_4"/>
      <w:r>
        <w:rPr>
          <w:sz w:val="21"/>
          <w:szCs w:val="21"/>
        </w:rPr>
        <w:t>10</w:t>
      </w:r>
      <w:bookmarkEnd w:id="97"/>
      <w:r>
        <w:rPr>
          <w:rFonts w:hint="eastAsia"/>
          <w:sz w:val="21"/>
          <w:szCs w:val="21"/>
        </w:rPr>
        <w:t xml:space="preserve">%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工作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2个开放日）发生巨额赎回，如基金管理人认为有必要，可暂停接受基金的赎回申请；已经接受的赎回申请可以延缓支付赎回款项，但不得超过20个工作日，并应当在规定媒介上进行公告。 </w:t>
      </w:r>
    </w:p>
    <w:p>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当发生上述巨额赎回并延期办理时，基金管理人应当通过邮寄、传真或者招募说明书规定的其他方式在3个交易日内通知基金份额持有人，说明有关处理方法，并在2日内在规定媒介上刊登公告。 </w:t>
      </w:r>
    </w:p>
    <w:p>
      <w:pPr>
        <w:pStyle w:val="7"/>
        <w:spacing w:before="0" w:beforeAutospacing="0" w:after="0" w:afterAutospacing="0" w:line="360" w:lineRule="auto"/>
        <w:ind w:firstLine="420"/>
        <w:rPr>
          <w:sz w:val="21"/>
          <w:szCs w:val="21"/>
        </w:rPr>
      </w:pPr>
      <w:r>
        <w:rPr>
          <w:rStyle w:val="11"/>
          <w:rFonts w:hint="eastAsia"/>
          <w:sz w:val="21"/>
          <w:szCs w:val="21"/>
        </w:rPr>
        <w:t>十二、暂停申购或赎回的公告和重新开放申购或赎回的公告</w:t>
      </w:r>
    </w:p>
    <w:p>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1、发生上述暂停申购或赎回情况的，基金管理人应在规定期限内在规定媒介上刊登暂停公告。 </w:t>
      </w:r>
    </w:p>
    <w:p>
      <w:pPr>
        <w:pStyle w:val="7"/>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pPr>
        <w:pStyle w:val="7"/>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3、上述暂停申购或赎回情况消除的，基金管理人应于重新开放日公布最近1个开放日</w:t>
      </w:r>
      <w:bookmarkStart w:id="98" w:name="chapter_level1_10_59_section_3_end"/>
      <w:bookmarkEnd w:id="98"/>
      <w:r>
        <w:rPr>
          <w:rFonts w:hint="eastAsia"/>
          <w:sz w:val="21"/>
          <w:szCs w:val="21"/>
        </w:rPr>
        <w:t xml:space="preserve">各类基金份额净值。 </w:t>
      </w:r>
    </w:p>
    <w:p>
      <w:pPr>
        <w:pStyle w:val="7"/>
        <w:spacing w:before="0" w:beforeAutospacing="0" w:after="0" w:afterAutospacing="0" w:line="360" w:lineRule="auto"/>
        <w:ind w:firstLine="420"/>
        <w:rPr>
          <w:sz w:val="21"/>
          <w:szCs w:val="21"/>
        </w:rPr>
      </w:pPr>
      <w:bookmarkStart w:id="99" w:name="chapter_level1_10_59_section_4"/>
      <w:bookmarkEnd w:id="99"/>
      <w:r>
        <w:rPr>
          <w:rStyle w:val="11"/>
          <w:rFonts w:hint="eastAsia"/>
          <w:sz w:val="21"/>
          <w:szCs w:val="21"/>
        </w:rPr>
        <w:t>十三、基金转换</w:t>
      </w:r>
    </w:p>
    <w:p>
      <w:pPr>
        <w:pStyle w:val="7"/>
        <w:spacing w:before="0" w:beforeAutospacing="0" w:after="0" w:afterAutospacing="0" w:line="360" w:lineRule="auto"/>
        <w:ind w:firstLine="420"/>
        <w:rPr>
          <w:sz w:val="21"/>
          <w:szCs w:val="21"/>
        </w:rPr>
      </w:pPr>
      <w:r>
        <w:rPr>
          <w:rFonts w:hint="eastAsia"/>
          <w:sz w:val="21"/>
          <w:szCs w:val="21"/>
        </w:rPr>
        <w:t xml:space="preserve">本基金已于2024年4月29日开放日常转换业务。 </w:t>
      </w:r>
    </w:p>
    <w:p>
      <w:pPr>
        <w:pStyle w:val="7"/>
        <w:spacing w:before="0" w:beforeAutospacing="0" w:after="0" w:afterAutospacing="0" w:line="360" w:lineRule="auto"/>
        <w:ind w:firstLine="420"/>
        <w:rPr>
          <w:sz w:val="21"/>
          <w:szCs w:val="21"/>
        </w:rPr>
      </w:pPr>
      <w:r>
        <w:rPr>
          <w:rFonts w:hint="eastAsia"/>
          <w:sz w:val="21"/>
          <w:szCs w:val="21"/>
        </w:rPr>
        <w:t xml:space="preserve">1.转换费率 </w:t>
      </w:r>
    </w:p>
    <w:p>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pPr>
        <w:pStyle w:val="7"/>
        <w:spacing w:before="0" w:beforeAutospacing="0" w:after="0" w:afterAutospacing="0" w:line="360" w:lineRule="auto"/>
        <w:ind w:firstLine="420"/>
        <w:rPr>
          <w:sz w:val="21"/>
          <w:szCs w:val="21"/>
        </w:rPr>
      </w:pPr>
      <w:r>
        <w:rPr>
          <w:rFonts w:hint="eastAsia"/>
          <w:sz w:val="21"/>
          <w:szCs w:val="21"/>
        </w:rPr>
        <w:t xml:space="preserve">2.其他与转换相关的事项 </w:t>
      </w:r>
    </w:p>
    <w:p>
      <w:pPr>
        <w:pStyle w:val="7"/>
        <w:spacing w:before="0" w:beforeAutospacing="0" w:after="0" w:afterAutospacing="0" w:line="360" w:lineRule="auto"/>
        <w:ind w:firstLine="420"/>
        <w:rPr>
          <w:sz w:val="21"/>
          <w:szCs w:val="21"/>
        </w:rPr>
      </w:pPr>
      <w:r>
        <w:rPr>
          <w:rFonts w:hint="eastAsia"/>
          <w:sz w:val="21"/>
          <w:szCs w:val="21"/>
        </w:rPr>
        <w:t xml:space="preserve">1）业务规则 </w:t>
      </w:r>
    </w:p>
    <w:p>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pPr>
        <w:pStyle w:val="7"/>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pPr>
        <w:pStyle w:val="7"/>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pPr>
        <w:pStyle w:val="7"/>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基金转换视同为转出基金的赎回和转入基金的申购，因此暂停基金转换适用有关转出基金和转入基金关于暂停或拒绝申购、暂停赎回的有关规定。 </w:t>
      </w:r>
    </w:p>
    <w:p>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pPr>
        <w:pStyle w:val="7"/>
        <w:spacing w:before="0" w:beforeAutospacing="0" w:after="0" w:afterAutospacing="0" w:line="360" w:lineRule="auto"/>
        <w:ind w:firstLine="420"/>
        <w:rPr>
          <w:sz w:val="21"/>
          <w:szCs w:val="21"/>
        </w:rPr>
      </w:pPr>
      <w:r>
        <w:rPr>
          <w:rFonts w:hint="eastAsia"/>
          <w:sz w:val="21"/>
          <w:szCs w:val="21"/>
        </w:rPr>
        <w:t xml:space="preserve">3）重要提示 </w:t>
      </w:r>
    </w:p>
    <w:p>
      <w:pPr>
        <w:pStyle w:val="7"/>
        <w:spacing w:before="0" w:beforeAutospacing="0" w:after="0" w:afterAutospacing="0" w:line="360" w:lineRule="auto"/>
        <w:ind w:firstLine="420"/>
        <w:rPr>
          <w:sz w:val="21"/>
          <w:szCs w:val="21"/>
        </w:rPr>
      </w:pPr>
      <w:r>
        <w:rPr>
          <w:rFonts w:hint="eastAsia"/>
          <w:sz w:val="21"/>
          <w:szCs w:val="21"/>
        </w:rPr>
        <w:t xml:space="preserve">①本基金转换业务适用于可以销售包括本基金在内的两只以上（含两只），且基金注册登记机构为同一机构的博时旗下基金的销售机构。 </w:t>
      </w:r>
    </w:p>
    <w:p>
      <w:pPr>
        <w:pStyle w:val="7"/>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pPr>
        <w:pStyle w:val="7"/>
        <w:spacing w:before="0" w:beforeAutospacing="0" w:after="0" w:afterAutospacing="0" w:line="360" w:lineRule="auto"/>
        <w:ind w:firstLine="420"/>
        <w:rPr>
          <w:sz w:val="21"/>
          <w:szCs w:val="21"/>
        </w:rPr>
      </w:pPr>
      <w:bookmarkStart w:id="100" w:name="chapter_level1_10_59_section_4_end"/>
      <w:bookmarkEnd w:id="100"/>
      <w:r>
        <w:rPr>
          <w:rFonts w:hint="eastAsia"/>
          <w:sz w:val="21"/>
          <w:szCs w:val="21"/>
        </w:rPr>
        <w:t xml:space="preserve">③本公司管理基金的转换业务的解释权归本公司。  </w:t>
      </w:r>
    </w:p>
    <w:p>
      <w:pPr>
        <w:pStyle w:val="7"/>
        <w:spacing w:before="0" w:beforeAutospacing="0" w:after="0" w:afterAutospacing="0" w:line="360" w:lineRule="auto"/>
        <w:ind w:firstLine="420"/>
        <w:rPr>
          <w:sz w:val="21"/>
          <w:szCs w:val="21"/>
        </w:rPr>
      </w:pPr>
      <w:bookmarkStart w:id="101" w:name="chapter_level1_10_59_section_5"/>
      <w:bookmarkEnd w:id="101"/>
      <w:r>
        <w:rPr>
          <w:rStyle w:val="11"/>
          <w:rFonts w:hint="eastAsia"/>
          <w:sz w:val="21"/>
          <w:szCs w:val="21"/>
        </w:rPr>
        <w:t>十四、基金份额的转让</w:t>
      </w:r>
    </w:p>
    <w:p>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pPr>
        <w:pStyle w:val="7"/>
        <w:spacing w:before="0" w:beforeAutospacing="0" w:after="0" w:afterAutospacing="0" w:line="360" w:lineRule="auto"/>
        <w:ind w:firstLine="420"/>
        <w:rPr>
          <w:sz w:val="21"/>
          <w:szCs w:val="21"/>
        </w:rPr>
      </w:pPr>
      <w:r>
        <w:rPr>
          <w:rStyle w:val="11"/>
          <w:rFonts w:hint="eastAsia"/>
          <w:sz w:val="21"/>
          <w:szCs w:val="21"/>
        </w:rPr>
        <w:t>十六、基金的转托管</w:t>
      </w:r>
    </w:p>
    <w:p>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2" w:name="chapter_level1_10_59_section_5_end"/>
      <w:bookmarkEnd w:id="102"/>
      <w:r>
        <w:rPr>
          <w:rFonts w:hint="eastAsia"/>
          <w:sz w:val="21"/>
          <w:szCs w:val="21"/>
        </w:rPr>
        <w:t xml:space="preserve">以按照规定的标准收取转托管费。 </w:t>
      </w:r>
    </w:p>
    <w:p>
      <w:pPr>
        <w:pStyle w:val="7"/>
        <w:spacing w:before="0" w:beforeAutospacing="0" w:after="0" w:afterAutospacing="0" w:line="360" w:lineRule="auto"/>
        <w:ind w:firstLine="420"/>
        <w:rPr>
          <w:sz w:val="21"/>
          <w:szCs w:val="21"/>
        </w:rPr>
      </w:pPr>
      <w:bookmarkStart w:id="103" w:name="chapter_level1_10_59_section_6"/>
      <w:bookmarkEnd w:id="103"/>
      <w:r>
        <w:rPr>
          <w:rStyle w:val="11"/>
          <w:rFonts w:hint="eastAsia"/>
          <w:sz w:val="21"/>
          <w:szCs w:val="21"/>
        </w:rPr>
        <w:t>十七、定期定额投资计划</w:t>
      </w:r>
    </w:p>
    <w:p>
      <w:pPr>
        <w:pStyle w:val="7"/>
        <w:spacing w:before="0" w:beforeAutospacing="0" w:after="0" w:afterAutospacing="0" w:line="360" w:lineRule="auto"/>
        <w:ind w:firstLine="420"/>
        <w:rPr>
          <w:sz w:val="21"/>
          <w:szCs w:val="21"/>
        </w:rPr>
      </w:pPr>
      <w:r>
        <w:rPr>
          <w:rFonts w:hint="eastAsia"/>
          <w:sz w:val="21"/>
          <w:szCs w:val="21"/>
        </w:rPr>
        <w:t xml:space="preserve">本基金已于2024年4月29日开放定期定额投资业务。 </w:t>
      </w:r>
    </w:p>
    <w:p>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pPr>
        <w:pStyle w:val="7"/>
        <w:spacing w:before="0" w:beforeAutospacing="0" w:after="0" w:afterAutospacing="0" w:line="360" w:lineRule="auto"/>
        <w:ind w:firstLine="420"/>
        <w:rPr>
          <w:sz w:val="21"/>
          <w:szCs w:val="21"/>
        </w:rPr>
      </w:pPr>
      <w:r>
        <w:rPr>
          <w:rFonts w:hint="eastAsia"/>
          <w:sz w:val="21"/>
          <w:szCs w:val="21"/>
        </w:rPr>
        <w:t xml:space="preserve">（2）申购费率   </w:t>
      </w:r>
    </w:p>
    <w:p>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本基金定期定额投资的申购费率与普通申购业务的费率相同，见上文。  </w:t>
      </w:r>
    </w:p>
    <w:p>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投资者须遵循各销售机构有关扣款日期的规定，定投金额A类基金份额每次不少于人民币1.00元（含1.00元），定投金额C类基金份额每次不少于人民币1.00元（含1.00元）。   </w:t>
      </w:r>
    </w:p>
    <w:p>
      <w:pPr>
        <w:pStyle w:val="7"/>
        <w:spacing w:before="0" w:beforeAutospacing="0" w:after="0" w:afterAutospacing="0" w:line="360" w:lineRule="auto"/>
        <w:ind w:firstLine="420"/>
        <w:rPr>
          <w:sz w:val="21"/>
          <w:szCs w:val="21"/>
        </w:rPr>
      </w:pPr>
      <w:r>
        <w:rPr>
          <w:rFonts w:hint="eastAsia"/>
          <w:sz w:val="21"/>
          <w:szCs w:val="21"/>
        </w:rPr>
        <w:t xml:space="preserve">（4）重要提示   </w:t>
      </w:r>
    </w:p>
    <w:p>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pPr>
        <w:pStyle w:val="7"/>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w:t>
      </w:r>
      <w:bookmarkStart w:id="104" w:name="chapter_level1_10_59_section_6_end"/>
      <w:bookmarkEnd w:id="104"/>
      <w:r>
        <w:rPr>
          <w:rFonts w:hint="eastAsia"/>
          <w:sz w:val="21"/>
          <w:szCs w:val="21"/>
        </w:rPr>
        <w:t xml:space="preserve">在确认成功后直接计入投资者的基金账户。   </w:t>
      </w:r>
    </w:p>
    <w:p>
      <w:pPr>
        <w:pStyle w:val="7"/>
        <w:spacing w:before="0" w:beforeAutospacing="0" w:after="0" w:afterAutospacing="0" w:line="360" w:lineRule="auto"/>
        <w:ind w:firstLine="420"/>
        <w:rPr>
          <w:sz w:val="21"/>
          <w:szCs w:val="21"/>
        </w:rPr>
      </w:pPr>
      <w:bookmarkStart w:id="105" w:name="chapter_level1_10_59_section_7"/>
      <w:bookmarkEnd w:id="105"/>
      <w:r>
        <w:rPr>
          <w:rStyle w:val="11"/>
          <w:rFonts w:hint="eastAsia"/>
          <w:sz w:val="21"/>
          <w:szCs w:val="21"/>
        </w:rPr>
        <w:t>十八、基金份额的冻结、解冻与质押</w:t>
      </w:r>
    </w:p>
    <w:p>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对基金份额持有人无实质不利影响的前提下，如相关法律法规允许，基金管理人履行相关程序后可办理基金份额的质押业务或其他基金业务，基金管理人将制定和实施相应的业务规则。 </w:t>
      </w:r>
    </w:p>
    <w:p>
      <w:pPr>
        <w:pStyle w:val="7"/>
        <w:spacing w:before="0" w:beforeAutospacing="0" w:after="0" w:afterAutospacing="0" w:line="360" w:lineRule="auto"/>
        <w:ind w:firstLine="420"/>
        <w:rPr>
          <w:sz w:val="21"/>
          <w:szCs w:val="21"/>
        </w:rPr>
      </w:pPr>
      <w:r>
        <w:rPr>
          <w:rStyle w:val="11"/>
          <w:rFonts w:hint="eastAsia"/>
          <w:sz w:val="21"/>
          <w:szCs w:val="21"/>
        </w:rPr>
        <w:t>十九、实施侧袋机制期间本基金的申购与赎回</w:t>
      </w:r>
    </w:p>
    <w:p>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本基金实施侧袋机制的，本基金的申购和赎回安排详见招募说明书“侧袋机制”部分的</w:t>
      </w:r>
      <w:bookmarkStart w:id="106" w:name="chapter_level1_10_59_section_7_end"/>
      <w:bookmarkEnd w:id="106"/>
      <w:r>
        <w:rPr>
          <w:rFonts w:hint="eastAsia"/>
          <w:sz w:val="21"/>
          <w:szCs w:val="21"/>
        </w:rPr>
        <w:t xml:space="preserve">规定或相关公告。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07" w:name="_Toc207939904"/>
      <w:bookmarkStart w:id="108" w:name="chapter_level1_11_60"/>
      <w:r>
        <w:rPr>
          <w:rFonts w:hint="eastAsia" w:ascii="宋体" w:hAnsi="宋体" w:eastAsia="宋体"/>
          <w:sz w:val="30"/>
        </w:rPr>
        <w:t>第八部分  基金的投资</w:t>
      </w:r>
      <w:bookmarkEnd w:id="107"/>
      <w:bookmarkEnd w:id="108"/>
    </w:p>
    <w:p>
      <w:pPr>
        <w:pStyle w:val="7"/>
        <w:spacing w:before="0" w:beforeAutospacing="0" w:after="0" w:afterAutospacing="0" w:line="360" w:lineRule="auto"/>
        <w:ind w:firstLine="420"/>
        <w:rPr>
          <w:sz w:val="21"/>
          <w:szCs w:val="21"/>
        </w:rPr>
      </w:pPr>
      <w:bookmarkStart w:id="109" w:name="chapter_level1_11_60_section_1"/>
      <w:bookmarkEnd w:id="109"/>
      <w:r>
        <w:rPr>
          <w:rStyle w:val="11"/>
          <w:rFonts w:hint="eastAsia"/>
          <w:sz w:val="21"/>
          <w:szCs w:val="21"/>
        </w:rPr>
        <w:t>一、投资目标</w:t>
      </w:r>
    </w:p>
    <w:p>
      <w:pPr>
        <w:pStyle w:val="7"/>
        <w:spacing w:before="0" w:beforeAutospacing="0" w:after="0" w:afterAutospacing="0" w:line="360" w:lineRule="auto"/>
        <w:ind w:firstLine="420"/>
        <w:rPr>
          <w:sz w:val="21"/>
          <w:szCs w:val="21"/>
        </w:rPr>
      </w:pPr>
      <w:bookmarkStart w:id="110" w:name="field_60_investmenttarget_1_start"/>
      <w:bookmarkEnd w:id="110"/>
      <w:r>
        <w:rPr>
          <w:rFonts w:hint="eastAsia"/>
          <w:sz w:val="21"/>
          <w:szCs w:val="21"/>
        </w:rPr>
        <w:t xml:space="preserve">紧密跟踪标的指数，追求跟踪偏离度和跟踪误差的最小化。在正常情况下，本基金力争控制投资组合的净值增长率与业绩比较基准之间的预期日均跟踪偏离度的绝对值小于0.35%，预期年化跟踪误差不超过4%。 </w:t>
      </w:r>
      <w:bookmarkStart w:id="111" w:name="field_60_investmenttarget_1_end"/>
      <w:bookmarkEnd w:id="111"/>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二、投资范围</w:t>
      </w:r>
    </w:p>
    <w:p>
      <w:pPr>
        <w:pStyle w:val="7"/>
        <w:spacing w:before="0" w:beforeAutospacing="0" w:after="0" w:afterAutospacing="0" w:line="360" w:lineRule="auto"/>
        <w:ind w:firstLine="420"/>
        <w:rPr>
          <w:sz w:val="21"/>
          <w:szCs w:val="21"/>
        </w:rPr>
      </w:pPr>
      <w:bookmarkStart w:id="112" w:name="field_60_investmentrange_1_start"/>
      <w:bookmarkEnd w:id="112"/>
      <w:r>
        <w:rPr>
          <w:rFonts w:hint="eastAsia"/>
          <w:sz w:val="21"/>
          <w:szCs w:val="21"/>
        </w:rPr>
        <w:t xml:space="preserve">本基金主要投资于标的指数成份股和备选成份股（含存托凭证）。  </w:t>
      </w:r>
    </w:p>
    <w:p>
      <w:pPr>
        <w:pStyle w:val="7"/>
        <w:spacing w:before="0" w:beforeAutospacing="0" w:after="0" w:afterAutospacing="0" w:line="360" w:lineRule="auto"/>
        <w:ind w:firstLine="420"/>
        <w:rPr>
          <w:sz w:val="21"/>
          <w:szCs w:val="21"/>
        </w:rPr>
      </w:pPr>
      <w:r>
        <w:rPr>
          <w:rFonts w:hint="eastAsia"/>
          <w:sz w:val="21"/>
          <w:szCs w:val="21"/>
        </w:rPr>
        <w:t xml:space="preserve">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可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本基金可根据法律法规的规定参与融资及转融通证券出借业务。未来在法律法规允许的前提下，本基金可根据相关法律法规规定参与融券业务。 </w:t>
      </w:r>
    </w:p>
    <w:p>
      <w:pPr>
        <w:pStyle w:val="7"/>
        <w:spacing w:before="0" w:beforeAutospacing="0" w:after="0" w:afterAutospacing="0" w:line="360" w:lineRule="auto"/>
        <w:ind w:firstLine="420"/>
        <w:rPr>
          <w:sz w:val="21"/>
          <w:szCs w:val="21"/>
        </w:rPr>
      </w:pPr>
      <w:r>
        <w:rPr>
          <w:rFonts w:hint="eastAsia"/>
          <w:sz w:val="21"/>
          <w:szCs w:val="21"/>
        </w:rPr>
        <w:t xml:space="preserve">本基金根据相关法律法规或中国证监会要求履行适当程序后，还可以投资于法律法规或中国证监会未来允许基金投资的其他金融工具。 </w:t>
      </w:r>
    </w:p>
    <w:p>
      <w:pPr>
        <w:pStyle w:val="7"/>
        <w:spacing w:before="0" w:beforeAutospacing="0" w:after="0" w:afterAutospacing="0" w:line="360" w:lineRule="auto"/>
        <w:ind w:firstLine="420"/>
        <w:rPr>
          <w:sz w:val="21"/>
          <w:szCs w:val="21"/>
        </w:rPr>
      </w:pPr>
      <w:r>
        <w:rPr>
          <w:rFonts w:hint="eastAsia"/>
          <w:sz w:val="21"/>
          <w:szCs w:val="21"/>
        </w:rPr>
        <w:t xml:space="preserve">本基金的股票资产投资比例不低于基金资产的90%，其中投资于标的指数成份股和备选成份股的资产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bookmarkStart w:id="113" w:name="field_60_investmentrange_1_end"/>
      <w:bookmarkEnd w:id="113"/>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三、投资策略</w:t>
      </w:r>
    </w:p>
    <w:p>
      <w:pPr>
        <w:pStyle w:val="7"/>
        <w:spacing w:before="0" w:beforeAutospacing="0" w:after="0" w:afterAutospacing="0" w:line="360" w:lineRule="auto"/>
        <w:ind w:firstLine="420"/>
        <w:rPr>
          <w:sz w:val="21"/>
          <w:szCs w:val="21"/>
        </w:rPr>
      </w:pPr>
      <w:bookmarkStart w:id="114" w:name="field_60_investmentstrategy_1_start"/>
      <w:bookmarkEnd w:id="114"/>
      <w:r>
        <w:rPr>
          <w:rFonts w:hint="eastAsia"/>
          <w:sz w:val="21"/>
          <w:szCs w:val="21"/>
        </w:rPr>
        <w:t xml:space="preserve">1、组合复制策略  </w:t>
      </w:r>
    </w:p>
    <w:p>
      <w:pPr>
        <w:pStyle w:val="7"/>
        <w:spacing w:before="0" w:beforeAutospacing="0" w:after="0" w:afterAutospacing="0" w:line="360" w:lineRule="auto"/>
        <w:ind w:firstLine="420"/>
        <w:rPr>
          <w:sz w:val="21"/>
          <w:szCs w:val="21"/>
        </w:rPr>
      </w:pPr>
      <w:r>
        <w:rPr>
          <w:rFonts w:hint="eastAsia"/>
          <w:sz w:val="21"/>
          <w:szCs w:val="21"/>
        </w:rPr>
        <w:t xml:space="preserve">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 </w:t>
      </w:r>
    </w:p>
    <w:p>
      <w:pPr>
        <w:pStyle w:val="7"/>
        <w:spacing w:before="0" w:beforeAutospacing="0" w:after="0" w:afterAutospacing="0" w:line="360" w:lineRule="auto"/>
        <w:ind w:firstLine="420"/>
        <w:rPr>
          <w:sz w:val="21"/>
          <w:szCs w:val="21"/>
        </w:rPr>
      </w:pPr>
      <w:r>
        <w:rPr>
          <w:rFonts w:hint="eastAsia"/>
          <w:sz w:val="21"/>
          <w:szCs w:val="21"/>
        </w:rPr>
        <w:t xml:space="preserve">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 </w:t>
      </w:r>
    </w:p>
    <w:p>
      <w:pPr>
        <w:pStyle w:val="7"/>
        <w:spacing w:before="0" w:beforeAutospacing="0" w:after="0" w:afterAutospacing="0" w:line="360" w:lineRule="auto"/>
        <w:ind w:firstLine="420"/>
        <w:rPr>
          <w:sz w:val="21"/>
          <w:szCs w:val="21"/>
        </w:rPr>
      </w:pPr>
      <w:r>
        <w:rPr>
          <w:rFonts w:hint="eastAsia"/>
          <w:sz w:val="21"/>
          <w:szCs w:val="21"/>
        </w:rPr>
        <w:t xml:space="preserve">当指数编制方法变更、成份股发生变更、成份股权重由于自由流通量调整而发生变化、成份股派发现金股息、配股及增发、股票长期停牌、市场流动性不足等情况发生时，基金管理人将对投资组合进行优化，尽量降低跟踪误差。 </w:t>
      </w:r>
    </w:p>
    <w:p>
      <w:pPr>
        <w:pStyle w:val="7"/>
        <w:spacing w:before="0" w:beforeAutospacing="0" w:after="0" w:afterAutospacing="0" w:line="360" w:lineRule="auto"/>
        <w:ind w:firstLine="420"/>
        <w:rPr>
          <w:sz w:val="21"/>
          <w:szCs w:val="21"/>
        </w:rPr>
      </w:pPr>
      <w:r>
        <w:rPr>
          <w:rFonts w:hint="eastAsia"/>
          <w:sz w:val="21"/>
          <w:szCs w:val="21"/>
        </w:rPr>
        <w:t xml:space="preserve">为了实现更好的跟踪标的指数的目的，基金管理人还将综合考虑标的指数成份股的数量、流动性、投资限制、交易费用及成本，以及税务及其他监管限制，决定是否采用抽样复制的策略。对于复制方法的变更，本基金管理人需在方法变更前按规定在规定媒介公告，并阐明变更复制方法的原因。 </w:t>
      </w:r>
    </w:p>
    <w:p>
      <w:pPr>
        <w:pStyle w:val="7"/>
        <w:spacing w:before="0" w:beforeAutospacing="0" w:after="0" w:afterAutospacing="0" w:line="360" w:lineRule="auto"/>
        <w:ind w:firstLine="420"/>
        <w:rPr>
          <w:sz w:val="21"/>
          <w:szCs w:val="21"/>
        </w:rPr>
      </w:pPr>
      <w:r>
        <w:rPr>
          <w:rFonts w:hint="eastAsia"/>
          <w:sz w:val="21"/>
          <w:szCs w:val="21"/>
        </w:rPr>
        <w:t xml:space="preserve">2、债券（除可转换债券和可交换债券）投资策略 </w:t>
      </w:r>
    </w:p>
    <w:p>
      <w:pPr>
        <w:pStyle w:val="7"/>
        <w:spacing w:before="0" w:beforeAutospacing="0" w:after="0" w:afterAutospacing="0" w:line="360" w:lineRule="auto"/>
        <w:ind w:firstLine="420"/>
        <w:rPr>
          <w:sz w:val="21"/>
          <w:szCs w:val="21"/>
        </w:rPr>
      </w:pPr>
      <w:r>
        <w:rPr>
          <w:rFonts w:hint="eastAsia"/>
          <w:sz w:val="21"/>
          <w:szCs w:val="21"/>
        </w:rPr>
        <w:t xml:space="preserve">本基金债券投资组合将着重考虑基金的流动性管理及策略性投资的需要进行配置。债券投资的目的是保证基金资产流动性，有效利用基金资产，提高基金资产的投资收益。 </w:t>
      </w:r>
    </w:p>
    <w:p>
      <w:pPr>
        <w:pStyle w:val="7"/>
        <w:spacing w:before="0" w:beforeAutospacing="0" w:after="0" w:afterAutospacing="0" w:line="360" w:lineRule="auto"/>
        <w:ind w:firstLine="420"/>
        <w:rPr>
          <w:sz w:val="21"/>
          <w:szCs w:val="21"/>
        </w:rPr>
      </w:pPr>
      <w:r>
        <w:rPr>
          <w:rFonts w:hint="eastAsia"/>
          <w:sz w:val="21"/>
          <w:szCs w:val="21"/>
        </w:rPr>
        <w:t xml:space="preserve">3、港股通标的股票投资策略 </w:t>
      </w:r>
    </w:p>
    <w:p>
      <w:pPr>
        <w:pStyle w:val="7"/>
        <w:spacing w:before="0" w:beforeAutospacing="0" w:after="0" w:afterAutospacing="0" w:line="360" w:lineRule="auto"/>
        <w:ind w:firstLine="420"/>
        <w:rPr>
          <w:sz w:val="21"/>
          <w:szCs w:val="21"/>
        </w:rPr>
      </w:pPr>
      <w:r>
        <w:rPr>
          <w:rFonts w:hint="eastAsia"/>
          <w:sz w:val="21"/>
          <w:szCs w:val="21"/>
        </w:rPr>
        <w:t xml:space="preserve">在特殊情况下，本基金将少量投资于港股通标的股票以进行替代复制。对于同时有A股、H股的指数成份公司，如果该公司A股长期停牌，组合无法买入该股票时，可以买入该公司H股进行替代。 </w:t>
      </w:r>
    </w:p>
    <w:p>
      <w:pPr>
        <w:pStyle w:val="7"/>
        <w:spacing w:before="0" w:beforeAutospacing="0" w:after="0" w:afterAutospacing="0" w:line="360" w:lineRule="auto"/>
        <w:ind w:firstLine="420"/>
        <w:rPr>
          <w:sz w:val="21"/>
          <w:szCs w:val="21"/>
        </w:rPr>
      </w:pPr>
      <w:r>
        <w:rPr>
          <w:rFonts w:hint="eastAsia"/>
          <w:sz w:val="21"/>
          <w:szCs w:val="21"/>
        </w:rPr>
        <w:t xml:space="preserve">4、资产支持证券的投资策略 </w:t>
      </w:r>
    </w:p>
    <w:p>
      <w:pPr>
        <w:pStyle w:val="7"/>
        <w:spacing w:before="0" w:beforeAutospacing="0" w:after="0" w:afterAutospacing="0" w:line="360" w:lineRule="auto"/>
        <w:ind w:firstLine="420"/>
        <w:rPr>
          <w:sz w:val="21"/>
          <w:szCs w:val="21"/>
        </w:rPr>
      </w:pPr>
      <w:r>
        <w:rPr>
          <w:rFonts w:hint="eastAsia"/>
          <w:sz w:val="21"/>
          <w:szCs w:val="21"/>
        </w:rPr>
        <w:t xml:space="preserve">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 </w:t>
      </w:r>
    </w:p>
    <w:p>
      <w:pPr>
        <w:pStyle w:val="7"/>
        <w:spacing w:before="0" w:beforeAutospacing="0" w:after="0" w:afterAutospacing="0" w:line="360" w:lineRule="auto"/>
        <w:ind w:firstLine="420"/>
        <w:rPr>
          <w:sz w:val="21"/>
          <w:szCs w:val="21"/>
        </w:rPr>
      </w:pPr>
      <w:r>
        <w:rPr>
          <w:rFonts w:hint="eastAsia"/>
          <w:sz w:val="21"/>
          <w:szCs w:val="21"/>
        </w:rPr>
        <w:t xml:space="preserve">5、可转换债券和可交换债券投资策略 </w:t>
      </w:r>
    </w:p>
    <w:p>
      <w:pPr>
        <w:pStyle w:val="7"/>
        <w:spacing w:before="0" w:beforeAutospacing="0" w:after="0" w:afterAutospacing="0" w:line="360" w:lineRule="auto"/>
        <w:ind w:firstLine="420"/>
        <w:rPr>
          <w:sz w:val="21"/>
          <w:szCs w:val="21"/>
        </w:rPr>
      </w:pPr>
      <w:r>
        <w:rPr>
          <w:rFonts w:hint="eastAsia"/>
          <w:sz w:val="21"/>
          <w:szCs w:val="21"/>
        </w:rPr>
        <w:t xml:space="preserve">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 </w:t>
      </w:r>
    </w:p>
    <w:p>
      <w:pPr>
        <w:pStyle w:val="7"/>
        <w:spacing w:before="0" w:beforeAutospacing="0" w:after="0" w:afterAutospacing="0" w:line="360" w:lineRule="auto"/>
        <w:ind w:firstLine="420"/>
        <w:rPr>
          <w:sz w:val="21"/>
          <w:szCs w:val="21"/>
        </w:rPr>
      </w:pPr>
      <w:r>
        <w:rPr>
          <w:rFonts w:hint="eastAsia"/>
          <w:sz w:val="21"/>
          <w:szCs w:val="21"/>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pPr>
        <w:pStyle w:val="7"/>
        <w:spacing w:before="0" w:beforeAutospacing="0" w:after="0" w:afterAutospacing="0" w:line="360" w:lineRule="auto"/>
        <w:ind w:firstLine="420"/>
        <w:rPr>
          <w:sz w:val="21"/>
          <w:szCs w:val="21"/>
        </w:rPr>
      </w:pPr>
      <w:r>
        <w:rPr>
          <w:rFonts w:hint="eastAsia"/>
          <w:sz w:val="21"/>
          <w:szCs w:val="21"/>
        </w:rPr>
        <w:t xml:space="preserve">6、衍生品投资策略 </w:t>
      </w:r>
    </w:p>
    <w:p>
      <w:pPr>
        <w:pStyle w:val="7"/>
        <w:spacing w:before="0" w:beforeAutospacing="0" w:after="0" w:afterAutospacing="0" w:line="360" w:lineRule="auto"/>
        <w:ind w:firstLine="420"/>
        <w:rPr>
          <w:sz w:val="21"/>
          <w:szCs w:val="21"/>
        </w:rPr>
      </w:pPr>
      <w:r>
        <w:rPr>
          <w:rFonts w:hint="eastAsia"/>
          <w:sz w:val="21"/>
          <w:szCs w:val="21"/>
        </w:rPr>
        <w:t xml:space="preserve">（1）股指期货、国债期货投资策略 </w:t>
      </w:r>
    </w:p>
    <w:p>
      <w:pPr>
        <w:pStyle w:val="7"/>
        <w:spacing w:before="0" w:beforeAutospacing="0" w:after="0" w:afterAutospacing="0" w:line="360" w:lineRule="auto"/>
        <w:ind w:firstLine="420"/>
        <w:rPr>
          <w:sz w:val="21"/>
          <w:szCs w:val="21"/>
        </w:rPr>
      </w:pPr>
      <w:r>
        <w:rPr>
          <w:rFonts w:hint="eastAsia"/>
          <w:sz w:val="21"/>
          <w:szCs w:val="21"/>
        </w:rPr>
        <w:t xml:space="preserve">本基金投资股指期货将根据风险管理的原则，以套期保值为目的，力争利用股指期货的杠杆作用，降低股票仓位频繁调整的交易成本和跟踪误差，达到有效跟踪标的指数的目的。 </w:t>
      </w:r>
    </w:p>
    <w:p>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本基金将根据风险管理的原则，以套期保值为目的，在风险可控的前提下，本着谨慎原则，参与国债期货的投资，改善组合的风险收益特性。 </w:t>
      </w:r>
    </w:p>
    <w:p>
      <w:pPr>
        <w:pStyle w:val="7"/>
        <w:spacing w:before="0" w:beforeAutospacing="0" w:after="0" w:afterAutospacing="0" w:line="360" w:lineRule="auto"/>
        <w:ind w:firstLine="420"/>
        <w:rPr>
          <w:sz w:val="21"/>
          <w:szCs w:val="21"/>
        </w:rPr>
      </w:pPr>
      <w:r>
        <w:rPr>
          <w:rFonts w:hint="eastAsia"/>
          <w:sz w:val="21"/>
          <w:szCs w:val="21"/>
        </w:rPr>
        <w:t xml:space="preserve">（2）股票期权投资策略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pPr>
        <w:pStyle w:val="7"/>
        <w:spacing w:before="0" w:beforeAutospacing="0" w:after="0" w:afterAutospacing="0" w:line="360" w:lineRule="auto"/>
        <w:ind w:firstLine="420"/>
        <w:rPr>
          <w:sz w:val="21"/>
          <w:szCs w:val="21"/>
        </w:rPr>
      </w:pPr>
      <w:r>
        <w:rPr>
          <w:rFonts w:hint="eastAsia"/>
          <w:sz w:val="21"/>
          <w:szCs w:val="21"/>
        </w:rPr>
        <w:t xml:space="preserve">7、融资及转融通证券出借业务投资策略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未来在法律法规允许的前提下，本基金将依据法律法规的相关规定参与融券业务。 </w:t>
      </w:r>
    </w:p>
    <w:p>
      <w:pPr>
        <w:pStyle w:val="7"/>
        <w:spacing w:before="0" w:beforeAutospacing="0" w:after="0" w:afterAutospacing="0" w:line="360" w:lineRule="auto"/>
        <w:ind w:firstLine="420"/>
        <w:rPr>
          <w:sz w:val="21"/>
          <w:szCs w:val="21"/>
        </w:rPr>
      </w:pPr>
      <w:r>
        <w:rPr>
          <w:rFonts w:hint="eastAsia"/>
          <w:sz w:val="21"/>
          <w:szCs w:val="21"/>
        </w:rPr>
        <w:t xml:space="preserve">8、存托凭证投资策略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本基金将根据本基金的投资目标，基于对基础证券投资价值的深入研究判断，进行存托凭证的投资。 </w:t>
      </w:r>
    </w:p>
    <w:p>
      <w:pPr>
        <w:pStyle w:val="7"/>
        <w:spacing w:before="0" w:beforeAutospacing="0" w:after="0" w:afterAutospacing="0" w:line="360" w:lineRule="auto"/>
        <w:ind w:firstLine="420"/>
        <w:rPr>
          <w:sz w:val="21"/>
          <w:szCs w:val="21"/>
        </w:rPr>
      </w:pPr>
      <w:r>
        <w:rPr>
          <w:rFonts w:hint="eastAsia"/>
          <w:sz w:val="21"/>
          <w:szCs w:val="21"/>
        </w:rPr>
        <w:t xml:space="preserve">未来，随着投资工具的发展和丰富，本基金可在不改变投资目标的前提下，相应调整和更新相关投资策略，并在更新的招募说明书中公告。 </w:t>
      </w:r>
      <w:bookmarkStart w:id="115" w:name="field_60_investmentstrategy_1_end"/>
      <w:bookmarkEnd w:id="115"/>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四、投资限制</w:t>
      </w:r>
    </w:p>
    <w:p>
      <w:pPr>
        <w:pStyle w:val="7"/>
        <w:spacing w:before="0" w:beforeAutospacing="0" w:after="0" w:afterAutospacing="0" w:line="360" w:lineRule="auto"/>
        <w:ind w:firstLine="420"/>
        <w:rPr>
          <w:sz w:val="21"/>
          <w:szCs w:val="21"/>
        </w:rPr>
      </w:pPr>
      <w:r>
        <w:rPr>
          <w:rFonts w:hint="eastAsia"/>
          <w:sz w:val="21"/>
          <w:szCs w:val="21"/>
        </w:rPr>
        <w:t xml:space="preserve">1、组合限制 </w:t>
      </w:r>
    </w:p>
    <w:p>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pPr>
        <w:pStyle w:val="7"/>
        <w:spacing w:before="0" w:beforeAutospacing="0" w:after="0" w:afterAutospacing="0" w:line="360" w:lineRule="auto"/>
        <w:ind w:firstLine="420"/>
        <w:rPr>
          <w:sz w:val="21"/>
          <w:szCs w:val="21"/>
        </w:rPr>
      </w:pPr>
      <w:r>
        <w:rPr>
          <w:rFonts w:hint="eastAsia"/>
          <w:sz w:val="21"/>
          <w:szCs w:val="21"/>
        </w:rPr>
        <w:t xml:space="preserve">（1）本基金的股票资产投资比例不低于基金资产的90%，其中投资于标的指数成份股和备选成份股的资产不低于非现金基金资产的80%，投资港股通标的股票的比例不超过本基金股票资产的10%； </w:t>
      </w:r>
    </w:p>
    <w:p>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股票期权和国债期货合约需缴纳的交易保证金后，保持不低于基金资产净值5%的现金或者到期日在一年以内的政府债券，其中现金不包括结算备付金、存出保证金和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（3）本基金资产总值不得超过基金资产净值的140%； </w:t>
      </w:r>
    </w:p>
    <w:p>
      <w:pPr>
        <w:pStyle w:val="7"/>
        <w:spacing w:before="0" w:beforeAutospacing="0" w:after="0" w:afterAutospacing="0" w:line="360" w:lineRule="auto"/>
        <w:ind w:firstLine="420"/>
        <w:rPr>
          <w:sz w:val="21"/>
          <w:szCs w:val="21"/>
        </w:rPr>
      </w:pPr>
      <w:r>
        <w:rPr>
          <w:rFonts w:hint="eastAsia"/>
          <w:sz w:val="21"/>
          <w:szCs w:val="21"/>
        </w:rPr>
        <w:t xml:space="preserve">（4）本基金投资于同一原始权益人的各类资产支持证券的比例，不得超过基金资产净值的10%；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（5）本基金持有的全部资产支持证券，其市值不得超过基金资产净值的20%；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（6）本基金持有的同一(指同一信用级别)资产支持证券的比例，不得超过该资产支持证券规模的10%；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（7）本基金管理人管理的全部基金投资于同一原始权益人的各类资产支持证券，不得超过其各类资产支持证券合计规模的10%；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（8）本基金应投资于信用级别评级为BBB以上(含BBB)的资产支持证券。基金持有资产支持证券期间，如果其信用等级下降、不再符合投资标准，应在评级报告发布之日起3个月内予以全部卖出；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（9）基金财产参与股票发行申购，本基金所申报的金额不超过本基金的总资产，本基金所申报的股票数量不超过拟发行股票公司本次发行股票的总量； </w:t>
      </w:r>
    </w:p>
    <w:p>
      <w:pPr>
        <w:pStyle w:val="7"/>
        <w:spacing w:before="0" w:beforeAutospacing="0" w:after="0" w:afterAutospacing="0" w:line="360" w:lineRule="auto"/>
        <w:ind w:firstLine="420"/>
        <w:rPr>
          <w:sz w:val="21"/>
          <w:szCs w:val="21"/>
        </w:rPr>
      </w:pPr>
      <w:r>
        <w:rPr>
          <w:rFonts w:hint="eastAsia"/>
          <w:sz w:val="21"/>
          <w:szCs w:val="21"/>
        </w:rPr>
        <w:t xml:space="preserve">（10）本基金参与融资的，在任何交易日日终，本基金融资买入股票与其他有价证券市值之和，不得超过基金资产净值的95%； </w:t>
      </w:r>
    </w:p>
    <w:p>
      <w:pPr>
        <w:pStyle w:val="7"/>
        <w:spacing w:before="0" w:beforeAutospacing="0" w:after="0" w:afterAutospacing="0" w:line="360" w:lineRule="auto"/>
        <w:ind w:firstLine="420"/>
        <w:rPr>
          <w:sz w:val="21"/>
          <w:szCs w:val="21"/>
        </w:rPr>
      </w:pPr>
      <w:r>
        <w:rPr>
          <w:rFonts w:hint="eastAsia"/>
          <w:sz w:val="21"/>
          <w:szCs w:val="21"/>
        </w:rPr>
        <w:t xml:space="preserve">（11）本基金投资于股指期货和国债期货，还应遵循如下投资组合限制： </w:t>
      </w:r>
    </w:p>
    <w:p>
      <w:pPr>
        <w:pStyle w:val="7"/>
        <w:spacing w:before="0" w:beforeAutospacing="0" w:after="0" w:afterAutospacing="0" w:line="360" w:lineRule="auto"/>
        <w:ind w:firstLine="420"/>
        <w:rPr>
          <w:sz w:val="21"/>
          <w:szCs w:val="21"/>
        </w:rPr>
      </w:pPr>
      <w:r>
        <w:rPr>
          <w:rFonts w:hint="eastAsia"/>
          <w:sz w:val="21"/>
          <w:szCs w:val="21"/>
        </w:rPr>
        <w:t xml:space="preserve">1）在任何交易日日终，本基金持有的买入股指期货合约价值不超过基金资产净值的10%；在任何交易日日终，持有的买入国债期货合约价值，不得超过基金资产净值15%； </w:t>
      </w:r>
    </w:p>
    <w:p>
      <w:pPr>
        <w:pStyle w:val="7"/>
        <w:spacing w:before="0" w:beforeAutospacing="0" w:after="0" w:afterAutospacing="0" w:line="360" w:lineRule="auto"/>
        <w:ind w:firstLine="420"/>
        <w:rPr>
          <w:sz w:val="21"/>
          <w:szCs w:val="21"/>
        </w:rPr>
      </w:pPr>
      <w:r>
        <w:rPr>
          <w:rFonts w:hint="eastAsia"/>
          <w:sz w:val="21"/>
          <w:szCs w:val="21"/>
        </w:rPr>
        <w:t xml:space="preserve">2）在任何交易日日终，持有的卖出股指期货合约价值不超过基金持有的股票总市值的20%；在任何交易日日终，持有的卖出国债期货合约价值不得超过基金持有的债券总市值的30%； </w:t>
      </w:r>
    </w:p>
    <w:p>
      <w:pPr>
        <w:pStyle w:val="7"/>
        <w:spacing w:before="0" w:beforeAutospacing="0" w:after="0" w:afterAutospacing="0" w:line="360" w:lineRule="auto"/>
        <w:ind w:firstLine="420"/>
        <w:rPr>
          <w:sz w:val="21"/>
          <w:szCs w:val="21"/>
        </w:rPr>
      </w:pPr>
      <w:r>
        <w:rPr>
          <w:rFonts w:hint="eastAsia"/>
          <w:sz w:val="21"/>
          <w:szCs w:val="21"/>
        </w:rPr>
        <w:t xml:space="preserve">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 </w:t>
      </w:r>
    </w:p>
    <w:p>
      <w:pPr>
        <w:pStyle w:val="7"/>
        <w:spacing w:before="0" w:beforeAutospacing="0" w:after="0" w:afterAutospacing="0" w:line="360" w:lineRule="auto"/>
        <w:ind w:firstLine="420"/>
        <w:rPr>
          <w:sz w:val="21"/>
          <w:szCs w:val="21"/>
        </w:rPr>
      </w:pPr>
      <w:r>
        <w:rPr>
          <w:rFonts w:hint="eastAsia"/>
          <w:sz w:val="21"/>
          <w:szCs w:val="21"/>
        </w:rPr>
        <w:t xml:space="preserve">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 </w:t>
      </w:r>
    </w:p>
    <w:p>
      <w:pPr>
        <w:pStyle w:val="7"/>
        <w:spacing w:before="0" w:beforeAutospacing="0" w:after="0" w:afterAutospacing="0" w:line="360" w:lineRule="auto"/>
        <w:ind w:firstLine="420"/>
        <w:rPr>
          <w:sz w:val="21"/>
          <w:szCs w:val="21"/>
        </w:rPr>
      </w:pPr>
      <w:r>
        <w:rPr>
          <w:rFonts w:hint="eastAsia"/>
          <w:sz w:val="21"/>
          <w:szCs w:val="21"/>
        </w:rPr>
        <w:t xml:space="preserve">5）本基金在任何交易日内交易（不包括平仓）的股指期货合约的成交金额不得超过上一交易日基金资产净值的20%；在任何交易日内交易（不包括平仓）的国债期货合约的成交金额不得超过上一交易日基金资产净值的30%； </w:t>
      </w:r>
    </w:p>
    <w:p>
      <w:pPr>
        <w:pStyle w:val="7"/>
        <w:spacing w:before="0" w:beforeAutospacing="0" w:after="0" w:afterAutospacing="0" w:line="360" w:lineRule="auto"/>
        <w:ind w:firstLine="420"/>
        <w:rPr>
          <w:sz w:val="21"/>
          <w:szCs w:val="21"/>
        </w:rPr>
      </w:pPr>
      <w:r>
        <w:rPr>
          <w:rFonts w:hint="eastAsia"/>
          <w:sz w:val="21"/>
          <w:szCs w:val="21"/>
        </w:rPr>
        <w:t xml:space="preserve">（12）本基金投资于股票期权，还应遵循如下投资组合限制： </w:t>
      </w:r>
    </w:p>
    <w:p>
      <w:pPr>
        <w:pStyle w:val="7"/>
        <w:spacing w:before="0" w:beforeAutospacing="0" w:after="0" w:afterAutospacing="0" w:line="360" w:lineRule="auto"/>
        <w:ind w:firstLine="420"/>
        <w:rPr>
          <w:sz w:val="21"/>
          <w:szCs w:val="21"/>
        </w:rPr>
      </w:pPr>
      <w:r>
        <w:rPr>
          <w:rFonts w:hint="eastAsia"/>
          <w:sz w:val="21"/>
          <w:szCs w:val="21"/>
        </w:rPr>
        <w:t xml:space="preserve">1）因未平仓的期权合约支付和收取的权利金总额不得超过基金资产净值的10%；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2）开仓卖出认购期权的，应持有足额标的证券；开仓卖出认沽期权的，应持有合约行权所需的全额现金或交易所规则认可的可冲抵期权保证金的现金等价物； </w:t>
      </w:r>
    </w:p>
    <w:p>
      <w:pPr>
        <w:pStyle w:val="7"/>
        <w:spacing w:before="0" w:beforeAutospacing="0" w:after="0" w:afterAutospacing="0" w:line="360" w:lineRule="auto"/>
        <w:ind w:firstLine="420"/>
        <w:rPr>
          <w:sz w:val="21"/>
          <w:szCs w:val="21"/>
        </w:rPr>
      </w:pPr>
      <w:r>
        <w:rPr>
          <w:rFonts w:hint="eastAsia"/>
          <w:sz w:val="21"/>
          <w:szCs w:val="21"/>
        </w:rPr>
        <w:t xml:space="preserve">3）未平仓的期权合约面值不得超过基金资产净值的20%。其中，合约面值按照行权价乘以合约乘数计算； </w:t>
      </w:r>
    </w:p>
    <w:p>
      <w:pPr>
        <w:pStyle w:val="7"/>
        <w:spacing w:before="0" w:beforeAutospacing="0" w:after="0" w:afterAutospacing="0" w:line="360" w:lineRule="auto"/>
        <w:ind w:firstLine="420"/>
        <w:rPr>
          <w:sz w:val="21"/>
          <w:szCs w:val="21"/>
        </w:rPr>
      </w:pPr>
      <w:r>
        <w:rPr>
          <w:rFonts w:hint="eastAsia"/>
          <w:sz w:val="21"/>
          <w:szCs w:val="21"/>
        </w:rPr>
        <w:t xml:space="preserve">（13）本基金参与转融通证券出借业务，需遵守下列投资限制： </w:t>
      </w:r>
    </w:p>
    <w:p>
      <w:pPr>
        <w:pStyle w:val="7"/>
        <w:spacing w:before="0" w:beforeAutospacing="0" w:after="0" w:afterAutospacing="0" w:line="360" w:lineRule="auto"/>
        <w:ind w:firstLine="420"/>
        <w:rPr>
          <w:sz w:val="21"/>
          <w:szCs w:val="21"/>
        </w:rPr>
      </w:pPr>
      <w:r>
        <w:rPr>
          <w:rFonts w:hint="eastAsia"/>
          <w:sz w:val="21"/>
          <w:szCs w:val="21"/>
        </w:rPr>
        <w:t xml:space="preserve">1）出借证券资产不得超过基金资产净值的30%，出借期限在10 个交易日以上的出借证券应纳入《流动性风险管理规定》所述流动性受限证券的范围； </w:t>
      </w:r>
    </w:p>
    <w:p>
      <w:pPr>
        <w:pStyle w:val="7"/>
        <w:spacing w:before="0" w:beforeAutospacing="0" w:after="0" w:afterAutospacing="0" w:line="360" w:lineRule="auto"/>
        <w:ind w:firstLine="420"/>
        <w:rPr>
          <w:sz w:val="21"/>
          <w:szCs w:val="21"/>
        </w:rPr>
      </w:pPr>
      <w:r>
        <w:rPr>
          <w:rFonts w:hint="eastAsia"/>
          <w:sz w:val="21"/>
          <w:szCs w:val="21"/>
        </w:rPr>
        <w:t xml:space="preserve">2）参与出借业务的单只证券不得超过本基金持有该证券总量的50%； </w:t>
      </w:r>
    </w:p>
    <w:p>
      <w:pPr>
        <w:pStyle w:val="7"/>
        <w:spacing w:before="0" w:beforeAutospacing="0" w:after="0" w:afterAutospacing="0" w:line="360" w:lineRule="auto"/>
        <w:ind w:firstLine="420"/>
        <w:rPr>
          <w:sz w:val="21"/>
          <w:szCs w:val="21"/>
        </w:rPr>
      </w:pPr>
      <w:r>
        <w:rPr>
          <w:rFonts w:hint="eastAsia"/>
          <w:sz w:val="21"/>
          <w:szCs w:val="21"/>
        </w:rPr>
        <w:t xml:space="preserve">3）最近6个月内日均基金资产净值不得低于2亿元； </w:t>
      </w:r>
    </w:p>
    <w:p>
      <w:pPr>
        <w:pStyle w:val="7"/>
        <w:spacing w:before="0" w:beforeAutospacing="0" w:after="0" w:afterAutospacing="0" w:line="360" w:lineRule="auto"/>
        <w:ind w:firstLine="420"/>
        <w:rPr>
          <w:sz w:val="21"/>
          <w:szCs w:val="21"/>
        </w:rPr>
      </w:pPr>
      <w:r>
        <w:rPr>
          <w:rFonts w:hint="eastAsia"/>
          <w:sz w:val="21"/>
          <w:szCs w:val="21"/>
        </w:rPr>
        <w:t xml:space="preserve">4）证券出借的平均剩余期限不得超过30天，平均剩余期限按照市值加权平均计算； </w:t>
      </w:r>
    </w:p>
    <w:p>
      <w:pPr>
        <w:pStyle w:val="7"/>
        <w:spacing w:before="0" w:beforeAutospacing="0" w:after="0" w:afterAutospacing="0" w:line="360" w:lineRule="auto"/>
        <w:ind w:firstLine="420"/>
        <w:rPr>
          <w:sz w:val="21"/>
          <w:szCs w:val="21"/>
        </w:rPr>
      </w:pPr>
      <w:r>
        <w:rPr>
          <w:rFonts w:hint="eastAsia"/>
          <w:sz w:val="21"/>
          <w:szCs w:val="21"/>
        </w:rPr>
        <w:t xml:space="preserve">因证券市场波动、上市公司合并、基金规模变动等基金管理人之外的因素致使基金投资不符合上述规定的，基金管理人不得新增出借业务； </w:t>
      </w:r>
    </w:p>
    <w:p>
      <w:pPr>
        <w:pStyle w:val="7"/>
        <w:spacing w:before="0" w:beforeAutospacing="0" w:after="0" w:afterAutospacing="0" w:line="360" w:lineRule="auto"/>
        <w:ind w:firstLine="420"/>
        <w:rPr>
          <w:sz w:val="21"/>
          <w:szCs w:val="21"/>
        </w:rPr>
      </w:pPr>
      <w:r>
        <w:rPr>
          <w:rFonts w:hint="eastAsia"/>
          <w:sz w:val="21"/>
          <w:szCs w:val="21"/>
        </w:rPr>
        <w:t xml:space="preserve">（14）本基金主动投资于流动性受限资产的市值合计不得超过本基金资产净值的15%； </w:t>
      </w:r>
    </w:p>
    <w:p>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因证券市场波动、上市公司股票停牌、基金规模变动等基金管理人之外的因素致使基金不符合该比例限制的，基金管理人不得主动新增流动性受限资产的投资；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（15）本基金与私募类证券资管产品及中国证监会认定的其他主体为交易对手开展逆回购交易的，可接受质押品的资质要求应当与基金合同约定的投资范围保持一致；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（16）本基金投资存托凭证的比例限制依照境内上市交易的股票执行，与境内上市交易的股票合并计算； </w:t>
      </w:r>
    </w:p>
    <w:p>
      <w:pPr>
        <w:pStyle w:val="7"/>
        <w:spacing w:before="0" w:beforeAutospacing="0" w:after="0" w:afterAutospacing="0" w:line="360" w:lineRule="auto"/>
        <w:ind w:firstLine="420"/>
        <w:rPr>
          <w:sz w:val="21"/>
          <w:szCs w:val="21"/>
        </w:rPr>
      </w:pPr>
      <w:r>
        <w:rPr>
          <w:rFonts w:hint="eastAsia"/>
          <w:sz w:val="21"/>
          <w:szCs w:val="21"/>
        </w:rPr>
        <w:t xml:space="preserve">（17）相关法律法规以及监管部门规定的和基金合同约定的其它投资比例限制。 </w:t>
      </w:r>
    </w:p>
    <w:p>
      <w:pPr>
        <w:pStyle w:val="7"/>
        <w:spacing w:before="0" w:beforeAutospacing="0" w:after="0" w:afterAutospacing="0" w:line="360" w:lineRule="auto"/>
        <w:ind w:firstLine="420"/>
        <w:rPr>
          <w:sz w:val="21"/>
          <w:szCs w:val="21"/>
        </w:rPr>
      </w:pPr>
      <w:r>
        <w:rPr>
          <w:rFonts w:hint="eastAsia"/>
          <w:sz w:val="21"/>
          <w:szCs w:val="21"/>
        </w:rPr>
        <w:t xml:space="preserve">除上述第（2）、（8）、（13）、（14）、（15）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法律法规或监管部门取消或变更上述限制，如适用于本基金，基金管理人在履行适当程序后，则本基金投资不再受相关限制，或以变更后的规定为准。 </w:t>
      </w:r>
    </w:p>
    <w:p>
      <w:pPr>
        <w:pStyle w:val="7"/>
        <w:spacing w:before="0" w:beforeAutospacing="0" w:after="0" w:afterAutospacing="0" w:line="360" w:lineRule="auto"/>
        <w:ind w:firstLine="420"/>
        <w:rPr>
          <w:sz w:val="21"/>
          <w:szCs w:val="21"/>
        </w:rPr>
      </w:pPr>
      <w:r>
        <w:rPr>
          <w:rFonts w:hint="eastAsia"/>
          <w:sz w:val="21"/>
          <w:szCs w:val="21"/>
        </w:rPr>
        <w:t xml:space="preserve">2、禁止行为 </w:t>
      </w:r>
    </w:p>
    <w:p>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法律、行政法规或监管部门变更或取消上述规定，在履行适当程序后，本基金可按变更后的规定执行或不受上述规定的限制。 </w:t>
      </w:r>
    </w:p>
    <w:p>
      <w:pPr>
        <w:pStyle w:val="7"/>
        <w:spacing w:before="0" w:beforeAutospacing="0" w:after="0" w:afterAutospacing="0" w:line="360" w:lineRule="auto"/>
        <w:ind w:firstLine="420"/>
        <w:rPr>
          <w:sz w:val="21"/>
          <w:szCs w:val="21"/>
        </w:rPr>
      </w:pPr>
      <w:r>
        <w:rPr>
          <w:rStyle w:val="11"/>
          <w:rFonts w:hint="eastAsia"/>
          <w:sz w:val="21"/>
          <w:szCs w:val="21"/>
        </w:rPr>
        <w:t>五、标的指数与业绩比较基准</w:t>
      </w:r>
    </w:p>
    <w:p>
      <w:pPr>
        <w:pStyle w:val="7"/>
        <w:spacing w:before="0" w:beforeAutospacing="0" w:after="0" w:afterAutospacing="0" w:line="360" w:lineRule="auto"/>
        <w:ind w:firstLine="420"/>
        <w:rPr>
          <w:sz w:val="21"/>
          <w:szCs w:val="21"/>
        </w:rPr>
      </w:pPr>
      <w:r>
        <w:rPr>
          <w:rFonts w:hint="eastAsia"/>
          <w:sz w:val="21"/>
          <w:szCs w:val="21"/>
        </w:rPr>
        <w:t xml:space="preserve">本基金的标的指数为：国证粮食产业指数。 </w:t>
      </w:r>
    </w:p>
    <w:p>
      <w:pPr>
        <w:pStyle w:val="7"/>
        <w:spacing w:before="0" w:beforeAutospacing="0" w:after="0" w:afterAutospacing="0" w:line="360" w:lineRule="auto"/>
        <w:ind w:firstLine="420"/>
        <w:rPr>
          <w:sz w:val="21"/>
          <w:szCs w:val="21"/>
        </w:rPr>
      </w:pPr>
      <w:r>
        <w:rPr>
          <w:rFonts w:hint="eastAsia"/>
          <w:sz w:val="21"/>
          <w:szCs w:val="21"/>
        </w:rPr>
        <w:t xml:space="preserve">本基金业绩比较基准为：国证粮食产业指数收益率×95%+银行活期存款利率(税后)×5%。 </w:t>
      </w:r>
    </w:p>
    <w:p>
      <w:pPr>
        <w:pStyle w:val="7"/>
        <w:spacing w:before="0" w:beforeAutospacing="0" w:after="0" w:afterAutospacing="0" w:line="360" w:lineRule="auto"/>
        <w:ind w:firstLine="420"/>
        <w:rPr>
          <w:sz w:val="21"/>
          <w:szCs w:val="21"/>
        </w:rPr>
      </w:pPr>
      <w:r>
        <w:rPr>
          <w:rFonts w:hint="eastAsia"/>
          <w:sz w:val="21"/>
          <w:szCs w:val="21"/>
        </w:rPr>
        <w:t xml:space="preserve">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 </w:t>
      </w:r>
    </w:p>
    <w:p>
      <w:pPr>
        <w:pStyle w:val="7"/>
        <w:spacing w:before="0" w:beforeAutospacing="0" w:after="0" w:afterAutospacing="0" w:line="360" w:lineRule="auto"/>
        <w:ind w:firstLine="420"/>
        <w:rPr>
          <w:sz w:val="21"/>
          <w:szCs w:val="21"/>
        </w:rPr>
      </w:pPr>
      <w:r>
        <w:rPr>
          <w:rFonts w:hint="eastAsia"/>
          <w:sz w:val="21"/>
          <w:szCs w:val="21"/>
        </w:rPr>
        <w:t xml:space="preserve">自指数编制机构停止标的指数的编制及发布至解决方案确定期间，基金管理人应按照指数编制机构提供的最近一个交易日的指数信息遵循基金份额持有人利益优先原则维持基金投资运作。 </w:t>
      </w:r>
    </w:p>
    <w:p>
      <w:pPr>
        <w:pStyle w:val="7"/>
        <w:spacing w:before="0" w:beforeAutospacing="0" w:after="0" w:afterAutospacing="0" w:line="360" w:lineRule="auto"/>
        <w:ind w:firstLine="420"/>
        <w:rPr>
          <w:sz w:val="21"/>
          <w:szCs w:val="21"/>
        </w:rPr>
      </w:pPr>
      <w:r>
        <w:rPr>
          <w:rStyle w:val="11"/>
          <w:rFonts w:hint="eastAsia"/>
          <w:sz w:val="21"/>
          <w:szCs w:val="21"/>
        </w:rPr>
        <w:t>六、风险收益特征</w:t>
      </w:r>
    </w:p>
    <w:p>
      <w:pPr>
        <w:pStyle w:val="7"/>
        <w:spacing w:before="0" w:beforeAutospacing="0" w:after="0" w:afterAutospacing="0" w:line="360" w:lineRule="auto"/>
        <w:ind w:firstLine="420"/>
        <w:rPr>
          <w:sz w:val="21"/>
          <w:szCs w:val="21"/>
        </w:rPr>
      </w:pPr>
      <w:bookmarkStart w:id="116" w:name="field_60_riskyield_1_start"/>
      <w:bookmarkEnd w:id="116"/>
      <w:r>
        <w:rPr>
          <w:rFonts w:hint="eastAsia"/>
          <w:sz w:val="21"/>
          <w:szCs w:val="21"/>
        </w:rPr>
        <w:t xml:space="preserve">本基金属于股票型基金，其预期收益及预期风险水平高于混合型基金、债券型基金与货币市场基金。本基金为被动式投资的股票型指数基金，跟踪国证粮食产业指数，其风险收益特征与标的指数所表征的市场组合的风险收益特征相似。本基金如果投资港股通标的股票，需承担汇率风险以及境外市场的风险。 </w:t>
      </w:r>
      <w:bookmarkStart w:id="117" w:name="field_60_riskyield_1_end"/>
      <w:bookmarkEnd w:id="117"/>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七、基金管理人代表基金行使股东或债权人权利的处理原则及方法</w:t>
      </w:r>
    </w:p>
    <w:p>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pPr>
        <w:pStyle w:val="7"/>
        <w:spacing w:before="0" w:beforeAutospacing="0" w:after="0" w:afterAutospacing="0" w:line="360" w:lineRule="auto"/>
        <w:ind w:firstLine="420"/>
        <w:rPr>
          <w:sz w:val="21"/>
          <w:szCs w:val="21"/>
        </w:rPr>
      </w:pPr>
      <w:r>
        <w:rPr>
          <w:rFonts w:hint="eastAsia"/>
          <w:sz w:val="21"/>
          <w:szCs w:val="21"/>
        </w:rPr>
        <w:t xml:space="preserve">2、不谋求对上市公司的控股； </w:t>
      </w:r>
    </w:p>
    <w:p>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pPr>
        <w:pStyle w:val="7"/>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pPr>
        <w:pStyle w:val="7"/>
        <w:spacing w:before="0" w:beforeAutospacing="0" w:after="0" w:afterAutospacing="0" w:line="360" w:lineRule="auto"/>
        <w:ind w:firstLine="420"/>
        <w:rPr>
          <w:sz w:val="21"/>
          <w:szCs w:val="21"/>
        </w:rPr>
      </w:pPr>
      <w:r>
        <w:rPr>
          <w:rStyle w:val="11"/>
          <w:rFonts w:hint="eastAsia"/>
          <w:sz w:val="21"/>
          <w:szCs w:val="21"/>
        </w:rPr>
        <w:t>八、侧袋机制的实施和投资运作安排</w:t>
      </w:r>
    </w:p>
    <w:p>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pPr>
        <w:pStyle w:val="7"/>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18" w:name="chapter_level1_11_60_section_1_end"/>
      <w:bookmarkEnd w:id="118"/>
      <w:r>
        <w:rPr>
          <w:rFonts w:hint="eastAsia"/>
          <w:sz w:val="21"/>
          <w:szCs w:val="21"/>
        </w:rPr>
        <w:t xml:space="preserve">对投资者权益有重大影响的事项详见本招募说明书“侧袋机制”部分的规定。 </w:t>
      </w:r>
    </w:p>
    <w:p>
      <w:pPr>
        <w:pStyle w:val="7"/>
        <w:spacing w:before="0" w:beforeAutospacing="0" w:after="0" w:afterAutospacing="0" w:line="360" w:lineRule="auto"/>
        <w:ind w:firstLine="420"/>
        <w:rPr>
          <w:sz w:val="21"/>
          <w:szCs w:val="21"/>
        </w:rPr>
      </w:pPr>
      <w:bookmarkStart w:id="119" w:name="chapter_level1_11_60_section_2"/>
      <w:bookmarkEnd w:id="119"/>
      <w:r>
        <w:rPr>
          <w:rStyle w:val="11"/>
          <w:rFonts w:hint="eastAsia"/>
          <w:sz w:val="21"/>
          <w:szCs w:val="21"/>
        </w:rPr>
        <w:t>九、基金投资组合报告</w:t>
      </w:r>
    </w:p>
    <w:p>
      <w:pPr>
        <w:pStyle w:val="7"/>
        <w:spacing w:before="0" w:beforeAutospacing="0" w:after="0" w:afterAutospacing="0" w:line="360" w:lineRule="auto"/>
        <w:ind w:firstLine="420"/>
        <w:rPr>
          <w:sz w:val="21"/>
          <w:szCs w:val="21"/>
        </w:rPr>
      </w:pPr>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20" w:name="field_2343_financeendday_2"/>
      <w:r>
        <w:rPr>
          <w:sz w:val="21"/>
          <w:szCs w:val="21"/>
        </w:rPr>
        <w:t>2025年6月30日</w:t>
      </w:r>
      <w:bookmarkEnd w:id="120"/>
      <w:r>
        <w:rPr>
          <w:rFonts w:hint="eastAsia"/>
          <w:sz w:val="21"/>
          <w:szCs w:val="21"/>
        </w:rPr>
        <w:t xml:space="preserve">，本报告中所列财务数据未经审计。 </w:t>
      </w:r>
    </w:p>
    <w:p>
      <w:pPr>
        <w:pStyle w:val="7"/>
        <w:spacing w:before="0" w:beforeAutospacing="0" w:after="0" w:afterAutospacing="0" w:line="360" w:lineRule="auto"/>
        <w:ind w:firstLine="420"/>
        <w:rPr>
          <w:sz w:val="21"/>
          <w:szCs w:val="21"/>
        </w:rPr>
      </w:pPr>
      <w:bookmarkStart w:id="121" w:name="field_0_fundportfolio_1_start"/>
      <w:bookmarkEnd w:id="121"/>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3827"/>
        <w:gridCol w:w="1598"/>
        <w:gridCol w:w="2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占基金总资产的比例(%)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47,352,823.30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91.72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47,352,823.30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91.72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303,811.73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303,811.73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3,587,699.61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381,312.06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51,625,646.70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w:t>
            </w:r>
          </w:p>
        </w:tc>
      </w:tr>
    </w:tbl>
    <w:p>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3509"/>
        <w:gridCol w:w="1684"/>
        <w:gridCol w:w="2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19,196,722.00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38.04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26,027,579.30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51.57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1,565,000.00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563,522.00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pPr>
              <w:rPr>
                <w:rFonts w:ascii="宋体" w:hAnsi="宋体" w:eastAsia="宋体" w:cs="宋体"/>
                <w:sz w:val="24"/>
                <w:szCs w:val="24"/>
              </w:rPr>
            </w:pPr>
            <w:r>
              <w:rPr>
                <w:rFonts w:hint="eastAsia" w:ascii="宋体" w:hAnsi="宋体" w:eastAsia="宋体"/>
              </w:rPr>
              <w:t>教育</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pPr>
              <w:rPr>
                <w:rFonts w:ascii="宋体" w:hAnsi="宋体" w:eastAsia="宋体" w:cs="宋体"/>
                <w:sz w:val="24"/>
                <w:szCs w:val="24"/>
              </w:rPr>
            </w:pPr>
            <w:r>
              <w:rPr>
                <w:rFonts w:hint="eastAsia" w:ascii="宋体" w:hAnsi="宋体" w:eastAsia="宋体"/>
              </w:rPr>
              <w:t>综合</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47,352,823.30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93.83</w:t>
            </w:r>
          </w:p>
        </w:tc>
      </w:tr>
    </w:tbl>
    <w:p>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137"/>
        <w:gridCol w:w="1137"/>
        <w:gridCol w:w="1250"/>
        <w:gridCol w:w="1589"/>
        <w:gridCol w:w="2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002385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大北农</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1,268,700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5,125,548.00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000998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隆平高科</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416,700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4,104,495.00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600598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北大荒</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244,500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3,525,690.00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300087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荃银高科</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243,100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2,175,745.00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601952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苏垦农发</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170,000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1,677,900.00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600108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亚盛集团</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537,100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1,589,816.00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600313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农发种业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250,000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1,565,000.00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000408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藏格矿业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35,200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1,501,984.00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000792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盐湖股份</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87,200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1,489,376.00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300189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神农种业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322,300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1,424,566.00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2.82</w:t>
            </w:r>
          </w:p>
        </w:tc>
      </w:tr>
    </w:tbl>
    <w:p>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2659"/>
        <w:gridCol w:w="1864"/>
        <w:gridCol w:w="3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303,811.73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303,811.73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0.60</w:t>
            </w:r>
          </w:p>
        </w:tc>
      </w:tr>
    </w:tbl>
    <w:p>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079"/>
        <w:gridCol w:w="1187"/>
        <w:gridCol w:w="1294"/>
        <w:gridCol w:w="1509"/>
        <w:gridCol w:w="27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019749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24国债15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303,811.73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0.60</w:t>
            </w:r>
          </w:p>
        </w:tc>
      </w:tr>
    </w:tbl>
    <w:p>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本基金本报告期末未持有权证。</w:t>
      </w:r>
    </w:p>
    <w:p>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pPr>
        <w:pStyle w:val="7"/>
        <w:spacing w:before="0" w:beforeAutospacing="0" w:after="0" w:afterAutospacing="0" w:line="360" w:lineRule="auto"/>
        <w:ind w:firstLine="420"/>
        <w:rPr>
          <w:sz w:val="21"/>
          <w:szCs w:val="21"/>
        </w:rPr>
      </w:pPr>
      <w:r>
        <w:rPr>
          <w:rFonts w:hint="eastAsia"/>
          <w:sz w:val="21"/>
          <w:szCs w:val="21"/>
        </w:rPr>
        <w:t>本基金投资的前十名证券的发行主体中，青海盐湖工业股份有限公司在报告编制前一年受到格尔木市察尔汗消防救援大队的处罚。黑龙江北大荒农业股份有限公司在报告编制前一年受到双鸭山市自然资源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9"/>
        <w:gridCol w:w="4002"/>
        <w:gridCol w:w="3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70,418.46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310,893.60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381,312.06</w:t>
            </w:r>
          </w:p>
        </w:tc>
      </w:tr>
    </w:tbl>
    <w:p>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pPr>
        <w:pStyle w:val="7"/>
        <w:spacing w:before="0" w:beforeAutospacing="0" w:after="0" w:afterAutospacing="0" w:line="360" w:lineRule="auto"/>
        <w:ind w:firstLine="420"/>
        <w:rPr>
          <w:sz w:val="21"/>
          <w:szCs w:val="21"/>
        </w:rPr>
      </w:pPr>
      <w:bookmarkStart w:id="122" w:name="chapter_level1_11_60_section_2_end"/>
      <w:bookmarkEnd w:id="122"/>
      <w:r>
        <w:rPr>
          <w:rFonts w:hint="eastAsia"/>
          <w:sz w:val="21"/>
          <w:szCs w:val="21"/>
        </w:rPr>
        <w:t>由于四舍五入的原因，分项之和与合计项之间可能存在尾差。</w:t>
      </w:r>
      <w:bookmarkStart w:id="123" w:name="field_0_fundportfolio_1_end"/>
      <w:bookmarkEnd w:id="123"/>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24" w:name="_Toc207939905"/>
      <w:bookmarkStart w:id="125" w:name="chapter_level1_12_3500"/>
      <w:r>
        <w:rPr>
          <w:rFonts w:hint="eastAsia" w:ascii="宋体" w:hAnsi="宋体" w:eastAsia="宋体"/>
          <w:sz w:val="30"/>
        </w:rPr>
        <w:t>第九部分 基金的业绩</w:t>
      </w:r>
      <w:bookmarkEnd w:id="124"/>
      <w:bookmarkEnd w:id="125"/>
    </w:p>
    <w:p>
      <w:pPr>
        <w:pStyle w:val="7"/>
        <w:spacing w:before="0" w:beforeAutospacing="0" w:after="0" w:afterAutospacing="0" w:line="360" w:lineRule="auto"/>
        <w:ind w:firstLine="420"/>
        <w:rPr>
          <w:sz w:val="21"/>
          <w:szCs w:val="21"/>
        </w:rPr>
      </w:pPr>
      <w:bookmarkStart w:id="126" w:name="chapter_level1_12_3500_section_1"/>
      <w:bookmarkEnd w:id="126"/>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pPr>
        <w:pStyle w:val="7"/>
        <w:spacing w:before="0" w:beforeAutospacing="0" w:after="0" w:afterAutospacing="0" w:line="360" w:lineRule="auto"/>
        <w:ind w:firstLine="420"/>
        <w:rPr>
          <w:sz w:val="21"/>
          <w:szCs w:val="21"/>
        </w:rPr>
      </w:pPr>
      <w:bookmarkStart w:id="127" w:name="field_0_indatatable_1_start"/>
      <w:bookmarkEnd w:id="127"/>
      <w:r>
        <w:rPr>
          <w:rFonts w:hint="eastAsia"/>
          <w:sz w:val="21"/>
          <w:szCs w:val="21"/>
        </w:rPr>
        <w:t>博时国证粮食产业指数发起式A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2024.04.09-2024.12.31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2.12%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0.47%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-4.13%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2024.04.09-2025.06.30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-0.59%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1.48%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-0.12%</w:t>
            </w:r>
          </w:p>
        </w:tc>
      </w:tr>
    </w:tbl>
    <w:p>
      <w:pPr>
        <w:pStyle w:val="7"/>
        <w:spacing w:before="0" w:beforeAutospacing="0" w:after="0" w:afterAutospacing="0" w:line="360" w:lineRule="auto"/>
        <w:ind w:firstLine="420"/>
        <w:rPr>
          <w:sz w:val="21"/>
          <w:szCs w:val="21"/>
        </w:rPr>
      </w:pPr>
      <w:r>
        <w:rPr>
          <w:rFonts w:hint="eastAsia"/>
          <w:sz w:val="21"/>
          <w:szCs w:val="21"/>
        </w:rPr>
        <w:t>博时国证粮食产业指数发起式C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2024.04.09-2024.12.31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1.90%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0.47%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1.43%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-3.25%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2024.04.09-2025.06.30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-0.59%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1.48%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-0.12%</w:t>
            </w:r>
          </w:p>
        </w:tc>
      </w:tr>
    </w:tbl>
    <w:p>
      <w:pPr>
        <w:pStyle w:val="7"/>
        <w:spacing w:before="0" w:beforeAutospacing="0" w:after="0" w:afterAutospacing="0" w:line="360" w:lineRule="auto"/>
        <w:ind w:firstLine="420"/>
        <w:rPr>
          <w:sz w:val="21"/>
          <w:szCs w:val="21"/>
        </w:rPr>
      </w:pPr>
      <w:bookmarkStart w:id="128" w:name="chapter_level1_12_3500_section_1_end"/>
      <w:bookmarkEnd w:id="128"/>
      <w:bookmarkStart w:id="129" w:name="field_0_indatatable_1_end"/>
      <w:bookmarkEnd w:id="129"/>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30" w:name="_Toc207939906"/>
      <w:bookmarkStart w:id="131" w:name="chapter_level1_13_62"/>
      <w:r>
        <w:rPr>
          <w:rFonts w:hint="eastAsia" w:ascii="宋体" w:hAnsi="宋体" w:eastAsia="宋体"/>
          <w:sz w:val="30"/>
        </w:rPr>
        <w:t>第十部分  基金的财产</w:t>
      </w:r>
      <w:bookmarkEnd w:id="130"/>
      <w:bookmarkEnd w:id="131"/>
    </w:p>
    <w:p>
      <w:pPr>
        <w:pStyle w:val="7"/>
        <w:spacing w:before="0" w:beforeAutospacing="0" w:after="0" w:afterAutospacing="0" w:line="360" w:lineRule="auto"/>
        <w:ind w:firstLine="420"/>
        <w:rPr>
          <w:sz w:val="21"/>
          <w:szCs w:val="21"/>
        </w:rPr>
      </w:pPr>
      <w:bookmarkStart w:id="132" w:name="chapter_level1_13_62_section_1"/>
      <w:bookmarkEnd w:id="132"/>
      <w:r>
        <w:rPr>
          <w:rStyle w:val="11"/>
          <w:rFonts w:hint="eastAsia"/>
          <w:sz w:val="21"/>
          <w:szCs w:val="21"/>
        </w:rPr>
        <w:t>一、基金资产总值</w:t>
      </w:r>
    </w:p>
    <w:p>
      <w:pPr>
        <w:pStyle w:val="7"/>
        <w:spacing w:before="0" w:beforeAutospacing="0" w:after="0" w:afterAutospacing="0" w:line="360" w:lineRule="auto"/>
        <w:ind w:firstLine="420"/>
        <w:rPr>
          <w:sz w:val="21"/>
          <w:szCs w:val="21"/>
        </w:rPr>
      </w:pPr>
      <w:r>
        <w:rPr>
          <w:rFonts w:hint="eastAsia"/>
          <w:sz w:val="21"/>
          <w:szCs w:val="21"/>
        </w:rPr>
        <w:t>基金资产总值是指基金拥有的各类有价证券、银行存款本息、基金应收款项及其他资产的价值总和。</w:t>
      </w:r>
    </w:p>
    <w:p>
      <w:pPr>
        <w:pStyle w:val="7"/>
        <w:spacing w:before="0" w:beforeAutospacing="0" w:after="0" w:afterAutospacing="0" w:line="360" w:lineRule="auto"/>
        <w:ind w:firstLine="420"/>
        <w:rPr>
          <w:sz w:val="21"/>
          <w:szCs w:val="21"/>
        </w:rPr>
      </w:pPr>
      <w:r>
        <w:rPr>
          <w:rStyle w:val="11"/>
          <w:rFonts w:hint="eastAsia"/>
          <w:sz w:val="21"/>
          <w:szCs w:val="21"/>
        </w:rPr>
        <w:t>二、基金资产净值</w:t>
      </w:r>
    </w:p>
    <w:p>
      <w:pPr>
        <w:pStyle w:val="7"/>
        <w:spacing w:before="0" w:beforeAutospacing="0" w:after="0" w:afterAutospacing="0" w:line="360" w:lineRule="auto"/>
        <w:ind w:firstLine="420"/>
        <w:rPr>
          <w:sz w:val="21"/>
          <w:szCs w:val="21"/>
        </w:rPr>
      </w:pPr>
      <w:r>
        <w:rPr>
          <w:rFonts w:hint="eastAsia"/>
          <w:sz w:val="21"/>
          <w:szCs w:val="21"/>
        </w:rPr>
        <w:t>基金资产净值是指基金资产总值减去基金负债后的价值。</w:t>
      </w:r>
    </w:p>
    <w:p>
      <w:pPr>
        <w:pStyle w:val="7"/>
        <w:spacing w:before="0" w:beforeAutospacing="0" w:after="0" w:afterAutospacing="0" w:line="360" w:lineRule="auto"/>
        <w:ind w:firstLine="420"/>
        <w:rPr>
          <w:sz w:val="21"/>
          <w:szCs w:val="21"/>
        </w:rPr>
      </w:pPr>
      <w:r>
        <w:rPr>
          <w:rStyle w:val="11"/>
          <w:rFonts w:hint="eastAsia"/>
          <w:sz w:val="21"/>
          <w:szCs w:val="21"/>
        </w:rPr>
        <w:t>三、基金财产的账户</w:t>
      </w:r>
    </w:p>
    <w:p>
      <w:pPr>
        <w:pStyle w:val="7"/>
        <w:spacing w:before="0" w:beforeAutospacing="0" w:after="0" w:afterAutospacing="0" w:line="360" w:lineRule="auto"/>
        <w:ind w:firstLine="420"/>
        <w:rPr>
          <w:sz w:val="21"/>
          <w:szCs w:val="21"/>
        </w:rPr>
      </w:pPr>
      <w:r>
        <w:rPr>
          <w:rFonts w:hint="eastAsia"/>
          <w:sz w:val="21"/>
          <w:szCs w:val="21"/>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pPr>
        <w:pStyle w:val="7"/>
        <w:spacing w:before="0" w:beforeAutospacing="0" w:after="0" w:afterAutospacing="0" w:line="360" w:lineRule="auto"/>
        <w:ind w:firstLine="420"/>
        <w:rPr>
          <w:sz w:val="21"/>
          <w:szCs w:val="21"/>
        </w:rPr>
      </w:pPr>
      <w:r>
        <w:rPr>
          <w:rFonts w:hint="eastAsia"/>
          <w:sz w:val="21"/>
          <w:szCs w:val="21"/>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33" w:name="chapter_level1_13_62_section_1_end"/>
      <w:bookmarkEnd w:id="133"/>
      <w:r>
        <w:rPr>
          <w:rFonts w:hint="eastAsia"/>
          <w:sz w:val="21"/>
          <w:szCs w:val="21"/>
        </w:rPr>
        <w:t>得相互抵销。非因基金财产本身承担的债务，不得对基金财产强制执行。</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34" w:name="chapter_level1_14_63"/>
      <w:bookmarkStart w:id="135" w:name="_Toc207939907"/>
      <w:r>
        <w:rPr>
          <w:rFonts w:hint="eastAsia" w:ascii="宋体" w:hAnsi="宋体" w:eastAsia="宋体"/>
          <w:sz w:val="30"/>
        </w:rPr>
        <w:t>第十一部分  基金资产的估值</w:t>
      </w:r>
      <w:bookmarkEnd w:id="134"/>
      <w:bookmarkEnd w:id="135"/>
    </w:p>
    <w:p>
      <w:pPr>
        <w:pStyle w:val="7"/>
        <w:spacing w:before="0" w:beforeAutospacing="0" w:after="0" w:afterAutospacing="0" w:line="360" w:lineRule="auto"/>
        <w:ind w:firstLine="420"/>
        <w:rPr>
          <w:sz w:val="21"/>
          <w:szCs w:val="21"/>
        </w:rPr>
      </w:pPr>
      <w:bookmarkStart w:id="136" w:name="chapter_level1_14_63_section_1"/>
      <w:bookmarkEnd w:id="136"/>
      <w:r>
        <w:rPr>
          <w:rStyle w:val="11"/>
          <w:rFonts w:hint="eastAsia"/>
          <w:sz w:val="21"/>
          <w:szCs w:val="21"/>
        </w:rPr>
        <w:t>一、估值日</w:t>
      </w:r>
    </w:p>
    <w:p>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pPr>
        <w:pStyle w:val="7"/>
        <w:spacing w:before="0" w:beforeAutospacing="0" w:after="0" w:afterAutospacing="0" w:line="360" w:lineRule="auto"/>
        <w:ind w:firstLine="420"/>
        <w:rPr>
          <w:sz w:val="21"/>
          <w:szCs w:val="21"/>
        </w:rPr>
      </w:pPr>
      <w:r>
        <w:rPr>
          <w:rStyle w:val="11"/>
          <w:rFonts w:hint="eastAsia"/>
          <w:sz w:val="21"/>
          <w:szCs w:val="21"/>
        </w:rPr>
        <w:t>二、估值对象</w:t>
      </w:r>
    </w:p>
    <w:p>
      <w:pPr>
        <w:pStyle w:val="7"/>
        <w:spacing w:before="0" w:beforeAutospacing="0" w:after="0" w:afterAutospacing="0" w:line="360" w:lineRule="auto"/>
        <w:ind w:firstLine="420"/>
        <w:rPr>
          <w:sz w:val="21"/>
          <w:szCs w:val="21"/>
        </w:rPr>
      </w:pPr>
      <w:r>
        <w:rPr>
          <w:rFonts w:hint="eastAsia"/>
          <w:sz w:val="21"/>
          <w:szCs w:val="21"/>
        </w:rPr>
        <w:t xml:space="preserve">基金所拥有的股票（含存托凭证）、股指期货合约、国债期货合约、股票期权合约、债券和银行存款本息、应收款项、资产支持证券、其它投资等资产及负债。 </w:t>
      </w:r>
    </w:p>
    <w:p>
      <w:pPr>
        <w:pStyle w:val="7"/>
        <w:spacing w:before="0" w:beforeAutospacing="0" w:after="0" w:afterAutospacing="0" w:line="360" w:lineRule="auto"/>
        <w:ind w:firstLine="420"/>
        <w:rPr>
          <w:sz w:val="21"/>
          <w:szCs w:val="21"/>
        </w:rPr>
      </w:pPr>
      <w:r>
        <w:rPr>
          <w:rStyle w:val="11"/>
          <w:rFonts w:hint="eastAsia"/>
          <w:sz w:val="21"/>
          <w:szCs w:val="21"/>
        </w:rPr>
        <w:t>三、估值原则</w:t>
      </w:r>
    </w:p>
    <w:p>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pPr>
        <w:pStyle w:val="7"/>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pPr>
        <w:pStyle w:val="7"/>
        <w:spacing w:before="0" w:beforeAutospacing="0" w:after="0" w:afterAutospacing="0" w:line="360" w:lineRule="auto"/>
        <w:ind w:firstLine="420"/>
        <w:rPr>
          <w:sz w:val="21"/>
          <w:szCs w:val="21"/>
        </w:rPr>
      </w:pPr>
      <w:r>
        <w:rPr>
          <w:rStyle w:val="11"/>
          <w:rFonts w:hint="eastAsia"/>
          <w:sz w:val="21"/>
          <w:szCs w:val="21"/>
        </w:rPr>
        <w:t>四、估值方法</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（2）交易所市场上市交易或挂牌转让的固定收益品种（基金合同另有约定的除外），选取估值日第三方估值机构提供的相应品种对应的估值净价估值，具体估值机构由基金管理人与基金托管人共同确定； </w:t>
      </w:r>
    </w:p>
    <w:p>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pPr>
        <w:pStyle w:val="7"/>
        <w:spacing w:before="0" w:beforeAutospacing="0" w:after="0" w:afterAutospacing="0" w:line="360" w:lineRule="auto"/>
        <w:ind w:firstLine="420"/>
        <w:rPr>
          <w:sz w:val="21"/>
          <w:szCs w:val="21"/>
        </w:rPr>
      </w:pPr>
      <w:r>
        <w:rPr>
          <w:rFonts w:hint="eastAsia"/>
          <w:sz w:val="21"/>
          <w:szCs w:val="21"/>
        </w:rPr>
        <w:t xml:space="preserve">3、本基金投资存托凭证的估值核算，依照境内上市交易的股票执行。 </w:t>
      </w:r>
    </w:p>
    <w:p>
      <w:pPr>
        <w:pStyle w:val="7"/>
        <w:spacing w:before="0" w:beforeAutospacing="0" w:after="0" w:afterAutospacing="0" w:line="360" w:lineRule="auto"/>
        <w:ind w:firstLine="420"/>
        <w:rPr>
          <w:sz w:val="21"/>
          <w:szCs w:val="21"/>
        </w:rPr>
      </w:pPr>
      <w:r>
        <w:rPr>
          <w:rFonts w:hint="eastAsia"/>
          <w:sz w:val="21"/>
          <w:szCs w:val="21"/>
        </w:rPr>
        <w:t xml:space="preserve">4、银行间的有价证券的估值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（1）对银行间市场上不含权的固定收益品种，按照第三方估值机构提供的相应品种当日的估值净价确定公允价值； </w:t>
      </w:r>
    </w:p>
    <w:p>
      <w:pPr>
        <w:pStyle w:val="7"/>
        <w:spacing w:before="0" w:beforeAutospacing="0" w:after="0" w:afterAutospacing="0" w:line="360" w:lineRule="auto"/>
        <w:ind w:firstLine="420"/>
        <w:rPr>
          <w:sz w:val="21"/>
          <w:szCs w:val="21"/>
        </w:rPr>
      </w:pPr>
      <w:r>
        <w:rPr>
          <w:rFonts w:hint="eastAsia"/>
          <w:sz w:val="21"/>
          <w:szCs w:val="21"/>
        </w:rPr>
        <w:t xml:space="preserve">（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 </w:t>
      </w:r>
    </w:p>
    <w:p>
      <w:pPr>
        <w:pStyle w:val="7"/>
        <w:spacing w:before="0" w:beforeAutospacing="0" w:after="0" w:afterAutospacing="0" w:line="360" w:lineRule="auto"/>
        <w:ind w:firstLine="420"/>
        <w:rPr>
          <w:sz w:val="21"/>
          <w:szCs w:val="21"/>
        </w:rPr>
      </w:pPr>
      <w:r>
        <w:rPr>
          <w:rFonts w:hint="eastAsia"/>
          <w:sz w:val="21"/>
          <w:szCs w:val="21"/>
        </w:rPr>
        <w:t xml:space="preserve">（3）对银行间市场未上市，且第三方估值机构未提供估值价格的债券，采用当前情况下适用并且有足够可利用数据和其他信息支持的估值技术确定其公允价值。 </w:t>
      </w:r>
    </w:p>
    <w:p>
      <w:pPr>
        <w:pStyle w:val="7"/>
        <w:spacing w:before="0" w:beforeAutospacing="0" w:after="0" w:afterAutospacing="0" w:line="360" w:lineRule="auto"/>
        <w:ind w:firstLine="420"/>
        <w:rPr>
          <w:sz w:val="21"/>
          <w:szCs w:val="21"/>
        </w:rPr>
      </w:pPr>
      <w:r>
        <w:rPr>
          <w:rFonts w:hint="eastAsia"/>
          <w:sz w:val="21"/>
          <w:szCs w:val="21"/>
        </w:rPr>
        <w:t xml:space="preserve">5、资产支持证券的估值 </w:t>
      </w:r>
    </w:p>
    <w:p>
      <w:pPr>
        <w:pStyle w:val="7"/>
        <w:spacing w:before="0" w:beforeAutospacing="0" w:after="0" w:afterAutospacing="0" w:line="360" w:lineRule="auto"/>
        <w:ind w:firstLine="420"/>
        <w:rPr>
          <w:sz w:val="21"/>
          <w:szCs w:val="21"/>
        </w:rPr>
      </w:pPr>
      <w:r>
        <w:rPr>
          <w:rFonts w:hint="eastAsia"/>
          <w:sz w:val="21"/>
          <w:szCs w:val="21"/>
        </w:rPr>
        <w:t xml:space="preserve">（1）交易所上市的资产支持证券，按估值日第三方估值机构提供的价格估值。 </w:t>
      </w:r>
    </w:p>
    <w:p>
      <w:pPr>
        <w:pStyle w:val="7"/>
        <w:spacing w:before="0" w:beforeAutospacing="0" w:after="0" w:afterAutospacing="0" w:line="360" w:lineRule="auto"/>
        <w:ind w:firstLine="420"/>
        <w:rPr>
          <w:sz w:val="21"/>
          <w:szCs w:val="21"/>
        </w:rPr>
      </w:pPr>
      <w:r>
        <w:rPr>
          <w:rFonts w:hint="eastAsia"/>
          <w:sz w:val="21"/>
          <w:szCs w:val="21"/>
        </w:rPr>
        <w:t xml:space="preserve">（2）对全国银行间市场上的资产支持证券，按照第三方估值机构提供的相应品种当日的估值净价确定公允价值。 </w:t>
      </w:r>
    </w:p>
    <w:p>
      <w:pPr>
        <w:pStyle w:val="7"/>
        <w:spacing w:before="0" w:beforeAutospacing="0" w:after="0" w:afterAutospacing="0" w:line="360" w:lineRule="auto"/>
        <w:ind w:firstLine="420"/>
        <w:rPr>
          <w:sz w:val="21"/>
          <w:szCs w:val="21"/>
        </w:rPr>
      </w:pPr>
      <w:r>
        <w:rPr>
          <w:rFonts w:hint="eastAsia"/>
          <w:sz w:val="21"/>
          <w:szCs w:val="21"/>
        </w:rPr>
        <w:t xml:space="preserve">6、同一证券同时在两个或两个以上市场交易的，按证券所处的市场分别估值。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7、本基金投资股指期货合约、国债期货合约，一般以估值当日结算价进行估值，估值当日无结算价的，且最近交易日后经济环境未发生重大变化的，采用最近交易日结算价估值。 </w:t>
      </w:r>
    </w:p>
    <w:p>
      <w:pPr>
        <w:pStyle w:val="7"/>
        <w:spacing w:before="0" w:beforeAutospacing="0" w:after="0" w:afterAutospacing="0" w:line="360" w:lineRule="auto"/>
        <w:ind w:firstLine="420"/>
        <w:rPr>
          <w:sz w:val="21"/>
          <w:szCs w:val="21"/>
        </w:rPr>
      </w:pPr>
      <w:r>
        <w:rPr>
          <w:rFonts w:hint="eastAsia"/>
          <w:sz w:val="21"/>
          <w:szCs w:val="21"/>
        </w:rPr>
        <w:t xml:space="preserve">8、本基金投资股票期权，根据相关法律法规以及监管部门的规定估值。 </w:t>
      </w:r>
    </w:p>
    <w:p>
      <w:pPr>
        <w:pStyle w:val="7"/>
        <w:spacing w:before="0" w:beforeAutospacing="0" w:after="0" w:afterAutospacing="0" w:line="360" w:lineRule="auto"/>
        <w:ind w:firstLine="420"/>
        <w:rPr>
          <w:sz w:val="21"/>
          <w:szCs w:val="21"/>
        </w:rPr>
      </w:pPr>
      <w:r>
        <w:rPr>
          <w:rFonts w:hint="eastAsia"/>
          <w:sz w:val="21"/>
          <w:szCs w:val="21"/>
        </w:rPr>
        <w:t xml:space="preserve">9、本基金参与融资或转融通证券出借业务的，应参照行业协会的相关规定进行估值，确保估值的公允性。 </w:t>
      </w:r>
    </w:p>
    <w:p>
      <w:pPr>
        <w:pStyle w:val="7"/>
        <w:spacing w:before="0" w:beforeAutospacing="0" w:after="0" w:afterAutospacing="0" w:line="360" w:lineRule="auto"/>
        <w:ind w:firstLine="420"/>
        <w:rPr>
          <w:sz w:val="21"/>
          <w:szCs w:val="21"/>
        </w:rPr>
      </w:pPr>
      <w:r>
        <w:rPr>
          <w:rFonts w:hint="eastAsia"/>
          <w:sz w:val="21"/>
          <w:szCs w:val="21"/>
        </w:rPr>
        <w:t xml:space="preserve">10、汇率 </w:t>
      </w:r>
    </w:p>
    <w:p>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 </w:t>
      </w:r>
    </w:p>
    <w:p>
      <w:pPr>
        <w:pStyle w:val="7"/>
        <w:spacing w:before="0" w:beforeAutospacing="0" w:after="0" w:afterAutospacing="0" w:line="360" w:lineRule="auto"/>
        <w:ind w:firstLine="420"/>
        <w:rPr>
          <w:sz w:val="21"/>
          <w:szCs w:val="21"/>
        </w:rPr>
      </w:pPr>
      <w:r>
        <w:rPr>
          <w:rFonts w:hint="eastAsia"/>
          <w:sz w:val="21"/>
          <w:szCs w:val="21"/>
        </w:rPr>
        <w:t xml:space="preserve">11、如有确凿证据表明按上述方法进行估值不能客观反映其公允价值的，基金管理人可根据具体情况与基金托管人商定后，按最能反映公允价值的价格估值。 </w:t>
      </w:r>
    </w:p>
    <w:p>
      <w:pPr>
        <w:pStyle w:val="7"/>
        <w:spacing w:before="0" w:beforeAutospacing="0" w:after="0" w:afterAutospacing="0" w:line="360" w:lineRule="auto"/>
        <w:ind w:firstLine="420"/>
        <w:rPr>
          <w:sz w:val="21"/>
          <w:szCs w:val="21"/>
        </w:rPr>
      </w:pPr>
      <w:r>
        <w:rPr>
          <w:rFonts w:hint="eastAsia"/>
          <w:sz w:val="21"/>
          <w:szCs w:val="21"/>
        </w:rPr>
        <w:t xml:space="preserve">12、当发生大额申购或赎回情形时，基金管理人可以采用摆动定价机制，以确保基金估值的公平性。具体处理原则与操作规范遵循相关法律法规以及监管部门、自律规则的规定。 </w:t>
      </w:r>
    </w:p>
    <w:p>
      <w:pPr>
        <w:pStyle w:val="7"/>
        <w:spacing w:before="0" w:beforeAutospacing="0" w:after="0" w:afterAutospacing="0" w:line="360" w:lineRule="auto"/>
        <w:ind w:firstLine="420"/>
        <w:rPr>
          <w:sz w:val="21"/>
          <w:szCs w:val="21"/>
        </w:rPr>
      </w:pPr>
      <w:r>
        <w:rPr>
          <w:rFonts w:hint="eastAsia"/>
          <w:sz w:val="21"/>
          <w:szCs w:val="21"/>
        </w:rPr>
        <w:t xml:space="preserve">13、相关法律法规以及监管部门有强制规定的，从其规定。如有新增事项，按国家最新规定估值。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37" w:name="chapter_level1_14_63_section_1_end"/>
      <w:bookmarkEnd w:id="137"/>
      <w:r>
        <w:rPr>
          <w:rFonts w:hint="eastAsia"/>
          <w:sz w:val="21"/>
          <w:szCs w:val="21"/>
        </w:rPr>
        <w:t xml:space="preserve">对外予以公布。 </w:t>
      </w:r>
    </w:p>
    <w:p>
      <w:pPr>
        <w:pStyle w:val="7"/>
        <w:spacing w:before="0" w:beforeAutospacing="0" w:after="0" w:afterAutospacing="0" w:line="360" w:lineRule="auto"/>
        <w:ind w:firstLine="420"/>
        <w:rPr>
          <w:sz w:val="21"/>
          <w:szCs w:val="21"/>
        </w:rPr>
      </w:pPr>
      <w:bookmarkStart w:id="138" w:name="chapter_level1_14_63_section_2"/>
      <w:bookmarkEnd w:id="138"/>
      <w:r>
        <w:rPr>
          <w:rStyle w:val="11"/>
          <w:rFonts w:hint="eastAsia"/>
          <w:sz w:val="21"/>
          <w:szCs w:val="21"/>
        </w:rPr>
        <w:t>五、估值程序</w:t>
      </w:r>
    </w:p>
    <w:p>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1、各类基金份额净值是按照每个工作日闭市后，各类基金份额的基金资产净值除以当日该类基金份额的余额数量计算，均精确到</w:t>
      </w:r>
      <w:bookmarkStart w:id="139" w:name="field_63_netdecimalvalue_1"/>
      <w:r>
        <w:rPr>
          <w:sz w:val="21"/>
          <w:szCs w:val="21"/>
        </w:rPr>
        <w:t>0.0001</w:t>
      </w:r>
      <w:bookmarkEnd w:id="139"/>
      <w:r>
        <w:rPr>
          <w:rFonts w:hint="eastAsia"/>
          <w:sz w:val="21"/>
          <w:szCs w:val="21"/>
        </w:rPr>
        <w:t>元，小数点后第</w:t>
      </w:r>
      <w:bookmarkStart w:id="140" w:name="field_0_netdecimaladd1_2"/>
      <w:r>
        <w:rPr>
          <w:sz w:val="21"/>
          <w:szCs w:val="21"/>
        </w:rPr>
        <w:t>5</w:t>
      </w:r>
      <w:bookmarkEnd w:id="140"/>
      <w:r>
        <w:rPr>
          <w:rFonts w:hint="eastAsia"/>
          <w:sz w:val="21"/>
          <w:szCs w:val="21"/>
        </w:rPr>
        <w:t xml:space="preserve">位四舍五入。基金管理人可以设立大额赎回情形下的净值精度应急调整机制。国家另有规定的，从其规定。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pPr>
        <w:pStyle w:val="7"/>
        <w:spacing w:before="0" w:beforeAutospacing="0" w:after="0" w:afterAutospacing="0" w:line="360" w:lineRule="auto"/>
        <w:ind w:firstLine="420"/>
        <w:rPr>
          <w:sz w:val="21"/>
          <w:szCs w:val="21"/>
        </w:rPr>
      </w:pPr>
      <w:r>
        <w:rPr>
          <w:rStyle w:val="11"/>
          <w:rFonts w:hint="eastAsia"/>
          <w:sz w:val="21"/>
          <w:szCs w:val="21"/>
        </w:rPr>
        <w:t>六、估值错误的处理</w:t>
      </w:r>
    </w:p>
    <w:p>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41" w:name="field_63_netdecimal_2"/>
      <w:r>
        <w:rPr>
          <w:sz w:val="21"/>
          <w:szCs w:val="21"/>
        </w:rPr>
        <w:t>4</w:t>
      </w:r>
      <w:bookmarkEnd w:id="141"/>
      <w:r>
        <w:rPr>
          <w:rFonts w:hint="eastAsia"/>
          <w:sz w:val="21"/>
          <w:szCs w:val="21"/>
        </w:rPr>
        <w:t>位以内(含第</w:t>
      </w:r>
      <w:bookmarkStart w:id="142" w:name="field_63_netdecimal_3"/>
      <w:r>
        <w:rPr>
          <w:sz w:val="21"/>
          <w:szCs w:val="21"/>
        </w:rPr>
        <w:t>4</w:t>
      </w:r>
      <w:bookmarkEnd w:id="142"/>
      <w:r>
        <w:rPr>
          <w:rFonts w:hint="eastAsia"/>
          <w:sz w:val="21"/>
          <w:szCs w:val="21"/>
        </w:rPr>
        <w:t xml:space="preserve">位)发生估值错误时，视为该类基金份额净值错误。 </w:t>
      </w:r>
    </w:p>
    <w:p>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pPr>
        <w:pStyle w:val="7"/>
        <w:spacing w:before="0" w:beforeAutospacing="0" w:after="0" w:afterAutospacing="0" w:line="360" w:lineRule="auto"/>
        <w:ind w:firstLine="420"/>
        <w:rPr>
          <w:sz w:val="21"/>
          <w:szCs w:val="21"/>
        </w:rPr>
      </w:pPr>
      <w:r>
        <w:rPr>
          <w:rFonts w:hint="eastAsia"/>
          <w:sz w:val="21"/>
          <w:szCs w:val="21"/>
        </w:rPr>
        <w:t xml:space="preserve">1、估值错误类型 </w:t>
      </w:r>
    </w:p>
    <w:p>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pPr>
        <w:pStyle w:val="7"/>
        <w:spacing w:before="0" w:beforeAutospacing="0" w:after="0" w:afterAutospacing="0" w:line="360" w:lineRule="auto"/>
        <w:ind w:firstLine="420"/>
        <w:rPr>
          <w:sz w:val="21"/>
          <w:szCs w:val="21"/>
        </w:rPr>
      </w:pPr>
      <w:r>
        <w:rPr>
          <w:rStyle w:val="11"/>
          <w:rFonts w:hint="eastAsia"/>
          <w:sz w:val="21"/>
          <w:szCs w:val="21"/>
        </w:rPr>
        <w:t>七、暂停估值的情形</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pPr>
        <w:pStyle w:val="7"/>
        <w:spacing w:before="0" w:beforeAutospacing="0" w:after="0" w:afterAutospacing="0" w:line="360" w:lineRule="auto"/>
        <w:ind w:firstLine="420"/>
        <w:rPr>
          <w:sz w:val="21"/>
          <w:szCs w:val="21"/>
        </w:rPr>
      </w:pPr>
      <w:r>
        <w:rPr>
          <w:rStyle w:val="11"/>
          <w:rFonts w:hint="eastAsia"/>
          <w:sz w:val="21"/>
          <w:szCs w:val="21"/>
        </w:rPr>
        <w:t>八、基金净值的确认</w:t>
      </w:r>
    </w:p>
    <w:p>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pPr>
        <w:pStyle w:val="7"/>
        <w:spacing w:before="0" w:beforeAutospacing="0" w:after="0" w:afterAutospacing="0" w:line="360" w:lineRule="auto"/>
        <w:ind w:firstLine="420"/>
        <w:rPr>
          <w:sz w:val="21"/>
          <w:szCs w:val="21"/>
        </w:rPr>
      </w:pPr>
      <w:r>
        <w:rPr>
          <w:rStyle w:val="11"/>
          <w:rFonts w:hint="eastAsia"/>
          <w:sz w:val="21"/>
          <w:szCs w:val="21"/>
        </w:rPr>
        <w:t>九、特殊情况的处理</w:t>
      </w:r>
    </w:p>
    <w:p>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1、基金管理人或基金托管人按估值方法的第11项进行估值时，所造成的误差不作为基金资产估值错误处理。 </w:t>
      </w:r>
    </w:p>
    <w:p>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期货交易所或登记结算公司及存款银行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pPr>
        <w:pStyle w:val="7"/>
        <w:spacing w:before="0" w:beforeAutospacing="0" w:after="0" w:afterAutospacing="0" w:line="360" w:lineRule="auto"/>
        <w:ind w:firstLine="420"/>
        <w:rPr>
          <w:sz w:val="21"/>
          <w:szCs w:val="21"/>
        </w:rPr>
      </w:pPr>
      <w:r>
        <w:rPr>
          <w:rStyle w:val="11"/>
          <w:rFonts w:hint="eastAsia"/>
          <w:sz w:val="21"/>
          <w:szCs w:val="21"/>
        </w:rPr>
        <w:t>十、实施侧袋机制期间的基金资产估值</w:t>
      </w:r>
    </w:p>
    <w:p>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43" w:name="chapter_level1_14_63_section_2_end"/>
      <w:bookmarkEnd w:id="143"/>
      <w:r>
        <w:rPr>
          <w:rFonts w:hint="eastAsia"/>
          <w:sz w:val="21"/>
          <w:szCs w:val="21"/>
        </w:rPr>
        <w:t xml:space="preserve">的基金净值信息，暂停披露侧袋账户基金净值信息。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4" w:name="_Toc207939908"/>
      <w:bookmarkStart w:id="145" w:name="chapter_level1_15_64"/>
      <w:r>
        <w:rPr>
          <w:rFonts w:hint="eastAsia" w:ascii="宋体" w:hAnsi="宋体" w:eastAsia="宋体"/>
          <w:sz w:val="30"/>
        </w:rPr>
        <w:t>第十二部分  基金的收益与分配</w:t>
      </w:r>
      <w:bookmarkEnd w:id="144"/>
      <w:bookmarkEnd w:id="145"/>
    </w:p>
    <w:p>
      <w:pPr>
        <w:pStyle w:val="7"/>
        <w:spacing w:before="0" w:beforeAutospacing="0" w:after="0" w:afterAutospacing="0" w:line="360" w:lineRule="auto"/>
        <w:ind w:firstLine="420"/>
        <w:rPr>
          <w:sz w:val="21"/>
          <w:szCs w:val="21"/>
        </w:rPr>
      </w:pPr>
      <w:bookmarkStart w:id="146" w:name="chapter_level1_15_64_section_1"/>
      <w:bookmarkEnd w:id="146"/>
      <w:r>
        <w:rPr>
          <w:rStyle w:val="11"/>
          <w:rFonts w:hint="eastAsia"/>
          <w:sz w:val="21"/>
          <w:szCs w:val="21"/>
        </w:rPr>
        <w:t>一、基金利润的构成</w:t>
      </w:r>
    </w:p>
    <w:p>
      <w:pPr>
        <w:pStyle w:val="7"/>
        <w:spacing w:before="0" w:beforeAutospacing="0" w:after="0" w:afterAutospacing="0" w:line="360" w:lineRule="auto"/>
        <w:ind w:firstLine="420"/>
        <w:rPr>
          <w:sz w:val="21"/>
          <w:szCs w:val="21"/>
        </w:rPr>
      </w:pPr>
      <w:r>
        <w:rPr>
          <w:rFonts w:hint="eastAsia"/>
          <w:sz w:val="21"/>
          <w:szCs w:val="21"/>
        </w:rPr>
        <w:t>基金利润指基金利息收入、投资收益、公允价值变动收益和其他收入扣除相关费用后的余额，基金已实现收益指基金利润减去公允价值变动收益后的余额。</w:t>
      </w:r>
    </w:p>
    <w:p>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pPr>
        <w:pStyle w:val="7"/>
        <w:spacing w:before="0" w:beforeAutospacing="0" w:after="0" w:afterAutospacing="0" w:line="360" w:lineRule="auto"/>
        <w:ind w:firstLine="420"/>
        <w:rPr>
          <w:sz w:val="21"/>
          <w:szCs w:val="21"/>
        </w:rPr>
      </w:pPr>
      <w:r>
        <w:rPr>
          <w:rFonts w:hint="eastAsia"/>
          <w:sz w:val="21"/>
          <w:szCs w:val="21"/>
        </w:rPr>
        <w:t>基金可供分配利润指截至收益分配基准日基金未分配利润与未分配利润中已实现收益的孰低数。</w:t>
      </w:r>
    </w:p>
    <w:p>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pPr>
        <w:pStyle w:val="7"/>
        <w:spacing w:before="0" w:beforeAutospacing="0" w:after="0" w:afterAutospacing="0" w:line="360" w:lineRule="auto"/>
        <w:ind w:firstLine="420"/>
        <w:rPr>
          <w:sz w:val="21"/>
          <w:szCs w:val="21"/>
        </w:rPr>
      </w:pPr>
      <w:r>
        <w:rPr>
          <w:rFonts w:hint="eastAsia"/>
          <w:sz w:val="21"/>
          <w:szCs w:val="21"/>
        </w:rPr>
        <w:t>1、由于本基金A类基金份额不收取销售服务费，而C类基金份额收取销售服务费，各基金份额类别对应的可供分配利润将有所不同，本基金同一类别的每一基金份额享有同等分配权；</w:t>
      </w:r>
    </w:p>
    <w:p>
      <w:pPr>
        <w:pStyle w:val="7"/>
        <w:spacing w:before="0" w:beforeAutospacing="0" w:after="0" w:afterAutospacing="0" w:line="360" w:lineRule="auto"/>
        <w:ind w:firstLine="420"/>
        <w:rPr>
          <w:sz w:val="21"/>
          <w:szCs w:val="21"/>
        </w:rPr>
      </w:pPr>
      <w:r>
        <w:rPr>
          <w:rFonts w:hint="eastAsia"/>
          <w:sz w:val="21"/>
          <w:szCs w:val="21"/>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pPr>
        <w:pStyle w:val="7"/>
        <w:spacing w:before="0" w:beforeAutospacing="0" w:after="0" w:afterAutospacing="0" w:line="360" w:lineRule="auto"/>
        <w:ind w:firstLine="420"/>
        <w:rPr>
          <w:sz w:val="21"/>
          <w:szCs w:val="21"/>
        </w:rPr>
      </w:pPr>
      <w:r>
        <w:rPr>
          <w:rFonts w:hint="eastAsia"/>
          <w:sz w:val="21"/>
          <w:szCs w:val="21"/>
        </w:rPr>
        <w:t>3、基金收益分配后各类基金份额净值不能低于面值，即基金收益分配基准日的各类基金份额净值减去每单位该类基金份额收益分配金额后不能低于面值；</w:t>
      </w:r>
    </w:p>
    <w:p>
      <w:pPr>
        <w:pStyle w:val="7"/>
        <w:spacing w:before="0" w:beforeAutospacing="0" w:after="0" w:afterAutospacing="0" w:line="360" w:lineRule="auto"/>
        <w:ind w:firstLine="420"/>
        <w:rPr>
          <w:sz w:val="21"/>
          <w:szCs w:val="21"/>
        </w:rPr>
      </w:pPr>
      <w:r>
        <w:rPr>
          <w:rFonts w:hint="eastAsia"/>
          <w:sz w:val="21"/>
          <w:szCs w:val="21"/>
        </w:rPr>
        <w:t>4、法律法规或监管机关另有规定的，从其规定。</w:t>
      </w:r>
    </w:p>
    <w:p>
      <w:pPr>
        <w:pStyle w:val="7"/>
        <w:spacing w:before="0" w:beforeAutospacing="0" w:after="0" w:afterAutospacing="0" w:line="360" w:lineRule="auto"/>
        <w:ind w:firstLine="420"/>
        <w:rPr>
          <w:sz w:val="21"/>
          <w:szCs w:val="21"/>
        </w:rPr>
      </w:pPr>
      <w:r>
        <w:rPr>
          <w:rFonts w:hint="eastAsia"/>
          <w:sz w:val="21"/>
          <w:szCs w:val="21"/>
        </w:rPr>
        <w:t>在不违反法律法规及基金合同约定，并对基金份额持有人利益无实质不利影响的前提下，基金管理人经与基金托管人协商一致后，可对基金收益分配原则和支付方式进行调整，不需召开基金份额持有人大会。</w:t>
      </w:r>
    </w:p>
    <w:p>
      <w:pPr>
        <w:pStyle w:val="7"/>
        <w:spacing w:before="0" w:beforeAutospacing="0" w:after="0" w:afterAutospacing="0" w:line="360" w:lineRule="auto"/>
        <w:ind w:firstLine="420"/>
        <w:rPr>
          <w:sz w:val="21"/>
          <w:szCs w:val="21"/>
        </w:rPr>
      </w:pPr>
      <w:r>
        <w:rPr>
          <w:rStyle w:val="11"/>
          <w:rFonts w:hint="eastAsia"/>
          <w:sz w:val="21"/>
          <w:szCs w:val="21"/>
        </w:rPr>
        <w:t>四、收益分配方案</w:t>
      </w:r>
    </w:p>
    <w:p>
      <w:pPr>
        <w:pStyle w:val="7"/>
        <w:spacing w:before="0" w:beforeAutospacing="0" w:after="0" w:afterAutospacing="0" w:line="360" w:lineRule="auto"/>
        <w:ind w:firstLine="420"/>
        <w:rPr>
          <w:sz w:val="21"/>
          <w:szCs w:val="21"/>
        </w:rPr>
      </w:pPr>
      <w:r>
        <w:rPr>
          <w:rFonts w:hint="eastAsia"/>
          <w:sz w:val="21"/>
          <w:szCs w:val="21"/>
        </w:rPr>
        <w:t>基金收益分配方案中应载明截至收益分配基准日的可供分配利润、基金收益分配对象、分配时间、分配数额及比例、分配方式等内容。</w:t>
      </w:r>
    </w:p>
    <w:p>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pPr>
        <w:pStyle w:val="7"/>
        <w:spacing w:before="0" w:beforeAutospacing="0" w:after="0" w:afterAutospacing="0" w:line="360" w:lineRule="auto"/>
        <w:ind w:firstLine="420"/>
        <w:rPr>
          <w:sz w:val="21"/>
          <w:szCs w:val="21"/>
        </w:rPr>
      </w:pPr>
      <w:r>
        <w:rPr>
          <w:rFonts w:hint="eastAsia"/>
          <w:sz w:val="21"/>
          <w:szCs w:val="21"/>
        </w:rPr>
        <w:t>本基金收益分配方案由基金管理人拟定，并由基金托管人复核，按规定在规定媒介公告。</w:t>
      </w:r>
    </w:p>
    <w:p>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pPr>
        <w:pStyle w:val="7"/>
        <w:spacing w:before="0" w:beforeAutospacing="0" w:after="0" w:afterAutospacing="0" w:line="360" w:lineRule="auto"/>
        <w:ind w:firstLine="420"/>
        <w:rPr>
          <w:sz w:val="21"/>
          <w:szCs w:val="21"/>
        </w:rPr>
      </w:pPr>
      <w:r>
        <w:rPr>
          <w:rFonts w:hint="eastAsia"/>
          <w:sz w:val="21"/>
          <w:szCs w:val="21"/>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pPr>
        <w:pStyle w:val="7"/>
        <w:spacing w:before="0" w:beforeAutospacing="0" w:after="0" w:afterAutospacing="0" w:line="360" w:lineRule="auto"/>
        <w:ind w:firstLine="420"/>
        <w:rPr>
          <w:sz w:val="21"/>
          <w:szCs w:val="21"/>
        </w:rPr>
      </w:pPr>
      <w:r>
        <w:rPr>
          <w:rStyle w:val="11"/>
          <w:rFonts w:hint="eastAsia"/>
          <w:sz w:val="21"/>
          <w:szCs w:val="21"/>
        </w:rPr>
        <w:t>七、实施侧袋机制期间的收益分配</w:t>
      </w:r>
    </w:p>
    <w:p>
      <w:pPr>
        <w:pStyle w:val="7"/>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本基金实施侧袋机制的，侧袋账户不进行收益分配，详见本招募说明书“侧袋机制”部</w:t>
      </w:r>
      <w:bookmarkStart w:id="147" w:name="chapter_level1_15_64_section_1_end"/>
      <w:bookmarkEnd w:id="147"/>
      <w:r>
        <w:rPr>
          <w:rFonts w:hint="eastAsia"/>
          <w:sz w:val="21"/>
          <w:szCs w:val="21"/>
        </w:rPr>
        <w:t>分的规定。</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8" w:name="chapter_level1_16_65"/>
      <w:bookmarkStart w:id="149" w:name="_Toc207939909"/>
      <w:r>
        <w:rPr>
          <w:rFonts w:hint="eastAsia" w:ascii="宋体" w:hAnsi="宋体" w:eastAsia="宋体"/>
          <w:sz w:val="30"/>
        </w:rPr>
        <w:t>第十三部分  基金的费用与税收</w:t>
      </w:r>
      <w:bookmarkEnd w:id="148"/>
      <w:bookmarkEnd w:id="149"/>
    </w:p>
    <w:p>
      <w:pPr>
        <w:pStyle w:val="7"/>
        <w:spacing w:before="0" w:beforeAutospacing="0" w:after="0" w:afterAutospacing="0" w:line="360" w:lineRule="auto"/>
        <w:ind w:firstLine="420"/>
        <w:rPr>
          <w:sz w:val="21"/>
          <w:szCs w:val="21"/>
        </w:rPr>
      </w:pPr>
      <w:bookmarkStart w:id="150" w:name="chapter_level1_16_65_section_1"/>
      <w:bookmarkEnd w:id="150"/>
      <w:r>
        <w:rPr>
          <w:rStyle w:val="11"/>
          <w:rFonts w:hint="eastAsia"/>
          <w:sz w:val="21"/>
          <w:szCs w:val="21"/>
        </w:rPr>
        <w:t>一、基金费用的种类</w:t>
      </w:r>
    </w:p>
    <w:p>
      <w:pPr>
        <w:pStyle w:val="7"/>
        <w:spacing w:before="0" w:beforeAutospacing="0" w:after="0" w:afterAutospacing="0" w:line="360" w:lineRule="auto"/>
        <w:ind w:firstLine="420"/>
        <w:rPr>
          <w:sz w:val="21"/>
          <w:szCs w:val="21"/>
        </w:rPr>
      </w:pPr>
      <w:r>
        <w:rPr>
          <w:rFonts w:hint="eastAsia"/>
          <w:sz w:val="21"/>
          <w:szCs w:val="21"/>
        </w:rPr>
        <w:t>1、基金管理人的管理费；</w:t>
      </w:r>
    </w:p>
    <w:p>
      <w:pPr>
        <w:pStyle w:val="7"/>
        <w:spacing w:before="0" w:beforeAutospacing="0" w:after="0" w:afterAutospacing="0" w:line="360" w:lineRule="auto"/>
        <w:ind w:firstLine="420"/>
        <w:rPr>
          <w:sz w:val="21"/>
          <w:szCs w:val="21"/>
        </w:rPr>
      </w:pPr>
      <w:r>
        <w:rPr>
          <w:rFonts w:hint="eastAsia"/>
          <w:sz w:val="21"/>
          <w:szCs w:val="21"/>
        </w:rPr>
        <w:t>2、基金托管人的托管费；</w:t>
      </w:r>
    </w:p>
    <w:p>
      <w:pPr>
        <w:pStyle w:val="7"/>
        <w:spacing w:before="0" w:beforeAutospacing="0" w:after="0" w:afterAutospacing="0" w:line="360" w:lineRule="auto"/>
        <w:ind w:firstLine="420"/>
        <w:rPr>
          <w:sz w:val="21"/>
          <w:szCs w:val="21"/>
        </w:rPr>
      </w:pPr>
      <w:r>
        <w:rPr>
          <w:rFonts w:hint="eastAsia"/>
          <w:sz w:val="21"/>
          <w:szCs w:val="21"/>
        </w:rPr>
        <w:t>3、C类基金份额的销售服务费；</w:t>
      </w:r>
    </w:p>
    <w:p>
      <w:pPr>
        <w:pStyle w:val="7"/>
        <w:spacing w:before="0" w:beforeAutospacing="0" w:after="0" w:afterAutospacing="0" w:line="360" w:lineRule="auto"/>
        <w:ind w:firstLine="420"/>
        <w:rPr>
          <w:sz w:val="21"/>
          <w:szCs w:val="21"/>
        </w:rPr>
      </w:pPr>
      <w:r>
        <w:rPr>
          <w:rFonts w:hint="eastAsia"/>
          <w:sz w:val="21"/>
          <w:szCs w:val="21"/>
        </w:rPr>
        <w:t>4、基金合同生效后与基金相关的信息披露费用，法律法规、中国证监会另有规定的除外；</w:t>
      </w:r>
    </w:p>
    <w:p>
      <w:pPr>
        <w:pStyle w:val="7"/>
        <w:spacing w:before="0" w:beforeAutospacing="0" w:after="0" w:afterAutospacing="0" w:line="360" w:lineRule="auto"/>
        <w:ind w:firstLine="420"/>
        <w:rPr>
          <w:sz w:val="21"/>
          <w:szCs w:val="21"/>
        </w:rPr>
      </w:pPr>
      <w:r>
        <w:rPr>
          <w:rFonts w:hint="eastAsia"/>
          <w:sz w:val="21"/>
          <w:szCs w:val="21"/>
        </w:rPr>
        <w:t>5、基金合同生效后与基金相关的会计师费、公证费、律师费、诉讼费和仲裁费；</w:t>
      </w:r>
    </w:p>
    <w:p>
      <w:pPr>
        <w:pStyle w:val="7"/>
        <w:spacing w:before="0" w:beforeAutospacing="0" w:after="0" w:afterAutospacing="0" w:line="360" w:lineRule="auto"/>
        <w:ind w:firstLine="420"/>
        <w:rPr>
          <w:sz w:val="21"/>
          <w:szCs w:val="21"/>
        </w:rPr>
      </w:pPr>
      <w:r>
        <w:rPr>
          <w:rFonts w:hint="eastAsia"/>
          <w:sz w:val="21"/>
          <w:szCs w:val="21"/>
        </w:rPr>
        <w:t>6、基金份额持有人大会费用；</w:t>
      </w:r>
    </w:p>
    <w:p>
      <w:pPr>
        <w:pStyle w:val="7"/>
        <w:spacing w:before="0" w:beforeAutospacing="0" w:after="0" w:afterAutospacing="0" w:line="360" w:lineRule="auto"/>
        <w:ind w:firstLine="420"/>
        <w:rPr>
          <w:sz w:val="21"/>
          <w:szCs w:val="21"/>
        </w:rPr>
      </w:pPr>
      <w:r>
        <w:rPr>
          <w:rFonts w:hint="eastAsia"/>
          <w:sz w:val="21"/>
          <w:szCs w:val="21"/>
        </w:rPr>
        <w:t>7、基金的证券、期货、期权交易费用；</w:t>
      </w:r>
    </w:p>
    <w:p>
      <w:pPr>
        <w:pStyle w:val="7"/>
        <w:spacing w:before="0" w:beforeAutospacing="0" w:after="0" w:afterAutospacing="0" w:line="360" w:lineRule="auto"/>
        <w:ind w:firstLine="420"/>
        <w:rPr>
          <w:sz w:val="21"/>
          <w:szCs w:val="21"/>
        </w:rPr>
      </w:pPr>
      <w:r>
        <w:rPr>
          <w:rFonts w:hint="eastAsia"/>
          <w:sz w:val="21"/>
          <w:szCs w:val="21"/>
        </w:rPr>
        <w:t>8、基金的银行汇划费用；</w:t>
      </w:r>
    </w:p>
    <w:p>
      <w:pPr>
        <w:pStyle w:val="7"/>
        <w:spacing w:before="0" w:beforeAutospacing="0" w:after="0" w:afterAutospacing="0" w:line="360" w:lineRule="auto"/>
        <w:ind w:firstLine="420"/>
        <w:rPr>
          <w:sz w:val="21"/>
          <w:szCs w:val="21"/>
        </w:rPr>
      </w:pPr>
      <w:r>
        <w:rPr>
          <w:rFonts w:hint="eastAsia"/>
          <w:sz w:val="21"/>
          <w:szCs w:val="21"/>
        </w:rPr>
        <w:t>9、账户开户费用、账户维护费用；</w:t>
      </w:r>
    </w:p>
    <w:p>
      <w:pPr>
        <w:pStyle w:val="7"/>
        <w:spacing w:before="0" w:beforeAutospacing="0" w:after="0" w:afterAutospacing="0" w:line="360" w:lineRule="auto"/>
        <w:ind w:firstLine="420"/>
        <w:rPr>
          <w:sz w:val="21"/>
          <w:szCs w:val="21"/>
        </w:rPr>
      </w:pPr>
      <w:r>
        <w:rPr>
          <w:rFonts w:hint="eastAsia"/>
          <w:sz w:val="21"/>
          <w:szCs w:val="21"/>
        </w:rPr>
        <w:t>10、因投资港股通标的股票而产生的各项合理费用；</w:t>
      </w:r>
    </w:p>
    <w:p>
      <w:pPr>
        <w:pStyle w:val="7"/>
        <w:spacing w:before="0" w:beforeAutospacing="0" w:after="0" w:afterAutospacing="0" w:line="360" w:lineRule="auto"/>
        <w:ind w:firstLine="420"/>
        <w:rPr>
          <w:sz w:val="21"/>
          <w:szCs w:val="21"/>
        </w:rPr>
      </w:pPr>
      <w:r>
        <w:rPr>
          <w:rFonts w:hint="eastAsia"/>
          <w:sz w:val="21"/>
          <w:szCs w:val="21"/>
        </w:rPr>
        <w:t>11、按照国家有关规定和基金合同约定，可以在基金财产中列支的其他费用。</w:t>
      </w:r>
    </w:p>
    <w:p>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pPr>
        <w:pStyle w:val="7"/>
        <w:spacing w:before="0" w:beforeAutospacing="0" w:after="0" w:afterAutospacing="0" w:line="360" w:lineRule="auto"/>
        <w:ind w:firstLine="420"/>
        <w:rPr>
          <w:sz w:val="21"/>
          <w:szCs w:val="21"/>
        </w:rPr>
      </w:pPr>
      <w:r>
        <w:rPr>
          <w:rFonts w:hint="eastAsia"/>
          <w:sz w:val="21"/>
          <w:szCs w:val="21"/>
        </w:rPr>
        <w:t>1、基金管理人的管理费 </w:t>
      </w:r>
    </w:p>
    <w:p>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51" w:name="field_0_managementrate_1"/>
      <w:r>
        <w:rPr>
          <w:sz w:val="21"/>
          <w:szCs w:val="21"/>
        </w:rPr>
        <w:t>0.50</w:t>
      </w:r>
      <w:bookmarkEnd w:id="151"/>
      <w:r>
        <w:rPr>
          <w:rFonts w:hint="eastAsia"/>
          <w:sz w:val="21"/>
          <w:szCs w:val="21"/>
        </w:rPr>
        <w:t>%年费率计提。管理费的计算方法如下：</w:t>
      </w:r>
    </w:p>
    <w:p>
      <w:pPr>
        <w:pStyle w:val="7"/>
        <w:spacing w:before="0" w:beforeAutospacing="0" w:after="0" w:afterAutospacing="0" w:line="360" w:lineRule="auto"/>
        <w:ind w:firstLine="420"/>
        <w:rPr>
          <w:sz w:val="21"/>
          <w:szCs w:val="21"/>
        </w:rPr>
      </w:pPr>
      <w:r>
        <w:rPr>
          <w:rFonts w:hint="eastAsia"/>
          <w:sz w:val="21"/>
          <w:szCs w:val="21"/>
        </w:rPr>
        <w:t>H＝E×</w:t>
      </w:r>
      <w:bookmarkStart w:id="152" w:name="field_0_managementrate_2"/>
      <w:r>
        <w:rPr>
          <w:sz w:val="21"/>
          <w:szCs w:val="21"/>
        </w:rPr>
        <w:t>0.50</w:t>
      </w:r>
      <w:bookmarkEnd w:id="152"/>
      <w:r>
        <w:rPr>
          <w:rFonts w:hint="eastAsia"/>
          <w:sz w:val="21"/>
          <w:szCs w:val="21"/>
        </w:rPr>
        <w:t>%÷当年实际天数</w:t>
      </w:r>
    </w:p>
    <w:p>
      <w:pPr>
        <w:pStyle w:val="7"/>
        <w:spacing w:before="0" w:beforeAutospacing="0" w:after="0" w:afterAutospacing="0" w:line="360" w:lineRule="auto"/>
        <w:ind w:firstLine="420"/>
        <w:rPr>
          <w:sz w:val="21"/>
          <w:szCs w:val="21"/>
        </w:rPr>
      </w:pPr>
      <w:r>
        <w:rPr>
          <w:rFonts w:hint="eastAsia"/>
          <w:sz w:val="21"/>
          <w:szCs w:val="21"/>
        </w:rPr>
        <w:t>H为每日应计提的基金管理费</w:t>
      </w:r>
    </w:p>
    <w:p>
      <w:pPr>
        <w:pStyle w:val="7"/>
        <w:spacing w:before="0" w:beforeAutospacing="0" w:after="0" w:afterAutospacing="0" w:line="360" w:lineRule="auto"/>
        <w:ind w:firstLine="420"/>
        <w:rPr>
          <w:sz w:val="21"/>
          <w:szCs w:val="21"/>
        </w:rPr>
      </w:pPr>
      <w:r>
        <w:rPr>
          <w:rFonts w:hint="eastAsia"/>
          <w:sz w:val="21"/>
          <w:szCs w:val="21"/>
        </w:rPr>
        <w:t>E为前一日的基金资产净值</w:t>
      </w:r>
    </w:p>
    <w:p>
      <w:pPr>
        <w:pStyle w:val="7"/>
        <w:spacing w:before="0" w:beforeAutospacing="0" w:after="0" w:afterAutospacing="0" w:line="360" w:lineRule="auto"/>
        <w:ind w:firstLine="420"/>
        <w:rPr>
          <w:sz w:val="21"/>
          <w:szCs w:val="21"/>
        </w:rPr>
      </w:pPr>
      <w:r>
        <w:rPr>
          <w:rFonts w:hint="eastAsia"/>
          <w:sz w:val="21"/>
          <w:szCs w:val="21"/>
        </w:rPr>
        <w:t>基金管理费每日计提，逐日累计至每月月末，按月支付，经基金管理人与基金托管人双方核对无误后，基金托管人按照与基金管理人协商一致的方式于次月月初5个工作日内从基金财产中一次性支付给基金管理人。若遇法定节假日、公休假或不可抗力等，支付日期顺延。</w:t>
      </w:r>
    </w:p>
    <w:p>
      <w:pPr>
        <w:pStyle w:val="7"/>
        <w:spacing w:before="0" w:beforeAutospacing="0" w:after="0" w:afterAutospacing="0" w:line="360" w:lineRule="auto"/>
        <w:ind w:firstLine="420"/>
        <w:rPr>
          <w:sz w:val="21"/>
          <w:szCs w:val="21"/>
        </w:rPr>
      </w:pPr>
      <w:r>
        <w:rPr>
          <w:rFonts w:hint="eastAsia"/>
          <w:sz w:val="21"/>
          <w:szCs w:val="21"/>
        </w:rPr>
        <w:t>2、基金托管人的托管费</w:t>
      </w:r>
    </w:p>
    <w:p>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53" w:name="field_0_trusteerate_1"/>
      <w:r>
        <w:rPr>
          <w:sz w:val="21"/>
          <w:szCs w:val="21"/>
        </w:rPr>
        <w:t>0.10</w:t>
      </w:r>
      <w:bookmarkEnd w:id="153"/>
      <w:r>
        <w:rPr>
          <w:rFonts w:hint="eastAsia"/>
          <w:sz w:val="21"/>
          <w:szCs w:val="21"/>
        </w:rPr>
        <w:t>%年费率计提。托管费的计算方法如下：</w:t>
      </w:r>
    </w:p>
    <w:p>
      <w:pPr>
        <w:pStyle w:val="7"/>
        <w:spacing w:before="0" w:beforeAutospacing="0" w:after="0" w:afterAutospacing="0" w:line="360" w:lineRule="auto"/>
        <w:ind w:firstLine="420"/>
        <w:rPr>
          <w:sz w:val="21"/>
          <w:szCs w:val="21"/>
        </w:rPr>
      </w:pPr>
      <w:r>
        <w:rPr>
          <w:rFonts w:hint="eastAsia"/>
          <w:sz w:val="21"/>
          <w:szCs w:val="21"/>
        </w:rPr>
        <w:t>H＝E×</w:t>
      </w:r>
      <w:bookmarkStart w:id="154" w:name="field_0_trusteerate_2"/>
      <w:r>
        <w:rPr>
          <w:sz w:val="21"/>
          <w:szCs w:val="21"/>
        </w:rPr>
        <w:t>0.10</w:t>
      </w:r>
      <w:bookmarkEnd w:id="154"/>
      <w:r>
        <w:rPr>
          <w:rFonts w:hint="eastAsia"/>
          <w:sz w:val="21"/>
          <w:szCs w:val="21"/>
        </w:rPr>
        <w:t>%÷当年实际天数</w:t>
      </w:r>
    </w:p>
    <w:p>
      <w:pPr>
        <w:pStyle w:val="7"/>
        <w:spacing w:before="0" w:beforeAutospacing="0" w:after="0" w:afterAutospacing="0" w:line="360" w:lineRule="auto"/>
        <w:ind w:firstLine="420"/>
        <w:rPr>
          <w:sz w:val="21"/>
          <w:szCs w:val="21"/>
        </w:rPr>
      </w:pPr>
      <w:r>
        <w:rPr>
          <w:rFonts w:hint="eastAsia"/>
          <w:sz w:val="21"/>
          <w:szCs w:val="21"/>
        </w:rPr>
        <w:t>H为每日应计提的基金托管费</w:t>
      </w:r>
    </w:p>
    <w:p>
      <w:pPr>
        <w:pStyle w:val="7"/>
        <w:spacing w:before="0" w:beforeAutospacing="0" w:after="0" w:afterAutospacing="0" w:line="360" w:lineRule="auto"/>
        <w:ind w:firstLine="420"/>
        <w:rPr>
          <w:sz w:val="21"/>
          <w:szCs w:val="21"/>
        </w:rPr>
      </w:pPr>
      <w:r>
        <w:rPr>
          <w:rFonts w:hint="eastAsia"/>
          <w:sz w:val="21"/>
          <w:szCs w:val="21"/>
        </w:rPr>
        <w:t>E为前一日的基金资产净值</w:t>
      </w:r>
    </w:p>
    <w:p>
      <w:pPr>
        <w:pStyle w:val="7"/>
        <w:spacing w:before="0" w:beforeAutospacing="0" w:after="0" w:afterAutospacing="0" w:line="360" w:lineRule="auto"/>
        <w:ind w:firstLine="420"/>
        <w:rPr>
          <w:sz w:val="21"/>
          <w:szCs w:val="21"/>
        </w:rPr>
      </w:pPr>
      <w:r>
        <w:rPr>
          <w:rFonts w:hint="eastAsia"/>
          <w:sz w:val="21"/>
          <w:szCs w:val="21"/>
        </w:rPr>
        <w:t>基金托管费每日计提，逐日累计至每月月末，按月支付，经基金管理人与基金托管人双方核对无误后，基金托管人按照与基金管理人协商一致的方式于次月月初5个工作日内从基金财产中一次性支付给基金托管人。若遇法定节假日、公休假或不可抗力等，支付日期顺延。</w:t>
      </w:r>
    </w:p>
    <w:p>
      <w:pPr>
        <w:pStyle w:val="7"/>
        <w:spacing w:before="0" w:beforeAutospacing="0" w:after="0" w:afterAutospacing="0" w:line="360" w:lineRule="auto"/>
        <w:ind w:firstLine="420"/>
        <w:rPr>
          <w:sz w:val="21"/>
          <w:szCs w:val="21"/>
        </w:rPr>
      </w:pPr>
      <w:r>
        <w:rPr>
          <w:rFonts w:hint="eastAsia"/>
          <w:sz w:val="21"/>
          <w:szCs w:val="21"/>
        </w:rPr>
        <w:t>3、C类份额的销售服务费</w:t>
      </w:r>
    </w:p>
    <w:p>
      <w:pPr>
        <w:pStyle w:val="7"/>
        <w:spacing w:before="0" w:beforeAutospacing="0" w:after="0" w:afterAutospacing="0" w:line="360" w:lineRule="auto"/>
        <w:ind w:firstLine="420"/>
        <w:rPr>
          <w:sz w:val="21"/>
          <w:szCs w:val="21"/>
        </w:rPr>
      </w:pPr>
      <w:r>
        <w:rPr>
          <w:rFonts w:hint="eastAsia"/>
          <w:sz w:val="21"/>
          <w:szCs w:val="21"/>
        </w:rPr>
        <w:t>本基金A类基金份额不收取销售服务费，C类基金份额的销售服务费年费率为0.30%。</w:t>
      </w:r>
    </w:p>
    <w:p>
      <w:pPr>
        <w:pStyle w:val="7"/>
        <w:spacing w:before="0" w:beforeAutospacing="0" w:after="0" w:afterAutospacing="0" w:line="360" w:lineRule="auto"/>
        <w:ind w:firstLine="420"/>
        <w:rPr>
          <w:sz w:val="21"/>
          <w:szCs w:val="21"/>
        </w:rPr>
      </w:pPr>
      <w:r>
        <w:rPr>
          <w:rFonts w:hint="eastAsia"/>
          <w:sz w:val="21"/>
          <w:szCs w:val="21"/>
        </w:rPr>
        <w:t>本基金销售服务费按前一日C类基金资产净值的0.30%年费率计提。计算方法如下： </w:t>
      </w:r>
    </w:p>
    <w:p>
      <w:pPr>
        <w:pStyle w:val="7"/>
        <w:spacing w:before="0" w:beforeAutospacing="0" w:after="0" w:afterAutospacing="0" w:line="360" w:lineRule="auto"/>
        <w:ind w:firstLine="420"/>
        <w:rPr>
          <w:sz w:val="21"/>
          <w:szCs w:val="21"/>
        </w:rPr>
      </w:pPr>
      <w:r>
        <w:rPr>
          <w:rFonts w:hint="eastAsia"/>
          <w:sz w:val="21"/>
          <w:szCs w:val="21"/>
        </w:rPr>
        <w:t>H＝E×0.30%÷当年实际天数 </w:t>
      </w:r>
    </w:p>
    <w:p>
      <w:pPr>
        <w:pStyle w:val="7"/>
        <w:spacing w:before="0" w:beforeAutospacing="0" w:after="0" w:afterAutospacing="0" w:line="360" w:lineRule="auto"/>
        <w:ind w:firstLine="420"/>
        <w:rPr>
          <w:sz w:val="21"/>
          <w:szCs w:val="21"/>
        </w:rPr>
      </w:pPr>
      <w:r>
        <w:rPr>
          <w:rFonts w:hint="eastAsia"/>
          <w:sz w:val="21"/>
          <w:szCs w:val="21"/>
        </w:rPr>
        <w:t>H为C类基金份额每日应计提的销售服务费</w:t>
      </w:r>
    </w:p>
    <w:p>
      <w:pPr>
        <w:pStyle w:val="7"/>
        <w:spacing w:before="0" w:beforeAutospacing="0" w:after="0" w:afterAutospacing="0" w:line="360" w:lineRule="auto"/>
        <w:ind w:firstLine="420"/>
        <w:rPr>
          <w:sz w:val="21"/>
          <w:szCs w:val="21"/>
        </w:rPr>
      </w:pPr>
      <w:r>
        <w:rPr>
          <w:rFonts w:hint="eastAsia"/>
          <w:sz w:val="21"/>
          <w:szCs w:val="21"/>
        </w:rPr>
        <w:t>E为C类基金份额前一日基金资产净值</w:t>
      </w:r>
    </w:p>
    <w:p>
      <w:pPr>
        <w:pStyle w:val="7"/>
        <w:spacing w:before="0" w:beforeAutospacing="0" w:after="0" w:afterAutospacing="0" w:line="360" w:lineRule="auto"/>
        <w:ind w:firstLine="420"/>
        <w:rPr>
          <w:sz w:val="21"/>
          <w:szCs w:val="21"/>
        </w:rPr>
      </w:pPr>
      <w:r>
        <w:rPr>
          <w:rFonts w:hint="eastAsia"/>
          <w:sz w:val="21"/>
          <w:szCs w:val="21"/>
        </w:rPr>
        <w:t>基金销售服务费每日计提，逐日累计至每月月末，按月支付，经基金管理人与基金托管人双方核对无误后，基金托管人按照与基金管理人协商一致的方式于次月月初5个工作日内从基金财产中一次性支付给销售机构。若遇法定节假日、公休假或不可抗力等，支付日期顺延。</w:t>
      </w:r>
    </w:p>
    <w:p>
      <w:pPr>
        <w:pStyle w:val="7"/>
        <w:spacing w:before="0" w:beforeAutospacing="0" w:after="0" w:afterAutospacing="0" w:line="360" w:lineRule="auto"/>
        <w:ind w:firstLine="420"/>
        <w:rPr>
          <w:sz w:val="21"/>
          <w:szCs w:val="21"/>
        </w:rPr>
      </w:pPr>
      <w:r>
        <w:rPr>
          <w:rFonts w:hint="eastAsia"/>
          <w:sz w:val="21"/>
          <w:szCs w:val="21"/>
        </w:rPr>
        <w:t>上述“一、基金费用的种类”中第4－11项费用，根据有关法规及相应协议规定，按费用实际支出金额列入当期费用，由基金托管人从基金财产中支付。</w:t>
      </w:r>
    </w:p>
    <w:p>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pPr>
        <w:pStyle w:val="7"/>
        <w:spacing w:before="0" w:beforeAutospacing="0" w:after="0" w:afterAutospacing="0" w:line="360" w:lineRule="auto"/>
        <w:ind w:firstLine="420"/>
        <w:rPr>
          <w:sz w:val="21"/>
          <w:szCs w:val="21"/>
        </w:rPr>
      </w:pPr>
      <w:r>
        <w:rPr>
          <w:rFonts w:hint="eastAsia"/>
          <w:sz w:val="21"/>
          <w:szCs w:val="21"/>
        </w:rPr>
        <w:t>下列费用不列入基金费用：</w:t>
      </w:r>
    </w:p>
    <w:p>
      <w:pPr>
        <w:pStyle w:val="7"/>
        <w:spacing w:before="0" w:beforeAutospacing="0" w:after="0" w:afterAutospacing="0" w:line="360" w:lineRule="auto"/>
        <w:ind w:firstLine="420"/>
        <w:rPr>
          <w:sz w:val="21"/>
          <w:szCs w:val="21"/>
        </w:rPr>
      </w:pPr>
      <w:r>
        <w:rPr>
          <w:rFonts w:hint="eastAsia"/>
          <w:sz w:val="21"/>
          <w:szCs w:val="21"/>
        </w:rPr>
        <w:t>1、基金管理人和基金托管人因未履行或未完全履行义务导致的费用支出或基金财产的损失；</w:t>
      </w:r>
    </w:p>
    <w:p>
      <w:pPr>
        <w:pStyle w:val="7"/>
        <w:spacing w:before="0" w:beforeAutospacing="0" w:after="0" w:afterAutospacing="0" w:line="360" w:lineRule="auto"/>
        <w:ind w:firstLine="420"/>
        <w:rPr>
          <w:sz w:val="21"/>
          <w:szCs w:val="21"/>
        </w:rPr>
      </w:pPr>
      <w:r>
        <w:rPr>
          <w:rFonts w:hint="eastAsia"/>
          <w:sz w:val="21"/>
          <w:szCs w:val="21"/>
        </w:rPr>
        <w:t>2、基金管理人和基金托管人处理与基金运作无关的事项发生的费用；</w:t>
      </w:r>
    </w:p>
    <w:p>
      <w:pPr>
        <w:pStyle w:val="7"/>
        <w:spacing w:before="0" w:beforeAutospacing="0" w:after="0" w:afterAutospacing="0" w:line="360" w:lineRule="auto"/>
        <w:ind w:firstLine="420"/>
        <w:rPr>
          <w:sz w:val="21"/>
          <w:szCs w:val="21"/>
        </w:rPr>
      </w:pPr>
      <w:r>
        <w:rPr>
          <w:rFonts w:hint="eastAsia"/>
          <w:sz w:val="21"/>
          <w:szCs w:val="21"/>
        </w:rPr>
        <w:t>3、指数许可使用费</w:t>
      </w:r>
    </w:p>
    <w:p>
      <w:pPr>
        <w:pStyle w:val="7"/>
        <w:spacing w:before="0" w:beforeAutospacing="0" w:after="0" w:afterAutospacing="0" w:line="360" w:lineRule="auto"/>
        <w:ind w:firstLine="420"/>
        <w:rPr>
          <w:sz w:val="21"/>
          <w:szCs w:val="21"/>
        </w:rPr>
      </w:pPr>
      <w:r>
        <w:rPr>
          <w:rFonts w:hint="eastAsia"/>
          <w:sz w:val="21"/>
          <w:szCs w:val="21"/>
        </w:rPr>
        <w:t>本基金按照基金管理人与标的指数许可方所签订的指数使用许可协议中所规定的指数许可使用费计提方法支付指数许可使用费，该指数许可使用费由基金管理人承担，不得从基金财产中列支。</w:t>
      </w:r>
    </w:p>
    <w:p>
      <w:pPr>
        <w:pStyle w:val="7"/>
        <w:spacing w:before="0" w:beforeAutospacing="0" w:after="0" w:afterAutospacing="0" w:line="360" w:lineRule="auto"/>
        <w:ind w:firstLine="420"/>
        <w:rPr>
          <w:sz w:val="21"/>
          <w:szCs w:val="21"/>
        </w:rPr>
      </w:pPr>
      <w:r>
        <w:rPr>
          <w:rFonts w:hint="eastAsia"/>
          <w:sz w:val="21"/>
          <w:szCs w:val="21"/>
        </w:rPr>
        <w:t>如果指数许可使用费的计算方法、费率、支付方式和费用承担方等发生调整，本基金将采用调整后的方法或费率计算指数许可使用费；</w:t>
      </w:r>
    </w:p>
    <w:p>
      <w:pPr>
        <w:pStyle w:val="7"/>
        <w:spacing w:before="0" w:beforeAutospacing="0" w:after="0" w:afterAutospacing="0" w:line="360" w:lineRule="auto"/>
        <w:ind w:firstLine="420"/>
        <w:rPr>
          <w:sz w:val="21"/>
          <w:szCs w:val="21"/>
        </w:rPr>
      </w:pPr>
      <w:r>
        <w:rPr>
          <w:rFonts w:hint="eastAsia"/>
          <w:sz w:val="21"/>
          <w:szCs w:val="21"/>
        </w:rPr>
        <w:t>4、《基金合同》生效前的相关费用；</w:t>
      </w:r>
    </w:p>
    <w:p>
      <w:pPr>
        <w:pStyle w:val="7"/>
        <w:spacing w:before="0" w:beforeAutospacing="0" w:after="0" w:afterAutospacing="0" w:line="360" w:lineRule="auto"/>
        <w:ind w:firstLine="420"/>
        <w:rPr>
          <w:sz w:val="21"/>
          <w:szCs w:val="21"/>
        </w:rPr>
      </w:pPr>
      <w:r>
        <w:rPr>
          <w:rFonts w:hint="eastAsia"/>
          <w:sz w:val="21"/>
          <w:szCs w:val="21"/>
        </w:rPr>
        <w:t>5、其他根据相关法律法规及中国证监会的有关规定不得列入基金费用的项目。</w:t>
      </w:r>
    </w:p>
    <w:p>
      <w:pPr>
        <w:pStyle w:val="7"/>
        <w:spacing w:before="0" w:beforeAutospacing="0" w:after="0" w:afterAutospacing="0" w:line="360" w:lineRule="auto"/>
        <w:ind w:firstLine="420"/>
        <w:rPr>
          <w:sz w:val="21"/>
          <w:szCs w:val="21"/>
        </w:rPr>
      </w:pPr>
      <w:r>
        <w:rPr>
          <w:rStyle w:val="11"/>
          <w:rFonts w:hint="eastAsia"/>
          <w:sz w:val="21"/>
          <w:szCs w:val="21"/>
        </w:rPr>
        <w:t>四、实施侧袋机制期间的基金费用</w:t>
      </w:r>
    </w:p>
    <w:p>
      <w:pPr>
        <w:pStyle w:val="7"/>
        <w:spacing w:before="0" w:beforeAutospacing="0" w:after="0" w:afterAutospacing="0" w:line="360" w:lineRule="auto"/>
        <w:ind w:firstLine="420"/>
        <w:rPr>
          <w:sz w:val="21"/>
          <w:szCs w:val="21"/>
        </w:rPr>
      </w:pPr>
      <w:r>
        <w:rPr>
          <w:rFonts w:hint="eastAsia"/>
          <w:sz w:val="21"/>
          <w:szCs w:val="21"/>
        </w:rPr>
        <w:t>本基金实施侧袋机制的，与侧袋账户有关的费用可以从侧袋账户中列支，但应待侧袋账户资产变现后方可列支，有关费用可酌情收取或减免，但不得收取管理费，详见本招募说明书“侧袋机制”部分的规定。</w:t>
      </w:r>
    </w:p>
    <w:p>
      <w:pPr>
        <w:pStyle w:val="7"/>
        <w:spacing w:before="0" w:beforeAutospacing="0" w:after="0" w:afterAutospacing="0" w:line="360" w:lineRule="auto"/>
        <w:ind w:firstLine="420"/>
        <w:rPr>
          <w:sz w:val="21"/>
          <w:szCs w:val="21"/>
        </w:rPr>
      </w:pPr>
      <w:r>
        <w:rPr>
          <w:rStyle w:val="11"/>
          <w:rFonts w:hint="eastAsia"/>
          <w:sz w:val="21"/>
          <w:szCs w:val="21"/>
        </w:rPr>
        <w:t>五、基金税收</w:t>
      </w:r>
    </w:p>
    <w:p>
      <w:pPr>
        <w:pStyle w:val="7"/>
        <w:spacing w:before="0" w:beforeAutospacing="0" w:after="0" w:afterAutospacing="0" w:line="360" w:lineRule="auto"/>
        <w:ind w:firstLine="420"/>
        <w:rPr>
          <w:sz w:val="21"/>
          <w:szCs w:val="21"/>
        </w:rPr>
      </w:pPr>
      <w:r>
        <w:rPr>
          <w:rFonts w:hint="eastAsia"/>
          <w:sz w:val="21"/>
          <w:szCs w:val="21"/>
        </w:rPr>
        <w:t>基金运作过程中涉及的各纳税主体，其纳税义务按国家税收法律、法规执行。基金财产投资的相关税收，由基金份额持有人承担，基金管理人或者其他扣缴义务人按照国家有关税收征收的规定代扣代缴。</w:t>
      </w:r>
    </w:p>
    <w:p>
      <w:pPr>
        <w:pStyle w:val="7"/>
        <w:spacing w:before="0" w:beforeAutospacing="0" w:after="0" w:afterAutospacing="0" w:line="360" w:lineRule="auto"/>
        <w:ind w:firstLine="420"/>
        <w:rPr>
          <w:sz w:val="21"/>
          <w:szCs w:val="21"/>
        </w:rPr>
      </w:pPr>
      <w:r>
        <w:rPr>
          <w:rFonts w:hint="eastAsia"/>
          <w:sz w:val="21"/>
          <w:szCs w:val="21"/>
        </w:rPr>
        <w:t>本基金支付给基金管理人、基金托管人的各项费用均为含税价格，具体税率适用中国税</w:t>
      </w:r>
      <w:bookmarkStart w:id="155" w:name="chapter_level1_16_65_section_1_end"/>
      <w:bookmarkEnd w:id="155"/>
      <w:r>
        <w:rPr>
          <w:rFonts w:hint="eastAsia"/>
          <w:sz w:val="21"/>
          <w:szCs w:val="21"/>
        </w:rPr>
        <w:t>务主管机关的规定。</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6" w:name="chapter_level1_17_66"/>
      <w:bookmarkStart w:id="157" w:name="_Toc207939910"/>
      <w:r>
        <w:rPr>
          <w:rFonts w:hint="eastAsia" w:ascii="宋体" w:hAnsi="宋体" w:eastAsia="宋体"/>
          <w:sz w:val="30"/>
        </w:rPr>
        <w:t>第十四部分  基金的会计与审计</w:t>
      </w:r>
      <w:bookmarkEnd w:id="156"/>
      <w:bookmarkEnd w:id="157"/>
    </w:p>
    <w:p>
      <w:pPr>
        <w:pStyle w:val="7"/>
        <w:spacing w:before="0" w:beforeAutospacing="0" w:after="0" w:afterAutospacing="0" w:line="360" w:lineRule="auto"/>
        <w:ind w:firstLine="420"/>
        <w:rPr>
          <w:sz w:val="21"/>
          <w:szCs w:val="21"/>
        </w:rPr>
      </w:pPr>
      <w:bookmarkStart w:id="158" w:name="chapter_level1_17_66_section_1"/>
      <w:bookmarkEnd w:id="158"/>
      <w:r>
        <w:rPr>
          <w:rStyle w:val="11"/>
          <w:rFonts w:hint="eastAsia"/>
          <w:sz w:val="21"/>
          <w:szCs w:val="21"/>
        </w:rPr>
        <w:t>一、基金会计政策</w:t>
      </w:r>
    </w:p>
    <w:p>
      <w:pPr>
        <w:pStyle w:val="7"/>
        <w:spacing w:before="0" w:beforeAutospacing="0" w:after="0" w:afterAutospacing="0" w:line="360" w:lineRule="auto"/>
        <w:ind w:firstLine="420"/>
        <w:rPr>
          <w:sz w:val="21"/>
          <w:szCs w:val="21"/>
        </w:rPr>
      </w:pPr>
      <w:r>
        <w:rPr>
          <w:rFonts w:hint="eastAsia"/>
          <w:sz w:val="21"/>
          <w:szCs w:val="21"/>
        </w:rPr>
        <w:t>1、基金管理人为本基金的基金会计责任方；</w:t>
      </w:r>
    </w:p>
    <w:p>
      <w:pPr>
        <w:pStyle w:val="7"/>
        <w:spacing w:before="0" w:beforeAutospacing="0" w:after="0" w:afterAutospacing="0" w:line="360" w:lineRule="auto"/>
        <w:ind w:firstLine="420"/>
        <w:rPr>
          <w:sz w:val="21"/>
          <w:szCs w:val="21"/>
        </w:rPr>
      </w:pPr>
      <w:r>
        <w:rPr>
          <w:rFonts w:hint="eastAsia"/>
          <w:sz w:val="21"/>
          <w:szCs w:val="21"/>
        </w:rPr>
        <w:t>2、基金的会计年度为公历年度的1月1日至12月31日；基金首次募集的会计年度按如下原则：如果《基金合同》生效少于2个月，可以并入下一个会计年度披露；</w:t>
      </w:r>
    </w:p>
    <w:p>
      <w:pPr>
        <w:pStyle w:val="7"/>
        <w:spacing w:before="0" w:beforeAutospacing="0" w:after="0" w:afterAutospacing="0" w:line="360" w:lineRule="auto"/>
        <w:ind w:firstLine="420"/>
        <w:rPr>
          <w:sz w:val="21"/>
          <w:szCs w:val="21"/>
        </w:rPr>
      </w:pPr>
      <w:r>
        <w:rPr>
          <w:rFonts w:hint="eastAsia"/>
          <w:sz w:val="21"/>
          <w:szCs w:val="21"/>
        </w:rPr>
        <w:t>3、基金核算以人民币为记账本位币，以人民币元为记账单位；</w:t>
      </w:r>
    </w:p>
    <w:p>
      <w:pPr>
        <w:pStyle w:val="7"/>
        <w:spacing w:before="0" w:beforeAutospacing="0" w:after="0" w:afterAutospacing="0" w:line="360" w:lineRule="auto"/>
        <w:ind w:firstLine="420"/>
        <w:rPr>
          <w:sz w:val="21"/>
          <w:szCs w:val="21"/>
        </w:rPr>
      </w:pPr>
      <w:r>
        <w:rPr>
          <w:rFonts w:hint="eastAsia"/>
          <w:sz w:val="21"/>
          <w:szCs w:val="21"/>
        </w:rPr>
        <w:t>4、会计制度执行国家有关会计制度；</w:t>
      </w:r>
    </w:p>
    <w:p>
      <w:pPr>
        <w:pStyle w:val="7"/>
        <w:spacing w:before="0" w:beforeAutospacing="0" w:after="0" w:afterAutospacing="0" w:line="360" w:lineRule="auto"/>
        <w:ind w:firstLine="420"/>
        <w:rPr>
          <w:sz w:val="21"/>
          <w:szCs w:val="21"/>
        </w:rPr>
      </w:pPr>
      <w:r>
        <w:rPr>
          <w:rFonts w:hint="eastAsia"/>
          <w:sz w:val="21"/>
          <w:szCs w:val="21"/>
        </w:rPr>
        <w:t>5、本基金独立建账、独立核算；</w:t>
      </w:r>
    </w:p>
    <w:p>
      <w:pPr>
        <w:pStyle w:val="7"/>
        <w:spacing w:before="0" w:beforeAutospacing="0" w:after="0" w:afterAutospacing="0" w:line="360" w:lineRule="auto"/>
        <w:ind w:firstLine="420"/>
        <w:rPr>
          <w:sz w:val="21"/>
          <w:szCs w:val="21"/>
        </w:rPr>
      </w:pPr>
      <w:r>
        <w:rPr>
          <w:rFonts w:hint="eastAsia"/>
          <w:sz w:val="21"/>
          <w:szCs w:val="21"/>
        </w:rPr>
        <w:t>6、基金管理人及基金托管人各自保留完整的会计账目、凭证并进行日常的会计核算，按照有关规定编制基金会计报表；</w:t>
      </w:r>
    </w:p>
    <w:p>
      <w:pPr>
        <w:pStyle w:val="7"/>
        <w:spacing w:before="0" w:beforeAutospacing="0" w:after="0" w:afterAutospacing="0" w:line="360" w:lineRule="auto"/>
        <w:ind w:firstLine="420"/>
        <w:rPr>
          <w:sz w:val="21"/>
          <w:szCs w:val="21"/>
        </w:rPr>
      </w:pPr>
      <w:r>
        <w:rPr>
          <w:rFonts w:hint="eastAsia"/>
          <w:sz w:val="21"/>
          <w:szCs w:val="21"/>
        </w:rPr>
        <w:t>7、基金托管人每月与基金管理人就基金的会计核算、报表编制等进行核对并以书面方式确认。</w:t>
      </w:r>
    </w:p>
    <w:p>
      <w:pPr>
        <w:pStyle w:val="7"/>
        <w:spacing w:before="0" w:beforeAutospacing="0" w:after="0" w:afterAutospacing="0" w:line="360" w:lineRule="auto"/>
        <w:ind w:firstLine="420"/>
        <w:rPr>
          <w:sz w:val="21"/>
          <w:szCs w:val="21"/>
        </w:rPr>
      </w:pPr>
      <w:r>
        <w:rPr>
          <w:rStyle w:val="11"/>
          <w:rFonts w:hint="eastAsia"/>
          <w:sz w:val="21"/>
          <w:szCs w:val="21"/>
        </w:rPr>
        <w:t>二、基金的年度审计</w:t>
      </w:r>
    </w:p>
    <w:p>
      <w:pPr>
        <w:pStyle w:val="7"/>
        <w:spacing w:before="0" w:beforeAutospacing="0" w:after="0" w:afterAutospacing="0" w:line="360" w:lineRule="auto"/>
        <w:ind w:firstLine="420"/>
        <w:rPr>
          <w:sz w:val="21"/>
          <w:szCs w:val="21"/>
        </w:rPr>
      </w:pPr>
      <w:r>
        <w:rPr>
          <w:rFonts w:hint="eastAsia"/>
          <w:sz w:val="21"/>
          <w:szCs w:val="21"/>
        </w:rPr>
        <w:t>1、基金管理人聘请与基金管理人、基金托管人相互独立且符合《中华人民共和国证券法》规定的会计师事务所及其注册会计师对本基金的年度财务报表进行审计。</w:t>
      </w:r>
    </w:p>
    <w:p>
      <w:pPr>
        <w:pStyle w:val="7"/>
        <w:spacing w:before="0" w:beforeAutospacing="0" w:after="0" w:afterAutospacing="0" w:line="360" w:lineRule="auto"/>
        <w:ind w:firstLine="420"/>
        <w:rPr>
          <w:sz w:val="21"/>
          <w:szCs w:val="21"/>
        </w:rPr>
      </w:pPr>
      <w:r>
        <w:rPr>
          <w:rFonts w:hint="eastAsia"/>
          <w:sz w:val="21"/>
          <w:szCs w:val="21"/>
        </w:rPr>
        <w:t>2、会计师事务所更换经办注册会计师，应事先征得基金管理人同意。</w:t>
      </w:r>
    </w:p>
    <w:p>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59" w:name="chapter_level1_17_66_section_1_end"/>
      <w:bookmarkEnd w:id="159"/>
      <w:r>
        <w:rPr>
          <w:rFonts w:hint="eastAsia"/>
          <w:sz w:val="21"/>
          <w:szCs w:val="21"/>
        </w:rPr>
        <w:t>务所需按规定在规定媒介公告。</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0" w:name="chapter_level1_18_67"/>
      <w:bookmarkStart w:id="161" w:name="_Toc207939911"/>
      <w:r>
        <w:rPr>
          <w:rFonts w:hint="eastAsia" w:ascii="宋体" w:hAnsi="宋体" w:eastAsia="宋体"/>
          <w:sz w:val="30"/>
        </w:rPr>
        <w:t>第十五部分  基金的信息披露</w:t>
      </w:r>
      <w:bookmarkEnd w:id="160"/>
      <w:bookmarkEnd w:id="161"/>
    </w:p>
    <w:p>
      <w:pPr>
        <w:pStyle w:val="7"/>
        <w:spacing w:before="0" w:beforeAutospacing="0" w:after="0" w:afterAutospacing="0" w:line="360" w:lineRule="auto"/>
        <w:ind w:firstLine="420"/>
        <w:rPr>
          <w:sz w:val="21"/>
          <w:szCs w:val="21"/>
        </w:rPr>
      </w:pPr>
      <w:bookmarkStart w:id="162" w:name="chapter_level1_18_67_section_1"/>
      <w:bookmarkEnd w:id="162"/>
      <w:r>
        <w:rPr>
          <w:rStyle w:val="11"/>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pPr>
        <w:pStyle w:val="7"/>
        <w:spacing w:before="0" w:beforeAutospacing="0" w:after="0" w:afterAutospacing="0" w:line="360" w:lineRule="auto"/>
        <w:ind w:firstLine="420"/>
        <w:rPr>
          <w:sz w:val="21"/>
          <w:szCs w:val="21"/>
        </w:rPr>
      </w:pPr>
      <w:r>
        <w:rPr>
          <w:rStyle w:val="11"/>
          <w:rFonts w:hint="eastAsia"/>
          <w:sz w:val="21"/>
          <w:szCs w:val="21"/>
        </w:rPr>
        <w:t>二、信息披露义务人</w:t>
      </w:r>
    </w:p>
    <w:p>
      <w:pPr>
        <w:pStyle w:val="7"/>
        <w:spacing w:before="0" w:beforeAutospacing="0" w:after="0" w:afterAutospacing="0" w:line="360" w:lineRule="auto"/>
        <w:ind w:firstLine="420"/>
        <w:rPr>
          <w:sz w:val="21"/>
          <w:szCs w:val="21"/>
        </w:rPr>
      </w:pPr>
      <w:r>
        <w:rPr>
          <w:rFonts w:hint="eastAsia"/>
          <w:sz w:val="21"/>
          <w:szCs w:val="21"/>
        </w:rPr>
        <w:t>本基金信息披露义务人包括基金管理人、基金托管人、召集基金份额持有人大会的基金份额持有人等法律法规和中国证监会规定的自然人、法人和非法人组织。</w:t>
      </w:r>
    </w:p>
    <w:p>
      <w:pPr>
        <w:pStyle w:val="7"/>
        <w:spacing w:before="0" w:beforeAutospacing="0" w:after="0" w:afterAutospacing="0" w:line="360" w:lineRule="auto"/>
        <w:ind w:firstLine="420"/>
        <w:rPr>
          <w:sz w:val="21"/>
          <w:szCs w:val="21"/>
        </w:rPr>
      </w:pPr>
      <w:r>
        <w:rPr>
          <w:rFonts w:hint="eastAsia"/>
          <w:sz w:val="21"/>
          <w:szCs w:val="21"/>
        </w:rPr>
        <w:t>本基金信息披露义务人以保护基金份额持有人利益为根本出发点，按照法律法规和中国证监会的规定披露基金信息，并保证所披露信息的真实性、准确性、完整性、及时性、简明性和易得性。</w:t>
      </w:r>
    </w:p>
    <w:p>
      <w:pPr>
        <w:pStyle w:val="7"/>
        <w:spacing w:before="0" w:beforeAutospacing="0" w:after="0" w:afterAutospacing="0" w:line="360" w:lineRule="auto"/>
        <w:ind w:firstLine="420"/>
        <w:rPr>
          <w:sz w:val="21"/>
          <w:szCs w:val="21"/>
        </w:rPr>
      </w:pPr>
      <w:r>
        <w:rPr>
          <w:rFonts w:hint="eastAsia"/>
          <w:sz w:val="21"/>
          <w:szCs w:val="21"/>
        </w:rPr>
        <w:t>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w:t>
      </w:r>
    </w:p>
    <w:p>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pPr>
        <w:pStyle w:val="7"/>
        <w:spacing w:before="0" w:beforeAutospacing="0" w:after="0" w:afterAutospacing="0" w:line="360" w:lineRule="auto"/>
        <w:ind w:firstLine="420"/>
        <w:rPr>
          <w:sz w:val="21"/>
          <w:szCs w:val="21"/>
        </w:rPr>
      </w:pPr>
      <w:r>
        <w:rPr>
          <w:rFonts w:hint="eastAsia"/>
          <w:sz w:val="21"/>
          <w:szCs w:val="21"/>
        </w:rPr>
        <w:t>1、虚假记载、误导性陈述或者重大遗漏；</w:t>
      </w:r>
    </w:p>
    <w:p>
      <w:pPr>
        <w:pStyle w:val="7"/>
        <w:spacing w:before="0" w:beforeAutospacing="0" w:after="0" w:afterAutospacing="0" w:line="360" w:lineRule="auto"/>
        <w:ind w:firstLine="420"/>
        <w:rPr>
          <w:sz w:val="21"/>
          <w:szCs w:val="21"/>
        </w:rPr>
      </w:pPr>
      <w:r>
        <w:rPr>
          <w:rFonts w:hint="eastAsia"/>
          <w:sz w:val="21"/>
          <w:szCs w:val="21"/>
        </w:rPr>
        <w:t>2、对证券投资业绩进行预测；</w:t>
      </w:r>
    </w:p>
    <w:p>
      <w:pPr>
        <w:pStyle w:val="7"/>
        <w:spacing w:before="0" w:beforeAutospacing="0" w:after="0" w:afterAutospacing="0" w:line="360" w:lineRule="auto"/>
        <w:ind w:firstLine="420"/>
        <w:rPr>
          <w:sz w:val="21"/>
          <w:szCs w:val="21"/>
        </w:rPr>
      </w:pPr>
      <w:r>
        <w:rPr>
          <w:rFonts w:hint="eastAsia"/>
          <w:sz w:val="21"/>
          <w:szCs w:val="21"/>
        </w:rPr>
        <w:t>3、违规承诺收益或者承担损失；</w:t>
      </w:r>
    </w:p>
    <w:p>
      <w:pPr>
        <w:pStyle w:val="7"/>
        <w:spacing w:before="0" w:beforeAutospacing="0" w:after="0" w:afterAutospacing="0" w:line="360" w:lineRule="auto"/>
        <w:ind w:firstLine="420"/>
        <w:rPr>
          <w:sz w:val="21"/>
          <w:szCs w:val="21"/>
        </w:rPr>
      </w:pPr>
      <w:r>
        <w:rPr>
          <w:rFonts w:hint="eastAsia"/>
          <w:sz w:val="21"/>
          <w:szCs w:val="21"/>
        </w:rPr>
        <w:t>4、诋毁其他基金管理人、基金托管人或者基金销售机构；</w:t>
      </w:r>
    </w:p>
    <w:p>
      <w:pPr>
        <w:pStyle w:val="7"/>
        <w:spacing w:before="0" w:beforeAutospacing="0" w:after="0" w:afterAutospacing="0" w:line="360" w:lineRule="auto"/>
        <w:ind w:firstLine="420"/>
        <w:rPr>
          <w:sz w:val="21"/>
          <w:szCs w:val="21"/>
        </w:rPr>
      </w:pPr>
      <w:r>
        <w:rPr>
          <w:rFonts w:hint="eastAsia"/>
          <w:sz w:val="21"/>
          <w:szCs w:val="21"/>
        </w:rPr>
        <w:t>5、登载任何自然人、法人和非法人组织的祝贺性、恭维性或推荐性文字；</w:t>
      </w:r>
    </w:p>
    <w:p>
      <w:pPr>
        <w:pStyle w:val="7"/>
        <w:spacing w:before="0" w:beforeAutospacing="0" w:after="0" w:afterAutospacing="0" w:line="360" w:lineRule="auto"/>
        <w:ind w:firstLine="420"/>
        <w:rPr>
          <w:sz w:val="21"/>
          <w:szCs w:val="21"/>
        </w:rPr>
      </w:pPr>
      <w:r>
        <w:rPr>
          <w:rFonts w:hint="eastAsia"/>
          <w:sz w:val="21"/>
          <w:szCs w:val="21"/>
        </w:rPr>
        <w:t>6、中国证监会禁止的其他行为。</w:t>
      </w:r>
    </w:p>
    <w:p>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pPr>
        <w:pStyle w:val="7"/>
        <w:spacing w:before="0" w:beforeAutospacing="0" w:after="0" w:afterAutospacing="0" w:line="360" w:lineRule="auto"/>
        <w:ind w:firstLine="420"/>
        <w:rPr>
          <w:sz w:val="21"/>
          <w:szCs w:val="21"/>
        </w:rPr>
      </w:pPr>
      <w:r>
        <w:rPr>
          <w:rFonts w:hint="eastAsia"/>
          <w:sz w:val="21"/>
          <w:szCs w:val="21"/>
        </w:rPr>
        <w:t>本基金公开披露的信息采用阿拉伯数字；除特别说明外，货币单位为人民币元。</w:t>
      </w:r>
    </w:p>
    <w:p>
      <w:pPr>
        <w:pStyle w:val="7"/>
        <w:spacing w:before="0" w:beforeAutospacing="0" w:after="0" w:afterAutospacing="0" w:line="360" w:lineRule="auto"/>
        <w:ind w:firstLine="420"/>
        <w:rPr>
          <w:sz w:val="21"/>
          <w:szCs w:val="21"/>
        </w:rPr>
      </w:pPr>
      <w:r>
        <w:rPr>
          <w:rStyle w:val="11"/>
          <w:rFonts w:hint="eastAsia"/>
          <w:sz w:val="21"/>
          <w:szCs w:val="21"/>
        </w:rPr>
        <w:t>五、公开披露的基金信息</w:t>
      </w:r>
    </w:p>
    <w:p>
      <w:pPr>
        <w:pStyle w:val="7"/>
        <w:spacing w:before="0" w:beforeAutospacing="0" w:after="0" w:afterAutospacing="0" w:line="360" w:lineRule="auto"/>
        <w:ind w:firstLine="420"/>
        <w:rPr>
          <w:sz w:val="21"/>
          <w:szCs w:val="21"/>
        </w:rPr>
      </w:pPr>
      <w:r>
        <w:rPr>
          <w:rFonts w:hint="eastAsia"/>
          <w:sz w:val="21"/>
          <w:szCs w:val="21"/>
        </w:rPr>
        <w:t>公开披露的基金信息包括：</w:t>
      </w:r>
    </w:p>
    <w:p>
      <w:pPr>
        <w:pStyle w:val="7"/>
        <w:spacing w:before="0" w:beforeAutospacing="0" w:after="0" w:afterAutospacing="0" w:line="360" w:lineRule="auto"/>
        <w:ind w:firstLine="420"/>
        <w:rPr>
          <w:sz w:val="21"/>
          <w:szCs w:val="21"/>
        </w:rPr>
      </w:pPr>
      <w:r>
        <w:rPr>
          <w:rFonts w:hint="eastAsia"/>
          <w:sz w:val="21"/>
          <w:szCs w:val="21"/>
        </w:rPr>
        <w:t>（一）基金招募说明书、基金产品资料概要、《基金合同》、基金托管协议</w:t>
      </w:r>
    </w:p>
    <w:p>
      <w:pPr>
        <w:pStyle w:val="7"/>
        <w:spacing w:before="0" w:beforeAutospacing="0" w:after="0" w:afterAutospacing="0" w:line="360" w:lineRule="auto"/>
        <w:ind w:firstLine="420"/>
        <w:rPr>
          <w:sz w:val="21"/>
          <w:szCs w:val="21"/>
        </w:rPr>
      </w:pPr>
      <w:r>
        <w:rPr>
          <w:rFonts w:hint="eastAsia"/>
          <w:sz w:val="21"/>
          <w:szCs w:val="21"/>
        </w:rPr>
        <w:t>1、《基金合同》是界定《基金合同》当事人的各项权利、义务关系，明确基金份额持有人大会召开的规则及具体程序，说明基金产品的特性等涉及基金投资者重大利益的事项的法律文件。</w:t>
      </w:r>
    </w:p>
    <w:p>
      <w:pPr>
        <w:pStyle w:val="7"/>
        <w:spacing w:before="0" w:beforeAutospacing="0" w:after="0" w:afterAutospacing="0" w:line="360" w:lineRule="auto"/>
        <w:ind w:firstLine="420"/>
        <w:rPr>
          <w:sz w:val="21"/>
          <w:szCs w:val="21"/>
        </w:rPr>
      </w:pPr>
      <w:r>
        <w:rPr>
          <w:rFonts w:hint="eastAsia"/>
          <w:sz w:val="21"/>
          <w:szCs w:val="21"/>
        </w:rPr>
        <w:t>2、基金招募说明书应当最大限度地披露影响基金投资者决策的全部事项，说明基金认购、申购和赎回安排、基金投资、基金产品特性、风险揭示、信息披露及基金份额持有人服务等内容。</w:t>
      </w:r>
    </w:p>
    <w:p>
      <w:pPr>
        <w:pStyle w:val="7"/>
        <w:spacing w:before="0" w:beforeAutospacing="0" w:after="0" w:afterAutospacing="0" w:line="360" w:lineRule="auto"/>
        <w:ind w:firstLine="420"/>
        <w:rPr>
          <w:sz w:val="21"/>
          <w:szCs w:val="21"/>
        </w:rPr>
      </w:pPr>
      <w:r>
        <w:rPr>
          <w:rFonts w:hint="eastAsia"/>
          <w:sz w:val="21"/>
          <w:szCs w:val="21"/>
        </w:rPr>
        <w:t>基金产品资料概要是基金招募说明书的摘要文件，用于向投资者提供简明的基金概要信息。基金管理人应当依照法律法规和中国证监会的规定编制、披露与更新基金产品资料概要。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w:t>
      </w:r>
    </w:p>
    <w:p>
      <w:pPr>
        <w:pStyle w:val="7"/>
        <w:spacing w:before="0" w:beforeAutospacing="0" w:after="0" w:afterAutospacing="0" w:line="360" w:lineRule="auto"/>
        <w:ind w:firstLine="420"/>
        <w:rPr>
          <w:sz w:val="21"/>
          <w:szCs w:val="21"/>
        </w:rPr>
      </w:pPr>
      <w:r>
        <w:rPr>
          <w:rFonts w:hint="eastAsia"/>
          <w:sz w:val="21"/>
          <w:szCs w:val="21"/>
        </w:rPr>
        <w:t>基金终止运作的，除基金合同另有约定外，基金管理人可以不再更新基金招募说明书和基金产品资料概要。</w:t>
      </w:r>
    </w:p>
    <w:p>
      <w:pPr>
        <w:pStyle w:val="7"/>
        <w:spacing w:before="0" w:beforeAutospacing="0" w:after="0" w:afterAutospacing="0" w:line="360" w:lineRule="auto"/>
        <w:ind w:firstLine="420"/>
        <w:rPr>
          <w:sz w:val="21"/>
          <w:szCs w:val="21"/>
        </w:rPr>
      </w:pPr>
      <w:r>
        <w:rPr>
          <w:rFonts w:hint="eastAsia"/>
          <w:sz w:val="21"/>
          <w:szCs w:val="21"/>
        </w:rPr>
        <w:t>3、基金托管协议是界定基金托管人和基金管理人在基金财产保管及基金运作监督等活动中的权利、义务关系的法律文件。</w:t>
      </w:r>
    </w:p>
    <w:p>
      <w:pPr>
        <w:pStyle w:val="7"/>
        <w:spacing w:before="0" w:beforeAutospacing="0" w:after="0" w:afterAutospacing="0" w:line="360" w:lineRule="auto"/>
        <w:ind w:firstLine="420"/>
        <w:rPr>
          <w:sz w:val="21"/>
          <w:szCs w:val="21"/>
        </w:rPr>
      </w:pPr>
      <w:r>
        <w:rPr>
          <w:rFonts w:hint="eastAsia"/>
          <w:sz w:val="21"/>
          <w:szCs w:val="21"/>
        </w:rPr>
        <w:t>4、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pPr>
        <w:pStyle w:val="7"/>
        <w:spacing w:before="0" w:beforeAutospacing="0" w:after="0" w:afterAutospacing="0" w:line="360" w:lineRule="auto"/>
        <w:ind w:firstLine="420"/>
        <w:rPr>
          <w:sz w:val="21"/>
          <w:szCs w:val="21"/>
        </w:rPr>
      </w:pPr>
      <w:r>
        <w:rPr>
          <w:rFonts w:hint="eastAsia"/>
          <w:sz w:val="21"/>
          <w:szCs w:val="21"/>
        </w:rPr>
        <w:t>（二）基金份额发售公告</w:t>
      </w:r>
    </w:p>
    <w:p>
      <w:pPr>
        <w:pStyle w:val="7"/>
        <w:spacing w:before="0" w:beforeAutospacing="0" w:after="0" w:afterAutospacing="0" w:line="360" w:lineRule="auto"/>
        <w:ind w:firstLine="420"/>
        <w:rPr>
          <w:sz w:val="21"/>
          <w:szCs w:val="21"/>
        </w:rPr>
      </w:pPr>
      <w:r>
        <w:rPr>
          <w:rFonts w:hint="eastAsia"/>
          <w:sz w:val="21"/>
          <w:szCs w:val="21"/>
        </w:rPr>
        <w:t>基金管理人应当就基金份额发售的具体事宜编制基金份额发售公告，并在披露招募说明书的当日登载于规定媒介上。</w:t>
      </w:r>
    </w:p>
    <w:p>
      <w:pPr>
        <w:pStyle w:val="7"/>
        <w:spacing w:before="0" w:beforeAutospacing="0" w:after="0" w:afterAutospacing="0" w:line="360" w:lineRule="auto"/>
        <w:ind w:firstLine="420"/>
        <w:rPr>
          <w:sz w:val="21"/>
          <w:szCs w:val="21"/>
        </w:rPr>
      </w:pPr>
      <w:r>
        <w:rPr>
          <w:rFonts w:hint="eastAsia"/>
          <w:sz w:val="21"/>
          <w:szCs w:val="21"/>
        </w:rPr>
        <w:t>（三）《基金合同》生效公告</w:t>
      </w:r>
    </w:p>
    <w:p>
      <w:pPr>
        <w:pStyle w:val="7"/>
        <w:spacing w:before="0" w:beforeAutospacing="0" w:after="0" w:afterAutospacing="0" w:line="360" w:lineRule="auto"/>
        <w:ind w:firstLine="420"/>
        <w:rPr>
          <w:sz w:val="21"/>
          <w:szCs w:val="21"/>
        </w:rPr>
      </w:pPr>
      <w:r>
        <w:rPr>
          <w:rFonts w:hint="eastAsia"/>
          <w:sz w:val="21"/>
          <w:szCs w:val="21"/>
        </w:rPr>
        <w:t>基金管理人应当在收到中国证监会确认文件的次日在规定报刊和规定网站上登载《基金合同》生效公告。</w:t>
      </w:r>
    </w:p>
    <w:p>
      <w:pPr>
        <w:pStyle w:val="7"/>
        <w:spacing w:before="0" w:beforeAutospacing="0" w:after="0" w:afterAutospacing="0" w:line="360" w:lineRule="auto"/>
        <w:ind w:firstLine="420"/>
        <w:rPr>
          <w:sz w:val="21"/>
          <w:szCs w:val="21"/>
        </w:rPr>
      </w:pPr>
      <w:r>
        <w:rPr>
          <w:rFonts w:hint="eastAsia"/>
          <w:sz w:val="21"/>
          <w:szCs w:val="21"/>
        </w:rPr>
        <w:t>（四）基金净值信息</w:t>
      </w:r>
    </w:p>
    <w:p>
      <w:pPr>
        <w:pStyle w:val="7"/>
        <w:spacing w:before="0" w:beforeAutospacing="0" w:after="0" w:afterAutospacing="0" w:line="360" w:lineRule="auto"/>
        <w:ind w:firstLine="420"/>
        <w:rPr>
          <w:sz w:val="21"/>
          <w:szCs w:val="21"/>
        </w:rPr>
      </w:pPr>
      <w:r>
        <w:rPr>
          <w:rFonts w:hint="eastAsia"/>
          <w:sz w:val="21"/>
          <w:szCs w:val="21"/>
        </w:rPr>
        <w:t>《基金合同》生效后，在开始办理基金份额申购或者赎回前，基金管理人应当至少每周在规定网站公告一次各类基金份额净值和各类基金份额累计净值。</w:t>
      </w:r>
    </w:p>
    <w:p>
      <w:pPr>
        <w:pStyle w:val="7"/>
        <w:spacing w:before="0" w:beforeAutospacing="0" w:after="0" w:afterAutospacing="0" w:line="360" w:lineRule="auto"/>
        <w:ind w:firstLine="420"/>
        <w:rPr>
          <w:sz w:val="21"/>
          <w:szCs w:val="21"/>
        </w:rPr>
      </w:pPr>
      <w:r>
        <w:rPr>
          <w:rFonts w:hint="eastAsia"/>
          <w:sz w:val="21"/>
          <w:szCs w:val="21"/>
        </w:rPr>
        <w:t>在开始办理基金份额申购或者赎回后，基金管理人应当在不晚于每个开放日的次日，通过规定网站、基金销售机构网站或者营业网点披露开放日的各类基金份额净值和各类基金份额累计净值。</w:t>
      </w:r>
    </w:p>
    <w:p>
      <w:pPr>
        <w:pStyle w:val="7"/>
        <w:spacing w:before="0" w:beforeAutospacing="0" w:after="0" w:afterAutospacing="0" w:line="360" w:lineRule="auto"/>
        <w:ind w:firstLine="420"/>
        <w:rPr>
          <w:sz w:val="21"/>
          <w:szCs w:val="21"/>
        </w:rPr>
      </w:pPr>
      <w:r>
        <w:rPr>
          <w:rFonts w:hint="eastAsia"/>
          <w:sz w:val="21"/>
          <w:szCs w:val="21"/>
        </w:rPr>
        <w:t>基金管理人应当在不晚于半年度和年度最后一日的次日， 在规定网站公告半年度和年度最后一日各类基金份额净值和各类基金份额累计净值。</w:t>
      </w:r>
    </w:p>
    <w:p>
      <w:pPr>
        <w:pStyle w:val="7"/>
        <w:spacing w:before="0" w:beforeAutospacing="0" w:after="0" w:afterAutospacing="0" w:line="360" w:lineRule="auto"/>
        <w:ind w:firstLine="420"/>
        <w:rPr>
          <w:sz w:val="21"/>
          <w:szCs w:val="21"/>
        </w:rPr>
      </w:pPr>
      <w:r>
        <w:rPr>
          <w:rFonts w:hint="eastAsia"/>
          <w:sz w:val="21"/>
          <w:szCs w:val="21"/>
        </w:rPr>
        <w:t>（五）基金份额申购、赎回价格</w:t>
      </w:r>
    </w:p>
    <w:p>
      <w:pPr>
        <w:pStyle w:val="7"/>
        <w:spacing w:before="0" w:beforeAutospacing="0" w:after="0" w:afterAutospacing="0" w:line="360" w:lineRule="auto"/>
        <w:ind w:firstLine="420"/>
        <w:rPr>
          <w:sz w:val="21"/>
          <w:szCs w:val="21"/>
        </w:rPr>
      </w:pPr>
      <w:r>
        <w:rPr>
          <w:rFonts w:hint="eastAsia"/>
          <w:sz w:val="21"/>
          <w:szCs w:val="21"/>
        </w:rPr>
        <w:t>基金管理人应当在《基金合同》、招募说明书等信息披露文件上载明基金份额申购、赎回价格的计算方式及有关申购、赎回费率，并保证投资者能够在基金销售机构网站或者营业网点查阅或者复制前述信息资料。</w:t>
      </w:r>
    </w:p>
    <w:p>
      <w:pPr>
        <w:pStyle w:val="7"/>
        <w:spacing w:before="0" w:beforeAutospacing="0" w:after="0" w:afterAutospacing="0" w:line="360" w:lineRule="auto"/>
        <w:ind w:firstLine="420"/>
        <w:rPr>
          <w:sz w:val="21"/>
          <w:szCs w:val="21"/>
        </w:rPr>
      </w:pPr>
      <w:r>
        <w:rPr>
          <w:rFonts w:hint="eastAsia"/>
          <w:sz w:val="21"/>
          <w:szCs w:val="21"/>
        </w:rPr>
        <w:t>（六）基金定期报告，包括基金年度报告、基金中期报告和基金季度报告（含资产组合季度报告）</w:t>
      </w:r>
    </w:p>
    <w:p>
      <w:pPr>
        <w:pStyle w:val="7"/>
        <w:spacing w:before="0" w:beforeAutospacing="0" w:after="0" w:afterAutospacing="0" w:line="360" w:lineRule="auto"/>
        <w:ind w:firstLine="420"/>
        <w:rPr>
          <w:sz w:val="21"/>
          <w:szCs w:val="21"/>
        </w:rPr>
      </w:pPr>
      <w:r>
        <w:rPr>
          <w:rFonts w:hint="eastAsia"/>
          <w:sz w:val="21"/>
          <w:szCs w:val="21"/>
        </w:rPr>
        <w:t>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w:t>
      </w:r>
    </w:p>
    <w:p>
      <w:pPr>
        <w:pStyle w:val="7"/>
        <w:spacing w:before="0" w:beforeAutospacing="0" w:after="0" w:afterAutospacing="0" w:line="360" w:lineRule="auto"/>
        <w:ind w:firstLine="420"/>
        <w:rPr>
          <w:sz w:val="21"/>
          <w:szCs w:val="21"/>
        </w:rPr>
      </w:pPr>
      <w:r>
        <w:rPr>
          <w:rFonts w:hint="eastAsia"/>
          <w:sz w:val="21"/>
          <w:szCs w:val="21"/>
        </w:rPr>
        <w:t>基金管理人应当在上半年结束之日起两个月内，编制完成基金中期报告，将中期报告登载在规定网站上，并将中期报告提示性公告登载在规定报刊上。</w:t>
      </w:r>
    </w:p>
    <w:p>
      <w:pPr>
        <w:pStyle w:val="7"/>
        <w:spacing w:before="0" w:beforeAutospacing="0" w:after="0" w:afterAutospacing="0" w:line="360" w:lineRule="auto"/>
        <w:ind w:firstLine="420"/>
        <w:rPr>
          <w:sz w:val="21"/>
          <w:szCs w:val="21"/>
        </w:rPr>
      </w:pPr>
      <w:r>
        <w:rPr>
          <w:rFonts w:hint="eastAsia"/>
          <w:sz w:val="21"/>
          <w:szCs w:val="21"/>
        </w:rPr>
        <w:t>基金管理人应当在季度结束之日起15个工作日内，编制完成基金季度报告，将季度报告登载在规定网站上，并将季度报告提示性公告登载在规定报刊上。</w:t>
      </w:r>
    </w:p>
    <w:p>
      <w:pPr>
        <w:pStyle w:val="7"/>
        <w:spacing w:before="0" w:beforeAutospacing="0" w:after="0" w:afterAutospacing="0" w:line="360" w:lineRule="auto"/>
        <w:ind w:firstLine="420"/>
        <w:rPr>
          <w:sz w:val="21"/>
          <w:szCs w:val="21"/>
        </w:rPr>
      </w:pPr>
      <w:r>
        <w:rPr>
          <w:rFonts w:hint="eastAsia"/>
          <w:sz w:val="21"/>
          <w:szCs w:val="21"/>
        </w:rPr>
        <w:t>《基金合同》生效不足2个月的，基金管理人可以不编制当期季度报告、中期报告或者年度报告。</w:t>
      </w:r>
    </w:p>
    <w:p>
      <w:pPr>
        <w:pStyle w:val="7"/>
        <w:spacing w:before="0" w:beforeAutospacing="0" w:after="0" w:afterAutospacing="0" w:line="360" w:lineRule="auto"/>
        <w:ind w:firstLine="420"/>
        <w:rPr>
          <w:sz w:val="21"/>
          <w:szCs w:val="21"/>
        </w:rPr>
      </w:pPr>
      <w:r>
        <w:rPr>
          <w:rFonts w:hint="eastAsia"/>
          <w:sz w:val="21"/>
          <w:szCs w:val="21"/>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pStyle w:val="7"/>
        <w:spacing w:before="0" w:beforeAutospacing="0" w:after="0" w:afterAutospacing="0" w:line="360" w:lineRule="auto"/>
        <w:ind w:firstLine="420"/>
        <w:rPr>
          <w:sz w:val="21"/>
          <w:szCs w:val="21"/>
        </w:rPr>
      </w:pPr>
      <w:r>
        <w:rPr>
          <w:rFonts w:hint="eastAsia"/>
          <w:sz w:val="21"/>
          <w:szCs w:val="21"/>
        </w:rPr>
        <w:t>基金管理人应当在基金年度报告和中期报告中披露基金组合资产情况及其流动性风险分析等。</w:t>
      </w:r>
    </w:p>
    <w:p>
      <w:pPr>
        <w:pStyle w:val="7"/>
        <w:spacing w:before="0" w:beforeAutospacing="0" w:after="0" w:afterAutospacing="0" w:line="360" w:lineRule="auto"/>
        <w:ind w:firstLine="420"/>
        <w:rPr>
          <w:sz w:val="21"/>
          <w:szCs w:val="21"/>
        </w:rPr>
      </w:pPr>
      <w:r>
        <w:rPr>
          <w:rFonts w:hint="eastAsia"/>
          <w:sz w:val="21"/>
          <w:szCs w:val="21"/>
        </w:rPr>
        <w:t>（七）临时报告</w:t>
      </w:r>
    </w:p>
    <w:p>
      <w:pPr>
        <w:pStyle w:val="7"/>
        <w:spacing w:before="0" w:beforeAutospacing="0" w:after="0" w:afterAutospacing="0" w:line="360" w:lineRule="auto"/>
        <w:ind w:firstLine="420"/>
        <w:rPr>
          <w:sz w:val="21"/>
          <w:szCs w:val="21"/>
        </w:rPr>
      </w:pPr>
      <w:r>
        <w:rPr>
          <w:rFonts w:hint="eastAsia"/>
          <w:sz w:val="21"/>
          <w:szCs w:val="21"/>
        </w:rPr>
        <w:t>本基金发生重大事件，有关信息披露义务人应当按规定编制临时报告书，并登载在规定报刊和规定网站上。</w:t>
      </w:r>
    </w:p>
    <w:p>
      <w:pPr>
        <w:pStyle w:val="7"/>
        <w:spacing w:before="0" w:beforeAutospacing="0" w:after="0" w:afterAutospacing="0" w:line="360" w:lineRule="auto"/>
        <w:ind w:firstLine="420"/>
        <w:rPr>
          <w:sz w:val="21"/>
          <w:szCs w:val="21"/>
        </w:rPr>
      </w:pPr>
      <w:r>
        <w:rPr>
          <w:rFonts w:hint="eastAsia"/>
          <w:sz w:val="21"/>
          <w:szCs w:val="21"/>
        </w:rPr>
        <w:t>前款所称重大事件，是指可能对基金份额持有人权益或者基金份额的价格产生重大影响的下列事件：</w:t>
      </w:r>
    </w:p>
    <w:p>
      <w:pPr>
        <w:pStyle w:val="7"/>
        <w:spacing w:before="0" w:beforeAutospacing="0" w:after="0" w:afterAutospacing="0" w:line="360" w:lineRule="auto"/>
        <w:ind w:firstLine="420"/>
        <w:rPr>
          <w:sz w:val="21"/>
          <w:szCs w:val="21"/>
        </w:rPr>
      </w:pPr>
      <w:r>
        <w:rPr>
          <w:rFonts w:hint="eastAsia"/>
          <w:sz w:val="21"/>
          <w:szCs w:val="21"/>
        </w:rPr>
        <w:t>1、基金份额持有人大会的召开及决定的事项；</w:t>
      </w:r>
    </w:p>
    <w:p>
      <w:pPr>
        <w:pStyle w:val="7"/>
        <w:spacing w:before="0" w:beforeAutospacing="0" w:after="0" w:afterAutospacing="0" w:line="360" w:lineRule="auto"/>
        <w:ind w:firstLine="420"/>
        <w:rPr>
          <w:sz w:val="21"/>
          <w:szCs w:val="21"/>
        </w:rPr>
      </w:pPr>
      <w:r>
        <w:rPr>
          <w:rFonts w:hint="eastAsia"/>
          <w:sz w:val="21"/>
          <w:szCs w:val="21"/>
        </w:rPr>
        <w:t>2、《基金合同》终止、基金清算；</w:t>
      </w:r>
    </w:p>
    <w:p>
      <w:pPr>
        <w:pStyle w:val="7"/>
        <w:spacing w:before="0" w:beforeAutospacing="0" w:after="0" w:afterAutospacing="0" w:line="360" w:lineRule="auto"/>
        <w:ind w:firstLine="420"/>
        <w:rPr>
          <w:sz w:val="21"/>
          <w:szCs w:val="21"/>
        </w:rPr>
      </w:pPr>
      <w:r>
        <w:rPr>
          <w:rFonts w:hint="eastAsia"/>
          <w:sz w:val="21"/>
          <w:szCs w:val="21"/>
        </w:rPr>
        <w:t>3、转换基金运作方式、基金合并；</w:t>
      </w:r>
    </w:p>
    <w:p>
      <w:pPr>
        <w:pStyle w:val="7"/>
        <w:spacing w:before="0" w:beforeAutospacing="0" w:after="0" w:afterAutospacing="0" w:line="360" w:lineRule="auto"/>
        <w:ind w:firstLine="420"/>
        <w:rPr>
          <w:sz w:val="21"/>
          <w:szCs w:val="21"/>
        </w:rPr>
      </w:pPr>
      <w:r>
        <w:rPr>
          <w:rFonts w:hint="eastAsia"/>
          <w:sz w:val="21"/>
          <w:szCs w:val="21"/>
        </w:rPr>
        <w:t>4、更换基金管理人、基金托管人；</w:t>
      </w:r>
    </w:p>
    <w:p>
      <w:pPr>
        <w:pStyle w:val="7"/>
        <w:spacing w:before="0" w:beforeAutospacing="0" w:after="0" w:afterAutospacing="0" w:line="360" w:lineRule="auto"/>
        <w:ind w:firstLine="420"/>
        <w:rPr>
          <w:sz w:val="21"/>
          <w:szCs w:val="21"/>
        </w:rPr>
      </w:pPr>
      <w:r>
        <w:rPr>
          <w:rFonts w:hint="eastAsia"/>
          <w:sz w:val="21"/>
          <w:szCs w:val="21"/>
        </w:rPr>
        <w:t>5、基金管理人委托基金服务机构代为办理基金的份额登记、核算、估值等事项，基金托管人委托基金服务机构代为办理基金的核算、估值、复核等事项；</w:t>
      </w:r>
    </w:p>
    <w:p>
      <w:pPr>
        <w:pStyle w:val="7"/>
        <w:spacing w:before="0" w:beforeAutospacing="0" w:after="0" w:afterAutospacing="0" w:line="360" w:lineRule="auto"/>
        <w:ind w:firstLine="420"/>
        <w:rPr>
          <w:sz w:val="21"/>
          <w:szCs w:val="21"/>
        </w:rPr>
      </w:pPr>
      <w:r>
        <w:rPr>
          <w:rFonts w:hint="eastAsia"/>
          <w:sz w:val="21"/>
          <w:szCs w:val="21"/>
        </w:rPr>
        <w:t>6、基金管理人、基金托管人的法定名称、住所发生变更；</w:t>
      </w:r>
    </w:p>
    <w:p>
      <w:pPr>
        <w:pStyle w:val="7"/>
        <w:spacing w:before="0" w:beforeAutospacing="0" w:after="0" w:afterAutospacing="0" w:line="360" w:lineRule="auto"/>
        <w:ind w:firstLine="420"/>
        <w:rPr>
          <w:sz w:val="21"/>
          <w:szCs w:val="21"/>
        </w:rPr>
      </w:pPr>
      <w:r>
        <w:rPr>
          <w:rFonts w:hint="eastAsia"/>
          <w:sz w:val="21"/>
          <w:szCs w:val="21"/>
        </w:rPr>
        <w:t>7、基金管理人变更持有百分之五以上股权的股东、变更基金管理人的实际控制人；</w:t>
      </w:r>
    </w:p>
    <w:p>
      <w:pPr>
        <w:pStyle w:val="7"/>
        <w:spacing w:before="0" w:beforeAutospacing="0" w:after="0" w:afterAutospacing="0" w:line="360" w:lineRule="auto"/>
        <w:ind w:firstLine="420"/>
        <w:rPr>
          <w:sz w:val="21"/>
          <w:szCs w:val="21"/>
        </w:rPr>
      </w:pPr>
      <w:r>
        <w:rPr>
          <w:rFonts w:hint="eastAsia"/>
          <w:sz w:val="21"/>
          <w:szCs w:val="21"/>
        </w:rPr>
        <w:t>8、基金募集期延长或提前结束募集；</w:t>
      </w:r>
    </w:p>
    <w:p>
      <w:pPr>
        <w:pStyle w:val="7"/>
        <w:spacing w:before="0" w:beforeAutospacing="0" w:after="0" w:afterAutospacing="0" w:line="360" w:lineRule="auto"/>
        <w:ind w:firstLine="420"/>
        <w:rPr>
          <w:sz w:val="21"/>
          <w:szCs w:val="21"/>
        </w:rPr>
      </w:pPr>
      <w:r>
        <w:rPr>
          <w:rFonts w:hint="eastAsia"/>
          <w:sz w:val="21"/>
          <w:szCs w:val="21"/>
        </w:rPr>
        <w:t>9、基金管理人高级管理人员、基金经理和基金托管人专门基金托管部门负责人发生变动；</w:t>
      </w:r>
    </w:p>
    <w:p>
      <w:pPr>
        <w:pStyle w:val="7"/>
        <w:spacing w:before="0" w:beforeAutospacing="0" w:after="0" w:afterAutospacing="0" w:line="360" w:lineRule="auto"/>
        <w:ind w:firstLine="420"/>
        <w:rPr>
          <w:sz w:val="21"/>
          <w:szCs w:val="21"/>
        </w:rPr>
      </w:pPr>
      <w:r>
        <w:rPr>
          <w:rFonts w:hint="eastAsia"/>
          <w:sz w:val="21"/>
          <w:szCs w:val="21"/>
        </w:rPr>
        <w:t>10、基金管理人的董事在最近12个月内变更超过百分之五十；</w:t>
      </w:r>
    </w:p>
    <w:p>
      <w:pPr>
        <w:pStyle w:val="7"/>
        <w:spacing w:before="0" w:beforeAutospacing="0" w:after="0" w:afterAutospacing="0" w:line="360" w:lineRule="auto"/>
        <w:ind w:firstLine="420"/>
        <w:rPr>
          <w:sz w:val="21"/>
          <w:szCs w:val="21"/>
        </w:rPr>
      </w:pPr>
      <w:r>
        <w:rPr>
          <w:rFonts w:hint="eastAsia"/>
          <w:sz w:val="21"/>
          <w:szCs w:val="21"/>
        </w:rPr>
        <w:t>11、基金管理人、基金托管人专门基金托管部门的主要业务人员在最近12个月内变动超过百分之三十；</w:t>
      </w:r>
    </w:p>
    <w:p>
      <w:pPr>
        <w:pStyle w:val="7"/>
        <w:spacing w:before="0" w:beforeAutospacing="0" w:after="0" w:afterAutospacing="0" w:line="360" w:lineRule="auto"/>
        <w:ind w:firstLine="420"/>
        <w:rPr>
          <w:sz w:val="21"/>
          <w:szCs w:val="21"/>
        </w:rPr>
      </w:pPr>
      <w:r>
        <w:rPr>
          <w:rFonts w:hint="eastAsia"/>
          <w:sz w:val="21"/>
          <w:szCs w:val="21"/>
        </w:rPr>
        <w:t>12、涉及基金管理业务、基金财产、基金托管业务的诉讼或仲裁； </w:t>
      </w:r>
    </w:p>
    <w:p>
      <w:pPr>
        <w:pStyle w:val="7"/>
        <w:spacing w:before="0" w:beforeAutospacing="0" w:after="0" w:afterAutospacing="0" w:line="360" w:lineRule="auto"/>
        <w:ind w:firstLine="420"/>
        <w:rPr>
          <w:sz w:val="21"/>
          <w:szCs w:val="21"/>
        </w:rPr>
      </w:pPr>
      <w:r>
        <w:rPr>
          <w:rFonts w:hint="eastAsia"/>
          <w:sz w:val="21"/>
          <w:szCs w:val="21"/>
        </w:rPr>
        <w:t>13、基金管理人或其高级管理人员、基金经理因基金管理业务相关行为受到重大行政处罚、刑事处罚，基金托管人或其专门基金托管部门负责人因基金托管业务相关行为受到重大行政处罚、刑事处罚；</w:t>
      </w:r>
    </w:p>
    <w:p>
      <w:pPr>
        <w:pStyle w:val="7"/>
        <w:spacing w:before="0" w:beforeAutospacing="0" w:after="0" w:afterAutospacing="0" w:line="360" w:lineRule="auto"/>
        <w:ind w:firstLine="420"/>
        <w:rPr>
          <w:sz w:val="21"/>
          <w:szCs w:val="21"/>
        </w:rPr>
      </w:pPr>
      <w:r>
        <w:rPr>
          <w:rFonts w:hint="eastAsia"/>
          <w:sz w:val="21"/>
          <w:szCs w:val="21"/>
        </w:rPr>
        <w:t>14、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pPr>
        <w:pStyle w:val="7"/>
        <w:spacing w:before="0" w:beforeAutospacing="0" w:after="0" w:afterAutospacing="0" w:line="360" w:lineRule="auto"/>
        <w:ind w:firstLine="420"/>
        <w:rPr>
          <w:sz w:val="21"/>
          <w:szCs w:val="21"/>
        </w:rPr>
      </w:pPr>
      <w:r>
        <w:rPr>
          <w:rFonts w:hint="eastAsia"/>
          <w:sz w:val="21"/>
          <w:szCs w:val="21"/>
        </w:rPr>
        <w:t>15、基金收益分配事项；</w:t>
      </w:r>
    </w:p>
    <w:p>
      <w:pPr>
        <w:pStyle w:val="7"/>
        <w:spacing w:before="0" w:beforeAutospacing="0" w:after="0" w:afterAutospacing="0" w:line="360" w:lineRule="auto"/>
        <w:ind w:firstLine="420"/>
        <w:rPr>
          <w:sz w:val="21"/>
          <w:szCs w:val="21"/>
        </w:rPr>
      </w:pPr>
      <w:r>
        <w:rPr>
          <w:rFonts w:hint="eastAsia"/>
          <w:sz w:val="21"/>
          <w:szCs w:val="21"/>
        </w:rPr>
        <w:t>16、管理费、托管费、销售服务费、申购费、赎回费等费用计提标准、计提方式和费率发生变更；</w:t>
      </w:r>
    </w:p>
    <w:p>
      <w:pPr>
        <w:pStyle w:val="7"/>
        <w:spacing w:before="0" w:beforeAutospacing="0" w:after="0" w:afterAutospacing="0" w:line="360" w:lineRule="auto"/>
        <w:ind w:firstLine="420"/>
        <w:rPr>
          <w:sz w:val="21"/>
          <w:szCs w:val="21"/>
        </w:rPr>
      </w:pPr>
      <w:r>
        <w:rPr>
          <w:rFonts w:hint="eastAsia"/>
          <w:sz w:val="21"/>
          <w:szCs w:val="21"/>
        </w:rPr>
        <w:t>17、任一类基金份额净值计价错误达该类基金份额净值百分之零点五；</w:t>
      </w:r>
    </w:p>
    <w:p>
      <w:pPr>
        <w:pStyle w:val="7"/>
        <w:spacing w:before="0" w:beforeAutospacing="0" w:after="0" w:afterAutospacing="0" w:line="360" w:lineRule="auto"/>
        <w:ind w:firstLine="420"/>
        <w:rPr>
          <w:sz w:val="21"/>
          <w:szCs w:val="21"/>
        </w:rPr>
      </w:pPr>
      <w:r>
        <w:rPr>
          <w:rFonts w:hint="eastAsia"/>
          <w:sz w:val="21"/>
          <w:szCs w:val="21"/>
        </w:rPr>
        <w:t>18、基金改聘会计师事务所；</w:t>
      </w:r>
    </w:p>
    <w:p>
      <w:pPr>
        <w:pStyle w:val="7"/>
        <w:spacing w:before="0" w:beforeAutospacing="0" w:after="0" w:afterAutospacing="0" w:line="360" w:lineRule="auto"/>
        <w:ind w:firstLine="420"/>
        <w:rPr>
          <w:sz w:val="21"/>
          <w:szCs w:val="21"/>
        </w:rPr>
      </w:pPr>
      <w:r>
        <w:rPr>
          <w:rFonts w:hint="eastAsia"/>
          <w:sz w:val="21"/>
          <w:szCs w:val="21"/>
        </w:rPr>
        <w:t>19、更换基金登记机构；</w:t>
      </w:r>
    </w:p>
    <w:p>
      <w:pPr>
        <w:pStyle w:val="7"/>
        <w:spacing w:before="0" w:beforeAutospacing="0" w:after="0" w:afterAutospacing="0" w:line="360" w:lineRule="auto"/>
        <w:ind w:firstLine="420"/>
        <w:rPr>
          <w:sz w:val="21"/>
          <w:szCs w:val="21"/>
        </w:rPr>
      </w:pPr>
      <w:r>
        <w:rPr>
          <w:rFonts w:hint="eastAsia"/>
          <w:sz w:val="21"/>
          <w:szCs w:val="21"/>
        </w:rPr>
        <w:t>20、本基金开始办理申购、赎回；</w:t>
      </w:r>
    </w:p>
    <w:p>
      <w:pPr>
        <w:pStyle w:val="7"/>
        <w:spacing w:before="0" w:beforeAutospacing="0" w:after="0" w:afterAutospacing="0" w:line="360" w:lineRule="auto"/>
        <w:ind w:firstLine="420"/>
        <w:rPr>
          <w:sz w:val="21"/>
          <w:szCs w:val="21"/>
        </w:rPr>
      </w:pPr>
      <w:r>
        <w:rPr>
          <w:rFonts w:hint="eastAsia"/>
          <w:sz w:val="21"/>
          <w:szCs w:val="21"/>
        </w:rPr>
        <w:t>21、本基金发生巨额赎回并延期办理；</w:t>
      </w:r>
    </w:p>
    <w:p>
      <w:pPr>
        <w:pStyle w:val="7"/>
        <w:spacing w:before="0" w:beforeAutospacing="0" w:after="0" w:afterAutospacing="0" w:line="360" w:lineRule="auto"/>
        <w:ind w:firstLine="420"/>
        <w:rPr>
          <w:sz w:val="21"/>
          <w:szCs w:val="21"/>
        </w:rPr>
      </w:pPr>
      <w:r>
        <w:rPr>
          <w:rFonts w:hint="eastAsia"/>
          <w:sz w:val="21"/>
          <w:szCs w:val="21"/>
        </w:rPr>
        <w:t>22、本基金连续发生巨额赎回并暂停接受赎回申请或延缓支付赎回款项；</w:t>
      </w:r>
    </w:p>
    <w:p>
      <w:pPr>
        <w:pStyle w:val="7"/>
        <w:spacing w:before="0" w:beforeAutospacing="0" w:after="0" w:afterAutospacing="0" w:line="360" w:lineRule="auto"/>
        <w:ind w:firstLine="420"/>
        <w:rPr>
          <w:sz w:val="21"/>
          <w:szCs w:val="21"/>
        </w:rPr>
      </w:pPr>
      <w:r>
        <w:rPr>
          <w:rFonts w:hint="eastAsia"/>
          <w:sz w:val="21"/>
          <w:szCs w:val="21"/>
        </w:rPr>
        <w:t>23、本基金暂停接受申购、赎回申请或重新接受申购、赎回申请；</w:t>
      </w:r>
    </w:p>
    <w:p>
      <w:pPr>
        <w:pStyle w:val="7"/>
        <w:spacing w:before="0" w:beforeAutospacing="0" w:after="0" w:afterAutospacing="0" w:line="360" w:lineRule="auto"/>
        <w:ind w:firstLine="420"/>
        <w:rPr>
          <w:sz w:val="21"/>
          <w:szCs w:val="21"/>
        </w:rPr>
      </w:pPr>
      <w:r>
        <w:rPr>
          <w:rFonts w:hint="eastAsia"/>
          <w:sz w:val="21"/>
          <w:szCs w:val="21"/>
        </w:rPr>
        <w:t>24、发生涉及基金申购、赎回事项调整或潜在影响投资者赎回等重大事项时；</w:t>
      </w:r>
    </w:p>
    <w:p>
      <w:pPr>
        <w:pStyle w:val="7"/>
        <w:spacing w:before="0" w:beforeAutospacing="0" w:after="0" w:afterAutospacing="0" w:line="360" w:lineRule="auto"/>
        <w:ind w:firstLine="420"/>
        <w:rPr>
          <w:sz w:val="21"/>
          <w:szCs w:val="21"/>
        </w:rPr>
      </w:pPr>
      <w:r>
        <w:rPr>
          <w:rFonts w:hint="eastAsia"/>
          <w:sz w:val="21"/>
          <w:szCs w:val="21"/>
        </w:rPr>
        <w:t>25、基金管理人采用摆动定价机制进行估值；</w:t>
      </w:r>
    </w:p>
    <w:p>
      <w:pPr>
        <w:pStyle w:val="7"/>
        <w:spacing w:before="0" w:beforeAutospacing="0" w:after="0" w:afterAutospacing="0" w:line="360" w:lineRule="auto"/>
        <w:ind w:firstLine="420"/>
        <w:rPr>
          <w:sz w:val="21"/>
          <w:szCs w:val="21"/>
        </w:rPr>
      </w:pPr>
      <w:r>
        <w:rPr>
          <w:rFonts w:hint="eastAsia"/>
          <w:sz w:val="21"/>
          <w:szCs w:val="21"/>
        </w:rPr>
        <w:t>26、调整基金份额类别的设置；</w:t>
      </w:r>
    </w:p>
    <w:p>
      <w:pPr>
        <w:pStyle w:val="7"/>
        <w:spacing w:before="0" w:beforeAutospacing="0" w:after="0" w:afterAutospacing="0" w:line="360" w:lineRule="auto"/>
        <w:ind w:firstLine="420"/>
        <w:rPr>
          <w:sz w:val="21"/>
          <w:szCs w:val="21"/>
        </w:rPr>
      </w:pPr>
      <w:r>
        <w:rPr>
          <w:rFonts w:hint="eastAsia"/>
          <w:sz w:val="21"/>
          <w:szCs w:val="21"/>
        </w:rPr>
        <w:t>27、基金推出新业务或服务；</w:t>
      </w:r>
    </w:p>
    <w:p>
      <w:pPr>
        <w:pStyle w:val="7"/>
        <w:spacing w:before="0" w:beforeAutospacing="0" w:after="0" w:afterAutospacing="0" w:line="360" w:lineRule="auto"/>
        <w:ind w:firstLine="420"/>
        <w:rPr>
          <w:sz w:val="21"/>
          <w:szCs w:val="21"/>
        </w:rPr>
      </w:pPr>
      <w:r>
        <w:rPr>
          <w:rFonts w:hint="eastAsia"/>
          <w:sz w:val="21"/>
          <w:szCs w:val="21"/>
        </w:rPr>
        <w:t>28、《基金合同》生效三年后继续存续的，连续30个工作日、40个工作日及45个工作日出现基金份额持有人数量不满二百人或者基金资产净值低于五千万元情形的；</w:t>
      </w:r>
    </w:p>
    <w:p>
      <w:pPr>
        <w:pStyle w:val="7"/>
        <w:spacing w:before="0" w:beforeAutospacing="0" w:after="0" w:afterAutospacing="0" w:line="360" w:lineRule="auto"/>
        <w:ind w:firstLine="420"/>
        <w:rPr>
          <w:sz w:val="21"/>
          <w:szCs w:val="21"/>
        </w:rPr>
      </w:pPr>
      <w:r>
        <w:rPr>
          <w:rFonts w:hint="eastAsia"/>
          <w:sz w:val="21"/>
          <w:szCs w:val="21"/>
        </w:rPr>
        <w:t>29、基金信息披露义务人认为可能对基金份额持有人权益或者基金份额的价格产生重大影响的其他事项或中国证监会规定的和基金合同约定的其他事项。</w:t>
      </w:r>
    </w:p>
    <w:p>
      <w:pPr>
        <w:pStyle w:val="7"/>
        <w:spacing w:before="0" w:beforeAutospacing="0" w:after="0" w:afterAutospacing="0" w:line="360" w:lineRule="auto"/>
        <w:ind w:firstLine="420"/>
        <w:rPr>
          <w:sz w:val="21"/>
          <w:szCs w:val="21"/>
        </w:rPr>
      </w:pPr>
      <w:r>
        <w:rPr>
          <w:rFonts w:hint="eastAsia"/>
          <w:sz w:val="21"/>
          <w:szCs w:val="21"/>
        </w:rPr>
        <w:t>（八）澄清公告</w:t>
      </w:r>
    </w:p>
    <w:p>
      <w:pPr>
        <w:pStyle w:val="7"/>
        <w:spacing w:before="0" w:beforeAutospacing="0" w:after="0" w:afterAutospacing="0" w:line="360" w:lineRule="auto"/>
        <w:ind w:firstLine="420"/>
        <w:rPr>
          <w:sz w:val="21"/>
          <w:szCs w:val="21"/>
        </w:rPr>
      </w:pPr>
      <w:r>
        <w:rPr>
          <w:rFonts w:hint="eastAsia"/>
          <w:sz w:val="21"/>
          <w:szCs w:val="21"/>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pPr>
        <w:pStyle w:val="7"/>
        <w:spacing w:before="0" w:beforeAutospacing="0" w:after="0" w:afterAutospacing="0" w:line="360" w:lineRule="auto"/>
        <w:ind w:firstLine="420"/>
        <w:rPr>
          <w:sz w:val="21"/>
          <w:szCs w:val="21"/>
        </w:rPr>
      </w:pPr>
      <w:r>
        <w:rPr>
          <w:rFonts w:hint="eastAsia"/>
          <w:sz w:val="21"/>
          <w:szCs w:val="21"/>
        </w:rPr>
        <w:t>（九）清算报告</w:t>
      </w:r>
    </w:p>
    <w:p>
      <w:pPr>
        <w:pStyle w:val="7"/>
        <w:spacing w:before="0" w:beforeAutospacing="0" w:after="0" w:afterAutospacing="0" w:line="360" w:lineRule="auto"/>
        <w:ind w:firstLine="420"/>
        <w:rPr>
          <w:sz w:val="21"/>
          <w:szCs w:val="21"/>
        </w:rPr>
      </w:pPr>
      <w:r>
        <w:rPr>
          <w:rFonts w:hint="eastAsia"/>
          <w:sz w:val="21"/>
          <w:szCs w:val="21"/>
        </w:rPr>
        <w:t>基金终止运作的，基金管理人应当依法组织基金财产清算小组对基金财产进行清算并作出清算报告。基金财产清算小组应当将清算报告登载在规定网站上，并将清算报告提示性公告登载在规定报刊上。</w:t>
      </w:r>
    </w:p>
    <w:p>
      <w:pPr>
        <w:pStyle w:val="7"/>
        <w:spacing w:before="0" w:beforeAutospacing="0" w:after="0" w:afterAutospacing="0" w:line="360" w:lineRule="auto"/>
        <w:ind w:firstLine="420"/>
        <w:rPr>
          <w:sz w:val="21"/>
          <w:szCs w:val="21"/>
        </w:rPr>
      </w:pPr>
      <w:r>
        <w:rPr>
          <w:rFonts w:hint="eastAsia"/>
          <w:sz w:val="21"/>
          <w:szCs w:val="21"/>
        </w:rPr>
        <w:t>（十）基金份额持有人大会决议</w:t>
      </w:r>
    </w:p>
    <w:p>
      <w:pPr>
        <w:pStyle w:val="7"/>
        <w:spacing w:before="0" w:beforeAutospacing="0" w:after="0" w:afterAutospacing="0" w:line="360" w:lineRule="auto"/>
        <w:ind w:firstLine="420"/>
        <w:rPr>
          <w:sz w:val="21"/>
          <w:szCs w:val="21"/>
        </w:rPr>
      </w:pPr>
      <w:r>
        <w:rPr>
          <w:rFonts w:hint="eastAsia"/>
          <w:sz w:val="21"/>
          <w:szCs w:val="21"/>
        </w:rPr>
        <w:t>基金份额持有人大会决定的事项，应当依法报中国证监会备案，并予以公告。</w:t>
      </w:r>
    </w:p>
    <w:p>
      <w:pPr>
        <w:pStyle w:val="7"/>
        <w:spacing w:before="0" w:beforeAutospacing="0" w:after="0" w:afterAutospacing="0" w:line="360" w:lineRule="auto"/>
        <w:ind w:firstLine="420"/>
        <w:rPr>
          <w:sz w:val="21"/>
          <w:szCs w:val="21"/>
        </w:rPr>
      </w:pPr>
      <w:r>
        <w:rPr>
          <w:rFonts w:hint="eastAsia"/>
          <w:sz w:val="21"/>
          <w:szCs w:val="21"/>
        </w:rPr>
        <w:t>（十一）投资股指期货、国债期货、股票期权的信息披露</w:t>
      </w:r>
    </w:p>
    <w:p>
      <w:pPr>
        <w:pStyle w:val="7"/>
        <w:spacing w:before="0" w:beforeAutospacing="0" w:after="0" w:afterAutospacing="0" w:line="360" w:lineRule="auto"/>
        <w:ind w:firstLine="420"/>
        <w:rPr>
          <w:sz w:val="21"/>
          <w:szCs w:val="21"/>
        </w:rPr>
      </w:pPr>
      <w:r>
        <w:rPr>
          <w:rFonts w:hint="eastAsia"/>
          <w:sz w:val="21"/>
          <w:szCs w:val="21"/>
        </w:rPr>
        <w:t>基金管理人应当在基金季度报告、基金中期报告、基金年度报告等定期报告和招募说明书（更新）等文件中披露股指期货、国债期货、股票期权交易情况，包括交易政策、持仓情况、损益情况、风险指标等，并充分揭示股指期货、国债期货、股票期权交易对基金总体风险的影响以及是否符合既定的投资政策和投资目标等。</w:t>
      </w:r>
    </w:p>
    <w:p>
      <w:pPr>
        <w:pStyle w:val="7"/>
        <w:spacing w:before="0" w:beforeAutospacing="0" w:after="0" w:afterAutospacing="0" w:line="360" w:lineRule="auto"/>
        <w:ind w:firstLine="420"/>
        <w:rPr>
          <w:sz w:val="21"/>
          <w:szCs w:val="21"/>
        </w:rPr>
      </w:pPr>
      <w:r>
        <w:rPr>
          <w:rFonts w:hint="eastAsia"/>
          <w:sz w:val="21"/>
          <w:szCs w:val="21"/>
        </w:rPr>
        <w:t>（十二）投资资产支持证券的信息披露</w:t>
      </w:r>
    </w:p>
    <w:p>
      <w:pPr>
        <w:pStyle w:val="7"/>
        <w:spacing w:before="0" w:beforeAutospacing="0" w:after="0" w:afterAutospacing="0" w:line="360" w:lineRule="auto"/>
        <w:ind w:firstLine="420"/>
        <w:rPr>
          <w:sz w:val="21"/>
          <w:szCs w:val="21"/>
        </w:rPr>
      </w:pPr>
      <w:r>
        <w:rPr>
          <w:rFonts w:hint="eastAsia"/>
          <w:sz w:val="21"/>
          <w:szCs w:val="21"/>
        </w:rPr>
        <w:t>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pStyle w:val="7"/>
        <w:spacing w:before="0" w:beforeAutospacing="0" w:after="0" w:afterAutospacing="0" w:line="360" w:lineRule="auto"/>
        <w:ind w:firstLine="420"/>
        <w:rPr>
          <w:sz w:val="21"/>
          <w:szCs w:val="21"/>
        </w:rPr>
      </w:pPr>
      <w:r>
        <w:rPr>
          <w:rFonts w:hint="eastAsia"/>
          <w:sz w:val="21"/>
          <w:szCs w:val="21"/>
        </w:rPr>
        <w:t>（十三）投资港股通标的股票的信息披露</w:t>
      </w:r>
    </w:p>
    <w:p>
      <w:pPr>
        <w:pStyle w:val="7"/>
        <w:spacing w:before="0" w:beforeAutospacing="0" w:after="0" w:afterAutospacing="0" w:line="360" w:lineRule="auto"/>
        <w:ind w:firstLine="420"/>
        <w:rPr>
          <w:sz w:val="21"/>
          <w:szCs w:val="21"/>
        </w:rPr>
      </w:pPr>
      <w:r>
        <w:rPr>
          <w:rFonts w:hint="eastAsia"/>
          <w:sz w:val="21"/>
          <w:szCs w:val="21"/>
        </w:rPr>
        <w:t>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w:t>
      </w:r>
    </w:p>
    <w:p>
      <w:pPr>
        <w:pStyle w:val="7"/>
        <w:spacing w:before="0" w:beforeAutospacing="0" w:after="0" w:afterAutospacing="0" w:line="360" w:lineRule="auto"/>
        <w:ind w:firstLine="420"/>
        <w:rPr>
          <w:sz w:val="21"/>
          <w:szCs w:val="21"/>
        </w:rPr>
      </w:pPr>
      <w:r>
        <w:rPr>
          <w:rFonts w:hint="eastAsia"/>
          <w:sz w:val="21"/>
          <w:szCs w:val="21"/>
        </w:rPr>
        <w:t>（十四）投资非公开发行股票的信息披露</w:t>
      </w:r>
    </w:p>
    <w:p>
      <w:pPr>
        <w:pStyle w:val="7"/>
        <w:spacing w:before="0" w:beforeAutospacing="0" w:after="0" w:afterAutospacing="0" w:line="360" w:lineRule="auto"/>
        <w:ind w:firstLine="420"/>
        <w:rPr>
          <w:sz w:val="21"/>
          <w:szCs w:val="21"/>
        </w:rPr>
      </w:pPr>
      <w:r>
        <w:rPr>
          <w:rFonts w:hint="eastAsia"/>
          <w:sz w:val="21"/>
          <w:szCs w:val="21"/>
        </w:rPr>
        <w:t>基金管理人应在基金投资非公开发行股票后两个交易日内，在中国证监会规定媒介披露所投资非公开发行股票的名称、数量、总成本、账面价值，以及总成本和账面价值占基金资产净值的比例、锁定期等信息。</w:t>
      </w:r>
    </w:p>
    <w:p>
      <w:pPr>
        <w:pStyle w:val="7"/>
        <w:spacing w:before="0" w:beforeAutospacing="0" w:after="0" w:afterAutospacing="0" w:line="360" w:lineRule="auto"/>
        <w:ind w:firstLine="420"/>
        <w:rPr>
          <w:sz w:val="21"/>
          <w:szCs w:val="21"/>
        </w:rPr>
      </w:pPr>
      <w:r>
        <w:rPr>
          <w:rFonts w:hint="eastAsia"/>
          <w:sz w:val="21"/>
          <w:szCs w:val="21"/>
        </w:rPr>
        <w:t>（十五）参与融资和转融通证券出借业务的信息披露</w:t>
      </w:r>
    </w:p>
    <w:p>
      <w:pPr>
        <w:pStyle w:val="7"/>
        <w:spacing w:before="0" w:beforeAutospacing="0" w:after="0" w:afterAutospacing="0" w:line="360" w:lineRule="auto"/>
        <w:ind w:firstLine="420"/>
        <w:rPr>
          <w:sz w:val="21"/>
          <w:szCs w:val="21"/>
        </w:rPr>
      </w:pPr>
      <w:r>
        <w:rPr>
          <w:rFonts w:hint="eastAsia"/>
          <w:sz w:val="21"/>
          <w:szCs w:val="21"/>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pPr>
        <w:pStyle w:val="7"/>
        <w:spacing w:before="0" w:beforeAutospacing="0" w:after="0" w:afterAutospacing="0" w:line="360" w:lineRule="auto"/>
        <w:ind w:firstLine="420"/>
        <w:rPr>
          <w:sz w:val="21"/>
          <w:szCs w:val="21"/>
        </w:rPr>
      </w:pPr>
      <w:r>
        <w:rPr>
          <w:rFonts w:hint="eastAsia"/>
          <w:sz w:val="21"/>
          <w:szCs w:val="21"/>
        </w:rPr>
        <w:t>本基金参与转融通证券出借业务的，基金管理人应当在基金定期报告等文件中就报告期内发生的重大关联交易事项做详细说明。</w:t>
      </w:r>
    </w:p>
    <w:p>
      <w:pPr>
        <w:pStyle w:val="7"/>
        <w:spacing w:before="0" w:beforeAutospacing="0" w:after="0" w:afterAutospacing="0" w:line="360" w:lineRule="auto"/>
        <w:ind w:firstLine="420"/>
        <w:rPr>
          <w:sz w:val="21"/>
          <w:szCs w:val="21"/>
        </w:rPr>
      </w:pPr>
      <w:r>
        <w:rPr>
          <w:rFonts w:hint="eastAsia"/>
          <w:sz w:val="21"/>
          <w:szCs w:val="21"/>
        </w:rPr>
        <w:t>未来在法律法规允许的前提下，本基金可依据法律法规的相关规定参与融券业务，并相应履行信披义务。</w:t>
      </w:r>
    </w:p>
    <w:p>
      <w:pPr>
        <w:pStyle w:val="7"/>
        <w:spacing w:before="0" w:beforeAutospacing="0" w:after="0" w:afterAutospacing="0" w:line="360" w:lineRule="auto"/>
        <w:ind w:firstLine="420"/>
        <w:rPr>
          <w:sz w:val="21"/>
          <w:szCs w:val="21"/>
        </w:rPr>
      </w:pPr>
      <w:r>
        <w:rPr>
          <w:rFonts w:hint="eastAsia"/>
          <w:sz w:val="21"/>
          <w:szCs w:val="21"/>
        </w:rPr>
        <w:t>（十六）实施侧袋机制期间的信息披露</w:t>
      </w:r>
    </w:p>
    <w:p>
      <w:pPr>
        <w:pStyle w:val="7"/>
        <w:spacing w:before="0" w:beforeAutospacing="0" w:after="0" w:afterAutospacing="0" w:line="360" w:lineRule="auto"/>
        <w:ind w:firstLine="420"/>
        <w:rPr>
          <w:sz w:val="21"/>
          <w:szCs w:val="21"/>
        </w:rPr>
      </w:pPr>
      <w:r>
        <w:rPr>
          <w:rFonts w:hint="eastAsia"/>
          <w:sz w:val="21"/>
          <w:szCs w:val="21"/>
        </w:rPr>
        <w:t>本基金实施侧袋机制的，相关信息披露义务人应当根据法律法规、基金合同和招募说明书的规定进行信息披露，详见招募说明书“侧袋机制”部分的规定。</w:t>
      </w:r>
    </w:p>
    <w:p>
      <w:pPr>
        <w:pStyle w:val="7"/>
        <w:spacing w:before="0" w:beforeAutospacing="0" w:after="0" w:afterAutospacing="0" w:line="360" w:lineRule="auto"/>
        <w:ind w:firstLine="420"/>
        <w:rPr>
          <w:sz w:val="21"/>
          <w:szCs w:val="21"/>
        </w:rPr>
      </w:pPr>
      <w:r>
        <w:rPr>
          <w:rFonts w:hint="eastAsia"/>
          <w:sz w:val="21"/>
          <w:szCs w:val="21"/>
        </w:rPr>
        <w:t>（十七）发起资金认购份额报告</w:t>
      </w:r>
    </w:p>
    <w:p>
      <w:pPr>
        <w:pStyle w:val="7"/>
        <w:spacing w:before="0" w:beforeAutospacing="0" w:after="0" w:afterAutospacing="0" w:line="360" w:lineRule="auto"/>
        <w:ind w:firstLine="420"/>
        <w:rPr>
          <w:sz w:val="21"/>
          <w:szCs w:val="21"/>
        </w:rPr>
      </w:pPr>
      <w:r>
        <w:rPr>
          <w:rFonts w:hint="eastAsia"/>
          <w:sz w:val="21"/>
          <w:szCs w:val="21"/>
        </w:rPr>
        <w:t>基金管理人应当按照相关法律法规的规定，在基金合同生效公告、基金年度报告、中期报告、季度报告中分别披露基金管理人固有资金、基金管理人股东、基金管理人高级管理人员或基金经理等持有基金的份额、期限及期间的变动情况。</w:t>
      </w:r>
    </w:p>
    <w:p>
      <w:pPr>
        <w:pStyle w:val="7"/>
        <w:spacing w:before="0" w:beforeAutospacing="0" w:after="0" w:afterAutospacing="0" w:line="360" w:lineRule="auto"/>
        <w:ind w:firstLine="420"/>
        <w:rPr>
          <w:sz w:val="21"/>
          <w:szCs w:val="21"/>
        </w:rPr>
      </w:pPr>
      <w:r>
        <w:rPr>
          <w:rFonts w:hint="eastAsia"/>
          <w:sz w:val="21"/>
          <w:szCs w:val="21"/>
        </w:rPr>
        <w:t>（十八）中国证监会规定的其他信息</w:t>
      </w:r>
    </w:p>
    <w:p>
      <w:pPr>
        <w:pStyle w:val="7"/>
        <w:spacing w:before="0" w:beforeAutospacing="0" w:after="0" w:afterAutospacing="0" w:line="360" w:lineRule="auto"/>
        <w:ind w:firstLine="420"/>
        <w:rPr>
          <w:sz w:val="21"/>
          <w:szCs w:val="21"/>
        </w:rPr>
      </w:pPr>
      <w:r>
        <w:rPr>
          <w:rStyle w:val="11"/>
          <w:rFonts w:hint="eastAsia"/>
          <w:sz w:val="21"/>
          <w:szCs w:val="21"/>
        </w:rPr>
        <w:t>六、信息披露事务管理</w:t>
      </w:r>
    </w:p>
    <w:p>
      <w:pPr>
        <w:pStyle w:val="7"/>
        <w:spacing w:before="0" w:beforeAutospacing="0" w:after="0" w:afterAutospacing="0" w:line="360" w:lineRule="auto"/>
        <w:ind w:firstLine="420"/>
        <w:rPr>
          <w:sz w:val="21"/>
          <w:szCs w:val="21"/>
        </w:rPr>
      </w:pPr>
      <w:r>
        <w:rPr>
          <w:rFonts w:hint="eastAsia"/>
          <w:sz w:val="21"/>
          <w:szCs w:val="21"/>
        </w:rPr>
        <w:t>基金管理人、基金托管人应当建立健全信息披露管理制度，指定专门部门及高级管理人员负责管理信息披露事务。</w:t>
      </w:r>
    </w:p>
    <w:p>
      <w:pPr>
        <w:pStyle w:val="7"/>
        <w:spacing w:before="0" w:beforeAutospacing="0" w:after="0" w:afterAutospacing="0" w:line="360" w:lineRule="auto"/>
        <w:ind w:firstLine="420"/>
        <w:rPr>
          <w:sz w:val="21"/>
          <w:szCs w:val="21"/>
        </w:rPr>
      </w:pPr>
      <w:r>
        <w:rPr>
          <w:rFonts w:hint="eastAsia"/>
          <w:sz w:val="21"/>
          <w:szCs w:val="21"/>
        </w:rPr>
        <w:t>基金信息披露义务人公开披露基金信息，应当符合中国证监会相关基金信息披露内容与格式准则等法规的规定。</w:t>
      </w:r>
    </w:p>
    <w:p>
      <w:pPr>
        <w:pStyle w:val="7"/>
        <w:spacing w:before="0" w:beforeAutospacing="0" w:after="0" w:afterAutospacing="0" w:line="360" w:lineRule="auto"/>
        <w:ind w:firstLine="420"/>
        <w:rPr>
          <w:sz w:val="21"/>
          <w:szCs w:val="21"/>
        </w:rPr>
      </w:pPr>
      <w:r>
        <w:rPr>
          <w:rFonts w:hint="eastAsia"/>
          <w:sz w:val="21"/>
          <w:szCs w:val="21"/>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pPr>
        <w:pStyle w:val="7"/>
        <w:spacing w:before="0" w:beforeAutospacing="0" w:after="0" w:afterAutospacing="0" w:line="360" w:lineRule="auto"/>
        <w:ind w:firstLine="420"/>
        <w:rPr>
          <w:sz w:val="21"/>
          <w:szCs w:val="21"/>
        </w:rPr>
      </w:pPr>
      <w:r>
        <w:rPr>
          <w:rFonts w:hint="eastAsia"/>
          <w:sz w:val="21"/>
          <w:szCs w:val="21"/>
        </w:rPr>
        <w:t>基金管理人、基金托管人应当在规定媒介中选择披露信息的媒介。</w:t>
      </w:r>
    </w:p>
    <w:p>
      <w:pPr>
        <w:pStyle w:val="7"/>
        <w:spacing w:before="0" w:beforeAutospacing="0" w:after="0" w:afterAutospacing="0" w:line="360" w:lineRule="auto"/>
        <w:ind w:firstLine="420"/>
        <w:rPr>
          <w:sz w:val="21"/>
          <w:szCs w:val="21"/>
        </w:rPr>
      </w:pPr>
      <w:r>
        <w:rPr>
          <w:rFonts w:hint="eastAsia"/>
          <w:sz w:val="21"/>
          <w:szCs w:val="21"/>
        </w:rPr>
        <w:t>基金管理人、基金托管人应当向中国证监会基金电子披露网站报送拟披露的基金信息，并保证相关报送信息的真实、准确、完整、及时。</w:t>
      </w:r>
    </w:p>
    <w:p>
      <w:pPr>
        <w:pStyle w:val="7"/>
        <w:spacing w:before="0" w:beforeAutospacing="0" w:after="0" w:afterAutospacing="0" w:line="360" w:lineRule="auto"/>
        <w:ind w:firstLine="420"/>
        <w:rPr>
          <w:sz w:val="21"/>
          <w:szCs w:val="21"/>
        </w:rPr>
      </w:pPr>
      <w:r>
        <w:rPr>
          <w:rFonts w:hint="eastAsia"/>
          <w:sz w:val="21"/>
          <w:szCs w:val="21"/>
        </w:rPr>
        <w:t>基金管理人、基金托管人除依法在规定媒介上披露信息外，还可以根据需要在其他公共媒介披露信息，但是其他公共媒介不得早于规定媒介披露信息，并且在不同媒介上披露同一信息的内容应当一致。</w:t>
      </w:r>
    </w:p>
    <w:p>
      <w:pPr>
        <w:pStyle w:val="7"/>
        <w:spacing w:before="0" w:beforeAutospacing="0" w:after="0" w:afterAutospacing="0" w:line="360" w:lineRule="auto"/>
        <w:ind w:firstLine="420"/>
        <w:rPr>
          <w:sz w:val="21"/>
          <w:szCs w:val="21"/>
        </w:rPr>
      </w:pPr>
      <w:r>
        <w:rPr>
          <w:rFonts w:hint="eastAsia"/>
          <w:sz w:val="21"/>
          <w:szCs w:val="21"/>
        </w:rPr>
        <w:t>为基金信息披露义务人公开披露的基金信息出具审计报告、法律意见书的专业机构，应当制作工作底稿，并将相关档案至少保存到《基金合同》终止后10年。</w:t>
      </w:r>
    </w:p>
    <w:p>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pPr>
        <w:pStyle w:val="7"/>
        <w:spacing w:before="0" w:beforeAutospacing="0" w:after="0" w:afterAutospacing="0" w:line="360" w:lineRule="auto"/>
        <w:ind w:firstLine="420"/>
        <w:rPr>
          <w:sz w:val="21"/>
          <w:szCs w:val="21"/>
        </w:rPr>
      </w:pPr>
      <w:r>
        <w:rPr>
          <w:rFonts w:hint="eastAsia"/>
          <w:sz w:val="21"/>
          <w:szCs w:val="21"/>
        </w:rPr>
        <w:t>依法必须披露的信息发布后，基金管理人、基金托管人应当按照相关法律法规规定将信息置备于公司住所，以供社会公众查阅、复制。</w:t>
      </w:r>
    </w:p>
    <w:p>
      <w:pPr>
        <w:pStyle w:val="7"/>
        <w:spacing w:before="0" w:beforeAutospacing="0" w:after="0" w:afterAutospacing="0" w:line="360" w:lineRule="auto"/>
        <w:ind w:firstLine="420"/>
        <w:rPr>
          <w:sz w:val="21"/>
          <w:szCs w:val="21"/>
        </w:rPr>
      </w:pPr>
      <w:r>
        <w:rPr>
          <w:rStyle w:val="11"/>
          <w:rFonts w:hint="eastAsia"/>
          <w:sz w:val="21"/>
          <w:szCs w:val="21"/>
        </w:rPr>
        <w:t>八、暂停或延迟信息披露的情形</w:t>
      </w:r>
    </w:p>
    <w:p>
      <w:pPr>
        <w:pStyle w:val="7"/>
        <w:spacing w:before="0" w:beforeAutospacing="0" w:after="0" w:afterAutospacing="0" w:line="360" w:lineRule="auto"/>
        <w:ind w:firstLine="420"/>
        <w:rPr>
          <w:sz w:val="21"/>
          <w:szCs w:val="21"/>
        </w:rPr>
      </w:pPr>
      <w:r>
        <w:rPr>
          <w:rFonts w:hint="eastAsia"/>
          <w:sz w:val="21"/>
          <w:szCs w:val="21"/>
        </w:rPr>
        <w:t>1、不可抗力；</w:t>
      </w:r>
    </w:p>
    <w:p>
      <w:pPr>
        <w:pStyle w:val="7"/>
        <w:spacing w:before="0" w:beforeAutospacing="0" w:after="0" w:afterAutospacing="0" w:line="360" w:lineRule="auto"/>
        <w:ind w:firstLine="420"/>
        <w:rPr>
          <w:sz w:val="21"/>
          <w:szCs w:val="21"/>
        </w:rPr>
      </w:pPr>
      <w:r>
        <w:rPr>
          <w:rFonts w:hint="eastAsia"/>
          <w:sz w:val="21"/>
          <w:szCs w:val="21"/>
        </w:rPr>
        <w:t>2、发生暂停估值的情形；</w:t>
      </w:r>
    </w:p>
    <w:p>
      <w:pPr>
        <w:pStyle w:val="7"/>
        <w:spacing w:before="0" w:beforeAutospacing="0" w:after="0" w:afterAutospacing="0" w:line="360" w:lineRule="auto"/>
        <w:ind w:firstLine="420"/>
        <w:rPr>
          <w:sz w:val="21"/>
          <w:szCs w:val="21"/>
        </w:rPr>
      </w:pPr>
      <w:bookmarkStart w:id="163" w:name="chapter_level1_18_67_section_1_end"/>
      <w:bookmarkEnd w:id="163"/>
      <w:r>
        <w:rPr>
          <w:rFonts w:hint="eastAsia"/>
          <w:sz w:val="21"/>
          <w:szCs w:val="21"/>
        </w:rPr>
        <w:t>3、法律法规规定、中国证监会或基金合同认定的其他情形。</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4" w:name="chapter_level1_19_74784"/>
      <w:bookmarkStart w:id="165" w:name="_Toc207939912"/>
      <w:r>
        <w:rPr>
          <w:rFonts w:hint="eastAsia" w:ascii="宋体" w:hAnsi="宋体" w:eastAsia="宋体"/>
          <w:sz w:val="30"/>
        </w:rPr>
        <w:t>第十六部分 侧袋机制</w:t>
      </w:r>
      <w:bookmarkEnd w:id="164"/>
      <w:bookmarkEnd w:id="165"/>
    </w:p>
    <w:p>
      <w:pPr>
        <w:pStyle w:val="7"/>
        <w:spacing w:before="0" w:beforeAutospacing="0" w:after="0" w:afterAutospacing="0" w:line="360" w:lineRule="auto"/>
        <w:ind w:firstLine="420"/>
        <w:rPr>
          <w:sz w:val="21"/>
          <w:szCs w:val="21"/>
        </w:rPr>
      </w:pPr>
      <w:bookmarkStart w:id="166" w:name="chapter_level1_19_74784_section_1"/>
      <w:bookmarkEnd w:id="166"/>
      <w:r>
        <w:rPr>
          <w:rStyle w:val="11"/>
          <w:rFonts w:hint="eastAsia"/>
          <w:sz w:val="21"/>
          <w:szCs w:val="21"/>
        </w:rPr>
        <w:t>一、侧袋机制的实施条件、实施程序和特定资产范围</w:t>
      </w:r>
    </w:p>
    <w:p>
      <w:pPr>
        <w:pStyle w:val="7"/>
        <w:spacing w:before="0" w:beforeAutospacing="0" w:after="0" w:afterAutospacing="0" w:line="360" w:lineRule="auto"/>
        <w:ind w:firstLine="420"/>
        <w:rPr>
          <w:sz w:val="21"/>
          <w:szCs w:val="21"/>
        </w:rPr>
      </w:pPr>
      <w:r>
        <w:rPr>
          <w:rFonts w:hint="eastAsia"/>
          <w:sz w:val="21"/>
          <w:szCs w:val="21"/>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基金管理人应当在启用侧袋机制当日报中国证监会及公司所在地中国证监会派出机构备案。</w:t>
      </w:r>
    </w:p>
    <w:p>
      <w:pPr>
        <w:pStyle w:val="7"/>
        <w:spacing w:before="0" w:beforeAutospacing="0" w:after="0" w:afterAutospacing="0" w:line="360" w:lineRule="auto"/>
        <w:ind w:firstLine="420"/>
        <w:rPr>
          <w:sz w:val="21"/>
          <w:szCs w:val="21"/>
        </w:rPr>
      </w:pPr>
      <w:r>
        <w:rPr>
          <w:rFonts w:hint="eastAsia"/>
          <w:sz w:val="21"/>
          <w:szCs w:val="21"/>
        </w:rPr>
        <w:t>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pPr>
        <w:pStyle w:val="7"/>
        <w:spacing w:before="0" w:beforeAutospacing="0" w:after="0" w:afterAutospacing="0" w:line="360" w:lineRule="auto"/>
        <w:ind w:firstLine="420"/>
        <w:rPr>
          <w:sz w:val="21"/>
          <w:szCs w:val="21"/>
        </w:rPr>
      </w:pPr>
      <w:r>
        <w:rPr>
          <w:rStyle w:val="11"/>
          <w:rFonts w:hint="eastAsia"/>
          <w:sz w:val="21"/>
          <w:szCs w:val="21"/>
        </w:rPr>
        <w:t>二、侧袋机制实施期间的基金运作安排</w:t>
      </w:r>
    </w:p>
    <w:p>
      <w:pPr>
        <w:pStyle w:val="7"/>
        <w:spacing w:before="0" w:beforeAutospacing="0" w:after="0" w:afterAutospacing="0" w:line="360" w:lineRule="auto"/>
        <w:ind w:firstLine="420"/>
        <w:rPr>
          <w:sz w:val="21"/>
          <w:szCs w:val="21"/>
        </w:rPr>
      </w:pPr>
      <w:r>
        <w:rPr>
          <w:rFonts w:hint="eastAsia"/>
          <w:sz w:val="21"/>
          <w:szCs w:val="21"/>
        </w:rPr>
        <w:t>（一）基金份额的申购与赎回</w:t>
      </w:r>
    </w:p>
    <w:p>
      <w:pPr>
        <w:pStyle w:val="7"/>
        <w:spacing w:before="0" w:beforeAutospacing="0" w:after="0" w:afterAutospacing="0" w:line="360" w:lineRule="auto"/>
        <w:ind w:firstLine="420"/>
        <w:rPr>
          <w:sz w:val="21"/>
          <w:szCs w:val="21"/>
        </w:rPr>
      </w:pPr>
      <w:r>
        <w:rPr>
          <w:rFonts w:hint="eastAsia"/>
          <w:sz w:val="21"/>
          <w:szCs w:val="21"/>
        </w:rPr>
        <w:t>1、侧袋机制实施期间，基金管理人不办理侧袋账户份额的申购、赎回和转换。基金份额持有人申请申购、赎回或转换侧袋账户份额的，该申购、赎回或转换申请将被拒绝。</w:t>
      </w:r>
    </w:p>
    <w:p>
      <w:pPr>
        <w:pStyle w:val="7"/>
        <w:spacing w:before="0" w:beforeAutospacing="0" w:after="0" w:afterAutospacing="0" w:line="360" w:lineRule="auto"/>
        <w:ind w:firstLine="420"/>
        <w:rPr>
          <w:sz w:val="21"/>
          <w:szCs w:val="21"/>
        </w:rPr>
      </w:pPr>
      <w:r>
        <w:rPr>
          <w:rFonts w:hint="eastAsia"/>
          <w:sz w:val="21"/>
          <w:szCs w:val="21"/>
        </w:rPr>
        <w:t>2、当特定资产占前一估值日基金资产净值50%以上的，经与基金托管人协商确认后，基金管理人应当暂停基金估值，并暂停接受基金申购赎回申请或延缓支付赎回款项。</w:t>
      </w:r>
    </w:p>
    <w:p>
      <w:pPr>
        <w:pStyle w:val="7"/>
        <w:spacing w:before="0" w:beforeAutospacing="0" w:after="0" w:afterAutospacing="0" w:line="360" w:lineRule="auto"/>
        <w:ind w:firstLine="420"/>
        <w:rPr>
          <w:sz w:val="21"/>
          <w:szCs w:val="21"/>
        </w:rPr>
      </w:pPr>
      <w:r>
        <w:rPr>
          <w:rFonts w:hint="eastAsia"/>
          <w:sz w:val="21"/>
          <w:szCs w:val="21"/>
        </w:rPr>
        <w:t>3、基金管理人依法保障主袋账户份额持有人享有基金合同约定的赎回权利，并根据主袋账户运作情况合理确定申购事项，具体事项届时由基金管理人在相关公告中规定。</w:t>
      </w:r>
    </w:p>
    <w:p>
      <w:pPr>
        <w:pStyle w:val="7"/>
        <w:spacing w:before="0" w:beforeAutospacing="0" w:after="0" w:afterAutospacing="0" w:line="360" w:lineRule="auto"/>
        <w:ind w:firstLine="420"/>
        <w:rPr>
          <w:sz w:val="21"/>
          <w:szCs w:val="21"/>
        </w:rPr>
      </w:pPr>
      <w:r>
        <w:rPr>
          <w:rFonts w:hint="eastAsia"/>
          <w:sz w:val="21"/>
          <w:szCs w:val="21"/>
        </w:rPr>
        <w:t>对于启用侧袋机制当日收到的赎回申请，基金管理人仅办理主袋账户的赎回申请并支付赎回款项。在启用侧袋机制当日收到的申购申请，视为投资者对侧袋机制启用后的主袋账户提交的申购申请。</w:t>
      </w:r>
    </w:p>
    <w:p>
      <w:pPr>
        <w:pStyle w:val="7"/>
        <w:spacing w:before="0" w:beforeAutospacing="0" w:after="0" w:afterAutospacing="0" w:line="360" w:lineRule="auto"/>
        <w:ind w:firstLine="420"/>
        <w:rPr>
          <w:sz w:val="21"/>
          <w:szCs w:val="21"/>
        </w:rPr>
      </w:pPr>
      <w:r>
        <w:rPr>
          <w:rFonts w:hint="eastAsia"/>
          <w:sz w:val="21"/>
          <w:szCs w:val="21"/>
        </w:rPr>
        <w:t>（二）基金份额的登记</w:t>
      </w:r>
    </w:p>
    <w:p>
      <w:pPr>
        <w:pStyle w:val="7"/>
        <w:spacing w:before="0" w:beforeAutospacing="0" w:after="0" w:afterAutospacing="0" w:line="360" w:lineRule="auto"/>
        <w:ind w:firstLine="420"/>
        <w:rPr>
          <w:sz w:val="21"/>
          <w:szCs w:val="21"/>
        </w:rPr>
      </w:pPr>
      <w:r>
        <w:rPr>
          <w:rFonts w:hint="eastAsia"/>
          <w:sz w:val="21"/>
          <w:szCs w:val="21"/>
        </w:rPr>
        <w:t>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w:t>
      </w:r>
    </w:p>
    <w:p>
      <w:pPr>
        <w:pStyle w:val="7"/>
        <w:spacing w:before="0" w:beforeAutospacing="0" w:after="0" w:afterAutospacing="0" w:line="360" w:lineRule="auto"/>
        <w:ind w:firstLine="420"/>
        <w:rPr>
          <w:sz w:val="21"/>
          <w:szCs w:val="21"/>
        </w:rPr>
      </w:pPr>
      <w:r>
        <w:rPr>
          <w:rFonts w:hint="eastAsia"/>
          <w:sz w:val="21"/>
          <w:szCs w:val="21"/>
        </w:rPr>
        <w:t>启用侧袋机制当日，基金管理人和基金服务机构将以基金份额持有人的原有账户份额为基础，确认相应侧袋账户持有人名册和份额。</w:t>
      </w:r>
    </w:p>
    <w:p>
      <w:pPr>
        <w:pStyle w:val="7"/>
        <w:spacing w:before="0" w:beforeAutospacing="0" w:after="0" w:afterAutospacing="0" w:line="360" w:lineRule="auto"/>
        <w:ind w:firstLine="420"/>
        <w:rPr>
          <w:sz w:val="21"/>
          <w:szCs w:val="21"/>
        </w:rPr>
      </w:pPr>
      <w:r>
        <w:rPr>
          <w:rFonts w:hint="eastAsia"/>
          <w:sz w:val="21"/>
          <w:szCs w:val="21"/>
        </w:rPr>
        <w:t>侧袋账户资产完全清算后，基金管理人将注销侧袋账户。</w:t>
      </w:r>
    </w:p>
    <w:p>
      <w:pPr>
        <w:pStyle w:val="7"/>
        <w:spacing w:before="0" w:beforeAutospacing="0" w:after="0" w:afterAutospacing="0" w:line="360" w:lineRule="auto"/>
        <w:ind w:firstLine="420"/>
        <w:rPr>
          <w:sz w:val="21"/>
          <w:szCs w:val="21"/>
        </w:rPr>
      </w:pPr>
      <w:r>
        <w:rPr>
          <w:rFonts w:hint="eastAsia"/>
          <w:sz w:val="21"/>
          <w:szCs w:val="21"/>
        </w:rPr>
        <w:t>（三）基金的投资及业绩</w:t>
      </w:r>
    </w:p>
    <w:p>
      <w:pPr>
        <w:pStyle w:val="7"/>
        <w:spacing w:before="0" w:beforeAutospacing="0" w:after="0" w:afterAutospacing="0" w:line="360" w:lineRule="auto"/>
        <w:ind w:firstLine="420"/>
        <w:rPr>
          <w:sz w:val="21"/>
          <w:szCs w:val="21"/>
        </w:rPr>
      </w:pPr>
      <w:r>
        <w:rPr>
          <w:rFonts w:hint="eastAsia"/>
          <w:sz w:val="21"/>
          <w:szCs w:val="21"/>
        </w:rPr>
        <w:t>侧袋机制实施期间，本基金的各项投资运作指标和基金业绩指标应当以主袋账户资产为基准。基金管理人不得在侧袋账户中进行除特定资产处置变现以外的其他投资操作。</w:t>
      </w:r>
    </w:p>
    <w:p>
      <w:pPr>
        <w:pStyle w:val="7"/>
        <w:spacing w:before="0" w:beforeAutospacing="0" w:after="0" w:afterAutospacing="0" w:line="360" w:lineRule="auto"/>
        <w:ind w:firstLine="420"/>
        <w:rPr>
          <w:sz w:val="21"/>
          <w:szCs w:val="21"/>
        </w:rPr>
      </w:pPr>
      <w:r>
        <w:rPr>
          <w:rFonts w:hint="eastAsia"/>
          <w:sz w:val="21"/>
          <w:szCs w:val="21"/>
        </w:rPr>
        <w:t>基金管理人、基金服务机构在展示基金业绩时，将就前述情况进行充分的解释说明，避免引起投资者误解。</w:t>
      </w:r>
    </w:p>
    <w:p>
      <w:pPr>
        <w:pStyle w:val="7"/>
        <w:spacing w:before="0" w:beforeAutospacing="0" w:after="0" w:afterAutospacing="0" w:line="360" w:lineRule="auto"/>
        <w:ind w:firstLine="420"/>
        <w:rPr>
          <w:sz w:val="21"/>
          <w:szCs w:val="21"/>
        </w:rPr>
      </w:pPr>
      <w:r>
        <w:rPr>
          <w:rFonts w:hint="eastAsia"/>
          <w:sz w:val="21"/>
          <w:szCs w:val="21"/>
        </w:rPr>
        <w:t>基金管理人原则上应当在侧袋机制启用后20个交易日内完成对主袋账户投资组合的调整，但因资产流动性受限等中国证监会规定的情形除外。</w:t>
      </w:r>
    </w:p>
    <w:p>
      <w:pPr>
        <w:pStyle w:val="7"/>
        <w:spacing w:before="0" w:beforeAutospacing="0" w:after="0" w:afterAutospacing="0" w:line="360" w:lineRule="auto"/>
        <w:ind w:firstLine="420"/>
        <w:rPr>
          <w:sz w:val="21"/>
          <w:szCs w:val="21"/>
        </w:rPr>
      </w:pPr>
      <w:r>
        <w:rPr>
          <w:rFonts w:hint="eastAsia"/>
          <w:sz w:val="21"/>
          <w:szCs w:val="21"/>
        </w:rPr>
        <w:t>（四）基金的估值</w:t>
      </w:r>
    </w:p>
    <w:p>
      <w:pPr>
        <w:pStyle w:val="7"/>
        <w:spacing w:before="0" w:beforeAutospacing="0" w:after="0" w:afterAutospacing="0" w:line="360" w:lineRule="auto"/>
        <w:ind w:firstLine="420"/>
        <w:rPr>
          <w:sz w:val="21"/>
          <w:szCs w:val="21"/>
        </w:rPr>
      </w:pPr>
      <w:r>
        <w:rPr>
          <w:rFonts w:hint="eastAsia"/>
          <w:sz w:val="21"/>
          <w:szCs w:val="21"/>
        </w:rPr>
        <w:t>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w:t>
      </w:r>
    </w:p>
    <w:p>
      <w:pPr>
        <w:pStyle w:val="7"/>
        <w:spacing w:before="0" w:beforeAutospacing="0" w:after="0" w:afterAutospacing="0" w:line="360" w:lineRule="auto"/>
        <w:ind w:firstLine="420"/>
        <w:rPr>
          <w:sz w:val="21"/>
          <w:szCs w:val="21"/>
        </w:rPr>
      </w:pPr>
      <w:r>
        <w:rPr>
          <w:rFonts w:hint="eastAsia"/>
          <w:sz w:val="21"/>
          <w:szCs w:val="21"/>
        </w:rPr>
        <w:t>侧袋机制实施期间，基金管理人将对侧袋账户单独设置账套，实行独立核算。如果本基金同时存在多个侧袋账户，不同侧袋账户将分开进行核算。侧袋账户的会计核算应符合《企业会计准则》的相关要求。</w:t>
      </w:r>
    </w:p>
    <w:p>
      <w:pPr>
        <w:pStyle w:val="7"/>
        <w:spacing w:before="0" w:beforeAutospacing="0" w:after="0" w:afterAutospacing="0" w:line="360" w:lineRule="auto"/>
        <w:ind w:firstLine="420"/>
        <w:rPr>
          <w:sz w:val="21"/>
          <w:szCs w:val="21"/>
        </w:rPr>
      </w:pPr>
      <w:r>
        <w:rPr>
          <w:rFonts w:hint="eastAsia"/>
          <w:sz w:val="21"/>
          <w:szCs w:val="21"/>
        </w:rPr>
        <w:t>（五）基金的费用</w:t>
      </w:r>
    </w:p>
    <w:p>
      <w:pPr>
        <w:pStyle w:val="7"/>
        <w:spacing w:before="0" w:beforeAutospacing="0" w:after="0" w:afterAutospacing="0" w:line="360" w:lineRule="auto"/>
        <w:ind w:firstLine="420"/>
        <w:rPr>
          <w:sz w:val="21"/>
          <w:szCs w:val="21"/>
        </w:rPr>
      </w:pPr>
      <w:r>
        <w:rPr>
          <w:rFonts w:hint="eastAsia"/>
          <w:sz w:val="21"/>
          <w:szCs w:val="21"/>
        </w:rPr>
        <w:t>侧袋机制实施期间，侧袋账户资产不收取管理费。如法律法规或监管机构对于侧袋账户资产托管费的收取另有规定的，以法律法规或监管机构最新要求为准。因启用侧袋机制产生的咨询、审计费用等由基金管理人承担。</w:t>
      </w:r>
    </w:p>
    <w:p>
      <w:pPr>
        <w:pStyle w:val="7"/>
        <w:spacing w:before="0" w:beforeAutospacing="0" w:after="0" w:afterAutospacing="0" w:line="360" w:lineRule="auto"/>
        <w:ind w:firstLine="420"/>
        <w:rPr>
          <w:sz w:val="21"/>
          <w:szCs w:val="21"/>
        </w:rPr>
      </w:pPr>
      <w:r>
        <w:rPr>
          <w:rFonts w:hint="eastAsia"/>
          <w:sz w:val="21"/>
          <w:szCs w:val="21"/>
        </w:rPr>
        <w:t>基金管理人可以将与侧袋账户有关的费用从侧袋账户资产中列支，但应待特定资产变现后方可列支。</w:t>
      </w:r>
    </w:p>
    <w:p>
      <w:pPr>
        <w:pStyle w:val="7"/>
        <w:spacing w:before="0" w:beforeAutospacing="0" w:after="0" w:afterAutospacing="0" w:line="360" w:lineRule="auto"/>
        <w:ind w:firstLine="420"/>
        <w:rPr>
          <w:sz w:val="21"/>
          <w:szCs w:val="21"/>
        </w:rPr>
      </w:pPr>
      <w:r>
        <w:rPr>
          <w:rFonts w:hint="eastAsia"/>
          <w:sz w:val="21"/>
          <w:szCs w:val="21"/>
        </w:rPr>
        <w:t>（六）基金的收益分配</w:t>
      </w:r>
    </w:p>
    <w:p>
      <w:pPr>
        <w:pStyle w:val="7"/>
        <w:spacing w:before="0" w:beforeAutospacing="0" w:after="0" w:afterAutospacing="0" w:line="360" w:lineRule="auto"/>
        <w:ind w:firstLine="420"/>
        <w:rPr>
          <w:sz w:val="21"/>
          <w:szCs w:val="21"/>
        </w:rPr>
      </w:pPr>
      <w:r>
        <w:rPr>
          <w:rFonts w:hint="eastAsia"/>
          <w:sz w:val="21"/>
          <w:szCs w:val="21"/>
        </w:rPr>
        <w:t>侧袋机制实施期间，在主袋账户份额满足基金合同收益分配条件的情形下，基金管理人可对主袋账户份额进行收益分配。侧袋账户份额不再适用基金合同的收益与分配条款。</w:t>
      </w:r>
    </w:p>
    <w:p>
      <w:pPr>
        <w:pStyle w:val="7"/>
        <w:spacing w:before="0" w:beforeAutospacing="0" w:after="0" w:afterAutospacing="0" w:line="360" w:lineRule="auto"/>
        <w:ind w:firstLine="420"/>
        <w:rPr>
          <w:sz w:val="21"/>
          <w:szCs w:val="21"/>
        </w:rPr>
      </w:pPr>
      <w:r>
        <w:rPr>
          <w:rFonts w:hint="eastAsia"/>
          <w:sz w:val="21"/>
          <w:szCs w:val="21"/>
        </w:rPr>
        <w:t>（七）基金的信息披露</w:t>
      </w:r>
    </w:p>
    <w:p>
      <w:pPr>
        <w:pStyle w:val="7"/>
        <w:spacing w:before="0" w:beforeAutospacing="0" w:after="0" w:afterAutospacing="0" w:line="360" w:lineRule="auto"/>
        <w:ind w:firstLine="420"/>
        <w:rPr>
          <w:sz w:val="21"/>
          <w:szCs w:val="21"/>
        </w:rPr>
      </w:pPr>
      <w:r>
        <w:rPr>
          <w:rFonts w:hint="eastAsia"/>
          <w:sz w:val="21"/>
          <w:szCs w:val="21"/>
        </w:rPr>
        <w:t>1、基金净值信息</w:t>
      </w:r>
    </w:p>
    <w:p>
      <w:pPr>
        <w:pStyle w:val="7"/>
        <w:spacing w:before="0" w:beforeAutospacing="0" w:after="0" w:afterAutospacing="0" w:line="360" w:lineRule="auto"/>
        <w:ind w:firstLine="420"/>
        <w:rPr>
          <w:sz w:val="21"/>
          <w:szCs w:val="21"/>
        </w:rPr>
      </w:pPr>
      <w:r>
        <w:rPr>
          <w:rFonts w:hint="eastAsia"/>
          <w:sz w:val="21"/>
          <w:szCs w:val="21"/>
        </w:rPr>
        <w:t>侧袋机制实施期间，基金管理人应当暂停披露侧袋账户的基金净值信息。</w:t>
      </w:r>
    </w:p>
    <w:p>
      <w:pPr>
        <w:pStyle w:val="7"/>
        <w:spacing w:before="0" w:beforeAutospacing="0" w:after="0" w:afterAutospacing="0" w:line="360" w:lineRule="auto"/>
        <w:ind w:firstLine="420"/>
        <w:rPr>
          <w:sz w:val="21"/>
          <w:szCs w:val="21"/>
        </w:rPr>
      </w:pPr>
      <w:r>
        <w:rPr>
          <w:rFonts w:hint="eastAsia"/>
          <w:sz w:val="21"/>
          <w:szCs w:val="21"/>
        </w:rPr>
        <w:t>2、定期报告</w:t>
      </w:r>
    </w:p>
    <w:p>
      <w:pPr>
        <w:pStyle w:val="7"/>
        <w:spacing w:before="0" w:beforeAutospacing="0" w:after="0" w:afterAutospacing="0" w:line="360" w:lineRule="auto"/>
        <w:ind w:firstLine="420"/>
        <w:rPr>
          <w:sz w:val="21"/>
          <w:szCs w:val="21"/>
        </w:rPr>
      </w:pPr>
      <w:r>
        <w:rPr>
          <w:rFonts w:hint="eastAsia"/>
          <w:sz w:val="21"/>
          <w:szCs w:val="21"/>
        </w:rPr>
        <w:t>侧袋机制实施期间，基金定期报告中的基金会计报表仅需针对主袋账户进行编制。侧袋账户相关信息在定期报告中单独进行披露，包括但不限于：</w:t>
      </w:r>
    </w:p>
    <w:p>
      <w:pPr>
        <w:pStyle w:val="7"/>
        <w:spacing w:before="0" w:beforeAutospacing="0" w:after="0" w:afterAutospacing="0" w:line="360" w:lineRule="auto"/>
        <w:ind w:firstLine="420"/>
        <w:rPr>
          <w:sz w:val="21"/>
          <w:szCs w:val="21"/>
        </w:rPr>
      </w:pPr>
      <w:r>
        <w:rPr>
          <w:rFonts w:hint="eastAsia"/>
          <w:sz w:val="21"/>
          <w:szCs w:val="21"/>
        </w:rPr>
        <w:t>（1）侧袋账户的基金代码、基金名称、侧袋账户成立日期等基本信息；</w:t>
      </w:r>
    </w:p>
    <w:p>
      <w:pPr>
        <w:pStyle w:val="7"/>
        <w:spacing w:before="0" w:beforeAutospacing="0" w:after="0" w:afterAutospacing="0" w:line="360" w:lineRule="auto"/>
        <w:ind w:firstLine="420"/>
        <w:rPr>
          <w:sz w:val="21"/>
          <w:szCs w:val="21"/>
        </w:rPr>
      </w:pPr>
      <w:r>
        <w:rPr>
          <w:rFonts w:hint="eastAsia"/>
          <w:sz w:val="21"/>
          <w:szCs w:val="21"/>
        </w:rPr>
        <w:t>（2）侧袋账户的初始资产、初始负债；</w:t>
      </w:r>
    </w:p>
    <w:p>
      <w:pPr>
        <w:pStyle w:val="7"/>
        <w:spacing w:before="0" w:beforeAutospacing="0" w:after="0" w:afterAutospacing="0" w:line="360" w:lineRule="auto"/>
        <w:ind w:firstLine="420"/>
        <w:rPr>
          <w:sz w:val="21"/>
          <w:szCs w:val="21"/>
        </w:rPr>
      </w:pPr>
      <w:r>
        <w:rPr>
          <w:rFonts w:hint="eastAsia"/>
          <w:sz w:val="21"/>
          <w:szCs w:val="21"/>
        </w:rPr>
        <w:t>（3）特定资产的名称、代码、发行人等基本信息；</w:t>
      </w:r>
    </w:p>
    <w:p>
      <w:pPr>
        <w:pStyle w:val="7"/>
        <w:spacing w:before="0" w:beforeAutospacing="0" w:after="0" w:afterAutospacing="0" w:line="360" w:lineRule="auto"/>
        <w:ind w:firstLine="420"/>
        <w:rPr>
          <w:sz w:val="21"/>
          <w:szCs w:val="21"/>
        </w:rPr>
      </w:pPr>
      <w:r>
        <w:rPr>
          <w:rFonts w:hint="eastAsia"/>
          <w:sz w:val="21"/>
          <w:szCs w:val="21"/>
        </w:rPr>
        <w:t>（4）报告期内的特定资产处置进展情况、与处置特定资产相关的费用情况及其他与特定资产状况相关的信息；</w:t>
      </w:r>
    </w:p>
    <w:p>
      <w:pPr>
        <w:pStyle w:val="7"/>
        <w:spacing w:before="0" w:beforeAutospacing="0" w:after="0" w:afterAutospacing="0" w:line="360" w:lineRule="auto"/>
        <w:ind w:firstLine="420"/>
        <w:rPr>
          <w:sz w:val="21"/>
          <w:szCs w:val="21"/>
        </w:rPr>
      </w:pPr>
      <w:r>
        <w:rPr>
          <w:rFonts w:hint="eastAsia"/>
          <w:sz w:val="21"/>
          <w:szCs w:val="21"/>
        </w:rPr>
        <w:t>（5）可根据特定资产处置进展情况披露特定资产的可变现净值或净值参考区间，该净值或净值区间并不代表特定资产最终的变现价格，不作为基金管理人对特定资产最终变现价格的承诺；</w:t>
      </w:r>
    </w:p>
    <w:p>
      <w:pPr>
        <w:pStyle w:val="7"/>
        <w:spacing w:before="0" w:beforeAutospacing="0" w:after="0" w:afterAutospacing="0" w:line="360" w:lineRule="auto"/>
        <w:ind w:firstLine="420"/>
        <w:rPr>
          <w:sz w:val="21"/>
          <w:szCs w:val="21"/>
        </w:rPr>
      </w:pPr>
      <w:r>
        <w:rPr>
          <w:rFonts w:hint="eastAsia"/>
          <w:sz w:val="21"/>
          <w:szCs w:val="21"/>
        </w:rPr>
        <w:t>（6）可能对投资者利益存在重大影响的其他情况及相关风险提示。</w:t>
      </w:r>
    </w:p>
    <w:p>
      <w:pPr>
        <w:pStyle w:val="7"/>
        <w:spacing w:before="0" w:beforeAutospacing="0" w:after="0" w:afterAutospacing="0" w:line="360" w:lineRule="auto"/>
        <w:ind w:firstLine="420"/>
        <w:rPr>
          <w:sz w:val="21"/>
          <w:szCs w:val="21"/>
        </w:rPr>
      </w:pPr>
      <w:r>
        <w:rPr>
          <w:rFonts w:hint="eastAsia"/>
          <w:sz w:val="21"/>
          <w:szCs w:val="21"/>
        </w:rPr>
        <w:t>3、临时报告</w:t>
      </w:r>
    </w:p>
    <w:p>
      <w:pPr>
        <w:pStyle w:val="7"/>
        <w:spacing w:before="0" w:beforeAutospacing="0" w:after="0" w:afterAutospacing="0" w:line="360" w:lineRule="auto"/>
        <w:ind w:firstLine="420"/>
        <w:rPr>
          <w:sz w:val="21"/>
          <w:szCs w:val="21"/>
        </w:rPr>
      </w:pPr>
      <w:r>
        <w:rPr>
          <w:rFonts w:hint="eastAsia"/>
          <w:sz w:val="21"/>
          <w:szCs w:val="21"/>
        </w:rPr>
        <w:t>基金管理人在启用侧袋机制、处置特定资产、终止侧袋机制以及发生其他可能对投资者利益产生重大影响的事项后应及时发布临时公告。</w:t>
      </w:r>
    </w:p>
    <w:p>
      <w:pPr>
        <w:pStyle w:val="7"/>
        <w:spacing w:before="0" w:beforeAutospacing="0" w:after="0" w:afterAutospacing="0" w:line="360" w:lineRule="auto"/>
        <w:ind w:firstLine="420"/>
        <w:rPr>
          <w:sz w:val="21"/>
          <w:szCs w:val="21"/>
        </w:rPr>
      </w:pPr>
      <w:r>
        <w:rPr>
          <w:rFonts w:hint="eastAsia"/>
          <w:sz w:val="21"/>
          <w:szCs w:val="21"/>
        </w:rPr>
        <w:t>启用侧袋机制的临时公告内容应当包括启用原因及程序、特定资产流动性和估值情况、对投资者申购赎回的影响、风险提示等重要信息。</w:t>
      </w:r>
    </w:p>
    <w:p>
      <w:pPr>
        <w:pStyle w:val="7"/>
        <w:spacing w:before="0" w:beforeAutospacing="0" w:after="0" w:afterAutospacing="0" w:line="360" w:lineRule="auto"/>
        <w:ind w:firstLine="420"/>
        <w:rPr>
          <w:sz w:val="21"/>
          <w:szCs w:val="21"/>
        </w:rPr>
      </w:pPr>
      <w:r>
        <w:rPr>
          <w:rFonts w:hint="eastAsia"/>
          <w:sz w:val="21"/>
          <w:szCs w:val="21"/>
        </w:rPr>
        <w:t>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w:t>
      </w:r>
    </w:p>
    <w:p>
      <w:pPr>
        <w:pStyle w:val="7"/>
        <w:spacing w:before="0" w:beforeAutospacing="0" w:after="0" w:afterAutospacing="0" w:line="360" w:lineRule="auto"/>
        <w:ind w:firstLine="420"/>
        <w:rPr>
          <w:sz w:val="21"/>
          <w:szCs w:val="21"/>
        </w:rPr>
      </w:pPr>
      <w:r>
        <w:rPr>
          <w:rFonts w:hint="eastAsia"/>
          <w:sz w:val="21"/>
          <w:szCs w:val="21"/>
        </w:rPr>
        <w:t>（八）特定资产处置清算</w:t>
      </w:r>
    </w:p>
    <w:p>
      <w:pPr>
        <w:pStyle w:val="7"/>
        <w:spacing w:before="0" w:beforeAutospacing="0" w:after="0" w:afterAutospacing="0" w:line="360" w:lineRule="auto"/>
        <w:ind w:firstLine="420"/>
        <w:rPr>
          <w:sz w:val="21"/>
          <w:szCs w:val="21"/>
        </w:rPr>
      </w:pPr>
      <w:r>
        <w:rPr>
          <w:rFonts w:hint="eastAsia"/>
          <w:sz w:val="21"/>
          <w:szCs w:val="21"/>
        </w:rPr>
        <w:t>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w:t>
      </w:r>
    </w:p>
    <w:p>
      <w:pPr>
        <w:pStyle w:val="7"/>
        <w:spacing w:before="0" w:beforeAutospacing="0" w:after="0" w:afterAutospacing="0" w:line="360" w:lineRule="auto"/>
        <w:ind w:firstLine="420"/>
        <w:rPr>
          <w:sz w:val="21"/>
          <w:szCs w:val="21"/>
        </w:rPr>
      </w:pPr>
      <w:r>
        <w:rPr>
          <w:rFonts w:hint="eastAsia"/>
          <w:sz w:val="21"/>
          <w:szCs w:val="21"/>
        </w:rPr>
        <w:t>（九）侧袋的审计</w:t>
      </w:r>
    </w:p>
    <w:p>
      <w:pPr>
        <w:pStyle w:val="7"/>
        <w:spacing w:before="0" w:beforeAutospacing="0" w:after="0" w:afterAutospacing="0" w:line="360" w:lineRule="auto"/>
        <w:ind w:firstLine="420"/>
        <w:rPr>
          <w:sz w:val="21"/>
          <w:szCs w:val="21"/>
        </w:rPr>
      </w:pPr>
      <w:r>
        <w:rPr>
          <w:rFonts w:hint="eastAsia"/>
          <w:sz w:val="21"/>
          <w:szCs w:val="21"/>
        </w:rPr>
        <w:t>基金管理人应当在启用侧袋机制和终止侧袋机制后，及时聘请符合《中华人民共和国证券法》规定的会计师事务所进行审计并披露专项审计意见，具体如下：</w:t>
      </w:r>
    </w:p>
    <w:p>
      <w:pPr>
        <w:pStyle w:val="7"/>
        <w:spacing w:before="0" w:beforeAutospacing="0" w:after="0" w:afterAutospacing="0" w:line="360" w:lineRule="auto"/>
        <w:ind w:firstLine="420"/>
        <w:rPr>
          <w:sz w:val="21"/>
          <w:szCs w:val="21"/>
        </w:rPr>
      </w:pPr>
      <w:r>
        <w:rPr>
          <w:rFonts w:hint="eastAsia"/>
          <w:sz w:val="21"/>
          <w:szCs w:val="21"/>
        </w:rPr>
        <w:t>基金管理人应当在启用侧袋机制时，就特定资产认定的相关事宜取得符合《中华人民共和国证券法》规定的会计师事务所的专业意见。</w:t>
      </w:r>
    </w:p>
    <w:p>
      <w:pPr>
        <w:pStyle w:val="7"/>
        <w:spacing w:before="0" w:beforeAutospacing="0" w:after="0" w:afterAutospacing="0" w:line="360" w:lineRule="auto"/>
        <w:ind w:firstLine="420"/>
        <w:rPr>
          <w:sz w:val="21"/>
          <w:szCs w:val="21"/>
        </w:rPr>
      </w:pPr>
      <w:r>
        <w:rPr>
          <w:rFonts w:hint="eastAsia"/>
          <w:sz w:val="21"/>
          <w:szCs w:val="21"/>
        </w:rPr>
        <w:t>基金管理人应当在启用侧袋机制后五个工作日内，聘请于侧袋机制启用日发表意见的会计师事务所针对侧袋机制启用日本基金持有的特定资产情况出具专项审计意见，内容应包含侧袋账户的初始资产、份额、净资产等信息。</w:t>
      </w:r>
    </w:p>
    <w:p>
      <w:pPr>
        <w:pStyle w:val="7"/>
        <w:spacing w:before="0" w:beforeAutospacing="0" w:after="0" w:afterAutospacing="0" w:line="360" w:lineRule="auto"/>
        <w:ind w:firstLine="420"/>
        <w:rPr>
          <w:sz w:val="21"/>
          <w:szCs w:val="21"/>
        </w:rPr>
      </w:pPr>
      <w:r>
        <w:rPr>
          <w:rFonts w:hint="eastAsia"/>
          <w:sz w:val="21"/>
          <w:szCs w:val="21"/>
        </w:rPr>
        <w:t>会计师事务所对基金年度报告进行审计时，应对报告期间基金侧袋机制运行相关的会计核算和年报披露，执行适当程序并发表审计意见。</w:t>
      </w:r>
    </w:p>
    <w:p>
      <w:pPr>
        <w:pStyle w:val="7"/>
        <w:spacing w:before="0" w:beforeAutospacing="0" w:after="0" w:afterAutospacing="0" w:line="360" w:lineRule="auto"/>
        <w:ind w:firstLine="420"/>
        <w:rPr>
          <w:sz w:val="21"/>
          <w:szCs w:val="21"/>
        </w:rPr>
      </w:pPr>
      <w:r>
        <w:rPr>
          <w:rFonts w:hint="eastAsia"/>
          <w:sz w:val="21"/>
          <w:szCs w:val="21"/>
        </w:rPr>
        <w:t>当侧袋账户资产全部完成变现后，基金管理人应参照基金清算报告的相关要求，聘请符合《中华人民共和国证券法》规定的会计师事务所对侧袋账户进行审计并披露专项审计意见。</w:t>
      </w:r>
    </w:p>
    <w:p>
      <w:pPr>
        <w:pStyle w:val="7"/>
        <w:spacing w:before="0" w:beforeAutospacing="0" w:after="0" w:afterAutospacing="0" w:line="360" w:lineRule="auto"/>
        <w:ind w:firstLine="420"/>
        <w:rPr>
          <w:sz w:val="21"/>
          <w:szCs w:val="21"/>
        </w:rPr>
      </w:pPr>
      <w:r>
        <w:rPr>
          <w:rStyle w:val="11"/>
          <w:rFonts w:hint="eastAsia"/>
          <w:sz w:val="21"/>
          <w:szCs w:val="21"/>
        </w:rPr>
        <w:t>三、本部分关于侧袋机制的相关规定，凡是直接引用法律法规的部分，如将来法律法规修改导致相关内容被取消或变更的，或将来法律法规针对侧袋机制的内容有进一步规定的，基金管理人经与基金托管人协商一致并履行适当程序后，在对基金份额持有人利益无实质性不利影响的前提下，可直接对本部分内容进行修改、调整或补充，无需召开基金份</w:t>
      </w:r>
      <w:bookmarkStart w:id="167" w:name="chapter_level1_19_74784_section_1_end"/>
      <w:bookmarkEnd w:id="167"/>
      <w:r>
        <w:rPr>
          <w:rStyle w:val="11"/>
          <w:rFonts w:hint="eastAsia"/>
          <w:sz w:val="21"/>
          <w:szCs w:val="21"/>
        </w:rPr>
        <w:t>额持有人大会审议。</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8" w:name="chapter_level1_20_68"/>
      <w:bookmarkStart w:id="169" w:name="_Toc207939913"/>
      <w:r>
        <w:rPr>
          <w:rFonts w:hint="eastAsia" w:ascii="宋体" w:hAnsi="宋体" w:eastAsia="宋体"/>
          <w:sz w:val="30"/>
        </w:rPr>
        <w:t>第十七部分  风险揭示</w:t>
      </w:r>
      <w:bookmarkEnd w:id="168"/>
      <w:bookmarkEnd w:id="169"/>
    </w:p>
    <w:p>
      <w:pPr>
        <w:pStyle w:val="7"/>
        <w:spacing w:before="0" w:beforeAutospacing="0" w:after="0" w:afterAutospacing="0" w:line="360" w:lineRule="auto"/>
        <w:ind w:firstLine="420"/>
        <w:rPr>
          <w:sz w:val="21"/>
          <w:szCs w:val="21"/>
        </w:rPr>
      </w:pPr>
      <w:bookmarkStart w:id="170" w:name="chapter_level1_20_68_section_1"/>
      <w:bookmarkEnd w:id="170"/>
      <w:r>
        <w:rPr>
          <w:rStyle w:val="11"/>
          <w:rFonts w:hint="eastAsia"/>
          <w:sz w:val="21"/>
          <w:szCs w:val="21"/>
        </w:rPr>
        <w:t>一、投资于本基金的主要风险</w:t>
      </w:r>
    </w:p>
    <w:p>
      <w:pPr>
        <w:pStyle w:val="7"/>
        <w:spacing w:before="0" w:beforeAutospacing="0" w:after="0" w:afterAutospacing="0" w:line="360" w:lineRule="auto"/>
        <w:ind w:firstLine="420"/>
        <w:rPr>
          <w:sz w:val="21"/>
          <w:szCs w:val="21"/>
        </w:rPr>
      </w:pPr>
      <w:r>
        <w:rPr>
          <w:rFonts w:hint="eastAsia"/>
          <w:sz w:val="21"/>
          <w:szCs w:val="21"/>
        </w:rPr>
        <w:t>1、市场风险</w:t>
      </w:r>
    </w:p>
    <w:p>
      <w:pPr>
        <w:pStyle w:val="7"/>
        <w:spacing w:before="0" w:beforeAutospacing="0" w:after="0" w:afterAutospacing="0" w:line="360" w:lineRule="auto"/>
        <w:ind w:firstLine="420"/>
        <w:rPr>
          <w:sz w:val="21"/>
          <w:szCs w:val="21"/>
        </w:rPr>
      </w:pPr>
      <w:r>
        <w:rPr>
          <w:rFonts w:hint="eastAsia"/>
          <w:sz w:val="21"/>
          <w:szCs w:val="21"/>
        </w:rPr>
        <w:t>证券市场价格受到经济因素、政治因素、投资心理和交易制度等各种因素的影响，导致基金收益水平变化而产生风险，主要包括：</w:t>
      </w:r>
    </w:p>
    <w:p>
      <w:pPr>
        <w:pStyle w:val="7"/>
        <w:spacing w:before="0" w:beforeAutospacing="0" w:after="0" w:afterAutospacing="0" w:line="360" w:lineRule="auto"/>
        <w:ind w:firstLine="420"/>
        <w:rPr>
          <w:sz w:val="21"/>
          <w:szCs w:val="21"/>
        </w:rPr>
      </w:pPr>
      <w:r>
        <w:rPr>
          <w:rFonts w:hint="eastAsia"/>
          <w:sz w:val="21"/>
          <w:szCs w:val="21"/>
        </w:rPr>
        <w:t>（1）政策风险。因国家宏观政策（如货币政策、财政政策、行业政策、地区发展政策等）发生变化，导致市场价格波动而产生风险。</w:t>
      </w:r>
    </w:p>
    <w:p>
      <w:pPr>
        <w:pStyle w:val="7"/>
        <w:spacing w:before="0" w:beforeAutospacing="0" w:after="0" w:afterAutospacing="0" w:line="360" w:lineRule="auto"/>
        <w:ind w:firstLine="420"/>
        <w:rPr>
          <w:sz w:val="21"/>
          <w:szCs w:val="21"/>
        </w:rPr>
      </w:pPr>
      <w:r>
        <w:rPr>
          <w:rFonts w:hint="eastAsia"/>
          <w:sz w:val="21"/>
          <w:szCs w:val="21"/>
        </w:rPr>
        <w:t>（2）经济周期风险。随经济运行的周期性变化，证券市场的收益水平也呈周期性变化。本基金主要投资于股票，收益水平也会随之变化，从而产生风险。</w:t>
      </w:r>
    </w:p>
    <w:p>
      <w:pPr>
        <w:pStyle w:val="7"/>
        <w:spacing w:before="0" w:beforeAutospacing="0" w:after="0" w:afterAutospacing="0" w:line="360" w:lineRule="auto"/>
        <w:ind w:firstLine="420"/>
        <w:rPr>
          <w:sz w:val="21"/>
          <w:szCs w:val="21"/>
        </w:rPr>
      </w:pPr>
      <w:r>
        <w:rPr>
          <w:rFonts w:hint="eastAsia"/>
          <w:sz w:val="21"/>
          <w:szCs w:val="21"/>
        </w:rPr>
        <w:t>（3）利率风险。利率直接影响着债券的价格和收益率，影响着企业的融资成本和利润。基金投资于债券，其收益水平会受到利率变化的影响。在利率上升时，基金持有的债券价格下降，如基金组合久期较长，则将造成基金资产的损失。</w:t>
      </w:r>
    </w:p>
    <w:p>
      <w:pPr>
        <w:pStyle w:val="7"/>
        <w:spacing w:before="0" w:beforeAutospacing="0" w:after="0" w:afterAutospacing="0" w:line="360" w:lineRule="auto"/>
        <w:ind w:firstLine="420"/>
        <w:rPr>
          <w:sz w:val="21"/>
          <w:szCs w:val="21"/>
        </w:rPr>
      </w:pPr>
      <w:r>
        <w:rPr>
          <w:rFonts w:hint="eastAsia"/>
          <w:sz w:val="21"/>
          <w:szCs w:val="21"/>
        </w:rPr>
        <w:t>（4）购买力风险。基金的利润将主要通过现金形式来分配，而现金可能因为通货膨胀的影响而导致购买力下降，从而使基金的实际收益下降。</w:t>
      </w:r>
    </w:p>
    <w:p>
      <w:pPr>
        <w:pStyle w:val="7"/>
        <w:spacing w:before="0" w:beforeAutospacing="0" w:after="0" w:afterAutospacing="0" w:line="360" w:lineRule="auto"/>
        <w:ind w:firstLine="420"/>
        <w:rPr>
          <w:sz w:val="21"/>
          <w:szCs w:val="21"/>
        </w:rPr>
      </w:pPr>
      <w:r>
        <w:rPr>
          <w:rFonts w:hint="eastAsia"/>
          <w:sz w:val="21"/>
          <w:szCs w:val="21"/>
        </w:rPr>
        <w:t>（5）再投资风险。再投资风险反映了利率下降对固定收益证券利息收入再投资收益的影响，这与利率上升所带来的价格风险（即利率风险）互为消长。具体为当利率下降时，基金从投资的固定收益证券所得的利息收入进行再投资时，将获得比以前较少的收益率，这将对基金的净值增长率产生影响。</w:t>
      </w:r>
    </w:p>
    <w:p>
      <w:pPr>
        <w:pStyle w:val="7"/>
        <w:spacing w:before="0" w:beforeAutospacing="0" w:after="0" w:afterAutospacing="0" w:line="360" w:lineRule="auto"/>
        <w:ind w:firstLine="420"/>
        <w:rPr>
          <w:sz w:val="21"/>
          <w:szCs w:val="21"/>
        </w:rPr>
      </w:pPr>
      <w:r>
        <w:rPr>
          <w:rFonts w:hint="eastAsia"/>
          <w:sz w:val="21"/>
          <w:szCs w:val="21"/>
        </w:rPr>
        <w:t>（6）信用风险。基金所投资债券的发行人如出现违约、无法支付到期本息，或由于债券发行人信用等级降低导致债券价格下降，将造成基金资产损失。</w:t>
      </w:r>
    </w:p>
    <w:p>
      <w:pPr>
        <w:pStyle w:val="7"/>
        <w:spacing w:before="0" w:beforeAutospacing="0" w:after="0" w:afterAutospacing="0" w:line="360" w:lineRule="auto"/>
        <w:ind w:firstLine="420"/>
        <w:rPr>
          <w:sz w:val="21"/>
          <w:szCs w:val="21"/>
        </w:rPr>
      </w:pPr>
      <w:r>
        <w:rPr>
          <w:rFonts w:hint="eastAsia"/>
          <w:sz w:val="21"/>
          <w:szCs w:val="21"/>
        </w:rPr>
        <w:t>（7）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pPr>
        <w:pStyle w:val="7"/>
        <w:spacing w:before="0" w:beforeAutospacing="0" w:after="0" w:afterAutospacing="0" w:line="360" w:lineRule="auto"/>
        <w:ind w:firstLine="420"/>
        <w:rPr>
          <w:sz w:val="21"/>
          <w:szCs w:val="21"/>
        </w:rPr>
      </w:pPr>
      <w:r>
        <w:rPr>
          <w:rFonts w:hint="eastAsia"/>
          <w:sz w:val="21"/>
          <w:szCs w:val="21"/>
        </w:rPr>
        <w:t>（8）上市公司经营风险。上市公司的经营状况受多种因素影响，如管理能力、财务状况、市场前景、行业竞争、人员素质等都会导致公司盈利发生变化。如果本基金所投资的上市公司盈利下降，其股票价格可能会下跌，或能够用于分配的利润减少，导致本基金投资收益减少。</w:t>
      </w:r>
    </w:p>
    <w:p>
      <w:pPr>
        <w:pStyle w:val="7"/>
        <w:spacing w:before="0" w:beforeAutospacing="0" w:after="0" w:afterAutospacing="0" w:line="360" w:lineRule="auto"/>
        <w:ind w:firstLine="420"/>
        <w:rPr>
          <w:sz w:val="21"/>
          <w:szCs w:val="21"/>
        </w:rPr>
      </w:pPr>
      <w:r>
        <w:rPr>
          <w:rFonts w:hint="eastAsia"/>
          <w:sz w:val="21"/>
          <w:szCs w:val="21"/>
        </w:rPr>
        <w:t>2、管理风险</w:t>
      </w:r>
    </w:p>
    <w:p>
      <w:pPr>
        <w:pStyle w:val="7"/>
        <w:spacing w:before="0" w:beforeAutospacing="0" w:after="0" w:afterAutospacing="0" w:line="360" w:lineRule="auto"/>
        <w:ind w:firstLine="420"/>
        <w:rPr>
          <w:sz w:val="21"/>
          <w:szCs w:val="21"/>
        </w:rPr>
      </w:pPr>
      <w:r>
        <w:rPr>
          <w:rFonts w:hint="eastAsia"/>
          <w:sz w:val="21"/>
          <w:szCs w:val="21"/>
        </w:rPr>
        <w:t>基金运作过程中由于基金投资策略、人为因素、管理系统设置不当造成操作失误或基金管理人内部失控而可能产生的损失。管理风险包括：</w:t>
      </w:r>
    </w:p>
    <w:p>
      <w:pPr>
        <w:pStyle w:val="7"/>
        <w:spacing w:before="0" w:beforeAutospacing="0" w:after="0" w:afterAutospacing="0" w:line="360" w:lineRule="auto"/>
        <w:ind w:firstLine="420"/>
        <w:rPr>
          <w:sz w:val="21"/>
          <w:szCs w:val="21"/>
        </w:rPr>
      </w:pPr>
      <w:r>
        <w:rPr>
          <w:rFonts w:hint="eastAsia"/>
          <w:sz w:val="21"/>
          <w:szCs w:val="21"/>
        </w:rPr>
        <w:t>（1）决策风险：指基金投资的投资策略制定、投资决策执行和投资绩效监督检查过程中，由于决策失误而给基金资产造成的可能的损失；</w:t>
      </w:r>
    </w:p>
    <w:p>
      <w:pPr>
        <w:pStyle w:val="7"/>
        <w:spacing w:before="0" w:beforeAutospacing="0" w:after="0" w:afterAutospacing="0" w:line="360" w:lineRule="auto"/>
        <w:ind w:firstLine="420"/>
        <w:rPr>
          <w:sz w:val="21"/>
          <w:szCs w:val="21"/>
        </w:rPr>
      </w:pPr>
      <w:r>
        <w:rPr>
          <w:rFonts w:hint="eastAsia"/>
          <w:sz w:val="21"/>
          <w:szCs w:val="21"/>
        </w:rPr>
        <w:t>（2）操作风险：指基金投资决策执行中，由于投资指令不明晰、交易操作失误等人为因素而可能导致的损失；</w:t>
      </w:r>
    </w:p>
    <w:p>
      <w:pPr>
        <w:pStyle w:val="7"/>
        <w:spacing w:before="0" w:beforeAutospacing="0" w:after="0" w:afterAutospacing="0" w:line="360" w:lineRule="auto"/>
        <w:ind w:firstLine="420"/>
        <w:rPr>
          <w:sz w:val="21"/>
          <w:szCs w:val="21"/>
        </w:rPr>
      </w:pPr>
      <w:r>
        <w:rPr>
          <w:rFonts w:hint="eastAsia"/>
          <w:sz w:val="21"/>
          <w:szCs w:val="21"/>
        </w:rPr>
        <w:t>（3）技术风险：是指基金管理人管理信息系统设置不当等因素而可能造成的损失。</w:t>
      </w:r>
    </w:p>
    <w:p>
      <w:pPr>
        <w:pStyle w:val="7"/>
        <w:spacing w:before="0" w:beforeAutospacing="0" w:after="0" w:afterAutospacing="0" w:line="360" w:lineRule="auto"/>
        <w:ind w:firstLine="420"/>
        <w:rPr>
          <w:sz w:val="21"/>
          <w:szCs w:val="21"/>
        </w:rPr>
      </w:pPr>
      <w:r>
        <w:rPr>
          <w:rFonts w:hint="eastAsia"/>
          <w:sz w:val="21"/>
          <w:szCs w:val="21"/>
        </w:rPr>
        <w:t>3、流动性风险</w:t>
      </w:r>
    </w:p>
    <w:p>
      <w:pPr>
        <w:pStyle w:val="7"/>
        <w:spacing w:before="0" w:beforeAutospacing="0" w:after="0" w:afterAutospacing="0" w:line="360" w:lineRule="auto"/>
        <w:ind w:firstLine="420"/>
        <w:rPr>
          <w:sz w:val="21"/>
          <w:szCs w:val="21"/>
        </w:rPr>
      </w:pPr>
      <w:r>
        <w:rPr>
          <w:rFonts w:hint="eastAsia"/>
          <w:sz w:val="21"/>
          <w:szCs w:val="21"/>
        </w:rPr>
        <w:t>流动性风险是指因证券市场交易量不足，导致证券不能迅速、低成本地变现的风险。流动性风险还包括基金出现巨额赎回，致使没有足够的现金应付赎回支付所引致的风险。</w:t>
      </w:r>
    </w:p>
    <w:p>
      <w:pPr>
        <w:pStyle w:val="7"/>
        <w:spacing w:before="0" w:beforeAutospacing="0" w:after="0" w:afterAutospacing="0" w:line="360" w:lineRule="auto"/>
        <w:ind w:firstLine="420"/>
        <w:rPr>
          <w:sz w:val="21"/>
          <w:szCs w:val="21"/>
        </w:rPr>
      </w:pPr>
      <w:r>
        <w:rPr>
          <w:rFonts w:hint="eastAsia"/>
          <w:sz w:val="21"/>
          <w:szCs w:val="21"/>
        </w:rPr>
        <w:t>（1）基金申购、赎回安排</w:t>
      </w:r>
    </w:p>
    <w:p>
      <w:pPr>
        <w:pStyle w:val="7"/>
        <w:spacing w:before="0" w:beforeAutospacing="0" w:after="0" w:afterAutospacing="0" w:line="360" w:lineRule="auto"/>
        <w:ind w:firstLine="420"/>
        <w:rPr>
          <w:sz w:val="21"/>
          <w:szCs w:val="21"/>
        </w:rPr>
      </w:pPr>
      <w:r>
        <w:rPr>
          <w:rFonts w:hint="eastAsia"/>
          <w:sz w:val="21"/>
          <w:szCs w:val="21"/>
        </w:rPr>
        <w:t>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w:t>
      </w:r>
    </w:p>
    <w:p>
      <w:pPr>
        <w:pStyle w:val="7"/>
        <w:spacing w:before="0" w:beforeAutospacing="0" w:after="0" w:afterAutospacing="0" w:line="360" w:lineRule="auto"/>
        <w:ind w:firstLine="420"/>
        <w:rPr>
          <w:sz w:val="21"/>
          <w:szCs w:val="21"/>
        </w:rPr>
      </w:pPr>
      <w:r>
        <w:rPr>
          <w:rFonts w:hint="eastAsia"/>
          <w:sz w:val="21"/>
          <w:szCs w:val="21"/>
        </w:rPr>
        <w:t>（2）拟投资市场、行业及资产的流动性风险评估</w:t>
      </w:r>
    </w:p>
    <w:p>
      <w:pPr>
        <w:pStyle w:val="7"/>
        <w:spacing w:before="0" w:beforeAutospacing="0" w:after="0" w:afterAutospacing="0" w:line="360" w:lineRule="auto"/>
        <w:ind w:firstLine="420"/>
        <w:rPr>
          <w:sz w:val="21"/>
          <w:szCs w:val="21"/>
        </w:rPr>
      </w:pPr>
      <w:r>
        <w:rPr>
          <w:rFonts w:hint="eastAsia"/>
          <w:sz w:val="21"/>
          <w:szCs w:val="21"/>
        </w:rPr>
        <w:t>本基金的投资市场主要为证券交易所、全国银行间债券市场等流动性较好的规范型交易场所，主要投资对象为具有良好流动性的金融工具（包括国内依法发行上市的股票、债券和货币市场工具等），同时本基金基于分散投资的原则在行业和个券方面未有高集中度的特征，综合评估在正常市场环境下本基金的流动性风险适中。</w:t>
      </w:r>
    </w:p>
    <w:p>
      <w:pPr>
        <w:pStyle w:val="7"/>
        <w:spacing w:before="0" w:beforeAutospacing="0" w:after="0" w:afterAutospacing="0" w:line="360" w:lineRule="auto"/>
        <w:ind w:firstLine="420"/>
        <w:rPr>
          <w:sz w:val="21"/>
          <w:szCs w:val="21"/>
        </w:rPr>
      </w:pPr>
      <w:r>
        <w:rPr>
          <w:rFonts w:hint="eastAsia"/>
          <w:sz w:val="21"/>
          <w:szCs w:val="21"/>
        </w:rPr>
        <w:t>（3）巨额赎回情形下的流动性风险管理措施</w:t>
      </w:r>
    </w:p>
    <w:p>
      <w:pPr>
        <w:pStyle w:val="7"/>
        <w:spacing w:before="0" w:beforeAutospacing="0" w:after="0" w:afterAutospacing="0" w:line="360" w:lineRule="auto"/>
        <w:ind w:firstLine="420"/>
        <w:rPr>
          <w:sz w:val="21"/>
          <w:szCs w:val="21"/>
        </w:rPr>
      </w:pPr>
      <w:r>
        <w:rPr>
          <w:rFonts w:hint="eastAsia"/>
          <w:sz w:val="21"/>
          <w:szCs w:val="21"/>
        </w:rPr>
        <w:t>基金出现巨额赎回情形下，基金管理人可以根据基金当时的资产组合状况或巨额赎回份额占比情况决定全额赎回、部分延期赎回或暂停赎回。同时，如本基金单个基金份额持有人在单个开放日申请赎回基金份额超过基金总份额一定比例以上的，基金管理人有权对其采取延期办理赎回申请的措施。</w:t>
      </w:r>
    </w:p>
    <w:p>
      <w:pPr>
        <w:pStyle w:val="7"/>
        <w:spacing w:before="0" w:beforeAutospacing="0" w:after="0" w:afterAutospacing="0" w:line="360" w:lineRule="auto"/>
        <w:ind w:firstLine="420"/>
        <w:rPr>
          <w:sz w:val="21"/>
          <w:szCs w:val="21"/>
        </w:rPr>
      </w:pPr>
      <w:r>
        <w:rPr>
          <w:rFonts w:hint="eastAsia"/>
          <w:sz w:val="21"/>
          <w:szCs w:val="21"/>
        </w:rPr>
        <w:t>（4）实施备用的流动性风险管理工具的情形、程序及对投资者的潜在影响</w:t>
      </w:r>
    </w:p>
    <w:p>
      <w:pPr>
        <w:pStyle w:val="7"/>
        <w:spacing w:before="0" w:beforeAutospacing="0" w:after="0" w:afterAutospacing="0" w:line="360" w:lineRule="auto"/>
        <w:ind w:firstLine="420"/>
        <w:rPr>
          <w:sz w:val="21"/>
          <w:szCs w:val="21"/>
        </w:rPr>
      </w:pPr>
      <w:r>
        <w:rPr>
          <w:rFonts w:hint="eastAsia"/>
          <w:sz w:val="21"/>
          <w:szCs w:val="21"/>
        </w:rPr>
        <w:t>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暂停基金估值、摆动定价机制、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w:t>
      </w:r>
    </w:p>
    <w:p>
      <w:pPr>
        <w:pStyle w:val="7"/>
        <w:spacing w:before="0" w:beforeAutospacing="0" w:after="0" w:afterAutospacing="0" w:line="360" w:lineRule="auto"/>
        <w:ind w:firstLine="420"/>
        <w:rPr>
          <w:sz w:val="21"/>
          <w:szCs w:val="21"/>
        </w:rPr>
      </w:pPr>
      <w:r>
        <w:rPr>
          <w:rFonts w:hint="eastAsia"/>
          <w:sz w:val="21"/>
          <w:szCs w:val="21"/>
        </w:rPr>
        <w:t>当本基金启用侧袋机制时，实施侧袋机制期间，侧袋账户份额将停止披露基金净值信息，并不得办理申购、赎回和转换。因特定资产的变现时间具有不确定性，最终变现价格也具有不确定性并且有可能大幅低于启用侧袋机制时的特定资产的估值，基金份额持有人可能因此面临损失。</w:t>
      </w:r>
    </w:p>
    <w:p>
      <w:pPr>
        <w:pStyle w:val="7"/>
        <w:spacing w:before="0" w:beforeAutospacing="0" w:after="0" w:afterAutospacing="0" w:line="360" w:lineRule="auto"/>
        <w:ind w:firstLine="420"/>
        <w:rPr>
          <w:sz w:val="21"/>
          <w:szCs w:val="21"/>
        </w:rPr>
      </w:pPr>
      <w:r>
        <w:rPr>
          <w:rFonts w:hint="eastAsia"/>
          <w:sz w:val="21"/>
          <w:szCs w:val="21"/>
        </w:rPr>
        <w:t>4、合规性风险</w:t>
      </w:r>
    </w:p>
    <w:p>
      <w:pPr>
        <w:pStyle w:val="7"/>
        <w:spacing w:before="0" w:beforeAutospacing="0" w:after="0" w:afterAutospacing="0" w:line="360" w:lineRule="auto"/>
        <w:ind w:firstLine="420"/>
        <w:rPr>
          <w:sz w:val="21"/>
          <w:szCs w:val="21"/>
        </w:rPr>
      </w:pPr>
      <w:r>
        <w:rPr>
          <w:rFonts w:hint="eastAsia"/>
          <w:sz w:val="21"/>
          <w:szCs w:val="21"/>
        </w:rPr>
        <w:t>指基金管理或运作过程中，违反国家法律、法规的规定，或者基金投资违反法规及基金合同有关规定的风险。</w:t>
      </w:r>
    </w:p>
    <w:p>
      <w:pPr>
        <w:pStyle w:val="7"/>
        <w:spacing w:before="0" w:beforeAutospacing="0" w:after="0" w:afterAutospacing="0" w:line="360" w:lineRule="auto"/>
        <w:ind w:firstLine="420"/>
        <w:rPr>
          <w:sz w:val="21"/>
          <w:szCs w:val="21"/>
        </w:rPr>
      </w:pPr>
      <w:r>
        <w:rPr>
          <w:rStyle w:val="11"/>
          <w:rFonts w:hint="eastAsia"/>
          <w:sz w:val="21"/>
          <w:szCs w:val="21"/>
        </w:rPr>
        <w:t>二、本基金特有的风险</w:t>
      </w:r>
    </w:p>
    <w:p>
      <w:pPr>
        <w:pStyle w:val="7"/>
        <w:spacing w:before="0" w:beforeAutospacing="0" w:after="0" w:afterAutospacing="0" w:line="360" w:lineRule="auto"/>
        <w:ind w:firstLine="420"/>
        <w:rPr>
          <w:sz w:val="21"/>
          <w:szCs w:val="21"/>
        </w:rPr>
      </w:pPr>
      <w:r>
        <w:rPr>
          <w:rFonts w:hint="eastAsia"/>
          <w:sz w:val="21"/>
          <w:szCs w:val="21"/>
        </w:rPr>
        <w:t>1、被动投资的风险</w:t>
      </w:r>
    </w:p>
    <w:p>
      <w:pPr>
        <w:pStyle w:val="7"/>
        <w:spacing w:before="0" w:beforeAutospacing="0" w:after="0" w:afterAutospacing="0" w:line="360" w:lineRule="auto"/>
        <w:ind w:firstLine="420"/>
        <w:rPr>
          <w:sz w:val="21"/>
          <w:szCs w:val="21"/>
        </w:rPr>
      </w:pPr>
      <w:r>
        <w:rPr>
          <w:rFonts w:hint="eastAsia"/>
          <w:sz w:val="21"/>
          <w:szCs w:val="21"/>
        </w:rPr>
        <w:t>（1）标的指数的风险</w:t>
      </w:r>
    </w:p>
    <w:p>
      <w:pPr>
        <w:pStyle w:val="7"/>
        <w:spacing w:before="0" w:beforeAutospacing="0" w:after="0" w:afterAutospacing="0" w:line="360" w:lineRule="auto"/>
        <w:ind w:firstLine="420"/>
        <w:rPr>
          <w:sz w:val="21"/>
          <w:szCs w:val="21"/>
        </w:rPr>
      </w:pPr>
      <w:r>
        <w:rPr>
          <w:rFonts w:hint="eastAsia"/>
          <w:sz w:val="21"/>
          <w:szCs w:val="21"/>
        </w:rPr>
        <w:t>即标的指数因为编制方法的缺陷有可能导致标的指数的表现与总体市场表现存在差异，因标的指数编制方法的不成熟也可能导致指数调整较大，增加基金投资成本，并有可能因此而增加跟踪误差，影响投资收益。</w:t>
      </w:r>
    </w:p>
    <w:p>
      <w:pPr>
        <w:pStyle w:val="7"/>
        <w:spacing w:before="0" w:beforeAutospacing="0" w:after="0" w:afterAutospacing="0" w:line="360" w:lineRule="auto"/>
        <w:ind w:firstLine="420"/>
        <w:rPr>
          <w:sz w:val="21"/>
          <w:szCs w:val="21"/>
        </w:rPr>
      </w:pPr>
      <w:r>
        <w:rPr>
          <w:rFonts w:hint="eastAsia"/>
          <w:sz w:val="21"/>
          <w:szCs w:val="21"/>
        </w:rPr>
        <w:t>（2）标的指数下跌的风险</w:t>
      </w:r>
    </w:p>
    <w:p>
      <w:pPr>
        <w:pStyle w:val="7"/>
        <w:spacing w:before="0" w:beforeAutospacing="0" w:after="0" w:afterAutospacing="0" w:line="360" w:lineRule="auto"/>
        <w:ind w:firstLine="420"/>
        <w:rPr>
          <w:sz w:val="21"/>
          <w:szCs w:val="21"/>
        </w:rPr>
      </w:pPr>
      <w:r>
        <w:rPr>
          <w:rFonts w:hint="eastAsia"/>
          <w:sz w:val="21"/>
          <w:szCs w:val="21"/>
        </w:rPr>
        <w:t>本基金绝大部分基金资产将用于跟踪标的指数，业绩表现将会随着标的指数的波动而波动；同时本基金在多数情况下将维持较高的股票仓位，在股票市场下跌的过程中，可能面临基金净值与标的指数同步下跌的风险。</w:t>
      </w:r>
    </w:p>
    <w:p>
      <w:pPr>
        <w:pStyle w:val="7"/>
        <w:spacing w:before="0" w:beforeAutospacing="0" w:after="0" w:afterAutospacing="0" w:line="360" w:lineRule="auto"/>
        <w:ind w:firstLine="420"/>
        <w:rPr>
          <w:sz w:val="21"/>
          <w:szCs w:val="21"/>
        </w:rPr>
      </w:pPr>
      <w:r>
        <w:rPr>
          <w:rFonts w:hint="eastAsia"/>
          <w:sz w:val="21"/>
          <w:szCs w:val="21"/>
        </w:rPr>
        <w:t>（3）跟踪偏离的风险</w:t>
      </w:r>
    </w:p>
    <w:p>
      <w:pPr>
        <w:pStyle w:val="7"/>
        <w:spacing w:before="0" w:beforeAutospacing="0" w:after="0" w:afterAutospacing="0" w:line="360" w:lineRule="auto"/>
        <w:ind w:firstLine="420"/>
        <w:rPr>
          <w:sz w:val="21"/>
          <w:szCs w:val="21"/>
        </w:rPr>
      </w:pPr>
      <w:r>
        <w:rPr>
          <w:rFonts w:hint="eastAsia"/>
          <w:sz w:val="21"/>
          <w:szCs w:val="21"/>
        </w:rPr>
        <w:t>本基金投资组合收益率可能由于标的指数调整成份股或变更编制方法、成份股派发现金红利、流动性风险（成份股停牌、摘牌或流动性差等原因使本基金无法及时调整投资组合或承担较大的冲击成本）、本基金的运营费用（证券投资中的交易成本、基金管理费、托管费等）、债券投资等原因导致基金的收益率与业绩比较基准收益率发生较大偏离。</w:t>
      </w:r>
    </w:p>
    <w:p>
      <w:pPr>
        <w:pStyle w:val="7"/>
        <w:spacing w:before="0" w:beforeAutospacing="0" w:after="0" w:afterAutospacing="0" w:line="360" w:lineRule="auto"/>
        <w:ind w:firstLine="420"/>
        <w:rPr>
          <w:sz w:val="21"/>
          <w:szCs w:val="21"/>
        </w:rPr>
      </w:pPr>
      <w:r>
        <w:rPr>
          <w:rFonts w:hint="eastAsia"/>
          <w:sz w:val="21"/>
          <w:szCs w:val="21"/>
        </w:rPr>
        <w:t>（4）标的指数变更的风险</w:t>
      </w:r>
    </w:p>
    <w:p>
      <w:pPr>
        <w:pStyle w:val="7"/>
        <w:spacing w:before="0" w:beforeAutospacing="0" w:after="0" w:afterAutospacing="0" w:line="360" w:lineRule="auto"/>
        <w:ind w:firstLine="420"/>
        <w:rPr>
          <w:sz w:val="21"/>
          <w:szCs w:val="21"/>
        </w:rPr>
      </w:pPr>
      <w:r>
        <w:rPr>
          <w:rFonts w:hint="eastAsia"/>
          <w:sz w:val="21"/>
          <w:szCs w:val="21"/>
        </w:rPr>
        <w:t>根据基金合同的规定，因标的指数的编制与发布等原因，导致原标的指数不宜继续作为本基金的投资标的指数及业绩比较基准，本基金可能变更标的指数，基金的投资组合将随之调整，基金的收益风险特征可能发生变化，投资者还须承担投资组合调整所带来的风险与成本。</w:t>
      </w:r>
    </w:p>
    <w:p>
      <w:pPr>
        <w:pStyle w:val="7"/>
        <w:spacing w:before="0" w:beforeAutospacing="0" w:after="0" w:afterAutospacing="0" w:line="360" w:lineRule="auto"/>
        <w:ind w:firstLine="420"/>
        <w:rPr>
          <w:sz w:val="21"/>
          <w:szCs w:val="21"/>
        </w:rPr>
      </w:pPr>
      <w:r>
        <w:rPr>
          <w:rFonts w:hint="eastAsia"/>
          <w:sz w:val="21"/>
          <w:szCs w:val="21"/>
        </w:rPr>
        <w:t>（5）指数编制机构停止服务的风险</w:t>
      </w:r>
    </w:p>
    <w:p>
      <w:pPr>
        <w:pStyle w:val="7"/>
        <w:spacing w:before="0" w:beforeAutospacing="0" w:after="0" w:afterAutospacing="0" w:line="360" w:lineRule="auto"/>
        <w:ind w:firstLine="420"/>
        <w:rPr>
          <w:sz w:val="21"/>
          <w:szCs w:val="21"/>
        </w:rPr>
      </w:pPr>
      <w:r>
        <w:rPr>
          <w:rFonts w:hint="eastAsia"/>
          <w:sz w:val="21"/>
          <w:szCs w:val="21"/>
        </w:rPr>
        <w:t>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更换基金标的指数、转换运作方式、与其他基金合并或者终止基金合同等，并在6个月内召集基金份额持有人大会进行表决。因此，投资人将面临更换基金标的指数、转换运作方式、与其他基金合并或者终止基金合同等风险。</w:t>
      </w:r>
    </w:p>
    <w:p>
      <w:pPr>
        <w:pStyle w:val="7"/>
        <w:spacing w:before="0" w:beforeAutospacing="0" w:after="0" w:afterAutospacing="0" w:line="360" w:lineRule="auto"/>
        <w:ind w:firstLine="420"/>
        <w:rPr>
          <w:sz w:val="21"/>
          <w:szCs w:val="21"/>
        </w:rPr>
      </w:pPr>
      <w:r>
        <w:rPr>
          <w:rFonts w:hint="eastAsia"/>
          <w:sz w:val="21"/>
          <w:szCs w:val="21"/>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pPr>
        <w:pStyle w:val="7"/>
        <w:spacing w:before="0" w:beforeAutospacing="0" w:after="0" w:afterAutospacing="0" w:line="360" w:lineRule="auto"/>
        <w:ind w:firstLine="420"/>
        <w:rPr>
          <w:sz w:val="21"/>
          <w:szCs w:val="21"/>
        </w:rPr>
      </w:pPr>
      <w:r>
        <w:rPr>
          <w:rFonts w:hint="eastAsia"/>
          <w:sz w:val="21"/>
          <w:szCs w:val="21"/>
        </w:rPr>
        <w:t>（6）成份股停牌的风险</w:t>
      </w:r>
    </w:p>
    <w:p>
      <w:pPr>
        <w:pStyle w:val="7"/>
        <w:spacing w:before="0" w:beforeAutospacing="0" w:after="0" w:afterAutospacing="0" w:line="360" w:lineRule="auto"/>
        <w:ind w:firstLine="420"/>
        <w:rPr>
          <w:sz w:val="21"/>
          <w:szCs w:val="21"/>
        </w:rPr>
      </w:pPr>
      <w:r>
        <w:rPr>
          <w:rFonts w:hint="eastAsia"/>
          <w:sz w:val="21"/>
          <w:szCs w:val="21"/>
        </w:rPr>
        <w:t>标的指数成份股可能因各种原因临时或长期停牌，发生成份股停牌时可能面临如下风险：</w:t>
      </w:r>
    </w:p>
    <w:p>
      <w:pPr>
        <w:pStyle w:val="7"/>
        <w:spacing w:before="0" w:beforeAutospacing="0" w:after="0" w:afterAutospacing="0" w:line="360" w:lineRule="auto"/>
        <w:ind w:firstLine="420"/>
        <w:rPr>
          <w:sz w:val="21"/>
          <w:szCs w:val="21"/>
        </w:rPr>
      </w:pPr>
      <w:r>
        <w:rPr>
          <w:rFonts w:hint="eastAsia"/>
          <w:sz w:val="21"/>
          <w:szCs w:val="21"/>
        </w:rPr>
        <w:t>1）基金可能因无法及时调整投资组合而导致跟踪偏离度和跟踪误差扩大。</w:t>
      </w:r>
    </w:p>
    <w:p>
      <w:pPr>
        <w:pStyle w:val="7"/>
        <w:spacing w:before="0" w:beforeAutospacing="0" w:after="0" w:afterAutospacing="0" w:line="360" w:lineRule="auto"/>
        <w:ind w:firstLine="420"/>
        <w:rPr>
          <w:sz w:val="21"/>
          <w:szCs w:val="21"/>
        </w:rPr>
      </w:pPr>
      <w:r>
        <w:rPr>
          <w:rFonts w:hint="eastAsia"/>
          <w:sz w:val="21"/>
          <w:szCs w:val="21"/>
        </w:rPr>
        <w:t>2）在极端情况下，标的指数成份股可能大面积停牌，基金可能无法及时卖出成份股以获取足额的符合要求的赎回款项，由此基金管理人可能采取延缓支付赎回款项或者暂停赎回的措施，投资者将面临无法按时获得赎回款项或者无法赎回全部或部分基金份额的风险。</w:t>
      </w:r>
    </w:p>
    <w:p>
      <w:pPr>
        <w:pStyle w:val="7"/>
        <w:spacing w:before="0" w:beforeAutospacing="0" w:after="0" w:afterAutospacing="0" w:line="360" w:lineRule="auto"/>
        <w:ind w:firstLine="420"/>
        <w:rPr>
          <w:sz w:val="21"/>
          <w:szCs w:val="21"/>
        </w:rPr>
      </w:pPr>
      <w:r>
        <w:rPr>
          <w:rFonts w:hint="eastAsia"/>
          <w:sz w:val="21"/>
          <w:szCs w:val="21"/>
        </w:rPr>
        <w:t>（7）成份股退市的风险</w:t>
      </w:r>
    </w:p>
    <w:p>
      <w:pPr>
        <w:pStyle w:val="7"/>
        <w:spacing w:before="0" w:beforeAutospacing="0" w:after="0" w:afterAutospacing="0" w:line="360" w:lineRule="auto"/>
        <w:ind w:firstLine="420"/>
        <w:rPr>
          <w:sz w:val="21"/>
          <w:szCs w:val="21"/>
        </w:rPr>
      </w:pPr>
      <w:r>
        <w:rPr>
          <w:rFonts w:hint="eastAsia"/>
          <w:sz w:val="21"/>
          <w:szCs w:val="21"/>
        </w:rPr>
        <w:t>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w:t>
      </w:r>
    </w:p>
    <w:p>
      <w:pPr>
        <w:pStyle w:val="7"/>
        <w:spacing w:before="0" w:beforeAutospacing="0" w:after="0" w:afterAutospacing="0" w:line="360" w:lineRule="auto"/>
        <w:ind w:firstLine="420"/>
        <w:rPr>
          <w:sz w:val="21"/>
          <w:szCs w:val="21"/>
        </w:rPr>
      </w:pPr>
      <w:r>
        <w:rPr>
          <w:rFonts w:hint="eastAsia"/>
          <w:sz w:val="21"/>
          <w:szCs w:val="21"/>
        </w:rPr>
        <w:t>（8）跟踪误差控制未达约定目标的风险</w:t>
      </w:r>
    </w:p>
    <w:p>
      <w:pPr>
        <w:pStyle w:val="7"/>
        <w:spacing w:before="0" w:beforeAutospacing="0" w:after="0" w:afterAutospacing="0" w:line="360" w:lineRule="auto"/>
        <w:ind w:firstLine="420"/>
        <w:rPr>
          <w:sz w:val="21"/>
          <w:szCs w:val="21"/>
        </w:rPr>
      </w:pPr>
      <w:r>
        <w:rPr>
          <w:rFonts w:hint="eastAsia"/>
          <w:sz w:val="21"/>
          <w:szCs w:val="21"/>
        </w:rPr>
        <w:t>本基金力争控制投资组合的净值增长率与业绩比较基准之间的预期日均跟踪偏离度的绝对值小于0.35%，预期年化跟踪误差不超过4%，但因标的指数编制规则调整或其他因素可能导致跟踪误差超过上述范围，本基金净值表现与指数价格走势可能发生较大偏离。</w:t>
      </w:r>
    </w:p>
    <w:p>
      <w:pPr>
        <w:pStyle w:val="7"/>
        <w:spacing w:before="0" w:beforeAutospacing="0" w:after="0" w:afterAutospacing="0" w:line="360" w:lineRule="auto"/>
        <w:ind w:firstLine="420"/>
        <w:rPr>
          <w:sz w:val="21"/>
          <w:szCs w:val="21"/>
        </w:rPr>
      </w:pPr>
      <w:r>
        <w:rPr>
          <w:rFonts w:hint="eastAsia"/>
          <w:sz w:val="21"/>
          <w:szCs w:val="21"/>
        </w:rPr>
        <w:t>2、股指期货投资风险</w:t>
      </w:r>
    </w:p>
    <w:p>
      <w:pPr>
        <w:pStyle w:val="7"/>
        <w:spacing w:before="0" w:beforeAutospacing="0" w:after="0" w:afterAutospacing="0" w:line="360" w:lineRule="auto"/>
        <w:ind w:firstLine="420"/>
        <w:rPr>
          <w:sz w:val="21"/>
          <w:szCs w:val="21"/>
        </w:rPr>
      </w:pPr>
      <w:r>
        <w:rPr>
          <w:rFonts w:hint="eastAsia"/>
          <w:sz w:val="21"/>
          <w:szCs w:val="21"/>
        </w:rPr>
        <w:t>本基金的投资范围包括股指期货，股指期货的主要风险包括，杠杆风险、基差风险、合约展期风险、模型风险和强制平仓风险等。</w:t>
      </w:r>
    </w:p>
    <w:p>
      <w:pPr>
        <w:pStyle w:val="7"/>
        <w:spacing w:before="0" w:beforeAutospacing="0" w:after="0" w:afterAutospacing="0" w:line="360" w:lineRule="auto"/>
        <w:ind w:firstLine="420"/>
        <w:rPr>
          <w:sz w:val="21"/>
          <w:szCs w:val="21"/>
        </w:rPr>
      </w:pPr>
      <w:r>
        <w:rPr>
          <w:rFonts w:hint="eastAsia"/>
          <w:sz w:val="21"/>
          <w:szCs w:val="21"/>
        </w:rPr>
        <w:t>（1）杠杆风险</w:t>
      </w:r>
    </w:p>
    <w:p>
      <w:pPr>
        <w:pStyle w:val="7"/>
        <w:spacing w:before="0" w:beforeAutospacing="0" w:after="0" w:afterAutospacing="0" w:line="360" w:lineRule="auto"/>
        <w:ind w:firstLine="420"/>
        <w:rPr>
          <w:sz w:val="21"/>
          <w:szCs w:val="21"/>
        </w:rPr>
      </w:pPr>
      <w:r>
        <w:rPr>
          <w:rFonts w:hint="eastAsia"/>
          <w:sz w:val="21"/>
          <w:szCs w:val="21"/>
        </w:rPr>
        <w:t>股指期货投资具有高杠杆特性，因此会放大基础资产所产生的盈利或损失，加大本基金收益的波动性。</w:t>
      </w:r>
    </w:p>
    <w:p>
      <w:pPr>
        <w:pStyle w:val="7"/>
        <w:spacing w:before="0" w:beforeAutospacing="0" w:after="0" w:afterAutospacing="0" w:line="360" w:lineRule="auto"/>
        <w:ind w:firstLine="420"/>
        <w:rPr>
          <w:sz w:val="21"/>
          <w:szCs w:val="21"/>
        </w:rPr>
      </w:pPr>
      <w:r>
        <w:rPr>
          <w:rFonts w:hint="eastAsia"/>
          <w:sz w:val="21"/>
          <w:szCs w:val="21"/>
        </w:rPr>
        <w:t>（2）基差风险</w:t>
      </w:r>
    </w:p>
    <w:p>
      <w:pPr>
        <w:pStyle w:val="7"/>
        <w:spacing w:before="0" w:beforeAutospacing="0" w:after="0" w:afterAutospacing="0" w:line="360" w:lineRule="auto"/>
        <w:ind w:firstLine="420"/>
        <w:rPr>
          <w:sz w:val="21"/>
          <w:szCs w:val="21"/>
        </w:rPr>
      </w:pPr>
      <w:r>
        <w:rPr>
          <w:rFonts w:hint="eastAsia"/>
          <w:sz w:val="21"/>
          <w:szCs w:val="21"/>
        </w:rPr>
        <w:t>基差是指股票指数现货价格与股指期货价格之间的差额。若本基金运作中出现基差波动不确定性加大、基差向不利方向变动等情况，则可能对本基金投资产生影响。</w:t>
      </w:r>
    </w:p>
    <w:p>
      <w:pPr>
        <w:pStyle w:val="7"/>
        <w:spacing w:before="0" w:beforeAutospacing="0" w:after="0" w:afterAutospacing="0" w:line="360" w:lineRule="auto"/>
        <w:ind w:firstLine="420"/>
        <w:rPr>
          <w:sz w:val="21"/>
          <w:szCs w:val="21"/>
        </w:rPr>
      </w:pPr>
      <w:r>
        <w:rPr>
          <w:rFonts w:hint="eastAsia"/>
          <w:sz w:val="21"/>
          <w:szCs w:val="21"/>
        </w:rPr>
        <w:t>（3）合约展期风险</w:t>
      </w:r>
    </w:p>
    <w:p>
      <w:pPr>
        <w:pStyle w:val="7"/>
        <w:spacing w:before="0" w:beforeAutospacing="0" w:after="0" w:afterAutospacing="0" w:line="360" w:lineRule="auto"/>
        <w:ind w:firstLine="420"/>
        <w:rPr>
          <w:sz w:val="21"/>
          <w:szCs w:val="21"/>
        </w:rPr>
      </w:pPr>
      <w:r>
        <w:rPr>
          <w:rFonts w:hint="eastAsia"/>
          <w:sz w:val="21"/>
          <w:szCs w:val="21"/>
        </w:rPr>
        <w:t>本基金所投资的期货合约主要包括股指期货当月和近月合约。当基金所持有的合约临近交割期限，即需要向较远月份的合约进行展期，展期过程中可能发生价差损失以及交易成本损失，将对投资收益产生影响。</w:t>
      </w:r>
    </w:p>
    <w:p>
      <w:pPr>
        <w:pStyle w:val="7"/>
        <w:spacing w:before="0" w:beforeAutospacing="0" w:after="0" w:afterAutospacing="0" w:line="360" w:lineRule="auto"/>
        <w:ind w:firstLine="420"/>
        <w:rPr>
          <w:sz w:val="21"/>
          <w:szCs w:val="21"/>
        </w:rPr>
      </w:pPr>
      <w:r>
        <w:rPr>
          <w:rFonts w:hint="eastAsia"/>
          <w:sz w:val="21"/>
          <w:szCs w:val="21"/>
        </w:rPr>
        <w:t>（4）模型风险</w:t>
      </w:r>
    </w:p>
    <w:p>
      <w:pPr>
        <w:pStyle w:val="7"/>
        <w:spacing w:before="0" w:beforeAutospacing="0" w:after="0" w:afterAutospacing="0" w:line="360" w:lineRule="auto"/>
        <w:ind w:firstLine="420"/>
        <w:rPr>
          <w:sz w:val="21"/>
          <w:szCs w:val="21"/>
        </w:rPr>
      </w:pPr>
      <w:r>
        <w:rPr>
          <w:rFonts w:hint="eastAsia"/>
          <w:sz w:val="21"/>
          <w:szCs w:val="21"/>
        </w:rPr>
        <w:t>股指期货合约属于虚拟投资品种，投资过程中需要通过模型进行风险定价，当投资人员使用了错误模型或者选择了不当的参数，会导致对风险或交易价格的估计错误而造成损失，损害本基金的投资收益。</w:t>
      </w:r>
    </w:p>
    <w:p>
      <w:pPr>
        <w:pStyle w:val="7"/>
        <w:spacing w:before="0" w:beforeAutospacing="0" w:after="0" w:afterAutospacing="0" w:line="360" w:lineRule="auto"/>
        <w:ind w:firstLine="420"/>
        <w:rPr>
          <w:sz w:val="21"/>
          <w:szCs w:val="21"/>
        </w:rPr>
      </w:pPr>
      <w:r>
        <w:rPr>
          <w:rFonts w:hint="eastAsia"/>
          <w:sz w:val="21"/>
          <w:szCs w:val="21"/>
        </w:rPr>
        <w:t>（5）强制平仓的风险</w:t>
      </w:r>
    </w:p>
    <w:p>
      <w:pPr>
        <w:pStyle w:val="7"/>
        <w:spacing w:before="0" w:beforeAutospacing="0" w:after="0" w:afterAutospacing="0" w:line="360" w:lineRule="auto"/>
        <w:ind w:firstLine="420"/>
        <w:rPr>
          <w:sz w:val="21"/>
          <w:szCs w:val="21"/>
        </w:rPr>
      </w:pPr>
      <w:r>
        <w:rPr>
          <w:rFonts w:hint="eastAsia"/>
          <w:sz w:val="21"/>
          <w:szCs w:val="21"/>
        </w:rPr>
        <w:t>股指期货采用每日无负债结算制度，如果没有在规定的时间内补足保证金，按规定将被强制平仓，可能给投资带来重大损失。</w:t>
      </w:r>
    </w:p>
    <w:p>
      <w:pPr>
        <w:pStyle w:val="7"/>
        <w:spacing w:before="0" w:beforeAutospacing="0" w:after="0" w:afterAutospacing="0" w:line="360" w:lineRule="auto"/>
        <w:ind w:firstLine="420"/>
        <w:rPr>
          <w:sz w:val="21"/>
          <w:szCs w:val="21"/>
        </w:rPr>
      </w:pPr>
      <w:r>
        <w:rPr>
          <w:rFonts w:hint="eastAsia"/>
          <w:sz w:val="21"/>
          <w:szCs w:val="21"/>
        </w:rPr>
        <w:t>3、国债期货投资风险</w:t>
      </w:r>
    </w:p>
    <w:p>
      <w:pPr>
        <w:pStyle w:val="7"/>
        <w:spacing w:before="0" w:beforeAutospacing="0" w:after="0" w:afterAutospacing="0" w:line="360" w:lineRule="auto"/>
        <w:ind w:firstLine="420"/>
        <w:rPr>
          <w:sz w:val="21"/>
          <w:szCs w:val="21"/>
        </w:rPr>
      </w:pPr>
      <w:r>
        <w:rPr>
          <w:rFonts w:hint="eastAsia"/>
          <w:sz w:val="21"/>
          <w:szCs w:val="21"/>
        </w:rPr>
        <w:t>本基金的一部分资产将可能投资于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w:t>
      </w:r>
    </w:p>
    <w:p>
      <w:pPr>
        <w:pStyle w:val="7"/>
        <w:spacing w:before="0" w:beforeAutospacing="0" w:after="0" w:afterAutospacing="0" w:line="360" w:lineRule="auto"/>
        <w:ind w:firstLine="420"/>
        <w:rPr>
          <w:sz w:val="21"/>
          <w:szCs w:val="21"/>
        </w:rPr>
      </w:pPr>
      <w:r>
        <w:rPr>
          <w:rFonts w:hint="eastAsia"/>
          <w:sz w:val="21"/>
          <w:szCs w:val="21"/>
        </w:rPr>
        <w:t>4、股票期权投资风险</w:t>
      </w:r>
    </w:p>
    <w:p>
      <w:pPr>
        <w:pStyle w:val="7"/>
        <w:spacing w:before="0" w:beforeAutospacing="0" w:after="0" w:afterAutospacing="0" w:line="360" w:lineRule="auto"/>
        <w:ind w:firstLine="420"/>
        <w:rPr>
          <w:sz w:val="21"/>
          <w:szCs w:val="21"/>
        </w:rPr>
      </w:pPr>
      <w:r>
        <w:rPr>
          <w:rFonts w:hint="eastAsia"/>
          <w:sz w:val="21"/>
          <w:szCs w:val="21"/>
        </w:rPr>
        <w:t>（1）流动性风险：由于股票期权合约众多，交易较为分散，股票期权市场的流动性一般较期货市场要低，尤其是深度实值和虚值的股票期权，成交量稀少，持有这些股票期权的投资者容易遇到无法成交、平仓出局的局面。</w:t>
      </w:r>
    </w:p>
    <w:p>
      <w:pPr>
        <w:pStyle w:val="7"/>
        <w:spacing w:before="0" w:beforeAutospacing="0" w:after="0" w:afterAutospacing="0" w:line="360" w:lineRule="auto"/>
        <w:ind w:firstLine="420"/>
        <w:rPr>
          <w:sz w:val="21"/>
          <w:szCs w:val="21"/>
        </w:rPr>
      </w:pPr>
      <w:r>
        <w:rPr>
          <w:rFonts w:hint="eastAsia"/>
          <w:sz w:val="21"/>
          <w:szCs w:val="21"/>
        </w:rPr>
        <w:t>（2）价格风险：股票期权买方的价格风险即为他所付出的权利金，风险具有确定性。股票期权卖方的价格风险不定，不过其所收取的权利金可以提供相应保护，当发生亏损时，可以抵消部分损失。</w:t>
      </w:r>
    </w:p>
    <w:p>
      <w:pPr>
        <w:pStyle w:val="7"/>
        <w:spacing w:before="0" w:beforeAutospacing="0" w:after="0" w:afterAutospacing="0" w:line="360" w:lineRule="auto"/>
        <w:ind w:firstLine="420"/>
        <w:rPr>
          <w:sz w:val="21"/>
          <w:szCs w:val="21"/>
        </w:rPr>
      </w:pPr>
      <w:r>
        <w:rPr>
          <w:rFonts w:hint="eastAsia"/>
          <w:sz w:val="21"/>
          <w:szCs w:val="21"/>
        </w:rPr>
        <w:t>（3）操作风险：操作风险是指由于管理不善或者制度执行出现问题等原因所导致的风险。股票期权作为一种衍生品，虽然可以用来管理风险，但若使用不当，也会产生巨额损失。</w:t>
      </w:r>
    </w:p>
    <w:p>
      <w:pPr>
        <w:pStyle w:val="7"/>
        <w:spacing w:before="0" w:beforeAutospacing="0" w:after="0" w:afterAutospacing="0" w:line="360" w:lineRule="auto"/>
        <w:ind w:firstLine="420"/>
        <w:rPr>
          <w:sz w:val="21"/>
          <w:szCs w:val="21"/>
        </w:rPr>
      </w:pPr>
      <w:r>
        <w:rPr>
          <w:rFonts w:hint="eastAsia"/>
          <w:sz w:val="21"/>
          <w:szCs w:val="21"/>
        </w:rPr>
        <w:t>5、资产支持证券（ABS）的投资风险</w:t>
      </w:r>
    </w:p>
    <w:p>
      <w:pPr>
        <w:pStyle w:val="7"/>
        <w:spacing w:before="0" w:beforeAutospacing="0" w:after="0" w:afterAutospacing="0" w:line="360" w:lineRule="auto"/>
        <w:ind w:firstLine="420"/>
        <w:rPr>
          <w:sz w:val="21"/>
          <w:szCs w:val="21"/>
        </w:rPr>
      </w:pPr>
      <w:r>
        <w:rPr>
          <w:rFonts w:hint="eastAsia"/>
          <w:sz w:val="21"/>
          <w:szCs w:val="21"/>
        </w:rPr>
        <w:t>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w:t>
      </w:r>
    </w:p>
    <w:p>
      <w:pPr>
        <w:pStyle w:val="7"/>
        <w:spacing w:before="0" w:beforeAutospacing="0" w:after="0" w:afterAutospacing="0" w:line="360" w:lineRule="auto"/>
        <w:ind w:firstLine="420"/>
        <w:rPr>
          <w:sz w:val="21"/>
          <w:szCs w:val="21"/>
        </w:rPr>
      </w:pPr>
      <w:r>
        <w:rPr>
          <w:rFonts w:hint="eastAsia"/>
          <w:sz w:val="21"/>
          <w:szCs w:val="21"/>
        </w:rPr>
        <w:t>6、港股通机制下，港股投资风险</w:t>
      </w:r>
    </w:p>
    <w:p>
      <w:pPr>
        <w:pStyle w:val="7"/>
        <w:spacing w:before="0" w:beforeAutospacing="0" w:after="0" w:afterAutospacing="0" w:line="360" w:lineRule="auto"/>
        <w:ind w:firstLine="420"/>
        <w:rPr>
          <w:sz w:val="21"/>
          <w:szCs w:val="21"/>
        </w:rPr>
      </w:pPr>
      <w:r>
        <w:rPr>
          <w:rFonts w:hint="eastAsia"/>
          <w:sz w:val="21"/>
          <w:szCs w:val="21"/>
        </w:rPr>
        <w:t>本基金可少量投资港股通标的股票，除与其他投资于内地市场股票的基金所面临的共同风险外，本基金还面临港股通机制下因投资环境、投资者结构、投资标的构成、市场制度以及交易规则等差异所带来的特有风险，包括但不限于：</w:t>
      </w:r>
    </w:p>
    <w:p>
      <w:pPr>
        <w:pStyle w:val="7"/>
        <w:spacing w:before="0" w:beforeAutospacing="0" w:after="0" w:afterAutospacing="0" w:line="360" w:lineRule="auto"/>
        <w:ind w:firstLine="420"/>
        <w:rPr>
          <w:sz w:val="21"/>
          <w:szCs w:val="21"/>
        </w:rPr>
      </w:pPr>
      <w:r>
        <w:rPr>
          <w:rFonts w:hint="eastAsia"/>
          <w:sz w:val="21"/>
          <w:szCs w:val="21"/>
        </w:rPr>
        <w:t>（1）市场联动的风险</w:t>
      </w:r>
    </w:p>
    <w:p>
      <w:pPr>
        <w:pStyle w:val="7"/>
        <w:spacing w:before="0" w:beforeAutospacing="0" w:after="0" w:afterAutospacing="0" w:line="360" w:lineRule="auto"/>
        <w:ind w:firstLine="420"/>
        <w:rPr>
          <w:sz w:val="21"/>
          <w:szCs w:val="21"/>
        </w:rPr>
      </w:pPr>
      <w:r>
        <w:rPr>
          <w:rFonts w:hint="eastAsia"/>
          <w:sz w:val="21"/>
          <w:szCs w:val="21"/>
        </w:rPr>
        <w:t>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同时，在特殊情况下，本基金将少量投资于港股通标的股票以进行替代复制。对于同时有A股、H股的指数成份公司，如果该公司A股长期停牌，组合无法买入该股票时，可以买入该公司H股进行替代。当同一公司A股和H股股价及走势出现大幅偏离时可能导致组合跟踪误差扩大。</w:t>
      </w:r>
    </w:p>
    <w:p>
      <w:pPr>
        <w:pStyle w:val="7"/>
        <w:spacing w:before="0" w:beforeAutospacing="0" w:after="0" w:afterAutospacing="0" w:line="360" w:lineRule="auto"/>
        <w:ind w:firstLine="420"/>
        <w:rPr>
          <w:sz w:val="21"/>
          <w:szCs w:val="21"/>
        </w:rPr>
      </w:pPr>
      <w:r>
        <w:rPr>
          <w:rFonts w:hint="eastAsia"/>
          <w:sz w:val="21"/>
          <w:szCs w:val="21"/>
        </w:rPr>
        <w:t>（2）股价波动的风险</w:t>
      </w:r>
    </w:p>
    <w:p>
      <w:pPr>
        <w:pStyle w:val="7"/>
        <w:spacing w:before="0" w:beforeAutospacing="0" w:after="0" w:afterAutospacing="0" w:line="360" w:lineRule="auto"/>
        <w:ind w:firstLine="420"/>
        <w:rPr>
          <w:sz w:val="21"/>
          <w:szCs w:val="21"/>
        </w:rPr>
      </w:pPr>
      <w:r>
        <w:rPr>
          <w:rFonts w:hint="eastAsia"/>
          <w:sz w:val="21"/>
          <w:szCs w:val="21"/>
        </w:rPr>
        <w:t>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w:t>
      </w:r>
    </w:p>
    <w:p>
      <w:pPr>
        <w:pStyle w:val="7"/>
        <w:spacing w:before="0" w:beforeAutospacing="0" w:after="0" w:afterAutospacing="0" w:line="360" w:lineRule="auto"/>
        <w:ind w:firstLine="420"/>
        <w:rPr>
          <w:sz w:val="21"/>
          <w:szCs w:val="21"/>
        </w:rPr>
      </w:pPr>
      <w:r>
        <w:rPr>
          <w:rFonts w:hint="eastAsia"/>
          <w:sz w:val="21"/>
          <w:szCs w:val="21"/>
        </w:rPr>
        <w:t>（3）汇率风险</w:t>
      </w:r>
    </w:p>
    <w:p>
      <w:pPr>
        <w:pStyle w:val="7"/>
        <w:spacing w:before="0" w:beforeAutospacing="0" w:after="0" w:afterAutospacing="0" w:line="360" w:lineRule="auto"/>
        <w:ind w:firstLine="420"/>
        <w:rPr>
          <w:sz w:val="21"/>
          <w:szCs w:val="21"/>
        </w:rPr>
      </w:pPr>
      <w:r>
        <w:rPr>
          <w:rFonts w:hint="eastAsia"/>
          <w:sz w:val="21"/>
          <w:szCs w:val="21"/>
        </w:rPr>
        <w:t>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w:t>
      </w:r>
    </w:p>
    <w:p>
      <w:pPr>
        <w:pStyle w:val="7"/>
        <w:spacing w:before="0" w:beforeAutospacing="0" w:after="0" w:afterAutospacing="0" w:line="360" w:lineRule="auto"/>
        <w:ind w:firstLine="420"/>
        <w:rPr>
          <w:sz w:val="21"/>
          <w:szCs w:val="21"/>
        </w:rPr>
      </w:pPr>
      <w:r>
        <w:rPr>
          <w:rFonts w:hint="eastAsia"/>
          <w:sz w:val="21"/>
          <w:szCs w:val="21"/>
        </w:rPr>
        <w:t>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w:t>
      </w:r>
    </w:p>
    <w:p>
      <w:pPr>
        <w:pStyle w:val="7"/>
        <w:spacing w:before="0" w:beforeAutospacing="0" w:after="0" w:afterAutospacing="0" w:line="360" w:lineRule="auto"/>
        <w:ind w:firstLine="420"/>
        <w:rPr>
          <w:sz w:val="21"/>
          <w:szCs w:val="21"/>
        </w:rPr>
      </w:pPr>
      <w:r>
        <w:rPr>
          <w:rFonts w:hint="eastAsia"/>
          <w:sz w:val="21"/>
          <w:szCs w:val="21"/>
        </w:rPr>
        <w:t>（4）港股通额度限制</w:t>
      </w:r>
    </w:p>
    <w:p>
      <w:pPr>
        <w:pStyle w:val="7"/>
        <w:spacing w:before="0" w:beforeAutospacing="0" w:after="0" w:afterAutospacing="0" w:line="360" w:lineRule="auto"/>
        <w:ind w:firstLine="420"/>
        <w:rPr>
          <w:sz w:val="21"/>
          <w:szCs w:val="21"/>
        </w:rPr>
      </w:pPr>
      <w:r>
        <w:rPr>
          <w:rFonts w:hint="eastAsia"/>
          <w:sz w:val="21"/>
          <w:szCs w:val="21"/>
        </w:rPr>
        <w:t>现行的港股通规则，对港股通设有每日额度上限的限制；本基金可能因为港股通市场每日额度不足，而不能买入看好之投资标的进而错失投资机会的风险。</w:t>
      </w:r>
    </w:p>
    <w:p>
      <w:pPr>
        <w:pStyle w:val="7"/>
        <w:spacing w:before="0" w:beforeAutospacing="0" w:after="0" w:afterAutospacing="0" w:line="360" w:lineRule="auto"/>
        <w:ind w:firstLine="420"/>
        <w:rPr>
          <w:sz w:val="21"/>
          <w:szCs w:val="21"/>
        </w:rPr>
      </w:pPr>
      <w:r>
        <w:rPr>
          <w:rFonts w:hint="eastAsia"/>
          <w:sz w:val="21"/>
          <w:szCs w:val="21"/>
        </w:rPr>
        <w:t>（5）港股通可投资标的范围调整带来的风险</w:t>
      </w:r>
    </w:p>
    <w:p>
      <w:pPr>
        <w:pStyle w:val="7"/>
        <w:spacing w:before="0" w:beforeAutospacing="0" w:after="0" w:afterAutospacing="0" w:line="360" w:lineRule="auto"/>
        <w:ind w:firstLine="420"/>
        <w:rPr>
          <w:sz w:val="21"/>
          <w:szCs w:val="21"/>
        </w:rPr>
      </w:pPr>
      <w:r>
        <w:rPr>
          <w:rFonts w:hint="eastAsia"/>
          <w:sz w:val="21"/>
          <w:szCs w:val="21"/>
        </w:rPr>
        <w:t>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w:t>
      </w:r>
    </w:p>
    <w:p>
      <w:pPr>
        <w:pStyle w:val="7"/>
        <w:spacing w:before="0" w:beforeAutospacing="0" w:after="0" w:afterAutospacing="0" w:line="360" w:lineRule="auto"/>
        <w:ind w:firstLine="420"/>
        <w:rPr>
          <w:sz w:val="21"/>
          <w:szCs w:val="21"/>
        </w:rPr>
      </w:pPr>
      <w:r>
        <w:rPr>
          <w:rFonts w:hint="eastAsia"/>
          <w:sz w:val="21"/>
          <w:szCs w:val="21"/>
        </w:rPr>
        <w:t>（6）港股通交易日设定的风险</w:t>
      </w:r>
    </w:p>
    <w:p>
      <w:pPr>
        <w:pStyle w:val="7"/>
        <w:spacing w:before="0" w:beforeAutospacing="0" w:after="0" w:afterAutospacing="0" w:line="360" w:lineRule="auto"/>
        <w:ind w:firstLine="420"/>
        <w:rPr>
          <w:sz w:val="21"/>
          <w:szCs w:val="21"/>
        </w:rPr>
      </w:pPr>
      <w:r>
        <w:rPr>
          <w:rFonts w:hint="eastAsia"/>
          <w:sz w:val="21"/>
          <w:szCs w:val="21"/>
        </w:rPr>
        <w:t>根据现行的港股通规则，只有内地与香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w:t>
      </w:r>
    </w:p>
    <w:p>
      <w:pPr>
        <w:pStyle w:val="7"/>
        <w:spacing w:before="0" w:beforeAutospacing="0" w:after="0" w:afterAutospacing="0" w:line="360" w:lineRule="auto"/>
        <w:ind w:firstLine="420"/>
        <w:rPr>
          <w:sz w:val="21"/>
          <w:szCs w:val="21"/>
        </w:rPr>
      </w:pPr>
      <w:r>
        <w:rPr>
          <w:rFonts w:hint="eastAsia"/>
          <w:sz w:val="21"/>
          <w:szCs w:val="21"/>
        </w:rPr>
        <w:t>（7）交收制度带来的基金流动性风险</w:t>
      </w:r>
    </w:p>
    <w:p>
      <w:pPr>
        <w:pStyle w:val="7"/>
        <w:spacing w:before="0" w:beforeAutospacing="0" w:after="0" w:afterAutospacing="0" w:line="360" w:lineRule="auto"/>
        <w:ind w:firstLine="420"/>
        <w:rPr>
          <w:sz w:val="21"/>
          <w:szCs w:val="21"/>
        </w:rPr>
      </w:pPr>
      <w:r>
        <w:rPr>
          <w:rFonts w:hint="eastAsia"/>
          <w:sz w:val="21"/>
          <w:szCs w:val="21"/>
        </w:rPr>
        <w:t>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w:t>
      </w:r>
    </w:p>
    <w:p>
      <w:pPr>
        <w:pStyle w:val="7"/>
        <w:spacing w:before="0" w:beforeAutospacing="0" w:after="0" w:afterAutospacing="0" w:line="360" w:lineRule="auto"/>
        <w:ind w:firstLine="420"/>
        <w:rPr>
          <w:sz w:val="21"/>
          <w:szCs w:val="21"/>
        </w:rPr>
      </w:pPr>
      <w:r>
        <w:rPr>
          <w:rFonts w:hint="eastAsia"/>
          <w:sz w:val="21"/>
          <w:szCs w:val="21"/>
        </w:rPr>
        <w:t>（8）港股通下对公司行为的处理规则带来的风险</w:t>
      </w:r>
    </w:p>
    <w:p>
      <w:pPr>
        <w:pStyle w:val="7"/>
        <w:spacing w:before="0" w:beforeAutospacing="0" w:after="0" w:afterAutospacing="0" w:line="360" w:lineRule="auto"/>
        <w:ind w:firstLine="420"/>
        <w:rPr>
          <w:sz w:val="21"/>
          <w:szCs w:val="21"/>
        </w:rPr>
      </w:pPr>
      <w:r>
        <w:rPr>
          <w:rFonts w:hint="eastAsia"/>
          <w:sz w:val="21"/>
          <w:szCs w:val="21"/>
        </w:rPr>
        <w:t>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w:t>
      </w:r>
    </w:p>
    <w:p>
      <w:pPr>
        <w:pStyle w:val="7"/>
        <w:spacing w:before="0" w:beforeAutospacing="0" w:after="0" w:afterAutospacing="0" w:line="360" w:lineRule="auto"/>
        <w:ind w:firstLine="420"/>
        <w:rPr>
          <w:sz w:val="21"/>
          <w:szCs w:val="21"/>
        </w:rPr>
      </w:pPr>
      <w:r>
        <w:rPr>
          <w:rFonts w:hint="eastAsia"/>
          <w:sz w:val="21"/>
          <w:szCs w:val="21"/>
        </w:rPr>
        <w:t>本基金存在因上述规则，利益得不到最大化甚至受损的风险。</w:t>
      </w:r>
    </w:p>
    <w:p>
      <w:pPr>
        <w:pStyle w:val="7"/>
        <w:spacing w:before="0" w:beforeAutospacing="0" w:after="0" w:afterAutospacing="0" w:line="360" w:lineRule="auto"/>
        <w:ind w:firstLine="420"/>
        <w:rPr>
          <w:sz w:val="21"/>
          <w:szCs w:val="21"/>
        </w:rPr>
      </w:pPr>
      <w:r>
        <w:rPr>
          <w:rFonts w:hint="eastAsia"/>
          <w:sz w:val="21"/>
          <w:szCs w:val="21"/>
        </w:rPr>
        <w:t>（9）香港联合交易所停牌、退市等制度性差异带来的风险</w:t>
      </w:r>
    </w:p>
    <w:p>
      <w:pPr>
        <w:pStyle w:val="7"/>
        <w:spacing w:before="0" w:beforeAutospacing="0" w:after="0" w:afterAutospacing="0" w:line="360" w:lineRule="auto"/>
        <w:ind w:firstLine="420"/>
        <w:rPr>
          <w:sz w:val="21"/>
          <w:szCs w:val="21"/>
        </w:rPr>
      </w:pPr>
      <w:r>
        <w:rPr>
          <w:rFonts w:hint="eastAsia"/>
          <w:sz w:val="21"/>
          <w:szCs w:val="21"/>
        </w:rPr>
        <w:t>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w:t>
      </w:r>
    </w:p>
    <w:p>
      <w:pPr>
        <w:pStyle w:val="7"/>
        <w:spacing w:before="0" w:beforeAutospacing="0" w:after="0" w:afterAutospacing="0" w:line="360" w:lineRule="auto"/>
        <w:ind w:firstLine="420"/>
        <w:rPr>
          <w:sz w:val="21"/>
          <w:szCs w:val="21"/>
        </w:rPr>
      </w:pPr>
      <w:r>
        <w:rPr>
          <w:rFonts w:hint="eastAsia"/>
          <w:sz w:val="21"/>
          <w:szCs w:val="21"/>
        </w:rPr>
        <w:t>因该等制度性差异，本基金可能存在因所持个股遭遇非预期性的停牌甚至退市而给基金带来损失的风险。</w:t>
      </w:r>
    </w:p>
    <w:p>
      <w:pPr>
        <w:pStyle w:val="7"/>
        <w:spacing w:before="0" w:beforeAutospacing="0" w:after="0" w:afterAutospacing="0" w:line="360" w:lineRule="auto"/>
        <w:ind w:firstLine="420"/>
        <w:rPr>
          <w:sz w:val="21"/>
          <w:szCs w:val="21"/>
        </w:rPr>
      </w:pPr>
      <w:r>
        <w:rPr>
          <w:rFonts w:hint="eastAsia"/>
          <w:sz w:val="21"/>
          <w:szCs w:val="21"/>
        </w:rPr>
        <w:t>（10）港股通规则变动带来的风险</w:t>
      </w:r>
    </w:p>
    <w:p>
      <w:pPr>
        <w:pStyle w:val="7"/>
        <w:spacing w:before="0" w:beforeAutospacing="0" w:after="0" w:afterAutospacing="0" w:line="360" w:lineRule="auto"/>
        <w:ind w:firstLine="420"/>
        <w:rPr>
          <w:sz w:val="21"/>
          <w:szCs w:val="21"/>
        </w:rPr>
      </w:pPr>
      <w:r>
        <w:rPr>
          <w:rFonts w:hint="eastAsia"/>
          <w:sz w:val="21"/>
          <w:szCs w:val="21"/>
        </w:rPr>
        <w:t>本基金是在港股通机制和规则下参与香港联交所证券的投资，受港股通规则的限制和影响；本基金存在因港股通规则变动而带来基金投资受阻或所持资产组合价值发生波动的风险。</w:t>
      </w:r>
    </w:p>
    <w:p>
      <w:pPr>
        <w:pStyle w:val="7"/>
        <w:spacing w:before="0" w:beforeAutospacing="0" w:after="0" w:afterAutospacing="0" w:line="360" w:lineRule="auto"/>
        <w:ind w:firstLine="420"/>
        <w:rPr>
          <w:sz w:val="21"/>
          <w:szCs w:val="21"/>
        </w:rPr>
      </w:pPr>
      <w:r>
        <w:rPr>
          <w:rFonts w:hint="eastAsia"/>
          <w:sz w:val="21"/>
          <w:szCs w:val="21"/>
        </w:rPr>
        <w:t>（11）其他可能的风险</w:t>
      </w:r>
    </w:p>
    <w:p>
      <w:pPr>
        <w:pStyle w:val="7"/>
        <w:spacing w:before="0" w:beforeAutospacing="0" w:after="0" w:afterAutospacing="0" w:line="360" w:lineRule="auto"/>
        <w:ind w:firstLine="420"/>
        <w:rPr>
          <w:sz w:val="21"/>
          <w:szCs w:val="21"/>
        </w:rPr>
      </w:pPr>
      <w:r>
        <w:rPr>
          <w:rFonts w:hint="eastAsia"/>
          <w:sz w:val="21"/>
          <w:szCs w:val="21"/>
        </w:rPr>
        <w:t>除上述显著风险外，本基金参与港股通投资，还可能面临的其他风险，包括但不限于：</w:t>
      </w:r>
    </w:p>
    <w:p>
      <w:pPr>
        <w:pStyle w:val="7"/>
        <w:spacing w:before="0" w:beforeAutospacing="0" w:after="0" w:afterAutospacing="0" w:line="360" w:lineRule="auto"/>
        <w:ind w:firstLine="420"/>
        <w:rPr>
          <w:sz w:val="21"/>
          <w:szCs w:val="21"/>
        </w:rPr>
      </w:pPr>
      <w:r>
        <w:rPr>
          <w:rFonts w:hint="eastAsia"/>
          <w:sz w:val="21"/>
          <w:szCs w:val="21"/>
        </w:rPr>
        <w:t>1）除因股票交易而发生的佣金、交易征费、交易费、交易系统费、印花税、过户费等税费外，在不进行交易时也可能要继续缴纳证券组合费等项费用，本基金存在因费用估算不准而导致账户透支的风险；</w:t>
      </w:r>
    </w:p>
    <w:p>
      <w:pPr>
        <w:pStyle w:val="7"/>
        <w:spacing w:before="0" w:beforeAutospacing="0" w:after="0" w:afterAutospacing="0" w:line="360" w:lineRule="auto"/>
        <w:ind w:firstLine="420"/>
        <w:rPr>
          <w:sz w:val="21"/>
          <w:szCs w:val="21"/>
        </w:rPr>
      </w:pPr>
      <w:r>
        <w:rPr>
          <w:rFonts w:hint="eastAsia"/>
          <w:sz w:val="21"/>
          <w:szCs w:val="21"/>
        </w:rPr>
        <w:t>2）在香港市场，部分中小市值港股成交量则相对较少，流动性较为缺乏，本基金投资此类股票可能因缺乏交易对手而面临个股流动性风险；</w:t>
      </w:r>
    </w:p>
    <w:p>
      <w:pPr>
        <w:pStyle w:val="7"/>
        <w:spacing w:before="0" w:beforeAutospacing="0" w:after="0" w:afterAutospacing="0" w:line="360" w:lineRule="auto"/>
        <w:ind w:firstLine="420"/>
        <w:rPr>
          <w:sz w:val="21"/>
          <w:szCs w:val="21"/>
        </w:rPr>
      </w:pPr>
      <w:r>
        <w:rPr>
          <w:rFonts w:hint="eastAsia"/>
          <w:sz w:val="21"/>
          <w:szCs w:val="21"/>
        </w:rPr>
        <w:t>3）在本基金参与港股通交易中若香港联交所与内地交易所的证券交易服务公司之间的报盘系统或者通信链路出现故障，可能导致15分钟以上不能申报和撤销申报的交易中断风险；</w:t>
      </w:r>
    </w:p>
    <w:p>
      <w:pPr>
        <w:pStyle w:val="7"/>
        <w:spacing w:before="0" w:beforeAutospacing="0" w:after="0" w:afterAutospacing="0" w:line="360" w:lineRule="auto"/>
        <w:ind w:firstLine="420"/>
        <w:rPr>
          <w:sz w:val="21"/>
          <w:szCs w:val="21"/>
        </w:rPr>
      </w:pPr>
      <w:r>
        <w:rPr>
          <w:rFonts w:hint="eastAsia"/>
          <w:sz w:val="21"/>
          <w:szCs w:val="21"/>
        </w:rPr>
        <w:t>4）存在港股通香港结算机构因极端情况下无法交付证券和资金的结算风险；另外港股通境内结算实施分级结算原则，本基金可能面临 以下风险：①因结算参与人未完成与中国结算的集中交收，导致本基金应收资金或证券被暂不交付或处置；②结算参与人对本基金出现交收违约导致本基金未能取得应收证券或资金；③结算参与人向中国结算发送的有关本基金的证券划付指令有误的导致本基金权益受损；④其他因结算参与人未遵守相关业务规则导致本基金利益受到损害的情况。</w:t>
      </w:r>
    </w:p>
    <w:p>
      <w:pPr>
        <w:pStyle w:val="7"/>
        <w:spacing w:before="0" w:beforeAutospacing="0" w:after="0" w:afterAutospacing="0" w:line="360" w:lineRule="auto"/>
        <w:ind w:firstLine="420"/>
        <w:rPr>
          <w:sz w:val="21"/>
          <w:szCs w:val="21"/>
        </w:rPr>
      </w:pPr>
      <w:r>
        <w:rPr>
          <w:rFonts w:hint="eastAsia"/>
          <w:sz w:val="21"/>
          <w:szCs w:val="21"/>
        </w:rPr>
        <w:t>本基金可根据投资策略需要或不同配置地市场环境的变化，选择将部分基金资产投资于港股或选择不将基金资产投资于港股，基金资产并非必然投资港股。</w:t>
      </w:r>
    </w:p>
    <w:p>
      <w:pPr>
        <w:pStyle w:val="7"/>
        <w:spacing w:before="0" w:beforeAutospacing="0" w:after="0" w:afterAutospacing="0" w:line="360" w:lineRule="auto"/>
        <w:ind w:firstLine="420"/>
        <w:rPr>
          <w:sz w:val="21"/>
          <w:szCs w:val="21"/>
        </w:rPr>
      </w:pPr>
      <w:r>
        <w:rPr>
          <w:rFonts w:hint="eastAsia"/>
          <w:sz w:val="21"/>
          <w:szCs w:val="21"/>
        </w:rPr>
        <w:t>7、新股申购风险</w:t>
      </w:r>
    </w:p>
    <w:p>
      <w:pPr>
        <w:pStyle w:val="7"/>
        <w:spacing w:before="0" w:beforeAutospacing="0" w:after="0" w:afterAutospacing="0" w:line="360" w:lineRule="auto"/>
        <w:ind w:firstLine="420"/>
        <w:rPr>
          <w:sz w:val="21"/>
          <w:szCs w:val="21"/>
        </w:rPr>
      </w:pPr>
      <w:r>
        <w:rPr>
          <w:rFonts w:hint="eastAsia"/>
          <w:sz w:val="21"/>
          <w:szCs w:val="21"/>
        </w:rPr>
        <w:t>本基金可参与新股申购，新股发行政策、新股发行机制等影响新股发行的因素变动将会影响本基金的风险收益水平；新股配售比例、中签率的不确定性，或其他发售方式的不确定性以及上市后市场表现的不确定性使得本基金的投资收益不确定性有增加的风险。</w:t>
      </w:r>
    </w:p>
    <w:p>
      <w:pPr>
        <w:pStyle w:val="7"/>
        <w:spacing w:before="0" w:beforeAutospacing="0" w:after="0" w:afterAutospacing="0" w:line="360" w:lineRule="auto"/>
        <w:ind w:firstLine="420"/>
        <w:rPr>
          <w:sz w:val="21"/>
          <w:szCs w:val="21"/>
        </w:rPr>
      </w:pPr>
      <w:r>
        <w:rPr>
          <w:rFonts w:hint="eastAsia"/>
          <w:sz w:val="21"/>
          <w:szCs w:val="21"/>
        </w:rPr>
        <w:t>8、融资及转融通证券出借业务的主要风险</w:t>
      </w:r>
    </w:p>
    <w:p>
      <w:pPr>
        <w:pStyle w:val="7"/>
        <w:spacing w:before="0" w:beforeAutospacing="0" w:after="0" w:afterAutospacing="0" w:line="360" w:lineRule="auto"/>
        <w:ind w:firstLine="420"/>
        <w:rPr>
          <w:sz w:val="21"/>
          <w:szCs w:val="21"/>
        </w:rPr>
      </w:pPr>
      <w:r>
        <w:rPr>
          <w:rFonts w:hint="eastAsia"/>
          <w:sz w:val="21"/>
          <w:szCs w:val="21"/>
        </w:rPr>
        <w:t>（1）流动性风险</w:t>
      </w:r>
    </w:p>
    <w:p>
      <w:pPr>
        <w:pStyle w:val="7"/>
        <w:spacing w:before="0" w:beforeAutospacing="0" w:after="0" w:afterAutospacing="0" w:line="360" w:lineRule="auto"/>
        <w:ind w:firstLine="420"/>
        <w:rPr>
          <w:sz w:val="21"/>
          <w:szCs w:val="21"/>
        </w:rPr>
      </w:pPr>
      <w:r>
        <w:rPr>
          <w:rFonts w:hint="eastAsia"/>
          <w:sz w:val="21"/>
          <w:szCs w:val="21"/>
        </w:rPr>
        <w:t>出借人在出借证券后，除与借入人协商一致可提前了结的情形外，其他情形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w:t>
      </w:r>
    </w:p>
    <w:p>
      <w:pPr>
        <w:pStyle w:val="7"/>
        <w:spacing w:before="0" w:beforeAutospacing="0" w:after="0" w:afterAutospacing="0" w:line="360" w:lineRule="auto"/>
        <w:ind w:firstLine="420"/>
        <w:rPr>
          <w:sz w:val="21"/>
          <w:szCs w:val="21"/>
        </w:rPr>
      </w:pPr>
      <w:r>
        <w:rPr>
          <w:rFonts w:hint="eastAsia"/>
          <w:sz w:val="21"/>
          <w:szCs w:val="21"/>
        </w:rPr>
        <w:t>（2）交易对手违约风险</w:t>
      </w:r>
    </w:p>
    <w:p>
      <w:pPr>
        <w:pStyle w:val="7"/>
        <w:spacing w:before="0" w:beforeAutospacing="0" w:after="0" w:afterAutospacing="0" w:line="360" w:lineRule="auto"/>
        <w:ind w:firstLine="420"/>
        <w:rPr>
          <w:sz w:val="21"/>
          <w:szCs w:val="21"/>
        </w:rPr>
      </w:pPr>
      <w:r>
        <w:rPr>
          <w:rFonts w:hint="eastAsia"/>
          <w:sz w:val="21"/>
          <w:szCs w:val="21"/>
        </w:rPr>
        <w:t>存在由于交易对手违约而导致证券到期不能按时或足额归还、相应权益补偿和借券费用不能支付等交易对手违约风险。</w:t>
      </w:r>
    </w:p>
    <w:p>
      <w:pPr>
        <w:pStyle w:val="7"/>
        <w:spacing w:before="0" w:beforeAutospacing="0" w:after="0" w:afterAutospacing="0" w:line="360" w:lineRule="auto"/>
        <w:ind w:firstLine="420"/>
        <w:rPr>
          <w:sz w:val="21"/>
          <w:szCs w:val="21"/>
        </w:rPr>
      </w:pPr>
      <w:r>
        <w:rPr>
          <w:rFonts w:hint="eastAsia"/>
          <w:sz w:val="21"/>
          <w:szCs w:val="21"/>
        </w:rPr>
        <w:t>（3）市场风险</w:t>
      </w:r>
    </w:p>
    <w:p>
      <w:pPr>
        <w:pStyle w:val="7"/>
        <w:spacing w:before="0" w:beforeAutospacing="0" w:after="0" w:afterAutospacing="0" w:line="360" w:lineRule="auto"/>
        <w:ind w:firstLine="420"/>
        <w:rPr>
          <w:sz w:val="21"/>
          <w:szCs w:val="21"/>
        </w:rPr>
      </w:pPr>
      <w:r>
        <w:rPr>
          <w:rFonts w:hint="eastAsia"/>
          <w:sz w:val="21"/>
          <w:szCs w:val="21"/>
        </w:rPr>
        <w:t>转融通出借收益按照证券当日收市后市值、融出日（或展期日）费率和实际出借天数计算，因此可能面临证券市值波动、费率变动而导致的市场风险。</w:t>
      </w:r>
    </w:p>
    <w:p>
      <w:pPr>
        <w:pStyle w:val="7"/>
        <w:spacing w:before="0" w:beforeAutospacing="0" w:after="0" w:afterAutospacing="0" w:line="360" w:lineRule="auto"/>
        <w:ind w:firstLine="420"/>
        <w:rPr>
          <w:sz w:val="21"/>
          <w:szCs w:val="21"/>
        </w:rPr>
      </w:pPr>
      <w:r>
        <w:rPr>
          <w:rFonts w:hint="eastAsia"/>
          <w:sz w:val="21"/>
          <w:szCs w:val="21"/>
        </w:rPr>
        <w:t>（4）提前或延迟了结风险</w:t>
      </w:r>
    </w:p>
    <w:p>
      <w:pPr>
        <w:pStyle w:val="7"/>
        <w:spacing w:before="0" w:beforeAutospacing="0" w:after="0" w:afterAutospacing="0" w:line="360" w:lineRule="auto"/>
        <w:ind w:firstLine="420"/>
        <w:rPr>
          <w:sz w:val="21"/>
          <w:szCs w:val="21"/>
        </w:rPr>
      </w:pPr>
      <w:r>
        <w:rPr>
          <w:rFonts w:hint="eastAsia"/>
          <w:sz w:val="21"/>
          <w:szCs w:val="21"/>
        </w:rPr>
        <w:t>证券出借期间，如发生标的证券范围调整、标的证券暂停交易、标的证券对应的上市公司被以终止上市为目的进行收购、终止上市等情况，可能面临合约提前了结或延迟了结的风险。</w:t>
      </w:r>
    </w:p>
    <w:p>
      <w:pPr>
        <w:pStyle w:val="7"/>
        <w:spacing w:before="0" w:beforeAutospacing="0" w:after="0" w:afterAutospacing="0" w:line="360" w:lineRule="auto"/>
        <w:ind w:firstLine="420"/>
        <w:rPr>
          <w:sz w:val="21"/>
          <w:szCs w:val="21"/>
        </w:rPr>
      </w:pPr>
      <w:r>
        <w:rPr>
          <w:rFonts w:hint="eastAsia"/>
          <w:sz w:val="21"/>
          <w:szCs w:val="21"/>
        </w:rPr>
        <w:t>（5）跟踪误差风险</w:t>
      </w:r>
    </w:p>
    <w:p>
      <w:pPr>
        <w:pStyle w:val="7"/>
        <w:spacing w:before="0" w:beforeAutospacing="0" w:after="0" w:afterAutospacing="0" w:line="360" w:lineRule="auto"/>
        <w:ind w:firstLine="420"/>
        <w:rPr>
          <w:sz w:val="21"/>
          <w:szCs w:val="21"/>
        </w:rPr>
      </w:pPr>
      <w:r>
        <w:rPr>
          <w:rFonts w:hint="eastAsia"/>
          <w:sz w:val="21"/>
          <w:szCs w:val="21"/>
        </w:rPr>
        <w:t>对于指数型组合，当组合发生大额赎回或市场大幅波动时，存在由于转融通出借证券无法提前了结并变现，单一股票占比被动上升而导致组合跟踪误差扩大的风险。</w:t>
      </w:r>
    </w:p>
    <w:p>
      <w:pPr>
        <w:pStyle w:val="7"/>
        <w:spacing w:before="0" w:beforeAutospacing="0" w:after="0" w:afterAutospacing="0" w:line="360" w:lineRule="auto"/>
        <w:ind w:firstLine="420"/>
        <w:rPr>
          <w:sz w:val="21"/>
          <w:szCs w:val="21"/>
        </w:rPr>
      </w:pPr>
      <w:r>
        <w:rPr>
          <w:rFonts w:hint="eastAsia"/>
          <w:sz w:val="21"/>
          <w:szCs w:val="21"/>
        </w:rPr>
        <w:t>（6）杠杆效应放大风险</w:t>
      </w:r>
    </w:p>
    <w:p>
      <w:pPr>
        <w:pStyle w:val="7"/>
        <w:spacing w:before="0" w:beforeAutospacing="0" w:after="0" w:afterAutospacing="0" w:line="360" w:lineRule="auto"/>
        <w:ind w:firstLine="420"/>
        <w:rPr>
          <w:sz w:val="21"/>
          <w:szCs w:val="21"/>
        </w:rPr>
      </w:pPr>
      <w:r>
        <w:rPr>
          <w:rFonts w:hint="eastAsia"/>
          <w:sz w:val="21"/>
          <w:szCs w:val="21"/>
        </w:rPr>
        <w:t>投资者通过融资及转融通证券出借业务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w:t>
      </w:r>
    </w:p>
    <w:p>
      <w:pPr>
        <w:pStyle w:val="7"/>
        <w:spacing w:before="0" w:beforeAutospacing="0" w:after="0" w:afterAutospacing="0" w:line="360" w:lineRule="auto"/>
        <w:ind w:firstLine="420"/>
        <w:rPr>
          <w:sz w:val="21"/>
          <w:szCs w:val="21"/>
        </w:rPr>
      </w:pPr>
      <w:r>
        <w:rPr>
          <w:rFonts w:hint="eastAsia"/>
          <w:sz w:val="21"/>
          <w:szCs w:val="21"/>
        </w:rPr>
        <w:t>（7）担保能力及限制交易风险</w:t>
      </w:r>
    </w:p>
    <w:p>
      <w:pPr>
        <w:pStyle w:val="7"/>
        <w:spacing w:before="0" w:beforeAutospacing="0" w:after="0" w:afterAutospacing="0" w:line="360" w:lineRule="auto"/>
        <w:ind w:firstLine="420"/>
        <w:rPr>
          <w:sz w:val="21"/>
          <w:szCs w:val="21"/>
        </w:rPr>
      </w:pPr>
      <w:r>
        <w:rPr>
          <w:rFonts w:hint="eastAsia"/>
          <w:sz w:val="21"/>
          <w:szCs w:val="21"/>
        </w:rPr>
        <w:t>单只或全部证券被暂停融资及转融通证券出借业务、投资者账户被暂停或取消融资及转融通证券出借业务资格等，这些影响可能给投资者造成经济损失。此外，投资者也可能面临由于自身维持担保比例低于融资及转融通证券出借业务合同约定的担保要求，且未能及时补充担保物，导致信用账户交易受到限制，从而造成经济损失。</w:t>
      </w:r>
    </w:p>
    <w:p>
      <w:pPr>
        <w:pStyle w:val="7"/>
        <w:spacing w:before="0" w:beforeAutospacing="0" w:after="0" w:afterAutospacing="0" w:line="360" w:lineRule="auto"/>
        <w:ind w:firstLine="420"/>
        <w:rPr>
          <w:sz w:val="21"/>
          <w:szCs w:val="21"/>
        </w:rPr>
      </w:pPr>
      <w:r>
        <w:rPr>
          <w:rFonts w:hint="eastAsia"/>
          <w:sz w:val="21"/>
          <w:szCs w:val="21"/>
        </w:rPr>
        <w:t>（8）强制平仓风险</w:t>
      </w:r>
    </w:p>
    <w:p>
      <w:pPr>
        <w:pStyle w:val="7"/>
        <w:spacing w:before="0" w:beforeAutospacing="0" w:after="0" w:afterAutospacing="0" w:line="360" w:lineRule="auto"/>
        <w:ind w:firstLine="420"/>
        <w:rPr>
          <w:sz w:val="21"/>
          <w:szCs w:val="21"/>
        </w:rPr>
      </w:pPr>
      <w:r>
        <w:rPr>
          <w:rFonts w:hint="eastAsia"/>
          <w:sz w:val="21"/>
          <w:szCs w:val="21"/>
        </w:rPr>
        <w:t>投资者在从事融资交易及转融通证券出借业务期间，如果不能按照约定的期限清偿债务，或上市证券价格波动，导致日终清算后维持担保比例低于警戒线，且不能按照约定追加担保物时，将面临担保物被证券公司强制平仓的风险，由此可能给投资者造成经济损失。</w:t>
      </w:r>
    </w:p>
    <w:p>
      <w:pPr>
        <w:pStyle w:val="7"/>
        <w:spacing w:before="0" w:beforeAutospacing="0" w:after="0" w:afterAutospacing="0" w:line="360" w:lineRule="auto"/>
        <w:ind w:firstLine="420"/>
        <w:rPr>
          <w:sz w:val="21"/>
          <w:szCs w:val="21"/>
        </w:rPr>
      </w:pPr>
      <w:r>
        <w:rPr>
          <w:rFonts w:hint="eastAsia"/>
          <w:sz w:val="21"/>
          <w:szCs w:val="21"/>
        </w:rPr>
        <w:t>（9）操作风险</w:t>
      </w:r>
    </w:p>
    <w:p>
      <w:pPr>
        <w:pStyle w:val="7"/>
        <w:spacing w:before="0" w:beforeAutospacing="0" w:after="0" w:afterAutospacing="0" w:line="360" w:lineRule="auto"/>
        <w:ind w:firstLine="420"/>
        <w:rPr>
          <w:sz w:val="21"/>
          <w:szCs w:val="21"/>
        </w:rPr>
      </w:pPr>
      <w:r>
        <w:rPr>
          <w:rFonts w:hint="eastAsia"/>
          <w:sz w:val="21"/>
          <w:szCs w:val="21"/>
        </w:rPr>
        <w:t>融资交易和转融通业务具体实施过程中，在投资决策、交易等环节，可能面临由于操作人员操作失误、系统不完善等原因引发的操作风险。</w:t>
      </w:r>
    </w:p>
    <w:p>
      <w:pPr>
        <w:pStyle w:val="7"/>
        <w:spacing w:before="0" w:beforeAutospacing="0" w:after="0" w:afterAutospacing="0" w:line="360" w:lineRule="auto"/>
        <w:ind w:firstLine="420"/>
        <w:rPr>
          <w:sz w:val="21"/>
          <w:szCs w:val="21"/>
        </w:rPr>
      </w:pPr>
      <w:r>
        <w:rPr>
          <w:rFonts w:hint="eastAsia"/>
          <w:sz w:val="21"/>
          <w:szCs w:val="21"/>
        </w:rPr>
        <w:t>（10）法律合规风险</w:t>
      </w:r>
    </w:p>
    <w:p>
      <w:pPr>
        <w:pStyle w:val="7"/>
        <w:spacing w:before="0" w:beforeAutospacing="0" w:after="0" w:afterAutospacing="0" w:line="360" w:lineRule="auto"/>
        <w:ind w:firstLine="420"/>
        <w:rPr>
          <w:sz w:val="21"/>
          <w:szCs w:val="21"/>
        </w:rPr>
      </w:pPr>
      <w:r>
        <w:rPr>
          <w:rFonts w:hint="eastAsia"/>
          <w:sz w:val="21"/>
          <w:szCs w:val="21"/>
        </w:rPr>
        <w:t>在融资交易和转融通证券出借过程中，存在由于标的证券价格波动导致组合合规指标超标且无法进行调整的风险，以及在业务开展过程中发生操纵价格、利益输送等法律合规风险。</w:t>
      </w:r>
    </w:p>
    <w:p>
      <w:pPr>
        <w:pStyle w:val="7"/>
        <w:spacing w:before="0" w:beforeAutospacing="0" w:after="0" w:afterAutospacing="0" w:line="360" w:lineRule="auto"/>
        <w:ind w:firstLine="420"/>
        <w:rPr>
          <w:sz w:val="21"/>
          <w:szCs w:val="21"/>
        </w:rPr>
      </w:pPr>
      <w:r>
        <w:rPr>
          <w:rFonts w:hint="eastAsia"/>
          <w:sz w:val="21"/>
          <w:szCs w:val="21"/>
        </w:rPr>
        <w:t>9、投资于存托凭证的风险</w:t>
      </w:r>
    </w:p>
    <w:p>
      <w:pPr>
        <w:pStyle w:val="7"/>
        <w:spacing w:before="0" w:beforeAutospacing="0" w:after="0" w:afterAutospacing="0" w:line="360" w:lineRule="auto"/>
        <w:ind w:firstLine="420"/>
        <w:rPr>
          <w:sz w:val="21"/>
          <w:szCs w:val="21"/>
        </w:rPr>
      </w:pPr>
      <w:r>
        <w:rPr>
          <w:rFonts w:hint="eastAsia"/>
          <w:sz w:val="21"/>
          <w:szCs w:val="21"/>
        </w:rPr>
        <w:t>本基金的投资范围包括存托凭证，除与其他仅投资于境内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pStyle w:val="7"/>
        <w:spacing w:before="0" w:beforeAutospacing="0" w:after="0" w:afterAutospacing="0" w:line="360" w:lineRule="auto"/>
        <w:ind w:firstLine="420"/>
        <w:rPr>
          <w:sz w:val="21"/>
          <w:szCs w:val="21"/>
        </w:rPr>
      </w:pPr>
      <w:r>
        <w:rPr>
          <w:rFonts w:hint="eastAsia"/>
          <w:sz w:val="21"/>
          <w:szCs w:val="21"/>
        </w:rPr>
        <w:t>10、自动清算的风险</w:t>
      </w:r>
    </w:p>
    <w:p>
      <w:pPr>
        <w:pStyle w:val="7"/>
        <w:spacing w:before="0" w:beforeAutospacing="0" w:after="0" w:afterAutospacing="0" w:line="360" w:lineRule="auto"/>
        <w:ind w:firstLine="420"/>
        <w:rPr>
          <w:sz w:val="21"/>
          <w:szCs w:val="21"/>
        </w:rPr>
      </w:pPr>
      <w:r>
        <w:rPr>
          <w:rFonts w:hint="eastAsia"/>
          <w:sz w:val="21"/>
          <w:szCs w:val="21"/>
        </w:rPr>
        <w:t>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w:t>
      </w:r>
    </w:p>
    <w:p>
      <w:pPr>
        <w:pStyle w:val="7"/>
        <w:spacing w:before="0" w:beforeAutospacing="0" w:after="0" w:afterAutospacing="0" w:line="360" w:lineRule="auto"/>
        <w:ind w:firstLine="420"/>
        <w:rPr>
          <w:sz w:val="21"/>
          <w:szCs w:val="21"/>
        </w:rPr>
      </w:pPr>
      <w:r>
        <w:rPr>
          <w:rFonts w:hint="eastAsia"/>
          <w:sz w:val="21"/>
          <w:szCs w:val="21"/>
        </w:rPr>
        <w:t>本基金在基金合同生效三年后继续存续的，基金存续期内，连续50个工作日出现基金份额持有人数量不满200人或者基金资产净值低于5000万元情形的，本基金将根据基金合同的约定进行基金财产清算并终止，且无需召开基金份额持有人大会，同时基金管理人应履行相关的监管报告和信息披露程序。</w:t>
      </w:r>
    </w:p>
    <w:p>
      <w:pPr>
        <w:pStyle w:val="7"/>
        <w:spacing w:before="0" w:beforeAutospacing="0" w:after="0" w:afterAutospacing="0" w:line="360" w:lineRule="auto"/>
        <w:ind w:firstLine="420"/>
        <w:rPr>
          <w:sz w:val="21"/>
          <w:szCs w:val="21"/>
        </w:rPr>
      </w:pPr>
      <w:r>
        <w:rPr>
          <w:rFonts w:hint="eastAsia"/>
          <w:sz w:val="21"/>
          <w:szCs w:val="21"/>
        </w:rPr>
        <w:t>因此本基金有面临自动清算的风险。</w:t>
      </w:r>
    </w:p>
    <w:p>
      <w:pPr>
        <w:pStyle w:val="7"/>
        <w:spacing w:before="0" w:beforeAutospacing="0" w:after="0" w:afterAutospacing="0" w:line="360" w:lineRule="auto"/>
        <w:ind w:firstLine="420"/>
        <w:rPr>
          <w:sz w:val="21"/>
          <w:szCs w:val="21"/>
        </w:rPr>
      </w:pPr>
      <w:r>
        <w:rPr>
          <w:rStyle w:val="11"/>
          <w:rFonts w:hint="eastAsia"/>
          <w:sz w:val="21"/>
          <w:szCs w:val="21"/>
        </w:rPr>
        <w:t>三、本基金法律文件风险收益特征表述与销售机构基金风险评价可能不一致的风险</w:t>
      </w:r>
    </w:p>
    <w:p>
      <w:pPr>
        <w:pStyle w:val="7"/>
        <w:spacing w:before="0" w:beforeAutospacing="0" w:after="0" w:afterAutospacing="0" w:line="360" w:lineRule="auto"/>
        <w:ind w:firstLine="420"/>
        <w:rPr>
          <w:sz w:val="21"/>
          <w:szCs w:val="21"/>
        </w:rPr>
      </w:pPr>
      <w:r>
        <w:rPr>
          <w:rFonts w:hint="eastAsia"/>
          <w:sz w:val="21"/>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也不同，因此销售机构的风险等级评价与基金法律文件中风险收益特征的表述可能存在不同，投资人在购买本基金时需按照销售机构的要求完成风险承受能力与产品风险之间的匹配检验。</w:t>
      </w:r>
    </w:p>
    <w:p>
      <w:pPr>
        <w:pStyle w:val="7"/>
        <w:spacing w:before="0" w:beforeAutospacing="0" w:after="0" w:afterAutospacing="0" w:line="360" w:lineRule="auto"/>
        <w:ind w:firstLine="420"/>
        <w:rPr>
          <w:sz w:val="21"/>
          <w:szCs w:val="21"/>
        </w:rPr>
      </w:pPr>
      <w:r>
        <w:rPr>
          <w:rStyle w:val="11"/>
          <w:rFonts w:hint="eastAsia"/>
          <w:sz w:val="21"/>
          <w:szCs w:val="21"/>
        </w:rPr>
        <w:t>四、其他风险</w:t>
      </w:r>
    </w:p>
    <w:p>
      <w:pPr>
        <w:pStyle w:val="7"/>
        <w:spacing w:before="0" w:beforeAutospacing="0" w:after="0" w:afterAutospacing="0" w:line="360" w:lineRule="auto"/>
        <w:ind w:firstLine="420"/>
        <w:rPr>
          <w:sz w:val="21"/>
          <w:szCs w:val="21"/>
        </w:rPr>
      </w:pPr>
      <w:r>
        <w:rPr>
          <w:rFonts w:hint="eastAsia"/>
          <w:sz w:val="21"/>
          <w:szCs w:val="21"/>
        </w:rPr>
        <w:t>1、因技术因素而产生的风险，如电脑系统不可靠产生的风险；</w:t>
      </w:r>
    </w:p>
    <w:p>
      <w:pPr>
        <w:pStyle w:val="7"/>
        <w:spacing w:before="0" w:beforeAutospacing="0" w:after="0" w:afterAutospacing="0" w:line="360" w:lineRule="auto"/>
        <w:ind w:firstLine="420"/>
        <w:rPr>
          <w:sz w:val="21"/>
          <w:szCs w:val="21"/>
        </w:rPr>
      </w:pPr>
      <w:r>
        <w:rPr>
          <w:rFonts w:hint="eastAsia"/>
          <w:sz w:val="21"/>
          <w:szCs w:val="21"/>
        </w:rPr>
        <w:t>2、因业务快速发展而在制度建设、人员配备、内控制度建立等不完善而产生的风险；</w:t>
      </w:r>
    </w:p>
    <w:p>
      <w:pPr>
        <w:pStyle w:val="7"/>
        <w:spacing w:before="0" w:beforeAutospacing="0" w:after="0" w:afterAutospacing="0" w:line="360" w:lineRule="auto"/>
        <w:ind w:firstLine="420"/>
        <w:rPr>
          <w:sz w:val="21"/>
          <w:szCs w:val="21"/>
        </w:rPr>
      </w:pPr>
      <w:r>
        <w:rPr>
          <w:rFonts w:hint="eastAsia"/>
          <w:sz w:val="21"/>
          <w:szCs w:val="21"/>
        </w:rPr>
        <w:t>3、因人为因素而产生的风险、如内幕交易、欺诈行为等产生的风险；</w:t>
      </w:r>
    </w:p>
    <w:p>
      <w:pPr>
        <w:pStyle w:val="7"/>
        <w:spacing w:before="0" w:beforeAutospacing="0" w:after="0" w:afterAutospacing="0" w:line="360" w:lineRule="auto"/>
        <w:ind w:firstLine="420"/>
        <w:rPr>
          <w:sz w:val="21"/>
          <w:szCs w:val="21"/>
        </w:rPr>
      </w:pPr>
      <w:r>
        <w:rPr>
          <w:rFonts w:hint="eastAsia"/>
          <w:sz w:val="21"/>
          <w:szCs w:val="21"/>
        </w:rPr>
        <w:t>4、对主要业务人员如基金经理的依赖而可能产生的风险；</w:t>
      </w:r>
    </w:p>
    <w:p>
      <w:pPr>
        <w:pStyle w:val="7"/>
        <w:spacing w:before="0" w:beforeAutospacing="0" w:after="0" w:afterAutospacing="0" w:line="360" w:lineRule="auto"/>
        <w:ind w:firstLine="420"/>
        <w:rPr>
          <w:sz w:val="21"/>
          <w:szCs w:val="21"/>
        </w:rPr>
      </w:pPr>
      <w:r>
        <w:rPr>
          <w:rFonts w:hint="eastAsia"/>
          <w:sz w:val="21"/>
          <w:szCs w:val="21"/>
        </w:rPr>
        <w:t>5、因业务竞争压力可能产生的风险；</w:t>
      </w:r>
    </w:p>
    <w:p>
      <w:pPr>
        <w:pStyle w:val="7"/>
        <w:spacing w:before="0" w:beforeAutospacing="0" w:after="0" w:afterAutospacing="0" w:line="360" w:lineRule="auto"/>
        <w:ind w:firstLine="420"/>
        <w:rPr>
          <w:sz w:val="21"/>
          <w:szCs w:val="21"/>
        </w:rPr>
      </w:pPr>
      <w:r>
        <w:rPr>
          <w:rFonts w:hint="eastAsia"/>
          <w:sz w:val="21"/>
          <w:szCs w:val="21"/>
        </w:rPr>
        <w:t>6、不可抗力可能导致基金资产的损失，影响基金收益水平，从而带来风险；</w:t>
      </w:r>
    </w:p>
    <w:p>
      <w:pPr>
        <w:pStyle w:val="7"/>
        <w:spacing w:before="0" w:beforeAutospacing="0" w:after="0" w:afterAutospacing="0" w:line="360" w:lineRule="auto"/>
        <w:ind w:firstLine="420"/>
        <w:rPr>
          <w:sz w:val="21"/>
          <w:szCs w:val="21"/>
        </w:rPr>
      </w:pPr>
      <w:r>
        <w:rPr>
          <w:rFonts w:hint="eastAsia"/>
          <w:sz w:val="21"/>
          <w:szCs w:val="21"/>
        </w:rPr>
        <w:t>7、其他意外导致的风险。</w:t>
      </w:r>
    </w:p>
    <w:p>
      <w:pPr>
        <w:pStyle w:val="7"/>
        <w:spacing w:before="0" w:beforeAutospacing="0" w:after="0" w:afterAutospacing="0" w:line="360" w:lineRule="auto"/>
        <w:ind w:firstLine="420"/>
        <w:rPr>
          <w:sz w:val="21"/>
          <w:szCs w:val="21"/>
        </w:rPr>
      </w:pPr>
      <w:r>
        <w:rPr>
          <w:rStyle w:val="11"/>
          <w:rFonts w:hint="eastAsia"/>
          <w:sz w:val="21"/>
          <w:szCs w:val="21"/>
        </w:rPr>
        <w:t>五、声明</w:t>
      </w:r>
    </w:p>
    <w:p>
      <w:pPr>
        <w:pStyle w:val="7"/>
        <w:spacing w:before="0" w:beforeAutospacing="0" w:after="0" w:afterAutospacing="0" w:line="360" w:lineRule="auto"/>
        <w:ind w:firstLine="420"/>
        <w:rPr>
          <w:sz w:val="21"/>
          <w:szCs w:val="21"/>
        </w:rPr>
      </w:pPr>
      <w:r>
        <w:rPr>
          <w:rFonts w:hint="eastAsia"/>
          <w:sz w:val="21"/>
          <w:szCs w:val="21"/>
        </w:rPr>
        <w:t>1、投资者投资于本基金，须自行承担投资风险；</w:t>
      </w:r>
    </w:p>
    <w:p>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2、除基金管理人直接办理本基金的销售外，本基金还通过基金销售机构代理销售，基</w:t>
      </w:r>
      <w:bookmarkStart w:id="171" w:name="chapter_level1_20_68_section_1_end"/>
      <w:bookmarkEnd w:id="171"/>
      <w:r>
        <w:rPr>
          <w:rFonts w:hint="eastAsia"/>
          <w:sz w:val="21"/>
          <w:szCs w:val="21"/>
        </w:rPr>
        <w:t>金管理人与基金代销机构都不能保证其收益或本金安全。</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2" w:name="chapter_level1_21_69"/>
      <w:bookmarkStart w:id="173" w:name="_Toc207939914"/>
      <w:r>
        <w:rPr>
          <w:rFonts w:hint="eastAsia" w:ascii="宋体" w:hAnsi="宋体" w:eastAsia="宋体"/>
          <w:sz w:val="30"/>
        </w:rPr>
        <w:t>第十八部分  基金合同的变更、终止与基金财产的清算</w:t>
      </w:r>
      <w:bookmarkEnd w:id="172"/>
      <w:bookmarkEnd w:id="173"/>
    </w:p>
    <w:p>
      <w:pPr>
        <w:pStyle w:val="7"/>
        <w:spacing w:before="0" w:beforeAutospacing="0" w:after="0" w:afterAutospacing="0" w:line="360" w:lineRule="auto"/>
        <w:ind w:firstLine="420"/>
        <w:rPr>
          <w:sz w:val="21"/>
          <w:szCs w:val="21"/>
        </w:rPr>
      </w:pPr>
      <w:bookmarkStart w:id="174" w:name="chapter_level1_21_69_section_1"/>
      <w:bookmarkEnd w:id="174"/>
      <w:r>
        <w:rPr>
          <w:rStyle w:val="11"/>
          <w:rFonts w:hint="eastAsia"/>
          <w:sz w:val="21"/>
          <w:szCs w:val="21"/>
        </w:rPr>
        <w:t>一、《基金合同》的变更</w:t>
      </w:r>
    </w:p>
    <w:p>
      <w:pPr>
        <w:pStyle w:val="7"/>
        <w:spacing w:before="0" w:beforeAutospacing="0" w:after="0" w:afterAutospacing="0" w:line="360" w:lineRule="auto"/>
        <w:ind w:firstLine="420"/>
        <w:rPr>
          <w:sz w:val="21"/>
          <w:szCs w:val="21"/>
        </w:rPr>
      </w:pPr>
      <w:r>
        <w:rPr>
          <w:rFonts w:hint="eastAsia"/>
          <w:sz w:val="21"/>
          <w:szCs w:val="21"/>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pStyle w:val="7"/>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w:t>
      </w:r>
    </w:p>
    <w:p>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pPr>
        <w:pStyle w:val="7"/>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p>
    <w:p>
      <w:pPr>
        <w:pStyle w:val="7"/>
        <w:spacing w:before="0" w:beforeAutospacing="0" w:after="0" w:afterAutospacing="0" w:line="360" w:lineRule="auto"/>
        <w:ind w:firstLine="420"/>
        <w:rPr>
          <w:sz w:val="21"/>
          <w:szCs w:val="21"/>
        </w:rPr>
      </w:pPr>
      <w:r>
        <w:rPr>
          <w:rFonts w:hint="eastAsia"/>
          <w:sz w:val="21"/>
          <w:szCs w:val="21"/>
        </w:rPr>
        <w:t>1、基金份额持有人大会决定终止的；</w:t>
      </w:r>
    </w:p>
    <w:p>
      <w:pPr>
        <w:pStyle w:val="7"/>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w:t>
      </w:r>
    </w:p>
    <w:p>
      <w:pPr>
        <w:pStyle w:val="7"/>
        <w:spacing w:before="0" w:beforeAutospacing="0" w:after="0" w:afterAutospacing="0" w:line="360" w:lineRule="auto"/>
        <w:ind w:firstLine="420"/>
        <w:rPr>
          <w:sz w:val="21"/>
          <w:szCs w:val="21"/>
        </w:rPr>
      </w:pPr>
      <w:r>
        <w:rPr>
          <w:rFonts w:hint="eastAsia"/>
          <w:sz w:val="21"/>
          <w:szCs w:val="21"/>
        </w:rPr>
        <w:t>3、《基金合同》约定的其他情形；</w:t>
      </w:r>
    </w:p>
    <w:p>
      <w:pPr>
        <w:pStyle w:val="7"/>
        <w:spacing w:before="0" w:beforeAutospacing="0" w:after="0" w:afterAutospacing="0" w:line="360" w:lineRule="auto"/>
        <w:ind w:firstLine="420"/>
        <w:rPr>
          <w:sz w:val="21"/>
          <w:szCs w:val="21"/>
        </w:rPr>
      </w:pPr>
      <w:r>
        <w:rPr>
          <w:rFonts w:hint="eastAsia"/>
          <w:sz w:val="21"/>
          <w:szCs w:val="21"/>
        </w:rPr>
        <w:t>4、相关法律法规和中国证监会规定的其他情况。</w:t>
      </w:r>
    </w:p>
    <w:p>
      <w:pPr>
        <w:pStyle w:val="7"/>
        <w:spacing w:before="0" w:beforeAutospacing="0" w:after="0" w:afterAutospacing="0" w:line="360" w:lineRule="auto"/>
        <w:ind w:firstLine="420"/>
        <w:rPr>
          <w:sz w:val="21"/>
          <w:szCs w:val="21"/>
        </w:rPr>
      </w:pPr>
      <w:r>
        <w:rPr>
          <w:rStyle w:val="11"/>
          <w:rFonts w:hint="eastAsia"/>
          <w:sz w:val="21"/>
          <w:szCs w:val="21"/>
        </w:rPr>
        <w:t>三、基金财产的清算</w:t>
      </w:r>
    </w:p>
    <w:p>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1、基金财产清算小组：自出现《基金合同》终止事由之日起30个工作日内由基金管理人发起成立基金财产清算小组，基金管理人组织基金财产清算小组并在中国证监会的监督下进行基金清算。</w:t>
      </w:r>
    </w:p>
    <w:p>
      <w:pPr>
        <w:pStyle w:val="7"/>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pPr>
        <w:pStyle w:val="7"/>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pPr>
        <w:pStyle w:val="7"/>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pPr>
        <w:pStyle w:val="7"/>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pPr>
        <w:pStyle w:val="7"/>
        <w:spacing w:before="0" w:beforeAutospacing="0" w:after="0" w:afterAutospacing="0" w:line="360" w:lineRule="auto"/>
        <w:ind w:firstLine="420"/>
        <w:rPr>
          <w:sz w:val="21"/>
          <w:szCs w:val="21"/>
        </w:rPr>
      </w:pPr>
      <w:r>
        <w:rPr>
          <w:rFonts w:hint="eastAsia"/>
          <w:sz w:val="21"/>
          <w:szCs w:val="21"/>
        </w:rPr>
        <w:t>6、基金财产清算程序：</w:t>
      </w:r>
    </w:p>
    <w:p>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pPr>
        <w:pStyle w:val="7"/>
        <w:spacing w:before="0" w:beforeAutospacing="0" w:after="0" w:afterAutospacing="0" w:line="360" w:lineRule="auto"/>
        <w:ind w:firstLine="420"/>
        <w:rPr>
          <w:sz w:val="21"/>
          <w:szCs w:val="21"/>
        </w:rPr>
      </w:pPr>
      <w:r>
        <w:rPr>
          <w:rFonts w:hint="eastAsia"/>
          <w:sz w:val="21"/>
          <w:szCs w:val="21"/>
        </w:rPr>
        <w:t>（3）对基金财产进行估值和变现；</w:t>
      </w:r>
    </w:p>
    <w:p>
      <w:pPr>
        <w:pStyle w:val="7"/>
        <w:spacing w:before="0" w:beforeAutospacing="0" w:after="0" w:afterAutospacing="0" w:line="360" w:lineRule="auto"/>
        <w:ind w:firstLine="420"/>
        <w:rPr>
          <w:sz w:val="21"/>
          <w:szCs w:val="21"/>
        </w:rPr>
      </w:pPr>
      <w:r>
        <w:rPr>
          <w:rFonts w:hint="eastAsia"/>
          <w:sz w:val="21"/>
          <w:szCs w:val="21"/>
        </w:rPr>
        <w:t>（4）制作清算报告；</w:t>
      </w:r>
    </w:p>
    <w:p>
      <w:pPr>
        <w:pStyle w:val="7"/>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pPr>
        <w:pStyle w:val="7"/>
        <w:spacing w:before="0" w:beforeAutospacing="0" w:after="0" w:afterAutospacing="0" w:line="360" w:lineRule="auto"/>
        <w:ind w:firstLine="420"/>
        <w:rPr>
          <w:sz w:val="21"/>
          <w:szCs w:val="21"/>
        </w:rPr>
      </w:pPr>
      <w:r>
        <w:rPr>
          <w:rFonts w:hint="eastAsia"/>
          <w:sz w:val="21"/>
          <w:szCs w:val="21"/>
        </w:rPr>
        <w:t>（7）对基金剩余财产进行分配。</w:t>
      </w:r>
    </w:p>
    <w:p>
      <w:pPr>
        <w:pStyle w:val="7"/>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7、基金财产清算的期限为6个月，但因本基金所持证券的流动性受到限制而不能及时变现的，清算期限可相应顺延。</w:t>
      </w:r>
    </w:p>
    <w:p>
      <w:pPr>
        <w:pStyle w:val="7"/>
        <w:spacing w:before="0" w:beforeAutospacing="0" w:after="0" w:afterAutospacing="0" w:line="360" w:lineRule="auto"/>
        <w:ind w:firstLine="420"/>
        <w:rPr>
          <w:sz w:val="21"/>
          <w:szCs w:val="21"/>
        </w:rPr>
      </w:pPr>
      <w:r>
        <w:rPr>
          <w:rStyle w:val="11"/>
          <w:rFonts w:hint="eastAsia"/>
          <w:sz w:val="21"/>
          <w:szCs w:val="21"/>
        </w:rPr>
        <w:t>四、清算费用</w:t>
      </w:r>
    </w:p>
    <w:p>
      <w:pPr>
        <w:pStyle w:val="7"/>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p>
    <w:p>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pPr>
        <w:pStyle w:val="7"/>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依据基金财产清算的分配方案，将基金财产清算后的全部剩余资产扣除基金财产清算费用、交纳所欠税款并清偿基金债务后，按基金份额持有人持有的各类基金份额比例进行分配。</w:t>
      </w:r>
    </w:p>
    <w:p>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基金财产清算账册及有关文件由基金托管人保存，保存期限不低于法律法规规定的最低期限。</w:t>
      </w:r>
    </w:p>
    <w:p>
      <w:pPr>
        <w:pStyle w:val="7"/>
        <w:spacing w:before="0" w:beforeAutospacing="0" w:after="0" w:afterAutospacing="0" w:line="360" w:lineRule="auto"/>
        <w:ind w:firstLine="420"/>
        <w:rPr>
          <w:sz w:val="21"/>
          <w:szCs w:val="21"/>
        </w:rPr>
      </w:pPr>
      <w:r>
        <w:rPr>
          <w:rStyle w:val="11"/>
          <w:rFonts w:hint="eastAsia"/>
          <w:sz w:val="21"/>
          <w:szCs w:val="21"/>
        </w:rPr>
        <w:t>八、基金合并</w:t>
      </w:r>
    </w:p>
    <w:p>
      <w:pPr>
        <w:pStyle w:val="7"/>
        <w:spacing w:before="0" w:beforeAutospacing="0" w:after="0" w:afterAutospacing="0" w:line="360" w:lineRule="auto"/>
        <w:ind w:firstLine="420"/>
        <w:rPr>
          <w:sz w:val="21"/>
          <w:szCs w:val="21"/>
        </w:rPr>
      </w:pPr>
      <w:bookmarkStart w:id="175" w:name="chapter_level1_21_69_section_1_end"/>
      <w:bookmarkEnd w:id="175"/>
      <w:r>
        <w:rPr>
          <w:rFonts w:hint="eastAsia"/>
          <w:sz w:val="21"/>
          <w:szCs w:val="21"/>
        </w:rPr>
        <w:t>本基金与其他基金的合并应当按照法律法规规定的程序进行。</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6" w:name="chapter_level1_22_71"/>
      <w:bookmarkStart w:id="177" w:name="_Toc207939915"/>
      <w:r>
        <w:rPr>
          <w:rFonts w:hint="eastAsia" w:ascii="宋体" w:hAnsi="宋体" w:eastAsia="宋体"/>
          <w:sz w:val="30"/>
        </w:rPr>
        <w:t>第十九部分  基金合同的内容摘要</w:t>
      </w:r>
      <w:bookmarkEnd w:id="176"/>
      <w:bookmarkEnd w:id="177"/>
    </w:p>
    <w:p>
      <w:pPr>
        <w:pStyle w:val="7"/>
        <w:spacing w:before="0" w:beforeAutospacing="0" w:after="0" w:afterAutospacing="0" w:line="360" w:lineRule="auto"/>
        <w:ind w:firstLine="420"/>
        <w:rPr>
          <w:sz w:val="21"/>
          <w:szCs w:val="21"/>
        </w:rPr>
      </w:pPr>
      <w:bookmarkStart w:id="178" w:name="chapter_level1_22_71_section_1"/>
      <w:bookmarkEnd w:id="178"/>
      <w:r>
        <w:rPr>
          <w:rStyle w:val="11"/>
          <w:rFonts w:hint="eastAsia"/>
          <w:sz w:val="21"/>
          <w:szCs w:val="21"/>
        </w:rPr>
        <w:t>一、基金份额持有人、基金管理人和基金托管人的权利、义务</w:t>
      </w:r>
    </w:p>
    <w:p>
      <w:pPr>
        <w:pStyle w:val="7"/>
        <w:spacing w:before="0" w:beforeAutospacing="0" w:after="0" w:afterAutospacing="0" w:line="360" w:lineRule="auto"/>
        <w:ind w:firstLine="420"/>
        <w:rPr>
          <w:sz w:val="21"/>
          <w:szCs w:val="21"/>
        </w:rPr>
      </w:pPr>
      <w:r>
        <w:rPr>
          <w:rFonts w:hint="eastAsia"/>
          <w:sz w:val="21"/>
          <w:szCs w:val="21"/>
        </w:rPr>
        <w:t>（一）基金管理人的权利与义务</w:t>
      </w:r>
    </w:p>
    <w:p>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1、根据《基金法》、《运作办法》及其他有关规定，基金管理人的权利包括但不限于：</w:t>
      </w:r>
    </w:p>
    <w:p>
      <w:pPr>
        <w:pStyle w:val="7"/>
        <w:spacing w:before="0" w:beforeAutospacing="0" w:after="0" w:afterAutospacing="0" w:line="360" w:lineRule="auto"/>
        <w:ind w:firstLine="420"/>
        <w:rPr>
          <w:sz w:val="21"/>
          <w:szCs w:val="21"/>
        </w:rPr>
      </w:pPr>
      <w:r>
        <w:rPr>
          <w:rFonts w:hint="eastAsia"/>
          <w:sz w:val="21"/>
          <w:szCs w:val="21"/>
        </w:rPr>
        <w:t>（1）依法募集资金；</w:t>
      </w:r>
    </w:p>
    <w:p>
      <w:pPr>
        <w:pStyle w:val="7"/>
        <w:spacing w:before="0" w:beforeAutospacing="0" w:after="0" w:afterAutospacing="0" w:line="360" w:lineRule="auto"/>
        <w:ind w:firstLine="420"/>
        <w:rPr>
          <w:sz w:val="21"/>
          <w:szCs w:val="21"/>
        </w:rPr>
      </w:pPr>
      <w:r>
        <w:rPr>
          <w:rFonts w:hint="eastAsia"/>
          <w:sz w:val="21"/>
          <w:szCs w:val="21"/>
        </w:rPr>
        <w:t>（2）自《基金合同》生效之日起，根据法律法规和《基金合同》独立运用并管理基金财产；</w:t>
      </w:r>
    </w:p>
    <w:p>
      <w:pPr>
        <w:pStyle w:val="7"/>
        <w:spacing w:before="0" w:beforeAutospacing="0" w:after="0" w:afterAutospacing="0" w:line="360" w:lineRule="auto"/>
        <w:ind w:firstLine="420"/>
        <w:rPr>
          <w:sz w:val="21"/>
          <w:szCs w:val="21"/>
        </w:rPr>
      </w:pPr>
      <w:r>
        <w:rPr>
          <w:rFonts w:hint="eastAsia"/>
          <w:sz w:val="21"/>
          <w:szCs w:val="21"/>
        </w:rPr>
        <w:t>（3）依照《基金合同》收取基金管理费以及法律法规规定或中国证监会批准的其他费用；</w:t>
      </w:r>
    </w:p>
    <w:p>
      <w:pPr>
        <w:pStyle w:val="7"/>
        <w:spacing w:before="0" w:beforeAutospacing="0" w:after="0" w:afterAutospacing="0" w:line="360" w:lineRule="auto"/>
        <w:ind w:firstLine="420"/>
        <w:rPr>
          <w:sz w:val="21"/>
          <w:szCs w:val="21"/>
        </w:rPr>
      </w:pPr>
      <w:r>
        <w:rPr>
          <w:rFonts w:hint="eastAsia"/>
          <w:sz w:val="21"/>
          <w:szCs w:val="21"/>
        </w:rPr>
        <w:t>（4）销售基金份额；</w:t>
      </w:r>
    </w:p>
    <w:p>
      <w:pPr>
        <w:pStyle w:val="7"/>
        <w:spacing w:before="0" w:beforeAutospacing="0" w:after="0" w:afterAutospacing="0" w:line="360" w:lineRule="auto"/>
        <w:ind w:firstLine="420"/>
        <w:rPr>
          <w:sz w:val="21"/>
          <w:szCs w:val="21"/>
        </w:rPr>
      </w:pPr>
      <w:r>
        <w:rPr>
          <w:rFonts w:hint="eastAsia"/>
          <w:sz w:val="21"/>
          <w:szCs w:val="21"/>
        </w:rPr>
        <w:t>（5）按照规定召集基金份额持有人大会；</w:t>
      </w:r>
    </w:p>
    <w:p>
      <w:pPr>
        <w:pStyle w:val="7"/>
        <w:spacing w:before="0" w:beforeAutospacing="0" w:after="0" w:afterAutospacing="0" w:line="360" w:lineRule="auto"/>
        <w:ind w:firstLine="420"/>
        <w:rPr>
          <w:sz w:val="21"/>
          <w:szCs w:val="21"/>
        </w:rPr>
      </w:pPr>
      <w:r>
        <w:rPr>
          <w:rFonts w:hint="eastAsia"/>
          <w:sz w:val="21"/>
          <w:szCs w:val="21"/>
        </w:rPr>
        <w:t>（6）依据《基金合同》及有关法律规定监督基金托管人，如认为基金托管人违反了《基金合同》及国家有关法律规定，应呈报中国证监会和其他监管部门，并采取必要措施保护基金投资者的利益；</w:t>
      </w:r>
    </w:p>
    <w:p>
      <w:pPr>
        <w:pStyle w:val="7"/>
        <w:spacing w:before="0" w:beforeAutospacing="0" w:after="0" w:afterAutospacing="0" w:line="360" w:lineRule="auto"/>
        <w:ind w:firstLine="420"/>
        <w:rPr>
          <w:sz w:val="21"/>
          <w:szCs w:val="21"/>
        </w:rPr>
      </w:pPr>
      <w:r>
        <w:rPr>
          <w:rFonts w:hint="eastAsia"/>
          <w:sz w:val="21"/>
          <w:szCs w:val="21"/>
        </w:rPr>
        <w:t>（7）在基金托管人更换时，提名新的基金托管人；</w:t>
      </w:r>
    </w:p>
    <w:p>
      <w:pPr>
        <w:pStyle w:val="7"/>
        <w:spacing w:before="0" w:beforeAutospacing="0" w:after="0" w:afterAutospacing="0" w:line="360" w:lineRule="auto"/>
        <w:ind w:firstLine="420"/>
        <w:rPr>
          <w:sz w:val="21"/>
          <w:szCs w:val="21"/>
        </w:rPr>
      </w:pPr>
      <w:r>
        <w:rPr>
          <w:rFonts w:hint="eastAsia"/>
          <w:sz w:val="21"/>
          <w:szCs w:val="21"/>
        </w:rPr>
        <w:t>（8）选择、更换基金销售机构，对基金销售机构的相关行为进行监督和处理； </w:t>
      </w:r>
    </w:p>
    <w:p>
      <w:pPr>
        <w:pStyle w:val="7"/>
        <w:spacing w:before="0" w:beforeAutospacing="0" w:after="0" w:afterAutospacing="0" w:line="360" w:lineRule="auto"/>
        <w:ind w:firstLine="420"/>
        <w:rPr>
          <w:sz w:val="21"/>
          <w:szCs w:val="21"/>
        </w:rPr>
      </w:pPr>
      <w:r>
        <w:rPr>
          <w:rFonts w:hint="eastAsia"/>
          <w:sz w:val="21"/>
          <w:szCs w:val="21"/>
        </w:rPr>
        <w:t>（9）担任或委托其他符合条件的机构担任基金登记机构办理基金登记业务并获得《基金合同》规定的费用； </w:t>
      </w:r>
    </w:p>
    <w:p>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pPr>
        <w:pStyle w:val="7"/>
        <w:spacing w:before="0" w:beforeAutospacing="0" w:after="0" w:afterAutospacing="0" w:line="360" w:lineRule="auto"/>
        <w:ind w:firstLine="420"/>
        <w:rPr>
          <w:sz w:val="21"/>
          <w:szCs w:val="21"/>
        </w:rPr>
      </w:pPr>
      <w:r>
        <w:rPr>
          <w:rFonts w:hint="eastAsia"/>
          <w:sz w:val="21"/>
          <w:szCs w:val="21"/>
        </w:rPr>
        <w:t>（11）在《基金合同》约定的范围内，拒绝或暂停受理申购、赎回与转换申请； </w:t>
      </w:r>
    </w:p>
    <w:p>
      <w:pPr>
        <w:pStyle w:val="7"/>
        <w:spacing w:before="0" w:beforeAutospacing="0" w:after="0" w:afterAutospacing="0" w:line="360" w:lineRule="auto"/>
        <w:ind w:firstLine="420"/>
        <w:rPr>
          <w:sz w:val="21"/>
          <w:szCs w:val="21"/>
        </w:rPr>
      </w:pPr>
      <w:r>
        <w:rPr>
          <w:rFonts w:hint="eastAsia"/>
          <w:sz w:val="21"/>
          <w:szCs w:val="21"/>
        </w:rPr>
        <w:t>（12）依照法律法规为基金的利益对被投资公司行使股东权利，为基金的利益行使因基金财产投资于证券所产生的权利；</w:t>
      </w:r>
    </w:p>
    <w:p>
      <w:pPr>
        <w:pStyle w:val="7"/>
        <w:spacing w:before="0" w:beforeAutospacing="0" w:after="0" w:afterAutospacing="0" w:line="360" w:lineRule="auto"/>
        <w:ind w:firstLine="420"/>
        <w:rPr>
          <w:sz w:val="21"/>
          <w:szCs w:val="21"/>
        </w:rPr>
      </w:pPr>
      <w:r>
        <w:rPr>
          <w:rFonts w:hint="eastAsia"/>
          <w:sz w:val="21"/>
          <w:szCs w:val="21"/>
        </w:rPr>
        <w:t>（13）在法律法规允许的前提下，为基金的利益依法为基金进行融资及转融通证券出借业务；</w:t>
      </w:r>
    </w:p>
    <w:p>
      <w:pPr>
        <w:pStyle w:val="7"/>
        <w:spacing w:before="0" w:beforeAutospacing="0" w:after="0" w:afterAutospacing="0" w:line="360" w:lineRule="auto"/>
        <w:ind w:firstLine="420"/>
        <w:rPr>
          <w:sz w:val="21"/>
          <w:szCs w:val="21"/>
        </w:rPr>
      </w:pPr>
      <w:r>
        <w:rPr>
          <w:rFonts w:hint="eastAsia"/>
          <w:sz w:val="21"/>
          <w:szCs w:val="21"/>
        </w:rPr>
        <w:t>（14）以基金管理人的名义，代表基金份额持有人的利益行使诉讼权利或者实施其他法律行为；</w:t>
      </w:r>
    </w:p>
    <w:p>
      <w:pPr>
        <w:pStyle w:val="7"/>
        <w:spacing w:before="0" w:beforeAutospacing="0" w:after="0" w:afterAutospacing="0" w:line="360" w:lineRule="auto"/>
        <w:ind w:firstLine="420"/>
        <w:rPr>
          <w:sz w:val="21"/>
          <w:szCs w:val="21"/>
        </w:rPr>
      </w:pPr>
      <w:r>
        <w:rPr>
          <w:rFonts w:hint="eastAsia"/>
          <w:sz w:val="21"/>
          <w:szCs w:val="21"/>
        </w:rPr>
        <w:t>（15）选择、更换律师事务所、会计师事务所、证券、期货经纪商或其他为基金提供服务的外部机构；</w:t>
      </w:r>
    </w:p>
    <w:p>
      <w:pPr>
        <w:pStyle w:val="7"/>
        <w:spacing w:before="0" w:beforeAutospacing="0" w:after="0" w:afterAutospacing="0" w:line="360" w:lineRule="auto"/>
        <w:ind w:firstLine="420"/>
        <w:rPr>
          <w:sz w:val="21"/>
          <w:szCs w:val="21"/>
        </w:rPr>
      </w:pPr>
      <w:r>
        <w:rPr>
          <w:rFonts w:hint="eastAsia"/>
          <w:sz w:val="21"/>
          <w:szCs w:val="21"/>
        </w:rPr>
        <w:t>（16）在符合有关法律、法规的前提下，制订和调整有关基金认购、申购、赎回、转换、定期定额投资和非交易过户等业务规则；</w:t>
      </w:r>
    </w:p>
    <w:p>
      <w:pPr>
        <w:pStyle w:val="7"/>
        <w:spacing w:before="0" w:beforeAutospacing="0" w:after="0" w:afterAutospacing="0" w:line="360" w:lineRule="auto"/>
        <w:ind w:firstLine="420"/>
        <w:rPr>
          <w:sz w:val="21"/>
          <w:szCs w:val="21"/>
        </w:rPr>
      </w:pPr>
      <w:r>
        <w:rPr>
          <w:rFonts w:hint="eastAsia"/>
          <w:sz w:val="21"/>
          <w:szCs w:val="21"/>
        </w:rPr>
        <w:t>（17）法律法规及中国证监会规定的和《基金合同》约定的其他权利。</w:t>
      </w:r>
    </w:p>
    <w:p>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2、根据《基金法》、《运作办法》及其他有关规定，基金管理人的义务包括但不限于：</w:t>
      </w:r>
    </w:p>
    <w:p>
      <w:pPr>
        <w:pStyle w:val="7"/>
        <w:spacing w:before="0" w:beforeAutospacing="0" w:after="0" w:afterAutospacing="0" w:line="360" w:lineRule="auto"/>
        <w:ind w:firstLine="420"/>
        <w:rPr>
          <w:sz w:val="21"/>
          <w:szCs w:val="21"/>
        </w:rPr>
      </w:pPr>
      <w:r>
        <w:rPr>
          <w:rFonts w:hint="eastAsia"/>
          <w:sz w:val="21"/>
          <w:szCs w:val="21"/>
        </w:rPr>
        <w:t>（1）依法募集资金，办理或者委托经中国证监会认定的其他机构代为办理基金份额的发售、申购、赎回和登记事宜；</w:t>
      </w:r>
    </w:p>
    <w:p>
      <w:pPr>
        <w:pStyle w:val="7"/>
        <w:spacing w:before="0" w:beforeAutospacing="0" w:after="0" w:afterAutospacing="0" w:line="360" w:lineRule="auto"/>
        <w:ind w:firstLine="420"/>
        <w:rPr>
          <w:sz w:val="21"/>
          <w:szCs w:val="21"/>
        </w:rPr>
      </w:pPr>
      <w:r>
        <w:rPr>
          <w:rFonts w:hint="eastAsia"/>
          <w:sz w:val="21"/>
          <w:szCs w:val="21"/>
        </w:rPr>
        <w:t>（2）办理基金备案手续；</w:t>
      </w:r>
    </w:p>
    <w:p>
      <w:pPr>
        <w:pStyle w:val="7"/>
        <w:spacing w:before="0" w:beforeAutospacing="0" w:after="0" w:afterAutospacing="0" w:line="360" w:lineRule="auto"/>
        <w:ind w:firstLine="420"/>
        <w:rPr>
          <w:sz w:val="21"/>
          <w:szCs w:val="21"/>
        </w:rPr>
      </w:pPr>
      <w:r>
        <w:rPr>
          <w:rFonts w:hint="eastAsia"/>
          <w:sz w:val="21"/>
          <w:szCs w:val="21"/>
        </w:rPr>
        <w:t>（3）自《基金合同》生效之日起，以诚实信用、谨慎勤勉的原则管理和运用基金财产；</w:t>
      </w:r>
    </w:p>
    <w:p>
      <w:pPr>
        <w:pStyle w:val="7"/>
        <w:spacing w:before="0" w:beforeAutospacing="0" w:after="0" w:afterAutospacing="0" w:line="360" w:lineRule="auto"/>
        <w:ind w:firstLine="420"/>
        <w:rPr>
          <w:sz w:val="21"/>
          <w:szCs w:val="21"/>
        </w:rPr>
      </w:pPr>
      <w:r>
        <w:rPr>
          <w:rFonts w:hint="eastAsia"/>
          <w:sz w:val="21"/>
          <w:szCs w:val="21"/>
        </w:rPr>
        <w:t>（4）配备足够的具有专业资格的人员进行基金投资分析、决策，以专业化的经营方式管理和运作基金财产；</w:t>
      </w:r>
    </w:p>
    <w:p>
      <w:pPr>
        <w:pStyle w:val="7"/>
        <w:spacing w:before="0" w:beforeAutospacing="0" w:after="0" w:afterAutospacing="0" w:line="360" w:lineRule="auto"/>
        <w:ind w:firstLine="420"/>
        <w:rPr>
          <w:sz w:val="21"/>
          <w:szCs w:val="21"/>
        </w:rPr>
      </w:pPr>
      <w:r>
        <w:rPr>
          <w:rFonts w:hint="eastAsia"/>
          <w:sz w:val="21"/>
          <w:szCs w:val="21"/>
        </w:rPr>
        <w:t>（5）建立健全内部风险控制、监察与稽核、财务管理及人事管理等制度，保证所管理的基金财产和基金管理人的财产相互独立，对所管理的不同基金分别管理，分别记账，进行证券投资；</w:t>
      </w:r>
    </w:p>
    <w:p>
      <w:pPr>
        <w:pStyle w:val="7"/>
        <w:spacing w:before="0" w:beforeAutospacing="0" w:after="0" w:afterAutospacing="0" w:line="360" w:lineRule="auto"/>
        <w:ind w:firstLine="420"/>
        <w:rPr>
          <w:sz w:val="21"/>
          <w:szCs w:val="21"/>
        </w:rPr>
      </w:pPr>
      <w:r>
        <w:rPr>
          <w:rFonts w:hint="eastAsia"/>
          <w:sz w:val="21"/>
          <w:szCs w:val="21"/>
        </w:rPr>
        <w:t>（6）除依据《基金法》、《基金合同》及其他有关规定外，不得利用基金财产为自己及任何第三人谋取利益，不得委托第三人运作基金财产；</w:t>
      </w:r>
    </w:p>
    <w:p>
      <w:pPr>
        <w:pStyle w:val="7"/>
        <w:spacing w:before="0" w:beforeAutospacing="0" w:after="0" w:afterAutospacing="0" w:line="360" w:lineRule="auto"/>
        <w:ind w:firstLine="420"/>
        <w:rPr>
          <w:sz w:val="21"/>
          <w:szCs w:val="21"/>
        </w:rPr>
      </w:pPr>
      <w:r>
        <w:rPr>
          <w:rFonts w:hint="eastAsia"/>
          <w:sz w:val="21"/>
          <w:szCs w:val="21"/>
        </w:rPr>
        <w:t>（7）依法接受基金托管人的监督；</w:t>
      </w:r>
    </w:p>
    <w:p>
      <w:pPr>
        <w:pStyle w:val="7"/>
        <w:spacing w:before="0" w:beforeAutospacing="0" w:after="0" w:afterAutospacing="0" w:line="360" w:lineRule="auto"/>
        <w:ind w:firstLine="420"/>
        <w:rPr>
          <w:sz w:val="21"/>
          <w:szCs w:val="21"/>
        </w:rPr>
      </w:pPr>
      <w:r>
        <w:rPr>
          <w:rFonts w:hint="eastAsia"/>
          <w:sz w:val="21"/>
          <w:szCs w:val="21"/>
        </w:rPr>
        <w:t>（8）采取适当合理的措施使计算基金份额认购、申购、赎回和注销价格的方法符合《基金合同》等法律文件的规定，按有关规定计算并公告基金净值信息，确定基金份额申购、赎回的价格；</w:t>
      </w:r>
    </w:p>
    <w:p>
      <w:pPr>
        <w:pStyle w:val="7"/>
        <w:spacing w:before="0" w:beforeAutospacing="0" w:after="0" w:afterAutospacing="0" w:line="360" w:lineRule="auto"/>
        <w:ind w:firstLine="420"/>
        <w:rPr>
          <w:sz w:val="21"/>
          <w:szCs w:val="21"/>
        </w:rPr>
      </w:pPr>
      <w:r>
        <w:rPr>
          <w:rFonts w:hint="eastAsia"/>
          <w:sz w:val="21"/>
          <w:szCs w:val="21"/>
        </w:rPr>
        <w:t>（9）进行基金会计核算并编制基金财务会计报告；</w:t>
      </w:r>
    </w:p>
    <w:p>
      <w:pPr>
        <w:pStyle w:val="7"/>
        <w:spacing w:before="0" w:beforeAutospacing="0" w:after="0" w:afterAutospacing="0" w:line="360" w:lineRule="auto"/>
        <w:ind w:firstLine="420"/>
        <w:rPr>
          <w:sz w:val="21"/>
          <w:szCs w:val="21"/>
        </w:rPr>
      </w:pPr>
      <w:r>
        <w:rPr>
          <w:rFonts w:hint="eastAsia"/>
          <w:sz w:val="21"/>
          <w:szCs w:val="21"/>
        </w:rPr>
        <w:t>（10）编制季度报告、中期报告和年度报告；</w:t>
      </w:r>
    </w:p>
    <w:p>
      <w:pPr>
        <w:pStyle w:val="7"/>
        <w:spacing w:before="0" w:beforeAutospacing="0" w:after="0" w:afterAutospacing="0" w:line="360" w:lineRule="auto"/>
        <w:ind w:firstLine="420"/>
        <w:rPr>
          <w:sz w:val="21"/>
          <w:szCs w:val="21"/>
        </w:rPr>
      </w:pPr>
      <w:r>
        <w:rPr>
          <w:rFonts w:hint="eastAsia"/>
          <w:sz w:val="21"/>
          <w:szCs w:val="21"/>
        </w:rPr>
        <w:t>（11）严格按照《基金法》、《基金合同》及其他有关规定，履行信息披露及报告义务；</w:t>
      </w:r>
    </w:p>
    <w:p>
      <w:pPr>
        <w:pStyle w:val="7"/>
        <w:spacing w:before="0" w:beforeAutospacing="0" w:after="0" w:afterAutospacing="0" w:line="360" w:lineRule="auto"/>
        <w:ind w:firstLine="420"/>
        <w:rPr>
          <w:sz w:val="21"/>
          <w:szCs w:val="21"/>
        </w:rPr>
      </w:pPr>
      <w:r>
        <w:rPr>
          <w:rFonts w:hint="eastAsia"/>
          <w:sz w:val="21"/>
          <w:szCs w:val="21"/>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pPr>
        <w:pStyle w:val="7"/>
        <w:spacing w:before="0" w:beforeAutospacing="0" w:after="0" w:afterAutospacing="0" w:line="360" w:lineRule="auto"/>
        <w:ind w:firstLine="420"/>
        <w:rPr>
          <w:sz w:val="21"/>
          <w:szCs w:val="21"/>
        </w:rPr>
      </w:pPr>
      <w:r>
        <w:rPr>
          <w:rFonts w:hint="eastAsia"/>
          <w:sz w:val="21"/>
          <w:szCs w:val="21"/>
        </w:rPr>
        <w:t>（13）按《基金合同》的约定确定基金收益分配方案，及时向基金份额持有人分配基金收益；</w:t>
      </w:r>
    </w:p>
    <w:p>
      <w:pPr>
        <w:pStyle w:val="7"/>
        <w:spacing w:before="0" w:beforeAutospacing="0" w:after="0" w:afterAutospacing="0" w:line="360" w:lineRule="auto"/>
        <w:ind w:firstLine="420"/>
        <w:rPr>
          <w:sz w:val="21"/>
          <w:szCs w:val="21"/>
        </w:rPr>
      </w:pPr>
      <w:r>
        <w:rPr>
          <w:rFonts w:hint="eastAsia"/>
          <w:sz w:val="21"/>
          <w:szCs w:val="21"/>
        </w:rPr>
        <w:t>（14）按规定受理申购与赎回申请，及时、足额支付赎回款项；</w:t>
      </w:r>
    </w:p>
    <w:p>
      <w:pPr>
        <w:pStyle w:val="7"/>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（15）依据《基金法》、《基金合同》及其他有关规定召集基金份额持有人大会或配合基金托管人、基金份额持有人依法召集基金份额持有人大会；</w:t>
      </w:r>
    </w:p>
    <w:p>
      <w:pPr>
        <w:pStyle w:val="7"/>
        <w:spacing w:before="0" w:beforeAutospacing="0" w:after="0" w:afterAutospacing="0" w:line="360" w:lineRule="auto"/>
        <w:ind w:firstLine="420"/>
        <w:rPr>
          <w:sz w:val="21"/>
          <w:szCs w:val="21"/>
        </w:rPr>
      </w:pPr>
      <w:r>
        <w:rPr>
          <w:rFonts w:hint="eastAsia"/>
          <w:sz w:val="21"/>
          <w:szCs w:val="21"/>
        </w:rPr>
        <w:t>（16）按规定保存基金财产管理业务活动的会计账册、报表、记录和其他相关资料，保存期限不低于法律法规规定的最低期限；</w:t>
      </w:r>
    </w:p>
    <w:p>
      <w:pPr>
        <w:pStyle w:val="7"/>
        <w:spacing w:before="0" w:beforeAutospacing="0" w:after="0" w:afterAutospacing="0" w:line="360" w:lineRule="auto"/>
        <w:ind w:firstLine="420"/>
        <w:rPr>
          <w:sz w:val="21"/>
          <w:szCs w:val="21"/>
        </w:rPr>
      </w:pPr>
      <w:r>
        <w:rPr>
          <w:rFonts w:hint="eastAsia"/>
          <w:sz w:val="21"/>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pStyle w:val="7"/>
        <w:spacing w:before="0" w:beforeAutospacing="0" w:after="0" w:afterAutospacing="0" w:line="360" w:lineRule="auto"/>
        <w:ind w:firstLine="420"/>
        <w:rPr>
          <w:sz w:val="21"/>
          <w:szCs w:val="21"/>
        </w:rPr>
      </w:pPr>
      <w:r>
        <w:rPr>
          <w:rFonts w:hint="eastAsia"/>
          <w:sz w:val="21"/>
          <w:szCs w:val="21"/>
        </w:rPr>
        <w:t>（18）组织并参加基金财产清算小组，参与基金财产的保管、清理、估价、变现和分配；</w:t>
      </w:r>
    </w:p>
    <w:p>
      <w:pPr>
        <w:pStyle w:val="7"/>
        <w:spacing w:before="0" w:beforeAutospacing="0" w:after="0" w:afterAutospacing="0" w:line="360" w:lineRule="auto"/>
        <w:ind w:firstLine="420"/>
        <w:rPr>
          <w:sz w:val="21"/>
          <w:szCs w:val="21"/>
        </w:rPr>
      </w:pPr>
      <w:r>
        <w:rPr>
          <w:rFonts w:hint="eastAsia"/>
          <w:sz w:val="21"/>
          <w:szCs w:val="21"/>
        </w:rPr>
        <w:t>（19）面临解散、依法被撤销或者被依法宣告破产时，及时报告中国证监会并通知基金托管人；</w:t>
      </w:r>
    </w:p>
    <w:p>
      <w:pPr>
        <w:pStyle w:val="7"/>
        <w:spacing w:before="0" w:beforeAutospacing="0" w:after="0" w:afterAutospacing="0" w:line="360" w:lineRule="auto"/>
        <w:ind w:firstLine="420"/>
        <w:rPr>
          <w:sz w:val="21"/>
          <w:szCs w:val="21"/>
        </w:rPr>
      </w:pPr>
      <w:r>
        <w:rPr>
          <w:rFonts w:hint="eastAsia"/>
          <w:sz w:val="21"/>
          <w:szCs w:val="21"/>
        </w:rPr>
        <w:t>（20）因违反《基金合同》导致基金财产的损失或损害基金份额持有人合法权益时，应当承担赔偿责任，其赔偿责任不因其退任而免除；</w:t>
      </w:r>
    </w:p>
    <w:p>
      <w:pPr>
        <w:pStyle w:val="7"/>
        <w:spacing w:before="0" w:beforeAutospacing="0" w:after="0" w:afterAutospacing="0" w:line="360" w:lineRule="auto"/>
        <w:ind w:firstLine="420"/>
        <w:rPr>
          <w:sz w:val="21"/>
          <w:szCs w:val="21"/>
        </w:rPr>
      </w:pPr>
      <w:r>
        <w:rPr>
          <w:rFonts w:hint="eastAsia"/>
          <w:sz w:val="21"/>
          <w:szCs w:val="21"/>
        </w:rPr>
        <w:t>（21）监督基金托管人按法律法规和《基金合同》规定履行自己的义务，基金托管人违反《基金合同》造成基金财产损失时，基金管理人应为基金份额持有人利益向基金托管人追偿；</w:t>
      </w:r>
    </w:p>
    <w:p>
      <w:pPr>
        <w:pStyle w:val="7"/>
        <w:spacing w:before="0" w:beforeAutospacing="0" w:after="0" w:afterAutospacing="0" w:line="360" w:lineRule="auto"/>
        <w:ind w:firstLine="420"/>
        <w:rPr>
          <w:sz w:val="21"/>
          <w:szCs w:val="21"/>
        </w:rPr>
      </w:pPr>
      <w:r>
        <w:rPr>
          <w:rFonts w:hint="eastAsia"/>
          <w:sz w:val="21"/>
          <w:szCs w:val="21"/>
        </w:rPr>
        <w:t>（22）当基金管理人将其义务委托第三方处理时，应当对第三方处理有关基金事务的行为承担责任；</w:t>
      </w:r>
    </w:p>
    <w:p>
      <w:pPr>
        <w:pStyle w:val="7"/>
        <w:spacing w:before="0" w:beforeAutospacing="0" w:after="0" w:afterAutospacing="0" w:line="360" w:lineRule="auto"/>
        <w:ind w:firstLine="420"/>
        <w:rPr>
          <w:sz w:val="21"/>
          <w:szCs w:val="21"/>
        </w:rPr>
      </w:pPr>
      <w:r>
        <w:rPr>
          <w:rFonts w:hint="eastAsia"/>
          <w:sz w:val="21"/>
          <w:szCs w:val="21"/>
        </w:rPr>
        <w:t>（23）以基金管理人名义，代表基金份额持有人利益行使诉讼权利或实施其他法律行为；</w:t>
      </w:r>
    </w:p>
    <w:p>
      <w:pPr>
        <w:pStyle w:val="7"/>
        <w:spacing w:before="0" w:beforeAutospacing="0" w:after="0" w:afterAutospacing="0" w:line="360" w:lineRule="auto"/>
        <w:ind w:firstLine="420"/>
        <w:rPr>
          <w:sz w:val="21"/>
          <w:szCs w:val="21"/>
        </w:rPr>
      </w:pPr>
      <w:r>
        <w:rPr>
          <w:rFonts w:hint="eastAsia"/>
          <w:sz w:val="21"/>
          <w:szCs w:val="21"/>
        </w:rPr>
        <w:t>（24）基金在募集期间未能达到基金的备案条件，《基金合同》不能生效，基金管理人承担全部募集费用，将已募集资金并加计银行同期活期存款利息在基金募集期结束后30日内退还基金认购人；</w:t>
      </w:r>
    </w:p>
    <w:p>
      <w:pPr>
        <w:pStyle w:val="7"/>
        <w:spacing w:before="0" w:beforeAutospacing="0" w:after="0" w:afterAutospacing="0" w:line="360" w:lineRule="auto"/>
        <w:ind w:firstLine="420"/>
        <w:rPr>
          <w:sz w:val="21"/>
          <w:szCs w:val="21"/>
        </w:rPr>
      </w:pPr>
      <w:r>
        <w:rPr>
          <w:rFonts w:hint="eastAsia"/>
          <w:sz w:val="21"/>
          <w:szCs w:val="21"/>
        </w:rPr>
        <w:t>（25）执行生效的基金份额持有人大会的决议；</w:t>
      </w:r>
    </w:p>
    <w:p>
      <w:pPr>
        <w:pStyle w:val="7"/>
        <w:spacing w:before="0" w:beforeAutospacing="0" w:after="0" w:afterAutospacing="0" w:line="360" w:lineRule="auto"/>
        <w:ind w:firstLine="420"/>
        <w:rPr>
          <w:sz w:val="21"/>
          <w:szCs w:val="21"/>
        </w:rPr>
      </w:pPr>
      <w:r>
        <w:rPr>
          <w:rFonts w:hint="eastAsia"/>
          <w:sz w:val="21"/>
          <w:szCs w:val="21"/>
        </w:rPr>
        <w:t>（26）建立并保存基金份额持有人名册；</w:t>
      </w:r>
    </w:p>
    <w:p>
      <w:pPr>
        <w:pStyle w:val="7"/>
        <w:spacing w:before="0" w:beforeAutospacing="0" w:after="0" w:afterAutospacing="0" w:line="360" w:lineRule="auto"/>
        <w:ind w:firstLine="420"/>
        <w:rPr>
          <w:sz w:val="21"/>
          <w:szCs w:val="21"/>
        </w:rPr>
      </w:pPr>
      <w:r>
        <w:rPr>
          <w:rFonts w:hint="eastAsia"/>
          <w:sz w:val="21"/>
          <w:szCs w:val="21"/>
        </w:rPr>
        <w:t>（27）法律法规及中国证监会规定的和《基金合同》约定的其他义务。</w:t>
      </w:r>
    </w:p>
    <w:p>
      <w:pPr>
        <w:pStyle w:val="7"/>
        <w:spacing w:before="0" w:beforeAutospacing="0" w:after="0" w:afterAutospacing="0" w:line="360" w:lineRule="auto"/>
        <w:ind w:firstLine="420"/>
        <w:rPr>
          <w:sz w:val="21"/>
          <w:szCs w:val="21"/>
        </w:rPr>
      </w:pPr>
      <w:r>
        <w:rPr>
          <w:rFonts w:hint="eastAsia"/>
          <w:sz w:val="21"/>
          <w:szCs w:val="21"/>
        </w:rPr>
        <w:t>（二）基金托管人的权利与义务</w:t>
      </w:r>
    </w:p>
    <w:p>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1、根据《基金法》、《运作办法》及其他有关规定，基金托管人的权利包括但不限于：</w:t>
      </w:r>
    </w:p>
    <w:p>
      <w:pPr>
        <w:pStyle w:val="7"/>
        <w:spacing w:before="0" w:beforeAutospacing="0" w:after="0" w:afterAutospacing="0" w:line="360" w:lineRule="auto"/>
        <w:ind w:firstLine="420"/>
        <w:rPr>
          <w:sz w:val="21"/>
          <w:szCs w:val="21"/>
        </w:rPr>
      </w:pPr>
      <w:r>
        <w:rPr>
          <w:rFonts w:hint="eastAsia"/>
          <w:sz w:val="21"/>
          <w:szCs w:val="21"/>
        </w:rPr>
        <w:t>（1）自《基金合同》生效之日起，依法律法规和《基金合同》的规定安全保管基金财产；</w:t>
      </w:r>
    </w:p>
    <w:p>
      <w:pPr>
        <w:pStyle w:val="7"/>
        <w:spacing w:before="0" w:beforeAutospacing="0" w:after="0" w:afterAutospacing="0" w:line="360" w:lineRule="auto"/>
        <w:ind w:firstLine="420"/>
        <w:rPr>
          <w:sz w:val="21"/>
          <w:szCs w:val="21"/>
        </w:rPr>
      </w:pPr>
      <w:r>
        <w:rPr>
          <w:rFonts w:hint="eastAsia"/>
          <w:sz w:val="21"/>
          <w:szCs w:val="21"/>
        </w:rPr>
        <w:t>（2）依《基金合同》约定获得基金托管费以及法律法规规定或监管部门批准的其他费用；</w:t>
      </w:r>
    </w:p>
    <w:p>
      <w:pPr>
        <w:pStyle w:val="7"/>
        <w:spacing w:before="0" w:beforeAutospacing="0" w:after="0" w:afterAutospacing="0" w:line="360" w:lineRule="auto"/>
        <w:ind w:firstLine="420"/>
        <w:rPr>
          <w:sz w:val="21"/>
          <w:szCs w:val="21"/>
        </w:rPr>
      </w:pPr>
      <w:r>
        <w:rPr>
          <w:rFonts w:hint="eastAsia"/>
          <w:sz w:val="21"/>
          <w:szCs w:val="21"/>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pStyle w:val="7"/>
        <w:spacing w:before="0" w:beforeAutospacing="0" w:after="0" w:afterAutospacing="0" w:line="360" w:lineRule="auto"/>
        <w:ind w:firstLine="420"/>
        <w:rPr>
          <w:sz w:val="21"/>
          <w:szCs w:val="21"/>
        </w:rPr>
      </w:pPr>
      <w:r>
        <w:rPr>
          <w:rFonts w:hint="eastAsia"/>
          <w:sz w:val="21"/>
          <w:szCs w:val="21"/>
        </w:rPr>
        <w:t>（4）根据相关市场规则，为基金开设托管账户、证券账户等投资所需账户，为基金办理证券、期货交易资金清算；</w:t>
      </w:r>
    </w:p>
    <w:p>
      <w:pPr>
        <w:pStyle w:val="7"/>
        <w:spacing w:before="0" w:beforeAutospacing="0" w:after="0" w:afterAutospacing="0" w:line="360" w:lineRule="auto"/>
        <w:ind w:firstLine="420"/>
        <w:rPr>
          <w:sz w:val="21"/>
          <w:szCs w:val="21"/>
        </w:rPr>
      </w:pPr>
      <w:r>
        <w:rPr>
          <w:rFonts w:hint="eastAsia"/>
          <w:sz w:val="21"/>
          <w:szCs w:val="21"/>
        </w:rPr>
        <w:t>（5）提议召开或召集基金份额持有人大会；</w:t>
      </w:r>
    </w:p>
    <w:p>
      <w:pPr>
        <w:pStyle w:val="7"/>
        <w:spacing w:before="0" w:beforeAutospacing="0" w:after="0" w:afterAutospacing="0" w:line="360" w:lineRule="auto"/>
        <w:ind w:firstLine="420"/>
        <w:rPr>
          <w:sz w:val="21"/>
          <w:szCs w:val="21"/>
        </w:rPr>
      </w:pPr>
      <w:r>
        <w:rPr>
          <w:rFonts w:hint="eastAsia"/>
          <w:sz w:val="21"/>
          <w:szCs w:val="21"/>
        </w:rPr>
        <w:t>（6）在基金管理人更换时，提名新的基金管理人；</w:t>
      </w:r>
    </w:p>
    <w:p>
      <w:pPr>
        <w:pStyle w:val="7"/>
        <w:spacing w:before="0" w:beforeAutospacing="0" w:after="0" w:afterAutospacing="0" w:line="360" w:lineRule="auto"/>
        <w:ind w:firstLine="420"/>
        <w:rPr>
          <w:sz w:val="21"/>
          <w:szCs w:val="21"/>
        </w:rPr>
      </w:pPr>
      <w:r>
        <w:rPr>
          <w:rFonts w:hint="eastAsia"/>
          <w:sz w:val="21"/>
          <w:szCs w:val="21"/>
        </w:rPr>
        <w:t>（7）法律法规及中国证监会规定的和《基金合同》约定的其他权利。</w:t>
      </w:r>
    </w:p>
    <w:p>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2、根据《基金法》、《运作办法》及其他有关规定，基金托管人的义务包括但不限于：</w:t>
      </w:r>
    </w:p>
    <w:p>
      <w:pPr>
        <w:pStyle w:val="7"/>
        <w:spacing w:before="0" w:beforeAutospacing="0" w:after="0" w:afterAutospacing="0" w:line="360" w:lineRule="auto"/>
        <w:ind w:firstLine="420"/>
        <w:rPr>
          <w:sz w:val="21"/>
          <w:szCs w:val="21"/>
        </w:rPr>
      </w:pPr>
      <w:r>
        <w:rPr>
          <w:rFonts w:hint="eastAsia"/>
          <w:sz w:val="21"/>
          <w:szCs w:val="21"/>
        </w:rPr>
        <w:t>（1）以诚实信用、勤勉尽责的原则持有并安全保管基金财产；</w:t>
      </w:r>
    </w:p>
    <w:p>
      <w:pPr>
        <w:pStyle w:val="7"/>
        <w:spacing w:before="0" w:beforeAutospacing="0" w:after="0" w:afterAutospacing="0" w:line="360" w:lineRule="auto"/>
        <w:ind w:firstLine="420"/>
        <w:rPr>
          <w:sz w:val="21"/>
          <w:szCs w:val="21"/>
        </w:rPr>
      </w:pPr>
      <w:r>
        <w:rPr>
          <w:rFonts w:hint="eastAsia"/>
          <w:sz w:val="21"/>
          <w:szCs w:val="21"/>
        </w:rPr>
        <w:t>（2）设立专门的基金托管部门，具有符合要求的营业场所，配备足够的、合格的熟悉基金托管业务的专职人员，负责基金财产托管事宜；</w:t>
      </w:r>
    </w:p>
    <w:p>
      <w:pPr>
        <w:pStyle w:val="7"/>
        <w:spacing w:before="0" w:beforeAutospacing="0" w:after="0" w:afterAutospacing="0" w:line="360" w:lineRule="auto"/>
        <w:ind w:firstLine="420"/>
        <w:rPr>
          <w:sz w:val="21"/>
          <w:szCs w:val="21"/>
        </w:rPr>
      </w:pPr>
      <w:r>
        <w:rPr>
          <w:rFonts w:hint="eastAsia"/>
          <w:sz w:val="21"/>
          <w:szCs w:val="21"/>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pStyle w:val="7"/>
        <w:spacing w:before="0" w:beforeAutospacing="0" w:after="0" w:afterAutospacing="0" w:line="360" w:lineRule="auto"/>
        <w:ind w:firstLine="420"/>
        <w:rPr>
          <w:sz w:val="21"/>
          <w:szCs w:val="21"/>
        </w:rPr>
      </w:pPr>
      <w:r>
        <w:rPr>
          <w:rFonts w:hint="eastAsia"/>
          <w:sz w:val="21"/>
          <w:szCs w:val="21"/>
        </w:rPr>
        <w:t>（4）除依据《基金法》、《基金合同》及其他有关规定外，不得利用基金财产为自己及任何第三人谋取利益，不得委托第三人托管基金财产；</w:t>
      </w:r>
    </w:p>
    <w:p>
      <w:pPr>
        <w:pStyle w:val="7"/>
        <w:spacing w:before="0" w:beforeAutospacing="0" w:after="0" w:afterAutospacing="0" w:line="360" w:lineRule="auto"/>
        <w:ind w:firstLine="420"/>
        <w:rPr>
          <w:sz w:val="21"/>
          <w:szCs w:val="21"/>
        </w:rPr>
      </w:pPr>
      <w:r>
        <w:rPr>
          <w:rFonts w:hint="eastAsia"/>
          <w:sz w:val="21"/>
          <w:szCs w:val="21"/>
        </w:rPr>
        <w:t>（5）保管由基金管理人代表基金签订的与基金有关的重大合同及有关凭证；</w:t>
      </w:r>
    </w:p>
    <w:p>
      <w:pPr>
        <w:pStyle w:val="7"/>
        <w:spacing w:before="0" w:beforeAutospacing="0" w:after="0" w:afterAutospacing="0" w:line="360" w:lineRule="auto"/>
        <w:ind w:firstLine="420"/>
        <w:rPr>
          <w:sz w:val="21"/>
          <w:szCs w:val="21"/>
        </w:rPr>
      </w:pPr>
      <w:r>
        <w:rPr>
          <w:rFonts w:hint="eastAsia"/>
          <w:sz w:val="21"/>
          <w:szCs w:val="21"/>
        </w:rPr>
        <w:t>（6）按规定开设基金财产的托管账户和证券账户等投资所需账户，按照《基金合同》的约定，根据基金管理人的投资指令，及时办理清算、交割事宜；</w:t>
      </w:r>
    </w:p>
    <w:p>
      <w:pPr>
        <w:pStyle w:val="7"/>
        <w:spacing w:before="0" w:beforeAutospacing="0" w:after="0" w:afterAutospacing="0" w:line="360" w:lineRule="auto"/>
        <w:ind w:firstLine="420"/>
        <w:rPr>
          <w:sz w:val="21"/>
          <w:szCs w:val="21"/>
        </w:rPr>
      </w:pPr>
      <w:r>
        <w:rPr>
          <w:rFonts w:hint="eastAsia"/>
          <w:sz w:val="21"/>
          <w:szCs w:val="21"/>
        </w:rPr>
        <w:t>（7）保守基金商业秘密，除《基金法》、《基金合同》及其他有关规定另有规定外，在基金信息公开披露前予以保密，不得向他人泄露，但因监管机构、司法机关等有权机关要求，或因审计、法律等外部专业顾问提供服务需要提供的情况除外；</w:t>
      </w:r>
    </w:p>
    <w:p>
      <w:pPr>
        <w:pStyle w:val="7"/>
        <w:spacing w:before="0" w:beforeAutospacing="0" w:after="0" w:afterAutospacing="0" w:line="360" w:lineRule="auto"/>
        <w:ind w:firstLine="420"/>
        <w:rPr>
          <w:sz w:val="21"/>
          <w:szCs w:val="21"/>
        </w:rPr>
      </w:pPr>
      <w:r>
        <w:rPr>
          <w:rFonts w:hint="eastAsia"/>
          <w:sz w:val="21"/>
          <w:szCs w:val="21"/>
        </w:rPr>
        <w:t>（8）复核、审查基金管理人计算的基金资产净值、各类基金份额净值、基金份额申购、赎回价格；</w:t>
      </w:r>
    </w:p>
    <w:p>
      <w:pPr>
        <w:pStyle w:val="7"/>
        <w:spacing w:before="0" w:beforeAutospacing="0" w:after="0" w:afterAutospacing="0" w:line="360" w:lineRule="auto"/>
        <w:ind w:firstLine="420"/>
        <w:rPr>
          <w:sz w:val="21"/>
          <w:szCs w:val="21"/>
        </w:rPr>
      </w:pPr>
      <w:r>
        <w:rPr>
          <w:rFonts w:hint="eastAsia"/>
          <w:sz w:val="21"/>
          <w:szCs w:val="21"/>
        </w:rPr>
        <w:t>（9）办理与基金托管业务活动有关的信息披露事项；</w:t>
      </w:r>
    </w:p>
    <w:p>
      <w:pPr>
        <w:pStyle w:val="7"/>
        <w:spacing w:before="0" w:beforeAutospacing="0" w:after="0" w:afterAutospacing="0" w:line="360" w:lineRule="auto"/>
        <w:ind w:firstLine="420"/>
        <w:rPr>
          <w:sz w:val="21"/>
          <w:szCs w:val="21"/>
        </w:rPr>
      </w:pPr>
      <w:r>
        <w:rPr>
          <w:rFonts w:hint="eastAsia"/>
          <w:sz w:val="21"/>
          <w:szCs w:val="21"/>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pStyle w:val="7"/>
        <w:spacing w:before="0" w:beforeAutospacing="0" w:after="0" w:afterAutospacing="0" w:line="360" w:lineRule="auto"/>
        <w:ind w:firstLine="420"/>
        <w:rPr>
          <w:sz w:val="21"/>
          <w:szCs w:val="21"/>
        </w:rPr>
      </w:pPr>
      <w:r>
        <w:rPr>
          <w:rFonts w:hint="eastAsia"/>
          <w:sz w:val="21"/>
          <w:szCs w:val="21"/>
        </w:rPr>
        <w:t>（11）保存基金托管业务活动的记录、账册、报表和其他相关资料不低于法律法规规定的最低期限；</w:t>
      </w:r>
    </w:p>
    <w:p>
      <w:pPr>
        <w:pStyle w:val="7"/>
        <w:spacing w:before="0" w:beforeAutospacing="0" w:after="0" w:afterAutospacing="0" w:line="360" w:lineRule="auto"/>
        <w:ind w:firstLine="420"/>
        <w:rPr>
          <w:sz w:val="21"/>
          <w:szCs w:val="21"/>
        </w:rPr>
      </w:pPr>
      <w:r>
        <w:rPr>
          <w:rFonts w:hint="eastAsia"/>
          <w:sz w:val="21"/>
          <w:szCs w:val="21"/>
        </w:rPr>
        <w:t>（12）保存基金份额持有人名册；</w:t>
      </w:r>
    </w:p>
    <w:p>
      <w:pPr>
        <w:pStyle w:val="7"/>
        <w:spacing w:before="0" w:beforeAutospacing="0" w:after="0" w:afterAutospacing="0" w:line="360" w:lineRule="auto"/>
        <w:ind w:firstLine="420"/>
        <w:rPr>
          <w:sz w:val="21"/>
          <w:szCs w:val="21"/>
        </w:rPr>
      </w:pPr>
      <w:r>
        <w:rPr>
          <w:rFonts w:hint="eastAsia"/>
          <w:sz w:val="21"/>
          <w:szCs w:val="21"/>
        </w:rPr>
        <w:t>（13）按规定制作相关账册并与基金管理人核对；</w:t>
      </w:r>
    </w:p>
    <w:p>
      <w:pPr>
        <w:pStyle w:val="7"/>
        <w:spacing w:before="0" w:beforeAutospacing="0" w:after="0" w:afterAutospacing="0" w:line="360" w:lineRule="auto"/>
        <w:ind w:firstLine="420"/>
        <w:rPr>
          <w:sz w:val="21"/>
          <w:szCs w:val="21"/>
        </w:rPr>
      </w:pPr>
      <w:r>
        <w:rPr>
          <w:rFonts w:hint="eastAsia"/>
          <w:sz w:val="21"/>
          <w:szCs w:val="21"/>
        </w:rPr>
        <w:t>（14）依据基金管理人的指令或有关规定向基金份额持有人支付基金收益和赎回款项；</w:t>
      </w:r>
    </w:p>
    <w:p>
      <w:pPr>
        <w:pStyle w:val="7"/>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（15）依据《基金法》、《基金合同》及其他有关规定，召集基金份额持有人大会或配合基金管理人、基金份额持有人依法召集基金份额持有人大会；</w:t>
      </w:r>
    </w:p>
    <w:p>
      <w:pPr>
        <w:pStyle w:val="7"/>
        <w:spacing w:before="0" w:beforeAutospacing="0" w:after="0" w:afterAutospacing="0" w:line="360" w:lineRule="auto"/>
        <w:ind w:firstLine="420"/>
        <w:rPr>
          <w:sz w:val="21"/>
          <w:szCs w:val="21"/>
        </w:rPr>
      </w:pPr>
      <w:r>
        <w:rPr>
          <w:rFonts w:hint="eastAsia"/>
          <w:sz w:val="21"/>
          <w:szCs w:val="21"/>
        </w:rPr>
        <w:t>（16）按照法律法规和《基金合同》的规定监督基金管理人的投资运作；</w:t>
      </w:r>
    </w:p>
    <w:p>
      <w:pPr>
        <w:pStyle w:val="7"/>
        <w:spacing w:before="0" w:beforeAutospacing="0" w:after="0" w:afterAutospacing="0" w:line="360" w:lineRule="auto"/>
        <w:ind w:firstLine="420"/>
        <w:rPr>
          <w:sz w:val="21"/>
          <w:szCs w:val="21"/>
        </w:rPr>
      </w:pPr>
      <w:r>
        <w:rPr>
          <w:rFonts w:hint="eastAsia"/>
          <w:sz w:val="21"/>
          <w:szCs w:val="21"/>
        </w:rPr>
        <w:t>（17）参加基金财产清算小组，参与基金财产的保管、清理、估价、变现和分配；</w:t>
      </w:r>
    </w:p>
    <w:p>
      <w:pPr>
        <w:pStyle w:val="7"/>
        <w:spacing w:before="0" w:beforeAutospacing="0" w:after="0" w:afterAutospacing="0" w:line="360" w:lineRule="auto"/>
        <w:ind w:firstLine="420"/>
        <w:rPr>
          <w:sz w:val="21"/>
          <w:szCs w:val="21"/>
        </w:rPr>
      </w:pPr>
      <w:r>
        <w:rPr>
          <w:rFonts w:hint="eastAsia"/>
          <w:sz w:val="21"/>
          <w:szCs w:val="21"/>
        </w:rPr>
        <w:t>（18）面临解散、依法被撤销或者被依法宣告破产时，及时报告中国证监会和银行业监督管理机构，并通知基金管理人；</w:t>
      </w:r>
    </w:p>
    <w:p>
      <w:pPr>
        <w:pStyle w:val="7"/>
        <w:spacing w:before="0" w:beforeAutospacing="0" w:after="0" w:afterAutospacing="0" w:line="360" w:lineRule="auto"/>
        <w:ind w:firstLine="420"/>
        <w:rPr>
          <w:sz w:val="21"/>
          <w:szCs w:val="21"/>
        </w:rPr>
      </w:pPr>
      <w:r>
        <w:rPr>
          <w:rFonts w:hint="eastAsia"/>
          <w:sz w:val="21"/>
          <w:szCs w:val="21"/>
        </w:rPr>
        <w:t>（19）因违反《基金合同》导致基金财产损失时，应承担赔偿责任，其赔偿责任不因其退任而免除；</w:t>
      </w:r>
    </w:p>
    <w:p>
      <w:pPr>
        <w:pStyle w:val="7"/>
        <w:spacing w:before="0" w:beforeAutospacing="0" w:after="0" w:afterAutospacing="0" w:line="360" w:lineRule="auto"/>
        <w:ind w:firstLine="420"/>
        <w:rPr>
          <w:sz w:val="21"/>
          <w:szCs w:val="21"/>
        </w:rPr>
      </w:pPr>
      <w:r>
        <w:rPr>
          <w:rFonts w:hint="eastAsia"/>
          <w:sz w:val="21"/>
          <w:szCs w:val="21"/>
        </w:rPr>
        <w:t>（20）按规定监督基金管理人按法律法规和《基金合同》规定履行自己的义务，基金管理人因违反《基金合同》造成基金财产损失时，应为基金份额持有人利益向基金管理人追偿；</w:t>
      </w:r>
    </w:p>
    <w:p>
      <w:pPr>
        <w:pStyle w:val="7"/>
        <w:spacing w:before="0" w:beforeAutospacing="0" w:after="0" w:afterAutospacing="0" w:line="360" w:lineRule="auto"/>
        <w:ind w:firstLine="420"/>
        <w:rPr>
          <w:sz w:val="21"/>
          <w:szCs w:val="21"/>
        </w:rPr>
      </w:pPr>
      <w:r>
        <w:rPr>
          <w:rFonts w:hint="eastAsia"/>
          <w:sz w:val="21"/>
          <w:szCs w:val="21"/>
        </w:rPr>
        <w:t>（21）执行生效的基金份额持有人大会的决议；</w:t>
      </w:r>
    </w:p>
    <w:p>
      <w:pPr>
        <w:pStyle w:val="7"/>
        <w:spacing w:before="0" w:beforeAutospacing="0" w:after="0" w:afterAutospacing="0" w:line="360" w:lineRule="auto"/>
        <w:ind w:firstLine="420"/>
        <w:rPr>
          <w:sz w:val="21"/>
          <w:szCs w:val="21"/>
        </w:rPr>
      </w:pPr>
      <w:r>
        <w:rPr>
          <w:rFonts w:hint="eastAsia"/>
          <w:sz w:val="21"/>
          <w:szCs w:val="21"/>
        </w:rPr>
        <w:t>（22）法律法规及中国证监会规定的和《基金合同》约定的其他义务。</w:t>
      </w:r>
    </w:p>
    <w:p>
      <w:pPr>
        <w:pStyle w:val="7"/>
        <w:spacing w:before="0" w:beforeAutospacing="0" w:after="0" w:afterAutospacing="0" w:line="360" w:lineRule="auto"/>
        <w:ind w:firstLine="420"/>
        <w:rPr>
          <w:sz w:val="21"/>
          <w:szCs w:val="21"/>
        </w:rPr>
      </w:pPr>
      <w:r>
        <w:rPr>
          <w:rFonts w:hint="eastAsia"/>
          <w:sz w:val="21"/>
          <w:szCs w:val="21"/>
        </w:rPr>
        <w:t>（三）基金份额持有人的权利与义务</w:t>
      </w:r>
    </w:p>
    <w:p>
      <w:pPr>
        <w:pStyle w:val="7"/>
        <w:spacing w:before="0" w:beforeAutospacing="0" w:after="0" w:afterAutospacing="0" w:line="360" w:lineRule="auto"/>
        <w:ind w:firstLine="420"/>
        <w:rPr>
          <w:sz w:val="21"/>
          <w:szCs w:val="21"/>
        </w:rPr>
      </w:pPr>
      <w:r>
        <w:rPr>
          <w:rFonts w:hint="eastAsia"/>
          <w:sz w:val="21"/>
          <w:szCs w:val="21"/>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pPr>
        <w:pStyle w:val="7"/>
        <w:spacing w:before="0" w:beforeAutospacing="0" w:after="0" w:afterAutospacing="0" w:line="360" w:lineRule="auto"/>
        <w:ind w:firstLine="420"/>
        <w:rPr>
          <w:sz w:val="21"/>
          <w:szCs w:val="21"/>
        </w:rPr>
      </w:pPr>
      <w:r>
        <w:rPr>
          <w:rFonts w:hint="eastAsia"/>
          <w:sz w:val="21"/>
          <w:szCs w:val="21"/>
        </w:rPr>
        <w:t>除法律法规另有规定或本基金合同另有约定外，同一类别每份基金份额具有同等的合法权益。</w:t>
      </w:r>
    </w:p>
    <w:p>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1、根据《基金法》、《运作办法》及其他有关规定，基金份额持有人的权利包括但不限于：</w:t>
      </w:r>
    </w:p>
    <w:p>
      <w:pPr>
        <w:pStyle w:val="7"/>
        <w:spacing w:before="0" w:beforeAutospacing="0" w:after="0" w:afterAutospacing="0" w:line="360" w:lineRule="auto"/>
        <w:ind w:firstLine="420"/>
        <w:rPr>
          <w:sz w:val="21"/>
          <w:szCs w:val="21"/>
        </w:rPr>
      </w:pPr>
      <w:r>
        <w:rPr>
          <w:rFonts w:hint="eastAsia"/>
          <w:sz w:val="21"/>
          <w:szCs w:val="21"/>
        </w:rPr>
        <w:t>（1）分享基金财产收益；</w:t>
      </w:r>
    </w:p>
    <w:p>
      <w:pPr>
        <w:pStyle w:val="7"/>
        <w:spacing w:before="0" w:beforeAutospacing="0" w:after="0" w:afterAutospacing="0" w:line="360" w:lineRule="auto"/>
        <w:ind w:firstLine="420"/>
        <w:rPr>
          <w:sz w:val="21"/>
          <w:szCs w:val="21"/>
        </w:rPr>
      </w:pPr>
      <w:r>
        <w:rPr>
          <w:rFonts w:hint="eastAsia"/>
          <w:sz w:val="21"/>
          <w:szCs w:val="21"/>
        </w:rPr>
        <w:t>（2）参与分配清算后的剩余基金财产；</w:t>
      </w:r>
    </w:p>
    <w:p>
      <w:pPr>
        <w:pStyle w:val="7"/>
        <w:spacing w:before="0" w:beforeAutospacing="0" w:after="0" w:afterAutospacing="0" w:line="360" w:lineRule="auto"/>
        <w:ind w:firstLine="420"/>
        <w:rPr>
          <w:sz w:val="21"/>
          <w:szCs w:val="21"/>
        </w:rPr>
      </w:pPr>
      <w:r>
        <w:rPr>
          <w:rFonts w:hint="eastAsia"/>
          <w:sz w:val="21"/>
          <w:szCs w:val="21"/>
        </w:rPr>
        <w:t>（3）依法转让或者申请赎回其持有的基金份额；</w:t>
      </w:r>
    </w:p>
    <w:p>
      <w:pPr>
        <w:pStyle w:val="7"/>
        <w:spacing w:before="0" w:beforeAutospacing="0" w:after="0" w:afterAutospacing="0" w:line="360" w:lineRule="auto"/>
        <w:ind w:firstLine="420"/>
        <w:rPr>
          <w:sz w:val="21"/>
          <w:szCs w:val="21"/>
        </w:rPr>
      </w:pPr>
      <w:r>
        <w:rPr>
          <w:rFonts w:hint="eastAsia"/>
          <w:sz w:val="21"/>
          <w:szCs w:val="21"/>
        </w:rPr>
        <w:t>（4）按照规定要求召开基金份额持有人大会或者召集基金份额持有人大会；</w:t>
      </w:r>
    </w:p>
    <w:p>
      <w:pPr>
        <w:pStyle w:val="7"/>
        <w:spacing w:before="0" w:beforeAutospacing="0" w:after="0" w:afterAutospacing="0" w:line="360" w:lineRule="auto"/>
        <w:ind w:firstLine="420"/>
        <w:rPr>
          <w:sz w:val="21"/>
          <w:szCs w:val="21"/>
        </w:rPr>
      </w:pPr>
      <w:r>
        <w:rPr>
          <w:rFonts w:hint="eastAsia"/>
          <w:sz w:val="21"/>
          <w:szCs w:val="21"/>
        </w:rPr>
        <w:t>（5）出席或者委派代表出席基金份额持有人大会，对基金份额持有人大会审议事项行使表决权；</w:t>
      </w:r>
    </w:p>
    <w:p>
      <w:pPr>
        <w:pStyle w:val="7"/>
        <w:spacing w:before="0" w:beforeAutospacing="0" w:after="0" w:afterAutospacing="0" w:line="360" w:lineRule="auto"/>
        <w:ind w:firstLine="420"/>
        <w:rPr>
          <w:sz w:val="21"/>
          <w:szCs w:val="21"/>
        </w:rPr>
      </w:pPr>
      <w:r>
        <w:rPr>
          <w:rFonts w:hint="eastAsia"/>
          <w:sz w:val="21"/>
          <w:szCs w:val="21"/>
        </w:rPr>
        <w:t>（6）查阅或者复制公开披露的基金信息资料；</w:t>
      </w:r>
    </w:p>
    <w:p>
      <w:pPr>
        <w:pStyle w:val="7"/>
        <w:spacing w:before="0" w:beforeAutospacing="0" w:after="0" w:afterAutospacing="0" w:line="360" w:lineRule="auto"/>
        <w:ind w:firstLine="420"/>
        <w:rPr>
          <w:sz w:val="21"/>
          <w:szCs w:val="21"/>
        </w:rPr>
      </w:pPr>
      <w:r>
        <w:rPr>
          <w:rFonts w:hint="eastAsia"/>
          <w:sz w:val="21"/>
          <w:szCs w:val="21"/>
        </w:rPr>
        <w:t>（7）监督基金管理人的投资运作；</w:t>
      </w:r>
    </w:p>
    <w:p>
      <w:pPr>
        <w:pStyle w:val="7"/>
        <w:spacing w:before="0" w:beforeAutospacing="0" w:after="0" w:afterAutospacing="0" w:line="360" w:lineRule="auto"/>
        <w:ind w:firstLine="420"/>
        <w:rPr>
          <w:sz w:val="21"/>
          <w:szCs w:val="21"/>
        </w:rPr>
      </w:pPr>
      <w:r>
        <w:rPr>
          <w:rFonts w:hint="eastAsia"/>
          <w:sz w:val="21"/>
          <w:szCs w:val="21"/>
        </w:rPr>
        <w:t>（8）对基金管理人、基金托管人、基金服务机构损害其合法权益的行为依法提起诉讼或仲裁；</w:t>
      </w:r>
    </w:p>
    <w:p>
      <w:pPr>
        <w:pStyle w:val="7"/>
        <w:spacing w:before="0" w:beforeAutospacing="0" w:after="0" w:afterAutospacing="0" w:line="360" w:lineRule="auto"/>
        <w:ind w:firstLine="420"/>
        <w:rPr>
          <w:sz w:val="21"/>
          <w:szCs w:val="21"/>
        </w:rPr>
      </w:pPr>
      <w:r>
        <w:rPr>
          <w:rFonts w:hint="eastAsia"/>
          <w:sz w:val="21"/>
          <w:szCs w:val="21"/>
        </w:rPr>
        <w:t>（9）法律法规及中国证监会规定的和《基金合同》约定的其他权利。</w:t>
      </w:r>
    </w:p>
    <w:p>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2、根据《基金法》、《运作办法》及其他有关规定，基金份额持有人的义务包括但不限于：</w:t>
      </w:r>
    </w:p>
    <w:p>
      <w:pPr>
        <w:pStyle w:val="7"/>
        <w:spacing w:before="0" w:beforeAutospacing="0" w:after="0" w:afterAutospacing="0" w:line="360" w:lineRule="auto"/>
        <w:ind w:firstLine="420"/>
        <w:rPr>
          <w:sz w:val="21"/>
          <w:szCs w:val="21"/>
        </w:rPr>
      </w:pPr>
      <w:r>
        <w:rPr>
          <w:rFonts w:hint="eastAsia"/>
          <w:sz w:val="21"/>
          <w:szCs w:val="21"/>
        </w:rPr>
        <w:t>（1）认真阅读并遵守《基金合同》、招募说明书等信息披露文件；</w:t>
      </w:r>
    </w:p>
    <w:p>
      <w:pPr>
        <w:pStyle w:val="7"/>
        <w:spacing w:before="0" w:beforeAutospacing="0" w:after="0" w:afterAutospacing="0" w:line="360" w:lineRule="auto"/>
        <w:ind w:firstLine="420"/>
        <w:rPr>
          <w:sz w:val="21"/>
          <w:szCs w:val="21"/>
        </w:rPr>
      </w:pPr>
      <w:r>
        <w:rPr>
          <w:rFonts w:hint="eastAsia"/>
          <w:sz w:val="21"/>
          <w:szCs w:val="21"/>
        </w:rPr>
        <w:t>（2）了解所投资基金产品，了解自身风险承受能力，自主判断基金的投资价值，自主做出投资决策，自行承担投资风险；</w:t>
      </w:r>
    </w:p>
    <w:p>
      <w:pPr>
        <w:pStyle w:val="7"/>
        <w:spacing w:before="0" w:beforeAutospacing="0" w:after="0" w:afterAutospacing="0" w:line="360" w:lineRule="auto"/>
        <w:ind w:firstLine="420"/>
        <w:rPr>
          <w:sz w:val="21"/>
          <w:szCs w:val="21"/>
        </w:rPr>
      </w:pPr>
      <w:r>
        <w:rPr>
          <w:rFonts w:hint="eastAsia"/>
          <w:sz w:val="21"/>
          <w:szCs w:val="21"/>
        </w:rPr>
        <w:t>（3）关注基金信息披露，及时行使权利和履行义务；</w:t>
      </w:r>
    </w:p>
    <w:p>
      <w:pPr>
        <w:pStyle w:val="7"/>
        <w:spacing w:before="0" w:beforeAutospacing="0" w:after="0" w:afterAutospacing="0" w:line="360" w:lineRule="auto"/>
        <w:ind w:firstLine="420"/>
        <w:rPr>
          <w:sz w:val="21"/>
          <w:szCs w:val="21"/>
        </w:rPr>
      </w:pPr>
      <w:r>
        <w:rPr>
          <w:rFonts w:hint="eastAsia"/>
          <w:sz w:val="21"/>
          <w:szCs w:val="21"/>
        </w:rPr>
        <w:t>（4）交纳基金认购、申购款项及法律法规和《基金合同》所规定的费用；</w:t>
      </w:r>
    </w:p>
    <w:p>
      <w:pPr>
        <w:pStyle w:val="7"/>
        <w:spacing w:before="0" w:beforeAutospacing="0" w:after="0" w:afterAutospacing="0" w:line="360" w:lineRule="auto"/>
        <w:ind w:firstLine="420"/>
        <w:rPr>
          <w:sz w:val="21"/>
          <w:szCs w:val="21"/>
        </w:rPr>
      </w:pPr>
      <w:r>
        <w:rPr>
          <w:rFonts w:hint="eastAsia"/>
          <w:sz w:val="21"/>
          <w:szCs w:val="21"/>
        </w:rPr>
        <w:t>（5）在其持有的基金份额范围内，承担基金亏损或者《基金合同》终止的有限责任；</w:t>
      </w:r>
    </w:p>
    <w:p>
      <w:pPr>
        <w:pStyle w:val="7"/>
        <w:spacing w:before="0" w:beforeAutospacing="0" w:after="0" w:afterAutospacing="0" w:line="360" w:lineRule="auto"/>
        <w:ind w:firstLine="420"/>
        <w:rPr>
          <w:sz w:val="21"/>
          <w:szCs w:val="21"/>
        </w:rPr>
      </w:pPr>
      <w:r>
        <w:rPr>
          <w:rFonts w:hint="eastAsia"/>
          <w:sz w:val="21"/>
          <w:szCs w:val="21"/>
        </w:rPr>
        <w:t>（6）不从事任何有损基金及其他《基金合同》当事人合法权益的活动；</w:t>
      </w:r>
    </w:p>
    <w:p>
      <w:pPr>
        <w:pStyle w:val="7"/>
        <w:spacing w:before="0" w:beforeAutospacing="0" w:after="0" w:afterAutospacing="0" w:line="360" w:lineRule="auto"/>
        <w:ind w:firstLine="420"/>
        <w:rPr>
          <w:sz w:val="21"/>
          <w:szCs w:val="21"/>
        </w:rPr>
      </w:pPr>
      <w:r>
        <w:rPr>
          <w:rFonts w:hint="eastAsia"/>
          <w:sz w:val="21"/>
          <w:szCs w:val="21"/>
        </w:rPr>
        <w:t>（7）执行生效的基金份额持有人大会的决议；</w:t>
      </w:r>
    </w:p>
    <w:p>
      <w:pPr>
        <w:pStyle w:val="7"/>
        <w:spacing w:before="0" w:beforeAutospacing="0" w:after="0" w:afterAutospacing="0" w:line="360" w:lineRule="auto"/>
        <w:ind w:firstLine="420"/>
        <w:rPr>
          <w:sz w:val="21"/>
          <w:szCs w:val="21"/>
        </w:rPr>
      </w:pPr>
      <w:r>
        <w:rPr>
          <w:rFonts w:hint="eastAsia"/>
          <w:sz w:val="21"/>
          <w:szCs w:val="21"/>
        </w:rPr>
        <w:t>（8）返还在基金交易过程中因任何原因获得的不当得利；</w:t>
      </w:r>
    </w:p>
    <w:p>
      <w:pPr>
        <w:pStyle w:val="7"/>
        <w:spacing w:before="0" w:beforeAutospacing="0" w:after="0" w:afterAutospacing="0" w:line="360" w:lineRule="auto"/>
        <w:ind w:firstLine="420"/>
        <w:rPr>
          <w:sz w:val="21"/>
          <w:szCs w:val="21"/>
        </w:rPr>
      </w:pPr>
      <w:r>
        <w:rPr>
          <w:rFonts w:hint="eastAsia"/>
          <w:sz w:val="21"/>
          <w:szCs w:val="21"/>
        </w:rPr>
        <w:t>（9）发起资金提供方持有认购的基金份额不少于3年，法律法规或监管机构另有规定的除外；</w:t>
      </w:r>
    </w:p>
    <w:p>
      <w:pPr>
        <w:pStyle w:val="7"/>
        <w:spacing w:before="0" w:beforeAutospacing="0" w:after="0" w:afterAutospacing="0" w:line="360" w:lineRule="auto"/>
        <w:ind w:firstLine="420"/>
        <w:rPr>
          <w:sz w:val="21"/>
          <w:szCs w:val="21"/>
        </w:rPr>
      </w:pPr>
      <w:r>
        <w:rPr>
          <w:rFonts w:hint="eastAsia"/>
          <w:sz w:val="21"/>
          <w:szCs w:val="21"/>
        </w:rPr>
        <w:t>（10）法律法规及中国证监会规定的和《基金合同》约定的其他义务。</w:t>
      </w:r>
    </w:p>
    <w:p>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pPr>
        <w:pStyle w:val="7"/>
        <w:spacing w:before="0" w:beforeAutospacing="0" w:after="0" w:afterAutospacing="0" w:line="360" w:lineRule="auto"/>
        <w:ind w:firstLine="420"/>
        <w:rPr>
          <w:sz w:val="21"/>
          <w:szCs w:val="21"/>
        </w:rPr>
      </w:pPr>
      <w:r>
        <w:rPr>
          <w:rFonts w:hint="eastAsia"/>
          <w:sz w:val="21"/>
          <w:szCs w:val="21"/>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pPr>
        <w:pStyle w:val="7"/>
        <w:spacing w:before="0" w:beforeAutospacing="0" w:after="0" w:afterAutospacing="0" w:line="360" w:lineRule="auto"/>
        <w:ind w:firstLine="420"/>
        <w:rPr>
          <w:sz w:val="21"/>
          <w:szCs w:val="21"/>
        </w:rPr>
      </w:pPr>
      <w:r>
        <w:rPr>
          <w:rFonts w:hint="eastAsia"/>
          <w:sz w:val="21"/>
          <w:szCs w:val="21"/>
        </w:rPr>
        <w:t>本基金份额持有人大会不设日常机构。</w:t>
      </w:r>
    </w:p>
    <w:p>
      <w:pPr>
        <w:pStyle w:val="7"/>
        <w:spacing w:before="0" w:beforeAutospacing="0" w:after="0" w:afterAutospacing="0" w:line="360" w:lineRule="auto"/>
        <w:ind w:firstLine="420"/>
        <w:rPr>
          <w:sz w:val="21"/>
          <w:szCs w:val="21"/>
        </w:rPr>
      </w:pPr>
      <w:r>
        <w:rPr>
          <w:rFonts w:hint="eastAsia"/>
          <w:sz w:val="21"/>
          <w:szCs w:val="21"/>
        </w:rPr>
        <w:t>（一）召开事由</w:t>
      </w:r>
    </w:p>
    <w:p>
      <w:pPr>
        <w:pStyle w:val="7"/>
        <w:spacing w:before="0" w:beforeAutospacing="0" w:after="0" w:afterAutospacing="0" w:line="360" w:lineRule="auto"/>
        <w:ind w:firstLine="420"/>
        <w:rPr>
          <w:sz w:val="21"/>
          <w:szCs w:val="21"/>
        </w:rPr>
      </w:pPr>
      <w:r>
        <w:rPr>
          <w:rFonts w:hint="eastAsia"/>
          <w:sz w:val="21"/>
          <w:szCs w:val="21"/>
        </w:rPr>
        <w:t>1、除法律法规和中国证监会另有规定或《基金合同》另有约定外，当出现或需要决定下列事由之一的，应当召开基金份额持有人大会：</w:t>
      </w:r>
    </w:p>
    <w:p>
      <w:pPr>
        <w:pStyle w:val="7"/>
        <w:spacing w:before="0" w:beforeAutospacing="0" w:after="0" w:afterAutospacing="0" w:line="360" w:lineRule="auto"/>
        <w:ind w:firstLine="420"/>
        <w:rPr>
          <w:sz w:val="21"/>
          <w:szCs w:val="21"/>
        </w:rPr>
      </w:pPr>
      <w:r>
        <w:rPr>
          <w:rFonts w:hint="eastAsia"/>
          <w:sz w:val="21"/>
          <w:szCs w:val="21"/>
        </w:rPr>
        <w:t>（1）终止《基金合同》；</w:t>
      </w:r>
    </w:p>
    <w:p>
      <w:pPr>
        <w:pStyle w:val="7"/>
        <w:spacing w:before="0" w:beforeAutospacing="0" w:after="0" w:afterAutospacing="0" w:line="360" w:lineRule="auto"/>
        <w:ind w:firstLine="420"/>
        <w:rPr>
          <w:sz w:val="21"/>
          <w:szCs w:val="21"/>
        </w:rPr>
      </w:pPr>
      <w:r>
        <w:rPr>
          <w:rFonts w:hint="eastAsia"/>
          <w:sz w:val="21"/>
          <w:szCs w:val="21"/>
        </w:rPr>
        <w:t>（2）更换基金管理人；</w:t>
      </w:r>
    </w:p>
    <w:p>
      <w:pPr>
        <w:pStyle w:val="7"/>
        <w:spacing w:before="0" w:beforeAutospacing="0" w:after="0" w:afterAutospacing="0" w:line="360" w:lineRule="auto"/>
        <w:ind w:firstLine="420"/>
        <w:rPr>
          <w:sz w:val="21"/>
          <w:szCs w:val="21"/>
        </w:rPr>
      </w:pPr>
      <w:r>
        <w:rPr>
          <w:rFonts w:hint="eastAsia"/>
          <w:sz w:val="21"/>
          <w:szCs w:val="21"/>
        </w:rPr>
        <w:t>（3）更换基金托管人；</w:t>
      </w:r>
    </w:p>
    <w:p>
      <w:pPr>
        <w:pStyle w:val="7"/>
        <w:spacing w:before="0" w:beforeAutospacing="0" w:after="0" w:afterAutospacing="0" w:line="360" w:lineRule="auto"/>
        <w:ind w:firstLine="420"/>
        <w:rPr>
          <w:sz w:val="21"/>
          <w:szCs w:val="21"/>
        </w:rPr>
      </w:pPr>
      <w:r>
        <w:rPr>
          <w:rFonts w:hint="eastAsia"/>
          <w:sz w:val="21"/>
          <w:szCs w:val="21"/>
        </w:rPr>
        <w:t>（4）转换基金运作方式；</w:t>
      </w:r>
    </w:p>
    <w:p>
      <w:pPr>
        <w:pStyle w:val="7"/>
        <w:spacing w:before="0" w:beforeAutospacing="0" w:after="0" w:afterAutospacing="0" w:line="360" w:lineRule="auto"/>
        <w:ind w:firstLine="420"/>
        <w:rPr>
          <w:sz w:val="21"/>
          <w:szCs w:val="21"/>
        </w:rPr>
      </w:pPr>
      <w:r>
        <w:rPr>
          <w:rFonts w:hint="eastAsia"/>
          <w:sz w:val="21"/>
          <w:szCs w:val="21"/>
        </w:rPr>
        <w:t>（5）调整基金管理人、基金托管人的报酬标准或提高销售服务费率；</w:t>
      </w:r>
    </w:p>
    <w:p>
      <w:pPr>
        <w:pStyle w:val="7"/>
        <w:spacing w:before="0" w:beforeAutospacing="0" w:after="0" w:afterAutospacing="0" w:line="360" w:lineRule="auto"/>
        <w:ind w:firstLine="420"/>
        <w:rPr>
          <w:sz w:val="21"/>
          <w:szCs w:val="21"/>
        </w:rPr>
      </w:pPr>
      <w:r>
        <w:rPr>
          <w:rFonts w:hint="eastAsia"/>
          <w:sz w:val="21"/>
          <w:szCs w:val="21"/>
        </w:rPr>
        <w:t>（6）变更基金类别；</w:t>
      </w:r>
    </w:p>
    <w:p>
      <w:pPr>
        <w:pStyle w:val="7"/>
        <w:spacing w:before="0" w:beforeAutospacing="0" w:after="0" w:afterAutospacing="0" w:line="360" w:lineRule="auto"/>
        <w:ind w:firstLine="420"/>
        <w:rPr>
          <w:sz w:val="21"/>
          <w:szCs w:val="21"/>
        </w:rPr>
      </w:pPr>
      <w:r>
        <w:rPr>
          <w:rFonts w:hint="eastAsia"/>
          <w:sz w:val="21"/>
          <w:szCs w:val="21"/>
        </w:rPr>
        <w:t>（7）本基金与其他基金的合并；</w:t>
      </w:r>
    </w:p>
    <w:p>
      <w:pPr>
        <w:pStyle w:val="7"/>
        <w:spacing w:before="0" w:beforeAutospacing="0" w:after="0" w:afterAutospacing="0" w:line="360" w:lineRule="auto"/>
        <w:ind w:firstLine="420"/>
        <w:rPr>
          <w:sz w:val="21"/>
          <w:szCs w:val="21"/>
        </w:rPr>
      </w:pPr>
      <w:r>
        <w:rPr>
          <w:rFonts w:hint="eastAsia"/>
          <w:sz w:val="21"/>
          <w:szCs w:val="21"/>
        </w:rPr>
        <w:t>（8）变更基金投资目标、范围或策略；</w:t>
      </w:r>
    </w:p>
    <w:p>
      <w:pPr>
        <w:pStyle w:val="7"/>
        <w:spacing w:before="0" w:beforeAutospacing="0" w:after="0" w:afterAutospacing="0" w:line="360" w:lineRule="auto"/>
        <w:ind w:firstLine="420"/>
        <w:rPr>
          <w:sz w:val="21"/>
          <w:szCs w:val="21"/>
        </w:rPr>
      </w:pPr>
      <w:r>
        <w:rPr>
          <w:rFonts w:hint="eastAsia"/>
          <w:sz w:val="21"/>
          <w:szCs w:val="21"/>
        </w:rPr>
        <w:t>（9）变更基金份额持有人大会程序；</w:t>
      </w:r>
    </w:p>
    <w:p>
      <w:pPr>
        <w:pStyle w:val="7"/>
        <w:spacing w:before="0" w:beforeAutospacing="0" w:after="0" w:afterAutospacing="0" w:line="360" w:lineRule="auto"/>
        <w:ind w:firstLine="420"/>
        <w:rPr>
          <w:sz w:val="21"/>
          <w:szCs w:val="21"/>
        </w:rPr>
      </w:pPr>
      <w:r>
        <w:rPr>
          <w:rFonts w:hint="eastAsia"/>
          <w:sz w:val="21"/>
          <w:szCs w:val="21"/>
        </w:rPr>
        <w:t>（10）基金管理人或基金托管人要求召开基金份额持有人大会；</w:t>
      </w:r>
    </w:p>
    <w:p>
      <w:pPr>
        <w:pStyle w:val="7"/>
        <w:spacing w:before="0" w:beforeAutospacing="0" w:after="0" w:afterAutospacing="0" w:line="360" w:lineRule="auto"/>
        <w:ind w:firstLine="420"/>
        <w:rPr>
          <w:sz w:val="21"/>
          <w:szCs w:val="21"/>
        </w:rPr>
      </w:pPr>
      <w:r>
        <w:rPr>
          <w:rFonts w:hint="eastAsia"/>
          <w:sz w:val="21"/>
          <w:szCs w:val="21"/>
        </w:rPr>
        <w:t>（11）单独或合计持有本基金总份额10%以上（含10%）基金份额的基金份额持有人（以基金管理人收到提议当日的基金份额计算，下同）就同一事项书面要求召开基金份额持有人大会；</w:t>
      </w:r>
    </w:p>
    <w:p>
      <w:pPr>
        <w:pStyle w:val="7"/>
        <w:spacing w:before="0" w:beforeAutospacing="0" w:after="0" w:afterAutospacing="0" w:line="360" w:lineRule="auto"/>
        <w:ind w:firstLine="420"/>
        <w:rPr>
          <w:sz w:val="21"/>
          <w:szCs w:val="21"/>
        </w:rPr>
      </w:pPr>
      <w:r>
        <w:rPr>
          <w:rFonts w:hint="eastAsia"/>
          <w:sz w:val="21"/>
          <w:szCs w:val="21"/>
        </w:rPr>
        <w:t>（12）对基金合同当事人权利和义务产生重大影响的其他事项；</w:t>
      </w:r>
    </w:p>
    <w:p>
      <w:pPr>
        <w:pStyle w:val="7"/>
        <w:spacing w:before="0" w:beforeAutospacing="0" w:after="0" w:afterAutospacing="0" w:line="360" w:lineRule="auto"/>
        <w:ind w:firstLine="420"/>
        <w:rPr>
          <w:sz w:val="21"/>
          <w:szCs w:val="21"/>
        </w:rPr>
      </w:pPr>
      <w:r>
        <w:rPr>
          <w:rFonts w:hint="eastAsia"/>
          <w:sz w:val="21"/>
          <w:szCs w:val="21"/>
        </w:rPr>
        <w:t>（13）法律法规、《基金合同》或中国证监会规定的其他应当召开基金份额持有人大会的事项。</w:t>
      </w:r>
    </w:p>
    <w:p>
      <w:pPr>
        <w:pStyle w:val="7"/>
        <w:spacing w:before="0" w:beforeAutospacing="0" w:after="0" w:afterAutospacing="0" w:line="360" w:lineRule="auto"/>
        <w:ind w:firstLine="420"/>
        <w:rPr>
          <w:sz w:val="21"/>
          <w:szCs w:val="21"/>
        </w:rPr>
      </w:pPr>
      <w:r>
        <w:rPr>
          <w:rFonts w:hint="eastAsia"/>
          <w:sz w:val="21"/>
          <w:szCs w:val="21"/>
        </w:rPr>
        <w:t>2、在法律法规规定和《基金合同》约定的范围内且对基金份额持有人利益无实质性不利影响的前提下，以下情况可由基金管理人和基金托管人协商后修改，不需召开基金份额持有人大会：</w:t>
      </w:r>
    </w:p>
    <w:p>
      <w:pPr>
        <w:pStyle w:val="7"/>
        <w:spacing w:before="0" w:beforeAutospacing="0" w:after="0" w:afterAutospacing="0" w:line="360" w:lineRule="auto"/>
        <w:ind w:firstLine="420"/>
        <w:rPr>
          <w:sz w:val="21"/>
          <w:szCs w:val="21"/>
        </w:rPr>
      </w:pPr>
      <w:r>
        <w:rPr>
          <w:rFonts w:hint="eastAsia"/>
          <w:sz w:val="21"/>
          <w:szCs w:val="21"/>
        </w:rPr>
        <w:t>（1）法律法规要求增加的基金费用的收取；</w:t>
      </w:r>
    </w:p>
    <w:p>
      <w:pPr>
        <w:pStyle w:val="7"/>
        <w:spacing w:before="0" w:beforeAutospacing="0" w:after="0" w:afterAutospacing="0" w:line="360" w:lineRule="auto"/>
        <w:ind w:firstLine="420"/>
        <w:rPr>
          <w:sz w:val="21"/>
          <w:szCs w:val="21"/>
        </w:rPr>
      </w:pPr>
      <w:r>
        <w:rPr>
          <w:rFonts w:hint="eastAsia"/>
          <w:sz w:val="21"/>
          <w:szCs w:val="21"/>
        </w:rPr>
        <w:t>（2）调整本基金的申购费率、调低赎回费率、调低销售服务费率或变更收费方式，调整基金份额类别设置、对基金份额分类办法及规则进行调整；</w:t>
      </w:r>
    </w:p>
    <w:p>
      <w:pPr>
        <w:pStyle w:val="7"/>
        <w:spacing w:before="0" w:beforeAutospacing="0" w:after="0" w:afterAutospacing="0" w:line="360" w:lineRule="auto"/>
        <w:ind w:firstLine="420"/>
        <w:rPr>
          <w:sz w:val="21"/>
          <w:szCs w:val="21"/>
        </w:rPr>
      </w:pPr>
      <w:r>
        <w:rPr>
          <w:rFonts w:hint="eastAsia"/>
          <w:sz w:val="21"/>
          <w:szCs w:val="21"/>
        </w:rPr>
        <w:t>（3）因相应的法律法规发生变动而应当对《基金合同》进行修改；</w:t>
      </w:r>
    </w:p>
    <w:p>
      <w:pPr>
        <w:pStyle w:val="7"/>
        <w:spacing w:before="0" w:beforeAutospacing="0" w:after="0" w:afterAutospacing="0" w:line="360" w:lineRule="auto"/>
        <w:ind w:firstLine="420"/>
        <w:rPr>
          <w:sz w:val="21"/>
          <w:szCs w:val="21"/>
        </w:rPr>
      </w:pPr>
      <w:r>
        <w:rPr>
          <w:rFonts w:hint="eastAsia"/>
          <w:sz w:val="21"/>
          <w:szCs w:val="21"/>
        </w:rPr>
        <w:t>（4）对《基金合同》的修改对基金份额持有人利益无实质性不利影响或修改不涉及《基金合同》当事人权利义务关系发生重大变化；</w:t>
      </w:r>
    </w:p>
    <w:p>
      <w:pPr>
        <w:pStyle w:val="7"/>
        <w:spacing w:before="0" w:beforeAutospacing="0" w:after="0" w:afterAutospacing="0" w:line="360" w:lineRule="auto"/>
        <w:ind w:firstLine="420"/>
        <w:rPr>
          <w:sz w:val="21"/>
          <w:szCs w:val="21"/>
        </w:rPr>
      </w:pPr>
      <w:r>
        <w:rPr>
          <w:rFonts w:hint="eastAsia"/>
          <w:sz w:val="21"/>
          <w:szCs w:val="21"/>
        </w:rPr>
        <w:t>（5）基金管理人、登记机构、基金销售机构调整有关申购、赎回、转换、基金交易、非交易过户、转托管等业务规则；</w:t>
      </w:r>
    </w:p>
    <w:p>
      <w:pPr>
        <w:pStyle w:val="7"/>
        <w:spacing w:before="0" w:beforeAutospacing="0" w:after="0" w:afterAutospacing="0" w:line="360" w:lineRule="auto"/>
        <w:ind w:firstLine="420"/>
        <w:rPr>
          <w:sz w:val="21"/>
          <w:szCs w:val="21"/>
        </w:rPr>
      </w:pPr>
      <w:r>
        <w:rPr>
          <w:rFonts w:hint="eastAsia"/>
          <w:sz w:val="21"/>
          <w:szCs w:val="21"/>
        </w:rPr>
        <w:t>（6）履行相关程序后，基金推出新业务或服务；</w:t>
      </w:r>
    </w:p>
    <w:p>
      <w:pPr>
        <w:pStyle w:val="7"/>
        <w:spacing w:before="0" w:beforeAutospacing="0" w:after="0" w:afterAutospacing="0" w:line="360" w:lineRule="auto"/>
        <w:ind w:firstLine="420"/>
        <w:rPr>
          <w:sz w:val="21"/>
          <w:szCs w:val="21"/>
        </w:rPr>
      </w:pPr>
      <w:r>
        <w:rPr>
          <w:rFonts w:hint="eastAsia"/>
          <w:sz w:val="21"/>
          <w:szCs w:val="21"/>
        </w:rPr>
        <w:t>（7）按照法律法规和《基金合同》规定不需召开基金份额持有人大会的其他情形。</w:t>
      </w:r>
    </w:p>
    <w:p>
      <w:pPr>
        <w:pStyle w:val="7"/>
        <w:spacing w:before="0" w:beforeAutospacing="0" w:after="0" w:afterAutospacing="0" w:line="360" w:lineRule="auto"/>
        <w:ind w:firstLine="420"/>
        <w:rPr>
          <w:sz w:val="21"/>
          <w:szCs w:val="21"/>
        </w:rPr>
      </w:pPr>
      <w:r>
        <w:rPr>
          <w:rFonts w:hint="eastAsia"/>
          <w:sz w:val="21"/>
          <w:szCs w:val="21"/>
        </w:rPr>
        <w:t>（二）会议召集人及召集方式</w:t>
      </w:r>
    </w:p>
    <w:p>
      <w:pPr>
        <w:pStyle w:val="7"/>
        <w:spacing w:before="0" w:beforeAutospacing="0" w:after="0" w:afterAutospacing="0" w:line="360" w:lineRule="auto"/>
        <w:ind w:firstLine="420"/>
        <w:rPr>
          <w:sz w:val="21"/>
          <w:szCs w:val="21"/>
        </w:rPr>
      </w:pPr>
      <w:r>
        <w:rPr>
          <w:rFonts w:hint="eastAsia"/>
          <w:sz w:val="21"/>
          <w:szCs w:val="21"/>
        </w:rPr>
        <w:t>1、除法律法规规定或《基金合同》另有约定外，基金份额持有人大会由基金管理人召集。</w:t>
      </w:r>
    </w:p>
    <w:p>
      <w:pPr>
        <w:pStyle w:val="7"/>
        <w:spacing w:before="0" w:beforeAutospacing="0" w:after="0" w:afterAutospacing="0" w:line="360" w:lineRule="auto"/>
        <w:ind w:firstLine="420"/>
        <w:rPr>
          <w:sz w:val="21"/>
          <w:szCs w:val="21"/>
        </w:rPr>
      </w:pPr>
      <w:r>
        <w:rPr>
          <w:rFonts w:hint="eastAsia"/>
          <w:sz w:val="21"/>
          <w:szCs w:val="21"/>
        </w:rPr>
        <w:t>2、基金管理人未按规定召集或不能召集时，由基金托管人召集。</w:t>
      </w:r>
    </w:p>
    <w:p>
      <w:pPr>
        <w:pStyle w:val="7"/>
        <w:spacing w:before="0" w:beforeAutospacing="0" w:after="0" w:afterAutospacing="0" w:line="360" w:lineRule="auto"/>
        <w:ind w:firstLine="420"/>
        <w:rPr>
          <w:sz w:val="21"/>
          <w:szCs w:val="21"/>
        </w:rPr>
      </w:pPr>
      <w:r>
        <w:rPr>
          <w:rFonts w:hint="eastAsia"/>
          <w:sz w:val="21"/>
          <w:szCs w:val="21"/>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pStyle w:val="7"/>
        <w:spacing w:before="0" w:beforeAutospacing="0" w:after="0" w:afterAutospacing="0" w:line="360" w:lineRule="auto"/>
        <w:ind w:firstLine="420"/>
        <w:rPr>
          <w:sz w:val="21"/>
          <w:szCs w:val="21"/>
        </w:rPr>
      </w:pPr>
      <w:r>
        <w:rPr>
          <w:rFonts w:hint="eastAsia"/>
          <w:sz w:val="21"/>
          <w:szCs w:val="21"/>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pStyle w:val="7"/>
        <w:spacing w:before="0" w:beforeAutospacing="0" w:after="0" w:afterAutospacing="0" w:line="360" w:lineRule="auto"/>
        <w:ind w:firstLine="420"/>
        <w:rPr>
          <w:sz w:val="21"/>
          <w:szCs w:val="21"/>
        </w:rPr>
      </w:pPr>
      <w:r>
        <w:rPr>
          <w:rFonts w:hint="eastAsia"/>
          <w:sz w:val="21"/>
          <w:szCs w:val="21"/>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pStyle w:val="7"/>
        <w:spacing w:before="0" w:beforeAutospacing="0" w:after="0" w:afterAutospacing="0" w:line="360" w:lineRule="auto"/>
        <w:ind w:firstLine="420"/>
        <w:rPr>
          <w:sz w:val="21"/>
          <w:szCs w:val="21"/>
        </w:rPr>
      </w:pPr>
      <w:r>
        <w:rPr>
          <w:rFonts w:hint="eastAsia"/>
          <w:sz w:val="21"/>
          <w:szCs w:val="21"/>
        </w:rPr>
        <w:t>6、基金份额持有人会议的召集人负责选择确定开会时间、地点、方式和权益登记日。</w:t>
      </w:r>
    </w:p>
    <w:p>
      <w:pPr>
        <w:pStyle w:val="7"/>
        <w:spacing w:before="0" w:beforeAutospacing="0" w:after="0" w:afterAutospacing="0" w:line="360" w:lineRule="auto"/>
        <w:ind w:firstLine="420"/>
        <w:rPr>
          <w:sz w:val="21"/>
          <w:szCs w:val="21"/>
        </w:rPr>
      </w:pPr>
      <w:r>
        <w:rPr>
          <w:rFonts w:hint="eastAsia"/>
          <w:sz w:val="21"/>
          <w:szCs w:val="21"/>
        </w:rPr>
        <w:t>（三）召开基金份额持有人大会的通知时间、通知内容、通知方式</w:t>
      </w:r>
    </w:p>
    <w:p>
      <w:pPr>
        <w:pStyle w:val="7"/>
        <w:spacing w:before="0" w:beforeAutospacing="0" w:after="0" w:afterAutospacing="0" w:line="360" w:lineRule="auto"/>
        <w:ind w:firstLine="420"/>
        <w:rPr>
          <w:sz w:val="21"/>
          <w:szCs w:val="21"/>
        </w:rPr>
      </w:pPr>
      <w:r>
        <w:rPr>
          <w:rFonts w:hint="eastAsia"/>
          <w:sz w:val="21"/>
          <w:szCs w:val="21"/>
        </w:rPr>
        <w:t>1、召开基金份额持有人大会，召集人应于会议召开前30日，在规定媒介公告。基金份额持有人大会通知应至少载明以下内容：</w:t>
      </w:r>
    </w:p>
    <w:p>
      <w:pPr>
        <w:pStyle w:val="7"/>
        <w:spacing w:before="0" w:beforeAutospacing="0" w:after="0" w:afterAutospacing="0" w:line="360" w:lineRule="auto"/>
        <w:ind w:firstLine="420"/>
        <w:rPr>
          <w:sz w:val="21"/>
          <w:szCs w:val="21"/>
        </w:rPr>
      </w:pPr>
      <w:r>
        <w:rPr>
          <w:rFonts w:hint="eastAsia"/>
          <w:sz w:val="21"/>
          <w:szCs w:val="21"/>
        </w:rPr>
        <w:t>（1）会议召开的时间、地点和会议形式；</w:t>
      </w:r>
    </w:p>
    <w:p>
      <w:pPr>
        <w:pStyle w:val="7"/>
        <w:spacing w:before="0" w:beforeAutospacing="0" w:after="0" w:afterAutospacing="0" w:line="360" w:lineRule="auto"/>
        <w:ind w:firstLine="420"/>
        <w:rPr>
          <w:sz w:val="21"/>
          <w:szCs w:val="21"/>
        </w:rPr>
      </w:pPr>
      <w:r>
        <w:rPr>
          <w:rFonts w:hint="eastAsia"/>
          <w:sz w:val="21"/>
          <w:szCs w:val="21"/>
        </w:rPr>
        <w:t>（2）会议拟审议的事项、议事程序和表决方式；</w:t>
      </w:r>
    </w:p>
    <w:p>
      <w:pPr>
        <w:pStyle w:val="7"/>
        <w:spacing w:before="0" w:beforeAutospacing="0" w:after="0" w:afterAutospacing="0" w:line="360" w:lineRule="auto"/>
        <w:ind w:firstLine="420"/>
        <w:rPr>
          <w:sz w:val="21"/>
          <w:szCs w:val="21"/>
        </w:rPr>
      </w:pPr>
      <w:r>
        <w:rPr>
          <w:rFonts w:hint="eastAsia"/>
          <w:sz w:val="21"/>
          <w:szCs w:val="21"/>
        </w:rPr>
        <w:t>（3）有权出席基金份额持有人大会的基金份额持有人的权益登记日；</w:t>
      </w:r>
    </w:p>
    <w:p>
      <w:pPr>
        <w:pStyle w:val="7"/>
        <w:spacing w:before="0" w:beforeAutospacing="0" w:after="0" w:afterAutospacing="0" w:line="360" w:lineRule="auto"/>
        <w:ind w:firstLine="420"/>
        <w:rPr>
          <w:sz w:val="21"/>
          <w:szCs w:val="21"/>
        </w:rPr>
      </w:pPr>
      <w:r>
        <w:rPr>
          <w:rFonts w:hint="eastAsia"/>
          <w:sz w:val="21"/>
          <w:szCs w:val="21"/>
        </w:rPr>
        <w:t>（4）授权委托证明的内容要求（包括但不限于代理人身份，代理权限和代理有效期限等）、送达时间和地点；</w:t>
      </w:r>
    </w:p>
    <w:p>
      <w:pPr>
        <w:pStyle w:val="7"/>
        <w:spacing w:before="0" w:beforeAutospacing="0" w:after="0" w:afterAutospacing="0" w:line="360" w:lineRule="auto"/>
        <w:ind w:firstLine="420"/>
        <w:rPr>
          <w:sz w:val="21"/>
          <w:szCs w:val="21"/>
        </w:rPr>
      </w:pPr>
      <w:r>
        <w:rPr>
          <w:rFonts w:hint="eastAsia"/>
          <w:sz w:val="21"/>
          <w:szCs w:val="21"/>
        </w:rPr>
        <w:t>（5）会务常设联系人姓名及联系电话；</w:t>
      </w:r>
    </w:p>
    <w:p>
      <w:pPr>
        <w:pStyle w:val="7"/>
        <w:spacing w:before="0" w:beforeAutospacing="0" w:after="0" w:afterAutospacing="0" w:line="360" w:lineRule="auto"/>
        <w:ind w:firstLine="420"/>
        <w:rPr>
          <w:sz w:val="21"/>
          <w:szCs w:val="21"/>
        </w:rPr>
      </w:pPr>
      <w:r>
        <w:rPr>
          <w:rFonts w:hint="eastAsia"/>
          <w:sz w:val="21"/>
          <w:szCs w:val="21"/>
        </w:rPr>
        <w:t>（6）出席会议者必须准备的文件和必须履行的手续；</w:t>
      </w:r>
    </w:p>
    <w:p>
      <w:pPr>
        <w:pStyle w:val="7"/>
        <w:spacing w:before="0" w:beforeAutospacing="0" w:after="0" w:afterAutospacing="0" w:line="360" w:lineRule="auto"/>
        <w:ind w:firstLine="420"/>
        <w:rPr>
          <w:sz w:val="21"/>
          <w:szCs w:val="21"/>
        </w:rPr>
      </w:pPr>
      <w:r>
        <w:rPr>
          <w:rFonts w:hint="eastAsia"/>
          <w:sz w:val="21"/>
          <w:szCs w:val="21"/>
        </w:rPr>
        <w:t>（7）召集人需要通知的其他事项。</w:t>
      </w:r>
    </w:p>
    <w:p>
      <w:pPr>
        <w:pStyle w:val="7"/>
        <w:spacing w:before="0" w:beforeAutospacing="0" w:after="0" w:afterAutospacing="0" w:line="360" w:lineRule="auto"/>
        <w:ind w:firstLine="420"/>
        <w:rPr>
          <w:sz w:val="21"/>
          <w:szCs w:val="21"/>
        </w:rPr>
      </w:pPr>
      <w:r>
        <w:rPr>
          <w:rFonts w:hint="eastAsia"/>
          <w:sz w:val="21"/>
          <w:szCs w:val="21"/>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pStyle w:val="7"/>
        <w:spacing w:before="0" w:beforeAutospacing="0" w:after="0" w:afterAutospacing="0" w:line="360" w:lineRule="auto"/>
        <w:ind w:firstLine="420"/>
        <w:rPr>
          <w:sz w:val="21"/>
          <w:szCs w:val="21"/>
        </w:rPr>
      </w:pPr>
      <w:r>
        <w:rPr>
          <w:rFonts w:hint="eastAsia"/>
          <w:sz w:val="21"/>
          <w:szCs w:val="21"/>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pStyle w:val="7"/>
        <w:spacing w:before="0" w:beforeAutospacing="0" w:after="0" w:afterAutospacing="0" w:line="360" w:lineRule="auto"/>
        <w:ind w:firstLine="420"/>
        <w:rPr>
          <w:sz w:val="21"/>
          <w:szCs w:val="21"/>
        </w:rPr>
      </w:pPr>
      <w:r>
        <w:rPr>
          <w:rFonts w:hint="eastAsia"/>
          <w:sz w:val="21"/>
          <w:szCs w:val="21"/>
        </w:rPr>
        <w:t>（四）基金份额持有人出席会议的方式</w:t>
      </w:r>
    </w:p>
    <w:p>
      <w:pPr>
        <w:pStyle w:val="7"/>
        <w:spacing w:before="0" w:beforeAutospacing="0" w:after="0" w:afterAutospacing="0" w:line="360" w:lineRule="auto"/>
        <w:ind w:firstLine="420"/>
        <w:rPr>
          <w:sz w:val="21"/>
          <w:szCs w:val="21"/>
        </w:rPr>
      </w:pPr>
      <w:r>
        <w:rPr>
          <w:rFonts w:hint="eastAsia"/>
          <w:sz w:val="21"/>
          <w:szCs w:val="21"/>
        </w:rPr>
        <w:t>基金份额持有人大会可通过现场开会方式、通讯开会方式或法律法规、监管机构允许的其他方式召开，会议的召开方式由会议召集人确定。</w:t>
      </w:r>
    </w:p>
    <w:p>
      <w:pPr>
        <w:pStyle w:val="7"/>
        <w:spacing w:before="0" w:beforeAutospacing="0" w:after="0" w:afterAutospacing="0" w:line="360" w:lineRule="auto"/>
        <w:ind w:firstLine="420"/>
        <w:rPr>
          <w:sz w:val="21"/>
          <w:szCs w:val="21"/>
        </w:rPr>
      </w:pPr>
      <w:r>
        <w:rPr>
          <w:rFonts w:hint="eastAsia"/>
          <w:sz w:val="21"/>
          <w:szCs w:val="21"/>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pStyle w:val="7"/>
        <w:spacing w:before="0" w:beforeAutospacing="0" w:after="0" w:afterAutospacing="0" w:line="360" w:lineRule="auto"/>
        <w:ind w:firstLine="420"/>
        <w:rPr>
          <w:sz w:val="21"/>
          <w:szCs w:val="21"/>
        </w:rPr>
      </w:pPr>
      <w:r>
        <w:rPr>
          <w:rFonts w:hint="eastAsia"/>
          <w:sz w:val="21"/>
          <w:szCs w:val="21"/>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pStyle w:val="7"/>
        <w:spacing w:before="0" w:beforeAutospacing="0" w:after="0" w:afterAutospacing="0" w:line="360" w:lineRule="auto"/>
        <w:ind w:firstLine="420"/>
        <w:rPr>
          <w:sz w:val="21"/>
          <w:szCs w:val="21"/>
        </w:rPr>
      </w:pPr>
      <w:r>
        <w:rPr>
          <w:rFonts w:hint="eastAsia"/>
          <w:sz w:val="21"/>
          <w:szCs w:val="21"/>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pStyle w:val="7"/>
        <w:spacing w:before="0" w:beforeAutospacing="0" w:after="0" w:afterAutospacing="0" w:line="360" w:lineRule="auto"/>
        <w:ind w:firstLine="420"/>
        <w:rPr>
          <w:sz w:val="21"/>
          <w:szCs w:val="21"/>
        </w:rPr>
      </w:pPr>
      <w:r>
        <w:rPr>
          <w:rFonts w:hint="eastAsia"/>
          <w:sz w:val="21"/>
          <w:szCs w:val="21"/>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pPr>
        <w:pStyle w:val="7"/>
        <w:spacing w:before="0" w:beforeAutospacing="0" w:after="0" w:afterAutospacing="0" w:line="360" w:lineRule="auto"/>
        <w:ind w:firstLine="420"/>
        <w:rPr>
          <w:sz w:val="21"/>
          <w:szCs w:val="21"/>
        </w:rPr>
      </w:pPr>
      <w:r>
        <w:rPr>
          <w:rFonts w:hint="eastAsia"/>
          <w:sz w:val="21"/>
          <w:szCs w:val="21"/>
        </w:rPr>
        <w:t>在同时符合以下条件时，通讯开会的方式视为有效：</w:t>
      </w:r>
    </w:p>
    <w:p>
      <w:pPr>
        <w:pStyle w:val="7"/>
        <w:spacing w:before="0" w:beforeAutospacing="0" w:after="0" w:afterAutospacing="0" w:line="360" w:lineRule="auto"/>
        <w:ind w:firstLine="420"/>
        <w:rPr>
          <w:sz w:val="21"/>
          <w:szCs w:val="21"/>
        </w:rPr>
      </w:pPr>
      <w:r>
        <w:rPr>
          <w:rFonts w:hint="eastAsia"/>
          <w:sz w:val="21"/>
          <w:szCs w:val="21"/>
        </w:rPr>
        <w:t>（1）会议召集人按《基金合同》约定公布会议通知后，在2个工作日内连续公布相关提示性公告；</w:t>
      </w:r>
    </w:p>
    <w:p>
      <w:pPr>
        <w:pStyle w:val="7"/>
        <w:spacing w:before="0" w:beforeAutospacing="0" w:after="0" w:afterAutospacing="0" w:line="360" w:lineRule="auto"/>
        <w:ind w:firstLine="420"/>
        <w:rPr>
          <w:sz w:val="21"/>
          <w:szCs w:val="21"/>
        </w:rPr>
      </w:pPr>
      <w:r>
        <w:rPr>
          <w:rFonts w:hint="eastAsia"/>
          <w:sz w:val="21"/>
          <w:szCs w:val="21"/>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pStyle w:val="7"/>
        <w:spacing w:before="0" w:beforeAutospacing="0" w:after="0" w:afterAutospacing="0" w:line="360" w:lineRule="auto"/>
        <w:ind w:firstLine="420"/>
        <w:rPr>
          <w:sz w:val="21"/>
          <w:szCs w:val="21"/>
        </w:rPr>
      </w:pPr>
      <w:r>
        <w:rPr>
          <w:rFonts w:hint="eastAsia"/>
          <w:sz w:val="21"/>
          <w:szCs w:val="21"/>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pPr>
        <w:pStyle w:val="7"/>
        <w:spacing w:before="0" w:beforeAutospacing="0" w:after="0" w:afterAutospacing="0" w:line="360" w:lineRule="auto"/>
        <w:ind w:firstLine="420"/>
        <w:rPr>
          <w:sz w:val="21"/>
          <w:szCs w:val="21"/>
        </w:rPr>
      </w:pPr>
      <w:r>
        <w:rPr>
          <w:rFonts w:hint="eastAsia"/>
          <w:sz w:val="21"/>
          <w:szCs w:val="21"/>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pStyle w:val="7"/>
        <w:spacing w:before="0" w:beforeAutospacing="0" w:after="0" w:afterAutospacing="0" w:line="360" w:lineRule="auto"/>
        <w:ind w:firstLine="420"/>
        <w:rPr>
          <w:sz w:val="21"/>
          <w:szCs w:val="21"/>
        </w:rPr>
      </w:pPr>
      <w:r>
        <w:rPr>
          <w:rFonts w:hint="eastAsia"/>
          <w:sz w:val="21"/>
          <w:szCs w:val="21"/>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pPr>
        <w:pStyle w:val="7"/>
        <w:spacing w:before="0" w:beforeAutospacing="0" w:after="0" w:afterAutospacing="0" w:line="360" w:lineRule="auto"/>
        <w:ind w:firstLine="420"/>
        <w:rPr>
          <w:sz w:val="21"/>
          <w:szCs w:val="21"/>
        </w:rPr>
      </w:pPr>
      <w:r>
        <w:rPr>
          <w:rFonts w:hint="eastAsia"/>
          <w:sz w:val="21"/>
          <w:szCs w:val="21"/>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pPr>
        <w:pStyle w:val="7"/>
        <w:spacing w:before="0" w:beforeAutospacing="0" w:after="0" w:afterAutospacing="0" w:line="360" w:lineRule="auto"/>
        <w:ind w:firstLine="420"/>
        <w:rPr>
          <w:sz w:val="21"/>
          <w:szCs w:val="21"/>
        </w:rPr>
      </w:pPr>
      <w:r>
        <w:rPr>
          <w:rFonts w:hint="eastAsia"/>
          <w:sz w:val="21"/>
          <w:szCs w:val="21"/>
        </w:rPr>
        <w:t>（五）议事内容与程序</w:t>
      </w:r>
    </w:p>
    <w:p>
      <w:pPr>
        <w:pStyle w:val="7"/>
        <w:spacing w:before="0" w:beforeAutospacing="0" w:after="0" w:afterAutospacing="0" w:line="360" w:lineRule="auto"/>
        <w:ind w:firstLine="420"/>
        <w:rPr>
          <w:sz w:val="21"/>
          <w:szCs w:val="21"/>
        </w:rPr>
      </w:pPr>
      <w:r>
        <w:rPr>
          <w:rFonts w:hint="eastAsia"/>
          <w:sz w:val="21"/>
          <w:szCs w:val="21"/>
        </w:rPr>
        <w:t>1、议事内容及提案权</w:t>
      </w:r>
    </w:p>
    <w:p>
      <w:pPr>
        <w:pStyle w:val="7"/>
        <w:spacing w:before="0" w:beforeAutospacing="0" w:after="0" w:afterAutospacing="0" w:line="360" w:lineRule="auto"/>
        <w:ind w:firstLine="420"/>
        <w:rPr>
          <w:sz w:val="21"/>
          <w:szCs w:val="21"/>
        </w:rPr>
      </w:pPr>
      <w:r>
        <w:rPr>
          <w:rFonts w:hint="eastAsia"/>
          <w:sz w:val="21"/>
          <w:szCs w:val="21"/>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pPr>
        <w:pStyle w:val="7"/>
        <w:spacing w:before="0" w:beforeAutospacing="0" w:after="0" w:afterAutospacing="0" w:line="360" w:lineRule="auto"/>
        <w:ind w:firstLine="420"/>
        <w:rPr>
          <w:sz w:val="21"/>
          <w:szCs w:val="21"/>
        </w:rPr>
      </w:pPr>
      <w:r>
        <w:rPr>
          <w:rFonts w:hint="eastAsia"/>
          <w:sz w:val="21"/>
          <w:szCs w:val="21"/>
        </w:rPr>
        <w:t>基金份额持有人大会的召集人发出召集会议的通知后，对原有提案的修改应当在基金份额持有人大会召开前及时公告。</w:t>
      </w:r>
    </w:p>
    <w:p>
      <w:pPr>
        <w:pStyle w:val="7"/>
        <w:spacing w:before="0" w:beforeAutospacing="0" w:after="0" w:afterAutospacing="0" w:line="360" w:lineRule="auto"/>
        <w:ind w:firstLine="420"/>
        <w:rPr>
          <w:sz w:val="21"/>
          <w:szCs w:val="21"/>
        </w:rPr>
      </w:pPr>
      <w:r>
        <w:rPr>
          <w:rFonts w:hint="eastAsia"/>
          <w:sz w:val="21"/>
          <w:szCs w:val="21"/>
        </w:rPr>
        <w:t>基金份额持有人大会不得对未事先公告的议事内容进行表决。</w:t>
      </w:r>
    </w:p>
    <w:p>
      <w:pPr>
        <w:pStyle w:val="7"/>
        <w:spacing w:before="0" w:beforeAutospacing="0" w:after="0" w:afterAutospacing="0" w:line="360" w:lineRule="auto"/>
        <w:ind w:firstLine="420"/>
        <w:rPr>
          <w:sz w:val="21"/>
          <w:szCs w:val="21"/>
        </w:rPr>
      </w:pPr>
      <w:r>
        <w:rPr>
          <w:rFonts w:hint="eastAsia"/>
          <w:sz w:val="21"/>
          <w:szCs w:val="21"/>
        </w:rPr>
        <w:t>2、议事程序</w:t>
      </w:r>
    </w:p>
    <w:p>
      <w:pPr>
        <w:pStyle w:val="7"/>
        <w:spacing w:before="0" w:beforeAutospacing="0" w:after="0" w:afterAutospacing="0" w:line="360" w:lineRule="auto"/>
        <w:ind w:firstLine="420"/>
        <w:rPr>
          <w:sz w:val="21"/>
          <w:szCs w:val="21"/>
        </w:rPr>
      </w:pPr>
      <w:r>
        <w:rPr>
          <w:rFonts w:hint="eastAsia"/>
          <w:sz w:val="21"/>
          <w:szCs w:val="21"/>
        </w:rPr>
        <w:t>（1）现场开会</w:t>
      </w:r>
    </w:p>
    <w:p>
      <w:pPr>
        <w:pStyle w:val="7"/>
        <w:spacing w:before="0" w:beforeAutospacing="0" w:after="0" w:afterAutospacing="0" w:line="360" w:lineRule="auto"/>
        <w:ind w:firstLine="420"/>
        <w:rPr>
          <w:sz w:val="21"/>
          <w:szCs w:val="21"/>
        </w:rPr>
      </w:pPr>
      <w:r>
        <w:rPr>
          <w:rFonts w:hint="eastAsia"/>
          <w:sz w:val="21"/>
          <w:szCs w:val="21"/>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pPr>
        <w:pStyle w:val="7"/>
        <w:spacing w:before="0" w:beforeAutospacing="0" w:after="0" w:afterAutospacing="0" w:line="360" w:lineRule="auto"/>
        <w:ind w:firstLine="420"/>
        <w:rPr>
          <w:sz w:val="21"/>
          <w:szCs w:val="21"/>
        </w:rPr>
      </w:pPr>
      <w:r>
        <w:rPr>
          <w:rFonts w:hint="eastAsia"/>
          <w:sz w:val="21"/>
          <w:szCs w:val="21"/>
        </w:rPr>
        <w:t>会议召集人应当制作出席会议人员的签名册。签名册载明参加会议人员姓名（或单位名称）、身份证明文件号码、持有或代表有表决权的基金份额、委托人姓名（或单位名称）和联系方式等事项。</w:t>
      </w:r>
    </w:p>
    <w:p>
      <w:pPr>
        <w:pStyle w:val="7"/>
        <w:spacing w:before="0" w:beforeAutospacing="0" w:after="0" w:afterAutospacing="0" w:line="360" w:lineRule="auto"/>
        <w:ind w:firstLine="420"/>
        <w:rPr>
          <w:sz w:val="21"/>
          <w:szCs w:val="21"/>
        </w:rPr>
      </w:pPr>
      <w:r>
        <w:rPr>
          <w:rFonts w:hint="eastAsia"/>
          <w:sz w:val="21"/>
          <w:szCs w:val="21"/>
        </w:rPr>
        <w:t>（2）通讯开会</w:t>
      </w:r>
    </w:p>
    <w:p>
      <w:pPr>
        <w:pStyle w:val="7"/>
        <w:spacing w:before="0" w:beforeAutospacing="0" w:after="0" w:afterAutospacing="0" w:line="360" w:lineRule="auto"/>
        <w:ind w:firstLine="420"/>
        <w:rPr>
          <w:sz w:val="21"/>
          <w:szCs w:val="21"/>
        </w:rPr>
      </w:pPr>
      <w:r>
        <w:rPr>
          <w:rFonts w:hint="eastAsia"/>
          <w:sz w:val="21"/>
          <w:szCs w:val="21"/>
        </w:rPr>
        <w:t>在通讯开会的情况下，首先由召集人提前30日公布提案，在所通知的表决截止日期后2个工作日内在公证机关监督下由召集人统计全部有效表决，在公证机关监督下形成决议。</w:t>
      </w:r>
    </w:p>
    <w:p>
      <w:pPr>
        <w:pStyle w:val="7"/>
        <w:spacing w:before="0" w:beforeAutospacing="0" w:after="0" w:afterAutospacing="0" w:line="360" w:lineRule="auto"/>
        <w:ind w:firstLine="420"/>
        <w:rPr>
          <w:sz w:val="21"/>
          <w:szCs w:val="21"/>
        </w:rPr>
      </w:pPr>
      <w:r>
        <w:rPr>
          <w:rFonts w:hint="eastAsia"/>
          <w:sz w:val="21"/>
          <w:szCs w:val="21"/>
        </w:rPr>
        <w:t>（六）表决</w:t>
      </w:r>
    </w:p>
    <w:p>
      <w:pPr>
        <w:pStyle w:val="7"/>
        <w:spacing w:before="0" w:beforeAutospacing="0" w:after="0" w:afterAutospacing="0" w:line="360" w:lineRule="auto"/>
        <w:ind w:firstLine="420"/>
        <w:rPr>
          <w:sz w:val="21"/>
          <w:szCs w:val="21"/>
        </w:rPr>
      </w:pPr>
      <w:r>
        <w:rPr>
          <w:rFonts w:hint="eastAsia"/>
          <w:sz w:val="21"/>
          <w:szCs w:val="21"/>
        </w:rPr>
        <w:t>基金份额持有人所持每份基金份额有一票表决权。</w:t>
      </w:r>
    </w:p>
    <w:p>
      <w:pPr>
        <w:pStyle w:val="7"/>
        <w:spacing w:before="0" w:beforeAutospacing="0" w:after="0" w:afterAutospacing="0" w:line="360" w:lineRule="auto"/>
        <w:ind w:firstLine="420"/>
        <w:rPr>
          <w:sz w:val="21"/>
          <w:szCs w:val="21"/>
        </w:rPr>
      </w:pPr>
      <w:r>
        <w:rPr>
          <w:rFonts w:hint="eastAsia"/>
          <w:sz w:val="21"/>
          <w:szCs w:val="21"/>
        </w:rPr>
        <w:t>基金份额持有人大会决议分为一般决议和特别决议：</w:t>
      </w:r>
    </w:p>
    <w:p>
      <w:pPr>
        <w:pStyle w:val="7"/>
        <w:spacing w:before="0" w:beforeAutospacing="0" w:after="0" w:afterAutospacing="0" w:line="360" w:lineRule="auto"/>
        <w:ind w:firstLine="420"/>
        <w:rPr>
          <w:sz w:val="21"/>
          <w:szCs w:val="21"/>
        </w:rPr>
      </w:pPr>
      <w:r>
        <w:rPr>
          <w:rFonts w:hint="eastAsia"/>
          <w:sz w:val="21"/>
          <w:szCs w:val="21"/>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pStyle w:val="7"/>
        <w:spacing w:before="0" w:beforeAutospacing="0" w:after="0" w:afterAutospacing="0" w:line="360" w:lineRule="auto"/>
        <w:ind w:firstLine="420"/>
        <w:rPr>
          <w:sz w:val="21"/>
          <w:szCs w:val="21"/>
        </w:rPr>
      </w:pPr>
      <w:r>
        <w:rPr>
          <w:rFonts w:hint="eastAsia"/>
          <w:sz w:val="21"/>
          <w:szCs w:val="21"/>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pPr>
        <w:pStyle w:val="7"/>
        <w:spacing w:before="0" w:beforeAutospacing="0" w:after="0" w:afterAutospacing="0" w:line="360" w:lineRule="auto"/>
        <w:ind w:firstLine="420"/>
        <w:rPr>
          <w:sz w:val="21"/>
          <w:szCs w:val="21"/>
        </w:rPr>
      </w:pPr>
      <w:r>
        <w:rPr>
          <w:rFonts w:hint="eastAsia"/>
          <w:sz w:val="21"/>
          <w:szCs w:val="21"/>
        </w:rPr>
        <w:t>基金份额持有人大会采取记名方式进行投票表决。</w:t>
      </w:r>
    </w:p>
    <w:p>
      <w:pPr>
        <w:pStyle w:val="7"/>
        <w:spacing w:before="0" w:beforeAutospacing="0" w:after="0" w:afterAutospacing="0" w:line="360" w:lineRule="auto"/>
        <w:ind w:firstLine="420"/>
        <w:rPr>
          <w:sz w:val="21"/>
          <w:szCs w:val="21"/>
        </w:rPr>
      </w:pPr>
      <w:r>
        <w:rPr>
          <w:rFonts w:hint="eastAsia"/>
          <w:sz w:val="21"/>
          <w:szCs w:val="21"/>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pStyle w:val="7"/>
        <w:spacing w:before="0" w:beforeAutospacing="0" w:after="0" w:afterAutospacing="0" w:line="360" w:lineRule="auto"/>
        <w:ind w:firstLine="420"/>
        <w:rPr>
          <w:sz w:val="21"/>
          <w:szCs w:val="21"/>
        </w:rPr>
      </w:pPr>
      <w:r>
        <w:rPr>
          <w:rFonts w:hint="eastAsia"/>
          <w:sz w:val="21"/>
          <w:szCs w:val="21"/>
        </w:rPr>
        <w:t>基金份额持有人大会的各项提案或同一项提案内并列的各项议题应当分开审议、逐项表决。</w:t>
      </w:r>
    </w:p>
    <w:p>
      <w:pPr>
        <w:pStyle w:val="7"/>
        <w:spacing w:before="0" w:beforeAutospacing="0" w:after="0" w:afterAutospacing="0" w:line="360" w:lineRule="auto"/>
        <w:ind w:firstLine="420"/>
        <w:rPr>
          <w:sz w:val="21"/>
          <w:szCs w:val="21"/>
        </w:rPr>
      </w:pPr>
      <w:r>
        <w:rPr>
          <w:rFonts w:hint="eastAsia"/>
          <w:sz w:val="21"/>
          <w:szCs w:val="21"/>
        </w:rPr>
        <w:t>（七）计票</w:t>
      </w:r>
    </w:p>
    <w:p>
      <w:pPr>
        <w:pStyle w:val="7"/>
        <w:spacing w:before="0" w:beforeAutospacing="0" w:after="0" w:afterAutospacing="0" w:line="360" w:lineRule="auto"/>
        <w:ind w:firstLine="420"/>
        <w:rPr>
          <w:sz w:val="21"/>
          <w:szCs w:val="21"/>
        </w:rPr>
      </w:pPr>
      <w:r>
        <w:rPr>
          <w:rFonts w:hint="eastAsia"/>
          <w:sz w:val="21"/>
          <w:szCs w:val="21"/>
        </w:rPr>
        <w:t>1、现场开会</w:t>
      </w:r>
    </w:p>
    <w:p>
      <w:pPr>
        <w:pStyle w:val="7"/>
        <w:spacing w:before="0" w:beforeAutospacing="0" w:after="0" w:afterAutospacing="0" w:line="360" w:lineRule="auto"/>
        <w:ind w:firstLine="420"/>
        <w:rPr>
          <w:sz w:val="21"/>
          <w:szCs w:val="21"/>
        </w:rPr>
      </w:pPr>
      <w:r>
        <w:rPr>
          <w:rFonts w:hint="eastAsia"/>
          <w:sz w:val="21"/>
          <w:szCs w:val="21"/>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pPr>
        <w:pStyle w:val="7"/>
        <w:spacing w:before="0" w:beforeAutospacing="0" w:after="0" w:afterAutospacing="0" w:line="360" w:lineRule="auto"/>
        <w:ind w:firstLine="420"/>
        <w:rPr>
          <w:sz w:val="21"/>
          <w:szCs w:val="21"/>
        </w:rPr>
      </w:pPr>
      <w:r>
        <w:rPr>
          <w:rFonts w:hint="eastAsia"/>
          <w:sz w:val="21"/>
          <w:szCs w:val="21"/>
        </w:rPr>
        <w:t>（2）监票人应当在基金份额持有人表决后立即进行清点并由大会主持人当场公布计票结果。</w:t>
      </w:r>
    </w:p>
    <w:p>
      <w:pPr>
        <w:pStyle w:val="7"/>
        <w:spacing w:before="0" w:beforeAutospacing="0" w:after="0" w:afterAutospacing="0" w:line="360" w:lineRule="auto"/>
        <w:ind w:firstLine="420"/>
        <w:rPr>
          <w:sz w:val="21"/>
          <w:szCs w:val="21"/>
        </w:rPr>
      </w:pPr>
      <w:r>
        <w:rPr>
          <w:rFonts w:hint="eastAsia"/>
          <w:sz w:val="21"/>
          <w:szCs w:val="21"/>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pStyle w:val="7"/>
        <w:spacing w:before="0" w:beforeAutospacing="0" w:after="0" w:afterAutospacing="0" w:line="360" w:lineRule="auto"/>
        <w:ind w:firstLine="420"/>
        <w:rPr>
          <w:sz w:val="21"/>
          <w:szCs w:val="21"/>
        </w:rPr>
      </w:pPr>
      <w:r>
        <w:rPr>
          <w:rFonts w:hint="eastAsia"/>
          <w:sz w:val="21"/>
          <w:szCs w:val="21"/>
        </w:rPr>
        <w:t>（4）计票过程应由公证机关予以公证，基金管理人或基金托管人拒不出席大会的，不影响计票的效力。</w:t>
      </w:r>
    </w:p>
    <w:p>
      <w:pPr>
        <w:pStyle w:val="7"/>
        <w:spacing w:before="0" w:beforeAutospacing="0" w:after="0" w:afterAutospacing="0" w:line="360" w:lineRule="auto"/>
        <w:ind w:firstLine="420"/>
        <w:rPr>
          <w:sz w:val="21"/>
          <w:szCs w:val="21"/>
        </w:rPr>
      </w:pPr>
      <w:r>
        <w:rPr>
          <w:rFonts w:hint="eastAsia"/>
          <w:sz w:val="21"/>
          <w:szCs w:val="21"/>
        </w:rPr>
        <w:t>2、通讯开会</w:t>
      </w:r>
    </w:p>
    <w:p>
      <w:pPr>
        <w:pStyle w:val="7"/>
        <w:spacing w:before="0" w:beforeAutospacing="0" w:after="0" w:afterAutospacing="0" w:line="360" w:lineRule="auto"/>
        <w:ind w:firstLine="420"/>
        <w:rPr>
          <w:sz w:val="21"/>
          <w:szCs w:val="21"/>
        </w:rPr>
      </w:pPr>
      <w:r>
        <w:rPr>
          <w:rFonts w:hint="eastAsia"/>
          <w:sz w:val="21"/>
          <w:szCs w:val="21"/>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pStyle w:val="7"/>
        <w:spacing w:before="0" w:beforeAutospacing="0" w:after="0" w:afterAutospacing="0" w:line="360" w:lineRule="auto"/>
        <w:ind w:firstLine="420"/>
        <w:rPr>
          <w:sz w:val="21"/>
          <w:szCs w:val="21"/>
        </w:rPr>
      </w:pPr>
      <w:r>
        <w:rPr>
          <w:rFonts w:hint="eastAsia"/>
          <w:sz w:val="21"/>
          <w:szCs w:val="21"/>
        </w:rPr>
        <w:t>（八）生效与公告</w:t>
      </w:r>
    </w:p>
    <w:p>
      <w:pPr>
        <w:pStyle w:val="7"/>
        <w:spacing w:before="0" w:beforeAutospacing="0" w:after="0" w:afterAutospacing="0" w:line="360" w:lineRule="auto"/>
        <w:ind w:firstLine="420"/>
        <w:rPr>
          <w:sz w:val="21"/>
          <w:szCs w:val="21"/>
        </w:rPr>
      </w:pPr>
      <w:r>
        <w:rPr>
          <w:rFonts w:hint="eastAsia"/>
          <w:sz w:val="21"/>
          <w:szCs w:val="21"/>
        </w:rPr>
        <w:t>基金份额持有人大会的决议，召集人应当自通过之日起5日内报中国证监会备案。</w:t>
      </w:r>
    </w:p>
    <w:p>
      <w:pPr>
        <w:pStyle w:val="7"/>
        <w:spacing w:before="0" w:beforeAutospacing="0" w:after="0" w:afterAutospacing="0" w:line="360" w:lineRule="auto"/>
        <w:ind w:firstLine="420"/>
        <w:rPr>
          <w:sz w:val="21"/>
          <w:szCs w:val="21"/>
        </w:rPr>
      </w:pPr>
      <w:r>
        <w:rPr>
          <w:rFonts w:hint="eastAsia"/>
          <w:sz w:val="21"/>
          <w:szCs w:val="21"/>
        </w:rPr>
        <w:t>基金份额持有人大会的决议自表决通过之日起生效。</w:t>
      </w:r>
    </w:p>
    <w:p>
      <w:pPr>
        <w:pStyle w:val="7"/>
        <w:spacing w:before="0" w:beforeAutospacing="0" w:after="0" w:afterAutospacing="0" w:line="360" w:lineRule="auto"/>
        <w:ind w:firstLine="420"/>
        <w:rPr>
          <w:sz w:val="21"/>
          <w:szCs w:val="21"/>
        </w:rPr>
      </w:pPr>
      <w:r>
        <w:rPr>
          <w:rFonts w:hint="eastAsia"/>
          <w:sz w:val="21"/>
          <w:szCs w:val="21"/>
        </w:rPr>
        <w:t>基金份额持有人大会决议自生效之日起按规定在规定媒介上公告。如果采用通讯方式进行表决，在公告基金份额持有人大会决议时，必须将公证书全文、公证机构、公证员姓名等一同公告。</w:t>
      </w:r>
    </w:p>
    <w:p>
      <w:pPr>
        <w:pStyle w:val="7"/>
        <w:spacing w:before="0" w:beforeAutospacing="0" w:after="0" w:afterAutospacing="0" w:line="360" w:lineRule="auto"/>
        <w:ind w:firstLine="420"/>
        <w:rPr>
          <w:sz w:val="21"/>
          <w:szCs w:val="21"/>
        </w:rPr>
      </w:pPr>
      <w:r>
        <w:rPr>
          <w:rFonts w:hint="eastAsia"/>
          <w:sz w:val="21"/>
          <w:szCs w:val="21"/>
        </w:rPr>
        <w:t>基金管理人、基金托管人和基金份额持有人应当执行生效的基金份额持有人大会的决议。生效的基金份额持有人大会决议对全体基金份额持有人、基金管理人、基金托管人均有约束力。</w:t>
      </w:r>
    </w:p>
    <w:p>
      <w:pPr>
        <w:pStyle w:val="7"/>
        <w:spacing w:before="0" w:beforeAutospacing="0" w:after="0" w:afterAutospacing="0" w:line="360" w:lineRule="auto"/>
        <w:ind w:firstLine="420"/>
        <w:rPr>
          <w:sz w:val="21"/>
          <w:szCs w:val="21"/>
        </w:rPr>
      </w:pPr>
      <w:r>
        <w:rPr>
          <w:rFonts w:hint="eastAsia"/>
          <w:sz w:val="21"/>
          <w:szCs w:val="21"/>
        </w:rPr>
        <w:t>（九）实施侧袋机制期间基金份额持有人大会的特殊约定</w:t>
      </w:r>
    </w:p>
    <w:p>
      <w:pPr>
        <w:pStyle w:val="7"/>
        <w:spacing w:before="0" w:beforeAutospacing="0" w:after="0" w:afterAutospacing="0" w:line="360" w:lineRule="auto"/>
        <w:ind w:firstLine="420"/>
        <w:rPr>
          <w:sz w:val="21"/>
          <w:szCs w:val="21"/>
        </w:rPr>
      </w:pPr>
      <w:r>
        <w:rPr>
          <w:rFonts w:hint="eastAsia"/>
          <w:sz w:val="21"/>
          <w:szCs w:val="21"/>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pStyle w:val="7"/>
        <w:spacing w:before="0" w:beforeAutospacing="0" w:after="0" w:afterAutospacing="0" w:line="360" w:lineRule="auto"/>
        <w:ind w:firstLine="420"/>
        <w:rPr>
          <w:sz w:val="21"/>
          <w:szCs w:val="21"/>
        </w:rPr>
      </w:pPr>
      <w:r>
        <w:rPr>
          <w:rFonts w:hint="eastAsia"/>
          <w:sz w:val="21"/>
          <w:szCs w:val="21"/>
        </w:rPr>
        <w:t>1、基金份额持有人行使提议权、召集权、提名权所需单独或合计代表相关基金份额10%以上（含10%）；</w:t>
      </w:r>
    </w:p>
    <w:p>
      <w:pPr>
        <w:pStyle w:val="7"/>
        <w:spacing w:before="0" w:beforeAutospacing="0" w:after="0" w:afterAutospacing="0" w:line="360" w:lineRule="auto"/>
        <w:ind w:firstLine="420"/>
        <w:rPr>
          <w:sz w:val="21"/>
          <w:szCs w:val="21"/>
        </w:rPr>
      </w:pPr>
      <w:r>
        <w:rPr>
          <w:rFonts w:hint="eastAsia"/>
          <w:sz w:val="21"/>
          <w:szCs w:val="21"/>
        </w:rPr>
        <w:t>2、现场开会的到会者在权益登记日代表的基金份额不少于本基金在权益登记日相关基金份额的二分之一（含二分之一）；</w:t>
      </w:r>
    </w:p>
    <w:p>
      <w:pPr>
        <w:pStyle w:val="7"/>
        <w:spacing w:before="0" w:beforeAutospacing="0" w:after="0" w:afterAutospacing="0" w:line="360" w:lineRule="auto"/>
        <w:ind w:firstLine="420"/>
        <w:rPr>
          <w:sz w:val="21"/>
          <w:szCs w:val="21"/>
        </w:rPr>
      </w:pPr>
      <w:r>
        <w:rPr>
          <w:rFonts w:hint="eastAsia"/>
          <w:sz w:val="21"/>
          <w:szCs w:val="21"/>
        </w:rPr>
        <w:t>3、通讯开会的直接出具表决意见或授权他人代表出具表决意见的基金份额持有人所持有的基金份额不小于在权益登记日相关基金份额的二分之一（含二分之一）；</w:t>
      </w:r>
    </w:p>
    <w:p>
      <w:pPr>
        <w:pStyle w:val="7"/>
        <w:spacing w:before="0" w:beforeAutospacing="0" w:after="0" w:afterAutospacing="0" w:line="360" w:lineRule="auto"/>
        <w:ind w:firstLine="420"/>
        <w:rPr>
          <w:sz w:val="21"/>
          <w:szCs w:val="21"/>
        </w:rPr>
      </w:pPr>
      <w:r>
        <w:rPr>
          <w:rFonts w:hint="eastAsia"/>
          <w:sz w:val="21"/>
          <w:szCs w:val="21"/>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pStyle w:val="7"/>
        <w:spacing w:before="0" w:beforeAutospacing="0" w:after="0" w:afterAutospacing="0" w:line="360" w:lineRule="auto"/>
        <w:ind w:firstLine="420"/>
        <w:rPr>
          <w:sz w:val="21"/>
          <w:szCs w:val="21"/>
        </w:rPr>
      </w:pPr>
      <w:r>
        <w:rPr>
          <w:rFonts w:hint="eastAsia"/>
          <w:sz w:val="21"/>
          <w:szCs w:val="21"/>
        </w:rPr>
        <w:t>5、现场开会由出席大会的基金份额持有人和代理人所持表决权的50%以上（含50%）选举产生一名基金份额持有人作为该次基金份额持有人大会的主持人；</w:t>
      </w:r>
    </w:p>
    <w:p>
      <w:pPr>
        <w:pStyle w:val="7"/>
        <w:spacing w:before="0" w:beforeAutospacing="0" w:after="0" w:afterAutospacing="0" w:line="360" w:lineRule="auto"/>
        <w:ind w:firstLine="420"/>
        <w:rPr>
          <w:sz w:val="21"/>
          <w:szCs w:val="21"/>
        </w:rPr>
      </w:pPr>
      <w:r>
        <w:rPr>
          <w:rFonts w:hint="eastAsia"/>
          <w:sz w:val="21"/>
          <w:szCs w:val="21"/>
        </w:rPr>
        <w:t>6、一般决议须经参加大会的基金份额持有人或其代理人所持表决权的二分之一以上（含二分之一）通过；</w:t>
      </w:r>
    </w:p>
    <w:p>
      <w:pPr>
        <w:pStyle w:val="7"/>
        <w:spacing w:before="0" w:beforeAutospacing="0" w:after="0" w:afterAutospacing="0" w:line="360" w:lineRule="auto"/>
        <w:ind w:firstLine="420"/>
        <w:rPr>
          <w:sz w:val="21"/>
          <w:szCs w:val="21"/>
        </w:rPr>
      </w:pPr>
      <w:r>
        <w:rPr>
          <w:rFonts w:hint="eastAsia"/>
          <w:sz w:val="21"/>
          <w:szCs w:val="21"/>
        </w:rPr>
        <w:t>7、特别决议应当经参加大会的基金份额持有人或其代理人所持表决权的三分之二以上（含三分之二）通过。</w:t>
      </w:r>
    </w:p>
    <w:p>
      <w:pPr>
        <w:pStyle w:val="7"/>
        <w:spacing w:before="0" w:beforeAutospacing="0" w:after="0" w:afterAutospacing="0" w:line="360" w:lineRule="auto"/>
        <w:ind w:firstLine="420"/>
        <w:rPr>
          <w:sz w:val="21"/>
          <w:szCs w:val="21"/>
        </w:rPr>
      </w:pPr>
      <w:r>
        <w:rPr>
          <w:rFonts w:hint="eastAsia"/>
          <w:sz w:val="21"/>
          <w:szCs w:val="21"/>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pPr>
        <w:pStyle w:val="7"/>
        <w:spacing w:before="0" w:beforeAutospacing="0" w:after="0" w:afterAutospacing="0" w:line="360" w:lineRule="auto"/>
        <w:ind w:firstLine="420"/>
        <w:rPr>
          <w:sz w:val="21"/>
          <w:szCs w:val="21"/>
        </w:rPr>
      </w:pPr>
      <w:r>
        <w:rPr>
          <w:rFonts w:hint="eastAsia"/>
          <w:sz w:val="21"/>
          <w:szCs w:val="21"/>
        </w:rPr>
        <w:t>侧袋机制实施期间，关于基金份额持有人大会的相关规定以本节特殊约定内容为准，本节没有规定的适用上文相关约定。</w:t>
      </w:r>
    </w:p>
    <w:p>
      <w:pPr>
        <w:pStyle w:val="7"/>
        <w:spacing w:before="0" w:beforeAutospacing="0" w:after="0" w:afterAutospacing="0" w:line="360" w:lineRule="auto"/>
        <w:ind w:firstLine="420"/>
        <w:rPr>
          <w:sz w:val="21"/>
          <w:szCs w:val="21"/>
        </w:rPr>
      </w:pPr>
      <w:r>
        <w:rPr>
          <w:rFonts w:hint="eastAsia"/>
          <w:sz w:val="21"/>
          <w:szCs w:val="21"/>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pPr>
        <w:pStyle w:val="7"/>
        <w:spacing w:before="0" w:beforeAutospacing="0" w:after="0" w:afterAutospacing="0" w:line="360" w:lineRule="auto"/>
        <w:ind w:firstLine="420"/>
        <w:rPr>
          <w:sz w:val="21"/>
          <w:szCs w:val="21"/>
        </w:rPr>
      </w:pPr>
      <w:r>
        <w:rPr>
          <w:rStyle w:val="11"/>
          <w:rFonts w:hint="eastAsia"/>
          <w:sz w:val="21"/>
          <w:szCs w:val="21"/>
        </w:rPr>
        <w:t>三、基金合同的变更、终止与基金财产的清算</w:t>
      </w:r>
    </w:p>
    <w:p>
      <w:pPr>
        <w:pStyle w:val="7"/>
        <w:spacing w:before="0" w:beforeAutospacing="0" w:after="0" w:afterAutospacing="0" w:line="360" w:lineRule="auto"/>
        <w:ind w:firstLine="420"/>
        <w:rPr>
          <w:sz w:val="21"/>
          <w:szCs w:val="21"/>
        </w:rPr>
      </w:pPr>
      <w:r>
        <w:rPr>
          <w:rFonts w:hint="eastAsia"/>
          <w:sz w:val="21"/>
          <w:szCs w:val="21"/>
        </w:rPr>
        <w:t>（一）《基金合同》的变更</w:t>
      </w:r>
    </w:p>
    <w:p>
      <w:pPr>
        <w:pStyle w:val="7"/>
        <w:spacing w:before="0" w:beforeAutospacing="0" w:after="0" w:afterAutospacing="0" w:line="360" w:lineRule="auto"/>
        <w:ind w:firstLine="420"/>
        <w:rPr>
          <w:sz w:val="21"/>
          <w:szCs w:val="21"/>
        </w:rPr>
      </w:pPr>
      <w:r>
        <w:rPr>
          <w:rFonts w:hint="eastAsia"/>
          <w:sz w:val="21"/>
          <w:szCs w:val="21"/>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pStyle w:val="7"/>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w:t>
      </w:r>
    </w:p>
    <w:p>
      <w:pPr>
        <w:pStyle w:val="7"/>
        <w:spacing w:before="0" w:beforeAutospacing="0" w:after="0" w:afterAutospacing="0" w:line="360" w:lineRule="auto"/>
        <w:ind w:firstLine="420"/>
        <w:rPr>
          <w:sz w:val="21"/>
          <w:szCs w:val="21"/>
        </w:rPr>
      </w:pPr>
      <w:r>
        <w:rPr>
          <w:rFonts w:hint="eastAsia"/>
          <w:sz w:val="21"/>
          <w:szCs w:val="21"/>
        </w:rPr>
        <w:t>（二）《基金合同》的终止事由</w:t>
      </w:r>
    </w:p>
    <w:p>
      <w:pPr>
        <w:pStyle w:val="7"/>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p>
    <w:p>
      <w:pPr>
        <w:pStyle w:val="7"/>
        <w:spacing w:before="0" w:beforeAutospacing="0" w:after="0" w:afterAutospacing="0" w:line="360" w:lineRule="auto"/>
        <w:ind w:firstLine="420"/>
        <w:rPr>
          <w:sz w:val="21"/>
          <w:szCs w:val="21"/>
        </w:rPr>
      </w:pPr>
      <w:r>
        <w:rPr>
          <w:rFonts w:hint="eastAsia"/>
          <w:sz w:val="21"/>
          <w:szCs w:val="21"/>
        </w:rPr>
        <w:t>1、基金份额持有人大会决定终止的；</w:t>
      </w:r>
    </w:p>
    <w:p>
      <w:pPr>
        <w:pStyle w:val="7"/>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w:t>
      </w:r>
    </w:p>
    <w:p>
      <w:pPr>
        <w:pStyle w:val="7"/>
        <w:spacing w:before="0" w:beforeAutospacing="0" w:after="0" w:afterAutospacing="0" w:line="360" w:lineRule="auto"/>
        <w:ind w:firstLine="420"/>
        <w:rPr>
          <w:sz w:val="21"/>
          <w:szCs w:val="21"/>
        </w:rPr>
      </w:pPr>
      <w:r>
        <w:rPr>
          <w:rFonts w:hint="eastAsia"/>
          <w:sz w:val="21"/>
          <w:szCs w:val="21"/>
        </w:rPr>
        <w:t>3、《基金合同》约定的其他情形；</w:t>
      </w:r>
    </w:p>
    <w:p>
      <w:pPr>
        <w:pStyle w:val="7"/>
        <w:spacing w:before="0" w:beforeAutospacing="0" w:after="0" w:afterAutospacing="0" w:line="360" w:lineRule="auto"/>
        <w:ind w:firstLine="420"/>
        <w:rPr>
          <w:sz w:val="21"/>
          <w:szCs w:val="21"/>
        </w:rPr>
      </w:pPr>
      <w:r>
        <w:rPr>
          <w:rFonts w:hint="eastAsia"/>
          <w:sz w:val="21"/>
          <w:szCs w:val="21"/>
        </w:rPr>
        <w:t>4、相关法律法规和中国证监会规定的其他情况。</w:t>
      </w:r>
    </w:p>
    <w:p>
      <w:pPr>
        <w:pStyle w:val="7"/>
        <w:spacing w:before="0" w:beforeAutospacing="0" w:after="0" w:afterAutospacing="0" w:line="360" w:lineRule="auto"/>
        <w:ind w:firstLine="420"/>
        <w:rPr>
          <w:sz w:val="21"/>
          <w:szCs w:val="21"/>
        </w:rPr>
      </w:pPr>
      <w:r>
        <w:rPr>
          <w:rFonts w:hint="eastAsia"/>
          <w:sz w:val="21"/>
          <w:szCs w:val="21"/>
        </w:rPr>
        <w:t>（三）基金财产的清算</w:t>
      </w:r>
    </w:p>
    <w:p>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1、基金财产清算小组：自出现《基金合同》终止事由之日起30个工作日内由基金管理人发起成立基金财产清算小组，基金管理人组织基金财产清算小组并在中国证监会的监督下进行基金清算。</w:t>
      </w:r>
    </w:p>
    <w:p>
      <w:pPr>
        <w:pStyle w:val="7"/>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pPr>
        <w:pStyle w:val="7"/>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pPr>
        <w:pStyle w:val="7"/>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pPr>
        <w:pStyle w:val="7"/>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pPr>
        <w:pStyle w:val="7"/>
        <w:spacing w:before="0" w:beforeAutospacing="0" w:after="0" w:afterAutospacing="0" w:line="360" w:lineRule="auto"/>
        <w:ind w:firstLine="420"/>
        <w:rPr>
          <w:sz w:val="21"/>
          <w:szCs w:val="21"/>
        </w:rPr>
      </w:pPr>
      <w:r>
        <w:rPr>
          <w:rFonts w:hint="eastAsia"/>
          <w:sz w:val="21"/>
          <w:szCs w:val="21"/>
        </w:rPr>
        <w:t>6、基金财产清算程序：</w:t>
      </w:r>
    </w:p>
    <w:p>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pPr>
        <w:pStyle w:val="7"/>
        <w:spacing w:before="0" w:beforeAutospacing="0" w:after="0" w:afterAutospacing="0" w:line="360" w:lineRule="auto"/>
        <w:ind w:firstLine="420"/>
        <w:rPr>
          <w:sz w:val="21"/>
          <w:szCs w:val="21"/>
        </w:rPr>
      </w:pPr>
      <w:r>
        <w:rPr>
          <w:rFonts w:hint="eastAsia"/>
          <w:sz w:val="21"/>
          <w:szCs w:val="21"/>
        </w:rPr>
        <w:t>（3）对基金财产进行估值和变现；</w:t>
      </w:r>
    </w:p>
    <w:p>
      <w:pPr>
        <w:pStyle w:val="7"/>
        <w:spacing w:before="0" w:beforeAutospacing="0" w:after="0" w:afterAutospacing="0" w:line="360" w:lineRule="auto"/>
        <w:ind w:firstLine="420"/>
        <w:rPr>
          <w:sz w:val="21"/>
          <w:szCs w:val="21"/>
        </w:rPr>
      </w:pPr>
      <w:r>
        <w:rPr>
          <w:rFonts w:hint="eastAsia"/>
          <w:sz w:val="21"/>
          <w:szCs w:val="21"/>
        </w:rPr>
        <w:t>（4）制作清算报告；</w:t>
      </w:r>
    </w:p>
    <w:p>
      <w:pPr>
        <w:pStyle w:val="7"/>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pPr>
        <w:pStyle w:val="7"/>
        <w:spacing w:before="0" w:beforeAutospacing="0" w:after="0" w:afterAutospacing="0" w:line="360" w:lineRule="auto"/>
        <w:ind w:firstLine="420"/>
        <w:rPr>
          <w:sz w:val="21"/>
          <w:szCs w:val="21"/>
        </w:rPr>
      </w:pPr>
      <w:r>
        <w:rPr>
          <w:rFonts w:hint="eastAsia"/>
          <w:sz w:val="21"/>
          <w:szCs w:val="21"/>
        </w:rPr>
        <w:t>（7）对基金剩余财产进行分配。</w:t>
      </w:r>
    </w:p>
    <w:p>
      <w:pPr>
        <w:pStyle w:val="7"/>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7、基金财产清算的期限为6个月，但因本基金所持证券的流动性受到限制而不能及时变现的，清算期限可相应顺延。</w:t>
      </w:r>
    </w:p>
    <w:p>
      <w:pPr>
        <w:pStyle w:val="7"/>
        <w:spacing w:before="0" w:beforeAutospacing="0" w:after="0" w:afterAutospacing="0" w:line="360" w:lineRule="auto"/>
        <w:ind w:firstLine="420"/>
        <w:rPr>
          <w:sz w:val="21"/>
          <w:szCs w:val="21"/>
        </w:rPr>
      </w:pPr>
      <w:r>
        <w:rPr>
          <w:rFonts w:hint="eastAsia"/>
          <w:sz w:val="21"/>
          <w:szCs w:val="21"/>
        </w:rPr>
        <w:t>（四）清算费用</w:t>
      </w:r>
    </w:p>
    <w:p>
      <w:pPr>
        <w:pStyle w:val="7"/>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p>
    <w:p>
      <w:pPr>
        <w:pStyle w:val="7"/>
        <w:spacing w:before="0" w:beforeAutospacing="0" w:after="0" w:afterAutospacing="0" w:line="360" w:lineRule="auto"/>
        <w:ind w:firstLine="420"/>
        <w:rPr>
          <w:sz w:val="21"/>
          <w:szCs w:val="21"/>
        </w:rPr>
      </w:pPr>
      <w:r>
        <w:rPr>
          <w:rFonts w:hint="eastAsia"/>
          <w:sz w:val="21"/>
          <w:szCs w:val="21"/>
        </w:rPr>
        <w:t>（五）基金财产清算剩余资产的分配</w:t>
      </w:r>
    </w:p>
    <w:p>
      <w:pPr>
        <w:pStyle w:val="7"/>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依据基金财产清算的分配方案，将基金财产清算后的全部剩余资产扣除基金财产清算费用、交纳所欠税款并清偿基金债务后，按基金份额持有人持有的各类基金份额比例进行分配。</w:t>
      </w:r>
    </w:p>
    <w:p>
      <w:pPr>
        <w:pStyle w:val="7"/>
        <w:spacing w:before="0" w:beforeAutospacing="0" w:after="0" w:afterAutospacing="0" w:line="360" w:lineRule="auto"/>
        <w:ind w:firstLine="420"/>
        <w:rPr>
          <w:sz w:val="21"/>
          <w:szCs w:val="21"/>
        </w:rPr>
      </w:pPr>
      <w:r>
        <w:rPr>
          <w:rFonts w:hint="eastAsia"/>
          <w:sz w:val="21"/>
          <w:szCs w:val="21"/>
        </w:rPr>
        <w:t>（六）基金财产清算的公告</w:t>
      </w:r>
    </w:p>
    <w:p>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pStyle w:val="7"/>
        <w:spacing w:before="0" w:beforeAutospacing="0" w:after="0" w:afterAutospacing="0" w:line="360" w:lineRule="auto"/>
        <w:ind w:firstLine="420"/>
        <w:rPr>
          <w:sz w:val="21"/>
          <w:szCs w:val="21"/>
        </w:rPr>
      </w:pPr>
      <w:r>
        <w:rPr>
          <w:rFonts w:hint="eastAsia"/>
          <w:sz w:val="21"/>
          <w:szCs w:val="21"/>
        </w:rPr>
        <w:t>（七）基金财产清算账册及文件的保存</w:t>
      </w:r>
    </w:p>
    <w:p>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基金财产清算账册及有关文件由基金托管人保存，保存期限不低于法律法规规定的最低期限。</w:t>
      </w:r>
    </w:p>
    <w:p>
      <w:pPr>
        <w:pStyle w:val="7"/>
        <w:spacing w:before="0" w:beforeAutospacing="0" w:after="0" w:afterAutospacing="0" w:line="360" w:lineRule="auto"/>
        <w:ind w:firstLine="420"/>
        <w:rPr>
          <w:sz w:val="21"/>
          <w:szCs w:val="21"/>
        </w:rPr>
      </w:pPr>
      <w:r>
        <w:rPr>
          <w:rFonts w:hint="eastAsia"/>
          <w:sz w:val="21"/>
          <w:szCs w:val="21"/>
        </w:rPr>
        <w:t>（八）基金合并</w:t>
      </w:r>
    </w:p>
    <w:p>
      <w:pPr>
        <w:pStyle w:val="7"/>
        <w:spacing w:before="0" w:beforeAutospacing="0" w:after="0" w:afterAutospacing="0" w:line="360" w:lineRule="auto"/>
        <w:ind w:firstLine="420"/>
        <w:rPr>
          <w:sz w:val="21"/>
          <w:szCs w:val="21"/>
        </w:rPr>
      </w:pPr>
      <w:r>
        <w:rPr>
          <w:rFonts w:hint="eastAsia"/>
          <w:sz w:val="21"/>
          <w:szCs w:val="21"/>
        </w:rPr>
        <w:t>本基金与其他基金的合并应当按照法律法规规定的程序进行。</w:t>
      </w:r>
    </w:p>
    <w:p>
      <w:pPr>
        <w:pStyle w:val="7"/>
        <w:spacing w:before="0" w:beforeAutospacing="0" w:after="0" w:afterAutospacing="0" w:line="360" w:lineRule="auto"/>
        <w:ind w:firstLine="420"/>
        <w:rPr>
          <w:sz w:val="21"/>
          <w:szCs w:val="21"/>
        </w:rPr>
      </w:pPr>
      <w:r>
        <w:rPr>
          <w:rStyle w:val="11"/>
          <w:rFonts w:hint="eastAsia"/>
          <w:sz w:val="21"/>
          <w:szCs w:val="21"/>
        </w:rPr>
        <w:t>四、争议的处理</w:t>
      </w:r>
    </w:p>
    <w:p>
      <w:pPr>
        <w:pStyle w:val="7"/>
        <w:spacing w:before="0" w:beforeAutospacing="0" w:after="0" w:afterAutospacing="0" w:line="360" w:lineRule="auto"/>
        <w:ind w:firstLine="420"/>
        <w:rPr>
          <w:sz w:val="21"/>
          <w:szCs w:val="21"/>
        </w:rPr>
      </w:pPr>
      <w:r>
        <w:rPr>
          <w:rFonts w:hint="eastAsia"/>
          <w:sz w:val="21"/>
          <w:szCs w:val="21"/>
        </w:rPr>
        <w:t>各方当事人同意，因《基金合同》而产生的或与《基金合同》有关的一切争议，如不愿或者不能通过协商、调解解决的，应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pPr>
        <w:pStyle w:val="7"/>
        <w:spacing w:before="0" w:beforeAutospacing="0" w:after="0" w:afterAutospacing="0" w:line="360" w:lineRule="auto"/>
        <w:ind w:firstLine="420"/>
        <w:rPr>
          <w:sz w:val="21"/>
          <w:szCs w:val="21"/>
        </w:rPr>
      </w:pPr>
      <w:r>
        <w:rPr>
          <w:rFonts w:hint="eastAsia"/>
          <w:sz w:val="21"/>
          <w:szCs w:val="21"/>
        </w:rPr>
        <w:t>争议处理期间，基金管理人、基金托管人应恪守基金管理人和基金托管人的职责，各自继续忠实、勤勉、尽责地履行基金合同和基金托管协议规定的义务，维护基金份额持有人的合法权益。</w:t>
      </w:r>
    </w:p>
    <w:p>
      <w:pPr>
        <w:pStyle w:val="7"/>
        <w:spacing w:before="0" w:beforeAutospacing="0" w:after="0" w:afterAutospacing="0" w:line="360" w:lineRule="auto"/>
        <w:ind w:firstLine="420"/>
        <w:rPr>
          <w:sz w:val="21"/>
          <w:szCs w:val="21"/>
        </w:rPr>
      </w:pPr>
      <w:r>
        <w:rPr>
          <w:rFonts w:hint="eastAsia"/>
          <w:sz w:val="21"/>
          <w:szCs w:val="21"/>
        </w:rPr>
        <w:t>《基金合同》受中国法律（为本基金合同之目的，在此不包括香港、澳门特别行政区和台湾地区法律）管辖并从其解释。</w:t>
      </w:r>
    </w:p>
    <w:p>
      <w:pPr>
        <w:pStyle w:val="7"/>
        <w:spacing w:before="0" w:beforeAutospacing="0" w:after="0" w:afterAutospacing="0" w:line="360" w:lineRule="auto"/>
        <w:ind w:firstLine="420"/>
        <w:rPr>
          <w:sz w:val="21"/>
          <w:szCs w:val="21"/>
        </w:rPr>
      </w:pPr>
      <w:r>
        <w:rPr>
          <w:rStyle w:val="11"/>
          <w:rFonts w:hint="eastAsia"/>
          <w:sz w:val="21"/>
          <w:szCs w:val="21"/>
        </w:rPr>
        <w:t>五、基金合同存放地和投资者取得合同的方式</w:t>
      </w:r>
    </w:p>
    <w:p>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79" w:name="chapter_level1_22_71_section_1_end"/>
      <w:bookmarkEnd w:id="179"/>
      <w:r>
        <w:rPr>
          <w:rFonts w:hint="eastAsia"/>
          <w:sz w:val="21"/>
          <w:szCs w:val="21"/>
        </w:rPr>
        <w:t>和营业场所查阅。</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0" w:name="_Toc207939916"/>
      <w:bookmarkStart w:id="181" w:name="chapter_level1_23_72"/>
      <w:r>
        <w:rPr>
          <w:rFonts w:hint="eastAsia" w:ascii="宋体" w:hAnsi="宋体" w:eastAsia="宋体"/>
          <w:sz w:val="30"/>
        </w:rPr>
        <w:t>第二十部分  基金托管协议的内容摘要</w:t>
      </w:r>
      <w:bookmarkEnd w:id="180"/>
      <w:bookmarkEnd w:id="181"/>
    </w:p>
    <w:p>
      <w:pPr>
        <w:pStyle w:val="7"/>
        <w:spacing w:before="0" w:beforeAutospacing="0" w:after="0" w:afterAutospacing="0" w:line="360" w:lineRule="auto"/>
        <w:ind w:firstLine="420"/>
        <w:rPr>
          <w:sz w:val="21"/>
          <w:szCs w:val="21"/>
        </w:rPr>
      </w:pPr>
      <w:bookmarkStart w:id="182" w:name="chapter_level1_23_72_section_1"/>
      <w:bookmarkEnd w:id="182"/>
      <w:r>
        <w:rPr>
          <w:rStyle w:val="11"/>
          <w:rFonts w:hint="eastAsia"/>
          <w:sz w:val="21"/>
          <w:szCs w:val="21"/>
        </w:rPr>
        <w:t>一、基金托管协议当事人</w:t>
      </w:r>
    </w:p>
    <w:p>
      <w:pPr>
        <w:pStyle w:val="7"/>
        <w:spacing w:before="0" w:beforeAutospacing="0" w:after="0" w:afterAutospacing="0" w:line="360" w:lineRule="auto"/>
        <w:ind w:firstLine="420"/>
        <w:rPr>
          <w:sz w:val="21"/>
          <w:szCs w:val="21"/>
        </w:rPr>
      </w:pPr>
      <w:r>
        <w:rPr>
          <w:rFonts w:hint="eastAsia"/>
          <w:sz w:val="21"/>
          <w:szCs w:val="21"/>
        </w:rPr>
        <w:t>（一）基金管理人</w:t>
      </w:r>
    </w:p>
    <w:p>
      <w:pPr>
        <w:pStyle w:val="7"/>
        <w:spacing w:before="0" w:beforeAutospacing="0" w:after="0" w:afterAutospacing="0" w:line="360" w:lineRule="auto"/>
        <w:ind w:firstLine="420"/>
        <w:rPr>
          <w:sz w:val="21"/>
          <w:szCs w:val="21"/>
        </w:rPr>
      </w:pPr>
      <w:r>
        <w:rPr>
          <w:rFonts w:hint="eastAsia"/>
          <w:sz w:val="21"/>
          <w:szCs w:val="21"/>
        </w:rPr>
        <w:t>名称：博时基金管理有限公司</w:t>
      </w:r>
    </w:p>
    <w:p>
      <w:pPr>
        <w:pStyle w:val="7"/>
        <w:spacing w:before="0" w:beforeAutospacing="0" w:after="0" w:afterAutospacing="0" w:line="360" w:lineRule="auto"/>
        <w:ind w:firstLine="420"/>
        <w:rPr>
          <w:sz w:val="21"/>
          <w:szCs w:val="21"/>
        </w:rPr>
      </w:pPr>
      <w:r>
        <w:rPr>
          <w:rFonts w:hint="eastAsia"/>
          <w:sz w:val="21"/>
          <w:szCs w:val="21"/>
        </w:rPr>
        <w:t>注册地址：深圳市福田区莲花街道福新社区益田路5999号基金大厦21层</w:t>
      </w:r>
    </w:p>
    <w:p>
      <w:pPr>
        <w:pStyle w:val="7"/>
        <w:spacing w:before="0" w:beforeAutospacing="0" w:after="0" w:afterAutospacing="0" w:line="360" w:lineRule="auto"/>
        <w:ind w:firstLine="420"/>
        <w:rPr>
          <w:sz w:val="21"/>
          <w:szCs w:val="21"/>
        </w:rPr>
      </w:pPr>
      <w:r>
        <w:rPr>
          <w:rFonts w:hint="eastAsia"/>
          <w:sz w:val="21"/>
          <w:szCs w:val="21"/>
        </w:rPr>
        <w:t>办公地址：广东省深圳市福田区益田路5999号基金大厦21层</w:t>
      </w:r>
    </w:p>
    <w:p>
      <w:pPr>
        <w:pStyle w:val="7"/>
        <w:spacing w:before="0" w:beforeAutospacing="0" w:after="0" w:afterAutospacing="0" w:line="360" w:lineRule="auto"/>
        <w:ind w:firstLine="420"/>
        <w:rPr>
          <w:sz w:val="21"/>
          <w:szCs w:val="21"/>
        </w:rPr>
      </w:pPr>
      <w:r>
        <w:rPr>
          <w:rFonts w:hint="eastAsia"/>
          <w:sz w:val="21"/>
          <w:szCs w:val="21"/>
        </w:rPr>
        <w:t>邮政编码：518040</w:t>
      </w:r>
    </w:p>
    <w:p>
      <w:pPr>
        <w:pStyle w:val="7"/>
        <w:spacing w:before="0" w:beforeAutospacing="0" w:after="0" w:afterAutospacing="0" w:line="360" w:lineRule="auto"/>
        <w:ind w:firstLine="420"/>
        <w:rPr>
          <w:sz w:val="21"/>
          <w:szCs w:val="21"/>
        </w:rPr>
      </w:pPr>
      <w:r>
        <w:rPr>
          <w:rFonts w:hint="eastAsia"/>
          <w:sz w:val="21"/>
          <w:szCs w:val="21"/>
        </w:rPr>
        <w:t>法定代表人：江向阳</w:t>
      </w:r>
    </w:p>
    <w:p>
      <w:pPr>
        <w:pStyle w:val="7"/>
        <w:spacing w:before="0" w:beforeAutospacing="0" w:after="0" w:afterAutospacing="0" w:line="360" w:lineRule="auto"/>
        <w:ind w:firstLine="420"/>
        <w:rPr>
          <w:sz w:val="21"/>
          <w:szCs w:val="21"/>
        </w:rPr>
      </w:pPr>
      <w:r>
        <w:rPr>
          <w:rFonts w:hint="eastAsia"/>
          <w:sz w:val="21"/>
          <w:szCs w:val="21"/>
        </w:rPr>
        <w:t>成立日期：1998年7月13日</w:t>
      </w:r>
    </w:p>
    <w:p>
      <w:pPr>
        <w:pStyle w:val="7"/>
        <w:spacing w:before="0" w:beforeAutospacing="0" w:after="0" w:afterAutospacing="0" w:line="360" w:lineRule="auto"/>
        <w:ind w:firstLine="420"/>
        <w:rPr>
          <w:sz w:val="21"/>
          <w:szCs w:val="21"/>
        </w:rPr>
      </w:pPr>
      <w:r>
        <w:rPr>
          <w:rFonts w:hint="eastAsia"/>
          <w:sz w:val="21"/>
          <w:szCs w:val="21"/>
        </w:rPr>
        <w:t>批准设立机关及批准设立文号：中国证监会证监基字【1998】26号</w:t>
      </w:r>
    </w:p>
    <w:p>
      <w:pPr>
        <w:pStyle w:val="7"/>
        <w:spacing w:before="0" w:beforeAutospacing="0" w:after="0" w:afterAutospacing="0" w:line="360" w:lineRule="auto"/>
        <w:ind w:firstLine="420"/>
        <w:rPr>
          <w:sz w:val="21"/>
          <w:szCs w:val="21"/>
        </w:rPr>
      </w:pPr>
      <w:r>
        <w:rPr>
          <w:rFonts w:hint="eastAsia"/>
          <w:sz w:val="21"/>
          <w:szCs w:val="21"/>
        </w:rPr>
        <w:t>组织形式：有限责任公司</w:t>
      </w:r>
    </w:p>
    <w:p>
      <w:pPr>
        <w:pStyle w:val="7"/>
        <w:spacing w:before="0" w:beforeAutospacing="0" w:after="0" w:afterAutospacing="0" w:line="360" w:lineRule="auto"/>
        <w:ind w:firstLine="420"/>
        <w:rPr>
          <w:sz w:val="21"/>
          <w:szCs w:val="21"/>
        </w:rPr>
      </w:pPr>
      <w:r>
        <w:rPr>
          <w:rFonts w:hint="eastAsia"/>
          <w:sz w:val="21"/>
          <w:szCs w:val="21"/>
        </w:rPr>
        <w:t>注册资本：2.5亿元人民币</w:t>
      </w:r>
    </w:p>
    <w:p>
      <w:pPr>
        <w:pStyle w:val="7"/>
        <w:spacing w:before="0" w:beforeAutospacing="0" w:after="0" w:afterAutospacing="0" w:line="360" w:lineRule="auto"/>
        <w:ind w:firstLine="420"/>
        <w:rPr>
          <w:sz w:val="21"/>
          <w:szCs w:val="21"/>
        </w:rPr>
      </w:pPr>
      <w:r>
        <w:rPr>
          <w:rFonts w:hint="eastAsia"/>
          <w:sz w:val="21"/>
          <w:szCs w:val="21"/>
        </w:rPr>
        <w:t>存续期间：持续经营</w:t>
      </w:r>
    </w:p>
    <w:p>
      <w:pPr>
        <w:pStyle w:val="7"/>
        <w:spacing w:before="0" w:beforeAutospacing="0" w:after="0" w:afterAutospacing="0" w:line="360" w:lineRule="auto"/>
        <w:ind w:firstLine="420"/>
        <w:rPr>
          <w:sz w:val="21"/>
          <w:szCs w:val="21"/>
        </w:rPr>
      </w:pPr>
      <w:r>
        <w:rPr>
          <w:rFonts w:hint="eastAsia"/>
          <w:sz w:val="21"/>
          <w:szCs w:val="21"/>
        </w:rPr>
        <w:t>经营范围：基金募集；基金销售；资产管理以及中国证监会许可的其它业务</w:t>
      </w:r>
    </w:p>
    <w:p>
      <w:pPr>
        <w:pStyle w:val="7"/>
        <w:spacing w:before="0" w:beforeAutospacing="0" w:after="0" w:afterAutospacing="0" w:line="360" w:lineRule="auto"/>
        <w:ind w:firstLine="420"/>
        <w:rPr>
          <w:sz w:val="21"/>
          <w:szCs w:val="21"/>
        </w:rPr>
      </w:pPr>
      <w:r>
        <w:rPr>
          <w:rFonts w:hint="eastAsia"/>
          <w:sz w:val="21"/>
          <w:szCs w:val="21"/>
        </w:rPr>
        <w:t>（二）基金托管人</w:t>
      </w:r>
    </w:p>
    <w:p>
      <w:pPr>
        <w:pStyle w:val="7"/>
        <w:spacing w:before="0" w:beforeAutospacing="0" w:after="0" w:afterAutospacing="0" w:line="360" w:lineRule="auto"/>
        <w:ind w:firstLine="420"/>
        <w:rPr>
          <w:sz w:val="21"/>
          <w:szCs w:val="21"/>
        </w:rPr>
      </w:pPr>
      <w:r>
        <w:rPr>
          <w:rFonts w:hint="eastAsia"/>
          <w:sz w:val="21"/>
          <w:szCs w:val="21"/>
        </w:rPr>
        <w:t>名称：兴业银行股份有限公司</w:t>
      </w:r>
    </w:p>
    <w:p>
      <w:pPr>
        <w:pStyle w:val="7"/>
        <w:spacing w:before="0" w:beforeAutospacing="0" w:after="0" w:afterAutospacing="0" w:line="360" w:lineRule="auto"/>
        <w:ind w:firstLine="420"/>
        <w:rPr>
          <w:sz w:val="21"/>
          <w:szCs w:val="21"/>
        </w:rPr>
      </w:pPr>
      <w:r>
        <w:rPr>
          <w:rFonts w:hint="eastAsia"/>
          <w:sz w:val="21"/>
          <w:szCs w:val="21"/>
        </w:rPr>
        <w:t>住所：福建省福州市台江区江滨中大道398号兴业银行大厦</w:t>
      </w:r>
    </w:p>
    <w:p>
      <w:pPr>
        <w:pStyle w:val="7"/>
        <w:spacing w:before="0" w:beforeAutospacing="0" w:after="0" w:afterAutospacing="0" w:line="360" w:lineRule="auto"/>
        <w:ind w:firstLine="420"/>
        <w:rPr>
          <w:sz w:val="21"/>
          <w:szCs w:val="21"/>
        </w:rPr>
      </w:pPr>
      <w:r>
        <w:rPr>
          <w:rFonts w:hint="eastAsia"/>
          <w:sz w:val="21"/>
          <w:szCs w:val="21"/>
        </w:rPr>
        <w:t>法定代表人：吕家进</w:t>
      </w:r>
    </w:p>
    <w:p>
      <w:pPr>
        <w:pStyle w:val="7"/>
        <w:spacing w:before="0" w:beforeAutospacing="0" w:after="0" w:afterAutospacing="0" w:line="360" w:lineRule="auto"/>
        <w:ind w:firstLine="420"/>
        <w:rPr>
          <w:sz w:val="21"/>
          <w:szCs w:val="21"/>
        </w:rPr>
      </w:pPr>
      <w:r>
        <w:rPr>
          <w:rFonts w:hint="eastAsia"/>
          <w:sz w:val="21"/>
          <w:szCs w:val="21"/>
        </w:rPr>
        <w:t>成立时间：1988年8月22日</w:t>
      </w:r>
    </w:p>
    <w:p>
      <w:pPr>
        <w:pStyle w:val="7"/>
        <w:spacing w:before="0" w:beforeAutospacing="0" w:after="0" w:afterAutospacing="0" w:line="360" w:lineRule="auto"/>
        <w:ind w:firstLine="420"/>
        <w:rPr>
          <w:sz w:val="21"/>
          <w:szCs w:val="21"/>
        </w:rPr>
      </w:pPr>
      <w:r>
        <w:rPr>
          <w:rFonts w:hint="eastAsia"/>
          <w:sz w:val="21"/>
          <w:szCs w:val="21"/>
        </w:rPr>
        <w:t>基金托管业务批准文号：证监基金字[2005]74号</w:t>
      </w:r>
    </w:p>
    <w:p>
      <w:pPr>
        <w:pStyle w:val="7"/>
        <w:spacing w:before="0" w:beforeAutospacing="0" w:after="0" w:afterAutospacing="0" w:line="360" w:lineRule="auto"/>
        <w:ind w:firstLine="420"/>
        <w:rPr>
          <w:sz w:val="21"/>
          <w:szCs w:val="21"/>
        </w:rPr>
      </w:pPr>
      <w:r>
        <w:rPr>
          <w:rFonts w:hint="eastAsia"/>
          <w:sz w:val="21"/>
          <w:szCs w:val="21"/>
        </w:rPr>
        <w:t>组织形式：股份有限公司</w:t>
      </w:r>
    </w:p>
    <w:p>
      <w:pPr>
        <w:pStyle w:val="7"/>
        <w:spacing w:before="0" w:beforeAutospacing="0" w:after="0" w:afterAutospacing="0" w:line="360" w:lineRule="auto"/>
        <w:ind w:firstLine="420"/>
        <w:rPr>
          <w:sz w:val="21"/>
          <w:szCs w:val="21"/>
        </w:rPr>
      </w:pPr>
      <w:r>
        <w:rPr>
          <w:rFonts w:hint="eastAsia"/>
          <w:sz w:val="21"/>
          <w:szCs w:val="21"/>
        </w:rPr>
        <w:t>注册资本：207.74亿元人民币</w:t>
      </w:r>
    </w:p>
    <w:p>
      <w:pPr>
        <w:pStyle w:val="7"/>
        <w:spacing w:before="0" w:beforeAutospacing="0" w:after="0" w:afterAutospacing="0" w:line="360" w:lineRule="auto"/>
        <w:ind w:firstLine="420"/>
        <w:rPr>
          <w:sz w:val="21"/>
          <w:szCs w:val="21"/>
        </w:rPr>
      </w:pPr>
      <w:r>
        <w:rPr>
          <w:rFonts w:hint="eastAsia"/>
          <w:sz w:val="21"/>
          <w:szCs w:val="21"/>
        </w:rPr>
        <w:t>存续期间：持续经营</w:t>
      </w:r>
    </w:p>
    <w:p>
      <w:pPr>
        <w:pStyle w:val="7"/>
        <w:spacing w:before="0" w:beforeAutospacing="0" w:after="0" w:afterAutospacing="0" w:line="360" w:lineRule="auto"/>
        <w:ind w:firstLine="420"/>
        <w:rPr>
          <w:sz w:val="21"/>
          <w:szCs w:val="21"/>
        </w:rPr>
      </w:pPr>
      <w:r>
        <w:rPr>
          <w:rFonts w:hint="eastAsia"/>
          <w:sz w:val="21"/>
          <w:szCs w:val="21"/>
        </w:rPr>
        <w:t>批准设立机关及批准设立文号:中国人民银行总行,银复[1988]347号</w:t>
      </w:r>
    </w:p>
    <w:p>
      <w:pPr>
        <w:pStyle w:val="7"/>
        <w:spacing w:before="0" w:beforeAutospacing="0" w:after="0" w:afterAutospacing="0" w:line="360" w:lineRule="auto"/>
        <w:ind w:firstLine="420"/>
        <w:rPr>
          <w:sz w:val="21"/>
          <w:szCs w:val="21"/>
        </w:rPr>
      </w:pPr>
      <w:r>
        <w:rPr>
          <w:rFonts w:hint="eastAsia"/>
          <w:sz w:val="21"/>
          <w:szCs w:val="21"/>
        </w:rPr>
        <w:t>经营范围：吸收公众存款；发放短期、中期和长期贷款；办理国内外结算；办理票据承兑与贴现；发行金融债券；代理发行、代理兑付、承销政府债券；买卖政府债券、金融债券；代理发行股票以外的有价证券；买卖、代理买卖股票以外的有价证券；资产托管业务；从事同业拆借；买卖、代理买卖外汇；结汇、售汇业务；从事银行卡业务；提供信用证服务及担保；代理收付款项及代理保险业务；提供保管箱服务；财务顾问、资信调查、咨询、见证业务；经中国银行业监督管理机构批准的其他业务; 保险兼业代理业务；黄金及其制品进出口；公募证券投资基金销售；证券投资基金托管。（依法须经批准的项目，经相关部门批准后方可开展经营活动，经营项目以相关部门批准文件或许可证件为准）</w:t>
      </w:r>
    </w:p>
    <w:p>
      <w:pPr>
        <w:pStyle w:val="7"/>
        <w:spacing w:before="0" w:beforeAutospacing="0" w:after="0" w:afterAutospacing="0" w:line="360" w:lineRule="auto"/>
        <w:ind w:firstLine="420"/>
        <w:rPr>
          <w:sz w:val="21"/>
          <w:szCs w:val="21"/>
        </w:rPr>
      </w:pPr>
      <w:r>
        <w:rPr>
          <w:rFonts w:hint="eastAsia"/>
          <w:sz w:val="21"/>
          <w:szCs w:val="21"/>
        </w:rPr>
        <w:t>电话： 021-62677777</w:t>
      </w:r>
    </w:p>
    <w:p>
      <w:pPr>
        <w:pStyle w:val="7"/>
        <w:spacing w:before="0" w:beforeAutospacing="0" w:after="0" w:afterAutospacing="0" w:line="360" w:lineRule="auto"/>
        <w:ind w:firstLine="420"/>
        <w:rPr>
          <w:sz w:val="21"/>
          <w:szCs w:val="21"/>
        </w:rPr>
      </w:pPr>
      <w:r>
        <w:rPr>
          <w:rFonts w:hint="eastAsia"/>
          <w:sz w:val="21"/>
          <w:szCs w:val="21"/>
        </w:rPr>
        <w:t>传真： 021-62159217</w:t>
      </w:r>
    </w:p>
    <w:p>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pPr>
        <w:pStyle w:val="7"/>
        <w:spacing w:before="0" w:beforeAutospacing="0" w:after="0" w:afterAutospacing="0" w:line="360" w:lineRule="auto"/>
        <w:ind w:firstLine="420"/>
        <w:rPr>
          <w:sz w:val="21"/>
          <w:szCs w:val="21"/>
        </w:rPr>
      </w:pPr>
      <w:r>
        <w:rPr>
          <w:rFonts w:hint="eastAsia"/>
          <w:sz w:val="21"/>
          <w:szCs w:val="21"/>
        </w:rPr>
        <w:t>（一）基金托管人对基金管理人的投资行为行使监督权</w:t>
      </w:r>
    </w:p>
    <w:p>
      <w:pPr>
        <w:pStyle w:val="7"/>
        <w:spacing w:before="0" w:beforeAutospacing="0" w:after="0" w:afterAutospacing="0" w:line="360" w:lineRule="auto"/>
        <w:ind w:firstLine="420"/>
        <w:rPr>
          <w:sz w:val="21"/>
          <w:szCs w:val="21"/>
        </w:rPr>
      </w:pPr>
      <w:r>
        <w:rPr>
          <w:rFonts w:hint="eastAsia"/>
          <w:sz w:val="21"/>
          <w:szCs w:val="21"/>
        </w:rPr>
        <w:t>1、基金托管人根据有关法律法规的规定和《基金合同》的约定，对下述基金投资范围、投资对象进行监督。</w:t>
      </w:r>
    </w:p>
    <w:p>
      <w:pPr>
        <w:pStyle w:val="7"/>
        <w:spacing w:before="0" w:beforeAutospacing="0" w:after="0" w:afterAutospacing="0" w:line="360" w:lineRule="auto"/>
        <w:ind w:firstLine="420"/>
        <w:rPr>
          <w:sz w:val="21"/>
          <w:szCs w:val="21"/>
        </w:rPr>
      </w:pPr>
      <w:r>
        <w:rPr>
          <w:rFonts w:hint="eastAsia"/>
          <w:sz w:val="21"/>
          <w:szCs w:val="21"/>
        </w:rPr>
        <w:t>本基金主要投资于标的指数成份股和备选成份股（含存托凭证）。</w:t>
      </w:r>
    </w:p>
    <w:p>
      <w:pPr>
        <w:pStyle w:val="7"/>
        <w:spacing w:before="0" w:beforeAutospacing="0" w:after="0" w:afterAutospacing="0" w:line="360" w:lineRule="auto"/>
        <w:ind w:firstLine="420"/>
        <w:rPr>
          <w:sz w:val="21"/>
          <w:szCs w:val="21"/>
        </w:rPr>
      </w:pPr>
      <w:r>
        <w:rPr>
          <w:rFonts w:hint="eastAsia"/>
          <w:sz w:val="21"/>
          <w:szCs w:val="21"/>
        </w:rPr>
        <w:t>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可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w:t>
      </w:r>
    </w:p>
    <w:p>
      <w:pPr>
        <w:pStyle w:val="7"/>
        <w:spacing w:before="0" w:beforeAutospacing="0" w:after="0" w:afterAutospacing="0" w:line="360" w:lineRule="auto"/>
        <w:ind w:firstLine="420"/>
        <w:rPr>
          <w:sz w:val="21"/>
          <w:szCs w:val="21"/>
        </w:rPr>
      </w:pPr>
      <w:r>
        <w:rPr>
          <w:rFonts w:hint="eastAsia"/>
          <w:sz w:val="21"/>
          <w:szCs w:val="21"/>
        </w:rPr>
        <w:t>本基金可根据法律法规的规定参与融资及转融通证券出借业务。未来在法律法规允许的前提下，本基金可根据相关法律法规规定参与融券业务。</w:t>
      </w:r>
    </w:p>
    <w:p>
      <w:pPr>
        <w:pStyle w:val="7"/>
        <w:spacing w:before="0" w:beforeAutospacing="0" w:after="0" w:afterAutospacing="0" w:line="360" w:lineRule="auto"/>
        <w:ind w:firstLine="420"/>
        <w:rPr>
          <w:sz w:val="21"/>
          <w:szCs w:val="21"/>
        </w:rPr>
      </w:pPr>
      <w:r>
        <w:rPr>
          <w:rFonts w:hint="eastAsia"/>
          <w:sz w:val="21"/>
          <w:szCs w:val="21"/>
        </w:rPr>
        <w:t>本基金根据相关法律法规或中国证监会要求履行适当程序后，还可以投资于法律法规或中国证监会未来允许基金投资的其他金融工具。</w:t>
      </w:r>
    </w:p>
    <w:p>
      <w:pPr>
        <w:pStyle w:val="7"/>
        <w:spacing w:before="0" w:beforeAutospacing="0" w:after="0" w:afterAutospacing="0" w:line="360" w:lineRule="auto"/>
        <w:ind w:firstLine="420"/>
        <w:rPr>
          <w:sz w:val="21"/>
          <w:szCs w:val="21"/>
        </w:rPr>
      </w:pPr>
      <w:r>
        <w:rPr>
          <w:rFonts w:hint="eastAsia"/>
          <w:sz w:val="21"/>
          <w:szCs w:val="21"/>
        </w:rPr>
        <w:t>本基金的股票资产投资比例不低于基金资产的90%，其中投资于标的指数成份股和备选成份股的资产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w:t>
      </w:r>
    </w:p>
    <w:p>
      <w:pPr>
        <w:pStyle w:val="7"/>
        <w:spacing w:before="0" w:beforeAutospacing="0" w:after="0" w:afterAutospacing="0" w:line="360" w:lineRule="auto"/>
        <w:ind w:firstLine="420"/>
        <w:rPr>
          <w:sz w:val="21"/>
          <w:szCs w:val="21"/>
        </w:rPr>
      </w:pPr>
      <w:r>
        <w:rPr>
          <w:rFonts w:hint="eastAsia"/>
          <w:sz w:val="21"/>
          <w:szCs w:val="21"/>
        </w:rPr>
        <w:t>若法律法规的相关规定发生变更或监管机构允许，本基金管理人在履行适当程序后，可对上述资产配置比例进行调整。</w:t>
      </w:r>
    </w:p>
    <w:p>
      <w:pPr>
        <w:pStyle w:val="7"/>
        <w:spacing w:before="0" w:beforeAutospacing="0" w:after="0" w:afterAutospacing="0" w:line="360" w:lineRule="auto"/>
        <w:ind w:firstLine="420"/>
        <w:rPr>
          <w:sz w:val="21"/>
          <w:szCs w:val="21"/>
        </w:rPr>
      </w:pPr>
      <w:r>
        <w:rPr>
          <w:rFonts w:hint="eastAsia"/>
          <w:sz w:val="21"/>
          <w:szCs w:val="21"/>
        </w:rPr>
        <w:t>2、基金托管人根据有关法律法规的规定及《基金合同》的约定对下述基金投资比例进行监督：</w:t>
      </w:r>
    </w:p>
    <w:p>
      <w:pPr>
        <w:pStyle w:val="7"/>
        <w:spacing w:before="0" w:beforeAutospacing="0" w:after="0" w:afterAutospacing="0" w:line="360" w:lineRule="auto"/>
        <w:ind w:firstLine="420"/>
        <w:rPr>
          <w:sz w:val="21"/>
          <w:szCs w:val="21"/>
        </w:rPr>
      </w:pPr>
      <w:r>
        <w:rPr>
          <w:rFonts w:hint="eastAsia"/>
          <w:sz w:val="21"/>
          <w:szCs w:val="21"/>
        </w:rPr>
        <w:t>按法律法规的规定及《基金合同》的约定，本基金的投资组合比例应符合以下规定：</w:t>
      </w:r>
    </w:p>
    <w:p>
      <w:pPr>
        <w:pStyle w:val="7"/>
        <w:spacing w:before="0" w:beforeAutospacing="0" w:after="0" w:afterAutospacing="0" w:line="360" w:lineRule="auto"/>
        <w:ind w:firstLine="420"/>
        <w:rPr>
          <w:sz w:val="21"/>
          <w:szCs w:val="21"/>
        </w:rPr>
      </w:pPr>
      <w:r>
        <w:rPr>
          <w:rFonts w:hint="eastAsia"/>
          <w:sz w:val="21"/>
          <w:szCs w:val="21"/>
        </w:rPr>
        <w:t>（1）本基金的股票资产投资比例不低于基金资产的90%，其中投资于标的指数成份股和备选成份股的资产不低于非现金基金资产的80%，投资港股通标的股票的比例不超过本基金股票资产的10%；</w:t>
      </w:r>
    </w:p>
    <w:p>
      <w:pPr>
        <w:pStyle w:val="7"/>
        <w:spacing w:before="0" w:beforeAutospacing="0" w:after="0" w:afterAutospacing="0" w:line="360" w:lineRule="auto"/>
        <w:ind w:firstLine="420"/>
        <w:rPr>
          <w:sz w:val="21"/>
          <w:szCs w:val="21"/>
        </w:rPr>
      </w:pPr>
      <w:r>
        <w:rPr>
          <w:rFonts w:hint="eastAsia"/>
          <w:sz w:val="21"/>
          <w:szCs w:val="21"/>
        </w:rPr>
        <w:t>（2）每个交易日日终在扣除股指期货、股票期权和国债期货合约需缴纳的交易保证金后，保持不低于基金资产净值5%的现金或者到期日在一年以内的政府债券，其中现金不包括结算备付金、存出保证金和应收申购款等；</w:t>
      </w:r>
    </w:p>
    <w:p>
      <w:pPr>
        <w:pStyle w:val="7"/>
        <w:spacing w:before="0" w:beforeAutospacing="0" w:after="0" w:afterAutospacing="0" w:line="360" w:lineRule="auto"/>
        <w:ind w:firstLine="420"/>
        <w:rPr>
          <w:sz w:val="21"/>
          <w:szCs w:val="21"/>
        </w:rPr>
      </w:pPr>
      <w:r>
        <w:rPr>
          <w:rFonts w:hint="eastAsia"/>
          <w:sz w:val="21"/>
          <w:szCs w:val="21"/>
        </w:rPr>
        <w:t>（3）本基金资产总值不得超过基金资产净值的140%；</w:t>
      </w:r>
    </w:p>
    <w:p>
      <w:pPr>
        <w:pStyle w:val="7"/>
        <w:spacing w:before="0" w:beforeAutospacing="0" w:after="0" w:afterAutospacing="0" w:line="360" w:lineRule="auto"/>
        <w:ind w:firstLine="420"/>
        <w:rPr>
          <w:sz w:val="21"/>
          <w:szCs w:val="21"/>
        </w:rPr>
      </w:pPr>
      <w:r>
        <w:rPr>
          <w:rFonts w:hint="eastAsia"/>
          <w:sz w:val="21"/>
          <w:szCs w:val="21"/>
        </w:rPr>
        <w:t>（4）本基金投资于同一原始权益人的各类资产支持证券的比例，不得超过基金资产净值的10%；</w:t>
      </w:r>
    </w:p>
    <w:p>
      <w:pPr>
        <w:pStyle w:val="7"/>
        <w:spacing w:before="0" w:beforeAutospacing="0" w:after="0" w:afterAutospacing="0" w:line="360" w:lineRule="auto"/>
        <w:ind w:firstLine="420"/>
        <w:rPr>
          <w:sz w:val="21"/>
          <w:szCs w:val="21"/>
        </w:rPr>
      </w:pPr>
      <w:r>
        <w:rPr>
          <w:rFonts w:hint="eastAsia"/>
          <w:sz w:val="21"/>
          <w:szCs w:val="21"/>
        </w:rPr>
        <w:t>（5）本基金持有的全部资产支持证券，其市值不得超过基金资产净值的20%；</w:t>
      </w:r>
    </w:p>
    <w:p>
      <w:pPr>
        <w:pStyle w:val="7"/>
        <w:spacing w:before="0" w:beforeAutospacing="0" w:after="0" w:afterAutospacing="0" w:line="360" w:lineRule="auto"/>
        <w:ind w:firstLine="420"/>
        <w:rPr>
          <w:sz w:val="21"/>
          <w:szCs w:val="21"/>
        </w:rPr>
      </w:pPr>
      <w:r>
        <w:rPr>
          <w:rFonts w:hint="eastAsia"/>
          <w:sz w:val="21"/>
          <w:szCs w:val="21"/>
        </w:rPr>
        <w:t>（6）本基金持有的同一(指同一信用级别)资产支持证券的比例，不得超过该资产支持证券规模的10%；</w:t>
      </w:r>
    </w:p>
    <w:p>
      <w:pPr>
        <w:pStyle w:val="7"/>
        <w:spacing w:before="0" w:beforeAutospacing="0" w:after="0" w:afterAutospacing="0" w:line="360" w:lineRule="auto"/>
        <w:ind w:firstLine="420"/>
        <w:rPr>
          <w:sz w:val="21"/>
          <w:szCs w:val="21"/>
        </w:rPr>
      </w:pPr>
      <w:r>
        <w:rPr>
          <w:rFonts w:hint="eastAsia"/>
          <w:sz w:val="21"/>
          <w:szCs w:val="21"/>
        </w:rPr>
        <w:t>（7）本基金管理人管理的全部基金投资于同一原始权益人的各类资产支持证券，不得超过其各类资产支持证券合计规模的10%；</w:t>
      </w:r>
    </w:p>
    <w:p>
      <w:pPr>
        <w:pStyle w:val="7"/>
        <w:spacing w:before="0" w:beforeAutospacing="0" w:after="0" w:afterAutospacing="0" w:line="360" w:lineRule="auto"/>
        <w:ind w:firstLine="420"/>
        <w:rPr>
          <w:sz w:val="21"/>
          <w:szCs w:val="21"/>
        </w:rPr>
      </w:pPr>
      <w:r>
        <w:rPr>
          <w:rFonts w:hint="eastAsia"/>
          <w:sz w:val="21"/>
          <w:szCs w:val="21"/>
        </w:rPr>
        <w:t>（8）本基金应投资于信用级别评级为BBB以上(含BBB)的资产支持证券。基金持有资产支持证券期间，如果其信用等级下降、不再符合投资标准，应在评级报告发布之日起3个月内予以全部卖出；</w:t>
      </w:r>
    </w:p>
    <w:p>
      <w:pPr>
        <w:pStyle w:val="7"/>
        <w:spacing w:before="0" w:beforeAutospacing="0" w:after="0" w:afterAutospacing="0" w:line="360" w:lineRule="auto"/>
        <w:ind w:firstLine="420"/>
        <w:rPr>
          <w:sz w:val="21"/>
          <w:szCs w:val="21"/>
        </w:rPr>
      </w:pPr>
      <w:r>
        <w:rPr>
          <w:rFonts w:hint="eastAsia"/>
          <w:sz w:val="21"/>
          <w:szCs w:val="21"/>
        </w:rPr>
        <w:t>（9）基金财产参与股票发行申购，本基金所申报的金额不超过本基金的总资产，本基金所申报的股票数量不超过拟发行股票公司本次发行股票的总量；</w:t>
      </w:r>
    </w:p>
    <w:p>
      <w:pPr>
        <w:pStyle w:val="7"/>
        <w:spacing w:before="0" w:beforeAutospacing="0" w:after="0" w:afterAutospacing="0" w:line="360" w:lineRule="auto"/>
        <w:ind w:firstLine="420"/>
        <w:rPr>
          <w:sz w:val="21"/>
          <w:szCs w:val="21"/>
        </w:rPr>
      </w:pPr>
      <w:r>
        <w:rPr>
          <w:rFonts w:hint="eastAsia"/>
          <w:sz w:val="21"/>
          <w:szCs w:val="21"/>
        </w:rPr>
        <w:t>（10）本基金参与融资的，在任何交易日日终，本基金融资买入股票与其他有价证券市值之和，不得超过基金资产净值的95%；</w:t>
      </w:r>
    </w:p>
    <w:p>
      <w:pPr>
        <w:pStyle w:val="7"/>
        <w:spacing w:before="0" w:beforeAutospacing="0" w:after="0" w:afterAutospacing="0" w:line="360" w:lineRule="auto"/>
        <w:ind w:firstLine="420"/>
        <w:rPr>
          <w:sz w:val="21"/>
          <w:szCs w:val="21"/>
        </w:rPr>
      </w:pPr>
      <w:r>
        <w:rPr>
          <w:rFonts w:hint="eastAsia"/>
          <w:sz w:val="21"/>
          <w:szCs w:val="21"/>
        </w:rPr>
        <w:t>（11）本基金投资于股指期货和国债期货，还应遵循如下投资组合限制：</w:t>
      </w:r>
    </w:p>
    <w:p>
      <w:pPr>
        <w:pStyle w:val="7"/>
        <w:spacing w:before="0" w:beforeAutospacing="0" w:after="0" w:afterAutospacing="0" w:line="360" w:lineRule="auto"/>
        <w:ind w:firstLine="420"/>
        <w:rPr>
          <w:sz w:val="21"/>
          <w:szCs w:val="21"/>
        </w:rPr>
      </w:pPr>
      <w:r>
        <w:rPr>
          <w:rFonts w:hint="eastAsia"/>
          <w:sz w:val="21"/>
          <w:szCs w:val="21"/>
        </w:rPr>
        <w:t>1）在任何交易日日终，本基金持有的买入股指期货合约价值不超过基金资产净值的10%；在任何交易日日终，持有的买入国债期货合约价值，不得超过基金资产净值15%；</w:t>
      </w:r>
    </w:p>
    <w:p>
      <w:pPr>
        <w:pStyle w:val="7"/>
        <w:spacing w:before="0" w:beforeAutospacing="0" w:after="0" w:afterAutospacing="0" w:line="360" w:lineRule="auto"/>
        <w:ind w:firstLine="420"/>
        <w:rPr>
          <w:sz w:val="21"/>
          <w:szCs w:val="21"/>
        </w:rPr>
      </w:pPr>
      <w:r>
        <w:rPr>
          <w:rFonts w:hint="eastAsia"/>
          <w:sz w:val="21"/>
          <w:szCs w:val="21"/>
        </w:rPr>
        <w:t>2）在任何交易日日终，持有的卖出股指期货合约价值不超过基金持有的股票总市值的20%；在任何交易日日终，持有的卖出国债期货合约价值不得超过基金持有的债券总市值的30%；</w:t>
      </w:r>
    </w:p>
    <w:p>
      <w:pPr>
        <w:pStyle w:val="7"/>
        <w:spacing w:before="0" w:beforeAutospacing="0" w:after="0" w:afterAutospacing="0" w:line="360" w:lineRule="auto"/>
        <w:ind w:firstLine="420"/>
        <w:rPr>
          <w:sz w:val="21"/>
          <w:szCs w:val="21"/>
        </w:rPr>
      </w:pPr>
      <w:r>
        <w:rPr>
          <w:rFonts w:hint="eastAsia"/>
          <w:sz w:val="21"/>
          <w:szCs w:val="21"/>
        </w:rPr>
        <w:t>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w:t>
      </w:r>
    </w:p>
    <w:p>
      <w:pPr>
        <w:pStyle w:val="7"/>
        <w:spacing w:before="0" w:beforeAutospacing="0" w:after="0" w:afterAutospacing="0" w:line="360" w:lineRule="auto"/>
        <w:ind w:firstLine="420"/>
        <w:rPr>
          <w:sz w:val="21"/>
          <w:szCs w:val="21"/>
        </w:rPr>
      </w:pPr>
      <w:r>
        <w:rPr>
          <w:rFonts w:hint="eastAsia"/>
          <w:sz w:val="21"/>
          <w:szCs w:val="21"/>
        </w:rPr>
        <w:t>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w:t>
      </w:r>
    </w:p>
    <w:p>
      <w:pPr>
        <w:pStyle w:val="7"/>
        <w:spacing w:before="0" w:beforeAutospacing="0" w:after="0" w:afterAutospacing="0" w:line="360" w:lineRule="auto"/>
        <w:ind w:firstLine="420"/>
        <w:rPr>
          <w:sz w:val="21"/>
          <w:szCs w:val="21"/>
        </w:rPr>
      </w:pPr>
      <w:r>
        <w:rPr>
          <w:rFonts w:hint="eastAsia"/>
          <w:sz w:val="21"/>
          <w:szCs w:val="21"/>
        </w:rPr>
        <w:t>5）本基金在任何交易日内交易（不包括平仓）的股指期货合约的成交金额不得超过上一交易日基金资产净值的20%；在任何交易日内交易（不包括平仓）的国债期货合约的成交金额不得超过上一交易日基金资产净值的30%；</w:t>
      </w:r>
    </w:p>
    <w:p>
      <w:pPr>
        <w:pStyle w:val="7"/>
        <w:spacing w:before="0" w:beforeAutospacing="0" w:after="0" w:afterAutospacing="0" w:line="360" w:lineRule="auto"/>
        <w:ind w:firstLine="420"/>
        <w:rPr>
          <w:sz w:val="21"/>
          <w:szCs w:val="21"/>
        </w:rPr>
      </w:pPr>
      <w:r>
        <w:rPr>
          <w:rFonts w:hint="eastAsia"/>
          <w:sz w:val="21"/>
          <w:szCs w:val="21"/>
        </w:rPr>
        <w:t>（12）本基金投资于股票期权，还应遵循如下投资组合限制：</w:t>
      </w:r>
    </w:p>
    <w:p>
      <w:pPr>
        <w:pStyle w:val="7"/>
        <w:spacing w:before="0" w:beforeAutospacing="0" w:after="0" w:afterAutospacing="0" w:line="360" w:lineRule="auto"/>
        <w:ind w:firstLine="420"/>
        <w:rPr>
          <w:sz w:val="21"/>
          <w:szCs w:val="21"/>
        </w:rPr>
      </w:pPr>
      <w:r>
        <w:rPr>
          <w:rFonts w:hint="eastAsia"/>
          <w:sz w:val="21"/>
          <w:szCs w:val="21"/>
        </w:rPr>
        <w:t>1）因未平仓的期权合约支付和收取的权利金总额不得超过基金资产净值的10%；</w:t>
      </w:r>
    </w:p>
    <w:p>
      <w:pPr>
        <w:pStyle w:val="7"/>
        <w:spacing w:before="0" w:beforeAutospacing="0" w:after="0" w:afterAutospacing="0" w:line="360" w:lineRule="auto"/>
        <w:ind w:firstLine="420"/>
        <w:rPr>
          <w:sz w:val="21"/>
          <w:szCs w:val="21"/>
        </w:rPr>
      </w:pPr>
      <w:r>
        <w:rPr>
          <w:rFonts w:hint="eastAsia"/>
          <w:sz w:val="21"/>
          <w:szCs w:val="21"/>
        </w:rPr>
        <w:t>2）开仓卖出认购期权的，应持有足额标的证券；开仓卖出认沽期权的，应持有合约行权所需的全额现金或交易所规则认可的可冲抵期权保证金的现金等价物；</w:t>
      </w:r>
    </w:p>
    <w:p>
      <w:pPr>
        <w:pStyle w:val="7"/>
        <w:spacing w:before="0" w:beforeAutospacing="0" w:after="0" w:afterAutospacing="0" w:line="360" w:lineRule="auto"/>
        <w:ind w:firstLine="420"/>
        <w:rPr>
          <w:sz w:val="21"/>
          <w:szCs w:val="21"/>
        </w:rPr>
      </w:pPr>
      <w:r>
        <w:rPr>
          <w:rFonts w:hint="eastAsia"/>
          <w:sz w:val="21"/>
          <w:szCs w:val="21"/>
        </w:rPr>
        <w:t>3）未平仓的期权合约面值不得超过基金资产净值的20%。其中，合约面值按照行权价乘以合约乘数计算；</w:t>
      </w:r>
    </w:p>
    <w:p>
      <w:pPr>
        <w:pStyle w:val="7"/>
        <w:spacing w:before="0" w:beforeAutospacing="0" w:after="0" w:afterAutospacing="0" w:line="360" w:lineRule="auto"/>
        <w:ind w:firstLine="420"/>
        <w:rPr>
          <w:sz w:val="21"/>
          <w:szCs w:val="21"/>
        </w:rPr>
      </w:pPr>
      <w:r>
        <w:rPr>
          <w:rFonts w:hint="eastAsia"/>
          <w:sz w:val="21"/>
          <w:szCs w:val="21"/>
        </w:rPr>
        <w:t>（13）本基金参与转融通证券出借业务，需遵守下列投资限制：</w:t>
      </w:r>
    </w:p>
    <w:p>
      <w:pPr>
        <w:pStyle w:val="7"/>
        <w:spacing w:before="0" w:beforeAutospacing="0" w:after="0" w:afterAutospacing="0" w:line="360" w:lineRule="auto"/>
        <w:ind w:firstLine="420"/>
        <w:rPr>
          <w:sz w:val="21"/>
          <w:szCs w:val="21"/>
        </w:rPr>
      </w:pPr>
      <w:r>
        <w:rPr>
          <w:rFonts w:hint="eastAsia"/>
          <w:sz w:val="21"/>
          <w:szCs w:val="21"/>
        </w:rPr>
        <w:t>1）出借证券资产不得超过基金资产净值的30%，出借期限在10 个交易日以上的出借证券应纳入《流动性风险管理规定》所述流动性受限证券的范围；</w:t>
      </w:r>
    </w:p>
    <w:p>
      <w:pPr>
        <w:pStyle w:val="7"/>
        <w:spacing w:before="0" w:beforeAutospacing="0" w:after="0" w:afterAutospacing="0" w:line="360" w:lineRule="auto"/>
        <w:ind w:firstLine="420"/>
        <w:rPr>
          <w:sz w:val="21"/>
          <w:szCs w:val="21"/>
        </w:rPr>
      </w:pPr>
      <w:r>
        <w:rPr>
          <w:rFonts w:hint="eastAsia"/>
          <w:sz w:val="21"/>
          <w:szCs w:val="21"/>
        </w:rPr>
        <w:t>2）参与出借业务的单只证券不得超过本基金持有该证券总量的50%；</w:t>
      </w:r>
    </w:p>
    <w:p>
      <w:pPr>
        <w:pStyle w:val="7"/>
        <w:spacing w:before="0" w:beforeAutospacing="0" w:after="0" w:afterAutospacing="0" w:line="360" w:lineRule="auto"/>
        <w:ind w:firstLine="420"/>
        <w:rPr>
          <w:sz w:val="21"/>
          <w:szCs w:val="21"/>
        </w:rPr>
      </w:pPr>
      <w:r>
        <w:rPr>
          <w:rFonts w:hint="eastAsia"/>
          <w:sz w:val="21"/>
          <w:szCs w:val="21"/>
        </w:rPr>
        <w:t>3）最近6个月内日均基金资产净值不得低于2亿元；</w:t>
      </w:r>
    </w:p>
    <w:p>
      <w:pPr>
        <w:pStyle w:val="7"/>
        <w:spacing w:before="0" w:beforeAutospacing="0" w:after="0" w:afterAutospacing="0" w:line="360" w:lineRule="auto"/>
        <w:ind w:firstLine="420"/>
        <w:rPr>
          <w:sz w:val="21"/>
          <w:szCs w:val="21"/>
        </w:rPr>
      </w:pPr>
      <w:r>
        <w:rPr>
          <w:rFonts w:hint="eastAsia"/>
          <w:sz w:val="21"/>
          <w:szCs w:val="21"/>
        </w:rPr>
        <w:t>4）证券出借的平均剩余期限不得超过30天，平均剩余期限按照市值加权平均计算；</w:t>
      </w:r>
    </w:p>
    <w:p>
      <w:pPr>
        <w:pStyle w:val="7"/>
        <w:spacing w:before="0" w:beforeAutospacing="0" w:after="0" w:afterAutospacing="0" w:line="360" w:lineRule="auto"/>
        <w:ind w:firstLine="420"/>
        <w:rPr>
          <w:sz w:val="21"/>
          <w:szCs w:val="21"/>
        </w:rPr>
      </w:pPr>
      <w:r>
        <w:rPr>
          <w:rFonts w:hint="eastAsia"/>
          <w:sz w:val="21"/>
          <w:szCs w:val="21"/>
        </w:rPr>
        <w:t>因证券市场波动、上市公司合并、基金规模变动等基金管理人之外的因素致使基金投资不符合上述规定的，基金管理人不得新增出借业务；</w:t>
      </w:r>
    </w:p>
    <w:p>
      <w:pPr>
        <w:pStyle w:val="7"/>
        <w:spacing w:before="0" w:beforeAutospacing="0" w:after="0" w:afterAutospacing="0" w:line="360" w:lineRule="auto"/>
        <w:ind w:firstLine="420"/>
        <w:rPr>
          <w:sz w:val="21"/>
          <w:szCs w:val="21"/>
        </w:rPr>
      </w:pPr>
      <w:r>
        <w:rPr>
          <w:rFonts w:hint="eastAsia"/>
          <w:sz w:val="21"/>
          <w:szCs w:val="21"/>
        </w:rPr>
        <w:t>（14）本基金主动投资于流动性受限资产的市值合计不得超过本基金资产净值的15%；</w:t>
      </w:r>
    </w:p>
    <w:p>
      <w:pPr>
        <w:pStyle w:val="7"/>
        <w:spacing w:before="0" w:beforeAutospacing="0" w:after="0" w:afterAutospacing="0" w:line="360" w:lineRule="auto"/>
        <w:ind w:firstLine="420"/>
        <w:rPr>
          <w:sz w:val="21"/>
          <w:szCs w:val="21"/>
        </w:rPr>
      </w:pPr>
      <w:r>
        <w:rPr>
          <w:rFonts w:hint="eastAsia"/>
          <w:sz w:val="21"/>
          <w:szCs w:val="21"/>
        </w:rPr>
        <w:t>因证券市场波动、上市公司股票停牌、基金规模变动等基金管理人之外的因素致使基金不符合该比例限制的，基金管理人不得主动新增流动性受限资产的投资；</w:t>
      </w:r>
    </w:p>
    <w:p>
      <w:pPr>
        <w:pStyle w:val="7"/>
        <w:spacing w:before="0" w:beforeAutospacing="0" w:after="0" w:afterAutospacing="0" w:line="360" w:lineRule="auto"/>
        <w:ind w:firstLine="420"/>
        <w:rPr>
          <w:sz w:val="21"/>
          <w:szCs w:val="21"/>
        </w:rPr>
      </w:pPr>
      <w:r>
        <w:rPr>
          <w:rFonts w:hint="eastAsia"/>
          <w:sz w:val="21"/>
          <w:szCs w:val="21"/>
        </w:rPr>
        <w:t>（15）本基金与私募类证券资管产品及中国证监会认定的其他主体为交易对手开展逆回购交易的，可接受质押品的资质要求应当与基金合同约定的投资范围保持一致；</w:t>
      </w:r>
    </w:p>
    <w:p>
      <w:pPr>
        <w:pStyle w:val="7"/>
        <w:spacing w:before="0" w:beforeAutospacing="0" w:after="0" w:afterAutospacing="0" w:line="360" w:lineRule="auto"/>
        <w:ind w:firstLine="420"/>
        <w:rPr>
          <w:sz w:val="21"/>
          <w:szCs w:val="21"/>
        </w:rPr>
      </w:pPr>
      <w:r>
        <w:rPr>
          <w:rFonts w:hint="eastAsia"/>
          <w:sz w:val="21"/>
          <w:szCs w:val="21"/>
        </w:rPr>
        <w:t>（16）本基金投资存托凭证的比例限制依照境内上市交易的股票执行，与境内上市交易的股票合并计算；</w:t>
      </w:r>
    </w:p>
    <w:p>
      <w:pPr>
        <w:pStyle w:val="7"/>
        <w:spacing w:before="0" w:beforeAutospacing="0" w:after="0" w:afterAutospacing="0" w:line="360" w:lineRule="auto"/>
        <w:ind w:firstLine="420"/>
        <w:rPr>
          <w:sz w:val="21"/>
          <w:szCs w:val="21"/>
        </w:rPr>
      </w:pPr>
      <w:r>
        <w:rPr>
          <w:rFonts w:hint="eastAsia"/>
          <w:sz w:val="21"/>
          <w:szCs w:val="21"/>
        </w:rPr>
        <w:t>（17）相关法律法规以及监管部门规定的和基金合同约定的其它投资比例限制。</w:t>
      </w:r>
    </w:p>
    <w:p>
      <w:pPr>
        <w:pStyle w:val="7"/>
        <w:spacing w:before="0" w:beforeAutospacing="0" w:after="0" w:afterAutospacing="0" w:line="360" w:lineRule="auto"/>
        <w:ind w:firstLine="420"/>
        <w:rPr>
          <w:sz w:val="21"/>
          <w:szCs w:val="21"/>
        </w:rPr>
      </w:pPr>
      <w:r>
        <w:rPr>
          <w:rFonts w:hint="eastAsia"/>
          <w:sz w:val="21"/>
          <w:szCs w:val="21"/>
        </w:rPr>
        <w:t>除上述第（2）、（8）、（13）、（14）、（15）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pPr>
        <w:pStyle w:val="7"/>
        <w:spacing w:before="0" w:beforeAutospacing="0" w:after="0" w:afterAutospacing="0" w:line="360" w:lineRule="auto"/>
        <w:ind w:firstLine="420"/>
        <w:rPr>
          <w:sz w:val="21"/>
          <w:szCs w:val="21"/>
        </w:rPr>
      </w:pPr>
      <w:r>
        <w:rPr>
          <w:rFonts w:hint="eastAsia"/>
          <w:sz w:val="21"/>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pStyle w:val="7"/>
        <w:spacing w:before="0" w:beforeAutospacing="0" w:after="0" w:afterAutospacing="0" w:line="360" w:lineRule="auto"/>
        <w:ind w:firstLine="420"/>
        <w:rPr>
          <w:sz w:val="21"/>
          <w:szCs w:val="21"/>
        </w:rPr>
      </w:pPr>
      <w:r>
        <w:rPr>
          <w:rFonts w:hint="eastAsia"/>
          <w:sz w:val="21"/>
          <w:szCs w:val="21"/>
        </w:rPr>
        <w:t>法律法规或监管部门取消或变更上述限制，如适用于本基金，基金管理人在履行适当程序后，则本基金投资不再受相关限制，或以变更后的规定为准。</w:t>
      </w:r>
    </w:p>
    <w:p>
      <w:pPr>
        <w:pStyle w:val="7"/>
        <w:spacing w:before="0" w:beforeAutospacing="0" w:after="0" w:afterAutospacing="0" w:line="360" w:lineRule="auto"/>
        <w:ind w:firstLine="420"/>
        <w:rPr>
          <w:sz w:val="21"/>
          <w:szCs w:val="21"/>
        </w:rPr>
      </w:pPr>
      <w:r>
        <w:rPr>
          <w:rFonts w:hint="eastAsia"/>
          <w:sz w:val="21"/>
          <w:szCs w:val="21"/>
        </w:rPr>
        <w:t>3、基金托管人根据有关法律法规的规定及《基金合同》的约定，对下述基金投资禁止行为进行监督。基金托管人通过事后监督方式对基金管理人基金投资禁止行为进行监督。 </w:t>
      </w:r>
    </w:p>
    <w:p>
      <w:pPr>
        <w:pStyle w:val="7"/>
        <w:spacing w:before="0" w:beforeAutospacing="0" w:after="0" w:afterAutospacing="0" w:line="360" w:lineRule="auto"/>
        <w:ind w:firstLine="420"/>
        <w:rPr>
          <w:sz w:val="21"/>
          <w:szCs w:val="21"/>
        </w:rPr>
      </w:pPr>
      <w:r>
        <w:rPr>
          <w:rFonts w:hint="eastAsia"/>
          <w:sz w:val="21"/>
          <w:szCs w:val="21"/>
        </w:rPr>
        <w:t>（1）承销证券；</w:t>
      </w:r>
    </w:p>
    <w:p>
      <w:pPr>
        <w:pStyle w:val="7"/>
        <w:spacing w:before="0" w:beforeAutospacing="0" w:after="0" w:afterAutospacing="0" w:line="360" w:lineRule="auto"/>
        <w:ind w:firstLine="420"/>
        <w:rPr>
          <w:sz w:val="21"/>
          <w:szCs w:val="21"/>
        </w:rPr>
      </w:pPr>
      <w:r>
        <w:rPr>
          <w:rFonts w:hint="eastAsia"/>
          <w:sz w:val="21"/>
          <w:szCs w:val="21"/>
        </w:rPr>
        <w:t>（2）违反规定向他人贷款或者提供担保；</w:t>
      </w:r>
    </w:p>
    <w:p>
      <w:pPr>
        <w:pStyle w:val="7"/>
        <w:spacing w:before="0" w:beforeAutospacing="0" w:after="0" w:afterAutospacing="0" w:line="360" w:lineRule="auto"/>
        <w:ind w:firstLine="420"/>
        <w:rPr>
          <w:sz w:val="21"/>
          <w:szCs w:val="21"/>
        </w:rPr>
      </w:pPr>
      <w:r>
        <w:rPr>
          <w:rFonts w:hint="eastAsia"/>
          <w:sz w:val="21"/>
          <w:szCs w:val="21"/>
        </w:rPr>
        <w:t>（3）从事承担无限责任的投资；</w:t>
      </w:r>
    </w:p>
    <w:p>
      <w:pPr>
        <w:pStyle w:val="7"/>
        <w:spacing w:before="0" w:beforeAutospacing="0" w:after="0" w:afterAutospacing="0" w:line="360" w:lineRule="auto"/>
        <w:ind w:firstLine="420"/>
        <w:rPr>
          <w:sz w:val="21"/>
          <w:szCs w:val="21"/>
        </w:rPr>
      </w:pPr>
      <w:r>
        <w:rPr>
          <w:rFonts w:hint="eastAsia"/>
          <w:sz w:val="21"/>
          <w:szCs w:val="21"/>
        </w:rPr>
        <w:t>（4）买卖其他基金份额，但是中国证监会另有规定的除外；</w:t>
      </w:r>
    </w:p>
    <w:p>
      <w:pPr>
        <w:pStyle w:val="7"/>
        <w:spacing w:before="0" w:beforeAutospacing="0" w:after="0" w:afterAutospacing="0" w:line="360" w:lineRule="auto"/>
        <w:ind w:firstLine="420"/>
        <w:rPr>
          <w:sz w:val="21"/>
          <w:szCs w:val="21"/>
        </w:rPr>
      </w:pPr>
      <w:r>
        <w:rPr>
          <w:rFonts w:hint="eastAsia"/>
          <w:sz w:val="21"/>
          <w:szCs w:val="21"/>
        </w:rPr>
        <w:t>（5）向其基金管理人、基金托管人出资；</w:t>
      </w:r>
    </w:p>
    <w:p>
      <w:pPr>
        <w:pStyle w:val="7"/>
        <w:spacing w:before="0" w:beforeAutospacing="0" w:after="0" w:afterAutospacing="0" w:line="360" w:lineRule="auto"/>
        <w:ind w:firstLine="420"/>
        <w:rPr>
          <w:sz w:val="21"/>
          <w:szCs w:val="21"/>
        </w:rPr>
      </w:pPr>
      <w:r>
        <w:rPr>
          <w:rFonts w:hint="eastAsia"/>
          <w:sz w:val="21"/>
          <w:szCs w:val="21"/>
        </w:rPr>
        <w:t>（6）从事内幕交易、操纵证券交易价格及其他不正当的证券交易活动；</w:t>
      </w:r>
    </w:p>
    <w:p>
      <w:pPr>
        <w:pStyle w:val="7"/>
        <w:spacing w:before="0" w:beforeAutospacing="0" w:after="0" w:afterAutospacing="0" w:line="360" w:lineRule="auto"/>
        <w:ind w:firstLine="420"/>
        <w:rPr>
          <w:sz w:val="21"/>
          <w:szCs w:val="21"/>
        </w:rPr>
      </w:pPr>
      <w:r>
        <w:rPr>
          <w:rFonts w:hint="eastAsia"/>
          <w:sz w:val="21"/>
          <w:szCs w:val="21"/>
        </w:rPr>
        <w:t>（7）法律、行政法规和中国证监会规定禁止的其他活动。</w:t>
      </w:r>
    </w:p>
    <w:p>
      <w:pPr>
        <w:pStyle w:val="7"/>
        <w:spacing w:before="0" w:beforeAutospacing="0" w:after="0" w:afterAutospacing="0" w:line="360" w:lineRule="auto"/>
        <w:ind w:firstLine="420"/>
        <w:rPr>
          <w:sz w:val="21"/>
          <w:szCs w:val="21"/>
        </w:rPr>
      </w:pPr>
      <w:r>
        <w:rPr>
          <w:rFonts w:hint="eastAsia"/>
          <w:sz w:val="21"/>
          <w:szCs w:val="21"/>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pStyle w:val="7"/>
        <w:spacing w:before="0" w:beforeAutospacing="0" w:after="0" w:afterAutospacing="0" w:line="360" w:lineRule="auto"/>
        <w:ind w:firstLine="420"/>
        <w:rPr>
          <w:sz w:val="21"/>
          <w:szCs w:val="21"/>
        </w:rPr>
      </w:pPr>
      <w:r>
        <w:rPr>
          <w:rFonts w:hint="eastAsia"/>
          <w:sz w:val="21"/>
          <w:szCs w:val="21"/>
        </w:rPr>
        <w:t>法律、行政法规或监管部门取消或变更上述规定，在履行适当程序后，则本基金投资不再受相关限制或以变更后的规定为准。</w:t>
      </w:r>
    </w:p>
    <w:p>
      <w:pPr>
        <w:pStyle w:val="7"/>
        <w:spacing w:before="0" w:beforeAutospacing="0" w:after="0" w:afterAutospacing="0" w:line="360" w:lineRule="auto"/>
        <w:ind w:firstLine="420"/>
        <w:rPr>
          <w:sz w:val="21"/>
          <w:szCs w:val="21"/>
        </w:rPr>
      </w:pPr>
      <w:r>
        <w:rPr>
          <w:rFonts w:hint="eastAsia"/>
          <w:sz w:val="21"/>
          <w:szCs w:val="21"/>
        </w:rPr>
        <w:t>（二）根据法律法规有关基金从事的关联交易的规定，基金管理人和基金托管人应事先相互提供与本机构有控股关系的股东、实际控制人或者与其有其他重大利害关系的公司名单及有关关联方发行的证券名单，加盖公章并书面提交，并确保所提供的关联交易名单的真实性、完整性、全面性。基金管理人及基金托管人有责任保管真实、完整、全面的关联交易名单，并负责及时更新该名单。名单变更后基金管理人或基金托管人应及时发送另一方，另一方于2个工作日内进行回函确认已知名单的变更。一方收到另一方书面确认后，新的关联交易名单开始生效。</w:t>
      </w:r>
    </w:p>
    <w:p>
      <w:pPr>
        <w:pStyle w:val="7"/>
        <w:spacing w:before="0" w:beforeAutospacing="0" w:after="0" w:afterAutospacing="0" w:line="360" w:lineRule="auto"/>
        <w:ind w:firstLine="420"/>
        <w:rPr>
          <w:sz w:val="21"/>
          <w:szCs w:val="21"/>
        </w:rPr>
      </w:pPr>
      <w:r>
        <w:rPr>
          <w:rFonts w:hint="eastAsia"/>
          <w:sz w:val="21"/>
          <w:szCs w:val="21"/>
        </w:rPr>
        <w:t>（三）基金托管人根据有关法律法规的规定及基金合同的约定，对基金管理人参与银行间债券市场进行监督。</w:t>
      </w:r>
    </w:p>
    <w:p>
      <w:pPr>
        <w:pStyle w:val="7"/>
        <w:spacing w:before="0" w:beforeAutospacing="0" w:after="0" w:afterAutospacing="0" w:line="360" w:lineRule="auto"/>
        <w:ind w:firstLine="420"/>
        <w:rPr>
          <w:sz w:val="21"/>
          <w:szCs w:val="21"/>
        </w:rPr>
      </w:pPr>
      <w:r>
        <w:rPr>
          <w:rFonts w:hint="eastAsia"/>
          <w:sz w:val="21"/>
          <w:szCs w:val="21"/>
        </w:rPr>
        <w:t>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如基金管理人在基金投资运作之前未向基金托管人提供银行间债券市场交易对手名单的，视为基金管理人认可全市场交易对手。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w:t>
      </w:r>
    </w:p>
    <w:p>
      <w:pPr>
        <w:pStyle w:val="7"/>
        <w:spacing w:before="0" w:beforeAutospacing="0" w:after="0" w:afterAutospacing="0" w:line="360" w:lineRule="auto"/>
        <w:ind w:firstLine="420"/>
        <w:rPr>
          <w:sz w:val="21"/>
          <w:szCs w:val="21"/>
        </w:rPr>
      </w:pPr>
      <w:r>
        <w:rPr>
          <w:rFonts w:hint="eastAsia"/>
          <w:sz w:val="21"/>
          <w:szCs w:val="21"/>
        </w:rPr>
        <w:t>基金管理人负责对交易对手的资信控制，按银行间债券市场的交易规则进行交易，基金托管人不承担由此造成的相应法律责任及损失。若未履约的交易对手在基金托管人与基金管理人确定的时间前仍未承担违约责任及其他相关法律责任的，基金管理人有权向相关交易对手追偿，基金托管人应予以必要的协助与配合。基金托管人根据银行间债券市场成交单对本基金银行间债券交易的交易对手及其结算方式进行监督。如基金托管人事后发现基金管理人没有按照事先约定的交易对手或交易方式进行交易时，基金托管人应及时书面或以双方认可的其他方式提醒基金管理人，经提醒后仍未改正时造成基金财产损失的，基金托管人不承担由此造成的相应损失和责任。如果基金托管人未能切实履行监督职责，导致基金出现风险或造成基金资产损失的，基金托管人应承担相应责任。</w:t>
      </w:r>
    </w:p>
    <w:p>
      <w:pPr>
        <w:pStyle w:val="7"/>
        <w:spacing w:before="0" w:beforeAutospacing="0" w:after="0" w:afterAutospacing="0" w:line="360" w:lineRule="auto"/>
        <w:ind w:firstLine="420"/>
        <w:rPr>
          <w:sz w:val="21"/>
          <w:szCs w:val="21"/>
        </w:rPr>
      </w:pPr>
      <w:r>
        <w:rPr>
          <w:rFonts w:hint="eastAsia"/>
          <w:sz w:val="21"/>
          <w:szCs w:val="21"/>
        </w:rPr>
        <w:t>（四）基金管理人、基金托管人应当与存款银行建立定期对账机制，确保基金银行存款业务账目及核算的真实、准确。基金管理人应当按照有关法规规定，与基金托管人、存款机构签订相关书面协议。基金托管人应根据有关相关法规及协议对基金银行存款业务进行监督与核查，严格审查、复核相关协议、账户资料、投资指令、存款证实书等有关文件，切实履行托管职责。</w:t>
      </w:r>
    </w:p>
    <w:p>
      <w:pPr>
        <w:pStyle w:val="7"/>
        <w:spacing w:before="0" w:beforeAutospacing="0" w:after="0" w:afterAutospacing="0" w:line="360" w:lineRule="auto"/>
        <w:ind w:firstLine="420"/>
        <w:rPr>
          <w:sz w:val="21"/>
          <w:szCs w:val="21"/>
        </w:rPr>
      </w:pPr>
      <w:r>
        <w:rPr>
          <w:rFonts w:hint="eastAsia"/>
          <w:sz w:val="21"/>
          <w:szCs w:val="21"/>
        </w:rPr>
        <w:t>基金管理人与基金托管人在开展基金存款业务时，应严格遵守《基金法》、《运作办法》等有关法律法规，以及国家有关账户管理、利率管理、支付结算等的各项规定。</w:t>
      </w:r>
    </w:p>
    <w:p>
      <w:pPr>
        <w:pStyle w:val="7"/>
        <w:spacing w:before="0" w:beforeAutospacing="0" w:after="0" w:afterAutospacing="0" w:line="360" w:lineRule="auto"/>
        <w:ind w:firstLine="420"/>
        <w:rPr>
          <w:sz w:val="21"/>
          <w:szCs w:val="21"/>
        </w:rPr>
      </w:pPr>
      <w:r>
        <w:rPr>
          <w:rFonts w:hint="eastAsia"/>
          <w:sz w:val="21"/>
          <w:szCs w:val="21"/>
        </w:rPr>
        <w:t>基金投资银行存款的，基金管理人应根据法律法规的规定及基金合同的约定，确定符合条件的所有存款银行的名单，并及时提供给基金托管人，基金托管人应据以对基金投资银行存款的交易对手是否符合有关规定进行监督。如基金管理人在基金投资运作之前未向基金托管人提供存款银行名单的，视为基金管理人认可所有银行。</w:t>
      </w:r>
    </w:p>
    <w:p>
      <w:pPr>
        <w:pStyle w:val="7"/>
        <w:spacing w:before="0" w:beforeAutospacing="0" w:after="0" w:afterAutospacing="0" w:line="360" w:lineRule="auto"/>
        <w:ind w:firstLine="420"/>
        <w:rPr>
          <w:sz w:val="21"/>
          <w:szCs w:val="21"/>
        </w:rPr>
      </w:pPr>
      <w:r>
        <w:rPr>
          <w:rFonts w:hint="eastAsia"/>
          <w:sz w:val="21"/>
          <w:szCs w:val="21"/>
        </w:rPr>
        <w:t>基金托管人不对定期存款提前支取的损失承担责任。</w:t>
      </w:r>
    </w:p>
    <w:p>
      <w:pPr>
        <w:pStyle w:val="7"/>
        <w:spacing w:before="0" w:beforeAutospacing="0" w:after="0" w:afterAutospacing="0" w:line="360" w:lineRule="auto"/>
        <w:ind w:firstLine="420"/>
        <w:rPr>
          <w:sz w:val="21"/>
          <w:szCs w:val="21"/>
        </w:rPr>
      </w:pPr>
      <w:r>
        <w:rPr>
          <w:rFonts w:hint="eastAsia"/>
          <w:sz w:val="21"/>
          <w:szCs w:val="21"/>
        </w:rPr>
        <w:t>（五）基金托管人根据有关法律法规的规定及基金合同的约定，对基金参与转融通证券出借业务进行监督。</w:t>
      </w:r>
    </w:p>
    <w:p>
      <w:pPr>
        <w:pStyle w:val="7"/>
        <w:spacing w:before="0" w:beforeAutospacing="0" w:after="0" w:afterAutospacing="0" w:line="360" w:lineRule="auto"/>
        <w:ind w:firstLine="420"/>
        <w:rPr>
          <w:sz w:val="21"/>
          <w:szCs w:val="21"/>
        </w:rPr>
      </w:pPr>
      <w:r>
        <w:rPr>
          <w:rFonts w:hint="eastAsia"/>
          <w:sz w:val="21"/>
          <w:szCs w:val="21"/>
        </w:rPr>
        <w:t>基金管理人运用基金财产参与转融通证券出借业务，应当遵守审慎经营原则，配备技术系统和专业人员，制定科学合理的投资策略和风险管理制度，完善业务流程，有效防范和控制风险，切实维护基金财产的安全和基金份额持有人合法权益。基金托管人应当加强对基金参与转融通证券出借业务的监督和复核，切实维护基金财产的安全和基金份额持有人合法权益。</w:t>
      </w:r>
    </w:p>
    <w:p>
      <w:pPr>
        <w:pStyle w:val="7"/>
        <w:spacing w:before="0" w:beforeAutospacing="0" w:after="0" w:afterAutospacing="0" w:line="360" w:lineRule="auto"/>
        <w:ind w:firstLine="420"/>
        <w:rPr>
          <w:sz w:val="21"/>
          <w:szCs w:val="21"/>
        </w:rPr>
      </w:pPr>
      <w:r>
        <w:rPr>
          <w:rFonts w:hint="eastAsia"/>
          <w:sz w:val="21"/>
          <w:szCs w:val="21"/>
        </w:rPr>
        <w:t>（六）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pPr>
        <w:pStyle w:val="7"/>
        <w:spacing w:before="0" w:beforeAutospacing="0" w:after="0" w:afterAutospacing="0" w:line="360" w:lineRule="auto"/>
        <w:ind w:firstLine="420"/>
        <w:rPr>
          <w:sz w:val="21"/>
          <w:szCs w:val="21"/>
        </w:rPr>
      </w:pPr>
      <w:r>
        <w:rPr>
          <w:rFonts w:hint="eastAsia"/>
          <w:sz w:val="21"/>
          <w:szCs w:val="21"/>
        </w:rPr>
        <w:t>（七）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如果基金托管人未能切实履行监督职责，导致基金出现风险或造成基金资产损失的，基金托管人应承担相应责任。</w:t>
      </w:r>
    </w:p>
    <w:p>
      <w:pPr>
        <w:pStyle w:val="7"/>
        <w:spacing w:before="0" w:beforeAutospacing="0" w:after="0" w:afterAutospacing="0" w:line="360" w:lineRule="auto"/>
        <w:ind w:firstLine="420"/>
        <w:rPr>
          <w:sz w:val="21"/>
          <w:szCs w:val="21"/>
        </w:rPr>
      </w:pPr>
      <w:r>
        <w:rPr>
          <w:rFonts w:hint="eastAsia"/>
          <w:sz w:val="21"/>
          <w:szCs w:val="21"/>
        </w:rPr>
        <w:t>（八）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pPr>
        <w:pStyle w:val="7"/>
        <w:spacing w:before="0" w:beforeAutospacing="0" w:after="0" w:afterAutospacing="0" w:line="360" w:lineRule="auto"/>
        <w:ind w:firstLine="420"/>
        <w:rPr>
          <w:sz w:val="21"/>
          <w:szCs w:val="21"/>
        </w:rPr>
      </w:pPr>
      <w:r>
        <w:rPr>
          <w:rFonts w:hint="eastAsia"/>
          <w:sz w:val="21"/>
          <w:szCs w:val="21"/>
        </w:rPr>
        <w:t>（九）若基金托管人发现基金管理人依据交易程序已经生效的指令违反法律、行政法规和其他有关规定，或者违反基金合同约定的，应当立即以书面或以双方认可的其他方式通知基金管理人，由此造成的相应损失由基金管理人承担。</w:t>
      </w:r>
    </w:p>
    <w:p>
      <w:pPr>
        <w:pStyle w:val="7"/>
        <w:spacing w:before="0" w:beforeAutospacing="0" w:after="0" w:afterAutospacing="0" w:line="360" w:lineRule="auto"/>
        <w:ind w:firstLine="420"/>
        <w:rPr>
          <w:sz w:val="21"/>
          <w:szCs w:val="21"/>
        </w:rPr>
      </w:pPr>
      <w:r>
        <w:rPr>
          <w:rFonts w:hint="eastAsia"/>
          <w:sz w:val="21"/>
          <w:szCs w:val="21"/>
        </w:rPr>
        <w:t>（十）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pPr>
        <w:pStyle w:val="7"/>
        <w:spacing w:before="0" w:beforeAutospacing="0" w:after="0" w:afterAutospacing="0" w:line="360" w:lineRule="auto"/>
        <w:ind w:firstLine="420"/>
        <w:rPr>
          <w:sz w:val="21"/>
          <w:szCs w:val="21"/>
        </w:rPr>
      </w:pPr>
      <w:r>
        <w:rPr>
          <w:rFonts w:hint="eastAsia"/>
          <w:sz w:val="21"/>
          <w:szCs w:val="21"/>
        </w:rPr>
        <w:t>（十一）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pPr>
        <w:pStyle w:val="7"/>
        <w:spacing w:before="0" w:beforeAutospacing="0" w:after="0" w:afterAutospacing="0" w:line="360" w:lineRule="auto"/>
        <w:ind w:firstLine="420"/>
        <w:rPr>
          <w:sz w:val="21"/>
          <w:szCs w:val="21"/>
        </w:rPr>
      </w:pPr>
      <w:r>
        <w:rPr>
          <w:rFonts w:hint="eastAsia"/>
          <w:sz w:val="21"/>
          <w:szCs w:val="21"/>
        </w:rPr>
        <w:t>基金托管人依照相关法律法规的规定和基金合同的约定，对侧袋机制启用、特定资产处置和信息披露等方面进行复核和监督。侧袋机制实施期间的具体规则依照相关法律法规的规定和基金合同的约定执行。</w:t>
      </w:r>
    </w:p>
    <w:p>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pPr>
        <w:pStyle w:val="7"/>
        <w:spacing w:before="0" w:beforeAutospacing="0" w:after="0" w:afterAutospacing="0" w:line="360" w:lineRule="auto"/>
        <w:ind w:firstLine="420"/>
        <w:rPr>
          <w:sz w:val="21"/>
          <w:szCs w:val="21"/>
        </w:rPr>
      </w:pPr>
      <w:r>
        <w:rPr>
          <w:rFonts w:hint="eastAsia"/>
          <w:sz w:val="21"/>
          <w:szCs w:val="21"/>
        </w:rPr>
        <w:t>根据有关法律法规、《基金合同》及本协议规定，基金管理人对基金托管人履行托管职责情况进行核查，核查事项包括但不限于基金托管人安全保管基金财产、开设基金财产的资金账户、证券账户及投资所需的其他账户、复核基金管理人计算的基金资产净值和基金份额净值、根据基金管理人指令办理清算交收、相关信息披露和监督基金投资运作等行为。</w:t>
      </w:r>
    </w:p>
    <w:p>
      <w:pPr>
        <w:pStyle w:val="7"/>
        <w:spacing w:before="0" w:beforeAutospacing="0" w:after="0" w:afterAutospacing="0" w:line="360" w:lineRule="auto"/>
        <w:ind w:firstLine="420"/>
        <w:rPr>
          <w:sz w:val="21"/>
          <w:szCs w:val="21"/>
        </w:rPr>
      </w:pPr>
      <w:r>
        <w:rPr>
          <w:rFonts w:hint="eastAsia"/>
          <w:sz w:val="21"/>
          <w:szCs w:val="21"/>
        </w:rPr>
        <w:t>基金管理人发现基金托管人擅自挪用基金财产、未对基金财产实行分账管理、无故未执行或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说明违规原因及纠正期限，并保证在规定期限内及时改正。在限期内，基金管理人有权随时对通知事项进行复查，督促基金托管人改正，并予协助配合。基金托管人对基金管理人通知的违规事项未能在限期内纠正的，基金管理人应报告中国证监会。基金管理人有义务要求基金托管人赔偿基金因此所遭受的损失。</w:t>
      </w:r>
    </w:p>
    <w:p>
      <w:pPr>
        <w:pStyle w:val="7"/>
        <w:spacing w:before="0" w:beforeAutospacing="0" w:after="0" w:afterAutospacing="0" w:line="360" w:lineRule="auto"/>
        <w:ind w:firstLine="420"/>
        <w:rPr>
          <w:sz w:val="21"/>
          <w:szCs w:val="21"/>
        </w:rPr>
      </w:pPr>
      <w:r>
        <w:rPr>
          <w:rFonts w:hint="eastAsia"/>
          <w:sz w:val="21"/>
          <w:szCs w:val="21"/>
        </w:rPr>
        <w:t>基金管理人发现基金托管人有重大违规行为，应立即报告中国证监会和银行业监督管理机构，同时通知基金托管人限期纠正。</w:t>
      </w:r>
    </w:p>
    <w:p>
      <w:pPr>
        <w:pStyle w:val="7"/>
        <w:spacing w:before="0" w:beforeAutospacing="0" w:after="0" w:afterAutospacing="0" w:line="360" w:lineRule="auto"/>
        <w:ind w:firstLine="420"/>
        <w:rPr>
          <w:sz w:val="21"/>
          <w:szCs w:val="21"/>
        </w:rPr>
      </w:pPr>
      <w:r>
        <w:rPr>
          <w:rFonts w:hint="eastAsia"/>
          <w:sz w:val="21"/>
          <w:szCs w:val="21"/>
        </w:rPr>
        <w:t>基金管理人基于正当合理理由可定期和不定期地对基金托管人保管的基金财产进行核查。基金托管人应积极配合基金管理人的核查行为，包括但不限于：提交相关资料以供基金管理人核查托管财产的完整性和真实性，在规定时间内答复基金管理人并改正。</w:t>
      </w:r>
    </w:p>
    <w:p>
      <w:pPr>
        <w:pStyle w:val="7"/>
        <w:spacing w:before="0" w:beforeAutospacing="0" w:after="0" w:afterAutospacing="0" w:line="360" w:lineRule="auto"/>
        <w:ind w:firstLine="420"/>
        <w:rPr>
          <w:sz w:val="21"/>
          <w:szCs w:val="21"/>
        </w:rPr>
      </w:pPr>
      <w:r>
        <w:rPr>
          <w:rFonts w:hint="eastAsia"/>
          <w:sz w:val="21"/>
          <w:szCs w:val="21"/>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pPr>
        <w:pStyle w:val="7"/>
        <w:spacing w:before="0" w:beforeAutospacing="0" w:after="0" w:afterAutospacing="0" w:line="360" w:lineRule="auto"/>
        <w:ind w:firstLine="420"/>
        <w:rPr>
          <w:sz w:val="21"/>
          <w:szCs w:val="21"/>
        </w:rPr>
      </w:pPr>
      <w:r>
        <w:rPr>
          <w:rStyle w:val="11"/>
          <w:rFonts w:hint="eastAsia"/>
          <w:sz w:val="21"/>
          <w:szCs w:val="21"/>
        </w:rPr>
        <w:t>四、基金财产的保管</w:t>
      </w:r>
    </w:p>
    <w:p>
      <w:pPr>
        <w:pStyle w:val="7"/>
        <w:spacing w:before="0" w:beforeAutospacing="0" w:after="0" w:afterAutospacing="0" w:line="360" w:lineRule="auto"/>
        <w:ind w:firstLine="420"/>
        <w:rPr>
          <w:sz w:val="21"/>
          <w:szCs w:val="21"/>
        </w:rPr>
      </w:pPr>
      <w:r>
        <w:rPr>
          <w:rFonts w:hint="eastAsia"/>
          <w:sz w:val="21"/>
          <w:szCs w:val="21"/>
        </w:rPr>
        <w:t>（一）基金财产保管的原则</w:t>
      </w:r>
    </w:p>
    <w:p>
      <w:pPr>
        <w:pStyle w:val="7"/>
        <w:spacing w:before="0" w:beforeAutospacing="0" w:after="0" w:afterAutospacing="0" w:line="360" w:lineRule="auto"/>
        <w:ind w:firstLine="420"/>
        <w:rPr>
          <w:sz w:val="21"/>
          <w:szCs w:val="21"/>
        </w:rPr>
      </w:pPr>
      <w:r>
        <w:rPr>
          <w:rFonts w:hint="eastAsia"/>
          <w:sz w:val="21"/>
          <w:szCs w:val="21"/>
        </w:rPr>
        <w:t>1、基金财产应独立于基金管理人、基金托管人的固有财产。</w:t>
      </w:r>
    </w:p>
    <w:p>
      <w:pPr>
        <w:pStyle w:val="7"/>
        <w:spacing w:before="0" w:beforeAutospacing="0" w:after="0" w:afterAutospacing="0" w:line="360" w:lineRule="auto"/>
        <w:ind w:firstLine="420"/>
        <w:rPr>
          <w:sz w:val="21"/>
          <w:szCs w:val="21"/>
        </w:rPr>
      </w:pPr>
      <w:r>
        <w:rPr>
          <w:rFonts w:hint="eastAsia"/>
          <w:sz w:val="21"/>
          <w:szCs w:val="21"/>
        </w:rPr>
        <w:t>2、基金托管人应安全保管基金财产。未经基金管理人的正当指令，不得自行运用、处分、分配基金的任何财产。</w:t>
      </w:r>
    </w:p>
    <w:p>
      <w:pPr>
        <w:pStyle w:val="7"/>
        <w:spacing w:before="0" w:beforeAutospacing="0" w:after="0" w:afterAutospacing="0" w:line="360" w:lineRule="auto"/>
        <w:ind w:firstLine="420"/>
        <w:rPr>
          <w:sz w:val="21"/>
          <w:szCs w:val="21"/>
        </w:rPr>
      </w:pPr>
      <w:r>
        <w:rPr>
          <w:rFonts w:hint="eastAsia"/>
          <w:sz w:val="21"/>
          <w:szCs w:val="21"/>
        </w:rPr>
        <w:t>3、基金托管人按照规定开设基金财产的资金账户、证券账户及投资所需的其他账户。</w:t>
      </w:r>
    </w:p>
    <w:p>
      <w:pPr>
        <w:pStyle w:val="7"/>
        <w:spacing w:before="0" w:beforeAutospacing="0" w:after="0" w:afterAutospacing="0" w:line="360" w:lineRule="auto"/>
        <w:ind w:firstLine="420"/>
        <w:rPr>
          <w:sz w:val="21"/>
          <w:szCs w:val="21"/>
        </w:rPr>
      </w:pPr>
      <w:r>
        <w:rPr>
          <w:rFonts w:hint="eastAsia"/>
          <w:sz w:val="21"/>
          <w:szCs w:val="21"/>
        </w:rPr>
        <w:t>4、基金托管人对所托管的不同基金财产分别设置账户、独立核算，与基金托管人的其他业务和其他基金的托管业务实行严格的分账管理，确保基金财产的完整与独立。</w:t>
      </w:r>
    </w:p>
    <w:p>
      <w:pPr>
        <w:pStyle w:val="7"/>
        <w:spacing w:before="0" w:beforeAutospacing="0" w:after="0" w:afterAutospacing="0" w:line="360" w:lineRule="auto"/>
        <w:ind w:firstLine="420"/>
        <w:rPr>
          <w:sz w:val="21"/>
          <w:szCs w:val="21"/>
        </w:rPr>
      </w:pPr>
      <w:r>
        <w:rPr>
          <w:rFonts w:hint="eastAsia"/>
          <w:sz w:val="21"/>
          <w:szCs w:val="21"/>
        </w:rPr>
        <w:t>5、对于因基金认（申）购、基金投资过程中产生的应收财产，应由基金管理人负责与有关当事人确定到账日期并通知基金托管人，到账日基金财产没有到达基金托管人处的，基金托管人应及时通知并有义务配合基金管理人采取措施进行催收。由此给基金造成损失的，基金管理人应负责向有关当事人追偿基金的损失，基金托管人应予以必要的协助与配合，但基金托管人对此不承担相应责任。</w:t>
      </w:r>
    </w:p>
    <w:p>
      <w:pPr>
        <w:pStyle w:val="7"/>
        <w:spacing w:before="0" w:beforeAutospacing="0" w:after="0" w:afterAutospacing="0" w:line="360" w:lineRule="auto"/>
        <w:ind w:firstLine="420"/>
        <w:rPr>
          <w:sz w:val="21"/>
          <w:szCs w:val="21"/>
        </w:rPr>
      </w:pPr>
      <w:r>
        <w:rPr>
          <w:rFonts w:hint="eastAsia"/>
          <w:sz w:val="21"/>
          <w:szCs w:val="21"/>
        </w:rPr>
        <w:t>6、基金托管人对因为基金管理人投资产生的存放或存管在基金托管人以外机构的基金财产，或交由证券公司负责清算交收的基金资产及其收益，由于该等机构或该机构会员单位等本协议当事人外第三方的欺诈、疏忽、过失或破产等原因给基金财产造成的损失等不承担责任。</w:t>
      </w:r>
    </w:p>
    <w:p>
      <w:pPr>
        <w:pStyle w:val="7"/>
        <w:spacing w:before="0" w:beforeAutospacing="0" w:after="0" w:afterAutospacing="0" w:line="360" w:lineRule="auto"/>
        <w:ind w:firstLine="420"/>
        <w:rPr>
          <w:sz w:val="21"/>
          <w:szCs w:val="21"/>
        </w:rPr>
      </w:pPr>
      <w:r>
        <w:rPr>
          <w:rFonts w:hint="eastAsia"/>
          <w:sz w:val="21"/>
          <w:szCs w:val="21"/>
        </w:rPr>
        <w:t>7、除依据法律法规和《基金合同》的规定外，基金托管人不得委托第三人托管基金财产。</w:t>
      </w:r>
    </w:p>
    <w:p>
      <w:pPr>
        <w:pStyle w:val="7"/>
        <w:spacing w:before="0" w:beforeAutospacing="0" w:after="0" w:afterAutospacing="0" w:line="360" w:lineRule="auto"/>
        <w:ind w:firstLine="420"/>
        <w:rPr>
          <w:sz w:val="21"/>
          <w:szCs w:val="21"/>
        </w:rPr>
      </w:pPr>
      <w:r>
        <w:rPr>
          <w:rFonts w:hint="eastAsia"/>
          <w:sz w:val="21"/>
          <w:szCs w:val="21"/>
        </w:rPr>
        <w:t>（二）基金募集期间及募集资金的验资</w:t>
      </w:r>
    </w:p>
    <w:p>
      <w:pPr>
        <w:pStyle w:val="7"/>
        <w:spacing w:before="0" w:beforeAutospacing="0" w:after="0" w:afterAutospacing="0" w:line="360" w:lineRule="auto"/>
        <w:ind w:firstLine="420"/>
        <w:rPr>
          <w:sz w:val="21"/>
          <w:szCs w:val="21"/>
        </w:rPr>
      </w:pPr>
      <w:r>
        <w:rPr>
          <w:rFonts w:hint="eastAsia"/>
          <w:sz w:val="21"/>
          <w:szCs w:val="21"/>
        </w:rPr>
        <w:t>1、基金募集期间募集的资金应存于基金管理人开立的“基金募集专户”。该账户由基金管理人开立并管理。</w:t>
      </w:r>
    </w:p>
    <w:p>
      <w:pPr>
        <w:pStyle w:val="7"/>
        <w:spacing w:before="0" w:beforeAutospacing="0" w:after="0" w:afterAutospacing="0" w:line="360" w:lineRule="auto"/>
        <w:ind w:firstLine="420"/>
        <w:rPr>
          <w:sz w:val="21"/>
          <w:szCs w:val="21"/>
        </w:rPr>
      </w:pPr>
      <w:r>
        <w:rPr>
          <w:rFonts w:hint="eastAsia"/>
          <w:sz w:val="21"/>
          <w:szCs w:val="21"/>
        </w:rPr>
        <w:t>2、基金募集期满或基金停止募集时，发起资金的认购金额、发起资金提供方及其承诺的持有期限符合《基金法》、《运作办法》等有关规定后，基金管理人应将属于基金财产的全部资金划入基金托管人开立的基金银行账户，同时在规定时间内，聘请具有符合《中华人民共和国证券法》规定的会计师事务所进行验资，出具验资报告，验资报告需对发起资金提供方及其持有份额进行专门说明。出具的验资报告由参加验资的2名或2名以上中国注册会计师签字方为有效。</w:t>
      </w:r>
    </w:p>
    <w:p>
      <w:pPr>
        <w:pStyle w:val="7"/>
        <w:spacing w:before="0" w:beforeAutospacing="0" w:after="0" w:afterAutospacing="0" w:line="360" w:lineRule="auto"/>
        <w:ind w:firstLine="420"/>
        <w:rPr>
          <w:sz w:val="21"/>
          <w:szCs w:val="21"/>
        </w:rPr>
      </w:pPr>
      <w:r>
        <w:rPr>
          <w:rFonts w:hint="eastAsia"/>
          <w:sz w:val="21"/>
          <w:szCs w:val="21"/>
        </w:rPr>
        <w:t>3、若基金募集期限届满，未能达到《基金合同》生效的条件，由基金管理人按规定办理退款等事宜，基金托管人应提供充分协助。</w:t>
      </w:r>
    </w:p>
    <w:p>
      <w:pPr>
        <w:pStyle w:val="7"/>
        <w:spacing w:before="0" w:beforeAutospacing="0" w:after="0" w:afterAutospacing="0" w:line="360" w:lineRule="auto"/>
        <w:ind w:firstLine="420"/>
        <w:rPr>
          <w:sz w:val="21"/>
          <w:szCs w:val="21"/>
        </w:rPr>
      </w:pPr>
      <w:r>
        <w:rPr>
          <w:rFonts w:hint="eastAsia"/>
          <w:sz w:val="21"/>
          <w:szCs w:val="21"/>
        </w:rPr>
        <w:t>（三）基金的银行账户的开立和管理</w:t>
      </w:r>
    </w:p>
    <w:p>
      <w:pPr>
        <w:pStyle w:val="7"/>
        <w:spacing w:before="0" w:beforeAutospacing="0" w:after="0" w:afterAutospacing="0" w:line="360" w:lineRule="auto"/>
        <w:ind w:firstLine="420"/>
        <w:rPr>
          <w:sz w:val="21"/>
          <w:szCs w:val="21"/>
        </w:rPr>
      </w:pPr>
      <w:r>
        <w:rPr>
          <w:rFonts w:hint="eastAsia"/>
          <w:sz w:val="21"/>
          <w:szCs w:val="21"/>
        </w:rPr>
        <w:t>1、基金托管人为本基金单独开立托管资金账户。托管资金账户的名称应当包含本基金名称，具体名称以实际开立为准。本基金的一切货币收支活动，包括但不限于投资、支付赎回金额、支付现金红利、收取申购款，均需通过该托管资金账户进行。</w:t>
      </w:r>
    </w:p>
    <w:p>
      <w:pPr>
        <w:pStyle w:val="7"/>
        <w:spacing w:before="0" w:beforeAutospacing="0" w:after="0" w:afterAutospacing="0" w:line="360" w:lineRule="auto"/>
        <w:ind w:firstLine="420"/>
        <w:rPr>
          <w:sz w:val="21"/>
          <w:szCs w:val="21"/>
        </w:rPr>
      </w:pPr>
      <w:r>
        <w:rPr>
          <w:rFonts w:hint="eastAsia"/>
          <w:sz w:val="21"/>
          <w:szCs w:val="21"/>
        </w:rPr>
        <w:t>2、基金托管专户的开立和使用，限于满足开展本基金业务的需要。基金托管人和基金管理人不得假借本基金的名义开立其他任何银行账户；亦不得使用基金的任何银行账户进行本基金业务以外的活动。</w:t>
      </w:r>
    </w:p>
    <w:p>
      <w:pPr>
        <w:pStyle w:val="7"/>
        <w:spacing w:before="0" w:beforeAutospacing="0" w:after="0" w:afterAutospacing="0" w:line="360" w:lineRule="auto"/>
        <w:ind w:firstLine="420"/>
        <w:rPr>
          <w:sz w:val="21"/>
          <w:szCs w:val="21"/>
        </w:rPr>
      </w:pPr>
      <w:r>
        <w:rPr>
          <w:rFonts w:hint="eastAsia"/>
          <w:sz w:val="21"/>
          <w:szCs w:val="21"/>
        </w:rPr>
        <w:t>3、基金托管专户的管理应符合《人民币银行结算账户管理办法》、《现金管理暂行条例》、《人民币利率管理规定》、《利率管理暂行规定》、《支付结算办法》以及银行业监督管理机构的其他规定。</w:t>
      </w:r>
    </w:p>
    <w:p>
      <w:pPr>
        <w:pStyle w:val="7"/>
        <w:spacing w:before="0" w:beforeAutospacing="0" w:after="0" w:afterAutospacing="0" w:line="360" w:lineRule="auto"/>
        <w:ind w:firstLine="420"/>
        <w:rPr>
          <w:sz w:val="21"/>
          <w:szCs w:val="21"/>
        </w:rPr>
      </w:pPr>
      <w:r>
        <w:rPr>
          <w:rFonts w:hint="eastAsia"/>
          <w:sz w:val="21"/>
          <w:szCs w:val="21"/>
        </w:rPr>
        <w:t>（四）基金证券账户、证券交易资金账户及结算备付金账户的开设和管理</w:t>
      </w:r>
    </w:p>
    <w:p>
      <w:pPr>
        <w:pStyle w:val="7"/>
        <w:spacing w:before="0" w:beforeAutospacing="0" w:after="0" w:afterAutospacing="0" w:line="360" w:lineRule="auto"/>
        <w:ind w:firstLine="420"/>
        <w:rPr>
          <w:sz w:val="21"/>
          <w:szCs w:val="21"/>
        </w:rPr>
      </w:pPr>
      <w:r>
        <w:rPr>
          <w:rFonts w:hint="eastAsia"/>
          <w:sz w:val="21"/>
          <w:szCs w:val="21"/>
        </w:rPr>
        <w:t>1、基金托管人以基金托管人和本基金联名的方式在中国证券登记结算有限责任公司开设证券账户。</w:t>
      </w:r>
    </w:p>
    <w:p>
      <w:pPr>
        <w:pStyle w:val="7"/>
        <w:spacing w:before="0" w:beforeAutospacing="0" w:after="0" w:afterAutospacing="0" w:line="360" w:lineRule="auto"/>
        <w:ind w:firstLine="420"/>
        <w:rPr>
          <w:sz w:val="21"/>
          <w:szCs w:val="21"/>
        </w:rPr>
      </w:pPr>
      <w:r>
        <w:rPr>
          <w:rFonts w:hint="eastAsia"/>
          <w:sz w:val="21"/>
          <w:szCs w:val="21"/>
        </w:rPr>
        <w:t>2、基金托管人以基金托管人的名义在中国证券登记结算有限责任公司开立基金证券交易资金账户，用于证券清算。</w:t>
      </w:r>
    </w:p>
    <w:p>
      <w:pPr>
        <w:pStyle w:val="7"/>
        <w:spacing w:before="0" w:beforeAutospacing="0" w:after="0" w:afterAutospacing="0" w:line="360" w:lineRule="auto"/>
        <w:ind w:firstLine="420"/>
        <w:rPr>
          <w:sz w:val="21"/>
          <w:szCs w:val="21"/>
        </w:rPr>
      </w:pPr>
      <w:r>
        <w:rPr>
          <w:rFonts w:hint="eastAsia"/>
          <w:sz w:val="21"/>
          <w:szCs w:val="21"/>
        </w:rPr>
        <w:t>3、基金托管人以基金托管人名义在中国证券登记结算有限责任公司开立托管人结算备付金账户，用于所托管产品的证券资金清算。结算备付金、结算互保基金、交收价差资金等的收取按照中国证券登记结算有限责任公司的规定执行。</w:t>
      </w:r>
    </w:p>
    <w:p>
      <w:pPr>
        <w:pStyle w:val="7"/>
        <w:spacing w:before="0" w:beforeAutospacing="0" w:after="0" w:afterAutospacing="0" w:line="360" w:lineRule="auto"/>
        <w:ind w:firstLine="420"/>
        <w:rPr>
          <w:sz w:val="21"/>
          <w:szCs w:val="21"/>
        </w:rPr>
      </w:pPr>
      <w:r>
        <w:rPr>
          <w:rFonts w:hint="eastAsia"/>
          <w:sz w:val="21"/>
          <w:szCs w:val="21"/>
        </w:rPr>
        <w:t>4、基金证券账户的开立和使用，限于满足开展本基金业务的需要。基金托管人和基金管理人不得出借和未经对方书面同意擅自转让基金的任何证券账户；亦不得使用基金的任何证券账户进行本基金业务以外的活动。</w:t>
      </w:r>
    </w:p>
    <w:p>
      <w:pPr>
        <w:pStyle w:val="7"/>
        <w:spacing w:before="0" w:beforeAutospacing="0" w:after="0" w:afterAutospacing="0" w:line="360" w:lineRule="auto"/>
        <w:ind w:firstLine="420"/>
        <w:rPr>
          <w:sz w:val="21"/>
          <w:szCs w:val="21"/>
        </w:rPr>
      </w:pPr>
      <w:r>
        <w:rPr>
          <w:rFonts w:hint="eastAsia"/>
          <w:sz w:val="21"/>
          <w:szCs w:val="21"/>
        </w:rPr>
        <w:t>5、基金证券账户的开立由基金托管人负责，账户资产的管理和运用由基金管理人负责。</w:t>
      </w:r>
    </w:p>
    <w:p>
      <w:pPr>
        <w:pStyle w:val="7"/>
        <w:spacing w:before="0" w:beforeAutospacing="0" w:after="0" w:afterAutospacing="0" w:line="360" w:lineRule="auto"/>
        <w:ind w:firstLine="420"/>
        <w:rPr>
          <w:sz w:val="21"/>
          <w:szCs w:val="21"/>
        </w:rPr>
      </w:pPr>
      <w:r>
        <w:rPr>
          <w:rFonts w:hint="eastAsia"/>
          <w:sz w:val="21"/>
          <w:szCs w:val="21"/>
        </w:rPr>
        <w:t>（五）定期存款账户</w:t>
      </w:r>
    </w:p>
    <w:p>
      <w:pPr>
        <w:pStyle w:val="7"/>
        <w:spacing w:before="0" w:beforeAutospacing="0" w:after="0" w:afterAutospacing="0" w:line="360" w:lineRule="auto"/>
        <w:ind w:firstLine="420"/>
        <w:rPr>
          <w:sz w:val="21"/>
          <w:szCs w:val="21"/>
        </w:rPr>
      </w:pPr>
      <w:r>
        <w:rPr>
          <w:rFonts w:hint="eastAsia"/>
          <w:sz w:val="21"/>
          <w:szCs w:val="21"/>
        </w:rPr>
        <w:t>基金财产投资定期存款的，基金管理人还需按照法规规定，与存款机构签订相关书面协议。</w:t>
      </w:r>
    </w:p>
    <w:p>
      <w:pPr>
        <w:pStyle w:val="7"/>
        <w:spacing w:before="0" w:beforeAutospacing="0" w:after="0" w:afterAutospacing="0" w:line="360" w:lineRule="auto"/>
        <w:ind w:firstLine="420"/>
        <w:rPr>
          <w:sz w:val="21"/>
          <w:szCs w:val="21"/>
        </w:rPr>
      </w:pPr>
      <w:r>
        <w:rPr>
          <w:rFonts w:hint="eastAsia"/>
          <w:sz w:val="21"/>
          <w:szCs w:val="21"/>
        </w:rPr>
        <w:t>本基金投资定期存款在存款机构开立的银行账户，包括实体或虚拟账户，其预留印鉴经各方商议后预留。对于任何的定期存款投资，基金管理人都必须和存款机构签订定期存款协议，约定双方的权利和义务，该协议作为划款指令附件。该协议中必须有如下明确条款：“存款证实书不得被质押或以任何方式被抵押，并不得用于转让和背书；本息到期归还或提前支取的所有款项必须划至托管专户（明确户名、开户行、账号等），不得划入其他任何账户”。如定期存款协议中未体现前述条款，基金托管人有权拒绝定期存款投资的划款指令。在取得存款证实书后，基金托管人保管证实书正本。基金管理人应该在合理的时间内进行定期存款的投资和支取事宜，若基金管理人提前支取或部分提前支取定期存款，若产生息差（即本基金已计提的资金利息和提前支取时收到的资金利息差额），该息差的处理方法由基金管理人和基金托管人双方协商解决。</w:t>
      </w:r>
    </w:p>
    <w:p>
      <w:pPr>
        <w:pStyle w:val="7"/>
        <w:spacing w:before="0" w:beforeAutospacing="0" w:after="0" w:afterAutospacing="0" w:line="360" w:lineRule="auto"/>
        <w:ind w:firstLine="420"/>
        <w:rPr>
          <w:sz w:val="21"/>
          <w:szCs w:val="21"/>
        </w:rPr>
      </w:pPr>
      <w:r>
        <w:rPr>
          <w:rFonts w:hint="eastAsia"/>
          <w:sz w:val="21"/>
          <w:szCs w:val="21"/>
        </w:rPr>
        <w:t>（六）债券托管账户的开立和管理</w:t>
      </w:r>
    </w:p>
    <w:p>
      <w:pPr>
        <w:pStyle w:val="7"/>
        <w:spacing w:before="0" w:beforeAutospacing="0" w:after="0" w:afterAutospacing="0" w:line="360" w:lineRule="auto"/>
        <w:ind w:firstLine="420"/>
        <w:rPr>
          <w:sz w:val="21"/>
          <w:szCs w:val="21"/>
        </w:rPr>
      </w:pPr>
      <w:r>
        <w:rPr>
          <w:rFonts w:hint="eastAsia"/>
          <w:sz w:val="21"/>
          <w:szCs w:val="21"/>
        </w:rPr>
        <w:t>《基金合同》生效后，基金管理人负责以基金的名义申请并取得进入全国银行间同业拆借市场的交易资格，并代表基金进行交易；基金托管人负责以基金的名义在中央国债登记结算有限责任公司和银行间债券市场清算所股份有限公司开设银行间债券市场债券托管账户，并代表基金进行债券和资金的清算。</w:t>
      </w:r>
    </w:p>
    <w:p>
      <w:pPr>
        <w:pStyle w:val="7"/>
        <w:spacing w:before="0" w:beforeAutospacing="0" w:after="0" w:afterAutospacing="0" w:line="360" w:lineRule="auto"/>
        <w:ind w:firstLine="420"/>
        <w:rPr>
          <w:sz w:val="21"/>
          <w:szCs w:val="21"/>
        </w:rPr>
      </w:pPr>
      <w:r>
        <w:rPr>
          <w:rFonts w:hint="eastAsia"/>
          <w:sz w:val="21"/>
          <w:szCs w:val="21"/>
        </w:rPr>
        <w:t>（七）其他账户的开设和管理</w:t>
      </w:r>
    </w:p>
    <w:p>
      <w:pPr>
        <w:pStyle w:val="7"/>
        <w:spacing w:before="0" w:beforeAutospacing="0" w:after="0" w:afterAutospacing="0" w:line="360" w:lineRule="auto"/>
        <w:ind w:firstLine="420"/>
        <w:rPr>
          <w:sz w:val="21"/>
          <w:szCs w:val="21"/>
        </w:rPr>
      </w:pPr>
      <w:r>
        <w:rPr>
          <w:rFonts w:hint="eastAsia"/>
          <w:sz w:val="21"/>
          <w:szCs w:val="21"/>
        </w:rPr>
        <w:t>1、在本托管协议订立日之后，本基金被允许从事符合法律法规规定和《基金合同》约定的其他投资品种的投资业务时，如果涉及相关账户的开设和使用，由基金管理人协助托管人根据有关法律法规的规定和《基金合同》的约定，开立有关账户。该账户按有关规则使用并管理。</w:t>
      </w:r>
    </w:p>
    <w:p>
      <w:pPr>
        <w:pStyle w:val="7"/>
        <w:spacing w:before="0" w:beforeAutospacing="0" w:after="0" w:afterAutospacing="0" w:line="360" w:lineRule="auto"/>
        <w:ind w:firstLine="420"/>
        <w:rPr>
          <w:sz w:val="21"/>
          <w:szCs w:val="21"/>
        </w:rPr>
      </w:pPr>
      <w:r>
        <w:rPr>
          <w:rFonts w:hint="eastAsia"/>
          <w:sz w:val="21"/>
          <w:szCs w:val="21"/>
        </w:rPr>
        <w:t>2、法律法规等有关规定对相关账户的开立和管理另有规定的，从其规定办理。</w:t>
      </w:r>
    </w:p>
    <w:p>
      <w:pPr>
        <w:pStyle w:val="7"/>
        <w:spacing w:before="0" w:beforeAutospacing="0" w:after="0" w:afterAutospacing="0" w:line="360" w:lineRule="auto"/>
        <w:ind w:firstLine="420"/>
        <w:rPr>
          <w:sz w:val="21"/>
          <w:szCs w:val="21"/>
        </w:rPr>
      </w:pPr>
      <w:r>
        <w:rPr>
          <w:rFonts w:hint="eastAsia"/>
          <w:sz w:val="21"/>
          <w:szCs w:val="21"/>
        </w:rPr>
        <w:t>（八）基金财产投资的有关有价凭证等的保管</w:t>
      </w:r>
    </w:p>
    <w:p>
      <w:pPr>
        <w:pStyle w:val="7"/>
        <w:spacing w:before="0" w:beforeAutospacing="0" w:after="0" w:afterAutospacing="0" w:line="360" w:lineRule="auto"/>
        <w:ind w:firstLine="420"/>
        <w:rPr>
          <w:sz w:val="21"/>
          <w:szCs w:val="21"/>
        </w:rPr>
      </w:pPr>
      <w:r>
        <w:rPr>
          <w:rFonts w:hint="eastAsia"/>
          <w:sz w:val="21"/>
          <w:szCs w:val="21"/>
        </w:rPr>
        <w:t>基金财产投资的有关实物证券等有价凭证由基金托管人存放于基金托管人的保管库，也可存入中央国债登记结算有限责任公司、银行间市场清算所股份有限公司、或中国证券登记结算有限责任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实物证券不承担保管责任。</w:t>
      </w:r>
    </w:p>
    <w:p>
      <w:pPr>
        <w:pStyle w:val="7"/>
        <w:spacing w:before="0" w:beforeAutospacing="0" w:after="0" w:afterAutospacing="0" w:line="360" w:lineRule="auto"/>
        <w:ind w:firstLine="420"/>
        <w:rPr>
          <w:sz w:val="21"/>
          <w:szCs w:val="21"/>
        </w:rPr>
      </w:pPr>
      <w:r>
        <w:rPr>
          <w:rFonts w:hint="eastAsia"/>
          <w:sz w:val="21"/>
          <w:szCs w:val="21"/>
        </w:rPr>
        <w:t>（九）与基金财产有关的重大合同的保管</w:t>
      </w:r>
    </w:p>
    <w:p>
      <w:pPr>
        <w:pStyle w:val="7"/>
        <w:spacing w:before="0" w:beforeAutospacing="0" w:after="0" w:afterAutospacing="0" w:line="360" w:lineRule="auto"/>
        <w:ind w:firstLine="420"/>
        <w:rPr>
          <w:sz w:val="21"/>
          <w:szCs w:val="21"/>
        </w:rPr>
      </w:pPr>
      <w:r>
        <w:rPr>
          <w:rFonts w:hint="eastAsia"/>
          <w:sz w:val="21"/>
          <w:szCs w:val="21"/>
        </w:rPr>
        <w:t>由基金管理人代表基金签署的与基金财产有关的重大合同的原件分别应由基金托管人、基金管理人保管，相关业务程序另有限制的除外。除本协议另有规定外，基金管理人代表基金签署的与基金财产有关的重大合同应保证基金管理人和基金托管人至少各持有一份正本的原件。基金管理人应在重大合同签署后及时以加密方式将重大合同传真给基金托管人，并在三十个工作日内将正本送达基金托管人处。因基金管理人发送的合同传真件与事后送达的合同原件不一致所造成的后果，由基金管理人负责。重大合同的保管期限不低于法律法规规定的最低期限。</w:t>
      </w:r>
    </w:p>
    <w:p>
      <w:pPr>
        <w:pStyle w:val="7"/>
        <w:spacing w:before="0" w:beforeAutospacing="0" w:after="0" w:afterAutospacing="0" w:line="360" w:lineRule="auto"/>
        <w:ind w:firstLine="420"/>
        <w:rPr>
          <w:sz w:val="21"/>
          <w:szCs w:val="21"/>
        </w:rPr>
      </w:pPr>
      <w:r>
        <w:rPr>
          <w:rFonts w:hint="eastAsia"/>
          <w:sz w:val="21"/>
          <w:szCs w:val="21"/>
        </w:rPr>
        <w:t>对于无法取得二份以上的正本的，基金管理人应向基金托管人提供加盖授权业务章的合同传真件，未经双方协商或未在合同约定范围内，合同原件不得转移。</w:t>
      </w:r>
    </w:p>
    <w:p>
      <w:pPr>
        <w:pStyle w:val="7"/>
        <w:spacing w:before="0" w:beforeAutospacing="0" w:after="0" w:afterAutospacing="0" w:line="360" w:lineRule="auto"/>
        <w:ind w:firstLine="420"/>
        <w:rPr>
          <w:sz w:val="21"/>
          <w:szCs w:val="21"/>
        </w:rPr>
      </w:pPr>
      <w:r>
        <w:rPr>
          <w:rStyle w:val="11"/>
          <w:rFonts w:hint="eastAsia"/>
          <w:sz w:val="21"/>
          <w:szCs w:val="21"/>
        </w:rPr>
        <w:t>五、基金资产净值计算、估值和会计核算</w:t>
      </w:r>
    </w:p>
    <w:p>
      <w:pPr>
        <w:pStyle w:val="7"/>
        <w:spacing w:before="0" w:beforeAutospacing="0" w:after="0" w:afterAutospacing="0" w:line="360" w:lineRule="auto"/>
        <w:ind w:firstLine="420"/>
        <w:rPr>
          <w:sz w:val="21"/>
          <w:szCs w:val="21"/>
        </w:rPr>
      </w:pPr>
      <w:r>
        <w:rPr>
          <w:rFonts w:hint="eastAsia"/>
          <w:sz w:val="21"/>
          <w:szCs w:val="21"/>
        </w:rPr>
        <w:t>（一）基金资产净值的计算、复核的时间和程序</w:t>
      </w:r>
    </w:p>
    <w:p>
      <w:pPr>
        <w:pStyle w:val="7"/>
        <w:spacing w:before="0" w:beforeAutospacing="0" w:after="0" w:afterAutospacing="0" w:line="360" w:lineRule="auto"/>
        <w:ind w:firstLine="420"/>
        <w:rPr>
          <w:sz w:val="21"/>
          <w:szCs w:val="21"/>
        </w:rPr>
      </w:pPr>
      <w:r>
        <w:rPr>
          <w:rFonts w:hint="eastAsia"/>
          <w:sz w:val="21"/>
          <w:szCs w:val="21"/>
        </w:rPr>
        <w:t>基金资产净值是指基金资产总值减去基金负债后的价值。</w:t>
      </w:r>
    </w:p>
    <w:p>
      <w:pPr>
        <w:pStyle w:val="7"/>
        <w:spacing w:before="0" w:beforeAutospacing="0" w:after="0" w:afterAutospacing="0" w:line="360" w:lineRule="auto"/>
        <w:ind w:firstLine="420"/>
        <w:rPr>
          <w:sz w:val="21"/>
          <w:szCs w:val="21"/>
        </w:rPr>
      </w:pPr>
      <w:r>
        <w:rPr>
          <w:rFonts w:hint="eastAsia"/>
          <w:sz w:val="21"/>
          <w:szCs w:val="21"/>
        </w:rPr>
        <w:t>基金管理人应于每个工作日对基金财产估值，但基金管理人根据法律法规或基金合同的规定暂停估值时除外。估值原则应符合《基金合同》、《证券投资基金会计核算业务指引》及其他法律、法规的规定。基金资产净值和各类基金份额净值由基金管理人负责计算，基金托管人复核。基金管理人应于每个工作日交易结束后计算当日的基金资产净值和各类基金份额净值并以双方认可的方式发送给基金托管人。基金托管人对净值计算结果复核后以双方认可的方式发送给基金管理人，由基金管理人对基金净值信息予以公布。</w:t>
      </w:r>
    </w:p>
    <w:p>
      <w:pPr>
        <w:pStyle w:val="7"/>
        <w:spacing w:before="0" w:beforeAutospacing="0" w:after="0" w:afterAutospacing="0" w:line="360" w:lineRule="auto"/>
        <w:ind w:firstLine="420"/>
        <w:rPr>
          <w:sz w:val="21"/>
          <w:szCs w:val="21"/>
        </w:rPr>
      </w:pPr>
      <w:r>
        <w:rPr>
          <w:rFonts w:hint="eastAsia"/>
          <w:sz w:val="21"/>
          <w:szCs w:val="21"/>
        </w:rPr>
        <w:t>（二）基金资产估值方法</w:t>
      </w:r>
    </w:p>
    <w:p>
      <w:pPr>
        <w:pStyle w:val="7"/>
        <w:spacing w:before="0" w:beforeAutospacing="0" w:after="0" w:afterAutospacing="0" w:line="360" w:lineRule="auto"/>
        <w:ind w:firstLine="420"/>
        <w:rPr>
          <w:sz w:val="21"/>
          <w:szCs w:val="21"/>
        </w:rPr>
      </w:pPr>
      <w:r>
        <w:rPr>
          <w:rFonts w:hint="eastAsia"/>
          <w:sz w:val="21"/>
          <w:szCs w:val="21"/>
        </w:rPr>
        <w:t>1、估值对象</w:t>
      </w:r>
    </w:p>
    <w:p>
      <w:pPr>
        <w:pStyle w:val="7"/>
        <w:spacing w:before="0" w:beforeAutospacing="0" w:after="0" w:afterAutospacing="0" w:line="360" w:lineRule="auto"/>
        <w:ind w:firstLine="420"/>
        <w:rPr>
          <w:sz w:val="21"/>
          <w:szCs w:val="21"/>
        </w:rPr>
      </w:pPr>
      <w:r>
        <w:rPr>
          <w:rFonts w:hint="eastAsia"/>
          <w:sz w:val="21"/>
          <w:szCs w:val="21"/>
        </w:rPr>
        <w:t>基金所拥有的股票（含存托凭证）、股指期货合约、国债期货合约、股票期权合约、债券和银行存款本息、应收款项、资产支持证券、其它投资等资产及负债。</w:t>
      </w:r>
    </w:p>
    <w:p>
      <w:pPr>
        <w:pStyle w:val="7"/>
        <w:spacing w:before="0" w:beforeAutospacing="0" w:after="0" w:afterAutospacing="0" w:line="360" w:lineRule="auto"/>
        <w:ind w:firstLine="420"/>
        <w:rPr>
          <w:sz w:val="21"/>
          <w:szCs w:val="21"/>
        </w:rPr>
      </w:pPr>
      <w:r>
        <w:rPr>
          <w:rFonts w:hint="eastAsia"/>
          <w:sz w:val="21"/>
          <w:szCs w:val="21"/>
        </w:rPr>
        <w:t>2、估值方法</w:t>
      </w:r>
    </w:p>
    <w:p>
      <w:pPr>
        <w:pStyle w:val="7"/>
        <w:spacing w:before="0" w:beforeAutospacing="0" w:after="0" w:afterAutospacing="0" w:line="360" w:lineRule="auto"/>
        <w:ind w:firstLine="420"/>
        <w:rPr>
          <w:sz w:val="21"/>
          <w:szCs w:val="21"/>
        </w:rPr>
      </w:pPr>
      <w:r>
        <w:rPr>
          <w:rFonts w:hint="eastAsia"/>
          <w:sz w:val="21"/>
          <w:szCs w:val="21"/>
        </w:rPr>
        <w:t>（1）证券交易所上市的有价证券的估值</w:t>
      </w:r>
    </w:p>
    <w:p>
      <w:pPr>
        <w:pStyle w:val="7"/>
        <w:spacing w:before="0" w:beforeAutospacing="0" w:after="0" w:afterAutospacing="0" w:line="360" w:lineRule="auto"/>
        <w:ind w:firstLine="420"/>
        <w:rPr>
          <w:sz w:val="21"/>
          <w:szCs w:val="21"/>
        </w:rPr>
      </w:pPr>
      <w:r>
        <w:rPr>
          <w:rFonts w:hint="eastAsia"/>
          <w:sz w:val="21"/>
          <w:szCs w:val="21"/>
        </w:rPr>
        <w:t>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pStyle w:val="7"/>
        <w:spacing w:before="0" w:beforeAutospacing="0" w:after="0" w:afterAutospacing="0" w:line="360" w:lineRule="auto"/>
        <w:ind w:firstLine="420"/>
        <w:rPr>
          <w:sz w:val="21"/>
          <w:szCs w:val="21"/>
        </w:rPr>
      </w:pPr>
      <w:r>
        <w:rPr>
          <w:rFonts w:hint="eastAsia"/>
          <w:sz w:val="21"/>
          <w:szCs w:val="21"/>
        </w:rPr>
        <w:t>2）交易所市场上市交易或挂牌转让的固定收益品种（基金合同另有约定的除外），选取估值日第三方估值机构提供的相应品种对应的估值净价估值，具体估值机构由基金管理人与基金托管人共同确定；</w:t>
      </w:r>
    </w:p>
    <w:p>
      <w:pPr>
        <w:pStyle w:val="7"/>
        <w:spacing w:before="0" w:beforeAutospacing="0" w:after="0" w:afterAutospacing="0" w:line="360" w:lineRule="auto"/>
        <w:ind w:firstLine="420"/>
        <w:rPr>
          <w:sz w:val="21"/>
          <w:szCs w:val="21"/>
        </w:rPr>
      </w:pPr>
      <w:r>
        <w:rPr>
          <w:rFonts w:hint="eastAsia"/>
          <w:sz w:val="21"/>
          <w:szCs w:val="21"/>
        </w:rPr>
        <w:t>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w:t>
      </w:r>
    </w:p>
    <w:p>
      <w:pPr>
        <w:pStyle w:val="7"/>
        <w:spacing w:before="0" w:beforeAutospacing="0" w:after="0" w:afterAutospacing="0" w:line="360" w:lineRule="auto"/>
        <w:ind w:firstLine="420"/>
        <w:rPr>
          <w:sz w:val="21"/>
          <w:szCs w:val="21"/>
        </w:rPr>
      </w:pPr>
      <w:r>
        <w:rPr>
          <w:rFonts w:hint="eastAsia"/>
          <w:sz w:val="21"/>
          <w:szCs w:val="21"/>
        </w:rPr>
        <w:t>交易所上市实行全价交易的固定收益品种（可转换债券除外），选取第三方估值机构提供的估值全价减去估值全价中所含的固定收益品种（税后）应收利息得到的净价进行估值；</w:t>
      </w:r>
    </w:p>
    <w:p>
      <w:pPr>
        <w:pStyle w:val="7"/>
        <w:spacing w:before="0" w:beforeAutospacing="0" w:after="0" w:afterAutospacing="0" w:line="360" w:lineRule="auto"/>
        <w:ind w:firstLine="420"/>
        <w:rPr>
          <w:sz w:val="21"/>
          <w:szCs w:val="21"/>
        </w:rPr>
      </w:pPr>
      <w:r>
        <w:rPr>
          <w:rFonts w:hint="eastAsia"/>
          <w:sz w:val="21"/>
          <w:szCs w:val="21"/>
        </w:rPr>
        <w:t>4）交易所上市不存在活跃市场的有价证券，采用估值技术确定公允价值。</w:t>
      </w:r>
    </w:p>
    <w:p>
      <w:pPr>
        <w:pStyle w:val="7"/>
        <w:spacing w:before="0" w:beforeAutospacing="0" w:after="0" w:afterAutospacing="0" w:line="360" w:lineRule="auto"/>
        <w:ind w:firstLine="420"/>
        <w:rPr>
          <w:sz w:val="21"/>
          <w:szCs w:val="21"/>
        </w:rPr>
      </w:pPr>
      <w:r>
        <w:rPr>
          <w:rFonts w:hint="eastAsia"/>
          <w:sz w:val="21"/>
          <w:szCs w:val="21"/>
        </w:rPr>
        <w:t>（2）处于未上市期间的有价证券应区分如下情况处理：</w:t>
      </w:r>
    </w:p>
    <w:p>
      <w:pPr>
        <w:pStyle w:val="7"/>
        <w:spacing w:before="0" w:beforeAutospacing="0" w:after="0" w:afterAutospacing="0" w:line="360" w:lineRule="auto"/>
        <w:ind w:firstLine="420"/>
        <w:rPr>
          <w:sz w:val="21"/>
          <w:szCs w:val="21"/>
        </w:rPr>
      </w:pPr>
      <w:r>
        <w:rPr>
          <w:rFonts w:hint="eastAsia"/>
          <w:sz w:val="21"/>
          <w:szCs w:val="21"/>
        </w:rPr>
        <w:t>1）送股、转增股、配股和公开增发的新股，按估值日在证券交易所挂牌的同一股票的估值方法估值；该日无交易的，以最近一日的市价（收盘价）估值；</w:t>
      </w:r>
    </w:p>
    <w:p>
      <w:pPr>
        <w:pStyle w:val="7"/>
        <w:spacing w:before="0" w:beforeAutospacing="0" w:after="0" w:afterAutospacing="0" w:line="360" w:lineRule="auto"/>
        <w:ind w:firstLine="420"/>
        <w:rPr>
          <w:sz w:val="21"/>
          <w:szCs w:val="21"/>
        </w:rPr>
      </w:pPr>
      <w:r>
        <w:rPr>
          <w:rFonts w:hint="eastAsia"/>
          <w:sz w:val="21"/>
          <w:szCs w:val="21"/>
        </w:rPr>
        <w:t>2）首次公开发行未上市的股票，采用估值技术确定公允价值，在估值技术难以可靠计量公允价值的情况下，按成本估值；</w:t>
      </w:r>
    </w:p>
    <w:p>
      <w:pPr>
        <w:pStyle w:val="7"/>
        <w:spacing w:before="0" w:beforeAutospacing="0" w:after="0" w:afterAutospacing="0" w:line="360" w:lineRule="auto"/>
        <w:ind w:firstLine="420"/>
        <w:rPr>
          <w:sz w:val="21"/>
          <w:szCs w:val="21"/>
        </w:rPr>
      </w:pPr>
      <w:r>
        <w:rPr>
          <w:rFonts w:hint="eastAsia"/>
          <w:sz w:val="21"/>
          <w:szCs w:val="21"/>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pStyle w:val="7"/>
        <w:spacing w:before="0" w:beforeAutospacing="0" w:after="0" w:afterAutospacing="0" w:line="360" w:lineRule="auto"/>
        <w:ind w:firstLine="420"/>
        <w:rPr>
          <w:sz w:val="21"/>
          <w:szCs w:val="21"/>
        </w:rPr>
      </w:pPr>
      <w:r>
        <w:rPr>
          <w:rFonts w:hint="eastAsia"/>
          <w:sz w:val="21"/>
          <w:szCs w:val="21"/>
        </w:rPr>
        <w:t>（3）本基金投资存托凭证的估值核算，依照境内上市交易的股票执行。</w:t>
      </w:r>
    </w:p>
    <w:p>
      <w:pPr>
        <w:pStyle w:val="7"/>
        <w:spacing w:before="0" w:beforeAutospacing="0" w:after="0" w:afterAutospacing="0" w:line="360" w:lineRule="auto"/>
        <w:ind w:firstLine="420"/>
        <w:rPr>
          <w:sz w:val="21"/>
          <w:szCs w:val="21"/>
        </w:rPr>
      </w:pPr>
      <w:r>
        <w:rPr>
          <w:rFonts w:hint="eastAsia"/>
          <w:sz w:val="21"/>
          <w:szCs w:val="21"/>
        </w:rPr>
        <w:t>（4）银行间的有价证券的估值</w:t>
      </w:r>
    </w:p>
    <w:p>
      <w:pPr>
        <w:pStyle w:val="7"/>
        <w:spacing w:before="0" w:beforeAutospacing="0" w:after="0" w:afterAutospacing="0" w:line="360" w:lineRule="auto"/>
        <w:ind w:firstLine="420"/>
        <w:rPr>
          <w:sz w:val="21"/>
          <w:szCs w:val="21"/>
        </w:rPr>
      </w:pPr>
      <w:r>
        <w:rPr>
          <w:rFonts w:hint="eastAsia"/>
          <w:sz w:val="21"/>
          <w:szCs w:val="21"/>
        </w:rPr>
        <w:t>1）对银行间市场上不含权的固定收益品种，按照第三方估值机构提供的相应品种当日的估值净价确定公允价值；</w:t>
      </w:r>
    </w:p>
    <w:p>
      <w:pPr>
        <w:pStyle w:val="7"/>
        <w:spacing w:before="0" w:beforeAutospacing="0" w:after="0" w:afterAutospacing="0" w:line="360" w:lineRule="auto"/>
        <w:ind w:firstLine="420"/>
        <w:rPr>
          <w:sz w:val="21"/>
          <w:szCs w:val="21"/>
        </w:rPr>
      </w:pPr>
      <w:r>
        <w:rPr>
          <w:rFonts w:hint="eastAsia"/>
          <w:sz w:val="21"/>
          <w:szCs w:val="21"/>
        </w:rPr>
        <w:t>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w:t>
      </w:r>
    </w:p>
    <w:p>
      <w:pPr>
        <w:pStyle w:val="7"/>
        <w:spacing w:before="0" w:beforeAutospacing="0" w:after="0" w:afterAutospacing="0" w:line="360" w:lineRule="auto"/>
        <w:ind w:firstLine="420"/>
        <w:rPr>
          <w:sz w:val="21"/>
          <w:szCs w:val="21"/>
        </w:rPr>
      </w:pPr>
      <w:r>
        <w:rPr>
          <w:rFonts w:hint="eastAsia"/>
          <w:sz w:val="21"/>
          <w:szCs w:val="21"/>
        </w:rPr>
        <w:t>3）对银行间市场未上市，且第三方估值机构未提供估值价格的债券，采用当前情况下适用并且有足够可利用数据和其他信息支持的估值技术确定其公允价值。</w:t>
      </w:r>
    </w:p>
    <w:p>
      <w:pPr>
        <w:pStyle w:val="7"/>
        <w:spacing w:before="0" w:beforeAutospacing="0" w:after="0" w:afterAutospacing="0" w:line="360" w:lineRule="auto"/>
        <w:ind w:firstLine="420"/>
        <w:rPr>
          <w:sz w:val="21"/>
          <w:szCs w:val="21"/>
        </w:rPr>
      </w:pPr>
      <w:r>
        <w:rPr>
          <w:rFonts w:hint="eastAsia"/>
          <w:sz w:val="21"/>
          <w:szCs w:val="21"/>
        </w:rPr>
        <w:t>（5）资产支持证券的估值</w:t>
      </w:r>
    </w:p>
    <w:p>
      <w:pPr>
        <w:pStyle w:val="7"/>
        <w:spacing w:before="0" w:beforeAutospacing="0" w:after="0" w:afterAutospacing="0" w:line="360" w:lineRule="auto"/>
        <w:ind w:firstLine="420"/>
        <w:rPr>
          <w:sz w:val="21"/>
          <w:szCs w:val="21"/>
        </w:rPr>
      </w:pPr>
      <w:r>
        <w:rPr>
          <w:rFonts w:hint="eastAsia"/>
          <w:sz w:val="21"/>
          <w:szCs w:val="21"/>
        </w:rPr>
        <w:t>1）交易所上市的资产支持证券，按估值日第三方估值机构提供的价格估值。</w:t>
      </w:r>
    </w:p>
    <w:p>
      <w:pPr>
        <w:pStyle w:val="7"/>
        <w:spacing w:before="0" w:beforeAutospacing="0" w:after="0" w:afterAutospacing="0" w:line="360" w:lineRule="auto"/>
        <w:ind w:firstLine="420"/>
        <w:rPr>
          <w:sz w:val="21"/>
          <w:szCs w:val="21"/>
        </w:rPr>
      </w:pPr>
      <w:r>
        <w:rPr>
          <w:rFonts w:hint="eastAsia"/>
          <w:sz w:val="21"/>
          <w:szCs w:val="21"/>
        </w:rPr>
        <w:t>2）对全国银行间市场上的资产支持证券，按照第三方估值机构提供的相应品种当日的估值净价确定公允价值。</w:t>
      </w:r>
    </w:p>
    <w:p>
      <w:pPr>
        <w:pStyle w:val="7"/>
        <w:spacing w:before="0" w:beforeAutospacing="0" w:after="0" w:afterAutospacing="0" w:line="360" w:lineRule="auto"/>
        <w:ind w:firstLine="420"/>
        <w:rPr>
          <w:sz w:val="21"/>
          <w:szCs w:val="21"/>
        </w:rPr>
      </w:pPr>
      <w:r>
        <w:rPr>
          <w:rFonts w:hint="eastAsia"/>
          <w:sz w:val="21"/>
          <w:szCs w:val="21"/>
        </w:rPr>
        <w:t>（6）同一证券同时在两个或两个以上市场交易的，按证券所处的市场分别估值。</w:t>
      </w:r>
    </w:p>
    <w:p>
      <w:pPr>
        <w:pStyle w:val="7"/>
        <w:spacing w:before="0" w:beforeAutospacing="0" w:after="0" w:afterAutospacing="0" w:line="360" w:lineRule="auto"/>
        <w:ind w:firstLine="420"/>
        <w:rPr>
          <w:sz w:val="21"/>
          <w:szCs w:val="21"/>
        </w:rPr>
      </w:pPr>
      <w:r>
        <w:rPr>
          <w:rFonts w:hint="eastAsia"/>
          <w:sz w:val="21"/>
          <w:szCs w:val="21"/>
        </w:rPr>
        <w:t>（7）本基金投资股指期货合约、国债期货合约，一般以估值当日结算价进行估值，估值当日无结算价的，且最近交易日后经济环境未发生重大变化的，采用最近交易日结算价估值。</w:t>
      </w:r>
    </w:p>
    <w:p>
      <w:pPr>
        <w:pStyle w:val="7"/>
        <w:spacing w:before="0" w:beforeAutospacing="0" w:after="0" w:afterAutospacing="0" w:line="360" w:lineRule="auto"/>
        <w:ind w:firstLine="420"/>
        <w:rPr>
          <w:sz w:val="21"/>
          <w:szCs w:val="21"/>
        </w:rPr>
      </w:pPr>
      <w:r>
        <w:rPr>
          <w:rFonts w:hint="eastAsia"/>
          <w:sz w:val="21"/>
          <w:szCs w:val="21"/>
        </w:rPr>
        <w:t>（8）本基金投资股票期权，根据相关法律法规以及监管部门的规定估值。</w:t>
      </w:r>
    </w:p>
    <w:p>
      <w:pPr>
        <w:pStyle w:val="7"/>
        <w:spacing w:before="0" w:beforeAutospacing="0" w:after="0" w:afterAutospacing="0" w:line="360" w:lineRule="auto"/>
        <w:ind w:firstLine="420"/>
        <w:rPr>
          <w:sz w:val="21"/>
          <w:szCs w:val="21"/>
        </w:rPr>
      </w:pPr>
      <w:r>
        <w:rPr>
          <w:rFonts w:hint="eastAsia"/>
          <w:sz w:val="21"/>
          <w:szCs w:val="21"/>
        </w:rPr>
        <w:t>（9）本基金参与融资或转融通证券出借业务的，应参照行业协会的相关规定进行估值，确保估值的公允性。</w:t>
      </w:r>
    </w:p>
    <w:p>
      <w:pPr>
        <w:pStyle w:val="7"/>
        <w:spacing w:before="0" w:beforeAutospacing="0" w:after="0" w:afterAutospacing="0" w:line="360" w:lineRule="auto"/>
        <w:ind w:firstLine="420"/>
        <w:rPr>
          <w:sz w:val="21"/>
          <w:szCs w:val="21"/>
        </w:rPr>
      </w:pPr>
      <w:r>
        <w:rPr>
          <w:rFonts w:hint="eastAsia"/>
          <w:sz w:val="21"/>
          <w:szCs w:val="21"/>
        </w:rPr>
        <w:t>（10）汇率</w:t>
      </w:r>
    </w:p>
    <w:p>
      <w:pPr>
        <w:pStyle w:val="7"/>
        <w:spacing w:before="0" w:beforeAutospacing="0" w:after="0" w:afterAutospacing="0" w:line="360" w:lineRule="auto"/>
        <w:ind w:firstLine="420"/>
        <w:rPr>
          <w:sz w:val="21"/>
          <w:szCs w:val="21"/>
        </w:rPr>
      </w:pPr>
      <w:r>
        <w:rPr>
          <w:rFonts w:hint="eastAsia"/>
          <w:sz w:val="21"/>
          <w:szCs w:val="21"/>
        </w:rPr>
        <w:t>本基金外币资产价值计算中，涉及主要货币对人民币汇率的，应当以基金估值日中国人民银行或其授权机构公布的人民币汇率中间价为准。</w:t>
      </w:r>
    </w:p>
    <w:p>
      <w:pPr>
        <w:pStyle w:val="7"/>
        <w:spacing w:before="0" w:beforeAutospacing="0" w:after="0" w:afterAutospacing="0" w:line="360" w:lineRule="auto"/>
        <w:ind w:firstLine="420"/>
        <w:rPr>
          <w:sz w:val="21"/>
          <w:szCs w:val="21"/>
        </w:rPr>
      </w:pPr>
      <w:r>
        <w:rPr>
          <w:rFonts w:hint="eastAsia"/>
          <w:sz w:val="21"/>
          <w:szCs w:val="21"/>
        </w:rPr>
        <w:t>（11）如有确凿证据表明按上述方法进行估值不能客观反映其公允价值的，基金管理人可根据具体情况与基金托管人商定后，按最能反映公允价值的价格估值。</w:t>
      </w:r>
    </w:p>
    <w:p>
      <w:pPr>
        <w:pStyle w:val="7"/>
        <w:spacing w:before="0" w:beforeAutospacing="0" w:after="0" w:afterAutospacing="0" w:line="360" w:lineRule="auto"/>
        <w:ind w:firstLine="420"/>
        <w:rPr>
          <w:sz w:val="21"/>
          <w:szCs w:val="21"/>
        </w:rPr>
      </w:pPr>
      <w:r>
        <w:rPr>
          <w:rFonts w:hint="eastAsia"/>
          <w:sz w:val="21"/>
          <w:szCs w:val="21"/>
        </w:rPr>
        <w:t>（12）当发生大额申购或赎回情形时，基金管理人可以采用摆动定价机制，以确保基金估值的公平性。具体处理原则与操作规范遵循相关法律法规以及监管部门、自律规则的规定。</w:t>
      </w:r>
    </w:p>
    <w:p>
      <w:pPr>
        <w:pStyle w:val="7"/>
        <w:spacing w:before="0" w:beforeAutospacing="0" w:after="0" w:afterAutospacing="0" w:line="360" w:lineRule="auto"/>
        <w:ind w:firstLine="420"/>
        <w:rPr>
          <w:sz w:val="21"/>
          <w:szCs w:val="21"/>
        </w:rPr>
      </w:pPr>
      <w:r>
        <w:rPr>
          <w:rFonts w:hint="eastAsia"/>
          <w:sz w:val="21"/>
          <w:szCs w:val="21"/>
        </w:rPr>
        <w:t>（13）相关法律法规以及监管部门有强制规定的，从其规定。如有新增事项，按国家最新规定估值。</w:t>
      </w:r>
    </w:p>
    <w:p>
      <w:pPr>
        <w:pStyle w:val="7"/>
        <w:spacing w:before="0" w:beforeAutospacing="0" w:after="0" w:afterAutospacing="0" w:line="360" w:lineRule="auto"/>
        <w:ind w:firstLine="420"/>
        <w:rPr>
          <w:sz w:val="21"/>
          <w:szCs w:val="21"/>
        </w:rPr>
      </w:pPr>
      <w:r>
        <w:rPr>
          <w:rFonts w:hint="eastAsia"/>
          <w:sz w:val="21"/>
          <w:szCs w:val="21"/>
        </w:rPr>
        <w:t>如基金管理人或基金托管人发现基金估值违反基金合同订明的估值方法、程序及相关法律法规的规定或者未能充分维护基金份额持有人利益时，应立即通知对方，共同查明原因，双方协商解决。</w:t>
      </w:r>
    </w:p>
    <w:p>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pPr>
        <w:pStyle w:val="7"/>
        <w:spacing w:before="0" w:beforeAutospacing="0" w:after="0" w:afterAutospacing="0" w:line="360" w:lineRule="auto"/>
        <w:ind w:firstLine="420"/>
        <w:rPr>
          <w:sz w:val="21"/>
          <w:szCs w:val="21"/>
        </w:rPr>
      </w:pPr>
      <w:r>
        <w:rPr>
          <w:rFonts w:hint="eastAsia"/>
          <w:sz w:val="21"/>
          <w:szCs w:val="21"/>
        </w:rPr>
        <w:t>3、估值程序</w:t>
      </w:r>
    </w:p>
    <w:p>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各类基金份额的基金资产净值除以当日该类基金份额的余额数量计算，均精确到0.0001元，小数点后第5位四舍五入。基金管理人可以设立大额赎回情形下的净值精度应急调整机制。国家另有规定的，从其规定。</w:t>
      </w:r>
    </w:p>
    <w:p>
      <w:pPr>
        <w:pStyle w:val="7"/>
        <w:spacing w:before="0" w:beforeAutospacing="0" w:after="0" w:afterAutospacing="0" w:line="360" w:lineRule="auto"/>
        <w:ind w:firstLine="420"/>
        <w:rPr>
          <w:sz w:val="21"/>
          <w:szCs w:val="21"/>
        </w:rPr>
      </w:pPr>
      <w:r>
        <w:rPr>
          <w:rFonts w:hint="eastAsia"/>
          <w:sz w:val="21"/>
          <w:szCs w:val="21"/>
        </w:rPr>
        <w:t>基金管理人于每个工作日计算基金资产净值及各类基金份额净值，并按规定公告。</w:t>
      </w:r>
    </w:p>
    <w:p>
      <w:pPr>
        <w:pStyle w:val="7"/>
        <w:spacing w:before="0" w:beforeAutospacing="0" w:after="0" w:afterAutospacing="0" w:line="360" w:lineRule="auto"/>
        <w:ind w:firstLine="420"/>
        <w:rPr>
          <w:sz w:val="21"/>
          <w:szCs w:val="21"/>
        </w:rPr>
      </w:pPr>
      <w:r>
        <w:rPr>
          <w:rFonts w:hint="eastAsia"/>
          <w:sz w:val="21"/>
          <w:szCs w:val="21"/>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w:t>
      </w:r>
    </w:p>
    <w:p>
      <w:pPr>
        <w:pStyle w:val="7"/>
        <w:spacing w:before="0" w:beforeAutospacing="0" w:after="0" w:afterAutospacing="0" w:line="360" w:lineRule="auto"/>
        <w:ind w:firstLine="420"/>
        <w:rPr>
          <w:sz w:val="21"/>
          <w:szCs w:val="21"/>
        </w:rPr>
      </w:pPr>
      <w:r>
        <w:rPr>
          <w:rFonts w:hint="eastAsia"/>
          <w:sz w:val="21"/>
          <w:szCs w:val="21"/>
        </w:rPr>
        <w:t>4、估值错误的处理</w:t>
      </w:r>
    </w:p>
    <w:p>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基金管理人和基金托管人将采取必要、适当、合理的措施确保基金资产估值的准确性、及时性。当任一类基金份额净值小数点后4位以内(含第4位)发生估值错误时，视为该类基金份额净值错误。</w:t>
      </w:r>
    </w:p>
    <w:p>
      <w:pPr>
        <w:pStyle w:val="7"/>
        <w:spacing w:before="0" w:beforeAutospacing="0" w:after="0" w:afterAutospacing="0" w:line="360" w:lineRule="auto"/>
        <w:ind w:firstLine="420"/>
        <w:rPr>
          <w:sz w:val="21"/>
          <w:szCs w:val="21"/>
        </w:rPr>
      </w:pPr>
      <w:r>
        <w:rPr>
          <w:rFonts w:hint="eastAsia"/>
          <w:sz w:val="21"/>
          <w:szCs w:val="21"/>
        </w:rPr>
        <w:t>基金合同的当事人应按照以下约定处理：</w:t>
      </w:r>
    </w:p>
    <w:p>
      <w:pPr>
        <w:pStyle w:val="7"/>
        <w:spacing w:before="0" w:beforeAutospacing="0" w:after="0" w:afterAutospacing="0" w:line="360" w:lineRule="auto"/>
        <w:ind w:firstLine="420"/>
        <w:rPr>
          <w:sz w:val="21"/>
          <w:szCs w:val="21"/>
        </w:rPr>
      </w:pPr>
      <w:r>
        <w:rPr>
          <w:rFonts w:hint="eastAsia"/>
          <w:sz w:val="21"/>
          <w:szCs w:val="21"/>
        </w:rPr>
        <w:t>（1）估值错误类型</w:t>
      </w:r>
    </w:p>
    <w:p>
      <w:pPr>
        <w:pStyle w:val="7"/>
        <w:spacing w:before="0" w:beforeAutospacing="0" w:after="0" w:afterAutospacing="0" w:line="360" w:lineRule="auto"/>
        <w:ind w:firstLine="420"/>
        <w:rPr>
          <w:sz w:val="21"/>
          <w:szCs w:val="21"/>
        </w:rPr>
      </w:pPr>
      <w:r>
        <w:rPr>
          <w:rFonts w:hint="eastAsia"/>
          <w:sz w:val="21"/>
          <w:szCs w:val="21"/>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pStyle w:val="7"/>
        <w:spacing w:before="0" w:beforeAutospacing="0" w:after="0" w:afterAutospacing="0" w:line="360" w:lineRule="auto"/>
        <w:ind w:firstLine="420"/>
        <w:rPr>
          <w:sz w:val="21"/>
          <w:szCs w:val="21"/>
        </w:rPr>
      </w:pPr>
      <w:r>
        <w:rPr>
          <w:rFonts w:hint="eastAsia"/>
          <w:sz w:val="21"/>
          <w:szCs w:val="21"/>
        </w:rPr>
        <w:t>上述估值错误的主要类型包括但不限于：资料申报差错、数据传输差错、数据计算差错、系统故障差错、下达指令差错等。</w:t>
      </w:r>
    </w:p>
    <w:p>
      <w:pPr>
        <w:pStyle w:val="7"/>
        <w:spacing w:before="0" w:beforeAutospacing="0" w:after="0" w:afterAutospacing="0" w:line="360" w:lineRule="auto"/>
        <w:ind w:firstLine="420"/>
        <w:rPr>
          <w:sz w:val="21"/>
          <w:szCs w:val="21"/>
        </w:rPr>
      </w:pPr>
      <w:r>
        <w:rPr>
          <w:rFonts w:hint="eastAsia"/>
          <w:sz w:val="21"/>
          <w:szCs w:val="21"/>
        </w:rPr>
        <w:t>（2）估值错误处理原则</w:t>
      </w:r>
    </w:p>
    <w:p>
      <w:pPr>
        <w:pStyle w:val="7"/>
        <w:spacing w:before="0" w:beforeAutospacing="0" w:after="0" w:afterAutospacing="0" w:line="360" w:lineRule="auto"/>
        <w:ind w:firstLine="420"/>
        <w:rPr>
          <w:sz w:val="21"/>
          <w:szCs w:val="21"/>
        </w:rPr>
      </w:pPr>
      <w:r>
        <w:rPr>
          <w:rFonts w:hint="eastAsia"/>
          <w:sz w:val="21"/>
          <w:szCs w:val="21"/>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pStyle w:val="7"/>
        <w:spacing w:before="0" w:beforeAutospacing="0" w:after="0" w:afterAutospacing="0" w:line="360" w:lineRule="auto"/>
        <w:ind w:firstLine="420"/>
        <w:rPr>
          <w:sz w:val="21"/>
          <w:szCs w:val="21"/>
        </w:rPr>
      </w:pPr>
      <w:r>
        <w:rPr>
          <w:rFonts w:hint="eastAsia"/>
          <w:sz w:val="21"/>
          <w:szCs w:val="21"/>
        </w:rPr>
        <w:t>2）估值错误的责任方对有关当事人的直接损失负责，不对间接损失负责，并且仅对估值错误的有关直接当事人负责，不对第三方负责。</w:t>
      </w:r>
    </w:p>
    <w:p>
      <w:pPr>
        <w:pStyle w:val="7"/>
        <w:spacing w:before="0" w:beforeAutospacing="0" w:after="0" w:afterAutospacing="0" w:line="360" w:lineRule="auto"/>
        <w:ind w:firstLine="420"/>
        <w:rPr>
          <w:sz w:val="21"/>
          <w:szCs w:val="21"/>
        </w:rPr>
      </w:pPr>
      <w:r>
        <w:rPr>
          <w:rFonts w:hint="eastAsia"/>
          <w:sz w:val="21"/>
          <w:szCs w:val="21"/>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pStyle w:val="7"/>
        <w:spacing w:before="0" w:beforeAutospacing="0" w:after="0" w:afterAutospacing="0" w:line="360" w:lineRule="auto"/>
        <w:ind w:firstLine="420"/>
        <w:rPr>
          <w:sz w:val="21"/>
          <w:szCs w:val="21"/>
        </w:rPr>
      </w:pPr>
      <w:r>
        <w:rPr>
          <w:rFonts w:hint="eastAsia"/>
          <w:sz w:val="21"/>
          <w:szCs w:val="21"/>
        </w:rPr>
        <w:t>4）估值错误调整采用尽量恢复至假设未发生估值错误的正确情形的方式。</w:t>
      </w:r>
    </w:p>
    <w:p>
      <w:pPr>
        <w:pStyle w:val="7"/>
        <w:spacing w:before="0" w:beforeAutospacing="0" w:after="0" w:afterAutospacing="0" w:line="360" w:lineRule="auto"/>
        <w:ind w:firstLine="420"/>
        <w:rPr>
          <w:sz w:val="21"/>
          <w:szCs w:val="21"/>
        </w:rPr>
      </w:pPr>
      <w:r>
        <w:rPr>
          <w:rFonts w:hint="eastAsia"/>
          <w:sz w:val="21"/>
          <w:szCs w:val="21"/>
        </w:rPr>
        <w:t>（3）估值错误处理程序</w:t>
      </w:r>
    </w:p>
    <w:p>
      <w:pPr>
        <w:pStyle w:val="7"/>
        <w:spacing w:before="0" w:beforeAutospacing="0" w:after="0" w:afterAutospacing="0" w:line="360" w:lineRule="auto"/>
        <w:ind w:firstLine="420"/>
        <w:rPr>
          <w:sz w:val="21"/>
          <w:szCs w:val="21"/>
        </w:rPr>
      </w:pPr>
      <w:r>
        <w:rPr>
          <w:rFonts w:hint="eastAsia"/>
          <w:sz w:val="21"/>
          <w:szCs w:val="21"/>
        </w:rPr>
        <w:t>估值错误被发现后，有关的当事人应当及时进行处理，处理的程序如下：</w:t>
      </w:r>
    </w:p>
    <w:p>
      <w:pPr>
        <w:pStyle w:val="7"/>
        <w:spacing w:before="0" w:beforeAutospacing="0" w:after="0" w:afterAutospacing="0" w:line="360" w:lineRule="auto"/>
        <w:ind w:firstLine="420"/>
        <w:rPr>
          <w:sz w:val="21"/>
          <w:szCs w:val="21"/>
        </w:rPr>
      </w:pPr>
      <w:r>
        <w:rPr>
          <w:rFonts w:hint="eastAsia"/>
          <w:sz w:val="21"/>
          <w:szCs w:val="21"/>
        </w:rPr>
        <w:t>1）查明估值错误发生的原因，列明所有的当事人，并根据估值错误发生的原因确定估值错误的责任方；</w:t>
      </w:r>
    </w:p>
    <w:p>
      <w:pPr>
        <w:pStyle w:val="7"/>
        <w:spacing w:before="0" w:beforeAutospacing="0" w:after="0" w:afterAutospacing="0" w:line="360" w:lineRule="auto"/>
        <w:ind w:firstLine="420"/>
        <w:rPr>
          <w:sz w:val="21"/>
          <w:szCs w:val="21"/>
        </w:rPr>
      </w:pPr>
      <w:r>
        <w:rPr>
          <w:rFonts w:hint="eastAsia"/>
          <w:sz w:val="21"/>
          <w:szCs w:val="21"/>
        </w:rPr>
        <w:t>2）根据估值错误处理原则或当事人协商的方法对因估值错误造成的损失进行评估；</w:t>
      </w:r>
    </w:p>
    <w:p>
      <w:pPr>
        <w:pStyle w:val="7"/>
        <w:spacing w:before="0" w:beforeAutospacing="0" w:after="0" w:afterAutospacing="0" w:line="360" w:lineRule="auto"/>
        <w:ind w:firstLine="420"/>
        <w:rPr>
          <w:sz w:val="21"/>
          <w:szCs w:val="21"/>
        </w:rPr>
      </w:pPr>
      <w:r>
        <w:rPr>
          <w:rFonts w:hint="eastAsia"/>
          <w:sz w:val="21"/>
          <w:szCs w:val="21"/>
        </w:rPr>
        <w:t>3）根据估值错误处理原则或当事人协商的方法由估值错误的责任方进行更正和赔偿损失；</w:t>
      </w:r>
    </w:p>
    <w:p>
      <w:pPr>
        <w:pStyle w:val="7"/>
        <w:spacing w:before="0" w:beforeAutospacing="0" w:after="0" w:afterAutospacing="0" w:line="360" w:lineRule="auto"/>
        <w:ind w:firstLine="420"/>
        <w:rPr>
          <w:sz w:val="21"/>
          <w:szCs w:val="21"/>
        </w:rPr>
      </w:pPr>
      <w:r>
        <w:rPr>
          <w:rFonts w:hint="eastAsia"/>
          <w:sz w:val="21"/>
          <w:szCs w:val="21"/>
        </w:rPr>
        <w:t>4）根据估值错误处理的方法，需要修改基金登记机构交易数据的，由基金登记机构进行更正，并就估值错误的更正向有关当事人进行确认。</w:t>
      </w:r>
    </w:p>
    <w:p>
      <w:pPr>
        <w:pStyle w:val="7"/>
        <w:spacing w:before="0" w:beforeAutospacing="0" w:after="0" w:afterAutospacing="0" w:line="360" w:lineRule="auto"/>
        <w:ind w:firstLine="420"/>
        <w:rPr>
          <w:sz w:val="21"/>
          <w:szCs w:val="21"/>
        </w:rPr>
      </w:pPr>
      <w:r>
        <w:rPr>
          <w:rFonts w:hint="eastAsia"/>
          <w:sz w:val="21"/>
          <w:szCs w:val="21"/>
        </w:rPr>
        <w:t>（4）基金份额净值估值错误处理的方法如下：</w:t>
      </w:r>
    </w:p>
    <w:p>
      <w:pPr>
        <w:pStyle w:val="7"/>
        <w:spacing w:before="0" w:beforeAutospacing="0" w:after="0" w:afterAutospacing="0" w:line="360" w:lineRule="auto"/>
        <w:ind w:firstLine="420"/>
        <w:rPr>
          <w:sz w:val="21"/>
          <w:szCs w:val="21"/>
        </w:rPr>
      </w:pPr>
      <w:r>
        <w:rPr>
          <w:rFonts w:hint="eastAsia"/>
          <w:sz w:val="21"/>
          <w:szCs w:val="21"/>
        </w:rPr>
        <w:t>1）基金份额净值计算出现错误时，基金管理人应当立即予以纠正，通报基金托管人，并采取合理的措施防止损失进一步扩大。</w:t>
      </w:r>
    </w:p>
    <w:p>
      <w:pPr>
        <w:pStyle w:val="7"/>
        <w:spacing w:before="0" w:beforeAutospacing="0" w:after="0" w:afterAutospacing="0" w:line="360" w:lineRule="auto"/>
        <w:ind w:firstLine="420"/>
        <w:rPr>
          <w:sz w:val="21"/>
          <w:szCs w:val="21"/>
        </w:rPr>
      </w:pPr>
      <w:r>
        <w:rPr>
          <w:rFonts w:hint="eastAsia"/>
          <w:sz w:val="21"/>
          <w:szCs w:val="21"/>
        </w:rPr>
        <w:t>2）错误偏差达到该类基金份额净值的0.25%时，基金管理人应当通报基金托管人并报中国证监会备案；错误偏差达到该类基金份额净值的0.5%时，基金管理人应当公告，并报中国证监会备案。</w:t>
      </w:r>
    </w:p>
    <w:p>
      <w:pPr>
        <w:pStyle w:val="7"/>
        <w:spacing w:before="0" w:beforeAutospacing="0" w:after="0" w:afterAutospacing="0" w:line="360" w:lineRule="auto"/>
        <w:ind w:firstLine="420"/>
        <w:rPr>
          <w:sz w:val="21"/>
          <w:szCs w:val="21"/>
        </w:rPr>
      </w:pPr>
      <w:r>
        <w:rPr>
          <w:rFonts w:hint="eastAsia"/>
          <w:sz w:val="21"/>
          <w:szCs w:val="21"/>
        </w:rPr>
        <w:t>3）基金管理人和基金托管人由于各自技术系统设置而产生的净值计算尾差，以基金管理人计算结果为准。</w:t>
      </w:r>
    </w:p>
    <w:p>
      <w:pPr>
        <w:pStyle w:val="7"/>
        <w:spacing w:before="0" w:beforeAutospacing="0" w:after="0" w:afterAutospacing="0" w:line="360" w:lineRule="auto"/>
        <w:ind w:firstLine="420"/>
        <w:rPr>
          <w:sz w:val="21"/>
          <w:szCs w:val="21"/>
        </w:rPr>
      </w:pPr>
      <w:r>
        <w:rPr>
          <w:rFonts w:hint="eastAsia"/>
          <w:sz w:val="21"/>
          <w:szCs w:val="21"/>
        </w:rPr>
        <w:t>4）前述内容如法律法规或监管机关另有规定的，从其规定处理。如果行业另有通行做法，基金管理人、基金托管人应本着平等和保护基金份额持有人利益的原则进行协商。</w:t>
      </w:r>
    </w:p>
    <w:p>
      <w:pPr>
        <w:pStyle w:val="7"/>
        <w:spacing w:before="0" w:beforeAutospacing="0" w:after="0" w:afterAutospacing="0" w:line="360" w:lineRule="auto"/>
        <w:ind w:firstLine="420"/>
        <w:rPr>
          <w:sz w:val="21"/>
          <w:szCs w:val="21"/>
        </w:rPr>
      </w:pPr>
      <w:r>
        <w:rPr>
          <w:rFonts w:hint="eastAsia"/>
          <w:sz w:val="21"/>
          <w:szCs w:val="21"/>
        </w:rPr>
        <w:t>5、暂停估值的情形</w:t>
      </w:r>
    </w:p>
    <w:p>
      <w:pPr>
        <w:pStyle w:val="7"/>
        <w:spacing w:before="0" w:beforeAutospacing="0" w:after="0" w:afterAutospacing="0" w:line="360" w:lineRule="auto"/>
        <w:ind w:firstLine="420"/>
        <w:rPr>
          <w:sz w:val="21"/>
          <w:szCs w:val="21"/>
        </w:rPr>
      </w:pPr>
      <w:r>
        <w:rPr>
          <w:rFonts w:hint="eastAsia"/>
          <w:sz w:val="21"/>
          <w:szCs w:val="21"/>
        </w:rPr>
        <w:t>（1）基金投资所涉及的证券、期货交易市场或外汇市场遇法定节假日或因其他原因暂停营业时；</w:t>
      </w:r>
    </w:p>
    <w:p>
      <w:pPr>
        <w:pStyle w:val="7"/>
        <w:spacing w:before="0" w:beforeAutospacing="0" w:after="0" w:afterAutospacing="0" w:line="360" w:lineRule="auto"/>
        <w:ind w:firstLine="420"/>
        <w:rPr>
          <w:sz w:val="21"/>
          <w:szCs w:val="21"/>
        </w:rPr>
      </w:pPr>
      <w:r>
        <w:rPr>
          <w:rFonts w:hint="eastAsia"/>
          <w:sz w:val="21"/>
          <w:szCs w:val="21"/>
        </w:rPr>
        <w:t>（2）因不可抗力致使基金管理人、基金托管人无法准确评估基金资产价值时；</w:t>
      </w:r>
    </w:p>
    <w:p>
      <w:pPr>
        <w:pStyle w:val="7"/>
        <w:spacing w:before="0" w:beforeAutospacing="0" w:after="0" w:afterAutospacing="0" w:line="360" w:lineRule="auto"/>
        <w:ind w:firstLine="420"/>
        <w:rPr>
          <w:sz w:val="21"/>
          <w:szCs w:val="21"/>
        </w:rPr>
      </w:pPr>
      <w:r>
        <w:rPr>
          <w:rFonts w:hint="eastAsia"/>
          <w:sz w:val="21"/>
          <w:szCs w:val="21"/>
        </w:rPr>
        <w:t>（3）当特定资产占前一估值日基金资产净值50%以上的，经与基金托管人协商确认后，基金管理人应当暂停估值；</w:t>
      </w:r>
    </w:p>
    <w:p>
      <w:pPr>
        <w:pStyle w:val="7"/>
        <w:spacing w:before="0" w:beforeAutospacing="0" w:after="0" w:afterAutospacing="0" w:line="360" w:lineRule="auto"/>
        <w:ind w:firstLine="420"/>
        <w:rPr>
          <w:sz w:val="21"/>
          <w:szCs w:val="21"/>
        </w:rPr>
      </w:pPr>
      <w:r>
        <w:rPr>
          <w:rFonts w:hint="eastAsia"/>
          <w:sz w:val="21"/>
          <w:szCs w:val="21"/>
        </w:rPr>
        <w:t>（4）法律法规规定、中国证监会和基金合同认定的其它情形。</w:t>
      </w:r>
    </w:p>
    <w:p>
      <w:pPr>
        <w:pStyle w:val="7"/>
        <w:spacing w:before="0" w:beforeAutospacing="0" w:after="0" w:afterAutospacing="0" w:line="360" w:lineRule="auto"/>
        <w:ind w:firstLine="420"/>
        <w:rPr>
          <w:sz w:val="21"/>
          <w:szCs w:val="21"/>
        </w:rPr>
      </w:pPr>
      <w:r>
        <w:rPr>
          <w:rFonts w:hint="eastAsia"/>
          <w:sz w:val="21"/>
          <w:szCs w:val="21"/>
        </w:rPr>
        <w:t>6、基金净值的确认</w:t>
      </w:r>
    </w:p>
    <w:p>
      <w:pPr>
        <w:pStyle w:val="7"/>
        <w:spacing w:before="0" w:beforeAutospacing="0" w:after="0" w:afterAutospacing="0" w:line="360" w:lineRule="auto"/>
        <w:ind w:firstLine="420"/>
        <w:rPr>
          <w:sz w:val="21"/>
          <w:szCs w:val="21"/>
        </w:rPr>
      </w:pPr>
      <w:r>
        <w:rPr>
          <w:rFonts w:hint="eastAsia"/>
          <w:sz w:val="21"/>
          <w:szCs w:val="21"/>
        </w:rPr>
        <w:t>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w:t>
      </w:r>
    </w:p>
    <w:p>
      <w:pPr>
        <w:pStyle w:val="7"/>
        <w:spacing w:before="0" w:beforeAutospacing="0" w:after="0" w:afterAutospacing="0" w:line="360" w:lineRule="auto"/>
        <w:ind w:firstLine="420"/>
        <w:rPr>
          <w:sz w:val="21"/>
          <w:szCs w:val="21"/>
        </w:rPr>
      </w:pPr>
      <w:r>
        <w:rPr>
          <w:rFonts w:hint="eastAsia"/>
          <w:sz w:val="21"/>
          <w:szCs w:val="21"/>
        </w:rPr>
        <w:t>7、特殊情形的处理 </w:t>
      </w:r>
    </w:p>
    <w:p>
      <w:pPr>
        <w:pStyle w:val="7"/>
        <w:spacing w:before="0" w:beforeAutospacing="0" w:after="0" w:afterAutospacing="0" w:line="360" w:lineRule="auto"/>
        <w:ind w:firstLine="420"/>
        <w:rPr>
          <w:sz w:val="21"/>
          <w:szCs w:val="21"/>
        </w:rPr>
      </w:pPr>
      <w:r>
        <w:rPr>
          <w:rFonts w:hint="eastAsia"/>
          <w:sz w:val="21"/>
          <w:szCs w:val="21"/>
        </w:rPr>
        <w:t>（1）基金管理人或基金托管人按估值方法的第（11）项进行估值时，所造成的误差不作为基金资产估值错误处理。</w:t>
      </w:r>
    </w:p>
    <w:p>
      <w:pPr>
        <w:pStyle w:val="7"/>
        <w:spacing w:before="0" w:beforeAutospacing="0" w:after="0" w:afterAutospacing="0" w:line="360" w:lineRule="auto"/>
        <w:ind w:firstLine="420"/>
        <w:rPr>
          <w:sz w:val="21"/>
          <w:szCs w:val="21"/>
        </w:rPr>
      </w:pPr>
      <w:r>
        <w:rPr>
          <w:rFonts w:hint="eastAsia"/>
          <w:sz w:val="21"/>
          <w:szCs w:val="21"/>
        </w:rPr>
        <w:t>（2）由于不可抗力原因，或由于证券、期货交易所或登记结算公司及存款银行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pPr>
        <w:pStyle w:val="7"/>
        <w:spacing w:before="0" w:beforeAutospacing="0" w:after="0" w:afterAutospacing="0" w:line="360" w:lineRule="auto"/>
        <w:ind w:firstLine="420"/>
        <w:rPr>
          <w:sz w:val="21"/>
          <w:szCs w:val="21"/>
        </w:rPr>
      </w:pPr>
      <w:r>
        <w:rPr>
          <w:rFonts w:hint="eastAsia"/>
          <w:sz w:val="21"/>
          <w:szCs w:val="21"/>
        </w:rPr>
        <w:t>（三）基金账册的建立</w:t>
      </w:r>
    </w:p>
    <w:p>
      <w:pPr>
        <w:pStyle w:val="7"/>
        <w:spacing w:before="0" w:beforeAutospacing="0" w:after="0" w:afterAutospacing="0" w:line="360" w:lineRule="auto"/>
        <w:ind w:firstLine="420"/>
        <w:rPr>
          <w:sz w:val="21"/>
          <w:szCs w:val="21"/>
        </w:rPr>
      </w:pPr>
      <w:r>
        <w:rPr>
          <w:rFonts w:hint="eastAsia"/>
          <w:sz w:val="21"/>
          <w:szCs w:val="21"/>
        </w:rPr>
        <w:t>基金管理人和基金托管人在《基金合同》生效后，应按照双方约定的同一记账方法和会计处理原则，分别独立地设置、记录和保管本基金的全套账册，对双方各自的账册定期进行核对，互相监督，以保证基金资产的安全。若双方对会计处理方法存在分歧，应以基金管理人的处理方法为准。</w:t>
      </w:r>
    </w:p>
    <w:p>
      <w:pPr>
        <w:pStyle w:val="7"/>
        <w:spacing w:before="0" w:beforeAutospacing="0" w:after="0" w:afterAutospacing="0" w:line="360" w:lineRule="auto"/>
        <w:ind w:firstLine="420"/>
        <w:rPr>
          <w:sz w:val="21"/>
          <w:szCs w:val="21"/>
        </w:rPr>
      </w:pPr>
      <w:r>
        <w:rPr>
          <w:rFonts w:hint="eastAsia"/>
          <w:sz w:val="21"/>
          <w:szCs w:val="21"/>
        </w:rPr>
        <w:t>经对账发现双方的账目存在不符的，基金管理人和基金托管人必须及时查明原因并纠正，保证双方平行登录的账册记录完全相符。若当日核对不符，暂时无法查找到错账的原因而影响到基金净值信息的计算和公告的，以基金管理人的账册为准。</w:t>
      </w:r>
    </w:p>
    <w:p>
      <w:pPr>
        <w:pStyle w:val="7"/>
        <w:spacing w:before="0" w:beforeAutospacing="0" w:after="0" w:afterAutospacing="0" w:line="360" w:lineRule="auto"/>
        <w:ind w:firstLine="420"/>
        <w:rPr>
          <w:sz w:val="21"/>
          <w:szCs w:val="21"/>
        </w:rPr>
      </w:pPr>
      <w:r>
        <w:rPr>
          <w:rFonts w:hint="eastAsia"/>
          <w:sz w:val="21"/>
          <w:szCs w:val="21"/>
        </w:rPr>
        <w:t>（四）基金定期报告的编制和复核</w:t>
      </w:r>
    </w:p>
    <w:p>
      <w:pPr>
        <w:pStyle w:val="7"/>
        <w:spacing w:before="0" w:beforeAutospacing="0" w:after="0" w:afterAutospacing="0" w:line="360" w:lineRule="auto"/>
        <w:ind w:firstLine="420"/>
        <w:rPr>
          <w:sz w:val="21"/>
          <w:szCs w:val="21"/>
        </w:rPr>
      </w:pPr>
      <w:r>
        <w:rPr>
          <w:rFonts w:hint="eastAsia"/>
          <w:sz w:val="21"/>
          <w:szCs w:val="21"/>
        </w:rPr>
        <w:t>基金管理人应当在每月结束后5个工作日内完成月度报表的编制；在季度结束之日起15个工作日内完成基金季度报告的编制；在上半年结束之日起两个月内完成基金中期报告的编制；在每年结束之日起三个月内完成基金年度报告的编制。基金年度报告中的财务会计报告应当经过符合《中华人民共和国证券法》规定的会计师事务所审计。基金合同生效不足两个月的，基金管理人可以不编制当期季度报告、中期报告或者年度报告。</w:t>
      </w:r>
    </w:p>
    <w:p>
      <w:pPr>
        <w:pStyle w:val="7"/>
        <w:spacing w:before="0" w:beforeAutospacing="0" w:after="0" w:afterAutospacing="0" w:line="360" w:lineRule="auto"/>
        <w:ind w:firstLine="420"/>
        <w:rPr>
          <w:sz w:val="21"/>
          <w:szCs w:val="21"/>
        </w:rPr>
      </w:pPr>
      <w:r>
        <w:rPr>
          <w:rFonts w:hint="eastAsia"/>
          <w:sz w:val="21"/>
          <w:szCs w:val="21"/>
        </w:rPr>
        <w:t>基金托管人在复核过程中，发现双方的报表存在不符时，基金管理人和基金托管人应共同查明原因，进行调整，调整以双方认可的账务处理方式为准。核对无误后，基金托管人在基金管理人提供的报告上加盖业务印鉴或者出具加盖托管业务部门公章的复核意见书，双方各自留存一份。</w:t>
      </w:r>
    </w:p>
    <w:p>
      <w:pPr>
        <w:pStyle w:val="7"/>
        <w:spacing w:before="0" w:beforeAutospacing="0" w:after="0" w:afterAutospacing="0" w:line="360" w:lineRule="auto"/>
        <w:ind w:firstLine="420"/>
        <w:rPr>
          <w:sz w:val="21"/>
          <w:szCs w:val="21"/>
        </w:rPr>
      </w:pPr>
      <w:r>
        <w:rPr>
          <w:rFonts w:hint="eastAsia"/>
          <w:sz w:val="21"/>
          <w:szCs w:val="21"/>
        </w:rPr>
        <w:t>基金托管人在对财务会计报告、中期报告或年度报告复核完毕后，需盖章确认或出具相应的复核确认书或进行电子确认，以备有权机构对相关文件审核时提示。</w:t>
      </w:r>
    </w:p>
    <w:p>
      <w:pPr>
        <w:pStyle w:val="7"/>
        <w:spacing w:before="0" w:beforeAutospacing="0" w:after="0" w:afterAutospacing="0" w:line="360" w:lineRule="auto"/>
        <w:ind w:firstLine="420"/>
        <w:rPr>
          <w:sz w:val="21"/>
          <w:szCs w:val="21"/>
        </w:rPr>
      </w:pPr>
      <w:r>
        <w:rPr>
          <w:rFonts w:hint="eastAsia"/>
          <w:sz w:val="21"/>
          <w:szCs w:val="21"/>
        </w:rPr>
        <w:t>（五）实施侧袋机制期间的基金资产估值</w:t>
      </w:r>
    </w:p>
    <w:p>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本基金实施侧袋机制的，应根据本部分的约定对主袋账户资产进行估值并披露主袋账户的基金净值信息，暂停披露侧袋账户基金净值信息。</w:t>
      </w:r>
    </w:p>
    <w:p>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pPr>
        <w:pStyle w:val="7"/>
        <w:spacing w:before="0" w:beforeAutospacing="0" w:after="0" w:afterAutospacing="0" w:line="360" w:lineRule="auto"/>
        <w:ind w:firstLine="420"/>
        <w:rPr>
          <w:sz w:val="21"/>
          <w:szCs w:val="21"/>
        </w:rPr>
      </w:pPr>
      <w:r>
        <w:rPr>
          <w:rFonts w:hint="eastAsia"/>
          <w:sz w:val="21"/>
          <w:szCs w:val="21"/>
        </w:rPr>
        <w:t>基金管理人和基金托管人须分别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w:t>
      </w:r>
    </w:p>
    <w:p>
      <w:pPr>
        <w:pStyle w:val="7"/>
        <w:spacing w:before="0" w:beforeAutospacing="0" w:after="0" w:afterAutospacing="0" w:line="360" w:lineRule="auto"/>
        <w:ind w:firstLine="420"/>
        <w:rPr>
          <w:sz w:val="21"/>
          <w:szCs w:val="21"/>
        </w:rPr>
      </w:pPr>
      <w:r>
        <w:rPr>
          <w:rFonts w:hint="eastAsia"/>
          <w:sz w:val="21"/>
          <w:szCs w:val="21"/>
        </w:rPr>
        <w:t>基金份额持有人名册由基金的登记机构根据基金管理人的指令编制和保管，基金管理人和基金托管人应按照目前相关规则分别保管基金份额持有人名册。保管方式可以采用电子或文档的形式。保管期限不低于法律法规规定的最低期限。</w:t>
      </w:r>
    </w:p>
    <w:p>
      <w:pPr>
        <w:pStyle w:val="7"/>
        <w:spacing w:before="0" w:beforeAutospacing="0" w:after="0" w:afterAutospacing="0" w:line="360" w:lineRule="auto"/>
        <w:ind w:firstLine="420"/>
        <w:rPr>
          <w:sz w:val="21"/>
          <w:szCs w:val="21"/>
        </w:rPr>
      </w:pPr>
      <w:r>
        <w:rPr>
          <w:rFonts w:hint="eastAsia"/>
          <w:sz w:val="21"/>
          <w:szCs w:val="21"/>
        </w:rPr>
        <w:t>基金管理人应当及时向基金托管人提交下列日期的基金份额持有人名册：《基金合同》生效日、《基金合同》终止日、基金份额持有人大会权益登记日、每年6月30日、每年12月31日的基金份额持有人名册。基金份额持有人名册的内容必须包括基金份额持有人的名称和持有的基金份额。其中每年12月31日的基金份额持有人名册应于下月前十个工作日内提交；《基金合同》生效日、《基金合同》终止日、基金份额持有人大会权益登记日等涉及到基金重要事项日期的基金份额持有人名册应于发生日后十个工作日内提交。</w:t>
      </w:r>
    </w:p>
    <w:p>
      <w:pPr>
        <w:pStyle w:val="7"/>
        <w:spacing w:before="0" w:beforeAutospacing="0" w:after="0" w:afterAutospacing="0" w:line="360" w:lineRule="auto"/>
        <w:ind w:firstLine="420"/>
        <w:rPr>
          <w:sz w:val="21"/>
          <w:szCs w:val="21"/>
        </w:rPr>
      </w:pPr>
      <w:r>
        <w:rPr>
          <w:rFonts w:hint="eastAsia"/>
          <w:sz w:val="21"/>
          <w:szCs w:val="21"/>
        </w:rPr>
        <w:t>基金托管人以电子版形式妥善保管基金份额持有人名册，并定期刻成光盘备份，保存期限不低于法律法规规定的最低期限。基金托管人不得将所保管的基金份额持有人名册用于基金托管业务以外的其他用途，并应遵守保密义务。</w:t>
      </w:r>
    </w:p>
    <w:p>
      <w:pPr>
        <w:pStyle w:val="7"/>
        <w:spacing w:before="0" w:beforeAutospacing="0" w:after="0" w:afterAutospacing="0" w:line="360" w:lineRule="auto"/>
        <w:ind w:firstLine="420"/>
        <w:rPr>
          <w:sz w:val="21"/>
          <w:szCs w:val="21"/>
        </w:rPr>
      </w:pPr>
      <w:r>
        <w:rPr>
          <w:rFonts w:hint="eastAsia"/>
          <w:sz w:val="21"/>
          <w:szCs w:val="21"/>
        </w:rPr>
        <w:t>若基金管理人或基金托管人由于自身原因无法妥善保管基金份额持有人名册，应按有关法规规定各自承担相应的责任。</w:t>
      </w:r>
    </w:p>
    <w:p>
      <w:pPr>
        <w:pStyle w:val="7"/>
        <w:spacing w:before="0" w:beforeAutospacing="0" w:after="0" w:afterAutospacing="0" w:line="360" w:lineRule="auto"/>
        <w:ind w:firstLine="420"/>
        <w:rPr>
          <w:sz w:val="21"/>
          <w:szCs w:val="21"/>
        </w:rPr>
      </w:pPr>
      <w:r>
        <w:rPr>
          <w:rStyle w:val="11"/>
          <w:rFonts w:hint="eastAsia"/>
          <w:sz w:val="21"/>
          <w:szCs w:val="21"/>
        </w:rPr>
        <w:t>七、争议解决方式</w:t>
      </w:r>
    </w:p>
    <w:p>
      <w:pPr>
        <w:pStyle w:val="7"/>
        <w:spacing w:before="0" w:beforeAutospacing="0" w:after="0" w:afterAutospacing="0" w:line="360" w:lineRule="auto"/>
        <w:ind w:firstLine="420"/>
        <w:rPr>
          <w:sz w:val="21"/>
          <w:szCs w:val="21"/>
        </w:rPr>
      </w:pPr>
      <w:r>
        <w:rPr>
          <w:rStyle w:val="11"/>
          <w:rFonts w:hint="eastAsia"/>
          <w:sz w:val="21"/>
          <w:szCs w:val="21"/>
        </w:rPr>
        <w:t>双方当事人同意，因本协议而产生的或与本协议有关的一切争议如不愿或者不能通过协商、调解解决的，应将争议提交深圳国际仲裁院（深圳仲裁委员会），根据该会当时有效的仲裁规则进行仲裁，仲裁的地点在深圳市，仲裁裁决是终局的，并对相关各方当事人均有约束力。除非仲裁裁决另有规定，仲裁费用、律师费用由败诉方承担。</w:t>
      </w:r>
    </w:p>
    <w:p>
      <w:pPr>
        <w:pStyle w:val="7"/>
        <w:spacing w:before="0" w:beforeAutospacing="0" w:after="0" w:afterAutospacing="0" w:line="360" w:lineRule="auto"/>
        <w:ind w:firstLine="420"/>
        <w:rPr>
          <w:sz w:val="21"/>
          <w:szCs w:val="21"/>
        </w:rPr>
      </w:pPr>
      <w:r>
        <w:rPr>
          <w:rStyle w:val="11"/>
          <w:rFonts w:hint="eastAsia"/>
          <w:sz w:val="21"/>
          <w:szCs w:val="21"/>
        </w:rPr>
        <w:t>争议处理期间，双方当事人应恪守基金管理人和基金托管人职责，各自继续忠实、勤勉、尽责地履行基金合同和托管协议规定的义务，维护基金份额持有人的合法权益。</w:t>
      </w:r>
    </w:p>
    <w:p>
      <w:pPr>
        <w:pStyle w:val="7"/>
        <w:spacing w:before="0" w:beforeAutospacing="0" w:after="0" w:afterAutospacing="0" w:line="360" w:lineRule="auto"/>
        <w:ind w:firstLine="420"/>
        <w:rPr>
          <w:sz w:val="21"/>
          <w:szCs w:val="21"/>
        </w:rPr>
      </w:pPr>
      <w:r>
        <w:rPr>
          <w:rStyle w:val="11"/>
          <w:rFonts w:hint="eastAsia"/>
          <w:sz w:val="21"/>
          <w:szCs w:val="21"/>
        </w:rPr>
        <w:t>本协议受中国法律（为本托管协议之目的，在此不包括香港、澳门特别行政区和台湾地区法律）管辖并从其解释。</w:t>
      </w:r>
    </w:p>
    <w:p>
      <w:pPr>
        <w:pStyle w:val="7"/>
        <w:spacing w:before="0" w:beforeAutospacing="0" w:after="0" w:afterAutospacing="0" w:line="360" w:lineRule="auto"/>
        <w:ind w:firstLine="420"/>
        <w:rPr>
          <w:sz w:val="21"/>
          <w:szCs w:val="21"/>
        </w:rPr>
      </w:pPr>
      <w:r>
        <w:rPr>
          <w:rStyle w:val="11"/>
          <w:rFonts w:hint="eastAsia"/>
          <w:sz w:val="21"/>
          <w:szCs w:val="21"/>
        </w:rPr>
        <w:t>八、托管协议的变更、终止与基金财产的清算</w:t>
      </w:r>
    </w:p>
    <w:p>
      <w:pPr>
        <w:pStyle w:val="7"/>
        <w:spacing w:before="0" w:beforeAutospacing="0" w:after="0" w:afterAutospacing="0" w:line="360" w:lineRule="auto"/>
        <w:ind w:firstLine="420"/>
        <w:rPr>
          <w:sz w:val="21"/>
          <w:szCs w:val="21"/>
        </w:rPr>
      </w:pPr>
      <w:r>
        <w:rPr>
          <w:rFonts w:hint="eastAsia"/>
          <w:sz w:val="21"/>
          <w:szCs w:val="21"/>
        </w:rPr>
        <w:t>（一）托管协议的变更与终止</w:t>
      </w:r>
    </w:p>
    <w:p>
      <w:pPr>
        <w:pStyle w:val="7"/>
        <w:spacing w:before="0" w:beforeAutospacing="0" w:after="0" w:afterAutospacing="0" w:line="360" w:lineRule="auto"/>
        <w:ind w:firstLine="420"/>
        <w:rPr>
          <w:sz w:val="21"/>
          <w:szCs w:val="21"/>
        </w:rPr>
      </w:pPr>
      <w:r>
        <w:rPr>
          <w:rFonts w:hint="eastAsia"/>
          <w:sz w:val="21"/>
          <w:szCs w:val="21"/>
        </w:rPr>
        <w:t>1、托管协议的变更程序</w:t>
      </w:r>
    </w:p>
    <w:p>
      <w:pPr>
        <w:pStyle w:val="7"/>
        <w:spacing w:before="0" w:beforeAutospacing="0" w:after="0" w:afterAutospacing="0" w:line="360" w:lineRule="auto"/>
        <w:ind w:firstLine="420"/>
        <w:rPr>
          <w:sz w:val="21"/>
          <w:szCs w:val="21"/>
        </w:rPr>
      </w:pPr>
      <w:r>
        <w:rPr>
          <w:rFonts w:hint="eastAsia"/>
          <w:sz w:val="21"/>
          <w:szCs w:val="21"/>
        </w:rPr>
        <w:t>本协议双方当事人经协商一致，可以对协议的内容进行变更。变更后的托管协议，其内容不得与《基金合同》的规定有任何冲突。</w:t>
      </w:r>
    </w:p>
    <w:p>
      <w:pPr>
        <w:pStyle w:val="7"/>
        <w:spacing w:before="0" w:beforeAutospacing="0" w:after="0" w:afterAutospacing="0" w:line="360" w:lineRule="auto"/>
        <w:ind w:firstLine="420"/>
        <w:rPr>
          <w:sz w:val="21"/>
          <w:szCs w:val="21"/>
        </w:rPr>
      </w:pPr>
      <w:r>
        <w:rPr>
          <w:rFonts w:hint="eastAsia"/>
          <w:sz w:val="21"/>
          <w:szCs w:val="21"/>
        </w:rPr>
        <w:t>2、基金托管协议终止的情形</w:t>
      </w:r>
    </w:p>
    <w:p>
      <w:pPr>
        <w:pStyle w:val="7"/>
        <w:spacing w:before="0" w:beforeAutospacing="0" w:after="0" w:afterAutospacing="0" w:line="360" w:lineRule="auto"/>
        <w:ind w:firstLine="420"/>
        <w:rPr>
          <w:sz w:val="21"/>
          <w:szCs w:val="21"/>
        </w:rPr>
      </w:pPr>
      <w:r>
        <w:rPr>
          <w:rFonts w:hint="eastAsia"/>
          <w:sz w:val="21"/>
          <w:szCs w:val="21"/>
        </w:rPr>
        <w:t>发生以下情况，本托管协议在履行适当程序后终止：</w:t>
      </w:r>
    </w:p>
    <w:p>
      <w:pPr>
        <w:pStyle w:val="7"/>
        <w:spacing w:before="0" w:beforeAutospacing="0" w:after="0" w:afterAutospacing="0" w:line="360" w:lineRule="auto"/>
        <w:ind w:firstLine="420"/>
        <w:rPr>
          <w:sz w:val="21"/>
          <w:szCs w:val="21"/>
        </w:rPr>
      </w:pPr>
      <w:r>
        <w:rPr>
          <w:rFonts w:hint="eastAsia"/>
          <w:sz w:val="21"/>
          <w:szCs w:val="21"/>
        </w:rPr>
        <w:t>（1）《基金合同》终止；</w:t>
      </w:r>
    </w:p>
    <w:p>
      <w:pPr>
        <w:pStyle w:val="7"/>
        <w:spacing w:before="0" w:beforeAutospacing="0" w:after="0" w:afterAutospacing="0" w:line="360" w:lineRule="auto"/>
        <w:ind w:firstLine="420"/>
        <w:rPr>
          <w:sz w:val="21"/>
          <w:szCs w:val="21"/>
        </w:rPr>
      </w:pPr>
      <w:r>
        <w:rPr>
          <w:rFonts w:hint="eastAsia"/>
          <w:sz w:val="21"/>
          <w:szCs w:val="21"/>
        </w:rPr>
        <w:t>（2）发生法律法规或《基金合同》规定的终止事项。</w:t>
      </w:r>
    </w:p>
    <w:p>
      <w:pPr>
        <w:pStyle w:val="7"/>
        <w:spacing w:before="0" w:beforeAutospacing="0" w:after="0" w:afterAutospacing="0" w:line="360" w:lineRule="auto"/>
        <w:ind w:firstLine="420"/>
        <w:rPr>
          <w:sz w:val="21"/>
          <w:szCs w:val="21"/>
        </w:rPr>
      </w:pPr>
      <w:r>
        <w:rPr>
          <w:rFonts w:hint="eastAsia"/>
          <w:sz w:val="21"/>
          <w:szCs w:val="21"/>
        </w:rPr>
        <w:t>（二）基金财产的清算</w:t>
      </w:r>
    </w:p>
    <w:p>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1、基金财产清算小组：自出现《基金合同》终止事由之日起30个工作日内成立基金财产清算小组，基金管理人组织基金财产清算小组并在中国证监会的监督下进行基金清算。</w:t>
      </w:r>
    </w:p>
    <w:p>
      <w:pPr>
        <w:pStyle w:val="7"/>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pPr>
        <w:pStyle w:val="7"/>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pPr>
        <w:pStyle w:val="7"/>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pPr>
        <w:pStyle w:val="7"/>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pPr>
        <w:pStyle w:val="7"/>
        <w:spacing w:before="0" w:beforeAutospacing="0" w:after="0" w:afterAutospacing="0" w:line="360" w:lineRule="auto"/>
        <w:ind w:firstLine="420"/>
        <w:rPr>
          <w:sz w:val="21"/>
          <w:szCs w:val="21"/>
        </w:rPr>
      </w:pPr>
      <w:r>
        <w:rPr>
          <w:rFonts w:hint="eastAsia"/>
          <w:sz w:val="21"/>
          <w:szCs w:val="21"/>
        </w:rPr>
        <w:t>6、基金财产清算程序：</w:t>
      </w:r>
    </w:p>
    <w:p>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pPr>
        <w:pStyle w:val="7"/>
        <w:spacing w:before="0" w:beforeAutospacing="0" w:after="0" w:afterAutospacing="0" w:line="360" w:lineRule="auto"/>
        <w:ind w:firstLine="420"/>
        <w:rPr>
          <w:sz w:val="21"/>
          <w:szCs w:val="21"/>
        </w:rPr>
      </w:pPr>
      <w:r>
        <w:rPr>
          <w:rFonts w:hint="eastAsia"/>
          <w:sz w:val="21"/>
          <w:szCs w:val="21"/>
        </w:rPr>
        <w:t>（3）对基金财产进行估值和变现；</w:t>
      </w:r>
    </w:p>
    <w:p>
      <w:pPr>
        <w:pStyle w:val="7"/>
        <w:spacing w:before="0" w:beforeAutospacing="0" w:after="0" w:afterAutospacing="0" w:line="360" w:lineRule="auto"/>
        <w:ind w:firstLine="420"/>
        <w:rPr>
          <w:sz w:val="21"/>
          <w:szCs w:val="21"/>
        </w:rPr>
      </w:pPr>
      <w:r>
        <w:rPr>
          <w:rFonts w:hint="eastAsia"/>
          <w:sz w:val="21"/>
          <w:szCs w:val="21"/>
        </w:rPr>
        <w:t>（4）制作清算报告；</w:t>
      </w:r>
    </w:p>
    <w:p>
      <w:pPr>
        <w:pStyle w:val="7"/>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pPr>
        <w:pStyle w:val="7"/>
        <w:spacing w:before="0" w:beforeAutospacing="0" w:after="0" w:afterAutospacing="0" w:line="360" w:lineRule="auto"/>
        <w:ind w:firstLine="420"/>
        <w:rPr>
          <w:sz w:val="21"/>
          <w:szCs w:val="21"/>
        </w:rPr>
      </w:pPr>
      <w:r>
        <w:rPr>
          <w:rFonts w:hint="eastAsia"/>
          <w:sz w:val="21"/>
          <w:szCs w:val="21"/>
        </w:rPr>
        <w:t>（7）对基金剩余财产进行分配。</w:t>
      </w:r>
    </w:p>
    <w:p>
      <w:pPr>
        <w:pStyle w:val="7"/>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7、基金财产清算的期限为6个月，但因本基金所持证券的流动性受到限制而不能及时变现的，清算期限可相应顺延。</w:t>
      </w:r>
    </w:p>
    <w:p>
      <w:pPr>
        <w:pStyle w:val="7"/>
        <w:spacing w:before="0" w:beforeAutospacing="0" w:after="0" w:afterAutospacing="0" w:line="360" w:lineRule="auto"/>
        <w:ind w:firstLine="420"/>
        <w:rPr>
          <w:sz w:val="21"/>
          <w:szCs w:val="21"/>
        </w:rPr>
      </w:pPr>
      <w:r>
        <w:rPr>
          <w:rFonts w:hint="eastAsia"/>
          <w:sz w:val="21"/>
          <w:szCs w:val="21"/>
        </w:rPr>
        <w:t>（三）基金财产清算的公告</w:t>
      </w:r>
    </w:p>
    <w:p>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pStyle w:val="7"/>
        <w:spacing w:before="0" w:beforeAutospacing="0" w:after="0" w:afterAutospacing="0" w:line="360" w:lineRule="auto"/>
        <w:ind w:firstLine="420"/>
        <w:rPr>
          <w:sz w:val="21"/>
          <w:szCs w:val="21"/>
        </w:rPr>
      </w:pPr>
      <w:r>
        <w:rPr>
          <w:rFonts w:hint="eastAsia"/>
          <w:sz w:val="21"/>
          <w:szCs w:val="21"/>
        </w:rPr>
        <w:t>（四）基金财产清算账册及文件的保存</w:t>
      </w:r>
    </w:p>
    <w:p>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w:t>
      </w:r>
      <w:bookmarkStart w:id="183" w:name="chapter_level1_23_72_section_1_end"/>
      <w:bookmarkEnd w:id="183"/>
      <w:r>
        <w:rPr>
          <w:rFonts w:hint="eastAsia"/>
          <w:sz w:val="21"/>
          <w:szCs w:val="21"/>
        </w:rPr>
        <w:t>期限。</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4" w:name="_Toc207939917"/>
      <w:bookmarkStart w:id="185" w:name="chapter_level1_24_75"/>
      <w:r>
        <w:rPr>
          <w:rFonts w:hint="eastAsia" w:ascii="宋体" w:hAnsi="宋体" w:eastAsia="宋体"/>
          <w:sz w:val="30"/>
        </w:rPr>
        <w:t>第二十一部分  对基金份额持有人的服务</w:t>
      </w:r>
      <w:bookmarkEnd w:id="184"/>
      <w:bookmarkEnd w:id="185"/>
    </w:p>
    <w:p>
      <w:pPr>
        <w:pStyle w:val="7"/>
        <w:spacing w:before="0" w:beforeAutospacing="0" w:after="0" w:afterAutospacing="0" w:line="360" w:lineRule="auto"/>
        <w:ind w:firstLine="420"/>
        <w:rPr>
          <w:sz w:val="21"/>
          <w:szCs w:val="21"/>
        </w:rPr>
      </w:pPr>
      <w:bookmarkStart w:id="186" w:name="chapter_level1_24_75_section_1"/>
      <w:bookmarkEnd w:id="186"/>
      <w:r>
        <w:rPr>
          <w:rFonts w:hint="eastAsia"/>
          <w:sz w:val="21"/>
          <w:szCs w:val="21"/>
        </w:rPr>
        <w:t>对本基金份额持有人的服务主要由基金管理人、基金销售机构提供。基金管理人承诺为基金份额持有人提供一系列的服务，根据基金份额持有人的需要和市场的变化，有权增加或变更服务项目，主要服务内容如下：</w:t>
      </w:r>
    </w:p>
    <w:p>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pPr>
        <w:pStyle w:val="7"/>
        <w:spacing w:before="0" w:beforeAutospacing="0" w:after="0" w:afterAutospacing="0" w:line="360" w:lineRule="auto"/>
        <w:ind w:firstLine="420"/>
        <w:rPr>
          <w:sz w:val="21"/>
          <w:szCs w:val="21"/>
        </w:rPr>
      </w:pPr>
      <w:r>
        <w:rPr>
          <w:rFonts w:hint="eastAsia"/>
          <w:sz w:val="21"/>
          <w:szCs w:val="21"/>
        </w:rPr>
        <w:t>1、交易确认单</w:t>
      </w:r>
    </w:p>
    <w:p>
      <w:pPr>
        <w:pStyle w:val="7"/>
        <w:spacing w:before="0" w:beforeAutospacing="0" w:after="0" w:afterAutospacing="0" w:line="360" w:lineRule="auto"/>
        <w:ind w:firstLine="420"/>
        <w:rPr>
          <w:sz w:val="21"/>
          <w:szCs w:val="21"/>
        </w:rPr>
      </w:pPr>
      <w:r>
        <w:rPr>
          <w:rFonts w:hint="eastAsia"/>
          <w:sz w:val="21"/>
          <w:szCs w:val="21"/>
        </w:rPr>
        <w:t>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w:t>
      </w:r>
    </w:p>
    <w:p>
      <w:pPr>
        <w:pStyle w:val="7"/>
        <w:spacing w:before="0" w:beforeAutospacing="0" w:after="0" w:afterAutospacing="0" w:line="360" w:lineRule="auto"/>
        <w:ind w:firstLine="420"/>
        <w:rPr>
          <w:sz w:val="21"/>
          <w:szCs w:val="21"/>
        </w:rPr>
      </w:pPr>
      <w:r>
        <w:rPr>
          <w:rFonts w:hint="eastAsia"/>
          <w:sz w:val="21"/>
          <w:szCs w:val="21"/>
        </w:rPr>
        <w:t>2、电子对账单</w:t>
      </w:r>
    </w:p>
    <w:p>
      <w:pPr>
        <w:pStyle w:val="7"/>
        <w:spacing w:before="0" w:beforeAutospacing="0" w:after="0" w:afterAutospacing="0" w:line="360" w:lineRule="auto"/>
        <w:ind w:firstLine="420"/>
        <w:rPr>
          <w:sz w:val="21"/>
          <w:szCs w:val="21"/>
        </w:rPr>
      </w:pPr>
      <w:r>
        <w:rPr>
          <w:rFonts w:hint="eastAsia"/>
          <w:sz w:val="21"/>
          <w:szCs w:val="21"/>
        </w:rPr>
        <w:t>每月结束后，基金管理人向所有订阅电子邮件对账单的投资者发送电子邮件对账单。</w:t>
      </w:r>
    </w:p>
    <w:p>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投资者可以登录基金管理人网站（http://www.bosera.com）自助订阅；或发送“订阅电子对账单”邮件到客服邮箱service@bosera.com；也可直接拨打博时一线通95105568（免长途话费）订阅。</w:t>
      </w:r>
    </w:p>
    <w:p>
      <w:pPr>
        <w:pStyle w:val="7"/>
        <w:spacing w:before="0" w:beforeAutospacing="0" w:after="0" w:afterAutospacing="0" w:line="360" w:lineRule="auto"/>
        <w:ind w:firstLine="420"/>
        <w:rPr>
          <w:sz w:val="21"/>
          <w:szCs w:val="21"/>
        </w:rPr>
      </w:pPr>
      <w:r>
        <w:rPr>
          <w:rFonts w:hint="eastAsia"/>
          <w:sz w:val="21"/>
          <w:szCs w:val="21"/>
        </w:rPr>
        <w:t>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w:t>
      </w:r>
    </w:p>
    <w:p>
      <w:pPr>
        <w:pStyle w:val="7"/>
        <w:spacing w:before="0" w:beforeAutospacing="0" w:after="0" w:afterAutospacing="0" w:line="360" w:lineRule="auto"/>
        <w:ind w:firstLine="420"/>
        <w:rPr>
          <w:sz w:val="21"/>
          <w:szCs w:val="21"/>
        </w:rPr>
      </w:pPr>
      <w:r>
        <w:rPr>
          <w:rFonts w:hint="eastAsia"/>
          <w:sz w:val="21"/>
          <w:szCs w:val="21"/>
        </w:rPr>
        <w:t>二、网上理财服务</w:t>
      </w:r>
    </w:p>
    <w:p>
      <w:pPr>
        <w:pStyle w:val="7"/>
        <w:spacing w:before="0" w:beforeAutospacing="0" w:after="0" w:afterAutospacing="0" w:line="360" w:lineRule="auto"/>
        <w:ind w:firstLine="420"/>
        <w:rPr>
          <w:sz w:val="21"/>
          <w:szCs w:val="21"/>
        </w:rPr>
      </w:pPr>
      <w:r>
        <w:rPr>
          <w:rFonts w:hint="eastAsia"/>
          <w:sz w:val="21"/>
          <w:szCs w:val="21"/>
        </w:rPr>
        <w:t>通过基金管理人网站，投资者可获得如下服务：</w:t>
      </w:r>
    </w:p>
    <w:p>
      <w:pPr>
        <w:pStyle w:val="7"/>
        <w:spacing w:before="0" w:beforeAutospacing="0" w:after="0" w:afterAutospacing="0" w:line="360" w:lineRule="auto"/>
        <w:ind w:firstLine="420"/>
        <w:rPr>
          <w:sz w:val="21"/>
          <w:szCs w:val="21"/>
        </w:rPr>
      </w:pPr>
      <w:r>
        <w:rPr>
          <w:rFonts w:hint="eastAsia"/>
          <w:sz w:val="21"/>
          <w:szCs w:val="21"/>
        </w:rPr>
        <w:t>1、自助开户交易</w:t>
      </w:r>
    </w:p>
    <w:p>
      <w:pPr>
        <w:pStyle w:val="7"/>
        <w:spacing w:before="0" w:beforeAutospacing="0" w:after="0" w:afterAutospacing="0" w:line="360" w:lineRule="auto"/>
        <w:ind w:firstLine="420"/>
        <w:rPr>
          <w:sz w:val="21"/>
          <w:szCs w:val="21"/>
        </w:rPr>
      </w:pPr>
      <w:r>
        <w:rPr>
          <w:rFonts w:hint="eastAsia"/>
          <w:sz w:val="21"/>
          <w:szCs w:val="21"/>
        </w:rPr>
        <w:t>投资者可登录基金管理人网站网上交易系统，与基金管理人达成电子交易的相关协议，接受基金管理人有关服务条款并办理相关手续后，即可自助开户并进行网上交易，如基金认/申购、定投、转换、赎回、赎回转申购及分红方式变更等。具体业务办理情况及业务规则请登录基金管理人网站查询。</w:t>
      </w:r>
    </w:p>
    <w:p>
      <w:pPr>
        <w:pStyle w:val="7"/>
        <w:spacing w:before="0" w:beforeAutospacing="0" w:after="0" w:afterAutospacing="0" w:line="360" w:lineRule="auto"/>
        <w:ind w:firstLine="420"/>
        <w:rPr>
          <w:sz w:val="21"/>
          <w:szCs w:val="21"/>
        </w:rPr>
      </w:pPr>
      <w:r>
        <w:rPr>
          <w:rFonts w:hint="eastAsia"/>
          <w:sz w:val="21"/>
          <w:szCs w:val="21"/>
        </w:rPr>
        <w:t>2、查询服务</w:t>
      </w:r>
    </w:p>
    <w:p>
      <w:pPr>
        <w:pStyle w:val="7"/>
        <w:spacing w:before="0" w:beforeAutospacing="0" w:after="0" w:afterAutospacing="0" w:line="360" w:lineRule="auto"/>
        <w:ind w:firstLine="420"/>
        <w:rPr>
          <w:sz w:val="21"/>
          <w:szCs w:val="21"/>
        </w:rPr>
      </w:pPr>
      <w:r>
        <w:rPr>
          <w:rFonts w:hint="eastAsia"/>
          <w:sz w:val="21"/>
          <w:szCs w:val="21"/>
        </w:rPr>
        <w:t>投资者可以通过基金管理人网站查询所持有基金的基金份额、交易记录等信息，同时可以修改基金账户信息等基本资料。</w:t>
      </w:r>
    </w:p>
    <w:p>
      <w:pPr>
        <w:pStyle w:val="7"/>
        <w:spacing w:before="0" w:beforeAutospacing="0" w:after="0" w:afterAutospacing="0" w:line="360" w:lineRule="auto"/>
        <w:ind w:firstLine="420"/>
        <w:rPr>
          <w:sz w:val="21"/>
          <w:szCs w:val="21"/>
        </w:rPr>
      </w:pPr>
      <w:r>
        <w:rPr>
          <w:rFonts w:hint="eastAsia"/>
          <w:sz w:val="21"/>
          <w:szCs w:val="21"/>
        </w:rPr>
        <w:t>3、信息资讯服务</w:t>
      </w:r>
    </w:p>
    <w:p>
      <w:pPr>
        <w:pStyle w:val="7"/>
        <w:spacing w:before="0" w:beforeAutospacing="0" w:after="0" w:afterAutospacing="0" w:line="360" w:lineRule="auto"/>
        <w:ind w:firstLine="420"/>
        <w:rPr>
          <w:sz w:val="21"/>
          <w:szCs w:val="21"/>
        </w:rPr>
      </w:pPr>
      <w:r>
        <w:rPr>
          <w:rFonts w:hint="eastAsia"/>
          <w:sz w:val="21"/>
          <w:szCs w:val="21"/>
        </w:rPr>
        <w:t>投资者可以利用基金管理人网站获取基金和基金管理人各类信息，包括基金法律文件、基金管理人最新动态、热点问题等。</w:t>
      </w:r>
    </w:p>
    <w:p>
      <w:pPr>
        <w:pStyle w:val="7"/>
        <w:spacing w:before="0" w:beforeAutospacing="0" w:after="0" w:afterAutospacing="0" w:line="360" w:lineRule="auto"/>
        <w:ind w:firstLine="420"/>
        <w:rPr>
          <w:sz w:val="21"/>
          <w:szCs w:val="21"/>
        </w:rPr>
      </w:pPr>
      <w:r>
        <w:rPr>
          <w:rFonts w:hint="eastAsia"/>
          <w:sz w:val="21"/>
          <w:szCs w:val="21"/>
        </w:rPr>
        <w:t>4、在线客服</w:t>
      </w:r>
    </w:p>
    <w:p>
      <w:pPr>
        <w:pStyle w:val="7"/>
        <w:spacing w:before="0" w:beforeAutospacing="0" w:after="0" w:afterAutospacing="0" w:line="360" w:lineRule="auto"/>
        <w:ind w:firstLine="420"/>
        <w:rPr>
          <w:sz w:val="21"/>
          <w:szCs w:val="21"/>
        </w:rPr>
      </w:pPr>
      <w:r>
        <w:rPr>
          <w:rFonts w:hint="eastAsia"/>
          <w:sz w:val="21"/>
          <w:szCs w:val="21"/>
        </w:rPr>
        <w:t>投资者可以通过基金管理人网站首页“在线客服”功能进行在线咨询。也可以在“您问我答”栏目中，直接提出有关本基金的问题和建议。</w:t>
      </w:r>
    </w:p>
    <w:p>
      <w:pPr>
        <w:pStyle w:val="7"/>
        <w:spacing w:before="0" w:beforeAutospacing="0" w:after="0" w:afterAutospacing="0" w:line="360" w:lineRule="auto"/>
        <w:ind w:firstLine="420"/>
        <w:rPr>
          <w:sz w:val="21"/>
          <w:szCs w:val="21"/>
        </w:rPr>
      </w:pPr>
      <w:r>
        <w:rPr>
          <w:rStyle w:val="11"/>
          <w:rFonts w:hint="eastAsia"/>
          <w:sz w:val="21"/>
          <w:szCs w:val="21"/>
        </w:rPr>
        <w:t>三、短信服务</w:t>
      </w:r>
    </w:p>
    <w:p>
      <w:pPr>
        <w:pStyle w:val="7"/>
        <w:spacing w:before="0" w:beforeAutospacing="0" w:after="0" w:afterAutospacing="0" w:line="360" w:lineRule="auto"/>
        <w:ind w:firstLine="420"/>
        <w:rPr>
          <w:sz w:val="21"/>
          <w:szCs w:val="21"/>
        </w:rPr>
      </w:pPr>
      <w:r>
        <w:rPr>
          <w:rFonts w:hint="eastAsia"/>
          <w:sz w:val="21"/>
          <w:szCs w:val="21"/>
        </w:rPr>
        <w:t>基金管理人向订制短信服务的基金份额持有人提供相应短信服务。</w:t>
      </w:r>
    </w:p>
    <w:p>
      <w:pPr>
        <w:pStyle w:val="7"/>
        <w:spacing w:before="0" w:beforeAutospacing="0" w:after="0" w:afterAutospacing="0" w:line="360" w:lineRule="auto"/>
        <w:ind w:firstLine="420"/>
        <w:rPr>
          <w:sz w:val="21"/>
          <w:szCs w:val="21"/>
        </w:rPr>
      </w:pPr>
      <w:r>
        <w:rPr>
          <w:rStyle w:val="11"/>
          <w:rFonts w:hint="eastAsia"/>
          <w:sz w:val="21"/>
          <w:szCs w:val="21"/>
        </w:rPr>
        <w:t>四、电子邮件服务</w:t>
      </w:r>
    </w:p>
    <w:p>
      <w:pPr>
        <w:pStyle w:val="7"/>
        <w:spacing w:before="0" w:beforeAutospacing="0" w:after="0" w:afterAutospacing="0" w:line="360" w:lineRule="auto"/>
        <w:ind w:firstLine="420"/>
        <w:rPr>
          <w:sz w:val="21"/>
          <w:szCs w:val="21"/>
        </w:rPr>
      </w:pPr>
      <w:r>
        <w:rPr>
          <w:rFonts w:hint="eastAsia"/>
          <w:sz w:val="21"/>
          <w:szCs w:val="21"/>
        </w:rPr>
        <w:t>基金管理人为投资者提供电子邮件方式的业务咨询、投诉受理、基金份额净值等服务。</w:t>
      </w:r>
    </w:p>
    <w:p>
      <w:pPr>
        <w:pStyle w:val="7"/>
        <w:spacing w:before="0" w:beforeAutospacing="0" w:after="0" w:afterAutospacing="0" w:line="360" w:lineRule="auto"/>
        <w:ind w:firstLine="420"/>
        <w:rPr>
          <w:sz w:val="21"/>
          <w:szCs w:val="21"/>
        </w:rPr>
      </w:pPr>
      <w:r>
        <w:rPr>
          <w:rStyle w:val="11"/>
          <w:rFonts w:hint="eastAsia"/>
          <w:sz w:val="21"/>
          <w:szCs w:val="21"/>
        </w:rPr>
        <w:t>五、手机理财服务</w:t>
      </w:r>
    </w:p>
    <w:p>
      <w:pPr>
        <w:pStyle w:val="7"/>
        <w:spacing w:before="0" w:beforeAutospacing="0" w:after="0" w:afterAutospacing="0" w:line="360" w:lineRule="auto"/>
        <w:ind w:firstLine="420"/>
        <w:rPr>
          <w:sz w:val="21"/>
          <w:szCs w:val="21"/>
        </w:rPr>
      </w:pPr>
      <w:r>
        <w:rPr>
          <w:rFonts w:hint="eastAsia"/>
          <w:sz w:val="21"/>
          <w:szCs w:val="21"/>
        </w:rPr>
        <w:t>投资者通过手机博时移动版直销网上交易系统（http://m.bosera.com）和博时App版直销网上交易系统，可以使用基金理财所需的基金交易、理财查询、账户管理、信息资讯等功能和服务。</w:t>
      </w:r>
    </w:p>
    <w:p>
      <w:pPr>
        <w:pStyle w:val="7"/>
        <w:spacing w:before="0" w:beforeAutospacing="0" w:after="0" w:afterAutospacing="0" w:line="360" w:lineRule="auto"/>
        <w:ind w:firstLine="420"/>
        <w:rPr>
          <w:sz w:val="21"/>
          <w:szCs w:val="21"/>
        </w:rPr>
      </w:pPr>
      <w:r>
        <w:rPr>
          <w:rStyle w:val="11"/>
          <w:rFonts w:hint="eastAsia"/>
          <w:sz w:val="21"/>
          <w:szCs w:val="21"/>
        </w:rPr>
        <w:t>六、信息订阅服务</w:t>
      </w:r>
    </w:p>
    <w:p>
      <w:pPr>
        <w:pStyle w:val="7"/>
        <w:spacing w:before="0" w:beforeAutospacing="0" w:after="0" w:afterAutospacing="0" w:line="360" w:lineRule="auto"/>
        <w:ind w:firstLine="420"/>
        <w:rPr>
          <w:sz w:val="21"/>
          <w:szCs w:val="21"/>
        </w:rPr>
      </w:pPr>
      <w:r>
        <w:rPr>
          <w:rFonts w:hint="eastAsia"/>
          <w:sz w:val="21"/>
          <w:szCs w:val="21"/>
        </w:rPr>
        <w:t>投资者可以通过基金管理人网站、客服中心提交信息订制的申请，基金管理人将以电子邮件、手机短信的形式定期为投资者发送所订制的信息。</w:t>
      </w:r>
    </w:p>
    <w:p>
      <w:pPr>
        <w:pStyle w:val="7"/>
        <w:spacing w:before="0" w:beforeAutospacing="0" w:after="0" w:afterAutospacing="0" w:line="360" w:lineRule="auto"/>
        <w:ind w:firstLine="420"/>
        <w:rPr>
          <w:sz w:val="21"/>
          <w:szCs w:val="21"/>
        </w:rPr>
      </w:pPr>
      <w:r>
        <w:rPr>
          <w:rStyle w:val="11"/>
          <w:rFonts w:hint="eastAsia"/>
          <w:sz w:val="21"/>
          <w:szCs w:val="21"/>
        </w:rPr>
        <w:t>七、电话理财服务</w:t>
      </w:r>
    </w:p>
    <w:p>
      <w:pPr>
        <w:pStyle w:val="7"/>
        <w:spacing w:before="0" w:beforeAutospacing="0" w:after="0" w:afterAutospacing="0" w:line="360" w:lineRule="auto"/>
        <w:ind w:firstLine="420"/>
        <w:rPr>
          <w:sz w:val="21"/>
          <w:szCs w:val="21"/>
        </w:rPr>
      </w:pPr>
      <w:r>
        <w:rPr>
          <w:rFonts w:hint="eastAsia"/>
          <w:sz w:val="21"/>
          <w:szCs w:val="21"/>
        </w:rPr>
        <w:t>投资者拨打博时一线通：95105568（免长途话费）可享有投资理财交易的一站式综合服务：</w:t>
      </w:r>
    </w:p>
    <w:p>
      <w:pPr>
        <w:pStyle w:val="7"/>
        <w:spacing w:before="0" w:beforeAutospacing="0" w:after="0" w:afterAutospacing="0" w:line="360" w:lineRule="auto"/>
        <w:ind w:firstLine="420"/>
        <w:rPr>
          <w:sz w:val="21"/>
          <w:szCs w:val="21"/>
        </w:rPr>
      </w:pPr>
      <w:r>
        <w:rPr>
          <w:rFonts w:hint="eastAsia"/>
          <w:sz w:val="21"/>
          <w:szCs w:val="21"/>
        </w:rPr>
        <w:t>1、自助语音服务：基金管理人自助语音系统提供7×24小时的全天候服务，投资者可以自助查询账户余额、交易情况、基金净值等信息，也可以进行直销交易、密码修改、传真索取等操作。</w:t>
      </w:r>
    </w:p>
    <w:p>
      <w:pPr>
        <w:pStyle w:val="7"/>
        <w:spacing w:before="0" w:beforeAutospacing="0" w:after="0" w:afterAutospacing="0" w:line="360" w:lineRule="auto"/>
        <w:ind w:firstLine="420"/>
        <w:rPr>
          <w:sz w:val="21"/>
          <w:szCs w:val="21"/>
        </w:rPr>
      </w:pPr>
      <w:r>
        <w:rPr>
          <w:rFonts w:hint="eastAsia"/>
          <w:sz w:val="21"/>
          <w:szCs w:val="21"/>
        </w:rPr>
        <w:t>2、电话交易服务：基金管理人直销投资者可通过博时一线通电话交易平台在线办理基金的赎回、变更分红方式、撤单等直销交易业务。</w:t>
      </w:r>
    </w:p>
    <w:p>
      <w:pPr>
        <w:pStyle w:val="7"/>
        <w:spacing w:before="0" w:beforeAutospacing="0" w:after="0" w:afterAutospacing="0" w:line="360" w:lineRule="auto"/>
        <w:ind w:firstLine="420"/>
        <w:rPr>
          <w:sz w:val="21"/>
          <w:szCs w:val="21"/>
        </w:rPr>
      </w:pPr>
      <w:r>
        <w:rPr>
          <w:rFonts w:hint="eastAsia"/>
          <w:sz w:val="21"/>
          <w:szCs w:val="21"/>
        </w:rPr>
        <w:t>3、人工电话服务：投资者可以获得业务咨询、信息查询、资料修改、投诉受理、信息订制、账户诊断等服务。</w:t>
      </w:r>
    </w:p>
    <w:p>
      <w:pPr>
        <w:pStyle w:val="7"/>
        <w:spacing w:before="0" w:beforeAutospacing="0" w:after="0" w:afterAutospacing="0" w:line="360" w:lineRule="auto"/>
        <w:ind w:firstLine="420"/>
        <w:rPr>
          <w:sz w:val="21"/>
          <w:szCs w:val="21"/>
        </w:rPr>
      </w:pPr>
      <w:r>
        <w:rPr>
          <w:rFonts w:hint="eastAsia"/>
          <w:sz w:val="21"/>
          <w:szCs w:val="21"/>
        </w:rPr>
        <w:t>4、电话留言服务：非人工服务时间或线路繁忙时，投资者可进行电话留言。</w:t>
      </w:r>
    </w:p>
    <w:p>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pPr>
        <w:pStyle w:val="7"/>
        <w:spacing w:before="0" w:beforeAutospacing="0" w:after="0" w:afterAutospacing="0" w:line="360" w:lineRule="auto"/>
        <w:ind w:firstLine="420"/>
        <w:rPr>
          <w:sz w:val="21"/>
          <w:szCs w:val="21"/>
        </w:rPr>
      </w:pPr>
      <w:r>
        <w:rPr>
          <w:rFonts w:hint="eastAsia"/>
          <w:sz w:val="21"/>
          <w:szCs w:val="21"/>
        </w:rPr>
        <w:t>公司网址： www.bosera.com </w:t>
      </w:r>
    </w:p>
    <w:p>
      <w:pPr>
        <w:pStyle w:val="7"/>
        <w:spacing w:before="0" w:beforeAutospacing="0" w:after="0" w:afterAutospacing="0" w:line="360" w:lineRule="auto"/>
        <w:ind w:firstLine="420"/>
        <w:rPr>
          <w:sz w:val="21"/>
          <w:szCs w:val="21"/>
        </w:rPr>
      </w:pPr>
      <w:r>
        <w:rPr>
          <w:rFonts w:hint="eastAsia"/>
          <w:sz w:val="21"/>
          <w:szCs w:val="21"/>
        </w:rPr>
        <w:t>电子信箱：service@bosera.com</w:t>
      </w:r>
    </w:p>
    <w:p>
      <w:pPr>
        <w:pStyle w:val="7"/>
        <w:spacing w:before="0" w:beforeAutospacing="0" w:after="0" w:afterAutospacing="0" w:line="360" w:lineRule="auto"/>
        <w:ind w:firstLine="420"/>
        <w:rPr>
          <w:sz w:val="21"/>
          <w:szCs w:val="21"/>
        </w:rPr>
      </w:pPr>
      <w:r>
        <w:rPr>
          <w:rFonts w:hint="eastAsia"/>
          <w:sz w:val="21"/>
          <w:szCs w:val="21"/>
        </w:rPr>
        <w:t>博时一线通客服电话：95105568（免长途话费）</w:t>
      </w:r>
    </w:p>
    <w:p>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187" w:name="chapter_level1_24_75_section_1_end"/>
      <w:bookmarkEnd w:id="187"/>
      <w:r>
        <w:rPr>
          <w:rStyle w:val="11"/>
          <w:rFonts w:hint="eastAsia"/>
          <w:sz w:val="21"/>
          <w:szCs w:val="21"/>
        </w:rPr>
        <w:t>理人。请确保投资前，您/贵机构已经全面理解了本招募说明书。</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8" w:name="_Toc207939918"/>
      <w:bookmarkStart w:id="189" w:name="chapter_level1_25_3499"/>
      <w:r>
        <w:rPr>
          <w:rFonts w:hint="eastAsia" w:ascii="宋体" w:hAnsi="宋体" w:eastAsia="宋体"/>
          <w:sz w:val="30"/>
        </w:rPr>
        <w:t>第二十二部分 其他应披露的事项</w:t>
      </w:r>
      <w:bookmarkEnd w:id="188"/>
      <w:bookmarkEnd w:id="189"/>
    </w:p>
    <w:p>
      <w:pPr>
        <w:pStyle w:val="7"/>
        <w:spacing w:before="0" w:beforeAutospacing="0" w:after="0" w:afterAutospacing="0" w:line="360" w:lineRule="auto"/>
        <w:ind w:firstLine="420"/>
        <w:rPr>
          <w:sz w:val="21"/>
          <w:szCs w:val="21"/>
        </w:rPr>
      </w:pPr>
      <w:bookmarkStart w:id="190" w:name="field_0_bsrevealinfo_1_start"/>
      <w:bookmarkEnd w:id="190"/>
      <w:bookmarkStart w:id="191" w:name="chapter_level1_25_3499_section_1"/>
      <w:bookmarkEnd w:id="191"/>
      <w:r>
        <w:rPr>
          <w:rFonts w:hint="eastAsia"/>
          <w:sz w:val="21"/>
          <w:szCs w:val="21"/>
        </w:rPr>
        <w:t>（一）、2025年8月29日，我公司公告了《博时国证粮食产业指数型发起式证券投资基金2025年中期报告》；</w:t>
      </w:r>
    </w:p>
    <w:p>
      <w:pPr>
        <w:pStyle w:val="7"/>
        <w:spacing w:before="0" w:beforeAutospacing="0" w:after="0" w:afterAutospacing="0" w:line="360" w:lineRule="auto"/>
        <w:ind w:firstLine="420"/>
        <w:rPr>
          <w:sz w:val="21"/>
          <w:szCs w:val="21"/>
        </w:rPr>
      </w:pPr>
      <w:r>
        <w:rPr>
          <w:rFonts w:hint="eastAsia"/>
          <w:sz w:val="21"/>
          <w:szCs w:val="21"/>
        </w:rPr>
        <w:t>（二）、2025年7月21日，我公司公告了《博时国证粮食产业指数型发起式证券投资基金2025年第2季度报告》；</w:t>
      </w:r>
    </w:p>
    <w:p>
      <w:pPr>
        <w:pStyle w:val="7"/>
        <w:spacing w:before="0" w:beforeAutospacing="0" w:after="0" w:afterAutospacing="0" w:line="360" w:lineRule="auto"/>
        <w:ind w:firstLine="420"/>
        <w:rPr>
          <w:sz w:val="21"/>
          <w:szCs w:val="21"/>
        </w:rPr>
      </w:pPr>
      <w:r>
        <w:rPr>
          <w:rFonts w:hint="eastAsia"/>
          <w:sz w:val="21"/>
          <w:szCs w:val="21"/>
        </w:rPr>
        <w:t>（三）、2025年6月26日，我公司公告了《博时国证粮食产业指数型发起式证券投资基金（博时国证粮食产业指数发起式C）基金产品资料概要更新》、《博时国证粮食产业指数型发起式证券投资基金（博时国证粮食产业指数发起式A）基金产品资料概要更新》；</w:t>
      </w:r>
    </w:p>
    <w:p>
      <w:pPr>
        <w:pStyle w:val="7"/>
        <w:spacing w:before="0" w:beforeAutospacing="0" w:after="0" w:afterAutospacing="0" w:line="360" w:lineRule="auto"/>
        <w:ind w:firstLine="420"/>
        <w:rPr>
          <w:sz w:val="21"/>
          <w:szCs w:val="21"/>
        </w:rPr>
      </w:pPr>
      <w:r>
        <w:rPr>
          <w:rFonts w:hint="eastAsia"/>
          <w:sz w:val="21"/>
          <w:szCs w:val="21"/>
        </w:rPr>
        <w:t>（四）、2025年6月6日，我公司公告了《博时基金管理有限公司关于旗下基金持有的长期停牌股票调整估值方法的公告-20250606》；</w:t>
      </w:r>
    </w:p>
    <w:p>
      <w:pPr>
        <w:pStyle w:val="7"/>
        <w:spacing w:before="0" w:beforeAutospacing="0" w:after="0" w:afterAutospacing="0" w:line="360" w:lineRule="auto"/>
        <w:ind w:firstLine="420"/>
        <w:rPr>
          <w:sz w:val="21"/>
          <w:szCs w:val="21"/>
        </w:rPr>
      </w:pPr>
      <w:r>
        <w:rPr>
          <w:rFonts w:hint="eastAsia"/>
          <w:sz w:val="21"/>
          <w:szCs w:val="21"/>
        </w:rPr>
        <w:t>（五）、2025年6月3日，我公司公告了《博时基金管理有限公司关于旗下基金持有的长期停牌股票调整估值方法的公告-20250603》；</w:t>
      </w:r>
    </w:p>
    <w:p>
      <w:pPr>
        <w:pStyle w:val="7"/>
        <w:spacing w:before="0" w:beforeAutospacing="0" w:after="0" w:afterAutospacing="0" w:line="360" w:lineRule="auto"/>
        <w:ind w:firstLine="420"/>
        <w:rPr>
          <w:sz w:val="21"/>
          <w:szCs w:val="21"/>
        </w:rPr>
      </w:pPr>
      <w:r>
        <w:rPr>
          <w:rFonts w:hint="eastAsia"/>
          <w:sz w:val="21"/>
          <w:szCs w:val="21"/>
        </w:rPr>
        <w:t>（六）、2025年4月22日，我公司公告了《博时国证粮食产业指数型发起式证券投资基金2025年第1季度报告》；</w:t>
      </w:r>
    </w:p>
    <w:p>
      <w:pPr>
        <w:pStyle w:val="7"/>
        <w:spacing w:before="0" w:beforeAutospacing="0" w:after="0" w:afterAutospacing="0" w:line="360" w:lineRule="auto"/>
        <w:ind w:firstLine="420"/>
        <w:rPr>
          <w:sz w:val="21"/>
          <w:szCs w:val="21"/>
        </w:rPr>
      </w:pPr>
      <w:r>
        <w:rPr>
          <w:rFonts w:hint="eastAsia"/>
          <w:sz w:val="21"/>
          <w:szCs w:val="21"/>
        </w:rPr>
        <w:t>（七）、2025年4月12日，我公司公告了《博时国证粮食产业指数型发起式证券投资基金恢复大额申购、转换转入、定期定额投资业务的公告》；</w:t>
      </w:r>
    </w:p>
    <w:p>
      <w:pPr>
        <w:pStyle w:val="7"/>
        <w:spacing w:before="0" w:beforeAutospacing="0" w:after="0" w:afterAutospacing="0" w:line="360" w:lineRule="auto"/>
        <w:ind w:firstLine="420"/>
        <w:rPr>
          <w:sz w:val="21"/>
          <w:szCs w:val="21"/>
        </w:rPr>
      </w:pPr>
      <w:r>
        <w:rPr>
          <w:rFonts w:hint="eastAsia"/>
          <w:sz w:val="21"/>
          <w:szCs w:val="21"/>
        </w:rPr>
        <w:t>（八）、2025年4月10日，我公司公告了《博时国证粮食产业指数型发起式证券投资基金暂停大额申购、转换转入、定期定额投资业务的公告》；</w:t>
      </w:r>
    </w:p>
    <w:p>
      <w:pPr>
        <w:pStyle w:val="7"/>
        <w:spacing w:before="0" w:beforeAutospacing="0" w:after="0" w:afterAutospacing="0" w:line="360" w:lineRule="auto"/>
        <w:ind w:firstLine="420"/>
        <w:rPr>
          <w:sz w:val="21"/>
          <w:szCs w:val="21"/>
        </w:rPr>
      </w:pPr>
      <w:r>
        <w:rPr>
          <w:rFonts w:hint="eastAsia"/>
          <w:sz w:val="21"/>
          <w:szCs w:val="21"/>
        </w:rPr>
        <w:t>（九）、2025年4月8日，我公司公告了《博时基金管理有限公司关于运用公司固有资金投资旗下公募基金的公告》、《博时基金管理有限公司关于旗下基金持有的长期停牌股票调整估值方法的公告-20250408》；</w:t>
      </w:r>
    </w:p>
    <w:p>
      <w:pPr>
        <w:pStyle w:val="7"/>
        <w:spacing w:before="0" w:beforeAutospacing="0" w:after="0" w:afterAutospacing="0" w:line="360" w:lineRule="auto"/>
        <w:ind w:firstLine="420"/>
        <w:rPr>
          <w:sz w:val="21"/>
          <w:szCs w:val="21"/>
        </w:rPr>
      </w:pPr>
      <w:r>
        <w:rPr>
          <w:rFonts w:hint="eastAsia"/>
          <w:sz w:val="21"/>
          <w:szCs w:val="21"/>
        </w:rPr>
        <w:t>（十）、2025年3月31日，我公司公告了《博时基金管理有限公司旗下公募基金通过证券公司证券交易及佣金支付情况（2024年度）》、《博时国证粮食产业指数型发起式证券投资基金2024年年度报告》；</w:t>
      </w:r>
    </w:p>
    <w:p>
      <w:pPr>
        <w:pStyle w:val="7"/>
        <w:spacing w:before="0" w:beforeAutospacing="0" w:after="0" w:afterAutospacing="0" w:line="360" w:lineRule="auto"/>
        <w:ind w:firstLine="420"/>
        <w:rPr>
          <w:sz w:val="21"/>
          <w:szCs w:val="21"/>
        </w:rPr>
      </w:pPr>
      <w:r>
        <w:rPr>
          <w:rFonts w:hint="eastAsia"/>
          <w:sz w:val="21"/>
          <w:szCs w:val="21"/>
        </w:rPr>
        <w:t>（十一）、2025年3月25日，我公司公告了《博时基金管理有限公司关于旗下基金持有的长期停牌股票调整估值方法的公告-20250325》；</w:t>
      </w:r>
    </w:p>
    <w:p>
      <w:pPr>
        <w:pStyle w:val="7"/>
        <w:spacing w:before="0" w:beforeAutospacing="0" w:after="0" w:afterAutospacing="0" w:line="360" w:lineRule="auto"/>
        <w:ind w:firstLine="420"/>
        <w:rPr>
          <w:sz w:val="21"/>
          <w:szCs w:val="21"/>
        </w:rPr>
      </w:pPr>
      <w:r>
        <w:rPr>
          <w:rFonts w:hint="eastAsia"/>
          <w:sz w:val="21"/>
          <w:szCs w:val="21"/>
        </w:rPr>
        <w:t>（十二）、2025年3月3日，我公司公告了《博时国证粮食产业指数型发起式证券投资基金（博时国证粮食产业指数发起式A）基金产品资料概要更新》、《博时国证粮食产业指数型发起式证券投资基金（博时国证粮食产业指数发起式C）基金产品资料概要更新》；</w:t>
      </w:r>
    </w:p>
    <w:p>
      <w:pPr>
        <w:pStyle w:val="7"/>
        <w:spacing w:before="0" w:beforeAutospacing="0" w:after="0" w:afterAutospacing="0" w:line="360" w:lineRule="auto"/>
        <w:ind w:firstLine="420"/>
        <w:rPr>
          <w:sz w:val="21"/>
          <w:szCs w:val="21"/>
        </w:rPr>
      </w:pPr>
      <w:r>
        <w:rPr>
          <w:rFonts w:hint="eastAsia"/>
          <w:sz w:val="21"/>
          <w:szCs w:val="21"/>
        </w:rPr>
        <w:t>（十三）、2025年1月22日，我公司公告了《博时国证粮食产业指数型发起式证券投资基金2024年第4季度报告》；</w:t>
      </w:r>
    </w:p>
    <w:p>
      <w:pPr>
        <w:pStyle w:val="7"/>
        <w:spacing w:before="0" w:beforeAutospacing="0" w:after="0" w:afterAutospacing="0" w:line="360" w:lineRule="auto"/>
        <w:ind w:firstLine="420"/>
        <w:rPr>
          <w:sz w:val="21"/>
          <w:szCs w:val="21"/>
        </w:rPr>
      </w:pPr>
      <w:r>
        <w:rPr>
          <w:rFonts w:hint="eastAsia"/>
          <w:sz w:val="21"/>
          <w:szCs w:val="21"/>
        </w:rPr>
        <w:t>（十四）、2024年12月7日，我公司公告了《博时基金管理有限公司关于高级管理人员变更的公告》；</w:t>
      </w:r>
    </w:p>
    <w:p>
      <w:pPr>
        <w:pStyle w:val="7"/>
        <w:spacing w:before="0" w:beforeAutospacing="0" w:after="0" w:afterAutospacing="0" w:line="360" w:lineRule="auto"/>
        <w:ind w:firstLine="420"/>
        <w:rPr>
          <w:sz w:val="21"/>
          <w:szCs w:val="21"/>
        </w:rPr>
      </w:pPr>
      <w:r>
        <w:rPr>
          <w:rFonts w:hint="eastAsia"/>
          <w:sz w:val="21"/>
          <w:szCs w:val="21"/>
        </w:rPr>
        <w:t>（十五）、2024年11月18日，我公司公告了《博时基金管理有限公司关于终止乾道基金销售有限公司办理旗下基金销售业务的公告》；</w:t>
      </w:r>
    </w:p>
    <w:p>
      <w:pPr>
        <w:pStyle w:val="7"/>
        <w:spacing w:before="0" w:beforeAutospacing="0" w:after="0" w:afterAutospacing="0" w:line="360" w:lineRule="auto"/>
        <w:ind w:firstLine="420"/>
        <w:rPr>
          <w:sz w:val="21"/>
          <w:szCs w:val="21"/>
        </w:rPr>
      </w:pPr>
      <w:r>
        <w:rPr>
          <w:rFonts w:hint="eastAsia"/>
          <w:sz w:val="21"/>
          <w:szCs w:val="21"/>
        </w:rPr>
        <w:t>（十六）、2024年11月6日，我公司公告了《博时基金管理有限公司关于旗下基金持有的长期停牌股票调整估值方法的公告-20241106》；</w:t>
      </w:r>
    </w:p>
    <w:p>
      <w:pPr>
        <w:pStyle w:val="7"/>
        <w:spacing w:before="0" w:beforeAutospacing="0" w:after="0" w:afterAutospacing="0" w:line="360" w:lineRule="auto"/>
        <w:ind w:firstLine="420"/>
        <w:rPr>
          <w:sz w:val="21"/>
          <w:szCs w:val="21"/>
        </w:rPr>
      </w:pPr>
      <w:r>
        <w:rPr>
          <w:rFonts w:hint="eastAsia"/>
          <w:sz w:val="21"/>
          <w:szCs w:val="21"/>
        </w:rPr>
        <w:t>（十七）、2024年10月25日，我公司公告了《博时国证粮食产业指数型发起式证券投资基金2024年第3季度报告》；</w:t>
      </w:r>
    </w:p>
    <w:p>
      <w:pPr>
        <w:pStyle w:val="7"/>
        <w:spacing w:before="0" w:beforeAutospacing="0" w:after="0" w:afterAutospacing="0" w:line="360" w:lineRule="auto"/>
        <w:ind w:firstLine="420"/>
        <w:rPr>
          <w:sz w:val="21"/>
          <w:szCs w:val="21"/>
        </w:rPr>
      </w:pPr>
      <w:r>
        <w:rPr>
          <w:rFonts w:hint="eastAsia"/>
          <w:sz w:val="21"/>
          <w:szCs w:val="21"/>
        </w:rPr>
        <w:t>（十八）、2024年9月30日，我公司公告了《博时国证粮食产业指数型发起式证券投资基金更新招募说明书》；</w:t>
      </w:r>
    </w:p>
    <w:p>
      <w:pPr>
        <w:pStyle w:val="7"/>
        <w:spacing w:before="0" w:beforeAutospacing="0" w:after="0" w:afterAutospacing="0" w:line="360" w:lineRule="auto"/>
        <w:ind w:firstLine="420"/>
        <w:rPr>
          <w:sz w:val="21"/>
          <w:szCs w:val="21"/>
        </w:rPr>
      </w:pPr>
      <w:r>
        <w:rPr>
          <w:rFonts w:hint="eastAsia"/>
          <w:sz w:val="21"/>
          <w:szCs w:val="21"/>
        </w:rPr>
        <w:t>（十九）、2024年9月25日，我公司公告了《博时基金管理有限公司关于旗下基金持有的长期停牌股票调整估值方法的公告-20240925》；</w:t>
      </w:r>
    </w:p>
    <w:p>
      <w:pPr>
        <w:pStyle w:val="7"/>
        <w:spacing w:before="0" w:beforeAutospacing="0" w:after="0" w:afterAutospacing="0" w:line="360" w:lineRule="auto"/>
        <w:ind w:firstLine="420"/>
        <w:rPr>
          <w:sz w:val="21"/>
          <w:szCs w:val="21"/>
        </w:rPr>
      </w:pPr>
      <w:r>
        <w:rPr>
          <w:rFonts w:hint="eastAsia"/>
          <w:sz w:val="21"/>
          <w:szCs w:val="21"/>
        </w:rPr>
        <w:t>（二十）、2024年9月21日，我公司公告了《博时基金管理有限公司关于董事会成员</w:t>
      </w:r>
      <w:bookmarkStart w:id="192" w:name="chapter_level1_25_3499_section_1_end"/>
      <w:bookmarkEnd w:id="192"/>
      <w:r>
        <w:rPr>
          <w:rFonts w:hint="eastAsia"/>
          <w:sz w:val="21"/>
          <w:szCs w:val="21"/>
        </w:rPr>
        <w:t>变更的公告》。</w:t>
      </w:r>
      <w:bookmarkStart w:id="193" w:name="field_0_bsrevealinfo_1_end"/>
      <w:bookmarkEnd w:id="193"/>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4" w:name="chapter_level1_26_77"/>
      <w:bookmarkStart w:id="195" w:name="_Toc207939919"/>
      <w:r>
        <w:rPr>
          <w:rFonts w:hint="eastAsia" w:ascii="宋体" w:hAnsi="宋体" w:eastAsia="宋体"/>
          <w:sz w:val="30"/>
        </w:rPr>
        <w:t>第二十三部分  招募说明书的存放及查阅方式</w:t>
      </w:r>
      <w:bookmarkEnd w:id="194"/>
      <w:bookmarkEnd w:id="195"/>
    </w:p>
    <w:p>
      <w:pPr>
        <w:pStyle w:val="7"/>
        <w:spacing w:before="0" w:beforeAutospacing="0" w:after="0" w:afterAutospacing="0" w:line="360" w:lineRule="auto"/>
        <w:ind w:firstLine="420"/>
        <w:rPr>
          <w:sz w:val="21"/>
          <w:szCs w:val="21"/>
        </w:rPr>
      </w:pPr>
      <w:bookmarkStart w:id="196" w:name="chapter_level1_26_77_section_1"/>
      <w:bookmarkEnd w:id="196"/>
      <w:r>
        <w:rPr>
          <w:rFonts w:hint="eastAsia"/>
          <w:sz w:val="21"/>
          <w:szCs w:val="21"/>
        </w:rPr>
        <w:t>本招募说明书存放在本基金管理人、基金托管人、基金销售机构的住所，投资人可在办公时间免费查阅；也可按工本费购买本招募说明书复制件或复印件，但应以招募说明书正本为准。</w:t>
      </w:r>
    </w:p>
    <w:p>
      <w:pPr>
        <w:pStyle w:val="7"/>
        <w:spacing w:before="0" w:beforeAutospacing="0" w:after="0" w:afterAutospacing="0" w:line="360" w:lineRule="auto"/>
        <w:ind w:firstLine="420"/>
        <w:rPr>
          <w:sz w:val="21"/>
          <w:szCs w:val="21"/>
        </w:rPr>
      </w:pPr>
      <w:bookmarkStart w:id="197" w:name="chapter_level1_26_77_section_1_end"/>
      <w:bookmarkEnd w:id="197"/>
      <w:r>
        <w:rPr>
          <w:rFonts w:hint="eastAsia"/>
          <w:sz w:val="21"/>
          <w:szCs w:val="21"/>
        </w:rPr>
        <w:t>基金管理人和基金托管人保证文本的内容与所公告的内容完全一致。</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8" w:name="chapter_level1_27_332"/>
      <w:bookmarkStart w:id="199" w:name="_Toc207939920"/>
      <w:r>
        <w:rPr>
          <w:rFonts w:hint="eastAsia" w:ascii="宋体" w:hAnsi="宋体" w:eastAsia="宋体"/>
          <w:sz w:val="30"/>
        </w:rPr>
        <w:t>第二十四部分  备查文件</w:t>
      </w:r>
      <w:bookmarkEnd w:id="198"/>
      <w:bookmarkEnd w:id="199"/>
    </w:p>
    <w:p>
      <w:pPr>
        <w:pStyle w:val="7"/>
        <w:spacing w:before="0" w:beforeAutospacing="0" w:after="0" w:afterAutospacing="0" w:line="360" w:lineRule="auto"/>
        <w:ind w:firstLine="420"/>
        <w:rPr>
          <w:sz w:val="21"/>
          <w:szCs w:val="21"/>
        </w:rPr>
      </w:pPr>
      <w:bookmarkStart w:id="200" w:name="chapter_level1_27_332_section_1"/>
      <w:bookmarkEnd w:id="200"/>
      <w:r>
        <w:rPr>
          <w:rFonts w:hint="eastAsia"/>
          <w:sz w:val="21"/>
          <w:szCs w:val="21"/>
        </w:rPr>
        <w:t xml:space="preserve">以下备查文件存放在基金管理人的办公场所，在办公时间可供免费查阅。 </w:t>
      </w:r>
    </w:p>
    <w:p>
      <w:pPr>
        <w:pStyle w:val="7"/>
        <w:spacing w:before="0" w:beforeAutospacing="0" w:after="0" w:afterAutospacing="0" w:line="360" w:lineRule="auto"/>
        <w:ind w:firstLine="420"/>
        <w:rPr>
          <w:sz w:val="21"/>
          <w:szCs w:val="21"/>
        </w:rPr>
      </w:pPr>
      <w:r>
        <w:rPr>
          <w:rFonts w:hint="eastAsia"/>
          <w:sz w:val="21"/>
          <w:szCs w:val="21"/>
        </w:rPr>
        <w:t>（一）中国证监会准予</w:t>
      </w:r>
      <w:bookmarkStart w:id="201" w:name="field_0_productfullname_10"/>
      <w:r>
        <w:rPr>
          <w:rFonts w:hint="eastAsia"/>
          <w:sz w:val="21"/>
          <w:szCs w:val="21"/>
        </w:rPr>
        <w:t>博时国证粮食产业指数型发起式证券投资基金</w:t>
      </w:r>
      <w:bookmarkEnd w:id="201"/>
      <w:r>
        <w:rPr>
          <w:rFonts w:hint="eastAsia"/>
          <w:sz w:val="21"/>
          <w:szCs w:val="21"/>
        </w:rPr>
        <w:t xml:space="preserve">注册的文件 </w:t>
      </w:r>
    </w:p>
    <w:p>
      <w:pPr>
        <w:pStyle w:val="7"/>
        <w:spacing w:before="0" w:beforeAutospacing="0" w:after="0" w:afterAutospacing="0" w:line="360" w:lineRule="auto"/>
        <w:ind w:firstLine="420"/>
        <w:rPr>
          <w:sz w:val="21"/>
          <w:szCs w:val="21"/>
        </w:rPr>
      </w:pPr>
      <w:r>
        <w:rPr>
          <w:rFonts w:hint="eastAsia"/>
          <w:sz w:val="21"/>
          <w:szCs w:val="21"/>
        </w:rPr>
        <w:t>（二）《</w:t>
      </w:r>
      <w:bookmarkStart w:id="202" w:name="field_0_productfullname_11"/>
      <w:r>
        <w:rPr>
          <w:rFonts w:hint="eastAsia"/>
          <w:sz w:val="21"/>
          <w:szCs w:val="21"/>
        </w:rPr>
        <w:t>博时国证粮食产业指数型发起式证券投资基金</w:t>
      </w:r>
      <w:bookmarkEnd w:id="202"/>
      <w:r>
        <w:rPr>
          <w:rFonts w:hint="eastAsia"/>
          <w:sz w:val="21"/>
          <w:szCs w:val="21"/>
        </w:rPr>
        <w:t xml:space="preserve">基金合同》 </w:t>
      </w:r>
    </w:p>
    <w:p>
      <w:pPr>
        <w:pStyle w:val="7"/>
        <w:spacing w:before="0" w:beforeAutospacing="0" w:after="0" w:afterAutospacing="0" w:line="360" w:lineRule="auto"/>
        <w:ind w:firstLine="420"/>
        <w:rPr>
          <w:sz w:val="21"/>
          <w:szCs w:val="21"/>
        </w:rPr>
      </w:pPr>
      <w:r>
        <w:rPr>
          <w:rFonts w:hint="eastAsia"/>
          <w:sz w:val="21"/>
          <w:szCs w:val="21"/>
        </w:rPr>
        <w:t>（三）《</w:t>
      </w:r>
      <w:bookmarkStart w:id="203" w:name="field_0_productfullname_12"/>
      <w:r>
        <w:rPr>
          <w:rFonts w:hint="eastAsia"/>
          <w:sz w:val="21"/>
          <w:szCs w:val="21"/>
        </w:rPr>
        <w:t>博时国证粮食产业指数型发起式证券投资基金</w:t>
      </w:r>
      <w:bookmarkEnd w:id="203"/>
      <w:r>
        <w:rPr>
          <w:rFonts w:hint="eastAsia"/>
          <w:sz w:val="21"/>
          <w:szCs w:val="21"/>
        </w:rPr>
        <w:t xml:space="preserve">托管协议》 </w:t>
      </w:r>
    </w:p>
    <w:p>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（六）法律意见书 </w:t>
      </w:r>
    </w:p>
    <w:p>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pPr>
        <w:pStyle w:val="7"/>
        <w:spacing w:before="0" w:beforeAutospacing="0" w:after="0" w:afterAutospacing="0" w:line="360" w:lineRule="auto"/>
        <w:ind w:firstLine="420"/>
        <w:rPr>
          <w:sz w:val="21"/>
          <w:szCs w:val="21"/>
        </w:rPr>
      </w:pPr>
      <w:bookmarkStart w:id="204" w:name="chapter_level1_27_332_section_1_end"/>
      <w:bookmarkEnd w:id="204"/>
      <w:r>
        <w:rPr>
          <w:rFonts w:hint="eastAsia"/>
          <w:sz w:val="21"/>
          <w:szCs w:val="21"/>
        </w:rPr>
        <w:t xml:space="preserve">查阅方式：投资者可在营业时间免费查阅，也可按工本费购买复印件。 </w:t>
      </w:r>
    </w:p>
    <w:p>
      <w:pPr>
        <w:pStyle w:val="7"/>
        <w:spacing w:before="0" w:beforeAutospacing="0" w:after="0" w:afterAutospacing="0" w:line="360" w:lineRule="auto"/>
        <w:ind w:firstLine="420"/>
        <w:rPr>
          <w:sz w:val="21"/>
          <w:szCs w:val="21"/>
        </w:rPr>
      </w:pPr>
      <w:bookmarkStart w:id="205" w:name="chapter_level1_27_332_section_2"/>
      <w:bookmarkEnd w:id="205"/>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jc w:val="right"/>
        <w:rPr>
          <w:sz w:val="21"/>
          <w:szCs w:val="21"/>
        </w:rPr>
      </w:pPr>
      <w:bookmarkStart w:id="206" w:name="field_0_managerorgfullname_1"/>
      <w:r>
        <w:rPr>
          <w:rFonts w:hint="eastAsia"/>
          <w:sz w:val="21"/>
          <w:szCs w:val="21"/>
        </w:rPr>
        <w:t>博时基金管理有限公司</w:t>
      </w:r>
      <w:bookmarkEnd w:id="206"/>
      <w:r>
        <w:rPr>
          <w:rFonts w:hint="eastAsia"/>
          <w:sz w:val="21"/>
          <w:szCs w:val="21"/>
        </w:rPr>
        <w:t xml:space="preserve">  </w:t>
      </w:r>
    </w:p>
    <w:p>
      <w:pPr>
        <w:pStyle w:val="7"/>
        <w:spacing w:before="0" w:beforeAutospacing="0" w:after="0" w:afterAutospacing="0" w:line="360" w:lineRule="auto"/>
        <w:ind w:firstLine="420"/>
        <w:jc w:val="right"/>
        <w:rPr>
          <w:sz w:val="21"/>
          <w:szCs w:val="21"/>
        </w:rPr>
      </w:pPr>
      <w:bookmarkStart w:id="207" w:name="chapter_level1_27_332_section_2_end"/>
      <w:bookmarkEnd w:id="207"/>
      <w:bookmarkStart w:id="208" w:name="field_0_commitmenttime_1"/>
      <w:r>
        <w:rPr>
          <w:sz w:val="21"/>
          <w:szCs w:val="21"/>
        </w:rPr>
        <w:t>2025年9月30日</w:t>
      </w:r>
      <w:bookmarkEnd w:id="208"/>
      <w:r>
        <w:rPr>
          <w:rFonts w:hint="eastAsia"/>
          <w:sz w:val="21"/>
          <w:szCs w:val="21"/>
        </w:rPr>
        <w:t xml:space="preserve">  </w:t>
      </w:r>
    </w:p>
    <w:p>
      <w:pPr>
        <w:rPr>
          <w:rFonts w:ascii="宋体" w:hAnsi="宋体" w:eastAsia="宋体"/>
        </w:rPr>
      </w:pPr>
      <w:bookmarkStart w:id="209" w:name="end"/>
      <w:bookmarkEnd w:id="209"/>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146</w:t>
    </w:r>
    <w:r>
      <w:fldChar w:fldCharType="end"/>
    </w:r>
    <w:r>
      <w:rPr>
        <w:rFonts w:hint="eastAsia"/>
      </w:rPr>
      <w:t>页 共</w:t>
    </w:r>
    <w:r>
      <w:fldChar w:fldCharType="begin"/>
    </w:r>
    <w:r>
      <w:instrText xml:space="preserve"> NumPages \* MERGEFORMAT </w:instrText>
    </w:r>
    <w:r>
      <w:fldChar w:fldCharType="separate"/>
    </w:r>
    <w:r>
      <w:t>146</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pPr>
    <w: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pPr>
      <w:pStyle w:val="5"/>
      <w:jc w:val="right"/>
    </w:pPr>
    <w:r>
      <w:rPr>
        <w:rFonts w:hint="eastAsia"/>
      </w:rPr>
      <w:t>博时国证粮食产业指数型发起式证券投资基金更新招募说明书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083"/>
    <w:rsid w:val="003978C9"/>
    <w:rsid w:val="00AC6083"/>
    <w:rsid w:val="00FF6AFB"/>
    <w:rsid w:val="0C220867"/>
    <w:rsid w:val="10CC30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uiPriority w:val="99"/>
    <w:pPr>
      <w:tabs>
        <w:tab w:val="center" w:pos="4153"/>
        <w:tab w:val="right" w:pos="8306"/>
      </w:tabs>
      <w:snapToGrid w:val="0"/>
      <w:jc w:val="left"/>
    </w:pPr>
    <w:rPr>
      <w:sz w:val="18"/>
      <w:szCs w:val="18"/>
    </w:rPr>
  </w:style>
  <w:style w:type="paragraph" w:styleId="5">
    <w:name w:val="header"/>
    <w:basedOn w:val="1"/>
    <w:link w:val="14"/>
    <w:unhideWhenUsed/>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uiPriority w:val="39"/>
    <w:pPr>
      <w:ind w:left="420" w:leftChars="200"/>
    </w:pPr>
  </w:style>
  <w:style w:type="paragraph" w:styleId="7">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themeColor="hyperlink"/>
      <w:u w:val="single"/>
      <w14:textFill>
        <w14:solidFill>
          <w14:schemeClr w14:val="hlink"/>
        </w14:solidFill>
      </w14:textFill>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146</Pages>
  <Words>17157</Words>
  <Characters>97799</Characters>
  <Lines>814</Lines>
  <Paragraphs>229</Paragraphs>
  <TotalTime>1</TotalTime>
  <ScaleCrop>false</ScaleCrop>
  <LinksUpToDate>false</LinksUpToDate>
  <CharactersWithSpaces>114727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2025-09-04T20:44:00Z</dcterms:created>
  <dc:creator>BSKMadminDev</dc:creator>
  <cp:lastModifiedBy>liangjq</cp:lastModifiedBy>
  <dcterms:modified xsi:type="dcterms:W3CDTF">2025-09-22T07:45:02Z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73905A311A764CE2B99A91D0466A3234</vt:lpwstr>
  </property>
</Properties>
</file>