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utoSpaceDE w:val="0"/>
        <w:autoSpaceDN w:val="0"/>
        <w:spacing w:line="360" w:lineRule="auto"/>
        <w:jc w:val="center"/>
        <w:textAlignment w:val="bottom"/>
        <w:rPr>
          <w:b/>
          <w:color w:val="000000"/>
          <w:sz w:val="44"/>
        </w:rPr>
      </w:pPr>
    </w:p>
    <w:p>
      <w:pPr>
        <w:widowControl/>
        <w:autoSpaceDE w:val="0"/>
        <w:autoSpaceDN w:val="0"/>
        <w:spacing w:line="360" w:lineRule="auto"/>
        <w:jc w:val="center"/>
        <w:textAlignment w:val="bottom"/>
        <w:rPr>
          <w:b/>
          <w:color w:val="000000"/>
          <w:sz w:val="44"/>
        </w:rPr>
      </w:pPr>
    </w:p>
    <w:p>
      <w:pPr>
        <w:widowControl/>
        <w:autoSpaceDE w:val="0"/>
        <w:autoSpaceDN w:val="0"/>
        <w:spacing w:line="360" w:lineRule="auto"/>
        <w:jc w:val="center"/>
        <w:textAlignment w:val="bottom"/>
        <w:rPr>
          <w:b/>
          <w:color w:val="000000"/>
          <w:sz w:val="44"/>
        </w:rPr>
      </w:pPr>
    </w:p>
    <w:p>
      <w:pPr>
        <w:widowControl/>
        <w:autoSpaceDE w:val="0"/>
        <w:autoSpaceDN w:val="0"/>
        <w:spacing w:line="360" w:lineRule="auto"/>
        <w:jc w:val="center"/>
        <w:textAlignment w:val="bottom"/>
        <w:rPr>
          <w:b/>
          <w:color w:val="000000"/>
          <w:sz w:val="44"/>
        </w:rPr>
      </w:pPr>
    </w:p>
    <w:p>
      <w:pPr>
        <w:jc w:val="center"/>
        <w:rPr>
          <w:rFonts w:ascii="黑体" w:hAnsi="黑体" w:eastAsia="黑体"/>
          <w:sz w:val="36"/>
          <w:szCs w:val="36"/>
        </w:rPr>
      </w:pPr>
      <w:bookmarkStart w:id="0" w:name="_Toc314039855"/>
      <w:bookmarkStart w:id="1" w:name="_Toc381954569"/>
      <w:bookmarkStart w:id="2" w:name="_Toc10604959"/>
      <w:bookmarkStart w:id="3" w:name="_Toc290284042"/>
      <w:bookmarkStart w:id="4" w:name="_Toc382825811"/>
      <w:bookmarkStart w:id="5" w:name="_Toc15987771"/>
      <w:bookmarkStart w:id="6" w:name="_Toc303149255"/>
      <w:bookmarkStart w:id="7" w:name="_Toc10554386"/>
      <w:r>
        <w:rPr>
          <w:rFonts w:hint="eastAsia" w:ascii="黑体" w:hAnsi="黑体" w:eastAsia="黑体"/>
          <w:sz w:val="36"/>
          <w:szCs w:val="36"/>
        </w:rPr>
        <w:t>博时裕盛纯债债券型证券投资基金</w:t>
      </w:r>
    </w:p>
    <w:p>
      <w:pPr>
        <w:jc w:val="center"/>
        <w:rPr>
          <w:rFonts w:ascii="黑体" w:hAnsi="黑体" w:eastAsia="黑体"/>
          <w:sz w:val="36"/>
          <w:szCs w:val="36"/>
        </w:rPr>
      </w:pPr>
      <w:bookmarkStart w:id="8" w:name="_Toc401143088"/>
      <w:r>
        <w:rPr>
          <w:rFonts w:hint="eastAsia" w:ascii="黑体" w:hAnsi="黑体" w:eastAsia="黑体"/>
          <w:sz w:val="36"/>
          <w:szCs w:val="36"/>
        </w:rPr>
        <w:t>托管协议</w:t>
      </w:r>
      <w:bookmarkEnd w:id="0"/>
      <w:bookmarkEnd w:id="1"/>
      <w:bookmarkEnd w:id="2"/>
      <w:bookmarkEnd w:id="3"/>
      <w:bookmarkEnd w:id="4"/>
      <w:bookmarkEnd w:id="5"/>
      <w:bookmarkEnd w:id="6"/>
      <w:bookmarkEnd w:id="7"/>
      <w:bookmarkEnd w:id="8"/>
    </w:p>
    <w:p>
      <w:pPr>
        <w:tabs>
          <w:tab w:val="left" w:pos="540"/>
        </w:tabs>
        <w:adjustRightInd w:val="0"/>
        <w:snapToGrid w:val="0"/>
        <w:spacing w:line="360" w:lineRule="auto"/>
        <w:ind w:firstLine="4560" w:firstLineChars="950"/>
        <w:rPr>
          <w:bCs/>
          <w:kern w:val="44"/>
          <w:sz w:val="48"/>
          <w:szCs w:val="44"/>
        </w:rPr>
      </w:pPr>
    </w:p>
    <w:p>
      <w:pPr>
        <w:tabs>
          <w:tab w:val="left" w:pos="540"/>
        </w:tabs>
        <w:adjustRightInd w:val="0"/>
        <w:snapToGrid w:val="0"/>
        <w:spacing w:line="360" w:lineRule="auto"/>
        <w:ind w:firstLine="600" w:firstLineChars="200"/>
        <w:jc w:val="center"/>
        <w:rPr>
          <w:rFonts w:eastAsia="仿宋_GB2312" w:cs="Arial"/>
          <w:sz w:val="30"/>
          <w:szCs w:val="30"/>
        </w:rPr>
      </w:pPr>
    </w:p>
    <w:p>
      <w:pPr>
        <w:tabs>
          <w:tab w:val="left" w:pos="540"/>
        </w:tabs>
        <w:adjustRightInd w:val="0"/>
        <w:snapToGrid w:val="0"/>
        <w:spacing w:line="360" w:lineRule="auto"/>
        <w:ind w:firstLine="600" w:firstLineChars="200"/>
        <w:jc w:val="center"/>
        <w:rPr>
          <w:rFonts w:eastAsia="仿宋_GB2312" w:cs="Arial"/>
          <w:sz w:val="30"/>
          <w:szCs w:val="30"/>
        </w:rPr>
      </w:pPr>
    </w:p>
    <w:p>
      <w:pPr>
        <w:tabs>
          <w:tab w:val="left" w:pos="540"/>
        </w:tabs>
        <w:adjustRightInd w:val="0"/>
        <w:snapToGrid w:val="0"/>
        <w:spacing w:line="360" w:lineRule="auto"/>
        <w:ind w:firstLine="600" w:firstLineChars="200"/>
        <w:jc w:val="center"/>
        <w:rPr>
          <w:rFonts w:eastAsia="仿宋_GB2312" w:cs="Arial"/>
          <w:sz w:val="30"/>
          <w:szCs w:val="30"/>
        </w:rPr>
      </w:pPr>
    </w:p>
    <w:p>
      <w:pPr>
        <w:tabs>
          <w:tab w:val="left" w:pos="540"/>
        </w:tabs>
        <w:adjustRightInd w:val="0"/>
        <w:snapToGrid w:val="0"/>
        <w:spacing w:line="360" w:lineRule="auto"/>
        <w:ind w:firstLine="600" w:firstLineChars="200"/>
        <w:jc w:val="center"/>
        <w:rPr>
          <w:rFonts w:eastAsia="仿宋_GB2312" w:cs="Arial"/>
          <w:sz w:val="30"/>
          <w:szCs w:val="30"/>
        </w:rPr>
      </w:pPr>
    </w:p>
    <w:p>
      <w:pPr>
        <w:tabs>
          <w:tab w:val="left" w:pos="540"/>
        </w:tabs>
        <w:adjustRightInd w:val="0"/>
        <w:snapToGrid w:val="0"/>
        <w:spacing w:line="360" w:lineRule="auto"/>
        <w:ind w:firstLine="600" w:firstLineChars="200"/>
        <w:jc w:val="center"/>
        <w:rPr>
          <w:rFonts w:eastAsia="仿宋_GB2312" w:cs="Arial"/>
          <w:sz w:val="30"/>
          <w:szCs w:val="30"/>
        </w:rPr>
      </w:pPr>
    </w:p>
    <w:p>
      <w:pPr>
        <w:tabs>
          <w:tab w:val="left" w:pos="540"/>
        </w:tabs>
        <w:adjustRightInd w:val="0"/>
        <w:snapToGrid w:val="0"/>
        <w:spacing w:line="360" w:lineRule="auto"/>
        <w:ind w:firstLine="600" w:firstLineChars="200"/>
        <w:jc w:val="center"/>
        <w:rPr>
          <w:rFonts w:eastAsia="仿宋_GB2312" w:cs="Arial"/>
          <w:sz w:val="30"/>
          <w:szCs w:val="30"/>
        </w:rPr>
      </w:pPr>
    </w:p>
    <w:p>
      <w:pPr>
        <w:tabs>
          <w:tab w:val="left" w:pos="540"/>
        </w:tabs>
        <w:adjustRightInd w:val="0"/>
        <w:snapToGrid w:val="0"/>
        <w:spacing w:line="360" w:lineRule="auto"/>
        <w:ind w:firstLine="600" w:firstLineChars="200"/>
        <w:jc w:val="center"/>
        <w:rPr>
          <w:rFonts w:eastAsia="仿宋_GB2312" w:cs="Arial"/>
          <w:sz w:val="30"/>
          <w:szCs w:val="30"/>
        </w:rPr>
      </w:pPr>
    </w:p>
    <w:p>
      <w:pPr>
        <w:tabs>
          <w:tab w:val="left" w:pos="540"/>
        </w:tabs>
        <w:adjustRightInd w:val="0"/>
        <w:snapToGrid w:val="0"/>
        <w:spacing w:line="360" w:lineRule="auto"/>
        <w:rPr>
          <w:rFonts w:eastAsia="仿宋_GB2312" w:cs="Arial"/>
          <w:sz w:val="28"/>
          <w:szCs w:val="28"/>
        </w:rPr>
      </w:pPr>
    </w:p>
    <w:p>
      <w:pPr>
        <w:tabs>
          <w:tab w:val="left" w:pos="540"/>
        </w:tabs>
        <w:adjustRightInd w:val="0"/>
        <w:snapToGrid w:val="0"/>
        <w:spacing w:line="360" w:lineRule="auto"/>
        <w:rPr>
          <w:rFonts w:cs="Arial"/>
          <w:sz w:val="28"/>
          <w:szCs w:val="28"/>
        </w:rPr>
      </w:pPr>
      <w:r>
        <w:rPr>
          <w:rFonts w:eastAsia="仿宋_GB2312" w:cs="Arial"/>
          <w:sz w:val="28"/>
          <w:szCs w:val="28"/>
        </w:rPr>
        <w:tab/>
      </w:r>
      <w:r>
        <w:rPr>
          <w:rFonts w:eastAsia="仿宋_GB2312" w:cs="Arial"/>
          <w:sz w:val="28"/>
          <w:szCs w:val="28"/>
        </w:rPr>
        <w:tab/>
      </w:r>
      <w:r>
        <w:rPr>
          <w:rFonts w:eastAsia="仿宋_GB2312" w:cs="Arial"/>
          <w:sz w:val="28"/>
          <w:szCs w:val="28"/>
        </w:rPr>
        <w:tab/>
      </w:r>
      <w:r>
        <w:rPr>
          <w:rFonts w:eastAsia="仿宋_GB2312" w:cs="Arial"/>
          <w:sz w:val="28"/>
          <w:szCs w:val="28"/>
        </w:rPr>
        <w:tab/>
      </w:r>
      <w:r>
        <w:rPr>
          <w:rFonts w:eastAsia="仿宋_GB2312" w:cs="Arial"/>
          <w:sz w:val="28"/>
          <w:szCs w:val="28"/>
        </w:rPr>
        <w:t xml:space="preserve">  </w:t>
      </w:r>
      <w:r>
        <w:rPr>
          <w:rFonts w:hint="eastAsia" w:cs="Arial"/>
          <w:sz w:val="28"/>
          <w:szCs w:val="28"/>
        </w:rPr>
        <w:t>基金管理人：博时基金管理有限公司</w:t>
      </w:r>
    </w:p>
    <w:p>
      <w:pPr>
        <w:tabs>
          <w:tab w:val="left" w:pos="540"/>
        </w:tabs>
        <w:adjustRightInd w:val="0"/>
        <w:snapToGrid w:val="0"/>
        <w:spacing w:line="360" w:lineRule="auto"/>
        <w:rPr>
          <w:rFonts w:cs="Arial"/>
          <w:sz w:val="28"/>
          <w:szCs w:val="28"/>
        </w:rPr>
      </w:pPr>
      <w:r>
        <w:rPr>
          <w:rFonts w:cs="Arial"/>
          <w:sz w:val="28"/>
          <w:szCs w:val="28"/>
        </w:rPr>
        <w:tab/>
      </w:r>
      <w:r>
        <w:rPr>
          <w:rFonts w:cs="Arial"/>
          <w:sz w:val="28"/>
          <w:szCs w:val="28"/>
        </w:rPr>
        <w:tab/>
      </w:r>
      <w:r>
        <w:rPr>
          <w:rFonts w:cs="Arial"/>
          <w:sz w:val="28"/>
          <w:szCs w:val="28"/>
        </w:rPr>
        <w:tab/>
      </w:r>
      <w:r>
        <w:rPr>
          <w:rFonts w:cs="Arial"/>
          <w:sz w:val="28"/>
          <w:szCs w:val="28"/>
        </w:rPr>
        <w:tab/>
      </w:r>
      <w:r>
        <w:rPr>
          <w:rFonts w:cs="Arial"/>
          <w:sz w:val="28"/>
          <w:szCs w:val="28"/>
        </w:rPr>
        <w:t xml:space="preserve">  </w:t>
      </w:r>
      <w:r>
        <w:rPr>
          <w:rFonts w:hint="eastAsia" w:cs="Arial"/>
          <w:sz w:val="28"/>
          <w:szCs w:val="28"/>
        </w:rPr>
        <w:t>基金托管人：南京银行股份有限公司</w:t>
      </w:r>
    </w:p>
    <w:p>
      <w:pPr>
        <w:adjustRightInd w:val="0"/>
        <w:snapToGrid w:val="0"/>
        <w:spacing w:line="360" w:lineRule="auto"/>
        <w:jc w:val="left"/>
        <w:outlineLvl w:val="0"/>
        <w:rPr>
          <w:rFonts w:eastAsia="仿宋_GB2312" w:cs="Arial"/>
        </w:rPr>
      </w:pPr>
      <w:r>
        <w:rPr>
          <w:rFonts w:eastAsia="仿宋_GB2312" w:cs="Arial"/>
        </w:rPr>
        <w:br w:type="page"/>
      </w:r>
      <w:bookmarkStart w:id="193" w:name="_GoBack"/>
      <w:bookmarkEnd w:id="193"/>
    </w:p>
    <w:p>
      <w:pPr>
        <w:pStyle w:val="48"/>
        <w:jc w:val="center"/>
        <w:rPr>
          <w:rFonts w:ascii="Times New Roman" w:hAnsi="Times New Roman"/>
          <w:color w:val="000000"/>
        </w:rPr>
      </w:pPr>
      <w:r>
        <w:rPr>
          <w:rFonts w:hint="eastAsia" w:ascii="Times New Roman" w:hAnsi="Times New Roman"/>
          <w:color w:val="000000"/>
          <w:lang w:val="zh-CN"/>
        </w:rPr>
        <w:t>目录</w:t>
      </w:r>
    </w:p>
    <w:p>
      <w:pPr>
        <w:pStyle w:val="20"/>
        <w:rPr>
          <w:rFonts w:ascii="Calibri" w:hAnsi="Calibri"/>
          <w:szCs w:val="22"/>
        </w:rPr>
      </w:pPr>
      <w:r>
        <w:fldChar w:fldCharType="begin"/>
      </w:r>
      <w:r>
        <w:instrText xml:space="preserve"> TOC \o "1-3" \h \z \u </w:instrText>
      </w:r>
      <w:r>
        <w:fldChar w:fldCharType="separate"/>
      </w:r>
      <w:r>
        <w:fldChar w:fldCharType="begin"/>
      </w:r>
      <w:r>
        <w:instrText xml:space="preserve"> HYPERLINK \l "_Toc411875687" </w:instrText>
      </w:r>
      <w:r>
        <w:fldChar w:fldCharType="separate"/>
      </w:r>
      <w:r>
        <w:rPr>
          <w:rStyle w:val="27"/>
          <w:rFonts w:hint="eastAsia"/>
        </w:rPr>
        <w:t>一、基金托管协议当事人</w:t>
      </w:r>
      <w:r>
        <w:tab/>
      </w:r>
      <w:r>
        <w:fldChar w:fldCharType="begin"/>
      </w:r>
      <w:r>
        <w:instrText xml:space="preserve"> PAGEREF _Toc411875687 \h </w:instrText>
      </w:r>
      <w:r>
        <w:fldChar w:fldCharType="separate"/>
      </w:r>
      <w:r>
        <w:t>3</w:t>
      </w:r>
      <w:r>
        <w:fldChar w:fldCharType="end"/>
      </w:r>
      <w:r>
        <w:fldChar w:fldCharType="end"/>
      </w:r>
    </w:p>
    <w:p>
      <w:pPr>
        <w:pStyle w:val="20"/>
        <w:rPr>
          <w:rFonts w:ascii="Calibri" w:hAnsi="Calibri"/>
          <w:szCs w:val="22"/>
        </w:rPr>
      </w:pPr>
      <w:r>
        <w:fldChar w:fldCharType="begin"/>
      </w:r>
      <w:r>
        <w:instrText xml:space="preserve"> HYPERLINK \l "_Toc411875688" </w:instrText>
      </w:r>
      <w:r>
        <w:fldChar w:fldCharType="separate"/>
      </w:r>
      <w:r>
        <w:rPr>
          <w:rStyle w:val="27"/>
          <w:rFonts w:hint="eastAsia"/>
        </w:rPr>
        <w:t>二、基金托管协议的依据、目的和原则</w:t>
      </w:r>
      <w:r>
        <w:tab/>
      </w:r>
      <w:r>
        <w:fldChar w:fldCharType="begin"/>
      </w:r>
      <w:r>
        <w:instrText xml:space="preserve"> PAGEREF _Toc411875688 \h </w:instrText>
      </w:r>
      <w:r>
        <w:fldChar w:fldCharType="separate"/>
      </w:r>
      <w:r>
        <w:t>4</w:t>
      </w:r>
      <w:r>
        <w:fldChar w:fldCharType="end"/>
      </w:r>
      <w:r>
        <w:fldChar w:fldCharType="end"/>
      </w:r>
    </w:p>
    <w:p>
      <w:pPr>
        <w:pStyle w:val="20"/>
        <w:rPr>
          <w:rFonts w:ascii="Calibri" w:hAnsi="Calibri"/>
          <w:szCs w:val="22"/>
        </w:rPr>
      </w:pPr>
      <w:r>
        <w:fldChar w:fldCharType="begin"/>
      </w:r>
      <w:r>
        <w:instrText xml:space="preserve"> HYPERLINK \l "_Toc411875689" </w:instrText>
      </w:r>
      <w:r>
        <w:fldChar w:fldCharType="separate"/>
      </w:r>
      <w:r>
        <w:rPr>
          <w:rStyle w:val="27"/>
          <w:rFonts w:hint="eastAsia"/>
        </w:rPr>
        <w:t>三、基金托管人对基金管理人的业务监督和核查</w:t>
      </w:r>
      <w:r>
        <w:tab/>
      </w:r>
      <w:r>
        <w:fldChar w:fldCharType="begin"/>
      </w:r>
      <w:r>
        <w:instrText xml:space="preserve"> PAGEREF _Toc411875689 \h </w:instrText>
      </w:r>
      <w:r>
        <w:fldChar w:fldCharType="separate"/>
      </w:r>
      <w:r>
        <w:t>5</w:t>
      </w:r>
      <w:r>
        <w:fldChar w:fldCharType="end"/>
      </w:r>
      <w:r>
        <w:fldChar w:fldCharType="end"/>
      </w:r>
    </w:p>
    <w:p>
      <w:pPr>
        <w:pStyle w:val="20"/>
        <w:rPr>
          <w:rFonts w:ascii="Calibri" w:hAnsi="Calibri"/>
          <w:szCs w:val="22"/>
        </w:rPr>
      </w:pPr>
      <w:r>
        <w:fldChar w:fldCharType="begin"/>
      </w:r>
      <w:r>
        <w:instrText xml:space="preserve"> HYPERLINK \l "_Toc411875690" </w:instrText>
      </w:r>
      <w:r>
        <w:fldChar w:fldCharType="separate"/>
      </w:r>
      <w:r>
        <w:rPr>
          <w:rStyle w:val="27"/>
          <w:rFonts w:hint="eastAsia"/>
        </w:rPr>
        <w:t>四、基金管理人对基金托管人的业务核查</w:t>
      </w:r>
      <w:r>
        <w:tab/>
      </w:r>
      <w:r>
        <w:fldChar w:fldCharType="begin"/>
      </w:r>
      <w:r>
        <w:instrText xml:space="preserve"> PAGEREF _Toc411875690 \h </w:instrText>
      </w:r>
      <w:r>
        <w:fldChar w:fldCharType="separate"/>
      </w:r>
      <w:r>
        <w:t>11</w:t>
      </w:r>
      <w:r>
        <w:fldChar w:fldCharType="end"/>
      </w:r>
      <w:r>
        <w:fldChar w:fldCharType="end"/>
      </w:r>
    </w:p>
    <w:p>
      <w:pPr>
        <w:pStyle w:val="20"/>
        <w:rPr>
          <w:rFonts w:ascii="Calibri" w:hAnsi="Calibri"/>
          <w:szCs w:val="22"/>
        </w:rPr>
      </w:pPr>
      <w:r>
        <w:fldChar w:fldCharType="begin"/>
      </w:r>
      <w:r>
        <w:instrText xml:space="preserve"> HYPERLINK \l "_Toc411875691" </w:instrText>
      </w:r>
      <w:r>
        <w:fldChar w:fldCharType="separate"/>
      </w:r>
      <w:r>
        <w:rPr>
          <w:rStyle w:val="27"/>
          <w:rFonts w:hint="eastAsia"/>
        </w:rPr>
        <w:t>五、基金财产保管</w:t>
      </w:r>
      <w:r>
        <w:tab/>
      </w:r>
      <w:r>
        <w:fldChar w:fldCharType="begin"/>
      </w:r>
      <w:r>
        <w:instrText xml:space="preserve"> PAGEREF _Toc411875691 \h </w:instrText>
      </w:r>
      <w:r>
        <w:fldChar w:fldCharType="separate"/>
      </w:r>
      <w:r>
        <w:t>12</w:t>
      </w:r>
      <w:r>
        <w:fldChar w:fldCharType="end"/>
      </w:r>
      <w:r>
        <w:fldChar w:fldCharType="end"/>
      </w:r>
    </w:p>
    <w:p>
      <w:pPr>
        <w:pStyle w:val="20"/>
        <w:rPr>
          <w:rFonts w:ascii="Calibri" w:hAnsi="Calibri"/>
          <w:szCs w:val="22"/>
        </w:rPr>
      </w:pPr>
      <w:r>
        <w:fldChar w:fldCharType="begin"/>
      </w:r>
      <w:r>
        <w:instrText xml:space="preserve"> HYPERLINK \l "_Toc411875692" </w:instrText>
      </w:r>
      <w:r>
        <w:fldChar w:fldCharType="separate"/>
      </w:r>
      <w:r>
        <w:rPr>
          <w:rStyle w:val="27"/>
          <w:rFonts w:hint="eastAsia"/>
        </w:rPr>
        <w:t>六、指令的发送、确认和执行</w:t>
      </w:r>
      <w:r>
        <w:tab/>
      </w:r>
      <w:r>
        <w:fldChar w:fldCharType="begin"/>
      </w:r>
      <w:r>
        <w:instrText xml:space="preserve"> PAGEREF _Toc411875692 \h </w:instrText>
      </w:r>
      <w:r>
        <w:fldChar w:fldCharType="separate"/>
      </w:r>
      <w:r>
        <w:t>15</w:t>
      </w:r>
      <w:r>
        <w:fldChar w:fldCharType="end"/>
      </w:r>
      <w:r>
        <w:fldChar w:fldCharType="end"/>
      </w:r>
    </w:p>
    <w:p>
      <w:pPr>
        <w:pStyle w:val="20"/>
        <w:rPr>
          <w:rFonts w:ascii="Calibri" w:hAnsi="Calibri"/>
          <w:szCs w:val="22"/>
        </w:rPr>
      </w:pPr>
      <w:r>
        <w:fldChar w:fldCharType="begin"/>
      </w:r>
      <w:r>
        <w:instrText xml:space="preserve"> HYPERLINK \l "_Toc411875693" </w:instrText>
      </w:r>
      <w:r>
        <w:fldChar w:fldCharType="separate"/>
      </w:r>
      <w:r>
        <w:rPr>
          <w:rStyle w:val="27"/>
          <w:rFonts w:hint="eastAsia"/>
        </w:rPr>
        <w:t>七、交易及清算交收安排</w:t>
      </w:r>
      <w:r>
        <w:tab/>
      </w:r>
      <w:r>
        <w:fldChar w:fldCharType="begin"/>
      </w:r>
      <w:r>
        <w:instrText xml:space="preserve"> PAGEREF _Toc411875693 \h </w:instrText>
      </w:r>
      <w:r>
        <w:fldChar w:fldCharType="separate"/>
      </w:r>
      <w:r>
        <w:t>18</w:t>
      </w:r>
      <w:r>
        <w:fldChar w:fldCharType="end"/>
      </w:r>
      <w:r>
        <w:fldChar w:fldCharType="end"/>
      </w:r>
    </w:p>
    <w:p>
      <w:pPr>
        <w:pStyle w:val="20"/>
        <w:rPr>
          <w:rFonts w:ascii="Calibri" w:hAnsi="Calibri"/>
          <w:szCs w:val="22"/>
        </w:rPr>
      </w:pPr>
      <w:r>
        <w:fldChar w:fldCharType="begin"/>
      </w:r>
      <w:r>
        <w:instrText xml:space="preserve"> HYPERLINK \l "_Toc411875694" </w:instrText>
      </w:r>
      <w:r>
        <w:fldChar w:fldCharType="separate"/>
      </w:r>
      <w:r>
        <w:rPr>
          <w:rStyle w:val="27"/>
          <w:rFonts w:hint="eastAsia"/>
        </w:rPr>
        <w:t>八、基金资产净值计算和会计核算</w:t>
      </w:r>
      <w:r>
        <w:tab/>
      </w:r>
      <w:r>
        <w:fldChar w:fldCharType="begin"/>
      </w:r>
      <w:r>
        <w:instrText xml:space="preserve"> PAGEREF _Toc411875694 \h </w:instrText>
      </w:r>
      <w:r>
        <w:fldChar w:fldCharType="separate"/>
      </w:r>
      <w:r>
        <w:t>22</w:t>
      </w:r>
      <w:r>
        <w:fldChar w:fldCharType="end"/>
      </w:r>
      <w:r>
        <w:fldChar w:fldCharType="end"/>
      </w:r>
    </w:p>
    <w:p>
      <w:pPr>
        <w:pStyle w:val="20"/>
        <w:rPr>
          <w:rFonts w:ascii="Calibri" w:hAnsi="Calibri"/>
          <w:szCs w:val="22"/>
        </w:rPr>
      </w:pPr>
      <w:r>
        <w:fldChar w:fldCharType="begin"/>
      </w:r>
      <w:r>
        <w:instrText xml:space="preserve"> HYPERLINK \l "_Toc411875695" </w:instrText>
      </w:r>
      <w:r>
        <w:fldChar w:fldCharType="separate"/>
      </w:r>
      <w:r>
        <w:rPr>
          <w:rStyle w:val="27"/>
          <w:rFonts w:hint="eastAsia"/>
        </w:rPr>
        <w:t>九、基金收益分配</w:t>
      </w:r>
      <w:r>
        <w:tab/>
      </w:r>
      <w:r>
        <w:fldChar w:fldCharType="begin"/>
      </w:r>
      <w:r>
        <w:instrText xml:space="preserve"> PAGEREF _Toc411875695 \h </w:instrText>
      </w:r>
      <w:r>
        <w:fldChar w:fldCharType="separate"/>
      </w:r>
      <w:r>
        <w:t>26</w:t>
      </w:r>
      <w:r>
        <w:fldChar w:fldCharType="end"/>
      </w:r>
      <w:r>
        <w:fldChar w:fldCharType="end"/>
      </w:r>
    </w:p>
    <w:p>
      <w:pPr>
        <w:pStyle w:val="20"/>
        <w:rPr>
          <w:rFonts w:ascii="Calibri" w:hAnsi="Calibri"/>
          <w:szCs w:val="22"/>
        </w:rPr>
      </w:pPr>
      <w:r>
        <w:fldChar w:fldCharType="begin"/>
      </w:r>
      <w:r>
        <w:instrText xml:space="preserve"> HYPERLINK \l "_Toc411875696" </w:instrText>
      </w:r>
      <w:r>
        <w:fldChar w:fldCharType="separate"/>
      </w:r>
      <w:r>
        <w:rPr>
          <w:rStyle w:val="27"/>
          <w:rFonts w:hint="eastAsia"/>
        </w:rPr>
        <w:t>十、基金信息披露</w:t>
      </w:r>
      <w:r>
        <w:tab/>
      </w:r>
      <w:r>
        <w:fldChar w:fldCharType="begin"/>
      </w:r>
      <w:r>
        <w:instrText xml:space="preserve"> PAGEREF _Toc411875696 \h </w:instrText>
      </w:r>
      <w:r>
        <w:fldChar w:fldCharType="separate"/>
      </w:r>
      <w:r>
        <w:t>27</w:t>
      </w:r>
      <w:r>
        <w:fldChar w:fldCharType="end"/>
      </w:r>
      <w:r>
        <w:fldChar w:fldCharType="end"/>
      </w:r>
    </w:p>
    <w:p>
      <w:pPr>
        <w:pStyle w:val="20"/>
        <w:rPr>
          <w:rFonts w:ascii="Calibri" w:hAnsi="Calibri"/>
          <w:szCs w:val="22"/>
        </w:rPr>
      </w:pPr>
      <w:r>
        <w:fldChar w:fldCharType="begin"/>
      </w:r>
      <w:r>
        <w:instrText xml:space="preserve"> HYPERLINK \l "_Toc411875697" </w:instrText>
      </w:r>
      <w:r>
        <w:fldChar w:fldCharType="separate"/>
      </w:r>
      <w:r>
        <w:rPr>
          <w:rStyle w:val="27"/>
          <w:rFonts w:hint="eastAsia"/>
        </w:rPr>
        <w:t>十一、基金费用</w:t>
      </w:r>
      <w:r>
        <w:tab/>
      </w:r>
      <w:r>
        <w:fldChar w:fldCharType="begin"/>
      </w:r>
      <w:r>
        <w:instrText xml:space="preserve"> PAGEREF _Toc411875697 \h </w:instrText>
      </w:r>
      <w:r>
        <w:fldChar w:fldCharType="separate"/>
      </w:r>
      <w:r>
        <w:t>29</w:t>
      </w:r>
      <w:r>
        <w:fldChar w:fldCharType="end"/>
      </w:r>
      <w:r>
        <w:fldChar w:fldCharType="end"/>
      </w:r>
    </w:p>
    <w:p>
      <w:pPr>
        <w:pStyle w:val="20"/>
        <w:rPr>
          <w:rFonts w:ascii="Calibri" w:hAnsi="Calibri"/>
          <w:szCs w:val="22"/>
        </w:rPr>
      </w:pPr>
      <w:r>
        <w:fldChar w:fldCharType="begin"/>
      </w:r>
      <w:r>
        <w:instrText xml:space="preserve"> HYPERLINK \l "_Toc411875698" </w:instrText>
      </w:r>
      <w:r>
        <w:fldChar w:fldCharType="separate"/>
      </w:r>
      <w:r>
        <w:rPr>
          <w:rStyle w:val="27"/>
          <w:rFonts w:hint="eastAsia"/>
        </w:rPr>
        <w:t>十二、基金份额持有人名册的保管</w:t>
      </w:r>
      <w:r>
        <w:tab/>
      </w:r>
      <w:r>
        <w:fldChar w:fldCharType="begin"/>
      </w:r>
      <w:r>
        <w:instrText xml:space="preserve"> PAGEREF _Toc411875698 \h </w:instrText>
      </w:r>
      <w:r>
        <w:fldChar w:fldCharType="separate"/>
      </w:r>
      <w:r>
        <w:t>31</w:t>
      </w:r>
      <w:r>
        <w:fldChar w:fldCharType="end"/>
      </w:r>
      <w:r>
        <w:fldChar w:fldCharType="end"/>
      </w:r>
    </w:p>
    <w:p>
      <w:pPr>
        <w:pStyle w:val="20"/>
        <w:rPr>
          <w:rFonts w:ascii="Calibri" w:hAnsi="Calibri"/>
          <w:szCs w:val="22"/>
        </w:rPr>
      </w:pPr>
      <w:r>
        <w:fldChar w:fldCharType="begin"/>
      </w:r>
      <w:r>
        <w:instrText xml:space="preserve"> HYPERLINK \l "_Toc411875699" </w:instrText>
      </w:r>
      <w:r>
        <w:fldChar w:fldCharType="separate"/>
      </w:r>
      <w:r>
        <w:rPr>
          <w:rStyle w:val="27"/>
          <w:rFonts w:hint="eastAsia"/>
        </w:rPr>
        <w:t>十三、基金有关文件档案的保存</w:t>
      </w:r>
      <w:r>
        <w:tab/>
      </w:r>
      <w:r>
        <w:fldChar w:fldCharType="begin"/>
      </w:r>
      <w:r>
        <w:instrText xml:space="preserve"> PAGEREF _Toc411875699 \h </w:instrText>
      </w:r>
      <w:r>
        <w:fldChar w:fldCharType="separate"/>
      </w:r>
      <w:r>
        <w:t>32</w:t>
      </w:r>
      <w:r>
        <w:fldChar w:fldCharType="end"/>
      </w:r>
      <w:r>
        <w:fldChar w:fldCharType="end"/>
      </w:r>
    </w:p>
    <w:p>
      <w:pPr>
        <w:pStyle w:val="20"/>
        <w:rPr>
          <w:rFonts w:ascii="Calibri" w:hAnsi="Calibri"/>
          <w:szCs w:val="22"/>
        </w:rPr>
      </w:pPr>
      <w:r>
        <w:fldChar w:fldCharType="begin"/>
      </w:r>
      <w:r>
        <w:instrText xml:space="preserve"> HYPERLINK \l "_Toc411875700" </w:instrText>
      </w:r>
      <w:r>
        <w:fldChar w:fldCharType="separate"/>
      </w:r>
      <w:r>
        <w:rPr>
          <w:rStyle w:val="27"/>
          <w:rFonts w:hint="eastAsia"/>
        </w:rPr>
        <w:t>十四、基金管理人和基金托管人的更换</w:t>
      </w:r>
      <w:r>
        <w:tab/>
      </w:r>
      <w:r>
        <w:fldChar w:fldCharType="begin"/>
      </w:r>
      <w:r>
        <w:instrText xml:space="preserve"> PAGEREF _Toc411875700 \h </w:instrText>
      </w:r>
      <w:r>
        <w:fldChar w:fldCharType="separate"/>
      </w:r>
      <w:r>
        <w:t>33</w:t>
      </w:r>
      <w:r>
        <w:fldChar w:fldCharType="end"/>
      </w:r>
      <w:r>
        <w:fldChar w:fldCharType="end"/>
      </w:r>
    </w:p>
    <w:p>
      <w:pPr>
        <w:pStyle w:val="20"/>
        <w:rPr>
          <w:rFonts w:ascii="Calibri" w:hAnsi="Calibri"/>
          <w:szCs w:val="22"/>
        </w:rPr>
      </w:pPr>
      <w:r>
        <w:fldChar w:fldCharType="begin"/>
      </w:r>
      <w:r>
        <w:instrText xml:space="preserve"> HYPERLINK \l "_Toc411875701" </w:instrText>
      </w:r>
      <w:r>
        <w:fldChar w:fldCharType="separate"/>
      </w:r>
      <w:r>
        <w:rPr>
          <w:rStyle w:val="27"/>
          <w:rFonts w:hint="eastAsia"/>
        </w:rPr>
        <w:t>十五、禁止行为</w:t>
      </w:r>
      <w:r>
        <w:tab/>
      </w:r>
      <w:r>
        <w:fldChar w:fldCharType="begin"/>
      </w:r>
      <w:r>
        <w:instrText xml:space="preserve"> PAGEREF _Toc411875701 \h </w:instrText>
      </w:r>
      <w:r>
        <w:fldChar w:fldCharType="separate"/>
      </w:r>
      <w:r>
        <w:t>36</w:t>
      </w:r>
      <w:r>
        <w:fldChar w:fldCharType="end"/>
      </w:r>
      <w:r>
        <w:fldChar w:fldCharType="end"/>
      </w:r>
    </w:p>
    <w:p>
      <w:pPr>
        <w:pStyle w:val="20"/>
        <w:rPr>
          <w:rFonts w:ascii="Calibri" w:hAnsi="Calibri"/>
          <w:szCs w:val="22"/>
        </w:rPr>
      </w:pPr>
      <w:r>
        <w:fldChar w:fldCharType="begin"/>
      </w:r>
      <w:r>
        <w:instrText xml:space="preserve"> HYPERLINK \l "_Toc411875702" </w:instrText>
      </w:r>
      <w:r>
        <w:fldChar w:fldCharType="separate"/>
      </w:r>
      <w:r>
        <w:rPr>
          <w:rStyle w:val="27"/>
          <w:rFonts w:hint="eastAsia"/>
        </w:rPr>
        <w:t>十六、基金托管协议的变更、终止与基金财产的清算</w:t>
      </w:r>
      <w:r>
        <w:tab/>
      </w:r>
      <w:r>
        <w:fldChar w:fldCharType="begin"/>
      </w:r>
      <w:r>
        <w:instrText xml:space="preserve"> PAGEREF _Toc411875702 \h </w:instrText>
      </w:r>
      <w:r>
        <w:fldChar w:fldCharType="separate"/>
      </w:r>
      <w:r>
        <w:t>38</w:t>
      </w:r>
      <w:r>
        <w:fldChar w:fldCharType="end"/>
      </w:r>
      <w:r>
        <w:fldChar w:fldCharType="end"/>
      </w:r>
    </w:p>
    <w:p>
      <w:pPr>
        <w:pStyle w:val="20"/>
        <w:rPr>
          <w:rFonts w:ascii="Calibri" w:hAnsi="Calibri"/>
          <w:szCs w:val="22"/>
        </w:rPr>
      </w:pPr>
      <w:r>
        <w:fldChar w:fldCharType="begin"/>
      </w:r>
      <w:r>
        <w:instrText xml:space="preserve"> HYPERLINK \l "_Toc411875703" </w:instrText>
      </w:r>
      <w:r>
        <w:fldChar w:fldCharType="separate"/>
      </w:r>
      <w:r>
        <w:rPr>
          <w:rStyle w:val="27"/>
          <w:rFonts w:hint="eastAsia"/>
        </w:rPr>
        <w:t>十七、违约责任</w:t>
      </w:r>
      <w:r>
        <w:tab/>
      </w:r>
      <w:r>
        <w:fldChar w:fldCharType="begin"/>
      </w:r>
      <w:r>
        <w:instrText xml:space="preserve"> PAGEREF _Toc411875703 \h </w:instrText>
      </w:r>
      <w:r>
        <w:fldChar w:fldCharType="separate"/>
      </w:r>
      <w:r>
        <w:t>40</w:t>
      </w:r>
      <w:r>
        <w:fldChar w:fldCharType="end"/>
      </w:r>
      <w:r>
        <w:fldChar w:fldCharType="end"/>
      </w:r>
    </w:p>
    <w:p>
      <w:pPr>
        <w:pStyle w:val="20"/>
        <w:rPr>
          <w:rFonts w:ascii="Calibri" w:hAnsi="Calibri"/>
          <w:szCs w:val="22"/>
        </w:rPr>
      </w:pPr>
      <w:r>
        <w:fldChar w:fldCharType="begin"/>
      </w:r>
      <w:r>
        <w:instrText xml:space="preserve"> HYPERLINK \l "_Toc411875704" </w:instrText>
      </w:r>
      <w:r>
        <w:fldChar w:fldCharType="separate"/>
      </w:r>
      <w:r>
        <w:rPr>
          <w:rStyle w:val="27"/>
          <w:rFonts w:hint="eastAsia"/>
        </w:rPr>
        <w:t>十八、争议解决方式</w:t>
      </w:r>
      <w:r>
        <w:tab/>
      </w:r>
      <w:r>
        <w:fldChar w:fldCharType="begin"/>
      </w:r>
      <w:r>
        <w:instrText xml:space="preserve"> PAGEREF _Toc411875704 \h </w:instrText>
      </w:r>
      <w:r>
        <w:fldChar w:fldCharType="separate"/>
      </w:r>
      <w:r>
        <w:t>41</w:t>
      </w:r>
      <w:r>
        <w:fldChar w:fldCharType="end"/>
      </w:r>
      <w:r>
        <w:fldChar w:fldCharType="end"/>
      </w:r>
    </w:p>
    <w:p>
      <w:pPr>
        <w:pStyle w:val="20"/>
        <w:rPr>
          <w:rFonts w:ascii="Calibri" w:hAnsi="Calibri"/>
          <w:szCs w:val="22"/>
        </w:rPr>
      </w:pPr>
      <w:r>
        <w:fldChar w:fldCharType="begin"/>
      </w:r>
      <w:r>
        <w:instrText xml:space="preserve"> HYPERLINK \l "_Toc411875705" </w:instrText>
      </w:r>
      <w:r>
        <w:fldChar w:fldCharType="separate"/>
      </w:r>
      <w:r>
        <w:rPr>
          <w:rStyle w:val="27"/>
          <w:rFonts w:hint="eastAsia"/>
        </w:rPr>
        <w:t>十九、托管协议的效力</w:t>
      </w:r>
      <w:r>
        <w:tab/>
      </w:r>
      <w:r>
        <w:fldChar w:fldCharType="begin"/>
      </w:r>
      <w:r>
        <w:instrText xml:space="preserve"> PAGEREF _Toc411875705 \h </w:instrText>
      </w:r>
      <w:r>
        <w:fldChar w:fldCharType="separate"/>
      </w:r>
      <w:r>
        <w:t>42</w:t>
      </w:r>
      <w:r>
        <w:fldChar w:fldCharType="end"/>
      </w:r>
      <w:r>
        <w:fldChar w:fldCharType="end"/>
      </w:r>
    </w:p>
    <w:p>
      <w:pPr>
        <w:pStyle w:val="20"/>
        <w:rPr>
          <w:rFonts w:ascii="Calibri" w:hAnsi="Calibri"/>
          <w:szCs w:val="22"/>
        </w:rPr>
      </w:pPr>
      <w:r>
        <w:fldChar w:fldCharType="begin"/>
      </w:r>
      <w:r>
        <w:instrText xml:space="preserve"> HYPERLINK \l "_Toc411875706" </w:instrText>
      </w:r>
      <w:r>
        <w:fldChar w:fldCharType="separate"/>
      </w:r>
      <w:r>
        <w:rPr>
          <w:rStyle w:val="27"/>
          <w:rFonts w:hint="eastAsia"/>
        </w:rPr>
        <w:t>二十、其他事项</w:t>
      </w:r>
      <w:r>
        <w:tab/>
      </w:r>
      <w:r>
        <w:fldChar w:fldCharType="begin"/>
      </w:r>
      <w:r>
        <w:instrText xml:space="preserve"> PAGEREF _Toc411875706 \h </w:instrText>
      </w:r>
      <w:r>
        <w:fldChar w:fldCharType="separate"/>
      </w:r>
      <w:r>
        <w:t>43</w:t>
      </w:r>
      <w:r>
        <w:fldChar w:fldCharType="end"/>
      </w:r>
      <w:r>
        <w:fldChar w:fldCharType="end"/>
      </w:r>
    </w:p>
    <w:p>
      <w:pPr>
        <w:pStyle w:val="20"/>
        <w:rPr>
          <w:rFonts w:ascii="Calibri" w:hAnsi="Calibri"/>
          <w:szCs w:val="22"/>
        </w:rPr>
      </w:pPr>
      <w:r>
        <w:fldChar w:fldCharType="begin"/>
      </w:r>
      <w:r>
        <w:instrText xml:space="preserve"> HYPERLINK \l "_Toc411875707" </w:instrText>
      </w:r>
      <w:r>
        <w:fldChar w:fldCharType="separate"/>
      </w:r>
      <w:r>
        <w:rPr>
          <w:rStyle w:val="27"/>
          <w:rFonts w:hint="eastAsia"/>
        </w:rPr>
        <w:t>二十一、托管协议的签订</w:t>
      </w:r>
      <w:r>
        <w:tab/>
      </w:r>
      <w:r>
        <w:fldChar w:fldCharType="begin"/>
      </w:r>
      <w:r>
        <w:instrText xml:space="preserve"> PAGEREF _Toc411875707 \h </w:instrText>
      </w:r>
      <w:r>
        <w:fldChar w:fldCharType="separate"/>
      </w:r>
      <w:r>
        <w:t>44</w:t>
      </w:r>
      <w:r>
        <w:fldChar w:fldCharType="end"/>
      </w:r>
      <w:r>
        <w:fldChar w:fldCharType="end"/>
      </w:r>
    </w:p>
    <w:p>
      <w:pPr>
        <w:rPr>
          <w:rFonts w:eastAsia="仿宋_GB2312" w:cs="Arial"/>
          <w:bCs/>
        </w:rPr>
      </w:pPr>
      <w:r>
        <w:fldChar w:fldCharType="end"/>
      </w:r>
    </w:p>
    <w:p>
      <w:pPr>
        <w:adjustRightInd w:val="0"/>
        <w:snapToGrid w:val="0"/>
        <w:spacing w:line="360" w:lineRule="auto"/>
        <w:rPr>
          <w:rFonts w:eastAsia="仿宋_GB2312" w:cs="Arial"/>
          <w:bCs/>
        </w:rPr>
        <w:sectPr>
          <w:headerReference r:id="rId3" w:type="default"/>
          <w:footerReference r:id="rId4" w:type="default"/>
          <w:footerReference r:id="rId5" w:type="even"/>
          <w:pgSz w:w="11906" w:h="16838"/>
          <w:pgMar w:top="1418" w:right="1701" w:bottom="1418" w:left="1701" w:header="851" w:footer="992" w:gutter="0"/>
          <w:pgNumType w:start="0"/>
          <w:cols w:space="720" w:num="1"/>
          <w:titlePg/>
          <w:docGrid w:type="lines" w:linePitch="312" w:charSpace="0"/>
        </w:sectPr>
      </w:pPr>
    </w:p>
    <w:p>
      <w:pPr>
        <w:spacing w:after="120" w:line="360" w:lineRule="auto"/>
        <w:ind w:firstLine="420" w:firstLineChars="200"/>
        <w:rPr>
          <w:szCs w:val="21"/>
        </w:rPr>
      </w:pPr>
      <w:r>
        <w:rPr>
          <w:rFonts w:hint="eastAsia"/>
          <w:szCs w:val="21"/>
        </w:rPr>
        <w:t>鉴于博时基金管理有限公司系一家依照中国法律合法成立并有效存续的有限责任公司，按照相关法律法规的规定具备担任基金管理人的资格和能力，拟募集发行博时裕盛纯债债券型证券投资基金；</w:t>
      </w:r>
    </w:p>
    <w:p>
      <w:pPr>
        <w:spacing w:after="120" w:line="360" w:lineRule="auto"/>
        <w:ind w:firstLine="420" w:firstLineChars="200"/>
        <w:rPr>
          <w:szCs w:val="21"/>
        </w:rPr>
      </w:pPr>
      <w:r>
        <w:rPr>
          <w:rFonts w:hint="eastAsia"/>
          <w:szCs w:val="21"/>
        </w:rPr>
        <w:t>鉴于南京银行股份有限公司系一家依照中国法律合法成立并有效存续的银行，按照相关法律法规的规定具备担任基金托管人的资格和能力；</w:t>
      </w:r>
    </w:p>
    <w:p>
      <w:pPr>
        <w:spacing w:after="120" w:line="360" w:lineRule="auto"/>
        <w:ind w:firstLine="420" w:firstLineChars="200"/>
        <w:rPr>
          <w:szCs w:val="21"/>
        </w:rPr>
      </w:pPr>
      <w:r>
        <w:rPr>
          <w:rFonts w:hint="eastAsia"/>
          <w:szCs w:val="21"/>
        </w:rPr>
        <w:t>鉴于博时基金管理有限公司拟担任博时裕盛纯债债券型证券投资基金的基金管理人，南京银行股份有限公司拟担任博时裕盛纯债债券型证券投资基金的基金托管人；</w:t>
      </w:r>
    </w:p>
    <w:p>
      <w:pPr>
        <w:spacing w:after="120" w:line="360" w:lineRule="auto"/>
        <w:ind w:firstLine="420" w:firstLineChars="200"/>
        <w:rPr>
          <w:szCs w:val="21"/>
        </w:rPr>
      </w:pPr>
      <w:r>
        <w:rPr>
          <w:rFonts w:hint="eastAsia"/>
          <w:szCs w:val="21"/>
        </w:rPr>
        <w:t>为明确博时裕盛纯债债券型证券投资基金的基金管理人和基金托管人之间的权利义务关系，特制订本托管协议。</w:t>
      </w:r>
    </w:p>
    <w:p>
      <w:pPr>
        <w:spacing w:after="120" w:line="360" w:lineRule="auto"/>
        <w:ind w:firstLine="420" w:firstLineChars="200"/>
        <w:rPr>
          <w:szCs w:val="21"/>
        </w:rPr>
      </w:pPr>
      <w:r>
        <w:rPr>
          <w:rFonts w:hint="eastAsia"/>
          <w:szCs w:val="21"/>
        </w:rPr>
        <w:t>除非另有约定，《博时裕盛纯债债券型证券投资基金基金合同》（以下简称“基金合同”）中定义的术语在用于本托管协议时应具有相同的含义；若有抵触应以基金合同为准，并依其条款解释。</w:t>
      </w:r>
    </w:p>
    <w:p>
      <w:pPr>
        <w:snapToGrid w:val="0"/>
        <w:spacing w:line="360" w:lineRule="auto"/>
        <w:rPr>
          <w:lang w:val="en-GB"/>
        </w:rPr>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snapToGrid w:val="0"/>
        <w:spacing w:line="360" w:lineRule="auto"/>
      </w:pPr>
    </w:p>
    <w:p>
      <w:pPr>
        <w:pStyle w:val="3"/>
        <w:numPr>
          <w:ilvl w:val="0"/>
          <w:numId w:val="0"/>
        </w:numPr>
        <w:snapToGrid w:val="0"/>
        <w:spacing w:before="0" w:after="0" w:line="360" w:lineRule="auto"/>
        <w:ind w:left="576"/>
        <w:rPr>
          <w:rFonts w:ascii="Times New Roman" w:hAnsi="Times New Roman"/>
        </w:rPr>
      </w:pPr>
      <w:bookmarkStart w:id="9" w:name="_Toc123626167"/>
      <w:bookmarkStart w:id="10" w:name="_Toc22454432"/>
      <w:bookmarkStart w:id="11" w:name="_Toc48703884"/>
      <w:bookmarkStart w:id="12" w:name="_Toc283383014"/>
      <w:bookmarkStart w:id="13" w:name="_Toc411875687"/>
      <w:bookmarkStart w:id="14" w:name="_Toc290284043"/>
      <w:bookmarkStart w:id="15" w:name="_Toc523829992"/>
      <w:bookmarkStart w:id="16" w:name="_Toc124749936"/>
      <w:bookmarkStart w:id="17" w:name="_Toc125361073"/>
      <w:bookmarkStart w:id="18" w:name="_Toc124749225"/>
      <w:bookmarkStart w:id="19" w:name="_Toc140002336"/>
      <w:r>
        <w:rPr>
          <w:rFonts w:hint="eastAsia" w:ascii="Times New Roman" w:hAnsi="Times New Roman"/>
        </w:rPr>
        <w:t>一、基金托管协议当事人</w:t>
      </w:r>
      <w:bookmarkEnd w:id="9"/>
      <w:bookmarkEnd w:id="10"/>
      <w:bookmarkEnd w:id="11"/>
      <w:bookmarkEnd w:id="12"/>
      <w:bookmarkEnd w:id="13"/>
      <w:bookmarkEnd w:id="14"/>
      <w:bookmarkEnd w:id="15"/>
      <w:bookmarkEnd w:id="16"/>
      <w:bookmarkEnd w:id="17"/>
      <w:bookmarkEnd w:id="18"/>
      <w:bookmarkEnd w:id="19"/>
    </w:p>
    <w:p>
      <w:pPr>
        <w:spacing w:after="120" w:line="360" w:lineRule="auto"/>
        <w:ind w:firstLine="420" w:firstLineChars="200"/>
        <w:rPr>
          <w:szCs w:val="21"/>
        </w:rPr>
      </w:pPr>
      <w:bookmarkStart w:id="20" w:name="_Toc48703885"/>
      <w:bookmarkStart w:id="21" w:name="_Toc22454433"/>
      <w:r>
        <w:rPr>
          <w:rFonts w:hint="eastAsia"/>
          <w:szCs w:val="21"/>
        </w:rPr>
        <w:t>（一）基金管理人</w:t>
      </w:r>
      <w:bookmarkEnd w:id="20"/>
      <w:bookmarkEnd w:id="21"/>
    </w:p>
    <w:p>
      <w:pPr>
        <w:spacing w:after="120" w:line="360" w:lineRule="auto"/>
        <w:ind w:firstLine="420" w:firstLineChars="200"/>
        <w:rPr>
          <w:szCs w:val="21"/>
        </w:rPr>
      </w:pPr>
      <w:bookmarkStart w:id="22" w:name="_Toc15118236"/>
      <w:r>
        <w:rPr>
          <w:rFonts w:hint="eastAsia"/>
          <w:szCs w:val="21"/>
        </w:rPr>
        <w:t>名称：博时基金管理有限公司</w:t>
      </w:r>
    </w:p>
    <w:p>
      <w:pPr>
        <w:spacing w:after="120" w:line="360" w:lineRule="auto"/>
        <w:ind w:firstLine="420" w:firstLineChars="200"/>
        <w:rPr>
          <w:szCs w:val="21"/>
        </w:rPr>
      </w:pPr>
      <w:r>
        <w:rPr>
          <w:rFonts w:hint="eastAsia"/>
          <w:szCs w:val="21"/>
        </w:rPr>
        <w:t>住所：深圳市福田区莲花街道福新社区益田路5999号基金大厦21层</w:t>
      </w:r>
    </w:p>
    <w:p>
      <w:pPr>
        <w:spacing w:after="120" w:line="360" w:lineRule="auto"/>
        <w:ind w:firstLine="420" w:firstLineChars="200"/>
        <w:rPr>
          <w:szCs w:val="21"/>
        </w:rPr>
      </w:pPr>
      <w:r>
        <w:rPr>
          <w:rFonts w:hint="eastAsia"/>
          <w:szCs w:val="21"/>
        </w:rPr>
        <w:t>法定代表人：江向阳</w:t>
      </w:r>
    </w:p>
    <w:p>
      <w:pPr>
        <w:spacing w:after="120" w:line="360" w:lineRule="auto"/>
        <w:ind w:firstLine="420" w:firstLineChars="200"/>
        <w:rPr>
          <w:szCs w:val="21"/>
        </w:rPr>
      </w:pPr>
      <w:r>
        <w:rPr>
          <w:rFonts w:hint="eastAsia"/>
          <w:szCs w:val="21"/>
        </w:rPr>
        <w:t>设立日期：</w:t>
      </w:r>
      <w:r>
        <w:rPr>
          <w:szCs w:val="21"/>
        </w:rPr>
        <w:t>1998</w:t>
      </w:r>
      <w:r>
        <w:rPr>
          <w:rFonts w:hint="eastAsia"/>
          <w:szCs w:val="21"/>
        </w:rPr>
        <w:t>年</w:t>
      </w:r>
      <w:r>
        <w:rPr>
          <w:szCs w:val="21"/>
        </w:rPr>
        <w:t>7</w:t>
      </w:r>
      <w:r>
        <w:rPr>
          <w:rFonts w:hint="eastAsia"/>
          <w:szCs w:val="21"/>
        </w:rPr>
        <w:t>月</w:t>
      </w:r>
      <w:r>
        <w:rPr>
          <w:szCs w:val="21"/>
        </w:rPr>
        <w:t>13</w:t>
      </w:r>
      <w:r>
        <w:rPr>
          <w:rFonts w:hint="eastAsia"/>
          <w:szCs w:val="21"/>
        </w:rPr>
        <w:t>日</w:t>
      </w:r>
    </w:p>
    <w:p>
      <w:pPr>
        <w:spacing w:after="120" w:line="360" w:lineRule="auto"/>
        <w:ind w:firstLine="420" w:firstLineChars="200"/>
        <w:rPr>
          <w:szCs w:val="21"/>
        </w:rPr>
      </w:pPr>
      <w:r>
        <w:rPr>
          <w:rFonts w:hint="eastAsia"/>
          <w:szCs w:val="21"/>
        </w:rPr>
        <w:t>批准设立机关及批准设立文号：中国证监会证监基字【</w:t>
      </w:r>
      <w:r>
        <w:rPr>
          <w:szCs w:val="21"/>
        </w:rPr>
        <w:t>1998</w:t>
      </w:r>
      <w:r>
        <w:rPr>
          <w:rFonts w:hint="eastAsia"/>
          <w:szCs w:val="21"/>
        </w:rPr>
        <w:t>】</w:t>
      </w:r>
      <w:r>
        <w:rPr>
          <w:szCs w:val="21"/>
        </w:rPr>
        <w:t>26</w:t>
      </w:r>
      <w:r>
        <w:rPr>
          <w:rFonts w:hint="eastAsia"/>
          <w:szCs w:val="21"/>
        </w:rPr>
        <w:t>号</w:t>
      </w:r>
    </w:p>
    <w:p>
      <w:pPr>
        <w:spacing w:after="120" w:line="360" w:lineRule="auto"/>
        <w:ind w:firstLine="420" w:firstLineChars="200"/>
        <w:rPr>
          <w:szCs w:val="21"/>
        </w:rPr>
      </w:pPr>
      <w:r>
        <w:rPr>
          <w:rFonts w:hint="eastAsia"/>
          <w:szCs w:val="21"/>
        </w:rPr>
        <w:t>组织形式：有限责任公司</w:t>
      </w:r>
    </w:p>
    <w:p>
      <w:pPr>
        <w:spacing w:after="120" w:line="360" w:lineRule="auto"/>
        <w:ind w:firstLine="420" w:firstLineChars="200"/>
        <w:rPr>
          <w:szCs w:val="21"/>
        </w:rPr>
      </w:pPr>
      <w:r>
        <w:rPr>
          <w:rFonts w:hint="eastAsia"/>
          <w:szCs w:val="21"/>
        </w:rPr>
        <w:t>注册资本：</w:t>
      </w:r>
      <w:r>
        <w:rPr>
          <w:szCs w:val="21"/>
        </w:rPr>
        <w:t>2.5</w:t>
      </w:r>
      <w:r>
        <w:rPr>
          <w:rFonts w:hint="eastAsia"/>
          <w:szCs w:val="21"/>
        </w:rPr>
        <w:t>亿元人民币</w:t>
      </w:r>
    </w:p>
    <w:p>
      <w:pPr>
        <w:spacing w:after="120" w:line="360" w:lineRule="auto"/>
        <w:ind w:firstLine="420" w:firstLineChars="200"/>
        <w:rPr>
          <w:szCs w:val="21"/>
        </w:rPr>
      </w:pPr>
      <w:r>
        <w:rPr>
          <w:rFonts w:hint="eastAsia"/>
          <w:szCs w:val="21"/>
        </w:rPr>
        <w:t>存续期限：持续经营</w:t>
      </w:r>
    </w:p>
    <w:p>
      <w:pPr>
        <w:spacing w:after="120" w:line="360" w:lineRule="auto"/>
        <w:ind w:firstLine="420" w:firstLineChars="200"/>
        <w:rPr>
          <w:bCs/>
          <w:sz w:val="24"/>
        </w:rPr>
      </w:pPr>
      <w:r>
        <w:rPr>
          <w:rFonts w:hint="eastAsia"/>
          <w:szCs w:val="21"/>
        </w:rPr>
        <w:t>联系电话：</w:t>
      </w:r>
      <w:r>
        <w:rPr>
          <w:szCs w:val="21"/>
        </w:rPr>
        <w:t>0755-83169999</w:t>
      </w:r>
    </w:p>
    <w:bookmarkEnd w:id="22"/>
    <w:p>
      <w:pPr>
        <w:spacing w:after="120" w:line="360" w:lineRule="auto"/>
        <w:ind w:firstLine="420" w:firstLineChars="200"/>
        <w:rPr>
          <w:szCs w:val="21"/>
        </w:rPr>
      </w:pPr>
      <w:bookmarkStart w:id="23" w:name="_Toc22454434"/>
      <w:bookmarkStart w:id="24" w:name="_Toc48703886"/>
      <w:r>
        <w:rPr>
          <w:rFonts w:hint="eastAsia"/>
          <w:szCs w:val="21"/>
        </w:rPr>
        <w:t>（二）基金托管人</w:t>
      </w:r>
      <w:bookmarkEnd w:id="23"/>
      <w:bookmarkEnd w:id="24"/>
    </w:p>
    <w:p>
      <w:pPr>
        <w:spacing w:after="120" w:line="360" w:lineRule="auto"/>
        <w:ind w:firstLine="420" w:firstLineChars="200"/>
        <w:rPr>
          <w:szCs w:val="21"/>
        </w:rPr>
      </w:pPr>
      <w:r>
        <w:rPr>
          <w:rFonts w:hint="eastAsia"/>
          <w:szCs w:val="21"/>
        </w:rPr>
        <w:t>名称：南京银行股份有限公司</w:t>
      </w:r>
    </w:p>
    <w:p>
      <w:pPr>
        <w:spacing w:after="120" w:line="360" w:lineRule="auto"/>
        <w:ind w:firstLine="420" w:firstLineChars="200"/>
        <w:rPr>
          <w:szCs w:val="21"/>
        </w:rPr>
      </w:pPr>
      <w:r>
        <w:rPr>
          <w:rFonts w:hint="eastAsia"/>
          <w:szCs w:val="21"/>
        </w:rPr>
        <w:t>住所：南京市中山路288号</w:t>
      </w:r>
    </w:p>
    <w:p>
      <w:pPr>
        <w:spacing w:after="120" w:line="360" w:lineRule="auto"/>
        <w:ind w:firstLine="420" w:firstLineChars="200"/>
        <w:rPr>
          <w:szCs w:val="21"/>
        </w:rPr>
      </w:pPr>
      <w:r>
        <w:rPr>
          <w:rFonts w:hint="eastAsia"/>
          <w:szCs w:val="21"/>
        </w:rPr>
        <w:t>法定代表人：胡升荣</w:t>
      </w:r>
    </w:p>
    <w:p>
      <w:pPr>
        <w:spacing w:after="120" w:line="360" w:lineRule="auto"/>
        <w:ind w:firstLine="420" w:firstLineChars="200"/>
        <w:rPr>
          <w:szCs w:val="21"/>
        </w:rPr>
      </w:pPr>
      <w:r>
        <w:rPr>
          <w:rFonts w:hint="eastAsia"/>
          <w:szCs w:val="21"/>
        </w:rPr>
        <w:t>成立时间：1996年2月6日</w:t>
      </w:r>
    </w:p>
    <w:p>
      <w:pPr>
        <w:spacing w:after="120" w:line="360" w:lineRule="auto"/>
        <w:ind w:firstLine="420" w:firstLineChars="200"/>
        <w:rPr>
          <w:szCs w:val="21"/>
        </w:rPr>
      </w:pPr>
      <w:r>
        <w:rPr>
          <w:rFonts w:hint="eastAsia"/>
          <w:szCs w:val="21"/>
        </w:rPr>
        <w:t>基金托管业务批准文号：中国证监会证监许可〔2014〕405号</w:t>
      </w:r>
    </w:p>
    <w:p>
      <w:pPr>
        <w:spacing w:after="120" w:line="360" w:lineRule="auto"/>
        <w:ind w:firstLine="420" w:firstLineChars="200"/>
        <w:rPr>
          <w:szCs w:val="21"/>
        </w:rPr>
      </w:pPr>
      <w:r>
        <w:rPr>
          <w:rFonts w:hint="eastAsia"/>
          <w:szCs w:val="21"/>
        </w:rPr>
        <w:t xml:space="preserve">组织形式：股份有限公司 </w:t>
      </w:r>
    </w:p>
    <w:p>
      <w:pPr>
        <w:spacing w:after="120" w:line="360" w:lineRule="auto"/>
        <w:ind w:firstLine="420" w:firstLineChars="200"/>
        <w:rPr>
          <w:szCs w:val="21"/>
        </w:rPr>
      </w:pPr>
      <w:r>
        <w:rPr>
          <w:rFonts w:hint="eastAsia"/>
          <w:szCs w:val="21"/>
        </w:rPr>
        <w:t>注册资本：84.8亿元人民币</w:t>
      </w:r>
    </w:p>
    <w:p>
      <w:pPr>
        <w:spacing w:after="120" w:line="360" w:lineRule="auto"/>
        <w:ind w:firstLine="420" w:firstLineChars="200"/>
        <w:rPr>
          <w:szCs w:val="21"/>
        </w:rPr>
      </w:pPr>
      <w:r>
        <w:rPr>
          <w:rFonts w:hint="eastAsia"/>
          <w:szCs w:val="21"/>
        </w:rPr>
        <w:t>存续期间：持续经营</w:t>
      </w:r>
    </w:p>
    <w:p>
      <w:r>
        <w:br w:type="page"/>
      </w:r>
    </w:p>
    <w:p>
      <w:pPr>
        <w:pStyle w:val="3"/>
        <w:numPr>
          <w:ilvl w:val="0"/>
          <w:numId w:val="0"/>
        </w:numPr>
        <w:snapToGrid w:val="0"/>
        <w:spacing w:before="0" w:after="0" w:line="360" w:lineRule="auto"/>
        <w:ind w:left="576"/>
        <w:rPr>
          <w:rFonts w:ascii="Times New Roman" w:hAnsi="Times New Roman"/>
        </w:rPr>
      </w:pPr>
      <w:bookmarkStart w:id="25" w:name="_Toc48703887"/>
      <w:bookmarkStart w:id="26" w:name="_Toc290284044"/>
      <w:bookmarkStart w:id="27" w:name="_Toc411875688"/>
      <w:bookmarkStart w:id="28" w:name="_Toc124749226"/>
      <w:bookmarkStart w:id="29" w:name="_Toc283383015"/>
      <w:bookmarkStart w:id="30" w:name="_Toc140002337"/>
      <w:bookmarkStart w:id="31" w:name="_Toc466788852"/>
      <w:bookmarkStart w:id="32" w:name="_Toc123626168"/>
      <w:bookmarkStart w:id="33" w:name="_Toc124749937"/>
      <w:bookmarkStart w:id="34" w:name="_Toc523829993"/>
      <w:bookmarkStart w:id="35" w:name="_Toc22454435"/>
      <w:bookmarkStart w:id="36" w:name="_Toc125361074"/>
      <w:r>
        <w:rPr>
          <w:rFonts w:hint="eastAsia" w:ascii="Times New Roman" w:hAnsi="Times New Roman"/>
        </w:rPr>
        <w:t>二、基金托管协议的依据、目的和原则</w:t>
      </w:r>
      <w:bookmarkEnd w:id="25"/>
      <w:bookmarkEnd w:id="26"/>
      <w:bookmarkEnd w:id="27"/>
      <w:bookmarkEnd w:id="28"/>
      <w:bookmarkEnd w:id="29"/>
      <w:bookmarkEnd w:id="30"/>
      <w:bookmarkEnd w:id="31"/>
      <w:bookmarkEnd w:id="32"/>
      <w:bookmarkEnd w:id="33"/>
      <w:bookmarkEnd w:id="34"/>
      <w:bookmarkEnd w:id="35"/>
      <w:bookmarkEnd w:id="36"/>
    </w:p>
    <w:p>
      <w:pPr>
        <w:spacing w:after="120" w:line="360" w:lineRule="auto"/>
        <w:ind w:firstLine="420" w:firstLineChars="200"/>
        <w:rPr>
          <w:szCs w:val="21"/>
        </w:rPr>
      </w:pPr>
      <w:r>
        <w:rPr>
          <w:rFonts w:hint="eastAsia"/>
          <w:szCs w:val="21"/>
        </w:rPr>
        <w:t>（一）订立托管协议的依据</w:t>
      </w:r>
    </w:p>
    <w:p>
      <w:pPr>
        <w:spacing w:after="120" w:line="360" w:lineRule="auto"/>
        <w:ind w:firstLine="420" w:firstLineChars="200"/>
        <w:rPr>
          <w:szCs w:val="21"/>
        </w:rPr>
      </w:pPr>
      <w:r>
        <w:rPr>
          <w:rFonts w:hint="eastAsia"/>
          <w:szCs w:val="21"/>
        </w:rPr>
        <w:t>本托管协议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证券投资基金信息披露内容与格式准则第7号〈托管协议的内容与格式〉》、《公开募集开放式证券投资基金流动性风险管理规定》等有关法律法规、基金合同及其他有关规定制订。</w:t>
      </w:r>
    </w:p>
    <w:p>
      <w:pPr>
        <w:spacing w:after="120" w:line="360" w:lineRule="auto"/>
        <w:ind w:firstLine="420" w:firstLineChars="200"/>
        <w:rPr>
          <w:szCs w:val="21"/>
        </w:rPr>
      </w:pPr>
      <w:r>
        <w:rPr>
          <w:rFonts w:hint="eastAsia"/>
          <w:szCs w:val="21"/>
        </w:rPr>
        <w:t>（二）订立托管协议的目的</w:t>
      </w:r>
    </w:p>
    <w:p>
      <w:pPr>
        <w:spacing w:after="120" w:line="360" w:lineRule="auto"/>
        <w:ind w:firstLine="420" w:firstLineChars="200"/>
        <w:rPr>
          <w:szCs w:val="21"/>
        </w:rPr>
      </w:pPr>
      <w:r>
        <w:rPr>
          <w:rFonts w:hint="eastAsia"/>
          <w:szCs w:val="21"/>
        </w:rPr>
        <w:t>订立本托管协议的目的是明确基金管理人与基金托管人之间在基金财产的保管、投资运作、净值计算、收益分配、信息披露及相互监督等相关事宜中的权利义务及职责，确保基金财产的安全，保护基金份额持有人的合法权益。</w:t>
      </w:r>
    </w:p>
    <w:p>
      <w:pPr>
        <w:spacing w:after="120" w:line="360" w:lineRule="auto"/>
        <w:ind w:firstLine="420" w:firstLineChars="200"/>
        <w:rPr>
          <w:szCs w:val="21"/>
        </w:rPr>
      </w:pPr>
      <w:r>
        <w:rPr>
          <w:rFonts w:hint="eastAsia"/>
          <w:szCs w:val="21"/>
        </w:rPr>
        <w:t>（三）订立托管协议的原则</w:t>
      </w:r>
    </w:p>
    <w:p>
      <w:pPr>
        <w:spacing w:after="120" w:line="360" w:lineRule="auto"/>
        <w:ind w:firstLine="420" w:firstLineChars="200"/>
        <w:rPr>
          <w:szCs w:val="21"/>
        </w:rPr>
      </w:pPr>
      <w:r>
        <w:rPr>
          <w:rFonts w:hint="eastAsia"/>
          <w:szCs w:val="21"/>
        </w:rPr>
        <w:t>基金管理人和基金托管人本着平等自愿、诚实信用、充分保护基金份额持有人合法权益的原则，经协商一致，签订本托管协议。</w:t>
      </w:r>
    </w:p>
    <w:p>
      <w:pPr>
        <w:spacing w:after="120" w:line="360" w:lineRule="auto"/>
        <w:ind w:firstLine="420" w:firstLineChars="200"/>
        <w:rPr>
          <w:szCs w:val="21"/>
        </w:rPr>
      </w:pPr>
      <w:r>
        <w:rPr>
          <w:rFonts w:hint="eastAsia"/>
          <w:szCs w:val="21"/>
        </w:rPr>
        <w:t>（四）解释</w:t>
      </w:r>
    </w:p>
    <w:p>
      <w:pPr>
        <w:spacing w:after="120" w:line="360" w:lineRule="auto"/>
        <w:ind w:firstLine="420" w:firstLineChars="200"/>
        <w:rPr>
          <w:szCs w:val="21"/>
        </w:rPr>
      </w:pPr>
      <w:r>
        <w:rPr>
          <w:rFonts w:hint="eastAsia"/>
          <w:szCs w:val="21"/>
        </w:rPr>
        <w:t>除非文义另有所指，本托管协议所使用的所有术语与基金合同的相应术语具有相同含义。</w:t>
      </w:r>
    </w:p>
    <w:p>
      <w:pPr>
        <w:spacing w:after="120" w:line="360" w:lineRule="auto"/>
        <w:ind w:firstLine="420" w:firstLineChars="200"/>
        <w:rPr>
          <w:szCs w:val="21"/>
        </w:rPr>
      </w:pPr>
      <w:r>
        <w:rPr>
          <w:rFonts w:hint="eastAsia"/>
          <w:szCs w:val="21"/>
        </w:rPr>
        <w:t>（五）若本基金实施侧袋机制的，侧袋机制实施期间的相关安排见基金合同和招募说明书的规定。</w:t>
      </w:r>
    </w:p>
    <w:p>
      <w:pPr>
        <w:spacing w:after="120" w:line="360" w:lineRule="auto"/>
        <w:ind w:firstLine="420" w:firstLineChars="200"/>
        <w:rPr>
          <w:szCs w:val="21"/>
        </w:rPr>
      </w:pPr>
    </w:p>
    <w:p>
      <w:pPr>
        <w:spacing w:line="360" w:lineRule="auto"/>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37" w:name="_Toc125361075"/>
      <w:bookmarkStart w:id="38" w:name="_Toc140002338"/>
      <w:bookmarkStart w:id="39" w:name="_Toc290284045"/>
      <w:bookmarkStart w:id="40" w:name="_Toc411875689"/>
      <w:bookmarkStart w:id="41" w:name="_Toc124749227"/>
      <w:bookmarkStart w:id="42" w:name="_Toc283383016"/>
      <w:bookmarkStart w:id="43" w:name="_Toc124749938"/>
      <w:r>
        <w:rPr>
          <w:rFonts w:hint="eastAsia" w:ascii="Times New Roman" w:hAnsi="Times New Roman"/>
        </w:rPr>
        <w:t>三、基金托管人对基金管理人的业务监督和核查</w:t>
      </w:r>
      <w:bookmarkEnd w:id="37"/>
      <w:bookmarkEnd w:id="38"/>
      <w:bookmarkEnd w:id="39"/>
      <w:bookmarkEnd w:id="40"/>
      <w:bookmarkEnd w:id="41"/>
      <w:bookmarkEnd w:id="42"/>
      <w:bookmarkEnd w:id="43"/>
    </w:p>
    <w:p>
      <w:pPr>
        <w:spacing w:after="120" w:line="360" w:lineRule="auto"/>
        <w:ind w:firstLine="420" w:firstLineChars="200"/>
        <w:rPr>
          <w:szCs w:val="21"/>
        </w:rPr>
      </w:pPr>
      <w:r>
        <w:rPr>
          <w:rFonts w:hint="eastAsia"/>
          <w:szCs w:val="21"/>
        </w:rPr>
        <w:t>（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pPr>
        <w:spacing w:line="360" w:lineRule="auto"/>
        <w:ind w:firstLine="420" w:firstLineChars="200"/>
        <w:rPr>
          <w:szCs w:val="21"/>
        </w:rPr>
      </w:pPr>
      <w:r>
        <w:rPr>
          <w:rFonts w:hint="eastAsia"/>
          <w:szCs w:val="21"/>
        </w:rPr>
        <w:t>本基金的投资对象为具有良好流动性的固定收益类品种，包括国债、金融债、企业债、公司债、央行票据、中期票据、短期融资券、资产支持证券、次级债、可分离交易可转债的纯债部分、债券回购、银行存款等法律法规及中国证监会允许基金投资的其他固定收益类金融工具（但须符合中国证监会的相关规定）。</w:t>
      </w:r>
    </w:p>
    <w:p>
      <w:pPr>
        <w:spacing w:line="360" w:lineRule="auto"/>
        <w:ind w:firstLine="420" w:firstLineChars="200"/>
        <w:rPr>
          <w:szCs w:val="21"/>
        </w:rPr>
      </w:pPr>
      <w:r>
        <w:rPr>
          <w:rFonts w:hint="eastAsia"/>
          <w:szCs w:val="21"/>
        </w:rPr>
        <w:t>本基金不投资于股票、权证等权益类资产，也不投资于可转换债券（可分离交易可转债的纯债部分除外）、可交换债券。</w:t>
      </w:r>
    </w:p>
    <w:p>
      <w:pPr>
        <w:spacing w:after="120" w:line="360" w:lineRule="auto"/>
        <w:ind w:firstLine="420" w:firstLineChars="200"/>
        <w:rPr>
          <w:szCs w:val="21"/>
        </w:rPr>
      </w:pPr>
      <w:r>
        <w:rPr>
          <w:rFonts w:hint="eastAsia"/>
          <w:szCs w:val="21"/>
        </w:rPr>
        <w:t xml:space="preserve"> 如法律法规或监管机构以后允许基金投资其他品种，基金管理人在履行适当程序后，可以将其纳入投资范围。</w:t>
      </w:r>
    </w:p>
    <w:p>
      <w:pPr>
        <w:spacing w:after="120" w:line="360" w:lineRule="auto"/>
        <w:ind w:firstLine="420" w:firstLineChars="200"/>
        <w:rPr>
          <w:bCs/>
          <w:sz w:val="24"/>
        </w:rPr>
      </w:pPr>
      <w:r>
        <w:rPr>
          <w:rFonts w:hint="eastAsia"/>
          <w:szCs w:val="21"/>
        </w:rPr>
        <w:t>基金的投资组合比例为：本基金对债券的投资比例不低于基金资产的</w:t>
      </w:r>
      <w:r>
        <w:rPr>
          <w:szCs w:val="21"/>
        </w:rPr>
        <w:t>80</w:t>
      </w:r>
      <w:r>
        <w:rPr>
          <w:rFonts w:hint="eastAsia"/>
          <w:szCs w:val="21"/>
        </w:rPr>
        <w:t>％；本基金持有现金或者到期日在一年以内的政府债券投资比例不低于基金资产净值的</w:t>
      </w:r>
      <w:r>
        <w:rPr>
          <w:szCs w:val="21"/>
        </w:rPr>
        <w:t>5%</w:t>
      </w:r>
      <w:r>
        <w:rPr>
          <w:rFonts w:hint="eastAsia"/>
          <w:szCs w:val="21"/>
        </w:rPr>
        <w:t>，其中，现金不包括结算备付金、存出保证金、应收申购款等。</w:t>
      </w:r>
    </w:p>
    <w:p>
      <w:pPr>
        <w:spacing w:line="360" w:lineRule="auto"/>
        <w:ind w:firstLine="420" w:firstLineChars="200"/>
        <w:rPr>
          <w:bCs/>
          <w:sz w:val="24"/>
        </w:rPr>
      </w:pPr>
      <w:r>
        <w:rPr>
          <w:rFonts w:hint="eastAsia"/>
          <w:szCs w:val="21"/>
        </w:rPr>
        <w:t xml:space="preserve">如果法律法规或中国证监会变更投资品种的投资比例限制，基金管理人在履行适当程序后，可以调整上述投资品种的投资比例。 </w:t>
      </w:r>
    </w:p>
    <w:p>
      <w:pPr>
        <w:spacing w:after="120" w:line="360" w:lineRule="auto"/>
        <w:ind w:firstLine="420" w:firstLineChars="200"/>
        <w:rPr>
          <w:szCs w:val="21"/>
        </w:rPr>
      </w:pPr>
      <w:r>
        <w:rPr>
          <w:rFonts w:hint="eastAsia"/>
          <w:szCs w:val="21"/>
        </w:rPr>
        <w:t>（二）基金托管人根据有关法律法规的规定及基金合同的约定，对基金投资、融资比例进行监督。基金托管人按下述比例和调整期限进行监督：</w:t>
      </w:r>
    </w:p>
    <w:p>
      <w:pPr>
        <w:spacing w:after="120" w:line="360" w:lineRule="auto"/>
        <w:ind w:firstLine="420" w:firstLineChars="200"/>
        <w:rPr>
          <w:szCs w:val="21"/>
        </w:rPr>
      </w:pPr>
      <w:r>
        <w:rPr>
          <w:rFonts w:hint="eastAsia"/>
          <w:szCs w:val="21"/>
        </w:rPr>
        <w:t>（</w:t>
      </w:r>
      <w:r>
        <w:rPr>
          <w:szCs w:val="21"/>
        </w:rPr>
        <w:t>1</w:t>
      </w:r>
      <w:r>
        <w:rPr>
          <w:rFonts w:hint="eastAsia"/>
          <w:szCs w:val="21"/>
        </w:rPr>
        <w:t>）本基金对债券的投资比例不低于基金资产的</w:t>
      </w:r>
      <w:r>
        <w:rPr>
          <w:szCs w:val="21"/>
        </w:rPr>
        <w:t>80%</w:t>
      </w:r>
      <w:r>
        <w:rPr>
          <w:rFonts w:hint="eastAsia"/>
          <w:szCs w:val="21"/>
        </w:rPr>
        <w:t>；</w:t>
      </w:r>
    </w:p>
    <w:p>
      <w:pPr>
        <w:spacing w:after="120" w:line="360" w:lineRule="auto"/>
        <w:ind w:firstLine="420" w:firstLineChars="200"/>
        <w:rPr>
          <w:szCs w:val="21"/>
        </w:rPr>
      </w:pPr>
      <w:r>
        <w:rPr>
          <w:rFonts w:hint="eastAsia"/>
          <w:szCs w:val="21"/>
        </w:rPr>
        <w:t>（</w:t>
      </w:r>
      <w:r>
        <w:rPr>
          <w:szCs w:val="21"/>
        </w:rPr>
        <w:t>2</w:t>
      </w:r>
      <w:r>
        <w:rPr>
          <w:rFonts w:hint="eastAsia"/>
          <w:szCs w:val="21"/>
        </w:rPr>
        <w:t>）本基金持有现金或者到期日在一年以内的政府债券投资比例合计不低于基金资产净值的</w:t>
      </w:r>
      <w:r>
        <w:rPr>
          <w:szCs w:val="21"/>
        </w:rPr>
        <w:t>5%</w:t>
      </w:r>
      <w:r>
        <w:rPr>
          <w:rFonts w:hint="eastAsia"/>
          <w:szCs w:val="21"/>
        </w:rPr>
        <w:t>，其中，现金不包括结算备付金、存出保证金、应收申购款等；</w:t>
      </w:r>
    </w:p>
    <w:p>
      <w:pPr>
        <w:spacing w:after="120" w:line="360" w:lineRule="auto"/>
        <w:ind w:firstLine="420" w:firstLineChars="200"/>
        <w:rPr>
          <w:szCs w:val="21"/>
        </w:rPr>
      </w:pPr>
      <w:r>
        <w:rPr>
          <w:rFonts w:hint="eastAsia"/>
          <w:szCs w:val="21"/>
        </w:rPr>
        <w:t>（</w:t>
      </w:r>
      <w:r>
        <w:rPr>
          <w:szCs w:val="21"/>
        </w:rPr>
        <w:t>3</w:t>
      </w:r>
      <w:r>
        <w:rPr>
          <w:rFonts w:hint="eastAsia"/>
          <w:szCs w:val="21"/>
        </w:rPr>
        <w:t>）本基金持有一家公司发行的证券，其市值不超过基金资产净值的</w:t>
      </w:r>
      <w:r>
        <w:rPr>
          <w:szCs w:val="21"/>
        </w:rPr>
        <w:t>10</w:t>
      </w:r>
      <w:r>
        <w:rPr>
          <w:rFonts w:hint="eastAsia"/>
          <w:szCs w:val="21"/>
        </w:rPr>
        <w:t>％；</w:t>
      </w:r>
    </w:p>
    <w:p>
      <w:pPr>
        <w:spacing w:after="120" w:line="360" w:lineRule="auto"/>
        <w:ind w:firstLine="420" w:firstLineChars="200"/>
        <w:rPr>
          <w:szCs w:val="21"/>
        </w:rPr>
      </w:pPr>
      <w:r>
        <w:rPr>
          <w:rFonts w:hint="eastAsia"/>
          <w:szCs w:val="21"/>
        </w:rPr>
        <w:t>（</w:t>
      </w:r>
      <w:r>
        <w:rPr>
          <w:szCs w:val="21"/>
        </w:rPr>
        <w:t>4</w:t>
      </w:r>
      <w:r>
        <w:rPr>
          <w:rFonts w:hint="eastAsia"/>
          <w:szCs w:val="21"/>
        </w:rPr>
        <w:t>）本基金管理人管理的全部基金持有一家公司发行的证券，不超过该证券发行总量的</w:t>
      </w:r>
      <w:r>
        <w:rPr>
          <w:szCs w:val="21"/>
        </w:rPr>
        <w:t>10</w:t>
      </w:r>
      <w:r>
        <w:rPr>
          <w:rFonts w:hint="eastAsia"/>
          <w:szCs w:val="21"/>
        </w:rPr>
        <w:t>％；</w:t>
      </w:r>
    </w:p>
    <w:p>
      <w:pPr>
        <w:spacing w:after="120" w:line="360" w:lineRule="auto"/>
        <w:ind w:firstLine="420" w:firstLineChars="200"/>
        <w:rPr>
          <w:szCs w:val="21"/>
        </w:rPr>
      </w:pPr>
      <w:r>
        <w:rPr>
          <w:rFonts w:hint="eastAsia"/>
          <w:szCs w:val="21"/>
        </w:rPr>
        <w:t>（</w:t>
      </w:r>
      <w:r>
        <w:rPr>
          <w:szCs w:val="21"/>
        </w:rPr>
        <w:t>5</w:t>
      </w:r>
      <w:r>
        <w:rPr>
          <w:rFonts w:hint="eastAsia"/>
          <w:szCs w:val="21"/>
        </w:rPr>
        <w:t>）本基金进入全国银行间同业市场进行债券回购的资金余额不得超过基金资产净值的</w:t>
      </w:r>
      <w:r>
        <w:rPr>
          <w:szCs w:val="21"/>
        </w:rPr>
        <w:t>40%</w:t>
      </w:r>
      <w:r>
        <w:rPr>
          <w:rFonts w:hint="eastAsia"/>
          <w:szCs w:val="21"/>
        </w:rPr>
        <w:t>；在全国银行间同业市场中的债券回购最长期限为</w:t>
      </w:r>
      <w:r>
        <w:rPr>
          <w:szCs w:val="21"/>
        </w:rPr>
        <w:t>1</w:t>
      </w:r>
      <w:r>
        <w:rPr>
          <w:rFonts w:hint="eastAsia"/>
          <w:szCs w:val="21"/>
        </w:rPr>
        <w:t>年，债券回购到期后不展期；</w:t>
      </w:r>
    </w:p>
    <w:p>
      <w:pPr>
        <w:spacing w:after="120" w:line="360" w:lineRule="auto"/>
        <w:ind w:firstLine="420" w:firstLineChars="200"/>
        <w:rPr>
          <w:szCs w:val="21"/>
        </w:rPr>
      </w:pPr>
      <w:r>
        <w:rPr>
          <w:rFonts w:hint="eastAsia"/>
          <w:szCs w:val="21"/>
        </w:rPr>
        <w:t>（</w:t>
      </w:r>
      <w:r>
        <w:rPr>
          <w:szCs w:val="21"/>
        </w:rPr>
        <w:t>6</w:t>
      </w:r>
      <w:r>
        <w:rPr>
          <w:rFonts w:hint="eastAsia"/>
          <w:szCs w:val="21"/>
        </w:rPr>
        <w:t>）本基金投资于同一原始权益人的各类资产支持证券的比例，不得超过基金资产净值的</w:t>
      </w:r>
      <w:r>
        <w:rPr>
          <w:szCs w:val="21"/>
        </w:rPr>
        <w:t>10</w:t>
      </w:r>
      <w:r>
        <w:rPr>
          <w:rFonts w:hint="eastAsia"/>
          <w:szCs w:val="21"/>
        </w:rPr>
        <w:t>％；</w:t>
      </w:r>
    </w:p>
    <w:p>
      <w:pPr>
        <w:spacing w:after="120" w:line="360" w:lineRule="auto"/>
        <w:ind w:firstLine="420" w:firstLineChars="200"/>
        <w:rPr>
          <w:szCs w:val="21"/>
        </w:rPr>
      </w:pPr>
      <w:r>
        <w:rPr>
          <w:rFonts w:hint="eastAsia"/>
          <w:szCs w:val="21"/>
        </w:rPr>
        <w:t>（</w:t>
      </w:r>
      <w:r>
        <w:rPr>
          <w:szCs w:val="21"/>
        </w:rPr>
        <w:t>7</w:t>
      </w:r>
      <w:r>
        <w:rPr>
          <w:rFonts w:hint="eastAsia"/>
          <w:szCs w:val="21"/>
        </w:rPr>
        <w:t>）本基金持有的全部资产支持证券，其市值不得超过基金资产净值的</w:t>
      </w:r>
      <w:r>
        <w:rPr>
          <w:szCs w:val="21"/>
        </w:rPr>
        <w:t>20</w:t>
      </w:r>
      <w:r>
        <w:rPr>
          <w:rFonts w:hint="eastAsia"/>
          <w:szCs w:val="21"/>
        </w:rPr>
        <w:t>％；</w:t>
      </w:r>
    </w:p>
    <w:p>
      <w:pPr>
        <w:spacing w:after="120" w:line="360" w:lineRule="auto"/>
        <w:ind w:firstLine="420" w:firstLineChars="200"/>
        <w:rPr>
          <w:szCs w:val="21"/>
        </w:rPr>
      </w:pPr>
      <w:r>
        <w:rPr>
          <w:rFonts w:hint="eastAsia"/>
          <w:szCs w:val="21"/>
        </w:rPr>
        <w:t>（</w:t>
      </w:r>
      <w:r>
        <w:rPr>
          <w:szCs w:val="21"/>
        </w:rPr>
        <w:t>8</w:t>
      </w:r>
      <w:r>
        <w:rPr>
          <w:rFonts w:hint="eastAsia"/>
          <w:szCs w:val="21"/>
        </w:rPr>
        <w:t>）本基金持有的同一</w:t>
      </w:r>
      <w:r>
        <w:rPr>
          <w:szCs w:val="21"/>
        </w:rPr>
        <w:t>(</w:t>
      </w:r>
      <w:r>
        <w:rPr>
          <w:rFonts w:hint="eastAsia"/>
          <w:szCs w:val="21"/>
        </w:rPr>
        <w:t>指同一信用级别</w:t>
      </w:r>
      <w:r>
        <w:rPr>
          <w:szCs w:val="21"/>
        </w:rPr>
        <w:t>)</w:t>
      </w:r>
      <w:r>
        <w:rPr>
          <w:rFonts w:hint="eastAsia"/>
          <w:szCs w:val="21"/>
        </w:rPr>
        <w:t>资产支持证券的比例，不得超过该资产支持证券（指同一信用级别）规模的</w:t>
      </w:r>
      <w:r>
        <w:rPr>
          <w:szCs w:val="21"/>
        </w:rPr>
        <w:t>10</w:t>
      </w:r>
      <w:r>
        <w:rPr>
          <w:rFonts w:hint="eastAsia"/>
          <w:szCs w:val="21"/>
        </w:rPr>
        <w:t>％；</w:t>
      </w:r>
    </w:p>
    <w:p>
      <w:pPr>
        <w:spacing w:after="120" w:line="360" w:lineRule="auto"/>
        <w:ind w:firstLine="420" w:firstLineChars="200"/>
        <w:rPr>
          <w:szCs w:val="21"/>
        </w:rPr>
      </w:pPr>
      <w:r>
        <w:rPr>
          <w:rFonts w:hint="eastAsia"/>
          <w:szCs w:val="21"/>
        </w:rPr>
        <w:t>（</w:t>
      </w:r>
      <w:r>
        <w:rPr>
          <w:szCs w:val="21"/>
        </w:rPr>
        <w:t>9</w:t>
      </w:r>
      <w:r>
        <w:rPr>
          <w:rFonts w:hint="eastAsia"/>
          <w:szCs w:val="21"/>
        </w:rPr>
        <w:t>）本基金管理人管理的全部基金投资于同一原始权益人的各类资产支持证券，不得超过其各类资产支持证券合计规模的</w:t>
      </w:r>
      <w:r>
        <w:rPr>
          <w:szCs w:val="21"/>
        </w:rPr>
        <w:t>10</w:t>
      </w:r>
      <w:r>
        <w:rPr>
          <w:rFonts w:hint="eastAsia"/>
          <w:szCs w:val="21"/>
        </w:rPr>
        <w:t>％；</w:t>
      </w:r>
    </w:p>
    <w:p>
      <w:pPr>
        <w:spacing w:after="120" w:line="360" w:lineRule="auto"/>
        <w:ind w:firstLine="420" w:firstLineChars="200"/>
        <w:rPr>
          <w:szCs w:val="21"/>
        </w:rPr>
      </w:pPr>
      <w:r>
        <w:rPr>
          <w:rFonts w:hint="eastAsia"/>
          <w:szCs w:val="21"/>
        </w:rPr>
        <w:t>（10）本基金应投资于信用级别评级为BBB以上(含BBB)的资产支持证券。基金持有资产支持证券期间，如果其信用等级下降、不再符合投资标准，应在评级报告发布之日起3个月内予以全部卖出；</w:t>
      </w:r>
    </w:p>
    <w:p>
      <w:pPr>
        <w:spacing w:after="120" w:line="360" w:lineRule="auto"/>
        <w:ind w:firstLine="420" w:firstLineChars="200"/>
        <w:rPr>
          <w:szCs w:val="21"/>
        </w:rPr>
      </w:pPr>
      <w:r>
        <w:rPr>
          <w:rFonts w:hint="eastAsia"/>
          <w:szCs w:val="21"/>
        </w:rPr>
        <w:t>（11）基金资产总值不得超过基金资产净值的</w:t>
      </w:r>
      <w:r>
        <w:rPr>
          <w:szCs w:val="21"/>
        </w:rPr>
        <w:t>140%</w:t>
      </w:r>
      <w:r>
        <w:rPr>
          <w:rFonts w:hint="eastAsia"/>
          <w:szCs w:val="21"/>
        </w:rPr>
        <w:t>；</w:t>
      </w:r>
    </w:p>
    <w:p>
      <w:pPr>
        <w:spacing w:after="120" w:line="360" w:lineRule="auto"/>
        <w:ind w:firstLine="420" w:firstLineChars="200"/>
        <w:rPr>
          <w:szCs w:val="21"/>
        </w:rPr>
      </w:pPr>
      <w:r>
        <w:rPr>
          <w:rFonts w:hint="eastAsia"/>
          <w:szCs w:val="21"/>
        </w:rPr>
        <w:t>（12）本基金主动投资于流动性受限资产的市值合计不得超过本基金资产净值的15% ；</w:t>
      </w:r>
    </w:p>
    <w:p>
      <w:pPr>
        <w:spacing w:after="120" w:line="360" w:lineRule="auto"/>
        <w:ind w:firstLine="420" w:firstLineChars="200"/>
        <w:rPr>
          <w:szCs w:val="21"/>
        </w:rPr>
      </w:pPr>
      <w:r>
        <w:rPr>
          <w:rFonts w:hint="eastAsia"/>
          <w:szCs w:val="21"/>
        </w:rPr>
        <w:t>因证券市场波动、基金规模变动等基金管理人之外的因素致使基金不符合前款所规定比例限制的，基金管理人不得主动新增流动性受限资产的投资；</w:t>
      </w:r>
    </w:p>
    <w:p>
      <w:pPr>
        <w:spacing w:after="120" w:line="360" w:lineRule="auto"/>
        <w:ind w:firstLine="420" w:firstLineChars="200"/>
        <w:rPr>
          <w:szCs w:val="21"/>
        </w:rPr>
      </w:pPr>
      <w:r>
        <w:rPr>
          <w:rFonts w:hint="eastAsia"/>
          <w:szCs w:val="21"/>
        </w:rPr>
        <w:t>（1</w:t>
      </w:r>
      <w:r>
        <w:rPr>
          <w:szCs w:val="21"/>
        </w:rPr>
        <w:t>3</w:t>
      </w:r>
      <w:r>
        <w:rPr>
          <w:rFonts w:hint="eastAsia"/>
          <w:szCs w:val="21"/>
        </w:rPr>
        <w:t>）本基金与私募类证券资管产品及中国证监会认定的其他主体为交易对手开展逆回购交易的，可接受质押品的资质要求应当与基金合同约定的投资范围保持一致；</w:t>
      </w:r>
    </w:p>
    <w:p>
      <w:pPr>
        <w:spacing w:after="120" w:line="360" w:lineRule="auto"/>
        <w:ind w:firstLine="420" w:firstLineChars="200"/>
        <w:rPr>
          <w:szCs w:val="21"/>
        </w:rPr>
      </w:pPr>
      <w:r>
        <w:rPr>
          <w:rFonts w:hint="eastAsia"/>
          <w:szCs w:val="21"/>
        </w:rPr>
        <w:t>（1</w:t>
      </w:r>
      <w:r>
        <w:rPr>
          <w:szCs w:val="21"/>
        </w:rPr>
        <w:t>4</w:t>
      </w:r>
      <w:r>
        <w:rPr>
          <w:rFonts w:hint="eastAsia"/>
          <w:szCs w:val="21"/>
        </w:rPr>
        <w:t>）法律法规及中国证监会规定的和《基金合同》约定的其他投资限制。</w:t>
      </w:r>
    </w:p>
    <w:p>
      <w:pPr>
        <w:spacing w:after="120" w:line="360" w:lineRule="auto"/>
        <w:ind w:firstLine="420" w:firstLineChars="200"/>
        <w:rPr>
          <w:szCs w:val="21"/>
        </w:rPr>
      </w:pPr>
      <w:r>
        <w:rPr>
          <w:rFonts w:hint="eastAsia"/>
          <w:szCs w:val="21"/>
        </w:rPr>
        <w:t>除上述第（2）、（10）、（1</w:t>
      </w:r>
      <w:r>
        <w:rPr>
          <w:szCs w:val="21"/>
        </w:rPr>
        <w:t>2</w:t>
      </w:r>
      <w:r>
        <w:rPr>
          <w:rFonts w:hint="eastAsia"/>
          <w:szCs w:val="21"/>
        </w:rPr>
        <w:t>）、（1</w:t>
      </w:r>
      <w:r>
        <w:rPr>
          <w:szCs w:val="21"/>
        </w:rPr>
        <w:t>3</w:t>
      </w:r>
      <w:r>
        <w:rPr>
          <w:rFonts w:hint="eastAsia"/>
          <w:szCs w:val="21"/>
        </w:rPr>
        <w:t>）条之外，因证券市场波动、证券发行人合并、基金规模变动等基金管理人之外的因素致使基金投资比例不符合上述规定投资比例的，基金管理人应当在10个交易日内进行调整，但中国证监会规定的特殊情形除外。</w:t>
      </w:r>
    </w:p>
    <w:p>
      <w:pPr>
        <w:spacing w:after="120" w:line="360" w:lineRule="auto"/>
        <w:ind w:firstLine="420" w:firstLineChars="200"/>
        <w:rPr>
          <w:szCs w:val="21"/>
        </w:rPr>
      </w:pPr>
      <w:r>
        <w:rPr>
          <w:rFonts w:hint="eastAsia"/>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spacing w:after="120" w:line="360" w:lineRule="auto"/>
        <w:ind w:firstLine="420" w:firstLineChars="200"/>
        <w:rPr>
          <w:szCs w:val="21"/>
        </w:rPr>
      </w:pPr>
      <w:r>
        <w:rPr>
          <w:rFonts w:hint="eastAsia"/>
          <w:szCs w:val="21"/>
        </w:rPr>
        <w:t>如果法律法规或监管部门对上述投资组合比例限制进行变更的，以变更后的规定为准。法律法规或监管部门取消上述限制，如适用于本基金，在履行适当程序后本基金投资不再受相关限制，但须提前公告，不需要经过基金份额持有人大会审议。</w:t>
      </w:r>
    </w:p>
    <w:p>
      <w:pPr>
        <w:spacing w:after="120" w:line="360" w:lineRule="auto"/>
        <w:ind w:firstLine="420" w:firstLineChars="200"/>
        <w:rPr>
          <w:szCs w:val="21"/>
        </w:rPr>
      </w:pPr>
      <w:r>
        <w:rPr>
          <w:rFonts w:hint="eastAsia"/>
          <w:szCs w:val="21"/>
        </w:rPr>
        <w:t>（三）基金托管人</w:t>
      </w:r>
      <w:bookmarkStart w:id="44" w:name="OLE_LINK1"/>
      <w:r>
        <w:rPr>
          <w:rFonts w:hint="eastAsia"/>
          <w:szCs w:val="21"/>
        </w:rPr>
        <w:t>根据有关法律法规的规定及基金合同的约定，</w:t>
      </w:r>
      <w:bookmarkEnd w:id="44"/>
      <w:r>
        <w:rPr>
          <w:rFonts w:hint="eastAsia"/>
          <w:szCs w:val="21"/>
        </w:rPr>
        <w:t>对本托管协议第十五条第（十二）款基金投资禁止行为进行监督。</w:t>
      </w:r>
    </w:p>
    <w:p>
      <w:pPr>
        <w:spacing w:after="120" w:line="360" w:lineRule="auto"/>
        <w:ind w:firstLine="420" w:firstLineChars="200"/>
        <w:rPr>
          <w:szCs w:val="21"/>
        </w:rPr>
      </w:pPr>
      <w:r>
        <w:rPr>
          <w:rFonts w:hint="eastAsia"/>
          <w:szCs w:val="21"/>
        </w:rPr>
        <w:t>基金托管人通过事后监督方式对基金管理人基金投资禁止行为进行监督。</w:t>
      </w:r>
    </w:p>
    <w:p>
      <w:pPr>
        <w:spacing w:after="120" w:line="360" w:lineRule="auto"/>
        <w:ind w:firstLine="420" w:firstLineChars="200"/>
        <w:rPr>
          <w:szCs w:val="21"/>
        </w:rPr>
      </w:pPr>
      <w:r>
        <w:rPr>
          <w:rFonts w:hint="eastAsia"/>
          <w:szCs w:val="21"/>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和交易结算方式进行交易。基金管理人可以每半年或定期对银行间债券市场交易对手名单及结算方式进行更新，新名单确定前已与本次剔除的交易对手进行但尚未结算的交易，仍应按照协议进行结算。如基金管理人根据市场情况需要临时调整银行间债券市场交易对手名单及结算方式的，应向基金托管人说明理由，并在与交易对手发生交易前</w:t>
      </w:r>
      <w:r>
        <w:rPr>
          <w:szCs w:val="21"/>
        </w:rPr>
        <w:t>3</w:t>
      </w:r>
      <w:r>
        <w:rPr>
          <w:rFonts w:hint="eastAsia"/>
          <w:szCs w:val="21"/>
        </w:rPr>
        <w:t>个工作日内与基金托管人协商解决。</w:t>
      </w:r>
    </w:p>
    <w:p>
      <w:pPr>
        <w:spacing w:after="120" w:line="360" w:lineRule="auto"/>
        <w:ind w:firstLine="420" w:firstLineChars="200"/>
        <w:rPr>
          <w:szCs w:val="21"/>
        </w:rPr>
      </w:pPr>
      <w:r>
        <w:rPr>
          <w:rFonts w:hint="eastAsia"/>
          <w:szCs w:val="21"/>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结算方式进行交易时，基金托管人应及时提醒基金管理人，基金托管人不承担由此造成的任何损失和责任。</w:t>
      </w:r>
    </w:p>
    <w:p>
      <w:pPr>
        <w:spacing w:after="120" w:line="360" w:lineRule="auto"/>
        <w:ind w:firstLine="420" w:firstLineChars="200"/>
        <w:rPr>
          <w:szCs w:val="21"/>
        </w:rPr>
      </w:pPr>
      <w:r>
        <w:rPr>
          <w:rFonts w:hint="eastAsia"/>
          <w:szCs w:val="21"/>
        </w:rPr>
        <w:t>（五）基金托管人根据有关法律法规的规定及基金合同和本协议的约定，对基金管理人选择存款银行进行监督。</w:t>
      </w:r>
    </w:p>
    <w:p>
      <w:pPr>
        <w:spacing w:after="120" w:line="360" w:lineRule="auto"/>
        <w:ind w:firstLine="420" w:firstLineChars="200"/>
        <w:rPr>
          <w:szCs w:val="21"/>
        </w:rPr>
      </w:pPr>
      <w:r>
        <w:rPr>
          <w:rFonts w:hint="eastAsia"/>
          <w:szCs w:val="21"/>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如基金管理人未向基金托管人提供符合条件的存款银行名单，基金托管人有权不对基金投资银行存款的交易对手进行监督。</w:t>
      </w:r>
    </w:p>
    <w:p>
      <w:pPr>
        <w:spacing w:after="120" w:line="360" w:lineRule="auto"/>
        <w:ind w:firstLine="420" w:firstLineChars="200"/>
        <w:rPr>
          <w:szCs w:val="21"/>
        </w:rPr>
      </w:pPr>
      <w:r>
        <w:rPr>
          <w:rFonts w:hint="eastAsia"/>
          <w:szCs w:val="21"/>
        </w:rPr>
        <w:t>本基金投资银行存款应符合如下规定：</w:t>
      </w:r>
    </w:p>
    <w:p>
      <w:pPr>
        <w:spacing w:after="120" w:line="360" w:lineRule="auto"/>
        <w:ind w:firstLine="420" w:firstLineChars="200"/>
        <w:rPr>
          <w:szCs w:val="21"/>
        </w:rPr>
      </w:pPr>
      <w:r>
        <w:rPr>
          <w:rFonts w:hint="eastAsia"/>
          <w:szCs w:val="21"/>
        </w:rPr>
        <w:t>1、基金管理人、基金托管人应当与存款银行建立定期对账机制，确保基金银行存款业务账目及核算的真实、准确。</w:t>
      </w:r>
    </w:p>
    <w:p>
      <w:pPr>
        <w:spacing w:after="120" w:line="360" w:lineRule="auto"/>
        <w:ind w:firstLine="420" w:firstLineChars="200"/>
        <w:rPr>
          <w:szCs w:val="21"/>
        </w:rPr>
      </w:pPr>
      <w:r>
        <w:rPr>
          <w:rFonts w:hint="eastAsia"/>
          <w:szCs w:val="21"/>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pPr>
        <w:spacing w:after="120" w:line="360" w:lineRule="auto"/>
        <w:ind w:firstLine="420" w:firstLineChars="200"/>
        <w:rPr>
          <w:szCs w:val="21"/>
        </w:rPr>
      </w:pPr>
      <w:r>
        <w:rPr>
          <w:rFonts w:hint="eastAsia"/>
          <w:szCs w:val="21"/>
        </w:rPr>
        <w:t>3、基金管理人与基金托管人在开展基金存款业务时，应严格遵守《基金法》、《运作办法》等有关法律法规，以及国家有关账户管理、利率管理、支付结算等的各项规定。</w:t>
      </w:r>
    </w:p>
    <w:p>
      <w:pPr>
        <w:spacing w:after="120" w:line="360" w:lineRule="auto"/>
        <w:ind w:firstLine="420" w:firstLineChars="200"/>
        <w:rPr>
          <w:szCs w:val="21"/>
        </w:rPr>
      </w:pPr>
      <w:r>
        <w:rPr>
          <w:rFonts w:hint="eastAsia"/>
          <w:szCs w:val="21"/>
        </w:rPr>
        <w:t>（六）基金托管人根据有关法律法规的规定及基金合同的约定，对基金管理人投资流通受限证券进行监督。</w:t>
      </w:r>
    </w:p>
    <w:p>
      <w:pPr>
        <w:spacing w:after="120" w:line="360" w:lineRule="auto"/>
        <w:ind w:firstLine="420" w:firstLineChars="200"/>
        <w:rPr>
          <w:szCs w:val="21"/>
        </w:rPr>
      </w:pPr>
      <w:r>
        <w:rPr>
          <w:rFonts w:hint="eastAsia"/>
          <w:szCs w:val="21"/>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pPr>
        <w:spacing w:after="120" w:line="360" w:lineRule="auto"/>
        <w:ind w:firstLine="420" w:firstLineChars="200"/>
        <w:rPr>
          <w:szCs w:val="21"/>
        </w:rPr>
      </w:pPr>
      <w:r>
        <w:rPr>
          <w:szCs w:val="21"/>
        </w:rPr>
        <w:t>1</w:t>
      </w:r>
      <w:r>
        <w:rPr>
          <w:rFonts w:hint="eastAsia"/>
          <w:szCs w:val="21"/>
        </w:rPr>
        <w:t>．流通受限证券是指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本基金为纯债债券型基金，不投资于流通受限证券中的股票、权证等权益类资产，也不投资于可转换债券（可分离交易可转债的纯债部分除外）、可交换债券。</w:t>
      </w:r>
    </w:p>
    <w:p>
      <w:pPr>
        <w:spacing w:after="120" w:line="360" w:lineRule="auto"/>
        <w:ind w:firstLine="420" w:firstLineChars="200"/>
        <w:rPr>
          <w:szCs w:val="21"/>
        </w:rPr>
      </w:pPr>
      <w:r>
        <w:rPr>
          <w:rFonts w:hint="eastAsia"/>
          <w:szCs w:val="21"/>
        </w:rPr>
        <w:t>本基金投资的流通受限证券限于可由中国证券登记结算有限责任公司或中央国债登记结算有限责任公司</w:t>
      </w:r>
      <w:r>
        <w:rPr>
          <w:rFonts w:hint="eastAsia" w:ascii="宋体" w:hAnsi="宋体"/>
          <w:szCs w:val="21"/>
        </w:rPr>
        <w:t>、银行间市场清算所股份有限公司、</w:t>
      </w:r>
      <w:r>
        <w:rPr>
          <w:rFonts w:hint="eastAsia"/>
          <w:szCs w:val="21"/>
        </w:rPr>
        <w:t>负责登记和存管，并可在证券交易所或全国银行间债券市场交易的证券。</w:t>
      </w:r>
    </w:p>
    <w:p>
      <w:pPr>
        <w:spacing w:after="120" w:line="360" w:lineRule="auto"/>
        <w:ind w:firstLine="420" w:firstLineChars="200"/>
        <w:rPr>
          <w:szCs w:val="21"/>
        </w:rPr>
      </w:pPr>
      <w:r>
        <w:rPr>
          <w:rFonts w:hint="eastAsia"/>
          <w:szCs w:val="21"/>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pPr>
        <w:spacing w:after="120" w:line="360" w:lineRule="auto"/>
        <w:ind w:firstLine="420" w:firstLineChars="200"/>
        <w:rPr>
          <w:szCs w:val="21"/>
        </w:rPr>
      </w:pPr>
      <w:r>
        <w:rPr>
          <w:rFonts w:hint="eastAsia"/>
          <w:szCs w:val="21"/>
        </w:rPr>
        <w:t>本基金投资流通受限证券，不得预付任何形式的保证金。</w:t>
      </w:r>
    </w:p>
    <w:p>
      <w:pPr>
        <w:spacing w:after="120" w:line="360" w:lineRule="auto"/>
        <w:ind w:firstLine="420" w:firstLineChars="200"/>
        <w:rPr>
          <w:szCs w:val="21"/>
        </w:rPr>
      </w:pPr>
      <w:r>
        <w:rPr>
          <w:szCs w:val="21"/>
        </w:rPr>
        <w:t>2</w:t>
      </w:r>
      <w:r>
        <w:rPr>
          <w:rFonts w:hint="eastAsia"/>
          <w:szCs w:val="21"/>
        </w:rPr>
        <w:t>．基金管理人投资流通受限证券，应制订流动性风险处置预案并经其董事会批准。风险处置预案应包括但不限于因投资流通受限证券需要解决的基金投资比例限制失调、基金流动性困难以及相关损失的应对解决措施，以及有关异常情况的处置。</w:t>
      </w:r>
    </w:p>
    <w:p>
      <w:pPr>
        <w:spacing w:after="120" w:line="360" w:lineRule="auto"/>
        <w:ind w:firstLine="420" w:firstLineChars="200"/>
        <w:rPr>
          <w:szCs w:val="21"/>
        </w:rPr>
      </w:pPr>
      <w:r>
        <w:rPr>
          <w:rFonts w:hint="eastAsia"/>
          <w:szCs w:val="21"/>
        </w:rPr>
        <w:t>对本基金因投资流通受限证券导致的流动性风险，基金托管人不承担任何责任。如因基金管理人原因导致本基金出现损失致使基金托管人承担连带赔偿责任的，基金管理人应赔偿基金托管人由此遭受的损失。</w:t>
      </w:r>
    </w:p>
    <w:p>
      <w:pPr>
        <w:spacing w:after="120" w:line="360" w:lineRule="auto"/>
        <w:ind w:firstLine="420" w:firstLineChars="200"/>
        <w:rPr>
          <w:szCs w:val="21"/>
        </w:rPr>
      </w:pPr>
      <w:r>
        <w:rPr>
          <w:szCs w:val="21"/>
        </w:rPr>
        <w:t>3</w:t>
      </w:r>
      <w:r>
        <w:rPr>
          <w:rFonts w:hint="eastAsia"/>
          <w:szCs w:val="21"/>
        </w:rPr>
        <w:t>．本基金有关投资流通受限证券比例如违反有关限制规定，在合理期限内未能进行及时调整，基金管理人应按照《信息披露办法》的相关规定编制临时报告书，予以公告。</w:t>
      </w:r>
    </w:p>
    <w:p>
      <w:pPr>
        <w:spacing w:after="120" w:line="360" w:lineRule="auto"/>
        <w:ind w:firstLine="420" w:firstLineChars="200"/>
        <w:rPr>
          <w:szCs w:val="21"/>
        </w:rPr>
      </w:pPr>
      <w:r>
        <w:rPr>
          <w:szCs w:val="21"/>
        </w:rPr>
        <w:t>4</w:t>
      </w:r>
      <w:r>
        <w:rPr>
          <w:rFonts w:hint="eastAsia"/>
          <w:szCs w:val="21"/>
        </w:rPr>
        <w:t>．基金托管人根据有关规定有权对基金管理人进行以下事项监督：</w:t>
      </w:r>
    </w:p>
    <w:p>
      <w:pPr>
        <w:spacing w:after="120" w:line="360" w:lineRule="auto"/>
        <w:ind w:firstLine="420" w:firstLineChars="200"/>
        <w:rPr>
          <w:szCs w:val="21"/>
        </w:rPr>
      </w:pPr>
      <w:r>
        <w:rPr>
          <w:rFonts w:hint="eastAsia"/>
          <w:szCs w:val="21"/>
        </w:rPr>
        <w:t>（</w:t>
      </w:r>
      <w:r>
        <w:rPr>
          <w:szCs w:val="21"/>
        </w:rPr>
        <w:t>1</w:t>
      </w:r>
      <w:r>
        <w:rPr>
          <w:rFonts w:hint="eastAsia"/>
          <w:szCs w:val="21"/>
        </w:rPr>
        <w:t>）本基金投资流通受限证券时的法律法规遵守情况；</w:t>
      </w:r>
    </w:p>
    <w:p>
      <w:pPr>
        <w:spacing w:after="120" w:line="360" w:lineRule="auto"/>
        <w:ind w:firstLine="420" w:firstLineChars="200"/>
        <w:rPr>
          <w:szCs w:val="21"/>
        </w:rPr>
      </w:pPr>
      <w:r>
        <w:rPr>
          <w:rFonts w:hint="eastAsia"/>
          <w:szCs w:val="21"/>
        </w:rPr>
        <w:t>（2）有关比例限制的执行情况；</w:t>
      </w:r>
    </w:p>
    <w:p>
      <w:pPr>
        <w:spacing w:after="120" w:line="360" w:lineRule="auto"/>
        <w:ind w:firstLine="420" w:firstLineChars="200"/>
        <w:rPr>
          <w:szCs w:val="21"/>
        </w:rPr>
      </w:pPr>
      <w:r>
        <w:rPr>
          <w:rFonts w:hint="eastAsia"/>
          <w:szCs w:val="21"/>
        </w:rPr>
        <w:t>（3）信息披露情况。</w:t>
      </w:r>
    </w:p>
    <w:p>
      <w:pPr>
        <w:spacing w:after="120" w:line="360" w:lineRule="auto"/>
        <w:ind w:firstLine="420" w:firstLineChars="200"/>
        <w:rPr>
          <w:szCs w:val="21"/>
        </w:rPr>
      </w:pPr>
      <w:r>
        <w:rPr>
          <w:szCs w:val="21"/>
        </w:rPr>
        <w:t>5</w:t>
      </w:r>
      <w:r>
        <w:rPr>
          <w:rFonts w:hint="eastAsia"/>
          <w:szCs w:val="21"/>
        </w:rPr>
        <w:t>．相关法律法规对基金投资流通受限证券有新规定的，从其规定。</w:t>
      </w:r>
    </w:p>
    <w:p>
      <w:pPr>
        <w:spacing w:after="120" w:line="360" w:lineRule="auto"/>
        <w:ind w:firstLine="420" w:firstLineChars="200"/>
        <w:rPr>
          <w:szCs w:val="21"/>
        </w:rPr>
      </w:pPr>
      <w:r>
        <w:rPr>
          <w:rFonts w:hint="eastAsia"/>
          <w:szCs w:val="21"/>
        </w:rPr>
        <w:t>（七）基金托管人对基金投资中期票据的监督</w:t>
      </w:r>
    </w:p>
    <w:p>
      <w:pPr>
        <w:spacing w:after="120" w:line="360" w:lineRule="auto"/>
        <w:ind w:firstLine="420" w:firstLineChars="200"/>
        <w:rPr>
          <w:szCs w:val="21"/>
        </w:rPr>
      </w:pPr>
      <w:r>
        <w:rPr>
          <w:rFonts w:hint="eastAsia"/>
          <w:szCs w:val="21"/>
        </w:rPr>
        <w:t>1．基金管理在投资中期票据前，须根据法律、法规、监管部门的规定，制定严格的关于投资中期票据的风险控制制度和流动性风险处置预案，并书面提供给基金托管人，基金托管人依据上述文件对基金管理人投资中期票据的比例进行监督。</w:t>
      </w:r>
    </w:p>
    <w:p>
      <w:pPr>
        <w:spacing w:after="120" w:line="360" w:lineRule="auto"/>
        <w:ind w:firstLine="420" w:firstLineChars="200"/>
        <w:rPr>
          <w:szCs w:val="21"/>
        </w:rPr>
      </w:pPr>
      <w:r>
        <w:rPr>
          <w:rFonts w:hint="eastAsia"/>
          <w:szCs w:val="21"/>
        </w:rPr>
        <w:t>2．如未来有关监管部门发布的法律法规对证券投资基金投资中期票据另有规定的，从其约定，基金管理人应及时书面通知基金托管人。</w:t>
      </w:r>
    </w:p>
    <w:p>
      <w:pPr>
        <w:spacing w:after="120" w:line="360" w:lineRule="auto"/>
        <w:ind w:firstLine="420" w:firstLineChars="200"/>
        <w:rPr>
          <w:szCs w:val="21"/>
        </w:rPr>
      </w:pPr>
      <w:r>
        <w:rPr>
          <w:rFonts w:hint="eastAsia"/>
          <w:szCs w:val="21"/>
        </w:rPr>
        <w:t>3．基金托管人有权监督基金管理人在相关基金投资中期票据时的法律法规遵守情况，有关制度、信用风险、流动性风险处置预案的完善情况，有关比例限制的执行情况。基金托管人发现基金管理人的上述事项违反法律法规和基金合同以及本协议的规定，有权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有权报告中国证监会。</w:t>
      </w:r>
    </w:p>
    <w:p>
      <w:pPr>
        <w:spacing w:after="120" w:line="360" w:lineRule="auto"/>
        <w:ind w:firstLine="420" w:firstLineChars="200"/>
        <w:rPr>
          <w:szCs w:val="21"/>
        </w:rPr>
      </w:pPr>
      <w:r>
        <w:rPr>
          <w:rFonts w:hint="eastAsia"/>
          <w:szCs w:val="21"/>
        </w:rPr>
        <w:t>（八）基金托管人根据有关法律法规的规定及基金合同的约定，对基金资产净值计算、</w:t>
      </w:r>
      <w:r>
        <w:rPr>
          <w:rFonts w:hint="eastAsia"/>
          <w:szCs w:val="21"/>
          <w:lang w:val="en-US" w:eastAsia="zh-CN"/>
        </w:rPr>
        <w:t>各类</w:t>
      </w:r>
      <w:r>
        <w:rPr>
          <w:rFonts w:hint="eastAsia"/>
          <w:szCs w:val="21"/>
        </w:rPr>
        <w:t>基金份额净值计算、应收资金到账、基金费用开支及收入确定、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pPr>
        <w:spacing w:after="120" w:line="360" w:lineRule="auto"/>
        <w:ind w:firstLine="420" w:firstLineChars="200"/>
        <w:rPr>
          <w:szCs w:val="21"/>
        </w:rPr>
      </w:pPr>
      <w:r>
        <w:rPr>
          <w:rFonts w:hint="eastAsia"/>
          <w:szCs w:val="21"/>
        </w:rPr>
        <w:t>（九）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spacing w:after="120" w:line="360" w:lineRule="auto"/>
        <w:ind w:firstLine="420" w:firstLineChars="200"/>
        <w:rPr>
          <w:szCs w:val="21"/>
        </w:rPr>
      </w:pPr>
      <w:r>
        <w:rPr>
          <w:rFonts w:hint="eastAsia"/>
          <w:szCs w:val="21"/>
        </w:rPr>
        <w:t>（十）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spacing w:after="120" w:line="360" w:lineRule="auto"/>
        <w:ind w:firstLine="420" w:firstLineChars="200"/>
        <w:rPr>
          <w:szCs w:val="21"/>
        </w:rPr>
      </w:pPr>
      <w:r>
        <w:rPr>
          <w:rFonts w:hint="eastAsia"/>
          <w:szCs w:val="21"/>
        </w:rPr>
        <w:t>（十一）若基金托管人发现基金管理人依据交易程序已经生效的指令违反法律、行政法规和其他有关规定，或者违反基金合同约定的，应当立即通知基金管理人，由此造成的损失由基金管理人承担。</w:t>
      </w:r>
    </w:p>
    <w:p>
      <w:pPr>
        <w:spacing w:after="120" w:line="360" w:lineRule="auto"/>
        <w:ind w:firstLine="420" w:firstLineChars="200"/>
        <w:rPr>
          <w:szCs w:val="21"/>
        </w:rPr>
      </w:pPr>
      <w:r>
        <w:rPr>
          <w:rFonts w:hint="eastAsia"/>
          <w:szCs w:val="21"/>
        </w:rPr>
        <w:t>（十二）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spacing w:after="120" w:line="360" w:lineRule="auto"/>
        <w:ind w:firstLine="420" w:firstLineChars="200"/>
        <w:rPr>
          <w:szCs w:val="21"/>
        </w:rPr>
      </w:pPr>
      <w:r>
        <w:rPr>
          <w:rFonts w:hint="eastAsia"/>
          <w:szCs w:val="21"/>
        </w:rPr>
        <w:t>（十三）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spacing w:after="120" w:line="360" w:lineRule="auto"/>
        <w:ind w:firstLine="420" w:firstLineChars="200"/>
        <w:rPr>
          <w:szCs w:val="21"/>
        </w:rPr>
      </w:pPr>
      <w:r>
        <w:rPr>
          <w:rFonts w:hint="eastAsia"/>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p>
    <w:p>
      <w:pPr>
        <w:spacing w:after="120" w:line="360" w:lineRule="auto"/>
        <w:ind w:firstLine="420" w:firstLineChars="200"/>
        <w:rPr>
          <w:szCs w:val="21"/>
        </w:rPr>
        <w:sectPr>
          <w:pgSz w:w="11906" w:h="16838"/>
          <w:pgMar w:top="1440" w:right="1800" w:bottom="1440" w:left="1800" w:header="851" w:footer="992" w:gutter="0"/>
          <w:cols w:space="720" w:num="1"/>
          <w:docGrid w:type="lines" w:linePitch="312" w:charSpace="0"/>
        </w:sectPr>
      </w:pPr>
    </w:p>
    <w:p>
      <w:pPr>
        <w:spacing w:after="120" w:line="360" w:lineRule="auto"/>
        <w:ind w:firstLine="420" w:firstLineChars="200"/>
        <w:rPr>
          <w:szCs w:val="21"/>
        </w:rPr>
      </w:pPr>
      <w:r>
        <w:rPr>
          <w:szCs w:val="21"/>
        </w:rPr>
        <w:br w:type="page"/>
      </w:r>
      <w:bookmarkStart w:id="45" w:name="_Toc411875690"/>
      <w:r>
        <w:rPr>
          <w:rFonts w:hint="eastAsia"/>
        </w:rPr>
        <w:t>四、基金管理人对基金托管人的业务核查</w:t>
      </w:r>
      <w:bookmarkEnd w:id="45"/>
    </w:p>
    <w:p>
      <w:pPr>
        <w:spacing w:after="120" w:line="360" w:lineRule="auto"/>
        <w:ind w:firstLine="420" w:firstLineChars="200"/>
        <w:rPr>
          <w:szCs w:val="21"/>
        </w:rPr>
      </w:pPr>
      <w:r>
        <w:rPr>
          <w:rFonts w:hint="eastAsia"/>
          <w:szCs w:val="21"/>
        </w:rPr>
        <w:t>（一）基金管理人对基金托管人履行托管职责情况进行核查，核查事项包括基金托管人安全保管基金财产、开设基金财产的托管资金专门账户和证券账户等</w:t>
      </w:r>
      <w:r>
        <w:rPr>
          <w:szCs w:val="21"/>
        </w:rPr>
        <w:t>投资所需账户</w:t>
      </w:r>
      <w:r>
        <w:rPr>
          <w:rFonts w:hint="eastAsia"/>
          <w:szCs w:val="21"/>
        </w:rPr>
        <w:t>、复核基金管理人计算的基金资产净值和</w:t>
      </w:r>
      <w:r>
        <w:rPr>
          <w:rFonts w:hint="eastAsia"/>
          <w:szCs w:val="21"/>
          <w:lang w:val="en-US" w:eastAsia="zh-CN"/>
        </w:rPr>
        <w:t>各类</w:t>
      </w:r>
      <w:r>
        <w:rPr>
          <w:rFonts w:hint="eastAsia"/>
          <w:szCs w:val="21"/>
        </w:rPr>
        <w:t>基金份额净值、根据管理人指令办理清算交收、相关信息披露和监督基金投资运作等行为。</w:t>
      </w:r>
    </w:p>
    <w:p>
      <w:pPr>
        <w:spacing w:after="120" w:line="360" w:lineRule="auto"/>
        <w:ind w:firstLine="420" w:firstLineChars="200"/>
        <w:rPr>
          <w:szCs w:val="21"/>
        </w:rPr>
      </w:pPr>
      <w:r>
        <w:rPr>
          <w:rFonts w:hint="eastAsia"/>
          <w:szCs w:val="21"/>
        </w:rPr>
        <w:t>（二）基金管理人发现基金托管人擅自挪用基金财产、未对基金财产实行分账管理、未执行或无故延迟执行基金管理人资金划拨指令、泄露基金投资信息等违反《基金法》、基金合同、本托管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spacing w:after="120" w:line="360" w:lineRule="auto"/>
        <w:ind w:firstLine="420" w:firstLineChars="200"/>
        <w:rPr>
          <w:szCs w:val="21"/>
        </w:rPr>
      </w:pPr>
      <w:r>
        <w:rPr>
          <w:rFonts w:hint="eastAsia"/>
          <w:szCs w:val="21"/>
        </w:rPr>
        <w:t>（三）基金管理人发现基金托管人有重大违规行为，应及时报告中国证监会，同时通知基金托管人限期纠正，并将纠正结果报告中国证监会。基金托管人无正当理由，拒绝、阻挠对方根据本托管协议规定行使监督权，或采取拖延、欺诈等手段妨碍对方进行有效监督，情节严重或经基金管理人提出警告仍不改正的，基金管理人应报告中国证监会。</w:t>
      </w:r>
    </w:p>
    <w:p>
      <w:pPr>
        <w:spacing w:after="120"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46" w:name="_Toc466788854"/>
      <w:bookmarkStart w:id="47" w:name="_Toc22454437"/>
      <w:bookmarkStart w:id="48" w:name="_Toc283383018"/>
      <w:bookmarkStart w:id="49" w:name="_Toc125361077"/>
      <w:bookmarkStart w:id="50" w:name="_Toc290284047"/>
      <w:bookmarkStart w:id="51" w:name="_Toc124749940"/>
      <w:bookmarkStart w:id="52" w:name="_Toc48703889"/>
      <w:bookmarkStart w:id="53" w:name="_Toc411875691"/>
      <w:bookmarkStart w:id="54" w:name="_Toc124749229"/>
      <w:bookmarkStart w:id="55" w:name="_Toc123626171"/>
      <w:bookmarkStart w:id="56" w:name="_Toc140002340"/>
      <w:bookmarkStart w:id="57" w:name="_Toc523829995"/>
      <w:r>
        <w:rPr>
          <w:rFonts w:hint="eastAsia" w:ascii="Times New Roman" w:hAnsi="Times New Roman"/>
        </w:rPr>
        <w:t>五、基金财产保管</w:t>
      </w:r>
      <w:bookmarkEnd w:id="46"/>
      <w:bookmarkEnd w:id="47"/>
      <w:bookmarkEnd w:id="48"/>
      <w:bookmarkEnd w:id="49"/>
      <w:bookmarkEnd w:id="50"/>
      <w:bookmarkEnd w:id="51"/>
      <w:bookmarkEnd w:id="52"/>
      <w:bookmarkEnd w:id="53"/>
      <w:bookmarkEnd w:id="54"/>
      <w:bookmarkEnd w:id="55"/>
      <w:bookmarkEnd w:id="56"/>
      <w:bookmarkEnd w:id="57"/>
    </w:p>
    <w:p>
      <w:pPr>
        <w:spacing w:line="360" w:lineRule="auto"/>
        <w:ind w:firstLine="420" w:firstLineChars="200"/>
        <w:rPr>
          <w:szCs w:val="21"/>
        </w:rPr>
      </w:pPr>
      <w:bookmarkStart w:id="58" w:name="_Toc37159173"/>
      <w:r>
        <w:rPr>
          <w:rFonts w:hint="eastAsia"/>
          <w:szCs w:val="21"/>
        </w:rPr>
        <w:t>（一）基金财产保管的原则</w:t>
      </w:r>
      <w:bookmarkEnd w:id="58"/>
    </w:p>
    <w:p>
      <w:pPr>
        <w:spacing w:line="360" w:lineRule="auto"/>
        <w:ind w:firstLine="420" w:firstLineChars="200"/>
        <w:rPr>
          <w:szCs w:val="21"/>
        </w:rPr>
      </w:pPr>
      <w:r>
        <w:rPr>
          <w:rFonts w:hint="eastAsia"/>
          <w:szCs w:val="21"/>
        </w:rPr>
        <w:t>1．基金财产应独立于基金管理人、基金托管人的固有财产；</w:t>
      </w:r>
    </w:p>
    <w:p>
      <w:pPr>
        <w:spacing w:line="360" w:lineRule="auto"/>
        <w:ind w:firstLine="420" w:firstLineChars="200"/>
        <w:rPr>
          <w:szCs w:val="21"/>
        </w:rPr>
      </w:pPr>
      <w:r>
        <w:rPr>
          <w:rFonts w:hint="eastAsia"/>
          <w:szCs w:val="21"/>
        </w:rPr>
        <w:t>2．基金托管人应安全保管基金财产；</w:t>
      </w:r>
    </w:p>
    <w:p>
      <w:pPr>
        <w:spacing w:line="360" w:lineRule="auto"/>
        <w:ind w:firstLine="420" w:firstLineChars="200"/>
        <w:rPr>
          <w:szCs w:val="21"/>
        </w:rPr>
      </w:pPr>
      <w:r>
        <w:rPr>
          <w:szCs w:val="21"/>
        </w:rPr>
        <w:t>3</w:t>
      </w:r>
      <w:r>
        <w:rPr>
          <w:rFonts w:hint="eastAsia"/>
          <w:szCs w:val="21"/>
        </w:rPr>
        <w:t>．基金托管人按照规定开设基金财产的资金账户、证券账户</w:t>
      </w:r>
      <w:r>
        <w:rPr>
          <w:szCs w:val="21"/>
        </w:rPr>
        <w:t>等投资所需账户</w:t>
      </w:r>
      <w:r>
        <w:rPr>
          <w:rFonts w:hint="eastAsia"/>
          <w:szCs w:val="21"/>
        </w:rPr>
        <w:t>；</w:t>
      </w:r>
    </w:p>
    <w:p>
      <w:pPr>
        <w:spacing w:line="360" w:lineRule="auto"/>
        <w:ind w:firstLine="420" w:firstLineChars="200"/>
        <w:rPr>
          <w:szCs w:val="21"/>
        </w:rPr>
      </w:pPr>
      <w:r>
        <w:rPr>
          <w:szCs w:val="21"/>
        </w:rPr>
        <w:t>4</w:t>
      </w:r>
      <w:r>
        <w:rPr>
          <w:rFonts w:hint="eastAsia"/>
          <w:szCs w:val="21"/>
        </w:rPr>
        <w:t>．基金托管人对所托管的不同基金财产分别设置账户，确保基金财产的完整与独立；</w:t>
      </w:r>
    </w:p>
    <w:p>
      <w:pPr>
        <w:spacing w:line="360" w:lineRule="auto"/>
        <w:ind w:firstLine="420" w:firstLineChars="200"/>
        <w:rPr>
          <w:szCs w:val="21"/>
        </w:rPr>
      </w:pPr>
      <w:r>
        <w:rPr>
          <w:szCs w:val="21"/>
        </w:rPr>
        <w:t>5</w:t>
      </w:r>
      <w:r>
        <w:rPr>
          <w:rFonts w:hint="eastAsia"/>
          <w:szCs w:val="21"/>
        </w:rPr>
        <w:t>．基金托管人按照基金合同和本托管协议的约定保管基金财产，如有特殊情况双方可另行协商解决。基金托管人未经基金管理人的指令，不得自行运用、处分、分配本基金的任何资产（不包含基金托管人依据中国证券登记结算有限责任公司（以下简称“中登公司”）结算数据完成场内交易交收、托管资产开户银行扣收结算费和</w:t>
      </w:r>
      <w:r>
        <w:rPr>
          <w:szCs w:val="21"/>
        </w:rPr>
        <w:t>账户维护费</w:t>
      </w:r>
      <w:r>
        <w:rPr>
          <w:rFonts w:hint="eastAsia"/>
          <w:szCs w:val="21"/>
        </w:rPr>
        <w:t>等费用）；</w:t>
      </w:r>
    </w:p>
    <w:p>
      <w:pPr>
        <w:spacing w:line="360" w:lineRule="auto"/>
        <w:ind w:firstLine="420" w:firstLineChars="200"/>
        <w:rPr>
          <w:szCs w:val="21"/>
        </w:rPr>
      </w:pPr>
      <w:r>
        <w:rPr>
          <w:szCs w:val="21"/>
        </w:rPr>
        <w:t>6</w:t>
      </w:r>
      <w:r>
        <w:rPr>
          <w:rFonts w:hint="eastAsia"/>
          <w:szCs w:val="21"/>
        </w:rPr>
        <w:t>．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应予以必要的协助与配合，但对此不承担相应责任；</w:t>
      </w:r>
    </w:p>
    <w:p>
      <w:pPr>
        <w:spacing w:line="360" w:lineRule="auto"/>
        <w:ind w:firstLine="420" w:firstLineChars="200"/>
        <w:rPr>
          <w:szCs w:val="21"/>
        </w:rPr>
      </w:pPr>
      <w:r>
        <w:rPr>
          <w:szCs w:val="21"/>
        </w:rPr>
        <w:t>7</w:t>
      </w:r>
      <w:r>
        <w:rPr>
          <w:rFonts w:hint="eastAsia"/>
          <w:szCs w:val="21"/>
        </w:rPr>
        <w:t>．除依据法律法规和基金合同的规定外，基金托管人不得委托第三人托管基金财产。</w:t>
      </w:r>
    </w:p>
    <w:p>
      <w:pPr>
        <w:spacing w:line="360" w:lineRule="auto"/>
        <w:ind w:firstLine="420" w:firstLineChars="200"/>
        <w:rPr>
          <w:szCs w:val="21"/>
        </w:rPr>
      </w:pPr>
      <w:bookmarkStart w:id="59" w:name="_Toc37159174"/>
      <w:r>
        <w:rPr>
          <w:rFonts w:hint="eastAsia"/>
          <w:szCs w:val="21"/>
        </w:rPr>
        <w:t>（二）募集资金的验资</w:t>
      </w:r>
      <w:bookmarkEnd w:id="59"/>
    </w:p>
    <w:p>
      <w:pPr>
        <w:spacing w:line="360" w:lineRule="auto"/>
        <w:ind w:firstLine="420" w:firstLineChars="200"/>
        <w:rPr>
          <w:szCs w:val="21"/>
        </w:rPr>
      </w:pPr>
      <w:r>
        <w:rPr>
          <w:rFonts w:hint="eastAsia"/>
          <w:szCs w:val="21"/>
        </w:rPr>
        <w:t>1．基金募集期间募集的资金应存于开立的“基金募集专户”。该账户由登记机构开立并管理。</w:t>
      </w:r>
    </w:p>
    <w:p>
      <w:pPr>
        <w:spacing w:line="360" w:lineRule="auto"/>
        <w:ind w:firstLine="420" w:firstLineChars="200"/>
        <w:rPr>
          <w:szCs w:val="21"/>
        </w:rPr>
      </w:pPr>
      <w:r>
        <w:rPr>
          <w:szCs w:val="21"/>
        </w:rPr>
        <w:t>2</w:t>
      </w:r>
      <w:r>
        <w:rPr>
          <w:rFonts w:hint="eastAsia"/>
          <w:szCs w:val="21"/>
        </w:rPr>
        <w:t>．基金募集期满或基金停止募集时，募集的基金份额总额、基金募集金额、基金份额持有人人数符合《基金法》、《运作办法》等有关规定后，基金管理人应将属于基金财产的全部资金划入基金托管人开立的基金资金账户，同时在规定时间内，聘请具有从事证券相关业务资格的会计师事务所进行验资，出具验资报告。出具的验资报告由参加验资的</w:t>
      </w:r>
      <w:r>
        <w:rPr>
          <w:szCs w:val="21"/>
        </w:rPr>
        <w:t>2</w:t>
      </w:r>
      <w:r>
        <w:rPr>
          <w:rFonts w:hint="eastAsia"/>
          <w:szCs w:val="21"/>
        </w:rPr>
        <w:t>名或</w:t>
      </w:r>
      <w:r>
        <w:rPr>
          <w:szCs w:val="21"/>
        </w:rPr>
        <w:t>2</w:t>
      </w:r>
      <w:r>
        <w:rPr>
          <w:rFonts w:hint="eastAsia"/>
          <w:szCs w:val="21"/>
        </w:rPr>
        <w:t>名以上中国注册会计师签字方为有效。</w:t>
      </w:r>
    </w:p>
    <w:p>
      <w:pPr>
        <w:spacing w:line="360" w:lineRule="auto"/>
        <w:ind w:firstLine="420" w:firstLineChars="200"/>
        <w:rPr>
          <w:szCs w:val="21"/>
        </w:rPr>
      </w:pPr>
      <w:r>
        <w:rPr>
          <w:szCs w:val="21"/>
        </w:rPr>
        <w:t>3</w:t>
      </w:r>
      <w:r>
        <w:rPr>
          <w:rFonts w:hint="eastAsia"/>
          <w:szCs w:val="21"/>
        </w:rPr>
        <w:t>．若基金募集期限届满，未能达到基金备案的条件，由基金管理人按规定办理退款等事宜。</w:t>
      </w:r>
    </w:p>
    <w:p>
      <w:pPr>
        <w:spacing w:line="360" w:lineRule="auto"/>
        <w:ind w:firstLine="420" w:firstLineChars="200"/>
        <w:rPr>
          <w:szCs w:val="21"/>
        </w:rPr>
      </w:pPr>
      <w:r>
        <w:rPr>
          <w:rFonts w:hint="eastAsia"/>
          <w:szCs w:val="21"/>
        </w:rPr>
        <w:t>（三）基金资金账户的开立和管理</w:t>
      </w:r>
    </w:p>
    <w:p>
      <w:pPr>
        <w:spacing w:line="360" w:lineRule="auto"/>
        <w:ind w:firstLine="420" w:firstLineChars="200"/>
        <w:rPr>
          <w:szCs w:val="21"/>
        </w:rPr>
      </w:pPr>
      <w:r>
        <w:rPr>
          <w:szCs w:val="21"/>
        </w:rPr>
        <w:t>1</w:t>
      </w:r>
      <w:r>
        <w:rPr>
          <w:rFonts w:hint="eastAsia"/>
          <w:szCs w:val="21"/>
        </w:rPr>
        <w:t>．基金托管人应以本基金的名义在具有基金托管资格</w:t>
      </w:r>
      <w:r>
        <w:rPr>
          <w:szCs w:val="21"/>
        </w:rPr>
        <w:t>的商业</w:t>
      </w:r>
      <w:r>
        <w:rPr>
          <w:rFonts w:hint="eastAsia"/>
          <w:szCs w:val="21"/>
        </w:rPr>
        <w:t>银行开立基金的资金账户（托管账户），并根据基金管理人合法合规的指令办理资金收付。本基金的银行预留印鉴由基金托管人刻制</w:t>
      </w:r>
      <w:r>
        <w:rPr>
          <w:szCs w:val="21"/>
        </w:rPr>
        <w:t>、</w:t>
      </w:r>
      <w:r>
        <w:rPr>
          <w:rFonts w:hint="eastAsia"/>
          <w:szCs w:val="21"/>
        </w:rPr>
        <w:t>保管和使用。本基金的一切货币收支活动，包括但不限于投资、付赎回额、支付基金收益取申购款，均需通过本基金资金账户进行。</w:t>
      </w:r>
    </w:p>
    <w:p>
      <w:pPr>
        <w:spacing w:line="360" w:lineRule="auto"/>
        <w:ind w:firstLine="420" w:firstLineChars="200"/>
        <w:rPr>
          <w:szCs w:val="21"/>
        </w:rPr>
      </w:pPr>
      <w:r>
        <w:rPr>
          <w:szCs w:val="21"/>
        </w:rPr>
        <w:t>2</w:t>
      </w:r>
      <w:r>
        <w:rPr>
          <w:rFonts w:hint="eastAsia"/>
          <w:szCs w:val="21"/>
        </w:rPr>
        <w:t>．基金资金账户的开立和使用，限于满足开展本基金业务的需要。基金托管人和基金管理人不得假借本基金的名义开立任何其他银行账户；亦不得使用基金的任何账户进行本基金业务以外的活动。</w:t>
      </w:r>
    </w:p>
    <w:p>
      <w:pPr>
        <w:spacing w:line="360" w:lineRule="auto"/>
        <w:ind w:firstLine="420" w:firstLineChars="200"/>
        <w:rPr>
          <w:szCs w:val="21"/>
        </w:rPr>
      </w:pPr>
      <w:r>
        <w:rPr>
          <w:szCs w:val="21"/>
        </w:rPr>
        <w:t>3</w:t>
      </w:r>
      <w:r>
        <w:rPr>
          <w:rFonts w:hint="eastAsia"/>
          <w:szCs w:val="21"/>
        </w:rPr>
        <w:t>．基金资金账户的开立和管理应符合有关法律法规及银行业监督管理机构的有关规定。</w:t>
      </w:r>
    </w:p>
    <w:p>
      <w:pPr>
        <w:spacing w:line="360" w:lineRule="auto"/>
        <w:ind w:firstLine="420" w:firstLineChars="200"/>
        <w:rPr>
          <w:szCs w:val="21"/>
        </w:rPr>
      </w:pPr>
      <w:r>
        <w:rPr>
          <w:szCs w:val="21"/>
        </w:rPr>
        <w:t>4</w:t>
      </w:r>
      <w:r>
        <w:rPr>
          <w:rFonts w:hint="eastAsia"/>
          <w:szCs w:val="21"/>
        </w:rPr>
        <w:t>．在符合法律法规规定的条件下，基金托管人可以通过基金托管人专用账户办理基金资产的支付。</w:t>
      </w:r>
    </w:p>
    <w:p>
      <w:pPr>
        <w:spacing w:line="360" w:lineRule="auto"/>
        <w:ind w:firstLine="420" w:firstLineChars="200"/>
        <w:rPr>
          <w:szCs w:val="21"/>
        </w:rPr>
      </w:pPr>
      <w:r>
        <w:rPr>
          <w:rFonts w:hint="eastAsia"/>
          <w:szCs w:val="21"/>
        </w:rPr>
        <w:t>（四）基金证券账户与证券交易资金账户的开立和管理</w:t>
      </w:r>
    </w:p>
    <w:p>
      <w:pPr>
        <w:spacing w:line="360" w:lineRule="auto"/>
        <w:ind w:firstLine="420" w:firstLineChars="200"/>
        <w:rPr>
          <w:szCs w:val="21"/>
        </w:rPr>
      </w:pPr>
      <w:r>
        <w:rPr>
          <w:szCs w:val="21"/>
        </w:rPr>
        <w:t>1</w:t>
      </w:r>
      <w:r>
        <w:rPr>
          <w:rFonts w:hint="eastAsia"/>
          <w:szCs w:val="21"/>
        </w:rPr>
        <w:t>．基金托管人在中国证券登记结算有限责任公司上海分公司、深圳分公司为基金开立基金托管人与基金联名的证券账户。</w:t>
      </w:r>
    </w:p>
    <w:p>
      <w:pPr>
        <w:spacing w:line="360" w:lineRule="auto"/>
        <w:ind w:firstLine="420" w:firstLineChars="200"/>
        <w:rPr>
          <w:szCs w:val="21"/>
        </w:rPr>
      </w:pPr>
      <w:r>
        <w:rPr>
          <w:szCs w:val="21"/>
        </w:rPr>
        <w:t>2</w:t>
      </w:r>
      <w:r>
        <w:rPr>
          <w:rFonts w:hint="eastAsia"/>
          <w:szCs w:val="21"/>
        </w:rPr>
        <w:t>．基金证券账户的开立和使用，仅限于满足开展本基金业务的需要。基金托管人和基金管理人不得出借或未经对方同意擅自转让基金的任何证券账户，亦不得使用基金的任何账户进行本基金业务以外的活动。</w:t>
      </w:r>
    </w:p>
    <w:p>
      <w:pPr>
        <w:spacing w:line="360" w:lineRule="auto"/>
        <w:ind w:firstLine="420" w:firstLineChars="200"/>
        <w:rPr>
          <w:szCs w:val="21"/>
        </w:rPr>
      </w:pPr>
      <w:r>
        <w:rPr>
          <w:szCs w:val="21"/>
        </w:rPr>
        <w:t>3</w:t>
      </w:r>
      <w:r>
        <w:rPr>
          <w:rFonts w:hint="eastAsia"/>
          <w:szCs w:val="21"/>
        </w:rPr>
        <w:t>．基金证券账户的开立和证券账户卡的保管由基金托管人负责，账户资产的管理和运用由基金管理人负责。</w:t>
      </w:r>
    </w:p>
    <w:p>
      <w:pPr>
        <w:spacing w:line="360" w:lineRule="auto"/>
        <w:ind w:firstLine="420" w:firstLineChars="200"/>
        <w:rPr>
          <w:szCs w:val="21"/>
        </w:rPr>
      </w:pPr>
      <w:r>
        <w:rPr>
          <w:szCs w:val="21"/>
        </w:rPr>
        <w:t>4</w:t>
      </w:r>
      <w:r>
        <w:rPr>
          <w:rFonts w:hint="eastAsia"/>
          <w:szCs w:val="21"/>
        </w:rPr>
        <w:t>．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pPr>
        <w:spacing w:line="360" w:lineRule="auto"/>
        <w:ind w:firstLine="420" w:firstLineChars="200"/>
        <w:rPr>
          <w:szCs w:val="21"/>
        </w:rPr>
      </w:pPr>
      <w:r>
        <w:rPr>
          <w:szCs w:val="21"/>
        </w:rPr>
        <w:t>5</w:t>
      </w:r>
      <w:r>
        <w:rPr>
          <w:rFonts w:hint="eastAsia"/>
          <w:szCs w:val="21"/>
        </w:rPr>
        <w:t>．若中国证监会或其他监管机构在本托管协议订立日之后允许基金从事其他投资品种的投资业务，涉及相关账户的开立、使用的，若无相关规定，则基金托管人比照上述关于账户开立、使用的规定执行。</w:t>
      </w:r>
    </w:p>
    <w:p>
      <w:pPr>
        <w:spacing w:line="360" w:lineRule="auto"/>
        <w:ind w:firstLine="420" w:firstLineChars="200"/>
        <w:rPr>
          <w:szCs w:val="21"/>
        </w:rPr>
      </w:pPr>
      <w:r>
        <w:rPr>
          <w:rFonts w:hint="eastAsia"/>
          <w:szCs w:val="21"/>
        </w:rPr>
        <w:t>（五）债券托管账户的开立和管理</w:t>
      </w:r>
    </w:p>
    <w:p>
      <w:pPr>
        <w:spacing w:line="360" w:lineRule="auto"/>
        <w:ind w:firstLine="420" w:firstLineChars="200"/>
        <w:rPr>
          <w:szCs w:val="21"/>
        </w:rPr>
      </w:pPr>
      <w:r>
        <w:rPr>
          <w:rFonts w:hint="eastAsia"/>
          <w:szCs w:val="21"/>
        </w:rPr>
        <w:t>基金合同生效后，基金托管人根据中国人民银行、银行间市场登记结算机构的有关规定，以本基金</w:t>
      </w:r>
      <w:r>
        <w:rPr>
          <w:szCs w:val="21"/>
        </w:rPr>
        <w:t>的名义</w:t>
      </w:r>
      <w:r>
        <w:rPr>
          <w:rFonts w:hint="eastAsia"/>
          <w:szCs w:val="21"/>
        </w:rPr>
        <w:t>在银行间市场登记结算机构开立债券托管账户、持有人账户和资金结算账户，并代表本基金进行银行间市场债券的后台确认及资金结算。基金管理人和基金托管人共同代表本基金签订全国银行间债券市场债券回购主协议。</w:t>
      </w:r>
    </w:p>
    <w:p>
      <w:pPr>
        <w:spacing w:line="360" w:lineRule="auto"/>
        <w:ind w:firstLine="420" w:firstLineChars="200"/>
        <w:rPr>
          <w:szCs w:val="21"/>
        </w:rPr>
      </w:pPr>
      <w:r>
        <w:rPr>
          <w:rFonts w:hint="eastAsia"/>
          <w:szCs w:val="21"/>
        </w:rPr>
        <w:t>（六）其他账户的开立和管理</w:t>
      </w:r>
    </w:p>
    <w:p>
      <w:pPr>
        <w:spacing w:line="360" w:lineRule="auto"/>
        <w:ind w:firstLine="420" w:firstLineChars="200"/>
        <w:rPr>
          <w:szCs w:val="21"/>
        </w:rPr>
      </w:pPr>
      <w:r>
        <w:rPr>
          <w:szCs w:val="21"/>
        </w:rPr>
        <w:t>1</w:t>
      </w:r>
      <w:r>
        <w:rPr>
          <w:rFonts w:hint="eastAsia"/>
          <w:szCs w:val="21"/>
        </w:rPr>
        <w:t>．因业务发展需要而开立的其他账户，可以根据法律法规和基金合同的规定，由基金托管人负责开立。新账户按有关规定使用并管理。</w:t>
      </w:r>
    </w:p>
    <w:p>
      <w:pPr>
        <w:spacing w:line="360" w:lineRule="auto"/>
        <w:ind w:firstLine="420" w:firstLineChars="200"/>
        <w:rPr>
          <w:szCs w:val="21"/>
        </w:rPr>
      </w:pPr>
      <w:r>
        <w:rPr>
          <w:szCs w:val="21"/>
        </w:rPr>
        <w:t>2</w:t>
      </w:r>
      <w:r>
        <w:rPr>
          <w:rFonts w:hint="eastAsia"/>
          <w:szCs w:val="21"/>
        </w:rPr>
        <w:t>．法律法规等有关规定对相关账户的开立和管理另有规定的，从其规定办理。</w:t>
      </w:r>
    </w:p>
    <w:p>
      <w:pPr>
        <w:spacing w:line="360" w:lineRule="auto"/>
        <w:ind w:firstLine="420" w:firstLineChars="200"/>
        <w:rPr>
          <w:szCs w:val="21"/>
        </w:rPr>
      </w:pPr>
      <w:r>
        <w:rPr>
          <w:rFonts w:hint="eastAsia"/>
          <w:szCs w:val="21"/>
        </w:rPr>
        <w:t>（七）基金财产投资的有关有价凭证等的保管</w:t>
      </w:r>
    </w:p>
    <w:p>
      <w:pPr>
        <w:spacing w:line="360" w:lineRule="auto"/>
        <w:ind w:firstLine="420" w:firstLineChars="200"/>
        <w:rPr>
          <w:szCs w:val="21"/>
        </w:rPr>
      </w:pPr>
      <w:r>
        <w:rPr>
          <w:rFonts w:hint="eastAsia"/>
          <w:szCs w:val="21"/>
        </w:rPr>
        <w:t>基金财产投资的有关实物证券、银行存款开户证实书等有价凭证由基金托管人存放于基金托管人的保管库，其中，实物证券也可存入中央国债登记结算有限责任公司、银行间市场清算所股份有限公司、中国证券登记结算有限责任公司上海分公司</w:t>
      </w:r>
      <w:r>
        <w:rPr>
          <w:szCs w:val="21"/>
        </w:rPr>
        <w:t>/</w:t>
      </w:r>
      <w:r>
        <w:rPr>
          <w:rFonts w:hint="eastAsia"/>
          <w:szCs w:val="21"/>
        </w:rPr>
        <w:t>深圳分公司或票据营业中心的代保管库，保管凭证由基金托管人持有。有价凭证的购买和转让，由基金管理人和基金托管人共同办理。基金托管人对由基金托管人以外机构实际有效控制的资产不承担保管责任。</w:t>
      </w:r>
    </w:p>
    <w:p>
      <w:pPr>
        <w:spacing w:line="360" w:lineRule="auto"/>
        <w:ind w:firstLine="420" w:firstLineChars="200"/>
        <w:rPr>
          <w:szCs w:val="21"/>
        </w:rPr>
      </w:pPr>
      <w:bookmarkStart w:id="60" w:name="_Toc37159180"/>
      <w:r>
        <w:rPr>
          <w:rFonts w:hint="eastAsia"/>
          <w:szCs w:val="21"/>
        </w:rPr>
        <w:t>（八）与基金财产有关的重大合同的保管</w:t>
      </w:r>
      <w:bookmarkEnd w:id="60"/>
    </w:p>
    <w:p>
      <w:pPr>
        <w:spacing w:line="360" w:lineRule="auto"/>
        <w:ind w:firstLine="420" w:firstLineChars="200"/>
        <w:rPr>
          <w:szCs w:val="21"/>
        </w:rPr>
      </w:pPr>
      <w:r>
        <w:rPr>
          <w:rFonts w:hint="eastAsia"/>
          <w:szCs w:val="21"/>
        </w:rPr>
        <w:t>与基金财产有关的重大合同的签署，由基金管理人负责。由基金管理人代表基金签署的、与基金财产有关的重大合同的原件分别由基金管理人、基金托管人保管。除本托管协议另有规定外，基金管理人代表本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传真给基金托管人，并在3</w:t>
      </w:r>
      <w:r>
        <w:rPr>
          <w:szCs w:val="21"/>
        </w:rPr>
        <w:t>0</w:t>
      </w:r>
      <w:r>
        <w:rPr>
          <w:rFonts w:hint="eastAsia"/>
          <w:szCs w:val="21"/>
        </w:rPr>
        <w:t>个工作日内将正本送达基金托管人处。重大合同的保管期限为基金合同终止后</w:t>
      </w:r>
      <w:r>
        <w:rPr>
          <w:szCs w:val="21"/>
        </w:rPr>
        <w:t>15</w:t>
      </w:r>
      <w:r>
        <w:rPr>
          <w:rFonts w:hint="eastAsia"/>
          <w:szCs w:val="21"/>
        </w:rPr>
        <w:t>年。</w:t>
      </w:r>
    </w:p>
    <w:p>
      <w:pPr>
        <w:spacing w:line="360" w:lineRule="auto"/>
        <w:ind w:firstLine="420" w:firstLineChars="200"/>
        <w:rPr>
          <w:szCs w:val="21"/>
        </w:rPr>
      </w:pPr>
      <w:r>
        <w:rPr>
          <w:rFonts w:hint="eastAsia"/>
          <w:szCs w:val="21"/>
        </w:rPr>
        <w:t>对于无法取得二份以上的正本的，基金管理人应向基金托管人提供加盖授权业务章的合同传真件并保证其真实性及其与原件的完全一致性，未经双方协商或未在合同约定范围内，合同原件不得转移。</w:t>
      </w:r>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61" w:name="_Toc290284048"/>
      <w:bookmarkStart w:id="62" w:name="_Toc124749941"/>
      <w:bookmarkStart w:id="63" w:name="_Toc124749230"/>
      <w:bookmarkStart w:id="64" w:name="_Toc125361078"/>
      <w:bookmarkStart w:id="65" w:name="_Toc411875692"/>
      <w:bookmarkStart w:id="66" w:name="_Toc283383019"/>
      <w:bookmarkStart w:id="67" w:name="_Toc140002341"/>
      <w:bookmarkStart w:id="68" w:name="_Toc123626172"/>
      <w:r>
        <w:rPr>
          <w:rFonts w:hint="eastAsia" w:ascii="Times New Roman" w:hAnsi="Times New Roman"/>
        </w:rPr>
        <w:t>六、指令的发送、确认和执行</w:t>
      </w:r>
      <w:bookmarkEnd w:id="61"/>
      <w:bookmarkEnd w:id="62"/>
      <w:bookmarkEnd w:id="63"/>
      <w:bookmarkEnd w:id="64"/>
      <w:bookmarkEnd w:id="65"/>
      <w:bookmarkEnd w:id="66"/>
      <w:bookmarkEnd w:id="67"/>
      <w:bookmarkEnd w:id="68"/>
    </w:p>
    <w:p>
      <w:pPr>
        <w:spacing w:line="360" w:lineRule="auto"/>
        <w:ind w:firstLine="420" w:firstLineChars="200"/>
        <w:rPr>
          <w:szCs w:val="21"/>
        </w:rPr>
      </w:pPr>
      <w:r>
        <w:rPr>
          <w:rFonts w:hint="eastAsia"/>
          <w:szCs w:val="21"/>
        </w:rPr>
        <w:t>基金管理人在运用基金财产时向基金托管人发送资金划拨及其他款项付款指令，基金托管人执行基金管理人的指令、办理基金名下的资金往来等有关事项。</w:t>
      </w:r>
    </w:p>
    <w:p>
      <w:pPr>
        <w:spacing w:line="360" w:lineRule="auto"/>
        <w:ind w:firstLine="420" w:firstLineChars="200"/>
        <w:rPr>
          <w:szCs w:val="21"/>
        </w:rPr>
      </w:pPr>
      <w:r>
        <w:rPr>
          <w:rFonts w:hint="eastAsia"/>
          <w:szCs w:val="21"/>
        </w:rPr>
        <w:t>（一）基金管理人对发送指令人员的书面授权</w:t>
      </w:r>
    </w:p>
    <w:p>
      <w:pPr>
        <w:spacing w:line="360" w:lineRule="auto"/>
        <w:ind w:firstLine="420" w:firstLineChars="200"/>
        <w:rPr>
          <w:szCs w:val="21"/>
        </w:rPr>
      </w:pPr>
      <w:r>
        <w:rPr>
          <w:szCs w:val="21"/>
        </w:rPr>
        <w:t>1</w:t>
      </w:r>
      <w:r>
        <w:rPr>
          <w:rFonts w:hint="eastAsia"/>
          <w:szCs w:val="21"/>
        </w:rPr>
        <w:t>．基金管理人应指定专人向基金托管人发送指令。</w:t>
      </w:r>
    </w:p>
    <w:p>
      <w:pPr>
        <w:spacing w:line="360" w:lineRule="auto"/>
        <w:ind w:firstLine="420" w:firstLineChars="200"/>
        <w:rPr>
          <w:szCs w:val="21"/>
        </w:rPr>
      </w:pPr>
      <w:r>
        <w:rPr>
          <w:szCs w:val="21"/>
        </w:rPr>
        <w:t>2</w:t>
      </w:r>
      <w:r>
        <w:rPr>
          <w:rFonts w:hint="eastAsia"/>
          <w:szCs w:val="21"/>
        </w:rPr>
        <w:t>．基金管理人应向基金托管人提供书面授权文件，内容包括被授权人名单、预留印鉴及被授权人签字样本，授权文件应注明被授权人相应的权限。</w:t>
      </w:r>
    </w:p>
    <w:p>
      <w:pPr>
        <w:spacing w:line="360" w:lineRule="auto"/>
        <w:ind w:firstLine="420" w:firstLineChars="200"/>
        <w:rPr>
          <w:szCs w:val="21"/>
        </w:rPr>
      </w:pPr>
      <w:r>
        <w:rPr>
          <w:szCs w:val="21"/>
        </w:rPr>
        <w:t>3</w:t>
      </w:r>
      <w:r>
        <w:rPr>
          <w:rFonts w:hint="eastAsia"/>
          <w:szCs w:val="21"/>
        </w:rPr>
        <w:t>．基金托管人在收到授权文件原件并经电话确认后，授权文件即生效。如果授权文件中载明具体生效时间的，该生效时间不得早于基金托管人收到授权文件并经电话确认的时点。如早于前述时间，则以基金托管人收到授权文件并经电话确认的时点为授权文件的生效时间。</w:t>
      </w:r>
    </w:p>
    <w:p>
      <w:pPr>
        <w:spacing w:line="360" w:lineRule="auto"/>
        <w:ind w:firstLine="420" w:firstLineChars="200"/>
        <w:rPr>
          <w:szCs w:val="21"/>
        </w:rPr>
      </w:pPr>
      <w:r>
        <w:rPr>
          <w:szCs w:val="21"/>
        </w:rPr>
        <w:t>4</w:t>
      </w:r>
      <w:r>
        <w:rPr>
          <w:rFonts w:hint="eastAsia"/>
          <w:szCs w:val="21"/>
        </w:rPr>
        <w:t>．基金管理人和基金托管人对授权文件负有保密义务，其内容不得向被授权人及相关操作人员以外的任何人泄露。但法律法规规定或有权机关要求的除外。</w:t>
      </w:r>
    </w:p>
    <w:p>
      <w:pPr>
        <w:spacing w:line="360" w:lineRule="auto"/>
        <w:ind w:firstLine="420" w:firstLineChars="200"/>
        <w:rPr>
          <w:szCs w:val="21"/>
        </w:rPr>
      </w:pPr>
      <w:r>
        <w:rPr>
          <w:rFonts w:hint="eastAsia"/>
          <w:szCs w:val="21"/>
        </w:rPr>
        <w:t>（二）指令的内容</w:t>
      </w:r>
    </w:p>
    <w:p>
      <w:pPr>
        <w:spacing w:line="360" w:lineRule="auto"/>
        <w:ind w:firstLine="420" w:firstLineChars="200"/>
        <w:rPr>
          <w:szCs w:val="21"/>
        </w:rPr>
      </w:pPr>
      <w:r>
        <w:rPr>
          <w:szCs w:val="21"/>
        </w:rPr>
        <w:t>1</w:t>
      </w:r>
      <w:r>
        <w:rPr>
          <w:rFonts w:hint="eastAsia"/>
          <w:szCs w:val="21"/>
        </w:rPr>
        <w:t>．指令包括付款指令以及其他资金划拨指令等。</w:t>
      </w:r>
    </w:p>
    <w:p>
      <w:pPr>
        <w:spacing w:line="360" w:lineRule="auto"/>
        <w:ind w:firstLine="420" w:firstLineChars="200"/>
        <w:rPr>
          <w:szCs w:val="21"/>
        </w:rPr>
      </w:pPr>
      <w:r>
        <w:rPr>
          <w:szCs w:val="21"/>
        </w:rPr>
        <w:t>2</w:t>
      </w:r>
      <w:r>
        <w:rPr>
          <w:rFonts w:hint="eastAsia"/>
          <w:szCs w:val="21"/>
        </w:rPr>
        <w:t>．基金管理人发给基金托管人的指令应写明款项事由、支付时间、到账时间、金额、账户等，加盖预留印鉴并由被授权人签字。</w:t>
      </w:r>
    </w:p>
    <w:p>
      <w:pPr>
        <w:spacing w:line="360" w:lineRule="auto"/>
        <w:ind w:firstLine="420" w:firstLineChars="200"/>
        <w:rPr>
          <w:szCs w:val="21"/>
        </w:rPr>
      </w:pPr>
      <w:r>
        <w:rPr>
          <w:rFonts w:hint="eastAsia"/>
          <w:szCs w:val="21"/>
        </w:rPr>
        <w:t>（三）指令的发送、确认及执行的时间和程序</w:t>
      </w:r>
    </w:p>
    <w:p>
      <w:pPr>
        <w:spacing w:line="360" w:lineRule="auto"/>
        <w:ind w:firstLine="420" w:firstLineChars="200"/>
        <w:rPr>
          <w:szCs w:val="21"/>
        </w:rPr>
      </w:pPr>
      <w:r>
        <w:rPr>
          <w:szCs w:val="21"/>
        </w:rPr>
        <w:t>1</w:t>
      </w:r>
      <w:r>
        <w:rPr>
          <w:rFonts w:hint="eastAsia"/>
          <w:szCs w:val="21"/>
        </w:rPr>
        <w:t>．指令的发送</w:t>
      </w:r>
    </w:p>
    <w:p>
      <w:pPr>
        <w:spacing w:line="360" w:lineRule="auto"/>
        <w:ind w:firstLine="420" w:firstLineChars="200"/>
        <w:rPr>
          <w:szCs w:val="21"/>
        </w:rPr>
      </w:pPr>
      <w:r>
        <w:rPr>
          <w:rFonts w:hint="eastAsia"/>
          <w:szCs w:val="21"/>
        </w:rPr>
        <w:t>基金管理人发送指令应采用传真方式或基金管理人和</w:t>
      </w:r>
      <w:r>
        <w:rPr>
          <w:szCs w:val="21"/>
        </w:rPr>
        <w:t>基金托管人</w:t>
      </w:r>
      <w:r>
        <w:rPr>
          <w:rFonts w:hint="eastAsia"/>
          <w:szCs w:val="21"/>
        </w:rPr>
        <w:t>双方协商一致共同确认的其他方式。</w:t>
      </w:r>
    </w:p>
    <w:p>
      <w:pPr>
        <w:spacing w:line="360" w:lineRule="auto"/>
        <w:ind w:firstLine="420" w:firstLineChars="200"/>
        <w:rPr>
          <w:szCs w:val="21"/>
        </w:rPr>
      </w:pPr>
      <w:r>
        <w:rPr>
          <w:rFonts w:hint="eastAsia"/>
          <w:szCs w:val="21"/>
        </w:rPr>
        <w:t>基金管理人应按照法律法规和基金合同的规定，在其合法的经营权限和交易权限内发送指令；被授权人应严格按照其授权权限发送指令。对于被授权人依约定程序发出的指令，基金管理人不得否认其效力。但如果基金管理人已经撤销或更改对交易指令发送人员的授权，并且基金托管人根据本托管协议确认后，则对于此后该交易指令发送人员无权发送的指令，或超权限发送的指令，基金管理人不承担责任，授权已更改但未经基金托管人确认的情况除外。</w:t>
      </w:r>
    </w:p>
    <w:p>
      <w:pPr>
        <w:spacing w:line="360" w:lineRule="auto"/>
        <w:ind w:firstLine="420" w:firstLineChars="200"/>
        <w:rPr>
          <w:szCs w:val="21"/>
        </w:rPr>
      </w:pPr>
      <w:r>
        <w:rPr>
          <w:rFonts w:hint="eastAsia"/>
          <w:szCs w:val="21"/>
        </w:rPr>
        <w:t>指令发出后，基金管理人应及时以电话方式向基金托管人确认。</w:t>
      </w:r>
    </w:p>
    <w:p>
      <w:pPr>
        <w:spacing w:line="360" w:lineRule="auto"/>
        <w:ind w:firstLine="420" w:firstLineChars="200"/>
        <w:rPr>
          <w:szCs w:val="21"/>
        </w:rPr>
      </w:pPr>
      <w:r>
        <w:rPr>
          <w:rFonts w:hint="eastAsia"/>
          <w:szCs w:val="21"/>
        </w:rPr>
        <w:t>基金管理人应在交易结束后将银行间同业市场债券交易成交单加盖</w:t>
      </w:r>
      <w:r>
        <w:rPr>
          <w:rFonts w:hint="eastAsia" w:ascii="宋体" w:hAnsi="宋体"/>
          <w:szCs w:val="21"/>
        </w:rPr>
        <w:t>预留印鉴</w:t>
      </w:r>
      <w:r>
        <w:rPr>
          <w:rFonts w:hint="eastAsia"/>
          <w:szCs w:val="21"/>
        </w:rPr>
        <w:t>及时传真给基金托管人，并电话确认。如果银行间簿记系统已经生成的交易需要取消或终止，基金管理人要书面通知基金托管人。</w:t>
      </w:r>
    </w:p>
    <w:p>
      <w:pPr>
        <w:spacing w:line="360" w:lineRule="auto"/>
        <w:ind w:firstLine="420" w:firstLineChars="200"/>
        <w:rPr>
          <w:szCs w:val="21"/>
        </w:rPr>
      </w:pPr>
      <w:r>
        <w:rPr>
          <w:rFonts w:hint="eastAsia"/>
          <w:szCs w:val="21"/>
        </w:rPr>
        <w:t>银行间交易结算方式采用券款对付的，托管账户与该产品在登记结算机构开立的DVP资金账户之间的资金调拨，除了登记结算机构系统自动将DVP资金账户资金退回至托管账户的之外，应当由基金管理人出具资金划款指令，基金托管人审核无误后执行。由于基金管理人未及时出具指令导致该产品在基金托管账户的头寸不足或者DVP资金账户头寸不足导致的损失，基金托管人不承担责任。</w:t>
      </w:r>
    </w:p>
    <w:p>
      <w:pPr>
        <w:spacing w:line="360" w:lineRule="auto"/>
        <w:ind w:firstLine="420" w:firstLineChars="200"/>
        <w:rPr>
          <w:szCs w:val="21"/>
        </w:rPr>
      </w:pPr>
      <w:r>
        <w:rPr>
          <w:rFonts w:hint="eastAsia"/>
          <w:szCs w:val="21"/>
        </w:rPr>
        <w:t>基金管理人应向基金托管人发送指令并确认。对于要求当天到账的指令，必须在当天</w:t>
      </w:r>
      <w:r>
        <w:rPr>
          <w:szCs w:val="21"/>
        </w:rPr>
        <w:t>15</w:t>
      </w:r>
      <w:r>
        <w:rPr>
          <w:rFonts w:hint="eastAsia"/>
          <w:szCs w:val="21"/>
        </w:rPr>
        <w:t>：0</w:t>
      </w:r>
      <w:r>
        <w:rPr>
          <w:szCs w:val="21"/>
        </w:rPr>
        <w:t>0</w:t>
      </w:r>
      <w:r>
        <w:rPr>
          <w:rFonts w:hint="eastAsia"/>
          <w:szCs w:val="21"/>
        </w:rPr>
        <w:t>前向基金托管人发送，</w:t>
      </w:r>
      <w:r>
        <w:rPr>
          <w:szCs w:val="21"/>
        </w:rPr>
        <w:t>15</w:t>
      </w:r>
      <w:r>
        <w:rPr>
          <w:rFonts w:hint="eastAsia"/>
          <w:szCs w:val="21"/>
        </w:rPr>
        <w:t>：0</w:t>
      </w:r>
      <w:r>
        <w:rPr>
          <w:szCs w:val="21"/>
        </w:rPr>
        <w:t>0</w:t>
      </w:r>
      <w:r>
        <w:rPr>
          <w:rFonts w:hint="eastAsia"/>
          <w:szCs w:val="21"/>
        </w:rPr>
        <w:t>之后发送的，基金托管人尽力执行，但不能保证划账成功。如果要求当天某一时点到账的指令，则指令需要提前</w:t>
      </w:r>
      <w:r>
        <w:rPr>
          <w:szCs w:val="21"/>
        </w:rPr>
        <w:t>2</w:t>
      </w:r>
      <w:r>
        <w:rPr>
          <w:rFonts w:hint="eastAsia"/>
          <w:szCs w:val="21"/>
        </w:rPr>
        <w:t>个工作小时发送，并相关付款条件已经具备。由于基金管理人原因导致的指令传输不及时、未能留出足够的划款时间，致使资金未能及时到账所造成的损失由基金管理人承担。由于基金托管人原因导致资金未能及时到账所造成的损失由基金托管人承担。</w:t>
      </w:r>
    </w:p>
    <w:p>
      <w:pPr>
        <w:spacing w:line="360" w:lineRule="auto"/>
        <w:ind w:firstLine="420" w:firstLineChars="200"/>
        <w:rPr>
          <w:szCs w:val="21"/>
        </w:rPr>
      </w:pPr>
      <w:r>
        <w:rPr>
          <w:szCs w:val="21"/>
        </w:rPr>
        <w:t>2</w:t>
      </w:r>
      <w:r>
        <w:rPr>
          <w:rFonts w:hint="eastAsia"/>
          <w:szCs w:val="21"/>
        </w:rPr>
        <w:t>．指令的确认</w:t>
      </w:r>
    </w:p>
    <w:p>
      <w:pPr>
        <w:spacing w:line="360" w:lineRule="auto"/>
        <w:ind w:firstLine="420" w:firstLineChars="200"/>
        <w:rPr>
          <w:szCs w:val="21"/>
        </w:rPr>
      </w:pPr>
      <w:r>
        <w:rPr>
          <w:rFonts w:hint="eastAsia"/>
          <w:szCs w:val="21"/>
        </w:rPr>
        <w:t>基金托管人应指定专人接收基金管理人的指令，预先通知基金管理人其名单，并与基金管理人商定指令发送和接收方式。指令到达基金托管人后，基金托管人应指定专人立即审慎验证有关内容及印鉴和</w:t>
      </w:r>
      <w:r>
        <w:rPr>
          <w:szCs w:val="21"/>
        </w:rPr>
        <w:t>签名</w:t>
      </w:r>
      <w:r>
        <w:rPr>
          <w:rFonts w:hint="eastAsia"/>
          <w:szCs w:val="21"/>
        </w:rPr>
        <w:t>，如有疑问必须及时通知基金管理人。</w:t>
      </w:r>
    </w:p>
    <w:p>
      <w:pPr>
        <w:spacing w:line="360" w:lineRule="auto"/>
        <w:ind w:firstLine="420" w:firstLineChars="200"/>
        <w:rPr>
          <w:szCs w:val="21"/>
        </w:rPr>
      </w:pPr>
      <w:r>
        <w:rPr>
          <w:szCs w:val="21"/>
        </w:rPr>
        <w:t>3</w:t>
      </w:r>
      <w:r>
        <w:rPr>
          <w:rFonts w:hint="eastAsia"/>
          <w:szCs w:val="21"/>
        </w:rPr>
        <w:t>．指令的时间和执行</w:t>
      </w:r>
    </w:p>
    <w:p>
      <w:pPr>
        <w:spacing w:line="360" w:lineRule="auto"/>
        <w:ind w:firstLine="420" w:firstLineChars="200"/>
        <w:rPr>
          <w:szCs w:val="21"/>
        </w:rPr>
      </w:pPr>
      <w:r>
        <w:rPr>
          <w:rFonts w:hint="eastAsia"/>
          <w:szCs w:val="21"/>
        </w:rPr>
        <w:t>基金托管人对指令验证后，应及时办理。指令执行完毕后，基金托管人应及时通知基金管理人。</w:t>
      </w:r>
    </w:p>
    <w:p>
      <w:pPr>
        <w:spacing w:line="360" w:lineRule="auto"/>
        <w:ind w:firstLine="420" w:firstLineChars="200"/>
        <w:rPr>
          <w:szCs w:val="21"/>
        </w:rPr>
      </w:pPr>
      <w:r>
        <w:rPr>
          <w:rFonts w:hint="eastAsia"/>
          <w:szCs w:val="21"/>
        </w:rPr>
        <w:t>基金管理人向基金托管人下达指令时，应确保托管资金专门账户有足够的资金余额，对基金管理人在没有充足资金的情况下向基金托管人发出的指令，基金托管人可不予执行，但应立即通知基金管理人，由基金管理人审核、查明原因。基金托管人不承担因未执行该指令造成损失的责任。</w:t>
      </w:r>
    </w:p>
    <w:p>
      <w:pPr>
        <w:spacing w:line="360" w:lineRule="auto"/>
        <w:ind w:firstLine="420" w:firstLineChars="200"/>
        <w:rPr>
          <w:szCs w:val="21"/>
        </w:rPr>
      </w:pPr>
      <w:r>
        <w:rPr>
          <w:rFonts w:hint="eastAsia"/>
          <w:szCs w:val="21"/>
        </w:rPr>
        <w:t>（四）基金管理人发送错误指令的情形和处理程序</w:t>
      </w:r>
    </w:p>
    <w:p>
      <w:pPr>
        <w:spacing w:line="360" w:lineRule="auto"/>
        <w:ind w:firstLine="420" w:firstLineChars="200"/>
        <w:rPr>
          <w:szCs w:val="21"/>
        </w:rPr>
      </w:pPr>
      <w:r>
        <w:rPr>
          <w:rFonts w:hint="eastAsia"/>
          <w:szCs w:val="21"/>
        </w:rPr>
        <w:t>基金管理人发送错误指令的情形包括指令发送人员无权或超越权限发送指令及交割信息错误，指令中重要信息模糊不清或不全等。</w:t>
      </w:r>
    </w:p>
    <w:p>
      <w:pPr>
        <w:spacing w:line="360" w:lineRule="auto"/>
        <w:ind w:firstLine="420" w:firstLineChars="200"/>
        <w:rPr>
          <w:szCs w:val="21"/>
        </w:rPr>
      </w:pPr>
      <w:r>
        <w:rPr>
          <w:rFonts w:hint="eastAsia"/>
          <w:szCs w:val="21"/>
        </w:rPr>
        <w:t>基金托管人在履行监督职能时，发现基金管理人的指令错误时，有权拒绝执行，并及时通知基金管理人改正。如需撤销指令，基金管理人应出具书面说明，并加盖业务用章。</w:t>
      </w:r>
    </w:p>
    <w:p>
      <w:pPr>
        <w:spacing w:line="360" w:lineRule="auto"/>
        <w:ind w:firstLine="420" w:firstLineChars="200"/>
        <w:rPr>
          <w:szCs w:val="21"/>
        </w:rPr>
      </w:pPr>
      <w:r>
        <w:rPr>
          <w:rFonts w:hint="eastAsia"/>
          <w:szCs w:val="21"/>
        </w:rPr>
        <w:t>（五）基金托管人依照法律法规暂缓、拒绝执行指令的情形和处理程序</w:t>
      </w:r>
    </w:p>
    <w:p>
      <w:pPr>
        <w:spacing w:line="360" w:lineRule="auto"/>
        <w:ind w:firstLine="420" w:firstLineChars="200"/>
        <w:rPr>
          <w:szCs w:val="21"/>
        </w:rPr>
      </w:pPr>
      <w:r>
        <w:rPr>
          <w:rFonts w:hint="eastAsia"/>
          <w:szCs w:val="21"/>
        </w:rPr>
        <w:t>若基金托管人发现基金管理人的指令违反法律法规，或者违反基金合同约定的，应当视情况暂缓或拒绝执行，并立即通知基金管理人。基金管理人收到通知后应及时核对，并与基金托管人联系确认，由此造成基金财产或基金份额持有人的损失由基金管理人承担。</w:t>
      </w:r>
    </w:p>
    <w:p>
      <w:pPr>
        <w:spacing w:line="360" w:lineRule="auto"/>
        <w:ind w:firstLine="420" w:firstLineChars="200"/>
        <w:rPr>
          <w:szCs w:val="21"/>
        </w:rPr>
      </w:pPr>
      <w:r>
        <w:rPr>
          <w:rFonts w:hint="eastAsia"/>
          <w:szCs w:val="21"/>
        </w:rPr>
        <w:t>（六）基金托管人未按照基金管理人指令执行的处理方法</w:t>
      </w:r>
    </w:p>
    <w:p>
      <w:pPr>
        <w:spacing w:line="360" w:lineRule="auto"/>
        <w:ind w:firstLine="420" w:firstLineChars="200"/>
        <w:rPr>
          <w:szCs w:val="21"/>
        </w:rPr>
      </w:pPr>
      <w:r>
        <w:rPr>
          <w:rFonts w:hint="eastAsia"/>
          <w:szCs w:val="21"/>
        </w:rPr>
        <w:t>基金托管人由于自身原因，未按照基金管理人发送的有效资金划拨指令执行并对基金管理人</w:t>
      </w:r>
      <w:r>
        <w:rPr>
          <w:szCs w:val="21"/>
        </w:rPr>
        <w:t>、</w:t>
      </w:r>
      <w:r>
        <w:rPr>
          <w:rFonts w:hint="eastAsia"/>
          <w:szCs w:val="21"/>
        </w:rPr>
        <w:t>基金财产或投资人造成的直接损失，由基金托管人赔偿由此造成的直接损失。</w:t>
      </w:r>
    </w:p>
    <w:p>
      <w:pPr>
        <w:spacing w:line="360" w:lineRule="auto"/>
        <w:ind w:firstLine="420" w:firstLineChars="200"/>
        <w:rPr>
          <w:szCs w:val="21"/>
        </w:rPr>
      </w:pPr>
      <w:r>
        <w:rPr>
          <w:rFonts w:hint="eastAsia"/>
          <w:szCs w:val="21"/>
        </w:rPr>
        <w:t>（七）更换被授权人的程序</w:t>
      </w:r>
    </w:p>
    <w:p>
      <w:pPr>
        <w:spacing w:line="360" w:lineRule="auto"/>
        <w:ind w:firstLine="420" w:firstLineChars="200"/>
        <w:rPr>
          <w:szCs w:val="21"/>
        </w:rPr>
      </w:pPr>
      <w:r>
        <w:rPr>
          <w:rFonts w:hint="eastAsia"/>
          <w:szCs w:val="21"/>
        </w:rPr>
        <w:t>基金管理人更换被授权人、更改或终止对被授权人的授权，应立即将新的授权文件以传真方式通知基金托管人，并经电话确认后生效，原授权文件同时废止。新的授权文件在传真发出后七个工作日内送达文件正本。新的授权文件生效之后，正本送达之前，基金托管人按照新的授权文件传真件内容执行有关业务，如果新的授权文件正本与传真件内容不同，应以传真件为准，由此产生的责任由基金管理人承担。基金托管人更换接受基金管理人指令的人员，应提前以</w:t>
      </w:r>
      <w:r>
        <w:rPr>
          <w:szCs w:val="21"/>
        </w:rPr>
        <w:t>邮件方式通知基金管理人，并</w:t>
      </w:r>
      <w:r>
        <w:rPr>
          <w:rFonts w:hint="eastAsia"/>
          <w:szCs w:val="21"/>
        </w:rPr>
        <w:t>通过录音电话确认。</w:t>
      </w:r>
    </w:p>
    <w:p>
      <w:pPr>
        <w:spacing w:line="360" w:lineRule="auto"/>
        <w:ind w:firstLine="420" w:firstLineChars="200"/>
        <w:rPr>
          <w:szCs w:val="21"/>
        </w:rPr>
      </w:pPr>
      <w:r>
        <w:rPr>
          <w:rFonts w:hint="eastAsia"/>
          <w:szCs w:val="21"/>
        </w:rPr>
        <w:t>（八）其他事项</w:t>
      </w:r>
    </w:p>
    <w:p>
      <w:pPr>
        <w:spacing w:line="360" w:lineRule="auto"/>
        <w:ind w:firstLine="420" w:firstLineChars="200"/>
        <w:rPr>
          <w:szCs w:val="21"/>
        </w:rPr>
      </w:pPr>
      <w:r>
        <w:rPr>
          <w:rFonts w:hint="eastAsia"/>
          <w:szCs w:val="21"/>
        </w:rPr>
        <w:t>基金托管人在接收指令时，应对指令的要素是否齐全、印鉴与被授权人是否与预留的授权文件内容相符进行检查，如发现问题，应及时报告基金管理人，基金托管人对执行基金管理人的合法指令对基金财产造成的损失不承担赔偿责任。</w:t>
      </w:r>
    </w:p>
    <w:p>
      <w:pPr>
        <w:spacing w:line="360" w:lineRule="auto"/>
        <w:ind w:firstLine="420" w:firstLineChars="200"/>
        <w:rPr>
          <w:szCs w:val="21"/>
        </w:rPr>
      </w:pPr>
      <w:r>
        <w:rPr>
          <w:rFonts w:hint="eastAsia"/>
          <w:szCs w:val="21"/>
        </w:rPr>
        <w:t>基金参与认购未上市债券时，基金管理人应代表本基金与对手方签署相关合同或协议，明确约定债券过户具体事宜。否则，基金管理人需对所认购债券的过户事宜承担相应责任。</w:t>
      </w:r>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69" w:name="_Toc125361079"/>
      <w:bookmarkStart w:id="70" w:name="_Toc48703903"/>
      <w:bookmarkStart w:id="71" w:name="_Toc123626173"/>
      <w:bookmarkStart w:id="72" w:name="_Toc411875693"/>
      <w:bookmarkStart w:id="73" w:name="_Toc124749231"/>
      <w:bookmarkStart w:id="74" w:name="_Toc290284049"/>
      <w:bookmarkStart w:id="75" w:name="_Toc283383020"/>
      <w:bookmarkStart w:id="76" w:name="_Toc124749942"/>
      <w:bookmarkStart w:id="77" w:name="_Toc22454451"/>
      <w:bookmarkStart w:id="78" w:name="_Toc523829997"/>
      <w:bookmarkStart w:id="79" w:name="_Toc140002342"/>
      <w:bookmarkStart w:id="80" w:name="_Toc466788856"/>
      <w:r>
        <w:rPr>
          <w:rFonts w:hint="eastAsia" w:ascii="Times New Roman" w:hAnsi="Times New Roman"/>
        </w:rPr>
        <w:t>七、交易及清算交收安排</w:t>
      </w:r>
      <w:bookmarkEnd w:id="69"/>
      <w:bookmarkEnd w:id="70"/>
      <w:bookmarkEnd w:id="71"/>
      <w:bookmarkEnd w:id="72"/>
      <w:bookmarkEnd w:id="73"/>
      <w:bookmarkEnd w:id="74"/>
      <w:bookmarkEnd w:id="75"/>
      <w:bookmarkEnd w:id="76"/>
      <w:bookmarkEnd w:id="77"/>
      <w:bookmarkEnd w:id="78"/>
      <w:bookmarkEnd w:id="79"/>
      <w:bookmarkEnd w:id="80"/>
    </w:p>
    <w:p>
      <w:pPr>
        <w:spacing w:line="360" w:lineRule="auto"/>
        <w:ind w:firstLine="420" w:firstLineChars="200"/>
        <w:rPr>
          <w:szCs w:val="21"/>
        </w:rPr>
      </w:pPr>
      <w:bookmarkStart w:id="81" w:name="_Toc123626174"/>
      <w:bookmarkStart w:id="82" w:name="_Toc124749943"/>
      <w:bookmarkStart w:id="83" w:name="_Toc124749232"/>
      <w:r>
        <w:rPr>
          <w:rFonts w:hint="eastAsia"/>
          <w:szCs w:val="21"/>
        </w:rPr>
        <w:t>（一）选择代理证券买卖的证券经营机构经纪机构</w:t>
      </w:r>
    </w:p>
    <w:p>
      <w:pPr>
        <w:spacing w:line="360" w:lineRule="auto"/>
        <w:ind w:firstLine="420" w:firstLineChars="200"/>
        <w:rPr>
          <w:szCs w:val="21"/>
        </w:rPr>
      </w:pPr>
      <w:r>
        <w:rPr>
          <w:rFonts w:hint="eastAsia"/>
          <w:szCs w:val="21"/>
        </w:rPr>
        <w:t>基金管理人应设计选择代理证券买卖的证券经营机构的标准和程序。基金管理人负责选择证券经营机构，租用其交易单元作为基金的专用交易单元。基金管理人和被选中的证券经营机构签订委托协议，基金管理人应提前通知基金托管人，</w:t>
      </w:r>
      <w:r>
        <w:rPr>
          <w:szCs w:val="21"/>
        </w:rPr>
        <w:t>并将于被选中证券经营机构签订的交易单元使用协议及时送达基金托管人，确保基金托管人申请接</w:t>
      </w:r>
      <w:r>
        <w:rPr>
          <w:rFonts w:hint="eastAsia"/>
          <w:szCs w:val="21"/>
        </w:rPr>
        <w:t>收</w:t>
      </w:r>
      <w:r>
        <w:rPr>
          <w:szCs w:val="21"/>
        </w:rPr>
        <w:t>结算数据</w:t>
      </w:r>
      <w:r>
        <w:rPr>
          <w:rFonts w:hint="eastAsia"/>
          <w:szCs w:val="21"/>
        </w:rPr>
        <w:t>。基金管理人应根据有关规定，在基金的中期报告和年度报告中将所选证券经营机构的有关情况、基金通过该证券经营机构买卖证券的成交量、回购成交量和支付的佣金等予以披露，并将该等情况及基金交易单元号、佣金费率等基本信息以及变更情况及时以书面形式通知基金托管人。</w:t>
      </w:r>
    </w:p>
    <w:p>
      <w:pPr>
        <w:spacing w:line="360" w:lineRule="auto"/>
        <w:ind w:firstLine="420" w:firstLineChars="200"/>
        <w:rPr>
          <w:szCs w:val="21"/>
        </w:rPr>
      </w:pPr>
      <w:r>
        <w:rPr>
          <w:rFonts w:hint="eastAsia"/>
          <w:szCs w:val="21"/>
        </w:rPr>
        <w:t>（二）基金投资证券后的清算交收安排</w:t>
      </w:r>
    </w:p>
    <w:p>
      <w:pPr>
        <w:spacing w:line="360" w:lineRule="auto"/>
        <w:ind w:firstLine="420" w:firstLineChars="200"/>
        <w:rPr>
          <w:szCs w:val="21"/>
        </w:rPr>
      </w:pPr>
      <w:r>
        <w:rPr>
          <w:szCs w:val="21"/>
        </w:rPr>
        <w:t>1</w:t>
      </w:r>
      <w:r>
        <w:rPr>
          <w:rFonts w:hint="eastAsia"/>
          <w:szCs w:val="21"/>
        </w:rPr>
        <w:t>．清算与交割</w:t>
      </w:r>
    </w:p>
    <w:p>
      <w:pPr>
        <w:spacing w:line="360" w:lineRule="auto"/>
        <w:ind w:firstLine="420" w:firstLineChars="200"/>
        <w:rPr>
          <w:szCs w:val="21"/>
        </w:rPr>
      </w:pPr>
      <w:r>
        <w:rPr>
          <w:rFonts w:hint="eastAsia"/>
          <w:szCs w:val="21"/>
        </w:rPr>
        <w:t>根据《中国证券登记结算有限责任公司结算备付金管理办法》，在每月前</w:t>
      </w:r>
      <w:r>
        <w:rPr>
          <w:szCs w:val="21"/>
        </w:rPr>
        <w:t>3</w:t>
      </w:r>
      <w:r>
        <w:rPr>
          <w:rFonts w:hint="eastAsia"/>
          <w:szCs w:val="21"/>
        </w:rPr>
        <w:t>个工作日内，中国证券登记结算有限责任公司对结算参与人的最低结算备付金、结算保证金限额进行重新核算、调整。基金托管人在中国证券登记结算有限责任公司调整最低结算备付金、结算保证金当日，在资金调节表中反映调整后的最低备付金和结算保证金。基金管理人应预留最低备付金和结算保证金，并根据中国证券登记结算有限责任公司确定的实际最低备付金、结算保证金数据为依据安排资金运作，调整所需的现金头寸。基金合同终止后，中登根据结算规则，调增基金的结算备付以及交易保证金，基金管理人应配合基金托管人，向基金托管人及时划付调增款项，以便基金托管人履行交收职责。</w:t>
      </w:r>
    </w:p>
    <w:p>
      <w:pPr>
        <w:spacing w:line="360" w:lineRule="auto"/>
        <w:ind w:firstLine="420" w:firstLineChars="200"/>
        <w:rPr>
          <w:szCs w:val="21"/>
        </w:rPr>
      </w:pPr>
      <w:r>
        <w:rPr>
          <w:rFonts w:hint="eastAsia"/>
          <w:szCs w:val="21"/>
        </w:rPr>
        <w:t>基金托管人负责基金买卖证券的清算交收。场内资金结算由基金托管人根据中国证券登记结算有限责任公司结算数据办理；场外资金汇划由基金托管人根据基金管理人的交易划款指令具体办理。实行场内T+0非担保交收的资金清算按照基金托管人的相关规定流程执行。</w:t>
      </w:r>
    </w:p>
    <w:p>
      <w:pPr>
        <w:spacing w:line="360" w:lineRule="auto"/>
        <w:ind w:firstLine="420" w:firstLineChars="200"/>
        <w:rPr>
          <w:szCs w:val="21"/>
        </w:rPr>
      </w:pPr>
      <w:r>
        <w:rPr>
          <w:rFonts w:hint="eastAsia"/>
          <w:szCs w:val="21"/>
        </w:rPr>
        <w:t>如果因为基金托管人自身原因在清算上造成基金财产的损失，应由基金托管人负责赔偿；如果因为基金管理人未事先通知基金托管人增加交易单元等事宜，致使基金托管人接收数据不完整，造成清算差错的责任由基金管理人承担；如果因为基金管理人未事先通知需要单独结算的交易，造成基金资产损失的由基金管理人承担；如果由于基金管理人违反市场操作规则的规定进行超买、超卖及质押券欠库等原因造成基金投资清算困难和风险的，基金托管人发现后应立即通知基金管理人，由基金管理人负责解决，由此给基金托管人、本基金和基金托管人托管的其他资产造成的直接损失由基金管理人承担。</w:t>
      </w:r>
    </w:p>
    <w:p>
      <w:pPr>
        <w:spacing w:line="360" w:lineRule="auto"/>
        <w:ind w:firstLine="420" w:firstLineChars="200"/>
        <w:rPr>
          <w:szCs w:val="21"/>
        </w:rPr>
      </w:pPr>
      <w:r>
        <w:rPr>
          <w:rFonts w:hint="eastAsia"/>
          <w:szCs w:val="21"/>
        </w:rPr>
        <w:t>基金管理人应采取合理、必要措施，确保</w:t>
      </w:r>
      <w:r>
        <w:rPr>
          <w:szCs w:val="21"/>
        </w:rPr>
        <w:t>T</w:t>
      </w:r>
      <w:r>
        <w:rPr>
          <w:rFonts w:hint="eastAsia"/>
          <w:szCs w:val="21"/>
        </w:rPr>
        <w:t>日日终有足够的资金头寸完成</w:t>
      </w:r>
      <w:r>
        <w:rPr>
          <w:szCs w:val="21"/>
        </w:rPr>
        <w:t xml:space="preserve"> T+1</w:t>
      </w:r>
      <w:r>
        <w:rPr>
          <w:rFonts w:hint="eastAsia"/>
          <w:szCs w:val="21"/>
        </w:rPr>
        <w:t>日的场内投资交易资金结算；如因基金管理人原因导致资金头寸不足，基金管理人应在</w:t>
      </w:r>
      <w:r>
        <w:rPr>
          <w:szCs w:val="21"/>
        </w:rPr>
        <w:t>T+1</w:t>
      </w:r>
      <w:r>
        <w:rPr>
          <w:rFonts w:hint="eastAsia"/>
          <w:szCs w:val="21"/>
        </w:rPr>
        <w:t>日上午11：</w:t>
      </w:r>
      <w:r>
        <w:rPr>
          <w:szCs w:val="21"/>
        </w:rPr>
        <w:t>00</w:t>
      </w:r>
      <w:r>
        <w:rPr>
          <w:rFonts w:hint="eastAsia"/>
          <w:szCs w:val="21"/>
        </w:rPr>
        <w:t>前补足透支款项，确保资金清算。根据中国证券登记结算有限责任公司结算规定，基金管理人在进行融资回购业务时，用于融资回购的债券将作为偿还融资回购到期购回款的质押券。如因基金管理人原因造成债券回购交收违约，导致中国证券登记结算有限责任公司对质押券进行处置造成的投资风险和损失由基金管理人承担。</w:t>
      </w:r>
    </w:p>
    <w:p>
      <w:pPr>
        <w:spacing w:line="360" w:lineRule="auto"/>
        <w:ind w:firstLine="420" w:firstLineChars="200"/>
        <w:rPr>
          <w:szCs w:val="21"/>
        </w:rPr>
      </w:pPr>
      <w:r>
        <w:rPr>
          <w:rFonts w:hint="eastAsia"/>
          <w:szCs w:val="21"/>
        </w:rPr>
        <w:t>如果由于基金管理人的原因导致基金托管人发生证券资金交收违约行为，基金托管人有权在电话通知基金管理人后，在中登公司规定的时点前报告该公司，申报基金管理人交易的证券及/或资金暂不交付。违约交收的证券或资金、利息及违约罚金等在规定的时间内得以补足的，中登公司向基金托管人交付相应的证券或资金。否则，中登公司将处分相应的证券或资金用以弥补交收违约及违约罚金等，不足部分中登公司依法继续追偿。</w:t>
      </w:r>
    </w:p>
    <w:p>
      <w:pPr>
        <w:spacing w:line="360" w:lineRule="auto"/>
        <w:ind w:firstLine="420" w:firstLineChars="200"/>
        <w:rPr>
          <w:szCs w:val="21"/>
        </w:rPr>
      </w:pPr>
      <w:r>
        <w:rPr>
          <w:rFonts w:hint="eastAsia"/>
          <w:szCs w:val="21"/>
        </w:rPr>
        <w:t>基金管理人应保证基金托管人在执行基金管理人发送的划款指令时，基金资金账户或</w:t>
      </w:r>
      <w:r>
        <w:rPr>
          <w:szCs w:val="21"/>
        </w:rPr>
        <w:t>资金交收账户</w:t>
      </w:r>
      <w:r>
        <w:rPr>
          <w:rFonts w:hint="eastAsia"/>
          <w:szCs w:val="21"/>
        </w:rPr>
        <w:t>（除登记公司收保或冻结资金外）上有充足的资金。基金的资金头寸不足时，基金托管人有权拒绝基金管理人发送的划款指令，但应及时通知基金管理人。基金管理人在发送划款指令时应充分考虑基金托管人的划款处理时间。在基金资金头寸充足的情况下，基金托管人对基金管理人符合法律法规、基金合同、本托管协议的指令不得拖延或拒绝执行。</w:t>
      </w:r>
    </w:p>
    <w:p>
      <w:pPr>
        <w:spacing w:line="360" w:lineRule="auto"/>
        <w:ind w:firstLine="420" w:firstLineChars="200"/>
        <w:rPr>
          <w:szCs w:val="21"/>
        </w:rPr>
      </w:pPr>
      <w:r>
        <w:rPr>
          <w:szCs w:val="21"/>
        </w:rPr>
        <w:t>2</w:t>
      </w:r>
      <w:r>
        <w:rPr>
          <w:rFonts w:hint="eastAsia"/>
          <w:szCs w:val="21"/>
        </w:rPr>
        <w:t>．交易记录、资金和证券账目核对的时间和方式</w:t>
      </w:r>
    </w:p>
    <w:p>
      <w:pPr>
        <w:spacing w:line="360" w:lineRule="auto"/>
        <w:ind w:firstLine="420" w:firstLineChars="200"/>
        <w:rPr>
          <w:szCs w:val="21"/>
        </w:rPr>
      </w:pPr>
      <w:r>
        <w:rPr>
          <w:rFonts w:hint="eastAsia"/>
          <w:szCs w:val="21"/>
        </w:rPr>
        <w:t>（</w:t>
      </w:r>
      <w:r>
        <w:rPr>
          <w:szCs w:val="21"/>
        </w:rPr>
        <w:t>1</w:t>
      </w:r>
      <w:r>
        <w:rPr>
          <w:rFonts w:hint="eastAsia"/>
          <w:szCs w:val="21"/>
        </w:rPr>
        <w:t>）交易记录的核对</w:t>
      </w:r>
    </w:p>
    <w:p>
      <w:pPr>
        <w:spacing w:line="360" w:lineRule="auto"/>
        <w:ind w:firstLine="420" w:firstLineChars="200"/>
        <w:rPr>
          <w:szCs w:val="21"/>
        </w:rPr>
      </w:pPr>
      <w:r>
        <w:rPr>
          <w:rFonts w:hint="eastAsia"/>
          <w:szCs w:val="21"/>
        </w:rPr>
        <w:t>基金管理人、基金托管人按日进行交易记录的核对。对外披露净值之前，必须保证当天所有实际交易记录与基金会计账簿上的交易记录完全一致。如果实际交易记录与会计账簿记录不一致，造成基金会计核算不完整或不真实，由此导致的损失由责任方承担。</w:t>
      </w:r>
    </w:p>
    <w:p>
      <w:pPr>
        <w:spacing w:line="360" w:lineRule="auto"/>
        <w:ind w:firstLine="420" w:firstLineChars="200"/>
        <w:rPr>
          <w:szCs w:val="21"/>
        </w:rPr>
      </w:pPr>
      <w:r>
        <w:rPr>
          <w:rFonts w:hint="eastAsia"/>
          <w:szCs w:val="21"/>
        </w:rPr>
        <w:t>（</w:t>
      </w:r>
      <w:r>
        <w:rPr>
          <w:szCs w:val="21"/>
        </w:rPr>
        <w:t>2</w:t>
      </w:r>
      <w:r>
        <w:rPr>
          <w:rFonts w:hint="eastAsia"/>
          <w:szCs w:val="21"/>
        </w:rPr>
        <w:t>）资金账目的核对</w:t>
      </w:r>
    </w:p>
    <w:p>
      <w:pPr>
        <w:spacing w:line="360" w:lineRule="auto"/>
        <w:ind w:firstLine="420" w:firstLineChars="200"/>
        <w:rPr>
          <w:szCs w:val="21"/>
        </w:rPr>
      </w:pPr>
      <w:r>
        <w:rPr>
          <w:rFonts w:hint="eastAsia"/>
          <w:szCs w:val="21"/>
        </w:rPr>
        <w:t>资金账目由</w:t>
      </w:r>
      <w:r>
        <w:rPr>
          <w:szCs w:val="21"/>
        </w:rPr>
        <w:t>基金管理人与基金托管人</w:t>
      </w:r>
      <w:r>
        <w:rPr>
          <w:rFonts w:hint="eastAsia"/>
          <w:szCs w:val="21"/>
        </w:rPr>
        <w:t>按日核实。</w:t>
      </w:r>
    </w:p>
    <w:p>
      <w:pPr>
        <w:spacing w:line="360" w:lineRule="auto"/>
        <w:ind w:firstLine="420" w:firstLineChars="200"/>
        <w:rPr>
          <w:szCs w:val="21"/>
        </w:rPr>
      </w:pPr>
      <w:r>
        <w:rPr>
          <w:rFonts w:hint="eastAsia"/>
          <w:szCs w:val="21"/>
        </w:rPr>
        <w:t>（</w:t>
      </w:r>
      <w:r>
        <w:rPr>
          <w:szCs w:val="21"/>
        </w:rPr>
        <w:t>3</w:t>
      </w:r>
      <w:r>
        <w:rPr>
          <w:rFonts w:hint="eastAsia"/>
          <w:szCs w:val="21"/>
        </w:rPr>
        <w:t>）证券账目的核对</w:t>
      </w:r>
    </w:p>
    <w:p>
      <w:pPr>
        <w:spacing w:line="360" w:lineRule="auto"/>
        <w:ind w:firstLine="420" w:firstLineChars="200"/>
        <w:rPr>
          <w:szCs w:val="21"/>
        </w:rPr>
      </w:pPr>
      <w:r>
        <w:rPr>
          <w:rFonts w:hint="eastAsia"/>
          <w:szCs w:val="21"/>
        </w:rPr>
        <w:t>基金管理人和基金托管人</w:t>
      </w:r>
      <w:r>
        <w:rPr>
          <w:rFonts w:hint="eastAsia" w:ascii="宋体" w:hAnsi="宋体"/>
          <w:szCs w:val="21"/>
        </w:rPr>
        <w:t>每交易日结束后</w:t>
      </w:r>
      <w:r>
        <w:rPr>
          <w:rFonts w:hint="eastAsia"/>
          <w:szCs w:val="21"/>
        </w:rPr>
        <w:t>核对基金证券账目，确保双方账目相符。</w:t>
      </w:r>
      <w:r>
        <w:rPr>
          <w:rFonts w:hint="eastAsia" w:ascii="宋体" w:hAnsi="宋体"/>
          <w:szCs w:val="21"/>
        </w:rPr>
        <w:t>基金管理人和基金托管人每月月末核对实物证券账目。</w:t>
      </w:r>
    </w:p>
    <w:p>
      <w:pPr>
        <w:spacing w:line="360" w:lineRule="auto"/>
        <w:ind w:firstLine="420" w:firstLineChars="200"/>
        <w:rPr>
          <w:szCs w:val="21"/>
        </w:rPr>
      </w:pPr>
      <w:r>
        <w:rPr>
          <w:rFonts w:hint="eastAsia"/>
          <w:szCs w:val="21"/>
        </w:rPr>
        <w:t>（三）基金申购和赎回业务处理的基本规定</w:t>
      </w:r>
    </w:p>
    <w:p>
      <w:pPr>
        <w:spacing w:line="360" w:lineRule="auto"/>
        <w:ind w:firstLine="420" w:firstLineChars="200"/>
        <w:rPr>
          <w:szCs w:val="21"/>
        </w:rPr>
      </w:pPr>
      <w:r>
        <w:rPr>
          <w:szCs w:val="21"/>
        </w:rPr>
        <w:t>1</w:t>
      </w:r>
      <w:r>
        <w:rPr>
          <w:rFonts w:hint="eastAsia"/>
          <w:szCs w:val="21"/>
        </w:rPr>
        <w:t>．基金份额申购、赎回的确认、清算由基金管理人或其委托的登记机构负责。</w:t>
      </w:r>
    </w:p>
    <w:p>
      <w:pPr>
        <w:spacing w:line="360" w:lineRule="auto"/>
        <w:ind w:firstLine="420" w:firstLineChars="200"/>
        <w:rPr>
          <w:szCs w:val="21"/>
        </w:rPr>
      </w:pPr>
      <w:r>
        <w:rPr>
          <w:szCs w:val="21"/>
        </w:rPr>
        <w:t>2</w:t>
      </w:r>
      <w:r>
        <w:rPr>
          <w:rFonts w:hint="eastAsia"/>
          <w:szCs w:val="21"/>
        </w:rPr>
        <w:t>．基金管理人应将每个开放日的申购、赎回、转换开放式基金的数据传送给基金托管人。基金管理人应对传递的申购、赎回、转换开放式基金的数据真实性负责。基金托管人应及时查收申购及转入资金的到账情况并根据基金管理人指令及时划付赎回及转出款项。</w:t>
      </w:r>
    </w:p>
    <w:p>
      <w:pPr>
        <w:spacing w:line="360" w:lineRule="auto"/>
        <w:ind w:firstLine="420" w:firstLineChars="200"/>
        <w:rPr>
          <w:szCs w:val="21"/>
        </w:rPr>
      </w:pPr>
      <w:r>
        <w:rPr>
          <w:szCs w:val="21"/>
        </w:rPr>
        <w:t>3</w:t>
      </w:r>
      <w:r>
        <w:rPr>
          <w:rFonts w:hint="eastAsia"/>
          <w:szCs w:val="21"/>
        </w:rPr>
        <w:t>．基金管理人应保证本基金（或本基金管理人委托）的登记机构每个工作日</w:t>
      </w:r>
      <w:r>
        <w:rPr>
          <w:szCs w:val="21"/>
        </w:rPr>
        <w:t>15</w:t>
      </w:r>
      <w:r>
        <w:rPr>
          <w:rFonts w:hint="eastAsia"/>
          <w:szCs w:val="21"/>
        </w:rPr>
        <w:t>：</w:t>
      </w:r>
      <w:r>
        <w:rPr>
          <w:szCs w:val="21"/>
        </w:rPr>
        <w:t>00</w:t>
      </w:r>
      <w:r>
        <w:rPr>
          <w:rFonts w:hint="eastAsia"/>
          <w:szCs w:val="21"/>
        </w:rPr>
        <w:t>前以</w:t>
      </w:r>
      <w:r>
        <w:rPr>
          <w:szCs w:val="21"/>
        </w:rPr>
        <w:t>双方约定的方式</w:t>
      </w:r>
      <w:r>
        <w:rPr>
          <w:rFonts w:hint="eastAsia"/>
          <w:szCs w:val="21"/>
        </w:rPr>
        <w:t>向基金托管人发送前一开放日经确认</w:t>
      </w:r>
      <w:r>
        <w:rPr>
          <w:szCs w:val="21"/>
        </w:rPr>
        <w:t>的基金申购和赎回的数据</w:t>
      </w:r>
      <w:r>
        <w:rPr>
          <w:rFonts w:hint="eastAsia"/>
          <w:szCs w:val="21"/>
        </w:rPr>
        <w:t>，并保证相关数据的准确、完整。特殊情况</w:t>
      </w:r>
      <w:r>
        <w:rPr>
          <w:szCs w:val="21"/>
        </w:rPr>
        <w:t>时，双方协商处理。</w:t>
      </w:r>
    </w:p>
    <w:p>
      <w:pPr>
        <w:spacing w:line="360" w:lineRule="auto"/>
        <w:ind w:firstLine="420" w:firstLineChars="200"/>
        <w:rPr>
          <w:szCs w:val="21"/>
        </w:rPr>
      </w:pPr>
      <w:r>
        <w:rPr>
          <w:szCs w:val="21"/>
        </w:rPr>
        <w:t>4</w:t>
      </w:r>
      <w:r>
        <w:rPr>
          <w:rFonts w:hint="eastAsia"/>
          <w:szCs w:val="21"/>
        </w:rPr>
        <w:t>．登记机构应通过与基金托管人建立</w:t>
      </w:r>
      <w:r>
        <w:rPr>
          <w:szCs w:val="21"/>
        </w:rPr>
        <w:t>的</w:t>
      </w:r>
      <w:r>
        <w:rPr>
          <w:rFonts w:hint="eastAsia"/>
          <w:szCs w:val="21"/>
        </w:rPr>
        <w:t>系统发送有关数据（包括电子数据和</w:t>
      </w:r>
      <w:r>
        <w:rPr>
          <w:szCs w:val="21"/>
        </w:rPr>
        <w:t>盖章生效的纸制清算汇总表</w:t>
      </w:r>
      <w:r>
        <w:rPr>
          <w:rFonts w:hint="eastAsia"/>
          <w:szCs w:val="21"/>
        </w:rPr>
        <w:t>），如因各种原因，该系统无法正常发送，双方可协商解决处理方式。基金管理人向基金托管人发送的数据，双方各自按有关规定保存。</w:t>
      </w:r>
    </w:p>
    <w:p>
      <w:pPr>
        <w:spacing w:line="360" w:lineRule="auto"/>
        <w:ind w:firstLine="420" w:firstLineChars="200"/>
        <w:rPr>
          <w:szCs w:val="21"/>
        </w:rPr>
      </w:pPr>
      <w:r>
        <w:rPr>
          <w:szCs w:val="21"/>
        </w:rPr>
        <w:t>5</w:t>
      </w:r>
      <w:r>
        <w:rPr>
          <w:rFonts w:hint="eastAsia"/>
          <w:szCs w:val="21"/>
        </w:rPr>
        <w:t>．如基金管理人委托其他机构办理本基金的登记业务，应保证上述相关事宜按时进行。否则，由基金管理人承担相应的责任。</w:t>
      </w:r>
    </w:p>
    <w:p>
      <w:pPr>
        <w:spacing w:line="360" w:lineRule="auto"/>
        <w:ind w:firstLine="420" w:firstLineChars="200"/>
        <w:rPr>
          <w:szCs w:val="21"/>
        </w:rPr>
      </w:pPr>
      <w:r>
        <w:rPr>
          <w:szCs w:val="21"/>
        </w:rPr>
        <w:t>6</w:t>
      </w:r>
      <w:r>
        <w:rPr>
          <w:rFonts w:hint="eastAsia"/>
          <w:szCs w:val="21"/>
        </w:rPr>
        <w:t>．关于清算专用账户的设立和管理</w:t>
      </w:r>
    </w:p>
    <w:p>
      <w:pPr>
        <w:spacing w:line="360" w:lineRule="auto"/>
        <w:ind w:firstLine="420" w:firstLineChars="200"/>
        <w:rPr>
          <w:szCs w:val="21"/>
        </w:rPr>
      </w:pPr>
      <w:r>
        <w:rPr>
          <w:rFonts w:hint="eastAsia"/>
          <w:szCs w:val="21"/>
        </w:rPr>
        <w:t>为满足申购、赎回及分红资金汇划的需要，由基金管理人开立资金清算的</w:t>
      </w:r>
      <w:r>
        <w:rPr>
          <w:szCs w:val="21"/>
        </w:rPr>
        <w:t>专用</w:t>
      </w:r>
      <w:r>
        <w:rPr>
          <w:rFonts w:hint="eastAsia"/>
          <w:szCs w:val="21"/>
        </w:rPr>
        <w:t>账户，该账户由登记机构管理。</w:t>
      </w:r>
    </w:p>
    <w:p>
      <w:pPr>
        <w:spacing w:line="360" w:lineRule="auto"/>
        <w:ind w:firstLine="420" w:firstLineChars="200"/>
        <w:rPr>
          <w:szCs w:val="21"/>
        </w:rPr>
      </w:pPr>
      <w:r>
        <w:rPr>
          <w:szCs w:val="21"/>
        </w:rPr>
        <w:t>7</w:t>
      </w:r>
      <w:r>
        <w:rPr>
          <w:rFonts w:hint="eastAsia"/>
          <w:szCs w:val="21"/>
        </w:rPr>
        <w:t>．对于基金申购过程中产生的应收款，应由基金管理人负责与有关当事人确定到账日期并通知基金托管人，到账日应收款没有到达托管资金专门账户的，基金托管人应及时通知基金管理人采取措施进行催收，由此造成基金损失的，基金管理人应负责向有关当事人追偿基金的损失，基金托管人予以必要的协助与配合。</w:t>
      </w:r>
    </w:p>
    <w:p>
      <w:pPr>
        <w:spacing w:line="360" w:lineRule="auto"/>
        <w:ind w:firstLine="420" w:firstLineChars="200"/>
        <w:rPr>
          <w:szCs w:val="21"/>
        </w:rPr>
      </w:pPr>
      <w:r>
        <w:rPr>
          <w:szCs w:val="21"/>
        </w:rPr>
        <w:t>8</w:t>
      </w:r>
      <w:r>
        <w:rPr>
          <w:rFonts w:hint="eastAsia"/>
          <w:szCs w:val="21"/>
        </w:rPr>
        <w:t>．赎回和分红资金划拨规定</w:t>
      </w:r>
    </w:p>
    <w:p>
      <w:pPr>
        <w:spacing w:line="360" w:lineRule="auto"/>
        <w:ind w:firstLine="420" w:firstLineChars="200"/>
        <w:rPr>
          <w:szCs w:val="21"/>
        </w:rPr>
      </w:pPr>
      <w:r>
        <w:rPr>
          <w:rFonts w:hint="eastAsia"/>
          <w:szCs w:val="21"/>
        </w:rPr>
        <w:t>拨付赎回款或进行基金分红时，如基金资金账户有足够的资金，基金托管人应按时拨付；因基金资金账户没有足够的资金，导致基金托管人不能按时拨付，如系基金管理人的原因造成，责任由基金管理人承担，基金托管人不承担垫款义务。</w:t>
      </w:r>
    </w:p>
    <w:p>
      <w:pPr>
        <w:spacing w:line="360" w:lineRule="auto"/>
        <w:ind w:firstLine="420" w:firstLineChars="200"/>
        <w:rPr>
          <w:szCs w:val="21"/>
        </w:rPr>
      </w:pPr>
      <w:r>
        <w:rPr>
          <w:szCs w:val="21"/>
        </w:rPr>
        <w:t>9</w:t>
      </w:r>
      <w:r>
        <w:rPr>
          <w:rFonts w:hint="eastAsia"/>
          <w:szCs w:val="21"/>
        </w:rPr>
        <w:t>．资金指令</w:t>
      </w:r>
    </w:p>
    <w:p>
      <w:pPr>
        <w:spacing w:line="360" w:lineRule="auto"/>
        <w:ind w:firstLine="420" w:firstLineChars="200"/>
        <w:rPr>
          <w:szCs w:val="21"/>
        </w:rPr>
      </w:pPr>
      <w:r>
        <w:rPr>
          <w:rFonts w:hint="eastAsia"/>
          <w:szCs w:val="21"/>
        </w:rPr>
        <w:t>除申购款项到达基金资金账户需双方按约定方式对账外，回购到期付款和与投资有关的付款、赎回和分红资金划拨时，基金管理人需向基金托管人下达指令。</w:t>
      </w:r>
    </w:p>
    <w:p>
      <w:pPr>
        <w:spacing w:line="360" w:lineRule="auto"/>
        <w:ind w:firstLine="420" w:firstLineChars="200"/>
        <w:rPr>
          <w:szCs w:val="21"/>
        </w:rPr>
      </w:pPr>
      <w:r>
        <w:rPr>
          <w:rFonts w:hint="eastAsia"/>
          <w:szCs w:val="21"/>
        </w:rPr>
        <w:t>资金指令的格式、内容、发送、接收和确认方式等与投资指令相同。</w:t>
      </w:r>
    </w:p>
    <w:p>
      <w:pPr>
        <w:spacing w:line="360" w:lineRule="auto"/>
        <w:ind w:firstLine="420" w:firstLineChars="200"/>
        <w:rPr>
          <w:szCs w:val="21"/>
        </w:rPr>
      </w:pPr>
      <w:r>
        <w:rPr>
          <w:rFonts w:hint="eastAsia"/>
          <w:szCs w:val="21"/>
        </w:rPr>
        <w:t>（四）申赎净额结算</w:t>
      </w:r>
    </w:p>
    <w:p>
      <w:pPr>
        <w:spacing w:line="360" w:lineRule="auto"/>
        <w:ind w:firstLine="420" w:firstLineChars="200"/>
        <w:rPr>
          <w:szCs w:val="21"/>
        </w:rPr>
      </w:pPr>
      <w:r>
        <w:rPr>
          <w:rFonts w:hint="eastAsia"/>
          <w:szCs w:val="21"/>
        </w:rPr>
        <w:t>基金托管</w:t>
      </w:r>
      <w:r>
        <w:rPr>
          <w:szCs w:val="21"/>
        </w:rPr>
        <w:t>账户</w:t>
      </w:r>
      <w:r>
        <w:rPr>
          <w:rFonts w:hint="eastAsia"/>
          <w:szCs w:val="21"/>
        </w:rPr>
        <w:t>与基金清算账户间的资金结算遵循“全额清算、净额交收”的原则，</w:t>
      </w:r>
      <w:r>
        <w:rPr>
          <w:rFonts w:hint="eastAsia" w:ascii="宋体" w:hAnsi="宋体"/>
          <w:color w:val="000000"/>
          <w:szCs w:val="21"/>
        </w:rPr>
        <w:t>每日按照托管账户应收资金</w:t>
      </w:r>
      <w:r>
        <w:rPr>
          <w:rFonts w:ascii="宋体" w:hAnsi="宋体"/>
          <w:color w:val="000000"/>
          <w:szCs w:val="21"/>
        </w:rPr>
        <w:t>（</w:t>
      </w:r>
      <w:r>
        <w:rPr>
          <w:rFonts w:hint="eastAsia" w:ascii="宋体" w:hAnsi="宋体"/>
          <w:color w:val="000000"/>
          <w:szCs w:val="21"/>
        </w:rPr>
        <w:t>申购申请对应申购净额与基金转换转入申请对应净额之和</w:t>
      </w:r>
      <w:r>
        <w:rPr>
          <w:rFonts w:ascii="宋体" w:hAnsi="宋体"/>
          <w:color w:val="000000"/>
          <w:szCs w:val="21"/>
        </w:rPr>
        <w:t>）</w:t>
      </w:r>
      <w:r>
        <w:rPr>
          <w:rFonts w:hint="eastAsia" w:ascii="宋体" w:hAnsi="宋体"/>
          <w:color w:val="000000"/>
          <w:szCs w:val="21"/>
        </w:rPr>
        <w:t>与应付资金</w:t>
      </w:r>
      <w:r>
        <w:rPr>
          <w:rFonts w:ascii="宋体" w:hAnsi="宋体"/>
          <w:color w:val="000000"/>
          <w:szCs w:val="21"/>
        </w:rPr>
        <w:t>（</w:t>
      </w:r>
      <w:r>
        <w:rPr>
          <w:rFonts w:hint="eastAsia" w:ascii="宋体" w:hAnsi="宋体"/>
          <w:color w:val="000000"/>
          <w:szCs w:val="21"/>
        </w:rPr>
        <w:t>赎回申请对应赎回金额扣除归基金资产的费用与基金转换转出申请对应金额扣除归基金资产的费用之和</w:t>
      </w:r>
      <w:r>
        <w:rPr>
          <w:rFonts w:ascii="宋体" w:hAnsi="宋体"/>
          <w:color w:val="000000"/>
          <w:szCs w:val="21"/>
        </w:rPr>
        <w:t>）</w:t>
      </w:r>
      <w:r>
        <w:rPr>
          <w:rFonts w:hint="eastAsia" w:ascii="宋体" w:hAnsi="宋体"/>
          <w:color w:val="000000"/>
          <w:szCs w:val="21"/>
        </w:rPr>
        <w:t>的差额来确定托管账户净应收额或净应付额，以此确定资金交收额。</w:t>
      </w:r>
      <w:r>
        <w:rPr>
          <w:rFonts w:hint="eastAsia"/>
          <w:szCs w:val="21"/>
        </w:rPr>
        <w:t>如当日</w:t>
      </w:r>
      <w:r>
        <w:rPr>
          <w:szCs w:val="21"/>
        </w:rPr>
        <w:t>托管账户为净</w:t>
      </w:r>
      <w:r>
        <w:rPr>
          <w:rFonts w:hint="eastAsia"/>
          <w:szCs w:val="21"/>
        </w:rPr>
        <w:t>应收额</w:t>
      </w:r>
      <w:r>
        <w:rPr>
          <w:szCs w:val="21"/>
        </w:rPr>
        <w:t>时，基金管理人应在</w:t>
      </w:r>
      <w:r>
        <w:rPr>
          <w:rFonts w:hint="eastAsia"/>
          <w:szCs w:val="21"/>
        </w:rPr>
        <w:t>交收日15：00之前</w:t>
      </w:r>
      <w:r>
        <w:rPr>
          <w:szCs w:val="21"/>
        </w:rPr>
        <w:t>从基金清算账户划到基金托管账户，基金托管人在资金到账后应立即通知基金</w:t>
      </w:r>
      <w:r>
        <w:rPr>
          <w:rFonts w:hint="eastAsia"/>
          <w:szCs w:val="21"/>
        </w:rPr>
        <w:t>管理人；如</w:t>
      </w:r>
      <w:r>
        <w:rPr>
          <w:szCs w:val="21"/>
        </w:rPr>
        <w:t>当日</w:t>
      </w:r>
      <w:r>
        <w:rPr>
          <w:rFonts w:hint="eastAsia"/>
          <w:szCs w:val="21"/>
        </w:rPr>
        <w:t>托管账户为净应付额时，基金托管人按基金管理人的划款指令将托管账户净应付额在交收日</w:t>
      </w:r>
      <w:r>
        <w:rPr>
          <w:szCs w:val="21"/>
        </w:rPr>
        <w:t>12</w:t>
      </w:r>
      <w:r>
        <w:rPr>
          <w:rFonts w:hint="eastAsia"/>
          <w:szCs w:val="21"/>
        </w:rPr>
        <w:t>：</w:t>
      </w:r>
      <w:r>
        <w:rPr>
          <w:szCs w:val="21"/>
        </w:rPr>
        <w:t>00</w:t>
      </w:r>
      <w:r>
        <w:rPr>
          <w:rFonts w:hint="eastAsia"/>
          <w:szCs w:val="21"/>
        </w:rPr>
        <w:t>之前划往基金清算账户，基金托管人在资金划出后立即通知基金管理人。</w:t>
      </w:r>
    </w:p>
    <w:p>
      <w:pPr>
        <w:spacing w:line="360" w:lineRule="auto"/>
        <w:ind w:firstLine="420" w:firstLineChars="200"/>
        <w:rPr>
          <w:szCs w:val="21"/>
        </w:rPr>
      </w:pPr>
      <w:r>
        <w:rPr>
          <w:rFonts w:hint="eastAsia"/>
          <w:szCs w:val="21"/>
        </w:rPr>
        <w:t>当存在托管资金专门账户净应付额时，如基金资金账户有足够的资金，基金托管人应按时拨付；因基金资金账户没有足够的资金，导致基金托管人不能按时拨付，基金托管人应及时通知基金管理人，如系基金管理人的原因造成，责任由基金管理人承担，基金托管人不承担垫款义务。</w:t>
      </w:r>
    </w:p>
    <w:p>
      <w:pPr>
        <w:spacing w:line="360" w:lineRule="auto"/>
        <w:ind w:firstLine="420" w:firstLineChars="200"/>
        <w:rPr>
          <w:szCs w:val="21"/>
        </w:rPr>
      </w:pPr>
      <w:r>
        <w:rPr>
          <w:rFonts w:hint="eastAsia"/>
          <w:szCs w:val="21"/>
        </w:rPr>
        <w:t>（五）基金转换</w:t>
      </w:r>
    </w:p>
    <w:p>
      <w:pPr>
        <w:spacing w:line="360" w:lineRule="auto"/>
        <w:ind w:firstLine="420" w:firstLineChars="200"/>
        <w:rPr>
          <w:szCs w:val="21"/>
        </w:rPr>
      </w:pPr>
      <w:r>
        <w:rPr>
          <w:szCs w:val="21"/>
        </w:rPr>
        <w:t>1</w:t>
      </w:r>
      <w:r>
        <w:rPr>
          <w:rFonts w:hint="eastAsia"/>
          <w:szCs w:val="21"/>
        </w:rPr>
        <w:t>．在本基金与基金管理人管理的其它基金开展转换业务之前，基金管理人应函告基金托管人并就相关事宜进行协商。</w:t>
      </w:r>
    </w:p>
    <w:p>
      <w:pPr>
        <w:spacing w:line="360" w:lineRule="auto"/>
        <w:ind w:firstLine="420" w:firstLineChars="200"/>
        <w:rPr>
          <w:szCs w:val="21"/>
        </w:rPr>
      </w:pPr>
      <w:r>
        <w:rPr>
          <w:szCs w:val="21"/>
        </w:rPr>
        <w:t>2</w:t>
      </w:r>
      <w:r>
        <w:rPr>
          <w:rFonts w:hint="eastAsia"/>
          <w:szCs w:val="21"/>
        </w:rPr>
        <w:t>．基金托管人将根据基金管理人传送的基金转换数据进行账务处理，具体资金清算和数据传递的时间、程序及托管协议当事人承担的权责按基金管理人届时的公告执行。</w:t>
      </w:r>
    </w:p>
    <w:p>
      <w:pPr>
        <w:spacing w:line="360" w:lineRule="auto"/>
        <w:ind w:firstLine="420" w:firstLineChars="200"/>
        <w:rPr>
          <w:szCs w:val="21"/>
        </w:rPr>
      </w:pPr>
      <w:r>
        <w:rPr>
          <w:szCs w:val="21"/>
        </w:rPr>
        <w:t>3</w:t>
      </w:r>
      <w:r>
        <w:rPr>
          <w:rFonts w:hint="eastAsia"/>
          <w:szCs w:val="21"/>
        </w:rPr>
        <w:t>．本基金开展基金转换业务应按相关法律法规规定及基金合同的约定进行公告。</w:t>
      </w:r>
    </w:p>
    <w:p>
      <w:pPr>
        <w:spacing w:line="360" w:lineRule="auto"/>
        <w:ind w:firstLine="420" w:firstLineChars="200"/>
        <w:rPr>
          <w:szCs w:val="21"/>
        </w:rPr>
      </w:pPr>
      <w:r>
        <w:rPr>
          <w:rFonts w:hint="eastAsia"/>
          <w:szCs w:val="21"/>
        </w:rPr>
        <w:t>（六）基金现金分红</w:t>
      </w:r>
    </w:p>
    <w:p>
      <w:pPr>
        <w:spacing w:line="360" w:lineRule="auto"/>
        <w:ind w:firstLine="420" w:firstLineChars="200"/>
        <w:rPr>
          <w:szCs w:val="21"/>
        </w:rPr>
      </w:pPr>
      <w:r>
        <w:rPr>
          <w:szCs w:val="21"/>
        </w:rPr>
        <w:t>1</w:t>
      </w:r>
      <w:r>
        <w:rPr>
          <w:rFonts w:hint="eastAsia"/>
          <w:szCs w:val="21"/>
        </w:rPr>
        <w:t>．基金管理人确定分红方案通知基金托管人，双方核定后依照《信息披露办法》的有关规定在中国证监会指定媒介上公告。</w:t>
      </w:r>
    </w:p>
    <w:p>
      <w:pPr>
        <w:spacing w:line="360" w:lineRule="auto"/>
        <w:ind w:firstLine="420" w:firstLineChars="200"/>
        <w:rPr>
          <w:szCs w:val="21"/>
        </w:rPr>
      </w:pPr>
      <w:r>
        <w:rPr>
          <w:szCs w:val="21"/>
        </w:rPr>
        <w:t>2</w:t>
      </w:r>
      <w:r>
        <w:rPr>
          <w:rFonts w:hint="eastAsia"/>
          <w:szCs w:val="21"/>
        </w:rPr>
        <w:t>．基金托管人和基金管理人对基金分红进行账务处理并核对后，基金管理人向基金托管人发送现金红利的划款指令，基金托管人应及时将资金划入指定账户。</w:t>
      </w:r>
    </w:p>
    <w:p>
      <w:pPr>
        <w:spacing w:line="360" w:lineRule="auto"/>
        <w:ind w:firstLine="420" w:firstLineChars="200"/>
        <w:rPr>
          <w:szCs w:val="21"/>
        </w:rPr>
      </w:pPr>
      <w:r>
        <w:rPr>
          <w:szCs w:val="21"/>
        </w:rPr>
        <w:t>3</w:t>
      </w:r>
      <w:r>
        <w:rPr>
          <w:rFonts w:hint="eastAsia"/>
          <w:szCs w:val="21"/>
        </w:rPr>
        <w:t>．基金管理人在下达指令时，应给基金托管人留出必需的划款时间。</w:t>
      </w:r>
    </w:p>
    <w:p>
      <w:pPr>
        <w:spacing w:line="360" w:lineRule="auto"/>
        <w:ind w:firstLine="420" w:firstLineChars="200"/>
        <w:rPr>
          <w:szCs w:val="21"/>
        </w:rPr>
      </w:pPr>
      <w:r>
        <w:rPr>
          <w:rFonts w:hint="eastAsia"/>
          <w:szCs w:val="21"/>
        </w:rPr>
        <w:t>（七）投资银行存款的特别约定</w:t>
      </w:r>
    </w:p>
    <w:p>
      <w:pPr>
        <w:spacing w:line="360" w:lineRule="auto"/>
        <w:ind w:firstLine="420" w:firstLineChars="200"/>
        <w:rPr>
          <w:szCs w:val="21"/>
        </w:rPr>
      </w:pPr>
      <w:r>
        <w:rPr>
          <w:szCs w:val="21"/>
        </w:rPr>
        <w:t>1</w:t>
      </w:r>
      <w:r>
        <w:rPr>
          <w:rFonts w:hint="eastAsia"/>
          <w:szCs w:val="21"/>
        </w:rPr>
        <w:t>．本基金投资银行存款前，应与基金托管人签署《</w:t>
      </w:r>
      <w:r>
        <w:rPr>
          <w:szCs w:val="21"/>
        </w:rPr>
        <w:t>证券投资基金投资银行定期存款风险控制</w:t>
      </w:r>
      <w:r>
        <w:rPr>
          <w:rFonts w:hint="eastAsia"/>
          <w:szCs w:val="21"/>
        </w:rPr>
        <w:t>补充协议》。</w:t>
      </w:r>
    </w:p>
    <w:p>
      <w:pPr>
        <w:spacing w:line="360" w:lineRule="auto"/>
        <w:ind w:firstLine="420" w:firstLineChars="200"/>
        <w:rPr>
          <w:szCs w:val="21"/>
        </w:rPr>
      </w:pPr>
      <w:r>
        <w:rPr>
          <w:szCs w:val="21"/>
        </w:rPr>
        <w:t>2</w:t>
      </w:r>
      <w:r>
        <w:rPr>
          <w:rFonts w:hint="eastAsia"/>
          <w:szCs w:val="21"/>
        </w:rPr>
        <w:t>．本基金投资银行存款，必须采用双方认可的方式办理。</w:t>
      </w:r>
    </w:p>
    <w:p>
      <w:pPr>
        <w:spacing w:line="360" w:lineRule="auto"/>
        <w:ind w:firstLine="420" w:firstLineChars="200"/>
        <w:rPr>
          <w:szCs w:val="21"/>
        </w:rPr>
      </w:pPr>
      <w:r>
        <w:rPr>
          <w:szCs w:val="21"/>
        </w:rPr>
        <w:t>3</w:t>
      </w:r>
      <w:r>
        <w:rPr>
          <w:rFonts w:hint="eastAsia"/>
          <w:szCs w:val="21"/>
        </w:rPr>
        <w:t>．基金管理人投资银行存款或办理存款支取时，应提前书面通知基金托管人，以便基金托管人有足够的时间履行相应的业务操作程序。</w:t>
      </w:r>
    </w:p>
    <w:p>
      <w:pPr>
        <w:spacing w:line="360" w:lineRule="auto"/>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84" w:name="_Toc290284050"/>
      <w:bookmarkStart w:id="85" w:name="_Toc411875694"/>
      <w:bookmarkStart w:id="86" w:name="_Toc140002343"/>
      <w:bookmarkStart w:id="87" w:name="_Toc283383021"/>
      <w:bookmarkStart w:id="88" w:name="_Toc125361080"/>
      <w:r>
        <w:rPr>
          <w:rFonts w:hint="eastAsia" w:ascii="Times New Roman" w:hAnsi="Times New Roman"/>
        </w:rPr>
        <w:t>八、基金资产净值计算和会计核算</w:t>
      </w:r>
      <w:bookmarkEnd w:id="81"/>
      <w:bookmarkEnd w:id="82"/>
      <w:bookmarkEnd w:id="83"/>
      <w:bookmarkEnd w:id="84"/>
      <w:bookmarkEnd w:id="85"/>
      <w:bookmarkEnd w:id="86"/>
      <w:bookmarkEnd w:id="87"/>
      <w:bookmarkEnd w:id="88"/>
      <w:bookmarkStart w:id="89" w:name="_Toc48703909"/>
    </w:p>
    <w:bookmarkEnd w:id="89"/>
    <w:p>
      <w:pPr>
        <w:spacing w:line="360" w:lineRule="auto"/>
        <w:ind w:firstLine="420" w:firstLineChars="200"/>
        <w:rPr>
          <w:szCs w:val="21"/>
        </w:rPr>
      </w:pPr>
      <w:bookmarkStart w:id="90" w:name="_Toc22454461"/>
      <w:bookmarkStart w:id="91" w:name="_Toc523830000"/>
      <w:bookmarkStart w:id="92" w:name="_Toc466788859"/>
      <w:bookmarkStart w:id="93" w:name="_Toc48703912"/>
      <w:r>
        <w:rPr>
          <w:rFonts w:hint="eastAsia"/>
          <w:szCs w:val="21"/>
        </w:rPr>
        <w:t>（一）基金资产净值的计算、复核与完成的时间及程序</w:t>
      </w:r>
    </w:p>
    <w:p>
      <w:pPr>
        <w:spacing w:line="360" w:lineRule="auto"/>
        <w:ind w:firstLine="420" w:firstLineChars="200"/>
        <w:rPr>
          <w:szCs w:val="21"/>
        </w:rPr>
      </w:pPr>
      <w:r>
        <w:rPr>
          <w:szCs w:val="21"/>
        </w:rPr>
        <w:t>1</w:t>
      </w:r>
      <w:r>
        <w:rPr>
          <w:rFonts w:hint="eastAsia"/>
          <w:szCs w:val="21"/>
        </w:rPr>
        <w:t>．基金资产净值是指基金资产总值减去负债后的价值。</w:t>
      </w:r>
      <w:r>
        <w:rPr>
          <w:rFonts w:hint="eastAsia"/>
          <w:szCs w:val="21"/>
          <w:lang w:val="en-US" w:eastAsia="zh-CN"/>
        </w:rPr>
        <w:t>各类</w:t>
      </w:r>
      <w:r>
        <w:rPr>
          <w:rFonts w:hint="eastAsia"/>
          <w:szCs w:val="21"/>
        </w:rPr>
        <w:t>基金份额净值是按照每个交易日闭市后，该类基金份额的基金资产净值除以当日</w:t>
      </w:r>
      <w:r>
        <w:rPr>
          <w:rFonts w:hint="eastAsia"/>
          <w:szCs w:val="21"/>
          <w:lang w:val="en-US" w:eastAsia="zh-CN"/>
        </w:rPr>
        <w:t>该类</w:t>
      </w:r>
      <w:r>
        <w:rPr>
          <w:rFonts w:hint="eastAsia"/>
          <w:szCs w:val="21"/>
        </w:rPr>
        <w:t>基金份额的余额数量计算，</w:t>
      </w:r>
      <w:r>
        <w:rPr>
          <w:rFonts w:hint="eastAsia"/>
          <w:szCs w:val="21"/>
          <w:lang w:val="en-US" w:eastAsia="zh-CN"/>
        </w:rPr>
        <w:t>均</w:t>
      </w:r>
      <w:r>
        <w:rPr>
          <w:rFonts w:hint="eastAsia"/>
          <w:szCs w:val="21"/>
        </w:rPr>
        <w:t>精确到</w:t>
      </w:r>
      <w:r>
        <w:rPr>
          <w:szCs w:val="21"/>
        </w:rPr>
        <w:t>0.0</w:t>
      </w:r>
      <w:r>
        <w:rPr>
          <w:rFonts w:hint="eastAsia"/>
          <w:szCs w:val="21"/>
          <w:lang w:val="en-US" w:eastAsia="zh-CN"/>
        </w:rPr>
        <w:t>0</w:t>
      </w:r>
      <w:r>
        <w:rPr>
          <w:szCs w:val="21"/>
        </w:rPr>
        <w:t>01</w:t>
      </w:r>
      <w:r>
        <w:rPr>
          <w:rFonts w:hint="eastAsia"/>
          <w:szCs w:val="21"/>
        </w:rPr>
        <w:t>元，小数点后第</w:t>
      </w:r>
      <w:r>
        <w:rPr>
          <w:rFonts w:hint="eastAsia"/>
          <w:szCs w:val="21"/>
          <w:lang w:val="en-US" w:eastAsia="zh-CN"/>
        </w:rPr>
        <w:t>五</w:t>
      </w:r>
      <w:r>
        <w:rPr>
          <w:rFonts w:hint="eastAsia"/>
          <w:szCs w:val="21"/>
        </w:rPr>
        <w:t>位四舍五入。法律法规另有规定的，从其规定。</w:t>
      </w:r>
    </w:p>
    <w:p>
      <w:pPr>
        <w:spacing w:line="360" w:lineRule="auto"/>
        <w:ind w:firstLine="420" w:firstLineChars="200"/>
        <w:rPr>
          <w:szCs w:val="21"/>
        </w:rPr>
      </w:pPr>
      <w:r>
        <w:rPr>
          <w:rFonts w:hint="eastAsia"/>
          <w:szCs w:val="21"/>
        </w:rPr>
        <w:t>基金管理人每个工作日计算基金资产净值及</w:t>
      </w:r>
      <w:r>
        <w:rPr>
          <w:rFonts w:hint="eastAsia"/>
          <w:szCs w:val="21"/>
          <w:lang w:val="en-US" w:eastAsia="zh-CN"/>
        </w:rPr>
        <w:t>各类</w:t>
      </w:r>
      <w:r>
        <w:rPr>
          <w:rFonts w:hint="eastAsia"/>
          <w:szCs w:val="21"/>
        </w:rPr>
        <w:t>基金份额净值，并按规定公告。</w:t>
      </w:r>
    </w:p>
    <w:p>
      <w:pPr>
        <w:spacing w:line="360" w:lineRule="auto"/>
        <w:ind w:firstLine="420" w:firstLineChars="200"/>
        <w:rPr>
          <w:szCs w:val="21"/>
        </w:rPr>
      </w:pPr>
      <w:r>
        <w:rPr>
          <w:szCs w:val="21"/>
        </w:rPr>
        <w:t>2</w:t>
      </w:r>
      <w:r>
        <w:rPr>
          <w:rFonts w:hint="eastAsia"/>
          <w:szCs w:val="21"/>
        </w:rPr>
        <w:t>．基金管理人应每个工作日对基金资产估值。但基金管理人根据法律法规或基金合同的规定暂停估值时除外。基金管理人每个工作日对基金资产估值后，将</w:t>
      </w:r>
      <w:r>
        <w:rPr>
          <w:rFonts w:hint="eastAsia"/>
          <w:szCs w:val="21"/>
          <w:lang w:val="en-US" w:eastAsia="zh-CN"/>
        </w:rPr>
        <w:t>各类</w:t>
      </w:r>
      <w:r>
        <w:rPr>
          <w:rFonts w:hint="eastAsia"/>
          <w:szCs w:val="21"/>
        </w:rPr>
        <w:t>基金份额净值结果以双方约定</w:t>
      </w:r>
      <w:r>
        <w:rPr>
          <w:szCs w:val="21"/>
        </w:rPr>
        <w:t>的方式</w:t>
      </w:r>
      <w:r>
        <w:rPr>
          <w:rFonts w:hint="eastAsia"/>
          <w:szCs w:val="21"/>
        </w:rPr>
        <w:t>发送基金托管人，经基金托管人复核无误后，并</w:t>
      </w:r>
      <w:r>
        <w:rPr>
          <w:szCs w:val="21"/>
        </w:rPr>
        <w:t>以双方约定的方式将复核结果</w:t>
      </w:r>
      <w:r>
        <w:rPr>
          <w:rFonts w:hint="eastAsia"/>
          <w:szCs w:val="21"/>
        </w:rPr>
        <w:t>传送</w:t>
      </w:r>
      <w:r>
        <w:rPr>
          <w:szCs w:val="21"/>
        </w:rPr>
        <w:t>给基金管理人，</w:t>
      </w:r>
      <w:r>
        <w:rPr>
          <w:rFonts w:hint="eastAsia"/>
          <w:szCs w:val="21"/>
        </w:rPr>
        <w:t>由基金管理人依据</w:t>
      </w:r>
      <w:r>
        <w:rPr>
          <w:szCs w:val="21"/>
        </w:rPr>
        <w:t>基金合同和相关法律法规</w:t>
      </w:r>
      <w:r>
        <w:rPr>
          <w:rFonts w:hint="eastAsia"/>
          <w:szCs w:val="21"/>
        </w:rPr>
        <w:t>的</w:t>
      </w:r>
      <w:r>
        <w:rPr>
          <w:szCs w:val="21"/>
        </w:rPr>
        <w:t>规定</w:t>
      </w:r>
      <w:r>
        <w:rPr>
          <w:rFonts w:hint="eastAsia"/>
          <w:szCs w:val="21"/>
        </w:rPr>
        <w:t>对外公布。</w:t>
      </w:r>
    </w:p>
    <w:p>
      <w:pPr>
        <w:spacing w:line="360" w:lineRule="auto"/>
        <w:ind w:firstLine="420" w:firstLineChars="200"/>
        <w:rPr>
          <w:szCs w:val="21"/>
        </w:rPr>
      </w:pPr>
      <w:r>
        <w:rPr>
          <w:rFonts w:hint="eastAsia"/>
          <w:szCs w:val="21"/>
        </w:rPr>
        <w:t>（二）基金资产估值方法和特殊情形的处理</w:t>
      </w:r>
    </w:p>
    <w:p>
      <w:pPr>
        <w:spacing w:line="360" w:lineRule="auto"/>
        <w:ind w:firstLine="420" w:firstLineChars="200"/>
        <w:rPr>
          <w:szCs w:val="21"/>
        </w:rPr>
      </w:pPr>
      <w:r>
        <w:rPr>
          <w:szCs w:val="21"/>
        </w:rPr>
        <w:t>1</w:t>
      </w:r>
      <w:r>
        <w:rPr>
          <w:rFonts w:hint="eastAsia"/>
          <w:szCs w:val="21"/>
        </w:rPr>
        <w:t>．估值对象</w:t>
      </w:r>
    </w:p>
    <w:p>
      <w:pPr>
        <w:spacing w:line="360" w:lineRule="auto"/>
        <w:ind w:firstLine="420" w:firstLineChars="200"/>
        <w:rPr>
          <w:szCs w:val="21"/>
        </w:rPr>
      </w:pPr>
      <w:r>
        <w:rPr>
          <w:rFonts w:hint="eastAsia"/>
          <w:szCs w:val="21"/>
        </w:rPr>
        <w:t>基金所拥有债券和银行存款本息、应收款项、其它投资等资产和</w:t>
      </w:r>
      <w:r>
        <w:rPr>
          <w:szCs w:val="21"/>
        </w:rPr>
        <w:t>负债</w:t>
      </w:r>
      <w:r>
        <w:rPr>
          <w:rFonts w:hint="eastAsia"/>
          <w:szCs w:val="21"/>
        </w:rPr>
        <w:t>。</w:t>
      </w:r>
    </w:p>
    <w:p>
      <w:pPr>
        <w:spacing w:line="360" w:lineRule="auto"/>
        <w:ind w:firstLine="420" w:firstLineChars="200"/>
        <w:rPr>
          <w:szCs w:val="21"/>
        </w:rPr>
      </w:pPr>
      <w:r>
        <w:rPr>
          <w:szCs w:val="21"/>
        </w:rPr>
        <w:t>2</w:t>
      </w:r>
      <w:r>
        <w:rPr>
          <w:rFonts w:hint="eastAsia"/>
          <w:szCs w:val="21"/>
        </w:rPr>
        <w:t>．估值方法</w:t>
      </w:r>
    </w:p>
    <w:p>
      <w:pPr>
        <w:spacing w:line="360" w:lineRule="auto"/>
        <w:ind w:firstLine="420" w:firstLineChars="200"/>
        <w:rPr>
          <w:szCs w:val="21"/>
        </w:rPr>
      </w:pPr>
      <w:r>
        <w:rPr>
          <w:rFonts w:hint="eastAsia"/>
          <w:szCs w:val="21"/>
        </w:rPr>
        <w:t>（</w:t>
      </w:r>
      <w:r>
        <w:rPr>
          <w:szCs w:val="21"/>
        </w:rPr>
        <w:t>1</w:t>
      </w:r>
      <w:r>
        <w:rPr>
          <w:rFonts w:hint="eastAsia"/>
          <w:szCs w:val="21"/>
        </w:rPr>
        <w:t>）证券交易所上市的有价证券的估值</w:t>
      </w:r>
    </w:p>
    <w:p>
      <w:pPr>
        <w:spacing w:line="360" w:lineRule="auto"/>
        <w:ind w:firstLine="420" w:firstLineChars="200"/>
        <w:rPr>
          <w:szCs w:val="21"/>
        </w:rPr>
      </w:pPr>
      <w:r>
        <w:rPr>
          <w:szCs w:val="21"/>
        </w:rPr>
        <w:t>1</w:t>
      </w:r>
      <w:r>
        <w:rPr>
          <w:rFonts w:hint="eastAsia"/>
          <w:szCs w:val="21"/>
        </w:rPr>
        <w:t>）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spacing w:line="360" w:lineRule="auto"/>
        <w:ind w:firstLine="420" w:firstLineChars="200"/>
        <w:rPr>
          <w:szCs w:val="21"/>
        </w:rPr>
      </w:pPr>
      <w:r>
        <w:rPr>
          <w:szCs w:val="21"/>
        </w:rPr>
        <w:t>2</w:t>
      </w:r>
      <w:r>
        <w:rPr>
          <w:rFonts w:hint="eastAsia"/>
          <w:szCs w:val="21"/>
        </w:rPr>
        <w:t>）交易所上市交易或挂牌转让的固定收益品种，选取估值日第三方估值机构提供的相应品种对应的估值净价估值，具体估值机构由基金管理人与基金托管人另行协商约定；</w:t>
      </w:r>
    </w:p>
    <w:p>
      <w:pPr>
        <w:spacing w:line="360" w:lineRule="auto"/>
        <w:ind w:firstLine="420" w:firstLineChars="200"/>
        <w:rPr>
          <w:szCs w:val="21"/>
        </w:rPr>
      </w:pPr>
      <w:r>
        <w:rPr>
          <w:rFonts w:hint="eastAsia"/>
          <w:szCs w:val="21"/>
        </w:rPr>
        <w:t>3）交易所上市不存在活跃市场的有价证券，采用估值技术确定公允价值。交易所上市的资产支持证券，采用估值技术确定公允价值，在估值技术难以可靠计量公允价值的情况下，按成本估值。</w:t>
      </w:r>
    </w:p>
    <w:p>
      <w:pPr>
        <w:spacing w:line="360" w:lineRule="auto"/>
        <w:ind w:firstLine="525" w:firstLineChars="250"/>
        <w:rPr>
          <w:szCs w:val="21"/>
        </w:rPr>
      </w:pPr>
      <w:r>
        <w:rPr>
          <w:rFonts w:hint="eastAsia"/>
          <w:szCs w:val="21"/>
        </w:rPr>
        <w:t>（</w:t>
      </w:r>
      <w:r>
        <w:rPr>
          <w:szCs w:val="21"/>
        </w:rPr>
        <w:t>2</w:t>
      </w:r>
      <w:r>
        <w:rPr>
          <w:rFonts w:hint="eastAsia"/>
          <w:szCs w:val="21"/>
        </w:rPr>
        <w:t>） 首次公开发行未上市的债券，采用估值技术确定公允价值，在估值技术难以可靠计量公允价值的情况下，按成本估值。</w:t>
      </w:r>
    </w:p>
    <w:p>
      <w:pPr>
        <w:spacing w:line="360" w:lineRule="auto"/>
        <w:ind w:firstLine="420" w:firstLineChars="200"/>
        <w:rPr>
          <w:bCs/>
          <w:szCs w:val="21"/>
        </w:rPr>
      </w:pPr>
      <w:r>
        <w:rPr>
          <w:rFonts w:hint="eastAsia"/>
          <w:bCs/>
          <w:szCs w:val="21"/>
        </w:rPr>
        <w:t>（</w:t>
      </w:r>
      <w:r>
        <w:rPr>
          <w:bCs/>
          <w:szCs w:val="21"/>
        </w:rPr>
        <w:t>3</w:t>
      </w:r>
      <w:r>
        <w:rPr>
          <w:rFonts w:hint="eastAsia"/>
          <w:bCs/>
          <w:szCs w:val="21"/>
        </w:rPr>
        <w:t>）全国银行间债券市场交易的债券、资产支持证券等固定收益品种，采用估值技术确定公允价值。</w:t>
      </w:r>
    </w:p>
    <w:p>
      <w:pPr>
        <w:spacing w:line="360" w:lineRule="auto"/>
        <w:ind w:firstLine="420" w:firstLineChars="200"/>
        <w:rPr>
          <w:bCs/>
          <w:szCs w:val="21"/>
        </w:rPr>
      </w:pPr>
      <w:r>
        <w:rPr>
          <w:rFonts w:hint="eastAsia"/>
          <w:bCs/>
          <w:szCs w:val="21"/>
        </w:rPr>
        <w:t>（</w:t>
      </w:r>
      <w:r>
        <w:rPr>
          <w:bCs/>
          <w:szCs w:val="21"/>
        </w:rPr>
        <w:t>4</w:t>
      </w:r>
      <w:r>
        <w:rPr>
          <w:rFonts w:hint="eastAsia"/>
          <w:bCs/>
          <w:szCs w:val="21"/>
        </w:rPr>
        <w:t>）同一债券同时在两个或两个以上市场交易的，按债券所处的市场分别估值。</w:t>
      </w:r>
    </w:p>
    <w:p>
      <w:pPr>
        <w:spacing w:line="360" w:lineRule="auto"/>
        <w:ind w:firstLine="420" w:firstLineChars="200"/>
        <w:rPr>
          <w:bCs/>
          <w:szCs w:val="21"/>
        </w:rPr>
      </w:pPr>
      <w:r>
        <w:rPr>
          <w:rFonts w:hint="eastAsia"/>
          <w:bCs/>
          <w:szCs w:val="21"/>
        </w:rPr>
        <w:t>（5）如有确凿证据表明按上述方法进行估值不能客观反映其公允价值的，基金管理人可根据具体情况与基金托管人商定后，按最能反映公允价值的价格估值。</w:t>
      </w:r>
    </w:p>
    <w:p>
      <w:pPr>
        <w:spacing w:line="360" w:lineRule="auto"/>
        <w:ind w:firstLine="420" w:firstLineChars="200"/>
        <w:rPr>
          <w:bCs/>
          <w:szCs w:val="21"/>
        </w:rPr>
      </w:pPr>
      <w:r>
        <w:rPr>
          <w:rFonts w:hint="eastAsia"/>
          <w:bCs/>
          <w:szCs w:val="21"/>
        </w:rPr>
        <w:t>（6）相关法律法规以及监管部门有强制规定的，从其规定。如有新增事项，按国家最新规定估值。</w:t>
      </w:r>
    </w:p>
    <w:p>
      <w:pPr>
        <w:spacing w:line="360" w:lineRule="auto"/>
        <w:ind w:firstLine="420" w:firstLineChars="200"/>
        <w:rPr>
          <w:szCs w:val="21"/>
        </w:rPr>
      </w:pPr>
      <w:r>
        <w:rPr>
          <w:rFonts w:hint="eastAsia"/>
          <w:szCs w:val="21"/>
        </w:rPr>
        <w:t>如基金管理人或基金托管人发现基金估值违反基金合同订明的估值方法、程序及相关法律法规的规定或者未能充分维护基金份额持有人利益时，应立即通知对方，共同查明原因，双方协商解决。</w:t>
      </w:r>
    </w:p>
    <w:p>
      <w:pPr>
        <w:spacing w:line="360" w:lineRule="auto"/>
        <w:ind w:firstLine="420" w:firstLineChars="200"/>
        <w:rPr>
          <w:szCs w:val="21"/>
        </w:rPr>
      </w:pPr>
      <w:r>
        <w:rPr>
          <w:rFonts w:hint="eastAsia"/>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w:t>
      </w:r>
    </w:p>
    <w:p>
      <w:pPr>
        <w:spacing w:line="360" w:lineRule="auto"/>
        <w:ind w:firstLine="420" w:firstLineChars="200"/>
        <w:rPr>
          <w:szCs w:val="21"/>
        </w:rPr>
      </w:pPr>
      <w:r>
        <w:rPr>
          <w:szCs w:val="21"/>
        </w:rPr>
        <w:t>3</w:t>
      </w:r>
      <w:r>
        <w:rPr>
          <w:rFonts w:hint="eastAsia"/>
          <w:szCs w:val="21"/>
        </w:rPr>
        <w:t>．特殊情形的处理</w:t>
      </w:r>
    </w:p>
    <w:p>
      <w:pPr>
        <w:spacing w:line="360" w:lineRule="auto"/>
        <w:ind w:firstLine="420" w:firstLineChars="200"/>
        <w:rPr>
          <w:szCs w:val="21"/>
        </w:rPr>
      </w:pPr>
      <w:r>
        <w:rPr>
          <w:rFonts w:hint="eastAsia"/>
          <w:szCs w:val="21"/>
        </w:rPr>
        <w:t>基金管理人、基金托管人按估值方法的第（</w:t>
      </w:r>
      <w:r>
        <w:rPr>
          <w:szCs w:val="21"/>
        </w:rPr>
        <w:t>5</w:t>
      </w:r>
      <w:r>
        <w:rPr>
          <w:rFonts w:hint="eastAsia"/>
          <w:szCs w:val="21"/>
        </w:rPr>
        <w:t>）项进行估值时，所造成的误差不作为基金份额净值错误处理。</w:t>
      </w:r>
    </w:p>
    <w:p>
      <w:pPr>
        <w:spacing w:line="360" w:lineRule="auto"/>
        <w:ind w:firstLine="420" w:firstLineChars="200"/>
        <w:rPr>
          <w:szCs w:val="21"/>
        </w:rPr>
      </w:pPr>
      <w:r>
        <w:rPr>
          <w:rFonts w:hint="eastAsia"/>
          <w:szCs w:val="21"/>
        </w:rPr>
        <w:t>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pPr>
        <w:spacing w:line="360" w:lineRule="auto"/>
        <w:ind w:firstLine="420" w:firstLineChars="200"/>
        <w:rPr>
          <w:szCs w:val="21"/>
        </w:rPr>
      </w:pPr>
      <w:r>
        <w:rPr>
          <w:rFonts w:hint="eastAsia"/>
          <w:szCs w:val="21"/>
        </w:rPr>
        <w:t>（三）基金份额净值错误的处理方式</w:t>
      </w:r>
    </w:p>
    <w:p>
      <w:pPr>
        <w:spacing w:line="360" w:lineRule="auto"/>
        <w:ind w:firstLine="420" w:firstLineChars="200"/>
        <w:rPr>
          <w:szCs w:val="21"/>
        </w:rPr>
      </w:pPr>
      <w:r>
        <w:rPr>
          <w:szCs w:val="21"/>
        </w:rPr>
        <w:t>1</w:t>
      </w:r>
      <w:r>
        <w:rPr>
          <w:rFonts w:hint="eastAsia"/>
          <w:szCs w:val="21"/>
        </w:rPr>
        <w:t>．当基金份额净值小数点后</w:t>
      </w:r>
      <w:r>
        <w:rPr>
          <w:rFonts w:hint="eastAsia"/>
          <w:szCs w:val="21"/>
          <w:lang w:val="en-US" w:eastAsia="zh-CN"/>
        </w:rPr>
        <w:t>4</w:t>
      </w:r>
      <w:r>
        <w:rPr>
          <w:rFonts w:hint="eastAsia"/>
          <w:szCs w:val="21"/>
        </w:rPr>
        <w:t>位以内（含第</w:t>
      </w:r>
      <w:r>
        <w:rPr>
          <w:rFonts w:hint="eastAsia"/>
          <w:szCs w:val="21"/>
          <w:lang w:val="en-US" w:eastAsia="zh-CN"/>
        </w:rPr>
        <w:t>4</w:t>
      </w:r>
      <w:r>
        <w:rPr>
          <w:rFonts w:hint="eastAsia"/>
          <w:szCs w:val="21"/>
        </w:rPr>
        <w:t>位）发生差错时，视为</w:t>
      </w:r>
      <w:r>
        <w:rPr>
          <w:rFonts w:hint="eastAsia"/>
          <w:szCs w:val="21"/>
          <w:lang w:val="en-US" w:eastAsia="zh-CN"/>
        </w:rPr>
        <w:t>该类</w:t>
      </w:r>
      <w:r>
        <w:rPr>
          <w:rFonts w:hint="eastAsia"/>
          <w:szCs w:val="21"/>
        </w:rPr>
        <w:t>基金份额净值错误；</w:t>
      </w:r>
      <w:r>
        <w:rPr>
          <w:rFonts w:hint="eastAsia" w:ascii="宋体" w:hAnsi="宋体"/>
          <w:szCs w:val="21"/>
        </w:rPr>
        <w:t>当任何一类</w:t>
      </w:r>
      <w:r>
        <w:rPr>
          <w:rFonts w:hint="eastAsia"/>
          <w:szCs w:val="21"/>
        </w:rPr>
        <w:t>基金份额净值出现错误时，基金管理人应当立即予以纠正，通报基金托管人，并采取合理的措施防止损失进一步扩大；错误偏差达到</w:t>
      </w:r>
      <w:r>
        <w:rPr>
          <w:rFonts w:hint="eastAsia"/>
          <w:szCs w:val="21"/>
          <w:lang w:val="en-US" w:eastAsia="zh-CN"/>
        </w:rPr>
        <w:t>该类</w:t>
      </w:r>
      <w:r>
        <w:rPr>
          <w:rFonts w:hint="eastAsia"/>
          <w:szCs w:val="21"/>
        </w:rPr>
        <w:t>基金份额净值的</w:t>
      </w:r>
      <w:r>
        <w:rPr>
          <w:szCs w:val="21"/>
        </w:rPr>
        <w:t>0.25%</w:t>
      </w:r>
      <w:r>
        <w:rPr>
          <w:rFonts w:hint="eastAsia"/>
          <w:szCs w:val="21"/>
        </w:rPr>
        <w:t>时，基金管理人应当通报基金托管人并报中国证监会备案；错误偏差达到</w:t>
      </w:r>
      <w:r>
        <w:rPr>
          <w:rFonts w:hint="eastAsia"/>
          <w:szCs w:val="21"/>
          <w:lang w:val="en-US" w:eastAsia="zh-CN"/>
        </w:rPr>
        <w:t>该类</w:t>
      </w:r>
      <w:r>
        <w:rPr>
          <w:rFonts w:hint="eastAsia"/>
          <w:szCs w:val="21"/>
        </w:rPr>
        <w:t>基金份额净值的</w:t>
      </w:r>
      <w:r>
        <w:rPr>
          <w:szCs w:val="21"/>
        </w:rPr>
        <w:t>0.50%</w:t>
      </w:r>
      <w:r>
        <w:rPr>
          <w:rFonts w:hint="eastAsia"/>
          <w:szCs w:val="21"/>
        </w:rPr>
        <w:t>时，基金管理人应当公告；当发生净值计算错误时，由基金管理人负责处理，由此给基金份额持有人和基金造成损失的，基金管理人有权向其他当事人追偿。</w:t>
      </w:r>
    </w:p>
    <w:p>
      <w:pPr>
        <w:spacing w:line="360" w:lineRule="auto"/>
        <w:ind w:firstLine="420" w:firstLineChars="200"/>
        <w:rPr>
          <w:szCs w:val="21"/>
        </w:rPr>
      </w:pPr>
      <w:r>
        <w:rPr>
          <w:szCs w:val="21"/>
        </w:rPr>
        <w:t>2</w:t>
      </w:r>
      <w:r>
        <w:rPr>
          <w:rFonts w:hint="eastAsia"/>
          <w:szCs w:val="21"/>
        </w:rPr>
        <w:t>．当基金份额净值计算差错给基金和基金份额持有人造成损失需要进行赔偿时，基金管理人和基金托管人应根据实际情况界定双方承担的责任，经确认后按以下条款进行赔偿：</w:t>
      </w:r>
    </w:p>
    <w:p>
      <w:pPr>
        <w:spacing w:line="360" w:lineRule="auto"/>
        <w:ind w:firstLine="420" w:firstLineChars="200"/>
        <w:rPr>
          <w:szCs w:val="21"/>
        </w:rPr>
      </w:pPr>
      <w:r>
        <w:rPr>
          <w:rFonts w:hint="eastAsia"/>
          <w:szCs w:val="21"/>
        </w:rPr>
        <w:t>（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spacing w:line="360" w:lineRule="auto"/>
        <w:ind w:firstLine="420" w:firstLineChars="200"/>
        <w:rPr>
          <w:szCs w:val="21"/>
        </w:rPr>
      </w:pPr>
      <w:r>
        <w:rPr>
          <w:rFonts w:hint="eastAsia"/>
          <w:szCs w:val="21"/>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过错程度各自承担相应的责任。</w:t>
      </w:r>
    </w:p>
    <w:p>
      <w:pPr>
        <w:spacing w:line="360" w:lineRule="auto"/>
        <w:ind w:firstLine="420" w:firstLineChars="200"/>
        <w:rPr>
          <w:szCs w:val="21"/>
        </w:rPr>
      </w:pPr>
      <w:r>
        <w:rPr>
          <w:rFonts w:hint="eastAsia"/>
          <w:szCs w:val="21"/>
        </w:rPr>
        <w:t>（3）如基金管理人和基金托管人对基金份额净值的计算结果，虽然多次重新计算和核对，尚不能达成一致时，为避免不能按时公布基金份额净值的情形，以基金管理人的计算结果对外公布，如果由此给基金份额持有人和基金造成了损失，由基金管理人负责赔付。</w:t>
      </w:r>
    </w:p>
    <w:p>
      <w:pPr>
        <w:spacing w:line="360" w:lineRule="auto"/>
        <w:ind w:firstLine="420" w:firstLineChars="200"/>
        <w:rPr>
          <w:szCs w:val="21"/>
        </w:rPr>
      </w:pPr>
      <w:r>
        <w:rPr>
          <w:rFonts w:hint="eastAsia"/>
          <w:szCs w:val="21"/>
        </w:rPr>
        <w:t>（4）由于一方提供的信息错误（包括但不限于基金申购或赎回金额等），进而导致基金份额净值计算错误而引起的基金份额持有人和基金财产的损失，由提供错误信息的</w:t>
      </w:r>
      <w:r>
        <w:rPr>
          <w:szCs w:val="21"/>
        </w:rPr>
        <w:t>当事人一方</w:t>
      </w:r>
      <w:r>
        <w:rPr>
          <w:rFonts w:hint="eastAsia"/>
          <w:szCs w:val="21"/>
        </w:rPr>
        <w:t>负责赔付。</w:t>
      </w:r>
    </w:p>
    <w:p>
      <w:pPr>
        <w:spacing w:line="360" w:lineRule="auto"/>
        <w:ind w:firstLine="420" w:firstLineChars="200"/>
        <w:rPr>
          <w:szCs w:val="21"/>
        </w:rPr>
      </w:pPr>
      <w:r>
        <w:rPr>
          <w:szCs w:val="21"/>
        </w:rPr>
        <w:t>3</w:t>
      </w:r>
      <w:r>
        <w:rPr>
          <w:rFonts w:hint="eastAsia"/>
          <w:szCs w:val="21"/>
        </w:rPr>
        <w:t>．基金管理人和基金托管人由于各自技术系统设置而产生的净值计算尾差，以基金管理人计算结果为准。</w:t>
      </w:r>
    </w:p>
    <w:p>
      <w:pPr>
        <w:spacing w:line="360" w:lineRule="auto"/>
        <w:ind w:firstLine="420" w:firstLineChars="200"/>
        <w:rPr>
          <w:szCs w:val="21"/>
        </w:rPr>
      </w:pPr>
      <w:r>
        <w:rPr>
          <w:szCs w:val="21"/>
        </w:rPr>
        <w:t>4</w:t>
      </w:r>
      <w:r>
        <w:rPr>
          <w:rFonts w:hint="eastAsia"/>
          <w:szCs w:val="21"/>
        </w:rPr>
        <w:t>．前述内容如法律法规或者监管部门另有规定的，从其规定。如果行业另有通行做法，双方当事人应本着平等和保护基金份额持有人利益的原则进行协商。</w:t>
      </w:r>
    </w:p>
    <w:p>
      <w:pPr>
        <w:spacing w:line="360" w:lineRule="auto"/>
        <w:ind w:firstLine="420" w:firstLineChars="200"/>
        <w:rPr>
          <w:szCs w:val="21"/>
        </w:rPr>
      </w:pPr>
      <w:r>
        <w:rPr>
          <w:rFonts w:hint="eastAsia"/>
          <w:szCs w:val="21"/>
        </w:rPr>
        <w:t>（四）暂停估值的情形</w:t>
      </w:r>
    </w:p>
    <w:p>
      <w:pPr>
        <w:spacing w:line="360" w:lineRule="auto"/>
        <w:ind w:firstLine="420" w:firstLineChars="200"/>
        <w:rPr>
          <w:szCs w:val="21"/>
        </w:rPr>
      </w:pPr>
      <w:r>
        <w:rPr>
          <w:szCs w:val="21"/>
        </w:rPr>
        <w:t>1</w:t>
      </w:r>
      <w:r>
        <w:rPr>
          <w:rFonts w:hint="eastAsia"/>
          <w:szCs w:val="21"/>
        </w:rPr>
        <w:t>．基金投资所涉及的证券交易市场遇法定节假日或因其他原因暂停营业时；</w:t>
      </w:r>
    </w:p>
    <w:p>
      <w:pPr>
        <w:spacing w:line="360" w:lineRule="auto"/>
        <w:ind w:firstLine="420" w:firstLineChars="200"/>
        <w:rPr>
          <w:szCs w:val="21"/>
        </w:rPr>
      </w:pPr>
      <w:r>
        <w:rPr>
          <w:szCs w:val="21"/>
        </w:rPr>
        <w:t>2</w:t>
      </w:r>
      <w:r>
        <w:rPr>
          <w:rFonts w:hint="eastAsia"/>
          <w:szCs w:val="21"/>
        </w:rPr>
        <w:t>．因不可抗力致使基金管理人、基金托管人无法准确评估基金资产价值时；</w:t>
      </w:r>
    </w:p>
    <w:p>
      <w:pPr>
        <w:spacing w:line="360" w:lineRule="auto"/>
        <w:ind w:firstLine="420" w:firstLineChars="200"/>
        <w:rPr>
          <w:szCs w:val="21"/>
        </w:rPr>
      </w:pPr>
      <w:r>
        <w:rPr>
          <w:rFonts w:hint="eastAsia"/>
          <w:szCs w:val="21"/>
        </w:rPr>
        <w:t>3、当特定资产占前一估值日基金资产净值50%以上的，经与基金托管人协商确认后，基金管理人应当暂停估值；</w:t>
      </w:r>
    </w:p>
    <w:p>
      <w:pPr>
        <w:spacing w:line="360" w:lineRule="auto"/>
        <w:ind w:firstLine="420" w:firstLineChars="200"/>
        <w:rPr>
          <w:szCs w:val="21"/>
        </w:rPr>
      </w:pPr>
      <w:r>
        <w:rPr>
          <w:rFonts w:hint="eastAsia"/>
          <w:szCs w:val="21"/>
        </w:rPr>
        <w:t>4．法律法规</w:t>
      </w:r>
      <w:r>
        <w:rPr>
          <w:szCs w:val="21"/>
        </w:rPr>
        <w:t>规定、</w:t>
      </w:r>
      <w:r>
        <w:rPr>
          <w:rFonts w:hint="eastAsia"/>
          <w:szCs w:val="21"/>
        </w:rPr>
        <w:t>中国证监会和基金合同认定的其他情形。</w:t>
      </w:r>
    </w:p>
    <w:p>
      <w:pPr>
        <w:spacing w:line="360" w:lineRule="auto"/>
        <w:ind w:firstLine="420" w:firstLineChars="200"/>
        <w:rPr>
          <w:szCs w:val="21"/>
        </w:rPr>
      </w:pPr>
      <w:r>
        <w:rPr>
          <w:rFonts w:hint="eastAsia"/>
          <w:szCs w:val="21"/>
        </w:rPr>
        <w:t>（五）基金会计制度</w:t>
      </w:r>
    </w:p>
    <w:p>
      <w:pPr>
        <w:spacing w:line="360" w:lineRule="auto"/>
        <w:ind w:firstLine="420" w:firstLineChars="200"/>
        <w:rPr>
          <w:szCs w:val="21"/>
        </w:rPr>
      </w:pPr>
      <w:r>
        <w:rPr>
          <w:rFonts w:hint="eastAsia"/>
          <w:szCs w:val="21"/>
        </w:rPr>
        <w:t>按国家有关部门规定的会计制度执行。</w:t>
      </w:r>
    </w:p>
    <w:p>
      <w:pPr>
        <w:spacing w:line="360" w:lineRule="auto"/>
        <w:ind w:firstLine="420" w:firstLineChars="200"/>
        <w:rPr>
          <w:szCs w:val="21"/>
        </w:rPr>
      </w:pPr>
      <w:r>
        <w:rPr>
          <w:rFonts w:hint="eastAsia"/>
          <w:szCs w:val="21"/>
        </w:rPr>
        <w:t>（六）基金账册的建立</w:t>
      </w:r>
    </w:p>
    <w:p>
      <w:pPr>
        <w:spacing w:line="360" w:lineRule="auto"/>
        <w:ind w:firstLine="420" w:firstLineChars="200"/>
        <w:rPr>
          <w:szCs w:val="21"/>
        </w:rPr>
      </w:pPr>
      <w:r>
        <w:rPr>
          <w:rFonts w:hint="eastAsia"/>
          <w:szCs w:val="21"/>
        </w:rPr>
        <w:t>基金管理人进行基金会计核算并编制基金财务会计报告。基金管理人、</w:t>
      </w:r>
      <w:r>
        <w:rPr>
          <w:szCs w:val="21"/>
        </w:rPr>
        <w:t>基金托管人分别</w:t>
      </w:r>
      <w:r>
        <w:rPr>
          <w:rFonts w:hint="eastAsia"/>
          <w:szCs w:val="21"/>
        </w:rPr>
        <w:t>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w:t>
      </w:r>
    </w:p>
    <w:p>
      <w:pPr>
        <w:spacing w:line="360" w:lineRule="auto"/>
        <w:ind w:firstLine="420" w:firstLineChars="200"/>
        <w:rPr>
          <w:szCs w:val="21"/>
        </w:rPr>
      </w:pPr>
      <w:r>
        <w:rPr>
          <w:rFonts w:hint="eastAsia"/>
          <w:szCs w:val="21"/>
        </w:rPr>
        <w:t>（七）基金财务报表与报告的编制和复核</w:t>
      </w:r>
    </w:p>
    <w:p>
      <w:pPr>
        <w:spacing w:line="360" w:lineRule="auto"/>
        <w:ind w:firstLine="420" w:firstLineChars="200"/>
        <w:rPr>
          <w:szCs w:val="21"/>
        </w:rPr>
      </w:pPr>
      <w:r>
        <w:rPr>
          <w:szCs w:val="21"/>
        </w:rPr>
        <w:t>1</w:t>
      </w:r>
      <w:r>
        <w:rPr>
          <w:rFonts w:hint="eastAsia"/>
          <w:szCs w:val="21"/>
        </w:rPr>
        <w:t>．财务报表的编制</w:t>
      </w:r>
    </w:p>
    <w:p>
      <w:pPr>
        <w:spacing w:line="360" w:lineRule="auto"/>
        <w:ind w:firstLine="420" w:firstLineChars="200"/>
        <w:rPr>
          <w:szCs w:val="21"/>
        </w:rPr>
      </w:pPr>
      <w:r>
        <w:rPr>
          <w:rFonts w:hint="eastAsia"/>
          <w:szCs w:val="21"/>
        </w:rPr>
        <w:t>基金财务报表由基金管理人编制，基金托管人复核。</w:t>
      </w:r>
    </w:p>
    <w:p>
      <w:pPr>
        <w:spacing w:line="360" w:lineRule="auto"/>
        <w:ind w:firstLine="420" w:firstLineChars="200"/>
        <w:rPr>
          <w:szCs w:val="21"/>
        </w:rPr>
      </w:pPr>
      <w:r>
        <w:rPr>
          <w:szCs w:val="21"/>
        </w:rPr>
        <w:t>2</w:t>
      </w:r>
      <w:r>
        <w:rPr>
          <w:rFonts w:hint="eastAsia"/>
          <w:szCs w:val="21"/>
        </w:rPr>
        <w:t>．报表复核</w:t>
      </w:r>
    </w:p>
    <w:p>
      <w:pPr>
        <w:spacing w:line="360" w:lineRule="auto"/>
        <w:ind w:firstLine="420" w:firstLineChars="200"/>
        <w:rPr>
          <w:szCs w:val="21"/>
        </w:rPr>
      </w:pPr>
      <w:r>
        <w:rPr>
          <w:rFonts w:hint="eastAsia"/>
          <w:szCs w:val="21"/>
        </w:rPr>
        <w:t>基金托管人在收到基金管理人编制的基金财务报表后，进行独立的复核。核对不符时，应及时通知基金管理人共同查出原因，进行调整，直至双方数据完全一致。</w:t>
      </w:r>
    </w:p>
    <w:p>
      <w:pPr>
        <w:spacing w:line="360" w:lineRule="auto"/>
        <w:ind w:firstLine="420" w:firstLineChars="200"/>
        <w:rPr>
          <w:szCs w:val="21"/>
        </w:rPr>
      </w:pPr>
      <w:r>
        <w:rPr>
          <w:szCs w:val="21"/>
        </w:rPr>
        <w:t>3</w:t>
      </w:r>
      <w:r>
        <w:rPr>
          <w:rFonts w:hint="eastAsia"/>
          <w:szCs w:val="21"/>
        </w:rPr>
        <w:t>．财务报表的编制与复核时间安排</w:t>
      </w:r>
    </w:p>
    <w:p>
      <w:pPr>
        <w:spacing w:line="360" w:lineRule="auto"/>
        <w:ind w:firstLine="420" w:firstLineChars="200"/>
        <w:rPr>
          <w:szCs w:val="21"/>
        </w:rPr>
      </w:pPr>
      <w:r>
        <w:rPr>
          <w:rFonts w:hint="eastAsia"/>
          <w:szCs w:val="21"/>
        </w:rPr>
        <w:t>（1）报表的编制</w:t>
      </w:r>
    </w:p>
    <w:p>
      <w:pPr>
        <w:spacing w:line="360" w:lineRule="auto"/>
        <w:ind w:firstLine="420" w:firstLineChars="200"/>
        <w:rPr>
          <w:szCs w:val="21"/>
        </w:rPr>
      </w:pPr>
      <w:r>
        <w:rPr>
          <w:rFonts w:hint="eastAsia"/>
          <w:szCs w:val="21"/>
        </w:rPr>
        <w:t>基金管理人应当在每个季度结束之日起</w:t>
      </w:r>
      <w:r>
        <w:rPr>
          <w:szCs w:val="21"/>
        </w:rPr>
        <w:t>15</w:t>
      </w:r>
      <w:r>
        <w:rPr>
          <w:rFonts w:hint="eastAsia"/>
          <w:szCs w:val="21"/>
        </w:rPr>
        <w:t>个工作日内完成基金季度报告的编制；在上半年结束之日起两个月内完成基金中期报告的编制；在每年结束之日起三个月内完成基金年度报告的编制。基金年度报告中的财务会计报告应当经过具有证券、期货相关业务资格的会计师事务所审计。基金合同生效不足2个月的，基金管理人可以不编制当期季度报告、中期报告或者年度报告。</w:t>
      </w:r>
    </w:p>
    <w:p>
      <w:pPr>
        <w:spacing w:line="360" w:lineRule="auto"/>
        <w:ind w:firstLine="420" w:firstLineChars="200"/>
        <w:rPr>
          <w:szCs w:val="21"/>
        </w:rPr>
      </w:pPr>
      <w:r>
        <w:rPr>
          <w:rFonts w:hint="eastAsia"/>
          <w:szCs w:val="21"/>
        </w:rPr>
        <w:t>（2）报表的复核</w:t>
      </w:r>
    </w:p>
    <w:p>
      <w:pPr>
        <w:spacing w:line="360" w:lineRule="auto"/>
        <w:ind w:firstLine="420" w:firstLineChars="200"/>
        <w:rPr>
          <w:szCs w:val="21"/>
        </w:rPr>
      </w:pPr>
      <w:r>
        <w:rPr>
          <w:rFonts w:hint="eastAsia"/>
          <w:szCs w:val="21"/>
        </w:rPr>
        <w:t>基金管理人应及时完成报表编制，将有关报表提供基金托管人复核；基金托管人在复核过程中，发现双方的报表存在不符时，基金管理人和基金托管人应共同查明原因，进行调整，调整以国家有关规定为准。</w:t>
      </w:r>
    </w:p>
    <w:p>
      <w:pPr>
        <w:spacing w:line="360" w:lineRule="auto"/>
        <w:ind w:firstLine="420" w:firstLineChars="200"/>
        <w:rPr>
          <w:szCs w:val="21"/>
        </w:rPr>
      </w:pPr>
      <w:r>
        <w:rPr>
          <w:rFonts w:hint="eastAsia"/>
          <w:szCs w:val="21"/>
        </w:rPr>
        <w:t>基金管理人应留足充分的时间，便于基金托管人复核相关报表及报告。</w:t>
      </w:r>
    </w:p>
    <w:p>
      <w:pPr>
        <w:spacing w:line="360" w:lineRule="auto"/>
        <w:ind w:firstLine="420" w:firstLineChars="200"/>
        <w:rPr>
          <w:szCs w:val="21"/>
        </w:rPr>
      </w:pPr>
    </w:p>
    <w:p>
      <w:pPr>
        <w:spacing w:line="360" w:lineRule="auto"/>
        <w:ind w:firstLine="420" w:firstLineChars="200"/>
        <w:rPr>
          <w:szCs w:val="21"/>
        </w:rPr>
      </w:pPr>
      <w:r>
        <w:rPr>
          <w:szCs w:val="21"/>
        </w:rPr>
        <w:br w:type="page"/>
      </w:r>
    </w:p>
    <w:bookmarkEnd w:id="90"/>
    <w:bookmarkEnd w:id="91"/>
    <w:bookmarkEnd w:id="92"/>
    <w:bookmarkEnd w:id="93"/>
    <w:p>
      <w:pPr>
        <w:pStyle w:val="3"/>
        <w:numPr>
          <w:ilvl w:val="0"/>
          <w:numId w:val="0"/>
        </w:numPr>
        <w:snapToGrid w:val="0"/>
        <w:spacing w:before="0" w:after="0" w:line="360" w:lineRule="auto"/>
        <w:ind w:left="576"/>
        <w:rPr>
          <w:rFonts w:ascii="Times New Roman" w:hAnsi="Times New Roman"/>
        </w:rPr>
      </w:pPr>
      <w:bookmarkStart w:id="94" w:name="_Toc290284051"/>
      <w:bookmarkStart w:id="95" w:name="_Toc140002344"/>
      <w:bookmarkStart w:id="96" w:name="_Toc125361081"/>
      <w:bookmarkStart w:id="97" w:name="_Toc411875695"/>
      <w:bookmarkStart w:id="98" w:name="_Toc283383022"/>
      <w:bookmarkStart w:id="99" w:name="_Toc123626175"/>
      <w:bookmarkStart w:id="100" w:name="_Toc124749944"/>
      <w:bookmarkStart w:id="101" w:name="_Toc124749233"/>
      <w:r>
        <w:rPr>
          <w:rFonts w:hint="eastAsia" w:ascii="Times New Roman" w:hAnsi="Times New Roman"/>
        </w:rPr>
        <w:t>九、基金收益分配</w:t>
      </w:r>
      <w:bookmarkEnd w:id="94"/>
      <w:bookmarkEnd w:id="95"/>
      <w:bookmarkEnd w:id="96"/>
      <w:bookmarkEnd w:id="97"/>
      <w:bookmarkEnd w:id="98"/>
      <w:bookmarkEnd w:id="99"/>
      <w:bookmarkEnd w:id="100"/>
      <w:bookmarkEnd w:id="101"/>
    </w:p>
    <w:p>
      <w:pPr>
        <w:spacing w:line="360" w:lineRule="auto"/>
        <w:ind w:firstLine="420" w:firstLineChars="200"/>
        <w:rPr>
          <w:szCs w:val="21"/>
        </w:rPr>
      </w:pPr>
      <w:bookmarkStart w:id="102" w:name="_Toc48703913"/>
      <w:bookmarkStart w:id="103" w:name="_Toc22454462"/>
      <w:r>
        <w:rPr>
          <w:rFonts w:hint="eastAsia"/>
          <w:szCs w:val="21"/>
        </w:rPr>
        <w:t>基金收益分配是指按规定将基金的可分配收益按基金份额进行比例分配。</w:t>
      </w:r>
    </w:p>
    <w:p>
      <w:pPr>
        <w:spacing w:line="360" w:lineRule="auto"/>
        <w:ind w:firstLine="420" w:firstLineChars="200"/>
        <w:rPr>
          <w:szCs w:val="21"/>
        </w:rPr>
      </w:pPr>
      <w:r>
        <w:rPr>
          <w:rFonts w:hint="eastAsia"/>
          <w:szCs w:val="21"/>
        </w:rPr>
        <w:t>（一）基金收益分配的原则</w:t>
      </w:r>
    </w:p>
    <w:p>
      <w:pPr>
        <w:spacing w:line="360" w:lineRule="auto"/>
        <w:ind w:firstLine="472" w:firstLineChars="225"/>
        <w:rPr>
          <w:szCs w:val="21"/>
        </w:rPr>
      </w:pPr>
      <w:r>
        <w:rPr>
          <w:rFonts w:hint="eastAsia"/>
          <w:szCs w:val="21"/>
        </w:rPr>
        <w:t>基金收益分配应遵循下列原则：</w:t>
      </w:r>
    </w:p>
    <w:p>
      <w:pPr>
        <w:spacing w:line="360" w:lineRule="auto"/>
        <w:ind w:firstLine="472" w:firstLineChars="225"/>
        <w:rPr>
          <w:szCs w:val="21"/>
        </w:rPr>
      </w:pPr>
      <w:r>
        <w:rPr>
          <w:szCs w:val="21"/>
        </w:rPr>
        <w:t>1</w:t>
      </w:r>
      <w:r>
        <w:rPr>
          <w:rFonts w:hint="eastAsia"/>
          <w:szCs w:val="21"/>
        </w:rPr>
        <w:t>、在符合有关基金分红条件的前提下，本基金每年收益分配次数最多为4次，每份基金份额每次收益分配比例不得低于该次收益分配基准日每份基金份额可供分配利润的20%，若《基金合同》生效不满3个月可不进行收益分配；</w:t>
      </w:r>
    </w:p>
    <w:p>
      <w:pPr>
        <w:spacing w:line="360" w:lineRule="auto"/>
        <w:ind w:firstLine="472" w:firstLineChars="225"/>
        <w:rPr>
          <w:szCs w:val="21"/>
        </w:rPr>
      </w:pPr>
      <w:r>
        <w:rPr>
          <w:rFonts w:hint="eastAsia"/>
          <w:szCs w:val="21"/>
        </w:rPr>
        <w:t>2、本基金收益分配方式分两种：现金分红与红利再投资，投资者可选择现金红利或将现金红利自动转为</w:t>
      </w:r>
      <w:r>
        <w:rPr>
          <w:rFonts w:hint="eastAsia"/>
          <w:bCs/>
          <w:szCs w:val="21"/>
        </w:rPr>
        <w:t>相应类别的</w:t>
      </w:r>
      <w:r>
        <w:rPr>
          <w:rFonts w:hint="eastAsia"/>
          <w:szCs w:val="21"/>
        </w:rPr>
        <w:t>基金份额进行再投资</w:t>
      </w:r>
      <w:r>
        <w:rPr>
          <w:rFonts w:hint="eastAsia"/>
          <w:bCs/>
          <w:szCs w:val="21"/>
        </w:rPr>
        <w:t>，且基金份额持有人可对</w:t>
      </w:r>
      <w:r>
        <w:rPr>
          <w:bCs/>
          <w:szCs w:val="21"/>
        </w:rPr>
        <w:t>A</w:t>
      </w:r>
      <w:r>
        <w:rPr>
          <w:rFonts w:hint="eastAsia"/>
          <w:bCs/>
          <w:szCs w:val="21"/>
        </w:rPr>
        <w:t>类、</w:t>
      </w:r>
      <w:r>
        <w:rPr>
          <w:bCs/>
          <w:szCs w:val="21"/>
        </w:rPr>
        <w:t>C</w:t>
      </w:r>
      <w:r>
        <w:rPr>
          <w:rFonts w:hint="eastAsia"/>
          <w:bCs/>
          <w:szCs w:val="21"/>
        </w:rPr>
        <w:t>类基金份额分别选择不同的分红方式</w:t>
      </w:r>
      <w:r>
        <w:rPr>
          <w:rFonts w:hint="eastAsia"/>
          <w:szCs w:val="21"/>
        </w:rPr>
        <w:t>；若投资者不选择，本基金默认的收益分配方式是现金分红；</w:t>
      </w:r>
    </w:p>
    <w:p>
      <w:pPr>
        <w:spacing w:line="360" w:lineRule="auto"/>
        <w:ind w:firstLine="472" w:firstLineChars="225"/>
        <w:rPr>
          <w:szCs w:val="21"/>
        </w:rPr>
      </w:pPr>
      <w:r>
        <w:rPr>
          <w:rFonts w:hint="eastAsia"/>
          <w:szCs w:val="21"/>
        </w:rPr>
        <w:t>3、基金收益分配后</w:t>
      </w:r>
      <w:r>
        <w:rPr>
          <w:rFonts w:hint="eastAsia"/>
          <w:szCs w:val="21"/>
          <w:lang w:val="en-US" w:eastAsia="zh-CN"/>
        </w:rPr>
        <w:t>各类</w:t>
      </w:r>
      <w:r>
        <w:rPr>
          <w:rFonts w:hint="eastAsia"/>
          <w:szCs w:val="21"/>
        </w:rPr>
        <w:t>基金份额净值不能低于面值，即基金收益分配基准日的</w:t>
      </w:r>
      <w:r>
        <w:rPr>
          <w:rFonts w:hint="eastAsia"/>
          <w:szCs w:val="21"/>
          <w:lang w:val="en-US" w:eastAsia="zh-CN"/>
        </w:rPr>
        <w:t>各类</w:t>
      </w:r>
      <w:r>
        <w:rPr>
          <w:rFonts w:hint="eastAsia"/>
          <w:szCs w:val="21"/>
        </w:rPr>
        <w:t>基金份额净值减去每单位</w:t>
      </w:r>
      <w:r>
        <w:rPr>
          <w:rFonts w:hint="eastAsia"/>
          <w:szCs w:val="21"/>
          <w:lang w:val="en-US" w:eastAsia="zh-CN"/>
        </w:rPr>
        <w:t>该类</w:t>
      </w:r>
      <w:r>
        <w:rPr>
          <w:rFonts w:hint="eastAsia"/>
          <w:szCs w:val="21"/>
        </w:rPr>
        <w:t>基金份额收益分配金额后不能低于面值；</w:t>
      </w:r>
    </w:p>
    <w:p>
      <w:pPr>
        <w:spacing w:line="360" w:lineRule="auto"/>
        <w:ind w:firstLine="472" w:firstLineChars="225"/>
        <w:rPr>
          <w:szCs w:val="21"/>
        </w:rPr>
      </w:pPr>
      <w:r>
        <w:rPr>
          <w:rFonts w:hint="eastAsia"/>
          <w:szCs w:val="21"/>
        </w:rPr>
        <w:t>4、</w:t>
      </w:r>
      <w:r>
        <w:rPr>
          <w:rFonts w:hint="eastAsia"/>
          <w:bCs/>
          <w:szCs w:val="21"/>
        </w:rPr>
        <w:t>本基金各类基金份额在费用收取上不同，其对应的可分配收益可能有所不同。本基金同一类别的</w:t>
      </w:r>
      <w:r>
        <w:rPr>
          <w:rFonts w:hint="eastAsia"/>
          <w:szCs w:val="21"/>
        </w:rPr>
        <w:t>每一基金份额享有同等分配权；</w:t>
      </w:r>
    </w:p>
    <w:p>
      <w:pPr>
        <w:spacing w:line="360" w:lineRule="auto"/>
        <w:ind w:firstLine="472" w:firstLineChars="225"/>
        <w:rPr>
          <w:szCs w:val="21"/>
        </w:rPr>
      </w:pPr>
      <w:r>
        <w:rPr>
          <w:rFonts w:hint="eastAsia"/>
          <w:szCs w:val="21"/>
        </w:rPr>
        <w:t>5、法律法规或监管机关另有规定的，从其规定。</w:t>
      </w:r>
    </w:p>
    <w:p>
      <w:pPr>
        <w:spacing w:line="360" w:lineRule="auto"/>
        <w:ind w:firstLine="472" w:firstLineChars="225"/>
        <w:rPr>
          <w:szCs w:val="21"/>
        </w:rPr>
      </w:pPr>
      <w:r>
        <w:rPr>
          <w:rFonts w:hint="eastAsia"/>
          <w:szCs w:val="21"/>
        </w:rPr>
        <w:t>在符合法律法规及基金合同约定，并对基金份额持有人利益无实质不利影响的前提下，基金管理人可对基金收益分配原则和支付方式进行调整，不需召开基金份额持有人大会。</w:t>
      </w:r>
    </w:p>
    <w:p>
      <w:pPr>
        <w:spacing w:line="360" w:lineRule="auto"/>
        <w:ind w:firstLine="472" w:firstLineChars="225"/>
        <w:rPr>
          <w:szCs w:val="21"/>
        </w:rPr>
      </w:pPr>
    </w:p>
    <w:p>
      <w:pPr>
        <w:spacing w:line="360" w:lineRule="auto"/>
        <w:ind w:firstLine="420" w:firstLineChars="200"/>
        <w:rPr>
          <w:szCs w:val="21"/>
        </w:rPr>
      </w:pPr>
      <w:r>
        <w:rPr>
          <w:rFonts w:hint="eastAsia"/>
          <w:szCs w:val="21"/>
        </w:rPr>
        <w:t>（二）基金收益分配的时间和程序</w:t>
      </w:r>
    </w:p>
    <w:p>
      <w:pPr>
        <w:spacing w:line="360" w:lineRule="auto"/>
        <w:ind w:firstLine="420" w:firstLineChars="200"/>
        <w:rPr>
          <w:szCs w:val="21"/>
        </w:rPr>
      </w:pPr>
      <w:r>
        <w:rPr>
          <w:rFonts w:hint="eastAsia"/>
          <w:szCs w:val="21"/>
        </w:rPr>
        <w:t>本基金收益分配方案由基金管理人拟订，并由基金托管人复核，依照《信息披露办法》的有关规定在指定媒介公告。基金红利发放日距离收益分配基准日（即可供分配利润计算截止日）的时间不得超过</w:t>
      </w:r>
      <w:r>
        <w:rPr>
          <w:szCs w:val="21"/>
        </w:rPr>
        <w:t>15</w:t>
      </w:r>
      <w:r>
        <w:rPr>
          <w:rFonts w:hint="eastAsia"/>
          <w:szCs w:val="21"/>
        </w:rPr>
        <w:t>个工作日。基金收益分配方案公告后（依据具体方案的规定），基金管理人就支付的现金红利向基金托管人发送划款指令，基金托管人按照基金管理人的指令及时进行分红资金的划付。</w:t>
      </w:r>
    </w:p>
    <w:p>
      <w:pPr>
        <w:spacing w:line="360" w:lineRule="auto"/>
        <w:ind w:firstLine="420" w:firstLineChars="200"/>
        <w:rPr>
          <w:szCs w:val="21"/>
        </w:rPr>
      </w:pPr>
      <w:r>
        <w:rPr>
          <w:rFonts w:hint="eastAsia"/>
          <w:szCs w:val="21"/>
        </w:rPr>
        <w:t>基金收益分配时所发生的银行转账或其他手续费用由投资者自行承担。当投资者的现金红利小于一定金额，不足于支付银行转账或其他手续费用时，基金登记机构可将基金份额持有人的现金红利按</w:t>
      </w:r>
      <w:r>
        <w:rPr>
          <w:szCs w:val="21"/>
        </w:rPr>
        <w:t>除权日的该类别基金份额净值</w:t>
      </w:r>
      <w:r>
        <w:rPr>
          <w:rFonts w:hint="eastAsia"/>
          <w:szCs w:val="21"/>
        </w:rPr>
        <w:t>自动转为相应类别的基金份额。红利再投资的计算方法，依照《业务规则》执行。</w:t>
      </w:r>
      <w:bookmarkEnd w:id="102"/>
      <w:bookmarkEnd w:id="103"/>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04" w:name="_Toc124749945"/>
      <w:bookmarkStart w:id="105" w:name="_Toc123626176"/>
      <w:bookmarkStart w:id="106" w:name="_Toc466788861"/>
      <w:bookmarkStart w:id="107" w:name="_Toc48703916"/>
      <w:bookmarkStart w:id="108" w:name="_Toc125361082"/>
      <w:bookmarkStart w:id="109" w:name="_Toc290284052"/>
      <w:bookmarkStart w:id="110" w:name="_Toc523830002"/>
      <w:bookmarkStart w:id="111" w:name="_Toc283383023"/>
      <w:bookmarkStart w:id="112" w:name="_Toc124749234"/>
      <w:bookmarkStart w:id="113" w:name="_Toc140002345"/>
      <w:bookmarkStart w:id="114" w:name="_Toc411875696"/>
      <w:bookmarkStart w:id="115" w:name="_Toc22454465"/>
      <w:r>
        <w:rPr>
          <w:rFonts w:hint="eastAsia" w:ascii="Times New Roman" w:hAnsi="Times New Roman"/>
        </w:rPr>
        <w:t>十、基金信息披露</w:t>
      </w:r>
      <w:bookmarkEnd w:id="104"/>
      <w:bookmarkEnd w:id="105"/>
      <w:bookmarkEnd w:id="106"/>
      <w:bookmarkEnd w:id="107"/>
      <w:bookmarkEnd w:id="108"/>
      <w:bookmarkEnd w:id="109"/>
      <w:bookmarkEnd w:id="110"/>
      <w:bookmarkEnd w:id="111"/>
      <w:bookmarkEnd w:id="112"/>
      <w:bookmarkEnd w:id="113"/>
      <w:bookmarkEnd w:id="114"/>
      <w:bookmarkEnd w:id="115"/>
    </w:p>
    <w:p>
      <w:pPr>
        <w:spacing w:line="360" w:lineRule="auto"/>
        <w:ind w:firstLine="420" w:firstLineChars="200"/>
        <w:rPr>
          <w:szCs w:val="21"/>
        </w:rPr>
      </w:pPr>
      <w:r>
        <w:rPr>
          <w:rFonts w:hint="eastAsia"/>
          <w:szCs w:val="21"/>
        </w:rPr>
        <w:t>（一）保密义务</w:t>
      </w:r>
    </w:p>
    <w:p>
      <w:pPr>
        <w:spacing w:line="360" w:lineRule="auto"/>
        <w:ind w:firstLine="420" w:firstLineChars="200"/>
        <w:rPr>
          <w:szCs w:val="21"/>
        </w:rPr>
      </w:pPr>
      <w:r>
        <w:rPr>
          <w:rFonts w:hint="eastAsia"/>
          <w:szCs w:val="21"/>
        </w:rPr>
        <w:t>基金托管人和基金管理人应按法律法规、基金合同的有关规定进行信息披露，拟公开披露的信息在公开披露之前应予保密。除按《基金法》、基金合同、《信息披露办法》及其他有关规定进行信息披露外，基金管理人和基金托管人对基金运作中产生的信息以及从对方获得的业务信息应予保密。但是，如下情况不应视为基金管理人或基金托管人违反保密义务：</w:t>
      </w:r>
    </w:p>
    <w:p>
      <w:pPr>
        <w:spacing w:line="360" w:lineRule="auto"/>
        <w:ind w:firstLine="420" w:firstLineChars="200"/>
        <w:rPr>
          <w:szCs w:val="21"/>
        </w:rPr>
      </w:pPr>
      <w:r>
        <w:rPr>
          <w:szCs w:val="21"/>
        </w:rPr>
        <w:t>1</w:t>
      </w:r>
      <w:r>
        <w:rPr>
          <w:rFonts w:hint="eastAsia"/>
          <w:szCs w:val="21"/>
        </w:rPr>
        <w:t>．非因基金管理人和基金托管人的原因导致保密信息被披露、泄露或公开；</w:t>
      </w:r>
    </w:p>
    <w:p>
      <w:pPr>
        <w:spacing w:line="360" w:lineRule="auto"/>
        <w:ind w:firstLine="420" w:firstLineChars="200"/>
        <w:rPr>
          <w:szCs w:val="21"/>
        </w:rPr>
      </w:pPr>
      <w:r>
        <w:rPr>
          <w:szCs w:val="21"/>
        </w:rPr>
        <w:t>2</w:t>
      </w:r>
      <w:r>
        <w:rPr>
          <w:rFonts w:hint="eastAsia"/>
          <w:szCs w:val="21"/>
        </w:rPr>
        <w:t>．基金管理人和基金托管人为遵守和服从法院判决或裁定、仲裁裁决或中国证监会等监管机构的命令、决定所做出的信息披露或公开；</w:t>
      </w:r>
    </w:p>
    <w:p>
      <w:pPr>
        <w:spacing w:line="360" w:lineRule="auto"/>
        <w:ind w:firstLine="420" w:firstLineChars="200"/>
        <w:rPr>
          <w:szCs w:val="21"/>
        </w:rPr>
      </w:pPr>
      <w:r>
        <w:rPr>
          <w:rFonts w:hint="eastAsia"/>
          <w:szCs w:val="21"/>
        </w:rPr>
        <w:t>3、基金管理人和基金托管人在要求保密的前提下对自身聘请的外部法律顾问、财务顾问、审计人员、技术顾问等做出的必要信息披露。</w:t>
      </w:r>
    </w:p>
    <w:p>
      <w:pPr>
        <w:spacing w:line="360" w:lineRule="auto"/>
        <w:ind w:firstLine="420" w:firstLineChars="200"/>
        <w:rPr>
          <w:szCs w:val="21"/>
        </w:rPr>
      </w:pPr>
      <w:r>
        <w:rPr>
          <w:rFonts w:hint="eastAsia"/>
          <w:szCs w:val="21"/>
        </w:rPr>
        <w:t>（二）信息披露的内容</w:t>
      </w:r>
    </w:p>
    <w:p>
      <w:pPr>
        <w:spacing w:line="360" w:lineRule="auto"/>
        <w:ind w:firstLine="420" w:firstLineChars="200"/>
        <w:rPr>
          <w:szCs w:val="21"/>
        </w:rPr>
      </w:pPr>
      <w:r>
        <w:rPr>
          <w:rFonts w:hint="eastAsia"/>
          <w:szCs w:val="21"/>
        </w:rPr>
        <w:t>基金的信息披露内容主要包括招募说明书、基金合同、托管协议、基金产品资料概要、基金份额发售公告、基金合同生效公告、基金净值信息、基金份额申购、赎回价格、基金定期报告（包括基金年度报告、基金中期报告和基金季度报告）、临时报告、澄清公告、基金份额持有人大会决议、清算报告、资产支持证券的投资情况、实施侧袋机制期间的信息披露及中国证监会规定的其他信息。基金年度报告中的财务会计报告需经具有证券、期货相关业务资格的会计师事务所审计后，方可披露。</w:t>
      </w:r>
    </w:p>
    <w:p>
      <w:pPr>
        <w:spacing w:line="360" w:lineRule="auto"/>
        <w:ind w:firstLine="420" w:firstLineChars="200"/>
        <w:rPr>
          <w:szCs w:val="21"/>
        </w:rPr>
      </w:pPr>
      <w:r>
        <w:rPr>
          <w:rFonts w:hint="eastAsia"/>
          <w:szCs w:val="21"/>
        </w:rPr>
        <w:t>（三）基金托管人和基金管理人在信息披露中的职责和信息披露程序</w:t>
      </w:r>
    </w:p>
    <w:p>
      <w:pPr>
        <w:spacing w:line="360" w:lineRule="auto"/>
        <w:ind w:firstLine="420" w:firstLineChars="200"/>
        <w:rPr>
          <w:szCs w:val="21"/>
        </w:rPr>
      </w:pPr>
      <w:r>
        <w:rPr>
          <w:szCs w:val="21"/>
        </w:rPr>
        <w:t>1</w:t>
      </w:r>
      <w:r>
        <w:rPr>
          <w:rFonts w:hint="eastAsia"/>
          <w:szCs w:val="21"/>
        </w:rPr>
        <w:t>．职责</w:t>
      </w:r>
    </w:p>
    <w:p>
      <w:pPr>
        <w:spacing w:line="360" w:lineRule="auto"/>
        <w:ind w:firstLine="420" w:firstLineChars="200"/>
        <w:rPr>
          <w:szCs w:val="21"/>
        </w:rPr>
      </w:pPr>
      <w:r>
        <w:rPr>
          <w:rFonts w:hint="eastAsia"/>
          <w:szCs w:val="21"/>
        </w:rPr>
        <w:t>基金托管人和基金管理人在信息披露过程中应以保护基金份额持有人利益为宗旨，诚实信用，严守秘密。基金管理人负责办理与基金有关的信息披露事宜，基金托管人应当按照相关法律法规和基金合同的约定，对于基金合同和本协议约定的应由基金托管人复核的事项进行复核，基金托管人复核无误后，由基金管理人予以公布。</w:t>
      </w:r>
    </w:p>
    <w:p>
      <w:pPr>
        <w:spacing w:line="360" w:lineRule="auto"/>
        <w:ind w:firstLine="420" w:firstLineChars="200"/>
        <w:rPr>
          <w:szCs w:val="21"/>
        </w:rPr>
      </w:pPr>
      <w:r>
        <w:rPr>
          <w:rFonts w:hint="eastAsia"/>
          <w:szCs w:val="21"/>
        </w:rPr>
        <w:t>对于不需要基金托管人（或基金管理人）复核的信息，基金管理人（或基金托管人）在公告前应告知基金托管人（或基金管理人）。</w:t>
      </w:r>
    </w:p>
    <w:p>
      <w:pPr>
        <w:spacing w:line="360" w:lineRule="auto"/>
        <w:ind w:firstLine="420" w:firstLineChars="200"/>
        <w:rPr>
          <w:szCs w:val="21"/>
        </w:rPr>
      </w:pPr>
      <w:r>
        <w:rPr>
          <w:rFonts w:hint="eastAsia"/>
          <w:szCs w:val="21"/>
        </w:rPr>
        <w:t>基金管理人和基金托管人应积极配合、互相监督，保证其履行按照法定方式和限时披露的义务。</w:t>
      </w:r>
    </w:p>
    <w:p>
      <w:pPr>
        <w:spacing w:line="360" w:lineRule="auto"/>
        <w:ind w:firstLine="420" w:firstLineChars="200"/>
        <w:rPr>
          <w:szCs w:val="21"/>
        </w:rPr>
      </w:pPr>
      <w:r>
        <w:rPr>
          <w:rFonts w:hint="eastAsia"/>
          <w:szCs w:val="21"/>
        </w:rPr>
        <w:t>基金管理人应当在中国证监会规定的时间内，将应予披露的基金信息通过中国证监会指定媒介披露。根据法律法规应由基金托管人公开披露的信息，基金托管人将通过指定媒介公开披露。</w:t>
      </w:r>
    </w:p>
    <w:p>
      <w:pPr>
        <w:spacing w:line="360" w:lineRule="auto"/>
        <w:ind w:firstLine="420" w:firstLineChars="200"/>
        <w:rPr>
          <w:szCs w:val="21"/>
        </w:rPr>
      </w:pPr>
      <w:r>
        <w:rPr>
          <w:rFonts w:hint="eastAsia"/>
          <w:szCs w:val="21"/>
        </w:rPr>
        <w:t>当出现下述情况时，基金管理人和基金托管人可暂停或延迟披露基金相关信息：</w:t>
      </w:r>
    </w:p>
    <w:p>
      <w:pPr>
        <w:spacing w:line="360" w:lineRule="auto"/>
        <w:ind w:firstLine="420" w:firstLineChars="200"/>
        <w:rPr>
          <w:szCs w:val="21"/>
        </w:rPr>
      </w:pPr>
      <w:r>
        <w:rPr>
          <w:rFonts w:hint="eastAsia"/>
          <w:szCs w:val="21"/>
        </w:rPr>
        <w:t>（1）</w:t>
      </w:r>
      <w:r>
        <w:rPr>
          <w:szCs w:val="21"/>
        </w:rPr>
        <w:t>不</w:t>
      </w:r>
      <w:r>
        <w:rPr>
          <w:rFonts w:hint="eastAsia"/>
          <w:szCs w:val="21"/>
        </w:rPr>
        <w:t>可抗力；</w:t>
      </w:r>
    </w:p>
    <w:p>
      <w:pPr>
        <w:spacing w:line="360" w:lineRule="auto"/>
        <w:ind w:firstLine="420" w:firstLineChars="200"/>
        <w:rPr>
          <w:szCs w:val="21"/>
        </w:rPr>
      </w:pPr>
      <w:r>
        <w:rPr>
          <w:rFonts w:hint="eastAsia"/>
          <w:szCs w:val="21"/>
        </w:rPr>
        <w:t>（</w:t>
      </w:r>
      <w:r>
        <w:rPr>
          <w:szCs w:val="21"/>
        </w:rPr>
        <w:t>2</w:t>
      </w:r>
      <w:r>
        <w:rPr>
          <w:rFonts w:hint="eastAsia"/>
          <w:szCs w:val="21"/>
        </w:rPr>
        <w:t>）发生暂停估值的情形；</w:t>
      </w:r>
    </w:p>
    <w:p>
      <w:pPr>
        <w:spacing w:line="360" w:lineRule="auto"/>
        <w:ind w:firstLine="420" w:firstLineChars="200"/>
        <w:rPr>
          <w:szCs w:val="21"/>
        </w:rPr>
      </w:pPr>
      <w:r>
        <w:rPr>
          <w:rFonts w:hint="eastAsia"/>
          <w:szCs w:val="21"/>
        </w:rPr>
        <w:t>（3）法律法规、基金合同或中国证监会规定的情况。</w:t>
      </w:r>
    </w:p>
    <w:p>
      <w:pPr>
        <w:spacing w:line="360" w:lineRule="auto"/>
        <w:ind w:firstLine="420" w:firstLineChars="200"/>
        <w:rPr>
          <w:szCs w:val="21"/>
        </w:rPr>
      </w:pPr>
      <w:r>
        <w:rPr>
          <w:szCs w:val="21"/>
        </w:rPr>
        <w:t>2</w:t>
      </w:r>
      <w:r>
        <w:rPr>
          <w:rFonts w:hint="eastAsia"/>
          <w:szCs w:val="21"/>
        </w:rPr>
        <w:t>．程序</w:t>
      </w:r>
    </w:p>
    <w:p>
      <w:pPr>
        <w:spacing w:line="360" w:lineRule="auto"/>
        <w:ind w:firstLine="420" w:firstLineChars="200"/>
        <w:rPr>
          <w:szCs w:val="21"/>
        </w:rPr>
      </w:pPr>
      <w:r>
        <w:rPr>
          <w:rFonts w:hint="eastAsia"/>
          <w:szCs w:val="21"/>
        </w:rPr>
        <w:t>按有关规定须经基金托管人复核的信息披露文件，由基金管理人起草、并经基金托管人复核后由基金管理人公告。发生基金合同中规定需要披露的事项时，按基金合同规定公布。</w:t>
      </w:r>
    </w:p>
    <w:p>
      <w:pPr>
        <w:spacing w:line="360" w:lineRule="auto"/>
        <w:ind w:firstLine="420" w:firstLineChars="200"/>
        <w:rPr>
          <w:szCs w:val="21"/>
        </w:rPr>
      </w:pPr>
      <w:r>
        <w:rPr>
          <w:szCs w:val="21"/>
        </w:rPr>
        <w:t>3</w:t>
      </w:r>
      <w:r>
        <w:rPr>
          <w:rFonts w:hint="eastAsia"/>
          <w:szCs w:val="21"/>
        </w:rPr>
        <w:t>．信息文本的存放</w:t>
      </w:r>
    </w:p>
    <w:p>
      <w:pPr>
        <w:spacing w:line="360" w:lineRule="auto"/>
        <w:ind w:firstLine="420" w:firstLineChars="200"/>
        <w:rPr>
          <w:szCs w:val="21"/>
        </w:rPr>
      </w:pPr>
      <w:r>
        <w:rPr>
          <w:rFonts w:hint="eastAsia"/>
          <w:szCs w:val="21"/>
        </w:rPr>
        <w:t>依法必须披露的信息发布后，基金管理人、基金托管人应当按照相关法律法规规定将信息置备于公司住所，供社会公众查阅、复制。基金管理人和基金托管人应保证文本的内容与所公告的内容完全一致。</w:t>
      </w:r>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16" w:name="_Toc140002346"/>
      <w:bookmarkStart w:id="117" w:name="_Toc283383024"/>
      <w:bookmarkStart w:id="118" w:name="_Toc124749946"/>
      <w:bookmarkStart w:id="119" w:name="_Toc125361083"/>
      <w:bookmarkStart w:id="120" w:name="_Toc290284053"/>
      <w:bookmarkStart w:id="121" w:name="_Toc123626177"/>
      <w:bookmarkStart w:id="122" w:name="_Toc124749235"/>
      <w:bookmarkStart w:id="123" w:name="_Toc411875697"/>
      <w:r>
        <w:rPr>
          <w:rFonts w:hint="eastAsia" w:ascii="Times New Roman" w:hAnsi="Times New Roman"/>
        </w:rPr>
        <w:t>十一、基金费用</w:t>
      </w:r>
      <w:bookmarkEnd w:id="116"/>
      <w:bookmarkEnd w:id="117"/>
      <w:bookmarkEnd w:id="118"/>
      <w:bookmarkEnd w:id="119"/>
      <w:bookmarkEnd w:id="120"/>
      <w:bookmarkEnd w:id="121"/>
      <w:bookmarkEnd w:id="122"/>
      <w:bookmarkEnd w:id="123"/>
    </w:p>
    <w:p>
      <w:pPr>
        <w:spacing w:line="360" w:lineRule="auto"/>
        <w:ind w:firstLine="420" w:firstLineChars="200"/>
        <w:rPr>
          <w:szCs w:val="21"/>
        </w:rPr>
      </w:pPr>
      <w:r>
        <w:rPr>
          <w:rFonts w:hint="eastAsia"/>
          <w:szCs w:val="21"/>
        </w:rPr>
        <w:t>（一）基金管理费的计提比例和计提方法</w:t>
      </w:r>
    </w:p>
    <w:p>
      <w:pPr>
        <w:spacing w:line="360" w:lineRule="auto"/>
        <w:ind w:firstLine="420" w:firstLineChars="200"/>
        <w:rPr>
          <w:szCs w:val="21"/>
        </w:rPr>
      </w:pPr>
      <w:r>
        <w:rPr>
          <w:rFonts w:hint="eastAsia"/>
          <w:szCs w:val="21"/>
        </w:rPr>
        <w:t>本基金的管理费按前一日基金资产净值的0.30</w:t>
      </w:r>
      <w:r>
        <w:rPr>
          <w:szCs w:val="21"/>
        </w:rPr>
        <w:t>%</w:t>
      </w:r>
      <w:r>
        <w:rPr>
          <w:rFonts w:hint="eastAsia"/>
          <w:szCs w:val="21"/>
        </w:rPr>
        <w:t>年费率计提。管理费的计算方法如下：</w:t>
      </w:r>
    </w:p>
    <w:p>
      <w:pPr>
        <w:spacing w:line="360" w:lineRule="auto"/>
        <w:ind w:firstLine="420" w:firstLineChars="200"/>
        <w:rPr>
          <w:szCs w:val="21"/>
        </w:rPr>
      </w:pPr>
      <w:r>
        <w:rPr>
          <w:szCs w:val="21"/>
        </w:rPr>
        <w:t>H</w:t>
      </w:r>
      <w:r>
        <w:rPr>
          <w:rFonts w:hint="eastAsia"/>
          <w:szCs w:val="21"/>
        </w:rPr>
        <w:t>＝</w:t>
      </w:r>
      <w:r>
        <w:rPr>
          <w:szCs w:val="21"/>
        </w:rPr>
        <w:t>E×</w:t>
      </w:r>
      <w:r>
        <w:rPr>
          <w:rFonts w:hint="eastAsia"/>
          <w:szCs w:val="21"/>
        </w:rPr>
        <w:t>0.30</w:t>
      </w:r>
      <w:r>
        <w:rPr>
          <w:szCs w:val="21"/>
        </w:rPr>
        <w:t>%÷</w:t>
      </w:r>
      <w:r>
        <w:rPr>
          <w:rFonts w:hint="eastAsia"/>
          <w:szCs w:val="21"/>
        </w:rPr>
        <w:t>当年天数</w:t>
      </w:r>
    </w:p>
    <w:p>
      <w:pPr>
        <w:spacing w:line="360" w:lineRule="auto"/>
        <w:ind w:firstLine="420" w:firstLineChars="200"/>
        <w:rPr>
          <w:szCs w:val="21"/>
        </w:rPr>
      </w:pPr>
      <w:r>
        <w:rPr>
          <w:szCs w:val="21"/>
        </w:rPr>
        <w:t>H</w:t>
      </w:r>
      <w:r>
        <w:rPr>
          <w:rFonts w:hint="eastAsia"/>
          <w:szCs w:val="21"/>
        </w:rPr>
        <w:t>为每日应计提的基金管理费</w:t>
      </w:r>
    </w:p>
    <w:p>
      <w:pPr>
        <w:spacing w:line="360" w:lineRule="auto"/>
        <w:ind w:firstLine="420" w:firstLineChars="200"/>
        <w:rPr>
          <w:szCs w:val="21"/>
        </w:rPr>
      </w:pPr>
      <w:r>
        <w:rPr>
          <w:szCs w:val="21"/>
        </w:rPr>
        <w:t>E</w:t>
      </w:r>
      <w:r>
        <w:rPr>
          <w:rFonts w:hint="eastAsia"/>
          <w:szCs w:val="21"/>
        </w:rPr>
        <w:t>为前一日的基金资产净值</w:t>
      </w:r>
    </w:p>
    <w:p>
      <w:pPr>
        <w:spacing w:line="360" w:lineRule="auto"/>
        <w:ind w:firstLine="420" w:firstLineChars="200"/>
        <w:rPr>
          <w:szCs w:val="21"/>
        </w:rPr>
      </w:pPr>
      <w:r>
        <w:rPr>
          <w:szCs w:val="21"/>
        </w:rPr>
        <w:t xml:space="preserve"> </w:t>
      </w:r>
      <w:r>
        <w:rPr>
          <w:rFonts w:hint="eastAsia"/>
          <w:szCs w:val="21"/>
        </w:rPr>
        <w:t>（二）基金托管费的计提比例和计提方法</w:t>
      </w:r>
    </w:p>
    <w:p>
      <w:pPr>
        <w:spacing w:line="360" w:lineRule="auto"/>
        <w:ind w:firstLine="420" w:firstLineChars="200"/>
        <w:rPr>
          <w:szCs w:val="21"/>
        </w:rPr>
      </w:pPr>
      <w:r>
        <w:rPr>
          <w:rFonts w:hint="eastAsia"/>
          <w:szCs w:val="21"/>
        </w:rPr>
        <w:t>本基金的托管费按前一日基金资产净值的0.10</w:t>
      </w:r>
      <w:r>
        <w:rPr>
          <w:szCs w:val="21"/>
        </w:rPr>
        <w:t>%</w:t>
      </w:r>
      <w:r>
        <w:rPr>
          <w:rFonts w:hint="eastAsia"/>
          <w:szCs w:val="21"/>
        </w:rPr>
        <w:t>年费率计提。托管费的计算方法如下：</w:t>
      </w:r>
    </w:p>
    <w:p>
      <w:pPr>
        <w:spacing w:line="360" w:lineRule="auto"/>
        <w:ind w:firstLine="420" w:firstLineChars="200"/>
        <w:rPr>
          <w:szCs w:val="21"/>
        </w:rPr>
      </w:pPr>
      <w:r>
        <w:rPr>
          <w:szCs w:val="21"/>
        </w:rPr>
        <w:t>H</w:t>
      </w:r>
      <w:r>
        <w:rPr>
          <w:rFonts w:hint="eastAsia"/>
          <w:szCs w:val="21"/>
        </w:rPr>
        <w:t>＝</w:t>
      </w:r>
      <w:r>
        <w:rPr>
          <w:szCs w:val="21"/>
        </w:rPr>
        <w:t>E×</w:t>
      </w:r>
      <w:r>
        <w:rPr>
          <w:rFonts w:hint="eastAsia"/>
          <w:szCs w:val="21"/>
        </w:rPr>
        <w:t>0.10</w:t>
      </w:r>
      <w:r>
        <w:rPr>
          <w:szCs w:val="21"/>
        </w:rPr>
        <w:t>%÷</w:t>
      </w:r>
      <w:r>
        <w:rPr>
          <w:rFonts w:hint="eastAsia"/>
          <w:szCs w:val="21"/>
        </w:rPr>
        <w:t>当年天数</w:t>
      </w:r>
    </w:p>
    <w:p>
      <w:pPr>
        <w:spacing w:line="360" w:lineRule="auto"/>
        <w:ind w:firstLine="420" w:firstLineChars="200"/>
        <w:rPr>
          <w:szCs w:val="21"/>
        </w:rPr>
      </w:pPr>
      <w:r>
        <w:rPr>
          <w:szCs w:val="21"/>
        </w:rPr>
        <w:t>H</w:t>
      </w:r>
      <w:r>
        <w:rPr>
          <w:rFonts w:hint="eastAsia"/>
          <w:szCs w:val="21"/>
        </w:rPr>
        <w:t>为每日应计提的基金托管费</w:t>
      </w:r>
    </w:p>
    <w:p>
      <w:pPr>
        <w:spacing w:line="360" w:lineRule="auto"/>
        <w:ind w:firstLine="420" w:firstLineChars="200"/>
        <w:rPr>
          <w:rFonts w:hint="eastAsia"/>
          <w:szCs w:val="21"/>
        </w:rPr>
      </w:pPr>
      <w:r>
        <w:rPr>
          <w:szCs w:val="21"/>
        </w:rPr>
        <w:t>E</w:t>
      </w:r>
      <w:r>
        <w:rPr>
          <w:rFonts w:hint="eastAsia"/>
          <w:szCs w:val="21"/>
        </w:rPr>
        <w:t>为前一日的基金资产净值</w:t>
      </w:r>
    </w:p>
    <w:p>
      <w:pPr>
        <w:spacing w:line="360" w:lineRule="auto"/>
        <w:ind w:firstLine="630" w:firstLineChars="300"/>
        <w:rPr>
          <w:szCs w:val="21"/>
        </w:rPr>
      </w:pPr>
      <w:r>
        <w:rPr>
          <w:rFonts w:hint="eastAsia"/>
          <w:szCs w:val="21"/>
        </w:rPr>
        <w:t>（三）C类基金份额销售服务费的计提比例和计提方法</w:t>
      </w:r>
    </w:p>
    <w:p>
      <w:pPr>
        <w:spacing w:line="360" w:lineRule="auto"/>
        <w:ind w:firstLine="420" w:firstLineChars="200"/>
        <w:rPr>
          <w:sz w:val="21"/>
          <w:szCs w:val="21"/>
        </w:rPr>
      </w:pPr>
      <w:r>
        <w:rPr>
          <w:rFonts w:hint="eastAsia" w:ascii="Times New Roman" w:hAnsi="Times New Roman"/>
          <w:sz w:val="21"/>
          <w:szCs w:val="21"/>
        </w:rPr>
        <w:t>本基金</w:t>
      </w:r>
      <w:r>
        <w:rPr>
          <w:sz w:val="21"/>
          <w:szCs w:val="21"/>
        </w:rPr>
        <w:t>A</w:t>
      </w:r>
      <w:r>
        <w:rPr>
          <w:rFonts w:hint="eastAsia" w:ascii="Times New Roman" w:hAnsi="Times New Roman"/>
          <w:sz w:val="21"/>
          <w:szCs w:val="21"/>
        </w:rPr>
        <w:t>类基金份额不收取销售服务费，</w:t>
      </w:r>
      <w:r>
        <w:rPr>
          <w:sz w:val="21"/>
          <w:szCs w:val="21"/>
        </w:rPr>
        <w:t>C</w:t>
      </w:r>
      <w:r>
        <w:rPr>
          <w:rFonts w:hint="eastAsia" w:ascii="Times New Roman" w:hAnsi="Times New Roman"/>
          <w:sz w:val="21"/>
          <w:szCs w:val="21"/>
        </w:rPr>
        <w:t>类基金份额的销售服务费年费率为</w:t>
      </w:r>
      <w:r>
        <w:rPr>
          <w:sz w:val="21"/>
          <w:szCs w:val="21"/>
        </w:rPr>
        <w:t>0.10%</w:t>
      </w:r>
      <w:r>
        <w:rPr>
          <w:rFonts w:hint="eastAsia" w:ascii="Times New Roman" w:hAnsi="Times New Roman"/>
          <w:sz w:val="21"/>
          <w:szCs w:val="21"/>
        </w:rPr>
        <w:t>。</w:t>
      </w:r>
    </w:p>
    <w:p>
      <w:pPr>
        <w:spacing w:line="360" w:lineRule="auto"/>
        <w:ind w:firstLine="420" w:firstLineChars="200"/>
        <w:rPr>
          <w:sz w:val="21"/>
          <w:szCs w:val="21"/>
        </w:rPr>
      </w:pPr>
      <w:r>
        <w:rPr>
          <w:rFonts w:hint="eastAsia" w:ascii="Times New Roman" w:hAnsi="Times New Roman"/>
          <w:sz w:val="21"/>
          <w:szCs w:val="21"/>
        </w:rPr>
        <w:t>本基金</w:t>
      </w:r>
      <w:r>
        <w:rPr>
          <w:sz w:val="21"/>
          <w:szCs w:val="21"/>
        </w:rPr>
        <w:t>C</w:t>
      </w:r>
      <w:r>
        <w:rPr>
          <w:rFonts w:hint="eastAsia" w:ascii="Times New Roman" w:hAnsi="Times New Roman"/>
          <w:sz w:val="21"/>
          <w:szCs w:val="21"/>
        </w:rPr>
        <w:t>类基金份额的销售服务费按前一日</w:t>
      </w:r>
      <w:r>
        <w:rPr>
          <w:rFonts w:ascii="Times New Roman" w:hAnsi="Times New Roman"/>
          <w:sz w:val="21"/>
          <w:szCs w:val="21"/>
        </w:rPr>
        <w:t>C类基金份额基金资产净值的</w:t>
      </w:r>
      <w:r>
        <w:rPr>
          <w:sz w:val="21"/>
          <w:szCs w:val="21"/>
        </w:rPr>
        <w:t>0.10%</w:t>
      </w:r>
      <w:r>
        <w:rPr>
          <w:rFonts w:hint="eastAsia" w:ascii="Times New Roman" w:hAnsi="Times New Roman"/>
          <w:sz w:val="21"/>
          <w:szCs w:val="21"/>
        </w:rPr>
        <w:t>年费率计提。计算方法如下：</w:t>
      </w:r>
      <w:r>
        <w:rPr>
          <w:sz w:val="21"/>
          <w:szCs w:val="21"/>
        </w:rPr>
        <w:t xml:space="preserve"> </w:t>
      </w:r>
    </w:p>
    <w:p>
      <w:pPr>
        <w:spacing w:line="360" w:lineRule="auto"/>
        <w:ind w:firstLine="420" w:firstLineChars="200"/>
        <w:rPr>
          <w:sz w:val="21"/>
          <w:szCs w:val="21"/>
        </w:rPr>
      </w:pPr>
      <w:r>
        <w:rPr>
          <w:sz w:val="21"/>
          <w:szCs w:val="21"/>
        </w:rPr>
        <w:t>H</w:t>
      </w:r>
      <w:r>
        <w:rPr>
          <w:rFonts w:hint="eastAsia" w:ascii="Times New Roman" w:hAnsi="Times New Roman"/>
          <w:sz w:val="21"/>
          <w:szCs w:val="21"/>
        </w:rPr>
        <w:t>＝</w:t>
      </w:r>
      <w:r>
        <w:rPr>
          <w:sz w:val="21"/>
          <w:szCs w:val="21"/>
        </w:rPr>
        <w:t>E</w:t>
      </w:r>
      <w:r>
        <w:rPr>
          <w:rFonts w:hint="eastAsia"/>
          <w:sz w:val="21"/>
          <w:szCs w:val="21"/>
        </w:rPr>
        <w:t>×</w:t>
      </w:r>
      <w:r>
        <w:rPr>
          <w:sz w:val="21"/>
          <w:szCs w:val="21"/>
        </w:rPr>
        <w:t>0.10%</w:t>
      </w:r>
      <w:r>
        <w:rPr>
          <w:rFonts w:hint="eastAsia"/>
          <w:sz w:val="21"/>
          <w:szCs w:val="21"/>
        </w:rPr>
        <w:t>÷当年天数</w:t>
      </w:r>
    </w:p>
    <w:p>
      <w:pPr>
        <w:spacing w:line="360" w:lineRule="auto"/>
        <w:ind w:firstLine="420" w:firstLineChars="200"/>
        <w:rPr>
          <w:sz w:val="21"/>
          <w:szCs w:val="21"/>
        </w:rPr>
      </w:pPr>
      <w:r>
        <w:rPr>
          <w:sz w:val="21"/>
          <w:szCs w:val="21"/>
        </w:rPr>
        <w:t>H</w:t>
      </w:r>
      <w:r>
        <w:rPr>
          <w:rFonts w:hint="eastAsia" w:ascii="Times New Roman" w:hAnsi="Times New Roman"/>
          <w:sz w:val="21"/>
          <w:szCs w:val="21"/>
        </w:rPr>
        <w:t>为</w:t>
      </w:r>
      <w:r>
        <w:rPr>
          <w:rFonts w:ascii="Times New Roman" w:hAnsi="Times New Roman"/>
          <w:sz w:val="21"/>
          <w:szCs w:val="21"/>
        </w:rPr>
        <w:t>C类基金份额每日应计提的销售服务费</w:t>
      </w:r>
    </w:p>
    <w:p>
      <w:pPr>
        <w:spacing w:line="360" w:lineRule="auto"/>
        <w:ind w:firstLine="420" w:firstLineChars="200"/>
        <w:rPr>
          <w:rFonts w:hint="eastAsia"/>
          <w:szCs w:val="21"/>
        </w:rPr>
      </w:pPr>
      <w:r>
        <w:rPr>
          <w:sz w:val="21"/>
          <w:szCs w:val="21"/>
        </w:rPr>
        <w:t>E</w:t>
      </w:r>
      <w:r>
        <w:rPr>
          <w:rFonts w:hint="eastAsia" w:ascii="Times New Roman" w:hAnsi="Times New Roman"/>
          <w:sz w:val="21"/>
          <w:szCs w:val="21"/>
        </w:rPr>
        <w:t>为</w:t>
      </w:r>
      <w:r>
        <w:rPr>
          <w:rFonts w:ascii="Times New Roman" w:hAnsi="Times New Roman"/>
          <w:sz w:val="21"/>
          <w:szCs w:val="21"/>
        </w:rPr>
        <w:t>C类基金份额前一日基金资产净值</w:t>
      </w:r>
    </w:p>
    <w:p>
      <w:pPr>
        <w:spacing w:line="360" w:lineRule="auto"/>
        <w:ind w:firstLine="420" w:firstLineChars="200"/>
        <w:rPr>
          <w:szCs w:val="21"/>
        </w:rPr>
      </w:pPr>
      <w:r>
        <w:rPr>
          <w:rFonts w:hint="eastAsia"/>
          <w:szCs w:val="21"/>
        </w:rPr>
        <w:t>（</w:t>
      </w:r>
      <w:r>
        <w:rPr>
          <w:rFonts w:hint="eastAsia"/>
          <w:szCs w:val="21"/>
          <w:lang w:val="en-US" w:eastAsia="zh-CN"/>
        </w:rPr>
        <w:t>四</w:t>
      </w:r>
      <w:r>
        <w:rPr>
          <w:rFonts w:hint="eastAsia"/>
          <w:szCs w:val="21"/>
        </w:rPr>
        <w:t>）基金</w:t>
      </w:r>
      <w:r>
        <w:rPr>
          <w:szCs w:val="21"/>
        </w:rPr>
        <w:t>相关</w:t>
      </w:r>
      <w:r>
        <w:rPr>
          <w:rFonts w:hint="eastAsia"/>
          <w:szCs w:val="21"/>
        </w:rPr>
        <w:t>账户开户费用、证券交易费用、基金财产划拨支付的银行费用、账户维护费、基金合同生效后与基金相关的信息披露费用（法律法规、中国证监会另有规定的除外）、基金份额持有人大会费用、基金合同生效后与基金有关的会计师费、律师费、</w:t>
      </w:r>
      <w:r>
        <w:rPr>
          <w:szCs w:val="21"/>
        </w:rPr>
        <w:t>诉讼费</w:t>
      </w:r>
      <w:r>
        <w:rPr>
          <w:rFonts w:hint="eastAsia"/>
          <w:szCs w:val="21"/>
        </w:rPr>
        <w:t>和</w:t>
      </w:r>
      <w:r>
        <w:rPr>
          <w:szCs w:val="21"/>
        </w:rPr>
        <w:t>仲裁费</w:t>
      </w:r>
      <w:r>
        <w:rPr>
          <w:rFonts w:hint="eastAsia"/>
          <w:szCs w:val="21"/>
        </w:rPr>
        <w:t>、货币经纪服务费（若有）等根据有关法律法规、基金合同及相应协议的规定，列入或</w:t>
      </w:r>
      <w:r>
        <w:rPr>
          <w:szCs w:val="21"/>
        </w:rPr>
        <w:t>摊入</w:t>
      </w:r>
      <w:r>
        <w:rPr>
          <w:rFonts w:hint="eastAsia"/>
          <w:szCs w:val="21"/>
        </w:rPr>
        <w:t>当期基金费用。</w:t>
      </w:r>
    </w:p>
    <w:p>
      <w:pPr>
        <w:spacing w:line="360" w:lineRule="auto"/>
        <w:ind w:firstLine="420" w:firstLineChars="200"/>
        <w:rPr>
          <w:szCs w:val="21"/>
        </w:rPr>
      </w:pPr>
      <w:r>
        <w:rPr>
          <w:rFonts w:hint="eastAsia"/>
          <w:szCs w:val="21"/>
        </w:rPr>
        <w:t>（</w:t>
      </w:r>
      <w:r>
        <w:rPr>
          <w:rFonts w:hint="eastAsia"/>
          <w:szCs w:val="21"/>
          <w:lang w:val="en-US" w:eastAsia="zh-CN"/>
        </w:rPr>
        <w:t>五</w:t>
      </w:r>
      <w:r>
        <w:rPr>
          <w:rFonts w:hint="eastAsia"/>
          <w:szCs w:val="21"/>
        </w:rPr>
        <w:t>）不列入基金费用的项目</w:t>
      </w:r>
    </w:p>
    <w:p>
      <w:pPr>
        <w:spacing w:line="360" w:lineRule="auto"/>
        <w:ind w:firstLine="420" w:firstLineChars="200"/>
        <w:rPr>
          <w:szCs w:val="21"/>
        </w:rPr>
      </w:pPr>
      <w:r>
        <w:rPr>
          <w:rFonts w:hint="eastAsia"/>
          <w:szCs w:val="21"/>
        </w:rPr>
        <w:t>下列费用不列入基金费用：</w:t>
      </w:r>
    </w:p>
    <w:p>
      <w:pPr>
        <w:spacing w:line="360" w:lineRule="auto"/>
        <w:ind w:firstLine="420" w:firstLineChars="200"/>
        <w:rPr>
          <w:szCs w:val="21"/>
        </w:rPr>
      </w:pPr>
      <w:r>
        <w:rPr>
          <w:szCs w:val="21"/>
        </w:rPr>
        <w:t>1</w:t>
      </w:r>
      <w:r>
        <w:rPr>
          <w:rFonts w:hint="eastAsia"/>
          <w:szCs w:val="21"/>
        </w:rPr>
        <w:t>．基金管理人和基金托管人因未履行或未完全履行义务导致的费用支出或基金财产的损失；</w:t>
      </w:r>
    </w:p>
    <w:p>
      <w:pPr>
        <w:spacing w:line="360" w:lineRule="auto"/>
        <w:ind w:firstLine="420" w:firstLineChars="200"/>
        <w:rPr>
          <w:szCs w:val="21"/>
        </w:rPr>
      </w:pPr>
      <w:r>
        <w:rPr>
          <w:szCs w:val="21"/>
        </w:rPr>
        <w:t>2</w:t>
      </w:r>
      <w:r>
        <w:rPr>
          <w:rFonts w:hint="eastAsia"/>
          <w:szCs w:val="21"/>
        </w:rPr>
        <w:t>．基金管理人和基金托管人处理与基金运作无关的事项发生的费用；</w:t>
      </w:r>
    </w:p>
    <w:p>
      <w:pPr>
        <w:spacing w:line="360" w:lineRule="auto"/>
        <w:ind w:firstLine="420" w:firstLineChars="200"/>
        <w:rPr>
          <w:szCs w:val="21"/>
        </w:rPr>
      </w:pPr>
      <w:r>
        <w:rPr>
          <w:szCs w:val="21"/>
        </w:rPr>
        <w:t>3</w:t>
      </w:r>
      <w:r>
        <w:rPr>
          <w:rFonts w:hint="eastAsia"/>
          <w:szCs w:val="21"/>
        </w:rPr>
        <w:t>．基金合同生效前的相关费用；</w:t>
      </w:r>
    </w:p>
    <w:p>
      <w:pPr>
        <w:spacing w:line="360" w:lineRule="auto"/>
        <w:ind w:firstLine="420" w:firstLineChars="200"/>
        <w:rPr>
          <w:szCs w:val="21"/>
        </w:rPr>
      </w:pPr>
      <w:r>
        <w:rPr>
          <w:szCs w:val="21"/>
        </w:rPr>
        <w:t>4</w:t>
      </w:r>
      <w:r>
        <w:rPr>
          <w:rFonts w:hint="eastAsia"/>
          <w:szCs w:val="21"/>
        </w:rPr>
        <w:t>．其他根据相关法律法规及中国证监会的有关规定不得列入基金费用的项目。</w:t>
      </w:r>
    </w:p>
    <w:p>
      <w:pPr>
        <w:spacing w:line="360" w:lineRule="auto"/>
        <w:ind w:firstLine="420" w:firstLineChars="200"/>
        <w:rPr>
          <w:szCs w:val="21"/>
        </w:rPr>
      </w:pPr>
      <w:r>
        <w:rPr>
          <w:rFonts w:hint="eastAsia"/>
          <w:szCs w:val="21"/>
        </w:rPr>
        <w:t>（</w:t>
      </w:r>
      <w:r>
        <w:rPr>
          <w:rFonts w:hint="eastAsia"/>
          <w:szCs w:val="21"/>
          <w:lang w:val="en-US" w:eastAsia="zh-CN"/>
        </w:rPr>
        <w:t>六</w:t>
      </w:r>
      <w:r>
        <w:rPr>
          <w:szCs w:val="21"/>
        </w:rPr>
        <w:t>）基金管理费</w:t>
      </w:r>
      <w:r>
        <w:rPr>
          <w:rFonts w:hint="eastAsia"/>
          <w:szCs w:val="21"/>
        </w:rPr>
        <w:t>、</w:t>
      </w:r>
      <w:r>
        <w:rPr>
          <w:szCs w:val="21"/>
        </w:rPr>
        <w:t>基金托管费</w:t>
      </w:r>
      <w:r>
        <w:rPr>
          <w:rFonts w:hint="eastAsia"/>
          <w:szCs w:val="21"/>
        </w:rPr>
        <w:t>和</w:t>
      </w:r>
      <w:r>
        <w:rPr>
          <w:rFonts w:hint="eastAsia" w:ascii="宋体" w:hAnsi="宋体"/>
          <w:color w:val="000000"/>
          <w:szCs w:val="21"/>
        </w:rPr>
        <w:t>C类基金份额销售服务费</w:t>
      </w:r>
      <w:r>
        <w:rPr>
          <w:szCs w:val="21"/>
        </w:rPr>
        <w:t>的调整</w:t>
      </w:r>
    </w:p>
    <w:p>
      <w:pPr>
        <w:spacing w:line="360" w:lineRule="auto"/>
        <w:ind w:firstLine="420" w:firstLineChars="200"/>
        <w:rPr>
          <w:szCs w:val="21"/>
        </w:rPr>
      </w:pPr>
      <w:r>
        <w:rPr>
          <w:rFonts w:hint="eastAsia"/>
          <w:szCs w:val="21"/>
        </w:rPr>
        <w:t>基金管理人和基金托管人协商一致后，可根据基金发展情况调整基金管理费率、基金托管费率</w:t>
      </w:r>
      <w:r>
        <w:rPr>
          <w:rFonts w:hint="eastAsia"/>
          <w:bCs/>
          <w:sz w:val="21"/>
          <w:szCs w:val="21"/>
        </w:rPr>
        <w:t>或提高销售服务费率</w:t>
      </w:r>
      <w:r>
        <w:rPr>
          <w:rFonts w:hint="eastAsia"/>
          <w:szCs w:val="21"/>
        </w:rPr>
        <w:t>等相关费率。</w:t>
      </w:r>
    </w:p>
    <w:p>
      <w:pPr>
        <w:spacing w:line="360" w:lineRule="auto"/>
        <w:ind w:firstLine="420" w:firstLineChars="200"/>
        <w:rPr>
          <w:szCs w:val="21"/>
        </w:rPr>
      </w:pPr>
      <w:r>
        <w:rPr>
          <w:rFonts w:hint="eastAsia"/>
          <w:szCs w:val="21"/>
        </w:rPr>
        <w:t>调整基金管理费率、基金托管费率等费率，须召开基金份额持有人大会审议。</w:t>
      </w:r>
    </w:p>
    <w:p>
      <w:pPr>
        <w:spacing w:line="360" w:lineRule="auto"/>
        <w:ind w:firstLine="420" w:firstLineChars="200"/>
        <w:rPr>
          <w:szCs w:val="21"/>
        </w:rPr>
      </w:pPr>
      <w:r>
        <w:rPr>
          <w:rFonts w:hint="eastAsia"/>
          <w:szCs w:val="21"/>
        </w:rPr>
        <w:t>基金管理人必须最迟于新的费率实施日前在指定媒介上公告。</w:t>
      </w:r>
    </w:p>
    <w:p>
      <w:pPr>
        <w:spacing w:line="360" w:lineRule="auto"/>
        <w:ind w:firstLine="420" w:firstLineChars="200"/>
        <w:rPr>
          <w:szCs w:val="21"/>
        </w:rPr>
      </w:pPr>
      <w:r>
        <w:rPr>
          <w:rFonts w:hint="eastAsia"/>
          <w:szCs w:val="21"/>
        </w:rPr>
        <w:t>（</w:t>
      </w:r>
      <w:r>
        <w:rPr>
          <w:rFonts w:hint="eastAsia"/>
          <w:szCs w:val="21"/>
          <w:lang w:val="en-US" w:eastAsia="zh-CN"/>
        </w:rPr>
        <w:t>七</w:t>
      </w:r>
      <w:r>
        <w:rPr>
          <w:rFonts w:hint="eastAsia"/>
          <w:szCs w:val="21"/>
        </w:rPr>
        <w:t>）基金管理费、基金托管费和</w:t>
      </w:r>
      <w:r>
        <w:rPr>
          <w:rFonts w:hint="eastAsia" w:ascii="宋体" w:hAnsi="宋体"/>
          <w:color w:val="000000"/>
          <w:szCs w:val="21"/>
        </w:rPr>
        <w:t>C类基金份额销售服务费</w:t>
      </w:r>
      <w:r>
        <w:rPr>
          <w:rFonts w:hint="eastAsia"/>
          <w:szCs w:val="21"/>
        </w:rPr>
        <w:t>的复核程序、支付方式和时间</w:t>
      </w:r>
    </w:p>
    <w:p>
      <w:pPr>
        <w:spacing w:line="360" w:lineRule="auto"/>
        <w:ind w:firstLine="420" w:firstLineChars="200"/>
        <w:rPr>
          <w:szCs w:val="21"/>
        </w:rPr>
      </w:pPr>
      <w:r>
        <w:rPr>
          <w:szCs w:val="21"/>
        </w:rPr>
        <w:t>1</w:t>
      </w:r>
      <w:r>
        <w:rPr>
          <w:rFonts w:hint="eastAsia"/>
          <w:szCs w:val="21"/>
        </w:rPr>
        <w:t>．复核程序</w:t>
      </w:r>
    </w:p>
    <w:p>
      <w:pPr>
        <w:spacing w:line="360" w:lineRule="auto"/>
        <w:ind w:firstLine="420" w:firstLineChars="200"/>
        <w:rPr>
          <w:szCs w:val="21"/>
        </w:rPr>
      </w:pPr>
      <w:r>
        <w:rPr>
          <w:rFonts w:hint="eastAsia"/>
          <w:szCs w:val="21"/>
        </w:rPr>
        <w:t>基金托管人对基金管理人计提的基金管理费、基金托管费和</w:t>
      </w:r>
      <w:r>
        <w:rPr>
          <w:rFonts w:hint="eastAsia" w:ascii="宋体" w:hAnsi="宋体"/>
          <w:color w:val="000000"/>
          <w:szCs w:val="21"/>
        </w:rPr>
        <w:t>C类基金份额销售服务费</w:t>
      </w:r>
      <w:r>
        <w:rPr>
          <w:rFonts w:hint="eastAsia"/>
          <w:szCs w:val="21"/>
        </w:rPr>
        <w:t>等，根据本托管协议和基金合同的有关规定进行复核。</w:t>
      </w:r>
    </w:p>
    <w:p>
      <w:pPr>
        <w:spacing w:line="360" w:lineRule="auto"/>
        <w:ind w:firstLine="420" w:firstLineChars="200"/>
        <w:rPr>
          <w:szCs w:val="21"/>
        </w:rPr>
      </w:pPr>
      <w:r>
        <w:rPr>
          <w:szCs w:val="21"/>
        </w:rPr>
        <w:t>2</w:t>
      </w:r>
      <w:r>
        <w:rPr>
          <w:rFonts w:hint="eastAsia"/>
          <w:szCs w:val="21"/>
        </w:rPr>
        <w:t>．支付方式和时间</w:t>
      </w:r>
    </w:p>
    <w:p>
      <w:pPr>
        <w:spacing w:line="360" w:lineRule="auto"/>
        <w:ind w:firstLine="420" w:firstLineChars="200"/>
        <w:rPr>
          <w:szCs w:val="21"/>
        </w:rPr>
      </w:pPr>
      <w:r>
        <w:rPr>
          <w:rFonts w:hint="eastAsia"/>
          <w:szCs w:val="21"/>
        </w:rPr>
        <w:t>基金管理费、基金托管费和</w:t>
      </w:r>
      <w:r>
        <w:rPr>
          <w:rFonts w:hint="eastAsia" w:ascii="宋体" w:hAnsi="宋体"/>
          <w:color w:val="000000"/>
          <w:szCs w:val="21"/>
        </w:rPr>
        <w:t>C类基金份额销售服务费</w:t>
      </w:r>
      <w:r>
        <w:rPr>
          <w:rFonts w:hint="eastAsia"/>
          <w:szCs w:val="21"/>
        </w:rPr>
        <w:t>每日计提，</w:t>
      </w:r>
      <w:r>
        <w:rPr>
          <w:rFonts w:hint="eastAsia"/>
          <w:bCs/>
          <w:szCs w:val="21"/>
        </w:rPr>
        <w:t>逐日累计至每月月末，</w:t>
      </w:r>
      <w:r>
        <w:rPr>
          <w:rFonts w:hint="eastAsia"/>
          <w:szCs w:val="21"/>
        </w:rPr>
        <w:t>按月支付。</w:t>
      </w:r>
      <w:r>
        <w:rPr>
          <w:bCs/>
          <w:szCs w:val="21"/>
        </w:rPr>
        <w:t>由基金管理人</w:t>
      </w:r>
      <w:r>
        <w:rPr>
          <w:rFonts w:hint="eastAsia"/>
          <w:bCs/>
          <w:szCs w:val="21"/>
        </w:rPr>
        <w:t>与</w:t>
      </w:r>
      <w:r>
        <w:rPr>
          <w:bCs/>
          <w:szCs w:val="21"/>
        </w:rPr>
        <w:t>基金托管人</w:t>
      </w:r>
      <w:r>
        <w:rPr>
          <w:rFonts w:hint="eastAsia"/>
          <w:bCs/>
          <w:szCs w:val="21"/>
        </w:rPr>
        <w:t>核对一致后</w:t>
      </w:r>
      <w:r>
        <w:rPr>
          <w:bCs/>
          <w:szCs w:val="21"/>
        </w:rPr>
        <w:t>，基金托管人</w:t>
      </w:r>
      <w:r>
        <w:rPr>
          <w:rFonts w:hint="eastAsia"/>
          <w:bCs/>
          <w:szCs w:val="21"/>
        </w:rPr>
        <w:t>按照</w:t>
      </w:r>
      <w:r>
        <w:rPr>
          <w:rFonts w:hint="eastAsia"/>
          <w:szCs w:val="21"/>
        </w:rPr>
        <w:t>与基金管理人协商一致的方式</w:t>
      </w:r>
      <w:r>
        <w:rPr>
          <w:bCs/>
          <w:szCs w:val="21"/>
        </w:rPr>
        <w:t>于次月前</w:t>
      </w:r>
      <w:r>
        <w:rPr>
          <w:rFonts w:hint="eastAsia"/>
          <w:bCs/>
          <w:szCs w:val="21"/>
        </w:rPr>
        <w:t>3</w:t>
      </w:r>
      <w:r>
        <w:rPr>
          <w:bCs/>
          <w:szCs w:val="21"/>
        </w:rPr>
        <w:t>个工作日内从基金财产中一次性支</w:t>
      </w:r>
      <w:r>
        <w:rPr>
          <w:rFonts w:hint="eastAsia"/>
          <w:bCs/>
          <w:szCs w:val="21"/>
        </w:rPr>
        <w:t>付</w:t>
      </w:r>
      <w:r>
        <w:rPr>
          <w:bCs/>
          <w:szCs w:val="21"/>
        </w:rPr>
        <w:t>给</w:t>
      </w:r>
      <w:r>
        <w:rPr>
          <w:rFonts w:hint="eastAsia"/>
          <w:bCs/>
          <w:szCs w:val="21"/>
        </w:rPr>
        <w:t>基金</w:t>
      </w:r>
      <w:r>
        <w:rPr>
          <w:bCs/>
          <w:szCs w:val="21"/>
        </w:rPr>
        <w:t>管理人</w:t>
      </w:r>
      <w:r>
        <w:rPr>
          <w:rFonts w:hint="eastAsia"/>
          <w:bCs/>
          <w:szCs w:val="21"/>
        </w:rPr>
        <w:t>、</w:t>
      </w:r>
      <w:r>
        <w:rPr>
          <w:bCs/>
          <w:szCs w:val="21"/>
        </w:rPr>
        <w:t>基金</w:t>
      </w:r>
      <w:r>
        <w:rPr>
          <w:rFonts w:hint="eastAsia"/>
          <w:bCs/>
          <w:szCs w:val="21"/>
        </w:rPr>
        <w:t>托管</w:t>
      </w:r>
      <w:r>
        <w:rPr>
          <w:bCs/>
          <w:szCs w:val="21"/>
        </w:rPr>
        <w:t>人。</w:t>
      </w:r>
      <w:r>
        <w:rPr>
          <w:rFonts w:hint="eastAsia"/>
          <w:szCs w:val="21"/>
        </w:rPr>
        <w:t>若遇法定节假日、公休假等，支付日期顺延。</w:t>
      </w:r>
    </w:p>
    <w:p>
      <w:pPr>
        <w:spacing w:line="360" w:lineRule="auto"/>
        <w:ind w:firstLine="420" w:firstLineChars="200"/>
        <w:rPr>
          <w:szCs w:val="21"/>
        </w:rPr>
      </w:pPr>
      <w:r>
        <w:rPr>
          <w:rFonts w:hint="eastAsia"/>
          <w:szCs w:val="21"/>
        </w:rPr>
        <w:t>（</w:t>
      </w:r>
      <w:r>
        <w:rPr>
          <w:rFonts w:hint="eastAsia"/>
          <w:szCs w:val="21"/>
          <w:lang w:val="en-US" w:eastAsia="zh-CN"/>
        </w:rPr>
        <w:t>八</w:t>
      </w:r>
      <w:r>
        <w:rPr>
          <w:rFonts w:hint="eastAsia"/>
          <w:szCs w:val="21"/>
        </w:rPr>
        <w:t>）违规处理方式</w:t>
      </w:r>
    </w:p>
    <w:p>
      <w:pPr>
        <w:spacing w:line="360" w:lineRule="auto"/>
        <w:ind w:firstLine="420" w:firstLineChars="200"/>
        <w:rPr>
          <w:szCs w:val="21"/>
        </w:rPr>
      </w:pPr>
      <w:r>
        <w:rPr>
          <w:rFonts w:hint="eastAsia"/>
          <w:szCs w:val="21"/>
        </w:rPr>
        <w:t>基金托管人发现基金管理人违反《基金法》、基金合同、《运作办法》及其他有关规定从基金财产中列支费用时，基金托管人可要求基金管理人予以说明解释，如基金管理人无正当理由，基金托管人可拒绝支付。</w:t>
      </w:r>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24" w:name="_Toc283383025"/>
      <w:bookmarkStart w:id="125" w:name="_Toc124749947"/>
      <w:bookmarkStart w:id="126" w:name="_Toc125361084"/>
      <w:bookmarkStart w:id="127" w:name="_Toc290284054"/>
      <w:bookmarkStart w:id="128" w:name="_Toc140002347"/>
      <w:bookmarkStart w:id="129" w:name="_Toc411875698"/>
      <w:r>
        <w:rPr>
          <w:rFonts w:hint="eastAsia" w:ascii="Times New Roman" w:hAnsi="Times New Roman"/>
        </w:rPr>
        <w:t>十二、基金份额持有人名册的保管</w:t>
      </w:r>
      <w:bookmarkEnd w:id="124"/>
      <w:bookmarkEnd w:id="125"/>
      <w:bookmarkEnd w:id="126"/>
      <w:bookmarkEnd w:id="127"/>
      <w:bookmarkEnd w:id="128"/>
      <w:bookmarkEnd w:id="129"/>
    </w:p>
    <w:p>
      <w:pPr>
        <w:spacing w:line="360" w:lineRule="auto"/>
        <w:ind w:firstLine="420" w:firstLineChars="200"/>
        <w:rPr>
          <w:szCs w:val="21"/>
        </w:rPr>
      </w:pPr>
      <w:r>
        <w:rPr>
          <w:rFonts w:hint="eastAsia"/>
          <w:szCs w:val="21"/>
        </w:rPr>
        <w:t>基金份额持有人名册至少应包括基金份额持有人的名称和持有的基金份额。基金份额持有人名册由登记机构根据基金管理人的指令编制和保管，基金管理人和基金托管人应分别保管基金份额持有人名册，保存期不少于</w:t>
      </w:r>
      <w:r>
        <w:rPr>
          <w:szCs w:val="21"/>
        </w:rPr>
        <w:t>15</w:t>
      </w:r>
      <w:r>
        <w:rPr>
          <w:rFonts w:hint="eastAsia"/>
          <w:szCs w:val="21"/>
        </w:rPr>
        <w:t>年。如不能妥善保管，则按相关法规承担责任。</w:t>
      </w:r>
    </w:p>
    <w:p>
      <w:pPr>
        <w:spacing w:line="360" w:lineRule="auto"/>
        <w:ind w:firstLine="420" w:firstLineChars="200"/>
        <w:rPr>
          <w:szCs w:val="21"/>
        </w:rPr>
      </w:pPr>
      <w:r>
        <w:rPr>
          <w:rFonts w:hint="eastAsia"/>
          <w:szCs w:val="21"/>
        </w:rPr>
        <w:t>在基金托管人要求或《基金合同》生效日、《基金合同》终止日、基金份额持有人大会权益登记日、编制中期报告和年报前，基金管理人应将有关资料送交基金托管人，不得无故拒绝或延误提供，并保证其真实性、准确性和完整性。基金托管人不得将所保管的基金份额持有人名册用于基金托管业务以外的其他用途，并应遵守保密义务，除非法律、法规、规章另有规定，有权机关另有要求。</w:t>
      </w:r>
    </w:p>
    <w:p>
      <w:pPr>
        <w:spacing w:line="360" w:lineRule="auto"/>
        <w:ind w:firstLine="420" w:firstLineChars="200"/>
        <w:rPr>
          <w:rFonts w:cs="Arial"/>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30" w:name="_Toc124749948"/>
      <w:bookmarkStart w:id="131" w:name="_Toc411875699"/>
      <w:bookmarkStart w:id="132" w:name="_Toc283383026"/>
      <w:bookmarkStart w:id="133" w:name="_Toc125361085"/>
      <w:bookmarkStart w:id="134" w:name="_Toc140002348"/>
      <w:bookmarkStart w:id="135" w:name="_Toc290284055"/>
      <w:r>
        <w:rPr>
          <w:rFonts w:hint="eastAsia" w:ascii="Times New Roman" w:hAnsi="Times New Roman"/>
        </w:rPr>
        <w:t>十三、基金有关文件档案的保存</w:t>
      </w:r>
      <w:bookmarkEnd w:id="130"/>
      <w:bookmarkEnd w:id="131"/>
      <w:bookmarkEnd w:id="132"/>
      <w:bookmarkEnd w:id="133"/>
      <w:bookmarkEnd w:id="134"/>
      <w:bookmarkEnd w:id="135"/>
    </w:p>
    <w:p>
      <w:pPr>
        <w:spacing w:line="360" w:lineRule="auto"/>
        <w:ind w:firstLine="420" w:firstLineChars="200"/>
        <w:rPr>
          <w:szCs w:val="21"/>
        </w:rPr>
      </w:pPr>
      <w:r>
        <w:rPr>
          <w:rFonts w:hint="eastAsia"/>
          <w:szCs w:val="21"/>
        </w:rPr>
        <w:t>（一）档案保存</w:t>
      </w:r>
    </w:p>
    <w:p>
      <w:pPr>
        <w:spacing w:line="360" w:lineRule="auto"/>
        <w:ind w:firstLine="420" w:firstLineChars="200"/>
        <w:rPr>
          <w:szCs w:val="21"/>
        </w:rPr>
      </w:pPr>
      <w:r>
        <w:rPr>
          <w:rFonts w:hint="eastAsia"/>
          <w:szCs w:val="21"/>
        </w:rPr>
        <w:t>基金管理人应保存基金财产管理业务活动的记录、账册、报表和其他相关资料。基金托管人应保存基金托管业务活动的记录、账册、报表和其他相关资料。基金管理人和基金托管人都应当按规定的期限保管。保存期限不少于</w:t>
      </w:r>
      <w:r>
        <w:rPr>
          <w:szCs w:val="21"/>
        </w:rPr>
        <w:t>15</w:t>
      </w:r>
      <w:r>
        <w:rPr>
          <w:rFonts w:hint="eastAsia"/>
          <w:szCs w:val="21"/>
        </w:rPr>
        <w:t>年，法律法规另有规定除外。</w:t>
      </w:r>
    </w:p>
    <w:p>
      <w:pPr>
        <w:spacing w:line="360" w:lineRule="auto"/>
        <w:ind w:firstLine="420" w:firstLineChars="200"/>
        <w:rPr>
          <w:szCs w:val="21"/>
        </w:rPr>
      </w:pPr>
      <w:r>
        <w:rPr>
          <w:rFonts w:hint="eastAsia"/>
          <w:szCs w:val="21"/>
        </w:rPr>
        <w:t>（二）合同档案的建立</w:t>
      </w:r>
    </w:p>
    <w:p>
      <w:pPr>
        <w:spacing w:line="360" w:lineRule="auto"/>
        <w:ind w:firstLine="420" w:firstLineChars="200"/>
        <w:rPr>
          <w:szCs w:val="21"/>
        </w:rPr>
      </w:pPr>
      <w:r>
        <w:rPr>
          <w:szCs w:val="21"/>
        </w:rPr>
        <w:t>1</w:t>
      </w:r>
      <w:r>
        <w:rPr>
          <w:rFonts w:hint="eastAsia"/>
          <w:szCs w:val="21"/>
        </w:rPr>
        <w:t>．基金管理人签署重大合同文本后，应及时将合同文本正本送达基金托管人处。</w:t>
      </w:r>
    </w:p>
    <w:p>
      <w:pPr>
        <w:spacing w:line="360" w:lineRule="auto"/>
        <w:ind w:firstLine="420" w:firstLineChars="200"/>
        <w:rPr>
          <w:szCs w:val="21"/>
        </w:rPr>
      </w:pPr>
      <w:r>
        <w:rPr>
          <w:szCs w:val="21"/>
        </w:rPr>
        <w:t>2</w:t>
      </w:r>
      <w:r>
        <w:rPr>
          <w:rFonts w:hint="eastAsia"/>
          <w:szCs w:val="21"/>
        </w:rPr>
        <w:t>．基金管理人应及时将与本基金账务处理、资金划拨等有关的合同、协议传真基金托管人。</w:t>
      </w:r>
    </w:p>
    <w:p>
      <w:pPr>
        <w:spacing w:line="360" w:lineRule="auto"/>
        <w:ind w:firstLine="420" w:firstLineChars="200"/>
        <w:rPr>
          <w:szCs w:val="21"/>
        </w:rPr>
      </w:pPr>
      <w:r>
        <w:rPr>
          <w:rFonts w:hint="eastAsia"/>
          <w:szCs w:val="21"/>
        </w:rPr>
        <w:t>（三）变更与协助</w:t>
      </w:r>
    </w:p>
    <w:p>
      <w:pPr>
        <w:spacing w:line="360" w:lineRule="auto"/>
        <w:ind w:firstLine="420" w:firstLineChars="200"/>
        <w:rPr>
          <w:szCs w:val="21"/>
        </w:rPr>
      </w:pPr>
      <w:r>
        <w:rPr>
          <w:rFonts w:hint="eastAsia"/>
          <w:szCs w:val="21"/>
        </w:rPr>
        <w:t>若基金管理人</w:t>
      </w:r>
      <w:r>
        <w:rPr>
          <w:szCs w:val="21"/>
        </w:rPr>
        <w:t>/</w:t>
      </w:r>
      <w:r>
        <w:rPr>
          <w:rFonts w:hint="eastAsia"/>
          <w:szCs w:val="21"/>
        </w:rPr>
        <w:t>基金托管人发生变更，未变更的一方有义务协助变更后的接任人接收相应文件。</w:t>
      </w:r>
    </w:p>
    <w:p>
      <w:pPr>
        <w:spacing w:line="360" w:lineRule="auto"/>
        <w:ind w:firstLine="420" w:firstLineChars="200"/>
        <w:rPr>
          <w:szCs w:val="21"/>
        </w:rPr>
      </w:pPr>
      <w:r>
        <w:rPr>
          <w:rFonts w:hint="eastAsia"/>
          <w:szCs w:val="21"/>
        </w:rPr>
        <w:t>（四）基金管理人和基金托管人应按各自职责完整保存原始凭证、记账凭证、基金账册、交易记录和重要合同等，承担保密义务并保存至少</w:t>
      </w:r>
      <w:r>
        <w:rPr>
          <w:szCs w:val="21"/>
        </w:rPr>
        <w:t>15</w:t>
      </w:r>
      <w:r>
        <w:rPr>
          <w:rFonts w:hint="eastAsia"/>
          <w:szCs w:val="21"/>
        </w:rPr>
        <w:t>年以上。</w:t>
      </w:r>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36" w:name="_Toc123626180"/>
      <w:bookmarkStart w:id="137" w:name="_Toc283383027"/>
      <w:bookmarkStart w:id="138" w:name="_Toc290284056"/>
      <w:bookmarkStart w:id="139" w:name="_Toc411875700"/>
      <w:bookmarkStart w:id="140" w:name="_Toc124749236"/>
      <w:bookmarkStart w:id="141" w:name="_Toc140002349"/>
      <w:bookmarkStart w:id="142" w:name="_Toc125361086"/>
      <w:bookmarkStart w:id="143" w:name="_Toc124749949"/>
      <w:r>
        <w:rPr>
          <w:rFonts w:hint="eastAsia" w:ascii="Times New Roman" w:hAnsi="Times New Roman"/>
        </w:rPr>
        <w:t>十四、基金管理人和基金托管</w:t>
      </w:r>
      <w:bookmarkEnd w:id="136"/>
      <w:r>
        <w:rPr>
          <w:rFonts w:hint="eastAsia" w:ascii="Times New Roman" w:hAnsi="Times New Roman"/>
        </w:rPr>
        <w:t>人的更换</w:t>
      </w:r>
      <w:bookmarkEnd w:id="137"/>
      <w:bookmarkEnd w:id="138"/>
      <w:bookmarkEnd w:id="139"/>
      <w:bookmarkEnd w:id="140"/>
      <w:bookmarkEnd w:id="141"/>
      <w:bookmarkEnd w:id="142"/>
      <w:bookmarkEnd w:id="143"/>
    </w:p>
    <w:p>
      <w:pPr>
        <w:spacing w:line="360" w:lineRule="auto"/>
        <w:ind w:firstLine="420" w:firstLineChars="200"/>
        <w:rPr>
          <w:szCs w:val="21"/>
        </w:rPr>
      </w:pPr>
      <w:r>
        <w:rPr>
          <w:rFonts w:hint="eastAsia"/>
          <w:szCs w:val="21"/>
        </w:rPr>
        <w:t>（一）基金管理人职责终止的情形</w:t>
      </w:r>
    </w:p>
    <w:p>
      <w:pPr>
        <w:spacing w:line="360" w:lineRule="auto"/>
        <w:ind w:firstLine="420" w:firstLineChars="200"/>
        <w:rPr>
          <w:szCs w:val="21"/>
        </w:rPr>
      </w:pPr>
      <w:r>
        <w:rPr>
          <w:szCs w:val="21"/>
        </w:rPr>
        <w:t>1</w:t>
      </w:r>
      <w:r>
        <w:rPr>
          <w:rFonts w:hint="eastAsia"/>
          <w:szCs w:val="21"/>
        </w:rPr>
        <w:t>．基金管理人职责终止的情形</w:t>
      </w:r>
    </w:p>
    <w:p>
      <w:pPr>
        <w:spacing w:line="360" w:lineRule="auto"/>
        <w:ind w:firstLine="420" w:firstLineChars="200"/>
        <w:rPr>
          <w:szCs w:val="21"/>
        </w:rPr>
      </w:pPr>
      <w:r>
        <w:rPr>
          <w:rFonts w:hint="eastAsia"/>
          <w:szCs w:val="21"/>
        </w:rPr>
        <w:t>有下列情形之一的，基金管理人职责终止：</w:t>
      </w:r>
    </w:p>
    <w:p>
      <w:pPr>
        <w:spacing w:line="360" w:lineRule="auto"/>
        <w:ind w:firstLine="420" w:firstLineChars="200"/>
        <w:rPr>
          <w:szCs w:val="21"/>
        </w:rPr>
      </w:pPr>
      <w:r>
        <w:rPr>
          <w:rFonts w:hint="eastAsia"/>
          <w:szCs w:val="21"/>
        </w:rPr>
        <w:t>（1）被依法取消基金管理资格；</w:t>
      </w:r>
    </w:p>
    <w:p>
      <w:pPr>
        <w:spacing w:line="360" w:lineRule="auto"/>
        <w:ind w:firstLine="420" w:firstLineChars="200"/>
        <w:rPr>
          <w:szCs w:val="21"/>
        </w:rPr>
      </w:pPr>
      <w:r>
        <w:rPr>
          <w:rFonts w:hint="eastAsia"/>
          <w:szCs w:val="21"/>
        </w:rPr>
        <w:t>（2）依法解散、被依法撤销或被依法宣告破产；</w:t>
      </w:r>
    </w:p>
    <w:p>
      <w:pPr>
        <w:spacing w:line="360" w:lineRule="auto"/>
        <w:ind w:firstLine="420" w:firstLineChars="200"/>
        <w:rPr>
          <w:szCs w:val="21"/>
        </w:rPr>
      </w:pPr>
      <w:r>
        <w:rPr>
          <w:rFonts w:hint="eastAsia"/>
          <w:szCs w:val="21"/>
        </w:rPr>
        <w:t>（3）被基金份额持有人大会解任；</w:t>
      </w:r>
    </w:p>
    <w:p>
      <w:pPr>
        <w:spacing w:line="360" w:lineRule="auto"/>
        <w:ind w:firstLine="420" w:firstLineChars="200"/>
        <w:rPr>
          <w:szCs w:val="21"/>
        </w:rPr>
      </w:pPr>
      <w:r>
        <w:rPr>
          <w:rFonts w:hint="eastAsia"/>
          <w:szCs w:val="21"/>
        </w:rPr>
        <w:t>（4）法律法规及中国证监会规定的和基金合同约定的其他情形。</w:t>
      </w:r>
    </w:p>
    <w:p>
      <w:pPr>
        <w:spacing w:line="360" w:lineRule="auto"/>
        <w:ind w:firstLine="420" w:firstLineChars="200"/>
        <w:rPr>
          <w:szCs w:val="21"/>
        </w:rPr>
      </w:pPr>
      <w:r>
        <w:rPr>
          <w:szCs w:val="21"/>
        </w:rPr>
        <w:t>2</w:t>
      </w:r>
      <w:r>
        <w:rPr>
          <w:rFonts w:hint="eastAsia"/>
          <w:szCs w:val="21"/>
        </w:rPr>
        <w:t>．基金管理人的更换程序</w:t>
      </w:r>
    </w:p>
    <w:p>
      <w:pPr>
        <w:spacing w:line="360" w:lineRule="auto"/>
        <w:ind w:firstLine="420" w:firstLineChars="200"/>
        <w:rPr>
          <w:szCs w:val="21"/>
        </w:rPr>
      </w:pPr>
      <w:r>
        <w:rPr>
          <w:rFonts w:hint="eastAsia"/>
          <w:szCs w:val="21"/>
        </w:rPr>
        <w:t>更换基金管理人必须依照如下程序进行：</w:t>
      </w:r>
    </w:p>
    <w:p>
      <w:pPr>
        <w:spacing w:line="360" w:lineRule="auto"/>
        <w:ind w:firstLine="420" w:firstLineChars="200"/>
        <w:rPr>
          <w:szCs w:val="21"/>
        </w:rPr>
      </w:pPr>
      <w:r>
        <w:rPr>
          <w:rFonts w:hint="eastAsia"/>
          <w:szCs w:val="21"/>
        </w:rPr>
        <w:t>（1）提名：新任基金管理人由基金托管人或由单独或合计持有10%以上（含10%）基金份额的基金份额持有人提名；</w:t>
      </w:r>
    </w:p>
    <w:p>
      <w:pPr>
        <w:spacing w:line="360" w:lineRule="auto"/>
        <w:ind w:firstLine="420" w:firstLineChars="200"/>
        <w:rPr>
          <w:szCs w:val="21"/>
        </w:rPr>
      </w:pPr>
      <w:r>
        <w:rPr>
          <w:rFonts w:hint="eastAsia"/>
          <w:szCs w:val="21"/>
        </w:rPr>
        <w:t>（2）决议：基金份额持有人大会在基金管理人职责终止后6个月内对被提名的基金管理人形成决议，该决议需经参加大会的基金份额持有人所持表决权的三分之二以上（含三分之二）表决通过，并自表决通过之日起生效；</w:t>
      </w:r>
    </w:p>
    <w:p>
      <w:pPr>
        <w:spacing w:line="360" w:lineRule="auto"/>
        <w:ind w:firstLine="420" w:firstLineChars="200"/>
        <w:rPr>
          <w:szCs w:val="21"/>
        </w:rPr>
      </w:pPr>
      <w:r>
        <w:rPr>
          <w:rFonts w:hint="eastAsia"/>
          <w:szCs w:val="21"/>
        </w:rPr>
        <w:t>（3）临时基金管理人：新任基金管理人产生之前，由中国证监会指定临时基金管理人；</w:t>
      </w:r>
    </w:p>
    <w:p>
      <w:pPr>
        <w:spacing w:line="360" w:lineRule="auto"/>
        <w:ind w:firstLine="420" w:firstLineChars="200"/>
        <w:rPr>
          <w:szCs w:val="21"/>
        </w:rPr>
      </w:pPr>
      <w:r>
        <w:rPr>
          <w:rFonts w:hint="eastAsia"/>
          <w:szCs w:val="21"/>
        </w:rPr>
        <w:t>（4）备案：基金份额持有人大会选任基金管理人的决议须报中国证监会备案；</w:t>
      </w:r>
    </w:p>
    <w:p>
      <w:pPr>
        <w:spacing w:line="360" w:lineRule="auto"/>
        <w:ind w:firstLine="420" w:firstLineChars="200"/>
        <w:rPr>
          <w:szCs w:val="21"/>
        </w:rPr>
      </w:pPr>
      <w:r>
        <w:rPr>
          <w:rFonts w:hint="eastAsia"/>
          <w:szCs w:val="21"/>
        </w:rPr>
        <w:t>（5）公告：基金管理人更换后，由基金托管人在更换基金管理人的基金份额持有人大会决议生效后按规定在指定媒介公告；</w:t>
      </w:r>
    </w:p>
    <w:p>
      <w:pPr>
        <w:spacing w:line="360" w:lineRule="auto"/>
        <w:ind w:firstLine="420" w:firstLineChars="200"/>
        <w:rPr>
          <w:szCs w:val="21"/>
        </w:rPr>
      </w:pPr>
      <w:r>
        <w:rPr>
          <w:rFonts w:hint="eastAsia"/>
          <w:szCs w:val="21"/>
        </w:rPr>
        <w:t>（6）交接：基金管理人职责终止的，基金管理人应妥善保管基金管理业务资料，及时向临时基金管理人或新任基金管理人办理基金管理业务的移交手续，临时基金管理人或新任基金管理人应及时接收。临时基金管理人或新任基金管理人应与基金托管人核对基金资产总值和净值；</w:t>
      </w:r>
    </w:p>
    <w:p>
      <w:pPr>
        <w:spacing w:line="360" w:lineRule="auto"/>
        <w:ind w:firstLine="420" w:firstLineChars="200"/>
        <w:rPr>
          <w:szCs w:val="21"/>
        </w:rPr>
      </w:pPr>
      <w:r>
        <w:rPr>
          <w:rFonts w:hint="eastAsia"/>
          <w:szCs w:val="21"/>
        </w:rPr>
        <w:t>（7）审计：基金管理人职责终止的，应当按照法律法规规定聘请会计师事务所对基金财产进行审计，并将审计结果予以公告同时报中国证监会备案，审计费用从基金财产中列支；</w:t>
      </w:r>
    </w:p>
    <w:p>
      <w:pPr>
        <w:spacing w:line="360" w:lineRule="auto"/>
        <w:ind w:firstLine="420" w:firstLineChars="200"/>
        <w:rPr>
          <w:szCs w:val="21"/>
        </w:rPr>
      </w:pPr>
      <w:r>
        <w:rPr>
          <w:rFonts w:hint="eastAsia"/>
          <w:szCs w:val="21"/>
        </w:rPr>
        <w:t>（8）基金名称变更：基金管理人更换后，如果原任或新任基金管理人要求，应按其要求替换或删除基金名称中与原任基金管理人有关的名称字样。</w:t>
      </w:r>
    </w:p>
    <w:p>
      <w:pPr>
        <w:spacing w:line="360" w:lineRule="auto"/>
        <w:ind w:firstLine="420" w:firstLineChars="200"/>
        <w:rPr>
          <w:szCs w:val="21"/>
        </w:rPr>
      </w:pPr>
      <w:r>
        <w:rPr>
          <w:rFonts w:hint="eastAsia"/>
          <w:szCs w:val="21"/>
        </w:rPr>
        <w:t>3. 原任基金管理人职责终止后，新任基金管理人或基金临时管理人接受基金管理业务前，原任基金管理人和基金托管人需采取审慎措施确保基金财产的安全，不对基金份额持有人的利益造成损失，并有义务协助新任基金管理人或临时基金管理人尽快恢复基金财产的投资运作。</w:t>
      </w:r>
    </w:p>
    <w:p>
      <w:pPr>
        <w:spacing w:line="360" w:lineRule="auto"/>
        <w:ind w:firstLine="420" w:firstLineChars="200"/>
        <w:rPr>
          <w:szCs w:val="21"/>
        </w:rPr>
      </w:pPr>
      <w:r>
        <w:rPr>
          <w:rFonts w:hint="eastAsia"/>
          <w:szCs w:val="21"/>
        </w:rPr>
        <w:t>（二）基金托管人职责终止的情形</w:t>
      </w:r>
    </w:p>
    <w:p>
      <w:pPr>
        <w:spacing w:line="360" w:lineRule="auto"/>
        <w:ind w:firstLine="420" w:firstLineChars="200"/>
        <w:rPr>
          <w:szCs w:val="21"/>
        </w:rPr>
      </w:pPr>
      <w:r>
        <w:rPr>
          <w:szCs w:val="21"/>
        </w:rPr>
        <w:t>1</w:t>
      </w:r>
      <w:r>
        <w:rPr>
          <w:rFonts w:hint="eastAsia"/>
          <w:szCs w:val="21"/>
        </w:rPr>
        <w:t>．基金托管人职责终止的情形</w:t>
      </w:r>
    </w:p>
    <w:p>
      <w:pPr>
        <w:spacing w:line="360" w:lineRule="auto"/>
        <w:ind w:firstLine="420" w:firstLineChars="200"/>
        <w:rPr>
          <w:szCs w:val="21"/>
        </w:rPr>
      </w:pPr>
      <w:r>
        <w:rPr>
          <w:rFonts w:hint="eastAsia"/>
          <w:szCs w:val="21"/>
        </w:rPr>
        <w:t>有下列情形之一的，基金托管人职责终止：</w:t>
      </w:r>
    </w:p>
    <w:p>
      <w:pPr>
        <w:spacing w:line="360" w:lineRule="auto"/>
        <w:ind w:firstLine="420" w:firstLineChars="200"/>
        <w:rPr>
          <w:szCs w:val="21"/>
        </w:rPr>
      </w:pPr>
      <w:r>
        <w:rPr>
          <w:rFonts w:hint="eastAsia"/>
          <w:szCs w:val="21"/>
        </w:rPr>
        <w:t>（</w:t>
      </w:r>
      <w:r>
        <w:rPr>
          <w:szCs w:val="21"/>
        </w:rPr>
        <w:t>1</w:t>
      </w:r>
      <w:r>
        <w:rPr>
          <w:rFonts w:hint="eastAsia"/>
          <w:szCs w:val="21"/>
        </w:rPr>
        <w:t>）被依法取消基金托管资格；</w:t>
      </w:r>
    </w:p>
    <w:p>
      <w:pPr>
        <w:spacing w:line="360" w:lineRule="auto"/>
        <w:ind w:firstLine="420" w:firstLineChars="200"/>
        <w:rPr>
          <w:szCs w:val="21"/>
        </w:rPr>
      </w:pPr>
      <w:r>
        <w:rPr>
          <w:rFonts w:hint="eastAsia"/>
          <w:szCs w:val="21"/>
        </w:rPr>
        <w:t>（</w:t>
      </w:r>
      <w:r>
        <w:rPr>
          <w:szCs w:val="21"/>
        </w:rPr>
        <w:t>2</w:t>
      </w:r>
      <w:r>
        <w:rPr>
          <w:rFonts w:hint="eastAsia"/>
          <w:szCs w:val="21"/>
        </w:rPr>
        <w:t>）依法解散、被依法撤销或被依法宣告破产；</w:t>
      </w:r>
    </w:p>
    <w:p>
      <w:pPr>
        <w:spacing w:line="360" w:lineRule="auto"/>
        <w:ind w:firstLine="420" w:firstLineChars="200"/>
        <w:rPr>
          <w:szCs w:val="21"/>
        </w:rPr>
      </w:pPr>
      <w:r>
        <w:rPr>
          <w:rFonts w:hint="eastAsia"/>
          <w:szCs w:val="21"/>
        </w:rPr>
        <w:t>（</w:t>
      </w:r>
      <w:r>
        <w:rPr>
          <w:szCs w:val="21"/>
        </w:rPr>
        <w:t>3</w:t>
      </w:r>
      <w:r>
        <w:rPr>
          <w:rFonts w:hint="eastAsia"/>
          <w:szCs w:val="21"/>
        </w:rPr>
        <w:t>）被基金份额持有人大会解任；</w:t>
      </w:r>
    </w:p>
    <w:p>
      <w:pPr>
        <w:spacing w:line="360" w:lineRule="auto"/>
        <w:ind w:firstLine="420" w:firstLineChars="200"/>
        <w:rPr>
          <w:szCs w:val="21"/>
        </w:rPr>
      </w:pPr>
      <w:r>
        <w:rPr>
          <w:rFonts w:hint="eastAsia"/>
          <w:szCs w:val="21"/>
        </w:rPr>
        <w:t>（</w:t>
      </w:r>
      <w:r>
        <w:rPr>
          <w:szCs w:val="21"/>
        </w:rPr>
        <w:t>4</w:t>
      </w:r>
      <w:r>
        <w:rPr>
          <w:rFonts w:hint="eastAsia"/>
          <w:szCs w:val="21"/>
        </w:rPr>
        <w:t>）法律法规及中国证监会规定的和基金合同约定的其他情形。</w:t>
      </w:r>
    </w:p>
    <w:p>
      <w:pPr>
        <w:spacing w:line="360" w:lineRule="auto"/>
        <w:ind w:firstLine="420" w:firstLineChars="200"/>
        <w:rPr>
          <w:szCs w:val="21"/>
        </w:rPr>
      </w:pPr>
      <w:r>
        <w:rPr>
          <w:szCs w:val="21"/>
        </w:rPr>
        <w:t>2</w:t>
      </w:r>
      <w:r>
        <w:rPr>
          <w:rFonts w:hint="eastAsia"/>
          <w:szCs w:val="21"/>
        </w:rPr>
        <w:t>．基金托管人的更换程序</w:t>
      </w:r>
    </w:p>
    <w:p>
      <w:pPr>
        <w:spacing w:line="360" w:lineRule="auto"/>
        <w:ind w:firstLine="420" w:firstLineChars="200"/>
        <w:rPr>
          <w:szCs w:val="21"/>
        </w:rPr>
      </w:pPr>
      <w:r>
        <w:rPr>
          <w:rFonts w:hint="eastAsia"/>
          <w:szCs w:val="21"/>
        </w:rPr>
        <w:t>（1）提名：新任基金托管人由基金管理人或由单独或合计持有10%以上（含10%）基金份额的基金份额持有人提名；</w:t>
      </w:r>
    </w:p>
    <w:p>
      <w:pPr>
        <w:spacing w:line="360" w:lineRule="auto"/>
        <w:ind w:firstLine="420" w:firstLineChars="200"/>
        <w:rPr>
          <w:szCs w:val="21"/>
        </w:rPr>
      </w:pPr>
      <w:r>
        <w:rPr>
          <w:rFonts w:hint="eastAsia"/>
          <w:szCs w:val="21"/>
        </w:rPr>
        <w:t>（2）决议：基金份额持有人大会在基金托管人职责终止后6个月内对被提名的基金托管人形成决议，该决议需经参加大会的基金份额持有人所持表决权的三分之二以上（含三分之二）表决通过，并自表决通过之日起生效；</w:t>
      </w:r>
    </w:p>
    <w:p>
      <w:pPr>
        <w:spacing w:line="360" w:lineRule="auto"/>
        <w:ind w:firstLine="420" w:firstLineChars="200"/>
        <w:rPr>
          <w:szCs w:val="21"/>
        </w:rPr>
      </w:pPr>
      <w:r>
        <w:rPr>
          <w:rFonts w:hint="eastAsia"/>
          <w:szCs w:val="21"/>
        </w:rPr>
        <w:t>（3）临时基金托管人：新任基金托管人产生之前，由中国证监会指定临时基金托管人；</w:t>
      </w:r>
    </w:p>
    <w:p>
      <w:pPr>
        <w:spacing w:line="360" w:lineRule="auto"/>
        <w:ind w:firstLine="420" w:firstLineChars="200"/>
        <w:rPr>
          <w:szCs w:val="21"/>
        </w:rPr>
      </w:pPr>
      <w:r>
        <w:rPr>
          <w:rFonts w:hint="eastAsia"/>
          <w:szCs w:val="21"/>
        </w:rPr>
        <w:t>（4）备案：基金份额持有人大会更换基金托管人的决议须报中国证监会备案；</w:t>
      </w:r>
    </w:p>
    <w:p>
      <w:pPr>
        <w:spacing w:line="360" w:lineRule="auto"/>
        <w:ind w:firstLine="420" w:firstLineChars="200"/>
        <w:rPr>
          <w:szCs w:val="21"/>
        </w:rPr>
      </w:pPr>
      <w:r>
        <w:rPr>
          <w:rFonts w:hint="eastAsia"/>
          <w:szCs w:val="21"/>
        </w:rPr>
        <w:t>（5）公告：基金托管人更换后，由基金管理人在</w:t>
      </w:r>
      <w:r>
        <w:rPr>
          <w:rFonts w:hint="eastAsia" w:ascii="宋体" w:hAnsi="宋体"/>
          <w:szCs w:val="21"/>
        </w:rPr>
        <w:t>更换基金托管人的基金份额持有人大会决议生效后</w:t>
      </w:r>
      <w:r>
        <w:rPr>
          <w:rFonts w:hint="eastAsia"/>
          <w:szCs w:val="21"/>
        </w:rPr>
        <w:t>按规定在指定媒介公告；</w:t>
      </w:r>
    </w:p>
    <w:p>
      <w:pPr>
        <w:spacing w:line="360" w:lineRule="auto"/>
        <w:ind w:firstLine="420" w:firstLineChars="200"/>
        <w:rPr>
          <w:bCs/>
          <w:szCs w:val="21"/>
        </w:rPr>
      </w:pPr>
      <w:r>
        <w:rPr>
          <w:rFonts w:hint="eastAsia"/>
          <w:szCs w:val="21"/>
        </w:rPr>
        <w:t>（6）</w:t>
      </w:r>
      <w:r>
        <w:rPr>
          <w:bCs/>
          <w:szCs w:val="21"/>
        </w:rPr>
        <w:t>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Cs w:val="21"/>
        </w:rPr>
        <w:t>或者临时基金托管人</w:t>
      </w:r>
      <w:r>
        <w:rPr>
          <w:bCs/>
          <w:szCs w:val="21"/>
        </w:rPr>
        <w:t>与基金管理人核对基金资产总值</w:t>
      </w:r>
      <w:r>
        <w:rPr>
          <w:rFonts w:hint="eastAsia"/>
          <w:bCs/>
          <w:szCs w:val="21"/>
        </w:rPr>
        <w:t>和</w:t>
      </w:r>
      <w:r>
        <w:rPr>
          <w:bCs/>
          <w:szCs w:val="21"/>
        </w:rPr>
        <w:t>净值；</w:t>
      </w:r>
    </w:p>
    <w:p>
      <w:pPr>
        <w:spacing w:line="360" w:lineRule="auto"/>
        <w:ind w:firstLine="420" w:firstLineChars="200"/>
        <w:rPr>
          <w:szCs w:val="21"/>
        </w:rPr>
      </w:pPr>
      <w:r>
        <w:rPr>
          <w:rFonts w:hint="eastAsia"/>
          <w:szCs w:val="21"/>
        </w:rPr>
        <w:t>（7）审计：基金托管人职责终止的，应当按照法律法规规定聘请会计师事务所对基金财产进行审计，并将审计结果予以公告，同时报中国证监会备案，审计费用从基金财产中列支。</w:t>
      </w:r>
    </w:p>
    <w:p>
      <w:pPr>
        <w:spacing w:line="360" w:lineRule="auto"/>
        <w:ind w:firstLine="420" w:firstLineChars="200"/>
        <w:rPr>
          <w:szCs w:val="21"/>
        </w:rPr>
      </w:pPr>
      <w:r>
        <w:rPr>
          <w:rFonts w:hint="eastAsia"/>
          <w:szCs w:val="21"/>
        </w:rPr>
        <w:t>3．原基金托管人职责终止后，新任基金托管人或临时基金托管人接受基金财产和基金托管业务前，原基金托管人和基金管理人需采取审慎措施确保基金财产的安全，不对基金份额持有人的利益造成损失，并有义务协助新任基金托管人或临时基金托管人尽快交接基金资产。</w:t>
      </w:r>
    </w:p>
    <w:p>
      <w:pPr>
        <w:spacing w:line="360" w:lineRule="auto"/>
        <w:ind w:firstLine="420" w:firstLineChars="200"/>
        <w:rPr>
          <w:szCs w:val="21"/>
        </w:rPr>
      </w:pPr>
      <w:r>
        <w:rPr>
          <w:rFonts w:hint="eastAsia"/>
          <w:szCs w:val="21"/>
        </w:rPr>
        <w:t>（三）基金管理人与基金托管人同时更换的条件和程序</w:t>
      </w:r>
    </w:p>
    <w:p>
      <w:pPr>
        <w:spacing w:line="360" w:lineRule="auto"/>
        <w:ind w:firstLine="420" w:firstLineChars="200"/>
        <w:rPr>
          <w:szCs w:val="21"/>
        </w:rPr>
      </w:pPr>
      <w:r>
        <w:rPr>
          <w:szCs w:val="21"/>
        </w:rPr>
        <w:t>1</w:t>
      </w:r>
      <w:r>
        <w:rPr>
          <w:rFonts w:hint="eastAsia"/>
          <w:szCs w:val="21"/>
        </w:rPr>
        <w:t>．提名：如果基金管理人和基金托管人同时更换，由单独或合计持有基金总份额</w:t>
      </w:r>
      <w:r>
        <w:rPr>
          <w:szCs w:val="21"/>
        </w:rPr>
        <w:t>10%</w:t>
      </w:r>
      <w:r>
        <w:rPr>
          <w:rFonts w:hint="eastAsia"/>
          <w:szCs w:val="21"/>
        </w:rPr>
        <w:t>以上（含</w:t>
      </w:r>
      <w:r>
        <w:rPr>
          <w:szCs w:val="21"/>
        </w:rPr>
        <w:t>10%）</w:t>
      </w:r>
      <w:r>
        <w:rPr>
          <w:rFonts w:hint="eastAsia"/>
          <w:szCs w:val="21"/>
        </w:rPr>
        <w:t>的基金份额持有人提名新的基金管理人和基金托管人；</w:t>
      </w:r>
    </w:p>
    <w:p>
      <w:pPr>
        <w:spacing w:line="360" w:lineRule="auto"/>
        <w:ind w:firstLine="420" w:firstLineChars="200"/>
        <w:rPr>
          <w:szCs w:val="21"/>
        </w:rPr>
      </w:pPr>
      <w:r>
        <w:rPr>
          <w:szCs w:val="21"/>
        </w:rPr>
        <w:t>2</w:t>
      </w:r>
      <w:r>
        <w:rPr>
          <w:rFonts w:hint="eastAsia"/>
          <w:szCs w:val="21"/>
        </w:rPr>
        <w:t>．基金管理人和基金托管人的更换分别按上述程序进行；</w:t>
      </w:r>
    </w:p>
    <w:p>
      <w:pPr>
        <w:spacing w:line="360" w:lineRule="auto"/>
        <w:ind w:firstLine="420" w:firstLineChars="200"/>
        <w:rPr>
          <w:szCs w:val="21"/>
        </w:rPr>
      </w:pPr>
      <w:r>
        <w:rPr>
          <w:szCs w:val="21"/>
        </w:rPr>
        <w:t>3</w:t>
      </w:r>
      <w:r>
        <w:rPr>
          <w:rFonts w:hint="eastAsia"/>
          <w:szCs w:val="21"/>
        </w:rPr>
        <w:t>．公告：新任基金管理人和新任基金托管人应在更换基金管理人和基金托管人的基金份额持有人大会决议生效后按规定在指定媒介上联合公告。</w:t>
      </w:r>
    </w:p>
    <w:p>
      <w:pPr>
        <w:spacing w:line="360" w:lineRule="auto"/>
        <w:ind w:firstLine="420" w:firstLineChars="200"/>
        <w:rPr>
          <w:szCs w:val="21"/>
        </w:rPr>
      </w:pPr>
      <w:r>
        <w:rPr>
          <w:rFonts w:hint="eastAsia"/>
          <w:szCs w:val="21"/>
        </w:rPr>
        <w:t>（四）新基金管理人</w:t>
      </w:r>
      <w:r>
        <w:rPr>
          <w:rFonts w:hint="eastAsia" w:ascii="宋体" w:hAnsi="宋体"/>
          <w:szCs w:val="21"/>
        </w:rPr>
        <w:t>或临时基金管理人</w:t>
      </w:r>
      <w:r>
        <w:rPr>
          <w:rFonts w:hint="eastAsia"/>
          <w:szCs w:val="21"/>
        </w:rPr>
        <w:t>接收基金管理业务或新基金托管人</w:t>
      </w:r>
      <w:r>
        <w:rPr>
          <w:rFonts w:hint="eastAsia" w:ascii="宋体" w:hAnsi="宋体"/>
          <w:szCs w:val="21"/>
        </w:rPr>
        <w:t>或临时基金托管人</w:t>
      </w:r>
      <w:r>
        <w:rPr>
          <w:rFonts w:hint="eastAsia"/>
          <w:szCs w:val="21"/>
        </w:rPr>
        <w:t>接收基金财产和基金托管业务前，原基金管理人或原基金托管人应继续履行相关职责，并保证不做出对基金份额持有人的利益造成损害的行为。</w:t>
      </w:r>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44" w:name="_Toc411875701"/>
      <w:bookmarkStart w:id="145" w:name="_Toc140002350"/>
      <w:bookmarkStart w:id="146" w:name="_Toc290284057"/>
      <w:bookmarkStart w:id="147" w:name="_Toc125361087"/>
      <w:bookmarkStart w:id="148" w:name="_Toc124749237"/>
      <w:bookmarkStart w:id="149" w:name="_Toc123626181"/>
      <w:bookmarkStart w:id="150" w:name="_Toc124749950"/>
      <w:bookmarkStart w:id="151" w:name="_Toc283383028"/>
      <w:r>
        <w:rPr>
          <w:rFonts w:hint="eastAsia" w:ascii="Times New Roman" w:hAnsi="Times New Roman"/>
        </w:rPr>
        <w:t>十五、禁止行为</w:t>
      </w:r>
      <w:bookmarkEnd w:id="144"/>
      <w:bookmarkEnd w:id="145"/>
      <w:bookmarkEnd w:id="146"/>
      <w:bookmarkEnd w:id="147"/>
      <w:bookmarkEnd w:id="148"/>
      <w:bookmarkEnd w:id="149"/>
      <w:bookmarkEnd w:id="150"/>
      <w:bookmarkEnd w:id="151"/>
    </w:p>
    <w:p>
      <w:pPr>
        <w:spacing w:line="360" w:lineRule="auto"/>
        <w:ind w:firstLine="420" w:firstLineChars="200"/>
        <w:rPr>
          <w:szCs w:val="21"/>
        </w:rPr>
      </w:pPr>
      <w:r>
        <w:rPr>
          <w:rFonts w:hint="eastAsia"/>
          <w:szCs w:val="21"/>
        </w:rPr>
        <w:t>本托管协议当事人禁止从事的行为，包括但不限于：</w:t>
      </w:r>
    </w:p>
    <w:p>
      <w:pPr>
        <w:spacing w:line="360" w:lineRule="auto"/>
        <w:ind w:firstLine="420" w:firstLineChars="200"/>
        <w:rPr>
          <w:szCs w:val="21"/>
        </w:rPr>
      </w:pPr>
      <w:r>
        <w:rPr>
          <w:rFonts w:hint="eastAsia"/>
          <w:szCs w:val="21"/>
        </w:rPr>
        <w:t>（一）基金管理人、基金托管人将其固有财产或者他人财产混同于基金财产从事证券投资。</w:t>
      </w:r>
    </w:p>
    <w:p>
      <w:pPr>
        <w:spacing w:line="360" w:lineRule="auto"/>
        <w:ind w:firstLine="420" w:firstLineChars="200"/>
        <w:rPr>
          <w:szCs w:val="21"/>
        </w:rPr>
      </w:pPr>
      <w:r>
        <w:rPr>
          <w:rFonts w:hint="eastAsia"/>
          <w:szCs w:val="21"/>
        </w:rPr>
        <w:t>（二）基金管理人不公平地对待其管理的不同基金财产，基金托管人不公平地对待其托管的不同基金财产。</w:t>
      </w:r>
    </w:p>
    <w:p>
      <w:pPr>
        <w:spacing w:line="360" w:lineRule="auto"/>
        <w:ind w:firstLine="420" w:firstLineChars="200"/>
        <w:rPr>
          <w:szCs w:val="21"/>
        </w:rPr>
      </w:pPr>
      <w:r>
        <w:rPr>
          <w:rFonts w:hint="eastAsia"/>
          <w:szCs w:val="21"/>
        </w:rPr>
        <w:t>（三）基金管理人、基金托管人利用基金财产或者职务之便为基金份额持有人以外的第三人牟取利益。</w:t>
      </w:r>
    </w:p>
    <w:p>
      <w:pPr>
        <w:spacing w:line="360" w:lineRule="auto"/>
        <w:ind w:firstLine="420" w:firstLineChars="200"/>
        <w:rPr>
          <w:szCs w:val="21"/>
        </w:rPr>
      </w:pPr>
      <w:r>
        <w:rPr>
          <w:rFonts w:hint="eastAsia"/>
          <w:szCs w:val="21"/>
        </w:rPr>
        <w:t>（四）基金管理人、基金托管人向基金份额持有人违规承诺收益或者承担损失。</w:t>
      </w:r>
    </w:p>
    <w:p>
      <w:pPr>
        <w:spacing w:line="360" w:lineRule="auto"/>
        <w:ind w:firstLine="420" w:firstLineChars="200"/>
        <w:rPr>
          <w:szCs w:val="21"/>
        </w:rPr>
      </w:pPr>
      <w:r>
        <w:rPr>
          <w:rFonts w:hint="eastAsia"/>
          <w:szCs w:val="21"/>
        </w:rPr>
        <w:t>（五）基金管理人、基金托管人对他人泄露基金运作和管理过程中任何尚未按法律法规规定的方式公开披露的信息。</w:t>
      </w:r>
    </w:p>
    <w:p>
      <w:pPr>
        <w:spacing w:line="360" w:lineRule="auto"/>
        <w:ind w:firstLine="420" w:firstLineChars="200"/>
        <w:rPr>
          <w:szCs w:val="21"/>
        </w:rPr>
      </w:pPr>
      <w:r>
        <w:rPr>
          <w:rFonts w:hint="eastAsia"/>
          <w:szCs w:val="21"/>
        </w:rPr>
        <w:t>（六）基金管理人在没有充足资金的情况下向基金托管人发出投资指令和赎回资金的划拨指令，或违规向基金托管人发出指令。</w:t>
      </w:r>
    </w:p>
    <w:p>
      <w:pPr>
        <w:spacing w:line="360" w:lineRule="auto"/>
        <w:ind w:firstLine="420" w:firstLineChars="200"/>
        <w:rPr>
          <w:szCs w:val="21"/>
        </w:rPr>
      </w:pPr>
      <w:r>
        <w:rPr>
          <w:rFonts w:hint="eastAsia"/>
          <w:szCs w:val="21"/>
        </w:rPr>
        <w:t>（七）基金管理人、基金托管人在行政上、财务上不独立，其高级管理人员和其他从业人员相互兼职。</w:t>
      </w:r>
    </w:p>
    <w:p>
      <w:pPr>
        <w:spacing w:line="360" w:lineRule="auto"/>
        <w:ind w:firstLine="420" w:firstLineChars="200"/>
        <w:rPr>
          <w:szCs w:val="21"/>
        </w:rPr>
      </w:pPr>
      <w:r>
        <w:rPr>
          <w:rFonts w:hint="eastAsia"/>
          <w:szCs w:val="21"/>
        </w:rPr>
        <w:t>（八）基金托管人私自动用或处分基金财产，根据基金管理人的合法指令、基金合同或托管协议的规定进行处分的除外。</w:t>
      </w:r>
    </w:p>
    <w:p>
      <w:pPr>
        <w:spacing w:line="360" w:lineRule="auto"/>
        <w:ind w:firstLine="420" w:firstLineChars="200"/>
        <w:rPr>
          <w:szCs w:val="21"/>
        </w:rPr>
      </w:pPr>
      <w:r>
        <w:rPr>
          <w:rFonts w:hint="eastAsia"/>
          <w:szCs w:val="21"/>
        </w:rPr>
        <w:t>（九）侵占、挪用基金财产；</w:t>
      </w:r>
    </w:p>
    <w:p>
      <w:pPr>
        <w:spacing w:line="360" w:lineRule="auto"/>
        <w:ind w:firstLine="420" w:firstLineChars="200"/>
        <w:rPr>
          <w:szCs w:val="21"/>
        </w:rPr>
      </w:pPr>
      <w:r>
        <w:rPr>
          <w:rFonts w:hint="eastAsia"/>
          <w:szCs w:val="21"/>
        </w:rPr>
        <w:t>（十）泄露因职务便利获取的未公开信息、利用该信息从事或者明示、暗示他人从事相关的交易活动；</w:t>
      </w:r>
    </w:p>
    <w:p>
      <w:pPr>
        <w:spacing w:line="360" w:lineRule="auto"/>
        <w:ind w:firstLine="420" w:firstLineChars="200"/>
        <w:rPr>
          <w:szCs w:val="21"/>
        </w:rPr>
      </w:pPr>
      <w:r>
        <w:rPr>
          <w:rFonts w:hint="eastAsia"/>
          <w:szCs w:val="21"/>
        </w:rPr>
        <w:t>（十一）玩忽职守，不按照规定履行职责；</w:t>
      </w:r>
    </w:p>
    <w:p>
      <w:pPr>
        <w:spacing w:line="360" w:lineRule="auto"/>
        <w:ind w:firstLine="420" w:firstLineChars="200"/>
        <w:rPr>
          <w:szCs w:val="21"/>
        </w:rPr>
      </w:pPr>
      <w:r>
        <w:rPr>
          <w:rFonts w:hint="eastAsia"/>
          <w:szCs w:val="21"/>
        </w:rPr>
        <w:t>（十二）基金财产用于下列投资或者活动：</w:t>
      </w:r>
    </w:p>
    <w:p>
      <w:pPr>
        <w:spacing w:line="360" w:lineRule="auto"/>
        <w:ind w:firstLine="420" w:firstLineChars="200"/>
        <w:rPr>
          <w:szCs w:val="21"/>
        </w:rPr>
      </w:pPr>
      <w:r>
        <w:rPr>
          <w:szCs w:val="21"/>
        </w:rPr>
        <w:t>1</w:t>
      </w:r>
      <w:r>
        <w:rPr>
          <w:rFonts w:hint="eastAsia"/>
          <w:szCs w:val="21"/>
        </w:rPr>
        <w:t>．承销证券；</w:t>
      </w:r>
    </w:p>
    <w:p>
      <w:pPr>
        <w:spacing w:line="360" w:lineRule="auto"/>
        <w:ind w:firstLine="420" w:firstLineChars="200"/>
        <w:rPr>
          <w:szCs w:val="21"/>
        </w:rPr>
      </w:pPr>
      <w:r>
        <w:rPr>
          <w:szCs w:val="21"/>
        </w:rPr>
        <w:t>2</w:t>
      </w:r>
      <w:r>
        <w:rPr>
          <w:rFonts w:hint="eastAsia"/>
          <w:szCs w:val="21"/>
        </w:rPr>
        <w:t>．违反规定向他人贷款或者提供担保；</w:t>
      </w:r>
    </w:p>
    <w:p>
      <w:pPr>
        <w:spacing w:line="360" w:lineRule="auto"/>
        <w:ind w:firstLine="420" w:firstLineChars="200"/>
        <w:rPr>
          <w:szCs w:val="21"/>
        </w:rPr>
      </w:pPr>
      <w:r>
        <w:rPr>
          <w:szCs w:val="21"/>
        </w:rPr>
        <w:t>3</w:t>
      </w:r>
      <w:r>
        <w:rPr>
          <w:rFonts w:hint="eastAsia"/>
          <w:szCs w:val="21"/>
        </w:rPr>
        <w:t>．从事可能使</w:t>
      </w:r>
      <w:r>
        <w:rPr>
          <w:szCs w:val="21"/>
        </w:rPr>
        <w:t>基金</w:t>
      </w:r>
      <w:r>
        <w:rPr>
          <w:rFonts w:hint="eastAsia"/>
          <w:szCs w:val="21"/>
        </w:rPr>
        <w:t>承担无限责任的投资；</w:t>
      </w:r>
    </w:p>
    <w:p>
      <w:pPr>
        <w:spacing w:line="360" w:lineRule="auto"/>
        <w:ind w:firstLine="420" w:firstLineChars="200"/>
        <w:rPr>
          <w:szCs w:val="21"/>
        </w:rPr>
      </w:pPr>
      <w:r>
        <w:rPr>
          <w:szCs w:val="21"/>
        </w:rPr>
        <w:t>4</w:t>
      </w:r>
      <w:r>
        <w:rPr>
          <w:rFonts w:hint="eastAsia"/>
          <w:szCs w:val="21"/>
        </w:rPr>
        <w:t>．买卖其他基金份额，但中国证监会另有规定的除外；</w:t>
      </w:r>
    </w:p>
    <w:p>
      <w:pPr>
        <w:spacing w:line="360" w:lineRule="auto"/>
        <w:ind w:firstLine="420" w:firstLineChars="200"/>
        <w:rPr>
          <w:szCs w:val="21"/>
        </w:rPr>
      </w:pPr>
      <w:r>
        <w:rPr>
          <w:szCs w:val="21"/>
        </w:rPr>
        <w:t>5</w:t>
      </w:r>
      <w:r>
        <w:rPr>
          <w:rFonts w:hint="eastAsia"/>
          <w:szCs w:val="21"/>
        </w:rPr>
        <w:t>．向其基金管理人、基金托管人出资；</w:t>
      </w:r>
    </w:p>
    <w:p>
      <w:pPr>
        <w:spacing w:line="360" w:lineRule="auto"/>
        <w:ind w:firstLine="420" w:firstLineChars="200"/>
        <w:rPr>
          <w:szCs w:val="21"/>
        </w:rPr>
      </w:pPr>
      <w:r>
        <w:rPr>
          <w:szCs w:val="21"/>
        </w:rPr>
        <w:t>6</w:t>
      </w:r>
      <w:r>
        <w:rPr>
          <w:rFonts w:hint="eastAsia"/>
          <w:szCs w:val="21"/>
        </w:rPr>
        <w:t>．从事内幕交易、操纵证券交易价格及其他不正当的证券交易活动；</w:t>
      </w:r>
    </w:p>
    <w:p>
      <w:pPr>
        <w:spacing w:line="360" w:lineRule="auto"/>
        <w:ind w:firstLine="420" w:firstLineChars="200"/>
        <w:rPr>
          <w:szCs w:val="21"/>
        </w:rPr>
      </w:pPr>
      <w:r>
        <w:rPr>
          <w:szCs w:val="21"/>
        </w:rPr>
        <w:t>7</w:t>
      </w:r>
      <w:r>
        <w:rPr>
          <w:rFonts w:hint="eastAsia"/>
          <w:szCs w:val="21"/>
        </w:rPr>
        <w:t>．法律、行政法规和中国证监会规定禁止的其他活动。</w:t>
      </w:r>
    </w:p>
    <w:p>
      <w:pPr>
        <w:spacing w:line="360" w:lineRule="auto"/>
        <w:ind w:firstLine="420" w:firstLineChars="200"/>
        <w:rPr>
          <w:szCs w:val="21"/>
        </w:rPr>
      </w:pPr>
      <w:r>
        <w:rPr>
          <w:rFonts w:hint="eastAsia"/>
          <w:szCs w:val="21"/>
        </w:rPr>
        <w:t>如法律、行政法规或监管部门取消或</w:t>
      </w:r>
      <w:r>
        <w:rPr>
          <w:szCs w:val="21"/>
        </w:rPr>
        <w:t>变更</w:t>
      </w:r>
      <w:r>
        <w:rPr>
          <w:rFonts w:hint="eastAsia"/>
          <w:szCs w:val="21"/>
        </w:rPr>
        <w:t>上述禁止性规定，如适用于本基金，基金管理人在履行适当程序后可不受上述规定的限制或按变更后的规定执行。</w:t>
      </w:r>
    </w:p>
    <w:p>
      <w:pPr>
        <w:spacing w:line="360" w:lineRule="auto"/>
        <w:ind w:firstLine="420" w:firstLineChars="200"/>
        <w:rPr>
          <w:szCs w:val="21"/>
        </w:rPr>
      </w:pPr>
      <w:r>
        <w:rPr>
          <w:rFonts w:hint="eastAsia"/>
          <w:szCs w:val="21"/>
        </w:rPr>
        <w:t>（十三）法律法规和基金合同禁止的其他行为，以及依照法律、行政法规有关规定，由中国证监会规定禁止基金管理人、基金托管人从事的其他行为。</w:t>
      </w:r>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52" w:name="_Toc125361088"/>
      <w:bookmarkStart w:id="153" w:name="_Toc123626182"/>
      <w:bookmarkStart w:id="154" w:name="_Toc411875702"/>
      <w:bookmarkStart w:id="155" w:name="_Toc124749238"/>
      <w:bookmarkStart w:id="156" w:name="_Toc140002351"/>
      <w:bookmarkStart w:id="157" w:name="_Toc290284058"/>
      <w:bookmarkStart w:id="158" w:name="_Toc283383029"/>
      <w:bookmarkStart w:id="159" w:name="_Toc124749951"/>
      <w:r>
        <w:rPr>
          <w:rFonts w:hint="eastAsia" w:ascii="Times New Roman" w:hAnsi="Times New Roman"/>
        </w:rPr>
        <w:t>十六、基金托管协议的变更、终止与基金财产的清算</w:t>
      </w:r>
      <w:bookmarkEnd w:id="152"/>
      <w:bookmarkEnd w:id="153"/>
      <w:bookmarkEnd w:id="154"/>
      <w:bookmarkEnd w:id="155"/>
      <w:bookmarkEnd w:id="156"/>
      <w:bookmarkEnd w:id="157"/>
      <w:bookmarkEnd w:id="158"/>
      <w:bookmarkEnd w:id="159"/>
    </w:p>
    <w:p>
      <w:pPr>
        <w:spacing w:line="360" w:lineRule="auto"/>
        <w:ind w:firstLine="420" w:firstLineChars="200"/>
        <w:rPr>
          <w:szCs w:val="21"/>
        </w:rPr>
      </w:pPr>
      <w:r>
        <w:rPr>
          <w:rFonts w:hint="eastAsia"/>
          <w:szCs w:val="21"/>
        </w:rPr>
        <w:t>（一）托管协议的变更程序</w:t>
      </w:r>
    </w:p>
    <w:p>
      <w:pPr>
        <w:spacing w:line="360" w:lineRule="auto"/>
        <w:ind w:firstLine="420" w:firstLineChars="200"/>
        <w:rPr>
          <w:szCs w:val="21"/>
        </w:rPr>
      </w:pPr>
      <w:r>
        <w:rPr>
          <w:rFonts w:hint="eastAsia"/>
          <w:szCs w:val="21"/>
        </w:rPr>
        <w:t>本托管协议双方当事人经协商一致，可以对协议进行修改。修改后的新协议，其内容不得与基金合同的规定有任何冲突。基金托管协议的变更报中国证监会备案。</w:t>
      </w:r>
    </w:p>
    <w:p>
      <w:pPr>
        <w:spacing w:line="360" w:lineRule="auto"/>
        <w:ind w:firstLine="420" w:firstLineChars="200"/>
        <w:rPr>
          <w:szCs w:val="21"/>
        </w:rPr>
      </w:pPr>
      <w:r>
        <w:rPr>
          <w:rFonts w:hint="eastAsia"/>
          <w:szCs w:val="21"/>
        </w:rPr>
        <w:t>（二）基金托管协议终止出现的情形</w:t>
      </w:r>
    </w:p>
    <w:p>
      <w:pPr>
        <w:spacing w:line="360" w:lineRule="auto"/>
        <w:ind w:firstLine="420" w:firstLineChars="200"/>
        <w:rPr>
          <w:szCs w:val="21"/>
        </w:rPr>
      </w:pPr>
      <w:r>
        <w:rPr>
          <w:szCs w:val="21"/>
        </w:rPr>
        <w:t>1</w:t>
      </w:r>
      <w:r>
        <w:rPr>
          <w:rFonts w:hint="eastAsia"/>
          <w:szCs w:val="21"/>
        </w:rPr>
        <w:t>．基金合同终止；</w:t>
      </w:r>
    </w:p>
    <w:p>
      <w:pPr>
        <w:spacing w:line="360" w:lineRule="auto"/>
        <w:ind w:firstLine="420" w:firstLineChars="200"/>
        <w:rPr>
          <w:szCs w:val="21"/>
        </w:rPr>
      </w:pPr>
      <w:r>
        <w:rPr>
          <w:szCs w:val="21"/>
        </w:rPr>
        <w:t>2</w:t>
      </w:r>
      <w:r>
        <w:rPr>
          <w:rFonts w:hint="eastAsia"/>
          <w:szCs w:val="21"/>
        </w:rPr>
        <w:t>．基金托管人解散、依法被撤销、破产或由其他基金托管人接管基金资产；</w:t>
      </w:r>
    </w:p>
    <w:p>
      <w:pPr>
        <w:spacing w:line="360" w:lineRule="auto"/>
        <w:ind w:firstLine="420" w:firstLineChars="200"/>
        <w:rPr>
          <w:szCs w:val="21"/>
        </w:rPr>
      </w:pPr>
      <w:r>
        <w:rPr>
          <w:szCs w:val="21"/>
        </w:rPr>
        <w:t>3</w:t>
      </w:r>
      <w:r>
        <w:rPr>
          <w:rFonts w:hint="eastAsia"/>
          <w:szCs w:val="21"/>
        </w:rPr>
        <w:t>．基金管理人解散、依法被撤销、破产或由其他基金管理人接管基金管理权；</w:t>
      </w:r>
    </w:p>
    <w:p>
      <w:pPr>
        <w:spacing w:line="360" w:lineRule="auto"/>
        <w:ind w:firstLine="420" w:firstLineChars="200"/>
        <w:rPr>
          <w:szCs w:val="21"/>
        </w:rPr>
      </w:pPr>
      <w:r>
        <w:rPr>
          <w:szCs w:val="21"/>
        </w:rPr>
        <w:t>4</w:t>
      </w:r>
      <w:r>
        <w:rPr>
          <w:rFonts w:hint="eastAsia"/>
          <w:szCs w:val="21"/>
        </w:rPr>
        <w:t>．发生法律法规、中国证监会或基金合同规定的终止事项。</w:t>
      </w:r>
    </w:p>
    <w:p>
      <w:pPr>
        <w:spacing w:line="360" w:lineRule="auto"/>
        <w:ind w:firstLine="420" w:firstLineChars="200"/>
        <w:rPr>
          <w:szCs w:val="21"/>
        </w:rPr>
      </w:pPr>
      <w:r>
        <w:rPr>
          <w:rFonts w:hint="eastAsia"/>
          <w:szCs w:val="21"/>
        </w:rPr>
        <w:t>（三）基金财产的清算</w:t>
      </w:r>
    </w:p>
    <w:p>
      <w:pPr>
        <w:spacing w:line="360" w:lineRule="auto"/>
        <w:ind w:firstLine="420" w:firstLineChars="200"/>
        <w:rPr>
          <w:szCs w:val="21"/>
        </w:rPr>
      </w:pPr>
      <w:r>
        <w:rPr>
          <w:szCs w:val="21"/>
        </w:rPr>
        <w:t>1</w:t>
      </w:r>
      <w:r>
        <w:rPr>
          <w:rFonts w:hint="eastAsia"/>
          <w:szCs w:val="21"/>
        </w:rPr>
        <w:t>．基金财产清算小组：自出现基金合同终止事由之日起</w:t>
      </w:r>
      <w:r>
        <w:rPr>
          <w:szCs w:val="21"/>
        </w:rPr>
        <w:t>30</w:t>
      </w:r>
      <w:r>
        <w:rPr>
          <w:rFonts w:hint="eastAsia"/>
          <w:szCs w:val="21"/>
        </w:rPr>
        <w:t>个工作日内成立基金财产清算小组，基金财产清算小组在中国证监会的监督下进行基金清算。</w:t>
      </w:r>
    </w:p>
    <w:p>
      <w:pPr>
        <w:spacing w:line="360" w:lineRule="auto"/>
        <w:ind w:firstLine="420" w:firstLineChars="200"/>
        <w:rPr>
          <w:szCs w:val="21"/>
        </w:rPr>
      </w:pPr>
      <w:r>
        <w:rPr>
          <w:szCs w:val="21"/>
        </w:rPr>
        <w:t>2</w:t>
      </w:r>
      <w:r>
        <w:rPr>
          <w:rFonts w:hint="eastAsia"/>
          <w:szCs w:val="21"/>
        </w:rPr>
        <w:t>．基金财产清算小组组成：基金财产清算小组成员由基金管理人、基金托管人、具有证券、期货相关业务资格的注册会计师、律师以及中国证监会指定的人员组成。基金财产清算小组可以聘用必要的工作人员。</w:t>
      </w:r>
    </w:p>
    <w:p>
      <w:pPr>
        <w:spacing w:line="360" w:lineRule="auto"/>
        <w:ind w:firstLine="420" w:firstLineChars="200"/>
        <w:rPr>
          <w:szCs w:val="21"/>
        </w:rPr>
      </w:pPr>
      <w:r>
        <w:rPr>
          <w:szCs w:val="21"/>
        </w:rPr>
        <w:t>3</w:t>
      </w:r>
      <w:r>
        <w:rPr>
          <w:rFonts w:hint="eastAsia"/>
          <w:szCs w:val="21"/>
        </w:rPr>
        <w:t>．基金财产清算小组职责：基金财产清算小组负责基金财产的保管、清理、估价、变现和分配。基金财产清算小组可以依法进行必要的民事活动。</w:t>
      </w:r>
    </w:p>
    <w:p>
      <w:pPr>
        <w:spacing w:line="360" w:lineRule="auto"/>
        <w:ind w:firstLine="420" w:firstLineChars="200"/>
        <w:rPr>
          <w:szCs w:val="21"/>
        </w:rPr>
      </w:pPr>
      <w:r>
        <w:rPr>
          <w:szCs w:val="21"/>
        </w:rPr>
        <w:t>4</w:t>
      </w:r>
      <w:r>
        <w:rPr>
          <w:rFonts w:hint="eastAsia"/>
          <w:szCs w:val="21"/>
        </w:rPr>
        <w:t>．基金财产清算程序：</w:t>
      </w:r>
    </w:p>
    <w:p>
      <w:pPr>
        <w:spacing w:line="360" w:lineRule="auto"/>
        <w:ind w:firstLine="420" w:firstLineChars="200"/>
        <w:rPr>
          <w:szCs w:val="21"/>
        </w:rPr>
      </w:pPr>
      <w:r>
        <w:rPr>
          <w:rFonts w:hint="eastAsia"/>
          <w:szCs w:val="21"/>
        </w:rPr>
        <w:t>（1）基金合同终止情形出现时，由基金财产清算小组统一接管基金；</w:t>
      </w:r>
    </w:p>
    <w:p>
      <w:pPr>
        <w:spacing w:line="360" w:lineRule="auto"/>
        <w:ind w:firstLine="420" w:firstLineChars="200"/>
        <w:rPr>
          <w:szCs w:val="21"/>
        </w:rPr>
      </w:pPr>
      <w:r>
        <w:rPr>
          <w:rFonts w:hint="eastAsia"/>
          <w:szCs w:val="21"/>
        </w:rPr>
        <w:t>（2）对基金财产和债权债务进行清理和确认；</w:t>
      </w:r>
    </w:p>
    <w:p>
      <w:pPr>
        <w:spacing w:line="360" w:lineRule="auto"/>
        <w:ind w:firstLine="420" w:firstLineChars="200"/>
        <w:rPr>
          <w:szCs w:val="21"/>
        </w:rPr>
      </w:pPr>
      <w:r>
        <w:rPr>
          <w:rFonts w:hint="eastAsia"/>
          <w:szCs w:val="21"/>
        </w:rPr>
        <w:t>（3）对基金财产进行估值和变现；</w:t>
      </w:r>
    </w:p>
    <w:p>
      <w:pPr>
        <w:spacing w:line="360" w:lineRule="auto"/>
        <w:ind w:firstLine="420" w:firstLineChars="200"/>
        <w:rPr>
          <w:szCs w:val="21"/>
        </w:rPr>
      </w:pPr>
      <w:r>
        <w:rPr>
          <w:rFonts w:hint="eastAsia"/>
          <w:szCs w:val="21"/>
        </w:rPr>
        <w:t>（4）制作清算报告；</w:t>
      </w:r>
    </w:p>
    <w:p>
      <w:pPr>
        <w:spacing w:line="360" w:lineRule="auto"/>
        <w:ind w:firstLine="420" w:firstLineChars="200"/>
        <w:rPr>
          <w:szCs w:val="21"/>
        </w:rPr>
      </w:pPr>
      <w:r>
        <w:rPr>
          <w:rFonts w:hint="eastAsia"/>
          <w:szCs w:val="21"/>
        </w:rPr>
        <w:t>（5）聘请会计师事务所对清算报告进行外部审计，聘请律师事务所出具法律意见书；</w:t>
      </w:r>
    </w:p>
    <w:p>
      <w:pPr>
        <w:spacing w:line="360" w:lineRule="auto"/>
        <w:ind w:firstLine="420" w:firstLineChars="200"/>
        <w:rPr>
          <w:szCs w:val="21"/>
        </w:rPr>
      </w:pPr>
      <w:r>
        <w:rPr>
          <w:rFonts w:hint="eastAsia"/>
          <w:szCs w:val="21"/>
        </w:rPr>
        <w:t>（6）将基金财产清算报告报中国证监会备案并</w:t>
      </w:r>
      <w:r>
        <w:rPr>
          <w:szCs w:val="21"/>
        </w:rPr>
        <w:t>公告</w:t>
      </w:r>
      <w:r>
        <w:rPr>
          <w:rFonts w:hint="eastAsia"/>
          <w:szCs w:val="21"/>
        </w:rPr>
        <w:t>；</w:t>
      </w:r>
    </w:p>
    <w:p>
      <w:pPr>
        <w:spacing w:line="360" w:lineRule="auto"/>
        <w:ind w:firstLine="420" w:firstLineChars="200"/>
        <w:rPr>
          <w:szCs w:val="21"/>
        </w:rPr>
      </w:pPr>
      <w:r>
        <w:rPr>
          <w:rFonts w:hint="eastAsia"/>
          <w:szCs w:val="21"/>
        </w:rPr>
        <w:t>（7）对基金剩余财产进行分配。</w:t>
      </w:r>
    </w:p>
    <w:p>
      <w:pPr>
        <w:spacing w:line="360" w:lineRule="auto"/>
        <w:ind w:firstLine="420" w:firstLineChars="200"/>
        <w:rPr>
          <w:szCs w:val="21"/>
        </w:rPr>
      </w:pPr>
      <w:r>
        <w:rPr>
          <w:rFonts w:hint="eastAsia"/>
          <w:szCs w:val="21"/>
        </w:rPr>
        <w:t>基金财产</w:t>
      </w:r>
      <w:r>
        <w:rPr>
          <w:szCs w:val="21"/>
        </w:rPr>
        <w:t>清算的期限为</w:t>
      </w:r>
      <w:r>
        <w:rPr>
          <w:rFonts w:hint="eastAsia"/>
          <w:szCs w:val="21"/>
        </w:rPr>
        <w:t>6个月，但因本基金所持证券的流动性受到限制而不能及时变现的，清算期限相应顺延</w:t>
      </w:r>
      <w:r>
        <w:rPr>
          <w:szCs w:val="21"/>
        </w:rPr>
        <w:t>。</w:t>
      </w:r>
    </w:p>
    <w:p>
      <w:pPr>
        <w:spacing w:line="360" w:lineRule="auto"/>
        <w:ind w:firstLine="420" w:firstLineChars="200"/>
        <w:rPr>
          <w:szCs w:val="21"/>
        </w:rPr>
      </w:pPr>
      <w:r>
        <w:rPr>
          <w:szCs w:val="21"/>
        </w:rPr>
        <w:t>5</w:t>
      </w:r>
      <w:r>
        <w:rPr>
          <w:rFonts w:hint="eastAsia"/>
          <w:szCs w:val="21"/>
        </w:rPr>
        <w:t>．清算费用</w:t>
      </w:r>
    </w:p>
    <w:p>
      <w:pPr>
        <w:spacing w:line="360" w:lineRule="auto"/>
        <w:ind w:firstLine="420" w:firstLineChars="200"/>
        <w:rPr>
          <w:szCs w:val="21"/>
        </w:rPr>
      </w:pPr>
      <w:r>
        <w:rPr>
          <w:rFonts w:hint="eastAsia"/>
          <w:szCs w:val="21"/>
        </w:rPr>
        <w:t>清算费用是指基金财产清算小组在进行基金清算过程中发生的所有合理费用、清算费用由基金财产清算小组优先从基金剩余财产中支付。</w:t>
      </w:r>
    </w:p>
    <w:p>
      <w:pPr>
        <w:spacing w:line="360" w:lineRule="auto"/>
        <w:ind w:firstLine="420" w:firstLineChars="200"/>
        <w:rPr>
          <w:szCs w:val="21"/>
        </w:rPr>
      </w:pPr>
      <w:r>
        <w:rPr>
          <w:szCs w:val="21"/>
        </w:rPr>
        <w:t>6</w:t>
      </w:r>
      <w:r>
        <w:rPr>
          <w:rFonts w:hint="eastAsia"/>
          <w:szCs w:val="21"/>
        </w:rPr>
        <w:t>．基金财产清算剩余资产的分配</w:t>
      </w:r>
    </w:p>
    <w:p>
      <w:pPr>
        <w:spacing w:line="360" w:lineRule="auto"/>
        <w:ind w:firstLine="420" w:firstLineChars="200"/>
        <w:rPr>
          <w:szCs w:val="21"/>
        </w:rPr>
      </w:pPr>
      <w:r>
        <w:rPr>
          <w:rFonts w:hint="eastAsia"/>
          <w:szCs w:val="21"/>
        </w:rPr>
        <w:t>依据基金财产清算的分配方案，将基金财产清算后的全部剩余资产扣除基金财产清算费用、交纳所欠税款并清偿基金债务后，按基金份额持有人持有的基金份额比例进行分配。</w:t>
      </w:r>
    </w:p>
    <w:p>
      <w:pPr>
        <w:spacing w:line="360" w:lineRule="auto"/>
        <w:ind w:firstLine="420" w:firstLineChars="200"/>
        <w:rPr>
          <w:szCs w:val="21"/>
        </w:rPr>
      </w:pPr>
      <w:r>
        <w:rPr>
          <w:szCs w:val="21"/>
        </w:rPr>
        <w:t>7</w:t>
      </w:r>
      <w:r>
        <w:rPr>
          <w:rFonts w:hint="eastAsia"/>
          <w:szCs w:val="21"/>
        </w:rPr>
        <w:t>．基金财产清算的公告</w:t>
      </w:r>
    </w:p>
    <w:p>
      <w:pPr>
        <w:spacing w:line="360" w:lineRule="auto"/>
        <w:ind w:firstLine="420" w:firstLineChars="200"/>
        <w:rPr>
          <w:szCs w:val="21"/>
        </w:rPr>
      </w:pPr>
      <w:r>
        <w:rPr>
          <w:rFonts w:hint="eastAsia"/>
          <w:szCs w:val="21"/>
        </w:rPr>
        <w:t>基金财产清算公告于基金财产清算报告报中国证监会备案后5个工作日内由基金财产清算小组公告；清算过程中的有关重大事项须及时公告；基金财产清算结果经具备证券、期货相关业务资格的会计师事务所审计、律师事务所出具法律意见书后，由</w:t>
      </w:r>
      <w:r>
        <w:rPr>
          <w:szCs w:val="21"/>
        </w:rPr>
        <w:t>基金财产清算小组</w:t>
      </w:r>
      <w:r>
        <w:rPr>
          <w:rFonts w:hint="eastAsia"/>
          <w:szCs w:val="21"/>
        </w:rPr>
        <w:t>报中国证监会备案并公告。</w:t>
      </w:r>
    </w:p>
    <w:p>
      <w:pPr>
        <w:spacing w:line="360" w:lineRule="auto"/>
        <w:ind w:firstLine="420" w:firstLineChars="200"/>
        <w:rPr>
          <w:szCs w:val="21"/>
        </w:rPr>
      </w:pPr>
      <w:r>
        <w:rPr>
          <w:szCs w:val="21"/>
        </w:rPr>
        <w:t>8</w:t>
      </w:r>
      <w:r>
        <w:rPr>
          <w:rFonts w:hint="eastAsia"/>
          <w:szCs w:val="21"/>
        </w:rPr>
        <w:t>．基金财产清算账册及文件的保存</w:t>
      </w:r>
    </w:p>
    <w:p>
      <w:pPr>
        <w:spacing w:line="360" w:lineRule="auto"/>
        <w:ind w:firstLine="420" w:firstLineChars="200"/>
        <w:rPr>
          <w:szCs w:val="21"/>
        </w:rPr>
      </w:pPr>
      <w:r>
        <w:rPr>
          <w:rFonts w:hint="eastAsia"/>
          <w:szCs w:val="21"/>
        </w:rPr>
        <w:t>基金财产清算账册及有关文件由基金托管人保存</w:t>
      </w:r>
      <w:r>
        <w:rPr>
          <w:szCs w:val="21"/>
        </w:rPr>
        <w:t>15</w:t>
      </w:r>
      <w:r>
        <w:rPr>
          <w:rFonts w:hint="eastAsia"/>
          <w:szCs w:val="21"/>
        </w:rPr>
        <w:t>年以上。</w:t>
      </w:r>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60" w:name="_Toc283383030"/>
      <w:bookmarkStart w:id="161" w:name="_Toc125361089"/>
      <w:bookmarkStart w:id="162" w:name="_Toc290284059"/>
      <w:bookmarkStart w:id="163" w:name="_Toc123626183"/>
      <w:bookmarkStart w:id="164" w:name="_Toc411875703"/>
      <w:bookmarkStart w:id="165" w:name="_Toc124749952"/>
      <w:bookmarkStart w:id="166" w:name="_Toc124749239"/>
      <w:bookmarkStart w:id="167" w:name="_Toc140002352"/>
      <w:r>
        <w:rPr>
          <w:rFonts w:hint="eastAsia" w:ascii="Times New Roman" w:hAnsi="Times New Roman"/>
        </w:rPr>
        <w:t>十七、违约责任</w:t>
      </w:r>
      <w:bookmarkEnd w:id="160"/>
      <w:bookmarkEnd w:id="161"/>
      <w:bookmarkEnd w:id="162"/>
      <w:bookmarkEnd w:id="163"/>
      <w:bookmarkEnd w:id="164"/>
      <w:bookmarkEnd w:id="165"/>
      <w:bookmarkEnd w:id="166"/>
      <w:bookmarkEnd w:id="167"/>
    </w:p>
    <w:p>
      <w:pPr>
        <w:spacing w:line="360" w:lineRule="auto"/>
        <w:ind w:firstLine="420" w:firstLineChars="200"/>
        <w:rPr>
          <w:szCs w:val="21"/>
        </w:rPr>
      </w:pPr>
      <w:r>
        <w:rPr>
          <w:rFonts w:hint="eastAsia"/>
          <w:szCs w:val="21"/>
        </w:rPr>
        <w:t>（一）基金管理人、基金托管人不履行本托管协议或履行本托管协议不符合约定的，应当承担违约责任。</w:t>
      </w:r>
    </w:p>
    <w:p>
      <w:pPr>
        <w:spacing w:line="360" w:lineRule="auto"/>
        <w:ind w:firstLine="420" w:firstLineChars="200"/>
        <w:rPr>
          <w:szCs w:val="21"/>
        </w:rPr>
      </w:pPr>
      <w:r>
        <w:rPr>
          <w:rFonts w:hint="eastAsia"/>
          <w:szCs w:val="21"/>
        </w:rPr>
        <w:t>（二）基金管理人、基金托管人在履行各自职责的过程中，违反《基金法》或者基金合同和本托管协议约定，给基金财产或者基金份额持有人造成损害的，应当分别对各自的行为依法承担赔偿责任；因共同行为给基金财产或者基金份额持有人造成损害的，应当承担连带赔偿责任。对损失</w:t>
      </w:r>
      <w:r>
        <w:rPr>
          <w:szCs w:val="21"/>
        </w:rPr>
        <w:t>的赔偿，仅限于直接</w:t>
      </w:r>
      <w:r>
        <w:rPr>
          <w:rFonts w:hint="eastAsia"/>
          <w:szCs w:val="21"/>
        </w:rPr>
        <w:t>损失</w:t>
      </w:r>
      <w:r>
        <w:rPr>
          <w:szCs w:val="21"/>
        </w:rPr>
        <w:t>。</w:t>
      </w:r>
    </w:p>
    <w:p>
      <w:pPr>
        <w:spacing w:line="360" w:lineRule="auto"/>
        <w:ind w:firstLine="420" w:firstLineChars="200"/>
        <w:rPr>
          <w:szCs w:val="21"/>
        </w:rPr>
      </w:pPr>
      <w:r>
        <w:rPr>
          <w:rFonts w:hint="eastAsia"/>
          <w:szCs w:val="21"/>
        </w:rPr>
        <w:t>（三）一方当事人违约，给另一方当事人造成损失的，应就直接损失进行赔偿；给基金财产造成损失的，应就直接损失进行赔偿，另一方当事人有权利及义务代表基金向违约方追偿。但是如发生下列情况，当事人免责：</w:t>
      </w:r>
    </w:p>
    <w:p>
      <w:pPr>
        <w:spacing w:line="360" w:lineRule="auto"/>
        <w:ind w:firstLine="420" w:firstLineChars="200"/>
        <w:rPr>
          <w:szCs w:val="21"/>
        </w:rPr>
      </w:pPr>
      <w:r>
        <w:rPr>
          <w:szCs w:val="21"/>
        </w:rPr>
        <w:t>1</w:t>
      </w:r>
      <w:r>
        <w:rPr>
          <w:rFonts w:hint="eastAsia"/>
          <w:szCs w:val="21"/>
        </w:rPr>
        <w:t>．不可抗力；</w:t>
      </w:r>
    </w:p>
    <w:p>
      <w:pPr>
        <w:spacing w:line="360" w:lineRule="auto"/>
        <w:ind w:firstLine="420" w:firstLineChars="200"/>
        <w:rPr>
          <w:szCs w:val="21"/>
        </w:rPr>
      </w:pPr>
      <w:r>
        <w:rPr>
          <w:szCs w:val="21"/>
        </w:rPr>
        <w:t>2</w:t>
      </w:r>
      <w:r>
        <w:rPr>
          <w:rFonts w:hint="eastAsia"/>
          <w:szCs w:val="21"/>
        </w:rPr>
        <w:t>．基金管理人、基金托管人按照当时有效的法律法规或中国证监会的规定作为或不作为而造成的损失等；</w:t>
      </w:r>
    </w:p>
    <w:p>
      <w:pPr>
        <w:spacing w:line="360" w:lineRule="auto"/>
        <w:ind w:firstLine="420" w:firstLineChars="200"/>
        <w:rPr>
          <w:szCs w:val="21"/>
        </w:rPr>
      </w:pPr>
      <w:r>
        <w:rPr>
          <w:szCs w:val="21"/>
        </w:rPr>
        <w:t>3</w:t>
      </w:r>
      <w:r>
        <w:rPr>
          <w:rFonts w:hint="eastAsia"/>
          <w:szCs w:val="21"/>
        </w:rPr>
        <w:t>．基金管理人由于按照基金合同规定的投资原则投资或不投资造成的损失等。</w:t>
      </w:r>
    </w:p>
    <w:p>
      <w:pPr>
        <w:spacing w:line="360" w:lineRule="auto"/>
        <w:ind w:firstLine="420" w:firstLineChars="200"/>
        <w:rPr>
          <w:szCs w:val="21"/>
        </w:rPr>
      </w:pPr>
      <w:r>
        <w:rPr>
          <w:rFonts w:hint="eastAsia"/>
          <w:szCs w:val="21"/>
        </w:rPr>
        <w:t>（四）一方当事人违约，另一方当事人在职责范围内有义务及时采取必要的措施，尽力防止损失的扩大。</w:t>
      </w:r>
    </w:p>
    <w:p>
      <w:pPr>
        <w:spacing w:line="360" w:lineRule="auto"/>
        <w:ind w:firstLine="420" w:firstLineChars="200"/>
        <w:rPr>
          <w:szCs w:val="21"/>
        </w:rPr>
      </w:pPr>
      <w:r>
        <w:rPr>
          <w:rFonts w:hint="eastAsia"/>
          <w:szCs w:val="21"/>
        </w:rPr>
        <w:t>（五）违约行为虽已发生，但本托管协议能够继续履行的，在最大限度地保护基金份额持有人利益的前提下，基金管理人和基金托管人应当继续履行本托管协议。</w:t>
      </w:r>
    </w:p>
    <w:p>
      <w:pPr>
        <w:spacing w:line="360" w:lineRule="auto"/>
        <w:ind w:firstLine="420" w:firstLineChars="200"/>
        <w:rPr>
          <w:szCs w:val="21"/>
        </w:rPr>
      </w:pPr>
      <w:r>
        <w:rPr>
          <w:rFonts w:hint="eastAsia"/>
          <w:szCs w:val="21"/>
        </w:rPr>
        <w:t>（六）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p>
    <w:p>
      <w:pPr>
        <w:spacing w:line="360" w:lineRule="auto"/>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68" w:name="_Toc290284060"/>
      <w:bookmarkStart w:id="169" w:name="_Toc124749240"/>
      <w:bookmarkStart w:id="170" w:name="_Toc123626184"/>
      <w:bookmarkStart w:id="171" w:name="_Toc411875704"/>
      <w:bookmarkStart w:id="172" w:name="_Toc283383031"/>
      <w:bookmarkStart w:id="173" w:name="_Toc125361090"/>
      <w:bookmarkStart w:id="174" w:name="_Toc124749953"/>
      <w:bookmarkStart w:id="175" w:name="_Toc140002353"/>
      <w:r>
        <w:rPr>
          <w:rFonts w:hint="eastAsia" w:ascii="Times New Roman" w:hAnsi="Times New Roman"/>
        </w:rPr>
        <w:t>十八、争议解决方式</w:t>
      </w:r>
      <w:bookmarkEnd w:id="168"/>
      <w:bookmarkEnd w:id="169"/>
      <w:bookmarkEnd w:id="170"/>
      <w:bookmarkEnd w:id="171"/>
      <w:bookmarkEnd w:id="172"/>
      <w:bookmarkEnd w:id="173"/>
      <w:bookmarkEnd w:id="174"/>
      <w:bookmarkEnd w:id="175"/>
    </w:p>
    <w:p>
      <w:pPr>
        <w:spacing w:line="360" w:lineRule="auto"/>
        <w:ind w:firstLine="422" w:firstLineChars="200"/>
        <w:rPr>
          <w:b/>
          <w:i/>
          <w:szCs w:val="21"/>
        </w:rPr>
      </w:pPr>
      <w:r>
        <w:rPr>
          <w:rFonts w:hint="eastAsia"/>
          <w:b/>
          <w:i/>
          <w:szCs w:val="21"/>
        </w:rPr>
        <w:t>因本托管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w:t>
      </w:r>
      <w:r>
        <w:rPr>
          <w:b/>
          <w:i/>
          <w:szCs w:val="21"/>
        </w:rPr>
        <w:t>律师费用</w:t>
      </w:r>
      <w:r>
        <w:rPr>
          <w:rFonts w:hint="eastAsia"/>
          <w:b/>
          <w:i/>
          <w:szCs w:val="21"/>
        </w:rPr>
        <w:t>由败诉方承担。</w:t>
      </w:r>
    </w:p>
    <w:p>
      <w:pPr>
        <w:spacing w:line="360" w:lineRule="auto"/>
        <w:ind w:firstLine="422" w:firstLineChars="200"/>
        <w:rPr>
          <w:b/>
          <w:i/>
          <w:szCs w:val="21"/>
        </w:rPr>
      </w:pPr>
      <w:r>
        <w:rPr>
          <w:rFonts w:hint="eastAsia"/>
          <w:b/>
          <w:i/>
          <w:szCs w:val="21"/>
        </w:rPr>
        <w:t>争议处理期间，双方当事人应恪守基金管理人和基金托管人职责，各自继续忠实、勤勉、尽责地履行基金合同和本托管协议规定的义务，维护基金份额持有人的合法权益。</w:t>
      </w:r>
    </w:p>
    <w:p>
      <w:pPr>
        <w:spacing w:line="360" w:lineRule="auto"/>
        <w:ind w:firstLine="422" w:firstLineChars="200"/>
        <w:rPr>
          <w:szCs w:val="21"/>
        </w:rPr>
      </w:pPr>
      <w:r>
        <w:rPr>
          <w:rFonts w:hint="eastAsia"/>
          <w:b/>
          <w:i/>
          <w:szCs w:val="21"/>
        </w:rPr>
        <w:t>本托管协议适用于中华人民共和国法律并从其解释（为本协议之目的，在此不包括香港、澳门特别行政区和台湾地区法律）。</w:t>
      </w:r>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76" w:name="_Toc125361091"/>
      <w:bookmarkStart w:id="177" w:name="_Toc123626185"/>
      <w:bookmarkStart w:id="178" w:name="_Toc140002354"/>
      <w:bookmarkStart w:id="179" w:name="_Toc290284061"/>
      <w:bookmarkStart w:id="180" w:name="_Toc283383032"/>
      <w:bookmarkStart w:id="181" w:name="_Toc124749954"/>
      <w:bookmarkStart w:id="182" w:name="_Toc411875705"/>
      <w:bookmarkStart w:id="183" w:name="_Toc124749241"/>
      <w:r>
        <w:rPr>
          <w:rFonts w:hint="eastAsia" w:ascii="Times New Roman" w:hAnsi="Times New Roman"/>
        </w:rPr>
        <w:t>十九、托管协议的效力</w:t>
      </w:r>
      <w:bookmarkEnd w:id="176"/>
      <w:bookmarkEnd w:id="177"/>
      <w:bookmarkEnd w:id="178"/>
      <w:bookmarkEnd w:id="179"/>
      <w:bookmarkEnd w:id="180"/>
      <w:bookmarkEnd w:id="181"/>
      <w:bookmarkEnd w:id="182"/>
      <w:bookmarkEnd w:id="183"/>
    </w:p>
    <w:p>
      <w:pPr>
        <w:spacing w:line="360" w:lineRule="auto"/>
        <w:ind w:firstLine="420" w:firstLineChars="200"/>
        <w:rPr>
          <w:szCs w:val="21"/>
        </w:rPr>
      </w:pPr>
      <w:r>
        <w:rPr>
          <w:rFonts w:hint="eastAsia"/>
          <w:szCs w:val="21"/>
        </w:rPr>
        <w:t>双方对托管协议的效力约定如下：</w:t>
      </w:r>
    </w:p>
    <w:p>
      <w:pPr>
        <w:spacing w:line="360" w:lineRule="auto"/>
        <w:ind w:firstLine="420" w:firstLineChars="200"/>
        <w:rPr>
          <w:szCs w:val="21"/>
        </w:rPr>
      </w:pPr>
      <w:r>
        <w:rPr>
          <w:rFonts w:hint="eastAsia"/>
          <w:szCs w:val="21"/>
        </w:rPr>
        <w:t>（一）基金管理人在向中国证监会申请发售基金份额时提交的托管协议草案，应经托管协议当事人双方盖章以及双方法定代表人或授权代表签章，协议当事人双方根据中国证监会的意见修改托管协议草案。托管协议以中国证监会注册的文本为正式文本。</w:t>
      </w:r>
    </w:p>
    <w:p>
      <w:pPr>
        <w:spacing w:line="360" w:lineRule="auto"/>
        <w:ind w:firstLine="420" w:firstLineChars="200"/>
        <w:jc w:val="left"/>
        <w:rPr>
          <w:szCs w:val="21"/>
        </w:rPr>
      </w:pPr>
      <w:r>
        <w:rPr>
          <w:rFonts w:hint="eastAsia"/>
          <w:szCs w:val="21"/>
        </w:rPr>
        <w:t>（二）托管协议自基金合同成立之日起成立，自基金合同生效之日起生效。托管协议的有效期自其生效之日起至基金财产清算结果报中国证监会备案并公告之日止。</w:t>
      </w:r>
    </w:p>
    <w:p>
      <w:pPr>
        <w:spacing w:line="360" w:lineRule="auto"/>
        <w:ind w:firstLine="420" w:firstLineChars="200"/>
        <w:jc w:val="left"/>
        <w:rPr>
          <w:szCs w:val="21"/>
        </w:rPr>
      </w:pPr>
      <w:r>
        <w:rPr>
          <w:rFonts w:hint="eastAsia"/>
          <w:szCs w:val="21"/>
        </w:rPr>
        <w:t>（三）托管协议自生效之日起对托管协议当事人具有同等的法律约束力。</w:t>
      </w:r>
    </w:p>
    <w:p>
      <w:pPr>
        <w:spacing w:line="360" w:lineRule="auto"/>
        <w:ind w:firstLine="420" w:firstLineChars="200"/>
        <w:rPr>
          <w:szCs w:val="21"/>
        </w:rPr>
      </w:pPr>
      <w:r>
        <w:rPr>
          <w:rFonts w:hint="eastAsia"/>
          <w:szCs w:val="21"/>
        </w:rPr>
        <w:t>（四）本托管协议一式六份，协议双方各持二份，上报中国证监会二份，每份具有同等法律效力。</w:t>
      </w:r>
    </w:p>
    <w:p>
      <w:pPr>
        <w:spacing w:line="360" w:lineRule="auto"/>
        <w:ind w:firstLine="420" w:firstLineChars="200"/>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84" w:name="_Toc411875706"/>
      <w:r>
        <w:rPr>
          <w:rFonts w:hint="eastAsia" w:ascii="Times New Roman" w:hAnsi="Times New Roman"/>
        </w:rPr>
        <w:t>二十、其他事项</w:t>
      </w:r>
      <w:bookmarkEnd w:id="184"/>
    </w:p>
    <w:p>
      <w:pPr>
        <w:spacing w:line="360" w:lineRule="auto"/>
        <w:ind w:firstLine="420" w:firstLineChars="200"/>
        <w:rPr>
          <w:szCs w:val="21"/>
        </w:rPr>
      </w:pPr>
      <w:r>
        <w:rPr>
          <w:rFonts w:hint="eastAsia"/>
          <w:szCs w:val="21"/>
        </w:rPr>
        <w:t>如发生有权司法机关依法冻结基金份额持有人的基金份额时，基金管理人应予以配合，承担司法协助义务。</w:t>
      </w:r>
    </w:p>
    <w:p>
      <w:pPr>
        <w:spacing w:line="360" w:lineRule="auto"/>
        <w:ind w:firstLine="420" w:firstLineChars="200"/>
        <w:rPr>
          <w:szCs w:val="21"/>
        </w:rPr>
      </w:pPr>
      <w:r>
        <w:rPr>
          <w:rFonts w:hint="eastAsia"/>
          <w:szCs w:val="21"/>
        </w:rPr>
        <w:t>除本托管协议有明确定义外，本托管协议的用语定义适用基金合同的约定。本托管协议未尽事宜，当事人依据基金合同、有关法律法规等规定协商办理。</w:t>
      </w: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widowControl/>
        <w:jc w:val="left"/>
        <w:rPr>
          <w:szCs w:val="21"/>
        </w:rPr>
      </w:pPr>
      <w:r>
        <w:rPr>
          <w:szCs w:val="21"/>
        </w:rPr>
        <w:br w:type="page"/>
      </w:r>
    </w:p>
    <w:p>
      <w:pPr>
        <w:pStyle w:val="3"/>
        <w:numPr>
          <w:ilvl w:val="0"/>
          <w:numId w:val="0"/>
        </w:numPr>
        <w:snapToGrid w:val="0"/>
        <w:spacing w:before="0" w:after="0" w:line="360" w:lineRule="auto"/>
        <w:ind w:left="576"/>
        <w:rPr>
          <w:rFonts w:ascii="Times New Roman" w:hAnsi="Times New Roman"/>
        </w:rPr>
      </w:pPr>
      <w:bookmarkStart w:id="185" w:name="_Toc140002355"/>
      <w:bookmarkStart w:id="186" w:name="_Toc283383033"/>
      <w:bookmarkStart w:id="187" w:name="_Toc411875707"/>
      <w:bookmarkStart w:id="188" w:name="_Toc123626186"/>
      <w:bookmarkStart w:id="189" w:name="_Toc290284062"/>
      <w:bookmarkStart w:id="190" w:name="_Toc125361092"/>
      <w:bookmarkStart w:id="191" w:name="_Toc124749955"/>
      <w:bookmarkStart w:id="192" w:name="_Toc124749242"/>
      <w:r>
        <w:rPr>
          <w:rFonts w:hint="eastAsia" w:ascii="Times New Roman" w:hAnsi="Times New Roman"/>
        </w:rPr>
        <w:t>二十一、托管协议的签订</w:t>
      </w:r>
      <w:bookmarkEnd w:id="185"/>
      <w:bookmarkEnd w:id="186"/>
      <w:bookmarkEnd w:id="187"/>
      <w:bookmarkEnd w:id="188"/>
      <w:bookmarkEnd w:id="189"/>
      <w:bookmarkEnd w:id="190"/>
      <w:bookmarkEnd w:id="191"/>
      <w:bookmarkEnd w:id="192"/>
    </w:p>
    <w:p>
      <w:pPr>
        <w:spacing w:line="360" w:lineRule="auto"/>
        <w:ind w:firstLine="420" w:firstLineChars="200"/>
        <w:rPr>
          <w:szCs w:val="21"/>
        </w:rPr>
      </w:pPr>
      <w:r>
        <w:rPr>
          <w:rFonts w:hint="eastAsia"/>
          <w:szCs w:val="21"/>
        </w:rPr>
        <w:t>本托管协议经基金管理人和基金托管人认可后，由该双方当事人在基金托管协议上盖章，并由各自的法定代表人或授权代表签章，并注明基金托管协议的签订地点和签订日期。</w:t>
      </w:r>
    </w:p>
    <w:sectPr>
      <w:type w:val="continuous"/>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25"/>
      </w:rPr>
    </w:pPr>
    <w:r>
      <w:fldChar w:fldCharType="begin"/>
    </w:r>
    <w:r>
      <w:rPr>
        <w:rStyle w:val="25"/>
      </w:rPr>
      <w:instrText xml:space="preserve"> PAGE </w:instrText>
    </w:r>
    <w:r>
      <w:fldChar w:fldCharType="separate"/>
    </w:r>
    <w:r>
      <w:rPr>
        <w:rStyle w:val="25"/>
      </w:rPr>
      <w:t>10</w:t>
    </w:r>
    <w:r>
      <w:fldChar w:fldCharType="end"/>
    </w:r>
  </w:p>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25"/>
      </w:rPr>
    </w:pPr>
    <w:r>
      <w:fldChar w:fldCharType="begin"/>
    </w:r>
    <w:r>
      <w:rPr>
        <w:rStyle w:val="25"/>
      </w:rPr>
      <w:instrText xml:space="preserve">PAGE  </w:instrText>
    </w:r>
    <w:r>
      <w:fldChar w:fldCharType="end"/>
    </w: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rFonts w:hint="eastAsia"/>
      </w:rPr>
      <w:t>博时裕盛纯债债券型</w:t>
    </w:r>
    <w:r>
      <w:t>证券投资基金</w:t>
    </w:r>
    <w:r>
      <w:rPr>
        <w:rFonts w:hint="eastAsia"/>
      </w:rPr>
      <w:t xml:space="preserve">         </w:t>
    </w:r>
    <w:r>
      <w:t xml:space="preserve">                                     </w:t>
    </w:r>
    <w:r>
      <w:rPr>
        <w:rFonts w:hint="eastAsia"/>
      </w:rPr>
      <w:t>托管协议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164B80"/>
    <w:multiLevelType w:val="multilevel"/>
    <w:tmpl w:val="65164B80"/>
    <w:lvl w:ilvl="0" w:tentative="0">
      <w:start w:val="1"/>
      <w:numFmt w:val="decimal"/>
      <w:pStyle w:val="2"/>
      <w:lvlText w:val="%1"/>
      <w:lvlJc w:val="left"/>
      <w:pPr>
        <w:tabs>
          <w:tab w:val="left" w:pos="432"/>
        </w:tabs>
        <w:ind w:left="432" w:hanging="432"/>
      </w:pPr>
      <w:rPr>
        <w:rFonts w:cs="Times New Roman"/>
      </w:rPr>
    </w:lvl>
    <w:lvl w:ilvl="1" w:tentative="0">
      <w:start w:val="1"/>
      <w:numFmt w:val="decimal"/>
      <w:pStyle w:val="3"/>
      <w:lvlText w:val="%1.%2"/>
      <w:lvlJc w:val="left"/>
      <w:pPr>
        <w:tabs>
          <w:tab w:val="left" w:pos="576"/>
        </w:tabs>
        <w:ind w:left="576" w:hanging="576"/>
      </w:pPr>
      <w:rPr>
        <w:rFonts w:cs="Times New Roman"/>
      </w:rPr>
    </w:lvl>
    <w:lvl w:ilvl="2" w:tentative="0">
      <w:start w:val="1"/>
      <w:numFmt w:val="decimal"/>
      <w:pStyle w:val="4"/>
      <w:lvlText w:val="%1.%2.%3"/>
      <w:lvlJc w:val="left"/>
      <w:pPr>
        <w:tabs>
          <w:tab w:val="left" w:pos="720"/>
        </w:tabs>
        <w:ind w:left="720" w:hanging="720"/>
      </w:pPr>
      <w:rPr>
        <w:rFonts w:cs="Times New Roman"/>
      </w:rPr>
    </w:lvl>
    <w:lvl w:ilvl="3" w:tentative="0">
      <w:start w:val="1"/>
      <w:numFmt w:val="decimal"/>
      <w:pStyle w:val="5"/>
      <w:lvlText w:val="%1.%2.%3.%4"/>
      <w:lvlJc w:val="left"/>
      <w:pPr>
        <w:tabs>
          <w:tab w:val="left" w:pos="864"/>
        </w:tabs>
        <w:ind w:left="864" w:hanging="864"/>
      </w:pPr>
      <w:rPr>
        <w:rFonts w:cs="Times New Roman"/>
      </w:rPr>
    </w:lvl>
    <w:lvl w:ilvl="4" w:tentative="0">
      <w:start w:val="1"/>
      <w:numFmt w:val="decimal"/>
      <w:pStyle w:val="6"/>
      <w:lvlText w:val="%1.%2.%3.%4.%5"/>
      <w:lvlJc w:val="left"/>
      <w:pPr>
        <w:tabs>
          <w:tab w:val="left" w:pos="1008"/>
        </w:tabs>
        <w:ind w:left="1008" w:hanging="1008"/>
      </w:pPr>
      <w:rPr>
        <w:rFonts w:cs="Times New Roman"/>
      </w:rPr>
    </w:lvl>
    <w:lvl w:ilvl="5" w:tentative="0">
      <w:start w:val="1"/>
      <w:numFmt w:val="decimal"/>
      <w:pStyle w:val="7"/>
      <w:lvlText w:val="%1.%2.%3.%4.%5.%6"/>
      <w:lvlJc w:val="left"/>
      <w:pPr>
        <w:tabs>
          <w:tab w:val="left" w:pos="1152"/>
        </w:tabs>
        <w:ind w:left="1152" w:hanging="1152"/>
      </w:pPr>
      <w:rPr>
        <w:rFonts w:cs="Times New Roman"/>
      </w:rPr>
    </w:lvl>
    <w:lvl w:ilvl="6" w:tentative="0">
      <w:start w:val="1"/>
      <w:numFmt w:val="decimal"/>
      <w:pStyle w:val="8"/>
      <w:lvlText w:val="%1.%2.%3.%4.%5.%6.%7"/>
      <w:lvlJc w:val="left"/>
      <w:pPr>
        <w:tabs>
          <w:tab w:val="left" w:pos="1296"/>
        </w:tabs>
        <w:ind w:left="1296" w:hanging="1296"/>
      </w:pPr>
      <w:rPr>
        <w:rFonts w:cs="Times New Roman"/>
      </w:rPr>
    </w:lvl>
    <w:lvl w:ilvl="7" w:tentative="0">
      <w:start w:val="1"/>
      <w:numFmt w:val="decimal"/>
      <w:pStyle w:val="9"/>
      <w:lvlText w:val="%1.%2.%3.%4.%5.%6.%7.%8"/>
      <w:lvlJc w:val="left"/>
      <w:pPr>
        <w:tabs>
          <w:tab w:val="left" w:pos="1440"/>
        </w:tabs>
        <w:ind w:left="1440" w:hanging="1440"/>
      </w:pPr>
      <w:rPr>
        <w:rFonts w:cs="Times New Roman"/>
      </w:rPr>
    </w:lvl>
    <w:lvl w:ilvl="8" w:tentative="0">
      <w:start w:val="1"/>
      <w:numFmt w:val="decimal"/>
      <w:pStyle w:val="10"/>
      <w:lvlText w:val="%1.%2.%3.%4.%5.%6.%7.%8.%9"/>
      <w:lvlJc w:val="left"/>
      <w:pPr>
        <w:tabs>
          <w:tab w:val="left"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E42"/>
    <w:rsid w:val="00000450"/>
    <w:rsid w:val="00010101"/>
    <w:rsid w:val="00011C1D"/>
    <w:rsid w:val="00015D22"/>
    <w:rsid w:val="00015DF7"/>
    <w:rsid w:val="00016EC3"/>
    <w:rsid w:val="00021349"/>
    <w:rsid w:val="000218CA"/>
    <w:rsid w:val="00022FE6"/>
    <w:rsid w:val="00025976"/>
    <w:rsid w:val="000320A6"/>
    <w:rsid w:val="000329B1"/>
    <w:rsid w:val="00034508"/>
    <w:rsid w:val="00034EF2"/>
    <w:rsid w:val="00040534"/>
    <w:rsid w:val="000448F9"/>
    <w:rsid w:val="00045516"/>
    <w:rsid w:val="00046E2E"/>
    <w:rsid w:val="00050260"/>
    <w:rsid w:val="000543AD"/>
    <w:rsid w:val="00054D7B"/>
    <w:rsid w:val="00060DB9"/>
    <w:rsid w:val="000617ED"/>
    <w:rsid w:val="00061B4F"/>
    <w:rsid w:val="00062964"/>
    <w:rsid w:val="00070014"/>
    <w:rsid w:val="00072E56"/>
    <w:rsid w:val="00073F39"/>
    <w:rsid w:val="00074C3C"/>
    <w:rsid w:val="0007598B"/>
    <w:rsid w:val="00080117"/>
    <w:rsid w:val="00082EAC"/>
    <w:rsid w:val="00083F75"/>
    <w:rsid w:val="00084431"/>
    <w:rsid w:val="00090F0A"/>
    <w:rsid w:val="000A46ED"/>
    <w:rsid w:val="000A677E"/>
    <w:rsid w:val="000B20D0"/>
    <w:rsid w:val="000B2861"/>
    <w:rsid w:val="000B2F9D"/>
    <w:rsid w:val="000B4C44"/>
    <w:rsid w:val="000B7943"/>
    <w:rsid w:val="000C1C3B"/>
    <w:rsid w:val="000C1E08"/>
    <w:rsid w:val="000D6BAC"/>
    <w:rsid w:val="000E486E"/>
    <w:rsid w:val="000E59F9"/>
    <w:rsid w:val="000F268F"/>
    <w:rsid w:val="000F52B1"/>
    <w:rsid w:val="000F532B"/>
    <w:rsid w:val="000F75CB"/>
    <w:rsid w:val="001015B7"/>
    <w:rsid w:val="00107D5A"/>
    <w:rsid w:val="001143F7"/>
    <w:rsid w:val="00115759"/>
    <w:rsid w:val="00115F1E"/>
    <w:rsid w:val="00121560"/>
    <w:rsid w:val="00122B28"/>
    <w:rsid w:val="00124859"/>
    <w:rsid w:val="00124BB2"/>
    <w:rsid w:val="00127682"/>
    <w:rsid w:val="001421CC"/>
    <w:rsid w:val="00145A7B"/>
    <w:rsid w:val="0014606B"/>
    <w:rsid w:val="00151CC0"/>
    <w:rsid w:val="00152B51"/>
    <w:rsid w:val="00161D52"/>
    <w:rsid w:val="00163455"/>
    <w:rsid w:val="00165CAE"/>
    <w:rsid w:val="001709E6"/>
    <w:rsid w:val="00172B90"/>
    <w:rsid w:val="00173816"/>
    <w:rsid w:val="00174548"/>
    <w:rsid w:val="00174BEC"/>
    <w:rsid w:val="0018183A"/>
    <w:rsid w:val="00181C43"/>
    <w:rsid w:val="00190778"/>
    <w:rsid w:val="0019268C"/>
    <w:rsid w:val="00194366"/>
    <w:rsid w:val="001953BB"/>
    <w:rsid w:val="001A24B6"/>
    <w:rsid w:val="001A52E6"/>
    <w:rsid w:val="001A63E6"/>
    <w:rsid w:val="001B3F0D"/>
    <w:rsid w:val="001B4AE6"/>
    <w:rsid w:val="001C0A3A"/>
    <w:rsid w:val="001C1B67"/>
    <w:rsid w:val="001C36EE"/>
    <w:rsid w:val="001C571C"/>
    <w:rsid w:val="001D1FED"/>
    <w:rsid w:val="001D33F8"/>
    <w:rsid w:val="001E3D95"/>
    <w:rsid w:val="001E5D47"/>
    <w:rsid w:val="001F4373"/>
    <w:rsid w:val="001F64F8"/>
    <w:rsid w:val="002220A2"/>
    <w:rsid w:val="002250AE"/>
    <w:rsid w:val="002269AB"/>
    <w:rsid w:val="00241F16"/>
    <w:rsid w:val="00242E97"/>
    <w:rsid w:val="002501DD"/>
    <w:rsid w:val="00251E42"/>
    <w:rsid w:val="00252914"/>
    <w:rsid w:val="00262347"/>
    <w:rsid w:val="00270509"/>
    <w:rsid w:val="002732DE"/>
    <w:rsid w:val="002750B3"/>
    <w:rsid w:val="00281232"/>
    <w:rsid w:val="00286C24"/>
    <w:rsid w:val="00286DBC"/>
    <w:rsid w:val="00291F0F"/>
    <w:rsid w:val="0029659C"/>
    <w:rsid w:val="002A2C75"/>
    <w:rsid w:val="002A4106"/>
    <w:rsid w:val="002B0218"/>
    <w:rsid w:val="002B1AE6"/>
    <w:rsid w:val="002B4000"/>
    <w:rsid w:val="002C2B65"/>
    <w:rsid w:val="002D0A02"/>
    <w:rsid w:val="002D0B7B"/>
    <w:rsid w:val="002D54DD"/>
    <w:rsid w:val="002D5E5B"/>
    <w:rsid w:val="002E0530"/>
    <w:rsid w:val="002E298E"/>
    <w:rsid w:val="002E6046"/>
    <w:rsid w:val="002E7931"/>
    <w:rsid w:val="00300524"/>
    <w:rsid w:val="00301074"/>
    <w:rsid w:val="003035E6"/>
    <w:rsid w:val="00305A1B"/>
    <w:rsid w:val="00315441"/>
    <w:rsid w:val="00317F58"/>
    <w:rsid w:val="00321306"/>
    <w:rsid w:val="0032786E"/>
    <w:rsid w:val="00331D6C"/>
    <w:rsid w:val="00335E71"/>
    <w:rsid w:val="003366C0"/>
    <w:rsid w:val="0034648E"/>
    <w:rsid w:val="00350FF0"/>
    <w:rsid w:val="0036247D"/>
    <w:rsid w:val="00363919"/>
    <w:rsid w:val="00363D3F"/>
    <w:rsid w:val="00366C82"/>
    <w:rsid w:val="00366E6D"/>
    <w:rsid w:val="00370AF4"/>
    <w:rsid w:val="0038788A"/>
    <w:rsid w:val="00396B5E"/>
    <w:rsid w:val="003974F9"/>
    <w:rsid w:val="003B0313"/>
    <w:rsid w:val="003B0331"/>
    <w:rsid w:val="003B11D4"/>
    <w:rsid w:val="003B24F6"/>
    <w:rsid w:val="003B3553"/>
    <w:rsid w:val="003B3765"/>
    <w:rsid w:val="003B44C4"/>
    <w:rsid w:val="003C7AAD"/>
    <w:rsid w:val="003D1E9A"/>
    <w:rsid w:val="003D2B88"/>
    <w:rsid w:val="003D4107"/>
    <w:rsid w:val="003E0F29"/>
    <w:rsid w:val="003E16D9"/>
    <w:rsid w:val="003E5062"/>
    <w:rsid w:val="003E6DF1"/>
    <w:rsid w:val="003E720B"/>
    <w:rsid w:val="003F0E45"/>
    <w:rsid w:val="00400944"/>
    <w:rsid w:val="00401592"/>
    <w:rsid w:val="00405F2C"/>
    <w:rsid w:val="00406CE9"/>
    <w:rsid w:val="004072C9"/>
    <w:rsid w:val="0041133F"/>
    <w:rsid w:val="00413CD1"/>
    <w:rsid w:val="00413F46"/>
    <w:rsid w:val="00416D92"/>
    <w:rsid w:val="00425416"/>
    <w:rsid w:val="00427A01"/>
    <w:rsid w:val="00437C4B"/>
    <w:rsid w:val="00440BDD"/>
    <w:rsid w:val="004418C4"/>
    <w:rsid w:val="00443120"/>
    <w:rsid w:val="00443FA9"/>
    <w:rsid w:val="00446250"/>
    <w:rsid w:val="00453C65"/>
    <w:rsid w:val="004601BB"/>
    <w:rsid w:val="00463151"/>
    <w:rsid w:val="00467E99"/>
    <w:rsid w:val="00471FDF"/>
    <w:rsid w:val="00473382"/>
    <w:rsid w:val="00474757"/>
    <w:rsid w:val="00474E2F"/>
    <w:rsid w:val="00474F87"/>
    <w:rsid w:val="00481E0C"/>
    <w:rsid w:val="004837A4"/>
    <w:rsid w:val="004839D1"/>
    <w:rsid w:val="00492F71"/>
    <w:rsid w:val="004965A3"/>
    <w:rsid w:val="004974C4"/>
    <w:rsid w:val="0049784E"/>
    <w:rsid w:val="004A2E56"/>
    <w:rsid w:val="004A7451"/>
    <w:rsid w:val="004B0EBF"/>
    <w:rsid w:val="004B1705"/>
    <w:rsid w:val="004C1162"/>
    <w:rsid w:val="004C645E"/>
    <w:rsid w:val="004D0811"/>
    <w:rsid w:val="004D0A2C"/>
    <w:rsid w:val="004F045A"/>
    <w:rsid w:val="004F31BB"/>
    <w:rsid w:val="005028EC"/>
    <w:rsid w:val="00502EAE"/>
    <w:rsid w:val="00514185"/>
    <w:rsid w:val="00514E00"/>
    <w:rsid w:val="00521F95"/>
    <w:rsid w:val="00526647"/>
    <w:rsid w:val="00533C44"/>
    <w:rsid w:val="0054061B"/>
    <w:rsid w:val="005445C2"/>
    <w:rsid w:val="00544BF1"/>
    <w:rsid w:val="005463B2"/>
    <w:rsid w:val="00550329"/>
    <w:rsid w:val="00550FEA"/>
    <w:rsid w:val="005526F9"/>
    <w:rsid w:val="00555C43"/>
    <w:rsid w:val="00556DB1"/>
    <w:rsid w:val="00562A6B"/>
    <w:rsid w:val="00564E8C"/>
    <w:rsid w:val="00567677"/>
    <w:rsid w:val="00570224"/>
    <w:rsid w:val="0058190C"/>
    <w:rsid w:val="0058245B"/>
    <w:rsid w:val="00583A40"/>
    <w:rsid w:val="00585455"/>
    <w:rsid w:val="00585C63"/>
    <w:rsid w:val="00587578"/>
    <w:rsid w:val="005911D0"/>
    <w:rsid w:val="005915FC"/>
    <w:rsid w:val="00593366"/>
    <w:rsid w:val="0059657B"/>
    <w:rsid w:val="00596600"/>
    <w:rsid w:val="00596A13"/>
    <w:rsid w:val="005A38D0"/>
    <w:rsid w:val="005A600A"/>
    <w:rsid w:val="005A6526"/>
    <w:rsid w:val="005A75AD"/>
    <w:rsid w:val="005B246E"/>
    <w:rsid w:val="005B31D5"/>
    <w:rsid w:val="005B5A46"/>
    <w:rsid w:val="005C132B"/>
    <w:rsid w:val="005C140F"/>
    <w:rsid w:val="005C1A59"/>
    <w:rsid w:val="005C1D70"/>
    <w:rsid w:val="005D1C26"/>
    <w:rsid w:val="005D1D68"/>
    <w:rsid w:val="005D37C3"/>
    <w:rsid w:val="005D4669"/>
    <w:rsid w:val="005D57BE"/>
    <w:rsid w:val="005E046E"/>
    <w:rsid w:val="005E05EB"/>
    <w:rsid w:val="005F3C41"/>
    <w:rsid w:val="005F438E"/>
    <w:rsid w:val="005F43EF"/>
    <w:rsid w:val="005F5B45"/>
    <w:rsid w:val="006032FA"/>
    <w:rsid w:val="006038CF"/>
    <w:rsid w:val="006046EB"/>
    <w:rsid w:val="00611B87"/>
    <w:rsid w:val="00616F89"/>
    <w:rsid w:val="00624E2E"/>
    <w:rsid w:val="00625871"/>
    <w:rsid w:val="00625AAF"/>
    <w:rsid w:val="00631945"/>
    <w:rsid w:val="0063295F"/>
    <w:rsid w:val="0064021A"/>
    <w:rsid w:val="00642B03"/>
    <w:rsid w:val="0064426C"/>
    <w:rsid w:val="0064755E"/>
    <w:rsid w:val="00650F13"/>
    <w:rsid w:val="00654B02"/>
    <w:rsid w:val="00664341"/>
    <w:rsid w:val="00672D94"/>
    <w:rsid w:val="006762F4"/>
    <w:rsid w:val="006771A2"/>
    <w:rsid w:val="006814A6"/>
    <w:rsid w:val="00685240"/>
    <w:rsid w:val="00692D1C"/>
    <w:rsid w:val="00694F6A"/>
    <w:rsid w:val="00695CFA"/>
    <w:rsid w:val="00696893"/>
    <w:rsid w:val="006A7576"/>
    <w:rsid w:val="006B5DD0"/>
    <w:rsid w:val="006B6E49"/>
    <w:rsid w:val="006B7033"/>
    <w:rsid w:val="006C7E39"/>
    <w:rsid w:val="006D1A67"/>
    <w:rsid w:val="006D23E7"/>
    <w:rsid w:val="006D46C5"/>
    <w:rsid w:val="006D6C11"/>
    <w:rsid w:val="006E0533"/>
    <w:rsid w:val="006E1919"/>
    <w:rsid w:val="006E2554"/>
    <w:rsid w:val="006E5069"/>
    <w:rsid w:val="006F7B9D"/>
    <w:rsid w:val="00701F79"/>
    <w:rsid w:val="007069D3"/>
    <w:rsid w:val="00707833"/>
    <w:rsid w:val="0071520E"/>
    <w:rsid w:val="00717D5C"/>
    <w:rsid w:val="0072166F"/>
    <w:rsid w:val="007244AA"/>
    <w:rsid w:val="00725585"/>
    <w:rsid w:val="00732467"/>
    <w:rsid w:val="00732B80"/>
    <w:rsid w:val="00735F25"/>
    <w:rsid w:val="00740A24"/>
    <w:rsid w:val="007442C0"/>
    <w:rsid w:val="00745E96"/>
    <w:rsid w:val="007466CE"/>
    <w:rsid w:val="0075335C"/>
    <w:rsid w:val="007542FE"/>
    <w:rsid w:val="00761611"/>
    <w:rsid w:val="00761C74"/>
    <w:rsid w:val="007658DA"/>
    <w:rsid w:val="00771FA6"/>
    <w:rsid w:val="00774762"/>
    <w:rsid w:val="007764B6"/>
    <w:rsid w:val="00781033"/>
    <w:rsid w:val="00781F8A"/>
    <w:rsid w:val="0078767B"/>
    <w:rsid w:val="00790A85"/>
    <w:rsid w:val="00797661"/>
    <w:rsid w:val="00797AD5"/>
    <w:rsid w:val="007A0415"/>
    <w:rsid w:val="007A120B"/>
    <w:rsid w:val="007A2433"/>
    <w:rsid w:val="007A5992"/>
    <w:rsid w:val="007C566C"/>
    <w:rsid w:val="007C5B79"/>
    <w:rsid w:val="007D4B58"/>
    <w:rsid w:val="007D6CF7"/>
    <w:rsid w:val="007E11E9"/>
    <w:rsid w:val="007E5AB7"/>
    <w:rsid w:val="007F6BDD"/>
    <w:rsid w:val="0080075E"/>
    <w:rsid w:val="00803EA2"/>
    <w:rsid w:val="00804778"/>
    <w:rsid w:val="008060D5"/>
    <w:rsid w:val="008112A0"/>
    <w:rsid w:val="00813E5D"/>
    <w:rsid w:val="0081400A"/>
    <w:rsid w:val="008157DD"/>
    <w:rsid w:val="00820F4C"/>
    <w:rsid w:val="00821501"/>
    <w:rsid w:val="00823498"/>
    <w:rsid w:val="00824D90"/>
    <w:rsid w:val="00826918"/>
    <w:rsid w:val="00827FD7"/>
    <w:rsid w:val="00827FF6"/>
    <w:rsid w:val="00831374"/>
    <w:rsid w:val="00832DA6"/>
    <w:rsid w:val="00832E00"/>
    <w:rsid w:val="00833B93"/>
    <w:rsid w:val="0084238A"/>
    <w:rsid w:val="008462CA"/>
    <w:rsid w:val="00847C74"/>
    <w:rsid w:val="00854F0F"/>
    <w:rsid w:val="00857F79"/>
    <w:rsid w:val="00862ED3"/>
    <w:rsid w:val="00866639"/>
    <w:rsid w:val="008679F3"/>
    <w:rsid w:val="008700A8"/>
    <w:rsid w:val="00874D2F"/>
    <w:rsid w:val="008828F3"/>
    <w:rsid w:val="00882F2E"/>
    <w:rsid w:val="00883F77"/>
    <w:rsid w:val="00886CAC"/>
    <w:rsid w:val="0088720A"/>
    <w:rsid w:val="0089272E"/>
    <w:rsid w:val="0089556D"/>
    <w:rsid w:val="0089570C"/>
    <w:rsid w:val="00897E85"/>
    <w:rsid w:val="00897F6A"/>
    <w:rsid w:val="008A018F"/>
    <w:rsid w:val="008A2418"/>
    <w:rsid w:val="008A3A73"/>
    <w:rsid w:val="008A71CE"/>
    <w:rsid w:val="008B0BB9"/>
    <w:rsid w:val="008C3542"/>
    <w:rsid w:val="008C3A89"/>
    <w:rsid w:val="008C7B61"/>
    <w:rsid w:val="008D4325"/>
    <w:rsid w:val="008E0513"/>
    <w:rsid w:val="008E3836"/>
    <w:rsid w:val="008F0FAF"/>
    <w:rsid w:val="008F2441"/>
    <w:rsid w:val="008F3680"/>
    <w:rsid w:val="00904C3E"/>
    <w:rsid w:val="0090629B"/>
    <w:rsid w:val="009105A8"/>
    <w:rsid w:val="00922FE7"/>
    <w:rsid w:val="00923973"/>
    <w:rsid w:val="0093000B"/>
    <w:rsid w:val="00933017"/>
    <w:rsid w:val="00945D3B"/>
    <w:rsid w:val="00950974"/>
    <w:rsid w:val="009525A8"/>
    <w:rsid w:val="00952E57"/>
    <w:rsid w:val="0095447F"/>
    <w:rsid w:val="00957062"/>
    <w:rsid w:val="0096310F"/>
    <w:rsid w:val="009634D5"/>
    <w:rsid w:val="00964D16"/>
    <w:rsid w:val="00966432"/>
    <w:rsid w:val="009731BB"/>
    <w:rsid w:val="009737D9"/>
    <w:rsid w:val="00973DA1"/>
    <w:rsid w:val="009823DB"/>
    <w:rsid w:val="00982EB5"/>
    <w:rsid w:val="0098604D"/>
    <w:rsid w:val="00986361"/>
    <w:rsid w:val="00990817"/>
    <w:rsid w:val="0099083E"/>
    <w:rsid w:val="00991F74"/>
    <w:rsid w:val="00993854"/>
    <w:rsid w:val="009A1B3B"/>
    <w:rsid w:val="009A2A3D"/>
    <w:rsid w:val="009B054E"/>
    <w:rsid w:val="009B0612"/>
    <w:rsid w:val="009B15DE"/>
    <w:rsid w:val="009B538F"/>
    <w:rsid w:val="009B73DD"/>
    <w:rsid w:val="009C0928"/>
    <w:rsid w:val="009C0E53"/>
    <w:rsid w:val="009C11EE"/>
    <w:rsid w:val="009C167A"/>
    <w:rsid w:val="009C3D83"/>
    <w:rsid w:val="009C647E"/>
    <w:rsid w:val="009C7A43"/>
    <w:rsid w:val="009D2638"/>
    <w:rsid w:val="009D2F41"/>
    <w:rsid w:val="009D4D7B"/>
    <w:rsid w:val="009E3D64"/>
    <w:rsid w:val="009E55B3"/>
    <w:rsid w:val="009F1719"/>
    <w:rsid w:val="009F1CDB"/>
    <w:rsid w:val="009F35C8"/>
    <w:rsid w:val="009F442A"/>
    <w:rsid w:val="00A01C8E"/>
    <w:rsid w:val="00A070C6"/>
    <w:rsid w:val="00A07AA2"/>
    <w:rsid w:val="00A11630"/>
    <w:rsid w:val="00A13C80"/>
    <w:rsid w:val="00A20B85"/>
    <w:rsid w:val="00A26712"/>
    <w:rsid w:val="00A30F28"/>
    <w:rsid w:val="00A473B8"/>
    <w:rsid w:val="00A511C7"/>
    <w:rsid w:val="00A54B92"/>
    <w:rsid w:val="00A5669E"/>
    <w:rsid w:val="00A652B5"/>
    <w:rsid w:val="00A6646A"/>
    <w:rsid w:val="00A72D06"/>
    <w:rsid w:val="00A73027"/>
    <w:rsid w:val="00A73EE5"/>
    <w:rsid w:val="00A808D5"/>
    <w:rsid w:val="00A82014"/>
    <w:rsid w:val="00A84BF9"/>
    <w:rsid w:val="00A87974"/>
    <w:rsid w:val="00A93113"/>
    <w:rsid w:val="00A95A5D"/>
    <w:rsid w:val="00A96257"/>
    <w:rsid w:val="00A96EE7"/>
    <w:rsid w:val="00AA2207"/>
    <w:rsid w:val="00AA7280"/>
    <w:rsid w:val="00AB28FE"/>
    <w:rsid w:val="00AB5B8B"/>
    <w:rsid w:val="00AB5E72"/>
    <w:rsid w:val="00AB6449"/>
    <w:rsid w:val="00AC0047"/>
    <w:rsid w:val="00AC372D"/>
    <w:rsid w:val="00AD1A05"/>
    <w:rsid w:val="00AD6791"/>
    <w:rsid w:val="00AE05D6"/>
    <w:rsid w:val="00AE155D"/>
    <w:rsid w:val="00AE4485"/>
    <w:rsid w:val="00AE67D7"/>
    <w:rsid w:val="00AF4EB1"/>
    <w:rsid w:val="00B00795"/>
    <w:rsid w:val="00B01C31"/>
    <w:rsid w:val="00B053A3"/>
    <w:rsid w:val="00B053DB"/>
    <w:rsid w:val="00B07C45"/>
    <w:rsid w:val="00B145AA"/>
    <w:rsid w:val="00B1497F"/>
    <w:rsid w:val="00B23F5F"/>
    <w:rsid w:val="00B24C9C"/>
    <w:rsid w:val="00B24E6A"/>
    <w:rsid w:val="00B34BE6"/>
    <w:rsid w:val="00B37B0C"/>
    <w:rsid w:val="00B401C7"/>
    <w:rsid w:val="00B45FD5"/>
    <w:rsid w:val="00B53903"/>
    <w:rsid w:val="00B65C99"/>
    <w:rsid w:val="00B66AFA"/>
    <w:rsid w:val="00B6725E"/>
    <w:rsid w:val="00B767D8"/>
    <w:rsid w:val="00B775D3"/>
    <w:rsid w:val="00B87B1D"/>
    <w:rsid w:val="00B93F92"/>
    <w:rsid w:val="00B972BB"/>
    <w:rsid w:val="00BA1076"/>
    <w:rsid w:val="00BA20D6"/>
    <w:rsid w:val="00BA2EE2"/>
    <w:rsid w:val="00BA3DD1"/>
    <w:rsid w:val="00BA4E09"/>
    <w:rsid w:val="00BB1307"/>
    <w:rsid w:val="00BB155B"/>
    <w:rsid w:val="00BB2480"/>
    <w:rsid w:val="00BB3E21"/>
    <w:rsid w:val="00BB533F"/>
    <w:rsid w:val="00BB6180"/>
    <w:rsid w:val="00BC4BCF"/>
    <w:rsid w:val="00BD1E4E"/>
    <w:rsid w:val="00BD455E"/>
    <w:rsid w:val="00BD46A4"/>
    <w:rsid w:val="00BD757B"/>
    <w:rsid w:val="00BE1957"/>
    <w:rsid w:val="00BE24C5"/>
    <w:rsid w:val="00BE420B"/>
    <w:rsid w:val="00BE480F"/>
    <w:rsid w:val="00BE4B42"/>
    <w:rsid w:val="00BE5D7C"/>
    <w:rsid w:val="00BE5EF7"/>
    <w:rsid w:val="00BE6EEC"/>
    <w:rsid w:val="00BF03AD"/>
    <w:rsid w:val="00BF12F7"/>
    <w:rsid w:val="00BF2030"/>
    <w:rsid w:val="00BF59CF"/>
    <w:rsid w:val="00BF64DE"/>
    <w:rsid w:val="00BF7D67"/>
    <w:rsid w:val="00C0007D"/>
    <w:rsid w:val="00C008FB"/>
    <w:rsid w:val="00C02E1B"/>
    <w:rsid w:val="00C03D45"/>
    <w:rsid w:val="00C05CCE"/>
    <w:rsid w:val="00C16CCF"/>
    <w:rsid w:val="00C24EF8"/>
    <w:rsid w:val="00C273F8"/>
    <w:rsid w:val="00C311B8"/>
    <w:rsid w:val="00C36BDA"/>
    <w:rsid w:val="00C40759"/>
    <w:rsid w:val="00C43C50"/>
    <w:rsid w:val="00C5510B"/>
    <w:rsid w:val="00C6091E"/>
    <w:rsid w:val="00C617B3"/>
    <w:rsid w:val="00C64E06"/>
    <w:rsid w:val="00C66161"/>
    <w:rsid w:val="00C70727"/>
    <w:rsid w:val="00C714C7"/>
    <w:rsid w:val="00C73CB6"/>
    <w:rsid w:val="00C74636"/>
    <w:rsid w:val="00C82BFB"/>
    <w:rsid w:val="00C83CCE"/>
    <w:rsid w:val="00C85CBC"/>
    <w:rsid w:val="00C86C5B"/>
    <w:rsid w:val="00C8726A"/>
    <w:rsid w:val="00C94852"/>
    <w:rsid w:val="00C9648D"/>
    <w:rsid w:val="00C97609"/>
    <w:rsid w:val="00CA071A"/>
    <w:rsid w:val="00CA61AB"/>
    <w:rsid w:val="00CB126F"/>
    <w:rsid w:val="00CB2075"/>
    <w:rsid w:val="00CB79C7"/>
    <w:rsid w:val="00CC10A6"/>
    <w:rsid w:val="00CC395D"/>
    <w:rsid w:val="00CC72DD"/>
    <w:rsid w:val="00CC7ECF"/>
    <w:rsid w:val="00CD012A"/>
    <w:rsid w:val="00CD2DAB"/>
    <w:rsid w:val="00CD430E"/>
    <w:rsid w:val="00CD545C"/>
    <w:rsid w:val="00CD557B"/>
    <w:rsid w:val="00CD6F50"/>
    <w:rsid w:val="00CE2519"/>
    <w:rsid w:val="00CE4BC2"/>
    <w:rsid w:val="00CE562B"/>
    <w:rsid w:val="00CF0102"/>
    <w:rsid w:val="00CF673A"/>
    <w:rsid w:val="00CF7C94"/>
    <w:rsid w:val="00D01618"/>
    <w:rsid w:val="00D03E80"/>
    <w:rsid w:val="00D07BA0"/>
    <w:rsid w:val="00D1429C"/>
    <w:rsid w:val="00D224F9"/>
    <w:rsid w:val="00D32E8E"/>
    <w:rsid w:val="00D35D1E"/>
    <w:rsid w:val="00D4014E"/>
    <w:rsid w:val="00D448BF"/>
    <w:rsid w:val="00D52148"/>
    <w:rsid w:val="00D61B40"/>
    <w:rsid w:val="00D6330A"/>
    <w:rsid w:val="00D66BCF"/>
    <w:rsid w:val="00D73459"/>
    <w:rsid w:val="00D73C42"/>
    <w:rsid w:val="00D77120"/>
    <w:rsid w:val="00D777A6"/>
    <w:rsid w:val="00D821FE"/>
    <w:rsid w:val="00D82C4B"/>
    <w:rsid w:val="00D85CB0"/>
    <w:rsid w:val="00D85EB3"/>
    <w:rsid w:val="00D963AF"/>
    <w:rsid w:val="00DA0458"/>
    <w:rsid w:val="00DA545F"/>
    <w:rsid w:val="00DA5BFF"/>
    <w:rsid w:val="00DB01A0"/>
    <w:rsid w:val="00DB2D91"/>
    <w:rsid w:val="00DB3E45"/>
    <w:rsid w:val="00DB4715"/>
    <w:rsid w:val="00DC1630"/>
    <w:rsid w:val="00DC1CA0"/>
    <w:rsid w:val="00DC41D8"/>
    <w:rsid w:val="00DC7364"/>
    <w:rsid w:val="00DD0755"/>
    <w:rsid w:val="00DD1D4C"/>
    <w:rsid w:val="00DD7FAC"/>
    <w:rsid w:val="00DF0E3E"/>
    <w:rsid w:val="00DF3A9F"/>
    <w:rsid w:val="00DF7AB1"/>
    <w:rsid w:val="00E0335E"/>
    <w:rsid w:val="00E05679"/>
    <w:rsid w:val="00E05AC7"/>
    <w:rsid w:val="00E10339"/>
    <w:rsid w:val="00E11481"/>
    <w:rsid w:val="00E119A0"/>
    <w:rsid w:val="00E12B2B"/>
    <w:rsid w:val="00E14229"/>
    <w:rsid w:val="00E1431C"/>
    <w:rsid w:val="00E15E64"/>
    <w:rsid w:val="00E17875"/>
    <w:rsid w:val="00E208C7"/>
    <w:rsid w:val="00E21885"/>
    <w:rsid w:val="00E23567"/>
    <w:rsid w:val="00E23E8C"/>
    <w:rsid w:val="00E3014B"/>
    <w:rsid w:val="00E3084B"/>
    <w:rsid w:val="00E361FC"/>
    <w:rsid w:val="00E425C3"/>
    <w:rsid w:val="00E43DD3"/>
    <w:rsid w:val="00E43F03"/>
    <w:rsid w:val="00E4678E"/>
    <w:rsid w:val="00E4767E"/>
    <w:rsid w:val="00E509AA"/>
    <w:rsid w:val="00E53DD5"/>
    <w:rsid w:val="00E540C2"/>
    <w:rsid w:val="00E56FDD"/>
    <w:rsid w:val="00E577F6"/>
    <w:rsid w:val="00E60A1A"/>
    <w:rsid w:val="00E62DD1"/>
    <w:rsid w:val="00E6566F"/>
    <w:rsid w:val="00E65E5B"/>
    <w:rsid w:val="00E7051B"/>
    <w:rsid w:val="00E7521E"/>
    <w:rsid w:val="00E75DC6"/>
    <w:rsid w:val="00E760AE"/>
    <w:rsid w:val="00E7793D"/>
    <w:rsid w:val="00E81D4C"/>
    <w:rsid w:val="00E83353"/>
    <w:rsid w:val="00E841FD"/>
    <w:rsid w:val="00E87E97"/>
    <w:rsid w:val="00E95E7A"/>
    <w:rsid w:val="00E96C6C"/>
    <w:rsid w:val="00E971EA"/>
    <w:rsid w:val="00EA4A1B"/>
    <w:rsid w:val="00EA6D9B"/>
    <w:rsid w:val="00EB0405"/>
    <w:rsid w:val="00EB2B5C"/>
    <w:rsid w:val="00EB305B"/>
    <w:rsid w:val="00EB4240"/>
    <w:rsid w:val="00EB4E1F"/>
    <w:rsid w:val="00EB7F21"/>
    <w:rsid w:val="00EC17B5"/>
    <w:rsid w:val="00EC2CAE"/>
    <w:rsid w:val="00EC3EB5"/>
    <w:rsid w:val="00EC54A0"/>
    <w:rsid w:val="00EC5C17"/>
    <w:rsid w:val="00EC7D1B"/>
    <w:rsid w:val="00ED4735"/>
    <w:rsid w:val="00ED5F01"/>
    <w:rsid w:val="00ED6D81"/>
    <w:rsid w:val="00ED7C6B"/>
    <w:rsid w:val="00EE1974"/>
    <w:rsid w:val="00EE2403"/>
    <w:rsid w:val="00EE2F42"/>
    <w:rsid w:val="00EE2FC1"/>
    <w:rsid w:val="00EE37BF"/>
    <w:rsid w:val="00EE4DAE"/>
    <w:rsid w:val="00EF0287"/>
    <w:rsid w:val="00EF1F58"/>
    <w:rsid w:val="00EF6E42"/>
    <w:rsid w:val="00F03A3B"/>
    <w:rsid w:val="00F1096E"/>
    <w:rsid w:val="00F172B1"/>
    <w:rsid w:val="00F21095"/>
    <w:rsid w:val="00F227FF"/>
    <w:rsid w:val="00F22BD3"/>
    <w:rsid w:val="00F25B62"/>
    <w:rsid w:val="00F26236"/>
    <w:rsid w:val="00F265E1"/>
    <w:rsid w:val="00F32E4C"/>
    <w:rsid w:val="00F34BBE"/>
    <w:rsid w:val="00F353FD"/>
    <w:rsid w:val="00F35795"/>
    <w:rsid w:val="00F414F6"/>
    <w:rsid w:val="00F42032"/>
    <w:rsid w:val="00F439E1"/>
    <w:rsid w:val="00F43D7E"/>
    <w:rsid w:val="00F44C19"/>
    <w:rsid w:val="00F506DE"/>
    <w:rsid w:val="00F54486"/>
    <w:rsid w:val="00F61F20"/>
    <w:rsid w:val="00F65D31"/>
    <w:rsid w:val="00F66419"/>
    <w:rsid w:val="00F667AF"/>
    <w:rsid w:val="00F66C26"/>
    <w:rsid w:val="00F67917"/>
    <w:rsid w:val="00F728D1"/>
    <w:rsid w:val="00F72CE9"/>
    <w:rsid w:val="00F75624"/>
    <w:rsid w:val="00F801BA"/>
    <w:rsid w:val="00F8298E"/>
    <w:rsid w:val="00F82DA7"/>
    <w:rsid w:val="00F84CCE"/>
    <w:rsid w:val="00F92367"/>
    <w:rsid w:val="00F92917"/>
    <w:rsid w:val="00F92B4B"/>
    <w:rsid w:val="00F95EC8"/>
    <w:rsid w:val="00F966A3"/>
    <w:rsid w:val="00F9775B"/>
    <w:rsid w:val="00FA0F66"/>
    <w:rsid w:val="00FA7FC2"/>
    <w:rsid w:val="00FB0276"/>
    <w:rsid w:val="00FB064D"/>
    <w:rsid w:val="00FC222A"/>
    <w:rsid w:val="00FD3EEA"/>
    <w:rsid w:val="00FD5AE7"/>
    <w:rsid w:val="00FD712E"/>
    <w:rsid w:val="00FD7723"/>
    <w:rsid w:val="00FD7E90"/>
    <w:rsid w:val="00FE0DAD"/>
    <w:rsid w:val="00FE4E0E"/>
    <w:rsid w:val="00FF31A7"/>
    <w:rsid w:val="00FF4750"/>
    <w:rsid w:val="00FF55B9"/>
    <w:rsid w:val="1B9A7ABD"/>
    <w:rsid w:val="1ECF5595"/>
    <w:rsid w:val="301B2DF7"/>
    <w:rsid w:val="40A57E1B"/>
    <w:rsid w:val="5F9D0C41"/>
    <w:rsid w:val="7C5A53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0" w:name="toc 3" w:locked="1"/>
    <w:lsdException w:uiPriority="0" w:name="toc 4" w:locked="1"/>
    <w:lsdException w:uiPriority="0" w:name="toc 5" w:locked="1"/>
    <w:lsdException w:uiPriority="0" w:name="toc 6" w:locked="1"/>
    <w:lsdException w:uiPriority="0" w:name="toc 7" w:locked="1"/>
    <w:lsdException w:uiPriority="0" w:name="toc 8" w:locked="1"/>
    <w:lsdException w:uiPriority="0" w:name="toc 9" w:locked="1"/>
    <w:lsdException w:qFormat="1" w:unhideWhenUsed="0" w:uiPriority="99"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qFormat="1" w:unhideWhenUsed="0"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99" w:semiHidden="0" w:name="Emphasis"/>
    <w:lsdException w:qFormat="1" w:unhideWhenUsed="0"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99"/>
    <w:pPr>
      <w:keepNext/>
      <w:keepLines/>
      <w:numPr>
        <w:ilvl w:val="0"/>
        <w:numId w:val="1"/>
      </w:numPr>
      <w:spacing w:before="340" w:after="330" w:line="576" w:lineRule="auto"/>
      <w:outlineLvl w:val="0"/>
    </w:pPr>
    <w:rPr>
      <w:b/>
      <w:bCs/>
      <w:kern w:val="44"/>
      <w:sz w:val="44"/>
      <w:szCs w:val="44"/>
    </w:rPr>
  </w:style>
  <w:style w:type="paragraph" w:styleId="3">
    <w:name w:val="heading 2"/>
    <w:basedOn w:val="1"/>
    <w:next w:val="1"/>
    <w:link w:val="34"/>
    <w:qFormat/>
    <w:uiPriority w:val="99"/>
    <w:pPr>
      <w:keepNext/>
      <w:keepLines/>
      <w:numPr>
        <w:ilvl w:val="1"/>
        <w:numId w:val="1"/>
      </w:numPr>
      <w:spacing w:before="260" w:after="260" w:line="415" w:lineRule="auto"/>
      <w:outlineLvl w:val="1"/>
    </w:pPr>
    <w:rPr>
      <w:rFonts w:ascii="Arial" w:hAnsi="Arial" w:eastAsia="黑体"/>
      <w:b/>
      <w:bCs/>
      <w:sz w:val="32"/>
      <w:szCs w:val="32"/>
    </w:rPr>
  </w:style>
  <w:style w:type="paragraph" w:styleId="4">
    <w:name w:val="heading 3"/>
    <w:basedOn w:val="1"/>
    <w:next w:val="1"/>
    <w:link w:val="46"/>
    <w:qFormat/>
    <w:uiPriority w:val="99"/>
    <w:pPr>
      <w:keepNext/>
      <w:keepLines/>
      <w:numPr>
        <w:ilvl w:val="2"/>
        <w:numId w:val="1"/>
      </w:numPr>
      <w:spacing w:before="260" w:after="260" w:line="415" w:lineRule="auto"/>
      <w:outlineLvl w:val="2"/>
    </w:pPr>
    <w:rPr>
      <w:b/>
      <w:bCs/>
      <w:kern w:val="0"/>
      <w:sz w:val="32"/>
      <w:szCs w:val="32"/>
    </w:rPr>
  </w:style>
  <w:style w:type="paragraph" w:styleId="5">
    <w:name w:val="heading 4"/>
    <w:basedOn w:val="1"/>
    <w:next w:val="1"/>
    <w:link w:val="30"/>
    <w:qFormat/>
    <w:uiPriority w:val="99"/>
    <w:pPr>
      <w:keepNext/>
      <w:keepLines/>
      <w:numPr>
        <w:ilvl w:val="3"/>
        <w:numId w:val="1"/>
      </w:numPr>
      <w:autoSpaceDE w:val="0"/>
      <w:autoSpaceDN w:val="0"/>
      <w:adjustRightInd w:val="0"/>
      <w:spacing w:before="280" w:after="290" w:line="374" w:lineRule="auto"/>
      <w:outlineLvl w:val="3"/>
    </w:pPr>
    <w:rPr>
      <w:rFonts w:ascii="Arial" w:hAnsi="Arial" w:eastAsia="黑体"/>
      <w:b/>
      <w:kern w:val="0"/>
      <w:sz w:val="20"/>
      <w:szCs w:val="20"/>
    </w:rPr>
  </w:style>
  <w:style w:type="paragraph" w:styleId="6">
    <w:name w:val="heading 5"/>
    <w:basedOn w:val="1"/>
    <w:next w:val="1"/>
    <w:link w:val="42"/>
    <w:qFormat/>
    <w:uiPriority w:val="99"/>
    <w:pPr>
      <w:keepNext/>
      <w:keepLines/>
      <w:numPr>
        <w:ilvl w:val="4"/>
        <w:numId w:val="1"/>
      </w:numPr>
      <w:autoSpaceDE w:val="0"/>
      <w:autoSpaceDN w:val="0"/>
      <w:adjustRightInd w:val="0"/>
      <w:spacing w:before="280" w:after="290" w:line="374" w:lineRule="auto"/>
      <w:outlineLvl w:val="4"/>
    </w:pPr>
    <w:rPr>
      <w:rFonts w:ascii="宋体"/>
      <w:b/>
      <w:kern w:val="0"/>
      <w:sz w:val="20"/>
      <w:szCs w:val="20"/>
    </w:rPr>
  </w:style>
  <w:style w:type="paragraph" w:styleId="7">
    <w:name w:val="heading 6"/>
    <w:basedOn w:val="1"/>
    <w:next w:val="1"/>
    <w:link w:val="35"/>
    <w:qFormat/>
    <w:uiPriority w:val="99"/>
    <w:pPr>
      <w:keepNext/>
      <w:keepLines/>
      <w:numPr>
        <w:ilvl w:val="5"/>
        <w:numId w:val="1"/>
      </w:numPr>
      <w:autoSpaceDE w:val="0"/>
      <w:autoSpaceDN w:val="0"/>
      <w:adjustRightInd w:val="0"/>
      <w:spacing w:before="240" w:after="64" w:line="319" w:lineRule="auto"/>
      <w:outlineLvl w:val="5"/>
    </w:pPr>
    <w:rPr>
      <w:rFonts w:ascii="Arial" w:hAnsi="Arial" w:eastAsia="黑体"/>
      <w:b/>
      <w:kern w:val="0"/>
      <w:sz w:val="20"/>
      <w:szCs w:val="20"/>
    </w:rPr>
  </w:style>
  <w:style w:type="paragraph" w:styleId="8">
    <w:name w:val="heading 7"/>
    <w:basedOn w:val="1"/>
    <w:next w:val="1"/>
    <w:link w:val="33"/>
    <w:qFormat/>
    <w:uiPriority w:val="99"/>
    <w:pPr>
      <w:keepNext/>
      <w:keepLines/>
      <w:numPr>
        <w:ilvl w:val="6"/>
        <w:numId w:val="1"/>
      </w:numPr>
      <w:autoSpaceDE w:val="0"/>
      <w:autoSpaceDN w:val="0"/>
      <w:adjustRightInd w:val="0"/>
      <w:spacing w:before="240" w:after="64" w:line="319" w:lineRule="auto"/>
      <w:outlineLvl w:val="6"/>
    </w:pPr>
    <w:rPr>
      <w:rFonts w:ascii="宋体"/>
      <w:b/>
      <w:kern w:val="0"/>
      <w:sz w:val="20"/>
      <w:szCs w:val="20"/>
    </w:rPr>
  </w:style>
  <w:style w:type="paragraph" w:styleId="9">
    <w:name w:val="heading 8"/>
    <w:basedOn w:val="1"/>
    <w:next w:val="1"/>
    <w:link w:val="36"/>
    <w:qFormat/>
    <w:uiPriority w:val="99"/>
    <w:pPr>
      <w:keepNext/>
      <w:keepLines/>
      <w:numPr>
        <w:ilvl w:val="7"/>
        <w:numId w:val="1"/>
      </w:numPr>
      <w:autoSpaceDE w:val="0"/>
      <w:autoSpaceDN w:val="0"/>
      <w:adjustRightInd w:val="0"/>
      <w:spacing w:before="240" w:after="64" w:line="319" w:lineRule="auto"/>
      <w:outlineLvl w:val="7"/>
    </w:pPr>
    <w:rPr>
      <w:rFonts w:ascii="Arial" w:hAnsi="Arial" w:eastAsia="黑体"/>
      <w:kern w:val="0"/>
      <w:sz w:val="20"/>
      <w:szCs w:val="20"/>
    </w:rPr>
  </w:style>
  <w:style w:type="paragraph" w:styleId="10">
    <w:name w:val="heading 9"/>
    <w:basedOn w:val="1"/>
    <w:next w:val="1"/>
    <w:link w:val="40"/>
    <w:qFormat/>
    <w:uiPriority w:val="99"/>
    <w:pPr>
      <w:keepNext/>
      <w:keepLines/>
      <w:numPr>
        <w:ilvl w:val="8"/>
        <w:numId w:val="1"/>
      </w:numPr>
      <w:autoSpaceDE w:val="0"/>
      <w:autoSpaceDN w:val="0"/>
      <w:adjustRightInd w:val="0"/>
      <w:spacing w:before="240" w:after="64" w:line="319" w:lineRule="auto"/>
      <w:outlineLvl w:val="8"/>
    </w:pPr>
    <w:rPr>
      <w:rFonts w:ascii="Arial" w:hAnsi="Arial" w:eastAsia="黑体"/>
      <w:kern w:val="0"/>
      <w:sz w:val="20"/>
      <w:szCs w:val="20"/>
    </w:rPr>
  </w:style>
  <w:style w:type="character" w:default="1" w:styleId="24">
    <w:name w:val="Default Paragraph Font"/>
    <w:semiHidden/>
    <w:unhideWhenUsed/>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11">
    <w:name w:val="Normal Indent"/>
    <w:basedOn w:val="1"/>
    <w:qFormat/>
    <w:uiPriority w:val="99"/>
    <w:pPr>
      <w:ind w:firstLine="420" w:firstLineChars="200"/>
    </w:pPr>
  </w:style>
  <w:style w:type="paragraph" w:styleId="12">
    <w:name w:val="Document Map"/>
    <w:basedOn w:val="1"/>
    <w:link w:val="29"/>
    <w:semiHidden/>
    <w:qFormat/>
    <w:uiPriority w:val="99"/>
    <w:rPr>
      <w:rFonts w:ascii="宋体"/>
      <w:kern w:val="0"/>
      <w:sz w:val="18"/>
      <w:szCs w:val="18"/>
    </w:rPr>
  </w:style>
  <w:style w:type="paragraph" w:styleId="13">
    <w:name w:val="annotation text"/>
    <w:basedOn w:val="1"/>
    <w:link w:val="32"/>
    <w:qFormat/>
    <w:uiPriority w:val="0"/>
    <w:pPr>
      <w:jc w:val="left"/>
    </w:pPr>
  </w:style>
  <w:style w:type="paragraph" w:styleId="14">
    <w:name w:val="Body Text Indent"/>
    <w:basedOn w:val="1"/>
    <w:link w:val="39"/>
    <w:semiHidden/>
    <w:qFormat/>
    <w:uiPriority w:val="99"/>
    <w:pPr>
      <w:spacing w:after="120"/>
      <w:ind w:left="420" w:leftChars="200"/>
    </w:pPr>
    <w:rPr>
      <w:kern w:val="0"/>
      <w:sz w:val="24"/>
    </w:rPr>
  </w:style>
  <w:style w:type="paragraph" w:styleId="15">
    <w:name w:val="Body Text Indent 2"/>
    <w:basedOn w:val="1"/>
    <w:link w:val="44"/>
    <w:qFormat/>
    <w:uiPriority w:val="99"/>
    <w:pPr>
      <w:spacing w:line="360" w:lineRule="auto"/>
      <w:ind w:firstLine="560" w:firstLineChars="200"/>
    </w:pPr>
    <w:rPr>
      <w:rFonts w:eastAsia="仿宋_GB2312"/>
      <w:kern w:val="0"/>
      <w:sz w:val="24"/>
    </w:rPr>
  </w:style>
  <w:style w:type="paragraph" w:styleId="16">
    <w:name w:val="Balloon Text"/>
    <w:basedOn w:val="1"/>
    <w:link w:val="43"/>
    <w:semiHidden/>
    <w:qFormat/>
    <w:uiPriority w:val="99"/>
    <w:rPr>
      <w:kern w:val="0"/>
      <w:sz w:val="16"/>
      <w:szCs w:val="16"/>
    </w:rPr>
  </w:style>
  <w:style w:type="paragraph" w:styleId="17">
    <w:name w:val="footer"/>
    <w:basedOn w:val="1"/>
    <w:link w:val="41"/>
    <w:qFormat/>
    <w:uiPriority w:val="99"/>
    <w:pPr>
      <w:tabs>
        <w:tab w:val="center" w:pos="4153"/>
        <w:tab w:val="right" w:pos="8306"/>
      </w:tabs>
      <w:snapToGrid w:val="0"/>
      <w:jc w:val="left"/>
    </w:pPr>
    <w:rPr>
      <w:rFonts w:ascii="Calibri" w:hAnsi="Calibri"/>
      <w:kern w:val="0"/>
      <w:sz w:val="18"/>
      <w:szCs w:val="18"/>
    </w:rPr>
  </w:style>
  <w:style w:type="paragraph" w:styleId="18">
    <w:name w:val="header"/>
    <w:basedOn w:val="1"/>
    <w:link w:val="37"/>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9">
    <w:name w:val="toc 1"/>
    <w:basedOn w:val="1"/>
    <w:next w:val="1"/>
    <w:qFormat/>
    <w:uiPriority w:val="39"/>
  </w:style>
  <w:style w:type="paragraph" w:styleId="20">
    <w:name w:val="toc 2"/>
    <w:basedOn w:val="1"/>
    <w:next w:val="1"/>
    <w:qFormat/>
    <w:uiPriority w:val="39"/>
    <w:pPr>
      <w:tabs>
        <w:tab w:val="left" w:pos="1050"/>
        <w:tab w:val="right" w:leader="dot" w:pos="8494"/>
      </w:tabs>
      <w:ind w:left="420" w:leftChars="200"/>
    </w:pPr>
  </w:style>
  <w:style w:type="paragraph" w:styleId="21">
    <w:name w:val="Normal (Web)"/>
    <w:basedOn w:val="1"/>
    <w:qFormat/>
    <w:uiPriority w:val="99"/>
    <w:pPr>
      <w:widowControl/>
      <w:spacing w:before="100" w:beforeAutospacing="1" w:after="100" w:afterAutospacing="1"/>
      <w:jc w:val="left"/>
    </w:pPr>
    <w:rPr>
      <w:rFonts w:ascii="Arial Unicode MS" w:hAnsi="Arial Unicode MS" w:cs="Arial Unicode MS"/>
      <w:color w:val="000000"/>
      <w:kern w:val="0"/>
      <w:sz w:val="24"/>
    </w:rPr>
  </w:style>
  <w:style w:type="paragraph" w:styleId="22">
    <w:name w:val="annotation subject"/>
    <w:basedOn w:val="13"/>
    <w:next w:val="13"/>
    <w:semiHidden/>
    <w:uiPriority w:val="0"/>
    <w:rPr>
      <w:b/>
      <w:bCs/>
    </w:rPr>
  </w:style>
  <w:style w:type="character" w:styleId="25">
    <w:name w:val="page number"/>
    <w:qFormat/>
    <w:uiPriority w:val="99"/>
    <w:rPr>
      <w:rFonts w:cs="Times New Roman"/>
    </w:rPr>
  </w:style>
  <w:style w:type="character" w:styleId="26">
    <w:name w:val="Emphasis"/>
    <w:qFormat/>
    <w:uiPriority w:val="99"/>
    <w:rPr>
      <w:rFonts w:cs="Times New Roman"/>
      <w:color w:val="CC0000"/>
    </w:rPr>
  </w:style>
  <w:style w:type="character" w:styleId="27">
    <w:name w:val="Hyperlink"/>
    <w:qFormat/>
    <w:uiPriority w:val="99"/>
    <w:rPr>
      <w:rFonts w:cs="Times New Roman"/>
      <w:color w:val="0000FF"/>
      <w:u w:val="single"/>
    </w:rPr>
  </w:style>
  <w:style w:type="character" w:styleId="28">
    <w:name w:val="annotation reference"/>
    <w:qFormat/>
    <w:uiPriority w:val="0"/>
    <w:rPr>
      <w:sz w:val="21"/>
      <w:szCs w:val="21"/>
    </w:rPr>
  </w:style>
  <w:style w:type="character" w:customStyle="1" w:styleId="29">
    <w:name w:val="文档结构图 字符"/>
    <w:link w:val="12"/>
    <w:semiHidden/>
    <w:qFormat/>
    <w:locked/>
    <w:uiPriority w:val="99"/>
    <w:rPr>
      <w:rFonts w:ascii="宋体" w:hAnsi="Times New Roman" w:eastAsia="宋体" w:cs="Times New Roman"/>
      <w:sz w:val="18"/>
      <w:szCs w:val="18"/>
    </w:rPr>
  </w:style>
  <w:style w:type="character" w:customStyle="1" w:styleId="30">
    <w:name w:val="标题 4 字符"/>
    <w:link w:val="5"/>
    <w:qFormat/>
    <w:locked/>
    <w:uiPriority w:val="99"/>
    <w:rPr>
      <w:rFonts w:ascii="Arial" w:hAnsi="Arial" w:eastAsia="黑体" w:cs="Times New Roman"/>
      <w:b/>
      <w:kern w:val="0"/>
      <w:sz w:val="20"/>
      <w:szCs w:val="20"/>
    </w:rPr>
  </w:style>
  <w:style w:type="character" w:customStyle="1" w:styleId="31">
    <w:name w:val="apple-converted-space"/>
    <w:qFormat/>
    <w:uiPriority w:val="99"/>
    <w:rPr>
      <w:rFonts w:cs="Times New Roman"/>
    </w:rPr>
  </w:style>
  <w:style w:type="character" w:customStyle="1" w:styleId="32">
    <w:name w:val="批注文字 字符"/>
    <w:link w:val="13"/>
    <w:qFormat/>
    <w:uiPriority w:val="0"/>
    <w:rPr>
      <w:rFonts w:ascii="Times New Roman" w:hAnsi="Times New Roman"/>
      <w:kern w:val="2"/>
      <w:sz w:val="21"/>
      <w:szCs w:val="24"/>
    </w:rPr>
  </w:style>
  <w:style w:type="character" w:customStyle="1" w:styleId="33">
    <w:name w:val="标题 7 字符"/>
    <w:link w:val="8"/>
    <w:qFormat/>
    <w:locked/>
    <w:uiPriority w:val="99"/>
    <w:rPr>
      <w:rFonts w:ascii="宋体" w:hAnsi="Times New Roman" w:eastAsia="宋体" w:cs="Times New Roman"/>
      <w:b/>
      <w:kern w:val="0"/>
      <w:sz w:val="20"/>
      <w:szCs w:val="20"/>
    </w:rPr>
  </w:style>
  <w:style w:type="character" w:customStyle="1" w:styleId="34">
    <w:name w:val="标题 2 字符"/>
    <w:link w:val="3"/>
    <w:qFormat/>
    <w:locked/>
    <w:uiPriority w:val="99"/>
    <w:rPr>
      <w:rFonts w:ascii="Arial" w:hAnsi="Arial" w:eastAsia="黑体"/>
      <w:b/>
      <w:bCs/>
      <w:kern w:val="2"/>
      <w:sz w:val="32"/>
      <w:szCs w:val="32"/>
    </w:rPr>
  </w:style>
  <w:style w:type="character" w:customStyle="1" w:styleId="35">
    <w:name w:val="标题 6 字符"/>
    <w:link w:val="7"/>
    <w:qFormat/>
    <w:locked/>
    <w:uiPriority w:val="99"/>
    <w:rPr>
      <w:rFonts w:ascii="Arial" w:hAnsi="Arial" w:eastAsia="黑体" w:cs="Times New Roman"/>
      <w:b/>
      <w:kern w:val="0"/>
      <w:sz w:val="20"/>
      <w:szCs w:val="20"/>
    </w:rPr>
  </w:style>
  <w:style w:type="character" w:customStyle="1" w:styleId="36">
    <w:name w:val="标题 8 字符"/>
    <w:link w:val="9"/>
    <w:qFormat/>
    <w:locked/>
    <w:uiPriority w:val="99"/>
    <w:rPr>
      <w:rFonts w:ascii="Arial" w:hAnsi="Arial" w:eastAsia="黑体" w:cs="Times New Roman"/>
      <w:kern w:val="0"/>
      <w:sz w:val="20"/>
      <w:szCs w:val="20"/>
    </w:rPr>
  </w:style>
  <w:style w:type="character" w:customStyle="1" w:styleId="37">
    <w:name w:val="页眉 字符"/>
    <w:link w:val="18"/>
    <w:qFormat/>
    <w:locked/>
    <w:uiPriority w:val="99"/>
    <w:rPr>
      <w:rFonts w:cs="Times New Roman"/>
      <w:sz w:val="18"/>
      <w:szCs w:val="18"/>
    </w:rPr>
  </w:style>
  <w:style w:type="character" w:customStyle="1" w:styleId="38">
    <w:name w:val="read"/>
    <w:qFormat/>
    <w:uiPriority w:val="99"/>
    <w:rPr>
      <w:rFonts w:cs="Times New Roman"/>
    </w:rPr>
  </w:style>
  <w:style w:type="character" w:customStyle="1" w:styleId="39">
    <w:name w:val="正文文本缩进 字符"/>
    <w:link w:val="14"/>
    <w:semiHidden/>
    <w:qFormat/>
    <w:locked/>
    <w:uiPriority w:val="99"/>
    <w:rPr>
      <w:rFonts w:ascii="Times New Roman" w:hAnsi="Times New Roman" w:eastAsia="宋体" w:cs="Times New Roman"/>
      <w:sz w:val="24"/>
      <w:szCs w:val="24"/>
    </w:rPr>
  </w:style>
  <w:style w:type="character" w:customStyle="1" w:styleId="40">
    <w:name w:val="标题 9 字符"/>
    <w:link w:val="10"/>
    <w:qFormat/>
    <w:locked/>
    <w:uiPriority w:val="99"/>
    <w:rPr>
      <w:rFonts w:ascii="Arial" w:hAnsi="Arial" w:eastAsia="黑体" w:cs="Times New Roman"/>
      <w:kern w:val="0"/>
      <w:sz w:val="20"/>
      <w:szCs w:val="20"/>
    </w:rPr>
  </w:style>
  <w:style w:type="character" w:customStyle="1" w:styleId="41">
    <w:name w:val="页脚 字符"/>
    <w:link w:val="17"/>
    <w:qFormat/>
    <w:locked/>
    <w:uiPriority w:val="99"/>
    <w:rPr>
      <w:rFonts w:cs="Times New Roman"/>
      <w:sz w:val="18"/>
      <w:szCs w:val="18"/>
    </w:rPr>
  </w:style>
  <w:style w:type="character" w:customStyle="1" w:styleId="42">
    <w:name w:val="标题 5 字符"/>
    <w:link w:val="6"/>
    <w:qFormat/>
    <w:locked/>
    <w:uiPriority w:val="99"/>
    <w:rPr>
      <w:rFonts w:ascii="宋体" w:hAnsi="Times New Roman" w:eastAsia="宋体" w:cs="Times New Roman"/>
      <w:b/>
      <w:kern w:val="0"/>
      <w:sz w:val="20"/>
      <w:szCs w:val="20"/>
    </w:rPr>
  </w:style>
  <w:style w:type="character" w:customStyle="1" w:styleId="43">
    <w:name w:val="批注框文本 字符"/>
    <w:link w:val="16"/>
    <w:semiHidden/>
    <w:qFormat/>
    <w:uiPriority w:val="99"/>
    <w:rPr>
      <w:rFonts w:ascii="Times New Roman" w:hAnsi="Times New Roman"/>
      <w:sz w:val="16"/>
      <w:szCs w:val="0"/>
    </w:rPr>
  </w:style>
  <w:style w:type="character" w:customStyle="1" w:styleId="44">
    <w:name w:val="正文文本缩进 2 字符"/>
    <w:link w:val="15"/>
    <w:qFormat/>
    <w:locked/>
    <w:uiPriority w:val="99"/>
    <w:rPr>
      <w:rFonts w:ascii="Times New Roman" w:hAnsi="Times New Roman" w:eastAsia="仿宋_GB2312" w:cs="Times New Roman"/>
      <w:sz w:val="24"/>
      <w:szCs w:val="24"/>
    </w:rPr>
  </w:style>
  <w:style w:type="character" w:customStyle="1" w:styleId="45">
    <w:name w:val="标题 1 字符"/>
    <w:link w:val="2"/>
    <w:qFormat/>
    <w:locked/>
    <w:uiPriority w:val="99"/>
    <w:rPr>
      <w:rFonts w:ascii="Times New Roman" w:hAnsi="Times New Roman" w:eastAsia="宋体" w:cs="Times New Roman"/>
      <w:b/>
      <w:bCs/>
      <w:kern w:val="44"/>
      <w:sz w:val="44"/>
      <w:szCs w:val="44"/>
    </w:rPr>
  </w:style>
  <w:style w:type="character" w:customStyle="1" w:styleId="46">
    <w:name w:val="标题 3 字符"/>
    <w:link w:val="4"/>
    <w:qFormat/>
    <w:locked/>
    <w:uiPriority w:val="99"/>
    <w:rPr>
      <w:rFonts w:ascii="Times New Roman" w:hAnsi="Times New Roman" w:eastAsia="宋体" w:cs="Times New Roman"/>
      <w:b/>
      <w:bCs/>
      <w:sz w:val="32"/>
      <w:szCs w:val="32"/>
    </w:rPr>
  </w:style>
  <w:style w:type="paragraph" w:customStyle="1" w:styleId="47">
    <w:name w:val="列出段落1"/>
    <w:basedOn w:val="1"/>
    <w:qFormat/>
    <w:uiPriority w:val="99"/>
    <w:pPr>
      <w:ind w:firstLine="420" w:firstLineChars="200"/>
    </w:pPr>
  </w:style>
  <w:style w:type="paragraph" w:customStyle="1" w:styleId="48">
    <w:name w:val="TOC 标题1"/>
    <w:basedOn w:val="2"/>
    <w:next w:val="1"/>
    <w:qFormat/>
    <w:uiPriority w:val="99"/>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49">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50">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4423</Words>
  <Characters>25215</Characters>
  <Lines>210</Lines>
  <Paragraphs>59</Paragraphs>
  <TotalTime>3</TotalTime>
  <ScaleCrop>false</ScaleCrop>
  <LinksUpToDate>false</LinksUpToDate>
  <CharactersWithSpaces>29579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2019-12-20T08:13:00Z</dcterms:created>
  <dc:creator>User</dc:creator>
  <cp:lastModifiedBy>fuxj</cp:lastModifiedBy>
  <cp:lastPrinted>2016-01-26T02:41:00Z</cp:lastPrinted>
  <dcterms:modified xsi:type="dcterms:W3CDTF">2024-09-30T06:12:20Z</dcterms:modified>
  <dc:title>建信小盘成长股票型证券投资基金</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0AE8D7798764415BAA28C7FBE6414148_12</vt:lpwstr>
  </property>
</Properties>
</file>