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531706">
      <w:pPr>
        <w:spacing w:line="360" w:lineRule="auto"/>
        <w:jc w:val="center"/>
        <w:rPr>
          <w:rFonts w:asciiTheme="majorEastAsia" w:hAnsiTheme="majorEastAsia" w:eastAsiaTheme="majorEastAsia"/>
          <w:b/>
          <w:sz w:val="28"/>
          <w:szCs w:val="28"/>
        </w:rPr>
      </w:pPr>
      <w:r>
        <w:rPr>
          <w:rFonts w:hint="eastAsia" w:asciiTheme="majorEastAsia" w:hAnsiTheme="majorEastAsia" w:eastAsiaTheme="majorEastAsia"/>
          <w:b/>
          <w:sz w:val="28"/>
          <w:szCs w:val="28"/>
        </w:rPr>
        <w:t>博时基金管理有限公司关于</w:t>
      </w:r>
      <w:r>
        <w:rPr>
          <w:rFonts w:hint="eastAsia"/>
          <w:b/>
          <w:sz w:val="28"/>
          <w:szCs w:val="28"/>
          <w:lang w:eastAsia="zh-CN"/>
        </w:rPr>
        <w:t>博时移动互联主题混合型</w:t>
      </w:r>
      <w:r>
        <w:rPr>
          <w:rFonts w:hint="eastAsia"/>
          <w:b/>
          <w:sz w:val="28"/>
          <w:szCs w:val="28"/>
        </w:rPr>
        <w:t>证券投资基金</w:t>
      </w:r>
      <w:r>
        <w:rPr>
          <w:rFonts w:hint="eastAsia" w:asciiTheme="majorEastAsia" w:hAnsiTheme="majorEastAsia" w:eastAsiaTheme="majorEastAsia"/>
          <w:b/>
          <w:sz w:val="28"/>
          <w:szCs w:val="28"/>
        </w:rPr>
        <w:t>基金份额持有人大会（二次召开）表决结果暨决议生效的公告</w:t>
      </w:r>
    </w:p>
    <w:p w14:paraId="762CE2BF">
      <w:pPr>
        <w:spacing w:line="420" w:lineRule="exact"/>
        <w:ind w:firstLine="420" w:firstLineChars="200"/>
        <w:rPr>
          <w:rFonts w:cs="华文仿宋" w:asciiTheme="minorEastAsia" w:hAnsiTheme="minorEastAsia"/>
          <w:kern w:val="0"/>
          <w:szCs w:val="21"/>
        </w:rPr>
      </w:pPr>
    </w:p>
    <w:p w14:paraId="4E319AD9">
      <w:pPr>
        <w:spacing w:line="360" w:lineRule="auto"/>
        <w:ind w:firstLine="420" w:firstLineChars="200"/>
      </w:pPr>
      <w:r>
        <w:rPr>
          <w:rFonts w:hint="eastAsia"/>
        </w:rPr>
        <w:t>根据《中华人民共和国证券投资基金法》、《公开募集证券投资基金运作管理办法》等法律法规的规定和《</w:t>
      </w:r>
      <w:r>
        <w:rPr>
          <w:rFonts w:hint="eastAsia"/>
          <w:lang w:eastAsia="zh-CN"/>
        </w:rPr>
        <w:t>博时移动互联主题混合型</w:t>
      </w:r>
      <w:r>
        <w:rPr>
          <w:rFonts w:hint="eastAsia"/>
        </w:rPr>
        <w:t>证券投资基金基金合同》（以下简称“《基金合同》”）的相关约定，现将博时基金管理有限公司（以下简称“本公司”）旗下</w:t>
      </w:r>
      <w:r>
        <w:rPr>
          <w:rFonts w:hint="eastAsia"/>
          <w:lang w:eastAsia="zh-CN"/>
        </w:rPr>
        <w:t>博时移动互联主题混合型</w:t>
      </w:r>
      <w:r>
        <w:rPr>
          <w:rFonts w:hint="eastAsia"/>
        </w:rPr>
        <w:t>证券投资基金（以下简称“本基金”）基金份额持有人大会的相关事项公告如下：</w:t>
      </w:r>
    </w:p>
    <w:p w14:paraId="093B28A2">
      <w:pPr>
        <w:numPr>
          <w:ilvl w:val="0"/>
          <w:numId w:val="1"/>
        </w:numPr>
        <w:spacing w:line="420" w:lineRule="exact"/>
        <w:ind w:firstLine="42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本次基金</w:t>
      </w:r>
      <w:bookmarkStart w:id="0" w:name="_Hlk11415995"/>
      <w:r>
        <w:rPr>
          <w:rFonts w:hint="eastAsia" w:cs="Times New Roman" w:asciiTheme="majorEastAsia" w:hAnsiTheme="majorEastAsia" w:eastAsiaTheme="majorEastAsia"/>
          <w:szCs w:val="21"/>
          <w:lang w:val="en-US" w:eastAsia="zh-CN"/>
        </w:rPr>
        <w:t>份额</w:t>
      </w:r>
      <w:r>
        <w:rPr>
          <w:rFonts w:hint="eastAsia" w:cs="Times New Roman" w:asciiTheme="majorEastAsia" w:hAnsiTheme="majorEastAsia" w:eastAsiaTheme="majorEastAsia"/>
          <w:szCs w:val="21"/>
        </w:rPr>
        <w:t>持有人大会</w:t>
      </w:r>
      <w:bookmarkEnd w:id="0"/>
      <w:r>
        <w:rPr>
          <w:rFonts w:hint="eastAsia" w:cs="Times New Roman" w:asciiTheme="majorEastAsia" w:hAnsiTheme="majorEastAsia" w:eastAsiaTheme="majorEastAsia"/>
          <w:szCs w:val="21"/>
        </w:rPr>
        <w:t>会议情况</w:t>
      </w:r>
    </w:p>
    <w:p w14:paraId="703651DA">
      <w:pPr>
        <w:pStyle w:val="6"/>
        <w:spacing w:line="360" w:lineRule="auto"/>
        <w:ind w:firstLine="420"/>
        <w:rPr>
          <w:rFonts w:hint="eastAsia" w:ascii="宋体" w:hAnsi="宋体" w:eastAsia="宋体" w:cs="宋体"/>
          <w:sz w:val="21"/>
          <w:szCs w:val="21"/>
        </w:rPr>
      </w:pPr>
      <w:r>
        <w:rPr>
          <w:rFonts w:hint="eastAsia" w:ascii="宋体" w:hAnsi="宋体" w:eastAsia="宋体" w:cs="宋体"/>
          <w:sz w:val="21"/>
          <w:szCs w:val="21"/>
        </w:rPr>
        <w:t>本基金以通讯方式</w:t>
      </w:r>
      <w:r>
        <w:rPr>
          <w:rFonts w:hint="eastAsia" w:ascii="宋体" w:hAnsi="宋体" w:eastAsia="宋体" w:cs="宋体"/>
          <w:sz w:val="21"/>
          <w:szCs w:val="21"/>
          <w:lang w:val="en-US" w:eastAsia="zh-CN"/>
        </w:rPr>
        <w:t>二次</w:t>
      </w:r>
      <w:r>
        <w:rPr>
          <w:rFonts w:hint="eastAsia" w:ascii="宋体" w:hAnsi="宋体" w:eastAsia="宋体" w:cs="宋体"/>
          <w:sz w:val="21"/>
          <w:szCs w:val="21"/>
        </w:rPr>
        <w:t>召开了基金份额持有人大会，</w:t>
      </w:r>
      <w:r>
        <w:rPr>
          <w:rFonts w:hint="eastAsia" w:cs="宋体"/>
          <w:i w:val="0"/>
          <w:iCs w:val="0"/>
          <w:sz w:val="21"/>
          <w:szCs w:val="21"/>
          <w:u w:val="none"/>
        </w:rPr>
        <w:t>审议</w:t>
      </w:r>
      <w:r>
        <w:rPr>
          <w:rFonts w:hint="eastAsia" w:cs="宋体"/>
          <w:i w:val="0"/>
          <w:iCs w:val="0"/>
          <w:sz w:val="21"/>
          <w:szCs w:val="21"/>
          <w:u w:val="none"/>
          <w:lang w:eastAsia="zh-CN"/>
        </w:rPr>
        <w:t>了</w:t>
      </w:r>
      <w:r>
        <w:rPr>
          <w:rFonts w:hint="eastAsia" w:cs="宋体"/>
          <w:i w:val="0"/>
          <w:iCs w:val="0"/>
          <w:sz w:val="21"/>
          <w:szCs w:val="21"/>
          <w:u w:val="none"/>
        </w:rPr>
        <w:t>《</w:t>
      </w:r>
      <w:r>
        <w:rPr>
          <w:rStyle w:val="11"/>
          <w:rFonts w:hint="eastAsia" w:cs="宋体"/>
          <w:i w:val="0"/>
          <w:iCs w:val="0"/>
          <w:sz w:val="21"/>
          <w:szCs w:val="21"/>
          <w:u w:val="none"/>
        </w:rPr>
        <w:t>关于博时移动互联主题混合型证券投资基金修改基金合同终止条款的议案</w:t>
      </w:r>
      <w:r>
        <w:rPr>
          <w:rFonts w:hint="eastAsia" w:cs="宋体"/>
          <w:i w:val="0"/>
          <w:iCs w:val="0"/>
          <w:sz w:val="21"/>
          <w:szCs w:val="21"/>
          <w:u w:val="none"/>
        </w:rPr>
        <w:t>》，权益登记日为</w:t>
      </w:r>
      <w:r>
        <w:rPr>
          <w:rStyle w:val="11"/>
          <w:rFonts w:hint="eastAsia" w:cs="宋体"/>
          <w:i w:val="0"/>
          <w:iCs w:val="0"/>
          <w:sz w:val="21"/>
          <w:szCs w:val="21"/>
          <w:u w:val="none"/>
        </w:rPr>
        <w:t>2026年</w:t>
      </w:r>
      <w:r>
        <w:rPr>
          <w:rStyle w:val="11"/>
          <w:rFonts w:hint="eastAsia" w:cs="宋体"/>
          <w:i w:val="0"/>
          <w:iCs w:val="0"/>
          <w:sz w:val="21"/>
          <w:szCs w:val="21"/>
          <w:u w:val="none"/>
          <w:lang w:val="en-US" w:eastAsia="zh-CN"/>
        </w:rPr>
        <w:t>3</w:t>
      </w:r>
      <w:r>
        <w:rPr>
          <w:rStyle w:val="11"/>
          <w:rFonts w:hint="eastAsia" w:cs="宋体"/>
          <w:i w:val="0"/>
          <w:iCs w:val="0"/>
          <w:sz w:val="21"/>
          <w:szCs w:val="21"/>
          <w:u w:val="none"/>
        </w:rPr>
        <w:t>月</w:t>
      </w:r>
      <w:r>
        <w:rPr>
          <w:rStyle w:val="11"/>
          <w:rFonts w:hint="eastAsia" w:cs="宋体"/>
          <w:i w:val="0"/>
          <w:iCs w:val="0"/>
          <w:sz w:val="21"/>
          <w:szCs w:val="21"/>
          <w:u w:val="none"/>
          <w:lang w:val="en-US" w:eastAsia="zh-CN"/>
        </w:rPr>
        <w:t>9</w:t>
      </w:r>
      <w:r>
        <w:rPr>
          <w:rStyle w:val="11"/>
          <w:rFonts w:hint="eastAsia" w:cs="宋体"/>
          <w:i w:val="0"/>
          <w:iCs w:val="0"/>
          <w:sz w:val="21"/>
          <w:szCs w:val="21"/>
          <w:u w:val="none"/>
        </w:rPr>
        <w:t>日</w:t>
      </w:r>
      <w:r>
        <w:rPr>
          <w:rFonts w:hint="eastAsia" w:cs="宋体"/>
          <w:i w:val="0"/>
          <w:iCs w:val="0"/>
          <w:sz w:val="21"/>
          <w:szCs w:val="21"/>
          <w:u w:val="none"/>
        </w:rPr>
        <w:t>，投票时间</w:t>
      </w:r>
      <w:r>
        <w:rPr>
          <w:rFonts w:hint="eastAsia" w:cs="宋体"/>
          <w:i w:val="0"/>
          <w:iCs w:val="0"/>
          <w:sz w:val="21"/>
          <w:szCs w:val="21"/>
          <w:u w:val="none"/>
          <w:lang w:val="en-US" w:eastAsia="zh-CN"/>
        </w:rPr>
        <w:t>自</w:t>
      </w:r>
      <w:r>
        <w:rPr>
          <w:rStyle w:val="11"/>
          <w:rFonts w:hint="eastAsia" w:cs="宋体"/>
          <w:i w:val="0"/>
          <w:iCs w:val="0"/>
          <w:sz w:val="21"/>
          <w:szCs w:val="21"/>
          <w:u w:val="none"/>
        </w:rPr>
        <w:t>2026年7月</w:t>
      </w:r>
      <w:r>
        <w:rPr>
          <w:rStyle w:val="11"/>
          <w:rFonts w:hint="eastAsia" w:cs="宋体"/>
          <w:i w:val="0"/>
          <w:iCs w:val="0"/>
          <w:sz w:val="21"/>
          <w:szCs w:val="21"/>
          <w:u w:val="none"/>
          <w:lang w:eastAsia="zh-CN"/>
        </w:rPr>
        <w:t>8</w:t>
      </w:r>
      <w:r>
        <w:rPr>
          <w:rStyle w:val="11"/>
          <w:rFonts w:hint="eastAsia" w:cs="宋体"/>
          <w:i w:val="0"/>
          <w:iCs w:val="0"/>
          <w:sz w:val="21"/>
          <w:szCs w:val="21"/>
          <w:u w:val="none"/>
        </w:rPr>
        <w:t>日</w:t>
      </w:r>
      <w:r>
        <w:rPr>
          <w:rFonts w:hint="eastAsia" w:cs="宋体"/>
          <w:i w:val="0"/>
          <w:iCs w:val="0"/>
          <w:sz w:val="21"/>
          <w:szCs w:val="21"/>
          <w:u w:val="none"/>
        </w:rPr>
        <w:t>起，至</w:t>
      </w:r>
      <w:r>
        <w:rPr>
          <w:rStyle w:val="11"/>
          <w:rFonts w:hint="eastAsia" w:cs="宋体"/>
          <w:i w:val="0"/>
          <w:iCs w:val="0"/>
          <w:sz w:val="21"/>
          <w:szCs w:val="21"/>
          <w:u w:val="none"/>
        </w:rPr>
        <w:t>2026年8月6日</w:t>
      </w:r>
      <w:r>
        <w:rPr>
          <w:rFonts w:hint="eastAsia" w:cs="宋体"/>
          <w:i w:val="0"/>
          <w:iCs w:val="0"/>
          <w:sz w:val="21"/>
          <w:szCs w:val="21"/>
          <w:u w:val="none"/>
        </w:rPr>
        <w:t>17：00止（送达时间以基金管理人收到表决票时间为准）。</w:t>
      </w:r>
      <w:r>
        <w:rPr>
          <w:rFonts w:hint="eastAsia" w:ascii="宋体" w:hAnsi="宋体" w:eastAsia="宋体" w:cs="宋体"/>
          <w:sz w:val="21"/>
          <w:szCs w:val="21"/>
        </w:rPr>
        <w:t>本次基金份额持有人大会中，截至本次基金份额持有人大会权益登记日202</w:t>
      </w:r>
      <w:r>
        <w:rPr>
          <w:rFonts w:hint="eastAsia" w:ascii="宋体" w:hAnsi="宋体" w:eastAsia="宋体" w:cs="宋体"/>
          <w:sz w:val="21"/>
          <w:szCs w:val="21"/>
          <w:lang w:val="en-US" w:eastAsia="zh-CN"/>
        </w:rPr>
        <w:t>6</w:t>
      </w:r>
      <w:r>
        <w:rPr>
          <w:rFonts w:hint="eastAsia" w:ascii="宋体" w:hAnsi="宋体" w:eastAsia="宋体" w:cs="宋体"/>
          <w:sz w:val="21"/>
          <w:szCs w:val="21"/>
        </w:rPr>
        <w:t>年</w:t>
      </w:r>
      <w:r>
        <w:rPr>
          <w:rFonts w:hint="eastAsia" w:ascii="宋体" w:hAnsi="宋体" w:eastAsia="宋体" w:cs="宋体"/>
          <w:sz w:val="21"/>
          <w:szCs w:val="21"/>
          <w:lang w:val="en-US" w:eastAsia="zh-CN"/>
        </w:rPr>
        <w:t>3</w:t>
      </w:r>
      <w:r>
        <w:rPr>
          <w:rFonts w:hint="eastAsia" w:ascii="宋体" w:hAnsi="宋体" w:eastAsia="宋体" w:cs="宋体"/>
          <w:sz w:val="21"/>
          <w:szCs w:val="21"/>
        </w:rPr>
        <w:t>月</w:t>
      </w:r>
      <w:r>
        <w:rPr>
          <w:rFonts w:hint="eastAsia" w:ascii="宋体" w:hAnsi="宋体" w:eastAsia="宋体" w:cs="宋体"/>
          <w:sz w:val="21"/>
          <w:szCs w:val="21"/>
          <w:lang w:val="en-US" w:eastAsia="zh-CN"/>
        </w:rPr>
        <w:t>9</w:t>
      </w:r>
      <w:r>
        <w:rPr>
          <w:rFonts w:hint="eastAsia" w:ascii="宋体" w:hAnsi="宋体" w:eastAsia="宋体" w:cs="宋体"/>
          <w:sz w:val="21"/>
          <w:szCs w:val="21"/>
        </w:rPr>
        <w:t>日，本基金总份额为34</w:t>
      </w:r>
      <w:r>
        <w:rPr>
          <w:rFonts w:hint="eastAsia" w:ascii="宋体" w:hAnsi="宋体" w:eastAsia="宋体" w:cs="宋体"/>
          <w:sz w:val="21"/>
          <w:szCs w:val="21"/>
          <w:lang w:val="en-US" w:eastAsia="zh-CN"/>
        </w:rPr>
        <w:t>,</w:t>
      </w:r>
      <w:r>
        <w:rPr>
          <w:rFonts w:hint="eastAsia" w:ascii="宋体" w:hAnsi="宋体" w:eastAsia="宋体" w:cs="宋体"/>
          <w:sz w:val="21"/>
          <w:szCs w:val="21"/>
        </w:rPr>
        <w:t>058</w:t>
      </w:r>
      <w:r>
        <w:rPr>
          <w:rFonts w:hint="eastAsia" w:ascii="宋体" w:hAnsi="宋体" w:eastAsia="宋体" w:cs="宋体"/>
          <w:sz w:val="21"/>
          <w:szCs w:val="21"/>
          <w:lang w:val="en-US" w:eastAsia="zh-CN"/>
        </w:rPr>
        <w:t>,</w:t>
      </w:r>
      <w:r>
        <w:rPr>
          <w:rFonts w:hint="eastAsia" w:ascii="宋体" w:hAnsi="宋体" w:eastAsia="宋体" w:cs="宋体"/>
          <w:sz w:val="21"/>
          <w:szCs w:val="21"/>
        </w:rPr>
        <w:t>144.6</w:t>
      </w:r>
      <w:r>
        <w:rPr>
          <w:rFonts w:hint="eastAsia" w:ascii="宋体" w:hAnsi="宋体" w:eastAsia="宋体" w:cs="宋体"/>
          <w:sz w:val="21"/>
          <w:szCs w:val="21"/>
          <w:lang w:val="en-US" w:eastAsia="zh-CN"/>
        </w:rPr>
        <w:t>0</w:t>
      </w:r>
      <w:r>
        <w:rPr>
          <w:rFonts w:hint="eastAsia" w:ascii="宋体" w:hAnsi="宋体" w:eastAsia="宋体" w:cs="宋体"/>
          <w:sz w:val="21"/>
          <w:szCs w:val="21"/>
        </w:rPr>
        <w:t>份；参与表决的基金份额持有人及代理人所代表的基金份额为</w:t>
      </w:r>
      <w:r>
        <w:rPr>
          <w:rFonts w:hint="eastAsia" w:ascii="宋体" w:hAnsi="宋体" w:eastAsia="宋体" w:cs="宋体"/>
          <w:sz w:val="21"/>
          <w:szCs w:val="21"/>
          <w:lang w:val="en-US" w:eastAsia="zh-CN"/>
        </w:rPr>
        <w:t>12,324,476.47</w:t>
      </w:r>
      <w:r>
        <w:rPr>
          <w:rFonts w:hint="eastAsia" w:ascii="宋体" w:hAnsi="宋体" w:eastAsia="宋体" w:cs="宋体"/>
          <w:sz w:val="21"/>
          <w:szCs w:val="21"/>
        </w:rPr>
        <w:t>份，占权益登记日基金总份额的</w:t>
      </w:r>
      <w:r>
        <w:rPr>
          <w:rFonts w:hint="eastAsia" w:ascii="宋体" w:hAnsi="宋体" w:eastAsia="宋体" w:cs="宋体"/>
          <w:sz w:val="21"/>
          <w:szCs w:val="21"/>
          <w:lang w:val="en-US" w:eastAsia="zh-CN"/>
        </w:rPr>
        <w:t>36.19</w:t>
      </w:r>
      <w:r>
        <w:rPr>
          <w:rFonts w:hint="eastAsia" w:ascii="宋体" w:hAnsi="宋体" w:eastAsia="宋体" w:cs="宋体"/>
          <w:sz w:val="21"/>
          <w:szCs w:val="21"/>
        </w:rPr>
        <w:t>%。</w:t>
      </w:r>
      <w:r>
        <w:rPr>
          <w:rFonts w:hint="eastAsia" w:ascii="宋体" w:hAnsi="宋体" w:cs="宋体"/>
          <w:sz w:val="21"/>
          <w:szCs w:val="21"/>
          <w:highlight w:val="none"/>
        </w:rPr>
        <w:t>其中同意票所代表的基金份额为</w:t>
      </w:r>
      <w:r>
        <w:rPr>
          <w:rFonts w:hint="eastAsia" w:ascii="宋体" w:hAnsi="宋体" w:eastAsia="宋体" w:cs="宋体"/>
          <w:sz w:val="21"/>
          <w:szCs w:val="21"/>
          <w:lang w:val="en-US" w:eastAsia="zh-CN"/>
        </w:rPr>
        <w:t>12,324,476.47</w:t>
      </w:r>
      <w:r>
        <w:rPr>
          <w:rFonts w:hint="eastAsia" w:ascii="宋体" w:hAnsi="宋体" w:cs="宋体"/>
          <w:sz w:val="21"/>
          <w:szCs w:val="21"/>
          <w:highlight w:val="none"/>
        </w:rPr>
        <w:t>份，占参与表决的基金份额持有人及代理人所代表的基金份额总数的</w:t>
      </w:r>
      <w:r>
        <w:rPr>
          <w:rFonts w:hint="eastAsia" w:ascii="宋体" w:hAnsi="宋体" w:cs="宋体"/>
          <w:sz w:val="21"/>
          <w:szCs w:val="21"/>
          <w:highlight w:val="none"/>
          <w:lang w:val="en-US" w:eastAsia="zh-CN"/>
        </w:rPr>
        <w:t>100.00</w:t>
      </w:r>
      <w:r>
        <w:rPr>
          <w:rFonts w:hint="eastAsia" w:ascii="宋体" w:hAnsi="宋体" w:cs="宋体"/>
          <w:sz w:val="21"/>
          <w:szCs w:val="21"/>
          <w:highlight w:val="none"/>
        </w:rPr>
        <w:t>%；反对票所代表的基金份额为</w:t>
      </w:r>
      <w:r>
        <w:rPr>
          <w:rFonts w:hint="eastAsia" w:ascii="宋体" w:hAnsi="宋体" w:cs="宋体"/>
          <w:sz w:val="21"/>
          <w:szCs w:val="21"/>
          <w:highlight w:val="none"/>
          <w:lang w:val="en-US" w:eastAsia="zh-CN"/>
        </w:rPr>
        <w:t>0.00</w:t>
      </w:r>
      <w:r>
        <w:rPr>
          <w:rFonts w:hint="eastAsia" w:ascii="宋体" w:hAnsi="宋体" w:cs="宋体"/>
          <w:sz w:val="21"/>
          <w:szCs w:val="21"/>
          <w:highlight w:val="none"/>
        </w:rPr>
        <w:t>份，占参与表决的基金份额持有人及代理人所代表的基金份额总数</w:t>
      </w:r>
      <w:r>
        <w:rPr>
          <w:rFonts w:hint="eastAsia" w:ascii="宋体" w:hAnsi="宋体" w:cs="宋体"/>
          <w:sz w:val="21"/>
          <w:szCs w:val="21"/>
          <w:highlight w:val="none"/>
          <w:lang w:val="en-US" w:eastAsia="zh-CN"/>
        </w:rPr>
        <w:t>的0.00</w:t>
      </w:r>
      <w:r>
        <w:rPr>
          <w:rFonts w:hint="eastAsia" w:ascii="宋体" w:hAnsi="宋体" w:cs="宋体"/>
          <w:sz w:val="21"/>
          <w:szCs w:val="21"/>
          <w:highlight w:val="none"/>
        </w:rPr>
        <w:t>%；弃权票所代表的基金份额为</w:t>
      </w:r>
      <w:r>
        <w:rPr>
          <w:rFonts w:hint="eastAsia" w:ascii="宋体" w:hAnsi="宋体" w:cs="宋体"/>
          <w:sz w:val="21"/>
          <w:szCs w:val="21"/>
          <w:highlight w:val="none"/>
          <w:lang w:val="en-US" w:eastAsia="zh-CN"/>
        </w:rPr>
        <w:t>0.00</w:t>
      </w:r>
      <w:r>
        <w:rPr>
          <w:rFonts w:hint="eastAsia" w:ascii="宋体" w:hAnsi="宋体" w:cs="宋体"/>
          <w:sz w:val="21"/>
          <w:szCs w:val="21"/>
          <w:highlight w:val="none"/>
        </w:rPr>
        <w:t>份，占参与表决的基金份额持有人及代理人所代表的基金份额总数的</w:t>
      </w:r>
      <w:r>
        <w:rPr>
          <w:rFonts w:hint="eastAsia" w:ascii="宋体" w:hAnsi="宋体" w:cs="宋体"/>
          <w:sz w:val="21"/>
          <w:szCs w:val="21"/>
          <w:highlight w:val="none"/>
          <w:lang w:val="en-US" w:eastAsia="zh-CN"/>
        </w:rPr>
        <w:t>0.00</w:t>
      </w:r>
      <w:r>
        <w:rPr>
          <w:rFonts w:hint="eastAsia" w:ascii="宋体" w:hAnsi="宋体" w:cs="宋体"/>
          <w:sz w:val="21"/>
          <w:szCs w:val="21"/>
          <w:highlight w:val="none"/>
        </w:rPr>
        <w:t>%。</w:t>
      </w:r>
    </w:p>
    <w:p w14:paraId="38458633">
      <w:pPr>
        <w:spacing w:line="360" w:lineRule="auto"/>
        <w:ind w:firstLine="420"/>
        <w:rPr>
          <w:rFonts w:hint="eastAsia" w:ascii="宋体" w:hAnsi="宋体" w:eastAsia="宋体" w:cs="宋体"/>
          <w:szCs w:val="21"/>
        </w:rPr>
      </w:pPr>
      <w:r>
        <w:rPr>
          <w:rFonts w:hint="eastAsia" w:ascii="宋体" w:hAnsi="宋体" w:eastAsia="宋体" w:cs="宋体"/>
          <w:szCs w:val="21"/>
        </w:rPr>
        <w:t>参会的基金份额持有人及其代理人所代表的有效基金份额为</w:t>
      </w:r>
      <w:r>
        <w:rPr>
          <w:rFonts w:hint="eastAsia" w:ascii="宋体" w:hAnsi="宋体" w:eastAsia="宋体" w:cs="宋体"/>
          <w:szCs w:val="21"/>
          <w:lang w:val="en-US" w:eastAsia="zh-CN"/>
        </w:rPr>
        <w:t>12,324,476.47</w:t>
      </w:r>
      <w:r>
        <w:rPr>
          <w:rFonts w:hint="eastAsia" w:ascii="宋体" w:hAnsi="宋体" w:eastAsia="宋体" w:cs="宋体"/>
          <w:szCs w:val="21"/>
        </w:rPr>
        <w:t>份（超过权益登记日基金总份额的三分之一），对本次会议议案进行了审议，并全票表决通过，同意本次会议议案的基金份额符合《中华人民共和国证券投资基金法》、《公开募集证券投资基金运作管理办法》和《基金合同》的有关规定，本次会议议案有效通过。</w:t>
      </w:r>
    </w:p>
    <w:p w14:paraId="0F5C5F22">
      <w:pPr>
        <w:spacing w:line="360" w:lineRule="auto"/>
        <w:ind w:firstLine="420"/>
        <w:rPr>
          <w:rFonts w:hint="eastAsia" w:ascii="宋体" w:hAnsi="宋体" w:eastAsia="宋体" w:cs="宋体"/>
          <w:szCs w:val="21"/>
        </w:rPr>
      </w:pPr>
      <w:r>
        <w:rPr>
          <w:rFonts w:hint="eastAsia" w:ascii="宋体" w:hAnsi="宋体" w:eastAsia="宋体" w:cs="宋体"/>
          <w:szCs w:val="21"/>
        </w:rPr>
        <w:t>此次基金份额持有人大会的计票于</w:t>
      </w:r>
      <w:r>
        <w:rPr>
          <w:rStyle w:val="15"/>
          <w:rFonts w:hint="eastAsia" w:ascii="宋体" w:hAnsi="宋体" w:eastAsia="宋体" w:cs="宋体"/>
          <w:szCs w:val="21"/>
        </w:rPr>
        <w:t>202</w:t>
      </w:r>
      <w:r>
        <w:rPr>
          <w:rStyle w:val="15"/>
          <w:rFonts w:hint="eastAsia" w:ascii="宋体" w:hAnsi="宋体" w:eastAsia="宋体" w:cs="宋体"/>
          <w:szCs w:val="21"/>
          <w:lang w:val="en-US" w:eastAsia="zh-CN"/>
        </w:rPr>
        <w:t>6</w:t>
      </w:r>
      <w:r>
        <w:rPr>
          <w:rStyle w:val="15"/>
          <w:rFonts w:hint="eastAsia" w:ascii="宋体" w:hAnsi="宋体" w:eastAsia="宋体" w:cs="宋体"/>
          <w:szCs w:val="21"/>
        </w:rPr>
        <w:t>年</w:t>
      </w:r>
      <w:r>
        <w:rPr>
          <w:rStyle w:val="15"/>
          <w:rFonts w:hint="eastAsia" w:ascii="宋体" w:hAnsi="宋体" w:eastAsia="宋体" w:cs="宋体"/>
          <w:szCs w:val="21"/>
          <w:lang w:val="en-US" w:eastAsia="zh-CN"/>
        </w:rPr>
        <w:t>8</w:t>
      </w:r>
      <w:r>
        <w:rPr>
          <w:rStyle w:val="15"/>
          <w:rFonts w:hint="eastAsia" w:ascii="宋体" w:hAnsi="宋体" w:eastAsia="宋体" w:cs="宋体"/>
          <w:szCs w:val="21"/>
        </w:rPr>
        <w:t>月</w:t>
      </w:r>
      <w:r>
        <w:rPr>
          <w:rStyle w:val="15"/>
          <w:rFonts w:hint="eastAsia" w:ascii="宋体" w:hAnsi="宋体" w:eastAsia="宋体" w:cs="宋体"/>
          <w:szCs w:val="21"/>
          <w:lang w:val="en-US" w:eastAsia="zh-CN"/>
        </w:rPr>
        <w:t>10</w:t>
      </w:r>
      <w:r>
        <w:rPr>
          <w:rStyle w:val="15"/>
          <w:rFonts w:hint="eastAsia" w:ascii="宋体" w:hAnsi="宋体" w:eastAsia="宋体" w:cs="宋体"/>
          <w:szCs w:val="21"/>
        </w:rPr>
        <w:t>日</w:t>
      </w:r>
      <w:r>
        <w:rPr>
          <w:rFonts w:hint="eastAsia" w:ascii="宋体" w:hAnsi="宋体" w:eastAsia="宋体" w:cs="宋体"/>
          <w:szCs w:val="21"/>
        </w:rPr>
        <w:t>在本基金的基金托管人</w:t>
      </w:r>
      <w:r>
        <w:rPr>
          <w:rFonts w:hint="eastAsia" w:ascii="宋体" w:hAnsi="宋体" w:eastAsia="宋体" w:cs="宋体"/>
          <w:szCs w:val="21"/>
          <w:lang w:val="en-US" w:eastAsia="zh-CN"/>
        </w:rPr>
        <w:t>交通</w:t>
      </w:r>
      <w:r>
        <w:rPr>
          <w:rFonts w:hint="eastAsia" w:ascii="宋体" w:hAnsi="宋体" w:eastAsia="宋体" w:cs="宋体"/>
          <w:szCs w:val="21"/>
        </w:rPr>
        <w:t>银行股份有限公司授权代表的监督下进行，并由北京市长安公证处公证员对计票过程及结果进行了公证。本次基金份额持有人大会的公证费10,000元，律师费</w:t>
      </w:r>
      <w:r>
        <w:rPr>
          <w:rFonts w:hint="eastAsia" w:ascii="宋体" w:hAnsi="宋体" w:eastAsia="宋体" w:cs="宋体"/>
          <w:szCs w:val="21"/>
          <w:lang w:val="en-US" w:eastAsia="zh-CN"/>
        </w:rPr>
        <w:t>1</w:t>
      </w:r>
      <w:r>
        <w:rPr>
          <w:rFonts w:hint="eastAsia" w:ascii="宋体" w:hAnsi="宋体" w:eastAsia="宋体" w:cs="宋体"/>
          <w:szCs w:val="21"/>
        </w:rPr>
        <w:t>5,000元，合计</w:t>
      </w:r>
      <w:r>
        <w:rPr>
          <w:rFonts w:hint="eastAsia" w:ascii="宋体" w:hAnsi="宋体" w:eastAsia="宋体" w:cs="宋体"/>
          <w:szCs w:val="21"/>
          <w:lang w:val="en-US" w:eastAsia="zh-CN"/>
        </w:rPr>
        <w:t>2</w:t>
      </w:r>
      <w:r>
        <w:rPr>
          <w:rFonts w:hint="eastAsia" w:ascii="宋体" w:hAnsi="宋体" w:eastAsia="宋体" w:cs="宋体"/>
          <w:szCs w:val="21"/>
        </w:rPr>
        <w:t>5,000元，由基金资产承担。</w:t>
      </w:r>
    </w:p>
    <w:p w14:paraId="74D9B0F4">
      <w:pPr>
        <w:spacing w:line="360" w:lineRule="auto"/>
        <w:ind w:firstLine="420"/>
        <w:rPr>
          <w:rFonts w:hint="eastAsia" w:ascii="宋体" w:hAnsi="宋体" w:eastAsia="宋体" w:cs="宋体"/>
          <w:szCs w:val="21"/>
        </w:rPr>
      </w:pPr>
      <w:r>
        <w:rPr>
          <w:rFonts w:hint="eastAsia" w:ascii="宋体" w:hAnsi="宋体" w:eastAsia="宋体" w:cs="宋体"/>
          <w:szCs w:val="21"/>
        </w:rPr>
        <w:t>二、 本次基金份额持有人大会决议的生效</w:t>
      </w:r>
    </w:p>
    <w:p w14:paraId="5E666CD6">
      <w:pPr>
        <w:spacing w:line="360" w:lineRule="auto"/>
        <w:ind w:firstLine="420"/>
        <w:rPr>
          <w:rFonts w:hint="eastAsia" w:ascii="宋体" w:hAnsi="宋体" w:eastAsia="宋体" w:cs="宋体"/>
          <w:szCs w:val="21"/>
        </w:rPr>
      </w:pPr>
      <w:r>
        <w:rPr>
          <w:rFonts w:hint="eastAsia" w:ascii="宋体" w:hAnsi="宋体" w:eastAsia="宋体" w:cs="宋体"/>
          <w:szCs w:val="21"/>
        </w:rPr>
        <w:t>根据《公开募集证券投资基金运作管理办法》的规定，基金份额持有人大会决定的事项自表决通过之日起生效。本次基金份额持有人大会于</w:t>
      </w:r>
      <w:r>
        <w:rPr>
          <w:rStyle w:val="15"/>
          <w:rFonts w:hint="eastAsia" w:ascii="宋体" w:hAnsi="宋体" w:eastAsia="宋体" w:cs="宋体"/>
          <w:szCs w:val="21"/>
        </w:rPr>
        <w:t>202</w:t>
      </w:r>
      <w:r>
        <w:rPr>
          <w:rStyle w:val="15"/>
          <w:rFonts w:hint="eastAsia" w:ascii="宋体" w:hAnsi="宋体" w:eastAsia="宋体" w:cs="宋体"/>
          <w:szCs w:val="21"/>
          <w:lang w:val="en-US" w:eastAsia="zh-CN"/>
        </w:rPr>
        <w:t>6</w:t>
      </w:r>
      <w:r>
        <w:rPr>
          <w:rStyle w:val="15"/>
          <w:rFonts w:hint="eastAsia" w:ascii="宋体" w:hAnsi="宋体" w:eastAsia="宋体" w:cs="宋体"/>
          <w:szCs w:val="21"/>
        </w:rPr>
        <w:t>年</w:t>
      </w:r>
      <w:r>
        <w:rPr>
          <w:rStyle w:val="15"/>
          <w:rFonts w:hint="eastAsia" w:ascii="宋体" w:hAnsi="宋体" w:eastAsia="宋体" w:cs="宋体"/>
          <w:szCs w:val="21"/>
          <w:lang w:val="en-US" w:eastAsia="zh-CN"/>
        </w:rPr>
        <w:t>8</w:t>
      </w:r>
      <w:r>
        <w:rPr>
          <w:rStyle w:val="15"/>
          <w:rFonts w:hint="eastAsia" w:ascii="宋体" w:hAnsi="宋体" w:eastAsia="宋体" w:cs="宋体"/>
          <w:szCs w:val="21"/>
        </w:rPr>
        <w:t>月</w:t>
      </w:r>
      <w:r>
        <w:rPr>
          <w:rStyle w:val="15"/>
          <w:rFonts w:hint="eastAsia" w:ascii="宋体" w:hAnsi="宋体" w:eastAsia="宋体" w:cs="宋体"/>
          <w:szCs w:val="21"/>
          <w:lang w:val="en-US" w:eastAsia="zh-CN"/>
        </w:rPr>
        <w:t>10</w:t>
      </w:r>
      <w:r>
        <w:rPr>
          <w:rStyle w:val="15"/>
          <w:rFonts w:hint="eastAsia" w:ascii="宋体" w:hAnsi="宋体" w:eastAsia="宋体" w:cs="宋体"/>
          <w:szCs w:val="21"/>
        </w:rPr>
        <w:t>日</w:t>
      </w:r>
      <w:r>
        <w:rPr>
          <w:rFonts w:hint="eastAsia" w:ascii="宋体" w:hAnsi="宋体" w:eastAsia="宋体" w:cs="宋体"/>
          <w:szCs w:val="21"/>
        </w:rPr>
        <w:t>表决通过了</w:t>
      </w:r>
      <w:r>
        <w:rPr>
          <w:rFonts w:hint="eastAsia" w:ascii="宋体" w:hAnsi="宋体" w:eastAsia="宋体" w:cs="宋体"/>
          <w:i w:val="0"/>
          <w:iCs w:val="0"/>
          <w:sz w:val="21"/>
          <w:szCs w:val="21"/>
          <w:u w:val="none"/>
        </w:rPr>
        <w:t>《</w:t>
      </w:r>
      <w:r>
        <w:rPr>
          <w:rStyle w:val="11"/>
          <w:rFonts w:hint="eastAsia" w:ascii="宋体" w:hAnsi="宋体" w:eastAsia="宋体" w:cs="宋体"/>
          <w:i w:val="0"/>
          <w:iCs w:val="0"/>
          <w:sz w:val="21"/>
          <w:szCs w:val="21"/>
          <w:u w:val="none"/>
        </w:rPr>
        <w:t>关于博时移动互联主题混合型证券投资基金修改基金合同终止条款的议案</w:t>
      </w:r>
      <w:r>
        <w:rPr>
          <w:rFonts w:hint="eastAsia" w:ascii="宋体" w:hAnsi="宋体" w:eastAsia="宋体" w:cs="宋体"/>
          <w:i w:val="0"/>
          <w:iCs w:val="0"/>
          <w:sz w:val="21"/>
          <w:szCs w:val="21"/>
          <w:u w:val="none"/>
        </w:rPr>
        <w:t>》</w:t>
      </w:r>
      <w:r>
        <w:rPr>
          <w:rFonts w:hint="eastAsia" w:ascii="宋体" w:hAnsi="宋体" w:eastAsia="宋体" w:cs="宋体"/>
          <w:szCs w:val="21"/>
        </w:rPr>
        <w:t>，本次大会决议自该日起生效。基金管理人将自该日起五日内将表决通过的事项报中国证券监督管理委员会备案。</w:t>
      </w:r>
    </w:p>
    <w:p w14:paraId="1A6A32AC">
      <w:pPr>
        <w:spacing w:line="360" w:lineRule="auto"/>
        <w:ind w:firstLine="420"/>
        <w:rPr>
          <w:rFonts w:hint="eastAsia" w:ascii="宋体" w:hAnsi="宋体" w:eastAsia="宋体" w:cs="宋体"/>
          <w:szCs w:val="21"/>
        </w:rPr>
      </w:pPr>
      <w:r>
        <w:rPr>
          <w:rFonts w:hint="eastAsia" w:ascii="宋体" w:hAnsi="宋体" w:eastAsia="宋体" w:cs="宋体"/>
          <w:szCs w:val="21"/>
        </w:rPr>
        <w:t>三、基金份额持有人大会决议相关事项的实施情况</w:t>
      </w:r>
    </w:p>
    <w:p w14:paraId="7FA256B2">
      <w:pPr>
        <w:spacing w:line="360" w:lineRule="auto"/>
        <w:ind w:firstLine="420"/>
        <w:rPr>
          <w:rFonts w:hint="eastAsia" w:ascii="宋体" w:hAnsi="宋体" w:eastAsia="宋体" w:cs="宋体"/>
          <w:szCs w:val="21"/>
        </w:rPr>
      </w:pPr>
      <w:r>
        <w:rPr>
          <w:rFonts w:hint="eastAsia" w:ascii="宋体" w:hAnsi="宋体" w:eastAsia="宋体" w:cs="宋体"/>
          <w:szCs w:val="21"/>
        </w:rPr>
        <w:t>为实施修改博时</w:t>
      </w:r>
      <w:r>
        <w:rPr>
          <w:rStyle w:val="11"/>
          <w:rFonts w:hint="eastAsia" w:ascii="宋体" w:hAnsi="宋体" w:eastAsia="宋体" w:cs="宋体"/>
          <w:i w:val="0"/>
          <w:iCs w:val="0"/>
          <w:sz w:val="21"/>
          <w:szCs w:val="21"/>
          <w:u w:val="none"/>
        </w:rPr>
        <w:t>移动互联主题混合型</w:t>
      </w:r>
      <w:r>
        <w:rPr>
          <w:rFonts w:hint="eastAsia" w:ascii="宋体" w:hAnsi="宋体" w:eastAsia="宋体" w:cs="宋体"/>
          <w:szCs w:val="21"/>
        </w:rPr>
        <w:t>证券投资基金基金合同终止条款的方案，需对《基金合同》</w:t>
      </w:r>
      <w:r>
        <w:rPr>
          <w:rFonts w:hint="eastAsia" w:ascii="宋体" w:hAnsi="宋体" w:eastAsia="宋体" w:cs="宋体"/>
          <w:szCs w:val="21"/>
          <w:lang w:eastAsia="zh-CN"/>
        </w:rPr>
        <w:t>、</w:t>
      </w:r>
      <w:r>
        <w:rPr>
          <w:rFonts w:hint="eastAsia" w:ascii="宋体" w:hAnsi="宋体" w:eastAsia="宋体" w:cs="宋体"/>
          <w:szCs w:val="21"/>
        </w:rPr>
        <w:t>《博时</w:t>
      </w:r>
      <w:r>
        <w:rPr>
          <w:rStyle w:val="11"/>
          <w:rFonts w:hint="eastAsia" w:ascii="宋体" w:hAnsi="宋体" w:eastAsia="宋体" w:cs="宋体"/>
          <w:i w:val="0"/>
          <w:iCs w:val="0"/>
          <w:sz w:val="21"/>
          <w:szCs w:val="21"/>
          <w:u w:val="none"/>
        </w:rPr>
        <w:t>移动互联主题混合型</w:t>
      </w:r>
      <w:r>
        <w:rPr>
          <w:rFonts w:hint="eastAsia" w:ascii="宋体" w:hAnsi="宋体" w:eastAsia="宋体" w:cs="宋体"/>
          <w:szCs w:val="21"/>
        </w:rPr>
        <w:t>证券投资基金招募说明书》（以下简称“《招募说明书》”）</w:t>
      </w:r>
      <w:r>
        <w:rPr>
          <w:rFonts w:hint="eastAsia" w:ascii="宋体" w:hAnsi="宋体" w:eastAsia="宋体" w:cs="宋体"/>
          <w:szCs w:val="21"/>
          <w:lang w:val="en-US" w:eastAsia="zh-CN"/>
        </w:rPr>
        <w:t>和</w:t>
      </w:r>
      <w:r>
        <w:rPr>
          <w:rFonts w:hint="eastAsia" w:cs="宋体"/>
          <w:b w:val="0"/>
          <w:bCs w:val="0"/>
          <w:i w:val="0"/>
          <w:iCs w:val="0"/>
          <w:sz w:val="21"/>
          <w:szCs w:val="21"/>
          <w:u w:val="none"/>
          <w:lang w:eastAsia="zh-CN"/>
        </w:rPr>
        <w:t>《产品资料概要》</w:t>
      </w:r>
      <w:r>
        <w:rPr>
          <w:rFonts w:hint="eastAsia" w:ascii="宋体" w:hAnsi="宋体" w:eastAsia="宋体" w:cs="宋体"/>
          <w:szCs w:val="21"/>
        </w:rPr>
        <w:t>中涉及基金合同终止条款的内容进行修订。现将《基金合同》的具体修订说明如下：</w:t>
      </w:r>
    </w:p>
    <w:p w14:paraId="6E43C688">
      <w:pPr>
        <w:spacing w:line="420" w:lineRule="exact"/>
        <w:ind w:firstLine="420"/>
        <w:rPr>
          <w:rFonts w:hint="eastAsia" w:ascii="宋体" w:hAnsi="宋体" w:eastAsia="宋体" w:cs="宋体"/>
          <w:szCs w:val="21"/>
        </w:rPr>
      </w:pPr>
      <w:r>
        <w:rPr>
          <w:rFonts w:hint="eastAsia" w:ascii="宋体" w:hAnsi="宋体" w:eastAsia="宋体" w:cs="宋体"/>
          <w:szCs w:val="21"/>
        </w:rPr>
        <w:t>（一）对《基金合同》的修订：</w:t>
      </w:r>
    </w:p>
    <w:p w14:paraId="30C8FBA2">
      <w:pPr>
        <w:ind w:firstLine="480"/>
        <w:rPr>
          <w:rFonts w:hint="eastAsia" w:ascii="宋体" w:hAnsi="宋体" w:eastAsia="宋体" w:cs="宋体"/>
          <w:i w:val="0"/>
          <w:iCs w:val="0"/>
          <w:sz w:val="21"/>
          <w:szCs w:val="21"/>
          <w:u w:val="none"/>
        </w:rPr>
      </w:pPr>
      <w:r>
        <w:rPr>
          <w:rFonts w:hint="eastAsia" w:ascii="宋体" w:hAnsi="宋体" w:eastAsia="宋体" w:cs="宋体"/>
          <w:b w:val="0"/>
          <w:bCs w:val="0"/>
          <w:i w:val="0"/>
          <w:iCs w:val="0"/>
          <w:sz w:val="21"/>
          <w:szCs w:val="21"/>
          <w:u w:val="none"/>
        </w:rPr>
        <w:t>1、将“第五部分 基金</w:t>
      </w:r>
      <w:r>
        <w:rPr>
          <w:rFonts w:hint="eastAsia" w:ascii="宋体" w:hAnsi="宋体" w:eastAsia="宋体" w:cs="宋体"/>
          <w:b w:val="0"/>
          <w:bCs w:val="0"/>
          <w:i w:val="0"/>
          <w:iCs w:val="0"/>
          <w:sz w:val="21"/>
          <w:szCs w:val="21"/>
          <w:u w:val="none"/>
          <w:lang w:val="en-US" w:eastAsia="zh-CN"/>
        </w:rPr>
        <w:t>备案</w:t>
      </w:r>
      <w:r>
        <w:rPr>
          <w:rFonts w:hint="eastAsia" w:ascii="宋体" w:hAnsi="宋体" w:eastAsia="宋体" w:cs="宋体"/>
          <w:b w:val="0"/>
          <w:bCs w:val="0"/>
          <w:i w:val="0"/>
          <w:iCs w:val="0"/>
          <w:sz w:val="21"/>
          <w:szCs w:val="21"/>
          <w:u w:val="none"/>
        </w:rPr>
        <w:t>”中</w:t>
      </w:r>
      <w:r>
        <w:rPr>
          <w:rFonts w:hint="eastAsia" w:ascii="宋体" w:hAnsi="宋体" w:eastAsia="宋体" w:cs="宋体"/>
          <w:b w:val="0"/>
          <w:bCs w:val="0"/>
          <w:i w:val="0"/>
          <w:iCs w:val="0"/>
          <w:sz w:val="21"/>
          <w:szCs w:val="21"/>
          <w:u w:val="none"/>
          <w:lang w:eastAsia="zh-CN"/>
        </w:rPr>
        <w:t>“</w:t>
      </w:r>
      <w:r>
        <w:rPr>
          <w:rFonts w:hint="eastAsia" w:ascii="宋体" w:hAnsi="宋体" w:eastAsia="宋体" w:cs="宋体"/>
          <w:bCs w:val="0"/>
          <w:sz w:val="21"/>
          <w:szCs w:val="21"/>
        </w:rPr>
        <w:t>三、基金存续期内的基金份额持有人数量和资产规模</w:t>
      </w:r>
      <w:r>
        <w:rPr>
          <w:rFonts w:hint="eastAsia" w:ascii="宋体" w:hAnsi="宋体" w:eastAsia="宋体" w:cs="宋体"/>
          <w:bCs w:val="0"/>
          <w:sz w:val="21"/>
          <w:szCs w:val="21"/>
          <w:lang w:eastAsia="zh-CN"/>
        </w:rPr>
        <w:t>”</w:t>
      </w:r>
      <w:r>
        <w:rPr>
          <w:rFonts w:hint="eastAsia" w:ascii="宋体" w:hAnsi="宋体" w:eastAsia="宋体" w:cs="宋体"/>
          <w:b w:val="0"/>
          <w:bCs w:val="0"/>
          <w:i w:val="0"/>
          <w:iCs w:val="0"/>
          <w:sz w:val="21"/>
          <w:szCs w:val="21"/>
          <w:u w:val="none"/>
        </w:rPr>
        <w:t>的如下内容由：</w:t>
      </w:r>
    </w:p>
    <w:p w14:paraId="182FB281">
      <w:pPr>
        <w:spacing w:line="360" w:lineRule="auto"/>
        <w:ind w:firstLine="480"/>
        <w:rPr>
          <w:rFonts w:hint="eastAsia" w:ascii="宋体" w:hAnsi="宋体" w:eastAsia="宋体" w:cs="宋体"/>
          <w:b w:val="0"/>
          <w:bCs w:val="0"/>
          <w:sz w:val="21"/>
          <w:szCs w:val="21"/>
        </w:rPr>
      </w:pPr>
      <w:r>
        <w:rPr>
          <w:rFonts w:hint="eastAsia" w:ascii="宋体" w:hAnsi="宋体" w:eastAsia="宋体" w:cs="宋体"/>
          <w:b w:val="0"/>
          <w:bCs w:val="0"/>
          <w:i w:val="0"/>
          <w:iCs w:val="0"/>
          <w:sz w:val="21"/>
          <w:szCs w:val="21"/>
          <w:u w:val="none"/>
        </w:rPr>
        <w:t>“</w:t>
      </w:r>
      <w:r>
        <w:rPr>
          <w:rFonts w:hint="eastAsia" w:ascii="宋体" w:hAnsi="宋体" w:eastAsia="宋体" w:cs="宋体"/>
          <w:bCs w:val="0"/>
          <w:sz w:val="21"/>
          <w:szCs w:val="21"/>
        </w:rPr>
        <w:t>《基金合同》生效后，连续20个工作日出现基金份额持有人数量不满200人或者基金资产净值低于5000万元情形的，基金管理人应当在定期报告中予以披露；</w:t>
      </w:r>
      <w:r>
        <w:rPr>
          <w:rFonts w:hint="eastAsia" w:ascii="宋体" w:hAnsi="宋体" w:eastAsia="宋体" w:cs="宋体"/>
          <w:b w:val="0"/>
          <w:bCs w:val="0"/>
          <w:sz w:val="21"/>
          <w:szCs w:val="21"/>
        </w:rPr>
        <w:t>连续50个工作日出现前述情形的，基金合同终止，不需召开基金份额持有人大会。</w:t>
      </w:r>
    </w:p>
    <w:p w14:paraId="670A074E">
      <w:pPr>
        <w:pStyle w:val="6"/>
        <w:spacing w:before="0" w:beforeAutospacing="0" w:after="0" w:afterAutospacing="0" w:line="360" w:lineRule="auto"/>
        <w:ind w:firstLine="420" w:firstLineChars="200"/>
        <w:rPr>
          <w:rFonts w:hint="eastAsia" w:cs="宋体"/>
          <w:i w:val="0"/>
          <w:iCs w:val="0"/>
          <w:sz w:val="21"/>
          <w:szCs w:val="21"/>
          <w:u w:val="none"/>
        </w:rPr>
      </w:pPr>
      <w:r>
        <w:rPr>
          <w:rFonts w:hint="eastAsia" w:cs="宋体"/>
          <w:bCs w:val="0"/>
          <w:sz w:val="21"/>
          <w:szCs w:val="21"/>
        </w:rPr>
        <w:t>法律法规或中国证监会另有规定时，从其规</w:t>
      </w:r>
      <w:bookmarkStart w:id="1" w:name="_GoBack"/>
      <w:bookmarkEnd w:id="1"/>
      <w:r>
        <w:rPr>
          <w:rFonts w:hint="eastAsia" w:cs="宋体"/>
          <w:bCs w:val="0"/>
          <w:sz w:val="21"/>
          <w:szCs w:val="21"/>
        </w:rPr>
        <w:t>定。</w:t>
      </w:r>
      <w:r>
        <w:rPr>
          <w:rFonts w:hint="eastAsia" w:cs="宋体"/>
          <w:bCs w:val="0"/>
          <w:sz w:val="21"/>
          <w:szCs w:val="21"/>
          <w:lang w:eastAsia="zh-CN"/>
        </w:rPr>
        <w:t>”</w:t>
      </w:r>
    </w:p>
    <w:p w14:paraId="60143752">
      <w:pPr>
        <w:pStyle w:val="6"/>
        <w:spacing w:before="0" w:beforeAutospacing="0" w:after="0" w:afterAutospacing="0" w:line="360" w:lineRule="auto"/>
        <w:ind w:firstLine="420"/>
        <w:rPr>
          <w:rFonts w:hint="eastAsia" w:cs="宋体"/>
          <w:i w:val="0"/>
          <w:iCs w:val="0"/>
          <w:sz w:val="21"/>
          <w:szCs w:val="21"/>
          <w:u w:val="none"/>
        </w:rPr>
      </w:pPr>
      <w:r>
        <w:rPr>
          <w:rFonts w:hint="eastAsia" w:cs="宋体"/>
          <w:b w:val="0"/>
          <w:bCs w:val="0"/>
          <w:i w:val="0"/>
          <w:iCs w:val="0"/>
          <w:sz w:val="21"/>
          <w:szCs w:val="21"/>
          <w:u w:val="none"/>
        </w:rPr>
        <w:t>修改为：</w:t>
      </w:r>
    </w:p>
    <w:p w14:paraId="6CEEEA22">
      <w:pPr>
        <w:spacing w:line="360" w:lineRule="auto"/>
        <w:ind w:firstLine="480"/>
        <w:rPr>
          <w:rFonts w:hint="eastAsia" w:ascii="宋体" w:hAnsi="宋体" w:eastAsia="宋体" w:cs="宋体"/>
          <w:b w:val="0"/>
          <w:bCs w:val="0"/>
          <w:sz w:val="21"/>
          <w:szCs w:val="21"/>
          <w:u w:val="none"/>
          <w:lang w:eastAsia="zh-CN"/>
        </w:rPr>
      </w:pPr>
      <w:r>
        <w:rPr>
          <w:rFonts w:hint="eastAsia" w:ascii="宋体" w:hAnsi="宋体" w:eastAsia="宋体" w:cs="宋体"/>
          <w:b w:val="0"/>
          <w:bCs w:val="0"/>
          <w:i w:val="0"/>
          <w:iCs w:val="0"/>
          <w:sz w:val="21"/>
          <w:szCs w:val="21"/>
          <w:u w:val="none"/>
        </w:rPr>
        <w:t>“</w:t>
      </w:r>
      <w:r>
        <w:rPr>
          <w:rFonts w:hint="eastAsia" w:ascii="宋体" w:hAnsi="宋体" w:eastAsia="宋体" w:cs="宋体"/>
          <w:b w:val="0"/>
          <w:bCs w:val="0"/>
          <w:sz w:val="21"/>
          <w:szCs w:val="21"/>
          <w:u w:val="none"/>
        </w:rPr>
        <w:t>《基金合同》生效后，连续20个工作日出现基金份额持有人数量不满200人或者基金资产净值低于5000万元情形的，基金管理人应当在定期报告中予以披露；连续</w:t>
      </w:r>
      <w:r>
        <w:rPr>
          <w:rFonts w:hint="eastAsia" w:ascii="宋体" w:hAnsi="宋体" w:eastAsia="宋体" w:cs="宋体"/>
          <w:b w:val="0"/>
          <w:bCs w:val="0"/>
          <w:sz w:val="21"/>
          <w:szCs w:val="21"/>
          <w:u w:val="none"/>
          <w:lang w:val="en-US" w:eastAsia="zh-CN"/>
        </w:rPr>
        <w:t>6</w:t>
      </w:r>
      <w:r>
        <w:rPr>
          <w:rFonts w:hint="eastAsia" w:ascii="宋体" w:hAnsi="宋体" w:eastAsia="宋体" w:cs="宋体"/>
          <w:b w:val="0"/>
          <w:bCs w:val="0"/>
          <w:sz w:val="21"/>
          <w:szCs w:val="21"/>
          <w:u w:val="none"/>
        </w:rPr>
        <w:t>0个工作日出现前述情形的，基金管理人应当在</w:t>
      </w:r>
      <w:r>
        <w:rPr>
          <w:rFonts w:hint="eastAsia" w:ascii="宋体" w:hAnsi="宋体" w:eastAsia="宋体" w:cs="宋体"/>
          <w:b w:val="0"/>
          <w:bCs w:val="0"/>
          <w:sz w:val="21"/>
          <w:szCs w:val="21"/>
          <w:u w:val="none"/>
          <w:lang w:val="en-US" w:eastAsia="zh-CN"/>
        </w:rPr>
        <w:t>10</w:t>
      </w:r>
      <w:r>
        <w:rPr>
          <w:rFonts w:hint="eastAsia" w:ascii="宋体" w:hAnsi="宋体" w:eastAsia="宋体" w:cs="宋体"/>
          <w:b w:val="0"/>
          <w:bCs w:val="0"/>
          <w:sz w:val="21"/>
          <w:szCs w:val="21"/>
          <w:u w:val="none"/>
        </w:rPr>
        <w:t>个</w:t>
      </w:r>
      <w:r>
        <w:rPr>
          <w:rFonts w:hint="eastAsia" w:ascii="宋体" w:hAnsi="宋体" w:eastAsia="宋体" w:cs="宋体"/>
          <w:b w:val="0"/>
          <w:bCs w:val="0"/>
          <w:sz w:val="21"/>
          <w:szCs w:val="21"/>
          <w:u w:val="none"/>
          <w:lang w:val="en-US" w:eastAsia="zh-CN"/>
        </w:rPr>
        <w:t>工</w:t>
      </w:r>
      <w:r>
        <w:rPr>
          <w:rFonts w:hint="eastAsia" w:ascii="宋体" w:hAnsi="宋体" w:eastAsia="宋体" w:cs="宋体"/>
          <w:b w:val="0"/>
          <w:bCs w:val="0"/>
          <w:sz w:val="21"/>
          <w:szCs w:val="21"/>
          <w:u w:val="none"/>
        </w:rPr>
        <w:t>作日内向中国证监会报告并提出解决方案，如持续运作、转换运作方式、与其他基金合并或者终止基金合同等，并在</w:t>
      </w:r>
      <w:r>
        <w:rPr>
          <w:rFonts w:hint="eastAsia" w:ascii="宋体" w:hAnsi="宋体" w:eastAsia="宋体" w:cs="宋体"/>
          <w:b w:val="0"/>
          <w:bCs w:val="0"/>
          <w:sz w:val="21"/>
          <w:szCs w:val="21"/>
          <w:u w:val="none"/>
          <w:lang w:val="en-US" w:eastAsia="zh-CN"/>
        </w:rPr>
        <w:t>6</w:t>
      </w:r>
      <w:r>
        <w:rPr>
          <w:rFonts w:hint="eastAsia" w:ascii="宋体" w:hAnsi="宋体" w:eastAsia="宋体" w:cs="宋体"/>
          <w:b w:val="0"/>
          <w:bCs w:val="0"/>
          <w:sz w:val="21"/>
          <w:szCs w:val="21"/>
          <w:u w:val="none"/>
        </w:rPr>
        <w:t>个月内召集基金份额持有人大会</w:t>
      </w:r>
      <w:r>
        <w:rPr>
          <w:rFonts w:hint="eastAsia" w:ascii="宋体" w:hAnsi="宋体" w:eastAsia="宋体" w:cs="宋体"/>
          <w:b w:val="0"/>
          <w:bCs w:val="0"/>
          <w:sz w:val="21"/>
          <w:szCs w:val="21"/>
          <w:u w:val="none"/>
          <w:lang w:eastAsia="zh-CN"/>
        </w:rPr>
        <w:t>。</w:t>
      </w:r>
    </w:p>
    <w:p w14:paraId="6BC53687">
      <w:pPr>
        <w:spacing w:before="0" w:beforeAutospacing="0" w:after="0" w:afterAutospacing="0" w:line="360" w:lineRule="auto"/>
        <w:ind w:firstLine="480"/>
        <w:rPr>
          <w:rFonts w:hint="eastAsia" w:ascii="宋体" w:hAnsi="宋体" w:eastAsia="宋体" w:cs="宋体"/>
          <w:b w:val="0"/>
          <w:bCs w:val="0"/>
          <w:i w:val="0"/>
          <w:iCs w:val="0"/>
          <w:sz w:val="21"/>
          <w:szCs w:val="21"/>
          <w:u w:val="none"/>
        </w:rPr>
      </w:pPr>
      <w:r>
        <w:rPr>
          <w:rFonts w:hint="eastAsia" w:ascii="宋体" w:hAnsi="宋体" w:eastAsia="宋体" w:cs="宋体"/>
          <w:b w:val="0"/>
          <w:bCs w:val="0"/>
          <w:sz w:val="21"/>
          <w:szCs w:val="21"/>
          <w:u w:val="none"/>
        </w:rPr>
        <w:t>法律法规或中国证监会另有规定时，从其规定。</w:t>
      </w:r>
      <w:r>
        <w:rPr>
          <w:rFonts w:hint="eastAsia" w:ascii="宋体" w:hAnsi="宋体" w:eastAsia="宋体" w:cs="宋体"/>
          <w:b w:val="0"/>
          <w:bCs w:val="0"/>
          <w:i w:val="0"/>
          <w:iCs w:val="0"/>
          <w:sz w:val="21"/>
          <w:szCs w:val="21"/>
          <w:u w:val="none"/>
          <w:lang w:eastAsia="zh-CN"/>
        </w:rPr>
        <w:t>”</w:t>
      </w:r>
    </w:p>
    <w:p w14:paraId="3C33357F">
      <w:pPr>
        <w:pStyle w:val="6"/>
        <w:spacing w:before="0" w:beforeAutospacing="0" w:after="0" w:afterAutospacing="0" w:line="360" w:lineRule="auto"/>
        <w:ind w:firstLine="420"/>
        <w:rPr>
          <w:rFonts w:hint="eastAsia" w:cs="宋体"/>
          <w:i w:val="0"/>
          <w:iCs w:val="0"/>
          <w:sz w:val="21"/>
          <w:szCs w:val="21"/>
          <w:u w:val="none"/>
        </w:rPr>
      </w:pPr>
      <w:r>
        <w:rPr>
          <w:rFonts w:hint="eastAsia" w:cs="宋体"/>
          <w:b w:val="0"/>
          <w:bCs w:val="0"/>
          <w:i w:val="0"/>
          <w:iCs w:val="0"/>
          <w:sz w:val="21"/>
          <w:szCs w:val="21"/>
          <w:u w:val="none"/>
        </w:rPr>
        <w:t>2、将“第十八部分 基金的信息披露”中的“五、公开披露的基金信息”中的“（</w:t>
      </w:r>
      <w:r>
        <w:rPr>
          <w:rFonts w:hint="eastAsia" w:cs="宋体"/>
          <w:b w:val="0"/>
          <w:bCs w:val="0"/>
          <w:i w:val="0"/>
          <w:iCs w:val="0"/>
          <w:sz w:val="21"/>
          <w:szCs w:val="21"/>
          <w:u w:val="none"/>
          <w:lang w:val="en-US" w:eastAsia="zh-CN"/>
        </w:rPr>
        <w:t>七</w:t>
      </w:r>
      <w:r>
        <w:rPr>
          <w:rFonts w:hint="eastAsia" w:cs="宋体"/>
          <w:b w:val="0"/>
          <w:bCs w:val="0"/>
          <w:i w:val="0"/>
          <w:iCs w:val="0"/>
          <w:sz w:val="21"/>
          <w:szCs w:val="21"/>
          <w:u w:val="none"/>
        </w:rPr>
        <w:t>）临时报告”中如下条款</w:t>
      </w:r>
      <w:r>
        <w:rPr>
          <w:rFonts w:hint="eastAsia" w:cs="宋体"/>
          <w:b w:val="0"/>
          <w:bCs w:val="0"/>
          <w:i w:val="0"/>
          <w:iCs w:val="0"/>
          <w:sz w:val="21"/>
          <w:szCs w:val="21"/>
          <w:u w:val="none"/>
          <w:lang w:val="en-US" w:eastAsia="zh-CN"/>
        </w:rPr>
        <w:t>删除</w:t>
      </w:r>
      <w:r>
        <w:rPr>
          <w:rFonts w:hint="eastAsia" w:cs="宋体"/>
          <w:b w:val="0"/>
          <w:bCs w:val="0"/>
          <w:i w:val="0"/>
          <w:iCs w:val="0"/>
          <w:sz w:val="21"/>
          <w:szCs w:val="21"/>
          <w:u w:val="none"/>
        </w:rPr>
        <w:t>，并修改后续序号：</w:t>
      </w:r>
    </w:p>
    <w:p w14:paraId="2A329AD0">
      <w:pPr>
        <w:spacing w:before="0" w:beforeAutospacing="0" w:after="0" w:afterAutospacing="0" w:line="360" w:lineRule="auto"/>
        <w:ind w:firstLine="480"/>
        <w:rPr>
          <w:rFonts w:hint="eastAsia" w:ascii="宋体" w:hAnsi="宋体" w:eastAsia="宋体" w:cs="宋体"/>
          <w:b w:val="0"/>
          <w:bCs w:val="0"/>
          <w:i w:val="0"/>
          <w:iCs w:val="0"/>
          <w:sz w:val="21"/>
          <w:szCs w:val="21"/>
          <w:u w:val="none"/>
        </w:rPr>
      </w:pPr>
      <w:r>
        <w:rPr>
          <w:rFonts w:hint="eastAsia" w:ascii="宋体" w:hAnsi="宋体" w:eastAsia="宋体" w:cs="宋体"/>
          <w:b w:val="0"/>
          <w:bCs w:val="0"/>
          <w:i w:val="0"/>
          <w:iCs w:val="0"/>
          <w:sz w:val="21"/>
          <w:szCs w:val="21"/>
          <w:u w:val="none"/>
        </w:rPr>
        <w:t>“</w:t>
      </w:r>
      <w:r>
        <w:rPr>
          <w:rFonts w:hint="eastAsia" w:ascii="宋体" w:hAnsi="宋体" w:eastAsia="宋体" w:cs="宋体"/>
          <w:b w:val="0"/>
          <w:bCs w:val="0"/>
          <w:sz w:val="21"/>
          <w:szCs w:val="21"/>
        </w:rPr>
        <w:t>26、连续30个工作日、40个工作日及45个工作日出现基金份额持有人数量不满二百人或者基金资产净值低于五千万元情形的；</w:t>
      </w:r>
      <w:r>
        <w:rPr>
          <w:rFonts w:hint="eastAsia" w:ascii="宋体" w:hAnsi="宋体" w:eastAsia="宋体" w:cs="宋体"/>
          <w:b w:val="0"/>
          <w:bCs w:val="0"/>
          <w:i w:val="0"/>
          <w:iCs w:val="0"/>
          <w:sz w:val="21"/>
          <w:szCs w:val="21"/>
          <w:u w:val="none"/>
        </w:rPr>
        <w:t>”</w:t>
      </w:r>
    </w:p>
    <w:p w14:paraId="05DE4FF8">
      <w:pPr>
        <w:pStyle w:val="6"/>
        <w:spacing w:before="0" w:beforeAutospacing="0" w:after="0" w:afterAutospacing="0" w:line="360" w:lineRule="auto"/>
        <w:ind w:firstLine="420"/>
        <w:rPr>
          <w:rFonts w:hint="eastAsia" w:cs="宋体"/>
          <w:b w:val="0"/>
          <w:bCs w:val="0"/>
          <w:i w:val="0"/>
          <w:iCs w:val="0"/>
          <w:sz w:val="21"/>
          <w:szCs w:val="21"/>
          <w:u w:val="none"/>
        </w:rPr>
      </w:pPr>
      <w:r>
        <w:rPr>
          <w:rFonts w:hint="eastAsia" w:cs="宋体"/>
          <w:b w:val="0"/>
          <w:bCs w:val="0"/>
          <w:i w:val="0"/>
          <w:iCs w:val="0"/>
          <w:sz w:val="21"/>
          <w:szCs w:val="21"/>
          <w:u w:val="none"/>
        </w:rPr>
        <w:t>（二）《招募说明书》</w:t>
      </w:r>
      <w:r>
        <w:rPr>
          <w:rFonts w:hint="eastAsia" w:cs="宋体"/>
          <w:b w:val="0"/>
          <w:bCs w:val="0"/>
          <w:i w:val="0"/>
          <w:iCs w:val="0"/>
          <w:sz w:val="21"/>
          <w:szCs w:val="21"/>
          <w:u w:val="none"/>
          <w:lang w:eastAsia="zh-CN"/>
        </w:rPr>
        <w:t>、《产品资料概要》</w:t>
      </w:r>
      <w:r>
        <w:rPr>
          <w:rFonts w:hint="eastAsia" w:cs="宋体"/>
          <w:b w:val="0"/>
          <w:bCs w:val="0"/>
          <w:i w:val="0"/>
          <w:iCs w:val="0"/>
          <w:sz w:val="21"/>
          <w:szCs w:val="21"/>
          <w:u w:val="none"/>
        </w:rPr>
        <w:t>将根据以上的修订内容进行相应修改，同时更新《招募说明书》、《博时</w:t>
      </w:r>
      <w:r>
        <w:rPr>
          <w:rFonts w:hint="eastAsia" w:cs="宋体"/>
          <w:b w:val="0"/>
          <w:bCs w:val="0"/>
          <w:i w:val="0"/>
          <w:iCs w:val="0"/>
          <w:sz w:val="21"/>
          <w:szCs w:val="21"/>
          <w:u w:val="none"/>
          <w:lang w:eastAsia="zh-CN"/>
        </w:rPr>
        <w:t>移动互联主题混合型</w:t>
      </w:r>
      <w:r>
        <w:rPr>
          <w:rFonts w:hint="eastAsia" w:cs="宋体"/>
          <w:b w:val="0"/>
          <w:bCs w:val="0"/>
          <w:i w:val="0"/>
          <w:iCs w:val="0"/>
          <w:sz w:val="21"/>
          <w:szCs w:val="21"/>
          <w:u w:val="none"/>
        </w:rPr>
        <w:t>证券投资基金托管协议》基金管理人</w:t>
      </w:r>
      <w:r>
        <w:rPr>
          <w:rFonts w:hint="eastAsia" w:cs="宋体"/>
          <w:b w:val="0"/>
          <w:bCs w:val="0"/>
          <w:i w:val="0"/>
          <w:iCs w:val="0"/>
          <w:sz w:val="21"/>
          <w:szCs w:val="21"/>
          <w:highlight w:val="none"/>
          <w:u w:val="none"/>
          <w:lang w:eastAsia="zh-CN"/>
        </w:rPr>
        <w:t>、</w:t>
      </w:r>
      <w:r>
        <w:rPr>
          <w:rFonts w:hint="eastAsia" w:cs="宋体"/>
          <w:b w:val="0"/>
          <w:bCs w:val="0"/>
          <w:i w:val="0"/>
          <w:iCs w:val="0"/>
          <w:sz w:val="21"/>
          <w:szCs w:val="21"/>
          <w:highlight w:val="none"/>
          <w:u w:val="none"/>
          <w:lang w:val="en-US" w:eastAsia="zh-CN"/>
        </w:rPr>
        <w:t>基金托管人</w:t>
      </w:r>
      <w:r>
        <w:rPr>
          <w:rFonts w:hint="eastAsia" w:cs="宋体"/>
          <w:b w:val="0"/>
          <w:bCs w:val="0"/>
          <w:i w:val="0"/>
          <w:iCs w:val="0"/>
          <w:sz w:val="21"/>
          <w:szCs w:val="21"/>
          <w:u w:val="none"/>
        </w:rPr>
        <w:t>信息。</w:t>
      </w:r>
    </w:p>
    <w:p w14:paraId="1A47B475">
      <w:pPr>
        <w:pStyle w:val="6"/>
        <w:spacing w:before="0" w:beforeAutospacing="0" w:after="0" w:afterAutospacing="0" w:line="360" w:lineRule="auto"/>
        <w:ind w:firstLine="420"/>
        <w:jc w:val="both"/>
        <w:rPr>
          <w:rFonts w:hint="eastAsia" w:cs="宋体"/>
          <w:b w:val="0"/>
          <w:bCs w:val="0"/>
          <w:i w:val="0"/>
          <w:iCs w:val="0"/>
          <w:sz w:val="21"/>
          <w:szCs w:val="21"/>
          <w:u w:val="none"/>
        </w:rPr>
      </w:pPr>
      <w:r>
        <w:rPr>
          <w:rFonts w:hint="eastAsia" w:cs="宋体"/>
          <w:b w:val="0"/>
          <w:bCs w:val="0"/>
          <w:i w:val="0"/>
          <w:iCs w:val="0"/>
          <w:sz w:val="21"/>
          <w:szCs w:val="21"/>
          <w:u w:val="none"/>
        </w:rPr>
        <w:t>（三）修改后的执行</w:t>
      </w:r>
    </w:p>
    <w:p w14:paraId="0AF6FB29">
      <w:pPr>
        <w:spacing w:line="360" w:lineRule="auto"/>
        <w:ind w:firstLine="420"/>
        <w:rPr>
          <w:rFonts w:hint="eastAsia" w:ascii="宋体" w:hAnsi="宋体" w:eastAsia="宋体" w:cs="宋体"/>
          <w:b w:val="0"/>
          <w:bCs w:val="0"/>
          <w:i w:val="0"/>
          <w:iCs w:val="0"/>
          <w:sz w:val="21"/>
          <w:szCs w:val="21"/>
          <w:u w:val="none"/>
        </w:rPr>
      </w:pPr>
      <w:r>
        <w:rPr>
          <w:rFonts w:hint="eastAsia" w:ascii="宋体" w:hAnsi="宋体" w:eastAsia="宋体" w:cs="宋体"/>
          <w:b w:val="0"/>
          <w:bCs w:val="0"/>
          <w:i w:val="0"/>
          <w:iCs w:val="0"/>
          <w:sz w:val="21"/>
          <w:szCs w:val="21"/>
          <w:u w:val="none"/>
        </w:rPr>
        <w:t>自2026年8月</w:t>
      </w:r>
      <w:r>
        <w:rPr>
          <w:rFonts w:hint="eastAsia" w:ascii="宋体" w:hAnsi="宋体" w:eastAsia="宋体" w:cs="宋体"/>
          <w:b w:val="0"/>
          <w:bCs w:val="0"/>
          <w:i w:val="0"/>
          <w:iCs w:val="0"/>
          <w:sz w:val="21"/>
          <w:szCs w:val="21"/>
          <w:u w:val="none"/>
          <w:lang w:val="en-US" w:eastAsia="zh-CN"/>
        </w:rPr>
        <w:t>11</w:t>
      </w:r>
      <w:r>
        <w:rPr>
          <w:rFonts w:hint="eastAsia" w:ascii="宋体" w:hAnsi="宋体" w:eastAsia="宋体" w:cs="宋体"/>
          <w:b w:val="0"/>
          <w:bCs w:val="0"/>
          <w:i w:val="0"/>
          <w:iCs w:val="0"/>
          <w:sz w:val="21"/>
          <w:szCs w:val="21"/>
          <w:u w:val="none"/>
        </w:rPr>
        <w:t>日起，修改后的《基金合同》生效，本基金将按修改后的《基金合同》和《招募说明书》</w:t>
      </w:r>
      <w:r>
        <w:rPr>
          <w:rFonts w:hint="eastAsia" w:ascii="宋体" w:hAnsi="宋体" w:eastAsia="宋体" w:cs="宋体"/>
          <w:b w:val="0"/>
          <w:bCs w:val="0"/>
          <w:i w:val="0"/>
          <w:iCs w:val="0"/>
          <w:sz w:val="21"/>
          <w:szCs w:val="21"/>
          <w:u w:val="none"/>
          <w:lang w:eastAsia="zh-CN"/>
        </w:rPr>
        <w:t>和</w:t>
      </w:r>
      <w:r>
        <w:rPr>
          <w:rFonts w:hint="eastAsia" w:cs="宋体"/>
          <w:b w:val="0"/>
          <w:bCs w:val="0"/>
          <w:i w:val="0"/>
          <w:iCs w:val="0"/>
          <w:sz w:val="21"/>
          <w:szCs w:val="21"/>
          <w:u w:val="none"/>
          <w:lang w:eastAsia="zh-CN"/>
        </w:rPr>
        <w:t>《产品资料概要》</w:t>
      </w:r>
      <w:r>
        <w:rPr>
          <w:rFonts w:hint="eastAsia" w:ascii="宋体" w:hAnsi="宋体" w:eastAsia="宋体" w:cs="宋体"/>
          <w:b w:val="0"/>
          <w:bCs w:val="0"/>
          <w:i w:val="0"/>
          <w:iCs w:val="0"/>
          <w:sz w:val="21"/>
          <w:szCs w:val="21"/>
          <w:u w:val="none"/>
        </w:rPr>
        <w:t>执行。</w:t>
      </w:r>
    </w:p>
    <w:p w14:paraId="199D622F">
      <w:pPr>
        <w:spacing w:line="420" w:lineRule="exact"/>
        <w:ind w:firstLine="420"/>
        <w:rPr>
          <w:rFonts w:cs="Times New Roman" w:asciiTheme="majorEastAsia" w:hAnsiTheme="majorEastAsia" w:eastAsiaTheme="majorEastAsia"/>
          <w:szCs w:val="21"/>
        </w:rPr>
      </w:pPr>
      <w:r>
        <w:rPr>
          <w:rFonts w:hint="eastAsia" w:cs="Times New Roman" w:asciiTheme="majorEastAsia" w:hAnsiTheme="majorEastAsia" w:eastAsiaTheme="majorEastAsia"/>
          <w:szCs w:val="21"/>
        </w:rPr>
        <w:t>四、</w:t>
      </w:r>
      <w:r>
        <w:rPr>
          <w:rFonts w:cs="Times New Roman" w:asciiTheme="majorEastAsia" w:hAnsiTheme="majorEastAsia" w:eastAsiaTheme="majorEastAsia"/>
          <w:szCs w:val="21"/>
        </w:rPr>
        <w:t xml:space="preserve"> </w:t>
      </w:r>
      <w:r>
        <w:rPr>
          <w:rFonts w:hint="eastAsia" w:cs="Times New Roman" w:asciiTheme="majorEastAsia" w:hAnsiTheme="majorEastAsia" w:eastAsiaTheme="majorEastAsia"/>
          <w:szCs w:val="21"/>
        </w:rPr>
        <w:t>备查文件</w:t>
      </w:r>
    </w:p>
    <w:p w14:paraId="45CC5F5E">
      <w:pPr>
        <w:spacing w:line="420" w:lineRule="exact"/>
        <w:ind w:firstLine="420"/>
        <w:rPr>
          <w:rFonts w:cs="Times New Roman" w:asciiTheme="majorEastAsia" w:hAnsiTheme="majorEastAsia" w:eastAsiaTheme="majorEastAsia"/>
          <w:szCs w:val="21"/>
        </w:rPr>
      </w:pPr>
      <w:r>
        <w:rPr>
          <w:rFonts w:cs="Times New Roman" w:asciiTheme="majorEastAsia" w:hAnsiTheme="majorEastAsia" w:eastAsiaTheme="majorEastAsia"/>
          <w:szCs w:val="21"/>
        </w:rPr>
        <w:t>1</w:t>
      </w:r>
      <w:r>
        <w:rPr>
          <w:rFonts w:hint="eastAsia" w:cs="Times New Roman" w:asciiTheme="majorEastAsia" w:hAnsiTheme="majorEastAsia" w:eastAsiaTheme="majorEastAsia"/>
          <w:szCs w:val="21"/>
        </w:rPr>
        <w:t>、《博时基金管理有限公司关于以通讯方式召开</w:t>
      </w:r>
      <w:r>
        <w:rPr>
          <w:rFonts w:hint="eastAsia" w:cs="Times New Roman" w:asciiTheme="majorEastAsia" w:hAnsiTheme="majorEastAsia" w:eastAsiaTheme="majorEastAsia"/>
          <w:szCs w:val="21"/>
          <w:lang w:eastAsia="zh-CN"/>
        </w:rPr>
        <w:t>博时移动互联主题混合型证券投资基金</w:t>
      </w:r>
      <w:r>
        <w:rPr>
          <w:rFonts w:hint="eastAsia" w:cs="Times New Roman" w:asciiTheme="majorEastAsia" w:hAnsiTheme="majorEastAsia" w:eastAsiaTheme="majorEastAsia"/>
          <w:szCs w:val="21"/>
        </w:rPr>
        <w:t>基金份额持有人大会的公告》</w:t>
      </w:r>
    </w:p>
    <w:p w14:paraId="4C737F20">
      <w:pPr>
        <w:spacing w:line="420" w:lineRule="exact"/>
        <w:ind w:firstLine="420"/>
        <w:rPr>
          <w:rFonts w:cs="Times New Roman" w:asciiTheme="majorEastAsia" w:hAnsiTheme="majorEastAsia" w:eastAsiaTheme="majorEastAsia"/>
          <w:szCs w:val="21"/>
        </w:rPr>
      </w:pPr>
      <w:r>
        <w:rPr>
          <w:rFonts w:cs="Times New Roman" w:asciiTheme="majorEastAsia" w:hAnsiTheme="majorEastAsia" w:eastAsiaTheme="majorEastAsia"/>
          <w:szCs w:val="21"/>
        </w:rPr>
        <w:t>2</w:t>
      </w:r>
      <w:r>
        <w:rPr>
          <w:rFonts w:hint="eastAsia" w:cs="Times New Roman" w:asciiTheme="majorEastAsia" w:hAnsiTheme="majorEastAsia" w:eastAsiaTheme="majorEastAsia"/>
          <w:szCs w:val="21"/>
        </w:rPr>
        <w:t>、《博时基金管理有限公司关于以通讯方式召开</w:t>
      </w:r>
      <w:r>
        <w:rPr>
          <w:rFonts w:hint="eastAsia" w:cs="Times New Roman" w:asciiTheme="majorEastAsia" w:hAnsiTheme="majorEastAsia" w:eastAsiaTheme="majorEastAsia"/>
          <w:szCs w:val="21"/>
          <w:lang w:eastAsia="zh-CN"/>
        </w:rPr>
        <w:t>博时移动互联主题混合型证券投资基金</w:t>
      </w:r>
      <w:r>
        <w:rPr>
          <w:rFonts w:hint="eastAsia" w:cs="Times New Roman" w:asciiTheme="majorEastAsia" w:hAnsiTheme="majorEastAsia" w:eastAsiaTheme="majorEastAsia"/>
          <w:szCs w:val="21"/>
        </w:rPr>
        <w:t>基金份额持有人大会的第一次提示性公告》</w:t>
      </w:r>
    </w:p>
    <w:p w14:paraId="05E0D0A3">
      <w:pPr>
        <w:spacing w:line="420" w:lineRule="exact"/>
        <w:ind w:firstLine="420"/>
        <w:rPr>
          <w:rFonts w:cs="Times New Roman" w:asciiTheme="majorEastAsia" w:hAnsiTheme="majorEastAsia" w:eastAsiaTheme="majorEastAsia"/>
          <w:szCs w:val="21"/>
        </w:rPr>
      </w:pPr>
      <w:r>
        <w:rPr>
          <w:rFonts w:cs="Times New Roman" w:asciiTheme="majorEastAsia" w:hAnsiTheme="majorEastAsia" w:eastAsiaTheme="majorEastAsia"/>
          <w:szCs w:val="21"/>
        </w:rPr>
        <w:t>3</w:t>
      </w:r>
      <w:r>
        <w:rPr>
          <w:rFonts w:hint="eastAsia" w:cs="Times New Roman" w:asciiTheme="majorEastAsia" w:hAnsiTheme="majorEastAsia" w:eastAsiaTheme="majorEastAsia"/>
          <w:szCs w:val="21"/>
        </w:rPr>
        <w:t>、《博时基金管理有限公司关于以通讯方式召开</w:t>
      </w:r>
      <w:r>
        <w:rPr>
          <w:rFonts w:hint="eastAsia" w:cs="Times New Roman" w:asciiTheme="majorEastAsia" w:hAnsiTheme="majorEastAsia" w:eastAsiaTheme="majorEastAsia"/>
          <w:szCs w:val="21"/>
          <w:lang w:eastAsia="zh-CN"/>
        </w:rPr>
        <w:t>博时移动互联主题混合型证券投资基金</w:t>
      </w:r>
      <w:r>
        <w:rPr>
          <w:rFonts w:hint="eastAsia" w:cs="Times New Roman" w:asciiTheme="majorEastAsia" w:hAnsiTheme="majorEastAsia" w:eastAsiaTheme="majorEastAsia"/>
          <w:szCs w:val="21"/>
        </w:rPr>
        <w:t>基金份额持有人大会的第二次提示性公告》</w:t>
      </w:r>
    </w:p>
    <w:p w14:paraId="0437939D">
      <w:pPr>
        <w:spacing w:line="420" w:lineRule="exact"/>
        <w:ind w:firstLine="420"/>
        <w:rPr>
          <w:rFonts w:cs="Times New Roman" w:asciiTheme="majorEastAsia" w:hAnsiTheme="majorEastAsia" w:eastAsiaTheme="majorEastAsia"/>
          <w:szCs w:val="21"/>
        </w:rPr>
      </w:pPr>
      <w:r>
        <w:rPr>
          <w:rFonts w:hint="eastAsia" w:cs="Times New Roman" w:asciiTheme="majorEastAsia" w:hAnsiTheme="majorEastAsia" w:eastAsiaTheme="majorEastAsia"/>
          <w:szCs w:val="21"/>
        </w:rPr>
        <w:t>4、《博时基金管理有限公司关于以通讯方式</w:t>
      </w:r>
      <w:r>
        <w:rPr>
          <w:rFonts w:hint="eastAsia" w:cs="Times New Roman" w:asciiTheme="majorEastAsia" w:hAnsiTheme="majorEastAsia" w:eastAsiaTheme="majorEastAsia"/>
          <w:szCs w:val="21"/>
          <w:lang w:val="en-US" w:eastAsia="zh-CN"/>
        </w:rPr>
        <w:t>二次</w:t>
      </w:r>
      <w:r>
        <w:rPr>
          <w:rFonts w:hint="eastAsia" w:cs="Times New Roman" w:asciiTheme="majorEastAsia" w:hAnsiTheme="majorEastAsia" w:eastAsiaTheme="majorEastAsia"/>
          <w:szCs w:val="21"/>
        </w:rPr>
        <w:t>召开</w:t>
      </w:r>
      <w:r>
        <w:rPr>
          <w:rFonts w:hint="eastAsia" w:cs="Times New Roman" w:asciiTheme="majorEastAsia" w:hAnsiTheme="majorEastAsia" w:eastAsiaTheme="majorEastAsia"/>
          <w:szCs w:val="21"/>
          <w:lang w:eastAsia="zh-CN"/>
        </w:rPr>
        <w:t>博时移动互联主题混合型证券投资基金</w:t>
      </w:r>
      <w:r>
        <w:rPr>
          <w:rFonts w:hint="eastAsia" w:cs="Times New Roman" w:asciiTheme="majorEastAsia" w:hAnsiTheme="majorEastAsia" w:eastAsiaTheme="majorEastAsia"/>
          <w:szCs w:val="21"/>
        </w:rPr>
        <w:t>基金份额持有人大会的公告》</w:t>
      </w:r>
    </w:p>
    <w:p w14:paraId="1AFE7A45">
      <w:pPr>
        <w:spacing w:line="420" w:lineRule="exact"/>
        <w:ind w:firstLine="420"/>
        <w:rPr>
          <w:rFonts w:cs="Times New Roman" w:asciiTheme="majorEastAsia" w:hAnsiTheme="majorEastAsia" w:eastAsiaTheme="majorEastAsia"/>
          <w:szCs w:val="21"/>
        </w:rPr>
      </w:pPr>
      <w:r>
        <w:rPr>
          <w:rFonts w:hint="eastAsia" w:cs="Times New Roman" w:asciiTheme="majorEastAsia" w:hAnsiTheme="majorEastAsia" w:eastAsiaTheme="majorEastAsia"/>
          <w:szCs w:val="21"/>
        </w:rPr>
        <w:t>5、《博时基金管理有限公司关于以通讯方式</w:t>
      </w:r>
      <w:r>
        <w:rPr>
          <w:rFonts w:hint="eastAsia" w:cs="Times New Roman" w:asciiTheme="majorEastAsia" w:hAnsiTheme="majorEastAsia" w:eastAsiaTheme="majorEastAsia"/>
          <w:szCs w:val="21"/>
          <w:lang w:val="en-US" w:eastAsia="zh-CN"/>
        </w:rPr>
        <w:t>二次</w:t>
      </w:r>
      <w:r>
        <w:rPr>
          <w:rFonts w:hint="eastAsia" w:cs="Times New Roman" w:asciiTheme="majorEastAsia" w:hAnsiTheme="majorEastAsia" w:eastAsiaTheme="majorEastAsia"/>
          <w:szCs w:val="21"/>
        </w:rPr>
        <w:t>召开</w:t>
      </w:r>
      <w:r>
        <w:rPr>
          <w:rFonts w:hint="eastAsia" w:cs="Times New Roman" w:asciiTheme="majorEastAsia" w:hAnsiTheme="majorEastAsia" w:eastAsiaTheme="majorEastAsia"/>
          <w:szCs w:val="21"/>
          <w:lang w:eastAsia="zh-CN"/>
        </w:rPr>
        <w:t>博时移动互联主题混合型证券投资基金</w:t>
      </w:r>
      <w:r>
        <w:rPr>
          <w:rFonts w:hint="eastAsia" w:cs="Times New Roman" w:asciiTheme="majorEastAsia" w:hAnsiTheme="majorEastAsia" w:eastAsiaTheme="majorEastAsia"/>
          <w:szCs w:val="21"/>
        </w:rPr>
        <w:t>基金份额持有人大会的第一次提示性公告》</w:t>
      </w:r>
    </w:p>
    <w:p w14:paraId="6CCF4DF5">
      <w:pPr>
        <w:spacing w:line="420" w:lineRule="exact"/>
        <w:ind w:firstLine="420"/>
        <w:rPr>
          <w:rFonts w:cs="Times New Roman" w:asciiTheme="majorEastAsia" w:hAnsiTheme="majorEastAsia" w:eastAsiaTheme="majorEastAsia"/>
          <w:szCs w:val="21"/>
        </w:rPr>
      </w:pPr>
      <w:r>
        <w:rPr>
          <w:rFonts w:hint="eastAsia" w:cs="Times New Roman" w:asciiTheme="majorEastAsia" w:hAnsiTheme="majorEastAsia" w:eastAsiaTheme="majorEastAsia"/>
          <w:szCs w:val="21"/>
        </w:rPr>
        <w:t>6、《博时基金管理有限公司关于以通讯方式</w:t>
      </w:r>
      <w:r>
        <w:rPr>
          <w:rFonts w:hint="eastAsia" w:cs="Times New Roman" w:asciiTheme="majorEastAsia" w:hAnsiTheme="majorEastAsia" w:eastAsiaTheme="majorEastAsia"/>
          <w:szCs w:val="21"/>
          <w:lang w:val="en-US" w:eastAsia="zh-CN"/>
        </w:rPr>
        <w:t>二次</w:t>
      </w:r>
      <w:r>
        <w:rPr>
          <w:rFonts w:hint="eastAsia" w:cs="Times New Roman" w:asciiTheme="majorEastAsia" w:hAnsiTheme="majorEastAsia" w:eastAsiaTheme="majorEastAsia"/>
          <w:szCs w:val="21"/>
        </w:rPr>
        <w:t>召开</w:t>
      </w:r>
      <w:r>
        <w:rPr>
          <w:rFonts w:hint="eastAsia" w:cs="Times New Roman" w:asciiTheme="majorEastAsia" w:hAnsiTheme="majorEastAsia" w:eastAsiaTheme="majorEastAsia"/>
          <w:szCs w:val="21"/>
          <w:lang w:eastAsia="zh-CN"/>
        </w:rPr>
        <w:t>博时移动互联主题混合型证券投资基金</w:t>
      </w:r>
      <w:r>
        <w:rPr>
          <w:rFonts w:hint="eastAsia" w:cs="Times New Roman" w:asciiTheme="majorEastAsia" w:hAnsiTheme="majorEastAsia" w:eastAsiaTheme="majorEastAsia"/>
          <w:szCs w:val="21"/>
        </w:rPr>
        <w:t>基金份额持有人大会的第二次提示性公告》</w:t>
      </w:r>
    </w:p>
    <w:p w14:paraId="1CB0A0CF">
      <w:pPr>
        <w:spacing w:line="420" w:lineRule="exact"/>
        <w:ind w:firstLine="420"/>
        <w:rPr>
          <w:rFonts w:cs="Times New Roman" w:asciiTheme="majorEastAsia" w:hAnsiTheme="majorEastAsia" w:eastAsiaTheme="majorEastAsia"/>
          <w:szCs w:val="21"/>
        </w:rPr>
      </w:pPr>
      <w:r>
        <w:rPr>
          <w:rFonts w:hint="eastAsia" w:cs="Times New Roman" w:asciiTheme="majorEastAsia" w:hAnsiTheme="majorEastAsia" w:eastAsiaTheme="majorEastAsia"/>
          <w:szCs w:val="21"/>
        </w:rPr>
        <w:t>7、北京市长安公证处出具的公证书</w:t>
      </w:r>
    </w:p>
    <w:p w14:paraId="45C14407">
      <w:pPr>
        <w:spacing w:line="420" w:lineRule="exact"/>
        <w:ind w:firstLine="420"/>
        <w:rPr>
          <w:rFonts w:cs="Times New Roman" w:asciiTheme="majorEastAsia" w:hAnsiTheme="majorEastAsia" w:eastAsiaTheme="majorEastAsia"/>
          <w:szCs w:val="21"/>
        </w:rPr>
      </w:pPr>
      <w:r>
        <w:rPr>
          <w:rFonts w:hint="eastAsia" w:cs="Times New Roman" w:asciiTheme="majorEastAsia" w:hAnsiTheme="majorEastAsia" w:eastAsiaTheme="majorEastAsia"/>
          <w:szCs w:val="21"/>
        </w:rPr>
        <w:t>8、</w:t>
      </w:r>
      <w:r>
        <w:rPr>
          <w:rStyle w:val="11"/>
          <w:rFonts w:hint="eastAsia"/>
          <w:i w:val="0"/>
          <w:iCs w:val="0"/>
          <w:sz w:val="21"/>
          <w:szCs w:val="21"/>
          <w:u w:val="none"/>
        </w:rPr>
        <w:t>上海源泰律师事务所</w:t>
      </w:r>
      <w:r>
        <w:rPr>
          <w:rFonts w:hint="eastAsia"/>
          <w:i w:val="0"/>
          <w:iCs w:val="0"/>
          <w:sz w:val="21"/>
          <w:szCs w:val="21"/>
          <w:u w:val="none"/>
        </w:rPr>
        <w:t>出具的法律意见</w:t>
      </w:r>
    </w:p>
    <w:p w14:paraId="225B8C13">
      <w:pPr>
        <w:spacing w:line="420" w:lineRule="exact"/>
        <w:ind w:firstLine="420"/>
        <w:rPr>
          <w:rFonts w:cs="Times New Roman" w:asciiTheme="majorEastAsia" w:hAnsiTheme="majorEastAsia" w:eastAsiaTheme="majorEastAsia"/>
          <w:szCs w:val="21"/>
        </w:rPr>
      </w:pPr>
      <w:r>
        <w:rPr>
          <w:rFonts w:hint="eastAsia" w:cs="Times New Roman" w:asciiTheme="majorEastAsia" w:hAnsiTheme="majorEastAsia" w:eastAsiaTheme="majorEastAsia"/>
          <w:szCs w:val="21"/>
        </w:rPr>
        <w:t>特此公告。</w:t>
      </w:r>
    </w:p>
    <w:p w14:paraId="2D196BFA">
      <w:pPr>
        <w:spacing w:line="420" w:lineRule="exact"/>
        <w:ind w:firstLine="420"/>
        <w:jc w:val="right"/>
        <w:rPr>
          <w:rFonts w:cs="Times New Roman" w:asciiTheme="majorEastAsia" w:hAnsiTheme="majorEastAsia" w:eastAsiaTheme="majorEastAsia"/>
          <w:szCs w:val="21"/>
        </w:rPr>
      </w:pPr>
    </w:p>
    <w:p w14:paraId="43501CB4">
      <w:pPr>
        <w:spacing w:line="420" w:lineRule="exact"/>
        <w:ind w:firstLine="420"/>
        <w:jc w:val="right"/>
        <w:rPr>
          <w:rFonts w:cs="Times New Roman" w:asciiTheme="majorEastAsia" w:hAnsiTheme="majorEastAsia" w:eastAsiaTheme="majorEastAsia"/>
          <w:szCs w:val="21"/>
        </w:rPr>
      </w:pPr>
    </w:p>
    <w:p w14:paraId="7369F8C8">
      <w:pPr>
        <w:spacing w:line="420" w:lineRule="exact"/>
        <w:ind w:firstLine="420"/>
        <w:jc w:val="right"/>
        <w:rPr>
          <w:rFonts w:cs="Times New Roman" w:asciiTheme="majorEastAsia" w:hAnsiTheme="majorEastAsia" w:eastAsiaTheme="majorEastAsia"/>
          <w:szCs w:val="21"/>
        </w:rPr>
      </w:pPr>
    </w:p>
    <w:p w14:paraId="437A173A">
      <w:pPr>
        <w:spacing w:line="420" w:lineRule="exact"/>
        <w:ind w:firstLine="420"/>
        <w:jc w:val="right"/>
        <w:rPr>
          <w:rFonts w:cs="Times New Roman" w:asciiTheme="majorEastAsia" w:hAnsiTheme="majorEastAsia" w:eastAsiaTheme="majorEastAsia"/>
          <w:szCs w:val="21"/>
        </w:rPr>
      </w:pPr>
      <w:r>
        <w:rPr>
          <w:rFonts w:hint="eastAsia" w:cs="Times New Roman" w:asciiTheme="majorEastAsia" w:hAnsiTheme="majorEastAsia" w:eastAsiaTheme="majorEastAsia"/>
          <w:szCs w:val="21"/>
        </w:rPr>
        <w:t>博时基金管理有限公司</w:t>
      </w:r>
    </w:p>
    <w:p w14:paraId="3DD9EE9A">
      <w:pPr>
        <w:wordWrap w:val="0"/>
        <w:spacing w:line="420" w:lineRule="exact"/>
        <w:ind w:firstLine="420"/>
        <w:jc w:val="right"/>
        <w:rPr>
          <w:rFonts w:cs="Times New Roman" w:asciiTheme="majorEastAsia" w:hAnsiTheme="majorEastAsia" w:eastAsiaTheme="majorEastAsia"/>
          <w:szCs w:val="21"/>
        </w:rPr>
      </w:pPr>
      <w:r>
        <w:rPr>
          <w:rFonts w:cs="Times New Roman" w:asciiTheme="majorEastAsia" w:hAnsiTheme="majorEastAsia" w:eastAsiaTheme="majorEastAsia"/>
          <w:szCs w:val="21"/>
        </w:rPr>
        <w:t>20</w:t>
      </w:r>
      <w:r>
        <w:rPr>
          <w:rFonts w:hint="eastAsia" w:cs="Times New Roman" w:asciiTheme="majorEastAsia" w:hAnsiTheme="majorEastAsia" w:eastAsiaTheme="majorEastAsia"/>
          <w:szCs w:val="21"/>
        </w:rPr>
        <w:t>2</w:t>
      </w:r>
      <w:r>
        <w:rPr>
          <w:rFonts w:hint="eastAsia" w:cs="Times New Roman" w:asciiTheme="majorEastAsia" w:hAnsiTheme="majorEastAsia" w:eastAsiaTheme="majorEastAsia"/>
          <w:szCs w:val="21"/>
          <w:lang w:val="en-US" w:eastAsia="zh-CN"/>
        </w:rPr>
        <w:t>6</w:t>
      </w:r>
      <w:r>
        <w:rPr>
          <w:rFonts w:cs="Times New Roman" w:asciiTheme="majorEastAsia" w:hAnsiTheme="majorEastAsia" w:eastAsiaTheme="majorEastAsia"/>
          <w:szCs w:val="21"/>
        </w:rPr>
        <w:t>年</w:t>
      </w:r>
      <w:r>
        <w:rPr>
          <w:rFonts w:hint="eastAsia" w:cs="Times New Roman" w:asciiTheme="majorEastAsia" w:hAnsiTheme="majorEastAsia" w:eastAsiaTheme="majorEastAsia"/>
          <w:szCs w:val="21"/>
          <w:lang w:val="en-US" w:eastAsia="zh-CN"/>
        </w:rPr>
        <w:t>8</w:t>
      </w:r>
      <w:r>
        <w:rPr>
          <w:rFonts w:cs="Times New Roman" w:asciiTheme="majorEastAsia" w:hAnsiTheme="majorEastAsia" w:eastAsiaTheme="majorEastAsia"/>
          <w:szCs w:val="21"/>
        </w:rPr>
        <w:t>月</w:t>
      </w:r>
      <w:r>
        <w:rPr>
          <w:rFonts w:hint="eastAsia" w:cs="Times New Roman" w:asciiTheme="majorEastAsia" w:hAnsiTheme="majorEastAsia" w:eastAsiaTheme="majorEastAsia"/>
          <w:szCs w:val="21"/>
          <w:lang w:val="en-US" w:eastAsia="zh-CN"/>
        </w:rPr>
        <w:t>11</w:t>
      </w:r>
      <w:r>
        <w:rPr>
          <w:rFonts w:cs="Times New Roman" w:asciiTheme="majorEastAsia" w:hAnsiTheme="majorEastAsia" w:eastAsiaTheme="majorEastAsia"/>
          <w:szCs w:val="21"/>
        </w:rPr>
        <w:t>日</w:t>
      </w:r>
    </w:p>
    <w:p w14:paraId="6CA35E50">
      <w:pPr>
        <w:spacing w:line="420" w:lineRule="exact"/>
        <w:ind w:firstLine="420"/>
        <w:jc w:val="right"/>
        <w:rPr>
          <w:rFonts w:cs="Times New Roman" w:asciiTheme="majorEastAsia" w:hAnsiTheme="majorEastAsia" w:eastAsiaTheme="majorEastAsia"/>
          <w:szCs w:val="21"/>
        </w:rPr>
      </w:pPr>
    </w:p>
    <w:p w14:paraId="52661122">
      <w:pPr>
        <w:spacing w:line="420" w:lineRule="exact"/>
        <w:ind w:firstLine="420"/>
        <w:jc w:val="right"/>
        <w:rPr>
          <w:rFonts w:cs="Times New Roman" w:asciiTheme="majorEastAsia" w:hAnsiTheme="majorEastAsia" w:eastAsiaTheme="majorEastAsia"/>
          <w:szCs w:val="21"/>
        </w:rPr>
      </w:pPr>
    </w:p>
    <w:p w14:paraId="0F63E8D3">
      <w:pPr>
        <w:spacing w:line="420" w:lineRule="exact"/>
        <w:ind w:firstLine="420"/>
        <w:jc w:val="right"/>
        <w:rPr>
          <w:rFonts w:cs="Times New Roman" w:asciiTheme="majorEastAsia" w:hAnsiTheme="majorEastAsia" w:eastAsiaTheme="majorEastAsia"/>
          <w:szCs w:val="21"/>
        </w:rPr>
      </w:pPr>
    </w:p>
    <w:p w14:paraId="72588301">
      <w:pPr>
        <w:spacing w:line="420" w:lineRule="exact"/>
        <w:ind w:firstLine="420"/>
        <w:jc w:val="right"/>
        <w:rPr>
          <w:rFonts w:cs="Times New Roman" w:asciiTheme="majorEastAsia" w:hAnsiTheme="majorEastAsia" w:eastAsiaTheme="majorEastAsia"/>
          <w:szCs w:val="21"/>
        </w:rPr>
      </w:pPr>
    </w:p>
    <w:p w14:paraId="3BD2EEF6">
      <w:pPr>
        <w:spacing w:line="420" w:lineRule="exact"/>
        <w:ind w:firstLine="420"/>
        <w:jc w:val="right"/>
        <w:rPr>
          <w:rFonts w:cs="Times New Roman" w:asciiTheme="majorEastAsia" w:hAnsiTheme="majorEastAsia" w:eastAsiaTheme="majorEastAsia"/>
          <w:szCs w:val="21"/>
        </w:rPr>
      </w:pPr>
    </w:p>
    <w:p w14:paraId="53B17BC4">
      <w:pPr>
        <w:spacing w:line="420" w:lineRule="exact"/>
        <w:ind w:firstLine="420"/>
        <w:jc w:val="right"/>
        <w:rPr>
          <w:rFonts w:cs="Times New Roman" w:asciiTheme="majorEastAsia" w:hAnsiTheme="majorEastAsia" w:eastAsiaTheme="majorEastAsia"/>
          <w:szCs w:val="21"/>
        </w:rPr>
      </w:pPr>
    </w:p>
    <w:p w14:paraId="310729E0">
      <w:pPr>
        <w:spacing w:line="420" w:lineRule="exact"/>
        <w:ind w:firstLine="420"/>
        <w:jc w:val="right"/>
        <w:rPr>
          <w:rFonts w:cs="Times New Roman" w:asciiTheme="majorEastAsia" w:hAnsiTheme="majorEastAsia" w:eastAsiaTheme="majorEastAsia"/>
          <w:szCs w:val="21"/>
        </w:rPr>
      </w:pPr>
    </w:p>
    <w:p w14:paraId="1E634007">
      <w:pPr>
        <w:spacing w:line="420" w:lineRule="exact"/>
        <w:ind w:firstLine="420"/>
        <w:jc w:val="right"/>
        <w:rPr>
          <w:rFonts w:cs="Times New Roman" w:asciiTheme="majorEastAsia" w:hAnsiTheme="majorEastAsia" w:eastAsiaTheme="majorEastAsia"/>
          <w:szCs w:val="21"/>
        </w:rPr>
      </w:pPr>
    </w:p>
    <w:p w14:paraId="56F87868">
      <w:pPr>
        <w:spacing w:line="420" w:lineRule="exact"/>
        <w:ind w:firstLine="420"/>
        <w:jc w:val="right"/>
        <w:rPr>
          <w:rFonts w:cs="Times New Roman" w:asciiTheme="majorEastAsia" w:hAnsiTheme="majorEastAsia" w:eastAsiaTheme="majorEastAsia"/>
          <w:szCs w:val="21"/>
        </w:rPr>
      </w:pPr>
    </w:p>
    <w:p w14:paraId="5C84A19F">
      <w:pPr>
        <w:spacing w:line="420" w:lineRule="exact"/>
        <w:ind w:firstLine="420"/>
        <w:jc w:val="right"/>
        <w:rPr>
          <w:rFonts w:cs="Times New Roman" w:asciiTheme="majorEastAsia" w:hAnsiTheme="majorEastAsia" w:eastAsiaTheme="majorEastAsia"/>
          <w:szCs w:val="21"/>
        </w:rPr>
      </w:pPr>
    </w:p>
    <w:p w14:paraId="47AA9424">
      <w:pPr>
        <w:spacing w:line="420" w:lineRule="exact"/>
        <w:ind w:firstLine="420"/>
        <w:jc w:val="right"/>
        <w:rPr>
          <w:rFonts w:cs="Times New Roman" w:asciiTheme="majorEastAsia" w:hAnsiTheme="majorEastAsia" w:eastAsiaTheme="majorEastAsia"/>
          <w:szCs w:val="21"/>
        </w:rPr>
      </w:pPr>
    </w:p>
    <w:p w14:paraId="0C351182">
      <w:pPr>
        <w:spacing w:line="420" w:lineRule="exact"/>
        <w:ind w:firstLine="420"/>
        <w:jc w:val="right"/>
        <w:rPr>
          <w:rFonts w:cs="Times New Roman" w:asciiTheme="majorEastAsia" w:hAnsiTheme="majorEastAsia" w:eastAsiaTheme="majorEastAsia"/>
          <w:szCs w:val="21"/>
        </w:rPr>
      </w:pPr>
    </w:p>
    <w:p w14:paraId="4A8493D8">
      <w:pPr>
        <w:spacing w:line="420" w:lineRule="exact"/>
        <w:ind w:firstLine="420"/>
        <w:jc w:val="right"/>
        <w:rPr>
          <w:rFonts w:cs="Times New Roman" w:asciiTheme="majorEastAsia" w:hAnsiTheme="majorEastAsia" w:eastAsiaTheme="majorEastAsia"/>
          <w:szCs w:val="21"/>
        </w:rPr>
        <w:sectPr>
          <w:pgSz w:w="11906" w:h="16838"/>
          <w:pgMar w:top="1440" w:right="1800" w:bottom="1440" w:left="1800" w:header="851" w:footer="992" w:gutter="0"/>
          <w:cols w:space="425" w:num="1"/>
          <w:docGrid w:type="lines" w:linePitch="312" w:charSpace="0"/>
        </w:sectPr>
      </w:pPr>
      <w:r>
        <w:drawing>
          <wp:anchor distT="0" distB="0" distL="114300" distR="114300" simplePos="0" relativeHeight="251659264" behindDoc="0" locked="0" layoutInCell="1" allowOverlap="1">
            <wp:simplePos x="0" y="0"/>
            <wp:positionH relativeFrom="page">
              <wp:posOffset>0</wp:posOffset>
            </wp:positionH>
            <wp:positionV relativeFrom="page">
              <wp:posOffset>0</wp:posOffset>
            </wp:positionV>
            <wp:extent cx="7559675" cy="10692130"/>
            <wp:effectExtent l="0" t="0" r="0" b="0"/>
            <wp:wrapNone/>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icPr>
                  <pic:blipFill>
                    <a:blip r:embed="rId4"/>
                    <a:stretch>
                      <a:fillRect/>
                    </a:stretch>
                  </pic:blipFill>
                  <pic:spPr>
                    <a:xfrm>
                      <a:off x="0" y="0"/>
                      <a:ext cx="7559675" cy="10692130"/>
                    </a:xfrm>
                    <a:prstGeom prst="rect">
                      <a:avLst/>
                    </a:prstGeom>
                    <a:noFill/>
                    <a:ln>
                      <a:noFill/>
                    </a:ln>
                  </pic:spPr>
                </pic:pic>
              </a:graphicData>
            </a:graphic>
          </wp:anchor>
        </w:drawing>
      </w:r>
    </w:p>
    <w:p w14:paraId="2AD4B31E">
      <w:pPr>
        <w:spacing w:line="420" w:lineRule="exact"/>
        <w:ind w:firstLine="420"/>
        <w:jc w:val="right"/>
        <w:rPr>
          <w:rFonts w:cs="Times New Roman" w:asciiTheme="majorEastAsia" w:hAnsiTheme="majorEastAsia" w:eastAsiaTheme="majorEastAsia"/>
          <w:szCs w:val="21"/>
        </w:rPr>
      </w:pPr>
      <w:r>
        <w:drawing>
          <wp:anchor distT="0" distB="0" distL="114300" distR="114300" simplePos="0" relativeHeight="251660288" behindDoc="0" locked="0" layoutInCell="1" allowOverlap="1">
            <wp:simplePos x="0" y="0"/>
            <wp:positionH relativeFrom="page">
              <wp:posOffset>0</wp:posOffset>
            </wp:positionH>
            <wp:positionV relativeFrom="page">
              <wp:posOffset>0</wp:posOffset>
            </wp:positionV>
            <wp:extent cx="7559675" cy="10692130"/>
            <wp:effectExtent l="0" t="0" r="0" b="0"/>
            <wp:wrapNone/>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icPr>
                  <pic:blipFill>
                    <a:blip r:embed="rId5"/>
                    <a:stretch>
                      <a:fillRect/>
                    </a:stretch>
                  </pic:blipFill>
                  <pic:spPr>
                    <a:xfrm>
                      <a:off x="0" y="0"/>
                      <a:ext cx="7559675" cy="10692130"/>
                    </a:xfrm>
                    <a:prstGeom prst="rect">
                      <a:avLst/>
                    </a:prstGeom>
                    <a:noFill/>
                    <a:ln>
                      <a:noFill/>
                    </a:ln>
                  </pic:spPr>
                </pic:pic>
              </a:graphicData>
            </a:graphic>
          </wp:anchor>
        </w:drawing>
      </w:r>
    </w:p>
    <w:p w14:paraId="29AA741F">
      <w:pPr>
        <w:spacing w:line="420" w:lineRule="exact"/>
        <w:ind w:firstLine="420"/>
        <w:jc w:val="right"/>
        <w:rPr>
          <w:rFonts w:cs="Times New Roman" w:asciiTheme="majorEastAsia" w:hAnsiTheme="majorEastAsia" w:eastAsiaTheme="majorEastAsia"/>
          <w:szCs w:val="21"/>
        </w:rPr>
        <w:sectPr>
          <w:pgSz w:w="11906" w:h="16838"/>
          <w:pgMar w:top="1440" w:right="1800" w:bottom="1440" w:left="1800" w:header="851" w:footer="992" w:gutter="0"/>
          <w:cols w:space="425" w:num="1"/>
          <w:docGrid w:type="lines" w:linePitch="312" w:charSpace="0"/>
        </w:sectPr>
      </w:pPr>
    </w:p>
    <w:p w14:paraId="2A57E221">
      <w:pPr>
        <w:spacing w:line="420" w:lineRule="exact"/>
        <w:ind w:firstLine="420"/>
        <w:jc w:val="right"/>
        <w:rPr>
          <w:rFonts w:cs="Times New Roman" w:asciiTheme="majorEastAsia" w:hAnsiTheme="majorEastAsia" w:eastAsiaTheme="majorEastAsia"/>
          <w:szCs w:val="21"/>
        </w:rPr>
      </w:pPr>
      <w:r>
        <w:drawing>
          <wp:anchor distT="0" distB="0" distL="114300" distR="114300" simplePos="0" relativeHeight="251661312" behindDoc="0" locked="0" layoutInCell="1" allowOverlap="1">
            <wp:simplePos x="0" y="0"/>
            <wp:positionH relativeFrom="page">
              <wp:posOffset>0</wp:posOffset>
            </wp:positionH>
            <wp:positionV relativeFrom="page">
              <wp:posOffset>0</wp:posOffset>
            </wp:positionV>
            <wp:extent cx="7560310" cy="10683240"/>
            <wp:effectExtent l="0" t="0" r="0" b="0"/>
            <wp:wrapNone/>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icPr>
                  <pic:blipFill>
                    <a:blip r:embed="rId6"/>
                    <a:stretch>
                      <a:fillRect/>
                    </a:stretch>
                  </pic:blipFill>
                  <pic:spPr>
                    <a:xfrm>
                      <a:off x="0" y="0"/>
                      <a:ext cx="7560310" cy="10683240"/>
                    </a:xfrm>
                    <a:prstGeom prst="rect">
                      <a:avLst/>
                    </a:prstGeom>
                    <a:noFill/>
                    <a:ln>
                      <a:noFill/>
                    </a:ln>
                  </pic:spPr>
                </pic:pic>
              </a:graphicData>
            </a:graphic>
          </wp:anchor>
        </w:drawing>
      </w:r>
    </w:p>
    <w:p w14:paraId="1FBB6CD9">
      <w:pPr>
        <w:spacing w:line="420" w:lineRule="exact"/>
        <w:ind w:firstLine="420"/>
        <w:jc w:val="right"/>
        <w:rPr>
          <w:rFonts w:cs="Times New Roman" w:asciiTheme="majorEastAsia" w:hAnsiTheme="majorEastAsia" w:eastAsiaTheme="majorEastAsia"/>
          <w:szCs w:val="21"/>
        </w:rPr>
        <w:sectPr>
          <w:pgSz w:w="11906" w:h="16838"/>
          <w:pgMar w:top="1440" w:right="1800" w:bottom="1440" w:left="1800" w:header="851" w:footer="992" w:gutter="0"/>
          <w:cols w:space="425" w:num="1"/>
          <w:docGrid w:type="lines" w:linePitch="312" w:charSpace="0"/>
        </w:sectPr>
      </w:pPr>
    </w:p>
    <w:p w14:paraId="63483E29">
      <w:pPr>
        <w:spacing w:line="420" w:lineRule="exact"/>
        <w:ind w:firstLine="420"/>
        <w:jc w:val="right"/>
        <w:rPr>
          <w:rFonts w:cs="Times New Roman" w:asciiTheme="majorEastAsia" w:hAnsiTheme="majorEastAsia" w:eastAsiaTheme="majorEastAsia"/>
          <w:szCs w:val="21"/>
        </w:rPr>
      </w:pPr>
      <w:r>
        <w:drawing>
          <wp:anchor distT="0" distB="0" distL="114300" distR="114300" simplePos="0" relativeHeight="251662336" behindDoc="0" locked="0" layoutInCell="1" allowOverlap="1">
            <wp:simplePos x="0" y="0"/>
            <wp:positionH relativeFrom="page">
              <wp:posOffset>0</wp:posOffset>
            </wp:positionH>
            <wp:positionV relativeFrom="page">
              <wp:posOffset>0</wp:posOffset>
            </wp:positionV>
            <wp:extent cx="7559675" cy="10692130"/>
            <wp:effectExtent l="0" t="0" r="0" b="0"/>
            <wp:wrapNone/>
            <wp:docPr id="6" name="图片 1"/>
            <wp:cNvGraphicFramePr/>
            <a:graphic xmlns:a="http://schemas.openxmlformats.org/drawingml/2006/main">
              <a:graphicData uri="http://schemas.openxmlformats.org/drawingml/2006/picture">
                <pic:pic xmlns:pic="http://schemas.openxmlformats.org/drawingml/2006/picture">
                  <pic:nvPicPr>
                    <pic:cNvPr id="6" name="图片 1"/>
                    <pic:cNvPicPr/>
                  </pic:nvPicPr>
                  <pic:blipFill>
                    <a:blip r:embed="rId7"/>
                    <a:stretch>
                      <a:fillRect/>
                    </a:stretch>
                  </pic:blipFill>
                  <pic:spPr>
                    <a:xfrm>
                      <a:off x="0" y="0"/>
                      <a:ext cx="7559675" cy="10692130"/>
                    </a:xfrm>
                    <a:prstGeom prst="rect">
                      <a:avLst/>
                    </a:prstGeom>
                    <a:noFill/>
                    <a:ln>
                      <a:noFill/>
                    </a:ln>
                  </pic:spPr>
                </pic:pic>
              </a:graphicData>
            </a:graphic>
          </wp:anchor>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156AC"/>
    <w:multiLevelType w:val="singleLevel"/>
    <w:tmpl w:val="BF6156AC"/>
    <w:lvl w:ilvl="0" w:tentative="0">
      <w:start w:val="1"/>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5F9"/>
    <w:rsid w:val="000361EB"/>
    <w:rsid w:val="000432F2"/>
    <w:rsid w:val="0004334E"/>
    <w:rsid w:val="00045B74"/>
    <w:rsid w:val="00110C20"/>
    <w:rsid w:val="001558BF"/>
    <w:rsid w:val="00157801"/>
    <w:rsid w:val="001635D5"/>
    <w:rsid w:val="001D7DA7"/>
    <w:rsid w:val="001E5FE1"/>
    <w:rsid w:val="002008AF"/>
    <w:rsid w:val="00211286"/>
    <w:rsid w:val="0021253E"/>
    <w:rsid w:val="002A55BC"/>
    <w:rsid w:val="003146EF"/>
    <w:rsid w:val="003256D3"/>
    <w:rsid w:val="00332BB5"/>
    <w:rsid w:val="003347AE"/>
    <w:rsid w:val="00362CCD"/>
    <w:rsid w:val="00371D30"/>
    <w:rsid w:val="00385E21"/>
    <w:rsid w:val="003A5306"/>
    <w:rsid w:val="003E1F88"/>
    <w:rsid w:val="00423D3D"/>
    <w:rsid w:val="004263BA"/>
    <w:rsid w:val="00437F48"/>
    <w:rsid w:val="00441866"/>
    <w:rsid w:val="004756ED"/>
    <w:rsid w:val="0049023D"/>
    <w:rsid w:val="0049483F"/>
    <w:rsid w:val="004B184E"/>
    <w:rsid w:val="004D7800"/>
    <w:rsid w:val="004E344E"/>
    <w:rsid w:val="005401E7"/>
    <w:rsid w:val="0054508A"/>
    <w:rsid w:val="00552609"/>
    <w:rsid w:val="005D08AB"/>
    <w:rsid w:val="00630366"/>
    <w:rsid w:val="00657CB8"/>
    <w:rsid w:val="00677FD8"/>
    <w:rsid w:val="00712272"/>
    <w:rsid w:val="007137E3"/>
    <w:rsid w:val="00724461"/>
    <w:rsid w:val="007824F4"/>
    <w:rsid w:val="0079116C"/>
    <w:rsid w:val="007A6BE7"/>
    <w:rsid w:val="007B4397"/>
    <w:rsid w:val="00840BC3"/>
    <w:rsid w:val="00906A4B"/>
    <w:rsid w:val="009A386C"/>
    <w:rsid w:val="00A01104"/>
    <w:rsid w:val="00A54932"/>
    <w:rsid w:val="00A60AE2"/>
    <w:rsid w:val="00A815F9"/>
    <w:rsid w:val="00A86399"/>
    <w:rsid w:val="00AB6A7A"/>
    <w:rsid w:val="00AD130E"/>
    <w:rsid w:val="00B6164F"/>
    <w:rsid w:val="00C15CAF"/>
    <w:rsid w:val="00C1747E"/>
    <w:rsid w:val="00C17CB2"/>
    <w:rsid w:val="00C2749D"/>
    <w:rsid w:val="00C54557"/>
    <w:rsid w:val="00C628C4"/>
    <w:rsid w:val="00C723CC"/>
    <w:rsid w:val="00D70E5E"/>
    <w:rsid w:val="00D809AF"/>
    <w:rsid w:val="00DA0583"/>
    <w:rsid w:val="00DE2C55"/>
    <w:rsid w:val="00E0042B"/>
    <w:rsid w:val="00E62878"/>
    <w:rsid w:val="00E94B7F"/>
    <w:rsid w:val="00E951A9"/>
    <w:rsid w:val="00EA4232"/>
    <w:rsid w:val="00ED284A"/>
    <w:rsid w:val="00EF5C60"/>
    <w:rsid w:val="00F319D5"/>
    <w:rsid w:val="00F423DA"/>
    <w:rsid w:val="00F47243"/>
    <w:rsid w:val="00F662CB"/>
    <w:rsid w:val="00F86C03"/>
    <w:rsid w:val="00F94870"/>
    <w:rsid w:val="00F95AA6"/>
    <w:rsid w:val="00FC3E4B"/>
    <w:rsid w:val="00FD356A"/>
    <w:rsid w:val="00FF04B9"/>
    <w:rsid w:val="03664EA1"/>
    <w:rsid w:val="064C13A1"/>
    <w:rsid w:val="076B4694"/>
    <w:rsid w:val="0AD311A3"/>
    <w:rsid w:val="0C394EC6"/>
    <w:rsid w:val="0D693500"/>
    <w:rsid w:val="2CE46752"/>
    <w:rsid w:val="2DBE5AC1"/>
    <w:rsid w:val="30673ACF"/>
    <w:rsid w:val="31D33FCD"/>
    <w:rsid w:val="340D447D"/>
    <w:rsid w:val="37AA190C"/>
    <w:rsid w:val="42012A59"/>
    <w:rsid w:val="4345523B"/>
    <w:rsid w:val="4CE20639"/>
    <w:rsid w:val="4E007E86"/>
    <w:rsid w:val="64760260"/>
    <w:rsid w:val="6E4341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semiHidden/>
    <w:unhideWhenUsed/>
    <w:qFormat/>
    <w:uiPriority w:val="99"/>
    <w:pPr>
      <w:jc w:val="left"/>
    </w:pPr>
  </w:style>
  <w:style w:type="paragraph" w:styleId="3">
    <w:name w:val="Balloon Text"/>
    <w:basedOn w:val="1"/>
    <w:link w:val="18"/>
    <w:semiHidden/>
    <w:unhideWhenUsed/>
    <w:qFormat/>
    <w:uiPriority w:val="99"/>
    <w:rPr>
      <w:sz w:val="18"/>
      <w:szCs w:val="18"/>
    </w:r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widowControl/>
      <w:spacing w:before="100" w:beforeAutospacing="1" w:after="100" w:afterAutospacing="1"/>
      <w:jc w:val="left"/>
    </w:pPr>
    <w:rPr>
      <w:rFonts w:ascii="宋体" w:hAnsi="宋体" w:eastAsia="宋体" w:cs="Times New Roman"/>
      <w:kern w:val="0"/>
      <w:sz w:val="24"/>
      <w:szCs w:val="24"/>
    </w:rPr>
  </w:style>
  <w:style w:type="paragraph" w:styleId="7">
    <w:name w:val="annotation subject"/>
    <w:basedOn w:val="2"/>
    <w:next w:val="2"/>
    <w:link w:val="17"/>
    <w:semiHidden/>
    <w:unhideWhenUsed/>
    <w:qFormat/>
    <w:uiPriority w:val="99"/>
    <w:rPr>
      <w:b/>
      <w:bCs/>
    </w:rPr>
  </w:style>
  <w:style w:type="table" w:styleId="9">
    <w:name w:val="Table Grid"/>
    <w:basedOn w:val="8"/>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Emphasis"/>
    <w:basedOn w:val="10"/>
    <w:qFormat/>
    <w:uiPriority w:val="20"/>
    <w:rPr>
      <w:i/>
      <w:iCs/>
    </w:rPr>
  </w:style>
  <w:style w:type="character" w:styleId="12">
    <w:name w:val="annotation reference"/>
    <w:basedOn w:val="10"/>
    <w:semiHidden/>
    <w:unhideWhenUsed/>
    <w:qFormat/>
    <w:uiPriority w:val="99"/>
    <w:rPr>
      <w:sz w:val="21"/>
      <w:szCs w:val="21"/>
    </w:rPr>
  </w:style>
  <w:style w:type="character" w:customStyle="1" w:styleId="13">
    <w:name w:val="页眉 Char"/>
    <w:basedOn w:val="10"/>
    <w:link w:val="5"/>
    <w:qFormat/>
    <w:uiPriority w:val="99"/>
    <w:rPr>
      <w:sz w:val="18"/>
      <w:szCs w:val="18"/>
    </w:rPr>
  </w:style>
  <w:style w:type="character" w:customStyle="1" w:styleId="14">
    <w:name w:val="页脚 Char"/>
    <w:basedOn w:val="10"/>
    <w:link w:val="4"/>
    <w:qFormat/>
    <w:uiPriority w:val="99"/>
    <w:rPr>
      <w:sz w:val="18"/>
      <w:szCs w:val="18"/>
    </w:rPr>
  </w:style>
  <w:style w:type="character" w:customStyle="1" w:styleId="15">
    <w:name w:val="da"/>
    <w:basedOn w:val="10"/>
    <w:qFormat/>
    <w:uiPriority w:val="0"/>
  </w:style>
  <w:style w:type="character" w:customStyle="1" w:styleId="16">
    <w:name w:val="批注文字 Char"/>
    <w:basedOn w:val="10"/>
    <w:link w:val="2"/>
    <w:semiHidden/>
    <w:qFormat/>
    <w:uiPriority w:val="99"/>
  </w:style>
  <w:style w:type="character" w:customStyle="1" w:styleId="17">
    <w:name w:val="批注主题 Char"/>
    <w:basedOn w:val="16"/>
    <w:link w:val="7"/>
    <w:semiHidden/>
    <w:qFormat/>
    <w:uiPriority w:val="99"/>
    <w:rPr>
      <w:b/>
      <w:bCs/>
    </w:rPr>
  </w:style>
  <w:style w:type="character" w:customStyle="1" w:styleId="18">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emf"/><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1771</Words>
  <Characters>1975</Characters>
  <Lines>22</Lines>
  <Paragraphs>6</Paragraphs>
  <TotalTime>10</TotalTime>
  <ScaleCrop>false</ScaleCrop>
  <LinksUpToDate>false</LinksUpToDate>
  <CharactersWithSpaces>1978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2019-01-30T03:31:00Z</dcterms:created>
  <dc:creator>周寰宇</dc:creator>
  <cp:lastModifiedBy>fuxj</cp:lastModifiedBy>
  <dcterms:modified xsi:type="dcterms:W3CDTF">2026-08-10T09:06:28Z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D459F0DEBFDD42B0975D25AFBA38ED75_13</vt:lpwstr>
  </property>
  <property fmtid="{D5CDD505-2E9C-101B-9397-08002B2CF9AE}" pid="4" name="KSOTemplateDocerSaveRecord">
    <vt:lpwstr>eyJoZGlkIjoiZmVhYTE0MTJhMGJkOGU3YzBiOGFiYTlhMGFmMDNhZmYiLCJ1c2VySWQiOiI4OTUyODYyNjEifQ==</vt:lpwstr>
  </property>
</Properties>
</file>